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E0D6">
      <w:pPr>
        <w:adjustRightInd w:val="0"/>
        <w:snapToGrid w:val="0"/>
        <w:spacing w:line="480" w:lineRule="auto"/>
        <w:jc w:val="center"/>
        <w:rPr>
          <w:rFonts w:ascii="仿宋" w:hAnsi="仿宋" w:eastAsia="仿宋" w:cs="仿宋"/>
          <w:b/>
          <w:bCs/>
          <w:color w:val="000000"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color w:val="000000"/>
          <w:sz w:val="52"/>
          <w:szCs w:val="52"/>
        </w:rPr>
        <w:t>盐边县</w:t>
      </w:r>
      <w:r>
        <w:rPr>
          <w:rFonts w:hint="eastAsia" w:ascii="仿宋" w:hAnsi="仿宋" w:eastAsia="仿宋" w:cs="仿宋"/>
          <w:b/>
          <w:bCs/>
          <w:color w:val="000000"/>
          <w:sz w:val="52"/>
          <w:szCs w:val="52"/>
          <w:lang w:eastAsia="zh-CN"/>
        </w:rPr>
        <w:t>温泉乡</w:t>
      </w:r>
      <w:r>
        <w:rPr>
          <w:rFonts w:hint="eastAsia" w:ascii="仿宋" w:hAnsi="仿宋" w:eastAsia="仿宋" w:cs="仿宋"/>
          <w:b/>
          <w:bCs/>
          <w:color w:val="000000"/>
          <w:sz w:val="52"/>
          <w:szCs w:val="52"/>
        </w:rPr>
        <w:t>人民政府</w:t>
      </w:r>
    </w:p>
    <w:p w14:paraId="18EAAF9B">
      <w:pPr>
        <w:adjustRightInd w:val="0"/>
        <w:snapToGrid w:val="0"/>
        <w:spacing w:line="480" w:lineRule="auto"/>
        <w:jc w:val="center"/>
        <w:rPr>
          <w:rFonts w:ascii="仿宋" w:hAnsi="仿宋" w:eastAsia="仿宋" w:cs="仿宋"/>
          <w:b/>
          <w:bCs/>
          <w:color w:val="000000"/>
          <w:sz w:val="52"/>
          <w:szCs w:val="52"/>
        </w:rPr>
      </w:pPr>
      <w:r>
        <w:rPr>
          <w:rFonts w:ascii="仿宋" w:hAnsi="仿宋" w:eastAsia="仿宋" w:cs="仿宋"/>
          <w:b/>
          <w:bCs/>
          <w:color w:val="000000"/>
          <w:sz w:val="52"/>
          <w:szCs w:val="52"/>
        </w:rPr>
        <w:t>2019</w:t>
      </w:r>
      <w:r>
        <w:rPr>
          <w:rFonts w:hint="eastAsia" w:ascii="仿宋" w:hAnsi="仿宋" w:eastAsia="仿宋" w:cs="仿宋"/>
          <w:b/>
          <w:bCs/>
          <w:color w:val="000000"/>
          <w:sz w:val="52"/>
          <w:szCs w:val="52"/>
        </w:rPr>
        <w:t>年度部门预算绩效情况公开</w:t>
      </w:r>
    </w:p>
    <w:p w14:paraId="501E8683">
      <w:pPr>
        <w:adjustRightInd w:val="0"/>
        <w:snapToGrid w:val="0"/>
        <w:spacing w:line="480" w:lineRule="auto"/>
        <w:jc w:val="center"/>
        <w:rPr>
          <w:rFonts w:ascii="仿宋" w:hAnsi="仿宋" w:eastAsia="仿宋"/>
          <w:b/>
          <w:bCs/>
          <w:color w:val="000000"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color w:val="000000"/>
          <w:sz w:val="52"/>
          <w:szCs w:val="52"/>
        </w:rPr>
        <w:t>编制说明</w:t>
      </w:r>
    </w:p>
    <w:p w14:paraId="5156115D">
      <w:pPr>
        <w:adjustRightInd w:val="0"/>
        <w:snapToGrid w:val="0"/>
        <w:spacing w:line="480" w:lineRule="auto"/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sz w:val="36"/>
          <w:szCs w:val="36"/>
        </w:rPr>
        <w:t>目</w:t>
      </w:r>
      <w:r>
        <w:rPr>
          <w:rFonts w:ascii="仿宋_GB2312" w:eastAsia="仿宋_GB2312" w:cs="仿宋_GB2312"/>
          <w:b/>
          <w:bCs/>
          <w:sz w:val="36"/>
          <w:szCs w:val="36"/>
        </w:rPr>
        <w:t xml:space="preserve">   </w:t>
      </w:r>
      <w:r>
        <w:rPr>
          <w:rFonts w:hint="eastAsia" w:ascii="仿宋_GB2312" w:eastAsia="仿宋_GB2312" w:cs="仿宋_GB2312"/>
          <w:b/>
          <w:bCs/>
          <w:sz w:val="36"/>
          <w:szCs w:val="36"/>
        </w:rPr>
        <w:t>录</w:t>
      </w:r>
    </w:p>
    <w:p w14:paraId="7765E15C">
      <w:pPr>
        <w:jc w:val="center"/>
        <w:rPr>
          <w:rFonts w:ascii="仿宋_GB2312" w:eastAsia="仿宋_GB2312"/>
          <w:sz w:val="32"/>
          <w:szCs w:val="32"/>
        </w:rPr>
      </w:pPr>
    </w:p>
    <w:p w14:paraId="0CDA53F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公开时间：</w:t>
      </w:r>
      <w:r>
        <w:rPr>
          <w:rFonts w:ascii="仿宋_GB2312" w:eastAsia="仿宋_GB2312" w:cs="仿宋_GB2312"/>
          <w:sz w:val="32"/>
          <w:szCs w:val="32"/>
        </w:rPr>
        <w:t>2020</w:t>
      </w:r>
      <w:r>
        <w:rPr>
          <w:rFonts w:hint="eastAsia" w:ascii="仿宋_GB2312" w:eastAsia="仿宋_GB2312" w:cs="仿宋_GB2312"/>
          <w:sz w:val="32"/>
          <w:szCs w:val="32"/>
        </w:rPr>
        <w:t>年10月2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 w14:paraId="4CD9CCEA">
      <w:pPr>
        <w:pStyle w:val="10"/>
        <w:rPr>
          <w:rFonts w:ascii="Calibri" w:hAnsi="Calibri" w:cs="Calibri"/>
        </w:rPr>
      </w:pPr>
    </w:p>
    <w:p w14:paraId="56490B41">
      <w:pPr>
        <w:rPr>
          <w:rFonts w:ascii="仿宋_GB2312" w:eastAsia="仿宋_GB2312" w:cs="仿宋_GB2312"/>
          <w:sz w:val="32"/>
          <w:szCs w:val="32"/>
        </w:rPr>
      </w:pPr>
    </w:p>
    <w:p w14:paraId="0D01815F">
      <w:pPr>
        <w:pStyle w:val="19"/>
        <w:jc w:val="center"/>
      </w:pPr>
      <w:bookmarkStart w:id="0" w:name="_Toc54085690"/>
      <w:bookmarkStart w:id="1" w:name="_Toc54085582"/>
      <w:bookmarkStart w:id="2" w:name="_Toc50042286"/>
      <w:bookmarkStart w:id="3" w:name="_Toc50014091"/>
      <w:r>
        <w:rPr>
          <w:lang w:val="zh-CN"/>
        </w:rPr>
        <w:t>目录</w:t>
      </w:r>
    </w:p>
    <w:p w14:paraId="19794578">
      <w:pPr>
        <w:pStyle w:val="9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"_Toc54085941" </w:instrText>
      </w:r>
      <w:r>
        <w:fldChar w:fldCharType="separate"/>
      </w:r>
      <w:r>
        <w:rPr>
          <w:rStyle w:val="14"/>
          <w:rFonts w:hint="eastAsia" w:ascii="仿宋_GB2312" w:eastAsia="仿宋_GB2312" w:cs="仿宋_GB2312"/>
          <w:b/>
          <w:bCs/>
        </w:rPr>
        <w:t>第一部分</w:t>
      </w:r>
      <w:r>
        <w:rPr>
          <w:rStyle w:val="14"/>
          <w:rFonts w:ascii="仿宋_GB2312" w:eastAsia="仿宋_GB2312" w:cs="仿宋_GB2312"/>
          <w:b/>
          <w:bCs/>
        </w:rPr>
        <w:t xml:space="preserve"> 2019</w:t>
      </w:r>
      <w:r>
        <w:rPr>
          <w:rStyle w:val="14"/>
          <w:rFonts w:hint="eastAsia" w:ascii="仿宋_GB2312" w:eastAsia="仿宋_GB2312" w:cs="仿宋_GB2312"/>
          <w:b/>
          <w:bCs/>
        </w:rPr>
        <w:t>年预算绩效情况说明</w:t>
      </w:r>
      <w:r>
        <w:tab/>
      </w:r>
      <w:r>
        <w:fldChar w:fldCharType="begin"/>
      </w:r>
      <w:r>
        <w:instrText xml:space="preserve"> PAGEREF _Toc54085941 \h </w:instrText>
      </w:r>
      <w:r>
        <w:fldChar w:fldCharType="separate"/>
      </w:r>
      <w:r>
        <w:t>- 2 -</w:t>
      </w:r>
      <w:r>
        <w:fldChar w:fldCharType="end"/>
      </w:r>
      <w:r>
        <w:fldChar w:fldCharType="end"/>
      </w:r>
    </w:p>
    <w:p w14:paraId="6005CC06">
      <w:pPr>
        <w:pStyle w:val="1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"_Toc54085942" </w:instrText>
      </w:r>
      <w:r>
        <w:fldChar w:fldCharType="separate"/>
      </w:r>
      <w:r>
        <w:rPr>
          <w:rStyle w:val="14"/>
          <w:rFonts w:hint="eastAsia" w:ascii="仿宋_GB2312" w:eastAsia="仿宋_GB2312"/>
          <w:b/>
          <w:bCs/>
        </w:rPr>
        <w:t>一、</w:t>
      </w:r>
      <w:r>
        <w:rPr>
          <w:rStyle w:val="14"/>
          <w:rFonts w:hint="eastAsia" w:ascii="仿宋_GB2312" w:eastAsia="仿宋_GB2312" w:cs="仿宋_GB2312"/>
          <w:b/>
          <w:bCs/>
        </w:rPr>
        <w:t>预算绩效管理工作开展情况</w:t>
      </w:r>
      <w:r>
        <w:tab/>
      </w:r>
      <w:r>
        <w:fldChar w:fldCharType="begin"/>
      </w:r>
      <w:r>
        <w:instrText xml:space="preserve"> PAGEREF _Toc54085942 \h </w:instrText>
      </w:r>
      <w:r>
        <w:fldChar w:fldCharType="separate"/>
      </w:r>
      <w:r>
        <w:t>- 2 -</w:t>
      </w:r>
      <w:r>
        <w:fldChar w:fldCharType="end"/>
      </w:r>
      <w:r>
        <w:fldChar w:fldCharType="end"/>
      </w:r>
    </w:p>
    <w:p w14:paraId="21C8120D">
      <w:pPr>
        <w:pStyle w:val="1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"_Toc54085943" </w:instrText>
      </w:r>
      <w:r>
        <w:fldChar w:fldCharType="separate"/>
      </w:r>
      <w:r>
        <w:rPr>
          <w:rStyle w:val="14"/>
          <w:rFonts w:hint="eastAsia" w:ascii="仿宋_GB2312" w:eastAsia="仿宋_GB2312" w:cs="仿宋_GB2312"/>
          <w:b/>
          <w:bCs/>
        </w:rPr>
        <w:t>二、绩效目标完成情况</w:t>
      </w:r>
      <w:r>
        <w:tab/>
      </w:r>
      <w:r>
        <w:fldChar w:fldCharType="begin"/>
      </w:r>
      <w:r>
        <w:instrText xml:space="preserve"> PAGEREF _Toc54085943 \h </w:instrText>
      </w:r>
      <w:r>
        <w:fldChar w:fldCharType="separate"/>
      </w:r>
      <w:r>
        <w:t>- 2 -</w:t>
      </w:r>
      <w:r>
        <w:fldChar w:fldCharType="end"/>
      </w:r>
      <w:r>
        <w:fldChar w:fldCharType="end"/>
      </w:r>
    </w:p>
    <w:p w14:paraId="28439047">
      <w:pPr>
        <w:pStyle w:val="9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"_Toc54085944" </w:instrText>
      </w:r>
      <w:r>
        <w:fldChar w:fldCharType="separate"/>
      </w:r>
      <w:r>
        <w:rPr>
          <w:rStyle w:val="14"/>
          <w:rFonts w:hint="eastAsia" w:ascii="黑体" w:hAnsi="黑体" w:eastAsia="黑体" w:cs="黑体"/>
        </w:rPr>
        <w:t>第</w:t>
      </w:r>
      <w:r>
        <w:rPr>
          <w:rStyle w:val="14"/>
          <w:rFonts w:hint="eastAsia" w:ascii="黑体" w:hAnsi="黑体" w:eastAsia="黑体" w:cs="黑体"/>
          <w:kern w:val="44"/>
        </w:rPr>
        <w:t>二部分</w:t>
      </w:r>
      <w:r>
        <w:rPr>
          <w:rStyle w:val="14"/>
          <w:rFonts w:ascii="黑体" w:hAnsi="黑体" w:eastAsia="黑体" w:cs="黑体"/>
          <w:kern w:val="44"/>
        </w:rPr>
        <w:t xml:space="preserve"> </w:t>
      </w:r>
      <w:r>
        <w:rPr>
          <w:rStyle w:val="14"/>
          <w:rFonts w:hint="eastAsia" w:ascii="黑体" w:hAnsi="黑体" w:eastAsia="黑体" w:cs="黑体"/>
          <w:kern w:val="44"/>
        </w:rPr>
        <w:t>附件</w:t>
      </w:r>
      <w:r>
        <w:tab/>
      </w:r>
      <w:r>
        <w:fldChar w:fldCharType="begin"/>
      </w:r>
      <w:r>
        <w:instrText xml:space="preserve"> PAGEREF _Toc54085944 \h </w:instrText>
      </w:r>
      <w:r>
        <w:fldChar w:fldCharType="separate"/>
      </w:r>
      <w:r>
        <w:t>- 4 -</w:t>
      </w:r>
      <w:r>
        <w:fldChar w:fldCharType="end"/>
      </w:r>
      <w:r>
        <w:fldChar w:fldCharType="end"/>
      </w:r>
    </w:p>
    <w:p w14:paraId="2EDBDEAA">
      <w:r>
        <w:fldChar w:fldCharType="end"/>
      </w:r>
    </w:p>
    <w:p w14:paraId="661EC680">
      <w:pPr>
        <w:jc w:val="center"/>
        <w:outlineLvl w:val="0"/>
        <w:rPr>
          <w:rFonts w:hint="eastAsia" w:ascii="仿宋_GB2312" w:eastAsia="仿宋_GB2312" w:cs="仿宋_GB2312"/>
          <w:b/>
          <w:bCs/>
          <w:sz w:val="36"/>
          <w:szCs w:val="36"/>
        </w:rPr>
      </w:pPr>
    </w:p>
    <w:p w14:paraId="298449AD">
      <w:pPr>
        <w:jc w:val="center"/>
        <w:outlineLvl w:val="0"/>
        <w:rPr>
          <w:rFonts w:hint="eastAsia" w:ascii="仿宋_GB2312" w:eastAsia="仿宋_GB2312" w:cs="仿宋_GB2312"/>
          <w:b/>
          <w:bCs/>
          <w:sz w:val="36"/>
          <w:szCs w:val="36"/>
        </w:rPr>
      </w:pPr>
    </w:p>
    <w:p w14:paraId="6A72F2F5">
      <w:pPr>
        <w:jc w:val="center"/>
        <w:outlineLvl w:val="0"/>
        <w:rPr>
          <w:rFonts w:hint="eastAsia" w:ascii="仿宋_GB2312" w:eastAsia="仿宋_GB2312" w:cs="仿宋_GB2312"/>
          <w:b/>
          <w:bCs/>
          <w:sz w:val="36"/>
          <w:szCs w:val="36"/>
        </w:rPr>
      </w:pPr>
    </w:p>
    <w:p w14:paraId="4FC85E83">
      <w:pPr>
        <w:jc w:val="center"/>
        <w:outlineLvl w:val="0"/>
        <w:rPr>
          <w:rFonts w:hint="eastAsia" w:ascii="仿宋_GB2312" w:eastAsia="仿宋_GB2312" w:cs="仿宋_GB2312"/>
          <w:b/>
          <w:bCs/>
          <w:sz w:val="36"/>
          <w:szCs w:val="36"/>
        </w:rPr>
      </w:pPr>
    </w:p>
    <w:p w14:paraId="60B15873">
      <w:pPr>
        <w:jc w:val="center"/>
        <w:outlineLvl w:val="0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4" w:name="_Toc54085941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第一部分 2019年预算绩效情况说明</w:t>
      </w:r>
      <w:bookmarkEnd w:id="0"/>
      <w:bookmarkEnd w:id="1"/>
      <w:bookmarkEnd w:id="2"/>
      <w:bookmarkEnd w:id="3"/>
      <w:bookmarkEnd w:id="4"/>
    </w:p>
    <w:p w14:paraId="1427D41F">
      <w:pPr>
        <w:numPr>
          <w:ilvl w:val="0"/>
          <w:numId w:val="1"/>
        </w:numPr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5" w:name="_Toc50041526"/>
      <w:bookmarkStart w:id="6" w:name="_Toc54085942"/>
      <w:bookmarkStart w:id="7" w:name="_Toc50014092"/>
      <w:bookmarkStart w:id="8" w:name="_Toc54085583"/>
      <w:bookmarkStart w:id="9" w:name="_Toc50042287"/>
      <w:bookmarkStart w:id="10" w:name="_Toc54085691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预算绩效管理工作开展情况</w:t>
      </w:r>
      <w:bookmarkEnd w:id="5"/>
      <w:bookmarkEnd w:id="6"/>
      <w:bookmarkEnd w:id="7"/>
      <w:bookmarkEnd w:id="8"/>
      <w:bookmarkEnd w:id="9"/>
      <w:bookmarkEnd w:id="10"/>
    </w:p>
    <w:p w14:paraId="1FEA7679"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1" w:name="_Toc54085584"/>
      <w:bookmarkStart w:id="12" w:name="_Toc54085692"/>
      <w:r>
        <w:rPr>
          <w:rFonts w:hint="eastAsia" w:ascii="仿宋_GB2312" w:hAnsi="仿宋_GB2312" w:eastAsia="仿宋_GB2312" w:cs="仿宋_GB2312"/>
          <w:sz w:val="32"/>
          <w:szCs w:val="32"/>
        </w:rPr>
        <w:t>根据预算绩效管理要求，我乡在年初预算编制阶段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，开</w:t>
      </w:r>
      <w:r>
        <w:rPr>
          <w:rFonts w:hint="eastAsia" w:ascii="仿宋_GB2312" w:hAnsi="仿宋_GB2312" w:eastAsia="仿宋_GB2312" w:cs="仿宋_GB2312"/>
          <w:sz w:val="32"/>
          <w:szCs w:val="32"/>
        </w:rPr>
        <w:t>展了预算事前绩效评估，对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个项目编制了绩效目标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执行过程中，对项目开展绩效监控，年终执行完毕后，对项目开展了绩效目标完成情况梳理填报。我乡按要求对2019年部门整体支出开展绩效自评，从评价情况来看，严格落实上级关于绩效管理的有关规定，年初做好预算申报，从严控制预算支出，管控好支出渠道，严格执行单位财务管理制度，强化支出审批、审签，各种票据齐全，符合报账要求，实现了本单位整体支出预期目标。从评价情况来看，结合我乡工作实际，本单位主要领导和分管领导认真审核项目预算，对项目支出渠道严格把关，确保各项目支出实现了经济效益、社会效益等预期目标。</w:t>
      </w:r>
      <w:bookmarkEnd w:id="11"/>
      <w:bookmarkEnd w:id="12"/>
    </w:p>
    <w:p w14:paraId="474CFD89">
      <w:pPr>
        <w:ind w:firstLine="643" w:firstLineChars="200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3" w:name="_Toc54085943"/>
      <w:bookmarkStart w:id="14" w:name="_Toc50014093"/>
      <w:bookmarkStart w:id="15" w:name="_Toc54085585"/>
      <w:bookmarkStart w:id="16" w:name="_Toc50042288"/>
      <w:bookmarkStart w:id="17" w:name="_Toc5408569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二、绩效目标完成情况</w:t>
      </w:r>
      <w:bookmarkEnd w:id="13"/>
      <w:bookmarkEnd w:id="14"/>
      <w:bookmarkEnd w:id="15"/>
      <w:bookmarkEnd w:id="16"/>
      <w:bookmarkEnd w:id="17"/>
    </w:p>
    <w:p w14:paraId="5ECF8699">
      <w:pPr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</w:rPr>
        <w:t>项目绩效目标完成情况。</w:t>
      </w:r>
    </w:p>
    <w:p w14:paraId="125DDC69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主要用于一般公共服务支出、社会保障和就业支出、农林水支出等。</w:t>
      </w:r>
    </w:p>
    <w:p w14:paraId="2A536F52">
      <w:pPr>
        <w:pStyle w:val="5"/>
        <w:spacing w:line="560" w:lineRule="exact"/>
        <w:ind w:firstLine="640" w:firstLineChars="200"/>
        <w:jc w:val="left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按项目分类：</w:t>
      </w:r>
      <w:r>
        <w:rPr>
          <w:rFonts w:hint="eastAsia" w:ascii="仿宋_GB2312" w:hAnsi="仿宋_GB2312" w:eastAsia="仿宋_GB2312" w:cs="仿宋_GB2312"/>
          <w:sz w:val="32"/>
          <w:szCs w:val="32"/>
        </w:rPr>
        <w:t>人大代表会议费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万元，（财政返还）根据盐边财预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〔2018〕16号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下达毛之惹同志一次性抚恤金、丧葬费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14.1万元；2019年乡安排统计四经普工作经费0.5万元；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乡村治理补助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政府信访维稳经费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万元，大平台软件维护费0.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A++软件维护费1.3万元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（财政返还）根据川财预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〔2017〕111号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下达2018年度三州开发专项资金（用于温泉乡热水塘村社道硬化项目）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15.41万元，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团委、妇联、关工委工作经费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党员干部现代远程教育经费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2019年农村党员培训费0.6万元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武装工作经费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2019年五保户供养经费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32.74万元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卫生计生工作经费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（财政返还）下达全乡基础设施建设及水毁工程款30.77万元；2019村办公经费20万元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2019年村社干部补贴保险及2018年村干部绩效103.08万元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根据盐财资预〔2019〕2号下达2019省级年村公共运行维护费21万元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eastAsia="楷体_GB2312"/>
          <w:sz w:val="32"/>
          <w:szCs w:val="32"/>
        </w:rPr>
        <w:t>均按照项目绩效评价工作开展并完成项目绩效工作。</w:t>
      </w:r>
    </w:p>
    <w:p w14:paraId="26BCCF55">
      <w:pPr>
        <w:numPr>
          <w:ilvl w:val="0"/>
          <w:numId w:val="2"/>
        </w:numPr>
        <w:spacing w:line="580" w:lineRule="exact"/>
        <w:ind w:left="63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部门绩效评价结果。</w:t>
      </w:r>
    </w:p>
    <w:p w14:paraId="1D0646BC">
      <w:pPr>
        <w:spacing w:line="560" w:lineRule="exact"/>
        <w:ind w:firstLine="640" w:firstLineChars="200"/>
        <w:jc w:val="left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我乡严格按照《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中华人民共和国预算法</w:t>
      </w:r>
      <w:r>
        <w:rPr>
          <w:rFonts w:hint="eastAsia" w:ascii="仿宋_GB2312" w:eastAsia="仿宋_GB2312" w:cs="仿宋_GB2312"/>
          <w:sz w:val="32"/>
          <w:szCs w:val="32"/>
        </w:rPr>
        <w:t>》按时完成预决算编制。在执行过程中有计划进行资金申报、使用，完善资金管理及内部控制制度，确保资金安全，做到账款、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账</w:t>
      </w:r>
      <w:r>
        <w:rPr>
          <w:rFonts w:hint="eastAsia" w:ascii="仿宋_GB2312" w:eastAsia="仿宋_GB2312" w:cs="仿宋_GB2312"/>
          <w:sz w:val="32"/>
          <w:szCs w:val="32"/>
        </w:rPr>
        <w:t>、账实相符。在今后工作中，进一步提高工作效率，把有限的资金用在刀刃上，扎实充分发挥资金使用效率，有力推进我乡工作的高效开展，切实履行政府职责。</w:t>
      </w:r>
    </w:p>
    <w:p w14:paraId="7A8F7006">
      <w:pPr>
        <w:spacing w:line="58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本部门按要求对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年度部门整体支出绩效评价情况开展自评，《盐边县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温泉乡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年部门整体支出绩效评价报告》见附件（附件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46804DEF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本部门自行组织对《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水毁恢复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相关支出2019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部门预算整体支出自评表</w:t>
      </w:r>
      <w:r>
        <w:rPr>
          <w:rFonts w:hint="eastAsia" w:ascii="仿宋_GB2312" w:hAnsi="仿宋_GB2312" w:eastAsia="仿宋_GB2312" w:cs="仿宋_GB2312"/>
          <w:sz w:val="32"/>
          <w:szCs w:val="32"/>
        </w:rPr>
        <w:t>》见附件（附件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2144466F">
      <w:pPr>
        <w:spacing w:line="600" w:lineRule="exact"/>
        <w:jc w:val="center"/>
        <w:outlineLvl w:val="0"/>
        <w:rPr>
          <w:rFonts w:ascii="黑体" w:hAnsi="黑体" w:eastAsia="黑体" w:cs="黑体"/>
          <w:color w:val="000000"/>
          <w:sz w:val="44"/>
          <w:szCs w:val="44"/>
        </w:rPr>
      </w:pPr>
      <w:bookmarkStart w:id="18" w:name="_Toc15396614"/>
      <w:bookmarkStart w:id="19" w:name="_Toc50042289"/>
    </w:p>
    <w:p w14:paraId="1C81191E">
      <w:pPr>
        <w:spacing w:line="600" w:lineRule="exact"/>
        <w:jc w:val="center"/>
        <w:outlineLvl w:val="0"/>
        <w:rPr>
          <w:rFonts w:ascii="黑体" w:hAnsi="黑体" w:eastAsia="黑体" w:cs="黑体"/>
          <w:color w:val="000000"/>
          <w:sz w:val="44"/>
          <w:szCs w:val="44"/>
        </w:rPr>
      </w:pPr>
    </w:p>
    <w:p w14:paraId="5A95E574">
      <w:pPr>
        <w:spacing w:line="600" w:lineRule="exact"/>
        <w:jc w:val="center"/>
        <w:outlineLvl w:val="0"/>
        <w:rPr>
          <w:rStyle w:val="15"/>
          <w:rFonts w:ascii="黑体" w:hAnsi="黑体" w:eastAsia="黑体"/>
          <w:b w:val="0"/>
          <w:bCs w:val="0"/>
        </w:rPr>
      </w:pPr>
      <w:bookmarkStart w:id="20" w:name="_Toc54085586"/>
      <w:bookmarkStart w:id="21" w:name="_Toc54085944"/>
      <w:bookmarkStart w:id="22" w:name="_Toc54085694"/>
      <w:r>
        <w:rPr>
          <w:rFonts w:hint="eastAsia" w:ascii="黑体" w:hAnsi="黑体" w:eastAsia="黑体" w:cs="黑体"/>
          <w:color w:val="000000"/>
          <w:sz w:val="44"/>
          <w:szCs w:val="44"/>
        </w:rPr>
        <w:t>第</w:t>
      </w:r>
      <w:r>
        <w:rPr>
          <w:rStyle w:val="15"/>
          <w:rFonts w:hint="eastAsia" w:ascii="黑体" w:hAnsi="黑体" w:eastAsia="黑体" w:cs="黑体"/>
          <w:b w:val="0"/>
          <w:bCs w:val="0"/>
        </w:rPr>
        <w:t>二部分</w:t>
      </w:r>
      <w:r>
        <w:rPr>
          <w:rStyle w:val="15"/>
          <w:rFonts w:ascii="黑体" w:hAnsi="黑体" w:eastAsia="黑体" w:cs="黑体"/>
          <w:b w:val="0"/>
          <w:bCs w:val="0"/>
        </w:rPr>
        <w:t xml:space="preserve"> </w:t>
      </w:r>
      <w:r>
        <w:rPr>
          <w:rStyle w:val="15"/>
          <w:rFonts w:hint="eastAsia" w:ascii="黑体" w:hAnsi="黑体" w:eastAsia="黑体" w:cs="黑体"/>
          <w:b w:val="0"/>
          <w:bCs w:val="0"/>
        </w:rPr>
        <w:t>附件</w:t>
      </w:r>
      <w:bookmarkEnd w:id="18"/>
      <w:bookmarkEnd w:id="19"/>
      <w:bookmarkEnd w:id="20"/>
      <w:bookmarkEnd w:id="21"/>
      <w:bookmarkEnd w:id="22"/>
      <w:r>
        <w:rPr>
          <w:rStyle w:val="15"/>
          <w:rFonts w:hint="eastAsia" w:ascii="黑体" w:hAnsi="黑体" w:eastAsia="黑体" w:cs="黑体"/>
          <w:b w:val="0"/>
          <w:bCs w:val="0"/>
          <w:lang w:val="en-US" w:eastAsia="zh-CN"/>
        </w:rPr>
        <w:t>1</w:t>
      </w:r>
    </w:p>
    <w:p w14:paraId="5C865C1D">
      <w:pPr>
        <w:spacing w:line="600" w:lineRule="exact"/>
        <w:rPr>
          <w:rFonts w:ascii="方正小标宋简体" w:hAnsi="宋体" w:eastAsia="方正小标宋简体" w:cs="方正小标宋简体"/>
          <w:color w:val="000000"/>
          <w:kern w:val="0"/>
          <w:sz w:val="40"/>
          <w:szCs w:val="40"/>
        </w:rPr>
      </w:pPr>
    </w:p>
    <w:p w14:paraId="2379F0F5"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40"/>
          <w:szCs w:val="44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40"/>
          <w:szCs w:val="44"/>
        </w:rPr>
        <w:t>温泉乡人民政府2019年部门</w:t>
      </w:r>
      <w:r>
        <w:rPr>
          <w:rFonts w:hint="eastAsia" w:ascii="仿宋_GB2312" w:hAnsi="仿宋_GB2312" w:eastAsia="仿宋_GB2312" w:cs="仿宋_GB2312"/>
          <w:color w:val="000000"/>
          <w:kern w:val="0"/>
          <w:sz w:val="40"/>
          <w:szCs w:val="44"/>
          <w:lang w:val="zh-CN"/>
        </w:rPr>
        <w:t>整体绩效评价报告</w:t>
      </w:r>
    </w:p>
    <w:p w14:paraId="731C3529">
      <w:pPr>
        <w:widowControl/>
        <w:adjustRightInd w:val="0"/>
        <w:snapToGrid w:val="0"/>
        <w:spacing w:line="580" w:lineRule="exact"/>
        <w:ind w:firstLine="480" w:firstLineChars="200"/>
        <w:contextualSpacing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32"/>
          <w:shd w:val="clear" w:color="auto" w:fill="FFFFFF"/>
        </w:rPr>
      </w:pPr>
    </w:p>
    <w:p w14:paraId="036DEE9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一、部门概况</w:t>
      </w:r>
    </w:p>
    <w:p w14:paraId="1E688671">
      <w:pPr>
        <w:widowControl/>
        <w:numPr>
          <w:ilvl w:val="0"/>
          <w:numId w:val="3"/>
        </w:num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机构组成</w:t>
      </w:r>
    </w:p>
    <w:p w14:paraId="124222C4">
      <w:pPr>
        <w:widowControl/>
        <w:adjustRightInd w:val="0"/>
        <w:snapToGrid w:val="0"/>
        <w:spacing w:line="560" w:lineRule="exact"/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温泉乡政府现有部门7个，农业服务中心、党政办、会计核算中心、宣文中心、社会事务办、综治办、武装部。</w:t>
      </w:r>
    </w:p>
    <w:p w14:paraId="2BC6F73B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机构职能</w:t>
      </w:r>
    </w:p>
    <w:p w14:paraId="60F6BF39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1.贯彻执行党的路线、方针、政策和上级党组织及党员代表大会的决议、决定。</w:t>
      </w:r>
    </w:p>
    <w:p w14:paraId="66889906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2.研究决定全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经济建设和社会发展中带有全局性的重大问题。</w:t>
      </w:r>
    </w:p>
    <w:p w14:paraId="77C8D97F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3.负责抓好所属党组织的思想建设、组织建设、作风建设。负责全面从严治党、党风廉政建设和反腐败工作。</w:t>
      </w:r>
    </w:p>
    <w:p w14:paraId="69817950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4.按照干部管理权限，负责对干部的教育、培养、选拔任免和监督工作，向上级党组织推荐干部。</w:t>
      </w:r>
    </w:p>
    <w:p w14:paraId="2D4D7246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5.领导工会、共青团、妇联、科协等群团组织，协调党政之间的关系。</w:t>
      </w:r>
    </w:p>
    <w:p w14:paraId="2CFC3BD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6.负责本行政区域的政治思想、宣传、统战、政法、保密、武装、精神文明建设和民主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法治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建设等工作。</w:t>
      </w:r>
    </w:p>
    <w:p w14:paraId="08764EBA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7.制定并执行本行政区域内经济和社会发展规划、计划。</w:t>
      </w:r>
    </w:p>
    <w:p w14:paraId="5516EB1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8.负责乡村振兴、新农村建设和推进城乡一体化的组织和实施。</w:t>
      </w:r>
    </w:p>
    <w:p w14:paraId="02265F72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9.负责辖区经济、文化、教育、科学、卫生健康、民政、社会保障、民族宗教、村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建设、司法、退役军人、扶贫、信访、安全、统计等行政管理和服务工作。</w:t>
      </w:r>
    </w:p>
    <w:p w14:paraId="3A5254D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10.负责农业产业结构调整和“三农”服务工作。</w:t>
      </w:r>
    </w:p>
    <w:p w14:paraId="2C1536F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11.建立健全社会治理防控体系，开展爱国卫生、环境卫生监督检查，承担环境、资源保护等工作，促进人与自然和谐发展。</w:t>
      </w:r>
    </w:p>
    <w:p w14:paraId="10C20975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12.负责应急管理、安全生产、抢险救灾等工作，保护人民群众生命财产安全。</w:t>
      </w:r>
    </w:p>
    <w:p w14:paraId="2AD743F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13.完成上级党委、政府交办的其他工作。</w:t>
      </w:r>
    </w:p>
    <w:p w14:paraId="1D9F48AA">
      <w:pPr>
        <w:widowControl/>
        <w:numPr>
          <w:ilvl w:val="0"/>
          <w:numId w:val="4"/>
        </w:num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人员概况</w:t>
      </w:r>
    </w:p>
    <w:p w14:paraId="3F5391EA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政府机关编制数30人，其中：行政编制14人，工勤人员2人，事业编制14人，年末在职实有人数28人。</w:t>
      </w:r>
    </w:p>
    <w:p w14:paraId="6BF5C017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二、部门资金基本情况</w:t>
      </w:r>
    </w:p>
    <w:p w14:paraId="40903F67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（一）年初部门预算安排及支出情况</w:t>
      </w:r>
    </w:p>
    <w:p w14:paraId="425CEF96">
      <w:pPr>
        <w:spacing w:line="353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2019年部门预算收入安排资金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659.51万元，其中：当年财政拨款收入599.11万元，上年结转收入60.4万元。相应安排支出预算659.51万元，其中：工资福利支出336.36万元，日常公用支出70.28万元，对个人和家庭的补助支出3.03万元，项目支出249.85万元。</w:t>
      </w:r>
    </w:p>
    <w:p w14:paraId="19E39726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shd w:val="clear" w:color="auto" w:fill="FFFFFF"/>
        </w:rPr>
      </w:pPr>
    </w:p>
    <w:p w14:paraId="1CA8BE10">
      <w:pPr>
        <w:pStyle w:val="5"/>
        <w:numPr>
          <w:ilvl w:val="0"/>
          <w:numId w:val="5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基本支出安排及使用情况</w:t>
      </w:r>
    </w:p>
    <w:p w14:paraId="293C7509">
      <w:pPr>
        <w:pStyle w:val="5"/>
        <w:numPr>
          <w:ilvl w:val="0"/>
          <w:numId w:val="5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409.66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万元，主要用于基本工资、津贴补贴、办公费、差旅费、水电邮电费、车辆运行维护费等日常公用经费。其中：一般公共服务支出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223.54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万元，文化旅游体育与传媒支出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万元，社会保障和就业支出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60.87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万元，农林水支出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万元，住房保障支出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41.98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4FB52982">
      <w:pPr>
        <w:pStyle w:val="5"/>
        <w:numPr>
          <w:ilvl w:val="0"/>
          <w:numId w:val="6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部门预算项目安排及支出情况</w:t>
      </w:r>
    </w:p>
    <w:p w14:paraId="53656344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项目支出823.56万元，主要用于一般公共服务支出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37.16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万元，社会保障和就业支出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32.74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万元，公共安全支出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万元，农林水支出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176.45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万元，灾害防治及应急管理支出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6DBAC263">
      <w:pPr>
        <w:pStyle w:val="5"/>
        <w:numPr>
          <w:ilvl w:val="0"/>
          <w:numId w:val="7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专项资金安排及支出情况</w:t>
      </w:r>
    </w:p>
    <w:p w14:paraId="6EEF1C71">
      <w:pPr>
        <w:pStyle w:val="11"/>
        <w:numPr>
          <w:ilvl w:val="0"/>
          <w:numId w:val="8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人大代表会议费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</w:p>
    <w:p w14:paraId="5ADCDD53">
      <w:pPr>
        <w:pStyle w:val="11"/>
        <w:numPr>
          <w:ilvl w:val="0"/>
          <w:numId w:val="0"/>
        </w:numPr>
        <w:shd w:val="clear" w:color="auto" w:fill="FFFFFF"/>
        <w:spacing w:before="0" w:beforeAutospacing="0" w:after="0" w:afterAutospacing="0" w:line="353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</w:t>
      </w:r>
      <w:r>
        <w:rPr>
          <w:rFonts w:hint="eastAsia" w:ascii="仿宋_GB2312" w:hAnsi="仿宋_GB2312" w:eastAsia="仿宋_GB2312" w:cs="仿宋_GB2312"/>
          <w:sz w:val="32"/>
          <w:szCs w:val="32"/>
        </w:rPr>
        <w:t>（财政返还）根据盐边财预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〔2018〕16号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下达毛之惹同志一次性抚恤金、丧葬费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14.1万元</w:t>
      </w:r>
    </w:p>
    <w:p w14:paraId="7B0ADDCE">
      <w:pPr>
        <w:pStyle w:val="11"/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3.2019年乡安排统计四经普工作经费0.5万元</w:t>
      </w:r>
    </w:p>
    <w:p w14:paraId="0AC202BB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乡村治理补助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 w14:paraId="3C556190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政府信访维稳经费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</w:p>
    <w:p w14:paraId="731ACA68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大平台软件维护费0.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 w14:paraId="5BCBC025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A++软件维护费1.3万元</w:t>
      </w:r>
    </w:p>
    <w:p w14:paraId="684A63E8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（财政返还）根据川财预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〔2017〕111号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下达2018年度三州开发专项资金（用于温泉乡热水塘村社道硬化项目）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15.41万元，</w:t>
      </w:r>
    </w:p>
    <w:p w14:paraId="4072B3EB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团委、妇联、关工委工作经费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 w14:paraId="33BCD688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党员干部现代远程教育经费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</w:p>
    <w:p w14:paraId="1A7027B4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2019年农村党员培训费0.6万元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3A706AE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武装工作经费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C61242D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2019年五保户供养经费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32.74万元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8D44D6B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卫生计生工作经费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3F00C44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（财政返还）下达全乡基础设施建设及水毁工程款30.77万元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8FDEA0A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2019村办公经费20万元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45B859A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2019年村社干部补贴保险及2018年村干部绩效103.08万元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CC7CF3A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根据盐财资预〔2019〕2号下达2019省级年村公共运行维护费21万元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420A030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根据盐财资建〔2019〕17号下达2019年乡安全生产监管专项资金5万元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825AC37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根据盐财资行〔2019〕73号下达乡“人大代表之家”建设经费0.93万元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020504C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根据川财社〔2018〕123号下达高校毕业生“三支一扶””安家费补贴0.2万元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5D39C33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根据盐财资预〔2019〕24号下达温泉乡面源整治、垃圾清运、漂浮物打捞专项经费5万元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A623BC3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根据盐财资行〔2019〕180号下达2019火把节系列活动补助经费2.5万元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AAD2254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根据盐财资预〔2019〕49号追加全县16个乡（乡）164个村务监督委员会主任基本报酬和离职社区干部补贴1.34万元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243D4C9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根据盐财金资〔2019〕17号下达温泉乡2018年度世行贷款考核奖励补助资金1.1万元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4D35670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根据盐财资投〔2019〕60号下达盐边县第三次全国国土调查工作经费支出预算2万元；</w:t>
      </w:r>
    </w:p>
    <w:p w14:paraId="2C861E38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根据盐财资预〔2019〕58号下达2019年市级基层组织活动和公共服务运行补助资金7万元；</w:t>
      </w:r>
    </w:p>
    <w:p w14:paraId="749746BE">
      <w:pPr>
        <w:pStyle w:val="11"/>
        <w:numPr>
          <w:ilvl w:val="0"/>
          <w:numId w:val="9"/>
        </w:numPr>
        <w:shd w:val="clear" w:color="auto" w:fill="FFFFFF"/>
        <w:spacing w:before="0" w:beforeAutospacing="0" w:after="0" w:afterAutospacing="0" w:line="353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根据盐财资预〔2019〕68号下达温泉乡2019年基础设施水毁恢复资金19.8万元；</w:t>
      </w:r>
    </w:p>
    <w:p w14:paraId="5D68015E">
      <w:pPr>
        <w:pStyle w:val="11"/>
        <w:numPr>
          <w:ilvl w:val="0"/>
          <w:numId w:val="0"/>
        </w:numPr>
        <w:shd w:val="clear" w:color="auto" w:fill="FFFFFF"/>
        <w:spacing w:before="0" w:beforeAutospacing="0" w:after="0" w:afterAutospacing="0" w:line="353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256350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2019年底全部支出完毕。</w:t>
      </w:r>
    </w:p>
    <w:p w14:paraId="00BC0E84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三、绩效目标完成情况分析</w:t>
      </w:r>
    </w:p>
    <w:p w14:paraId="018BA505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 xml:space="preserve"> 我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按照财政预算编制规定和要求，结合单位年度工作计划采取人员经费按照县委组织部审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核通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过的工资进行编制，公用经费按定额编制的方法按时完成人员经费、日常公用经费编制工作，切实做到数据完整和准确无误。对项目资金的预算，提出具体的项目、目标和实施计划，精准编制项目支出绩效申报表，提供准确的项目支撑依据，切实做到项目资金编制的合理化、人性化，并在规定的时限内完整、准确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报送到县级财政部门。预算资金保障了人员经费支出和单位正常运转需要，保证了单位全年工作任务的完成。</w:t>
      </w:r>
    </w:p>
    <w:p w14:paraId="15A196AE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在资金的支出执行上严格按照预算执行，坚持“反对浪费、节约开支”的原则，专款专用，不拖欠、不挪用。在收到财政对口股室下达的各类指标后，按照资金的用途，在把好审核关的基础上，按时按量按照资金预算进度及时拨付各项款项。人员经费、日常公用是按要求和规定给予支付，保障机关正常运转，完成日常工作任务，有效推动全县经济、社会发展。特别是在“三公”经费方面加强管理，不该报销的一律不给报销，严格把支出控制在年初的预算指标内，严格按照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中央八项规定</w:t>
      </w:r>
    </w:p>
    <w:p w14:paraId="75B1A5F0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bookmarkStart w:id="23" w:name="_GoBack"/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、</w:t>
      </w:r>
      <w:bookmarkEnd w:id="23"/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省、市“十项规定”和财务相关规定执行财政资金的管理和使用。项目资金分配严格按照实际工作需要，依据项目进度和开展情况、合理安全、资金严格按照规范程序申请、管理和使用。通过项目实施充分保障了工作需求，切实发挥工作职能，维护全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经济、社会发展。</w:t>
      </w:r>
    </w:p>
    <w:p w14:paraId="3CDB4759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（一）县级财政资金绩效目标完成情况</w:t>
      </w:r>
    </w:p>
    <w:p w14:paraId="77B753DE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1.年初部门预算绩效目标完成情况</w:t>
      </w:r>
    </w:p>
    <w:p w14:paraId="41991408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（1）产出指标完成情况分析。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严格遵守各项财经纪律，加强单位财务管理，制定了相关规章制度，加强和细化了预算编制，严格按照预算执行，确保财务收支平衡。按照全年进度保证机关正常工作需要的人员经费和公用经费，保障机关正常运转，完成日常工作任务，有效推动工作的顺利开展。</w:t>
      </w:r>
    </w:p>
    <w:p w14:paraId="2FE93B7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（2）效益指标完成情况分析。我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主要安排用于一般公共服务支出、社会保障和就业支出、卫生健康支出、节能环保支出、城乡社区支出、农林水支出、自然资源海洋气象等支出、灾害防治及应急管理支出等。</w:t>
      </w:r>
    </w:p>
    <w:p w14:paraId="59383327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（3）满意度指标完成情况分析。通过财政绩效目标管理，基本达到满意。</w:t>
      </w:r>
    </w:p>
    <w:p w14:paraId="7B6EC5E1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2.专项（项目）资金绩效目标完成情况</w:t>
      </w:r>
    </w:p>
    <w:p w14:paraId="4FB903D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（1）产出指标完成情况分析。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对项目资金的预算，提出具体的项目、目标和实施计划，精准编制项目支出绩效申报表，提供准确的项目支撑依据，切实做到项目资金编制的合理化、人性化，并在规定的时限内完整、准确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报送到县级财政部门。</w:t>
      </w:r>
    </w:p>
    <w:p w14:paraId="0BC8AAB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在项目资金的支出执行上严格按照预算执行，坚持“反对浪费、节约开支”的原则，专款专用，不拖欠、不挪用。在收到财政对口股室下达的各类指标后，按照资金的用途，在把好审核关的基础上，按时按量按照资金预算进度及时拨付各项款项。项目资金分配严格按照实际工作需要，依据项目进度和开展情况、合理安全、资金严格按照规范程序申请、管理和使用。</w:t>
      </w:r>
    </w:p>
    <w:p w14:paraId="168965DE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（2）效益指标完成情况分析。我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项目资金主要安排用于一般公共服务支出、社会保障和就业支出、卫生健康支出、节能环保支出、城乡社区支出、农林水支出、自然资源海洋气象等支出、灾害防治及应急管理支出等。</w:t>
      </w:r>
    </w:p>
    <w:p w14:paraId="75888295">
      <w:pPr>
        <w:pStyle w:val="5"/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（3）满意度指标完成情况分析。通过财政绩效目标管理，基本达到满意。</w:t>
      </w:r>
    </w:p>
    <w:p w14:paraId="7F33AEC5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（二）上级专项（项目）资金绩效目标完成情况</w:t>
      </w:r>
    </w:p>
    <w:p w14:paraId="476D18BF">
      <w:pPr>
        <w:pStyle w:val="11"/>
        <w:numPr>
          <w:ilvl w:val="0"/>
          <w:numId w:val="0"/>
        </w:numPr>
        <w:shd w:val="clear" w:color="auto" w:fill="FFFFFF"/>
        <w:spacing w:before="0" w:beforeAutospacing="0" w:after="0" w:afterAutospacing="0" w:line="353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（1）产出指标完成情况分析。</w:t>
      </w:r>
    </w:p>
    <w:p w14:paraId="4ACD6F74">
      <w:pPr>
        <w:pStyle w:val="11"/>
        <w:numPr>
          <w:ilvl w:val="0"/>
          <w:numId w:val="0"/>
        </w:numPr>
        <w:shd w:val="clear" w:color="auto" w:fill="FFFFFF"/>
        <w:spacing w:before="0" w:beforeAutospacing="0" w:after="0" w:afterAutospacing="0" w:line="353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人大代表会议费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万元，（财政返还）根据盐边财预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〔2018〕16号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下达毛之惹同志一次性抚恤金、丧葬费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14.1万元；2019年乡安排统计四经普工作经费0.5万元；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乡村治理补助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政府信访维稳经费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万元，大平台软件维护费0.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A++软件维护费1.3万元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（财政返还）根据川财预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〔2017〕111号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下达2018年度三州开发专项资金（用于温泉乡热水塘村社道硬化项目）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15.41万元，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团委、妇联、关工委工作经费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党员干部现代远程教育经费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2019年农村党员培训费0.6万元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武装工作经费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2019年五保户供养经费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32.74万元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卫生计生工作经费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（财政返还）下达全乡基础设施建设及水毁工程款30.77万元；2019村办公经费20万元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2019年村社干部补贴保险及2018年村干部绩效103.08万元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根据盐财资预〔2019〕2号下达2019省级年村公共运行维护费21万元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根据盐财资建〔2019〕17号下达2019年乡安全生产监管专项资金5万元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根据盐财资行〔2019〕73号下达乡“人大代表之家”建设经费0.93万元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根据川财社〔2018〕123号下达高校毕业生“三支一扶””安家费补贴0.2万元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根据盐财资预〔2019〕24号下达温泉乡面源整治、垃圾清运、漂浮物打捞专项经费5万元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根据盐财资行〔2019〕180号下达2019火把节系列活动补助经费2.5万元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根据盐财资预〔2019〕49号追加全县16个乡（乡）164个村务监督委员会主任基本报酬和离职社区干部补贴1.34万元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根据盐财金资〔2019〕17号下达温泉乡2018年度世行贷款考核奖励补助资金1.1万元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盐财资投〔2019〕60号下达盐边县第三次全国国土调查工作经费支出预算2万元；根据盐财资预〔2019〕58号下达2019年市级基层组织活动和公共服务运行补助资金7万元；根据盐财资预〔2019〕68号下达温泉乡2019年基础设施水毁恢复资金19.8万元。</w:t>
      </w:r>
    </w:p>
    <w:p w14:paraId="3F773999">
      <w:pPr>
        <w:pStyle w:val="5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（2）效益指标完成情况分析。我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项目资金主要安排用于一般公共服务支出、社会保障和就业支出、卫生健康支出、节能环保支出、城乡社区支出、农林水支出、自然资源海洋气象等支出、灾害防治及应急管理支出等。</w:t>
      </w:r>
    </w:p>
    <w:p w14:paraId="523096AF">
      <w:pPr>
        <w:pStyle w:val="5"/>
        <w:widowControl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（3）满意度指标完成情况分析。通过财政绩效目标管理，基本达到满意。</w:t>
      </w:r>
    </w:p>
    <w:p w14:paraId="3BF31671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（三）其他需要说明的情况。</w:t>
      </w:r>
    </w:p>
    <w:p w14:paraId="533F079C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 w14:paraId="02E26F5E">
      <w:pPr>
        <w:pStyle w:val="5"/>
        <w:numPr>
          <w:ilvl w:val="0"/>
          <w:numId w:val="1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自评结论</w:t>
      </w:r>
    </w:p>
    <w:p w14:paraId="188213EC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严格按照《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中华人民共和国预算法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》按时完成预决算编制。在资金预算编制方面，预算执行、综合管理、整体绩效方面，均按照国家政策规范规定，结合本单位实际情况及相关规定严格执行，并合理安排项目资金，使财政资金发挥最大的效益，确保我局各项工作高效规范有序推进，圆满完成年初下达的各项工作任务，有效推动工作开展，扎实为全县社会稳定、秩序良好更好地服务好。</w:t>
      </w:r>
    </w:p>
    <w:p w14:paraId="300E0AF1">
      <w:pPr>
        <w:pStyle w:val="5"/>
        <w:numPr>
          <w:ilvl w:val="0"/>
          <w:numId w:val="1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偏离绩效目标的原因和下一步改进措施</w:t>
      </w:r>
    </w:p>
    <w:p w14:paraId="726DD16E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 xml:space="preserve">   （一）预算编制和预算管理还需进一步细化和加强，严禁超预算和无预算安排支出，严格开支范围和标准，严格审核各项经费的支出，提高资金使用效率。</w:t>
      </w:r>
    </w:p>
    <w:p w14:paraId="3E7ADA5B">
      <w:pPr>
        <w:pStyle w:val="5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 xml:space="preserve">   （二）严格控制“三公”经费，认真贯彻落实中央八项规定和省、市十项规定，严格“三公”经费支出的审核和审批，合理压缩“三公”经费支出。合理、节俭、高效地利用资金，保证机关各项工作顺利有序开展。</w:t>
      </w:r>
    </w:p>
    <w:p w14:paraId="622B0DDB">
      <w:pPr>
        <w:numPr>
          <w:ilvl w:val="0"/>
          <w:numId w:val="12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绩效自评结果拟应用和公开公示情况</w:t>
      </w:r>
    </w:p>
    <w:p w14:paraId="6E3F07CA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（一）绩效自评结果拟应用</w:t>
      </w:r>
    </w:p>
    <w:p w14:paraId="06C91DC8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1.深化绩效评价工作，不断提高部门预算整体绩效目标管理水平。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按照《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中华人民共和国预算法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》按时完成预决算编制。在执行过程中有计划进行资金申报、使用，完善资金管理及内部控制制度，确保资金安全，做到账款、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账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、账实相符。 </w:t>
      </w:r>
    </w:p>
    <w:p w14:paraId="47A7A22F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2.通过绩效自评建立机关厉行节约制度、节能降耗。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认真执行中央八项规定，秉承开源节流的宗旨，严格管控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“三公”经费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出，厉行节约。扎实抓好机关节能降耗，一是严格用电管理。倡导在自然光照较好的条件下不使用照明灯具，使用照明工具时保证人走灯灭，杜绝“长明灯”等能耗空放现象；尽可能地减少电脑、打印机、复印机等办公设备的待机时间，不用时关闭电源或置于节能状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二是严格用水管理。人走时及时关闭关紧水龙头，杜绝“长流水”和“跑、冒、滴、漏”现象。三是推行无纸化办公。尽量利用网络传输文件，在电脑上修改文稿；打印材料时，提倡双面用纸；公文传阅尽量通过协同办公平台进行。四是加强车辆燃油管理。建立机关车辆燃油使用、行驶里程管理台账，定期公示燃油使用情况。同时，倡导全体干部职工绿色出行。</w:t>
      </w:r>
    </w:p>
    <w:p w14:paraId="309E65B0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3.强化单位财务管理工作，提高资金使用效率。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按照年初预算项目，在资金的管理和使用上，严守法律底线、纪律底线，严格追授财务管理、财经纪律，会计核算真实完整，项目资金支出和原定用途、预算批复用途相符，提高财政资金使用效率。严格执行机关财务管理制度，及时进行会计核算，对项目资金、政府采购进行公开公示，接受群众监督。</w:t>
      </w:r>
    </w:p>
    <w:p w14:paraId="54701F6F">
      <w:pPr>
        <w:numPr>
          <w:ilvl w:val="0"/>
          <w:numId w:val="13"/>
        </w:num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公开公示情况</w:t>
      </w:r>
    </w:p>
    <w:p w14:paraId="587AB411">
      <w:pPr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按照时间节点将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《盐边县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温泉乡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人民政府2019年部门预算整体绩效自评表》和《盐边县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温泉乡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人民政府2019年度部门预算情况公开编制说明》在“盐边县公众信息网”财政信息板块下的“财政绩效评价信息专栏”进行公开公示。</w:t>
      </w:r>
    </w:p>
    <w:p w14:paraId="1A1A1E5D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6A6F7DCB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24B6DDD2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7187F978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4FD4F731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63C7D577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0DC49378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7DF234DF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574ABC16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691DEFC4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791F9406">
      <w:pPr>
        <w:spacing w:line="600" w:lineRule="exact"/>
        <w:jc w:val="center"/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  <w:lang w:val="zh-CN"/>
        </w:rPr>
      </w:pPr>
    </w:p>
    <w:p w14:paraId="6E21F326">
      <w:pPr>
        <w:spacing w:line="600" w:lineRule="exact"/>
        <w:jc w:val="left"/>
        <w:outlineLvl w:val="0"/>
        <w:rPr>
          <w:rStyle w:val="15"/>
          <w:rFonts w:ascii="黑体" w:hAnsi="黑体" w:eastAsia="黑体"/>
          <w:b w:val="0"/>
          <w:bCs w:val="0"/>
        </w:rPr>
      </w:pPr>
      <w:r>
        <w:rPr>
          <w:rStyle w:val="15"/>
          <w:rFonts w:hint="eastAsia" w:ascii="黑体" w:hAnsi="黑体" w:eastAsia="黑体" w:cs="黑体"/>
          <w:b w:val="0"/>
          <w:bCs w:val="0"/>
        </w:rPr>
        <w:t>附件</w:t>
      </w:r>
      <w:r>
        <w:rPr>
          <w:rStyle w:val="15"/>
          <w:rFonts w:hint="eastAsia" w:ascii="黑体" w:hAnsi="黑体" w:eastAsia="黑体" w:cs="黑体"/>
          <w:b w:val="0"/>
          <w:bCs w:val="0"/>
          <w:lang w:val="en-US" w:eastAsia="zh-CN"/>
        </w:rPr>
        <w:t>2</w:t>
      </w:r>
    </w:p>
    <w:p w14:paraId="72F5ED0D"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zh-CN"/>
        </w:rPr>
      </w:pPr>
    </w:p>
    <w:p w14:paraId="20FB33A0"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zh-CN"/>
        </w:rPr>
        <w:t>温泉乡村社水毁恢复工程项目</w:t>
      </w:r>
    </w:p>
    <w:p w14:paraId="6B897956"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zh-CN"/>
        </w:rPr>
        <w:t>2019年绩效评价报告</w:t>
      </w:r>
    </w:p>
    <w:p w14:paraId="5BD5CCE2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</w:p>
    <w:p w14:paraId="6D3E3B6B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项目概况</w:t>
      </w:r>
    </w:p>
    <w:p w14:paraId="4D48116B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（一）项目基本情况。</w:t>
      </w:r>
    </w:p>
    <w:p w14:paraId="2E1A34C8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7月10日、19日我乡雨量较大，造成基础设施不同程度的损毁，尤其是道路损毁较为严重，为解决我乡老百姓出行难和农用物资，烤烟运输难的问题，经乡党委、政府研究，在平等自愿的原则下，明确施工队伍，实施温泉乡村社道路水毁恢复工程项目。</w:t>
      </w:r>
    </w:p>
    <w:p w14:paraId="3F31DD19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（二）项目绩效目标。</w:t>
      </w:r>
    </w:p>
    <w:p w14:paraId="7EBC6B40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1.项目主要内容。为了完成温泉乡村社道路疏通，保障老百姓出行安全保障，对道路损毁严重村社实施水毁恢复工程，确保项目按质按量完成。</w:t>
      </w:r>
    </w:p>
    <w:p w14:paraId="371B6958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2.项目应实现的具体绩效目标，包括目标的量化、细化情况以及项目实施进度计划等。温泉乡水毁恢复工程在热水塘村、道角村、野麻地村维修村社道路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70余公里，其中清除公路土石塌方1600立方米，涵洞清淤2道，边沟清淤2500米。</w:t>
      </w:r>
    </w:p>
    <w:p w14:paraId="7506C723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3.项目自评步骤及办法</w:t>
      </w:r>
    </w:p>
    <w:p w14:paraId="62EE2890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我乡组织相关对口的站办所对项目实施情况进行了自评，项目整体支出评分为97分，总体评价较好，将按照各项政策要求，不断提高项目绩效效率。</w:t>
      </w:r>
    </w:p>
    <w:p w14:paraId="341F4C8F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二、项目资金申报及使用情况</w:t>
      </w:r>
    </w:p>
    <w:p w14:paraId="33DC0045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（一）项目资金申报及批复情况。</w:t>
      </w:r>
    </w:p>
    <w:p w14:paraId="484160C5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按照要求进行资金申报，完成情况较好。</w:t>
      </w:r>
    </w:p>
    <w:p w14:paraId="1F66937D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（二）资金计划、到位及使用情况（可用表格形式反映）。</w:t>
      </w:r>
    </w:p>
    <w:p w14:paraId="2D8F7BE3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1.资金计划。年初预算全乡基础设施及水毁恢复资金为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30.77万元，以上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村社水毁恢复工程项目，财返资金用于全乡基础设施建设及水毁恢复资金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2.3万元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7F169404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2.资金到位。年初预算下达资金已全部到位。</w:t>
      </w:r>
    </w:p>
    <w:p w14:paraId="6D113DEA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3.资金使用。严格按照相关规定实施，资金支付范围、支付标准、支付进度、支付依据合规合法、与预算相符。</w:t>
      </w:r>
    </w:p>
    <w:p w14:paraId="6DBB27B0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（三）项目财务管理情况。</w:t>
      </w:r>
    </w:p>
    <w:p w14:paraId="161542BD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我乡制定了温泉乡财务管理制度、温泉乡资金监管制度、温泉乡预算管理制度等相关制度，严格执行财务管理制度，及时账务处理，规范会计核算。</w:t>
      </w:r>
    </w:p>
    <w:p w14:paraId="6FBA7EEC">
      <w:pPr>
        <w:numPr>
          <w:ilvl w:val="0"/>
          <w:numId w:val="14"/>
        </w:num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项目实施及管理情况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p w14:paraId="15FE7062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我乡严格执行项目组织实施管理，项目实施监管总体较好。</w:t>
      </w:r>
    </w:p>
    <w:p w14:paraId="67D3E854">
      <w:pPr>
        <w:numPr>
          <w:ilvl w:val="0"/>
          <w:numId w:val="15"/>
        </w:num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项目组织架构及实施流程。</w:t>
      </w:r>
    </w:p>
    <w:p w14:paraId="5D4046E9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我乡严格按照项目组织架构组织实施项目，严格按照实施流程实施项目。</w:t>
      </w:r>
    </w:p>
    <w:p w14:paraId="09DE8C4E">
      <w:pPr>
        <w:numPr>
          <w:ilvl w:val="0"/>
          <w:numId w:val="15"/>
        </w:numPr>
        <w:adjustRightInd w:val="0"/>
        <w:snapToGrid w:val="0"/>
        <w:spacing w:line="600" w:lineRule="exact"/>
        <w:ind w:firstLine="720" w:firstLineChars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项目管理情况。</w:t>
      </w:r>
    </w:p>
    <w:p w14:paraId="74518D1F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相关法律法规及项目管理制度执行，严格按照招投标、政府采购、项目公示相关规定实施。</w:t>
      </w:r>
    </w:p>
    <w:p w14:paraId="781048E0">
      <w:pPr>
        <w:numPr>
          <w:ilvl w:val="0"/>
          <w:numId w:val="15"/>
        </w:numPr>
        <w:adjustRightInd w:val="0"/>
        <w:snapToGrid w:val="0"/>
        <w:spacing w:line="600" w:lineRule="exact"/>
        <w:ind w:firstLine="720" w:firstLineChars="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项目监管情况。</w:t>
      </w:r>
    </w:p>
    <w:p w14:paraId="31ED51EB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乡上成立项目监管部门负责项目实施过程监督，严格执行监管程序。</w:t>
      </w:r>
    </w:p>
    <w:p w14:paraId="15900155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四、项目绩效情况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ab/>
      </w:r>
    </w:p>
    <w:p w14:paraId="70F83858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（一）项目完成情况。</w:t>
      </w:r>
    </w:p>
    <w:p w14:paraId="6E128485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温泉乡水毁恢复工程在热水塘村、道角村、野麻地村维修村社道路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70余公里，其中清除公路土石塌方1600立方米，涵洞清淤2道，边沟清淤2500米。完成成本为2.3万元。</w:t>
      </w:r>
    </w:p>
    <w:p w14:paraId="288BA27B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（二）项目效益情况。</w:t>
      </w:r>
    </w:p>
    <w:p w14:paraId="341DDA7D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受益群众户数≥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850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户，满意度达</w:t>
      </w:r>
      <w:r>
        <w:rPr>
          <w:rFonts w:hint="eastAsia" w:ascii="仿宋_GB2312" w:hAnsi="仿宋_GB2312" w:eastAsia="仿宋_GB2312" w:cs="仿宋_GB2312"/>
          <w:sz w:val="32"/>
          <w:szCs w:val="32"/>
        </w:rPr>
        <w:t>99%以上。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为群众生活生产，出行等带来了极大的便利，促进我乡经济发展提高农户收入起到了一定的作用。</w:t>
      </w:r>
    </w:p>
    <w:p w14:paraId="2F071A66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五、评价结论及建议</w:t>
      </w:r>
    </w:p>
    <w:p w14:paraId="29E14F1F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（一）评价结论。</w:t>
      </w:r>
    </w:p>
    <w:p w14:paraId="4A204BD0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bdr w:val="single" w:color="auto" w:sz="4" w:space="0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总体较好。项目能够及时开展，进行报账程序。</w:t>
      </w:r>
    </w:p>
    <w:p w14:paraId="3CBB4082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（二）存在的问题。</w:t>
      </w:r>
    </w:p>
    <w:p w14:paraId="13DCB45E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项目报账资料不够完善。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ab/>
      </w:r>
    </w:p>
    <w:p w14:paraId="5AEAA85A">
      <w:pPr>
        <w:adjustRightInd w:val="0"/>
        <w:snapToGrid w:val="0"/>
        <w:spacing w:line="600" w:lineRule="exact"/>
        <w:ind w:firstLine="72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（三）相关建议。</w:t>
      </w:r>
    </w:p>
    <w:p w14:paraId="3D11F4A6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较好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了2019年度部门项目支出绩效目标，各项支出都严格按预算要求执行，专项资金也做到专款专用，按时按要求拨付各项费用，同时，按部门预算科学合理使用财政资金，充分发挥资金利用效率，但在预算绩效目标中仍有一些问题。下一步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制定具体措施，确定专人负责，有效开展绩效管理工作，发现问题及时更正，保证资金安全及项目的正常运行。二是强化项目资金使用，对专项资金预算绩效目标进行及时跟踪，对预算执行精细化，加快资金拨付进度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361D8">
    <w:pPr>
      <w:pStyle w:val="7"/>
      <w:tabs>
        <w:tab w:val="left" w:pos="1596"/>
        <w:tab w:val="clear" w:pos="4153"/>
      </w:tabs>
    </w:pPr>
    <w:r>
      <w:pict>
        <v:shape id="文本框1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B53BA46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- 2 -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1BDE2"/>
    <w:multiLevelType w:val="singleLevel"/>
    <w:tmpl w:val="5D71BDE2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5ED13238"/>
    <w:multiLevelType w:val="multilevel"/>
    <w:tmpl w:val="5ED13238"/>
    <w:lvl w:ilvl="0" w:tentative="0">
      <w:start w:val="1"/>
      <w:numFmt w:val="japaneseCounting"/>
      <w:lvlText w:val="%1、"/>
      <w:lvlJc w:val="left"/>
      <w:pPr>
        <w:tabs>
          <w:tab w:val="left" w:pos="1363"/>
        </w:tabs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3"/>
        </w:tabs>
        <w:ind w:left="1483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3"/>
        </w:tabs>
        <w:ind w:left="1903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3"/>
        </w:tabs>
        <w:ind w:left="232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3"/>
        </w:tabs>
        <w:ind w:left="274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3"/>
        </w:tabs>
        <w:ind w:left="3163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3"/>
        </w:tabs>
        <w:ind w:left="358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3"/>
        </w:tabs>
        <w:ind w:left="400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3"/>
        </w:tabs>
        <w:ind w:left="4423" w:hanging="420"/>
      </w:pPr>
    </w:lvl>
  </w:abstractNum>
  <w:abstractNum w:abstractNumId="2">
    <w:nsid w:val="5F783726"/>
    <w:multiLevelType w:val="singleLevel"/>
    <w:tmpl w:val="5F783726"/>
    <w:lvl w:ilvl="0" w:tentative="0">
      <w:start w:val="2"/>
      <w:numFmt w:val="chineseCounting"/>
      <w:suff w:val="nothing"/>
      <w:lvlText w:val="（%1）"/>
      <w:lvlJc w:val="left"/>
    </w:lvl>
  </w:abstractNum>
  <w:abstractNum w:abstractNumId="3">
    <w:nsid w:val="5F8A5E92"/>
    <w:multiLevelType w:val="singleLevel"/>
    <w:tmpl w:val="5F8A5E92"/>
    <w:lvl w:ilvl="0" w:tentative="0">
      <w:start w:val="3"/>
      <w:numFmt w:val="chineseCounting"/>
      <w:suff w:val="nothing"/>
      <w:lvlText w:val="（%1）"/>
      <w:lvlJc w:val="left"/>
    </w:lvl>
  </w:abstractNum>
  <w:abstractNum w:abstractNumId="4">
    <w:nsid w:val="5F8A6784"/>
    <w:multiLevelType w:val="singleLevel"/>
    <w:tmpl w:val="5F8A6784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5F8A67FA"/>
    <w:multiLevelType w:val="singleLevel"/>
    <w:tmpl w:val="5F8A67FA"/>
    <w:lvl w:ilvl="0" w:tentative="0">
      <w:start w:val="2"/>
      <w:numFmt w:val="decimal"/>
      <w:suff w:val="nothing"/>
      <w:lvlText w:val="%1."/>
      <w:lvlJc w:val="left"/>
    </w:lvl>
  </w:abstractNum>
  <w:abstractNum w:abstractNumId="6">
    <w:nsid w:val="5F8A6B90"/>
    <w:multiLevelType w:val="singleLevel"/>
    <w:tmpl w:val="5F8A6B90"/>
    <w:lvl w:ilvl="0" w:tentative="0">
      <w:start w:val="2"/>
      <w:numFmt w:val="chineseCounting"/>
      <w:suff w:val="nothing"/>
      <w:lvlText w:val="（%1）"/>
      <w:lvlJc w:val="left"/>
    </w:lvl>
  </w:abstractNum>
  <w:abstractNum w:abstractNumId="7">
    <w:nsid w:val="5F8A76BE"/>
    <w:multiLevelType w:val="singleLevel"/>
    <w:tmpl w:val="5F8A76BE"/>
    <w:lvl w:ilvl="0" w:tentative="0">
      <w:start w:val="4"/>
      <w:numFmt w:val="chineseCounting"/>
      <w:suff w:val="nothing"/>
      <w:lvlText w:val="（%1）"/>
      <w:lvlJc w:val="left"/>
    </w:lvl>
  </w:abstractNum>
  <w:abstractNum w:abstractNumId="8">
    <w:nsid w:val="5F8A76EB"/>
    <w:multiLevelType w:val="singleLevel"/>
    <w:tmpl w:val="5F8A76EB"/>
    <w:lvl w:ilvl="0" w:tentative="0">
      <w:start w:val="4"/>
      <w:numFmt w:val="chineseCounting"/>
      <w:suff w:val="nothing"/>
      <w:lvlText w:val="%1、"/>
      <w:lvlJc w:val="left"/>
    </w:lvl>
  </w:abstractNum>
  <w:abstractNum w:abstractNumId="9">
    <w:nsid w:val="5F8A7751"/>
    <w:multiLevelType w:val="singleLevel"/>
    <w:tmpl w:val="5F8A7751"/>
    <w:lvl w:ilvl="0" w:tentative="0">
      <w:start w:val="5"/>
      <w:numFmt w:val="chineseCounting"/>
      <w:suff w:val="nothing"/>
      <w:lvlText w:val="%1、"/>
      <w:lvlJc w:val="left"/>
    </w:lvl>
  </w:abstractNum>
  <w:abstractNum w:abstractNumId="10">
    <w:nsid w:val="5F8A7E9F"/>
    <w:multiLevelType w:val="singleLevel"/>
    <w:tmpl w:val="5F8A7E9F"/>
    <w:lvl w:ilvl="0" w:tentative="0">
      <w:start w:val="2"/>
      <w:numFmt w:val="decimal"/>
      <w:suff w:val="nothing"/>
      <w:lvlText w:val="%1."/>
      <w:lvlJc w:val="left"/>
    </w:lvl>
  </w:abstractNum>
  <w:abstractNum w:abstractNumId="11">
    <w:nsid w:val="5F98C2A3"/>
    <w:multiLevelType w:val="singleLevel"/>
    <w:tmpl w:val="5F98C2A3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5F98DB50"/>
    <w:multiLevelType w:val="singleLevel"/>
    <w:tmpl w:val="5F98DB50"/>
    <w:lvl w:ilvl="0" w:tentative="0">
      <w:start w:val="3"/>
      <w:numFmt w:val="chineseCounting"/>
      <w:suff w:val="nothing"/>
      <w:lvlText w:val="%1、"/>
      <w:lvlJc w:val="left"/>
    </w:lvl>
  </w:abstractNum>
  <w:abstractNum w:abstractNumId="13">
    <w:nsid w:val="5F98DB85"/>
    <w:multiLevelType w:val="singleLevel"/>
    <w:tmpl w:val="5F98DB85"/>
    <w:lvl w:ilvl="0" w:tentative="0">
      <w:start w:val="1"/>
      <w:numFmt w:val="chineseCounting"/>
      <w:suff w:val="nothing"/>
      <w:lvlText w:val="（%1）"/>
      <w:lvlJc w:val="left"/>
    </w:lvl>
  </w:abstractNum>
  <w:abstractNum w:abstractNumId="14">
    <w:nsid w:val="76295896"/>
    <w:multiLevelType w:val="multilevel"/>
    <w:tmpl w:val="76295896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10"/>
  </w:num>
  <w:num w:numId="3">
    <w:abstractNumId w:val="14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0"/>
  </w:num>
  <w:num w:numId="10">
    <w:abstractNumId w:val="7"/>
  </w:num>
  <w:num w:numId="11">
    <w:abstractNumId w:val="8"/>
  </w:num>
  <w:num w:numId="12">
    <w:abstractNumId w:val="9"/>
  </w:num>
  <w:num w:numId="13">
    <w:abstractNumId w:val="2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FkYzE1ZmUyMzkwNzI5NzczNGM0NTIzNzgxM2U5YTcifQ=="/>
  </w:docVars>
  <w:rsids>
    <w:rsidRoot w:val="00172A27"/>
    <w:rsid w:val="0007470B"/>
    <w:rsid w:val="00172A27"/>
    <w:rsid w:val="00181C73"/>
    <w:rsid w:val="001C4103"/>
    <w:rsid w:val="005237D2"/>
    <w:rsid w:val="008F3BD7"/>
    <w:rsid w:val="009579FD"/>
    <w:rsid w:val="00971862"/>
    <w:rsid w:val="00A04300"/>
    <w:rsid w:val="00A70B49"/>
    <w:rsid w:val="00B9776A"/>
    <w:rsid w:val="00ED25C6"/>
    <w:rsid w:val="091F2C68"/>
    <w:rsid w:val="173C5A9B"/>
    <w:rsid w:val="1F4E4E3F"/>
    <w:rsid w:val="4FA57326"/>
    <w:rsid w:val="51FE1B8B"/>
    <w:rsid w:val="69BB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0"/>
    <w:pPr>
      <w:spacing w:beforeLines="30"/>
    </w:pPr>
    <w:rPr>
      <w:rFonts w:ascii="仿宋_GB2312" w:eastAsia="仿宋_GB2312"/>
      <w:kern w:val="0"/>
      <w:sz w:val="30"/>
      <w:szCs w:val="24"/>
    </w:r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Plain Text"/>
    <w:basedOn w:val="1"/>
    <w:uiPriority w:val="0"/>
    <w:rPr>
      <w:rFonts w:ascii="宋体" w:hAnsi="Courier New" w:eastAsia="宋体" w:cs="Times New Roman"/>
      <w:lang w:val="en-US" w:eastAsia="zh-CN" w:bidi="ar-SA"/>
    </w:r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 w:cs="仿宋"/>
      <w:sz w:val="28"/>
      <w:szCs w:val="28"/>
    </w:rPr>
  </w:style>
  <w:style w:type="paragraph" w:styleId="10">
    <w:name w:val="toc 2"/>
    <w:basedOn w:val="1"/>
    <w:next w:val="1"/>
    <w:qFormat/>
    <w:uiPriority w:val="39"/>
    <w:pPr>
      <w:tabs>
        <w:tab w:val="left" w:pos="7560"/>
        <w:tab w:val="right" w:leader="dot" w:pos="8296"/>
      </w:tabs>
      <w:adjustRightInd w:val="0"/>
      <w:snapToGrid w:val="0"/>
      <w:spacing w:line="440" w:lineRule="exact"/>
      <w:ind w:left="420" w:leftChars="200"/>
      <w:jc w:val="left"/>
    </w:pPr>
  </w:style>
  <w:style w:type="paragraph" w:styleId="11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character" w:customStyle="1" w:styleId="15">
    <w:name w:val="标题 1 Char"/>
    <w:basedOn w:val="13"/>
    <w:link w:val="2"/>
    <w:qFormat/>
    <w:locked/>
    <w:uiPriority w:val="99"/>
    <w:rPr>
      <w:b/>
      <w:bCs/>
      <w:kern w:val="44"/>
      <w:sz w:val="44"/>
      <w:szCs w:val="4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  <w:style w:type="paragraph" w:customStyle="1" w:styleId="17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8">
    <w:name w:val="正文文本 Char"/>
    <w:basedOn w:val="13"/>
    <w:link w:val="3"/>
    <w:qFormat/>
    <w:uiPriority w:val="0"/>
    <w:rPr>
      <w:rFonts w:ascii="仿宋_GB2312" w:hAnsi="Times New Roman" w:eastAsia="仿宋_GB2312"/>
      <w:sz w:val="30"/>
      <w:szCs w:val="24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0">
    <w:name w:val="批注框文本 Char"/>
    <w:basedOn w:val="13"/>
    <w:link w:val="6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382B51-CE59-4CE7-B351-F93CF5FBCC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7252</Words>
  <Characters>7827</Characters>
  <Lines>45</Lines>
  <Paragraphs>12</Paragraphs>
  <TotalTime>0</TotalTime>
  <ScaleCrop>false</ScaleCrop>
  <LinksUpToDate>false</LinksUpToDate>
  <CharactersWithSpaces>7892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2020-10-20T02:57:00Z</dcterms:created>
  <dc:creator>Administrator</dc:creator>
  <cp:lastModifiedBy>万宏谟</cp:lastModifiedBy>
  <cp:lastPrinted>2020-09-15T08:24:00Z</cp:lastPrinted>
  <dcterms:modified xsi:type="dcterms:W3CDTF">2026-10-16T07:53:59Z</dcterms:modified>
  <dc:title>盐边县2019年度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A7DAD1D7C50348D5BF9BD0933EED6FEF_12</vt:lpwstr>
  </property>
  <property fmtid="{D5CDD505-2E9C-101B-9397-08002B2CF9AE}" pid="4" name="KSOTemplateDocerSaveRecord">
    <vt:lpwstr>eyJoZGlkIjoiNzExODUxM2IxZDQ4ZDg0MGUxYWE1ZTc5MGMwZGJhYmEiLCJ1c2VySWQiOiI2MjQxMjM5NzMifQ==</vt:lpwstr>
  </property>
</Properties>
</file>