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41E1C">
      <w:pPr>
        <w:pStyle w:val="2"/>
        <w:spacing w:line="360" w:lineRule="auto"/>
        <w:jc w:val="center"/>
        <w:rPr>
          <w:rFonts w:ascii="黑体" w:hAnsi="黑体" w:eastAsia="黑体" w:cs="黑体"/>
          <w:sz w:val="44"/>
          <w:szCs w:val="44"/>
        </w:rPr>
      </w:pPr>
      <w:r>
        <w:rPr>
          <w:rFonts w:hint="eastAsia" w:ascii="黑体" w:hAnsi="黑体" w:eastAsia="黑体" w:cs="黑体"/>
          <w:sz w:val="44"/>
          <w:szCs w:val="44"/>
        </w:rPr>
        <w:t>盐边县公安局2021年度</w:t>
      </w:r>
    </w:p>
    <w:p w14:paraId="579508F1">
      <w:pPr>
        <w:pStyle w:val="2"/>
        <w:spacing w:line="360" w:lineRule="auto"/>
        <w:jc w:val="center"/>
        <w:rPr>
          <w:rFonts w:ascii="黑体" w:hAnsi="黑体" w:eastAsia="黑体" w:cs="黑体"/>
          <w:sz w:val="44"/>
          <w:szCs w:val="44"/>
        </w:rPr>
      </w:pPr>
      <w:r>
        <w:rPr>
          <w:rFonts w:hint="eastAsia" w:ascii="黑体" w:hAnsi="黑体" w:eastAsia="黑体" w:cs="黑体"/>
          <w:sz w:val="44"/>
          <w:szCs w:val="44"/>
        </w:rPr>
        <w:t>部门预算整体绩效自评报告</w:t>
      </w:r>
    </w:p>
    <w:p w14:paraId="142652BE">
      <w:pPr>
        <w:pStyle w:val="2"/>
        <w:spacing w:line="360" w:lineRule="auto"/>
        <w:ind w:firstLine="640" w:firstLineChars="200"/>
        <w:jc w:val="left"/>
        <w:rPr>
          <w:rFonts w:ascii="Times New Roman" w:hAnsi="Times New Roman" w:eastAsia="仿宋_GB2312"/>
          <w:sz w:val="32"/>
          <w:szCs w:val="32"/>
        </w:rPr>
      </w:pPr>
    </w:p>
    <w:p w14:paraId="0C0C136D">
      <w:pPr>
        <w:widowControl/>
        <w:numPr>
          <w:ilvl w:val="0"/>
          <w:numId w:val="1"/>
        </w:numPr>
        <w:adjustRightInd w:val="0"/>
        <w:snapToGrid w:val="0"/>
        <w:spacing w:line="360" w:lineRule="auto"/>
        <w:ind w:firstLine="640" w:firstLineChars="200"/>
        <w:contextualSpacing/>
        <w:jc w:val="left"/>
        <w:rPr>
          <w:rFonts w:ascii="Times New Roman" w:hAnsi="Times New Roman" w:eastAsia="仿宋_GB2312"/>
          <w:b/>
          <w:bCs/>
          <w:color w:val="000000"/>
          <w:sz w:val="32"/>
          <w:szCs w:val="32"/>
        </w:rPr>
      </w:pPr>
      <w:r>
        <w:rPr>
          <w:rFonts w:ascii="Times New Roman" w:hAnsi="Times New Roman" w:eastAsia="黑体"/>
          <w:sz w:val="32"/>
          <w:szCs w:val="32"/>
        </w:rPr>
        <w:t>部门概况</w:t>
      </w:r>
    </w:p>
    <w:p w14:paraId="25FF7DD8">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hint="eastAsia" w:ascii="Times New Roman" w:hAnsi="Times New Roman" w:eastAsia="仿宋_GB2312"/>
          <w:b/>
          <w:bCs/>
          <w:sz w:val="32"/>
          <w:szCs w:val="32"/>
        </w:rPr>
        <w:t>（</w:t>
      </w:r>
      <w:r>
        <w:rPr>
          <w:rFonts w:ascii="Times New Roman" w:hAnsi="Times New Roman" w:eastAsia="仿宋_GB2312"/>
          <w:b/>
          <w:bCs/>
          <w:color w:val="000000"/>
          <w:sz w:val="32"/>
          <w:szCs w:val="32"/>
        </w:rPr>
        <w:t>一）机构组成</w:t>
      </w:r>
    </w:p>
    <w:p w14:paraId="3B3E3107">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盐边县公安局设16个内设机构，指挥中心、政工科、警务督察大队、警务保障室、法</w:t>
      </w:r>
      <w:r>
        <w:rPr>
          <w:rFonts w:hint="eastAsia" w:ascii="仿宋" w:hAnsi="仿宋" w:eastAsia="仿宋" w:cs="仿宋"/>
          <w:bCs/>
          <w:sz w:val="32"/>
          <w:szCs w:val="32"/>
        </w:rPr>
        <w:t>制大队、国内安全保卫大队、治安管理大队、刑事侦查大队、经济犯罪侦查大队、禁毒缉毒大队、情报信息大队、交通警察大队（财务单列）、巡逻警察大队、盐边县看守所、盐边县拘留所、森林警察大队；10个派出所：桐</w:t>
      </w:r>
      <w:r>
        <w:rPr>
          <w:rFonts w:hint="eastAsia" w:ascii="仿宋_GB2312" w:eastAsia="仿宋_GB2312"/>
          <w:bCs/>
          <w:sz w:val="32"/>
          <w:szCs w:val="32"/>
        </w:rPr>
        <w:t>子林派出所、红格派出所、新九派出所、红果派出所、渔门派出所、永兴派出所、国胜派出所、惠民派出所、格萨拉派出所、共和派出所。</w:t>
      </w:r>
    </w:p>
    <w:p w14:paraId="2434D20A">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（二）机构职能</w:t>
      </w:r>
    </w:p>
    <w:p w14:paraId="39C7E835">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1.贯彻执行公安工作的方针、政策、法律、法规和规章，部署、指导、监督、检查全县公安工作；负责本部门依法行政工作，落实行政执法责任。</w:t>
      </w:r>
    </w:p>
    <w:p w14:paraId="3B2B7DE3">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2.负责公安机关应急管理、抢险救援工作和社会公共突发事件的处置工作。 </w:t>
      </w:r>
    </w:p>
    <w:p w14:paraId="5E08AC0B">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3.收集、掌握影响稳定、危害国内安全和社会治安的情况，分析、研判形势，制定对策。 </w:t>
      </w:r>
    </w:p>
    <w:p w14:paraId="4EB7870D">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4.组织实施县公安局系统的侦查工作，侦办刑事犯罪案件、危害国家安全的犯罪案件、经济犯罪案件。 </w:t>
      </w:r>
    </w:p>
    <w:p w14:paraId="04BCA250">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5.负责全县的治安管理工作并承担相应责任。处置县域内治安事故和群体性事件，依法查处破坏社会治安秩序行为，依法开展治安行政管理工作，指导、监督县域内国家机关、企事业单位开展治安保卫工作。 </w:t>
      </w:r>
    </w:p>
    <w:p w14:paraId="4C93D6F8">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6.负责全县出入境管理工作。依法管理国籍，组织开展出境、入境和持普通护照的外国人在盐居留、旅行、就业的有关管理工作。 </w:t>
      </w:r>
    </w:p>
    <w:p w14:paraId="5A75D1D1">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7.负责全县消防工作并承担相应责任，组织协调、指导监督全县消防监督、火灾预防和扑救工作。 </w:t>
      </w:r>
    </w:p>
    <w:p w14:paraId="3675D408">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8.负责全县道路交通安全管理工作并承担相应责任。开展维护全县道路交通安全、道路交通秩序工作，开展机动车（拖拉机除外）、驾驶人管理工作。 </w:t>
      </w:r>
    </w:p>
    <w:p w14:paraId="664D750E">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9.负责全县公共信息网络安全保护工作，开展县域内危害公共信息网络安全和网络犯罪案件侦办工作。 </w:t>
      </w:r>
    </w:p>
    <w:p w14:paraId="0613C83B">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10.防范、处置邪教及有害气功组织的违法犯罪活动。</w:t>
      </w:r>
    </w:p>
    <w:p w14:paraId="77E5379D">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11.组织实施对恐怖活动的情报收集、防范、侦查和应急处置工作。 </w:t>
      </w:r>
    </w:p>
    <w:p w14:paraId="49399152">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12.负责依法承担的执行刑罚和监督、考察工作。 </w:t>
      </w:r>
    </w:p>
    <w:p w14:paraId="0ABDB432">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13.负责来盐中央和省、市领导以及重要外宾的安全保卫工作并承担相应责任；组织实施重要会议、重大节庆活动的安全保卫工作并承担相应责任。 </w:t>
      </w:r>
    </w:p>
    <w:p w14:paraId="50692AEC">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14.负责县公安局指挥系统、科技应用、信息技术、刑事技术的规划和建设工作。 </w:t>
      </w:r>
    </w:p>
    <w:p w14:paraId="669E376B">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15.拟订县公安局装备、备装、经费等警务保障计划和管理制度，组织实施全局警务保障工作。 </w:t>
      </w:r>
    </w:p>
    <w:p w14:paraId="46140C86">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16.负责全局队伍建设工作，制定规章制度并组织实施；按规定权限管理干部。 </w:t>
      </w:r>
    </w:p>
    <w:p w14:paraId="6E555C4B">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17.拟定全局队伍监督管理工作规章制度，负责全局党风廉政、纪检监察、警务督察、审计、信访工作；监督全局警察和内设单位的执法活动；查处全局队伍重大违纪案件；按照规定权限对干部实施监督。 </w:t>
      </w:r>
    </w:p>
    <w:p w14:paraId="14D2C91F">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18.领导全县消防部队建设，对盐边县公安局武警消防大队执行公安任务及相关业务建设实施领导和指挥。 </w:t>
      </w:r>
    </w:p>
    <w:p w14:paraId="535BBDF6">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19.指导县森林公安局的公安业务。 </w:t>
      </w:r>
    </w:p>
    <w:p w14:paraId="52A77C5A">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20.承担县禁毒委、反恐怖工作协调小组的具体工作。 </w:t>
      </w:r>
    </w:p>
    <w:p w14:paraId="12652C3B">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 xml:space="preserve">21.承担县政府公布的有关行政审批工作。 </w:t>
      </w:r>
    </w:p>
    <w:p w14:paraId="04A23E8B">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22.承办县政府和上级公安机关交办的其他事项。</w:t>
      </w:r>
    </w:p>
    <w:p w14:paraId="4A9D7AD7">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（三）人员概况</w:t>
      </w:r>
    </w:p>
    <w:p w14:paraId="2C1183C1">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公安局政法编制212人（含21人）,工勤编制4人。我单位年末实有人数252人，其中在职人员204人（公务员176人，工勤人员6人，事业人员1人），退休48人。</w:t>
      </w:r>
    </w:p>
    <w:p w14:paraId="2AD35611">
      <w:pPr>
        <w:widowControl/>
        <w:adjustRightInd w:val="0"/>
        <w:snapToGrid w:val="0"/>
        <w:spacing w:line="360" w:lineRule="auto"/>
        <w:ind w:firstLine="640" w:firstLineChars="200"/>
        <w:contextualSpacing/>
        <w:jc w:val="left"/>
        <w:rPr>
          <w:rFonts w:ascii="Times New Roman" w:hAnsi="Times New Roman" w:eastAsia="黑体"/>
          <w:sz w:val="32"/>
          <w:szCs w:val="32"/>
        </w:rPr>
      </w:pPr>
      <w:r>
        <w:rPr>
          <w:rFonts w:ascii="Times New Roman" w:hAnsi="Times New Roman" w:eastAsia="黑体"/>
          <w:sz w:val="32"/>
          <w:szCs w:val="32"/>
        </w:rPr>
        <w:t>二、部门</w:t>
      </w:r>
      <w:r>
        <w:rPr>
          <w:rFonts w:hint="eastAsia" w:ascii="Times New Roman" w:hAnsi="Times New Roman" w:eastAsia="黑体"/>
          <w:sz w:val="32"/>
          <w:szCs w:val="32"/>
        </w:rPr>
        <w:t>财政</w:t>
      </w:r>
      <w:r>
        <w:rPr>
          <w:rFonts w:ascii="Times New Roman" w:hAnsi="Times New Roman" w:eastAsia="黑体"/>
          <w:sz w:val="32"/>
          <w:szCs w:val="32"/>
        </w:rPr>
        <w:t>资金基本情况</w:t>
      </w:r>
    </w:p>
    <w:p w14:paraId="6BFE6FC5">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（一）财政资金收入情况</w:t>
      </w:r>
    </w:p>
    <w:p w14:paraId="4E706146">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盐边县公安局2021年收入预算安排资金6945.76万元，较2020年5342.05万元，增加了1603.71万元，增长了30.02%。其中：信访事务36.00万元，占总收入的0.40%；行政运行5260.98万元，占总收入的57.80%；一般行政管理事务支出922.28万元，占总收入10.13%；信息化建设支出554.22万元，占总收入6.09%；移民事务支出8.00万元，占总收入0.09%；事业运行支出13.65万元，占总收入0.15%；其他公安支出218.57万元，占总收入2.40%；其他公共安全支出1035.00万元，占总收入11.37%；行政单位离退休90.84万元，占总收入1.00%；机关事业单位基本养老保险缴费支出283.92万元，占总收入3.12%；机关事业单位职业年金缴费支出57.88万元，占总收入0.64%；伤残抚恤23.67万元，占总收入0.26%；行政单位医疗240.69万元，占总收入2.64%；事业单位医疗0.68万元，占总收入0.01%；公务员医疗补助18.16万元，占总收入0.20%；住房公积金329.08万元，占总收入3.62%；其他支出9.00万元，占总收入0.10%。</w:t>
      </w:r>
    </w:p>
    <w:p w14:paraId="0B260F9D">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（二）财政资金支出情况</w:t>
      </w:r>
    </w:p>
    <w:p w14:paraId="6E5A2131">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盐边县公安局2021年总支出11051.50万元，人员经费支出5429.80万元，占总支出的49.13%，公用经费支出889.76万元，占总支出的8.05%，项目支出4731.94万元，占总支出的42.82%，其中基本建设类项目2298.84万元，占总支出的20.80%。</w:t>
      </w:r>
    </w:p>
    <w:p w14:paraId="46729BB9">
      <w:pPr>
        <w:widowControl/>
        <w:adjustRightInd w:val="0"/>
        <w:snapToGrid w:val="0"/>
        <w:spacing w:line="360" w:lineRule="auto"/>
        <w:ind w:firstLine="643" w:firstLineChars="200"/>
        <w:contextualSpacing/>
        <w:jc w:val="left"/>
        <w:rPr>
          <w:rFonts w:ascii="仿宋_GB2312" w:eastAsia="仿宋_GB2312"/>
          <w:b/>
          <w:sz w:val="32"/>
          <w:szCs w:val="32"/>
        </w:rPr>
      </w:pPr>
      <w:r>
        <w:rPr>
          <w:rFonts w:hint="eastAsia" w:ascii="仿宋_GB2312" w:eastAsia="仿宋_GB2312"/>
          <w:b/>
          <w:sz w:val="32"/>
          <w:szCs w:val="32"/>
        </w:rPr>
        <w:t>1.支出按功能分类</w:t>
      </w:r>
    </w:p>
    <w:p w14:paraId="5C08AFB9">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信访事务36.00万元，占总支出的0.33%；行政运行5260.98万元，占总支出的47.60%；一般行政管理事务支出1452.27万元，占总支出13.14%；信息化建设支出559.44万元，占总支出5.06%；移民事务支出9.00万元，占总支出0.08%；事业运行支出13.65万元，占总支出0.12%；其他公安支出1175.94万元，占总支出10.64%；其他公共安全支出1463.07万元，占总支出13.24%；行政区划和地名管理支出13.70万元，占总支出0.12%；行政单位离退休90.84万元，占总支出0.82%；机关事业单位基本养老保险缴费支出283.92万元，占总支出2.57%；机关事业单位职业年金缴费支出57.88万元，占总支出0.52%；伤残抚恤23.67万元，占总支出0.21%；行政单位医疗240.69万元，占总支出2.18%；事业单位医疗0.68万元，占总支出0.01%；公务员医疗补助18.16万元，占总支出0.16%；政策行社会性支出补助8.54万元，占总支出0.08%；住房公积金329.08万元，占总支出2.98%；森林草原防灾减灾支出5.00万元，占总支出0.05%；其他支出9.00万元，占总支出0.08%。</w:t>
      </w:r>
    </w:p>
    <w:p w14:paraId="130B1B24">
      <w:pPr>
        <w:widowControl/>
        <w:adjustRightInd w:val="0"/>
        <w:snapToGrid w:val="0"/>
        <w:spacing w:line="360" w:lineRule="auto"/>
        <w:ind w:firstLine="643" w:firstLineChars="200"/>
        <w:contextualSpacing/>
        <w:jc w:val="left"/>
        <w:rPr>
          <w:rFonts w:ascii="仿宋_GB2312" w:eastAsia="仿宋_GB2312"/>
          <w:b/>
          <w:sz w:val="32"/>
          <w:szCs w:val="32"/>
        </w:rPr>
      </w:pPr>
      <w:r>
        <w:rPr>
          <w:rFonts w:hint="eastAsia" w:ascii="仿宋_GB2312" w:eastAsia="仿宋_GB2312"/>
          <w:b/>
          <w:sz w:val="32"/>
          <w:szCs w:val="32"/>
        </w:rPr>
        <w:t>2.支出按经济分类</w:t>
      </w:r>
    </w:p>
    <w:p w14:paraId="23650ED7">
      <w:pPr>
        <w:widowControl/>
        <w:adjustRightInd w:val="0"/>
        <w:snapToGrid w:val="0"/>
        <w:spacing w:line="360" w:lineRule="auto"/>
        <w:ind w:firstLine="643" w:firstLineChars="200"/>
        <w:contextualSpacing/>
        <w:jc w:val="left"/>
        <w:rPr>
          <w:rFonts w:ascii="仿宋_GB2312" w:eastAsia="仿宋_GB2312"/>
          <w:b/>
          <w:sz w:val="32"/>
          <w:szCs w:val="32"/>
        </w:rPr>
      </w:pPr>
      <w:r>
        <w:rPr>
          <w:rFonts w:hint="eastAsia" w:ascii="仿宋_GB2312" w:eastAsia="仿宋_GB2312"/>
          <w:b/>
          <w:sz w:val="32"/>
          <w:szCs w:val="32"/>
        </w:rPr>
        <w:t>（1）“三公”经费支出情况：</w:t>
      </w:r>
    </w:p>
    <w:p w14:paraId="57976784">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2021年“三公”经费支出246.55万元，较年初预算数355.42万元，减少了108.87万元，减少了30.63%。</w:t>
      </w:r>
    </w:p>
    <w:p w14:paraId="1D545E99">
      <w:pPr>
        <w:widowControl/>
        <w:adjustRightInd w:val="0"/>
        <w:snapToGrid w:val="0"/>
        <w:spacing w:line="360" w:lineRule="auto"/>
        <w:ind w:firstLine="640" w:firstLineChars="200"/>
        <w:contextualSpacing/>
        <w:jc w:val="left"/>
        <w:rPr>
          <w:rFonts w:ascii="仿宋_GB2312" w:hAnsi="仿宋" w:eastAsia="仿宋_GB2312" w:cs="仿宋"/>
          <w:color w:val="000000"/>
          <w:sz w:val="32"/>
          <w:szCs w:val="32"/>
        </w:rPr>
      </w:pPr>
      <w:r>
        <w:rPr>
          <w:rFonts w:hint="eastAsia" w:ascii="仿宋_GB2312" w:hAnsi="仿宋" w:eastAsia="仿宋_GB2312" w:cs="仿宋"/>
          <w:color w:val="000000"/>
          <w:sz w:val="32"/>
          <w:szCs w:val="32"/>
        </w:rPr>
        <w:t>其中：</w:t>
      </w:r>
    </w:p>
    <w:p w14:paraId="16520AEC">
      <w:pPr>
        <w:widowControl/>
        <w:adjustRightInd w:val="0"/>
        <w:snapToGrid w:val="0"/>
        <w:spacing w:line="360" w:lineRule="auto"/>
        <w:ind w:firstLine="643" w:firstLineChars="200"/>
        <w:contextualSpacing/>
        <w:jc w:val="left"/>
        <w:rPr>
          <w:rFonts w:ascii="仿宋" w:hAnsi="仿宋" w:eastAsia="仿宋" w:cs="仿宋"/>
          <w:b/>
          <w:bCs/>
          <w:sz w:val="32"/>
          <w:szCs w:val="32"/>
        </w:rPr>
      </w:pPr>
      <w:r>
        <w:rPr>
          <w:rFonts w:hint="eastAsia" w:ascii="仿宋" w:hAnsi="仿宋" w:eastAsia="仿宋" w:cs="仿宋"/>
          <w:b/>
          <w:bCs/>
          <w:sz w:val="32"/>
          <w:szCs w:val="32"/>
        </w:rPr>
        <w:t>因公出国（境）</w:t>
      </w:r>
    </w:p>
    <w:p w14:paraId="5F1B84B2">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2021年未发生因公出国（境），安排公出国（境）团组0次，公出国（境）0人。</w:t>
      </w:r>
    </w:p>
    <w:p w14:paraId="25F99D97">
      <w:pPr>
        <w:widowControl/>
        <w:adjustRightInd w:val="0"/>
        <w:snapToGrid w:val="0"/>
        <w:spacing w:line="360" w:lineRule="auto"/>
        <w:ind w:firstLine="643" w:firstLineChars="200"/>
        <w:contextualSpacing/>
        <w:jc w:val="left"/>
        <w:rPr>
          <w:rFonts w:ascii="仿宋" w:hAnsi="仿宋" w:eastAsia="仿宋" w:cs="仿宋"/>
          <w:b/>
          <w:bCs/>
          <w:sz w:val="32"/>
          <w:szCs w:val="32"/>
        </w:rPr>
      </w:pPr>
      <w:r>
        <w:rPr>
          <w:rFonts w:hint="eastAsia" w:ascii="仿宋" w:hAnsi="仿宋" w:eastAsia="仿宋" w:cs="仿宋"/>
          <w:b/>
          <w:bCs/>
          <w:sz w:val="32"/>
          <w:szCs w:val="32"/>
        </w:rPr>
        <w:t>公务用车购置及运行维护费</w:t>
      </w:r>
    </w:p>
    <w:p w14:paraId="1FC9A257">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2021年公务用车购置及运行维护费246.55万元，较年初预算数346.61万元，减少了100.07万元，减少了28.87%；较2020年决算数256.29万元，减少9.75万元，减少了3.80%。</w:t>
      </w:r>
    </w:p>
    <w:p w14:paraId="7EE6E901">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2021年公务用车购置费96.03万元，较年初预算数96.03万元持平；较2020年决算数141.84万元，减少了45.81万元，减少了32.29%。</w:t>
      </w:r>
    </w:p>
    <w:p w14:paraId="4EE2394C">
      <w:pPr>
        <w:widowControl/>
        <w:adjustRightInd w:val="0"/>
        <w:snapToGrid w:val="0"/>
        <w:spacing w:line="360" w:lineRule="auto"/>
        <w:ind w:firstLine="640" w:firstLineChars="200"/>
        <w:contextualSpacing/>
        <w:jc w:val="left"/>
        <w:rPr>
          <w:rFonts w:ascii="仿宋_GB2312" w:eastAsia="仿宋_GB2312"/>
          <w:bCs/>
          <w:sz w:val="32"/>
          <w:szCs w:val="32"/>
        </w:rPr>
      </w:pPr>
      <w:r>
        <w:rPr>
          <w:rFonts w:hint="eastAsia" w:ascii="仿宋_GB2312" w:eastAsia="仿宋_GB2312"/>
          <w:bCs/>
          <w:sz w:val="32"/>
          <w:szCs w:val="32"/>
        </w:rPr>
        <w:t>2021年公务用车维护费150.51万元，较年初预算数250.58万元，减少了100.07万元，减少了39.93%；较2020年决算数114.45万元，增加了36.06万元，增长了31.51%。</w:t>
      </w:r>
    </w:p>
    <w:p w14:paraId="446CCB0F">
      <w:pPr>
        <w:widowControl/>
        <w:adjustRightInd w:val="0"/>
        <w:snapToGrid w:val="0"/>
        <w:spacing w:line="360" w:lineRule="auto"/>
        <w:ind w:firstLine="643" w:firstLineChars="200"/>
        <w:contextualSpacing/>
        <w:jc w:val="left"/>
        <w:rPr>
          <w:rFonts w:ascii="仿宋" w:hAnsi="仿宋" w:eastAsia="仿宋" w:cs="仿宋"/>
          <w:b/>
          <w:bCs/>
          <w:sz w:val="32"/>
          <w:szCs w:val="32"/>
        </w:rPr>
      </w:pPr>
      <w:r>
        <w:rPr>
          <w:rFonts w:hint="eastAsia" w:ascii="仿宋" w:hAnsi="仿宋" w:eastAsia="仿宋" w:cs="仿宋"/>
          <w:b/>
          <w:bCs/>
          <w:sz w:val="32"/>
          <w:szCs w:val="32"/>
        </w:rPr>
        <w:t>公务接待费</w:t>
      </w:r>
    </w:p>
    <w:p w14:paraId="5D07C7DF">
      <w:pPr>
        <w:snapToGrid w:val="0"/>
        <w:spacing w:line="360" w:lineRule="auto"/>
        <w:ind w:firstLine="640" w:firstLineChars="200"/>
        <w:rPr>
          <w:rFonts w:ascii="仿宋_GB2312" w:eastAsia="仿宋_GB2312"/>
          <w:bCs/>
          <w:sz w:val="32"/>
          <w:szCs w:val="32"/>
        </w:rPr>
      </w:pPr>
      <w:r>
        <w:rPr>
          <w:rFonts w:hint="eastAsia" w:ascii="仿宋_GB2312" w:eastAsia="仿宋_GB2312"/>
          <w:bCs/>
          <w:sz w:val="32"/>
          <w:szCs w:val="32"/>
        </w:rPr>
        <w:t>2021年公务接待费0元，较年初预算数8.80万元，减少了8.80万元；较2020年决算数0.21万元，减少了0.21万元，减少100.00%，减少原因2021年未列支接待费。</w:t>
      </w:r>
    </w:p>
    <w:p w14:paraId="36777389">
      <w:pPr>
        <w:snapToGrid w:val="0"/>
        <w:spacing w:line="360" w:lineRule="auto"/>
        <w:ind w:firstLine="643" w:firstLineChars="200"/>
        <w:rPr>
          <w:rFonts w:ascii="仿宋_GB2312" w:eastAsia="仿宋_GB2312"/>
          <w:b/>
          <w:sz w:val="32"/>
          <w:szCs w:val="32"/>
        </w:rPr>
      </w:pPr>
      <w:r>
        <w:rPr>
          <w:rFonts w:hint="eastAsia" w:ascii="仿宋_GB2312" w:eastAsia="仿宋_GB2312"/>
          <w:b/>
          <w:sz w:val="32"/>
          <w:szCs w:val="32"/>
        </w:rPr>
        <w:t>（2）会议费支出情况</w:t>
      </w:r>
    </w:p>
    <w:p w14:paraId="0791E655">
      <w:pPr>
        <w:snapToGrid w:val="0"/>
        <w:spacing w:line="360" w:lineRule="auto"/>
        <w:ind w:firstLine="640" w:firstLineChars="200"/>
        <w:rPr>
          <w:rFonts w:ascii="仿宋_GB2312" w:eastAsia="仿宋_GB2312"/>
          <w:bCs/>
          <w:sz w:val="32"/>
          <w:szCs w:val="32"/>
        </w:rPr>
      </w:pPr>
      <w:r>
        <w:rPr>
          <w:rFonts w:hint="eastAsia" w:ascii="仿宋_GB2312" w:eastAsia="仿宋_GB2312"/>
          <w:bCs/>
          <w:sz w:val="32"/>
          <w:szCs w:val="32"/>
        </w:rPr>
        <w:t>2021年会议费支出0元，较2020年3.36万元，减少了3.36万元，减少了100.00%，减少原因2021年无大型会议。</w:t>
      </w:r>
    </w:p>
    <w:p w14:paraId="7E15977A">
      <w:pPr>
        <w:snapToGrid w:val="0"/>
        <w:spacing w:line="360" w:lineRule="auto"/>
        <w:ind w:firstLine="643" w:firstLineChars="200"/>
        <w:rPr>
          <w:rFonts w:ascii="仿宋_GB2312" w:eastAsia="仿宋_GB2312"/>
          <w:b/>
          <w:sz w:val="32"/>
          <w:szCs w:val="32"/>
        </w:rPr>
      </w:pPr>
      <w:r>
        <w:rPr>
          <w:rFonts w:hint="eastAsia" w:ascii="仿宋_GB2312" w:eastAsia="仿宋_GB2312"/>
          <w:b/>
          <w:sz w:val="32"/>
          <w:szCs w:val="32"/>
        </w:rPr>
        <w:t>（3）培训费支出情况</w:t>
      </w:r>
    </w:p>
    <w:p w14:paraId="374C14CA">
      <w:pPr>
        <w:snapToGrid w:val="0"/>
        <w:spacing w:line="360" w:lineRule="auto"/>
        <w:ind w:firstLine="640" w:firstLineChars="200"/>
        <w:rPr>
          <w:rFonts w:ascii="仿宋_GB2312" w:eastAsia="仿宋_GB2312"/>
          <w:bCs/>
          <w:sz w:val="32"/>
          <w:szCs w:val="32"/>
        </w:rPr>
      </w:pPr>
      <w:r>
        <w:rPr>
          <w:rFonts w:hint="eastAsia" w:ascii="仿宋_GB2312" w:eastAsia="仿宋_GB2312"/>
          <w:bCs/>
          <w:sz w:val="32"/>
          <w:szCs w:val="32"/>
        </w:rPr>
        <w:t>2021年培训费支出7.55万元，较2020年3.10万元，增加了4.45万元，增长了143.74%，增长原因2021年新招录大量警务辅助人员，培训费较大。</w:t>
      </w:r>
    </w:p>
    <w:p w14:paraId="6D39C2B6">
      <w:pPr>
        <w:snapToGrid w:val="0"/>
        <w:spacing w:line="360" w:lineRule="auto"/>
        <w:ind w:firstLine="643" w:firstLineChars="200"/>
        <w:rPr>
          <w:rFonts w:ascii="Times New Roman" w:hAnsi="Times New Roman" w:eastAsia="仿宋_GB2312"/>
          <w:b/>
          <w:bCs/>
          <w:sz w:val="32"/>
          <w:szCs w:val="32"/>
        </w:rPr>
      </w:pPr>
      <w:r>
        <w:rPr>
          <w:rFonts w:ascii="Times New Roman" w:hAnsi="Times New Roman" w:eastAsia="仿宋_GB2312"/>
          <w:b/>
          <w:bCs/>
          <w:sz w:val="32"/>
          <w:szCs w:val="32"/>
        </w:rPr>
        <w:t>（</w:t>
      </w:r>
      <w:r>
        <w:rPr>
          <w:rFonts w:hint="eastAsia" w:ascii="Times New Roman" w:hAnsi="Times New Roman" w:eastAsia="仿宋_GB2312"/>
          <w:b/>
          <w:bCs/>
          <w:sz w:val="32"/>
          <w:szCs w:val="32"/>
        </w:rPr>
        <w:t>三</w:t>
      </w:r>
      <w:r>
        <w:rPr>
          <w:rFonts w:ascii="Times New Roman" w:hAnsi="Times New Roman" w:eastAsia="仿宋_GB2312"/>
          <w:b/>
          <w:bCs/>
          <w:sz w:val="32"/>
          <w:szCs w:val="32"/>
        </w:rPr>
        <w:t>）财政资金</w:t>
      </w:r>
      <w:r>
        <w:rPr>
          <w:rFonts w:hint="eastAsia" w:ascii="Times New Roman" w:hAnsi="Times New Roman" w:eastAsia="仿宋_GB2312"/>
          <w:b/>
          <w:bCs/>
          <w:sz w:val="32"/>
          <w:szCs w:val="32"/>
        </w:rPr>
        <w:t>结转结余</w:t>
      </w:r>
      <w:r>
        <w:rPr>
          <w:rFonts w:ascii="Times New Roman" w:hAnsi="Times New Roman" w:eastAsia="仿宋_GB2312"/>
          <w:b/>
          <w:bCs/>
          <w:sz w:val="32"/>
          <w:szCs w:val="32"/>
        </w:rPr>
        <w:t>情况</w:t>
      </w:r>
    </w:p>
    <w:p w14:paraId="3B774289">
      <w:pPr>
        <w:snapToGrid w:val="0"/>
        <w:spacing w:line="360" w:lineRule="auto"/>
        <w:ind w:firstLine="640" w:firstLineChars="200"/>
        <w:rPr>
          <w:rFonts w:ascii="仿宋_GB2312" w:eastAsia="仿宋_GB2312"/>
          <w:bCs/>
          <w:sz w:val="32"/>
          <w:szCs w:val="32"/>
        </w:rPr>
      </w:pPr>
      <w:r>
        <w:rPr>
          <w:rFonts w:hint="eastAsia" w:ascii="仿宋_GB2312" w:eastAsia="仿宋_GB2312"/>
          <w:bCs/>
          <w:sz w:val="32"/>
          <w:szCs w:val="32"/>
        </w:rPr>
        <w:t>盐边县公安局2021年无结转和结余。</w:t>
      </w:r>
    </w:p>
    <w:p w14:paraId="72C50064">
      <w:pPr>
        <w:widowControl/>
        <w:adjustRightInd w:val="0"/>
        <w:snapToGrid w:val="0"/>
        <w:spacing w:line="360" w:lineRule="auto"/>
        <w:ind w:firstLine="640" w:firstLineChars="200"/>
        <w:contextualSpacing/>
        <w:jc w:val="left"/>
        <w:rPr>
          <w:rFonts w:ascii="Times New Roman" w:hAnsi="Times New Roman" w:eastAsia="黑体"/>
          <w:color w:val="000000"/>
          <w:sz w:val="32"/>
          <w:szCs w:val="32"/>
        </w:rPr>
      </w:pPr>
      <w:r>
        <w:rPr>
          <w:rFonts w:ascii="Times New Roman" w:hAnsi="Times New Roman" w:eastAsia="黑体"/>
          <w:color w:val="000000"/>
          <w:sz w:val="32"/>
          <w:szCs w:val="32"/>
        </w:rPr>
        <w:t>三、部门预算绩效管理情况</w:t>
      </w:r>
    </w:p>
    <w:p w14:paraId="5E41DCD1">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（一）部门预算绩效管理</w:t>
      </w:r>
    </w:p>
    <w:p w14:paraId="42B59FBD">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1.绩效目标制定</w:t>
      </w:r>
    </w:p>
    <w:p w14:paraId="02E6CA28">
      <w:pPr>
        <w:widowControl/>
        <w:adjustRightInd w:val="0"/>
        <w:snapToGrid w:val="0"/>
        <w:spacing w:line="360" w:lineRule="auto"/>
        <w:ind w:firstLine="640" w:firstLineChars="200"/>
        <w:contextualSpacing/>
        <w:jc w:val="left"/>
        <w:rPr>
          <w:rFonts w:ascii="Times New Roman" w:hAnsi="Times New Roman" w:eastAsia="仿宋_GB2312"/>
          <w:color w:val="000000"/>
          <w:sz w:val="32"/>
          <w:szCs w:val="32"/>
        </w:rPr>
      </w:pPr>
      <w:r>
        <w:rPr>
          <w:rFonts w:hint="eastAsia" w:ascii="Times New Roman" w:hAnsi="Times New Roman" w:eastAsia="仿宋_GB2312"/>
          <w:color w:val="000000"/>
          <w:sz w:val="32"/>
          <w:szCs w:val="32"/>
        </w:rPr>
        <w:t>2021年，盐边县公安局继续按照统筹兼顾、厉行节约、讲求绩效、收支平衡的原则，严格落实《预算法》及省、市、县绩效管理工作的有关规定编制了部门预算。进一步规范财政资金的管理，强化财政支出绩效理念，提升部门责任意识，提高资金使用效率，促进公安工作又快又好的发展。全年支出基本做到了按预算执行，既保障了干部职工工资及对个人和家庭补助支出、日常公用经费等刚性支出，又围绕中心，服务大局，完成各项绩效目标。</w:t>
      </w:r>
    </w:p>
    <w:p w14:paraId="359AB1C5">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2.绩效目标执行情况</w:t>
      </w:r>
    </w:p>
    <w:p w14:paraId="370E2F5A">
      <w:pPr>
        <w:snapToGrid w:val="0"/>
        <w:spacing w:line="360" w:lineRule="auto"/>
        <w:ind w:firstLine="640" w:firstLineChars="200"/>
        <w:rPr>
          <w:rFonts w:ascii="仿宋_GB2312" w:hAnsi="仿宋" w:eastAsia="仿宋_GB2312"/>
          <w:color w:val="000000"/>
          <w:sz w:val="32"/>
          <w:szCs w:val="32"/>
        </w:rPr>
      </w:pPr>
      <w:r>
        <w:rPr>
          <w:rFonts w:hint="eastAsia" w:ascii="Times New Roman" w:hAnsi="Times New Roman" w:eastAsia="仿宋_GB2312"/>
          <w:color w:val="000000"/>
          <w:sz w:val="32"/>
          <w:szCs w:val="32"/>
        </w:rPr>
        <w:t>盐边县公安局2021年度全年资金拨付和使用均按计划进度完成，全年经费的拨付和使用均及时、合理，</w:t>
      </w:r>
      <w:r>
        <w:rPr>
          <w:rFonts w:hint="eastAsia" w:ascii="仿宋_GB2312" w:hAnsi="仿宋" w:eastAsia="仿宋_GB2312"/>
          <w:color w:val="000000"/>
          <w:sz w:val="32"/>
          <w:szCs w:val="32"/>
        </w:rPr>
        <w:t>按照项目资金管理办法实行专款专用，</w:t>
      </w:r>
      <w:r>
        <w:rPr>
          <w:rFonts w:hint="eastAsia" w:ascii="Times New Roman" w:hAnsi="Times New Roman" w:eastAsia="仿宋_GB2312"/>
          <w:color w:val="000000"/>
          <w:sz w:val="32"/>
          <w:szCs w:val="32"/>
        </w:rPr>
        <w:t>未发生因经费影响工作的情况。</w:t>
      </w:r>
      <w:r>
        <w:rPr>
          <w:rFonts w:hint="eastAsia" w:ascii="仿宋_GB2312" w:hAnsi="仿宋" w:eastAsia="仿宋_GB2312"/>
          <w:color w:val="000000"/>
          <w:sz w:val="32"/>
          <w:szCs w:val="32"/>
        </w:rPr>
        <w:t>坚决执行国家有关法律、法规和财务规章制度，厉行节约，制止奢侈浪费，量入为出，保证重点，兼顾一般，严格专款专用，防止了截留、挤占、挪用等问题发生，确保资金安全、规范、有效使用。</w:t>
      </w:r>
    </w:p>
    <w:p w14:paraId="3CC317FC">
      <w:pPr>
        <w:snapToGrid w:val="0"/>
        <w:spacing w:line="360" w:lineRule="auto"/>
        <w:ind w:firstLine="643" w:firstLineChars="200"/>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（1）人员类</w:t>
      </w:r>
    </w:p>
    <w:p w14:paraId="00CA2E04">
      <w:pPr>
        <w:snapToGrid w:val="0"/>
        <w:spacing w:line="360" w:lineRule="auto"/>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2021年度,使用一般公共预算财政拨款安排的职工工资支出、住房公积金支出等基本支出保障有力，盐边县公安局未将工资福利支出等大平台指标挪作他用，确保全年平稳保障职工工资支出，维持基本行政运转。</w:t>
      </w:r>
    </w:p>
    <w:p w14:paraId="2B97A884">
      <w:pPr>
        <w:snapToGrid w:val="0"/>
        <w:spacing w:line="360" w:lineRule="auto"/>
        <w:ind w:firstLine="640" w:firstLineChars="200"/>
        <w:rPr>
          <w:rFonts w:ascii="Times New Roman" w:hAnsi="Times New Roman" w:eastAsia="仿宋_GB2312"/>
          <w:color w:val="000000"/>
          <w:sz w:val="32"/>
          <w:szCs w:val="32"/>
        </w:rPr>
      </w:pPr>
      <w:r>
        <w:rPr>
          <w:rFonts w:hint="eastAsia" w:ascii="仿宋_GB2312" w:hAnsi="仿宋" w:eastAsia="仿宋_GB2312"/>
          <w:color w:val="000000"/>
          <w:sz w:val="32"/>
          <w:szCs w:val="32"/>
        </w:rPr>
        <w:t>人员经费支出5429.80万元，主要用于职工工资及福利待遇支出，</w:t>
      </w:r>
      <w:r>
        <w:rPr>
          <w:rFonts w:hint="eastAsia" w:ascii="Times New Roman" w:hAnsi="Times New Roman" w:eastAsia="仿宋_GB2312"/>
          <w:color w:val="000000"/>
          <w:sz w:val="32"/>
          <w:szCs w:val="32"/>
        </w:rPr>
        <w:t>干部职工工资及对个人和家庭补助支出足额按月及时进行拨付，预算执行率100%。</w:t>
      </w:r>
    </w:p>
    <w:p w14:paraId="4085E463">
      <w:pPr>
        <w:snapToGrid w:val="0"/>
        <w:spacing w:line="360" w:lineRule="auto"/>
        <w:ind w:firstLine="643" w:firstLineChars="200"/>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（2）运转类</w:t>
      </w:r>
    </w:p>
    <w:p w14:paraId="0AC38148">
      <w:pPr>
        <w:snapToGrid w:val="0"/>
        <w:spacing w:line="360" w:lineRule="auto"/>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2021年度,盐边县公安局在履行一般行政管理职能、维持机关日常运转而开支的机关运行经费呈下降趋势，全局厉行节约，杜绝各类非必要业务培训及差旅费支出；办公设备维护、耗材选购均货比三家，注重性价比，通过采取多种措施，切实严控各类公用经费支出。</w:t>
      </w:r>
    </w:p>
    <w:p w14:paraId="4EFAF30A">
      <w:pPr>
        <w:snapToGrid w:val="0"/>
        <w:spacing w:line="360" w:lineRule="auto"/>
        <w:ind w:firstLine="640" w:firstLineChars="200"/>
        <w:rPr>
          <w:rFonts w:ascii="Times New Roman" w:hAnsi="Times New Roman" w:eastAsia="仿宋_GB2312"/>
          <w:color w:val="000000"/>
          <w:sz w:val="32"/>
          <w:szCs w:val="32"/>
        </w:rPr>
      </w:pPr>
      <w:r>
        <w:rPr>
          <w:rFonts w:hint="eastAsia" w:ascii="仿宋_GB2312" w:hAnsi="仿宋" w:eastAsia="仿宋_GB2312"/>
          <w:color w:val="000000"/>
          <w:sz w:val="32"/>
          <w:szCs w:val="32"/>
        </w:rPr>
        <w:t>公用经费支出889.76万元，主要用于办公费、印刷费、水电费、车辆运行及维护费、差旅费、维修（护）费等日常公用经费，盐边县公安局严格按照资金用途申报、使用资金，均已足额按时支付，有力保障了公安业务的顺利开展，预算执行率100%。</w:t>
      </w:r>
    </w:p>
    <w:p w14:paraId="3F783608">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（3）特定目标类</w:t>
      </w:r>
    </w:p>
    <w:p w14:paraId="166D89AC">
      <w:pPr>
        <w:widowControl/>
        <w:adjustRightInd w:val="0"/>
        <w:snapToGrid w:val="0"/>
        <w:spacing w:line="360" w:lineRule="auto"/>
        <w:ind w:firstLine="640" w:firstLineChars="200"/>
        <w:contextualSpacing/>
        <w:jc w:val="left"/>
        <w:rPr>
          <w:rFonts w:ascii="仿宋_GB2312" w:hAnsi="仿宋" w:eastAsia="仿宋_GB2312"/>
          <w:color w:val="000000"/>
          <w:sz w:val="32"/>
          <w:szCs w:val="32"/>
        </w:rPr>
      </w:pPr>
      <w:r>
        <w:rPr>
          <w:rFonts w:hint="eastAsia" w:ascii="Times New Roman" w:hAnsi="Times New Roman" w:eastAsia="仿宋_GB2312"/>
          <w:color w:val="000000"/>
          <w:sz w:val="32"/>
          <w:szCs w:val="32"/>
        </w:rPr>
        <w:t>2021年</w:t>
      </w:r>
      <w:r>
        <w:rPr>
          <w:rFonts w:hint="eastAsia" w:ascii="仿宋_GB2312" w:hAnsi="仿宋" w:eastAsia="仿宋_GB2312"/>
          <w:color w:val="000000"/>
          <w:sz w:val="32"/>
          <w:szCs w:val="32"/>
        </w:rPr>
        <w:t>项目支出4731.94万元，主要用于公安行政、刑事案件办理，禁毒宣传、打击违法犯罪，治安防范，网络电信诈骗，网络赌博，森林防灭火等公安业务，及公安业务技术用房建设、公安涉案财物中心建设、格萨拉禁毒教育基地建设等基本建设、信息网络建设等支出，预算执行率100%。</w:t>
      </w:r>
    </w:p>
    <w:p w14:paraId="35CE5590">
      <w:pPr>
        <w:widowControl/>
        <w:adjustRightInd w:val="0"/>
        <w:snapToGrid w:val="0"/>
        <w:spacing w:line="360" w:lineRule="auto"/>
        <w:ind w:firstLine="640" w:firstLineChars="200"/>
        <w:contextualSpacing/>
        <w:jc w:val="left"/>
        <w:rPr>
          <w:rFonts w:ascii="仿宋_GB2312" w:hAnsi="仿宋" w:eastAsia="仿宋_GB2312"/>
          <w:color w:val="000000"/>
          <w:sz w:val="32"/>
          <w:szCs w:val="32"/>
        </w:rPr>
      </w:pPr>
      <w:r>
        <w:rPr>
          <w:rFonts w:hint="eastAsia" w:ascii="仿宋_GB2312" w:hAnsi="仿宋" w:eastAsia="仿宋_GB2312"/>
          <w:color w:val="000000"/>
          <w:sz w:val="32"/>
          <w:szCs w:val="32"/>
        </w:rPr>
        <w:t>2021年无资金结余，资金结余了0元。</w:t>
      </w:r>
    </w:p>
    <w:p w14:paraId="533B082E">
      <w:pPr>
        <w:widowControl/>
        <w:adjustRightInd w:val="0"/>
        <w:snapToGrid w:val="0"/>
        <w:spacing w:line="360" w:lineRule="auto"/>
        <w:ind w:firstLine="643" w:firstLineChars="200"/>
        <w:contextualSpacing/>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3.绩效目标完成情况</w:t>
      </w:r>
    </w:p>
    <w:p w14:paraId="644EFAC0">
      <w:pPr>
        <w:widowControl/>
        <w:adjustRightInd w:val="0"/>
        <w:snapToGrid w:val="0"/>
        <w:spacing w:line="360" w:lineRule="auto"/>
        <w:ind w:firstLine="640" w:firstLineChars="200"/>
        <w:contextualSpacing/>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盐边县公安局2021年部门预算整体绩效自评表》中的填列的指标，盐边县公安局共设置绩效目标18个，其中数量指标4个，质量指标3个，时效指标1人，成本指标3个，经济效益指标3个，社会效益指标1个，可持续影响指标1个，满意度指标2个。2021年全部完成。具体完成情况如下：</w:t>
      </w:r>
    </w:p>
    <w:p w14:paraId="2374CD00">
      <w:pPr>
        <w:widowControl/>
        <w:shd w:val="clear" w:color="auto" w:fill="FFFFFF"/>
        <w:adjustRightInd w:val="0"/>
        <w:snapToGrid w:val="0"/>
        <w:spacing w:line="360" w:lineRule="auto"/>
        <w:ind w:firstLine="480"/>
        <w:jc w:val="left"/>
        <w:textAlignment w:val="baseline"/>
        <w:rPr>
          <w:rFonts w:ascii="仿宋_GB2312" w:hAnsi="仿宋_GB2312" w:eastAsia="仿宋_GB2312" w:cs="仿宋_GB2312"/>
          <w:b/>
          <w:color w:val="000000"/>
          <w:spacing w:val="-8"/>
          <w:sz w:val="32"/>
          <w:szCs w:val="32"/>
          <w:shd w:val="clear" w:color="auto" w:fill="FFFFFF"/>
        </w:rPr>
      </w:pPr>
      <w:r>
        <w:rPr>
          <w:rFonts w:hint="eastAsia" w:ascii="仿宋_GB2312" w:hAnsi="仿宋_GB2312" w:eastAsia="仿宋_GB2312" w:cs="仿宋_GB2312"/>
          <w:b/>
          <w:color w:val="000000"/>
          <w:spacing w:val="-8"/>
          <w:sz w:val="32"/>
          <w:szCs w:val="32"/>
          <w:shd w:val="clear" w:color="auto" w:fill="FFFFFF"/>
        </w:rPr>
        <w:t>（1）强化忠诚使命，敢于担当，全力维护政治安全和社会稳定</w:t>
      </w:r>
    </w:p>
    <w:p w14:paraId="4929323D">
      <w:pPr>
        <w:adjustRightInd w:val="0"/>
        <w:snapToGrid w:val="0"/>
        <w:spacing w:line="360" w:lineRule="auto"/>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坚持把政治建警放在第一位，秉承情报引领，加强隐蔽战线斗争，建党100周年大庆安保取得完胜，辖区社会政治安全稳定。</w:t>
      </w:r>
    </w:p>
    <w:p w14:paraId="6AE68020">
      <w:pPr>
        <w:adjustRightInd w:val="0"/>
        <w:snapToGrid w:val="0"/>
        <w:spacing w:line="360" w:lineRule="auto"/>
        <w:ind w:firstLine="640"/>
        <w:rPr>
          <w:rFonts w:ascii="仿宋_GB2312" w:hAnsi="仿宋_GB2312" w:eastAsia="仿宋_GB2312" w:cs="仿宋_GB2312"/>
          <w:b/>
          <w:bCs/>
          <w:color w:val="000000"/>
          <w:kern w:val="0"/>
          <w:sz w:val="32"/>
          <w:szCs w:val="32"/>
          <w:shd w:val="clear" w:color="auto" w:fill="FFFFFF"/>
          <w:lang w:bidi="ar"/>
        </w:rPr>
      </w:pPr>
      <w:r>
        <w:rPr>
          <w:rFonts w:hint="eastAsia" w:ascii="仿宋_GB2312" w:hAnsi="仿宋_GB2312" w:eastAsia="仿宋_GB2312" w:cs="仿宋_GB2312"/>
          <w:b/>
          <w:bCs/>
          <w:color w:val="000000"/>
          <w:kern w:val="0"/>
          <w:sz w:val="32"/>
          <w:szCs w:val="32"/>
          <w:shd w:val="clear" w:color="auto" w:fill="FFFFFF"/>
          <w:lang w:bidi="ar"/>
        </w:rPr>
        <w:t>（2）坚持党建引领，创新驱动，促进业务工作提质增效</w:t>
      </w:r>
    </w:p>
    <w:p w14:paraId="7EAC7019">
      <w:pPr>
        <w:adjustRightInd w:val="0"/>
        <w:snapToGrid w:val="0"/>
        <w:spacing w:line="360" w:lineRule="auto"/>
        <w:ind w:firstLine="640" w:firstLineChars="20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sz w:val="32"/>
          <w:szCs w:val="32"/>
        </w:rPr>
        <w:t>坚持党建引领，全力推进基层党组织标准化规范化建设，</w:t>
      </w:r>
      <w:r>
        <w:rPr>
          <w:rFonts w:hint="eastAsia" w:ascii="仿宋_GB2312" w:hAnsi="仿宋_GB2312" w:eastAsia="仿宋_GB2312" w:cs="仿宋_GB2312"/>
          <w:color w:val="000000"/>
          <w:sz w:val="32"/>
          <w:szCs w:val="32"/>
          <w:shd w:val="clear" w:color="auto" w:fill="FFFFFF"/>
        </w:rPr>
        <w:t>以党建带队建、以队建促业务</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
          <w:color w:val="000000"/>
          <w:sz w:val="32"/>
          <w:szCs w:val="32"/>
        </w:rPr>
        <w:t>全力开展党建标准化规范化建设。</w:t>
      </w:r>
      <w:r>
        <w:rPr>
          <w:rFonts w:hint="eastAsia" w:ascii="仿宋_GB2312" w:hAnsi="仿宋_GB2312" w:eastAsia="仿宋_GB2312" w:cs="仿宋_GB2312"/>
          <w:color w:val="000000"/>
          <w:sz w:val="32"/>
          <w:szCs w:val="32"/>
        </w:rPr>
        <w:t>制定《盐边县公安局党支部标准化建设工作规范》，细化工作标准，组织开展党务学习培训、党建专题讲座，全局各支部规范落实“三会一课”，坚持每周通报党建工作情况，推动工作落实。严把党员“入口关”，全年发展正式党员2人、预备党员2人、组织10人参加入党积极分子培训。</w:t>
      </w:r>
      <w:r>
        <w:rPr>
          <w:rFonts w:hint="eastAsia" w:ascii="仿宋_GB2312" w:hAnsi="仿宋_GB2312" w:eastAsia="仿宋_GB2312" w:cs="仿宋_GB2312"/>
          <w:b/>
          <w:color w:val="000000"/>
          <w:sz w:val="32"/>
          <w:szCs w:val="32"/>
        </w:rPr>
        <w:t>全力抓好抓好党史学习教育。</w:t>
      </w:r>
      <w:r>
        <w:rPr>
          <w:rFonts w:hint="eastAsia" w:ascii="仿宋_GB2312" w:hAnsi="仿宋_GB2312" w:eastAsia="仿宋_GB2312" w:cs="仿宋_GB2312"/>
          <w:color w:val="000000"/>
          <w:sz w:val="32"/>
          <w:szCs w:val="32"/>
        </w:rPr>
        <w:t>将党史学习教育贯穿党建工作始终，通过开展党史宣讲、专题学习讨论等激励全警不忘初心、牢记使命，从党的百年伟大奋斗历程中汲取继续前进的智慧和力量。</w:t>
      </w:r>
      <w:r>
        <w:rPr>
          <w:rFonts w:hint="eastAsia" w:ascii="仿宋_GB2312" w:hAnsi="仿宋_GB2312" w:eastAsia="仿宋_GB2312" w:cs="仿宋_GB2312"/>
          <w:b/>
          <w:color w:val="000000"/>
          <w:kern w:val="0"/>
          <w:sz w:val="32"/>
          <w:szCs w:val="32"/>
        </w:rPr>
        <w:t>全力加强落实党风廉政建设。</w:t>
      </w:r>
      <w:r>
        <w:rPr>
          <w:rFonts w:hint="eastAsia" w:ascii="仿宋_GB2312" w:hAnsi="仿宋_GB2312" w:eastAsia="仿宋_GB2312" w:cs="仿宋_GB2312"/>
          <w:color w:val="000000"/>
          <w:kern w:val="0"/>
          <w:sz w:val="32"/>
          <w:szCs w:val="32"/>
        </w:rPr>
        <w:t>压实党风廉政建设责任，严格落实领导干部“一岗双责”，强化日常监督，实行半月、月、季通报督导检查情况，充分运用“四种形态”，</w:t>
      </w:r>
      <w:r>
        <w:rPr>
          <w:rFonts w:hint="eastAsia" w:ascii="仿宋_GB2312" w:hAnsi="仿宋_GB2312" w:eastAsia="仿宋_GB2312" w:cs="仿宋_GB2312"/>
          <w:color w:val="000000"/>
          <w:sz w:val="32"/>
          <w:szCs w:val="32"/>
        </w:rPr>
        <w:t>及时发现和纠正苗头性、倾向性问题，防微杜渐，</w:t>
      </w:r>
      <w:r>
        <w:rPr>
          <w:rFonts w:hint="eastAsia" w:ascii="仿宋_GB2312" w:hAnsi="仿宋_GB2312" w:eastAsia="仿宋_GB2312" w:cs="仿宋_GB2312"/>
          <w:color w:val="000000"/>
          <w:kern w:val="0"/>
          <w:sz w:val="32"/>
          <w:szCs w:val="32"/>
        </w:rPr>
        <w:t xml:space="preserve">不断改进工作作风。局领导每周驻点北部开展“三查五督四开展”各项工作，每周通报驻点工作情况，确保全局整体工作一体推进。          </w:t>
      </w:r>
    </w:p>
    <w:p w14:paraId="67F749A7">
      <w:pPr>
        <w:adjustRightInd w:val="0"/>
        <w:snapToGrid w:val="0"/>
        <w:spacing w:line="360" w:lineRule="auto"/>
        <w:ind w:firstLine="643"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rPr>
        <w:t>（3）</w:t>
      </w:r>
      <w:r>
        <w:rPr>
          <w:rFonts w:hint="eastAsia" w:ascii="仿宋_GB2312" w:hAnsi="仿宋_GB2312" w:eastAsia="仿宋_GB2312" w:cs="仿宋_GB2312"/>
          <w:b/>
          <w:bCs/>
          <w:color w:val="000000"/>
          <w:sz w:val="32"/>
          <w:szCs w:val="32"/>
          <w:shd w:val="clear" w:color="auto" w:fill="FFFFFF"/>
        </w:rPr>
        <w:t>聚焦公安主业，打防并举，全力提升群众安全感和满意度。</w:t>
      </w:r>
      <w:r>
        <w:rPr>
          <w:rFonts w:hint="eastAsia" w:ascii="仿宋_GB2312" w:hAnsi="仿宋_GB2312" w:eastAsia="仿宋_GB2312" w:cs="仿宋_GB2312"/>
          <w:color w:val="000000"/>
          <w:sz w:val="32"/>
          <w:szCs w:val="32"/>
        </w:rPr>
        <w:t>以</w:t>
      </w:r>
      <w:r>
        <w:rPr>
          <w:rFonts w:hint="eastAsia" w:ascii="仿宋_GB2312" w:hAnsi="仿宋_GB2312" w:eastAsia="仿宋_GB2312" w:cs="仿宋_GB2312"/>
          <w:color w:val="000000"/>
          <w:kern w:val="32"/>
          <w:sz w:val="32"/>
          <w:szCs w:val="32"/>
        </w:rPr>
        <w:t>“护旗”扫黑除恶 “断卡行动”“破案大会战”“无诈社区”创建等专项行动为主线，深入开展毒品犯罪、</w:t>
      </w:r>
      <w:r>
        <w:rPr>
          <w:rFonts w:hint="eastAsia" w:ascii="仿宋_GB2312" w:hAnsi="仿宋_GB2312" w:eastAsia="仿宋_GB2312" w:cs="仿宋_GB2312"/>
          <w:color w:val="000000"/>
          <w:sz w:val="32"/>
          <w:szCs w:val="32"/>
        </w:rPr>
        <w:t>长江流域十年禁捕、森林草原防灭火等专项整治，落实“打、防、管、控、治”工作措施，抓好预防打击违法犯罪工作，全力确保社会治安大局稳定。</w:t>
      </w:r>
    </w:p>
    <w:p w14:paraId="033B73B0">
      <w:pPr>
        <w:adjustRightInd w:val="0"/>
        <w:snapToGrid w:val="0"/>
        <w:spacing w:line="360" w:lineRule="auto"/>
        <w:ind w:firstLine="643" w:firstLineChars="200"/>
        <w:jc w:val="left"/>
        <w:rPr>
          <w:rFonts w:ascii="仿宋_GB2312" w:hAnsi="仿宋_GB2312" w:eastAsia="仿宋_GB2312" w:cs="仿宋_GB2312"/>
          <w:color w:val="000000"/>
          <w:spacing w:val="-10"/>
          <w:sz w:val="32"/>
          <w:szCs w:val="32"/>
        </w:rPr>
      </w:pPr>
      <w:r>
        <w:rPr>
          <w:rFonts w:hint="eastAsia" w:ascii="仿宋_GB2312" w:hAnsi="仿宋_GB2312" w:eastAsia="仿宋_GB2312" w:cs="仿宋_GB2312"/>
          <w:b/>
          <w:color w:val="000000"/>
          <w:sz w:val="32"/>
          <w:szCs w:val="32"/>
        </w:rPr>
        <w:t>严打违法犯罪。</w:t>
      </w:r>
      <w:r>
        <w:rPr>
          <w:rFonts w:hint="eastAsia" w:ascii="仿宋_GB2312" w:hAnsi="仿宋_GB2312" w:eastAsia="仿宋_GB2312" w:cs="仿宋_GB2312"/>
          <w:color w:val="000000"/>
          <w:kern w:val="32"/>
          <w:sz w:val="32"/>
          <w:szCs w:val="32"/>
        </w:rPr>
        <w:t>以“护旗”扫黑除恶</w:t>
      </w:r>
      <w:bookmarkStart w:id="0" w:name="_GoBack"/>
      <w:bookmarkEnd w:id="0"/>
      <w:r>
        <w:rPr>
          <w:rFonts w:hint="eastAsia" w:ascii="仿宋_GB2312" w:hAnsi="仿宋_GB2312" w:eastAsia="仿宋_GB2312" w:cs="仿宋_GB2312"/>
          <w:color w:val="000000"/>
          <w:kern w:val="32"/>
          <w:sz w:val="32"/>
          <w:szCs w:val="32"/>
        </w:rPr>
        <w:t xml:space="preserve"> “断卡行动”“无诈社区”创建等专项行动为主线，严打违法犯罪行为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今年1-12月，立刑事案件313起，破162起，破案率51.76%；抓获逃犯42名，其中公安部钉子逃犯1名。核查涉黑涉恶线索13条，线索成案4条；立案侦办九类涉恶案件7起，采取刑事强制措施33人；起诉九类涉恶案件6件、犯罪嫌疑人38人。</w:t>
      </w:r>
      <w:r>
        <w:rPr>
          <w:rFonts w:hint="eastAsia" w:ascii="仿宋_GB2312" w:hAnsi="仿宋_GB2312" w:eastAsia="仿宋_GB2312" w:cs="仿宋_GB2312"/>
          <w:color w:val="000000"/>
          <w:sz w:val="32"/>
          <w:szCs w:val="32"/>
        </w:rPr>
        <w:t>查处行政案件944</w:t>
      </w:r>
      <w:r>
        <w:rPr>
          <w:rFonts w:hint="eastAsia" w:ascii="仿宋_GB2312" w:hAnsi="仿宋_GB2312" w:eastAsia="仿宋_GB2312" w:cs="仿宋_GB2312"/>
          <w:color w:val="000000"/>
          <w:spacing w:val="-10"/>
          <w:sz w:val="32"/>
          <w:szCs w:val="32"/>
        </w:rPr>
        <w:t>件，查处违法行为人1262人。查处各类道路交通违法行为42566起。</w:t>
      </w:r>
    </w:p>
    <w:p w14:paraId="1A311257">
      <w:pPr>
        <w:adjustRightInd w:val="0"/>
        <w:snapToGrid w:val="0"/>
        <w:spacing w:line="360" w:lineRule="auto"/>
        <w:ind w:firstLine="643" w:firstLineChars="200"/>
        <w:jc w:val="left"/>
        <w:rPr>
          <w:rFonts w:ascii="仿宋_GB2312" w:hAnsi="仿宋_GB2312" w:eastAsia="仿宋_GB2312" w:cs="仿宋_GB2312"/>
          <w:color w:val="000000"/>
          <w:spacing w:val="-8"/>
          <w:sz w:val="32"/>
          <w:szCs w:val="32"/>
        </w:rPr>
      </w:pPr>
      <w:r>
        <w:rPr>
          <w:rFonts w:hint="eastAsia" w:ascii="仿宋_GB2312" w:hAnsi="仿宋_GB2312" w:eastAsia="仿宋_GB2312" w:cs="仿宋_GB2312"/>
          <w:b/>
          <w:bCs/>
          <w:color w:val="000000"/>
          <w:kern w:val="0"/>
          <w:sz w:val="32"/>
          <w:szCs w:val="32"/>
          <w:shd w:val="clear" w:color="auto" w:fill="FFFFFF"/>
        </w:rPr>
        <w:t>严密社会面管控。</w:t>
      </w:r>
      <w:r>
        <w:rPr>
          <w:rFonts w:hint="eastAsia" w:ascii="仿宋_GB2312" w:hAnsi="仿宋_GB2312" w:eastAsia="仿宋_GB2312" w:cs="仿宋_GB2312"/>
          <w:bCs/>
          <w:color w:val="000000"/>
          <w:kern w:val="0"/>
          <w:sz w:val="32"/>
          <w:szCs w:val="32"/>
          <w:shd w:val="clear" w:color="auto" w:fill="FFFFFF"/>
        </w:rPr>
        <w:t>推动立体化治安防控体系建设，</w:t>
      </w:r>
      <w:r>
        <w:rPr>
          <w:rFonts w:hint="eastAsia" w:ascii="仿宋_GB2312" w:hAnsi="仿宋_GB2312" w:eastAsia="仿宋_GB2312" w:cs="仿宋_GB2312"/>
          <w:color w:val="000000"/>
          <w:sz w:val="32"/>
          <w:szCs w:val="32"/>
        </w:rPr>
        <w:t>实施精准防控和“巡警++派出所”加强型巡防模式，构建完善 “协同巡” “联勤巡” “常态巡”等机制，</w:t>
      </w:r>
      <w:r>
        <w:rPr>
          <w:rFonts w:hint="eastAsia" w:ascii="仿宋_GB2312" w:hAnsi="仿宋_GB2312" w:eastAsia="仿宋_GB2312" w:cs="仿宋_GB2312"/>
          <w:sz w:val="32"/>
          <w:szCs w:val="32"/>
        </w:rPr>
        <w:t>落实“1.3.5”快反，在县城移民广场开展街面屯警，开展“135”快反拉动演练16次，应急处置能力得以有力提升。出动警力5200余人次、车辆2100余台次，强化巡逻防控与护学岗工作，提高见警率、管事率，街面犯罪“两抢一盗”得到了有效遏制。</w:t>
      </w:r>
      <w:r>
        <w:rPr>
          <w:rFonts w:hint="eastAsia" w:ascii="仿宋_GB2312" w:hAnsi="仿宋_GB2312" w:eastAsia="仿宋_GB2312" w:cs="仿宋_GB2312"/>
          <w:color w:val="000000"/>
          <w:sz w:val="32"/>
          <w:szCs w:val="32"/>
        </w:rPr>
        <w:t>在重要节点、重要时段，抽调机关单位民警、巡警，在雅江桥、盐边高速出口、新九高速出口、和爱路</w:t>
      </w:r>
      <w:r>
        <w:rPr>
          <w:rFonts w:hint="eastAsia" w:ascii="仿宋_GB2312" w:hAnsi="仿宋_GB2312" w:eastAsia="仿宋_GB2312" w:cs="仿宋_GB2312"/>
          <w:color w:val="000000"/>
          <w:spacing w:val="-8"/>
          <w:sz w:val="32"/>
          <w:szCs w:val="32"/>
        </w:rPr>
        <w:t>段设置治安卡点开展盘查工作，盘查人员74429人，车辆35457台。</w:t>
      </w:r>
    </w:p>
    <w:p w14:paraId="7E5A39F0">
      <w:pPr>
        <w:adjustRightInd w:val="0"/>
        <w:snapToGrid w:val="0"/>
        <w:spacing w:line="360" w:lineRule="auto"/>
        <w:ind w:firstLine="611" w:firstLineChars="200"/>
        <w:jc w:val="left"/>
        <w:rPr>
          <w:rFonts w:ascii="仿宋_GB2312" w:hAnsi="仿宋_GB2312" w:eastAsia="仿宋_GB2312" w:cs="仿宋_GB2312"/>
          <w:sz w:val="32"/>
          <w:szCs w:val="32"/>
        </w:rPr>
      </w:pPr>
      <w:r>
        <w:rPr>
          <w:rFonts w:hint="eastAsia" w:ascii="仿宋_GB2312" w:hAnsi="仿宋_GB2312" w:eastAsia="仿宋_GB2312" w:cs="仿宋_GB2312"/>
          <w:b/>
          <w:bCs/>
          <w:color w:val="000000"/>
          <w:spacing w:val="-8"/>
          <w:sz w:val="32"/>
          <w:szCs w:val="32"/>
        </w:rPr>
        <w:t>严厉</w:t>
      </w:r>
      <w:r>
        <w:rPr>
          <w:rFonts w:hint="eastAsia" w:ascii="仿宋_GB2312" w:hAnsi="仿宋_GB2312" w:eastAsia="仿宋_GB2312" w:cs="仿宋_GB2312"/>
          <w:b/>
          <w:sz w:val="32"/>
          <w:szCs w:val="32"/>
        </w:rPr>
        <w:t>打击传统侵财犯罪。</w:t>
      </w:r>
      <w:r>
        <w:rPr>
          <w:rFonts w:hint="eastAsia" w:ascii="仿宋_GB2312" w:hAnsi="仿宋_GB2312" w:eastAsia="仿宋_GB2312" w:cs="仿宋_GB2312"/>
          <w:sz w:val="32"/>
          <w:szCs w:val="32"/>
        </w:rPr>
        <w:t>认真开展“严打打击传统侵财犯罪”专项行动，切实保障人民群众财产安全。截至目前，全县侵财类案件立案55起，破案28起，抓获犯罪嫌疑人25人，侦破传统盗抢骗串案3串32案，侦破跨省盗抢骗案件2串12案，起诉侵财类犯罪嫌疑人26人。</w:t>
      </w:r>
    </w:p>
    <w:p w14:paraId="0C3623C0">
      <w:pPr>
        <w:adjustRightInd w:val="0"/>
        <w:snapToGrid w:val="0"/>
        <w:spacing w:line="360" w:lineRule="auto"/>
        <w:ind w:firstLine="643"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b/>
          <w:sz w:val="32"/>
          <w:szCs w:val="32"/>
        </w:rPr>
        <w:t>涉网违法犯罪打击成效明显。</w:t>
      </w:r>
      <w:r>
        <w:rPr>
          <w:rFonts w:hint="eastAsia" w:ascii="仿宋_GB2312" w:hAnsi="仿宋_GB2312" w:eastAsia="仿宋_GB2312" w:cs="仿宋_GB2312"/>
          <w:sz w:val="32"/>
          <w:szCs w:val="32"/>
        </w:rPr>
        <w:t>充分利用情报资源优势，狠抓涉网违法犯罪打击，通过深入网络情报线索分析研判，全年移送起诉网络犯罪案件10件，其中省部督案件1件，移送起诉犯罪嫌</w:t>
      </w:r>
      <w:r>
        <w:rPr>
          <w:rFonts w:hint="eastAsia" w:ascii="仿宋_GB2312" w:hAnsi="仿宋_GB2312" w:eastAsia="仿宋_GB2312" w:cs="仿宋_GB2312"/>
          <w:spacing w:val="-8"/>
          <w:sz w:val="32"/>
          <w:szCs w:val="32"/>
        </w:rPr>
        <w:t>疑人32名，公诉案件9件，公诉29人。</w:t>
      </w:r>
      <w:r>
        <w:rPr>
          <w:rFonts w:hint="eastAsia" w:ascii="仿宋_GB2312" w:hAnsi="仿宋_GB2312" w:eastAsia="仿宋_GB2312" w:cs="仿宋_GB2312"/>
          <w:color w:val="000000"/>
          <w:sz w:val="32"/>
          <w:szCs w:val="32"/>
        </w:rPr>
        <w:t>破获“幸运彩等平台开设赌博案”等多起重大网络赌博案件，抓获犯罪嫌疑人29名。</w:t>
      </w:r>
    </w:p>
    <w:p w14:paraId="7C45A5C5">
      <w:pPr>
        <w:adjustRightInd w:val="0"/>
        <w:snapToGrid w:val="0"/>
        <w:spacing w:line="360" w:lineRule="auto"/>
        <w:ind w:firstLine="643" w:firstLineChars="200"/>
        <w:jc w:val="left"/>
        <w:rPr>
          <w:rFonts w:ascii="仿宋_GB2312" w:hAnsi="仿宋_GB2312" w:eastAsia="仿宋_GB2312" w:cs="仿宋_GB2312"/>
          <w:color w:val="000000"/>
          <w:kern w:val="32"/>
          <w:sz w:val="32"/>
          <w:szCs w:val="32"/>
        </w:rPr>
      </w:pPr>
      <w:r>
        <w:rPr>
          <w:rFonts w:hint="eastAsia" w:ascii="仿宋_GB2312" w:hAnsi="仿宋_GB2312" w:eastAsia="仿宋_GB2312" w:cs="仿宋_GB2312"/>
          <w:b/>
          <w:bCs/>
          <w:color w:val="000000"/>
          <w:sz w:val="32"/>
          <w:szCs w:val="32"/>
        </w:rPr>
        <w:t>严打涉毒违法犯罪。</w:t>
      </w:r>
      <w:r>
        <w:rPr>
          <w:rFonts w:hint="eastAsia" w:ascii="仿宋_GB2312" w:hAnsi="仿宋_GB2312" w:eastAsia="仿宋_GB2312" w:cs="仿宋_GB2312"/>
          <w:sz w:val="32"/>
          <w:szCs w:val="32"/>
        </w:rPr>
        <w:t>在盐边县毒情形势逐渐好转、吸贩毒违法犯罪日益减少的情况下，加强与周边区域公安机关协作力度，强化涉毒违法行为打击，抓获涉毒犯罪嫌疑人24人，起诉涉毒案件14件，起诉涉毒犯罪嫌疑人20人，查处吸毒人员79人次，强制隔离戒毒8人，缴获毒品海洛因72克，</w:t>
      </w:r>
      <w:r>
        <w:rPr>
          <w:rFonts w:hint="eastAsia" w:ascii="仿宋_GB2312" w:hAnsi="仿宋_GB2312" w:eastAsia="仿宋_GB2312" w:cs="仿宋_GB2312"/>
          <w:color w:val="000000"/>
          <w:kern w:val="32"/>
          <w:sz w:val="32"/>
          <w:szCs w:val="32"/>
        </w:rPr>
        <w:t>全县无18岁以下吸毒人员，社区康复和社区戒毒管控率达100%，毒情形势呈“四下降一上升”。</w:t>
      </w:r>
    </w:p>
    <w:p w14:paraId="6D1F8234">
      <w:pPr>
        <w:adjustRightInd w:val="0"/>
        <w:snapToGrid w:val="0"/>
        <w:spacing w:line="360" w:lineRule="auto"/>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sz w:val="32"/>
          <w:szCs w:val="32"/>
        </w:rPr>
        <w:t>严打危害食药环林</w:t>
      </w:r>
      <w:r>
        <w:rPr>
          <w:rFonts w:hint="eastAsia" w:ascii="仿宋_GB2312" w:hAnsi="仿宋_GB2312" w:eastAsia="仿宋_GB2312" w:cs="仿宋_GB2312"/>
          <w:b/>
          <w:bCs/>
          <w:color w:val="000000"/>
          <w:sz w:val="32"/>
          <w:szCs w:val="32"/>
        </w:rPr>
        <w:t>违法犯罪</w:t>
      </w:r>
      <w:r>
        <w:rPr>
          <w:rFonts w:hint="eastAsia" w:ascii="仿宋_GB2312" w:hAnsi="仿宋_GB2312" w:eastAsia="仿宋_GB2312" w:cs="仿宋_GB2312"/>
          <w:b/>
          <w:sz w:val="32"/>
          <w:szCs w:val="32"/>
        </w:rPr>
        <w:t>。</w:t>
      </w:r>
      <w:r>
        <w:rPr>
          <w:rFonts w:hint="eastAsia" w:ascii="仿宋_GB2312" w:hAnsi="仿宋_GB2312" w:eastAsia="仿宋_GB2312" w:cs="仿宋_GB2312"/>
          <w:sz w:val="32"/>
          <w:szCs w:val="32"/>
        </w:rPr>
        <w:t>加强二滩库区周边的渔门、共和、国胜、红果、永兴、惠民等非法捕捞案件多发地重点乡镇，水产品交易地、涉渔餐饮场所等重点区域的巡逻检查。与县级相关部门加强联合巡查，办理2起非法捕捞水产品案。移交行政部门1件，行政罚款0.2元。立食药林案件13件，移送起诉7件11人。</w:t>
      </w:r>
    </w:p>
    <w:p w14:paraId="386BFF89">
      <w:pPr>
        <w:adjustRightInd w:val="0"/>
        <w:snapToGrid w:val="0"/>
        <w:spacing w:line="360" w:lineRule="auto"/>
        <w:rPr>
          <w:rFonts w:ascii="Times New Roman" w:hAnsi="Times New Roman" w:eastAsia="楷体_GB2312"/>
          <w:b/>
          <w:color w:val="000000"/>
          <w:sz w:val="32"/>
          <w:szCs w:val="32"/>
          <w:shd w:val="clear" w:color="auto" w:fill="FFFFFF"/>
        </w:rPr>
      </w:pPr>
      <w:r>
        <w:rPr>
          <w:rFonts w:ascii="Times New Roman" w:hAnsi="Times New Roman"/>
          <w:b/>
          <w:color w:val="000000"/>
          <w:sz w:val="32"/>
          <w:szCs w:val="32"/>
          <w:shd w:val="clear" w:color="auto" w:fill="FFFFFF"/>
        </w:rPr>
        <w:t xml:space="preserve">  </w:t>
      </w:r>
      <w:r>
        <w:rPr>
          <w:rFonts w:hint="eastAsia" w:ascii="Times New Roman" w:hAnsi="Times New Roman"/>
          <w:b/>
          <w:color w:val="000000"/>
          <w:sz w:val="32"/>
          <w:szCs w:val="32"/>
          <w:shd w:val="clear" w:color="auto" w:fill="FFFFFF"/>
        </w:rPr>
        <w:t xml:space="preserve"> </w:t>
      </w:r>
      <w:r>
        <w:rPr>
          <w:rFonts w:ascii="Times New Roman" w:hAnsi="Times New Roman"/>
          <w:bCs/>
          <w:color w:val="000000"/>
          <w:sz w:val="32"/>
          <w:szCs w:val="32"/>
          <w:shd w:val="clear" w:color="auto" w:fill="FFFFFF"/>
        </w:rPr>
        <w:t xml:space="preserve"> </w:t>
      </w:r>
      <w:r>
        <w:rPr>
          <w:rFonts w:hint="eastAsia" w:ascii="Times New Roman" w:hAnsi="Times New Roman"/>
          <w:b/>
          <w:color w:val="000000"/>
          <w:sz w:val="32"/>
          <w:szCs w:val="32"/>
          <w:shd w:val="clear" w:color="auto" w:fill="FFFFFF"/>
        </w:rPr>
        <w:t>（4）</w:t>
      </w:r>
      <w:r>
        <w:rPr>
          <w:rFonts w:ascii="Times New Roman" w:hAnsi="Times New Roman" w:eastAsia="楷体_GB2312"/>
          <w:b/>
          <w:color w:val="000000"/>
          <w:sz w:val="32"/>
          <w:szCs w:val="32"/>
          <w:shd w:val="clear" w:color="auto" w:fill="FFFFFF"/>
        </w:rPr>
        <w:t>紧盯中心工作，服务发展，不断优化法治化营商环境</w:t>
      </w:r>
    </w:p>
    <w:p w14:paraId="3B7CF06D">
      <w:pPr>
        <w:adjustRightInd w:val="0"/>
        <w:snapToGrid w:val="0"/>
        <w:spacing w:line="360" w:lineRule="auto"/>
        <w:ind w:firstLine="640" w:firstLineChars="200"/>
        <w:rPr>
          <w:rFonts w:ascii="Times New Roman" w:hAnsi="Times New Roman" w:eastAsia="仿宋_GB2312"/>
          <w:color w:val="000000"/>
          <w:sz w:val="32"/>
          <w:szCs w:val="32"/>
          <w:shd w:val="clear" w:color="auto" w:fill="FFFFFF"/>
        </w:rPr>
      </w:pPr>
      <w:r>
        <w:rPr>
          <w:rFonts w:ascii="Times New Roman" w:hAnsi="Times New Roman" w:eastAsia="仿宋_GB2312"/>
          <w:color w:val="000000"/>
          <w:kern w:val="0"/>
          <w:sz w:val="32"/>
          <w:szCs w:val="32"/>
          <w:shd w:val="clear" w:color="auto" w:fill="FFFFFF"/>
          <w:lang w:bidi="ar"/>
        </w:rPr>
        <w:t>聚焦县委县政府中心工作，主动服务全县发展大局，在服务发展、优化营商环境方面取得显著成果。</w:t>
      </w:r>
      <w:r>
        <w:rPr>
          <w:rFonts w:ascii="Times New Roman" w:hAnsi="Times New Roman" w:eastAsia="仿宋_GB2312"/>
          <w:color w:val="000000"/>
          <w:sz w:val="32"/>
          <w:szCs w:val="32"/>
          <w:shd w:val="clear" w:color="auto" w:fill="FFFFFF"/>
        </w:rPr>
        <w:t xml:space="preserve"> </w:t>
      </w:r>
    </w:p>
    <w:p w14:paraId="687BCD93">
      <w:pPr>
        <w:adjustRightInd w:val="0"/>
        <w:snapToGrid w:val="0"/>
        <w:spacing w:line="360" w:lineRule="auto"/>
        <w:ind w:firstLine="643" w:firstLineChars="200"/>
        <w:rPr>
          <w:rFonts w:ascii="Times New Roman" w:hAnsi="Times New Roman" w:eastAsia="仿宋_GB2312"/>
          <w:color w:val="000000"/>
          <w:sz w:val="32"/>
          <w:szCs w:val="32"/>
        </w:rPr>
      </w:pPr>
      <w:r>
        <w:rPr>
          <w:rFonts w:ascii="Times New Roman" w:hAnsi="Times New Roman" w:eastAsia="仿宋_GB2312"/>
          <w:b/>
          <w:color w:val="000000"/>
          <w:sz w:val="32"/>
          <w:szCs w:val="32"/>
          <w:shd w:val="clear" w:color="auto" w:fill="FFFFFF"/>
        </w:rPr>
        <w:t>做实安保维稳。</w:t>
      </w:r>
      <w:r>
        <w:rPr>
          <w:rFonts w:ascii="Times New Roman" w:hAnsi="Times New Roman" w:eastAsia="仿宋_GB2312"/>
          <w:color w:val="000000"/>
          <w:sz w:val="32"/>
          <w:szCs w:val="32"/>
        </w:rPr>
        <w:t>以庆祝建党100周年安保维稳工作为中心，把维护政治安全和社会稳定放在首位，</w:t>
      </w:r>
      <w:r>
        <w:rPr>
          <w:rFonts w:ascii="Times New Roman" w:hAnsi="Times New Roman" w:eastAsia="仿宋_GB2312"/>
          <w:color w:val="000000"/>
          <w:kern w:val="0"/>
          <w:sz w:val="32"/>
          <w:szCs w:val="32"/>
          <w:shd w:val="clear" w:color="auto" w:fill="FFFFFF"/>
          <w:lang w:bidi="ar"/>
        </w:rPr>
        <w:t>全力反暴恐、打邪教、化矛盾、防风险，接连打赢重大节庆、重要会议等敏感节点、县域内重大活动安保维稳硬仗。</w:t>
      </w:r>
      <w:r>
        <w:rPr>
          <w:rFonts w:ascii="Times New Roman" w:hAnsi="Times New Roman" w:eastAsia="仿宋_GB2312"/>
          <w:color w:val="000000"/>
          <w:sz w:val="32"/>
          <w:szCs w:val="32"/>
        </w:rPr>
        <w:t>出动警力1000余人次，圆满完成重点项目集中开工、中高考、全省巩固拓展脱贫攻坚成果同乡村振兴有效衔接现场会等重大安保工作。</w:t>
      </w:r>
    </w:p>
    <w:p w14:paraId="3861A329">
      <w:pPr>
        <w:adjustRightInd w:val="0"/>
        <w:snapToGrid w:val="0"/>
        <w:spacing w:line="360" w:lineRule="auto"/>
        <w:ind w:firstLine="643" w:firstLineChars="200"/>
        <w:rPr>
          <w:rFonts w:ascii="Times New Roman" w:hAnsi="Times New Roman" w:eastAsia="仿宋_GB2312"/>
          <w:color w:val="000000"/>
          <w:sz w:val="32"/>
          <w:szCs w:val="32"/>
        </w:rPr>
      </w:pPr>
      <w:r>
        <w:rPr>
          <w:rFonts w:ascii="Times New Roman" w:hAnsi="Times New Roman" w:eastAsia="仿宋_GB2312"/>
          <w:b/>
          <w:color w:val="000000"/>
          <w:sz w:val="32"/>
          <w:szCs w:val="32"/>
        </w:rPr>
        <w:t>做实安全监管。</w:t>
      </w:r>
      <w:r>
        <w:rPr>
          <w:rFonts w:ascii="Times New Roman" w:hAnsi="Times New Roman" w:eastAsia="仿宋_GB2312"/>
          <w:color w:val="000000"/>
          <w:sz w:val="32"/>
          <w:szCs w:val="32"/>
        </w:rPr>
        <w:t>抓实“两整治一排查”专项行动，</w:t>
      </w:r>
      <w:r>
        <w:rPr>
          <w:rFonts w:ascii="Times New Roman" w:hAnsi="Times New Roman" w:eastAsia="仿宋_GB2312"/>
          <w:color w:val="000000"/>
          <w:kern w:val="0"/>
          <w:sz w:val="32"/>
          <w:szCs w:val="32"/>
        </w:rPr>
        <w:t>常态化开展道路交通、涉危涉爆、大型活动、消防等重点领域安全隐患排查整治，严防重特大公共安全事故。</w:t>
      </w:r>
      <w:r>
        <w:rPr>
          <w:rFonts w:ascii="Times New Roman" w:hAnsi="Times New Roman" w:eastAsia="仿宋_GB2312"/>
          <w:color w:val="000000"/>
          <w:sz w:val="32"/>
          <w:szCs w:val="32"/>
        </w:rPr>
        <w:t>全县道路交通安全形势总体平稳可控，一般程序道路交通事故四项指数全面下降，连续42个月没有发生一次死亡3人以上的较大道路交通事故。严格落实“两个标准”“三个到位” “四个严格”，确保了全县民用爆炸物品、烟花爆炸、剧毒化学品、放射源安全使用，未发生涉及公安监管不力安全事故。</w:t>
      </w:r>
    </w:p>
    <w:p w14:paraId="6F08A912">
      <w:pPr>
        <w:adjustRightInd w:val="0"/>
        <w:snapToGrid w:val="0"/>
        <w:spacing w:line="360" w:lineRule="auto"/>
        <w:ind w:firstLine="643" w:firstLineChars="200"/>
        <w:rPr>
          <w:rFonts w:ascii="Times New Roman" w:hAnsi="Times New Roman" w:eastAsia="仿宋_GB2312"/>
          <w:snapToGrid w:val="0"/>
          <w:color w:val="000000"/>
          <w:kern w:val="0"/>
          <w:position w:val="2"/>
          <w:sz w:val="32"/>
          <w:szCs w:val="32"/>
        </w:rPr>
      </w:pPr>
      <w:r>
        <w:rPr>
          <w:rFonts w:ascii="Times New Roman" w:hAnsi="Times New Roman" w:eastAsia="仿宋_GB2312"/>
          <w:b/>
          <w:color w:val="000000"/>
          <w:sz w:val="32"/>
          <w:szCs w:val="32"/>
        </w:rPr>
        <w:t>做实疫情防控。一是</w:t>
      </w:r>
      <w:r>
        <w:rPr>
          <w:rFonts w:ascii="Times New Roman" w:hAnsi="Times New Roman" w:eastAsia="仿宋_GB2312"/>
          <w:color w:val="000000"/>
          <w:sz w:val="32"/>
          <w:szCs w:val="32"/>
        </w:rPr>
        <w:t>落实疫情常态化防控工作，设置3个卡点，每日抽调警力30人次，配合县级相关部门，全面排查入盐人员10万余人。</w:t>
      </w:r>
      <w:r>
        <w:rPr>
          <w:rFonts w:ascii="Times New Roman" w:hAnsi="Times New Roman" w:eastAsia="仿宋_GB2312"/>
          <w:b/>
          <w:color w:val="000000"/>
          <w:sz w:val="32"/>
          <w:szCs w:val="32"/>
        </w:rPr>
        <w:t>二是</w:t>
      </w:r>
      <w:r>
        <w:rPr>
          <w:rFonts w:ascii="Times New Roman" w:hAnsi="Times New Roman" w:eastAsia="仿宋_GB2312"/>
          <w:color w:val="000000"/>
          <w:sz w:val="32"/>
          <w:szCs w:val="32"/>
        </w:rPr>
        <w:t>推动数据排查高效运转，协同卫健部门核查大数据3万余条，逐一排查、逐一反馈、逐一落实管控，有力确保全县疫情“零感染”</w:t>
      </w:r>
      <w:r>
        <w:rPr>
          <w:rFonts w:ascii="Times New Roman" w:hAnsi="Times New Roman" w:eastAsia="仿宋_GB2312"/>
          <w:color w:val="000000"/>
          <w:sz w:val="32"/>
          <w:szCs w:val="32"/>
          <w:shd w:val="clear" w:color="auto" w:fill="FFFFFF"/>
        </w:rPr>
        <w:t>。</w:t>
      </w:r>
      <w:r>
        <w:rPr>
          <w:rFonts w:ascii="Times New Roman" w:hAnsi="Times New Roman" w:eastAsia="仿宋_GB2312"/>
          <w:b/>
          <w:color w:val="000000"/>
          <w:sz w:val="32"/>
          <w:szCs w:val="32"/>
          <w:shd w:val="clear" w:color="auto" w:fill="FFFFFF"/>
        </w:rPr>
        <w:t>三是</w:t>
      </w:r>
      <w:r>
        <w:rPr>
          <w:rFonts w:ascii="Times New Roman" w:hAnsi="Times New Roman" w:eastAsia="仿宋_GB2312"/>
          <w:color w:val="000000"/>
          <w:sz w:val="32"/>
          <w:szCs w:val="32"/>
          <w:shd w:val="clear" w:color="auto" w:fill="FFFFFF"/>
        </w:rPr>
        <w:t>强化内部疫情防控，为全体民辅警配发口罩、酒精等防控物资，严格落实分餐制、内部消杀等工作措施，确保内部安全。</w:t>
      </w:r>
      <w:r>
        <w:rPr>
          <w:rFonts w:ascii="Times New Roman" w:hAnsi="Times New Roman" w:eastAsia="仿宋_GB2312"/>
          <w:color w:val="000000"/>
          <w:sz w:val="32"/>
          <w:szCs w:val="32"/>
        </w:rPr>
        <w:t>全局483人接种新冠肺炎疫苗、506人全部开展核酸检测，为民辅警执法办案、维护稳定提供保障。</w:t>
      </w:r>
      <w:r>
        <w:rPr>
          <w:rFonts w:ascii="Times New Roman" w:hAnsi="Times New Roman" w:eastAsia="仿宋_GB2312"/>
          <w:b/>
          <w:color w:val="000000"/>
          <w:sz w:val="32"/>
          <w:szCs w:val="32"/>
        </w:rPr>
        <w:t>四是</w:t>
      </w:r>
      <w:r>
        <w:rPr>
          <w:rFonts w:ascii="Times New Roman" w:hAnsi="Times New Roman" w:eastAsia="仿宋_GB2312"/>
          <w:color w:val="000000"/>
          <w:sz w:val="32"/>
          <w:szCs w:val="32"/>
        </w:rPr>
        <w:t>看守所落实“铁桶工程”，</w:t>
      </w:r>
      <w:r>
        <w:rPr>
          <w:rFonts w:ascii="Times New Roman" w:hAnsi="Times New Roman" w:eastAsia="仿宋_GB2312"/>
          <w:snapToGrid w:val="0"/>
          <w:color w:val="000000"/>
          <w:kern w:val="0"/>
          <w:position w:val="2"/>
          <w:sz w:val="32"/>
          <w:szCs w:val="32"/>
        </w:rPr>
        <w:t>严守监所封闭管理、人员核酸检测、收押过渡隔离“三条底线”，确保监所安全。</w:t>
      </w:r>
    </w:p>
    <w:p w14:paraId="128FACEF">
      <w:pPr>
        <w:adjustRightInd w:val="0"/>
        <w:snapToGrid w:val="0"/>
        <w:spacing w:line="360" w:lineRule="auto"/>
        <w:ind w:firstLine="643" w:firstLineChars="200"/>
        <w:rPr>
          <w:rFonts w:ascii="Times New Roman" w:hAnsi="Times New Roman" w:eastAsia="仿宋_GB2312"/>
          <w:color w:val="000000"/>
          <w:sz w:val="32"/>
          <w:szCs w:val="32"/>
        </w:rPr>
      </w:pPr>
      <w:r>
        <w:rPr>
          <w:rFonts w:ascii="Times New Roman" w:hAnsi="Times New Roman" w:eastAsia="仿宋_GB2312"/>
          <w:b/>
          <w:color w:val="000000"/>
          <w:sz w:val="32"/>
          <w:szCs w:val="32"/>
        </w:rPr>
        <w:t>做实森林防灭火。</w:t>
      </w:r>
      <w:r>
        <w:rPr>
          <w:rFonts w:ascii="Times New Roman" w:hAnsi="Times New Roman" w:eastAsia="仿宋_GB2312"/>
          <w:sz w:val="32"/>
          <w:szCs w:val="32"/>
        </w:rPr>
        <w:t>落实森林草原防灭火专项整治，牵头开展森林草原防火安全检查，</w:t>
      </w:r>
      <w:r>
        <w:rPr>
          <w:rFonts w:ascii="Times New Roman" w:hAnsi="Times New Roman" w:eastAsia="仿宋_GB2312"/>
          <w:color w:val="000000"/>
          <w:sz w:val="32"/>
          <w:szCs w:val="32"/>
        </w:rPr>
        <w:t>积极协助辖区党委政府、企业，排查森林草原火灾隐患126处，</w:t>
      </w:r>
      <w:r>
        <w:rPr>
          <w:rFonts w:ascii="Times New Roman" w:hAnsi="Times New Roman" w:eastAsia="仿宋_GB2312"/>
          <w:sz w:val="32"/>
          <w:szCs w:val="32"/>
        </w:rPr>
        <w:t>坚决杜绝人为原因引发森林火灾。</w:t>
      </w:r>
      <w:r>
        <w:rPr>
          <w:rFonts w:ascii="Times New Roman" w:hAnsi="Times New Roman" w:eastAsia="仿宋_GB2312"/>
          <w:color w:val="000000"/>
          <w:sz w:val="32"/>
          <w:szCs w:val="32"/>
        </w:rPr>
        <w:t>落实防火卡点值守，开展防火宣传，落实企业森林草原防灭火安全培训16次，校园森林草原法制课40余次，发放宣传册1.3万份，播放警示教育片3500余分钟，确保森林防灭火安全。保持高压严打态势，对违规野外用火行为零容忍，处理拒不执行人民政府在紧急状态情况下依法发布的命令案27件，处理27人，治安拘留20人，罚款0.52万元。</w:t>
      </w:r>
    </w:p>
    <w:p w14:paraId="7CD32BCE">
      <w:pPr>
        <w:adjustRightInd w:val="0"/>
        <w:snapToGrid w:val="0"/>
        <w:spacing w:line="360" w:lineRule="auto"/>
        <w:ind w:firstLine="643" w:firstLineChars="200"/>
        <w:rPr>
          <w:rFonts w:ascii="Times New Roman" w:hAnsi="Times New Roman" w:eastAsia="仿宋_GB2312"/>
          <w:color w:val="000000"/>
          <w:spacing w:val="-8"/>
          <w:sz w:val="32"/>
          <w:szCs w:val="32"/>
        </w:rPr>
      </w:pPr>
      <w:r>
        <w:rPr>
          <w:rFonts w:ascii="Times New Roman" w:hAnsi="Times New Roman" w:eastAsia="仿宋_GB2312"/>
          <w:b/>
          <w:color w:val="000000"/>
          <w:sz w:val="32"/>
          <w:szCs w:val="32"/>
        </w:rPr>
        <w:t>做实电信诈骗综合治理。</w:t>
      </w:r>
      <w:r>
        <w:rPr>
          <w:rFonts w:ascii="Times New Roman" w:hAnsi="Times New Roman" w:eastAsia="仿宋_GB2312"/>
          <w:sz w:val="32"/>
          <w:szCs w:val="32"/>
        </w:rPr>
        <w:t>在全县88个村（社）区开展创建“无诈社区”，最大限度保护人民群众财产安全。强化防范宣传，拍摄宣传熊猫反诈抖音短片1部，播放9.1万次；制作熊猫反诈小视屏2条；定制反诈专用电话铃声1条；国家反诈APP注册人数25732次，注册率全市第一；开展集中宣传40余次，发放反诈骗宣传资料1万余份；面对面对全县2000余名财务人员开展了防骗知识宣传并签订承诺书；</w:t>
      </w:r>
      <w:r>
        <w:rPr>
          <w:rFonts w:ascii="Times New Roman" w:hAnsi="Times New Roman" w:eastAsia="仿宋_GB2312"/>
          <w:color w:val="000000"/>
          <w:sz w:val="32"/>
          <w:szCs w:val="32"/>
          <w:shd w:val="clear" w:color="auto" w:fill="FFFFFF"/>
        </w:rPr>
        <w:t>采集涉诈“两卡”人员57人，高危人员48人，云南中缅边境查获的缅北回流人员16人，拦截劝返人员10人，“一人一档”建立动态管控全息档案，逐人落实管控措施；</w:t>
      </w:r>
      <w:r>
        <w:rPr>
          <w:rFonts w:ascii="Times New Roman" w:hAnsi="Times New Roman" w:eastAsia="仿宋_GB2312"/>
          <w:sz w:val="32"/>
          <w:szCs w:val="32"/>
        </w:rPr>
        <w:t>强力打击治理电信网络诈骗犯罪，成功劝阻8起电信诈骗案件；止付涉案账户148个，止付涉案资金1876余万元；破获诈骗案件7件，破帮助信息网络犯罪活动案4件 ，抓获犯罪嫌疑人共计41人，冻结个人涉案账户61个、涉案资金600余万元，向受害群众返还被骗现金349万元。</w:t>
      </w:r>
      <w:r>
        <w:rPr>
          <w:rFonts w:ascii="Times New Roman" w:hAnsi="Times New Roman" w:eastAsia="仿宋_GB2312"/>
          <w:color w:val="000000"/>
          <w:sz w:val="32"/>
          <w:szCs w:val="32"/>
        </w:rPr>
        <w:t>成功打掉1个累计涉案流水高达数百万元的“跑分”团伙，抓获犯罪嫌疑人36名，扣</w:t>
      </w:r>
      <w:r>
        <w:rPr>
          <w:rFonts w:ascii="Times New Roman" w:hAnsi="Times New Roman" w:eastAsia="仿宋_GB2312"/>
          <w:color w:val="000000"/>
          <w:spacing w:val="-8"/>
          <w:sz w:val="32"/>
          <w:szCs w:val="32"/>
        </w:rPr>
        <w:t>押作案手机28部、涉案银行卡86张，有力震慑</w:t>
      </w:r>
      <w:r>
        <w:rPr>
          <w:rFonts w:ascii="Times New Roman" w:hAnsi="Times New Roman" w:eastAsia="仿宋_GB2312"/>
          <w:color w:val="000000"/>
          <w:spacing w:val="-8"/>
          <w:sz w:val="32"/>
          <w:szCs w:val="32"/>
          <w:shd w:val="clear" w:color="auto" w:fill="FFFFFF"/>
        </w:rPr>
        <w:t>电信网络诈骗犯罪</w:t>
      </w:r>
      <w:r>
        <w:rPr>
          <w:rFonts w:ascii="Times New Roman" w:hAnsi="Times New Roman" w:eastAsia="仿宋_GB2312"/>
          <w:color w:val="000000"/>
          <w:spacing w:val="-8"/>
          <w:sz w:val="32"/>
          <w:szCs w:val="32"/>
        </w:rPr>
        <w:t>。</w:t>
      </w:r>
    </w:p>
    <w:p w14:paraId="5877E6EB">
      <w:pPr>
        <w:shd w:val="clear" w:color="auto" w:fill="FFFFFF"/>
        <w:adjustRightInd w:val="0"/>
        <w:snapToGrid w:val="0"/>
        <w:spacing w:line="360" w:lineRule="auto"/>
        <w:ind w:firstLine="663"/>
        <w:rPr>
          <w:rFonts w:ascii="Times New Roman" w:hAnsi="Times New Roman" w:eastAsia="楷体_GB2312"/>
          <w:b/>
          <w:bCs/>
          <w:color w:val="000000"/>
          <w:sz w:val="32"/>
          <w:szCs w:val="32"/>
        </w:rPr>
      </w:pPr>
      <w:r>
        <w:rPr>
          <w:rFonts w:hint="eastAsia" w:ascii="Times New Roman" w:hAnsi="Times New Roman" w:eastAsia="楷体_GB2312"/>
          <w:b/>
          <w:bCs/>
          <w:color w:val="000000"/>
          <w:sz w:val="32"/>
          <w:szCs w:val="32"/>
        </w:rPr>
        <w:t>（5）</w:t>
      </w:r>
      <w:r>
        <w:rPr>
          <w:rFonts w:ascii="Times New Roman" w:hAnsi="Times New Roman" w:eastAsia="楷体_GB2312"/>
          <w:b/>
          <w:bCs/>
          <w:color w:val="000000"/>
          <w:sz w:val="32"/>
          <w:szCs w:val="32"/>
        </w:rPr>
        <w:t>突出基层基础、规范建设，切实提高服务群众能力</w:t>
      </w:r>
    </w:p>
    <w:p w14:paraId="0A31BD41">
      <w:pPr>
        <w:adjustRightInd w:val="0"/>
        <w:snapToGrid w:val="0"/>
        <w:spacing w:line="360" w:lineRule="auto"/>
        <w:ind w:firstLine="643" w:firstLineChars="200"/>
        <w:rPr>
          <w:rFonts w:ascii="Times New Roman" w:hAnsi="Times New Roman" w:eastAsia="仿宋_GB2312"/>
          <w:color w:val="000000"/>
          <w:sz w:val="32"/>
          <w:szCs w:val="32"/>
        </w:rPr>
      </w:pPr>
      <w:r>
        <w:rPr>
          <w:rFonts w:ascii="Times New Roman" w:hAnsi="Times New Roman" w:eastAsia="仿宋_GB2312"/>
          <w:b/>
          <w:color w:val="000000"/>
          <w:kern w:val="0"/>
          <w:sz w:val="32"/>
          <w:szCs w:val="32"/>
        </w:rPr>
        <w:t>基础设施建设扎实推进。</w:t>
      </w:r>
      <w:r>
        <w:rPr>
          <w:rFonts w:ascii="Times New Roman" w:hAnsi="Times New Roman" w:eastAsia="仿宋_GB2312"/>
          <w:color w:val="000000"/>
          <w:sz w:val="32"/>
          <w:szCs w:val="32"/>
        </w:rPr>
        <w:t>在市公安局党委和县委、县政府的关心支持下，投资180万的盐边县格萨拉禁毒教育基地圆满竣工；预算投资1.28亿的盐边县公安局业务技术用房建设项目、盐边县涉案财物集中管理中心建设项目主体工程已经完工，正在推进信息化建设暨配套投资3000万的县应急管理中心地下人防工程建设；</w:t>
      </w:r>
      <w:r>
        <w:rPr>
          <w:rFonts w:hint="eastAsia" w:ascii="Times New Roman" w:hAnsi="Times New Roman" w:eastAsia="仿宋_GB2312"/>
          <w:color w:val="000000"/>
          <w:sz w:val="32"/>
          <w:szCs w:val="32"/>
        </w:rPr>
        <w:t>完成红格中队改造工作；</w:t>
      </w:r>
      <w:r>
        <w:rPr>
          <w:rFonts w:ascii="Times New Roman" w:hAnsi="Times New Roman" w:eastAsia="仿宋_GB2312"/>
          <w:color w:val="000000"/>
          <w:sz w:val="32"/>
          <w:szCs w:val="32"/>
        </w:rPr>
        <w:t>积极推进10个派出所维修改造工程。坚持“信息主导警务、科技引导警务”工作理念，完成350M数字集群系统建设，提升社会治安防控能力。完成盐边县看守所升级改造，加快监所信息化建设。与业务技术用房一体推进县应急联动中心建设，构建集指挥、通信报警、集结、训练、应急避难为一体的信息化、全响应应急联动处置体系，为我县加快产业结构转型升级、改善社会民生福祉、加快生态环境改善和深化改革保驾护航。</w:t>
      </w:r>
    </w:p>
    <w:p w14:paraId="7EAD477A">
      <w:pPr>
        <w:adjustRightInd w:val="0"/>
        <w:snapToGrid w:val="0"/>
        <w:spacing w:line="360" w:lineRule="auto"/>
        <w:ind w:firstLine="643" w:firstLineChars="200"/>
        <w:rPr>
          <w:rFonts w:ascii="Times New Roman" w:hAnsi="Times New Roman" w:eastAsia="仿宋_GB2312"/>
          <w:color w:val="000000"/>
          <w:sz w:val="32"/>
          <w:szCs w:val="32"/>
        </w:rPr>
      </w:pPr>
      <w:r>
        <w:rPr>
          <w:rFonts w:ascii="Times New Roman" w:hAnsi="Times New Roman" w:eastAsia="仿宋_GB2312"/>
          <w:b/>
          <w:color w:val="000000"/>
          <w:kern w:val="0"/>
          <w:sz w:val="32"/>
          <w:szCs w:val="32"/>
        </w:rPr>
        <w:t>执法规范化建设扎实提升。</w:t>
      </w:r>
      <w:r>
        <w:rPr>
          <w:rFonts w:ascii="Times New Roman" w:hAnsi="Times New Roman" w:eastAsia="仿宋_GB2312"/>
          <w:color w:val="000000"/>
          <w:sz w:val="32"/>
          <w:szCs w:val="32"/>
        </w:rPr>
        <w:t>坚持以事实为依据、法律为准绳，严把案件事实关、证据关、时限关、程序关、法律适用关和量裁关，严格各项法律审核。受理刑事复议2件。全局无刑讯逼供、无滥用职权、无玩忽职守、无徇私舞弊等违法违纪问题发生。</w:t>
      </w:r>
      <w:r>
        <w:rPr>
          <w:rFonts w:ascii="Times New Roman" w:hAnsi="Times New Roman" w:eastAsia="仿宋_GB2312"/>
          <w:b/>
          <w:color w:val="000000"/>
          <w:kern w:val="0"/>
          <w:sz w:val="32"/>
          <w:szCs w:val="32"/>
        </w:rPr>
        <w:t>基层基础工作扎实到位。</w:t>
      </w:r>
      <w:r>
        <w:rPr>
          <w:rFonts w:ascii="Times New Roman" w:hAnsi="Times New Roman" w:eastAsia="仿宋_GB2312"/>
          <w:sz w:val="32"/>
          <w:szCs w:val="32"/>
        </w:rPr>
        <w:t>落实“六进六边”工作要求，做到“底数清、情况明、信息灵”。全县共登记实有人口172267人、房屋79014条、单位4646条、从业人员25751人，数据准确率逐年提升，21项考核目标按时推进，基本做到了三实信息的实时更新，有力为侦查破案，社会经济指标统计等提供了准确支撑。</w:t>
      </w:r>
    </w:p>
    <w:p w14:paraId="034D5FC5">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（二）结果应用情况</w:t>
      </w:r>
    </w:p>
    <w:p w14:paraId="7BA4B1FA">
      <w:pPr>
        <w:widowControl/>
        <w:adjustRightInd w:val="0"/>
        <w:snapToGrid w:val="0"/>
        <w:spacing w:line="360" w:lineRule="auto"/>
        <w:ind w:firstLine="640" w:firstLineChars="200"/>
        <w:contextualSpacing/>
        <w:jc w:val="left"/>
        <w:rPr>
          <w:rFonts w:ascii="Times New Roman" w:hAnsi="Times New Roman" w:eastAsia="仿宋_GB2312"/>
          <w:sz w:val="32"/>
          <w:szCs w:val="32"/>
        </w:rPr>
      </w:pPr>
      <w:r>
        <w:rPr>
          <w:rFonts w:hint="eastAsia" w:ascii="Times New Roman" w:hAnsi="Times New Roman" w:eastAsia="仿宋_GB2312"/>
          <w:sz w:val="32"/>
          <w:szCs w:val="32"/>
        </w:rPr>
        <w:t>1.完善绩效评价体系，加强监督检查和考核工作。进一步探索完善项目绩效评价指标体系、研究、关注绩效管理与实践发展的新思路、新动向，进一步完善项目绩效指标体系，增强绩效评价结果的可比性、可信度。加强对绩效管理工作的跟踪督查，做到绩效管理有依据、按程序、有奖惩，实现绩效管理的规范化、常态化。</w:t>
      </w:r>
    </w:p>
    <w:p w14:paraId="7FE1749A">
      <w:pPr>
        <w:snapToGrid w:val="0"/>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2.2021年，本部门年初部门预算、年终部门决算、年初部门预算绩效目标申报表等信息均在信息公开截止时间内通过盐边县公众信息网向社会公开。</w:t>
      </w:r>
    </w:p>
    <w:p w14:paraId="57523155">
      <w:pPr>
        <w:snapToGrid w:val="0"/>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为深入贯彻落实《中共四川省委四川省人民政府关于全面实施预算绩效管理的实施意见》（川委发【2019】8号）文件精神，进一步深化事后绩效评价工作，不断提高部门预算整体绩效目标管理水平，按盐边财绩〔2022〕3号《盐边县财政局关于开展2021年度部门预算整体及项目支出绩效自评工作的通知》要求，于2022年5月将《盐边县公安局2021年部门预算整体绩效自评表》和《盐边县公安局2021年部门整体支出绩效评价报告》在“盐边县公众信息网”财政信息板块下的“财政绩效评价信息专栏”进行公开公示。</w:t>
      </w:r>
    </w:p>
    <w:p w14:paraId="0FA324D6">
      <w:pPr>
        <w:snapToGrid w:val="0"/>
        <w:spacing w:line="360" w:lineRule="auto"/>
        <w:ind w:firstLine="640" w:firstLineChars="200"/>
        <w:rPr>
          <w:rFonts w:ascii="Times New Roman" w:hAnsi="Times New Roman" w:eastAsia="仿宋_GB2312"/>
          <w:b/>
          <w:bCs/>
          <w:color w:val="000000"/>
          <w:sz w:val="32"/>
          <w:szCs w:val="32"/>
        </w:rPr>
      </w:pPr>
      <w:r>
        <w:rPr>
          <w:rFonts w:hint="eastAsia" w:ascii="仿宋_GB2312" w:hAnsi="仿宋" w:eastAsia="仿宋_GB2312"/>
          <w:sz w:val="32"/>
          <w:szCs w:val="32"/>
        </w:rPr>
        <w:t>3.绩效评价结果将作为以后年度项目立项和经费支持的重要依据。</w:t>
      </w:r>
    </w:p>
    <w:p w14:paraId="5CEFE234">
      <w:pPr>
        <w:widowControl/>
        <w:adjustRightInd w:val="0"/>
        <w:snapToGrid w:val="0"/>
        <w:spacing w:line="360" w:lineRule="auto"/>
        <w:ind w:firstLine="640" w:firstLineChars="200"/>
        <w:contextualSpacing/>
        <w:jc w:val="left"/>
        <w:rPr>
          <w:rFonts w:ascii="Times New Roman" w:hAnsi="Times New Roman" w:eastAsia="黑体"/>
          <w:color w:val="000000"/>
          <w:sz w:val="32"/>
          <w:szCs w:val="32"/>
        </w:rPr>
      </w:pPr>
      <w:r>
        <w:rPr>
          <w:rFonts w:ascii="Times New Roman" w:hAnsi="Times New Roman" w:eastAsia="黑体"/>
          <w:color w:val="000000"/>
          <w:sz w:val="32"/>
          <w:szCs w:val="32"/>
        </w:rPr>
        <w:t>四、评价结论及建议</w:t>
      </w:r>
    </w:p>
    <w:p w14:paraId="76C481A9">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（一）评价结论</w:t>
      </w:r>
    </w:p>
    <w:p w14:paraId="64100946">
      <w:pPr>
        <w:widowControl/>
        <w:spacing w:line="360" w:lineRule="auto"/>
        <w:ind w:firstLine="640" w:firstLineChars="200"/>
        <w:jc w:val="left"/>
        <w:rPr>
          <w:rFonts w:ascii="仿宋_GB2312" w:hAnsi="仿宋" w:eastAsia="仿宋_GB2312"/>
          <w:color w:val="000000"/>
          <w:sz w:val="32"/>
          <w:szCs w:val="32"/>
        </w:rPr>
      </w:pPr>
      <w:r>
        <w:rPr>
          <w:rFonts w:hint="eastAsia" w:ascii="仿宋_GB2312" w:hAnsi="仿宋" w:eastAsia="仿宋_GB2312"/>
          <w:color w:val="000000"/>
          <w:sz w:val="32"/>
          <w:szCs w:val="32"/>
        </w:rPr>
        <w:t>盐边县公安局按照《预算法》按时完成预决算编制。在执行过程中有计划进行资金申报、使用，完善资金管理及内部控制制度，确保资金安全，做到账款、账账、账实相符。全年部门预算执行率100%。基本支出2021年按月或季度进行申报，其中人员工资按月申报并直接支付，日常公用经费按月进行申报并支付，执行率100%.</w:t>
      </w:r>
    </w:p>
    <w:p w14:paraId="4C9ABEA4">
      <w:pPr>
        <w:widowControl/>
        <w:spacing w:line="360" w:lineRule="auto"/>
        <w:ind w:firstLine="640" w:firstLineChars="200"/>
        <w:jc w:val="left"/>
        <w:rPr>
          <w:rFonts w:ascii="仿宋_GB2312" w:hAnsi="仿宋" w:eastAsia="仿宋_GB2312"/>
          <w:color w:val="000000"/>
          <w:sz w:val="32"/>
          <w:szCs w:val="32"/>
        </w:rPr>
      </w:pPr>
      <w:r>
        <w:rPr>
          <w:rFonts w:hint="eastAsia" w:ascii="仿宋_GB2312" w:hAnsi="仿宋" w:eastAsia="仿宋_GB2312"/>
          <w:color w:val="000000"/>
          <w:sz w:val="32"/>
          <w:szCs w:val="32"/>
        </w:rPr>
        <w:t xml:space="preserve"> </w:t>
      </w:r>
      <w:r>
        <w:rPr>
          <w:rFonts w:hint="eastAsia" w:ascii="仿宋_GB2312" w:hAnsi="仿宋" w:eastAsia="仿宋_GB2312"/>
          <w:color w:val="000000"/>
          <w:sz w:val="32"/>
          <w:szCs w:val="32"/>
          <w:lang w:val="zh-CN"/>
        </w:rPr>
        <w:t>20</w:t>
      </w:r>
      <w:r>
        <w:rPr>
          <w:rFonts w:hint="eastAsia" w:ascii="仿宋_GB2312" w:hAnsi="仿宋" w:eastAsia="仿宋_GB2312"/>
          <w:color w:val="000000"/>
          <w:sz w:val="32"/>
          <w:szCs w:val="32"/>
        </w:rPr>
        <w:t>21</w:t>
      </w:r>
      <w:r>
        <w:rPr>
          <w:rFonts w:hint="eastAsia" w:ascii="仿宋_GB2312" w:hAnsi="仿宋" w:eastAsia="仿宋_GB2312"/>
          <w:color w:val="000000"/>
          <w:sz w:val="32"/>
          <w:szCs w:val="32"/>
          <w:lang w:val="zh-CN"/>
        </w:rPr>
        <w:t>年度，本单位在预算执行过程中，在同级财政的监督下，严格按规范申报用款计划、按资金用途使用资金、按进度实现支出</w:t>
      </w:r>
      <w:r>
        <w:rPr>
          <w:rFonts w:hint="eastAsia" w:ascii="仿宋_GB2312" w:hAnsi="仿宋" w:eastAsia="仿宋_GB2312"/>
          <w:color w:val="000000"/>
          <w:sz w:val="32"/>
          <w:szCs w:val="32"/>
        </w:rPr>
        <w:t>,在资金支付</w:t>
      </w:r>
      <w:r>
        <w:rPr>
          <w:rFonts w:hint="eastAsia" w:ascii="仿宋_GB2312" w:hAnsi="仿宋" w:eastAsia="仿宋_GB2312"/>
          <w:color w:val="000000"/>
          <w:sz w:val="32"/>
          <w:szCs w:val="32"/>
          <w:lang w:val="zh-CN"/>
        </w:rPr>
        <w:t>、</w:t>
      </w:r>
      <w:r>
        <w:rPr>
          <w:rFonts w:hint="eastAsia" w:ascii="仿宋_GB2312" w:hAnsi="仿宋" w:eastAsia="仿宋_GB2312"/>
          <w:color w:val="000000"/>
          <w:sz w:val="32"/>
          <w:szCs w:val="32"/>
        </w:rPr>
        <w:t>会计核算</w:t>
      </w:r>
      <w:r>
        <w:rPr>
          <w:rFonts w:hint="eastAsia" w:ascii="仿宋_GB2312" w:hAnsi="仿宋" w:eastAsia="仿宋_GB2312"/>
          <w:color w:val="000000"/>
          <w:sz w:val="32"/>
          <w:szCs w:val="32"/>
          <w:lang w:val="zh-CN"/>
        </w:rPr>
        <w:t>、</w:t>
      </w:r>
      <w:r>
        <w:rPr>
          <w:rFonts w:hint="eastAsia" w:ascii="仿宋_GB2312" w:hAnsi="仿宋" w:eastAsia="仿宋_GB2312"/>
          <w:color w:val="000000"/>
          <w:sz w:val="32"/>
          <w:szCs w:val="32"/>
        </w:rPr>
        <w:t>账务处理过程中,严格执行收支两条线标准,严格遵守相关财务管理制度,依法依规进行信息公开,规范各类会计行为，确保</w:t>
      </w:r>
      <w:r>
        <w:rPr>
          <w:rFonts w:hint="eastAsia" w:ascii="仿宋_GB2312" w:hAnsi="仿宋" w:eastAsia="仿宋_GB2312"/>
          <w:color w:val="000000"/>
          <w:sz w:val="32"/>
          <w:szCs w:val="32"/>
          <w:lang w:val="zh-CN"/>
        </w:rPr>
        <w:t>无违规使用资金的情况发生</w:t>
      </w:r>
      <w:r>
        <w:rPr>
          <w:rFonts w:hint="eastAsia" w:ascii="仿宋_GB2312" w:hAnsi="仿宋" w:eastAsia="仿宋_GB2312"/>
          <w:color w:val="000000"/>
          <w:sz w:val="32"/>
          <w:szCs w:val="32"/>
        </w:rPr>
        <w:t>,有效促进会计工作的管理效率,并据此确保会计核算的真实性。</w:t>
      </w:r>
    </w:p>
    <w:p w14:paraId="6B5DB800">
      <w:pPr>
        <w:widowControl/>
        <w:spacing w:line="360" w:lineRule="auto"/>
        <w:ind w:firstLine="640" w:firstLineChars="200"/>
        <w:jc w:val="left"/>
        <w:rPr>
          <w:rFonts w:ascii="Times New Roman" w:hAnsi="Times New Roman" w:eastAsia="仿宋_GB2312"/>
          <w:b/>
          <w:bCs/>
          <w:color w:val="000000"/>
          <w:sz w:val="32"/>
          <w:szCs w:val="32"/>
        </w:rPr>
      </w:pPr>
      <w:r>
        <w:rPr>
          <w:rFonts w:hint="eastAsia" w:ascii="仿宋_GB2312" w:hAnsi="仿宋" w:eastAsia="仿宋_GB2312"/>
          <w:color w:val="000000"/>
          <w:sz w:val="32"/>
          <w:szCs w:val="32"/>
        </w:rPr>
        <w:t>综上所述,依据得分情况,本单位2021年部门支出绩效评价等级为"良好"。</w:t>
      </w:r>
    </w:p>
    <w:p w14:paraId="16AC55E5">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（二）存在问题</w:t>
      </w:r>
    </w:p>
    <w:p w14:paraId="35369C9E">
      <w:pPr>
        <w:widowControl/>
        <w:adjustRightInd w:val="0"/>
        <w:snapToGrid w:val="0"/>
        <w:spacing w:line="360" w:lineRule="auto"/>
        <w:ind w:firstLine="640" w:firstLineChars="200"/>
        <w:contextualSpacing/>
        <w:jc w:val="left"/>
        <w:rPr>
          <w:rFonts w:ascii="Times New Roman" w:hAnsi="Times New Roman" w:eastAsia="仿宋_GB2312"/>
          <w:color w:val="000000"/>
          <w:sz w:val="32"/>
          <w:szCs w:val="32"/>
        </w:rPr>
      </w:pPr>
      <w:r>
        <w:rPr>
          <w:rFonts w:hint="eastAsia" w:ascii="Times New Roman" w:hAnsi="Times New Roman" w:eastAsia="仿宋_GB2312"/>
          <w:color w:val="000000"/>
          <w:sz w:val="32"/>
          <w:szCs w:val="32"/>
        </w:rPr>
        <w:t>1.绩效管理工作与业务工作结合不够紧密。碍于公安业务工作的特殊性和复杂性，在设置绩效评价工作指标体系时，不能够与公安业务工作较好结合，对产出指标和绩效指标不能够客观真实反映出完成公安工作的实际情况评价指标体系需进一步完善。财政资金支出评价对象，指标设置差异性大，难以把握评价的办法，不能满足目前工作开展的需要。</w:t>
      </w:r>
    </w:p>
    <w:p w14:paraId="63FAF080">
      <w:pPr>
        <w:widowControl/>
        <w:spacing w:line="360" w:lineRule="auto"/>
        <w:ind w:firstLine="640" w:firstLineChars="200"/>
        <w:jc w:val="left"/>
        <w:rPr>
          <w:rFonts w:ascii="仿宋_GB2312" w:hAnsi="仿宋" w:eastAsia="仿宋_GB2312"/>
          <w:color w:val="000000"/>
          <w:sz w:val="32"/>
          <w:szCs w:val="32"/>
        </w:rPr>
      </w:pPr>
      <w:r>
        <w:rPr>
          <w:rFonts w:hint="eastAsia" w:ascii="仿宋_GB2312" w:hAnsi="仿宋" w:eastAsia="仿宋_GB2312"/>
          <w:color w:val="000000"/>
          <w:sz w:val="32"/>
          <w:szCs w:val="32"/>
        </w:rPr>
        <w:t xml:space="preserve">2.内部控制制度不够健全，风险意识不强。在建立健全内控制度过程中，虽然基本明确了相关业务岗位的有关风险等级和风险防控措施，但目前领会认识深度不够，存在平铺式理解，尚局限于内控制度实践，没有提升到全局“一盘棋”的高度。  </w:t>
      </w:r>
    </w:p>
    <w:p w14:paraId="1CAA81C1">
      <w:pPr>
        <w:widowControl/>
        <w:spacing w:line="360" w:lineRule="auto"/>
        <w:ind w:firstLine="640" w:firstLineChars="200"/>
        <w:jc w:val="left"/>
        <w:rPr>
          <w:rFonts w:ascii="仿宋_GB2312" w:hAnsi="仿宋" w:eastAsia="仿宋_GB2312"/>
          <w:color w:val="000000"/>
          <w:sz w:val="32"/>
          <w:szCs w:val="32"/>
        </w:rPr>
      </w:pPr>
      <w:r>
        <w:rPr>
          <w:rFonts w:hint="eastAsia" w:ascii="仿宋_GB2312" w:hAnsi="仿宋" w:eastAsia="仿宋_GB2312"/>
          <w:color w:val="000000"/>
          <w:sz w:val="32"/>
          <w:szCs w:val="32"/>
        </w:rPr>
        <w:t>3.财务人员业务能力精度不够。在会计核算工作中，财务人员在致力于学习各项财务管理规定，规范审批程序的过程中，对各项制度、规定的理解稍显孤立，欠缺整体联动和统筹结合的逻辑运用能力，业务能力有待进一步增强。</w:t>
      </w:r>
    </w:p>
    <w:p w14:paraId="3F83F491">
      <w:pPr>
        <w:widowControl/>
        <w:spacing w:line="360" w:lineRule="auto"/>
        <w:ind w:firstLine="640" w:firstLineChars="200"/>
        <w:jc w:val="left"/>
        <w:rPr>
          <w:rFonts w:ascii="仿宋_GB2312" w:hAnsi="仿宋" w:eastAsia="仿宋_GB2312"/>
          <w:color w:val="000000"/>
          <w:sz w:val="32"/>
          <w:szCs w:val="32"/>
        </w:rPr>
      </w:pPr>
      <w:r>
        <w:rPr>
          <w:rFonts w:hint="eastAsia" w:ascii="仿宋_GB2312" w:hAnsi="仿宋" w:eastAsia="仿宋_GB2312"/>
          <w:color w:val="000000"/>
          <w:sz w:val="32"/>
          <w:szCs w:val="32"/>
        </w:rPr>
        <w:t>4.对年初编制部门预算绩效目标的指标内容不够细化。</w:t>
      </w:r>
    </w:p>
    <w:p w14:paraId="34C67D71">
      <w:pPr>
        <w:widowControl/>
        <w:spacing w:line="360" w:lineRule="auto"/>
        <w:ind w:firstLine="640" w:firstLineChars="200"/>
        <w:jc w:val="left"/>
        <w:rPr>
          <w:rFonts w:ascii="Times New Roman" w:hAnsi="Times New Roman" w:eastAsia="仿宋_GB2312"/>
          <w:b/>
          <w:bCs/>
          <w:color w:val="000000"/>
          <w:sz w:val="32"/>
          <w:szCs w:val="32"/>
        </w:rPr>
      </w:pPr>
      <w:r>
        <w:rPr>
          <w:rFonts w:hint="eastAsia" w:ascii="仿宋_GB2312" w:hAnsi="仿宋" w:eastAsia="仿宋_GB2312"/>
          <w:color w:val="000000"/>
          <w:sz w:val="32"/>
          <w:szCs w:val="32"/>
        </w:rPr>
        <w:t>5.对评价结果的应用环节偏薄弱。</w:t>
      </w:r>
    </w:p>
    <w:p w14:paraId="6FC76390">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（三）改进建议</w:t>
      </w:r>
    </w:p>
    <w:p w14:paraId="0052580C">
      <w:pPr>
        <w:widowControl/>
        <w:adjustRightInd w:val="0"/>
        <w:snapToGrid w:val="0"/>
        <w:spacing w:line="360" w:lineRule="auto"/>
        <w:ind w:firstLine="640" w:firstLineChars="200"/>
        <w:contextualSpacing/>
        <w:jc w:val="left"/>
        <w:rPr>
          <w:rFonts w:ascii="仿宋_GB2312" w:hAnsi="仿宋" w:eastAsia="仿宋_GB2312"/>
          <w:color w:val="000000"/>
          <w:sz w:val="32"/>
          <w:szCs w:val="32"/>
        </w:rPr>
      </w:pPr>
      <w:r>
        <w:rPr>
          <w:rFonts w:hint="eastAsia" w:ascii="仿宋_GB2312" w:hAnsi="仿宋" w:eastAsia="仿宋_GB2312"/>
          <w:color w:val="000000"/>
          <w:sz w:val="32"/>
          <w:szCs w:val="32"/>
        </w:rPr>
        <w:t>进一步提高工作效率，把有限的资金用在刀刃上，扎实充分发挥资金使用效率，有力推进道路交通管理工作的高效开展，切实履行公安交通警察大队管理全县交通安全工作的职责。</w:t>
      </w:r>
    </w:p>
    <w:p w14:paraId="2B06B44F">
      <w:pPr>
        <w:widowControl/>
        <w:spacing w:line="360" w:lineRule="auto"/>
        <w:ind w:firstLine="640" w:firstLineChars="200"/>
        <w:jc w:val="left"/>
        <w:rPr>
          <w:rFonts w:ascii="仿宋_GB2312" w:hAnsi="仿宋" w:eastAsia="仿宋_GB2312"/>
          <w:color w:val="000000"/>
          <w:sz w:val="32"/>
          <w:szCs w:val="32"/>
        </w:rPr>
      </w:pPr>
      <w:r>
        <w:rPr>
          <w:rFonts w:hint="eastAsia" w:ascii="仿宋_GB2312" w:hAnsi="仿宋" w:eastAsia="仿宋_GB2312"/>
          <w:color w:val="000000"/>
          <w:sz w:val="32"/>
          <w:szCs w:val="32"/>
        </w:rPr>
        <w:t>1.加强内部控制，突出风险防控。要按照《行政事业单位内部控制规范（试行）》有关规定，在认真梳理内部岗位职责、经济事项、业务流程的基础上，根据经济活动客观规律，查找业务风险点，制定风险防范应对策略。建立健全内部监督管理制度，完善业务流程，将制衡机制嵌入部门内部管理各环节，建立起决策、执行和监督相互分离、相互制约的长效机制。</w:t>
      </w:r>
    </w:p>
    <w:p w14:paraId="64F8399E">
      <w:pPr>
        <w:widowControl/>
        <w:spacing w:line="360" w:lineRule="auto"/>
        <w:ind w:firstLine="640" w:firstLineChars="200"/>
        <w:jc w:val="left"/>
        <w:rPr>
          <w:rFonts w:ascii="仿宋_GB2312" w:hAnsi="仿宋" w:eastAsia="仿宋_GB2312"/>
          <w:color w:val="000000"/>
          <w:sz w:val="32"/>
          <w:szCs w:val="32"/>
        </w:rPr>
      </w:pPr>
      <w:r>
        <w:rPr>
          <w:rFonts w:hint="eastAsia" w:ascii="仿宋_GB2312" w:hAnsi="仿宋" w:eastAsia="仿宋_GB2312"/>
          <w:color w:val="000000"/>
          <w:sz w:val="32"/>
          <w:szCs w:val="32"/>
        </w:rPr>
        <w:t>2.加强学习，聚力创新，不断提高财务人员的工作能力。以推进行政事业单位财政体制改革为引领，不断提升财务管理工作能力为目标，进一步学习各项财经制度，大力提升自身综合能力。在坚持执行规定政策不走样的前提下，牢固树立改革创新的工作意识，勤于思考，踏实进取，认真吃透各项规定要求，主动适应财务管理新常态。</w:t>
      </w:r>
    </w:p>
    <w:p w14:paraId="78C4FF38">
      <w:pPr>
        <w:widowControl/>
        <w:spacing w:line="360" w:lineRule="auto"/>
        <w:ind w:firstLine="640" w:firstLineChars="200"/>
        <w:jc w:val="left"/>
        <w:rPr>
          <w:rFonts w:ascii="仿宋_GB2312" w:hAnsi="仿宋" w:eastAsia="仿宋_GB2312"/>
          <w:color w:val="000000"/>
          <w:sz w:val="32"/>
          <w:szCs w:val="32"/>
        </w:rPr>
      </w:pPr>
      <w:r>
        <w:rPr>
          <w:rFonts w:hint="eastAsia" w:ascii="仿宋_GB2312" w:hAnsi="仿宋" w:eastAsia="仿宋_GB2312"/>
          <w:color w:val="000000"/>
          <w:sz w:val="32"/>
          <w:szCs w:val="32"/>
        </w:rPr>
        <w:t>3.下一年度，对年初编制部门预算绩效目标的指标内容进行深度细化，全面反映本部门所有财政资金的支出范围。</w:t>
      </w:r>
    </w:p>
    <w:p w14:paraId="78D7D6E0">
      <w:pPr>
        <w:widowControl/>
        <w:spacing w:line="360" w:lineRule="auto"/>
        <w:ind w:firstLine="640" w:firstLineChars="200"/>
        <w:jc w:val="left"/>
        <w:rPr>
          <w:rFonts w:ascii="仿宋_GB2312" w:hAnsi="仿宋" w:eastAsia="仿宋_GB2312"/>
          <w:color w:val="000000"/>
          <w:sz w:val="32"/>
          <w:szCs w:val="32"/>
        </w:rPr>
      </w:pPr>
      <w:r>
        <w:rPr>
          <w:rFonts w:hint="eastAsia" w:ascii="仿宋_GB2312" w:hAnsi="仿宋" w:eastAsia="仿宋_GB2312"/>
          <w:color w:val="000000"/>
          <w:sz w:val="32"/>
          <w:szCs w:val="32"/>
        </w:rPr>
        <w:t>4.</w:t>
      </w:r>
      <w:r>
        <w:rPr>
          <w:rFonts w:hint="eastAsia" w:ascii="仿宋_GB2312" w:hAnsi="仿宋" w:eastAsia="仿宋_GB2312"/>
          <w:color w:val="000000"/>
          <w:sz w:val="32"/>
          <w:szCs w:val="32"/>
          <w:lang w:val="zh-CN"/>
        </w:rPr>
        <w:t>部门整体支出绩效评价是一项反映部门财政资金使用效率的重要“镜子”，和部门预算支出绩效评价、项目支出绩效评价、重点项目支出绩效评价等评价体系相辅相成，应加强不同评价体系侧重点的结果的互补。</w:t>
      </w:r>
    </w:p>
    <w:p w14:paraId="09098495">
      <w:pPr>
        <w:widowControl/>
        <w:spacing w:line="360" w:lineRule="auto"/>
        <w:ind w:firstLine="640" w:firstLineChars="200"/>
        <w:jc w:val="left"/>
        <w:rPr>
          <w:rFonts w:ascii="仿宋_GB2312" w:hAnsi="仿宋" w:eastAsia="仿宋_GB2312"/>
          <w:color w:val="000000"/>
          <w:sz w:val="32"/>
          <w:szCs w:val="32"/>
        </w:rPr>
      </w:pPr>
    </w:p>
    <w:p w14:paraId="32654274">
      <w:pPr>
        <w:widowControl/>
        <w:adjustRightInd w:val="0"/>
        <w:snapToGrid w:val="0"/>
        <w:spacing w:line="360" w:lineRule="auto"/>
        <w:ind w:firstLine="643" w:firstLineChars="200"/>
        <w:contextualSpacing/>
        <w:jc w:val="left"/>
        <w:rPr>
          <w:rFonts w:ascii="Times New Roman" w:hAnsi="Times New Roman" w:eastAsia="仿宋_GB2312"/>
          <w:b/>
          <w:bCs/>
          <w:color w:val="000000"/>
          <w:sz w:val="32"/>
          <w:szCs w:val="32"/>
        </w:rPr>
      </w:pPr>
    </w:p>
    <w:p w14:paraId="52ACC688">
      <w:pPr>
        <w:pStyle w:val="2"/>
        <w:spacing w:line="360" w:lineRule="auto"/>
        <w:ind w:firstLine="640" w:firstLineChars="200"/>
        <w:jc w:val="left"/>
        <w:rPr>
          <w:rFonts w:ascii="Times New Roman" w:hAnsi="Times New Roman" w:eastAsia="黑体"/>
          <w:sz w:val="32"/>
          <w:szCs w:val="32"/>
        </w:rPr>
      </w:pPr>
    </w:p>
    <w:p w14:paraId="78ECE291">
      <w:pPr>
        <w:spacing w:line="360" w:lineRule="auto"/>
        <w:rPr>
          <w:sz w:val="32"/>
          <w:szCs w:val="32"/>
        </w:rPr>
      </w:pPr>
    </w:p>
    <w:sectPr>
      <w:footerReference r:id="rId3" w:type="default"/>
      <w:pgSz w:w="12240" w:h="15840"/>
      <w:pgMar w:top="1440" w:right="1463" w:bottom="1440" w:left="1463"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A4F03">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C14997">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3C14997">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C678F9"/>
    <w:multiLevelType w:val="singleLevel"/>
    <w:tmpl w:val="11C678F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7B1D7F"/>
    <w:rsid w:val="00580184"/>
    <w:rsid w:val="008F503C"/>
    <w:rsid w:val="00A80005"/>
    <w:rsid w:val="02A15D17"/>
    <w:rsid w:val="054D4807"/>
    <w:rsid w:val="09994B42"/>
    <w:rsid w:val="09DD56E4"/>
    <w:rsid w:val="10EC0E6E"/>
    <w:rsid w:val="11707E3E"/>
    <w:rsid w:val="128F170E"/>
    <w:rsid w:val="205F727E"/>
    <w:rsid w:val="20837F88"/>
    <w:rsid w:val="24090BEC"/>
    <w:rsid w:val="25605096"/>
    <w:rsid w:val="305E47D3"/>
    <w:rsid w:val="30C42925"/>
    <w:rsid w:val="31FC0A18"/>
    <w:rsid w:val="343336DA"/>
    <w:rsid w:val="3820424A"/>
    <w:rsid w:val="3B3D0316"/>
    <w:rsid w:val="3BA157D5"/>
    <w:rsid w:val="43642A4E"/>
    <w:rsid w:val="4B3A0308"/>
    <w:rsid w:val="4EB53FA6"/>
    <w:rsid w:val="513475D4"/>
    <w:rsid w:val="560D4D4A"/>
    <w:rsid w:val="57163E08"/>
    <w:rsid w:val="5F8F1242"/>
    <w:rsid w:val="61377F5E"/>
    <w:rsid w:val="617B1D7F"/>
    <w:rsid w:val="64142955"/>
    <w:rsid w:val="65F832FD"/>
    <w:rsid w:val="66804A23"/>
    <w:rsid w:val="67531847"/>
    <w:rsid w:val="68A71979"/>
    <w:rsid w:val="68CF77AC"/>
    <w:rsid w:val="6A084987"/>
    <w:rsid w:val="6BE20B88"/>
    <w:rsid w:val="6E472C7D"/>
    <w:rsid w:val="6E9503F2"/>
    <w:rsid w:val="6F8826B4"/>
    <w:rsid w:val="729E7DDE"/>
    <w:rsid w:val="73130692"/>
    <w:rsid w:val="748311CE"/>
    <w:rsid w:val="75FF71D5"/>
    <w:rsid w:val="76163526"/>
    <w:rsid w:val="78351113"/>
    <w:rsid w:val="7B3C4472"/>
    <w:rsid w:val="7B4417AB"/>
    <w:rsid w:val="7B7F76B4"/>
    <w:rsid w:val="7D3D7928"/>
    <w:rsid w:val="7D8F60AF"/>
    <w:rsid w:val="7E9939F4"/>
    <w:rsid w:val="7E9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8994</Words>
  <Characters>9916</Characters>
  <Lines>71</Lines>
  <Paragraphs>20</Paragraphs>
  <TotalTime>2</TotalTime>
  <ScaleCrop>false</ScaleCrop>
  <LinksUpToDate>false</LinksUpToDate>
  <CharactersWithSpaces>9960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2023-07-13T09:47:00Z</dcterms:created>
  <dc:creator>Owner</dc:creator>
  <cp:lastModifiedBy>万宏谟</cp:lastModifiedBy>
  <cp:lastPrinted>2022-05-06T07:27:00Z</cp:lastPrinted>
  <dcterms:modified xsi:type="dcterms:W3CDTF">2026-10-15T09:58:44Z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eyJoZGlkIjoiNzExODUxM2IxZDQ4ZDg0MGUxYWE1ZTc5MGMwZGJhYmEiLCJ1c2VySWQiOiI2MjQxMjM5NzMifQ==</vt:lpwstr>
  </property>
  <property fmtid="{D5CDD505-2E9C-101B-9397-08002B2CF9AE}" pid="4" name="ICV">
    <vt:lpwstr>13E150559AC5479DA171D9FD1239CCA0_12</vt:lpwstr>
  </property>
</Properties>
</file>