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8699DB">
      <w:pPr>
        <w:keepNext w:val="0"/>
        <w:keepLines w:val="0"/>
        <w:pageBreakBefore w:val="0"/>
        <w:widowControl w:val="0"/>
        <w:kinsoku/>
        <w:wordWrap/>
        <w:overflowPunct/>
        <w:topLinePunct w:val="0"/>
        <w:autoSpaceDE/>
        <w:autoSpaceDN/>
        <w:bidi w:val="0"/>
        <w:adjustRightInd/>
        <w:snapToGrid/>
        <w:spacing w:line="590" w:lineRule="exact"/>
        <w:textAlignment w:val="auto"/>
        <w:outlineLvl w:val="9"/>
        <w:rPr>
          <w:rFonts w:hint="eastAsia" w:ascii="黑体" w:hAnsi="黑体" w:eastAsia="黑体" w:cs="黑体"/>
          <w:color w:val="000000"/>
          <w:kern w:val="0"/>
          <w:sz w:val="44"/>
          <w:szCs w:val="44"/>
          <w:lang w:val="en-US" w:eastAsia="zh-CN"/>
        </w:rPr>
      </w:pPr>
      <w:r>
        <w:rPr>
          <w:rFonts w:hint="eastAsia" w:ascii="黑体" w:hAnsi="黑体" w:eastAsia="黑体" w:cs="黑体"/>
          <w:color w:val="000000"/>
          <w:kern w:val="0"/>
          <w:sz w:val="32"/>
          <w:szCs w:val="32"/>
        </w:rPr>
        <w:t>附件</w:t>
      </w:r>
      <w:r>
        <w:rPr>
          <w:rFonts w:hint="eastAsia" w:ascii="黑体" w:hAnsi="黑体" w:eastAsia="黑体" w:cs="黑体"/>
          <w:color w:val="000000"/>
          <w:kern w:val="0"/>
          <w:sz w:val="32"/>
          <w:szCs w:val="32"/>
          <w:lang w:val="en-US" w:eastAsia="zh-CN"/>
        </w:rPr>
        <w:t>2</w:t>
      </w:r>
    </w:p>
    <w:p w14:paraId="3EB3BC49">
      <w:pPr>
        <w:keepNext w:val="0"/>
        <w:keepLines w:val="0"/>
        <w:pageBreakBefore w:val="0"/>
        <w:widowControl w:val="0"/>
        <w:kinsoku/>
        <w:wordWrap/>
        <w:overflowPunct/>
        <w:topLinePunct w:val="0"/>
        <w:autoSpaceDE/>
        <w:autoSpaceDN/>
        <w:bidi w:val="0"/>
        <w:adjustRightInd/>
        <w:snapToGrid/>
        <w:spacing w:line="590" w:lineRule="exact"/>
        <w:jc w:val="center"/>
        <w:textAlignment w:val="auto"/>
        <w:outlineLvl w:val="9"/>
        <w:rPr>
          <w:rFonts w:eastAsia="方正小标宋简体"/>
          <w:color w:val="000000"/>
          <w:kern w:val="0"/>
          <w:sz w:val="44"/>
          <w:szCs w:val="44"/>
        </w:rPr>
      </w:pPr>
    </w:p>
    <w:p w14:paraId="6FA9A098">
      <w:pPr>
        <w:keepNext w:val="0"/>
        <w:keepLines w:val="0"/>
        <w:pageBreakBefore w:val="0"/>
        <w:widowControl w:val="0"/>
        <w:kinsoku/>
        <w:wordWrap/>
        <w:overflowPunct/>
        <w:topLinePunct w:val="0"/>
        <w:autoSpaceDE/>
        <w:autoSpaceDN/>
        <w:bidi w:val="0"/>
        <w:adjustRightInd/>
        <w:snapToGrid/>
        <w:spacing w:line="590" w:lineRule="exact"/>
        <w:jc w:val="center"/>
        <w:textAlignment w:val="auto"/>
        <w:outlineLvl w:val="9"/>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lang w:eastAsia="zh-CN"/>
        </w:rPr>
        <w:t>盐边县文化馆</w:t>
      </w:r>
      <w:r>
        <w:rPr>
          <w:rFonts w:hint="eastAsia" w:ascii="方正小标宋简体" w:hAnsi="方正小标宋简体" w:eastAsia="方正小标宋简体" w:cs="方正小标宋简体"/>
          <w:sz w:val="44"/>
          <w:szCs w:val="44"/>
        </w:rPr>
        <w:t>2020年度</w:t>
      </w:r>
      <w:r>
        <w:rPr>
          <w:rFonts w:hint="eastAsia" w:ascii="方正小标宋简体" w:hAnsi="方正小标宋简体" w:eastAsia="方正小标宋简体" w:cs="方正小标宋简体"/>
          <w:sz w:val="44"/>
          <w:szCs w:val="44"/>
          <w:lang w:eastAsia="zh-CN"/>
        </w:rPr>
        <w:t>公共图书馆文化馆免费开放专项</w:t>
      </w:r>
      <w:r>
        <w:rPr>
          <w:rFonts w:hint="eastAsia" w:ascii="方正小标宋简体" w:hAnsi="方正小标宋简体" w:eastAsia="方正小标宋简体" w:cs="方正小标宋简体"/>
          <w:sz w:val="44"/>
          <w:szCs w:val="44"/>
        </w:rPr>
        <w:t>资金绩效自评报告</w:t>
      </w:r>
    </w:p>
    <w:p w14:paraId="612E51C4">
      <w:pPr>
        <w:keepNext w:val="0"/>
        <w:keepLines w:val="0"/>
        <w:pageBreakBefore w:val="0"/>
        <w:widowControl w:val="0"/>
        <w:kinsoku/>
        <w:wordWrap/>
        <w:overflowPunct/>
        <w:topLinePunct w:val="0"/>
        <w:autoSpaceDE/>
        <w:autoSpaceDN/>
        <w:bidi w:val="0"/>
        <w:adjustRightInd/>
        <w:snapToGrid/>
        <w:spacing w:line="590" w:lineRule="exact"/>
        <w:jc w:val="center"/>
        <w:textAlignment w:val="auto"/>
        <w:outlineLvl w:val="9"/>
        <w:rPr>
          <w:rFonts w:eastAsia="方正楷体_GBK"/>
          <w:b/>
          <w:sz w:val="32"/>
          <w:szCs w:val="32"/>
        </w:rPr>
      </w:pPr>
    </w:p>
    <w:p w14:paraId="105D008B">
      <w:pPr>
        <w:keepNext w:val="0"/>
        <w:keepLines w:val="0"/>
        <w:pageBreakBefore w:val="0"/>
        <w:widowControl w:val="0"/>
        <w:kinsoku/>
        <w:wordWrap/>
        <w:overflowPunct/>
        <w:topLinePunct w:val="0"/>
        <w:autoSpaceDE/>
        <w:autoSpaceDN/>
        <w:bidi w:val="0"/>
        <w:adjustRightInd/>
        <w:snapToGrid/>
        <w:spacing w:line="590" w:lineRule="exact"/>
        <w:textAlignment w:val="auto"/>
        <w:outlineLvl w:val="9"/>
        <w:rPr>
          <w:sz w:val="32"/>
          <w:szCs w:val="32"/>
          <w:lang w:val="zh-CN"/>
        </w:rPr>
      </w:pPr>
    </w:p>
    <w:p w14:paraId="5035C25F">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outlineLvl w:val="9"/>
        <w:rPr>
          <w:rFonts w:eastAsia="黑体"/>
          <w:sz w:val="32"/>
          <w:szCs w:val="32"/>
        </w:rPr>
      </w:pPr>
      <w:r>
        <w:rPr>
          <w:rFonts w:eastAsia="黑体"/>
          <w:sz w:val="32"/>
          <w:szCs w:val="32"/>
        </w:rPr>
        <w:t>一、项目概况</w:t>
      </w:r>
    </w:p>
    <w:p w14:paraId="459772E3">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outlineLvl w:val="9"/>
        <w:rPr>
          <w:rFonts w:eastAsia="楷体_GB2312"/>
          <w:sz w:val="32"/>
          <w:szCs w:val="32"/>
        </w:rPr>
      </w:pPr>
      <w:r>
        <w:rPr>
          <w:rFonts w:eastAsia="楷体_GB2312"/>
          <w:sz w:val="32"/>
          <w:szCs w:val="32"/>
        </w:rPr>
        <w:t>（一）项目基本情况。</w:t>
      </w:r>
    </w:p>
    <w:p w14:paraId="35D8B6DB">
      <w:pPr>
        <w:keepNext w:val="0"/>
        <w:keepLines w:val="0"/>
        <w:pageBreakBefore w:val="0"/>
        <w:widowControl w:val="0"/>
        <w:kinsoku/>
        <w:wordWrap/>
        <w:overflowPunct/>
        <w:topLinePunct w:val="0"/>
        <w:autoSpaceDE/>
        <w:autoSpaceDN/>
        <w:bidi w:val="0"/>
        <w:adjustRightInd/>
        <w:snapToGrid/>
        <w:spacing w:line="590" w:lineRule="exact"/>
        <w:ind w:firstLine="643" w:firstLineChars="200"/>
        <w:textAlignment w:val="auto"/>
        <w:outlineLvl w:val="9"/>
        <w:rPr>
          <w:rFonts w:hint="eastAsia" w:eastAsia="仿宋_GB2312"/>
          <w:sz w:val="32"/>
          <w:szCs w:val="32"/>
          <w:lang w:eastAsia="zh-CN"/>
        </w:rPr>
      </w:pPr>
      <w:r>
        <w:rPr>
          <w:rFonts w:hint="eastAsia" w:ascii="仿宋_GB2312" w:hAnsi="仿宋_GB2312" w:eastAsia="仿宋_GB2312" w:cs="仿宋_GB2312"/>
          <w:b/>
          <w:bCs/>
          <w:sz w:val="32"/>
          <w:szCs w:val="32"/>
        </w:rPr>
        <w:t>1.项目主管部门职能。</w:t>
      </w:r>
      <w:r>
        <w:rPr>
          <w:rFonts w:hint="eastAsia" w:eastAsia="仿宋_GB2312"/>
          <w:sz w:val="32"/>
          <w:szCs w:val="32"/>
          <w:lang w:eastAsia="zh-CN"/>
        </w:rPr>
        <w:t>盐边县文化馆是盐边县文化广播电视和旅游局下属公益一类事业单位，县文化广播电视和旅游局作为项目主管部门，严格行使项目资金使用监督管理职能，使专项资金管理使用的各个环节严格按照制度执行，确保文化馆和图书馆免费开放工作落到实处，发挥作用。</w:t>
      </w:r>
    </w:p>
    <w:p w14:paraId="25485160">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3" w:firstLineChars="200"/>
        <w:textAlignment w:val="auto"/>
        <w:outlineLvl w:val="9"/>
        <w:rPr>
          <w:rFonts w:hint="eastAsia" w:eastAsia="仿宋_GB2312"/>
          <w:sz w:val="32"/>
          <w:szCs w:val="32"/>
          <w:lang w:val="en-US" w:eastAsia="zh-CN"/>
        </w:rPr>
      </w:pPr>
      <w:r>
        <w:rPr>
          <w:rFonts w:hint="eastAsia" w:ascii="仿宋_GB2312" w:hAnsi="仿宋_GB2312" w:eastAsia="仿宋_GB2312" w:cs="仿宋_GB2312"/>
          <w:b/>
          <w:bCs/>
          <w:sz w:val="32"/>
          <w:szCs w:val="32"/>
          <w:lang w:val="en-US" w:eastAsia="zh-CN"/>
        </w:rPr>
        <w:t>2.</w:t>
      </w:r>
      <w:r>
        <w:rPr>
          <w:rFonts w:hint="eastAsia" w:ascii="仿宋_GB2312" w:hAnsi="仿宋_GB2312" w:eastAsia="仿宋_GB2312" w:cs="仿宋_GB2312"/>
          <w:b/>
          <w:bCs/>
          <w:sz w:val="32"/>
          <w:szCs w:val="32"/>
        </w:rPr>
        <w:t>项目立项、资金申报的依据。</w:t>
      </w:r>
      <w:r>
        <w:rPr>
          <w:rFonts w:hint="eastAsia" w:eastAsia="仿宋_GB2312"/>
          <w:sz w:val="32"/>
          <w:szCs w:val="32"/>
          <w:lang w:eastAsia="zh-CN"/>
        </w:rPr>
        <w:t>根据《财政部</w:t>
      </w:r>
      <w:r>
        <w:rPr>
          <w:rFonts w:hint="eastAsia" w:eastAsia="仿宋_GB2312"/>
          <w:sz w:val="32"/>
          <w:szCs w:val="32"/>
          <w:lang w:val="en-US" w:eastAsia="zh-CN"/>
        </w:rPr>
        <w:t xml:space="preserve"> 文化和旅游部关于印发</w:t>
      </w:r>
      <w:r>
        <w:rPr>
          <w:rFonts w:hint="eastAsia" w:ascii="仿宋_GB2312" w:hAnsi="仿宋_GB2312" w:eastAsia="仿宋_GB2312" w:cs="仿宋_GB2312"/>
          <w:sz w:val="32"/>
          <w:szCs w:val="32"/>
          <w:lang w:val="en-US" w:eastAsia="zh-CN"/>
        </w:rPr>
        <w:t>〈</w:t>
      </w:r>
      <w:r>
        <w:rPr>
          <w:rFonts w:hint="eastAsia" w:eastAsia="仿宋_GB2312"/>
          <w:sz w:val="32"/>
          <w:szCs w:val="32"/>
          <w:lang w:eastAsia="zh-CN"/>
        </w:rPr>
        <w:t>中央对地方公共图书馆</w:t>
      </w:r>
      <w:r>
        <w:rPr>
          <w:rFonts w:hint="eastAsia" w:eastAsia="仿宋_GB2312"/>
          <w:sz w:val="32"/>
          <w:szCs w:val="32"/>
          <w:lang w:val="en-US" w:eastAsia="zh-CN"/>
        </w:rPr>
        <w:t xml:space="preserve"> 美术馆 </w:t>
      </w:r>
      <w:r>
        <w:rPr>
          <w:rFonts w:hint="eastAsia" w:eastAsia="仿宋_GB2312"/>
          <w:sz w:val="32"/>
          <w:szCs w:val="32"/>
          <w:lang w:eastAsia="zh-CN"/>
        </w:rPr>
        <w:t>文化馆（站）免费开放补助资金管理办法</w:t>
      </w:r>
      <w:r>
        <w:rPr>
          <w:rFonts w:hint="eastAsia" w:ascii="仿宋_GB2312" w:hAnsi="仿宋_GB2312" w:eastAsia="仿宋_GB2312" w:cs="仿宋_GB2312"/>
          <w:sz w:val="32"/>
          <w:szCs w:val="32"/>
          <w:lang w:val="en-US" w:eastAsia="zh-CN"/>
        </w:rPr>
        <w:t>〉的通知</w:t>
      </w:r>
      <w:r>
        <w:rPr>
          <w:rFonts w:hint="eastAsia" w:eastAsia="仿宋_GB2312"/>
          <w:sz w:val="32"/>
          <w:szCs w:val="32"/>
          <w:lang w:eastAsia="zh-CN"/>
        </w:rPr>
        <w:t>》（财教</w:t>
      </w:r>
      <w:r>
        <w:rPr>
          <w:rFonts w:hint="eastAsia" w:ascii="宋体" w:hAnsi="宋体" w:eastAsia="宋体" w:cs="宋体"/>
          <w:sz w:val="32"/>
          <w:szCs w:val="32"/>
          <w:lang w:eastAsia="zh-CN"/>
        </w:rPr>
        <w:t>〔</w:t>
      </w:r>
      <w:r>
        <w:rPr>
          <w:rFonts w:hint="default" w:ascii="Times New Roman" w:hAnsi="Times New Roman" w:cs="Times New Roman"/>
          <w:sz w:val="32"/>
          <w:szCs w:val="32"/>
          <w:lang w:val="en-US" w:eastAsia="zh-CN"/>
        </w:rPr>
        <w:t>2020</w:t>
      </w:r>
      <w:r>
        <w:rPr>
          <w:rFonts w:hint="eastAsia" w:ascii="宋体" w:hAnsi="宋体" w:eastAsia="宋体" w:cs="宋体"/>
          <w:sz w:val="32"/>
          <w:szCs w:val="32"/>
          <w:lang w:eastAsia="zh-CN"/>
        </w:rPr>
        <w:t>〕</w:t>
      </w:r>
      <w:r>
        <w:rPr>
          <w:rFonts w:hint="default" w:ascii="Times New Roman" w:hAnsi="Times New Roman" w:cs="Times New Roman"/>
          <w:sz w:val="32"/>
          <w:szCs w:val="32"/>
          <w:lang w:val="en-US" w:eastAsia="zh-CN"/>
        </w:rPr>
        <w:t>156</w:t>
      </w:r>
      <w:r>
        <w:rPr>
          <w:rFonts w:hint="eastAsia" w:ascii="宋体" w:hAnsi="宋体" w:cs="宋体"/>
          <w:sz w:val="32"/>
          <w:szCs w:val="32"/>
          <w:lang w:val="en-US" w:eastAsia="zh-CN"/>
        </w:rPr>
        <w:t>号），</w:t>
      </w:r>
      <w:r>
        <w:rPr>
          <w:rFonts w:hint="eastAsia" w:ascii="仿宋_GB2312" w:hAnsi="仿宋_GB2312" w:eastAsia="仿宋_GB2312" w:cs="仿宋_GB2312"/>
          <w:sz w:val="32"/>
          <w:szCs w:val="32"/>
          <w:lang w:val="en-US" w:eastAsia="zh-CN"/>
        </w:rPr>
        <w:t>补助资金由中央财政设立，用于支持政府举办并由文化和旅游主管部门管理的地市级和县级公共图书馆、美术馆、文化馆免费开放基本公共文化服务。</w:t>
      </w:r>
    </w:p>
    <w:p w14:paraId="76E01576">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3" w:firstLineChars="200"/>
        <w:textAlignment w:val="auto"/>
        <w:outlineLvl w:val="9"/>
        <w:rPr>
          <w:rFonts w:hint="eastAsia" w:eastAsia="仿宋_GB2312"/>
          <w:sz w:val="32"/>
          <w:szCs w:val="32"/>
          <w:lang w:val="en-US" w:eastAsia="zh-CN"/>
        </w:rPr>
      </w:pPr>
      <w:r>
        <w:rPr>
          <w:rFonts w:hint="eastAsia" w:ascii="仿宋_GB2312" w:hAnsi="仿宋_GB2312" w:eastAsia="仿宋_GB2312" w:cs="仿宋_GB2312"/>
          <w:b/>
          <w:bCs/>
          <w:sz w:val="32"/>
          <w:szCs w:val="32"/>
          <w:lang w:val="en-US" w:eastAsia="zh-CN"/>
        </w:rPr>
        <w:t>3.</w:t>
      </w:r>
      <w:r>
        <w:rPr>
          <w:rFonts w:hint="eastAsia" w:ascii="仿宋_GB2312" w:hAnsi="仿宋_GB2312" w:eastAsia="仿宋_GB2312" w:cs="仿宋_GB2312"/>
          <w:b/>
          <w:bCs/>
          <w:sz w:val="32"/>
          <w:szCs w:val="32"/>
        </w:rPr>
        <w:t>资金管理办法制定情况，资金支持具体项目的条件、范围与支持方式概况。</w:t>
      </w:r>
      <w:r>
        <w:rPr>
          <w:rFonts w:hint="eastAsia" w:eastAsia="仿宋_GB2312"/>
          <w:sz w:val="32"/>
          <w:szCs w:val="32"/>
          <w:lang w:eastAsia="zh-CN"/>
        </w:rPr>
        <w:t>制定了公共图书馆、文化馆免费开放资金使用管理制度，图书馆免费开放资金使用范围为文献资源借阅、检索与咨询，举办公益性讲座、展览，开展阅读推广、宣传活动，基层文化骨干业务辅导，流动图书借阅与送书下乡服务，业务活动用房小型修缮及零星业务设备更新等。文化馆免费开放资金使用范围为举办普及性文化艺术类培训，举办公益性讲座、展览，开展宣传活动，组织公益性群众文化活动，基层文化骨干业务辅导，民间文化传承活动，流动文化服务，业务活动用房小型修缮零星业务设备更新等。</w:t>
      </w:r>
    </w:p>
    <w:p w14:paraId="5DE23EB1">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3" w:firstLineChars="200"/>
        <w:textAlignment w:val="auto"/>
        <w:outlineLvl w:val="9"/>
        <w:rPr>
          <w:rFonts w:hint="eastAsia" w:eastAsia="仿宋_GB2312"/>
          <w:sz w:val="32"/>
          <w:szCs w:val="32"/>
          <w:lang w:val="en-US" w:eastAsia="zh-CN"/>
        </w:rPr>
      </w:pPr>
      <w:r>
        <w:rPr>
          <w:rFonts w:hint="eastAsia" w:ascii="仿宋_GB2312" w:hAnsi="仿宋_GB2312" w:eastAsia="仿宋_GB2312" w:cs="仿宋_GB2312"/>
          <w:b/>
          <w:bCs/>
          <w:sz w:val="32"/>
          <w:szCs w:val="32"/>
          <w:lang w:val="en-US" w:eastAsia="zh-CN"/>
        </w:rPr>
        <w:t>4.</w:t>
      </w:r>
      <w:r>
        <w:rPr>
          <w:rFonts w:hint="eastAsia" w:ascii="仿宋_GB2312" w:hAnsi="仿宋_GB2312" w:eastAsia="仿宋_GB2312" w:cs="仿宋_GB2312"/>
          <w:b/>
          <w:bCs/>
          <w:sz w:val="32"/>
          <w:szCs w:val="32"/>
        </w:rPr>
        <w:t>资金分配的原则及考虑因素。</w:t>
      </w:r>
      <w:r>
        <w:rPr>
          <w:rFonts w:hint="eastAsia" w:eastAsia="仿宋_GB2312"/>
          <w:sz w:val="32"/>
          <w:szCs w:val="32"/>
          <w:lang w:val="en-US" w:eastAsia="zh-CN"/>
        </w:rPr>
        <w:t>文化馆和图书馆免费开放资金按统一管理、增强活力、改善服务的原则，确保两馆免费开放后正常运转，并提供基本公共文化服务。</w:t>
      </w:r>
    </w:p>
    <w:p w14:paraId="5A969207">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outlineLvl w:val="9"/>
        <w:rPr>
          <w:rFonts w:eastAsia="楷体_GB2312"/>
          <w:sz w:val="32"/>
          <w:szCs w:val="32"/>
        </w:rPr>
      </w:pPr>
      <w:r>
        <w:rPr>
          <w:rFonts w:eastAsia="楷体_GB2312"/>
          <w:sz w:val="32"/>
          <w:szCs w:val="32"/>
        </w:rPr>
        <w:t>（二）项目绩效目标。</w:t>
      </w:r>
    </w:p>
    <w:p w14:paraId="3D1B1C8E">
      <w:pPr>
        <w:keepNext w:val="0"/>
        <w:keepLines w:val="0"/>
        <w:pageBreakBefore w:val="0"/>
        <w:widowControl w:val="0"/>
        <w:kinsoku/>
        <w:wordWrap/>
        <w:overflowPunct/>
        <w:topLinePunct w:val="0"/>
        <w:autoSpaceDE/>
        <w:autoSpaceDN/>
        <w:bidi w:val="0"/>
        <w:adjustRightInd/>
        <w:snapToGrid/>
        <w:spacing w:line="590" w:lineRule="exact"/>
        <w:ind w:firstLine="643" w:firstLineChars="200"/>
        <w:textAlignment w:val="auto"/>
        <w:outlineLvl w:val="9"/>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1.项目主要内容。</w:t>
      </w:r>
    </w:p>
    <w:p w14:paraId="758ECF96">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outlineLvl w:val="9"/>
        <w:rPr>
          <w:rFonts w:hint="eastAsia" w:eastAsia="仿宋_GB2312"/>
          <w:sz w:val="32"/>
          <w:szCs w:val="32"/>
          <w:lang w:val="en-US" w:eastAsia="zh-CN"/>
        </w:rPr>
      </w:pPr>
      <w:r>
        <w:rPr>
          <w:rFonts w:hint="eastAsia" w:eastAsia="仿宋_GB2312"/>
          <w:sz w:val="32"/>
          <w:szCs w:val="32"/>
          <w:lang w:eastAsia="zh-CN"/>
        </w:rPr>
        <w:t>（</w:t>
      </w:r>
      <w:r>
        <w:rPr>
          <w:rFonts w:hint="eastAsia" w:eastAsia="仿宋_GB2312"/>
          <w:sz w:val="32"/>
          <w:szCs w:val="32"/>
          <w:lang w:val="en-US" w:eastAsia="zh-CN"/>
        </w:rPr>
        <w:t>1）文化馆免费开放项目：免费开放2个舞蹈室、1个合唱室、2个器乐室、1个多功能厅，</w:t>
      </w:r>
      <w:r>
        <w:rPr>
          <w:rFonts w:hint="eastAsia" w:eastAsia="仿宋_GB2312"/>
          <w:sz w:val="32"/>
          <w:szCs w:val="32"/>
          <w:lang w:eastAsia="zh-CN"/>
        </w:rPr>
        <w:t>举办文化艺术类培训、公益性讲座、展览，开展宣传活动，组织公益性群众文化活动，基层文化骨干业务辅导，民间文化传承活动，流动文化服务。</w:t>
      </w:r>
    </w:p>
    <w:p w14:paraId="25B366E9">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outlineLvl w:val="9"/>
        <w:rPr>
          <w:rFonts w:hint="eastAsia" w:eastAsia="仿宋_GB2312"/>
          <w:sz w:val="32"/>
          <w:szCs w:val="32"/>
          <w:lang w:val="en-US" w:eastAsia="zh-CN"/>
        </w:rPr>
      </w:pPr>
      <w:r>
        <w:rPr>
          <w:rFonts w:hint="eastAsia" w:eastAsia="仿宋_GB2312"/>
          <w:sz w:val="32"/>
          <w:szCs w:val="32"/>
          <w:lang w:val="en-US" w:eastAsia="zh-CN"/>
        </w:rPr>
        <w:t>（2）图书馆免费开放项目：免费开放图书外借室、电子阅览室、少儿阅览室、报刊阅览室、书法美术室等，</w:t>
      </w:r>
      <w:r>
        <w:rPr>
          <w:rFonts w:hint="eastAsia" w:eastAsia="仿宋_GB2312"/>
          <w:sz w:val="32"/>
          <w:szCs w:val="32"/>
          <w:lang w:eastAsia="zh-CN"/>
        </w:rPr>
        <w:t>举办公益性讲座、展览，开展阅读推广、宣传活动，基层文化骨干业务辅导，流动图书借阅与送书下乡服务。</w:t>
      </w:r>
    </w:p>
    <w:p w14:paraId="5AE9F53B">
      <w:pPr>
        <w:keepNext w:val="0"/>
        <w:keepLines w:val="0"/>
        <w:pageBreakBefore w:val="0"/>
        <w:widowControl w:val="0"/>
        <w:kinsoku/>
        <w:wordWrap/>
        <w:overflowPunct/>
        <w:topLinePunct w:val="0"/>
        <w:autoSpaceDE/>
        <w:autoSpaceDN/>
        <w:bidi w:val="0"/>
        <w:adjustRightInd/>
        <w:snapToGrid/>
        <w:spacing w:line="590" w:lineRule="exact"/>
        <w:ind w:firstLine="643" w:firstLineChars="200"/>
        <w:textAlignment w:val="auto"/>
        <w:outlineLvl w:val="9"/>
        <w:rPr>
          <w:rFonts w:hint="eastAsia" w:eastAsia="仿宋_GB2312"/>
          <w:sz w:val="32"/>
          <w:szCs w:val="32"/>
          <w:lang w:eastAsia="zh-CN"/>
        </w:rPr>
      </w:pPr>
      <w:r>
        <w:rPr>
          <w:rFonts w:hint="eastAsia" w:ascii="仿宋_GB2312" w:hAnsi="仿宋_GB2312" w:eastAsia="仿宋_GB2312" w:cs="仿宋_GB2312"/>
          <w:b/>
          <w:bCs/>
          <w:sz w:val="32"/>
          <w:szCs w:val="32"/>
        </w:rPr>
        <w:t>2.项目应实现的具体绩效目标</w:t>
      </w:r>
      <w:r>
        <w:rPr>
          <w:rFonts w:hint="eastAsia" w:ascii="仿宋_GB2312" w:hAnsi="仿宋_GB2312" w:eastAsia="仿宋_GB2312" w:cs="仿宋_GB2312"/>
          <w:b/>
          <w:bCs/>
          <w:sz w:val="32"/>
          <w:szCs w:val="32"/>
          <w:lang w:eastAsia="zh-CN"/>
        </w:rPr>
        <w:t>。</w:t>
      </w:r>
    </w:p>
    <w:p w14:paraId="70FD9F14">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outlineLvl w:val="9"/>
        <w:rPr>
          <w:rFonts w:eastAsia="仿宋_GB2312"/>
          <w:sz w:val="32"/>
          <w:szCs w:val="32"/>
        </w:rPr>
      </w:pPr>
      <w:r>
        <w:rPr>
          <w:rFonts w:hint="eastAsia" w:eastAsia="仿宋_GB2312"/>
          <w:sz w:val="32"/>
          <w:szCs w:val="32"/>
          <w:lang w:val="en-US" w:eastAsia="zh-CN"/>
        </w:rPr>
        <w:t>2020年文化馆和图书馆</w:t>
      </w:r>
      <w:r>
        <w:rPr>
          <w:rFonts w:hint="eastAsia" w:ascii="Times New Roman" w:hAnsi="Times New Roman" w:eastAsia="仿宋_GB2312"/>
          <w:sz w:val="32"/>
          <w:szCs w:val="32"/>
          <w:lang w:val="en-US" w:eastAsia="zh-CN"/>
        </w:rPr>
        <w:t>加强内部管理、强化服务意识</w:t>
      </w:r>
      <w:r>
        <w:rPr>
          <w:rFonts w:hint="eastAsia" w:eastAsia="仿宋_GB2312"/>
          <w:sz w:val="32"/>
          <w:szCs w:val="32"/>
          <w:lang w:val="en-US" w:eastAsia="zh-CN"/>
        </w:rPr>
        <w:t>，完善基础设施建设，</w:t>
      </w:r>
      <w:r>
        <w:rPr>
          <w:rFonts w:hint="eastAsia" w:ascii="Times New Roman" w:hAnsi="Times New Roman" w:eastAsia="仿宋_GB2312"/>
          <w:sz w:val="32"/>
          <w:szCs w:val="32"/>
          <w:lang w:val="en-US" w:eastAsia="zh-CN"/>
        </w:rPr>
        <w:t>完成送文化下乡活动(流动服务）50场，开展各类辅导培训22次，举办展览12次，</w:t>
      </w:r>
      <w:r>
        <w:rPr>
          <w:rFonts w:hint="eastAsia" w:eastAsia="仿宋_GB2312"/>
          <w:sz w:val="32"/>
          <w:szCs w:val="32"/>
          <w:lang w:val="en-US" w:eastAsia="zh-CN"/>
        </w:rPr>
        <w:t>借阅图书7万余册，</w:t>
      </w:r>
      <w:r>
        <w:rPr>
          <w:rFonts w:hint="eastAsia" w:ascii="Times New Roman" w:hAnsi="Times New Roman" w:eastAsia="仿宋_GB2312"/>
          <w:sz w:val="32"/>
          <w:szCs w:val="32"/>
          <w:lang w:val="en-US" w:eastAsia="zh-CN"/>
        </w:rPr>
        <w:t>服务群众8万余人次</w:t>
      </w:r>
      <w:r>
        <w:rPr>
          <w:rFonts w:hint="eastAsia" w:eastAsia="仿宋_GB2312"/>
          <w:sz w:val="32"/>
          <w:szCs w:val="32"/>
          <w:lang w:val="en-US" w:eastAsia="zh-CN"/>
        </w:rPr>
        <w:t>，大大提高了公共文化服务水平。</w:t>
      </w:r>
    </w:p>
    <w:p w14:paraId="4AA2B99B">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3" w:firstLineChars="200"/>
        <w:textAlignment w:val="auto"/>
        <w:outlineLvl w:val="9"/>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lang w:val="en-US" w:eastAsia="zh-CN"/>
        </w:rPr>
        <w:t>3.</w:t>
      </w:r>
      <w:r>
        <w:rPr>
          <w:rFonts w:hint="eastAsia" w:ascii="仿宋_GB2312" w:hAnsi="仿宋_GB2312" w:eastAsia="仿宋_GB2312" w:cs="仿宋_GB2312"/>
          <w:b/>
          <w:bCs/>
          <w:sz w:val="32"/>
          <w:szCs w:val="32"/>
        </w:rPr>
        <w:t>申报内容是否与实际相符，申报目标是否合理可行。</w:t>
      </w:r>
    </w:p>
    <w:p w14:paraId="262EB44D">
      <w:pPr>
        <w:keepNext w:val="0"/>
        <w:keepLines w:val="0"/>
        <w:pageBreakBefore w:val="0"/>
        <w:widowControl w:val="0"/>
        <w:numPr>
          <w:ilvl w:val="0"/>
          <w:numId w:val="0"/>
        </w:numPr>
        <w:kinsoku/>
        <w:wordWrap/>
        <w:overflowPunct/>
        <w:topLinePunct w:val="0"/>
        <w:autoSpaceDE/>
        <w:autoSpaceDN/>
        <w:bidi w:val="0"/>
        <w:adjustRightInd/>
        <w:snapToGrid/>
        <w:spacing w:line="590" w:lineRule="exact"/>
        <w:textAlignment w:val="auto"/>
        <w:outlineLvl w:val="9"/>
        <w:rPr>
          <w:rFonts w:hint="eastAsia" w:eastAsia="仿宋_GB2312"/>
          <w:sz w:val="32"/>
          <w:szCs w:val="32"/>
          <w:lang w:val="en-US" w:eastAsia="zh-CN"/>
        </w:rPr>
      </w:pPr>
      <w:r>
        <w:rPr>
          <w:rFonts w:hint="eastAsia" w:eastAsia="仿宋_GB2312"/>
          <w:sz w:val="32"/>
          <w:szCs w:val="32"/>
          <w:lang w:val="en-US" w:eastAsia="zh-CN"/>
        </w:rPr>
        <w:t xml:space="preserve">    项目内容与实际相符，申报目标合理可行。</w:t>
      </w:r>
    </w:p>
    <w:p w14:paraId="72871D16">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outlineLvl w:val="9"/>
        <w:rPr>
          <w:rFonts w:eastAsia="楷体_GB2312"/>
          <w:sz w:val="32"/>
          <w:szCs w:val="32"/>
        </w:rPr>
      </w:pPr>
      <w:r>
        <w:rPr>
          <w:rFonts w:eastAsia="楷体_GB2312"/>
          <w:sz w:val="32"/>
          <w:szCs w:val="32"/>
        </w:rPr>
        <w:t>（三）项目自评步骤及方法。</w:t>
      </w:r>
    </w:p>
    <w:p w14:paraId="7CF64FA9">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成立绩效自评小组，根据《盐边县关于全面实施预算绩效管理的工作方案》（盐边委办〔</w:t>
      </w:r>
      <w:r>
        <w:rPr>
          <w:rFonts w:hint="default" w:ascii="Times New Roman" w:hAnsi="Times New Roman" w:eastAsia="仿宋_GB2312" w:cs="Times New Roman"/>
          <w:sz w:val="32"/>
          <w:szCs w:val="32"/>
          <w:lang w:val="en-US" w:eastAsia="zh-CN"/>
        </w:rPr>
        <w:t>2019</w:t>
      </w:r>
      <w:r>
        <w:rPr>
          <w:rFonts w:hint="eastAsia" w:ascii="仿宋_GB2312" w:hAnsi="仿宋_GB2312" w:eastAsia="仿宋_GB2312" w:cs="仿宋_GB2312"/>
          <w:sz w:val="32"/>
          <w:szCs w:val="32"/>
          <w:lang w:eastAsia="zh-CN"/>
        </w:rPr>
        <w:t>〕</w:t>
      </w:r>
      <w:r>
        <w:rPr>
          <w:rFonts w:hint="default" w:ascii="Times New Roman" w:hAnsi="Times New Roman" w:eastAsia="仿宋_GB2312" w:cs="Times New Roman"/>
          <w:sz w:val="32"/>
          <w:szCs w:val="32"/>
          <w:lang w:val="en-US" w:eastAsia="zh-CN"/>
        </w:rPr>
        <w:t>114</w:t>
      </w:r>
      <w:r>
        <w:rPr>
          <w:rFonts w:hint="eastAsia" w:ascii="仿宋_GB2312" w:hAnsi="仿宋_GB2312" w:eastAsia="仿宋_GB2312" w:cs="仿宋_GB2312"/>
          <w:sz w:val="32"/>
          <w:szCs w:val="32"/>
          <w:lang w:val="en-US" w:eastAsia="zh-CN"/>
        </w:rPr>
        <w:t>号）及《盐边县财政局关于开展</w:t>
      </w:r>
      <w:r>
        <w:rPr>
          <w:rFonts w:hint="default" w:ascii="Times New Roman" w:hAnsi="Times New Roman" w:eastAsia="仿宋_GB2312" w:cs="Times New Roman"/>
          <w:sz w:val="32"/>
          <w:szCs w:val="32"/>
          <w:lang w:val="en-US" w:eastAsia="zh-CN"/>
        </w:rPr>
        <w:t>2020</w:t>
      </w:r>
      <w:r>
        <w:rPr>
          <w:rFonts w:hint="eastAsia" w:ascii="仿宋_GB2312" w:hAnsi="仿宋_GB2312" w:eastAsia="仿宋_GB2312" w:cs="仿宋_GB2312"/>
          <w:sz w:val="32"/>
          <w:szCs w:val="32"/>
          <w:lang w:val="en-US" w:eastAsia="zh-CN"/>
        </w:rPr>
        <w:t>年度部门整体支出绩效评价工作的通知》（盐边财绩</w:t>
      </w:r>
      <w:r>
        <w:rPr>
          <w:rFonts w:hint="eastAsia" w:ascii="仿宋_GB2312" w:hAnsi="仿宋_GB2312" w:eastAsia="仿宋_GB2312" w:cs="仿宋_GB2312"/>
          <w:sz w:val="32"/>
          <w:szCs w:val="32"/>
          <w:lang w:eastAsia="zh-CN"/>
        </w:rPr>
        <w:t>〔</w:t>
      </w:r>
      <w:r>
        <w:rPr>
          <w:rFonts w:hint="default" w:ascii="Times New Roman" w:hAnsi="Times New Roman" w:eastAsia="仿宋_GB2312" w:cs="Times New Roman"/>
          <w:sz w:val="32"/>
          <w:szCs w:val="32"/>
          <w:lang w:val="en-US" w:eastAsia="zh-CN"/>
        </w:rPr>
        <w:t>2021</w:t>
      </w:r>
      <w:r>
        <w:rPr>
          <w:rFonts w:hint="eastAsia" w:ascii="仿宋_GB2312" w:hAnsi="仿宋_GB2312" w:eastAsia="仿宋_GB2312" w:cs="仿宋_GB2312"/>
          <w:sz w:val="32"/>
          <w:szCs w:val="32"/>
          <w:lang w:eastAsia="zh-CN"/>
        </w:rPr>
        <w:t>〕</w:t>
      </w:r>
      <w:r>
        <w:rPr>
          <w:rFonts w:hint="default" w:ascii="Times New Roman" w:hAnsi="Times New Roman" w:eastAsia="仿宋_GB2312" w:cs="Times New Roman"/>
          <w:sz w:val="32"/>
          <w:szCs w:val="32"/>
          <w:lang w:val="en-US" w:eastAsia="zh-CN"/>
        </w:rPr>
        <w:t>4</w:t>
      </w:r>
      <w:r>
        <w:rPr>
          <w:rFonts w:hint="eastAsia" w:ascii="仿宋_GB2312" w:hAnsi="仿宋_GB2312" w:eastAsia="仿宋_GB2312" w:cs="仿宋_GB2312"/>
          <w:sz w:val="32"/>
          <w:szCs w:val="32"/>
          <w:lang w:val="en-US" w:eastAsia="zh-CN"/>
        </w:rPr>
        <w:t>号）文件要求，自评小组于</w:t>
      </w:r>
      <w:r>
        <w:rPr>
          <w:rFonts w:hint="default" w:ascii="Times New Roman" w:hAnsi="Times New Roman" w:eastAsia="仿宋_GB2312" w:cs="Times New Roman"/>
          <w:sz w:val="32"/>
          <w:szCs w:val="32"/>
          <w:lang w:val="en-US" w:eastAsia="zh-CN"/>
        </w:rPr>
        <w:t>2020</w:t>
      </w:r>
      <w:r>
        <w:rPr>
          <w:rFonts w:hint="eastAsia" w:ascii="仿宋_GB2312" w:hAnsi="仿宋_GB2312" w:eastAsia="仿宋_GB2312" w:cs="仿宋_GB2312"/>
          <w:sz w:val="32"/>
          <w:szCs w:val="32"/>
          <w:lang w:val="en-US" w:eastAsia="zh-CN"/>
        </w:rPr>
        <w:t>年</w:t>
      </w:r>
      <w:r>
        <w:rPr>
          <w:rFonts w:hint="default" w:ascii="Times New Roman" w:hAnsi="Times New Roman" w:eastAsia="仿宋_GB2312" w:cs="Times New Roman"/>
          <w:sz w:val="32"/>
          <w:szCs w:val="32"/>
          <w:lang w:val="en-US" w:eastAsia="zh-CN"/>
        </w:rPr>
        <w:t>12</w:t>
      </w:r>
      <w:r>
        <w:rPr>
          <w:rFonts w:hint="eastAsia" w:ascii="仿宋_GB2312" w:hAnsi="仿宋_GB2312" w:eastAsia="仿宋_GB2312" w:cs="仿宋_GB2312"/>
          <w:sz w:val="32"/>
          <w:szCs w:val="32"/>
          <w:lang w:val="en-US" w:eastAsia="zh-CN"/>
        </w:rPr>
        <w:t>月对文化馆、图书馆免费开放情况进行了自评，查阅了项目财务和管理等相关资料，通过向服务对象开展问卷调查，以现场评价为主，非现场评价为辅，定量分析和定性分析相结合的评价方法对该项目进行了绩效评价。</w:t>
      </w:r>
    </w:p>
    <w:p w14:paraId="46C5EBCD">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outlineLvl w:val="9"/>
        <w:rPr>
          <w:rFonts w:eastAsia="黑体"/>
          <w:sz w:val="32"/>
          <w:szCs w:val="32"/>
        </w:rPr>
      </w:pPr>
      <w:r>
        <w:rPr>
          <w:rFonts w:eastAsia="黑体"/>
          <w:sz w:val="32"/>
          <w:szCs w:val="32"/>
        </w:rPr>
        <w:t>二、项目资金申报及使用情况</w:t>
      </w:r>
    </w:p>
    <w:p w14:paraId="6AB0F11B">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outlineLvl w:val="9"/>
        <w:rPr>
          <w:rFonts w:hint="eastAsia" w:eastAsia="楷体_GB2312"/>
          <w:sz w:val="32"/>
          <w:szCs w:val="32"/>
          <w:lang w:eastAsia="zh-CN"/>
        </w:rPr>
      </w:pPr>
      <w:r>
        <w:rPr>
          <w:rFonts w:eastAsia="楷体_GB2312"/>
          <w:sz w:val="32"/>
          <w:szCs w:val="32"/>
        </w:rPr>
        <w:t>（一）项目资金申报及批复情况</w:t>
      </w:r>
      <w:r>
        <w:rPr>
          <w:rFonts w:hint="eastAsia" w:eastAsia="楷体_GB2312"/>
          <w:sz w:val="32"/>
          <w:szCs w:val="32"/>
          <w:lang w:eastAsia="zh-CN"/>
        </w:rPr>
        <w:t>。</w:t>
      </w:r>
    </w:p>
    <w:p w14:paraId="2A8C6D76">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先由县文广旅局向市文广旅局提交本年度文化馆、图书馆免费开放中央和省级专项补助的请示，向县委、县政府提交县级配套资金的请示，省财政厅、省文化和旅游厅将免费开放专项资金下达到县财政局，由县财政局下达到文化馆。</w:t>
      </w:r>
    </w:p>
    <w:p w14:paraId="23851BC0">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outlineLvl w:val="9"/>
        <w:rPr>
          <w:rFonts w:hint="eastAsia" w:eastAsia="楷体_GB2312"/>
          <w:sz w:val="32"/>
          <w:szCs w:val="32"/>
          <w:lang w:eastAsia="zh-CN"/>
        </w:rPr>
      </w:pPr>
      <w:r>
        <w:rPr>
          <w:rFonts w:eastAsia="楷体_GB2312"/>
          <w:sz w:val="32"/>
          <w:szCs w:val="32"/>
        </w:rPr>
        <w:t>（二）资金计划、到位及使用情况</w:t>
      </w:r>
      <w:r>
        <w:rPr>
          <w:rFonts w:hint="eastAsia" w:eastAsia="楷体_GB2312"/>
          <w:sz w:val="32"/>
          <w:szCs w:val="32"/>
          <w:lang w:eastAsia="zh-CN"/>
        </w:rPr>
        <w:t>。</w:t>
      </w:r>
    </w:p>
    <w:p w14:paraId="1852D9A4">
      <w:pPr>
        <w:keepNext w:val="0"/>
        <w:keepLines w:val="0"/>
        <w:pageBreakBefore w:val="0"/>
        <w:widowControl w:val="0"/>
        <w:kinsoku/>
        <w:wordWrap/>
        <w:overflowPunct/>
        <w:topLinePunct w:val="0"/>
        <w:autoSpaceDE/>
        <w:autoSpaceDN/>
        <w:bidi w:val="0"/>
        <w:adjustRightInd/>
        <w:snapToGrid/>
        <w:spacing w:line="590" w:lineRule="exact"/>
        <w:ind w:firstLine="643" w:firstLineChars="200"/>
        <w:textAlignment w:val="auto"/>
        <w:outlineLvl w:val="9"/>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1.资金计划。</w:t>
      </w:r>
    </w:p>
    <w:p w14:paraId="42A86419">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outlineLvl w:val="9"/>
        <w:rPr>
          <w:rFonts w:hint="eastAsia" w:ascii="仿宋_GB2312" w:hAnsi="仿宋_GB2312" w:eastAsia="仿宋_GB2312" w:cs="仿宋_GB2312"/>
          <w:b w:val="0"/>
          <w:bCs/>
          <w:sz w:val="32"/>
          <w:szCs w:val="32"/>
          <w:lang w:val="en-US" w:eastAsia="zh-CN"/>
        </w:rPr>
      </w:pPr>
      <w:r>
        <w:rPr>
          <w:rFonts w:hint="eastAsia" w:ascii="仿宋_GB2312" w:hAnsi="仿宋_GB2312" w:eastAsia="仿宋_GB2312" w:cs="仿宋_GB2312"/>
          <w:b w:val="0"/>
          <w:bCs/>
          <w:sz w:val="32"/>
          <w:szCs w:val="32"/>
          <w:lang w:eastAsia="zh-CN"/>
        </w:rPr>
        <w:t>文化馆、图书馆免费开放项目资金计划</w:t>
      </w:r>
      <w:r>
        <w:rPr>
          <w:rFonts w:hint="default" w:ascii="Times New Roman" w:hAnsi="Times New Roman" w:eastAsia="仿宋_GB2312" w:cs="Times New Roman"/>
          <w:b w:val="0"/>
          <w:bCs/>
          <w:sz w:val="32"/>
          <w:szCs w:val="32"/>
          <w:lang w:val="en-US" w:eastAsia="zh-CN"/>
        </w:rPr>
        <w:t>40</w:t>
      </w:r>
      <w:r>
        <w:rPr>
          <w:rFonts w:hint="eastAsia" w:ascii="仿宋_GB2312" w:hAnsi="仿宋_GB2312" w:eastAsia="仿宋_GB2312" w:cs="仿宋_GB2312"/>
          <w:b w:val="0"/>
          <w:bCs/>
          <w:sz w:val="32"/>
          <w:szCs w:val="32"/>
          <w:lang w:val="en-US" w:eastAsia="zh-CN"/>
        </w:rPr>
        <w:t>万元，其中：中央补助</w:t>
      </w:r>
      <w:r>
        <w:rPr>
          <w:rFonts w:hint="default" w:ascii="Times New Roman" w:hAnsi="Times New Roman" w:eastAsia="仿宋_GB2312" w:cs="Times New Roman"/>
          <w:b w:val="0"/>
          <w:bCs/>
          <w:sz w:val="32"/>
          <w:szCs w:val="32"/>
          <w:lang w:val="en-US" w:eastAsia="zh-CN"/>
        </w:rPr>
        <w:t>32</w:t>
      </w:r>
      <w:r>
        <w:rPr>
          <w:rFonts w:hint="eastAsia" w:ascii="仿宋_GB2312" w:hAnsi="仿宋_GB2312" w:eastAsia="仿宋_GB2312" w:cs="仿宋_GB2312"/>
          <w:b w:val="0"/>
          <w:bCs/>
          <w:sz w:val="32"/>
          <w:szCs w:val="32"/>
          <w:lang w:val="en-US" w:eastAsia="zh-CN"/>
        </w:rPr>
        <w:t>万元，省级补助</w:t>
      </w:r>
      <w:r>
        <w:rPr>
          <w:rFonts w:hint="default" w:ascii="Times New Roman" w:hAnsi="Times New Roman" w:eastAsia="仿宋_GB2312" w:cs="Times New Roman"/>
          <w:b w:val="0"/>
          <w:bCs/>
          <w:sz w:val="32"/>
          <w:szCs w:val="32"/>
          <w:lang w:val="en-US" w:eastAsia="zh-CN"/>
        </w:rPr>
        <w:t>3.2</w:t>
      </w:r>
      <w:r>
        <w:rPr>
          <w:rFonts w:hint="eastAsia" w:ascii="仿宋_GB2312" w:hAnsi="仿宋_GB2312" w:eastAsia="仿宋_GB2312" w:cs="仿宋_GB2312"/>
          <w:b w:val="0"/>
          <w:bCs/>
          <w:sz w:val="32"/>
          <w:szCs w:val="32"/>
          <w:lang w:val="en-US" w:eastAsia="zh-CN"/>
        </w:rPr>
        <w:t>万元，县级配套</w:t>
      </w:r>
      <w:r>
        <w:rPr>
          <w:rFonts w:hint="default" w:ascii="Times New Roman" w:hAnsi="Times New Roman" w:eastAsia="仿宋_GB2312" w:cs="Times New Roman"/>
          <w:b w:val="0"/>
          <w:bCs/>
          <w:sz w:val="32"/>
          <w:szCs w:val="32"/>
          <w:lang w:val="en-US" w:eastAsia="zh-CN"/>
        </w:rPr>
        <w:t>4.8</w:t>
      </w:r>
      <w:r>
        <w:rPr>
          <w:rFonts w:hint="eastAsia" w:ascii="仿宋_GB2312" w:hAnsi="仿宋_GB2312" w:eastAsia="仿宋_GB2312" w:cs="仿宋_GB2312"/>
          <w:b w:val="0"/>
          <w:bCs/>
          <w:sz w:val="32"/>
          <w:szCs w:val="32"/>
          <w:lang w:val="en-US" w:eastAsia="zh-CN"/>
        </w:rPr>
        <w:t>万元。</w:t>
      </w:r>
    </w:p>
    <w:p w14:paraId="093A3874">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3" w:firstLineChars="200"/>
        <w:textAlignment w:val="auto"/>
        <w:outlineLvl w:val="9"/>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lang w:val="en-US" w:eastAsia="zh-CN"/>
        </w:rPr>
        <w:t>2.</w:t>
      </w:r>
      <w:r>
        <w:rPr>
          <w:rFonts w:hint="eastAsia" w:ascii="仿宋_GB2312" w:hAnsi="仿宋_GB2312" w:eastAsia="仿宋_GB2312" w:cs="仿宋_GB2312"/>
          <w:b/>
          <w:sz w:val="32"/>
          <w:szCs w:val="32"/>
        </w:rPr>
        <w:t>资金到位。</w:t>
      </w:r>
    </w:p>
    <w:p w14:paraId="494DE6EB">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outlineLvl w:val="9"/>
        <w:rPr>
          <w:rFonts w:hint="eastAsia" w:ascii="仿宋_GB2312" w:hAnsi="仿宋_GB2312" w:eastAsia="仿宋_GB2312" w:cs="仿宋_GB2312"/>
          <w:b w:val="0"/>
          <w:bCs/>
          <w:sz w:val="32"/>
          <w:szCs w:val="32"/>
          <w:lang w:val="en-US" w:eastAsia="zh-CN"/>
        </w:rPr>
      </w:pPr>
      <w:r>
        <w:rPr>
          <w:rFonts w:hint="default" w:ascii="Times New Roman" w:hAnsi="Times New Roman" w:eastAsia="仿宋_GB2312" w:cs="Times New Roman"/>
          <w:b w:val="0"/>
          <w:bCs/>
          <w:sz w:val="32"/>
          <w:szCs w:val="32"/>
          <w:lang w:val="en-US" w:eastAsia="zh-CN"/>
        </w:rPr>
        <w:t>2020</w:t>
      </w:r>
      <w:r>
        <w:rPr>
          <w:rFonts w:hint="eastAsia" w:ascii="仿宋_GB2312" w:hAnsi="仿宋_GB2312" w:eastAsia="仿宋_GB2312" w:cs="仿宋_GB2312"/>
          <w:b w:val="0"/>
          <w:bCs/>
          <w:sz w:val="32"/>
          <w:szCs w:val="32"/>
          <w:lang w:val="en-US" w:eastAsia="zh-CN"/>
        </w:rPr>
        <w:t>年</w:t>
      </w:r>
      <w:r>
        <w:rPr>
          <w:rFonts w:hint="default" w:ascii="Times New Roman" w:hAnsi="Times New Roman" w:eastAsia="仿宋_GB2312" w:cs="Times New Roman"/>
          <w:b w:val="0"/>
          <w:bCs/>
          <w:sz w:val="32"/>
          <w:szCs w:val="32"/>
          <w:lang w:val="en-US" w:eastAsia="zh-CN"/>
        </w:rPr>
        <w:t>3</w:t>
      </w:r>
      <w:r>
        <w:rPr>
          <w:rFonts w:hint="eastAsia" w:ascii="仿宋_GB2312" w:hAnsi="仿宋_GB2312" w:eastAsia="仿宋_GB2312" w:cs="仿宋_GB2312"/>
          <w:b w:val="0"/>
          <w:bCs/>
          <w:sz w:val="32"/>
          <w:szCs w:val="32"/>
          <w:lang w:val="en-US" w:eastAsia="zh-CN"/>
        </w:rPr>
        <w:t>月，县财政局根据四川省财政厅 四川省文化和旅游厅《关于下达</w:t>
      </w:r>
      <w:r>
        <w:rPr>
          <w:rFonts w:hint="default" w:ascii="Times New Roman" w:hAnsi="Times New Roman" w:eastAsia="仿宋_GB2312" w:cs="Times New Roman"/>
          <w:b w:val="0"/>
          <w:bCs/>
          <w:sz w:val="32"/>
          <w:szCs w:val="32"/>
          <w:lang w:val="en-US" w:eastAsia="zh-CN"/>
        </w:rPr>
        <w:t>2020</w:t>
      </w:r>
      <w:r>
        <w:rPr>
          <w:rFonts w:hint="eastAsia" w:ascii="仿宋_GB2312" w:hAnsi="仿宋_GB2312" w:eastAsia="仿宋_GB2312" w:cs="仿宋_GB2312"/>
          <w:b w:val="0"/>
          <w:bCs/>
          <w:sz w:val="32"/>
          <w:szCs w:val="32"/>
          <w:lang w:val="en-US" w:eastAsia="zh-CN"/>
        </w:rPr>
        <w:t>年中央和省补助美术馆 公共图书馆 文化馆（站）免费开放专项资金的通知》（川财教</w:t>
      </w:r>
      <w:r>
        <w:rPr>
          <w:rFonts w:hint="eastAsia" w:ascii="仿宋_GB2312" w:hAnsi="仿宋_GB2312" w:eastAsia="仿宋_GB2312" w:cs="仿宋_GB2312"/>
          <w:sz w:val="32"/>
          <w:szCs w:val="32"/>
          <w:lang w:eastAsia="zh-CN"/>
        </w:rPr>
        <w:t>〔</w:t>
      </w:r>
      <w:r>
        <w:rPr>
          <w:rFonts w:hint="default" w:ascii="Times New Roman" w:hAnsi="Times New Roman" w:eastAsia="仿宋_GB2312" w:cs="Times New Roman"/>
          <w:sz w:val="32"/>
          <w:szCs w:val="32"/>
          <w:lang w:val="en-US" w:eastAsia="zh-CN"/>
        </w:rPr>
        <w:t>2020</w:t>
      </w:r>
      <w:r>
        <w:rPr>
          <w:rFonts w:hint="eastAsia" w:ascii="仿宋_GB2312" w:hAnsi="仿宋_GB2312" w:eastAsia="仿宋_GB2312" w:cs="仿宋_GB2312"/>
          <w:sz w:val="32"/>
          <w:szCs w:val="32"/>
          <w:lang w:eastAsia="zh-CN"/>
        </w:rPr>
        <w:t>〕</w:t>
      </w:r>
      <w:r>
        <w:rPr>
          <w:rFonts w:hint="default" w:ascii="Times New Roman" w:hAnsi="Times New Roman" w:eastAsia="仿宋_GB2312" w:cs="Times New Roman"/>
          <w:sz w:val="32"/>
          <w:szCs w:val="32"/>
          <w:lang w:val="en-US" w:eastAsia="zh-CN"/>
        </w:rPr>
        <w:t>11</w:t>
      </w:r>
      <w:r>
        <w:rPr>
          <w:rFonts w:hint="eastAsia" w:ascii="仿宋_GB2312" w:hAnsi="仿宋_GB2312" w:eastAsia="仿宋_GB2312" w:cs="仿宋_GB2312"/>
          <w:sz w:val="32"/>
          <w:szCs w:val="32"/>
          <w:lang w:val="en-US" w:eastAsia="zh-CN"/>
        </w:rPr>
        <w:t>号）下达文化馆、图书馆免费开放专项资金</w:t>
      </w:r>
      <w:r>
        <w:rPr>
          <w:rFonts w:hint="default" w:ascii="Times New Roman" w:hAnsi="Times New Roman" w:eastAsia="仿宋_GB2312" w:cs="Times New Roman"/>
          <w:sz w:val="32"/>
          <w:szCs w:val="32"/>
          <w:lang w:val="en-US" w:eastAsia="zh-CN"/>
        </w:rPr>
        <w:t>35.2</w:t>
      </w:r>
      <w:r>
        <w:rPr>
          <w:rFonts w:hint="eastAsia" w:ascii="仿宋_GB2312" w:hAnsi="仿宋_GB2312" w:eastAsia="仿宋_GB2312" w:cs="仿宋_GB2312"/>
          <w:sz w:val="32"/>
          <w:szCs w:val="32"/>
          <w:lang w:val="en-US" w:eastAsia="zh-CN"/>
        </w:rPr>
        <w:t>万元。</w:t>
      </w:r>
      <w:r>
        <w:rPr>
          <w:rFonts w:hint="default" w:ascii="Times New Roman" w:hAnsi="Times New Roman" w:eastAsia="仿宋_GB2312" w:cs="Times New Roman"/>
          <w:sz w:val="32"/>
          <w:szCs w:val="32"/>
          <w:lang w:val="en-US" w:eastAsia="zh-CN"/>
        </w:rPr>
        <w:t>2020</w:t>
      </w:r>
      <w:r>
        <w:rPr>
          <w:rFonts w:hint="eastAsia" w:ascii="仿宋_GB2312" w:hAnsi="仿宋_GB2312" w:eastAsia="仿宋_GB2312" w:cs="仿宋_GB2312"/>
          <w:sz w:val="32"/>
          <w:szCs w:val="32"/>
          <w:lang w:val="en-US" w:eastAsia="zh-CN"/>
        </w:rPr>
        <w:t>年</w:t>
      </w:r>
      <w:r>
        <w:rPr>
          <w:rFonts w:hint="default" w:ascii="Times New Roman" w:hAnsi="Times New Roman" w:eastAsia="仿宋_GB2312" w:cs="Times New Roman"/>
          <w:sz w:val="32"/>
          <w:szCs w:val="32"/>
          <w:lang w:val="en-US" w:eastAsia="zh-CN"/>
        </w:rPr>
        <w:t>7</w:t>
      </w:r>
      <w:r>
        <w:rPr>
          <w:rFonts w:hint="eastAsia" w:ascii="仿宋_GB2312" w:hAnsi="仿宋_GB2312" w:eastAsia="仿宋_GB2312" w:cs="仿宋_GB2312"/>
          <w:sz w:val="32"/>
          <w:szCs w:val="32"/>
          <w:lang w:val="en-US" w:eastAsia="zh-CN"/>
        </w:rPr>
        <w:t>月盐边县财政局《关于下达</w:t>
      </w:r>
      <w:r>
        <w:rPr>
          <w:rFonts w:hint="default" w:ascii="Times New Roman" w:hAnsi="Times New Roman" w:eastAsia="仿宋_GB2312" w:cs="Times New Roman"/>
          <w:sz w:val="32"/>
          <w:szCs w:val="32"/>
          <w:lang w:val="en-US" w:eastAsia="zh-CN"/>
        </w:rPr>
        <w:t>2020</w:t>
      </w:r>
      <w:r>
        <w:rPr>
          <w:rFonts w:hint="eastAsia" w:ascii="仿宋_GB2312" w:hAnsi="仿宋_GB2312" w:eastAsia="仿宋_GB2312" w:cs="仿宋_GB2312"/>
          <w:sz w:val="32"/>
          <w:szCs w:val="32"/>
          <w:lang w:val="en-US" w:eastAsia="zh-CN"/>
        </w:rPr>
        <w:t>年省级民生工程公共图书馆文化馆（站）免费开放县级配套资金的通知》（盐财资行</w:t>
      </w:r>
      <w:r>
        <w:rPr>
          <w:rFonts w:hint="eastAsia" w:ascii="仿宋_GB2312" w:hAnsi="仿宋_GB2312" w:eastAsia="仿宋_GB2312" w:cs="仿宋_GB2312"/>
          <w:sz w:val="32"/>
          <w:szCs w:val="32"/>
          <w:lang w:eastAsia="zh-CN"/>
        </w:rPr>
        <w:t>〔</w:t>
      </w:r>
      <w:r>
        <w:rPr>
          <w:rFonts w:hint="default" w:ascii="Times New Roman" w:hAnsi="Times New Roman" w:eastAsia="仿宋_GB2312" w:cs="Times New Roman"/>
          <w:sz w:val="32"/>
          <w:szCs w:val="32"/>
          <w:lang w:val="en-US" w:eastAsia="zh-CN"/>
        </w:rPr>
        <w:t>2020</w:t>
      </w:r>
      <w:r>
        <w:rPr>
          <w:rFonts w:hint="eastAsia" w:ascii="仿宋_GB2312" w:hAnsi="仿宋_GB2312" w:eastAsia="仿宋_GB2312" w:cs="仿宋_GB2312"/>
          <w:sz w:val="32"/>
          <w:szCs w:val="32"/>
          <w:lang w:eastAsia="zh-CN"/>
        </w:rPr>
        <w:t>〕</w:t>
      </w:r>
      <w:r>
        <w:rPr>
          <w:rFonts w:hint="default" w:ascii="Times New Roman" w:hAnsi="Times New Roman" w:eastAsia="仿宋_GB2312" w:cs="Times New Roman"/>
          <w:sz w:val="32"/>
          <w:szCs w:val="32"/>
          <w:lang w:val="en-US" w:eastAsia="zh-CN"/>
        </w:rPr>
        <w:t>216</w:t>
      </w:r>
      <w:r>
        <w:rPr>
          <w:rFonts w:hint="eastAsia" w:ascii="仿宋_GB2312" w:hAnsi="仿宋_GB2312" w:eastAsia="仿宋_GB2312" w:cs="仿宋_GB2312"/>
          <w:sz w:val="32"/>
          <w:szCs w:val="32"/>
          <w:lang w:val="en-US" w:eastAsia="zh-CN"/>
        </w:rPr>
        <w:t>号）下达文化馆图书馆免费开放专项资金</w:t>
      </w:r>
      <w:r>
        <w:rPr>
          <w:rFonts w:hint="default" w:ascii="Times New Roman" w:hAnsi="Times New Roman" w:eastAsia="仿宋_GB2312" w:cs="Times New Roman"/>
          <w:sz w:val="32"/>
          <w:szCs w:val="32"/>
          <w:lang w:val="en-US" w:eastAsia="zh-CN"/>
        </w:rPr>
        <w:t>4.8</w:t>
      </w:r>
      <w:r>
        <w:rPr>
          <w:rFonts w:hint="eastAsia" w:ascii="仿宋_GB2312" w:hAnsi="仿宋_GB2312" w:eastAsia="仿宋_GB2312" w:cs="仿宋_GB2312"/>
          <w:sz w:val="32"/>
          <w:szCs w:val="32"/>
          <w:lang w:val="en-US" w:eastAsia="zh-CN"/>
        </w:rPr>
        <w:t>万元，资金到位及时，到位率</w:t>
      </w:r>
      <w:r>
        <w:rPr>
          <w:rFonts w:hint="default" w:ascii="Times New Roman" w:hAnsi="Times New Roman" w:eastAsia="仿宋_GB2312" w:cs="Times New Roman"/>
          <w:sz w:val="32"/>
          <w:szCs w:val="32"/>
          <w:lang w:val="en-US" w:eastAsia="zh-CN"/>
        </w:rPr>
        <w:t>100%</w:t>
      </w:r>
      <w:r>
        <w:rPr>
          <w:rFonts w:hint="eastAsia" w:ascii="仿宋_GB2312" w:hAnsi="仿宋_GB2312" w:eastAsia="仿宋_GB2312" w:cs="仿宋_GB2312"/>
          <w:sz w:val="32"/>
          <w:szCs w:val="32"/>
          <w:lang w:val="en-US" w:eastAsia="zh-CN"/>
        </w:rPr>
        <w:t>。</w:t>
      </w:r>
    </w:p>
    <w:p w14:paraId="55AE8FAE">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3" w:firstLineChars="200"/>
        <w:textAlignment w:val="auto"/>
        <w:outlineLvl w:val="9"/>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lang w:val="en-US" w:eastAsia="zh-CN"/>
        </w:rPr>
        <w:t>3.</w:t>
      </w:r>
      <w:r>
        <w:rPr>
          <w:rFonts w:hint="eastAsia" w:ascii="仿宋_GB2312" w:hAnsi="仿宋_GB2312" w:eastAsia="仿宋_GB2312" w:cs="仿宋_GB2312"/>
          <w:b/>
          <w:sz w:val="32"/>
          <w:szCs w:val="32"/>
        </w:rPr>
        <w:t>资金使用。</w:t>
      </w:r>
    </w:p>
    <w:p w14:paraId="2646F422">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outlineLvl w:val="9"/>
        <w:rPr>
          <w:rFonts w:hint="eastAsia" w:ascii="仿宋_GB2312" w:hAnsi="仿宋_GB2312" w:eastAsia="仿宋_GB2312" w:cs="仿宋_GB2312"/>
          <w:b w:val="0"/>
          <w:bCs/>
          <w:sz w:val="32"/>
          <w:szCs w:val="32"/>
          <w:lang w:val="en-US" w:eastAsia="zh-CN"/>
        </w:rPr>
      </w:pPr>
      <w:r>
        <w:rPr>
          <w:rFonts w:hint="eastAsia" w:ascii="仿宋_GB2312" w:hAnsi="仿宋_GB2312" w:eastAsia="仿宋_GB2312" w:cs="仿宋_GB2312"/>
          <w:b w:val="0"/>
          <w:bCs/>
          <w:sz w:val="32"/>
          <w:szCs w:val="32"/>
          <w:lang w:eastAsia="zh-CN"/>
        </w:rPr>
        <w:t>截</w:t>
      </w:r>
      <w:r>
        <w:rPr>
          <w:rFonts w:hint="eastAsia" w:ascii="仿宋_GB2312" w:hAnsi="仿宋_GB2312" w:eastAsia="仿宋_GB2312" w:cs="仿宋_GB2312"/>
          <w:b w:val="0"/>
          <w:bCs/>
          <w:sz w:val="32"/>
          <w:szCs w:val="32"/>
          <w:lang w:val="en-US" w:eastAsia="zh-CN"/>
        </w:rPr>
        <w:t>至</w:t>
      </w:r>
      <w:bookmarkStart w:id="0" w:name="_GoBack"/>
      <w:bookmarkEnd w:id="0"/>
      <w:r>
        <w:rPr>
          <w:rFonts w:hint="default" w:ascii="Times New Roman" w:hAnsi="Times New Roman" w:eastAsia="仿宋_GB2312" w:cs="Times New Roman"/>
          <w:b w:val="0"/>
          <w:bCs/>
          <w:sz w:val="32"/>
          <w:szCs w:val="32"/>
          <w:lang w:val="en-US" w:eastAsia="zh-CN"/>
        </w:rPr>
        <w:t>2020</w:t>
      </w:r>
      <w:r>
        <w:rPr>
          <w:rFonts w:hint="eastAsia" w:ascii="仿宋_GB2312" w:hAnsi="仿宋_GB2312" w:eastAsia="仿宋_GB2312" w:cs="仿宋_GB2312"/>
          <w:b w:val="0"/>
          <w:bCs/>
          <w:sz w:val="32"/>
          <w:szCs w:val="32"/>
          <w:lang w:val="en-US" w:eastAsia="zh-CN"/>
        </w:rPr>
        <w:t>年</w:t>
      </w:r>
      <w:r>
        <w:rPr>
          <w:rFonts w:hint="default" w:ascii="Times New Roman" w:hAnsi="Times New Roman" w:eastAsia="仿宋_GB2312" w:cs="Times New Roman"/>
          <w:b w:val="0"/>
          <w:bCs/>
          <w:sz w:val="32"/>
          <w:szCs w:val="32"/>
          <w:lang w:val="en-US" w:eastAsia="zh-CN"/>
        </w:rPr>
        <w:t>12</w:t>
      </w:r>
      <w:r>
        <w:rPr>
          <w:rFonts w:hint="eastAsia" w:ascii="仿宋_GB2312" w:hAnsi="仿宋_GB2312" w:eastAsia="仿宋_GB2312" w:cs="仿宋_GB2312"/>
          <w:b w:val="0"/>
          <w:bCs/>
          <w:sz w:val="32"/>
          <w:szCs w:val="32"/>
          <w:lang w:val="en-US" w:eastAsia="zh-CN"/>
        </w:rPr>
        <w:t>月</w:t>
      </w:r>
      <w:r>
        <w:rPr>
          <w:rFonts w:hint="default" w:ascii="Times New Roman" w:hAnsi="Times New Roman" w:eastAsia="仿宋_GB2312" w:cs="Times New Roman"/>
          <w:b w:val="0"/>
          <w:bCs/>
          <w:sz w:val="32"/>
          <w:szCs w:val="32"/>
          <w:lang w:val="en-US" w:eastAsia="zh-CN"/>
        </w:rPr>
        <w:t>31</w:t>
      </w:r>
      <w:r>
        <w:rPr>
          <w:rFonts w:hint="eastAsia" w:ascii="仿宋_GB2312" w:hAnsi="仿宋_GB2312" w:eastAsia="仿宋_GB2312" w:cs="仿宋_GB2312"/>
          <w:b w:val="0"/>
          <w:bCs/>
          <w:sz w:val="32"/>
          <w:szCs w:val="32"/>
          <w:lang w:val="en-US" w:eastAsia="zh-CN"/>
        </w:rPr>
        <w:t>日，文化馆、图书馆免费开放项目资金已使用</w:t>
      </w:r>
      <w:r>
        <w:rPr>
          <w:rFonts w:hint="default" w:ascii="Times New Roman" w:hAnsi="Times New Roman" w:eastAsia="仿宋_GB2312" w:cs="Times New Roman"/>
          <w:b w:val="0"/>
          <w:bCs/>
          <w:sz w:val="32"/>
          <w:szCs w:val="32"/>
          <w:lang w:val="en-US" w:eastAsia="zh-CN"/>
        </w:rPr>
        <w:t>40</w:t>
      </w:r>
      <w:r>
        <w:rPr>
          <w:rFonts w:hint="eastAsia" w:ascii="仿宋_GB2312" w:hAnsi="仿宋_GB2312" w:eastAsia="仿宋_GB2312" w:cs="仿宋_GB2312"/>
          <w:b w:val="0"/>
          <w:bCs/>
          <w:sz w:val="32"/>
          <w:szCs w:val="32"/>
          <w:lang w:val="en-US" w:eastAsia="zh-CN"/>
        </w:rPr>
        <w:t>万元，结余</w:t>
      </w:r>
      <w:r>
        <w:rPr>
          <w:rFonts w:hint="default" w:ascii="Times New Roman" w:hAnsi="Times New Roman" w:eastAsia="仿宋_GB2312" w:cs="Times New Roman"/>
          <w:b w:val="0"/>
          <w:bCs/>
          <w:sz w:val="32"/>
          <w:szCs w:val="32"/>
          <w:lang w:val="en-US" w:eastAsia="zh-CN"/>
        </w:rPr>
        <w:t>0</w:t>
      </w:r>
      <w:r>
        <w:rPr>
          <w:rFonts w:hint="eastAsia" w:ascii="仿宋_GB2312" w:hAnsi="仿宋_GB2312" w:eastAsia="仿宋_GB2312" w:cs="仿宋_GB2312"/>
          <w:b w:val="0"/>
          <w:bCs/>
          <w:sz w:val="32"/>
          <w:szCs w:val="32"/>
          <w:lang w:val="en-US" w:eastAsia="zh-CN"/>
        </w:rPr>
        <w:t>元。专项资金均用于文化馆和图书馆免费开放和开展流动服务、举办展览、组织公益性群众文化活动及小型设备更新和免费开放场馆维修维护。资金支付合规合法，与预算相符。</w:t>
      </w:r>
    </w:p>
    <w:p w14:paraId="069E2C29">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outlineLvl w:val="9"/>
        <w:rPr>
          <w:rFonts w:eastAsia="楷体_GB2312"/>
          <w:sz w:val="32"/>
          <w:szCs w:val="32"/>
        </w:rPr>
      </w:pPr>
      <w:r>
        <w:rPr>
          <w:rFonts w:eastAsia="楷体_GB2312"/>
          <w:sz w:val="32"/>
          <w:szCs w:val="32"/>
        </w:rPr>
        <w:t>（三）项目财务管理情况。</w:t>
      </w:r>
    </w:p>
    <w:p w14:paraId="2FC42CE3">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outlineLvl w:val="9"/>
        <w:rPr>
          <w:rFonts w:hint="eastAsia" w:eastAsia="仿宋_GB2312"/>
          <w:sz w:val="32"/>
          <w:szCs w:val="32"/>
          <w:lang w:eastAsia="zh-CN"/>
        </w:rPr>
      </w:pPr>
      <w:r>
        <w:rPr>
          <w:rFonts w:hint="eastAsia" w:eastAsia="仿宋_GB2312"/>
          <w:sz w:val="32"/>
          <w:szCs w:val="32"/>
          <w:lang w:eastAsia="zh-CN"/>
        </w:rPr>
        <w:t>该项目在实施过程中严格按照《中华人民共和国预算法》《中华人民共和国公共文化服务保障法》相关法律法规及项目管理制度等相关规定执行，所有项目资金按照相关文件精神合理、合规、合法使用，账务处理及时，会计核算规范。</w:t>
      </w:r>
    </w:p>
    <w:p w14:paraId="66DB9E77">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outlineLvl w:val="9"/>
        <w:rPr>
          <w:rFonts w:eastAsia="黑体"/>
          <w:sz w:val="32"/>
          <w:szCs w:val="32"/>
        </w:rPr>
      </w:pPr>
      <w:r>
        <w:rPr>
          <w:rFonts w:eastAsia="黑体"/>
          <w:sz w:val="32"/>
          <w:szCs w:val="32"/>
        </w:rPr>
        <w:t>三、项目实施及管理情况</w:t>
      </w:r>
    </w:p>
    <w:p w14:paraId="3B46A642">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outlineLvl w:val="9"/>
        <w:rPr>
          <w:rFonts w:eastAsia="楷体_GB2312"/>
          <w:sz w:val="32"/>
          <w:szCs w:val="32"/>
        </w:rPr>
      </w:pPr>
      <w:r>
        <w:rPr>
          <w:rFonts w:hint="eastAsia" w:eastAsia="楷体_GB2312"/>
          <w:sz w:val="32"/>
          <w:szCs w:val="32"/>
          <w:lang w:eastAsia="zh-CN"/>
        </w:rPr>
        <w:t>（一）</w:t>
      </w:r>
      <w:r>
        <w:rPr>
          <w:rFonts w:eastAsia="楷体_GB2312"/>
          <w:sz w:val="32"/>
          <w:szCs w:val="32"/>
        </w:rPr>
        <w:t>项目组织架构及实施流程。</w:t>
      </w:r>
    </w:p>
    <w:p w14:paraId="6D16686F">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项目资金由主管局进行监管，文化馆根据工作实际统筹安排，由馆内财务室管理项目资金进出，各业务室协助资金管理。</w:t>
      </w:r>
    </w:p>
    <w:p w14:paraId="4C3167E3">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outlineLvl w:val="9"/>
        <w:rPr>
          <w:rFonts w:eastAsia="楷体_GB2312"/>
          <w:sz w:val="32"/>
          <w:szCs w:val="32"/>
        </w:rPr>
      </w:pPr>
      <w:r>
        <w:rPr>
          <w:rFonts w:hint="eastAsia" w:eastAsia="楷体_GB2312"/>
          <w:sz w:val="32"/>
          <w:szCs w:val="32"/>
          <w:lang w:eastAsia="zh-CN"/>
        </w:rPr>
        <w:t>（二）</w:t>
      </w:r>
      <w:r>
        <w:rPr>
          <w:rFonts w:eastAsia="楷体_GB2312"/>
          <w:sz w:val="32"/>
          <w:szCs w:val="32"/>
        </w:rPr>
        <w:t>项目管理情况。</w:t>
      </w:r>
    </w:p>
    <w:p w14:paraId="44587051">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outlineLvl w:val="9"/>
        <w:rPr>
          <w:rFonts w:hint="eastAsia" w:eastAsia="仿宋_GB2312"/>
          <w:sz w:val="32"/>
          <w:szCs w:val="32"/>
          <w:lang w:val="en-US" w:eastAsia="zh-CN"/>
        </w:rPr>
      </w:pPr>
      <w:r>
        <w:rPr>
          <w:rFonts w:hint="eastAsia" w:eastAsia="仿宋_GB2312"/>
          <w:sz w:val="32"/>
          <w:szCs w:val="32"/>
          <w:lang w:eastAsia="zh-CN"/>
        </w:rPr>
        <w:t>该项目资金专款专用，杜绝挪用、挤占、滞留，严格按照中央和省、市财经法及相关管理办法，制定了免费开放专项资金管理制度，项目资金及时向社会公开。</w:t>
      </w:r>
    </w:p>
    <w:p w14:paraId="2BB9FEDB">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outlineLvl w:val="9"/>
        <w:rPr>
          <w:rFonts w:eastAsia="楷体_GB2312"/>
          <w:sz w:val="32"/>
          <w:szCs w:val="32"/>
        </w:rPr>
      </w:pPr>
      <w:r>
        <w:rPr>
          <w:rFonts w:hint="eastAsia" w:eastAsia="楷体_GB2312"/>
          <w:sz w:val="32"/>
          <w:szCs w:val="32"/>
          <w:lang w:eastAsia="zh-CN"/>
        </w:rPr>
        <w:t>（三）</w:t>
      </w:r>
      <w:r>
        <w:rPr>
          <w:rFonts w:eastAsia="楷体_GB2312"/>
          <w:sz w:val="32"/>
          <w:szCs w:val="32"/>
        </w:rPr>
        <w:t>项目监管情况。</w:t>
      </w:r>
    </w:p>
    <w:p w14:paraId="5EB76462">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outlineLvl w:val="9"/>
        <w:rPr>
          <w:rFonts w:eastAsia="仿宋_GB2312"/>
          <w:sz w:val="32"/>
          <w:szCs w:val="32"/>
        </w:rPr>
      </w:pPr>
      <w:r>
        <w:rPr>
          <w:rFonts w:hint="eastAsia" w:ascii="仿宋_GB2312" w:hAnsi="仿宋_GB2312" w:eastAsia="仿宋_GB2312" w:cs="仿宋_GB2312"/>
          <w:sz w:val="32"/>
          <w:szCs w:val="32"/>
          <w:lang w:val="en-US" w:eastAsia="zh-CN"/>
        </w:rPr>
        <w:t>县文广旅局和县财政局不定期对该项目资金使用情况进行抽查，对资金的管理和使用进行跟踪监督。</w:t>
      </w:r>
    </w:p>
    <w:p w14:paraId="27DF5A5C">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outlineLvl w:val="9"/>
        <w:rPr>
          <w:rFonts w:eastAsia="黑体"/>
          <w:sz w:val="32"/>
          <w:szCs w:val="32"/>
        </w:rPr>
      </w:pPr>
      <w:r>
        <w:rPr>
          <w:rFonts w:eastAsia="黑体"/>
          <w:sz w:val="32"/>
          <w:szCs w:val="32"/>
        </w:rPr>
        <w:t>四、项目绩效情况</w:t>
      </w:r>
      <w:r>
        <w:rPr>
          <w:rFonts w:eastAsia="黑体"/>
          <w:sz w:val="32"/>
          <w:szCs w:val="32"/>
        </w:rPr>
        <w:tab/>
      </w:r>
    </w:p>
    <w:p w14:paraId="4DBCF194">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outlineLvl w:val="9"/>
        <w:rPr>
          <w:rFonts w:eastAsia="楷体_GB2312"/>
          <w:sz w:val="32"/>
          <w:szCs w:val="32"/>
        </w:rPr>
      </w:pPr>
      <w:r>
        <w:rPr>
          <w:rFonts w:eastAsia="楷体_GB2312"/>
          <w:sz w:val="32"/>
          <w:szCs w:val="32"/>
        </w:rPr>
        <w:t>（一）项目完成情况。</w:t>
      </w:r>
    </w:p>
    <w:p w14:paraId="10049203">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outlineLvl w:val="9"/>
        <w:rPr>
          <w:rFonts w:eastAsia="楷体_GB2312"/>
          <w:sz w:val="32"/>
          <w:szCs w:val="32"/>
        </w:rPr>
      </w:pPr>
      <w:r>
        <w:rPr>
          <w:rFonts w:hint="eastAsia" w:eastAsia="仿宋_GB2312"/>
          <w:sz w:val="32"/>
          <w:szCs w:val="32"/>
          <w:lang w:val="en-US" w:eastAsia="zh-CN"/>
        </w:rPr>
        <w:t>2020年文化馆和图书馆</w:t>
      </w:r>
      <w:r>
        <w:rPr>
          <w:rFonts w:hint="eastAsia" w:ascii="Times New Roman" w:hAnsi="Times New Roman" w:eastAsia="仿宋_GB2312"/>
          <w:sz w:val="32"/>
          <w:szCs w:val="32"/>
          <w:lang w:val="en-US" w:eastAsia="zh-CN"/>
        </w:rPr>
        <w:t>完成送文化下乡活动(流动服务）50场，开展各类辅导培训22次，举办展览12次，</w:t>
      </w:r>
      <w:r>
        <w:rPr>
          <w:rFonts w:hint="eastAsia" w:eastAsia="仿宋_GB2312"/>
          <w:sz w:val="32"/>
          <w:szCs w:val="32"/>
          <w:lang w:val="en-US" w:eastAsia="zh-CN"/>
        </w:rPr>
        <w:t>借阅图书7万余册次，</w:t>
      </w:r>
      <w:r>
        <w:rPr>
          <w:rFonts w:hint="eastAsia" w:ascii="Times New Roman" w:hAnsi="Times New Roman" w:eastAsia="仿宋_GB2312"/>
          <w:sz w:val="32"/>
          <w:szCs w:val="32"/>
          <w:lang w:val="en-US" w:eastAsia="zh-CN"/>
        </w:rPr>
        <w:t>服务群众8万余人次</w:t>
      </w:r>
      <w:r>
        <w:rPr>
          <w:rFonts w:hint="eastAsia" w:eastAsia="仿宋_GB2312"/>
          <w:sz w:val="32"/>
          <w:szCs w:val="32"/>
          <w:lang w:val="en-US" w:eastAsia="zh-CN"/>
        </w:rPr>
        <w:t>，大大提高了公共文化服务水平。</w:t>
      </w:r>
    </w:p>
    <w:p w14:paraId="462380B9">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outlineLvl w:val="9"/>
        <w:rPr>
          <w:rFonts w:eastAsia="楷体_GB2312"/>
          <w:sz w:val="32"/>
          <w:szCs w:val="32"/>
        </w:rPr>
      </w:pPr>
      <w:r>
        <w:rPr>
          <w:rFonts w:eastAsia="楷体_GB2312"/>
          <w:sz w:val="32"/>
          <w:szCs w:val="32"/>
        </w:rPr>
        <w:t>（二）项目效益情况。</w:t>
      </w:r>
    </w:p>
    <w:p w14:paraId="201AB36D">
      <w:pPr>
        <w:keepNext w:val="0"/>
        <w:keepLines w:val="0"/>
        <w:pageBreakBefore w:val="0"/>
        <w:widowControl w:val="0"/>
        <w:kinsoku/>
        <w:wordWrap/>
        <w:overflowPunct/>
        <w:topLinePunct w:val="0"/>
        <w:autoSpaceDE/>
        <w:autoSpaceDN/>
        <w:bidi w:val="0"/>
        <w:adjustRightInd/>
        <w:snapToGrid/>
        <w:spacing w:line="590" w:lineRule="exact"/>
        <w:ind w:firstLine="643" w:firstLineChars="200"/>
        <w:textAlignment w:val="auto"/>
        <w:outlineLvl w:val="9"/>
        <w:rPr>
          <w:rFonts w:hint="eastAsia" w:eastAsia="仿宋_GB2312"/>
          <w:sz w:val="32"/>
          <w:szCs w:val="32"/>
          <w:lang w:val="en-US" w:eastAsia="zh-CN"/>
        </w:rPr>
      </w:pPr>
      <w:r>
        <w:rPr>
          <w:rFonts w:hint="eastAsia" w:ascii="仿宋_GB2312" w:hAnsi="仿宋_GB2312" w:eastAsia="仿宋_GB2312" w:cs="仿宋_GB2312"/>
          <w:b/>
          <w:bCs/>
          <w:sz w:val="32"/>
          <w:szCs w:val="32"/>
          <w:lang w:val="en-US" w:eastAsia="zh-CN"/>
        </w:rPr>
        <w:t>1.经济效益。</w:t>
      </w:r>
      <w:r>
        <w:rPr>
          <w:rFonts w:hint="eastAsia" w:eastAsia="仿宋_GB2312"/>
          <w:sz w:val="32"/>
          <w:szCs w:val="32"/>
          <w:lang w:val="en-US" w:eastAsia="zh-CN"/>
        </w:rPr>
        <w:t>免费开放属于公共文化惠民项目，不以营利为目的。</w:t>
      </w:r>
    </w:p>
    <w:p w14:paraId="19A2DF4B">
      <w:pPr>
        <w:keepNext w:val="0"/>
        <w:keepLines w:val="0"/>
        <w:pageBreakBefore w:val="0"/>
        <w:widowControl w:val="0"/>
        <w:kinsoku/>
        <w:wordWrap/>
        <w:overflowPunct/>
        <w:topLinePunct w:val="0"/>
        <w:autoSpaceDE/>
        <w:autoSpaceDN/>
        <w:bidi w:val="0"/>
        <w:adjustRightInd/>
        <w:snapToGrid/>
        <w:spacing w:line="590" w:lineRule="exact"/>
        <w:ind w:firstLine="643" w:firstLineChars="200"/>
        <w:textAlignment w:val="auto"/>
        <w:outlineLvl w:val="9"/>
        <w:rPr>
          <w:rFonts w:hint="eastAsia" w:eastAsia="仿宋_GB2312"/>
          <w:sz w:val="32"/>
          <w:szCs w:val="32"/>
          <w:lang w:val="en-US" w:eastAsia="zh-CN"/>
        </w:rPr>
      </w:pPr>
      <w:r>
        <w:rPr>
          <w:rFonts w:hint="eastAsia" w:ascii="仿宋_GB2312" w:hAnsi="仿宋_GB2312" w:eastAsia="仿宋_GB2312" w:cs="仿宋_GB2312"/>
          <w:b/>
          <w:bCs/>
          <w:sz w:val="32"/>
          <w:szCs w:val="32"/>
          <w:lang w:val="en-US" w:eastAsia="zh-CN"/>
        </w:rPr>
        <w:t>2.社会效益。</w:t>
      </w:r>
      <w:r>
        <w:rPr>
          <w:rFonts w:hint="eastAsia" w:eastAsia="仿宋_GB2312"/>
          <w:sz w:val="32"/>
          <w:szCs w:val="32"/>
          <w:lang w:val="en-US" w:eastAsia="zh-CN"/>
        </w:rPr>
        <w:t>全县受益人口达8万余人次，开展</w:t>
      </w:r>
      <w:r>
        <w:rPr>
          <w:rFonts w:hint="eastAsia" w:ascii="Times New Roman" w:hAnsi="Times New Roman" w:eastAsia="仿宋_GB2312"/>
          <w:sz w:val="32"/>
          <w:szCs w:val="32"/>
          <w:lang w:val="en-US" w:eastAsia="zh-CN"/>
        </w:rPr>
        <w:t>送文化下乡活动(流动服务）50场，开展各类辅导培训22次，举办展览12次，</w:t>
      </w:r>
      <w:r>
        <w:rPr>
          <w:rFonts w:hint="eastAsia" w:eastAsia="仿宋_GB2312"/>
          <w:sz w:val="32"/>
          <w:szCs w:val="32"/>
          <w:lang w:val="en-US" w:eastAsia="zh-CN"/>
        </w:rPr>
        <w:t>借阅图书7万余册次。满足群众的不同文化需求，保障群众基本文化权益，提升了群众文化生活品质。</w:t>
      </w:r>
    </w:p>
    <w:p w14:paraId="40C50519">
      <w:pPr>
        <w:keepNext w:val="0"/>
        <w:keepLines w:val="0"/>
        <w:pageBreakBefore w:val="0"/>
        <w:widowControl w:val="0"/>
        <w:kinsoku/>
        <w:wordWrap/>
        <w:overflowPunct/>
        <w:topLinePunct w:val="0"/>
        <w:autoSpaceDE/>
        <w:autoSpaceDN/>
        <w:bidi w:val="0"/>
        <w:adjustRightInd/>
        <w:snapToGrid/>
        <w:spacing w:line="590" w:lineRule="exact"/>
        <w:ind w:firstLine="643" w:firstLineChars="200"/>
        <w:textAlignment w:val="auto"/>
        <w:outlineLvl w:val="9"/>
        <w:rPr>
          <w:rFonts w:hint="eastAsia" w:eastAsia="仿宋_GB2312"/>
          <w:sz w:val="32"/>
          <w:szCs w:val="32"/>
          <w:lang w:val="en-US" w:eastAsia="zh-CN"/>
        </w:rPr>
      </w:pPr>
      <w:r>
        <w:rPr>
          <w:rFonts w:hint="eastAsia" w:ascii="仿宋_GB2312" w:hAnsi="仿宋_GB2312" w:eastAsia="仿宋_GB2312" w:cs="仿宋_GB2312"/>
          <w:b/>
          <w:bCs/>
          <w:sz w:val="32"/>
          <w:szCs w:val="32"/>
          <w:lang w:val="en-US" w:eastAsia="zh-CN"/>
        </w:rPr>
        <w:t>3.生态效益。</w:t>
      </w:r>
      <w:r>
        <w:rPr>
          <w:rFonts w:hint="eastAsia" w:eastAsia="仿宋_GB2312"/>
          <w:sz w:val="32"/>
          <w:szCs w:val="32"/>
          <w:lang w:val="en-US" w:eastAsia="zh-CN"/>
        </w:rPr>
        <w:t>无垃圾、无固废，无噪音。</w:t>
      </w:r>
    </w:p>
    <w:p w14:paraId="4A7FBF00">
      <w:pPr>
        <w:keepNext w:val="0"/>
        <w:keepLines w:val="0"/>
        <w:pageBreakBefore w:val="0"/>
        <w:widowControl w:val="0"/>
        <w:kinsoku/>
        <w:wordWrap/>
        <w:overflowPunct/>
        <w:topLinePunct w:val="0"/>
        <w:autoSpaceDE/>
        <w:autoSpaceDN/>
        <w:bidi w:val="0"/>
        <w:adjustRightInd/>
        <w:snapToGrid/>
        <w:spacing w:line="590" w:lineRule="exact"/>
        <w:ind w:firstLine="643" w:firstLineChars="200"/>
        <w:textAlignment w:val="auto"/>
        <w:outlineLvl w:val="9"/>
        <w:rPr>
          <w:rFonts w:hint="eastAsia" w:eastAsia="仿宋_GB2312"/>
          <w:sz w:val="32"/>
          <w:szCs w:val="32"/>
          <w:lang w:val="en-US" w:eastAsia="zh-CN"/>
        </w:rPr>
      </w:pPr>
      <w:r>
        <w:rPr>
          <w:rFonts w:hint="eastAsia" w:ascii="仿宋_GB2312" w:hAnsi="仿宋_GB2312" w:eastAsia="仿宋_GB2312" w:cs="仿宋_GB2312"/>
          <w:b/>
          <w:bCs/>
          <w:sz w:val="32"/>
          <w:szCs w:val="32"/>
          <w:lang w:val="en-US" w:eastAsia="zh-CN"/>
        </w:rPr>
        <w:t>4.可持续效益。</w:t>
      </w:r>
      <w:r>
        <w:rPr>
          <w:rFonts w:hint="eastAsia" w:eastAsia="仿宋_GB2312"/>
          <w:sz w:val="32"/>
          <w:szCs w:val="32"/>
          <w:lang w:val="en-US" w:eastAsia="zh-CN"/>
        </w:rPr>
        <w:t>免费开放项目的实施满足广大群众精神文化需求，加强我县公共文化服务体系建设，为群众提供集中阅读平台，进一步丰富广大群众的精神文化生活，送文化下乡和流动服务加强了农村思想文化阵地建设。</w:t>
      </w:r>
    </w:p>
    <w:p w14:paraId="3973F383">
      <w:pPr>
        <w:keepNext w:val="0"/>
        <w:keepLines w:val="0"/>
        <w:pageBreakBefore w:val="0"/>
        <w:widowControl w:val="0"/>
        <w:kinsoku/>
        <w:wordWrap/>
        <w:overflowPunct/>
        <w:topLinePunct w:val="0"/>
        <w:autoSpaceDE/>
        <w:autoSpaceDN/>
        <w:bidi w:val="0"/>
        <w:adjustRightInd/>
        <w:snapToGrid/>
        <w:spacing w:line="590" w:lineRule="exact"/>
        <w:ind w:firstLine="643" w:firstLineChars="200"/>
        <w:textAlignment w:val="auto"/>
        <w:outlineLvl w:val="9"/>
        <w:rPr>
          <w:rFonts w:hint="eastAsia" w:eastAsia="仿宋_GB2312"/>
          <w:sz w:val="32"/>
          <w:szCs w:val="32"/>
          <w:lang w:val="en-US" w:eastAsia="zh-CN"/>
        </w:rPr>
      </w:pPr>
      <w:r>
        <w:rPr>
          <w:rFonts w:hint="eastAsia" w:ascii="仿宋_GB2312" w:hAnsi="仿宋_GB2312" w:eastAsia="仿宋_GB2312" w:cs="仿宋_GB2312"/>
          <w:b/>
          <w:bCs/>
          <w:sz w:val="32"/>
          <w:szCs w:val="32"/>
          <w:lang w:val="en-US" w:eastAsia="zh-CN"/>
        </w:rPr>
        <w:t>5.服务对象满意度。</w:t>
      </w:r>
      <w:r>
        <w:rPr>
          <w:rFonts w:hint="eastAsia" w:eastAsia="仿宋_GB2312"/>
          <w:sz w:val="32"/>
          <w:szCs w:val="32"/>
          <w:lang w:val="en-US" w:eastAsia="zh-CN"/>
        </w:rPr>
        <w:t>为全县人民免费提供文化活动和集中阅读场所，受益群众满意率达95%以上。</w:t>
      </w:r>
    </w:p>
    <w:p w14:paraId="37442068">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outlineLvl w:val="9"/>
        <w:rPr>
          <w:rFonts w:eastAsia="黑体"/>
          <w:sz w:val="32"/>
          <w:szCs w:val="32"/>
        </w:rPr>
      </w:pPr>
      <w:r>
        <w:rPr>
          <w:rFonts w:eastAsia="黑体"/>
          <w:sz w:val="32"/>
          <w:szCs w:val="32"/>
        </w:rPr>
        <w:t>五、评价结论及建议</w:t>
      </w:r>
    </w:p>
    <w:p w14:paraId="72129779">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outlineLvl w:val="9"/>
        <w:rPr>
          <w:rFonts w:eastAsia="楷体_GB2312"/>
          <w:sz w:val="32"/>
          <w:szCs w:val="32"/>
        </w:rPr>
      </w:pPr>
      <w:r>
        <w:rPr>
          <w:rFonts w:eastAsia="楷体_GB2312"/>
          <w:sz w:val="32"/>
          <w:szCs w:val="32"/>
        </w:rPr>
        <w:t>（一）评价结论。</w:t>
      </w:r>
    </w:p>
    <w:p w14:paraId="077F075C">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outlineLvl w:val="9"/>
        <w:rPr>
          <w:rFonts w:hint="eastAsia" w:eastAsia="仿宋_GB2312"/>
          <w:sz w:val="32"/>
          <w:szCs w:val="32"/>
          <w:lang w:val="en-US" w:eastAsia="zh-CN"/>
        </w:rPr>
      </w:pPr>
      <w:r>
        <w:rPr>
          <w:rFonts w:hint="eastAsia" w:eastAsia="仿宋_GB2312"/>
          <w:sz w:val="32"/>
          <w:szCs w:val="32"/>
          <w:lang w:val="en-US" w:eastAsia="zh-CN"/>
        </w:rPr>
        <w:t>2020年文化馆和图书馆免费开放项目资金使用科学合理、管理规范、监管到位，完成较好，质量较高，运行保障有力，各项效益明显，群众反响较好，社会效益显著。</w:t>
      </w:r>
    </w:p>
    <w:p w14:paraId="44B070FA">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outlineLvl w:val="9"/>
        <w:rPr>
          <w:rFonts w:eastAsia="楷体_GB2312"/>
          <w:sz w:val="32"/>
          <w:szCs w:val="32"/>
        </w:rPr>
      </w:pPr>
      <w:r>
        <w:rPr>
          <w:rFonts w:eastAsia="楷体_GB2312"/>
          <w:sz w:val="32"/>
          <w:szCs w:val="32"/>
        </w:rPr>
        <w:t>（二）存在的问题。</w:t>
      </w:r>
    </w:p>
    <w:p w14:paraId="09B884B3">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outlineLvl w:val="9"/>
        <w:rPr>
          <w:rFonts w:hint="eastAsia" w:eastAsia="仿宋_GB2312"/>
          <w:sz w:val="32"/>
          <w:szCs w:val="32"/>
          <w:lang w:eastAsia="zh-CN"/>
        </w:rPr>
      </w:pPr>
      <w:r>
        <w:rPr>
          <w:rFonts w:hint="eastAsia" w:eastAsia="仿宋_GB2312"/>
          <w:sz w:val="32"/>
          <w:szCs w:val="32"/>
          <w:lang w:eastAsia="zh-CN"/>
        </w:rPr>
        <w:t>盐边县地域辽阔，人口居住分散，开展各类活动经费开支较大。</w:t>
      </w:r>
    </w:p>
    <w:p w14:paraId="3084D2D7">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outlineLvl w:val="9"/>
        <w:rPr>
          <w:rFonts w:eastAsia="楷体_GB2312"/>
          <w:sz w:val="32"/>
          <w:szCs w:val="32"/>
        </w:rPr>
      </w:pPr>
      <w:r>
        <w:rPr>
          <w:rFonts w:eastAsia="楷体_GB2312"/>
          <w:sz w:val="32"/>
          <w:szCs w:val="32"/>
        </w:rPr>
        <w:t>（三）相关建议。</w:t>
      </w:r>
    </w:p>
    <w:p w14:paraId="01CE9E38">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outlineLvl w:val="9"/>
        <w:rPr>
          <w:rFonts w:hint="eastAsia" w:ascii="仿宋_GB2312" w:eastAsia="仿宋_GB2312"/>
          <w:sz w:val="32"/>
          <w:szCs w:val="32"/>
          <w:lang w:eastAsia="zh-CN"/>
        </w:rPr>
      </w:pPr>
      <w:r>
        <w:rPr>
          <w:rFonts w:hint="eastAsia" w:ascii="仿宋_GB2312" w:eastAsia="仿宋_GB2312"/>
          <w:sz w:val="32"/>
          <w:szCs w:val="32"/>
          <w:lang w:eastAsia="zh-CN"/>
        </w:rPr>
        <w:t>建议增加免费开放资金量和专业人才，提高整体公共文化服务水平。</w:t>
      </w:r>
    </w:p>
    <w:p w14:paraId="66679AA8">
      <w:pPr>
        <w:keepNext w:val="0"/>
        <w:keepLines w:val="0"/>
        <w:pageBreakBefore w:val="0"/>
        <w:widowControl w:val="0"/>
        <w:kinsoku/>
        <w:wordWrap/>
        <w:overflowPunct/>
        <w:topLinePunct w:val="0"/>
        <w:autoSpaceDE/>
        <w:autoSpaceDN/>
        <w:bidi w:val="0"/>
        <w:adjustRightInd/>
        <w:snapToGrid/>
        <w:spacing w:line="590" w:lineRule="exact"/>
        <w:ind w:firstLine="5440" w:firstLineChars="1700"/>
        <w:textAlignment w:val="auto"/>
        <w:outlineLvl w:val="9"/>
        <w:rPr>
          <w:rFonts w:hint="eastAsia" w:ascii="仿宋_GB2312" w:eastAsia="仿宋_GB2312"/>
          <w:sz w:val="32"/>
          <w:szCs w:val="32"/>
          <w:lang w:eastAsia="zh-CN"/>
        </w:rPr>
      </w:pPr>
    </w:p>
    <w:p w14:paraId="07A3C162">
      <w:pPr>
        <w:keepNext w:val="0"/>
        <w:keepLines w:val="0"/>
        <w:pageBreakBefore w:val="0"/>
        <w:widowControl w:val="0"/>
        <w:kinsoku/>
        <w:wordWrap/>
        <w:overflowPunct/>
        <w:topLinePunct w:val="0"/>
        <w:autoSpaceDE/>
        <w:autoSpaceDN/>
        <w:bidi w:val="0"/>
        <w:adjustRightInd/>
        <w:snapToGrid/>
        <w:spacing w:line="590" w:lineRule="exact"/>
        <w:ind w:firstLine="5440" w:firstLineChars="1700"/>
        <w:textAlignment w:val="auto"/>
        <w:outlineLvl w:val="9"/>
        <w:rPr>
          <w:rFonts w:hint="eastAsia" w:ascii="仿宋_GB2312" w:eastAsia="仿宋_GB2312"/>
          <w:sz w:val="32"/>
          <w:szCs w:val="32"/>
          <w:lang w:eastAsia="zh-CN"/>
        </w:rPr>
      </w:pPr>
    </w:p>
    <w:p w14:paraId="66690C95">
      <w:pPr>
        <w:keepNext w:val="0"/>
        <w:keepLines w:val="0"/>
        <w:pageBreakBefore w:val="0"/>
        <w:widowControl w:val="0"/>
        <w:kinsoku/>
        <w:wordWrap/>
        <w:overflowPunct/>
        <w:topLinePunct w:val="0"/>
        <w:autoSpaceDE/>
        <w:autoSpaceDN/>
        <w:bidi w:val="0"/>
        <w:adjustRightInd/>
        <w:snapToGrid/>
        <w:spacing w:line="590" w:lineRule="exact"/>
        <w:ind w:firstLine="5440" w:firstLineChars="1700"/>
        <w:textAlignment w:val="auto"/>
        <w:outlineLvl w:val="9"/>
        <w:rPr>
          <w:rFonts w:hint="eastAsia" w:ascii="仿宋_GB2312" w:eastAsia="仿宋_GB2312"/>
          <w:sz w:val="32"/>
          <w:szCs w:val="32"/>
          <w:lang w:eastAsia="zh-CN"/>
        </w:rPr>
      </w:pPr>
    </w:p>
    <w:p w14:paraId="11E8EE81">
      <w:pPr>
        <w:keepNext w:val="0"/>
        <w:keepLines w:val="0"/>
        <w:pageBreakBefore w:val="0"/>
        <w:widowControl w:val="0"/>
        <w:kinsoku/>
        <w:wordWrap/>
        <w:overflowPunct/>
        <w:topLinePunct w:val="0"/>
        <w:autoSpaceDE/>
        <w:autoSpaceDN/>
        <w:bidi w:val="0"/>
        <w:adjustRightInd/>
        <w:snapToGrid/>
        <w:spacing w:line="590" w:lineRule="exact"/>
        <w:ind w:firstLine="4800" w:firstLineChars="1500"/>
        <w:textAlignment w:val="auto"/>
        <w:outlineLvl w:val="9"/>
        <w:rPr>
          <w:rFonts w:hint="eastAsia" w:ascii="仿宋_GB2312" w:eastAsia="仿宋_GB2312"/>
          <w:sz w:val="32"/>
          <w:szCs w:val="32"/>
          <w:lang w:eastAsia="zh-CN"/>
        </w:rPr>
      </w:pPr>
      <w:r>
        <w:rPr>
          <w:rFonts w:hint="eastAsia" w:ascii="仿宋_GB2312" w:eastAsia="仿宋_GB2312"/>
          <w:sz w:val="32"/>
          <w:szCs w:val="32"/>
          <w:lang w:eastAsia="zh-CN"/>
        </w:rPr>
        <w:t>盐边县文化馆</w:t>
      </w:r>
    </w:p>
    <w:p w14:paraId="49EDFC68">
      <w:pPr>
        <w:keepNext w:val="0"/>
        <w:keepLines w:val="0"/>
        <w:pageBreakBefore w:val="0"/>
        <w:widowControl w:val="0"/>
        <w:kinsoku/>
        <w:wordWrap/>
        <w:overflowPunct/>
        <w:topLinePunct w:val="0"/>
        <w:autoSpaceDE/>
        <w:autoSpaceDN/>
        <w:bidi w:val="0"/>
        <w:adjustRightInd/>
        <w:snapToGrid/>
        <w:spacing w:line="590" w:lineRule="exact"/>
        <w:ind w:firstLine="4800" w:firstLineChars="1500"/>
        <w:textAlignment w:val="auto"/>
        <w:outlineLvl w:val="9"/>
        <w:rPr>
          <w:rFonts w:hint="eastAsia" w:ascii="仿宋_GB2312" w:eastAsia="仿宋_GB2312"/>
          <w:sz w:val="32"/>
          <w:szCs w:val="32"/>
          <w:lang w:val="en-US" w:eastAsia="zh-CN"/>
        </w:rPr>
      </w:pPr>
      <w:r>
        <w:rPr>
          <w:rFonts w:hint="default" w:ascii="Times New Roman" w:hAnsi="Times New Roman" w:eastAsia="仿宋_GB2312" w:cs="Times New Roman"/>
          <w:sz w:val="32"/>
          <w:szCs w:val="32"/>
          <w:lang w:val="en-US" w:eastAsia="zh-CN"/>
        </w:rPr>
        <w:t>2021</w:t>
      </w:r>
      <w:r>
        <w:rPr>
          <w:rFonts w:hint="eastAsia" w:ascii="仿宋_GB2312" w:eastAsia="仿宋_GB2312"/>
          <w:sz w:val="32"/>
          <w:szCs w:val="32"/>
          <w:lang w:val="en-US" w:eastAsia="zh-CN"/>
        </w:rPr>
        <w:t>年</w:t>
      </w:r>
      <w:r>
        <w:rPr>
          <w:rFonts w:hint="default" w:ascii="Times New Roman" w:hAnsi="Times New Roman" w:eastAsia="仿宋_GB2312" w:cs="Times New Roman"/>
          <w:sz w:val="32"/>
          <w:szCs w:val="32"/>
          <w:lang w:val="en-US" w:eastAsia="zh-CN"/>
        </w:rPr>
        <w:t>9</w:t>
      </w:r>
      <w:r>
        <w:rPr>
          <w:rFonts w:hint="eastAsia" w:ascii="仿宋_GB2312" w:eastAsia="仿宋_GB2312"/>
          <w:sz w:val="32"/>
          <w:szCs w:val="32"/>
          <w:lang w:val="en-US" w:eastAsia="zh-CN"/>
        </w:rPr>
        <w:t>月</w:t>
      </w:r>
      <w:r>
        <w:rPr>
          <w:rFonts w:hint="default" w:ascii="Times New Roman" w:hAnsi="Times New Roman" w:eastAsia="仿宋_GB2312" w:cs="Times New Roman"/>
          <w:sz w:val="32"/>
          <w:szCs w:val="32"/>
          <w:lang w:val="en-US" w:eastAsia="zh-CN"/>
        </w:rPr>
        <w:t>8</w:t>
      </w:r>
      <w:r>
        <w:rPr>
          <w:rFonts w:hint="eastAsia" w:ascii="仿宋_GB2312" w:eastAsia="仿宋_GB2312"/>
          <w:sz w:val="32"/>
          <w:szCs w:val="32"/>
          <w:lang w:val="en-US" w:eastAsia="zh-CN"/>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方正小标宋简体">
    <w:panose1 w:val="03000509000000000000"/>
    <w:charset w:val="86"/>
    <w:family w:val="script"/>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DBmMGQ0ZTdmOGEwODA0MTQ0NDFlYWVlZmY1NWY4MGIifQ=="/>
  </w:docVars>
  <w:rsids>
    <w:rsidRoot w:val="00E96F9E"/>
    <w:rsid w:val="00737D57"/>
    <w:rsid w:val="00C22052"/>
    <w:rsid w:val="00C366D5"/>
    <w:rsid w:val="00E96F9E"/>
    <w:rsid w:val="016E126A"/>
    <w:rsid w:val="01F12916"/>
    <w:rsid w:val="024B7726"/>
    <w:rsid w:val="04586000"/>
    <w:rsid w:val="04E517DA"/>
    <w:rsid w:val="05AF717B"/>
    <w:rsid w:val="05B870F5"/>
    <w:rsid w:val="06970326"/>
    <w:rsid w:val="0781287C"/>
    <w:rsid w:val="0888472F"/>
    <w:rsid w:val="08BE34AF"/>
    <w:rsid w:val="09AA107A"/>
    <w:rsid w:val="0B9D1800"/>
    <w:rsid w:val="0C621A51"/>
    <w:rsid w:val="0CAE3E78"/>
    <w:rsid w:val="0D464143"/>
    <w:rsid w:val="0FFA6A60"/>
    <w:rsid w:val="10A50F1B"/>
    <w:rsid w:val="10C6379E"/>
    <w:rsid w:val="11713228"/>
    <w:rsid w:val="12503348"/>
    <w:rsid w:val="14041624"/>
    <w:rsid w:val="14481112"/>
    <w:rsid w:val="1474524A"/>
    <w:rsid w:val="14895E35"/>
    <w:rsid w:val="14FD11CB"/>
    <w:rsid w:val="152C0021"/>
    <w:rsid w:val="15DF2771"/>
    <w:rsid w:val="15EA779E"/>
    <w:rsid w:val="16C147B4"/>
    <w:rsid w:val="17414902"/>
    <w:rsid w:val="18FF56ED"/>
    <w:rsid w:val="19D221AE"/>
    <w:rsid w:val="1A0136D6"/>
    <w:rsid w:val="1A06294B"/>
    <w:rsid w:val="1A7B56E3"/>
    <w:rsid w:val="1CA44529"/>
    <w:rsid w:val="1CD17214"/>
    <w:rsid w:val="1CE52EDA"/>
    <w:rsid w:val="1EDB7678"/>
    <w:rsid w:val="1F2D52FC"/>
    <w:rsid w:val="1FB974AC"/>
    <w:rsid w:val="22E46D7C"/>
    <w:rsid w:val="232D1C20"/>
    <w:rsid w:val="23DE3FCD"/>
    <w:rsid w:val="259717A4"/>
    <w:rsid w:val="25E62901"/>
    <w:rsid w:val="25F63B22"/>
    <w:rsid w:val="261C3F4D"/>
    <w:rsid w:val="26266D04"/>
    <w:rsid w:val="26A04103"/>
    <w:rsid w:val="26B23937"/>
    <w:rsid w:val="26FA5080"/>
    <w:rsid w:val="27631E6A"/>
    <w:rsid w:val="288179EB"/>
    <w:rsid w:val="28A56A87"/>
    <w:rsid w:val="2C0B48F0"/>
    <w:rsid w:val="2C461A09"/>
    <w:rsid w:val="2D8A0A5A"/>
    <w:rsid w:val="2FAD0D9F"/>
    <w:rsid w:val="2FE0370D"/>
    <w:rsid w:val="30F20884"/>
    <w:rsid w:val="326368D3"/>
    <w:rsid w:val="326B792B"/>
    <w:rsid w:val="33B22CE5"/>
    <w:rsid w:val="35823B1B"/>
    <w:rsid w:val="35A035CD"/>
    <w:rsid w:val="3651534D"/>
    <w:rsid w:val="36A324DA"/>
    <w:rsid w:val="3869520F"/>
    <w:rsid w:val="38C17C19"/>
    <w:rsid w:val="39541833"/>
    <w:rsid w:val="39BE2CFE"/>
    <w:rsid w:val="3A7F4DB3"/>
    <w:rsid w:val="3A855E81"/>
    <w:rsid w:val="3B8B4FE2"/>
    <w:rsid w:val="3BC126BB"/>
    <w:rsid w:val="3C0C5C8A"/>
    <w:rsid w:val="3C3551BF"/>
    <w:rsid w:val="3C49314E"/>
    <w:rsid w:val="3D5D689E"/>
    <w:rsid w:val="3D9E1E46"/>
    <w:rsid w:val="3DE04575"/>
    <w:rsid w:val="3E667D5D"/>
    <w:rsid w:val="3E84798B"/>
    <w:rsid w:val="3F4A3132"/>
    <w:rsid w:val="4096659D"/>
    <w:rsid w:val="41315DD6"/>
    <w:rsid w:val="421A2C6D"/>
    <w:rsid w:val="42514BEB"/>
    <w:rsid w:val="43D157C1"/>
    <w:rsid w:val="4445575A"/>
    <w:rsid w:val="44514EF1"/>
    <w:rsid w:val="44F76C6B"/>
    <w:rsid w:val="455C39CD"/>
    <w:rsid w:val="45887D1F"/>
    <w:rsid w:val="46F84642"/>
    <w:rsid w:val="46FF1355"/>
    <w:rsid w:val="479700F9"/>
    <w:rsid w:val="485B5566"/>
    <w:rsid w:val="48ED7B0E"/>
    <w:rsid w:val="49357618"/>
    <w:rsid w:val="49F61105"/>
    <w:rsid w:val="4B2E7BDE"/>
    <w:rsid w:val="4DAA771E"/>
    <w:rsid w:val="4E0478B3"/>
    <w:rsid w:val="4E260674"/>
    <w:rsid w:val="4E5A5304"/>
    <w:rsid w:val="4EF63DD8"/>
    <w:rsid w:val="4F4912A9"/>
    <w:rsid w:val="513B36CC"/>
    <w:rsid w:val="5202337A"/>
    <w:rsid w:val="541027AE"/>
    <w:rsid w:val="55A77D97"/>
    <w:rsid w:val="56CE698B"/>
    <w:rsid w:val="56D21127"/>
    <w:rsid w:val="57023159"/>
    <w:rsid w:val="579B0990"/>
    <w:rsid w:val="582744D3"/>
    <w:rsid w:val="584F7CD7"/>
    <w:rsid w:val="585010F6"/>
    <w:rsid w:val="596B433C"/>
    <w:rsid w:val="5A371F06"/>
    <w:rsid w:val="5B1F5718"/>
    <w:rsid w:val="5C4C4C8C"/>
    <w:rsid w:val="5C934EBD"/>
    <w:rsid w:val="5D013CB2"/>
    <w:rsid w:val="5D211C24"/>
    <w:rsid w:val="5DD27EDA"/>
    <w:rsid w:val="60BE0624"/>
    <w:rsid w:val="60D20F27"/>
    <w:rsid w:val="60F75872"/>
    <w:rsid w:val="618A6906"/>
    <w:rsid w:val="61E42F7D"/>
    <w:rsid w:val="62005772"/>
    <w:rsid w:val="633D5BE3"/>
    <w:rsid w:val="6411154F"/>
    <w:rsid w:val="65D5533F"/>
    <w:rsid w:val="66AE01E6"/>
    <w:rsid w:val="66F22ED8"/>
    <w:rsid w:val="66FD3C08"/>
    <w:rsid w:val="67CA523C"/>
    <w:rsid w:val="67CE0F63"/>
    <w:rsid w:val="68944EC8"/>
    <w:rsid w:val="68E159F9"/>
    <w:rsid w:val="69AB2C60"/>
    <w:rsid w:val="6AD523B6"/>
    <w:rsid w:val="6AF47CB4"/>
    <w:rsid w:val="6AFE35FA"/>
    <w:rsid w:val="6B8340B4"/>
    <w:rsid w:val="6BA0675E"/>
    <w:rsid w:val="6E3F2964"/>
    <w:rsid w:val="6FCE314C"/>
    <w:rsid w:val="705A7440"/>
    <w:rsid w:val="71830F5D"/>
    <w:rsid w:val="71A44A05"/>
    <w:rsid w:val="71AB623C"/>
    <w:rsid w:val="71C437F5"/>
    <w:rsid w:val="71D53FBA"/>
    <w:rsid w:val="7234102C"/>
    <w:rsid w:val="73344352"/>
    <w:rsid w:val="73B7033C"/>
    <w:rsid w:val="73B84356"/>
    <w:rsid w:val="74134436"/>
    <w:rsid w:val="74C80CED"/>
    <w:rsid w:val="76DD3FB6"/>
    <w:rsid w:val="77160FA7"/>
    <w:rsid w:val="77E701A9"/>
    <w:rsid w:val="78916B79"/>
    <w:rsid w:val="79BC6B57"/>
    <w:rsid w:val="7A6A464E"/>
    <w:rsid w:val="7B363E26"/>
    <w:rsid w:val="7BD33E0B"/>
    <w:rsid w:val="7C0430AA"/>
    <w:rsid w:val="7CB07B5F"/>
    <w:rsid w:val="7D1743D9"/>
    <w:rsid w:val="7D255CC6"/>
    <w:rsid w:val="7D450644"/>
    <w:rsid w:val="7EBC5805"/>
    <w:rsid w:val="7F3B3E98"/>
    <w:rsid w:val="7FA26BAB"/>
    <w:rsid w:val="7FBB6B72"/>
    <w:rsid w:val="7FC30B61"/>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qFormat/>
    <w:uiPriority w:val="0"/>
    <w:pPr>
      <w:tabs>
        <w:tab w:val="center" w:pos="4153"/>
        <w:tab w:val="right" w:pos="8306"/>
      </w:tabs>
      <w:snapToGrid w:val="0"/>
      <w:jc w:val="left"/>
    </w:pPr>
    <w:rPr>
      <w:sz w:val="18"/>
      <w:szCs w:val="18"/>
    </w:rPr>
  </w:style>
  <w:style w:type="paragraph" w:styleId="3">
    <w:name w:val="header"/>
    <w:basedOn w:val="1"/>
    <w:link w:val="6"/>
    <w:qFormat/>
    <w:uiPriority w:val="0"/>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qFormat/>
    <w:uiPriority w:val="0"/>
    <w:rPr>
      <w:rFonts w:ascii="Times New Roman" w:hAnsi="Times New Roman" w:eastAsia="宋体" w:cs="Times New Roman"/>
      <w:kern w:val="2"/>
      <w:sz w:val="18"/>
      <w:szCs w:val="18"/>
    </w:rPr>
  </w:style>
  <w:style w:type="character" w:customStyle="1" w:styleId="7">
    <w:name w:val="页脚 Char"/>
    <w:basedOn w:val="5"/>
    <w:link w:val="2"/>
    <w:qFormat/>
    <w:uiPriority w:val="0"/>
    <w:rPr>
      <w:rFonts w:ascii="Times New Roman" w:hAnsi="Times New Roman" w:eastAsia="宋体" w:cs="Times New Roman"/>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6</Pages>
  <Words>2645</Words>
  <Characters>2747</Characters>
  <Lines>9</Lines>
  <Paragraphs>2</Paragraphs>
  <TotalTime>43</TotalTime>
  <ScaleCrop>false</ScaleCrop>
  <LinksUpToDate>false</LinksUpToDate>
  <CharactersWithSpaces>2758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2021-08-18T08:10:00Z</dcterms:created>
  <dc:creator>Administrator</dc:creator>
  <cp:lastModifiedBy>万宏谟</cp:lastModifiedBy>
  <dcterms:modified xsi:type="dcterms:W3CDTF">2026-10-13T02:20:34Z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9C89156186264BCB8A5A3BCA27DECCBE</vt:lpwstr>
  </property>
  <property fmtid="{D5CDD505-2E9C-101B-9397-08002B2CF9AE}" pid="4" name="KSOTemplateDocerSaveRecord">
    <vt:lpwstr>eyJoZGlkIjoiNzExODUxM2IxZDQ4ZDg0MGUxYWE1ZTc5MGMwZGJhYmEiLCJ1c2VySWQiOiI2MjQxMjM5NzMifQ==</vt:lpwstr>
  </property>
</Properties>
</file>