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E44AC">
      <w:pPr>
        <w:spacing w:line="560" w:lineRule="exact"/>
        <w:jc w:val="center"/>
        <w:outlineLvl w:val="0"/>
        <w:rPr>
          <w:rFonts w:ascii="方正小标宋_GBK" w:eastAsia="方正小标宋_GBK"/>
          <w:b/>
          <w:bCs/>
          <w:sz w:val="44"/>
          <w:szCs w:val="44"/>
        </w:rPr>
      </w:pPr>
      <w:bookmarkStart w:id="1" w:name="_GoBack"/>
      <w:bookmarkStart w:id="0" w:name="_Hlk136613650"/>
      <w:r>
        <w:rPr>
          <w:rFonts w:hint="eastAsia" w:ascii="方正小标宋_GBK" w:eastAsia="方正小标宋_GBK"/>
          <w:b/>
          <w:bCs/>
          <w:sz w:val="44"/>
          <w:szCs w:val="44"/>
          <w:lang w:eastAsia="zh-CN"/>
        </w:rPr>
        <w:t>盐边县</w:t>
      </w:r>
      <w:r>
        <w:rPr>
          <w:rFonts w:hint="eastAsia" w:ascii="方正小标宋_GBK" w:eastAsia="方正小标宋_GBK"/>
          <w:b/>
          <w:bCs/>
          <w:sz w:val="44"/>
          <w:szCs w:val="44"/>
          <w:lang w:val="en-US" w:eastAsia="zh-CN"/>
        </w:rPr>
        <w:t>温泉彝族乡那片</w:t>
      </w:r>
      <w:r>
        <w:rPr>
          <w:rFonts w:hint="eastAsia" w:ascii="方正小标宋_GBK" w:eastAsia="方正小标宋_GBK"/>
          <w:b/>
          <w:bCs/>
          <w:sz w:val="44"/>
          <w:szCs w:val="44"/>
          <w:lang w:eastAsia="zh-CN"/>
        </w:rPr>
        <w:t>村国土空间规划</w:t>
      </w:r>
      <w:r>
        <w:rPr>
          <w:rFonts w:hint="eastAsia" w:ascii="方正小标宋_GBK" w:eastAsia="方正小标宋_GBK"/>
          <w:b/>
          <w:bCs/>
          <w:sz w:val="44"/>
          <w:szCs w:val="44"/>
        </w:rPr>
        <w:t>（202</w:t>
      </w:r>
      <w:r>
        <w:rPr>
          <w:rFonts w:hint="eastAsia" w:ascii="方正小标宋_GBK" w:eastAsia="方正小标宋_GBK"/>
          <w:b/>
          <w:bCs/>
          <w:sz w:val="44"/>
          <w:szCs w:val="44"/>
          <w:lang w:val="en-US" w:eastAsia="zh-CN"/>
        </w:rPr>
        <w:t>5</w:t>
      </w:r>
      <w:r>
        <w:rPr>
          <w:rFonts w:hint="eastAsia" w:ascii="方正小标宋_GBK" w:eastAsia="方正小标宋_GBK"/>
          <w:b/>
          <w:bCs/>
          <w:sz w:val="44"/>
          <w:szCs w:val="44"/>
          <w:lang w:eastAsia="zh-CN"/>
        </w:rPr>
        <w:t>—</w:t>
      </w:r>
      <w:r>
        <w:rPr>
          <w:rFonts w:hint="eastAsia" w:ascii="方正小标宋_GBK" w:eastAsia="方正小标宋_GBK"/>
          <w:b/>
          <w:bCs/>
          <w:sz w:val="44"/>
          <w:szCs w:val="44"/>
        </w:rPr>
        <w:t>2035年）规划</w:t>
      </w:r>
      <w:bookmarkEnd w:id="1"/>
      <w:r>
        <w:rPr>
          <w:rFonts w:hint="eastAsia" w:ascii="方正小标宋_GBK" w:eastAsia="方正小标宋_GBK"/>
          <w:b/>
          <w:bCs/>
          <w:sz w:val="44"/>
          <w:szCs w:val="44"/>
        </w:rPr>
        <w:t>简介</w:t>
      </w:r>
    </w:p>
    <w:p w14:paraId="0EA84ABA">
      <w:pPr>
        <w:spacing w:line="560" w:lineRule="exact"/>
        <w:jc w:val="center"/>
        <w:rPr>
          <w:rFonts w:ascii="方正小标宋_GBK" w:eastAsia="方正小标宋_GBK"/>
          <w:b/>
          <w:bCs/>
          <w:sz w:val="44"/>
          <w:szCs w:val="44"/>
        </w:rPr>
      </w:pPr>
    </w:p>
    <w:bookmarkEnd w:id="0"/>
    <w:p w14:paraId="57BB1E10">
      <w:pPr>
        <w:numPr>
          <w:ilvl w:val="0"/>
          <w:numId w:val="1"/>
        </w:numPr>
        <w:spacing w:line="280" w:lineRule="exact"/>
        <w:ind w:firstLine="640"/>
        <w:outlineLvl w:val="0"/>
        <w:rPr>
          <w:rFonts w:eastAsia="黑体"/>
          <w:bCs/>
          <w:sz w:val="22"/>
          <w:szCs w:val="22"/>
        </w:rPr>
        <w:sectPr>
          <w:headerReference r:id="rId3" w:type="default"/>
          <w:footerReference r:id="rId4" w:type="default"/>
          <w:type w:val="continuous"/>
          <w:pgSz w:w="23811" w:h="16838" w:orient="landscape"/>
          <w:pgMar w:top="1134" w:right="1134" w:bottom="1134" w:left="1134" w:header="851" w:footer="992" w:gutter="0"/>
          <w:cols w:space="425" w:num="1"/>
          <w:docGrid w:type="lines" w:linePitch="312" w:charSpace="0"/>
        </w:sectPr>
      </w:pPr>
    </w:p>
    <w:p w14:paraId="19BCACFF">
      <w:pPr>
        <w:numPr>
          <w:ilvl w:val="0"/>
          <w:numId w:val="1"/>
        </w:numPr>
        <w:spacing w:before="62" w:beforeLines="20" w:after="62" w:afterLines="20" w:line="264" w:lineRule="auto"/>
        <w:ind w:firstLine="640"/>
        <w:outlineLvl w:val="0"/>
        <w:rPr>
          <w:rFonts w:eastAsia="黑体"/>
          <w:bCs/>
          <w:sz w:val="22"/>
          <w:szCs w:val="22"/>
        </w:rPr>
      </w:pPr>
      <w:r>
        <w:rPr>
          <w:rFonts w:eastAsia="黑体"/>
          <w:bCs/>
          <w:sz w:val="22"/>
          <w:szCs w:val="22"/>
        </w:rPr>
        <w:t>规划位置及范围</w:t>
      </w:r>
    </w:p>
    <w:p w14:paraId="67BB04EB">
      <w:pPr>
        <w:spacing w:before="62" w:beforeLines="20" w:after="62" w:afterLines="20" w:line="264" w:lineRule="auto"/>
        <w:ind w:firstLine="440" w:firstLineChars="200"/>
        <w:rPr>
          <w:rFonts w:hint="eastAsia" w:eastAsia="仿宋_GB2312"/>
          <w:sz w:val="22"/>
          <w:szCs w:val="22"/>
          <w:lang w:eastAsia="zh-CN"/>
        </w:rPr>
      </w:pPr>
      <w:r>
        <w:rPr>
          <w:rFonts w:hint="eastAsia" w:eastAsia="仿宋_GB2312"/>
          <w:sz w:val="22"/>
          <w:szCs w:val="22"/>
        </w:rPr>
        <w:t>那片村地处温泉彝族乡南部，南邻四呷左村，东连永兴镇苍蒲村，北与野麻地村、热水塘村相接，西与云南省宁蒗彝族自治县接壤。村域与攀枝花市区的直线距离约为64公里，与盐边县城的直线距离约为68公里。县道X046穿过那片村东部，向东南延伸至永兴镇永兴村与省道S221相连，向西北延伸至热水塘村与县道X047相接，是本村对外联系的主要交通通道。</w:t>
      </w:r>
      <w:r>
        <w:rPr>
          <w:rFonts w:hint="eastAsia" w:eastAsia="仿宋_GB2312"/>
          <w:sz w:val="22"/>
          <w:szCs w:val="22"/>
          <w:lang w:eastAsia="zh-CN"/>
        </w:rPr>
        <w:t>本次规划范围为盐边县</w:t>
      </w:r>
      <w:r>
        <w:rPr>
          <w:rFonts w:hint="eastAsia" w:eastAsia="仿宋_GB2312"/>
          <w:sz w:val="22"/>
          <w:szCs w:val="22"/>
          <w:lang w:val="en-US" w:eastAsia="zh-CN"/>
        </w:rPr>
        <w:t>温泉彝族乡那片</w:t>
      </w:r>
      <w:r>
        <w:rPr>
          <w:rFonts w:hint="eastAsia" w:eastAsia="仿宋_GB2312"/>
          <w:sz w:val="22"/>
          <w:szCs w:val="22"/>
          <w:lang w:eastAsia="zh-CN"/>
        </w:rPr>
        <w:t>村</w:t>
      </w:r>
      <w:r>
        <w:rPr>
          <w:rFonts w:hint="eastAsia" w:eastAsia="仿宋_GB2312"/>
          <w:sz w:val="22"/>
          <w:szCs w:val="22"/>
          <w:lang w:val="en-US" w:eastAsia="zh-CN"/>
        </w:rPr>
        <w:t>全域</w:t>
      </w:r>
      <w:r>
        <w:rPr>
          <w:rFonts w:hint="eastAsia" w:eastAsia="仿宋_GB2312"/>
          <w:sz w:val="22"/>
          <w:szCs w:val="22"/>
          <w:lang w:eastAsia="zh-CN"/>
        </w:rPr>
        <w:t>，</w:t>
      </w:r>
      <w:r>
        <w:rPr>
          <w:rFonts w:hint="eastAsia" w:eastAsia="仿宋_GB2312"/>
          <w:sz w:val="22"/>
          <w:szCs w:val="22"/>
          <w:lang w:val="en-US" w:eastAsia="zh-CN"/>
        </w:rPr>
        <w:t>总</w:t>
      </w:r>
      <w:r>
        <w:rPr>
          <w:rFonts w:hint="eastAsia" w:eastAsia="仿宋_GB2312"/>
          <w:sz w:val="22"/>
          <w:szCs w:val="22"/>
          <w:lang w:eastAsia="zh-CN"/>
        </w:rPr>
        <w:t>面积</w:t>
      </w:r>
      <w:r>
        <w:rPr>
          <w:rFonts w:hint="eastAsia" w:eastAsia="仿宋_GB2312"/>
          <w:sz w:val="22"/>
          <w:szCs w:val="22"/>
          <w:lang w:val="en-US" w:eastAsia="zh-CN"/>
        </w:rPr>
        <w:t>2620.41</w:t>
      </w:r>
      <w:r>
        <w:rPr>
          <w:rFonts w:hint="eastAsia" w:eastAsia="仿宋_GB2312"/>
          <w:sz w:val="22"/>
          <w:szCs w:val="22"/>
          <w:lang w:eastAsia="zh-CN"/>
        </w:rPr>
        <w:t>公顷，</w:t>
      </w:r>
      <w:r>
        <w:rPr>
          <w:rFonts w:hint="eastAsia" w:eastAsia="仿宋_GB2312"/>
          <w:sz w:val="22"/>
          <w:szCs w:val="22"/>
          <w:lang w:val="en-US" w:eastAsia="zh-CN"/>
        </w:rPr>
        <w:t>包含</w:t>
      </w:r>
      <w:r>
        <w:rPr>
          <w:rFonts w:hint="eastAsia" w:eastAsia="仿宋_GB2312"/>
          <w:sz w:val="22"/>
          <w:szCs w:val="22"/>
          <w:lang w:eastAsia="zh-CN"/>
        </w:rPr>
        <w:t>上那片</w:t>
      </w:r>
      <w:r>
        <w:rPr>
          <w:rFonts w:hint="eastAsia" w:eastAsia="仿宋_GB2312"/>
          <w:sz w:val="22"/>
          <w:szCs w:val="22"/>
          <w:lang w:val="en-US" w:eastAsia="zh-CN"/>
        </w:rPr>
        <w:t>组</w:t>
      </w:r>
      <w:r>
        <w:rPr>
          <w:rFonts w:hint="eastAsia" w:eastAsia="仿宋_GB2312"/>
          <w:sz w:val="22"/>
          <w:szCs w:val="22"/>
          <w:lang w:eastAsia="zh-CN"/>
        </w:rPr>
        <w:t>、下那片</w:t>
      </w:r>
      <w:r>
        <w:rPr>
          <w:rFonts w:hint="eastAsia" w:eastAsia="仿宋_GB2312"/>
          <w:sz w:val="22"/>
          <w:szCs w:val="22"/>
          <w:lang w:val="en-US" w:eastAsia="zh-CN"/>
        </w:rPr>
        <w:t>组</w:t>
      </w:r>
      <w:r>
        <w:rPr>
          <w:rFonts w:hint="eastAsia" w:eastAsia="仿宋_GB2312"/>
          <w:sz w:val="22"/>
          <w:szCs w:val="22"/>
          <w:lang w:eastAsia="zh-CN"/>
        </w:rPr>
        <w:t>、头道</w:t>
      </w:r>
      <w:r>
        <w:rPr>
          <w:rFonts w:hint="eastAsia" w:eastAsia="仿宋_GB2312"/>
          <w:sz w:val="22"/>
          <w:szCs w:val="22"/>
          <w:lang w:val="en-US" w:eastAsia="zh-CN"/>
        </w:rPr>
        <w:t>坪组</w:t>
      </w:r>
      <w:r>
        <w:rPr>
          <w:rFonts w:hint="eastAsia" w:eastAsia="仿宋_GB2312"/>
          <w:sz w:val="22"/>
          <w:szCs w:val="22"/>
          <w:lang w:eastAsia="zh-CN"/>
        </w:rPr>
        <w:t>、新村</w:t>
      </w:r>
      <w:r>
        <w:rPr>
          <w:rFonts w:hint="eastAsia" w:eastAsia="仿宋_GB2312"/>
          <w:sz w:val="22"/>
          <w:szCs w:val="22"/>
          <w:lang w:val="en-US" w:eastAsia="zh-CN"/>
        </w:rPr>
        <w:t>组</w:t>
      </w:r>
      <w:r>
        <w:rPr>
          <w:rFonts w:hint="eastAsia" w:eastAsia="仿宋_GB2312"/>
          <w:sz w:val="22"/>
          <w:szCs w:val="22"/>
          <w:lang w:eastAsia="zh-CN"/>
        </w:rPr>
        <w:t>、跨山村</w:t>
      </w:r>
      <w:r>
        <w:rPr>
          <w:rFonts w:hint="eastAsia" w:eastAsia="仿宋_GB2312"/>
          <w:sz w:val="22"/>
          <w:szCs w:val="22"/>
          <w:lang w:val="en-US" w:eastAsia="zh-CN"/>
        </w:rPr>
        <w:t>组</w:t>
      </w:r>
      <w:r>
        <w:rPr>
          <w:rFonts w:hint="eastAsia" w:eastAsia="仿宋_GB2312"/>
          <w:sz w:val="22"/>
          <w:szCs w:val="22"/>
          <w:lang w:eastAsia="zh-CN"/>
        </w:rPr>
        <w:t>、朵格</w:t>
      </w:r>
      <w:r>
        <w:rPr>
          <w:rFonts w:hint="eastAsia" w:eastAsia="仿宋_GB2312"/>
          <w:sz w:val="22"/>
          <w:szCs w:val="22"/>
          <w:lang w:val="en-US" w:eastAsia="zh-CN"/>
        </w:rPr>
        <w:t>组</w:t>
      </w:r>
      <w:r>
        <w:rPr>
          <w:rFonts w:hint="eastAsia" w:eastAsia="仿宋_GB2312"/>
          <w:sz w:val="22"/>
          <w:szCs w:val="22"/>
          <w:lang w:eastAsia="zh-CN"/>
        </w:rPr>
        <w:t>6个村民小组。</w:t>
      </w:r>
    </w:p>
    <w:p w14:paraId="497F61D1">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规划期限</w:t>
      </w:r>
    </w:p>
    <w:p w14:paraId="0D4DE780">
      <w:pPr>
        <w:spacing w:before="62" w:beforeLines="20" w:after="62" w:afterLines="20" w:line="264" w:lineRule="auto"/>
        <w:ind w:firstLine="440" w:firstLineChars="200"/>
        <w:rPr>
          <w:rFonts w:eastAsia="仿宋_GB2312"/>
          <w:sz w:val="22"/>
          <w:szCs w:val="22"/>
        </w:rPr>
      </w:pPr>
      <w:r>
        <w:rPr>
          <w:rFonts w:hint="eastAsia" w:eastAsia="仿宋_GB2312"/>
          <w:sz w:val="22"/>
          <w:szCs w:val="22"/>
        </w:rPr>
        <w:t>规划期限为2025—2035年，规划基期年为2024年，规划目标年为2035年，近期目标年为2030年。</w:t>
      </w:r>
    </w:p>
    <w:p w14:paraId="6515BA43">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lang w:val="en-US" w:eastAsia="zh-CN"/>
        </w:rPr>
        <w:t>规划</w:t>
      </w:r>
      <w:r>
        <w:rPr>
          <w:rFonts w:hint="eastAsia" w:eastAsia="黑体"/>
          <w:bCs/>
          <w:sz w:val="22"/>
          <w:szCs w:val="22"/>
        </w:rPr>
        <w:t>定位</w:t>
      </w:r>
    </w:p>
    <w:p w14:paraId="26BAD9A2">
      <w:pPr>
        <w:pStyle w:val="14"/>
        <w:spacing w:before="62" w:beforeLines="20" w:beforeAutospacing="0" w:after="62" w:afterLines="20" w:afterAutospacing="0" w:line="264" w:lineRule="auto"/>
        <w:ind w:firstLine="440" w:firstLineChars="200"/>
        <w:jc w:val="both"/>
        <w:rPr>
          <w:rFonts w:ascii="Times New Roman" w:hAnsi="Times New Roman" w:eastAsia="仿宋_GB2312" w:cs="Times New Roman"/>
          <w:kern w:val="2"/>
          <w:sz w:val="22"/>
          <w:szCs w:val="22"/>
        </w:rPr>
      </w:pPr>
      <w:r>
        <w:rPr>
          <w:rFonts w:hint="eastAsia" w:ascii="Times New Roman" w:hAnsi="Times New Roman" w:eastAsia="仿宋_GB2312" w:cs="Times New Roman"/>
          <w:kern w:val="2"/>
          <w:sz w:val="22"/>
          <w:szCs w:val="22"/>
        </w:rPr>
        <w:t>以高山特色农产品种养、生态观光休闲与民族文化体验为主的宜居宜业和美乡村。</w:t>
      </w:r>
    </w:p>
    <w:p w14:paraId="2222F440">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规划思路</w:t>
      </w:r>
    </w:p>
    <w:p w14:paraId="60F91793">
      <w:pPr>
        <w:spacing w:before="62" w:beforeLines="20" w:after="62" w:afterLines="20" w:line="264" w:lineRule="auto"/>
        <w:ind w:firstLine="440" w:firstLineChars="200"/>
        <w:rPr>
          <w:rFonts w:eastAsia="仿宋_GB2312"/>
          <w:sz w:val="22"/>
          <w:szCs w:val="22"/>
        </w:rPr>
      </w:pPr>
      <w:r>
        <w:rPr>
          <w:rFonts w:hint="eastAsia" w:eastAsia="仿宋_GB2312"/>
          <w:sz w:val="22"/>
          <w:szCs w:val="22"/>
        </w:rPr>
        <w:t>全面贯彻党的二十大及二十届历次全会精神，深入落实习近平总书记关于“三农”工作的重要论述和来川视察重要指示精神，以学习运用“千万工程”经验为引领，锚定农业农村现代化目标，扎实推进乡村全面振兴。紧扣四川省“四化同步、城乡融合、五区共兴”发展战略，衔接攀枝花市发展战略与工作部署，落实盐边县“一区五县、共富共兴”总体战略及“钒钛首县、滋味盐边”山区共富试验先行区建设目标。立足那片村自然本底、人文禀赋及发展</w:t>
      </w:r>
      <w:r>
        <w:rPr>
          <w:rFonts w:hint="eastAsia" w:eastAsia="仿宋_GB2312"/>
          <w:sz w:val="22"/>
          <w:szCs w:val="22"/>
          <w:lang w:val="en-US" w:eastAsia="zh-CN"/>
        </w:rPr>
        <w:t>现状</w:t>
      </w:r>
      <w:r>
        <w:rPr>
          <w:rFonts w:hint="eastAsia" w:eastAsia="仿宋_GB2312"/>
          <w:sz w:val="22"/>
          <w:szCs w:val="22"/>
        </w:rPr>
        <w:t>，坚持以人民为中心，严守耕地保护红线与生态安全底线，以“多规合一”为路径，聚焦村民急难愁盼，统筹村域生产、生活、生态空间布局，完善基础设施与公共服务配套，持续改善人居环境，畅通城乡要素</w:t>
      </w:r>
      <w:r>
        <w:rPr>
          <w:rFonts w:hint="eastAsia" w:eastAsia="仿宋_GB2312"/>
          <w:sz w:val="22"/>
          <w:szCs w:val="22"/>
          <w:lang w:val="en-US" w:eastAsia="zh-CN"/>
        </w:rPr>
        <w:t>双向流动</w:t>
      </w:r>
      <w:r>
        <w:rPr>
          <w:rFonts w:hint="eastAsia" w:eastAsia="仿宋_GB2312"/>
          <w:sz w:val="22"/>
          <w:szCs w:val="22"/>
        </w:rPr>
        <w:t>，培育乡村发展新动能，提升村级国土空间治理现代化水平，全力建设宜居宜业和美乡村，为巩固拓展脱贫攻坚成果、推动乡村全面振兴提供坚实保障。</w:t>
      </w:r>
    </w:p>
    <w:p w14:paraId="185F7E88">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规划目标</w:t>
      </w:r>
    </w:p>
    <w:p w14:paraId="13B96BDE">
      <w:pPr>
        <w:spacing w:before="62" w:beforeLines="20" w:after="62" w:afterLines="20" w:line="264" w:lineRule="auto"/>
        <w:ind w:firstLine="440" w:firstLineChars="200"/>
        <w:rPr>
          <w:rFonts w:eastAsia="仿宋_GB2312"/>
          <w:sz w:val="22"/>
          <w:szCs w:val="22"/>
        </w:rPr>
      </w:pPr>
      <w:r>
        <w:rPr>
          <w:rFonts w:hint="eastAsia" w:eastAsia="仿宋_GB2312"/>
          <w:sz w:val="22"/>
          <w:szCs w:val="22"/>
        </w:rPr>
        <w:t>规划至2030年，</w:t>
      </w:r>
      <w:r>
        <w:rPr>
          <w:rFonts w:hint="eastAsia" w:eastAsia="仿宋_GB2312"/>
          <w:sz w:val="22"/>
          <w:szCs w:val="22"/>
          <w:lang w:val="en-US" w:eastAsia="zh-CN"/>
        </w:rPr>
        <w:t>上位规划下达的耕地保有量、永久基本农田、村庄建设边界规模等管控指标全面落地，</w:t>
      </w:r>
      <w:r>
        <w:rPr>
          <w:rFonts w:hint="eastAsia" w:eastAsia="仿宋_GB2312"/>
          <w:sz w:val="22"/>
          <w:szCs w:val="22"/>
        </w:rPr>
        <w:t>生态环境持续改善</w:t>
      </w:r>
      <w:r>
        <w:rPr>
          <w:rFonts w:hint="eastAsia" w:eastAsia="仿宋_GB2312"/>
          <w:sz w:val="22"/>
          <w:szCs w:val="22"/>
          <w:lang w:eastAsia="zh-CN"/>
        </w:rPr>
        <w:t>；</w:t>
      </w:r>
      <w:r>
        <w:rPr>
          <w:rFonts w:hint="eastAsia" w:eastAsia="仿宋_GB2312"/>
          <w:sz w:val="22"/>
          <w:szCs w:val="22"/>
        </w:rPr>
        <w:t>闲置资产得到充分盘活，公共文化服务体系更加健全，交通与市政设施持续完善</w:t>
      </w:r>
      <w:r>
        <w:rPr>
          <w:rFonts w:hint="eastAsia" w:eastAsia="仿宋_GB2312"/>
          <w:sz w:val="22"/>
          <w:szCs w:val="22"/>
          <w:lang w:eastAsia="zh-CN"/>
        </w:rPr>
        <w:t>；</w:t>
      </w:r>
      <w:r>
        <w:rPr>
          <w:rFonts w:hint="eastAsia" w:eastAsia="仿宋_GB2312"/>
          <w:sz w:val="22"/>
          <w:szCs w:val="22"/>
        </w:rPr>
        <w:t>烤烟、核桃、花椒、高山土豆、精品花卉、林下经济与生态养殖等现代农业产业体系基本成型，农文旅融合</w:t>
      </w:r>
      <w:r>
        <w:rPr>
          <w:rFonts w:hint="eastAsia" w:eastAsia="仿宋_GB2312"/>
          <w:sz w:val="22"/>
          <w:szCs w:val="22"/>
          <w:lang w:val="en-US" w:eastAsia="zh-CN"/>
        </w:rPr>
        <w:t>发展</w:t>
      </w:r>
      <w:r>
        <w:rPr>
          <w:rFonts w:hint="eastAsia" w:eastAsia="仿宋_GB2312"/>
          <w:sz w:val="22"/>
          <w:szCs w:val="22"/>
        </w:rPr>
        <w:t>取得阶段性成效。规划至2035年，村域国土空间布局得到全面优化，山、水、林、田、村和谐共生，乡村底蕴与彝族风情有机共融，整体特色风貌全面彰显</w:t>
      </w:r>
      <w:r>
        <w:rPr>
          <w:rFonts w:hint="eastAsia" w:eastAsia="仿宋_GB2312"/>
          <w:sz w:val="22"/>
          <w:szCs w:val="22"/>
          <w:lang w:eastAsia="zh-CN"/>
        </w:rPr>
        <w:t>；</w:t>
      </w:r>
      <w:r>
        <w:rPr>
          <w:rFonts w:hint="eastAsia" w:eastAsia="仿宋_GB2312"/>
          <w:sz w:val="22"/>
          <w:szCs w:val="22"/>
        </w:rPr>
        <w:t>现代山地农业产业体系基本健全，乡村旅游接待能力持续提升，村集体经济与村民收入持续稳步增长</w:t>
      </w:r>
      <w:r>
        <w:rPr>
          <w:rFonts w:hint="eastAsia" w:eastAsia="仿宋_GB2312"/>
          <w:sz w:val="22"/>
          <w:szCs w:val="22"/>
          <w:lang w:eastAsia="zh-CN"/>
        </w:rPr>
        <w:t>；</w:t>
      </w:r>
      <w:r>
        <w:rPr>
          <w:rFonts w:hint="eastAsia" w:eastAsia="仿宋_GB2312"/>
          <w:sz w:val="22"/>
          <w:szCs w:val="22"/>
        </w:rPr>
        <w:t>基本实现国土空间治理体系和治理能力现代化，全面建成宜居宜业和美乡村。</w:t>
      </w:r>
    </w:p>
    <w:p w14:paraId="3AFBF030">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底线约束</w:t>
      </w:r>
    </w:p>
    <w:p w14:paraId="7BE3AF72">
      <w:pPr>
        <w:numPr>
          <w:ilvl w:val="0"/>
          <w:numId w:val="2"/>
        </w:numPr>
        <w:spacing w:before="62" w:beforeLines="20" w:after="62" w:afterLines="20" w:line="264" w:lineRule="auto"/>
        <w:ind w:left="0" w:leftChars="0" w:firstLine="420" w:firstLineChars="0"/>
        <w:rPr>
          <w:rFonts w:hint="default" w:ascii="楷体" w:hAnsi="楷体" w:eastAsia="楷体" w:cs="楷体"/>
          <w:sz w:val="22"/>
          <w:szCs w:val="22"/>
          <w:lang w:val="en-US" w:eastAsia="zh-CN"/>
        </w:rPr>
      </w:pPr>
      <w:r>
        <w:rPr>
          <w:rFonts w:hint="eastAsia" w:ascii="楷体" w:hAnsi="楷体" w:eastAsia="楷体" w:cs="楷体"/>
          <w:sz w:val="22"/>
          <w:szCs w:val="22"/>
          <w:lang w:val="en-US" w:eastAsia="zh-CN"/>
        </w:rPr>
        <w:t>三条控制线</w:t>
      </w:r>
    </w:p>
    <w:p w14:paraId="6E5D5D29">
      <w:pPr>
        <w:numPr>
          <w:ilvl w:val="0"/>
          <w:numId w:val="3"/>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rPr>
      </w:pPr>
      <w:r>
        <w:rPr>
          <w:rFonts w:hint="eastAsia" w:eastAsia="仿宋_GB2312" w:cs="Times New Roman"/>
          <w:sz w:val="22"/>
          <w:szCs w:val="22"/>
          <w:lang w:val="en-US" w:eastAsia="zh-CN"/>
        </w:rPr>
        <w:t>耕地和永久基本农田</w:t>
      </w:r>
    </w:p>
    <w:p w14:paraId="63187101">
      <w:pPr>
        <w:spacing w:before="62" w:beforeLines="20" w:after="62" w:afterLines="20" w:line="264" w:lineRule="auto"/>
        <w:ind w:firstLine="440" w:firstLineChars="200"/>
        <w:rPr>
          <w:rFonts w:eastAsia="仿宋_GB2312"/>
          <w:sz w:val="22"/>
          <w:szCs w:val="22"/>
        </w:rPr>
      </w:pPr>
      <w:r>
        <w:rPr>
          <w:rFonts w:hint="eastAsia" w:eastAsia="仿宋_GB2312"/>
          <w:sz w:val="22"/>
          <w:szCs w:val="22"/>
        </w:rPr>
        <w:t>严格落实并传导上位规划下达的耕地和永久基本农田</w:t>
      </w:r>
      <w:r>
        <w:rPr>
          <w:rFonts w:hint="eastAsia" w:eastAsia="仿宋_GB2312"/>
          <w:sz w:val="22"/>
          <w:szCs w:val="22"/>
          <w:lang w:val="en-US" w:eastAsia="zh-CN"/>
        </w:rPr>
        <w:t>保护</w:t>
      </w:r>
      <w:r>
        <w:rPr>
          <w:rFonts w:hint="eastAsia" w:eastAsia="仿宋_GB2312"/>
          <w:sz w:val="22"/>
          <w:szCs w:val="22"/>
        </w:rPr>
        <w:t>目标任务，确定那片村耕地保有量为363.75公顷（5456.25亩），永久基本农田划定面积282.31公顷（4234.65亩）。</w:t>
      </w:r>
    </w:p>
    <w:p w14:paraId="6F7875D6">
      <w:pPr>
        <w:numPr>
          <w:ilvl w:val="0"/>
          <w:numId w:val="3"/>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生态保护红线</w:t>
      </w:r>
    </w:p>
    <w:p w14:paraId="3AE6FE25">
      <w:pPr>
        <w:spacing w:before="62" w:beforeLines="20" w:after="62" w:afterLines="20" w:line="264" w:lineRule="auto"/>
        <w:ind w:firstLine="440" w:firstLineChars="200"/>
        <w:rPr>
          <w:rFonts w:hint="eastAsia" w:eastAsia="仿宋_GB2312"/>
          <w:sz w:val="22"/>
          <w:szCs w:val="22"/>
        </w:rPr>
      </w:pPr>
      <w:r>
        <w:rPr>
          <w:rFonts w:hint="eastAsia" w:eastAsia="仿宋_GB2312"/>
          <w:sz w:val="22"/>
          <w:szCs w:val="22"/>
        </w:rPr>
        <w:t>本村不涉及生态保护红线。</w:t>
      </w:r>
    </w:p>
    <w:p w14:paraId="185FA47C">
      <w:pPr>
        <w:numPr>
          <w:ilvl w:val="0"/>
          <w:numId w:val="3"/>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rPr>
      </w:pPr>
      <w:r>
        <w:rPr>
          <w:rFonts w:hint="eastAsia" w:ascii="Times New Roman" w:hAnsi="Times New Roman" w:eastAsia="仿宋_GB2312" w:cs="Times New Roman"/>
          <w:sz w:val="22"/>
          <w:szCs w:val="22"/>
          <w:lang w:val="en-US" w:eastAsia="zh-CN"/>
        </w:rPr>
        <w:t>城镇开发边界</w:t>
      </w:r>
    </w:p>
    <w:p w14:paraId="731891A0">
      <w:pPr>
        <w:spacing w:before="62" w:beforeLines="20" w:after="62" w:afterLines="20" w:line="264" w:lineRule="auto"/>
        <w:ind w:firstLine="440" w:firstLineChars="200"/>
        <w:rPr>
          <w:rFonts w:hint="eastAsia"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本村不涉及城镇开发边界。</w:t>
      </w:r>
    </w:p>
    <w:p w14:paraId="3D28024A">
      <w:pPr>
        <w:numPr>
          <w:ilvl w:val="0"/>
          <w:numId w:val="2"/>
        </w:numPr>
        <w:spacing w:before="62" w:beforeLines="20" w:after="62" w:afterLines="20" w:line="264" w:lineRule="auto"/>
        <w:ind w:left="0" w:leftChars="0" w:firstLine="420" w:firstLineChars="0"/>
        <w:rPr>
          <w:rFonts w:hint="default" w:ascii="楷体" w:hAnsi="楷体" w:eastAsia="楷体" w:cs="楷体"/>
          <w:sz w:val="22"/>
          <w:szCs w:val="22"/>
          <w:lang w:val="en-US" w:eastAsia="zh-CN"/>
        </w:rPr>
      </w:pPr>
      <w:r>
        <w:rPr>
          <w:rFonts w:hint="eastAsia" w:ascii="楷体" w:hAnsi="楷体" w:eastAsia="楷体" w:cs="楷体"/>
          <w:sz w:val="22"/>
          <w:szCs w:val="22"/>
          <w:lang w:val="en-US" w:eastAsia="zh-CN"/>
        </w:rPr>
        <w:t>村庄建设边界</w:t>
      </w:r>
    </w:p>
    <w:p w14:paraId="6451E304">
      <w:pPr>
        <w:spacing w:before="62" w:beforeLines="20" w:after="62" w:afterLines="20" w:line="264" w:lineRule="auto"/>
        <w:ind w:firstLine="440" w:firstLineChars="200"/>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村庄建设边界规模为</w:t>
      </w:r>
      <w:r>
        <w:rPr>
          <w:rFonts w:hint="eastAsia" w:eastAsia="仿宋_GB2312" w:cs="Times New Roman"/>
          <w:sz w:val="22"/>
          <w:szCs w:val="22"/>
          <w:lang w:val="en-US" w:eastAsia="zh-CN"/>
        </w:rPr>
        <w:t>29.77</w:t>
      </w:r>
      <w:r>
        <w:rPr>
          <w:rFonts w:hint="default" w:ascii="Times New Roman" w:hAnsi="Times New Roman" w:eastAsia="仿宋_GB2312" w:cs="Times New Roman"/>
          <w:sz w:val="22"/>
          <w:szCs w:val="22"/>
          <w:lang w:val="en-US" w:eastAsia="zh-CN"/>
        </w:rPr>
        <w:t>公顷，确保不突破上位规划确定的规模上限，原则上各类乡村建设行为应在村庄建设边界内开展。</w:t>
      </w:r>
    </w:p>
    <w:p w14:paraId="1724C161">
      <w:pPr>
        <w:numPr>
          <w:ilvl w:val="0"/>
          <w:numId w:val="2"/>
        </w:numPr>
        <w:spacing w:before="62" w:beforeLines="20" w:after="62" w:afterLines="20" w:line="264" w:lineRule="auto"/>
        <w:ind w:left="0" w:leftChars="0" w:firstLine="420" w:firstLineChars="0"/>
        <w:rPr>
          <w:rFonts w:hint="eastAsia" w:ascii="楷体" w:hAnsi="楷体" w:eastAsia="楷体" w:cs="楷体"/>
          <w:sz w:val="22"/>
          <w:szCs w:val="22"/>
          <w:lang w:val="en-US" w:eastAsia="zh-CN"/>
        </w:rPr>
      </w:pPr>
      <w:r>
        <w:rPr>
          <w:rFonts w:hint="eastAsia" w:ascii="楷体" w:hAnsi="楷体" w:eastAsia="楷体" w:cs="楷体"/>
          <w:sz w:val="22"/>
          <w:szCs w:val="22"/>
          <w:lang w:val="en-US" w:eastAsia="zh-CN"/>
        </w:rPr>
        <w:t>其他保护线</w:t>
      </w:r>
    </w:p>
    <w:p w14:paraId="4C935589">
      <w:pPr>
        <w:numPr>
          <w:ilvl w:val="0"/>
          <w:numId w:val="4"/>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rPr>
      </w:pPr>
      <w:r>
        <w:rPr>
          <w:rFonts w:hint="eastAsia" w:eastAsia="仿宋_GB2312" w:cs="Times New Roman"/>
          <w:sz w:val="22"/>
          <w:szCs w:val="22"/>
          <w:lang w:val="en-US" w:eastAsia="zh-CN"/>
        </w:rPr>
        <w:t>地质灾害防控线</w:t>
      </w:r>
    </w:p>
    <w:p w14:paraId="405781EA">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pPr>
      <w:r>
        <w:rPr>
          <w:rFonts w:hint="eastAsia" w:eastAsia="仿宋_GB2312" w:cs="Times New Roman"/>
          <w:sz w:val="22"/>
          <w:szCs w:val="22"/>
          <w:lang w:val="en-US" w:eastAsia="zh-CN"/>
        </w:rPr>
        <w:t>结合《盐边县斜坡地质灾害隐患风险详查及重点场镇地质灾害1：10000精细化调查》，村域</w:t>
      </w:r>
      <w:r>
        <w:rPr>
          <w:rFonts w:hint="eastAsia" w:ascii="Times New Roman" w:hAnsi="Times New Roman" w:eastAsia="仿宋_GB2312" w:cs="Times New Roman"/>
          <w:sz w:val="22"/>
          <w:szCs w:val="22"/>
        </w:rPr>
        <w:t>涉及低风险区2455.76公顷，中风险区128.92公顷，高风险区35.73公顷；涉及低危险区1439.74公顷，中危险区1144.94公顷，高危险区35.73公顷。建设项目严格避让地质灾害</w:t>
      </w:r>
      <w:r>
        <w:rPr>
          <w:rFonts w:hint="eastAsia" w:eastAsia="仿宋_GB2312" w:cs="Times New Roman"/>
          <w:sz w:val="22"/>
          <w:szCs w:val="22"/>
          <w:lang w:val="en-US" w:eastAsia="zh-CN"/>
        </w:rPr>
        <w:t>高风险区、</w:t>
      </w:r>
      <w:r>
        <w:rPr>
          <w:rFonts w:hint="eastAsia" w:ascii="Times New Roman" w:hAnsi="Times New Roman" w:eastAsia="仿宋_GB2312" w:cs="Times New Roman"/>
          <w:sz w:val="22"/>
          <w:szCs w:val="22"/>
        </w:rPr>
        <w:t>高危险区。</w:t>
      </w:r>
    </w:p>
    <w:p w14:paraId="222EA4BA">
      <w:pPr>
        <w:numPr>
          <w:ilvl w:val="0"/>
          <w:numId w:val="4"/>
        </w:numPr>
        <w:spacing w:before="62" w:beforeLines="20" w:after="62" w:afterLines="20" w:line="264" w:lineRule="auto"/>
        <w:ind w:left="0" w:leftChars="0" w:firstLine="400" w:firstLineChars="0"/>
        <w:rPr>
          <w:rFonts w:hint="default"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公路建筑控制区</w:t>
      </w:r>
    </w:p>
    <w:p w14:paraId="4514DD5E">
      <w:pPr>
        <w:spacing w:before="62" w:beforeLines="20" w:after="62" w:afterLines="20" w:line="264" w:lineRule="auto"/>
        <w:ind w:firstLine="440" w:firstLineChars="200"/>
        <w:rPr>
          <w:rFonts w:hint="eastAsia"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根据《公路安全保护条例》《四川省农村公路条例》，从公路用地外缘起向外的距离标准为：县道不小于10米，乡道不小于5米，村道（6米以上）不小于3米，生活便道（6米以下）不小于1米。</w:t>
      </w:r>
    </w:p>
    <w:p w14:paraId="7B0F8660">
      <w:pPr>
        <w:numPr>
          <w:ilvl w:val="0"/>
          <w:numId w:val="4"/>
        </w:numPr>
        <w:spacing w:before="62" w:beforeLines="20" w:after="62" w:afterLines="20" w:line="264" w:lineRule="auto"/>
        <w:ind w:left="0" w:leftChars="0" w:firstLine="400" w:firstLineChars="0"/>
        <w:rPr>
          <w:rFonts w:hint="default"/>
          <w:lang w:val="en-US" w:eastAsia="zh-CN"/>
        </w:rPr>
      </w:pPr>
      <w:r>
        <w:rPr>
          <w:rFonts w:hint="eastAsia" w:ascii="Times New Roman" w:hAnsi="Times New Roman" w:eastAsia="仿宋_GB2312" w:cs="Times New Roman"/>
          <w:sz w:val="22"/>
          <w:szCs w:val="22"/>
          <w:lang w:val="en-US" w:eastAsia="zh-CN"/>
        </w:rPr>
        <w:t>矿产资源开采保护线</w:t>
      </w:r>
    </w:p>
    <w:p w14:paraId="711785DF">
      <w:pPr>
        <w:spacing w:before="62" w:beforeLines="20" w:after="62" w:afterLines="20" w:line="264" w:lineRule="auto"/>
        <w:ind w:firstLine="440" w:firstLineChars="200"/>
        <w:rPr>
          <w:rFonts w:hint="eastAsia"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严格落实上位规划划定的矿产资源开采保护线</w:t>
      </w:r>
      <w:r>
        <w:rPr>
          <w:rFonts w:hint="eastAsia" w:eastAsia="仿宋_GB2312" w:cs="Times New Roman"/>
          <w:sz w:val="22"/>
          <w:szCs w:val="22"/>
          <w:lang w:val="en-US" w:eastAsia="zh-CN"/>
        </w:rPr>
        <w:t>及管控要求</w:t>
      </w:r>
      <w:r>
        <w:rPr>
          <w:rFonts w:hint="eastAsia" w:ascii="Times New Roman" w:hAnsi="Times New Roman" w:eastAsia="仿宋_GB2312" w:cs="Times New Roman"/>
          <w:sz w:val="22"/>
          <w:szCs w:val="22"/>
          <w:lang w:val="en-US" w:eastAsia="zh-CN"/>
        </w:rPr>
        <w:t>，村域涉及1个矿产资源重点勘查区（盐边国胜—箐河锰矿、玄武岩、石英岩矿重点勘查区），面积206.42公顷。</w:t>
      </w:r>
    </w:p>
    <w:p w14:paraId="2D5CF3C2">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产业规划</w:t>
      </w:r>
    </w:p>
    <w:p w14:paraId="5AE3713D">
      <w:pPr>
        <w:numPr>
          <w:ilvl w:val="0"/>
          <w:numId w:val="5"/>
        </w:numPr>
        <w:spacing w:before="62" w:beforeLines="20" w:after="62" w:afterLines="20" w:line="264" w:lineRule="auto"/>
        <w:ind w:left="0" w:leftChars="0" w:firstLine="420" w:firstLineChars="0"/>
        <w:rPr>
          <w:rFonts w:ascii="楷体" w:hAnsi="楷体" w:eastAsia="楷体" w:cs="楷体"/>
          <w:sz w:val="22"/>
          <w:szCs w:val="22"/>
        </w:rPr>
      </w:pPr>
      <w:r>
        <w:rPr>
          <w:rFonts w:hint="eastAsia" w:ascii="楷体" w:hAnsi="楷体" w:eastAsia="楷体" w:cs="楷体"/>
          <w:sz w:val="22"/>
          <w:szCs w:val="22"/>
          <w:lang w:val="en-US" w:eastAsia="zh-CN"/>
        </w:rPr>
        <w:t>产业</w:t>
      </w:r>
      <w:r>
        <w:rPr>
          <w:rFonts w:hint="eastAsia" w:ascii="楷体" w:hAnsi="楷体" w:eastAsia="楷体" w:cs="楷体"/>
          <w:sz w:val="22"/>
          <w:szCs w:val="22"/>
        </w:rPr>
        <w:t>发展思路</w:t>
      </w:r>
    </w:p>
    <w:p w14:paraId="7275BCE3">
      <w:pPr>
        <w:spacing w:before="62" w:beforeLines="20" w:after="62" w:afterLines="20" w:line="264" w:lineRule="auto"/>
        <w:ind w:firstLine="440" w:firstLineChars="200"/>
        <w:rPr>
          <w:rFonts w:hint="eastAsia" w:eastAsia="仿宋_GB2312"/>
          <w:sz w:val="22"/>
          <w:szCs w:val="22"/>
          <w:lang w:eastAsia="zh-CN"/>
        </w:rPr>
      </w:pPr>
      <w:r>
        <w:rPr>
          <w:rFonts w:hint="eastAsia" w:eastAsia="仿宋_GB2312"/>
          <w:sz w:val="22"/>
          <w:szCs w:val="22"/>
        </w:rPr>
        <w:t>立足村域</w:t>
      </w:r>
      <w:r>
        <w:rPr>
          <w:rFonts w:hint="eastAsia" w:eastAsia="仿宋_GB2312"/>
          <w:sz w:val="22"/>
          <w:szCs w:val="22"/>
          <w:lang w:val="en-US" w:eastAsia="zh-CN"/>
        </w:rPr>
        <w:t>自然人文资源</w:t>
      </w:r>
      <w:r>
        <w:rPr>
          <w:rFonts w:hint="eastAsia" w:eastAsia="仿宋_GB2312"/>
          <w:sz w:val="22"/>
          <w:szCs w:val="22"/>
        </w:rPr>
        <w:t>，</w:t>
      </w:r>
      <w:r>
        <w:rPr>
          <w:rFonts w:hint="eastAsia" w:eastAsia="仿宋_GB2312"/>
          <w:sz w:val="22"/>
          <w:szCs w:val="22"/>
          <w:lang w:val="en-US" w:eastAsia="zh-CN"/>
        </w:rPr>
        <w:t>夯实产业基础，</w:t>
      </w:r>
      <w:r>
        <w:rPr>
          <w:rFonts w:hint="eastAsia" w:eastAsia="仿宋_GB2312"/>
          <w:sz w:val="22"/>
          <w:szCs w:val="22"/>
        </w:rPr>
        <w:t>构建“农业固本、文旅突破、矿产补充、集体赋能”的产业发展新格局。做强以烤烟、核桃为核心支撑，粮食作物、特色经果、林下经济、高山生态养殖协同发展的现代化山地特色农业</w:t>
      </w:r>
      <w:r>
        <w:rPr>
          <w:rFonts w:hint="eastAsia" w:eastAsia="仿宋_GB2312"/>
          <w:sz w:val="22"/>
          <w:szCs w:val="22"/>
          <w:lang w:eastAsia="zh-CN"/>
        </w:rPr>
        <w:t>，</w:t>
      </w:r>
      <w:r>
        <w:rPr>
          <w:rFonts w:hint="eastAsia" w:eastAsia="仿宋_GB2312"/>
          <w:sz w:val="22"/>
          <w:szCs w:val="22"/>
        </w:rPr>
        <w:t>持续推动传统农业提质增效</w:t>
      </w:r>
      <w:r>
        <w:rPr>
          <w:rFonts w:hint="eastAsia" w:eastAsia="仿宋_GB2312"/>
          <w:sz w:val="22"/>
          <w:szCs w:val="22"/>
          <w:lang w:eastAsia="zh-CN"/>
        </w:rPr>
        <w:t>，</w:t>
      </w:r>
      <w:r>
        <w:rPr>
          <w:rFonts w:hint="eastAsia" w:eastAsia="仿宋_GB2312"/>
          <w:sz w:val="22"/>
          <w:szCs w:val="22"/>
          <w:lang w:val="en-US" w:eastAsia="zh-CN"/>
        </w:rPr>
        <w:t>不断</w:t>
      </w:r>
      <w:r>
        <w:rPr>
          <w:rFonts w:hint="eastAsia" w:eastAsia="仿宋_GB2312"/>
          <w:sz w:val="22"/>
          <w:szCs w:val="22"/>
        </w:rPr>
        <w:t>壮大集体经济。抢抓攀盐高速建设重大发展窗口期，合规有序释放石灰岩矿资源红利。主动融入盐边北部康养旅游发展布局，联动温泉彝族乡集镇温泉康养资源，系统培育生态观光、山野休闲、民俗体验等融合业态，推动农文旅跨村协同发展。</w:t>
      </w:r>
    </w:p>
    <w:p w14:paraId="260FDB37">
      <w:pPr>
        <w:numPr>
          <w:ilvl w:val="0"/>
          <w:numId w:val="5"/>
        </w:numPr>
        <w:spacing w:before="62" w:beforeLines="20" w:after="62" w:afterLines="20" w:line="264" w:lineRule="auto"/>
        <w:ind w:left="0" w:leftChars="0" w:firstLine="420" w:firstLineChars="0"/>
        <w:rPr>
          <w:rFonts w:ascii="楷体" w:hAnsi="楷体" w:eastAsia="楷体" w:cs="楷体"/>
          <w:sz w:val="22"/>
          <w:szCs w:val="22"/>
        </w:rPr>
      </w:pPr>
      <w:r>
        <w:rPr>
          <w:rFonts w:hint="eastAsia" w:ascii="楷体" w:hAnsi="楷体" w:eastAsia="楷体" w:cs="楷体"/>
          <w:sz w:val="22"/>
          <w:szCs w:val="22"/>
          <w:lang w:val="en-US" w:eastAsia="zh-CN"/>
        </w:rPr>
        <w:t>产业发展路径</w:t>
      </w:r>
    </w:p>
    <w:p w14:paraId="23698B30">
      <w:pPr>
        <w:numPr>
          <w:ilvl w:val="0"/>
          <w:numId w:val="6"/>
        </w:numPr>
        <w:spacing w:before="62" w:beforeLines="20" w:after="62" w:afterLines="20" w:line="264" w:lineRule="auto"/>
        <w:rPr>
          <w:rFonts w:hint="eastAsia" w:ascii="Times New Roman" w:hAnsi="Times New Roman" w:eastAsia="仿宋_GB2312" w:cs="Times New Roman"/>
          <w:sz w:val="22"/>
          <w:szCs w:val="22"/>
        </w:rPr>
      </w:pPr>
      <w:r>
        <w:rPr>
          <w:rFonts w:hint="eastAsia" w:ascii="Times New Roman" w:hAnsi="Times New Roman" w:eastAsia="仿宋_GB2312" w:cs="Times New Roman"/>
          <w:sz w:val="22"/>
          <w:szCs w:val="22"/>
        </w:rPr>
        <w:t>壮大山地种养产业</w:t>
      </w:r>
    </w:p>
    <w:p w14:paraId="13EC2BB2">
      <w:pPr>
        <w:spacing w:before="62" w:beforeLines="20" w:after="62" w:afterLines="20" w:line="264" w:lineRule="auto"/>
        <w:ind w:firstLine="440" w:firstLineChars="200"/>
        <w:rPr>
          <w:rFonts w:hint="eastAsia" w:ascii="Times New Roman" w:hAnsi="Times New Roman" w:eastAsia="仿宋_GB2312" w:cs="Times New Roman"/>
          <w:sz w:val="22"/>
          <w:szCs w:val="22"/>
        </w:rPr>
      </w:pPr>
      <w:r>
        <w:rPr>
          <w:rFonts w:hint="eastAsia" w:ascii="Times New Roman" w:hAnsi="Times New Roman" w:eastAsia="仿宋_GB2312" w:cs="Times New Roman"/>
          <w:sz w:val="22"/>
          <w:szCs w:val="22"/>
        </w:rPr>
        <w:t>稳定烤烟种植规模，全面推行标准化生产</w:t>
      </w:r>
      <w:r>
        <w:rPr>
          <w:rFonts w:hint="eastAsia" w:eastAsia="仿宋_GB2312" w:cs="Times New Roman"/>
          <w:sz w:val="22"/>
          <w:szCs w:val="22"/>
          <w:lang w:eastAsia="zh-CN"/>
        </w:rPr>
        <w:t>，</w:t>
      </w:r>
      <w:r>
        <w:rPr>
          <w:rFonts w:hint="eastAsia" w:eastAsia="仿宋_GB2312" w:cs="Times New Roman"/>
          <w:sz w:val="22"/>
          <w:szCs w:val="22"/>
          <w:lang w:val="en-US" w:eastAsia="zh-CN"/>
        </w:rPr>
        <w:t>持续</w:t>
      </w:r>
      <w:r>
        <w:rPr>
          <w:rFonts w:hint="eastAsia" w:eastAsia="仿宋_GB2312" w:cs="Times New Roman"/>
          <w:sz w:val="22"/>
          <w:szCs w:val="22"/>
          <w:lang w:eastAsia="zh-CN"/>
        </w:rPr>
        <w:t>深化与烟草公司的协同合作，落实订单化种植收购模式，依托烟叶收购站点开展标准化收储，夯实烤烟产业稳产增收基础</w:t>
      </w:r>
      <w:r>
        <w:rPr>
          <w:rFonts w:hint="eastAsia" w:ascii="Times New Roman" w:hAnsi="Times New Roman" w:eastAsia="仿宋_GB2312" w:cs="Times New Roman"/>
          <w:sz w:val="22"/>
          <w:szCs w:val="22"/>
        </w:rPr>
        <w:t>。优化多元种养结构，促进品质效益提升</w:t>
      </w:r>
      <w:r>
        <w:rPr>
          <w:rFonts w:hint="eastAsia" w:eastAsia="仿宋_GB2312" w:cs="Times New Roman"/>
          <w:sz w:val="22"/>
          <w:szCs w:val="22"/>
          <w:lang w:eastAsia="zh-CN"/>
        </w:rPr>
        <w:t>，</w:t>
      </w:r>
      <w:r>
        <w:rPr>
          <w:rFonts w:hint="eastAsia" w:ascii="Times New Roman" w:hAnsi="Times New Roman" w:eastAsia="仿宋_GB2312" w:cs="Times New Roman"/>
          <w:sz w:val="22"/>
          <w:szCs w:val="22"/>
        </w:rPr>
        <w:t>稳定玉米、荞麦、小麦等粮食作物种植规模</w:t>
      </w:r>
      <w:r>
        <w:rPr>
          <w:rFonts w:hint="eastAsia" w:eastAsia="仿宋_GB2312" w:cs="Times New Roman"/>
          <w:sz w:val="22"/>
          <w:szCs w:val="22"/>
          <w:lang w:eastAsia="zh-CN"/>
        </w:rPr>
        <w:t>，推广高山土豆优质良种，重点发展核桃产业，规模化培育观赏花卉植被，</w:t>
      </w:r>
      <w:r>
        <w:rPr>
          <w:rFonts w:hint="eastAsia" w:eastAsia="仿宋_GB2312" w:cs="Times New Roman"/>
          <w:sz w:val="22"/>
          <w:szCs w:val="22"/>
          <w:lang w:val="en-US" w:eastAsia="zh-CN"/>
        </w:rPr>
        <w:t>科</w:t>
      </w:r>
      <w:r>
        <w:rPr>
          <w:rFonts w:hint="eastAsia" w:eastAsia="仿宋_GB2312" w:cs="Times New Roman"/>
          <w:sz w:val="22"/>
          <w:szCs w:val="22"/>
          <w:lang w:eastAsia="zh-CN"/>
        </w:rPr>
        <w:t>学</w:t>
      </w:r>
      <w:r>
        <w:rPr>
          <w:rFonts w:hint="eastAsia" w:eastAsia="仿宋_GB2312" w:cs="Times New Roman"/>
          <w:sz w:val="22"/>
          <w:szCs w:val="22"/>
          <w:lang w:val="en-US" w:eastAsia="zh-CN"/>
        </w:rPr>
        <w:t>推广</w:t>
      </w:r>
      <w:r>
        <w:rPr>
          <w:rFonts w:hint="eastAsia" w:eastAsia="仿宋_GB2312" w:cs="Times New Roman"/>
          <w:sz w:val="22"/>
          <w:szCs w:val="22"/>
          <w:lang w:eastAsia="zh-CN"/>
        </w:rPr>
        <w:t>魔芋、中药材林下套种模式，因地制宜规范发展高山生态养殖</w:t>
      </w:r>
      <w:r>
        <w:rPr>
          <w:rFonts w:hint="eastAsia" w:ascii="Times New Roman" w:hAnsi="Times New Roman" w:eastAsia="仿宋_GB2312" w:cs="Times New Roman"/>
          <w:sz w:val="22"/>
          <w:szCs w:val="22"/>
        </w:rPr>
        <w:t>。培育新型经营主体，深化“村集体+企业+基地+农户”联农带农模式，拓展直播、线上商城等销售途径</w:t>
      </w:r>
      <w:r>
        <w:rPr>
          <w:rFonts w:hint="eastAsia" w:eastAsia="仿宋_GB2312" w:cs="Times New Roman"/>
          <w:sz w:val="22"/>
          <w:szCs w:val="22"/>
          <w:lang w:eastAsia="zh-CN"/>
        </w:rPr>
        <w:t>，</w:t>
      </w:r>
      <w:r>
        <w:rPr>
          <w:rFonts w:hint="eastAsia" w:eastAsia="仿宋_GB2312" w:cs="Times New Roman"/>
          <w:sz w:val="22"/>
          <w:szCs w:val="22"/>
          <w:lang w:val="en-US" w:eastAsia="zh-CN"/>
        </w:rPr>
        <w:t>持续</w:t>
      </w:r>
      <w:r>
        <w:rPr>
          <w:rFonts w:hint="eastAsia" w:ascii="Times New Roman" w:hAnsi="Times New Roman" w:eastAsia="仿宋_GB2312" w:cs="Times New Roman"/>
          <w:sz w:val="22"/>
          <w:szCs w:val="22"/>
        </w:rPr>
        <w:t>拓宽农产品销售渠道。</w:t>
      </w:r>
    </w:p>
    <w:p w14:paraId="126F9E43">
      <w:pPr>
        <w:numPr>
          <w:ilvl w:val="0"/>
          <w:numId w:val="6"/>
        </w:numPr>
        <w:spacing w:before="62" w:beforeLines="20" w:after="62" w:afterLines="20" w:line="264" w:lineRule="auto"/>
        <w:rPr>
          <w:rFonts w:hint="eastAsia" w:ascii="Times New Roman" w:hAnsi="Times New Roman" w:eastAsia="仿宋_GB2312" w:cs="Times New Roman"/>
          <w:sz w:val="22"/>
          <w:szCs w:val="22"/>
        </w:rPr>
      </w:pPr>
      <w:r>
        <w:rPr>
          <w:rFonts w:hint="eastAsia" w:ascii="Times New Roman" w:hAnsi="Times New Roman" w:eastAsia="仿宋_GB2312" w:cs="Times New Roman"/>
          <w:sz w:val="22"/>
          <w:szCs w:val="22"/>
        </w:rPr>
        <w:t>规范发展建筑石料资源产业</w:t>
      </w:r>
    </w:p>
    <w:p w14:paraId="2B1CD35C">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pPr>
      <w:r>
        <w:rPr>
          <w:rFonts w:hint="eastAsia" w:ascii="Times New Roman" w:hAnsi="Times New Roman" w:eastAsia="仿宋_GB2312" w:cs="Times New Roman"/>
          <w:sz w:val="22"/>
          <w:szCs w:val="22"/>
        </w:rPr>
        <w:t>依托攀盐高速重大工程建设配套需求，合规有序推进村域建筑用石灰岩矿开发利用，配套建设矿山砂石加工点，实现矿石就地破碎、就地转化增值，全力保障重点交通工程石料供给，提升本地矿产资源综合利用效益</w:t>
      </w:r>
      <w:r>
        <w:rPr>
          <w:rFonts w:hint="eastAsia" w:eastAsia="仿宋_GB2312" w:cs="Times New Roman"/>
          <w:sz w:val="22"/>
          <w:szCs w:val="22"/>
          <w:lang w:eastAsia="zh-CN"/>
        </w:rPr>
        <w:t>。建立工程建设期联农带农机制，通过土地流转、就近务工、属地服务等多元方式拓宽村集体与村民阶段性增收渠道，充分释放工程建设带来的发展红利。统筹推进产业道路建设与提档升级，将砂石运输道路规划建设为永久性产业路，实现一次建设、多元复用、长期受益。</w:t>
      </w:r>
    </w:p>
    <w:p w14:paraId="47942DE6">
      <w:pPr>
        <w:numPr>
          <w:ilvl w:val="0"/>
          <w:numId w:val="6"/>
        </w:numPr>
        <w:spacing w:before="62" w:beforeLines="20" w:after="62" w:afterLines="20" w:line="264" w:lineRule="auto"/>
        <w:rPr>
          <w:rFonts w:hint="eastAsia" w:ascii="Times New Roman" w:hAnsi="Times New Roman" w:eastAsia="仿宋_GB2312" w:cs="Times New Roman"/>
          <w:sz w:val="22"/>
          <w:szCs w:val="22"/>
        </w:rPr>
      </w:pPr>
      <w:r>
        <w:rPr>
          <w:rFonts w:hint="eastAsia" w:ascii="Times New Roman" w:hAnsi="Times New Roman" w:eastAsia="仿宋_GB2312" w:cs="Times New Roman"/>
          <w:sz w:val="22"/>
          <w:szCs w:val="22"/>
        </w:rPr>
        <w:t>培育农文旅新业态</w:t>
      </w:r>
    </w:p>
    <w:p w14:paraId="7215CA1D">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pPr>
      <w:r>
        <w:rPr>
          <w:rFonts w:hint="eastAsia" w:ascii="Times New Roman" w:hAnsi="Times New Roman" w:eastAsia="仿宋_GB2312" w:cs="Times New Roman"/>
          <w:sz w:val="22"/>
          <w:szCs w:val="22"/>
        </w:rPr>
        <w:t>依托冬樱花、山茶花、索玛花种植区、野生猴群观赏区、头道坪梯田景观等核心资源，打造特色旅游线路，联动温泉彝族乡集镇文旅资源，共建“温泉康养集镇—寨子山花海—那片村”跨村旅游环线，</w:t>
      </w:r>
      <w:r>
        <w:rPr>
          <w:rFonts w:hint="eastAsia" w:eastAsia="仿宋_GB2312" w:cs="Times New Roman"/>
          <w:sz w:val="22"/>
          <w:szCs w:val="22"/>
          <w:lang w:eastAsia="zh-CN"/>
        </w:rPr>
        <w:t>共同办好火把节、徒步越野挑战赛等节庆赛事活动，</w:t>
      </w:r>
      <w:r>
        <w:rPr>
          <w:rFonts w:hint="eastAsia" w:ascii="Times New Roman" w:hAnsi="Times New Roman" w:eastAsia="仿宋_GB2312" w:cs="Times New Roman"/>
          <w:sz w:val="22"/>
          <w:szCs w:val="22"/>
        </w:rPr>
        <w:t>形成“温泉康养+生态观光+野趣休闲+民俗体验”的农文旅组合</w:t>
      </w:r>
      <w:r>
        <w:rPr>
          <w:rFonts w:hint="eastAsia" w:eastAsia="仿宋_GB2312" w:cs="Times New Roman"/>
          <w:sz w:val="22"/>
          <w:szCs w:val="22"/>
          <w:lang w:eastAsia="zh-CN"/>
        </w:rPr>
        <w:t>。丰富消费体验场景，开展民族服饰</w:t>
      </w:r>
      <w:r>
        <w:rPr>
          <w:rFonts w:hint="eastAsia" w:eastAsia="仿宋_GB2312" w:cs="Times New Roman"/>
          <w:sz w:val="22"/>
          <w:szCs w:val="22"/>
          <w:lang w:val="en-US" w:eastAsia="zh-CN"/>
        </w:rPr>
        <w:t>及</w:t>
      </w:r>
      <w:r>
        <w:rPr>
          <w:rFonts w:hint="eastAsia" w:eastAsia="仿宋_GB2312" w:cs="Times New Roman"/>
          <w:sz w:val="22"/>
          <w:szCs w:val="22"/>
          <w:lang w:eastAsia="zh-CN"/>
        </w:rPr>
        <w:t>手工艺品制作、乡土美食品鉴等体验活动，</w:t>
      </w:r>
      <w:r>
        <w:rPr>
          <w:rFonts w:hint="eastAsia" w:eastAsia="仿宋_GB2312" w:cs="Times New Roman"/>
          <w:sz w:val="22"/>
          <w:szCs w:val="22"/>
          <w:lang w:val="en-US" w:eastAsia="zh-CN"/>
        </w:rPr>
        <w:t>加强</w:t>
      </w:r>
      <w:r>
        <w:rPr>
          <w:rFonts w:hint="eastAsia" w:eastAsia="仿宋_GB2312" w:cs="Times New Roman"/>
          <w:sz w:val="22"/>
          <w:szCs w:val="22"/>
          <w:lang w:eastAsia="zh-CN"/>
        </w:rPr>
        <w:t>康养民宿、</w:t>
      </w:r>
      <w:r>
        <w:rPr>
          <w:rFonts w:hint="eastAsia" w:eastAsia="仿宋_GB2312" w:cs="Times New Roman"/>
          <w:sz w:val="22"/>
          <w:szCs w:val="22"/>
          <w:lang w:val="en-US" w:eastAsia="zh-CN"/>
        </w:rPr>
        <w:t>特色餐饮供给</w:t>
      </w:r>
      <w:r>
        <w:rPr>
          <w:rFonts w:hint="eastAsia" w:eastAsia="仿宋_GB2312" w:cs="Times New Roman"/>
          <w:sz w:val="22"/>
          <w:szCs w:val="22"/>
          <w:lang w:eastAsia="zh-CN"/>
        </w:rPr>
        <w:t>，开发手工文创、民俗饰品等乡土伴手礼，形成“探野趣—品民俗—购山货”消费闭环。统筹文旅公共设施</w:t>
      </w:r>
      <w:r>
        <w:rPr>
          <w:rFonts w:hint="eastAsia" w:eastAsia="仿宋_GB2312" w:cs="Times New Roman"/>
          <w:sz w:val="22"/>
          <w:szCs w:val="22"/>
          <w:lang w:val="en-US" w:eastAsia="zh-CN"/>
        </w:rPr>
        <w:t>建设、</w:t>
      </w:r>
      <w:r>
        <w:rPr>
          <w:rFonts w:hint="eastAsia" w:eastAsia="仿宋_GB2312" w:cs="Times New Roman"/>
          <w:sz w:val="22"/>
          <w:szCs w:val="22"/>
          <w:lang w:eastAsia="zh-CN"/>
        </w:rPr>
        <w:t>管护，完善安全警示标识，规范项目运营管理，持续优化乡村旅游经营秩序。</w:t>
      </w:r>
    </w:p>
    <w:p w14:paraId="6DBB49EA">
      <w:pPr>
        <w:numPr>
          <w:ilvl w:val="0"/>
          <w:numId w:val="1"/>
        </w:numPr>
        <w:spacing w:before="62" w:beforeLines="20" w:after="62" w:afterLines="20" w:line="264" w:lineRule="auto"/>
        <w:ind w:firstLine="640"/>
        <w:outlineLvl w:val="0"/>
        <w:rPr>
          <w:rFonts w:hint="default" w:ascii="Times New Roman" w:hAnsi="Times New Roman" w:eastAsia="黑体" w:cs="Times New Roman"/>
          <w:bCs/>
          <w:sz w:val="22"/>
          <w:szCs w:val="22"/>
          <w:lang w:val="en-US" w:eastAsia="zh-CN"/>
        </w:rPr>
      </w:pPr>
      <w:r>
        <w:rPr>
          <w:rFonts w:hint="eastAsia" w:ascii="Times New Roman" w:hAnsi="Times New Roman" w:eastAsia="黑体" w:cs="Times New Roman"/>
          <w:bCs/>
          <w:sz w:val="22"/>
          <w:szCs w:val="22"/>
          <w:lang w:val="en-US" w:eastAsia="zh-CN"/>
        </w:rPr>
        <w:t>公服设施规划</w:t>
      </w:r>
    </w:p>
    <w:p w14:paraId="1057C456">
      <w:pPr>
        <w:spacing w:before="62" w:beforeLines="20" w:after="62" w:afterLines="20" w:line="264" w:lineRule="auto"/>
        <w:ind w:firstLine="440" w:firstLineChars="200"/>
        <w:rPr>
          <w:rFonts w:hint="eastAsia"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那片村为热水塘村级片区的其他村，本规划以村级片区统筹配套为原则</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对照其他村配置标准，有序完善村域公共服务体系</w:t>
      </w:r>
      <w:r>
        <w:rPr>
          <w:rFonts w:hint="eastAsia" w:eastAsia="仿宋_GB2312" w:cs="Times New Roman"/>
          <w:sz w:val="22"/>
          <w:szCs w:val="22"/>
          <w:lang w:val="en-US" w:eastAsia="zh-CN"/>
        </w:rPr>
        <w:t>。</w:t>
      </w:r>
    </w:p>
    <w:p w14:paraId="522198D0">
      <w:pPr>
        <w:numPr>
          <w:ilvl w:val="0"/>
          <w:numId w:val="7"/>
        </w:numPr>
        <w:spacing w:before="62" w:beforeLines="20" w:after="62" w:afterLines="20" w:line="264" w:lineRule="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行政管理设施</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保留村委会、便民服务站</w:t>
      </w:r>
      <w:r>
        <w:rPr>
          <w:rFonts w:hint="eastAsia" w:eastAsia="仿宋_GB2312" w:cs="Times New Roman"/>
          <w:sz w:val="22"/>
          <w:szCs w:val="22"/>
          <w:lang w:val="en-US" w:eastAsia="zh-CN"/>
        </w:rPr>
        <w:t>。</w:t>
      </w:r>
    </w:p>
    <w:p w14:paraId="5BA569F2">
      <w:pPr>
        <w:numPr>
          <w:ilvl w:val="0"/>
          <w:numId w:val="7"/>
        </w:numPr>
        <w:spacing w:before="62" w:beforeLines="20" w:after="62" w:afterLines="20" w:line="264" w:lineRule="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文化体育设施</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保留文化活动室、健身广场</w:t>
      </w:r>
      <w:r>
        <w:rPr>
          <w:rFonts w:hint="eastAsia" w:eastAsia="仿宋_GB2312" w:cs="Times New Roman"/>
          <w:sz w:val="22"/>
          <w:szCs w:val="22"/>
          <w:lang w:val="en-US" w:eastAsia="zh-CN"/>
        </w:rPr>
        <w:t>。</w:t>
      </w:r>
    </w:p>
    <w:p w14:paraId="0C114B9D">
      <w:pPr>
        <w:numPr>
          <w:ilvl w:val="0"/>
          <w:numId w:val="7"/>
        </w:numPr>
        <w:spacing w:before="62" w:beforeLines="20" w:after="62" w:afterLines="20" w:line="264" w:lineRule="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教育医疗设施</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保留儿童之家（服务点）、村民培训中心及农村卫生室</w:t>
      </w:r>
      <w:r>
        <w:rPr>
          <w:rFonts w:hint="eastAsia" w:eastAsia="仿宋_GB2312" w:cs="Times New Roman"/>
          <w:sz w:val="22"/>
          <w:szCs w:val="22"/>
          <w:lang w:val="en-US" w:eastAsia="zh-CN"/>
        </w:rPr>
        <w:t>。</w:t>
      </w:r>
    </w:p>
    <w:p w14:paraId="3BA793E0">
      <w:pPr>
        <w:numPr>
          <w:ilvl w:val="0"/>
          <w:numId w:val="7"/>
        </w:numPr>
        <w:spacing w:before="62" w:beforeLines="20" w:after="62" w:afterLines="20" w:line="264" w:lineRule="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商业服务设施</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保留现状农家便利店及物流配送点</w:t>
      </w:r>
      <w:r>
        <w:rPr>
          <w:rFonts w:hint="eastAsia" w:eastAsia="仿宋_GB2312" w:cs="Times New Roman"/>
          <w:sz w:val="22"/>
          <w:szCs w:val="22"/>
          <w:lang w:val="en-US" w:eastAsia="zh-CN"/>
        </w:rPr>
        <w:t>。</w:t>
      </w:r>
    </w:p>
    <w:p w14:paraId="7290AFD2">
      <w:pPr>
        <w:numPr>
          <w:ilvl w:val="0"/>
          <w:numId w:val="7"/>
        </w:numPr>
        <w:spacing w:before="62" w:beforeLines="20" w:after="62" w:afterLines="20" w:line="264" w:lineRule="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应急管理设施</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结合村委会增设微型消防救援站、农村应急物资储备点、农村避灾疏散场地</w:t>
      </w:r>
      <w:r>
        <w:rPr>
          <w:rFonts w:hint="eastAsia" w:eastAsia="仿宋_GB2312" w:cs="Times New Roman"/>
          <w:sz w:val="22"/>
          <w:szCs w:val="22"/>
          <w:lang w:val="en-US" w:eastAsia="zh-CN"/>
        </w:rPr>
        <w:t>。</w:t>
      </w:r>
    </w:p>
    <w:p w14:paraId="253B72DB">
      <w:pPr>
        <w:numPr>
          <w:ilvl w:val="0"/>
          <w:numId w:val="7"/>
        </w:numPr>
        <w:spacing w:before="62" w:beforeLines="20" w:after="62" w:afterLines="20" w:line="264" w:lineRule="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生产服务设施</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按需配置农机具停放维修场地、打谷场（晾晒场）等设施</w:t>
      </w:r>
      <w:r>
        <w:rPr>
          <w:rFonts w:hint="eastAsia" w:eastAsia="仿宋_GB2312" w:cs="Times New Roman"/>
          <w:sz w:val="22"/>
          <w:szCs w:val="22"/>
          <w:lang w:val="en-US" w:eastAsia="zh-CN"/>
        </w:rPr>
        <w:t>。</w:t>
      </w:r>
    </w:p>
    <w:p w14:paraId="6907D8B4">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道路交通规划</w:t>
      </w:r>
    </w:p>
    <w:p w14:paraId="7B26AA95">
      <w:pPr>
        <w:numPr>
          <w:ilvl w:val="0"/>
          <w:numId w:val="8"/>
        </w:numPr>
        <w:spacing w:before="62" w:beforeLines="20" w:after="62" w:afterLines="20" w:line="264" w:lineRule="auto"/>
        <w:ind w:left="0" w:leftChars="0" w:firstLine="420" w:firstLineChars="0"/>
        <w:rPr>
          <w:rFonts w:ascii="楷体" w:hAnsi="楷体" w:eastAsia="楷体" w:cs="楷体"/>
          <w:sz w:val="22"/>
          <w:szCs w:val="22"/>
        </w:rPr>
      </w:pPr>
      <w:r>
        <w:rPr>
          <w:rFonts w:hint="eastAsia" w:ascii="楷体" w:hAnsi="楷体" w:eastAsia="楷体" w:cs="楷体"/>
          <w:sz w:val="22"/>
          <w:szCs w:val="22"/>
        </w:rPr>
        <w:t>对外交通</w:t>
      </w:r>
    </w:p>
    <w:p w14:paraId="6ED4568E">
      <w:pPr>
        <w:spacing w:before="62" w:beforeLines="20" w:after="62" w:afterLines="20" w:line="264" w:lineRule="auto"/>
        <w:ind w:firstLine="440" w:firstLineChars="200"/>
        <w:rPr>
          <w:rFonts w:hint="eastAsia" w:ascii="Times New Roman" w:hAnsi="Times New Roman" w:eastAsia="仿宋_GB2312" w:cs="Times New Roman"/>
          <w:sz w:val="22"/>
          <w:szCs w:val="22"/>
        </w:rPr>
      </w:pPr>
      <w:r>
        <w:rPr>
          <w:rFonts w:hint="eastAsia" w:ascii="Times New Roman" w:hAnsi="Times New Roman" w:eastAsia="仿宋_GB2312" w:cs="Times New Roman"/>
          <w:sz w:val="22"/>
          <w:szCs w:val="22"/>
        </w:rPr>
        <w:t>县道X046为那片村对外联系主通道，经县道X046向北联系热水塘村，向南连接永兴镇苍蒲村。</w:t>
      </w:r>
    </w:p>
    <w:p w14:paraId="1BE28FD8">
      <w:pPr>
        <w:numPr>
          <w:ilvl w:val="0"/>
          <w:numId w:val="8"/>
        </w:numPr>
        <w:spacing w:before="62" w:beforeLines="20" w:after="62" w:afterLines="20" w:line="264" w:lineRule="auto"/>
        <w:ind w:left="0" w:leftChars="0" w:firstLine="420" w:firstLineChars="0"/>
        <w:rPr>
          <w:rFonts w:ascii="楷体" w:hAnsi="楷体" w:eastAsia="楷体" w:cs="楷体"/>
          <w:sz w:val="22"/>
          <w:szCs w:val="22"/>
        </w:rPr>
      </w:pPr>
      <w:r>
        <w:rPr>
          <w:rFonts w:ascii="楷体" w:hAnsi="楷体" w:eastAsia="楷体" w:cs="楷体"/>
          <w:sz w:val="22"/>
          <w:szCs w:val="22"/>
        </w:rPr>
        <w:t>农村公路</w:t>
      </w:r>
    </w:p>
    <w:p w14:paraId="4F13E8D9">
      <w:pPr>
        <w:spacing w:before="62" w:beforeLines="20" w:after="62" w:afterLines="20" w:line="264" w:lineRule="auto"/>
        <w:ind w:firstLine="440" w:firstLineChars="200"/>
        <w:rPr>
          <w:rFonts w:eastAsia="仿宋_GB2312"/>
          <w:sz w:val="22"/>
          <w:szCs w:val="22"/>
        </w:rPr>
      </w:pPr>
      <w:r>
        <w:rPr>
          <w:rFonts w:hint="eastAsia" w:eastAsia="仿宋_GB2312"/>
          <w:sz w:val="22"/>
          <w:szCs w:val="22"/>
        </w:rPr>
        <w:t>规划至2035年</w:t>
      </w:r>
      <w:r>
        <w:rPr>
          <w:rFonts w:hint="eastAsia" w:eastAsia="仿宋_GB2312"/>
          <w:sz w:val="22"/>
          <w:szCs w:val="22"/>
          <w:lang w:eastAsia="zh-CN"/>
        </w:rPr>
        <w:t>，</w:t>
      </w:r>
      <w:r>
        <w:rPr>
          <w:rFonts w:hint="eastAsia" w:eastAsia="仿宋_GB2312"/>
          <w:sz w:val="22"/>
          <w:szCs w:val="22"/>
        </w:rPr>
        <w:t>基本实现通三级路、建制村通等级路、较大人口规模自然村（组）通硬化路。保留村内主要道路，打通断头路，优化村域交通路网体系。</w:t>
      </w:r>
    </w:p>
    <w:p w14:paraId="41D6936C">
      <w:pPr>
        <w:numPr>
          <w:ilvl w:val="0"/>
          <w:numId w:val="8"/>
        </w:numPr>
        <w:spacing w:before="62" w:beforeLines="20" w:after="62" w:afterLines="20" w:line="264" w:lineRule="auto"/>
        <w:ind w:left="0" w:leftChars="0" w:firstLine="420" w:firstLineChars="0"/>
        <w:rPr>
          <w:rFonts w:ascii="楷体" w:hAnsi="楷体" w:eastAsia="楷体" w:cs="楷体"/>
          <w:sz w:val="22"/>
          <w:szCs w:val="22"/>
        </w:rPr>
      </w:pPr>
      <w:r>
        <w:rPr>
          <w:rFonts w:hint="eastAsia" w:ascii="楷体" w:hAnsi="楷体" w:eastAsia="楷体" w:cs="楷体"/>
          <w:sz w:val="22"/>
          <w:szCs w:val="22"/>
          <w:lang w:val="en-US" w:eastAsia="zh-CN"/>
        </w:rPr>
        <w:t>运输设施</w:t>
      </w:r>
    </w:p>
    <w:p w14:paraId="5A72B65A">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pPr>
      <w:r>
        <w:rPr>
          <w:rFonts w:hint="eastAsia" w:ascii="Times New Roman" w:hAnsi="Times New Roman" w:eastAsia="仿宋_GB2312" w:cs="Times New Roman"/>
          <w:sz w:val="22"/>
          <w:szCs w:val="22"/>
          <w:lang w:eastAsia="zh-CN"/>
        </w:rPr>
        <w:t>优化乡村客运服务设施，规划结合村委会及老年人活动中心新增2处停车场</w:t>
      </w:r>
      <w:r>
        <w:rPr>
          <w:rFonts w:hint="eastAsia" w:eastAsia="仿宋_GB2312" w:cs="Times New Roman"/>
          <w:sz w:val="22"/>
          <w:szCs w:val="22"/>
          <w:lang w:eastAsia="zh-CN"/>
        </w:rPr>
        <w:t>。</w:t>
      </w:r>
      <w:r>
        <w:rPr>
          <w:rFonts w:hint="eastAsia" w:ascii="Times New Roman" w:hAnsi="Times New Roman" w:eastAsia="仿宋_GB2312" w:cs="Times New Roman"/>
          <w:sz w:val="22"/>
          <w:szCs w:val="22"/>
          <w:lang w:eastAsia="zh-CN"/>
        </w:rPr>
        <w:t>遵循“一站多能、综合利用”的原则</w:t>
      </w:r>
      <w:r>
        <w:rPr>
          <w:rFonts w:hint="eastAsia" w:eastAsia="仿宋_GB2312" w:cs="Times New Roman"/>
          <w:sz w:val="22"/>
          <w:szCs w:val="22"/>
          <w:lang w:eastAsia="zh-CN"/>
        </w:rPr>
        <w:t>，</w:t>
      </w:r>
      <w:r>
        <w:rPr>
          <w:rFonts w:hint="eastAsia" w:ascii="Times New Roman" w:hAnsi="Times New Roman" w:eastAsia="仿宋_GB2312" w:cs="Times New Roman"/>
          <w:sz w:val="22"/>
          <w:szCs w:val="22"/>
          <w:lang w:eastAsia="zh-CN"/>
        </w:rPr>
        <w:t>依托温泉彝族乡综合运输服务站提供客货邮综合服务，村级不再另设客运物流综合服务站，依托县道X046形成农副产品物流通道。</w:t>
      </w:r>
    </w:p>
    <w:p w14:paraId="65E54D1F">
      <w:pPr>
        <w:numPr>
          <w:ilvl w:val="0"/>
          <w:numId w:val="8"/>
        </w:numPr>
        <w:spacing w:before="62" w:beforeLines="20" w:after="62" w:afterLines="20" w:line="264" w:lineRule="auto"/>
        <w:ind w:left="0" w:leftChars="0" w:firstLine="420" w:firstLineChars="0"/>
        <w:rPr>
          <w:rFonts w:ascii="楷体" w:hAnsi="楷体" w:eastAsia="楷体" w:cs="楷体"/>
          <w:sz w:val="22"/>
          <w:szCs w:val="22"/>
        </w:rPr>
      </w:pPr>
      <w:r>
        <w:rPr>
          <w:rFonts w:hint="eastAsia" w:ascii="楷体" w:hAnsi="楷体" w:eastAsia="楷体" w:cs="楷体"/>
          <w:sz w:val="22"/>
          <w:szCs w:val="22"/>
          <w:lang w:val="en-US" w:eastAsia="zh-CN"/>
        </w:rPr>
        <w:t>旅游通道和绿道</w:t>
      </w:r>
    </w:p>
    <w:p w14:paraId="639CEC7E">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pPr>
      <w:r>
        <w:rPr>
          <w:rFonts w:hint="eastAsia" w:ascii="Times New Roman" w:hAnsi="Times New Roman" w:eastAsia="仿宋_GB2312" w:cs="Times New Roman"/>
          <w:sz w:val="22"/>
          <w:szCs w:val="22"/>
          <w:lang w:val="en-US" w:eastAsia="zh-CN"/>
        </w:rPr>
        <w:t>依托“村内产业路—县道X046—县道X047”构建跨村旅游主通道，向外顺畅衔接集镇温泉康养资源，向内串联村内山茶花与索玛花种植区、野生猴群</w:t>
      </w:r>
      <w:r>
        <w:rPr>
          <w:rFonts w:hint="eastAsia" w:eastAsia="仿宋_GB2312" w:cs="Times New Roman"/>
          <w:sz w:val="22"/>
          <w:szCs w:val="22"/>
          <w:lang w:val="en-US" w:eastAsia="zh-CN"/>
        </w:rPr>
        <w:t>观赏点</w:t>
      </w:r>
      <w:r>
        <w:rPr>
          <w:rFonts w:hint="eastAsia" w:ascii="Times New Roman" w:hAnsi="Times New Roman" w:eastAsia="仿宋_GB2312" w:cs="Times New Roman"/>
          <w:sz w:val="22"/>
          <w:szCs w:val="22"/>
          <w:lang w:val="en-US" w:eastAsia="zh-CN"/>
        </w:rPr>
        <w:t>及头道坪梯田等生态农旅资源。</w:t>
      </w:r>
    </w:p>
    <w:p w14:paraId="528296F5">
      <w:pPr>
        <w:numPr>
          <w:ilvl w:val="0"/>
          <w:numId w:val="1"/>
        </w:numPr>
        <w:spacing w:before="62" w:beforeLines="20" w:after="62" w:afterLines="20" w:line="264" w:lineRule="auto"/>
        <w:ind w:firstLine="640"/>
        <w:outlineLvl w:val="0"/>
        <w:rPr>
          <w:rFonts w:hint="eastAsia" w:ascii="Times New Roman" w:hAnsi="Times New Roman" w:eastAsia="黑体" w:cs="Times New Roman"/>
          <w:bCs/>
          <w:sz w:val="22"/>
          <w:szCs w:val="22"/>
          <w:highlight w:val="none"/>
          <w:lang w:eastAsia="zh-CN"/>
        </w:rPr>
      </w:pPr>
      <w:r>
        <w:rPr>
          <w:rFonts w:hint="eastAsia" w:ascii="Times New Roman" w:hAnsi="Times New Roman" w:eastAsia="黑体" w:cs="Times New Roman"/>
          <w:bCs/>
          <w:sz w:val="22"/>
          <w:szCs w:val="22"/>
          <w:highlight w:val="none"/>
          <w:lang w:eastAsia="zh-CN"/>
        </w:rPr>
        <w:t>农村建房指引</w:t>
      </w:r>
    </w:p>
    <w:p w14:paraId="49BA483E">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（一）</w:t>
      </w:r>
      <w:r>
        <w:rPr>
          <w:rFonts w:hint="eastAsia" w:ascii="楷体" w:hAnsi="楷体" w:eastAsia="楷体" w:cs="楷体"/>
          <w:sz w:val="22"/>
          <w:szCs w:val="22"/>
          <w:highlight w:val="none"/>
          <w:lang w:eastAsia="zh-CN"/>
        </w:rPr>
        <w:t>总体原则</w:t>
      </w:r>
    </w:p>
    <w:p w14:paraId="5FF90007">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坚持“一户一宅”原则，农村居民点选址避让永久基本农田、生态公益林、地质灾害危险区、生态敏感区</w:t>
      </w:r>
      <w:r>
        <w:rPr>
          <w:rFonts w:hint="eastAsia" w:eastAsia="仿宋_GB2312" w:cs="Times New Roman"/>
          <w:sz w:val="22"/>
          <w:szCs w:val="22"/>
          <w:highlight w:val="none"/>
          <w:lang w:val="en-US" w:eastAsia="zh-CN"/>
        </w:rPr>
        <w:t>等禁止建设区域</w:t>
      </w:r>
      <w:r>
        <w:rPr>
          <w:rFonts w:hint="eastAsia" w:ascii="Times New Roman" w:hAnsi="Times New Roman" w:eastAsia="仿宋_GB2312" w:cs="Times New Roman"/>
          <w:sz w:val="22"/>
          <w:szCs w:val="22"/>
          <w:highlight w:val="none"/>
          <w:lang w:eastAsia="zh-CN"/>
        </w:rPr>
        <w:t>，充分融入村镇体系、产业布局及自然环境。结合村庄实际</w:t>
      </w:r>
      <w:r>
        <w:rPr>
          <w:rFonts w:hint="eastAsia" w:eastAsia="仿宋_GB2312" w:cs="Times New Roman"/>
          <w:sz w:val="22"/>
          <w:szCs w:val="22"/>
          <w:highlight w:val="none"/>
          <w:lang w:val="en-US" w:eastAsia="zh-CN"/>
        </w:rPr>
        <w:t>条件</w:t>
      </w:r>
      <w:r>
        <w:rPr>
          <w:rFonts w:hint="eastAsia" w:ascii="Times New Roman" w:hAnsi="Times New Roman" w:eastAsia="仿宋_GB2312" w:cs="Times New Roman"/>
          <w:sz w:val="22"/>
          <w:szCs w:val="22"/>
          <w:highlight w:val="none"/>
          <w:lang w:eastAsia="zh-CN"/>
        </w:rPr>
        <w:t>，顺应农村人口流动趋势，尊重本地居住习惯，兼顾耕作半径等影响因素，按照“大散居、小聚居”模式优化农村居民点布局，完善生产生活服务配套设施，补齐公共服务短板。</w:t>
      </w:r>
    </w:p>
    <w:p w14:paraId="60F9110D">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w:t>
      </w:r>
      <w:r>
        <w:rPr>
          <w:rFonts w:hint="eastAsia" w:ascii="楷体" w:hAnsi="楷体" w:eastAsia="楷体" w:cs="楷体"/>
          <w:sz w:val="22"/>
          <w:szCs w:val="22"/>
          <w:highlight w:val="none"/>
          <w:lang w:val="en-US" w:eastAsia="zh-CN"/>
        </w:rPr>
        <w:t>二</w:t>
      </w:r>
      <w:r>
        <w:rPr>
          <w:rFonts w:hint="eastAsia" w:ascii="楷体" w:hAnsi="楷体" w:eastAsia="楷体" w:cs="楷体"/>
          <w:sz w:val="22"/>
          <w:szCs w:val="22"/>
          <w:highlight w:val="none"/>
        </w:rPr>
        <w:t>）</w:t>
      </w:r>
      <w:r>
        <w:rPr>
          <w:rFonts w:hint="eastAsia" w:ascii="楷体" w:hAnsi="楷体" w:eastAsia="楷体" w:cs="楷体"/>
          <w:sz w:val="22"/>
          <w:szCs w:val="22"/>
          <w:highlight w:val="none"/>
          <w:lang w:eastAsia="zh-CN"/>
        </w:rPr>
        <w:t>建筑风格指引</w:t>
      </w:r>
    </w:p>
    <w:p w14:paraId="465F06C3">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依山就势、显山露水，采用筒瓦（或仿古树脂瓦）、木材（或钢材刷木纹漆）、现代夯土、本地石材、真石漆等材料，绘制民族特色装饰线条，点缀牛羊角拱架等图腾装饰物件</w:t>
      </w:r>
      <w:r>
        <w:rPr>
          <w:rFonts w:hint="eastAsia" w:eastAsia="仿宋_GB2312" w:cs="Times New Roman"/>
          <w:sz w:val="22"/>
          <w:szCs w:val="22"/>
          <w:highlight w:val="none"/>
          <w:lang w:eastAsia="zh-CN"/>
        </w:rPr>
        <w:t>，</w:t>
      </w:r>
      <w:r>
        <w:rPr>
          <w:rFonts w:hint="eastAsia" w:ascii="Times New Roman" w:hAnsi="Times New Roman" w:eastAsia="仿宋_GB2312" w:cs="Times New Roman"/>
          <w:sz w:val="22"/>
          <w:szCs w:val="22"/>
          <w:highlight w:val="none"/>
          <w:lang w:eastAsia="zh-CN"/>
        </w:rPr>
        <w:t>充分体现彝族传统民居特色，塑造质朴厚重、富有地域活力的乡土风貌。</w:t>
      </w:r>
    </w:p>
    <w:p w14:paraId="27435E7C">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w:t>
      </w:r>
      <w:r>
        <w:rPr>
          <w:rFonts w:hint="eastAsia" w:ascii="楷体" w:hAnsi="楷体" w:eastAsia="楷体" w:cs="楷体"/>
          <w:sz w:val="22"/>
          <w:szCs w:val="22"/>
          <w:highlight w:val="none"/>
          <w:lang w:val="en-US" w:eastAsia="zh-CN"/>
        </w:rPr>
        <w:t>三</w:t>
      </w:r>
      <w:r>
        <w:rPr>
          <w:rFonts w:hint="eastAsia" w:ascii="楷体" w:hAnsi="楷体" w:eastAsia="楷体" w:cs="楷体"/>
          <w:sz w:val="22"/>
          <w:szCs w:val="22"/>
          <w:highlight w:val="none"/>
        </w:rPr>
        <w:t>）</w:t>
      </w:r>
      <w:r>
        <w:rPr>
          <w:rFonts w:hint="eastAsia" w:ascii="楷体" w:hAnsi="楷体" w:eastAsia="楷体" w:cs="楷体"/>
          <w:sz w:val="22"/>
          <w:szCs w:val="22"/>
          <w:highlight w:val="none"/>
          <w:lang w:eastAsia="zh-CN"/>
        </w:rPr>
        <w:t>建筑高度指引</w:t>
      </w:r>
    </w:p>
    <w:p w14:paraId="00651E71">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建筑以小体量为主，层数一般不超过</w:t>
      </w:r>
      <w:r>
        <w:rPr>
          <w:rFonts w:hint="eastAsia" w:eastAsia="仿宋_GB2312" w:cs="Times New Roman"/>
          <w:sz w:val="22"/>
          <w:szCs w:val="22"/>
          <w:highlight w:val="none"/>
          <w:lang w:val="en-US" w:eastAsia="zh-CN"/>
        </w:rPr>
        <w:t>3</w:t>
      </w:r>
      <w:r>
        <w:rPr>
          <w:rFonts w:hint="eastAsia" w:ascii="Times New Roman" w:hAnsi="Times New Roman" w:eastAsia="仿宋_GB2312" w:cs="Times New Roman"/>
          <w:sz w:val="22"/>
          <w:szCs w:val="22"/>
          <w:highlight w:val="none"/>
          <w:lang w:eastAsia="zh-CN"/>
        </w:rPr>
        <w:t>层，建筑高度原则不超过</w:t>
      </w:r>
      <w:r>
        <w:rPr>
          <w:rFonts w:hint="eastAsia" w:eastAsia="仿宋_GB2312" w:cs="Times New Roman"/>
          <w:sz w:val="22"/>
          <w:szCs w:val="22"/>
          <w:highlight w:val="none"/>
          <w:lang w:val="en-US" w:eastAsia="zh-CN"/>
        </w:rPr>
        <w:t>12</w:t>
      </w:r>
      <w:r>
        <w:rPr>
          <w:rFonts w:hint="eastAsia" w:ascii="Times New Roman" w:hAnsi="Times New Roman" w:eastAsia="仿宋_GB2312" w:cs="Times New Roman"/>
          <w:sz w:val="22"/>
          <w:szCs w:val="22"/>
          <w:highlight w:val="none"/>
          <w:lang w:eastAsia="zh-CN"/>
        </w:rPr>
        <w:t>米，底层层高可酌情增加，满足农村</w:t>
      </w:r>
      <w:r>
        <w:rPr>
          <w:rFonts w:hint="eastAsia" w:eastAsia="仿宋_GB2312" w:cs="Times New Roman"/>
          <w:sz w:val="22"/>
          <w:szCs w:val="22"/>
          <w:highlight w:val="none"/>
          <w:lang w:val="en-US" w:eastAsia="zh-CN"/>
        </w:rPr>
        <w:t>生产生活使用需求</w:t>
      </w:r>
      <w:r>
        <w:rPr>
          <w:rFonts w:hint="eastAsia" w:ascii="Times New Roman" w:hAnsi="Times New Roman" w:eastAsia="仿宋_GB2312" w:cs="Times New Roman"/>
          <w:sz w:val="22"/>
          <w:szCs w:val="22"/>
          <w:highlight w:val="none"/>
          <w:lang w:eastAsia="zh-CN"/>
        </w:rPr>
        <w:t>。</w:t>
      </w:r>
    </w:p>
    <w:p w14:paraId="2A3AC44E">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w:t>
      </w:r>
      <w:r>
        <w:rPr>
          <w:rFonts w:hint="eastAsia" w:ascii="楷体" w:hAnsi="楷体" w:eastAsia="楷体" w:cs="楷体"/>
          <w:sz w:val="22"/>
          <w:szCs w:val="22"/>
          <w:highlight w:val="none"/>
          <w:lang w:val="en-US" w:eastAsia="zh-CN"/>
        </w:rPr>
        <w:t>四</w:t>
      </w:r>
      <w:r>
        <w:rPr>
          <w:rFonts w:hint="eastAsia" w:ascii="楷体" w:hAnsi="楷体" w:eastAsia="楷体" w:cs="楷体"/>
          <w:sz w:val="22"/>
          <w:szCs w:val="22"/>
          <w:highlight w:val="none"/>
        </w:rPr>
        <w:t>）</w:t>
      </w:r>
      <w:r>
        <w:rPr>
          <w:rFonts w:hint="eastAsia" w:ascii="楷体" w:hAnsi="楷体" w:eastAsia="楷体" w:cs="楷体"/>
          <w:sz w:val="22"/>
          <w:szCs w:val="22"/>
          <w:highlight w:val="none"/>
          <w:lang w:eastAsia="zh-CN"/>
        </w:rPr>
        <w:t>建筑色彩指引</w:t>
      </w:r>
    </w:p>
    <w:p w14:paraId="29FA1410">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以温暖的黄色系为主色调，辅以红色、黑色、白色等典型装饰色及不同明度的土黄色进行搭配，塑造古朴厚重、对比鲜明的民族乡土色彩意象。</w:t>
      </w:r>
    </w:p>
    <w:p w14:paraId="176E1540">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w:t>
      </w:r>
      <w:r>
        <w:rPr>
          <w:rFonts w:hint="eastAsia" w:ascii="楷体" w:hAnsi="楷体" w:eastAsia="楷体" w:cs="楷体"/>
          <w:sz w:val="22"/>
          <w:szCs w:val="22"/>
          <w:highlight w:val="none"/>
          <w:lang w:val="en-US" w:eastAsia="zh-CN"/>
        </w:rPr>
        <w:t>五</w:t>
      </w:r>
      <w:r>
        <w:rPr>
          <w:rFonts w:hint="eastAsia" w:ascii="楷体" w:hAnsi="楷体" w:eastAsia="楷体" w:cs="楷体"/>
          <w:sz w:val="22"/>
          <w:szCs w:val="22"/>
          <w:highlight w:val="none"/>
        </w:rPr>
        <w:t>）</w:t>
      </w:r>
      <w:r>
        <w:rPr>
          <w:rFonts w:hint="eastAsia" w:ascii="楷体" w:hAnsi="楷体" w:eastAsia="楷体" w:cs="楷体"/>
          <w:sz w:val="22"/>
          <w:szCs w:val="22"/>
          <w:highlight w:val="none"/>
          <w:lang w:eastAsia="zh-CN"/>
        </w:rPr>
        <w:t>建筑退距指引</w:t>
      </w:r>
    </w:p>
    <w:p w14:paraId="50F5E7E4">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集中居民点建筑后退用地红线距离不应小于0.5米；临道路、河流水系等区域的建筑退距，严格按照对应行业规范与专项管控要求执行。</w:t>
      </w:r>
    </w:p>
    <w:p w14:paraId="42067807">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sectPr>
          <w:type w:val="continuous"/>
          <w:pgSz w:w="23811" w:h="16838" w:orient="landscape"/>
          <w:pgMar w:top="1134" w:right="1134" w:bottom="1134" w:left="1134" w:header="851" w:footer="992" w:gutter="0"/>
          <w:cols w:equalWidth="0" w:num="2">
            <w:col w:w="10559" w:space="844"/>
            <w:col w:w="10140"/>
          </w:cols>
          <w:docGrid w:type="lines" w:linePitch="312" w:charSpace="0"/>
        </w:sectPr>
      </w:pPr>
    </w:p>
    <w:p w14:paraId="53C755A0">
      <w:pPr>
        <w:jc w:val="center"/>
        <w:rPr>
          <w:rFonts w:eastAsia="仿宋_GB2312"/>
          <w:sz w:val="32"/>
          <w:szCs w:val="32"/>
        </w:rPr>
        <w:sectPr>
          <w:type w:val="continuous"/>
          <w:pgSz w:w="23811" w:h="16838" w:orient="landscape"/>
          <w:pgMar w:top="1361" w:right="1701" w:bottom="1361" w:left="1474" w:header="851" w:footer="992" w:gutter="0"/>
          <w:cols w:space="425" w:num="1"/>
          <w:docGrid w:type="lines" w:linePitch="312" w:charSpace="0"/>
        </w:sectPr>
      </w:pPr>
      <w:r>
        <w:rPr>
          <w:rFonts w:hint="eastAsia" w:eastAsia="仿宋_GB2312"/>
          <w:sz w:val="32"/>
          <w:szCs w:val="32"/>
          <w:lang w:eastAsia="zh-CN"/>
        </w:rPr>
        <w:drawing>
          <wp:inline distT="0" distB="0" distL="114300" distR="114300">
            <wp:extent cx="12484735" cy="8834120"/>
            <wp:effectExtent l="0" t="0" r="12065" b="5080"/>
            <wp:docPr id="6" name="图片 6" descr="D:/曾于珈/盐边/Z镇村/2村片/6温泉那片村/4成果汇总/第2轮202609/图纸/04空间底线规划图.jpg04空间底线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曾于珈/盐边/Z镇村/2村片/6温泉那片村/4成果汇总/第2轮202609/图纸/04空间底线规划图.jpg04空间底线规划图"/>
                    <pic:cNvPicPr>
                      <a:picLocks noChangeAspect="1"/>
                    </pic:cNvPicPr>
                  </pic:nvPicPr>
                  <pic:blipFill>
                    <a:blip r:embed="rId6"/>
                    <a:srcRect l="40" r="40"/>
                    <a:stretch>
                      <a:fillRect/>
                    </a:stretch>
                  </pic:blipFill>
                  <pic:spPr>
                    <a:xfrm>
                      <a:off x="0" y="0"/>
                      <a:ext cx="12484735" cy="8834120"/>
                    </a:xfrm>
                    <a:prstGeom prst="rect">
                      <a:avLst/>
                    </a:prstGeom>
                  </pic:spPr>
                </pic:pic>
              </a:graphicData>
            </a:graphic>
          </wp:inline>
        </w:drawing>
      </w:r>
      <w:r>
        <w:rPr>
          <w:rFonts w:hint="eastAsia" w:eastAsia="仿宋_GB2312"/>
          <w:sz w:val="32"/>
          <w:szCs w:val="32"/>
          <w:lang w:eastAsia="zh-CN"/>
        </w:rPr>
        <w:drawing>
          <wp:inline distT="0" distB="0" distL="114300" distR="114300">
            <wp:extent cx="12484735" cy="8834120"/>
            <wp:effectExtent l="0" t="0" r="12065" b="5080"/>
            <wp:docPr id="5" name="图片 5" descr="D:/曾于珈/盐边/Z镇村/2村片/6温泉那片村/4成果汇总/第2轮202609/图纸/05用地布局规划图.jpg05用地布局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曾于珈/盐边/Z镇村/2村片/6温泉那片村/4成果汇总/第2轮202609/图纸/05用地布局规划图.jpg05用地布局规划图"/>
                    <pic:cNvPicPr>
                      <a:picLocks noChangeAspect="1"/>
                    </pic:cNvPicPr>
                  </pic:nvPicPr>
                  <pic:blipFill>
                    <a:blip r:embed="rId7"/>
                    <a:srcRect l="40" r="40"/>
                    <a:stretch>
                      <a:fillRect/>
                    </a:stretch>
                  </pic:blipFill>
                  <pic:spPr>
                    <a:xfrm>
                      <a:off x="0" y="0"/>
                      <a:ext cx="12484735" cy="8834120"/>
                    </a:xfrm>
                    <a:prstGeom prst="rect">
                      <a:avLst/>
                    </a:prstGeom>
                  </pic:spPr>
                </pic:pic>
              </a:graphicData>
            </a:graphic>
          </wp:inline>
        </w:drawing>
      </w:r>
      <w:r>
        <w:rPr>
          <w:rFonts w:hint="eastAsia" w:eastAsia="仿宋_GB2312"/>
          <w:sz w:val="32"/>
          <w:szCs w:val="32"/>
          <w:lang w:eastAsia="zh-CN"/>
        </w:rPr>
        <w:drawing>
          <wp:inline distT="0" distB="0" distL="114300" distR="114300">
            <wp:extent cx="12484735" cy="8834120"/>
            <wp:effectExtent l="0" t="0" r="12065" b="5080"/>
            <wp:docPr id="3" name="图片 3" descr="D:/曾于珈/盐边/Z镇村/2村片/6温泉那片村/4成果汇总/第2轮202609/图纸/07产业发展用地规划图20260914.jpg07产业发展用地规划图20260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曾于珈/盐边/Z镇村/2村片/6温泉那片村/4成果汇总/第2轮202609/图纸/07产业发展用地规划图20260914.jpg07产业发展用地规划图20260914"/>
                    <pic:cNvPicPr>
                      <a:picLocks noChangeAspect="1"/>
                    </pic:cNvPicPr>
                  </pic:nvPicPr>
                  <pic:blipFill>
                    <a:blip r:embed="rId8"/>
                    <a:srcRect l="40" r="40"/>
                    <a:stretch>
                      <a:fillRect/>
                    </a:stretch>
                  </pic:blipFill>
                  <pic:spPr>
                    <a:xfrm>
                      <a:off x="0" y="0"/>
                      <a:ext cx="12484735" cy="8834120"/>
                    </a:xfrm>
                    <a:prstGeom prst="rect">
                      <a:avLst/>
                    </a:prstGeom>
                  </pic:spPr>
                </pic:pic>
              </a:graphicData>
            </a:graphic>
          </wp:inline>
        </w:drawing>
      </w:r>
      <w:r>
        <w:rPr>
          <w:rFonts w:hint="eastAsia" w:eastAsia="仿宋_GB2312"/>
          <w:sz w:val="32"/>
          <w:szCs w:val="32"/>
          <w:lang w:eastAsia="zh-CN"/>
        </w:rPr>
        <w:drawing>
          <wp:inline distT="0" distB="0" distL="114300" distR="114300">
            <wp:extent cx="12484735" cy="8834120"/>
            <wp:effectExtent l="0" t="0" r="12065" b="5080"/>
            <wp:docPr id="2" name="图片 2" descr="D:/曾于珈/盐边/Z镇村/2村片/6温泉那片村/4成果汇总/第2轮202609/图纸/08公共服务设施规划图.jpg08公共服务设施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曾于珈/盐边/Z镇村/2村片/6温泉那片村/4成果汇总/第2轮202609/图纸/08公共服务设施规划图.jpg08公共服务设施规划图"/>
                    <pic:cNvPicPr>
                      <a:picLocks noChangeAspect="1"/>
                    </pic:cNvPicPr>
                  </pic:nvPicPr>
                  <pic:blipFill>
                    <a:blip r:embed="rId9"/>
                    <a:srcRect l="40" r="40"/>
                    <a:stretch>
                      <a:fillRect/>
                    </a:stretch>
                  </pic:blipFill>
                  <pic:spPr>
                    <a:xfrm>
                      <a:off x="0" y="0"/>
                      <a:ext cx="12484735" cy="8834120"/>
                    </a:xfrm>
                    <a:prstGeom prst="rect">
                      <a:avLst/>
                    </a:prstGeom>
                  </pic:spPr>
                </pic:pic>
              </a:graphicData>
            </a:graphic>
          </wp:inline>
        </w:drawing>
      </w:r>
    </w:p>
    <w:p w14:paraId="7FBB7EAB">
      <w:pPr>
        <w:jc w:val="center"/>
        <w:rPr>
          <w:rFonts w:hint="default" w:eastAsia="宋体"/>
          <w:lang w:val="en-US" w:eastAsia="zh-CN"/>
        </w:rPr>
      </w:pPr>
      <w:r>
        <w:rPr>
          <w:rFonts w:hint="eastAsia" w:eastAsia="仿宋_GB2312"/>
          <w:sz w:val="32"/>
          <w:szCs w:val="32"/>
          <w:lang w:eastAsia="zh-CN"/>
        </w:rPr>
        <w:drawing>
          <wp:inline distT="0" distB="0" distL="114300" distR="114300">
            <wp:extent cx="12484735" cy="8834120"/>
            <wp:effectExtent l="0" t="0" r="12065" b="5080"/>
            <wp:docPr id="1" name="图片 1" descr="D:/曾于珈/盐边/Z镇村/2村片/6温泉那片村/4成果汇总/第2轮202609/图纸/15土地利用控制规划图.jpg15土地利用控制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曾于珈/盐边/Z镇村/2村片/6温泉那片村/4成果汇总/第2轮202609/图纸/15土地利用控制规划图.jpg15土地利用控制规划图"/>
                    <pic:cNvPicPr>
                      <a:picLocks noChangeAspect="1"/>
                    </pic:cNvPicPr>
                  </pic:nvPicPr>
                  <pic:blipFill>
                    <a:blip r:embed="rId10"/>
                    <a:srcRect l="40" r="40"/>
                    <a:stretch>
                      <a:fillRect/>
                    </a:stretch>
                  </pic:blipFill>
                  <pic:spPr>
                    <a:xfrm>
                      <a:off x="0" y="0"/>
                      <a:ext cx="12484735" cy="8834120"/>
                    </a:xfrm>
                    <a:prstGeom prst="rect">
                      <a:avLst/>
                    </a:prstGeom>
                  </pic:spPr>
                </pic:pic>
              </a:graphicData>
            </a:graphic>
          </wp:inline>
        </w:drawing>
      </w:r>
    </w:p>
    <w:sectPr>
      <w:pgSz w:w="23811" w:h="16838" w:orient="landscape"/>
      <w:pgMar w:top="1361" w:right="1701" w:bottom="1361"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ISOCT">
    <w:altName w:val="Segoe Print"/>
    <w:panose1 w:val="00000400000000000000"/>
    <w:charset w:val="00"/>
    <w:family w:val="auto"/>
    <w:pitch w:val="default"/>
    <w:sig w:usb0="00000000" w:usb1="00000000" w:usb2="00000000" w:usb3="00000000" w:csb0="0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5D57">
    <w:pPr>
      <w:pStyle w:val="10"/>
      <w:jc w:val="right"/>
      <w:rPr>
        <w:rFonts w:ascii="宋体" w:hAnsi="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5715" b="4445"/>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043C7">
                          <w:pPr>
                            <w:pStyle w:val="10"/>
                            <w:jc w:val="right"/>
                            <w:rPr>
                              <w:sz w:val="15"/>
                              <w:szCs w:val="15"/>
                            </w:rPr>
                          </w:pPr>
                          <w:r>
                            <w:rPr>
                              <w:sz w:val="22"/>
                              <w:szCs w:val="22"/>
                            </w:rPr>
                            <w:t>—</w:t>
                          </w:r>
                          <w:r>
                            <w:rPr>
                              <w:sz w:val="22"/>
                              <w:szCs w:val="22"/>
                            </w:rPr>
                            <w:fldChar w:fldCharType="begin"/>
                          </w:r>
                          <w:r>
                            <w:rPr>
                              <w:sz w:val="22"/>
                              <w:szCs w:val="22"/>
                            </w:rPr>
                            <w:instrText xml:space="preserve">PAGE   \* MERGEFORMAT</w:instrText>
                          </w:r>
                          <w:r>
                            <w:rPr>
                              <w:sz w:val="22"/>
                              <w:szCs w:val="22"/>
                            </w:rPr>
                            <w:fldChar w:fldCharType="separate"/>
                          </w:r>
                          <w:r>
                            <w:rPr>
                              <w:sz w:val="22"/>
                              <w:szCs w:val="22"/>
                              <w:lang w:val="zh-CN"/>
                            </w:rPr>
                            <w:t>8</w:t>
                          </w:r>
                          <w:r>
                            <w:rPr>
                              <w:sz w:val="22"/>
                              <w:szCs w:val="22"/>
                            </w:rPr>
                            <w:fldChar w:fldCharType="end"/>
                          </w:r>
                          <w:r>
                            <w:rPr>
                              <w:sz w:val="22"/>
                              <w:szCs w:val="22"/>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7C4043C7">
                    <w:pPr>
                      <w:pStyle w:val="10"/>
                      <w:jc w:val="right"/>
                      <w:rPr>
                        <w:sz w:val="15"/>
                        <w:szCs w:val="15"/>
                      </w:rPr>
                    </w:pPr>
                    <w:r>
                      <w:rPr>
                        <w:sz w:val="22"/>
                        <w:szCs w:val="22"/>
                      </w:rPr>
                      <w:t>—</w:t>
                    </w:r>
                    <w:r>
                      <w:rPr>
                        <w:sz w:val="22"/>
                        <w:szCs w:val="22"/>
                      </w:rPr>
                      <w:fldChar w:fldCharType="begin"/>
                    </w:r>
                    <w:r>
                      <w:rPr>
                        <w:sz w:val="22"/>
                        <w:szCs w:val="22"/>
                      </w:rPr>
                      <w:instrText xml:space="preserve">PAGE   \* MERGEFORMAT</w:instrText>
                    </w:r>
                    <w:r>
                      <w:rPr>
                        <w:sz w:val="22"/>
                        <w:szCs w:val="22"/>
                      </w:rPr>
                      <w:fldChar w:fldCharType="separate"/>
                    </w:r>
                    <w:r>
                      <w:rPr>
                        <w:sz w:val="22"/>
                        <w:szCs w:val="22"/>
                        <w:lang w:val="zh-CN"/>
                      </w:rPr>
                      <w:t>8</w:t>
                    </w:r>
                    <w:r>
                      <w:rPr>
                        <w:sz w:val="22"/>
                        <w:szCs w:val="22"/>
                      </w:rPr>
                      <w:fldChar w:fldCharType="end"/>
                    </w:r>
                    <w:r>
                      <w:rPr>
                        <w:sz w:val="22"/>
                        <w:szCs w:val="22"/>
                      </w:rPr>
                      <w:t>—</w:t>
                    </w:r>
                  </w:p>
                </w:txbxContent>
              </v:textbox>
            </v:shape>
          </w:pict>
        </mc:Fallback>
      </mc:AlternateContent>
    </w:r>
  </w:p>
  <w:p w14:paraId="3988BC49">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FCC3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1AC38C"/>
    <w:multiLevelType w:val="singleLevel"/>
    <w:tmpl w:val="8D1AC38C"/>
    <w:lvl w:ilvl="0" w:tentative="0">
      <w:start w:val="1"/>
      <w:numFmt w:val="decimal"/>
      <w:suff w:val="nothing"/>
      <w:lvlText w:val="%1．"/>
      <w:lvlJc w:val="left"/>
      <w:pPr>
        <w:ind w:left="0" w:firstLine="400"/>
      </w:pPr>
      <w:rPr>
        <w:rFonts w:hint="default"/>
      </w:rPr>
    </w:lvl>
  </w:abstractNum>
  <w:abstractNum w:abstractNumId="1">
    <w:nsid w:val="93B11B60"/>
    <w:multiLevelType w:val="singleLevel"/>
    <w:tmpl w:val="93B11B60"/>
    <w:lvl w:ilvl="0" w:tentative="0">
      <w:start w:val="1"/>
      <w:numFmt w:val="decimal"/>
      <w:suff w:val="nothing"/>
      <w:lvlText w:val="%1．"/>
      <w:lvlJc w:val="left"/>
      <w:pPr>
        <w:ind w:left="0" w:firstLine="400"/>
      </w:pPr>
      <w:rPr>
        <w:rFonts w:hint="default"/>
      </w:rPr>
    </w:lvl>
  </w:abstractNum>
  <w:abstractNum w:abstractNumId="2">
    <w:nsid w:val="A55C795D"/>
    <w:multiLevelType w:val="singleLevel"/>
    <w:tmpl w:val="A55C795D"/>
    <w:lvl w:ilvl="0" w:tentative="0">
      <w:start w:val="1"/>
      <w:numFmt w:val="chineseCounting"/>
      <w:suff w:val="nothing"/>
      <w:lvlText w:val="（%1）"/>
      <w:lvlJc w:val="left"/>
      <w:pPr>
        <w:ind w:left="0" w:firstLine="420"/>
      </w:pPr>
      <w:rPr>
        <w:rFonts w:hint="eastAsia"/>
      </w:rPr>
    </w:lvl>
  </w:abstractNum>
  <w:abstractNum w:abstractNumId="3">
    <w:nsid w:val="BF52A201"/>
    <w:multiLevelType w:val="singleLevel"/>
    <w:tmpl w:val="BF52A201"/>
    <w:lvl w:ilvl="0" w:tentative="0">
      <w:start w:val="1"/>
      <w:numFmt w:val="chineseCounting"/>
      <w:suff w:val="nothing"/>
      <w:lvlText w:val="（%1）"/>
      <w:lvlJc w:val="left"/>
      <w:pPr>
        <w:ind w:left="0" w:firstLine="420"/>
      </w:pPr>
      <w:rPr>
        <w:rFonts w:hint="eastAsia"/>
      </w:rPr>
    </w:lvl>
  </w:abstractNum>
  <w:abstractNum w:abstractNumId="4">
    <w:nsid w:val="E2A2F718"/>
    <w:multiLevelType w:val="singleLevel"/>
    <w:tmpl w:val="E2A2F718"/>
    <w:lvl w:ilvl="0" w:tentative="0">
      <w:start w:val="1"/>
      <w:numFmt w:val="chineseCounting"/>
      <w:suff w:val="nothing"/>
      <w:lvlText w:val="（%1）"/>
      <w:lvlJc w:val="left"/>
      <w:pPr>
        <w:ind w:left="0" w:firstLine="420"/>
      </w:pPr>
      <w:rPr>
        <w:rFonts w:hint="eastAsia"/>
      </w:rPr>
    </w:lvl>
  </w:abstractNum>
  <w:abstractNum w:abstractNumId="5">
    <w:nsid w:val="1B79271C"/>
    <w:multiLevelType w:val="singleLevel"/>
    <w:tmpl w:val="1B79271C"/>
    <w:lvl w:ilvl="0" w:tentative="0">
      <w:start w:val="1"/>
      <w:numFmt w:val="decimal"/>
      <w:suff w:val="nothing"/>
      <w:lvlText w:val="%1．"/>
      <w:lvlJc w:val="left"/>
      <w:pPr>
        <w:ind w:left="0" w:firstLine="400"/>
      </w:pPr>
      <w:rPr>
        <w:rFonts w:hint="default"/>
      </w:rPr>
    </w:lvl>
  </w:abstractNum>
  <w:abstractNum w:abstractNumId="6">
    <w:nsid w:val="78B30651"/>
    <w:multiLevelType w:val="singleLevel"/>
    <w:tmpl w:val="78B30651"/>
    <w:lvl w:ilvl="0" w:tentative="0">
      <w:start w:val="1"/>
      <w:numFmt w:val="decimal"/>
      <w:suff w:val="nothing"/>
      <w:lvlText w:val="%1．"/>
      <w:lvlJc w:val="left"/>
      <w:pPr>
        <w:ind w:left="0" w:firstLine="400"/>
      </w:pPr>
      <w:rPr>
        <w:rFonts w:hint="default"/>
      </w:rPr>
    </w:lvl>
  </w:abstractNum>
  <w:abstractNum w:abstractNumId="7">
    <w:nsid w:val="7AAFE10F"/>
    <w:multiLevelType w:val="singleLevel"/>
    <w:tmpl w:val="7AAFE10F"/>
    <w:lvl w:ilvl="0" w:tentative="0">
      <w:start w:val="1"/>
      <w:numFmt w:val="chineseCounting"/>
      <w:suff w:val="nothing"/>
      <w:lvlText w:val="%1、"/>
      <w:lvlJc w:val="left"/>
      <w:pPr>
        <w:ind w:left="-220"/>
      </w:pPr>
      <w:rPr>
        <w:rFonts w:hint="eastAsia"/>
      </w:rPr>
    </w:lvl>
  </w:abstractNum>
  <w:num w:numId="1">
    <w:abstractNumId w:val="7"/>
  </w:num>
  <w:num w:numId="2">
    <w:abstractNumId w:val="4"/>
  </w:num>
  <w:num w:numId="3">
    <w:abstractNumId w:val="6"/>
  </w:num>
  <w:num w:numId="4">
    <w:abstractNumId w:val="5"/>
  </w:num>
  <w:num w:numId="5">
    <w:abstractNumId w:val="2"/>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5ODUzNGE2YzgwMDNlMWE1MzRiNmY3YTUxMzVmMTIifQ=="/>
  </w:docVars>
  <w:rsids>
    <w:rsidRoot w:val="00172A27"/>
    <w:rsid w:val="00002415"/>
    <w:rsid w:val="000072AD"/>
    <w:rsid w:val="00020327"/>
    <w:rsid w:val="000222F3"/>
    <w:rsid w:val="000400AA"/>
    <w:rsid w:val="00072AD6"/>
    <w:rsid w:val="00095519"/>
    <w:rsid w:val="000C6885"/>
    <w:rsid w:val="00103F98"/>
    <w:rsid w:val="0014671D"/>
    <w:rsid w:val="00172A27"/>
    <w:rsid w:val="00196063"/>
    <w:rsid w:val="001B4FAE"/>
    <w:rsid w:val="001B6962"/>
    <w:rsid w:val="001C3F19"/>
    <w:rsid w:val="00201495"/>
    <w:rsid w:val="00221C65"/>
    <w:rsid w:val="00263C87"/>
    <w:rsid w:val="00270433"/>
    <w:rsid w:val="0027768F"/>
    <w:rsid w:val="00287CB1"/>
    <w:rsid w:val="00292372"/>
    <w:rsid w:val="002D6BDE"/>
    <w:rsid w:val="002F16BE"/>
    <w:rsid w:val="002F334D"/>
    <w:rsid w:val="00305CCF"/>
    <w:rsid w:val="00363D28"/>
    <w:rsid w:val="003A3275"/>
    <w:rsid w:val="003E0A41"/>
    <w:rsid w:val="003E4A92"/>
    <w:rsid w:val="00404B0A"/>
    <w:rsid w:val="00414555"/>
    <w:rsid w:val="0045255E"/>
    <w:rsid w:val="00464F53"/>
    <w:rsid w:val="004760DE"/>
    <w:rsid w:val="004A1ABF"/>
    <w:rsid w:val="004A79C7"/>
    <w:rsid w:val="004C0942"/>
    <w:rsid w:val="004C28DC"/>
    <w:rsid w:val="004D072D"/>
    <w:rsid w:val="005272A3"/>
    <w:rsid w:val="0052760B"/>
    <w:rsid w:val="005342DE"/>
    <w:rsid w:val="00551E4F"/>
    <w:rsid w:val="005F2FFB"/>
    <w:rsid w:val="00621E6F"/>
    <w:rsid w:val="006324C3"/>
    <w:rsid w:val="00634123"/>
    <w:rsid w:val="00637F7A"/>
    <w:rsid w:val="00640F19"/>
    <w:rsid w:val="00646003"/>
    <w:rsid w:val="00685A6F"/>
    <w:rsid w:val="00697215"/>
    <w:rsid w:val="006D0010"/>
    <w:rsid w:val="006D308B"/>
    <w:rsid w:val="006F46D0"/>
    <w:rsid w:val="006F5B58"/>
    <w:rsid w:val="00706179"/>
    <w:rsid w:val="00712CD6"/>
    <w:rsid w:val="00726F80"/>
    <w:rsid w:val="00751F47"/>
    <w:rsid w:val="00751FC0"/>
    <w:rsid w:val="00793716"/>
    <w:rsid w:val="007C58E4"/>
    <w:rsid w:val="007D5476"/>
    <w:rsid w:val="007D7BDC"/>
    <w:rsid w:val="0080179C"/>
    <w:rsid w:val="0081782E"/>
    <w:rsid w:val="00846FE8"/>
    <w:rsid w:val="008B42A7"/>
    <w:rsid w:val="008E72B8"/>
    <w:rsid w:val="00912FB4"/>
    <w:rsid w:val="00917658"/>
    <w:rsid w:val="00922ACF"/>
    <w:rsid w:val="0094781F"/>
    <w:rsid w:val="00964425"/>
    <w:rsid w:val="00966FC7"/>
    <w:rsid w:val="00995B5D"/>
    <w:rsid w:val="00A01BC4"/>
    <w:rsid w:val="00A01DC4"/>
    <w:rsid w:val="00A25FF7"/>
    <w:rsid w:val="00A272CF"/>
    <w:rsid w:val="00A53421"/>
    <w:rsid w:val="00A534C3"/>
    <w:rsid w:val="00A56A12"/>
    <w:rsid w:val="00A7193B"/>
    <w:rsid w:val="00A725AC"/>
    <w:rsid w:val="00A83E5B"/>
    <w:rsid w:val="00A92C4A"/>
    <w:rsid w:val="00A949C4"/>
    <w:rsid w:val="00A954C3"/>
    <w:rsid w:val="00AC264E"/>
    <w:rsid w:val="00AE0051"/>
    <w:rsid w:val="00AE5474"/>
    <w:rsid w:val="00B25FE8"/>
    <w:rsid w:val="00B420E0"/>
    <w:rsid w:val="00B5546D"/>
    <w:rsid w:val="00B778BA"/>
    <w:rsid w:val="00B8624C"/>
    <w:rsid w:val="00BB3E2F"/>
    <w:rsid w:val="00BB73BB"/>
    <w:rsid w:val="00BC5B5B"/>
    <w:rsid w:val="00BD191B"/>
    <w:rsid w:val="00BF0DFE"/>
    <w:rsid w:val="00BF4FBC"/>
    <w:rsid w:val="00BF5066"/>
    <w:rsid w:val="00C12E1A"/>
    <w:rsid w:val="00C31F9F"/>
    <w:rsid w:val="00C45AF8"/>
    <w:rsid w:val="00CC35DF"/>
    <w:rsid w:val="00CD629E"/>
    <w:rsid w:val="00CF642C"/>
    <w:rsid w:val="00D21DEA"/>
    <w:rsid w:val="00D47EC5"/>
    <w:rsid w:val="00D6449D"/>
    <w:rsid w:val="00D708A0"/>
    <w:rsid w:val="00D7616A"/>
    <w:rsid w:val="00DA42B4"/>
    <w:rsid w:val="00DD018D"/>
    <w:rsid w:val="00DD7E70"/>
    <w:rsid w:val="00DE3FFC"/>
    <w:rsid w:val="00E206D8"/>
    <w:rsid w:val="00E3129A"/>
    <w:rsid w:val="00E52BBE"/>
    <w:rsid w:val="00E678F0"/>
    <w:rsid w:val="00E72794"/>
    <w:rsid w:val="00E820D3"/>
    <w:rsid w:val="00EA728A"/>
    <w:rsid w:val="00F1066E"/>
    <w:rsid w:val="00F229A0"/>
    <w:rsid w:val="00F274AE"/>
    <w:rsid w:val="00F73054"/>
    <w:rsid w:val="00FB699A"/>
    <w:rsid w:val="00FD756A"/>
    <w:rsid w:val="00FE7622"/>
    <w:rsid w:val="00FF5718"/>
    <w:rsid w:val="05DC2518"/>
    <w:rsid w:val="064A05EA"/>
    <w:rsid w:val="08134020"/>
    <w:rsid w:val="093B582E"/>
    <w:rsid w:val="0A19741A"/>
    <w:rsid w:val="0ADE2457"/>
    <w:rsid w:val="0C232EC3"/>
    <w:rsid w:val="0E93340A"/>
    <w:rsid w:val="12BB6A1B"/>
    <w:rsid w:val="14242793"/>
    <w:rsid w:val="150F2B80"/>
    <w:rsid w:val="159864EB"/>
    <w:rsid w:val="16EF2001"/>
    <w:rsid w:val="187C2FD1"/>
    <w:rsid w:val="18831CFF"/>
    <w:rsid w:val="18B73B2E"/>
    <w:rsid w:val="1A9C5E89"/>
    <w:rsid w:val="1C8D6746"/>
    <w:rsid w:val="1D281389"/>
    <w:rsid w:val="1DE76778"/>
    <w:rsid w:val="24016EB7"/>
    <w:rsid w:val="259C2614"/>
    <w:rsid w:val="25FF1B34"/>
    <w:rsid w:val="26B648E9"/>
    <w:rsid w:val="27657B11"/>
    <w:rsid w:val="28693CD9"/>
    <w:rsid w:val="28795BCE"/>
    <w:rsid w:val="28B21833"/>
    <w:rsid w:val="2AC67422"/>
    <w:rsid w:val="2B3E3722"/>
    <w:rsid w:val="2C52347D"/>
    <w:rsid w:val="310C7F1C"/>
    <w:rsid w:val="33B823B2"/>
    <w:rsid w:val="35A3750F"/>
    <w:rsid w:val="3F6E5909"/>
    <w:rsid w:val="41713B1F"/>
    <w:rsid w:val="429709CE"/>
    <w:rsid w:val="430B01EF"/>
    <w:rsid w:val="43F064ED"/>
    <w:rsid w:val="452B6EA7"/>
    <w:rsid w:val="4A2837F2"/>
    <w:rsid w:val="4AD37637"/>
    <w:rsid w:val="4BE50A4E"/>
    <w:rsid w:val="4D7D4F9F"/>
    <w:rsid w:val="54E21637"/>
    <w:rsid w:val="56117E7A"/>
    <w:rsid w:val="57AD7E64"/>
    <w:rsid w:val="58DC3983"/>
    <w:rsid w:val="59FD2BDE"/>
    <w:rsid w:val="5AB7285C"/>
    <w:rsid w:val="5B646A6B"/>
    <w:rsid w:val="5CD43155"/>
    <w:rsid w:val="5D0B433F"/>
    <w:rsid w:val="5F0F4887"/>
    <w:rsid w:val="5F781A34"/>
    <w:rsid w:val="601C02F3"/>
    <w:rsid w:val="641C136D"/>
    <w:rsid w:val="655C606A"/>
    <w:rsid w:val="67A17C35"/>
    <w:rsid w:val="68354DAA"/>
    <w:rsid w:val="695C089D"/>
    <w:rsid w:val="6D55221F"/>
    <w:rsid w:val="6DF21E4A"/>
    <w:rsid w:val="73754066"/>
    <w:rsid w:val="78735C05"/>
    <w:rsid w:val="7A195361"/>
    <w:rsid w:val="7EC746F5"/>
    <w:rsid w:val="7EDC441D"/>
    <w:rsid w:val="7FA17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spacing w:before="100" w:beforeAutospacing="1" w:after="100" w:afterAutospacing="1"/>
      <w:jc w:val="left"/>
      <w:outlineLvl w:val="0"/>
    </w:pPr>
    <w:rPr>
      <w:rFonts w:hint="eastAsia" w:ascii="宋体" w:hAnsi="宋体"/>
      <w:b/>
      <w:bCs/>
      <w:kern w:val="44"/>
      <w:sz w:val="48"/>
      <w:szCs w:val="4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99"/>
    <w:rPr>
      <w:sz w:val="28"/>
      <w:szCs w:val="28"/>
    </w:rPr>
  </w:style>
  <w:style w:type="paragraph" w:styleId="7">
    <w:name w:val="Normal Indent"/>
    <w:basedOn w:val="1"/>
    <w:autoRedefine/>
    <w:qFormat/>
    <w:uiPriority w:val="0"/>
    <w:pPr>
      <w:spacing w:line="360" w:lineRule="auto"/>
      <w:ind w:firstLine="420"/>
    </w:pPr>
    <w:rPr>
      <w:sz w:val="24"/>
      <w:szCs w:val="21"/>
    </w:rPr>
  </w:style>
  <w:style w:type="paragraph" w:styleId="8">
    <w:name w:val="Plain Text"/>
    <w:basedOn w:val="1"/>
    <w:autoRedefine/>
    <w:qFormat/>
    <w:uiPriority w:val="0"/>
    <w:rPr>
      <w:rFonts w:ascii="宋体" w:hAnsi="ISOCT"/>
    </w:rPr>
  </w:style>
  <w:style w:type="paragraph" w:styleId="9">
    <w:name w:val="Balloon Text"/>
    <w:basedOn w:val="1"/>
    <w:autoRedefine/>
    <w:qFormat/>
    <w:uiPriority w:val="0"/>
    <w:rPr>
      <w:sz w:val="18"/>
      <w:szCs w:val="18"/>
    </w:rPr>
  </w:style>
  <w:style w:type="paragraph" w:styleId="10">
    <w:name w:val="footer"/>
    <w:basedOn w:val="1"/>
    <w:link w:val="2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autoRedefine/>
    <w:qFormat/>
    <w:uiPriority w:val="0"/>
    <w:pPr>
      <w:spacing w:after="120"/>
      <w:ind w:left="420" w:leftChars="200"/>
    </w:pPr>
    <w:rPr>
      <w:sz w:val="16"/>
      <w:szCs w:val="16"/>
    </w:rPr>
  </w:style>
  <w:style w:type="paragraph" w:styleId="13">
    <w:name w:val="table of figures"/>
    <w:basedOn w:val="1"/>
    <w:next w:val="1"/>
    <w:qFormat/>
    <w:uiPriority w:val="0"/>
    <w:pPr>
      <w:ind w:left="200" w:leftChars="200" w:hanging="200" w:hangingChars="200"/>
    </w:pPr>
  </w:style>
  <w:style w:type="paragraph" w:styleId="1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table" w:styleId="16">
    <w:name w:val="Table Grid"/>
    <w:basedOn w:val="15"/>
    <w:autoRedefine/>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autoRedefine/>
    <w:qFormat/>
    <w:uiPriority w:val="0"/>
  </w:style>
  <w:style w:type="character" w:styleId="19">
    <w:name w:val="Emphasis"/>
    <w:autoRedefine/>
    <w:qFormat/>
    <w:uiPriority w:val="20"/>
    <w:rPr>
      <w:i/>
    </w:rPr>
  </w:style>
  <w:style w:type="character" w:styleId="20">
    <w:name w:val="Hyperlink"/>
    <w:autoRedefine/>
    <w:unhideWhenUsed/>
    <w:qFormat/>
    <w:uiPriority w:val="99"/>
    <w:rPr>
      <w:color w:val="0000FF"/>
      <w:u w:val="single"/>
    </w:rPr>
  </w:style>
  <w:style w:type="character" w:customStyle="1" w:styleId="21">
    <w:name w:val="页脚 字符"/>
    <w:link w:val="10"/>
    <w:autoRedefine/>
    <w:qFormat/>
    <w:uiPriority w:val="99"/>
    <w:rPr>
      <w:kern w:val="2"/>
      <w:sz w:val="18"/>
      <w:szCs w:val="18"/>
    </w:rPr>
  </w:style>
  <w:style w:type="paragraph" w:styleId="22">
    <w:name w:val="List Paragraph"/>
    <w:basedOn w:val="1"/>
    <w:autoRedefine/>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Pages>
  <Words>3502</Words>
  <Characters>3634</Characters>
  <Lines>29</Lines>
  <Paragraphs>8</Paragraphs>
  <TotalTime>14</TotalTime>
  <ScaleCrop>false</ScaleCrop>
  <LinksUpToDate>false</LinksUpToDate>
  <CharactersWithSpaces>3634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2022-08-23T02:25:00Z</dcterms:created>
  <dc:creator>微软用户</dc:creator>
  <cp:lastModifiedBy>Administrator</cp:lastModifiedBy>
  <cp:lastPrinted>2018-01-02T09:29:00Z</cp:lastPrinted>
  <dcterms:modified xsi:type="dcterms:W3CDTF">2026-09-16T11:02:00Z</dcterms:modified>
  <dc:title>四川省攀枝花市丽攀高速公路瓜子坪和高粱坪出入口控制性详细规划及城市设计简介</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EE1D3D59F1F64E41B468CFDE900847FC_13</vt:lpwstr>
  </property>
  <property fmtid="{D5CDD505-2E9C-101B-9397-08002B2CF9AE}" pid="4" name="commondata">
    <vt:lpwstr>eyJoZGlkIjoiOTE5YTBkYWQ0NDFhYmFhZGFkYTIzYWVmMGY3ZTIxZWIifQ==</vt:lpwstr>
  </property>
  <property fmtid="{D5CDD505-2E9C-101B-9397-08002B2CF9AE}" pid="5" name="KSOTemplateDocerSaveRecord">
    <vt:lpwstr>eyJoZGlkIjoiMzE5MDVkNzY3YzYyMzcyMGU0ZDc0YTU0YmU3YTc1MzgiLCJ1c2VySWQiOiI5MTA5Nzg1NTcifQ==</vt:lpwstr>
  </property>
</Properties>
</file>