
<file path=[Content_Types].xml><?xml version="1.0" encoding="utf-8"?>
<Types xmlns="http://schemas.openxmlformats.org/package/2006/content-types">
  <Default Extension="xml" ContentType="application/xml"/>
  <Default Extension="xlsx" ContentType="application/vnd.openxmlformats-officedocument.spreadsheetml.sheet"/>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colors7.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charts/style7.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4C54773">
      <w:pPr>
        <w:pStyle w:val="2"/>
        <w:spacing w:before="93"/>
        <w:rPr>
          <w:rFonts w:ascii="Times New Roman" w:eastAsia="方正小标宋简体"/>
          <w:kern w:val="2"/>
          <w:sz w:val="72"/>
          <w:szCs w:val="72"/>
        </w:rPr>
      </w:pPr>
      <w:bookmarkStart w:id="0" w:name="_Toc15378441"/>
      <w:bookmarkStart w:id="1" w:name="_Toc15377425"/>
      <w:bookmarkStart w:id="2" w:name="_Toc15396597"/>
      <w:bookmarkStart w:id="3" w:name="_Toc15306267"/>
      <w:bookmarkStart w:id="4" w:name="_Toc15396475"/>
      <w:bookmarkStart w:id="5" w:name="_Toc15377193"/>
    </w:p>
    <w:p w14:paraId="3E511952">
      <w:pPr>
        <w:pStyle w:val="2"/>
        <w:spacing w:before="93"/>
        <w:rPr>
          <w:rFonts w:ascii="Times New Roman" w:eastAsia="方正小标宋简体"/>
          <w:kern w:val="2"/>
          <w:sz w:val="72"/>
          <w:szCs w:val="72"/>
        </w:rPr>
      </w:pPr>
    </w:p>
    <w:p w14:paraId="24EE251B">
      <w:pPr>
        <w:pStyle w:val="2"/>
        <w:spacing w:before="93"/>
        <w:rPr>
          <w:rFonts w:ascii="Times New Roman" w:eastAsia="方正小标宋简体"/>
          <w:kern w:val="2"/>
          <w:sz w:val="72"/>
          <w:szCs w:val="72"/>
        </w:rPr>
      </w:pPr>
    </w:p>
    <w:p w14:paraId="2C531547">
      <w:pPr>
        <w:pStyle w:val="2"/>
        <w:spacing w:before="93"/>
        <w:jc w:val="center"/>
        <w:rPr>
          <w:rFonts w:ascii="Times New Roman" w:eastAsia="方正小标宋简体"/>
          <w:kern w:val="2"/>
          <w:sz w:val="72"/>
          <w:szCs w:val="72"/>
        </w:rPr>
      </w:pPr>
      <w:r>
        <w:rPr>
          <w:rFonts w:hint="eastAsia" w:ascii="Times New Roman" w:eastAsia="方正小标宋简体"/>
          <w:kern w:val="2"/>
          <w:sz w:val="72"/>
          <w:szCs w:val="72"/>
        </w:rPr>
        <w:t>2024年度</w:t>
      </w:r>
    </w:p>
    <w:p w14:paraId="497FDCA9">
      <w:pPr>
        <w:pStyle w:val="2"/>
        <w:spacing w:before="93"/>
        <w:jc w:val="center"/>
        <w:rPr>
          <w:rFonts w:hint="eastAsia" w:ascii="Times New Roman" w:eastAsia="方正小标宋简体"/>
          <w:kern w:val="2"/>
          <w:sz w:val="72"/>
          <w:szCs w:val="72"/>
        </w:rPr>
      </w:pPr>
      <w:r>
        <w:rPr>
          <w:rFonts w:hint="eastAsia" w:ascii="Times New Roman" w:eastAsia="方正小标宋简体"/>
          <w:kern w:val="2"/>
          <w:sz w:val="72"/>
          <w:szCs w:val="72"/>
        </w:rPr>
        <w:t>盐边县</w:t>
      </w:r>
      <w:r>
        <w:rPr>
          <w:rFonts w:hint="eastAsia" w:ascii="Times New Roman" w:eastAsia="方正小标宋简体"/>
          <w:kern w:val="2"/>
          <w:sz w:val="72"/>
          <w:szCs w:val="72"/>
          <w:lang w:eastAsia="zh-CN"/>
        </w:rPr>
        <w:t>卫生健康</w:t>
      </w:r>
      <w:r>
        <w:rPr>
          <w:rFonts w:hint="eastAsia" w:ascii="Times New Roman" w:eastAsia="方正小标宋简体"/>
          <w:kern w:val="2"/>
          <w:sz w:val="72"/>
          <w:szCs w:val="72"/>
        </w:rPr>
        <w:t>局</w:t>
      </w:r>
    </w:p>
    <w:p w14:paraId="1B2F787A">
      <w:pPr>
        <w:pStyle w:val="2"/>
        <w:spacing w:before="93"/>
        <w:jc w:val="center"/>
        <w:rPr>
          <w:rFonts w:ascii="Times New Roman" w:eastAsia="方正小标宋简体"/>
          <w:kern w:val="2"/>
          <w:sz w:val="72"/>
          <w:szCs w:val="72"/>
        </w:rPr>
      </w:pPr>
      <w:r>
        <w:rPr>
          <w:rFonts w:hint="eastAsia" w:ascii="Times New Roman" w:eastAsia="方正小标宋简体"/>
          <w:kern w:val="2"/>
          <w:sz w:val="72"/>
          <w:szCs w:val="72"/>
        </w:rPr>
        <w:t>部门决算公开编制说明</w:t>
      </w:r>
    </w:p>
    <w:p w14:paraId="46C9920B">
      <w:pPr>
        <w:spacing w:line="600" w:lineRule="exact"/>
        <w:jc w:val="center"/>
        <w:outlineLvl w:val="9"/>
        <w:rPr>
          <w:rFonts w:eastAsia="方正小标宋简体"/>
          <w:sz w:val="72"/>
          <w:szCs w:val="72"/>
        </w:rPr>
      </w:pPr>
    </w:p>
    <w:p w14:paraId="065CB9EA">
      <w:pPr>
        <w:pStyle w:val="20"/>
        <w:outlineLvl w:val="9"/>
        <w:rPr>
          <w:rFonts w:ascii="Times New Roman" w:hAnsi="Times New Roman"/>
        </w:rPr>
        <w:sectPr>
          <w:headerReference r:id="rId3" w:type="default"/>
          <w:footerReference r:id="rId4" w:type="default"/>
          <w:pgSz w:w="11906" w:h="16838"/>
          <w:pgMar w:top="1440" w:right="1800" w:bottom="1440" w:left="1800" w:header="851" w:footer="992" w:gutter="0"/>
          <w:pgNumType w:fmt="numberInDash" w:start="1"/>
          <w:cols w:space="425" w:num="1"/>
          <w:titlePg/>
          <w:docGrid w:type="lines" w:linePitch="312" w:charSpace="0"/>
        </w:sectPr>
      </w:pPr>
    </w:p>
    <w:p w14:paraId="47F1C8E2"/>
    <w:bookmarkEnd w:id="0"/>
    <w:bookmarkEnd w:id="1"/>
    <w:bookmarkEnd w:id="2"/>
    <w:bookmarkEnd w:id="3"/>
    <w:bookmarkEnd w:id="4"/>
    <w:bookmarkEnd w:id="5"/>
    <w:p w14:paraId="22041983">
      <w:pPr>
        <w:widowControl/>
        <w:jc w:val="center"/>
        <w:rPr>
          <w:rFonts w:eastAsia="黑体"/>
          <w:sz w:val="48"/>
          <w:szCs w:val="48"/>
        </w:rPr>
      </w:pPr>
      <w:r>
        <w:rPr>
          <w:rFonts w:hint="eastAsia" w:eastAsia="黑体"/>
          <w:sz w:val="48"/>
          <w:szCs w:val="48"/>
        </w:rPr>
        <w:t>目录</w:t>
      </w:r>
    </w:p>
    <w:p w14:paraId="0CC7255E">
      <w:pPr>
        <w:widowControl/>
        <w:jc w:val="center"/>
        <w:rPr>
          <w:rFonts w:eastAsia="黑体" w:cstheme="minorBidi"/>
          <w:sz w:val="28"/>
          <w:szCs w:val="28"/>
        </w:rPr>
      </w:pPr>
    </w:p>
    <w:p w14:paraId="7E8E98E5">
      <w:pPr>
        <w:pStyle w:val="12"/>
        <w:rPr>
          <w:rFonts w:ascii="Times New Roman" w:hAnsi="Times New Roman" w:eastAsia="仿宋_GB2312" w:cs="仿宋_GB2312"/>
          <w:sz w:val="32"/>
          <w:szCs w:val="32"/>
        </w:rPr>
      </w:pPr>
      <w:r>
        <w:rPr>
          <w:rFonts w:hint="eastAsia" w:ascii="Times New Roman" w:hAnsi="Times New Roman" w:eastAsia="仿宋_GB2312" w:cs="仿宋_GB2312"/>
          <w:sz w:val="32"/>
          <w:szCs w:val="32"/>
        </w:rPr>
        <w:t>公开时间：2025年</w:t>
      </w:r>
      <w:r>
        <w:rPr>
          <w:rFonts w:hint="eastAsia" w:ascii="Times New Roman" w:hAnsi="Times New Roman" w:eastAsia="仿宋_GB2312" w:cs="仿宋_GB2312"/>
          <w:sz w:val="32"/>
          <w:szCs w:val="32"/>
          <w:lang w:val="en-US" w:eastAsia="zh-CN"/>
        </w:rPr>
        <w:t>10</w:t>
      </w:r>
      <w:r>
        <w:rPr>
          <w:rFonts w:hint="eastAsia" w:ascii="Times New Roman" w:hAnsi="Times New Roman" w:eastAsia="仿宋_GB2312" w:cs="仿宋_GB2312"/>
          <w:sz w:val="32"/>
          <w:szCs w:val="32"/>
        </w:rPr>
        <w:t>月</w:t>
      </w:r>
      <w:r>
        <w:rPr>
          <w:rFonts w:hint="eastAsia" w:ascii="Times New Roman" w:hAnsi="Times New Roman" w:eastAsia="仿宋_GB2312" w:cs="仿宋_GB2312"/>
          <w:sz w:val="32"/>
          <w:szCs w:val="32"/>
          <w:lang w:val="en-US" w:eastAsia="zh-CN"/>
        </w:rPr>
        <w:t>28</w:t>
      </w:r>
      <w:r>
        <w:rPr>
          <w:rFonts w:hint="eastAsia" w:ascii="Times New Roman" w:hAnsi="Times New Roman" w:eastAsia="仿宋_GB2312" w:cs="仿宋_GB2312"/>
          <w:sz w:val="32"/>
          <w:szCs w:val="32"/>
        </w:rPr>
        <w:t>日</w:t>
      </w:r>
    </w:p>
    <w:p w14:paraId="3CEE0B46"/>
    <w:sdt>
      <w:sdtPr>
        <w:rPr>
          <w:rFonts w:ascii="宋体" w:hAnsi="宋体" w:eastAsia="宋体" w:cs="Times New Roman"/>
          <w:kern w:val="2"/>
          <w:sz w:val="21"/>
          <w:szCs w:val="24"/>
          <w:lang w:val="en-US" w:eastAsia="zh-CN" w:bidi="ar-SA"/>
        </w:rPr>
        <w:id w:val="666627462"/>
        <w15:color w:val="DBDBDB"/>
        <w:docPartObj>
          <w:docPartGallery w:val="Table of Contents"/>
          <w:docPartUnique/>
        </w:docPartObj>
      </w:sdtPr>
      <w:sdtEndPr>
        <w:rPr>
          <w:rFonts w:ascii="宋体" w:hAnsi="宋体" w:eastAsia="宋体" w:cs="Times New Roman"/>
          <w:kern w:val="2"/>
          <w:sz w:val="21"/>
          <w:szCs w:val="24"/>
          <w:lang w:val="en-US" w:eastAsia="zh-CN" w:bidi="ar-SA"/>
        </w:rPr>
      </w:sdtEndPr>
      <w:sdtContent>
        <w:p w14:paraId="4BDCC1F7">
          <w:pPr>
            <w:spacing w:before="0" w:beforeLines="0" w:after="0" w:afterLines="0" w:line="240" w:lineRule="auto"/>
            <w:ind w:left="0" w:leftChars="0" w:right="0" w:rightChars="0" w:firstLine="0" w:firstLineChars="0"/>
            <w:jc w:val="center"/>
          </w:pPr>
        </w:p>
        <w:p w14:paraId="4F4EA70E">
          <w:pPr>
            <w:pStyle w:val="12"/>
            <w:tabs>
              <w:tab w:val="right" w:leader="dot" w:pos="8306"/>
              <w:tab w:val="clear" w:pos="8296"/>
            </w:tabs>
            <w:rPr>
              <w:rFonts w:hint="eastAsia" w:ascii="方正黑体_GBK" w:hAnsi="方正黑体_GBK" w:eastAsia="方正黑体_GBK" w:cs="方正黑体_GBK"/>
              <w:b w:val="0"/>
              <w:bCs w:val="0"/>
              <w:sz w:val="32"/>
              <w:szCs w:val="32"/>
            </w:rPr>
          </w:pPr>
          <w:r>
            <w:rPr>
              <w:b/>
              <w:sz w:val="32"/>
              <w:szCs w:val="32"/>
            </w:rPr>
            <w:fldChar w:fldCharType="begin"/>
          </w:r>
          <w:r>
            <w:rPr>
              <w:b/>
              <w:sz w:val="32"/>
              <w:szCs w:val="32"/>
            </w:rPr>
            <w:instrText xml:space="preserve">TOC \o "1-3" \h \u </w:instrText>
          </w:r>
          <w:r>
            <w:rPr>
              <w:b/>
              <w:sz w:val="32"/>
              <w:szCs w:val="32"/>
            </w:rPr>
            <w:fldChar w:fldCharType="separate"/>
          </w:r>
          <w:r>
            <w:rPr>
              <w:rFonts w:hint="eastAsia" w:ascii="方正黑体_GBK" w:hAnsi="方正黑体_GBK" w:eastAsia="方正黑体_GBK" w:cs="方正黑体_GBK"/>
              <w:b w:val="0"/>
              <w:bCs w:val="0"/>
              <w:sz w:val="32"/>
              <w:szCs w:val="32"/>
            </w:rPr>
            <w:fldChar w:fldCharType="begin"/>
          </w:r>
          <w:r>
            <w:rPr>
              <w:rFonts w:hint="eastAsia" w:ascii="方正黑体_GBK" w:hAnsi="方正黑体_GBK" w:eastAsia="方正黑体_GBK" w:cs="方正黑体_GBK"/>
              <w:b w:val="0"/>
              <w:bCs w:val="0"/>
              <w:sz w:val="32"/>
              <w:szCs w:val="32"/>
            </w:rPr>
            <w:instrText xml:space="preserve"> HYPERLINK \l _Toc1566800982 </w:instrText>
          </w:r>
          <w:r>
            <w:rPr>
              <w:rFonts w:hint="eastAsia" w:ascii="方正黑体_GBK" w:hAnsi="方正黑体_GBK" w:eastAsia="方正黑体_GBK" w:cs="方正黑体_GBK"/>
              <w:b w:val="0"/>
              <w:bCs w:val="0"/>
              <w:sz w:val="32"/>
              <w:szCs w:val="32"/>
            </w:rPr>
            <w:fldChar w:fldCharType="separate"/>
          </w:r>
          <w:r>
            <w:rPr>
              <w:rFonts w:hint="eastAsia" w:ascii="方正黑体_GBK" w:hAnsi="方正黑体_GBK" w:eastAsia="方正黑体_GBK" w:cs="方正黑体_GBK"/>
              <w:b w:val="0"/>
              <w:bCs w:val="0"/>
              <w:sz w:val="32"/>
              <w:szCs w:val="32"/>
            </w:rPr>
            <w:t>第一部分  部门概况</w:t>
          </w:r>
          <w:r>
            <w:rPr>
              <w:rFonts w:hint="eastAsia" w:ascii="方正黑体_GBK" w:hAnsi="方正黑体_GBK" w:eastAsia="方正黑体_GBK" w:cs="方正黑体_GBK"/>
              <w:b w:val="0"/>
              <w:bCs w:val="0"/>
              <w:sz w:val="32"/>
              <w:szCs w:val="32"/>
            </w:rPr>
            <w:tab/>
          </w:r>
          <w:r>
            <w:rPr>
              <w:rFonts w:hint="eastAsia" w:ascii="方正黑体_GBK" w:hAnsi="方正黑体_GBK" w:eastAsia="方正黑体_GBK" w:cs="方正黑体_GBK"/>
              <w:b w:val="0"/>
              <w:bCs w:val="0"/>
              <w:sz w:val="32"/>
              <w:szCs w:val="32"/>
            </w:rPr>
            <w:fldChar w:fldCharType="begin"/>
          </w:r>
          <w:r>
            <w:rPr>
              <w:rFonts w:hint="eastAsia" w:ascii="方正黑体_GBK" w:hAnsi="方正黑体_GBK" w:eastAsia="方正黑体_GBK" w:cs="方正黑体_GBK"/>
              <w:b w:val="0"/>
              <w:bCs w:val="0"/>
              <w:sz w:val="32"/>
              <w:szCs w:val="32"/>
            </w:rPr>
            <w:instrText xml:space="preserve"> PAGEREF _Toc1566800982 \h </w:instrText>
          </w:r>
          <w:r>
            <w:rPr>
              <w:rFonts w:hint="eastAsia" w:ascii="方正黑体_GBK" w:hAnsi="方正黑体_GBK" w:eastAsia="方正黑体_GBK" w:cs="方正黑体_GBK"/>
              <w:b w:val="0"/>
              <w:bCs w:val="0"/>
              <w:sz w:val="32"/>
              <w:szCs w:val="32"/>
            </w:rPr>
            <w:fldChar w:fldCharType="separate"/>
          </w:r>
          <w:r>
            <w:rPr>
              <w:rFonts w:hint="eastAsia" w:ascii="方正黑体_GBK" w:hAnsi="方正黑体_GBK" w:eastAsia="方正黑体_GBK" w:cs="方正黑体_GBK"/>
              <w:b w:val="0"/>
              <w:bCs w:val="0"/>
              <w:sz w:val="32"/>
              <w:szCs w:val="32"/>
            </w:rPr>
            <w:t>1</w:t>
          </w:r>
          <w:r>
            <w:rPr>
              <w:rFonts w:hint="eastAsia" w:ascii="方正黑体_GBK" w:hAnsi="方正黑体_GBK" w:eastAsia="方正黑体_GBK" w:cs="方正黑体_GBK"/>
              <w:b w:val="0"/>
              <w:bCs w:val="0"/>
              <w:sz w:val="32"/>
              <w:szCs w:val="32"/>
            </w:rPr>
            <w:fldChar w:fldCharType="end"/>
          </w:r>
          <w:r>
            <w:rPr>
              <w:rFonts w:hint="eastAsia" w:ascii="方正黑体_GBK" w:hAnsi="方正黑体_GBK" w:eastAsia="方正黑体_GBK" w:cs="方正黑体_GBK"/>
              <w:b w:val="0"/>
              <w:bCs w:val="0"/>
              <w:sz w:val="32"/>
              <w:szCs w:val="32"/>
            </w:rPr>
            <w:fldChar w:fldCharType="end"/>
          </w:r>
        </w:p>
        <w:p w14:paraId="00B912C6">
          <w:pPr>
            <w:pStyle w:val="14"/>
            <w:tabs>
              <w:tab w:val="right" w:leader="dot" w:pos="8306"/>
              <w:tab w:val="clear" w:pos="8296"/>
            </w:tabs>
            <w:rPr>
              <w:rFonts w:hint="eastAsia" w:ascii="CESI仿宋-GB2312" w:hAnsi="CESI仿宋-GB2312" w:eastAsia="CESI仿宋-GB2312" w:cs="CESI仿宋-GB2312"/>
              <w:b w:val="0"/>
              <w:bCs w:val="0"/>
              <w:sz w:val="32"/>
              <w:szCs w:val="32"/>
            </w:rPr>
          </w:pPr>
          <w:r>
            <w:rPr>
              <w:rFonts w:hint="eastAsia" w:ascii="CESI仿宋-GB2312" w:hAnsi="CESI仿宋-GB2312" w:eastAsia="CESI仿宋-GB2312" w:cs="CESI仿宋-GB2312"/>
              <w:b w:val="0"/>
              <w:bCs w:val="0"/>
              <w:sz w:val="32"/>
              <w:szCs w:val="32"/>
            </w:rPr>
            <w:fldChar w:fldCharType="begin"/>
          </w:r>
          <w:r>
            <w:rPr>
              <w:rFonts w:hint="eastAsia" w:ascii="CESI仿宋-GB2312" w:hAnsi="CESI仿宋-GB2312" w:eastAsia="CESI仿宋-GB2312" w:cs="CESI仿宋-GB2312"/>
              <w:b w:val="0"/>
              <w:bCs w:val="0"/>
              <w:sz w:val="32"/>
              <w:szCs w:val="32"/>
            </w:rPr>
            <w:instrText xml:space="preserve"> HYPERLINK \l _Toc13411898 </w:instrText>
          </w:r>
          <w:r>
            <w:rPr>
              <w:rFonts w:hint="eastAsia" w:ascii="CESI仿宋-GB2312" w:hAnsi="CESI仿宋-GB2312" w:eastAsia="CESI仿宋-GB2312" w:cs="CESI仿宋-GB2312"/>
              <w:b w:val="0"/>
              <w:bCs w:val="0"/>
              <w:sz w:val="32"/>
              <w:szCs w:val="32"/>
            </w:rPr>
            <w:fldChar w:fldCharType="separate"/>
          </w:r>
          <w:r>
            <w:rPr>
              <w:rFonts w:hint="eastAsia" w:ascii="CESI仿宋-GB2312" w:hAnsi="CESI仿宋-GB2312" w:eastAsia="CESI仿宋-GB2312" w:cs="CESI仿宋-GB2312"/>
              <w:b w:val="0"/>
              <w:bCs w:val="0"/>
              <w:sz w:val="32"/>
              <w:szCs w:val="32"/>
            </w:rPr>
            <w:t>一、 部门职责</w:t>
          </w:r>
          <w:r>
            <w:rPr>
              <w:rFonts w:hint="eastAsia" w:ascii="CESI仿宋-GB2312" w:hAnsi="CESI仿宋-GB2312" w:eastAsia="CESI仿宋-GB2312" w:cs="CESI仿宋-GB2312"/>
              <w:b w:val="0"/>
              <w:bCs w:val="0"/>
              <w:sz w:val="32"/>
              <w:szCs w:val="32"/>
            </w:rPr>
            <w:tab/>
          </w:r>
          <w:r>
            <w:rPr>
              <w:rFonts w:hint="eastAsia" w:ascii="CESI仿宋-GB2312" w:hAnsi="CESI仿宋-GB2312" w:eastAsia="CESI仿宋-GB2312" w:cs="CESI仿宋-GB2312"/>
              <w:b w:val="0"/>
              <w:bCs w:val="0"/>
              <w:sz w:val="32"/>
              <w:szCs w:val="32"/>
            </w:rPr>
            <w:fldChar w:fldCharType="begin"/>
          </w:r>
          <w:r>
            <w:rPr>
              <w:rFonts w:hint="eastAsia" w:ascii="CESI仿宋-GB2312" w:hAnsi="CESI仿宋-GB2312" w:eastAsia="CESI仿宋-GB2312" w:cs="CESI仿宋-GB2312"/>
              <w:b w:val="0"/>
              <w:bCs w:val="0"/>
              <w:sz w:val="32"/>
              <w:szCs w:val="32"/>
            </w:rPr>
            <w:instrText xml:space="preserve"> PAGEREF _Toc13411898 \h </w:instrText>
          </w:r>
          <w:r>
            <w:rPr>
              <w:rFonts w:hint="eastAsia" w:ascii="CESI仿宋-GB2312" w:hAnsi="CESI仿宋-GB2312" w:eastAsia="CESI仿宋-GB2312" w:cs="CESI仿宋-GB2312"/>
              <w:b w:val="0"/>
              <w:bCs w:val="0"/>
              <w:sz w:val="32"/>
              <w:szCs w:val="32"/>
            </w:rPr>
            <w:fldChar w:fldCharType="separate"/>
          </w:r>
          <w:r>
            <w:rPr>
              <w:rFonts w:hint="eastAsia" w:ascii="CESI仿宋-GB2312" w:hAnsi="CESI仿宋-GB2312" w:eastAsia="CESI仿宋-GB2312" w:cs="CESI仿宋-GB2312"/>
              <w:b w:val="0"/>
              <w:bCs w:val="0"/>
              <w:sz w:val="32"/>
              <w:szCs w:val="32"/>
            </w:rPr>
            <w:t>1</w:t>
          </w:r>
          <w:r>
            <w:rPr>
              <w:rFonts w:hint="eastAsia" w:ascii="CESI仿宋-GB2312" w:hAnsi="CESI仿宋-GB2312" w:eastAsia="CESI仿宋-GB2312" w:cs="CESI仿宋-GB2312"/>
              <w:b w:val="0"/>
              <w:bCs w:val="0"/>
              <w:sz w:val="32"/>
              <w:szCs w:val="32"/>
            </w:rPr>
            <w:fldChar w:fldCharType="end"/>
          </w:r>
          <w:r>
            <w:rPr>
              <w:rFonts w:hint="eastAsia" w:ascii="CESI仿宋-GB2312" w:hAnsi="CESI仿宋-GB2312" w:eastAsia="CESI仿宋-GB2312" w:cs="CESI仿宋-GB2312"/>
              <w:b w:val="0"/>
              <w:bCs w:val="0"/>
              <w:sz w:val="32"/>
              <w:szCs w:val="32"/>
            </w:rPr>
            <w:fldChar w:fldCharType="end"/>
          </w:r>
        </w:p>
        <w:p w14:paraId="1AA0CFFC">
          <w:pPr>
            <w:pStyle w:val="14"/>
            <w:tabs>
              <w:tab w:val="right" w:leader="dot" w:pos="8306"/>
              <w:tab w:val="clear" w:pos="8296"/>
            </w:tabs>
            <w:rPr>
              <w:rFonts w:hint="eastAsia" w:ascii="CESI仿宋-GB2312" w:hAnsi="CESI仿宋-GB2312" w:eastAsia="CESI仿宋-GB2312" w:cs="CESI仿宋-GB2312"/>
              <w:b w:val="0"/>
              <w:bCs w:val="0"/>
              <w:sz w:val="32"/>
              <w:szCs w:val="32"/>
            </w:rPr>
          </w:pPr>
          <w:r>
            <w:rPr>
              <w:rFonts w:hint="eastAsia" w:ascii="CESI仿宋-GB2312" w:hAnsi="CESI仿宋-GB2312" w:eastAsia="CESI仿宋-GB2312" w:cs="CESI仿宋-GB2312"/>
              <w:b w:val="0"/>
              <w:bCs w:val="0"/>
              <w:sz w:val="32"/>
              <w:szCs w:val="32"/>
            </w:rPr>
            <w:fldChar w:fldCharType="begin"/>
          </w:r>
          <w:r>
            <w:rPr>
              <w:rFonts w:hint="eastAsia" w:ascii="CESI仿宋-GB2312" w:hAnsi="CESI仿宋-GB2312" w:eastAsia="CESI仿宋-GB2312" w:cs="CESI仿宋-GB2312"/>
              <w:b w:val="0"/>
              <w:bCs w:val="0"/>
              <w:sz w:val="32"/>
              <w:szCs w:val="32"/>
            </w:rPr>
            <w:instrText xml:space="preserve"> HYPERLINK \l _Toc1907597467 </w:instrText>
          </w:r>
          <w:r>
            <w:rPr>
              <w:rFonts w:hint="eastAsia" w:ascii="CESI仿宋-GB2312" w:hAnsi="CESI仿宋-GB2312" w:eastAsia="CESI仿宋-GB2312" w:cs="CESI仿宋-GB2312"/>
              <w:b w:val="0"/>
              <w:bCs w:val="0"/>
              <w:sz w:val="32"/>
              <w:szCs w:val="32"/>
            </w:rPr>
            <w:fldChar w:fldCharType="separate"/>
          </w:r>
          <w:r>
            <w:rPr>
              <w:rFonts w:hint="eastAsia" w:ascii="CESI仿宋-GB2312" w:hAnsi="CESI仿宋-GB2312" w:eastAsia="CESI仿宋-GB2312" w:cs="CESI仿宋-GB2312"/>
              <w:b w:val="0"/>
              <w:bCs w:val="0"/>
              <w:sz w:val="32"/>
              <w:szCs w:val="32"/>
            </w:rPr>
            <w:t>二、机构设置</w:t>
          </w:r>
          <w:r>
            <w:rPr>
              <w:rFonts w:hint="eastAsia" w:ascii="CESI仿宋-GB2312" w:hAnsi="CESI仿宋-GB2312" w:eastAsia="CESI仿宋-GB2312" w:cs="CESI仿宋-GB2312"/>
              <w:b w:val="0"/>
              <w:bCs w:val="0"/>
              <w:sz w:val="32"/>
              <w:szCs w:val="32"/>
            </w:rPr>
            <w:tab/>
          </w:r>
          <w:r>
            <w:rPr>
              <w:rFonts w:hint="eastAsia" w:ascii="CESI仿宋-GB2312" w:hAnsi="CESI仿宋-GB2312" w:eastAsia="CESI仿宋-GB2312" w:cs="CESI仿宋-GB2312"/>
              <w:b w:val="0"/>
              <w:bCs w:val="0"/>
              <w:sz w:val="32"/>
              <w:szCs w:val="32"/>
            </w:rPr>
            <w:fldChar w:fldCharType="begin"/>
          </w:r>
          <w:r>
            <w:rPr>
              <w:rFonts w:hint="eastAsia" w:ascii="CESI仿宋-GB2312" w:hAnsi="CESI仿宋-GB2312" w:eastAsia="CESI仿宋-GB2312" w:cs="CESI仿宋-GB2312"/>
              <w:b w:val="0"/>
              <w:bCs w:val="0"/>
              <w:sz w:val="32"/>
              <w:szCs w:val="32"/>
            </w:rPr>
            <w:instrText xml:space="preserve"> PAGEREF _Toc1907597467 \h </w:instrText>
          </w:r>
          <w:r>
            <w:rPr>
              <w:rFonts w:hint="eastAsia" w:ascii="CESI仿宋-GB2312" w:hAnsi="CESI仿宋-GB2312" w:eastAsia="CESI仿宋-GB2312" w:cs="CESI仿宋-GB2312"/>
              <w:b w:val="0"/>
              <w:bCs w:val="0"/>
              <w:sz w:val="32"/>
              <w:szCs w:val="32"/>
            </w:rPr>
            <w:fldChar w:fldCharType="separate"/>
          </w:r>
          <w:r>
            <w:rPr>
              <w:rFonts w:hint="eastAsia" w:ascii="CESI仿宋-GB2312" w:hAnsi="CESI仿宋-GB2312" w:eastAsia="CESI仿宋-GB2312" w:cs="CESI仿宋-GB2312"/>
              <w:b w:val="0"/>
              <w:bCs w:val="0"/>
              <w:sz w:val="32"/>
              <w:szCs w:val="32"/>
            </w:rPr>
            <w:t>4</w:t>
          </w:r>
          <w:r>
            <w:rPr>
              <w:rFonts w:hint="eastAsia" w:ascii="CESI仿宋-GB2312" w:hAnsi="CESI仿宋-GB2312" w:eastAsia="CESI仿宋-GB2312" w:cs="CESI仿宋-GB2312"/>
              <w:b w:val="0"/>
              <w:bCs w:val="0"/>
              <w:sz w:val="32"/>
              <w:szCs w:val="32"/>
            </w:rPr>
            <w:fldChar w:fldCharType="end"/>
          </w:r>
          <w:r>
            <w:rPr>
              <w:rFonts w:hint="eastAsia" w:ascii="CESI仿宋-GB2312" w:hAnsi="CESI仿宋-GB2312" w:eastAsia="CESI仿宋-GB2312" w:cs="CESI仿宋-GB2312"/>
              <w:b w:val="0"/>
              <w:bCs w:val="0"/>
              <w:sz w:val="32"/>
              <w:szCs w:val="32"/>
            </w:rPr>
            <w:fldChar w:fldCharType="end"/>
          </w:r>
        </w:p>
        <w:p w14:paraId="2DAAD4F6">
          <w:pPr>
            <w:pStyle w:val="12"/>
            <w:tabs>
              <w:tab w:val="right" w:leader="dot" w:pos="8306"/>
              <w:tab w:val="clear" w:pos="8296"/>
            </w:tabs>
            <w:rPr>
              <w:rFonts w:hint="eastAsia" w:ascii="CESI仿宋-GB2312" w:hAnsi="CESI仿宋-GB2312" w:eastAsia="CESI仿宋-GB2312" w:cs="CESI仿宋-GB2312"/>
              <w:b w:val="0"/>
              <w:bCs w:val="0"/>
              <w:sz w:val="32"/>
              <w:szCs w:val="32"/>
            </w:rPr>
          </w:pPr>
          <w:r>
            <w:rPr>
              <w:rFonts w:hint="eastAsia" w:ascii="方正黑体_GBK" w:hAnsi="方正黑体_GBK" w:eastAsia="方正黑体_GBK" w:cs="方正黑体_GBK"/>
              <w:b w:val="0"/>
              <w:bCs w:val="0"/>
              <w:sz w:val="32"/>
              <w:szCs w:val="32"/>
            </w:rPr>
            <w:fldChar w:fldCharType="begin"/>
          </w:r>
          <w:r>
            <w:rPr>
              <w:rFonts w:hint="eastAsia" w:ascii="方正黑体_GBK" w:hAnsi="方正黑体_GBK" w:eastAsia="方正黑体_GBK" w:cs="方正黑体_GBK"/>
              <w:b w:val="0"/>
              <w:bCs w:val="0"/>
              <w:sz w:val="32"/>
              <w:szCs w:val="32"/>
            </w:rPr>
            <w:instrText xml:space="preserve"> HYPERLINK \l _Toc514971612 </w:instrText>
          </w:r>
          <w:r>
            <w:rPr>
              <w:rFonts w:hint="eastAsia" w:ascii="方正黑体_GBK" w:hAnsi="方正黑体_GBK" w:eastAsia="方正黑体_GBK" w:cs="方正黑体_GBK"/>
              <w:b w:val="0"/>
              <w:bCs w:val="0"/>
              <w:sz w:val="32"/>
              <w:szCs w:val="32"/>
            </w:rPr>
            <w:fldChar w:fldCharType="separate"/>
          </w:r>
          <w:r>
            <w:rPr>
              <w:rFonts w:hint="eastAsia" w:ascii="方正黑体_GBK" w:hAnsi="方正黑体_GBK" w:eastAsia="方正黑体_GBK" w:cs="方正黑体_GBK"/>
              <w:b w:val="0"/>
              <w:bCs w:val="0"/>
              <w:sz w:val="32"/>
              <w:szCs w:val="32"/>
            </w:rPr>
            <w:t>第二部分  2024年度部门决算情况说明</w:t>
          </w:r>
          <w:r>
            <w:rPr>
              <w:rFonts w:hint="eastAsia" w:ascii="方正黑体_GBK" w:hAnsi="方正黑体_GBK" w:eastAsia="方正黑体_GBK" w:cs="方正黑体_GBK"/>
              <w:b w:val="0"/>
              <w:bCs w:val="0"/>
              <w:sz w:val="32"/>
              <w:szCs w:val="32"/>
            </w:rPr>
            <w:tab/>
          </w:r>
          <w:r>
            <w:rPr>
              <w:rFonts w:hint="eastAsia" w:ascii="方正黑体_GBK" w:hAnsi="方正黑体_GBK" w:eastAsia="方正黑体_GBK" w:cs="方正黑体_GBK"/>
              <w:b w:val="0"/>
              <w:bCs w:val="0"/>
              <w:sz w:val="32"/>
              <w:szCs w:val="32"/>
            </w:rPr>
            <w:fldChar w:fldCharType="begin"/>
          </w:r>
          <w:r>
            <w:rPr>
              <w:rFonts w:hint="eastAsia" w:ascii="方正黑体_GBK" w:hAnsi="方正黑体_GBK" w:eastAsia="方正黑体_GBK" w:cs="方正黑体_GBK"/>
              <w:b w:val="0"/>
              <w:bCs w:val="0"/>
              <w:sz w:val="32"/>
              <w:szCs w:val="32"/>
            </w:rPr>
            <w:instrText xml:space="preserve"> PAGEREF _Toc514971612 \h </w:instrText>
          </w:r>
          <w:r>
            <w:rPr>
              <w:rFonts w:hint="eastAsia" w:ascii="方正黑体_GBK" w:hAnsi="方正黑体_GBK" w:eastAsia="方正黑体_GBK" w:cs="方正黑体_GBK"/>
              <w:b w:val="0"/>
              <w:bCs w:val="0"/>
              <w:sz w:val="32"/>
              <w:szCs w:val="32"/>
            </w:rPr>
            <w:fldChar w:fldCharType="separate"/>
          </w:r>
          <w:r>
            <w:rPr>
              <w:rFonts w:hint="eastAsia" w:ascii="方正黑体_GBK" w:hAnsi="方正黑体_GBK" w:eastAsia="方正黑体_GBK" w:cs="方正黑体_GBK"/>
              <w:b w:val="0"/>
              <w:bCs w:val="0"/>
              <w:sz w:val="32"/>
              <w:szCs w:val="32"/>
            </w:rPr>
            <w:t>6</w:t>
          </w:r>
          <w:r>
            <w:rPr>
              <w:rFonts w:hint="eastAsia" w:ascii="方正黑体_GBK" w:hAnsi="方正黑体_GBK" w:eastAsia="方正黑体_GBK" w:cs="方正黑体_GBK"/>
              <w:b w:val="0"/>
              <w:bCs w:val="0"/>
              <w:sz w:val="32"/>
              <w:szCs w:val="32"/>
            </w:rPr>
            <w:fldChar w:fldCharType="end"/>
          </w:r>
          <w:r>
            <w:rPr>
              <w:rFonts w:hint="eastAsia" w:ascii="方正黑体_GBK" w:hAnsi="方正黑体_GBK" w:eastAsia="方正黑体_GBK" w:cs="方正黑体_GBK"/>
              <w:b w:val="0"/>
              <w:bCs w:val="0"/>
              <w:sz w:val="32"/>
              <w:szCs w:val="32"/>
            </w:rPr>
            <w:fldChar w:fldCharType="end"/>
          </w:r>
        </w:p>
        <w:p w14:paraId="5E1CDF4F">
          <w:pPr>
            <w:pStyle w:val="14"/>
            <w:tabs>
              <w:tab w:val="right" w:leader="dot" w:pos="8306"/>
              <w:tab w:val="clear" w:pos="8296"/>
            </w:tabs>
            <w:rPr>
              <w:rFonts w:hint="eastAsia" w:ascii="CESI仿宋-GB2312" w:hAnsi="CESI仿宋-GB2312" w:eastAsia="CESI仿宋-GB2312" w:cs="CESI仿宋-GB2312"/>
              <w:b w:val="0"/>
              <w:bCs w:val="0"/>
              <w:sz w:val="32"/>
              <w:szCs w:val="32"/>
            </w:rPr>
          </w:pPr>
          <w:r>
            <w:rPr>
              <w:rFonts w:hint="eastAsia" w:ascii="CESI仿宋-GB2312" w:hAnsi="CESI仿宋-GB2312" w:eastAsia="CESI仿宋-GB2312" w:cs="CESI仿宋-GB2312"/>
              <w:b w:val="0"/>
              <w:bCs w:val="0"/>
              <w:sz w:val="32"/>
              <w:szCs w:val="32"/>
            </w:rPr>
            <w:fldChar w:fldCharType="begin"/>
          </w:r>
          <w:r>
            <w:rPr>
              <w:rFonts w:hint="eastAsia" w:ascii="CESI仿宋-GB2312" w:hAnsi="CESI仿宋-GB2312" w:eastAsia="CESI仿宋-GB2312" w:cs="CESI仿宋-GB2312"/>
              <w:b w:val="0"/>
              <w:bCs w:val="0"/>
              <w:sz w:val="32"/>
              <w:szCs w:val="32"/>
            </w:rPr>
            <w:instrText xml:space="preserve"> HYPERLINK \l _Toc1664022054 </w:instrText>
          </w:r>
          <w:r>
            <w:rPr>
              <w:rFonts w:hint="eastAsia" w:ascii="CESI仿宋-GB2312" w:hAnsi="CESI仿宋-GB2312" w:eastAsia="CESI仿宋-GB2312" w:cs="CESI仿宋-GB2312"/>
              <w:b w:val="0"/>
              <w:bCs w:val="0"/>
              <w:sz w:val="32"/>
              <w:szCs w:val="32"/>
            </w:rPr>
            <w:fldChar w:fldCharType="separate"/>
          </w:r>
          <w:r>
            <w:rPr>
              <w:rFonts w:hint="eastAsia" w:ascii="CESI仿宋-GB2312" w:hAnsi="CESI仿宋-GB2312" w:eastAsia="CESI仿宋-GB2312" w:cs="CESI仿宋-GB2312"/>
              <w:b w:val="0"/>
              <w:bCs w:val="0"/>
              <w:sz w:val="32"/>
              <w:szCs w:val="32"/>
            </w:rPr>
            <w:t>一、收入支出决算总体情况说明</w:t>
          </w:r>
          <w:r>
            <w:rPr>
              <w:rFonts w:hint="eastAsia" w:ascii="CESI仿宋-GB2312" w:hAnsi="CESI仿宋-GB2312" w:eastAsia="CESI仿宋-GB2312" w:cs="CESI仿宋-GB2312"/>
              <w:b w:val="0"/>
              <w:bCs w:val="0"/>
              <w:sz w:val="32"/>
              <w:szCs w:val="32"/>
            </w:rPr>
            <w:tab/>
          </w:r>
          <w:r>
            <w:rPr>
              <w:rFonts w:hint="eastAsia" w:ascii="CESI仿宋-GB2312" w:hAnsi="CESI仿宋-GB2312" w:eastAsia="CESI仿宋-GB2312" w:cs="CESI仿宋-GB2312"/>
              <w:b w:val="0"/>
              <w:bCs w:val="0"/>
              <w:sz w:val="32"/>
              <w:szCs w:val="32"/>
            </w:rPr>
            <w:fldChar w:fldCharType="begin"/>
          </w:r>
          <w:r>
            <w:rPr>
              <w:rFonts w:hint="eastAsia" w:ascii="CESI仿宋-GB2312" w:hAnsi="CESI仿宋-GB2312" w:eastAsia="CESI仿宋-GB2312" w:cs="CESI仿宋-GB2312"/>
              <w:b w:val="0"/>
              <w:bCs w:val="0"/>
              <w:sz w:val="32"/>
              <w:szCs w:val="32"/>
            </w:rPr>
            <w:instrText xml:space="preserve"> PAGEREF _Toc1664022054 \h </w:instrText>
          </w:r>
          <w:r>
            <w:rPr>
              <w:rFonts w:hint="eastAsia" w:ascii="CESI仿宋-GB2312" w:hAnsi="CESI仿宋-GB2312" w:eastAsia="CESI仿宋-GB2312" w:cs="CESI仿宋-GB2312"/>
              <w:b w:val="0"/>
              <w:bCs w:val="0"/>
              <w:sz w:val="32"/>
              <w:szCs w:val="32"/>
            </w:rPr>
            <w:fldChar w:fldCharType="separate"/>
          </w:r>
          <w:r>
            <w:rPr>
              <w:rFonts w:hint="eastAsia" w:ascii="CESI仿宋-GB2312" w:hAnsi="CESI仿宋-GB2312" w:eastAsia="CESI仿宋-GB2312" w:cs="CESI仿宋-GB2312"/>
              <w:b w:val="0"/>
              <w:bCs w:val="0"/>
              <w:sz w:val="32"/>
              <w:szCs w:val="32"/>
            </w:rPr>
            <w:t>6</w:t>
          </w:r>
          <w:r>
            <w:rPr>
              <w:rFonts w:hint="eastAsia" w:ascii="CESI仿宋-GB2312" w:hAnsi="CESI仿宋-GB2312" w:eastAsia="CESI仿宋-GB2312" w:cs="CESI仿宋-GB2312"/>
              <w:b w:val="0"/>
              <w:bCs w:val="0"/>
              <w:sz w:val="32"/>
              <w:szCs w:val="32"/>
            </w:rPr>
            <w:fldChar w:fldCharType="end"/>
          </w:r>
          <w:r>
            <w:rPr>
              <w:rFonts w:hint="eastAsia" w:ascii="CESI仿宋-GB2312" w:hAnsi="CESI仿宋-GB2312" w:eastAsia="CESI仿宋-GB2312" w:cs="CESI仿宋-GB2312"/>
              <w:b w:val="0"/>
              <w:bCs w:val="0"/>
              <w:sz w:val="32"/>
              <w:szCs w:val="32"/>
            </w:rPr>
            <w:fldChar w:fldCharType="end"/>
          </w:r>
        </w:p>
        <w:p w14:paraId="0B1042B1">
          <w:pPr>
            <w:pStyle w:val="14"/>
            <w:tabs>
              <w:tab w:val="right" w:leader="dot" w:pos="8306"/>
              <w:tab w:val="clear" w:pos="8296"/>
            </w:tabs>
            <w:rPr>
              <w:rFonts w:hint="eastAsia" w:ascii="CESI仿宋-GB2312" w:hAnsi="CESI仿宋-GB2312" w:eastAsia="CESI仿宋-GB2312" w:cs="CESI仿宋-GB2312"/>
              <w:b w:val="0"/>
              <w:bCs w:val="0"/>
              <w:sz w:val="32"/>
              <w:szCs w:val="32"/>
            </w:rPr>
          </w:pPr>
          <w:r>
            <w:rPr>
              <w:rFonts w:hint="eastAsia" w:ascii="CESI仿宋-GB2312" w:hAnsi="CESI仿宋-GB2312" w:eastAsia="CESI仿宋-GB2312" w:cs="CESI仿宋-GB2312"/>
              <w:b w:val="0"/>
              <w:bCs w:val="0"/>
              <w:sz w:val="32"/>
              <w:szCs w:val="32"/>
            </w:rPr>
            <w:fldChar w:fldCharType="begin"/>
          </w:r>
          <w:r>
            <w:rPr>
              <w:rFonts w:hint="eastAsia" w:ascii="CESI仿宋-GB2312" w:hAnsi="CESI仿宋-GB2312" w:eastAsia="CESI仿宋-GB2312" w:cs="CESI仿宋-GB2312"/>
              <w:b w:val="0"/>
              <w:bCs w:val="0"/>
              <w:sz w:val="32"/>
              <w:szCs w:val="32"/>
            </w:rPr>
            <w:instrText xml:space="preserve"> HYPERLINK \l _Toc1608784382 </w:instrText>
          </w:r>
          <w:r>
            <w:rPr>
              <w:rFonts w:hint="eastAsia" w:ascii="CESI仿宋-GB2312" w:hAnsi="CESI仿宋-GB2312" w:eastAsia="CESI仿宋-GB2312" w:cs="CESI仿宋-GB2312"/>
              <w:b w:val="0"/>
              <w:bCs w:val="0"/>
              <w:sz w:val="32"/>
              <w:szCs w:val="32"/>
            </w:rPr>
            <w:fldChar w:fldCharType="separate"/>
          </w:r>
          <w:r>
            <w:rPr>
              <w:rFonts w:hint="eastAsia" w:ascii="CESI仿宋-GB2312" w:hAnsi="CESI仿宋-GB2312" w:eastAsia="CESI仿宋-GB2312" w:cs="CESI仿宋-GB2312"/>
              <w:b w:val="0"/>
              <w:bCs w:val="0"/>
              <w:sz w:val="32"/>
              <w:szCs w:val="32"/>
            </w:rPr>
            <w:t>二、收入决算情况说明</w:t>
          </w:r>
          <w:r>
            <w:rPr>
              <w:rFonts w:hint="eastAsia" w:ascii="CESI仿宋-GB2312" w:hAnsi="CESI仿宋-GB2312" w:eastAsia="CESI仿宋-GB2312" w:cs="CESI仿宋-GB2312"/>
              <w:b w:val="0"/>
              <w:bCs w:val="0"/>
              <w:sz w:val="32"/>
              <w:szCs w:val="32"/>
            </w:rPr>
            <w:tab/>
          </w:r>
          <w:r>
            <w:rPr>
              <w:rFonts w:hint="eastAsia" w:ascii="CESI仿宋-GB2312" w:hAnsi="CESI仿宋-GB2312" w:eastAsia="CESI仿宋-GB2312" w:cs="CESI仿宋-GB2312"/>
              <w:b w:val="0"/>
              <w:bCs w:val="0"/>
              <w:sz w:val="32"/>
              <w:szCs w:val="32"/>
            </w:rPr>
            <w:fldChar w:fldCharType="begin"/>
          </w:r>
          <w:r>
            <w:rPr>
              <w:rFonts w:hint="eastAsia" w:ascii="CESI仿宋-GB2312" w:hAnsi="CESI仿宋-GB2312" w:eastAsia="CESI仿宋-GB2312" w:cs="CESI仿宋-GB2312"/>
              <w:b w:val="0"/>
              <w:bCs w:val="0"/>
              <w:sz w:val="32"/>
              <w:szCs w:val="32"/>
            </w:rPr>
            <w:instrText xml:space="preserve"> PAGEREF _Toc1608784382 \h </w:instrText>
          </w:r>
          <w:r>
            <w:rPr>
              <w:rFonts w:hint="eastAsia" w:ascii="CESI仿宋-GB2312" w:hAnsi="CESI仿宋-GB2312" w:eastAsia="CESI仿宋-GB2312" w:cs="CESI仿宋-GB2312"/>
              <w:b w:val="0"/>
              <w:bCs w:val="0"/>
              <w:sz w:val="32"/>
              <w:szCs w:val="32"/>
            </w:rPr>
            <w:fldChar w:fldCharType="separate"/>
          </w:r>
          <w:r>
            <w:rPr>
              <w:rFonts w:hint="eastAsia" w:ascii="CESI仿宋-GB2312" w:hAnsi="CESI仿宋-GB2312" w:eastAsia="CESI仿宋-GB2312" w:cs="CESI仿宋-GB2312"/>
              <w:b w:val="0"/>
              <w:bCs w:val="0"/>
              <w:sz w:val="32"/>
              <w:szCs w:val="32"/>
            </w:rPr>
            <w:t>6</w:t>
          </w:r>
          <w:r>
            <w:rPr>
              <w:rFonts w:hint="eastAsia" w:ascii="CESI仿宋-GB2312" w:hAnsi="CESI仿宋-GB2312" w:eastAsia="CESI仿宋-GB2312" w:cs="CESI仿宋-GB2312"/>
              <w:b w:val="0"/>
              <w:bCs w:val="0"/>
              <w:sz w:val="32"/>
              <w:szCs w:val="32"/>
            </w:rPr>
            <w:fldChar w:fldCharType="end"/>
          </w:r>
          <w:r>
            <w:rPr>
              <w:rFonts w:hint="eastAsia" w:ascii="CESI仿宋-GB2312" w:hAnsi="CESI仿宋-GB2312" w:eastAsia="CESI仿宋-GB2312" w:cs="CESI仿宋-GB2312"/>
              <w:b w:val="0"/>
              <w:bCs w:val="0"/>
              <w:sz w:val="32"/>
              <w:szCs w:val="32"/>
            </w:rPr>
            <w:fldChar w:fldCharType="end"/>
          </w:r>
        </w:p>
        <w:p w14:paraId="763562F9">
          <w:pPr>
            <w:pStyle w:val="14"/>
            <w:tabs>
              <w:tab w:val="right" w:leader="dot" w:pos="8306"/>
              <w:tab w:val="clear" w:pos="8296"/>
            </w:tabs>
            <w:rPr>
              <w:rFonts w:hint="eastAsia" w:ascii="CESI仿宋-GB2312" w:hAnsi="CESI仿宋-GB2312" w:eastAsia="CESI仿宋-GB2312" w:cs="CESI仿宋-GB2312"/>
              <w:b w:val="0"/>
              <w:bCs w:val="0"/>
              <w:sz w:val="32"/>
              <w:szCs w:val="32"/>
            </w:rPr>
          </w:pPr>
          <w:r>
            <w:rPr>
              <w:rFonts w:hint="eastAsia" w:ascii="CESI仿宋-GB2312" w:hAnsi="CESI仿宋-GB2312" w:eastAsia="CESI仿宋-GB2312" w:cs="CESI仿宋-GB2312"/>
              <w:b w:val="0"/>
              <w:bCs w:val="0"/>
              <w:sz w:val="32"/>
              <w:szCs w:val="32"/>
            </w:rPr>
            <w:fldChar w:fldCharType="begin"/>
          </w:r>
          <w:r>
            <w:rPr>
              <w:rFonts w:hint="eastAsia" w:ascii="CESI仿宋-GB2312" w:hAnsi="CESI仿宋-GB2312" w:eastAsia="CESI仿宋-GB2312" w:cs="CESI仿宋-GB2312"/>
              <w:b w:val="0"/>
              <w:bCs w:val="0"/>
              <w:sz w:val="32"/>
              <w:szCs w:val="32"/>
            </w:rPr>
            <w:instrText xml:space="preserve"> HYPERLINK \l _Toc1616415837 </w:instrText>
          </w:r>
          <w:r>
            <w:rPr>
              <w:rFonts w:hint="eastAsia" w:ascii="CESI仿宋-GB2312" w:hAnsi="CESI仿宋-GB2312" w:eastAsia="CESI仿宋-GB2312" w:cs="CESI仿宋-GB2312"/>
              <w:b w:val="0"/>
              <w:bCs w:val="0"/>
              <w:sz w:val="32"/>
              <w:szCs w:val="32"/>
            </w:rPr>
            <w:fldChar w:fldCharType="separate"/>
          </w:r>
          <w:r>
            <w:rPr>
              <w:rFonts w:hint="eastAsia" w:ascii="CESI仿宋-GB2312" w:hAnsi="CESI仿宋-GB2312" w:eastAsia="CESI仿宋-GB2312" w:cs="CESI仿宋-GB2312"/>
              <w:b w:val="0"/>
              <w:bCs w:val="0"/>
              <w:sz w:val="32"/>
              <w:szCs w:val="32"/>
            </w:rPr>
            <w:t>三、支出决算情况说明</w:t>
          </w:r>
          <w:r>
            <w:rPr>
              <w:rFonts w:hint="eastAsia" w:ascii="CESI仿宋-GB2312" w:hAnsi="CESI仿宋-GB2312" w:eastAsia="CESI仿宋-GB2312" w:cs="CESI仿宋-GB2312"/>
              <w:b w:val="0"/>
              <w:bCs w:val="0"/>
              <w:sz w:val="32"/>
              <w:szCs w:val="32"/>
            </w:rPr>
            <w:tab/>
          </w:r>
          <w:r>
            <w:rPr>
              <w:rFonts w:hint="eastAsia" w:ascii="CESI仿宋-GB2312" w:hAnsi="CESI仿宋-GB2312" w:eastAsia="CESI仿宋-GB2312" w:cs="CESI仿宋-GB2312"/>
              <w:b w:val="0"/>
              <w:bCs w:val="0"/>
              <w:sz w:val="32"/>
              <w:szCs w:val="32"/>
            </w:rPr>
            <w:fldChar w:fldCharType="begin"/>
          </w:r>
          <w:r>
            <w:rPr>
              <w:rFonts w:hint="eastAsia" w:ascii="CESI仿宋-GB2312" w:hAnsi="CESI仿宋-GB2312" w:eastAsia="CESI仿宋-GB2312" w:cs="CESI仿宋-GB2312"/>
              <w:b w:val="0"/>
              <w:bCs w:val="0"/>
              <w:sz w:val="32"/>
              <w:szCs w:val="32"/>
            </w:rPr>
            <w:instrText xml:space="preserve"> PAGEREF _Toc1616415837 \h </w:instrText>
          </w:r>
          <w:r>
            <w:rPr>
              <w:rFonts w:hint="eastAsia" w:ascii="CESI仿宋-GB2312" w:hAnsi="CESI仿宋-GB2312" w:eastAsia="CESI仿宋-GB2312" w:cs="CESI仿宋-GB2312"/>
              <w:b w:val="0"/>
              <w:bCs w:val="0"/>
              <w:sz w:val="32"/>
              <w:szCs w:val="32"/>
            </w:rPr>
            <w:fldChar w:fldCharType="separate"/>
          </w:r>
          <w:r>
            <w:rPr>
              <w:rFonts w:hint="eastAsia" w:ascii="CESI仿宋-GB2312" w:hAnsi="CESI仿宋-GB2312" w:eastAsia="CESI仿宋-GB2312" w:cs="CESI仿宋-GB2312"/>
              <w:b w:val="0"/>
              <w:bCs w:val="0"/>
              <w:sz w:val="32"/>
              <w:szCs w:val="32"/>
            </w:rPr>
            <w:t>7</w:t>
          </w:r>
          <w:r>
            <w:rPr>
              <w:rFonts w:hint="eastAsia" w:ascii="CESI仿宋-GB2312" w:hAnsi="CESI仿宋-GB2312" w:eastAsia="CESI仿宋-GB2312" w:cs="CESI仿宋-GB2312"/>
              <w:b w:val="0"/>
              <w:bCs w:val="0"/>
              <w:sz w:val="32"/>
              <w:szCs w:val="32"/>
            </w:rPr>
            <w:fldChar w:fldCharType="end"/>
          </w:r>
          <w:r>
            <w:rPr>
              <w:rFonts w:hint="eastAsia" w:ascii="CESI仿宋-GB2312" w:hAnsi="CESI仿宋-GB2312" w:eastAsia="CESI仿宋-GB2312" w:cs="CESI仿宋-GB2312"/>
              <w:b w:val="0"/>
              <w:bCs w:val="0"/>
              <w:sz w:val="32"/>
              <w:szCs w:val="32"/>
            </w:rPr>
            <w:fldChar w:fldCharType="end"/>
          </w:r>
        </w:p>
        <w:p w14:paraId="4A658793">
          <w:pPr>
            <w:pStyle w:val="14"/>
            <w:tabs>
              <w:tab w:val="right" w:leader="dot" w:pos="8306"/>
              <w:tab w:val="clear" w:pos="8296"/>
            </w:tabs>
            <w:rPr>
              <w:rFonts w:hint="eastAsia" w:ascii="CESI仿宋-GB2312" w:hAnsi="CESI仿宋-GB2312" w:eastAsia="CESI仿宋-GB2312" w:cs="CESI仿宋-GB2312"/>
              <w:b w:val="0"/>
              <w:bCs w:val="0"/>
              <w:sz w:val="32"/>
              <w:szCs w:val="32"/>
            </w:rPr>
          </w:pPr>
          <w:r>
            <w:rPr>
              <w:rFonts w:hint="eastAsia" w:ascii="CESI仿宋-GB2312" w:hAnsi="CESI仿宋-GB2312" w:eastAsia="CESI仿宋-GB2312" w:cs="CESI仿宋-GB2312"/>
              <w:b w:val="0"/>
              <w:bCs w:val="0"/>
              <w:sz w:val="32"/>
              <w:szCs w:val="32"/>
            </w:rPr>
            <w:fldChar w:fldCharType="begin"/>
          </w:r>
          <w:r>
            <w:rPr>
              <w:rFonts w:hint="eastAsia" w:ascii="CESI仿宋-GB2312" w:hAnsi="CESI仿宋-GB2312" w:eastAsia="CESI仿宋-GB2312" w:cs="CESI仿宋-GB2312"/>
              <w:b w:val="0"/>
              <w:bCs w:val="0"/>
              <w:sz w:val="32"/>
              <w:szCs w:val="32"/>
            </w:rPr>
            <w:instrText xml:space="preserve"> HYPERLINK \l _Toc2037235122 </w:instrText>
          </w:r>
          <w:r>
            <w:rPr>
              <w:rFonts w:hint="eastAsia" w:ascii="CESI仿宋-GB2312" w:hAnsi="CESI仿宋-GB2312" w:eastAsia="CESI仿宋-GB2312" w:cs="CESI仿宋-GB2312"/>
              <w:b w:val="0"/>
              <w:bCs w:val="0"/>
              <w:sz w:val="32"/>
              <w:szCs w:val="32"/>
            </w:rPr>
            <w:fldChar w:fldCharType="separate"/>
          </w:r>
          <w:r>
            <w:rPr>
              <w:rFonts w:hint="eastAsia" w:ascii="CESI仿宋-GB2312" w:hAnsi="CESI仿宋-GB2312" w:eastAsia="CESI仿宋-GB2312" w:cs="CESI仿宋-GB2312"/>
              <w:b w:val="0"/>
              <w:bCs w:val="0"/>
              <w:sz w:val="32"/>
              <w:szCs w:val="32"/>
            </w:rPr>
            <w:t>四、财政拨款收入支出决算总体情况说明</w:t>
          </w:r>
          <w:r>
            <w:rPr>
              <w:rFonts w:hint="eastAsia" w:ascii="CESI仿宋-GB2312" w:hAnsi="CESI仿宋-GB2312" w:eastAsia="CESI仿宋-GB2312" w:cs="CESI仿宋-GB2312"/>
              <w:b w:val="0"/>
              <w:bCs w:val="0"/>
              <w:sz w:val="32"/>
              <w:szCs w:val="32"/>
            </w:rPr>
            <w:tab/>
          </w:r>
          <w:r>
            <w:rPr>
              <w:rFonts w:hint="eastAsia" w:ascii="CESI仿宋-GB2312" w:hAnsi="CESI仿宋-GB2312" w:eastAsia="CESI仿宋-GB2312" w:cs="CESI仿宋-GB2312"/>
              <w:b w:val="0"/>
              <w:bCs w:val="0"/>
              <w:sz w:val="32"/>
              <w:szCs w:val="32"/>
            </w:rPr>
            <w:fldChar w:fldCharType="begin"/>
          </w:r>
          <w:r>
            <w:rPr>
              <w:rFonts w:hint="eastAsia" w:ascii="CESI仿宋-GB2312" w:hAnsi="CESI仿宋-GB2312" w:eastAsia="CESI仿宋-GB2312" w:cs="CESI仿宋-GB2312"/>
              <w:b w:val="0"/>
              <w:bCs w:val="0"/>
              <w:sz w:val="32"/>
              <w:szCs w:val="32"/>
            </w:rPr>
            <w:instrText xml:space="preserve"> PAGEREF _Toc2037235122 \h </w:instrText>
          </w:r>
          <w:r>
            <w:rPr>
              <w:rFonts w:hint="eastAsia" w:ascii="CESI仿宋-GB2312" w:hAnsi="CESI仿宋-GB2312" w:eastAsia="CESI仿宋-GB2312" w:cs="CESI仿宋-GB2312"/>
              <w:b w:val="0"/>
              <w:bCs w:val="0"/>
              <w:sz w:val="32"/>
              <w:szCs w:val="32"/>
            </w:rPr>
            <w:fldChar w:fldCharType="separate"/>
          </w:r>
          <w:r>
            <w:rPr>
              <w:rFonts w:hint="eastAsia" w:ascii="CESI仿宋-GB2312" w:hAnsi="CESI仿宋-GB2312" w:eastAsia="CESI仿宋-GB2312" w:cs="CESI仿宋-GB2312"/>
              <w:b w:val="0"/>
              <w:bCs w:val="0"/>
              <w:sz w:val="32"/>
              <w:szCs w:val="32"/>
            </w:rPr>
            <w:t>8</w:t>
          </w:r>
          <w:r>
            <w:rPr>
              <w:rFonts w:hint="eastAsia" w:ascii="CESI仿宋-GB2312" w:hAnsi="CESI仿宋-GB2312" w:eastAsia="CESI仿宋-GB2312" w:cs="CESI仿宋-GB2312"/>
              <w:b w:val="0"/>
              <w:bCs w:val="0"/>
              <w:sz w:val="32"/>
              <w:szCs w:val="32"/>
            </w:rPr>
            <w:fldChar w:fldCharType="end"/>
          </w:r>
          <w:r>
            <w:rPr>
              <w:rFonts w:hint="eastAsia" w:ascii="CESI仿宋-GB2312" w:hAnsi="CESI仿宋-GB2312" w:eastAsia="CESI仿宋-GB2312" w:cs="CESI仿宋-GB2312"/>
              <w:b w:val="0"/>
              <w:bCs w:val="0"/>
              <w:sz w:val="32"/>
              <w:szCs w:val="32"/>
            </w:rPr>
            <w:fldChar w:fldCharType="end"/>
          </w:r>
        </w:p>
        <w:p w14:paraId="26F91A17">
          <w:pPr>
            <w:pStyle w:val="14"/>
            <w:tabs>
              <w:tab w:val="right" w:leader="dot" w:pos="8306"/>
              <w:tab w:val="clear" w:pos="8296"/>
            </w:tabs>
            <w:rPr>
              <w:rFonts w:hint="eastAsia" w:ascii="CESI仿宋-GB2312" w:hAnsi="CESI仿宋-GB2312" w:eastAsia="CESI仿宋-GB2312" w:cs="CESI仿宋-GB2312"/>
              <w:b w:val="0"/>
              <w:bCs w:val="0"/>
              <w:sz w:val="32"/>
              <w:szCs w:val="32"/>
            </w:rPr>
          </w:pPr>
          <w:r>
            <w:rPr>
              <w:rFonts w:hint="eastAsia" w:ascii="CESI仿宋-GB2312" w:hAnsi="CESI仿宋-GB2312" w:eastAsia="CESI仿宋-GB2312" w:cs="CESI仿宋-GB2312"/>
              <w:b w:val="0"/>
              <w:bCs w:val="0"/>
              <w:sz w:val="32"/>
              <w:szCs w:val="32"/>
            </w:rPr>
            <w:fldChar w:fldCharType="begin"/>
          </w:r>
          <w:r>
            <w:rPr>
              <w:rFonts w:hint="eastAsia" w:ascii="CESI仿宋-GB2312" w:hAnsi="CESI仿宋-GB2312" w:eastAsia="CESI仿宋-GB2312" w:cs="CESI仿宋-GB2312"/>
              <w:b w:val="0"/>
              <w:bCs w:val="0"/>
              <w:sz w:val="32"/>
              <w:szCs w:val="32"/>
            </w:rPr>
            <w:instrText xml:space="preserve"> HYPERLINK \l _Toc948983871 </w:instrText>
          </w:r>
          <w:r>
            <w:rPr>
              <w:rFonts w:hint="eastAsia" w:ascii="CESI仿宋-GB2312" w:hAnsi="CESI仿宋-GB2312" w:eastAsia="CESI仿宋-GB2312" w:cs="CESI仿宋-GB2312"/>
              <w:b w:val="0"/>
              <w:bCs w:val="0"/>
              <w:sz w:val="32"/>
              <w:szCs w:val="32"/>
            </w:rPr>
            <w:fldChar w:fldCharType="separate"/>
          </w:r>
          <w:r>
            <w:rPr>
              <w:rFonts w:hint="eastAsia" w:ascii="CESI仿宋-GB2312" w:hAnsi="CESI仿宋-GB2312" w:eastAsia="CESI仿宋-GB2312" w:cs="CESI仿宋-GB2312"/>
              <w:b w:val="0"/>
              <w:bCs w:val="0"/>
              <w:sz w:val="32"/>
              <w:szCs w:val="32"/>
            </w:rPr>
            <w:t>五、一般公共预算财政拨款支出决算情况说明</w:t>
          </w:r>
          <w:r>
            <w:rPr>
              <w:rFonts w:hint="eastAsia" w:ascii="CESI仿宋-GB2312" w:hAnsi="CESI仿宋-GB2312" w:eastAsia="CESI仿宋-GB2312" w:cs="CESI仿宋-GB2312"/>
              <w:b w:val="0"/>
              <w:bCs w:val="0"/>
              <w:sz w:val="32"/>
              <w:szCs w:val="32"/>
            </w:rPr>
            <w:tab/>
          </w:r>
          <w:r>
            <w:rPr>
              <w:rFonts w:hint="eastAsia" w:ascii="CESI仿宋-GB2312" w:hAnsi="CESI仿宋-GB2312" w:eastAsia="CESI仿宋-GB2312" w:cs="CESI仿宋-GB2312"/>
              <w:b w:val="0"/>
              <w:bCs w:val="0"/>
              <w:sz w:val="32"/>
              <w:szCs w:val="32"/>
            </w:rPr>
            <w:fldChar w:fldCharType="begin"/>
          </w:r>
          <w:r>
            <w:rPr>
              <w:rFonts w:hint="eastAsia" w:ascii="CESI仿宋-GB2312" w:hAnsi="CESI仿宋-GB2312" w:eastAsia="CESI仿宋-GB2312" w:cs="CESI仿宋-GB2312"/>
              <w:b w:val="0"/>
              <w:bCs w:val="0"/>
              <w:sz w:val="32"/>
              <w:szCs w:val="32"/>
            </w:rPr>
            <w:instrText xml:space="preserve"> PAGEREF _Toc948983871 \h </w:instrText>
          </w:r>
          <w:r>
            <w:rPr>
              <w:rFonts w:hint="eastAsia" w:ascii="CESI仿宋-GB2312" w:hAnsi="CESI仿宋-GB2312" w:eastAsia="CESI仿宋-GB2312" w:cs="CESI仿宋-GB2312"/>
              <w:b w:val="0"/>
              <w:bCs w:val="0"/>
              <w:sz w:val="32"/>
              <w:szCs w:val="32"/>
            </w:rPr>
            <w:fldChar w:fldCharType="separate"/>
          </w:r>
          <w:r>
            <w:rPr>
              <w:rFonts w:hint="eastAsia" w:ascii="CESI仿宋-GB2312" w:hAnsi="CESI仿宋-GB2312" w:eastAsia="CESI仿宋-GB2312" w:cs="CESI仿宋-GB2312"/>
              <w:b w:val="0"/>
              <w:bCs w:val="0"/>
              <w:sz w:val="32"/>
              <w:szCs w:val="32"/>
            </w:rPr>
            <w:t>8</w:t>
          </w:r>
          <w:r>
            <w:rPr>
              <w:rFonts w:hint="eastAsia" w:ascii="CESI仿宋-GB2312" w:hAnsi="CESI仿宋-GB2312" w:eastAsia="CESI仿宋-GB2312" w:cs="CESI仿宋-GB2312"/>
              <w:b w:val="0"/>
              <w:bCs w:val="0"/>
              <w:sz w:val="32"/>
              <w:szCs w:val="32"/>
            </w:rPr>
            <w:fldChar w:fldCharType="end"/>
          </w:r>
          <w:r>
            <w:rPr>
              <w:rFonts w:hint="eastAsia" w:ascii="CESI仿宋-GB2312" w:hAnsi="CESI仿宋-GB2312" w:eastAsia="CESI仿宋-GB2312" w:cs="CESI仿宋-GB2312"/>
              <w:b w:val="0"/>
              <w:bCs w:val="0"/>
              <w:sz w:val="32"/>
              <w:szCs w:val="32"/>
            </w:rPr>
            <w:fldChar w:fldCharType="end"/>
          </w:r>
        </w:p>
        <w:p w14:paraId="7C82B68D">
          <w:pPr>
            <w:pStyle w:val="14"/>
            <w:tabs>
              <w:tab w:val="right" w:leader="dot" w:pos="8306"/>
              <w:tab w:val="clear" w:pos="8296"/>
            </w:tabs>
            <w:rPr>
              <w:rFonts w:hint="eastAsia" w:ascii="CESI仿宋-GB2312" w:hAnsi="CESI仿宋-GB2312" w:eastAsia="CESI仿宋-GB2312" w:cs="CESI仿宋-GB2312"/>
              <w:b w:val="0"/>
              <w:bCs w:val="0"/>
              <w:sz w:val="32"/>
              <w:szCs w:val="32"/>
            </w:rPr>
          </w:pPr>
          <w:r>
            <w:rPr>
              <w:rFonts w:hint="eastAsia" w:ascii="CESI仿宋-GB2312" w:hAnsi="CESI仿宋-GB2312" w:eastAsia="CESI仿宋-GB2312" w:cs="CESI仿宋-GB2312"/>
              <w:b w:val="0"/>
              <w:bCs w:val="0"/>
              <w:sz w:val="32"/>
              <w:szCs w:val="32"/>
            </w:rPr>
            <w:fldChar w:fldCharType="begin"/>
          </w:r>
          <w:r>
            <w:rPr>
              <w:rFonts w:hint="eastAsia" w:ascii="CESI仿宋-GB2312" w:hAnsi="CESI仿宋-GB2312" w:eastAsia="CESI仿宋-GB2312" w:cs="CESI仿宋-GB2312"/>
              <w:b w:val="0"/>
              <w:bCs w:val="0"/>
              <w:sz w:val="32"/>
              <w:szCs w:val="32"/>
            </w:rPr>
            <w:instrText xml:space="preserve"> HYPERLINK \l _Toc1512929697 </w:instrText>
          </w:r>
          <w:r>
            <w:rPr>
              <w:rFonts w:hint="eastAsia" w:ascii="CESI仿宋-GB2312" w:hAnsi="CESI仿宋-GB2312" w:eastAsia="CESI仿宋-GB2312" w:cs="CESI仿宋-GB2312"/>
              <w:b w:val="0"/>
              <w:bCs w:val="0"/>
              <w:sz w:val="32"/>
              <w:szCs w:val="32"/>
            </w:rPr>
            <w:fldChar w:fldCharType="separate"/>
          </w:r>
          <w:r>
            <w:rPr>
              <w:rFonts w:hint="eastAsia" w:ascii="CESI仿宋-GB2312" w:hAnsi="CESI仿宋-GB2312" w:eastAsia="CESI仿宋-GB2312" w:cs="CESI仿宋-GB2312"/>
              <w:b w:val="0"/>
              <w:bCs w:val="0"/>
              <w:sz w:val="32"/>
              <w:szCs w:val="32"/>
            </w:rPr>
            <w:t>六、一般公共预算财政拨款基本支出决算情况说明</w:t>
          </w:r>
          <w:r>
            <w:rPr>
              <w:rFonts w:hint="eastAsia" w:ascii="CESI仿宋-GB2312" w:hAnsi="CESI仿宋-GB2312" w:eastAsia="CESI仿宋-GB2312" w:cs="CESI仿宋-GB2312"/>
              <w:b w:val="0"/>
              <w:bCs w:val="0"/>
              <w:sz w:val="32"/>
              <w:szCs w:val="32"/>
            </w:rPr>
            <w:tab/>
          </w:r>
          <w:r>
            <w:rPr>
              <w:rFonts w:hint="eastAsia" w:ascii="CESI仿宋-GB2312" w:hAnsi="CESI仿宋-GB2312" w:eastAsia="CESI仿宋-GB2312" w:cs="CESI仿宋-GB2312"/>
              <w:b w:val="0"/>
              <w:bCs w:val="0"/>
              <w:sz w:val="32"/>
              <w:szCs w:val="32"/>
            </w:rPr>
            <w:fldChar w:fldCharType="begin"/>
          </w:r>
          <w:r>
            <w:rPr>
              <w:rFonts w:hint="eastAsia" w:ascii="CESI仿宋-GB2312" w:hAnsi="CESI仿宋-GB2312" w:eastAsia="CESI仿宋-GB2312" w:cs="CESI仿宋-GB2312"/>
              <w:b w:val="0"/>
              <w:bCs w:val="0"/>
              <w:sz w:val="32"/>
              <w:szCs w:val="32"/>
            </w:rPr>
            <w:instrText xml:space="preserve"> PAGEREF _Toc1512929697 \h </w:instrText>
          </w:r>
          <w:r>
            <w:rPr>
              <w:rFonts w:hint="eastAsia" w:ascii="CESI仿宋-GB2312" w:hAnsi="CESI仿宋-GB2312" w:eastAsia="CESI仿宋-GB2312" w:cs="CESI仿宋-GB2312"/>
              <w:b w:val="0"/>
              <w:bCs w:val="0"/>
              <w:sz w:val="32"/>
              <w:szCs w:val="32"/>
            </w:rPr>
            <w:fldChar w:fldCharType="separate"/>
          </w:r>
          <w:r>
            <w:rPr>
              <w:rFonts w:hint="eastAsia" w:ascii="CESI仿宋-GB2312" w:hAnsi="CESI仿宋-GB2312" w:eastAsia="CESI仿宋-GB2312" w:cs="CESI仿宋-GB2312"/>
              <w:b w:val="0"/>
              <w:bCs w:val="0"/>
              <w:sz w:val="32"/>
              <w:szCs w:val="32"/>
            </w:rPr>
            <w:t>13</w:t>
          </w:r>
          <w:r>
            <w:rPr>
              <w:rFonts w:hint="eastAsia" w:ascii="CESI仿宋-GB2312" w:hAnsi="CESI仿宋-GB2312" w:eastAsia="CESI仿宋-GB2312" w:cs="CESI仿宋-GB2312"/>
              <w:b w:val="0"/>
              <w:bCs w:val="0"/>
              <w:sz w:val="32"/>
              <w:szCs w:val="32"/>
            </w:rPr>
            <w:fldChar w:fldCharType="end"/>
          </w:r>
          <w:r>
            <w:rPr>
              <w:rFonts w:hint="eastAsia" w:ascii="CESI仿宋-GB2312" w:hAnsi="CESI仿宋-GB2312" w:eastAsia="CESI仿宋-GB2312" w:cs="CESI仿宋-GB2312"/>
              <w:b w:val="0"/>
              <w:bCs w:val="0"/>
              <w:sz w:val="32"/>
              <w:szCs w:val="32"/>
            </w:rPr>
            <w:fldChar w:fldCharType="end"/>
          </w:r>
        </w:p>
        <w:p w14:paraId="32399A61">
          <w:pPr>
            <w:pStyle w:val="14"/>
            <w:tabs>
              <w:tab w:val="right" w:leader="dot" w:pos="8306"/>
              <w:tab w:val="clear" w:pos="8296"/>
            </w:tabs>
            <w:rPr>
              <w:rFonts w:hint="eastAsia" w:ascii="CESI仿宋-GB2312" w:hAnsi="CESI仿宋-GB2312" w:eastAsia="CESI仿宋-GB2312" w:cs="CESI仿宋-GB2312"/>
              <w:b w:val="0"/>
              <w:bCs w:val="0"/>
              <w:sz w:val="32"/>
              <w:szCs w:val="32"/>
            </w:rPr>
          </w:pPr>
          <w:r>
            <w:rPr>
              <w:rFonts w:hint="eastAsia" w:ascii="CESI仿宋-GB2312" w:hAnsi="CESI仿宋-GB2312" w:eastAsia="CESI仿宋-GB2312" w:cs="CESI仿宋-GB2312"/>
              <w:b w:val="0"/>
              <w:bCs w:val="0"/>
              <w:sz w:val="32"/>
              <w:szCs w:val="32"/>
            </w:rPr>
            <w:fldChar w:fldCharType="begin"/>
          </w:r>
          <w:r>
            <w:rPr>
              <w:rFonts w:hint="eastAsia" w:ascii="CESI仿宋-GB2312" w:hAnsi="CESI仿宋-GB2312" w:eastAsia="CESI仿宋-GB2312" w:cs="CESI仿宋-GB2312"/>
              <w:b w:val="0"/>
              <w:bCs w:val="0"/>
              <w:sz w:val="32"/>
              <w:szCs w:val="32"/>
            </w:rPr>
            <w:instrText xml:space="preserve"> HYPERLINK \l _Toc471538784 </w:instrText>
          </w:r>
          <w:r>
            <w:rPr>
              <w:rFonts w:hint="eastAsia" w:ascii="CESI仿宋-GB2312" w:hAnsi="CESI仿宋-GB2312" w:eastAsia="CESI仿宋-GB2312" w:cs="CESI仿宋-GB2312"/>
              <w:b w:val="0"/>
              <w:bCs w:val="0"/>
              <w:sz w:val="32"/>
              <w:szCs w:val="32"/>
            </w:rPr>
            <w:fldChar w:fldCharType="separate"/>
          </w:r>
          <w:r>
            <w:rPr>
              <w:rFonts w:hint="eastAsia" w:ascii="CESI仿宋-GB2312" w:hAnsi="CESI仿宋-GB2312" w:eastAsia="CESI仿宋-GB2312" w:cs="CESI仿宋-GB2312"/>
              <w:b w:val="0"/>
              <w:bCs w:val="0"/>
              <w:sz w:val="32"/>
              <w:szCs w:val="32"/>
            </w:rPr>
            <w:t>七、财政拨款“三公”经费支出决算情况说明</w:t>
          </w:r>
          <w:r>
            <w:rPr>
              <w:rFonts w:hint="eastAsia" w:ascii="CESI仿宋-GB2312" w:hAnsi="CESI仿宋-GB2312" w:eastAsia="CESI仿宋-GB2312" w:cs="CESI仿宋-GB2312"/>
              <w:b w:val="0"/>
              <w:bCs w:val="0"/>
              <w:sz w:val="32"/>
              <w:szCs w:val="32"/>
            </w:rPr>
            <w:tab/>
          </w:r>
          <w:r>
            <w:rPr>
              <w:rFonts w:hint="eastAsia" w:ascii="CESI仿宋-GB2312" w:hAnsi="CESI仿宋-GB2312" w:eastAsia="CESI仿宋-GB2312" w:cs="CESI仿宋-GB2312"/>
              <w:b w:val="0"/>
              <w:bCs w:val="0"/>
              <w:sz w:val="32"/>
              <w:szCs w:val="32"/>
            </w:rPr>
            <w:fldChar w:fldCharType="begin"/>
          </w:r>
          <w:r>
            <w:rPr>
              <w:rFonts w:hint="eastAsia" w:ascii="CESI仿宋-GB2312" w:hAnsi="CESI仿宋-GB2312" w:eastAsia="CESI仿宋-GB2312" w:cs="CESI仿宋-GB2312"/>
              <w:b w:val="0"/>
              <w:bCs w:val="0"/>
              <w:sz w:val="32"/>
              <w:szCs w:val="32"/>
            </w:rPr>
            <w:instrText xml:space="preserve"> PAGEREF _Toc471538784 \h </w:instrText>
          </w:r>
          <w:r>
            <w:rPr>
              <w:rFonts w:hint="eastAsia" w:ascii="CESI仿宋-GB2312" w:hAnsi="CESI仿宋-GB2312" w:eastAsia="CESI仿宋-GB2312" w:cs="CESI仿宋-GB2312"/>
              <w:b w:val="0"/>
              <w:bCs w:val="0"/>
              <w:sz w:val="32"/>
              <w:szCs w:val="32"/>
            </w:rPr>
            <w:fldChar w:fldCharType="separate"/>
          </w:r>
          <w:r>
            <w:rPr>
              <w:rFonts w:hint="eastAsia" w:ascii="CESI仿宋-GB2312" w:hAnsi="CESI仿宋-GB2312" w:eastAsia="CESI仿宋-GB2312" w:cs="CESI仿宋-GB2312"/>
              <w:b w:val="0"/>
              <w:bCs w:val="0"/>
              <w:sz w:val="32"/>
              <w:szCs w:val="32"/>
            </w:rPr>
            <w:t>14</w:t>
          </w:r>
          <w:r>
            <w:rPr>
              <w:rFonts w:hint="eastAsia" w:ascii="CESI仿宋-GB2312" w:hAnsi="CESI仿宋-GB2312" w:eastAsia="CESI仿宋-GB2312" w:cs="CESI仿宋-GB2312"/>
              <w:b w:val="0"/>
              <w:bCs w:val="0"/>
              <w:sz w:val="32"/>
              <w:szCs w:val="32"/>
            </w:rPr>
            <w:fldChar w:fldCharType="end"/>
          </w:r>
          <w:r>
            <w:rPr>
              <w:rFonts w:hint="eastAsia" w:ascii="CESI仿宋-GB2312" w:hAnsi="CESI仿宋-GB2312" w:eastAsia="CESI仿宋-GB2312" w:cs="CESI仿宋-GB2312"/>
              <w:b w:val="0"/>
              <w:bCs w:val="0"/>
              <w:sz w:val="32"/>
              <w:szCs w:val="32"/>
            </w:rPr>
            <w:fldChar w:fldCharType="end"/>
          </w:r>
        </w:p>
        <w:p w14:paraId="572289D6">
          <w:pPr>
            <w:pStyle w:val="14"/>
            <w:tabs>
              <w:tab w:val="right" w:leader="dot" w:pos="8306"/>
              <w:tab w:val="clear" w:pos="8296"/>
            </w:tabs>
            <w:rPr>
              <w:rFonts w:hint="eastAsia" w:ascii="CESI仿宋-GB2312" w:hAnsi="CESI仿宋-GB2312" w:eastAsia="CESI仿宋-GB2312" w:cs="CESI仿宋-GB2312"/>
              <w:b w:val="0"/>
              <w:bCs w:val="0"/>
              <w:sz w:val="32"/>
              <w:szCs w:val="32"/>
            </w:rPr>
          </w:pPr>
          <w:r>
            <w:rPr>
              <w:rFonts w:hint="eastAsia" w:ascii="CESI仿宋-GB2312" w:hAnsi="CESI仿宋-GB2312" w:eastAsia="CESI仿宋-GB2312" w:cs="CESI仿宋-GB2312"/>
              <w:b w:val="0"/>
              <w:bCs w:val="0"/>
              <w:sz w:val="32"/>
              <w:szCs w:val="32"/>
            </w:rPr>
            <w:fldChar w:fldCharType="begin"/>
          </w:r>
          <w:r>
            <w:rPr>
              <w:rFonts w:hint="eastAsia" w:ascii="CESI仿宋-GB2312" w:hAnsi="CESI仿宋-GB2312" w:eastAsia="CESI仿宋-GB2312" w:cs="CESI仿宋-GB2312"/>
              <w:b w:val="0"/>
              <w:bCs w:val="0"/>
              <w:sz w:val="32"/>
              <w:szCs w:val="32"/>
            </w:rPr>
            <w:instrText xml:space="preserve"> HYPERLINK \l _Toc316582865 </w:instrText>
          </w:r>
          <w:r>
            <w:rPr>
              <w:rFonts w:hint="eastAsia" w:ascii="CESI仿宋-GB2312" w:hAnsi="CESI仿宋-GB2312" w:eastAsia="CESI仿宋-GB2312" w:cs="CESI仿宋-GB2312"/>
              <w:b w:val="0"/>
              <w:bCs w:val="0"/>
              <w:sz w:val="32"/>
              <w:szCs w:val="32"/>
            </w:rPr>
            <w:fldChar w:fldCharType="separate"/>
          </w:r>
          <w:r>
            <w:rPr>
              <w:rFonts w:hint="eastAsia" w:ascii="CESI仿宋-GB2312" w:hAnsi="CESI仿宋-GB2312" w:eastAsia="CESI仿宋-GB2312" w:cs="CESI仿宋-GB2312"/>
              <w:b w:val="0"/>
              <w:bCs w:val="0"/>
              <w:sz w:val="32"/>
              <w:szCs w:val="32"/>
            </w:rPr>
            <w:t>八、政府性基金预算支出决算情况说明</w:t>
          </w:r>
          <w:r>
            <w:rPr>
              <w:rFonts w:hint="eastAsia" w:ascii="CESI仿宋-GB2312" w:hAnsi="CESI仿宋-GB2312" w:eastAsia="CESI仿宋-GB2312" w:cs="CESI仿宋-GB2312"/>
              <w:b w:val="0"/>
              <w:bCs w:val="0"/>
              <w:sz w:val="32"/>
              <w:szCs w:val="32"/>
            </w:rPr>
            <w:tab/>
          </w:r>
          <w:r>
            <w:rPr>
              <w:rFonts w:hint="eastAsia" w:ascii="CESI仿宋-GB2312" w:hAnsi="CESI仿宋-GB2312" w:eastAsia="CESI仿宋-GB2312" w:cs="CESI仿宋-GB2312"/>
              <w:b w:val="0"/>
              <w:bCs w:val="0"/>
              <w:sz w:val="32"/>
              <w:szCs w:val="32"/>
            </w:rPr>
            <w:fldChar w:fldCharType="begin"/>
          </w:r>
          <w:r>
            <w:rPr>
              <w:rFonts w:hint="eastAsia" w:ascii="CESI仿宋-GB2312" w:hAnsi="CESI仿宋-GB2312" w:eastAsia="CESI仿宋-GB2312" w:cs="CESI仿宋-GB2312"/>
              <w:b w:val="0"/>
              <w:bCs w:val="0"/>
              <w:sz w:val="32"/>
              <w:szCs w:val="32"/>
            </w:rPr>
            <w:instrText xml:space="preserve"> PAGEREF _Toc316582865 \h </w:instrText>
          </w:r>
          <w:r>
            <w:rPr>
              <w:rFonts w:hint="eastAsia" w:ascii="CESI仿宋-GB2312" w:hAnsi="CESI仿宋-GB2312" w:eastAsia="CESI仿宋-GB2312" w:cs="CESI仿宋-GB2312"/>
              <w:b w:val="0"/>
              <w:bCs w:val="0"/>
              <w:sz w:val="32"/>
              <w:szCs w:val="32"/>
            </w:rPr>
            <w:fldChar w:fldCharType="separate"/>
          </w:r>
          <w:r>
            <w:rPr>
              <w:rFonts w:hint="eastAsia" w:ascii="CESI仿宋-GB2312" w:hAnsi="CESI仿宋-GB2312" w:eastAsia="CESI仿宋-GB2312" w:cs="CESI仿宋-GB2312"/>
              <w:b w:val="0"/>
              <w:bCs w:val="0"/>
              <w:sz w:val="32"/>
              <w:szCs w:val="32"/>
            </w:rPr>
            <w:t>16</w:t>
          </w:r>
          <w:r>
            <w:rPr>
              <w:rFonts w:hint="eastAsia" w:ascii="CESI仿宋-GB2312" w:hAnsi="CESI仿宋-GB2312" w:eastAsia="CESI仿宋-GB2312" w:cs="CESI仿宋-GB2312"/>
              <w:b w:val="0"/>
              <w:bCs w:val="0"/>
              <w:sz w:val="32"/>
              <w:szCs w:val="32"/>
            </w:rPr>
            <w:fldChar w:fldCharType="end"/>
          </w:r>
          <w:r>
            <w:rPr>
              <w:rFonts w:hint="eastAsia" w:ascii="CESI仿宋-GB2312" w:hAnsi="CESI仿宋-GB2312" w:eastAsia="CESI仿宋-GB2312" w:cs="CESI仿宋-GB2312"/>
              <w:b w:val="0"/>
              <w:bCs w:val="0"/>
              <w:sz w:val="32"/>
              <w:szCs w:val="32"/>
            </w:rPr>
            <w:fldChar w:fldCharType="end"/>
          </w:r>
        </w:p>
        <w:p w14:paraId="5D5EBBE2">
          <w:pPr>
            <w:pStyle w:val="14"/>
            <w:tabs>
              <w:tab w:val="right" w:leader="dot" w:pos="8306"/>
              <w:tab w:val="clear" w:pos="8296"/>
            </w:tabs>
            <w:rPr>
              <w:rFonts w:hint="eastAsia" w:ascii="CESI仿宋-GB2312" w:hAnsi="CESI仿宋-GB2312" w:eastAsia="CESI仿宋-GB2312" w:cs="CESI仿宋-GB2312"/>
              <w:b w:val="0"/>
              <w:bCs w:val="0"/>
              <w:sz w:val="32"/>
              <w:szCs w:val="32"/>
            </w:rPr>
          </w:pPr>
          <w:r>
            <w:rPr>
              <w:rFonts w:hint="eastAsia" w:ascii="CESI仿宋-GB2312" w:hAnsi="CESI仿宋-GB2312" w:eastAsia="CESI仿宋-GB2312" w:cs="CESI仿宋-GB2312"/>
              <w:b w:val="0"/>
              <w:bCs w:val="0"/>
              <w:sz w:val="32"/>
              <w:szCs w:val="32"/>
            </w:rPr>
            <w:fldChar w:fldCharType="begin"/>
          </w:r>
          <w:r>
            <w:rPr>
              <w:rFonts w:hint="eastAsia" w:ascii="CESI仿宋-GB2312" w:hAnsi="CESI仿宋-GB2312" w:eastAsia="CESI仿宋-GB2312" w:cs="CESI仿宋-GB2312"/>
              <w:b w:val="0"/>
              <w:bCs w:val="0"/>
              <w:sz w:val="32"/>
              <w:szCs w:val="32"/>
            </w:rPr>
            <w:instrText xml:space="preserve"> HYPERLINK \l _Toc1587514949 </w:instrText>
          </w:r>
          <w:r>
            <w:rPr>
              <w:rFonts w:hint="eastAsia" w:ascii="CESI仿宋-GB2312" w:hAnsi="CESI仿宋-GB2312" w:eastAsia="CESI仿宋-GB2312" w:cs="CESI仿宋-GB2312"/>
              <w:b w:val="0"/>
              <w:bCs w:val="0"/>
              <w:sz w:val="32"/>
              <w:szCs w:val="32"/>
            </w:rPr>
            <w:fldChar w:fldCharType="separate"/>
          </w:r>
          <w:r>
            <w:rPr>
              <w:rFonts w:hint="eastAsia" w:ascii="CESI仿宋-GB2312" w:hAnsi="CESI仿宋-GB2312" w:eastAsia="CESI仿宋-GB2312" w:cs="CESI仿宋-GB2312"/>
              <w:b w:val="0"/>
              <w:bCs w:val="0"/>
              <w:sz w:val="32"/>
              <w:szCs w:val="32"/>
            </w:rPr>
            <w:t>九、国有资本经营预算支出决算情况说明</w:t>
          </w:r>
          <w:r>
            <w:rPr>
              <w:rFonts w:hint="eastAsia" w:ascii="CESI仿宋-GB2312" w:hAnsi="CESI仿宋-GB2312" w:eastAsia="CESI仿宋-GB2312" w:cs="CESI仿宋-GB2312"/>
              <w:b w:val="0"/>
              <w:bCs w:val="0"/>
              <w:sz w:val="32"/>
              <w:szCs w:val="32"/>
            </w:rPr>
            <w:tab/>
          </w:r>
          <w:r>
            <w:rPr>
              <w:rFonts w:hint="eastAsia" w:ascii="CESI仿宋-GB2312" w:hAnsi="CESI仿宋-GB2312" w:eastAsia="CESI仿宋-GB2312" w:cs="CESI仿宋-GB2312"/>
              <w:b w:val="0"/>
              <w:bCs w:val="0"/>
              <w:sz w:val="32"/>
              <w:szCs w:val="32"/>
            </w:rPr>
            <w:fldChar w:fldCharType="begin"/>
          </w:r>
          <w:r>
            <w:rPr>
              <w:rFonts w:hint="eastAsia" w:ascii="CESI仿宋-GB2312" w:hAnsi="CESI仿宋-GB2312" w:eastAsia="CESI仿宋-GB2312" w:cs="CESI仿宋-GB2312"/>
              <w:b w:val="0"/>
              <w:bCs w:val="0"/>
              <w:sz w:val="32"/>
              <w:szCs w:val="32"/>
            </w:rPr>
            <w:instrText xml:space="preserve"> PAGEREF _Toc1587514949 \h </w:instrText>
          </w:r>
          <w:r>
            <w:rPr>
              <w:rFonts w:hint="eastAsia" w:ascii="CESI仿宋-GB2312" w:hAnsi="CESI仿宋-GB2312" w:eastAsia="CESI仿宋-GB2312" w:cs="CESI仿宋-GB2312"/>
              <w:b w:val="0"/>
              <w:bCs w:val="0"/>
              <w:sz w:val="32"/>
              <w:szCs w:val="32"/>
            </w:rPr>
            <w:fldChar w:fldCharType="separate"/>
          </w:r>
          <w:r>
            <w:rPr>
              <w:rFonts w:hint="eastAsia" w:ascii="CESI仿宋-GB2312" w:hAnsi="CESI仿宋-GB2312" w:eastAsia="CESI仿宋-GB2312" w:cs="CESI仿宋-GB2312"/>
              <w:b w:val="0"/>
              <w:bCs w:val="0"/>
              <w:sz w:val="32"/>
              <w:szCs w:val="32"/>
            </w:rPr>
            <w:t>16</w:t>
          </w:r>
          <w:r>
            <w:rPr>
              <w:rFonts w:hint="eastAsia" w:ascii="CESI仿宋-GB2312" w:hAnsi="CESI仿宋-GB2312" w:eastAsia="CESI仿宋-GB2312" w:cs="CESI仿宋-GB2312"/>
              <w:b w:val="0"/>
              <w:bCs w:val="0"/>
              <w:sz w:val="32"/>
              <w:szCs w:val="32"/>
            </w:rPr>
            <w:fldChar w:fldCharType="end"/>
          </w:r>
          <w:r>
            <w:rPr>
              <w:rFonts w:hint="eastAsia" w:ascii="CESI仿宋-GB2312" w:hAnsi="CESI仿宋-GB2312" w:eastAsia="CESI仿宋-GB2312" w:cs="CESI仿宋-GB2312"/>
              <w:b w:val="0"/>
              <w:bCs w:val="0"/>
              <w:sz w:val="32"/>
              <w:szCs w:val="32"/>
            </w:rPr>
            <w:fldChar w:fldCharType="end"/>
          </w:r>
        </w:p>
        <w:p w14:paraId="043431D0">
          <w:pPr>
            <w:pStyle w:val="14"/>
            <w:tabs>
              <w:tab w:val="right" w:leader="dot" w:pos="8306"/>
              <w:tab w:val="clear" w:pos="8296"/>
            </w:tabs>
            <w:rPr>
              <w:rFonts w:hint="eastAsia" w:ascii="CESI仿宋-GB2312" w:hAnsi="CESI仿宋-GB2312" w:eastAsia="CESI仿宋-GB2312" w:cs="CESI仿宋-GB2312"/>
              <w:b w:val="0"/>
              <w:bCs w:val="0"/>
              <w:sz w:val="32"/>
              <w:szCs w:val="32"/>
            </w:rPr>
          </w:pPr>
          <w:r>
            <w:rPr>
              <w:rFonts w:hint="eastAsia" w:ascii="CESI仿宋-GB2312" w:hAnsi="CESI仿宋-GB2312" w:eastAsia="CESI仿宋-GB2312" w:cs="CESI仿宋-GB2312"/>
              <w:b w:val="0"/>
              <w:bCs w:val="0"/>
              <w:sz w:val="32"/>
              <w:szCs w:val="32"/>
            </w:rPr>
            <w:fldChar w:fldCharType="begin"/>
          </w:r>
          <w:r>
            <w:rPr>
              <w:rFonts w:hint="eastAsia" w:ascii="CESI仿宋-GB2312" w:hAnsi="CESI仿宋-GB2312" w:eastAsia="CESI仿宋-GB2312" w:cs="CESI仿宋-GB2312"/>
              <w:b w:val="0"/>
              <w:bCs w:val="0"/>
              <w:sz w:val="32"/>
              <w:szCs w:val="32"/>
            </w:rPr>
            <w:instrText xml:space="preserve"> HYPERLINK \l _Toc863082320 </w:instrText>
          </w:r>
          <w:r>
            <w:rPr>
              <w:rFonts w:hint="eastAsia" w:ascii="CESI仿宋-GB2312" w:hAnsi="CESI仿宋-GB2312" w:eastAsia="CESI仿宋-GB2312" w:cs="CESI仿宋-GB2312"/>
              <w:b w:val="0"/>
              <w:bCs w:val="0"/>
              <w:sz w:val="32"/>
              <w:szCs w:val="32"/>
            </w:rPr>
            <w:fldChar w:fldCharType="separate"/>
          </w:r>
          <w:r>
            <w:rPr>
              <w:rFonts w:hint="eastAsia" w:ascii="CESI仿宋-GB2312" w:hAnsi="CESI仿宋-GB2312" w:eastAsia="CESI仿宋-GB2312" w:cs="CESI仿宋-GB2312"/>
              <w:b w:val="0"/>
              <w:bCs w:val="0"/>
              <w:sz w:val="32"/>
              <w:szCs w:val="32"/>
            </w:rPr>
            <w:t>十、其他重要事项的情况说明</w:t>
          </w:r>
          <w:r>
            <w:rPr>
              <w:rFonts w:hint="eastAsia" w:ascii="CESI仿宋-GB2312" w:hAnsi="CESI仿宋-GB2312" w:eastAsia="CESI仿宋-GB2312" w:cs="CESI仿宋-GB2312"/>
              <w:b w:val="0"/>
              <w:bCs w:val="0"/>
              <w:sz w:val="32"/>
              <w:szCs w:val="32"/>
            </w:rPr>
            <w:tab/>
          </w:r>
          <w:r>
            <w:rPr>
              <w:rFonts w:hint="eastAsia" w:ascii="CESI仿宋-GB2312" w:hAnsi="CESI仿宋-GB2312" w:eastAsia="CESI仿宋-GB2312" w:cs="CESI仿宋-GB2312"/>
              <w:b w:val="0"/>
              <w:bCs w:val="0"/>
              <w:sz w:val="32"/>
              <w:szCs w:val="32"/>
            </w:rPr>
            <w:fldChar w:fldCharType="begin"/>
          </w:r>
          <w:r>
            <w:rPr>
              <w:rFonts w:hint="eastAsia" w:ascii="CESI仿宋-GB2312" w:hAnsi="CESI仿宋-GB2312" w:eastAsia="CESI仿宋-GB2312" w:cs="CESI仿宋-GB2312"/>
              <w:b w:val="0"/>
              <w:bCs w:val="0"/>
              <w:sz w:val="32"/>
              <w:szCs w:val="32"/>
            </w:rPr>
            <w:instrText xml:space="preserve"> PAGEREF _Toc863082320 \h </w:instrText>
          </w:r>
          <w:r>
            <w:rPr>
              <w:rFonts w:hint="eastAsia" w:ascii="CESI仿宋-GB2312" w:hAnsi="CESI仿宋-GB2312" w:eastAsia="CESI仿宋-GB2312" w:cs="CESI仿宋-GB2312"/>
              <w:b w:val="0"/>
              <w:bCs w:val="0"/>
              <w:sz w:val="32"/>
              <w:szCs w:val="32"/>
            </w:rPr>
            <w:fldChar w:fldCharType="separate"/>
          </w:r>
          <w:r>
            <w:rPr>
              <w:rFonts w:hint="eastAsia" w:ascii="CESI仿宋-GB2312" w:hAnsi="CESI仿宋-GB2312" w:eastAsia="CESI仿宋-GB2312" w:cs="CESI仿宋-GB2312"/>
              <w:b w:val="0"/>
              <w:bCs w:val="0"/>
              <w:sz w:val="32"/>
              <w:szCs w:val="32"/>
            </w:rPr>
            <w:t>16</w:t>
          </w:r>
          <w:r>
            <w:rPr>
              <w:rFonts w:hint="eastAsia" w:ascii="CESI仿宋-GB2312" w:hAnsi="CESI仿宋-GB2312" w:eastAsia="CESI仿宋-GB2312" w:cs="CESI仿宋-GB2312"/>
              <w:b w:val="0"/>
              <w:bCs w:val="0"/>
              <w:sz w:val="32"/>
              <w:szCs w:val="32"/>
            </w:rPr>
            <w:fldChar w:fldCharType="end"/>
          </w:r>
          <w:r>
            <w:rPr>
              <w:rFonts w:hint="eastAsia" w:ascii="CESI仿宋-GB2312" w:hAnsi="CESI仿宋-GB2312" w:eastAsia="CESI仿宋-GB2312" w:cs="CESI仿宋-GB2312"/>
              <w:b w:val="0"/>
              <w:bCs w:val="0"/>
              <w:sz w:val="32"/>
              <w:szCs w:val="32"/>
            </w:rPr>
            <w:fldChar w:fldCharType="end"/>
          </w:r>
        </w:p>
        <w:p w14:paraId="6EFEAEA6">
          <w:pPr>
            <w:pStyle w:val="12"/>
            <w:tabs>
              <w:tab w:val="right" w:leader="dot" w:pos="8306"/>
              <w:tab w:val="clear" w:pos="8296"/>
            </w:tabs>
            <w:rPr>
              <w:rFonts w:hint="eastAsia" w:ascii="国标黑体" w:hAnsi="国标黑体" w:eastAsia="国标黑体" w:cs="国标黑体"/>
              <w:b w:val="0"/>
              <w:bCs w:val="0"/>
              <w:sz w:val="32"/>
              <w:szCs w:val="32"/>
            </w:rPr>
          </w:pPr>
          <w:r>
            <w:rPr>
              <w:rFonts w:hint="eastAsia" w:ascii="国标黑体" w:hAnsi="国标黑体" w:eastAsia="国标黑体" w:cs="国标黑体"/>
              <w:b w:val="0"/>
              <w:bCs w:val="0"/>
              <w:sz w:val="32"/>
              <w:szCs w:val="32"/>
            </w:rPr>
            <w:fldChar w:fldCharType="begin"/>
          </w:r>
          <w:r>
            <w:rPr>
              <w:rFonts w:hint="eastAsia" w:ascii="国标黑体" w:hAnsi="国标黑体" w:eastAsia="国标黑体" w:cs="国标黑体"/>
              <w:b w:val="0"/>
              <w:bCs w:val="0"/>
              <w:sz w:val="32"/>
              <w:szCs w:val="32"/>
            </w:rPr>
            <w:instrText xml:space="preserve"> HYPERLINK \l _Toc882399388 </w:instrText>
          </w:r>
          <w:r>
            <w:rPr>
              <w:rFonts w:hint="eastAsia" w:ascii="国标黑体" w:hAnsi="国标黑体" w:eastAsia="国标黑体" w:cs="国标黑体"/>
              <w:b w:val="0"/>
              <w:bCs w:val="0"/>
              <w:sz w:val="32"/>
              <w:szCs w:val="32"/>
            </w:rPr>
            <w:fldChar w:fldCharType="separate"/>
          </w:r>
          <w:r>
            <w:rPr>
              <w:rFonts w:hint="eastAsia" w:ascii="国标黑体" w:hAnsi="国标黑体" w:eastAsia="国标黑体" w:cs="国标黑体"/>
              <w:b w:val="0"/>
              <w:bCs w:val="0"/>
              <w:sz w:val="32"/>
              <w:szCs w:val="32"/>
            </w:rPr>
            <w:t>第三部分  名词解释</w:t>
          </w:r>
          <w:r>
            <w:rPr>
              <w:rFonts w:hint="eastAsia" w:ascii="国标黑体" w:hAnsi="国标黑体" w:eastAsia="国标黑体" w:cs="国标黑体"/>
              <w:b w:val="0"/>
              <w:bCs w:val="0"/>
              <w:sz w:val="32"/>
              <w:szCs w:val="32"/>
            </w:rPr>
            <w:tab/>
          </w:r>
          <w:r>
            <w:rPr>
              <w:rFonts w:hint="eastAsia" w:ascii="国标黑体" w:hAnsi="国标黑体" w:eastAsia="国标黑体" w:cs="国标黑体"/>
              <w:b w:val="0"/>
              <w:bCs w:val="0"/>
              <w:sz w:val="32"/>
              <w:szCs w:val="32"/>
            </w:rPr>
            <w:fldChar w:fldCharType="begin"/>
          </w:r>
          <w:r>
            <w:rPr>
              <w:rFonts w:hint="eastAsia" w:ascii="国标黑体" w:hAnsi="国标黑体" w:eastAsia="国标黑体" w:cs="国标黑体"/>
              <w:b w:val="0"/>
              <w:bCs w:val="0"/>
              <w:sz w:val="32"/>
              <w:szCs w:val="32"/>
            </w:rPr>
            <w:instrText xml:space="preserve"> PAGEREF _Toc882399388 \h </w:instrText>
          </w:r>
          <w:r>
            <w:rPr>
              <w:rFonts w:hint="eastAsia" w:ascii="国标黑体" w:hAnsi="国标黑体" w:eastAsia="国标黑体" w:cs="国标黑体"/>
              <w:b w:val="0"/>
              <w:bCs w:val="0"/>
              <w:sz w:val="32"/>
              <w:szCs w:val="32"/>
            </w:rPr>
            <w:fldChar w:fldCharType="separate"/>
          </w:r>
          <w:r>
            <w:rPr>
              <w:rFonts w:hint="eastAsia" w:ascii="国标黑体" w:hAnsi="国标黑体" w:eastAsia="国标黑体" w:cs="国标黑体"/>
              <w:b w:val="0"/>
              <w:bCs w:val="0"/>
              <w:sz w:val="32"/>
              <w:szCs w:val="32"/>
            </w:rPr>
            <w:t>20</w:t>
          </w:r>
          <w:r>
            <w:rPr>
              <w:rFonts w:hint="eastAsia" w:ascii="国标黑体" w:hAnsi="国标黑体" w:eastAsia="国标黑体" w:cs="国标黑体"/>
              <w:b w:val="0"/>
              <w:bCs w:val="0"/>
              <w:sz w:val="32"/>
              <w:szCs w:val="32"/>
            </w:rPr>
            <w:fldChar w:fldCharType="end"/>
          </w:r>
          <w:r>
            <w:rPr>
              <w:rFonts w:hint="eastAsia" w:ascii="国标黑体" w:hAnsi="国标黑体" w:eastAsia="国标黑体" w:cs="国标黑体"/>
              <w:b w:val="0"/>
              <w:bCs w:val="0"/>
              <w:sz w:val="32"/>
              <w:szCs w:val="32"/>
            </w:rPr>
            <w:fldChar w:fldCharType="end"/>
          </w:r>
        </w:p>
        <w:p w14:paraId="6B54A6EF">
          <w:pPr>
            <w:pStyle w:val="12"/>
            <w:tabs>
              <w:tab w:val="right" w:leader="dot" w:pos="8306"/>
              <w:tab w:val="clear" w:pos="8296"/>
            </w:tabs>
            <w:rPr>
              <w:rFonts w:hint="eastAsia" w:ascii="国标黑体" w:hAnsi="国标黑体" w:eastAsia="国标黑体" w:cs="国标黑体"/>
              <w:b w:val="0"/>
              <w:bCs w:val="0"/>
              <w:sz w:val="32"/>
              <w:szCs w:val="32"/>
            </w:rPr>
          </w:pPr>
          <w:r>
            <w:rPr>
              <w:rFonts w:hint="eastAsia" w:ascii="国标黑体" w:hAnsi="国标黑体" w:eastAsia="国标黑体" w:cs="国标黑体"/>
              <w:b w:val="0"/>
              <w:bCs w:val="0"/>
              <w:sz w:val="32"/>
              <w:szCs w:val="32"/>
            </w:rPr>
            <w:fldChar w:fldCharType="begin"/>
          </w:r>
          <w:r>
            <w:rPr>
              <w:rFonts w:hint="eastAsia" w:ascii="国标黑体" w:hAnsi="国标黑体" w:eastAsia="国标黑体" w:cs="国标黑体"/>
              <w:b w:val="0"/>
              <w:bCs w:val="0"/>
              <w:sz w:val="32"/>
              <w:szCs w:val="32"/>
            </w:rPr>
            <w:instrText xml:space="preserve"> HYPERLINK \l _Toc2112967611 </w:instrText>
          </w:r>
          <w:r>
            <w:rPr>
              <w:rFonts w:hint="eastAsia" w:ascii="国标黑体" w:hAnsi="国标黑体" w:eastAsia="国标黑体" w:cs="国标黑体"/>
              <w:b w:val="0"/>
              <w:bCs w:val="0"/>
              <w:sz w:val="32"/>
              <w:szCs w:val="32"/>
            </w:rPr>
            <w:fldChar w:fldCharType="separate"/>
          </w:r>
          <w:r>
            <w:rPr>
              <w:rFonts w:hint="eastAsia" w:ascii="国标黑体" w:hAnsi="国标黑体" w:eastAsia="国标黑体" w:cs="国标黑体"/>
              <w:b w:val="0"/>
              <w:bCs w:val="0"/>
              <w:sz w:val="32"/>
              <w:szCs w:val="32"/>
            </w:rPr>
            <w:t>第四部分  附件</w:t>
          </w:r>
          <w:r>
            <w:rPr>
              <w:rFonts w:hint="eastAsia" w:ascii="国标黑体" w:hAnsi="国标黑体" w:eastAsia="国标黑体" w:cs="国标黑体"/>
              <w:b w:val="0"/>
              <w:bCs w:val="0"/>
              <w:sz w:val="32"/>
              <w:szCs w:val="32"/>
            </w:rPr>
            <w:tab/>
          </w:r>
          <w:r>
            <w:rPr>
              <w:rFonts w:hint="eastAsia" w:ascii="国标黑体" w:hAnsi="国标黑体" w:eastAsia="国标黑体" w:cs="国标黑体"/>
              <w:b w:val="0"/>
              <w:bCs w:val="0"/>
              <w:sz w:val="32"/>
              <w:szCs w:val="32"/>
            </w:rPr>
            <w:fldChar w:fldCharType="begin"/>
          </w:r>
          <w:r>
            <w:rPr>
              <w:rFonts w:hint="eastAsia" w:ascii="国标黑体" w:hAnsi="国标黑体" w:eastAsia="国标黑体" w:cs="国标黑体"/>
              <w:b w:val="0"/>
              <w:bCs w:val="0"/>
              <w:sz w:val="32"/>
              <w:szCs w:val="32"/>
            </w:rPr>
            <w:instrText xml:space="preserve"> PAGEREF _Toc2112967611 \h </w:instrText>
          </w:r>
          <w:r>
            <w:rPr>
              <w:rFonts w:hint="eastAsia" w:ascii="国标黑体" w:hAnsi="国标黑体" w:eastAsia="国标黑体" w:cs="国标黑体"/>
              <w:b w:val="0"/>
              <w:bCs w:val="0"/>
              <w:sz w:val="32"/>
              <w:szCs w:val="32"/>
            </w:rPr>
            <w:fldChar w:fldCharType="separate"/>
          </w:r>
          <w:r>
            <w:rPr>
              <w:rFonts w:hint="eastAsia" w:ascii="国标黑体" w:hAnsi="国标黑体" w:eastAsia="国标黑体" w:cs="国标黑体"/>
              <w:b w:val="0"/>
              <w:bCs w:val="0"/>
              <w:sz w:val="32"/>
              <w:szCs w:val="32"/>
            </w:rPr>
            <w:t>26</w:t>
          </w:r>
          <w:r>
            <w:rPr>
              <w:rFonts w:hint="eastAsia" w:ascii="国标黑体" w:hAnsi="国标黑体" w:eastAsia="国标黑体" w:cs="国标黑体"/>
              <w:b w:val="0"/>
              <w:bCs w:val="0"/>
              <w:sz w:val="32"/>
              <w:szCs w:val="32"/>
            </w:rPr>
            <w:fldChar w:fldCharType="end"/>
          </w:r>
          <w:r>
            <w:rPr>
              <w:rFonts w:hint="eastAsia" w:ascii="国标黑体" w:hAnsi="国标黑体" w:eastAsia="国标黑体" w:cs="国标黑体"/>
              <w:b w:val="0"/>
              <w:bCs w:val="0"/>
              <w:sz w:val="32"/>
              <w:szCs w:val="32"/>
            </w:rPr>
            <w:fldChar w:fldCharType="end"/>
          </w:r>
        </w:p>
        <w:p w14:paraId="5CB99FDE">
          <w:pPr>
            <w:pStyle w:val="12"/>
            <w:tabs>
              <w:tab w:val="right" w:leader="dot" w:pos="8306"/>
              <w:tab w:val="clear" w:pos="8296"/>
            </w:tabs>
            <w:rPr>
              <w:rFonts w:hint="eastAsia" w:ascii="CESI仿宋-GB2312" w:hAnsi="CESI仿宋-GB2312" w:eastAsia="CESI仿宋-GB2312" w:cs="CESI仿宋-GB2312"/>
              <w:b w:val="0"/>
              <w:bCs w:val="0"/>
              <w:sz w:val="32"/>
              <w:szCs w:val="32"/>
            </w:rPr>
          </w:pPr>
          <w:r>
            <w:rPr>
              <w:rFonts w:hint="eastAsia" w:ascii="国标黑体" w:hAnsi="国标黑体" w:eastAsia="国标黑体" w:cs="国标黑体"/>
              <w:b w:val="0"/>
              <w:bCs w:val="0"/>
              <w:sz w:val="32"/>
              <w:szCs w:val="32"/>
            </w:rPr>
            <w:fldChar w:fldCharType="begin"/>
          </w:r>
          <w:r>
            <w:rPr>
              <w:rFonts w:hint="eastAsia" w:ascii="国标黑体" w:hAnsi="国标黑体" w:eastAsia="国标黑体" w:cs="国标黑体"/>
              <w:b w:val="0"/>
              <w:bCs w:val="0"/>
              <w:sz w:val="32"/>
              <w:szCs w:val="32"/>
            </w:rPr>
            <w:instrText xml:space="preserve"> HYPERLINK \l _Toc1917879216 </w:instrText>
          </w:r>
          <w:r>
            <w:rPr>
              <w:rFonts w:hint="eastAsia" w:ascii="国标黑体" w:hAnsi="国标黑体" w:eastAsia="国标黑体" w:cs="国标黑体"/>
              <w:b w:val="0"/>
              <w:bCs w:val="0"/>
              <w:sz w:val="32"/>
              <w:szCs w:val="32"/>
            </w:rPr>
            <w:fldChar w:fldCharType="separate"/>
          </w:r>
          <w:r>
            <w:rPr>
              <w:rFonts w:hint="eastAsia" w:ascii="国标黑体" w:hAnsi="国标黑体" w:eastAsia="国标黑体" w:cs="国标黑体"/>
              <w:b w:val="0"/>
              <w:bCs w:val="0"/>
              <w:sz w:val="32"/>
              <w:szCs w:val="32"/>
            </w:rPr>
            <w:t>第五部分 附表</w:t>
          </w:r>
          <w:r>
            <w:rPr>
              <w:rFonts w:hint="eastAsia" w:ascii="国标黑体" w:hAnsi="国标黑体" w:eastAsia="国标黑体" w:cs="国标黑体"/>
              <w:b w:val="0"/>
              <w:bCs w:val="0"/>
              <w:sz w:val="32"/>
              <w:szCs w:val="32"/>
            </w:rPr>
            <w:tab/>
          </w:r>
          <w:r>
            <w:rPr>
              <w:rFonts w:hint="eastAsia" w:ascii="国标黑体" w:hAnsi="国标黑体" w:eastAsia="国标黑体" w:cs="国标黑体"/>
              <w:b w:val="0"/>
              <w:bCs w:val="0"/>
              <w:sz w:val="32"/>
              <w:szCs w:val="32"/>
            </w:rPr>
            <w:fldChar w:fldCharType="begin"/>
          </w:r>
          <w:r>
            <w:rPr>
              <w:rFonts w:hint="eastAsia" w:ascii="国标黑体" w:hAnsi="国标黑体" w:eastAsia="国标黑体" w:cs="国标黑体"/>
              <w:b w:val="0"/>
              <w:bCs w:val="0"/>
              <w:sz w:val="32"/>
              <w:szCs w:val="32"/>
            </w:rPr>
            <w:instrText xml:space="preserve"> PAGEREF _Toc1917879216 \h </w:instrText>
          </w:r>
          <w:r>
            <w:rPr>
              <w:rFonts w:hint="eastAsia" w:ascii="国标黑体" w:hAnsi="国标黑体" w:eastAsia="国标黑体" w:cs="国标黑体"/>
              <w:b w:val="0"/>
              <w:bCs w:val="0"/>
              <w:sz w:val="32"/>
              <w:szCs w:val="32"/>
            </w:rPr>
            <w:fldChar w:fldCharType="separate"/>
          </w:r>
          <w:r>
            <w:rPr>
              <w:rFonts w:hint="eastAsia" w:ascii="国标黑体" w:hAnsi="国标黑体" w:eastAsia="国标黑体" w:cs="国标黑体"/>
              <w:b w:val="0"/>
              <w:bCs w:val="0"/>
              <w:sz w:val="32"/>
              <w:szCs w:val="32"/>
            </w:rPr>
            <w:t>63</w:t>
          </w:r>
          <w:r>
            <w:rPr>
              <w:rFonts w:hint="eastAsia" w:ascii="国标黑体" w:hAnsi="国标黑体" w:eastAsia="国标黑体" w:cs="国标黑体"/>
              <w:b w:val="0"/>
              <w:bCs w:val="0"/>
              <w:sz w:val="32"/>
              <w:szCs w:val="32"/>
            </w:rPr>
            <w:fldChar w:fldCharType="end"/>
          </w:r>
          <w:r>
            <w:rPr>
              <w:rFonts w:hint="eastAsia" w:ascii="国标黑体" w:hAnsi="国标黑体" w:eastAsia="国标黑体" w:cs="国标黑体"/>
              <w:b w:val="0"/>
              <w:bCs w:val="0"/>
              <w:sz w:val="32"/>
              <w:szCs w:val="32"/>
            </w:rPr>
            <w:fldChar w:fldCharType="end"/>
          </w:r>
        </w:p>
        <w:p w14:paraId="57100233">
          <w:pPr>
            <w:pStyle w:val="14"/>
            <w:tabs>
              <w:tab w:val="right" w:leader="dot" w:pos="8306"/>
              <w:tab w:val="clear" w:pos="8296"/>
            </w:tabs>
            <w:rPr>
              <w:rFonts w:hint="eastAsia" w:ascii="CESI仿宋-GB2312" w:hAnsi="CESI仿宋-GB2312" w:eastAsia="CESI仿宋-GB2312" w:cs="CESI仿宋-GB2312"/>
              <w:b w:val="0"/>
              <w:bCs w:val="0"/>
              <w:sz w:val="32"/>
              <w:szCs w:val="32"/>
            </w:rPr>
          </w:pPr>
          <w:r>
            <w:rPr>
              <w:rFonts w:hint="eastAsia" w:ascii="CESI仿宋-GB2312" w:hAnsi="CESI仿宋-GB2312" w:eastAsia="CESI仿宋-GB2312" w:cs="CESI仿宋-GB2312"/>
              <w:b w:val="0"/>
              <w:bCs w:val="0"/>
              <w:sz w:val="32"/>
              <w:szCs w:val="32"/>
            </w:rPr>
            <w:fldChar w:fldCharType="begin"/>
          </w:r>
          <w:r>
            <w:rPr>
              <w:rFonts w:hint="eastAsia" w:ascii="CESI仿宋-GB2312" w:hAnsi="CESI仿宋-GB2312" w:eastAsia="CESI仿宋-GB2312" w:cs="CESI仿宋-GB2312"/>
              <w:b w:val="0"/>
              <w:bCs w:val="0"/>
              <w:sz w:val="32"/>
              <w:szCs w:val="32"/>
            </w:rPr>
            <w:instrText xml:space="preserve"> HYPERLINK \l _Toc1532284945 </w:instrText>
          </w:r>
          <w:r>
            <w:rPr>
              <w:rFonts w:hint="eastAsia" w:ascii="CESI仿宋-GB2312" w:hAnsi="CESI仿宋-GB2312" w:eastAsia="CESI仿宋-GB2312" w:cs="CESI仿宋-GB2312"/>
              <w:b w:val="0"/>
              <w:bCs w:val="0"/>
              <w:sz w:val="32"/>
              <w:szCs w:val="32"/>
            </w:rPr>
            <w:fldChar w:fldCharType="separate"/>
          </w:r>
          <w:r>
            <w:rPr>
              <w:rFonts w:hint="eastAsia" w:ascii="CESI仿宋-GB2312" w:hAnsi="CESI仿宋-GB2312" w:eastAsia="CESI仿宋-GB2312" w:cs="CESI仿宋-GB2312"/>
              <w:b w:val="0"/>
              <w:bCs w:val="0"/>
              <w:sz w:val="32"/>
              <w:szCs w:val="32"/>
            </w:rPr>
            <w:t>一、收入支出决算总表</w:t>
          </w:r>
          <w:r>
            <w:rPr>
              <w:rFonts w:hint="eastAsia" w:ascii="CESI仿宋-GB2312" w:hAnsi="CESI仿宋-GB2312" w:eastAsia="CESI仿宋-GB2312" w:cs="CESI仿宋-GB2312"/>
              <w:b w:val="0"/>
              <w:bCs w:val="0"/>
              <w:sz w:val="32"/>
              <w:szCs w:val="32"/>
            </w:rPr>
            <w:tab/>
          </w:r>
          <w:r>
            <w:rPr>
              <w:rFonts w:hint="eastAsia" w:ascii="CESI仿宋-GB2312" w:hAnsi="CESI仿宋-GB2312" w:eastAsia="CESI仿宋-GB2312" w:cs="CESI仿宋-GB2312"/>
              <w:b w:val="0"/>
              <w:bCs w:val="0"/>
              <w:sz w:val="32"/>
              <w:szCs w:val="32"/>
            </w:rPr>
            <w:fldChar w:fldCharType="begin"/>
          </w:r>
          <w:r>
            <w:rPr>
              <w:rFonts w:hint="eastAsia" w:ascii="CESI仿宋-GB2312" w:hAnsi="CESI仿宋-GB2312" w:eastAsia="CESI仿宋-GB2312" w:cs="CESI仿宋-GB2312"/>
              <w:b w:val="0"/>
              <w:bCs w:val="0"/>
              <w:sz w:val="32"/>
              <w:szCs w:val="32"/>
            </w:rPr>
            <w:instrText xml:space="preserve"> PAGEREF _Toc1532284945 \h </w:instrText>
          </w:r>
          <w:r>
            <w:rPr>
              <w:rFonts w:hint="eastAsia" w:ascii="CESI仿宋-GB2312" w:hAnsi="CESI仿宋-GB2312" w:eastAsia="CESI仿宋-GB2312" w:cs="CESI仿宋-GB2312"/>
              <w:b w:val="0"/>
              <w:bCs w:val="0"/>
              <w:sz w:val="32"/>
              <w:szCs w:val="32"/>
            </w:rPr>
            <w:fldChar w:fldCharType="separate"/>
          </w:r>
          <w:r>
            <w:rPr>
              <w:rFonts w:hint="eastAsia" w:ascii="CESI仿宋-GB2312" w:hAnsi="CESI仿宋-GB2312" w:eastAsia="CESI仿宋-GB2312" w:cs="CESI仿宋-GB2312"/>
              <w:b w:val="0"/>
              <w:bCs w:val="0"/>
              <w:sz w:val="32"/>
              <w:szCs w:val="32"/>
            </w:rPr>
            <w:t>63</w:t>
          </w:r>
          <w:r>
            <w:rPr>
              <w:rFonts w:hint="eastAsia" w:ascii="CESI仿宋-GB2312" w:hAnsi="CESI仿宋-GB2312" w:eastAsia="CESI仿宋-GB2312" w:cs="CESI仿宋-GB2312"/>
              <w:b w:val="0"/>
              <w:bCs w:val="0"/>
              <w:sz w:val="32"/>
              <w:szCs w:val="32"/>
            </w:rPr>
            <w:fldChar w:fldCharType="end"/>
          </w:r>
          <w:r>
            <w:rPr>
              <w:rFonts w:hint="eastAsia" w:ascii="CESI仿宋-GB2312" w:hAnsi="CESI仿宋-GB2312" w:eastAsia="CESI仿宋-GB2312" w:cs="CESI仿宋-GB2312"/>
              <w:b w:val="0"/>
              <w:bCs w:val="0"/>
              <w:sz w:val="32"/>
              <w:szCs w:val="32"/>
            </w:rPr>
            <w:fldChar w:fldCharType="end"/>
          </w:r>
        </w:p>
        <w:p w14:paraId="7DCAB85C">
          <w:pPr>
            <w:pStyle w:val="14"/>
            <w:tabs>
              <w:tab w:val="right" w:leader="dot" w:pos="8306"/>
              <w:tab w:val="clear" w:pos="8296"/>
            </w:tabs>
            <w:rPr>
              <w:rFonts w:hint="eastAsia" w:ascii="CESI仿宋-GB2312" w:hAnsi="CESI仿宋-GB2312" w:eastAsia="CESI仿宋-GB2312" w:cs="CESI仿宋-GB2312"/>
              <w:b w:val="0"/>
              <w:bCs w:val="0"/>
              <w:sz w:val="32"/>
              <w:szCs w:val="32"/>
            </w:rPr>
          </w:pPr>
          <w:r>
            <w:rPr>
              <w:rFonts w:hint="eastAsia" w:ascii="CESI仿宋-GB2312" w:hAnsi="CESI仿宋-GB2312" w:eastAsia="CESI仿宋-GB2312" w:cs="CESI仿宋-GB2312"/>
              <w:b w:val="0"/>
              <w:bCs w:val="0"/>
              <w:sz w:val="32"/>
              <w:szCs w:val="32"/>
            </w:rPr>
            <w:fldChar w:fldCharType="begin"/>
          </w:r>
          <w:r>
            <w:rPr>
              <w:rFonts w:hint="eastAsia" w:ascii="CESI仿宋-GB2312" w:hAnsi="CESI仿宋-GB2312" w:eastAsia="CESI仿宋-GB2312" w:cs="CESI仿宋-GB2312"/>
              <w:b w:val="0"/>
              <w:bCs w:val="0"/>
              <w:sz w:val="32"/>
              <w:szCs w:val="32"/>
            </w:rPr>
            <w:instrText xml:space="preserve"> HYPERLINK \l _Toc683453231 </w:instrText>
          </w:r>
          <w:r>
            <w:rPr>
              <w:rFonts w:hint="eastAsia" w:ascii="CESI仿宋-GB2312" w:hAnsi="CESI仿宋-GB2312" w:eastAsia="CESI仿宋-GB2312" w:cs="CESI仿宋-GB2312"/>
              <w:b w:val="0"/>
              <w:bCs w:val="0"/>
              <w:sz w:val="32"/>
              <w:szCs w:val="32"/>
            </w:rPr>
            <w:fldChar w:fldCharType="separate"/>
          </w:r>
          <w:r>
            <w:rPr>
              <w:rFonts w:hint="eastAsia" w:ascii="CESI仿宋-GB2312" w:hAnsi="CESI仿宋-GB2312" w:eastAsia="CESI仿宋-GB2312" w:cs="CESI仿宋-GB2312"/>
              <w:b w:val="0"/>
              <w:bCs w:val="0"/>
              <w:sz w:val="32"/>
              <w:szCs w:val="32"/>
            </w:rPr>
            <w:t>二、收入决算表</w:t>
          </w:r>
          <w:r>
            <w:rPr>
              <w:rFonts w:hint="eastAsia" w:ascii="CESI仿宋-GB2312" w:hAnsi="CESI仿宋-GB2312" w:eastAsia="CESI仿宋-GB2312" w:cs="CESI仿宋-GB2312"/>
              <w:b w:val="0"/>
              <w:bCs w:val="0"/>
              <w:sz w:val="32"/>
              <w:szCs w:val="32"/>
            </w:rPr>
            <w:tab/>
          </w:r>
          <w:r>
            <w:rPr>
              <w:rFonts w:hint="eastAsia" w:ascii="CESI仿宋-GB2312" w:hAnsi="CESI仿宋-GB2312" w:eastAsia="CESI仿宋-GB2312" w:cs="CESI仿宋-GB2312"/>
              <w:b w:val="0"/>
              <w:bCs w:val="0"/>
              <w:sz w:val="32"/>
              <w:szCs w:val="32"/>
            </w:rPr>
            <w:fldChar w:fldCharType="begin"/>
          </w:r>
          <w:r>
            <w:rPr>
              <w:rFonts w:hint="eastAsia" w:ascii="CESI仿宋-GB2312" w:hAnsi="CESI仿宋-GB2312" w:eastAsia="CESI仿宋-GB2312" w:cs="CESI仿宋-GB2312"/>
              <w:b w:val="0"/>
              <w:bCs w:val="0"/>
              <w:sz w:val="32"/>
              <w:szCs w:val="32"/>
            </w:rPr>
            <w:instrText xml:space="preserve"> PAGEREF _Toc683453231 \h </w:instrText>
          </w:r>
          <w:r>
            <w:rPr>
              <w:rFonts w:hint="eastAsia" w:ascii="CESI仿宋-GB2312" w:hAnsi="CESI仿宋-GB2312" w:eastAsia="CESI仿宋-GB2312" w:cs="CESI仿宋-GB2312"/>
              <w:b w:val="0"/>
              <w:bCs w:val="0"/>
              <w:sz w:val="32"/>
              <w:szCs w:val="32"/>
            </w:rPr>
            <w:fldChar w:fldCharType="separate"/>
          </w:r>
          <w:r>
            <w:rPr>
              <w:rFonts w:hint="eastAsia" w:ascii="CESI仿宋-GB2312" w:hAnsi="CESI仿宋-GB2312" w:eastAsia="CESI仿宋-GB2312" w:cs="CESI仿宋-GB2312"/>
              <w:b w:val="0"/>
              <w:bCs w:val="0"/>
              <w:sz w:val="32"/>
              <w:szCs w:val="32"/>
            </w:rPr>
            <w:t>63</w:t>
          </w:r>
          <w:r>
            <w:rPr>
              <w:rFonts w:hint="eastAsia" w:ascii="CESI仿宋-GB2312" w:hAnsi="CESI仿宋-GB2312" w:eastAsia="CESI仿宋-GB2312" w:cs="CESI仿宋-GB2312"/>
              <w:b w:val="0"/>
              <w:bCs w:val="0"/>
              <w:sz w:val="32"/>
              <w:szCs w:val="32"/>
            </w:rPr>
            <w:fldChar w:fldCharType="end"/>
          </w:r>
          <w:r>
            <w:rPr>
              <w:rFonts w:hint="eastAsia" w:ascii="CESI仿宋-GB2312" w:hAnsi="CESI仿宋-GB2312" w:eastAsia="CESI仿宋-GB2312" w:cs="CESI仿宋-GB2312"/>
              <w:b w:val="0"/>
              <w:bCs w:val="0"/>
              <w:sz w:val="32"/>
              <w:szCs w:val="32"/>
            </w:rPr>
            <w:fldChar w:fldCharType="end"/>
          </w:r>
        </w:p>
        <w:p w14:paraId="00FD4BE3">
          <w:pPr>
            <w:pStyle w:val="14"/>
            <w:tabs>
              <w:tab w:val="right" w:leader="dot" w:pos="8306"/>
              <w:tab w:val="clear" w:pos="8296"/>
            </w:tabs>
            <w:rPr>
              <w:rFonts w:hint="eastAsia" w:ascii="CESI仿宋-GB2312" w:hAnsi="CESI仿宋-GB2312" w:eastAsia="CESI仿宋-GB2312" w:cs="CESI仿宋-GB2312"/>
              <w:b w:val="0"/>
              <w:bCs w:val="0"/>
              <w:sz w:val="32"/>
              <w:szCs w:val="32"/>
            </w:rPr>
          </w:pPr>
          <w:r>
            <w:rPr>
              <w:rFonts w:hint="eastAsia" w:ascii="CESI仿宋-GB2312" w:hAnsi="CESI仿宋-GB2312" w:eastAsia="CESI仿宋-GB2312" w:cs="CESI仿宋-GB2312"/>
              <w:b w:val="0"/>
              <w:bCs w:val="0"/>
              <w:sz w:val="32"/>
              <w:szCs w:val="32"/>
            </w:rPr>
            <w:fldChar w:fldCharType="begin"/>
          </w:r>
          <w:r>
            <w:rPr>
              <w:rFonts w:hint="eastAsia" w:ascii="CESI仿宋-GB2312" w:hAnsi="CESI仿宋-GB2312" w:eastAsia="CESI仿宋-GB2312" w:cs="CESI仿宋-GB2312"/>
              <w:b w:val="0"/>
              <w:bCs w:val="0"/>
              <w:sz w:val="32"/>
              <w:szCs w:val="32"/>
            </w:rPr>
            <w:instrText xml:space="preserve"> HYPERLINK \l _Toc1677993035 </w:instrText>
          </w:r>
          <w:r>
            <w:rPr>
              <w:rFonts w:hint="eastAsia" w:ascii="CESI仿宋-GB2312" w:hAnsi="CESI仿宋-GB2312" w:eastAsia="CESI仿宋-GB2312" w:cs="CESI仿宋-GB2312"/>
              <w:b w:val="0"/>
              <w:bCs w:val="0"/>
              <w:sz w:val="32"/>
              <w:szCs w:val="32"/>
            </w:rPr>
            <w:fldChar w:fldCharType="separate"/>
          </w:r>
          <w:r>
            <w:rPr>
              <w:rFonts w:hint="eastAsia" w:ascii="CESI仿宋-GB2312" w:hAnsi="CESI仿宋-GB2312" w:eastAsia="CESI仿宋-GB2312" w:cs="CESI仿宋-GB2312"/>
              <w:b w:val="0"/>
              <w:bCs w:val="0"/>
              <w:sz w:val="32"/>
              <w:szCs w:val="32"/>
            </w:rPr>
            <w:t>三、支出决算表</w:t>
          </w:r>
          <w:r>
            <w:rPr>
              <w:rFonts w:hint="eastAsia" w:ascii="CESI仿宋-GB2312" w:hAnsi="CESI仿宋-GB2312" w:eastAsia="CESI仿宋-GB2312" w:cs="CESI仿宋-GB2312"/>
              <w:b w:val="0"/>
              <w:bCs w:val="0"/>
              <w:sz w:val="32"/>
              <w:szCs w:val="32"/>
            </w:rPr>
            <w:tab/>
          </w:r>
          <w:r>
            <w:rPr>
              <w:rFonts w:hint="eastAsia" w:ascii="CESI仿宋-GB2312" w:hAnsi="CESI仿宋-GB2312" w:eastAsia="CESI仿宋-GB2312" w:cs="CESI仿宋-GB2312"/>
              <w:b w:val="0"/>
              <w:bCs w:val="0"/>
              <w:sz w:val="32"/>
              <w:szCs w:val="32"/>
            </w:rPr>
            <w:fldChar w:fldCharType="begin"/>
          </w:r>
          <w:r>
            <w:rPr>
              <w:rFonts w:hint="eastAsia" w:ascii="CESI仿宋-GB2312" w:hAnsi="CESI仿宋-GB2312" w:eastAsia="CESI仿宋-GB2312" w:cs="CESI仿宋-GB2312"/>
              <w:b w:val="0"/>
              <w:bCs w:val="0"/>
              <w:sz w:val="32"/>
              <w:szCs w:val="32"/>
            </w:rPr>
            <w:instrText xml:space="preserve"> PAGEREF _Toc1677993035 \h </w:instrText>
          </w:r>
          <w:r>
            <w:rPr>
              <w:rFonts w:hint="eastAsia" w:ascii="CESI仿宋-GB2312" w:hAnsi="CESI仿宋-GB2312" w:eastAsia="CESI仿宋-GB2312" w:cs="CESI仿宋-GB2312"/>
              <w:b w:val="0"/>
              <w:bCs w:val="0"/>
              <w:sz w:val="32"/>
              <w:szCs w:val="32"/>
            </w:rPr>
            <w:fldChar w:fldCharType="separate"/>
          </w:r>
          <w:r>
            <w:rPr>
              <w:rFonts w:hint="eastAsia" w:ascii="CESI仿宋-GB2312" w:hAnsi="CESI仿宋-GB2312" w:eastAsia="CESI仿宋-GB2312" w:cs="CESI仿宋-GB2312"/>
              <w:b w:val="0"/>
              <w:bCs w:val="0"/>
              <w:sz w:val="32"/>
              <w:szCs w:val="32"/>
            </w:rPr>
            <w:t>63</w:t>
          </w:r>
          <w:r>
            <w:rPr>
              <w:rFonts w:hint="eastAsia" w:ascii="CESI仿宋-GB2312" w:hAnsi="CESI仿宋-GB2312" w:eastAsia="CESI仿宋-GB2312" w:cs="CESI仿宋-GB2312"/>
              <w:b w:val="0"/>
              <w:bCs w:val="0"/>
              <w:sz w:val="32"/>
              <w:szCs w:val="32"/>
            </w:rPr>
            <w:fldChar w:fldCharType="end"/>
          </w:r>
          <w:r>
            <w:rPr>
              <w:rFonts w:hint="eastAsia" w:ascii="CESI仿宋-GB2312" w:hAnsi="CESI仿宋-GB2312" w:eastAsia="CESI仿宋-GB2312" w:cs="CESI仿宋-GB2312"/>
              <w:b w:val="0"/>
              <w:bCs w:val="0"/>
              <w:sz w:val="32"/>
              <w:szCs w:val="32"/>
            </w:rPr>
            <w:fldChar w:fldCharType="end"/>
          </w:r>
        </w:p>
        <w:p w14:paraId="33F2B861">
          <w:pPr>
            <w:pStyle w:val="14"/>
            <w:tabs>
              <w:tab w:val="right" w:leader="dot" w:pos="8306"/>
              <w:tab w:val="clear" w:pos="8296"/>
            </w:tabs>
            <w:rPr>
              <w:rFonts w:hint="eastAsia" w:ascii="CESI仿宋-GB2312" w:hAnsi="CESI仿宋-GB2312" w:eastAsia="CESI仿宋-GB2312" w:cs="CESI仿宋-GB2312"/>
              <w:b w:val="0"/>
              <w:bCs w:val="0"/>
              <w:sz w:val="32"/>
              <w:szCs w:val="32"/>
            </w:rPr>
          </w:pPr>
          <w:r>
            <w:rPr>
              <w:rFonts w:hint="eastAsia" w:ascii="CESI仿宋-GB2312" w:hAnsi="CESI仿宋-GB2312" w:eastAsia="CESI仿宋-GB2312" w:cs="CESI仿宋-GB2312"/>
              <w:b w:val="0"/>
              <w:bCs w:val="0"/>
              <w:sz w:val="32"/>
              <w:szCs w:val="32"/>
            </w:rPr>
            <w:fldChar w:fldCharType="begin"/>
          </w:r>
          <w:r>
            <w:rPr>
              <w:rFonts w:hint="eastAsia" w:ascii="CESI仿宋-GB2312" w:hAnsi="CESI仿宋-GB2312" w:eastAsia="CESI仿宋-GB2312" w:cs="CESI仿宋-GB2312"/>
              <w:b w:val="0"/>
              <w:bCs w:val="0"/>
              <w:sz w:val="32"/>
              <w:szCs w:val="32"/>
            </w:rPr>
            <w:instrText xml:space="preserve"> HYPERLINK \l _Toc2047256558 </w:instrText>
          </w:r>
          <w:r>
            <w:rPr>
              <w:rFonts w:hint="eastAsia" w:ascii="CESI仿宋-GB2312" w:hAnsi="CESI仿宋-GB2312" w:eastAsia="CESI仿宋-GB2312" w:cs="CESI仿宋-GB2312"/>
              <w:b w:val="0"/>
              <w:bCs w:val="0"/>
              <w:sz w:val="32"/>
              <w:szCs w:val="32"/>
            </w:rPr>
            <w:fldChar w:fldCharType="separate"/>
          </w:r>
          <w:r>
            <w:rPr>
              <w:rFonts w:hint="eastAsia" w:ascii="CESI仿宋-GB2312" w:hAnsi="CESI仿宋-GB2312" w:eastAsia="CESI仿宋-GB2312" w:cs="CESI仿宋-GB2312"/>
              <w:b w:val="0"/>
              <w:bCs w:val="0"/>
              <w:sz w:val="32"/>
              <w:szCs w:val="32"/>
            </w:rPr>
            <w:t>四、财政拨款收入支出决算总表</w:t>
          </w:r>
          <w:r>
            <w:rPr>
              <w:rFonts w:hint="eastAsia" w:ascii="CESI仿宋-GB2312" w:hAnsi="CESI仿宋-GB2312" w:eastAsia="CESI仿宋-GB2312" w:cs="CESI仿宋-GB2312"/>
              <w:b w:val="0"/>
              <w:bCs w:val="0"/>
              <w:sz w:val="32"/>
              <w:szCs w:val="32"/>
            </w:rPr>
            <w:tab/>
          </w:r>
          <w:r>
            <w:rPr>
              <w:rFonts w:hint="eastAsia" w:ascii="CESI仿宋-GB2312" w:hAnsi="CESI仿宋-GB2312" w:eastAsia="CESI仿宋-GB2312" w:cs="CESI仿宋-GB2312"/>
              <w:b w:val="0"/>
              <w:bCs w:val="0"/>
              <w:sz w:val="32"/>
              <w:szCs w:val="32"/>
            </w:rPr>
            <w:fldChar w:fldCharType="begin"/>
          </w:r>
          <w:r>
            <w:rPr>
              <w:rFonts w:hint="eastAsia" w:ascii="CESI仿宋-GB2312" w:hAnsi="CESI仿宋-GB2312" w:eastAsia="CESI仿宋-GB2312" w:cs="CESI仿宋-GB2312"/>
              <w:b w:val="0"/>
              <w:bCs w:val="0"/>
              <w:sz w:val="32"/>
              <w:szCs w:val="32"/>
            </w:rPr>
            <w:instrText xml:space="preserve"> PAGEREF _Toc2047256558 \h </w:instrText>
          </w:r>
          <w:r>
            <w:rPr>
              <w:rFonts w:hint="eastAsia" w:ascii="CESI仿宋-GB2312" w:hAnsi="CESI仿宋-GB2312" w:eastAsia="CESI仿宋-GB2312" w:cs="CESI仿宋-GB2312"/>
              <w:b w:val="0"/>
              <w:bCs w:val="0"/>
              <w:sz w:val="32"/>
              <w:szCs w:val="32"/>
            </w:rPr>
            <w:fldChar w:fldCharType="separate"/>
          </w:r>
          <w:r>
            <w:rPr>
              <w:rFonts w:hint="eastAsia" w:ascii="CESI仿宋-GB2312" w:hAnsi="CESI仿宋-GB2312" w:eastAsia="CESI仿宋-GB2312" w:cs="CESI仿宋-GB2312"/>
              <w:b w:val="0"/>
              <w:bCs w:val="0"/>
              <w:sz w:val="32"/>
              <w:szCs w:val="32"/>
            </w:rPr>
            <w:t>63</w:t>
          </w:r>
          <w:r>
            <w:rPr>
              <w:rFonts w:hint="eastAsia" w:ascii="CESI仿宋-GB2312" w:hAnsi="CESI仿宋-GB2312" w:eastAsia="CESI仿宋-GB2312" w:cs="CESI仿宋-GB2312"/>
              <w:b w:val="0"/>
              <w:bCs w:val="0"/>
              <w:sz w:val="32"/>
              <w:szCs w:val="32"/>
            </w:rPr>
            <w:fldChar w:fldCharType="end"/>
          </w:r>
          <w:r>
            <w:rPr>
              <w:rFonts w:hint="eastAsia" w:ascii="CESI仿宋-GB2312" w:hAnsi="CESI仿宋-GB2312" w:eastAsia="CESI仿宋-GB2312" w:cs="CESI仿宋-GB2312"/>
              <w:b w:val="0"/>
              <w:bCs w:val="0"/>
              <w:sz w:val="32"/>
              <w:szCs w:val="32"/>
            </w:rPr>
            <w:fldChar w:fldCharType="end"/>
          </w:r>
        </w:p>
        <w:p w14:paraId="63AC65B9">
          <w:pPr>
            <w:pStyle w:val="14"/>
            <w:tabs>
              <w:tab w:val="right" w:leader="dot" w:pos="8306"/>
              <w:tab w:val="clear" w:pos="8296"/>
            </w:tabs>
            <w:rPr>
              <w:rFonts w:hint="eastAsia" w:ascii="CESI仿宋-GB2312" w:hAnsi="CESI仿宋-GB2312" w:eastAsia="CESI仿宋-GB2312" w:cs="CESI仿宋-GB2312"/>
              <w:b w:val="0"/>
              <w:bCs w:val="0"/>
              <w:sz w:val="32"/>
              <w:szCs w:val="32"/>
            </w:rPr>
          </w:pPr>
          <w:r>
            <w:rPr>
              <w:rFonts w:hint="eastAsia" w:ascii="CESI仿宋-GB2312" w:hAnsi="CESI仿宋-GB2312" w:eastAsia="CESI仿宋-GB2312" w:cs="CESI仿宋-GB2312"/>
              <w:b w:val="0"/>
              <w:bCs w:val="0"/>
              <w:sz w:val="32"/>
              <w:szCs w:val="32"/>
            </w:rPr>
            <w:fldChar w:fldCharType="begin"/>
          </w:r>
          <w:r>
            <w:rPr>
              <w:rFonts w:hint="eastAsia" w:ascii="CESI仿宋-GB2312" w:hAnsi="CESI仿宋-GB2312" w:eastAsia="CESI仿宋-GB2312" w:cs="CESI仿宋-GB2312"/>
              <w:b w:val="0"/>
              <w:bCs w:val="0"/>
              <w:sz w:val="32"/>
              <w:szCs w:val="32"/>
            </w:rPr>
            <w:instrText xml:space="preserve"> HYPERLINK \l _Toc199991638 </w:instrText>
          </w:r>
          <w:r>
            <w:rPr>
              <w:rFonts w:hint="eastAsia" w:ascii="CESI仿宋-GB2312" w:hAnsi="CESI仿宋-GB2312" w:eastAsia="CESI仿宋-GB2312" w:cs="CESI仿宋-GB2312"/>
              <w:b w:val="0"/>
              <w:bCs w:val="0"/>
              <w:sz w:val="32"/>
              <w:szCs w:val="32"/>
            </w:rPr>
            <w:fldChar w:fldCharType="separate"/>
          </w:r>
          <w:r>
            <w:rPr>
              <w:rFonts w:hint="eastAsia" w:ascii="CESI仿宋-GB2312" w:hAnsi="CESI仿宋-GB2312" w:eastAsia="CESI仿宋-GB2312" w:cs="CESI仿宋-GB2312"/>
              <w:b w:val="0"/>
              <w:bCs w:val="0"/>
              <w:sz w:val="32"/>
              <w:szCs w:val="32"/>
            </w:rPr>
            <w:t>五、财政拨款支出决算明细表</w:t>
          </w:r>
          <w:r>
            <w:rPr>
              <w:rFonts w:hint="eastAsia" w:ascii="CESI仿宋-GB2312" w:hAnsi="CESI仿宋-GB2312" w:eastAsia="CESI仿宋-GB2312" w:cs="CESI仿宋-GB2312"/>
              <w:b w:val="0"/>
              <w:bCs w:val="0"/>
              <w:sz w:val="32"/>
              <w:szCs w:val="32"/>
            </w:rPr>
            <w:tab/>
          </w:r>
          <w:r>
            <w:rPr>
              <w:rFonts w:hint="eastAsia" w:ascii="CESI仿宋-GB2312" w:hAnsi="CESI仿宋-GB2312" w:eastAsia="CESI仿宋-GB2312" w:cs="CESI仿宋-GB2312"/>
              <w:b w:val="0"/>
              <w:bCs w:val="0"/>
              <w:sz w:val="32"/>
              <w:szCs w:val="32"/>
            </w:rPr>
            <w:fldChar w:fldCharType="begin"/>
          </w:r>
          <w:r>
            <w:rPr>
              <w:rFonts w:hint="eastAsia" w:ascii="CESI仿宋-GB2312" w:hAnsi="CESI仿宋-GB2312" w:eastAsia="CESI仿宋-GB2312" w:cs="CESI仿宋-GB2312"/>
              <w:b w:val="0"/>
              <w:bCs w:val="0"/>
              <w:sz w:val="32"/>
              <w:szCs w:val="32"/>
            </w:rPr>
            <w:instrText xml:space="preserve"> PAGEREF _Toc199991638 \h </w:instrText>
          </w:r>
          <w:r>
            <w:rPr>
              <w:rFonts w:hint="eastAsia" w:ascii="CESI仿宋-GB2312" w:hAnsi="CESI仿宋-GB2312" w:eastAsia="CESI仿宋-GB2312" w:cs="CESI仿宋-GB2312"/>
              <w:b w:val="0"/>
              <w:bCs w:val="0"/>
              <w:sz w:val="32"/>
              <w:szCs w:val="32"/>
            </w:rPr>
            <w:fldChar w:fldCharType="separate"/>
          </w:r>
          <w:r>
            <w:rPr>
              <w:rFonts w:hint="eastAsia" w:ascii="CESI仿宋-GB2312" w:hAnsi="CESI仿宋-GB2312" w:eastAsia="CESI仿宋-GB2312" w:cs="CESI仿宋-GB2312"/>
              <w:b w:val="0"/>
              <w:bCs w:val="0"/>
              <w:sz w:val="32"/>
              <w:szCs w:val="32"/>
            </w:rPr>
            <w:t>63</w:t>
          </w:r>
          <w:r>
            <w:rPr>
              <w:rFonts w:hint="eastAsia" w:ascii="CESI仿宋-GB2312" w:hAnsi="CESI仿宋-GB2312" w:eastAsia="CESI仿宋-GB2312" w:cs="CESI仿宋-GB2312"/>
              <w:b w:val="0"/>
              <w:bCs w:val="0"/>
              <w:sz w:val="32"/>
              <w:szCs w:val="32"/>
            </w:rPr>
            <w:fldChar w:fldCharType="end"/>
          </w:r>
          <w:r>
            <w:rPr>
              <w:rFonts w:hint="eastAsia" w:ascii="CESI仿宋-GB2312" w:hAnsi="CESI仿宋-GB2312" w:eastAsia="CESI仿宋-GB2312" w:cs="CESI仿宋-GB2312"/>
              <w:b w:val="0"/>
              <w:bCs w:val="0"/>
              <w:sz w:val="32"/>
              <w:szCs w:val="32"/>
            </w:rPr>
            <w:fldChar w:fldCharType="end"/>
          </w:r>
        </w:p>
        <w:p w14:paraId="3A799463">
          <w:pPr>
            <w:pStyle w:val="14"/>
            <w:tabs>
              <w:tab w:val="right" w:leader="dot" w:pos="8306"/>
              <w:tab w:val="clear" w:pos="8296"/>
            </w:tabs>
            <w:rPr>
              <w:rFonts w:hint="eastAsia" w:ascii="CESI仿宋-GB2312" w:hAnsi="CESI仿宋-GB2312" w:eastAsia="CESI仿宋-GB2312" w:cs="CESI仿宋-GB2312"/>
              <w:b w:val="0"/>
              <w:bCs w:val="0"/>
              <w:sz w:val="32"/>
              <w:szCs w:val="32"/>
            </w:rPr>
          </w:pPr>
          <w:r>
            <w:rPr>
              <w:rFonts w:hint="eastAsia" w:ascii="CESI仿宋-GB2312" w:hAnsi="CESI仿宋-GB2312" w:eastAsia="CESI仿宋-GB2312" w:cs="CESI仿宋-GB2312"/>
              <w:b w:val="0"/>
              <w:bCs w:val="0"/>
              <w:sz w:val="32"/>
              <w:szCs w:val="32"/>
            </w:rPr>
            <w:fldChar w:fldCharType="begin"/>
          </w:r>
          <w:r>
            <w:rPr>
              <w:rFonts w:hint="eastAsia" w:ascii="CESI仿宋-GB2312" w:hAnsi="CESI仿宋-GB2312" w:eastAsia="CESI仿宋-GB2312" w:cs="CESI仿宋-GB2312"/>
              <w:b w:val="0"/>
              <w:bCs w:val="0"/>
              <w:sz w:val="32"/>
              <w:szCs w:val="32"/>
            </w:rPr>
            <w:instrText xml:space="preserve"> HYPERLINK \l _Toc1139293770 </w:instrText>
          </w:r>
          <w:r>
            <w:rPr>
              <w:rFonts w:hint="eastAsia" w:ascii="CESI仿宋-GB2312" w:hAnsi="CESI仿宋-GB2312" w:eastAsia="CESI仿宋-GB2312" w:cs="CESI仿宋-GB2312"/>
              <w:b w:val="0"/>
              <w:bCs w:val="0"/>
              <w:sz w:val="32"/>
              <w:szCs w:val="32"/>
            </w:rPr>
            <w:fldChar w:fldCharType="separate"/>
          </w:r>
          <w:r>
            <w:rPr>
              <w:rFonts w:hint="eastAsia" w:ascii="CESI仿宋-GB2312" w:hAnsi="CESI仿宋-GB2312" w:eastAsia="CESI仿宋-GB2312" w:cs="CESI仿宋-GB2312"/>
              <w:b w:val="0"/>
              <w:bCs w:val="0"/>
              <w:sz w:val="32"/>
              <w:szCs w:val="32"/>
            </w:rPr>
            <w:t>六、一般公共预算财政拨款支出决算表</w:t>
          </w:r>
          <w:r>
            <w:rPr>
              <w:rFonts w:hint="eastAsia" w:ascii="CESI仿宋-GB2312" w:hAnsi="CESI仿宋-GB2312" w:eastAsia="CESI仿宋-GB2312" w:cs="CESI仿宋-GB2312"/>
              <w:b w:val="0"/>
              <w:bCs w:val="0"/>
              <w:sz w:val="32"/>
              <w:szCs w:val="32"/>
            </w:rPr>
            <w:tab/>
          </w:r>
          <w:r>
            <w:rPr>
              <w:rFonts w:hint="eastAsia" w:ascii="CESI仿宋-GB2312" w:hAnsi="CESI仿宋-GB2312" w:eastAsia="CESI仿宋-GB2312" w:cs="CESI仿宋-GB2312"/>
              <w:b w:val="0"/>
              <w:bCs w:val="0"/>
              <w:sz w:val="32"/>
              <w:szCs w:val="32"/>
            </w:rPr>
            <w:fldChar w:fldCharType="begin"/>
          </w:r>
          <w:r>
            <w:rPr>
              <w:rFonts w:hint="eastAsia" w:ascii="CESI仿宋-GB2312" w:hAnsi="CESI仿宋-GB2312" w:eastAsia="CESI仿宋-GB2312" w:cs="CESI仿宋-GB2312"/>
              <w:b w:val="0"/>
              <w:bCs w:val="0"/>
              <w:sz w:val="32"/>
              <w:szCs w:val="32"/>
            </w:rPr>
            <w:instrText xml:space="preserve"> PAGEREF _Toc1139293770 \h </w:instrText>
          </w:r>
          <w:r>
            <w:rPr>
              <w:rFonts w:hint="eastAsia" w:ascii="CESI仿宋-GB2312" w:hAnsi="CESI仿宋-GB2312" w:eastAsia="CESI仿宋-GB2312" w:cs="CESI仿宋-GB2312"/>
              <w:b w:val="0"/>
              <w:bCs w:val="0"/>
              <w:sz w:val="32"/>
              <w:szCs w:val="32"/>
            </w:rPr>
            <w:fldChar w:fldCharType="separate"/>
          </w:r>
          <w:r>
            <w:rPr>
              <w:rFonts w:hint="eastAsia" w:ascii="CESI仿宋-GB2312" w:hAnsi="CESI仿宋-GB2312" w:eastAsia="CESI仿宋-GB2312" w:cs="CESI仿宋-GB2312"/>
              <w:b w:val="0"/>
              <w:bCs w:val="0"/>
              <w:sz w:val="32"/>
              <w:szCs w:val="32"/>
            </w:rPr>
            <w:t>63</w:t>
          </w:r>
          <w:r>
            <w:rPr>
              <w:rFonts w:hint="eastAsia" w:ascii="CESI仿宋-GB2312" w:hAnsi="CESI仿宋-GB2312" w:eastAsia="CESI仿宋-GB2312" w:cs="CESI仿宋-GB2312"/>
              <w:b w:val="0"/>
              <w:bCs w:val="0"/>
              <w:sz w:val="32"/>
              <w:szCs w:val="32"/>
            </w:rPr>
            <w:fldChar w:fldCharType="end"/>
          </w:r>
          <w:r>
            <w:rPr>
              <w:rFonts w:hint="eastAsia" w:ascii="CESI仿宋-GB2312" w:hAnsi="CESI仿宋-GB2312" w:eastAsia="CESI仿宋-GB2312" w:cs="CESI仿宋-GB2312"/>
              <w:b w:val="0"/>
              <w:bCs w:val="0"/>
              <w:sz w:val="32"/>
              <w:szCs w:val="32"/>
            </w:rPr>
            <w:fldChar w:fldCharType="end"/>
          </w:r>
        </w:p>
        <w:p w14:paraId="6DDA6B17">
          <w:pPr>
            <w:pStyle w:val="14"/>
            <w:tabs>
              <w:tab w:val="right" w:leader="dot" w:pos="8306"/>
              <w:tab w:val="clear" w:pos="8296"/>
            </w:tabs>
            <w:rPr>
              <w:rFonts w:hint="eastAsia" w:ascii="CESI仿宋-GB2312" w:hAnsi="CESI仿宋-GB2312" w:eastAsia="CESI仿宋-GB2312" w:cs="CESI仿宋-GB2312"/>
              <w:b w:val="0"/>
              <w:bCs w:val="0"/>
              <w:sz w:val="32"/>
              <w:szCs w:val="32"/>
            </w:rPr>
          </w:pPr>
          <w:r>
            <w:rPr>
              <w:rFonts w:hint="eastAsia" w:ascii="CESI仿宋-GB2312" w:hAnsi="CESI仿宋-GB2312" w:eastAsia="CESI仿宋-GB2312" w:cs="CESI仿宋-GB2312"/>
              <w:b w:val="0"/>
              <w:bCs w:val="0"/>
              <w:sz w:val="32"/>
              <w:szCs w:val="32"/>
            </w:rPr>
            <w:fldChar w:fldCharType="begin"/>
          </w:r>
          <w:r>
            <w:rPr>
              <w:rFonts w:hint="eastAsia" w:ascii="CESI仿宋-GB2312" w:hAnsi="CESI仿宋-GB2312" w:eastAsia="CESI仿宋-GB2312" w:cs="CESI仿宋-GB2312"/>
              <w:b w:val="0"/>
              <w:bCs w:val="0"/>
              <w:sz w:val="32"/>
              <w:szCs w:val="32"/>
            </w:rPr>
            <w:instrText xml:space="preserve"> HYPERLINK \l _Toc90689636 </w:instrText>
          </w:r>
          <w:r>
            <w:rPr>
              <w:rFonts w:hint="eastAsia" w:ascii="CESI仿宋-GB2312" w:hAnsi="CESI仿宋-GB2312" w:eastAsia="CESI仿宋-GB2312" w:cs="CESI仿宋-GB2312"/>
              <w:b w:val="0"/>
              <w:bCs w:val="0"/>
              <w:sz w:val="32"/>
              <w:szCs w:val="32"/>
            </w:rPr>
            <w:fldChar w:fldCharType="separate"/>
          </w:r>
          <w:r>
            <w:rPr>
              <w:rFonts w:hint="eastAsia" w:ascii="CESI仿宋-GB2312" w:hAnsi="CESI仿宋-GB2312" w:eastAsia="CESI仿宋-GB2312" w:cs="CESI仿宋-GB2312"/>
              <w:b w:val="0"/>
              <w:bCs w:val="0"/>
              <w:sz w:val="32"/>
              <w:szCs w:val="32"/>
            </w:rPr>
            <w:t>七、一般公共预算财政拨款支出决算明细表</w:t>
          </w:r>
          <w:r>
            <w:rPr>
              <w:rFonts w:hint="eastAsia" w:ascii="CESI仿宋-GB2312" w:hAnsi="CESI仿宋-GB2312" w:eastAsia="CESI仿宋-GB2312" w:cs="CESI仿宋-GB2312"/>
              <w:b w:val="0"/>
              <w:bCs w:val="0"/>
              <w:sz w:val="32"/>
              <w:szCs w:val="32"/>
            </w:rPr>
            <w:tab/>
          </w:r>
          <w:r>
            <w:rPr>
              <w:rFonts w:hint="eastAsia" w:ascii="CESI仿宋-GB2312" w:hAnsi="CESI仿宋-GB2312" w:eastAsia="CESI仿宋-GB2312" w:cs="CESI仿宋-GB2312"/>
              <w:b w:val="0"/>
              <w:bCs w:val="0"/>
              <w:sz w:val="32"/>
              <w:szCs w:val="32"/>
            </w:rPr>
            <w:fldChar w:fldCharType="begin"/>
          </w:r>
          <w:r>
            <w:rPr>
              <w:rFonts w:hint="eastAsia" w:ascii="CESI仿宋-GB2312" w:hAnsi="CESI仿宋-GB2312" w:eastAsia="CESI仿宋-GB2312" w:cs="CESI仿宋-GB2312"/>
              <w:b w:val="0"/>
              <w:bCs w:val="0"/>
              <w:sz w:val="32"/>
              <w:szCs w:val="32"/>
            </w:rPr>
            <w:instrText xml:space="preserve"> PAGEREF _Toc90689636 \h </w:instrText>
          </w:r>
          <w:r>
            <w:rPr>
              <w:rFonts w:hint="eastAsia" w:ascii="CESI仿宋-GB2312" w:hAnsi="CESI仿宋-GB2312" w:eastAsia="CESI仿宋-GB2312" w:cs="CESI仿宋-GB2312"/>
              <w:b w:val="0"/>
              <w:bCs w:val="0"/>
              <w:sz w:val="32"/>
              <w:szCs w:val="32"/>
            </w:rPr>
            <w:fldChar w:fldCharType="separate"/>
          </w:r>
          <w:r>
            <w:rPr>
              <w:rFonts w:hint="eastAsia" w:ascii="CESI仿宋-GB2312" w:hAnsi="CESI仿宋-GB2312" w:eastAsia="CESI仿宋-GB2312" w:cs="CESI仿宋-GB2312"/>
              <w:b w:val="0"/>
              <w:bCs w:val="0"/>
              <w:sz w:val="32"/>
              <w:szCs w:val="32"/>
            </w:rPr>
            <w:t>63</w:t>
          </w:r>
          <w:r>
            <w:rPr>
              <w:rFonts w:hint="eastAsia" w:ascii="CESI仿宋-GB2312" w:hAnsi="CESI仿宋-GB2312" w:eastAsia="CESI仿宋-GB2312" w:cs="CESI仿宋-GB2312"/>
              <w:b w:val="0"/>
              <w:bCs w:val="0"/>
              <w:sz w:val="32"/>
              <w:szCs w:val="32"/>
            </w:rPr>
            <w:fldChar w:fldCharType="end"/>
          </w:r>
          <w:r>
            <w:rPr>
              <w:rFonts w:hint="eastAsia" w:ascii="CESI仿宋-GB2312" w:hAnsi="CESI仿宋-GB2312" w:eastAsia="CESI仿宋-GB2312" w:cs="CESI仿宋-GB2312"/>
              <w:b w:val="0"/>
              <w:bCs w:val="0"/>
              <w:sz w:val="32"/>
              <w:szCs w:val="32"/>
            </w:rPr>
            <w:fldChar w:fldCharType="end"/>
          </w:r>
        </w:p>
        <w:p w14:paraId="473D04AA">
          <w:pPr>
            <w:pStyle w:val="14"/>
            <w:tabs>
              <w:tab w:val="right" w:leader="dot" w:pos="8306"/>
              <w:tab w:val="clear" w:pos="8296"/>
            </w:tabs>
            <w:rPr>
              <w:rFonts w:hint="eastAsia" w:ascii="CESI仿宋-GB2312" w:hAnsi="CESI仿宋-GB2312" w:eastAsia="CESI仿宋-GB2312" w:cs="CESI仿宋-GB2312"/>
              <w:b w:val="0"/>
              <w:bCs w:val="0"/>
              <w:sz w:val="32"/>
              <w:szCs w:val="32"/>
            </w:rPr>
          </w:pPr>
          <w:r>
            <w:rPr>
              <w:rFonts w:hint="eastAsia" w:ascii="CESI仿宋-GB2312" w:hAnsi="CESI仿宋-GB2312" w:eastAsia="CESI仿宋-GB2312" w:cs="CESI仿宋-GB2312"/>
              <w:b w:val="0"/>
              <w:bCs w:val="0"/>
              <w:sz w:val="32"/>
              <w:szCs w:val="32"/>
            </w:rPr>
            <w:fldChar w:fldCharType="begin"/>
          </w:r>
          <w:r>
            <w:rPr>
              <w:rFonts w:hint="eastAsia" w:ascii="CESI仿宋-GB2312" w:hAnsi="CESI仿宋-GB2312" w:eastAsia="CESI仿宋-GB2312" w:cs="CESI仿宋-GB2312"/>
              <w:b w:val="0"/>
              <w:bCs w:val="0"/>
              <w:sz w:val="32"/>
              <w:szCs w:val="32"/>
            </w:rPr>
            <w:instrText xml:space="preserve"> HYPERLINK \l _Toc908812351 </w:instrText>
          </w:r>
          <w:r>
            <w:rPr>
              <w:rFonts w:hint="eastAsia" w:ascii="CESI仿宋-GB2312" w:hAnsi="CESI仿宋-GB2312" w:eastAsia="CESI仿宋-GB2312" w:cs="CESI仿宋-GB2312"/>
              <w:b w:val="0"/>
              <w:bCs w:val="0"/>
              <w:sz w:val="32"/>
              <w:szCs w:val="32"/>
            </w:rPr>
            <w:fldChar w:fldCharType="separate"/>
          </w:r>
          <w:r>
            <w:rPr>
              <w:rFonts w:hint="eastAsia" w:ascii="CESI仿宋-GB2312" w:hAnsi="CESI仿宋-GB2312" w:eastAsia="CESI仿宋-GB2312" w:cs="CESI仿宋-GB2312"/>
              <w:b w:val="0"/>
              <w:bCs w:val="0"/>
              <w:sz w:val="32"/>
              <w:szCs w:val="32"/>
            </w:rPr>
            <w:t>八、一般公共预算财政拨款基本支出决算表</w:t>
          </w:r>
          <w:r>
            <w:rPr>
              <w:rFonts w:hint="eastAsia" w:ascii="CESI仿宋-GB2312" w:hAnsi="CESI仿宋-GB2312" w:eastAsia="CESI仿宋-GB2312" w:cs="CESI仿宋-GB2312"/>
              <w:b w:val="0"/>
              <w:bCs w:val="0"/>
              <w:sz w:val="32"/>
              <w:szCs w:val="32"/>
            </w:rPr>
            <w:tab/>
          </w:r>
          <w:r>
            <w:rPr>
              <w:rFonts w:hint="eastAsia" w:ascii="CESI仿宋-GB2312" w:hAnsi="CESI仿宋-GB2312" w:eastAsia="CESI仿宋-GB2312" w:cs="CESI仿宋-GB2312"/>
              <w:b w:val="0"/>
              <w:bCs w:val="0"/>
              <w:sz w:val="32"/>
              <w:szCs w:val="32"/>
            </w:rPr>
            <w:fldChar w:fldCharType="begin"/>
          </w:r>
          <w:r>
            <w:rPr>
              <w:rFonts w:hint="eastAsia" w:ascii="CESI仿宋-GB2312" w:hAnsi="CESI仿宋-GB2312" w:eastAsia="CESI仿宋-GB2312" w:cs="CESI仿宋-GB2312"/>
              <w:b w:val="0"/>
              <w:bCs w:val="0"/>
              <w:sz w:val="32"/>
              <w:szCs w:val="32"/>
            </w:rPr>
            <w:instrText xml:space="preserve"> PAGEREF _Toc908812351 \h </w:instrText>
          </w:r>
          <w:r>
            <w:rPr>
              <w:rFonts w:hint="eastAsia" w:ascii="CESI仿宋-GB2312" w:hAnsi="CESI仿宋-GB2312" w:eastAsia="CESI仿宋-GB2312" w:cs="CESI仿宋-GB2312"/>
              <w:b w:val="0"/>
              <w:bCs w:val="0"/>
              <w:sz w:val="32"/>
              <w:szCs w:val="32"/>
            </w:rPr>
            <w:fldChar w:fldCharType="separate"/>
          </w:r>
          <w:r>
            <w:rPr>
              <w:rFonts w:hint="eastAsia" w:ascii="CESI仿宋-GB2312" w:hAnsi="CESI仿宋-GB2312" w:eastAsia="CESI仿宋-GB2312" w:cs="CESI仿宋-GB2312"/>
              <w:b w:val="0"/>
              <w:bCs w:val="0"/>
              <w:sz w:val="32"/>
              <w:szCs w:val="32"/>
            </w:rPr>
            <w:t>63</w:t>
          </w:r>
          <w:r>
            <w:rPr>
              <w:rFonts w:hint="eastAsia" w:ascii="CESI仿宋-GB2312" w:hAnsi="CESI仿宋-GB2312" w:eastAsia="CESI仿宋-GB2312" w:cs="CESI仿宋-GB2312"/>
              <w:b w:val="0"/>
              <w:bCs w:val="0"/>
              <w:sz w:val="32"/>
              <w:szCs w:val="32"/>
            </w:rPr>
            <w:fldChar w:fldCharType="end"/>
          </w:r>
          <w:r>
            <w:rPr>
              <w:rFonts w:hint="eastAsia" w:ascii="CESI仿宋-GB2312" w:hAnsi="CESI仿宋-GB2312" w:eastAsia="CESI仿宋-GB2312" w:cs="CESI仿宋-GB2312"/>
              <w:b w:val="0"/>
              <w:bCs w:val="0"/>
              <w:sz w:val="32"/>
              <w:szCs w:val="32"/>
            </w:rPr>
            <w:fldChar w:fldCharType="end"/>
          </w:r>
        </w:p>
        <w:p w14:paraId="200965C5">
          <w:pPr>
            <w:pStyle w:val="14"/>
            <w:tabs>
              <w:tab w:val="right" w:leader="dot" w:pos="8306"/>
              <w:tab w:val="clear" w:pos="8296"/>
            </w:tabs>
            <w:rPr>
              <w:rFonts w:hint="eastAsia" w:ascii="CESI仿宋-GB2312" w:hAnsi="CESI仿宋-GB2312" w:eastAsia="CESI仿宋-GB2312" w:cs="CESI仿宋-GB2312"/>
              <w:b w:val="0"/>
              <w:bCs w:val="0"/>
              <w:sz w:val="32"/>
              <w:szCs w:val="32"/>
            </w:rPr>
          </w:pPr>
          <w:r>
            <w:rPr>
              <w:rFonts w:hint="eastAsia" w:ascii="CESI仿宋-GB2312" w:hAnsi="CESI仿宋-GB2312" w:eastAsia="CESI仿宋-GB2312" w:cs="CESI仿宋-GB2312"/>
              <w:b w:val="0"/>
              <w:bCs w:val="0"/>
              <w:sz w:val="32"/>
              <w:szCs w:val="32"/>
            </w:rPr>
            <w:fldChar w:fldCharType="begin"/>
          </w:r>
          <w:r>
            <w:rPr>
              <w:rFonts w:hint="eastAsia" w:ascii="CESI仿宋-GB2312" w:hAnsi="CESI仿宋-GB2312" w:eastAsia="CESI仿宋-GB2312" w:cs="CESI仿宋-GB2312"/>
              <w:b w:val="0"/>
              <w:bCs w:val="0"/>
              <w:sz w:val="32"/>
              <w:szCs w:val="32"/>
            </w:rPr>
            <w:instrText xml:space="preserve"> HYPERLINK \l _Toc608225959 </w:instrText>
          </w:r>
          <w:r>
            <w:rPr>
              <w:rFonts w:hint="eastAsia" w:ascii="CESI仿宋-GB2312" w:hAnsi="CESI仿宋-GB2312" w:eastAsia="CESI仿宋-GB2312" w:cs="CESI仿宋-GB2312"/>
              <w:b w:val="0"/>
              <w:bCs w:val="0"/>
              <w:sz w:val="32"/>
              <w:szCs w:val="32"/>
            </w:rPr>
            <w:fldChar w:fldCharType="separate"/>
          </w:r>
          <w:r>
            <w:rPr>
              <w:rFonts w:hint="eastAsia" w:ascii="CESI仿宋-GB2312" w:hAnsi="CESI仿宋-GB2312" w:eastAsia="CESI仿宋-GB2312" w:cs="CESI仿宋-GB2312"/>
              <w:b w:val="0"/>
              <w:bCs w:val="0"/>
              <w:sz w:val="32"/>
              <w:szCs w:val="32"/>
            </w:rPr>
            <w:t>九、一般公共预算财政拨款项目支出决算表</w:t>
          </w:r>
          <w:r>
            <w:rPr>
              <w:rFonts w:hint="eastAsia" w:ascii="CESI仿宋-GB2312" w:hAnsi="CESI仿宋-GB2312" w:eastAsia="CESI仿宋-GB2312" w:cs="CESI仿宋-GB2312"/>
              <w:b w:val="0"/>
              <w:bCs w:val="0"/>
              <w:sz w:val="32"/>
              <w:szCs w:val="32"/>
            </w:rPr>
            <w:tab/>
          </w:r>
          <w:r>
            <w:rPr>
              <w:rFonts w:hint="eastAsia" w:ascii="CESI仿宋-GB2312" w:hAnsi="CESI仿宋-GB2312" w:eastAsia="CESI仿宋-GB2312" w:cs="CESI仿宋-GB2312"/>
              <w:b w:val="0"/>
              <w:bCs w:val="0"/>
              <w:sz w:val="32"/>
              <w:szCs w:val="32"/>
            </w:rPr>
            <w:fldChar w:fldCharType="begin"/>
          </w:r>
          <w:r>
            <w:rPr>
              <w:rFonts w:hint="eastAsia" w:ascii="CESI仿宋-GB2312" w:hAnsi="CESI仿宋-GB2312" w:eastAsia="CESI仿宋-GB2312" w:cs="CESI仿宋-GB2312"/>
              <w:b w:val="0"/>
              <w:bCs w:val="0"/>
              <w:sz w:val="32"/>
              <w:szCs w:val="32"/>
            </w:rPr>
            <w:instrText xml:space="preserve"> PAGEREF _Toc608225959 \h </w:instrText>
          </w:r>
          <w:r>
            <w:rPr>
              <w:rFonts w:hint="eastAsia" w:ascii="CESI仿宋-GB2312" w:hAnsi="CESI仿宋-GB2312" w:eastAsia="CESI仿宋-GB2312" w:cs="CESI仿宋-GB2312"/>
              <w:b w:val="0"/>
              <w:bCs w:val="0"/>
              <w:sz w:val="32"/>
              <w:szCs w:val="32"/>
            </w:rPr>
            <w:fldChar w:fldCharType="separate"/>
          </w:r>
          <w:r>
            <w:rPr>
              <w:rFonts w:hint="eastAsia" w:ascii="CESI仿宋-GB2312" w:hAnsi="CESI仿宋-GB2312" w:eastAsia="CESI仿宋-GB2312" w:cs="CESI仿宋-GB2312"/>
              <w:b w:val="0"/>
              <w:bCs w:val="0"/>
              <w:sz w:val="32"/>
              <w:szCs w:val="32"/>
            </w:rPr>
            <w:t>63</w:t>
          </w:r>
          <w:r>
            <w:rPr>
              <w:rFonts w:hint="eastAsia" w:ascii="CESI仿宋-GB2312" w:hAnsi="CESI仿宋-GB2312" w:eastAsia="CESI仿宋-GB2312" w:cs="CESI仿宋-GB2312"/>
              <w:b w:val="0"/>
              <w:bCs w:val="0"/>
              <w:sz w:val="32"/>
              <w:szCs w:val="32"/>
            </w:rPr>
            <w:fldChar w:fldCharType="end"/>
          </w:r>
          <w:r>
            <w:rPr>
              <w:rFonts w:hint="eastAsia" w:ascii="CESI仿宋-GB2312" w:hAnsi="CESI仿宋-GB2312" w:eastAsia="CESI仿宋-GB2312" w:cs="CESI仿宋-GB2312"/>
              <w:b w:val="0"/>
              <w:bCs w:val="0"/>
              <w:sz w:val="32"/>
              <w:szCs w:val="32"/>
            </w:rPr>
            <w:fldChar w:fldCharType="end"/>
          </w:r>
        </w:p>
        <w:p w14:paraId="47E24B17">
          <w:pPr>
            <w:pStyle w:val="14"/>
            <w:tabs>
              <w:tab w:val="right" w:leader="dot" w:pos="8306"/>
              <w:tab w:val="clear" w:pos="8296"/>
            </w:tabs>
            <w:rPr>
              <w:rFonts w:hint="eastAsia" w:ascii="CESI仿宋-GB2312" w:hAnsi="CESI仿宋-GB2312" w:eastAsia="CESI仿宋-GB2312" w:cs="CESI仿宋-GB2312"/>
              <w:b w:val="0"/>
              <w:bCs w:val="0"/>
              <w:sz w:val="32"/>
              <w:szCs w:val="32"/>
            </w:rPr>
          </w:pPr>
          <w:r>
            <w:rPr>
              <w:rFonts w:hint="eastAsia" w:ascii="CESI仿宋-GB2312" w:hAnsi="CESI仿宋-GB2312" w:eastAsia="CESI仿宋-GB2312" w:cs="CESI仿宋-GB2312"/>
              <w:b w:val="0"/>
              <w:bCs w:val="0"/>
              <w:sz w:val="32"/>
              <w:szCs w:val="32"/>
            </w:rPr>
            <w:fldChar w:fldCharType="begin"/>
          </w:r>
          <w:r>
            <w:rPr>
              <w:rFonts w:hint="eastAsia" w:ascii="CESI仿宋-GB2312" w:hAnsi="CESI仿宋-GB2312" w:eastAsia="CESI仿宋-GB2312" w:cs="CESI仿宋-GB2312"/>
              <w:b w:val="0"/>
              <w:bCs w:val="0"/>
              <w:sz w:val="32"/>
              <w:szCs w:val="32"/>
            </w:rPr>
            <w:instrText xml:space="preserve"> HYPERLINK \l _Toc1442211786 </w:instrText>
          </w:r>
          <w:r>
            <w:rPr>
              <w:rFonts w:hint="eastAsia" w:ascii="CESI仿宋-GB2312" w:hAnsi="CESI仿宋-GB2312" w:eastAsia="CESI仿宋-GB2312" w:cs="CESI仿宋-GB2312"/>
              <w:b w:val="0"/>
              <w:bCs w:val="0"/>
              <w:sz w:val="32"/>
              <w:szCs w:val="32"/>
            </w:rPr>
            <w:fldChar w:fldCharType="separate"/>
          </w:r>
          <w:r>
            <w:rPr>
              <w:rFonts w:hint="eastAsia" w:ascii="CESI仿宋-GB2312" w:hAnsi="CESI仿宋-GB2312" w:eastAsia="CESI仿宋-GB2312" w:cs="CESI仿宋-GB2312"/>
              <w:b w:val="0"/>
              <w:bCs w:val="0"/>
              <w:sz w:val="32"/>
              <w:szCs w:val="32"/>
            </w:rPr>
            <w:t>十、政府性基金预算财政拨款收入支出决算表</w:t>
          </w:r>
          <w:r>
            <w:rPr>
              <w:rFonts w:hint="eastAsia" w:ascii="CESI仿宋-GB2312" w:hAnsi="CESI仿宋-GB2312" w:eastAsia="CESI仿宋-GB2312" w:cs="CESI仿宋-GB2312"/>
              <w:b w:val="0"/>
              <w:bCs w:val="0"/>
              <w:sz w:val="32"/>
              <w:szCs w:val="32"/>
            </w:rPr>
            <w:tab/>
          </w:r>
          <w:r>
            <w:rPr>
              <w:rFonts w:hint="eastAsia" w:ascii="CESI仿宋-GB2312" w:hAnsi="CESI仿宋-GB2312" w:eastAsia="CESI仿宋-GB2312" w:cs="CESI仿宋-GB2312"/>
              <w:b w:val="0"/>
              <w:bCs w:val="0"/>
              <w:sz w:val="32"/>
              <w:szCs w:val="32"/>
            </w:rPr>
            <w:fldChar w:fldCharType="begin"/>
          </w:r>
          <w:r>
            <w:rPr>
              <w:rFonts w:hint="eastAsia" w:ascii="CESI仿宋-GB2312" w:hAnsi="CESI仿宋-GB2312" w:eastAsia="CESI仿宋-GB2312" w:cs="CESI仿宋-GB2312"/>
              <w:b w:val="0"/>
              <w:bCs w:val="0"/>
              <w:sz w:val="32"/>
              <w:szCs w:val="32"/>
            </w:rPr>
            <w:instrText xml:space="preserve"> PAGEREF _Toc1442211786 \h </w:instrText>
          </w:r>
          <w:r>
            <w:rPr>
              <w:rFonts w:hint="eastAsia" w:ascii="CESI仿宋-GB2312" w:hAnsi="CESI仿宋-GB2312" w:eastAsia="CESI仿宋-GB2312" w:cs="CESI仿宋-GB2312"/>
              <w:b w:val="0"/>
              <w:bCs w:val="0"/>
              <w:sz w:val="32"/>
              <w:szCs w:val="32"/>
            </w:rPr>
            <w:fldChar w:fldCharType="separate"/>
          </w:r>
          <w:r>
            <w:rPr>
              <w:rFonts w:hint="eastAsia" w:ascii="CESI仿宋-GB2312" w:hAnsi="CESI仿宋-GB2312" w:eastAsia="CESI仿宋-GB2312" w:cs="CESI仿宋-GB2312"/>
              <w:b w:val="0"/>
              <w:bCs w:val="0"/>
              <w:sz w:val="32"/>
              <w:szCs w:val="32"/>
            </w:rPr>
            <w:t>63</w:t>
          </w:r>
          <w:r>
            <w:rPr>
              <w:rFonts w:hint="eastAsia" w:ascii="CESI仿宋-GB2312" w:hAnsi="CESI仿宋-GB2312" w:eastAsia="CESI仿宋-GB2312" w:cs="CESI仿宋-GB2312"/>
              <w:b w:val="0"/>
              <w:bCs w:val="0"/>
              <w:sz w:val="32"/>
              <w:szCs w:val="32"/>
            </w:rPr>
            <w:fldChar w:fldCharType="end"/>
          </w:r>
          <w:r>
            <w:rPr>
              <w:rFonts w:hint="eastAsia" w:ascii="CESI仿宋-GB2312" w:hAnsi="CESI仿宋-GB2312" w:eastAsia="CESI仿宋-GB2312" w:cs="CESI仿宋-GB2312"/>
              <w:b w:val="0"/>
              <w:bCs w:val="0"/>
              <w:sz w:val="32"/>
              <w:szCs w:val="32"/>
            </w:rPr>
            <w:fldChar w:fldCharType="end"/>
          </w:r>
        </w:p>
        <w:p w14:paraId="37AA1BF8">
          <w:pPr>
            <w:pStyle w:val="14"/>
            <w:tabs>
              <w:tab w:val="right" w:leader="dot" w:pos="8306"/>
              <w:tab w:val="clear" w:pos="8296"/>
            </w:tabs>
            <w:rPr>
              <w:rFonts w:hint="eastAsia" w:ascii="CESI仿宋-GB2312" w:hAnsi="CESI仿宋-GB2312" w:eastAsia="CESI仿宋-GB2312" w:cs="CESI仿宋-GB2312"/>
              <w:b w:val="0"/>
              <w:bCs w:val="0"/>
              <w:sz w:val="32"/>
              <w:szCs w:val="32"/>
            </w:rPr>
          </w:pPr>
          <w:r>
            <w:rPr>
              <w:rFonts w:hint="eastAsia" w:ascii="CESI仿宋-GB2312" w:hAnsi="CESI仿宋-GB2312" w:eastAsia="CESI仿宋-GB2312" w:cs="CESI仿宋-GB2312"/>
              <w:b w:val="0"/>
              <w:bCs w:val="0"/>
              <w:sz w:val="32"/>
              <w:szCs w:val="32"/>
            </w:rPr>
            <w:fldChar w:fldCharType="begin"/>
          </w:r>
          <w:r>
            <w:rPr>
              <w:rFonts w:hint="eastAsia" w:ascii="CESI仿宋-GB2312" w:hAnsi="CESI仿宋-GB2312" w:eastAsia="CESI仿宋-GB2312" w:cs="CESI仿宋-GB2312"/>
              <w:b w:val="0"/>
              <w:bCs w:val="0"/>
              <w:sz w:val="32"/>
              <w:szCs w:val="32"/>
            </w:rPr>
            <w:instrText xml:space="preserve"> HYPERLINK \l _Toc523949420 </w:instrText>
          </w:r>
          <w:r>
            <w:rPr>
              <w:rFonts w:hint="eastAsia" w:ascii="CESI仿宋-GB2312" w:hAnsi="CESI仿宋-GB2312" w:eastAsia="CESI仿宋-GB2312" w:cs="CESI仿宋-GB2312"/>
              <w:b w:val="0"/>
              <w:bCs w:val="0"/>
              <w:sz w:val="32"/>
              <w:szCs w:val="32"/>
            </w:rPr>
            <w:fldChar w:fldCharType="separate"/>
          </w:r>
          <w:r>
            <w:rPr>
              <w:rFonts w:hint="eastAsia" w:ascii="CESI仿宋-GB2312" w:hAnsi="CESI仿宋-GB2312" w:eastAsia="CESI仿宋-GB2312" w:cs="CESI仿宋-GB2312"/>
              <w:b w:val="0"/>
              <w:bCs w:val="0"/>
              <w:sz w:val="32"/>
              <w:szCs w:val="32"/>
            </w:rPr>
            <w:t>十一、国有资本经营预算财政拨款收入支出决算表</w:t>
          </w:r>
          <w:r>
            <w:rPr>
              <w:rFonts w:hint="eastAsia" w:ascii="CESI仿宋-GB2312" w:hAnsi="CESI仿宋-GB2312" w:eastAsia="CESI仿宋-GB2312" w:cs="CESI仿宋-GB2312"/>
              <w:b w:val="0"/>
              <w:bCs w:val="0"/>
              <w:sz w:val="32"/>
              <w:szCs w:val="32"/>
            </w:rPr>
            <w:tab/>
          </w:r>
          <w:r>
            <w:rPr>
              <w:rFonts w:hint="eastAsia" w:ascii="CESI仿宋-GB2312" w:hAnsi="CESI仿宋-GB2312" w:eastAsia="CESI仿宋-GB2312" w:cs="CESI仿宋-GB2312"/>
              <w:b w:val="0"/>
              <w:bCs w:val="0"/>
              <w:sz w:val="32"/>
              <w:szCs w:val="32"/>
            </w:rPr>
            <w:fldChar w:fldCharType="begin"/>
          </w:r>
          <w:r>
            <w:rPr>
              <w:rFonts w:hint="eastAsia" w:ascii="CESI仿宋-GB2312" w:hAnsi="CESI仿宋-GB2312" w:eastAsia="CESI仿宋-GB2312" w:cs="CESI仿宋-GB2312"/>
              <w:b w:val="0"/>
              <w:bCs w:val="0"/>
              <w:sz w:val="32"/>
              <w:szCs w:val="32"/>
            </w:rPr>
            <w:instrText xml:space="preserve"> PAGEREF _Toc523949420 \h </w:instrText>
          </w:r>
          <w:r>
            <w:rPr>
              <w:rFonts w:hint="eastAsia" w:ascii="CESI仿宋-GB2312" w:hAnsi="CESI仿宋-GB2312" w:eastAsia="CESI仿宋-GB2312" w:cs="CESI仿宋-GB2312"/>
              <w:b w:val="0"/>
              <w:bCs w:val="0"/>
              <w:sz w:val="32"/>
              <w:szCs w:val="32"/>
            </w:rPr>
            <w:fldChar w:fldCharType="separate"/>
          </w:r>
          <w:r>
            <w:rPr>
              <w:rFonts w:hint="eastAsia" w:ascii="CESI仿宋-GB2312" w:hAnsi="CESI仿宋-GB2312" w:eastAsia="CESI仿宋-GB2312" w:cs="CESI仿宋-GB2312"/>
              <w:b w:val="0"/>
              <w:bCs w:val="0"/>
              <w:sz w:val="32"/>
              <w:szCs w:val="32"/>
            </w:rPr>
            <w:t>63</w:t>
          </w:r>
          <w:r>
            <w:rPr>
              <w:rFonts w:hint="eastAsia" w:ascii="CESI仿宋-GB2312" w:hAnsi="CESI仿宋-GB2312" w:eastAsia="CESI仿宋-GB2312" w:cs="CESI仿宋-GB2312"/>
              <w:b w:val="0"/>
              <w:bCs w:val="0"/>
              <w:sz w:val="32"/>
              <w:szCs w:val="32"/>
            </w:rPr>
            <w:fldChar w:fldCharType="end"/>
          </w:r>
          <w:r>
            <w:rPr>
              <w:rFonts w:hint="eastAsia" w:ascii="CESI仿宋-GB2312" w:hAnsi="CESI仿宋-GB2312" w:eastAsia="CESI仿宋-GB2312" w:cs="CESI仿宋-GB2312"/>
              <w:b w:val="0"/>
              <w:bCs w:val="0"/>
              <w:sz w:val="32"/>
              <w:szCs w:val="32"/>
            </w:rPr>
            <w:fldChar w:fldCharType="end"/>
          </w:r>
        </w:p>
        <w:p w14:paraId="67AEE47F">
          <w:pPr>
            <w:pStyle w:val="14"/>
            <w:tabs>
              <w:tab w:val="right" w:leader="dot" w:pos="8306"/>
              <w:tab w:val="clear" w:pos="8296"/>
            </w:tabs>
            <w:rPr>
              <w:rFonts w:hint="eastAsia" w:ascii="CESI仿宋-GB2312" w:hAnsi="CESI仿宋-GB2312" w:eastAsia="CESI仿宋-GB2312" w:cs="CESI仿宋-GB2312"/>
              <w:b w:val="0"/>
              <w:bCs w:val="0"/>
              <w:sz w:val="32"/>
              <w:szCs w:val="32"/>
            </w:rPr>
          </w:pPr>
          <w:r>
            <w:rPr>
              <w:rFonts w:hint="eastAsia" w:ascii="CESI仿宋-GB2312" w:hAnsi="CESI仿宋-GB2312" w:eastAsia="CESI仿宋-GB2312" w:cs="CESI仿宋-GB2312"/>
              <w:b w:val="0"/>
              <w:bCs w:val="0"/>
              <w:sz w:val="32"/>
              <w:szCs w:val="32"/>
            </w:rPr>
            <w:fldChar w:fldCharType="begin"/>
          </w:r>
          <w:r>
            <w:rPr>
              <w:rFonts w:hint="eastAsia" w:ascii="CESI仿宋-GB2312" w:hAnsi="CESI仿宋-GB2312" w:eastAsia="CESI仿宋-GB2312" w:cs="CESI仿宋-GB2312"/>
              <w:b w:val="0"/>
              <w:bCs w:val="0"/>
              <w:sz w:val="32"/>
              <w:szCs w:val="32"/>
            </w:rPr>
            <w:instrText xml:space="preserve"> HYPERLINK \l _Toc497977433 </w:instrText>
          </w:r>
          <w:r>
            <w:rPr>
              <w:rFonts w:hint="eastAsia" w:ascii="CESI仿宋-GB2312" w:hAnsi="CESI仿宋-GB2312" w:eastAsia="CESI仿宋-GB2312" w:cs="CESI仿宋-GB2312"/>
              <w:b w:val="0"/>
              <w:bCs w:val="0"/>
              <w:sz w:val="32"/>
              <w:szCs w:val="32"/>
            </w:rPr>
            <w:fldChar w:fldCharType="separate"/>
          </w:r>
          <w:r>
            <w:rPr>
              <w:rFonts w:hint="eastAsia" w:ascii="CESI仿宋-GB2312" w:hAnsi="CESI仿宋-GB2312" w:eastAsia="CESI仿宋-GB2312" w:cs="CESI仿宋-GB2312"/>
              <w:b w:val="0"/>
              <w:bCs w:val="0"/>
              <w:sz w:val="32"/>
              <w:szCs w:val="32"/>
            </w:rPr>
            <w:t>十二、国有资本经营预算财政拨款支出决算表</w:t>
          </w:r>
          <w:r>
            <w:rPr>
              <w:rFonts w:hint="eastAsia" w:ascii="CESI仿宋-GB2312" w:hAnsi="CESI仿宋-GB2312" w:eastAsia="CESI仿宋-GB2312" w:cs="CESI仿宋-GB2312"/>
              <w:b w:val="0"/>
              <w:bCs w:val="0"/>
              <w:sz w:val="32"/>
              <w:szCs w:val="32"/>
            </w:rPr>
            <w:tab/>
          </w:r>
          <w:r>
            <w:rPr>
              <w:rFonts w:hint="eastAsia" w:ascii="CESI仿宋-GB2312" w:hAnsi="CESI仿宋-GB2312" w:eastAsia="CESI仿宋-GB2312" w:cs="CESI仿宋-GB2312"/>
              <w:b w:val="0"/>
              <w:bCs w:val="0"/>
              <w:sz w:val="32"/>
              <w:szCs w:val="32"/>
            </w:rPr>
            <w:fldChar w:fldCharType="begin"/>
          </w:r>
          <w:r>
            <w:rPr>
              <w:rFonts w:hint="eastAsia" w:ascii="CESI仿宋-GB2312" w:hAnsi="CESI仿宋-GB2312" w:eastAsia="CESI仿宋-GB2312" w:cs="CESI仿宋-GB2312"/>
              <w:b w:val="0"/>
              <w:bCs w:val="0"/>
              <w:sz w:val="32"/>
              <w:szCs w:val="32"/>
            </w:rPr>
            <w:instrText xml:space="preserve"> PAGEREF _Toc497977433 \h </w:instrText>
          </w:r>
          <w:r>
            <w:rPr>
              <w:rFonts w:hint="eastAsia" w:ascii="CESI仿宋-GB2312" w:hAnsi="CESI仿宋-GB2312" w:eastAsia="CESI仿宋-GB2312" w:cs="CESI仿宋-GB2312"/>
              <w:b w:val="0"/>
              <w:bCs w:val="0"/>
              <w:sz w:val="32"/>
              <w:szCs w:val="32"/>
            </w:rPr>
            <w:fldChar w:fldCharType="separate"/>
          </w:r>
          <w:r>
            <w:rPr>
              <w:rFonts w:hint="eastAsia" w:ascii="CESI仿宋-GB2312" w:hAnsi="CESI仿宋-GB2312" w:eastAsia="CESI仿宋-GB2312" w:cs="CESI仿宋-GB2312"/>
              <w:b w:val="0"/>
              <w:bCs w:val="0"/>
              <w:sz w:val="32"/>
              <w:szCs w:val="32"/>
            </w:rPr>
            <w:t>63</w:t>
          </w:r>
          <w:r>
            <w:rPr>
              <w:rFonts w:hint="eastAsia" w:ascii="CESI仿宋-GB2312" w:hAnsi="CESI仿宋-GB2312" w:eastAsia="CESI仿宋-GB2312" w:cs="CESI仿宋-GB2312"/>
              <w:b w:val="0"/>
              <w:bCs w:val="0"/>
              <w:sz w:val="32"/>
              <w:szCs w:val="32"/>
            </w:rPr>
            <w:fldChar w:fldCharType="end"/>
          </w:r>
          <w:r>
            <w:rPr>
              <w:rFonts w:hint="eastAsia" w:ascii="CESI仿宋-GB2312" w:hAnsi="CESI仿宋-GB2312" w:eastAsia="CESI仿宋-GB2312" w:cs="CESI仿宋-GB2312"/>
              <w:b w:val="0"/>
              <w:bCs w:val="0"/>
              <w:sz w:val="32"/>
              <w:szCs w:val="32"/>
            </w:rPr>
            <w:fldChar w:fldCharType="end"/>
          </w:r>
        </w:p>
        <w:p w14:paraId="14D7CB63">
          <w:pPr>
            <w:pStyle w:val="14"/>
            <w:tabs>
              <w:tab w:val="right" w:leader="dot" w:pos="8306"/>
              <w:tab w:val="clear" w:pos="8296"/>
            </w:tabs>
            <w:rPr>
              <w:sz w:val="32"/>
              <w:szCs w:val="32"/>
            </w:rPr>
          </w:pPr>
          <w:r>
            <w:rPr>
              <w:rFonts w:hint="eastAsia" w:ascii="CESI仿宋-GB2312" w:hAnsi="CESI仿宋-GB2312" w:eastAsia="CESI仿宋-GB2312" w:cs="CESI仿宋-GB2312"/>
              <w:b w:val="0"/>
              <w:bCs w:val="0"/>
              <w:sz w:val="32"/>
              <w:szCs w:val="32"/>
            </w:rPr>
            <w:fldChar w:fldCharType="begin"/>
          </w:r>
          <w:r>
            <w:rPr>
              <w:rFonts w:hint="eastAsia" w:ascii="CESI仿宋-GB2312" w:hAnsi="CESI仿宋-GB2312" w:eastAsia="CESI仿宋-GB2312" w:cs="CESI仿宋-GB2312"/>
              <w:b w:val="0"/>
              <w:bCs w:val="0"/>
              <w:sz w:val="32"/>
              <w:szCs w:val="32"/>
            </w:rPr>
            <w:instrText xml:space="preserve"> HYPERLINK \l _Toc243712010 </w:instrText>
          </w:r>
          <w:r>
            <w:rPr>
              <w:rFonts w:hint="eastAsia" w:ascii="CESI仿宋-GB2312" w:hAnsi="CESI仿宋-GB2312" w:eastAsia="CESI仿宋-GB2312" w:cs="CESI仿宋-GB2312"/>
              <w:b w:val="0"/>
              <w:bCs w:val="0"/>
              <w:sz w:val="32"/>
              <w:szCs w:val="32"/>
            </w:rPr>
            <w:fldChar w:fldCharType="separate"/>
          </w:r>
          <w:r>
            <w:rPr>
              <w:rFonts w:hint="eastAsia" w:ascii="CESI仿宋-GB2312" w:hAnsi="CESI仿宋-GB2312" w:eastAsia="CESI仿宋-GB2312" w:cs="CESI仿宋-GB2312"/>
              <w:b w:val="0"/>
              <w:bCs w:val="0"/>
              <w:sz w:val="32"/>
              <w:szCs w:val="32"/>
            </w:rPr>
            <w:t>十三、财政拨款“三公”经费支出决算表</w:t>
          </w:r>
          <w:r>
            <w:rPr>
              <w:rFonts w:hint="eastAsia" w:ascii="CESI仿宋-GB2312" w:hAnsi="CESI仿宋-GB2312" w:eastAsia="CESI仿宋-GB2312" w:cs="CESI仿宋-GB2312"/>
              <w:b w:val="0"/>
              <w:bCs w:val="0"/>
              <w:sz w:val="32"/>
              <w:szCs w:val="32"/>
            </w:rPr>
            <w:tab/>
          </w:r>
          <w:r>
            <w:rPr>
              <w:rFonts w:hint="eastAsia" w:ascii="CESI仿宋-GB2312" w:hAnsi="CESI仿宋-GB2312" w:eastAsia="CESI仿宋-GB2312" w:cs="CESI仿宋-GB2312"/>
              <w:b w:val="0"/>
              <w:bCs w:val="0"/>
              <w:sz w:val="32"/>
              <w:szCs w:val="32"/>
            </w:rPr>
            <w:fldChar w:fldCharType="begin"/>
          </w:r>
          <w:r>
            <w:rPr>
              <w:rFonts w:hint="eastAsia" w:ascii="CESI仿宋-GB2312" w:hAnsi="CESI仿宋-GB2312" w:eastAsia="CESI仿宋-GB2312" w:cs="CESI仿宋-GB2312"/>
              <w:b w:val="0"/>
              <w:bCs w:val="0"/>
              <w:sz w:val="32"/>
              <w:szCs w:val="32"/>
            </w:rPr>
            <w:instrText xml:space="preserve"> PAGEREF _Toc243712010 \h </w:instrText>
          </w:r>
          <w:r>
            <w:rPr>
              <w:rFonts w:hint="eastAsia" w:ascii="CESI仿宋-GB2312" w:hAnsi="CESI仿宋-GB2312" w:eastAsia="CESI仿宋-GB2312" w:cs="CESI仿宋-GB2312"/>
              <w:b w:val="0"/>
              <w:bCs w:val="0"/>
              <w:sz w:val="32"/>
              <w:szCs w:val="32"/>
            </w:rPr>
            <w:fldChar w:fldCharType="separate"/>
          </w:r>
          <w:r>
            <w:rPr>
              <w:rFonts w:hint="eastAsia" w:ascii="CESI仿宋-GB2312" w:hAnsi="CESI仿宋-GB2312" w:eastAsia="CESI仿宋-GB2312" w:cs="CESI仿宋-GB2312"/>
              <w:b w:val="0"/>
              <w:bCs w:val="0"/>
              <w:sz w:val="32"/>
              <w:szCs w:val="32"/>
            </w:rPr>
            <w:t>63</w:t>
          </w:r>
          <w:r>
            <w:rPr>
              <w:rFonts w:hint="eastAsia" w:ascii="CESI仿宋-GB2312" w:hAnsi="CESI仿宋-GB2312" w:eastAsia="CESI仿宋-GB2312" w:cs="CESI仿宋-GB2312"/>
              <w:b w:val="0"/>
              <w:bCs w:val="0"/>
              <w:sz w:val="32"/>
              <w:szCs w:val="32"/>
            </w:rPr>
            <w:fldChar w:fldCharType="end"/>
          </w:r>
          <w:r>
            <w:rPr>
              <w:rFonts w:hint="eastAsia" w:ascii="CESI仿宋-GB2312" w:hAnsi="CESI仿宋-GB2312" w:eastAsia="CESI仿宋-GB2312" w:cs="CESI仿宋-GB2312"/>
              <w:b w:val="0"/>
              <w:bCs w:val="0"/>
              <w:sz w:val="32"/>
              <w:szCs w:val="32"/>
            </w:rPr>
            <w:fldChar w:fldCharType="end"/>
          </w:r>
        </w:p>
        <w:p w14:paraId="09AE16B3">
          <w:r>
            <w:rPr>
              <w:sz w:val="32"/>
              <w:szCs w:val="32"/>
            </w:rPr>
            <w:fldChar w:fldCharType="end"/>
          </w:r>
        </w:p>
      </w:sdtContent>
    </w:sdt>
    <w:p w14:paraId="11535465"/>
    <w:p w14:paraId="62857EFE">
      <w:pPr>
        <w:pStyle w:val="3"/>
        <w:jc w:val="center"/>
        <w:rPr>
          <w:rFonts w:hint="eastAsia" w:eastAsia="方正小标宋简体" w:cs="方正小标宋简体"/>
          <w:b w:val="0"/>
        </w:rPr>
        <w:sectPr>
          <w:footerReference r:id="rId6" w:type="first"/>
          <w:footerReference r:id="rId5" w:type="default"/>
          <w:pgSz w:w="11906" w:h="16838"/>
          <w:pgMar w:top="1440" w:right="1800" w:bottom="1440" w:left="1800" w:header="851" w:footer="992" w:gutter="0"/>
          <w:pgNumType w:fmt="numberInDash" w:start="1"/>
          <w:cols w:space="425" w:num="1"/>
          <w:titlePg/>
          <w:docGrid w:type="lines" w:linePitch="312" w:charSpace="0"/>
        </w:sectPr>
      </w:pPr>
    </w:p>
    <w:p w14:paraId="38201D3E">
      <w:pPr>
        <w:pStyle w:val="3"/>
        <w:jc w:val="center"/>
        <w:rPr>
          <w:rFonts w:eastAsia="黑体"/>
          <w:sz w:val="32"/>
          <w:szCs w:val="32"/>
        </w:rPr>
      </w:pPr>
      <w:bookmarkStart w:id="6" w:name="_Toc1566800982"/>
      <w:r>
        <w:rPr>
          <w:rFonts w:hint="eastAsia" w:eastAsia="方正小标宋简体" w:cs="方正小标宋简体"/>
          <w:b w:val="0"/>
        </w:rPr>
        <w:t xml:space="preserve">第一部分  </w:t>
      </w:r>
      <w:r>
        <w:rPr>
          <w:rStyle w:val="29"/>
          <w:rFonts w:hint="eastAsia" w:eastAsia="方正小标宋简体" w:cs="方正小标宋简体"/>
          <w:b w:val="0"/>
          <w:bCs w:val="0"/>
        </w:rPr>
        <w:t>部门概况</w:t>
      </w:r>
      <w:bookmarkEnd w:id="6"/>
    </w:p>
    <w:p w14:paraId="59473975">
      <w:pPr>
        <w:pStyle w:val="4"/>
        <w:numPr>
          <w:ilvl w:val="0"/>
          <w:numId w:val="1"/>
        </w:numPr>
        <w:rPr>
          <w:rFonts w:hint="eastAsia" w:ascii="Times New Roman" w:hAnsi="Times New Roman" w:eastAsia="黑体"/>
          <w:b w:val="0"/>
        </w:rPr>
      </w:pPr>
      <w:bookmarkStart w:id="7" w:name="_Toc13411898"/>
      <w:r>
        <w:rPr>
          <w:rFonts w:hint="eastAsia" w:ascii="Times New Roman" w:hAnsi="Times New Roman" w:eastAsia="黑体"/>
          <w:b w:val="0"/>
        </w:rPr>
        <w:t>部门职责</w:t>
      </w:r>
      <w:bookmarkEnd w:id="7"/>
    </w:p>
    <w:p w14:paraId="0812D727">
      <w:pPr>
        <w:spacing w:line="600" w:lineRule="exact"/>
        <w:ind w:firstLine="640" w:firstLineChars="200"/>
        <w:rPr>
          <w:rFonts w:hint="eastAsia" w:ascii="CESI仿宋-GB2312" w:hAnsi="CESI仿宋-GB2312" w:eastAsia="CESI仿宋-GB2312" w:cs="CESI仿宋-GB2312"/>
          <w:sz w:val="32"/>
          <w:szCs w:val="32"/>
          <w:lang w:val="en-US" w:eastAsia="zh-CN"/>
        </w:rPr>
      </w:pPr>
      <w:r>
        <w:rPr>
          <w:rFonts w:hint="eastAsia" w:ascii="CESI仿宋-GB2312" w:hAnsi="CESI仿宋-GB2312" w:eastAsia="CESI仿宋-GB2312" w:cs="CESI仿宋-GB2312"/>
          <w:sz w:val="32"/>
          <w:szCs w:val="32"/>
          <w:lang w:val="en-US" w:eastAsia="zh-CN"/>
        </w:rPr>
        <w:t>1.贯彻执行国家和省、市关于卫生计生工作的方针、政策和法律、法规以及县委、县政府关于卫生计生方面的决策部署，拟订全县卫生计生发展的战略规划和政策并组织实施，负责本系统、本部门依法行政工作，落实行政执法责任制，统筹规划全县卫生计生服务资源配置，指导全县卫生计生工作。</w:t>
      </w:r>
    </w:p>
    <w:p w14:paraId="4615E378">
      <w:pPr>
        <w:spacing w:line="600" w:lineRule="exact"/>
        <w:ind w:firstLine="640" w:firstLineChars="200"/>
        <w:rPr>
          <w:rFonts w:hint="eastAsia" w:ascii="CESI仿宋-GB2312" w:hAnsi="CESI仿宋-GB2312" w:eastAsia="CESI仿宋-GB2312" w:cs="CESI仿宋-GB2312"/>
          <w:sz w:val="32"/>
          <w:szCs w:val="32"/>
          <w:lang w:val="en-US" w:eastAsia="zh-CN"/>
        </w:rPr>
      </w:pPr>
      <w:r>
        <w:rPr>
          <w:rFonts w:hint="eastAsia" w:ascii="CESI仿宋-GB2312" w:hAnsi="CESI仿宋-GB2312" w:eastAsia="CESI仿宋-GB2312" w:cs="CESI仿宋-GB2312"/>
          <w:sz w:val="32"/>
          <w:szCs w:val="32"/>
          <w:lang w:val="en-US" w:eastAsia="zh-CN"/>
        </w:rPr>
        <w:t>2.负责制定全县疾病预防控制规划、免疫规划、严重危害人民健康的公共卫生问题的干预措施并组织实施，根据国家检疫传染病和监测传染病目录，制定全县卫生应急和紧急医学救援预案、突发公共卫生事件监测和风险评估计划，组织和指导全县突发公共卫生事件预防控制和各类突发公共事件的医疗卫生救援，依法根据授权发布法定报告传染病疫情信息、突发公共卫生事件应急处置信息。</w:t>
      </w:r>
    </w:p>
    <w:p w14:paraId="790EF5F2">
      <w:pPr>
        <w:spacing w:line="600" w:lineRule="exact"/>
        <w:ind w:firstLine="640" w:firstLineChars="200"/>
        <w:rPr>
          <w:rFonts w:hint="eastAsia" w:ascii="CESI仿宋-GB2312" w:hAnsi="CESI仿宋-GB2312" w:eastAsia="CESI仿宋-GB2312" w:cs="CESI仿宋-GB2312"/>
          <w:sz w:val="32"/>
          <w:szCs w:val="32"/>
          <w:lang w:val="en-US" w:eastAsia="zh-CN"/>
        </w:rPr>
      </w:pPr>
      <w:r>
        <w:rPr>
          <w:rFonts w:hint="eastAsia" w:ascii="CESI仿宋-GB2312" w:hAnsi="CESI仿宋-GB2312" w:eastAsia="CESI仿宋-GB2312" w:cs="CESI仿宋-GB2312"/>
          <w:sz w:val="32"/>
          <w:szCs w:val="32"/>
          <w:lang w:val="en-US" w:eastAsia="zh-CN"/>
        </w:rPr>
        <w:t>3.负责实施职责范围内的职业卫生、放射卫生、环境卫生、学校卫生、公共场所卫生、饮用水卫生管理规范、标准和政策措施，组织开展相关监测、调查、评估和监督，负责传染病防治监督，组织实施食品安全风险监测，依据授权开展食品安全企业标准备案，为食源性疾病及与食品安全事故有关的流行病学调查提供技术支持。</w:t>
      </w:r>
    </w:p>
    <w:p w14:paraId="518BBD29">
      <w:pPr>
        <w:spacing w:line="600" w:lineRule="exact"/>
        <w:ind w:firstLine="640" w:firstLineChars="200"/>
        <w:rPr>
          <w:rFonts w:hint="eastAsia" w:ascii="CESI仿宋-GB2312" w:hAnsi="CESI仿宋-GB2312" w:eastAsia="CESI仿宋-GB2312" w:cs="CESI仿宋-GB2312"/>
          <w:sz w:val="32"/>
          <w:szCs w:val="32"/>
          <w:lang w:val="en-US" w:eastAsia="zh-CN"/>
        </w:rPr>
      </w:pPr>
      <w:r>
        <w:rPr>
          <w:rFonts w:hint="eastAsia" w:ascii="CESI仿宋-GB2312" w:hAnsi="CESI仿宋-GB2312" w:eastAsia="CESI仿宋-GB2312" w:cs="CESI仿宋-GB2312"/>
          <w:sz w:val="32"/>
          <w:szCs w:val="32"/>
          <w:lang w:val="en-US" w:eastAsia="zh-CN"/>
        </w:rPr>
        <w:t xml:space="preserve">4.负责组织拟订并实施全县基层卫生和妇幼卫生、计划生育服务发展规划和政策措施，指导全县基层卫生和妇幼卫生、计划生育服务体系建设，推进基本公共卫生计生服务均等化，完善基层运行新机制和乡村医生管理制度。     </w:t>
      </w:r>
    </w:p>
    <w:p w14:paraId="37EA6157">
      <w:pPr>
        <w:spacing w:line="600" w:lineRule="exact"/>
        <w:ind w:firstLine="640" w:firstLineChars="200"/>
        <w:rPr>
          <w:rFonts w:hint="eastAsia" w:ascii="CESI仿宋-GB2312" w:hAnsi="CESI仿宋-GB2312" w:eastAsia="CESI仿宋-GB2312" w:cs="CESI仿宋-GB2312"/>
          <w:sz w:val="32"/>
          <w:szCs w:val="32"/>
          <w:lang w:val="en-US" w:eastAsia="zh-CN"/>
        </w:rPr>
      </w:pPr>
      <w:r>
        <w:rPr>
          <w:rFonts w:hint="eastAsia" w:ascii="CESI仿宋-GB2312" w:hAnsi="CESI仿宋-GB2312" w:eastAsia="CESI仿宋-GB2312" w:cs="CESI仿宋-GB2312"/>
          <w:sz w:val="32"/>
          <w:szCs w:val="32"/>
          <w:lang w:val="en-US" w:eastAsia="zh-CN"/>
        </w:rPr>
        <w:t>5.负责制定全县医疗机构和医疗服务全行业管理办法并监督实施，制定医疗机构及其医疗服务、医疗技术、医疗质量、医疗安全以及用血机构管理的规范并组织实施，会同有关部门贯彻执行国家卫生计生专业技术人员准入、资格标准，组织实施卫生计生专业技术人员执业规则和服务规范，建立医疗服务评价和监督管理体系。</w:t>
      </w:r>
    </w:p>
    <w:p w14:paraId="6B16511E">
      <w:pPr>
        <w:spacing w:line="600" w:lineRule="exact"/>
        <w:ind w:firstLine="640" w:firstLineChars="200"/>
        <w:rPr>
          <w:rFonts w:hint="eastAsia" w:ascii="CESI仿宋-GB2312" w:hAnsi="CESI仿宋-GB2312" w:eastAsia="CESI仿宋-GB2312" w:cs="CESI仿宋-GB2312"/>
          <w:sz w:val="32"/>
          <w:szCs w:val="32"/>
          <w:lang w:val="en-US" w:eastAsia="zh-CN"/>
        </w:rPr>
      </w:pPr>
      <w:r>
        <w:rPr>
          <w:rFonts w:hint="eastAsia" w:ascii="CESI仿宋-GB2312" w:hAnsi="CESI仿宋-GB2312" w:eastAsia="CESI仿宋-GB2312" w:cs="CESI仿宋-GB2312"/>
          <w:sz w:val="32"/>
          <w:szCs w:val="32"/>
          <w:lang w:val="en-US" w:eastAsia="zh-CN"/>
        </w:rPr>
        <w:t>6.负责建立公益性导向的绩效考核和评价运行机制，推进和谐医患关系建设，提出医疗服务价格政策的建议。</w:t>
      </w:r>
    </w:p>
    <w:p w14:paraId="38CB03A6">
      <w:pPr>
        <w:spacing w:line="600" w:lineRule="exact"/>
        <w:ind w:firstLine="640" w:firstLineChars="200"/>
        <w:rPr>
          <w:rFonts w:hint="eastAsia" w:ascii="CESI仿宋-GB2312" w:hAnsi="CESI仿宋-GB2312" w:eastAsia="CESI仿宋-GB2312" w:cs="CESI仿宋-GB2312"/>
          <w:sz w:val="32"/>
          <w:szCs w:val="32"/>
          <w:lang w:val="en-US" w:eastAsia="zh-CN"/>
        </w:rPr>
      </w:pPr>
      <w:r>
        <w:rPr>
          <w:rFonts w:hint="eastAsia" w:ascii="CESI仿宋-GB2312" w:hAnsi="CESI仿宋-GB2312" w:eastAsia="CESI仿宋-GB2312" w:cs="CESI仿宋-GB2312"/>
          <w:sz w:val="32"/>
          <w:szCs w:val="32"/>
          <w:lang w:val="en-US" w:eastAsia="zh-CN"/>
        </w:rPr>
        <w:t>7.贯彻落实国家药物政策和国家基本药物制度，执行国家药品法典、国家基本药物目录和四川省药品增补目录，实施基本药物采购、配送、使用的政策措施。</w:t>
      </w:r>
    </w:p>
    <w:p w14:paraId="03E08B04">
      <w:pPr>
        <w:spacing w:line="600" w:lineRule="exact"/>
        <w:ind w:firstLine="640" w:firstLineChars="200"/>
        <w:rPr>
          <w:rFonts w:hint="eastAsia" w:ascii="CESI仿宋-GB2312" w:hAnsi="CESI仿宋-GB2312" w:eastAsia="CESI仿宋-GB2312" w:cs="CESI仿宋-GB2312"/>
          <w:sz w:val="32"/>
          <w:szCs w:val="32"/>
          <w:lang w:val="en-US" w:eastAsia="zh-CN"/>
        </w:rPr>
      </w:pPr>
      <w:r>
        <w:rPr>
          <w:rFonts w:hint="eastAsia" w:ascii="CESI仿宋-GB2312" w:hAnsi="CESI仿宋-GB2312" w:eastAsia="CESI仿宋-GB2312" w:cs="CESI仿宋-GB2312"/>
          <w:sz w:val="32"/>
          <w:szCs w:val="32"/>
          <w:lang w:val="en-US" w:eastAsia="zh-CN"/>
        </w:rPr>
        <w:t>8.组织实施促进全县出生人口性别平衡的政策措施，组织监测计划生育发展动态，负责全县计划生育相关数据采集和分析研究，提出发布计划生育安全预警预报信息建议，制定计划生育技术服务管理制度并监督实施，制定优生优育和提高出生人口素质的政策措施并组织实施，推动实施计划生育生殖健康促进计划，降低出生缺陷人口数量。</w:t>
      </w:r>
    </w:p>
    <w:p w14:paraId="1C951B5E">
      <w:pPr>
        <w:spacing w:line="600" w:lineRule="exact"/>
        <w:ind w:firstLine="640" w:firstLineChars="200"/>
        <w:rPr>
          <w:rFonts w:hint="eastAsia" w:ascii="CESI仿宋-GB2312" w:hAnsi="CESI仿宋-GB2312" w:eastAsia="CESI仿宋-GB2312" w:cs="CESI仿宋-GB2312"/>
          <w:sz w:val="32"/>
          <w:szCs w:val="32"/>
          <w:lang w:val="en-US" w:eastAsia="zh-CN"/>
        </w:rPr>
      </w:pPr>
      <w:r>
        <w:rPr>
          <w:rFonts w:hint="eastAsia" w:ascii="CESI仿宋-GB2312" w:hAnsi="CESI仿宋-GB2312" w:eastAsia="CESI仿宋-GB2312" w:cs="CESI仿宋-GB2312"/>
          <w:sz w:val="32"/>
          <w:szCs w:val="32"/>
          <w:lang w:val="en-US" w:eastAsia="zh-CN"/>
        </w:rPr>
        <w:t>9.组织建立计划生育利益导向、计划生育特殊困难家庭扶助和促进计划生育家庭发展等机制，负责协调推进有关部门、群众团体履行计划生育工作相关职责，建立与经济社会发展政策的衔接机制，提出促进人口长期均衡发展的政策措施。</w:t>
      </w:r>
    </w:p>
    <w:p w14:paraId="0E6C88D3">
      <w:pPr>
        <w:spacing w:line="600" w:lineRule="exact"/>
        <w:ind w:firstLine="640" w:firstLineChars="200"/>
        <w:rPr>
          <w:rFonts w:hint="eastAsia" w:ascii="CESI仿宋-GB2312" w:hAnsi="CESI仿宋-GB2312" w:eastAsia="CESI仿宋-GB2312" w:cs="CESI仿宋-GB2312"/>
          <w:sz w:val="32"/>
          <w:szCs w:val="32"/>
          <w:lang w:val="en-US" w:eastAsia="zh-CN"/>
        </w:rPr>
      </w:pPr>
      <w:r>
        <w:rPr>
          <w:rFonts w:hint="eastAsia" w:ascii="CESI仿宋-GB2312" w:hAnsi="CESI仿宋-GB2312" w:eastAsia="CESI仿宋-GB2312" w:cs="CESI仿宋-GB2312"/>
          <w:sz w:val="32"/>
          <w:szCs w:val="32"/>
          <w:lang w:val="en-US" w:eastAsia="zh-CN"/>
        </w:rPr>
        <w:t>10.制定流动人口计划生育服务管理制度并组织实施，推动建立流动人口卫生计生信息共享和公共服务工作机制。</w:t>
      </w:r>
    </w:p>
    <w:p w14:paraId="4E620A3C">
      <w:pPr>
        <w:spacing w:line="600" w:lineRule="exact"/>
        <w:ind w:firstLine="640" w:firstLineChars="200"/>
        <w:rPr>
          <w:rFonts w:hint="eastAsia" w:ascii="CESI仿宋-GB2312" w:hAnsi="CESI仿宋-GB2312" w:eastAsia="CESI仿宋-GB2312" w:cs="CESI仿宋-GB2312"/>
          <w:sz w:val="32"/>
          <w:szCs w:val="32"/>
          <w:lang w:val="en-US" w:eastAsia="zh-CN"/>
        </w:rPr>
      </w:pPr>
      <w:r>
        <w:rPr>
          <w:rFonts w:hint="eastAsia" w:ascii="CESI仿宋-GB2312" w:hAnsi="CESI仿宋-GB2312" w:eastAsia="CESI仿宋-GB2312" w:cs="CESI仿宋-GB2312"/>
          <w:sz w:val="32"/>
          <w:szCs w:val="32"/>
          <w:lang w:val="en-US" w:eastAsia="zh-CN"/>
        </w:rPr>
        <w:t>11.组织拟订全县卫生计生人才发展规划，指导卫生计生人才队伍建设，加强全科医生等急需紧缺专业人才培养，贯彻落实国家住院医师和专科医师规范化培训制度。</w:t>
      </w:r>
    </w:p>
    <w:p w14:paraId="313B4583">
      <w:pPr>
        <w:spacing w:line="600" w:lineRule="exact"/>
        <w:ind w:firstLine="640" w:firstLineChars="200"/>
        <w:rPr>
          <w:rFonts w:hint="eastAsia" w:ascii="CESI仿宋-GB2312" w:hAnsi="CESI仿宋-GB2312" w:eastAsia="CESI仿宋-GB2312" w:cs="CESI仿宋-GB2312"/>
          <w:sz w:val="32"/>
          <w:szCs w:val="32"/>
          <w:lang w:val="en-US" w:eastAsia="zh-CN"/>
        </w:rPr>
      </w:pPr>
      <w:r>
        <w:rPr>
          <w:rFonts w:hint="eastAsia" w:ascii="CESI仿宋-GB2312" w:hAnsi="CESI仿宋-GB2312" w:eastAsia="CESI仿宋-GB2312" w:cs="CESI仿宋-GB2312"/>
          <w:sz w:val="32"/>
          <w:szCs w:val="32"/>
          <w:lang w:val="en-US" w:eastAsia="zh-CN"/>
        </w:rPr>
        <w:t>12.组织拟订全县卫生计生科技发展规划；组织实施卫生计生相关科研项目，协同院校医学教育和计划生育教育；组织指导实施毕业后医学教育和继续医学教育；组织实施新技术新成果推广。</w:t>
      </w:r>
    </w:p>
    <w:p w14:paraId="032DFA1B">
      <w:pPr>
        <w:spacing w:line="600" w:lineRule="exact"/>
        <w:ind w:firstLine="640" w:firstLineChars="200"/>
        <w:rPr>
          <w:rFonts w:hint="eastAsia" w:ascii="CESI仿宋-GB2312" w:hAnsi="CESI仿宋-GB2312" w:eastAsia="CESI仿宋-GB2312" w:cs="CESI仿宋-GB2312"/>
          <w:sz w:val="32"/>
          <w:szCs w:val="32"/>
          <w:lang w:val="en-US" w:eastAsia="zh-CN"/>
        </w:rPr>
      </w:pPr>
      <w:r>
        <w:rPr>
          <w:rFonts w:hint="eastAsia" w:ascii="CESI仿宋-GB2312" w:hAnsi="CESI仿宋-GB2312" w:eastAsia="CESI仿宋-GB2312" w:cs="CESI仿宋-GB2312"/>
          <w:sz w:val="32"/>
          <w:szCs w:val="32"/>
          <w:lang w:val="en-US" w:eastAsia="zh-CN"/>
        </w:rPr>
        <w:t>13.指导全县卫生和计划生育工作，完善综合监督执法体系，规范卫生计生行政执法行为，监督检查有关法律法规和政策措施的落实，组织查处重大违法行为；组织实施计划生育目标管理责任制的考评工作，监督落实计划生育一票否决制。</w:t>
      </w:r>
    </w:p>
    <w:p w14:paraId="65CB6A73">
      <w:pPr>
        <w:spacing w:line="600" w:lineRule="exact"/>
        <w:ind w:firstLine="640" w:firstLineChars="200"/>
        <w:rPr>
          <w:rFonts w:hint="eastAsia" w:ascii="CESI仿宋-GB2312" w:hAnsi="CESI仿宋-GB2312" w:eastAsia="CESI仿宋-GB2312" w:cs="CESI仿宋-GB2312"/>
          <w:sz w:val="32"/>
          <w:szCs w:val="32"/>
          <w:lang w:val="en-US" w:eastAsia="zh-CN"/>
        </w:rPr>
      </w:pPr>
      <w:r>
        <w:rPr>
          <w:rFonts w:hint="eastAsia" w:ascii="CESI仿宋-GB2312" w:hAnsi="CESI仿宋-GB2312" w:eastAsia="CESI仿宋-GB2312" w:cs="CESI仿宋-GB2312"/>
          <w:sz w:val="32"/>
          <w:szCs w:val="32"/>
          <w:lang w:val="en-US" w:eastAsia="zh-CN"/>
        </w:rPr>
        <w:t>14.拟订中医药中长期发展规划，并纳入卫生计生事业发展总体规划和战略目标。</w:t>
      </w:r>
    </w:p>
    <w:p w14:paraId="6C4AAFB2">
      <w:pPr>
        <w:spacing w:line="600" w:lineRule="exact"/>
        <w:ind w:firstLine="640" w:firstLineChars="200"/>
        <w:rPr>
          <w:rFonts w:hint="eastAsia" w:ascii="CESI仿宋-GB2312" w:hAnsi="CESI仿宋-GB2312" w:eastAsia="CESI仿宋-GB2312" w:cs="CESI仿宋-GB2312"/>
          <w:sz w:val="32"/>
          <w:szCs w:val="32"/>
          <w:lang w:val="en-US" w:eastAsia="zh-CN"/>
        </w:rPr>
      </w:pPr>
      <w:r>
        <w:rPr>
          <w:rFonts w:hint="eastAsia" w:ascii="CESI仿宋-GB2312" w:hAnsi="CESI仿宋-GB2312" w:eastAsia="CESI仿宋-GB2312" w:cs="CESI仿宋-GB2312"/>
          <w:sz w:val="32"/>
          <w:szCs w:val="32"/>
          <w:lang w:val="en-US" w:eastAsia="zh-CN"/>
        </w:rPr>
        <w:t>15.负责卫生计生宣传、健康教育、健康促进和信息化建设等工作，依法组织实施统计调查，参与县人口基础信息库建设，根据国家、省、市要求，组织卫生计生对外交流合作与卫生援外工作。</w:t>
      </w:r>
    </w:p>
    <w:p w14:paraId="0059D17A">
      <w:pPr>
        <w:spacing w:line="600" w:lineRule="exact"/>
        <w:ind w:firstLine="640" w:firstLineChars="200"/>
        <w:rPr>
          <w:rFonts w:hint="eastAsia" w:ascii="CESI仿宋-GB2312" w:hAnsi="CESI仿宋-GB2312" w:eastAsia="CESI仿宋-GB2312" w:cs="CESI仿宋-GB2312"/>
          <w:sz w:val="32"/>
          <w:szCs w:val="32"/>
          <w:lang w:val="en-US" w:eastAsia="zh-CN"/>
        </w:rPr>
      </w:pPr>
      <w:r>
        <w:rPr>
          <w:rFonts w:hint="eastAsia" w:ascii="CESI仿宋-GB2312" w:hAnsi="CESI仿宋-GB2312" w:eastAsia="CESI仿宋-GB2312" w:cs="CESI仿宋-GB2312"/>
          <w:sz w:val="32"/>
          <w:szCs w:val="32"/>
          <w:lang w:val="en-US" w:eastAsia="zh-CN"/>
        </w:rPr>
        <w:t>16.承担县爱国卫生运动委员会、县地方病防治领导小组、县防治艾滋病工作委员会的日常工作，负责全县干部知识分子健康保健工作领导小组确定的保健对象的医疗保健工作，负责县重大活动与重要会议的医疗卫生保障工作。</w:t>
      </w:r>
    </w:p>
    <w:p w14:paraId="530C3775">
      <w:pPr>
        <w:spacing w:line="600" w:lineRule="exact"/>
        <w:ind w:firstLine="640" w:firstLineChars="200"/>
        <w:rPr>
          <w:rFonts w:hint="eastAsia" w:ascii="CESI仿宋-GB2312" w:hAnsi="CESI仿宋-GB2312" w:eastAsia="CESI仿宋-GB2312" w:cs="CESI仿宋-GB2312"/>
          <w:sz w:val="32"/>
          <w:szCs w:val="32"/>
          <w:lang w:val="en-US" w:eastAsia="zh-CN"/>
        </w:rPr>
      </w:pPr>
      <w:r>
        <w:rPr>
          <w:rFonts w:hint="eastAsia" w:ascii="CESI仿宋-GB2312" w:hAnsi="CESI仿宋-GB2312" w:eastAsia="CESI仿宋-GB2312" w:cs="CESI仿宋-GB2312"/>
          <w:sz w:val="32"/>
          <w:szCs w:val="32"/>
          <w:lang w:val="en-US" w:eastAsia="zh-CN"/>
        </w:rPr>
        <w:t>17.承担县政府公布的有关行政审批事项。</w:t>
      </w:r>
    </w:p>
    <w:p w14:paraId="79AEA27A">
      <w:pPr>
        <w:spacing w:line="600" w:lineRule="exact"/>
        <w:ind w:firstLine="640" w:firstLineChars="200"/>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lang w:val="en-US" w:eastAsia="zh-CN"/>
        </w:rPr>
        <w:t>18.承办县政府交办的其他事项。</w:t>
      </w:r>
    </w:p>
    <w:p w14:paraId="6249259D">
      <w:pPr>
        <w:numPr>
          <w:ilvl w:val="0"/>
          <w:numId w:val="0"/>
        </w:numPr>
      </w:pPr>
    </w:p>
    <w:p w14:paraId="17E00105">
      <w:pPr>
        <w:pStyle w:val="4"/>
        <w:rPr>
          <w:rStyle w:val="30"/>
          <w:rFonts w:ascii="Times New Roman" w:hAnsi="Times New Roman"/>
          <w:b w:val="0"/>
          <w:bCs w:val="0"/>
        </w:rPr>
      </w:pPr>
      <w:bookmarkStart w:id="8" w:name="_Toc15377200"/>
      <w:bookmarkStart w:id="9" w:name="_Toc15396601"/>
      <w:bookmarkStart w:id="10" w:name="_Toc1907597467"/>
      <w:r>
        <w:rPr>
          <w:rFonts w:hint="eastAsia" w:ascii="Times New Roman" w:hAnsi="Times New Roman" w:eastAsia="黑体"/>
          <w:b w:val="0"/>
        </w:rPr>
        <w:t>二、机</w:t>
      </w:r>
      <w:r>
        <w:rPr>
          <w:rStyle w:val="30"/>
          <w:rFonts w:hint="eastAsia" w:ascii="Times New Roman" w:hAnsi="Times New Roman" w:eastAsia="黑体"/>
          <w:b w:val="0"/>
          <w:bCs w:val="0"/>
        </w:rPr>
        <w:t>构设置</w:t>
      </w:r>
      <w:bookmarkEnd w:id="8"/>
      <w:bookmarkEnd w:id="9"/>
      <w:bookmarkEnd w:id="10"/>
    </w:p>
    <w:p w14:paraId="470AABB9">
      <w:pPr>
        <w:keepNext w:val="0"/>
        <w:keepLines w:val="0"/>
        <w:widowControl w:val="0"/>
        <w:suppressLineNumbers w:val="0"/>
        <w:spacing w:before="0" w:beforeAutospacing="0" w:after="0" w:afterAutospacing="0"/>
        <w:ind w:left="0" w:right="0" w:firstLine="800" w:firstLineChars="250"/>
        <w:jc w:val="both"/>
        <w:rPr>
          <w:rFonts w:hint="eastAsia" w:ascii="CESI仿宋-GB2312" w:hAnsi="CESI仿宋-GB2312" w:eastAsia="CESI仿宋-GB2312" w:cs="CESI仿宋-GB2312"/>
          <w:kern w:val="2"/>
          <w:sz w:val="32"/>
          <w:szCs w:val="32"/>
        </w:rPr>
      </w:pPr>
      <w:r>
        <w:rPr>
          <w:rFonts w:hint="eastAsia" w:ascii="CESI仿宋-GB2312" w:hAnsi="CESI仿宋-GB2312" w:eastAsia="CESI仿宋-GB2312" w:cs="CESI仿宋-GB2312"/>
          <w:b w:val="0"/>
          <w:bCs w:val="0"/>
          <w:kern w:val="2"/>
          <w:sz w:val="32"/>
          <w:szCs w:val="32"/>
          <w:lang w:val="en-US" w:eastAsia="zh-CN" w:bidi="ar"/>
        </w:rPr>
        <w:t>盐边县卫生健康局</w:t>
      </w:r>
      <w:r>
        <w:rPr>
          <w:rFonts w:hint="eastAsia" w:ascii="CESI仿宋-GB2312" w:hAnsi="CESI仿宋-GB2312" w:eastAsia="CESI仿宋-GB2312" w:cs="CESI仿宋-GB2312"/>
          <w:kern w:val="2"/>
          <w:sz w:val="32"/>
          <w:szCs w:val="32"/>
          <w:lang w:val="en-US" w:eastAsia="zh-CN" w:bidi="ar"/>
        </w:rPr>
        <w:t>下属二级预算单位16个，其中行政单位0个，参照公务员法管理的事业单位1个，其他事业单位15个。</w:t>
      </w:r>
    </w:p>
    <w:p w14:paraId="5D4ACEEB">
      <w:pPr>
        <w:keepNext w:val="0"/>
        <w:keepLines w:val="0"/>
        <w:widowControl w:val="0"/>
        <w:suppressLineNumbers w:val="0"/>
        <w:spacing w:before="0" w:beforeAutospacing="0" w:after="0" w:afterAutospacing="0"/>
        <w:ind w:left="0" w:right="0" w:firstLine="800" w:firstLineChars="250"/>
        <w:jc w:val="both"/>
        <w:rPr>
          <w:rFonts w:hint="eastAsia" w:ascii="CESI仿宋-GB2312" w:hAnsi="CESI仿宋-GB2312" w:eastAsia="CESI仿宋-GB2312" w:cs="CESI仿宋-GB2312"/>
          <w:kern w:val="2"/>
          <w:sz w:val="32"/>
          <w:szCs w:val="32"/>
        </w:rPr>
      </w:pPr>
      <w:r>
        <w:rPr>
          <w:rFonts w:hint="eastAsia" w:ascii="CESI仿宋-GB2312" w:hAnsi="CESI仿宋-GB2312" w:eastAsia="CESI仿宋-GB2312" w:cs="CESI仿宋-GB2312"/>
          <w:kern w:val="2"/>
          <w:sz w:val="32"/>
          <w:szCs w:val="32"/>
          <w:lang w:val="en-US" w:eastAsia="zh-CN" w:bidi="ar"/>
        </w:rPr>
        <w:t>纳入盐边县卫生健康局2023年度部门决算编制范围的二级预算单位包括：</w:t>
      </w:r>
    </w:p>
    <w:p w14:paraId="2418C830">
      <w:pPr>
        <w:keepNext w:val="0"/>
        <w:keepLines w:val="0"/>
        <w:widowControl w:val="0"/>
        <w:numPr>
          <w:ilvl w:val="0"/>
          <w:numId w:val="2"/>
        </w:numPr>
        <w:suppressLineNumbers w:val="0"/>
        <w:spacing w:before="0" w:beforeAutospacing="0" w:after="0" w:afterAutospacing="0"/>
        <w:ind w:left="0" w:right="0" w:firstLine="800" w:firstLineChars="250"/>
        <w:jc w:val="both"/>
        <w:rPr>
          <w:rFonts w:hint="eastAsia" w:ascii="CESI仿宋-GB2312" w:hAnsi="CESI仿宋-GB2312" w:eastAsia="CESI仿宋-GB2312" w:cs="CESI仿宋-GB2312"/>
          <w:kern w:val="2"/>
          <w:sz w:val="32"/>
          <w:szCs w:val="32"/>
        </w:rPr>
      </w:pPr>
      <w:r>
        <w:rPr>
          <w:rFonts w:hint="eastAsia" w:ascii="CESI仿宋-GB2312" w:hAnsi="CESI仿宋-GB2312" w:eastAsia="CESI仿宋-GB2312" w:cs="CESI仿宋-GB2312"/>
          <w:kern w:val="2"/>
          <w:sz w:val="32"/>
          <w:szCs w:val="32"/>
          <w:lang w:val="en-US" w:eastAsia="zh-CN" w:bidi="ar"/>
        </w:rPr>
        <w:t>盐边县人民医院</w:t>
      </w:r>
    </w:p>
    <w:p w14:paraId="311A4DBF">
      <w:pPr>
        <w:keepNext w:val="0"/>
        <w:keepLines w:val="0"/>
        <w:widowControl w:val="0"/>
        <w:numPr>
          <w:ilvl w:val="0"/>
          <w:numId w:val="2"/>
        </w:numPr>
        <w:suppressLineNumbers w:val="0"/>
        <w:spacing w:before="0" w:beforeAutospacing="0" w:after="0" w:afterAutospacing="0"/>
        <w:ind w:left="0" w:right="0" w:firstLine="800" w:firstLineChars="250"/>
        <w:jc w:val="both"/>
        <w:rPr>
          <w:rFonts w:hint="eastAsia" w:ascii="CESI仿宋-GB2312" w:hAnsi="CESI仿宋-GB2312" w:eastAsia="CESI仿宋-GB2312" w:cs="CESI仿宋-GB2312"/>
          <w:kern w:val="2"/>
          <w:sz w:val="32"/>
          <w:szCs w:val="32"/>
        </w:rPr>
      </w:pPr>
      <w:r>
        <w:rPr>
          <w:rFonts w:hint="eastAsia" w:ascii="CESI仿宋-GB2312" w:hAnsi="CESI仿宋-GB2312" w:eastAsia="CESI仿宋-GB2312" w:cs="CESI仿宋-GB2312"/>
          <w:kern w:val="2"/>
          <w:sz w:val="32"/>
          <w:szCs w:val="32"/>
          <w:lang w:val="en-US" w:eastAsia="zh-CN" w:bidi="ar"/>
        </w:rPr>
        <w:t>盐边县中医院</w:t>
      </w:r>
    </w:p>
    <w:p w14:paraId="3E193857">
      <w:pPr>
        <w:keepNext w:val="0"/>
        <w:keepLines w:val="0"/>
        <w:widowControl w:val="0"/>
        <w:numPr>
          <w:ilvl w:val="0"/>
          <w:numId w:val="2"/>
        </w:numPr>
        <w:suppressLineNumbers w:val="0"/>
        <w:spacing w:before="0" w:beforeAutospacing="0" w:after="0" w:afterAutospacing="0"/>
        <w:ind w:left="0" w:right="0" w:firstLine="800" w:firstLineChars="250"/>
        <w:jc w:val="both"/>
        <w:rPr>
          <w:rFonts w:hint="eastAsia" w:ascii="CESI仿宋-GB2312" w:hAnsi="CESI仿宋-GB2312" w:eastAsia="CESI仿宋-GB2312" w:cs="CESI仿宋-GB2312"/>
          <w:kern w:val="2"/>
          <w:sz w:val="32"/>
          <w:szCs w:val="32"/>
        </w:rPr>
      </w:pPr>
      <w:r>
        <w:rPr>
          <w:rFonts w:hint="eastAsia" w:ascii="CESI仿宋-GB2312" w:hAnsi="CESI仿宋-GB2312" w:eastAsia="CESI仿宋-GB2312" w:cs="CESI仿宋-GB2312"/>
          <w:kern w:val="2"/>
          <w:sz w:val="32"/>
          <w:szCs w:val="32"/>
          <w:lang w:val="en-US" w:eastAsia="zh-CN" w:bidi="ar"/>
        </w:rPr>
        <w:t>盐边县第二人民医院</w:t>
      </w:r>
    </w:p>
    <w:p w14:paraId="5C346057">
      <w:pPr>
        <w:keepNext w:val="0"/>
        <w:keepLines w:val="0"/>
        <w:widowControl w:val="0"/>
        <w:numPr>
          <w:ilvl w:val="0"/>
          <w:numId w:val="2"/>
        </w:numPr>
        <w:suppressLineNumbers w:val="0"/>
        <w:spacing w:before="0" w:beforeAutospacing="0" w:after="0" w:afterAutospacing="0"/>
        <w:ind w:left="0" w:right="0" w:firstLine="800" w:firstLineChars="250"/>
        <w:jc w:val="both"/>
        <w:rPr>
          <w:rFonts w:hint="eastAsia" w:ascii="CESI仿宋-GB2312" w:hAnsi="CESI仿宋-GB2312" w:eastAsia="CESI仿宋-GB2312" w:cs="CESI仿宋-GB2312"/>
          <w:kern w:val="2"/>
          <w:sz w:val="32"/>
          <w:szCs w:val="32"/>
        </w:rPr>
      </w:pPr>
      <w:r>
        <w:rPr>
          <w:rFonts w:hint="eastAsia" w:ascii="CESI仿宋-GB2312" w:hAnsi="CESI仿宋-GB2312" w:eastAsia="CESI仿宋-GB2312" w:cs="CESI仿宋-GB2312"/>
          <w:kern w:val="2"/>
          <w:sz w:val="32"/>
          <w:szCs w:val="32"/>
          <w:lang w:val="en-US" w:eastAsia="zh-CN" w:bidi="ar"/>
        </w:rPr>
        <w:t>盐边县社区卫生服务中心</w:t>
      </w:r>
    </w:p>
    <w:p w14:paraId="1D01DA57">
      <w:pPr>
        <w:keepNext w:val="0"/>
        <w:keepLines w:val="0"/>
        <w:widowControl w:val="0"/>
        <w:numPr>
          <w:ilvl w:val="0"/>
          <w:numId w:val="2"/>
        </w:numPr>
        <w:suppressLineNumbers w:val="0"/>
        <w:spacing w:before="0" w:beforeAutospacing="0" w:after="0" w:afterAutospacing="0"/>
        <w:ind w:left="0" w:right="0" w:firstLine="800" w:firstLineChars="250"/>
        <w:jc w:val="both"/>
        <w:rPr>
          <w:rFonts w:hint="eastAsia" w:ascii="CESI仿宋-GB2312" w:hAnsi="CESI仿宋-GB2312" w:eastAsia="CESI仿宋-GB2312" w:cs="CESI仿宋-GB2312"/>
          <w:kern w:val="2"/>
          <w:sz w:val="32"/>
          <w:szCs w:val="32"/>
        </w:rPr>
      </w:pPr>
      <w:r>
        <w:rPr>
          <w:rFonts w:hint="eastAsia" w:ascii="CESI仿宋-GB2312" w:hAnsi="CESI仿宋-GB2312" w:eastAsia="CESI仿宋-GB2312" w:cs="CESI仿宋-GB2312"/>
          <w:kern w:val="2"/>
          <w:sz w:val="32"/>
          <w:szCs w:val="32"/>
          <w:lang w:val="en-US" w:eastAsia="zh-CN" w:bidi="ar"/>
        </w:rPr>
        <w:t>盐边县桐子林镇卫生院</w:t>
      </w:r>
    </w:p>
    <w:p w14:paraId="67C9057D">
      <w:pPr>
        <w:keepNext w:val="0"/>
        <w:keepLines w:val="0"/>
        <w:widowControl w:val="0"/>
        <w:numPr>
          <w:ilvl w:val="0"/>
          <w:numId w:val="2"/>
        </w:numPr>
        <w:suppressLineNumbers w:val="0"/>
        <w:spacing w:before="0" w:beforeAutospacing="0" w:after="0" w:afterAutospacing="0"/>
        <w:ind w:left="0" w:right="0" w:firstLine="800" w:firstLineChars="250"/>
        <w:jc w:val="both"/>
        <w:rPr>
          <w:rFonts w:hint="eastAsia" w:ascii="CESI仿宋-GB2312" w:hAnsi="CESI仿宋-GB2312" w:eastAsia="CESI仿宋-GB2312" w:cs="CESI仿宋-GB2312"/>
          <w:kern w:val="2"/>
          <w:sz w:val="32"/>
          <w:szCs w:val="32"/>
        </w:rPr>
      </w:pPr>
      <w:r>
        <w:rPr>
          <w:rFonts w:hint="eastAsia" w:ascii="CESI仿宋-GB2312" w:hAnsi="CESI仿宋-GB2312" w:eastAsia="CESI仿宋-GB2312" w:cs="CESI仿宋-GB2312"/>
          <w:kern w:val="2"/>
          <w:sz w:val="32"/>
          <w:szCs w:val="32"/>
          <w:lang w:val="en-US" w:eastAsia="zh-CN" w:bidi="ar"/>
        </w:rPr>
        <w:t>盐边县红格中心卫生院</w:t>
      </w:r>
    </w:p>
    <w:p w14:paraId="5528E0F7">
      <w:pPr>
        <w:keepNext w:val="0"/>
        <w:keepLines w:val="0"/>
        <w:widowControl w:val="0"/>
        <w:numPr>
          <w:ilvl w:val="0"/>
          <w:numId w:val="2"/>
        </w:numPr>
        <w:suppressLineNumbers w:val="0"/>
        <w:spacing w:before="0" w:beforeAutospacing="0" w:after="0" w:afterAutospacing="0"/>
        <w:ind w:left="0" w:right="0" w:firstLine="800" w:firstLineChars="250"/>
        <w:jc w:val="both"/>
        <w:rPr>
          <w:rFonts w:hint="eastAsia" w:ascii="CESI仿宋-GB2312" w:hAnsi="CESI仿宋-GB2312" w:eastAsia="CESI仿宋-GB2312" w:cs="CESI仿宋-GB2312"/>
          <w:kern w:val="2"/>
          <w:sz w:val="32"/>
          <w:szCs w:val="32"/>
        </w:rPr>
      </w:pPr>
      <w:r>
        <w:rPr>
          <w:rFonts w:hint="eastAsia" w:ascii="CESI仿宋-GB2312" w:hAnsi="CESI仿宋-GB2312" w:eastAsia="CESI仿宋-GB2312" w:cs="CESI仿宋-GB2312"/>
          <w:kern w:val="2"/>
          <w:sz w:val="32"/>
          <w:szCs w:val="32"/>
          <w:lang w:val="en-US" w:eastAsia="zh-CN" w:bidi="ar"/>
        </w:rPr>
        <w:t>盐边县渔门中心卫生院（盐边县渔门镇妇幼保健计划生育服务站）</w:t>
      </w:r>
    </w:p>
    <w:p w14:paraId="6CF1E866">
      <w:pPr>
        <w:keepNext w:val="0"/>
        <w:keepLines w:val="0"/>
        <w:widowControl w:val="0"/>
        <w:numPr>
          <w:ilvl w:val="0"/>
          <w:numId w:val="2"/>
        </w:numPr>
        <w:suppressLineNumbers w:val="0"/>
        <w:spacing w:before="0" w:beforeAutospacing="0" w:after="0" w:afterAutospacing="0"/>
        <w:ind w:left="0" w:right="0" w:firstLine="800" w:firstLineChars="250"/>
        <w:jc w:val="both"/>
        <w:rPr>
          <w:rFonts w:hint="eastAsia" w:ascii="CESI仿宋-GB2312" w:hAnsi="CESI仿宋-GB2312" w:eastAsia="CESI仿宋-GB2312" w:cs="CESI仿宋-GB2312"/>
          <w:kern w:val="2"/>
          <w:sz w:val="32"/>
          <w:szCs w:val="32"/>
        </w:rPr>
      </w:pPr>
      <w:r>
        <w:rPr>
          <w:rFonts w:hint="eastAsia" w:ascii="CESI仿宋-GB2312" w:hAnsi="CESI仿宋-GB2312" w:eastAsia="CESI仿宋-GB2312" w:cs="CESI仿宋-GB2312"/>
          <w:kern w:val="2"/>
          <w:sz w:val="32"/>
          <w:szCs w:val="32"/>
          <w:lang w:val="en-US" w:eastAsia="zh-CN" w:bidi="ar"/>
        </w:rPr>
        <w:t>盐边县永兴中心卫生院</w:t>
      </w:r>
    </w:p>
    <w:p w14:paraId="1689B49F">
      <w:pPr>
        <w:keepNext w:val="0"/>
        <w:keepLines w:val="0"/>
        <w:widowControl w:val="0"/>
        <w:numPr>
          <w:ilvl w:val="0"/>
          <w:numId w:val="2"/>
        </w:numPr>
        <w:suppressLineNumbers w:val="0"/>
        <w:spacing w:before="0" w:beforeAutospacing="0" w:after="0" w:afterAutospacing="0"/>
        <w:ind w:left="0" w:right="0" w:firstLine="800" w:firstLineChars="250"/>
        <w:jc w:val="both"/>
        <w:rPr>
          <w:rFonts w:hint="eastAsia" w:ascii="CESI仿宋-GB2312" w:hAnsi="CESI仿宋-GB2312" w:eastAsia="CESI仿宋-GB2312" w:cs="CESI仿宋-GB2312"/>
          <w:kern w:val="2"/>
          <w:sz w:val="32"/>
          <w:szCs w:val="32"/>
        </w:rPr>
      </w:pPr>
      <w:r>
        <w:rPr>
          <w:rFonts w:hint="eastAsia" w:ascii="CESI仿宋-GB2312" w:hAnsi="CESI仿宋-GB2312" w:eastAsia="CESI仿宋-GB2312" w:cs="CESI仿宋-GB2312"/>
          <w:kern w:val="2"/>
          <w:sz w:val="32"/>
          <w:szCs w:val="32"/>
          <w:lang w:val="en-US" w:eastAsia="zh-CN" w:bidi="ar"/>
        </w:rPr>
        <w:t xml:space="preserve">   盐边县新九镇卫生院</w:t>
      </w:r>
    </w:p>
    <w:p w14:paraId="6A5F04FE">
      <w:pPr>
        <w:keepNext w:val="0"/>
        <w:keepLines w:val="0"/>
        <w:widowControl w:val="0"/>
        <w:numPr>
          <w:ilvl w:val="0"/>
          <w:numId w:val="2"/>
        </w:numPr>
        <w:suppressLineNumbers w:val="0"/>
        <w:spacing w:before="0" w:beforeAutospacing="0" w:after="0" w:afterAutospacing="0"/>
        <w:ind w:left="0" w:right="0" w:firstLine="800" w:firstLineChars="250"/>
        <w:jc w:val="both"/>
        <w:rPr>
          <w:rFonts w:hint="eastAsia" w:ascii="CESI仿宋-GB2312" w:hAnsi="CESI仿宋-GB2312" w:eastAsia="CESI仿宋-GB2312" w:cs="CESI仿宋-GB2312"/>
          <w:kern w:val="2"/>
          <w:sz w:val="32"/>
          <w:szCs w:val="32"/>
        </w:rPr>
      </w:pPr>
      <w:r>
        <w:rPr>
          <w:rFonts w:hint="eastAsia" w:ascii="CESI仿宋-GB2312" w:hAnsi="CESI仿宋-GB2312" w:eastAsia="CESI仿宋-GB2312" w:cs="CESI仿宋-GB2312"/>
          <w:kern w:val="2"/>
          <w:sz w:val="32"/>
          <w:szCs w:val="32"/>
          <w:lang w:val="en-US" w:eastAsia="zh-CN" w:bidi="ar"/>
        </w:rPr>
        <w:t>盐边县惠民中心卫生院</w:t>
      </w:r>
    </w:p>
    <w:p w14:paraId="1B9149F2">
      <w:pPr>
        <w:keepNext w:val="0"/>
        <w:keepLines w:val="0"/>
        <w:widowControl w:val="0"/>
        <w:numPr>
          <w:ilvl w:val="0"/>
          <w:numId w:val="2"/>
        </w:numPr>
        <w:suppressLineNumbers w:val="0"/>
        <w:spacing w:before="0" w:beforeAutospacing="0" w:after="0" w:afterAutospacing="0"/>
        <w:ind w:left="0" w:right="0" w:firstLine="800" w:firstLineChars="250"/>
        <w:jc w:val="both"/>
        <w:rPr>
          <w:rFonts w:hint="eastAsia" w:ascii="CESI仿宋-GB2312" w:hAnsi="CESI仿宋-GB2312" w:eastAsia="CESI仿宋-GB2312" w:cs="CESI仿宋-GB2312"/>
          <w:kern w:val="2"/>
          <w:sz w:val="32"/>
          <w:szCs w:val="32"/>
        </w:rPr>
      </w:pPr>
      <w:r>
        <w:rPr>
          <w:rFonts w:hint="eastAsia" w:ascii="CESI仿宋-GB2312" w:hAnsi="CESI仿宋-GB2312" w:eastAsia="CESI仿宋-GB2312" w:cs="CESI仿宋-GB2312"/>
          <w:kern w:val="2"/>
          <w:sz w:val="32"/>
          <w:szCs w:val="32"/>
          <w:lang w:val="en-US" w:eastAsia="zh-CN" w:bidi="ar"/>
        </w:rPr>
        <w:t>盐边县红果中心卫生院</w:t>
      </w:r>
    </w:p>
    <w:p w14:paraId="04F54023">
      <w:pPr>
        <w:keepNext w:val="0"/>
        <w:keepLines w:val="0"/>
        <w:widowControl w:val="0"/>
        <w:numPr>
          <w:ilvl w:val="0"/>
          <w:numId w:val="2"/>
        </w:numPr>
        <w:suppressLineNumbers w:val="0"/>
        <w:spacing w:before="0" w:beforeAutospacing="0" w:after="0" w:afterAutospacing="0"/>
        <w:ind w:left="0" w:right="0" w:firstLine="800" w:firstLineChars="250"/>
        <w:jc w:val="both"/>
        <w:rPr>
          <w:rFonts w:hint="eastAsia" w:ascii="CESI仿宋-GB2312" w:hAnsi="CESI仿宋-GB2312" w:eastAsia="CESI仿宋-GB2312" w:cs="CESI仿宋-GB2312"/>
          <w:kern w:val="2"/>
          <w:sz w:val="32"/>
          <w:szCs w:val="32"/>
        </w:rPr>
      </w:pPr>
      <w:r>
        <w:rPr>
          <w:rFonts w:hint="eastAsia" w:ascii="CESI仿宋-GB2312" w:hAnsi="CESI仿宋-GB2312" w:eastAsia="CESI仿宋-GB2312" w:cs="CESI仿宋-GB2312"/>
          <w:kern w:val="2"/>
          <w:sz w:val="32"/>
          <w:szCs w:val="32"/>
          <w:lang w:val="en-US" w:eastAsia="zh-CN" w:bidi="ar"/>
        </w:rPr>
        <w:t>盐边县温泉彝族乡卫生院</w:t>
      </w:r>
    </w:p>
    <w:p w14:paraId="456A06A1">
      <w:pPr>
        <w:keepNext w:val="0"/>
        <w:keepLines w:val="0"/>
        <w:widowControl w:val="0"/>
        <w:numPr>
          <w:ilvl w:val="0"/>
          <w:numId w:val="2"/>
        </w:numPr>
        <w:suppressLineNumbers w:val="0"/>
        <w:spacing w:before="0" w:beforeAutospacing="0" w:after="0" w:afterAutospacing="0"/>
        <w:ind w:left="0" w:right="0" w:firstLine="800" w:firstLineChars="250"/>
        <w:jc w:val="both"/>
        <w:rPr>
          <w:rFonts w:hint="eastAsia" w:ascii="CESI仿宋-GB2312" w:hAnsi="CESI仿宋-GB2312" w:eastAsia="CESI仿宋-GB2312" w:cs="CESI仿宋-GB2312"/>
          <w:kern w:val="2"/>
          <w:sz w:val="32"/>
          <w:szCs w:val="32"/>
        </w:rPr>
      </w:pPr>
      <w:r>
        <w:rPr>
          <w:rFonts w:hint="eastAsia" w:ascii="CESI仿宋-GB2312" w:hAnsi="CESI仿宋-GB2312" w:eastAsia="CESI仿宋-GB2312" w:cs="CESI仿宋-GB2312"/>
          <w:kern w:val="2"/>
          <w:sz w:val="32"/>
          <w:szCs w:val="32"/>
          <w:lang w:val="en-US" w:eastAsia="zh-CN" w:bidi="ar"/>
        </w:rPr>
        <w:t>盐边县国胜中心卫生院</w:t>
      </w:r>
    </w:p>
    <w:p w14:paraId="34E22237">
      <w:pPr>
        <w:keepNext w:val="0"/>
        <w:keepLines w:val="0"/>
        <w:widowControl w:val="0"/>
        <w:numPr>
          <w:ilvl w:val="0"/>
          <w:numId w:val="2"/>
        </w:numPr>
        <w:suppressLineNumbers w:val="0"/>
        <w:spacing w:before="0" w:beforeAutospacing="0" w:after="0" w:afterAutospacing="0"/>
        <w:ind w:left="0" w:right="0" w:firstLine="800" w:firstLineChars="250"/>
        <w:jc w:val="both"/>
        <w:rPr>
          <w:rFonts w:hint="eastAsia" w:ascii="CESI仿宋-GB2312" w:hAnsi="CESI仿宋-GB2312" w:eastAsia="CESI仿宋-GB2312" w:cs="CESI仿宋-GB2312"/>
          <w:kern w:val="2"/>
          <w:sz w:val="32"/>
          <w:szCs w:val="32"/>
        </w:rPr>
      </w:pPr>
      <w:r>
        <w:rPr>
          <w:rFonts w:hint="eastAsia" w:ascii="CESI仿宋-GB2312" w:hAnsi="CESI仿宋-GB2312" w:eastAsia="CESI仿宋-GB2312" w:cs="CESI仿宋-GB2312"/>
          <w:kern w:val="2"/>
          <w:sz w:val="32"/>
          <w:szCs w:val="32"/>
          <w:lang w:val="en-US" w:eastAsia="zh-CN" w:bidi="ar"/>
        </w:rPr>
        <w:t>盐边县共和中心卫生院</w:t>
      </w:r>
    </w:p>
    <w:p w14:paraId="5344DC87">
      <w:pPr>
        <w:keepNext w:val="0"/>
        <w:keepLines w:val="0"/>
        <w:widowControl w:val="0"/>
        <w:numPr>
          <w:ilvl w:val="0"/>
          <w:numId w:val="2"/>
        </w:numPr>
        <w:suppressLineNumbers w:val="0"/>
        <w:spacing w:before="0" w:beforeAutospacing="0" w:after="0" w:afterAutospacing="0"/>
        <w:ind w:left="0" w:right="0" w:firstLine="800" w:firstLineChars="250"/>
        <w:jc w:val="both"/>
        <w:rPr>
          <w:rFonts w:hint="eastAsia" w:ascii="CESI仿宋-GB2312" w:hAnsi="CESI仿宋-GB2312" w:eastAsia="CESI仿宋-GB2312" w:cs="CESI仿宋-GB2312"/>
          <w:kern w:val="2"/>
          <w:sz w:val="32"/>
          <w:szCs w:val="32"/>
        </w:rPr>
      </w:pPr>
      <w:r>
        <w:rPr>
          <w:rFonts w:hint="eastAsia" w:ascii="CESI仿宋-GB2312" w:hAnsi="CESI仿宋-GB2312" w:eastAsia="CESI仿宋-GB2312" w:cs="CESI仿宋-GB2312"/>
          <w:kern w:val="2"/>
          <w:sz w:val="32"/>
          <w:szCs w:val="32"/>
          <w:lang w:val="en-US" w:eastAsia="zh-CN" w:bidi="ar"/>
        </w:rPr>
        <w:t>盐边县红宝苗族彝族乡卫生院</w:t>
      </w:r>
    </w:p>
    <w:p w14:paraId="2DE884A5">
      <w:pPr>
        <w:keepNext w:val="0"/>
        <w:keepLines w:val="0"/>
        <w:widowControl w:val="0"/>
        <w:numPr>
          <w:ilvl w:val="0"/>
          <w:numId w:val="2"/>
        </w:numPr>
        <w:suppressLineNumbers w:val="0"/>
        <w:spacing w:before="0" w:beforeAutospacing="0" w:after="0" w:afterAutospacing="0"/>
        <w:ind w:left="0" w:right="0" w:firstLine="800" w:firstLineChars="250"/>
        <w:jc w:val="both"/>
        <w:rPr>
          <w:rFonts w:hint="eastAsia" w:ascii="CESI仿宋-GB2312" w:hAnsi="CESI仿宋-GB2312" w:eastAsia="CESI仿宋-GB2312" w:cs="CESI仿宋-GB2312"/>
          <w:kern w:val="2"/>
          <w:sz w:val="32"/>
          <w:szCs w:val="32"/>
        </w:rPr>
      </w:pPr>
      <w:r>
        <w:rPr>
          <w:rFonts w:hint="eastAsia" w:ascii="CESI仿宋-GB2312" w:hAnsi="CESI仿宋-GB2312" w:eastAsia="CESI仿宋-GB2312" w:cs="CESI仿宋-GB2312"/>
          <w:kern w:val="2"/>
          <w:sz w:val="32"/>
          <w:szCs w:val="32"/>
          <w:lang w:val="en-US" w:eastAsia="zh-CN" w:bidi="ar"/>
        </w:rPr>
        <w:t>盐边县格萨拉中心卫生院</w:t>
      </w:r>
    </w:p>
    <w:p w14:paraId="1DCB672B">
      <w:pPr>
        <w:widowControl/>
        <w:jc w:val="left"/>
        <w:rPr>
          <w:rFonts w:eastAsia="仿宋"/>
          <w:kern w:val="0"/>
          <w:sz w:val="32"/>
          <w:szCs w:val="32"/>
        </w:rPr>
      </w:pPr>
      <w:r>
        <w:rPr>
          <w:rFonts w:eastAsia="仿宋"/>
          <w:sz w:val="32"/>
          <w:szCs w:val="32"/>
        </w:rPr>
        <w:br w:type="page"/>
      </w:r>
    </w:p>
    <w:p w14:paraId="162A5D01">
      <w:pPr>
        <w:pStyle w:val="3"/>
        <w:jc w:val="center"/>
        <w:rPr>
          <w:rFonts w:eastAsia="方正小标宋简体" w:cs="方正小标宋简体"/>
          <w:b w:val="0"/>
        </w:rPr>
      </w:pPr>
      <w:bookmarkStart w:id="11" w:name="_Toc15396602"/>
      <w:bookmarkStart w:id="12" w:name="_Toc514971612"/>
      <w:bookmarkStart w:id="13" w:name="_Toc15377204"/>
      <w:r>
        <w:rPr>
          <w:rFonts w:hint="eastAsia" w:eastAsia="方正小标宋简体" w:cs="方正小标宋简体"/>
          <w:b w:val="0"/>
        </w:rPr>
        <w:t>第二部分  2024年度部门决算情况说明</w:t>
      </w:r>
      <w:bookmarkEnd w:id="11"/>
      <w:bookmarkEnd w:id="12"/>
      <w:bookmarkEnd w:id="13"/>
    </w:p>
    <w:p w14:paraId="5F63D684"/>
    <w:p w14:paraId="182C8332">
      <w:pPr>
        <w:pStyle w:val="28"/>
        <w:spacing w:line="600" w:lineRule="exact"/>
        <w:ind w:firstLine="640"/>
        <w:outlineLvl w:val="1"/>
        <w:rPr>
          <w:rStyle w:val="30"/>
          <w:rFonts w:ascii="Times New Roman" w:hAnsi="Times New Roman" w:eastAsia="黑体"/>
          <w:b w:val="0"/>
        </w:rPr>
      </w:pPr>
      <w:bookmarkStart w:id="14" w:name="_Toc1664022054"/>
      <w:bookmarkStart w:id="15" w:name="_Toc15377205"/>
      <w:bookmarkStart w:id="16" w:name="_Toc15396603"/>
      <w:r>
        <w:rPr>
          <w:rFonts w:hint="eastAsia" w:eastAsia="黑体"/>
          <w:sz w:val="32"/>
          <w:szCs w:val="32"/>
        </w:rPr>
        <w:t>一、收</w:t>
      </w:r>
      <w:r>
        <w:rPr>
          <w:rStyle w:val="30"/>
          <w:rFonts w:hint="eastAsia" w:ascii="Times New Roman" w:hAnsi="Times New Roman" w:eastAsia="黑体"/>
          <w:b w:val="0"/>
        </w:rPr>
        <w:t>入支出决算总体情况说明</w:t>
      </w:r>
      <w:bookmarkEnd w:id="14"/>
      <w:bookmarkEnd w:id="15"/>
      <w:bookmarkEnd w:id="16"/>
    </w:p>
    <w:p w14:paraId="230CA0C7">
      <w:pPr>
        <w:keepNext w:val="0"/>
        <w:keepLines w:val="0"/>
        <w:widowControl w:val="0"/>
        <w:suppressLineNumbers w:val="0"/>
        <w:spacing w:before="0" w:beforeAutospacing="0" w:after="0" w:afterAutospacing="0"/>
        <w:ind w:left="0" w:right="0" w:firstLine="640" w:firstLineChars="200"/>
        <w:jc w:val="both"/>
        <w:rPr>
          <w:rFonts w:hint="eastAsia" w:eastAsia="仿宋_GB2312" w:cs="仿宋_GB2312"/>
          <w:sz w:val="32"/>
          <w:szCs w:val="32"/>
          <w:lang w:eastAsia="zh-CN"/>
        </w:rPr>
      </w:pPr>
      <w:r>
        <w:rPr>
          <w:rFonts w:hint="eastAsia" w:eastAsia="仿宋_GB2312" w:cs="仿宋_GB2312"/>
          <w:sz w:val="32"/>
          <w:szCs w:val="32"/>
        </w:rPr>
        <w:t>2024年度收入、支出总计均为</w:t>
      </w:r>
      <w:r>
        <w:rPr>
          <w:rFonts w:hint="eastAsia" w:eastAsia="仿宋_GB2312" w:cs="仿宋_GB2312"/>
          <w:sz w:val="32"/>
          <w:szCs w:val="32"/>
          <w:lang w:val="en-US" w:eastAsia="zh-CN"/>
        </w:rPr>
        <w:t>34480.82</w:t>
      </w:r>
      <w:r>
        <w:rPr>
          <w:rFonts w:hint="eastAsia" w:eastAsia="仿宋_GB2312" w:cs="仿宋_GB2312"/>
          <w:sz w:val="32"/>
          <w:szCs w:val="32"/>
        </w:rPr>
        <w:t>万元。与2023年度相比，收入、支出总计各增加</w:t>
      </w:r>
      <w:r>
        <w:rPr>
          <w:rFonts w:hint="eastAsia" w:eastAsia="仿宋_GB2312" w:cs="仿宋_GB2312"/>
          <w:sz w:val="32"/>
          <w:szCs w:val="32"/>
          <w:lang w:val="en-US" w:eastAsia="zh-CN"/>
        </w:rPr>
        <w:t>3064.93</w:t>
      </w:r>
      <w:r>
        <w:rPr>
          <w:rFonts w:hint="eastAsia" w:eastAsia="仿宋_GB2312" w:cs="仿宋_GB2312"/>
          <w:sz w:val="32"/>
          <w:szCs w:val="32"/>
        </w:rPr>
        <w:t>万元，增长</w:t>
      </w:r>
      <w:r>
        <w:rPr>
          <w:rFonts w:hint="eastAsia" w:eastAsia="仿宋_GB2312" w:cs="仿宋_GB2312"/>
          <w:sz w:val="32"/>
          <w:szCs w:val="32"/>
          <w:lang w:val="en-US" w:eastAsia="zh-CN"/>
        </w:rPr>
        <w:t>9.76</w:t>
      </w:r>
      <w:r>
        <w:rPr>
          <w:rFonts w:hint="eastAsia" w:eastAsia="仿宋_GB2312" w:cs="仿宋_GB2312"/>
          <w:sz w:val="32"/>
          <w:szCs w:val="32"/>
        </w:rPr>
        <w:t>%。主要变动原因</w:t>
      </w:r>
      <w:r>
        <w:rPr>
          <w:rFonts w:hint="eastAsia" w:eastAsia="仿宋_GB2312" w:cs="仿宋_GB2312"/>
          <w:sz w:val="32"/>
          <w:szCs w:val="32"/>
          <w:lang w:eastAsia="zh-CN"/>
        </w:rPr>
        <w:t>一</w:t>
      </w:r>
      <w:r>
        <w:rPr>
          <w:rFonts w:hint="eastAsia" w:eastAsia="仿宋_GB2312" w:cs="仿宋_GB2312"/>
          <w:sz w:val="32"/>
          <w:szCs w:val="32"/>
        </w:rPr>
        <w:t>是</w:t>
      </w:r>
      <w:r>
        <w:rPr>
          <w:rFonts w:hint="eastAsia" w:eastAsia="仿宋_GB2312" w:cs="仿宋_GB2312"/>
          <w:sz w:val="32"/>
          <w:szCs w:val="32"/>
          <w:lang w:eastAsia="zh-CN"/>
        </w:rPr>
        <w:t>盐边县第二人民医院建设项目仍处于在建工程阶段，本年政府性基金预算项目资金增加；二是本年市级资金较去年增加</w:t>
      </w:r>
      <w:r>
        <w:rPr>
          <w:rFonts w:hint="eastAsia" w:eastAsia="仿宋_GB2312" w:cs="仿宋_GB2312"/>
          <w:sz w:val="32"/>
          <w:szCs w:val="32"/>
          <w:lang w:val="en-US" w:eastAsia="zh-CN"/>
        </w:rPr>
        <w:t>;三是本年医疗机构事业收入增加</w:t>
      </w:r>
      <w:r>
        <w:rPr>
          <w:rFonts w:hint="eastAsia" w:eastAsia="仿宋_GB2312" w:cs="仿宋_GB2312"/>
          <w:sz w:val="32"/>
          <w:szCs w:val="32"/>
          <w:lang w:eastAsia="zh-CN"/>
        </w:rPr>
        <w:t>。</w:t>
      </w:r>
    </w:p>
    <w:p w14:paraId="12526B74">
      <w:pPr>
        <w:ind w:firstLine="420" w:firstLineChars="200"/>
        <w:jc w:val="center"/>
        <w:rPr>
          <w:rFonts w:hint="eastAsia" w:eastAsia="黑体"/>
          <w:sz w:val="32"/>
          <w:szCs w:val="32"/>
        </w:rPr>
      </w:pPr>
      <w:r>
        <w:rPr>
          <w:rFonts w:hint="default" w:ascii="Times New Roman" w:hAnsi="Times New Roman" w:eastAsia="仿宋_GB2312" w:cs="Times New Roman"/>
        </w:rPr>
        <w:drawing>
          <wp:anchor distT="0" distB="0" distL="0" distR="0" simplePos="0" relativeHeight="251660288" behindDoc="0" locked="0" layoutInCell="1" allowOverlap="1">
            <wp:simplePos x="0" y="0"/>
            <wp:positionH relativeFrom="column">
              <wp:posOffset>82550</wp:posOffset>
            </wp:positionH>
            <wp:positionV relativeFrom="paragraph">
              <wp:posOffset>85090</wp:posOffset>
            </wp:positionV>
            <wp:extent cx="5198745" cy="2885440"/>
            <wp:effectExtent l="4445" t="4445" r="16510" b="5715"/>
            <wp:wrapTopAndBottom/>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anchor>
        </w:drawing>
      </w:r>
      <w:r>
        <w:rPr>
          <w:rFonts w:hint="eastAsia" w:eastAsia="仿宋_GB2312" w:cs="仿宋_GB2312"/>
          <w:sz w:val="32"/>
          <w:szCs w:val="32"/>
        </w:rPr>
        <w:t>（图1：收入、支出决算总计变动情况图）</w:t>
      </w:r>
      <w:bookmarkStart w:id="17" w:name="_Toc15396604"/>
      <w:bookmarkStart w:id="18" w:name="_Toc15377206"/>
    </w:p>
    <w:p w14:paraId="3083D7E7">
      <w:pPr>
        <w:pStyle w:val="28"/>
        <w:spacing w:line="600" w:lineRule="exact"/>
        <w:outlineLvl w:val="1"/>
        <w:rPr>
          <w:rFonts w:eastAsia="黑体"/>
          <w:sz w:val="32"/>
          <w:szCs w:val="32"/>
        </w:rPr>
      </w:pPr>
      <w:bookmarkStart w:id="19" w:name="_Toc1608784382"/>
      <w:r>
        <w:rPr>
          <w:rFonts w:hint="eastAsia" w:eastAsia="黑体"/>
          <w:sz w:val="32"/>
          <w:szCs w:val="32"/>
        </w:rPr>
        <w:t>二、收入决算情况说明</w:t>
      </w:r>
      <w:bookmarkEnd w:id="17"/>
      <w:bookmarkEnd w:id="18"/>
      <w:bookmarkEnd w:id="19"/>
    </w:p>
    <w:p w14:paraId="6A04D2FA">
      <w:pPr>
        <w:pStyle w:val="28"/>
        <w:spacing w:line="600" w:lineRule="exact"/>
        <w:ind w:firstLine="640"/>
        <w:jc w:val="distribute"/>
        <w:outlineLvl w:val="1"/>
        <w:rPr>
          <w:rFonts w:hint="eastAsia" w:ascii="仿宋_GB2312" w:hAnsi="仿宋_GB2312" w:eastAsia="仿宋_GB2312" w:cs="仿宋_GB2312"/>
          <w:sz w:val="32"/>
          <w:szCs w:val="32"/>
        </w:rPr>
      </w:pPr>
      <w:bookmarkStart w:id="20" w:name="_Toc1668373377"/>
      <w:bookmarkStart w:id="21" w:name="_Toc190916726"/>
      <w:r>
        <w:rPr>
          <w:rFonts w:hint="eastAsia" w:ascii="仿宋_GB2312" w:hAnsi="仿宋_GB2312" w:eastAsia="仿宋_GB2312" w:cs="仿宋_GB2312"/>
          <w:sz w:val="32"/>
          <w:szCs w:val="32"/>
        </w:rPr>
        <w:t>2024年度本年收入合计</w:t>
      </w:r>
      <w:r>
        <w:rPr>
          <w:rFonts w:hint="eastAsia" w:ascii="国标黑体" w:hAnsi="国标黑体" w:eastAsia="国标黑体" w:cs="国标黑体"/>
          <w:b w:val="0"/>
          <w:bCs w:val="0"/>
          <w:sz w:val="32"/>
          <w:szCs w:val="32"/>
          <w:lang w:val="en-US" w:eastAsia="zh-CN"/>
        </w:rPr>
        <w:t>34203.33</w:t>
      </w:r>
      <w:r>
        <w:rPr>
          <w:rFonts w:hint="eastAsia" w:ascii="仿宋_GB2312" w:hAnsi="仿宋_GB2312" w:eastAsia="仿宋_GB2312" w:cs="仿宋_GB2312"/>
          <w:sz w:val="32"/>
          <w:szCs w:val="32"/>
        </w:rPr>
        <w:t>万元，其中：一般公共预算财政拨款收入</w:t>
      </w:r>
      <w:r>
        <w:rPr>
          <w:rFonts w:hint="eastAsia" w:ascii="国标黑体" w:hAnsi="国标黑体" w:eastAsia="国标黑体" w:cs="国标黑体"/>
          <w:sz w:val="32"/>
          <w:szCs w:val="32"/>
          <w:lang w:val="en-US" w:eastAsia="zh-CN"/>
        </w:rPr>
        <w:t>14992.29</w:t>
      </w:r>
      <w:r>
        <w:rPr>
          <w:rFonts w:hint="eastAsia" w:ascii="仿宋_GB2312" w:hAnsi="仿宋_GB2312" w:eastAsia="仿宋_GB2312" w:cs="仿宋_GB2312"/>
          <w:sz w:val="32"/>
          <w:szCs w:val="32"/>
        </w:rPr>
        <w:t>万元，占</w:t>
      </w:r>
      <w:r>
        <w:rPr>
          <w:rFonts w:hint="eastAsia" w:ascii="国标黑体" w:hAnsi="国标黑体" w:eastAsia="国标黑体" w:cs="国标黑体"/>
          <w:sz w:val="32"/>
          <w:szCs w:val="32"/>
          <w:lang w:val="en-US" w:eastAsia="zh-CN"/>
        </w:rPr>
        <w:t>43.83</w:t>
      </w:r>
      <w:r>
        <w:rPr>
          <w:rFonts w:hint="eastAsia" w:ascii="国标黑体" w:hAnsi="国标黑体" w:eastAsia="国标黑体" w:cs="国标黑体"/>
          <w:sz w:val="32"/>
          <w:szCs w:val="32"/>
        </w:rPr>
        <w:t>%</w:t>
      </w:r>
      <w:r>
        <w:rPr>
          <w:rFonts w:hint="eastAsia" w:ascii="仿宋_GB2312" w:hAnsi="仿宋_GB2312" w:eastAsia="仿宋_GB2312" w:cs="仿宋_GB2312"/>
          <w:sz w:val="32"/>
          <w:szCs w:val="32"/>
        </w:rPr>
        <w:t>；政府性基金预算财政拨款收入</w:t>
      </w:r>
      <w:r>
        <w:rPr>
          <w:rFonts w:hint="eastAsia" w:ascii="国标黑体" w:hAnsi="国标黑体" w:eastAsia="国标黑体" w:cs="国标黑体"/>
          <w:sz w:val="32"/>
          <w:szCs w:val="32"/>
          <w:lang w:val="en-US" w:eastAsia="zh-CN"/>
        </w:rPr>
        <w:t>7064.16</w:t>
      </w:r>
      <w:r>
        <w:rPr>
          <w:rFonts w:hint="eastAsia" w:ascii="仿宋_GB2312" w:hAnsi="仿宋_GB2312" w:eastAsia="仿宋_GB2312" w:cs="仿宋_GB2312"/>
          <w:sz w:val="32"/>
          <w:szCs w:val="32"/>
        </w:rPr>
        <w:t>万元，占</w:t>
      </w:r>
      <w:r>
        <w:rPr>
          <w:rFonts w:hint="eastAsia" w:ascii="国标黑体" w:hAnsi="国标黑体" w:eastAsia="国标黑体" w:cs="国标黑体"/>
          <w:sz w:val="32"/>
          <w:szCs w:val="32"/>
          <w:lang w:val="en-US" w:eastAsia="zh-CN"/>
        </w:rPr>
        <w:t>20.64</w:t>
      </w:r>
      <w:r>
        <w:rPr>
          <w:rFonts w:hint="eastAsia" w:ascii="国标黑体" w:hAnsi="国标黑体" w:eastAsia="国标黑体" w:cs="国标黑体"/>
          <w:sz w:val="32"/>
          <w:szCs w:val="32"/>
        </w:rPr>
        <w:t>%</w:t>
      </w:r>
      <w:r>
        <w:rPr>
          <w:rFonts w:hint="eastAsia" w:ascii="仿宋_GB2312" w:hAnsi="仿宋_GB2312" w:eastAsia="仿宋_GB2312" w:cs="仿宋_GB2312"/>
          <w:sz w:val="32"/>
          <w:szCs w:val="32"/>
        </w:rPr>
        <w:t>；事业收入</w:t>
      </w:r>
      <w:r>
        <w:rPr>
          <w:rFonts w:hint="eastAsia" w:ascii="国标黑体" w:hAnsi="国标黑体" w:eastAsia="国标黑体" w:cs="国标黑体"/>
          <w:sz w:val="32"/>
          <w:szCs w:val="32"/>
          <w:lang w:val="en-US" w:eastAsia="zh-CN"/>
        </w:rPr>
        <w:t>11335.82</w:t>
      </w:r>
      <w:r>
        <w:rPr>
          <w:rFonts w:hint="eastAsia" w:ascii="仿宋_GB2312" w:hAnsi="仿宋_GB2312" w:eastAsia="仿宋_GB2312" w:cs="仿宋_GB2312"/>
          <w:sz w:val="32"/>
          <w:szCs w:val="32"/>
        </w:rPr>
        <w:t>万元，占</w:t>
      </w:r>
      <w:r>
        <w:rPr>
          <w:rFonts w:hint="eastAsia" w:ascii="国标黑体" w:hAnsi="国标黑体" w:eastAsia="国标黑体" w:cs="国标黑体"/>
          <w:sz w:val="32"/>
          <w:szCs w:val="32"/>
          <w:lang w:val="en-US" w:eastAsia="zh-CN"/>
        </w:rPr>
        <w:t>33.14</w:t>
      </w:r>
      <w:r>
        <w:rPr>
          <w:rFonts w:hint="eastAsia" w:ascii="国标黑体" w:hAnsi="国标黑体" w:eastAsia="国标黑体" w:cs="国标黑体"/>
          <w:sz w:val="32"/>
          <w:szCs w:val="32"/>
        </w:rPr>
        <w:t>%</w:t>
      </w:r>
      <w:r>
        <w:rPr>
          <w:rFonts w:hint="eastAsia" w:ascii="仿宋_GB2312" w:hAnsi="仿宋_GB2312" w:eastAsia="仿宋_GB2312" w:cs="仿宋_GB2312"/>
          <w:sz w:val="32"/>
          <w:szCs w:val="32"/>
        </w:rPr>
        <w:t>；其他收入</w:t>
      </w:r>
      <w:r>
        <w:rPr>
          <w:rFonts w:hint="eastAsia" w:ascii="国标黑体" w:hAnsi="国标黑体" w:eastAsia="国标黑体" w:cs="国标黑体"/>
          <w:sz w:val="32"/>
          <w:szCs w:val="32"/>
          <w:lang w:val="en-US" w:eastAsia="zh-CN"/>
        </w:rPr>
        <w:t>811.07</w:t>
      </w:r>
      <w:r>
        <w:rPr>
          <w:rFonts w:hint="eastAsia" w:ascii="仿宋_GB2312" w:hAnsi="仿宋_GB2312" w:eastAsia="仿宋_GB2312" w:cs="仿宋_GB2312"/>
          <w:sz w:val="32"/>
          <w:szCs w:val="32"/>
        </w:rPr>
        <w:t>万元，占</w:t>
      </w:r>
      <w:r>
        <w:rPr>
          <w:rFonts w:hint="eastAsia" w:ascii="国标黑体" w:hAnsi="国标黑体" w:eastAsia="国标黑体" w:cs="国标黑体"/>
          <w:sz w:val="32"/>
          <w:szCs w:val="32"/>
          <w:lang w:val="en-US" w:eastAsia="zh-CN"/>
        </w:rPr>
        <w:t>2.39</w:t>
      </w:r>
      <w:r>
        <w:rPr>
          <w:rFonts w:hint="eastAsia" w:ascii="国标黑体" w:hAnsi="国标黑体" w:eastAsia="国标黑体" w:cs="国标黑体"/>
          <w:sz w:val="32"/>
          <w:szCs w:val="32"/>
        </w:rPr>
        <w:t>%</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w:t>
      </w:r>
      <w:bookmarkEnd w:id="20"/>
      <w:bookmarkEnd w:id="21"/>
    </w:p>
    <w:p w14:paraId="2929A862">
      <w:pPr>
        <w:pStyle w:val="28"/>
        <w:spacing w:line="600" w:lineRule="exact"/>
        <w:ind w:firstLine="640"/>
        <w:jc w:val="center"/>
        <w:outlineLvl w:val="1"/>
        <w:rPr>
          <w:rFonts w:eastAsia="仿宋_GB2312" w:cs="仿宋_GB2312"/>
          <w:sz w:val="32"/>
          <w:szCs w:val="32"/>
        </w:rPr>
      </w:pPr>
      <w:bookmarkStart w:id="22" w:name="_Toc1816748414"/>
      <w:bookmarkStart w:id="23" w:name="_Toc708820713"/>
      <w:r>
        <w:rPr>
          <w:rFonts w:hint="eastAsia" w:ascii="仿宋_GB2312" w:hAnsi="仿宋_GB2312" w:eastAsia="仿宋_GB2312" w:cs="仿宋_GB2312"/>
          <w:sz w:val="32"/>
          <w:szCs w:val="32"/>
          <w:lang w:eastAsia="zh-CN"/>
        </w:rPr>
        <w:drawing>
          <wp:anchor distT="0" distB="0" distL="114300" distR="114300" simplePos="0" relativeHeight="251661312" behindDoc="0" locked="0" layoutInCell="1" allowOverlap="1">
            <wp:simplePos x="0" y="0"/>
            <wp:positionH relativeFrom="column">
              <wp:posOffset>39370</wp:posOffset>
            </wp:positionH>
            <wp:positionV relativeFrom="paragraph">
              <wp:posOffset>172720</wp:posOffset>
            </wp:positionV>
            <wp:extent cx="5256530" cy="2988310"/>
            <wp:effectExtent l="5080" t="4445" r="15240" b="17145"/>
            <wp:wrapTopAndBottom/>
            <wp:docPr id="2"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r>
        <w:rPr>
          <w:rFonts w:hint="eastAsia" w:eastAsia="仿宋_GB2312" w:cs="仿宋_GB2312"/>
          <w:sz w:val="32"/>
          <w:szCs w:val="32"/>
        </w:rPr>
        <w:t>（图2：收入决算结构图）</w:t>
      </w:r>
      <w:bookmarkEnd w:id="22"/>
      <w:bookmarkEnd w:id="23"/>
    </w:p>
    <w:p w14:paraId="15FB7D92">
      <w:pPr>
        <w:pStyle w:val="28"/>
        <w:spacing w:line="600" w:lineRule="exact"/>
        <w:ind w:firstLine="640"/>
        <w:outlineLvl w:val="1"/>
        <w:rPr>
          <w:rStyle w:val="30"/>
          <w:rFonts w:ascii="Times New Roman" w:hAnsi="Times New Roman" w:eastAsia="黑体"/>
          <w:b w:val="0"/>
        </w:rPr>
      </w:pPr>
      <w:bookmarkStart w:id="24" w:name="_Toc15396605"/>
      <w:bookmarkStart w:id="25" w:name="_Toc1616415837"/>
      <w:bookmarkStart w:id="26" w:name="_Toc15377207"/>
      <w:r>
        <w:rPr>
          <w:rFonts w:hint="eastAsia" w:eastAsia="黑体"/>
          <w:sz w:val="32"/>
          <w:szCs w:val="32"/>
        </w:rPr>
        <w:t>三、支</w:t>
      </w:r>
      <w:r>
        <w:rPr>
          <w:rStyle w:val="30"/>
          <w:rFonts w:hint="eastAsia" w:ascii="Times New Roman" w:hAnsi="Times New Roman" w:eastAsia="黑体"/>
          <w:b w:val="0"/>
        </w:rPr>
        <w:t>出决算情况说明</w:t>
      </w:r>
      <w:bookmarkEnd w:id="24"/>
      <w:bookmarkEnd w:id="25"/>
      <w:bookmarkEnd w:id="26"/>
    </w:p>
    <w:p w14:paraId="12B0790A">
      <w:pPr>
        <w:pStyle w:val="28"/>
        <w:spacing w:line="600" w:lineRule="exact"/>
        <w:ind w:firstLine="640"/>
        <w:jc w:val="left"/>
        <w:outlineLvl w:val="1"/>
        <w:rPr>
          <w:rFonts w:hint="eastAsia" w:ascii="仿宋_GB2312" w:hAnsi="仿宋_GB2312" w:eastAsia="仿宋_GB2312" w:cs="仿宋_GB2312"/>
          <w:sz w:val="32"/>
          <w:szCs w:val="32"/>
          <w:lang w:eastAsia="zh-CN"/>
        </w:rPr>
      </w:pPr>
      <w:bookmarkStart w:id="27" w:name="_Toc802383776"/>
      <w:bookmarkStart w:id="28" w:name="_Toc1351522150"/>
      <w:r>
        <w:rPr>
          <w:rFonts w:hint="eastAsia" w:ascii="仿宋_GB2312" w:hAnsi="仿宋_GB2312" w:eastAsia="仿宋_GB2312" w:cs="仿宋_GB2312"/>
          <w:sz w:val="32"/>
          <w:szCs w:val="32"/>
        </w:rPr>
        <w:t>2024年度本年支出合计</w:t>
      </w:r>
      <w:r>
        <w:rPr>
          <w:rFonts w:hint="eastAsia" w:ascii="国标黑体" w:hAnsi="国标黑体" w:eastAsia="国标黑体" w:cs="国标黑体"/>
          <w:sz w:val="32"/>
          <w:szCs w:val="32"/>
          <w:lang w:val="en-US" w:eastAsia="zh-CN"/>
        </w:rPr>
        <w:t>34099.66</w:t>
      </w:r>
      <w:r>
        <w:rPr>
          <w:rFonts w:hint="eastAsia" w:ascii="仿宋_GB2312" w:hAnsi="仿宋_GB2312" w:eastAsia="仿宋_GB2312" w:cs="仿宋_GB2312"/>
          <w:sz w:val="32"/>
          <w:szCs w:val="32"/>
        </w:rPr>
        <w:t>万元，其中：基本支出</w:t>
      </w:r>
      <w:r>
        <w:rPr>
          <w:rFonts w:hint="eastAsia" w:ascii="国标黑体" w:hAnsi="国标黑体" w:eastAsia="国标黑体" w:cs="国标黑体"/>
          <w:sz w:val="32"/>
          <w:szCs w:val="32"/>
          <w:lang w:val="en-US" w:eastAsia="zh-CN"/>
        </w:rPr>
        <w:t>21156.15</w:t>
      </w:r>
      <w:r>
        <w:rPr>
          <w:rFonts w:hint="eastAsia" w:ascii="仿宋_GB2312" w:hAnsi="仿宋_GB2312" w:eastAsia="仿宋_GB2312" w:cs="仿宋_GB2312"/>
          <w:sz w:val="32"/>
          <w:szCs w:val="32"/>
        </w:rPr>
        <w:t>万元，占</w:t>
      </w:r>
      <w:r>
        <w:rPr>
          <w:rFonts w:hint="eastAsia" w:ascii="国标黑体" w:hAnsi="国标黑体" w:eastAsia="国标黑体" w:cs="国标黑体"/>
          <w:sz w:val="32"/>
          <w:szCs w:val="32"/>
          <w:lang w:val="en-US" w:eastAsia="zh-CN"/>
        </w:rPr>
        <w:t>62.04</w:t>
      </w:r>
      <w:r>
        <w:rPr>
          <w:rFonts w:hint="eastAsia" w:ascii="国标黑体" w:hAnsi="国标黑体" w:eastAsia="国标黑体" w:cs="国标黑体"/>
          <w:sz w:val="32"/>
          <w:szCs w:val="32"/>
        </w:rPr>
        <w:t>%</w:t>
      </w:r>
      <w:r>
        <w:rPr>
          <w:rFonts w:hint="eastAsia" w:ascii="仿宋_GB2312" w:hAnsi="仿宋_GB2312" w:eastAsia="仿宋_GB2312" w:cs="仿宋_GB2312"/>
          <w:sz w:val="32"/>
          <w:szCs w:val="32"/>
        </w:rPr>
        <w:t>；项目支出</w:t>
      </w:r>
      <w:r>
        <w:rPr>
          <w:rFonts w:hint="eastAsia" w:ascii="国标黑体" w:hAnsi="国标黑体" w:eastAsia="国标黑体" w:cs="国标黑体"/>
          <w:sz w:val="32"/>
          <w:szCs w:val="32"/>
          <w:lang w:val="en-US" w:eastAsia="zh-CN"/>
        </w:rPr>
        <w:t>12943.51</w:t>
      </w:r>
      <w:r>
        <w:rPr>
          <w:rFonts w:hint="eastAsia" w:ascii="仿宋_GB2312" w:hAnsi="仿宋_GB2312" w:eastAsia="仿宋_GB2312" w:cs="仿宋_GB2312"/>
          <w:sz w:val="32"/>
          <w:szCs w:val="32"/>
        </w:rPr>
        <w:t>万元，占</w:t>
      </w:r>
      <w:r>
        <w:rPr>
          <w:rFonts w:hint="eastAsia" w:ascii="国标黑体" w:hAnsi="国标黑体" w:eastAsia="国标黑体" w:cs="国标黑体"/>
          <w:sz w:val="32"/>
          <w:szCs w:val="32"/>
          <w:lang w:val="en-US" w:eastAsia="zh-CN"/>
        </w:rPr>
        <w:t>37.96</w:t>
      </w:r>
      <w:r>
        <w:rPr>
          <w:rFonts w:hint="eastAsia" w:ascii="国标黑体" w:hAnsi="国标黑体" w:eastAsia="国标黑体" w:cs="国标黑体"/>
          <w:sz w:val="32"/>
          <w:szCs w:val="32"/>
        </w:rPr>
        <w:t>%</w:t>
      </w:r>
      <w:r>
        <w:rPr>
          <w:rFonts w:hint="eastAsia" w:ascii="仿宋_GB2312" w:hAnsi="仿宋_GB2312" w:eastAsia="仿宋_GB2312" w:cs="仿宋_GB2312"/>
          <w:sz w:val="32"/>
          <w:szCs w:val="32"/>
          <w:lang w:eastAsia="zh-CN"/>
        </w:rPr>
        <w:t>。</w:t>
      </w:r>
      <w:bookmarkEnd w:id="27"/>
      <w:bookmarkEnd w:id="28"/>
    </w:p>
    <w:p w14:paraId="1C6127B3">
      <w:pPr>
        <w:pStyle w:val="28"/>
        <w:spacing w:line="600" w:lineRule="exact"/>
        <w:ind w:firstLine="640"/>
        <w:jc w:val="center"/>
        <w:outlineLvl w:val="1"/>
        <w:rPr>
          <w:rFonts w:eastAsia="仿宋_GB2312" w:cs="仿宋_GB2312"/>
          <w:sz w:val="32"/>
          <w:szCs w:val="32"/>
        </w:rPr>
      </w:pPr>
      <w:bookmarkStart w:id="29" w:name="_Toc1762620717"/>
      <w:bookmarkStart w:id="30" w:name="_Toc1517016387"/>
      <w:r>
        <w:rPr>
          <w:rFonts w:hint="eastAsia" w:ascii="仿宋_GB2312" w:hAnsi="仿宋_GB2312" w:eastAsia="仿宋_GB2312" w:cs="仿宋_GB2312"/>
          <w:sz w:val="32"/>
          <w:szCs w:val="32"/>
          <w:lang w:eastAsia="zh-CN"/>
        </w:rPr>
        <w:drawing>
          <wp:anchor distT="0" distB="0" distL="114300" distR="114300" simplePos="0" relativeHeight="251662336" behindDoc="0" locked="0" layoutInCell="1" allowOverlap="1">
            <wp:simplePos x="0" y="0"/>
            <wp:positionH relativeFrom="column">
              <wp:posOffset>62865</wp:posOffset>
            </wp:positionH>
            <wp:positionV relativeFrom="paragraph">
              <wp:posOffset>120015</wp:posOffset>
            </wp:positionV>
            <wp:extent cx="5256530" cy="2337435"/>
            <wp:effectExtent l="4445" t="4445" r="15875" b="20320"/>
            <wp:wrapTopAndBottom/>
            <wp:docPr id="4"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r>
        <w:rPr>
          <w:rFonts w:hint="eastAsia" w:eastAsia="仿宋_GB2312" w:cs="仿宋_GB2312"/>
          <w:sz w:val="32"/>
          <w:szCs w:val="32"/>
        </w:rPr>
        <w:t>（图3：支出决算结构图）</w:t>
      </w:r>
      <w:bookmarkEnd w:id="29"/>
      <w:bookmarkEnd w:id="30"/>
    </w:p>
    <w:p w14:paraId="7BCD8B83">
      <w:pPr>
        <w:spacing w:line="600" w:lineRule="exact"/>
        <w:ind w:firstLine="640" w:firstLineChars="200"/>
        <w:outlineLvl w:val="1"/>
        <w:rPr>
          <w:rStyle w:val="30"/>
          <w:rFonts w:ascii="Times New Roman" w:hAnsi="Times New Roman" w:eastAsia="黑体"/>
          <w:b w:val="0"/>
        </w:rPr>
      </w:pPr>
      <w:bookmarkStart w:id="31" w:name="_Toc2037235122"/>
      <w:bookmarkStart w:id="32" w:name="_Toc15377208"/>
      <w:bookmarkStart w:id="33" w:name="_Toc15396606"/>
      <w:r>
        <w:rPr>
          <w:rFonts w:hint="eastAsia" w:eastAsia="黑体"/>
          <w:sz w:val="32"/>
          <w:szCs w:val="32"/>
        </w:rPr>
        <w:t>四、财</w:t>
      </w:r>
      <w:r>
        <w:rPr>
          <w:rStyle w:val="30"/>
          <w:rFonts w:hint="eastAsia" w:ascii="Times New Roman" w:hAnsi="Times New Roman" w:eastAsia="黑体"/>
          <w:b w:val="0"/>
        </w:rPr>
        <w:t>政拨款收入支出决算总体情况说明</w:t>
      </w:r>
      <w:bookmarkEnd w:id="31"/>
      <w:bookmarkEnd w:id="32"/>
      <w:bookmarkEnd w:id="33"/>
    </w:p>
    <w:p w14:paraId="3143E46C">
      <w:pPr>
        <w:keepNext w:val="0"/>
        <w:keepLines w:val="0"/>
        <w:widowControl w:val="0"/>
        <w:suppressLineNumbers w:val="0"/>
        <w:spacing w:before="0" w:beforeAutospacing="0" w:after="0" w:afterAutospacing="0"/>
        <w:ind w:left="0" w:right="0" w:firstLine="960" w:firstLineChars="300"/>
        <w:jc w:val="both"/>
        <w:rPr>
          <w:rFonts w:hint="eastAsia" w:eastAsia="仿宋_GB2312" w:cs="仿宋_GB2312"/>
          <w:sz w:val="32"/>
          <w:szCs w:val="32"/>
          <w:lang w:eastAsia="zh-CN"/>
        </w:rPr>
      </w:pPr>
      <w:r>
        <w:rPr>
          <w:rFonts w:hint="eastAsia" w:eastAsia="仿宋_GB2312" w:cs="仿宋_GB2312"/>
          <w:sz w:val="32"/>
          <w:szCs w:val="32"/>
        </w:rPr>
        <w:t>2024年度财政拨款收入、支出总计均为</w:t>
      </w:r>
      <w:r>
        <w:rPr>
          <w:rFonts w:hint="eastAsia" w:eastAsia="仿宋_GB2312" w:cs="Times New Roman"/>
          <w:kern w:val="2"/>
          <w:sz w:val="32"/>
          <w:szCs w:val="32"/>
          <w:lang w:val="en-US" w:eastAsia="zh-CN" w:bidi="ar"/>
        </w:rPr>
        <w:t>22056.45</w:t>
      </w:r>
      <w:r>
        <w:rPr>
          <w:rFonts w:hint="eastAsia" w:eastAsia="仿宋_GB2312" w:cs="仿宋_GB2312"/>
          <w:sz w:val="32"/>
          <w:szCs w:val="32"/>
        </w:rPr>
        <w:t>万元。与2023年度相比，财政拨款收入总计、支出总计各增加</w:t>
      </w:r>
      <w:r>
        <w:rPr>
          <w:rFonts w:hint="eastAsia" w:eastAsia="仿宋_GB2312" w:cs="仿宋_GB2312"/>
          <w:sz w:val="32"/>
          <w:szCs w:val="32"/>
          <w:lang w:val="en-US" w:eastAsia="zh-CN"/>
        </w:rPr>
        <w:t>1764.23</w:t>
      </w:r>
      <w:r>
        <w:rPr>
          <w:rFonts w:hint="eastAsia" w:eastAsia="仿宋_GB2312" w:cs="仿宋_GB2312"/>
          <w:sz w:val="32"/>
          <w:szCs w:val="32"/>
        </w:rPr>
        <w:t>万元，增长</w:t>
      </w:r>
      <w:r>
        <w:rPr>
          <w:rFonts w:hint="eastAsia" w:eastAsia="仿宋_GB2312" w:cs="仿宋_GB2312"/>
          <w:sz w:val="32"/>
          <w:szCs w:val="32"/>
          <w:lang w:val="en-US" w:eastAsia="zh-CN"/>
        </w:rPr>
        <w:t>8.69</w:t>
      </w:r>
      <w:r>
        <w:rPr>
          <w:rFonts w:hint="eastAsia" w:eastAsia="仿宋_GB2312" w:cs="仿宋_GB2312"/>
          <w:sz w:val="32"/>
          <w:szCs w:val="32"/>
        </w:rPr>
        <w:t>%。主要变动原因是</w:t>
      </w:r>
      <w:r>
        <w:rPr>
          <w:rFonts w:hint="eastAsia" w:eastAsia="仿宋_GB2312" w:cs="仿宋_GB2312"/>
          <w:sz w:val="32"/>
          <w:szCs w:val="32"/>
          <w:lang w:eastAsia="zh-CN"/>
        </w:rPr>
        <w:t>盐边县第二人民医院建设工程项目仍处于在建状态，本年项目资金较上年增加。</w:t>
      </w:r>
    </w:p>
    <w:p w14:paraId="6EC9FF96">
      <w:pPr>
        <w:spacing w:line="600" w:lineRule="exact"/>
        <w:ind w:firstLine="420" w:firstLineChars="200"/>
        <w:jc w:val="center"/>
        <w:rPr>
          <w:rFonts w:eastAsia="仿宋_GB2312" w:cs="仿宋_GB2312"/>
          <w:sz w:val="32"/>
          <w:szCs w:val="32"/>
        </w:rPr>
      </w:pPr>
      <w:r>
        <w:rPr>
          <w:rFonts w:hint="default" w:ascii="Times New Roman" w:hAnsi="Times New Roman" w:eastAsia="仿宋_GB2312" w:cs="Times New Roman"/>
        </w:rPr>
        <w:drawing>
          <wp:anchor distT="0" distB="0" distL="0" distR="0" simplePos="0" relativeHeight="251663360" behindDoc="0" locked="0" layoutInCell="1" allowOverlap="1">
            <wp:simplePos x="0" y="0"/>
            <wp:positionH relativeFrom="column">
              <wp:posOffset>81915</wp:posOffset>
            </wp:positionH>
            <wp:positionV relativeFrom="paragraph">
              <wp:posOffset>18415</wp:posOffset>
            </wp:positionV>
            <wp:extent cx="5198745" cy="2867025"/>
            <wp:effectExtent l="4445" t="4445" r="16510" b="5080"/>
            <wp:wrapTopAndBottom/>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anchor>
        </w:drawing>
      </w:r>
      <w:r>
        <w:rPr>
          <w:rFonts w:hint="eastAsia" w:eastAsia="仿宋_GB2312" w:cs="仿宋_GB2312"/>
          <w:sz w:val="32"/>
          <w:szCs w:val="32"/>
        </w:rPr>
        <w:t>（图4：财政拨款收、支决算总计变动情况）</w:t>
      </w:r>
    </w:p>
    <w:p w14:paraId="240822E8">
      <w:pPr>
        <w:spacing w:line="600" w:lineRule="exact"/>
        <w:ind w:firstLine="640" w:firstLineChars="200"/>
        <w:outlineLvl w:val="1"/>
        <w:rPr>
          <w:rStyle w:val="30"/>
          <w:rFonts w:ascii="Times New Roman" w:hAnsi="Times New Roman" w:eastAsia="黑体"/>
          <w:b w:val="0"/>
        </w:rPr>
      </w:pPr>
      <w:bookmarkStart w:id="34" w:name="_Toc948983871"/>
      <w:bookmarkStart w:id="35" w:name="_Toc15377209"/>
      <w:bookmarkStart w:id="36" w:name="_Toc15396607"/>
      <w:r>
        <w:rPr>
          <w:rFonts w:hint="eastAsia" w:eastAsia="黑体"/>
          <w:sz w:val="32"/>
          <w:szCs w:val="32"/>
        </w:rPr>
        <w:t>五、</w:t>
      </w:r>
      <w:r>
        <w:rPr>
          <w:rFonts w:hint="eastAsia" w:eastAsia="黑体"/>
          <w:b/>
          <w:sz w:val="32"/>
          <w:szCs w:val="32"/>
        </w:rPr>
        <w:t>一</w:t>
      </w:r>
      <w:r>
        <w:rPr>
          <w:rStyle w:val="30"/>
          <w:rFonts w:hint="eastAsia" w:ascii="Times New Roman" w:hAnsi="Times New Roman" w:eastAsia="黑体"/>
          <w:b w:val="0"/>
        </w:rPr>
        <w:t>般公共预算财政拨款支出决算情况说明</w:t>
      </w:r>
      <w:bookmarkEnd w:id="34"/>
      <w:bookmarkEnd w:id="35"/>
      <w:bookmarkEnd w:id="36"/>
    </w:p>
    <w:p w14:paraId="7824CB57">
      <w:pPr>
        <w:spacing w:line="600" w:lineRule="exact"/>
        <w:ind w:firstLine="643" w:firstLineChars="200"/>
        <w:outlineLvl w:val="2"/>
        <w:rPr>
          <w:rFonts w:eastAsia="楷体_GB2312" w:cs="楷体_GB2312"/>
          <w:b/>
          <w:sz w:val="32"/>
          <w:szCs w:val="32"/>
        </w:rPr>
      </w:pPr>
      <w:bookmarkStart w:id="37" w:name="_Toc2102125207"/>
      <w:bookmarkStart w:id="38" w:name="_Toc15377210"/>
      <w:r>
        <w:rPr>
          <w:rFonts w:hint="eastAsia" w:eastAsia="楷体_GB2312" w:cs="楷体_GB2312"/>
          <w:b/>
          <w:sz w:val="32"/>
          <w:szCs w:val="32"/>
        </w:rPr>
        <w:t>（一）一般公共预算财政拨款支出决算总体情况</w:t>
      </w:r>
      <w:bookmarkEnd w:id="37"/>
      <w:bookmarkEnd w:id="38"/>
    </w:p>
    <w:p w14:paraId="624CEB44">
      <w:pPr>
        <w:keepNext w:val="0"/>
        <w:keepLines w:val="0"/>
        <w:widowControl w:val="0"/>
        <w:suppressLineNumbers w:val="0"/>
        <w:spacing w:before="0" w:beforeAutospacing="0" w:after="0" w:afterAutospacing="0"/>
        <w:ind w:left="0" w:right="0"/>
        <w:jc w:val="both"/>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sz w:val="32"/>
          <w:szCs w:val="32"/>
        </w:rPr>
        <w:t>2024年度一般公共预算财政拨款支出</w:t>
      </w:r>
      <w:r>
        <w:rPr>
          <w:rFonts w:hint="eastAsia" w:ascii="国标黑体" w:hAnsi="国标黑体" w:eastAsia="国标黑体" w:cs="国标黑体"/>
          <w:sz w:val="32"/>
          <w:szCs w:val="32"/>
          <w:lang w:val="en-US" w:eastAsia="zh-CN"/>
        </w:rPr>
        <w:t>14992.29</w:t>
      </w:r>
      <w:r>
        <w:rPr>
          <w:rFonts w:hint="eastAsia" w:ascii="仿宋_GB2312" w:hAnsi="仿宋_GB2312" w:eastAsia="仿宋_GB2312" w:cs="仿宋_GB2312"/>
          <w:sz w:val="32"/>
          <w:szCs w:val="32"/>
        </w:rPr>
        <w:t>万元，占本年支出合计的</w:t>
      </w:r>
      <w:r>
        <w:rPr>
          <w:rFonts w:hint="eastAsia" w:ascii="国标黑体" w:hAnsi="国标黑体" w:eastAsia="国标黑体" w:cs="国标黑体"/>
          <w:sz w:val="32"/>
          <w:szCs w:val="32"/>
          <w:lang w:val="en-US" w:eastAsia="zh-CN"/>
        </w:rPr>
        <w:t>43.97</w:t>
      </w:r>
      <w:r>
        <w:rPr>
          <w:rFonts w:hint="eastAsia" w:ascii="国标黑体" w:hAnsi="国标黑体" w:eastAsia="国标黑体" w:cs="国标黑体"/>
          <w:sz w:val="32"/>
          <w:szCs w:val="32"/>
        </w:rPr>
        <w:t>%</w:t>
      </w:r>
      <w:r>
        <w:rPr>
          <w:rFonts w:hint="eastAsia" w:ascii="仿宋_GB2312" w:hAnsi="仿宋_GB2312" w:eastAsia="仿宋_GB2312" w:cs="仿宋_GB2312"/>
          <w:sz w:val="32"/>
          <w:szCs w:val="32"/>
        </w:rPr>
        <w:t>。与2023年度相比，一般公共预算财政拨款支出减少</w:t>
      </w:r>
      <w:r>
        <w:rPr>
          <w:rFonts w:hint="eastAsia" w:ascii="国标黑体" w:hAnsi="国标黑体" w:eastAsia="国标黑体" w:cs="国标黑体"/>
          <w:sz w:val="32"/>
          <w:szCs w:val="32"/>
          <w:lang w:val="en-US" w:eastAsia="zh-CN"/>
        </w:rPr>
        <w:t>295.87</w:t>
      </w:r>
      <w:r>
        <w:rPr>
          <w:rFonts w:hint="eastAsia" w:ascii="仿宋_GB2312" w:hAnsi="仿宋_GB2312" w:eastAsia="仿宋_GB2312" w:cs="仿宋_GB2312"/>
          <w:sz w:val="32"/>
          <w:szCs w:val="32"/>
        </w:rPr>
        <w:t>万元，下降</w:t>
      </w:r>
      <w:r>
        <w:rPr>
          <w:rFonts w:hint="eastAsia" w:ascii="国标黑体" w:hAnsi="国标黑体" w:eastAsia="国标黑体" w:cs="国标黑体"/>
          <w:sz w:val="32"/>
          <w:szCs w:val="32"/>
          <w:lang w:val="en-US" w:eastAsia="zh-CN"/>
        </w:rPr>
        <w:t>0.96</w:t>
      </w:r>
      <w:r>
        <w:rPr>
          <w:rFonts w:hint="eastAsia" w:ascii="国标黑体" w:hAnsi="国标黑体" w:eastAsia="国标黑体" w:cs="国标黑体"/>
          <w:sz w:val="32"/>
          <w:szCs w:val="32"/>
        </w:rPr>
        <w:t>%</w:t>
      </w:r>
      <w:r>
        <w:rPr>
          <w:rFonts w:hint="eastAsia" w:ascii="仿宋_GB2312" w:hAnsi="仿宋_GB2312" w:eastAsia="仿宋_GB2312" w:cs="仿宋_GB2312"/>
          <w:sz w:val="32"/>
          <w:szCs w:val="32"/>
        </w:rPr>
        <w:t>。主要变动</w:t>
      </w:r>
      <w:r>
        <w:rPr>
          <w:rFonts w:hint="eastAsia" w:ascii="仿宋_GB2312" w:hAnsi="仿宋_GB2312" w:eastAsia="仿宋_GB2312" w:cs="仿宋_GB2312"/>
          <w:color w:val="000000" w:themeColor="text1"/>
          <w:sz w:val="32"/>
          <w:szCs w:val="32"/>
          <w14:textFill>
            <w14:solidFill>
              <w14:schemeClr w14:val="tx1"/>
            </w14:solidFill>
          </w14:textFill>
        </w:rPr>
        <w:t>原因是</w:t>
      </w:r>
      <w:r>
        <w:rPr>
          <w:rFonts w:hint="eastAsia" w:ascii="仿宋_GB2312" w:hAnsi="仿宋_GB2312" w:eastAsia="仿宋_GB2312" w:cs="仿宋_GB2312"/>
          <w:color w:val="000000" w:themeColor="text1"/>
          <w:sz w:val="32"/>
          <w:szCs w:val="32"/>
          <w:lang w:eastAsia="zh-CN"/>
          <w14:textFill>
            <w14:solidFill>
              <w14:schemeClr w14:val="tx1"/>
            </w14:solidFill>
          </w14:textFill>
        </w:rPr>
        <w:t>本年人员流出较多</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,人员工资性支出减少,</w:t>
      </w:r>
      <w:r>
        <w:rPr>
          <w:rFonts w:hint="default" w:ascii="仿宋_GB2312" w:hAnsi="Times New Roman" w:eastAsia="仿宋_GB2312" w:cs="仿宋_GB2312"/>
          <w:kern w:val="2"/>
          <w:sz w:val="32"/>
          <w:szCs w:val="32"/>
          <w:lang w:val="en-US" w:eastAsia="zh-CN" w:bidi="ar"/>
        </w:rPr>
        <w:t>一般公共预算财政拨款</w:t>
      </w:r>
      <w:r>
        <w:rPr>
          <w:rFonts w:hint="eastAsia" w:ascii="仿宋_GB2312" w:hAnsi="Times New Roman" w:eastAsia="仿宋_GB2312" w:cs="仿宋_GB2312"/>
          <w:kern w:val="2"/>
          <w:sz w:val="32"/>
          <w:szCs w:val="32"/>
          <w:lang w:val="en-US" w:eastAsia="zh-CN" w:bidi="ar"/>
        </w:rPr>
        <w:t>基本支出减少,本年特定目标类项目减少,</w:t>
      </w:r>
      <w:r>
        <w:rPr>
          <w:rFonts w:hint="eastAsia" w:ascii="仿宋_GB2312" w:hAnsi="仿宋_GB2312" w:eastAsia="仿宋_GB2312" w:cs="仿宋_GB2312"/>
          <w:sz w:val="32"/>
          <w:szCs w:val="32"/>
        </w:rPr>
        <w:t>一般公共预算财政拨款</w:t>
      </w:r>
      <w:r>
        <w:rPr>
          <w:rFonts w:hint="eastAsia" w:ascii="仿宋_GB2312" w:hAnsi="仿宋_GB2312" w:eastAsia="仿宋_GB2312" w:cs="仿宋_GB2312"/>
          <w:sz w:val="32"/>
          <w:szCs w:val="32"/>
          <w:lang w:eastAsia="zh-CN"/>
        </w:rPr>
        <w:t>项目支出减少</w:t>
      </w:r>
      <w:r>
        <w:rPr>
          <w:rFonts w:hint="eastAsia" w:ascii="仿宋_GB2312" w:hAnsi="仿宋_GB2312" w:eastAsia="仿宋_GB2312" w:cs="仿宋_GB2312"/>
          <w:sz w:val="32"/>
          <w:szCs w:val="32"/>
          <w:lang w:val="en-US" w:eastAsia="zh-CN"/>
        </w:rPr>
        <w:t>,总体呈减少趋势。</w:t>
      </w:r>
    </w:p>
    <w:p w14:paraId="337163F2">
      <w:pPr>
        <w:spacing w:line="600" w:lineRule="exact"/>
        <w:ind w:firstLine="640"/>
        <w:jc w:val="center"/>
        <w:rPr>
          <w:rFonts w:eastAsia="仿宋_GB2312" w:cs="仿宋_GB2312"/>
          <w:sz w:val="32"/>
          <w:szCs w:val="32"/>
        </w:rPr>
      </w:pPr>
      <w:r>
        <w:rPr>
          <w:rFonts w:hint="default" w:ascii="Times New Roman" w:hAnsi="Times New Roman" w:eastAsia="仿宋_GB2312" w:cs="Times New Roman"/>
        </w:rPr>
        <w:drawing>
          <wp:anchor distT="0" distB="0" distL="0" distR="0" simplePos="0" relativeHeight="251664384" behindDoc="0" locked="0" layoutInCell="1" allowOverlap="1">
            <wp:simplePos x="0" y="0"/>
            <wp:positionH relativeFrom="column">
              <wp:posOffset>177165</wp:posOffset>
            </wp:positionH>
            <wp:positionV relativeFrom="paragraph">
              <wp:posOffset>127000</wp:posOffset>
            </wp:positionV>
            <wp:extent cx="5198745" cy="2704465"/>
            <wp:effectExtent l="4445" t="4445" r="16510" b="15240"/>
            <wp:wrapTopAndBottom/>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anchor>
        </w:drawing>
      </w:r>
      <w:r>
        <w:rPr>
          <w:rFonts w:hint="eastAsia" w:eastAsia="仿宋_GB2312" w:cs="仿宋_GB2312"/>
          <w:sz w:val="32"/>
          <w:szCs w:val="32"/>
        </w:rPr>
        <w:t>（图5：一般公共预算财政拨款支出决算变动情况）</w:t>
      </w:r>
    </w:p>
    <w:p w14:paraId="76BA3557">
      <w:pPr>
        <w:spacing w:line="600" w:lineRule="exact"/>
        <w:ind w:firstLine="643" w:firstLineChars="200"/>
        <w:outlineLvl w:val="2"/>
        <w:rPr>
          <w:rFonts w:eastAsia="楷体_GB2312" w:cs="楷体_GB2312"/>
          <w:b/>
          <w:sz w:val="32"/>
          <w:szCs w:val="32"/>
        </w:rPr>
      </w:pPr>
      <w:bookmarkStart w:id="39" w:name="_Toc15377211"/>
      <w:bookmarkStart w:id="40" w:name="_Toc41985580"/>
      <w:r>
        <w:rPr>
          <w:rFonts w:hint="eastAsia" w:eastAsia="楷体_GB2312" w:cs="楷体_GB2312"/>
          <w:b/>
          <w:sz w:val="32"/>
          <w:szCs w:val="32"/>
        </w:rPr>
        <w:t>（二）一般公共预算财政拨款支出决算结构情况</w:t>
      </w:r>
      <w:bookmarkEnd w:id="39"/>
      <w:bookmarkEnd w:id="40"/>
    </w:p>
    <w:p w14:paraId="36886420">
      <w:pPr>
        <w:keepNext w:val="0"/>
        <w:keepLines w:val="0"/>
        <w:widowControl w:val="0"/>
        <w:suppressLineNumbers w:val="0"/>
        <w:spacing w:before="0" w:beforeAutospacing="0" w:after="0" w:afterAutospacing="0"/>
        <w:ind w:left="0" w:right="0" w:firstLine="640" w:firstLineChars="200"/>
        <w:jc w:val="both"/>
        <w:rPr>
          <w:rFonts w:hint="eastAsia" w:eastAsia="仿宋_GB2312" w:cs="仿宋_GB2312"/>
          <w:sz w:val="32"/>
          <w:szCs w:val="32"/>
          <w:lang w:eastAsia="zh-CN"/>
        </w:rPr>
      </w:pPr>
      <w:r>
        <w:rPr>
          <w:rFonts w:hint="eastAsia" w:eastAsia="仿宋_GB2312" w:cs="仿宋_GB2312"/>
          <w:sz w:val="32"/>
          <w:szCs w:val="32"/>
          <w:lang w:eastAsia="zh-CN"/>
        </w:rPr>
        <w:drawing>
          <wp:anchor distT="0" distB="0" distL="114300" distR="114300" simplePos="0" relativeHeight="251665408" behindDoc="0" locked="0" layoutInCell="1" allowOverlap="1">
            <wp:simplePos x="0" y="0"/>
            <wp:positionH relativeFrom="column">
              <wp:posOffset>151130</wp:posOffset>
            </wp:positionH>
            <wp:positionV relativeFrom="paragraph">
              <wp:posOffset>2030730</wp:posOffset>
            </wp:positionV>
            <wp:extent cx="5161915" cy="2744470"/>
            <wp:effectExtent l="4445" t="4445" r="15240" b="13335"/>
            <wp:wrapTopAndBottom/>
            <wp:docPr id="8"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r>
        <w:rPr>
          <w:rFonts w:hint="eastAsia" w:eastAsia="仿宋_GB2312" w:cs="仿宋_GB2312"/>
          <w:sz w:val="32"/>
          <w:szCs w:val="32"/>
        </w:rPr>
        <w:t>2024年度一般公共预算财政拨款支出</w:t>
      </w:r>
      <w:r>
        <w:rPr>
          <w:rFonts w:hint="eastAsia" w:ascii="国标黑体" w:hAnsi="国标黑体" w:eastAsia="国标黑体" w:cs="国标黑体"/>
          <w:sz w:val="32"/>
          <w:szCs w:val="32"/>
          <w:lang w:val="en-US" w:eastAsia="zh-CN"/>
        </w:rPr>
        <w:t>14992.29</w:t>
      </w:r>
      <w:r>
        <w:rPr>
          <w:rFonts w:hint="eastAsia" w:ascii="仿宋_GB2312" w:hAnsi="仿宋_GB2312" w:eastAsia="仿宋_GB2312" w:cs="仿宋_GB2312"/>
          <w:sz w:val="32"/>
          <w:szCs w:val="32"/>
        </w:rPr>
        <w:t>万元</w:t>
      </w:r>
      <w:r>
        <w:rPr>
          <w:rFonts w:hint="eastAsia" w:eastAsia="仿宋_GB2312" w:cs="仿宋_GB2312"/>
          <w:sz w:val="32"/>
          <w:szCs w:val="32"/>
        </w:rPr>
        <w:t>，主要用于以下方面：社会保障和就业支出</w:t>
      </w:r>
      <w:r>
        <w:rPr>
          <w:rFonts w:hint="eastAsia" w:ascii="国标黑体" w:hAnsi="国标黑体" w:eastAsia="国标黑体" w:cs="国标黑体"/>
          <w:sz w:val="32"/>
          <w:szCs w:val="32"/>
          <w:lang w:val="en-US" w:eastAsia="zh-CN"/>
        </w:rPr>
        <w:t>2072.73</w:t>
      </w:r>
      <w:r>
        <w:rPr>
          <w:rFonts w:hint="eastAsia" w:eastAsia="仿宋_GB2312" w:cs="仿宋_GB2312"/>
          <w:sz w:val="32"/>
          <w:szCs w:val="32"/>
        </w:rPr>
        <w:t>万元，占</w:t>
      </w:r>
      <w:r>
        <w:rPr>
          <w:rFonts w:hint="eastAsia" w:eastAsia="仿宋_GB2312" w:cs="仿宋_GB2312"/>
          <w:sz w:val="32"/>
          <w:szCs w:val="32"/>
          <w:lang w:val="en-US" w:eastAsia="zh-CN"/>
        </w:rPr>
        <w:t>13.82</w:t>
      </w:r>
      <w:r>
        <w:rPr>
          <w:rFonts w:hint="eastAsia" w:eastAsia="仿宋_GB2312" w:cs="仿宋_GB2312"/>
          <w:sz w:val="32"/>
          <w:szCs w:val="32"/>
        </w:rPr>
        <w:t>%；卫生健康支出</w:t>
      </w:r>
      <w:r>
        <w:rPr>
          <w:rFonts w:hint="eastAsia" w:ascii="国标黑体" w:hAnsi="国标黑体" w:eastAsia="国标黑体" w:cs="国标黑体"/>
          <w:sz w:val="32"/>
          <w:szCs w:val="32"/>
          <w:lang w:val="en-US" w:eastAsia="zh-CN"/>
        </w:rPr>
        <w:t>12005.44</w:t>
      </w:r>
      <w:r>
        <w:rPr>
          <w:rFonts w:hint="eastAsia" w:eastAsia="仿宋_GB2312" w:cs="仿宋_GB2312"/>
          <w:sz w:val="32"/>
          <w:szCs w:val="32"/>
        </w:rPr>
        <w:t>万元，占</w:t>
      </w:r>
      <w:r>
        <w:rPr>
          <w:rFonts w:hint="eastAsia" w:eastAsia="仿宋_GB2312" w:cs="仿宋_GB2312"/>
          <w:sz w:val="32"/>
          <w:szCs w:val="32"/>
          <w:lang w:val="en-US" w:eastAsia="zh-CN"/>
        </w:rPr>
        <w:t>80.07</w:t>
      </w:r>
      <w:r>
        <w:rPr>
          <w:rFonts w:hint="eastAsia" w:eastAsia="仿宋_GB2312" w:cs="仿宋_GB2312"/>
          <w:sz w:val="32"/>
          <w:szCs w:val="32"/>
        </w:rPr>
        <w:t>%；农林水支出</w:t>
      </w:r>
      <w:r>
        <w:rPr>
          <w:rFonts w:hint="eastAsia" w:ascii="国标黑体" w:hAnsi="国标黑体" w:eastAsia="国标黑体" w:cs="国标黑体"/>
          <w:sz w:val="32"/>
          <w:szCs w:val="32"/>
          <w:lang w:val="en-US" w:eastAsia="zh-CN"/>
        </w:rPr>
        <w:t>196</w:t>
      </w:r>
      <w:r>
        <w:rPr>
          <w:rFonts w:hint="eastAsia" w:eastAsia="仿宋_GB2312" w:cs="仿宋_GB2312"/>
          <w:sz w:val="32"/>
          <w:szCs w:val="32"/>
        </w:rPr>
        <w:t>万元</w:t>
      </w:r>
      <w:r>
        <w:rPr>
          <w:rFonts w:hint="eastAsia" w:eastAsia="仿宋_GB2312" w:cs="仿宋_GB2312"/>
          <w:sz w:val="32"/>
          <w:szCs w:val="32"/>
          <w:lang w:eastAsia="zh-CN"/>
        </w:rPr>
        <w:t>，</w:t>
      </w:r>
      <w:r>
        <w:rPr>
          <w:rFonts w:hint="eastAsia" w:eastAsia="仿宋_GB2312" w:cs="仿宋_GB2312"/>
          <w:sz w:val="32"/>
          <w:szCs w:val="32"/>
        </w:rPr>
        <w:t>占</w:t>
      </w:r>
      <w:r>
        <w:rPr>
          <w:rFonts w:hint="eastAsia" w:eastAsia="仿宋_GB2312" w:cs="仿宋_GB2312"/>
          <w:sz w:val="32"/>
          <w:szCs w:val="32"/>
          <w:lang w:val="en-US" w:eastAsia="zh-CN"/>
        </w:rPr>
        <w:t>1.31</w:t>
      </w:r>
      <w:r>
        <w:rPr>
          <w:rFonts w:hint="eastAsia" w:eastAsia="仿宋_GB2312" w:cs="仿宋_GB2312"/>
          <w:sz w:val="32"/>
          <w:szCs w:val="32"/>
        </w:rPr>
        <w:t>%</w:t>
      </w:r>
      <w:r>
        <w:rPr>
          <w:rFonts w:hint="eastAsia" w:eastAsia="仿宋_GB2312" w:cs="仿宋_GB2312"/>
          <w:sz w:val="32"/>
          <w:szCs w:val="32"/>
          <w:lang w:eastAsia="zh-CN"/>
        </w:rPr>
        <w:t>；</w:t>
      </w:r>
      <w:r>
        <w:rPr>
          <w:rFonts w:hint="eastAsia" w:eastAsia="仿宋_GB2312" w:cs="仿宋_GB2312"/>
          <w:sz w:val="32"/>
          <w:szCs w:val="32"/>
        </w:rPr>
        <w:t>住房保障支出</w:t>
      </w:r>
      <w:r>
        <w:rPr>
          <w:rFonts w:hint="eastAsia" w:ascii="国标黑体" w:hAnsi="国标黑体" w:eastAsia="国标黑体" w:cs="国标黑体"/>
          <w:sz w:val="32"/>
          <w:szCs w:val="32"/>
          <w:lang w:val="en-US" w:eastAsia="zh-CN"/>
        </w:rPr>
        <w:t>718.12</w:t>
      </w:r>
      <w:r>
        <w:rPr>
          <w:rFonts w:hint="eastAsia" w:eastAsia="仿宋_GB2312" w:cs="仿宋_GB2312"/>
          <w:sz w:val="32"/>
          <w:szCs w:val="32"/>
        </w:rPr>
        <w:t>万元，占</w:t>
      </w:r>
      <w:r>
        <w:rPr>
          <w:rFonts w:hint="eastAsia" w:eastAsia="仿宋_GB2312" w:cs="仿宋_GB2312"/>
          <w:sz w:val="32"/>
          <w:szCs w:val="32"/>
          <w:lang w:val="en-US" w:eastAsia="zh-CN"/>
        </w:rPr>
        <w:t>4.8</w:t>
      </w:r>
      <w:r>
        <w:rPr>
          <w:rFonts w:hint="eastAsia" w:eastAsia="仿宋_GB2312" w:cs="仿宋_GB2312"/>
          <w:sz w:val="32"/>
          <w:szCs w:val="32"/>
        </w:rPr>
        <w:t>%</w:t>
      </w:r>
      <w:r>
        <w:rPr>
          <w:rFonts w:hint="eastAsia" w:eastAsia="仿宋_GB2312" w:cs="仿宋_GB2312"/>
          <w:sz w:val="32"/>
          <w:szCs w:val="32"/>
          <w:lang w:eastAsia="zh-CN"/>
        </w:rPr>
        <w:t>。</w:t>
      </w:r>
    </w:p>
    <w:p w14:paraId="1759F516">
      <w:pPr>
        <w:spacing w:line="600" w:lineRule="exact"/>
        <w:jc w:val="center"/>
        <w:rPr>
          <w:rFonts w:eastAsia="仿宋_GB2312" w:cs="仿宋_GB2312"/>
          <w:sz w:val="32"/>
          <w:szCs w:val="32"/>
        </w:rPr>
      </w:pPr>
      <w:r>
        <w:rPr>
          <w:rFonts w:hint="eastAsia" w:eastAsia="仿宋_GB2312" w:cs="仿宋_GB2312"/>
          <w:sz w:val="32"/>
          <w:szCs w:val="32"/>
        </w:rPr>
        <w:t>（图6：一般公共预算财政拨款支出决算结构）</w:t>
      </w:r>
    </w:p>
    <w:p w14:paraId="610AA560">
      <w:pPr>
        <w:spacing w:line="600" w:lineRule="exact"/>
        <w:ind w:firstLine="643" w:firstLineChars="200"/>
        <w:outlineLvl w:val="2"/>
        <w:rPr>
          <w:rFonts w:eastAsia="楷体_GB2312" w:cs="楷体_GB2312"/>
          <w:b/>
          <w:sz w:val="32"/>
          <w:szCs w:val="32"/>
        </w:rPr>
      </w:pPr>
      <w:bookmarkStart w:id="41" w:name="_Toc1550668221"/>
      <w:bookmarkStart w:id="42" w:name="_Toc15377212"/>
      <w:r>
        <w:rPr>
          <w:rFonts w:hint="eastAsia" w:eastAsia="楷体_GB2312" w:cs="楷体_GB2312"/>
          <w:b/>
          <w:sz w:val="32"/>
          <w:szCs w:val="32"/>
        </w:rPr>
        <w:t>（三）一般公共预算财政拨款支出决算具体情况</w:t>
      </w:r>
      <w:bookmarkEnd w:id="41"/>
      <w:bookmarkEnd w:id="42"/>
    </w:p>
    <w:p w14:paraId="3B2A6176">
      <w:pPr>
        <w:spacing w:line="600" w:lineRule="exact"/>
        <w:ind w:firstLine="640"/>
        <w:rPr>
          <w:rFonts w:eastAsia="仿宋_GB2312" w:cs="仿宋_GB2312"/>
          <w:sz w:val="32"/>
          <w:szCs w:val="32"/>
        </w:rPr>
      </w:pPr>
      <w:bookmarkStart w:id="43" w:name="_Toc15377213"/>
      <w:bookmarkStart w:id="44" w:name="_Toc15377444"/>
      <w:bookmarkStart w:id="45" w:name="_Toc15378460"/>
      <w:r>
        <w:rPr>
          <w:rFonts w:hint="eastAsia" w:ascii="国标黑体" w:hAnsi="国标黑体" w:eastAsia="国标黑体" w:cs="国标黑体"/>
          <w:sz w:val="32"/>
          <w:szCs w:val="32"/>
        </w:rPr>
        <w:t>2024</w:t>
      </w:r>
      <w:r>
        <w:rPr>
          <w:rFonts w:hint="eastAsia" w:eastAsia="仿宋_GB2312" w:cs="仿宋_GB2312"/>
          <w:sz w:val="32"/>
          <w:szCs w:val="32"/>
        </w:rPr>
        <w:t>年度一般公共预算财政拨款支出决算数为</w:t>
      </w:r>
      <w:r>
        <w:rPr>
          <w:rFonts w:hint="eastAsia" w:ascii="国标黑体" w:hAnsi="国标黑体" w:eastAsia="国标黑体" w:cs="国标黑体"/>
          <w:sz w:val="32"/>
          <w:szCs w:val="32"/>
          <w:lang w:val="en-US" w:eastAsia="zh-CN"/>
        </w:rPr>
        <w:t>14992.29</w:t>
      </w:r>
      <w:r>
        <w:rPr>
          <w:rFonts w:ascii="仿宋_GB2312" w:hAnsi="仿宋_GB2312" w:eastAsia="仿宋_GB2312" w:cs="仿宋_GB2312"/>
          <w:sz w:val="32"/>
          <w:szCs w:val="32"/>
        </w:rPr>
        <w:t>万元</w:t>
      </w:r>
      <w:r>
        <w:rPr>
          <w:rFonts w:hint="eastAsia" w:ascii="仿宋_GB2312" w:hAnsi="仿宋_GB2312" w:eastAsia="仿宋_GB2312" w:cs="仿宋_GB2312"/>
          <w:sz w:val="32"/>
          <w:szCs w:val="32"/>
        </w:rPr>
        <w:t>，</w:t>
      </w:r>
      <w:r>
        <w:rPr>
          <w:rFonts w:hint="eastAsia" w:eastAsia="仿宋_GB2312" w:cs="仿宋_GB2312"/>
          <w:sz w:val="32"/>
          <w:szCs w:val="32"/>
        </w:rPr>
        <w:t>完成预算</w:t>
      </w:r>
      <w:r>
        <w:rPr>
          <w:rFonts w:hint="eastAsia" w:ascii="国标黑体" w:hAnsi="国标黑体" w:eastAsia="国标黑体" w:cs="国标黑体"/>
          <w:sz w:val="32"/>
          <w:szCs w:val="32"/>
          <w:lang w:val="en-US" w:eastAsia="zh-CN"/>
        </w:rPr>
        <w:t>100</w:t>
      </w:r>
      <w:r>
        <w:rPr>
          <w:rFonts w:hint="eastAsia" w:ascii="国标黑体" w:hAnsi="国标黑体" w:eastAsia="国标黑体" w:cs="国标黑体"/>
          <w:sz w:val="32"/>
          <w:szCs w:val="32"/>
        </w:rPr>
        <w:t>%</w:t>
      </w:r>
      <w:r>
        <w:rPr>
          <w:rFonts w:hint="eastAsia" w:eastAsia="仿宋_GB2312" w:cs="仿宋_GB2312"/>
          <w:sz w:val="32"/>
          <w:szCs w:val="32"/>
        </w:rPr>
        <w:t>。其中：</w:t>
      </w:r>
      <w:bookmarkEnd w:id="43"/>
      <w:bookmarkEnd w:id="44"/>
      <w:bookmarkEnd w:id="45"/>
    </w:p>
    <w:p w14:paraId="30BCE4FC">
      <w:pPr>
        <w:keepNext w:val="0"/>
        <w:keepLines w:val="0"/>
        <w:widowControl w:val="0"/>
        <w:suppressLineNumbers w:val="0"/>
        <w:spacing w:before="0" w:beforeAutospacing="0" w:after="0" w:afterAutospacing="0" w:line="600" w:lineRule="exact"/>
        <w:ind w:left="0" w:right="0" w:firstLine="640"/>
        <w:jc w:val="both"/>
        <w:rPr>
          <w:rFonts w:hint="eastAsia" w:ascii="CESI仿宋-GB2312" w:hAnsi="CESI仿宋-GB2312" w:eastAsia="CESI仿宋-GB2312" w:cs="CESI仿宋-GB2312"/>
          <w:b w:val="0"/>
          <w:bCs w:val="0"/>
          <w:kern w:val="2"/>
          <w:sz w:val="32"/>
          <w:szCs w:val="32"/>
        </w:rPr>
      </w:pPr>
      <w:r>
        <w:rPr>
          <w:rFonts w:hint="eastAsia" w:ascii="国标黑体" w:hAnsi="国标黑体" w:eastAsia="国标黑体" w:cs="国标黑体"/>
          <w:sz w:val="32"/>
          <w:szCs w:val="32"/>
        </w:rPr>
        <w:t>1.</w:t>
      </w:r>
      <w:r>
        <w:rPr>
          <w:rStyle w:val="37"/>
          <w:rFonts w:hint="eastAsia" w:ascii="CESI仿宋-GB2312" w:hAnsi="CESI仿宋-GB2312" w:eastAsia="CESI仿宋-GB2312" w:cs="CESI仿宋-GB2312"/>
          <w:b w:val="0"/>
          <w:bCs w:val="0"/>
          <w:kern w:val="2"/>
          <w:sz w:val="32"/>
          <w:szCs w:val="32"/>
          <w:lang w:val="en-US" w:eastAsia="zh-CN" w:bidi="ar"/>
        </w:rPr>
        <w:t>社会保障和就业（208类）行政事业单位养老支出（05款）:</w:t>
      </w:r>
      <w:r>
        <w:rPr>
          <w:rFonts w:hint="eastAsia" w:ascii="CESI仿宋-GB2312" w:hAnsi="CESI仿宋-GB2312" w:eastAsia="CESI仿宋-GB2312" w:cs="CESI仿宋-GB2312"/>
          <w:b w:val="0"/>
          <w:bCs w:val="0"/>
          <w:kern w:val="2"/>
          <w:sz w:val="32"/>
          <w:szCs w:val="32"/>
          <w:lang w:val="en-US" w:eastAsia="zh-CN" w:bidi="ar"/>
        </w:rPr>
        <w:t>支出决算为1937.39万元，完成预算100%。决算数等于预算数。</w:t>
      </w:r>
    </w:p>
    <w:p w14:paraId="04BC3A09">
      <w:pPr>
        <w:keepNext w:val="0"/>
        <w:keepLines w:val="0"/>
        <w:widowControl w:val="0"/>
        <w:suppressLineNumbers w:val="0"/>
        <w:spacing w:before="0" w:beforeAutospacing="0" w:after="0" w:afterAutospacing="0" w:line="600" w:lineRule="exact"/>
        <w:ind w:left="0" w:right="0" w:firstLine="640"/>
        <w:jc w:val="both"/>
        <w:rPr>
          <w:rFonts w:hint="eastAsia" w:ascii="CESI仿宋-GB2312" w:hAnsi="CESI仿宋-GB2312" w:eastAsia="CESI仿宋-GB2312" w:cs="CESI仿宋-GB2312"/>
          <w:b w:val="0"/>
          <w:bCs w:val="0"/>
          <w:kern w:val="2"/>
          <w:sz w:val="32"/>
          <w:szCs w:val="32"/>
        </w:rPr>
      </w:pPr>
      <w:r>
        <w:rPr>
          <w:rFonts w:hint="eastAsia" w:ascii="CESI仿宋-GB2312" w:hAnsi="CESI仿宋-GB2312" w:eastAsia="CESI仿宋-GB2312" w:cs="CESI仿宋-GB2312"/>
          <w:b w:val="0"/>
          <w:bCs w:val="0"/>
          <w:kern w:val="2"/>
          <w:sz w:val="32"/>
          <w:szCs w:val="32"/>
          <w:lang w:val="en-US" w:eastAsia="zh-CN" w:bidi="ar"/>
        </w:rPr>
        <w:t>（1）行政单位离退休（01项）: 支出决算为77.05万元，完成预算100%，决算数等于预算数。</w:t>
      </w:r>
    </w:p>
    <w:p w14:paraId="7EE1AAA9">
      <w:pPr>
        <w:keepNext w:val="0"/>
        <w:keepLines w:val="0"/>
        <w:widowControl w:val="0"/>
        <w:suppressLineNumbers w:val="0"/>
        <w:spacing w:before="0" w:beforeAutospacing="0" w:after="0" w:afterAutospacing="0" w:line="600" w:lineRule="exact"/>
        <w:ind w:left="0" w:right="0" w:firstLine="640"/>
        <w:jc w:val="both"/>
        <w:rPr>
          <w:rFonts w:hint="eastAsia" w:ascii="CESI仿宋-GB2312" w:hAnsi="CESI仿宋-GB2312" w:eastAsia="CESI仿宋-GB2312" w:cs="CESI仿宋-GB2312"/>
          <w:b w:val="0"/>
          <w:bCs w:val="0"/>
          <w:kern w:val="2"/>
          <w:sz w:val="32"/>
          <w:szCs w:val="32"/>
        </w:rPr>
      </w:pPr>
      <w:r>
        <w:rPr>
          <w:rFonts w:hint="eastAsia" w:ascii="CESI仿宋-GB2312" w:hAnsi="CESI仿宋-GB2312" w:eastAsia="CESI仿宋-GB2312" w:cs="CESI仿宋-GB2312"/>
          <w:b w:val="0"/>
          <w:bCs w:val="0"/>
          <w:kern w:val="2"/>
          <w:sz w:val="32"/>
          <w:szCs w:val="32"/>
          <w:lang w:val="en-US" w:eastAsia="zh-CN" w:bidi="ar"/>
        </w:rPr>
        <w:t>（2）事业单位离退休（02项）: 支出决算为640.93万元，完成预算100%，决算数等于预算数。</w:t>
      </w:r>
    </w:p>
    <w:p w14:paraId="225729E1">
      <w:pPr>
        <w:keepNext w:val="0"/>
        <w:keepLines w:val="0"/>
        <w:widowControl w:val="0"/>
        <w:suppressLineNumbers w:val="0"/>
        <w:spacing w:before="0" w:beforeAutospacing="0" w:after="0" w:afterAutospacing="0" w:line="600" w:lineRule="exact"/>
        <w:ind w:left="0" w:right="0" w:firstLine="640"/>
        <w:jc w:val="both"/>
        <w:rPr>
          <w:rFonts w:hint="eastAsia" w:ascii="CESI仿宋-GB2312" w:hAnsi="CESI仿宋-GB2312" w:eastAsia="CESI仿宋-GB2312" w:cs="CESI仿宋-GB2312"/>
          <w:b w:val="0"/>
          <w:bCs w:val="0"/>
          <w:kern w:val="2"/>
          <w:sz w:val="32"/>
          <w:szCs w:val="32"/>
        </w:rPr>
      </w:pPr>
      <w:r>
        <w:rPr>
          <w:rFonts w:hint="eastAsia" w:ascii="CESI仿宋-GB2312" w:hAnsi="CESI仿宋-GB2312" w:eastAsia="CESI仿宋-GB2312" w:cs="CESI仿宋-GB2312"/>
          <w:b w:val="0"/>
          <w:bCs w:val="0"/>
          <w:kern w:val="2"/>
          <w:sz w:val="32"/>
          <w:szCs w:val="32"/>
          <w:lang w:val="en-US" w:eastAsia="zh-CN" w:bidi="ar"/>
        </w:rPr>
        <w:t>（3）机关事业单位基本养老保险缴费支出（05项）：支出决算为891.29万元，完成预算100%，决算数等于预算数。</w:t>
      </w:r>
    </w:p>
    <w:p w14:paraId="658DF0D0">
      <w:pPr>
        <w:keepNext w:val="0"/>
        <w:keepLines w:val="0"/>
        <w:widowControl w:val="0"/>
        <w:suppressLineNumbers w:val="0"/>
        <w:spacing w:before="0" w:beforeAutospacing="0" w:after="0" w:afterAutospacing="0" w:line="600" w:lineRule="exact"/>
        <w:ind w:left="0" w:right="0" w:firstLine="640"/>
        <w:jc w:val="both"/>
        <w:rPr>
          <w:rFonts w:hint="eastAsia" w:ascii="CESI仿宋-GB2312" w:hAnsi="CESI仿宋-GB2312" w:eastAsia="CESI仿宋-GB2312" w:cs="CESI仿宋-GB2312"/>
          <w:b w:val="0"/>
          <w:bCs w:val="0"/>
          <w:kern w:val="2"/>
          <w:sz w:val="32"/>
          <w:szCs w:val="32"/>
        </w:rPr>
      </w:pPr>
      <w:r>
        <w:rPr>
          <w:rFonts w:hint="eastAsia" w:ascii="CESI仿宋-GB2312" w:hAnsi="CESI仿宋-GB2312" w:eastAsia="CESI仿宋-GB2312" w:cs="CESI仿宋-GB2312"/>
          <w:b w:val="0"/>
          <w:bCs w:val="0"/>
          <w:kern w:val="2"/>
          <w:sz w:val="32"/>
          <w:szCs w:val="32"/>
          <w:lang w:val="en-US" w:eastAsia="zh-CN" w:bidi="ar"/>
        </w:rPr>
        <w:t>（4）机关事业单位职业年金缴费支出（06项）：支出决算为328.12万元，完成预算100%，决算数等于预算数。</w:t>
      </w:r>
    </w:p>
    <w:p w14:paraId="15926218">
      <w:pPr>
        <w:keepNext w:val="0"/>
        <w:keepLines w:val="0"/>
        <w:widowControl w:val="0"/>
        <w:suppressLineNumbers w:val="0"/>
        <w:spacing w:before="0" w:beforeAutospacing="0" w:after="0" w:afterAutospacing="0" w:line="600" w:lineRule="exact"/>
        <w:ind w:left="0" w:right="0" w:firstLine="640"/>
        <w:jc w:val="both"/>
        <w:rPr>
          <w:rFonts w:hint="eastAsia" w:ascii="CESI仿宋-GB2312" w:hAnsi="CESI仿宋-GB2312" w:eastAsia="CESI仿宋-GB2312" w:cs="CESI仿宋-GB2312"/>
          <w:b w:val="0"/>
          <w:bCs w:val="0"/>
          <w:kern w:val="2"/>
          <w:sz w:val="32"/>
          <w:szCs w:val="32"/>
        </w:rPr>
      </w:pPr>
      <w:r>
        <w:rPr>
          <w:rStyle w:val="37"/>
          <w:rFonts w:hint="eastAsia" w:ascii="CESI仿宋-GB2312" w:hAnsi="CESI仿宋-GB2312" w:eastAsia="CESI仿宋-GB2312" w:cs="CESI仿宋-GB2312"/>
          <w:b w:val="0"/>
          <w:bCs w:val="0"/>
          <w:kern w:val="2"/>
          <w:sz w:val="32"/>
          <w:szCs w:val="32"/>
          <w:lang w:val="en-US" w:eastAsia="zh-CN" w:bidi="ar"/>
        </w:rPr>
        <w:t>2.社会保障和就业（208类）抚恤（08款）:</w:t>
      </w:r>
      <w:r>
        <w:rPr>
          <w:rFonts w:hint="eastAsia" w:ascii="CESI仿宋-GB2312" w:hAnsi="CESI仿宋-GB2312" w:eastAsia="CESI仿宋-GB2312" w:cs="CESI仿宋-GB2312"/>
          <w:b w:val="0"/>
          <w:bCs w:val="0"/>
          <w:kern w:val="2"/>
          <w:sz w:val="32"/>
          <w:szCs w:val="32"/>
          <w:lang w:val="en-US" w:eastAsia="zh-CN" w:bidi="ar"/>
        </w:rPr>
        <w:t>支出决算为135.34万元，完成预算100%。决算数等于预算数。</w:t>
      </w:r>
    </w:p>
    <w:p w14:paraId="5FBF4F69">
      <w:pPr>
        <w:keepNext w:val="0"/>
        <w:keepLines w:val="0"/>
        <w:widowControl w:val="0"/>
        <w:suppressLineNumbers w:val="0"/>
        <w:spacing w:before="0" w:beforeAutospacing="0" w:after="0" w:afterAutospacing="0" w:line="600" w:lineRule="exact"/>
        <w:ind w:left="0" w:right="0" w:firstLine="640"/>
        <w:jc w:val="both"/>
        <w:rPr>
          <w:rFonts w:hint="eastAsia" w:ascii="CESI仿宋-GB2312" w:hAnsi="CESI仿宋-GB2312" w:eastAsia="CESI仿宋-GB2312" w:cs="CESI仿宋-GB2312"/>
          <w:b w:val="0"/>
          <w:bCs w:val="0"/>
          <w:kern w:val="2"/>
          <w:sz w:val="32"/>
          <w:szCs w:val="32"/>
        </w:rPr>
      </w:pPr>
      <w:r>
        <w:rPr>
          <w:rFonts w:hint="eastAsia" w:ascii="CESI仿宋-GB2312" w:hAnsi="CESI仿宋-GB2312" w:eastAsia="CESI仿宋-GB2312" w:cs="CESI仿宋-GB2312"/>
          <w:b w:val="0"/>
          <w:bCs w:val="0"/>
          <w:kern w:val="2"/>
          <w:sz w:val="32"/>
          <w:szCs w:val="32"/>
          <w:lang w:val="en-US" w:eastAsia="zh-CN" w:bidi="ar"/>
        </w:rPr>
        <w:t>（1）死亡抚恤（01项）：支出决算为118.33万元，完成预算100%。决算数等于预算数。</w:t>
      </w:r>
    </w:p>
    <w:p w14:paraId="5010B5A8">
      <w:pPr>
        <w:keepNext w:val="0"/>
        <w:keepLines w:val="0"/>
        <w:widowControl w:val="0"/>
        <w:suppressLineNumbers w:val="0"/>
        <w:spacing w:before="0" w:beforeAutospacing="0" w:after="0" w:afterAutospacing="0" w:line="600" w:lineRule="exact"/>
        <w:ind w:left="0" w:right="0" w:firstLine="640"/>
        <w:jc w:val="both"/>
        <w:rPr>
          <w:rFonts w:hint="eastAsia" w:ascii="CESI仿宋-GB2312" w:hAnsi="CESI仿宋-GB2312" w:eastAsia="CESI仿宋-GB2312" w:cs="CESI仿宋-GB2312"/>
          <w:b w:val="0"/>
          <w:bCs w:val="0"/>
          <w:kern w:val="2"/>
          <w:sz w:val="32"/>
          <w:szCs w:val="32"/>
        </w:rPr>
      </w:pPr>
      <w:r>
        <w:rPr>
          <w:rFonts w:hint="eastAsia" w:ascii="CESI仿宋-GB2312" w:hAnsi="CESI仿宋-GB2312" w:eastAsia="CESI仿宋-GB2312" w:cs="CESI仿宋-GB2312"/>
          <w:b w:val="0"/>
          <w:bCs w:val="0"/>
          <w:kern w:val="2"/>
          <w:sz w:val="32"/>
          <w:szCs w:val="32"/>
          <w:lang w:val="en-US" w:eastAsia="zh-CN" w:bidi="ar"/>
        </w:rPr>
        <w:t>（2）伤残抚恤（02项）：支出决算为17万元，完成预算100%。决算数等于预算数。</w:t>
      </w:r>
    </w:p>
    <w:p w14:paraId="3C04821B">
      <w:pPr>
        <w:keepNext w:val="0"/>
        <w:keepLines w:val="0"/>
        <w:widowControl w:val="0"/>
        <w:suppressLineNumbers w:val="0"/>
        <w:spacing w:before="0" w:beforeAutospacing="0" w:after="0" w:afterAutospacing="0" w:line="600" w:lineRule="exact"/>
        <w:ind w:left="0" w:right="0" w:firstLine="640"/>
        <w:jc w:val="both"/>
        <w:rPr>
          <w:rFonts w:hint="eastAsia" w:ascii="CESI仿宋-GB2312" w:hAnsi="CESI仿宋-GB2312" w:eastAsia="CESI仿宋-GB2312" w:cs="CESI仿宋-GB2312"/>
          <w:b w:val="0"/>
          <w:bCs w:val="0"/>
          <w:kern w:val="2"/>
          <w:sz w:val="32"/>
          <w:szCs w:val="32"/>
        </w:rPr>
      </w:pPr>
      <w:r>
        <w:rPr>
          <w:rStyle w:val="37"/>
          <w:rFonts w:hint="eastAsia" w:ascii="CESI仿宋-GB2312" w:hAnsi="CESI仿宋-GB2312" w:eastAsia="CESI仿宋-GB2312" w:cs="CESI仿宋-GB2312"/>
          <w:b w:val="0"/>
          <w:bCs w:val="0"/>
          <w:kern w:val="2"/>
          <w:sz w:val="32"/>
          <w:szCs w:val="32"/>
          <w:lang w:val="en-US" w:eastAsia="zh-CN" w:bidi="ar"/>
        </w:rPr>
        <w:t>3.</w:t>
      </w:r>
      <w:r>
        <w:rPr>
          <w:rFonts w:hint="eastAsia" w:ascii="CESI仿宋-GB2312" w:hAnsi="CESI仿宋-GB2312" w:eastAsia="CESI仿宋-GB2312" w:cs="CESI仿宋-GB2312"/>
          <w:b w:val="0"/>
          <w:bCs w:val="0"/>
          <w:kern w:val="2"/>
          <w:sz w:val="32"/>
          <w:szCs w:val="32"/>
          <w:lang w:val="en-US" w:eastAsia="zh-CN" w:bidi="ar"/>
        </w:rPr>
        <w:t>卫生健康支出（210类）卫生健康管理事务（01款）：支出决算为456.89万元，完成预算100%。决算数等于预算数。</w:t>
      </w:r>
    </w:p>
    <w:p w14:paraId="70D8BF64">
      <w:pPr>
        <w:keepNext w:val="0"/>
        <w:keepLines w:val="0"/>
        <w:widowControl w:val="0"/>
        <w:suppressLineNumbers w:val="0"/>
        <w:spacing w:before="0" w:beforeAutospacing="0" w:after="0" w:afterAutospacing="0" w:line="600" w:lineRule="exact"/>
        <w:ind w:left="0" w:right="0" w:firstLine="640"/>
        <w:jc w:val="both"/>
        <w:rPr>
          <w:rFonts w:hint="eastAsia" w:ascii="CESI仿宋-GB2312" w:hAnsi="CESI仿宋-GB2312" w:eastAsia="CESI仿宋-GB2312" w:cs="CESI仿宋-GB2312"/>
          <w:b w:val="0"/>
          <w:bCs w:val="0"/>
          <w:kern w:val="2"/>
          <w:sz w:val="32"/>
          <w:szCs w:val="32"/>
        </w:rPr>
      </w:pPr>
      <w:r>
        <w:rPr>
          <w:rFonts w:hint="eastAsia" w:ascii="CESI仿宋-GB2312" w:hAnsi="CESI仿宋-GB2312" w:eastAsia="CESI仿宋-GB2312" w:cs="CESI仿宋-GB2312"/>
          <w:b w:val="0"/>
          <w:bCs w:val="0"/>
          <w:kern w:val="2"/>
          <w:sz w:val="32"/>
          <w:szCs w:val="32"/>
          <w:lang w:val="en-US" w:eastAsia="zh-CN" w:bidi="ar"/>
        </w:rPr>
        <w:t>（1）行政运行（01项）:支出决算为339.9万元，完成预算100%，决算数等于预算数。</w:t>
      </w:r>
    </w:p>
    <w:p w14:paraId="0781A051">
      <w:pPr>
        <w:keepNext w:val="0"/>
        <w:keepLines w:val="0"/>
        <w:widowControl w:val="0"/>
        <w:suppressLineNumbers w:val="0"/>
        <w:spacing w:before="0" w:beforeAutospacing="0" w:after="0" w:afterAutospacing="0" w:line="600" w:lineRule="exact"/>
        <w:ind w:left="0" w:right="0" w:firstLine="640"/>
        <w:jc w:val="both"/>
        <w:rPr>
          <w:rFonts w:hint="eastAsia" w:ascii="CESI仿宋-GB2312" w:hAnsi="CESI仿宋-GB2312" w:eastAsia="CESI仿宋-GB2312" w:cs="CESI仿宋-GB2312"/>
          <w:b w:val="0"/>
          <w:bCs w:val="0"/>
          <w:kern w:val="2"/>
          <w:sz w:val="32"/>
          <w:szCs w:val="32"/>
        </w:rPr>
      </w:pPr>
      <w:r>
        <w:rPr>
          <w:rFonts w:hint="eastAsia" w:ascii="CESI仿宋-GB2312" w:hAnsi="CESI仿宋-GB2312" w:eastAsia="CESI仿宋-GB2312" w:cs="CESI仿宋-GB2312"/>
          <w:b w:val="0"/>
          <w:bCs w:val="0"/>
          <w:kern w:val="2"/>
          <w:sz w:val="32"/>
          <w:szCs w:val="32"/>
          <w:lang w:val="en-US" w:eastAsia="zh-CN" w:bidi="ar"/>
        </w:rPr>
        <w:t>（2）其他卫生健康管理事务支出（99项）:支出决算为116.99万元，完成预算100%，决算数等于预算数。</w:t>
      </w:r>
    </w:p>
    <w:p w14:paraId="639A7EF0">
      <w:pPr>
        <w:keepNext w:val="0"/>
        <w:keepLines w:val="0"/>
        <w:widowControl w:val="0"/>
        <w:suppressLineNumbers w:val="0"/>
        <w:spacing w:before="0" w:beforeAutospacing="0" w:after="0" w:afterAutospacing="0" w:line="600" w:lineRule="exact"/>
        <w:ind w:left="0" w:right="0" w:firstLine="640"/>
        <w:jc w:val="both"/>
        <w:rPr>
          <w:rFonts w:hint="eastAsia" w:ascii="CESI仿宋-GB2312" w:hAnsi="CESI仿宋-GB2312" w:eastAsia="CESI仿宋-GB2312" w:cs="CESI仿宋-GB2312"/>
          <w:b w:val="0"/>
          <w:bCs w:val="0"/>
          <w:kern w:val="2"/>
          <w:sz w:val="32"/>
          <w:szCs w:val="32"/>
        </w:rPr>
      </w:pPr>
      <w:r>
        <w:rPr>
          <w:rFonts w:hint="eastAsia" w:ascii="CESI仿宋-GB2312" w:hAnsi="CESI仿宋-GB2312" w:eastAsia="CESI仿宋-GB2312" w:cs="CESI仿宋-GB2312"/>
          <w:b w:val="0"/>
          <w:bCs w:val="0"/>
          <w:kern w:val="2"/>
          <w:sz w:val="32"/>
          <w:szCs w:val="32"/>
          <w:lang w:val="en-US" w:eastAsia="zh-CN" w:bidi="ar"/>
        </w:rPr>
        <w:t>5.卫生健康支出（210类）公立医院（02款）：支出决算为2820.74万元，完成预算100%。决算数等于预算数。</w:t>
      </w:r>
    </w:p>
    <w:p w14:paraId="5F471899">
      <w:pPr>
        <w:keepNext w:val="0"/>
        <w:keepLines w:val="0"/>
        <w:widowControl w:val="0"/>
        <w:suppressLineNumbers w:val="0"/>
        <w:spacing w:before="0" w:beforeAutospacing="0" w:after="0" w:afterAutospacing="0" w:line="600" w:lineRule="exact"/>
        <w:ind w:left="0" w:right="0" w:firstLine="640"/>
        <w:jc w:val="both"/>
        <w:rPr>
          <w:rFonts w:hint="eastAsia" w:ascii="CESI仿宋-GB2312" w:hAnsi="CESI仿宋-GB2312" w:eastAsia="CESI仿宋-GB2312" w:cs="CESI仿宋-GB2312"/>
          <w:b w:val="0"/>
          <w:bCs w:val="0"/>
          <w:kern w:val="2"/>
          <w:sz w:val="32"/>
          <w:szCs w:val="32"/>
        </w:rPr>
      </w:pPr>
      <w:r>
        <w:rPr>
          <w:rFonts w:hint="eastAsia" w:ascii="CESI仿宋-GB2312" w:hAnsi="CESI仿宋-GB2312" w:eastAsia="CESI仿宋-GB2312" w:cs="CESI仿宋-GB2312"/>
          <w:b w:val="0"/>
          <w:bCs w:val="0"/>
          <w:kern w:val="2"/>
          <w:sz w:val="32"/>
          <w:szCs w:val="32"/>
          <w:lang w:val="en-US" w:eastAsia="zh-CN" w:bidi="ar"/>
        </w:rPr>
        <w:t>（1）综合医院（01项）:支出决算为1687.06万元，完成预算100%，决算数等于预算数。</w:t>
      </w:r>
    </w:p>
    <w:p w14:paraId="482A16D5">
      <w:pPr>
        <w:keepNext w:val="0"/>
        <w:keepLines w:val="0"/>
        <w:widowControl w:val="0"/>
        <w:suppressLineNumbers w:val="0"/>
        <w:spacing w:before="0" w:beforeAutospacing="0" w:after="0" w:afterAutospacing="0" w:line="600" w:lineRule="exact"/>
        <w:ind w:left="0" w:right="0" w:firstLine="640"/>
        <w:jc w:val="both"/>
        <w:rPr>
          <w:rFonts w:hint="eastAsia" w:ascii="CESI仿宋-GB2312" w:hAnsi="CESI仿宋-GB2312" w:eastAsia="CESI仿宋-GB2312" w:cs="CESI仿宋-GB2312"/>
          <w:b w:val="0"/>
          <w:bCs w:val="0"/>
          <w:kern w:val="2"/>
          <w:sz w:val="32"/>
          <w:szCs w:val="32"/>
        </w:rPr>
      </w:pPr>
      <w:r>
        <w:rPr>
          <w:rFonts w:hint="eastAsia" w:ascii="CESI仿宋-GB2312" w:hAnsi="CESI仿宋-GB2312" w:eastAsia="CESI仿宋-GB2312" w:cs="CESI仿宋-GB2312"/>
          <w:b w:val="0"/>
          <w:bCs w:val="0"/>
          <w:kern w:val="2"/>
          <w:sz w:val="32"/>
          <w:szCs w:val="32"/>
          <w:lang w:val="en-US" w:eastAsia="zh-CN" w:bidi="ar"/>
        </w:rPr>
        <w:t>（2）中医（民族）医院（02项）:支出决算为791.6万元，完成预算100%，决算数等于预算数。</w:t>
      </w:r>
    </w:p>
    <w:p w14:paraId="73BB0CA2">
      <w:pPr>
        <w:keepNext w:val="0"/>
        <w:keepLines w:val="0"/>
        <w:widowControl w:val="0"/>
        <w:suppressLineNumbers w:val="0"/>
        <w:spacing w:before="0" w:beforeAutospacing="0" w:after="0" w:afterAutospacing="0" w:line="600" w:lineRule="exact"/>
        <w:ind w:left="0" w:right="0" w:firstLine="640"/>
        <w:jc w:val="both"/>
        <w:rPr>
          <w:rFonts w:hint="eastAsia" w:ascii="CESI仿宋-GB2312" w:hAnsi="CESI仿宋-GB2312" w:eastAsia="CESI仿宋-GB2312" w:cs="CESI仿宋-GB2312"/>
          <w:b w:val="0"/>
          <w:bCs w:val="0"/>
          <w:kern w:val="2"/>
          <w:sz w:val="32"/>
          <w:szCs w:val="32"/>
        </w:rPr>
      </w:pPr>
      <w:r>
        <w:rPr>
          <w:rFonts w:hint="eastAsia" w:ascii="CESI仿宋-GB2312" w:hAnsi="CESI仿宋-GB2312" w:eastAsia="CESI仿宋-GB2312" w:cs="CESI仿宋-GB2312"/>
          <w:b w:val="0"/>
          <w:bCs w:val="0"/>
          <w:kern w:val="2"/>
          <w:sz w:val="32"/>
          <w:szCs w:val="32"/>
          <w:lang w:val="en-US" w:eastAsia="zh-CN" w:bidi="ar"/>
        </w:rPr>
        <w:t>（3）其他公立医院支出（99项）:支出决算为342.07万元，完成预算100%，决算数等于预算数。</w:t>
      </w:r>
    </w:p>
    <w:p w14:paraId="1DFACEE5">
      <w:pPr>
        <w:keepNext w:val="0"/>
        <w:keepLines w:val="0"/>
        <w:widowControl w:val="0"/>
        <w:suppressLineNumbers w:val="0"/>
        <w:spacing w:before="0" w:beforeAutospacing="0" w:after="0" w:afterAutospacing="0" w:line="600" w:lineRule="exact"/>
        <w:ind w:left="0" w:right="0" w:firstLine="640"/>
        <w:jc w:val="both"/>
        <w:rPr>
          <w:rFonts w:hint="eastAsia" w:ascii="CESI仿宋-GB2312" w:hAnsi="CESI仿宋-GB2312" w:eastAsia="CESI仿宋-GB2312" w:cs="CESI仿宋-GB2312"/>
          <w:b w:val="0"/>
          <w:bCs w:val="0"/>
          <w:kern w:val="2"/>
          <w:sz w:val="32"/>
          <w:szCs w:val="32"/>
        </w:rPr>
      </w:pPr>
      <w:r>
        <w:rPr>
          <w:rFonts w:hint="eastAsia" w:ascii="CESI仿宋-GB2312" w:hAnsi="CESI仿宋-GB2312" w:eastAsia="CESI仿宋-GB2312" w:cs="CESI仿宋-GB2312"/>
          <w:b w:val="0"/>
          <w:bCs w:val="0"/>
          <w:kern w:val="2"/>
          <w:sz w:val="32"/>
          <w:szCs w:val="32"/>
          <w:lang w:val="en-US" w:eastAsia="zh-CN" w:bidi="ar"/>
        </w:rPr>
        <w:t>6.卫生健康支出（210类）基层医疗卫生机构（03款）：支出决算为2644.82万元，完成预算100%。决算数等于预算数。</w:t>
      </w:r>
    </w:p>
    <w:p w14:paraId="384063FB">
      <w:pPr>
        <w:keepNext w:val="0"/>
        <w:keepLines w:val="0"/>
        <w:widowControl w:val="0"/>
        <w:suppressLineNumbers w:val="0"/>
        <w:spacing w:before="0" w:beforeAutospacing="0" w:after="0" w:afterAutospacing="0" w:line="600" w:lineRule="exact"/>
        <w:ind w:left="0" w:right="0" w:firstLine="640"/>
        <w:jc w:val="both"/>
        <w:rPr>
          <w:rFonts w:hint="eastAsia" w:ascii="CESI仿宋-GB2312" w:hAnsi="CESI仿宋-GB2312" w:eastAsia="CESI仿宋-GB2312" w:cs="CESI仿宋-GB2312"/>
          <w:b w:val="0"/>
          <w:bCs w:val="0"/>
          <w:kern w:val="2"/>
          <w:sz w:val="32"/>
          <w:szCs w:val="32"/>
        </w:rPr>
      </w:pPr>
      <w:r>
        <w:rPr>
          <w:rFonts w:hint="eastAsia" w:ascii="CESI仿宋-GB2312" w:hAnsi="CESI仿宋-GB2312" w:eastAsia="CESI仿宋-GB2312" w:cs="CESI仿宋-GB2312"/>
          <w:b w:val="0"/>
          <w:bCs w:val="0"/>
          <w:kern w:val="2"/>
          <w:sz w:val="32"/>
          <w:szCs w:val="32"/>
          <w:lang w:val="en-US" w:eastAsia="zh-CN" w:bidi="ar"/>
        </w:rPr>
        <w:t>（1）城市社区卫生机构（01项）:支出决算为253.32万元，完成预算100%，决算数等于预算数。</w:t>
      </w:r>
    </w:p>
    <w:p w14:paraId="4E9AC983">
      <w:pPr>
        <w:keepNext w:val="0"/>
        <w:keepLines w:val="0"/>
        <w:widowControl w:val="0"/>
        <w:suppressLineNumbers w:val="0"/>
        <w:spacing w:before="0" w:beforeAutospacing="0" w:after="0" w:afterAutospacing="0" w:line="600" w:lineRule="exact"/>
        <w:ind w:left="0" w:right="0" w:firstLine="640"/>
        <w:jc w:val="both"/>
        <w:rPr>
          <w:rFonts w:hint="eastAsia" w:ascii="CESI仿宋-GB2312" w:hAnsi="CESI仿宋-GB2312" w:eastAsia="CESI仿宋-GB2312" w:cs="CESI仿宋-GB2312"/>
          <w:b w:val="0"/>
          <w:bCs w:val="0"/>
          <w:kern w:val="2"/>
          <w:sz w:val="32"/>
          <w:szCs w:val="32"/>
        </w:rPr>
      </w:pPr>
      <w:r>
        <w:rPr>
          <w:rFonts w:hint="eastAsia" w:ascii="CESI仿宋-GB2312" w:hAnsi="CESI仿宋-GB2312" w:eastAsia="CESI仿宋-GB2312" w:cs="CESI仿宋-GB2312"/>
          <w:b w:val="0"/>
          <w:bCs w:val="0"/>
          <w:kern w:val="2"/>
          <w:sz w:val="32"/>
          <w:szCs w:val="32"/>
          <w:lang w:val="en-US" w:eastAsia="zh-CN" w:bidi="ar"/>
        </w:rPr>
        <w:t>（2）乡镇卫生院（02项）:支出决算为2036.16万元，完成预算100%。决算数等于预算数。</w:t>
      </w:r>
    </w:p>
    <w:p w14:paraId="279AD5BA">
      <w:pPr>
        <w:keepNext w:val="0"/>
        <w:keepLines w:val="0"/>
        <w:widowControl w:val="0"/>
        <w:suppressLineNumbers w:val="0"/>
        <w:spacing w:before="0" w:beforeAutospacing="0" w:after="0" w:afterAutospacing="0" w:line="600" w:lineRule="exact"/>
        <w:ind w:left="0" w:right="0" w:firstLine="640"/>
        <w:jc w:val="both"/>
        <w:rPr>
          <w:rFonts w:hint="eastAsia" w:ascii="CESI仿宋-GB2312" w:hAnsi="CESI仿宋-GB2312" w:eastAsia="CESI仿宋-GB2312" w:cs="CESI仿宋-GB2312"/>
          <w:b w:val="0"/>
          <w:bCs w:val="0"/>
          <w:kern w:val="2"/>
          <w:sz w:val="32"/>
          <w:szCs w:val="32"/>
        </w:rPr>
      </w:pPr>
      <w:r>
        <w:rPr>
          <w:rFonts w:hint="eastAsia" w:ascii="CESI仿宋-GB2312" w:hAnsi="CESI仿宋-GB2312" w:eastAsia="CESI仿宋-GB2312" w:cs="CESI仿宋-GB2312"/>
          <w:b w:val="0"/>
          <w:bCs w:val="0"/>
          <w:kern w:val="2"/>
          <w:sz w:val="32"/>
          <w:szCs w:val="32"/>
          <w:lang w:val="en-US" w:eastAsia="zh-CN" w:bidi="ar"/>
        </w:rPr>
        <w:t>（3）其他基层医疗卫生机构支出（99项）:支出决算为355.34万元，完成预算100%。决算数等于预算数。</w:t>
      </w:r>
    </w:p>
    <w:p w14:paraId="4BFF64DD">
      <w:pPr>
        <w:keepNext w:val="0"/>
        <w:keepLines w:val="0"/>
        <w:widowControl w:val="0"/>
        <w:suppressLineNumbers w:val="0"/>
        <w:spacing w:before="0" w:beforeAutospacing="0" w:after="0" w:afterAutospacing="0" w:line="600" w:lineRule="exact"/>
        <w:ind w:left="0" w:right="0" w:firstLine="640"/>
        <w:jc w:val="both"/>
        <w:rPr>
          <w:rFonts w:hint="eastAsia" w:ascii="CESI仿宋-GB2312" w:hAnsi="CESI仿宋-GB2312" w:eastAsia="CESI仿宋-GB2312" w:cs="CESI仿宋-GB2312"/>
          <w:b w:val="0"/>
          <w:bCs w:val="0"/>
          <w:kern w:val="2"/>
          <w:sz w:val="32"/>
          <w:szCs w:val="32"/>
          <w:lang w:val="en-US" w:eastAsia="zh-CN" w:bidi="ar"/>
        </w:rPr>
      </w:pPr>
      <w:r>
        <w:rPr>
          <w:rFonts w:hint="eastAsia" w:ascii="CESI仿宋-GB2312" w:hAnsi="CESI仿宋-GB2312" w:eastAsia="CESI仿宋-GB2312" w:cs="CESI仿宋-GB2312"/>
          <w:b w:val="0"/>
          <w:bCs w:val="0"/>
          <w:kern w:val="2"/>
          <w:sz w:val="32"/>
          <w:szCs w:val="32"/>
          <w:lang w:val="en-US" w:eastAsia="zh-CN" w:bidi="ar"/>
        </w:rPr>
        <w:t>7.卫生健康支出（210类）公共卫生（04款）：支出决算为3299.09万元，完成预算100%。决算数等于预算数。</w:t>
      </w:r>
    </w:p>
    <w:p w14:paraId="3400D2F9">
      <w:pPr>
        <w:keepNext w:val="0"/>
        <w:keepLines w:val="0"/>
        <w:widowControl w:val="0"/>
        <w:suppressLineNumbers w:val="0"/>
        <w:spacing w:before="0" w:beforeAutospacing="0" w:after="0" w:afterAutospacing="0" w:line="600" w:lineRule="exact"/>
        <w:ind w:left="0" w:right="0" w:firstLine="640"/>
        <w:jc w:val="both"/>
        <w:rPr>
          <w:rFonts w:hint="eastAsia" w:ascii="CESI仿宋-GB2312" w:hAnsi="CESI仿宋-GB2312" w:eastAsia="CESI仿宋-GB2312" w:cs="CESI仿宋-GB2312"/>
          <w:b w:val="0"/>
          <w:bCs w:val="0"/>
          <w:kern w:val="2"/>
          <w:sz w:val="32"/>
          <w:szCs w:val="32"/>
          <w:lang w:val="en-US" w:eastAsia="zh-CN" w:bidi="ar"/>
        </w:rPr>
      </w:pPr>
      <w:r>
        <w:rPr>
          <w:rFonts w:hint="eastAsia" w:ascii="CESI仿宋-GB2312" w:hAnsi="CESI仿宋-GB2312" w:eastAsia="CESI仿宋-GB2312" w:cs="CESI仿宋-GB2312"/>
          <w:b w:val="0"/>
          <w:bCs w:val="0"/>
          <w:kern w:val="2"/>
          <w:sz w:val="32"/>
          <w:szCs w:val="32"/>
          <w:lang w:val="en-US" w:eastAsia="zh-CN" w:bidi="ar"/>
        </w:rPr>
        <w:t>（1）疾病预防控制机构（01项）:支出决算为932.07万元，完成预算100%.决算数等于预算数。</w:t>
      </w:r>
    </w:p>
    <w:p w14:paraId="16A5A9CB">
      <w:pPr>
        <w:keepNext w:val="0"/>
        <w:keepLines w:val="0"/>
        <w:widowControl w:val="0"/>
        <w:suppressLineNumbers w:val="0"/>
        <w:spacing w:before="0" w:beforeAutospacing="0" w:after="0" w:afterAutospacing="0" w:line="600" w:lineRule="exact"/>
        <w:ind w:left="0" w:right="0" w:firstLine="640"/>
        <w:jc w:val="both"/>
        <w:rPr>
          <w:rFonts w:hint="eastAsia" w:ascii="CESI仿宋-GB2312" w:hAnsi="CESI仿宋-GB2312" w:eastAsia="CESI仿宋-GB2312" w:cs="CESI仿宋-GB2312"/>
          <w:b w:val="0"/>
          <w:bCs w:val="0"/>
          <w:kern w:val="2"/>
          <w:sz w:val="32"/>
          <w:szCs w:val="32"/>
          <w:lang w:val="en-US" w:eastAsia="zh-CN" w:bidi="ar"/>
        </w:rPr>
      </w:pPr>
      <w:r>
        <w:rPr>
          <w:rFonts w:hint="eastAsia" w:ascii="CESI仿宋-GB2312" w:hAnsi="CESI仿宋-GB2312" w:eastAsia="CESI仿宋-GB2312" w:cs="CESI仿宋-GB2312"/>
          <w:b w:val="0"/>
          <w:bCs w:val="0"/>
          <w:kern w:val="2"/>
          <w:sz w:val="32"/>
          <w:szCs w:val="32"/>
          <w:lang w:val="en-US" w:eastAsia="zh-CN" w:bidi="ar"/>
        </w:rPr>
        <w:t>（2）妇幼保健机构（03项）:支出决算为344.17万元，完成预算100%.决算数等于预算数。</w:t>
      </w:r>
    </w:p>
    <w:p w14:paraId="3F6CEC38">
      <w:pPr>
        <w:keepNext w:val="0"/>
        <w:keepLines w:val="0"/>
        <w:widowControl w:val="0"/>
        <w:suppressLineNumbers w:val="0"/>
        <w:spacing w:before="0" w:beforeAutospacing="0" w:after="0" w:afterAutospacing="0" w:line="600" w:lineRule="exact"/>
        <w:ind w:left="0" w:right="0" w:firstLine="640"/>
        <w:jc w:val="both"/>
        <w:rPr>
          <w:rFonts w:hint="eastAsia" w:ascii="CESI仿宋-GB2312" w:hAnsi="CESI仿宋-GB2312" w:eastAsia="CESI仿宋-GB2312" w:cs="CESI仿宋-GB2312"/>
          <w:b w:val="0"/>
          <w:bCs w:val="0"/>
          <w:kern w:val="2"/>
          <w:sz w:val="32"/>
          <w:szCs w:val="32"/>
        </w:rPr>
      </w:pPr>
      <w:r>
        <w:rPr>
          <w:rFonts w:hint="eastAsia" w:ascii="CESI仿宋-GB2312" w:hAnsi="CESI仿宋-GB2312" w:eastAsia="CESI仿宋-GB2312" w:cs="CESI仿宋-GB2312"/>
          <w:b w:val="0"/>
          <w:bCs w:val="0"/>
          <w:kern w:val="2"/>
          <w:sz w:val="32"/>
          <w:szCs w:val="32"/>
          <w:lang w:val="en-US" w:eastAsia="zh-CN" w:bidi="ar"/>
        </w:rPr>
        <w:t>（3）基本公共卫生服务（08项）:支出决算为1610.26万元，完成预算100%.决算数等于预算数。</w:t>
      </w:r>
    </w:p>
    <w:p w14:paraId="198A7E11">
      <w:pPr>
        <w:keepNext w:val="0"/>
        <w:keepLines w:val="0"/>
        <w:widowControl w:val="0"/>
        <w:suppressLineNumbers w:val="0"/>
        <w:spacing w:before="0" w:beforeAutospacing="0" w:after="0" w:afterAutospacing="0" w:line="600" w:lineRule="exact"/>
        <w:ind w:left="0" w:right="0" w:firstLine="640"/>
        <w:jc w:val="both"/>
        <w:rPr>
          <w:rFonts w:hint="eastAsia" w:ascii="CESI仿宋-GB2312" w:hAnsi="CESI仿宋-GB2312" w:eastAsia="CESI仿宋-GB2312" w:cs="CESI仿宋-GB2312"/>
          <w:b w:val="0"/>
          <w:bCs w:val="0"/>
          <w:kern w:val="2"/>
          <w:sz w:val="32"/>
          <w:szCs w:val="32"/>
        </w:rPr>
      </w:pPr>
      <w:r>
        <w:rPr>
          <w:rFonts w:hint="eastAsia" w:ascii="CESI仿宋-GB2312" w:hAnsi="CESI仿宋-GB2312" w:eastAsia="CESI仿宋-GB2312" w:cs="CESI仿宋-GB2312"/>
          <w:b w:val="0"/>
          <w:bCs w:val="0"/>
          <w:kern w:val="2"/>
          <w:sz w:val="32"/>
          <w:szCs w:val="32"/>
          <w:lang w:val="en-US" w:eastAsia="zh-CN" w:bidi="ar"/>
        </w:rPr>
        <w:t>（4）重大公共卫生服务（09项）:支出决算为372.12万元，完成预算100%，决算数等于预算数。</w:t>
      </w:r>
    </w:p>
    <w:p w14:paraId="019F4D3B">
      <w:pPr>
        <w:keepNext w:val="0"/>
        <w:keepLines w:val="0"/>
        <w:widowControl w:val="0"/>
        <w:suppressLineNumbers w:val="0"/>
        <w:spacing w:before="0" w:beforeAutospacing="0" w:after="0" w:afterAutospacing="0" w:line="600" w:lineRule="exact"/>
        <w:ind w:left="0" w:right="0" w:firstLine="640"/>
        <w:jc w:val="both"/>
        <w:rPr>
          <w:rFonts w:hint="eastAsia" w:ascii="CESI仿宋-GB2312" w:hAnsi="CESI仿宋-GB2312" w:eastAsia="CESI仿宋-GB2312" w:cs="CESI仿宋-GB2312"/>
          <w:b w:val="0"/>
          <w:bCs w:val="0"/>
          <w:kern w:val="2"/>
          <w:sz w:val="32"/>
          <w:szCs w:val="32"/>
        </w:rPr>
      </w:pPr>
      <w:r>
        <w:rPr>
          <w:rFonts w:hint="eastAsia" w:ascii="CESI仿宋-GB2312" w:hAnsi="CESI仿宋-GB2312" w:eastAsia="CESI仿宋-GB2312" w:cs="CESI仿宋-GB2312"/>
          <w:b w:val="0"/>
          <w:bCs w:val="0"/>
          <w:kern w:val="2"/>
          <w:sz w:val="32"/>
          <w:szCs w:val="32"/>
          <w:lang w:val="en-US" w:eastAsia="zh-CN" w:bidi="ar"/>
        </w:rPr>
        <w:t>（5）其他公共卫生支出（99项）:支出决算为40.47万元，完成预算100%，决算数等于预算数。</w:t>
      </w:r>
    </w:p>
    <w:p w14:paraId="42826F8D">
      <w:pPr>
        <w:keepNext w:val="0"/>
        <w:keepLines w:val="0"/>
        <w:widowControl w:val="0"/>
        <w:suppressLineNumbers w:val="0"/>
        <w:spacing w:before="0" w:beforeAutospacing="0" w:after="0" w:afterAutospacing="0" w:line="600" w:lineRule="exact"/>
        <w:ind w:left="0" w:right="0" w:firstLine="640"/>
        <w:jc w:val="both"/>
        <w:rPr>
          <w:rFonts w:hint="eastAsia" w:ascii="CESI仿宋-GB2312" w:hAnsi="CESI仿宋-GB2312" w:eastAsia="CESI仿宋-GB2312" w:cs="CESI仿宋-GB2312"/>
          <w:b w:val="0"/>
          <w:bCs w:val="0"/>
          <w:kern w:val="2"/>
          <w:sz w:val="32"/>
          <w:szCs w:val="32"/>
        </w:rPr>
      </w:pPr>
      <w:r>
        <w:rPr>
          <w:rFonts w:hint="eastAsia" w:ascii="CESI仿宋-GB2312" w:hAnsi="CESI仿宋-GB2312" w:eastAsia="CESI仿宋-GB2312" w:cs="CESI仿宋-GB2312"/>
          <w:b w:val="0"/>
          <w:bCs w:val="0"/>
          <w:kern w:val="2"/>
          <w:sz w:val="32"/>
          <w:szCs w:val="32"/>
          <w:lang w:val="en-US" w:eastAsia="zh-CN" w:bidi="ar"/>
        </w:rPr>
        <w:t>8.卫生健康支出（210类）计划生育事务（07款）:支出决算为1098.96万元，完成预算100%，决算数等于预算数。</w:t>
      </w:r>
    </w:p>
    <w:p w14:paraId="200D9441">
      <w:pPr>
        <w:keepNext w:val="0"/>
        <w:keepLines w:val="0"/>
        <w:widowControl w:val="0"/>
        <w:suppressLineNumbers w:val="0"/>
        <w:spacing w:before="0" w:beforeAutospacing="0" w:after="0" w:afterAutospacing="0" w:line="600" w:lineRule="exact"/>
        <w:ind w:left="0" w:right="0" w:firstLine="640"/>
        <w:jc w:val="both"/>
        <w:rPr>
          <w:rFonts w:hint="eastAsia" w:ascii="CESI仿宋-GB2312" w:hAnsi="CESI仿宋-GB2312" w:eastAsia="CESI仿宋-GB2312" w:cs="CESI仿宋-GB2312"/>
          <w:b w:val="0"/>
          <w:bCs w:val="0"/>
          <w:kern w:val="2"/>
          <w:sz w:val="32"/>
          <w:szCs w:val="32"/>
        </w:rPr>
      </w:pPr>
      <w:r>
        <w:rPr>
          <w:rFonts w:hint="eastAsia" w:ascii="CESI仿宋-GB2312" w:hAnsi="CESI仿宋-GB2312" w:eastAsia="CESI仿宋-GB2312" w:cs="CESI仿宋-GB2312"/>
          <w:b w:val="0"/>
          <w:bCs w:val="0"/>
          <w:kern w:val="2"/>
          <w:sz w:val="32"/>
          <w:szCs w:val="32"/>
          <w:lang w:val="en-US" w:eastAsia="zh-CN" w:bidi="ar"/>
        </w:rPr>
        <w:t>（1）计划生育服务（17项）:支出决算为39.26万元，完成预算100%，决算数等于预算数。</w:t>
      </w:r>
    </w:p>
    <w:p w14:paraId="53E73619">
      <w:pPr>
        <w:keepNext w:val="0"/>
        <w:keepLines w:val="0"/>
        <w:widowControl w:val="0"/>
        <w:suppressLineNumbers w:val="0"/>
        <w:spacing w:before="0" w:beforeAutospacing="0" w:after="0" w:afterAutospacing="0" w:line="600" w:lineRule="exact"/>
        <w:ind w:left="0" w:right="0" w:firstLine="640"/>
        <w:jc w:val="both"/>
        <w:rPr>
          <w:rFonts w:hint="eastAsia" w:ascii="CESI仿宋-GB2312" w:hAnsi="CESI仿宋-GB2312" w:eastAsia="CESI仿宋-GB2312" w:cs="CESI仿宋-GB2312"/>
          <w:b w:val="0"/>
          <w:bCs w:val="0"/>
          <w:kern w:val="2"/>
          <w:sz w:val="32"/>
          <w:szCs w:val="32"/>
        </w:rPr>
      </w:pPr>
      <w:r>
        <w:rPr>
          <w:rFonts w:hint="eastAsia" w:ascii="CESI仿宋-GB2312" w:hAnsi="CESI仿宋-GB2312" w:eastAsia="CESI仿宋-GB2312" w:cs="CESI仿宋-GB2312"/>
          <w:b w:val="0"/>
          <w:bCs w:val="0"/>
          <w:kern w:val="2"/>
          <w:sz w:val="32"/>
          <w:szCs w:val="32"/>
          <w:lang w:val="en-US" w:eastAsia="zh-CN" w:bidi="ar"/>
        </w:rPr>
        <w:t>（2）其他计划生育事务支出（99项）:支出决算为1060.7万元，完成预算100%，决算数等于预算数。</w:t>
      </w:r>
    </w:p>
    <w:p w14:paraId="4FF26E9B">
      <w:pPr>
        <w:keepNext w:val="0"/>
        <w:keepLines w:val="0"/>
        <w:widowControl w:val="0"/>
        <w:suppressLineNumbers w:val="0"/>
        <w:spacing w:before="0" w:beforeAutospacing="0" w:after="0" w:afterAutospacing="0" w:line="600" w:lineRule="exact"/>
        <w:ind w:left="0" w:right="0" w:firstLine="640"/>
        <w:jc w:val="both"/>
        <w:rPr>
          <w:rFonts w:hint="eastAsia" w:ascii="CESI仿宋-GB2312" w:hAnsi="CESI仿宋-GB2312" w:eastAsia="CESI仿宋-GB2312" w:cs="CESI仿宋-GB2312"/>
          <w:b w:val="0"/>
          <w:bCs w:val="0"/>
          <w:kern w:val="2"/>
          <w:sz w:val="32"/>
          <w:szCs w:val="32"/>
        </w:rPr>
      </w:pPr>
      <w:r>
        <w:rPr>
          <w:rFonts w:hint="eastAsia" w:ascii="CESI仿宋-GB2312" w:hAnsi="CESI仿宋-GB2312" w:eastAsia="CESI仿宋-GB2312" w:cs="CESI仿宋-GB2312"/>
          <w:b w:val="0"/>
          <w:bCs w:val="0"/>
          <w:kern w:val="2"/>
          <w:sz w:val="32"/>
          <w:szCs w:val="32"/>
          <w:lang w:val="en-US" w:eastAsia="zh-CN" w:bidi="ar"/>
        </w:rPr>
        <w:t>9.卫生健康支出（210类）行政事业单位医疗（11款）:支出决算为760.92万元，完成预算100%，决算数等于预算数。</w:t>
      </w:r>
    </w:p>
    <w:p w14:paraId="5F0726B2">
      <w:pPr>
        <w:keepNext w:val="0"/>
        <w:keepLines w:val="0"/>
        <w:widowControl w:val="0"/>
        <w:suppressLineNumbers w:val="0"/>
        <w:spacing w:before="0" w:beforeAutospacing="0" w:after="0" w:afterAutospacing="0" w:line="600" w:lineRule="exact"/>
        <w:ind w:left="0" w:right="0" w:firstLine="640"/>
        <w:jc w:val="both"/>
        <w:rPr>
          <w:rFonts w:hint="eastAsia" w:ascii="CESI仿宋-GB2312" w:hAnsi="CESI仿宋-GB2312" w:eastAsia="CESI仿宋-GB2312" w:cs="CESI仿宋-GB2312"/>
          <w:b w:val="0"/>
          <w:bCs w:val="0"/>
          <w:kern w:val="2"/>
          <w:sz w:val="32"/>
          <w:szCs w:val="32"/>
        </w:rPr>
      </w:pPr>
      <w:r>
        <w:rPr>
          <w:rFonts w:hint="eastAsia" w:ascii="CESI仿宋-GB2312" w:hAnsi="CESI仿宋-GB2312" w:eastAsia="CESI仿宋-GB2312" w:cs="CESI仿宋-GB2312"/>
          <w:b w:val="0"/>
          <w:bCs w:val="0"/>
          <w:kern w:val="2"/>
          <w:sz w:val="32"/>
          <w:szCs w:val="32"/>
          <w:lang w:val="en-US" w:eastAsia="zh-CN" w:bidi="ar"/>
        </w:rPr>
        <w:t>（1）行政单位医疗（01项）:支出决算为21.24万元，完成预算100%，决算数等于预算数。</w:t>
      </w:r>
    </w:p>
    <w:p w14:paraId="1527BCE6">
      <w:pPr>
        <w:keepNext w:val="0"/>
        <w:keepLines w:val="0"/>
        <w:widowControl w:val="0"/>
        <w:suppressLineNumbers w:val="0"/>
        <w:spacing w:before="0" w:beforeAutospacing="0" w:after="0" w:afterAutospacing="0" w:line="600" w:lineRule="exact"/>
        <w:ind w:left="0" w:right="0" w:firstLine="640"/>
        <w:jc w:val="both"/>
        <w:rPr>
          <w:rFonts w:hint="eastAsia" w:ascii="CESI仿宋-GB2312" w:hAnsi="CESI仿宋-GB2312" w:eastAsia="CESI仿宋-GB2312" w:cs="CESI仿宋-GB2312"/>
          <w:b w:val="0"/>
          <w:bCs w:val="0"/>
          <w:kern w:val="2"/>
          <w:sz w:val="32"/>
          <w:szCs w:val="32"/>
        </w:rPr>
      </w:pPr>
      <w:r>
        <w:rPr>
          <w:rFonts w:hint="eastAsia" w:ascii="CESI仿宋-GB2312" w:hAnsi="CESI仿宋-GB2312" w:eastAsia="CESI仿宋-GB2312" w:cs="CESI仿宋-GB2312"/>
          <w:b w:val="0"/>
          <w:bCs w:val="0"/>
          <w:kern w:val="2"/>
          <w:sz w:val="32"/>
          <w:szCs w:val="32"/>
          <w:lang w:val="en-US" w:eastAsia="zh-CN" w:bidi="ar"/>
        </w:rPr>
        <w:t>（2）事业单位医疗（02项）:支出决算为454.29万元，完成预算100%，决算数等于预算数。</w:t>
      </w:r>
    </w:p>
    <w:p w14:paraId="64D9CE4A">
      <w:pPr>
        <w:keepNext w:val="0"/>
        <w:keepLines w:val="0"/>
        <w:widowControl w:val="0"/>
        <w:suppressLineNumbers w:val="0"/>
        <w:spacing w:before="0" w:beforeAutospacing="0" w:after="0" w:afterAutospacing="0" w:line="600" w:lineRule="exact"/>
        <w:ind w:left="0" w:right="0" w:firstLine="640"/>
        <w:jc w:val="both"/>
        <w:rPr>
          <w:rFonts w:hint="eastAsia" w:ascii="CESI仿宋-GB2312" w:hAnsi="CESI仿宋-GB2312" w:eastAsia="CESI仿宋-GB2312" w:cs="CESI仿宋-GB2312"/>
          <w:b w:val="0"/>
          <w:bCs w:val="0"/>
          <w:kern w:val="2"/>
          <w:sz w:val="32"/>
          <w:szCs w:val="32"/>
        </w:rPr>
      </w:pPr>
      <w:r>
        <w:rPr>
          <w:rFonts w:hint="eastAsia" w:ascii="CESI仿宋-GB2312" w:hAnsi="CESI仿宋-GB2312" w:eastAsia="CESI仿宋-GB2312" w:cs="CESI仿宋-GB2312"/>
          <w:b w:val="0"/>
          <w:bCs w:val="0"/>
          <w:kern w:val="2"/>
          <w:sz w:val="32"/>
          <w:szCs w:val="32"/>
          <w:lang w:val="en-US" w:eastAsia="zh-CN" w:bidi="ar"/>
        </w:rPr>
        <w:t>（3）公务员医疗补助（03项）:支出决算为2.44万元，完成预算100%，决算数等于预算数。</w:t>
      </w:r>
    </w:p>
    <w:p w14:paraId="1EE1D6E5">
      <w:pPr>
        <w:keepNext w:val="0"/>
        <w:keepLines w:val="0"/>
        <w:widowControl w:val="0"/>
        <w:suppressLineNumbers w:val="0"/>
        <w:spacing w:before="0" w:beforeAutospacing="0" w:after="0" w:afterAutospacing="0" w:line="600" w:lineRule="exact"/>
        <w:ind w:left="0" w:right="0" w:firstLine="640"/>
        <w:jc w:val="both"/>
        <w:rPr>
          <w:rFonts w:hint="eastAsia" w:ascii="CESI仿宋-GB2312" w:hAnsi="CESI仿宋-GB2312" w:eastAsia="CESI仿宋-GB2312" w:cs="CESI仿宋-GB2312"/>
          <w:b w:val="0"/>
          <w:bCs w:val="0"/>
          <w:kern w:val="2"/>
          <w:sz w:val="32"/>
          <w:szCs w:val="32"/>
        </w:rPr>
      </w:pPr>
      <w:r>
        <w:rPr>
          <w:rFonts w:hint="eastAsia" w:ascii="CESI仿宋-GB2312" w:hAnsi="CESI仿宋-GB2312" w:eastAsia="CESI仿宋-GB2312" w:cs="CESI仿宋-GB2312"/>
          <w:b w:val="0"/>
          <w:bCs w:val="0"/>
          <w:kern w:val="2"/>
          <w:sz w:val="32"/>
          <w:szCs w:val="32"/>
          <w:lang w:val="en-US" w:eastAsia="zh-CN" w:bidi="ar"/>
        </w:rPr>
        <w:t>（4）其他行政事业单位医疗支出（99项）:支出决算为282.96万元，完成预算100%，决算数等于预算数。</w:t>
      </w:r>
    </w:p>
    <w:p w14:paraId="1341AE78">
      <w:pPr>
        <w:keepNext w:val="0"/>
        <w:keepLines w:val="0"/>
        <w:widowControl w:val="0"/>
        <w:suppressLineNumbers w:val="0"/>
        <w:spacing w:before="0" w:beforeAutospacing="0" w:after="0" w:afterAutospacing="0" w:line="600" w:lineRule="exact"/>
        <w:ind w:left="0" w:right="0" w:firstLine="640"/>
        <w:jc w:val="both"/>
        <w:rPr>
          <w:rFonts w:hint="eastAsia" w:ascii="CESI仿宋-GB2312" w:hAnsi="CESI仿宋-GB2312" w:eastAsia="CESI仿宋-GB2312" w:cs="CESI仿宋-GB2312"/>
          <w:b w:val="0"/>
          <w:bCs w:val="0"/>
          <w:kern w:val="2"/>
          <w:sz w:val="32"/>
          <w:szCs w:val="32"/>
        </w:rPr>
      </w:pPr>
      <w:r>
        <w:rPr>
          <w:rFonts w:hint="eastAsia" w:ascii="CESI仿宋-GB2312" w:hAnsi="CESI仿宋-GB2312" w:eastAsia="CESI仿宋-GB2312" w:cs="CESI仿宋-GB2312"/>
          <w:b w:val="0"/>
          <w:bCs w:val="0"/>
          <w:kern w:val="2"/>
          <w:sz w:val="32"/>
          <w:szCs w:val="32"/>
          <w:lang w:val="en-US" w:eastAsia="zh-CN" w:bidi="ar"/>
        </w:rPr>
        <w:t>11.卫生健康支出（210类）其他卫生健康支出（99款）其他卫生健康支出（99项）:支出决算为897.77万元，完成预算100%，决算数等于预算数。</w:t>
      </w:r>
    </w:p>
    <w:p w14:paraId="4D726E9B">
      <w:pPr>
        <w:keepNext w:val="0"/>
        <w:keepLines w:val="0"/>
        <w:widowControl w:val="0"/>
        <w:suppressLineNumbers w:val="0"/>
        <w:spacing w:before="0" w:beforeAutospacing="0" w:after="0" w:afterAutospacing="0" w:line="600" w:lineRule="exact"/>
        <w:ind w:left="0" w:right="0" w:firstLine="640"/>
        <w:jc w:val="both"/>
        <w:rPr>
          <w:rFonts w:hint="eastAsia" w:ascii="CESI仿宋-GB2312" w:hAnsi="CESI仿宋-GB2312" w:eastAsia="CESI仿宋-GB2312" w:cs="CESI仿宋-GB2312"/>
          <w:b w:val="0"/>
          <w:bCs w:val="0"/>
          <w:kern w:val="2"/>
          <w:sz w:val="32"/>
          <w:szCs w:val="32"/>
          <w:lang w:val="en-US" w:eastAsia="zh-CN" w:bidi="ar"/>
        </w:rPr>
      </w:pPr>
      <w:r>
        <w:rPr>
          <w:rFonts w:hint="eastAsia" w:ascii="CESI仿宋-GB2312" w:hAnsi="CESI仿宋-GB2312" w:eastAsia="CESI仿宋-GB2312" w:cs="CESI仿宋-GB2312"/>
          <w:b w:val="0"/>
          <w:bCs w:val="0"/>
          <w:kern w:val="2"/>
          <w:sz w:val="32"/>
          <w:szCs w:val="32"/>
          <w:lang w:val="en-US" w:eastAsia="zh-CN" w:bidi="ar"/>
        </w:rPr>
        <w:t>12.卫生健康支出（210类）中医药事务（17款）其他中医药事务支出（99项）:支出决算为16.28万元，完成预算100%，决算数等于预算数。</w:t>
      </w:r>
    </w:p>
    <w:p w14:paraId="7A013EF5">
      <w:pPr>
        <w:keepNext w:val="0"/>
        <w:keepLines w:val="0"/>
        <w:widowControl w:val="0"/>
        <w:suppressLineNumbers w:val="0"/>
        <w:spacing w:before="0" w:beforeAutospacing="0" w:after="0" w:afterAutospacing="0" w:line="600" w:lineRule="exact"/>
        <w:ind w:left="0" w:right="0" w:firstLine="640"/>
        <w:jc w:val="both"/>
        <w:rPr>
          <w:rFonts w:hint="default" w:ascii="CESI仿宋-GB2312" w:hAnsi="CESI仿宋-GB2312" w:eastAsia="CESI仿宋-GB2312" w:cs="CESI仿宋-GB2312"/>
          <w:b w:val="0"/>
          <w:bCs w:val="0"/>
          <w:kern w:val="2"/>
          <w:sz w:val="32"/>
          <w:szCs w:val="32"/>
          <w:lang w:val="en-US" w:eastAsia="zh-CN" w:bidi="ar"/>
        </w:rPr>
      </w:pPr>
      <w:r>
        <w:rPr>
          <w:rFonts w:hint="eastAsia" w:ascii="CESI仿宋-GB2312" w:hAnsi="CESI仿宋-GB2312" w:eastAsia="CESI仿宋-GB2312" w:cs="CESI仿宋-GB2312"/>
          <w:b w:val="0"/>
          <w:bCs w:val="0"/>
          <w:kern w:val="2"/>
          <w:sz w:val="32"/>
          <w:szCs w:val="32"/>
          <w:lang w:val="en-US" w:eastAsia="zh-CN" w:bidi="ar"/>
        </w:rPr>
        <w:t>13.卫生健康支出（210类）疾病预防控制事务（18款）其他疾病预防控制事务支出（99项）:支出决算为9.97万元，完成预算100%，决算数等于预算数。</w:t>
      </w:r>
    </w:p>
    <w:p w14:paraId="23B9F115">
      <w:pPr>
        <w:keepNext w:val="0"/>
        <w:keepLines w:val="0"/>
        <w:widowControl w:val="0"/>
        <w:suppressLineNumbers w:val="0"/>
        <w:spacing w:before="0" w:beforeAutospacing="0" w:after="0" w:afterAutospacing="0" w:line="600" w:lineRule="exact"/>
        <w:ind w:left="0" w:right="0" w:firstLine="640"/>
        <w:jc w:val="both"/>
        <w:rPr>
          <w:rFonts w:hint="eastAsia" w:ascii="CESI仿宋-GB2312" w:hAnsi="CESI仿宋-GB2312" w:eastAsia="CESI仿宋-GB2312" w:cs="CESI仿宋-GB2312"/>
          <w:b w:val="0"/>
          <w:bCs w:val="0"/>
          <w:kern w:val="2"/>
          <w:sz w:val="32"/>
          <w:szCs w:val="32"/>
        </w:rPr>
      </w:pPr>
      <w:r>
        <w:rPr>
          <w:rFonts w:hint="eastAsia" w:ascii="CESI仿宋-GB2312" w:hAnsi="CESI仿宋-GB2312" w:eastAsia="CESI仿宋-GB2312" w:cs="CESI仿宋-GB2312"/>
          <w:b w:val="0"/>
          <w:bCs w:val="0"/>
          <w:kern w:val="2"/>
          <w:sz w:val="32"/>
          <w:szCs w:val="32"/>
          <w:lang w:val="en-US" w:eastAsia="zh-CN" w:bidi="ar"/>
        </w:rPr>
        <w:t xml:space="preserve">14.农林水支出（213类）巩固脱贫衔接乡村振兴（05款）其他巩固脱贫衔接乡村振兴支出（99项）:支出决算为196万元，完成预算100%，决算数等于预算数。  </w:t>
      </w:r>
    </w:p>
    <w:p w14:paraId="638CFC32">
      <w:pPr>
        <w:keepNext w:val="0"/>
        <w:keepLines w:val="0"/>
        <w:widowControl w:val="0"/>
        <w:suppressLineNumbers w:val="0"/>
        <w:spacing w:before="0" w:beforeAutospacing="0" w:after="0" w:afterAutospacing="0" w:line="600" w:lineRule="exact"/>
        <w:ind w:left="0" w:right="0" w:firstLine="640"/>
        <w:jc w:val="both"/>
        <w:rPr>
          <w:rFonts w:hint="eastAsia" w:ascii="CESI仿宋-GB2312" w:hAnsi="CESI仿宋-GB2312" w:eastAsia="CESI仿宋-GB2312" w:cs="CESI仿宋-GB2312"/>
          <w:b w:val="0"/>
          <w:bCs w:val="0"/>
          <w:kern w:val="2"/>
          <w:sz w:val="32"/>
          <w:szCs w:val="32"/>
        </w:rPr>
      </w:pPr>
      <w:r>
        <w:rPr>
          <w:rFonts w:hint="eastAsia" w:ascii="CESI仿宋-GB2312" w:hAnsi="CESI仿宋-GB2312" w:eastAsia="CESI仿宋-GB2312" w:cs="CESI仿宋-GB2312"/>
          <w:b w:val="0"/>
          <w:bCs w:val="0"/>
          <w:kern w:val="2"/>
          <w:sz w:val="32"/>
          <w:szCs w:val="32"/>
          <w:lang w:val="en-US" w:eastAsia="zh-CN" w:bidi="ar"/>
        </w:rPr>
        <w:t>15.住房保障支出（221类）住房改革支出（02款）住房公积金（01项）:支出决算为718.12万元，完成预算100%，决算数等于预算数。</w:t>
      </w:r>
    </w:p>
    <w:p w14:paraId="5AA5A9A6">
      <w:pPr>
        <w:spacing w:line="600" w:lineRule="exact"/>
        <w:rPr>
          <w:rFonts w:eastAsia="仿宋_GB2312" w:cs="仿宋_GB2312"/>
          <w:sz w:val="32"/>
          <w:szCs w:val="32"/>
        </w:rPr>
      </w:pPr>
    </w:p>
    <w:p w14:paraId="6CB59855">
      <w:pPr>
        <w:tabs>
          <w:tab w:val="right" w:pos="8306"/>
        </w:tabs>
        <w:spacing w:line="600" w:lineRule="exact"/>
        <w:ind w:firstLine="640"/>
        <w:outlineLvl w:val="1"/>
        <w:rPr>
          <w:rStyle w:val="30"/>
          <w:rFonts w:ascii="Times New Roman" w:hAnsi="Times New Roman"/>
        </w:rPr>
      </w:pPr>
      <w:bookmarkStart w:id="46" w:name="_Toc15396608"/>
      <w:bookmarkStart w:id="47" w:name="_Toc1512929697"/>
      <w:bookmarkStart w:id="48" w:name="_Toc15377214"/>
      <w:r>
        <w:rPr>
          <w:rFonts w:hint="eastAsia" w:eastAsia="黑体"/>
          <w:sz w:val="32"/>
          <w:szCs w:val="32"/>
        </w:rPr>
        <w:t>六</w:t>
      </w:r>
      <w:r>
        <w:rPr>
          <w:rFonts w:hint="eastAsia" w:eastAsia="黑体"/>
          <w:b/>
          <w:sz w:val="32"/>
          <w:szCs w:val="32"/>
        </w:rPr>
        <w:t>、一</w:t>
      </w:r>
      <w:r>
        <w:rPr>
          <w:rStyle w:val="30"/>
          <w:rFonts w:hint="eastAsia" w:ascii="Times New Roman" w:hAnsi="Times New Roman" w:eastAsia="黑体"/>
          <w:b w:val="0"/>
        </w:rPr>
        <w:t>般公共预算财政拨款基本支出决算情况说明</w:t>
      </w:r>
      <w:bookmarkEnd w:id="46"/>
      <w:bookmarkEnd w:id="47"/>
      <w:bookmarkEnd w:id="48"/>
      <w:r>
        <w:rPr>
          <w:rStyle w:val="30"/>
          <w:rFonts w:ascii="Times New Roman" w:hAnsi="Times New Roman" w:eastAsia="黑体"/>
          <w:b w:val="0"/>
        </w:rPr>
        <w:tab/>
      </w:r>
    </w:p>
    <w:p w14:paraId="11446AAE">
      <w:pPr>
        <w:spacing w:line="600" w:lineRule="exact"/>
        <w:ind w:firstLine="640"/>
        <w:rPr>
          <w:rFonts w:eastAsia="仿宋_GB2312" w:cs="仿宋_GB2312"/>
          <w:sz w:val="32"/>
          <w:szCs w:val="32"/>
        </w:rPr>
      </w:pPr>
      <w:r>
        <w:rPr>
          <w:rFonts w:hint="eastAsia" w:eastAsia="仿宋_GB2312" w:cs="仿宋_GB2312"/>
          <w:sz w:val="32"/>
          <w:szCs w:val="32"/>
        </w:rPr>
        <w:t>2024年度一般公共预算财政拨款基本支出</w:t>
      </w:r>
      <w:r>
        <w:rPr>
          <w:rFonts w:hint="eastAsia" w:ascii="仿宋_GB2312" w:hAnsi="仿宋_GB2312" w:eastAsia="仿宋_GB2312" w:cs="仿宋_GB2312"/>
          <w:sz w:val="32"/>
          <w:szCs w:val="32"/>
          <w:lang w:val="en-US" w:eastAsia="zh-CN"/>
        </w:rPr>
        <w:t>9723.05</w:t>
      </w:r>
      <w:r>
        <w:rPr>
          <w:rFonts w:hint="eastAsia" w:ascii="仿宋_GB2312" w:hAnsi="仿宋_GB2312" w:eastAsia="仿宋_GB2312" w:cs="仿宋_GB2312"/>
          <w:sz w:val="32"/>
          <w:szCs w:val="32"/>
        </w:rPr>
        <w:t>万</w:t>
      </w:r>
      <w:r>
        <w:rPr>
          <w:rFonts w:hint="eastAsia" w:eastAsia="仿宋_GB2312" w:cs="仿宋_GB2312"/>
          <w:sz w:val="32"/>
          <w:szCs w:val="32"/>
        </w:rPr>
        <w:t>元，其中：</w:t>
      </w:r>
    </w:p>
    <w:p w14:paraId="520643A3">
      <w:pPr>
        <w:spacing w:line="600" w:lineRule="exact"/>
        <w:ind w:firstLine="640"/>
        <w:rPr>
          <w:rFonts w:eastAsia="仿宋_GB2312" w:cs="仿宋_GB2312"/>
          <w:sz w:val="32"/>
          <w:szCs w:val="32"/>
        </w:rPr>
      </w:pPr>
      <w:r>
        <w:rPr>
          <w:rFonts w:hint="eastAsia" w:eastAsia="仿宋_GB2312" w:cs="仿宋_GB2312"/>
          <w:sz w:val="32"/>
          <w:szCs w:val="32"/>
        </w:rPr>
        <w:t>人员经费</w:t>
      </w:r>
      <w:r>
        <w:rPr>
          <w:rFonts w:hint="eastAsia" w:ascii="仿宋_GB2312" w:hAnsi="仿宋_GB2312" w:eastAsia="仿宋_GB2312" w:cs="仿宋_GB2312"/>
          <w:sz w:val="32"/>
          <w:szCs w:val="32"/>
          <w:lang w:val="en-US" w:eastAsia="zh-CN"/>
        </w:rPr>
        <w:t>8731.17</w:t>
      </w:r>
      <w:r>
        <w:rPr>
          <w:rFonts w:hint="eastAsia" w:ascii="仿宋_GB2312" w:hAnsi="仿宋_GB2312" w:eastAsia="仿宋_GB2312" w:cs="仿宋_GB2312"/>
          <w:sz w:val="32"/>
          <w:szCs w:val="32"/>
        </w:rPr>
        <w:t>万</w:t>
      </w:r>
      <w:r>
        <w:rPr>
          <w:rFonts w:hint="eastAsia" w:eastAsia="仿宋_GB2312" w:cs="仿宋_GB2312"/>
          <w:sz w:val="32"/>
          <w:szCs w:val="32"/>
        </w:rPr>
        <w:t>元，主要包括：基本工资、津贴补贴、奖金、伙食补助费、绩效工资、机关事业单位基本养老保险缴费、职业年金缴费、其他社会保障缴费、其他工资福利支出、离休费、退休费、抚恤金、生活补助、医疗费补助、奖励金、住房公积金、其他对个人和家庭的补助支出等。</w:t>
      </w:r>
      <w:r>
        <w:rPr>
          <w:rFonts w:hint="eastAsia" w:eastAsia="仿宋_GB2312" w:cs="仿宋_GB2312"/>
          <w:sz w:val="32"/>
          <w:szCs w:val="32"/>
        </w:rPr>
        <w:br w:type="textWrapping"/>
      </w:r>
      <w:r>
        <w:rPr>
          <w:rFonts w:hint="eastAsia" w:eastAsia="仿宋_GB2312" w:cs="仿宋_GB2312"/>
          <w:sz w:val="32"/>
          <w:szCs w:val="32"/>
        </w:rPr>
        <w:t>　　公用经费</w:t>
      </w:r>
      <w:r>
        <w:rPr>
          <w:rFonts w:hint="eastAsia" w:ascii="仿宋_GB2312" w:hAnsi="仿宋_GB2312" w:eastAsia="仿宋_GB2312" w:cs="仿宋_GB2312"/>
          <w:sz w:val="32"/>
          <w:szCs w:val="32"/>
          <w:lang w:val="en-US" w:eastAsia="zh-CN"/>
        </w:rPr>
        <w:t>133.37</w:t>
      </w:r>
      <w:r>
        <w:rPr>
          <w:rFonts w:hint="eastAsia" w:ascii="仿宋_GB2312" w:hAnsi="仿宋_GB2312" w:eastAsia="仿宋_GB2312" w:cs="仿宋_GB2312"/>
          <w:sz w:val="32"/>
          <w:szCs w:val="32"/>
        </w:rPr>
        <w:t>万</w:t>
      </w:r>
      <w:r>
        <w:rPr>
          <w:rFonts w:hint="eastAsia" w:eastAsia="仿宋_GB2312" w:cs="仿宋_GB2312"/>
          <w:sz w:val="32"/>
          <w:szCs w:val="32"/>
        </w:rPr>
        <w:t>元，主要包括：办公费、印刷费、咨询费、手续费、水费、电费、邮电费、物业管理费、差旅费、因公出国（境）费用、维修（护）费、租赁费、会议费、培训费、劳务费、委托业务费、工会经费、福利费、公务用车运行维护费、其他交通费、税金及附加费用、其他商品和服务支出等。</w:t>
      </w:r>
    </w:p>
    <w:p w14:paraId="5F7A8469">
      <w:pPr>
        <w:spacing w:line="600" w:lineRule="exact"/>
        <w:ind w:firstLine="640"/>
        <w:rPr>
          <w:rFonts w:eastAsia="仿宋_GB2312" w:cs="仿宋_GB2312"/>
          <w:sz w:val="32"/>
          <w:szCs w:val="32"/>
        </w:rPr>
      </w:pPr>
    </w:p>
    <w:p w14:paraId="5C93CC2F">
      <w:pPr>
        <w:spacing w:line="600" w:lineRule="exact"/>
        <w:ind w:firstLine="640"/>
        <w:outlineLvl w:val="1"/>
        <w:rPr>
          <w:rStyle w:val="30"/>
          <w:rFonts w:ascii="Times New Roman" w:hAnsi="Times New Roman" w:eastAsia="黑体"/>
          <w:b w:val="0"/>
        </w:rPr>
      </w:pPr>
      <w:bookmarkStart w:id="49" w:name="_Toc471538784"/>
      <w:bookmarkStart w:id="50" w:name="_Toc15396609"/>
      <w:bookmarkStart w:id="51" w:name="_Toc15377215"/>
      <w:r>
        <w:rPr>
          <w:rFonts w:hint="eastAsia" w:eastAsia="黑体"/>
          <w:sz w:val="32"/>
          <w:szCs w:val="32"/>
        </w:rPr>
        <w:t>七、</w:t>
      </w:r>
      <w:r>
        <w:rPr>
          <w:rStyle w:val="30"/>
          <w:rFonts w:hint="eastAsia" w:ascii="Times New Roman" w:hAnsi="Times New Roman" w:eastAsia="黑体"/>
          <w:b w:val="0"/>
        </w:rPr>
        <w:t>财政拨款</w:t>
      </w:r>
      <w:r>
        <w:rPr>
          <w:rStyle w:val="30"/>
          <w:rFonts w:hint="eastAsia" w:ascii="Times New Roman" w:hAnsi="Times New Roman" w:eastAsia="黑体"/>
        </w:rPr>
        <w:t>“</w:t>
      </w:r>
      <w:r>
        <w:rPr>
          <w:rStyle w:val="30"/>
          <w:rFonts w:hint="eastAsia" w:ascii="Times New Roman" w:hAnsi="Times New Roman" w:eastAsia="黑体"/>
          <w:b w:val="0"/>
        </w:rPr>
        <w:t>三公”经费支出决算情况说明</w:t>
      </w:r>
      <w:bookmarkEnd w:id="49"/>
      <w:bookmarkEnd w:id="50"/>
      <w:bookmarkEnd w:id="51"/>
    </w:p>
    <w:p w14:paraId="2312E096">
      <w:pPr>
        <w:spacing w:line="600" w:lineRule="exact"/>
        <w:ind w:firstLine="643" w:firstLineChars="200"/>
        <w:outlineLvl w:val="2"/>
        <w:rPr>
          <w:rFonts w:eastAsia="楷体_GB2312" w:cs="楷体_GB2312"/>
          <w:b/>
          <w:sz w:val="32"/>
          <w:szCs w:val="32"/>
        </w:rPr>
      </w:pPr>
      <w:bookmarkStart w:id="52" w:name="_Toc1907178441"/>
      <w:bookmarkStart w:id="53" w:name="_Toc15377216"/>
      <w:r>
        <w:rPr>
          <w:rFonts w:hint="eastAsia" w:eastAsia="楷体_GB2312" w:cs="楷体_GB2312"/>
          <w:b/>
          <w:sz w:val="32"/>
          <w:szCs w:val="32"/>
        </w:rPr>
        <w:t>（一）“三公”经费财政拨款支出决算总体情况说明</w:t>
      </w:r>
      <w:bookmarkEnd w:id="52"/>
      <w:bookmarkEnd w:id="53"/>
    </w:p>
    <w:p w14:paraId="30BA6100">
      <w:pPr>
        <w:spacing w:line="600" w:lineRule="exact"/>
        <w:ind w:firstLine="640"/>
        <w:rPr>
          <w:rFonts w:eastAsia="仿宋_GB2312" w:cs="仿宋_GB2312"/>
          <w:b/>
          <w:bCs/>
          <w:sz w:val="32"/>
          <w:szCs w:val="32"/>
        </w:rPr>
      </w:pPr>
      <w:r>
        <w:rPr>
          <w:rFonts w:hint="eastAsia" w:eastAsia="仿宋_GB2312" w:cs="仿宋_GB2312"/>
          <w:sz w:val="32"/>
          <w:szCs w:val="32"/>
        </w:rPr>
        <w:t>2024年度“三公”经费财政拨款支出决算为</w:t>
      </w:r>
      <w:r>
        <w:rPr>
          <w:rFonts w:hint="eastAsia" w:ascii="国标黑体" w:hAnsi="国标黑体" w:eastAsia="国标黑体" w:cs="国标黑体"/>
          <w:sz w:val="32"/>
          <w:szCs w:val="32"/>
          <w:lang w:val="en-US" w:eastAsia="zh-CN"/>
        </w:rPr>
        <w:t>2.17</w:t>
      </w:r>
      <w:r>
        <w:rPr>
          <w:rFonts w:hint="eastAsia" w:ascii="仿宋_GB2312" w:hAnsi="仿宋_GB2312" w:eastAsia="仿宋_GB2312" w:cs="仿宋_GB2312"/>
          <w:sz w:val="32"/>
          <w:szCs w:val="32"/>
        </w:rPr>
        <w:t>万元，完成预算</w:t>
      </w:r>
      <w:r>
        <w:rPr>
          <w:rFonts w:hint="eastAsia" w:ascii="国标黑体" w:hAnsi="国标黑体" w:eastAsia="国标黑体" w:cs="国标黑体"/>
          <w:sz w:val="32"/>
          <w:szCs w:val="32"/>
          <w:lang w:val="en-US" w:eastAsia="zh-CN"/>
        </w:rPr>
        <w:t>100</w:t>
      </w:r>
      <w:r>
        <w:rPr>
          <w:rFonts w:hint="eastAsia" w:ascii="国标黑体" w:hAnsi="国标黑体" w:eastAsia="国标黑体" w:cs="国标黑体"/>
          <w:sz w:val="32"/>
          <w:szCs w:val="32"/>
        </w:rPr>
        <w:t>%</w:t>
      </w:r>
      <w:r>
        <w:rPr>
          <w:rFonts w:hint="eastAsia" w:ascii="仿宋_GB2312" w:hAnsi="仿宋_GB2312" w:eastAsia="仿宋_GB2312" w:cs="仿宋_GB2312"/>
          <w:sz w:val="32"/>
          <w:szCs w:val="32"/>
        </w:rPr>
        <w:t>，</w:t>
      </w:r>
      <w:r>
        <w:rPr>
          <w:rFonts w:hint="eastAsia" w:eastAsia="仿宋_GB2312" w:cs="仿宋_GB2312"/>
          <w:sz w:val="32"/>
          <w:szCs w:val="32"/>
        </w:rPr>
        <w:t>与预算数持平</w:t>
      </w:r>
      <w:r>
        <w:rPr>
          <w:rFonts w:hint="eastAsia" w:eastAsia="仿宋_GB2312" w:cs="仿宋_GB2312"/>
          <w:sz w:val="32"/>
          <w:szCs w:val="32"/>
          <w:lang w:eastAsia="zh-CN"/>
        </w:rPr>
        <w:t>。</w:t>
      </w:r>
      <w:r>
        <w:rPr>
          <w:rFonts w:hint="eastAsia" w:eastAsia="仿宋_GB2312" w:cs="仿宋_GB2312"/>
          <w:sz w:val="32"/>
          <w:szCs w:val="32"/>
        </w:rPr>
        <w:t>较上年度增加</w:t>
      </w:r>
      <w:r>
        <w:rPr>
          <w:rFonts w:hint="eastAsia" w:eastAsia="仿宋_GB2312" w:cs="仿宋_GB2312"/>
          <w:sz w:val="32"/>
          <w:szCs w:val="32"/>
          <w:lang w:val="en-US" w:eastAsia="zh-CN"/>
        </w:rPr>
        <w:t>1.37</w:t>
      </w:r>
      <w:r>
        <w:rPr>
          <w:rFonts w:hint="eastAsia" w:eastAsia="仿宋_GB2312" w:cs="仿宋_GB2312"/>
          <w:sz w:val="32"/>
          <w:szCs w:val="32"/>
        </w:rPr>
        <w:t>万元，增长</w:t>
      </w:r>
      <w:r>
        <w:rPr>
          <w:rFonts w:hint="eastAsia" w:ascii="国标黑体" w:hAnsi="国标黑体" w:eastAsia="国标黑体" w:cs="国标黑体"/>
          <w:sz w:val="32"/>
          <w:szCs w:val="32"/>
          <w:lang w:val="en-US" w:eastAsia="zh-CN"/>
        </w:rPr>
        <w:t>171.25</w:t>
      </w:r>
      <w:r>
        <w:rPr>
          <w:rFonts w:hint="eastAsia" w:ascii="国标黑体" w:hAnsi="国标黑体" w:eastAsia="国标黑体" w:cs="国标黑体"/>
          <w:sz w:val="32"/>
          <w:szCs w:val="32"/>
        </w:rPr>
        <w:t>%</w:t>
      </w:r>
      <w:r>
        <w:rPr>
          <w:rFonts w:hint="eastAsia" w:ascii="国标黑体" w:hAnsi="国标黑体" w:eastAsia="国标黑体" w:cs="国标黑体"/>
          <w:sz w:val="32"/>
          <w:szCs w:val="32"/>
          <w:lang w:eastAsia="zh-CN"/>
        </w:rPr>
        <w:t>，</w:t>
      </w:r>
      <w:r>
        <w:rPr>
          <w:rFonts w:hint="eastAsia" w:ascii="CESI仿宋-GB2312" w:hAnsi="CESI仿宋-GB2312" w:eastAsia="CESI仿宋-GB2312" w:cs="CESI仿宋-GB2312"/>
          <w:sz w:val="32"/>
          <w:szCs w:val="32"/>
          <w:lang w:eastAsia="zh-CN"/>
        </w:rPr>
        <w:t>增加的主要原因是今年新增县疾控中心和县卫生监督执法大队数据汇总到卫健局部门数据</w:t>
      </w:r>
      <w:r>
        <w:rPr>
          <w:rFonts w:hint="eastAsia" w:eastAsia="仿宋_GB2312" w:cs="仿宋_GB2312"/>
          <w:sz w:val="32"/>
          <w:szCs w:val="32"/>
          <w:lang w:eastAsia="zh-CN"/>
        </w:rPr>
        <w:t>。</w:t>
      </w:r>
    </w:p>
    <w:p w14:paraId="1020A14E">
      <w:pPr>
        <w:spacing w:line="600" w:lineRule="exact"/>
        <w:ind w:firstLine="643" w:firstLineChars="200"/>
        <w:outlineLvl w:val="2"/>
        <w:rPr>
          <w:rFonts w:eastAsia="楷体_GB2312" w:cs="楷体_GB2312"/>
          <w:b/>
          <w:sz w:val="32"/>
          <w:szCs w:val="32"/>
        </w:rPr>
      </w:pPr>
      <w:bookmarkStart w:id="54" w:name="_Toc1000949878"/>
      <w:bookmarkStart w:id="55" w:name="_Toc15377217"/>
      <w:r>
        <w:rPr>
          <w:rFonts w:hint="eastAsia" w:eastAsia="楷体_GB2312" w:cs="楷体_GB2312"/>
          <w:b/>
          <w:sz w:val="32"/>
          <w:szCs w:val="32"/>
        </w:rPr>
        <w:t>（二）“三公”经费财政拨款支出决算具体情况说明</w:t>
      </w:r>
      <w:bookmarkEnd w:id="54"/>
      <w:bookmarkEnd w:id="55"/>
    </w:p>
    <w:p w14:paraId="4F6A6ED8">
      <w:pPr>
        <w:spacing w:line="600" w:lineRule="exact"/>
        <w:ind w:firstLine="64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2024年度“三公”经费财政拨款支出决算中，因公出国（境）费支出决算</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%；公务用车购置及运行维护费支出决算</w:t>
      </w:r>
      <w:r>
        <w:rPr>
          <w:rFonts w:hint="eastAsia" w:ascii="仿宋_GB2312" w:hAnsi="仿宋_GB2312" w:eastAsia="仿宋_GB2312" w:cs="仿宋_GB2312"/>
          <w:sz w:val="32"/>
          <w:szCs w:val="32"/>
          <w:lang w:val="en-US" w:eastAsia="zh-CN"/>
        </w:rPr>
        <w:t>2.17</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100</w:t>
      </w:r>
      <w:r>
        <w:rPr>
          <w:rFonts w:hint="eastAsia" w:ascii="仿宋_GB2312" w:hAnsi="仿宋_GB2312" w:eastAsia="仿宋_GB2312" w:cs="仿宋_GB2312"/>
          <w:sz w:val="32"/>
          <w:szCs w:val="32"/>
        </w:rPr>
        <w:t>%；公务接待费支出决算</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w:t>
      </w:r>
      <w:r>
        <w:rPr>
          <w:rFonts w:hint="eastAsia" w:ascii="仿宋_GB2312" w:hAnsi="仿宋_GB2312" w:eastAsia="仿宋_GB2312" w:cs="仿宋_GB2312"/>
          <w:sz w:val="32"/>
          <w:szCs w:val="32"/>
          <w:lang w:eastAsia="zh-CN"/>
        </w:rPr>
        <w:drawing>
          <wp:anchor distT="0" distB="0" distL="114300" distR="114300" simplePos="0" relativeHeight="251666432" behindDoc="0" locked="0" layoutInCell="1" allowOverlap="1">
            <wp:simplePos x="0" y="0"/>
            <wp:positionH relativeFrom="column">
              <wp:posOffset>55880</wp:posOffset>
            </wp:positionH>
            <wp:positionV relativeFrom="paragraph">
              <wp:posOffset>527685</wp:posOffset>
            </wp:positionV>
            <wp:extent cx="5256530" cy="2988310"/>
            <wp:effectExtent l="5080" t="4445" r="15240" b="17145"/>
            <wp:wrapTopAndBottom/>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anchor>
        </w:drawing>
      </w:r>
      <w:r>
        <w:rPr>
          <w:rFonts w:hint="eastAsia" w:ascii="仿宋_GB2312" w:hAnsi="仿宋_GB2312" w:eastAsia="仿宋_GB2312" w:cs="仿宋_GB2312"/>
          <w:sz w:val="32"/>
          <w:szCs w:val="32"/>
        </w:rPr>
        <w:t>元，占</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%。具体情况如下：</w:t>
      </w:r>
    </w:p>
    <w:p w14:paraId="45D94F5B">
      <w:pPr>
        <w:spacing w:line="600" w:lineRule="exact"/>
        <w:ind w:firstLine="640"/>
        <w:jc w:val="center"/>
        <w:rPr>
          <w:rFonts w:eastAsia="仿宋_GB2312" w:cs="仿宋_GB2312"/>
          <w:sz w:val="32"/>
          <w:szCs w:val="32"/>
        </w:rPr>
      </w:pPr>
      <w:r>
        <w:rPr>
          <w:rFonts w:hint="eastAsia" w:eastAsia="仿宋_GB2312" w:cs="仿宋_GB2312"/>
          <w:sz w:val="32"/>
          <w:szCs w:val="32"/>
        </w:rPr>
        <w:t>（图7：“三公”经费财政拨款支出结构）</w:t>
      </w:r>
    </w:p>
    <w:p w14:paraId="79065B40">
      <w:pPr>
        <w:spacing w:line="600" w:lineRule="exact"/>
        <w:ind w:firstLine="640"/>
        <w:rPr>
          <w:rFonts w:hint="eastAsia" w:eastAsia="仿宋_GB2312" w:cs="仿宋_GB2312"/>
          <w:sz w:val="32"/>
          <w:szCs w:val="32"/>
          <w:lang w:eastAsia="zh-CN"/>
        </w:rPr>
      </w:pPr>
      <w:r>
        <w:rPr>
          <w:rFonts w:hint="eastAsia" w:eastAsia="仿宋_GB2312" w:cs="仿宋_GB2312"/>
          <w:b w:val="0"/>
          <w:bCs w:val="0"/>
          <w:sz w:val="32"/>
          <w:szCs w:val="32"/>
        </w:rPr>
        <w:t>1.</w:t>
      </w:r>
      <w:r>
        <w:rPr>
          <w:rFonts w:hint="eastAsia" w:eastAsia="仿宋_GB2312" w:cs="仿宋_GB2312"/>
          <w:b/>
          <w:bCs/>
          <w:sz w:val="32"/>
          <w:szCs w:val="32"/>
        </w:rPr>
        <w:t>因公出国（境）经费支出</w:t>
      </w:r>
      <w:r>
        <w:rPr>
          <w:rFonts w:hint="eastAsia" w:eastAsia="仿宋_GB2312" w:cs="仿宋_GB2312"/>
          <w:b w:val="0"/>
          <w:bCs w:val="0"/>
          <w:sz w:val="32"/>
          <w:szCs w:val="32"/>
          <w:lang w:val="en-US" w:eastAsia="zh-CN"/>
        </w:rPr>
        <w:t>0</w:t>
      </w:r>
      <w:r>
        <w:rPr>
          <w:rFonts w:hint="eastAsia" w:eastAsia="仿宋_GB2312" w:cs="仿宋_GB2312"/>
          <w:b/>
          <w:bCs/>
          <w:sz w:val="32"/>
          <w:szCs w:val="32"/>
        </w:rPr>
        <w:t>万元，完成预算</w:t>
      </w:r>
      <w:r>
        <w:rPr>
          <w:rFonts w:hint="eastAsia" w:eastAsia="仿宋_GB2312" w:cs="仿宋_GB2312"/>
          <w:b w:val="0"/>
          <w:bCs w:val="0"/>
          <w:sz w:val="32"/>
          <w:szCs w:val="32"/>
          <w:lang w:val="en-US" w:eastAsia="zh-CN"/>
        </w:rPr>
        <w:t>0</w:t>
      </w:r>
      <w:r>
        <w:rPr>
          <w:rFonts w:hint="eastAsia" w:eastAsia="仿宋_GB2312" w:cs="仿宋_GB2312"/>
          <w:b w:val="0"/>
          <w:bCs w:val="0"/>
          <w:sz w:val="32"/>
          <w:szCs w:val="32"/>
        </w:rPr>
        <w:t>%</w:t>
      </w:r>
      <w:r>
        <w:rPr>
          <w:rFonts w:hint="eastAsia" w:eastAsia="仿宋_GB2312" w:cs="仿宋_GB2312"/>
          <w:b/>
          <w:bCs/>
          <w:sz w:val="32"/>
          <w:szCs w:val="32"/>
        </w:rPr>
        <w:t>。</w:t>
      </w:r>
      <w:r>
        <w:rPr>
          <w:rFonts w:hint="eastAsia" w:eastAsia="仿宋_GB2312" w:cs="仿宋_GB2312"/>
          <w:sz w:val="32"/>
          <w:szCs w:val="32"/>
        </w:rPr>
        <w:t>全年</w:t>
      </w:r>
      <w:r>
        <w:rPr>
          <w:rFonts w:hint="eastAsia" w:eastAsia="仿宋_GB2312" w:cs="仿宋_GB2312"/>
          <w:sz w:val="32"/>
          <w:szCs w:val="32"/>
          <w:lang w:eastAsia="zh-CN"/>
        </w:rPr>
        <w:t>未</w:t>
      </w:r>
      <w:r>
        <w:rPr>
          <w:rFonts w:hint="eastAsia" w:eastAsia="仿宋_GB2312" w:cs="仿宋_GB2312"/>
          <w:sz w:val="32"/>
          <w:szCs w:val="32"/>
        </w:rPr>
        <w:t>安排因公出国（境）</w:t>
      </w:r>
      <w:r>
        <w:rPr>
          <w:rFonts w:hint="eastAsia" w:eastAsia="仿宋_GB2312" w:cs="仿宋_GB2312"/>
          <w:sz w:val="32"/>
          <w:szCs w:val="32"/>
          <w:lang w:eastAsia="zh-CN"/>
        </w:rPr>
        <w:t>。</w:t>
      </w:r>
      <w:r>
        <w:rPr>
          <w:rFonts w:hint="eastAsia" w:eastAsia="仿宋_GB2312" w:cs="仿宋_GB2312"/>
          <w:sz w:val="32"/>
          <w:szCs w:val="32"/>
        </w:rPr>
        <w:t>因公出国（境）支出决算比2023</w:t>
      </w:r>
      <w:r>
        <w:rPr>
          <w:rFonts w:hint="eastAsia" w:eastAsia="仿宋_GB2312" w:cs="仿宋_GB2312"/>
          <w:sz w:val="32"/>
          <w:szCs w:val="32"/>
          <w:lang w:eastAsia="zh-CN"/>
        </w:rPr>
        <w:t>年持平。</w:t>
      </w:r>
    </w:p>
    <w:p w14:paraId="3E78214A">
      <w:pPr>
        <w:keepNext w:val="0"/>
        <w:keepLines w:val="0"/>
        <w:widowControl w:val="0"/>
        <w:suppressLineNumbers w:val="0"/>
        <w:spacing w:before="0" w:beforeAutospacing="0" w:after="0" w:afterAutospacing="0"/>
        <w:ind w:left="0" w:right="0" w:firstLine="640" w:firstLineChars="200"/>
        <w:jc w:val="both"/>
      </w:pPr>
      <w:r>
        <w:rPr>
          <w:rFonts w:hint="eastAsia" w:eastAsia="仿宋_GB2312" w:cs="仿宋_GB2312"/>
          <w:b w:val="0"/>
          <w:bCs w:val="0"/>
          <w:sz w:val="32"/>
          <w:szCs w:val="32"/>
        </w:rPr>
        <w:t>2.</w:t>
      </w:r>
      <w:r>
        <w:rPr>
          <w:rFonts w:hint="eastAsia" w:eastAsia="仿宋_GB2312" w:cs="仿宋_GB2312"/>
          <w:b/>
          <w:bCs/>
          <w:sz w:val="32"/>
          <w:szCs w:val="32"/>
        </w:rPr>
        <w:t>公务用车购置及运行维护费支出</w:t>
      </w:r>
      <w:r>
        <w:rPr>
          <w:rFonts w:hint="eastAsia" w:ascii="仿宋_GB2312" w:hAnsi="仿宋_GB2312" w:eastAsia="仿宋_GB2312" w:cs="仿宋_GB2312"/>
          <w:b/>
          <w:bCs/>
          <w:sz w:val="32"/>
          <w:szCs w:val="32"/>
          <w:lang w:val="en-US" w:eastAsia="zh-CN"/>
        </w:rPr>
        <w:t>2.17</w:t>
      </w:r>
      <w:r>
        <w:rPr>
          <w:rFonts w:hint="eastAsia" w:ascii="仿宋_GB2312" w:hAnsi="仿宋_GB2312" w:eastAsia="仿宋_GB2312" w:cs="仿宋_GB2312"/>
          <w:b/>
          <w:bCs/>
          <w:sz w:val="32"/>
          <w:szCs w:val="32"/>
        </w:rPr>
        <w:t>万</w:t>
      </w:r>
      <w:r>
        <w:rPr>
          <w:rFonts w:hint="eastAsia" w:eastAsia="仿宋_GB2312" w:cs="仿宋_GB2312"/>
          <w:b/>
          <w:bCs/>
          <w:sz w:val="32"/>
          <w:szCs w:val="32"/>
        </w:rPr>
        <w:t>元，完成预算</w:t>
      </w:r>
      <w:r>
        <w:rPr>
          <w:rFonts w:hint="eastAsia" w:eastAsia="仿宋_GB2312" w:cs="仿宋_GB2312"/>
          <w:b w:val="0"/>
          <w:bCs w:val="0"/>
          <w:sz w:val="32"/>
          <w:szCs w:val="32"/>
          <w:lang w:val="en-US" w:eastAsia="zh-CN"/>
        </w:rPr>
        <w:t>100</w:t>
      </w:r>
      <w:r>
        <w:rPr>
          <w:rFonts w:hint="eastAsia" w:eastAsia="仿宋_GB2312" w:cs="仿宋_GB2312"/>
          <w:b w:val="0"/>
          <w:bCs w:val="0"/>
          <w:sz w:val="32"/>
          <w:szCs w:val="32"/>
        </w:rPr>
        <w:t>%。</w:t>
      </w:r>
      <w:r>
        <w:rPr>
          <w:rFonts w:hint="eastAsia" w:eastAsia="仿宋_GB2312" w:cs="仿宋_GB2312"/>
          <w:sz w:val="32"/>
          <w:szCs w:val="32"/>
        </w:rPr>
        <w:t>公务用车购置及运行维护费支出决算比2023年度增加</w:t>
      </w:r>
      <w:r>
        <w:rPr>
          <w:rFonts w:hint="eastAsia" w:eastAsia="仿宋_GB2312" w:cs="仿宋_GB2312"/>
          <w:sz w:val="32"/>
          <w:szCs w:val="32"/>
          <w:lang w:val="en-US" w:eastAsia="zh-CN"/>
        </w:rPr>
        <w:t>1.38</w:t>
      </w:r>
      <w:r>
        <w:rPr>
          <w:rFonts w:hint="eastAsia" w:eastAsia="仿宋_GB2312" w:cs="仿宋_GB2312"/>
          <w:sz w:val="32"/>
          <w:szCs w:val="32"/>
        </w:rPr>
        <w:t>万元，增长</w:t>
      </w:r>
      <w:r>
        <w:rPr>
          <w:rFonts w:hint="eastAsia" w:eastAsia="仿宋_GB2312" w:cs="仿宋_GB2312"/>
          <w:sz w:val="32"/>
          <w:szCs w:val="32"/>
          <w:lang w:val="en-US" w:eastAsia="zh-CN"/>
        </w:rPr>
        <w:t>171.25</w:t>
      </w:r>
      <w:r>
        <w:rPr>
          <w:rFonts w:hint="eastAsia" w:eastAsia="仿宋_GB2312" w:cs="仿宋_GB2312"/>
          <w:sz w:val="32"/>
          <w:szCs w:val="32"/>
        </w:rPr>
        <w:t>%。主要原因是</w:t>
      </w:r>
      <w:r>
        <w:rPr>
          <w:rFonts w:hint="eastAsia" w:ascii="CESI仿宋-GB2312" w:hAnsi="CESI仿宋-GB2312" w:eastAsia="CESI仿宋-GB2312" w:cs="CESI仿宋-GB2312"/>
          <w:kern w:val="2"/>
          <w:sz w:val="32"/>
          <w:szCs w:val="32"/>
          <w:lang w:val="en-US" w:eastAsia="zh-CN" w:bidi="ar"/>
        </w:rPr>
        <w:t>今年新增县疾控中心和县卫生监督执法大队数据汇总到卫健局部门数据</w:t>
      </w:r>
      <w:r>
        <w:rPr>
          <w:rFonts w:hint="default" w:ascii="仿宋_GB2312" w:hAnsi="Times New Roman" w:eastAsia="仿宋_GB2312" w:cs="仿宋_GB2312"/>
          <w:kern w:val="2"/>
          <w:sz w:val="32"/>
          <w:szCs w:val="32"/>
          <w:lang w:val="en-US" w:eastAsia="zh-CN" w:bidi="ar"/>
        </w:rPr>
        <w:t>。</w:t>
      </w:r>
    </w:p>
    <w:p w14:paraId="58236E95">
      <w:pPr>
        <w:spacing w:line="600" w:lineRule="exact"/>
        <w:ind w:firstLine="640"/>
        <w:rPr>
          <w:rFonts w:eastAsia="仿宋_GB2312" w:cs="仿宋_GB2312"/>
          <w:sz w:val="32"/>
          <w:szCs w:val="32"/>
        </w:rPr>
      </w:pPr>
      <w:r>
        <w:rPr>
          <w:rFonts w:hint="eastAsia" w:eastAsia="仿宋_GB2312" w:cs="仿宋_GB2312"/>
          <w:sz w:val="32"/>
          <w:szCs w:val="32"/>
        </w:rPr>
        <w:t>其中：公务用车购置支</w:t>
      </w:r>
      <w:r>
        <w:rPr>
          <w:rFonts w:hint="eastAsia" w:ascii="仿宋_GB2312" w:hAnsi="仿宋_GB2312" w:eastAsia="仿宋_GB2312" w:cs="仿宋_GB2312"/>
          <w:sz w:val="32"/>
          <w:szCs w:val="32"/>
        </w:rPr>
        <w:t>出</w:t>
      </w:r>
      <w:r>
        <w:rPr>
          <w:rFonts w:hint="eastAsia" w:ascii="仿宋_GB2312" w:hAnsi="仿宋_GB2312" w:eastAsia="仿宋_GB2312" w:cs="仿宋_GB2312"/>
          <w:sz w:val="32"/>
          <w:szCs w:val="32"/>
          <w:lang w:val="en-US" w:eastAsia="zh-CN"/>
        </w:rPr>
        <w:t>0</w:t>
      </w:r>
      <w:r>
        <w:rPr>
          <w:rFonts w:hint="eastAsia" w:eastAsia="仿宋_GB2312" w:cs="仿宋_GB2312"/>
          <w:sz w:val="32"/>
          <w:szCs w:val="32"/>
        </w:rPr>
        <w:t>万元。全年按规定更新购置公务用车</w:t>
      </w:r>
      <w:r>
        <w:rPr>
          <w:rFonts w:hint="eastAsia" w:eastAsia="仿宋_GB2312" w:cs="仿宋_GB2312"/>
          <w:sz w:val="32"/>
          <w:szCs w:val="32"/>
          <w:lang w:val="en-US" w:eastAsia="zh-CN"/>
        </w:rPr>
        <w:t>0</w:t>
      </w:r>
      <w:r>
        <w:rPr>
          <w:rFonts w:hint="eastAsia" w:eastAsia="仿宋_GB2312" w:cs="仿宋_GB2312"/>
          <w:sz w:val="32"/>
          <w:szCs w:val="32"/>
        </w:rPr>
        <w:t>辆。截至2024年12月31日，单位共有公务用车</w:t>
      </w:r>
      <w:r>
        <w:rPr>
          <w:rFonts w:hint="eastAsia" w:eastAsia="仿宋_GB2312" w:cs="仿宋_GB2312"/>
          <w:sz w:val="32"/>
          <w:szCs w:val="32"/>
          <w:lang w:val="en-US" w:eastAsia="zh-CN"/>
        </w:rPr>
        <w:t>35</w:t>
      </w:r>
      <w:r>
        <w:rPr>
          <w:rFonts w:hint="eastAsia" w:eastAsia="仿宋_GB2312" w:cs="仿宋_GB2312"/>
          <w:sz w:val="32"/>
          <w:szCs w:val="32"/>
        </w:rPr>
        <w:t>辆，其中：</w:t>
      </w:r>
      <w:r>
        <w:rPr>
          <w:rFonts w:hint="eastAsia" w:eastAsia="仿宋_GB2312" w:cs="仿宋_GB2312"/>
          <w:sz w:val="32"/>
          <w:szCs w:val="32"/>
          <w:lang w:eastAsia="zh-CN"/>
        </w:rPr>
        <w:t>应急保障用车</w:t>
      </w:r>
      <w:r>
        <w:rPr>
          <w:rFonts w:hint="eastAsia" w:eastAsia="仿宋_GB2312" w:cs="仿宋_GB2312"/>
          <w:sz w:val="32"/>
          <w:szCs w:val="32"/>
          <w:lang w:val="en-US" w:eastAsia="zh-CN"/>
        </w:rPr>
        <w:t>1辆，特种专业技术用车29辆，其他用车5辆</w:t>
      </w:r>
      <w:r>
        <w:rPr>
          <w:rFonts w:hint="eastAsia" w:eastAsia="仿宋_GB2312" w:cs="仿宋_GB2312"/>
          <w:sz w:val="32"/>
          <w:szCs w:val="32"/>
        </w:rPr>
        <w:t>。</w:t>
      </w:r>
    </w:p>
    <w:p w14:paraId="33569135">
      <w:pPr>
        <w:keepNext w:val="0"/>
        <w:keepLines w:val="0"/>
        <w:widowControl w:val="0"/>
        <w:suppressLineNumbers w:val="0"/>
        <w:spacing w:before="0" w:beforeAutospacing="0" w:after="0" w:afterAutospacing="0"/>
        <w:ind w:left="0" w:right="0" w:firstLine="640" w:firstLineChars="200"/>
        <w:jc w:val="both"/>
        <w:rPr>
          <w:rFonts w:eastAsia="仿宋_GB2312" w:cs="仿宋_GB2312"/>
          <w:sz w:val="32"/>
          <w:szCs w:val="32"/>
        </w:rPr>
      </w:pPr>
      <w:r>
        <w:rPr>
          <w:rFonts w:hint="eastAsia" w:eastAsia="仿宋_GB2312" w:cs="仿宋_GB2312"/>
          <w:sz w:val="32"/>
          <w:szCs w:val="32"/>
        </w:rPr>
        <w:t>公务用车运行维护费支</w:t>
      </w:r>
      <w:r>
        <w:rPr>
          <w:rFonts w:hint="eastAsia" w:ascii="仿宋_GB2312" w:hAnsi="仿宋_GB2312" w:eastAsia="仿宋_GB2312" w:cs="仿宋_GB2312"/>
          <w:sz w:val="32"/>
          <w:szCs w:val="32"/>
        </w:rPr>
        <w:t>出</w:t>
      </w:r>
      <w:r>
        <w:rPr>
          <w:rFonts w:hint="eastAsia" w:ascii="仿宋_GB2312" w:hAnsi="仿宋_GB2312" w:eastAsia="仿宋_GB2312" w:cs="仿宋_GB2312"/>
          <w:sz w:val="32"/>
          <w:szCs w:val="32"/>
          <w:lang w:val="en-US" w:eastAsia="zh-CN"/>
        </w:rPr>
        <w:t>2.17</w:t>
      </w:r>
      <w:r>
        <w:rPr>
          <w:rFonts w:hint="eastAsia" w:eastAsia="仿宋_GB2312" w:cs="仿宋_GB2312"/>
          <w:sz w:val="32"/>
          <w:szCs w:val="32"/>
        </w:rPr>
        <w:t>万元。主要用于</w:t>
      </w:r>
      <w:r>
        <w:rPr>
          <w:rFonts w:hint="eastAsia" w:ascii="CESI仿宋-GB2312" w:hAnsi="CESI仿宋-GB2312" w:eastAsia="CESI仿宋-GB2312" w:cs="CESI仿宋-GB2312"/>
          <w:kern w:val="2"/>
          <w:sz w:val="32"/>
          <w:szCs w:val="32"/>
          <w:lang w:val="en-US" w:eastAsia="zh-CN" w:bidi="ar"/>
        </w:rPr>
        <w:t>开展日常工作、保障机构运转</w:t>
      </w:r>
      <w:r>
        <w:rPr>
          <w:rFonts w:hint="eastAsia" w:eastAsia="仿宋_GB2312" w:cs="仿宋_GB2312"/>
          <w:sz w:val="32"/>
          <w:szCs w:val="32"/>
        </w:rPr>
        <w:t>所需的公务用车燃料费、维修费、过路过桥费、保险费等支出。</w:t>
      </w:r>
    </w:p>
    <w:p w14:paraId="639CBB87">
      <w:pPr>
        <w:spacing w:line="600" w:lineRule="exact"/>
        <w:ind w:firstLine="640"/>
        <w:rPr>
          <w:rFonts w:eastAsia="仿宋_GB2312" w:cs="仿宋_GB2312"/>
          <w:sz w:val="32"/>
          <w:szCs w:val="32"/>
        </w:rPr>
      </w:pPr>
      <w:r>
        <w:rPr>
          <w:rFonts w:hint="eastAsia" w:eastAsia="仿宋_GB2312" w:cs="仿宋_GB2312"/>
          <w:b w:val="0"/>
          <w:bCs w:val="0"/>
          <w:sz w:val="32"/>
          <w:szCs w:val="32"/>
        </w:rPr>
        <w:t>3.</w:t>
      </w:r>
      <w:r>
        <w:rPr>
          <w:rFonts w:hint="eastAsia" w:eastAsia="仿宋_GB2312" w:cs="仿宋_GB2312"/>
          <w:b/>
          <w:bCs/>
          <w:sz w:val="32"/>
          <w:szCs w:val="32"/>
        </w:rPr>
        <w:t>公务接待费支出</w:t>
      </w:r>
      <w:r>
        <w:rPr>
          <w:rFonts w:hint="eastAsia" w:ascii="仿宋_GB2312" w:hAnsi="仿宋_GB2312" w:eastAsia="仿宋_GB2312" w:cs="仿宋_GB2312"/>
          <w:b/>
          <w:bCs/>
          <w:sz w:val="32"/>
          <w:szCs w:val="32"/>
          <w:lang w:val="en-US" w:eastAsia="zh-CN"/>
        </w:rPr>
        <w:t>0</w:t>
      </w:r>
      <w:r>
        <w:rPr>
          <w:rFonts w:hint="eastAsia" w:ascii="仿宋_GB2312" w:hAnsi="仿宋_GB2312" w:eastAsia="仿宋_GB2312" w:cs="仿宋_GB2312"/>
          <w:b/>
          <w:bCs/>
          <w:sz w:val="32"/>
          <w:szCs w:val="32"/>
        </w:rPr>
        <w:t>万</w:t>
      </w:r>
      <w:r>
        <w:rPr>
          <w:rFonts w:hint="eastAsia" w:eastAsia="仿宋_GB2312" w:cs="仿宋_GB2312"/>
          <w:b/>
          <w:bCs/>
          <w:sz w:val="32"/>
          <w:szCs w:val="32"/>
        </w:rPr>
        <w:t>元，完成预算</w:t>
      </w:r>
      <w:r>
        <w:rPr>
          <w:rFonts w:hint="eastAsia" w:eastAsia="仿宋_GB2312" w:cs="仿宋_GB2312"/>
          <w:b w:val="0"/>
          <w:bCs w:val="0"/>
          <w:sz w:val="32"/>
          <w:szCs w:val="32"/>
          <w:lang w:val="en-US" w:eastAsia="zh-CN"/>
        </w:rPr>
        <w:t>0</w:t>
      </w:r>
      <w:r>
        <w:rPr>
          <w:rFonts w:hint="eastAsia" w:eastAsia="仿宋_GB2312" w:cs="仿宋_GB2312"/>
          <w:b w:val="0"/>
          <w:bCs w:val="0"/>
          <w:sz w:val="32"/>
          <w:szCs w:val="32"/>
        </w:rPr>
        <w:t>%</w:t>
      </w:r>
      <w:r>
        <w:rPr>
          <w:rFonts w:hint="eastAsia" w:eastAsia="仿宋_GB2312" w:cs="仿宋_GB2312"/>
          <w:b/>
          <w:bCs/>
          <w:sz w:val="32"/>
          <w:szCs w:val="32"/>
        </w:rPr>
        <w:t>。</w:t>
      </w:r>
      <w:r>
        <w:rPr>
          <w:rFonts w:hint="eastAsia" w:eastAsia="仿宋_GB2312" w:cs="仿宋_GB2312"/>
          <w:sz w:val="32"/>
          <w:szCs w:val="32"/>
        </w:rPr>
        <w:t>公务接待费支出决算比2023年度</w:t>
      </w:r>
      <w:r>
        <w:rPr>
          <w:rFonts w:hint="eastAsia" w:eastAsia="仿宋_GB2312" w:cs="仿宋_GB2312"/>
          <w:sz w:val="32"/>
          <w:szCs w:val="32"/>
          <w:lang w:eastAsia="zh-CN"/>
        </w:rPr>
        <w:t>持平。</w:t>
      </w:r>
      <w:r>
        <w:rPr>
          <w:rFonts w:hint="eastAsia" w:eastAsia="仿宋_GB2312" w:cs="仿宋_GB2312"/>
          <w:sz w:val="32"/>
          <w:szCs w:val="32"/>
        </w:rPr>
        <w:t>其中：</w:t>
      </w:r>
    </w:p>
    <w:p w14:paraId="0524A4DC">
      <w:pPr>
        <w:spacing w:line="600" w:lineRule="exact"/>
        <w:ind w:firstLine="640"/>
        <w:rPr>
          <w:rFonts w:eastAsia="仿宋_GB2312" w:cs="仿宋_GB2312"/>
          <w:sz w:val="32"/>
          <w:szCs w:val="32"/>
        </w:rPr>
      </w:pPr>
      <w:r>
        <w:rPr>
          <w:rFonts w:hint="eastAsia" w:eastAsia="仿宋_GB2312" w:cs="仿宋_GB2312"/>
          <w:sz w:val="32"/>
          <w:szCs w:val="32"/>
        </w:rPr>
        <w:t>国内公务接待支</w:t>
      </w:r>
      <w:r>
        <w:rPr>
          <w:rFonts w:hint="eastAsia" w:ascii="仿宋_GB2312" w:hAnsi="仿宋_GB2312" w:eastAsia="仿宋_GB2312" w:cs="仿宋_GB2312"/>
          <w:sz w:val="32"/>
          <w:szCs w:val="32"/>
        </w:rPr>
        <w:t>出</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w:t>
      </w:r>
      <w:r>
        <w:rPr>
          <w:rFonts w:hint="eastAsia" w:eastAsia="仿宋_GB2312" w:cs="仿宋_GB2312"/>
          <w:sz w:val="32"/>
          <w:szCs w:val="32"/>
        </w:rPr>
        <w:t>元。</w:t>
      </w:r>
    </w:p>
    <w:p w14:paraId="2E4A2713">
      <w:pPr>
        <w:spacing w:line="600" w:lineRule="exact"/>
        <w:ind w:firstLine="640"/>
        <w:rPr>
          <w:rFonts w:eastAsia="仿宋_GB2312" w:cs="仿宋_GB2312"/>
          <w:sz w:val="32"/>
          <w:szCs w:val="32"/>
        </w:rPr>
      </w:pPr>
      <w:r>
        <w:rPr>
          <w:rFonts w:hint="eastAsia" w:eastAsia="仿宋_GB2312" w:cs="仿宋_GB2312"/>
          <w:sz w:val="32"/>
          <w:szCs w:val="32"/>
        </w:rPr>
        <w:t>外事接待支</w:t>
      </w:r>
      <w:r>
        <w:rPr>
          <w:rFonts w:hint="eastAsia" w:ascii="仿宋_GB2312" w:hAnsi="仿宋_GB2312" w:eastAsia="仿宋_GB2312" w:cs="仿宋_GB2312"/>
          <w:sz w:val="32"/>
          <w:szCs w:val="32"/>
        </w:rPr>
        <w:t>出</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w:t>
      </w:r>
      <w:r>
        <w:rPr>
          <w:rFonts w:hint="eastAsia" w:eastAsia="仿宋_GB2312" w:cs="仿宋_GB2312"/>
          <w:sz w:val="32"/>
          <w:szCs w:val="32"/>
        </w:rPr>
        <w:t>。</w:t>
      </w:r>
    </w:p>
    <w:p w14:paraId="2DB8DB67">
      <w:pPr>
        <w:spacing w:line="600" w:lineRule="exact"/>
        <w:ind w:firstLine="640"/>
        <w:rPr>
          <w:rFonts w:eastAsia="仿宋_GB2312" w:cs="仿宋_GB2312"/>
          <w:sz w:val="32"/>
          <w:szCs w:val="32"/>
        </w:rPr>
      </w:pPr>
      <w:bookmarkStart w:id="56" w:name="_Toc15396610"/>
      <w:bookmarkStart w:id="57" w:name="_Toc15377218"/>
    </w:p>
    <w:p w14:paraId="6F1E786A">
      <w:pPr>
        <w:spacing w:line="600" w:lineRule="exact"/>
        <w:ind w:firstLine="640"/>
        <w:outlineLvl w:val="1"/>
        <w:rPr>
          <w:rStyle w:val="30"/>
          <w:rFonts w:ascii="Times New Roman" w:hAnsi="Times New Roman" w:eastAsia="黑体"/>
        </w:rPr>
      </w:pPr>
      <w:bookmarkStart w:id="58" w:name="_Toc316582865"/>
      <w:r>
        <w:rPr>
          <w:rFonts w:hint="eastAsia" w:eastAsia="黑体"/>
          <w:sz w:val="32"/>
          <w:szCs w:val="32"/>
        </w:rPr>
        <w:t>八、</w:t>
      </w:r>
      <w:r>
        <w:rPr>
          <w:rStyle w:val="30"/>
          <w:rFonts w:hint="eastAsia" w:ascii="Times New Roman" w:hAnsi="Times New Roman" w:eastAsia="黑体"/>
          <w:b w:val="0"/>
        </w:rPr>
        <w:t>政府性基金预算支出决算情况说明</w:t>
      </w:r>
      <w:bookmarkEnd w:id="56"/>
      <w:bookmarkEnd w:id="57"/>
      <w:bookmarkEnd w:id="58"/>
    </w:p>
    <w:p w14:paraId="6E7F2BE8">
      <w:pPr>
        <w:spacing w:line="600" w:lineRule="exact"/>
        <w:ind w:firstLine="640"/>
        <w:rPr>
          <w:rFonts w:eastAsia="仿宋_GB2312" w:cs="仿宋_GB2312"/>
          <w:sz w:val="32"/>
          <w:szCs w:val="32"/>
        </w:rPr>
      </w:pPr>
      <w:r>
        <w:rPr>
          <w:rFonts w:hint="eastAsia" w:ascii="仿宋_GB2312" w:hAnsi="仿宋_GB2312" w:eastAsia="仿宋_GB2312" w:cs="仿宋_GB2312"/>
          <w:sz w:val="32"/>
          <w:szCs w:val="32"/>
        </w:rPr>
        <w:t>2024年度政府性基金预算财政拨款支出</w:t>
      </w:r>
      <w:r>
        <w:rPr>
          <w:rFonts w:hint="eastAsia" w:ascii="仿宋_GB2312" w:hAnsi="仿宋_GB2312" w:eastAsia="仿宋_GB2312" w:cs="仿宋_GB2312"/>
          <w:sz w:val="32"/>
          <w:szCs w:val="32"/>
          <w:lang w:val="en-US" w:eastAsia="zh-CN"/>
        </w:rPr>
        <w:t>7064.16</w:t>
      </w:r>
      <w:r>
        <w:rPr>
          <w:rFonts w:hint="eastAsia" w:ascii="仿宋_GB2312" w:hAnsi="仿宋_GB2312" w:eastAsia="仿宋_GB2312" w:cs="仿宋_GB2312"/>
          <w:sz w:val="32"/>
          <w:szCs w:val="32"/>
        </w:rPr>
        <w:t>万元，占本年支出合计的</w:t>
      </w:r>
      <w:r>
        <w:rPr>
          <w:rFonts w:hint="eastAsia" w:ascii="仿宋_GB2312" w:hAnsi="仿宋_GB2312" w:eastAsia="仿宋_GB2312" w:cs="仿宋_GB2312"/>
          <w:sz w:val="32"/>
          <w:szCs w:val="32"/>
          <w:lang w:val="en-US" w:eastAsia="zh-CN"/>
        </w:rPr>
        <w:t>20.64</w:t>
      </w:r>
      <w:r>
        <w:rPr>
          <w:rFonts w:hint="eastAsia" w:ascii="仿宋_GB2312" w:hAnsi="仿宋_GB2312" w:eastAsia="仿宋_GB2312" w:cs="仿宋_GB2312"/>
          <w:sz w:val="32"/>
          <w:szCs w:val="32"/>
        </w:rPr>
        <w:t>%</w:t>
      </w:r>
      <w:r>
        <w:rPr>
          <w:rFonts w:hint="eastAsia" w:eastAsia="仿宋_GB2312" w:cs="仿宋_GB2312"/>
          <w:sz w:val="32"/>
          <w:szCs w:val="32"/>
        </w:rPr>
        <w:t>。与2023年度相比，政府性基金预算财政拨款支出增加</w:t>
      </w:r>
      <w:r>
        <w:rPr>
          <w:rFonts w:hint="eastAsia" w:eastAsia="仿宋_GB2312" w:cs="仿宋_GB2312"/>
          <w:sz w:val="32"/>
          <w:szCs w:val="32"/>
          <w:lang w:val="en-US" w:eastAsia="zh-CN"/>
        </w:rPr>
        <w:t>2060.1</w:t>
      </w:r>
      <w:r>
        <w:rPr>
          <w:rFonts w:hint="eastAsia" w:eastAsia="仿宋_GB2312" w:cs="仿宋_GB2312"/>
          <w:sz w:val="32"/>
          <w:szCs w:val="32"/>
        </w:rPr>
        <w:t>万元，增长</w:t>
      </w:r>
      <w:r>
        <w:rPr>
          <w:rFonts w:hint="eastAsia" w:eastAsia="仿宋_GB2312" w:cs="仿宋_GB2312"/>
          <w:sz w:val="32"/>
          <w:szCs w:val="32"/>
          <w:lang w:val="en-US" w:eastAsia="zh-CN"/>
        </w:rPr>
        <w:t>41.16</w:t>
      </w:r>
      <w:r>
        <w:rPr>
          <w:rFonts w:hint="eastAsia" w:eastAsia="仿宋_GB2312" w:cs="仿宋_GB2312"/>
          <w:sz w:val="32"/>
          <w:szCs w:val="32"/>
        </w:rPr>
        <w:t>%。主要变动原因是</w:t>
      </w:r>
      <w:r>
        <w:rPr>
          <w:rFonts w:hint="eastAsia" w:eastAsia="仿宋_GB2312" w:cs="仿宋_GB2312"/>
          <w:sz w:val="32"/>
          <w:szCs w:val="32"/>
          <w:lang w:eastAsia="zh-CN"/>
        </w:rPr>
        <w:t>盐边县第二人民医院建设项目仍处于在建状态，本年项目资金较去年增加。</w:t>
      </w:r>
    </w:p>
    <w:p w14:paraId="74C24BBA">
      <w:pPr>
        <w:spacing w:line="600" w:lineRule="exact"/>
        <w:ind w:left="630"/>
        <w:outlineLvl w:val="1"/>
        <w:rPr>
          <w:rStyle w:val="30"/>
          <w:rFonts w:ascii="Times New Roman" w:hAnsi="Times New Roman" w:eastAsia="黑体"/>
          <w:b w:val="0"/>
        </w:rPr>
      </w:pPr>
      <w:bookmarkStart w:id="59" w:name="_Toc15377219"/>
      <w:bookmarkStart w:id="60" w:name="_Toc1587514949"/>
      <w:bookmarkStart w:id="61" w:name="_Toc15396611"/>
      <w:r>
        <w:rPr>
          <w:rStyle w:val="30"/>
          <w:rFonts w:hint="eastAsia" w:ascii="Times New Roman" w:hAnsi="Times New Roman" w:eastAsia="黑体"/>
          <w:b w:val="0"/>
        </w:rPr>
        <w:t>九、国有资本经营预算支出决算情况说明</w:t>
      </w:r>
      <w:bookmarkEnd w:id="59"/>
      <w:bookmarkEnd w:id="60"/>
      <w:bookmarkEnd w:id="61"/>
    </w:p>
    <w:p w14:paraId="78637693">
      <w:pPr>
        <w:keepNext w:val="0"/>
        <w:keepLines w:val="0"/>
        <w:widowControl w:val="0"/>
        <w:suppressLineNumbers w:val="0"/>
        <w:spacing w:before="0" w:beforeLines="0" w:beforeAutospacing="0" w:after="0" w:afterLines="0" w:afterAutospacing="0" w:line="576" w:lineRule="exact"/>
        <w:ind w:left="0" w:right="0" w:firstLine="640"/>
        <w:jc w:val="both"/>
        <w:rPr>
          <w:rFonts w:eastAsia="仿宋_GB2312" w:cs="仿宋_GB2312"/>
          <w:sz w:val="32"/>
          <w:szCs w:val="32"/>
        </w:rPr>
      </w:pPr>
      <w:r>
        <w:rPr>
          <w:rFonts w:hint="eastAsia" w:eastAsia="仿宋_GB2312" w:cs="仿宋_GB2312"/>
          <w:sz w:val="32"/>
          <w:szCs w:val="32"/>
        </w:rPr>
        <w:t>2024年度国有资本经营预算财政拨款支出</w:t>
      </w:r>
      <w:r>
        <w:rPr>
          <w:rFonts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w:t>
      </w:r>
      <w:r>
        <w:rPr>
          <w:rFonts w:hint="eastAsia" w:ascii="CESI仿宋-GB2312" w:hAnsi="CESI仿宋-GB2312" w:eastAsia="CESI仿宋-GB2312" w:cs="CESI仿宋-GB2312"/>
          <w:kern w:val="2"/>
          <w:sz w:val="32"/>
          <w:szCs w:val="32"/>
          <w:lang w:val="en-US" w:eastAsia="zh-CN" w:bidi="ar"/>
        </w:rPr>
        <w:t>本部门没有国有资本经营预算拨款收入，也没有使用国有资本经营预算拨款安排的支出。</w:t>
      </w:r>
    </w:p>
    <w:p w14:paraId="6A6FCB6F">
      <w:pPr>
        <w:spacing w:line="600" w:lineRule="exact"/>
        <w:ind w:left="630"/>
        <w:outlineLvl w:val="1"/>
        <w:rPr>
          <w:rStyle w:val="30"/>
          <w:rFonts w:ascii="Times New Roman" w:hAnsi="Times New Roman" w:eastAsia="黑体"/>
          <w:b w:val="0"/>
        </w:rPr>
      </w:pPr>
      <w:bookmarkStart w:id="62" w:name="_Toc15377221"/>
      <w:bookmarkStart w:id="63" w:name="_Toc15396612"/>
      <w:bookmarkStart w:id="64" w:name="_Toc863082320"/>
      <w:r>
        <w:rPr>
          <w:rStyle w:val="30"/>
          <w:rFonts w:hint="eastAsia" w:ascii="Times New Roman" w:hAnsi="Times New Roman" w:eastAsia="黑体"/>
          <w:b w:val="0"/>
        </w:rPr>
        <w:t>十、其他重要事项的情况说明</w:t>
      </w:r>
      <w:bookmarkEnd w:id="62"/>
      <w:bookmarkEnd w:id="63"/>
      <w:bookmarkEnd w:id="64"/>
    </w:p>
    <w:p w14:paraId="12BAE518">
      <w:pPr>
        <w:spacing w:line="600" w:lineRule="exact"/>
        <w:ind w:firstLine="643" w:firstLineChars="200"/>
        <w:outlineLvl w:val="2"/>
        <w:rPr>
          <w:rFonts w:eastAsia="楷体_GB2312" w:cs="楷体_GB2312"/>
          <w:b/>
          <w:sz w:val="32"/>
          <w:szCs w:val="32"/>
        </w:rPr>
      </w:pPr>
      <w:bookmarkStart w:id="65" w:name="_Toc15377222"/>
      <w:bookmarkStart w:id="66" w:name="_Toc280431532"/>
      <w:r>
        <w:rPr>
          <w:rFonts w:hint="eastAsia" w:eastAsia="楷体_GB2312" w:cs="楷体_GB2312"/>
          <w:b/>
          <w:sz w:val="32"/>
          <w:szCs w:val="32"/>
        </w:rPr>
        <w:t>（一）机关运行经费支出情况</w:t>
      </w:r>
      <w:bookmarkEnd w:id="65"/>
      <w:bookmarkEnd w:id="66"/>
    </w:p>
    <w:p w14:paraId="4379F52A">
      <w:pPr>
        <w:keepNext w:val="0"/>
        <w:keepLines w:val="0"/>
        <w:widowControl w:val="0"/>
        <w:suppressLineNumbers w:val="0"/>
        <w:spacing w:before="0" w:beforeAutospacing="0" w:after="0" w:afterAutospacing="0"/>
        <w:ind w:left="0" w:right="0" w:firstLine="640" w:firstLineChars="200"/>
        <w:jc w:val="both"/>
        <w:rPr>
          <w:rFonts w:eastAsia="仿宋_GB2312" w:cs="仿宋_GB2312"/>
          <w:sz w:val="32"/>
          <w:szCs w:val="32"/>
        </w:rPr>
      </w:pPr>
      <w:r>
        <w:rPr>
          <w:rFonts w:hint="eastAsia" w:eastAsia="仿宋_GB2312" w:cs="仿宋_GB2312"/>
          <w:sz w:val="32"/>
          <w:szCs w:val="32"/>
        </w:rPr>
        <w:t>2024年度</w:t>
      </w:r>
      <w:r>
        <w:rPr>
          <w:rFonts w:hint="eastAsia" w:ascii="仿宋_GB2312" w:hAnsi="仿宋_GB2312" w:eastAsia="仿宋_GB2312" w:cs="仿宋_GB2312"/>
          <w:sz w:val="32"/>
          <w:szCs w:val="32"/>
        </w:rPr>
        <w:t>，</w:t>
      </w:r>
      <w:r>
        <w:rPr>
          <w:rFonts w:hint="eastAsia" w:ascii="CESI仿宋-GB2312" w:hAnsi="CESI仿宋-GB2312" w:eastAsia="CESI仿宋-GB2312" w:cs="CESI仿宋-GB2312"/>
          <w:kern w:val="2"/>
          <w:sz w:val="32"/>
          <w:szCs w:val="32"/>
          <w:lang w:val="en-US" w:eastAsia="zh-CN" w:bidi="ar"/>
        </w:rPr>
        <w:t>盐边县卫生健康局</w:t>
      </w:r>
      <w:r>
        <w:rPr>
          <w:rFonts w:hint="eastAsia" w:ascii="仿宋_GB2312" w:hAnsi="仿宋_GB2312" w:eastAsia="仿宋_GB2312" w:cs="仿宋_GB2312"/>
          <w:sz w:val="32"/>
          <w:szCs w:val="32"/>
        </w:rPr>
        <w:t>机关运行经费支出</w:t>
      </w:r>
      <w:r>
        <w:rPr>
          <w:rFonts w:hint="eastAsia" w:ascii="仿宋_GB2312" w:hAnsi="仿宋_GB2312" w:eastAsia="仿宋_GB2312" w:cs="仿宋_GB2312"/>
          <w:sz w:val="32"/>
          <w:szCs w:val="32"/>
          <w:lang w:val="en-US" w:eastAsia="zh-CN"/>
        </w:rPr>
        <w:t>53.18</w:t>
      </w:r>
      <w:r>
        <w:rPr>
          <w:rFonts w:hint="eastAsia" w:ascii="仿宋_GB2312" w:hAnsi="仿宋_GB2312" w:eastAsia="仿宋_GB2312" w:cs="仿宋_GB2312"/>
          <w:sz w:val="32"/>
          <w:szCs w:val="32"/>
        </w:rPr>
        <w:t>万</w:t>
      </w:r>
      <w:r>
        <w:rPr>
          <w:rFonts w:hint="eastAsia" w:eastAsia="仿宋_GB2312" w:cs="仿宋_GB2312"/>
          <w:sz w:val="32"/>
          <w:szCs w:val="32"/>
        </w:rPr>
        <w:t>元，比2023年度增加</w:t>
      </w:r>
      <w:r>
        <w:rPr>
          <w:rFonts w:hint="eastAsia" w:eastAsia="仿宋_GB2312" w:cs="仿宋_GB2312"/>
          <w:sz w:val="32"/>
          <w:szCs w:val="32"/>
          <w:lang w:val="en-US" w:eastAsia="zh-CN"/>
        </w:rPr>
        <w:t>9.74</w:t>
      </w:r>
      <w:r>
        <w:rPr>
          <w:rFonts w:hint="eastAsia" w:eastAsia="仿宋_GB2312" w:cs="仿宋_GB2312"/>
          <w:sz w:val="32"/>
          <w:szCs w:val="32"/>
        </w:rPr>
        <w:t>万元，增长</w:t>
      </w:r>
      <w:r>
        <w:rPr>
          <w:rFonts w:hint="eastAsia" w:eastAsia="仿宋_GB2312" w:cs="仿宋_GB2312"/>
          <w:sz w:val="32"/>
          <w:szCs w:val="32"/>
          <w:lang w:val="en-US" w:eastAsia="zh-CN"/>
        </w:rPr>
        <w:t>22.42</w:t>
      </w:r>
      <w:r>
        <w:rPr>
          <w:rFonts w:hint="eastAsia" w:eastAsia="仿宋_GB2312" w:cs="仿宋_GB2312"/>
          <w:sz w:val="32"/>
          <w:szCs w:val="32"/>
        </w:rPr>
        <w:t>%。主要原因是</w:t>
      </w:r>
      <w:r>
        <w:rPr>
          <w:rFonts w:hint="eastAsia" w:ascii="CESI仿宋-GB2312" w:hAnsi="CESI仿宋-GB2312" w:eastAsia="CESI仿宋-GB2312" w:cs="CESI仿宋-GB2312"/>
          <w:kern w:val="2"/>
          <w:sz w:val="32"/>
          <w:szCs w:val="32"/>
          <w:lang w:val="en-US" w:eastAsia="zh-CN" w:bidi="ar"/>
        </w:rPr>
        <w:t>今年新增县疾控中心和县卫生监督执法大队数据汇总到卫健局部门数据</w:t>
      </w:r>
      <w:r>
        <w:rPr>
          <w:rFonts w:hint="default" w:ascii="仿宋_GB2312" w:hAnsi="Times New Roman" w:eastAsia="仿宋_GB2312" w:cs="仿宋_GB2312"/>
          <w:kern w:val="2"/>
          <w:sz w:val="32"/>
          <w:szCs w:val="32"/>
          <w:lang w:val="en-US" w:eastAsia="zh-CN" w:bidi="ar"/>
        </w:rPr>
        <w:t>。</w:t>
      </w:r>
    </w:p>
    <w:p w14:paraId="5DDF132D">
      <w:pPr>
        <w:spacing w:line="600" w:lineRule="exact"/>
        <w:ind w:firstLine="643" w:firstLineChars="200"/>
        <w:outlineLvl w:val="2"/>
        <w:rPr>
          <w:rFonts w:eastAsia="楷体_GB2312" w:cs="楷体_GB2312"/>
          <w:b/>
          <w:sz w:val="32"/>
          <w:szCs w:val="32"/>
        </w:rPr>
      </w:pPr>
      <w:bookmarkStart w:id="67" w:name="_Toc15377223"/>
      <w:bookmarkStart w:id="68" w:name="_Toc834135384"/>
      <w:r>
        <w:rPr>
          <w:rFonts w:hint="eastAsia" w:eastAsia="楷体_GB2312" w:cs="楷体_GB2312"/>
          <w:b/>
          <w:sz w:val="32"/>
          <w:szCs w:val="32"/>
        </w:rPr>
        <w:t>（二）政府采购支出情况</w:t>
      </w:r>
      <w:bookmarkEnd w:id="67"/>
      <w:bookmarkEnd w:id="68"/>
    </w:p>
    <w:p w14:paraId="276D953B">
      <w:pPr>
        <w:keepNext w:val="0"/>
        <w:keepLines w:val="0"/>
        <w:widowControl w:val="0"/>
        <w:suppressLineNumbers w:val="0"/>
        <w:spacing w:before="0" w:beforeAutospacing="0" w:after="0" w:afterAutospacing="0"/>
        <w:ind w:left="0" w:right="0" w:firstLine="640" w:firstLineChars="200"/>
        <w:jc w:val="both"/>
        <w:rPr>
          <w:rFonts w:eastAsia="仿宋_GB2312" w:cs="仿宋_GB2312"/>
          <w:sz w:val="32"/>
          <w:szCs w:val="32"/>
        </w:rPr>
      </w:pPr>
      <w:r>
        <w:rPr>
          <w:rFonts w:hint="eastAsia" w:ascii="仿宋_GB2312" w:hAnsi="仿宋_GB2312" w:eastAsia="仿宋_GB2312" w:cs="仿宋_GB2312"/>
          <w:sz w:val="32"/>
          <w:szCs w:val="32"/>
        </w:rPr>
        <w:t>2024年度，</w:t>
      </w:r>
      <w:r>
        <w:rPr>
          <w:rFonts w:hint="eastAsia" w:ascii="CESI仿宋-GB2312" w:hAnsi="CESI仿宋-GB2312" w:eastAsia="CESI仿宋-GB2312" w:cs="CESI仿宋-GB2312"/>
          <w:kern w:val="2"/>
          <w:sz w:val="32"/>
          <w:szCs w:val="32"/>
          <w:lang w:val="en-US" w:eastAsia="zh-CN" w:bidi="ar"/>
        </w:rPr>
        <w:t>盐边县卫生健康局及其下属医疗机构</w:t>
      </w:r>
      <w:r>
        <w:rPr>
          <w:rFonts w:hint="eastAsia" w:ascii="仿宋_GB2312" w:hAnsi="仿宋_GB2312" w:eastAsia="仿宋_GB2312" w:cs="仿宋_GB2312"/>
          <w:sz w:val="32"/>
          <w:szCs w:val="32"/>
        </w:rPr>
        <w:t>政府采购支出总额</w:t>
      </w:r>
      <w:r>
        <w:rPr>
          <w:rFonts w:hint="eastAsia" w:ascii="仿宋_GB2312" w:hAnsi="仿宋_GB2312" w:eastAsia="仿宋_GB2312" w:cs="仿宋_GB2312"/>
          <w:sz w:val="32"/>
          <w:szCs w:val="32"/>
          <w:lang w:val="en-US" w:eastAsia="zh-CN"/>
        </w:rPr>
        <w:t>908.69</w:t>
      </w:r>
      <w:r>
        <w:rPr>
          <w:rFonts w:hint="eastAsia" w:ascii="仿宋_GB2312" w:hAnsi="仿宋_GB2312" w:eastAsia="仿宋_GB2312" w:cs="仿宋_GB2312"/>
          <w:sz w:val="32"/>
          <w:szCs w:val="32"/>
        </w:rPr>
        <w:t>万元，其中：政府采购货物支出</w:t>
      </w:r>
      <w:r>
        <w:rPr>
          <w:rFonts w:hint="eastAsia" w:ascii="仿宋_GB2312" w:hAnsi="仿宋_GB2312" w:eastAsia="仿宋_GB2312" w:cs="仿宋_GB2312"/>
          <w:sz w:val="32"/>
          <w:szCs w:val="32"/>
          <w:lang w:val="en-US" w:eastAsia="zh-CN"/>
        </w:rPr>
        <w:t>805.43</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color w:val="000000" w:themeColor="text1"/>
          <w:sz w:val="32"/>
          <w:szCs w:val="32"/>
          <w14:textFill>
            <w14:solidFill>
              <w14:schemeClr w14:val="tx1"/>
            </w14:solidFill>
          </w14:textFill>
        </w:rPr>
        <w:t>主要</w:t>
      </w:r>
      <w:r>
        <w:rPr>
          <w:rFonts w:hint="eastAsia" w:ascii="仿宋_GB2312" w:hAnsi="仿宋_GB2312" w:eastAsia="仿宋_GB2312" w:cs="仿宋_GB2312"/>
          <w:color w:val="000000" w:themeColor="text1"/>
          <w:sz w:val="32"/>
          <w:szCs w:val="32"/>
          <w:lang w:eastAsia="zh-CN"/>
          <w14:textFill>
            <w14:solidFill>
              <w14:schemeClr w14:val="tx1"/>
            </w14:solidFill>
          </w14:textFill>
        </w:rPr>
        <w:t>是县卫健局台式计算机采购，县人民医院医疗设备及空调采购，县第二人民医院医疗设备采购，县红格中心卫生院医疗设备采购，县渔门中心卫生院医疗设备采购，县红果中心卫生院复印机采购，县疾控中心医疗设备及空调采购；</w:t>
      </w:r>
      <w:r>
        <w:rPr>
          <w:rFonts w:hint="eastAsia" w:ascii="仿宋_GB2312" w:hAnsi="仿宋_GB2312" w:eastAsia="仿宋_GB2312" w:cs="仿宋_GB2312"/>
          <w:sz w:val="32"/>
          <w:szCs w:val="32"/>
        </w:rPr>
        <w:t>政府采购服务支出</w:t>
      </w:r>
      <w:r>
        <w:rPr>
          <w:rFonts w:hint="eastAsia" w:ascii="仿宋_GB2312" w:hAnsi="仿宋_GB2312" w:eastAsia="仿宋_GB2312" w:cs="仿宋_GB2312"/>
          <w:sz w:val="32"/>
          <w:szCs w:val="32"/>
          <w:lang w:val="en-US" w:eastAsia="zh-CN"/>
        </w:rPr>
        <w:t>103.27</w:t>
      </w:r>
      <w:r>
        <w:rPr>
          <w:rFonts w:hint="eastAsia" w:ascii="仿宋_GB2312" w:hAnsi="仿宋_GB2312" w:eastAsia="仿宋_GB2312" w:cs="仿宋_GB2312"/>
          <w:sz w:val="32"/>
          <w:szCs w:val="32"/>
        </w:rPr>
        <w:t>万元。</w:t>
      </w:r>
      <w:r>
        <w:rPr>
          <w:rFonts w:hint="eastAsia" w:ascii="仿宋_GB2312" w:hAnsi="仿宋_GB2312" w:eastAsia="仿宋_GB2312" w:cs="仿宋_GB2312"/>
          <w:color w:val="000000" w:themeColor="text1"/>
          <w:sz w:val="32"/>
          <w:szCs w:val="32"/>
          <w14:textFill>
            <w14:solidFill>
              <w14:schemeClr w14:val="tx1"/>
            </w14:solidFill>
          </w14:textFill>
        </w:rPr>
        <w:t>主要</w:t>
      </w:r>
      <w:r>
        <w:rPr>
          <w:rFonts w:hint="eastAsia" w:ascii="仿宋_GB2312" w:hAnsi="仿宋_GB2312" w:eastAsia="仿宋_GB2312" w:cs="仿宋_GB2312"/>
          <w:color w:val="000000" w:themeColor="text1"/>
          <w:sz w:val="32"/>
          <w:szCs w:val="32"/>
          <w:lang w:eastAsia="zh-CN"/>
          <w14:textFill>
            <w14:solidFill>
              <w14:schemeClr w14:val="tx1"/>
            </w14:solidFill>
          </w14:textFill>
        </w:rPr>
        <w:t>是县中医院后勤物资及设备维修保养服务采购，县新九卫生院、县疾控中心公务用车加油服务采购</w:t>
      </w:r>
      <w:r>
        <w:rPr>
          <w:rFonts w:hint="eastAsia" w:ascii="仿宋_GB2312" w:hAnsi="仿宋_GB2312" w:eastAsia="仿宋_GB2312" w:cs="仿宋_GB2312"/>
          <w:color w:val="000000" w:themeColor="text1"/>
          <w:sz w:val="32"/>
          <w:szCs w:val="32"/>
          <w14:textFill>
            <w14:solidFill>
              <w14:schemeClr w14:val="tx1"/>
            </w14:solidFill>
          </w14:textFill>
        </w:rPr>
        <w:t>。</w:t>
      </w:r>
      <w:r>
        <w:rPr>
          <w:rFonts w:hint="eastAsia" w:ascii="仿宋_GB2312" w:hAnsi="仿宋_GB2312" w:eastAsia="仿宋_GB2312" w:cs="仿宋_GB2312"/>
          <w:sz w:val="32"/>
          <w:szCs w:val="32"/>
        </w:rPr>
        <w:t>授予中小企业合同金额</w:t>
      </w:r>
      <w:r>
        <w:rPr>
          <w:rFonts w:hint="eastAsia" w:ascii="仿宋_GB2312" w:hAnsi="仿宋_GB2312" w:eastAsia="仿宋_GB2312" w:cs="仿宋_GB2312"/>
          <w:sz w:val="32"/>
          <w:szCs w:val="32"/>
          <w:lang w:val="en-US" w:eastAsia="zh-CN"/>
        </w:rPr>
        <w:t>839.12</w:t>
      </w:r>
      <w:r>
        <w:rPr>
          <w:rFonts w:hint="eastAsia" w:ascii="仿宋_GB2312" w:hAnsi="仿宋_GB2312" w:eastAsia="仿宋_GB2312" w:cs="仿宋_GB2312"/>
          <w:sz w:val="32"/>
          <w:szCs w:val="32"/>
        </w:rPr>
        <w:t>万元，占政府采购支出总额的</w:t>
      </w:r>
      <w:r>
        <w:rPr>
          <w:rFonts w:hint="eastAsia" w:ascii="仿宋_GB2312" w:hAnsi="仿宋_GB2312" w:eastAsia="仿宋_GB2312" w:cs="仿宋_GB2312"/>
          <w:sz w:val="32"/>
          <w:szCs w:val="32"/>
          <w:lang w:val="en-US" w:eastAsia="zh-CN"/>
        </w:rPr>
        <w:t>92.34</w:t>
      </w:r>
      <w:r>
        <w:rPr>
          <w:rFonts w:hint="eastAsia" w:ascii="仿宋_GB2312" w:hAnsi="仿宋_GB2312" w:eastAsia="仿宋_GB2312" w:cs="仿宋_GB2312"/>
          <w:sz w:val="32"/>
          <w:szCs w:val="32"/>
        </w:rPr>
        <w:t>%，其中：授予小微企业合同金额</w:t>
      </w:r>
      <w:r>
        <w:rPr>
          <w:rFonts w:hint="eastAsia" w:ascii="仿宋_GB2312" w:hAnsi="仿宋_GB2312" w:eastAsia="仿宋_GB2312" w:cs="仿宋_GB2312"/>
          <w:sz w:val="32"/>
          <w:szCs w:val="32"/>
          <w:lang w:val="en-US" w:eastAsia="zh-CN"/>
        </w:rPr>
        <w:t>608.77</w:t>
      </w:r>
      <w:r>
        <w:rPr>
          <w:rFonts w:hint="eastAsia" w:ascii="仿宋_GB2312" w:hAnsi="仿宋_GB2312" w:eastAsia="仿宋_GB2312" w:cs="仿宋_GB2312"/>
          <w:sz w:val="32"/>
          <w:szCs w:val="32"/>
        </w:rPr>
        <w:t>万元，占政府采购支出总额的</w:t>
      </w:r>
      <w:r>
        <w:rPr>
          <w:rFonts w:hint="eastAsia" w:ascii="仿宋_GB2312" w:hAnsi="仿宋_GB2312" w:eastAsia="仿宋_GB2312" w:cs="仿宋_GB2312"/>
          <w:sz w:val="32"/>
          <w:szCs w:val="32"/>
          <w:lang w:val="en-US" w:eastAsia="zh-CN"/>
        </w:rPr>
        <w:t>66.99</w:t>
      </w:r>
      <w:r>
        <w:rPr>
          <w:rFonts w:hint="eastAsia" w:ascii="仿宋_GB2312" w:hAnsi="仿宋_GB2312" w:eastAsia="仿宋_GB2312" w:cs="仿宋_GB2312"/>
          <w:sz w:val="32"/>
          <w:szCs w:val="32"/>
        </w:rPr>
        <w:t>%。</w:t>
      </w:r>
    </w:p>
    <w:p w14:paraId="37238530">
      <w:pPr>
        <w:spacing w:line="600" w:lineRule="exact"/>
        <w:ind w:firstLine="643" w:firstLineChars="200"/>
        <w:outlineLvl w:val="2"/>
        <w:rPr>
          <w:rFonts w:eastAsia="楷体_GB2312" w:cs="楷体_GB2312"/>
          <w:b/>
          <w:sz w:val="32"/>
          <w:szCs w:val="32"/>
        </w:rPr>
      </w:pPr>
      <w:bookmarkStart w:id="69" w:name="_Toc399217968"/>
      <w:bookmarkStart w:id="70" w:name="_Toc15377224"/>
      <w:r>
        <w:rPr>
          <w:rFonts w:hint="eastAsia" w:eastAsia="楷体_GB2312" w:cs="楷体_GB2312"/>
          <w:b/>
          <w:sz w:val="32"/>
          <w:szCs w:val="32"/>
        </w:rPr>
        <w:t>（三）国有资产占有使用情况</w:t>
      </w:r>
      <w:bookmarkEnd w:id="69"/>
      <w:bookmarkEnd w:id="70"/>
    </w:p>
    <w:p w14:paraId="7F1D01D4">
      <w:pPr>
        <w:keepNext w:val="0"/>
        <w:keepLines w:val="0"/>
        <w:widowControl w:val="0"/>
        <w:suppressLineNumbers w:val="0"/>
        <w:spacing w:before="0" w:beforeAutospacing="0" w:after="0" w:afterAutospacing="0"/>
        <w:ind w:left="0" w:right="0" w:firstLine="640" w:firstLineChars="200"/>
        <w:jc w:val="both"/>
        <w:rPr>
          <w:rFonts w:eastAsia="仿宋_GB2312" w:cs="仿宋_GB2312"/>
          <w:sz w:val="32"/>
          <w:szCs w:val="32"/>
        </w:rPr>
      </w:pPr>
      <w:r>
        <w:rPr>
          <w:rFonts w:hint="eastAsia" w:ascii="仿宋_GB2312" w:hAnsi="仿宋_GB2312" w:eastAsia="仿宋_GB2312" w:cs="仿宋_GB2312"/>
          <w:sz w:val="32"/>
          <w:szCs w:val="32"/>
        </w:rPr>
        <w:t>截至2024年12月31日，</w:t>
      </w:r>
      <w:r>
        <w:rPr>
          <w:rFonts w:hint="eastAsia" w:ascii="CESI仿宋-GB2312" w:hAnsi="CESI仿宋-GB2312" w:eastAsia="CESI仿宋-GB2312" w:cs="CESI仿宋-GB2312"/>
          <w:kern w:val="2"/>
          <w:sz w:val="32"/>
          <w:szCs w:val="32"/>
          <w:lang w:val="en-US" w:eastAsia="zh-CN" w:bidi="ar"/>
        </w:rPr>
        <w:t>盐边县卫生健康局</w:t>
      </w:r>
      <w:r>
        <w:rPr>
          <w:rFonts w:hint="eastAsia" w:ascii="仿宋_GB2312" w:hAnsi="仿宋_GB2312" w:eastAsia="仿宋_GB2312" w:cs="仿宋_GB2312"/>
          <w:sz w:val="32"/>
          <w:szCs w:val="32"/>
        </w:rPr>
        <w:t>共有车辆</w:t>
      </w:r>
      <w:r>
        <w:rPr>
          <w:rFonts w:hint="eastAsia" w:ascii="仿宋_GB2312" w:hAnsi="仿宋_GB2312" w:eastAsia="仿宋_GB2312" w:cs="仿宋_GB2312"/>
          <w:sz w:val="32"/>
          <w:szCs w:val="32"/>
          <w:lang w:val="en-US" w:eastAsia="zh-CN"/>
        </w:rPr>
        <w:t>35</w:t>
      </w:r>
      <w:r>
        <w:rPr>
          <w:rFonts w:hint="eastAsia" w:ascii="仿宋_GB2312" w:hAnsi="仿宋_GB2312" w:eastAsia="仿宋_GB2312" w:cs="仿宋_GB2312"/>
          <w:sz w:val="32"/>
          <w:szCs w:val="32"/>
        </w:rPr>
        <w:t>辆，其中：</w:t>
      </w:r>
      <w:r>
        <w:rPr>
          <w:rFonts w:hint="default" w:ascii="仿宋_GB2312" w:hAnsi="Times New Roman" w:eastAsia="仿宋_GB2312" w:cs="仿宋_GB2312"/>
          <w:kern w:val="2"/>
          <w:sz w:val="32"/>
          <w:szCs w:val="32"/>
          <w:lang w:val="en-US" w:eastAsia="zh-CN" w:bidi="ar"/>
        </w:rPr>
        <w:t>应急保障用车</w:t>
      </w:r>
      <w:r>
        <w:rPr>
          <w:rFonts w:hint="default" w:ascii="Times New Roman" w:hAnsi="Times New Roman" w:eastAsia="仿宋_GB2312" w:cs="Times New Roman"/>
          <w:kern w:val="2"/>
          <w:sz w:val="32"/>
          <w:szCs w:val="32"/>
          <w:lang w:val="en-US" w:eastAsia="zh-CN" w:bidi="ar"/>
        </w:rPr>
        <w:t>1</w:t>
      </w:r>
      <w:r>
        <w:rPr>
          <w:rFonts w:hint="default" w:ascii="仿宋_GB2312" w:hAnsi="Times New Roman" w:eastAsia="仿宋_GB2312" w:cs="仿宋_GB2312"/>
          <w:kern w:val="2"/>
          <w:sz w:val="32"/>
          <w:szCs w:val="32"/>
          <w:lang w:val="en-US" w:eastAsia="zh-CN" w:bidi="ar"/>
        </w:rPr>
        <w:t>辆，特种专业技术用车</w:t>
      </w:r>
      <w:r>
        <w:rPr>
          <w:rFonts w:hint="default" w:ascii="Times New Roman" w:hAnsi="Times New Roman" w:eastAsia="仿宋_GB2312" w:cs="Times New Roman"/>
          <w:kern w:val="2"/>
          <w:sz w:val="32"/>
          <w:szCs w:val="32"/>
          <w:lang w:val="en-US" w:eastAsia="zh-CN" w:bidi="ar"/>
        </w:rPr>
        <w:t>29</w:t>
      </w:r>
      <w:r>
        <w:rPr>
          <w:rFonts w:hint="default" w:ascii="仿宋_GB2312" w:hAnsi="Times New Roman" w:eastAsia="仿宋_GB2312" w:cs="仿宋_GB2312"/>
          <w:kern w:val="2"/>
          <w:sz w:val="32"/>
          <w:szCs w:val="32"/>
          <w:lang w:val="en-US" w:eastAsia="zh-CN" w:bidi="ar"/>
        </w:rPr>
        <w:t>辆，其他用车</w:t>
      </w:r>
      <w:r>
        <w:rPr>
          <w:rFonts w:hint="default" w:ascii="Times New Roman" w:hAnsi="Times New Roman" w:eastAsia="仿宋_GB2312" w:cs="Times New Roman"/>
          <w:kern w:val="2"/>
          <w:sz w:val="32"/>
          <w:szCs w:val="32"/>
          <w:lang w:val="en-US" w:eastAsia="zh-CN" w:bidi="ar"/>
        </w:rPr>
        <w:t>5</w:t>
      </w:r>
      <w:r>
        <w:rPr>
          <w:rFonts w:hint="default" w:ascii="仿宋_GB2312" w:hAnsi="Times New Roman" w:eastAsia="仿宋_GB2312" w:cs="仿宋_GB2312"/>
          <w:kern w:val="2"/>
          <w:sz w:val="32"/>
          <w:szCs w:val="32"/>
          <w:lang w:val="en-US" w:eastAsia="zh-CN" w:bidi="ar"/>
        </w:rPr>
        <w:t>辆。</w:t>
      </w:r>
      <w:r>
        <w:rPr>
          <w:rFonts w:hint="eastAsia" w:ascii="仿宋_GB2312" w:hAnsi="仿宋_GB2312" w:eastAsia="仿宋_GB2312" w:cs="仿宋_GB2312"/>
          <w:sz w:val="32"/>
          <w:szCs w:val="32"/>
        </w:rPr>
        <w:t>其他用车主要是用于</w:t>
      </w:r>
      <w:r>
        <w:rPr>
          <w:rFonts w:hint="eastAsia" w:ascii="仿宋_GB2312" w:hAnsi="仿宋_GB2312" w:eastAsia="仿宋_GB2312" w:cs="仿宋_GB2312"/>
          <w:sz w:val="32"/>
          <w:szCs w:val="32"/>
          <w:lang w:eastAsia="zh-CN"/>
        </w:rPr>
        <w:t>基层医疗机构</w:t>
      </w:r>
      <w:r>
        <w:rPr>
          <w:rFonts w:hint="eastAsia" w:ascii="CESI仿宋-GB2312" w:hAnsi="CESI仿宋-GB2312" w:eastAsia="CESI仿宋-GB2312" w:cs="CESI仿宋-GB2312"/>
          <w:kern w:val="2"/>
          <w:sz w:val="32"/>
          <w:szCs w:val="32"/>
          <w:lang w:val="en-US" w:eastAsia="zh-CN" w:bidi="ar"/>
        </w:rPr>
        <w:t>开展下社区、下乡进行基本公共卫生服务工作。</w:t>
      </w:r>
      <w:r>
        <w:rPr>
          <w:rFonts w:hint="eastAsia" w:ascii="仿宋_GB2312" w:hAnsi="仿宋_GB2312" w:eastAsia="仿宋_GB2312" w:cs="仿宋_GB2312"/>
          <w:sz w:val="32"/>
          <w:szCs w:val="32"/>
        </w:rPr>
        <w:t>单价100万元（含）以上设备（不含车辆）</w:t>
      </w:r>
      <w:r>
        <w:rPr>
          <w:rFonts w:hint="eastAsia" w:ascii="仿宋_GB2312" w:hAnsi="仿宋_GB2312" w:eastAsia="仿宋_GB2312" w:cs="仿宋_GB2312"/>
          <w:sz w:val="32"/>
          <w:szCs w:val="32"/>
          <w:lang w:val="en-US" w:eastAsia="zh-CN"/>
        </w:rPr>
        <w:t>16</w:t>
      </w:r>
      <w:r>
        <w:rPr>
          <w:rFonts w:hint="eastAsia" w:ascii="仿宋_GB2312" w:hAnsi="仿宋_GB2312" w:eastAsia="仿宋_GB2312" w:cs="仿宋_GB2312"/>
          <w:sz w:val="32"/>
          <w:szCs w:val="32"/>
        </w:rPr>
        <w:t>台（套）</w:t>
      </w:r>
      <w:r>
        <w:rPr>
          <w:rFonts w:hint="eastAsia" w:eastAsia="仿宋_GB2312" w:cs="仿宋_GB2312"/>
          <w:sz w:val="32"/>
          <w:szCs w:val="32"/>
        </w:rPr>
        <w:t>。</w:t>
      </w:r>
    </w:p>
    <w:p w14:paraId="35F7FAB7">
      <w:pPr>
        <w:spacing w:line="600" w:lineRule="exact"/>
        <w:ind w:firstLine="643" w:firstLineChars="200"/>
        <w:outlineLvl w:val="2"/>
        <w:rPr>
          <w:rFonts w:eastAsia="楷体_GB2312" w:cs="楷体_GB2312"/>
          <w:b/>
          <w:sz w:val="32"/>
          <w:szCs w:val="32"/>
        </w:rPr>
      </w:pPr>
      <w:bookmarkStart w:id="71" w:name="_Toc1336668796"/>
      <w:r>
        <w:rPr>
          <w:rFonts w:hint="eastAsia" w:eastAsia="楷体_GB2312" w:cs="楷体_GB2312"/>
          <w:b/>
          <w:sz w:val="32"/>
          <w:szCs w:val="32"/>
        </w:rPr>
        <w:t>（四）预算绩效管理情况</w:t>
      </w:r>
      <w:bookmarkEnd w:id="71"/>
    </w:p>
    <w:p w14:paraId="21B28112">
      <w:pPr>
        <w:spacing w:line="600" w:lineRule="exact"/>
        <w:ind w:firstLine="640"/>
        <w:rPr>
          <w:rFonts w:eastAsia="仿宋_GB2312" w:cs="仿宋_GB2312"/>
          <w:sz w:val="32"/>
          <w:szCs w:val="32"/>
        </w:rPr>
      </w:pPr>
      <w:r>
        <w:rPr>
          <w:rFonts w:hint="eastAsia" w:eastAsia="仿宋_GB2312" w:cs="仿宋_GB2312"/>
          <w:sz w:val="32"/>
          <w:szCs w:val="32"/>
        </w:rPr>
        <w:t>根据预算绩效管理要求，</w:t>
      </w:r>
      <w:r>
        <w:rPr>
          <w:rFonts w:hint="eastAsia" w:eastAsia="仿宋_GB2312" w:cs="仿宋_GB2312"/>
          <w:sz w:val="32"/>
          <w:szCs w:val="32"/>
          <w:lang w:eastAsia="zh-CN"/>
        </w:rPr>
        <w:t>盐边县卫生健康局</w:t>
      </w:r>
      <w:r>
        <w:rPr>
          <w:rFonts w:hint="eastAsia" w:eastAsia="仿宋_GB2312" w:cs="仿宋_GB2312"/>
          <w:sz w:val="32"/>
          <w:szCs w:val="32"/>
        </w:rPr>
        <w:t>在2024年度预算编制阶段，组织对</w:t>
      </w:r>
      <w:r>
        <w:rPr>
          <w:rFonts w:hint="eastAsia" w:eastAsia="仿宋_GB2312" w:cs="仿宋_GB2312"/>
          <w:sz w:val="32"/>
          <w:szCs w:val="32"/>
          <w:lang w:eastAsia="zh-CN"/>
        </w:rPr>
        <w:t>基本公共卫生、基本药物补助、医疗服务与保障能力提升项目</w:t>
      </w:r>
      <w:r>
        <w:rPr>
          <w:rFonts w:hint="eastAsia" w:eastAsia="仿宋_GB2312" w:cs="仿宋_GB2312"/>
          <w:sz w:val="32"/>
          <w:szCs w:val="32"/>
        </w:rPr>
        <w:t>等</w:t>
      </w:r>
      <w:r>
        <w:rPr>
          <w:rFonts w:hint="eastAsia" w:eastAsia="仿宋_GB2312" w:cs="仿宋_GB2312"/>
          <w:sz w:val="32"/>
          <w:szCs w:val="32"/>
          <w:lang w:val="en-US" w:eastAsia="zh-CN"/>
        </w:rPr>
        <w:t>77</w:t>
      </w:r>
      <w:r>
        <w:rPr>
          <w:rFonts w:hint="eastAsia" w:eastAsia="仿宋_GB2312" w:cs="仿宋_GB2312"/>
          <w:sz w:val="32"/>
          <w:szCs w:val="32"/>
        </w:rPr>
        <w:t>个项目开展了预算事前绩效评估，对</w:t>
      </w:r>
      <w:r>
        <w:rPr>
          <w:rFonts w:hint="eastAsia" w:eastAsia="仿宋_GB2312" w:cs="仿宋_GB2312"/>
          <w:sz w:val="32"/>
          <w:szCs w:val="32"/>
          <w:lang w:val="en-US" w:eastAsia="zh-CN"/>
        </w:rPr>
        <w:t>77</w:t>
      </w:r>
      <w:r>
        <w:rPr>
          <w:rFonts w:hint="eastAsia" w:eastAsia="仿宋_GB2312" w:cs="仿宋_GB2312"/>
          <w:sz w:val="32"/>
          <w:szCs w:val="32"/>
        </w:rPr>
        <w:t>个项目编制了绩效目标，预算执行过程中，选取</w:t>
      </w:r>
      <w:r>
        <w:rPr>
          <w:rFonts w:hint="eastAsia" w:eastAsia="仿宋_GB2312" w:cs="仿宋_GB2312"/>
          <w:sz w:val="32"/>
          <w:szCs w:val="32"/>
          <w:lang w:val="en-US" w:eastAsia="zh-CN"/>
        </w:rPr>
        <w:t>3</w:t>
      </w:r>
      <w:r>
        <w:rPr>
          <w:rFonts w:hint="eastAsia" w:eastAsia="仿宋_GB2312" w:cs="仿宋_GB2312"/>
          <w:sz w:val="32"/>
          <w:szCs w:val="32"/>
        </w:rPr>
        <w:t>个项目开展绩效监控。</w:t>
      </w:r>
    </w:p>
    <w:p w14:paraId="09975F53">
      <w:pPr>
        <w:keepNext w:val="0"/>
        <w:keepLines w:val="0"/>
        <w:widowControl w:val="0"/>
        <w:suppressLineNumbers w:val="0"/>
        <w:spacing w:before="0" w:beforeAutospacing="0" w:after="0" w:afterAutospacing="0"/>
        <w:ind w:left="0" w:right="0" w:firstLine="640" w:firstLineChars="200"/>
        <w:jc w:val="both"/>
        <w:rPr>
          <w:rFonts w:hint="eastAsia" w:eastAsia="仿宋_GB2312" w:cs="仿宋_GB2312"/>
          <w:sz w:val="32"/>
          <w:szCs w:val="32"/>
        </w:rPr>
      </w:pPr>
      <w:r>
        <w:rPr>
          <w:rFonts w:hint="eastAsia" w:eastAsia="仿宋_GB2312" w:cs="仿宋_GB2312"/>
          <w:sz w:val="32"/>
          <w:szCs w:val="32"/>
        </w:rPr>
        <w:t>组织对2024年度一般公共预算、政府性基金预算等全面开展绩效自评，形成</w:t>
      </w:r>
      <w:r>
        <w:rPr>
          <w:rFonts w:hint="eastAsia" w:eastAsia="仿宋_GB2312" w:cs="仿宋_GB2312"/>
          <w:sz w:val="32"/>
          <w:szCs w:val="32"/>
          <w:lang w:eastAsia="zh-CN"/>
        </w:rPr>
        <w:t>盐边县卫生健康局</w:t>
      </w:r>
      <w:r>
        <w:rPr>
          <w:rFonts w:hint="eastAsia" w:eastAsia="仿宋_GB2312" w:cs="仿宋_GB2312"/>
          <w:sz w:val="32"/>
          <w:szCs w:val="32"/>
        </w:rPr>
        <w:t>部门整体（含部门预算项目）绩效自评报告、</w:t>
      </w:r>
      <w:r>
        <w:rPr>
          <w:rFonts w:hint="default" w:ascii="仿宋_GB2312" w:hAnsi="Times New Roman" w:eastAsia="仿宋_GB2312" w:cs="仿宋_GB2312"/>
          <w:kern w:val="2"/>
          <w:sz w:val="32"/>
          <w:szCs w:val="32"/>
          <w:lang w:val="en-US" w:eastAsia="zh-CN" w:bidi="ar"/>
        </w:rPr>
        <w:t>基本药物补助项目</w:t>
      </w:r>
      <w:r>
        <w:rPr>
          <w:rFonts w:hint="eastAsia" w:ascii="仿宋_GB2312" w:hAnsi="Times New Roman" w:eastAsia="仿宋_GB2312" w:cs="仿宋_GB2312"/>
          <w:kern w:val="2"/>
          <w:sz w:val="32"/>
          <w:szCs w:val="32"/>
          <w:lang w:val="en-US" w:eastAsia="zh-CN" w:bidi="ar"/>
        </w:rPr>
        <w:t>、</w:t>
      </w:r>
      <w:r>
        <w:rPr>
          <w:rFonts w:hint="eastAsia" w:eastAsia="仿宋_GB2312" w:cs="仿宋_GB2312"/>
          <w:sz w:val="32"/>
          <w:szCs w:val="32"/>
          <w:lang w:eastAsia="zh-CN"/>
        </w:rPr>
        <w:t>基本公共卫生</w:t>
      </w:r>
      <w:r>
        <w:rPr>
          <w:rFonts w:hint="eastAsia" w:eastAsia="仿宋_GB2312" w:cs="仿宋_GB2312"/>
          <w:sz w:val="32"/>
          <w:szCs w:val="32"/>
        </w:rPr>
        <w:t>等专项预算项目绩效自评报告，其中，</w:t>
      </w:r>
      <w:r>
        <w:rPr>
          <w:rFonts w:hint="default" w:ascii="仿宋_GB2312" w:hAnsi="Times New Roman" w:eastAsia="仿宋_GB2312" w:cs="仿宋_GB2312"/>
          <w:kern w:val="2"/>
          <w:sz w:val="32"/>
          <w:szCs w:val="32"/>
          <w:lang w:val="en-US" w:eastAsia="zh-CN" w:bidi="ar"/>
        </w:rPr>
        <w:t>盐边县卫生健康局</w:t>
      </w:r>
      <w:r>
        <w:rPr>
          <w:rFonts w:hint="eastAsia" w:eastAsia="仿宋_GB2312" w:cs="仿宋_GB2312"/>
          <w:sz w:val="32"/>
          <w:szCs w:val="32"/>
        </w:rPr>
        <w:t>部门整体（含部门预算项目）绩效自评得分为</w:t>
      </w:r>
      <w:r>
        <w:rPr>
          <w:rFonts w:hint="eastAsia" w:eastAsia="仿宋_GB2312" w:cs="仿宋_GB2312"/>
          <w:sz w:val="32"/>
          <w:szCs w:val="32"/>
          <w:lang w:val="en-US" w:eastAsia="zh-CN"/>
        </w:rPr>
        <w:t>94.2</w:t>
      </w:r>
      <w:r>
        <w:rPr>
          <w:rFonts w:hint="eastAsia" w:eastAsia="仿宋_GB2312" w:cs="仿宋_GB2312"/>
          <w:sz w:val="32"/>
          <w:szCs w:val="32"/>
        </w:rPr>
        <w:t>分，绩效自评综述以习近平总书记关于健康中国建设论述为指引，紧扣“钒钛首县，滋味盐边”发展定位，紧紧围绕高质量发展建设共同富裕试验区目标任务，提升全县卫生健康服务水平，推进改革创新，增强公共卫生服务，优化医疗资源，努力为人民群众提供全方位全周期卫生健康服务</w:t>
      </w:r>
      <w:r>
        <w:rPr>
          <w:rFonts w:hint="eastAsia" w:eastAsia="仿宋_GB2312" w:cs="仿宋_GB2312"/>
          <w:sz w:val="32"/>
          <w:szCs w:val="32"/>
          <w:lang w:eastAsia="zh-CN"/>
        </w:rPr>
        <w:t>，</w:t>
      </w:r>
      <w:r>
        <w:rPr>
          <w:rFonts w:hint="default" w:ascii="Times New Roman" w:hAnsi="Times New Roman" w:eastAsia="方正仿宋_GBK" w:cs="Times New Roman"/>
          <w:kern w:val="2"/>
          <w:sz w:val="32"/>
          <w:szCs w:val="32"/>
          <w:lang w:val="en-US" w:eastAsia="zh-CN" w:bidi="ar"/>
        </w:rPr>
        <w:t>2024</w:t>
      </w:r>
      <w:r>
        <w:rPr>
          <w:rFonts w:hint="eastAsia" w:ascii="方正仿宋_GBK" w:hAnsi="方正仿宋_GBK" w:eastAsia="方正仿宋_GBK" w:cs="方正仿宋_GBK"/>
          <w:kern w:val="2"/>
          <w:sz w:val="32"/>
          <w:szCs w:val="32"/>
          <w:lang w:val="en-US" w:eastAsia="zh-CN" w:bidi="ar"/>
        </w:rPr>
        <w:t>年预算项目绩效目标完成良好，大部分目标完成，不存在挤占、挪用、闲置资金情况，最大限度发挥了资金作用，服务对象满意率较高</w:t>
      </w:r>
      <w:r>
        <w:rPr>
          <w:rFonts w:hint="eastAsia" w:eastAsia="仿宋_GB2312" w:cs="仿宋_GB2312"/>
          <w:sz w:val="32"/>
          <w:szCs w:val="32"/>
        </w:rPr>
        <w:t>；</w:t>
      </w:r>
      <w:r>
        <w:rPr>
          <w:rFonts w:hint="default" w:ascii="仿宋_GB2312" w:hAnsi="Times New Roman" w:eastAsia="仿宋_GB2312" w:cs="仿宋_GB2312"/>
          <w:kern w:val="2"/>
          <w:sz w:val="32"/>
          <w:szCs w:val="32"/>
          <w:lang w:val="en-US" w:eastAsia="zh-CN" w:bidi="ar"/>
        </w:rPr>
        <w:t>基本公共卫生</w:t>
      </w:r>
      <w:r>
        <w:rPr>
          <w:rFonts w:hint="eastAsia" w:ascii="仿宋_GB2312" w:hAnsi="Times New Roman" w:eastAsia="仿宋_GB2312" w:cs="仿宋_GB2312"/>
          <w:kern w:val="2"/>
          <w:sz w:val="32"/>
          <w:szCs w:val="32"/>
          <w:lang w:val="en-US" w:eastAsia="zh-CN" w:bidi="ar"/>
        </w:rPr>
        <w:t>服务项目</w:t>
      </w:r>
      <w:r>
        <w:rPr>
          <w:rFonts w:hint="eastAsia" w:eastAsia="仿宋_GB2312" w:cs="仿宋_GB2312"/>
          <w:sz w:val="32"/>
          <w:szCs w:val="32"/>
        </w:rPr>
        <w:t>专项预算项目绩效自评得分为</w:t>
      </w:r>
      <w:r>
        <w:rPr>
          <w:rFonts w:hint="eastAsia" w:eastAsia="仿宋_GB2312" w:cs="仿宋_GB2312"/>
          <w:sz w:val="32"/>
          <w:szCs w:val="32"/>
          <w:lang w:val="en-US" w:eastAsia="zh-CN"/>
        </w:rPr>
        <w:t>100</w:t>
      </w:r>
      <w:r>
        <w:rPr>
          <w:rFonts w:hint="eastAsia" w:eastAsia="仿宋_GB2312" w:cs="仿宋_GB2312"/>
          <w:sz w:val="32"/>
          <w:szCs w:val="32"/>
        </w:rPr>
        <w:t>分，绩效自评综述该项目的实施有助于完善县域公共医疗卫生基础设施，将进一步改善群众看病就医环境和医疗卫生条件，有利于提高医务工作者的积极性，有利于促进医护质量的全面提高。项目在建设期为周边群众提供就业机会，对稳定当地的社会秩序有一定的促进作用。项目按时间节点完成年度任务；</w:t>
      </w:r>
      <w:r>
        <w:rPr>
          <w:rFonts w:hint="default" w:ascii="仿宋_GB2312" w:hAnsi="Times New Roman" w:eastAsia="仿宋_GB2312" w:cs="仿宋_GB2312"/>
          <w:kern w:val="2"/>
          <w:sz w:val="32"/>
          <w:szCs w:val="32"/>
          <w:lang w:val="en-US" w:eastAsia="zh-CN" w:bidi="ar"/>
        </w:rPr>
        <w:t>基本药物补助项目</w:t>
      </w:r>
      <w:r>
        <w:rPr>
          <w:rFonts w:hint="eastAsia" w:eastAsia="仿宋_GB2312" w:cs="仿宋_GB2312"/>
          <w:sz w:val="32"/>
          <w:szCs w:val="32"/>
        </w:rPr>
        <w:t>专项预算项目绩效自评得分为</w:t>
      </w:r>
      <w:r>
        <w:rPr>
          <w:rFonts w:hint="eastAsia" w:eastAsia="仿宋_GB2312" w:cs="仿宋_GB2312"/>
          <w:sz w:val="32"/>
          <w:szCs w:val="32"/>
          <w:lang w:val="en-US" w:eastAsia="zh-CN"/>
        </w:rPr>
        <w:t>100</w:t>
      </w:r>
      <w:r>
        <w:rPr>
          <w:rFonts w:hint="eastAsia" w:eastAsia="仿宋_GB2312" w:cs="仿宋_GB2312"/>
          <w:sz w:val="32"/>
          <w:szCs w:val="32"/>
        </w:rPr>
        <w:t>分，绩效自评综述2024年基本药物补助资金项目在卫生健康局的统筹安排下，在财政部门的支持下，通过项目单位（基层医疗机构和村卫生）共同努力下达到支持基层医疗卫生机构实施国家基本药物制度的目的。社区卫生服务中心和乡镇卫生院，弥补核定收支后的经常性收支差额补助、推进基层医疗卫生机构综合改革等符合政府卫生投入政策落地见效。实施基本药物制度的村卫生室，乡村医生的收入补助得到提高。基层医疗机构的就医环境、服务能力、服务流程进一步改善，人民群众的获得感和满意度进一步提升，基层医疗机构医防结合能力得到加强。</w:t>
      </w:r>
    </w:p>
    <w:p w14:paraId="35F2361B">
      <w:pPr>
        <w:keepNext w:val="0"/>
        <w:keepLines w:val="0"/>
        <w:widowControl w:val="0"/>
        <w:suppressLineNumbers w:val="0"/>
        <w:spacing w:before="0" w:beforeAutospacing="0" w:after="0" w:afterAutospacing="0"/>
        <w:ind w:left="0" w:right="0"/>
        <w:jc w:val="both"/>
        <w:rPr>
          <w:rFonts w:hint="eastAsia" w:eastAsia="仿宋_GB2312" w:cs="仿宋_GB2312"/>
          <w:sz w:val="32"/>
          <w:szCs w:val="32"/>
        </w:rPr>
      </w:pPr>
    </w:p>
    <w:p w14:paraId="0EA06896">
      <w:pPr>
        <w:keepNext w:val="0"/>
        <w:keepLines w:val="0"/>
        <w:widowControl w:val="0"/>
        <w:suppressLineNumbers w:val="0"/>
        <w:spacing w:before="0" w:beforeAutospacing="0" w:after="0" w:afterAutospacing="0"/>
        <w:ind w:left="0" w:right="0"/>
        <w:jc w:val="both"/>
        <w:rPr>
          <w:rFonts w:hint="eastAsia" w:eastAsia="仿宋_GB2312" w:cs="仿宋_GB2312"/>
          <w:sz w:val="32"/>
          <w:szCs w:val="32"/>
        </w:rPr>
      </w:pPr>
    </w:p>
    <w:p w14:paraId="72F40217">
      <w:pPr>
        <w:keepNext w:val="0"/>
        <w:keepLines w:val="0"/>
        <w:widowControl w:val="0"/>
        <w:suppressLineNumbers w:val="0"/>
        <w:spacing w:before="0" w:beforeAutospacing="0" w:after="0" w:afterAutospacing="0"/>
        <w:ind w:left="0" w:right="0"/>
        <w:jc w:val="both"/>
        <w:rPr>
          <w:rFonts w:hint="eastAsia" w:eastAsia="仿宋_GB2312" w:cs="仿宋_GB2312"/>
          <w:sz w:val="32"/>
          <w:szCs w:val="32"/>
        </w:rPr>
      </w:pPr>
    </w:p>
    <w:p w14:paraId="5C31E215">
      <w:pPr>
        <w:keepNext w:val="0"/>
        <w:keepLines w:val="0"/>
        <w:widowControl w:val="0"/>
        <w:suppressLineNumbers w:val="0"/>
        <w:spacing w:before="0" w:beforeAutospacing="0" w:after="0" w:afterAutospacing="0"/>
        <w:ind w:left="0" w:right="0"/>
        <w:jc w:val="both"/>
        <w:rPr>
          <w:rFonts w:hint="eastAsia" w:eastAsia="仿宋_GB2312" w:cs="仿宋_GB2312"/>
          <w:sz w:val="32"/>
          <w:szCs w:val="32"/>
        </w:rPr>
      </w:pPr>
    </w:p>
    <w:p w14:paraId="3BB7BDC6">
      <w:pPr>
        <w:keepNext w:val="0"/>
        <w:keepLines w:val="0"/>
        <w:widowControl w:val="0"/>
        <w:suppressLineNumbers w:val="0"/>
        <w:spacing w:before="0" w:beforeAutospacing="0" w:after="0" w:afterAutospacing="0"/>
        <w:ind w:left="0" w:right="0"/>
        <w:jc w:val="both"/>
        <w:rPr>
          <w:rFonts w:hint="eastAsia" w:eastAsia="仿宋_GB2312" w:cs="仿宋_GB2312"/>
          <w:sz w:val="32"/>
          <w:szCs w:val="32"/>
        </w:rPr>
      </w:pPr>
    </w:p>
    <w:p w14:paraId="3B63C17C">
      <w:pPr>
        <w:keepNext w:val="0"/>
        <w:keepLines w:val="0"/>
        <w:widowControl w:val="0"/>
        <w:suppressLineNumbers w:val="0"/>
        <w:spacing w:before="0" w:beforeAutospacing="0" w:after="0" w:afterAutospacing="0"/>
        <w:ind w:left="0" w:right="0"/>
        <w:jc w:val="both"/>
        <w:rPr>
          <w:rFonts w:hint="eastAsia" w:eastAsia="仿宋_GB2312" w:cs="仿宋_GB2312"/>
          <w:sz w:val="32"/>
          <w:szCs w:val="32"/>
        </w:rPr>
      </w:pPr>
    </w:p>
    <w:p w14:paraId="7496830A">
      <w:pPr>
        <w:keepNext w:val="0"/>
        <w:keepLines w:val="0"/>
        <w:widowControl w:val="0"/>
        <w:suppressLineNumbers w:val="0"/>
        <w:spacing w:before="0" w:beforeAutospacing="0" w:after="0" w:afterAutospacing="0"/>
        <w:ind w:left="0" w:right="0"/>
        <w:jc w:val="both"/>
        <w:rPr>
          <w:rFonts w:hint="eastAsia" w:eastAsia="仿宋_GB2312" w:cs="仿宋_GB2312"/>
          <w:sz w:val="32"/>
          <w:szCs w:val="32"/>
        </w:rPr>
      </w:pPr>
    </w:p>
    <w:p w14:paraId="47420857">
      <w:pPr>
        <w:keepNext w:val="0"/>
        <w:keepLines w:val="0"/>
        <w:widowControl w:val="0"/>
        <w:suppressLineNumbers w:val="0"/>
        <w:spacing w:before="0" w:beforeAutospacing="0" w:after="0" w:afterAutospacing="0"/>
        <w:ind w:left="0" w:right="0"/>
        <w:jc w:val="both"/>
        <w:rPr>
          <w:rFonts w:hint="eastAsia" w:eastAsia="仿宋_GB2312" w:cs="仿宋_GB2312"/>
          <w:sz w:val="32"/>
          <w:szCs w:val="32"/>
        </w:rPr>
      </w:pPr>
    </w:p>
    <w:p w14:paraId="0BF60E9B">
      <w:pPr>
        <w:keepNext w:val="0"/>
        <w:keepLines w:val="0"/>
        <w:widowControl w:val="0"/>
        <w:suppressLineNumbers w:val="0"/>
        <w:spacing w:before="0" w:beforeAutospacing="0" w:after="0" w:afterAutospacing="0"/>
        <w:ind w:left="0" w:right="0"/>
        <w:jc w:val="both"/>
        <w:rPr>
          <w:rFonts w:hint="eastAsia" w:eastAsia="仿宋_GB2312" w:cs="仿宋_GB2312"/>
          <w:sz w:val="32"/>
          <w:szCs w:val="32"/>
        </w:rPr>
      </w:pPr>
    </w:p>
    <w:p w14:paraId="530B1A58">
      <w:pPr>
        <w:keepNext w:val="0"/>
        <w:keepLines w:val="0"/>
        <w:widowControl w:val="0"/>
        <w:suppressLineNumbers w:val="0"/>
        <w:spacing w:before="0" w:beforeAutospacing="0" w:after="0" w:afterAutospacing="0"/>
        <w:ind w:left="0" w:right="0"/>
        <w:jc w:val="both"/>
        <w:rPr>
          <w:rFonts w:hint="eastAsia" w:eastAsia="仿宋_GB2312" w:cs="仿宋_GB2312"/>
          <w:sz w:val="32"/>
          <w:szCs w:val="32"/>
        </w:rPr>
      </w:pPr>
    </w:p>
    <w:p w14:paraId="5789946E">
      <w:pPr>
        <w:keepNext w:val="0"/>
        <w:keepLines w:val="0"/>
        <w:widowControl w:val="0"/>
        <w:suppressLineNumbers w:val="0"/>
        <w:spacing w:before="0" w:beforeAutospacing="0" w:after="0" w:afterAutospacing="0"/>
        <w:ind w:left="0" w:right="0"/>
        <w:jc w:val="both"/>
        <w:rPr>
          <w:rFonts w:hint="eastAsia" w:eastAsia="仿宋_GB2312" w:cs="仿宋_GB2312"/>
          <w:sz w:val="32"/>
          <w:szCs w:val="32"/>
        </w:rPr>
      </w:pPr>
    </w:p>
    <w:p w14:paraId="319B9004">
      <w:pPr>
        <w:keepNext w:val="0"/>
        <w:keepLines w:val="0"/>
        <w:widowControl w:val="0"/>
        <w:suppressLineNumbers w:val="0"/>
        <w:spacing w:before="0" w:beforeAutospacing="0" w:after="0" w:afterAutospacing="0"/>
        <w:ind w:left="0" w:right="0"/>
        <w:jc w:val="both"/>
        <w:rPr>
          <w:rFonts w:hint="eastAsia" w:eastAsia="仿宋_GB2312" w:cs="仿宋_GB2312"/>
          <w:sz w:val="32"/>
          <w:szCs w:val="32"/>
        </w:rPr>
      </w:pPr>
    </w:p>
    <w:p w14:paraId="715B92B6">
      <w:pPr>
        <w:keepNext w:val="0"/>
        <w:keepLines w:val="0"/>
        <w:widowControl w:val="0"/>
        <w:suppressLineNumbers w:val="0"/>
        <w:spacing w:before="0" w:beforeAutospacing="0" w:after="0" w:afterAutospacing="0"/>
        <w:ind w:left="0" w:right="0"/>
        <w:jc w:val="both"/>
        <w:rPr>
          <w:rFonts w:hint="eastAsia" w:eastAsia="仿宋_GB2312" w:cs="仿宋_GB2312"/>
          <w:sz w:val="32"/>
          <w:szCs w:val="32"/>
        </w:rPr>
      </w:pPr>
    </w:p>
    <w:p w14:paraId="1AF46698">
      <w:pPr>
        <w:spacing w:line="600" w:lineRule="exact"/>
        <w:jc w:val="center"/>
        <w:outlineLvl w:val="0"/>
        <w:rPr>
          <w:rFonts w:eastAsia="黑体"/>
          <w:sz w:val="44"/>
          <w:szCs w:val="44"/>
        </w:rPr>
      </w:pPr>
      <w:bookmarkStart w:id="72" w:name="_Toc15396613"/>
      <w:bookmarkStart w:id="73" w:name="_Toc15377225"/>
      <w:bookmarkStart w:id="74" w:name="_Toc882399388"/>
      <w:r>
        <w:rPr>
          <w:rFonts w:hint="eastAsia" w:eastAsia="黑体"/>
          <w:sz w:val="44"/>
          <w:szCs w:val="44"/>
        </w:rPr>
        <w:t>第三部分  名词解释</w:t>
      </w:r>
      <w:bookmarkEnd w:id="72"/>
      <w:bookmarkEnd w:id="73"/>
      <w:bookmarkEnd w:id="74"/>
    </w:p>
    <w:p w14:paraId="2A078E41">
      <w:pPr>
        <w:spacing w:line="600" w:lineRule="exact"/>
        <w:jc w:val="left"/>
        <w:rPr>
          <w:b/>
          <w:sz w:val="44"/>
          <w:szCs w:val="44"/>
        </w:rPr>
      </w:pPr>
    </w:p>
    <w:p w14:paraId="494C5E14">
      <w:pPr>
        <w:spacing w:line="600" w:lineRule="exact"/>
        <w:ind w:firstLine="640"/>
        <w:rPr>
          <w:rFonts w:eastAsia="仿宋_GB2312" w:cs="仿宋_GB2312"/>
          <w:sz w:val="32"/>
          <w:szCs w:val="32"/>
        </w:rPr>
      </w:pPr>
      <w:r>
        <w:rPr>
          <w:rFonts w:hint="eastAsia" w:eastAsia="仿宋_GB2312" w:cs="仿宋_GB2312"/>
          <w:sz w:val="32"/>
          <w:szCs w:val="32"/>
        </w:rPr>
        <w:t>1.财政拨款收入：指单位从同级财政部门取得的财政预算资金。</w:t>
      </w:r>
    </w:p>
    <w:p w14:paraId="1DD15955">
      <w:pPr>
        <w:spacing w:line="600" w:lineRule="exact"/>
        <w:ind w:firstLine="640"/>
        <w:rPr>
          <w:rFonts w:eastAsia="仿宋_GB2312" w:cs="仿宋_GB2312"/>
          <w:sz w:val="32"/>
          <w:szCs w:val="32"/>
        </w:rPr>
      </w:pPr>
      <w:r>
        <w:rPr>
          <w:rFonts w:hint="eastAsia" w:eastAsia="仿宋_GB2312" w:cs="仿宋_GB2312"/>
          <w:sz w:val="32"/>
          <w:szCs w:val="32"/>
        </w:rPr>
        <w:t>2.事业收入：指事业单位开展专业业务活动及辅助活动取得的收入。如</w:t>
      </w:r>
      <w:r>
        <w:rPr>
          <w:rFonts w:hint="eastAsia" w:eastAsia="仿宋_GB2312" w:cs="仿宋_GB2312"/>
          <w:sz w:val="32"/>
          <w:szCs w:val="32"/>
          <w:lang w:eastAsia="zh-CN"/>
        </w:rPr>
        <w:t>医疗机构门急诊收入、住院收入</w:t>
      </w:r>
      <w:r>
        <w:rPr>
          <w:rFonts w:hint="eastAsia" w:eastAsia="仿宋_GB2312" w:cs="仿宋_GB2312"/>
          <w:sz w:val="32"/>
          <w:szCs w:val="32"/>
        </w:rPr>
        <w:t>等。</w:t>
      </w:r>
    </w:p>
    <w:p w14:paraId="2C33437C">
      <w:pPr>
        <w:spacing w:line="600" w:lineRule="exact"/>
        <w:ind w:firstLine="640"/>
        <w:rPr>
          <w:rFonts w:eastAsia="仿宋_GB2312" w:cs="仿宋_GB2312"/>
          <w:sz w:val="32"/>
          <w:szCs w:val="32"/>
        </w:rPr>
      </w:pPr>
      <w:r>
        <w:rPr>
          <w:rFonts w:hint="eastAsia" w:eastAsia="仿宋_GB2312" w:cs="仿宋_GB2312"/>
          <w:sz w:val="32"/>
          <w:szCs w:val="32"/>
        </w:rPr>
        <w:t>3.其他收入：指单位取得的除上述收入以外的各项收入。主要是</w:t>
      </w:r>
      <w:r>
        <w:rPr>
          <w:rFonts w:hint="eastAsia" w:eastAsia="仿宋_GB2312" w:cs="仿宋_GB2312"/>
          <w:sz w:val="32"/>
          <w:szCs w:val="32"/>
          <w:lang w:eastAsia="zh-CN"/>
        </w:rPr>
        <w:t>市级资金</w:t>
      </w:r>
      <w:r>
        <w:rPr>
          <w:rFonts w:hint="eastAsia" w:eastAsia="仿宋_GB2312" w:cs="仿宋_GB2312"/>
          <w:sz w:val="32"/>
          <w:szCs w:val="32"/>
        </w:rPr>
        <w:t xml:space="preserve">等。 </w:t>
      </w:r>
    </w:p>
    <w:p w14:paraId="4FBBDBA2">
      <w:pPr>
        <w:spacing w:line="600" w:lineRule="exact"/>
        <w:ind w:firstLine="640"/>
        <w:rPr>
          <w:rFonts w:eastAsia="仿宋_GB2312" w:cs="仿宋_GB2312"/>
          <w:sz w:val="32"/>
          <w:szCs w:val="32"/>
        </w:rPr>
      </w:pPr>
      <w:r>
        <w:rPr>
          <w:rFonts w:hint="eastAsia" w:eastAsia="仿宋_GB2312" w:cs="仿宋_GB2312"/>
          <w:sz w:val="32"/>
          <w:szCs w:val="32"/>
          <w:lang w:val="en-US" w:eastAsia="zh-CN"/>
        </w:rPr>
        <w:t>4</w:t>
      </w:r>
      <w:r>
        <w:rPr>
          <w:rFonts w:hint="eastAsia" w:eastAsia="仿宋_GB2312" w:cs="仿宋_GB2312"/>
          <w:sz w:val="32"/>
          <w:szCs w:val="32"/>
        </w:rPr>
        <w:t xml:space="preserve">.使用非财政拨款结余（含专用结余）：指事业单位使用以前年度积累的非财政拨款结余弥补当年收支差额的金额。 </w:t>
      </w:r>
    </w:p>
    <w:p w14:paraId="75BA6ABD">
      <w:pPr>
        <w:spacing w:line="600" w:lineRule="exact"/>
        <w:ind w:firstLine="640"/>
        <w:rPr>
          <w:rFonts w:eastAsia="仿宋_GB2312" w:cs="仿宋_GB2312"/>
          <w:sz w:val="32"/>
          <w:szCs w:val="32"/>
        </w:rPr>
      </w:pPr>
      <w:r>
        <w:rPr>
          <w:rFonts w:hint="eastAsia" w:eastAsia="仿宋_GB2312" w:cs="仿宋_GB2312"/>
          <w:sz w:val="32"/>
          <w:szCs w:val="32"/>
          <w:lang w:val="en-US" w:eastAsia="zh-CN"/>
        </w:rPr>
        <w:t>5</w:t>
      </w:r>
      <w:r>
        <w:rPr>
          <w:rFonts w:hint="eastAsia" w:eastAsia="仿宋_GB2312" w:cs="仿宋_GB2312"/>
          <w:sz w:val="32"/>
          <w:szCs w:val="32"/>
        </w:rPr>
        <w:t xml:space="preserve">.年初结转和结余：指以前年度尚未完成、结转到本年按有关规定继续使用的资金。 </w:t>
      </w:r>
    </w:p>
    <w:p w14:paraId="0BB507E5">
      <w:pPr>
        <w:spacing w:line="600" w:lineRule="exact"/>
        <w:ind w:firstLine="640"/>
        <w:rPr>
          <w:rFonts w:eastAsia="仿宋_GB2312" w:cs="仿宋_GB2312"/>
          <w:sz w:val="32"/>
          <w:szCs w:val="32"/>
        </w:rPr>
      </w:pPr>
      <w:r>
        <w:rPr>
          <w:rFonts w:hint="eastAsia" w:eastAsia="仿宋_GB2312" w:cs="仿宋_GB2312"/>
          <w:sz w:val="32"/>
          <w:szCs w:val="32"/>
          <w:lang w:val="en-US" w:eastAsia="zh-CN"/>
        </w:rPr>
        <w:t>6</w:t>
      </w:r>
      <w:r>
        <w:rPr>
          <w:rFonts w:hint="eastAsia" w:eastAsia="仿宋_GB2312" w:cs="仿宋_GB2312"/>
          <w:sz w:val="32"/>
          <w:szCs w:val="32"/>
        </w:rPr>
        <w:t>.结余分配：指事业单位按照会计制度规定缴纳的所得税、提取的专用结余以及转入非财政拨款结余的金额等。</w:t>
      </w:r>
    </w:p>
    <w:p w14:paraId="76944686">
      <w:pPr>
        <w:spacing w:line="600" w:lineRule="exact"/>
        <w:ind w:firstLine="640"/>
        <w:rPr>
          <w:rFonts w:eastAsia="仿宋_GB2312" w:cs="仿宋_GB2312"/>
          <w:sz w:val="32"/>
          <w:szCs w:val="32"/>
        </w:rPr>
      </w:pPr>
      <w:r>
        <w:rPr>
          <w:rFonts w:hint="eastAsia" w:eastAsia="仿宋_GB2312" w:cs="仿宋_GB2312"/>
          <w:sz w:val="32"/>
          <w:szCs w:val="32"/>
          <w:lang w:val="en-US" w:eastAsia="zh-CN"/>
        </w:rPr>
        <w:t>7</w:t>
      </w:r>
      <w:r>
        <w:rPr>
          <w:rFonts w:hint="eastAsia" w:eastAsia="仿宋_GB2312" w:cs="仿宋_GB2312"/>
          <w:sz w:val="32"/>
          <w:szCs w:val="32"/>
        </w:rPr>
        <w:t>.年末结转和结余：指单位按有关规定结转到下年或以后年度继续使用的资金。</w:t>
      </w:r>
    </w:p>
    <w:p w14:paraId="3730D4CD">
      <w:pPr>
        <w:keepNext w:val="0"/>
        <w:keepLines w:val="0"/>
        <w:widowControl w:val="0"/>
        <w:suppressLineNumbers w:val="0"/>
        <w:spacing w:before="0" w:beforeAutospacing="0" w:after="0" w:afterAutospacing="0"/>
        <w:ind w:left="0" w:right="0" w:firstLine="640" w:firstLineChars="200"/>
        <w:jc w:val="both"/>
        <w:rPr>
          <w:rFonts w:hint="eastAsia" w:ascii="CESI仿宋-GB2312" w:hAnsi="CESI仿宋-GB2312" w:eastAsia="CESI仿宋-GB2312" w:cs="CESI仿宋-GB2312"/>
          <w:kern w:val="2"/>
          <w:sz w:val="32"/>
          <w:szCs w:val="32"/>
        </w:rPr>
      </w:pPr>
      <w:r>
        <w:rPr>
          <w:rFonts w:hint="eastAsia" w:eastAsia="仿宋_GB2312" w:cs="仿宋_GB2312"/>
          <w:sz w:val="32"/>
          <w:szCs w:val="32"/>
          <w:lang w:val="en-US" w:eastAsia="zh-CN"/>
        </w:rPr>
        <w:t>8</w:t>
      </w:r>
      <w:r>
        <w:rPr>
          <w:rFonts w:hint="eastAsia" w:eastAsia="仿宋_GB2312" w:cs="仿宋_GB2312"/>
          <w:sz w:val="32"/>
          <w:szCs w:val="32"/>
        </w:rPr>
        <w:t>.</w:t>
      </w:r>
      <w:r>
        <w:rPr>
          <w:rFonts w:hint="eastAsia" w:ascii="CESI仿宋-GB2312" w:hAnsi="CESI仿宋-GB2312" w:eastAsia="CESI仿宋-GB2312" w:cs="CESI仿宋-GB2312"/>
          <w:kern w:val="2"/>
          <w:sz w:val="32"/>
          <w:szCs w:val="32"/>
          <w:lang w:val="en-US" w:eastAsia="zh-CN" w:bidi="ar"/>
        </w:rPr>
        <w:t>一般公共服务（类）组织服务（款）一般行政管理事务（项）:反映行政单位未单独设置项级科目的其他项目支出。</w:t>
      </w:r>
    </w:p>
    <w:p w14:paraId="6C6E8FF7">
      <w:pPr>
        <w:keepNext w:val="0"/>
        <w:keepLines w:val="0"/>
        <w:widowControl w:val="0"/>
        <w:suppressLineNumbers w:val="0"/>
        <w:spacing w:before="0" w:beforeAutospacing="0" w:after="0" w:afterAutospacing="0"/>
        <w:ind w:left="0" w:right="0" w:firstLine="640" w:firstLineChars="200"/>
        <w:jc w:val="both"/>
        <w:rPr>
          <w:rFonts w:hint="eastAsia" w:ascii="CESI仿宋-GB2312" w:hAnsi="CESI仿宋-GB2312" w:eastAsia="CESI仿宋-GB2312" w:cs="CESI仿宋-GB2312"/>
          <w:kern w:val="2"/>
          <w:sz w:val="32"/>
          <w:szCs w:val="32"/>
        </w:rPr>
      </w:pPr>
      <w:r>
        <w:rPr>
          <w:rFonts w:hint="eastAsia" w:ascii="Times New Roman" w:hAnsi="Times New Roman" w:eastAsia="仿宋_GB2312" w:cs="Times New Roman"/>
          <w:kern w:val="2"/>
          <w:sz w:val="32"/>
          <w:szCs w:val="32"/>
          <w:lang w:val="en-US" w:eastAsia="zh-CN" w:bidi="ar"/>
        </w:rPr>
        <w:t>9</w:t>
      </w:r>
      <w:r>
        <w:rPr>
          <w:rFonts w:hint="default" w:ascii="Times New Roman" w:hAnsi="Times New Roman" w:eastAsia="仿宋_GB2312" w:cs="Times New Roman"/>
          <w:kern w:val="2"/>
          <w:sz w:val="32"/>
          <w:szCs w:val="32"/>
          <w:lang w:val="en-US" w:eastAsia="zh-CN" w:bidi="ar"/>
        </w:rPr>
        <w:t>.</w:t>
      </w:r>
      <w:r>
        <w:rPr>
          <w:rFonts w:hint="eastAsia" w:ascii="CESI仿宋-GB2312" w:hAnsi="CESI仿宋-GB2312" w:eastAsia="CESI仿宋-GB2312" w:cs="CESI仿宋-GB2312"/>
          <w:kern w:val="2"/>
          <w:sz w:val="32"/>
          <w:szCs w:val="32"/>
          <w:lang w:val="en-US" w:eastAsia="zh-CN" w:bidi="ar"/>
        </w:rPr>
        <w:t>社会保障和就业（类）行政事业单位养老支出（款）:行政单位离退休（项）: 反映行政单位（包括实行公务员管理的事业单位）开支的离退休经费。</w:t>
      </w:r>
    </w:p>
    <w:p w14:paraId="57B969B3">
      <w:pPr>
        <w:keepNext w:val="0"/>
        <w:keepLines w:val="0"/>
        <w:widowControl w:val="0"/>
        <w:suppressLineNumbers w:val="0"/>
        <w:spacing w:before="0" w:beforeAutospacing="0" w:after="0" w:afterAutospacing="0"/>
        <w:ind w:left="0" w:right="0" w:firstLine="640" w:firstLineChars="200"/>
        <w:jc w:val="both"/>
        <w:rPr>
          <w:rFonts w:hint="eastAsia" w:ascii="CESI仿宋-GB2312" w:hAnsi="CESI仿宋-GB2312" w:eastAsia="CESI仿宋-GB2312" w:cs="CESI仿宋-GB2312"/>
          <w:kern w:val="2"/>
          <w:sz w:val="32"/>
          <w:szCs w:val="32"/>
        </w:rPr>
      </w:pPr>
      <w:r>
        <w:rPr>
          <w:rFonts w:hint="eastAsia" w:ascii="Times New Roman" w:hAnsi="Times New Roman" w:eastAsia="仿宋_GB2312" w:cs="Times New Roman"/>
          <w:kern w:val="2"/>
          <w:sz w:val="32"/>
          <w:szCs w:val="32"/>
          <w:lang w:val="en-US" w:eastAsia="zh-CN" w:bidi="ar"/>
        </w:rPr>
        <w:t>10</w:t>
      </w:r>
      <w:r>
        <w:rPr>
          <w:rFonts w:hint="default" w:ascii="Times New Roman" w:hAnsi="Times New Roman" w:eastAsia="仿宋_GB2312" w:cs="Times New Roman"/>
          <w:kern w:val="2"/>
          <w:sz w:val="32"/>
          <w:szCs w:val="32"/>
          <w:lang w:val="en-US" w:eastAsia="zh-CN" w:bidi="ar"/>
        </w:rPr>
        <w:t>.</w:t>
      </w:r>
      <w:r>
        <w:rPr>
          <w:rFonts w:hint="eastAsia" w:ascii="CESI仿宋-GB2312" w:hAnsi="CESI仿宋-GB2312" w:eastAsia="CESI仿宋-GB2312" w:cs="CESI仿宋-GB2312"/>
          <w:kern w:val="2"/>
          <w:sz w:val="32"/>
          <w:szCs w:val="32"/>
          <w:lang w:val="en-US" w:eastAsia="zh-CN" w:bidi="ar"/>
        </w:rPr>
        <w:t>社会保障和就业（类）行政事业单位养老支出（款）:事业单位离退休（项）: 反映事业单位开支的离退休经费。</w:t>
      </w:r>
    </w:p>
    <w:p w14:paraId="3A9187BE">
      <w:pPr>
        <w:keepNext w:val="0"/>
        <w:keepLines w:val="0"/>
        <w:widowControl w:val="0"/>
        <w:suppressLineNumbers w:val="0"/>
        <w:spacing w:before="0" w:beforeAutospacing="0" w:after="0" w:afterAutospacing="0"/>
        <w:ind w:left="0" w:right="0" w:firstLine="640" w:firstLineChars="200"/>
        <w:jc w:val="both"/>
        <w:rPr>
          <w:rFonts w:hint="eastAsia" w:ascii="CESI仿宋-GB2312" w:hAnsi="CESI仿宋-GB2312" w:eastAsia="CESI仿宋-GB2312" w:cs="CESI仿宋-GB2312"/>
          <w:kern w:val="2"/>
          <w:sz w:val="32"/>
          <w:szCs w:val="32"/>
        </w:rPr>
      </w:pPr>
      <w:r>
        <w:rPr>
          <w:rFonts w:hint="default" w:ascii="Times New Roman" w:hAnsi="Times New Roman" w:eastAsia="仿宋_GB2312" w:cs="Times New Roman"/>
          <w:kern w:val="2"/>
          <w:sz w:val="32"/>
          <w:szCs w:val="32"/>
          <w:lang w:val="en-US" w:eastAsia="zh-CN" w:bidi="ar"/>
        </w:rPr>
        <w:t>1</w:t>
      </w:r>
      <w:r>
        <w:rPr>
          <w:rFonts w:hint="eastAsia" w:ascii="Times New Roman" w:hAnsi="Times New Roman" w:eastAsia="仿宋_GB2312" w:cs="Times New Roman"/>
          <w:kern w:val="2"/>
          <w:sz w:val="32"/>
          <w:szCs w:val="32"/>
          <w:lang w:val="en-US" w:eastAsia="zh-CN" w:bidi="ar"/>
        </w:rPr>
        <w:t>1</w:t>
      </w:r>
      <w:r>
        <w:rPr>
          <w:rFonts w:hint="default" w:ascii="Times New Roman" w:hAnsi="Times New Roman" w:eastAsia="仿宋_GB2312" w:cs="Times New Roman"/>
          <w:kern w:val="2"/>
          <w:sz w:val="32"/>
          <w:szCs w:val="32"/>
          <w:lang w:val="en-US" w:eastAsia="zh-CN" w:bidi="ar"/>
        </w:rPr>
        <w:t>.</w:t>
      </w:r>
      <w:r>
        <w:rPr>
          <w:rFonts w:hint="eastAsia" w:ascii="CESI仿宋-GB2312" w:hAnsi="CESI仿宋-GB2312" w:eastAsia="CESI仿宋-GB2312" w:cs="CESI仿宋-GB2312"/>
          <w:kern w:val="2"/>
          <w:sz w:val="32"/>
          <w:szCs w:val="32"/>
          <w:lang w:val="en-US" w:eastAsia="zh-CN" w:bidi="ar"/>
        </w:rPr>
        <w:t>社会保障和就业（类）行政事业单位养老支出（款）:机关事业单位基本养老保险缴费支出（项）: 反映机关事业单位实施养老保险制度由单位缴纳的基本养老保险支出。</w:t>
      </w:r>
    </w:p>
    <w:p w14:paraId="6CFACC56">
      <w:pPr>
        <w:keepNext w:val="0"/>
        <w:keepLines w:val="0"/>
        <w:widowControl w:val="0"/>
        <w:suppressLineNumbers w:val="0"/>
        <w:spacing w:before="0" w:beforeAutospacing="0" w:after="0" w:afterAutospacing="0"/>
        <w:ind w:left="0" w:right="0" w:firstLine="640" w:firstLineChars="200"/>
        <w:jc w:val="both"/>
        <w:rPr>
          <w:rFonts w:hint="eastAsia" w:ascii="CESI仿宋-GB2312" w:hAnsi="CESI仿宋-GB2312" w:eastAsia="CESI仿宋-GB2312" w:cs="CESI仿宋-GB2312"/>
          <w:kern w:val="2"/>
          <w:sz w:val="32"/>
          <w:szCs w:val="32"/>
        </w:rPr>
      </w:pPr>
      <w:r>
        <w:rPr>
          <w:rFonts w:hint="default" w:ascii="Times New Roman" w:hAnsi="Times New Roman" w:eastAsia="仿宋_GB2312" w:cs="Times New Roman"/>
          <w:kern w:val="2"/>
          <w:sz w:val="32"/>
          <w:szCs w:val="32"/>
          <w:lang w:val="en-US" w:eastAsia="zh-CN" w:bidi="ar"/>
        </w:rPr>
        <w:t>1</w:t>
      </w:r>
      <w:r>
        <w:rPr>
          <w:rFonts w:hint="eastAsia" w:ascii="Times New Roman" w:hAnsi="Times New Roman" w:eastAsia="仿宋_GB2312" w:cs="Times New Roman"/>
          <w:kern w:val="2"/>
          <w:sz w:val="32"/>
          <w:szCs w:val="32"/>
          <w:lang w:val="en-US" w:eastAsia="zh-CN" w:bidi="ar"/>
        </w:rPr>
        <w:t>2</w:t>
      </w:r>
      <w:r>
        <w:rPr>
          <w:rFonts w:hint="default" w:ascii="Times New Roman" w:hAnsi="Times New Roman" w:eastAsia="仿宋_GB2312" w:cs="Times New Roman"/>
          <w:kern w:val="2"/>
          <w:sz w:val="32"/>
          <w:szCs w:val="32"/>
          <w:lang w:val="en-US" w:eastAsia="zh-CN" w:bidi="ar"/>
        </w:rPr>
        <w:t>.</w:t>
      </w:r>
      <w:r>
        <w:rPr>
          <w:rFonts w:hint="eastAsia" w:ascii="CESI仿宋-GB2312" w:hAnsi="CESI仿宋-GB2312" w:eastAsia="CESI仿宋-GB2312" w:cs="CESI仿宋-GB2312"/>
          <w:kern w:val="2"/>
          <w:sz w:val="32"/>
          <w:szCs w:val="32"/>
          <w:lang w:val="en-US" w:eastAsia="zh-CN" w:bidi="ar"/>
        </w:rPr>
        <w:t>社会保障和就业（类）行政事业单位养老支出（款）:机关事业单位职业年金缴费支出（项）: 反映机关事业单位实施养老保险制度由单位缴纳的职业年金支出。</w:t>
      </w:r>
    </w:p>
    <w:p w14:paraId="4907DE0F">
      <w:pPr>
        <w:keepNext w:val="0"/>
        <w:keepLines w:val="0"/>
        <w:widowControl w:val="0"/>
        <w:suppressLineNumbers w:val="0"/>
        <w:spacing w:before="0" w:beforeAutospacing="0" w:after="0" w:afterAutospacing="0"/>
        <w:ind w:left="0" w:right="0" w:firstLine="640" w:firstLineChars="200"/>
        <w:jc w:val="both"/>
        <w:rPr>
          <w:rFonts w:hint="eastAsia" w:ascii="CESI仿宋-GB2312" w:hAnsi="CESI仿宋-GB2312" w:eastAsia="CESI仿宋-GB2312" w:cs="CESI仿宋-GB2312"/>
          <w:kern w:val="2"/>
          <w:sz w:val="32"/>
          <w:szCs w:val="32"/>
        </w:rPr>
      </w:pPr>
      <w:r>
        <w:rPr>
          <w:rFonts w:hint="default" w:ascii="Times New Roman" w:hAnsi="Times New Roman" w:eastAsia="仿宋_GB2312" w:cs="Times New Roman"/>
          <w:kern w:val="2"/>
          <w:sz w:val="32"/>
          <w:szCs w:val="32"/>
          <w:lang w:val="en-US" w:eastAsia="zh-CN" w:bidi="ar"/>
        </w:rPr>
        <w:t>1</w:t>
      </w:r>
      <w:r>
        <w:rPr>
          <w:rFonts w:hint="eastAsia" w:ascii="Times New Roman" w:hAnsi="Times New Roman" w:eastAsia="仿宋_GB2312" w:cs="Times New Roman"/>
          <w:kern w:val="2"/>
          <w:sz w:val="32"/>
          <w:szCs w:val="32"/>
          <w:lang w:val="en-US" w:eastAsia="zh-CN" w:bidi="ar"/>
        </w:rPr>
        <w:t>3</w:t>
      </w:r>
      <w:r>
        <w:rPr>
          <w:rFonts w:hint="default" w:ascii="Times New Roman" w:hAnsi="Times New Roman" w:eastAsia="仿宋_GB2312" w:cs="Times New Roman"/>
          <w:kern w:val="2"/>
          <w:sz w:val="32"/>
          <w:szCs w:val="32"/>
          <w:lang w:val="en-US" w:eastAsia="zh-CN" w:bidi="ar"/>
        </w:rPr>
        <w:t>.</w:t>
      </w:r>
      <w:r>
        <w:rPr>
          <w:rFonts w:hint="eastAsia" w:ascii="CESI仿宋-GB2312" w:hAnsi="CESI仿宋-GB2312" w:eastAsia="CESI仿宋-GB2312" w:cs="CESI仿宋-GB2312"/>
          <w:kern w:val="2"/>
          <w:sz w:val="32"/>
          <w:szCs w:val="32"/>
          <w:lang w:val="en-US" w:eastAsia="zh-CN" w:bidi="ar"/>
        </w:rPr>
        <w:t>社会保障和就业（类）抚恤（款）死亡抚恤（项）:反映按规定用于烈士和牺牲、病故人员家属的一次性和定期抚恤金以及丧葬费补助。</w:t>
      </w:r>
    </w:p>
    <w:p w14:paraId="57179E8E">
      <w:pPr>
        <w:keepNext w:val="0"/>
        <w:keepLines w:val="0"/>
        <w:widowControl w:val="0"/>
        <w:suppressLineNumbers w:val="0"/>
        <w:spacing w:before="0" w:beforeAutospacing="0" w:after="0" w:afterAutospacing="0"/>
        <w:ind w:left="0" w:right="0" w:firstLine="640" w:firstLineChars="200"/>
        <w:jc w:val="both"/>
        <w:rPr>
          <w:rFonts w:hint="eastAsia" w:ascii="CESI仿宋-GB2312" w:hAnsi="CESI仿宋-GB2312" w:eastAsia="CESI仿宋-GB2312" w:cs="CESI仿宋-GB2312"/>
          <w:kern w:val="2"/>
          <w:sz w:val="32"/>
          <w:szCs w:val="32"/>
        </w:rPr>
      </w:pPr>
      <w:r>
        <w:rPr>
          <w:rFonts w:hint="default" w:ascii="Times New Roman" w:hAnsi="Times New Roman" w:eastAsia="仿宋_GB2312" w:cs="Times New Roman"/>
          <w:kern w:val="2"/>
          <w:sz w:val="32"/>
          <w:szCs w:val="32"/>
          <w:lang w:val="en-US" w:eastAsia="zh-CN" w:bidi="ar"/>
        </w:rPr>
        <w:t>1</w:t>
      </w:r>
      <w:r>
        <w:rPr>
          <w:rFonts w:hint="eastAsia" w:ascii="Times New Roman" w:hAnsi="Times New Roman" w:eastAsia="仿宋_GB2312" w:cs="Times New Roman"/>
          <w:kern w:val="2"/>
          <w:sz w:val="32"/>
          <w:szCs w:val="32"/>
          <w:lang w:val="en-US" w:eastAsia="zh-CN" w:bidi="ar"/>
        </w:rPr>
        <w:t>4</w:t>
      </w:r>
      <w:r>
        <w:rPr>
          <w:rFonts w:hint="default" w:ascii="Times New Roman" w:hAnsi="Times New Roman" w:eastAsia="仿宋_GB2312" w:cs="Times New Roman"/>
          <w:kern w:val="2"/>
          <w:sz w:val="32"/>
          <w:szCs w:val="32"/>
          <w:lang w:val="en-US" w:eastAsia="zh-CN" w:bidi="ar"/>
        </w:rPr>
        <w:t>.</w:t>
      </w:r>
      <w:r>
        <w:rPr>
          <w:rFonts w:hint="eastAsia" w:ascii="CESI仿宋-GB2312" w:hAnsi="CESI仿宋-GB2312" w:eastAsia="CESI仿宋-GB2312" w:cs="CESI仿宋-GB2312"/>
          <w:kern w:val="2"/>
          <w:sz w:val="32"/>
          <w:szCs w:val="32"/>
          <w:lang w:val="en-US" w:eastAsia="zh-CN" w:bidi="ar"/>
        </w:rPr>
        <w:t>社会保障和就业（类）抚恤（款）伤残抚恤（项）:反映按规定用于伤残人员的抚恤金和按规定开支的各种伤残补助。</w:t>
      </w:r>
    </w:p>
    <w:p w14:paraId="572948EF">
      <w:pPr>
        <w:keepNext w:val="0"/>
        <w:keepLines w:val="0"/>
        <w:widowControl w:val="0"/>
        <w:suppressLineNumbers w:val="0"/>
        <w:spacing w:before="0" w:beforeAutospacing="0" w:after="0" w:afterAutospacing="0"/>
        <w:ind w:left="0" w:right="0" w:firstLine="640" w:firstLineChars="200"/>
        <w:jc w:val="both"/>
        <w:rPr>
          <w:rFonts w:hint="eastAsia" w:ascii="CESI仿宋-GB2312" w:hAnsi="CESI仿宋-GB2312" w:eastAsia="CESI仿宋-GB2312" w:cs="CESI仿宋-GB2312"/>
          <w:kern w:val="2"/>
          <w:sz w:val="32"/>
          <w:szCs w:val="32"/>
        </w:rPr>
      </w:pPr>
      <w:r>
        <w:rPr>
          <w:rFonts w:hint="default" w:ascii="Times New Roman" w:hAnsi="Times New Roman" w:eastAsia="仿宋_GB2312" w:cs="Times New Roman"/>
          <w:kern w:val="2"/>
          <w:sz w:val="32"/>
          <w:szCs w:val="32"/>
          <w:lang w:val="en-US" w:eastAsia="zh-CN" w:bidi="ar"/>
        </w:rPr>
        <w:t>1</w:t>
      </w:r>
      <w:r>
        <w:rPr>
          <w:rFonts w:hint="eastAsia" w:ascii="Times New Roman" w:hAnsi="Times New Roman" w:eastAsia="仿宋_GB2312" w:cs="Times New Roman"/>
          <w:kern w:val="2"/>
          <w:sz w:val="32"/>
          <w:szCs w:val="32"/>
          <w:lang w:val="en-US" w:eastAsia="zh-CN" w:bidi="ar"/>
        </w:rPr>
        <w:t>5</w:t>
      </w:r>
      <w:r>
        <w:rPr>
          <w:rFonts w:hint="default" w:ascii="Times New Roman" w:hAnsi="Times New Roman" w:eastAsia="仿宋_GB2312" w:cs="Times New Roman"/>
          <w:kern w:val="2"/>
          <w:sz w:val="32"/>
          <w:szCs w:val="32"/>
          <w:lang w:val="en-US" w:eastAsia="zh-CN" w:bidi="ar"/>
        </w:rPr>
        <w:t>.</w:t>
      </w:r>
      <w:r>
        <w:rPr>
          <w:rFonts w:hint="eastAsia" w:ascii="CESI仿宋-GB2312" w:hAnsi="CESI仿宋-GB2312" w:eastAsia="CESI仿宋-GB2312" w:cs="CESI仿宋-GB2312"/>
          <w:kern w:val="2"/>
          <w:sz w:val="32"/>
          <w:szCs w:val="32"/>
          <w:lang w:val="en-US" w:eastAsia="zh-CN" w:bidi="ar"/>
        </w:rPr>
        <w:t>卫生健康支出（类）卫生健康管理事务（款）行政运行（项）:指行政单位（包括实行公务员管理的事业单位）的基本支出。</w:t>
      </w:r>
    </w:p>
    <w:p w14:paraId="7B6A4AF9">
      <w:pPr>
        <w:keepNext w:val="0"/>
        <w:keepLines w:val="0"/>
        <w:widowControl w:val="0"/>
        <w:suppressLineNumbers w:val="0"/>
        <w:spacing w:before="0" w:beforeAutospacing="0" w:after="0" w:afterAutospacing="0"/>
        <w:ind w:left="0" w:right="0" w:firstLine="640" w:firstLineChars="200"/>
        <w:jc w:val="both"/>
        <w:rPr>
          <w:rFonts w:hint="eastAsia" w:ascii="CESI仿宋-GB2312" w:hAnsi="CESI仿宋-GB2312" w:eastAsia="CESI仿宋-GB2312" w:cs="CESI仿宋-GB2312"/>
          <w:kern w:val="2"/>
          <w:sz w:val="32"/>
          <w:szCs w:val="32"/>
        </w:rPr>
      </w:pPr>
      <w:r>
        <w:rPr>
          <w:rFonts w:hint="default" w:ascii="Times New Roman" w:hAnsi="Times New Roman" w:eastAsia="仿宋_GB2312" w:cs="Times New Roman"/>
          <w:kern w:val="2"/>
          <w:sz w:val="32"/>
          <w:szCs w:val="32"/>
          <w:lang w:val="en-US" w:eastAsia="zh-CN" w:bidi="ar"/>
        </w:rPr>
        <w:t>1</w:t>
      </w:r>
      <w:r>
        <w:rPr>
          <w:rFonts w:hint="eastAsia" w:ascii="Times New Roman" w:hAnsi="Times New Roman" w:eastAsia="仿宋_GB2312" w:cs="Times New Roman"/>
          <w:kern w:val="2"/>
          <w:sz w:val="32"/>
          <w:szCs w:val="32"/>
          <w:lang w:val="en-US" w:eastAsia="zh-CN" w:bidi="ar"/>
        </w:rPr>
        <w:t>6</w:t>
      </w:r>
      <w:r>
        <w:rPr>
          <w:rFonts w:hint="default" w:ascii="Times New Roman" w:hAnsi="Times New Roman" w:eastAsia="仿宋_GB2312" w:cs="Times New Roman"/>
          <w:kern w:val="2"/>
          <w:sz w:val="32"/>
          <w:szCs w:val="32"/>
          <w:lang w:val="en-US" w:eastAsia="zh-CN" w:bidi="ar"/>
        </w:rPr>
        <w:t>.</w:t>
      </w:r>
      <w:r>
        <w:rPr>
          <w:rFonts w:hint="eastAsia" w:ascii="CESI仿宋-GB2312" w:hAnsi="CESI仿宋-GB2312" w:eastAsia="CESI仿宋-GB2312" w:cs="CESI仿宋-GB2312"/>
          <w:kern w:val="2"/>
          <w:sz w:val="32"/>
          <w:szCs w:val="32"/>
          <w:lang w:val="en-US" w:eastAsia="zh-CN" w:bidi="ar"/>
        </w:rPr>
        <w:t>卫生健康支出（类）卫生健康管理事务（款）其他卫生健康管理事务支出（项）:反映除上述项目以外其他用于卫生健康管理事务方面的支出。</w:t>
      </w:r>
    </w:p>
    <w:p w14:paraId="3E4CA495">
      <w:pPr>
        <w:keepNext w:val="0"/>
        <w:keepLines w:val="0"/>
        <w:widowControl w:val="0"/>
        <w:suppressLineNumbers w:val="0"/>
        <w:spacing w:before="0" w:beforeAutospacing="0" w:after="0" w:afterAutospacing="0"/>
        <w:ind w:left="0" w:right="0" w:firstLine="640" w:firstLineChars="200"/>
        <w:jc w:val="both"/>
        <w:rPr>
          <w:rFonts w:hint="eastAsia" w:ascii="CESI仿宋-GB2312" w:hAnsi="CESI仿宋-GB2312" w:eastAsia="CESI仿宋-GB2312" w:cs="CESI仿宋-GB2312"/>
          <w:kern w:val="2"/>
          <w:sz w:val="32"/>
          <w:szCs w:val="32"/>
        </w:rPr>
      </w:pPr>
      <w:r>
        <w:rPr>
          <w:rFonts w:hint="default" w:ascii="Times New Roman" w:hAnsi="Times New Roman" w:eastAsia="仿宋_GB2312" w:cs="Times New Roman"/>
          <w:kern w:val="2"/>
          <w:sz w:val="32"/>
          <w:szCs w:val="32"/>
          <w:lang w:val="en-US" w:eastAsia="zh-CN" w:bidi="ar"/>
        </w:rPr>
        <w:t>1</w:t>
      </w:r>
      <w:r>
        <w:rPr>
          <w:rFonts w:hint="eastAsia" w:ascii="Times New Roman" w:hAnsi="Times New Roman" w:eastAsia="仿宋_GB2312" w:cs="Times New Roman"/>
          <w:kern w:val="2"/>
          <w:sz w:val="32"/>
          <w:szCs w:val="32"/>
          <w:lang w:val="en-US" w:eastAsia="zh-CN" w:bidi="ar"/>
        </w:rPr>
        <w:t>7</w:t>
      </w:r>
      <w:r>
        <w:rPr>
          <w:rFonts w:hint="default" w:ascii="Times New Roman" w:hAnsi="Times New Roman" w:eastAsia="仿宋_GB2312" w:cs="Times New Roman"/>
          <w:kern w:val="2"/>
          <w:sz w:val="32"/>
          <w:szCs w:val="32"/>
          <w:lang w:val="en-US" w:eastAsia="zh-CN" w:bidi="ar"/>
        </w:rPr>
        <w:t>.</w:t>
      </w:r>
      <w:r>
        <w:rPr>
          <w:rFonts w:hint="eastAsia" w:ascii="CESI仿宋-GB2312" w:hAnsi="CESI仿宋-GB2312" w:eastAsia="CESI仿宋-GB2312" w:cs="CESI仿宋-GB2312"/>
          <w:kern w:val="2"/>
          <w:sz w:val="32"/>
          <w:szCs w:val="32"/>
          <w:lang w:val="en-US" w:eastAsia="zh-CN" w:bidi="ar"/>
        </w:rPr>
        <w:t>卫生健康支出（类）公立医院（款）综合医院（项）:反映卫生健康、中医部门所属的城市综合性医院、独立门诊、教学医院、疗养院和县医院的支出。</w:t>
      </w:r>
    </w:p>
    <w:p w14:paraId="7DF2FF2D">
      <w:pPr>
        <w:keepNext w:val="0"/>
        <w:keepLines w:val="0"/>
        <w:widowControl w:val="0"/>
        <w:suppressLineNumbers w:val="0"/>
        <w:spacing w:before="0" w:beforeAutospacing="0" w:after="0" w:afterAutospacing="0"/>
        <w:ind w:left="0" w:right="0" w:firstLine="640" w:firstLineChars="200"/>
        <w:jc w:val="both"/>
        <w:rPr>
          <w:rFonts w:hint="eastAsia" w:ascii="CESI仿宋-GB2312" w:hAnsi="CESI仿宋-GB2312" w:eastAsia="CESI仿宋-GB2312" w:cs="CESI仿宋-GB2312"/>
          <w:kern w:val="2"/>
          <w:sz w:val="32"/>
          <w:szCs w:val="32"/>
        </w:rPr>
      </w:pPr>
      <w:r>
        <w:rPr>
          <w:rFonts w:hint="default" w:ascii="Times New Roman" w:hAnsi="Times New Roman" w:eastAsia="仿宋_GB2312" w:cs="Times New Roman"/>
          <w:kern w:val="2"/>
          <w:sz w:val="32"/>
          <w:szCs w:val="32"/>
          <w:lang w:val="en-US" w:eastAsia="zh-CN" w:bidi="ar"/>
        </w:rPr>
        <w:t>1</w:t>
      </w:r>
      <w:r>
        <w:rPr>
          <w:rFonts w:hint="eastAsia" w:ascii="Times New Roman" w:hAnsi="Times New Roman" w:eastAsia="仿宋_GB2312" w:cs="Times New Roman"/>
          <w:kern w:val="2"/>
          <w:sz w:val="32"/>
          <w:szCs w:val="32"/>
          <w:lang w:val="en-US" w:eastAsia="zh-CN" w:bidi="ar"/>
        </w:rPr>
        <w:t>8</w:t>
      </w:r>
      <w:r>
        <w:rPr>
          <w:rFonts w:hint="default" w:ascii="Times New Roman" w:hAnsi="Times New Roman" w:eastAsia="仿宋_GB2312" w:cs="Times New Roman"/>
          <w:kern w:val="2"/>
          <w:sz w:val="32"/>
          <w:szCs w:val="32"/>
          <w:lang w:val="en-US" w:eastAsia="zh-CN" w:bidi="ar"/>
        </w:rPr>
        <w:t>.</w:t>
      </w:r>
      <w:r>
        <w:rPr>
          <w:rFonts w:hint="eastAsia" w:ascii="CESI仿宋-GB2312" w:hAnsi="CESI仿宋-GB2312" w:eastAsia="CESI仿宋-GB2312" w:cs="CESI仿宋-GB2312"/>
          <w:kern w:val="2"/>
          <w:sz w:val="32"/>
          <w:szCs w:val="32"/>
          <w:lang w:val="en-US" w:eastAsia="zh-CN" w:bidi="ar"/>
        </w:rPr>
        <w:t>卫生健康支出（类）公立医院（款）中医（民族）医院（项）:反映卫生健康、中医部门所属的中医院。中西医结合医院、民族医院的支出。</w:t>
      </w:r>
    </w:p>
    <w:p w14:paraId="06694B23">
      <w:pPr>
        <w:keepNext w:val="0"/>
        <w:keepLines w:val="0"/>
        <w:widowControl w:val="0"/>
        <w:suppressLineNumbers w:val="0"/>
        <w:spacing w:before="0" w:beforeAutospacing="0" w:after="0" w:afterAutospacing="0"/>
        <w:ind w:left="0" w:right="0" w:firstLine="640" w:firstLineChars="200"/>
        <w:jc w:val="both"/>
        <w:rPr>
          <w:rFonts w:hint="eastAsia" w:ascii="CESI仿宋-GB2312" w:hAnsi="CESI仿宋-GB2312" w:eastAsia="CESI仿宋-GB2312" w:cs="CESI仿宋-GB2312"/>
          <w:kern w:val="2"/>
          <w:sz w:val="32"/>
          <w:szCs w:val="32"/>
        </w:rPr>
      </w:pPr>
      <w:r>
        <w:rPr>
          <w:rFonts w:hint="default" w:ascii="Times New Roman" w:hAnsi="Times New Roman" w:eastAsia="仿宋_GB2312" w:cs="Times New Roman"/>
          <w:kern w:val="2"/>
          <w:sz w:val="32"/>
          <w:szCs w:val="32"/>
          <w:lang w:val="en-US" w:eastAsia="zh-CN" w:bidi="ar"/>
        </w:rPr>
        <w:t>1</w:t>
      </w:r>
      <w:r>
        <w:rPr>
          <w:rFonts w:hint="eastAsia" w:ascii="Times New Roman" w:hAnsi="Times New Roman" w:eastAsia="仿宋_GB2312" w:cs="Times New Roman"/>
          <w:kern w:val="2"/>
          <w:sz w:val="32"/>
          <w:szCs w:val="32"/>
          <w:lang w:val="en-US" w:eastAsia="zh-CN" w:bidi="ar"/>
        </w:rPr>
        <w:t>9</w:t>
      </w:r>
      <w:r>
        <w:rPr>
          <w:rFonts w:hint="default" w:ascii="Times New Roman" w:hAnsi="Times New Roman" w:eastAsia="仿宋_GB2312" w:cs="Times New Roman"/>
          <w:kern w:val="2"/>
          <w:sz w:val="32"/>
          <w:szCs w:val="32"/>
          <w:lang w:val="en-US" w:eastAsia="zh-CN" w:bidi="ar"/>
        </w:rPr>
        <w:t>.</w:t>
      </w:r>
      <w:r>
        <w:rPr>
          <w:rFonts w:hint="eastAsia" w:ascii="CESI仿宋-GB2312" w:hAnsi="CESI仿宋-GB2312" w:eastAsia="CESI仿宋-GB2312" w:cs="CESI仿宋-GB2312"/>
          <w:kern w:val="2"/>
          <w:sz w:val="32"/>
          <w:szCs w:val="32"/>
          <w:lang w:val="en-US" w:eastAsia="zh-CN" w:bidi="ar"/>
        </w:rPr>
        <w:t>卫生健康支出（类）公立医院（款）其他公立医院支出（项）:指其他用于公立医院方面的支出。。</w:t>
      </w:r>
    </w:p>
    <w:p w14:paraId="058C2ECE">
      <w:pPr>
        <w:keepNext w:val="0"/>
        <w:keepLines w:val="0"/>
        <w:widowControl w:val="0"/>
        <w:suppressLineNumbers w:val="0"/>
        <w:spacing w:before="0" w:beforeAutospacing="0" w:after="0" w:afterAutospacing="0"/>
        <w:ind w:left="0" w:right="0" w:firstLine="640" w:firstLineChars="200"/>
        <w:jc w:val="both"/>
        <w:rPr>
          <w:rFonts w:hint="eastAsia" w:ascii="CESI仿宋-GB2312" w:hAnsi="CESI仿宋-GB2312" w:eastAsia="CESI仿宋-GB2312" w:cs="CESI仿宋-GB2312"/>
          <w:kern w:val="2"/>
          <w:sz w:val="32"/>
          <w:szCs w:val="32"/>
        </w:rPr>
      </w:pPr>
      <w:r>
        <w:rPr>
          <w:rFonts w:hint="eastAsia" w:ascii="Times New Roman" w:hAnsi="Times New Roman" w:eastAsia="仿宋_GB2312" w:cs="Times New Roman"/>
          <w:kern w:val="2"/>
          <w:sz w:val="32"/>
          <w:szCs w:val="32"/>
          <w:lang w:val="en-US" w:eastAsia="zh-CN" w:bidi="ar"/>
        </w:rPr>
        <w:t>2</w:t>
      </w:r>
      <w:r>
        <w:rPr>
          <w:rFonts w:hint="default" w:ascii="Times New Roman" w:hAnsi="Times New Roman" w:eastAsia="仿宋_GB2312" w:cs="Times New Roman"/>
          <w:kern w:val="2"/>
          <w:sz w:val="32"/>
          <w:szCs w:val="32"/>
          <w:lang w:val="en-US" w:eastAsia="zh-CN" w:bidi="ar"/>
        </w:rPr>
        <w:t>0.</w:t>
      </w:r>
      <w:r>
        <w:rPr>
          <w:rFonts w:hint="eastAsia" w:ascii="CESI仿宋-GB2312" w:hAnsi="CESI仿宋-GB2312" w:eastAsia="CESI仿宋-GB2312" w:cs="CESI仿宋-GB2312"/>
          <w:kern w:val="2"/>
          <w:sz w:val="32"/>
          <w:szCs w:val="32"/>
          <w:lang w:val="en-US" w:eastAsia="zh-CN" w:bidi="ar"/>
        </w:rPr>
        <w:t>卫生健康支出（类）基层医疗卫生机构（款）城市社区卫生机构（项）:反映用于城市社区卫生机构的支出。</w:t>
      </w:r>
    </w:p>
    <w:p w14:paraId="2AF448D9">
      <w:pPr>
        <w:keepNext w:val="0"/>
        <w:keepLines w:val="0"/>
        <w:widowControl w:val="0"/>
        <w:suppressLineNumbers w:val="0"/>
        <w:spacing w:before="0" w:beforeAutospacing="0" w:after="0" w:afterAutospacing="0"/>
        <w:ind w:left="0" w:right="0" w:firstLine="640" w:firstLineChars="200"/>
        <w:jc w:val="both"/>
        <w:rPr>
          <w:rFonts w:hint="eastAsia" w:ascii="CESI仿宋-GB2312" w:hAnsi="CESI仿宋-GB2312" w:eastAsia="CESI仿宋-GB2312" w:cs="CESI仿宋-GB2312"/>
          <w:kern w:val="2"/>
          <w:sz w:val="32"/>
          <w:szCs w:val="32"/>
        </w:rPr>
      </w:pPr>
      <w:r>
        <w:rPr>
          <w:rFonts w:hint="eastAsia" w:ascii="Times New Roman" w:hAnsi="Times New Roman" w:eastAsia="仿宋_GB2312" w:cs="Times New Roman"/>
          <w:kern w:val="2"/>
          <w:sz w:val="32"/>
          <w:szCs w:val="32"/>
          <w:lang w:val="en-US" w:eastAsia="zh-CN" w:bidi="ar"/>
        </w:rPr>
        <w:t>21</w:t>
      </w:r>
      <w:r>
        <w:rPr>
          <w:rFonts w:hint="default" w:ascii="Times New Roman" w:hAnsi="Times New Roman" w:eastAsia="仿宋_GB2312" w:cs="Times New Roman"/>
          <w:kern w:val="2"/>
          <w:sz w:val="32"/>
          <w:szCs w:val="32"/>
          <w:lang w:val="en-US" w:eastAsia="zh-CN" w:bidi="ar"/>
        </w:rPr>
        <w:t>.</w:t>
      </w:r>
      <w:r>
        <w:rPr>
          <w:rFonts w:hint="eastAsia" w:ascii="CESI仿宋-GB2312" w:hAnsi="CESI仿宋-GB2312" w:eastAsia="CESI仿宋-GB2312" w:cs="CESI仿宋-GB2312"/>
          <w:kern w:val="2"/>
          <w:sz w:val="32"/>
          <w:szCs w:val="32"/>
          <w:lang w:val="en-US" w:eastAsia="zh-CN" w:bidi="ar"/>
        </w:rPr>
        <w:t>卫生健康支出（类）基层医疗卫生机构（款）乡镇卫生院（项）:反映用于乡镇卫生院的支出。</w:t>
      </w:r>
    </w:p>
    <w:p w14:paraId="1EA670A4">
      <w:pPr>
        <w:keepNext w:val="0"/>
        <w:keepLines w:val="0"/>
        <w:widowControl w:val="0"/>
        <w:suppressLineNumbers w:val="0"/>
        <w:spacing w:before="0" w:beforeAutospacing="0" w:after="0" w:afterAutospacing="0"/>
        <w:ind w:left="0" w:right="0" w:firstLine="640" w:firstLineChars="200"/>
        <w:jc w:val="both"/>
        <w:rPr>
          <w:rFonts w:hint="eastAsia" w:ascii="CESI仿宋-GB2312" w:hAnsi="CESI仿宋-GB2312" w:eastAsia="CESI仿宋-GB2312" w:cs="CESI仿宋-GB2312"/>
          <w:kern w:val="2"/>
          <w:sz w:val="32"/>
          <w:szCs w:val="32"/>
        </w:rPr>
      </w:pPr>
      <w:r>
        <w:rPr>
          <w:rFonts w:hint="eastAsia" w:ascii="Times New Roman" w:hAnsi="Times New Roman" w:eastAsia="仿宋_GB2312" w:cs="Times New Roman"/>
          <w:kern w:val="2"/>
          <w:sz w:val="32"/>
          <w:szCs w:val="32"/>
          <w:lang w:val="en-US" w:eastAsia="zh-CN" w:bidi="ar"/>
        </w:rPr>
        <w:t>22</w:t>
      </w:r>
      <w:r>
        <w:rPr>
          <w:rFonts w:hint="default" w:ascii="Times New Roman" w:hAnsi="Times New Roman" w:eastAsia="仿宋_GB2312" w:cs="Times New Roman"/>
          <w:kern w:val="2"/>
          <w:sz w:val="32"/>
          <w:szCs w:val="32"/>
          <w:lang w:val="en-US" w:eastAsia="zh-CN" w:bidi="ar"/>
        </w:rPr>
        <w:t>.</w:t>
      </w:r>
      <w:r>
        <w:rPr>
          <w:rFonts w:hint="eastAsia" w:ascii="CESI仿宋-GB2312" w:hAnsi="CESI仿宋-GB2312" w:eastAsia="CESI仿宋-GB2312" w:cs="CESI仿宋-GB2312"/>
          <w:kern w:val="2"/>
          <w:sz w:val="32"/>
          <w:szCs w:val="32"/>
          <w:lang w:val="en-US" w:eastAsia="zh-CN" w:bidi="ar"/>
        </w:rPr>
        <w:t>卫生健康支出（类）基层医疗卫生机构（款）其他基层医疗卫生机构支出（项）:指用于基层医疗卫生机构的支出。</w:t>
      </w:r>
    </w:p>
    <w:p w14:paraId="0BBC3CAB">
      <w:pPr>
        <w:keepNext w:val="0"/>
        <w:keepLines w:val="0"/>
        <w:widowControl w:val="0"/>
        <w:suppressLineNumbers w:val="0"/>
        <w:spacing w:before="0" w:beforeAutospacing="0" w:after="0" w:afterAutospacing="0"/>
        <w:ind w:left="0" w:right="0" w:firstLine="640" w:firstLineChars="200"/>
        <w:jc w:val="both"/>
        <w:rPr>
          <w:rFonts w:hint="eastAsia" w:ascii="CESI仿宋-GB2312" w:hAnsi="CESI仿宋-GB2312" w:eastAsia="CESI仿宋-GB2312" w:cs="CESI仿宋-GB2312"/>
          <w:kern w:val="2"/>
          <w:sz w:val="32"/>
          <w:szCs w:val="32"/>
        </w:rPr>
      </w:pPr>
      <w:r>
        <w:rPr>
          <w:rFonts w:hint="eastAsia" w:ascii="Times New Roman" w:hAnsi="Times New Roman" w:eastAsia="仿宋_GB2312" w:cs="Times New Roman"/>
          <w:kern w:val="2"/>
          <w:sz w:val="32"/>
          <w:szCs w:val="32"/>
          <w:lang w:val="en-US" w:eastAsia="zh-CN" w:bidi="ar"/>
        </w:rPr>
        <w:t>23</w:t>
      </w:r>
      <w:r>
        <w:rPr>
          <w:rFonts w:hint="default" w:ascii="Times New Roman" w:hAnsi="Times New Roman" w:eastAsia="仿宋_GB2312" w:cs="Times New Roman"/>
          <w:kern w:val="2"/>
          <w:sz w:val="32"/>
          <w:szCs w:val="32"/>
          <w:lang w:val="en-US" w:eastAsia="zh-CN" w:bidi="ar"/>
        </w:rPr>
        <w:t>.</w:t>
      </w:r>
      <w:r>
        <w:rPr>
          <w:rFonts w:hint="eastAsia" w:ascii="CESI仿宋-GB2312" w:hAnsi="CESI仿宋-GB2312" w:eastAsia="CESI仿宋-GB2312" w:cs="CESI仿宋-GB2312"/>
          <w:kern w:val="2"/>
          <w:sz w:val="32"/>
          <w:szCs w:val="32"/>
          <w:lang w:val="en-US" w:eastAsia="zh-CN" w:bidi="ar"/>
        </w:rPr>
        <w:t>卫生健康支出（类）公共卫生（款） 疾病预防控制机构（项）:反映卫生健康部门所属疾病预防控制机构的支出。</w:t>
      </w:r>
    </w:p>
    <w:p w14:paraId="7DA5ABBB">
      <w:pPr>
        <w:keepNext w:val="0"/>
        <w:keepLines w:val="0"/>
        <w:widowControl w:val="0"/>
        <w:suppressLineNumbers w:val="0"/>
        <w:spacing w:before="0" w:beforeAutospacing="0" w:after="0" w:afterAutospacing="0"/>
        <w:ind w:left="0" w:right="0" w:firstLine="640" w:firstLineChars="200"/>
        <w:jc w:val="both"/>
        <w:rPr>
          <w:rFonts w:hint="eastAsia" w:ascii="CESI仿宋-GB2312" w:hAnsi="CESI仿宋-GB2312" w:eastAsia="CESI仿宋-GB2312" w:cs="CESI仿宋-GB2312"/>
          <w:kern w:val="2"/>
          <w:sz w:val="32"/>
          <w:szCs w:val="32"/>
        </w:rPr>
      </w:pPr>
      <w:r>
        <w:rPr>
          <w:rFonts w:hint="eastAsia" w:ascii="Times New Roman" w:hAnsi="Times New Roman" w:eastAsia="仿宋_GB2312" w:cs="Times New Roman"/>
          <w:kern w:val="2"/>
          <w:sz w:val="32"/>
          <w:szCs w:val="32"/>
          <w:lang w:val="en-US" w:eastAsia="zh-CN" w:bidi="ar"/>
        </w:rPr>
        <w:t>24</w:t>
      </w:r>
      <w:r>
        <w:rPr>
          <w:rFonts w:hint="default" w:ascii="Times New Roman" w:hAnsi="Times New Roman" w:eastAsia="仿宋_GB2312" w:cs="Times New Roman"/>
          <w:kern w:val="2"/>
          <w:sz w:val="32"/>
          <w:szCs w:val="32"/>
          <w:lang w:val="en-US" w:eastAsia="zh-CN" w:bidi="ar"/>
        </w:rPr>
        <w:t>.</w:t>
      </w:r>
      <w:r>
        <w:rPr>
          <w:rFonts w:hint="eastAsia" w:ascii="CESI仿宋-GB2312" w:hAnsi="CESI仿宋-GB2312" w:eastAsia="CESI仿宋-GB2312" w:cs="CESI仿宋-GB2312"/>
          <w:kern w:val="2"/>
          <w:sz w:val="32"/>
          <w:szCs w:val="32"/>
          <w:lang w:val="en-US" w:eastAsia="zh-CN" w:bidi="ar"/>
        </w:rPr>
        <w:t>卫生健康支出（类）公共卫生（款） 妇幼保健机构（项）:反映卫生健康部门所属妇幼妇幼保健机构的支出。</w:t>
      </w:r>
    </w:p>
    <w:p w14:paraId="1E05C07B">
      <w:pPr>
        <w:keepNext w:val="0"/>
        <w:keepLines w:val="0"/>
        <w:widowControl w:val="0"/>
        <w:suppressLineNumbers w:val="0"/>
        <w:spacing w:before="0" w:beforeAutospacing="0" w:after="0" w:afterAutospacing="0"/>
        <w:ind w:left="0" w:right="0" w:firstLine="640" w:firstLineChars="200"/>
        <w:jc w:val="both"/>
        <w:rPr>
          <w:rFonts w:hint="eastAsia" w:ascii="CESI仿宋-GB2312" w:hAnsi="CESI仿宋-GB2312" w:eastAsia="CESI仿宋-GB2312" w:cs="CESI仿宋-GB2312"/>
          <w:kern w:val="2"/>
          <w:sz w:val="32"/>
          <w:szCs w:val="32"/>
        </w:rPr>
      </w:pPr>
      <w:r>
        <w:rPr>
          <w:rFonts w:hint="eastAsia" w:ascii="Times New Roman" w:hAnsi="Times New Roman" w:eastAsia="仿宋_GB2312" w:cs="Times New Roman"/>
          <w:kern w:val="2"/>
          <w:sz w:val="32"/>
          <w:szCs w:val="32"/>
          <w:lang w:val="en-US" w:eastAsia="zh-CN" w:bidi="ar"/>
        </w:rPr>
        <w:t>25</w:t>
      </w:r>
      <w:r>
        <w:rPr>
          <w:rFonts w:hint="default" w:ascii="Times New Roman" w:hAnsi="Times New Roman" w:eastAsia="仿宋_GB2312" w:cs="Times New Roman"/>
          <w:kern w:val="2"/>
          <w:sz w:val="32"/>
          <w:szCs w:val="32"/>
          <w:lang w:val="en-US" w:eastAsia="zh-CN" w:bidi="ar"/>
        </w:rPr>
        <w:t>.</w:t>
      </w:r>
      <w:r>
        <w:rPr>
          <w:rFonts w:hint="eastAsia" w:ascii="CESI仿宋-GB2312" w:hAnsi="CESI仿宋-GB2312" w:eastAsia="CESI仿宋-GB2312" w:cs="CESI仿宋-GB2312"/>
          <w:kern w:val="2"/>
          <w:sz w:val="32"/>
          <w:szCs w:val="32"/>
          <w:lang w:val="en-US" w:eastAsia="zh-CN" w:bidi="ar"/>
        </w:rPr>
        <w:t>卫生健康支出（类）公共卫生（款） 基本公共卫生服务（项）:指基本公共卫生服务支出</w:t>
      </w:r>
    </w:p>
    <w:p w14:paraId="60B4F465">
      <w:pPr>
        <w:keepNext w:val="0"/>
        <w:keepLines w:val="0"/>
        <w:widowControl w:val="0"/>
        <w:suppressLineNumbers w:val="0"/>
        <w:spacing w:before="0" w:beforeAutospacing="0" w:after="0" w:afterAutospacing="0"/>
        <w:ind w:left="0" w:right="0" w:firstLine="640" w:firstLineChars="200"/>
        <w:jc w:val="both"/>
        <w:rPr>
          <w:rFonts w:hint="eastAsia" w:ascii="CESI仿宋-GB2312" w:hAnsi="CESI仿宋-GB2312" w:eastAsia="CESI仿宋-GB2312" w:cs="CESI仿宋-GB2312"/>
          <w:kern w:val="2"/>
          <w:sz w:val="32"/>
          <w:szCs w:val="32"/>
        </w:rPr>
      </w:pPr>
      <w:r>
        <w:rPr>
          <w:rFonts w:hint="eastAsia" w:ascii="Times New Roman" w:hAnsi="Times New Roman" w:eastAsia="仿宋_GB2312" w:cs="Times New Roman"/>
          <w:kern w:val="2"/>
          <w:sz w:val="32"/>
          <w:szCs w:val="32"/>
          <w:lang w:val="en-US" w:eastAsia="zh-CN" w:bidi="ar"/>
        </w:rPr>
        <w:t>26</w:t>
      </w:r>
      <w:r>
        <w:rPr>
          <w:rFonts w:hint="default" w:ascii="Times New Roman" w:hAnsi="Times New Roman" w:eastAsia="仿宋_GB2312" w:cs="Times New Roman"/>
          <w:kern w:val="2"/>
          <w:sz w:val="32"/>
          <w:szCs w:val="32"/>
          <w:lang w:val="en-US" w:eastAsia="zh-CN" w:bidi="ar"/>
        </w:rPr>
        <w:t>.</w:t>
      </w:r>
      <w:r>
        <w:rPr>
          <w:rFonts w:hint="eastAsia" w:ascii="CESI仿宋-GB2312" w:hAnsi="CESI仿宋-GB2312" w:eastAsia="CESI仿宋-GB2312" w:cs="CESI仿宋-GB2312"/>
          <w:kern w:val="2"/>
          <w:sz w:val="32"/>
          <w:szCs w:val="32"/>
          <w:lang w:val="en-US" w:eastAsia="zh-CN" w:bidi="ar"/>
        </w:rPr>
        <w:t>卫生健康支出（类）公共卫生（款）重大公共卫生服务（项）:指重大疾病预防控制等重大公共卫生服务项目支出。</w:t>
      </w:r>
    </w:p>
    <w:p w14:paraId="061BEB18">
      <w:pPr>
        <w:keepNext w:val="0"/>
        <w:keepLines w:val="0"/>
        <w:widowControl w:val="0"/>
        <w:suppressLineNumbers w:val="0"/>
        <w:spacing w:before="0" w:beforeAutospacing="0" w:after="0" w:afterAutospacing="0"/>
        <w:ind w:left="0" w:right="0" w:firstLine="640" w:firstLineChars="200"/>
        <w:jc w:val="both"/>
        <w:rPr>
          <w:rFonts w:hint="eastAsia" w:ascii="CESI仿宋-GB2312" w:hAnsi="CESI仿宋-GB2312" w:eastAsia="CESI仿宋-GB2312" w:cs="CESI仿宋-GB2312"/>
          <w:kern w:val="2"/>
          <w:sz w:val="32"/>
          <w:szCs w:val="32"/>
        </w:rPr>
      </w:pPr>
      <w:r>
        <w:rPr>
          <w:rFonts w:hint="eastAsia" w:ascii="Times New Roman" w:hAnsi="Times New Roman" w:eastAsia="仿宋_GB2312" w:cs="Times New Roman"/>
          <w:kern w:val="2"/>
          <w:sz w:val="32"/>
          <w:szCs w:val="32"/>
          <w:lang w:val="en-US" w:eastAsia="zh-CN" w:bidi="ar"/>
        </w:rPr>
        <w:t>27</w:t>
      </w:r>
      <w:r>
        <w:rPr>
          <w:rFonts w:hint="default" w:ascii="Times New Roman" w:hAnsi="Times New Roman" w:eastAsia="仿宋_GB2312" w:cs="Times New Roman"/>
          <w:kern w:val="2"/>
          <w:sz w:val="32"/>
          <w:szCs w:val="32"/>
          <w:lang w:val="en-US" w:eastAsia="zh-CN" w:bidi="ar"/>
        </w:rPr>
        <w:t>.</w:t>
      </w:r>
      <w:r>
        <w:rPr>
          <w:rFonts w:hint="eastAsia" w:ascii="CESI仿宋-GB2312" w:hAnsi="CESI仿宋-GB2312" w:eastAsia="CESI仿宋-GB2312" w:cs="CESI仿宋-GB2312"/>
          <w:kern w:val="2"/>
          <w:sz w:val="32"/>
          <w:szCs w:val="32"/>
          <w:lang w:val="en-US" w:eastAsia="zh-CN" w:bidi="ar"/>
        </w:rPr>
        <w:t>卫生健康支出（类）公共卫生（款）其他公共卫生支出（项）:反映用于其他公共卫生方面的支出。</w:t>
      </w:r>
    </w:p>
    <w:p w14:paraId="5021AF36">
      <w:pPr>
        <w:keepNext w:val="0"/>
        <w:keepLines w:val="0"/>
        <w:widowControl w:val="0"/>
        <w:suppressLineNumbers w:val="0"/>
        <w:spacing w:before="0" w:beforeAutospacing="0" w:after="0" w:afterAutospacing="0"/>
        <w:ind w:left="0" w:right="0" w:firstLine="640" w:firstLineChars="200"/>
        <w:jc w:val="both"/>
        <w:rPr>
          <w:rFonts w:hint="eastAsia" w:ascii="CESI仿宋-GB2312" w:hAnsi="CESI仿宋-GB2312" w:eastAsia="CESI仿宋-GB2312" w:cs="CESI仿宋-GB2312"/>
          <w:kern w:val="2"/>
          <w:sz w:val="32"/>
          <w:szCs w:val="32"/>
        </w:rPr>
      </w:pPr>
      <w:r>
        <w:rPr>
          <w:rFonts w:hint="eastAsia" w:eastAsia="仿宋_GB2312" w:cs="Times New Roman"/>
          <w:kern w:val="2"/>
          <w:sz w:val="32"/>
          <w:szCs w:val="32"/>
          <w:lang w:val="en-US" w:eastAsia="zh-CN" w:bidi="ar"/>
        </w:rPr>
        <w:t>28</w:t>
      </w:r>
      <w:r>
        <w:rPr>
          <w:rFonts w:hint="default" w:ascii="Times New Roman" w:hAnsi="Times New Roman" w:eastAsia="仿宋_GB2312" w:cs="Times New Roman"/>
          <w:kern w:val="2"/>
          <w:sz w:val="32"/>
          <w:szCs w:val="32"/>
          <w:lang w:val="en-US" w:eastAsia="zh-CN" w:bidi="ar"/>
        </w:rPr>
        <w:t>.</w:t>
      </w:r>
      <w:r>
        <w:rPr>
          <w:rFonts w:hint="eastAsia" w:ascii="CESI仿宋-GB2312" w:hAnsi="CESI仿宋-GB2312" w:eastAsia="CESI仿宋-GB2312" w:cs="CESI仿宋-GB2312"/>
          <w:kern w:val="2"/>
          <w:sz w:val="32"/>
          <w:szCs w:val="32"/>
          <w:lang w:val="en-US" w:eastAsia="zh-CN" w:bidi="ar"/>
        </w:rPr>
        <w:t>卫生健康支出（类）计划生育事务（款）计划生育服务（项）:指计划生育服务支出。</w:t>
      </w:r>
    </w:p>
    <w:p w14:paraId="10DFE6D4">
      <w:pPr>
        <w:keepNext w:val="0"/>
        <w:keepLines w:val="0"/>
        <w:widowControl w:val="0"/>
        <w:suppressLineNumbers w:val="0"/>
        <w:spacing w:before="0" w:beforeAutospacing="0" w:after="0" w:afterAutospacing="0"/>
        <w:ind w:left="0" w:right="0" w:firstLine="640" w:firstLineChars="200"/>
        <w:jc w:val="both"/>
        <w:rPr>
          <w:rFonts w:hint="eastAsia" w:ascii="CESI仿宋-GB2312" w:hAnsi="CESI仿宋-GB2312" w:eastAsia="CESI仿宋-GB2312" w:cs="CESI仿宋-GB2312"/>
          <w:kern w:val="2"/>
          <w:sz w:val="32"/>
          <w:szCs w:val="32"/>
        </w:rPr>
      </w:pPr>
      <w:r>
        <w:rPr>
          <w:rFonts w:hint="eastAsia" w:eastAsia="仿宋_GB2312" w:cs="Times New Roman"/>
          <w:kern w:val="2"/>
          <w:sz w:val="32"/>
          <w:szCs w:val="32"/>
          <w:lang w:val="en-US" w:eastAsia="zh-CN" w:bidi="ar"/>
        </w:rPr>
        <w:t>29</w:t>
      </w:r>
      <w:r>
        <w:rPr>
          <w:rFonts w:hint="default" w:ascii="Times New Roman" w:hAnsi="Times New Roman" w:eastAsia="仿宋_GB2312" w:cs="Times New Roman"/>
          <w:kern w:val="2"/>
          <w:sz w:val="32"/>
          <w:szCs w:val="32"/>
          <w:lang w:val="en-US" w:eastAsia="zh-CN" w:bidi="ar"/>
        </w:rPr>
        <w:t>.</w:t>
      </w:r>
      <w:r>
        <w:rPr>
          <w:rFonts w:hint="eastAsia" w:ascii="CESI仿宋-GB2312" w:hAnsi="CESI仿宋-GB2312" w:eastAsia="CESI仿宋-GB2312" w:cs="CESI仿宋-GB2312"/>
          <w:kern w:val="2"/>
          <w:sz w:val="32"/>
          <w:szCs w:val="32"/>
          <w:lang w:val="en-US" w:eastAsia="zh-CN" w:bidi="ar"/>
        </w:rPr>
        <w:t>卫生健康支出（类）计划生育事务（款）其他计划生育事务支出（项）:指其他用于计划生育管理事务方面的支出。</w:t>
      </w:r>
    </w:p>
    <w:p w14:paraId="03A1D3EC">
      <w:pPr>
        <w:keepNext w:val="0"/>
        <w:keepLines w:val="0"/>
        <w:widowControl w:val="0"/>
        <w:suppressLineNumbers w:val="0"/>
        <w:spacing w:before="0" w:beforeAutospacing="0" w:after="0" w:afterAutospacing="0"/>
        <w:ind w:left="0" w:right="0" w:firstLine="640" w:firstLineChars="200"/>
        <w:jc w:val="both"/>
        <w:rPr>
          <w:rFonts w:hint="eastAsia" w:ascii="CESI仿宋-GB2312" w:hAnsi="CESI仿宋-GB2312" w:eastAsia="CESI仿宋-GB2312" w:cs="CESI仿宋-GB2312"/>
          <w:kern w:val="2"/>
          <w:sz w:val="32"/>
          <w:szCs w:val="32"/>
        </w:rPr>
      </w:pPr>
      <w:r>
        <w:rPr>
          <w:rFonts w:hint="eastAsia" w:eastAsia="仿宋_GB2312" w:cs="Times New Roman"/>
          <w:kern w:val="2"/>
          <w:sz w:val="32"/>
          <w:szCs w:val="32"/>
          <w:lang w:val="en-US" w:eastAsia="zh-CN" w:bidi="ar"/>
        </w:rPr>
        <w:t>3</w:t>
      </w:r>
      <w:r>
        <w:rPr>
          <w:rFonts w:hint="default" w:ascii="Times New Roman" w:hAnsi="Times New Roman" w:eastAsia="仿宋_GB2312" w:cs="Times New Roman"/>
          <w:kern w:val="2"/>
          <w:sz w:val="32"/>
          <w:szCs w:val="32"/>
          <w:lang w:val="en-US" w:eastAsia="zh-CN" w:bidi="ar"/>
        </w:rPr>
        <w:t>0.</w:t>
      </w:r>
      <w:r>
        <w:rPr>
          <w:rFonts w:hint="eastAsia" w:ascii="CESI仿宋-GB2312" w:hAnsi="CESI仿宋-GB2312" w:eastAsia="CESI仿宋-GB2312" w:cs="CESI仿宋-GB2312"/>
          <w:kern w:val="2"/>
          <w:sz w:val="32"/>
          <w:szCs w:val="32"/>
          <w:lang w:val="en-US" w:eastAsia="zh-CN" w:bidi="ar"/>
        </w:rPr>
        <w:t>卫生健康支出（类）行政事业单位医疗（款）行政单位医疗（项）:反映财政部门安排的行政单位（包括实行公务员管理的事业单位）基本医疗保险缴费经费，未参加医疗保险的行政单位的公费医疗经费，按国家规定享受离休人员、红军老战士待遇人员的医疗经费。</w:t>
      </w:r>
    </w:p>
    <w:p w14:paraId="0FB559BC">
      <w:pPr>
        <w:keepNext w:val="0"/>
        <w:keepLines w:val="0"/>
        <w:widowControl w:val="0"/>
        <w:suppressLineNumbers w:val="0"/>
        <w:spacing w:before="0" w:beforeAutospacing="0" w:after="0" w:afterAutospacing="0"/>
        <w:ind w:left="0" w:right="0" w:firstLine="640" w:firstLineChars="200"/>
        <w:jc w:val="both"/>
        <w:rPr>
          <w:rFonts w:hint="eastAsia" w:ascii="CESI仿宋-GB2312" w:hAnsi="CESI仿宋-GB2312" w:eastAsia="CESI仿宋-GB2312" w:cs="CESI仿宋-GB2312"/>
          <w:kern w:val="2"/>
          <w:sz w:val="32"/>
          <w:szCs w:val="32"/>
        </w:rPr>
      </w:pPr>
      <w:r>
        <w:rPr>
          <w:rFonts w:hint="eastAsia" w:eastAsia="仿宋_GB2312" w:cs="Times New Roman"/>
          <w:kern w:val="2"/>
          <w:sz w:val="32"/>
          <w:szCs w:val="32"/>
          <w:lang w:val="en-US" w:eastAsia="zh-CN" w:bidi="ar"/>
        </w:rPr>
        <w:t>31</w:t>
      </w:r>
      <w:r>
        <w:rPr>
          <w:rFonts w:hint="default" w:ascii="Times New Roman" w:hAnsi="Times New Roman" w:eastAsia="仿宋_GB2312" w:cs="Times New Roman"/>
          <w:kern w:val="2"/>
          <w:sz w:val="32"/>
          <w:szCs w:val="32"/>
          <w:lang w:val="en-US" w:eastAsia="zh-CN" w:bidi="ar"/>
        </w:rPr>
        <w:t>.</w:t>
      </w:r>
      <w:r>
        <w:rPr>
          <w:rFonts w:hint="eastAsia" w:ascii="CESI仿宋-GB2312" w:hAnsi="CESI仿宋-GB2312" w:eastAsia="CESI仿宋-GB2312" w:cs="CESI仿宋-GB2312"/>
          <w:kern w:val="2"/>
          <w:sz w:val="32"/>
          <w:szCs w:val="32"/>
          <w:lang w:val="en-US" w:eastAsia="zh-CN" w:bidi="ar"/>
        </w:rPr>
        <w:t>卫生健康支出（类）行政事业单位医疗（款）事业单位医疗（项）:反映财政部门安排的事业单位基本医疗保险缴费经费，未参加医疗保险的事业单位的公费医疗经费，按国家规定享受离休人员待遇的医疗经费。</w:t>
      </w:r>
    </w:p>
    <w:p w14:paraId="3268FA5B">
      <w:pPr>
        <w:keepNext w:val="0"/>
        <w:keepLines w:val="0"/>
        <w:widowControl w:val="0"/>
        <w:suppressLineNumbers w:val="0"/>
        <w:spacing w:before="0" w:beforeAutospacing="0" w:after="0" w:afterAutospacing="0"/>
        <w:ind w:left="0" w:right="0" w:firstLine="640" w:firstLineChars="200"/>
        <w:jc w:val="both"/>
        <w:rPr>
          <w:rFonts w:hint="eastAsia" w:ascii="CESI仿宋-GB2312" w:hAnsi="CESI仿宋-GB2312" w:eastAsia="CESI仿宋-GB2312" w:cs="CESI仿宋-GB2312"/>
          <w:kern w:val="2"/>
          <w:sz w:val="32"/>
          <w:szCs w:val="32"/>
        </w:rPr>
      </w:pPr>
      <w:r>
        <w:rPr>
          <w:rFonts w:hint="eastAsia" w:eastAsia="仿宋_GB2312" w:cs="Times New Roman"/>
          <w:kern w:val="2"/>
          <w:sz w:val="32"/>
          <w:szCs w:val="32"/>
          <w:lang w:val="en-US" w:eastAsia="zh-CN" w:bidi="ar"/>
        </w:rPr>
        <w:t>31</w:t>
      </w:r>
      <w:r>
        <w:rPr>
          <w:rFonts w:hint="default" w:ascii="Times New Roman" w:hAnsi="Times New Roman" w:eastAsia="仿宋_GB2312" w:cs="Times New Roman"/>
          <w:kern w:val="2"/>
          <w:sz w:val="32"/>
          <w:szCs w:val="32"/>
          <w:lang w:val="en-US" w:eastAsia="zh-CN" w:bidi="ar"/>
        </w:rPr>
        <w:t>.</w:t>
      </w:r>
      <w:r>
        <w:rPr>
          <w:rFonts w:hint="eastAsia" w:ascii="CESI仿宋-GB2312" w:hAnsi="CESI仿宋-GB2312" w:eastAsia="CESI仿宋-GB2312" w:cs="CESI仿宋-GB2312"/>
          <w:kern w:val="2"/>
          <w:sz w:val="32"/>
          <w:szCs w:val="32"/>
          <w:lang w:val="en-US" w:eastAsia="zh-CN" w:bidi="ar"/>
        </w:rPr>
        <w:t>卫生健康支出（类）行政事业单位医疗（款）公务员医疗补助（项）:反映财政部门安排的公务员医疗补助经费。</w:t>
      </w:r>
    </w:p>
    <w:p w14:paraId="09E5C6AD">
      <w:pPr>
        <w:keepNext w:val="0"/>
        <w:keepLines w:val="0"/>
        <w:widowControl w:val="0"/>
        <w:suppressLineNumbers w:val="0"/>
        <w:spacing w:before="0" w:beforeAutospacing="0" w:after="0" w:afterAutospacing="0"/>
        <w:ind w:left="0" w:right="0" w:firstLine="640" w:firstLineChars="200"/>
        <w:jc w:val="both"/>
        <w:rPr>
          <w:rFonts w:hint="eastAsia" w:ascii="CESI仿宋-GB2312" w:hAnsi="CESI仿宋-GB2312" w:eastAsia="CESI仿宋-GB2312" w:cs="CESI仿宋-GB2312"/>
          <w:kern w:val="2"/>
          <w:sz w:val="32"/>
          <w:szCs w:val="32"/>
        </w:rPr>
      </w:pPr>
      <w:r>
        <w:rPr>
          <w:rFonts w:hint="eastAsia" w:eastAsia="仿宋_GB2312" w:cs="Times New Roman"/>
          <w:kern w:val="2"/>
          <w:sz w:val="32"/>
          <w:szCs w:val="32"/>
          <w:lang w:val="en-US" w:eastAsia="zh-CN" w:bidi="ar"/>
        </w:rPr>
        <w:t>32</w:t>
      </w:r>
      <w:r>
        <w:rPr>
          <w:rFonts w:hint="default" w:ascii="Times New Roman" w:hAnsi="Times New Roman" w:eastAsia="仿宋_GB2312" w:cs="Times New Roman"/>
          <w:kern w:val="2"/>
          <w:sz w:val="32"/>
          <w:szCs w:val="32"/>
          <w:lang w:val="en-US" w:eastAsia="zh-CN" w:bidi="ar"/>
        </w:rPr>
        <w:t>.</w:t>
      </w:r>
      <w:r>
        <w:rPr>
          <w:rFonts w:hint="eastAsia" w:ascii="CESI仿宋-GB2312" w:hAnsi="CESI仿宋-GB2312" w:eastAsia="CESI仿宋-GB2312" w:cs="CESI仿宋-GB2312"/>
          <w:kern w:val="2"/>
          <w:sz w:val="32"/>
          <w:szCs w:val="32"/>
          <w:lang w:val="en-US" w:eastAsia="zh-CN" w:bidi="ar"/>
        </w:rPr>
        <w:t>卫生健康支出（类）行政事业单位医疗（款）其他行政事业单位医疗支出（项）:反映除上述项目以外的其他用于行政事业单位医疗方面的支出。</w:t>
      </w:r>
    </w:p>
    <w:p w14:paraId="31F1B8F6">
      <w:pPr>
        <w:keepNext w:val="0"/>
        <w:keepLines w:val="0"/>
        <w:widowControl w:val="0"/>
        <w:suppressLineNumbers w:val="0"/>
        <w:spacing w:before="0" w:beforeAutospacing="0" w:after="0" w:afterAutospacing="0"/>
        <w:ind w:left="0" w:right="0" w:firstLine="640" w:firstLineChars="200"/>
        <w:jc w:val="both"/>
        <w:rPr>
          <w:rFonts w:hint="eastAsia" w:ascii="CESI仿宋-GB2312" w:hAnsi="CESI仿宋-GB2312" w:eastAsia="CESI仿宋-GB2312" w:cs="CESI仿宋-GB2312"/>
          <w:kern w:val="2"/>
          <w:sz w:val="32"/>
          <w:szCs w:val="32"/>
        </w:rPr>
      </w:pPr>
      <w:r>
        <w:rPr>
          <w:rFonts w:hint="eastAsia" w:ascii="Times New Roman" w:hAnsi="Times New Roman" w:eastAsia="仿宋_GB2312" w:cs="Times New Roman"/>
          <w:kern w:val="2"/>
          <w:sz w:val="32"/>
          <w:szCs w:val="32"/>
          <w:lang w:val="en-US" w:eastAsia="zh-CN" w:bidi="ar"/>
        </w:rPr>
        <w:t>33</w:t>
      </w:r>
      <w:r>
        <w:rPr>
          <w:rFonts w:hint="default" w:ascii="Times New Roman" w:hAnsi="Times New Roman" w:eastAsia="仿宋_GB2312" w:cs="Times New Roman"/>
          <w:kern w:val="2"/>
          <w:sz w:val="32"/>
          <w:szCs w:val="32"/>
          <w:lang w:val="en-US" w:eastAsia="zh-CN" w:bidi="ar"/>
        </w:rPr>
        <w:t>.</w:t>
      </w:r>
      <w:r>
        <w:rPr>
          <w:rFonts w:hint="eastAsia" w:ascii="CESI仿宋-GB2312" w:hAnsi="CESI仿宋-GB2312" w:eastAsia="CESI仿宋-GB2312" w:cs="CESI仿宋-GB2312"/>
          <w:kern w:val="2"/>
          <w:sz w:val="32"/>
          <w:szCs w:val="32"/>
          <w:lang w:val="en-US" w:eastAsia="zh-CN" w:bidi="ar"/>
        </w:rPr>
        <w:t>卫生健康支出（类）中医药（款）其他中医药支出（项）:反映除中医（民族医）药专项支出以外的其他中医药支出。</w:t>
      </w:r>
    </w:p>
    <w:p w14:paraId="39E6C0AC">
      <w:pPr>
        <w:keepNext w:val="0"/>
        <w:keepLines w:val="0"/>
        <w:widowControl w:val="0"/>
        <w:suppressLineNumbers w:val="0"/>
        <w:spacing w:before="0" w:beforeAutospacing="0" w:after="0" w:afterAutospacing="0"/>
        <w:ind w:left="0" w:right="0" w:firstLine="640" w:firstLineChars="200"/>
        <w:jc w:val="both"/>
        <w:rPr>
          <w:rFonts w:hint="eastAsia" w:ascii="CESI仿宋-GB2312" w:hAnsi="CESI仿宋-GB2312" w:eastAsia="CESI仿宋-GB2312" w:cs="CESI仿宋-GB2312"/>
          <w:kern w:val="2"/>
          <w:sz w:val="32"/>
          <w:szCs w:val="32"/>
        </w:rPr>
      </w:pPr>
      <w:r>
        <w:rPr>
          <w:rFonts w:hint="eastAsia" w:eastAsia="仿宋_GB2312" w:cs="Times New Roman"/>
          <w:kern w:val="2"/>
          <w:sz w:val="32"/>
          <w:szCs w:val="32"/>
          <w:lang w:val="en-US" w:eastAsia="zh-CN" w:bidi="ar"/>
        </w:rPr>
        <w:t>34</w:t>
      </w:r>
      <w:r>
        <w:rPr>
          <w:rFonts w:hint="default" w:ascii="Times New Roman" w:hAnsi="Times New Roman" w:eastAsia="仿宋_GB2312" w:cs="Times New Roman"/>
          <w:kern w:val="2"/>
          <w:sz w:val="32"/>
          <w:szCs w:val="32"/>
          <w:lang w:val="en-US" w:eastAsia="zh-CN" w:bidi="ar"/>
        </w:rPr>
        <w:t>.</w:t>
      </w:r>
      <w:r>
        <w:rPr>
          <w:rFonts w:hint="eastAsia" w:ascii="CESI仿宋-GB2312" w:hAnsi="CESI仿宋-GB2312" w:eastAsia="CESI仿宋-GB2312" w:cs="CESI仿宋-GB2312"/>
          <w:kern w:val="2"/>
          <w:sz w:val="32"/>
          <w:szCs w:val="32"/>
          <w:lang w:val="en-US" w:eastAsia="zh-CN" w:bidi="ar"/>
        </w:rPr>
        <w:t>卫生健康支出（类）疾病预防控制事务（款）其他疾病预防控制事务支出（项）:指用于其他疾病预防控制事务方面的支出。</w:t>
      </w:r>
    </w:p>
    <w:p w14:paraId="22F76DF8">
      <w:pPr>
        <w:keepNext w:val="0"/>
        <w:keepLines w:val="0"/>
        <w:widowControl w:val="0"/>
        <w:suppressLineNumbers w:val="0"/>
        <w:spacing w:before="0" w:beforeAutospacing="0" w:after="0" w:afterAutospacing="0"/>
        <w:ind w:left="0" w:right="0" w:firstLine="640" w:firstLineChars="200"/>
        <w:jc w:val="both"/>
        <w:rPr>
          <w:rFonts w:hint="eastAsia" w:ascii="CESI仿宋-GB2312" w:hAnsi="CESI仿宋-GB2312" w:eastAsia="CESI仿宋-GB2312" w:cs="CESI仿宋-GB2312"/>
          <w:kern w:val="2"/>
          <w:sz w:val="32"/>
          <w:szCs w:val="32"/>
        </w:rPr>
      </w:pPr>
      <w:r>
        <w:rPr>
          <w:rFonts w:hint="eastAsia" w:ascii="Times New Roman" w:hAnsi="Times New Roman" w:eastAsia="仿宋_GB2312" w:cs="Times New Roman"/>
          <w:kern w:val="2"/>
          <w:sz w:val="32"/>
          <w:szCs w:val="32"/>
          <w:lang w:val="en-US" w:eastAsia="zh-CN" w:bidi="ar"/>
        </w:rPr>
        <w:t>35</w:t>
      </w:r>
      <w:r>
        <w:rPr>
          <w:rFonts w:hint="default" w:ascii="Times New Roman" w:hAnsi="Times New Roman" w:eastAsia="仿宋_GB2312" w:cs="Times New Roman"/>
          <w:kern w:val="2"/>
          <w:sz w:val="32"/>
          <w:szCs w:val="32"/>
          <w:lang w:val="en-US" w:eastAsia="zh-CN" w:bidi="ar"/>
        </w:rPr>
        <w:t>.</w:t>
      </w:r>
      <w:r>
        <w:rPr>
          <w:rFonts w:hint="eastAsia" w:ascii="CESI仿宋-GB2312" w:hAnsi="CESI仿宋-GB2312" w:eastAsia="CESI仿宋-GB2312" w:cs="CESI仿宋-GB2312"/>
          <w:kern w:val="2"/>
          <w:sz w:val="32"/>
          <w:szCs w:val="32"/>
          <w:lang w:val="en-US" w:eastAsia="zh-CN" w:bidi="ar"/>
        </w:rPr>
        <w:t>卫生健康支出（类）其他卫生健康支出（款）其他卫生健康支出（项）:指用于其他卫生健康方面的支出。</w:t>
      </w:r>
    </w:p>
    <w:p w14:paraId="2AC95C27">
      <w:pPr>
        <w:keepNext w:val="0"/>
        <w:keepLines w:val="0"/>
        <w:widowControl w:val="0"/>
        <w:suppressLineNumbers w:val="0"/>
        <w:spacing w:before="0" w:beforeAutospacing="0" w:after="0" w:afterAutospacing="0"/>
        <w:ind w:left="0" w:right="0" w:firstLine="640" w:firstLineChars="200"/>
        <w:jc w:val="both"/>
        <w:rPr>
          <w:rFonts w:hint="eastAsia" w:ascii="CESI仿宋-GB2312" w:hAnsi="CESI仿宋-GB2312" w:eastAsia="CESI仿宋-GB2312" w:cs="CESI仿宋-GB2312"/>
          <w:kern w:val="2"/>
          <w:sz w:val="32"/>
          <w:szCs w:val="32"/>
        </w:rPr>
      </w:pPr>
      <w:r>
        <w:rPr>
          <w:rFonts w:hint="eastAsia" w:ascii="Times New Roman" w:hAnsi="Times New Roman" w:eastAsia="仿宋_GB2312" w:cs="Times New Roman"/>
          <w:kern w:val="2"/>
          <w:sz w:val="32"/>
          <w:szCs w:val="32"/>
          <w:lang w:val="en-US" w:eastAsia="zh-CN" w:bidi="ar"/>
        </w:rPr>
        <w:t>36</w:t>
      </w:r>
      <w:r>
        <w:rPr>
          <w:rFonts w:hint="default" w:ascii="Times New Roman" w:hAnsi="Times New Roman" w:eastAsia="仿宋_GB2312" w:cs="Times New Roman"/>
          <w:kern w:val="2"/>
          <w:sz w:val="32"/>
          <w:szCs w:val="32"/>
          <w:lang w:val="en-US" w:eastAsia="zh-CN" w:bidi="ar"/>
        </w:rPr>
        <w:t>.</w:t>
      </w:r>
      <w:r>
        <w:rPr>
          <w:rFonts w:hint="eastAsia" w:ascii="CESI仿宋-GB2312" w:hAnsi="CESI仿宋-GB2312" w:eastAsia="CESI仿宋-GB2312" w:cs="CESI仿宋-GB2312"/>
          <w:kern w:val="2"/>
          <w:sz w:val="32"/>
          <w:szCs w:val="32"/>
          <w:lang w:val="en-US" w:eastAsia="zh-CN" w:bidi="ar"/>
        </w:rPr>
        <w:t xml:space="preserve">农林水支出（类）巩固脱贫衔接乡村振兴（款）其他巩固脱贫衔接乡村振兴支出（项）:反映除上述项目以外其他用于巩固拓展脱贫攻坚成果同乡村振兴有效衔接方面的支出。  </w:t>
      </w:r>
    </w:p>
    <w:p w14:paraId="16242105">
      <w:pPr>
        <w:keepNext w:val="0"/>
        <w:keepLines w:val="0"/>
        <w:widowControl w:val="0"/>
        <w:suppressLineNumbers w:val="0"/>
        <w:spacing w:before="0" w:beforeAutospacing="0" w:after="0" w:afterAutospacing="0"/>
        <w:ind w:left="0" w:right="0" w:firstLine="640" w:firstLineChars="200"/>
        <w:jc w:val="both"/>
        <w:rPr>
          <w:rFonts w:hint="default" w:ascii="CESI仿宋-GB2312" w:hAnsi="CESI仿宋-GB2312" w:eastAsia="CESI仿宋-GB2312" w:cs="CESI仿宋-GB2312"/>
          <w:kern w:val="2"/>
          <w:sz w:val="32"/>
          <w:szCs w:val="32"/>
          <w:lang w:val="en-US"/>
        </w:rPr>
      </w:pPr>
      <w:r>
        <w:rPr>
          <w:rFonts w:hint="eastAsia" w:ascii="Times New Roman" w:hAnsi="Times New Roman" w:eastAsia="仿宋_GB2312" w:cs="Times New Roman"/>
          <w:kern w:val="2"/>
          <w:sz w:val="32"/>
          <w:szCs w:val="32"/>
          <w:lang w:val="en-US" w:eastAsia="zh-CN" w:bidi="ar"/>
        </w:rPr>
        <w:t>37</w:t>
      </w:r>
      <w:r>
        <w:rPr>
          <w:rFonts w:hint="default" w:ascii="Times New Roman" w:hAnsi="Times New Roman" w:eastAsia="仿宋_GB2312" w:cs="Times New Roman"/>
          <w:kern w:val="2"/>
          <w:sz w:val="32"/>
          <w:szCs w:val="32"/>
          <w:lang w:val="en-US" w:eastAsia="zh-CN" w:bidi="ar"/>
        </w:rPr>
        <w:t>.</w:t>
      </w:r>
      <w:r>
        <w:rPr>
          <w:rFonts w:hint="eastAsia" w:ascii="CESI仿宋-GB2312" w:hAnsi="CESI仿宋-GB2312" w:eastAsia="CESI仿宋-GB2312" w:cs="CESI仿宋-GB2312"/>
          <w:kern w:val="2"/>
          <w:sz w:val="32"/>
          <w:szCs w:val="32"/>
          <w:lang w:val="en-US" w:eastAsia="zh-CN" w:bidi="ar"/>
        </w:rPr>
        <w:t>住房保障支出（类）住房改革支出（款）住房公积金（项）:指单位按照人力资源和社会保障部、财政部规定的基本工资和津贴补贴以及规定比例为职工缴纳的住房公积金。</w:t>
      </w:r>
    </w:p>
    <w:p w14:paraId="68E5C68B">
      <w:pPr>
        <w:keepNext w:val="0"/>
        <w:keepLines w:val="0"/>
        <w:widowControl w:val="0"/>
        <w:suppressLineNumbers w:val="0"/>
        <w:spacing w:before="0" w:beforeAutospacing="0" w:after="0" w:afterAutospacing="0"/>
        <w:ind w:left="0" w:right="0" w:firstLine="640" w:firstLineChars="200"/>
        <w:jc w:val="both"/>
        <w:rPr>
          <w:rFonts w:eastAsia="仿宋_GB2312" w:cs="仿宋_GB2312"/>
          <w:sz w:val="32"/>
          <w:szCs w:val="32"/>
        </w:rPr>
      </w:pPr>
      <w:r>
        <w:rPr>
          <w:rFonts w:hint="eastAsia" w:ascii="Times New Roman" w:hAnsi="Times New Roman" w:eastAsia="仿宋_GB2312" w:cs="Times New Roman"/>
          <w:kern w:val="2"/>
          <w:sz w:val="32"/>
          <w:szCs w:val="32"/>
          <w:lang w:val="en-US" w:eastAsia="zh-CN" w:bidi="ar"/>
        </w:rPr>
        <w:t>3</w:t>
      </w:r>
      <w:r>
        <w:rPr>
          <w:rFonts w:hint="eastAsia" w:eastAsia="仿宋_GB2312" w:cs="Times New Roman"/>
          <w:kern w:val="2"/>
          <w:sz w:val="32"/>
          <w:szCs w:val="32"/>
          <w:lang w:val="en-US" w:eastAsia="zh-CN" w:bidi="ar"/>
        </w:rPr>
        <w:t>8</w:t>
      </w:r>
      <w:r>
        <w:rPr>
          <w:rFonts w:hint="default" w:ascii="Times New Roman" w:hAnsi="Times New Roman" w:eastAsia="仿宋_GB2312" w:cs="Times New Roman"/>
          <w:kern w:val="2"/>
          <w:sz w:val="32"/>
          <w:szCs w:val="32"/>
          <w:lang w:val="en-US" w:eastAsia="zh-CN" w:bidi="ar"/>
        </w:rPr>
        <w:t>.</w:t>
      </w:r>
      <w:r>
        <w:rPr>
          <w:rFonts w:hint="eastAsia" w:ascii="CESI仿宋-GB2312" w:hAnsi="CESI仿宋-GB2312" w:eastAsia="CESI仿宋-GB2312" w:cs="CESI仿宋-GB2312"/>
          <w:kern w:val="2"/>
          <w:sz w:val="32"/>
          <w:szCs w:val="32"/>
          <w:lang w:val="en-US" w:eastAsia="zh-CN" w:bidi="ar"/>
        </w:rPr>
        <w:t>其他支出（类）其他政府性基金及对应专项债务收入安排的支出（款）其他地方自行试点项目收益专项债券收入安排的支出（项）:指其他地方自行试点项目收益专项债券收入安排的支出。</w:t>
      </w:r>
    </w:p>
    <w:p w14:paraId="3E8BD2F6">
      <w:pPr>
        <w:spacing w:line="600" w:lineRule="exact"/>
        <w:ind w:firstLine="640"/>
        <w:rPr>
          <w:rFonts w:eastAsia="仿宋_GB2312" w:cs="仿宋_GB2312"/>
          <w:sz w:val="32"/>
          <w:szCs w:val="32"/>
        </w:rPr>
      </w:pPr>
      <w:r>
        <w:rPr>
          <w:rFonts w:hint="eastAsia" w:eastAsia="仿宋_GB2312" w:cs="仿宋_GB2312"/>
          <w:sz w:val="32"/>
          <w:szCs w:val="32"/>
          <w:lang w:val="en-US" w:eastAsia="zh-CN"/>
        </w:rPr>
        <w:t>39</w:t>
      </w:r>
      <w:r>
        <w:rPr>
          <w:rFonts w:hint="eastAsia" w:eastAsia="仿宋_GB2312" w:cs="仿宋_GB2312"/>
          <w:sz w:val="32"/>
          <w:szCs w:val="32"/>
        </w:rPr>
        <w:t>.基本支出：指为保障机构正常运转、完成日常工作任务而发生的人员支出和公用支出。</w:t>
      </w:r>
    </w:p>
    <w:p w14:paraId="4FF29CF3">
      <w:pPr>
        <w:spacing w:line="600" w:lineRule="exact"/>
        <w:ind w:firstLine="640"/>
        <w:rPr>
          <w:rFonts w:eastAsia="仿宋_GB2312" w:cs="仿宋_GB2312"/>
          <w:sz w:val="32"/>
          <w:szCs w:val="32"/>
        </w:rPr>
      </w:pPr>
      <w:r>
        <w:rPr>
          <w:rFonts w:hint="eastAsia" w:eastAsia="仿宋_GB2312" w:cs="仿宋_GB2312"/>
          <w:sz w:val="32"/>
          <w:szCs w:val="32"/>
          <w:lang w:val="en-US" w:eastAsia="zh-CN"/>
        </w:rPr>
        <w:t>40</w:t>
      </w:r>
      <w:r>
        <w:rPr>
          <w:rFonts w:hint="eastAsia" w:eastAsia="仿宋_GB2312" w:cs="仿宋_GB2312"/>
          <w:sz w:val="32"/>
          <w:szCs w:val="32"/>
        </w:rPr>
        <w:t xml:space="preserve">.项目支出：指在基本支出之外为完成特定行政任务和事业发展目标所发生的支出。 </w:t>
      </w:r>
    </w:p>
    <w:p w14:paraId="350DF6DB">
      <w:pPr>
        <w:spacing w:line="600" w:lineRule="exact"/>
        <w:ind w:firstLine="640"/>
        <w:rPr>
          <w:rFonts w:eastAsia="仿宋_GB2312" w:cs="仿宋_GB2312"/>
          <w:sz w:val="32"/>
          <w:szCs w:val="32"/>
        </w:rPr>
      </w:pPr>
      <w:r>
        <w:rPr>
          <w:rFonts w:hint="eastAsia" w:eastAsia="仿宋_GB2312" w:cs="仿宋_GB2312"/>
          <w:sz w:val="32"/>
          <w:szCs w:val="32"/>
          <w:lang w:val="en-US" w:eastAsia="zh-CN"/>
        </w:rPr>
        <w:t>41</w:t>
      </w:r>
      <w:r>
        <w:rPr>
          <w:rFonts w:hint="eastAsia" w:eastAsia="仿宋_GB2312" w:cs="仿宋_GB2312"/>
          <w:sz w:val="32"/>
          <w:szCs w:val="32"/>
        </w:rPr>
        <w:t>.“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29149421">
      <w:pPr>
        <w:spacing w:line="600" w:lineRule="exact"/>
        <w:ind w:firstLine="640"/>
        <w:rPr>
          <w:rFonts w:eastAsia="仿宋_GB2312" w:cs="仿宋_GB2312"/>
          <w:sz w:val="32"/>
          <w:szCs w:val="32"/>
        </w:rPr>
      </w:pPr>
      <w:r>
        <w:rPr>
          <w:rFonts w:hint="eastAsia" w:eastAsia="仿宋_GB2312" w:cs="仿宋_GB2312"/>
          <w:sz w:val="32"/>
          <w:szCs w:val="32"/>
          <w:lang w:val="en-US" w:eastAsia="zh-CN"/>
        </w:rPr>
        <w:t>42</w:t>
      </w:r>
      <w:r>
        <w:rPr>
          <w:rFonts w:hint="eastAsia" w:eastAsia="仿宋_GB2312" w:cs="仿宋_GB2312"/>
          <w:sz w:val="32"/>
          <w:szCs w:val="32"/>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6CAB7856">
      <w:pPr>
        <w:spacing w:line="600" w:lineRule="exact"/>
        <w:jc w:val="center"/>
        <w:outlineLvl w:val="0"/>
        <w:rPr>
          <w:rStyle w:val="29"/>
          <w:rFonts w:eastAsia="黑体"/>
          <w:b w:val="0"/>
        </w:rPr>
      </w:pPr>
      <w:bookmarkStart w:id="75" w:name="_Toc15377226"/>
      <w:r>
        <w:rPr>
          <w:rFonts w:hint="eastAsia" w:eastAsia="仿宋_GB2312" w:cs="仿宋_GB2312"/>
          <w:sz w:val="32"/>
          <w:szCs w:val="32"/>
        </w:rPr>
        <w:br w:type="page"/>
      </w:r>
      <w:bookmarkStart w:id="76" w:name="_Toc15396614"/>
      <w:bookmarkStart w:id="77" w:name="_Toc2112967611"/>
      <w:r>
        <w:rPr>
          <w:rFonts w:hint="eastAsia" w:eastAsia="黑体"/>
          <w:sz w:val="44"/>
          <w:szCs w:val="44"/>
        </w:rPr>
        <w:t>第四部分  附件</w:t>
      </w:r>
      <w:bookmarkEnd w:id="76"/>
      <w:bookmarkEnd w:id="77"/>
    </w:p>
    <w:p w14:paraId="48A3D7CD">
      <w:pPr>
        <w:spacing w:line="572" w:lineRule="exact"/>
        <w:jc w:val="left"/>
        <w:outlineLvl w:val="9"/>
        <w:rPr>
          <w:rFonts w:eastAsia="黑体" w:cs="黑体"/>
          <w:sz w:val="32"/>
          <w:szCs w:val="32"/>
        </w:rPr>
      </w:pPr>
    </w:p>
    <w:p w14:paraId="69142E57">
      <w:pPr>
        <w:spacing w:line="572" w:lineRule="exact"/>
        <w:jc w:val="left"/>
        <w:outlineLvl w:val="0"/>
        <w:rPr>
          <w:rFonts w:eastAsia="黑体" w:cs="方正小标宋简体"/>
          <w:sz w:val="44"/>
          <w:szCs w:val="44"/>
        </w:rPr>
      </w:pPr>
      <w:bookmarkStart w:id="78" w:name="_Toc670041333"/>
      <w:r>
        <w:rPr>
          <w:rFonts w:hint="eastAsia" w:eastAsia="黑体" w:cs="黑体"/>
          <w:sz w:val="32"/>
          <w:szCs w:val="32"/>
        </w:rPr>
        <w:t>附件1</w:t>
      </w:r>
      <w:bookmarkEnd w:id="78"/>
    </w:p>
    <w:p w14:paraId="2AC19D54">
      <w:pPr>
        <w:widowControl/>
        <w:spacing w:line="578" w:lineRule="exact"/>
        <w:contextualSpacing/>
        <w:jc w:val="center"/>
        <w:rPr>
          <w:rFonts w:hint="eastAsia" w:eastAsia="方正小标宋简体"/>
          <w:bCs/>
          <w:sz w:val="44"/>
          <w:szCs w:val="44"/>
          <w:shd w:val="clear" w:color="auto" w:fill="FFFFFF"/>
          <w:lang w:eastAsia="zh-CN"/>
        </w:rPr>
      </w:pPr>
      <w:r>
        <w:rPr>
          <w:rFonts w:hint="eastAsia" w:eastAsia="方正小标宋简体"/>
          <w:bCs/>
          <w:sz w:val="44"/>
          <w:szCs w:val="44"/>
          <w:shd w:val="clear" w:color="auto" w:fill="FFFFFF"/>
          <w:lang w:eastAsia="zh-CN"/>
        </w:rPr>
        <w:t>盐边县卫生健康局</w:t>
      </w:r>
    </w:p>
    <w:p w14:paraId="5BF0A1C2">
      <w:pPr>
        <w:widowControl/>
        <w:spacing w:line="578" w:lineRule="exact"/>
        <w:contextualSpacing/>
        <w:jc w:val="center"/>
        <w:rPr>
          <w:rFonts w:eastAsia="方正小标宋简体"/>
          <w:bCs/>
          <w:sz w:val="44"/>
          <w:szCs w:val="44"/>
          <w:shd w:val="clear" w:color="auto" w:fill="FFFFFF"/>
        </w:rPr>
      </w:pPr>
      <w:r>
        <w:rPr>
          <w:rFonts w:eastAsia="方正小标宋简体"/>
          <w:bCs/>
          <w:sz w:val="44"/>
          <w:szCs w:val="44"/>
          <w:shd w:val="clear" w:color="auto" w:fill="FFFFFF"/>
        </w:rPr>
        <w:t>部门预算绩效</w:t>
      </w:r>
      <w:r>
        <w:rPr>
          <w:rFonts w:hint="eastAsia" w:eastAsia="方正小标宋简体"/>
          <w:bCs/>
          <w:sz w:val="44"/>
          <w:szCs w:val="44"/>
          <w:shd w:val="clear" w:color="auto" w:fill="FFFFFF"/>
        </w:rPr>
        <w:t>评价</w:t>
      </w:r>
      <w:r>
        <w:rPr>
          <w:rFonts w:eastAsia="方正小标宋简体"/>
          <w:bCs/>
          <w:sz w:val="44"/>
          <w:szCs w:val="44"/>
          <w:shd w:val="clear" w:color="auto" w:fill="FFFFFF"/>
        </w:rPr>
        <w:t>报告</w:t>
      </w:r>
    </w:p>
    <w:p w14:paraId="5E87E355">
      <w:pPr>
        <w:widowControl/>
        <w:adjustRightInd w:val="0"/>
        <w:snapToGrid w:val="0"/>
        <w:spacing w:line="578" w:lineRule="exact"/>
        <w:ind w:firstLine="480" w:firstLineChars="200"/>
        <w:contextualSpacing/>
        <w:jc w:val="left"/>
        <w:rPr>
          <w:rFonts w:eastAsia="黑体"/>
          <w:kern w:val="0"/>
          <w:sz w:val="24"/>
          <w:szCs w:val="32"/>
          <w:shd w:val="clear" w:color="auto" w:fill="FFFFFF"/>
        </w:rPr>
      </w:pPr>
    </w:p>
    <w:p w14:paraId="7578A241">
      <w:pPr>
        <w:widowControl/>
        <w:adjustRightInd w:val="0"/>
        <w:snapToGrid w:val="0"/>
        <w:spacing w:line="578" w:lineRule="exact"/>
        <w:ind w:firstLine="640" w:firstLineChars="200"/>
        <w:contextualSpacing/>
        <w:jc w:val="left"/>
        <w:rPr>
          <w:rFonts w:eastAsia="黑体"/>
          <w:kern w:val="0"/>
          <w:sz w:val="32"/>
          <w:szCs w:val="32"/>
          <w:shd w:val="clear" w:color="auto" w:fill="FFFFFF"/>
          <w:lang w:val="zh-CN"/>
        </w:rPr>
      </w:pPr>
      <w:r>
        <w:rPr>
          <w:rFonts w:hint="eastAsia" w:eastAsia="黑体"/>
          <w:kern w:val="0"/>
          <w:sz w:val="32"/>
          <w:szCs w:val="32"/>
          <w:shd w:val="clear" w:color="auto" w:fill="FFFFFF"/>
          <w:lang w:val="zh-CN"/>
        </w:rPr>
        <w:t>一、</w:t>
      </w:r>
      <w:r>
        <w:rPr>
          <w:rFonts w:eastAsia="黑体"/>
          <w:kern w:val="0"/>
          <w:sz w:val="32"/>
          <w:szCs w:val="32"/>
          <w:shd w:val="clear" w:color="auto" w:fill="FFFFFF"/>
          <w:lang w:val="zh-CN"/>
        </w:rPr>
        <w:t>部门（单位）基本情况</w:t>
      </w:r>
    </w:p>
    <w:p w14:paraId="2A1AE431">
      <w:pPr>
        <w:keepNext w:val="0"/>
        <w:keepLines w:val="0"/>
        <w:widowControl w:val="0"/>
        <w:suppressLineNumbers w:val="0"/>
        <w:spacing w:before="0" w:beforeAutospacing="0" w:after="0" w:afterAutospacing="0" w:line="570" w:lineRule="exact"/>
        <w:ind w:left="0" w:right="0" w:firstLine="643" w:firstLineChars="200"/>
        <w:jc w:val="both"/>
        <w:rPr>
          <w:rFonts w:hint="default" w:ascii="Times New Roman" w:hAnsi="Times New Roman" w:eastAsia="方正仿宋_GBK" w:cs="Times New Roman"/>
          <w:kern w:val="2"/>
          <w:sz w:val="32"/>
          <w:szCs w:val="32"/>
        </w:rPr>
      </w:pPr>
      <w:r>
        <w:rPr>
          <w:rFonts w:hint="eastAsia" w:eastAsia="楷体_GB2312" w:cs="楷体_GB2312"/>
          <w:b/>
          <w:sz w:val="32"/>
          <w:szCs w:val="32"/>
          <w:lang w:val="zh-CN"/>
        </w:rPr>
        <w:t>（一）</w:t>
      </w:r>
      <w:r>
        <w:rPr>
          <w:rFonts w:eastAsia="楷体_GB2312" w:cs="楷体_GB2312"/>
          <w:b/>
          <w:sz w:val="32"/>
          <w:szCs w:val="32"/>
          <w:lang w:val="zh-CN"/>
        </w:rPr>
        <w:t>机构组成。</w:t>
      </w:r>
      <w:r>
        <w:rPr>
          <w:rFonts w:hint="eastAsia" w:ascii="方正仿宋_GBK" w:hAnsi="方正仿宋_GBK" w:eastAsia="方正仿宋_GBK" w:cs="方正仿宋_GBK"/>
          <w:kern w:val="2"/>
          <w:sz w:val="32"/>
          <w:szCs w:val="32"/>
          <w:lang w:val="en-US" w:eastAsia="zh-CN" w:bidi="ar"/>
        </w:rPr>
        <w:t>全县共有各级各类医疗卫生机构</w:t>
      </w:r>
      <w:r>
        <w:rPr>
          <w:rFonts w:hint="default" w:ascii="Times New Roman" w:hAnsi="Times New Roman" w:eastAsia="方正仿宋_GBK" w:cs="Times New Roman"/>
          <w:kern w:val="2"/>
          <w:sz w:val="32"/>
          <w:szCs w:val="32"/>
          <w:lang w:val="en-US" w:eastAsia="zh-CN" w:bidi="ar"/>
        </w:rPr>
        <w:t>236</w:t>
      </w:r>
      <w:r>
        <w:rPr>
          <w:rFonts w:hint="eastAsia" w:ascii="方正仿宋_GBK" w:hAnsi="方正仿宋_GBK" w:eastAsia="方正仿宋_GBK" w:cs="方正仿宋_GBK"/>
          <w:kern w:val="2"/>
          <w:sz w:val="32"/>
          <w:szCs w:val="32"/>
          <w:lang w:val="en-US" w:eastAsia="zh-CN" w:bidi="ar"/>
        </w:rPr>
        <w:t>个。其中，公立县级医疗机构</w:t>
      </w:r>
      <w:r>
        <w:rPr>
          <w:rFonts w:hint="default" w:ascii="Times New Roman" w:hAnsi="Times New Roman" w:eastAsia="方正仿宋_GBK" w:cs="Times New Roman"/>
          <w:kern w:val="2"/>
          <w:sz w:val="32"/>
          <w:szCs w:val="32"/>
          <w:lang w:val="en-US" w:eastAsia="zh-CN" w:bidi="ar"/>
        </w:rPr>
        <w:t>3</w:t>
      </w:r>
      <w:r>
        <w:rPr>
          <w:rFonts w:hint="eastAsia" w:ascii="方正仿宋_GBK" w:hAnsi="方正仿宋_GBK" w:eastAsia="方正仿宋_GBK" w:cs="方正仿宋_GBK"/>
          <w:kern w:val="2"/>
          <w:sz w:val="32"/>
          <w:szCs w:val="32"/>
          <w:lang w:val="en-US" w:eastAsia="zh-CN" w:bidi="ar"/>
        </w:rPr>
        <w:t>个（县人民医院、县第二人民医院、县中医院），卫生计生监督执法机构</w:t>
      </w:r>
      <w:r>
        <w:rPr>
          <w:rFonts w:hint="default" w:ascii="Times New Roman" w:hAnsi="Times New Roman" w:eastAsia="方正仿宋_GBK" w:cs="Times New Roman"/>
          <w:kern w:val="2"/>
          <w:sz w:val="32"/>
          <w:szCs w:val="32"/>
          <w:lang w:val="en-US" w:eastAsia="zh-CN" w:bidi="ar"/>
        </w:rPr>
        <w:t>1</w:t>
      </w:r>
      <w:r>
        <w:rPr>
          <w:rFonts w:hint="eastAsia" w:ascii="方正仿宋_GBK" w:hAnsi="方正仿宋_GBK" w:eastAsia="方正仿宋_GBK" w:cs="方正仿宋_GBK"/>
          <w:kern w:val="2"/>
          <w:sz w:val="32"/>
          <w:szCs w:val="32"/>
          <w:lang w:val="en-US" w:eastAsia="zh-CN" w:bidi="ar"/>
        </w:rPr>
        <w:t>个（县卫生计生执法监督大队），公共卫生服务机构</w:t>
      </w:r>
      <w:r>
        <w:rPr>
          <w:rFonts w:hint="default" w:ascii="Times New Roman" w:hAnsi="Times New Roman" w:eastAsia="方正仿宋_GBK" w:cs="Times New Roman"/>
          <w:kern w:val="2"/>
          <w:sz w:val="32"/>
          <w:szCs w:val="32"/>
          <w:lang w:val="en-US" w:eastAsia="zh-CN" w:bidi="ar"/>
        </w:rPr>
        <w:t>2</w:t>
      </w:r>
      <w:r>
        <w:rPr>
          <w:rFonts w:hint="eastAsia" w:ascii="方正仿宋_GBK" w:hAnsi="方正仿宋_GBK" w:eastAsia="方正仿宋_GBK" w:cs="方正仿宋_GBK"/>
          <w:kern w:val="2"/>
          <w:sz w:val="32"/>
          <w:szCs w:val="32"/>
          <w:lang w:val="en-US" w:eastAsia="zh-CN" w:bidi="ar"/>
        </w:rPr>
        <w:t>个（县疾病预防控制中心和县妇幼保健服务中心），乡镇卫生院</w:t>
      </w:r>
      <w:r>
        <w:rPr>
          <w:rFonts w:hint="default" w:ascii="Times New Roman" w:hAnsi="Times New Roman" w:eastAsia="方正仿宋_GBK" w:cs="Times New Roman"/>
          <w:kern w:val="2"/>
          <w:sz w:val="32"/>
          <w:szCs w:val="32"/>
          <w:lang w:val="en-US" w:eastAsia="zh-CN" w:bidi="ar"/>
        </w:rPr>
        <w:t>12</w:t>
      </w:r>
      <w:r>
        <w:rPr>
          <w:rFonts w:hint="eastAsia" w:ascii="方正仿宋_GBK" w:hAnsi="方正仿宋_GBK" w:eastAsia="方正仿宋_GBK" w:cs="方正仿宋_GBK"/>
          <w:kern w:val="2"/>
          <w:sz w:val="32"/>
          <w:szCs w:val="32"/>
          <w:lang w:val="en-US" w:eastAsia="zh-CN" w:bidi="ar"/>
        </w:rPr>
        <w:t>个，社区卫生服务中心</w:t>
      </w:r>
      <w:r>
        <w:rPr>
          <w:rFonts w:hint="default" w:ascii="Times New Roman" w:hAnsi="Times New Roman" w:eastAsia="方正仿宋_GBK" w:cs="Times New Roman"/>
          <w:kern w:val="2"/>
          <w:sz w:val="32"/>
          <w:szCs w:val="32"/>
          <w:lang w:val="en-US" w:eastAsia="zh-CN" w:bidi="ar"/>
        </w:rPr>
        <w:t>1</w:t>
      </w:r>
      <w:r>
        <w:rPr>
          <w:rFonts w:hint="eastAsia" w:ascii="方正仿宋_GBK" w:hAnsi="方正仿宋_GBK" w:eastAsia="方正仿宋_GBK" w:cs="方正仿宋_GBK"/>
          <w:kern w:val="2"/>
          <w:sz w:val="32"/>
          <w:szCs w:val="32"/>
          <w:lang w:val="en-US" w:eastAsia="zh-CN" w:bidi="ar"/>
        </w:rPr>
        <w:t>个，村卫生室</w:t>
      </w:r>
      <w:r>
        <w:rPr>
          <w:rFonts w:hint="default" w:ascii="Times New Roman" w:hAnsi="Times New Roman" w:eastAsia="方正仿宋_GBK" w:cs="Times New Roman"/>
          <w:kern w:val="2"/>
          <w:sz w:val="32"/>
          <w:szCs w:val="32"/>
          <w:lang w:val="en-US" w:eastAsia="zh-CN" w:bidi="ar"/>
        </w:rPr>
        <w:t>173</w:t>
      </w:r>
      <w:r>
        <w:rPr>
          <w:rFonts w:hint="eastAsia" w:ascii="方正仿宋_GBK" w:hAnsi="方正仿宋_GBK" w:eastAsia="方正仿宋_GBK" w:cs="方正仿宋_GBK"/>
          <w:kern w:val="2"/>
          <w:sz w:val="32"/>
          <w:szCs w:val="32"/>
          <w:lang w:val="en-US" w:eastAsia="zh-CN" w:bidi="ar"/>
        </w:rPr>
        <w:t>个，民营医院</w:t>
      </w:r>
      <w:r>
        <w:rPr>
          <w:rFonts w:hint="default" w:ascii="Times New Roman" w:hAnsi="Times New Roman" w:eastAsia="方正仿宋_GBK" w:cs="Times New Roman"/>
          <w:kern w:val="2"/>
          <w:sz w:val="32"/>
          <w:szCs w:val="32"/>
          <w:lang w:val="en-US" w:eastAsia="zh-CN" w:bidi="ar"/>
        </w:rPr>
        <w:t>2</w:t>
      </w:r>
      <w:r>
        <w:rPr>
          <w:rFonts w:hint="eastAsia" w:ascii="方正仿宋_GBK" w:hAnsi="方正仿宋_GBK" w:eastAsia="方正仿宋_GBK" w:cs="方正仿宋_GBK"/>
          <w:kern w:val="2"/>
          <w:sz w:val="32"/>
          <w:szCs w:val="32"/>
          <w:lang w:val="en-US" w:eastAsia="zh-CN" w:bidi="ar"/>
        </w:rPr>
        <w:t>个，民营诊所</w:t>
      </w:r>
      <w:r>
        <w:rPr>
          <w:rFonts w:hint="default" w:ascii="Times New Roman" w:hAnsi="Times New Roman" w:eastAsia="方正仿宋_GBK" w:cs="Times New Roman"/>
          <w:kern w:val="2"/>
          <w:sz w:val="32"/>
          <w:szCs w:val="32"/>
          <w:lang w:val="en-US" w:eastAsia="zh-CN" w:bidi="ar"/>
        </w:rPr>
        <w:t>42</w:t>
      </w:r>
      <w:r>
        <w:rPr>
          <w:rFonts w:hint="eastAsia" w:ascii="方正仿宋_GBK" w:hAnsi="方正仿宋_GBK" w:eastAsia="方正仿宋_GBK" w:cs="方正仿宋_GBK"/>
          <w:kern w:val="2"/>
          <w:sz w:val="32"/>
          <w:szCs w:val="32"/>
          <w:lang w:val="en-US" w:eastAsia="zh-CN" w:bidi="ar"/>
        </w:rPr>
        <w:t>个。</w:t>
      </w:r>
    </w:p>
    <w:p w14:paraId="3D113E14">
      <w:pPr>
        <w:keepNext w:val="0"/>
        <w:keepLines w:val="0"/>
        <w:widowControl w:val="0"/>
        <w:suppressLineNumbers w:val="0"/>
        <w:spacing w:before="0" w:beforeAutospacing="0" w:after="0" w:afterAutospacing="0" w:line="570" w:lineRule="exact"/>
        <w:ind w:left="0" w:right="0" w:firstLine="640" w:firstLineChars="200"/>
        <w:jc w:val="both"/>
        <w:rPr>
          <w:szCs w:val="32"/>
        </w:rPr>
      </w:pPr>
      <w:r>
        <w:rPr>
          <w:rFonts w:hint="eastAsia" w:ascii="方正仿宋_GBK" w:hAnsi="方正仿宋_GBK" w:eastAsia="方正仿宋_GBK" w:cs="方正仿宋_GBK"/>
          <w:kern w:val="2"/>
          <w:sz w:val="32"/>
          <w:szCs w:val="32"/>
          <w:lang w:val="en-US" w:eastAsia="zh-CN" w:bidi="ar"/>
        </w:rPr>
        <w:t>盐边县卫生健康局内设</w:t>
      </w:r>
      <w:r>
        <w:rPr>
          <w:rFonts w:hint="default" w:ascii="Times New Roman" w:hAnsi="Times New Roman" w:eastAsia="方正仿宋_GBK" w:cs="Times New Roman"/>
          <w:kern w:val="2"/>
          <w:sz w:val="32"/>
          <w:szCs w:val="32"/>
          <w:lang w:val="en-US" w:eastAsia="zh-CN" w:bidi="ar"/>
        </w:rPr>
        <w:t>8</w:t>
      </w:r>
      <w:r>
        <w:rPr>
          <w:rFonts w:hint="eastAsia" w:ascii="方正仿宋_GBK" w:hAnsi="方正仿宋_GBK" w:eastAsia="方正仿宋_GBK" w:cs="方正仿宋_GBK"/>
          <w:kern w:val="2"/>
          <w:sz w:val="32"/>
          <w:szCs w:val="32"/>
          <w:lang w:val="en-US" w:eastAsia="zh-CN" w:bidi="ar"/>
        </w:rPr>
        <w:t>个行政股室，分别是办公室（政策法规股）、医政执法监督股（医改办）、基层卫生和妇幼健康股（卫生应急办公室）、人口监测与家庭发展股、疾病预防控制股（爱国卫生办公室）、健康服务业发展股、人事与科教股、规划财务审计股，1个事业单位为基层卫生发展促进中心。盐边县卫生健康局为县本级一级预算单位，下属19个财政一级预算单位，分别是县疾病预防控制中心、县卫生计生执法监督大队、县妇幼保健服务中心和2个综合医院（县人民医院和县第二人民医院）、1个中医医院（县中医院）、1个社区卫生服务中心、12个乡（镇）卫生院。</w:t>
      </w:r>
    </w:p>
    <w:p w14:paraId="7C4A0814">
      <w:pPr>
        <w:keepNext w:val="0"/>
        <w:keepLines w:val="0"/>
        <w:widowControl w:val="0"/>
        <w:suppressLineNumbers w:val="0"/>
        <w:spacing w:before="0" w:beforeAutospacing="0" w:after="0" w:afterAutospacing="0" w:line="570" w:lineRule="exact"/>
        <w:ind w:left="0" w:right="0" w:firstLine="643" w:firstLineChars="200"/>
        <w:jc w:val="both"/>
        <w:rPr>
          <w:rFonts w:hint="eastAsia" w:ascii="Times New Roman" w:hAnsi="Times New Roman" w:eastAsia="方正仿宋_GBK" w:cs="Times New Roman"/>
          <w:kern w:val="2"/>
          <w:sz w:val="32"/>
          <w:szCs w:val="32"/>
        </w:rPr>
      </w:pPr>
      <w:r>
        <w:rPr>
          <w:rFonts w:eastAsia="楷体_GB2312" w:cs="楷体_GB2312"/>
          <w:b/>
          <w:sz w:val="32"/>
          <w:szCs w:val="32"/>
          <w:lang w:val="zh-CN"/>
        </w:rPr>
        <w:t>（二）机构职能</w:t>
      </w:r>
      <w:r>
        <w:rPr>
          <w:rFonts w:hint="eastAsia" w:eastAsia="楷体_GB2312" w:cs="楷体_GB2312"/>
          <w:b/>
          <w:sz w:val="32"/>
          <w:szCs w:val="32"/>
          <w:lang w:val="zh-CN"/>
        </w:rPr>
        <w:t>。</w:t>
      </w:r>
      <w:r>
        <w:rPr>
          <w:rFonts w:hint="default" w:ascii="Times New Roman" w:hAnsi="Times New Roman" w:eastAsia="方正仿宋_GBK" w:cs="Times New Roman"/>
          <w:kern w:val="2"/>
          <w:sz w:val="32"/>
          <w:szCs w:val="32"/>
          <w:lang w:val="en-US" w:eastAsia="zh-CN" w:bidi="ar"/>
        </w:rPr>
        <w:t>1.</w:t>
      </w:r>
      <w:r>
        <w:rPr>
          <w:rFonts w:hint="eastAsia" w:ascii="方正仿宋_GBK" w:hAnsi="方正仿宋_GBK" w:eastAsia="方正仿宋_GBK" w:cs="方正仿宋_GBK"/>
          <w:kern w:val="2"/>
          <w:sz w:val="32"/>
          <w:szCs w:val="32"/>
          <w:lang w:val="en-US" w:eastAsia="zh-CN" w:bidi="ar"/>
        </w:rPr>
        <w:t>组织拟订全县卫生健康政策。负责拟订卫生健康事业发展政策、规划并组织实施。统筹规划全县卫生健康资源配置。制定并组织实施推进卫生健康基本公共服务均等化、普惠化、便捷化和公共资源向基层延伸等政策措施。</w:t>
      </w:r>
    </w:p>
    <w:p w14:paraId="0355BCDA">
      <w:pPr>
        <w:keepNext w:val="0"/>
        <w:keepLines w:val="0"/>
        <w:widowControl w:val="0"/>
        <w:suppressLineNumbers w:val="0"/>
        <w:spacing w:before="0" w:beforeAutospacing="0" w:after="0" w:afterAutospacing="0" w:line="570" w:lineRule="exact"/>
        <w:ind w:left="0" w:right="0" w:firstLine="640" w:firstLineChars="200"/>
        <w:jc w:val="both"/>
        <w:rPr>
          <w:rFonts w:hint="eastAsia" w:ascii="Times New Roman" w:hAnsi="Times New Roman" w:eastAsia="方正仿宋_GBK" w:cs="Times New Roman"/>
          <w:kern w:val="2"/>
          <w:sz w:val="32"/>
          <w:szCs w:val="32"/>
        </w:rPr>
      </w:pPr>
      <w:r>
        <w:rPr>
          <w:rFonts w:hint="default" w:ascii="Times New Roman" w:hAnsi="Times New Roman" w:eastAsia="方正仿宋_GBK" w:cs="Times New Roman"/>
          <w:kern w:val="2"/>
          <w:sz w:val="32"/>
          <w:szCs w:val="32"/>
          <w:lang w:val="en-US" w:eastAsia="zh-CN" w:bidi="ar"/>
        </w:rPr>
        <w:t>2.</w:t>
      </w:r>
      <w:r>
        <w:rPr>
          <w:rFonts w:hint="eastAsia" w:ascii="方正仿宋_GBK" w:hAnsi="方正仿宋_GBK" w:eastAsia="方正仿宋_GBK" w:cs="方正仿宋_GBK"/>
          <w:kern w:val="2"/>
          <w:sz w:val="32"/>
          <w:szCs w:val="32"/>
          <w:lang w:val="en-US" w:eastAsia="zh-CN" w:bidi="ar"/>
        </w:rPr>
        <w:t>牵头推进全县深化医药卫生体制改革。研究提出深化改革重大政策、措施的建议。组织深化公立医院综合改革，建立健全现代医院管理制度。制定并组织实施推动卫生健康公共服务提供主体多元化、提供方式多样化的政策措施。</w:t>
      </w:r>
    </w:p>
    <w:p w14:paraId="78FDCD94">
      <w:pPr>
        <w:keepNext w:val="0"/>
        <w:keepLines w:val="0"/>
        <w:widowControl w:val="0"/>
        <w:suppressLineNumbers w:val="0"/>
        <w:spacing w:before="0" w:beforeAutospacing="0" w:after="0" w:afterAutospacing="0" w:line="570" w:lineRule="exact"/>
        <w:ind w:left="0" w:right="0" w:firstLine="640" w:firstLineChars="200"/>
        <w:jc w:val="both"/>
        <w:rPr>
          <w:rFonts w:hint="eastAsia" w:ascii="Times New Roman" w:hAnsi="Times New Roman" w:eastAsia="方正仿宋_GBK" w:cs="Times New Roman"/>
          <w:kern w:val="2"/>
          <w:sz w:val="32"/>
          <w:szCs w:val="32"/>
        </w:rPr>
      </w:pPr>
      <w:r>
        <w:rPr>
          <w:rFonts w:hint="default" w:ascii="Times New Roman" w:hAnsi="Times New Roman" w:eastAsia="方正仿宋_GBK" w:cs="Times New Roman"/>
          <w:kern w:val="2"/>
          <w:sz w:val="32"/>
          <w:szCs w:val="32"/>
          <w:lang w:val="en-US" w:eastAsia="zh-CN" w:bidi="ar"/>
        </w:rPr>
        <w:t>3.</w:t>
      </w:r>
      <w:r>
        <w:rPr>
          <w:rFonts w:hint="eastAsia" w:ascii="方正仿宋_GBK" w:hAnsi="方正仿宋_GBK" w:eastAsia="方正仿宋_GBK" w:cs="方正仿宋_GBK"/>
          <w:kern w:val="2"/>
          <w:sz w:val="32"/>
          <w:szCs w:val="32"/>
          <w:lang w:val="en-US" w:eastAsia="zh-CN" w:bidi="ar"/>
        </w:rPr>
        <w:t>制定并组织落实全县疾病预防控制规划、免疫规划以及严重危害人民健康的艾滋病等重大传染病、寄生虫病、地方病等公共卫生问题的干预措施。负责全县卫生应急工作，组织和指导全县突发公共卫生事件预防控制和各类突发公共事件的医疗卫生救援。收集、报告法定传染病疫情信息、突发公共卫生事件应急处置信息。依照国家检疫传染病和监测传染病目录，参与开展检疫监测工作。</w:t>
      </w:r>
    </w:p>
    <w:p w14:paraId="6AD9ACED">
      <w:pPr>
        <w:keepNext w:val="0"/>
        <w:keepLines w:val="0"/>
        <w:widowControl w:val="0"/>
        <w:suppressLineNumbers w:val="0"/>
        <w:spacing w:before="0" w:beforeAutospacing="0" w:after="0" w:afterAutospacing="0" w:line="570" w:lineRule="exact"/>
        <w:ind w:left="0" w:right="0" w:firstLine="640" w:firstLineChars="200"/>
        <w:jc w:val="both"/>
        <w:rPr>
          <w:rFonts w:hint="eastAsia" w:ascii="Times New Roman" w:hAnsi="Times New Roman" w:eastAsia="方正仿宋_GBK" w:cs="Times New Roman"/>
          <w:kern w:val="2"/>
          <w:sz w:val="32"/>
          <w:szCs w:val="32"/>
        </w:rPr>
      </w:pPr>
      <w:r>
        <w:rPr>
          <w:rFonts w:hint="default" w:ascii="Times New Roman" w:hAnsi="Times New Roman" w:eastAsia="方正仿宋_GBK" w:cs="Times New Roman"/>
          <w:kern w:val="2"/>
          <w:sz w:val="32"/>
          <w:szCs w:val="32"/>
          <w:lang w:val="en-US" w:eastAsia="zh-CN" w:bidi="ar"/>
        </w:rPr>
        <w:t>4.</w:t>
      </w:r>
      <w:r>
        <w:rPr>
          <w:rFonts w:hint="eastAsia" w:ascii="方正仿宋_GBK" w:hAnsi="方正仿宋_GBK" w:eastAsia="方正仿宋_GBK" w:cs="方正仿宋_GBK"/>
          <w:kern w:val="2"/>
          <w:sz w:val="32"/>
          <w:szCs w:val="32"/>
          <w:lang w:val="en-US" w:eastAsia="zh-CN" w:bidi="ar"/>
        </w:rPr>
        <w:t>贯彻落实国家应对人口老龄化政策措施。负责推进老年健康服务体系建设和医养结合工作。</w:t>
      </w:r>
    </w:p>
    <w:p w14:paraId="2663732B">
      <w:pPr>
        <w:keepNext w:val="0"/>
        <w:keepLines w:val="0"/>
        <w:widowControl w:val="0"/>
        <w:suppressLineNumbers w:val="0"/>
        <w:spacing w:before="0" w:beforeAutospacing="0" w:after="0" w:afterAutospacing="0" w:line="570" w:lineRule="exact"/>
        <w:ind w:left="0" w:right="0" w:firstLine="640" w:firstLineChars="200"/>
        <w:jc w:val="both"/>
        <w:rPr>
          <w:rFonts w:hint="eastAsia" w:ascii="Times New Roman" w:hAnsi="Times New Roman" w:eastAsia="方正仿宋_GBK" w:cs="Times New Roman"/>
          <w:kern w:val="2"/>
          <w:sz w:val="32"/>
          <w:szCs w:val="32"/>
        </w:rPr>
      </w:pPr>
      <w:r>
        <w:rPr>
          <w:rFonts w:hint="default" w:ascii="Times New Roman" w:hAnsi="Times New Roman" w:eastAsia="方正仿宋_GBK" w:cs="Times New Roman"/>
          <w:kern w:val="2"/>
          <w:sz w:val="32"/>
          <w:szCs w:val="32"/>
          <w:lang w:val="en-US" w:eastAsia="zh-CN" w:bidi="ar"/>
        </w:rPr>
        <w:t>5.</w:t>
      </w:r>
      <w:r>
        <w:rPr>
          <w:rFonts w:hint="eastAsia" w:ascii="方正仿宋_GBK" w:hAnsi="方正仿宋_GBK" w:eastAsia="方正仿宋_GBK" w:cs="方正仿宋_GBK"/>
          <w:kern w:val="2"/>
          <w:sz w:val="32"/>
          <w:szCs w:val="32"/>
          <w:lang w:val="en-US" w:eastAsia="zh-CN" w:bidi="ar"/>
        </w:rPr>
        <w:t>贯彻落实国家药物政策和国家基本药物制度。开展药械使用监测、临床综合评价和短缺药品预警，组织执行国家药典和国家基本药物目录，实施基本药物采购、配送、使用的政策措施。</w:t>
      </w:r>
    </w:p>
    <w:p w14:paraId="22C9C528">
      <w:pPr>
        <w:keepNext w:val="0"/>
        <w:keepLines w:val="0"/>
        <w:widowControl w:val="0"/>
        <w:suppressLineNumbers w:val="0"/>
        <w:spacing w:before="0" w:beforeAutospacing="0" w:after="0" w:afterAutospacing="0" w:line="570" w:lineRule="exact"/>
        <w:ind w:left="0" w:right="0" w:firstLine="640" w:firstLineChars="200"/>
        <w:jc w:val="both"/>
        <w:rPr>
          <w:rFonts w:hint="eastAsia" w:ascii="Times New Roman" w:hAnsi="Times New Roman" w:eastAsia="方正仿宋_GBK" w:cs="Times New Roman"/>
          <w:kern w:val="2"/>
          <w:sz w:val="32"/>
          <w:szCs w:val="32"/>
        </w:rPr>
      </w:pPr>
      <w:r>
        <w:rPr>
          <w:rFonts w:hint="default" w:ascii="Times New Roman" w:hAnsi="Times New Roman" w:eastAsia="方正仿宋_GBK" w:cs="Times New Roman"/>
          <w:kern w:val="2"/>
          <w:sz w:val="32"/>
          <w:szCs w:val="32"/>
          <w:lang w:val="en-US" w:eastAsia="zh-CN" w:bidi="ar"/>
        </w:rPr>
        <w:t>6.</w:t>
      </w:r>
      <w:r>
        <w:rPr>
          <w:rFonts w:hint="eastAsia" w:ascii="方正仿宋_GBK" w:hAnsi="方正仿宋_GBK" w:eastAsia="方正仿宋_GBK" w:cs="方正仿宋_GBK"/>
          <w:kern w:val="2"/>
          <w:sz w:val="32"/>
          <w:szCs w:val="32"/>
          <w:lang w:val="en-US" w:eastAsia="zh-CN" w:bidi="ar"/>
        </w:rPr>
        <w:t xml:space="preserve">组织实施食品安全风险监测。开展食品安全企业标准备案，组织开展食品安全事故流行病学调查。 </w:t>
      </w:r>
    </w:p>
    <w:p w14:paraId="67EB68B6">
      <w:pPr>
        <w:keepNext w:val="0"/>
        <w:keepLines w:val="0"/>
        <w:widowControl w:val="0"/>
        <w:suppressLineNumbers w:val="0"/>
        <w:spacing w:before="0" w:beforeAutospacing="0" w:after="0" w:afterAutospacing="0" w:line="570" w:lineRule="exact"/>
        <w:ind w:left="0" w:right="0" w:firstLine="640" w:firstLineChars="200"/>
        <w:jc w:val="both"/>
        <w:rPr>
          <w:rFonts w:hint="eastAsia" w:ascii="Times New Roman" w:hAnsi="Times New Roman" w:eastAsia="方正仿宋_GBK" w:cs="Times New Roman"/>
          <w:kern w:val="2"/>
          <w:sz w:val="32"/>
          <w:szCs w:val="32"/>
        </w:rPr>
      </w:pPr>
      <w:r>
        <w:rPr>
          <w:rFonts w:hint="default" w:ascii="Times New Roman" w:hAnsi="Times New Roman" w:eastAsia="方正仿宋_GBK" w:cs="Times New Roman"/>
          <w:kern w:val="2"/>
          <w:sz w:val="32"/>
          <w:szCs w:val="32"/>
          <w:lang w:val="en-US" w:eastAsia="zh-CN" w:bidi="ar"/>
        </w:rPr>
        <w:t>7.</w:t>
      </w:r>
      <w:r>
        <w:rPr>
          <w:rFonts w:hint="eastAsia" w:ascii="方正仿宋_GBK" w:hAnsi="方正仿宋_GBK" w:eastAsia="方正仿宋_GBK" w:cs="方正仿宋_GBK"/>
          <w:kern w:val="2"/>
          <w:sz w:val="32"/>
          <w:szCs w:val="32"/>
          <w:lang w:val="en-US" w:eastAsia="zh-CN" w:bidi="ar"/>
        </w:rPr>
        <w:t xml:space="preserve">负责职责范围内的职业卫生、放射卫生、环境卫生、学校卫生、公共场所卫生、饮用水卫生等公共卫生的监督管理。负责传染病防治监督，健全卫生健康综合监管体系。 </w:t>
      </w:r>
    </w:p>
    <w:p w14:paraId="1BB4688A">
      <w:pPr>
        <w:keepNext w:val="0"/>
        <w:keepLines w:val="0"/>
        <w:widowControl w:val="0"/>
        <w:suppressLineNumbers w:val="0"/>
        <w:spacing w:before="0" w:beforeAutospacing="0" w:after="0" w:afterAutospacing="0" w:line="570" w:lineRule="exact"/>
        <w:ind w:left="0" w:right="0" w:firstLine="640" w:firstLineChars="200"/>
        <w:jc w:val="both"/>
        <w:rPr>
          <w:rFonts w:hint="eastAsia" w:ascii="Times New Roman" w:hAnsi="Times New Roman" w:eastAsia="方正仿宋_GBK" w:cs="Times New Roman"/>
          <w:kern w:val="2"/>
          <w:sz w:val="32"/>
          <w:szCs w:val="32"/>
        </w:rPr>
      </w:pPr>
      <w:r>
        <w:rPr>
          <w:rFonts w:hint="default" w:ascii="Times New Roman" w:hAnsi="Times New Roman" w:eastAsia="方正仿宋_GBK" w:cs="Times New Roman"/>
          <w:kern w:val="2"/>
          <w:sz w:val="32"/>
          <w:szCs w:val="32"/>
          <w:lang w:val="en-US" w:eastAsia="zh-CN" w:bidi="ar"/>
        </w:rPr>
        <w:t>8.</w:t>
      </w:r>
      <w:r>
        <w:rPr>
          <w:rFonts w:hint="eastAsia" w:ascii="方正仿宋_GBK" w:hAnsi="方正仿宋_GBK" w:eastAsia="方正仿宋_GBK" w:cs="方正仿宋_GBK"/>
          <w:kern w:val="2"/>
          <w:sz w:val="32"/>
          <w:szCs w:val="32"/>
          <w:lang w:val="en-US" w:eastAsia="zh-CN" w:bidi="ar"/>
        </w:rPr>
        <w:t xml:space="preserve">制定全县医疗机构、医疗服务行业管理办法并监督实施，建立医疗服务评价和监督管理体系。会同有关部门实施卫生健康专业技术人员资格标准。组织实施医疗服务规范、标准和卫生健康专业技术人员执业规则、服务规范。负责医疗机构、人员和行为的日常监管。 </w:t>
      </w:r>
    </w:p>
    <w:p w14:paraId="4B904BB4">
      <w:pPr>
        <w:keepNext w:val="0"/>
        <w:keepLines w:val="0"/>
        <w:widowControl w:val="0"/>
        <w:suppressLineNumbers w:val="0"/>
        <w:spacing w:before="0" w:beforeAutospacing="0" w:after="0" w:afterAutospacing="0" w:line="570" w:lineRule="exact"/>
        <w:ind w:left="0" w:right="0" w:firstLine="640" w:firstLineChars="200"/>
        <w:jc w:val="both"/>
        <w:rPr>
          <w:rFonts w:hint="eastAsia" w:ascii="Times New Roman" w:hAnsi="Times New Roman" w:eastAsia="方正仿宋_GBK" w:cs="Times New Roman"/>
          <w:kern w:val="2"/>
          <w:sz w:val="32"/>
          <w:szCs w:val="32"/>
        </w:rPr>
      </w:pPr>
      <w:r>
        <w:rPr>
          <w:rFonts w:hint="default" w:ascii="Times New Roman" w:hAnsi="Times New Roman" w:eastAsia="方正仿宋_GBK" w:cs="Times New Roman"/>
          <w:kern w:val="2"/>
          <w:sz w:val="32"/>
          <w:szCs w:val="32"/>
          <w:lang w:val="en-US" w:eastAsia="zh-CN" w:bidi="ar"/>
        </w:rPr>
        <w:t>9.</w:t>
      </w:r>
      <w:r>
        <w:rPr>
          <w:rFonts w:hint="eastAsia" w:ascii="方正仿宋_GBK" w:hAnsi="方正仿宋_GBK" w:eastAsia="方正仿宋_GBK" w:cs="方正仿宋_GBK"/>
          <w:kern w:val="2"/>
          <w:sz w:val="32"/>
          <w:szCs w:val="32"/>
          <w:lang w:val="en-US" w:eastAsia="zh-CN" w:bidi="ar"/>
        </w:rPr>
        <w:t>制定全县中医药中长期发展规划，并纳入卫生健康事业发展总体规划和战略目标予以组织实施。</w:t>
      </w:r>
    </w:p>
    <w:p w14:paraId="7758CFD3">
      <w:pPr>
        <w:keepNext w:val="0"/>
        <w:keepLines w:val="0"/>
        <w:widowControl w:val="0"/>
        <w:suppressLineNumbers w:val="0"/>
        <w:spacing w:before="0" w:beforeAutospacing="0" w:after="0" w:afterAutospacing="0" w:line="570" w:lineRule="exact"/>
        <w:ind w:left="0" w:right="0" w:firstLine="640" w:firstLineChars="200"/>
        <w:jc w:val="both"/>
        <w:rPr>
          <w:rFonts w:hint="eastAsia" w:ascii="Times New Roman" w:hAnsi="Times New Roman" w:eastAsia="方正仿宋_GBK" w:cs="Times New Roman"/>
          <w:kern w:val="2"/>
          <w:sz w:val="32"/>
          <w:szCs w:val="32"/>
        </w:rPr>
      </w:pPr>
      <w:r>
        <w:rPr>
          <w:rFonts w:hint="default" w:ascii="Times New Roman" w:hAnsi="Times New Roman" w:eastAsia="方正仿宋_GBK" w:cs="Times New Roman"/>
          <w:kern w:val="2"/>
          <w:sz w:val="32"/>
          <w:szCs w:val="32"/>
          <w:lang w:val="en-US" w:eastAsia="zh-CN" w:bidi="ar"/>
        </w:rPr>
        <w:t>10.</w:t>
      </w:r>
      <w:r>
        <w:rPr>
          <w:rFonts w:hint="eastAsia" w:ascii="方正仿宋_GBK" w:hAnsi="方正仿宋_GBK" w:eastAsia="方正仿宋_GBK" w:cs="方正仿宋_GBK"/>
          <w:kern w:val="2"/>
          <w:sz w:val="32"/>
          <w:szCs w:val="32"/>
          <w:lang w:val="en-US" w:eastAsia="zh-CN" w:bidi="ar"/>
        </w:rPr>
        <w:t>负责全县计划生育管理和服务工作。开展人口监测预警，研究提出人口与家庭发展相关政策建议，执行计划生育政策。指导县计划生育协会的业务工作。</w:t>
      </w:r>
    </w:p>
    <w:p w14:paraId="4BD956DA">
      <w:pPr>
        <w:keepNext w:val="0"/>
        <w:keepLines w:val="0"/>
        <w:widowControl w:val="0"/>
        <w:suppressLineNumbers w:val="0"/>
        <w:spacing w:before="0" w:beforeAutospacing="0" w:after="0" w:afterAutospacing="0" w:line="570" w:lineRule="exact"/>
        <w:ind w:left="0" w:right="0" w:firstLine="640" w:firstLineChars="200"/>
        <w:jc w:val="both"/>
        <w:rPr>
          <w:rFonts w:hint="eastAsia" w:ascii="Times New Roman" w:hAnsi="Times New Roman" w:eastAsia="方正仿宋_GBK" w:cs="Times New Roman"/>
          <w:kern w:val="2"/>
          <w:sz w:val="32"/>
          <w:szCs w:val="32"/>
        </w:rPr>
      </w:pPr>
      <w:r>
        <w:rPr>
          <w:rFonts w:hint="default" w:ascii="Times New Roman" w:hAnsi="Times New Roman" w:eastAsia="方正仿宋_GBK" w:cs="Times New Roman"/>
          <w:kern w:val="2"/>
          <w:sz w:val="32"/>
          <w:szCs w:val="32"/>
          <w:lang w:val="en-US" w:eastAsia="zh-CN" w:bidi="ar"/>
        </w:rPr>
        <w:t>11.</w:t>
      </w:r>
      <w:r>
        <w:rPr>
          <w:rFonts w:hint="eastAsia" w:ascii="方正仿宋_GBK" w:hAnsi="方正仿宋_GBK" w:eastAsia="方正仿宋_GBK" w:cs="方正仿宋_GBK"/>
          <w:kern w:val="2"/>
          <w:sz w:val="32"/>
          <w:szCs w:val="32"/>
          <w:lang w:val="en-US" w:eastAsia="zh-CN" w:bidi="ar"/>
        </w:rPr>
        <w:t>指导乡（镇）卫生健康工作。指导基层医疗卫生、妇幼健康服务体系和基层卫生队伍建设。推进卫生健康科技创新发展。</w:t>
      </w:r>
    </w:p>
    <w:p w14:paraId="53CB62BA">
      <w:pPr>
        <w:keepNext w:val="0"/>
        <w:keepLines w:val="0"/>
        <w:widowControl w:val="0"/>
        <w:suppressLineNumbers w:val="0"/>
        <w:spacing w:before="0" w:beforeAutospacing="0" w:after="0" w:afterAutospacing="0" w:line="570" w:lineRule="exact"/>
        <w:ind w:left="0" w:right="0" w:firstLine="640" w:firstLineChars="200"/>
        <w:jc w:val="both"/>
        <w:rPr>
          <w:rFonts w:hint="eastAsia" w:ascii="Times New Roman" w:hAnsi="Times New Roman" w:eastAsia="方正仿宋_GBK" w:cs="Times New Roman"/>
          <w:kern w:val="2"/>
          <w:sz w:val="32"/>
          <w:szCs w:val="32"/>
        </w:rPr>
      </w:pPr>
      <w:r>
        <w:rPr>
          <w:rFonts w:hint="default" w:ascii="Times New Roman" w:hAnsi="Times New Roman" w:eastAsia="方正仿宋_GBK" w:cs="Times New Roman"/>
          <w:kern w:val="2"/>
          <w:sz w:val="32"/>
          <w:szCs w:val="32"/>
          <w:lang w:val="en-US" w:eastAsia="zh-CN" w:bidi="ar"/>
        </w:rPr>
        <w:t>12.</w:t>
      </w:r>
      <w:r>
        <w:rPr>
          <w:rFonts w:hint="eastAsia" w:ascii="方正仿宋_GBK" w:hAnsi="方正仿宋_GBK" w:eastAsia="方正仿宋_GBK" w:cs="方正仿宋_GBK"/>
          <w:kern w:val="2"/>
          <w:sz w:val="32"/>
          <w:szCs w:val="32"/>
          <w:lang w:val="en-US" w:eastAsia="zh-CN" w:bidi="ar"/>
        </w:rPr>
        <w:t>负责县确定的保健对象的医疗保健工作。负责县级有关部门（单位）离休干部医疗管理工作。负责重要会议与重大活动的医疗卫生保障工作。</w:t>
      </w:r>
    </w:p>
    <w:p w14:paraId="22525D97">
      <w:pPr>
        <w:keepNext w:val="0"/>
        <w:keepLines w:val="0"/>
        <w:widowControl w:val="0"/>
        <w:suppressLineNumbers w:val="0"/>
        <w:spacing w:before="0" w:beforeAutospacing="0" w:after="0" w:afterAutospacing="0" w:line="570" w:lineRule="exact"/>
        <w:ind w:left="0" w:right="0" w:firstLine="640" w:firstLineChars="200"/>
        <w:jc w:val="both"/>
        <w:rPr>
          <w:rFonts w:hint="eastAsia" w:ascii="Times New Roman" w:hAnsi="Times New Roman" w:eastAsia="方正仿宋_GBK" w:cs="Times New Roman"/>
          <w:kern w:val="2"/>
          <w:sz w:val="32"/>
          <w:szCs w:val="32"/>
        </w:rPr>
      </w:pPr>
      <w:r>
        <w:rPr>
          <w:rFonts w:hint="default" w:ascii="Times New Roman" w:hAnsi="Times New Roman" w:eastAsia="方正仿宋_GBK" w:cs="Times New Roman"/>
          <w:kern w:val="2"/>
          <w:sz w:val="32"/>
          <w:szCs w:val="32"/>
          <w:lang w:val="en-US" w:eastAsia="zh-CN" w:bidi="ar"/>
        </w:rPr>
        <w:t>13.</w:t>
      </w:r>
      <w:r>
        <w:rPr>
          <w:rFonts w:hint="eastAsia" w:ascii="方正仿宋_GBK" w:hAnsi="方正仿宋_GBK" w:eastAsia="方正仿宋_GBK" w:cs="方正仿宋_GBK"/>
          <w:kern w:val="2"/>
          <w:sz w:val="32"/>
          <w:szCs w:val="32"/>
          <w:lang w:val="en-US" w:eastAsia="zh-CN" w:bidi="ar"/>
        </w:rPr>
        <w:t>依法依规履行卫生健康行业安全生产监管职责。负责职责范围内的生态环境保护、审批服务便民化等工作。</w:t>
      </w:r>
    </w:p>
    <w:p w14:paraId="6D3551AA">
      <w:pPr>
        <w:keepNext w:val="0"/>
        <w:keepLines w:val="0"/>
        <w:widowControl w:val="0"/>
        <w:suppressLineNumbers w:val="0"/>
        <w:spacing w:before="0" w:beforeAutospacing="0" w:after="0" w:afterAutospacing="0" w:line="570" w:lineRule="exact"/>
        <w:ind w:left="0" w:right="0" w:firstLine="640" w:firstLineChars="200"/>
        <w:jc w:val="both"/>
        <w:rPr>
          <w:rFonts w:hint="eastAsia" w:ascii="Times New Roman" w:hAnsi="Times New Roman" w:eastAsia="方正仿宋_GBK" w:cs="Times New Roman"/>
          <w:kern w:val="2"/>
          <w:sz w:val="32"/>
          <w:szCs w:val="32"/>
        </w:rPr>
      </w:pPr>
      <w:r>
        <w:rPr>
          <w:rFonts w:hint="default" w:ascii="Times New Roman" w:hAnsi="Times New Roman" w:eastAsia="方正仿宋_GBK" w:cs="Times New Roman"/>
          <w:kern w:val="2"/>
          <w:sz w:val="32"/>
          <w:szCs w:val="32"/>
          <w:lang w:val="en-US" w:eastAsia="zh-CN" w:bidi="ar"/>
        </w:rPr>
        <w:t>14.</w:t>
      </w:r>
      <w:r>
        <w:rPr>
          <w:rFonts w:hint="eastAsia" w:ascii="方正仿宋_GBK" w:hAnsi="方正仿宋_GBK" w:eastAsia="方正仿宋_GBK" w:cs="方正仿宋_GBK"/>
          <w:kern w:val="2"/>
          <w:sz w:val="32"/>
          <w:szCs w:val="32"/>
          <w:lang w:val="en-US" w:eastAsia="zh-CN" w:bidi="ar"/>
        </w:rPr>
        <w:t>承担卫生健康事业多元化、多层次发展相关工作。协调推进深化医药卫生体制改革，参与卫生健康改革发展实践，组织开展相关技术支持、咨询指导、教学培训、成果转化应用与能力提升；承担中医药传承创新发展促进事务性工作；承担卫生健康政策制定的风险评估和实施监测评价与监督指导；承担卫生健康系统新建项目相关服务性工作；承担卫生健康服务信息化系统建设和维护工作</w:t>
      </w:r>
    </w:p>
    <w:p w14:paraId="4BB88BE9">
      <w:pPr>
        <w:keepNext w:val="0"/>
        <w:keepLines w:val="0"/>
        <w:widowControl w:val="0"/>
        <w:suppressLineNumbers w:val="0"/>
        <w:spacing w:before="0" w:beforeAutospacing="0" w:after="0" w:afterAutospacing="0" w:line="570" w:lineRule="exact"/>
        <w:ind w:left="0" w:right="0"/>
        <w:jc w:val="both"/>
        <w:rPr>
          <w:rFonts w:eastAsia="楷体_GB2312"/>
          <w:b/>
          <w:bCs/>
          <w:kern w:val="0"/>
          <w:szCs w:val="32"/>
          <w:shd w:val="clear" w:color="auto" w:fill="FFFFFF"/>
          <w:lang w:val="zh-CN"/>
        </w:rPr>
      </w:pPr>
      <w:r>
        <w:rPr>
          <w:rFonts w:hint="default" w:ascii="Times New Roman" w:hAnsi="Times New Roman" w:eastAsia="方正仿宋_GBK" w:cs="Times New Roman"/>
          <w:kern w:val="2"/>
          <w:sz w:val="32"/>
          <w:szCs w:val="32"/>
          <w:lang w:val="en-US" w:eastAsia="zh-CN" w:bidi="ar"/>
        </w:rPr>
        <w:t>15.</w:t>
      </w:r>
      <w:r>
        <w:rPr>
          <w:rFonts w:hint="eastAsia" w:ascii="方正仿宋_GBK" w:hAnsi="方正仿宋_GBK" w:eastAsia="方正仿宋_GBK" w:cs="方正仿宋_GBK"/>
          <w:kern w:val="2"/>
          <w:sz w:val="32"/>
          <w:szCs w:val="32"/>
          <w:lang w:val="en-US" w:eastAsia="zh-CN" w:bidi="ar"/>
        </w:rPr>
        <w:t>完成县委、县政府交办的其他任务。</w:t>
      </w:r>
    </w:p>
    <w:p w14:paraId="5B7DF330">
      <w:pPr>
        <w:keepNext w:val="0"/>
        <w:keepLines w:val="0"/>
        <w:widowControl w:val="0"/>
        <w:suppressLineNumbers w:val="0"/>
        <w:spacing w:before="0" w:beforeAutospacing="0" w:after="0" w:afterAutospacing="0"/>
        <w:ind w:left="0" w:right="0" w:firstLine="643" w:firstLineChars="200"/>
        <w:jc w:val="both"/>
        <w:rPr>
          <w:rFonts w:hint="default" w:ascii="Times New Roman" w:hAnsi="Times New Roman" w:eastAsia="方正仿宋_GBK" w:cs="Times New Roman"/>
          <w:kern w:val="2"/>
          <w:sz w:val="32"/>
          <w:szCs w:val="32"/>
          <w:lang w:val="en-US"/>
        </w:rPr>
      </w:pPr>
      <w:r>
        <w:rPr>
          <w:rFonts w:eastAsia="楷体_GB2312"/>
          <w:b/>
          <w:bCs/>
          <w:kern w:val="0"/>
          <w:sz w:val="32"/>
          <w:szCs w:val="32"/>
          <w:shd w:val="clear" w:color="auto" w:fill="FFFFFF"/>
          <w:lang w:val="zh-CN"/>
        </w:rPr>
        <w:t>（</w:t>
      </w:r>
      <w:r>
        <w:rPr>
          <w:rFonts w:hint="eastAsia" w:eastAsia="楷体_GB2312"/>
          <w:b/>
          <w:bCs/>
          <w:kern w:val="0"/>
          <w:sz w:val="32"/>
          <w:szCs w:val="32"/>
          <w:shd w:val="clear" w:color="auto" w:fill="FFFFFF"/>
          <w:lang w:val="zh-CN"/>
        </w:rPr>
        <w:t>三</w:t>
      </w:r>
      <w:r>
        <w:rPr>
          <w:rFonts w:eastAsia="楷体_GB2312"/>
          <w:b/>
          <w:bCs/>
          <w:kern w:val="0"/>
          <w:sz w:val="32"/>
          <w:szCs w:val="32"/>
          <w:shd w:val="clear" w:color="auto" w:fill="FFFFFF"/>
          <w:lang w:val="zh-CN"/>
        </w:rPr>
        <w:t>）人员概况</w:t>
      </w:r>
      <w:r>
        <w:rPr>
          <w:rFonts w:hint="eastAsia" w:eastAsia="楷体_GB2312"/>
          <w:b/>
          <w:bCs/>
          <w:kern w:val="0"/>
          <w:sz w:val="32"/>
          <w:szCs w:val="32"/>
          <w:shd w:val="clear" w:color="auto" w:fill="FFFFFF"/>
          <w:lang w:val="zh-CN"/>
        </w:rPr>
        <w:t>。</w:t>
      </w:r>
      <w:r>
        <w:rPr>
          <w:rFonts w:eastAsia="仿宋_GB2312"/>
          <w:sz w:val="32"/>
          <w:szCs w:val="32"/>
        </w:rPr>
        <w:t>截至202</w:t>
      </w:r>
      <w:r>
        <w:rPr>
          <w:rFonts w:hint="eastAsia" w:eastAsia="仿宋_GB2312"/>
          <w:sz w:val="32"/>
          <w:szCs w:val="32"/>
        </w:rPr>
        <w:t>4</w:t>
      </w:r>
      <w:r>
        <w:rPr>
          <w:rFonts w:eastAsia="仿宋_GB2312"/>
          <w:sz w:val="32"/>
          <w:szCs w:val="32"/>
        </w:rPr>
        <w:t>年末，</w:t>
      </w:r>
      <w:r>
        <w:rPr>
          <w:rFonts w:hint="eastAsia" w:ascii="方正仿宋_GBK" w:hAnsi="方正仿宋_GBK" w:eastAsia="方正仿宋_GBK" w:cs="方正仿宋_GBK"/>
          <w:kern w:val="2"/>
          <w:sz w:val="32"/>
          <w:szCs w:val="32"/>
          <w:lang w:val="en-US" w:eastAsia="zh-CN" w:bidi="ar"/>
        </w:rPr>
        <w:t>盐边县卫生健康局及</w:t>
      </w:r>
      <w:r>
        <w:rPr>
          <w:rFonts w:hint="default" w:ascii="Times New Roman" w:hAnsi="Times New Roman" w:eastAsia="方正仿宋_GBK" w:cs="Times New Roman"/>
          <w:kern w:val="2"/>
          <w:sz w:val="32"/>
          <w:szCs w:val="32"/>
          <w:lang w:val="en-US" w:eastAsia="zh-CN" w:bidi="ar"/>
        </w:rPr>
        <w:t>1</w:t>
      </w:r>
      <w:r>
        <w:rPr>
          <w:rFonts w:hint="eastAsia" w:eastAsia="方正仿宋_GBK" w:cs="Times New Roman"/>
          <w:kern w:val="2"/>
          <w:sz w:val="32"/>
          <w:szCs w:val="32"/>
          <w:lang w:val="en-US" w:eastAsia="zh-CN" w:bidi="ar"/>
        </w:rPr>
        <w:t>9</w:t>
      </w:r>
      <w:r>
        <w:rPr>
          <w:rFonts w:hint="eastAsia" w:ascii="方正仿宋_GBK" w:hAnsi="方正仿宋_GBK" w:eastAsia="方正仿宋_GBK" w:cs="方正仿宋_GBK"/>
          <w:kern w:val="2"/>
          <w:sz w:val="32"/>
          <w:szCs w:val="32"/>
          <w:lang w:val="en-US" w:eastAsia="zh-CN" w:bidi="ar"/>
        </w:rPr>
        <w:t>个下属二级单位编制内实有人员</w:t>
      </w:r>
      <w:r>
        <w:rPr>
          <w:rFonts w:hint="default" w:ascii="Times New Roman" w:hAnsi="Times New Roman" w:eastAsia="方正仿宋_GBK" w:cs="Times New Roman"/>
          <w:kern w:val="2"/>
          <w:sz w:val="32"/>
          <w:szCs w:val="32"/>
          <w:lang w:val="en-US" w:eastAsia="zh-CN" w:bidi="ar"/>
        </w:rPr>
        <w:t>629</w:t>
      </w:r>
      <w:r>
        <w:rPr>
          <w:rFonts w:hint="eastAsia" w:ascii="方正仿宋_GBK" w:hAnsi="方正仿宋_GBK" w:eastAsia="方正仿宋_GBK" w:cs="方正仿宋_GBK"/>
          <w:kern w:val="2"/>
          <w:sz w:val="32"/>
          <w:szCs w:val="32"/>
          <w:lang w:val="en-US" w:eastAsia="zh-CN" w:bidi="ar"/>
        </w:rPr>
        <w:t>人，其中公务员</w:t>
      </w:r>
      <w:r>
        <w:rPr>
          <w:rFonts w:hint="default" w:ascii="Times New Roman" w:hAnsi="Times New Roman" w:eastAsia="方正仿宋_GBK" w:cs="Times New Roman"/>
          <w:kern w:val="2"/>
          <w:sz w:val="32"/>
          <w:szCs w:val="32"/>
          <w:lang w:val="en-US" w:eastAsia="zh-CN" w:bidi="ar"/>
        </w:rPr>
        <w:t>12</w:t>
      </w:r>
      <w:r>
        <w:rPr>
          <w:rFonts w:hint="eastAsia" w:ascii="方正仿宋_GBK" w:hAnsi="方正仿宋_GBK" w:eastAsia="方正仿宋_GBK" w:cs="方正仿宋_GBK"/>
          <w:kern w:val="2"/>
          <w:sz w:val="32"/>
          <w:szCs w:val="32"/>
          <w:lang w:val="en-US" w:eastAsia="zh-CN" w:bidi="ar"/>
        </w:rPr>
        <w:t>人；参照公务员法管理人员</w:t>
      </w:r>
      <w:r>
        <w:rPr>
          <w:rFonts w:hint="default" w:ascii="Times New Roman" w:hAnsi="Times New Roman" w:eastAsia="方正仿宋_GBK" w:cs="Times New Roman"/>
          <w:kern w:val="2"/>
          <w:sz w:val="32"/>
          <w:szCs w:val="32"/>
          <w:lang w:val="en-US" w:eastAsia="zh-CN" w:bidi="ar"/>
        </w:rPr>
        <w:t>5</w:t>
      </w:r>
      <w:r>
        <w:rPr>
          <w:rFonts w:hint="eastAsia" w:ascii="方正仿宋_GBK" w:hAnsi="方正仿宋_GBK" w:eastAsia="方正仿宋_GBK" w:cs="方正仿宋_GBK"/>
          <w:kern w:val="2"/>
          <w:sz w:val="32"/>
          <w:szCs w:val="32"/>
          <w:lang w:val="en-US" w:eastAsia="zh-CN" w:bidi="ar"/>
        </w:rPr>
        <w:t>人；事业管理人员和专业技术人员</w:t>
      </w:r>
      <w:r>
        <w:rPr>
          <w:rFonts w:hint="default" w:ascii="Times New Roman" w:hAnsi="Times New Roman" w:eastAsia="方正仿宋_GBK" w:cs="Times New Roman"/>
          <w:kern w:val="2"/>
          <w:sz w:val="32"/>
          <w:szCs w:val="32"/>
          <w:lang w:val="en-US" w:eastAsia="zh-CN" w:bidi="ar"/>
        </w:rPr>
        <w:t>544</w:t>
      </w:r>
      <w:r>
        <w:rPr>
          <w:rFonts w:hint="eastAsia" w:ascii="方正仿宋_GBK" w:hAnsi="方正仿宋_GBK" w:eastAsia="方正仿宋_GBK" w:cs="方正仿宋_GBK"/>
          <w:kern w:val="2"/>
          <w:sz w:val="32"/>
          <w:szCs w:val="32"/>
          <w:lang w:val="en-US" w:eastAsia="zh-CN" w:bidi="ar"/>
        </w:rPr>
        <w:t>人；机关和事业工人</w:t>
      </w:r>
      <w:r>
        <w:rPr>
          <w:rFonts w:hint="default" w:ascii="Times New Roman" w:hAnsi="Times New Roman" w:eastAsia="方正仿宋_GBK" w:cs="Times New Roman"/>
          <w:kern w:val="2"/>
          <w:sz w:val="32"/>
          <w:szCs w:val="32"/>
          <w:lang w:val="en-US" w:eastAsia="zh-CN" w:bidi="ar"/>
        </w:rPr>
        <w:t>1</w:t>
      </w:r>
      <w:r>
        <w:rPr>
          <w:rFonts w:hint="eastAsia" w:ascii="方正仿宋_GBK" w:hAnsi="方正仿宋_GBK" w:eastAsia="方正仿宋_GBK" w:cs="方正仿宋_GBK"/>
          <w:kern w:val="2"/>
          <w:sz w:val="32"/>
          <w:szCs w:val="32"/>
          <w:lang w:val="en-US" w:eastAsia="zh-CN" w:bidi="ar"/>
        </w:rPr>
        <w:t>人。经费自理人员</w:t>
      </w:r>
      <w:r>
        <w:rPr>
          <w:rFonts w:hint="default" w:ascii="Times New Roman" w:hAnsi="Times New Roman" w:eastAsia="方正仿宋_GBK" w:cs="Times New Roman"/>
          <w:kern w:val="2"/>
          <w:sz w:val="32"/>
          <w:szCs w:val="32"/>
          <w:lang w:val="en-US" w:eastAsia="zh-CN" w:bidi="ar"/>
        </w:rPr>
        <w:t>92</w:t>
      </w:r>
      <w:r>
        <w:rPr>
          <w:rFonts w:hint="eastAsia" w:ascii="方正仿宋_GBK" w:hAnsi="方正仿宋_GBK" w:eastAsia="方正仿宋_GBK" w:cs="方正仿宋_GBK"/>
          <w:kern w:val="2"/>
          <w:sz w:val="32"/>
          <w:szCs w:val="32"/>
          <w:lang w:val="en-US" w:eastAsia="zh-CN" w:bidi="ar"/>
        </w:rPr>
        <w:t>人。其他人员</w:t>
      </w:r>
      <w:r>
        <w:rPr>
          <w:rFonts w:hint="default" w:ascii="Times New Roman" w:hAnsi="Times New Roman" w:eastAsia="方正仿宋_GBK" w:cs="Times New Roman"/>
          <w:kern w:val="2"/>
          <w:sz w:val="32"/>
          <w:szCs w:val="32"/>
          <w:lang w:val="en-US" w:eastAsia="zh-CN" w:bidi="ar"/>
        </w:rPr>
        <w:t>30</w:t>
      </w:r>
      <w:r>
        <w:rPr>
          <w:rFonts w:hint="eastAsia" w:ascii="方正仿宋_GBK" w:hAnsi="方正仿宋_GBK" w:eastAsia="方正仿宋_GBK" w:cs="方正仿宋_GBK"/>
          <w:kern w:val="2"/>
          <w:sz w:val="32"/>
          <w:szCs w:val="32"/>
          <w:lang w:val="en-US" w:eastAsia="zh-CN" w:bidi="ar"/>
        </w:rPr>
        <w:t>人。离退休人员</w:t>
      </w:r>
      <w:r>
        <w:rPr>
          <w:rFonts w:hint="eastAsia" w:ascii="Times New Roman" w:hAnsi="Times New Roman" w:eastAsia="方正仿宋_GBK" w:cs="Times New Roman"/>
          <w:kern w:val="2"/>
          <w:sz w:val="32"/>
          <w:szCs w:val="32"/>
          <w:lang w:val="en-US" w:eastAsia="zh-CN" w:bidi="ar"/>
        </w:rPr>
        <w:t>374</w:t>
      </w:r>
      <w:r>
        <w:rPr>
          <w:rFonts w:hint="eastAsia" w:ascii="方正仿宋_GBK" w:hAnsi="方正仿宋_GBK" w:eastAsia="方正仿宋_GBK" w:cs="方正仿宋_GBK"/>
          <w:kern w:val="2"/>
          <w:sz w:val="32"/>
          <w:szCs w:val="32"/>
          <w:lang w:val="en-US" w:eastAsia="zh-CN" w:bidi="ar"/>
        </w:rPr>
        <w:t>人。</w:t>
      </w:r>
    </w:p>
    <w:p w14:paraId="7A3A5712">
      <w:pPr>
        <w:keepNext w:val="0"/>
        <w:keepLines w:val="0"/>
        <w:widowControl w:val="0"/>
        <w:suppressLineNumbers w:val="0"/>
        <w:spacing w:before="0" w:beforeAutospacing="0" w:after="0" w:afterAutospacing="0"/>
        <w:ind w:left="0" w:right="0" w:firstLine="640" w:firstLineChars="200"/>
        <w:jc w:val="both"/>
        <w:rPr>
          <w:szCs w:val="32"/>
        </w:rPr>
      </w:pPr>
      <w:r>
        <w:rPr>
          <w:rFonts w:hint="eastAsia" w:ascii="方正仿宋_GBK" w:hAnsi="方正仿宋_GBK" w:eastAsia="方正仿宋_GBK" w:cs="方正仿宋_GBK"/>
          <w:kern w:val="2"/>
          <w:sz w:val="32"/>
          <w:szCs w:val="32"/>
          <w:lang w:val="en-US" w:eastAsia="zh-CN" w:bidi="ar"/>
        </w:rPr>
        <w:t>盐边县卫生健康局机关行政编制</w:t>
      </w:r>
      <w:r>
        <w:rPr>
          <w:rFonts w:hint="default" w:ascii="Times New Roman" w:hAnsi="Times New Roman" w:eastAsia="方正仿宋_GBK" w:cs="Times New Roman"/>
          <w:kern w:val="2"/>
          <w:sz w:val="32"/>
          <w:szCs w:val="32"/>
          <w:lang w:val="en-US" w:eastAsia="zh-CN" w:bidi="ar"/>
        </w:rPr>
        <w:t>14</w:t>
      </w:r>
      <w:r>
        <w:rPr>
          <w:rFonts w:hint="eastAsia" w:ascii="方正仿宋_GBK" w:hAnsi="方正仿宋_GBK" w:eastAsia="方正仿宋_GBK" w:cs="方正仿宋_GBK"/>
          <w:kern w:val="2"/>
          <w:sz w:val="32"/>
          <w:szCs w:val="32"/>
          <w:lang w:val="en-US" w:eastAsia="zh-CN" w:bidi="ar"/>
        </w:rPr>
        <w:t>名，事业编制</w:t>
      </w:r>
      <w:r>
        <w:rPr>
          <w:rFonts w:hint="default" w:ascii="Times New Roman" w:hAnsi="Times New Roman" w:eastAsia="方正仿宋_GBK" w:cs="Times New Roman"/>
          <w:kern w:val="2"/>
          <w:sz w:val="32"/>
          <w:szCs w:val="32"/>
          <w:lang w:val="en-US" w:eastAsia="zh-CN" w:bidi="ar"/>
        </w:rPr>
        <w:t>16</w:t>
      </w:r>
      <w:r>
        <w:rPr>
          <w:rFonts w:hint="eastAsia" w:ascii="方正仿宋_GBK" w:hAnsi="方正仿宋_GBK" w:eastAsia="方正仿宋_GBK" w:cs="方正仿宋_GBK"/>
          <w:kern w:val="2"/>
          <w:sz w:val="32"/>
          <w:szCs w:val="32"/>
          <w:lang w:val="en-US" w:eastAsia="zh-CN" w:bidi="ar"/>
        </w:rPr>
        <w:t>人，机关后勤事业编制</w:t>
      </w:r>
      <w:r>
        <w:rPr>
          <w:rFonts w:hint="eastAsia" w:ascii="Times New Roman" w:hAnsi="Times New Roman" w:eastAsia="方正仿宋_GBK" w:cs="Times New Roman"/>
          <w:kern w:val="2"/>
          <w:sz w:val="32"/>
          <w:szCs w:val="32"/>
          <w:lang w:val="en-US" w:eastAsia="zh-CN" w:bidi="ar"/>
        </w:rPr>
        <w:t>2</w:t>
      </w:r>
      <w:r>
        <w:rPr>
          <w:rFonts w:hint="eastAsia" w:ascii="方正仿宋_GBK" w:hAnsi="方正仿宋_GBK" w:eastAsia="方正仿宋_GBK" w:cs="方正仿宋_GBK"/>
          <w:kern w:val="2"/>
          <w:sz w:val="32"/>
          <w:szCs w:val="32"/>
          <w:lang w:val="en-US" w:eastAsia="zh-CN" w:bidi="ar"/>
        </w:rPr>
        <w:t>名，其中局长</w:t>
      </w:r>
      <w:r>
        <w:rPr>
          <w:rFonts w:hint="default" w:ascii="Times New Roman" w:hAnsi="Times New Roman" w:eastAsia="方正仿宋_GBK" w:cs="Times New Roman"/>
          <w:kern w:val="2"/>
          <w:sz w:val="32"/>
          <w:szCs w:val="32"/>
          <w:lang w:val="en-US" w:eastAsia="zh-CN" w:bidi="ar"/>
        </w:rPr>
        <w:t>1</w:t>
      </w:r>
      <w:r>
        <w:rPr>
          <w:rFonts w:hint="eastAsia" w:ascii="方正仿宋_GBK" w:hAnsi="方正仿宋_GBK" w:eastAsia="方正仿宋_GBK" w:cs="方正仿宋_GBK"/>
          <w:kern w:val="2"/>
          <w:sz w:val="32"/>
          <w:szCs w:val="32"/>
          <w:lang w:val="en-US" w:eastAsia="zh-CN" w:bidi="ar"/>
        </w:rPr>
        <w:t>名、副局长</w:t>
      </w:r>
      <w:r>
        <w:rPr>
          <w:rFonts w:hint="default" w:ascii="Times New Roman" w:hAnsi="Times New Roman" w:eastAsia="方正仿宋_GBK" w:cs="Times New Roman"/>
          <w:kern w:val="2"/>
          <w:sz w:val="32"/>
          <w:szCs w:val="32"/>
          <w:lang w:val="en-US" w:eastAsia="zh-CN" w:bidi="ar"/>
        </w:rPr>
        <w:t>4</w:t>
      </w:r>
      <w:r>
        <w:rPr>
          <w:rFonts w:hint="eastAsia" w:ascii="方正仿宋_GBK" w:hAnsi="方正仿宋_GBK" w:eastAsia="方正仿宋_GBK" w:cs="方正仿宋_GBK"/>
          <w:kern w:val="2"/>
          <w:sz w:val="32"/>
          <w:szCs w:val="32"/>
          <w:lang w:val="en-US" w:eastAsia="zh-CN" w:bidi="ar"/>
        </w:rPr>
        <w:t>名。2024年末实有在编人员</w:t>
      </w:r>
      <w:r>
        <w:rPr>
          <w:rFonts w:hint="eastAsia" w:ascii="Times New Roman" w:hAnsi="Times New Roman" w:eastAsia="方正仿宋_GBK" w:cs="Times New Roman"/>
          <w:kern w:val="2"/>
          <w:sz w:val="32"/>
          <w:szCs w:val="32"/>
          <w:lang w:val="en-US" w:eastAsia="zh-CN" w:bidi="ar"/>
        </w:rPr>
        <w:t>20</w:t>
      </w:r>
      <w:r>
        <w:rPr>
          <w:rFonts w:hint="eastAsia" w:ascii="方正仿宋_GBK" w:hAnsi="方正仿宋_GBK" w:eastAsia="方正仿宋_GBK" w:cs="方正仿宋_GBK"/>
          <w:kern w:val="2"/>
          <w:sz w:val="32"/>
          <w:szCs w:val="32"/>
          <w:lang w:val="en-US" w:eastAsia="zh-CN" w:bidi="ar"/>
        </w:rPr>
        <w:t>人，实有离退休人员</w:t>
      </w:r>
      <w:r>
        <w:rPr>
          <w:rFonts w:hint="default" w:ascii="Times New Roman" w:hAnsi="Times New Roman" w:eastAsia="方正仿宋_GBK" w:cs="Times New Roman"/>
          <w:kern w:val="2"/>
          <w:sz w:val="32"/>
          <w:szCs w:val="32"/>
          <w:lang w:val="en-US" w:eastAsia="zh-CN" w:bidi="ar"/>
        </w:rPr>
        <w:t>4</w:t>
      </w:r>
      <w:r>
        <w:rPr>
          <w:rFonts w:hint="eastAsia" w:ascii="Times New Roman" w:hAnsi="Times New Roman" w:eastAsia="方正仿宋_GBK" w:cs="Times New Roman"/>
          <w:kern w:val="2"/>
          <w:sz w:val="32"/>
          <w:szCs w:val="32"/>
          <w:lang w:val="en-US" w:eastAsia="zh-CN" w:bidi="ar"/>
        </w:rPr>
        <w:t>1</w:t>
      </w:r>
      <w:r>
        <w:rPr>
          <w:rFonts w:hint="eastAsia" w:ascii="方正仿宋_GBK" w:hAnsi="方正仿宋_GBK" w:eastAsia="方正仿宋_GBK" w:cs="方正仿宋_GBK"/>
          <w:kern w:val="2"/>
          <w:sz w:val="32"/>
          <w:szCs w:val="32"/>
          <w:lang w:val="en-US" w:eastAsia="zh-CN" w:bidi="ar"/>
        </w:rPr>
        <w:t>人。</w:t>
      </w:r>
    </w:p>
    <w:p w14:paraId="1ECBEE93">
      <w:pPr>
        <w:widowControl/>
        <w:adjustRightInd w:val="0"/>
        <w:snapToGrid w:val="0"/>
        <w:spacing w:line="578" w:lineRule="exact"/>
        <w:ind w:firstLine="640" w:firstLineChars="200"/>
        <w:contextualSpacing/>
        <w:jc w:val="left"/>
        <w:rPr>
          <w:rFonts w:eastAsia="黑体"/>
          <w:kern w:val="0"/>
          <w:sz w:val="32"/>
          <w:szCs w:val="32"/>
          <w:shd w:val="clear" w:color="auto" w:fill="FFFFFF"/>
          <w:lang w:val="zh-CN"/>
        </w:rPr>
      </w:pPr>
      <w:r>
        <w:rPr>
          <w:rFonts w:eastAsia="黑体"/>
          <w:kern w:val="0"/>
          <w:sz w:val="32"/>
          <w:szCs w:val="32"/>
          <w:shd w:val="clear" w:color="auto" w:fill="FFFFFF"/>
          <w:lang w:val="zh-CN"/>
        </w:rPr>
        <w:t>二、部门资金收支情况</w:t>
      </w:r>
    </w:p>
    <w:p w14:paraId="1C303E4C">
      <w:pPr>
        <w:widowControl/>
        <w:adjustRightInd w:val="0"/>
        <w:snapToGrid w:val="0"/>
        <w:spacing w:line="578" w:lineRule="exact"/>
        <w:ind w:firstLine="643" w:firstLineChars="200"/>
        <w:contextualSpacing/>
        <w:jc w:val="distribute"/>
        <w:rPr>
          <w:rFonts w:hint="eastAsia" w:eastAsia="仿宋_GB2312"/>
          <w:sz w:val="32"/>
          <w:szCs w:val="32"/>
          <w:lang w:val="en-US" w:eastAsia="zh-CN"/>
        </w:rPr>
      </w:pPr>
      <w:r>
        <w:rPr>
          <w:rFonts w:eastAsia="楷体_GB2312"/>
          <w:b/>
          <w:bCs/>
          <w:kern w:val="0"/>
          <w:sz w:val="32"/>
          <w:szCs w:val="32"/>
          <w:shd w:val="clear" w:color="auto" w:fill="FFFFFF"/>
          <w:lang w:val="zh-CN"/>
        </w:rPr>
        <w:t>（一）</w:t>
      </w:r>
      <w:r>
        <w:rPr>
          <w:rFonts w:hint="eastAsia" w:eastAsia="楷体_GB2312"/>
          <w:b/>
          <w:bCs/>
          <w:kern w:val="0"/>
          <w:sz w:val="32"/>
          <w:szCs w:val="32"/>
          <w:shd w:val="clear" w:color="auto" w:fill="FFFFFF"/>
          <w:lang w:val="zh-CN"/>
        </w:rPr>
        <w:t>收入情况</w:t>
      </w:r>
      <w:r>
        <w:rPr>
          <w:rFonts w:eastAsia="楷体_GB2312"/>
          <w:b/>
          <w:bCs/>
          <w:kern w:val="0"/>
          <w:sz w:val="32"/>
          <w:szCs w:val="32"/>
          <w:shd w:val="clear" w:color="auto" w:fill="FFFFFF"/>
          <w:lang w:val="zh-CN"/>
        </w:rPr>
        <w:t>。</w:t>
      </w:r>
      <w:r>
        <w:rPr>
          <w:rFonts w:hint="eastAsia" w:eastAsia="仿宋_GB2312" w:cs="仿宋_GB2312"/>
          <w:sz w:val="32"/>
          <w:szCs w:val="32"/>
          <w:lang w:eastAsia="zh-CN"/>
        </w:rPr>
        <w:t>盐边县卫生健康局及下属</w:t>
      </w:r>
      <w:r>
        <w:rPr>
          <w:rFonts w:hint="eastAsia" w:eastAsia="仿宋_GB2312" w:cs="仿宋_GB2312"/>
          <w:sz w:val="32"/>
          <w:szCs w:val="32"/>
          <w:lang w:val="en-US" w:eastAsia="zh-CN"/>
        </w:rPr>
        <w:t>19家</w:t>
      </w:r>
      <w:r>
        <w:rPr>
          <w:rFonts w:hint="eastAsia" w:eastAsia="仿宋_GB2312" w:cs="仿宋_GB2312"/>
          <w:sz w:val="32"/>
          <w:szCs w:val="32"/>
          <w:lang w:eastAsia="zh-CN"/>
        </w:rPr>
        <w:t>二级预算单位</w:t>
      </w:r>
      <w:r>
        <w:rPr>
          <w:rFonts w:hint="eastAsia" w:eastAsia="仿宋_GB2312"/>
          <w:sz w:val="32"/>
          <w:szCs w:val="32"/>
        </w:rPr>
        <w:t>2024年年初预算收入</w:t>
      </w:r>
      <w:r>
        <w:rPr>
          <w:rFonts w:hint="eastAsia" w:eastAsia="仿宋_GB2312"/>
          <w:sz w:val="32"/>
          <w:szCs w:val="32"/>
          <w:lang w:val="en-US" w:eastAsia="zh-CN"/>
        </w:rPr>
        <w:t>34203.33万元，决算收入34203.33万元，全额完成年初预算。其中：一般公共预算财政拨款收入14992.29万元，占总收入43.82%；政府性基金预算财政拨款收入7064.16万元，占总收入20.65%；事业收入11335.82万元，占总收入33.14%；其他收入811.07万元，占总收入2.37%。</w:t>
      </w:r>
    </w:p>
    <w:p w14:paraId="25FCA95D">
      <w:pPr>
        <w:keepNext w:val="0"/>
        <w:keepLines w:val="0"/>
        <w:widowControl w:val="0"/>
        <w:suppressLineNumbers w:val="0"/>
        <w:spacing w:before="0" w:beforeAutospacing="0" w:after="0" w:afterAutospacing="0"/>
        <w:ind w:left="0" w:right="0" w:firstLine="640" w:firstLineChars="200"/>
        <w:jc w:val="both"/>
        <w:rPr>
          <w:rFonts w:hint="default" w:eastAsia="仿宋_GB2312"/>
          <w:sz w:val="32"/>
          <w:szCs w:val="32"/>
          <w:lang w:val="en-US" w:eastAsia="zh-CN"/>
        </w:rPr>
      </w:pPr>
      <w:r>
        <w:rPr>
          <w:rFonts w:hint="default" w:eastAsia="仿宋_GB2312"/>
          <w:sz w:val="32"/>
          <w:szCs w:val="32"/>
          <w:lang w:val="en-US" w:eastAsia="zh-CN"/>
        </w:rPr>
        <w:t>2024年，盐边县卫生健康局局本级本年总收入合计9815.47万元，其中</w:t>
      </w:r>
      <w:r>
        <w:rPr>
          <w:rFonts w:hint="default" w:ascii="仿宋_GB2312" w:hAnsi="Times New Roman" w:eastAsia="仿宋_GB2312" w:cs="仿宋_GB2312"/>
          <w:kern w:val="2"/>
          <w:sz w:val="32"/>
          <w:szCs w:val="32"/>
          <w:lang w:val="en-US" w:eastAsia="zh-CN" w:bidi="ar"/>
        </w:rPr>
        <w:t>一般公共预算财政拨款收入</w:t>
      </w:r>
      <w:r>
        <w:rPr>
          <w:rFonts w:hint="eastAsia" w:eastAsia="仿宋_GB2312"/>
          <w:sz w:val="32"/>
          <w:szCs w:val="32"/>
          <w:lang w:val="en-US" w:eastAsia="zh-CN"/>
        </w:rPr>
        <w:t>2279.89</w:t>
      </w:r>
      <w:r>
        <w:rPr>
          <w:rFonts w:hint="default" w:eastAsia="仿宋_GB2312"/>
          <w:sz w:val="32"/>
          <w:szCs w:val="32"/>
          <w:lang w:val="en-US" w:eastAsia="zh-CN"/>
        </w:rPr>
        <w:t>万元、</w:t>
      </w:r>
      <w:r>
        <w:rPr>
          <w:rFonts w:hint="default" w:ascii="仿宋_GB2312" w:hAnsi="Times New Roman" w:eastAsia="仿宋_GB2312" w:cs="仿宋_GB2312"/>
          <w:kern w:val="2"/>
          <w:sz w:val="32"/>
          <w:szCs w:val="32"/>
          <w:lang w:val="en-US" w:eastAsia="zh-CN" w:bidi="ar"/>
        </w:rPr>
        <w:t>政府性基金预算财政拨款收入</w:t>
      </w:r>
      <w:r>
        <w:rPr>
          <w:rFonts w:hint="eastAsia" w:eastAsia="仿宋_GB2312"/>
          <w:sz w:val="32"/>
          <w:szCs w:val="32"/>
          <w:lang w:val="en-US" w:eastAsia="zh-CN"/>
        </w:rPr>
        <w:t>7023.6</w:t>
      </w:r>
      <w:r>
        <w:rPr>
          <w:rFonts w:hint="default" w:eastAsia="仿宋_GB2312"/>
          <w:sz w:val="32"/>
          <w:szCs w:val="32"/>
          <w:lang w:val="en-US" w:eastAsia="zh-CN"/>
        </w:rPr>
        <w:t>万元、</w:t>
      </w:r>
      <w:r>
        <w:rPr>
          <w:rFonts w:hint="default" w:ascii="仿宋_GB2312" w:hAnsi="Times New Roman" w:eastAsia="仿宋_GB2312" w:cs="仿宋_GB2312"/>
          <w:kern w:val="2"/>
          <w:sz w:val="32"/>
          <w:szCs w:val="32"/>
          <w:lang w:val="en-US" w:eastAsia="zh-CN" w:bidi="ar"/>
        </w:rPr>
        <w:t>其他收入</w:t>
      </w:r>
      <w:r>
        <w:rPr>
          <w:rFonts w:hint="eastAsia" w:eastAsia="仿宋_GB2312"/>
          <w:sz w:val="32"/>
          <w:szCs w:val="32"/>
          <w:lang w:val="en-US" w:eastAsia="zh-CN"/>
        </w:rPr>
        <w:t>511.98</w:t>
      </w:r>
      <w:r>
        <w:rPr>
          <w:rFonts w:hint="default" w:eastAsia="仿宋_GB2312"/>
          <w:sz w:val="32"/>
          <w:szCs w:val="32"/>
          <w:lang w:val="en-US" w:eastAsia="zh-CN"/>
        </w:rPr>
        <w:t>万元</w:t>
      </w:r>
      <w:r>
        <w:rPr>
          <w:rFonts w:hint="eastAsia" w:eastAsia="仿宋_GB2312"/>
          <w:sz w:val="32"/>
          <w:szCs w:val="32"/>
          <w:lang w:val="en-US" w:eastAsia="zh-CN"/>
        </w:rPr>
        <w:t>。</w:t>
      </w:r>
    </w:p>
    <w:p w14:paraId="7E7F5353">
      <w:pPr>
        <w:keepNext w:val="0"/>
        <w:keepLines w:val="0"/>
        <w:widowControl w:val="0"/>
        <w:suppressLineNumbers w:val="0"/>
        <w:spacing w:before="0" w:beforeAutospacing="0" w:after="0" w:afterAutospacing="0" w:line="570" w:lineRule="exact"/>
        <w:ind w:left="0" w:right="0" w:firstLine="643" w:firstLineChars="200"/>
        <w:jc w:val="left"/>
      </w:pPr>
      <w:r>
        <w:rPr>
          <w:rFonts w:eastAsia="楷体_GB2312"/>
          <w:b/>
          <w:bCs/>
          <w:kern w:val="0"/>
          <w:sz w:val="32"/>
          <w:szCs w:val="32"/>
          <w:shd w:val="clear" w:color="auto" w:fill="FFFFFF"/>
          <w:lang w:val="zh-CN"/>
        </w:rPr>
        <w:t>（</w:t>
      </w:r>
      <w:r>
        <w:rPr>
          <w:rFonts w:hint="eastAsia" w:eastAsia="楷体_GB2312"/>
          <w:b/>
          <w:bCs/>
          <w:kern w:val="0"/>
          <w:sz w:val="32"/>
          <w:szCs w:val="32"/>
          <w:shd w:val="clear" w:color="auto" w:fill="FFFFFF"/>
          <w:lang w:val="zh-CN"/>
        </w:rPr>
        <w:t>二</w:t>
      </w:r>
      <w:r>
        <w:rPr>
          <w:rFonts w:eastAsia="楷体_GB2312"/>
          <w:b/>
          <w:bCs/>
          <w:kern w:val="0"/>
          <w:sz w:val="32"/>
          <w:szCs w:val="32"/>
          <w:shd w:val="clear" w:color="auto" w:fill="FFFFFF"/>
          <w:lang w:val="zh-CN"/>
        </w:rPr>
        <w:t>）</w:t>
      </w:r>
      <w:r>
        <w:rPr>
          <w:rFonts w:hint="eastAsia" w:eastAsia="楷体_GB2312"/>
          <w:b/>
          <w:bCs/>
          <w:kern w:val="0"/>
          <w:sz w:val="32"/>
          <w:szCs w:val="32"/>
          <w:shd w:val="clear" w:color="auto" w:fill="FFFFFF"/>
          <w:lang w:val="zh-CN"/>
        </w:rPr>
        <w:t>支出情况</w:t>
      </w:r>
      <w:r>
        <w:rPr>
          <w:rFonts w:eastAsia="楷体_GB2312"/>
          <w:b/>
          <w:bCs/>
          <w:kern w:val="0"/>
          <w:sz w:val="32"/>
          <w:szCs w:val="32"/>
          <w:shd w:val="clear" w:color="auto" w:fill="FFFFFF"/>
          <w:lang w:val="zh-CN"/>
        </w:rPr>
        <w:t>。</w:t>
      </w:r>
      <w:r>
        <w:rPr>
          <w:rFonts w:hint="default" w:ascii="仿宋_GB2312" w:hAnsi="Times New Roman" w:eastAsia="仿宋_GB2312" w:cs="仿宋_GB2312"/>
          <w:kern w:val="2"/>
          <w:sz w:val="32"/>
          <w:szCs w:val="32"/>
          <w:lang w:val="en-US" w:eastAsia="zh-CN" w:bidi="ar"/>
        </w:rPr>
        <w:t>盐边县卫生健康局及下属</w:t>
      </w:r>
      <w:r>
        <w:rPr>
          <w:rFonts w:hint="default" w:ascii="Times New Roman" w:hAnsi="Times New Roman" w:eastAsia="仿宋_GB2312" w:cs="Times New Roman"/>
          <w:kern w:val="2"/>
          <w:sz w:val="32"/>
          <w:szCs w:val="32"/>
          <w:lang w:val="en-US" w:eastAsia="zh-CN" w:bidi="ar"/>
        </w:rPr>
        <w:t>19</w:t>
      </w:r>
      <w:r>
        <w:rPr>
          <w:rFonts w:hint="default" w:ascii="仿宋_GB2312" w:hAnsi="Times New Roman" w:eastAsia="仿宋_GB2312" w:cs="仿宋_GB2312"/>
          <w:kern w:val="2"/>
          <w:sz w:val="32"/>
          <w:szCs w:val="32"/>
          <w:lang w:val="en-US" w:eastAsia="zh-CN" w:bidi="ar"/>
        </w:rPr>
        <w:t>家二级预算单位</w:t>
      </w:r>
      <w:r>
        <w:rPr>
          <w:rFonts w:hint="eastAsia" w:eastAsia="仿宋_GB2312"/>
          <w:sz w:val="32"/>
          <w:szCs w:val="32"/>
        </w:rPr>
        <w:t>2024年年初预算</w:t>
      </w:r>
      <w:r>
        <w:rPr>
          <w:rFonts w:hint="eastAsia" w:eastAsia="仿宋_GB2312"/>
          <w:sz w:val="32"/>
          <w:szCs w:val="32"/>
          <w:lang w:eastAsia="zh-CN"/>
        </w:rPr>
        <w:t>支出</w:t>
      </w:r>
      <w:r>
        <w:rPr>
          <w:rFonts w:hint="eastAsia" w:eastAsia="仿宋_GB2312"/>
          <w:sz w:val="32"/>
          <w:szCs w:val="32"/>
          <w:lang w:val="en-US" w:eastAsia="zh-CN"/>
        </w:rPr>
        <w:t xml:space="preserve">34099.65万元，决算支出34099.65万元，全额完成年初预算。其中：社会保障和就业支出2072.73万元，占总支出6.07%，卫生健康支出24101.14万元，占总支出70.57%，农林水支出196.00万元，占总支出0.57%，住房保障支出718.12万元，占总支出2.1%，其他支出7064.16万元，占总支出20.68%。          </w:t>
      </w:r>
    </w:p>
    <w:p w14:paraId="31DD9DA9">
      <w:pPr>
        <w:keepNext w:val="0"/>
        <w:keepLines w:val="0"/>
        <w:widowControl w:val="0"/>
        <w:suppressLineNumbers w:val="0"/>
        <w:spacing w:before="0" w:beforeAutospacing="0" w:after="0" w:afterAutospacing="0"/>
        <w:ind w:left="0" w:right="0" w:firstLine="640" w:firstLineChars="200"/>
        <w:jc w:val="both"/>
        <w:rPr>
          <w:szCs w:val="32"/>
          <w:lang w:val="zh-CN"/>
        </w:rPr>
      </w:pPr>
      <w:r>
        <w:rPr>
          <w:rFonts w:hint="default" w:ascii="Times New Roman" w:hAnsi="Times New Roman" w:eastAsia="方正仿宋_GBK" w:cs="Times New Roman"/>
          <w:kern w:val="2"/>
          <w:sz w:val="32"/>
          <w:szCs w:val="32"/>
          <w:lang w:val="en-US" w:eastAsia="zh-CN" w:bidi="ar"/>
        </w:rPr>
        <w:t>2024</w:t>
      </w:r>
      <w:r>
        <w:rPr>
          <w:rFonts w:hint="eastAsia" w:ascii="方正仿宋_GBK" w:hAnsi="方正仿宋_GBK" w:eastAsia="方正仿宋_GBK" w:cs="方正仿宋_GBK"/>
          <w:kern w:val="2"/>
          <w:sz w:val="32"/>
          <w:szCs w:val="32"/>
          <w:lang w:val="en-US" w:eastAsia="zh-CN" w:bidi="ar"/>
        </w:rPr>
        <w:t>年，盐边县卫生健康局局本级</w:t>
      </w:r>
      <w:r>
        <w:rPr>
          <w:rFonts w:hint="eastAsia" w:eastAsia="仿宋_GB2312"/>
          <w:sz w:val="32"/>
          <w:szCs w:val="32"/>
        </w:rPr>
        <w:t>年初预算</w:t>
      </w:r>
      <w:r>
        <w:rPr>
          <w:rFonts w:hint="eastAsia" w:eastAsia="仿宋_GB2312"/>
          <w:sz w:val="32"/>
          <w:szCs w:val="32"/>
          <w:lang w:eastAsia="zh-CN"/>
        </w:rPr>
        <w:t>支出</w:t>
      </w:r>
      <w:r>
        <w:rPr>
          <w:rFonts w:hint="eastAsia" w:eastAsia="仿宋_GB2312"/>
          <w:sz w:val="32"/>
          <w:szCs w:val="32"/>
          <w:lang w:val="en-US" w:eastAsia="zh-CN"/>
        </w:rPr>
        <w:t>9801.78万元，决算支出</w:t>
      </w:r>
      <w:r>
        <w:rPr>
          <w:rFonts w:hint="default" w:ascii="Times New Roman" w:hAnsi="Times New Roman" w:eastAsia="方正仿宋_GBK" w:cs="Times New Roman"/>
          <w:kern w:val="2"/>
          <w:sz w:val="32"/>
          <w:szCs w:val="32"/>
          <w:lang w:val="en-US" w:eastAsia="zh-CN" w:bidi="ar"/>
        </w:rPr>
        <w:t>9801.78</w:t>
      </w:r>
      <w:r>
        <w:rPr>
          <w:rFonts w:hint="eastAsia" w:ascii="方正仿宋_GBK" w:hAnsi="方正仿宋_GBK" w:eastAsia="方正仿宋_GBK" w:cs="方正仿宋_GBK"/>
          <w:kern w:val="2"/>
          <w:sz w:val="32"/>
          <w:szCs w:val="32"/>
          <w:lang w:val="en-US" w:eastAsia="zh-CN" w:bidi="ar"/>
        </w:rPr>
        <w:t>万元，</w:t>
      </w:r>
      <w:r>
        <w:rPr>
          <w:rFonts w:hint="eastAsia" w:eastAsia="仿宋_GB2312"/>
          <w:sz w:val="32"/>
          <w:szCs w:val="32"/>
          <w:lang w:val="en-US" w:eastAsia="zh-CN"/>
        </w:rPr>
        <w:t>全额完成年初预算。</w:t>
      </w:r>
      <w:r>
        <w:rPr>
          <w:rFonts w:hint="eastAsia" w:ascii="方正仿宋_GBK" w:hAnsi="方正仿宋_GBK" w:eastAsia="方正仿宋_GBK" w:cs="方正仿宋_GBK"/>
          <w:kern w:val="2"/>
          <w:sz w:val="32"/>
          <w:szCs w:val="32"/>
          <w:lang w:val="en-US" w:eastAsia="zh-CN" w:bidi="ar"/>
        </w:rPr>
        <w:t>其中：社会保障和就业支出</w:t>
      </w:r>
      <w:r>
        <w:rPr>
          <w:rFonts w:hint="default" w:ascii="Times New Roman" w:hAnsi="Times New Roman" w:eastAsia="方正仿宋_GBK" w:cs="Times New Roman"/>
          <w:kern w:val="2"/>
          <w:sz w:val="32"/>
          <w:szCs w:val="32"/>
          <w:lang w:val="en-US" w:eastAsia="zh-CN" w:bidi="ar"/>
        </w:rPr>
        <w:t>209.55</w:t>
      </w:r>
      <w:r>
        <w:rPr>
          <w:rFonts w:hint="eastAsia" w:ascii="方正仿宋_GBK" w:hAnsi="方正仿宋_GBK" w:eastAsia="方正仿宋_GBK" w:cs="方正仿宋_GBK"/>
          <w:kern w:val="2"/>
          <w:sz w:val="32"/>
          <w:szCs w:val="32"/>
          <w:lang w:val="en-US" w:eastAsia="zh-CN" w:bidi="ar"/>
        </w:rPr>
        <w:t>万元、卫生健康支出</w:t>
      </w:r>
      <w:r>
        <w:rPr>
          <w:rFonts w:hint="default" w:ascii="Times New Roman" w:hAnsi="Times New Roman" w:eastAsia="方正仿宋_GBK" w:cs="Times New Roman"/>
          <w:kern w:val="2"/>
          <w:sz w:val="32"/>
          <w:szCs w:val="32"/>
          <w:lang w:val="en-US" w:eastAsia="zh-CN" w:bidi="ar"/>
        </w:rPr>
        <w:t>2338.31</w:t>
      </w:r>
      <w:r>
        <w:rPr>
          <w:rFonts w:hint="eastAsia" w:ascii="方正仿宋_GBK" w:hAnsi="方正仿宋_GBK" w:eastAsia="方正仿宋_GBK" w:cs="方正仿宋_GBK"/>
          <w:kern w:val="2"/>
          <w:sz w:val="32"/>
          <w:szCs w:val="32"/>
          <w:lang w:val="en-US" w:eastAsia="zh-CN" w:bidi="ar"/>
        </w:rPr>
        <w:t>万元、住房保障支出</w:t>
      </w:r>
      <w:r>
        <w:rPr>
          <w:rFonts w:hint="default" w:ascii="Times New Roman" w:hAnsi="Times New Roman" w:eastAsia="方正仿宋_GBK" w:cs="Times New Roman"/>
          <w:kern w:val="2"/>
          <w:sz w:val="32"/>
          <w:szCs w:val="32"/>
          <w:lang w:val="en-US" w:eastAsia="zh-CN" w:bidi="ar"/>
        </w:rPr>
        <w:t>34.31</w:t>
      </w:r>
      <w:r>
        <w:rPr>
          <w:rFonts w:hint="eastAsia" w:ascii="方正仿宋_GBK" w:hAnsi="方正仿宋_GBK" w:eastAsia="方正仿宋_GBK" w:cs="方正仿宋_GBK"/>
          <w:kern w:val="2"/>
          <w:sz w:val="32"/>
          <w:szCs w:val="32"/>
          <w:lang w:val="en-US" w:eastAsia="zh-CN" w:bidi="ar"/>
        </w:rPr>
        <w:t>万元，农林水支出</w:t>
      </w:r>
      <w:r>
        <w:rPr>
          <w:rFonts w:hint="default" w:ascii="Times New Roman" w:hAnsi="Times New Roman" w:eastAsia="方正仿宋_GBK" w:cs="Times New Roman"/>
          <w:kern w:val="2"/>
          <w:sz w:val="32"/>
          <w:szCs w:val="32"/>
          <w:lang w:val="en-US" w:eastAsia="zh-CN" w:bidi="ar"/>
        </w:rPr>
        <w:t>196</w:t>
      </w:r>
      <w:r>
        <w:rPr>
          <w:rFonts w:hint="eastAsia" w:ascii="方正仿宋_GBK" w:hAnsi="方正仿宋_GBK" w:eastAsia="方正仿宋_GBK" w:cs="方正仿宋_GBK"/>
          <w:kern w:val="2"/>
          <w:sz w:val="32"/>
          <w:szCs w:val="32"/>
          <w:lang w:val="en-US" w:eastAsia="zh-CN" w:bidi="ar"/>
        </w:rPr>
        <w:t>万元、其他支出</w:t>
      </w:r>
      <w:r>
        <w:rPr>
          <w:rFonts w:hint="default" w:ascii="Times New Roman" w:hAnsi="Times New Roman" w:eastAsia="方正仿宋_GBK" w:cs="Times New Roman"/>
          <w:kern w:val="2"/>
          <w:sz w:val="32"/>
          <w:szCs w:val="32"/>
          <w:lang w:val="en-US" w:eastAsia="zh-CN" w:bidi="ar"/>
        </w:rPr>
        <w:t>7023.6</w:t>
      </w:r>
      <w:r>
        <w:rPr>
          <w:rFonts w:hint="eastAsia" w:ascii="方正仿宋_GBK" w:hAnsi="方正仿宋_GBK" w:eastAsia="方正仿宋_GBK" w:cs="方正仿宋_GBK"/>
          <w:kern w:val="2"/>
          <w:sz w:val="32"/>
          <w:szCs w:val="32"/>
          <w:lang w:val="en-US" w:eastAsia="zh-CN" w:bidi="ar"/>
        </w:rPr>
        <w:t>万元。</w:t>
      </w:r>
    </w:p>
    <w:p w14:paraId="1BAE6C16">
      <w:pPr>
        <w:keepNext w:val="0"/>
        <w:keepLines w:val="0"/>
        <w:widowControl w:val="0"/>
        <w:numPr>
          <w:ilvl w:val="0"/>
          <w:numId w:val="3"/>
        </w:numPr>
        <w:suppressLineNumbers w:val="0"/>
        <w:spacing w:before="0" w:beforeAutospacing="0" w:after="0" w:afterAutospacing="0"/>
        <w:ind w:left="0" w:right="0" w:firstLine="643" w:firstLineChars="200"/>
        <w:jc w:val="both"/>
        <w:rPr>
          <w:rFonts w:hint="eastAsia" w:eastAsia="仿宋_GB2312"/>
          <w:sz w:val="32"/>
          <w:szCs w:val="32"/>
          <w:lang w:val="en-US" w:eastAsia="zh-CN"/>
        </w:rPr>
      </w:pPr>
      <w:r>
        <w:rPr>
          <w:rFonts w:eastAsia="楷体_GB2312"/>
          <w:b/>
          <w:bCs/>
          <w:kern w:val="0"/>
          <w:sz w:val="32"/>
          <w:szCs w:val="32"/>
          <w:shd w:val="clear" w:color="auto" w:fill="FFFFFF"/>
          <w:lang w:val="zh-CN"/>
        </w:rPr>
        <w:t>结余分配和结转结余情况</w:t>
      </w:r>
      <w:r>
        <w:rPr>
          <w:rFonts w:hint="eastAsia" w:eastAsia="楷体_GB2312"/>
          <w:b/>
          <w:bCs/>
          <w:kern w:val="0"/>
          <w:sz w:val="32"/>
          <w:szCs w:val="32"/>
          <w:shd w:val="clear" w:color="auto" w:fill="FFFFFF"/>
          <w:lang w:val="zh-CN"/>
        </w:rPr>
        <w:t>。</w:t>
      </w:r>
      <w:r>
        <w:rPr>
          <w:rFonts w:hint="default" w:ascii="仿宋_GB2312" w:hAnsi="Times New Roman" w:eastAsia="仿宋_GB2312" w:cs="仿宋_GB2312"/>
          <w:kern w:val="2"/>
          <w:sz w:val="32"/>
          <w:szCs w:val="32"/>
          <w:lang w:val="en-US" w:eastAsia="zh-CN" w:bidi="ar"/>
        </w:rPr>
        <w:t>盐边县卫生健康局及下属</w:t>
      </w:r>
      <w:r>
        <w:rPr>
          <w:rFonts w:hint="default" w:ascii="Times New Roman" w:hAnsi="Times New Roman" w:eastAsia="仿宋_GB2312" w:cs="Times New Roman"/>
          <w:kern w:val="2"/>
          <w:sz w:val="32"/>
          <w:szCs w:val="32"/>
          <w:lang w:val="en-US" w:eastAsia="zh-CN" w:bidi="ar"/>
        </w:rPr>
        <w:t>19</w:t>
      </w:r>
      <w:r>
        <w:rPr>
          <w:rFonts w:hint="default" w:ascii="仿宋_GB2312" w:hAnsi="Times New Roman" w:eastAsia="仿宋_GB2312" w:cs="仿宋_GB2312"/>
          <w:kern w:val="2"/>
          <w:sz w:val="32"/>
          <w:szCs w:val="32"/>
          <w:lang w:val="en-US" w:eastAsia="zh-CN" w:bidi="ar"/>
        </w:rPr>
        <w:t>家二级预算单位</w:t>
      </w:r>
      <w:r>
        <w:rPr>
          <w:rFonts w:hint="eastAsia" w:eastAsia="仿宋_GB2312"/>
          <w:sz w:val="32"/>
          <w:szCs w:val="32"/>
        </w:rPr>
        <w:t>2024年决算</w:t>
      </w:r>
      <w:r>
        <w:rPr>
          <w:rFonts w:hint="eastAsia" w:eastAsia="仿宋_GB2312"/>
          <w:sz w:val="32"/>
          <w:szCs w:val="32"/>
          <w:lang w:eastAsia="zh-CN"/>
        </w:rPr>
        <w:t>收入本年使用非财政拨款结余（含专用结余）</w:t>
      </w:r>
      <w:r>
        <w:rPr>
          <w:rFonts w:hint="eastAsia" w:eastAsia="仿宋_GB2312"/>
          <w:sz w:val="32"/>
          <w:szCs w:val="32"/>
          <w:lang w:val="en-US" w:eastAsia="zh-CN"/>
        </w:rPr>
        <w:t>254.85万元，年初结转和结余22.63万元。</w:t>
      </w:r>
      <w:r>
        <w:rPr>
          <w:rFonts w:hint="eastAsia" w:eastAsia="仿宋_GB2312"/>
          <w:sz w:val="32"/>
          <w:szCs w:val="32"/>
        </w:rPr>
        <w:t>2024年决算</w:t>
      </w:r>
      <w:r>
        <w:rPr>
          <w:rFonts w:hint="eastAsia" w:eastAsia="仿宋_GB2312"/>
          <w:sz w:val="32"/>
          <w:szCs w:val="32"/>
          <w:lang w:eastAsia="zh-CN"/>
        </w:rPr>
        <w:t>支出结余分配</w:t>
      </w:r>
      <w:r>
        <w:rPr>
          <w:rFonts w:hint="eastAsia" w:eastAsia="仿宋_GB2312"/>
          <w:sz w:val="32"/>
          <w:szCs w:val="32"/>
          <w:lang w:val="en-US" w:eastAsia="zh-CN"/>
        </w:rPr>
        <w:t>324.68万元，年末结转和结余56.47万元。</w:t>
      </w:r>
    </w:p>
    <w:p w14:paraId="5A8F92C2">
      <w:pPr>
        <w:keepNext w:val="0"/>
        <w:keepLines w:val="0"/>
        <w:widowControl w:val="0"/>
        <w:numPr>
          <w:ilvl w:val="0"/>
          <w:numId w:val="0"/>
        </w:numPr>
        <w:suppressLineNumbers w:val="0"/>
        <w:spacing w:before="0" w:beforeAutospacing="0" w:after="0" w:afterAutospacing="0"/>
        <w:ind w:right="0" w:rightChars="0" w:firstLine="640" w:firstLineChars="200"/>
        <w:jc w:val="both"/>
        <w:rPr>
          <w:rFonts w:eastAsia="仿宋_GB2312"/>
          <w:kern w:val="0"/>
          <w:szCs w:val="32"/>
          <w:shd w:val="clear" w:color="auto" w:fill="FFFFFF"/>
          <w:lang w:val="zh-CN"/>
        </w:rPr>
      </w:pPr>
      <w:r>
        <w:rPr>
          <w:rFonts w:hint="default" w:ascii="Times New Roman" w:hAnsi="Times New Roman" w:eastAsia="方正仿宋_GBK" w:cs="Times New Roman"/>
          <w:kern w:val="2"/>
          <w:sz w:val="32"/>
          <w:szCs w:val="32"/>
          <w:lang w:val="en-US" w:eastAsia="zh-CN" w:bidi="ar"/>
        </w:rPr>
        <w:t>2024</w:t>
      </w:r>
      <w:r>
        <w:rPr>
          <w:rFonts w:hint="eastAsia" w:ascii="方正仿宋_GBK" w:hAnsi="方正仿宋_GBK" w:eastAsia="方正仿宋_GBK" w:cs="方正仿宋_GBK"/>
          <w:kern w:val="2"/>
          <w:sz w:val="32"/>
          <w:szCs w:val="32"/>
          <w:lang w:val="en-US" w:eastAsia="zh-CN" w:bidi="ar"/>
        </w:rPr>
        <w:t>年，盐边县卫生健康局局本级无年初结转和结余，无年末结转和结余。</w:t>
      </w:r>
    </w:p>
    <w:p w14:paraId="3288C6FB">
      <w:pPr>
        <w:widowControl/>
        <w:adjustRightInd w:val="0"/>
        <w:snapToGrid w:val="0"/>
        <w:spacing w:line="578" w:lineRule="exact"/>
        <w:ind w:firstLine="640" w:firstLineChars="200"/>
        <w:contextualSpacing/>
        <w:jc w:val="left"/>
        <w:rPr>
          <w:rFonts w:eastAsia="黑体"/>
          <w:kern w:val="0"/>
          <w:sz w:val="32"/>
          <w:szCs w:val="32"/>
          <w:shd w:val="clear" w:color="auto" w:fill="FFFFFF"/>
          <w:lang w:val="zh-CN"/>
        </w:rPr>
      </w:pPr>
      <w:r>
        <w:rPr>
          <w:rFonts w:eastAsia="黑体"/>
          <w:kern w:val="0"/>
          <w:sz w:val="32"/>
          <w:szCs w:val="32"/>
          <w:shd w:val="clear" w:color="auto" w:fill="FFFFFF"/>
          <w:lang w:val="zh-CN"/>
        </w:rPr>
        <w:t>三、部门预算绩效分析</w:t>
      </w:r>
    </w:p>
    <w:p w14:paraId="462D2724">
      <w:pPr>
        <w:adjustRightInd w:val="0"/>
        <w:snapToGrid w:val="0"/>
        <w:spacing w:line="578" w:lineRule="exact"/>
        <w:ind w:firstLine="643" w:firstLineChars="200"/>
        <w:contextualSpacing/>
        <w:jc w:val="left"/>
        <w:rPr>
          <w:rFonts w:eastAsia="楷体_GB2312"/>
          <w:b/>
          <w:bCs/>
          <w:kern w:val="0"/>
          <w:sz w:val="32"/>
          <w:szCs w:val="32"/>
          <w:shd w:val="clear" w:color="auto" w:fill="FFFFFF"/>
          <w:lang w:val="zh-CN"/>
        </w:rPr>
      </w:pPr>
      <w:r>
        <w:rPr>
          <w:rFonts w:eastAsia="楷体_GB2312"/>
          <w:b/>
          <w:bCs/>
          <w:kern w:val="0"/>
          <w:sz w:val="32"/>
          <w:szCs w:val="32"/>
          <w:shd w:val="clear" w:color="auto" w:fill="FFFFFF"/>
          <w:lang w:val="zh-CN"/>
        </w:rPr>
        <w:t>（一）</w:t>
      </w:r>
      <w:r>
        <w:rPr>
          <w:rFonts w:hint="eastAsia" w:eastAsia="楷体_GB2312"/>
          <w:b/>
          <w:bCs/>
          <w:kern w:val="0"/>
          <w:sz w:val="32"/>
          <w:szCs w:val="32"/>
          <w:shd w:val="clear" w:color="auto" w:fill="FFFFFF"/>
          <w:lang w:val="zh-CN"/>
        </w:rPr>
        <w:t>部门预算</w:t>
      </w:r>
      <w:r>
        <w:rPr>
          <w:rFonts w:eastAsia="楷体_GB2312"/>
          <w:b/>
          <w:bCs/>
          <w:kern w:val="0"/>
          <w:sz w:val="32"/>
          <w:szCs w:val="32"/>
          <w:shd w:val="clear" w:color="auto" w:fill="FFFFFF"/>
          <w:lang w:val="zh-CN"/>
        </w:rPr>
        <w:t>总体绩效分析。</w:t>
      </w:r>
    </w:p>
    <w:p w14:paraId="3736A397">
      <w:pPr>
        <w:keepNext w:val="0"/>
        <w:keepLines w:val="0"/>
        <w:widowControl w:val="0"/>
        <w:suppressLineNumbers w:val="0"/>
        <w:spacing w:before="0" w:beforeAutospacing="0" w:after="0" w:afterAutospacing="0"/>
        <w:ind w:left="0" w:right="0"/>
        <w:jc w:val="both"/>
        <w:rPr>
          <w:rFonts w:eastAsia="仿宋_GB2312" w:cs="仿宋_GB2312"/>
          <w:sz w:val="32"/>
          <w:szCs w:val="32"/>
          <w:lang w:val="zh-CN"/>
        </w:rPr>
      </w:pPr>
      <w:r>
        <w:rPr>
          <w:rFonts w:hint="eastAsia" w:eastAsia="楷体_GB2312"/>
          <w:b w:val="0"/>
          <w:bCs w:val="0"/>
          <w:kern w:val="0"/>
          <w:sz w:val="32"/>
          <w:szCs w:val="32"/>
          <w:shd w:val="clear" w:color="auto" w:fill="FFFFFF"/>
          <w:lang w:val="en-US" w:eastAsia="zh-CN"/>
        </w:rPr>
        <w:t>2024年</w:t>
      </w:r>
      <w:r>
        <w:rPr>
          <w:rFonts w:hint="eastAsia" w:ascii="CESI仿宋-GB2312" w:hAnsi="CESI仿宋-GB2312" w:eastAsia="CESI仿宋-GB2312" w:cs="CESI仿宋-GB2312"/>
          <w:color w:val="auto"/>
          <w:sz w:val="32"/>
          <w:szCs w:val="32"/>
          <w:shd w:val="clear" w:color="auto" w:fill="auto"/>
        </w:rPr>
        <w:t>绩效目标管理覆盖一般公共预算中所有本级项目和中央对地方专项转移支付，</w:t>
      </w:r>
      <w:r>
        <w:rPr>
          <w:rFonts w:hint="eastAsia" w:ascii="CESI仿宋-GB2312" w:hAnsi="CESI仿宋-GB2312" w:eastAsia="CESI仿宋-GB2312" w:cs="CESI仿宋-GB2312"/>
          <w:sz w:val="32"/>
          <w:szCs w:val="32"/>
        </w:rPr>
        <w:t>建立了比较全面规范的绩效指标体系，同时</w:t>
      </w:r>
      <w:r>
        <w:rPr>
          <w:rFonts w:hint="eastAsia" w:ascii="CESI仿宋-GB2312" w:hAnsi="CESI仿宋-GB2312" w:eastAsia="CESI仿宋-GB2312" w:cs="CESI仿宋-GB2312"/>
          <w:color w:val="auto"/>
          <w:sz w:val="32"/>
          <w:szCs w:val="32"/>
          <w:shd w:val="clear" w:color="auto" w:fill="auto"/>
        </w:rPr>
        <w:t>将绩效目标随同</w:t>
      </w:r>
      <w:r>
        <w:rPr>
          <w:rFonts w:hint="eastAsia" w:ascii="CESI仿宋-GB2312" w:hAnsi="CESI仿宋-GB2312" w:eastAsia="CESI仿宋-GB2312" w:cs="CESI仿宋-GB2312"/>
          <w:sz w:val="32"/>
          <w:szCs w:val="32"/>
        </w:rPr>
        <w:t>资金同步下</w:t>
      </w:r>
      <w:r>
        <w:rPr>
          <w:rFonts w:hint="eastAsia" w:ascii="CESI仿宋-GB2312" w:hAnsi="CESI仿宋-GB2312" w:eastAsia="CESI仿宋-GB2312" w:cs="CESI仿宋-GB2312"/>
          <w:color w:val="auto"/>
          <w:sz w:val="32"/>
          <w:szCs w:val="32"/>
          <w:shd w:val="clear" w:color="auto" w:fill="auto"/>
        </w:rPr>
        <w:t>达，强化资金使用单位的主体责任和效率意识。组织</w:t>
      </w:r>
      <w:r>
        <w:rPr>
          <w:rFonts w:hint="eastAsia" w:ascii="CESI仿宋-GB2312" w:hAnsi="CESI仿宋-GB2312" w:eastAsia="CESI仿宋-GB2312" w:cs="CESI仿宋-GB2312"/>
          <w:sz w:val="32"/>
          <w:szCs w:val="32"/>
        </w:rPr>
        <w:t>局机关各股室及下属19家医疗卫生机构</w:t>
      </w:r>
      <w:r>
        <w:rPr>
          <w:rFonts w:hint="eastAsia" w:ascii="CESI仿宋-GB2312" w:hAnsi="CESI仿宋-GB2312" w:eastAsia="CESI仿宋-GB2312" w:cs="CESI仿宋-GB2312"/>
          <w:color w:val="auto"/>
          <w:sz w:val="32"/>
          <w:szCs w:val="32"/>
          <w:shd w:val="clear" w:color="auto" w:fill="auto"/>
        </w:rPr>
        <w:t>对上年所有本级项目</w:t>
      </w:r>
      <w:r>
        <w:rPr>
          <w:rFonts w:hint="eastAsia" w:ascii="CESI仿宋-GB2312" w:hAnsi="CESI仿宋-GB2312" w:eastAsia="CESI仿宋-GB2312" w:cs="CESI仿宋-GB2312"/>
          <w:sz w:val="32"/>
          <w:szCs w:val="32"/>
        </w:rPr>
        <w:t>和</w:t>
      </w:r>
      <w:r>
        <w:rPr>
          <w:rFonts w:hint="eastAsia" w:ascii="CESI仿宋-GB2312" w:hAnsi="CESI仿宋-GB2312" w:eastAsia="CESI仿宋-GB2312" w:cs="CESI仿宋-GB2312"/>
          <w:color w:val="auto"/>
          <w:sz w:val="32"/>
          <w:szCs w:val="32"/>
          <w:shd w:val="clear" w:color="auto" w:fill="auto"/>
        </w:rPr>
        <w:t>中央专项转移支付全面开展绩效自评。</w:t>
      </w:r>
      <w:r>
        <w:rPr>
          <w:rFonts w:hint="eastAsia" w:ascii="CESI仿宋-GB2312" w:hAnsi="CESI仿宋-GB2312" w:eastAsia="CESI仿宋-GB2312" w:cs="CESI仿宋-GB2312"/>
          <w:sz w:val="32"/>
          <w:szCs w:val="32"/>
        </w:rPr>
        <w:t>并对本年度预算执行、预算调整、绩效目标完成及实现情况全面开展事中绩效监控，提高财政资金使用效益，</w:t>
      </w:r>
      <w:r>
        <w:rPr>
          <w:rFonts w:hint="default" w:ascii="Times New Roman" w:hAnsi="Times New Roman" w:eastAsia="楷体_GB2312" w:cs="Times New Roman"/>
          <w:b w:val="0"/>
          <w:bCs w:val="0"/>
          <w:kern w:val="0"/>
          <w:sz w:val="32"/>
          <w:szCs w:val="32"/>
          <w:shd w:val="clear" w:fill="FFFFFF"/>
          <w:lang w:val="en-US" w:eastAsia="zh-CN" w:bidi="ar"/>
        </w:rPr>
        <w:t>2024</w:t>
      </w:r>
      <w:r>
        <w:rPr>
          <w:rFonts w:hint="default" w:ascii="楷体_GB2312" w:hAnsi="Times New Roman" w:eastAsia="楷体_GB2312" w:cs="楷体_GB2312"/>
          <w:b w:val="0"/>
          <w:bCs w:val="0"/>
          <w:kern w:val="0"/>
          <w:sz w:val="32"/>
          <w:szCs w:val="32"/>
          <w:shd w:val="clear" w:fill="FFFFFF"/>
          <w:lang w:val="en-US" w:eastAsia="zh-CN" w:bidi="ar"/>
        </w:rPr>
        <w:t>年</w:t>
      </w:r>
      <w:r>
        <w:rPr>
          <w:rFonts w:hint="eastAsia" w:ascii="CESI仿宋-GB2312" w:hAnsi="CESI仿宋-GB2312" w:eastAsia="CESI仿宋-GB2312" w:cs="CESI仿宋-GB2312"/>
          <w:sz w:val="32"/>
          <w:szCs w:val="32"/>
        </w:rPr>
        <w:t>无违规记录。</w:t>
      </w:r>
    </w:p>
    <w:p w14:paraId="007D23F3">
      <w:pPr>
        <w:keepNext w:val="0"/>
        <w:keepLines w:val="0"/>
        <w:widowControl w:val="0"/>
        <w:numPr>
          <w:ilvl w:val="0"/>
          <w:numId w:val="4"/>
        </w:numPr>
        <w:suppressLineNumbers w:val="0"/>
        <w:spacing w:before="0" w:beforeAutospacing="0" w:after="0" w:afterAutospacing="0" w:line="570" w:lineRule="exact"/>
        <w:ind w:left="0" w:right="0" w:firstLine="640" w:firstLineChars="200"/>
        <w:jc w:val="both"/>
        <w:rPr>
          <w:rFonts w:hint="eastAsia" w:ascii="楷体_GB2312" w:hAnsi="楷体_GB2312" w:eastAsia="楷体_GB2312" w:cs="楷体_GB2312"/>
          <w:kern w:val="0"/>
          <w:sz w:val="32"/>
          <w:szCs w:val="32"/>
          <w:shd w:val="clear" w:color="auto" w:fill="FFFFFF"/>
          <w:lang w:val="zh-CN"/>
        </w:rPr>
      </w:pPr>
      <w:r>
        <w:rPr>
          <w:rFonts w:hint="eastAsia" w:ascii="楷体_GB2312" w:hAnsi="楷体_GB2312" w:eastAsia="楷体_GB2312" w:cs="楷体_GB2312"/>
          <w:kern w:val="0"/>
          <w:sz w:val="32"/>
          <w:szCs w:val="32"/>
          <w:shd w:val="clear" w:color="auto" w:fill="FFFFFF"/>
          <w:lang w:val="zh-CN"/>
        </w:rPr>
        <w:t>履职效能。</w:t>
      </w:r>
    </w:p>
    <w:p w14:paraId="29B2DA1D">
      <w:pPr>
        <w:keepNext w:val="0"/>
        <w:keepLines w:val="0"/>
        <w:widowControl w:val="0"/>
        <w:numPr>
          <w:ilvl w:val="0"/>
          <w:numId w:val="0"/>
        </w:numPr>
        <w:suppressLineNumbers w:val="0"/>
        <w:spacing w:before="0" w:beforeAutospacing="0" w:after="0" w:afterAutospacing="0" w:line="570" w:lineRule="exact"/>
        <w:ind w:leftChars="200" w:right="0" w:rightChars="0"/>
        <w:jc w:val="both"/>
        <w:rPr>
          <w:rFonts w:hint="default" w:ascii="Times New Roman" w:hAnsi="Times New Roman" w:eastAsia="方正仿宋_GBK" w:cs="Times New Roman"/>
          <w:kern w:val="2"/>
          <w:sz w:val="32"/>
          <w:szCs w:val="32"/>
        </w:rPr>
      </w:pPr>
      <w:r>
        <w:rPr>
          <w:rFonts w:hint="eastAsia" w:ascii="方正仿宋_GBK" w:hAnsi="方正仿宋_GBK" w:eastAsia="方正仿宋_GBK" w:cs="方正仿宋_GBK"/>
          <w:kern w:val="2"/>
          <w:sz w:val="32"/>
          <w:szCs w:val="32"/>
          <w:lang w:val="en-US" w:eastAsia="zh-CN" w:bidi="ar"/>
        </w:rPr>
        <w:t>（</w:t>
      </w:r>
      <w:r>
        <w:rPr>
          <w:rFonts w:hint="default" w:ascii="Times New Roman" w:hAnsi="Times New Roman" w:eastAsia="方正仿宋_GBK" w:cs="Times New Roman"/>
          <w:kern w:val="2"/>
          <w:sz w:val="32"/>
          <w:szCs w:val="32"/>
          <w:lang w:val="en-US" w:eastAsia="zh-CN" w:bidi="ar"/>
        </w:rPr>
        <w:t>1</w:t>
      </w:r>
      <w:r>
        <w:rPr>
          <w:rFonts w:hint="eastAsia" w:ascii="方正仿宋_GBK" w:hAnsi="方正仿宋_GBK" w:eastAsia="方正仿宋_GBK" w:cs="方正仿宋_GBK"/>
          <w:kern w:val="2"/>
          <w:sz w:val="32"/>
          <w:szCs w:val="32"/>
          <w:lang w:val="en-US" w:eastAsia="zh-CN" w:bidi="ar"/>
        </w:rPr>
        <w:t>）基本公共卫生服务资金目标完成绩效分析。</w:t>
      </w:r>
      <w:r>
        <w:rPr>
          <w:rFonts w:hint="default" w:ascii="Times New Roman" w:hAnsi="Times New Roman" w:eastAsia="方正仿宋_GBK" w:cs="Times New Roman"/>
          <w:kern w:val="2"/>
          <w:sz w:val="32"/>
          <w:szCs w:val="32"/>
          <w:lang w:val="en-US" w:eastAsia="zh-CN" w:bidi="ar"/>
        </w:rPr>
        <w:t>​</w:t>
      </w:r>
    </w:p>
    <w:p w14:paraId="47D797FC">
      <w:pPr>
        <w:keepNext w:val="0"/>
        <w:keepLines w:val="0"/>
        <w:widowControl w:val="0"/>
        <w:suppressLineNumbers w:val="0"/>
        <w:spacing w:before="0" w:beforeAutospacing="0" w:after="0" w:afterAutospacing="0" w:line="570" w:lineRule="exact"/>
        <w:ind w:right="0" w:firstLine="640" w:firstLineChars="200"/>
        <w:jc w:val="both"/>
        <w:rPr>
          <w:rFonts w:hint="default" w:ascii="Times New Roman" w:hAnsi="Times New Roman" w:eastAsia="方正仿宋_GBK" w:cs="Times New Roman"/>
          <w:kern w:val="2"/>
          <w:sz w:val="32"/>
          <w:szCs w:val="32"/>
        </w:rPr>
      </w:pPr>
      <w:r>
        <w:rPr>
          <w:rFonts w:hint="eastAsia" w:ascii="方正仿宋_GBK" w:hAnsi="方正仿宋_GBK" w:eastAsia="方正仿宋_GBK" w:cs="方正仿宋_GBK"/>
          <w:kern w:val="2"/>
          <w:sz w:val="32"/>
          <w:szCs w:val="32"/>
          <w:lang w:val="en-US" w:eastAsia="zh-CN" w:bidi="ar"/>
        </w:rPr>
        <w:t>在基本公共卫生服务领域，盐边县卫生健康局超额完成</w:t>
      </w:r>
      <w:r>
        <w:rPr>
          <w:rFonts w:hint="default" w:ascii="Times New Roman" w:hAnsi="Times New Roman" w:eastAsia="方正仿宋_GBK" w:cs="Times New Roman"/>
          <w:kern w:val="2"/>
          <w:sz w:val="32"/>
          <w:szCs w:val="32"/>
          <w:lang w:val="en-US" w:eastAsia="zh-CN" w:bidi="ar"/>
        </w:rPr>
        <w:t>“</w:t>
      </w:r>
      <w:r>
        <w:rPr>
          <w:rFonts w:hint="eastAsia" w:ascii="方正仿宋_GBK" w:hAnsi="方正仿宋_GBK" w:eastAsia="方正仿宋_GBK" w:cs="方正仿宋_GBK"/>
          <w:kern w:val="2"/>
          <w:sz w:val="32"/>
          <w:szCs w:val="32"/>
          <w:lang w:val="en-US" w:eastAsia="zh-CN" w:bidi="ar"/>
        </w:rPr>
        <w:t>为</w:t>
      </w:r>
      <w:r>
        <w:rPr>
          <w:rFonts w:hint="default" w:ascii="Times New Roman" w:hAnsi="Times New Roman" w:eastAsia="方正仿宋_GBK" w:cs="Times New Roman"/>
          <w:kern w:val="2"/>
          <w:sz w:val="32"/>
          <w:szCs w:val="32"/>
          <w:lang w:val="en-US" w:eastAsia="zh-CN" w:bidi="ar"/>
        </w:rPr>
        <w:t>17</w:t>
      </w:r>
      <w:r>
        <w:rPr>
          <w:rFonts w:hint="eastAsia" w:ascii="方正仿宋_GBK" w:hAnsi="方正仿宋_GBK" w:eastAsia="方正仿宋_GBK" w:cs="方正仿宋_GBK"/>
          <w:kern w:val="2"/>
          <w:sz w:val="32"/>
          <w:szCs w:val="32"/>
          <w:lang w:val="en-US" w:eastAsia="zh-CN" w:bidi="ar"/>
        </w:rPr>
        <w:t>余万常住城乡居民免费提供</w:t>
      </w:r>
      <w:r>
        <w:rPr>
          <w:rFonts w:hint="default" w:ascii="Times New Roman" w:hAnsi="Times New Roman" w:eastAsia="方正仿宋_GBK" w:cs="Times New Roman"/>
          <w:kern w:val="2"/>
          <w:sz w:val="32"/>
          <w:szCs w:val="32"/>
          <w:lang w:val="en-US" w:eastAsia="zh-CN" w:bidi="ar"/>
        </w:rPr>
        <w:t>12</w:t>
      </w:r>
      <w:r>
        <w:rPr>
          <w:rFonts w:hint="eastAsia" w:ascii="方正仿宋_GBK" w:hAnsi="方正仿宋_GBK" w:eastAsia="方正仿宋_GBK" w:cs="方正仿宋_GBK"/>
          <w:kern w:val="2"/>
          <w:sz w:val="32"/>
          <w:szCs w:val="32"/>
          <w:lang w:val="en-US" w:eastAsia="zh-CN" w:bidi="ar"/>
        </w:rPr>
        <w:t>项基本公共卫生服务</w:t>
      </w:r>
      <w:r>
        <w:rPr>
          <w:rFonts w:hint="default" w:ascii="Times New Roman" w:hAnsi="Times New Roman" w:eastAsia="方正仿宋_GBK" w:cs="Times New Roman"/>
          <w:kern w:val="2"/>
          <w:sz w:val="32"/>
          <w:szCs w:val="32"/>
          <w:lang w:val="en-US" w:eastAsia="zh-CN" w:bidi="ar"/>
        </w:rPr>
        <w:t>”</w:t>
      </w:r>
      <w:r>
        <w:rPr>
          <w:rFonts w:hint="eastAsia" w:ascii="方正仿宋_GBK" w:hAnsi="方正仿宋_GBK" w:eastAsia="方正仿宋_GBK" w:cs="方正仿宋_GBK"/>
          <w:kern w:val="2"/>
          <w:sz w:val="32"/>
          <w:szCs w:val="32"/>
          <w:lang w:val="en-US" w:eastAsia="zh-CN" w:bidi="ar"/>
        </w:rPr>
        <w:t>省政府民生实事任务，为</w:t>
      </w:r>
      <w:r>
        <w:rPr>
          <w:rFonts w:hint="default" w:ascii="Times New Roman" w:hAnsi="Times New Roman" w:eastAsia="方正仿宋_GBK" w:cs="Times New Roman"/>
          <w:kern w:val="2"/>
          <w:sz w:val="32"/>
          <w:szCs w:val="32"/>
          <w:lang w:val="en-US" w:eastAsia="zh-CN" w:bidi="ar"/>
        </w:rPr>
        <w:t>1.79</w:t>
      </w:r>
      <w:r>
        <w:rPr>
          <w:rFonts w:hint="eastAsia" w:ascii="方正仿宋_GBK" w:hAnsi="方正仿宋_GBK" w:eastAsia="方正仿宋_GBK" w:cs="方正仿宋_GBK"/>
          <w:kern w:val="2"/>
          <w:sz w:val="32"/>
          <w:szCs w:val="32"/>
          <w:lang w:val="en-US" w:eastAsia="zh-CN" w:bidi="ar"/>
        </w:rPr>
        <w:t>万老年人、</w:t>
      </w:r>
      <w:r>
        <w:rPr>
          <w:rFonts w:hint="default" w:ascii="Times New Roman" w:hAnsi="Times New Roman" w:eastAsia="方正仿宋_GBK" w:cs="Times New Roman"/>
          <w:kern w:val="2"/>
          <w:sz w:val="32"/>
          <w:szCs w:val="32"/>
          <w:lang w:val="en-US" w:eastAsia="zh-CN" w:bidi="ar"/>
        </w:rPr>
        <w:t>1.03</w:t>
      </w:r>
      <w:r>
        <w:rPr>
          <w:rFonts w:hint="eastAsia" w:ascii="方正仿宋_GBK" w:hAnsi="方正仿宋_GBK" w:eastAsia="方正仿宋_GBK" w:cs="方正仿宋_GBK"/>
          <w:kern w:val="2"/>
          <w:sz w:val="32"/>
          <w:szCs w:val="32"/>
          <w:lang w:val="en-US" w:eastAsia="zh-CN" w:bidi="ar"/>
        </w:rPr>
        <w:t>万高血压患者、</w:t>
      </w:r>
      <w:r>
        <w:rPr>
          <w:rFonts w:hint="default" w:ascii="Times New Roman" w:hAnsi="Times New Roman" w:eastAsia="方正仿宋_GBK" w:cs="Times New Roman"/>
          <w:kern w:val="2"/>
          <w:sz w:val="32"/>
          <w:szCs w:val="32"/>
          <w:lang w:val="en-US" w:eastAsia="zh-CN" w:bidi="ar"/>
        </w:rPr>
        <w:t>0.34</w:t>
      </w:r>
      <w:r>
        <w:rPr>
          <w:rFonts w:hint="eastAsia" w:ascii="方正仿宋_GBK" w:hAnsi="方正仿宋_GBK" w:eastAsia="方正仿宋_GBK" w:cs="方正仿宋_GBK"/>
          <w:kern w:val="2"/>
          <w:sz w:val="32"/>
          <w:szCs w:val="32"/>
          <w:lang w:val="en-US" w:eastAsia="zh-CN" w:bidi="ar"/>
        </w:rPr>
        <w:t>万</w:t>
      </w:r>
      <w:r>
        <w:rPr>
          <w:rFonts w:hint="default" w:ascii="Times New Roman" w:hAnsi="Times New Roman" w:eastAsia="方正仿宋_GBK" w:cs="Times New Roman"/>
          <w:kern w:val="2"/>
          <w:sz w:val="32"/>
          <w:szCs w:val="32"/>
          <w:lang w:val="en-US" w:eastAsia="zh-CN" w:bidi="ar"/>
        </w:rPr>
        <w:t>II</w:t>
      </w:r>
      <w:r>
        <w:rPr>
          <w:rFonts w:hint="eastAsia" w:ascii="方正仿宋_GBK" w:hAnsi="方正仿宋_GBK" w:eastAsia="方正仿宋_GBK" w:cs="方正仿宋_GBK"/>
          <w:kern w:val="2"/>
          <w:sz w:val="32"/>
          <w:szCs w:val="32"/>
          <w:lang w:val="en-US" w:eastAsia="zh-CN" w:bidi="ar"/>
        </w:rPr>
        <w:t>型糖尿病患者提供健康管理服务。家庭医生签约覆盖率</w:t>
      </w:r>
      <w:r>
        <w:rPr>
          <w:rFonts w:hint="default" w:ascii="Times New Roman" w:hAnsi="Times New Roman" w:eastAsia="方正仿宋_GBK" w:cs="Times New Roman"/>
          <w:kern w:val="2"/>
          <w:sz w:val="32"/>
          <w:szCs w:val="32"/>
          <w:lang w:val="en-US" w:eastAsia="zh-CN" w:bidi="ar"/>
        </w:rPr>
        <w:t>97.23%</w:t>
      </w:r>
      <w:r>
        <w:rPr>
          <w:rFonts w:hint="eastAsia" w:ascii="方正仿宋_GBK" w:hAnsi="方正仿宋_GBK" w:eastAsia="方正仿宋_GBK" w:cs="方正仿宋_GBK"/>
          <w:kern w:val="2"/>
          <w:sz w:val="32"/>
          <w:szCs w:val="32"/>
          <w:lang w:val="en-US" w:eastAsia="zh-CN" w:bidi="ar"/>
        </w:rPr>
        <w:t>，十类重点人群签约覆盖率</w:t>
      </w:r>
      <w:r>
        <w:rPr>
          <w:rFonts w:hint="default" w:ascii="Times New Roman" w:hAnsi="Times New Roman" w:eastAsia="方正仿宋_GBK" w:cs="Times New Roman"/>
          <w:kern w:val="2"/>
          <w:sz w:val="32"/>
          <w:szCs w:val="32"/>
          <w:lang w:val="en-US" w:eastAsia="zh-CN" w:bidi="ar"/>
        </w:rPr>
        <w:t>95.02%</w:t>
      </w:r>
      <w:r>
        <w:rPr>
          <w:rFonts w:hint="eastAsia" w:ascii="方正仿宋_GBK" w:hAnsi="方正仿宋_GBK" w:eastAsia="方正仿宋_GBK" w:cs="方正仿宋_GBK"/>
          <w:kern w:val="2"/>
          <w:sz w:val="32"/>
          <w:szCs w:val="32"/>
          <w:lang w:val="en-US" w:eastAsia="zh-CN" w:bidi="ar"/>
        </w:rPr>
        <w:t>。资金和人力得到了较为合理的配置，居民对基本公共卫生服务的满意度较高。基本公共卫生服务项目严格执行财务管理制度，及时账务处理，会计核算规范。</w:t>
      </w:r>
    </w:p>
    <w:p w14:paraId="29A11F04">
      <w:pPr>
        <w:keepNext w:val="0"/>
        <w:keepLines w:val="0"/>
        <w:widowControl w:val="0"/>
        <w:suppressLineNumbers w:val="0"/>
        <w:spacing w:before="0" w:beforeAutospacing="0" w:after="0" w:afterAutospacing="0" w:line="570" w:lineRule="exact"/>
        <w:ind w:right="0" w:firstLine="640" w:firstLineChars="200"/>
        <w:jc w:val="both"/>
        <w:rPr>
          <w:rFonts w:hint="default" w:ascii="Times New Roman" w:hAnsi="Times New Roman" w:eastAsia="方正仿宋_GBK" w:cs="Times New Roman"/>
          <w:kern w:val="2"/>
          <w:sz w:val="32"/>
          <w:szCs w:val="32"/>
        </w:rPr>
      </w:pPr>
      <w:r>
        <w:rPr>
          <w:rFonts w:hint="eastAsia" w:ascii="方正仿宋_GBK" w:hAnsi="方正仿宋_GBK" w:eastAsia="方正仿宋_GBK" w:cs="方正仿宋_GBK"/>
          <w:kern w:val="2"/>
          <w:sz w:val="32"/>
          <w:szCs w:val="32"/>
          <w:lang w:val="en-US" w:eastAsia="zh-CN" w:bidi="ar"/>
        </w:rPr>
        <w:t>（</w:t>
      </w:r>
      <w:r>
        <w:rPr>
          <w:rFonts w:hint="default" w:ascii="Times New Roman" w:hAnsi="Times New Roman" w:eastAsia="方正仿宋_GBK" w:cs="Times New Roman"/>
          <w:kern w:val="2"/>
          <w:sz w:val="32"/>
          <w:szCs w:val="32"/>
          <w:lang w:val="en-US" w:eastAsia="zh-CN" w:bidi="ar"/>
        </w:rPr>
        <w:t>2</w:t>
      </w:r>
      <w:r>
        <w:rPr>
          <w:rFonts w:hint="eastAsia" w:ascii="方正仿宋_GBK" w:hAnsi="方正仿宋_GBK" w:eastAsia="方正仿宋_GBK" w:cs="方正仿宋_GBK"/>
          <w:kern w:val="2"/>
          <w:sz w:val="32"/>
          <w:szCs w:val="32"/>
          <w:lang w:val="en-US" w:eastAsia="zh-CN" w:bidi="ar"/>
        </w:rPr>
        <w:t>）计划生育服务资金目标完成绩效分析。</w:t>
      </w:r>
      <w:r>
        <w:rPr>
          <w:rFonts w:hint="default" w:ascii="Times New Roman" w:hAnsi="Times New Roman" w:eastAsia="方正仿宋_GBK" w:cs="Times New Roman"/>
          <w:kern w:val="2"/>
          <w:sz w:val="32"/>
          <w:szCs w:val="32"/>
          <w:lang w:val="en-US" w:eastAsia="zh-CN" w:bidi="ar"/>
        </w:rPr>
        <w:t>​</w:t>
      </w:r>
    </w:p>
    <w:p w14:paraId="2B6ACD8C">
      <w:pPr>
        <w:keepNext w:val="0"/>
        <w:keepLines w:val="0"/>
        <w:widowControl w:val="0"/>
        <w:suppressLineNumbers w:val="0"/>
        <w:spacing w:before="0" w:beforeAutospacing="0" w:after="0" w:afterAutospacing="0" w:line="570" w:lineRule="exact"/>
        <w:ind w:right="0" w:firstLine="640" w:firstLineChars="200"/>
        <w:jc w:val="both"/>
        <w:rPr>
          <w:rFonts w:hint="default" w:ascii="Times New Roman" w:hAnsi="Times New Roman" w:eastAsia="方正仿宋_GBK" w:cs="Times New Roman"/>
          <w:kern w:val="2"/>
          <w:sz w:val="32"/>
          <w:szCs w:val="32"/>
        </w:rPr>
      </w:pPr>
      <w:r>
        <w:rPr>
          <w:rFonts w:hint="eastAsia" w:ascii="方正仿宋_GBK" w:hAnsi="方正仿宋_GBK" w:eastAsia="方正仿宋_GBK" w:cs="方正仿宋_GBK"/>
          <w:kern w:val="2"/>
          <w:sz w:val="32"/>
          <w:szCs w:val="32"/>
          <w:lang w:val="en-US" w:eastAsia="zh-CN" w:bidi="ar"/>
        </w:rPr>
        <w:t>计划生育服务项目主要涉及农村部分计划生育家庭奖励扶助制度、计划生育家庭特别扶助制度和独生子女父母奖励金。</w:t>
      </w:r>
      <w:r>
        <w:rPr>
          <w:rFonts w:hint="default" w:ascii="Times New Roman" w:hAnsi="Times New Roman" w:eastAsia="方正仿宋_GBK" w:cs="Times New Roman"/>
          <w:kern w:val="2"/>
          <w:sz w:val="32"/>
          <w:szCs w:val="32"/>
          <w:lang w:val="en-US" w:eastAsia="zh-CN" w:bidi="ar"/>
        </w:rPr>
        <w:t>2024</w:t>
      </w:r>
      <w:r>
        <w:rPr>
          <w:rFonts w:hint="eastAsia" w:ascii="方正仿宋_GBK" w:hAnsi="方正仿宋_GBK" w:eastAsia="方正仿宋_GBK" w:cs="方正仿宋_GBK"/>
          <w:kern w:val="2"/>
          <w:sz w:val="32"/>
          <w:szCs w:val="32"/>
          <w:lang w:val="en-US" w:eastAsia="zh-CN" w:bidi="ar"/>
        </w:rPr>
        <w:t>年度项目实施解决</w:t>
      </w:r>
      <w:r>
        <w:rPr>
          <w:rFonts w:hint="default" w:ascii="Times New Roman" w:hAnsi="Times New Roman" w:eastAsia="方正仿宋_GBK" w:cs="Times New Roman"/>
          <w:kern w:val="2"/>
          <w:sz w:val="32"/>
          <w:szCs w:val="32"/>
          <w:lang w:val="en-US" w:eastAsia="zh-CN" w:bidi="ar"/>
        </w:rPr>
        <w:t>3460</w:t>
      </w:r>
      <w:r>
        <w:rPr>
          <w:rFonts w:hint="eastAsia" w:ascii="方正仿宋_GBK" w:hAnsi="方正仿宋_GBK" w:eastAsia="方正仿宋_GBK" w:cs="方正仿宋_GBK"/>
          <w:kern w:val="2"/>
          <w:sz w:val="32"/>
          <w:szCs w:val="32"/>
          <w:lang w:val="en-US" w:eastAsia="zh-CN" w:bidi="ar"/>
        </w:rPr>
        <w:t>人农村独生子女和双女家庭养老问题，发放资金</w:t>
      </w:r>
      <w:r>
        <w:rPr>
          <w:rFonts w:hint="default" w:ascii="Times New Roman" w:hAnsi="Times New Roman" w:eastAsia="方正仿宋_GBK" w:cs="Times New Roman"/>
          <w:kern w:val="2"/>
          <w:sz w:val="32"/>
          <w:szCs w:val="32"/>
          <w:lang w:val="en-US" w:eastAsia="zh-CN" w:bidi="ar"/>
        </w:rPr>
        <w:t>332.16</w:t>
      </w:r>
      <w:r>
        <w:rPr>
          <w:rFonts w:hint="eastAsia" w:ascii="方正仿宋_GBK" w:hAnsi="方正仿宋_GBK" w:eastAsia="方正仿宋_GBK" w:cs="方正仿宋_GBK"/>
          <w:kern w:val="2"/>
          <w:sz w:val="32"/>
          <w:szCs w:val="32"/>
          <w:lang w:val="en-US" w:eastAsia="zh-CN" w:bidi="ar"/>
        </w:rPr>
        <w:t>万元；落实计划生育家庭特别扶助制度目标人数</w:t>
      </w:r>
      <w:r>
        <w:rPr>
          <w:rFonts w:hint="default" w:ascii="Times New Roman" w:hAnsi="Times New Roman" w:eastAsia="方正仿宋_GBK" w:cs="Times New Roman"/>
          <w:kern w:val="2"/>
          <w:sz w:val="32"/>
          <w:szCs w:val="32"/>
          <w:lang w:val="en-US" w:eastAsia="zh-CN" w:bidi="ar"/>
        </w:rPr>
        <w:t>171</w:t>
      </w:r>
      <w:r>
        <w:rPr>
          <w:rFonts w:hint="eastAsia" w:ascii="方正仿宋_GBK" w:hAnsi="方正仿宋_GBK" w:eastAsia="方正仿宋_GBK" w:cs="方正仿宋_GBK"/>
          <w:kern w:val="2"/>
          <w:sz w:val="32"/>
          <w:szCs w:val="32"/>
          <w:lang w:val="en-US" w:eastAsia="zh-CN" w:bidi="ar"/>
        </w:rPr>
        <w:t>人，发放资金</w:t>
      </w:r>
      <w:r>
        <w:rPr>
          <w:rFonts w:hint="default" w:ascii="Times New Roman" w:hAnsi="Times New Roman" w:eastAsia="方正仿宋_GBK" w:cs="Times New Roman"/>
          <w:kern w:val="2"/>
          <w:sz w:val="32"/>
          <w:szCs w:val="32"/>
          <w:lang w:val="en-US" w:eastAsia="zh-CN" w:bidi="ar"/>
        </w:rPr>
        <w:t>196.884</w:t>
      </w:r>
      <w:r>
        <w:rPr>
          <w:rFonts w:hint="eastAsia" w:ascii="方正仿宋_GBK" w:hAnsi="方正仿宋_GBK" w:eastAsia="方正仿宋_GBK" w:cs="方正仿宋_GBK"/>
          <w:kern w:val="2"/>
          <w:sz w:val="32"/>
          <w:szCs w:val="32"/>
          <w:lang w:val="en-US" w:eastAsia="zh-CN" w:bidi="ar"/>
        </w:rPr>
        <w:t>万元；计划生育特别扶助其他</w:t>
      </w:r>
      <w:r>
        <w:rPr>
          <w:rFonts w:hint="default" w:ascii="Times New Roman" w:hAnsi="Times New Roman" w:eastAsia="方正仿宋_GBK" w:cs="Times New Roman"/>
          <w:kern w:val="2"/>
          <w:sz w:val="32"/>
          <w:szCs w:val="32"/>
          <w:lang w:val="en-US" w:eastAsia="zh-CN" w:bidi="ar"/>
        </w:rPr>
        <w:t>1746</w:t>
      </w:r>
      <w:r>
        <w:rPr>
          <w:rFonts w:hint="eastAsia" w:ascii="方正仿宋_GBK" w:hAnsi="方正仿宋_GBK" w:eastAsia="方正仿宋_GBK" w:cs="方正仿宋_GBK"/>
          <w:kern w:val="2"/>
          <w:sz w:val="32"/>
          <w:szCs w:val="32"/>
          <w:lang w:val="en-US" w:eastAsia="zh-CN" w:bidi="ar"/>
        </w:rPr>
        <w:t>人，发放资金</w:t>
      </w:r>
      <w:r>
        <w:rPr>
          <w:rFonts w:hint="default" w:ascii="Times New Roman" w:hAnsi="Times New Roman" w:eastAsia="方正仿宋_GBK" w:cs="Times New Roman"/>
          <w:kern w:val="2"/>
          <w:sz w:val="32"/>
          <w:szCs w:val="32"/>
          <w:lang w:val="en-US" w:eastAsia="zh-CN" w:bidi="ar"/>
        </w:rPr>
        <w:t>545.856</w:t>
      </w:r>
      <w:r>
        <w:rPr>
          <w:rFonts w:hint="eastAsia" w:ascii="方正仿宋_GBK" w:hAnsi="方正仿宋_GBK" w:eastAsia="方正仿宋_GBK" w:cs="方正仿宋_GBK"/>
          <w:kern w:val="2"/>
          <w:sz w:val="32"/>
          <w:szCs w:val="32"/>
          <w:lang w:val="en-US" w:eastAsia="zh-CN" w:bidi="ar"/>
        </w:rPr>
        <w:t>万元；独生子女父母奖励金</w:t>
      </w:r>
      <w:r>
        <w:rPr>
          <w:rFonts w:hint="default" w:ascii="Times New Roman" w:hAnsi="Times New Roman" w:eastAsia="方正仿宋_GBK" w:cs="Times New Roman"/>
          <w:kern w:val="2"/>
          <w:sz w:val="32"/>
          <w:szCs w:val="32"/>
          <w:lang w:val="en-US" w:eastAsia="zh-CN" w:bidi="ar"/>
        </w:rPr>
        <w:t>772</w:t>
      </w:r>
      <w:r>
        <w:rPr>
          <w:rFonts w:hint="eastAsia" w:ascii="方正仿宋_GBK" w:hAnsi="方正仿宋_GBK" w:eastAsia="方正仿宋_GBK" w:cs="方正仿宋_GBK"/>
          <w:kern w:val="2"/>
          <w:sz w:val="32"/>
          <w:szCs w:val="32"/>
          <w:lang w:val="en-US" w:eastAsia="zh-CN" w:bidi="ar"/>
        </w:rPr>
        <w:t>人，发放资金</w:t>
      </w:r>
      <w:r>
        <w:rPr>
          <w:rFonts w:hint="default" w:ascii="Times New Roman" w:hAnsi="Times New Roman" w:eastAsia="方正仿宋_GBK" w:cs="Times New Roman"/>
          <w:kern w:val="2"/>
          <w:sz w:val="32"/>
          <w:szCs w:val="32"/>
          <w:lang w:val="en-US" w:eastAsia="zh-CN" w:bidi="ar"/>
        </w:rPr>
        <w:t>4.68</w:t>
      </w:r>
      <w:r>
        <w:rPr>
          <w:rFonts w:hint="eastAsia" w:ascii="方正仿宋_GBK" w:hAnsi="方正仿宋_GBK" w:eastAsia="方正仿宋_GBK" w:cs="方正仿宋_GBK"/>
          <w:kern w:val="2"/>
          <w:sz w:val="32"/>
          <w:szCs w:val="32"/>
          <w:lang w:val="en-US" w:eastAsia="zh-CN" w:bidi="ar"/>
        </w:rPr>
        <w:t>万元。农村部分计划生育家庭奖励扶助资金奖励扶助实行专款专用，专账核算。财务管理制度健全，执行情况良好。</w:t>
      </w:r>
    </w:p>
    <w:p w14:paraId="1EA1036F">
      <w:pPr>
        <w:keepNext w:val="0"/>
        <w:keepLines w:val="0"/>
        <w:widowControl w:val="0"/>
        <w:suppressLineNumbers w:val="0"/>
        <w:spacing w:before="0" w:beforeAutospacing="0" w:after="0" w:afterAutospacing="0" w:line="570" w:lineRule="exact"/>
        <w:ind w:right="0" w:firstLine="640" w:firstLineChars="200"/>
        <w:jc w:val="both"/>
        <w:rPr>
          <w:rFonts w:hint="eastAsia" w:ascii="Times New Roman" w:hAnsi="Times New Roman" w:eastAsia="方正仿宋_GBK" w:cs="Times New Roman"/>
          <w:kern w:val="2"/>
          <w:sz w:val="32"/>
          <w:szCs w:val="32"/>
        </w:rPr>
      </w:pPr>
      <w:r>
        <w:rPr>
          <w:rFonts w:hint="eastAsia" w:ascii="方正仿宋_GBK" w:hAnsi="方正仿宋_GBK" w:eastAsia="方正仿宋_GBK" w:cs="方正仿宋_GBK"/>
          <w:kern w:val="2"/>
          <w:sz w:val="32"/>
          <w:szCs w:val="32"/>
          <w:lang w:val="en-US" w:eastAsia="zh-CN" w:bidi="ar"/>
        </w:rPr>
        <w:t>（</w:t>
      </w:r>
      <w:r>
        <w:rPr>
          <w:rFonts w:hint="default" w:ascii="Times New Roman" w:hAnsi="Times New Roman" w:eastAsia="方正仿宋_GBK" w:cs="Times New Roman"/>
          <w:kern w:val="2"/>
          <w:sz w:val="32"/>
          <w:szCs w:val="32"/>
          <w:lang w:val="en-US" w:eastAsia="zh-CN" w:bidi="ar"/>
        </w:rPr>
        <w:t>3</w:t>
      </w:r>
      <w:r>
        <w:rPr>
          <w:rFonts w:hint="eastAsia" w:ascii="方正仿宋_GBK" w:hAnsi="方正仿宋_GBK" w:eastAsia="方正仿宋_GBK" w:cs="方正仿宋_GBK"/>
          <w:kern w:val="2"/>
          <w:sz w:val="32"/>
          <w:szCs w:val="32"/>
          <w:lang w:val="en-US" w:eastAsia="zh-CN" w:bidi="ar"/>
        </w:rPr>
        <w:t>）盐边县第二人民医院工程项目目标完成绩效分析。</w:t>
      </w:r>
    </w:p>
    <w:p w14:paraId="0EE20B9A">
      <w:pPr>
        <w:keepNext w:val="0"/>
        <w:keepLines w:val="0"/>
        <w:widowControl w:val="0"/>
        <w:suppressLineNumbers w:val="0"/>
        <w:spacing w:before="0" w:beforeAutospacing="0" w:after="0" w:afterAutospacing="0" w:line="570" w:lineRule="exact"/>
        <w:ind w:left="0" w:right="0"/>
        <w:jc w:val="both"/>
      </w:pPr>
      <w:r>
        <w:rPr>
          <w:rFonts w:hint="default" w:ascii="Times New Roman" w:hAnsi="Times New Roman" w:eastAsia="方正仿宋_GBK" w:cs="Times New Roman"/>
          <w:kern w:val="2"/>
          <w:sz w:val="32"/>
          <w:szCs w:val="32"/>
          <w:lang w:val="en-US" w:eastAsia="zh-CN" w:bidi="ar"/>
        </w:rPr>
        <w:t>2024</w:t>
      </w:r>
      <w:r>
        <w:rPr>
          <w:rFonts w:hint="eastAsia" w:ascii="方正仿宋_GBK" w:hAnsi="方正仿宋_GBK" w:eastAsia="方正仿宋_GBK" w:cs="方正仿宋_GBK"/>
          <w:kern w:val="2"/>
          <w:sz w:val="32"/>
          <w:szCs w:val="32"/>
          <w:lang w:val="en-US" w:eastAsia="zh-CN" w:bidi="ar"/>
        </w:rPr>
        <w:t>年，到位专项债券资金</w:t>
      </w:r>
      <w:r>
        <w:rPr>
          <w:rFonts w:hint="default" w:ascii="Times New Roman" w:hAnsi="Times New Roman" w:eastAsia="方正仿宋_GBK" w:cs="Times New Roman"/>
          <w:kern w:val="2"/>
          <w:sz w:val="32"/>
          <w:szCs w:val="32"/>
          <w:lang w:val="en-US" w:eastAsia="zh-CN" w:bidi="ar"/>
        </w:rPr>
        <w:t>7000</w:t>
      </w:r>
      <w:r>
        <w:rPr>
          <w:rFonts w:hint="eastAsia" w:ascii="方正仿宋_GBK" w:hAnsi="方正仿宋_GBK" w:eastAsia="方正仿宋_GBK" w:cs="方正仿宋_GBK"/>
          <w:kern w:val="2"/>
          <w:sz w:val="32"/>
          <w:szCs w:val="32"/>
          <w:lang w:val="en-US" w:eastAsia="zh-CN" w:bidi="ar"/>
        </w:rPr>
        <w:t>万元。该项目进行了盐边县第二人民医院门诊楼和医技楼建设施工，</w:t>
      </w:r>
      <w:r>
        <w:rPr>
          <w:rFonts w:hint="default" w:ascii="Times New Roman" w:hAnsi="Times New Roman" w:eastAsia="方正仿宋_GBK" w:cs="Times New Roman"/>
          <w:kern w:val="2"/>
          <w:sz w:val="32"/>
          <w:szCs w:val="32"/>
          <w:lang w:val="en-US" w:eastAsia="zh-CN" w:bidi="ar"/>
        </w:rPr>
        <w:t>2024</w:t>
      </w:r>
      <w:r>
        <w:rPr>
          <w:rFonts w:hint="eastAsia" w:ascii="方正仿宋_GBK" w:hAnsi="方正仿宋_GBK" w:eastAsia="方正仿宋_GBK" w:cs="方正仿宋_GBK"/>
          <w:kern w:val="2"/>
          <w:sz w:val="32"/>
          <w:szCs w:val="32"/>
          <w:lang w:val="en-US" w:eastAsia="zh-CN" w:bidi="ar"/>
        </w:rPr>
        <w:t>年</w:t>
      </w:r>
      <w:r>
        <w:rPr>
          <w:rFonts w:hint="default" w:ascii="Times New Roman" w:hAnsi="Times New Roman" w:eastAsia="方正仿宋_GBK" w:cs="Times New Roman"/>
          <w:kern w:val="2"/>
          <w:sz w:val="32"/>
          <w:szCs w:val="32"/>
          <w:lang w:val="en-US" w:eastAsia="zh-CN" w:bidi="ar"/>
        </w:rPr>
        <w:t>12</w:t>
      </w:r>
      <w:r>
        <w:rPr>
          <w:rFonts w:hint="eastAsia" w:ascii="方正仿宋_GBK" w:hAnsi="方正仿宋_GBK" w:eastAsia="方正仿宋_GBK" w:cs="方正仿宋_GBK"/>
          <w:kern w:val="2"/>
          <w:sz w:val="32"/>
          <w:szCs w:val="32"/>
          <w:lang w:val="en-US" w:eastAsia="zh-CN" w:bidi="ar"/>
        </w:rPr>
        <w:t>月</w:t>
      </w:r>
      <w:r>
        <w:rPr>
          <w:rFonts w:hint="default" w:ascii="Times New Roman" w:hAnsi="Times New Roman" w:eastAsia="方正仿宋_GBK" w:cs="Times New Roman"/>
          <w:kern w:val="2"/>
          <w:sz w:val="32"/>
          <w:szCs w:val="32"/>
          <w:lang w:val="en-US" w:eastAsia="zh-CN" w:bidi="ar"/>
        </w:rPr>
        <w:t>12</w:t>
      </w:r>
      <w:r>
        <w:rPr>
          <w:rFonts w:hint="eastAsia" w:ascii="方正仿宋_GBK" w:hAnsi="方正仿宋_GBK" w:eastAsia="方正仿宋_GBK" w:cs="方正仿宋_GBK"/>
          <w:kern w:val="2"/>
          <w:sz w:val="32"/>
          <w:szCs w:val="32"/>
          <w:lang w:val="en-US" w:eastAsia="zh-CN" w:bidi="ar"/>
        </w:rPr>
        <w:t>日主体工程封顶，按时间节点，全面完成了工作任务。资金按照专项债券实施方案全面完成支付，符合项目资金使用范围，支付依据合规合法，资金支付与预算相符。</w:t>
      </w:r>
    </w:p>
    <w:p w14:paraId="1EE05654">
      <w:pPr>
        <w:keepNext w:val="0"/>
        <w:keepLines w:val="0"/>
        <w:widowControl w:val="0"/>
        <w:suppressLineNumbers w:val="0"/>
        <w:spacing w:before="0" w:beforeAutospacing="0" w:after="0" w:afterAutospacing="0" w:line="570" w:lineRule="exact"/>
        <w:ind w:left="0" w:right="0" w:firstLine="640" w:firstLineChars="200"/>
        <w:jc w:val="both"/>
        <w:rPr>
          <w:rFonts w:hint="default" w:ascii="Times New Roman" w:hAnsi="Times New Roman" w:eastAsia="方正仿宋_GBK" w:cs="Times New Roman"/>
          <w:kern w:val="2"/>
          <w:sz w:val="32"/>
          <w:szCs w:val="32"/>
        </w:rPr>
      </w:pPr>
      <w:r>
        <w:rPr>
          <w:rFonts w:hint="eastAsia" w:ascii="楷体_GB2312" w:hAnsi="楷体_GB2312" w:eastAsia="楷体_GB2312" w:cs="楷体_GB2312"/>
          <w:kern w:val="0"/>
          <w:sz w:val="32"/>
          <w:szCs w:val="32"/>
          <w:shd w:val="clear" w:color="auto" w:fill="FFFFFF"/>
        </w:rPr>
        <w:t>2.</w:t>
      </w:r>
      <w:r>
        <w:rPr>
          <w:rFonts w:hint="eastAsia" w:ascii="楷体_GB2312" w:hAnsi="楷体_GB2312" w:eastAsia="楷体_GB2312" w:cs="楷体_GB2312"/>
          <w:kern w:val="0"/>
          <w:sz w:val="32"/>
          <w:szCs w:val="32"/>
          <w:shd w:val="clear" w:color="auto" w:fill="FFFFFF"/>
          <w:lang w:val="zh-CN"/>
        </w:rPr>
        <w:t>预算管理。</w:t>
      </w:r>
      <w:r>
        <w:rPr>
          <w:rFonts w:hint="default" w:ascii="Times New Roman" w:hAnsi="Times New Roman" w:eastAsia="方正仿宋_GBK" w:cs="Times New Roman"/>
          <w:kern w:val="2"/>
          <w:sz w:val="32"/>
          <w:szCs w:val="32"/>
          <w:lang w:val="en-US" w:eastAsia="zh-CN" w:bidi="ar"/>
        </w:rPr>
        <w:t>2024</w:t>
      </w:r>
      <w:r>
        <w:rPr>
          <w:rFonts w:hint="eastAsia" w:ascii="方正仿宋_GBK" w:hAnsi="方正仿宋_GBK" w:eastAsia="方正仿宋_GBK" w:cs="方正仿宋_GBK"/>
          <w:kern w:val="2"/>
          <w:sz w:val="32"/>
          <w:szCs w:val="32"/>
          <w:lang w:val="en-US" w:eastAsia="zh-CN" w:bidi="ar"/>
        </w:rPr>
        <w:t>年盐边县卫生健康局严格按要求编制年初部门预算，紧密围绕国家和地方卫生健康政策导向，基本涵盖了人员经费、公用经费以及各类项目经费等主要方面，目标合理、内容完整，便于对预算执行效果进行跟踪和考核。</w:t>
      </w:r>
    </w:p>
    <w:p w14:paraId="30E880B2">
      <w:pPr>
        <w:keepNext w:val="0"/>
        <w:keepLines w:val="0"/>
        <w:widowControl w:val="0"/>
        <w:suppressLineNumbers w:val="0"/>
        <w:spacing w:before="0" w:beforeAutospacing="0" w:after="0" w:afterAutospacing="0" w:line="570" w:lineRule="exact"/>
        <w:ind w:left="0" w:right="0" w:firstLine="640" w:firstLineChars="200"/>
        <w:jc w:val="both"/>
        <w:rPr>
          <w:rFonts w:hint="eastAsia" w:ascii="Times New Roman" w:hAnsi="Times New Roman" w:eastAsia="方正仿宋_GBK" w:cs="Times New Roman"/>
          <w:kern w:val="2"/>
          <w:sz w:val="32"/>
          <w:szCs w:val="32"/>
        </w:rPr>
      </w:pPr>
      <w:r>
        <w:rPr>
          <w:rFonts w:hint="eastAsia" w:ascii="方正仿宋_GBK" w:hAnsi="方正仿宋_GBK" w:eastAsia="方正仿宋_GBK" w:cs="方正仿宋_GBK"/>
          <w:kern w:val="2"/>
          <w:sz w:val="32"/>
          <w:szCs w:val="32"/>
          <w:lang w:val="en-US" w:eastAsia="zh-CN" w:bidi="ar"/>
        </w:rPr>
        <w:t>“三公经费”变动情况：盐边县卫生健康局及下属二级预算单位</w:t>
      </w:r>
      <w:r>
        <w:rPr>
          <w:rFonts w:hint="default" w:ascii="Times New Roman" w:hAnsi="Times New Roman" w:eastAsia="方正仿宋_GBK" w:cs="Times New Roman"/>
          <w:kern w:val="2"/>
          <w:sz w:val="32"/>
          <w:szCs w:val="32"/>
          <w:lang w:val="en-US" w:eastAsia="zh-CN" w:bidi="ar"/>
        </w:rPr>
        <w:t>2024</w:t>
      </w:r>
      <w:r>
        <w:rPr>
          <w:rFonts w:hint="eastAsia" w:ascii="方正仿宋_GBK" w:hAnsi="方正仿宋_GBK" w:eastAsia="方正仿宋_GBK" w:cs="方正仿宋_GBK"/>
          <w:kern w:val="2"/>
          <w:sz w:val="32"/>
          <w:szCs w:val="32"/>
          <w:lang w:val="en-US" w:eastAsia="zh-CN" w:bidi="ar"/>
        </w:rPr>
        <w:t>年“三公”经费预算执行</w:t>
      </w:r>
      <w:r>
        <w:rPr>
          <w:rFonts w:hint="eastAsia" w:ascii="Times New Roman" w:hAnsi="Times New Roman" w:eastAsia="方正仿宋_GBK" w:cs="Times New Roman"/>
          <w:kern w:val="2"/>
          <w:sz w:val="32"/>
          <w:szCs w:val="32"/>
          <w:lang w:val="en-US" w:eastAsia="zh-CN" w:bidi="ar"/>
        </w:rPr>
        <w:t>2.17万</w:t>
      </w:r>
      <w:r>
        <w:rPr>
          <w:rFonts w:hint="eastAsia" w:ascii="方正仿宋_GBK" w:hAnsi="方正仿宋_GBK" w:eastAsia="方正仿宋_GBK" w:cs="方正仿宋_GBK"/>
          <w:kern w:val="2"/>
          <w:sz w:val="32"/>
          <w:szCs w:val="32"/>
          <w:lang w:val="en-US" w:eastAsia="zh-CN" w:bidi="ar"/>
        </w:rPr>
        <w:t>元，与上年对比增加</w:t>
      </w:r>
      <w:r>
        <w:rPr>
          <w:rFonts w:hint="eastAsia" w:ascii="Times New Roman" w:hAnsi="Times New Roman" w:eastAsia="方正仿宋_GBK" w:cs="Times New Roman"/>
          <w:kern w:val="2"/>
          <w:sz w:val="32"/>
          <w:szCs w:val="32"/>
          <w:lang w:val="en-US" w:eastAsia="zh-CN" w:bidi="ar"/>
        </w:rPr>
        <w:t>1.37万</w:t>
      </w:r>
      <w:r>
        <w:rPr>
          <w:rFonts w:hint="eastAsia" w:ascii="方正仿宋_GBK" w:hAnsi="方正仿宋_GBK" w:eastAsia="方正仿宋_GBK" w:cs="方正仿宋_GBK"/>
          <w:kern w:val="2"/>
          <w:sz w:val="32"/>
          <w:szCs w:val="32"/>
          <w:lang w:val="en-US" w:eastAsia="zh-CN" w:bidi="ar"/>
        </w:rPr>
        <w:t>元，主要增加原因是公务用车运行维护费增加。盐边县卫生健康局</w:t>
      </w:r>
      <w:r>
        <w:rPr>
          <w:rFonts w:hint="default" w:ascii="Times New Roman" w:hAnsi="Times New Roman" w:eastAsia="方正仿宋_GBK" w:cs="Times New Roman"/>
          <w:kern w:val="2"/>
          <w:sz w:val="32"/>
          <w:szCs w:val="32"/>
          <w:lang w:val="en-US" w:eastAsia="zh-CN" w:bidi="ar"/>
        </w:rPr>
        <w:t>2024</w:t>
      </w:r>
      <w:r>
        <w:rPr>
          <w:rFonts w:hint="eastAsia" w:ascii="方正仿宋_GBK" w:hAnsi="方正仿宋_GBK" w:eastAsia="方正仿宋_GBK" w:cs="方正仿宋_GBK"/>
          <w:kern w:val="2"/>
          <w:sz w:val="32"/>
          <w:szCs w:val="32"/>
          <w:lang w:val="en-US" w:eastAsia="zh-CN" w:bidi="ar"/>
        </w:rPr>
        <w:t>年“三公经费”预算执行</w:t>
      </w:r>
      <w:r>
        <w:rPr>
          <w:rFonts w:hint="eastAsia" w:ascii="Times New Roman" w:hAnsi="Times New Roman" w:eastAsia="方正仿宋_GBK" w:cs="Times New Roman"/>
          <w:kern w:val="2"/>
          <w:sz w:val="32"/>
          <w:szCs w:val="32"/>
          <w:lang w:val="en-US" w:eastAsia="zh-CN" w:bidi="ar"/>
        </w:rPr>
        <w:t>0.64万</w:t>
      </w:r>
      <w:r>
        <w:rPr>
          <w:rFonts w:hint="eastAsia" w:ascii="方正仿宋_GBK" w:hAnsi="方正仿宋_GBK" w:eastAsia="方正仿宋_GBK" w:cs="方正仿宋_GBK"/>
          <w:kern w:val="2"/>
          <w:sz w:val="32"/>
          <w:szCs w:val="32"/>
          <w:lang w:val="en-US" w:eastAsia="zh-CN" w:bidi="ar"/>
        </w:rPr>
        <w:t>元，在</w:t>
      </w:r>
      <w:r>
        <w:rPr>
          <w:rFonts w:hint="default" w:ascii="Times New Roman" w:hAnsi="Times New Roman" w:eastAsia="方正仿宋_GBK" w:cs="Times New Roman"/>
          <w:kern w:val="2"/>
          <w:sz w:val="32"/>
          <w:szCs w:val="32"/>
          <w:lang w:val="en-US" w:eastAsia="zh-CN" w:bidi="ar"/>
        </w:rPr>
        <w:t>2023</w:t>
      </w:r>
      <w:r>
        <w:rPr>
          <w:rFonts w:hint="eastAsia" w:ascii="方正仿宋_GBK" w:hAnsi="方正仿宋_GBK" w:eastAsia="方正仿宋_GBK" w:cs="方正仿宋_GBK"/>
          <w:kern w:val="2"/>
          <w:sz w:val="32"/>
          <w:szCs w:val="32"/>
          <w:lang w:val="en-US" w:eastAsia="zh-CN" w:bidi="ar"/>
        </w:rPr>
        <w:t>年基础上压缩</w:t>
      </w:r>
      <w:r>
        <w:rPr>
          <w:rFonts w:hint="default" w:ascii="Times New Roman" w:hAnsi="Times New Roman" w:eastAsia="方正仿宋_GBK" w:cs="Times New Roman"/>
          <w:kern w:val="2"/>
          <w:sz w:val="32"/>
          <w:szCs w:val="32"/>
          <w:lang w:val="en-US" w:eastAsia="zh-CN" w:bidi="ar"/>
        </w:rPr>
        <w:t>20%</w:t>
      </w:r>
      <w:r>
        <w:rPr>
          <w:rFonts w:hint="eastAsia" w:ascii="方正仿宋_GBK" w:hAnsi="方正仿宋_GBK" w:eastAsia="方正仿宋_GBK" w:cs="方正仿宋_GBK"/>
          <w:kern w:val="2"/>
          <w:sz w:val="32"/>
          <w:szCs w:val="32"/>
          <w:lang w:val="en-US" w:eastAsia="zh-CN" w:bidi="ar"/>
        </w:rPr>
        <w:t>。</w:t>
      </w:r>
    </w:p>
    <w:p w14:paraId="781A94CB">
      <w:pPr>
        <w:keepNext w:val="0"/>
        <w:keepLines w:val="0"/>
        <w:widowControl w:val="0"/>
        <w:suppressLineNumbers w:val="0"/>
        <w:spacing w:before="0" w:beforeAutospacing="0" w:after="0" w:afterAutospacing="0" w:line="570" w:lineRule="exact"/>
        <w:ind w:left="0" w:right="0" w:firstLine="640" w:firstLineChars="200"/>
        <w:jc w:val="both"/>
        <w:rPr>
          <w:rFonts w:ascii="仿宋_GB2312" w:hAnsi="仿宋_GB2312" w:eastAsia="仿宋_GB2312" w:cs="仿宋_GB2312"/>
          <w:kern w:val="0"/>
          <w:sz w:val="32"/>
          <w:szCs w:val="32"/>
          <w:shd w:val="clear" w:color="auto" w:fill="FFFFFF"/>
          <w:lang w:val="zh-CN"/>
        </w:rPr>
      </w:pPr>
      <w:r>
        <w:rPr>
          <w:rFonts w:hint="eastAsia" w:ascii="方正仿宋_GBK" w:hAnsi="方正仿宋_GBK" w:eastAsia="方正仿宋_GBK" w:cs="方正仿宋_GBK"/>
          <w:kern w:val="2"/>
          <w:sz w:val="32"/>
          <w:szCs w:val="32"/>
          <w:lang w:val="en-US" w:eastAsia="zh-CN" w:bidi="ar"/>
        </w:rPr>
        <w:t>各预算项目资金严格按进度执行，年终无结余。盐边县卫生健康局针对</w:t>
      </w:r>
      <w:r>
        <w:rPr>
          <w:rFonts w:hint="default" w:ascii="Times New Roman" w:hAnsi="Times New Roman" w:eastAsia="方正仿宋_GBK" w:cs="Times New Roman"/>
          <w:kern w:val="2"/>
          <w:sz w:val="32"/>
          <w:szCs w:val="32"/>
          <w:lang w:val="en-US" w:eastAsia="zh-CN" w:bidi="ar"/>
        </w:rPr>
        <w:t>“</w:t>
      </w:r>
      <w:r>
        <w:rPr>
          <w:rFonts w:hint="eastAsia" w:ascii="方正仿宋_GBK" w:hAnsi="方正仿宋_GBK" w:eastAsia="方正仿宋_GBK" w:cs="方正仿宋_GBK"/>
          <w:kern w:val="2"/>
          <w:sz w:val="32"/>
          <w:szCs w:val="32"/>
          <w:lang w:val="en-US" w:eastAsia="zh-CN" w:bidi="ar"/>
        </w:rPr>
        <w:t>三公</w:t>
      </w:r>
      <w:r>
        <w:rPr>
          <w:rFonts w:hint="default" w:ascii="Times New Roman" w:hAnsi="Times New Roman" w:eastAsia="方正仿宋_GBK" w:cs="Times New Roman"/>
          <w:kern w:val="2"/>
          <w:sz w:val="32"/>
          <w:szCs w:val="32"/>
          <w:lang w:val="en-US" w:eastAsia="zh-CN" w:bidi="ar"/>
        </w:rPr>
        <w:t>”</w:t>
      </w:r>
      <w:r>
        <w:rPr>
          <w:rFonts w:hint="eastAsia" w:ascii="方正仿宋_GBK" w:hAnsi="方正仿宋_GBK" w:eastAsia="方正仿宋_GBK" w:cs="方正仿宋_GBK"/>
          <w:kern w:val="2"/>
          <w:sz w:val="32"/>
          <w:szCs w:val="32"/>
          <w:lang w:val="en-US" w:eastAsia="zh-CN" w:bidi="ar"/>
        </w:rPr>
        <w:t>经费、会议、培训、差旅等一般性支出，构建了全方位、多层次的严控体系，力求将每一分财政资金都用在刀刃上。</w:t>
      </w:r>
      <w:r>
        <w:rPr>
          <w:rFonts w:hint="default" w:ascii="Times New Roman" w:hAnsi="Times New Roman" w:eastAsia="方正仿宋_GBK" w:cs="Times New Roman"/>
          <w:kern w:val="2"/>
          <w:sz w:val="32"/>
          <w:szCs w:val="32"/>
          <w:lang w:val="en-US" w:eastAsia="zh-CN" w:bidi="ar"/>
        </w:rPr>
        <w:t>“</w:t>
      </w:r>
      <w:r>
        <w:rPr>
          <w:rFonts w:hint="eastAsia" w:ascii="方正仿宋_GBK" w:hAnsi="方正仿宋_GBK" w:eastAsia="方正仿宋_GBK" w:cs="方正仿宋_GBK"/>
          <w:kern w:val="2"/>
          <w:sz w:val="32"/>
          <w:szCs w:val="32"/>
          <w:lang w:val="en-US" w:eastAsia="zh-CN" w:bidi="ar"/>
        </w:rPr>
        <w:t>三公</w:t>
      </w:r>
      <w:r>
        <w:rPr>
          <w:rFonts w:hint="default" w:ascii="Times New Roman" w:hAnsi="Times New Roman" w:eastAsia="方正仿宋_GBK" w:cs="Times New Roman"/>
          <w:kern w:val="2"/>
          <w:sz w:val="32"/>
          <w:szCs w:val="32"/>
          <w:lang w:val="en-US" w:eastAsia="zh-CN" w:bidi="ar"/>
        </w:rPr>
        <w:t>”</w:t>
      </w:r>
      <w:r>
        <w:rPr>
          <w:rFonts w:hint="eastAsia" w:ascii="方正仿宋_GBK" w:hAnsi="方正仿宋_GBK" w:eastAsia="方正仿宋_GBK" w:cs="方正仿宋_GBK"/>
          <w:kern w:val="2"/>
          <w:sz w:val="32"/>
          <w:szCs w:val="32"/>
          <w:lang w:val="en-US" w:eastAsia="zh-CN" w:bidi="ar"/>
        </w:rPr>
        <w:t>经费严格落实申请审批制，精准管控。严控会议、培训数量，年初即统筹年度会议、培训计划，能合并的一律合并召开；控制会议规模和时长。差旅费管理，从出差审批到费用报销，全流程进行规范，确保每一笔差旅费都合理合规使用。但因卫生健康系统公务用车运行维护费、会议、培训增加，导致系统一般性支出增加。</w:t>
      </w:r>
    </w:p>
    <w:p w14:paraId="15A47044">
      <w:pPr>
        <w:keepNext w:val="0"/>
        <w:keepLines w:val="0"/>
        <w:widowControl w:val="0"/>
        <w:suppressLineNumbers w:val="0"/>
        <w:spacing w:before="0" w:beforeAutospacing="0" w:after="0" w:afterAutospacing="0" w:line="570" w:lineRule="exact"/>
        <w:ind w:left="0" w:right="0" w:firstLine="640" w:firstLineChars="200"/>
        <w:jc w:val="both"/>
        <w:rPr>
          <w:rFonts w:ascii="仿宋_GB2312" w:hAnsi="仿宋_GB2312" w:eastAsia="仿宋_GB2312" w:cs="仿宋_GB2312"/>
          <w:kern w:val="0"/>
          <w:sz w:val="32"/>
          <w:szCs w:val="32"/>
          <w:shd w:val="clear" w:color="auto" w:fill="FFFFFF"/>
          <w:lang w:val="zh-CN"/>
        </w:rPr>
      </w:pPr>
      <w:r>
        <w:rPr>
          <w:rFonts w:hint="eastAsia" w:ascii="楷体_GB2312" w:hAnsi="楷体_GB2312" w:eastAsia="楷体_GB2312" w:cs="楷体_GB2312"/>
          <w:kern w:val="0"/>
          <w:sz w:val="32"/>
          <w:szCs w:val="32"/>
          <w:shd w:val="clear" w:color="auto" w:fill="FFFFFF"/>
        </w:rPr>
        <w:t>3.</w:t>
      </w:r>
      <w:r>
        <w:rPr>
          <w:rFonts w:hint="eastAsia" w:ascii="楷体_GB2312" w:hAnsi="楷体_GB2312" w:eastAsia="楷体_GB2312" w:cs="楷体_GB2312"/>
          <w:kern w:val="0"/>
          <w:sz w:val="32"/>
          <w:szCs w:val="32"/>
          <w:shd w:val="clear" w:color="auto" w:fill="FFFFFF"/>
          <w:lang w:val="zh-CN"/>
        </w:rPr>
        <w:t>财务管理。</w:t>
      </w:r>
      <w:r>
        <w:rPr>
          <w:rFonts w:hint="eastAsia" w:ascii="方正仿宋_GBK" w:hAnsi="方正仿宋_GBK" w:eastAsia="方正仿宋_GBK" w:cs="方正仿宋_GBK"/>
          <w:kern w:val="2"/>
          <w:sz w:val="32"/>
          <w:szCs w:val="32"/>
          <w:lang w:val="en-US" w:eastAsia="zh-CN" w:bidi="ar"/>
        </w:rPr>
        <w:t>盐边县卫生健康局制定了内部财务管理制度、预算管理制度、收支管理制度、政府采购管理制度、资产管理制度、合同管理制度等内控管理制度并执行落实。财务岗位设置符合相关财务管理制度要求，职责权限明确，严格实施不相容岗位分离，资金拨付审批程序合规，财务核算及时，会计信息真实。</w:t>
      </w:r>
    </w:p>
    <w:p w14:paraId="7A933C4D">
      <w:pPr>
        <w:keepNext w:val="0"/>
        <w:keepLines w:val="0"/>
        <w:widowControl w:val="0"/>
        <w:suppressLineNumbers w:val="0"/>
        <w:spacing w:before="0" w:beforeAutospacing="0" w:after="0" w:afterAutospacing="0" w:line="570" w:lineRule="exact"/>
        <w:ind w:left="0" w:right="0" w:firstLine="640" w:firstLineChars="200"/>
        <w:jc w:val="both"/>
      </w:pPr>
      <w:r>
        <w:rPr>
          <w:rFonts w:hint="eastAsia" w:ascii="楷体_GB2312" w:hAnsi="楷体_GB2312" w:eastAsia="楷体_GB2312" w:cs="楷体_GB2312"/>
          <w:kern w:val="0"/>
          <w:sz w:val="32"/>
          <w:szCs w:val="32"/>
          <w:shd w:val="clear" w:color="auto" w:fill="FFFFFF"/>
        </w:rPr>
        <w:t>4.</w:t>
      </w:r>
      <w:r>
        <w:rPr>
          <w:rFonts w:hint="eastAsia" w:ascii="楷体_GB2312" w:hAnsi="楷体_GB2312" w:eastAsia="楷体_GB2312" w:cs="楷体_GB2312"/>
          <w:kern w:val="0"/>
          <w:sz w:val="32"/>
          <w:szCs w:val="32"/>
          <w:shd w:val="clear" w:color="auto" w:fill="FFFFFF"/>
          <w:lang w:val="zh-CN"/>
        </w:rPr>
        <w:t>资产管理。</w:t>
      </w:r>
      <w:r>
        <w:rPr>
          <w:rFonts w:hint="eastAsia" w:ascii="方正仿宋_GBK" w:hAnsi="方正仿宋_GBK" w:eastAsia="方正仿宋_GBK" w:cs="方正仿宋_GBK"/>
          <w:kern w:val="2"/>
          <w:sz w:val="32"/>
          <w:szCs w:val="32"/>
          <w:lang w:val="en-US" w:eastAsia="zh-CN" w:bidi="ar"/>
        </w:rPr>
        <w:t>资产配置严格按照资产配置标准和审批程序进行资产配置，新增资产及时登记入账，纳入单位资产管理信息系统进行动态管理。建立了资产使用管理制度，明确了资产使用责任，定期对资产进行清查盘点，确保资产安全完整。资产处置严格按照规定的程序和权限进行审批。</w:t>
      </w:r>
    </w:p>
    <w:p w14:paraId="30E2E326">
      <w:pPr>
        <w:keepNext w:val="0"/>
        <w:keepLines w:val="0"/>
        <w:widowControl w:val="0"/>
        <w:suppressLineNumbers w:val="0"/>
        <w:spacing w:before="0" w:beforeAutospacing="0" w:after="0" w:afterAutospacing="0" w:line="570" w:lineRule="exact"/>
        <w:ind w:left="0" w:right="0" w:firstLine="640" w:firstLineChars="200"/>
        <w:jc w:val="both"/>
        <w:rPr>
          <w:rFonts w:ascii="仿宋_GB2312" w:hAnsi="仿宋_GB2312" w:eastAsia="仿宋_GB2312" w:cs="仿宋_GB2312"/>
          <w:kern w:val="0"/>
          <w:sz w:val="32"/>
          <w:szCs w:val="32"/>
          <w:shd w:val="clear" w:color="auto" w:fill="FFFFFF"/>
          <w:lang w:val="zh-CN"/>
        </w:rPr>
      </w:pPr>
      <w:r>
        <w:rPr>
          <w:rFonts w:hint="eastAsia" w:ascii="楷体_GB2312" w:hAnsi="楷体_GB2312" w:eastAsia="楷体_GB2312" w:cs="楷体_GB2312"/>
          <w:kern w:val="0"/>
          <w:sz w:val="32"/>
          <w:szCs w:val="32"/>
          <w:shd w:val="clear" w:color="auto" w:fill="FFFFFF"/>
        </w:rPr>
        <w:t>5.</w:t>
      </w:r>
      <w:r>
        <w:rPr>
          <w:rFonts w:hint="eastAsia" w:ascii="楷体_GB2312" w:hAnsi="楷体_GB2312" w:eastAsia="楷体_GB2312" w:cs="楷体_GB2312"/>
          <w:kern w:val="0"/>
          <w:sz w:val="32"/>
          <w:szCs w:val="32"/>
          <w:shd w:val="clear" w:color="auto" w:fill="FFFFFF"/>
          <w:lang w:val="zh-CN"/>
        </w:rPr>
        <w:t>采购管理。</w:t>
      </w:r>
      <w:r>
        <w:rPr>
          <w:rFonts w:hint="eastAsia" w:ascii="方正仿宋_GBK" w:hAnsi="方正仿宋_GBK" w:eastAsia="方正仿宋_GBK" w:cs="方正仿宋_GBK"/>
          <w:kern w:val="2"/>
          <w:sz w:val="32"/>
          <w:szCs w:val="32"/>
          <w:lang w:val="en-US" w:eastAsia="zh-CN" w:bidi="ar"/>
        </w:rPr>
        <w:t>严格执行政府采购制度，按照政府采购目录和限额标准，规范开展政府采购活动。盐边县卫生健康局成立了政府采购工作领导小组，负责政府采购项目的决策和监督。</w:t>
      </w:r>
    </w:p>
    <w:p w14:paraId="0A0F9FEC">
      <w:pPr>
        <w:keepNext w:val="0"/>
        <w:keepLines w:val="0"/>
        <w:widowControl w:val="0"/>
        <w:suppressLineNumbers w:val="0"/>
        <w:spacing w:before="0" w:beforeAutospacing="0" w:after="0" w:afterAutospacing="0" w:line="570" w:lineRule="exact"/>
        <w:ind w:left="0" w:right="0" w:firstLine="643" w:firstLineChars="200"/>
        <w:jc w:val="both"/>
        <w:rPr>
          <w:rFonts w:hint="default" w:ascii="Times New Roman" w:hAnsi="Times New Roman" w:eastAsia="方正仿宋_GBK" w:cs="Times New Roman"/>
          <w:kern w:val="2"/>
          <w:sz w:val="32"/>
          <w:szCs w:val="32"/>
        </w:rPr>
      </w:pPr>
      <w:r>
        <w:rPr>
          <w:rFonts w:eastAsia="楷体_GB2312"/>
          <w:b/>
          <w:bCs/>
          <w:kern w:val="0"/>
          <w:sz w:val="32"/>
          <w:szCs w:val="32"/>
          <w:shd w:val="clear" w:color="auto" w:fill="FFFFFF"/>
          <w:lang w:val="zh-CN"/>
        </w:rPr>
        <w:t>（二）部门预算项目绩效分析。</w:t>
      </w:r>
      <w:r>
        <w:rPr>
          <w:rFonts w:hint="eastAsia" w:ascii="方正仿宋_GBK" w:hAnsi="方正仿宋_GBK" w:eastAsia="方正仿宋_GBK" w:cs="方正仿宋_GBK"/>
          <w:kern w:val="2"/>
          <w:sz w:val="32"/>
          <w:szCs w:val="32"/>
          <w:lang w:val="en-US" w:eastAsia="zh-CN" w:bidi="ar"/>
        </w:rPr>
        <w:t>常年项目绩效分析。该类项目总数</w:t>
      </w:r>
      <w:r>
        <w:rPr>
          <w:rFonts w:hint="default" w:ascii="Times New Roman" w:hAnsi="Times New Roman" w:eastAsia="方正仿宋_GBK" w:cs="Times New Roman"/>
          <w:kern w:val="2"/>
          <w:sz w:val="32"/>
          <w:szCs w:val="32"/>
          <w:lang w:val="en-US" w:eastAsia="zh-CN" w:bidi="ar"/>
        </w:rPr>
        <w:t>22</w:t>
      </w:r>
      <w:r>
        <w:rPr>
          <w:rFonts w:hint="eastAsia" w:ascii="方正仿宋_GBK" w:hAnsi="方正仿宋_GBK" w:eastAsia="方正仿宋_GBK" w:cs="方正仿宋_GBK"/>
          <w:kern w:val="2"/>
          <w:sz w:val="32"/>
          <w:szCs w:val="32"/>
          <w:lang w:val="en-US" w:eastAsia="zh-CN" w:bidi="ar"/>
        </w:rPr>
        <w:t>个，涉及预算总金额</w:t>
      </w:r>
      <w:r>
        <w:rPr>
          <w:rFonts w:hint="default" w:ascii="Times New Roman" w:hAnsi="Times New Roman" w:eastAsia="方正仿宋_GBK" w:cs="Times New Roman"/>
          <w:kern w:val="2"/>
          <w:sz w:val="32"/>
          <w:szCs w:val="32"/>
          <w:lang w:val="en-US" w:eastAsia="zh-CN" w:bidi="ar"/>
        </w:rPr>
        <w:t>4109.56</w:t>
      </w:r>
      <w:r>
        <w:rPr>
          <w:rFonts w:hint="eastAsia" w:ascii="方正仿宋_GBK" w:hAnsi="方正仿宋_GBK" w:eastAsia="方正仿宋_GBK" w:cs="方正仿宋_GBK"/>
          <w:kern w:val="2"/>
          <w:sz w:val="32"/>
          <w:szCs w:val="32"/>
          <w:lang w:val="en-US" w:eastAsia="zh-CN" w:bidi="ar"/>
        </w:rPr>
        <w:t>万元，</w:t>
      </w:r>
      <w:r>
        <w:rPr>
          <w:rFonts w:hint="default" w:ascii="Times New Roman" w:hAnsi="Times New Roman" w:eastAsia="方正仿宋_GBK" w:cs="Times New Roman"/>
          <w:kern w:val="2"/>
          <w:sz w:val="32"/>
          <w:szCs w:val="32"/>
          <w:lang w:val="en-US" w:eastAsia="zh-CN" w:bidi="ar"/>
        </w:rPr>
        <w:t>1—12</w:t>
      </w:r>
      <w:r>
        <w:rPr>
          <w:rFonts w:hint="eastAsia" w:ascii="方正仿宋_GBK" w:hAnsi="方正仿宋_GBK" w:eastAsia="方正仿宋_GBK" w:cs="方正仿宋_GBK"/>
          <w:kern w:val="2"/>
          <w:sz w:val="32"/>
          <w:szCs w:val="32"/>
          <w:lang w:val="en-US" w:eastAsia="zh-CN" w:bidi="ar"/>
        </w:rPr>
        <w:t>月预算执行总体进度为</w:t>
      </w:r>
      <w:r>
        <w:rPr>
          <w:rFonts w:hint="default" w:ascii="Times New Roman" w:hAnsi="Times New Roman" w:eastAsia="方正仿宋_GBK" w:cs="Times New Roman"/>
          <w:kern w:val="2"/>
          <w:sz w:val="32"/>
          <w:szCs w:val="32"/>
          <w:lang w:val="en-US" w:eastAsia="zh-CN" w:bidi="ar"/>
        </w:rPr>
        <w:t>91.26%</w:t>
      </w:r>
      <w:r>
        <w:rPr>
          <w:rFonts w:hint="eastAsia" w:ascii="方正仿宋_GBK" w:hAnsi="方正仿宋_GBK" w:eastAsia="方正仿宋_GBK" w:cs="方正仿宋_GBK"/>
          <w:kern w:val="2"/>
          <w:sz w:val="32"/>
          <w:szCs w:val="32"/>
          <w:lang w:val="en-US" w:eastAsia="zh-CN" w:bidi="ar"/>
        </w:rPr>
        <w:t>，其中：预算结余率大于</w:t>
      </w:r>
      <w:r>
        <w:rPr>
          <w:rFonts w:hint="default" w:ascii="Times New Roman" w:hAnsi="Times New Roman" w:eastAsia="方正仿宋_GBK" w:cs="Times New Roman"/>
          <w:kern w:val="2"/>
          <w:sz w:val="32"/>
          <w:szCs w:val="32"/>
          <w:lang w:val="en-US" w:eastAsia="zh-CN" w:bidi="ar"/>
        </w:rPr>
        <w:t>10%</w:t>
      </w:r>
      <w:r>
        <w:rPr>
          <w:rFonts w:hint="eastAsia" w:ascii="方正仿宋_GBK" w:hAnsi="方正仿宋_GBK" w:eastAsia="方正仿宋_GBK" w:cs="方正仿宋_GBK"/>
          <w:kern w:val="2"/>
          <w:sz w:val="32"/>
          <w:szCs w:val="32"/>
          <w:lang w:val="en-US" w:eastAsia="zh-CN" w:bidi="ar"/>
        </w:rPr>
        <w:t>的项目共计</w:t>
      </w:r>
      <w:r>
        <w:rPr>
          <w:rFonts w:hint="default" w:ascii="Times New Roman" w:hAnsi="Times New Roman" w:eastAsia="方正仿宋_GBK" w:cs="Times New Roman"/>
          <w:kern w:val="2"/>
          <w:sz w:val="32"/>
          <w:szCs w:val="32"/>
          <w:lang w:val="en-US" w:eastAsia="zh-CN" w:bidi="ar"/>
        </w:rPr>
        <w:t>4</w:t>
      </w:r>
      <w:r>
        <w:rPr>
          <w:rFonts w:hint="eastAsia" w:ascii="方正仿宋_GBK" w:hAnsi="方正仿宋_GBK" w:eastAsia="方正仿宋_GBK" w:cs="方正仿宋_GBK"/>
          <w:kern w:val="2"/>
          <w:sz w:val="32"/>
          <w:szCs w:val="32"/>
          <w:lang w:val="en-US" w:eastAsia="zh-CN" w:bidi="ar"/>
        </w:rPr>
        <w:t>个。</w:t>
      </w:r>
    </w:p>
    <w:p w14:paraId="24105B19">
      <w:pPr>
        <w:keepNext w:val="0"/>
        <w:keepLines w:val="0"/>
        <w:widowControl w:val="0"/>
        <w:suppressLineNumbers w:val="0"/>
        <w:spacing w:before="0" w:beforeAutospacing="0" w:after="0" w:afterAutospacing="0" w:line="570" w:lineRule="exact"/>
        <w:ind w:left="0" w:right="0" w:firstLine="640" w:firstLineChars="200"/>
        <w:jc w:val="both"/>
        <w:rPr>
          <w:rFonts w:hint="default" w:ascii="Times New Roman" w:hAnsi="Times New Roman" w:eastAsia="方正仿宋_GBK" w:cs="Times New Roman"/>
          <w:kern w:val="2"/>
          <w:sz w:val="32"/>
          <w:szCs w:val="32"/>
        </w:rPr>
      </w:pPr>
      <w:r>
        <w:rPr>
          <w:rFonts w:hint="eastAsia" w:ascii="方正仿宋_GBK" w:hAnsi="方正仿宋_GBK" w:eastAsia="方正仿宋_GBK" w:cs="方正仿宋_GBK"/>
          <w:kern w:val="2"/>
          <w:sz w:val="32"/>
          <w:szCs w:val="32"/>
          <w:lang w:val="en-US" w:eastAsia="zh-CN" w:bidi="ar"/>
        </w:rPr>
        <w:t>阶段（含一次性）项目绩效分析。该类项目总数</w:t>
      </w:r>
      <w:r>
        <w:rPr>
          <w:rFonts w:hint="default" w:ascii="Times New Roman" w:hAnsi="Times New Roman" w:eastAsia="方正仿宋_GBK" w:cs="Times New Roman"/>
          <w:kern w:val="2"/>
          <w:sz w:val="32"/>
          <w:szCs w:val="32"/>
          <w:lang w:val="en-US" w:eastAsia="zh-CN" w:bidi="ar"/>
        </w:rPr>
        <w:t>9</w:t>
      </w:r>
      <w:r>
        <w:rPr>
          <w:rFonts w:hint="eastAsia" w:ascii="方正仿宋_GBK" w:hAnsi="方正仿宋_GBK" w:eastAsia="方正仿宋_GBK" w:cs="方正仿宋_GBK"/>
          <w:kern w:val="2"/>
          <w:sz w:val="32"/>
          <w:szCs w:val="32"/>
          <w:lang w:val="en-US" w:eastAsia="zh-CN" w:bidi="ar"/>
        </w:rPr>
        <w:t>个，涉及预算总金额</w:t>
      </w:r>
      <w:r>
        <w:rPr>
          <w:rFonts w:hint="default" w:ascii="Times New Roman" w:hAnsi="Times New Roman" w:eastAsia="方正仿宋_GBK" w:cs="Times New Roman"/>
          <w:kern w:val="2"/>
          <w:sz w:val="32"/>
          <w:szCs w:val="32"/>
          <w:lang w:val="en-US" w:eastAsia="zh-CN" w:bidi="ar"/>
        </w:rPr>
        <w:t>7183.6</w:t>
      </w:r>
      <w:r>
        <w:rPr>
          <w:rFonts w:hint="eastAsia" w:ascii="方正仿宋_GBK" w:hAnsi="方正仿宋_GBK" w:eastAsia="方正仿宋_GBK" w:cs="方正仿宋_GBK"/>
          <w:kern w:val="2"/>
          <w:sz w:val="32"/>
          <w:szCs w:val="32"/>
          <w:lang w:val="en-US" w:eastAsia="zh-CN" w:bidi="ar"/>
        </w:rPr>
        <w:t>万元，</w:t>
      </w:r>
      <w:r>
        <w:rPr>
          <w:rFonts w:hint="default" w:ascii="Times New Roman" w:hAnsi="Times New Roman" w:eastAsia="方正仿宋_GBK" w:cs="Times New Roman"/>
          <w:kern w:val="2"/>
          <w:sz w:val="32"/>
          <w:szCs w:val="32"/>
          <w:lang w:val="en-US" w:eastAsia="zh-CN" w:bidi="ar"/>
        </w:rPr>
        <w:t>1—12</w:t>
      </w:r>
      <w:r>
        <w:rPr>
          <w:rFonts w:hint="eastAsia" w:ascii="方正仿宋_GBK" w:hAnsi="方正仿宋_GBK" w:eastAsia="方正仿宋_GBK" w:cs="方正仿宋_GBK"/>
          <w:kern w:val="2"/>
          <w:sz w:val="32"/>
          <w:szCs w:val="32"/>
          <w:lang w:val="en-US" w:eastAsia="zh-CN" w:bidi="ar"/>
        </w:rPr>
        <w:t>月预算执行总体进度为</w:t>
      </w:r>
      <w:r>
        <w:rPr>
          <w:rFonts w:hint="default" w:ascii="Times New Roman" w:hAnsi="Times New Roman" w:eastAsia="方正仿宋_GBK" w:cs="Times New Roman"/>
          <w:kern w:val="2"/>
          <w:sz w:val="32"/>
          <w:szCs w:val="32"/>
          <w:lang w:val="en-US" w:eastAsia="zh-CN" w:bidi="ar"/>
        </w:rPr>
        <w:t>100%</w:t>
      </w:r>
      <w:r>
        <w:rPr>
          <w:rFonts w:hint="eastAsia" w:ascii="方正仿宋_GBK" w:hAnsi="方正仿宋_GBK" w:eastAsia="方正仿宋_GBK" w:cs="方正仿宋_GBK"/>
          <w:kern w:val="2"/>
          <w:sz w:val="32"/>
          <w:szCs w:val="32"/>
          <w:lang w:val="en-US" w:eastAsia="zh-CN" w:bidi="ar"/>
        </w:rPr>
        <w:t>，其中：预算结余率大于</w:t>
      </w:r>
      <w:r>
        <w:rPr>
          <w:rFonts w:hint="default" w:ascii="Times New Roman" w:hAnsi="Times New Roman" w:eastAsia="方正仿宋_GBK" w:cs="Times New Roman"/>
          <w:kern w:val="2"/>
          <w:sz w:val="32"/>
          <w:szCs w:val="32"/>
          <w:lang w:val="en-US" w:eastAsia="zh-CN" w:bidi="ar"/>
        </w:rPr>
        <w:t>10%</w:t>
      </w:r>
      <w:r>
        <w:rPr>
          <w:rFonts w:hint="eastAsia" w:ascii="方正仿宋_GBK" w:hAnsi="方正仿宋_GBK" w:eastAsia="方正仿宋_GBK" w:cs="方正仿宋_GBK"/>
          <w:kern w:val="2"/>
          <w:sz w:val="32"/>
          <w:szCs w:val="32"/>
          <w:lang w:val="en-US" w:eastAsia="zh-CN" w:bidi="ar"/>
        </w:rPr>
        <w:t>的项目共计</w:t>
      </w:r>
      <w:r>
        <w:rPr>
          <w:rFonts w:hint="default" w:ascii="Times New Roman" w:hAnsi="Times New Roman" w:eastAsia="方正仿宋_GBK" w:cs="Times New Roman"/>
          <w:kern w:val="2"/>
          <w:sz w:val="32"/>
          <w:szCs w:val="32"/>
          <w:lang w:val="en-US" w:eastAsia="zh-CN" w:bidi="ar"/>
        </w:rPr>
        <w:t>0</w:t>
      </w:r>
      <w:r>
        <w:rPr>
          <w:rFonts w:hint="eastAsia" w:ascii="方正仿宋_GBK" w:hAnsi="方正仿宋_GBK" w:eastAsia="方正仿宋_GBK" w:cs="方正仿宋_GBK"/>
          <w:kern w:val="2"/>
          <w:sz w:val="32"/>
          <w:szCs w:val="32"/>
          <w:lang w:val="en-US" w:eastAsia="zh-CN" w:bidi="ar"/>
        </w:rPr>
        <w:t>个。</w:t>
      </w:r>
    </w:p>
    <w:p w14:paraId="58D8EA83">
      <w:pPr>
        <w:keepNext w:val="0"/>
        <w:keepLines w:val="0"/>
        <w:widowControl w:val="0"/>
        <w:suppressLineNumbers w:val="0"/>
        <w:spacing w:before="0" w:beforeAutospacing="0" w:after="0" w:afterAutospacing="0" w:line="570" w:lineRule="exact"/>
        <w:ind w:left="0" w:right="0" w:firstLine="640" w:firstLineChars="200"/>
        <w:jc w:val="both"/>
        <w:rPr>
          <w:rFonts w:hint="default" w:ascii="Times New Roman" w:hAnsi="Times New Roman" w:eastAsia="方正仿宋_GBK" w:cs="Times New Roman"/>
          <w:kern w:val="2"/>
          <w:sz w:val="32"/>
          <w:szCs w:val="32"/>
        </w:rPr>
      </w:pPr>
      <w:r>
        <w:rPr>
          <w:rFonts w:hint="default" w:ascii="Times New Roman" w:hAnsi="Times New Roman" w:eastAsia="方正仿宋_GBK" w:cs="Times New Roman"/>
          <w:kern w:val="2"/>
          <w:sz w:val="32"/>
          <w:szCs w:val="32"/>
          <w:lang w:val="en-US" w:eastAsia="zh-CN" w:bidi="ar"/>
        </w:rPr>
        <w:t>1.</w:t>
      </w:r>
      <w:r>
        <w:rPr>
          <w:rFonts w:hint="eastAsia" w:ascii="方正仿宋_GBK" w:hAnsi="方正仿宋_GBK" w:eastAsia="方正仿宋_GBK" w:cs="方正仿宋_GBK"/>
          <w:kern w:val="2"/>
          <w:sz w:val="32"/>
          <w:szCs w:val="32"/>
          <w:lang w:val="en-US" w:eastAsia="zh-CN" w:bidi="ar"/>
        </w:rPr>
        <w:t>项目决策。</w:t>
      </w:r>
    </w:p>
    <w:p w14:paraId="00A3C567">
      <w:pPr>
        <w:keepNext w:val="0"/>
        <w:keepLines w:val="0"/>
        <w:widowControl w:val="0"/>
        <w:suppressLineNumbers w:val="0"/>
        <w:spacing w:before="0" w:beforeAutospacing="0" w:after="0" w:afterAutospacing="0" w:line="570" w:lineRule="exact"/>
        <w:ind w:left="0" w:right="0" w:firstLine="640" w:firstLineChars="200"/>
        <w:jc w:val="both"/>
        <w:rPr>
          <w:rFonts w:hint="eastAsia" w:ascii="Times New Roman" w:hAnsi="Times New Roman" w:eastAsia="方正仿宋_GBK" w:cs="Times New Roman"/>
          <w:kern w:val="2"/>
          <w:sz w:val="32"/>
          <w:szCs w:val="32"/>
        </w:rPr>
      </w:pPr>
      <w:r>
        <w:rPr>
          <w:rFonts w:hint="eastAsia" w:ascii="方正仿宋_GBK" w:hAnsi="方正仿宋_GBK" w:eastAsia="方正仿宋_GBK" w:cs="方正仿宋_GBK"/>
          <w:kern w:val="2"/>
          <w:sz w:val="32"/>
          <w:szCs w:val="32"/>
          <w:lang w:val="en-US" w:eastAsia="zh-CN" w:bidi="ar"/>
        </w:rPr>
        <w:t>盐边县卫生健康局在决策程序方面，修订了《中共盐边县卫生健康局党组工作规则》《盐边县卫生健康局议事决策规则》等多项制度，同时指导下属医疗机构健全完善相关议事决策制度，项目决策过程中，能够较好地落实既定的决策程序。在设置绩效目标方面，与部门职责和发展规划紧密结合，大部分绩效目标设定较为明确，且具有可衡量性。在项目入库环节，建立了相对完善的审核流程。</w:t>
      </w:r>
    </w:p>
    <w:p w14:paraId="2CDEFF74">
      <w:pPr>
        <w:keepNext w:val="0"/>
        <w:keepLines w:val="0"/>
        <w:widowControl w:val="0"/>
        <w:suppressLineNumbers w:val="0"/>
        <w:spacing w:before="0" w:beforeAutospacing="0" w:after="0" w:afterAutospacing="0" w:line="570" w:lineRule="exact"/>
        <w:ind w:left="0" w:right="0" w:firstLine="640" w:firstLineChars="200"/>
        <w:jc w:val="both"/>
        <w:rPr>
          <w:rFonts w:hint="default" w:ascii="Times New Roman" w:hAnsi="Times New Roman" w:eastAsia="方正仿宋_GBK" w:cs="Times New Roman"/>
          <w:kern w:val="2"/>
          <w:sz w:val="32"/>
          <w:szCs w:val="32"/>
        </w:rPr>
      </w:pPr>
      <w:r>
        <w:rPr>
          <w:rFonts w:hint="default" w:ascii="Times New Roman" w:hAnsi="Times New Roman" w:eastAsia="方正仿宋_GBK" w:cs="Times New Roman"/>
          <w:kern w:val="2"/>
          <w:sz w:val="32"/>
          <w:szCs w:val="32"/>
          <w:lang w:val="en-US" w:eastAsia="zh-CN" w:bidi="ar"/>
        </w:rPr>
        <w:t>2.</w:t>
      </w:r>
      <w:r>
        <w:rPr>
          <w:rFonts w:hint="eastAsia" w:ascii="方正仿宋_GBK" w:hAnsi="方正仿宋_GBK" w:eastAsia="方正仿宋_GBK" w:cs="方正仿宋_GBK"/>
          <w:kern w:val="2"/>
          <w:sz w:val="32"/>
          <w:szCs w:val="32"/>
          <w:lang w:val="en-US" w:eastAsia="zh-CN" w:bidi="ar"/>
        </w:rPr>
        <w:t>项目执行。</w:t>
      </w:r>
    </w:p>
    <w:p w14:paraId="7FAF78DA">
      <w:pPr>
        <w:keepNext w:val="0"/>
        <w:keepLines w:val="0"/>
        <w:widowControl w:val="0"/>
        <w:suppressLineNumbers w:val="0"/>
        <w:spacing w:before="0" w:beforeAutospacing="0" w:after="0" w:afterAutospacing="0" w:line="570" w:lineRule="exact"/>
        <w:ind w:left="0" w:right="0" w:firstLine="640" w:firstLineChars="200"/>
        <w:jc w:val="both"/>
        <w:rPr>
          <w:rFonts w:hint="default" w:ascii="Times New Roman" w:hAnsi="Times New Roman" w:eastAsia="方正仿宋_GBK" w:cs="Times New Roman"/>
          <w:kern w:val="2"/>
          <w:sz w:val="32"/>
          <w:szCs w:val="32"/>
        </w:rPr>
      </w:pPr>
      <w:r>
        <w:rPr>
          <w:rFonts w:hint="eastAsia" w:ascii="方正仿宋_GBK" w:hAnsi="方正仿宋_GBK" w:eastAsia="方正仿宋_GBK" w:cs="方正仿宋_GBK"/>
          <w:kern w:val="2"/>
          <w:sz w:val="32"/>
          <w:szCs w:val="32"/>
          <w:lang w:val="en-US" w:eastAsia="zh-CN" w:bidi="ar"/>
        </w:rPr>
        <w:t>盐边县卫生健康局在项目资金使用上，整体能围绕绩效目标进行安排，资金执行保持与年初预算绩效目标保持一致，大部分项目达到预期目标。</w:t>
      </w:r>
    </w:p>
    <w:p w14:paraId="7F03813C">
      <w:pPr>
        <w:keepNext w:val="0"/>
        <w:keepLines w:val="0"/>
        <w:widowControl w:val="0"/>
        <w:suppressLineNumbers w:val="0"/>
        <w:spacing w:before="0" w:beforeAutospacing="0" w:after="0" w:afterAutospacing="0" w:line="570" w:lineRule="exact"/>
        <w:ind w:left="0" w:right="0" w:firstLine="640" w:firstLineChars="200"/>
        <w:jc w:val="both"/>
        <w:rPr>
          <w:rFonts w:hint="default" w:ascii="Times New Roman" w:hAnsi="Times New Roman" w:eastAsia="方正仿宋_GBK" w:cs="Times New Roman"/>
          <w:kern w:val="2"/>
          <w:sz w:val="32"/>
          <w:szCs w:val="32"/>
        </w:rPr>
      </w:pPr>
      <w:r>
        <w:rPr>
          <w:rFonts w:hint="default" w:ascii="Times New Roman" w:hAnsi="Times New Roman" w:eastAsia="方正仿宋_GBK" w:cs="Times New Roman"/>
          <w:kern w:val="2"/>
          <w:sz w:val="32"/>
          <w:szCs w:val="32"/>
          <w:lang w:val="en-US" w:eastAsia="zh-CN" w:bidi="ar"/>
        </w:rPr>
        <w:t>3.</w:t>
      </w:r>
      <w:r>
        <w:rPr>
          <w:rFonts w:hint="eastAsia" w:ascii="方正仿宋_GBK" w:hAnsi="方正仿宋_GBK" w:eastAsia="方正仿宋_GBK" w:cs="方正仿宋_GBK"/>
          <w:kern w:val="2"/>
          <w:sz w:val="32"/>
          <w:szCs w:val="32"/>
          <w:lang w:val="en-US" w:eastAsia="zh-CN" w:bidi="ar"/>
        </w:rPr>
        <w:t>目标实现。</w:t>
      </w:r>
    </w:p>
    <w:p w14:paraId="4DC3A389">
      <w:pPr>
        <w:keepNext w:val="0"/>
        <w:keepLines w:val="0"/>
        <w:widowControl w:val="0"/>
        <w:suppressLineNumbers w:val="0"/>
        <w:spacing w:before="0" w:beforeAutospacing="0" w:after="0" w:afterAutospacing="0" w:line="570" w:lineRule="exact"/>
        <w:ind w:left="0" w:right="0" w:firstLine="640" w:firstLineChars="200"/>
        <w:jc w:val="both"/>
        <w:rPr>
          <w:rFonts w:hint="eastAsia" w:ascii="Times New Roman" w:hAnsi="Times New Roman" w:eastAsia="方正仿宋_GBK" w:cs="Times New Roman"/>
          <w:kern w:val="2"/>
          <w:sz w:val="32"/>
          <w:szCs w:val="32"/>
        </w:rPr>
      </w:pPr>
      <w:r>
        <w:rPr>
          <w:rFonts w:hint="default" w:ascii="Times New Roman" w:hAnsi="Times New Roman" w:eastAsia="方正仿宋_GBK" w:cs="Times New Roman"/>
          <w:kern w:val="2"/>
          <w:sz w:val="32"/>
          <w:szCs w:val="32"/>
          <w:lang w:val="en-US" w:eastAsia="zh-CN" w:bidi="ar"/>
        </w:rPr>
        <w:t>2024</w:t>
      </w:r>
      <w:r>
        <w:rPr>
          <w:rFonts w:hint="eastAsia" w:ascii="方正仿宋_GBK" w:hAnsi="方正仿宋_GBK" w:eastAsia="方正仿宋_GBK" w:cs="方正仿宋_GBK"/>
          <w:kern w:val="2"/>
          <w:sz w:val="32"/>
          <w:szCs w:val="32"/>
          <w:lang w:val="en-US" w:eastAsia="zh-CN" w:bidi="ar"/>
        </w:rPr>
        <w:t>年预算项目绩效目标完成良好，大部分目标完成，不存在挤占、挪用、闲置资金情况，最大限度发挥了资金作用，服务对象满意率较高。</w:t>
      </w:r>
    </w:p>
    <w:p w14:paraId="61C8EB3F">
      <w:pPr>
        <w:keepNext w:val="0"/>
        <w:keepLines w:val="0"/>
        <w:widowControl w:val="0"/>
        <w:suppressLineNumbers w:val="0"/>
        <w:spacing w:before="0" w:beforeAutospacing="0" w:after="0" w:afterAutospacing="0" w:line="570" w:lineRule="exact"/>
        <w:ind w:left="0" w:right="0" w:firstLine="640" w:firstLineChars="200"/>
        <w:jc w:val="both"/>
        <w:rPr>
          <w:rFonts w:hint="default" w:ascii="Times New Roman" w:hAnsi="Times New Roman" w:eastAsia="方正仿宋_GBK" w:cs="Times New Roman"/>
          <w:kern w:val="2"/>
          <w:sz w:val="32"/>
          <w:szCs w:val="32"/>
        </w:rPr>
      </w:pPr>
      <w:r>
        <w:rPr>
          <w:rFonts w:hint="eastAsia" w:ascii="方正仿宋_GBK" w:hAnsi="方正仿宋_GBK" w:eastAsia="方正仿宋_GBK" w:cs="方正仿宋_GBK"/>
          <w:kern w:val="2"/>
          <w:sz w:val="32"/>
          <w:szCs w:val="32"/>
          <w:lang w:val="en-US" w:eastAsia="zh-CN" w:bidi="ar"/>
        </w:rPr>
        <w:t>（</w:t>
      </w:r>
      <w:r>
        <w:rPr>
          <w:rFonts w:hint="default" w:ascii="Times New Roman" w:hAnsi="Times New Roman" w:eastAsia="方正仿宋_GBK" w:cs="Times New Roman"/>
          <w:kern w:val="2"/>
          <w:sz w:val="32"/>
          <w:szCs w:val="32"/>
          <w:lang w:val="en-US" w:eastAsia="zh-CN" w:bidi="ar"/>
        </w:rPr>
        <w:t>1</w:t>
      </w:r>
      <w:r>
        <w:rPr>
          <w:rFonts w:hint="eastAsia" w:ascii="方正仿宋_GBK" w:hAnsi="方正仿宋_GBK" w:eastAsia="方正仿宋_GBK" w:cs="方正仿宋_GBK"/>
          <w:kern w:val="2"/>
          <w:sz w:val="32"/>
          <w:szCs w:val="32"/>
          <w:lang w:val="en-US" w:eastAsia="zh-CN" w:bidi="ar"/>
        </w:rPr>
        <w:t>）推进医疗卫生改革提质增效。明确“</w:t>
      </w:r>
      <w:r>
        <w:rPr>
          <w:rFonts w:hint="default" w:ascii="Times New Roman" w:hAnsi="Times New Roman" w:eastAsia="方正仿宋_GBK" w:cs="Times New Roman"/>
          <w:kern w:val="2"/>
          <w:sz w:val="32"/>
          <w:szCs w:val="32"/>
          <w:lang w:val="en-US" w:eastAsia="zh-CN" w:bidi="ar"/>
        </w:rPr>
        <w:t>123X</w:t>
      </w:r>
      <w:r>
        <w:rPr>
          <w:rFonts w:hint="eastAsia" w:ascii="方正仿宋_GBK" w:hAnsi="方正仿宋_GBK" w:eastAsia="方正仿宋_GBK" w:cs="方正仿宋_GBK"/>
          <w:kern w:val="2"/>
          <w:sz w:val="32"/>
          <w:szCs w:val="32"/>
          <w:lang w:val="en-US" w:eastAsia="zh-CN" w:bidi="ar"/>
        </w:rPr>
        <w:t>”医疗卫生服务体系，成立医共体党务行政、医疗管理等“十大管理中心”及运行工作专班，制定县域医共体建设任务清单，从</w:t>
      </w:r>
      <w:r>
        <w:rPr>
          <w:rFonts w:hint="default" w:ascii="Times New Roman" w:hAnsi="Times New Roman" w:eastAsia="方正仿宋_GBK" w:cs="Times New Roman"/>
          <w:kern w:val="2"/>
          <w:sz w:val="32"/>
          <w:szCs w:val="32"/>
          <w:lang w:val="en-US" w:eastAsia="zh-CN" w:bidi="ar"/>
        </w:rPr>
        <w:t>“</w:t>
      </w:r>
      <w:r>
        <w:rPr>
          <w:rFonts w:hint="eastAsia" w:ascii="方正仿宋_GBK" w:hAnsi="方正仿宋_GBK" w:eastAsia="方正仿宋_GBK" w:cs="方正仿宋_GBK"/>
          <w:kern w:val="2"/>
          <w:sz w:val="32"/>
          <w:szCs w:val="32"/>
          <w:lang w:val="en-US" w:eastAsia="zh-CN" w:bidi="ar"/>
        </w:rPr>
        <w:t>架构、管理、利益、服务、发展、责任</w:t>
      </w:r>
      <w:r>
        <w:rPr>
          <w:rFonts w:hint="default" w:ascii="Times New Roman" w:hAnsi="Times New Roman" w:eastAsia="方正仿宋_GBK" w:cs="Times New Roman"/>
          <w:kern w:val="2"/>
          <w:sz w:val="32"/>
          <w:szCs w:val="32"/>
          <w:lang w:val="en-US" w:eastAsia="zh-CN" w:bidi="ar"/>
        </w:rPr>
        <w:t>”</w:t>
      </w:r>
      <w:r>
        <w:rPr>
          <w:rFonts w:hint="eastAsia" w:ascii="方正仿宋_GBK" w:hAnsi="方正仿宋_GBK" w:eastAsia="方正仿宋_GBK" w:cs="方正仿宋_GBK"/>
          <w:kern w:val="2"/>
          <w:sz w:val="32"/>
          <w:szCs w:val="32"/>
          <w:lang w:val="en-US" w:eastAsia="zh-CN" w:bidi="ar"/>
        </w:rPr>
        <w:t>六个方面细化</w:t>
      </w:r>
      <w:r>
        <w:rPr>
          <w:rFonts w:hint="default" w:ascii="Times New Roman" w:hAnsi="Times New Roman" w:eastAsia="方正仿宋_GBK" w:cs="Times New Roman"/>
          <w:kern w:val="2"/>
          <w:sz w:val="32"/>
          <w:szCs w:val="32"/>
          <w:lang w:val="en-US" w:eastAsia="zh-CN" w:bidi="ar"/>
        </w:rPr>
        <w:t>“</w:t>
      </w:r>
      <w:r>
        <w:rPr>
          <w:rFonts w:hint="eastAsia" w:ascii="方正仿宋_GBK" w:hAnsi="方正仿宋_GBK" w:eastAsia="方正仿宋_GBK" w:cs="方正仿宋_GBK"/>
          <w:kern w:val="2"/>
          <w:sz w:val="32"/>
          <w:szCs w:val="32"/>
          <w:lang w:val="en-US" w:eastAsia="zh-CN" w:bidi="ar"/>
        </w:rPr>
        <w:t>八个统一</w:t>
      </w:r>
      <w:r>
        <w:rPr>
          <w:rFonts w:hint="default" w:ascii="Times New Roman" w:hAnsi="Times New Roman" w:eastAsia="方正仿宋_GBK" w:cs="Times New Roman"/>
          <w:kern w:val="2"/>
          <w:sz w:val="32"/>
          <w:szCs w:val="32"/>
          <w:lang w:val="en-US" w:eastAsia="zh-CN" w:bidi="ar"/>
        </w:rPr>
        <w:t>”</w:t>
      </w:r>
      <w:r>
        <w:rPr>
          <w:rFonts w:hint="eastAsia" w:ascii="方正仿宋_GBK" w:hAnsi="方正仿宋_GBK" w:eastAsia="方正仿宋_GBK" w:cs="方正仿宋_GBK"/>
          <w:kern w:val="2"/>
          <w:sz w:val="32"/>
          <w:szCs w:val="32"/>
          <w:lang w:val="en-US" w:eastAsia="zh-CN" w:bidi="ar"/>
        </w:rPr>
        <w:t>改革，优化医共体党委领导班子，加快推进县医院、县第二人民医院整合运行。</w:t>
      </w:r>
    </w:p>
    <w:p w14:paraId="469F28B3">
      <w:pPr>
        <w:keepNext w:val="0"/>
        <w:keepLines w:val="0"/>
        <w:widowControl w:val="0"/>
        <w:suppressLineNumbers w:val="0"/>
        <w:spacing w:before="0" w:beforeAutospacing="0" w:after="0" w:afterAutospacing="0" w:line="570" w:lineRule="exact"/>
        <w:ind w:left="0" w:right="0" w:firstLine="640" w:firstLineChars="200"/>
        <w:jc w:val="both"/>
        <w:rPr>
          <w:rFonts w:hint="default" w:ascii="Times New Roman" w:hAnsi="Times New Roman" w:eastAsia="方正仿宋_GBK" w:cs="Times New Roman"/>
          <w:kern w:val="2"/>
          <w:sz w:val="32"/>
          <w:szCs w:val="32"/>
        </w:rPr>
      </w:pPr>
      <w:r>
        <w:rPr>
          <w:rFonts w:hint="eastAsia" w:ascii="方正仿宋_GBK" w:hAnsi="方正仿宋_GBK" w:eastAsia="方正仿宋_GBK" w:cs="方正仿宋_GBK"/>
          <w:kern w:val="2"/>
          <w:sz w:val="32"/>
          <w:szCs w:val="32"/>
          <w:lang w:val="en-US" w:eastAsia="zh-CN" w:bidi="ar"/>
        </w:rPr>
        <w:t>（</w:t>
      </w:r>
      <w:r>
        <w:rPr>
          <w:rFonts w:hint="default" w:ascii="Times New Roman" w:hAnsi="Times New Roman" w:eastAsia="方正仿宋_GBK" w:cs="Times New Roman"/>
          <w:kern w:val="2"/>
          <w:sz w:val="32"/>
          <w:szCs w:val="32"/>
          <w:lang w:val="en-US" w:eastAsia="zh-CN" w:bidi="ar"/>
        </w:rPr>
        <w:t>2</w:t>
      </w:r>
      <w:r>
        <w:rPr>
          <w:rFonts w:hint="eastAsia" w:ascii="方正仿宋_GBK" w:hAnsi="方正仿宋_GBK" w:eastAsia="方正仿宋_GBK" w:cs="方正仿宋_GBK"/>
          <w:kern w:val="2"/>
          <w:sz w:val="32"/>
          <w:szCs w:val="32"/>
          <w:lang w:val="en-US" w:eastAsia="zh-CN" w:bidi="ar"/>
        </w:rPr>
        <w:t>）推动优质医疗资源扩容布局。主动融入城市医联体建设，深化县中医院脾胃科、骨伤科省级重点专科建设内涵，将县医院内科、骨科和县中医院康复医学科（中医）纳入县级临床重点专科建设项目，完成县中医院体检科、血透室等学科建设。包装储备重点项目</w:t>
      </w:r>
      <w:r>
        <w:rPr>
          <w:rFonts w:hint="default" w:ascii="Times New Roman" w:hAnsi="Times New Roman" w:eastAsia="方正仿宋_GBK" w:cs="Times New Roman"/>
          <w:kern w:val="2"/>
          <w:sz w:val="32"/>
          <w:szCs w:val="32"/>
          <w:lang w:val="en-US" w:eastAsia="zh-CN" w:bidi="ar"/>
        </w:rPr>
        <w:t>6</w:t>
      </w:r>
      <w:r>
        <w:rPr>
          <w:rFonts w:hint="eastAsia" w:ascii="方正仿宋_GBK" w:hAnsi="方正仿宋_GBK" w:eastAsia="方正仿宋_GBK" w:cs="方正仿宋_GBK"/>
          <w:kern w:val="2"/>
          <w:sz w:val="32"/>
          <w:szCs w:val="32"/>
          <w:lang w:val="en-US" w:eastAsia="zh-CN" w:bidi="ar"/>
        </w:rPr>
        <w:t>个，争取专项债</w:t>
      </w:r>
      <w:r>
        <w:rPr>
          <w:rFonts w:hint="default" w:ascii="Times New Roman" w:hAnsi="Times New Roman" w:eastAsia="方正仿宋_GBK" w:cs="Times New Roman"/>
          <w:kern w:val="2"/>
          <w:sz w:val="32"/>
          <w:szCs w:val="32"/>
          <w:lang w:val="en-US" w:eastAsia="zh-CN" w:bidi="ar"/>
        </w:rPr>
        <w:t>4.6</w:t>
      </w:r>
      <w:r>
        <w:rPr>
          <w:rFonts w:hint="eastAsia" w:ascii="方正仿宋_GBK" w:hAnsi="方正仿宋_GBK" w:eastAsia="方正仿宋_GBK" w:cs="方正仿宋_GBK"/>
          <w:kern w:val="2"/>
          <w:sz w:val="32"/>
          <w:szCs w:val="32"/>
          <w:lang w:val="en-US" w:eastAsia="zh-CN" w:bidi="ar"/>
        </w:rPr>
        <w:t>亿元，启动县第二人民医院建设一期、二期、县中医院改扩建</w:t>
      </w:r>
      <w:r>
        <w:rPr>
          <w:rFonts w:hint="default" w:ascii="Times New Roman" w:hAnsi="Times New Roman" w:eastAsia="方正仿宋_GBK" w:cs="Times New Roman"/>
          <w:kern w:val="2"/>
          <w:sz w:val="32"/>
          <w:szCs w:val="32"/>
          <w:lang w:val="en-US" w:eastAsia="zh-CN" w:bidi="ar"/>
        </w:rPr>
        <w:t>3</w:t>
      </w:r>
      <w:r>
        <w:rPr>
          <w:rFonts w:hint="eastAsia" w:ascii="方正仿宋_GBK" w:hAnsi="方正仿宋_GBK" w:eastAsia="方正仿宋_GBK" w:cs="方正仿宋_GBK"/>
          <w:kern w:val="2"/>
          <w:sz w:val="32"/>
          <w:szCs w:val="32"/>
          <w:lang w:val="en-US" w:eastAsia="zh-CN" w:bidi="ar"/>
        </w:rPr>
        <w:t>个项目。实施“基层基础设施补短”三年行动，永兴中心卫生院</w:t>
      </w:r>
      <w:r>
        <w:rPr>
          <w:rFonts w:hint="default" w:ascii="Times New Roman" w:hAnsi="Times New Roman" w:eastAsia="方正仿宋_GBK" w:cs="Times New Roman"/>
          <w:kern w:val="2"/>
          <w:sz w:val="32"/>
          <w:szCs w:val="32"/>
          <w:lang w:val="en-US" w:eastAsia="zh-CN" w:bidi="ar"/>
        </w:rPr>
        <w:t>DR</w:t>
      </w:r>
      <w:r>
        <w:rPr>
          <w:rFonts w:hint="eastAsia" w:ascii="方正仿宋_GBK" w:hAnsi="方正仿宋_GBK" w:eastAsia="方正仿宋_GBK" w:cs="方正仿宋_GBK"/>
          <w:kern w:val="2"/>
          <w:sz w:val="32"/>
          <w:szCs w:val="32"/>
          <w:lang w:val="en-US" w:eastAsia="zh-CN" w:bidi="ar"/>
        </w:rPr>
        <w:t>设备更新成功纳入省县域医共体设备更新建设项目。</w:t>
      </w:r>
    </w:p>
    <w:p w14:paraId="25752789">
      <w:pPr>
        <w:keepNext w:val="0"/>
        <w:keepLines w:val="0"/>
        <w:widowControl w:val="0"/>
        <w:suppressLineNumbers w:val="0"/>
        <w:spacing w:before="0" w:beforeAutospacing="0" w:after="0" w:afterAutospacing="0" w:line="570" w:lineRule="exact"/>
        <w:ind w:left="0" w:right="0" w:firstLine="640" w:firstLineChars="200"/>
        <w:jc w:val="both"/>
        <w:rPr>
          <w:rFonts w:hint="eastAsia" w:ascii="Times New Roman" w:hAnsi="Times New Roman" w:eastAsia="方正仿宋_GBK" w:cs="Times New Roman"/>
          <w:kern w:val="2"/>
          <w:sz w:val="32"/>
          <w:szCs w:val="32"/>
        </w:rPr>
      </w:pPr>
      <w:r>
        <w:rPr>
          <w:rFonts w:hint="eastAsia" w:ascii="方正仿宋_GBK" w:hAnsi="方正仿宋_GBK" w:eastAsia="方正仿宋_GBK" w:cs="方正仿宋_GBK"/>
          <w:kern w:val="2"/>
          <w:sz w:val="32"/>
          <w:szCs w:val="32"/>
          <w:lang w:val="en-US" w:eastAsia="zh-CN" w:bidi="ar"/>
        </w:rPr>
        <w:t>（</w:t>
      </w:r>
      <w:r>
        <w:rPr>
          <w:rFonts w:hint="default" w:ascii="Times New Roman" w:hAnsi="Times New Roman" w:eastAsia="方正仿宋_GBK" w:cs="Times New Roman"/>
          <w:kern w:val="2"/>
          <w:sz w:val="32"/>
          <w:szCs w:val="32"/>
          <w:lang w:val="en-US" w:eastAsia="zh-CN" w:bidi="ar"/>
        </w:rPr>
        <w:t>3</w:t>
      </w:r>
      <w:r>
        <w:rPr>
          <w:rFonts w:hint="eastAsia" w:ascii="方正仿宋_GBK" w:hAnsi="方正仿宋_GBK" w:eastAsia="方正仿宋_GBK" w:cs="方正仿宋_GBK"/>
          <w:kern w:val="2"/>
          <w:sz w:val="32"/>
          <w:szCs w:val="32"/>
          <w:lang w:val="en-US" w:eastAsia="zh-CN" w:bidi="ar"/>
        </w:rPr>
        <w:t>）促进中医药传承创新发展。与成都中医药大学国医馆成功签约，引进田小平、黄映君、凌启云等专家教授，建立博士工作站、名中医工作室，打造全国基层名老中医传承工作室、培养民族医药传承人，创建“大笮国医馆”中医品牌。编制中草药产业发展规划，盐边桑椹在乌蒙山产业发展大会、四川中医药港澳行推荐会上展出。</w:t>
      </w:r>
    </w:p>
    <w:p w14:paraId="47ECA7A5">
      <w:pPr>
        <w:keepNext w:val="0"/>
        <w:keepLines w:val="0"/>
        <w:widowControl w:val="0"/>
        <w:suppressLineNumbers w:val="0"/>
        <w:spacing w:before="0" w:beforeAutospacing="0" w:after="0" w:afterAutospacing="0" w:line="570" w:lineRule="exact"/>
        <w:ind w:left="0" w:right="0" w:firstLine="640" w:firstLineChars="200"/>
        <w:jc w:val="both"/>
        <w:rPr>
          <w:rFonts w:hint="eastAsia" w:ascii="Times New Roman" w:hAnsi="Times New Roman" w:eastAsia="方正仿宋_GBK" w:cs="Times New Roman"/>
          <w:kern w:val="2"/>
          <w:sz w:val="32"/>
          <w:szCs w:val="32"/>
        </w:rPr>
      </w:pPr>
      <w:r>
        <w:rPr>
          <w:rFonts w:hint="eastAsia" w:ascii="方正仿宋_GBK" w:hAnsi="方正仿宋_GBK" w:eastAsia="方正仿宋_GBK" w:cs="方正仿宋_GBK"/>
          <w:kern w:val="2"/>
          <w:sz w:val="32"/>
          <w:szCs w:val="32"/>
          <w:lang w:val="en-US" w:eastAsia="zh-CN" w:bidi="ar"/>
        </w:rPr>
        <w:t>（</w:t>
      </w:r>
      <w:r>
        <w:rPr>
          <w:rFonts w:hint="default" w:ascii="Times New Roman" w:hAnsi="Times New Roman" w:eastAsia="方正仿宋_GBK" w:cs="Times New Roman"/>
          <w:kern w:val="2"/>
          <w:sz w:val="32"/>
          <w:szCs w:val="32"/>
          <w:lang w:val="en-US" w:eastAsia="zh-CN" w:bidi="ar"/>
        </w:rPr>
        <w:t>4</w:t>
      </w:r>
      <w:r>
        <w:rPr>
          <w:rFonts w:hint="eastAsia" w:ascii="方正仿宋_GBK" w:hAnsi="方正仿宋_GBK" w:eastAsia="方正仿宋_GBK" w:cs="方正仿宋_GBK"/>
          <w:kern w:val="2"/>
          <w:sz w:val="32"/>
          <w:szCs w:val="32"/>
          <w:lang w:val="en-US" w:eastAsia="zh-CN" w:bidi="ar"/>
        </w:rPr>
        <w:t>）疾控体系改革稳步推进。加快推进疾控局实体化运行，把人员定下来、队伍建起来、机构转起来，配齐配强疾控力量。持续深化医防融合协同，艾滋病新报告病例数连续</w:t>
      </w:r>
      <w:r>
        <w:rPr>
          <w:rFonts w:hint="default" w:ascii="Times New Roman" w:hAnsi="Times New Roman" w:eastAsia="方正仿宋_GBK" w:cs="Times New Roman"/>
          <w:kern w:val="2"/>
          <w:sz w:val="32"/>
          <w:szCs w:val="32"/>
          <w:lang w:val="en-US" w:eastAsia="zh-CN" w:bidi="ar"/>
        </w:rPr>
        <w:t>3</w:t>
      </w:r>
      <w:r>
        <w:rPr>
          <w:rFonts w:hint="eastAsia" w:ascii="方正仿宋_GBK" w:hAnsi="方正仿宋_GBK" w:eastAsia="方正仿宋_GBK" w:cs="方正仿宋_GBK"/>
          <w:kern w:val="2"/>
          <w:sz w:val="32"/>
          <w:szCs w:val="32"/>
          <w:lang w:val="en-US" w:eastAsia="zh-CN" w:bidi="ar"/>
        </w:rPr>
        <w:t>年下降，血吸虫病达到消除标准，</w:t>
      </w:r>
      <w:r>
        <w:rPr>
          <w:rFonts w:hint="default" w:ascii="Times New Roman" w:hAnsi="Times New Roman" w:eastAsia="方正仿宋_GBK" w:cs="Times New Roman"/>
          <w:kern w:val="2"/>
          <w:sz w:val="32"/>
          <w:szCs w:val="32"/>
          <w:lang w:val="en-US" w:eastAsia="zh-CN" w:bidi="ar"/>
        </w:rPr>
        <w:t>188</w:t>
      </w:r>
      <w:r>
        <w:rPr>
          <w:rFonts w:hint="eastAsia" w:ascii="方正仿宋_GBK" w:hAnsi="方正仿宋_GBK" w:eastAsia="方正仿宋_GBK" w:cs="方正仿宋_GBK"/>
          <w:kern w:val="2"/>
          <w:sz w:val="32"/>
          <w:szCs w:val="32"/>
          <w:lang w:val="en-US" w:eastAsia="zh-CN" w:bidi="ar"/>
        </w:rPr>
        <w:t>起传染病及时响应率</w:t>
      </w:r>
      <w:r>
        <w:rPr>
          <w:rFonts w:hint="default" w:ascii="Times New Roman" w:hAnsi="Times New Roman" w:eastAsia="方正仿宋_GBK" w:cs="Times New Roman"/>
          <w:kern w:val="2"/>
          <w:sz w:val="32"/>
          <w:szCs w:val="32"/>
          <w:lang w:val="en-US" w:eastAsia="zh-CN" w:bidi="ar"/>
        </w:rPr>
        <w:t>100%</w:t>
      </w:r>
      <w:r>
        <w:rPr>
          <w:rFonts w:hint="eastAsia" w:ascii="方正仿宋_GBK" w:hAnsi="方正仿宋_GBK" w:eastAsia="方正仿宋_GBK" w:cs="方正仿宋_GBK"/>
          <w:kern w:val="2"/>
          <w:sz w:val="32"/>
          <w:szCs w:val="32"/>
          <w:lang w:val="en-US" w:eastAsia="zh-CN" w:bidi="ar"/>
        </w:rPr>
        <w:t>，重大疾病防治有力有效。将渔门中学校第一食堂、新九镇中心学校食堂、县人民医院食堂、红格温泉假日酒店纳入营养健康食堂创建名单，力争年底通过市级复审。</w:t>
      </w:r>
    </w:p>
    <w:p w14:paraId="413C4A33">
      <w:pPr>
        <w:keepNext w:val="0"/>
        <w:keepLines w:val="0"/>
        <w:widowControl w:val="0"/>
        <w:suppressLineNumbers w:val="0"/>
        <w:spacing w:before="0" w:beforeAutospacing="0" w:after="0" w:afterAutospacing="0" w:line="570" w:lineRule="exact"/>
        <w:ind w:left="0" w:right="0" w:firstLine="640" w:firstLineChars="200"/>
        <w:jc w:val="both"/>
        <w:rPr>
          <w:rFonts w:hint="eastAsia" w:ascii="Times New Roman" w:hAnsi="Times New Roman" w:eastAsia="方正仿宋_GBK" w:cs="Times New Roman"/>
          <w:kern w:val="2"/>
          <w:sz w:val="32"/>
          <w:szCs w:val="32"/>
        </w:rPr>
      </w:pPr>
      <w:r>
        <w:rPr>
          <w:rFonts w:hint="eastAsia" w:ascii="方正仿宋_GBK" w:hAnsi="方正仿宋_GBK" w:eastAsia="方正仿宋_GBK" w:cs="方正仿宋_GBK"/>
          <w:kern w:val="2"/>
          <w:sz w:val="32"/>
          <w:szCs w:val="32"/>
          <w:lang w:val="en-US" w:eastAsia="zh-CN" w:bidi="ar"/>
        </w:rPr>
        <w:t>（</w:t>
      </w:r>
      <w:r>
        <w:rPr>
          <w:rFonts w:hint="default" w:ascii="Times New Roman" w:hAnsi="Times New Roman" w:eastAsia="方正仿宋_GBK" w:cs="Times New Roman"/>
          <w:kern w:val="2"/>
          <w:sz w:val="32"/>
          <w:szCs w:val="32"/>
          <w:lang w:val="en-US" w:eastAsia="zh-CN" w:bidi="ar"/>
        </w:rPr>
        <w:t>5</w:t>
      </w:r>
      <w:r>
        <w:rPr>
          <w:rFonts w:hint="eastAsia" w:ascii="方正仿宋_GBK" w:hAnsi="方正仿宋_GBK" w:eastAsia="方正仿宋_GBK" w:cs="方正仿宋_GBK"/>
          <w:kern w:val="2"/>
          <w:sz w:val="32"/>
          <w:szCs w:val="32"/>
          <w:lang w:val="en-US" w:eastAsia="zh-CN" w:bidi="ar"/>
        </w:rPr>
        <w:t>）提升基本公共卫生服务可及性。超额完成</w:t>
      </w:r>
      <w:r>
        <w:rPr>
          <w:rFonts w:hint="default" w:ascii="Times New Roman" w:hAnsi="Times New Roman" w:eastAsia="方正仿宋_GBK" w:cs="Times New Roman"/>
          <w:kern w:val="2"/>
          <w:sz w:val="32"/>
          <w:szCs w:val="32"/>
          <w:lang w:val="en-US" w:eastAsia="zh-CN" w:bidi="ar"/>
        </w:rPr>
        <w:t>“</w:t>
      </w:r>
      <w:r>
        <w:rPr>
          <w:rFonts w:hint="eastAsia" w:ascii="方正仿宋_GBK" w:hAnsi="方正仿宋_GBK" w:eastAsia="方正仿宋_GBK" w:cs="方正仿宋_GBK"/>
          <w:kern w:val="2"/>
          <w:sz w:val="32"/>
          <w:szCs w:val="32"/>
          <w:lang w:val="en-US" w:eastAsia="zh-CN" w:bidi="ar"/>
        </w:rPr>
        <w:t>为</w:t>
      </w:r>
      <w:r>
        <w:rPr>
          <w:rFonts w:hint="default" w:ascii="Times New Roman" w:hAnsi="Times New Roman" w:eastAsia="方正仿宋_GBK" w:cs="Times New Roman"/>
          <w:kern w:val="2"/>
          <w:sz w:val="32"/>
          <w:szCs w:val="32"/>
          <w:lang w:val="en-US" w:eastAsia="zh-CN" w:bidi="ar"/>
        </w:rPr>
        <w:t>17</w:t>
      </w:r>
      <w:r>
        <w:rPr>
          <w:rFonts w:hint="eastAsia" w:ascii="方正仿宋_GBK" w:hAnsi="方正仿宋_GBK" w:eastAsia="方正仿宋_GBK" w:cs="方正仿宋_GBK"/>
          <w:kern w:val="2"/>
          <w:sz w:val="32"/>
          <w:szCs w:val="32"/>
          <w:lang w:val="en-US" w:eastAsia="zh-CN" w:bidi="ar"/>
        </w:rPr>
        <w:t>余万常住城乡居民免费提供</w:t>
      </w:r>
      <w:r>
        <w:rPr>
          <w:rFonts w:hint="default" w:ascii="Times New Roman" w:hAnsi="Times New Roman" w:eastAsia="方正仿宋_GBK" w:cs="Times New Roman"/>
          <w:kern w:val="2"/>
          <w:sz w:val="32"/>
          <w:szCs w:val="32"/>
          <w:lang w:val="en-US" w:eastAsia="zh-CN" w:bidi="ar"/>
        </w:rPr>
        <w:t>12</w:t>
      </w:r>
      <w:r>
        <w:rPr>
          <w:rFonts w:hint="eastAsia" w:ascii="方正仿宋_GBK" w:hAnsi="方正仿宋_GBK" w:eastAsia="方正仿宋_GBK" w:cs="方正仿宋_GBK"/>
          <w:kern w:val="2"/>
          <w:sz w:val="32"/>
          <w:szCs w:val="32"/>
          <w:lang w:val="en-US" w:eastAsia="zh-CN" w:bidi="ar"/>
        </w:rPr>
        <w:t>项基本公共卫生服务</w:t>
      </w:r>
      <w:r>
        <w:rPr>
          <w:rFonts w:hint="default" w:ascii="Times New Roman" w:hAnsi="Times New Roman" w:eastAsia="方正仿宋_GBK" w:cs="Times New Roman"/>
          <w:kern w:val="2"/>
          <w:sz w:val="32"/>
          <w:szCs w:val="32"/>
          <w:lang w:val="en-US" w:eastAsia="zh-CN" w:bidi="ar"/>
        </w:rPr>
        <w:t>”</w:t>
      </w:r>
      <w:r>
        <w:rPr>
          <w:rFonts w:hint="eastAsia" w:ascii="方正仿宋_GBK" w:hAnsi="方正仿宋_GBK" w:eastAsia="方正仿宋_GBK" w:cs="方正仿宋_GBK"/>
          <w:kern w:val="2"/>
          <w:sz w:val="32"/>
          <w:szCs w:val="32"/>
          <w:lang w:val="en-US" w:eastAsia="zh-CN" w:bidi="ar"/>
        </w:rPr>
        <w:t>省政府民生实事任务，为</w:t>
      </w:r>
      <w:r>
        <w:rPr>
          <w:rFonts w:hint="default" w:ascii="Times New Roman" w:hAnsi="Times New Roman" w:eastAsia="方正仿宋_GBK" w:cs="Times New Roman"/>
          <w:kern w:val="2"/>
          <w:sz w:val="32"/>
          <w:szCs w:val="32"/>
          <w:lang w:val="en-US" w:eastAsia="zh-CN" w:bidi="ar"/>
        </w:rPr>
        <w:t>1.79</w:t>
      </w:r>
      <w:r>
        <w:rPr>
          <w:rFonts w:hint="eastAsia" w:ascii="方正仿宋_GBK" w:hAnsi="方正仿宋_GBK" w:eastAsia="方正仿宋_GBK" w:cs="方正仿宋_GBK"/>
          <w:kern w:val="2"/>
          <w:sz w:val="32"/>
          <w:szCs w:val="32"/>
          <w:lang w:val="en-US" w:eastAsia="zh-CN" w:bidi="ar"/>
        </w:rPr>
        <w:t>万老年人、</w:t>
      </w:r>
      <w:r>
        <w:rPr>
          <w:rFonts w:hint="default" w:ascii="Times New Roman" w:hAnsi="Times New Roman" w:eastAsia="方正仿宋_GBK" w:cs="Times New Roman"/>
          <w:kern w:val="2"/>
          <w:sz w:val="32"/>
          <w:szCs w:val="32"/>
          <w:lang w:val="en-US" w:eastAsia="zh-CN" w:bidi="ar"/>
        </w:rPr>
        <w:t>1.03</w:t>
      </w:r>
      <w:r>
        <w:rPr>
          <w:rFonts w:hint="eastAsia" w:ascii="方正仿宋_GBK" w:hAnsi="方正仿宋_GBK" w:eastAsia="方正仿宋_GBK" w:cs="方正仿宋_GBK"/>
          <w:kern w:val="2"/>
          <w:sz w:val="32"/>
          <w:szCs w:val="32"/>
          <w:lang w:val="en-US" w:eastAsia="zh-CN" w:bidi="ar"/>
        </w:rPr>
        <w:t>万高血压患者、</w:t>
      </w:r>
      <w:r>
        <w:rPr>
          <w:rFonts w:hint="default" w:ascii="Times New Roman" w:hAnsi="Times New Roman" w:eastAsia="方正仿宋_GBK" w:cs="Times New Roman"/>
          <w:kern w:val="2"/>
          <w:sz w:val="32"/>
          <w:szCs w:val="32"/>
          <w:lang w:val="en-US" w:eastAsia="zh-CN" w:bidi="ar"/>
        </w:rPr>
        <w:t>0.34</w:t>
      </w:r>
      <w:r>
        <w:rPr>
          <w:rFonts w:hint="eastAsia" w:ascii="方正仿宋_GBK" w:hAnsi="方正仿宋_GBK" w:eastAsia="方正仿宋_GBK" w:cs="方正仿宋_GBK"/>
          <w:kern w:val="2"/>
          <w:sz w:val="32"/>
          <w:szCs w:val="32"/>
          <w:lang w:val="en-US" w:eastAsia="zh-CN" w:bidi="ar"/>
        </w:rPr>
        <w:t>万</w:t>
      </w:r>
      <w:r>
        <w:rPr>
          <w:rFonts w:hint="default" w:ascii="Times New Roman" w:hAnsi="Times New Roman" w:eastAsia="方正仿宋_GBK" w:cs="Times New Roman"/>
          <w:kern w:val="2"/>
          <w:sz w:val="32"/>
          <w:szCs w:val="32"/>
          <w:lang w:val="en-US" w:eastAsia="zh-CN" w:bidi="ar"/>
        </w:rPr>
        <w:t>II</w:t>
      </w:r>
      <w:r>
        <w:rPr>
          <w:rFonts w:hint="eastAsia" w:ascii="方正仿宋_GBK" w:hAnsi="方正仿宋_GBK" w:eastAsia="方正仿宋_GBK" w:cs="方正仿宋_GBK"/>
          <w:kern w:val="2"/>
          <w:sz w:val="32"/>
          <w:szCs w:val="32"/>
          <w:lang w:val="en-US" w:eastAsia="zh-CN" w:bidi="ar"/>
        </w:rPr>
        <w:t>型糖尿病患者提供健康管理服务。家庭医生签约覆盖率</w:t>
      </w:r>
      <w:r>
        <w:rPr>
          <w:rFonts w:hint="default" w:ascii="Times New Roman" w:hAnsi="Times New Roman" w:eastAsia="方正仿宋_GBK" w:cs="Times New Roman"/>
          <w:kern w:val="2"/>
          <w:sz w:val="32"/>
          <w:szCs w:val="32"/>
          <w:lang w:val="en-US" w:eastAsia="zh-CN" w:bidi="ar"/>
        </w:rPr>
        <w:t>97.23%</w:t>
      </w:r>
      <w:r>
        <w:rPr>
          <w:rFonts w:hint="eastAsia" w:ascii="方正仿宋_GBK" w:hAnsi="方正仿宋_GBK" w:eastAsia="方正仿宋_GBK" w:cs="方正仿宋_GBK"/>
          <w:kern w:val="2"/>
          <w:sz w:val="32"/>
          <w:szCs w:val="32"/>
          <w:lang w:val="en-US" w:eastAsia="zh-CN" w:bidi="ar"/>
        </w:rPr>
        <w:t>，十类重点人群签约覆盖率</w:t>
      </w:r>
      <w:r>
        <w:rPr>
          <w:rFonts w:hint="default" w:ascii="Times New Roman" w:hAnsi="Times New Roman" w:eastAsia="方正仿宋_GBK" w:cs="Times New Roman"/>
          <w:kern w:val="2"/>
          <w:sz w:val="32"/>
          <w:szCs w:val="32"/>
          <w:lang w:val="en-US" w:eastAsia="zh-CN" w:bidi="ar"/>
        </w:rPr>
        <w:t>95.02%</w:t>
      </w:r>
      <w:r>
        <w:rPr>
          <w:rFonts w:hint="eastAsia" w:ascii="方正仿宋_GBK" w:hAnsi="方正仿宋_GBK" w:eastAsia="方正仿宋_GBK" w:cs="方正仿宋_GBK"/>
          <w:kern w:val="2"/>
          <w:sz w:val="32"/>
          <w:szCs w:val="32"/>
          <w:lang w:val="en-US" w:eastAsia="zh-CN" w:bidi="ar"/>
        </w:rPr>
        <w:t>，同比分别增长</w:t>
      </w:r>
      <w:r>
        <w:rPr>
          <w:rFonts w:hint="default" w:ascii="Times New Roman" w:hAnsi="Times New Roman" w:eastAsia="方正仿宋_GBK" w:cs="Times New Roman"/>
          <w:kern w:val="2"/>
          <w:sz w:val="32"/>
          <w:szCs w:val="32"/>
          <w:lang w:val="en-US" w:eastAsia="zh-CN" w:bidi="ar"/>
        </w:rPr>
        <w:t>1.04%</w:t>
      </w:r>
      <w:r>
        <w:rPr>
          <w:rFonts w:hint="eastAsia" w:ascii="方正仿宋_GBK" w:hAnsi="方正仿宋_GBK" w:eastAsia="方正仿宋_GBK" w:cs="方正仿宋_GBK"/>
          <w:kern w:val="2"/>
          <w:sz w:val="32"/>
          <w:szCs w:val="32"/>
          <w:lang w:val="en-US" w:eastAsia="zh-CN" w:bidi="ar"/>
        </w:rPr>
        <w:t>和</w:t>
      </w:r>
      <w:r>
        <w:rPr>
          <w:rFonts w:hint="default" w:ascii="Times New Roman" w:hAnsi="Times New Roman" w:eastAsia="方正仿宋_GBK" w:cs="Times New Roman"/>
          <w:kern w:val="2"/>
          <w:sz w:val="32"/>
          <w:szCs w:val="32"/>
          <w:lang w:val="en-US" w:eastAsia="zh-CN" w:bidi="ar"/>
        </w:rPr>
        <w:t>6.34%</w:t>
      </w:r>
    </w:p>
    <w:p w14:paraId="24748897">
      <w:pPr>
        <w:keepNext w:val="0"/>
        <w:keepLines w:val="0"/>
        <w:widowControl w:val="0"/>
        <w:suppressLineNumbers w:val="0"/>
        <w:spacing w:before="0" w:beforeAutospacing="0" w:after="0" w:afterAutospacing="0" w:line="570" w:lineRule="exact"/>
        <w:ind w:left="0" w:right="0" w:firstLine="640" w:firstLineChars="200"/>
        <w:jc w:val="both"/>
        <w:rPr>
          <w:rFonts w:hint="eastAsia" w:ascii="Times New Roman" w:hAnsi="Times New Roman" w:eastAsia="方正仿宋_GBK" w:cs="Times New Roman"/>
          <w:kern w:val="2"/>
          <w:sz w:val="32"/>
          <w:szCs w:val="32"/>
        </w:rPr>
      </w:pPr>
      <w:r>
        <w:rPr>
          <w:rFonts w:hint="eastAsia" w:ascii="方正仿宋_GBK" w:hAnsi="方正仿宋_GBK" w:eastAsia="方正仿宋_GBK" w:cs="方正仿宋_GBK"/>
          <w:kern w:val="2"/>
          <w:sz w:val="32"/>
          <w:szCs w:val="32"/>
          <w:lang w:val="en-US" w:eastAsia="zh-CN" w:bidi="ar"/>
        </w:rPr>
        <w:t>（</w:t>
      </w:r>
      <w:r>
        <w:rPr>
          <w:rFonts w:hint="default" w:ascii="Times New Roman" w:hAnsi="Times New Roman" w:eastAsia="方正仿宋_GBK" w:cs="Times New Roman"/>
          <w:kern w:val="2"/>
          <w:sz w:val="32"/>
          <w:szCs w:val="32"/>
          <w:lang w:val="en-US" w:eastAsia="zh-CN" w:bidi="ar"/>
        </w:rPr>
        <w:t>6</w:t>
      </w:r>
      <w:r>
        <w:rPr>
          <w:rFonts w:hint="eastAsia" w:ascii="方正仿宋_GBK" w:hAnsi="方正仿宋_GBK" w:eastAsia="方正仿宋_GBK" w:cs="方正仿宋_GBK"/>
          <w:kern w:val="2"/>
          <w:sz w:val="32"/>
          <w:szCs w:val="32"/>
          <w:lang w:val="en-US" w:eastAsia="zh-CN" w:bidi="ar"/>
        </w:rPr>
        <w:t>）“一老一小”服务提标扩面。建成</w:t>
      </w:r>
      <w:r>
        <w:rPr>
          <w:rFonts w:hint="default" w:ascii="Times New Roman" w:hAnsi="Times New Roman" w:eastAsia="方正仿宋_GBK" w:cs="Times New Roman"/>
          <w:kern w:val="2"/>
          <w:sz w:val="32"/>
          <w:szCs w:val="32"/>
          <w:lang w:val="en-US" w:eastAsia="zh-CN" w:bidi="ar"/>
        </w:rPr>
        <w:t>3</w:t>
      </w:r>
      <w:r>
        <w:rPr>
          <w:rFonts w:hint="eastAsia" w:ascii="方正仿宋_GBK" w:hAnsi="方正仿宋_GBK" w:eastAsia="方正仿宋_GBK" w:cs="方正仿宋_GBK"/>
          <w:kern w:val="2"/>
          <w:sz w:val="32"/>
          <w:szCs w:val="32"/>
          <w:lang w:val="en-US" w:eastAsia="zh-CN" w:bidi="ar"/>
        </w:rPr>
        <w:t>岁以下婴幼儿托育服务机构</w:t>
      </w:r>
      <w:r>
        <w:rPr>
          <w:rFonts w:hint="default" w:ascii="Times New Roman" w:hAnsi="Times New Roman" w:eastAsia="方正仿宋_GBK" w:cs="Times New Roman"/>
          <w:kern w:val="2"/>
          <w:sz w:val="32"/>
          <w:szCs w:val="32"/>
          <w:lang w:val="en-US" w:eastAsia="zh-CN" w:bidi="ar"/>
        </w:rPr>
        <w:t>2</w:t>
      </w:r>
      <w:r>
        <w:rPr>
          <w:rFonts w:hint="eastAsia" w:ascii="方正仿宋_GBK" w:hAnsi="方正仿宋_GBK" w:eastAsia="方正仿宋_GBK" w:cs="方正仿宋_GBK"/>
          <w:kern w:val="2"/>
          <w:sz w:val="32"/>
          <w:szCs w:val="32"/>
          <w:lang w:val="en-US" w:eastAsia="zh-CN" w:bidi="ar"/>
        </w:rPr>
        <w:t>家，</w:t>
      </w:r>
      <w:r>
        <w:rPr>
          <w:rFonts w:hint="default" w:ascii="Times New Roman" w:hAnsi="Times New Roman" w:eastAsia="方正仿宋_GBK" w:cs="Times New Roman"/>
          <w:kern w:val="2"/>
          <w:sz w:val="32"/>
          <w:szCs w:val="32"/>
          <w:lang w:val="en-US" w:eastAsia="zh-CN" w:bidi="ar"/>
        </w:rPr>
        <w:t>14</w:t>
      </w:r>
      <w:r>
        <w:rPr>
          <w:rFonts w:hint="eastAsia" w:ascii="方正仿宋_GBK" w:hAnsi="方正仿宋_GBK" w:eastAsia="方正仿宋_GBK" w:cs="方正仿宋_GBK"/>
          <w:kern w:val="2"/>
          <w:sz w:val="32"/>
          <w:szCs w:val="32"/>
          <w:lang w:val="en-US" w:eastAsia="zh-CN" w:bidi="ar"/>
        </w:rPr>
        <w:t>所幼儿园开设托班，可提供</w:t>
      </w:r>
      <w:r>
        <w:rPr>
          <w:rFonts w:hint="default" w:ascii="Times New Roman" w:hAnsi="Times New Roman" w:eastAsia="方正仿宋_GBK" w:cs="Times New Roman"/>
          <w:kern w:val="2"/>
          <w:sz w:val="32"/>
          <w:szCs w:val="32"/>
          <w:lang w:val="en-US" w:eastAsia="zh-CN" w:bidi="ar"/>
        </w:rPr>
        <w:t>3</w:t>
      </w:r>
      <w:r>
        <w:rPr>
          <w:rFonts w:hint="eastAsia" w:ascii="方正仿宋_GBK" w:hAnsi="方正仿宋_GBK" w:eastAsia="方正仿宋_GBK" w:cs="方正仿宋_GBK"/>
          <w:kern w:val="2"/>
          <w:sz w:val="32"/>
          <w:szCs w:val="32"/>
          <w:lang w:val="en-US" w:eastAsia="zh-CN" w:bidi="ar"/>
        </w:rPr>
        <w:t>岁以下婴幼儿托位数</w:t>
      </w:r>
      <w:r>
        <w:rPr>
          <w:rFonts w:hint="default" w:ascii="Times New Roman" w:hAnsi="Times New Roman" w:eastAsia="方正仿宋_GBK" w:cs="Times New Roman"/>
          <w:kern w:val="2"/>
          <w:sz w:val="32"/>
          <w:szCs w:val="32"/>
          <w:lang w:val="en-US" w:eastAsia="zh-CN" w:bidi="ar"/>
        </w:rPr>
        <w:t>780</w:t>
      </w:r>
      <w:r>
        <w:rPr>
          <w:rFonts w:hint="eastAsia" w:ascii="方正仿宋_GBK" w:hAnsi="方正仿宋_GBK" w:eastAsia="方正仿宋_GBK" w:cs="方正仿宋_GBK"/>
          <w:kern w:val="2"/>
          <w:sz w:val="32"/>
          <w:szCs w:val="32"/>
          <w:lang w:val="en-US" w:eastAsia="zh-CN" w:bidi="ar"/>
        </w:rPr>
        <w:t>个，每千人口拥有托位数</w:t>
      </w:r>
      <w:r>
        <w:rPr>
          <w:rFonts w:hint="default" w:ascii="Times New Roman" w:hAnsi="Times New Roman" w:eastAsia="方正仿宋_GBK" w:cs="Times New Roman"/>
          <w:kern w:val="2"/>
          <w:sz w:val="32"/>
          <w:szCs w:val="32"/>
          <w:lang w:val="en-US" w:eastAsia="zh-CN" w:bidi="ar"/>
        </w:rPr>
        <w:t>4.0</w:t>
      </w:r>
      <w:r>
        <w:rPr>
          <w:rFonts w:hint="eastAsia" w:ascii="方正仿宋_GBK" w:hAnsi="方正仿宋_GBK" w:eastAsia="方正仿宋_GBK" w:cs="方正仿宋_GBK"/>
          <w:kern w:val="2"/>
          <w:sz w:val="32"/>
          <w:szCs w:val="32"/>
          <w:lang w:val="en-US" w:eastAsia="zh-CN" w:bidi="ar"/>
        </w:rPr>
        <w:t>个，达到</w:t>
      </w:r>
      <w:r>
        <w:rPr>
          <w:rFonts w:hint="default" w:ascii="Times New Roman" w:hAnsi="Times New Roman" w:eastAsia="方正仿宋_GBK" w:cs="Times New Roman"/>
          <w:kern w:val="2"/>
          <w:sz w:val="32"/>
          <w:szCs w:val="32"/>
          <w:lang w:val="en-US" w:eastAsia="zh-CN" w:bidi="ar"/>
        </w:rPr>
        <w:t>“</w:t>
      </w:r>
      <w:r>
        <w:rPr>
          <w:rFonts w:hint="eastAsia" w:ascii="方正仿宋_GBK" w:hAnsi="方正仿宋_GBK" w:eastAsia="方正仿宋_GBK" w:cs="方正仿宋_GBK"/>
          <w:kern w:val="2"/>
          <w:sz w:val="32"/>
          <w:szCs w:val="32"/>
          <w:lang w:val="en-US" w:eastAsia="zh-CN" w:bidi="ar"/>
        </w:rPr>
        <w:t>十四五</w:t>
      </w:r>
      <w:r>
        <w:rPr>
          <w:rFonts w:hint="default" w:ascii="Times New Roman" w:hAnsi="Times New Roman" w:eastAsia="方正仿宋_GBK" w:cs="Times New Roman"/>
          <w:kern w:val="2"/>
          <w:sz w:val="32"/>
          <w:szCs w:val="32"/>
          <w:lang w:val="en-US" w:eastAsia="zh-CN" w:bidi="ar"/>
        </w:rPr>
        <w:t>”</w:t>
      </w:r>
      <w:r>
        <w:rPr>
          <w:rFonts w:hint="eastAsia" w:ascii="方正仿宋_GBK" w:hAnsi="方正仿宋_GBK" w:eastAsia="方正仿宋_GBK" w:cs="方正仿宋_GBK"/>
          <w:kern w:val="2"/>
          <w:sz w:val="32"/>
          <w:szCs w:val="32"/>
          <w:lang w:val="en-US" w:eastAsia="zh-CN" w:bidi="ar"/>
        </w:rPr>
        <w:t>时期本地区千人口托位数年度指标。补贴</w:t>
      </w:r>
      <w:r>
        <w:rPr>
          <w:rFonts w:hint="default" w:ascii="Times New Roman" w:hAnsi="Times New Roman" w:eastAsia="方正仿宋_GBK" w:cs="Times New Roman"/>
          <w:kern w:val="2"/>
          <w:sz w:val="32"/>
          <w:szCs w:val="32"/>
          <w:lang w:val="en-US" w:eastAsia="zh-CN" w:bidi="ar"/>
        </w:rPr>
        <w:t>3</w:t>
      </w:r>
      <w:r>
        <w:rPr>
          <w:rFonts w:hint="eastAsia" w:ascii="方正仿宋_GBK" w:hAnsi="方正仿宋_GBK" w:eastAsia="方正仿宋_GBK" w:cs="方正仿宋_GBK"/>
          <w:kern w:val="2"/>
          <w:sz w:val="32"/>
          <w:szCs w:val="32"/>
          <w:lang w:val="en-US" w:eastAsia="zh-CN" w:bidi="ar"/>
        </w:rPr>
        <w:t>岁以下婴幼儿托位普惠托育项目</w:t>
      </w:r>
      <w:r>
        <w:rPr>
          <w:rFonts w:hint="default" w:ascii="Times New Roman" w:hAnsi="Times New Roman" w:eastAsia="方正仿宋_GBK" w:cs="Times New Roman"/>
          <w:kern w:val="2"/>
          <w:sz w:val="32"/>
          <w:szCs w:val="32"/>
          <w:lang w:val="en-US" w:eastAsia="zh-CN" w:bidi="ar"/>
        </w:rPr>
        <w:t>50</w:t>
      </w:r>
      <w:r>
        <w:rPr>
          <w:rFonts w:hint="eastAsia" w:ascii="方正仿宋_GBK" w:hAnsi="方正仿宋_GBK" w:eastAsia="方正仿宋_GBK" w:cs="方正仿宋_GBK"/>
          <w:kern w:val="2"/>
          <w:sz w:val="32"/>
          <w:szCs w:val="32"/>
          <w:lang w:val="en-US" w:eastAsia="zh-CN" w:bidi="ar"/>
        </w:rPr>
        <w:t>万元，领取托育补贴券入托</w:t>
      </w:r>
      <w:r>
        <w:rPr>
          <w:rFonts w:hint="default" w:ascii="Times New Roman" w:hAnsi="Times New Roman" w:eastAsia="方正仿宋_GBK" w:cs="Times New Roman"/>
          <w:kern w:val="2"/>
          <w:sz w:val="32"/>
          <w:szCs w:val="32"/>
          <w:lang w:val="en-US" w:eastAsia="zh-CN" w:bidi="ar"/>
        </w:rPr>
        <w:t>3</w:t>
      </w:r>
      <w:r>
        <w:rPr>
          <w:rFonts w:hint="eastAsia" w:ascii="方正仿宋_GBK" w:hAnsi="方正仿宋_GBK" w:eastAsia="方正仿宋_GBK" w:cs="方正仿宋_GBK"/>
          <w:kern w:val="2"/>
          <w:sz w:val="32"/>
          <w:szCs w:val="32"/>
          <w:lang w:val="en-US" w:eastAsia="zh-CN" w:bidi="ar"/>
        </w:rPr>
        <w:t>岁以下婴幼儿</w:t>
      </w:r>
      <w:r>
        <w:rPr>
          <w:rFonts w:hint="default" w:ascii="Times New Roman" w:hAnsi="Times New Roman" w:eastAsia="方正仿宋_GBK" w:cs="Times New Roman"/>
          <w:kern w:val="2"/>
          <w:sz w:val="32"/>
          <w:szCs w:val="32"/>
          <w:lang w:val="en-US" w:eastAsia="zh-CN" w:bidi="ar"/>
        </w:rPr>
        <w:t>68</w:t>
      </w:r>
      <w:r>
        <w:rPr>
          <w:rFonts w:hint="eastAsia" w:ascii="方正仿宋_GBK" w:hAnsi="方正仿宋_GBK" w:eastAsia="方正仿宋_GBK" w:cs="方正仿宋_GBK"/>
          <w:kern w:val="2"/>
          <w:sz w:val="32"/>
          <w:szCs w:val="32"/>
          <w:lang w:val="en-US" w:eastAsia="zh-CN" w:bidi="ar"/>
        </w:rPr>
        <w:t>人，累计为</w:t>
      </w:r>
      <w:r>
        <w:rPr>
          <w:rFonts w:hint="default" w:ascii="Times New Roman" w:hAnsi="Times New Roman" w:eastAsia="方正仿宋_GBK" w:cs="Times New Roman"/>
          <w:kern w:val="2"/>
          <w:sz w:val="32"/>
          <w:szCs w:val="32"/>
          <w:lang w:val="en-US" w:eastAsia="zh-CN" w:bidi="ar"/>
        </w:rPr>
        <w:t>1018</w:t>
      </w:r>
      <w:r>
        <w:rPr>
          <w:rFonts w:hint="eastAsia" w:ascii="方正仿宋_GBK" w:hAnsi="方正仿宋_GBK" w:eastAsia="方正仿宋_GBK" w:cs="方正仿宋_GBK"/>
          <w:kern w:val="2"/>
          <w:sz w:val="32"/>
          <w:szCs w:val="32"/>
          <w:lang w:val="en-US" w:eastAsia="zh-CN" w:bidi="ar"/>
        </w:rPr>
        <w:t>名婴幼儿发放育儿补贴金</w:t>
      </w:r>
      <w:r>
        <w:rPr>
          <w:rFonts w:hint="default" w:ascii="Times New Roman" w:hAnsi="Times New Roman" w:eastAsia="方正仿宋_GBK" w:cs="Times New Roman"/>
          <w:kern w:val="2"/>
          <w:sz w:val="32"/>
          <w:szCs w:val="32"/>
          <w:lang w:val="en-US" w:eastAsia="zh-CN" w:bidi="ar"/>
        </w:rPr>
        <w:t>747.8</w:t>
      </w:r>
      <w:r>
        <w:rPr>
          <w:rFonts w:hint="eastAsia" w:ascii="方正仿宋_GBK" w:hAnsi="方正仿宋_GBK" w:eastAsia="方正仿宋_GBK" w:cs="方正仿宋_GBK"/>
          <w:kern w:val="2"/>
          <w:sz w:val="32"/>
          <w:szCs w:val="32"/>
          <w:lang w:val="en-US" w:eastAsia="zh-CN" w:bidi="ar"/>
        </w:rPr>
        <w:t>万元。整合辖区内医养资源和项目资金，先后投入</w:t>
      </w:r>
      <w:r>
        <w:rPr>
          <w:rFonts w:hint="default" w:ascii="Times New Roman" w:hAnsi="Times New Roman" w:eastAsia="方正仿宋_GBK" w:cs="Times New Roman"/>
          <w:kern w:val="2"/>
          <w:sz w:val="32"/>
          <w:szCs w:val="32"/>
          <w:lang w:val="en-US" w:eastAsia="zh-CN" w:bidi="ar"/>
        </w:rPr>
        <w:t>500</w:t>
      </w:r>
      <w:r>
        <w:rPr>
          <w:rFonts w:hint="eastAsia" w:ascii="方正仿宋_GBK" w:hAnsi="方正仿宋_GBK" w:eastAsia="方正仿宋_GBK" w:cs="方正仿宋_GBK"/>
          <w:kern w:val="2"/>
          <w:sz w:val="32"/>
          <w:szCs w:val="32"/>
          <w:lang w:val="en-US" w:eastAsia="zh-CN" w:bidi="ar"/>
        </w:rPr>
        <w:t>万元，建成全市首家面向社会的县级医养结合机构，成功加入成华区区域医养联盟，服务老年人</w:t>
      </w:r>
      <w:r>
        <w:rPr>
          <w:rFonts w:hint="default" w:ascii="Times New Roman" w:hAnsi="Times New Roman" w:eastAsia="方正仿宋_GBK" w:cs="Times New Roman"/>
          <w:kern w:val="2"/>
          <w:sz w:val="32"/>
          <w:szCs w:val="32"/>
          <w:lang w:val="en-US" w:eastAsia="zh-CN" w:bidi="ar"/>
        </w:rPr>
        <w:t>150</w:t>
      </w:r>
      <w:r>
        <w:rPr>
          <w:rFonts w:hint="eastAsia" w:ascii="方正仿宋_GBK" w:hAnsi="方正仿宋_GBK" w:eastAsia="方正仿宋_GBK" w:cs="方正仿宋_GBK"/>
          <w:kern w:val="2"/>
          <w:sz w:val="32"/>
          <w:szCs w:val="32"/>
          <w:lang w:val="en-US" w:eastAsia="zh-CN" w:bidi="ar"/>
        </w:rPr>
        <w:t>余名。</w:t>
      </w:r>
    </w:p>
    <w:p w14:paraId="76C680DB">
      <w:pPr>
        <w:keepNext w:val="0"/>
        <w:keepLines w:val="0"/>
        <w:widowControl w:val="0"/>
        <w:suppressLineNumbers w:val="0"/>
        <w:spacing w:before="0" w:beforeAutospacing="0" w:after="0" w:afterAutospacing="0" w:line="570" w:lineRule="exact"/>
        <w:ind w:left="0" w:right="0" w:firstLine="640" w:firstLineChars="200"/>
        <w:jc w:val="both"/>
        <w:rPr>
          <w:rFonts w:hint="eastAsia" w:ascii="Times New Roman" w:hAnsi="Times New Roman" w:eastAsia="方正仿宋_GBK" w:cs="Times New Roman"/>
          <w:kern w:val="2"/>
          <w:sz w:val="32"/>
          <w:szCs w:val="32"/>
        </w:rPr>
      </w:pPr>
      <w:r>
        <w:rPr>
          <w:rFonts w:hint="eastAsia" w:ascii="方正仿宋_GBK" w:hAnsi="方正仿宋_GBK" w:eastAsia="方正仿宋_GBK" w:cs="方正仿宋_GBK"/>
          <w:kern w:val="2"/>
          <w:sz w:val="32"/>
          <w:szCs w:val="32"/>
          <w:lang w:val="en-US" w:eastAsia="zh-CN" w:bidi="ar"/>
        </w:rPr>
        <w:t>（</w:t>
      </w:r>
      <w:r>
        <w:rPr>
          <w:rFonts w:hint="default" w:ascii="Times New Roman" w:hAnsi="Times New Roman" w:eastAsia="方正仿宋_GBK" w:cs="Times New Roman"/>
          <w:kern w:val="2"/>
          <w:sz w:val="32"/>
          <w:szCs w:val="32"/>
          <w:lang w:val="en-US" w:eastAsia="zh-CN" w:bidi="ar"/>
        </w:rPr>
        <w:t>7</w:t>
      </w:r>
      <w:r>
        <w:rPr>
          <w:rFonts w:hint="eastAsia" w:ascii="方正仿宋_GBK" w:hAnsi="方正仿宋_GBK" w:eastAsia="方正仿宋_GBK" w:cs="方正仿宋_GBK"/>
          <w:kern w:val="2"/>
          <w:sz w:val="32"/>
          <w:szCs w:val="32"/>
          <w:lang w:val="en-US" w:eastAsia="zh-CN" w:bidi="ar"/>
        </w:rPr>
        <w:t>）医疗服务体验持续改善。建立门诊</w:t>
      </w:r>
      <w:r>
        <w:rPr>
          <w:rFonts w:hint="default" w:ascii="Times New Roman" w:hAnsi="Times New Roman" w:eastAsia="方正仿宋_GBK" w:cs="Times New Roman"/>
          <w:kern w:val="2"/>
          <w:sz w:val="32"/>
          <w:szCs w:val="32"/>
          <w:lang w:val="en-US" w:eastAsia="zh-CN" w:bidi="ar"/>
        </w:rPr>
        <w:t>“</w:t>
      </w:r>
      <w:r>
        <w:rPr>
          <w:rFonts w:hint="eastAsia" w:ascii="方正仿宋_GBK" w:hAnsi="方正仿宋_GBK" w:eastAsia="方正仿宋_GBK" w:cs="方正仿宋_GBK"/>
          <w:kern w:val="2"/>
          <w:sz w:val="32"/>
          <w:szCs w:val="32"/>
          <w:lang w:val="en-US" w:eastAsia="zh-CN" w:bidi="ar"/>
        </w:rPr>
        <w:t>一站式</w:t>
      </w:r>
      <w:r>
        <w:rPr>
          <w:rFonts w:hint="default" w:ascii="Times New Roman" w:hAnsi="Times New Roman" w:eastAsia="方正仿宋_GBK" w:cs="Times New Roman"/>
          <w:kern w:val="2"/>
          <w:sz w:val="32"/>
          <w:szCs w:val="32"/>
          <w:lang w:val="en-US" w:eastAsia="zh-CN" w:bidi="ar"/>
        </w:rPr>
        <w:t>”</w:t>
      </w:r>
      <w:r>
        <w:rPr>
          <w:rFonts w:hint="eastAsia" w:ascii="方正仿宋_GBK" w:hAnsi="方正仿宋_GBK" w:eastAsia="方正仿宋_GBK" w:cs="方正仿宋_GBK"/>
          <w:kern w:val="2"/>
          <w:sz w:val="32"/>
          <w:szCs w:val="32"/>
          <w:lang w:val="en-US" w:eastAsia="zh-CN" w:bidi="ar"/>
        </w:rPr>
        <w:t>服务中心，开设院长门诊、周末门诊、医保便民服务窗口，推行</w:t>
      </w:r>
      <w:r>
        <w:rPr>
          <w:rFonts w:hint="default" w:ascii="Times New Roman" w:hAnsi="Times New Roman" w:eastAsia="方正仿宋_GBK" w:cs="Times New Roman"/>
          <w:kern w:val="2"/>
          <w:sz w:val="32"/>
          <w:szCs w:val="32"/>
          <w:lang w:val="en-US" w:eastAsia="zh-CN" w:bidi="ar"/>
        </w:rPr>
        <w:t>“</w:t>
      </w:r>
      <w:r>
        <w:rPr>
          <w:rFonts w:hint="eastAsia" w:ascii="方正仿宋_GBK" w:hAnsi="方正仿宋_GBK" w:eastAsia="方正仿宋_GBK" w:cs="方正仿宋_GBK"/>
          <w:kern w:val="2"/>
          <w:sz w:val="32"/>
          <w:szCs w:val="32"/>
          <w:lang w:val="en-US" w:eastAsia="zh-CN" w:bidi="ar"/>
        </w:rPr>
        <w:t>一次挂号管三天</w:t>
      </w:r>
      <w:r>
        <w:rPr>
          <w:rFonts w:hint="default" w:ascii="Times New Roman" w:hAnsi="Times New Roman" w:eastAsia="方正仿宋_GBK" w:cs="Times New Roman"/>
          <w:kern w:val="2"/>
          <w:sz w:val="32"/>
          <w:szCs w:val="32"/>
          <w:lang w:val="en-US" w:eastAsia="zh-CN" w:bidi="ar"/>
        </w:rPr>
        <w:t>”“</w:t>
      </w:r>
      <w:r>
        <w:rPr>
          <w:rFonts w:hint="eastAsia" w:ascii="方正仿宋_GBK" w:hAnsi="方正仿宋_GBK" w:eastAsia="方正仿宋_GBK" w:cs="方正仿宋_GBK"/>
          <w:kern w:val="2"/>
          <w:sz w:val="32"/>
          <w:szCs w:val="32"/>
          <w:lang w:val="en-US" w:eastAsia="zh-CN" w:bidi="ar"/>
        </w:rPr>
        <w:t>先诊疗后付费</w:t>
      </w:r>
      <w:r>
        <w:rPr>
          <w:rFonts w:hint="default" w:ascii="Times New Roman" w:hAnsi="Times New Roman" w:eastAsia="方正仿宋_GBK" w:cs="Times New Roman"/>
          <w:kern w:val="2"/>
          <w:sz w:val="32"/>
          <w:szCs w:val="32"/>
          <w:lang w:val="en-US" w:eastAsia="zh-CN" w:bidi="ar"/>
        </w:rPr>
        <w:t>”</w:t>
      </w:r>
      <w:r>
        <w:rPr>
          <w:rFonts w:hint="eastAsia" w:ascii="方正仿宋_GBK" w:hAnsi="方正仿宋_GBK" w:eastAsia="方正仿宋_GBK" w:cs="方正仿宋_GBK"/>
          <w:kern w:val="2"/>
          <w:sz w:val="32"/>
          <w:szCs w:val="32"/>
          <w:lang w:val="en-US" w:eastAsia="zh-CN" w:bidi="ar"/>
        </w:rPr>
        <w:t>等便民举措，实现县域内检查检验结果互认，累计免除患者检查费</w:t>
      </w:r>
      <w:r>
        <w:rPr>
          <w:rFonts w:hint="default" w:ascii="Times New Roman" w:hAnsi="Times New Roman" w:eastAsia="方正仿宋_GBK" w:cs="Times New Roman"/>
          <w:kern w:val="2"/>
          <w:sz w:val="32"/>
          <w:szCs w:val="32"/>
          <w:lang w:val="en-US" w:eastAsia="zh-CN" w:bidi="ar"/>
        </w:rPr>
        <w:t>6</w:t>
      </w:r>
      <w:r>
        <w:rPr>
          <w:rFonts w:hint="eastAsia" w:ascii="方正仿宋_GBK" w:hAnsi="方正仿宋_GBK" w:eastAsia="方正仿宋_GBK" w:cs="方正仿宋_GBK"/>
          <w:kern w:val="2"/>
          <w:sz w:val="32"/>
          <w:szCs w:val="32"/>
          <w:lang w:val="en-US" w:eastAsia="zh-CN" w:bidi="ar"/>
        </w:rPr>
        <w:t>万元、减少住院患者个人垫付</w:t>
      </w:r>
      <w:r>
        <w:rPr>
          <w:rFonts w:hint="default" w:ascii="Times New Roman" w:hAnsi="Times New Roman" w:eastAsia="方正仿宋_GBK" w:cs="Times New Roman"/>
          <w:kern w:val="2"/>
          <w:sz w:val="32"/>
          <w:szCs w:val="32"/>
          <w:lang w:val="en-US" w:eastAsia="zh-CN" w:bidi="ar"/>
        </w:rPr>
        <w:t>5</w:t>
      </w:r>
      <w:r>
        <w:rPr>
          <w:rFonts w:hint="eastAsia" w:ascii="方正仿宋_GBK" w:hAnsi="方正仿宋_GBK" w:eastAsia="方正仿宋_GBK" w:cs="方正仿宋_GBK"/>
          <w:kern w:val="2"/>
          <w:sz w:val="32"/>
          <w:szCs w:val="32"/>
          <w:lang w:val="en-US" w:eastAsia="zh-CN" w:bidi="ar"/>
        </w:rPr>
        <w:t>万元，患者就诊等候时间缩减</w:t>
      </w:r>
      <w:r>
        <w:rPr>
          <w:rFonts w:hint="default" w:ascii="Times New Roman" w:hAnsi="Times New Roman" w:eastAsia="方正仿宋_GBK" w:cs="Times New Roman"/>
          <w:kern w:val="2"/>
          <w:sz w:val="32"/>
          <w:szCs w:val="32"/>
          <w:lang w:val="en-US" w:eastAsia="zh-CN" w:bidi="ar"/>
        </w:rPr>
        <w:t>40%</w:t>
      </w:r>
      <w:r>
        <w:rPr>
          <w:rFonts w:hint="eastAsia" w:ascii="方正仿宋_GBK" w:hAnsi="方正仿宋_GBK" w:eastAsia="方正仿宋_GBK" w:cs="方正仿宋_GBK"/>
          <w:kern w:val="2"/>
          <w:sz w:val="32"/>
          <w:szCs w:val="32"/>
          <w:lang w:val="en-US" w:eastAsia="zh-CN" w:bidi="ar"/>
        </w:rPr>
        <w:t>以上。</w:t>
      </w:r>
    </w:p>
    <w:p w14:paraId="58F8FDF0">
      <w:pPr>
        <w:keepNext w:val="0"/>
        <w:keepLines w:val="0"/>
        <w:widowControl w:val="0"/>
        <w:suppressLineNumbers w:val="0"/>
        <w:spacing w:before="0" w:beforeAutospacing="0" w:after="0" w:afterAutospacing="0" w:line="570" w:lineRule="exact"/>
        <w:ind w:left="0" w:right="0" w:firstLine="640" w:firstLineChars="200"/>
        <w:jc w:val="both"/>
        <w:rPr>
          <w:rFonts w:hint="default" w:ascii="Times New Roman" w:hAnsi="Times New Roman" w:eastAsia="方正仿宋_GBK" w:cs="Times New Roman"/>
          <w:kern w:val="2"/>
          <w:sz w:val="32"/>
          <w:szCs w:val="32"/>
        </w:rPr>
      </w:pPr>
      <w:r>
        <w:rPr>
          <w:rFonts w:hint="eastAsia" w:ascii="方正仿宋_GBK" w:hAnsi="方正仿宋_GBK" w:eastAsia="方正仿宋_GBK" w:cs="方正仿宋_GBK"/>
          <w:kern w:val="2"/>
          <w:sz w:val="32"/>
          <w:szCs w:val="32"/>
          <w:lang w:val="en-US" w:eastAsia="zh-CN" w:bidi="ar"/>
        </w:rPr>
        <w:t>（</w:t>
      </w:r>
      <w:r>
        <w:rPr>
          <w:rFonts w:hint="default" w:ascii="Times New Roman" w:hAnsi="Times New Roman" w:eastAsia="方正仿宋_GBK" w:cs="Times New Roman"/>
          <w:kern w:val="2"/>
          <w:sz w:val="32"/>
          <w:szCs w:val="32"/>
          <w:lang w:val="en-US" w:eastAsia="zh-CN" w:bidi="ar"/>
        </w:rPr>
        <w:t>8</w:t>
      </w:r>
      <w:r>
        <w:rPr>
          <w:rFonts w:hint="eastAsia" w:ascii="方正仿宋_GBK" w:hAnsi="方正仿宋_GBK" w:eastAsia="方正仿宋_GBK" w:cs="方正仿宋_GBK"/>
          <w:kern w:val="2"/>
          <w:sz w:val="32"/>
          <w:szCs w:val="32"/>
          <w:lang w:val="en-US" w:eastAsia="zh-CN" w:bidi="ar"/>
        </w:rPr>
        <w:t>）稳妥实施各项补助政策。兑现</w:t>
      </w:r>
      <w:r>
        <w:rPr>
          <w:rFonts w:hint="default" w:ascii="Times New Roman" w:hAnsi="Times New Roman" w:eastAsia="方正仿宋_GBK" w:cs="Times New Roman"/>
          <w:kern w:val="2"/>
          <w:sz w:val="32"/>
          <w:szCs w:val="32"/>
          <w:lang w:val="en-US" w:eastAsia="zh-CN" w:bidi="ar"/>
        </w:rPr>
        <w:t>2024</w:t>
      </w:r>
      <w:r>
        <w:rPr>
          <w:rFonts w:hint="eastAsia" w:ascii="方正仿宋_GBK" w:hAnsi="方正仿宋_GBK" w:eastAsia="方正仿宋_GBK" w:cs="方正仿宋_GBK"/>
          <w:kern w:val="2"/>
          <w:sz w:val="32"/>
          <w:szCs w:val="32"/>
          <w:lang w:val="en-US" w:eastAsia="zh-CN" w:bidi="ar"/>
        </w:rPr>
        <w:t>年计划生育家庭特别扶助制度、计划生育家庭特别扶助制度（其它）目标对象扶助金</w:t>
      </w:r>
      <w:r>
        <w:rPr>
          <w:rFonts w:hint="default" w:ascii="Times New Roman" w:hAnsi="Times New Roman" w:eastAsia="方正仿宋_GBK" w:cs="Times New Roman"/>
          <w:kern w:val="2"/>
          <w:sz w:val="32"/>
          <w:szCs w:val="32"/>
          <w:lang w:val="en-US" w:eastAsia="zh-CN" w:bidi="ar"/>
        </w:rPr>
        <w:t>1074.996</w:t>
      </w:r>
      <w:r>
        <w:rPr>
          <w:rFonts w:hint="eastAsia" w:ascii="方正仿宋_GBK" w:hAnsi="方正仿宋_GBK" w:eastAsia="方正仿宋_GBK" w:cs="方正仿宋_GBK"/>
          <w:kern w:val="2"/>
          <w:sz w:val="32"/>
          <w:szCs w:val="32"/>
          <w:lang w:val="en-US" w:eastAsia="zh-CN" w:bidi="ar"/>
        </w:rPr>
        <w:t>万元。搭建</w:t>
      </w:r>
      <w:r>
        <w:rPr>
          <w:rFonts w:hint="default" w:ascii="Times New Roman" w:hAnsi="Times New Roman" w:eastAsia="方正仿宋_GBK" w:cs="Times New Roman"/>
          <w:kern w:val="2"/>
          <w:sz w:val="32"/>
          <w:szCs w:val="32"/>
          <w:lang w:val="en-US" w:eastAsia="zh-CN" w:bidi="ar"/>
        </w:rPr>
        <w:t>“</w:t>
      </w:r>
      <w:r>
        <w:rPr>
          <w:rFonts w:hint="eastAsia" w:ascii="方正仿宋_GBK" w:hAnsi="方正仿宋_GBK" w:eastAsia="方正仿宋_GBK" w:cs="方正仿宋_GBK"/>
          <w:kern w:val="2"/>
          <w:sz w:val="32"/>
          <w:szCs w:val="32"/>
          <w:lang w:val="en-US" w:eastAsia="zh-CN" w:bidi="ar"/>
        </w:rPr>
        <w:t>计划生育特殊家庭扶助</w:t>
      </w:r>
      <w:r>
        <w:rPr>
          <w:rFonts w:hint="default" w:ascii="Times New Roman" w:hAnsi="Times New Roman" w:eastAsia="方正仿宋_GBK" w:cs="Times New Roman"/>
          <w:kern w:val="2"/>
          <w:sz w:val="32"/>
          <w:szCs w:val="32"/>
          <w:lang w:val="en-US" w:eastAsia="zh-CN" w:bidi="ar"/>
        </w:rPr>
        <w:t>”</w:t>
      </w:r>
      <w:r>
        <w:rPr>
          <w:rFonts w:hint="eastAsia" w:ascii="方正仿宋_GBK" w:hAnsi="方正仿宋_GBK" w:eastAsia="方正仿宋_GBK" w:cs="方正仿宋_GBK"/>
          <w:kern w:val="2"/>
          <w:sz w:val="32"/>
          <w:szCs w:val="32"/>
          <w:lang w:val="en-US" w:eastAsia="zh-CN" w:bidi="ar"/>
        </w:rPr>
        <w:t>就医绿色通道，建档帮扶</w:t>
      </w:r>
      <w:r>
        <w:rPr>
          <w:rFonts w:hint="default" w:ascii="Times New Roman" w:hAnsi="Times New Roman" w:eastAsia="方正仿宋_GBK" w:cs="Times New Roman"/>
          <w:kern w:val="2"/>
          <w:sz w:val="32"/>
          <w:szCs w:val="32"/>
          <w:lang w:val="en-US" w:eastAsia="zh-CN" w:bidi="ar"/>
        </w:rPr>
        <w:t>129</w:t>
      </w:r>
      <w:r>
        <w:rPr>
          <w:rFonts w:hint="eastAsia" w:ascii="方正仿宋_GBK" w:hAnsi="方正仿宋_GBK" w:eastAsia="方正仿宋_GBK" w:cs="方正仿宋_GBK"/>
          <w:kern w:val="2"/>
          <w:sz w:val="32"/>
          <w:szCs w:val="32"/>
          <w:lang w:val="en-US" w:eastAsia="zh-CN" w:bidi="ar"/>
        </w:rPr>
        <w:t>户、</w:t>
      </w:r>
      <w:r>
        <w:rPr>
          <w:rFonts w:hint="default" w:ascii="Times New Roman" w:hAnsi="Times New Roman" w:eastAsia="方正仿宋_GBK" w:cs="Times New Roman"/>
          <w:kern w:val="2"/>
          <w:sz w:val="32"/>
          <w:szCs w:val="32"/>
          <w:lang w:val="en-US" w:eastAsia="zh-CN" w:bidi="ar"/>
        </w:rPr>
        <w:t>171</w:t>
      </w:r>
      <w:r>
        <w:rPr>
          <w:rFonts w:hint="eastAsia" w:ascii="方正仿宋_GBK" w:hAnsi="方正仿宋_GBK" w:eastAsia="方正仿宋_GBK" w:cs="方正仿宋_GBK"/>
          <w:kern w:val="2"/>
          <w:sz w:val="32"/>
          <w:szCs w:val="32"/>
          <w:lang w:val="en-US" w:eastAsia="zh-CN" w:bidi="ar"/>
        </w:rPr>
        <w:t>人，建档率</w:t>
      </w:r>
      <w:r>
        <w:rPr>
          <w:rFonts w:hint="default" w:ascii="Times New Roman" w:hAnsi="Times New Roman" w:eastAsia="方正仿宋_GBK" w:cs="Times New Roman"/>
          <w:kern w:val="2"/>
          <w:sz w:val="32"/>
          <w:szCs w:val="32"/>
          <w:lang w:val="en-US" w:eastAsia="zh-CN" w:bidi="ar"/>
        </w:rPr>
        <w:t>100%</w:t>
      </w:r>
      <w:r>
        <w:rPr>
          <w:rFonts w:hint="eastAsia" w:ascii="方正仿宋_GBK" w:hAnsi="方正仿宋_GBK" w:eastAsia="方正仿宋_GBK" w:cs="方正仿宋_GBK"/>
          <w:kern w:val="2"/>
          <w:sz w:val="32"/>
          <w:szCs w:val="32"/>
          <w:lang w:val="en-US" w:eastAsia="zh-CN" w:bidi="ar"/>
        </w:rPr>
        <w:t>。实施特殊家庭住院护理补贴保险制度，为</w:t>
      </w:r>
      <w:r>
        <w:rPr>
          <w:rFonts w:hint="default" w:ascii="Times New Roman" w:hAnsi="Times New Roman" w:eastAsia="方正仿宋_GBK" w:cs="Times New Roman"/>
          <w:kern w:val="2"/>
          <w:sz w:val="32"/>
          <w:szCs w:val="32"/>
          <w:lang w:val="en-US" w:eastAsia="zh-CN" w:bidi="ar"/>
        </w:rPr>
        <w:t>171</w:t>
      </w:r>
      <w:r>
        <w:rPr>
          <w:rFonts w:hint="eastAsia" w:ascii="方正仿宋_GBK" w:hAnsi="方正仿宋_GBK" w:eastAsia="方正仿宋_GBK" w:cs="方正仿宋_GBK"/>
          <w:kern w:val="2"/>
          <w:sz w:val="32"/>
          <w:szCs w:val="32"/>
          <w:lang w:val="en-US" w:eastAsia="zh-CN" w:bidi="ar"/>
        </w:rPr>
        <w:t>名特别扶助对象购买住院护理补贴保险，理赔住院护理补贴</w:t>
      </w:r>
      <w:r>
        <w:rPr>
          <w:rFonts w:hint="default" w:ascii="Times New Roman" w:hAnsi="Times New Roman" w:eastAsia="方正仿宋_GBK" w:cs="Times New Roman"/>
          <w:kern w:val="2"/>
          <w:sz w:val="32"/>
          <w:szCs w:val="32"/>
          <w:lang w:val="en-US" w:eastAsia="zh-CN" w:bidi="ar"/>
        </w:rPr>
        <w:t>28</w:t>
      </w:r>
      <w:r>
        <w:rPr>
          <w:rFonts w:hint="eastAsia" w:ascii="方正仿宋_GBK" w:hAnsi="方正仿宋_GBK" w:eastAsia="方正仿宋_GBK" w:cs="方正仿宋_GBK"/>
          <w:kern w:val="2"/>
          <w:sz w:val="32"/>
          <w:szCs w:val="32"/>
          <w:lang w:val="en-US" w:eastAsia="zh-CN" w:bidi="ar"/>
        </w:rPr>
        <w:t>件</w:t>
      </w:r>
      <w:r>
        <w:rPr>
          <w:rFonts w:hint="default" w:ascii="Times New Roman" w:hAnsi="Times New Roman" w:eastAsia="方正仿宋_GBK" w:cs="Times New Roman"/>
          <w:kern w:val="2"/>
          <w:sz w:val="32"/>
          <w:szCs w:val="32"/>
          <w:lang w:val="en-US" w:eastAsia="zh-CN" w:bidi="ar"/>
        </w:rPr>
        <w:t>3.32</w:t>
      </w:r>
      <w:r>
        <w:rPr>
          <w:rFonts w:hint="eastAsia" w:ascii="方正仿宋_GBK" w:hAnsi="方正仿宋_GBK" w:eastAsia="方正仿宋_GBK" w:cs="方正仿宋_GBK"/>
          <w:kern w:val="2"/>
          <w:sz w:val="32"/>
          <w:szCs w:val="32"/>
          <w:lang w:val="en-US" w:eastAsia="zh-CN" w:bidi="ar"/>
        </w:rPr>
        <w:t>万元。严格执行脱贫人口动态监测和精准帮扶机制，规范运行卫生扶贫救助基金，</w:t>
      </w:r>
      <w:r>
        <w:rPr>
          <w:rFonts w:hint="default" w:ascii="Times New Roman" w:hAnsi="Times New Roman" w:eastAsia="方正仿宋_GBK" w:cs="Times New Roman"/>
          <w:kern w:val="2"/>
          <w:sz w:val="32"/>
          <w:szCs w:val="32"/>
          <w:lang w:val="en-US" w:eastAsia="zh-CN" w:bidi="ar"/>
        </w:rPr>
        <w:t>2024</w:t>
      </w:r>
      <w:r>
        <w:rPr>
          <w:rFonts w:hint="eastAsia" w:ascii="方正仿宋_GBK" w:hAnsi="方正仿宋_GBK" w:eastAsia="方正仿宋_GBK" w:cs="方正仿宋_GBK"/>
          <w:kern w:val="2"/>
          <w:sz w:val="32"/>
          <w:szCs w:val="32"/>
          <w:lang w:val="en-US" w:eastAsia="zh-CN" w:bidi="ar"/>
        </w:rPr>
        <w:t>年</w:t>
      </w:r>
      <w:r>
        <w:rPr>
          <w:rFonts w:hint="default" w:ascii="Times New Roman" w:hAnsi="Times New Roman" w:eastAsia="方正仿宋_GBK" w:cs="Times New Roman"/>
          <w:kern w:val="2"/>
          <w:sz w:val="32"/>
          <w:szCs w:val="32"/>
          <w:lang w:val="en-US" w:eastAsia="zh-CN" w:bidi="ar"/>
        </w:rPr>
        <w:t>1-10</w:t>
      </w:r>
      <w:r>
        <w:rPr>
          <w:rFonts w:hint="eastAsia" w:ascii="方正仿宋_GBK" w:hAnsi="方正仿宋_GBK" w:eastAsia="方正仿宋_GBK" w:cs="方正仿宋_GBK"/>
          <w:kern w:val="2"/>
          <w:sz w:val="32"/>
          <w:szCs w:val="32"/>
          <w:lang w:val="en-US" w:eastAsia="zh-CN" w:bidi="ar"/>
        </w:rPr>
        <w:t>共救助</w:t>
      </w:r>
      <w:r>
        <w:rPr>
          <w:rFonts w:hint="default" w:ascii="Times New Roman" w:hAnsi="Times New Roman" w:eastAsia="方正仿宋_GBK" w:cs="Times New Roman"/>
          <w:kern w:val="2"/>
          <w:sz w:val="32"/>
          <w:szCs w:val="32"/>
          <w:lang w:val="en-US" w:eastAsia="zh-CN" w:bidi="ar"/>
        </w:rPr>
        <w:t>1399</w:t>
      </w:r>
      <w:r>
        <w:rPr>
          <w:rFonts w:hint="eastAsia" w:ascii="方正仿宋_GBK" w:hAnsi="方正仿宋_GBK" w:eastAsia="方正仿宋_GBK" w:cs="方正仿宋_GBK"/>
          <w:kern w:val="2"/>
          <w:sz w:val="32"/>
          <w:szCs w:val="32"/>
          <w:lang w:val="en-US" w:eastAsia="zh-CN" w:bidi="ar"/>
        </w:rPr>
        <w:t>人次，兑现救助金</w:t>
      </w:r>
      <w:r>
        <w:rPr>
          <w:rFonts w:hint="default" w:ascii="Times New Roman" w:hAnsi="Times New Roman" w:eastAsia="方正仿宋_GBK" w:cs="Times New Roman"/>
          <w:kern w:val="2"/>
          <w:sz w:val="32"/>
          <w:szCs w:val="32"/>
          <w:lang w:val="en-US" w:eastAsia="zh-CN" w:bidi="ar"/>
        </w:rPr>
        <w:t>93.89</w:t>
      </w:r>
      <w:r>
        <w:rPr>
          <w:rFonts w:hint="eastAsia" w:ascii="方正仿宋_GBK" w:hAnsi="方正仿宋_GBK" w:eastAsia="方正仿宋_GBK" w:cs="方正仿宋_GBK"/>
          <w:kern w:val="2"/>
          <w:sz w:val="32"/>
          <w:szCs w:val="32"/>
          <w:lang w:val="en-US" w:eastAsia="zh-CN" w:bidi="ar"/>
        </w:rPr>
        <w:t>万元；自救助基金开设以来累计救助</w:t>
      </w:r>
      <w:r>
        <w:rPr>
          <w:rFonts w:hint="default" w:ascii="Times New Roman" w:hAnsi="Times New Roman" w:eastAsia="方正仿宋_GBK" w:cs="Times New Roman"/>
          <w:kern w:val="2"/>
          <w:sz w:val="32"/>
          <w:szCs w:val="32"/>
          <w:lang w:val="en-US" w:eastAsia="zh-CN" w:bidi="ar"/>
        </w:rPr>
        <w:t>8310</w:t>
      </w:r>
      <w:r>
        <w:rPr>
          <w:rFonts w:hint="eastAsia" w:ascii="方正仿宋_GBK" w:hAnsi="方正仿宋_GBK" w:eastAsia="方正仿宋_GBK" w:cs="方正仿宋_GBK"/>
          <w:kern w:val="2"/>
          <w:sz w:val="32"/>
          <w:szCs w:val="32"/>
          <w:lang w:val="en-US" w:eastAsia="zh-CN" w:bidi="ar"/>
        </w:rPr>
        <w:t>人，累计兑现救助基金</w:t>
      </w:r>
      <w:r>
        <w:rPr>
          <w:rFonts w:hint="default" w:ascii="Times New Roman" w:hAnsi="Times New Roman" w:eastAsia="方正仿宋_GBK" w:cs="Times New Roman"/>
          <w:kern w:val="2"/>
          <w:sz w:val="32"/>
          <w:szCs w:val="32"/>
          <w:lang w:val="en-US" w:eastAsia="zh-CN" w:bidi="ar"/>
        </w:rPr>
        <w:t>1000.52</w:t>
      </w:r>
      <w:r>
        <w:rPr>
          <w:rFonts w:hint="eastAsia" w:ascii="方正仿宋_GBK" w:hAnsi="方正仿宋_GBK" w:eastAsia="方正仿宋_GBK" w:cs="方正仿宋_GBK"/>
          <w:kern w:val="2"/>
          <w:sz w:val="32"/>
          <w:szCs w:val="32"/>
          <w:lang w:val="en-US" w:eastAsia="zh-CN" w:bidi="ar"/>
        </w:rPr>
        <w:t>万元。</w:t>
      </w:r>
    </w:p>
    <w:p w14:paraId="36225434">
      <w:pPr>
        <w:keepNext w:val="0"/>
        <w:keepLines w:val="0"/>
        <w:widowControl w:val="0"/>
        <w:suppressLineNumbers w:val="0"/>
        <w:spacing w:before="0" w:beforeAutospacing="0" w:after="0" w:afterAutospacing="0" w:line="570" w:lineRule="exact"/>
        <w:ind w:left="0" w:right="0" w:firstLine="640" w:firstLineChars="200"/>
        <w:jc w:val="both"/>
        <w:rPr>
          <w:rFonts w:eastAsia="仿宋_GB2312"/>
          <w:sz w:val="32"/>
          <w:szCs w:val="32"/>
        </w:rPr>
      </w:pPr>
      <w:r>
        <w:rPr>
          <w:rFonts w:hint="eastAsia" w:ascii="方正仿宋_GBK" w:hAnsi="方正仿宋_GBK" w:eastAsia="方正仿宋_GBK" w:cs="方正仿宋_GBK"/>
          <w:kern w:val="2"/>
          <w:sz w:val="32"/>
          <w:szCs w:val="32"/>
          <w:lang w:val="en-US" w:eastAsia="zh-CN" w:bidi="ar"/>
        </w:rPr>
        <w:t>中药材产业发展规划项目编制的成稿未能达预期，与盐边县中医药发展县情不符，故而仅支付发票税钱。</w:t>
      </w:r>
    </w:p>
    <w:p w14:paraId="2AE124DD">
      <w:pPr>
        <w:keepNext w:val="0"/>
        <w:keepLines w:val="0"/>
        <w:widowControl w:val="0"/>
        <w:suppressLineNumbers w:val="0"/>
        <w:spacing w:before="0" w:beforeAutospacing="0" w:after="0" w:afterAutospacing="0" w:line="570" w:lineRule="exact"/>
        <w:ind w:left="0" w:right="0" w:firstLine="643" w:firstLineChars="200"/>
        <w:jc w:val="both"/>
        <w:rPr>
          <w:rFonts w:hint="default" w:ascii="Times New Roman" w:hAnsi="Times New Roman" w:eastAsia="方正仿宋_GBK" w:cs="Times New Roman"/>
          <w:kern w:val="2"/>
          <w:sz w:val="32"/>
          <w:szCs w:val="32"/>
        </w:rPr>
      </w:pPr>
      <w:r>
        <w:rPr>
          <w:rFonts w:eastAsia="楷体_GB2312"/>
          <w:b/>
          <w:bCs/>
          <w:kern w:val="0"/>
          <w:sz w:val="32"/>
          <w:szCs w:val="32"/>
          <w:shd w:val="clear" w:color="auto" w:fill="FFFFFF"/>
          <w:lang w:val="zh-CN"/>
        </w:rPr>
        <w:t>（</w:t>
      </w:r>
      <w:r>
        <w:rPr>
          <w:rFonts w:hint="eastAsia" w:eastAsia="楷体_GB2312"/>
          <w:b/>
          <w:bCs/>
          <w:kern w:val="0"/>
          <w:sz w:val="32"/>
          <w:szCs w:val="32"/>
          <w:shd w:val="clear" w:color="auto" w:fill="FFFFFF"/>
        </w:rPr>
        <w:t>三</w:t>
      </w:r>
      <w:r>
        <w:rPr>
          <w:rFonts w:eastAsia="楷体_GB2312"/>
          <w:b/>
          <w:bCs/>
          <w:kern w:val="0"/>
          <w:sz w:val="32"/>
          <w:szCs w:val="32"/>
          <w:shd w:val="clear" w:color="auto" w:fill="FFFFFF"/>
          <w:lang w:val="zh-CN"/>
        </w:rPr>
        <w:t>）绩效结果应用情况</w:t>
      </w:r>
      <w:r>
        <w:rPr>
          <w:rFonts w:hint="eastAsia" w:eastAsia="楷体_GB2312"/>
          <w:b/>
          <w:bCs/>
          <w:kern w:val="0"/>
          <w:sz w:val="32"/>
          <w:szCs w:val="32"/>
          <w:shd w:val="clear" w:color="auto" w:fill="FFFFFF"/>
          <w:lang w:val="zh-CN"/>
        </w:rPr>
        <w:t>。</w:t>
      </w:r>
      <w:r>
        <w:rPr>
          <w:rFonts w:hint="default" w:ascii="Times New Roman" w:hAnsi="Times New Roman" w:eastAsia="方正仿宋_GBK" w:cs="Times New Roman"/>
          <w:kern w:val="2"/>
          <w:sz w:val="32"/>
          <w:szCs w:val="32"/>
          <w:lang w:val="en-US" w:eastAsia="zh-CN" w:bidi="ar"/>
        </w:rPr>
        <w:t>1.</w:t>
      </w:r>
      <w:r>
        <w:rPr>
          <w:rFonts w:hint="eastAsia" w:ascii="方正仿宋_GBK" w:hAnsi="方正仿宋_GBK" w:eastAsia="方正仿宋_GBK" w:cs="方正仿宋_GBK"/>
          <w:kern w:val="2"/>
          <w:sz w:val="32"/>
          <w:szCs w:val="32"/>
          <w:lang w:val="en-US" w:eastAsia="zh-CN" w:bidi="ar"/>
        </w:rPr>
        <w:t>内部应用情况。将绩效评价结果与预算安排、项目调整、单位考核等挂钩。对绩效评价优秀的项目和单位，在预算安排上给予优先支持；对绩效不佳的项目，进行深入分析，查找原因，提出整改措施，并根据情况调整预算或暂停项目实施。同时，将评价结果作为下属单位年度考核的重要依据，激励各单位提高预算绩效管理水平</w:t>
      </w:r>
      <w:r>
        <w:rPr>
          <w:rFonts w:hint="default" w:ascii="Times New Roman" w:hAnsi="Times New Roman" w:eastAsia="方正仿宋_GBK" w:cs="Times New Roman"/>
          <w:kern w:val="2"/>
          <w:sz w:val="32"/>
          <w:szCs w:val="32"/>
          <w:lang w:val="en-US" w:eastAsia="zh-CN" w:bidi="ar"/>
        </w:rPr>
        <w:t xml:space="preserve"> </w:t>
      </w:r>
      <w:r>
        <w:rPr>
          <w:rFonts w:hint="eastAsia" w:ascii="方正仿宋_GBK" w:hAnsi="方正仿宋_GBK" w:eastAsia="方正仿宋_GBK" w:cs="方正仿宋_GBK"/>
          <w:kern w:val="2"/>
          <w:sz w:val="32"/>
          <w:szCs w:val="32"/>
          <w:lang w:val="en-US" w:eastAsia="zh-CN" w:bidi="ar"/>
        </w:rPr>
        <w:t>。</w:t>
      </w:r>
      <w:r>
        <w:rPr>
          <w:rFonts w:hint="default" w:ascii="Times New Roman" w:hAnsi="Times New Roman" w:eastAsia="方正仿宋_GBK" w:cs="Times New Roman"/>
          <w:kern w:val="2"/>
          <w:sz w:val="32"/>
          <w:szCs w:val="32"/>
          <w:lang w:val="en-US" w:eastAsia="zh-CN" w:bidi="ar"/>
        </w:rPr>
        <w:t>​</w:t>
      </w:r>
    </w:p>
    <w:p w14:paraId="69F2FFA6">
      <w:pPr>
        <w:keepNext w:val="0"/>
        <w:keepLines w:val="0"/>
        <w:widowControl w:val="0"/>
        <w:suppressLineNumbers w:val="0"/>
        <w:spacing w:before="0" w:beforeAutospacing="0" w:after="0" w:afterAutospacing="0" w:line="570" w:lineRule="exact"/>
        <w:ind w:left="0" w:right="0" w:firstLine="640" w:firstLineChars="200"/>
        <w:jc w:val="both"/>
        <w:rPr>
          <w:rFonts w:eastAsia="仿宋_GB2312"/>
          <w:sz w:val="32"/>
          <w:szCs w:val="32"/>
          <w:lang w:bidi="ar"/>
        </w:rPr>
      </w:pPr>
      <w:r>
        <w:rPr>
          <w:rFonts w:hint="default" w:ascii="Times New Roman" w:hAnsi="Times New Roman" w:eastAsia="方正仿宋_GBK" w:cs="Times New Roman"/>
          <w:kern w:val="2"/>
          <w:sz w:val="32"/>
          <w:szCs w:val="32"/>
          <w:lang w:val="en-US" w:eastAsia="zh-CN" w:bidi="ar"/>
        </w:rPr>
        <w:t>2.</w:t>
      </w:r>
      <w:r>
        <w:rPr>
          <w:rFonts w:hint="eastAsia" w:ascii="方正仿宋_GBK" w:hAnsi="方正仿宋_GBK" w:eastAsia="方正仿宋_GBK" w:cs="方正仿宋_GBK"/>
          <w:kern w:val="2"/>
          <w:sz w:val="32"/>
          <w:szCs w:val="32"/>
          <w:lang w:val="en-US" w:eastAsia="zh-CN" w:bidi="ar"/>
        </w:rPr>
        <w:t>信息公开情况。卫生健康系统内各单位均按县财政局相关规定和要求，将部门预算、决算及绩效评价等信息，按时在盐边县公众信息网“财政信息”栏中进行公开。</w:t>
      </w:r>
    </w:p>
    <w:p w14:paraId="5DC185F1">
      <w:pPr>
        <w:widowControl/>
        <w:adjustRightInd w:val="0"/>
        <w:snapToGrid w:val="0"/>
        <w:spacing w:line="578" w:lineRule="exact"/>
        <w:ind w:firstLine="640" w:firstLineChars="200"/>
        <w:contextualSpacing/>
        <w:jc w:val="left"/>
        <w:rPr>
          <w:rFonts w:eastAsia="黑体"/>
          <w:kern w:val="0"/>
          <w:sz w:val="32"/>
          <w:szCs w:val="32"/>
          <w:shd w:val="clear" w:color="auto" w:fill="FFFFFF"/>
          <w:lang w:val="zh-CN"/>
        </w:rPr>
      </w:pPr>
      <w:r>
        <w:rPr>
          <w:rFonts w:eastAsia="黑体"/>
          <w:kern w:val="0"/>
          <w:sz w:val="32"/>
          <w:szCs w:val="32"/>
          <w:shd w:val="clear" w:color="auto" w:fill="FFFFFF"/>
          <w:lang w:val="zh-CN"/>
        </w:rPr>
        <w:t>四、评价结论及建议</w:t>
      </w:r>
    </w:p>
    <w:p w14:paraId="070FD8E0">
      <w:pPr>
        <w:keepNext w:val="0"/>
        <w:keepLines w:val="0"/>
        <w:widowControl w:val="0"/>
        <w:suppressLineNumbers w:val="0"/>
        <w:spacing w:before="0" w:beforeAutospacing="0" w:after="0" w:afterAutospacing="0" w:line="570" w:lineRule="exact"/>
        <w:ind w:left="0" w:right="0" w:firstLine="643" w:firstLineChars="200"/>
        <w:jc w:val="both"/>
        <w:rPr>
          <w:rFonts w:hint="eastAsia" w:ascii="Times New Roman" w:hAnsi="Times New Roman" w:eastAsia="方正仿宋_GBK" w:cs="Times New Roman"/>
          <w:kern w:val="2"/>
          <w:sz w:val="32"/>
          <w:szCs w:val="32"/>
        </w:rPr>
      </w:pPr>
      <w:r>
        <w:rPr>
          <w:rFonts w:eastAsia="楷体_GB2312"/>
          <w:b/>
          <w:bCs/>
          <w:kern w:val="0"/>
          <w:sz w:val="32"/>
          <w:szCs w:val="32"/>
          <w:shd w:val="clear" w:color="auto" w:fill="FFFFFF"/>
          <w:lang w:val="zh-CN"/>
        </w:rPr>
        <w:t>（一）评价结论。</w:t>
      </w:r>
      <w:r>
        <w:rPr>
          <w:rFonts w:hint="eastAsia" w:ascii="方正仿宋_GBK" w:hAnsi="方正仿宋_GBK" w:eastAsia="方正仿宋_GBK" w:cs="方正仿宋_GBK"/>
          <w:kern w:val="2"/>
          <w:sz w:val="32"/>
          <w:szCs w:val="32"/>
          <w:lang w:val="en-US" w:eastAsia="zh-CN" w:bidi="ar"/>
        </w:rPr>
        <w:t>盐边县卫生健康局严格按照财政预算编制规定和要求，结合单位年度工作计划采取人员经费按照县委组织部审核过的工资进行编制，公用经费按定额编制的方法按时完成人员经费、日常公用经费编制工作，切实做到数据完整和准确无误。项目资金预算，精准编制项目支出绩效申报表，提供准确的项目支撑依据，切实做到项目资金编制的合理化，并按财政规定完整、准确、及时报送。</w:t>
      </w:r>
    </w:p>
    <w:p w14:paraId="112274BC">
      <w:pPr>
        <w:keepNext w:val="0"/>
        <w:keepLines w:val="0"/>
        <w:widowControl w:val="0"/>
        <w:suppressLineNumbers w:val="0"/>
        <w:spacing w:before="0" w:beforeAutospacing="0" w:after="0" w:afterAutospacing="0" w:line="570" w:lineRule="exact"/>
        <w:ind w:left="0" w:right="0" w:firstLine="640" w:firstLineChars="200"/>
        <w:jc w:val="both"/>
        <w:rPr>
          <w:rFonts w:hint="eastAsia" w:ascii="Times New Roman" w:hAnsi="Times New Roman" w:eastAsia="方正仿宋_GBK" w:cs="Times New Roman"/>
          <w:kern w:val="2"/>
          <w:sz w:val="32"/>
          <w:szCs w:val="32"/>
        </w:rPr>
      </w:pPr>
      <w:r>
        <w:rPr>
          <w:rFonts w:hint="eastAsia" w:ascii="方正仿宋_GBK" w:hAnsi="方正仿宋_GBK" w:eastAsia="方正仿宋_GBK" w:cs="方正仿宋_GBK"/>
          <w:kern w:val="2"/>
          <w:sz w:val="32"/>
          <w:szCs w:val="32"/>
          <w:lang w:val="en-US" w:eastAsia="zh-CN" w:bidi="ar"/>
        </w:rPr>
        <w:t>资金支出执行方面严格按照预算执行，坚持“反对浪费、节约开支”的原则，专款专用，不拖欠、不挪用。在收到财政对口股室下达的各类指标后，按照资金的用途，在把好审核关的基础上，按时按量按照资金预算进度及时拨付各项款项。人员经费、日常公用是按要求和规定给予支付，保障机关正常运转。加强“三公”经费管理，严格把支出控制在年初的预算指标内，严格按照中央八项规定、省、市“十项规定”和财务相关规定执行财政资金的管理和使用。</w:t>
      </w:r>
    </w:p>
    <w:p w14:paraId="65FF91B5">
      <w:pPr>
        <w:keepNext w:val="0"/>
        <w:keepLines w:val="0"/>
        <w:widowControl w:val="0"/>
        <w:suppressLineNumbers w:val="0"/>
        <w:spacing w:before="0" w:beforeAutospacing="0" w:after="0" w:afterAutospacing="0" w:line="570" w:lineRule="exact"/>
        <w:ind w:left="0" w:right="0"/>
        <w:jc w:val="both"/>
        <w:rPr>
          <w:rFonts w:eastAsia="仿宋_GB2312"/>
          <w:sz w:val="32"/>
          <w:szCs w:val="32"/>
          <w:lang w:bidi="ar"/>
        </w:rPr>
      </w:pPr>
      <w:r>
        <w:rPr>
          <w:rFonts w:hint="default" w:ascii="Times New Roman" w:hAnsi="Times New Roman" w:eastAsia="方正仿宋_GBK" w:cs="Times New Roman"/>
          <w:kern w:val="2"/>
          <w:sz w:val="32"/>
          <w:szCs w:val="32"/>
          <w:lang w:val="en-US" w:eastAsia="zh-CN" w:bidi="ar"/>
        </w:rPr>
        <w:t>2024</w:t>
      </w:r>
      <w:r>
        <w:rPr>
          <w:rFonts w:hint="eastAsia" w:ascii="方正仿宋_GBK" w:hAnsi="方正仿宋_GBK" w:eastAsia="方正仿宋_GBK" w:cs="方正仿宋_GBK"/>
          <w:kern w:val="2"/>
          <w:sz w:val="32"/>
          <w:szCs w:val="32"/>
          <w:lang w:val="en-US" w:eastAsia="zh-CN" w:bidi="ar"/>
        </w:rPr>
        <w:t>年全年基本支出保证了部门的正常运行和日常工作的正常开展，项目支出保障了部门重点工作的实施，达到了预期绩效管理目标，自评得分</w:t>
      </w:r>
      <w:r>
        <w:rPr>
          <w:rFonts w:hint="default" w:ascii="Times New Roman" w:hAnsi="Times New Roman" w:eastAsia="方正仿宋_GBK" w:cs="Times New Roman"/>
          <w:kern w:val="2"/>
          <w:sz w:val="32"/>
          <w:szCs w:val="32"/>
          <w:lang w:val="en-US" w:eastAsia="zh-CN" w:bidi="ar"/>
        </w:rPr>
        <w:t>94.2</w:t>
      </w:r>
      <w:r>
        <w:rPr>
          <w:rFonts w:hint="eastAsia" w:ascii="方正仿宋_GBK" w:hAnsi="方正仿宋_GBK" w:eastAsia="方正仿宋_GBK" w:cs="方正仿宋_GBK"/>
          <w:kern w:val="2"/>
          <w:sz w:val="32"/>
          <w:szCs w:val="32"/>
          <w:lang w:val="en-US" w:eastAsia="zh-CN" w:bidi="ar"/>
        </w:rPr>
        <w:t>分。</w:t>
      </w:r>
    </w:p>
    <w:p w14:paraId="5675C8FA">
      <w:pPr>
        <w:keepNext w:val="0"/>
        <w:keepLines w:val="0"/>
        <w:widowControl w:val="0"/>
        <w:suppressLineNumbers w:val="0"/>
        <w:spacing w:before="0" w:beforeAutospacing="0" w:after="0" w:afterAutospacing="0" w:line="570" w:lineRule="exact"/>
        <w:ind w:left="0" w:right="0" w:firstLine="643" w:firstLineChars="200"/>
        <w:jc w:val="both"/>
        <w:rPr>
          <w:rFonts w:hint="default" w:ascii="Times New Roman" w:hAnsi="Times New Roman" w:eastAsia="方正仿宋_GBK" w:cs="Times New Roman"/>
          <w:kern w:val="2"/>
          <w:sz w:val="32"/>
          <w:szCs w:val="32"/>
        </w:rPr>
      </w:pPr>
      <w:r>
        <w:rPr>
          <w:rFonts w:eastAsia="楷体_GB2312"/>
          <w:b/>
          <w:bCs/>
          <w:kern w:val="0"/>
          <w:sz w:val="32"/>
          <w:szCs w:val="32"/>
          <w:shd w:val="clear" w:color="auto" w:fill="FFFFFF"/>
          <w:lang w:val="zh-CN"/>
        </w:rPr>
        <w:t>（二）存在问题。</w:t>
      </w:r>
      <w:r>
        <w:rPr>
          <w:rFonts w:hint="default" w:ascii="Times New Roman" w:hAnsi="Times New Roman" w:eastAsia="方正仿宋_GBK" w:cs="Times New Roman"/>
          <w:kern w:val="2"/>
          <w:sz w:val="32"/>
          <w:szCs w:val="32"/>
          <w:lang w:val="en-US" w:eastAsia="zh-CN" w:bidi="ar"/>
        </w:rPr>
        <w:t>1.</w:t>
      </w:r>
      <w:r>
        <w:rPr>
          <w:rFonts w:hint="eastAsia" w:ascii="方正仿宋_GBK" w:hAnsi="方正仿宋_GBK" w:eastAsia="方正仿宋_GBK" w:cs="方正仿宋_GBK"/>
          <w:kern w:val="2"/>
          <w:sz w:val="32"/>
          <w:szCs w:val="32"/>
          <w:lang w:val="en-US" w:eastAsia="zh-CN" w:bidi="ar"/>
        </w:rPr>
        <w:t>预算执行不均衡。部分项目资金到位时间较晚，影响资金支付进度，如重大传染病防治工作经费。个别项目未达预期，如中药材产业发展规划项目。</w:t>
      </w:r>
    </w:p>
    <w:p w14:paraId="71ECF6B0">
      <w:pPr>
        <w:keepNext w:val="0"/>
        <w:keepLines w:val="0"/>
        <w:widowControl w:val="0"/>
        <w:suppressLineNumbers w:val="0"/>
        <w:spacing w:before="0" w:beforeAutospacing="0" w:after="0" w:afterAutospacing="0" w:line="570" w:lineRule="exact"/>
        <w:ind w:left="0" w:right="0" w:firstLine="640" w:firstLineChars="200"/>
        <w:jc w:val="both"/>
        <w:rPr>
          <w:rFonts w:hint="default" w:ascii="Times New Roman" w:hAnsi="Times New Roman" w:eastAsia="方正仿宋_GBK" w:cs="Times New Roman"/>
          <w:kern w:val="2"/>
          <w:sz w:val="32"/>
          <w:szCs w:val="32"/>
        </w:rPr>
      </w:pPr>
      <w:r>
        <w:rPr>
          <w:rFonts w:hint="default" w:ascii="Times New Roman" w:hAnsi="Times New Roman" w:eastAsia="方正仿宋_GBK" w:cs="Times New Roman"/>
          <w:kern w:val="2"/>
          <w:sz w:val="32"/>
          <w:szCs w:val="32"/>
          <w:lang w:val="en-US" w:eastAsia="zh-CN" w:bidi="ar"/>
        </w:rPr>
        <w:t>2.</w:t>
      </w:r>
      <w:r>
        <w:rPr>
          <w:rFonts w:hint="eastAsia" w:ascii="方正仿宋_GBK" w:hAnsi="方正仿宋_GBK" w:eastAsia="方正仿宋_GBK" w:cs="方正仿宋_GBK"/>
          <w:kern w:val="2"/>
          <w:sz w:val="32"/>
          <w:szCs w:val="32"/>
          <w:lang w:val="en-US" w:eastAsia="zh-CN" w:bidi="ar"/>
        </w:rPr>
        <w:t>内部控制制度执行还不到位。内控制度基本明确了相关业务岗位的有关风险等级和风险防控措施，但相关业务股室领会认识有差距，履行职能职责还不是很到位。</w:t>
      </w:r>
      <w:r>
        <w:rPr>
          <w:rFonts w:hint="default" w:ascii="Times New Roman" w:hAnsi="Times New Roman" w:eastAsia="方正仿宋_GBK" w:cs="Times New Roman"/>
          <w:kern w:val="2"/>
          <w:sz w:val="32"/>
          <w:szCs w:val="32"/>
          <w:lang w:val="en-US" w:eastAsia="zh-CN" w:bidi="ar"/>
        </w:rPr>
        <w:t xml:space="preserve">  </w:t>
      </w:r>
    </w:p>
    <w:p w14:paraId="0BAEA9A1">
      <w:pPr>
        <w:keepNext w:val="0"/>
        <w:keepLines w:val="0"/>
        <w:widowControl w:val="0"/>
        <w:suppressLineNumbers w:val="0"/>
        <w:spacing w:before="0" w:beforeAutospacing="0" w:after="0" w:afterAutospacing="0" w:line="570" w:lineRule="exact"/>
        <w:ind w:right="0" w:firstLine="640" w:firstLineChars="200"/>
        <w:jc w:val="both"/>
        <w:rPr>
          <w:rFonts w:hint="eastAsia" w:ascii="方正仿宋_GBK" w:hAnsi="方正仿宋_GBK" w:eastAsia="方正仿宋_GBK" w:cs="方正仿宋_GBK"/>
          <w:kern w:val="2"/>
          <w:sz w:val="32"/>
          <w:szCs w:val="32"/>
          <w:lang w:val="en-US" w:eastAsia="zh-CN" w:bidi="ar"/>
        </w:rPr>
      </w:pPr>
      <w:r>
        <w:rPr>
          <w:rFonts w:hint="default" w:ascii="Times New Roman" w:hAnsi="Times New Roman" w:eastAsia="方正仿宋_GBK" w:cs="Times New Roman"/>
          <w:kern w:val="2"/>
          <w:sz w:val="32"/>
          <w:szCs w:val="32"/>
          <w:lang w:val="en-US" w:eastAsia="zh-CN" w:bidi="ar"/>
        </w:rPr>
        <w:t>3.</w:t>
      </w:r>
      <w:r>
        <w:rPr>
          <w:rFonts w:hint="eastAsia" w:ascii="方正仿宋_GBK" w:hAnsi="方正仿宋_GBK" w:eastAsia="方正仿宋_GBK" w:cs="方正仿宋_GBK"/>
          <w:kern w:val="2"/>
          <w:sz w:val="32"/>
          <w:szCs w:val="32"/>
          <w:lang w:val="en-US" w:eastAsia="zh-CN" w:bidi="ar"/>
        </w:rPr>
        <w:t>基层资源配置薄弱。在基本公共卫生服务中，基层部分地区设备闲置与人员不足并存，医疗资源配置不均衡，影响服务可及性和公平性</w:t>
      </w:r>
      <w:r>
        <w:rPr>
          <w:rFonts w:hint="default" w:ascii="Times New Roman" w:hAnsi="Times New Roman" w:eastAsia="方正仿宋_GBK" w:cs="Times New Roman"/>
          <w:kern w:val="2"/>
          <w:sz w:val="32"/>
          <w:szCs w:val="32"/>
          <w:lang w:val="en-US" w:eastAsia="zh-CN" w:bidi="ar"/>
        </w:rPr>
        <w:t xml:space="preserve"> </w:t>
      </w:r>
      <w:r>
        <w:rPr>
          <w:rFonts w:hint="eastAsia" w:ascii="方正仿宋_GBK" w:hAnsi="方正仿宋_GBK" w:eastAsia="方正仿宋_GBK" w:cs="方正仿宋_GBK"/>
          <w:kern w:val="2"/>
          <w:sz w:val="32"/>
          <w:szCs w:val="32"/>
          <w:lang w:val="en-US" w:eastAsia="zh-CN" w:bidi="ar"/>
        </w:rPr>
        <w:t>。</w:t>
      </w:r>
    </w:p>
    <w:p w14:paraId="75F73806">
      <w:pPr>
        <w:keepNext w:val="0"/>
        <w:keepLines w:val="0"/>
        <w:widowControl w:val="0"/>
        <w:suppressLineNumbers w:val="0"/>
        <w:spacing w:before="0" w:beforeAutospacing="0" w:after="0" w:afterAutospacing="0" w:line="570" w:lineRule="exact"/>
        <w:ind w:left="0" w:right="0" w:firstLine="643" w:firstLineChars="200"/>
        <w:jc w:val="both"/>
        <w:rPr>
          <w:rFonts w:hint="default" w:ascii="Times New Roman" w:hAnsi="Times New Roman" w:eastAsia="方正仿宋_GBK" w:cs="Times New Roman"/>
          <w:kern w:val="2"/>
          <w:sz w:val="32"/>
          <w:szCs w:val="32"/>
        </w:rPr>
      </w:pPr>
      <w:r>
        <w:rPr>
          <w:rFonts w:eastAsia="楷体_GB2312"/>
          <w:b/>
          <w:bCs/>
          <w:kern w:val="0"/>
          <w:sz w:val="32"/>
          <w:szCs w:val="32"/>
          <w:shd w:val="clear" w:color="auto" w:fill="FFFFFF"/>
          <w:lang w:val="zh-CN"/>
        </w:rPr>
        <w:t>（三）改进建议。</w:t>
      </w:r>
      <w:bookmarkStart w:id="79" w:name="_Hlk110546638"/>
      <w:r>
        <w:rPr>
          <w:rFonts w:hint="default" w:ascii="Times New Roman" w:hAnsi="Times New Roman" w:eastAsia="方正仿宋_GBK" w:cs="Times New Roman"/>
          <w:kern w:val="2"/>
          <w:sz w:val="32"/>
          <w:szCs w:val="32"/>
          <w:lang w:val="en-US" w:eastAsia="zh-CN" w:bidi="ar"/>
        </w:rPr>
        <w:t>1.</w:t>
      </w:r>
      <w:r>
        <w:rPr>
          <w:rFonts w:hint="eastAsia" w:ascii="方正仿宋_GBK" w:hAnsi="方正仿宋_GBK" w:eastAsia="方正仿宋_GBK" w:cs="方正仿宋_GBK"/>
          <w:kern w:val="2"/>
          <w:sz w:val="32"/>
          <w:szCs w:val="32"/>
          <w:lang w:val="en-US" w:eastAsia="zh-CN" w:bidi="ar"/>
        </w:rPr>
        <w:t>优化预算执行管理。进一步加强预算编制，早部署早谋划，提高预算编制的精准性；合理安排项目实施进度，项目实施分类管理，明确经费保障范围，及时调整执行偏差，确保预算执行均衡、高效。</w:t>
      </w:r>
    </w:p>
    <w:p w14:paraId="5D8EC5C1">
      <w:pPr>
        <w:keepNext w:val="0"/>
        <w:keepLines w:val="0"/>
        <w:widowControl w:val="0"/>
        <w:suppressLineNumbers w:val="0"/>
        <w:spacing w:before="0" w:beforeAutospacing="0" w:after="0" w:afterAutospacing="0" w:line="570" w:lineRule="exact"/>
        <w:ind w:left="0" w:right="0" w:firstLine="640" w:firstLineChars="200"/>
        <w:jc w:val="both"/>
        <w:rPr>
          <w:rFonts w:hint="default" w:ascii="Times New Roman" w:hAnsi="Times New Roman" w:eastAsia="方正仿宋_GBK" w:cs="Times New Roman"/>
          <w:kern w:val="2"/>
          <w:sz w:val="32"/>
          <w:szCs w:val="32"/>
        </w:rPr>
      </w:pPr>
      <w:r>
        <w:rPr>
          <w:rFonts w:hint="default" w:ascii="Times New Roman" w:hAnsi="Times New Roman" w:eastAsia="方正仿宋_GBK" w:cs="Times New Roman"/>
          <w:kern w:val="2"/>
          <w:sz w:val="32"/>
          <w:szCs w:val="32"/>
          <w:lang w:val="en-US" w:eastAsia="zh-CN" w:bidi="ar"/>
        </w:rPr>
        <w:t>2.</w:t>
      </w:r>
      <w:r>
        <w:rPr>
          <w:rFonts w:hint="eastAsia" w:ascii="方正仿宋_GBK" w:hAnsi="方正仿宋_GBK" w:eastAsia="方正仿宋_GBK" w:cs="方正仿宋_GBK"/>
          <w:kern w:val="2"/>
          <w:sz w:val="32"/>
          <w:szCs w:val="32"/>
          <w:lang w:val="en-US" w:eastAsia="zh-CN" w:bidi="ar"/>
        </w:rPr>
        <w:t>加强内部控制，突出风险防控。进一步健全内部监督管理制度，完善业务流程，将制衡机制嵌入部门内部管理各环节，建立起决策、执行和监督相互分离、相互制约的长效机制。</w:t>
      </w:r>
    </w:p>
    <w:p w14:paraId="58D3679E">
      <w:pPr>
        <w:keepNext w:val="0"/>
        <w:keepLines w:val="0"/>
        <w:widowControl w:val="0"/>
        <w:suppressLineNumbers w:val="0"/>
        <w:spacing w:before="0" w:beforeAutospacing="0" w:after="0" w:afterAutospacing="0" w:line="570" w:lineRule="exact"/>
        <w:ind w:left="0" w:right="0" w:firstLine="640" w:firstLineChars="200"/>
        <w:jc w:val="both"/>
      </w:pPr>
      <w:r>
        <w:rPr>
          <w:rFonts w:hint="default" w:ascii="Times New Roman" w:hAnsi="Times New Roman" w:eastAsia="方正仿宋_GBK" w:cs="Times New Roman"/>
          <w:kern w:val="2"/>
          <w:sz w:val="32"/>
          <w:szCs w:val="32"/>
          <w:lang w:val="en-US" w:eastAsia="zh-CN" w:bidi="ar"/>
        </w:rPr>
        <w:t>3.</w:t>
      </w:r>
      <w:r>
        <w:rPr>
          <w:rFonts w:hint="eastAsia" w:ascii="方正仿宋_GBK" w:hAnsi="方正仿宋_GBK" w:eastAsia="方正仿宋_GBK" w:cs="方正仿宋_GBK"/>
          <w:kern w:val="2"/>
          <w:sz w:val="32"/>
          <w:szCs w:val="32"/>
          <w:lang w:val="en-US" w:eastAsia="zh-CN" w:bidi="ar"/>
        </w:rPr>
        <w:t>均衡医疗资源配置。积极向上争取，加大对基层医疗资源投入，根据实际需求合理调配设备和人员，加强基层卫生人才培养，促进基本公共卫生服务均等化</w:t>
      </w:r>
      <w:r>
        <w:rPr>
          <w:rFonts w:hint="default" w:ascii="Times New Roman" w:hAnsi="Times New Roman" w:eastAsia="方正仿宋_GBK" w:cs="Times New Roman"/>
          <w:kern w:val="2"/>
          <w:sz w:val="32"/>
          <w:szCs w:val="32"/>
          <w:lang w:val="en-US" w:eastAsia="zh-CN" w:bidi="ar"/>
        </w:rPr>
        <w:t xml:space="preserve"> </w:t>
      </w:r>
      <w:r>
        <w:rPr>
          <w:rFonts w:hint="eastAsia" w:ascii="方正仿宋_GBK" w:hAnsi="方正仿宋_GBK" w:eastAsia="方正仿宋_GBK" w:cs="方正仿宋_GBK"/>
          <w:kern w:val="2"/>
          <w:sz w:val="32"/>
          <w:szCs w:val="32"/>
          <w:lang w:val="en-US" w:eastAsia="zh-CN" w:bidi="ar"/>
        </w:rPr>
        <w:t>。</w:t>
      </w:r>
    </w:p>
    <w:bookmarkEnd w:id="79"/>
    <w:p w14:paraId="3AB318DB">
      <w:pPr>
        <w:pStyle w:val="7"/>
        <w:spacing w:line="560" w:lineRule="exact"/>
        <w:ind w:left="0" w:leftChars="0" w:firstLine="0" w:firstLineChars="0"/>
        <w:rPr>
          <w:rFonts w:ascii="Times New Roman" w:eastAsia="仿宋_GB2312"/>
          <w:sz w:val="32"/>
          <w:lang w:val="zh-CN" w:bidi="ar"/>
        </w:rPr>
      </w:pPr>
    </w:p>
    <w:p w14:paraId="1318DD46">
      <w:pPr>
        <w:pStyle w:val="7"/>
        <w:spacing w:line="560" w:lineRule="exact"/>
        <w:ind w:left="0" w:leftChars="0" w:firstLine="640"/>
        <w:rPr>
          <w:rFonts w:ascii="Times New Roman" w:eastAsia="仿宋_GB2312"/>
          <w:sz w:val="32"/>
          <w:lang w:val="zh-CN" w:bidi="ar"/>
        </w:rPr>
      </w:pPr>
      <w:r>
        <w:rPr>
          <w:rFonts w:hint="eastAsia" w:ascii="Times New Roman" w:eastAsia="仿宋_GB2312"/>
          <w:sz w:val="32"/>
          <w:lang w:val="zh-CN" w:bidi="ar"/>
        </w:rPr>
        <w:t>附表：</w:t>
      </w:r>
      <w:r>
        <w:rPr>
          <w:rFonts w:hint="eastAsia" w:ascii="Times New Roman" w:eastAsia="仿宋_GB2312"/>
          <w:sz w:val="32"/>
          <w:lang w:bidi="ar"/>
        </w:rPr>
        <w:t>部门预算项目支出绩效自评表（2024年度）</w:t>
      </w:r>
    </w:p>
    <w:p w14:paraId="75965C71">
      <w:pPr>
        <w:pStyle w:val="7"/>
        <w:spacing w:line="560" w:lineRule="exact"/>
        <w:ind w:left="0" w:leftChars="0" w:firstLine="0" w:firstLineChars="0"/>
        <w:rPr>
          <w:rFonts w:ascii="Times New Roman"/>
          <w:sz w:val="32"/>
          <w:highlight w:val="yellow"/>
          <w:lang w:val="zh-CN"/>
        </w:rPr>
      </w:pPr>
    </w:p>
    <w:p w14:paraId="46A27EF5">
      <w:pPr>
        <w:pStyle w:val="2"/>
        <w:spacing w:before="93"/>
        <w:rPr>
          <w:rFonts w:ascii="Times New Roman" w:cs="宋体"/>
          <w:sz w:val="32"/>
          <w:szCs w:val="32"/>
          <w:highlight w:val="yellow"/>
          <w:shd w:val="clear" w:color="auto" w:fill="FFFFFF"/>
          <w:lang w:val="zh-CN"/>
        </w:rPr>
      </w:pPr>
    </w:p>
    <w:p w14:paraId="7BA7E2DE">
      <w:pPr>
        <w:rPr>
          <w:rFonts w:eastAsia="黑体" w:cs="黑体"/>
          <w:kern w:val="0"/>
          <w:sz w:val="32"/>
          <w:szCs w:val="32"/>
          <w:shd w:val="clear" w:color="auto" w:fill="FFFFFF"/>
          <w:lang w:val="zh-CN"/>
        </w:rPr>
      </w:pPr>
      <w:r>
        <w:rPr>
          <w:rFonts w:hint="eastAsia" w:eastAsia="黑体" w:cs="黑体"/>
          <w:kern w:val="0"/>
          <w:sz w:val="32"/>
          <w:szCs w:val="32"/>
          <w:shd w:val="clear" w:color="auto" w:fill="FFFFFF"/>
          <w:lang w:val="zh-CN"/>
        </w:rPr>
        <w:br w:type="page"/>
      </w:r>
    </w:p>
    <w:p w14:paraId="4D042E98">
      <w:pPr>
        <w:pStyle w:val="2"/>
        <w:spacing w:before="93"/>
        <w:rPr>
          <w:rFonts w:ascii="Times New Roman" w:eastAsia="黑体" w:cs="黑体"/>
          <w:sz w:val="32"/>
          <w:szCs w:val="32"/>
        </w:rPr>
      </w:pPr>
      <w:r>
        <w:rPr>
          <w:rFonts w:hint="eastAsia" w:ascii="Times New Roman" w:eastAsia="黑体" w:cs="黑体"/>
          <w:sz w:val="32"/>
          <w:szCs w:val="32"/>
          <w:shd w:val="clear" w:color="auto" w:fill="FFFFFF"/>
          <w:lang w:val="zh-CN"/>
        </w:rPr>
        <w:t>附件</w:t>
      </w:r>
      <w:r>
        <w:rPr>
          <w:rFonts w:hint="eastAsia" w:ascii="Times New Roman" w:eastAsia="黑体" w:cs="黑体"/>
          <w:sz w:val="32"/>
          <w:szCs w:val="32"/>
          <w:shd w:val="clear" w:color="auto" w:fill="FFFFFF"/>
        </w:rPr>
        <w:t>2</w:t>
      </w:r>
    </w:p>
    <w:p w14:paraId="357403CB">
      <w:pPr>
        <w:pStyle w:val="35"/>
        <w:spacing w:line="578" w:lineRule="exact"/>
        <w:jc w:val="center"/>
        <w:rPr>
          <w:rFonts w:ascii="Times New Roman" w:hAnsi="Times New Roman" w:eastAsia="方正小标宋简体" w:cs="方正小标宋简体"/>
          <w:color w:val="auto"/>
          <w:kern w:val="2"/>
          <w:sz w:val="44"/>
          <w:szCs w:val="44"/>
          <w:lang w:val="en-US"/>
        </w:rPr>
      </w:pPr>
    </w:p>
    <w:p w14:paraId="5DE1E788">
      <w:pPr>
        <w:pStyle w:val="35"/>
        <w:spacing w:line="578" w:lineRule="exact"/>
        <w:jc w:val="center"/>
        <w:rPr>
          <w:rFonts w:hint="eastAsia" w:ascii="Times New Roman" w:hAnsi="Times New Roman" w:eastAsia="方正小标宋简体" w:cs="方正小标宋简体"/>
          <w:color w:val="auto"/>
          <w:kern w:val="2"/>
          <w:sz w:val="44"/>
          <w:szCs w:val="44"/>
          <w:lang w:val="en-US"/>
        </w:rPr>
      </w:pPr>
      <w:r>
        <w:rPr>
          <w:rFonts w:hint="eastAsia" w:ascii="Times New Roman" w:hAnsi="Times New Roman" w:eastAsia="方正小标宋简体" w:cs="方正小标宋简体"/>
          <w:color w:val="auto"/>
          <w:kern w:val="2"/>
          <w:sz w:val="44"/>
          <w:szCs w:val="44"/>
          <w:lang w:val="en-US"/>
        </w:rPr>
        <w:t>基本公共卫生服务项目</w:t>
      </w:r>
    </w:p>
    <w:p w14:paraId="18FEB058">
      <w:pPr>
        <w:pStyle w:val="35"/>
        <w:spacing w:line="578" w:lineRule="exact"/>
        <w:jc w:val="center"/>
        <w:rPr>
          <w:rFonts w:ascii="Times New Roman" w:hAnsi="Times New Roman" w:eastAsia="方正小标宋简体" w:cs="方正小标宋简体"/>
          <w:color w:val="auto"/>
          <w:kern w:val="2"/>
          <w:sz w:val="44"/>
          <w:szCs w:val="44"/>
          <w:lang w:val="en-US"/>
        </w:rPr>
      </w:pPr>
      <w:r>
        <w:rPr>
          <w:rFonts w:hint="eastAsia" w:ascii="Times New Roman" w:hAnsi="Times New Roman" w:eastAsia="方正小标宋简体" w:cs="方正小标宋简体"/>
          <w:color w:val="auto"/>
          <w:kern w:val="2"/>
          <w:sz w:val="44"/>
          <w:szCs w:val="44"/>
          <w:lang w:val="en-US"/>
        </w:rPr>
        <w:t>专项预算项目绩效评价报告</w:t>
      </w:r>
    </w:p>
    <w:p w14:paraId="34BB6CE4">
      <w:pPr>
        <w:pStyle w:val="35"/>
        <w:spacing w:line="578" w:lineRule="exact"/>
        <w:ind w:firstLine="640"/>
        <w:jc w:val="center"/>
        <w:rPr>
          <w:rFonts w:ascii="仿宋_GB2312" w:hAnsi="仿宋_GB2312" w:eastAsia="仿宋_GB2312" w:cs="仿宋_GB2312"/>
          <w:color w:val="auto"/>
          <w:kern w:val="2"/>
          <w:sz w:val="32"/>
          <w:szCs w:val="32"/>
        </w:rPr>
      </w:pPr>
    </w:p>
    <w:p w14:paraId="51926AC3">
      <w:pPr>
        <w:adjustRightInd w:val="0"/>
        <w:snapToGrid w:val="0"/>
        <w:spacing w:line="600" w:lineRule="exact"/>
        <w:ind w:firstLine="720"/>
        <w:rPr>
          <w:rFonts w:ascii="黑体" w:hAnsi="黑体" w:eastAsia="黑体" w:cs="黑体"/>
          <w:sz w:val="32"/>
          <w:szCs w:val="32"/>
          <w:lang w:val="zh-CN"/>
        </w:rPr>
      </w:pPr>
      <w:r>
        <w:rPr>
          <w:rFonts w:hint="eastAsia" w:ascii="黑体" w:hAnsi="黑体" w:eastAsia="黑体" w:cs="黑体"/>
          <w:sz w:val="32"/>
          <w:szCs w:val="32"/>
        </w:rPr>
        <w:t>一、</w:t>
      </w:r>
      <w:r>
        <w:rPr>
          <w:rFonts w:hint="eastAsia" w:ascii="黑体" w:hAnsi="黑体" w:eastAsia="黑体" w:cs="黑体"/>
          <w:sz w:val="32"/>
          <w:szCs w:val="32"/>
          <w:lang w:val="zh-CN"/>
        </w:rPr>
        <w:t>项目概况</w:t>
      </w:r>
    </w:p>
    <w:p w14:paraId="7D0FC9F9">
      <w:pPr>
        <w:adjustRightInd w:val="0"/>
        <w:snapToGrid w:val="0"/>
        <w:spacing w:line="600" w:lineRule="exact"/>
        <w:ind w:firstLine="720"/>
        <w:rPr>
          <w:rFonts w:ascii="仿宋_GB2312" w:hAnsi="仿宋_GB2312" w:eastAsia="仿宋_GB2312" w:cs="仿宋_GB2312"/>
          <w:b/>
          <w:sz w:val="32"/>
          <w:szCs w:val="32"/>
          <w:lang w:val="zh-CN"/>
        </w:rPr>
      </w:pPr>
      <w:r>
        <w:rPr>
          <w:rFonts w:hint="eastAsia" w:ascii="仿宋_GB2312" w:hAnsi="仿宋_GB2312" w:eastAsia="仿宋_GB2312" w:cs="仿宋_GB2312"/>
          <w:b/>
          <w:sz w:val="32"/>
          <w:szCs w:val="32"/>
          <w:lang w:val="zh-CN"/>
        </w:rPr>
        <w:t>（一）项目基本情况。</w:t>
      </w:r>
    </w:p>
    <w:p w14:paraId="4F9FE956">
      <w:pPr>
        <w:keepNext w:val="0"/>
        <w:keepLines w:val="0"/>
        <w:widowControl w:val="0"/>
        <w:suppressLineNumbers w:val="0"/>
        <w:autoSpaceDE w:val="0"/>
        <w:autoSpaceDN/>
        <w:spacing w:before="0" w:beforeAutospacing="0" w:after="0" w:afterAutospacing="0" w:line="576" w:lineRule="exact"/>
        <w:ind w:left="0" w:right="0" w:firstLine="640" w:firstLineChars="200"/>
        <w:jc w:val="both"/>
        <w:rPr>
          <w:rFonts w:hint="default" w:ascii="Times New Roman" w:hAnsi="Times New Roman" w:eastAsia="方正仿宋_GBK" w:cs="Times New Roman"/>
          <w:b/>
          <w:bCs/>
          <w:kern w:val="2"/>
          <w:sz w:val="32"/>
          <w:szCs w:val="32"/>
        </w:rPr>
      </w:pPr>
      <w:r>
        <w:rPr>
          <w:rFonts w:hint="default" w:ascii="Times New Roman" w:hAnsi="Times New Roman" w:eastAsia="方正仿宋_GBK" w:cs="Times New Roman"/>
          <w:b w:val="0"/>
          <w:bCs w:val="0"/>
          <w:kern w:val="2"/>
          <w:sz w:val="32"/>
          <w:szCs w:val="32"/>
          <w:lang w:val="en-US" w:eastAsia="zh-CN" w:bidi="ar"/>
        </w:rPr>
        <w:t>1.</w:t>
      </w:r>
      <w:r>
        <w:rPr>
          <w:rFonts w:hint="eastAsia" w:ascii="方正仿宋_GBK" w:hAnsi="方正仿宋_GBK" w:eastAsia="方正仿宋_GBK" w:cs="方正仿宋_GBK"/>
          <w:b/>
          <w:bCs/>
          <w:kern w:val="2"/>
          <w:sz w:val="32"/>
          <w:szCs w:val="32"/>
          <w:lang w:val="en-US" w:eastAsia="zh-CN" w:bidi="ar"/>
        </w:rPr>
        <w:t>盐边县卫生健康局在项目管理中的职能。</w:t>
      </w:r>
    </w:p>
    <w:p w14:paraId="2EFFB6A4">
      <w:pPr>
        <w:keepNext w:val="0"/>
        <w:keepLines w:val="0"/>
        <w:widowControl w:val="0"/>
        <w:suppressLineNumbers w:val="0"/>
        <w:autoSpaceDE w:val="0"/>
        <w:autoSpaceDN/>
        <w:spacing w:before="0" w:beforeAutospacing="0" w:after="0" w:afterAutospacing="0" w:line="576" w:lineRule="exact"/>
        <w:ind w:left="0" w:leftChars="0" w:right="0" w:firstLine="640" w:firstLineChars="200"/>
        <w:jc w:val="both"/>
        <w:rPr>
          <w:rFonts w:hint="default" w:ascii="Times New Roman" w:hAnsi="Times New Roman" w:eastAsia="方正仿宋_GBK" w:cs="Times New Roman"/>
          <w:b w:val="0"/>
          <w:bCs/>
          <w:kern w:val="2"/>
          <w:sz w:val="32"/>
          <w:szCs w:val="32"/>
        </w:rPr>
      </w:pPr>
      <w:r>
        <w:rPr>
          <w:rFonts w:hint="eastAsia" w:ascii="方正仿宋_GBK" w:hAnsi="方正仿宋_GBK" w:eastAsia="方正仿宋_GBK" w:cs="方正仿宋_GBK"/>
          <w:b w:val="0"/>
          <w:bCs/>
          <w:kern w:val="2"/>
          <w:sz w:val="32"/>
          <w:szCs w:val="32"/>
          <w:lang w:val="en-US" w:eastAsia="zh-CN" w:bidi="ar"/>
        </w:rPr>
        <w:t>县卫生健康局各相关股室负责制定</w:t>
      </w:r>
      <w:r>
        <w:rPr>
          <w:rFonts w:hint="default" w:ascii="Times New Roman" w:hAnsi="Times New Roman" w:eastAsia="方正仿宋_GBK" w:cs="Times New Roman"/>
          <w:b w:val="0"/>
          <w:bCs/>
          <w:kern w:val="2"/>
          <w:sz w:val="32"/>
          <w:szCs w:val="32"/>
          <w:lang w:val="en-US" w:eastAsia="zh-CN" w:bidi="ar"/>
        </w:rPr>
        <w:t>12</w:t>
      </w:r>
      <w:r>
        <w:rPr>
          <w:rFonts w:hint="eastAsia" w:ascii="方正仿宋_GBK" w:hAnsi="方正仿宋_GBK" w:eastAsia="方正仿宋_GBK" w:cs="方正仿宋_GBK"/>
          <w:b w:val="0"/>
          <w:bCs/>
          <w:kern w:val="2"/>
          <w:sz w:val="32"/>
          <w:szCs w:val="32"/>
          <w:lang w:val="en-US" w:eastAsia="zh-CN" w:bidi="ar"/>
        </w:rPr>
        <w:t>项基本公共卫生服务项目、地方病防治、农村妇女</w:t>
      </w:r>
      <w:r>
        <w:rPr>
          <w:rFonts w:hint="default" w:ascii="Times New Roman" w:hAnsi="Times New Roman" w:eastAsia="方正仿宋_GBK" w:cs="Times New Roman"/>
          <w:b w:val="0"/>
          <w:bCs/>
          <w:kern w:val="2"/>
          <w:sz w:val="32"/>
          <w:szCs w:val="32"/>
          <w:lang w:val="en-US" w:eastAsia="zh-CN" w:bidi="ar"/>
        </w:rPr>
        <w:t>“</w:t>
      </w:r>
      <w:r>
        <w:rPr>
          <w:rFonts w:hint="eastAsia" w:ascii="方正仿宋_GBK" w:hAnsi="方正仿宋_GBK" w:eastAsia="方正仿宋_GBK" w:cs="方正仿宋_GBK"/>
          <w:b w:val="0"/>
          <w:bCs/>
          <w:kern w:val="2"/>
          <w:sz w:val="32"/>
          <w:szCs w:val="32"/>
          <w:lang w:val="en-US" w:eastAsia="zh-CN" w:bidi="ar"/>
        </w:rPr>
        <w:t>两癌</w:t>
      </w:r>
      <w:r>
        <w:rPr>
          <w:rFonts w:hint="default" w:ascii="Times New Roman" w:hAnsi="Times New Roman" w:eastAsia="方正仿宋_GBK" w:cs="Times New Roman"/>
          <w:b w:val="0"/>
          <w:bCs/>
          <w:kern w:val="2"/>
          <w:sz w:val="32"/>
          <w:szCs w:val="32"/>
          <w:lang w:val="en-US" w:eastAsia="zh-CN" w:bidi="ar"/>
        </w:rPr>
        <w:t>”</w:t>
      </w:r>
      <w:r>
        <w:rPr>
          <w:rFonts w:hint="eastAsia" w:ascii="方正仿宋_GBK" w:hAnsi="方正仿宋_GBK" w:eastAsia="方正仿宋_GBK" w:cs="方正仿宋_GBK"/>
          <w:b w:val="0"/>
          <w:bCs/>
          <w:kern w:val="2"/>
          <w:sz w:val="32"/>
          <w:szCs w:val="32"/>
          <w:lang w:val="en-US" w:eastAsia="zh-CN" w:bidi="ar"/>
        </w:rPr>
        <w:t>筛查、免费孕前优生健康检查、老年健康与医养结合服务项目、双随机、计划生育服务补助、健康县建设等项目实施方案、考核细则、拟定项目计划和目标、成立项目技术指导小组、组织人员培训、技术指导、检查督导、绩效考核。</w:t>
      </w:r>
    </w:p>
    <w:p w14:paraId="5EF93DEB">
      <w:pPr>
        <w:keepNext w:val="0"/>
        <w:keepLines w:val="0"/>
        <w:widowControl w:val="0"/>
        <w:suppressLineNumbers w:val="0"/>
        <w:autoSpaceDE w:val="0"/>
        <w:autoSpaceDN/>
        <w:spacing w:before="0" w:beforeAutospacing="0" w:after="0" w:afterAutospacing="0" w:line="576" w:lineRule="exact"/>
        <w:ind w:left="0" w:right="0" w:firstLine="640" w:firstLineChars="200"/>
        <w:jc w:val="both"/>
        <w:rPr>
          <w:rFonts w:hint="default" w:ascii="Times New Roman" w:hAnsi="Times New Roman" w:eastAsia="方正仿宋_GBK" w:cs="Times New Roman"/>
          <w:b/>
          <w:bCs/>
          <w:kern w:val="2"/>
          <w:sz w:val="32"/>
          <w:szCs w:val="32"/>
        </w:rPr>
      </w:pPr>
      <w:r>
        <w:rPr>
          <w:rFonts w:hint="default" w:ascii="Times New Roman" w:hAnsi="Times New Roman" w:eastAsia="方正仿宋_GBK" w:cs="Times New Roman"/>
          <w:b w:val="0"/>
          <w:bCs w:val="0"/>
          <w:kern w:val="2"/>
          <w:sz w:val="32"/>
          <w:szCs w:val="32"/>
          <w:lang w:val="en-US" w:eastAsia="zh-CN" w:bidi="ar"/>
        </w:rPr>
        <w:t>2.</w:t>
      </w:r>
      <w:r>
        <w:rPr>
          <w:rFonts w:hint="eastAsia" w:ascii="方正仿宋_GBK" w:hAnsi="方正仿宋_GBK" w:eastAsia="方正仿宋_GBK" w:cs="方正仿宋_GBK"/>
          <w:b/>
          <w:bCs/>
          <w:kern w:val="2"/>
          <w:sz w:val="32"/>
          <w:szCs w:val="32"/>
          <w:lang w:val="en-US" w:eastAsia="zh-CN" w:bidi="ar"/>
        </w:rPr>
        <w:t>项目立项、资金申报的依据。</w:t>
      </w:r>
    </w:p>
    <w:p w14:paraId="29F29B4B">
      <w:pPr>
        <w:keepNext w:val="0"/>
        <w:keepLines w:val="0"/>
        <w:widowControl w:val="0"/>
        <w:suppressLineNumbers w:val="0"/>
        <w:autoSpaceDE w:val="0"/>
        <w:autoSpaceDN/>
        <w:spacing w:before="0" w:beforeAutospacing="0" w:after="0" w:afterAutospacing="0" w:line="576" w:lineRule="exact"/>
        <w:ind w:left="0" w:leftChars="0" w:right="0" w:firstLine="640" w:firstLineChars="200"/>
        <w:jc w:val="both"/>
        <w:rPr>
          <w:rFonts w:hint="default" w:ascii="Times New Roman" w:hAnsi="Times New Roman" w:eastAsia="方正仿宋_GBK" w:cs="Times New Roman"/>
          <w:b w:val="0"/>
          <w:bCs/>
          <w:kern w:val="2"/>
          <w:sz w:val="32"/>
          <w:szCs w:val="32"/>
        </w:rPr>
      </w:pPr>
      <w:r>
        <w:rPr>
          <w:rFonts w:hint="eastAsia" w:ascii="方正仿宋_GBK" w:hAnsi="方正仿宋_GBK" w:eastAsia="方正仿宋_GBK" w:cs="方正仿宋_GBK"/>
          <w:b w:val="0"/>
          <w:bCs/>
          <w:kern w:val="2"/>
          <w:sz w:val="32"/>
          <w:szCs w:val="32"/>
          <w:lang w:val="en-US" w:eastAsia="zh-CN" w:bidi="ar"/>
        </w:rPr>
        <w:t>依据《国家基本公共卫生服务项目规范（第三版）》、《四川省基本公共卫生服务项目管理手册》《四川省财政厅</w:t>
      </w:r>
      <w:r>
        <w:rPr>
          <w:rFonts w:hint="default" w:ascii="Times New Roman" w:hAnsi="Times New Roman" w:eastAsia="方正仿宋_GBK" w:cs="Times New Roman"/>
          <w:b w:val="0"/>
          <w:bCs/>
          <w:kern w:val="2"/>
          <w:sz w:val="32"/>
          <w:szCs w:val="32"/>
          <w:lang w:val="en-US" w:eastAsia="zh-CN" w:bidi="ar"/>
        </w:rPr>
        <w:t xml:space="preserve"> </w:t>
      </w:r>
      <w:r>
        <w:rPr>
          <w:rFonts w:hint="eastAsia" w:ascii="方正仿宋_GBK" w:hAnsi="方正仿宋_GBK" w:eastAsia="方正仿宋_GBK" w:cs="方正仿宋_GBK"/>
          <w:b w:val="0"/>
          <w:bCs/>
          <w:kern w:val="2"/>
          <w:sz w:val="32"/>
          <w:szCs w:val="32"/>
          <w:lang w:val="en-US" w:eastAsia="zh-CN" w:bidi="ar"/>
        </w:rPr>
        <w:t>四川省卫生健康委员会</w:t>
      </w:r>
      <w:r>
        <w:rPr>
          <w:rFonts w:hint="default" w:ascii="Times New Roman" w:hAnsi="Times New Roman" w:eastAsia="方正仿宋_GBK" w:cs="Times New Roman"/>
          <w:b w:val="0"/>
          <w:bCs/>
          <w:kern w:val="2"/>
          <w:sz w:val="32"/>
          <w:szCs w:val="32"/>
          <w:lang w:val="en-US" w:eastAsia="zh-CN" w:bidi="ar"/>
        </w:rPr>
        <w:t xml:space="preserve"> </w:t>
      </w:r>
      <w:r>
        <w:rPr>
          <w:rFonts w:hint="eastAsia" w:ascii="方正仿宋_GBK" w:hAnsi="方正仿宋_GBK" w:eastAsia="方正仿宋_GBK" w:cs="方正仿宋_GBK"/>
          <w:b w:val="0"/>
          <w:bCs/>
          <w:kern w:val="2"/>
          <w:sz w:val="32"/>
          <w:szCs w:val="32"/>
          <w:lang w:val="en-US" w:eastAsia="zh-CN" w:bidi="ar"/>
        </w:rPr>
        <w:t>四川省医疗保障局</w:t>
      </w:r>
      <w:r>
        <w:rPr>
          <w:rFonts w:hint="default" w:ascii="Times New Roman" w:hAnsi="Times New Roman" w:eastAsia="方正仿宋_GBK" w:cs="Times New Roman"/>
          <w:b w:val="0"/>
          <w:bCs/>
          <w:kern w:val="2"/>
          <w:sz w:val="32"/>
          <w:szCs w:val="32"/>
          <w:lang w:val="en-US" w:eastAsia="zh-CN" w:bidi="ar"/>
        </w:rPr>
        <w:t xml:space="preserve"> </w:t>
      </w:r>
      <w:r>
        <w:rPr>
          <w:rFonts w:hint="eastAsia" w:ascii="方正仿宋_GBK" w:hAnsi="方正仿宋_GBK" w:eastAsia="方正仿宋_GBK" w:cs="方正仿宋_GBK"/>
          <w:b w:val="0"/>
          <w:bCs/>
          <w:kern w:val="2"/>
          <w:sz w:val="32"/>
          <w:szCs w:val="32"/>
          <w:lang w:val="en-US" w:eastAsia="zh-CN" w:bidi="ar"/>
        </w:rPr>
        <w:t>四川省中医药管理局关于印发公共卫生等</w:t>
      </w:r>
      <w:r>
        <w:rPr>
          <w:rFonts w:hint="default" w:ascii="Times New Roman" w:hAnsi="Times New Roman" w:eastAsia="方正仿宋_GBK" w:cs="Times New Roman"/>
          <w:b w:val="0"/>
          <w:bCs/>
          <w:kern w:val="2"/>
          <w:sz w:val="32"/>
          <w:szCs w:val="32"/>
          <w:lang w:val="en-US" w:eastAsia="zh-CN" w:bidi="ar"/>
        </w:rPr>
        <w:t>5</w:t>
      </w:r>
      <w:r>
        <w:rPr>
          <w:rFonts w:hint="eastAsia" w:ascii="方正仿宋_GBK" w:hAnsi="方正仿宋_GBK" w:eastAsia="方正仿宋_GBK" w:cs="方正仿宋_GBK"/>
          <w:b w:val="0"/>
          <w:bCs/>
          <w:kern w:val="2"/>
          <w:sz w:val="32"/>
          <w:szCs w:val="32"/>
          <w:lang w:val="en-US" w:eastAsia="zh-CN" w:bidi="ar"/>
        </w:rPr>
        <w:t>项补助资金管理办法的通知》〔川财社（</w:t>
      </w:r>
      <w:r>
        <w:rPr>
          <w:rFonts w:hint="default" w:ascii="Times New Roman" w:hAnsi="Times New Roman" w:eastAsia="方正仿宋_GBK" w:cs="Times New Roman"/>
          <w:b w:val="0"/>
          <w:bCs/>
          <w:kern w:val="2"/>
          <w:sz w:val="32"/>
          <w:szCs w:val="32"/>
          <w:lang w:val="en-US" w:eastAsia="zh-CN" w:bidi="ar"/>
        </w:rPr>
        <w:t>2022</w:t>
      </w:r>
      <w:r>
        <w:rPr>
          <w:rFonts w:hint="eastAsia" w:ascii="方正仿宋_GBK" w:hAnsi="方正仿宋_GBK" w:eastAsia="方正仿宋_GBK" w:cs="方正仿宋_GBK"/>
          <w:b w:val="0"/>
          <w:bCs/>
          <w:kern w:val="2"/>
          <w:sz w:val="32"/>
          <w:szCs w:val="32"/>
          <w:lang w:val="en-US" w:eastAsia="zh-CN" w:bidi="ar"/>
        </w:rPr>
        <w:t>）</w:t>
      </w:r>
      <w:r>
        <w:rPr>
          <w:rFonts w:hint="default" w:ascii="Times New Roman" w:hAnsi="Times New Roman" w:eastAsia="方正仿宋_GBK" w:cs="Times New Roman"/>
          <w:b w:val="0"/>
          <w:bCs/>
          <w:kern w:val="2"/>
          <w:sz w:val="32"/>
          <w:szCs w:val="32"/>
          <w:lang w:val="en-US" w:eastAsia="zh-CN" w:bidi="ar"/>
        </w:rPr>
        <w:t>112</w:t>
      </w:r>
      <w:r>
        <w:rPr>
          <w:rFonts w:hint="eastAsia" w:ascii="方正仿宋_GBK" w:hAnsi="方正仿宋_GBK" w:eastAsia="方正仿宋_GBK" w:cs="方正仿宋_GBK"/>
          <w:b w:val="0"/>
          <w:bCs/>
          <w:kern w:val="2"/>
          <w:sz w:val="32"/>
          <w:szCs w:val="32"/>
          <w:lang w:val="en-US" w:eastAsia="zh-CN" w:bidi="ar"/>
        </w:rPr>
        <w:t>号〕等文件，印发《盐边县</w:t>
      </w:r>
      <w:r>
        <w:rPr>
          <w:rFonts w:hint="default" w:ascii="Times New Roman" w:hAnsi="Times New Roman" w:eastAsia="方正仿宋_GBK" w:cs="Times New Roman"/>
          <w:b w:val="0"/>
          <w:bCs/>
          <w:kern w:val="2"/>
          <w:sz w:val="32"/>
          <w:szCs w:val="32"/>
          <w:lang w:val="en-US" w:eastAsia="zh-CN" w:bidi="ar"/>
        </w:rPr>
        <w:t>2024</w:t>
      </w:r>
      <w:r>
        <w:rPr>
          <w:rFonts w:hint="eastAsia" w:ascii="方正仿宋_GBK" w:hAnsi="方正仿宋_GBK" w:eastAsia="方正仿宋_GBK" w:cs="方正仿宋_GBK"/>
          <w:b w:val="0"/>
          <w:bCs/>
          <w:kern w:val="2"/>
          <w:sz w:val="32"/>
          <w:szCs w:val="32"/>
          <w:lang w:val="en-US" w:eastAsia="zh-CN" w:bidi="ar"/>
        </w:rPr>
        <w:t>年基本公共卫生服务项目实施方案》《盐边县</w:t>
      </w:r>
      <w:r>
        <w:rPr>
          <w:rFonts w:hint="default" w:ascii="Times New Roman" w:hAnsi="Times New Roman" w:eastAsia="方正仿宋_GBK" w:cs="Times New Roman"/>
          <w:b w:val="0"/>
          <w:bCs/>
          <w:kern w:val="2"/>
          <w:sz w:val="32"/>
          <w:szCs w:val="32"/>
          <w:lang w:val="en-US" w:eastAsia="zh-CN" w:bidi="ar"/>
        </w:rPr>
        <w:t>2024</w:t>
      </w:r>
      <w:r>
        <w:rPr>
          <w:rFonts w:hint="eastAsia" w:ascii="方正仿宋_GBK" w:hAnsi="方正仿宋_GBK" w:eastAsia="方正仿宋_GBK" w:cs="方正仿宋_GBK"/>
          <w:b w:val="0"/>
          <w:bCs/>
          <w:kern w:val="2"/>
          <w:sz w:val="32"/>
          <w:szCs w:val="32"/>
          <w:lang w:val="en-US" w:eastAsia="zh-CN" w:bidi="ar"/>
        </w:rPr>
        <w:t>年度基本公共卫生服务项目绩效考核方案》等方案。</w:t>
      </w:r>
    </w:p>
    <w:p w14:paraId="4500C73C">
      <w:pPr>
        <w:keepNext w:val="0"/>
        <w:keepLines w:val="0"/>
        <w:widowControl w:val="0"/>
        <w:suppressLineNumbers w:val="0"/>
        <w:autoSpaceDE w:val="0"/>
        <w:autoSpaceDN/>
        <w:spacing w:before="0" w:beforeAutospacing="0" w:after="0" w:afterAutospacing="0" w:line="576" w:lineRule="exact"/>
        <w:ind w:left="0" w:right="0" w:firstLine="640" w:firstLineChars="200"/>
        <w:jc w:val="both"/>
        <w:rPr>
          <w:rFonts w:hint="default" w:ascii="Times New Roman" w:hAnsi="Times New Roman" w:eastAsia="方正仿宋_GBK" w:cs="Times New Roman"/>
          <w:b/>
          <w:bCs/>
          <w:kern w:val="2"/>
          <w:sz w:val="32"/>
          <w:szCs w:val="32"/>
        </w:rPr>
      </w:pPr>
      <w:r>
        <w:rPr>
          <w:rFonts w:hint="default" w:ascii="Times New Roman" w:hAnsi="Times New Roman" w:eastAsia="方正仿宋_GBK" w:cs="Times New Roman"/>
          <w:b w:val="0"/>
          <w:bCs w:val="0"/>
          <w:kern w:val="2"/>
          <w:sz w:val="32"/>
          <w:szCs w:val="32"/>
          <w:lang w:val="en-US" w:eastAsia="zh-CN" w:bidi="ar"/>
        </w:rPr>
        <w:t>3.</w:t>
      </w:r>
      <w:r>
        <w:rPr>
          <w:rFonts w:hint="eastAsia" w:ascii="方正仿宋_GBK" w:hAnsi="方正仿宋_GBK" w:eastAsia="方正仿宋_GBK" w:cs="方正仿宋_GBK"/>
          <w:b/>
          <w:bCs/>
          <w:kern w:val="2"/>
          <w:sz w:val="32"/>
          <w:szCs w:val="32"/>
          <w:lang w:val="en-US" w:eastAsia="zh-CN" w:bidi="ar"/>
        </w:rPr>
        <w:t>资金管理办法制定情况。</w:t>
      </w:r>
    </w:p>
    <w:p w14:paraId="4D7161DD">
      <w:pPr>
        <w:keepNext w:val="0"/>
        <w:keepLines w:val="0"/>
        <w:widowControl w:val="0"/>
        <w:suppressLineNumbers w:val="0"/>
        <w:autoSpaceDE w:val="0"/>
        <w:autoSpaceDN/>
        <w:spacing w:before="0" w:beforeAutospacing="0" w:after="0" w:afterAutospacing="0" w:line="576" w:lineRule="exact"/>
        <w:ind w:left="0" w:leftChars="0" w:right="0" w:firstLine="640" w:firstLineChars="200"/>
        <w:jc w:val="both"/>
        <w:rPr>
          <w:rFonts w:hint="default" w:ascii="Times New Roman" w:hAnsi="Times New Roman" w:eastAsia="方正仿宋_GBK" w:cs="Times New Roman"/>
          <w:b w:val="0"/>
          <w:bCs/>
          <w:kern w:val="2"/>
          <w:sz w:val="32"/>
          <w:szCs w:val="32"/>
        </w:rPr>
      </w:pPr>
      <w:r>
        <w:rPr>
          <w:rFonts w:hint="eastAsia" w:ascii="方正仿宋_GBK" w:hAnsi="方正仿宋_GBK" w:eastAsia="方正仿宋_GBK" w:cs="方正仿宋_GBK"/>
          <w:b w:val="0"/>
          <w:bCs/>
          <w:kern w:val="2"/>
          <w:sz w:val="32"/>
          <w:szCs w:val="32"/>
          <w:lang w:val="en-US" w:eastAsia="zh-CN" w:bidi="ar"/>
        </w:rPr>
        <w:t>按照《四川省基本公共卫生服务项目成本核算指导意见》《四川省财政厅</w:t>
      </w:r>
      <w:r>
        <w:rPr>
          <w:rFonts w:hint="default" w:ascii="Times New Roman" w:hAnsi="Times New Roman" w:eastAsia="方正仿宋_GBK" w:cs="Times New Roman"/>
          <w:b w:val="0"/>
          <w:bCs/>
          <w:kern w:val="2"/>
          <w:sz w:val="32"/>
          <w:szCs w:val="32"/>
          <w:lang w:val="en-US" w:eastAsia="zh-CN" w:bidi="ar"/>
        </w:rPr>
        <w:t xml:space="preserve"> </w:t>
      </w:r>
      <w:r>
        <w:rPr>
          <w:rFonts w:hint="eastAsia" w:ascii="方正仿宋_GBK" w:hAnsi="方正仿宋_GBK" w:eastAsia="方正仿宋_GBK" w:cs="方正仿宋_GBK"/>
          <w:b w:val="0"/>
          <w:bCs/>
          <w:kern w:val="2"/>
          <w:sz w:val="32"/>
          <w:szCs w:val="32"/>
          <w:lang w:val="en-US" w:eastAsia="zh-CN" w:bidi="ar"/>
        </w:rPr>
        <w:t>四川省卫生健康委员会</w:t>
      </w:r>
      <w:r>
        <w:rPr>
          <w:rFonts w:hint="default" w:ascii="Times New Roman" w:hAnsi="Times New Roman" w:eastAsia="方正仿宋_GBK" w:cs="Times New Roman"/>
          <w:b w:val="0"/>
          <w:bCs/>
          <w:kern w:val="2"/>
          <w:sz w:val="32"/>
          <w:szCs w:val="32"/>
          <w:lang w:val="en-US" w:eastAsia="zh-CN" w:bidi="ar"/>
        </w:rPr>
        <w:t xml:space="preserve"> </w:t>
      </w:r>
      <w:r>
        <w:rPr>
          <w:rFonts w:hint="eastAsia" w:ascii="方正仿宋_GBK" w:hAnsi="方正仿宋_GBK" w:eastAsia="方正仿宋_GBK" w:cs="方正仿宋_GBK"/>
          <w:b w:val="0"/>
          <w:bCs/>
          <w:kern w:val="2"/>
          <w:sz w:val="32"/>
          <w:szCs w:val="32"/>
          <w:lang w:val="en-US" w:eastAsia="zh-CN" w:bidi="ar"/>
        </w:rPr>
        <w:t>四川省医疗保障局</w:t>
      </w:r>
      <w:r>
        <w:rPr>
          <w:rFonts w:hint="default" w:ascii="Times New Roman" w:hAnsi="Times New Roman" w:eastAsia="方正仿宋_GBK" w:cs="Times New Roman"/>
          <w:b w:val="0"/>
          <w:bCs/>
          <w:kern w:val="2"/>
          <w:sz w:val="32"/>
          <w:szCs w:val="32"/>
          <w:lang w:val="en-US" w:eastAsia="zh-CN" w:bidi="ar"/>
        </w:rPr>
        <w:t xml:space="preserve"> </w:t>
      </w:r>
      <w:r>
        <w:rPr>
          <w:rFonts w:hint="eastAsia" w:ascii="方正仿宋_GBK" w:hAnsi="方正仿宋_GBK" w:eastAsia="方正仿宋_GBK" w:cs="方正仿宋_GBK"/>
          <w:b w:val="0"/>
          <w:bCs/>
          <w:kern w:val="2"/>
          <w:sz w:val="32"/>
          <w:szCs w:val="32"/>
          <w:lang w:val="en-US" w:eastAsia="zh-CN" w:bidi="ar"/>
        </w:rPr>
        <w:t>四川省中医药管理局关于印发公共卫生等</w:t>
      </w:r>
      <w:r>
        <w:rPr>
          <w:rFonts w:hint="default" w:ascii="Times New Roman" w:hAnsi="Times New Roman" w:eastAsia="方正仿宋_GBK" w:cs="Times New Roman"/>
          <w:b w:val="0"/>
          <w:bCs/>
          <w:kern w:val="2"/>
          <w:sz w:val="32"/>
          <w:szCs w:val="32"/>
          <w:lang w:val="en-US" w:eastAsia="zh-CN" w:bidi="ar"/>
        </w:rPr>
        <w:t>5</w:t>
      </w:r>
      <w:r>
        <w:rPr>
          <w:rFonts w:hint="eastAsia" w:ascii="方正仿宋_GBK" w:hAnsi="方正仿宋_GBK" w:eastAsia="方正仿宋_GBK" w:cs="方正仿宋_GBK"/>
          <w:b w:val="0"/>
          <w:bCs/>
          <w:kern w:val="2"/>
          <w:sz w:val="32"/>
          <w:szCs w:val="32"/>
          <w:lang w:val="en-US" w:eastAsia="zh-CN" w:bidi="ar"/>
        </w:rPr>
        <w:t>项补助资金管理办法的通知》〔川财社（</w:t>
      </w:r>
      <w:r>
        <w:rPr>
          <w:rFonts w:hint="default" w:ascii="Times New Roman" w:hAnsi="Times New Roman" w:eastAsia="方正仿宋_GBK" w:cs="Times New Roman"/>
          <w:b w:val="0"/>
          <w:bCs/>
          <w:kern w:val="2"/>
          <w:sz w:val="32"/>
          <w:szCs w:val="32"/>
          <w:lang w:val="en-US" w:eastAsia="zh-CN" w:bidi="ar"/>
        </w:rPr>
        <w:t>2022</w:t>
      </w:r>
      <w:r>
        <w:rPr>
          <w:rFonts w:hint="eastAsia" w:ascii="方正仿宋_GBK" w:hAnsi="方正仿宋_GBK" w:eastAsia="方正仿宋_GBK" w:cs="方正仿宋_GBK"/>
          <w:b w:val="0"/>
          <w:bCs/>
          <w:kern w:val="2"/>
          <w:sz w:val="32"/>
          <w:szCs w:val="32"/>
          <w:lang w:val="en-US" w:eastAsia="zh-CN" w:bidi="ar"/>
        </w:rPr>
        <w:t>）</w:t>
      </w:r>
      <w:r>
        <w:rPr>
          <w:rFonts w:hint="default" w:ascii="Times New Roman" w:hAnsi="Times New Roman" w:eastAsia="方正仿宋_GBK" w:cs="Times New Roman"/>
          <w:b w:val="0"/>
          <w:bCs/>
          <w:kern w:val="2"/>
          <w:sz w:val="32"/>
          <w:szCs w:val="32"/>
          <w:lang w:val="en-US" w:eastAsia="zh-CN" w:bidi="ar"/>
        </w:rPr>
        <w:t>112</w:t>
      </w:r>
      <w:r>
        <w:rPr>
          <w:rFonts w:hint="eastAsia" w:ascii="方正仿宋_GBK" w:hAnsi="方正仿宋_GBK" w:eastAsia="方正仿宋_GBK" w:cs="方正仿宋_GBK"/>
          <w:b w:val="0"/>
          <w:bCs/>
          <w:kern w:val="2"/>
          <w:sz w:val="32"/>
          <w:szCs w:val="32"/>
          <w:lang w:val="en-US" w:eastAsia="zh-CN" w:bidi="ar"/>
        </w:rPr>
        <w:t>号〕及</w:t>
      </w:r>
      <w:r>
        <w:rPr>
          <w:rFonts w:hint="eastAsia" w:ascii="方正仿宋_GBK" w:hAnsi="方正仿宋_GBK" w:eastAsia="方正仿宋_GBK" w:cs="方正仿宋_GBK"/>
          <w:kern w:val="2"/>
          <w:sz w:val="32"/>
          <w:szCs w:val="32"/>
          <w:lang w:val="en-US" w:eastAsia="zh-CN" w:bidi="ar"/>
        </w:rPr>
        <w:t>按照地方病防治实施方案及省、市对地方病工作相关要求，</w:t>
      </w:r>
      <w:r>
        <w:rPr>
          <w:rFonts w:hint="eastAsia" w:ascii="方正仿宋_GBK" w:hAnsi="方正仿宋_GBK" w:eastAsia="方正仿宋_GBK" w:cs="方正仿宋_GBK"/>
          <w:b w:val="0"/>
          <w:bCs/>
          <w:kern w:val="2"/>
          <w:sz w:val="32"/>
          <w:szCs w:val="32"/>
          <w:lang w:val="en-US" w:eastAsia="zh-CN" w:bidi="ar"/>
        </w:rPr>
        <w:t>对各乡（镇）、乡（镇）卫生院、社区卫生服务中心、村卫生室进行考核，按照上级下达人口数进行项目测算，项目完成按照</w:t>
      </w:r>
      <w:r>
        <w:rPr>
          <w:rFonts w:hint="default" w:ascii="Times New Roman" w:hAnsi="Times New Roman" w:eastAsia="方正仿宋_GBK" w:cs="Times New Roman"/>
          <w:b w:val="0"/>
          <w:bCs/>
          <w:kern w:val="2"/>
          <w:sz w:val="32"/>
          <w:szCs w:val="32"/>
          <w:lang w:val="en-US" w:eastAsia="zh-CN" w:bidi="ar"/>
        </w:rPr>
        <w:t>100%</w:t>
      </w:r>
      <w:r>
        <w:rPr>
          <w:rFonts w:hint="eastAsia" w:ascii="方正仿宋_GBK" w:hAnsi="方正仿宋_GBK" w:eastAsia="方正仿宋_GBK" w:cs="方正仿宋_GBK"/>
          <w:b w:val="0"/>
          <w:bCs/>
          <w:kern w:val="2"/>
          <w:sz w:val="32"/>
          <w:szCs w:val="32"/>
          <w:lang w:val="en-US" w:eastAsia="zh-CN" w:bidi="ar"/>
        </w:rPr>
        <w:t>比例进行经费拨付。</w:t>
      </w:r>
    </w:p>
    <w:p w14:paraId="2209E0F4">
      <w:pPr>
        <w:keepNext w:val="0"/>
        <w:keepLines w:val="0"/>
        <w:widowControl w:val="0"/>
        <w:suppressLineNumbers w:val="0"/>
        <w:autoSpaceDE w:val="0"/>
        <w:autoSpaceDN/>
        <w:spacing w:before="0" w:beforeAutospacing="0" w:after="0" w:afterAutospacing="0" w:line="576" w:lineRule="exact"/>
        <w:ind w:left="0" w:right="0" w:firstLine="640" w:firstLineChars="200"/>
        <w:jc w:val="both"/>
        <w:rPr>
          <w:rFonts w:hint="default" w:ascii="Times New Roman" w:hAnsi="Times New Roman" w:eastAsia="方正仿宋_GBK" w:cs="Times New Roman"/>
          <w:b/>
          <w:bCs/>
          <w:kern w:val="2"/>
          <w:sz w:val="32"/>
          <w:szCs w:val="32"/>
        </w:rPr>
      </w:pPr>
      <w:r>
        <w:rPr>
          <w:rFonts w:hint="default" w:ascii="Times New Roman" w:hAnsi="Times New Roman" w:eastAsia="方正仿宋_GBK" w:cs="Times New Roman"/>
          <w:b w:val="0"/>
          <w:bCs w:val="0"/>
          <w:kern w:val="2"/>
          <w:sz w:val="32"/>
          <w:szCs w:val="32"/>
          <w:lang w:val="en-US" w:eastAsia="zh-CN" w:bidi="ar"/>
        </w:rPr>
        <w:t>4.</w:t>
      </w:r>
      <w:r>
        <w:rPr>
          <w:rFonts w:hint="eastAsia" w:ascii="方正仿宋_GBK" w:hAnsi="方正仿宋_GBK" w:eastAsia="方正仿宋_GBK" w:cs="方正仿宋_GBK"/>
          <w:b/>
          <w:bCs/>
          <w:kern w:val="2"/>
          <w:sz w:val="32"/>
          <w:szCs w:val="32"/>
          <w:lang w:val="en-US" w:eastAsia="zh-CN" w:bidi="ar"/>
        </w:rPr>
        <w:t>资金分配的原则及考虑因素。</w:t>
      </w:r>
    </w:p>
    <w:p w14:paraId="13942737">
      <w:pPr>
        <w:keepNext w:val="0"/>
        <w:keepLines w:val="0"/>
        <w:widowControl w:val="0"/>
        <w:suppressLineNumbers w:val="0"/>
        <w:autoSpaceDE w:val="0"/>
        <w:autoSpaceDN/>
        <w:spacing w:before="0" w:beforeAutospacing="0" w:after="0" w:afterAutospacing="0" w:line="576" w:lineRule="exact"/>
        <w:ind w:left="0" w:leftChars="0" w:right="0" w:firstLine="640" w:firstLineChars="200"/>
        <w:jc w:val="both"/>
        <w:rPr>
          <w:rFonts w:hint="default" w:ascii="Times New Roman" w:hAnsi="Times New Roman" w:eastAsia="仿宋_GB2312" w:cs="Times New Roman"/>
          <w:b w:val="0"/>
          <w:bCs/>
          <w:kern w:val="2"/>
          <w:sz w:val="32"/>
          <w:szCs w:val="32"/>
        </w:rPr>
      </w:pPr>
      <w:r>
        <w:rPr>
          <w:rFonts w:hint="eastAsia" w:ascii="方正仿宋_GBK" w:hAnsi="方正仿宋_GBK" w:eastAsia="方正仿宋_GBK" w:cs="方正仿宋_GBK"/>
          <w:b w:val="0"/>
          <w:bCs/>
          <w:kern w:val="2"/>
          <w:sz w:val="32"/>
          <w:szCs w:val="32"/>
          <w:lang w:val="en-US" w:eastAsia="zh-CN" w:bidi="ar"/>
        </w:rPr>
        <w:t>该项目资金按照完成数量、质量、群众满意度等综合考虑，不单以完成数量进行拨付。项目资金按照《盐边县</w:t>
      </w:r>
      <w:r>
        <w:rPr>
          <w:rFonts w:hint="default" w:ascii="Times New Roman" w:hAnsi="Times New Roman" w:eastAsia="方正仿宋_GBK" w:cs="Times New Roman"/>
          <w:b w:val="0"/>
          <w:bCs/>
          <w:kern w:val="2"/>
          <w:sz w:val="32"/>
          <w:szCs w:val="32"/>
          <w:lang w:val="en-US" w:eastAsia="zh-CN" w:bidi="ar"/>
        </w:rPr>
        <w:t>2024</w:t>
      </w:r>
      <w:r>
        <w:rPr>
          <w:rFonts w:hint="eastAsia" w:ascii="方正仿宋_GBK" w:hAnsi="方正仿宋_GBK" w:eastAsia="方正仿宋_GBK" w:cs="方正仿宋_GBK"/>
          <w:b w:val="0"/>
          <w:bCs/>
          <w:kern w:val="2"/>
          <w:sz w:val="32"/>
          <w:szCs w:val="32"/>
          <w:lang w:val="en-US" w:eastAsia="zh-CN" w:bidi="ar"/>
        </w:rPr>
        <w:t>年度基本公共卫生服务项目绩效考核方案》要求，实施</w:t>
      </w:r>
      <w:r>
        <w:rPr>
          <w:rFonts w:hint="default" w:ascii="Times New Roman" w:hAnsi="Times New Roman" w:eastAsia="方正仿宋_GBK" w:cs="Times New Roman"/>
          <w:b w:val="0"/>
          <w:bCs/>
          <w:kern w:val="2"/>
          <w:sz w:val="32"/>
          <w:szCs w:val="32"/>
          <w:lang w:val="en-US" w:eastAsia="zh-CN" w:bidi="ar"/>
        </w:rPr>
        <w:t>“</w:t>
      </w:r>
      <w:r>
        <w:rPr>
          <w:rFonts w:hint="eastAsia" w:ascii="方正仿宋_GBK" w:hAnsi="方正仿宋_GBK" w:eastAsia="方正仿宋_GBK" w:cs="方正仿宋_GBK"/>
          <w:b w:val="0"/>
          <w:bCs/>
          <w:kern w:val="2"/>
          <w:sz w:val="32"/>
          <w:szCs w:val="32"/>
          <w:lang w:val="en-US" w:eastAsia="zh-CN" w:bidi="ar"/>
        </w:rPr>
        <w:t>先预拨、后结算</w:t>
      </w:r>
      <w:r>
        <w:rPr>
          <w:rFonts w:hint="default" w:ascii="Times New Roman" w:hAnsi="Times New Roman" w:eastAsia="方正仿宋_GBK" w:cs="Times New Roman"/>
          <w:b w:val="0"/>
          <w:bCs/>
          <w:kern w:val="2"/>
          <w:sz w:val="32"/>
          <w:szCs w:val="32"/>
          <w:lang w:val="en-US" w:eastAsia="zh-CN" w:bidi="ar"/>
        </w:rPr>
        <w:t>”</w:t>
      </w:r>
      <w:r>
        <w:rPr>
          <w:rFonts w:hint="eastAsia" w:ascii="方正仿宋_GBK" w:hAnsi="方正仿宋_GBK" w:eastAsia="方正仿宋_GBK" w:cs="方正仿宋_GBK"/>
          <w:b w:val="0"/>
          <w:bCs/>
          <w:kern w:val="2"/>
          <w:sz w:val="32"/>
          <w:szCs w:val="32"/>
          <w:lang w:val="en-US" w:eastAsia="zh-CN" w:bidi="ar"/>
        </w:rPr>
        <w:t>方式，在</w:t>
      </w:r>
      <w:r>
        <w:rPr>
          <w:rFonts w:hint="default" w:ascii="Times New Roman" w:hAnsi="Times New Roman" w:eastAsia="方正仿宋_GBK" w:cs="Times New Roman"/>
          <w:b w:val="0"/>
          <w:bCs/>
          <w:kern w:val="2"/>
          <w:sz w:val="32"/>
          <w:szCs w:val="32"/>
          <w:lang w:val="en-US" w:eastAsia="zh-CN" w:bidi="ar"/>
        </w:rPr>
        <w:t>6</w:t>
      </w:r>
      <w:r>
        <w:rPr>
          <w:rFonts w:hint="eastAsia" w:ascii="方正仿宋_GBK" w:hAnsi="方正仿宋_GBK" w:eastAsia="方正仿宋_GBK" w:cs="方正仿宋_GBK"/>
          <w:b w:val="0"/>
          <w:bCs/>
          <w:kern w:val="2"/>
          <w:sz w:val="32"/>
          <w:szCs w:val="32"/>
          <w:lang w:val="en-US" w:eastAsia="zh-CN" w:bidi="ar"/>
        </w:rPr>
        <w:t>月底前完成目标任务覆盖人群的</w:t>
      </w:r>
      <w:r>
        <w:rPr>
          <w:rFonts w:hint="default" w:ascii="Times New Roman" w:hAnsi="Times New Roman" w:eastAsia="方正仿宋_GBK" w:cs="Times New Roman"/>
          <w:b w:val="0"/>
          <w:bCs/>
          <w:kern w:val="2"/>
          <w:sz w:val="32"/>
          <w:szCs w:val="32"/>
          <w:lang w:val="en-US" w:eastAsia="zh-CN" w:bidi="ar"/>
        </w:rPr>
        <w:t>70%</w:t>
      </w:r>
      <w:r>
        <w:rPr>
          <w:rFonts w:hint="eastAsia" w:ascii="方正仿宋_GBK" w:hAnsi="方正仿宋_GBK" w:eastAsia="方正仿宋_GBK" w:cs="方正仿宋_GBK"/>
          <w:b w:val="0"/>
          <w:bCs/>
          <w:kern w:val="2"/>
          <w:sz w:val="32"/>
          <w:szCs w:val="32"/>
          <w:lang w:val="en-US" w:eastAsia="zh-CN" w:bidi="ar"/>
        </w:rPr>
        <w:t>，</w:t>
      </w:r>
      <w:r>
        <w:rPr>
          <w:rFonts w:hint="default" w:ascii="Times New Roman" w:hAnsi="Times New Roman" w:eastAsia="方正仿宋_GBK" w:cs="Times New Roman"/>
          <w:b w:val="0"/>
          <w:bCs/>
          <w:kern w:val="2"/>
          <w:sz w:val="32"/>
          <w:szCs w:val="32"/>
          <w:lang w:val="en-US" w:eastAsia="zh-CN" w:bidi="ar"/>
        </w:rPr>
        <w:t>9</w:t>
      </w:r>
      <w:r>
        <w:rPr>
          <w:rFonts w:hint="eastAsia" w:ascii="方正仿宋_GBK" w:hAnsi="方正仿宋_GBK" w:eastAsia="方正仿宋_GBK" w:cs="方正仿宋_GBK"/>
          <w:b w:val="0"/>
          <w:bCs/>
          <w:kern w:val="2"/>
          <w:sz w:val="32"/>
          <w:szCs w:val="32"/>
          <w:lang w:val="en-US" w:eastAsia="zh-CN" w:bidi="ar"/>
        </w:rPr>
        <w:t>月底前完成目标任务覆盖人群的</w:t>
      </w:r>
      <w:r>
        <w:rPr>
          <w:rFonts w:hint="default" w:ascii="Times New Roman" w:hAnsi="Times New Roman" w:eastAsia="方正仿宋_GBK" w:cs="Times New Roman"/>
          <w:b w:val="0"/>
          <w:bCs/>
          <w:kern w:val="2"/>
          <w:sz w:val="32"/>
          <w:szCs w:val="32"/>
          <w:lang w:val="en-US" w:eastAsia="zh-CN" w:bidi="ar"/>
        </w:rPr>
        <w:t>90%</w:t>
      </w:r>
      <w:r>
        <w:rPr>
          <w:rFonts w:hint="eastAsia" w:ascii="方正仿宋_GBK" w:hAnsi="方正仿宋_GBK" w:eastAsia="方正仿宋_GBK" w:cs="方正仿宋_GBK"/>
          <w:b w:val="0"/>
          <w:bCs/>
          <w:kern w:val="2"/>
          <w:sz w:val="32"/>
          <w:szCs w:val="32"/>
          <w:lang w:val="en-US" w:eastAsia="zh-CN" w:bidi="ar"/>
        </w:rPr>
        <w:t>，</w:t>
      </w:r>
      <w:r>
        <w:rPr>
          <w:rFonts w:hint="default" w:ascii="Times New Roman" w:hAnsi="Times New Roman" w:eastAsia="方正仿宋_GBK" w:cs="Times New Roman"/>
          <w:b w:val="0"/>
          <w:bCs/>
          <w:kern w:val="2"/>
          <w:sz w:val="32"/>
          <w:szCs w:val="32"/>
          <w:lang w:val="en-US" w:eastAsia="zh-CN" w:bidi="ar"/>
        </w:rPr>
        <w:t>10</w:t>
      </w:r>
      <w:r>
        <w:rPr>
          <w:rFonts w:hint="eastAsia" w:ascii="方正仿宋_GBK" w:hAnsi="方正仿宋_GBK" w:eastAsia="方正仿宋_GBK" w:cs="方正仿宋_GBK"/>
          <w:b w:val="0"/>
          <w:bCs/>
          <w:kern w:val="2"/>
          <w:sz w:val="32"/>
          <w:szCs w:val="32"/>
          <w:lang w:val="en-US" w:eastAsia="zh-CN" w:bidi="ar"/>
        </w:rPr>
        <w:t>月底前完成目标任务覆盖人群的</w:t>
      </w:r>
      <w:r>
        <w:rPr>
          <w:rFonts w:hint="default" w:ascii="Times New Roman" w:hAnsi="Times New Roman" w:eastAsia="方正仿宋_GBK" w:cs="Times New Roman"/>
          <w:b w:val="0"/>
          <w:bCs/>
          <w:kern w:val="2"/>
          <w:sz w:val="32"/>
          <w:szCs w:val="32"/>
          <w:lang w:val="en-US" w:eastAsia="zh-CN" w:bidi="ar"/>
        </w:rPr>
        <w:t>100%</w:t>
      </w:r>
      <w:r>
        <w:rPr>
          <w:rFonts w:hint="eastAsia" w:ascii="方正仿宋_GBK" w:hAnsi="方正仿宋_GBK" w:eastAsia="方正仿宋_GBK" w:cs="方正仿宋_GBK"/>
          <w:b w:val="0"/>
          <w:bCs/>
          <w:kern w:val="2"/>
          <w:sz w:val="32"/>
          <w:szCs w:val="32"/>
          <w:lang w:val="en-US" w:eastAsia="zh-CN" w:bidi="ar"/>
        </w:rPr>
        <w:t>，</w:t>
      </w:r>
      <w:r>
        <w:rPr>
          <w:rFonts w:hint="default" w:ascii="Times New Roman" w:hAnsi="Times New Roman" w:eastAsia="方正仿宋_GBK" w:cs="Times New Roman"/>
          <w:b w:val="0"/>
          <w:bCs/>
          <w:kern w:val="2"/>
          <w:sz w:val="32"/>
          <w:szCs w:val="32"/>
          <w:lang w:val="en-US" w:eastAsia="zh-CN" w:bidi="ar"/>
        </w:rPr>
        <w:t>11-12</w:t>
      </w:r>
      <w:r>
        <w:rPr>
          <w:rFonts w:hint="eastAsia" w:ascii="方正仿宋_GBK" w:hAnsi="方正仿宋_GBK" w:eastAsia="方正仿宋_GBK" w:cs="方正仿宋_GBK"/>
          <w:b w:val="0"/>
          <w:bCs/>
          <w:kern w:val="2"/>
          <w:sz w:val="32"/>
          <w:szCs w:val="32"/>
          <w:lang w:val="en-US" w:eastAsia="zh-CN" w:bidi="ar"/>
        </w:rPr>
        <w:t>月查漏补缺，项目资金拨付进度和项目完成进度保持一致。项目资金全部拨付给基层医疗卫生机构开展项目使用，县级无截留、挤占、挪用的情况发生。</w:t>
      </w:r>
    </w:p>
    <w:p w14:paraId="6AC99497">
      <w:pPr>
        <w:adjustRightInd w:val="0"/>
        <w:snapToGrid w:val="0"/>
        <w:spacing w:line="600" w:lineRule="exact"/>
        <w:ind w:firstLine="720"/>
        <w:rPr>
          <w:rFonts w:ascii="仿宋_GB2312" w:hAnsi="仿宋_GB2312" w:eastAsia="仿宋_GB2312" w:cs="仿宋_GB2312"/>
          <w:b/>
          <w:sz w:val="32"/>
          <w:szCs w:val="32"/>
          <w:lang w:val="zh-CN"/>
        </w:rPr>
      </w:pPr>
      <w:r>
        <w:rPr>
          <w:rFonts w:hint="eastAsia" w:ascii="仿宋_GB2312" w:hAnsi="仿宋_GB2312" w:eastAsia="仿宋_GB2312" w:cs="仿宋_GB2312"/>
          <w:b/>
          <w:sz w:val="32"/>
          <w:szCs w:val="32"/>
          <w:lang w:val="zh-CN"/>
        </w:rPr>
        <w:t>（二）项目绩效目标。</w:t>
      </w:r>
    </w:p>
    <w:p w14:paraId="1C87D373">
      <w:pPr>
        <w:adjustRightInd w:val="0"/>
        <w:snapToGrid w:val="0"/>
        <w:spacing w:line="600" w:lineRule="exact"/>
        <w:ind w:firstLine="720"/>
        <w:rPr>
          <w:rFonts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1. 项目主要内容。国家基本公共卫生服务服务项目分别为居民健康档案、健康教育、0-6岁儿童健康管理、预防接种、孕产妇健康管理、老年人健康管理、慢性病管理、严重精神障碍患者管理、肺结核患者健康管理、中医药健康管理、传染病及突发公共卫生事件报告和处理服务、卫生计生监督协管服务、地方病防治、职业病防治、失能老年人健康服务、农村妇女“两癌”筛查、免费孕前优生项目、其他公共卫生服务项目等工作。</w:t>
      </w:r>
    </w:p>
    <w:p w14:paraId="2609CE98">
      <w:pPr>
        <w:adjustRightInd w:val="0"/>
        <w:snapToGrid w:val="0"/>
        <w:spacing w:line="600" w:lineRule="exact"/>
        <w:ind w:firstLine="720"/>
        <w:rPr>
          <w:rFonts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2. 项目应实现的具体绩效目标。按照省、市卫生健康委员会下达2024年度基本公共卫生服务项目要求，下达2024年度任务目标：涉及适龄儿童国家免疫计划疫苗接种率＞90%；0-6岁儿童健康管理率≥90%，0-6岁儿童眼保健和视力检查覆盖率≥90%；孕产妇系统管理率≥90%；3岁以下儿童系统管理率≥85%；高血压患者管理人数11040人、2型糖尿病患者管理人数4122人、慢性阻塞性肺疾病患者人数200人；肺结核患者管理率≥90%；社区在册居家严重精神障碍患者健康管理率≥80%；儿童中医药健康管理率≥84%、老年人中医药健康管理率≥74%；卫生监督协管各专业每年巡查（访）2次完成率≥90%；地方病核心指标完成率≥90%；医疗卫生机构医用辐射防护监测医院的级别和数量100%；65岁及以上失能老年人健康服务目标任务完成率≥100%；农村妇女“两癌”筛查目标任务完成率100%；免费孕前优生项目目标人群覆盖率≥80%；居民规范化电子健康档案覆盖率≥64%；高血压患者基层规范管理服务率≥64%；2型糖尿病患者基层规范管理服务率≥64%；65岁及以上老年人城乡社区规范健康管理服务率≥64%；传染病和突发公共卫生事件报告率≥95%；县级卫生应急队伍培训演练合格率100%；；免费孕前优生项目室间质评合格率≥80%。</w:t>
      </w:r>
    </w:p>
    <w:p w14:paraId="27530D6F">
      <w:pPr>
        <w:adjustRightInd w:val="0"/>
        <w:snapToGrid w:val="0"/>
        <w:spacing w:line="600" w:lineRule="exact"/>
        <w:ind w:firstLine="720"/>
        <w:rPr>
          <w:rFonts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3. 分析评价申报内容是否与实际相符，申报目标是否合理可行。</w:t>
      </w:r>
      <w:r>
        <w:rPr>
          <w:rFonts w:hint="eastAsia" w:ascii="仿宋_GB2312" w:hAnsi="仿宋_GB2312" w:eastAsia="仿宋_GB2312" w:cs="仿宋_GB2312"/>
          <w:sz w:val="32"/>
          <w:szCs w:val="32"/>
          <w:lang w:val="zh-CN" w:eastAsia="zh-CN"/>
        </w:rPr>
        <w:t>按照省、市印发的基本公共卫生服务项目、地方病防治、农村妇女“两癌”筛查、免费孕前优生健康检查、老年健康与医养结合服务项目等实施方案要求，制定符合我县的项目实施方案，分解细化目标任务，确保了目标任务全面完成。申报内容与实际相符，申报目标合理可行。</w:t>
      </w:r>
    </w:p>
    <w:p w14:paraId="11DE0C34">
      <w:pPr>
        <w:adjustRightInd w:val="0"/>
        <w:snapToGrid w:val="0"/>
        <w:spacing w:line="600" w:lineRule="exact"/>
        <w:ind w:firstLine="720"/>
        <w:rPr>
          <w:rFonts w:ascii="仿宋_GB2312" w:hAnsi="仿宋_GB2312" w:eastAsia="仿宋_GB2312" w:cs="仿宋_GB2312"/>
          <w:b/>
          <w:sz w:val="32"/>
          <w:szCs w:val="32"/>
          <w:lang w:val="zh-CN"/>
        </w:rPr>
      </w:pPr>
      <w:r>
        <w:rPr>
          <w:rFonts w:hint="eastAsia" w:ascii="仿宋_GB2312" w:hAnsi="仿宋_GB2312" w:eastAsia="仿宋_GB2312" w:cs="仿宋_GB2312"/>
          <w:b/>
          <w:sz w:val="32"/>
          <w:szCs w:val="32"/>
          <w:lang w:val="zh-CN"/>
        </w:rPr>
        <w:t>（三）项目自评步骤及方法。</w:t>
      </w:r>
    </w:p>
    <w:p w14:paraId="39B6AF25">
      <w:pPr>
        <w:keepNext w:val="0"/>
        <w:keepLines w:val="0"/>
        <w:widowControl w:val="0"/>
        <w:suppressLineNumbers w:val="0"/>
        <w:autoSpaceDE w:val="0"/>
        <w:autoSpaceDN/>
        <w:spacing w:before="0" w:beforeAutospacing="0" w:after="0" w:afterAutospacing="0" w:line="576" w:lineRule="exact"/>
        <w:ind w:left="0" w:leftChars="0" w:right="0" w:firstLine="640" w:firstLineChars="200"/>
        <w:jc w:val="both"/>
        <w:rPr>
          <w:rFonts w:hint="default" w:ascii="Times New Roman" w:hAnsi="Times New Roman" w:eastAsia="方正仿宋_GBK" w:cs="Times New Roman"/>
          <w:b w:val="0"/>
          <w:bCs/>
          <w:kern w:val="2"/>
          <w:sz w:val="32"/>
          <w:szCs w:val="32"/>
        </w:rPr>
      </w:pPr>
      <w:r>
        <w:rPr>
          <w:rFonts w:hint="default" w:ascii="Times New Roman" w:hAnsi="Times New Roman" w:eastAsia="方正仿宋_GBK" w:cs="Times New Roman"/>
          <w:b w:val="0"/>
          <w:bCs/>
          <w:kern w:val="2"/>
          <w:sz w:val="32"/>
          <w:szCs w:val="32"/>
          <w:lang w:val="en-US" w:eastAsia="zh-CN" w:bidi="ar"/>
        </w:rPr>
        <w:t>1.</w:t>
      </w:r>
      <w:r>
        <w:rPr>
          <w:rFonts w:hint="eastAsia" w:ascii="方正仿宋_GBK" w:hAnsi="方正仿宋_GBK" w:eastAsia="方正仿宋_GBK" w:cs="方正仿宋_GBK"/>
          <w:b w:val="0"/>
          <w:bCs/>
          <w:kern w:val="2"/>
          <w:sz w:val="32"/>
          <w:szCs w:val="32"/>
          <w:lang w:val="en-US" w:eastAsia="zh-CN" w:bidi="ar"/>
        </w:rPr>
        <w:t>县卫生健康局各股室按照中央、省、市要求，加强对基本公共卫生服务项目、方病防治、农村妇女</w:t>
      </w:r>
      <w:r>
        <w:rPr>
          <w:rFonts w:hint="default" w:ascii="Times New Roman" w:hAnsi="Times New Roman" w:eastAsia="方正仿宋_GBK" w:cs="Times New Roman"/>
          <w:b w:val="0"/>
          <w:bCs/>
          <w:kern w:val="2"/>
          <w:sz w:val="32"/>
          <w:szCs w:val="32"/>
          <w:lang w:val="en-US" w:eastAsia="zh-CN" w:bidi="ar"/>
        </w:rPr>
        <w:t>“</w:t>
      </w:r>
      <w:r>
        <w:rPr>
          <w:rFonts w:hint="eastAsia" w:ascii="方正仿宋_GBK" w:hAnsi="方正仿宋_GBK" w:eastAsia="方正仿宋_GBK" w:cs="方正仿宋_GBK"/>
          <w:b w:val="0"/>
          <w:bCs/>
          <w:kern w:val="2"/>
          <w:sz w:val="32"/>
          <w:szCs w:val="32"/>
          <w:lang w:val="en-US" w:eastAsia="zh-CN" w:bidi="ar"/>
        </w:rPr>
        <w:t>两癌</w:t>
      </w:r>
      <w:r>
        <w:rPr>
          <w:rFonts w:hint="default" w:ascii="Times New Roman" w:hAnsi="Times New Roman" w:eastAsia="方正仿宋_GBK" w:cs="Times New Roman"/>
          <w:b w:val="0"/>
          <w:bCs/>
          <w:kern w:val="2"/>
          <w:sz w:val="32"/>
          <w:szCs w:val="32"/>
          <w:lang w:val="en-US" w:eastAsia="zh-CN" w:bidi="ar"/>
        </w:rPr>
        <w:t>”</w:t>
      </w:r>
      <w:r>
        <w:rPr>
          <w:rFonts w:hint="eastAsia" w:ascii="方正仿宋_GBK" w:hAnsi="方正仿宋_GBK" w:eastAsia="方正仿宋_GBK" w:cs="方正仿宋_GBK"/>
          <w:b w:val="0"/>
          <w:bCs/>
          <w:kern w:val="2"/>
          <w:sz w:val="32"/>
          <w:szCs w:val="32"/>
          <w:lang w:val="en-US" w:eastAsia="zh-CN" w:bidi="ar"/>
        </w:rPr>
        <w:t>筛查、免费孕前优生健康检查、老年健康与医养结合服务项目、双随机、计划生育服务补助、健康县建设等项目的日常资金使用指导，每年对各项目实施单位财务人员进行财经纪律上的培训，保障项目专款专用。</w:t>
      </w:r>
    </w:p>
    <w:p w14:paraId="72442D98">
      <w:pPr>
        <w:keepNext w:val="0"/>
        <w:keepLines w:val="0"/>
        <w:widowControl w:val="0"/>
        <w:suppressLineNumbers w:val="0"/>
        <w:autoSpaceDE w:val="0"/>
        <w:autoSpaceDN/>
        <w:spacing w:before="0" w:beforeAutospacing="0" w:after="0" w:afterAutospacing="0" w:line="576" w:lineRule="exact"/>
        <w:ind w:left="0" w:leftChars="0" w:right="0" w:firstLine="640" w:firstLineChars="200"/>
        <w:jc w:val="both"/>
        <w:rPr>
          <w:rFonts w:hint="default" w:ascii="Times New Roman" w:hAnsi="Times New Roman" w:eastAsia="方正仿宋_GBK" w:cs="Times New Roman"/>
          <w:b w:val="0"/>
          <w:bCs/>
          <w:kern w:val="2"/>
          <w:sz w:val="32"/>
          <w:szCs w:val="32"/>
        </w:rPr>
      </w:pPr>
      <w:r>
        <w:rPr>
          <w:rFonts w:hint="default" w:ascii="Times New Roman" w:hAnsi="Times New Roman" w:eastAsia="方正仿宋_GBK" w:cs="Times New Roman"/>
          <w:b w:val="0"/>
          <w:bCs/>
          <w:kern w:val="2"/>
          <w:sz w:val="32"/>
          <w:szCs w:val="32"/>
          <w:lang w:val="en-US" w:eastAsia="zh-CN" w:bidi="ar"/>
        </w:rPr>
        <w:t>2.</w:t>
      </w:r>
      <w:r>
        <w:rPr>
          <w:rFonts w:hint="eastAsia" w:ascii="方正仿宋_GBK" w:hAnsi="方正仿宋_GBK" w:eastAsia="方正仿宋_GBK" w:cs="方正仿宋_GBK"/>
          <w:b w:val="0"/>
          <w:bCs/>
          <w:kern w:val="2"/>
          <w:sz w:val="32"/>
          <w:szCs w:val="32"/>
          <w:lang w:val="en-US" w:eastAsia="zh-CN" w:bidi="ar"/>
        </w:rPr>
        <w:t>县卫生健康局对拨付的项目经费的支出都做出了相应要求，分配方案县上局务会、局党组会讨论通过，对经费拨付大于</w:t>
      </w:r>
      <w:r>
        <w:rPr>
          <w:rFonts w:hint="default" w:ascii="Times New Roman" w:hAnsi="Times New Roman" w:eastAsia="方正仿宋_GBK" w:cs="Times New Roman"/>
          <w:b w:val="0"/>
          <w:bCs/>
          <w:kern w:val="2"/>
          <w:sz w:val="32"/>
          <w:szCs w:val="32"/>
          <w:lang w:val="en-US" w:eastAsia="zh-CN" w:bidi="ar"/>
        </w:rPr>
        <w:t>100</w:t>
      </w:r>
      <w:r>
        <w:rPr>
          <w:rFonts w:hint="eastAsia" w:ascii="方正仿宋_GBK" w:hAnsi="方正仿宋_GBK" w:eastAsia="方正仿宋_GBK" w:cs="方正仿宋_GBK"/>
          <w:b w:val="0"/>
          <w:bCs/>
          <w:kern w:val="2"/>
          <w:sz w:val="32"/>
          <w:szCs w:val="32"/>
          <w:lang w:val="en-US" w:eastAsia="zh-CN" w:bidi="ar"/>
        </w:rPr>
        <w:t>万以上</w:t>
      </w:r>
      <w:r>
        <w:rPr>
          <w:rFonts w:hint="default" w:ascii="Times New Roman" w:hAnsi="Times New Roman" w:eastAsia="方正仿宋_GBK" w:cs="Times New Roman"/>
          <w:b w:val="0"/>
          <w:bCs/>
          <w:kern w:val="2"/>
          <w:sz w:val="32"/>
          <w:szCs w:val="32"/>
          <w:lang w:val="en-US" w:eastAsia="zh-CN" w:bidi="ar"/>
        </w:rPr>
        <w:t>500</w:t>
      </w:r>
      <w:r>
        <w:rPr>
          <w:rFonts w:hint="eastAsia" w:ascii="方正仿宋_GBK" w:hAnsi="方正仿宋_GBK" w:eastAsia="方正仿宋_GBK" w:cs="方正仿宋_GBK"/>
          <w:b w:val="0"/>
          <w:bCs/>
          <w:kern w:val="2"/>
          <w:sz w:val="32"/>
          <w:szCs w:val="32"/>
          <w:lang w:val="en-US" w:eastAsia="zh-CN" w:bidi="ar"/>
        </w:rPr>
        <w:t>万以下需上县政府常务会，对经费拨付大于</w:t>
      </w:r>
      <w:r>
        <w:rPr>
          <w:rFonts w:hint="default" w:ascii="Times New Roman" w:hAnsi="Times New Roman" w:eastAsia="方正仿宋_GBK" w:cs="Times New Roman"/>
          <w:b w:val="0"/>
          <w:bCs/>
          <w:kern w:val="2"/>
          <w:sz w:val="32"/>
          <w:szCs w:val="32"/>
          <w:lang w:val="en-US" w:eastAsia="zh-CN" w:bidi="ar"/>
        </w:rPr>
        <w:t>500</w:t>
      </w:r>
      <w:r>
        <w:rPr>
          <w:rFonts w:hint="eastAsia" w:ascii="方正仿宋_GBK" w:hAnsi="方正仿宋_GBK" w:eastAsia="方正仿宋_GBK" w:cs="方正仿宋_GBK"/>
          <w:b w:val="0"/>
          <w:bCs/>
          <w:kern w:val="2"/>
          <w:sz w:val="32"/>
          <w:szCs w:val="32"/>
          <w:lang w:val="en-US" w:eastAsia="zh-CN" w:bidi="ar"/>
        </w:rPr>
        <w:t>万元的除上县政府常务会审议外，还需上县委常委会审议，均有会议纪要作为支撑。</w:t>
      </w:r>
    </w:p>
    <w:p w14:paraId="6E04F694">
      <w:pPr>
        <w:keepNext w:val="0"/>
        <w:keepLines w:val="0"/>
        <w:widowControl w:val="0"/>
        <w:suppressLineNumbers w:val="0"/>
        <w:autoSpaceDE w:val="0"/>
        <w:autoSpaceDN/>
        <w:spacing w:before="0" w:beforeAutospacing="0" w:after="0" w:afterAutospacing="0" w:line="576" w:lineRule="exact"/>
        <w:ind w:left="0" w:leftChars="0" w:right="0" w:firstLine="640" w:firstLineChars="200"/>
        <w:jc w:val="both"/>
        <w:rPr>
          <w:rFonts w:hint="default" w:ascii="Times New Roman" w:hAnsi="Times New Roman" w:eastAsia="方正仿宋_GBK" w:cs="Times New Roman"/>
          <w:b w:val="0"/>
          <w:bCs/>
          <w:kern w:val="2"/>
          <w:sz w:val="32"/>
          <w:szCs w:val="32"/>
        </w:rPr>
      </w:pPr>
      <w:r>
        <w:rPr>
          <w:rFonts w:hint="default" w:ascii="Times New Roman" w:hAnsi="Times New Roman" w:eastAsia="方正仿宋_GBK" w:cs="Times New Roman"/>
          <w:b w:val="0"/>
          <w:bCs/>
          <w:kern w:val="2"/>
          <w:sz w:val="32"/>
          <w:szCs w:val="32"/>
          <w:lang w:val="en-US" w:eastAsia="zh-CN" w:bidi="ar"/>
        </w:rPr>
        <w:t>3.2024</w:t>
      </w:r>
      <w:r>
        <w:rPr>
          <w:rFonts w:hint="eastAsia" w:ascii="方正仿宋_GBK" w:hAnsi="方正仿宋_GBK" w:eastAsia="方正仿宋_GBK" w:cs="方正仿宋_GBK"/>
          <w:b w:val="0"/>
          <w:bCs/>
          <w:kern w:val="2"/>
          <w:sz w:val="32"/>
          <w:szCs w:val="32"/>
          <w:lang w:val="en-US" w:eastAsia="zh-CN" w:bidi="ar"/>
        </w:rPr>
        <w:t>年，坚持兼顾公平、多劳多得、优劳优得的原则。细化考核方案，差异化服务、差异化考核，充分发挥考核的激励引导作用，促使基层医疗卫生机构严格按规范、保质量地开展基本公共卫生服务工作。</w:t>
      </w:r>
    </w:p>
    <w:p w14:paraId="67096D28">
      <w:pPr>
        <w:adjustRightInd w:val="0"/>
        <w:snapToGrid w:val="0"/>
        <w:spacing w:line="600" w:lineRule="exact"/>
        <w:ind w:firstLine="720"/>
        <w:rPr>
          <w:rFonts w:ascii="黑体" w:hAnsi="黑体" w:eastAsia="黑体" w:cs="黑体"/>
          <w:sz w:val="32"/>
          <w:szCs w:val="32"/>
        </w:rPr>
      </w:pPr>
      <w:r>
        <w:rPr>
          <w:rFonts w:hint="eastAsia" w:ascii="黑体" w:hAnsi="黑体" w:eastAsia="黑体" w:cs="黑体"/>
          <w:sz w:val="32"/>
          <w:szCs w:val="32"/>
        </w:rPr>
        <w:t>二、项目资金申报及使用情况</w:t>
      </w:r>
    </w:p>
    <w:p w14:paraId="6446E2C4">
      <w:pPr>
        <w:adjustRightInd w:val="0"/>
        <w:snapToGrid w:val="0"/>
        <w:spacing w:line="600" w:lineRule="exact"/>
        <w:ind w:firstLine="720"/>
        <w:rPr>
          <w:rFonts w:ascii="仿宋_GB2312" w:hAnsi="仿宋_GB2312" w:eastAsia="仿宋_GB2312" w:cs="仿宋_GB2312"/>
          <w:b/>
          <w:sz w:val="32"/>
          <w:szCs w:val="32"/>
          <w:lang w:val="zh-CN"/>
        </w:rPr>
      </w:pPr>
      <w:r>
        <w:rPr>
          <w:rFonts w:hint="eastAsia" w:ascii="仿宋_GB2312" w:hAnsi="仿宋_GB2312" w:eastAsia="仿宋_GB2312" w:cs="仿宋_GB2312"/>
          <w:b/>
          <w:sz w:val="32"/>
          <w:szCs w:val="32"/>
          <w:lang w:val="zh-CN"/>
        </w:rPr>
        <w:t>（一）项目资金申报及批复情况。</w:t>
      </w:r>
    </w:p>
    <w:p w14:paraId="368A46C8">
      <w:pPr>
        <w:keepNext w:val="0"/>
        <w:keepLines w:val="0"/>
        <w:widowControl w:val="0"/>
        <w:suppressLineNumbers w:val="0"/>
        <w:autoSpaceDE w:val="0"/>
        <w:autoSpaceDN/>
        <w:spacing w:before="0" w:beforeAutospacing="0" w:after="0" w:afterAutospacing="0" w:line="576" w:lineRule="exact"/>
        <w:ind w:left="0" w:leftChars="0" w:right="0" w:firstLine="640" w:firstLineChars="200"/>
        <w:jc w:val="both"/>
        <w:rPr>
          <w:rFonts w:hint="default" w:ascii="Times New Roman" w:hAnsi="Times New Roman" w:eastAsia="方正仿宋_GBK" w:cs="Times New Roman"/>
          <w:b w:val="0"/>
          <w:bCs/>
          <w:kern w:val="2"/>
          <w:sz w:val="32"/>
          <w:szCs w:val="32"/>
        </w:rPr>
      </w:pPr>
      <w:r>
        <w:rPr>
          <w:rFonts w:hint="eastAsia" w:ascii="方正仿宋_GBK" w:hAnsi="方正仿宋_GBK" w:eastAsia="方正仿宋_GBK" w:cs="方正仿宋_GBK"/>
          <w:b w:val="0"/>
          <w:bCs/>
          <w:kern w:val="2"/>
          <w:sz w:val="32"/>
          <w:szCs w:val="32"/>
          <w:lang w:val="en-US" w:eastAsia="zh-CN" w:bidi="ar"/>
        </w:rPr>
        <w:t>基本公共卫生项目资金由县卫生健康局组织申报、县财政根据实际情况予以批复及进行预算调整。</w:t>
      </w:r>
    </w:p>
    <w:p w14:paraId="7B8AC3FC">
      <w:pPr>
        <w:adjustRightInd w:val="0"/>
        <w:snapToGrid w:val="0"/>
        <w:spacing w:line="600" w:lineRule="exact"/>
        <w:ind w:firstLine="720"/>
        <w:rPr>
          <w:rFonts w:ascii="仿宋_GB2312" w:hAnsi="仿宋_GB2312" w:eastAsia="仿宋_GB2312" w:cs="仿宋_GB2312"/>
          <w:sz w:val="32"/>
          <w:szCs w:val="32"/>
          <w:lang w:val="zh-CN"/>
        </w:rPr>
      </w:pPr>
      <w:r>
        <w:rPr>
          <w:rFonts w:hint="eastAsia" w:ascii="仿宋_GB2312" w:hAnsi="仿宋_GB2312" w:eastAsia="仿宋_GB2312" w:cs="仿宋_GB2312"/>
          <w:b/>
          <w:sz w:val="32"/>
          <w:szCs w:val="32"/>
          <w:lang w:val="zh-CN"/>
        </w:rPr>
        <w:t>（二）资金计划、到位及使用情况。</w:t>
      </w:r>
    </w:p>
    <w:p w14:paraId="0A2C76E1">
      <w:pPr>
        <w:keepNext w:val="0"/>
        <w:keepLines w:val="0"/>
        <w:widowControl w:val="0"/>
        <w:suppressLineNumbers w:val="0"/>
        <w:autoSpaceDE w:val="0"/>
        <w:autoSpaceDN/>
        <w:spacing w:before="0" w:beforeAutospacing="0" w:after="0" w:afterAutospacing="0" w:line="576" w:lineRule="exact"/>
        <w:ind w:left="0" w:leftChars="0" w:right="0" w:firstLine="640" w:firstLineChars="200"/>
        <w:jc w:val="both"/>
        <w:rPr>
          <w:rFonts w:hint="eastAsia" w:ascii="CESI仿宋-GB2312" w:hAnsi="CESI仿宋-GB2312" w:eastAsia="CESI仿宋-GB2312" w:cs="CESI仿宋-GB2312"/>
          <w:b w:val="0"/>
          <w:bCs/>
          <w:kern w:val="2"/>
          <w:sz w:val="32"/>
          <w:szCs w:val="32"/>
        </w:rPr>
      </w:pPr>
      <w:r>
        <w:rPr>
          <w:rFonts w:hint="eastAsia" w:ascii="仿宋_GB2312" w:hAnsi="仿宋_GB2312" w:eastAsia="仿宋_GB2312" w:cs="仿宋_GB2312"/>
          <w:sz w:val="32"/>
          <w:szCs w:val="32"/>
          <w:lang w:val="zh-CN"/>
        </w:rPr>
        <w:t>1．资金计划。</w:t>
      </w:r>
      <w:r>
        <w:rPr>
          <w:rFonts w:hint="eastAsia" w:ascii="CESI仿宋-GB2312" w:hAnsi="CESI仿宋-GB2312" w:eastAsia="CESI仿宋-GB2312" w:cs="CESI仿宋-GB2312"/>
          <w:b w:val="0"/>
          <w:bCs/>
          <w:kern w:val="2"/>
          <w:sz w:val="32"/>
          <w:szCs w:val="32"/>
          <w:lang w:val="en-US" w:eastAsia="zh-CN" w:bidi="ar"/>
        </w:rPr>
        <w:t>2024年按照国家、省、市、县根据12项基本公共卫生服务项目、地方病防治、农村妇女“两癌”筛查、免费孕前优生健康检查、老年健康与医养结合服务项目、其他公共卫生服务等要求，国家、省、市、县下达项目资金共计1647.08万元，其中中央资金1310.56万元，省级资金204.60万元，县级配套资金131.92万元。所有资金全部到位并下拨到各项目执行单位。县卫生健康局将加强对资金监管，确保专款专用，严禁截留和挪用。</w:t>
      </w:r>
    </w:p>
    <w:p w14:paraId="7C08EC10">
      <w:pPr>
        <w:adjustRightInd w:val="0"/>
        <w:snapToGrid w:val="0"/>
        <w:spacing w:line="600" w:lineRule="exact"/>
        <w:ind w:firstLine="72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2．资金到位。</w:t>
      </w:r>
      <w:r>
        <w:rPr>
          <w:rFonts w:hint="eastAsia" w:ascii="仿宋_GB2312" w:hAnsi="仿宋_GB2312" w:eastAsia="仿宋_GB2312" w:cs="仿宋_GB2312"/>
          <w:sz w:val="32"/>
          <w:szCs w:val="32"/>
          <w:lang w:val="zh-CN" w:eastAsia="zh-CN"/>
        </w:rPr>
        <w:t>（1）省级下达资金</w:t>
      </w:r>
    </w:p>
    <w:p w14:paraId="3F278A8D">
      <w:pPr>
        <w:adjustRightInd w:val="0"/>
        <w:snapToGrid w:val="0"/>
        <w:spacing w:line="600" w:lineRule="exact"/>
        <w:ind w:firstLine="72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eastAsia="zh-CN"/>
        </w:rPr>
        <w:t>2023年12月29日，印发《四川省财政厅 四川省卫生健康委员会关于提前下达2024年基本公共卫生服务中央和省级补助资金的通知》（川财社〔2023〕179号）文件，下达项目资金共计1286.76万元，其中中央资金1112.45万元，省级资金174.31万元。</w:t>
      </w:r>
    </w:p>
    <w:p w14:paraId="7B9FE29B">
      <w:pPr>
        <w:adjustRightInd w:val="0"/>
        <w:snapToGrid w:val="0"/>
        <w:spacing w:line="600" w:lineRule="exact"/>
        <w:ind w:firstLine="72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eastAsia="zh-CN"/>
        </w:rPr>
        <w:t>2023年8月1日，印发《四川省财政厅 四川省卫生健康委员会关于下达2024年基本公共卫生服务中央和省级补助资金的通知》（川财社〔2024〕48号）文件，下达项目资金226.5万元，其中中央资金196.21万元，省级资金30.29万元。</w:t>
      </w:r>
    </w:p>
    <w:p w14:paraId="791931A5">
      <w:pPr>
        <w:adjustRightInd w:val="0"/>
        <w:snapToGrid w:val="0"/>
        <w:spacing w:line="600" w:lineRule="exact"/>
        <w:ind w:firstLine="72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eastAsia="zh-CN"/>
        </w:rPr>
        <w:t>（2）市级下达资金</w:t>
      </w:r>
    </w:p>
    <w:p w14:paraId="349B762D">
      <w:pPr>
        <w:adjustRightInd w:val="0"/>
        <w:snapToGrid w:val="0"/>
        <w:spacing w:line="600" w:lineRule="exact"/>
        <w:ind w:firstLine="72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eastAsia="zh-CN"/>
        </w:rPr>
        <w:t>参照《四川省财政厅四川省卫生健康委员会关于下达2024年基本公共卫生服务中央和省级补助资金的通知》（川财社〔2024〕48号），文件要求，市卫生健康委于2024年8月30日，印发《攀枝花市财政局攀枝花市卫生健康委员会关于下达2024年基本公共卫生服务中央和市级补助资金（第二批）的通知》（攀财资社〔2024〕122号），下发2024年基本公共卫生服务中央补助资金1.9万元。</w:t>
      </w:r>
    </w:p>
    <w:p w14:paraId="5ED4AE94">
      <w:pPr>
        <w:adjustRightInd w:val="0"/>
        <w:snapToGrid w:val="0"/>
        <w:spacing w:line="600" w:lineRule="exact"/>
        <w:ind w:firstLine="72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eastAsia="zh-CN"/>
        </w:rPr>
        <w:t>（3）县级资金</w:t>
      </w:r>
    </w:p>
    <w:p w14:paraId="28236F4B">
      <w:pPr>
        <w:adjustRightInd w:val="0"/>
        <w:snapToGrid w:val="0"/>
        <w:spacing w:line="600" w:lineRule="exact"/>
        <w:ind w:firstLine="72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eastAsia="zh-CN"/>
        </w:rPr>
        <w:t>2024年1月22日，县财政局印发《关于提前下达2024年基本公共卫生服务中央和省级补助资金的通知》（盐财资行〔2024〕12号）文件，拨付基本公共卫生服务项目资金1286.76万元，其中中央资金1112.45万元，省级资金174.31万元。</w:t>
      </w:r>
    </w:p>
    <w:p w14:paraId="778EAA8D">
      <w:pPr>
        <w:adjustRightInd w:val="0"/>
        <w:snapToGrid w:val="0"/>
        <w:spacing w:line="600" w:lineRule="exact"/>
        <w:ind w:firstLine="72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eastAsia="zh-CN"/>
        </w:rPr>
        <w:t>2024年8月19日，县财政局印发《关于下达2024年基本公共卫生服务中央和省级补助资金的通知》（盐财资行〔2024〕286号）文件，拨付项目基本公共卫生服务项目资金221.76万元，其中中央资金196.21万元，省级资金30.29万元。</w:t>
      </w:r>
    </w:p>
    <w:p w14:paraId="02DE63CA">
      <w:pPr>
        <w:adjustRightInd w:val="0"/>
        <w:snapToGrid w:val="0"/>
        <w:spacing w:line="600" w:lineRule="exact"/>
        <w:ind w:firstLine="720"/>
        <w:rPr>
          <w:rFonts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eastAsia="zh-CN"/>
        </w:rPr>
        <w:t>2024年3月15日，县财政局《关于印发2024 年部门预算批复的通知》（盐边财政〔2024〕8号），预算2024年度基本公共卫生服务项目县级配套资金140万元。按照《四川省财政厅 四川省卫生健康委员会关于下达2024年基本公共卫生服务中央和省级补助资金的通知》（川财社〔2024〕48号）要求，县级需配套131.92万元。</w:t>
      </w:r>
    </w:p>
    <w:p w14:paraId="0CCDEF44">
      <w:pPr>
        <w:adjustRightInd w:val="0"/>
        <w:snapToGrid w:val="0"/>
        <w:spacing w:line="600" w:lineRule="exact"/>
        <w:ind w:firstLine="72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3．资金使用。</w:t>
      </w:r>
      <w:r>
        <w:rPr>
          <w:rFonts w:hint="eastAsia" w:ascii="仿宋_GB2312" w:hAnsi="仿宋_GB2312" w:eastAsia="仿宋_GB2312" w:cs="仿宋_GB2312"/>
          <w:sz w:val="32"/>
          <w:szCs w:val="32"/>
          <w:lang w:val="zh-CN" w:eastAsia="zh-CN"/>
        </w:rPr>
        <w:t>2024年全县各医疗卫生单位实施财务一体化预算，项目资金都在系统上列支，截至2024年底，项目资金1647.08万元已全部拨付到位，使用项目资金1610.01万元，资金使用率为97.75%。因县级配套下达较晚，加之部分基层医疗卫生机构上传资料不全，导致基本公共卫生服务项目部分资金未使用完。</w:t>
      </w:r>
    </w:p>
    <w:p w14:paraId="1D3624D1">
      <w:pPr>
        <w:adjustRightInd w:val="0"/>
        <w:snapToGrid w:val="0"/>
        <w:spacing w:line="600" w:lineRule="exact"/>
        <w:ind w:firstLine="720"/>
        <w:rPr>
          <w:rFonts w:ascii="仿宋_GB2312" w:hAnsi="仿宋_GB2312" w:eastAsia="仿宋_GB2312" w:cs="仿宋_GB2312"/>
          <w:b/>
          <w:sz w:val="32"/>
          <w:szCs w:val="32"/>
          <w:lang w:val="zh-CN"/>
        </w:rPr>
      </w:pPr>
      <w:r>
        <w:rPr>
          <w:rFonts w:hint="eastAsia" w:ascii="仿宋_GB2312" w:hAnsi="仿宋_GB2312" w:eastAsia="仿宋_GB2312" w:cs="仿宋_GB2312"/>
          <w:b/>
          <w:sz w:val="32"/>
          <w:szCs w:val="32"/>
          <w:lang w:val="zh-CN"/>
        </w:rPr>
        <w:t>（三）项目财务管理情况。</w:t>
      </w:r>
    </w:p>
    <w:p w14:paraId="3CEDE580">
      <w:pPr>
        <w:keepNext w:val="0"/>
        <w:keepLines w:val="0"/>
        <w:widowControl w:val="0"/>
        <w:suppressLineNumbers w:val="0"/>
        <w:autoSpaceDE w:val="0"/>
        <w:autoSpaceDN/>
        <w:spacing w:before="0" w:beforeAutospacing="0" w:after="0" w:afterAutospacing="0" w:line="576" w:lineRule="exact"/>
        <w:ind w:left="0" w:leftChars="0" w:right="0" w:firstLine="640" w:firstLineChars="200"/>
        <w:jc w:val="both"/>
        <w:rPr>
          <w:rFonts w:hint="default" w:ascii="Times New Roman" w:hAnsi="Times New Roman" w:eastAsia="仿宋_GB2312" w:cs="Times New Roman"/>
          <w:b w:val="0"/>
          <w:bCs/>
          <w:kern w:val="2"/>
          <w:sz w:val="32"/>
          <w:szCs w:val="32"/>
        </w:rPr>
      </w:pPr>
      <w:r>
        <w:rPr>
          <w:rFonts w:hint="default" w:ascii="仿宋_GB2312" w:hAnsi="Times New Roman" w:eastAsia="仿宋_GB2312" w:cs="仿宋_GB2312"/>
          <w:b w:val="0"/>
          <w:bCs/>
          <w:kern w:val="2"/>
          <w:sz w:val="32"/>
          <w:szCs w:val="32"/>
          <w:lang w:val="en-US" w:eastAsia="zh-CN" w:bidi="ar"/>
        </w:rPr>
        <w:t>各项目实施单位财务管理制度健全，严格执行财务管理制度，及时账务处理，规范会计核算，及时完成财务年报、卫生统计年报、月报等。</w:t>
      </w:r>
    </w:p>
    <w:p w14:paraId="5B9CE178">
      <w:pPr>
        <w:adjustRightInd w:val="0"/>
        <w:snapToGrid w:val="0"/>
        <w:spacing w:line="600" w:lineRule="exact"/>
        <w:ind w:firstLine="720"/>
        <w:rPr>
          <w:rFonts w:ascii="黑体" w:hAnsi="黑体" w:eastAsia="黑体" w:cs="黑体"/>
          <w:sz w:val="32"/>
          <w:szCs w:val="32"/>
        </w:rPr>
      </w:pPr>
      <w:r>
        <w:rPr>
          <w:rFonts w:hint="eastAsia" w:ascii="黑体" w:hAnsi="黑体" w:eastAsia="黑体" w:cs="黑体"/>
          <w:sz w:val="32"/>
          <w:szCs w:val="32"/>
        </w:rPr>
        <w:t>三、项目实施及管理情况</w:t>
      </w:r>
    </w:p>
    <w:p w14:paraId="43595431">
      <w:pPr>
        <w:adjustRightInd w:val="0"/>
        <w:snapToGrid w:val="0"/>
        <w:spacing w:line="600" w:lineRule="exact"/>
        <w:ind w:firstLine="720"/>
        <w:rPr>
          <w:rFonts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结合项目组织实施管理办法，重点围绕以下内容进行分析评价，并对自评中发现的问题分析说明。</w:t>
      </w:r>
    </w:p>
    <w:p w14:paraId="0C0CF4A8">
      <w:pPr>
        <w:keepNext w:val="0"/>
        <w:keepLines w:val="0"/>
        <w:pageBreakBefore w:val="0"/>
        <w:numPr>
          <w:ilvl w:val="0"/>
          <w:numId w:val="5"/>
        </w:numPr>
        <w:kinsoku/>
        <w:wordWrap/>
        <w:overflowPunct/>
        <w:topLinePunct w:val="0"/>
        <w:autoSpaceDE/>
        <w:autoSpaceDN/>
        <w:bidi w:val="0"/>
        <w:adjustRightInd/>
        <w:snapToGrid/>
        <w:spacing w:line="576" w:lineRule="exact"/>
        <w:ind w:left="0" w:leftChars="0" w:firstLine="643" w:firstLineChars="200"/>
        <w:textAlignment w:val="auto"/>
        <w:rPr>
          <w:rFonts w:hint="eastAsia" w:ascii="仿宋_GB2312" w:hAnsi="仿宋_GB2312" w:eastAsia="仿宋_GB2312" w:cs="仿宋_GB2312"/>
          <w:b/>
          <w:sz w:val="32"/>
          <w:szCs w:val="32"/>
          <w:lang w:val="zh-CN"/>
        </w:rPr>
      </w:pPr>
      <w:r>
        <w:rPr>
          <w:rFonts w:hint="eastAsia" w:ascii="仿宋_GB2312" w:hAnsi="仿宋_GB2312" w:eastAsia="仿宋_GB2312" w:cs="仿宋_GB2312"/>
          <w:b/>
          <w:sz w:val="32"/>
          <w:szCs w:val="32"/>
          <w:lang w:val="zh-CN"/>
        </w:rPr>
        <w:t>项目组织架构及实施流程。</w:t>
      </w:r>
    </w:p>
    <w:p w14:paraId="6B7B32D6">
      <w:pPr>
        <w:keepNext w:val="0"/>
        <w:keepLines w:val="0"/>
        <w:pageBreakBefore w:val="0"/>
        <w:numPr>
          <w:ilvl w:val="0"/>
          <w:numId w:val="0"/>
        </w:numPr>
        <w:kinsoku/>
        <w:wordWrap/>
        <w:overflowPunct/>
        <w:topLinePunct w:val="0"/>
        <w:autoSpaceDE/>
        <w:autoSpaceDN/>
        <w:bidi w:val="0"/>
        <w:adjustRightInd/>
        <w:snapToGrid/>
        <w:spacing w:line="576" w:lineRule="exact"/>
        <w:ind w:firstLine="640" w:firstLineChars="200"/>
        <w:textAlignment w:val="auto"/>
        <w:rPr>
          <w:rFonts w:ascii="仿宋_GB2312" w:hAnsi="仿宋_GB2312" w:eastAsia="仿宋_GB2312" w:cs="仿宋_GB2312"/>
          <w:b/>
          <w:sz w:val="32"/>
          <w:szCs w:val="32"/>
          <w:lang w:val="zh-CN"/>
        </w:rPr>
      </w:pPr>
      <w:r>
        <w:rPr>
          <w:rFonts w:hint="eastAsia" w:ascii="CESI仿宋-GB2312" w:hAnsi="CESI仿宋-GB2312" w:eastAsia="CESI仿宋-GB2312" w:cs="CESI仿宋-GB2312"/>
          <w:b w:val="0"/>
          <w:bCs/>
          <w:color w:val="auto"/>
          <w:sz w:val="32"/>
          <w:szCs w:val="32"/>
          <w:lang w:val="en-US" w:eastAsia="zh-CN"/>
        </w:rPr>
        <w:t xml:space="preserve">2024年基本公共卫生服务项目时间是从2024年1月-12月，按照上级要求进行，建立辖区居民健康档案；做好预防接种工作；对重点人群进行每年一次的年度体检，对慢性病、重精、肺结核病等患者进行随访服务，对0-6岁儿童进行成长发育指导，加强对老年人和0-3岁儿童家长进行中医体质辨识指导；做好辖区健康教育宣传咨询和健康教育讲座，做好医疗卫生机构健康素养促进活动；对有避孕意向的妇女发放避孕药具；做好传染病、突发公共卫生事件报告；做好卫生计生监督协管巡查；开展地方病防治工作；开展农村妇女两癌筛查、免费孕前优生健康检查；对65岁以上失能老年人开展健康服务；开展2024年计划生育服务补助；开展双随机抽查等工作。 </w:t>
      </w:r>
    </w:p>
    <w:p w14:paraId="7CD264FE">
      <w:pPr>
        <w:keepNext w:val="0"/>
        <w:keepLines w:val="0"/>
        <w:widowControl w:val="0"/>
        <w:suppressLineNumbers w:val="0"/>
        <w:spacing w:before="0" w:beforeAutospacing="0" w:after="0" w:afterAutospacing="0"/>
        <w:ind w:left="0" w:right="0" w:firstLine="643" w:firstLineChars="200"/>
        <w:jc w:val="both"/>
        <w:rPr>
          <w:rFonts w:ascii="仿宋_GB2312" w:hAnsi="仿宋_GB2312" w:eastAsia="仿宋_GB2312" w:cs="仿宋_GB2312"/>
          <w:sz w:val="32"/>
          <w:szCs w:val="32"/>
          <w:lang w:val="zh-CN"/>
        </w:rPr>
      </w:pPr>
      <w:r>
        <w:rPr>
          <w:rFonts w:hint="eastAsia" w:ascii="仿宋_GB2312" w:hAnsi="仿宋_GB2312" w:eastAsia="仿宋_GB2312" w:cs="仿宋_GB2312"/>
          <w:b/>
          <w:sz w:val="32"/>
          <w:szCs w:val="32"/>
          <w:lang w:val="zh-CN"/>
        </w:rPr>
        <w:t>（二）项目管理情况。</w:t>
      </w:r>
      <w:r>
        <w:rPr>
          <w:rFonts w:hint="eastAsia" w:ascii="CESI仿宋-GB2312" w:hAnsi="CESI仿宋-GB2312" w:eastAsia="CESI仿宋-GB2312" w:cs="CESI仿宋-GB2312"/>
          <w:b/>
          <w:bCs w:val="0"/>
          <w:kern w:val="2"/>
          <w:sz w:val="32"/>
          <w:szCs w:val="32"/>
          <w:lang w:val="en-US" w:eastAsia="zh-CN" w:bidi="ar"/>
        </w:rPr>
        <w:t>一是</w:t>
      </w:r>
      <w:r>
        <w:rPr>
          <w:rFonts w:hint="eastAsia" w:ascii="CESI仿宋-GB2312" w:hAnsi="CESI仿宋-GB2312" w:eastAsia="CESI仿宋-GB2312" w:cs="CESI仿宋-GB2312"/>
          <w:b w:val="0"/>
          <w:bCs/>
          <w:kern w:val="2"/>
          <w:sz w:val="32"/>
          <w:szCs w:val="32"/>
          <w:lang w:val="en-US" w:eastAsia="zh-CN" w:bidi="ar"/>
        </w:rPr>
        <w:t>认真开展“5.19世界家庭医生日”“基本公共卫生服务项目”“高血压病防治”“糖尿病防治”“3.21世界睡眠日”“10.10精神卫生日”等宣传活动。按照国家和省统一安排部署，各医疗卫生机构添措施、想办法开展项目宣传活动，继续深入开展“三减三健”和“七进”活动宣传，提高群众知晓率和感受度，促进居民养成健康的生活方式；</w:t>
      </w:r>
      <w:r>
        <w:rPr>
          <w:rFonts w:hint="eastAsia" w:ascii="CESI仿宋-GB2312" w:hAnsi="CESI仿宋-GB2312" w:eastAsia="CESI仿宋-GB2312" w:cs="CESI仿宋-GB2312"/>
          <w:b/>
          <w:bCs w:val="0"/>
          <w:kern w:val="2"/>
          <w:sz w:val="32"/>
          <w:szCs w:val="32"/>
          <w:lang w:val="en-US" w:eastAsia="zh-CN" w:bidi="ar"/>
        </w:rPr>
        <w:t>二是</w:t>
      </w:r>
      <w:r>
        <w:rPr>
          <w:rFonts w:hint="eastAsia" w:ascii="CESI仿宋-GB2312" w:hAnsi="CESI仿宋-GB2312" w:eastAsia="CESI仿宋-GB2312" w:cs="CESI仿宋-GB2312"/>
          <w:b w:val="0"/>
          <w:bCs/>
          <w:kern w:val="2"/>
          <w:sz w:val="32"/>
          <w:szCs w:val="32"/>
          <w:lang w:val="en-US" w:eastAsia="zh-CN" w:bidi="ar"/>
        </w:rPr>
        <w:t>多形式开展健康教育宣传。采取网络、QQ、微信、展板、宣传折页、宣传标语等群众喜闻乐见的传统宣传方式，形成多渠道、多层次、多语境的宣传态势，为项目实施营造良好氛围，形成强大合力。以基层医疗卫生机构为单位，发放《中国公民健康素养66条》宣传绘图，基本公共卫生服务项目宣传资料，提高群众对基本公共卫生服务项目的参与积极性和自身健康意识；</w:t>
      </w:r>
      <w:r>
        <w:rPr>
          <w:rFonts w:hint="eastAsia" w:ascii="CESI仿宋-GB2312" w:hAnsi="CESI仿宋-GB2312" w:eastAsia="CESI仿宋-GB2312" w:cs="CESI仿宋-GB2312"/>
          <w:b/>
          <w:bCs w:val="0"/>
          <w:kern w:val="2"/>
          <w:sz w:val="32"/>
          <w:szCs w:val="32"/>
          <w:lang w:val="en-US" w:eastAsia="zh-CN" w:bidi="ar"/>
        </w:rPr>
        <w:t>三是</w:t>
      </w:r>
      <w:r>
        <w:rPr>
          <w:rFonts w:hint="eastAsia" w:ascii="CESI仿宋-GB2312" w:hAnsi="CESI仿宋-GB2312" w:eastAsia="CESI仿宋-GB2312" w:cs="CESI仿宋-GB2312"/>
          <w:b w:val="0"/>
          <w:bCs/>
          <w:kern w:val="2"/>
          <w:sz w:val="32"/>
          <w:szCs w:val="32"/>
          <w:lang w:val="en-US" w:eastAsia="zh-CN" w:bidi="ar"/>
        </w:rPr>
        <w:t>抓好信息公开。基层医疗卫生机构在辖区和机构内显著位置公示项目免费政策、服务项目、机构地址、电话号码等内容。将广播、QQ、微信、官方微博等新闻媒体和传统的宣传栏、壁报、宣传折页等形式相结合，多渠道，多途径地将机构基本情况、基本公共卫生服务内容、服务信息、反馈信息和提醒信息等及时全面传递给服务对象；</w:t>
      </w:r>
      <w:r>
        <w:rPr>
          <w:rFonts w:hint="eastAsia" w:ascii="CESI仿宋-GB2312" w:hAnsi="CESI仿宋-GB2312" w:eastAsia="CESI仿宋-GB2312" w:cs="CESI仿宋-GB2312"/>
          <w:b/>
          <w:bCs w:val="0"/>
          <w:kern w:val="2"/>
          <w:sz w:val="32"/>
          <w:szCs w:val="32"/>
          <w:lang w:val="en-US" w:eastAsia="zh-CN" w:bidi="ar"/>
        </w:rPr>
        <w:t>四是</w:t>
      </w:r>
      <w:r>
        <w:rPr>
          <w:rFonts w:hint="eastAsia" w:ascii="CESI仿宋-GB2312" w:hAnsi="CESI仿宋-GB2312" w:eastAsia="CESI仿宋-GB2312" w:cs="CESI仿宋-GB2312"/>
          <w:b w:val="0"/>
          <w:bCs/>
          <w:kern w:val="2"/>
          <w:sz w:val="32"/>
          <w:szCs w:val="32"/>
          <w:lang w:val="en-US" w:eastAsia="zh-CN" w:bidi="ar"/>
        </w:rPr>
        <w:t>加强信息报送。各医疗卫生机构及时总结上报基本公共卫生服务工作完成情况，创新性做法和典型经验等信息。及时总结提炼宣传活动经验、特色亮点，挖掘基本公共卫生服务工作中的先进个人和感人事迹进行深入报道，深化对国家基本公共卫生服务项目的宣传，提高群众的知晓率和认可度。</w:t>
      </w:r>
    </w:p>
    <w:p w14:paraId="2FBA9409">
      <w:pPr>
        <w:keepNext w:val="0"/>
        <w:keepLines w:val="0"/>
        <w:widowControl w:val="0"/>
        <w:suppressLineNumbers w:val="0"/>
        <w:autoSpaceDE w:val="0"/>
        <w:autoSpaceDN/>
        <w:spacing w:before="0" w:beforeAutospacing="0" w:after="0" w:afterAutospacing="0" w:line="576" w:lineRule="exact"/>
        <w:ind w:left="0" w:leftChars="0" w:right="0" w:firstLine="643" w:firstLineChars="200"/>
        <w:jc w:val="both"/>
        <w:rPr>
          <w:rFonts w:hint="eastAsia" w:ascii="仿宋_GB2312" w:hAnsi="仿宋_GB2312" w:eastAsia="仿宋_GB2312" w:cs="仿宋_GB2312"/>
          <w:b/>
          <w:sz w:val="32"/>
          <w:szCs w:val="32"/>
          <w:lang w:val="zh-CN"/>
        </w:rPr>
      </w:pPr>
      <w:r>
        <w:rPr>
          <w:rFonts w:hint="eastAsia" w:ascii="仿宋_GB2312" w:hAnsi="仿宋_GB2312" w:eastAsia="仿宋_GB2312" w:cs="仿宋_GB2312"/>
          <w:b/>
          <w:sz w:val="32"/>
          <w:szCs w:val="32"/>
          <w:lang w:val="zh-CN"/>
        </w:rPr>
        <w:t>（三）项目监管情况。</w:t>
      </w:r>
    </w:p>
    <w:p w14:paraId="1FA9C37F">
      <w:pPr>
        <w:keepNext w:val="0"/>
        <w:keepLines w:val="0"/>
        <w:widowControl w:val="0"/>
        <w:suppressLineNumbers w:val="0"/>
        <w:autoSpaceDE w:val="0"/>
        <w:autoSpaceDN/>
        <w:spacing w:before="0" w:beforeAutospacing="0" w:after="0" w:afterAutospacing="0" w:line="576" w:lineRule="exact"/>
        <w:ind w:left="0" w:leftChars="0" w:right="0" w:firstLine="641" w:firstLineChars="200"/>
        <w:jc w:val="both"/>
        <w:rPr>
          <w:rFonts w:hint="eastAsia" w:ascii="CESI仿宋-GB2312" w:hAnsi="CESI仿宋-GB2312" w:eastAsia="CESI仿宋-GB2312" w:cs="CESI仿宋-GB2312"/>
          <w:b w:val="0"/>
          <w:bCs/>
          <w:kern w:val="2"/>
          <w:sz w:val="32"/>
          <w:szCs w:val="32"/>
        </w:rPr>
      </w:pPr>
      <w:r>
        <w:rPr>
          <w:rFonts w:hint="eastAsia" w:ascii="CESI仿宋-GB2312" w:hAnsi="CESI仿宋-GB2312" w:eastAsia="CESI仿宋-GB2312" w:cs="CESI仿宋-GB2312"/>
          <w:b/>
          <w:bCs w:val="0"/>
          <w:kern w:val="2"/>
          <w:sz w:val="32"/>
          <w:szCs w:val="32"/>
          <w:lang w:val="en-US" w:eastAsia="zh-CN" w:bidi="ar"/>
        </w:rPr>
        <w:t>1.日常督导。</w:t>
      </w:r>
      <w:r>
        <w:rPr>
          <w:rFonts w:hint="eastAsia" w:ascii="CESI仿宋-GB2312" w:hAnsi="CESI仿宋-GB2312" w:eastAsia="CESI仿宋-GB2312" w:cs="CESI仿宋-GB2312"/>
          <w:b w:val="0"/>
          <w:bCs/>
          <w:kern w:val="2"/>
          <w:sz w:val="32"/>
          <w:szCs w:val="32"/>
          <w:lang w:val="en-US" w:eastAsia="zh-CN" w:bidi="ar"/>
        </w:rPr>
        <w:t>县卫生健康局将加强基本公共卫生服务项目技术指导和督导，强化重点任务项目落地落实，由县卫生健康局牵头，县均等化指导中心、县疾控中心、县妇幼保健服务中心等指导机构，每月实施重点人群线上信息审核，重点审核体检信息、随访等相关信息，截至2024年底，共完成12次线上审核通报。至少每季度开展一次全方位现场督导检查，截至2024年底，共完成4次督导检查。其他基本公共卫生服务项目采取每月提取相关数据进行通报，确保年底前完成年初下达任务目标。</w:t>
      </w:r>
    </w:p>
    <w:p w14:paraId="0F0A4E79">
      <w:pPr>
        <w:keepNext w:val="0"/>
        <w:keepLines w:val="0"/>
        <w:widowControl w:val="0"/>
        <w:suppressLineNumbers w:val="0"/>
        <w:spacing w:before="0" w:beforeAutospacing="0" w:after="0" w:afterAutospacing="0"/>
        <w:ind w:left="0" w:right="0"/>
        <w:jc w:val="both"/>
      </w:pPr>
      <w:r>
        <w:rPr>
          <w:rFonts w:hint="eastAsia" w:ascii="CESI仿宋-GB2312" w:hAnsi="CESI仿宋-GB2312" w:eastAsia="CESI仿宋-GB2312" w:cs="CESI仿宋-GB2312"/>
          <w:b/>
          <w:bCs w:val="0"/>
          <w:kern w:val="2"/>
          <w:sz w:val="32"/>
          <w:szCs w:val="32"/>
          <w:lang w:val="en-US" w:eastAsia="zh-CN" w:bidi="ar"/>
        </w:rPr>
        <w:t>2.考核：</w:t>
      </w:r>
      <w:r>
        <w:rPr>
          <w:rFonts w:hint="eastAsia" w:ascii="CESI仿宋-GB2312" w:hAnsi="CESI仿宋-GB2312" w:eastAsia="CESI仿宋-GB2312" w:cs="CESI仿宋-GB2312"/>
          <w:b w:val="0"/>
          <w:bCs/>
          <w:kern w:val="2"/>
          <w:sz w:val="32"/>
          <w:szCs w:val="32"/>
          <w:lang w:val="en-US" w:eastAsia="zh-CN" w:bidi="ar"/>
        </w:rPr>
        <w:t>2024年6月11日—6月28日，对全县各乡（镇）卫生院、社区卫生服务中心2024年度基本公共卫生服务项目进行了半年绩效考核，总共考核了12个乡（镇）卫生院、1个社区卫生服务中心、19个村卫生室。2024年</w:t>
      </w:r>
      <w:r>
        <w:rPr>
          <w:rFonts w:hint="eastAsia" w:ascii="CESI仿宋-GB2312" w:hAnsi="CESI仿宋-GB2312" w:eastAsia="CESI仿宋-GB2312" w:cs="CESI仿宋-GB2312"/>
          <w:kern w:val="2"/>
          <w:sz w:val="32"/>
          <w:szCs w:val="32"/>
          <w:lang w:val="en-US" w:eastAsia="zh-CN" w:bidi="ar"/>
        </w:rPr>
        <w:t>10月21日—10月31日</w:t>
      </w:r>
      <w:r>
        <w:rPr>
          <w:rFonts w:hint="eastAsia" w:ascii="CESI仿宋-GB2312" w:hAnsi="CESI仿宋-GB2312" w:eastAsia="CESI仿宋-GB2312" w:cs="CESI仿宋-GB2312"/>
          <w:b w:val="0"/>
          <w:bCs/>
          <w:kern w:val="2"/>
          <w:sz w:val="32"/>
          <w:szCs w:val="32"/>
          <w:lang w:val="en-US" w:eastAsia="zh-CN" w:bidi="ar"/>
        </w:rPr>
        <w:t>，对全县各乡（镇）卫生院、社区卫生服务中心2020年度基本公共卫生服务项目进行了年终绩效考核，</w:t>
      </w:r>
      <w:r>
        <w:rPr>
          <w:rFonts w:hint="eastAsia" w:ascii="CESI仿宋-GB2312" w:hAnsi="CESI仿宋-GB2312" w:eastAsia="CESI仿宋-GB2312" w:cs="CESI仿宋-GB2312"/>
          <w:kern w:val="2"/>
          <w:sz w:val="32"/>
          <w:szCs w:val="32"/>
          <w:lang w:val="en-US" w:eastAsia="zh-CN" w:bidi="ar"/>
        </w:rPr>
        <w:t>总共考核了12个乡镇（中心）卫生院、1个社区卫生服务中心、24个村卫生</w:t>
      </w:r>
      <w:r>
        <w:rPr>
          <w:rFonts w:hint="eastAsia" w:ascii="CESI仿宋-GB2312" w:hAnsi="CESI仿宋-GB2312" w:eastAsia="CESI仿宋-GB2312" w:cs="CESI仿宋-GB2312"/>
          <w:bCs/>
          <w:kern w:val="2"/>
          <w:sz w:val="32"/>
          <w:szCs w:val="32"/>
          <w:lang w:val="en-US" w:eastAsia="zh-CN" w:bidi="ar"/>
        </w:rPr>
        <w:t>室</w:t>
      </w:r>
      <w:r>
        <w:rPr>
          <w:rFonts w:hint="eastAsia" w:ascii="CESI仿宋-GB2312" w:hAnsi="CESI仿宋-GB2312" w:eastAsia="CESI仿宋-GB2312" w:cs="CESI仿宋-GB2312"/>
          <w:b w:val="0"/>
          <w:bCs/>
          <w:kern w:val="2"/>
          <w:sz w:val="32"/>
          <w:szCs w:val="32"/>
          <w:lang w:val="en-US" w:eastAsia="zh-CN" w:bidi="ar"/>
        </w:rPr>
        <w:t>，现场考核采取查阅资料、问卷调查、现场核实真实性等方式进行，考核结束后在15个工作日内向市卫生健康委上报考核报告。乡（镇）卫生院和社区卫生服务中心要强化对村卫生室的全面绩效考核，严肃处理弄虚作假情况，严格实行评价结果与资金拨付挂钩。</w:t>
      </w:r>
    </w:p>
    <w:p w14:paraId="71FB50AA">
      <w:pPr>
        <w:adjustRightInd w:val="0"/>
        <w:snapToGrid w:val="0"/>
        <w:spacing w:line="600" w:lineRule="exact"/>
        <w:ind w:firstLine="720"/>
        <w:rPr>
          <w:rFonts w:ascii="黑体" w:hAnsi="黑体" w:eastAsia="黑体" w:cs="黑体"/>
          <w:sz w:val="32"/>
          <w:szCs w:val="32"/>
          <w:lang w:val="zh-CN"/>
        </w:rPr>
      </w:pPr>
      <w:r>
        <w:rPr>
          <w:rFonts w:hint="eastAsia" w:ascii="黑体" w:hAnsi="黑体" w:eastAsia="黑体" w:cs="黑体"/>
          <w:sz w:val="32"/>
          <w:szCs w:val="32"/>
        </w:rPr>
        <w:t>四、项目绩效情况</w:t>
      </w:r>
      <w:r>
        <w:rPr>
          <w:rFonts w:hint="eastAsia" w:ascii="黑体" w:hAnsi="黑体" w:eastAsia="黑体" w:cs="黑体"/>
          <w:sz w:val="32"/>
          <w:szCs w:val="32"/>
          <w:lang w:val="zh-CN"/>
        </w:rPr>
        <w:tab/>
      </w:r>
    </w:p>
    <w:p w14:paraId="71F135C0">
      <w:pPr>
        <w:adjustRightInd w:val="0"/>
        <w:snapToGrid w:val="0"/>
        <w:spacing w:line="600" w:lineRule="exact"/>
        <w:ind w:firstLine="720"/>
        <w:rPr>
          <w:rFonts w:ascii="仿宋_GB2312" w:hAnsi="仿宋_GB2312" w:eastAsia="仿宋_GB2312" w:cs="仿宋_GB2312"/>
          <w:b/>
          <w:sz w:val="32"/>
          <w:szCs w:val="32"/>
          <w:lang w:val="zh-CN"/>
        </w:rPr>
      </w:pPr>
      <w:r>
        <w:rPr>
          <w:rFonts w:hint="eastAsia" w:ascii="仿宋_GB2312" w:hAnsi="仿宋_GB2312" w:eastAsia="仿宋_GB2312" w:cs="仿宋_GB2312"/>
          <w:b/>
          <w:sz w:val="32"/>
          <w:szCs w:val="32"/>
          <w:lang w:val="zh-CN"/>
        </w:rPr>
        <w:t>（一）项目完成情况。</w:t>
      </w:r>
    </w:p>
    <w:p w14:paraId="02E2D5FA">
      <w:pPr>
        <w:keepNext w:val="0"/>
        <w:keepLines w:val="0"/>
        <w:widowControl w:val="0"/>
        <w:suppressLineNumbers w:val="0"/>
        <w:autoSpaceDE w:val="0"/>
        <w:autoSpaceDN/>
        <w:spacing w:before="0" w:beforeAutospacing="0" w:after="0" w:afterAutospacing="0" w:line="576" w:lineRule="exact"/>
        <w:ind w:left="0" w:leftChars="0" w:right="0" w:firstLine="640" w:firstLineChars="200"/>
        <w:jc w:val="both"/>
        <w:rPr>
          <w:rFonts w:hint="eastAsia" w:ascii="CESI仿宋-GB2312" w:hAnsi="CESI仿宋-GB2312" w:eastAsia="CESI仿宋-GB2312" w:cs="CESI仿宋-GB2312"/>
          <w:b/>
          <w:sz w:val="32"/>
          <w:szCs w:val="32"/>
          <w:lang w:val="zh-CN"/>
        </w:rPr>
      </w:pPr>
      <w:r>
        <w:rPr>
          <w:rFonts w:hint="eastAsia" w:ascii="CESI仿宋-GB2312" w:hAnsi="CESI仿宋-GB2312" w:eastAsia="CESI仿宋-GB2312" w:cs="CESI仿宋-GB2312"/>
          <w:b w:val="0"/>
          <w:bCs/>
          <w:kern w:val="2"/>
          <w:sz w:val="32"/>
          <w:szCs w:val="32"/>
          <w:lang w:val="en-US" w:eastAsia="zh-CN" w:bidi="ar"/>
        </w:rPr>
        <w:t>居民规范化电子健康档案覆盖率95.91%；全县适龄儿童国家免疫规划疫苗接种率93.81%；7岁以下儿童健康管理率94.50%，0-6岁儿童眼保健和视力检查覆盖率94.37%，3岁以下儿童系统管理率95.37%，孕产妇系统管理率95.13%；高血压患者管理人数10577人，高血压患者基层规范管理服务率72.67%；2型糖尿病患者管理人数3985人，2型糖尿病患者基层规范管理服务率69.98%；65岁及以上老年人城乡社区规范健康管理服务率66.29%，老年人中医药健康管理率77.85%；0-3岁儿童中医药健康管理率95.18%；肺结核患者管理率100%；慢性阻塞性肺疾病患者管理人数为200人；社区在册居家严重精神障碍患者健康管理率75.50%；卫生监督协管各专业每年巡查（访）2次完成率100%；传染病和突发公共卫生事件报告率100%；职业健康检查服务覆盖率98%；医疗卫生机构医用辐射防护监测医院的级别和数量达到100% ；地方病防治工作任务完成率95.41%；65岁以上失能老年人健康服务目标任务完成率100%；农村妇女“两癌”筛查任务完成率100.61%，宫颈癌、乳腺癌筛查覆盖率逐步提升；免费孕前优生项目目标人群覆盖率84.41%。基本公共卫生服务重点人群调查满意度82.79%。</w:t>
      </w:r>
    </w:p>
    <w:p w14:paraId="44495630">
      <w:pPr>
        <w:adjustRightInd w:val="0"/>
        <w:snapToGrid w:val="0"/>
        <w:spacing w:line="600" w:lineRule="exact"/>
        <w:ind w:firstLine="720"/>
        <w:rPr>
          <w:rFonts w:ascii="仿宋_GB2312" w:hAnsi="仿宋_GB2312" w:eastAsia="仿宋_GB2312" w:cs="仿宋_GB2312"/>
          <w:b/>
          <w:sz w:val="32"/>
          <w:szCs w:val="32"/>
          <w:lang w:val="zh-CN"/>
        </w:rPr>
      </w:pPr>
      <w:r>
        <w:rPr>
          <w:rFonts w:hint="eastAsia" w:ascii="仿宋_GB2312" w:hAnsi="仿宋_GB2312" w:eastAsia="仿宋_GB2312" w:cs="仿宋_GB2312"/>
          <w:b/>
          <w:sz w:val="32"/>
          <w:szCs w:val="32"/>
          <w:lang w:val="zh-CN"/>
        </w:rPr>
        <w:t>（二）项目效益情况。</w:t>
      </w:r>
    </w:p>
    <w:p w14:paraId="14450070">
      <w:pPr>
        <w:keepNext w:val="0"/>
        <w:keepLines w:val="0"/>
        <w:widowControl w:val="0"/>
        <w:suppressLineNumbers w:val="0"/>
        <w:spacing w:before="0" w:beforeAutospacing="0" w:after="0" w:afterAutospacing="0"/>
        <w:ind w:left="0" w:right="0" w:firstLine="640" w:firstLineChars="200"/>
        <w:jc w:val="both"/>
        <w:rPr>
          <w:rFonts w:hint="eastAsia" w:ascii="CESI仿宋-GB2312" w:hAnsi="CESI仿宋-GB2312" w:eastAsia="CESI仿宋-GB2312" w:cs="CESI仿宋-GB2312"/>
          <w:sz w:val="32"/>
          <w:szCs w:val="32"/>
        </w:rPr>
      </w:pPr>
      <w:r>
        <w:rPr>
          <w:rFonts w:hint="eastAsia" w:ascii="CESI仿宋-GB2312" w:hAnsi="CESI仿宋-GB2312" w:eastAsia="CESI仿宋-GB2312" w:cs="CESI仿宋-GB2312"/>
          <w:kern w:val="2"/>
          <w:sz w:val="32"/>
          <w:szCs w:val="32"/>
          <w:lang w:val="en-US" w:eastAsia="zh-CN" w:bidi="ar"/>
        </w:rPr>
        <w:t>县卫生健康局和各医疗卫生单位按照省、市卫生健康委的统一部署，开展好“世界家庭医生日”、“国家基本公共卫生宣传月活动”。大力宣传“三减三健”（减盐、减油、减糖，健康体重、健康骨骼、健康口腔），促进居民养成健康的生活方式。推动项目“七进”活动（进社区、进农村、进学校、进机关、进企业、进寺庙、进家庭）。利用电视、广播、网络、微信、报刊、展板、宣传折页、宣传标语等传统媒体和新兴媒介，以群众喜闻乐见的方式加大宣传力度，为项目实施营造良好舆论氛围。配合宣传活动，向居民发放控盐勺、腰围尺、控油壶等实用的健康干预工具，并指导居民使用，提高群众对基本公共卫生服务项目的参与积极性。基层医疗卫生机构在辖区和机构内显著位置公示项目免费政策、服务项目等内容。采用广播、电视、手机短信、微信公众平台等新闻媒体将机构情况、基本公共卫生服务内容、服务信息、反馈信息和提醒信息等及时全面传递给服务对象。</w:t>
      </w:r>
    </w:p>
    <w:p w14:paraId="6DABCC40">
      <w:pPr>
        <w:adjustRightInd w:val="0"/>
        <w:snapToGrid w:val="0"/>
        <w:spacing w:line="600" w:lineRule="exact"/>
        <w:ind w:firstLine="720"/>
        <w:rPr>
          <w:rFonts w:ascii="黑体" w:hAnsi="黑体" w:eastAsia="黑体" w:cs="黑体"/>
          <w:sz w:val="32"/>
          <w:szCs w:val="32"/>
        </w:rPr>
      </w:pPr>
      <w:r>
        <w:rPr>
          <w:rFonts w:hint="eastAsia" w:ascii="黑体" w:hAnsi="黑体" w:eastAsia="黑体" w:cs="黑体"/>
          <w:sz w:val="32"/>
          <w:szCs w:val="32"/>
        </w:rPr>
        <w:t>五、评价结论及建议</w:t>
      </w:r>
    </w:p>
    <w:p w14:paraId="3E06DDD2">
      <w:pPr>
        <w:adjustRightInd w:val="0"/>
        <w:snapToGrid w:val="0"/>
        <w:spacing w:line="600" w:lineRule="exact"/>
        <w:ind w:firstLine="720"/>
        <w:rPr>
          <w:rFonts w:ascii="仿宋_GB2312" w:hAnsi="仿宋_GB2312" w:eastAsia="仿宋_GB2312" w:cs="仿宋_GB2312"/>
          <w:b/>
          <w:sz w:val="32"/>
          <w:szCs w:val="32"/>
          <w:lang w:val="zh-CN"/>
        </w:rPr>
      </w:pPr>
      <w:r>
        <w:rPr>
          <w:rFonts w:hint="eastAsia" w:ascii="仿宋_GB2312" w:hAnsi="仿宋_GB2312" w:eastAsia="仿宋_GB2312" w:cs="仿宋_GB2312"/>
          <w:b/>
          <w:sz w:val="32"/>
          <w:szCs w:val="32"/>
          <w:lang w:val="zh-CN"/>
        </w:rPr>
        <w:t>（一）评价结论。</w:t>
      </w:r>
    </w:p>
    <w:p w14:paraId="6B17884D">
      <w:pPr>
        <w:keepNext w:val="0"/>
        <w:keepLines w:val="0"/>
        <w:widowControl w:val="0"/>
        <w:suppressLineNumbers w:val="0"/>
        <w:autoSpaceDE w:val="0"/>
        <w:autoSpaceDN/>
        <w:spacing w:before="0" w:beforeAutospacing="0" w:after="0" w:afterAutospacing="0" w:line="576" w:lineRule="exact"/>
        <w:ind w:left="0" w:leftChars="0" w:right="0" w:firstLine="640" w:firstLineChars="200"/>
        <w:jc w:val="both"/>
        <w:rPr>
          <w:rFonts w:ascii="仿宋_GB2312" w:hAnsi="仿宋_GB2312" w:eastAsia="仿宋_GB2312" w:cs="仿宋_GB2312"/>
          <w:sz w:val="32"/>
          <w:szCs w:val="32"/>
          <w:bdr w:val="single" w:color="auto" w:sz="4" w:space="0"/>
          <w:lang w:val="zh-CN"/>
        </w:rPr>
      </w:pPr>
      <w:r>
        <w:rPr>
          <w:rFonts w:hint="default" w:ascii="Times New Roman" w:hAnsi="Times New Roman" w:eastAsia="方正仿宋_GBK" w:cs="Times New Roman"/>
          <w:kern w:val="2"/>
          <w:sz w:val="32"/>
          <w:szCs w:val="32"/>
          <w:lang w:val="en-US" w:eastAsia="zh-CN" w:bidi="ar"/>
        </w:rPr>
        <w:t>2024</w:t>
      </w:r>
      <w:r>
        <w:rPr>
          <w:rFonts w:hint="eastAsia" w:ascii="方正仿宋_GBK" w:hAnsi="方正仿宋_GBK" w:eastAsia="方正仿宋_GBK" w:cs="方正仿宋_GBK"/>
          <w:kern w:val="2"/>
          <w:sz w:val="32"/>
          <w:szCs w:val="32"/>
          <w:lang w:val="en-US" w:eastAsia="zh-CN" w:bidi="ar"/>
        </w:rPr>
        <w:t>年基本公共卫生服务能力得到提升，基本公共卫生服务项目得到有序进行，老百姓获得感不断增强，群众满意度在逐年提高。人民群众健康意识进一步得到增强，使人人享受到基本公共卫生服务带来的健康实惠。项目总体指标完成较好，均能完成评价指标，达到预期值。</w:t>
      </w:r>
    </w:p>
    <w:p w14:paraId="5E655F92">
      <w:pPr>
        <w:adjustRightInd w:val="0"/>
        <w:snapToGrid w:val="0"/>
        <w:spacing w:line="600" w:lineRule="exact"/>
        <w:ind w:firstLine="720"/>
        <w:rPr>
          <w:rFonts w:ascii="仿宋_GB2312" w:hAnsi="仿宋_GB2312" w:eastAsia="仿宋_GB2312" w:cs="仿宋_GB2312"/>
          <w:b/>
          <w:sz w:val="32"/>
          <w:szCs w:val="32"/>
          <w:lang w:val="zh-CN"/>
        </w:rPr>
      </w:pPr>
      <w:r>
        <w:rPr>
          <w:rFonts w:hint="eastAsia" w:ascii="仿宋_GB2312" w:hAnsi="仿宋_GB2312" w:eastAsia="仿宋_GB2312" w:cs="仿宋_GB2312"/>
          <w:b/>
          <w:sz w:val="32"/>
          <w:szCs w:val="32"/>
          <w:lang w:val="zh-CN"/>
        </w:rPr>
        <w:t>（二）存在的问题。</w:t>
      </w:r>
    </w:p>
    <w:p w14:paraId="7526FAD8">
      <w:pPr>
        <w:adjustRightInd w:val="0"/>
        <w:snapToGrid w:val="0"/>
        <w:spacing w:line="60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eastAsia="zh-CN"/>
        </w:rPr>
        <w:t>1.组织管理需要加强。部分机构对内部职工和村医的培训资料收集不全，主要存在培训内容与课件不符，课件收集不全，没有讲课人。大部分机构对上级督导发现的问题形成的整改台账无连续性，部分机构整改计划和整改报告相混淆。项目宣传活动资料收集不全。</w:t>
      </w:r>
    </w:p>
    <w:p w14:paraId="7CDB1F34">
      <w:pPr>
        <w:adjustRightInd w:val="0"/>
        <w:snapToGrid w:val="0"/>
        <w:spacing w:line="60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eastAsia="zh-CN"/>
        </w:rPr>
        <w:t>2.健康档案管理需进一步规范。居民健康档案动态管理率较低，抽查档案中，主要存在普通人群档案使用率不高。重点人群体检表填写不规范，主要是部分辅助检查未做，体检表填写不规范；血压只填一侧；老年人生活方式和情感状况未填；查体项目与实际询问不一致等情况。部分医疗卫生机构未做到基本医疗和基本公卫的有效结合，在系统中未录入慢性病筛查，门诊、住院记录等相关信息未能未在基层信息网中体现出来。</w:t>
      </w:r>
    </w:p>
    <w:p w14:paraId="63968BE5">
      <w:pPr>
        <w:adjustRightInd w:val="0"/>
        <w:snapToGrid w:val="0"/>
        <w:spacing w:line="60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eastAsia="zh-CN"/>
        </w:rPr>
        <w:t>3.慢性病患者健康管理不够。部分机构高血压、糖尿病患者管理数不达标。部分机构高血压规范管理率未达标，部分机构糖尿病规范管理率未达标，主要是存在体检表记录不全，用药情况与实际询问不一致；随访血压血糖高于正常值，填写控制满意，随访次数不达标、超期随访等情况。慢性病患者筛查未全部录入信息系统中。</w:t>
      </w:r>
    </w:p>
    <w:p w14:paraId="1230FD73">
      <w:pPr>
        <w:adjustRightInd w:val="0"/>
        <w:snapToGrid w:val="0"/>
        <w:spacing w:line="600" w:lineRule="exact"/>
        <w:ind w:firstLine="640" w:firstLineChars="200"/>
        <w:rPr>
          <w:rFonts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eastAsia="zh-CN"/>
        </w:rPr>
        <w:t>4.健康教育有待提高。影像播放资料收集不齐全，无群众观看图片，播放次数不够。宣传栏资料部分未落机构或日期，宣传栏内容制作未按要求进行，宣传栏部分机构无中医内容和健康素养66条相关内容。公众健康咨询和健康讲座含中医内容的次数不达标，中医药相关内容较少。</w:t>
      </w:r>
      <w:r>
        <w:rPr>
          <w:rFonts w:hint="eastAsia" w:ascii="仿宋_GB2312" w:hAnsi="仿宋_GB2312" w:eastAsia="仿宋_GB2312" w:cs="仿宋_GB2312"/>
          <w:sz w:val="32"/>
          <w:szCs w:val="32"/>
          <w:lang w:val="zh-CN"/>
        </w:rPr>
        <w:tab/>
      </w:r>
    </w:p>
    <w:p w14:paraId="56B55DB5">
      <w:pPr>
        <w:adjustRightInd w:val="0"/>
        <w:snapToGrid w:val="0"/>
        <w:spacing w:line="600" w:lineRule="exact"/>
        <w:ind w:firstLine="720"/>
        <w:rPr>
          <w:rFonts w:ascii="仿宋_GB2312" w:hAnsi="仿宋_GB2312" w:eastAsia="仿宋_GB2312" w:cs="仿宋_GB2312"/>
          <w:b/>
          <w:sz w:val="32"/>
          <w:szCs w:val="32"/>
          <w:lang w:val="zh-CN"/>
        </w:rPr>
      </w:pPr>
      <w:r>
        <w:rPr>
          <w:rFonts w:hint="eastAsia" w:ascii="仿宋_GB2312" w:hAnsi="仿宋_GB2312" w:eastAsia="仿宋_GB2312" w:cs="仿宋_GB2312"/>
          <w:b/>
          <w:sz w:val="32"/>
          <w:szCs w:val="32"/>
          <w:lang w:val="zh-CN"/>
        </w:rPr>
        <w:t>（三）相关建议。</w:t>
      </w:r>
    </w:p>
    <w:p w14:paraId="45A57369">
      <w:pPr>
        <w:spacing w:line="578" w:lineRule="exact"/>
        <w:ind w:firstLine="640"/>
        <w:rPr>
          <w:rFonts w:hint="default" w:eastAsia="仿宋_GB2312" w:cs="仿宋_GB2312"/>
          <w:kern w:val="0"/>
          <w:sz w:val="32"/>
          <w:szCs w:val="32"/>
        </w:rPr>
      </w:pPr>
      <w:r>
        <w:rPr>
          <w:rFonts w:hint="default" w:eastAsia="仿宋_GB2312" w:cs="仿宋_GB2312"/>
          <w:kern w:val="0"/>
          <w:sz w:val="32"/>
          <w:szCs w:val="32"/>
          <w:lang w:val="en-US" w:eastAsia="zh-CN"/>
        </w:rPr>
        <w:t>1.</w:t>
      </w:r>
      <w:r>
        <w:rPr>
          <w:rFonts w:hint="eastAsia" w:eastAsia="仿宋_GB2312" w:cs="仿宋_GB2312"/>
          <w:kern w:val="0"/>
          <w:sz w:val="32"/>
          <w:szCs w:val="32"/>
          <w:lang w:val="en-US" w:eastAsia="zh-CN"/>
        </w:rPr>
        <w:t>建立县、乡、村三级分级负责的公共卫生管理体系，为顺利均等化服务实现奠定组织基础。</w:t>
      </w:r>
    </w:p>
    <w:p w14:paraId="1648D4E0">
      <w:pPr>
        <w:spacing w:line="578" w:lineRule="exact"/>
        <w:ind w:firstLine="640"/>
        <w:rPr>
          <w:rFonts w:hint="default" w:eastAsia="仿宋_GB2312" w:cs="仿宋_GB2312"/>
          <w:kern w:val="0"/>
          <w:sz w:val="32"/>
          <w:szCs w:val="32"/>
        </w:rPr>
      </w:pPr>
      <w:r>
        <w:rPr>
          <w:rFonts w:hint="default" w:eastAsia="仿宋_GB2312" w:cs="仿宋_GB2312"/>
          <w:kern w:val="0"/>
          <w:sz w:val="32"/>
          <w:szCs w:val="32"/>
          <w:lang w:val="en-US" w:eastAsia="zh-CN"/>
        </w:rPr>
        <w:t>2.</w:t>
      </w:r>
      <w:r>
        <w:rPr>
          <w:rFonts w:hint="eastAsia" w:eastAsia="仿宋_GB2312" w:cs="仿宋_GB2312"/>
          <w:kern w:val="0"/>
          <w:sz w:val="32"/>
          <w:szCs w:val="32"/>
          <w:lang w:val="en-US" w:eastAsia="zh-CN"/>
        </w:rPr>
        <w:t>按照</w:t>
      </w:r>
      <w:r>
        <w:rPr>
          <w:rFonts w:hint="default" w:eastAsia="仿宋_GB2312" w:cs="仿宋_GB2312"/>
          <w:kern w:val="0"/>
          <w:sz w:val="32"/>
          <w:szCs w:val="32"/>
          <w:lang w:val="en-US" w:eastAsia="zh-CN"/>
        </w:rPr>
        <w:t>"</w:t>
      </w:r>
      <w:r>
        <w:rPr>
          <w:rFonts w:hint="eastAsia" w:eastAsia="仿宋_GB2312" w:cs="仿宋_GB2312"/>
          <w:kern w:val="0"/>
          <w:sz w:val="32"/>
          <w:szCs w:val="32"/>
          <w:lang w:val="en-US" w:eastAsia="zh-CN"/>
        </w:rPr>
        <w:t>购买服务</w:t>
      </w:r>
      <w:r>
        <w:rPr>
          <w:rFonts w:hint="default" w:eastAsia="仿宋_GB2312" w:cs="仿宋_GB2312"/>
          <w:kern w:val="0"/>
          <w:sz w:val="32"/>
          <w:szCs w:val="32"/>
          <w:lang w:val="en-US" w:eastAsia="zh-CN"/>
        </w:rPr>
        <w:t>"</w:t>
      </w:r>
      <w:r>
        <w:rPr>
          <w:rFonts w:hint="eastAsia" w:eastAsia="仿宋_GB2312" w:cs="仿宋_GB2312"/>
          <w:kern w:val="0"/>
          <w:sz w:val="32"/>
          <w:szCs w:val="32"/>
          <w:lang w:val="en-US" w:eastAsia="zh-CN"/>
        </w:rPr>
        <w:t>的原则，建立购买基本公共卫生服务工作机制。</w:t>
      </w:r>
    </w:p>
    <w:p w14:paraId="02CC2090">
      <w:pPr>
        <w:spacing w:line="578" w:lineRule="exact"/>
        <w:ind w:firstLine="640"/>
        <w:rPr>
          <w:rFonts w:hint="default" w:eastAsia="仿宋_GB2312" w:cs="仿宋_GB2312"/>
          <w:kern w:val="0"/>
          <w:sz w:val="32"/>
          <w:szCs w:val="32"/>
        </w:rPr>
      </w:pPr>
      <w:r>
        <w:rPr>
          <w:rFonts w:hint="default" w:eastAsia="仿宋_GB2312" w:cs="仿宋_GB2312"/>
          <w:kern w:val="0"/>
          <w:sz w:val="32"/>
          <w:szCs w:val="32"/>
          <w:lang w:val="en-US" w:eastAsia="zh-CN"/>
        </w:rPr>
        <w:t>3.</w:t>
      </w:r>
      <w:r>
        <w:rPr>
          <w:rFonts w:hint="eastAsia" w:eastAsia="仿宋_GB2312" w:cs="仿宋_GB2312"/>
          <w:kern w:val="0"/>
          <w:sz w:val="32"/>
          <w:szCs w:val="32"/>
          <w:lang w:val="en-US" w:eastAsia="zh-CN"/>
        </w:rPr>
        <w:t>整合农村资源，建立一支相对稳定以全科医生为主体的较高专业水平，充满活力的家庭医生团队队伍，参与基层医疗卫生机构巡回诊疗工作。</w:t>
      </w:r>
    </w:p>
    <w:p w14:paraId="202B585E">
      <w:pPr>
        <w:spacing w:line="578" w:lineRule="exact"/>
        <w:ind w:firstLine="640"/>
        <w:rPr>
          <w:rFonts w:hint="default" w:eastAsia="仿宋_GB2312" w:cs="仿宋_GB2312"/>
          <w:kern w:val="0"/>
          <w:sz w:val="32"/>
          <w:szCs w:val="32"/>
        </w:rPr>
      </w:pPr>
      <w:r>
        <w:rPr>
          <w:rFonts w:hint="default" w:eastAsia="仿宋_GB2312" w:cs="仿宋_GB2312"/>
          <w:kern w:val="0"/>
          <w:sz w:val="32"/>
          <w:szCs w:val="32"/>
          <w:lang w:val="en-US" w:eastAsia="zh-CN"/>
        </w:rPr>
        <w:t>4.</w:t>
      </w:r>
      <w:r>
        <w:rPr>
          <w:rFonts w:hint="eastAsia" w:eastAsia="仿宋_GB2312" w:cs="仿宋_GB2312"/>
          <w:kern w:val="0"/>
          <w:sz w:val="32"/>
          <w:szCs w:val="32"/>
          <w:lang w:val="en-US" w:eastAsia="zh-CN"/>
        </w:rPr>
        <w:t>持续推进基本公共卫生服务经费调配与差异化绩效考核机制，为健全基本公共卫生服务提供有效保障。</w:t>
      </w:r>
    </w:p>
    <w:p w14:paraId="39CCD78B">
      <w:pPr>
        <w:spacing w:line="578" w:lineRule="exact"/>
        <w:ind w:firstLine="640"/>
        <w:rPr>
          <w:rFonts w:hint="default" w:eastAsia="仿宋_GB2312" w:cs="仿宋_GB2312"/>
          <w:kern w:val="0"/>
          <w:sz w:val="32"/>
          <w:szCs w:val="32"/>
        </w:rPr>
      </w:pPr>
      <w:r>
        <w:rPr>
          <w:rFonts w:hint="default" w:eastAsia="仿宋_GB2312" w:cs="仿宋_GB2312"/>
          <w:kern w:val="0"/>
          <w:sz w:val="32"/>
          <w:szCs w:val="32"/>
          <w:lang w:val="en-US" w:eastAsia="zh-CN"/>
        </w:rPr>
        <w:t>5.</w:t>
      </w:r>
      <w:r>
        <w:rPr>
          <w:rFonts w:hint="eastAsia" w:eastAsia="仿宋_GB2312" w:cs="仿宋_GB2312"/>
          <w:kern w:val="0"/>
          <w:sz w:val="32"/>
          <w:szCs w:val="32"/>
          <w:lang w:val="en-US" w:eastAsia="zh-CN"/>
        </w:rPr>
        <w:t>加强惠民项目的宣传引导，实施基本公共卫生规范管理和家庭医生签约服务活动，提高群众主动参与意识与参与度，确保各项服务能够更加顺利地开展，落到实处。</w:t>
      </w:r>
    </w:p>
    <w:p w14:paraId="142141D9">
      <w:pPr>
        <w:spacing w:line="578" w:lineRule="exact"/>
        <w:ind w:firstLine="640"/>
        <w:rPr>
          <w:rFonts w:hint="default" w:eastAsia="仿宋_GB2312" w:cs="仿宋_GB2312"/>
          <w:kern w:val="0"/>
          <w:sz w:val="32"/>
          <w:szCs w:val="32"/>
        </w:rPr>
      </w:pPr>
      <w:r>
        <w:rPr>
          <w:rFonts w:hint="default" w:eastAsia="仿宋_GB2312" w:cs="仿宋_GB2312"/>
          <w:kern w:val="0"/>
          <w:sz w:val="32"/>
          <w:szCs w:val="32"/>
          <w:lang w:val="en-US" w:eastAsia="zh-CN"/>
        </w:rPr>
        <w:t>6.</w:t>
      </w:r>
      <w:r>
        <w:rPr>
          <w:rFonts w:hint="eastAsia" w:eastAsia="仿宋_GB2312" w:cs="仿宋_GB2312"/>
          <w:kern w:val="0"/>
          <w:sz w:val="32"/>
          <w:szCs w:val="32"/>
          <w:lang w:val="en-US" w:eastAsia="zh-CN"/>
        </w:rPr>
        <w:t>加强对基层卫生标准化建设及优质服务基层行创建活动的督导，对参与创建活动单位加大投入和技术指导力度，确保顺利达标验收。</w:t>
      </w:r>
    </w:p>
    <w:p w14:paraId="492583BB">
      <w:pPr>
        <w:spacing w:line="578" w:lineRule="exact"/>
        <w:ind w:firstLine="640"/>
        <w:rPr>
          <w:rFonts w:hint="default" w:eastAsia="仿宋_GB2312" w:cs="仿宋_GB2312"/>
          <w:kern w:val="0"/>
          <w:sz w:val="32"/>
          <w:szCs w:val="32"/>
        </w:rPr>
      </w:pPr>
      <w:r>
        <w:rPr>
          <w:rFonts w:hint="default" w:eastAsia="仿宋_GB2312" w:cs="仿宋_GB2312"/>
          <w:kern w:val="0"/>
          <w:sz w:val="32"/>
          <w:szCs w:val="32"/>
          <w:lang w:val="en-US" w:eastAsia="zh-CN"/>
        </w:rPr>
        <w:t>7.</w:t>
      </w:r>
      <w:r>
        <w:rPr>
          <w:rFonts w:hint="eastAsia" w:eastAsia="仿宋_GB2312" w:cs="仿宋_GB2312"/>
          <w:kern w:val="0"/>
          <w:sz w:val="32"/>
          <w:szCs w:val="32"/>
          <w:lang w:val="en-US" w:eastAsia="zh-CN"/>
        </w:rPr>
        <w:t>规范开展培训，确保基层医务人员全面掌握相应的服务标准和技能，更好地完成项目所规定的任务，满足群众的健康需求。</w:t>
      </w:r>
    </w:p>
    <w:p w14:paraId="0AD0AE10">
      <w:pPr>
        <w:spacing w:line="578" w:lineRule="exact"/>
        <w:ind w:firstLine="640"/>
        <w:rPr>
          <w:rFonts w:eastAsia="仿宋_GB2312" w:cs="仿宋_GB2312"/>
          <w:kern w:val="0"/>
          <w:sz w:val="32"/>
          <w:szCs w:val="32"/>
        </w:rPr>
      </w:pPr>
    </w:p>
    <w:p w14:paraId="2312B344">
      <w:pPr>
        <w:spacing w:line="578" w:lineRule="exact"/>
        <w:ind w:firstLine="640"/>
        <w:rPr>
          <w:rFonts w:eastAsia="仿宋_GB2312" w:cs="仿宋_GB2312"/>
          <w:kern w:val="0"/>
          <w:sz w:val="32"/>
          <w:szCs w:val="32"/>
        </w:rPr>
      </w:pPr>
    </w:p>
    <w:p w14:paraId="5483C9EA">
      <w:pPr>
        <w:spacing w:line="578" w:lineRule="exact"/>
        <w:ind w:firstLine="640"/>
        <w:rPr>
          <w:rFonts w:hint="eastAsia" w:eastAsia="仿宋_GB2312" w:cs="仿宋_GB2312"/>
          <w:kern w:val="0"/>
          <w:sz w:val="32"/>
          <w:szCs w:val="32"/>
        </w:rPr>
        <w:sectPr>
          <w:footerReference r:id="rId8" w:type="first"/>
          <w:footerReference r:id="rId7" w:type="default"/>
          <w:pgSz w:w="11906" w:h="16838"/>
          <w:pgMar w:top="1440" w:right="1800" w:bottom="1440" w:left="1800" w:header="851" w:footer="992" w:gutter="0"/>
          <w:pgNumType w:fmt="decimal" w:start="1"/>
          <w:cols w:space="425" w:num="1"/>
          <w:titlePg/>
          <w:docGrid w:type="lines" w:linePitch="312" w:charSpace="0"/>
        </w:sectPr>
      </w:pPr>
      <w:bookmarkStart w:id="80" w:name="_Toc15396618"/>
    </w:p>
    <w:p w14:paraId="692C1B79">
      <w:pPr>
        <w:pStyle w:val="15"/>
        <w:keepNext w:val="0"/>
        <w:keepLines w:val="0"/>
        <w:widowControl w:val="0"/>
        <w:suppressLineNumbers w:val="0"/>
        <w:spacing w:before="93" w:beforeLines="30" w:beforeAutospacing="0" w:after="0" w:afterAutospacing="1"/>
        <w:ind w:left="0" w:right="0"/>
        <w:jc w:val="both"/>
        <w:rPr>
          <w:rFonts w:hint="default" w:ascii="Times New Roman" w:hAnsi="Times New Roman" w:eastAsia="黑体" w:cs="黑体"/>
          <w:kern w:val="0"/>
          <w:sz w:val="32"/>
          <w:szCs w:val="32"/>
        </w:rPr>
      </w:pPr>
      <w:r>
        <w:rPr>
          <w:rFonts w:hint="default" w:ascii="黑体" w:hAnsi="宋体" w:eastAsia="黑体" w:cs="黑体"/>
          <w:kern w:val="0"/>
          <w:sz w:val="32"/>
          <w:szCs w:val="32"/>
          <w:shd w:val="clear" w:fill="FFFFFF"/>
          <w:lang w:val="en-US" w:eastAsia="zh-CN" w:bidi="ar"/>
        </w:rPr>
        <w:t>附件</w:t>
      </w:r>
      <w:r>
        <w:rPr>
          <w:rFonts w:hint="eastAsia" w:ascii="Times New Roman" w:hAnsi="Times New Roman" w:eastAsia="黑体" w:cs="Times New Roman"/>
          <w:kern w:val="0"/>
          <w:sz w:val="32"/>
          <w:szCs w:val="32"/>
          <w:shd w:val="clear" w:fill="FFFFFF"/>
          <w:lang w:val="en-US" w:eastAsia="zh-CN" w:bidi="ar"/>
        </w:rPr>
        <w:t>3</w:t>
      </w:r>
    </w:p>
    <w:p w14:paraId="42C723BD">
      <w:pPr>
        <w:spacing w:line="0" w:lineRule="atLeast"/>
        <w:jc w:val="center"/>
        <w:rPr>
          <w:rFonts w:hint="eastAsia" w:ascii="方正小标宋简体" w:hAnsi="方正小标宋简体" w:eastAsia="方正小标宋简体" w:cs="方正小标宋简体"/>
          <w:b/>
          <w:color w:val="auto"/>
          <w:sz w:val="44"/>
          <w:szCs w:val="44"/>
        </w:rPr>
      </w:pPr>
      <w:r>
        <w:rPr>
          <w:rFonts w:hint="eastAsia" w:ascii="方正小标宋简体" w:hAnsi="方正小标宋简体" w:eastAsia="方正小标宋简体" w:cs="方正小标宋简体"/>
          <w:b/>
          <w:color w:val="auto"/>
          <w:sz w:val="44"/>
          <w:szCs w:val="44"/>
          <w:lang w:val="en-US" w:eastAsia="zh-CN"/>
        </w:rPr>
        <w:t>基本药物制度项目</w:t>
      </w:r>
      <w:r>
        <w:rPr>
          <w:rFonts w:hint="eastAsia" w:ascii="方正小标宋简体" w:hAnsi="方正小标宋简体" w:eastAsia="方正小标宋简体" w:cs="方正小标宋简体"/>
          <w:b/>
          <w:color w:val="auto"/>
          <w:sz w:val="44"/>
          <w:szCs w:val="44"/>
        </w:rPr>
        <w:t>专项预算项目</w:t>
      </w:r>
    </w:p>
    <w:p w14:paraId="123D9F00">
      <w:pPr>
        <w:spacing w:line="0" w:lineRule="atLeast"/>
        <w:jc w:val="center"/>
        <w:rPr>
          <w:rFonts w:hint="eastAsia" w:ascii="方正小标宋简体" w:hAnsi="方正小标宋简体" w:eastAsia="方正小标宋简体" w:cs="方正小标宋简体"/>
          <w:color w:val="auto"/>
          <w:kern w:val="2"/>
          <w:sz w:val="44"/>
          <w:szCs w:val="44"/>
        </w:rPr>
      </w:pPr>
      <w:r>
        <w:rPr>
          <w:rFonts w:hint="eastAsia" w:ascii="方正小标宋简体" w:hAnsi="方正小标宋简体" w:eastAsia="方正小标宋简体" w:cs="方正小标宋简体"/>
          <w:b/>
          <w:color w:val="auto"/>
          <w:sz w:val="44"/>
          <w:szCs w:val="44"/>
        </w:rPr>
        <w:t>绩效自评报告</w:t>
      </w:r>
    </w:p>
    <w:p w14:paraId="0FC18484">
      <w:pPr>
        <w:pStyle w:val="35"/>
        <w:keepNext w:val="0"/>
        <w:keepLines w:val="0"/>
        <w:pageBreakBefore w:val="0"/>
        <w:widowControl w:val="0"/>
        <w:kinsoku/>
        <w:wordWrap/>
        <w:overflowPunct/>
        <w:topLinePunct w:val="0"/>
        <w:autoSpaceDE/>
        <w:autoSpaceDN/>
        <w:bidi w:val="0"/>
        <w:spacing w:line="576" w:lineRule="exact"/>
        <w:ind w:firstLine="640"/>
        <w:jc w:val="center"/>
        <w:textAlignment w:val="auto"/>
        <w:rPr>
          <w:rFonts w:hint="default" w:ascii="Times New Roman" w:hAnsi="Times New Roman" w:cs="Times New Roman"/>
          <w:color w:val="auto"/>
          <w:kern w:val="2"/>
          <w:sz w:val="32"/>
          <w:szCs w:val="32"/>
        </w:rPr>
      </w:pPr>
    </w:p>
    <w:p w14:paraId="2E69BDF5">
      <w:pPr>
        <w:keepNext w:val="0"/>
        <w:keepLines w:val="0"/>
        <w:pageBreakBefore w:val="0"/>
        <w:widowControl w:val="0"/>
        <w:kinsoku/>
        <w:wordWrap/>
        <w:overflowPunct/>
        <w:topLinePunct w:val="0"/>
        <w:autoSpaceDE/>
        <w:autoSpaceDN/>
        <w:bidi w:val="0"/>
        <w:adjustRightInd w:val="0"/>
        <w:snapToGrid w:val="0"/>
        <w:spacing w:line="576" w:lineRule="exact"/>
        <w:ind w:firstLine="720"/>
        <w:textAlignment w:val="auto"/>
        <w:rPr>
          <w:rFonts w:hint="eastAsia" w:ascii="国标黑体" w:hAnsi="国标黑体" w:eastAsia="国标黑体" w:cs="国标黑体"/>
          <w:sz w:val="32"/>
          <w:szCs w:val="32"/>
          <w:lang w:val="zh-CN"/>
        </w:rPr>
      </w:pPr>
      <w:r>
        <w:rPr>
          <w:rFonts w:hint="eastAsia" w:ascii="国标黑体" w:hAnsi="国标黑体" w:eastAsia="国标黑体" w:cs="国标黑体"/>
          <w:sz w:val="32"/>
          <w:szCs w:val="32"/>
        </w:rPr>
        <w:t>一、</w:t>
      </w:r>
      <w:r>
        <w:rPr>
          <w:rFonts w:hint="eastAsia" w:ascii="国标黑体" w:hAnsi="国标黑体" w:eastAsia="国标黑体" w:cs="国标黑体"/>
          <w:sz w:val="32"/>
          <w:szCs w:val="32"/>
          <w:lang w:val="zh-CN"/>
        </w:rPr>
        <w:t>项目概况</w:t>
      </w:r>
    </w:p>
    <w:p w14:paraId="20BE2ACB">
      <w:pPr>
        <w:keepNext w:val="0"/>
        <w:keepLines w:val="0"/>
        <w:pageBreakBefore w:val="0"/>
        <w:widowControl w:val="0"/>
        <w:kinsoku/>
        <w:wordWrap/>
        <w:overflowPunct/>
        <w:topLinePunct w:val="0"/>
        <w:autoSpaceDE/>
        <w:autoSpaceDN/>
        <w:bidi w:val="0"/>
        <w:adjustRightInd w:val="0"/>
        <w:snapToGrid w:val="0"/>
        <w:spacing w:line="576" w:lineRule="exact"/>
        <w:ind w:firstLine="720"/>
        <w:textAlignment w:val="auto"/>
        <w:rPr>
          <w:rFonts w:hint="eastAsia" w:ascii="CESI楷体-GB2312" w:hAnsi="CESI楷体-GB2312" w:eastAsia="CESI楷体-GB2312" w:cs="CESI楷体-GB2312"/>
          <w:b/>
          <w:bCs/>
          <w:lang w:val="zh-CN"/>
        </w:rPr>
      </w:pPr>
      <w:r>
        <w:rPr>
          <w:rFonts w:hint="eastAsia" w:ascii="CESI楷体-GB2312" w:hAnsi="CESI楷体-GB2312" w:eastAsia="CESI楷体-GB2312" w:cs="CESI楷体-GB2312"/>
          <w:b/>
          <w:bCs/>
          <w:sz w:val="32"/>
          <w:szCs w:val="32"/>
          <w:lang w:val="zh-CN"/>
        </w:rPr>
        <w:t>（一）项目基本情况。</w:t>
      </w:r>
    </w:p>
    <w:p w14:paraId="57E77F39">
      <w:pPr>
        <w:keepNext w:val="0"/>
        <w:keepLines w:val="0"/>
        <w:pageBreakBefore w:val="0"/>
        <w:widowControl w:val="0"/>
        <w:kinsoku/>
        <w:wordWrap/>
        <w:overflowPunct/>
        <w:topLinePunct w:val="0"/>
        <w:autoSpaceDE/>
        <w:autoSpaceDN/>
        <w:bidi w:val="0"/>
        <w:adjustRightInd w:val="0"/>
        <w:snapToGrid w:val="0"/>
        <w:spacing w:line="576" w:lineRule="exact"/>
        <w:ind w:firstLine="720"/>
        <w:textAlignment w:val="auto"/>
        <w:rPr>
          <w:rFonts w:hint="eastAsia" w:ascii="CESI仿宋-GB2312" w:hAnsi="CESI仿宋-GB2312" w:eastAsia="CESI仿宋-GB2312" w:cs="CESI仿宋-GB2312"/>
          <w:b/>
          <w:bCs/>
          <w:sz w:val="32"/>
          <w:szCs w:val="32"/>
          <w:lang w:val="zh-CN"/>
        </w:rPr>
      </w:pPr>
      <w:r>
        <w:rPr>
          <w:rFonts w:hint="eastAsia" w:ascii="CESI仿宋-GB2312" w:hAnsi="CESI仿宋-GB2312" w:eastAsia="CESI仿宋-GB2312" w:cs="CESI仿宋-GB2312"/>
          <w:b/>
          <w:bCs/>
          <w:sz w:val="32"/>
          <w:szCs w:val="32"/>
          <w:lang w:val="zh-CN"/>
        </w:rPr>
        <w:t>1.</w:t>
      </w:r>
      <w:r>
        <w:rPr>
          <w:rFonts w:hint="eastAsia" w:ascii="CESI仿宋-GB2312" w:hAnsi="CESI仿宋-GB2312" w:eastAsia="CESI仿宋-GB2312" w:cs="CESI仿宋-GB2312"/>
          <w:b/>
          <w:bCs/>
          <w:sz w:val="32"/>
          <w:szCs w:val="32"/>
          <w:lang w:val="en-US" w:eastAsia="zh-CN"/>
        </w:rPr>
        <w:t>盐边县卫生健康局</w:t>
      </w:r>
      <w:r>
        <w:rPr>
          <w:rFonts w:hint="eastAsia" w:ascii="CESI仿宋-GB2312" w:hAnsi="CESI仿宋-GB2312" w:eastAsia="CESI仿宋-GB2312" w:cs="CESI仿宋-GB2312"/>
          <w:b/>
          <w:bCs/>
          <w:sz w:val="32"/>
          <w:szCs w:val="32"/>
          <w:lang w:val="zh-CN"/>
        </w:rPr>
        <w:t>在项目管理中的职能。</w:t>
      </w:r>
    </w:p>
    <w:p w14:paraId="3D0C0CB1">
      <w:pPr>
        <w:keepNext w:val="0"/>
        <w:keepLines w:val="0"/>
        <w:pageBreakBefore w:val="0"/>
        <w:widowControl w:val="0"/>
        <w:kinsoku/>
        <w:wordWrap/>
        <w:overflowPunct/>
        <w:topLinePunct w:val="0"/>
        <w:autoSpaceDE/>
        <w:autoSpaceDN/>
        <w:bidi w:val="0"/>
        <w:spacing w:line="576" w:lineRule="exact"/>
        <w:ind w:firstLine="640" w:firstLineChars="200"/>
        <w:textAlignment w:val="auto"/>
        <w:rPr>
          <w:rFonts w:hint="eastAsia" w:ascii="CESI仿宋-GB2312" w:hAnsi="CESI仿宋-GB2312" w:eastAsia="CESI仿宋-GB2312" w:cs="CESI仿宋-GB2312"/>
          <w:sz w:val="32"/>
          <w:szCs w:val="32"/>
        </w:rPr>
      </w:pPr>
      <w:r>
        <w:rPr>
          <w:rFonts w:hint="eastAsia" w:ascii="CESI仿宋-GB2312" w:hAnsi="CESI仿宋-GB2312" w:eastAsia="CESI仿宋-GB2312" w:cs="CESI仿宋-GB2312"/>
          <w:b w:val="0"/>
          <w:bCs/>
          <w:sz w:val="32"/>
          <w:szCs w:val="32"/>
          <w:lang w:val="zh-CN" w:eastAsia="zh-CN"/>
        </w:rPr>
        <w:t>县卫生健康局负责制定基本药物制度项目实施方案和绩效考核方案，</w:t>
      </w:r>
      <w:r>
        <w:rPr>
          <w:rFonts w:hint="eastAsia" w:ascii="CESI仿宋-GB2312" w:hAnsi="CESI仿宋-GB2312" w:eastAsia="CESI仿宋-GB2312" w:cs="CESI仿宋-GB2312"/>
          <w:sz w:val="32"/>
          <w:szCs w:val="32"/>
        </w:rPr>
        <w:t>及时将中央和省级转移支付资金下达至项目执行单位，组织实施</w:t>
      </w:r>
      <w:r>
        <w:rPr>
          <w:rFonts w:hint="eastAsia" w:ascii="CESI仿宋-GB2312" w:hAnsi="CESI仿宋-GB2312" w:eastAsia="CESI仿宋-GB2312" w:cs="CESI仿宋-GB2312"/>
          <w:sz w:val="32"/>
          <w:szCs w:val="32"/>
          <w:lang w:eastAsia="zh-CN"/>
        </w:rPr>
        <w:t>日常</w:t>
      </w:r>
      <w:r>
        <w:rPr>
          <w:rFonts w:hint="eastAsia" w:ascii="CESI仿宋-GB2312" w:hAnsi="CESI仿宋-GB2312" w:eastAsia="CESI仿宋-GB2312" w:cs="CESI仿宋-GB2312"/>
          <w:sz w:val="32"/>
          <w:szCs w:val="32"/>
        </w:rPr>
        <w:t>监督和绩效</w:t>
      </w:r>
      <w:r>
        <w:rPr>
          <w:rFonts w:hint="eastAsia" w:ascii="CESI仿宋-GB2312" w:hAnsi="CESI仿宋-GB2312" w:eastAsia="CESI仿宋-GB2312" w:cs="CESI仿宋-GB2312"/>
          <w:sz w:val="32"/>
          <w:szCs w:val="32"/>
          <w:lang w:eastAsia="zh-CN"/>
        </w:rPr>
        <w:t>考核</w:t>
      </w:r>
      <w:r>
        <w:rPr>
          <w:rFonts w:hint="eastAsia" w:ascii="CESI仿宋-GB2312" w:hAnsi="CESI仿宋-GB2312" w:eastAsia="CESI仿宋-GB2312" w:cs="CESI仿宋-GB2312"/>
          <w:sz w:val="32"/>
          <w:szCs w:val="32"/>
        </w:rPr>
        <w:t>。</w:t>
      </w:r>
    </w:p>
    <w:p w14:paraId="220371CF">
      <w:pPr>
        <w:keepNext w:val="0"/>
        <w:keepLines w:val="0"/>
        <w:pageBreakBefore w:val="0"/>
        <w:widowControl w:val="0"/>
        <w:kinsoku/>
        <w:wordWrap/>
        <w:overflowPunct/>
        <w:topLinePunct w:val="0"/>
        <w:autoSpaceDE/>
        <w:autoSpaceDN/>
        <w:bidi w:val="0"/>
        <w:adjustRightInd w:val="0"/>
        <w:snapToGrid w:val="0"/>
        <w:spacing w:line="576" w:lineRule="exact"/>
        <w:ind w:firstLine="720"/>
        <w:textAlignment w:val="auto"/>
        <w:rPr>
          <w:rFonts w:hint="eastAsia" w:ascii="CESI仿宋-GB2312" w:hAnsi="CESI仿宋-GB2312" w:eastAsia="CESI仿宋-GB2312" w:cs="CESI仿宋-GB2312"/>
          <w:b/>
          <w:bCs/>
          <w:sz w:val="32"/>
          <w:szCs w:val="32"/>
          <w:lang w:val="zh-CN"/>
        </w:rPr>
      </w:pPr>
      <w:r>
        <w:rPr>
          <w:rFonts w:hint="eastAsia" w:ascii="CESI仿宋-GB2312" w:hAnsi="CESI仿宋-GB2312" w:eastAsia="CESI仿宋-GB2312" w:cs="CESI仿宋-GB2312"/>
          <w:b/>
          <w:bCs/>
          <w:sz w:val="32"/>
          <w:szCs w:val="32"/>
          <w:lang w:val="zh-CN"/>
        </w:rPr>
        <w:t>2.项目立项、资金申报的依据。</w:t>
      </w:r>
    </w:p>
    <w:p w14:paraId="3E2254DF">
      <w:pPr>
        <w:keepNext w:val="0"/>
        <w:keepLines w:val="0"/>
        <w:pageBreakBefore w:val="0"/>
        <w:widowControl w:val="0"/>
        <w:kinsoku/>
        <w:wordWrap/>
        <w:overflowPunct/>
        <w:topLinePunct w:val="0"/>
        <w:autoSpaceDE/>
        <w:autoSpaceDN/>
        <w:bidi w:val="0"/>
        <w:spacing w:line="576" w:lineRule="exact"/>
        <w:ind w:firstLine="640" w:firstLineChars="200"/>
        <w:textAlignment w:val="auto"/>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加强和规范中央和省级财政支持基层医疗卫生机构实施国家基本药物制度补助资金的分配、使用和管理</w:t>
      </w:r>
      <w:r>
        <w:rPr>
          <w:rFonts w:hint="eastAsia" w:ascii="CESI仿宋-GB2312" w:hAnsi="CESI仿宋-GB2312" w:eastAsia="CESI仿宋-GB2312" w:cs="CESI仿宋-GB2312"/>
          <w:sz w:val="32"/>
          <w:szCs w:val="32"/>
          <w:lang w:eastAsia="zh-CN"/>
        </w:rPr>
        <w:t>，</w:t>
      </w:r>
      <w:r>
        <w:rPr>
          <w:rFonts w:hint="eastAsia" w:ascii="CESI仿宋-GB2312" w:hAnsi="CESI仿宋-GB2312" w:eastAsia="CESI仿宋-GB2312" w:cs="CESI仿宋-GB2312"/>
          <w:sz w:val="32"/>
          <w:szCs w:val="32"/>
        </w:rPr>
        <w:t>根据《中</w:t>
      </w:r>
    </w:p>
    <w:p w14:paraId="5E4FFE32">
      <w:pPr>
        <w:keepNext w:val="0"/>
        <w:keepLines w:val="0"/>
        <w:pageBreakBefore w:val="0"/>
        <w:widowControl w:val="0"/>
        <w:kinsoku/>
        <w:wordWrap/>
        <w:overflowPunct/>
        <w:topLinePunct w:val="0"/>
        <w:autoSpaceDE/>
        <w:autoSpaceDN/>
        <w:bidi w:val="0"/>
        <w:spacing w:line="576" w:lineRule="exact"/>
        <w:textAlignment w:val="auto"/>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华人民共和国预算法》《财政部 国家卫生健康委基本药物制度补助资金管理办法》《中共四川省委四川省人民政府关于全面预算绩效管理的实施意见》《四川省人民政府关于改革完善省对下转移支付制度的意见》《四川省国家基本药物制度实施意见》《关于建立健全基层医疗卫生机构补偿机制的意见》《四川省人民政府办公厅关于印发四川省基本公共服务领域省与市县共同财政事权和支出责任划分改革方案的通知》《四川省财政厅 四川省卫生健康委员会 四川省医疗保障局 四川省中医药管理局关于印发公共卫生等5项补助资金管理办法的通知》等有关法律法规和政策文件。</w:t>
      </w:r>
    </w:p>
    <w:p w14:paraId="7EB9C261">
      <w:pPr>
        <w:keepNext w:val="0"/>
        <w:keepLines w:val="0"/>
        <w:pageBreakBefore w:val="0"/>
        <w:widowControl w:val="0"/>
        <w:kinsoku/>
        <w:wordWrap/>
        <w:overflowPunct/>
        <w:topLinePunct w:val="0"/>
        <w:autoSpaceDE/>
        <w:autoSpaceDN/>
        <w:bidi w:val="0"/>
        <w:adjustRightInd w:val="0"/>
        <w:snapToGrid w:val="0"/>
        <w:spacing w:line="576" w:lineRule="exact"/>
        <w:ind w:firstLine="720"/>
        <w:textAlignment w:val="auto"/>
        <w:rPr>
          <w:rFonts w:hint="eastAsia" w:ascii="CESI仿宋-GB2312" w:hAnsi="CESI仿宋-GB2312" w:eastAsia="CESI仿宋-GB2312" w:cs="CESI仿宋-GB2312"/>
          <w:b/>
          <w:bCs/>
          <w:sz w:val="32"/>
          <w:szCs w:val="32"/>
          <w:lang w:val="zh-CN"/>
        </w:rPr>
      </w:pPr>
      <w:r>
        <w:rPr>
          <w:rFonts w:hint="eastAsia" w:ascii="CESI仿宋-GB2312" w:hAnsi="CESI仿宋-GB2312" w:eastAsia="CESI仿宋-GB2312" w:cs="CESI仿宋-GB2312"/>
          <w:b/>
          <w:bCs/>
          <w:sz w:val="32"/>
          <w:szCs w:val="32"/>
          <w:lang w:val="zh-CN"/>
        </w:rPr>
        <w:t>3.资金管理办法制定情况，资金支持具体项目的条件、范围与支持方式概况。</w:t>
      </w:r>
    </w:p>
    <w:p w14:paraId="77E192F5">
      <w:pPr>
        <w:keepNext w:val="0"/>
        <w:keepLines w:val="0"/>
        <w:pageBreakBefore w:val="0"/>
        <w:widowControl w:val="0"/>
        <w:kinsoku/>
        <w:wordWrap/>
        <w:overflowPunct/>
        <w:topLinePunct w:val="0"/>
        <w:autoSpaceDE/>
        <w:autoSpaceDN/>
        <w:bidi w:val="0"/>
        <w:adjustRightInd w:val="0"/>
        <w:snapToGrid w:val="0"/>
        <w:spacing w:line="576" w:lineRule="exact"/>
        <w:ind w:firstLine="640" w:firstLineChars="200"/>
        <w:textAlignment w:val="auto"/>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lang w:eastAsia="zh-CN"/>
        </w:rPr>
        <w:t>为巩固国家基本药物制度实施成果，强化监督和考核工作，规范实施国家基本药物制度，按照《四川省卫生健康委员会办公室关于进一步加强基本药物制度绩效考核的通知》（</w:t>
      </w:r>
      <w:r>
        <w:rPr>
          <w:rFonts w:hint="eastAsia" w:ascii="CESI仿宋-GB2312" w:hAnsi="CESI仿宋-GB2312" w:eastAsia="CESI仿宋-GB2312" w:cs="CESI仿宋-GB2312"/>
          <w:sz w:val="32"/>
          <w:szCs w:val="32"/>
          <w:lang w:val="en-US" w:eastAsia="zh-CN"/>
        </w:rPr>
        <w:t>川卫办基卫便函〔2023〕26号</w:t>
      </w:r>
      <w:r>
        <w:rPr>
          <w:rFonts w:hint="eastAsia" w:ascii="CESI仿宋-GB2312" w:hAnsi="CESI仿宋-GB2312" w:eastAsia="CESI仿宋-GB2312" w:cs="CESI仿宋-GB2312"/>
          <w:sz w:val="32"/>
          <w:szCs w:val="32"/>
          <w:lang w:eastAsia="zh-CN"/>
        </w:rPr>
        <w:t>）要求，结合全县实际，印制定了《盐边县卫生健康局关于印发基层医疗卫生机构国家基本药物制度绩效考核方案的通知》，</w:t>
      </w:r>
      <w:r>
        <w:rPr>
          <w:rFonts w:hint="eastAsia" w:ascii="CESI仿宋-GB2312" w:hAnsi="CESI仿宋-GB2312" w:eastAsia="CESI仿宋-GB2312" w:cs="CESI仿宋-GB2312"/>
          <w:color w:val="000000"/>
          <w:sz w:val="32"/>
          <w:szCs w:val="32"/>
          <w:shd w:val="clear" w:color="auto" w:fill="FFFFFF"/>
        </w:rPr>
        <w:t>按照客观公正，民主公开，分级考核，合理规划，科学论证，强化管理，注重实效，讲求绩效，量效挂钩的原则加强国家基本药物制度补助资金管理，提高资金使用效益，确保国家基本药物制度的有效实施，推进基层医疗卫生机构综合改革，转变医疗卫生服务模式，有效控制不合理医疗费用，增强城乡居民就诊看病的“获得感”，鼓励基层医疗机构抓实基本医疗服务。</w:t>
      </w:r>
    </w:p>
    <w:p w14:paraId="4C27723A">
      <w:pPr>
        <w:keepNext w:val="0"/>
        <w:keepLines w:val="0"/>
        <w:pageBreakBefore w:val="0"/>
        <w:widowControl w:val="0"/>
        <w:kinsoku/>
        <w:wordWrap/>
        <w:overflowPunct/>
        <w:topLinePunct w:val="0"/>
        <w:autoSpaceDE/>
        <w:autoSpaceDN/>
        <w:bidi w:val="0"/>
        <w:adjustRightInd w:val="0"/>
        <w:snapToGrid w:val="0"/>
        <w:spacing w:line="576" w:lineRule="exact"/>
        <w:ind w:firstLine="641" w:firstLineChars="200"/>
        <w:textAlignment w:val="auto"/>
        <w:rPr>
          <w:rFonts w:hint="eastAsia" w:ascii="CESI仿宋-GB2312" w:hAnsi="CESI仿宋-GB2312" w:eastAsia="CESI仿宋-GB2312" w:cs="CESI仿宋-GB2312"/>
          <w:b/>
          <w:bCs/>
          <w:sz w:val="32"/>
          <w:szCs w:val="32"/>
          <w:lang w:val="zh-CN"/>
        </w:rPr>
      </w:pPr>
      <w:r>
        <w:rPr>
          <w:rFonts w:hint="eastAsia" w:ascii="CESI仿宋-GB2312" w:hAnsi="CESI仿宋-GB2312" w:eastAsia="CESI仿宋-GB2312" w:cs="CESI仿宋-GB2312"/>
          <w:b/>
          <w:bCs/>
          <w:sz w:val="32"/>
          <w:szCs w:val="32"/>
          <w:lang w:val="zh-CN"/>
        </w:rPr>
        <w:t>4.资金分配的原则及考虑因素。</w:t>
      </w:r>
    </w:p>
    <w:p w14:paraId="098D7C66">
      <w:pPr>
        <w:keepNext w:val="0"/>
        <w:keepLines w:val="0"/>
        <w:pageBreakBefore w:val="0"/>
        <w:widowControl w:val="0"/>
        <w:kinsoku/>
        <w:wordWrap/>
        <w:overflowPunct/>
        <w:topLinePunct w:val="0"/>
        <w:autoSpaceDE/>
        <w:autoSpaceDN/>
        <w:bidi w:val="0"/>
        <w:spacing w:line="576" w:lineRule="exact"/>
        <w:ind w:firstLine="641" w:firstLineChars="200"/>
        <w:textAlignment w:val="auto"/>
        <w:rPr>
          <w:rFonts w:hint="eastAsia" w:ascii="CESI仿宋-GB2312" w:hAnsi="CESI仿宋-GB2312" w:eastAsia="CESI仿宋-GB2312" w:cs="CESI仿宋-GB2312"/>
          <w:b/>
          <w:bCs/>
          <w:sz w:val="32"/>
          <w:szCs w:val="32"/>
          <w:lang w:eastAsia="zh-CN"/>
        </w:rPr>
      </w:pPr>
      <w:r>
        <w:rPr>
          <w:rFonts w:hint="eastAsia" w:ascii="CESI仿宋-GB2312" w:hAnsi="CESI仿宋-GB2312" w:eastAsia="CESI仿宋-GB2312" w:cs="CESI仿宋-GB2312"/>
          <w:b/>
          <w:bCs/>
          <w:sz w:val="32"/>
          <w:szCs w:val="32"/>
          <w:lang w:eastAsia="zh-CN"/>
        </w:rPr>
        <w:t>（</w:t>
      </w:r>
      <w:r>
        <w:rPr>
          <w:rFonts w:hint="eastAsia" w:ascii="CESI仿宋-GB2312" w:hAnsi="CESI仿宋-GB2312" w:eastAsia="CESI仿宋-GB2312" w:cs="CESI仿宋-GB2312"/>
          <w:b/>
          <w:bCs/>
          <w:sz w:val="32"/>
          <w:szCs w:val="32"/>
          <w:lang w:val="en-US" w:eastAsia="zh-CN"/>
        </w:rPr>
        <w:t>1</w:t>
      </w:r>
      <w:r>
        <w:rPr>
          <w:rFonts w:hint="eastAsia" w:ascii="CESI仿宋-GB2312" w:hAnsi="CESI仿宋-GB2312" w:eastAsia="CESI仿宋-GB2312" w:cs="CESI仿宋-GB2312"/>
          <w:b/>
          <w:bCs/>
          <w:sz w:val="32"/>
          <w:szCs w:val="32"/>
          <w:lang w:eastAsia="zh-CN"/>
        </w:rPr>
        <w:t>）分配原则</w:t>
      </w:r>
    </w:p>
    <w:p w14:paraId="6FB6700C">
      <w:pPr>
        <w:keepNext w:val="0"/>
        <w:keepLines w:val="0"/>
        <w:pageBreakBefore w:val="0"/>
        <w:widowControl w:val="0"/>
        <w:kinsoku/>
        <w:wordWrap/>
        <w:overflowPunct/>
        <w:topLinePunct w:val="0"/>
        <w:autoSpaceDE/>
        <w:autoSpaceDN/>
        <w:bidi w:val="0"/>
        <w:spacing w:line="576" w:lineRule="exact"/>
        <w:ind w:firstLine="640" w:firstLineChars="200"/>
        <w:textAlignment w:val="auto"/>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合理规划，分级管理。按照医改工作总体要求及相关规划，合理分配补助资金。</w:t>
      </w:r>
    </w:p>
    <w:p w14:paraId="0EF9D959">
      <w:pPr>
        <w:keepNext w:val="0"/>
        <w:keepLines w:val="0"/>
        <w:pageBreakBefore w:val="0"/>
        <w:widowControl w:val="0"/>
        <w:kinsoku/>
        <w:wordWrap/>
        <w:overflowPunct/>
        <w:topLinePunct w:val="0"/>
        <w:autoSpaceDE/>
        <w:autoSpaceDN/>
        <w:bidi w:val="0"/>
        <w:spacing w:line="576" w:lineRule="exact"/>
        <w:ind w:firstLine="640" w:firstLineChars="200"/>
        <w:textAlignment w:val="auto"/>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统筹安排，保障基本。结合实际工作需要，统筹安排上级转移支付资金和本级预算安排资金，支持落实相关工作任务。</w:t>
      </w:r>
    </w:p>
    <w:p w14:paraId="755EE761">
      <w:pPr>
        <w:keepNext w:val="0"/>
        <w:keepLines w:val="0"/>
        <w:pageBreakBefore w:val="0"/>
        <w:widowControl w:val="0"/>
        <w:kinsoku/>
        <w:wordWrap/>
        <w:overflowPunct/>
        <w:topLinePunct w:val="0"/>
        <w:autoSpaceDE/>
        <w:autoSpaceDN/>
        <w:bidi w:val="0"/>
        <w:spacing w:line="576" w:lineRule="exact"/>
        <w:ind w:firstLine="640" w:firstLineChars="200"/>
        <w:textAlignment w:val="auto"/>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讲求绩效，量效挂钩。补助资金实施全过程预算绩效管理，建立绩效评价结果与资金分配挂钩机制，提高资金使用效益。</w:t>
      </w:r>
    </w:p>
    <w:p w14:paraId="39723262">
      <w:pPr>
        <w:keepNext w:val="0"/>
        <w:keepLines w:val="0"/>
        <w:pageBreakBefore w:val="0"/>
        <w:widowControl w:val="0"/>
        <w:kinsoku/>
        <w:wordWrap/>
        <w:overflowPunct/>
        <w:topLinePunct w:val="0"/>
        <w:autoSpaceDE/>
        <w:autoSpaceDN/>
        <w:bidi w:val="0"/>
        <w:spacing w:line="576" w:lineRule="exact"/>
        <w:ind w:firstLine="641" w:firstLineChars="200"/>
        <w:textAlignment w:val="auto"/>
        <w:rPr>
          <w:rFonts w:hint="eastAsia" w:ascii="CESI仿宋-GB2312" w:hAnsi="CESI仿宋-GB2312" w:eastAsia="CESI仿宋-GB2312" w:cs="CESI仿宋-GB2312"/>
          <w:b/>
          <w:bCs/>
          <w:sz w:val="32"/>
          <w:szCs w:val="32"/>
        </w:rPr>
      </w:pPr>
      <w:r>
        <w:rPr>
          <w:rFonts w:hint="eastAsia" w:ascii="CESI仿宋-GB2312" w:hAnsi="CESI仿宋-GB2312" w:eastAsia="CESI仿宋-GB2312" w:cs="CESI仿宋-GB2312"/>
          <w:b/>
          <w:bCs/>
          <w:sz w:val="32"/>
          <w:szCs w:val="32"/>
        </w:rPr>
        <w:t>（2）</w:t>
      </w:r>
      <w:r>
        <w:rPr>
          <w:rFonts w:hint="eastAsia" w:ascii="CESI仿宋-GB2312" w:hAnsi="CESI仿宋-GB2312" w:eastAsia="CESI仿宋-GB2312" w:cs="CESI仿宋-GB2312"/>
          <w:b/>
          <w:bCs/>
          <w:sz w:val="32"/>
          <w:szCs w:val="32"/>
          <w:lang w:eastAsia="zh-CN"/>
        </w:rPr>
        <w:t>分配</w:t>
      </w:r>
      <w:r>
        <w:rPr>
          <w:rFonts w:hint="eastAsia" w:ascii="CESI仿宋-GB2312" w:hAnsi="CESI仿宋-GB2312" w:eastAsia="CESI仿宋-GB2312" w:cs="CESI仿宋-GB2312"/>
          <w:b/>
          <w:bCs/>
          <w:sz w:val="32"/>
          <w:szCs w:val="32"/>
        </w:rPr>
        <w:t>因素</w:t>
      </w:r>
    </w:p>
    <w:p w14:paraId="310E94A1">
      <w:pPr>
        <w:keepNext w:val="0"/>
        <w:keepLines w:val="0"/>
        <w:pageBreakBefore w:val="0"/>
        <w:widowControl w:val="0"/>
        <w:kinsoku/>
        <w:wordWrap/>
        <w:overflowPunct/>
        <w:topLinePunct w:val="0"/>
        <w:autoSpaceDE/>
        <w:autoSpaceDN/>
        <w:bidi w:val="0"/>
        <w:adjustRightInd w:val="0"/>
        <w:snapToGrid w:val="0"/>
        <w:spacing w:line="576" w:lineRule="exact"/>
        <w:ind w:firstLine="640" w:firstLineChars="200"/>
        <w:textAlignment w:val="auto"/>
        <w:rPr>
          <w:rFonts w:hint="eastAsia" w:ascii="CESI仿宋-GB2312" w:hAnsi="CESI仿宋-GB2312" w:eastAsia="CESI仿宋-GB2312" w:cs="CESI仿宋-GB2312"/>
          <w:sz w:val="32"/>
          <w:szCs w:val="32"/>
          <w:lang w:eastAsia="zh-CN"/>
        </w:rPr>
      </w:pPr>
      <w:r>
        <w:rPr>
          <w:rFonts w:hint="eastAsia" w:ascii="CESI仿宋-GB2312" w:hAnsi="CESI仿宋-GB2312" w:eastAsia="CESI仿宋-GB2312" w:cs="CESI仿宋-GB2312"/>
          <w:sz w:val="32"/>
          <w:szCs w:val="32"/>
          <w:lang w:eastAsia="zh-CN"/>
        </w:rPr>
        <w:t>对社区卫生服务中心和乡镇卫生院，按照“核定任务、核定收支、绩效考核补助”的办法核定补助资金。其中：</w:t>
      </w:r>
      <w:r>
        <w:rPr>
          <w:rFonts w:hint="eastAsia" w:ascii="CESI仿宋-GB2312" w:hAnsi="CESI仿宋-GB2312" w:eastAsia="CESI仿宋-GB2312" w:cs="CESI仿宋-GB2312"/>
          <w:sz w:val="32"/>
          <w:szCs w:val="32"/>
          <w:lang w:val="en-US" w:eastAsia="zh-CN"/>
        </w:rPr>
        <w:t>基层医疗卫生机构按照考核分数和辖区人口数进行资金分配，</w:t>
      </w:r>
      <w:r>
        <w:rPr>
          <w:rFonts w:hint="eastAsia" w:ascii="CESI仿宋-GB2312" w:hAnsi="CESI仿宋-GB2312" w:eastAsia="CESI仿宋-GB2312" w:cs="CESI仿宋-GB2312"/>
          <w:sz w:val="32"/>
          <w:szCs w:val="32"/>
          <w:lang w:eastAsia="zh-CN"/>
        </w:rPr>
        <w:t>分配所需的常住人口数量为省统计局公布的第N-2年常住人口数量(N为资金下达年度)。</w:t>
      </w:r>
    </w:p>
    <w:p w14:paraId="0302E2DD">
      <w:pPr>
        <w:keepNext w:val="0"/>
        <w:keepLines w:val="0"/>
        <w:pageBreakBefore w:val="0"/>
        <w:widowControl w:val="0"/>
        <w:kinsoku/>
        <w:wordWrap/>
        <w:overflowPunct/>
        <w:topLinePunct w:val="0"/>
        <w:autoSpaceDE/>
        <w:autoSpaceDN/>
        <w:bidi w:val="0"/>
        <w:adjustRightInd w:val="0"/>
        <w:snapToGrid w:val="0"/>
        <w:spacing w:line="576" w:lineRule="exact"/>
        <w:ind w:firstLine="720"/>
        <w:textAlignment w:val="auto"/>
        <w:rPr>
          <w:rFonts w:hint="eastAsia" w:ascii="CESI仿宋-GB2312" w:hAnsi="CESI仿宋-GB2312" w:eastAsia="CESI仿宋-GB2312" w:cs="CESI仿宋-GB2312"/>
          <w:sz w:val="32"/>
          <w:szCs w:val="32"/>
          <w:lang w:eastAsia="zh-CN"/>
        </w:rPr>
      </w:pPr>
      <w:r>
        <w:rPr>
          <w:rFonts w:hint="eastAsia" w:ascii="CESI仿宋-GB2312" w:hAnsi="CESI仿宋-GB2312" w:eastAsia="CESI仿宋-GB2312" w:cs="CESI仿宋-GB2312"/>
          <w:sz w:val="32"/>
          <w:szCs w:val="32"/>
          <w:lang w:eastAsia="zh-CN"/>
        </w:rPr>
        <w:t>对村卫生室，</w:t>
      </w:r>
      <w:r>
        <w:rPr>
          <w:rFonts w:hint="eastAsia" w:ascii="CESI仿宋-GB2312" w:hAnsi="CESI仿宋-GB2312" w:eastAsia="CESI仿宋-GB2312" w:cs="CESI仿宋-GB2312"/>
          <w:sz w:val="32"/>
          <w:szCs w:val="32"/>
          <w:lang w:val="en-US" w:eastAsia="zh-CN"/>
        </w:rPr>
        <w:t>村卫生室按照村卫生室个数、常住人口、补助标准进行分配，</w:t>
      </w:r>
      <w:r>
        <w:rPr>
          <w:rFonts w:hint="eastAsia" w:ascii="CESI仿宋-GB2312" w:hAnsi="CESI仿宋-GB2312" w:eastAsia="CESI仿宋-GB2312" w:cs="CESI仿宋-GB2312"/>
          <w:sz w:val="32"/>
          <w:szCs w:val="32"/>
          <w:lang w:eastAsia="zh-CN"/>
        </w:rPr>
        <w:t>分配所需的常住人口数量为省统计局公布的第N-2年农业人口数量(N为资金下达年度)。</w:t>
      </w:r>
    </w:p>
    <w:p w14:paraId="50BA377C">
      <w:pPr>
        <w:keepNext w:val="0"/>
        <w:keepLines w:val="0"/>
        <w:pageBreakBefore w:val="0"/>
        <w:widowControl w:val="0"/>
        <w:kinsoku/>
        <w:wordWrap/>
        <w:overflowPunct/>
        <w:topLinePunct w:val="0"/>
        <w:autoSpaceDE/>
        <w:autoSpaceDN/>
        <w:bidi w:val="0"/>
        <w:adjustRightInd w:val="0"/>
        <w:snapToGrid w:val="0"/>
        <w:spacing w:line="576" w:lineRule="exact"/>
        <w:ind w:firstLine="720"/>
        <w:textAlignment w:val="auto"/>
        <w:rPr>
          <w:rFonts w:hint="eastAsia" w:ascii="CESI仿宋-GB2312" w:hAnsi="CESI仿宋-GB2312" w:eastAsia="CESI仿宋-GB2312" w:cs="CESI仿宋-GB2312"/>
          <w:b/>
          <w:bCs/>
          <w:sz w:val="32"/>
          <w:szCs w:val="32"/>
          <w:lang w:val="zh-CN"/>
        </w:rPr>
      </w:pPr>
      <w:r>
        <w:rPr>
          <w:rFonts w:hint="eastAsia" w:ascii="CESI仿宋-GB2312" w:hAnsi="CESI仿宋-GB2312" w:eastAsia="CESI仿宋-GB2312" w:cs="CESI仿宋-GB2312"/>
          <w:b/>
          <w:bCs/>
          <w:sz w:val="32"/>
          <w:szCs w:val="32"/>
          <w:lang w:val="zh-CN"/>
        </w:rPr>
        <w:t>（二）项目绩效目标。</w:t>
      </w:r>
    </w:p>
    <w:p w14:paraId="389EDDFA">
      <w:pPr>
        <w:keepNext w:val="0"/>
        <w:keepLines w:val="0"/>
        <w:pageBreakBefore w:val="0"/>
        <w:widowControl w:val="0"/>
        <w:kinsoku/>
        <w:wordWrap/>
        <w:overflowPunct/>
        <w:topLinePunct w:val="0"/>
        <w:autoSpaceDE/>
        <w:autoSpaceDN/>
        <w:bidi w:val="0"/>
        <w:adjustRightInd w:val="0"/>
        <w:snapToGrid w:val="0"/>
        <w:spacing w:line="576" w:lineRule="exact"/>
        <w:ind w:firstLine="720"/>
        <w:textAlignment w:val="auto"/>
        <w:rPr>
          <w:rFonts w:hint="eastAsia" w:ascii="CESI仿宋-GB2312" w:hAnsi="CESI仿宋-GB2312" w:eastAsia="CESI仿宋-GB2312" w:cs="CESI仿宋-GB2312"/>
          <w:b/>
          <w:bCs/>
          <w:sz w:val="32"/>
          <w:szCs w:val="32"/>
          <w:lang w:val="zh-CN"/>
        </w:rPr>
      </w:pPr>
      <w:r>
        <w:rPr>
          <w:rFonts w:hint="eastAsia" w:ascii="CESI仿宋-GB2312" w:hAnsi="CESI仿宋-GB2312" w:eastAsia="CESI仿宋-GB2312" w:cs="CESI仿宋-GB2312"/>
          <w:b/>
          <w:bCs/>
          <w:sz w:val="32"/>
          <w:szCs w:val="32"/>
          <w:lang w:val="zh-CN"/>
        </w:rPr>
        <w:t>1.项目主要内容。</w:t>
      </w:r>
    </w:p>
    <w:p w14:paraId="3225E472">
      <w:pPr>
        <w:keepNext w:val="0"/>
        <w:keepLines w:val="0"/>
        <w:pageBreakBefore w:val="0"/>
        <w:widowControl w:val="0"/>
        <w:kinsoku/>
        <w:wordWrap/>
        <w:overflowPunct/>
        <w:topLinePunct w:val="0"/>
        <w:autoSpaceDE/>
        <w:autoSpaceDN/>
        <w:bidi w:val="0"/>
        <w:spacing w:line="576" w:lineRule="exact"/>
        <w:ind w:firstLine="640" w:firstLineChars="200"/>
        <w:textAlignment w:val="auto"/>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保证所有政府办基层医疗卫生机构实施国家基本药物制度，推进综合改革顺利进行。对实施国家基本药物制度的村卫生室给予补助，支持国家基本药物制度在村卫生室顺利实施。</w:t>
      </w:r>
    </w:p>
    <w:p w14:paraId="4C950974">
      <w:pPr>
        <w:keepNext w:val="0"/>
        <w:keepLines w:val="0"/>
        <w:pageBreakBefore w:val="0"/>
        <w:widowControl w:val="0"/>
        <w:kinsoku/>
        <w:wordWrap/>
        <w:overflowPunct/>
        <w:topLinePunct w:val="0"/>
        <w:autoSpaceDE/>
        <w:autoSpaceDN/>
        <w:bidi w:val="0"/>
        <w:adjustRightInd w:val="0"/>
        <w:snapToGrid w:val="0"/>
        <w:spacing w:line="576" w:lineRule="exact"/>
        <w:ind w:firstLine="720"/>
        <w:textAlignment w:val="auto"/>
        <w:rPr>
          <w:rFonts w:hint="eastAsia" w:ascii="CESI仿宋-GB2312" w:hAnsi="CESI仿宋-GB2312" w:eastAsia="CESI仿宋-GB2312" w:cs="CESI仿宋-GB2312"/>
          <w:b/>
          <w:bCs/>
          <w:sz w:val="32"/>
          <w:szCs w:val="32"/>
          <w:lang w:val="zh-CN"/>
        </w:rPr>
      </w:pPr>
      <w:r>
        <w:rPr>
          <w:rFonts w:hint="eastAsia" w:ascii="CESI仿宋-GB2312" w:hAnsi="CESI仿宋-GB2312" w:eastAsia="CESI仿宋-GB2312" w:cs="CESI仿宋-GB2312"/>
          <w:b/>
          <w:bCs/>
          <w:sz w:val="32"/>
          <w:szCs w:val="32"/>
          <w:lang w:val="zh-CN"/>
        </w:rPr>
        <w:t>2.项目应实现的具体绩效目标。</w:t>
      </w:r>
    </w:p>
    <w:p w14:paraId="0F464F59">
      <w:pPr>
        <w:keepNext w:val="0"/>
        <w:keepLines w:val="0"/>
        <w:pageBreakBefore w:val="0"/>
        <w:widowControl w:val="0"/>
        <w:kinsoku/>
        <w:wordWrap/>
        <w:overflowPunct/>
        <w:topLinePunct w:val="0"/>
        <w:autoSpaceDE/>
        <w:autoSpaceDN/>
        <w:bidi w:val="0"/>
        <w:spacing w:line="576" w:lineRule="exact"/>
        <w:ind w:firstLine="640" w:firstLineChars="200"/>
        <w:textAlignment w:val="auto"/>
        <w:rPr>
          <w:rFonts w:hint="eastAsia" w:ascii="CESI仿宋-GB2312" w:hAnsi="CESI仿宋-GB2312" w:eastAsia="CESI仿宋-GB2312" w:cs="CESI仿宋-GB2312"/>
          <w:sz w:val="32"/>
          <w:szCs w:val="32"/>
          <w:lang w:val="en-US" w:eastAsia="zh-CN"/>
        </w:rPr>
      </w:pPr>
      <w:r>
        <w:rPr>
          <w:rFonts w:hint="eastAsia" w:ascii="CESI仿宋-GB2312" w:hAnsi="CESI仿宋-GB2312" w:eastAsia="CESI仿宋-GB2312" w:cs="CESI仿宋-GB2312"/>
          <w:sz w:val="32"/>
          <w:szCs w:val="32"/>
        </w:rPr>
        <w:t>加强国家基本药物制度补助资金管理，提高资金使用效益，确保国家基本药物制度的有效实施，推进基层医疗卫生机构综合改革，转变医疗卫生服务模式，有效控制不合理医疗费用，增强城乡居民就诊看病的“获得感”，鼓励基层医疗机构抓实基本医疗服务。202</w:t>
      </w:r>
      <w:r>
        <w:rPr>
          <w:rFonts w:hint="eastAsia" w:ascii="CESI仿宋-GB2312" w:hAnsi="CESI仿宋-GB2312" w:eastAsia="CESI仿宋-GB2312" w:cs="CESI仿宋-GB2312"/>
          <w:sz w:val="32"/>
          <w:szCs w:val="32"/>
          <w:lang w:val="en-US" w:eastAsia="zh-CN"/>
        </w:rPr>
        <w:t>4</w:t>
      </w:r>
      <w:r>
        <w:rPr>
          <w:rFonts w:hint="eastAsia" w:ascii="CESI仿宋-GB2312" w:hAnsi="CESI仿宋-GB2312" w:eastAsia="CESI仿宋-GB2312" w:cs="CESI仿宋-GB2312"/>
          <w:sz w:val="32"/>
          <w:szCs w:val="32"/>
        </w:rPr>
        <w:t>年基层医疗卫生机构和村卫生室全面实施了国家基本药物制度，依据考核方案给予了资金补助，基本药物制度在我县落地落实。</w:t>
      </w:r>
      <w:r>
        <w:rPr>
          <w:rFonts w:hint="eastAsia" w:ascii="CESI仿宋-GB2312" w:hAnsi="CESI仿宋-GB2312" w:eastAsia="CESI仿宋-GB2312" w:cs="CESI仿宋-GB2312"/>
          <w:sz w:val="32"/>
          <w:szCs w:val="32"/>
          <w:lang w:val="en-US" w:eastAsia="zh-CN"/>
        </w:rPr>
        <w:t>2024年度，实施基本药物制度的政府办基层医疗卫生机构占比100%、实施基本药物制度的村卫生室占比100%、基层医疗卫生机构“优质服务基层行”活动开展评价机构数比例≥95%、基层医疗卫生机构“优质服务基层行”活动达到基本标准及以上的比例≥90%、乡村医生收入逐步提高、医共体建设符合“紧密型”、“控费型”、“同质化”、“促分工”发展方向、对基本药物补助满意度≥80%。</w:t>
      </w:r>
    </w:p>
    <w:p w14:paraId="54B25BFF">
      <w:pPr>
        <w:keepNext w:val="0"/>
        <w:keepLines w:val="0"/>
        <w:pageBreakBefore w:val="0"/>
        <w:widowControl w:val="0"/>
        <w:kinsoku/>
        <w:wordWrap/>
        <w:overflowPunct/>
        <w:topLinePunct w:val="0"/>
        <w:autoSpaceDE/>
        <w:autoSpaceDN/>
        <w:bidi w:val="0"/>
        <w:adjustRightInd w:val="0"/>
        <w:snapToGrid w:val="0"/>
        <w:spacing w:line="576" w:lineRule="exact"/>
        <w:ind w:firstLine="720"/>
        <w:textAlignment w:val="auto"/>
        <w:rPr>
          <w:rFonts w:hint="eastAsia" w:ascii="CESI仿宋-GB2312" w:hAnsi="CESI仿宋-GB2312" w:eastAsia="CESI仿宋-GB2312" w:cs="CESI仿宋-GB2312"/>
          <w:b/>
          <w:bCs/>
          <w:sz w:val="32"/>
          <w:szCs w:val="32"/>
          <w:lang w:val="zh-CN"/>
        </w:rPr>
      </w:pPr>
      <w:r>
        <w:rPr>
          <w:rFonts w:hint="eastAsia" w:ascii="CESI仿宋-GB2312" w:hAnsi="CESI仿宋-GB2312" w:eastAsia="CESI仿宋-GB2312" w:cs="CESI仿宋-GB2312"/>
          <w:b/>
          <w:bCs/>
          <w:sz w:val="32"/>
          <w:szCs w:val="32"/>
          <w:lang w:val="zh-CN"/>
        </w:rPr>
        <w:t>3.分析评价申报内容是否与实际相符，申报目标是否合理可行。</w:t>
      </w:r>
    </w:p>
    <w:p w14:paraId="0787BED8">
      <w:pPr>
        <w:keepNext w:val="0"/>
        <w:keepLines w:val="0"/>
        <w:pageBreakBefore w:val="0"/>
        <w:widowControl w:val="0"/>
        <w:kinsoku/>
        <w:wordWrap/>
        <w:overflowPunct/>
        <w:topLinePunct w:val="0"/>
        <w:autoSpaceDE/>
        <w:autoSpaceDN/>
        <w:bidi w:val="0"/>
        <w:spacing w:line="576" w:lineRule="exact"/>
        <w:ind w:firstLine="640" w:firstLineChars="200"/>
        <w:textAlignment w:val="auto"/>
        <w:rPr>
          <w:rFonts w:hint="eastAsia" w:ascii="CESI仿宋-GB2312" w:hAnsi="CESI仿宋-GB2312" w:eastAsia="CESI仿宋-GB2312" w:cs="CESI仿宋-GB2312"/>
          <w:b w:val="0"/>
          <w:bCs/>
          <w:color w:val="auto"/>
          <w:sz w:val="32"/>
          <w:szCs w:val="32"/>
          <w:lang w:val="en-US" w:eastAsia="zh-CN"/>
        </w:rPr>
      </w:pPr>
      <w:r>
        <w:rPr>
          <w:rFonts w:hint="eastAsia" w:ascii="CESI仿宋-GB2312" w:hAnsi="CESI仿宋-GB2312" w:eastAsia="CESI仿宋-GB2312" w:cs="CESI仿宋-GB2312"/>
          <w:b w:val="0"/>
          <w:bCs/>
          <w:color w:val="auto"/>
          <w:sz w:val="32"/>
          <w:szCs w:val="32"/>
          <w:lang w:val="en-US" w:eastAsia="zh-CN"/>
        </w:rPr>
        <w:t>按照国家、省、市对基本药物制度相关要求，结合实际，制定符合我县的项目实施方案，分解细化目标任务，确保了目标任务全面完成。申报内容与实际相符，申报目标合理可行。</w:t>
      </w:r>
    </w:p>
    <w:p w14:paraId="7946D1AD">
      <w:pPr>
        <w:keepNext w:val="0"/>
        <w:keepLines w:val="0"/>
        <w:pageBreakBefore w:val="0"/>
        <w:widowControl w:val="0"/>
        <w:kinsoku/>
        <w:wordWrap/>
        <w:overflowPunct/>
        <w:topLinePunct w:val="0"/>
        <w:autoSpaceDE/>
        <w:autoSpaceDN/>
        <w:bidi w:val="0"/>
        <w:adjustRightInd w:val="0"/>
        <w:snapToGrid w:val="0"/>
        <w:spacing w:line="576" w:lineRule="exact"/>
        <w:ind w:firstLine="720"/>
        <w:textAlignment w:val="auto"/>
        <w:rPr>
          <w:rFonts w:hint="default" w:ascii="Times New Roman" w:hAnsi="Times New Roman" w:eastAsia="方正楷体_GBK" w:cs="Times New Roman"/>
          <w:b/>
          <w:bCs/>
          <w:sz w:val="32"/>
          <w:szCs w:val="32"/>
          <w:lang w:val="zh-CN"/>
        </w:rPr>
      </w:pPr>
      <w:r>
        <w:rPr>
          <w:rFonts w:hint="default" w:ascii="Times New Roman" w:hAnsi="Times New Roman" w:eastAsia="方正楷体_GBK" w:cs="Times New Roman"/>
          <w:b/>
          <w:bCs/>
          <w:sz w:val="32"/>
          <w:szCs w:val="32"/>
          <w:lang w:val="zh-CN"/>
        </w:rPr>
        <w:t>（三）项目自评步骤及方法。</w:t>
      </w:r>
    </w:p>
    <w:p w14:paraId="41BC3C22">
      <w:pPr>
        <w:keepNext w:val="0"/>
        <w:keepLines w:val="0"/>
        <w:pageBreakBefore w:val="0"/>
        <w:widowControl w:val="0"/>
        <w:kinsoku/>
        <w:wordWrap/>
        <w:overflowPunct/>
        <w:topLinePunct w:val="0"/>
        <w:autoSpaceDE/>
        <w:autoSpaceDN/>
        <w:bidi w:val="0"/>
        <w:spacing w:line="576"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组织相关人员开展基本药物制度绩效</w:t>
      </w:r>
      <w:r>
        <w:rPr>
          <w:rFonts w:hint="default" w:ascii="Times New Roman" w:hAnsi="Times New Roman" w:eastAsia="方正仿宋_GBK" w:cs="Times New Roman"/>
          <w:sz w:val="32"/>
          <w:szCs w:val="32"/>
          <w:lang w:eastAsia="zh-CN"/>
        </w:rPr>
        <w:t>考核</w:t>
      </w:r>
      <w:r>
        <w:rPr>
          <w:rFonts w:hint="default" w:ascii="Times New Roman" w:hAnsi="Times New Roman" w:eastAsia="方正仿宋_GBK" w:cs="Times New Roman"/>
          <w:sz w:val="32"/>
          <w:szCs w:val="32"/>
        </w:rPr>
        <w:t>，一是通过现场查看了解基层医疗机构和村卫生室执行基本药物“零”加价、提高群众满意度评价效益；二是利用药械平台提取基层医疗机构采购基本药物量作为量化兑现补助；三是通过乡村一体化管理由乡镇卫生院代采购村卫生室的基本药物，并监督执行及绩效考核。</w:t>
      </w:r>
    </w:p>
    <w:p w14:paraId="4FF7FF85">
      <w:pPr>
        <w:keepNext w:val="0"/>
        <w:keepLines w:val="0"/>
        <w:pageBreakBefore w:val="0"/>
        <w:widowControl w:val="0"/>
        <w:kinsoku/>
        <w:wordWrap/>
        <w:overflowPunct/>
        <w:topLinePunct w:val="0"/>
        <w:autoSpaceDE/>
        <w:autoSpaceDN/>
        <w:bidi w:val="0"/>
        <w:adjustRightInd w:val="0"/>
        <w:snapToGrid w:val="0"/>
        <w:spacing w:line="576" w:lineRule="exact"/>
        <w:ind w:firstLine="720"/>
        <w:textAlignment w:val="auto"/>
        <w:rPr>
          <w:rFonts w:hint="default" w:ascii="Times New Roman" w:hAnsi="Times New Roman" w:eastAsia="方正黑体_GBK" w:cs="Times New Roman"/>
          <w:sz w:val="32"/>
          <w:szCs w:val="32"/>
        </w:rPr>
      </w:pPr>
      <w:r>
        <w:rPr>
          <w:rFonts w:hint="default" w:ascii="Times New Roman" w:hAnsi="Times New Roman" w:eastAsia="方正黑体_GBK" w:cs="Times New Roman"/>
          <w:sz w:val="32"/>
          <w:szCs w:val="32"/>
        </w:rPr>
        <w:t>二、项目资金申报及使用情况</w:t>
      </w:r>
    </w:p>
    <w:p w14:paraId="5DA10478">
      <w:pPr>
        <w:keepNext w:val="0"/>
        <w:keepLines w:val="0"/>
        <w:pageBreakBefore w:val="0"/>
        <w:widowControl w:val="0"/>
        <w:kinsoku/>
        <w:wordWrap/>
        <w:overflowPunct/>
        <w:topLinePunct w:val="0"/>
        <w:autoSpaceDE/>
        <w:autoSpaceDN/>
        <w:bidi w:val="0"/>
        <w:adjustRightInd w:val="0"/>
        <w:snapToGrid w:val="0"/>
        <w:spacing w:line="576" w:lineRule="exact"/>
        <w:ind w:firstLine="720"/>
        <w:textAlignment w:val="auto"/>
        <w:rPr>
          <w:rFonts w:hint="default" w:ascii="Times New Roman" w:hAnsi="Times New Roman" w:eastAsia="方正楷体_GBK" w:cs="Times New Roman"/>
          <w:b/>
          <w:bCs/>
          <w:sz w:val="32"/>
          <w:szCs w:val="32"/>
          <w:lang w:val="zh-CN"/>
        </w:rPr>
      </w:pPr>
      <w:r>
        <w:rPr>
          <w:rFonts w:hint="default" w:ascii="Times New Roman" w:hAnsi="Times New Roman" w:eastAsia="方正楷体_GBK" w:cs="Times New Roman"/>
          <w:b/>
          <w:bCs/>
          <w:sz w:val="32"/>
          <w:szCs w:val="32"/>
          <w:lang w:val="zh-CN"/>
        </w:rPr>
        <w:t>（一）项目资金申报及批复情况。</w:t>
      </w:r>
    </w:p>
    <w:p w14:paraId="406CC1D5">
      <w:pPr>
        <w:keepNext w:val="0"/>
        <w:keepLines w:val="0"/>
        <w:pageBreakBefore w:val="0"/>
        <w:widowControl w:val="0"/>
        <w:kinsoku/>
        <w:wordWrap/>
        <w:overflowPunct/>
        <w:topLinePunct w:val="0"/>
        <w:autoSpaceDE/>
        <w:autoSpaceDN/>
        <w:bidi w:val="0"/>
        <w:adjustRightInd w:val="0"/>
        <w:snapToGrid w:val="0"/>
        <w:spacing w:line="576" w:lineRule="exact"/>
        <w:ind w:firstLine="720"/>
        <w:textAlignment w:val="auto"/>
        <w:rPr>
          <w:rFonts w:hint="eastAsia" w:ascii="CESI仿宋-GB2312" w:hAnsi="CESI仿宋-GB2312" w:eastAsia="CESI仿宋-GB2312" w:cs="CESI仿宋-GB2312"/>
          <w:sz w:val="32"/>
          <w:szCs w:val="32"/>
          <w:lang w:val="zh-CN"/>
        </w:rPr>
      </w:pPr>
      <w:r>
        <w:rPr>
          <w:rFonts w:hint="eastAsia" w:ascii="CESI仿宋-GB2312" w:hAnsi="CESI仿宋-GB2312" w:eastAsia="CESI仿宋-GB2312" w:cs="CESI仿宋-GB2312"/>
          <w:sz w:val="32"/>
          <w:szCs w:val="32"/>
          <w:lang w:val="zh-CN"/>
        </w:rPr>
        <w:t>说明项目资金申报、批复及预算调整等程序的相关情况。</w:t>
      </w:r>
    </w:p>
    <w:p w14:paraId="04D5A25B">
      <w:pPr>
        <w:keepNext w:val="0"/>
        <w:keepLines w:val="0"/>
        <w:pageBreakBefore w:val="0"/>
        <w:widowControl w:val="0"/>
        <w:numPr>
          <w:ilvl w:val="0"/>
          <w:numId w:val="0"/>
        </w:numPr>
        <w:kinsoku/>
        <w:wordWrap/>
        <w:overflowPunct/>
        <w:topLinePunct w:val="0"/>
        <w:autoSpaceDE/>
        <w:autoSpaceDN/>
        <w:bidi w:val="0"/>
        <w:adjustRightInd w:val="0"/>
        <w:snapToGrid w:val="0"/>
        <w:spacing w:line="576" w:lineRule="exact"/>
        <w:ind w:firstLine="640" w:firstLineChars="200"/>
        <w:jc w:val="both"/>
        <w:textAlignment w:val="auto"/>
        <w:rPr>
          <w:rFonts w:hint="eastAsia" w:ascii="CESI仿宋-GB2312" w:hAnsi="CESI仿宋-GB2312" w:eastAsia="CESI仿宋-GB2312" w:cs="CESI仿宋-GB2312"/>
          <w:sz w:val="32"/>
          <w:szCs w:val="32"/>
          <w:lang w:val="en-US" w:eastAsia="zh-CN"/>
        </w:rPr>
      </w:pPr>
      <w:r>
        <w:rPr>
          <w:rFonts w:hint="eastAsia" w:ascii="CESI仿宋-GB2312" w:hAnsi="CESI仿宋-GB2312" w:eastAsia="CESI仿宋-GB2312" w:cs="CESI仿宋-GB2312"/>
          <w:sz w:val="32"/>
          <w:szCs w:val="32"/>
          <w:lang w:val="en-US" w:eastAsia="zh-CN"/>
        </w:rPr>
        <w:t>2024年度，共计下达项目资金359.93万元，涉及基层医疗卫生机构资金146.26万元，村卫生室资金213.67万元，其中：中央资金228.30万元，省级资金131.63万元。截至</w:t>
      </w:r>
      <w:bookmarkStart w:id="108" w:name="_GoBack"/>
      <w:bookmarkEnd w:id="108"/>
      <w:r>
        <w:rPr>
          <w:rFonts w:hint="eastAsia" w:ascii="CESI仿宋-GB2312" w:hAnsi="CESI仿宋-GB2312" w:eastAsia="CESI仿宋-GB2312" w:cs="CESI仿宋-GB2312"/>
          <w:sz w:val="32"/>
          <w:szCs w:val="32"/>
          <w:lang w:val="en-US" w:eastAsia="zh-CN"/>
        </w:rPr>
        <w:t>2024年12月底，已全部完成项目资金的拨付。</w:t>
      </w:r>
    </w:p>
    <w:p w14:paraId="4A5E8E84">
      <w:pPr>
        <w:keepNext w:val="0"/>
        <w:keepLines w:val="0"/>
        <w:pageBreakBefore w:val="0"/>
        <w:widowControl w:val="0"/>
        <w:kinsoku/>
        <w:wordWrap/>
        <w:overflowPunct/>
        <w:topLinePunct w:val="0"/>
        <w:autoSpaceDE/>
        <w:autoSpaceDN/>
        <w:bidi w:val="0"/>
        <w:adjustRightInd w:val="0"/>
        <w:snapToGrid w:val="0"/>
        <w:spacing w:line="576" w:lineRule="exact"/>
        <w:ind w:firstLine="720"/>
        <w:textAlignment w:val="auto"/>
        <w:rPr>
          <w:rFonts w:hint="default" w:ascii="Times New Roman" w:hAnsi="Times New Roman" w:eastAsia="方正楷体_GBK" w:cs="Times New Roman"/>
          <w:b/>
          <w:bCs/>
          <w:sz w:val="32"/>
          <w:szCs w:val="32"/>
          <w:lang w:val="zh-CN"/>
        </w:rPr>
      </w:pPr>
      <w:r>
        <w:rPr>
          <w:rFonts w:hint="default" w:ascii="Times New Roman" w:hAnsi="Times New Roman" w:eastAsia="方正楷体_GBK" w:cs="Times New Roman"/>
          <w:b/>
          <w:bCs/>
          <w:sz w:val="32"/>
          <w:szCs w:val="32"/>
          <w:lang w:val="zh-CN"/>
        </w:rPr>
        <w:t>（二）资金计划、到位及使用情况（可用表格形式反映）。</w:t>
      </w:r>
    </w:p>
    <w:p w14:paraId="208F4B5B">
      <w:pPr>
        <w:keepNext w:val="0"/>
        <w:keepLines w:val="0"/>
        <w:pageBreakBefore w:val="0"/>
        <w:widowControl w:val="0"/>
        <w:kinsoku/>
        <w:wordWrap/>
        <w:overflowPunct/>
        <w:topLinePunct w:val="0"/>
        <w:autoSpaceDE/>
        <w:autoSpaceDN/>
        <w:bidi w:val="0"/>
        <w:adjustRightInd w:val="0"/>
        <w:snapToGrid w:val="0"/>
        <w:spacing w:line="576" w:lineRule="exact"/>
        <w:ind w:firstLine="720"/>
        <w:textAlignment w:val="auto"/>
        <w:rPr>
          <w:rFonts w:hint="eastAsia" w:ascii="CESI仿宋-GB2312" w:hAnsi="CESI仿宋-GB2312" w:eastAsia="CESI仿宋-GB2312" w:cs="CESI仿宋-GB2312"/>
          <w:sz w:val="32"/>
          <w:szCs w:val="32"/>
          <w:lang w:val="en-US" w:eastAsia="zh-CN"/>
        </w:rPr>
      </w:pPr>
      <w:r>
        <w:rPr>
          <w:rFonts w:hint="default" w:ascii="Times New Roman" w:hAnsi="Times New Roman" w:eastAsia="方正仿宋_GBK" w:cs="Times New Roman"/>
          <w:b/>
          <w:sz w:val="32"/>
          <w:szCs w:val="32"/>
          <w:lang w:val="zh-CN"/>
        </w:rPr>
        <w:t>1.资金计划。</w:t>
      </w:r>
      <w:r>
        <w:rPr>
          <w:rFonts w:hint="eastAsia" w:ascii="CESI仿宋-GB2312" w:hAnsi="CESI仿宋-GB2312" w:eastAsia="CESI仿宋-GB2312" w:cs="CESI仿宋-GB2312"/>
          <w:sz w:val="32"/>
          <w:szCs w:val="32"/>
          <w:lang w:eastAsia="zh-CN"/>
        </w:rPr>
        <w:t>上级共下达项目资金</w:t>
      </w:r>
      <w:r>
        <w:rPr>
          <w:rFonts w:hint="eastAsia" w:ascii="CESI仿宋-GB2312" w:hAnsi="CESI仿宋-GB2312" w:eastAsia="CESI仿宋-GB2312" w:cs="CESI仿宋-GB2312"/>
          <w:sz w:val="32"/>
          <w:szCs w:val="32"/>
          <w:lang w:val="en-US" w:eastAsia="zh-CN"/>
        </w:rPr>
        <w:t>359.93万元，全部用于基层医疗卫生机构和村卫生室开展基本药物制度。</w:t>
      </w:r>
    </w:p>
    <w:p w14:paraId="6FD1072E">
      <w:pPr>
        <w:keepNext w:val="0"/>
        <w:keepLines w:val="0"/>
        <w:pageBreakBefore w:val="0"/>
        <w:widowControl w:val="0"/>
        <w:kinsoku/>
        <w:wordWrap/>
        <w:overflowPunct/>
        <w:topLinePunct w:val="0"/>
        <w:autoSpaceDE/>
        <w:autoSpaceDN/>
        <w:bidi w:val="0"/>
        <w:adjustRightInd w:val="0"/>
        <w:snapToGrid w:val="0"/>
        <w:spacing w:line="576" w:lineRule="exact"/>
        <w:ind w:firstLine="720"/>
        <w:textAlignment w:val="auto"/>
        <w:rPr>
          <w:rFonts w:hint="default" w:ascii="Times New Roman" w:hAnsi="Times New Roman" w:eastAsia="方正仿宋_GBK" w:cs="Times New Roman"/>
          <w:b/>
          <w:sz w:val="32"/>
          <w:szCs w:val="32"/>
          <w:lang w:val="zh-CN"/>
        </w:rPr>
      </w:pPr>
      <w:r>
        <w:rPr>
          <w:rFonts w:hint="default" w:ascii="Times New Roman" w:hAnsi="Times New Roman" w:eastAsia="方正仿宋_GBK" w:cs="Times New Roman"/>
          <w:b/>
          <w:sz w:val="32"/>
          <w:szCs w:val="32"/>
          <w:lang w:val="zh-CN"/>
        </w:rPr>
        <w:t>2.资金到位。</w:t>
      </w:r>
    </w:p>
    <w:p w14:paraId="41359F51">
      <w:pPr>
        <w:keepNext w:val="0"/>
        <w:keepLines w:val="0"/>
        <w:pageBreakBefore w:val="0"/>
        <w:widowControl w:val="0"/>
        <w:tabs>
          <w:tab w:val="left" w:pos="5874"/>
        </w:tabs>
        <w:kinsoku/>
        <w:wordWrap/>
        <w:overflowPunct/>
        <w:topLinePunct w:val="0"/>
        <w:autoSpaceDE/>
        <w:autoSpaceDN/>
        <w:bidi w:val="0"/>
        <w:spacing w:line="576" w:lineRule="exact"/>
        <w:ind w:firstLine="640" w:firstLineChars="200"/>
        <w:jc w:val="left"/>
        <w:textAlignment w:val="auto"/>
        <w:rPr>
          <w:rFonts w:hint="eastAsia" w:ascii="CESI仿宋-GB2312" w:hAnsi="CESI仿宋-GB2312" w:eastAsia="CESI仿宋-GB2312" w:cs="CESI仿宋-GB2312"/>
          <w:sz w:val="32"/>
          <w:szCs w:val="32"/>
          <w:lang w:val="en-US" w:eastAsia="zh-CN"/>
        </w:rPr>
      </w:pPr>
      <w:r>
        <w:rPr>
          <w:rFonts w:hint="default" w:ascii="Times New Roman" w:hAnsi="Times New Roman" w:eastAsia="方正仿宋_GBK" w:cs="Times New Roman"/>
          <w:sz w:val="32"/>
          <w:szCs w:val="32"/>
          <w:lang w:val="en-US" w:eastAsia="zh-CN"/>
        </w:rPr>
        <w:t>2</w:t>
      </w:r>
      <w:r>
        <w:rPr>
          <w:rFonts w:hint="eastAsia" w:ascii="CESI仿宋-GB2312" w:hAnsi="CESI仿宋-GB2312" w:eastAsia="CESI仿宋-GB2312" w:cs="CESI仿宋-GB2312"/>
          <w:sz w:val="32"/>
          <w:szCs w:val="32"/>
          <w:lang w:val="en-US" w:eastAsia="zh-CN"/>
        </w:rPr>
        <w:t>023年12月29日，印发《四川省财政厅 四川省卫生健康委员会关于提前下达2024年基本药物制度中央和省级补助资金的通知》（川财社〔2023〕175号）文件，拨付项目中央和省级资金322.81万元，本年度提前批下达项目资金：下达基层医疗卫生机构合计134.72万元，下达村卫生室合计189.18万元，合计323.90万元，其中中央资金201.49万元，省级资金122.41万元。</w:t>
      </w:r>
    </w:p>
    <w:p w14:paraId="0FA87DB2">
      <w:pPr>
        <w:keepNext w:val="0"/>
        <w:keepLines w:val="0"/>
        <w:pageBreakBefore w:val="0"/>
        <w:widowControl w:val="0"/>
        <w:tabs>
          <w:tab w:val="left" w:pos="5874"/>
        </w:tabs>
        <w:kinsoku/>
        <w:wordWrap/>
        <w:overflowPunct/>
        <w:topLinePunct w:val="0"/>
        <w:autoSpaceDE/>
        <w:autoSpaceDN/>
        <w:bidi w:val="0"/>
        <w:adjustRightInd/>
        <w:snapToGrid/>
        <w:spacing w:line="576" w:lineRule="exact"/>
        <w:ind w:firstLine="640" w:firstLineChars="200"/>
        <w:jc w:val="left"/>
        <w:textAlignment w:val="auto"/>
        <w:rPr>
          <w:rFonts w:hint="eastAsia" w:ascii="CESI仿宋-GB2312" w:hAnsi="CESI仿宋-GB2312" w:eastAsia="CESI仿宋-GB2312" w:cs="CESI仿宋-GB2312"/>
          <w:sz w:val="32"/>
          <w:szCs w:val="32"/>
          <w:lang w:val="en-US" w:eastAsia="zh-CN"/>
        </w:rPr>
      </w:pPr>
      <w:r>
        <w:rPr>
          <w:rFonts w:hint="eastAsia" w:ascii="CESI仿宋-GB2312" w:hAnsi="CESI仿宋-GB2312" w:eastAsia="CESI仿宋-GB2312" w:cs="CESI仿宋-GB2312"/>
          <w:sz w:val="32"/>
          <w:szCs w:val="32"/>
          <w:lang w:val="en-US" w:eastAsia="zh-CN"/>
        </w:rPr>
        <w:t>2024年8月1日，印发《四川省财政厅 四川省卫生健康委员会关于下达2024年基本药物制度中央和省级补助资金的通知》（川财社〔2024〕52号）文件，本次下达项目资金：下达基层医疗卫生机构中央资金11.54万元；下达村卫生室合计24.49万元，其中：中央资金15.27万元，省级9.22万元。总计中央资金26.81万元，省级资金9.22万元，合计36.03万元。</w:t>
      </w:r>
    </w:p>
    <w:p w14:paraId="65064D9B">
      <w:pPr>
        <w:keepNext w:val="0"/>
        <w:keepLines w:val="0"/>
        <w:pageBreakBefore w:val="0"/>
        <w:widowControl w:val="0"/>
        <w:kinsoku/>
        <w:wordWrap/>
        <w:overflowPunct/>
        <w:topLinePunct w:val="0"/>
        <w:autoSpaceDE/>
        <w:autoSpaceDN/>
        <w:bidi w:val="0"/>
        <w:spacing w:line="576" w:lineRule="exact"/>
        <w:ind w:firstLine="643" w:firstLineChars="200"/>
        <w:textAlignment w:val="auto"/>
        <w:rPr>
          <w:rFonts w:hint="eastAsia" w:ascii="CESI仿宋-GB2312" w:hAnsi="CESI仿宋-GB2312" w:eastAsia="CESI仿宋-GB2312" w:cs="CESI仿宋-GB2312"/>
          <w:color w:val="000000"/>
          <w:sz w:val="32"/>
          <w:szCs w:val="32"/>
          <w:shd w:val="clear" w:color="auto" w:fill="FFFFFF"/>
        </w:rPr>
      </w:pPr>
      <w:r>
        <w:rPr>
          <w:rFonts w:hint="default" w:ascii="Times New Roman" w:hAnsi="Times New Roman" w:eastAsia="方正仿宋_GBK" w:cs="Times New Roman"/>
          <w:b/>
          <w:sz w:val="32"/>
          <w:szCs w:val="32"/>
          <w:lang w:val="zh-CN"/>
        </w:rPr>
        <w:t>3</w:t>
      </w:r>
      <w:r>
        <w:rPr>
          <w:rFonts w:hint="default" w:ascii="Times New Roman" w:hAnsi="Times New Roman" w:eastAsia="方正仿宋_GBK" w:cs="Times New Roman"/>
          <w:b/>
          <w:sz w:val="32"/>
          <w:szCs w:val="32"/>
          <w:lang w:val="en-US" w:eastAsia="zh-CN"/>
        </w:rPr>
        <w:t>.</w:t>
      </w:r>
      <w:r>
        <w:rPr>
          <w:rFonts w:hint="default" w:ascii="Times New Roman" w:hAnsi="Times New Roman" w:eastAsia="方正仿宋_GBK" w:cs="Times New Roman"/>
          <w:b/>
          <w:sz w:val="32"/>
          <w:szCs w:val="32"/>
          <w:lang w:val="zh-CN"/>
        </w:rPr>
        <w:t>资金使用。</w:t>
      </w:r>
      <w:r>
        <w:rPr>
          <w:rFonts w:hint="eastAsia" w:ascii="CESI仿宋-GB2312" w:hAnsi="CESI仿宋-GB2312" w:eastAsia="CESI仿宋-GB2312" w:cs="CESI仿宋-GB2312"/>
          <w:color w:val="000000"/>
          <w:sz w:val="32"/>
          <w:szCs w:val="32"/>
          <w:shd w:val="clear" w:color="auto" w:fill="FFFFFF"/>
        </w:rPr>
        <w:t>202</w:t>
      </w:r>
      <w:r>
        <w:rPr>
          <w:rFonts w:hint="eastAsia" w:ascii="CESI仿宋-GB2312" w:hAnsi="CESI仿宋-GB2312" w:eastAsia="CESI仿宋-GB2312" w:cs="CESI仿宋-GB2312"/>
          <w:color w:val="000000"/>
          <w:sz w:val="32"/>
          <w:szCs w:val="32"/>
          <w:shd w:val="clear" w:color="auto" w:fill="FFFFFF"/>
          <w:lang w:val="en-US" w:eastAsia="zh-CN"/>
        </w:rPr>
        <w:t>4</w:t>
      </w:r>
      <w:r>
        <w:rPr>
          <w:rFonts w:hint="eastAsia" w:ascii="CESI仿宋-GB2312" w:hAnsi="CESI仿宋-GB2312" w:eastAsia="CESI仿宋-GB2312" w:cs="CESI仿宋-GB2312"/>
          <w:color w:val="000000"/>
          <w:sz w:val="32"/>
          <w:szCs w:val="32"/>
          <w:shd w:val="clear" w:color="auto" w:fill="FFFFFF"/>
        </w:rPr>
        <w:t>年基本药物补助资金</w:t>
      </w:r>
      <w:r>
        <w:rPr>
          <w:rFonts w:hint="eastAsia" w:ascii="CESI仿宋-GB2312" w:hAnsi="CESI仿宋-GB2312" w:eastAsia="CESI仿宋-GB2312" w:cs="CESI仿宋-GB2312"/>
          <w:sz w:val="32"/>
          <w:szCs w:val="32"/>
          <w:lang w:val="en-US" w:eastAsia="zh-CN"/>
        </w:rPr>
        <w:t>359.93</w:t>
      </w:r>
      <w:r>
        <w:rPr>
          <w:rFonts w:hint="eastAsia" w:ascii="CESI仿宋-GB2312" w:hAnsi="CESI仿宋-GB2312" w:eastAsia="CESI仿宋-GB2312" w:cs="CESI仿宋-GB2312"/>
          <w:color w:val="000000"/>
          <w:sz w:val="32"/>
          <w:szCs w:val="32"/>
          <w:shd w:val="clear" w:color="auto" w:fill="FFFFFF"/>
        </w:rPr>
        <w:t>万元，按照客观公正，民主公开，分级考核，合理规划，科学论证，强化管理，注重实效，讲求绩效，量效挂钩的原则加强国家基本药物制度补助资金管理，提高资金使用效益，确保国家基本药物制度的有效实施，推进基层医疗卫生机构综合改革，转变医疗卫生服务模式，有效控制不合理医疗费用，增强城乡居民就诊看病的“获得感”，鼓励基层医疗机构抓实基本医疗服务。</w:t>
      </w:r>
    </w:p>
    <w:p w14:paraId="66150EB1">
      <w:pPr>
        <w:keepNext w:val="0"/>
        <w:keepLines w:val="0"/>
        <w:pageBreakBefore w:val="0"/>
        <w:widowControl w:val="0"/>
        <w:kinsoku/>
        <w:wordWrap/>
        <w:overflowPunct/>
        <w:topLinePunct w:val="0"/>
        <w:autoSpaceDE/>
        <w:autoSpaceDN/>
        <w:bidi w:val="0"/>
        <w:adjustRightInd w:val="0"/>
        <w:snapToGrid w:val="0"/>
        <w:spacing w:line="576" w:lineRule="exact"/>
        <w:ind w:firstLine="720"/>
        <w:textAlignment w:val="auto"/>
        <w:rPr>
          <w:rFonts w:hint="default" w:ascii="Times New Roman" w:hAnsi="Times New Roman" w:eastAsia="方正楷体_GBK" w:cs="Times New Roman"/>
          <w:b/>
          <w:bCs/>
          <w:sz w:val="32"/>
          <w:szCs w:val="32"/>
          <w:lang w:val="zh-CN"/>
        </w:rPr>
      </w:pPr>
      <w:r>
        <w:rPr>
          <w:rFonts w:hint="default" w:ascii="Times New Roman" w:hAnsi="Times New Roman" w:eastAsia="方正楷体_GBK" w:cs="Times New Roman"/>
          <w:b/>
          <w:bCs/>
          <w:sz w:val="32"/>
          <w:szCs w:val="32"/>
          <w:lang w:val="zh-CN"/>
        </w:rPr>
        <w:t>（三）项目财务管理情况。</w:t>
      </w:r>
    </w:p>
    <w:p w14:paraId="13689FAA">
      <w:pPr>
        <w:keepNext w:val="0"/>
        <w:keepLines w:val="0"/>
        <w:pageBreakBefore w:val="0"/>
        <w:widowControl w:val="0"/>
        <w:kinsoku/>
        <w:wordWrap/>
        <w:overflowPunct/>
        <w:topLinePunct w:val="0"/>
        <w:autoSpaceDE/>
        <w:autoSpaceDN/>
        <w:bidi w:val="0"/>
        <w:adjustRightInd w:val="0"/>
        <w:snapToGrid w:val="0"/>
        <w:spacing w:line="576" w:lineRule="exact"/>
        <w:ind w:firstLine="720"/>
        <w:textAlignment w:val="auto"/>
        <w:rPr>
          <w:rFonts w:hint="default" w:ascii="Times New Roman" w:hAnsi="Times New Roman" w:eastAsia="方正黑体_GBK" w:cs="Times New Roman"/>
          <w:lang w:eastAsia="zh-CN"/>
        </w:rPr>
      </w:pPr>
      <w:r>
        <w:rPr>
          <w:rFonts w:hint="eastAsia" w:ascii="CESI仿宋-GB2312" w:hAnsi="CESI仿宋-GB2312" w:eastAsia="CESI仿宋-GB2312" w:cs="CESI仿宋-GB2312"/>
          <w:color w:val="000000"/>
          <w:sz w:val="32"/>
          <w:szCs w:val="32"/>
          <w:shd w:val="clear" w:color="auto" w:fill="FFFFFF"/>
        </w:rPr>
        <w:t>县财政局、县卫生健康局及我县相关基层医疗机构严格按照全面实施预算绩效管理的要求，强化绩效目标管理，做好本地区补助资金监督检查和绩效评价工作，并加强结果应用，确保提高补助资金配置效率和使用效益。县卫生健康</w:t>
      </w:r>
      <w:r>
        <w:rPr>
          <w:rFonts w:hint="eastAsia" w:ascii="CESI仿宋-GB2312" w:hAnsi="CESI仿宋-GB2312" w:eastAsia="CESI仿宋-GB2312" w:cs="CESI仿宋-GB2312"/>
          <w:color w:val="000000"/>
          <w:sz w:val="32"/>
          <w:szCs w:val="32"/>
          <w:shd w:val="clear" w:color="auto" w:fill="FFFFFF"/>
          <w:lang w:eastAsia="zh-CN"/>
        </w:rPr>
        <w:t>局</w:t>
      </w:r>
      <w:r>
        <w:rPr>
          <w:rFonts w:hint="eastAsia" w:ascii="CESI仿宋-GB2312" w:hAnsi="CESI仿宋-GB2312" w:eastAsia="CESI仿宋-GB2312" w:cs="CESI仿宋-GB2312"/>
          <w:color w:val="000000"/>
          <w:sz w:val="32"/>
          <w:szCs w:val="32"/>
          <w:shd w:val="clear" w:color="auto" w:fill="FFFFFF"/>
        </w:rPr>
        <w:t>负责项目业务指导和管理，并对项目执行情况开展每年一次的绩效评价</w:t>
      </w:r>
      <w:r>
        <w:rPr>
          <w:rFonts w:hint="eastAsia" w:ascii="CESI仿宋-GB2312" w:hAnsi="CESI仿宋-GB2312" w:eastAsia="CESI仿宋-GB2312" w:cs="CESI仿宋-GB2312"/>
          <w:color w:val="000000"/>
          <w:sz w:val="32"/>
          <w:szCs w:val="32"/>
          <w:shd w:val="clear" w:color="auto" w:fill="FFFFFF"/>
          <w:lang w:eastAsia="zh-CN"/>
        </w:rPr>
        <w:t>。</w:t>
      </w:r>
    </w:p>
    <w:p w14:paraId="43817D7F">
      <w:pPr>
        <w:keepNext w:val="0"/>
        <w:keepLines w:val="0"/>
        <w:pageBreakBefore w:val="0"/>
        <w:widowControl w:val="0"/>
        <w:kinsoku/>
        <w:wordWrap/>
        <w:overflowPunct/>
        <w:topLinePunct w:val="0"/>
        <w:autoSpaceDE/>
        <w:autoSpaceDN/>
        <w:bidi w:val="0"/>
        <w:adjustRightInd w:val="0"/>
        <w:snapToGrid w:val="0"/>
        <w:spacing w:line="576" w:lineRule="exact"/>
        <w:ind w:firstLine="720"/>
        <w:textAlignment w:val="auto"/>
        <w:rPr>
          <w:rFonts w:hint="default" w:ascii="Times New Roman" w:hAnsi="Times New Roman" w:eastAsia="方正黑体_GBK" w:cs="Times New Roman"/>
        </w:rPr>
      </w:pPr>
      <w:r>
        <w:rPr>
          <w:rFonts w:hint="default" w:ascii="Times New Roman" w:hAnsi="Times New Roman" w:eastAsia="方正黑体_GBK" w:cs="Times New Roman"/>
          <w:sz w:val="32"/>
          <w:szCs w:val="32"/>
        </w:rPr>
        <w:t>三、项目实施及管理情况</w:t>
      </w:r>
    </w:p>
    <w:p w14:paraId="1D580694">
      <w:pPr>
        <w:keepNext w:val="0"/>
        <w:keepLines w:val="0"/>
        <w:pageBreakBefore w:val="0"/>
        <w:widowControl w:val="0"/>
        <w:kinsoku/>
        <w:wordWrap/>
        <w:overflowPunct/>
        <w:topLinePunct w:val="0"/>
        <w:autoSpaceDE/>
        <w:autoSpaceDN/>
        <w:bidi w:val="0"/>
        <w:adjustRightInd w:val="0"/>
        <w:snapToGrid w:val="0"/>
        <w:spacing w:line="576" w:lineRule="exact"/>
        <w:ind w:firstLine="720"/>
        <w:textAlignment w:val="auto"/>
        <w:rPr>
          <w:rFonts w:hint="default" w:ascii="Times New Roman" w:hAnsi="Times New Roman" w:eastAsia="方正仿宋_GBK" w:cs="Times New Roman"/>
          <w:lang w:val="zh-CN"/>
        </w:rPr>
      </w:pPr>
      <w:r>
        <w:rPr>
          <w:rFonts w:hint="default" w:ascii="Times New Roman" w:hAnsi="Times New Roman" w:eastAsia="方正仿宋_GBK" w:cs="Times New Roman"/>
          <w:sz w:val="32"/>
          <w:szCs w:val="32"/>
          <w:lang w:val="zh-CN"/>
        </w:rPr>
        <w:t>结合项目组织实施管理办法，重点围绕以下内容进行分析评价，并对自评中发现的问题分析说明</w:t>
      </w:r>
      <w:r>
        <w:rPr>
          <w:rFonts w:hint="default" w:ascii="Times New Roman" w:hAnsi="Times New Roman" w:eastAsia="方正仿宋_GBK" w:cs="Times New Roman"/>
          <w:lang w:val="zh-CN"/>
        </w:rPr>
        <w:t>。</w:t>
      </w:r>
    </w:p>
    <w:p w14:paraId="02B9D8D0">
      <w:pPr>
        <w:keepNext w:val="0"/>
        <w:keepLines w:val="0"/>
        <w:pageBreakBefore w:val="0"/>
        <w:widowControl w:val="0"/>
        <w:kinsoku/>
        <w:wordWrap/>
        <w:overflowPunct/>
        <w:topLinePunct w:val="0"/>
        <w:autoSpaceDE/>
        <w:autoSpaceDN/>
        <w:bidi w:val="0"/>
        <w:adjustRightInd w:val="0"/>
        <w:snapToGrid w:val="0"/>
        <w:spacing w:line="576" w:lineRule="exact"/>
        <w:ind w:firstLine="720"/>
        <w:textAlignment w:val="auto"/>
        <w:rPr>
          <w:rFonts w:hint="default" w:ascii="Times New Roman" w:hAnsi="Times New Roman" w:eastAsia="方正楷体_GBK" w:cs="Times New Roman"/>
          <w:b/>
          <w:bCs/>
          <w:lang w:val="zh-CN"/>
        </w:rPr>
      </w:pPr>
      <w:r>
        <w:rPr>
          <w:rFonts w:hint="default" w:ascii="Times New Roman" w:hAnsi="Times New Roman" w:eastAsia="方正楷体_GBK" w:cs="Times New Roman"/>
          <w:b/>
          <w:bCs/>
          <w:sz w:val="32"/>
          <w:szCs w:val="32"/>
          <w:lang w:val="zh-CN"/>
        </w:rPr>
        <w:t>（一）项目组织架构及实施流程。</w:t>
      </w:r>
    </w:p>
    <w:p w14:paraId="63B6032E">
      <w:pPr>
        <w:keepNext w:val="0"/>
        <w:keepLines w:val="0"/>
        <w:pageBreakBefore w:val="0"/>
        <w:widowControl w:val="0"/>
        <w:kinsoku/>
        <w:wordWrap/>
        <w:overflowPunct/>
        <w:topLinePunct w:val="0"/>
        <w:autoSpaceDE/>
        <w:autoSpaceDN/>
        <w:bidi w:val="0"/>
        <w:spacing w:line="576" w:lineRule="exact"/>
        <w:ind w:firstLine="800" w:firstLineChars="250"/>
        <w:textAlignment w:val="auto"/>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通过上述分配原则和因素，</w:t>
      </w:r>
      <w:r>
        <w:rPr>
          <w:rFonts w:hint="eastAsia" w:ascii="CESI仿宋-GB2312" w:hAnsi="CESI仿宋-GB2312" w:eastAsia="CESI仿宋-GB2312" w:cs="CESI仿宋-GB2312"/>
          <w:sz w:val="32"/>
          <w:szCs w:val="32"/>
          <w:lang w:eastAsia="zh-CN"/>
        </w:rPr>
        <w:t>形成分配方案提交局党组审议，</w:t>
      </w:r>
      <w:r>
        <w:rPr>
          <w:rFonts w:hint="eastAsia" w:ascii="CESI仿宋-GB2312" w:hAnsi="CESI仿宋-GB2312" w:eastAsia="CESI仿宋-GB2312" w:cs="CESI仿宋-GB2312"/>
          <w:sz w:val="32"/>
          <w:szCs w:val="32"/>
        </w:rPr>
        <w:t>由</w:t>
      </w:r>
      <w:r>
        <w:rPr>
          <w:rFonts w:hint="eastAsia" w:ascii="CESI仿宋-GB2312" w:hAnsi="CESI仿宋-GB2312" w:eastAsia="CESI仿宋-GB2312" w:cs="CESI仿宋-GB2312"/>
          <w:sz w:val="32"/>
          <w:szCs w:val="32"/>
          <w:lang w:eastAsia="zh-CN"/>
        </w:rPr>
        <w:t>县</w:t>
      </w:r>
      <w:r>
        <w:rPr>
          <w:rFonts w:hint="eastAsia" w:ascii="CESI仿宋-GB2312" w:hAnsi="CESI仿宋-GB2312" w:eastAsia="CESI仿宋-GB2312" w:cs="CESI仿宋-GB2312"/>
          <w:sz w:val="32"/>
          <w:szCs w:val="32"/>
        </w:rPr>
        <w:t>卫生健康局党</w:t>
      </w:r>
      <w:r>
        <w:rPr>
          <w:rFonts w:hint="eastAsia" w:ascii="CESI仿宋-GB2312" w:hAnsi="CESI仿宋-GB2312" w:eastAsia="CESI仿宋-GB2312" w:cs="CESI仿宋-GB2312"/>
          <w:sz w:val="32"/>
          <w:szCs w:val="32"/>
          <w:lang w:eastAsia="zh-CN"/>
        </w:rPr>
        <w:t>组</w:t>
      </w:r>
      <w:r>
        <w:rPr>
          <w:rFonts w:hint="eastAsia" w:ascii="CESI仿宋-GB2312" w:hAnsi="CESI仿宋-GB2312" w:eastAsia="CESI仿宋-GB2312" w:cs="CESI仿宋-GB2312"/>
          <w:sz w:val="32"/>
          <w:szCs w:val="32"/>
        </w:rPr>
        <w:t>研究决定后</w:t>
      </w:r>
      <w:r>
        <w:rPr>
          <w:rFonts w:hint="eastAsia" w:ascii="CESI仿宋-GB2312" w:hAnsi="CESI仿宋-GB2312" w:eastAsia="CESI仿宋-GB2312" w:cs="CESI仿宋-GB2312"/>
          <w:sz w:val="32"/>
          <w:szCs w:val="32"/>
          <w:lang w:eastAsia="zh-CN"/>
        </w:rPr>
        <w:t>，</w:t>
      </w:r>
      <w:r>
        <w:rPr>
          <w:rFonts w:hint="eastAsia" w:ascii="CESI仿宋-GB2312" w:hAnsi="CESI仿宋-GB2312" w:eastAsia="CESI仿宋-GB2312" w:cs="CESI仿宋-GB2312"/>
          <w:b w:val="0"/>
          <w:bCs/>
          <w:color w:val="auto"/>
          <w:sz w:val="32"/>
          <w:szCs w:val="32"/>
          <w:lang w:val="en-US" w:eastAsia="zh-CN"/>
        </w:rPr>
        <w:t>100万以上500万以下需上县政府常务会，100万以下需县政府分管领导签字后，</w:t>
      </w:r>
      <w:r>
        <w:rPr>
          <w:rFonts w:hint="eastAsia" w:ascii="CESI仿宋-GB2312" w:hAnsi="CESI仿宋-GB2312" w:eastAsia="CESI仿宋-GB2312" w:cs="CESI仿宋-GB2312"/>
          <w:sz w:val="32"/>
          <w:szCs w:val="32"/>
        </w:rPr>
        <w:t>分配项目资金给基层医疗机构</w:t>
      </w:r>
      <w:r>
        <w:rPr>
          <w:rFonts w:hint="eastAsia" w:ascii="CESI仿宋-GB2312" w:hAnsi="CESI仿宋-GB2312" w:eastAsia="CESI仿宋-GB2312" w:cs="CESI仿宋-GB2312"/>
          <w:sz w:val="32"/>
          <w:szCs w:val="32"/>
          <w:lang w:eastAsia="zh-CN"/>
        </w:rPr>
        <w:t>和村卫生室</w:t>
      </w:r>
      <w:r>
        <w:rPr>
          <w:rFonts w:hint="eastAsia" w:ascii="CESI仿宋-GB2312" w:hAnsi="CESI仿宋-GB2312" w:eastAsia="CESI仿宋-GB2312" w:cs="CESI仿宋-GB2312"/>
          <w:sz w:val="32"/>
          <w:szCs w:val="32"/>
        </w:rPr>
        <w:t>组织实施。</w:t>
      </w:r>
    </w:p>
    <w:p w14:paraId="6F3FCC28">
      <w:pPr>
        <w:keepNext w:val="0"/>
        <w:keepLines w:val="0"/>
        <w:pageBreakBefore w:val="0"/>
        <w:widowControl w:val="0"/>
        <w:kinsoku/>
        <w:wordWrap/>
        <w:overflowPunct/>
        <w:topLinePunct w:val="0"/>
        <w:autoSpaceDE/>
        <w:autoSpaceDN/>
        <w:bidi w:val="0"/>
        <w:adjustRightInd w:val="0"/>
        <w:snapToGrid w:val="0"/>
        <w:spacing w:line="576" w:lineRule="exact"/>
        <w:ind w:firstLine="720"/>
        <w:textAlignment w:val="auto"/>
        <w:rPr>
          <w:rFonts w:hint="default" w:ascii="Times New Roman" w:hAnsi="Times New Roman" w:eastAsia="方正楷体_GBK" w:cs="Times New Roman"/>
          <w:b/>
          <w:bCs/>
          <w:sz w:val="32"/>
          <w:szCs w:val="32"/>
          <w:lang w:val="zh-CN"/>
        </w:rPr>
      </w:pPr>
      <w:r>
        <w:rPr>
          <w:rFonts w:hint="default" w:ascii="Times New Roman" w:hAnsi="Times New Roman" w:eastAsia="方正楷体_GBK" w:cs="Times New Roman"/>
          <w:b/>
          <w:bCs/>
          <w:sz w:val="32"/>
          <w:szCs w:val="32"/>
          <w:lang w:val="zh-CN"/>
        </w:rPr>
        <w:t>（二）项目管理情况。</w:t>
      </w:r>
    </w:p>
    <w:p w14:paraId="109DED5C">
      <w:pPr>
        <w:keepNext w:val="0"/>
        <w:keepLines w:val="0"/>
        <w:pageBreakBefore w:val="0"/>
        <w:widowControl w:val="0"/>
        <w:kinsoku/>
        <w:wordWrap/>
        <w:overflowPunct/>
        <w:topLinePunct w:val="0"/>
        <w:autoSpaceDE/>
        <w:autoSpaceDN/>
        <w:bidi w:val="0"/>
        <w:spacing w:line="576" w:lineRule="exact"/>
        <w:ind w:firstLine="800" w:firstLineChars="250"/>
        <w:textAlignment w:val="auto"/>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根据《四川省财政厅 四川省卫生健康委员会 四川省医疗保障局 四川省中医药管理局关于印发公共卫生等5项补助资金管理办法的通知》</w:t>
      </w:r>
      <w:r>
        <w:rPr>
          <w:rFonts w:hint="eastAsia" w:ascii="CESI仿宋-GB2312" w:hAnsi="CESI仿宋-GB2312" w:eastAsia="CESI仿宋-GB2312" w:cs="CESI仿宋-GB2312"/>
          <w:sz w:val="32"/>
          <w:szCs w:val="32"/>
          <w:lang w:eastAsia="zh-CN"/>
        </w:rPr>
        <w:t>（</w:t>
      </w:r>
      <w:r>
        <w:rPr>
          <w:rFonts w:hint="eastAsia" w:ascii="CESI仿宋-GB2312" w:hAnsi="CESI仿宋-GB2312" w:eastAsia="CESI仿宋-GB2312" w:cs="CESI仿宋-GB2312"/>
          <w:sz w:val="32"/>
          <w:szCs w:val="32"/>
        </w:rPr>
        <w:t>川财社〔20</w:t>
      </w:r>
      <w:r>
        <w:rPr>
          <w:rFonts w:hint="eastAsia" w:ascii="CESI仿宋-GB2312" w:hAnsi="CESI仿宋-GB2312" w:eastAsia="CESI仿宋-GB2312" w:cs="CESI仿宋-GB2312"/>
          <w:sz w:val="32"/>
          <w:szCs w:val="32"/>
          <w:lang w:val="en-US" w:eastAsia="zh-CN"/>
        </w:rPr>
        <w:t>22</w:t>
      </w:r>
      <w:r>
        <w:rPr>
          <w:rFonts w:hint="eastAsia" w:ascii="CESI仿宋-GB2312" w:hAnsi="CESI仿宋-GB2312" w:eastAsia="CESI仿宋-GB2312" w:cs="CESI仿宋-GB2312"/>
          <w:sz w:val="32"/>
          <w:szCs w:val="32"/>
        </w:rPr>
        <w:t>〕</w:t>
      </w:r>
      <w:r>
        <w:rPr>
          <w:rFonts w:hint="eastAsia" w:ascii="CESI仿宋-GB2312" w:hAnsi="CESI仿宋-GB2312" w:eastAsia="CESI仿宋-GB2312" w:cs="CESI仿宋-GB2312"/>
          <w:sz w:val="32"/>
          <w:szCs w:val="32"/>
          <w:lang w:val="en-US" w:eastAsia="zh-CN"/>
        </w:rPr>
        <w:t>112</w:t>
      </w:r>
      <w:r>
        <w:rPr>
          <w:rFonts w:hint="eastAsia" w:ascii="CESI仿宋-GB2312" w:hAnsi="CESI仿宋-GB2312" w:eastAsia="CESI仿宋-GB2312" w:cs="CESI仿宋-GB2312"/>
          <w:sz w:val="32"/>
          <w:szCs w:val="32"/>
        </w:rPr>
        <w:t>号</w:t>
      </w:r>
      <w:r>
        <w:rPr>
          <w:rFonts w:hint="eastAsia" w:ascii="CESI仿宋-GB2312" w:hAnsi="CESI仿宋-GB2312" w:eastAsia="CESI仿宋-GB2312" w:cs="CESI仿宋-GB2312"/>
          <w:sz w:val="32"/>
          <w:szCs w:val="32"/>
          <w:lang w:eastAsia="zh-CN"/>
        </w:rPr>
        <w:t>）</w:t>
      </w:r>
      <w:r>
        <w:rPr>
          <w:rFonts w:hint="eastAsia" w:ascii="CESI仿宋-GB2312" w:hAnsi="CESI仿宋-GB2312" w:eastAsia="CESI仿宋-GB2312" w:cs="CESI仿宋-GB2312"/>
          <w:sz w:val="32"/>
          <w:szCs w:val="32"/>
        </w:rPr>
        <w:t>中《四川省基本药物制度补助资金管理办法》严格执行项目管理。</w:t>
      </w:r>
    </w:p>
    <w:p w14:paraId="316FB1AF">
      <w:pPr>
        <w:keepNext w:val="0"/>
        <w:keepLines w:val="0"/>
        <w:pageBreakBefore w:val="0"/>
        <w:widowControl w:val="0"/>
        <w:kinsoku/>
        <w:wordWrap/>
        <w:overflowPunct/>
        <w:topLinePunct w:val="0"/>
        <w:autoSpaceDE/>
        <w:autoSpaceDN/>
        <w:bidi w:val="0"/>
        <w:adjustRightInd w:val="0"/>
        <w:snapToGrid w:val="0"/>
        <w:spacing w:line="576" w:lineRule="exact"/>
        <w:ind w:firstLine="720"/>
        <w:textAlignment w:val="auto"/>
        <w:rPr>
          <w:rFonts w:hint="default" w:ascii="Times New Roman" w:hAnsi="Times New Roman" w:eastAsia="方正楷体_GBK" w:cs="Times New Roman"/>
          <w:b/>
          <w:bCs/>
          <w:sz w:val="32"/>
          <w:szCs w:val="32"/>
          <w:lang w:val="zh-CN"/>
        </w:rPr>
      </w:pPr>
      <w:r>
        <w:rPr>
          <w:rFonts w:hint="default" w:ascii="Times New Roman" w:hAnsi="Times New Roman" w:eastAsia="方正楷体_GBK" w:cs="Times New Roman"/>
          <w:b/>
          <w:bCs/>
          <w:sz w:val="32"/>
          <w:szCs w:val="32"/>
          <w:lang w:val="zh-CN"/>
        </w:rPr>
        <w:t>（三）项目监管情况。</w:t>
      </w:r>
    </w:p>
    <w:p w14:paraId="6DD4E85F">
      <w:pPr>
        <w:keepNext w:val="0"/>
        <w:keepLines w:val="0"/>
        <w:pageBreakBefore w:val="0"/>
        <w:widowControl w:val="0"/>
        <w:kinsoku/>
        <w:wordWrap/>
        <w:overflowPunct/>
        <w:topLinePunct w:val="0"/>
        <w:autoSpaceDE/>
        <w:autoSpaceDN/>
        <w:bidi w:val="0"/>
        <w:adjustRightInd w:val="0"/>
        <w:snapToGrid w:val="0"/>
        <w:spacing w:line="576" w:lineRule="exact"/>
        <w:ind w:firstLine="640" w:firstLineChars="200"/>
        <w:textAlignment w:val="auto"/>
        <w:rPr>
          <w:rFonts w:hint="eastAsia" w:ascii="CESI仿宋-GB2312" w:hAnsi="CESI仿宋-GB2312" w:eastAsia="CESI仿宋-GB2312" w:cs="CESI仿宋-GB2312"/>
          <w:sz w:val="32"/>
          <w:szCs w:val="32"/>
          <w:lang w:val="en-US" w:eastAsia="zh-CN"/>
        </w:rPr>
      </w:pPr>
      <w:r>
        <w:rPr>
          <w:rFonts w:hint="eastAsia" w:ascii="CESI仿宋-GB2312" w:hAnsi="CESI仿宋-GB2312" w:eastAsia="CESI仿宋-GB2312" w:cs="CESI仿宋-GB2312"/>
          <w:sz w:val="32"/>
          <w:szCs w:val="32"/>
          <w:lang w:eastAsia="zh-CN"/>
        </w:rPr>
        <w:t>按照《盐边县卫生健康局关于印发基层医疗卫生机构国家基本药物制度绩效考核方案（试行）的通知》要求，县卫生健康局负责对基层医疗卫生机构进行考核，基层医疗卫生机构负责对本辖区内村卫生室进行考核，县卫生健康局按照每个乡（镇）村卫生室不低于</w:t>
      </w:r>
      <w:r>
        <w:rPr>
          <w:rFonts w:hint="eastAsia" w:ascii="CESI仿宋-GB2312" w:hAnsi="CESI仿宋-GB2312" w:eastAsia="CESI仿宋-GB2312" w:cs="CESI仿宋-GB2312"/>
          <w:sz w:val="32"/>
          <w:szCs w:val="32"/>
          <w:lang w:val="en-US" w:eastAsia="zh-CN"/>
        </w:rPr>
        <w:t>20%的比例进行抽查复核。按照每年一次的频次开展考核，考核结果与补助资金直接挂钩。</w:t>
      </w:r>
    </w:p>
    <w:p w14:paraId="7679E160">
      <w:pPr>
        <w:keepNext w:val="0"/>
        <w:keepLines w:val="0"/>
        <w:pageBreakBefore w:val="0"/>
        <w:widowControl w:val="0"/>
        <w:kinsoku/>
        <w:wordWrap/>
        <w:overflowPunct/>
        <w:topLinePunct w:val="0"/>
        <w:autoSpaceDE/>
        <w:autoSpaceDN/>
        <w:bidi w:val="0"/>
        <w:adjustRightInd w:val="0"/>
        <w:snapToGrid w:val="0"/>
        <w:spacing w:line="576" w:lineRule="exact"/>
        <w:ind w:firstLine="720"/>
        <w:textAlignment w:val="auto"/>
        <w:rPr>
          <w:rFonts w:hint="default" w:ascii="Times New Roman" w:hAnsi="Times New Roman" w:eastAsia="方正黑体_GBK" w:cs="Times New Roman"/>
          <w:sz w:val="32"/>
          <w:szCs w:val="32"/>
          <w:lang w:val="zh-CN"/>
        </w:rPr>
      </w:pPr>
      <w:r>
        <w:rPr>
          <w:rFonts w:hint="default" w:ascii="Times New Roman" w:hAnsi="Times New Roman" w:eastAsia="方正黑体_GBK" w:cs="Times New Roman"/>
          <w:sz w:val="32"/>
          <w:szCs w:val="32"/>
        </w:rPr>
        <w:t>四、项目绩效情况</w:t>
      </w:r>
      <w:r>
        <w:rPr>
          <w:rFonts w:hint="default" w:ascii="Times New Roman" w:hAnsi="Times New Roman" w:eastAsia="方正黑体_GBK" w:cs="Times New Roman"/>
          <w:sz w:val="32"/>
          <w:szCs w:val="32"/>
          <w:lang w:val="zh-CN"/>
        </w:rPr>
        <w:tab/>
      </w:r>
    </w:p>
    <w:p w14:paraId="3F74E27F">
      <w:pPr>
        <w:keepNext w:val="0"/>
        <w:keepLines w:val="0"/>
        <w:pageBreakBefore w:val="0"/>
        <w:widowControl w:val="0"/>
        <w:kinsoku/>
        <w:wordWrap/>
        <w:overflowPunct/>
        <w:topLinePunct w:val="0"/>
        <w:autoSpaceDE/>
        <w:autoSpaceDN/>
        <w:bidi w:val="0"/>
        <w:adjustRightInd w:val="0"/>
        <w:snapToGrid w:val="0"/>
        <w:spacing w:line="576" w:lineRule="exact"/>
        <w:ind w:firstLine="720"/>
        <w:textAlignment w:val="auto"/>
        <w:rPr>
          <w:rFonts w:hint="default" w:ascii="Times New Roman" w:hAnsi="Times New Roman" w:eastAsia="方正楷体_GBK" w:cs="Times New Roman"/>
          <w:b/>
          <w:bCs/>
          <w:sz w:val="32"/>
          <w:szCs w:val="32"/>
          <w:lang w:val="zh-CN"/>
        </w:rPr>
      </w:pPr>
      <w:r>
        <w:rPr>
          <w:rFonts w:hint="default" w:ascii="Times New Roman" w:hAnsi="Times New Roman" w:eastAsia="方正楷体_GBK" w:cs="Times New Roman"/>
          <w:b/>
          <w:bCs/>
          <w:sz w:val="32"/>
          <w:szCs w:val="32"/>
          <w:lang w:val="zh-CN"/>
        </w:rPr>
        <w:t>（一）项目完成情况。</w:t>
      </w:r>
    </w:p>
    <w:p w14:paraId="3C48392B">
      <w:pPr>
        <w:keepNext w:val="0"/>
        <w:keepLines w:val="0"/>
        <w:pageBreakBefore w:val="0"/>
        <w:widowControl w:val="0"/>
        <w:kinsoku/>
        <w:wordWrap/>
        <w:overflowPunct/>
        <w:topLinePunct w:val="0"/>
        <w:autoSpaceDE/>
        <w:autoSpaceDN/>
        <w:bidi w:val="0"/>
        <w:spacing w:line="576" w:lineRule="exact"/>
        <w:ind w:firstLine="640" w:firstLineChars="200"/>
        <w:textAlignment w:val="auto"/>
        <w:rPr>
          <w:rFonts w:hint="eastAsia" w:ascii="CESI仿宋-GB2312" w:hAnsi="CESI仿宋-GB2312" w:eastAsia="CESI仿宋-GB2312" w:cs="CESI仿宋-GB2312"/>
          <w:sz w:val="32"/>
          <w:szCs w:val="32"/>
          <w:lang w:val="en-US" w:eastAsia="zh-CN"/>
        </w:rPr>
      </w:pPr>
      <w:r>
        <w:rPr>
          <w:rFonts w:hint="eastAsia" w:ascii="CESI仿宋-GB2312" w:hAnsi="CESI仿宋-GB2312" w:eastAsia="CESI仿宋-GB2312" w:cs="CESI仿宋-GB2312"/>
          <w:sz w:val="32"/>
          <w:szCs w:val="32"/>
        </w:rPr>
        <w:t>202</w:t>
      </w:r>
      <w:r>
        <w:rPr>
          <w:rFonts w:hint="eastAsia" w:ascii="CESI仿宋-GB2312" w:hAnsi="CESI仿宋-GB2312" w:eastAsia="CESI仿宋-GB2312" w:cs="CESI仿宋-GB2312"/>
          <w:sz w:val="32"/>
          <w:szCs w:val="32"/>
          <w:lang w:val="en-US" w:eastAsia="zh-CN"/>
        </w:rPr>
        <w:t>4</w:t>
      </w:r>
      <w:r>
        <w:rPr>
          <w:rFonts w:hint="eastAsia" w:ascii="CESI仿宋-GB2312" w:hAnsi="CESI仿宋-GB2312" w:eastAsia="CESI仿宋-GB2312" w:cs="CESI仿宋-GB2312"/>
          <w:sz w:val="32"/>
          <w:szCs w:val="32"/>
        </w:rPr>
        <w:t>年</w:t>
      </w:r>
      <w:r>
        <w:rPr>
          <w:rFonts w:hint="eastAsia" w:ascii="CESI仿宋-GB2312" w:hAnsi="CESI仿宋-GB2312" w:eastAsia="CESI仿宋-GB2312" w:cs="CESI仿宋-GB2312"/>
          <w:sz w:val="32"/>
          <w:szCs w:val="32"/>
          <w:lang w:eastAsia="zh-CN"/>
        </w:rPr>
        <w:t>，</w:t>
      </w:r>
      <w:r>
        <w:rPr>
          <w:rFonts w:hint="eastAsia" w:ascii="CESI仿宋-GB2312" w:hAnsi="CESI仿宋-GB2312" w:eastAsia="CESI仿宋-GB2312" w:cs="CESI仿宋-GB2312"/>
          <w:sz w:val="32"/>
          <w:szCs w:val="32"/>
        </w:rPr>
        <w:t>我县兑现基本药物补助的基层医疗机构为13家</w:t>
      </w:r>
      <w:r>
        <w:rPr>
          <w:rFonts w:hint="eastAsia" w:ascii="CESI仿宋-GB2312" w:hAnsi="CESI仿宋-GB2312" w:eastAsia="CESI仿宋-GB2312" w:cs="CESI仿宋-GB2312"/>
          <w:sz w:val="32"/>
          <w:szCs w:val="32"/>
          <w:lang w:eastAsia="zh-CN"/>
        </w:rPr>
        <w:t>，</w:t>
      </w:r>
      <w:r>
        <w:rPr>
          <w:rFonts w:hint="eastAsia" w:ascii="CESI仿宋-GB2312" w:hAnsi="CESI仿宋-GB2312" w:eastAsia="CESI仿宋-GB2312" w:cs="CESI仿宋-GB2312"/>
          <w:sz w:val="32"/>
          <w:szCs w:val="32"/>
        </w:rPr>
        <w:t>100%政府办基层医疗卫生机构实施国家基本药物制度；村卫生室执行基本药物制度</w:t>
      </w:r>
      <w:r>
        <w:rPr>
          <w:rFonts w:hint="eastAsia" w:ascii="CESI仿宋-GB2312" w:hAnsi="CESI仿宋-GB2312" w:eastAsia="CESI仿宋-GB2312" w:cs="CESI仿宋-GB2312"/>
          <w:sz w:val="32"/>
          <w:szCs w:val="32"/>
          <w:lang w:val="en-US" w:eastAsia="zh-CN"/>
        </w:rPr>
        <w:t>142</w:t>
      </w:r>
      <w:r>
        <w:rPr>
          <w:rFonts w:hint="eastAsia" w:ascii="CESI仿宋-GB2312" w:hAnsi="CESI仿宋-GB2312" w:eastAsia="CESI仿宋-GB2312" w:cs="CESI仿宋-GB2312"/>
          <w:sz w:val="32"/>
          <w:szCs w:val="32"/>
        </w:rPr>
        <w:t>家，村卫生室实施国家基本药物制度覆盖率100%。</w:t>
      </w:r>
      <w:r>
        <w:rPr>
          <w:rFonts w:hint="eastAsia" w:ascii="CESI仿宋-GB2312" w:hAnsi="CESI仿宋-GB2312" w:eastAsia="CESI仿宋-GB2312" w:cs="CESI仿宋-GB2312"/>
          <w:sz w:val="32"/>
          <w:szCs w:val="32"/>
          <w:lang w:eastAsia="zh-CN"/>
        </w:rPr>
        <w:t>基层医疗卫生机构“优质服务基层行”活动开展评价机构数比例为</w:t>
      </w:r>
      <w:r>
        <w:rPr>
          <w:rFonts w:hint="eastAsia" w:ascii="CESI仿宋-GB2312" w:hAnsi="CESI仿宋-GB2312" w:eastAsia="CESI仿宋-GB2312" w:cs="CESI仿宋-GB2312"/>
          <w:sz w:val="32"/>
          <w:szCs w:val="32"/>
          <w:lang w:val="en-US" w:eastAsia="zh-CN"/>
        </w:rPr>
        <w:t>100%，达到基本标准11家，2家达到推荐标准，达标率为100%。</w:t>
      </w:r>
    </w:p>
    <w:p w14:paraId="4A7A1058">
      <w:pPr>
        <w:keepNext w:val="0"/>
        <w:keepLines w:val="0"/>
        <w:pageBreakBefore w:val="0"/>
        <w:widowControl w:val="0"/>
        <w:kinsoku/>
        <w:wordWrap/>
        <w:overflowPunct/>
        <w:topLinePunct w:val="0"/>
        <w:autoSpaceDE/>
        <w:autoSpaceDN/>
        <w:bidi w:val="0"/>
        <w:adjustRightInd w:val="0"/>
        <w:snapToGrid w:val="0"/>
        <w:spacing w:line="576" w:lineRule="exact"/>
        <w:ind w:firstLine="720"/>
        <w:textAlignment w:val="auto"/>
        <w:rPr>
          <w:rFonts w:hint="default" w:ascii="Times New Roman" w:hAnsi="Times New Roman" w:eastAsia="方正楷体_GBK" w:cs="Times New Roman"/>
          <w:b/>
          <w:bCs/>
          <w:sz w:val="32"/>
          <w:szCs w:val="32"/>
          <w:lang w:val="zh-CN"/>
        </w:rPr>
      </w:pPr>
      <w:r>
        <w:rPr>
          <w:rFonts w:hint="default" w:ascii="Times New Roman" w:hAnsi="Times New Roman" w:eastAsia="方正楷体_GBK" w:cs="Times New Roman"/>
          <w:b/>
          <w:bCs/>
          <w:sz w:val="32"/>
          <w:szCs w:val="32"/>
          <w:lang w:val="zh-CN"/>
        </w:rPr>
        <w:t>（二）项目效益情况。</w:t>
      </w:r>
    </w:p>
    <w:p w14:paraId="0B8B372E">
      <w:pPr>
        <w:keepNext w:val="0"/>
        <w:keepLines w:val="0"/>
        <w:pageBreakBefore w:val="0"/>
        <w:widowControl w:val="0"/>
        <w:kinsoku/>
        <w:wordWrap/>
        <w:overflowPunct/>
        <w:topLinePunct w:val="0"/>
        <w:autoSpaceDE/>
        <w:autoSpaceDN/>
        <w:bidi w:val="0"/>
        <w:spacing w:line="576" w:lineRule="exact"/>
        <w:ind w:firstLine="640" w:firstLineChars="200"/>
        <w:textAlignment w:val="auto"/>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通过执行基本药物制度，对乡村医生的药品采购、艰苦因素等进行综合考虑后发放补助，乡村医生的收入保持稳定，在精准扶贫工作中发挥着积极作用；执行基本药物制度补助资金用于支持基层医疗卫生机构实施国家基本药物制度、推进基层医疗卫生机构综合改革，提升人民群众的获得感，在一段时间内（中长期）国家基本药物制度将在基层持续实施。</w:t>
      </w:r>
    </w:p>
    <w:p w14:paraId="2894CC46">
      <w:pPr>
        <w:keepNext w:val="0"/>
        <w:keepLines w:val="0"/>
        <w:pageBreakBefore w:val="0"/>
        <w:widowControl w:val="0"/>
        <w:kinsoku/>
        <w:wordWrap/>
        <w:overflowPunct/>
        <w:topLinePunct w:val="0"/>
        <w:autoSpaceDE/>
        <w:autoSpaceDN/>
        <w:bidi w:val="0"/>
        <w:adjustRightInd w:val="0"/>
        <w:snapToGrid w:val="0"/>
        <w:spacing w:line="576" w:lineRule="exact"/>
        <w:ind w:firstLine="720"/>
        <w:textAlignment w:val="auto"/>
        <w:rPr>
          <w:rFonts w:hint="default" w:ascii="Times New Roman" w:hAnsi="Times New Roman" w:eastAsia="方正黑体_GBK" w:cs="Times New Roman"/>
          <w:sz w:val="32"/>
          <w:szCs w:val="32"/>
        </w:rPr>
      </w:pPr>
      <w:r>
        <w:rPr>
          <w:rFonts w:hint="default" w:ascii="Times New Roman" w:hAnsi="Times New Roman" w:eastAsia="方正黑体_GBK" w:cs="Times New Roman"/>
          <w:sz w:val="32"/>
          <w:szCs w:val="32"/>
        </w:rPr>
        <w:t>五、评价结论及建议</w:t>
      </w:r>
    </w:p>
    <w:p w14:paraId="2549787D">
      <w:pPr>
        <w:keepNext w:val="0"/>
        <w:keepLines w:val="0"/>
        <w:pageBreakBefore w:val="0"/>
        <w:widowControl w:val="0"/>
        <w:kinsoku/>
        <w:wordWrap/>
        <w:overflowPunct/>
        <w:topLinePunct w:val="0"/>
        <w:autoSpaceDE/>
        <w:autoSpaceDN/>
        <w:bidi w:val="0"/>
        <w:adjustRightInd w:val="0"/>
        <w:snapToGrid w:val="0"/>
        <w:spacing w:line="576" w:lineRule="exact"/>
        <w:ind w:firstLine="720"/>
        <w:textAlignment w:val="auto"/>
        <w:rPr>
          <w:rFonts w:hint="default" w:ascii="Times New Roman" w:hAnsi="Times New Roman" w:eastAsia="方正楷体_GBK" w:cs="Times New Roman"/>
          <w:b/>
          <w:bCs/>
          <w:sz w:val="32"/>
          <w:szCs w:val="32"/>
          <w:lang w:val="zh-CN"/>
        </w:rPr>
      </w:pPr>
      <w:r>
        <w:rPr>
          <w:rFonts w:hint="default" w:ascii="Times New Roman" w:hAnsi="Times New Roman" w:eastAsia="方正楷体_GBK" w:cs="Times New Roman"/>
          <w:b/>
          <w:bCs/>
          <w:sz w:val="32"/>
          <w:szCs w:val="32"/>
          <w:lang w:val="zh-CN"/>
        </w:rPr>
        <w:t>（一）评价结论。</w:t>
      </w:r>
    </w:p>
    <w:p w14:paraId="4FA55CB7">
      <w:pPr>
        <w:keepNext w:val="0"/>
        <w:keepLines w:val="0"/>
        <w:pageBreakBefore w:val="0"/>
        <w:widowControl w:val="0"/>
        <w:kinsoku/>
        <w:wordWrap/>
        <w:overflowPunct/>
        <w:topLinePunct w:val="0"/>
        <w:autoSpaceDE/>
        <w:autoSpaceDN/>
        <w:bidi w:val="0"/>
        <w:spacing w:line="576" w:lineRule="exact"/>
        <w:ind w:firstLine="640" w:firstLineChars="200"/>
        <w:textAlignment w:val="auto"/>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202</w:t>
      </w:r>
      <w:r>
        <w:rPr>
          <w:rFonts w:hint="eastAsia" w:ascii="CESI仿宋-GB2312" w:hAnsi="CESI仿宋-GB2312" w:eastAsia="CESI仿宋-GB2312" w:cs="CESI仿宋-GB2312"/>
          <w:sz w:val="32"/>
          <w:szCs w:val="32"/>
          <w:lang w:val="en-US" w:eastAsia="zh-CN"/>
        </w:rPr>
        <w:t>4</w:t>
      </w:r>
      <w:r>
        <w:rPr>
          <w:rFonts w:hint="eastAsia" w:ascii="CESI仿宋-GB2312" w:hAnsi="CESI仿宋-GB2312" w:eastAsia="CESI仿宋-GB2312" w:cs="CESI仿宋-GB2312"/>
          <w:sz w:val="32"/>
          <w:szCs w:val="32"/>
        </w:rPr>
        <w:t>年基本药物补助资金项目在卫生健康局的统筹安排下，在财政部门的支持下，通过项目单位（基层医疗机构</w:t>
      </w:r>
      <w:r>
        <w:rPr>
          <w:rFonts w:hint="eastAsia" w:ascii="CESI仿宋-GB2312" w:hAnsi="CESI仿宋-GB2312" w:eastAsia="CESI仿宋-GB2312" w:cs="CESI仿宋-GB2312"/>
          <w:sz w:val="32"/>
          <w:szCs w:val="32"/>
          <w:lang w:eastAsia="zh-CN"/>
        </w:rPr>
        <w:t>和村卫生</w:t>
      </w:r>
      <w:r>
        <w:rPr>
          <w:rFonts w:hint="eastAsia" w:ascii="CESI仿宋-GB2312" w:hAnsi="CESI仿宋-GB2312" w:eastAsia="CESI仿宋-GB2312" w:cs="CESI仿宋-GB2312"/>
          <w:sz w:val="32"/>
          <w:szCs w:val="32"/>
        </w:rPr>
        <w:t>）共同努力下达到支持基层医疗卫生机构实施国家基本药物制度的目的。社区卫生服务中心和乡镇卫生院，弥补核定收支后的经常性收支差额补助、推进基层医疗卫生机构综合改革等符合政府卫生投入政策落地见效。实施基本药物制度的村卫生室，乡村医生的收入补助得到提高。基层医疗机构的就医环境、服务能力、服务流程进一步改善，人民群众的获得感和满意度进一步提升</w:t>
      </w:r>
      <w:r>
        <w:rPr>
          <w:rFonts w:hint="eastAsia" w:ascii="CESI仿宋-GB2312" w:hAnsi="CESI仿宋-GB2312" w:eastAsia="CESI仿宋-GB2312" w:cs="CESI仿宋-GB2312"/>
          <w:sz w:val="32"/>
          <w:szCs w:val="32"/>
          <w:lang w:eastAsia="zh-CN"/>
        </w:rPr>
        <w:t>，</w:t>
      </w:r>
      <w:r>
        <w:rPr>
          <w:rFonts w:hint="eastAsia" w:ascii="CESI仿宋-GB2312" w:hAnsi="CESI仿宋-GB2312" w:eastAsia="CESI仿宋-GB2312" w:cs="CESI仿宋-GB2312"/>
          <w:sz w:val="32"/>
          <w:szCs w:val="32"/>
        </w:rPr>
        <w:t>基层医疗机构医防结合能力得到加强。</w:t>
      </w:r>
    </w:p>
    <w:p w14:paraId="535C683D">
      <w:pPr>
        <w:keepNext w:val="0"/>
        <w:keepLines w:val="0"/>
        <w:pageBreakBefore w:val="0"/>
        <w:widowControl w:val="0"/>
        <w:kinsoku/>
        <w:wordWrap/>
        <w:overflowPunct/>
        <w:topLinePunct w:val="0"/>
        <w:autoSpaceDE/>
        <w:autoSpaceDN/>
        <w:bidi w:val="0"/>
        <w:adjustRightInd w:val="0"/>
        <w:snapToGrid w:val="0"/>
        <w:spacing w:line="576" w:lineRule="exact"/>
        <w:ind w:firstLine="720"/>
        <w:textAlignment w:val="auto"/>
        <w:rPr>
          <w:rFonts w:hint="default" w:ascii="Times New Roman" w:hAnsi="Times New Roman" w:eastAsia="方正楷体_GBK" w:cs="Times New Roman"/>
          <w:b/>
          <w:bCs/>
          <w:sz w:val="32"/>
          <w:szCs w:val="32"/>
          <w:lang w:val="zh-CN"/>
        </w:rPr>
      </w:pPr>
      <w:r>
        <w:rPr>
          <w:rFonts w:hint="default" w:ascii="Times New Roman" w:hAnsi="Times New Roman" w:eastAsia="方正楷体_GBK" w:cs="Times New Roman"/>
          <w:b/>
          <w:bCs/>
          <w:sz w:val="32"/>
          <w:szCs w:val="32"/>
          <w:lang w:val="zh-CN"/>
        </w:rPr>
        <w:t>（二）存在的问题。</w:t>
      </w:r>
    </w:p>
    <w:p w14:paraId="7B10FC32">
      <w:pPr>
        <w:keepNext w:val="0"/>
        <w:keepLines w:val="0"/>
        <w:pageBreakBefore w:val="0"/>
        <w:widowControl w:val="0"/>
        <w:kinsoku/>
        <w:wordWrap/>
        <w:overflowPunct/>
        <w:topLinePunct w:val="0"/>
        <w:autoSpaceDE/>
        <w:autoSpaceDN/>
        <w:bidi w:val="0"/>
        <w:spacing w:line="576" w:lineRule="exact"/>
        <w:ind w:firstLine="640" w:firstLineChars="200"/>
        <w:textAlignment w:val="auto"/>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由于我县开展区域规划撤乡并镇、强村并组工作，原有的行政村撤并减少，村医去留是个大问题，导致积极性不高，落实基本药物制度不到位。</w:t>
      </w:r>
    </w:p>
    <w:p w14:paraId="2F11299F">
      <w:pPr>
        <w:keepNext w:val="0"/>
        <w:keepLines w:val="0"/>
        <w:pageBreakBefore w:val="0"/>
        <w:widowControl w:val="0"/>
        <w:kinsoku/>
        <w:wordWrap/>
        <w:overflowPunct/>
        <w:topLinePunct w:val="0"/>
        <w:autoSpaceDE/>
        <w:autoSpaceDN/>
        <w:bidi w:val="0"/>
        <w:spacing w:line="576" w:lineRule="exact"/>
        <w:ind w:firstLine="640" w:firstLineChars="200"/>
        <w:textAlignment w:val="auto"/>
        <w:rPr>
          <w:rFonts w:hint="default" w:ascii="Times New Roman" w:hAnsi="Times New Roman" w:eastAsia="方正仿宋_GBK" w:cs="Times New Roman"/>
        </w:rPr>
      </w:pPr>
      <w:r>
        <w:rPr>
          <w:rFonts w:hint="eastAsia" w:ascii="CESI仿宋-GB2312" w:hAnsi="CESI仿宋-GB2312" w:eastAsia="CESI仿宋-GB2312" w:cs="CESI仿宋-GB2312"/>
          <w:sz w:val="32"/>
          <w:szCs w:val="32"/>
        </w:rPr>
        <w:t>基层医疗机构基本药物挂网采购价格普遍较高，药店和社会办医在药品销售上占一定的优势，人民群众对政府举办的基层医疗机构药品价格产生质疑</w:t>
      </w:r>
      <w:r>
        <w:rPr>
          <w:rFonts w:hint="eastAsia" w:ascii="CESI仿宋-GB2312" w:hAnsi="CESI仿宋-GB2312" w:eastAsia="CESI仿宋-GB2312" w:cs="CESI仿宋-GB2312"/>
          <w:sz w:val="32"/>
          <w:szCs w:val="32"/>
          <w:lang w:eastAsia="zh-CN"/>
        </w:rPr>
        <w:t>。</w:t>
      </w:r>
      <w:r>
        <w:rPr>
          <w:rFonts w:hint="default" w:ascii="Times New Roman" w:hAnsi="Times New Roman" w:eastAsia="方正仿宋_GBK" w:cs="Times New Roman"/>
        </w:rPr>
        <w:tab/>
      </w:r>
    </w:p>
    <w:p w14:paraId="5BC02A14">
      <w:pPr>
        <w:keepNext w:val="0"/>
        <w:keepLines w:val="0"/>
        <w:pageBreakBefore w:val="0"/>
        <w:widowControl w:val="0"/>
        <w:kinsoku/>
        <w:wordWrap/>
        <w:overflowPunct/>
        <w:topLinePunct w:val="0"/>
        <w:autoSpaceDE/>
        <w:autoSpaceDN/>
        <w:bidi w:val="0"/>
        <w:adjustRightInd w:val="0"/>
        <w:snapToGrid w:val="0"/>
        <w:spacing w:line="576" w:lineRule="exact"/>
        <w:ind w:firstLine="643" w:firstLineChars="200"/>
        <w:textAlignment w:val="auto"/>
        <w:rPr>
          <w:rFonts w:hint="default" w:ascii="Times New Roman" w:hAnsi="Times New Roman" w:eastAsia="方正楷体_GBK" w:cs="Times New Roman"/>
          <w:b/>
          <w:bCs/>
          <w:sz w:val="32"/>
          <w:szCs w:val="32"/>
          <w:lang w:val="zh-CN"/>
        </w:rPr>
      </w:pPr>
      <w:r>
        <w:rPr>
          <w:rFonts w:hint="default" w:ascii="Times New Roman" w:hAnsi="Times New Roman" w:eastAsia="方正楷体_GBK" w:cs="Times New Roman"/>
          <w:b/>
          <w:bCs/>
          <w:sz w:val="32"/>
          <w:szCs w:val="32"/>
          <w:lang w:val="zh-CN"/>
        </w:rPr>
        <w:t>（三）相关建议。</w:t>
      </w:r>
    </w:p>
    <w:p w14:paraId="7E43E28A">
      <w:pPr>
        <w:keepNext w:val="0"/>
        <w:keepLines w:val="0"/>
        <w:pageBreakBefore w:val="0"/>
        <w:widowControl w:val="0"/>
        <w:kinsoku/>
        <w:wordWrap/>
        <w:overflowPunct/>
        <w:topLinePunct w:val="0"/>
        <w:autoSpaceDE/>
        <w:autoSpaceDN/>
        <w:bidi w:val="0"/>
        <w:spacing w:line="576" w:lineRule="exact"/>
        <w:ind w:firstLine="640" w:firstLineChars="200"/>
        <w:textAlignment w:val="auto"/>
        <w:rPr>
          <w:rFonts w:hint="eastAsia" w:eastAsia="仿宋_GB2312" w:cs="仿宋_GB2312"/>
          <w:kern w:val="0"/>
          <w:sz w:val="32"/>
          <w:szCs w:val="32"/>
        </w:rPr>
        <w:sectPr>
          <w:pgSz w:w="11906" w:h="16838"/>
          <w:pgMar w:top="1440" w:right="1800" w:bottom="1440" w:left="1800" w:header="851" w:footer="992" w:gutter="0"/>
          <w:pgNumType w:fmt="decimal"/>
          <w:cols w:space="425" w:num="1"/>
          <w:titlePg/>
          <w:docGrid w:type="lines" w:linePitch="312" w:charSpace="0"/>
        </w:sectPr>
      </w:pPr>
      <w:r>
        <w:rPr>
          <w:rFonts w:hint="eastAsia" w:ascii="CESI仿宋-GB2312" w:hAnsi="CESI仿宋-GB2312" w:eastAsia="CESI仿宋-GB2312" w:cs="CESI仿宋-GB2312"/>
          <w:sz w:val="32"/>
          <w:szCs w:val="32"/>
        </w:rPr>
        <w:t>下一步将充分结合自身的情况，</w:t>
      </w:r>
      <w:r>
        <w:rPr>
          <w:rFonts w:hint="eastAsia" w:ascii="CESI仿宋-GB2312" w:hAnsi="CESI仿宋-GB2312" w:eastAsia="CESI仿宋-GB2312" w:cs="CESI仿宋-GB2312"/>
          <w:b/>
          <w:bCs/>
          <w:sz w:val="32"/>
          <w:szCs w:val="32"/>
        </w:rPr>
        <w:t>一是</w:t>
      </w:r>
      <w:r>
        <w:rPr>
          <w:rFonts w:hint="eastAsia" w:ascii="CESI仿宋-GB2312" w:hAnsi="CESI仿宋-GB2312" w:eastAsia="CESI仿宋-GB2312" w:cs="CESI仿宋-GB2312"/>
          <w:sz w:val="32"/>
          <w:szCs w:val="32"/>
        </w:rPr>
        <w:t>强弱项，补短板，积极争取政府的支持，科学设置村卫生室，形成稳定的村卫生室稳定的村医收入，确保人民群众能就近就医，为乡村振兴提高良好的农村医疗环境；</w:t>
      </w:r>
      <w:r>
        <w:rPr>
          <w:rFonts w:hint="eastAsia" w:ascii="CESI仿宋-GB2312" w:hAnsi="CESI仿宋-GB2312" w:eastAsia="CESI仿宋-GB2312" w:cs="CESI仿宋-GB2312"/>
          <w:b/>
          <w:bCs/>
          <w:sz w:val="32"/>
          <w:szCs w:val="32"/>
        </w:rPr>
        <w:t>二是</w:t>
      </w:r>
      <w:r>
        <w:rPr>
          <w:rFonts w:hint="eastAsia" w:ascii="CESI仿宋-GB2312" w:hAnsi="CESI仿宋-GB2312" w:eastAsia="CESI仿宋-GB2312" w:cs="CESI仿宋-GB2312"/>
          <w:sz w:val="32"/>
          <w:szCs w:val="32"/>
        </w:rPr>
        <w:t>充分利用我县县域紧密型医共体试点县的契机，科学谋划，统筹考虑，在医共体政策体系更加完善，保障机制更加健全，建成目标明确、权责清晰、分工协作、有效运行的整合型医疗卫生体系上将基本药物制度在基层医疗机构落地落实，彻底解除以药补医机制，力促基层门</w:t>
      </w:r>
      <w:r>
        <w:rPr>
          <w:rFonts w:hint="eastAsia" w:ascii="CESI仿宋-GB2312" w:hAnsi="CESI仿宋-GB2312" w:eastAsia="CESI仿宋-GB2312" w:cs="CESI仿宋-GB2312"/>
          <w:sz w:val="32"/>
          <w:szCs w:val="32"/>
          <w:lang w:eastAsia="zh-CN"/>
        </w:rPr>
        <w:t>急</w:t>
      </w:r>
      <w:r>
        <w:rPr>
          <w:rFonts w:hint="eastAsia" w:ascii="CESI仿宋-GB2312" w:hAnsi="CESI仿宋-GB2312" w:eastAsia="CESI仿宋-GB2312" w:cs="CESI仿宋-GB2312"/>
          <w:sz w:val="32"/>
          <w:szCs w:val="32"/>
        </w:rPr>
        <w:t>诊人次和住院人次占比较前一年度</w:t>
      </w:r>
      <w:r>
        <w:rPr>
          <w:rFonts w:hint="eastAsia" w:ascii="CESI仿宋-GB2312" w:hAnsi="CESI仿宋-GB2312" w:eastAsia="CESI仿宋-GB2312" w:cs="CESI仿宋-GB2312"/>
          <w:sz w:val="32"/>
          <w:szCs w:val="32"/>
          <w:lang w:eastAsia="zh-CN"/>
        </w:rPr>
        <w:t>有所提升</w:t>
      </w:r>
      <w:r>
        <w:rPr>
          <w:rFonts w:hint="eastAsia" w:ascii="CESI仿宋-GB2312" w:hAnsi="CESI仿宋-GB2312" w:eastAsia="CESI仿宋-GB2312" w:cs="CESI仿宋-GB2312"/>
          <w:sz w:val="32"/>
          <w:szCs w:val="32"/>
        </w:rPr>
        <w:t>，基层开展技术、项目的能力不断增加，基本实现“大病不出县、小病不出乡（镇）</w:t>
      </w:r>
    </w:p>
    <w:p w14:paraId="74264F5F">
      <w:pPr>
        <w:spacing w:line="578" w:lineRule="exact"/>
        <w:rPr>
          <w:rFonts w:hint="eastAsia" w:eastAsia="仿宋_GB2312" w:cs="仿宋_GB2312"/>
          <w:kern w:val="0"/>
          <w:sz w:val="32"/>
          <w:szCs w:val="32"/>
          <w:lang w:eastAsia="zh-CN"/>
        </w:rPr>
      </w:pPr>
    </w:p>
    <w:p w14:paraId="77414299">
      <w:pPr>
        <w:widowControl/>
        <w:numPr>
          <w:ilvl w:val="0"/>
          <w:numId w:val="6"/>
        </w:numPr>
        <w:jc w:val="center"/>
        <w:outlineLvl w:val="0"/>
        <w:rPr>
          <w:rStyle w:val="29"/>
          <w:rFonts w:hint="eastAsia" w:eastAsia="黑体"/>
          <w:b w:val="0"/>
        </w:rPr>
      </w:pPr>
      <w:bookmarkStart w:id="81" w:name="_Toc1917879216"/>
      <w:r>
        <w:rPr>
          <w:rStyle w:val="29"/>
          <w:rFonts w:hint="eastAsia" w:eastAsia="黑体"/>
          <w:b w:val="0"/>
        </w:rPr>
        <w:t>附表</w:t>
      </w:r>
      <w:bookmarkEnd w:id="75"/>
      <w:bookmarkEnd w:id="80"/>
      <w:bookmarkEnd w:id="81"/>
      <w:bookmarkStart w:id="82" w:name="_Toc15396619"/>
    </w:p>
    <w:p w14:paraId="682F8A8B">
      <w:pPr>
        <w:pStyle w:val="2"/>
        <w:numPr>
          <w:ilvl w:val="0"/>
          <w:numId w:val="0"/>
        </w:numPr>
      </w:pPr>
    </w:p>
    <w:p w14:paraId="7E514679">
      <w:pPr>
        <w:pStyle w:val="4"/>
        <w:keepNext/>
        <w:keepLines/>
        <w:pageBreakBefore w:val="0"/>
        <w:widowControl w:val="0"/>
        <w:kinsoku/>
        <w:wordWrap/>
        <w:overflowPunct/>
        <w:topLinePunct w:val="0"/>
        <w:autoSpaceDE/>
        <w:autoSpaceDN/>
        <w:bidi w:val="0"/>
        <w:adjustRightInd/>
        <w:snapToGrid/>
        <w:spacing w:before="0" w:after="0" w:line="240" w:lineRule="auto"/>
        <w:ind w:firstLine="320" w:firstLineChars="100"/>
        <w:textAlignment w:val="auto"/>
        <w:rPr>
          <w:rFonts w:hint="eastAsia" w:ascii="CESI仿宋-GB2312" w:hAnsi="CESI仿宋-GB2312" w:eastAsia="CESI仿宋-GB2312" w:cs="CESI仿宋-GB2312"/>
          <w:b w:val="0"/>
          <w:bCs w:val="0"/>
          <w:sz w:val="32"/>
          <w:szCs w:val="32"/>
        </w:rPr>
      </w:pPr>
      <w:bookmarkStart w:id="83" w:name="_Toc1532284945"/>
      <w:r>
        <w:rPr>
          <w:rFonts w:hint="eastAsia" w:ascii="CESI仿宋-GB2312" w:hAnsi="CESI仿宋-GB2312" w:eastAsia="CESI仿宋-GB2312" w:cs="CESI仿宋-GB2312"/>
          <w:b w:val="0"/>
          <w:bCs w:val="0"/>
          <w:sz w:val="32"/>
          <w:szCs w:val="32"/>
        </w:rPr>
        <w:t>一、收入支出决算总表</w:t>
      </w:r>
      <w:bookmarkEnd w:id="82"/>
      <w:bookmarkEnd w:id="83"/>
    </w:p>
    <w:p w14:paraId="06BBF996">
      <w:pPr>
        <w:pStyle w:val="4"/>
        <w:keepNext/>
        <w:keepLines/>
        <w:pageBreakBefore w:val="0"/>
        <w:widowControl w:val="0"/>
        <w:kinsoku/>
        <w:wordWrap/>
        <w:overflowPunct/>
        <w:topLinePunct w:val="0"/>
        <w:autoSpaceDE/>
        <w:autoSpaceDN/>
        <w:bidi w:val="0"/>
        <w:adjustRightInd/>
        <w:snapToGrid/>
        <w:spacing w:before="0" w:after="0" w:line="240" w:lineRule="auto"/>
        <w:ind w:firstLine="320" w:firstLineChars="100"/>
        <w:textAlignment w:val="auto"/>
        <w:rPr>
          <w:rFonts w:hint="eastAsia" w:ascii="CESI仿宋-GB2312" w:hAnsi="CESI仿宋-GB2312" w:eastAsia="CESI仿宋-GB2312" w:cs="CESI仿宋-GB2312"/>
          <w:b w:val="0"/>
          <w:bCs w:val="0"/>
          <w:sz w:val="32"/>
          <w:szCs w:val="32"/>
        </w:rPr>
      </w:pPr>
      <w:bookmarkStart w:id="84" w:name="_Toc15396620"/>
      <w:bookmarkStart w:id="85" w:name="_Toc683453231"/>
      <w:r>
        <w:rPr>
          <w:rFonts w:hint="eastAsia" w:ascii="CESI仿宋-GB2312" w:hAnsi="CESI仿宋-GB2312" w:eastAsia="CESI仿宋-GB2312" w:cs="CESI仿宋-GB2312"/>
          <w:b w:val="0"/>
          <w:bCs w:val="0"/>
          <w:sz w:val="32"/>
          <w:szCs w:val="32"/>
        </w:rPr>
        <w:t>二、收入决算表</w:t>
      </w:r>
      <w:bookmarkEnd w:id="84"/>
      <w:bookmarkEnd w:id="85"/>
    </w:p>
    <w:p w14:paraId="2084944F">
      <w:pPr>
        <w:pStyle w:val="4"/>
        <w:keepNext/>
        <w:keepLines/>
        <w:pageBreakBefore w:val="0"/>
        <w:widowControl w:val="0"/>
        <w:kinsoku/>
        <w:wordWrap/>
        <w:overflowPunct/>
        <w:topLinePunct w:val="0"/>
        <w:autoSpaceDE/>
        <w:autoSpaceDN/>
        <w:bidi w:val="0"/>
        <w:adjustRightInd/>
        <w:snapToGrid/>
        <w:spacing w:before="0" w:after="0" w:line="240" w:lineRule="auto"/>
        <w:ind w:firstLine="320" w:firstLineChars="100"/>
        <w:textAlignment w:val="auto"/>
        <w:rPr>
          <w:rFonts w:hint="eastAsia" w:ascii="CESI仿宋-GB2312" w:hAnsi="CESI仿宋-GB2312" w:eastAsia="CESI仿宋-GB2312" w:cs="CESI仿宋-GB2312"/>
          <w:b w:val="0"/>
          <w:bCs w:val="0"/>
          <w:sz w:val="32"/>
          <w:szCs w:val="32"/>
        </w:rPr>
      </w:pPr>
      <w:bookmarkStart w:id="86" w:name="_Toc1677993035"/>
      <w:bookmarkStart w:id="87" w:name="_Toc15396621"/>
      <w:r>
        <w:rPr>
          <w:rFonts w:hint="eastAsia" w:ascii="CESI仿宋-GB2312" w:hAnsi="CESI仿宋-GB2312" w:eastAsia="CESI仿宋-GB2312" w:cs="CESI仿宋-GB2312"/>
          <w:b w:val="0"/>
          <w:bCs w:val="0"/>
          <w:sz w:val="32"/>
          <w:szCs w:val="32"/>
        </w:rPr>
        <w:t>三、支出决算表</w:t>
      </w:r>
      <w:bookmarkEnd w:id="86"/>
      <w:bookmarkEnd w:id="87"/>
    </w:p>
    <w:p w14:paraId="2887B382">
      <w:pPr>
        <w:pStyle w:val="4"/>
        <w:keepNext/>
        <w:keepLines/>
        <w:pageBreakBefore w:val="0"/>
        <w:widowControl w:val="0"/>
        <w:kinsoku/>
        <w:wordWrap/>
        <w:overflowPunct/>
        <w:topLinePunct w:val="0"/>
        <w:autoSpaceDE/>
        <w:autoSpaceDN/>
        <w:bidi w:val="0"/>
        <w:adjustRightInd/>
        <w:snapToGrid/>
        <w:spacing w:before="0" w:after="0" w:line="240" w:lineRule="auto"/>
        <w:ind w:firstLine="320" w:firstLineChars="100"/>
        <w:textAlignment w:val="auto"/>
        <w:rPr>
          <w:rFonts w:hint="eastAsia" w:ascii="CESI仿宋-GB2312" w:hAnsi="CESI仿宋-GB2312" w:eastAsia="CESI仿宋-GB2312" w:cs="CESI仿宋-GB2312"/>
          <w:b w:val="0"/>
          <w:bCs w:val="0"/>
          <w:sz w:val="32"/>
          <w:szCs w:val="32"/>
        </w:rPr>
      </w:pPr>
      <w:bookmarkStart w:id="88" w:name="_Toc15396622"/>
      <w:bookmarkStart w:id="89" w:name="_Toc2047256558"/>
      <w:r>
        <w:rPr>
          <w:rFonts w:hint="eastAsia" w:ascii="CESI仿宋-GB2312" w:hAnsi="CESI仿宋-GB2312" w:eastAsia="CESI仿宋-GB2312" w:cs="CESI仿宋-GB2312"/>
          <w:b w:val="0"/>
          <w:bCs w:val="0"/>
          <w:sz w:val="32"/>
          <w:szCs w:val="32"/>
        </w:rPr>
        <w:t>四、财政拨款收入支出决算总表</w:t>
      </w:r>
      <w:bookmarkEnd w:id="88"/>
      <w:bookmarkEnd w:id="89"/>
    </w:p>
    <w:p w14:paraId="4E9E5807">
      <w:pPr>
        <w:pStyle w:val="4"/>
        <w:keepNext/>
        <w:keepLines/>
        <w:pageBreakBefore w:val="0"/>
        <w:widowControl w:val="0"/>
        <w:kinsoku/>
        <w:wordWrap/>
        <w:overflowPunct/>
        <w:topLinePunct w:val="0"/>
        <w:autoSpaceDE/>
        <w:autoSpaceDN/>
        <w:bidi w:val="0"/>
        <w:adjustRightInd/>
        <w:snapToGrid/>
        <w:spacing w:before="0" w:after="0" w:line="240" w:lineRule="auto"/>
        <w:ind w:firstLine="320" w:firstLineChars="100"/>
        <w:textAlignment w:val="auto"/>
        <w:rPr>
          <w:rFonts w:hint="eastAsia" w:ascii="CESI仿宋-GB2312" w:hAnsi="CESI仿宋-GB2312" w:eastAsia="CESI仿宋-GB2312" w:cs="CESI仿宋-GB2312"/>
          <w:b w:val="0"/>
          <w:bCs w:val="0"/>
          <w:sz w:val="32"/>
          <w:szCs w:val="32"/>
        </w:rPr>
      </w:pPr>
      <w:bookmarkStart w:id="90" w:name="_Toc15396623"/>
      <w:bookmarkStart w:id="91" w:name="_Toc199991638"/>
      <w:r>
        <w:rPr>
          <w:rFonts w:hint="eastAsia" w:ascii="CESI仿宋-GB2312" w:hAnsi="CESI仿宋-GB2312" w:eastAsia="CESI仿宋-GB2312" w:cs="CESI仿宋-GB2312"/>
          <w:b w:val="0"/>
          <w:bCs w:val="0"/>
          <w:sz w:val="32"/>
          <w:szCs w:val="32"/>
        </w:rPr>
        <w:t>五、财政拨款支出决算明细表</w:t>
      </w:r>
      <w:bookmarkEnd w:id="90"/>
      <w:bookmarkEnd w:id="91"/>
      <w:bookmarkStart w:id="92" w:name="_Toc15396624"/>
    </w:p>
    <w:p w14:paraId="62241274">
      <w:pPr>
        <w:pStyle w:val="4"/>
        <w:keepNext/>
        <w:keepLines/>
        <w:pageBreakBefore w:val="0"/>
        <w:widowControl w:val="0"/>
        <w:kinsoku/>
        <w:wordWrap/>
        <w:overflowPunct/>
        <w:topLinePunct w:val="0"/>
        <w:autoSpaceDE/>
        <w:autoSpaceDN/>
        <w:bidi w:val="0"/>
        <w:adjustRightInd/>
        <w:snapToGrid/>
        <w:spacing w:before="0" w:after="0" w:line="240" w:lineRule="auto"/>
        <w:ind w:firstLine="320" w:firstLineChars="100"/>
        <w:textAlignment w:val="auto"/>
        <w:rPr>
          <w:rFonts w:hint="eastAsia" w:ascii="CESI仿宋-GB2312" w:hAnsi="CESI仿宋-GB2312" w:eastAsia="CESI仿宋-GB2312" w:cs="CESI仿宋-GB2312"/>
          <w:b w:val="0"/>
          <w:bCs w:val="0"/>
          <w:sz w:val="32"/>
          <w:szCs w:val="32"/>
        </w:rPr>
      </w:pPr>
      <w:bookmarkStart w:id="93" w:name="_Toc1139293770"/>
      <w:r>
        <w:rPr>
          <w:rFonts w:hint="eastAsia" w:ascii="CESI仿宋-GB2312" w:hAnsi="CESI仿宋-GB2312" w:eastAsia="CESI仿宋-GB2312" w:cs="CESI仿宋-GB2312"/>
          <w:b w:val="0"/>
          <w:bCs w:val="0"/>
          <w:sz w:val="32"/>
          <w:szCs w:val="32"/>
        </w:rPr>
        <w:t>六、一般公共预算财政拨款支出决算表</w:t>
      </w:r>
      <w:bookmarkEnd w:id="92"/>
      <w:bookmarkEnd w:id="93"/>
    </w:p>
    <w:p w14:paraId="68740616">
      <w:pPr>
        <w:pStyle w:val="4"/>
        <w:keepNext/>
        <w:keepLines/>
        <w:pageBreakBefore w:val="0"/>
        <w:widowControl w:val="0"/>
        <w:kinsoku/>
        <w:wordWrap/>
        <w:overflowPunct/>
        <w:topLinePunct w:val="0"/>
        <w:autoSpaceDE/>
        <w:autoSpaceDN/>
        <w:bidi w:val="0"/>
        <w:adjustRightInd/>
        <w:snapToGrid/>
        <w:spacing w:before="0" w:after="0" w:line="240" w:lineRule="auto"/>
        <w:ind w:firstLine="320" w:firstLineChars="100"/>
        <w:textAlignment w:val="auto"/>
        <w:rPr>
          <w:rFonts w:hint="eastAsia" w:ascii="CESI仿宋-GB2312" w:hAnsi="CESI仿宋-GB2312" w:eastAsia="CESI仿宋-GB2312" w:cs="CESI仿宋-GB2312"/>
          <w:b w:val="0"/>
          <w:bCs w:val="0"/>
          <w:sz w:val="32"/>
          <w:szCs w:val="32"/>
        </w:rPr>
      </w:pPr>
      <w:bookmarkStart w:id="94" w:name="_Toc90689636"/>
      <w:bookmarkStart w:id="95" w:name="_Toc15396625"/>
      <w:r>
        <w:rPr>
          <w:rFonts w:hint="eastAsia" w:ascii="CESI仿宋-GB2312" w:hAnsi="CESI仿宋-GB2312" w:eastAsia="CESI仿宋-GB2312" w:cs="CESI仿宋-GB2312"/>
          <w:b w:val="0"/>
          <w:bCs w:val="0"/>
          <w:sz w:val="32"/>
          <w:szCs w:val="32"/>
        </w:rPr>
        <w:t>七、一般公共预算财政拨款支出决算明细表</w:t>
      </w:r>
      <w:bookmarkEnd w:id="94"/>
      <w:bookmarkEnd w:id="95"/>
    </w:p>
    <w:p w14:paraId="145DBA1D">
      <w:pPr>
        <w:pStyle w:val="4"/>
        <w:keepNext/>
        <w:keepLines/>
        <w:pageBreakBefore w:val="0"/>
        <w:widowControl w:val="0"/>
        <w:kinsoku/>
        <w:wordWrap/>
        <w:overflowPunct/>
        <w:topLinePunct w:val="0"/>
        <w:autoSpaceDE/>
        <w:autoSpaceDN/>
        <w:bidi w:val="0"/>
        <w:adjustRightInd/>
        <w:snapToGrid/>
        <w:spacing w:before="0" w:after="0" w:line="240" w:lineRule="auto"/>
        <w:ind w:firstLine="320" w:firstLineChars="100"/>
        <w:textAlignment w:val="auto"/>
        <w:rPr>
          <w:rFonts w:hint="eastAsia" w:ascii="CESI仿宋-GB2312" w:hAnsi="CESI仿宋-GB2312" w:eastAsia="CESI仿宋-GB2312" w:cs="CESI仿宋-GB2312"/>
          <w:b w:val="0"/>
          <w:bCs w:val="0"/>
          <w:sz w:val="32"/>
          <w:szCs w:val="32"/>
        </w:rPr>
      </w:pPr>
      <w:bookmarkStart w:id="96" w:name="_Toc15396626"/>
      <w:bookmarkStart w:id="97" w:name="_Toc908812351"/>
      <w:r>
        <w:rPr>
          <w:rFonts w:hint="eastAsia" w:ascii="CESI仿宋-GB2312" w:hAnsi="CESI仿宋-GB2312" w:eastAsia="CESI仿宋-GB2312" w:cs="CESI仿宋-GB2312"/>
          <w:b w:val="0"/>
          <w:bCs w:val="0"/>
          <w:sz w:val="32"/>
          <w:szCs w:val="32"/>
        </w:rPr>
        <w:t>八、一般公共预算财政拨款基本支出决算表</w:t>
      </w:r>
      <w:bookmarkEnd w:id="96"/>
      <w:bookmarkEnd w:id="97"/>
    </w:p>
    <w:p w14:paraId="596FAB50">
      <w:pPr>
        <w:pStyle w:val="4"/>
        <w:keepNext/>
        <w:keepLines/>
        <w:pageBreakBefore w:val="0"/>
        <w:widowControl w:val="0"/>
        <w:kinsoku/>
        <w:wordWrap/>
        <w:overflowPunct/>
        <w:topLinePunct w:val="0"/>
        <w:autoSpaceDE/>
        <w:autoSpaceDN/>
        <w:bidi w:val="0"/>
        <w:adjustRightInd/>
        <w:snapToGrid/>
        <w:spacing w:before="0" w:after="0" w:line="240" w:lineRule="auto"/>
        <w:ind w:firstLine="320" w:firstLineChars="100"/>
        <w:textAlignment w:val="auto"/>
        <w:rPr>
          <w:rFonts w:hint="eastAsia" w:ascii="CESI仿宋-GB2312" w:hAnsi="CESI仿宋-GB2312" w:eastAsia="CESI仿宋-GB2312" w:cs="CESI仿宋-GB2312"/>
          <w:b w:val="0"/>
          <w:bCs w:val="0"/>
          <w:sz w:val="32"/>
          <w:szCs w:val="32"/>
        </w:rPr>
      </w:pPr>
      <w:bookmarkStart w:id="98" w:name="_Toc15396627"/>
      <w:bookmarkStart w:id="99" w:name="_Toc608225959"/>
      <w:r>
        <w:rPr>
          <w:rFonts w:hint="eastAsia" w:ascii="CESI仿宋-GB2312" w:hAnsi="CESI仿宋-GB2312" w:eastAsia="CESI仿宋-GB2312" w:cs="CESI仿宋-GB2312"/>
          <w:b w:val="0"/>
          <w:bCs w:val="0"/>
          <w:sz w:val="32"/>
          <w:szCs w:val="32"/>
        </w:rPr>
        <w:t>九、一般公共预算财政拨款项目支出决算表</w:t>
      </w:r>
      <w:bookmarkEnd w:id="98"/>
      <w:bookmarkEnd w:id="99"/>
    </w:p>
    <w:p w14:paraId="525639EB">
      <w:pPr>
        <w:pStyle w:val="4"/>
        <w:keepNext/>
        <w:keepLines/>
        <w:pageBreakBefore w:val="0"/>
        <w:widowControl w:val="0"/>
        <w:kinsoku/>
        <w:wordWrap/>
        <w:overflowPunct/>
        <w:topLinePunct w:val="0"/>
        <w:autoSpaceDE/>
        <w:autoSpaceDN/>
        <w:bidi w:val="0"/>
        <w:adjustRightInd/>
        <w:snapToGrid/>
        <w:spacing w:before="0" w:after="0" w:line="240" w:lineRule="auto"/>
        <w:ind w:firstLine="320" w:firstLineChars="100"/>
        <w:textAlignment w:val="auto"/>
        <w:rPr>
          <w:rFonts w:hint="eastAsia" w:ascii="CESI仿宋-GB2312" w:hAnsi="CESI仿宋-GB2312" w:eastAsia="CESI仿宋-GB2312" w:cs="CESI仿宋-GB2312"/>
          <w:b w:val="0"/>
          <w:bCs w:val="0"/>
          <w:sz w:val="32"/>
          <w:szCs w:val="32"/>
        </w:rPr>
      </w:pPr>
      <w:bookmarkStart w:id="100" w:name="_Toc15396628"/>
      <w:bookmarkStart w:id="101" w:name="_Toc1442211786"/>
      <w:r>
        <w:rPr>
          <w:rFonts w:hint="eastAsia" w:ascii="CESI仿宋-GB2312" w:hAnsi="CESI仿宋-GB2312" w:eastAsia="CESI仿宋-GB2312" w:cs="CESI仿宋-GB2312"/>
          <w:b w:val="0"/>
          <w:bCs w:val="0"/>
          <w:sz w:val="32"/>
          <w:szCs w:val="32"/>
        </w:rPr>
        <w:t>十、</w:t>
      </w:r>
      <w:bookmarkEnd w:id="100"/>
      <w:r>
        <w:rPr>
          <w:rFonts w:hint="eastAsia" w:ascii="CESI仿宋-GB2312" w:hAnsi="CESI仿宋-GB2312" w:eastAsia="CESI仿宋-GB2312" w:cs="CESI仿宋-GB2312"/>
          <w:b w:val="0"/>
          <w:bCs w:val="0"/>
          <w:sz w:val="32"/>
          <w:szCs w:val="32"/>
        </w:rPr>
        <w:t>政府性基金预算财政拨款收入支出决算表</w:t>
      </w:r>
      <w:bookmarkEnd w:id="101"/>
    </w:p>
    <w:p w14:paraId="6B3F690D">
      <w:pPr>
        <w:pStyle w:val="4"/>
        <w:keepNext/>
        <w:keepLines/>
        <w:pageBreakBefore w:val="0"/>
        <w:widowControl w:val="0"/>
        <w:kinsoku/>
        <w:wordWrap/>
        <w:overflowPunct/>
        <w:topLinePunct w:val="0"/>
        <w:autoSpaceDE/>
        <w:autoSpaceDN/>
        <w:bidi w:val="0"/>
        <w:adjustRightInd/>
        <w:snapToGrid/>
        <w:spacing w:before="0" w:after="0" w:line="240" w:lineRule="auto"/>
        <w:ind w:firstLine="320" w:firstLineChars="100"/>
        <w:textAlignment w:val="auto"/>
        <w:rPr>
          <w:rFonts w:hint="eastAsia" w:ascii="CESI仿宋-GB2312" w:hAnsi="CESI仿宋-GB2312" w:eastAsia="CESI仿宋-GB2312" w:cs="CESI仿宋-GB2312"/>
          <w:b w:val="0"/>
          <w:bCs w:val="0"/>
          <w:sz w:val="32"/>
          <w:szCs w:val="32"/>
        </w:rPr>
      </w:pPr>
      <w:bookmarkStart w:id="102" w:name="_Toc15396629"/>
      <w:bookmarkStart w:id="103" w:name="_Toc523949420"/>
      <w:r>
        <w:rPr>
          <w:rFonts w:hint="eastAsia" w:ascii="CESI仿宋-GB2312" w:hAnsi="CESI仿宋-GB2312" w:eastAsia="CESI仿宋-GB2312" w:cs="CESI仿宋-GB2312"/>
          <w:b w:val="0"/>
          <w:bCs w:val="0"/>
          <w:sz w:val="32"/>
          <w:szCs w:val="32"/>
        </w:rPr>
        <w:t>十一、</w:t>
      </w:r>
      <w:bookmarkEnd w:id="102"/>
      <w:r>
        <w:rPr>
          <w:rFonts w:hint="eastAsia" w:ascii="CESI仿宋-GB2312" w:hAnsi="CESI仿宋-GB2312" w:eastAsia="CESI仿宋-GB2312" w:cs="CESI仿宋-GB2312"/>
          <w:b w:val="0"/>
          <w:bCs w:val="0"/>
          <w:sz w:val="32"/>
          <w:szCs w:val="32"/>
        </w:rPr>
        <w:t>国有资本经营预算财政拨款收入支出决算表</w:t>
      </w:r>
      <w:bookmarkEnd w:id="103"/>
    </w:p>
    <w:p w14:paraId="55743153">
      <w:pPr>
        <w:pStyle w:val="4"/>
        <w:keepNext/>
        <w:keepLines/>
        <w:pageBreakBefore w:val="0"/>
        <w:widowControl w:val="0"/>
        <w:kinsoku/>
        <w:wordWrap/>
        <w:overflowPunct/>
        <w:topLinePunct w:val="0"/>
        <w:autoSpaceDE/>
        <w:autoSpaceDN/>
        <w:bidi w:val="0"/>
        <w:adjustRightInd/>
        <w:snapToGrid/>
        <w:spacing w:before="0" w:after="0" w:line="240" w:lineRule="auto"/>
        <w:ind w:firstLine="320" w:firstLineChars="100"/>
        <w:textAlignment w:val="auto"/>
        <w:rPr>
          <w:rFonts w:hint="eastAsia" w:ascii="CESI仿宋-GB2312" w:hAnsi="CESI仿宋-GB2312" w:eastAsia="CESI仿宋-GB2312" w:cs="CESI仿宋-GB2312"/>
          <w:b w:val="0"/>
          <w:bCs w:val="0"/>
          <w:sz w:val="32"/>
          <w:szCs w:val="32"/>
        </w:rPr>
      </w:pPr>
      <w:bookmarkStart w:id="104" w:name="_Toc15396630"/>
      <w:bookmarkStart w:id="105" w:name="_Toc497977433"/>
      <w:r>
        <w:rPr>
          <w:rFonts w:hint="eastAsia" w:ascii="CESI仿宋-GB2312" w:hAnsi="CESI仿宋-GB2312" w:eastAsia="CESI仿宋-GB2312" w:cs="CESI仿宋-GB2312"/>
          <w:b w:val="0"/>
          <w:bCs w:val="0"/>
          <w:sz w:val="32"/>
          <w:szCs w:val="32"/>
        </w:rPr>
        <w:t>十二、</w:t>
      </w:r>
      <w:bookmarkEnd w:id="104"/>
      <w:r>
        <w:rPr>
          <w:rFonts w:hint="eastAsia" w:ascii="CESI仿宋-GB2312" w:hAnsi="CESI仿宋-GB2312" w:eastAsia="CESI仿宋-GB2312" w:cs="CESI仿宋-GB2312"/>
          <w:b w:val="0"/>
          <w:bCs w:val="0"/>
          <w:sz w:val="32"/>
          <w:szCs w:val="32"/>
        </w:rPr>
        <w:t>国有资本经营预算财政拨款支出决算表</w:t>
      </w:r>
      <w:bookmarkEnd w:id="105"/>
    </w:p>
    <w:p w14:paraId="568B0EEA">
      <w:pPr>
        <w:pStyle w:val="4"/>
        <w:keepNext/>
        <w:keepLines/>
        <w:pageBreakBefore w:val="0"/>
        <w:widowControl w:val="0"/>
        <w:kinsoku/>
        <w:wordWrap/>
        <w:overflowPunct/>
        <w:topLinePunct w:val="0"/>
        <w:autoSpaceDE/>
        <w:autoSpaceDN/>
        <w:bidi w:val="0"/>
        <w:adjustRightInd/>
        <w:snapToGrid/>
        <w:spacing w:before="0" w:after="0" w:line="240" w:lineRule="auto"/>
        <w:ind w:firstLine="320" w:firstLineChars="100"/>
        <w:textAlignment w:val="auto"/>
        <w:rPr>
          <w:rFonts w:hint="eastAsia" w:ascii="CESI仿宋-GB2312" w:hAnsi="CESI仿宋-GB2312" w:eastAsia="CESI仿宋-GB2312" w:cs="CESI仿宋-GB2312"/>
          <w:b w:val="0"/>
          <w:bCs w:val="0"/>
          <w:sz w:val="32"/>
          <w:szCs w:val="32"/>
        </w:rPr>
      </w:pPr>
      <w:bookmarkStart w:id="106" w:name="_Toc15396631"/>
      <w:bookmarkStart w:id="107" w:name="_Toc243712010"/>
      <w:r>
        <w:rPr>
          <w:rFonts w:hint="eastAsia" w:ascii="CESI仿宋-GB2312" w:hAnsi="CESI仿宋-GB2312" w:eastAsia="CESI仿宋-GB2312" w:cs="CESI仿宋-GB2312"/>
          <w:b w:val="0"/>
          <w:bCs w:val="0"/>
          <w:sz w:val="32"/>
          <w:szCs w:val="32"/>
        </w:rPr>
        <w:t>十三、</w:t>
      </w:r>
      <w:bookmarkEnd w:id="106"/>
      <w:r>
        <w:rPr>
          <w:rFonts w:hint="eastAsia" w:ascii="CESI仿宋-GB2312" w:hAnsi="CESI仿宋-GB2312" w:eastAsia="CESI仿宋-GB2312" w:cs="CESI仿宋-GB2312"/>
          <w:b w:val="0"/>
          <w:bCs w:val="0"/>
          <w:sz w:val="32"/>
          <w:szCs w:val="32"/>
        </w:rPr>
        <w:t>财政拨款“三公”经费支出决算表</w:t>
      </w:r>
      <w:bookmarkEnd w:id="107"/>
    </w:p>
    <w:p w14:paraId="550F7580"/>
    <w:p w14:paraId="4FE2AA39">
      <w:pPr>
        <w:widowControl/>
        <w:jc w:val="center"/>
        <w:outlineLvl w:val="0"/>
      </w:pPr>
    </w:p>
    <w:sectPr>
      <w:pgSz w:w="11906" w:h="16838"/>
      <w:pgMar w:top="1440" w:right="1800" w:bottom="1440" w:left="1800" w:header="851" w:footer="992" w:gutter="0"/>
      <w:pgNumType w:fmt="decimal"/>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00007A87" w:usb1="80000000" w:usb2="00000008" w:usb3="00000000" w:csb0="400001FF" w:csb1="FFFF0000"/>
  </w:font>
  <w:font w:name="宋体">
    <w:panose1 w:val="02010600030101010101"/>
    <w:charset w:val="86"/>
    <w:family w:val="auto"/>
    <w:pitch w:val="default"/>
    <w:sig w:usb0="00000203" w:usb1="288F0000" w:usb2="00000006" w:usb3="00000000" w:csb0="00040001"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Cambria">
    <w:altName w:val="FreeSerif"/>
    <w:panose1 w:val="02040503050406030204"/>
    <w:charset w:val="00"/>
    <w:family w:val="roman"/>
    <w:pitch w:val="default"/>
    <w:sig w:usb0="00000000" w:usb1="00000000" w:usb2="00000000" w:usb3="00000000" w:csb0="2000019F" w:csb1="00000000"/>
  </w:font>
  <w:font w:name="FreeSerif">
    <w:panose1 w:val="02020603050405020304"/>
    <w:charset w:val="00"/>
    <w:family w:val="auto"/>
    <w:pitch w:val="default"/>
    <w:sig w:usb0="E59FAFFF" w:usb1="C200FDFF" w:usb2="43501B29" w:usb3="04000043" w:csb0="600101FF" w:csb1="FFFF0000"/>
  </w:font>
  <w:font w:name="仿宋_GB2312">
    <w:panose1 w:val="02010609030101010101"/>
    <w:charset w:val="86"/>
    <w:family w:val="modern"/>
    <w:pitch w:val="default"/>
    <w:sig w:usb0="00000001" w:usb1="080E0000" w:usb2="00000000" w:usb3="00000000" w:csb0="00040000" w:csb1="00000000"/>
  </w:font>
  <w:font w:name="仿宋">
    <w:altName w:val="宋体"/>
    <w:panose1 w:val="02010609060101010101"/>
    <w:charset w:val="86"/>
    <w:family w:val="modern"/>
    <w:pitch w:val="default"/>
    <w:sig w:usb0="00000000" w:usb1="00000000" w:usb2="00000016" w:usb3="00000000" w:csb0="00040001" w:csb1="00000000"/>
  </w:font>
  <w:font w:name="??">
    <w:altName w:val="C059"/>
    <w:panose1 w:val="00000000000000000000"/>
    <w:charset w:val="00"/>
    <w:family w:val="roman"/>
    <w:pitch w:val="default"/>
    <w:sig w:usb0="00000000" w:usb1="00000000" w:usb2="00000000" w:usb3="00000000" w:csb0="00000000" w:csb1="00000000"/>
  </w:font>
  <w:font w:name="C059">
    <w:panose1 w:val="00000500000000000000"/>
    <w:charset w:val="00"/>
    <w:family w:val="auto"/>
    <w:pitch w:val="default"/>
    <w:sig w:usb0="00000287" w:usb1="00000800" w:usb2="00000000" w:usb3="00000000" w:csb0="6000009F" w:csb1="00000000"/>
  </w:font>
  <w:font w:name="方正小标宋简体">
    <w:panose1 w:val="02000000000000000000"/>
    <w:charset w:val="86"/>
    <w:family w:val="script"/>
    <w:pitch w:val="default"/>
    <w:sig w:usb0="A00002BF" w:usb1="184F6CFA" w:usb2="00000012" w:usb3="00000000" w:csb0="00040001" w:csb1="00000000"/>
  </w:font>
  <w:font w:name="方正黑体_GBK">
    <w:panose1 w:val="03000509000000000000"/>
    <w:charset w:val="86"/>
    <w:family w:val="auto"/>
    <w:pitch w:val="default"/>
    <w:sig w:usb0="00000001" w:usb1="080E0000" w:usb2="00000000" w:usb3="00000000" w:csb0="00040000" w:csb1="00000000"/>
  </w:font>
  <w:font w:name="CESI仿宋-GB2312">
    <w:panose1 w:val="02000500000000000000"/>
    <w:charset w:val="86"/>
    <w:family w:val="auto"/>
    <w:pitch w:val="default"/>
    <w:sig w:usb0="800002AF" w:usb1="084F6CF8" w:usb2="00000010" w:usb3="00000000" w:csb0="0004000F" w:csb1="00000000"/>
  </w:font>
  <w:font w:name="国标黑体">
    <w:panose1 w:val="02000500000000000000"/>
    <w:charset w:val="86"/>
    <w:family w:val="auto"/>
    <w:pitch w:val="default"/>
    <w:sig w:usb0="00000001" w:usb1="0800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CESI楷体-GB2312">
    <w:panose1 w:val="02000500000000000000"/>
    <w:charset w:val="86"/>
    <w:family w:val="auto"/>
    <w:pitch w:val="default"/>
    <w:sig w:usb0="800002BF" w:usb1="184F6CF8" w:usb2="00000012" w:usb3="00000000" w:csb0="0004000F" w:csb1="00000000"/>
  </w:font>
  <w:font w:name="方正楷体_GBK">
    <w:panose1 w:val="03000509000000000000"/>
    <w:charset w:val="86"/>
    <w:family w:val="auto"/>
    <w:pitch w:val="default"/>
    <w:sig w:usb0="00000001" w:usb1="080E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Liberation Serif">
    <w:panose1 w:val="02020603050405020304"/>
    <w:charset w:val="00"/>
    <w:family w:val="auto"/>
    <w:pitch w:val="default"/>
    <w:sig w:usb0="A00002AF" w:usb1="500078FB" w:usb2="00000000" w:usb3="00000000" w:csb0="6000009F" w:csb1="DFD70000"/>
  </w:font>
  <w:font w:name="DejaVu Math TeX Gyre">
    <w:panose1 w:val="02000503000000000000"/>
    <w:charset w:val="00"/>
    <w:family w:val="auto"/>
    <w:pitch w:val="default"/>
    <w:sig w:usb0="A10000EF" w:usb1="4201F9EE" w:usb2="02000000" w:usb3="00000000" w:csb0="60000193" w:csb1="0DD4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FEE109">
    <w:pPr>
      <w:pStyle w:val="10"/>
      <w:jc w:val="center"/>
    </w:pPr>
  </w:p>
  <w:p w14:paraId="0D53150D">
    <w:pPr>
      <w:pStyle w:val="1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331655">
    <w:pPr>
      <w:pStyle w:val="10"/>
      <w:jc w:val="center"/>
    </w:pPr>
  </w:p>
  <w:p w14:paraId="02037C85">
    <w:pPr>
      <w:pStyle w:val="1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6B8265">
    <w:pPr>
      <w:pStyle w:val="1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1F0F20">
    <w:pPr>
      <w:pStyle w:val="10"/>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5286B2F">
                          <w:pPr>
                            <w:pStyle w:val="10"/>
                          </w:pPr>
                          <w:r>
                            <w:fldChar w:fldCharType="begin"/>
                          </w:r>
                          <w:r>
                            <w:instrText xml:space="preserve"> PAGE  \* MERGEFORMAT </w:instrText>
                          </w:r>
                          <w:r>
                            <w:fldChar w:fldCharType="separate"/>
                          </w:r>
                          <w:r>
                            <w:t>- 2 -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45286B2F">
                    <w:pPr>
                      <w:pStyle w:val="10"/>
                    </w:pPr>
                    <w:r>
                      <w:fldChar w:fldCharType="begin"/>
                    </w:r>
                    <w:r>
                      <w:instrText xml:space="preserve"> PAGE  \* MERGEFORMAT </w:instrText>
                    </w:r>
                    <w:r>
                      <w:fldChar w:fldCharType="separate"/>
                    </w:r>
                    <w:r>
                      <w:t>- 2 -</w:t>
                    </w:r>
                    <w:r>
                      <w:fldChar w:fldCharType="end"/>
                    </w:r>
                  </w:p>
                </w:txbxContent>
              </v:textbox>
            </v:shape>
          </w:pict>
        </mc:Fallback>
      </mc:AlternateContent>
    </w:r>
  </w:p>
  <w:p w14:paraId="4DEDB342">
    <w:pPr>
      <w:pStyle w:val="1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57339C">
    <w:pPr>
      <w:pStyle w:val="10"/>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E2ECC25">
                          <w:pPr>
                            <w:pStyle w:val="10"/>
                          </w:pPr>
                          <w:r>
                            <w:fldChar w:fldCharType="begin"/>
                          </w:r>
                          <w:r>
                            <w:instrText xml:space="preserve"> PAGE  \* MERGEFORMAT </w:instrText>
                          </w:r>
                          <w:r>
                            <w:fldChar w:fldCharType="separate"/>
                          </w:r>
                          <w:r>
                            <w:t>- 1 -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6E2ECC25">
                    <w:pPr>
                      <w:pStyle w:val="10"/>
                    </w:pPr>
                    <w:r>
                      <w:fldChar w:fldCharType="begin"/>
                    </w:r>
                    <w:r>
                      <w:instrText xml:space="preserve"> PAGE  \* MERGEFORMAT </w:instrText>
                    </w:r>
                    <w:r>
                      <w:fldChar w:fldCharType="separate"/>
                    </w:r>
                    <w:r>
                      <w:t>- 1 -</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1F2FE6">
    <w:pPr>
      <w:pStyle w:val="11"/>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7FE45AD"/>
    <w:multiLevelType w:val="singleLevel"/>
    <w:tmpl w:val="97FE45AD"/>
    <w:lvl w:ilvl="0" w:tentative="0">
      <w:start w:val="5"/>
      <w:numFmt w:val="chineseCounting"/>
      <w:suff w:val="space"/>
      <w:lvlText w:val="第%1部分"/>
      <w:lvlJc w:val="left"/>
      <w:rPr>
        <w:rFonts w:hint="eastAsia"/>
      </w:rPr>
    </w:lvl>
  </w:abstractNum>
  <w:abstractNum w:abstractNumId="1">
    <w:nsid w:val="BBCB19E9"/>
    <w:multiLevelType w:val="singleLevel"/>
    <w:tmpl w:val="BBCB19E9"/>
    <w:lvl w:ilvl="0" w:tentative="0">
      <w:start w:val="3"/>
      <w:numFmt w:val="chineseCounting"/>
      <w:suff w:val="nothing"/>
      <w:lvlText w:val="（%1）"/>
      <w:lvlJc w:val="left"/>
      <w:rPr>
        <w:rFonts w:hint="eastAsia"/>
      </w:rPr>
    </w:lvl>
  </w:abstractNum>
  <w:abstractNum w:abstractNumId="2">
    <w:nsid w:val="BBDE6A79"/>
    <w:multiLevelType w:val="singleLevel"/>
    <w:tmpl w:val="BBDE6A79"/>
    <w:lvl w:ilvl="0" w:tentative="0">
      <w:start w:val="1"/>
      <w:numFmt w:val="decimal"/>
      <w:lvlText w:val="%1."/>
      <w:lvlJc w:val="left"/>
      <w:pPr>
        <w:tabs>
          <w:tab w:val="left" w:pos="312"/>
        </w:tabs>
      </w:pPr>
    </w:lvl>
  </w:abstractNum>
  <w:abstractNum w:abstractNumId="3">
    <w:nsid w:val="BEFF7B06"/>
    <w:multiLevelType w:val="singleLevel"/>
    <w:tmpl w:val="BEFF7B06"/>
    <w:lvl w:ilvl="0" w:tentative="0">
      <w:start w:val="1"/>
      <w:numFmt w:val="chineseCounting"/>
      <w:suff w:val="nothing"/>
      <w:lvlText w:val="%1、"/>
      <w:lvlJc w:val="left"/>
      <w:rPr>
        <w:rFonts w:hint="eastAsia"/>
      </w:rPr>
    </w:lvl>
  </w:abstractNum>
  <w:abstractNum w:abstractNumId="4">
    <w:nsid w:val="FCFD8EA3"/>
    <w:multiLevelType w:val="singleLevel"/>
    <w:tmpl w:val="FCFD8EA3"/>
    <w:lvl w:ilvl="0" w:tentative="0">
      <w:start w:val="1"/>
      <w:numFmt w:val="chineseCounting"/>
      <w:suff w:val="nothing"/>
      <w:lvlText w:val="（%1）"/>
      <w:lvlJc w:val="left"/>
      <w:rPr>
        <w:rFonts w:hint="eastAsia"/>
      </w:rPr>
    </w:lvl>
  </w:abstractNum>
  <w:abstractNum w:abstractNumId="5">
    <w:nsid w:val="5F7E8E52"/>
    <w:multiLevelType w:val="multilevel"/>
    <w:tmpl w:val="5F7E8E52"/>
    <w:lvl w:ilvl="0" w:tentative="0">
      <w:start w:val="1"/>
      <w:numFmt w:val="decimal"/>
      <w:lvlText w:val="%1."/>
      <w:lvlJc w:val="left"/>
      <w:pPr>
        <w:tabs>
          <w:tab w:val="left" w:pos="312"/>
        </w:tabs>
        <w:ind w:left="0" w:firstLine="0"/>
      </w:pPr>
      <w:rPr>
        <w:rFonts w:hint="default" w:ascii="Times New Roman" w:hAnsi="Times New Roman" w:cs="Times New Roman"/>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num w:numId="1">
    <w:abstractNumId w:val="3"/>
  </w:num>
  <w:num w:numId="2">
    <w:abstractNumId w:val="5"/>
  </w:num>
  <w:num w:numId="3">
    <w:abstractNumId w:val="1"/>
  </w:num>
  <w:num w:numId="4">
    <w:abstractNumId w:val="2"/>
  </w:num>
  <w:num w:numId="5">
    <w:abstractNumId w:val="4"/>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38A4"/>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7413C"/>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0156"/>
    <w:rsid w:val="006A3141"/>
    <w:rsid w:val="006A5E34"/>
    <w:rsid w:val="006B2422"/>
    <w:rsid w:val="006B2B9A"/>
    <w:rsid w:val="006C1937"/>
    <w:rsid w:val="006F020C"/>
    <w:rsid w:val="007127B7"/>
    <w:rsid w:val="0071798E"/>
    <w:rsid w:val="007416B6"/>
    <w:rsid w:val="00746BD5"/>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75013"/>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8103C"/>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494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929DB"/>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17821"/>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2A5EC2"/>
    <w:rsid w:val="015975B8"/>
    <w:rsid w:val="02FEBE30"/>
    <w:rsid w:val="04916F1E"/>
    <w:rsid w:val="061E35DE"/>
    <w:rsid w:val="066E0107"/>
    <w:rsid w:val="07996F6E"/>
    <w:rsid w:val="07DFD8BA"/>
    <w:rsid w:val="09867E8F"/>
    <w:rsid w:val="0A2032A3"/>
    <w:rsid w:val="0CA8290A"/>
    <w:rsid w:val="0D35B1ED"/>
    <w:rsid w:val="0E254B6B"/>
    <w:rsid w:val="0F98263C"/>
    <w:rsid w:val="101860EC"/>
    <w:rsid w:val="101F47CC"/>
    <w:rsid w:val="10C055FF"/>
    <w:rsid w:val="11694EBD"/>
    <w:rsid w:val="11772AA4"/>
    <w:rsid w:val="118107EC"/>
    <w:rsid w:val="12E24EE2"/>
    <w:rsid w:val="13D50BC4"/>
    <w:rsid w:val="14B17F78"/>
    <w:rsid w:val="165E0673"/>
    <w:rsid w:val="16B831D5"/>
    <w:rsid w:val="16BB723D"/>
    <w:rsid w:val="17E50567"/>
    <w:rsid w:val="186504BB"/>
    <w:rsid w:val="19A445FC"/>
    <w:rsid w:val="1BAD4F97"/>
    <w:rsid w:val="1BE8440E"/>
    <w:rsid w:val="1CC6347C"/>
    <w:rsid w:val="1D155CEE"/>
    <w:rsid w:val="1D1638FE"/>
    <w:rsid w:val="1E312DEB"/>
    <w:rsid w:val="1E740ACF"/>
    <w:rsid w:val="1EF6D447"/>
    <w:rsid w:val="1FF35744"/>
    <w:rsid w:val="1FF6BC77"/>
    <w:rsid w:val="2186353C"/>
    <w:rsid w:val="23860B96"/>
    <w:rsid w:val="240371BF"/>
    <w:rsid w:val="244F3473"/>
    <w:rsid w:val="24C97D99"/>
    <w:rsid w:val="25A718F0"/>
    <w:rsid w:val="25BB59F6"/>
    <w:rsid w:val="260F557C"/>
    <w:rsid w:val="26970054"/>
    <w:rsid w:val="27FD515E"/>
    <w:rsid w:val="281408E2"/>
    <w:rsid w:val="29FD04D3"/>
    <w:rsid w:val="2BFF7BC6"/>
    <w:rsid w:val="2C8A61B5"/>
    <w:rsid w:val="2DF04E50"/>
    <w:rsid w:val="2E586DFA"/>
    <w:rsid w:val="2EDD2E8D"/>
    <w:rsid w:val="2F040D46"/>
    <w:rsid w:val="2F6B035B"/>
    <w:rsid w:val="2FAE5751"/>
    <w:rsid w:val="2FB1A395"/>
    <w:rsid w:val="2FD9A7D8"/>
    <w:rsid w:val="2FDBF714"/>
    <w:rsid w:val="30AB6865"/>
    <w:rsid w:val="319F7F4E"/>
    <w:rsid w:val="32BD1EF1"/>
    <w:rsid w:val="3304709D"/>
    <w:rsid w:val="33A773CB"/>
    <w:rsid w:val="349D6851"/>
    <w:rsid w:val="355DD111"/>
    <w:rsid w:val="36AA5135"/>
    <w:rsid w:val="36BE0DA7"/>
    <w:rsid w:val="37671A90"/>
    <w:rsid w:val="376B6AA6"/>
    <w:rsid w:val="376D39B2"/>
    <w:rsid w:val="37E16F03"/>
    <w:rsid w:val="37F53A3B"/>
    <w:rsid w:val="389B6C89"/>
    <w:rsid w:val="38D469F0"/>
    <w:rsid w:val="39627CCD"/>
    <w:rsid w:val="397BAF1F"/>
    <w:rsid w:val="3AB79AF3"/>
    <w:rsid w:val="3ABD4758"/>
    <w:rsid w:val="3AE834C0"/>
    <w:rsid w:val="3B7EF35A"/>
    <w:rsid w:val="3B9FDB6C"/>
    <w:rsid w:val="3BF5BC2F"/>
    <w:rsid w:val="3CEBA265"/>
    <w:rsid w:val="3D98207C"/>
    <w:rsid w:val="3DEE7CF3"/>
    <w:rsid w:val="3E740A63"/>
    <w:rsid w:val="3E78745D"/>
    <w:rsid w:val="3EAF5DA4"/>
    <w:rsid w:val="3EE17838"/>
    <w:rsid w:val="3F55381A"/>
    <w:rsid w:val="3F7B2FAC"/>
    <w:rsid w:val="3F7F7599"/>
    <w:rsid w:val="3FF4CAE0"/>
    <w:rsid w:val="3FF7B227"/>
    <w:rsid w:val="43C42FDD"/>
    <w:rsid w:val="43CC351F"/>
    <w:rsid w:val="44E268DA"/>
    <w:rsid w:val="450D13D7"/>
    <w:rsid w:val="45506656"/>
    <w:rsid w:val="486A6C7A"/>
    <w:rsid w:val="4A627F82"/>
    <w:rsid w:val="4B0E749A"/>
    <w:rsid w:val="4B2477C4"/>
    <w:rsid w:val="4B4F25DA"/>
    <w:rsid w:val="4BE068DB"/>
    <w:rsid w:val="4D577224"/>
    <w:rsid w:val="4DBF1CEB"/>
    <w:rsid w:val="4DF0007C"/>
    <w:rsid w:val="4EAB630A"/>
    <w:rsid w:val="4ECE2238"/>
    <w:rsid w:val="4F833267"/>
    <w:rsid w:val="4FE9BD67"/>
    <w:rsid w:val="4FFB052F"/>
    <w:rsid w:val="537E6D0A"/>
    <w:rsid w:val="53F74C96"/>
    <w:rsid w:val="55170BA8"/>
    <w:rsid w:val="553218C9"/>
    <w:rsid w:val="567E1AA5"/>
    <w:rsid w:val="56E47B74"/>
    <w:rsid w:val="57175D52"/>
    <w:rsid w:val="57BD3DD4"/>
    <w:rsid w:val="5AF92295"/>
    <w:rsid w:val="5B250254"/>
    <w:rsid w:val="5BDD79E6"/>
    <w:rsid w:val="5BF561CA"/>
    <w:rsid w:val="5BFF5DFC"/>
    <w:rsid w:val="5CD71FC4"/>
    <w:rsid w:val="5D1F11B5"/>
    <w:rsid w:val="5D695134"/>
    <w:rsid w:val="5DAE1B18"/>
    <w:rsid w:val="5DE7D9E5"/>
    <w:rsid w:val="5ECEC941"/>
    <w:rsid w:val="5FBF9FF3"/>
    <w:rsid w:val="5FCD4E2C"/>
    <w:rsid w:val="5FEF394A"/>
    <w:rsid w:val="5FF67715"/>
    <w:rsid w:val="62BF3928"/>
    <w:rsid w:val="63B3701E"/>
    <w:rsid w:val="647F5392"/>
    <w:rsid w:val="65E66580"/>
    <w:rsid w:val="664B1D71"/>
    <w:rsid w:val="664B4E8E"/>
    <w:rsid w:val="67277B67"/>
    <w:rsid w:val="67AA3209"/>
    <w:rsid w:val="698D0931"/>
    <w:rsid w:val="6A7FE5F3"/>
    <w:rsid w:val="6B053271"/>
    <w:rsid w:val="6BDD78B3"/>
    <w:rsid w:val="6C4A05C8"/>
    <w:rsid w:val="6C8742B8"/>
    <w:rsid w:val="6DBF5E93"/>
    <w:rsid w:val="6DFF077E"/>
    <w:rsid w:val="6E53CA15"/>
    <w:rsid w:val="6E714EF0"/>
    <w:rsid w:val="6E7E3605"/>
    <w:rsid w:val="6E7FDCC7"/>
    <w:rsid w:val="6ED6A62E"/>
    <w:rsid w:val="6EE00B15"/>
    <w:rsid w:val="6F6FB3EB"/>
    <w:rsid w:val="6F8731EA"/>
    <w:rsid w:val="6FCE6052"/>
    <w:rsid w:val="6FD57C00"/>
    <w:rsid w:val="6FDE4008"/>
    <w:rsid w:val="6FEFFFD8"/>
    <w:rsid w:val="6FF5CC65"/>
    <w:rsid w:val="6FFB47EC"/>
    <w:rsid w:val="6FFF034A"/>
    <w:rsid w:val="70484440"/>
    <w:rsid w:val="712A28F1"/>
    <w:rsid w:val="715C0E4B"/>
    <w:rsid w:val="71992E7C"/>
    <w:rsid w:val="72233669"/>
    <w:rsid w:val="72734D90"/>
    <w:rsid w:val="73160E6D"/>
    <w:rsid w:val="7332FE48"/>
    <w:rsid w:val="73AB61DA"/>
    <w:rsid w:val="73AD73D5"/>
    <w:rsid w:val="73B6EB34"/>
    <w:rsid w:val="73FA497D"/>
    <w:rsid w:val="744731E5"/>
    <w:rsid w:val="74BBD01D"/>
    <w:rsid w:val="74ED5379"/>
    <w:rsid w:val="75DEEEC2"/>
    <w:rsid w:val="75E32345"/>
    <w:rsid w:val="76E3355F"/>
    <w:rsid w:val="76FF5125"/>
    <w:rsid w:val="776F6FFA"/>
    <w:rsid w:val="778769C8"/>
    <w:rsid w:val="77A75DCA"/>
    <w:rsid w:val="77DC22F5"/>
    <w:rsid w:val="783E271A"/>
    <w:rsid w:val="78616DE9"/>
    <w:rsid w:val="78E875D7"/>
    <w:rsid w:val="79086DAD"/>
    <w:rsid w:val="79D7FD79"/>
    <w:rsid w:val="79EE5BA4"/>
    <w:rsid w:val="7A894339"/>
    <w:rsid w:val="7AD284E8"/>
    <w:rsid w:val="7AFF7572"/>
    <w:rsid w:val="7B6C7DFB"/>
    <w:rsid w:val="7BBFBED0"/>
    <w:rsid w:val="7BC3E394"/>
    <w:rsid w:val="7C1F3737"/>
    <w:rsid w:val="7CBFC87B"/>
    <w:rsid w:val="7CFE0F48"/>
    <w:rsid w:val="7D272ABC"/>
    <w:rsid w:val="7D77090C"/>
    <w:rsid w:val="7D7DD457"/>
    <w:rsid w:val="7D7EC23E"/>
    <w:rsid w:val="7E8ADEBF"/>
    <w:rsid w:val="7EBB4D90"/>
    <w:rsid w:val="7EEF11D3"/>
    <w:rsid w:val="7EFE4840"/>
    <w:rsid w:val="7F0971A6"/>
    <w:rsid w:val="7F1D62E7"/>
    <w:rsid w:val="7F3F679B"/>
    <w:rsid w:val="7F4FC4EF"/>
    <w:rsid w:val="7F5E4D54"/>
    <w:rsid w:val="7F5F5BEF"/>
    <w:rsid w:val="7F6E0135"/>
    <w:rsid w:val="7F79F205"/>
    <w:rsid w:val="7F7F427C"/>
    <w:rsid w:val="7FA30C79"/>
    <w:rsid w:val="7FA79C44"/>
    <w:rsid w:val="7FAF8ABF"/>
    <w:rsid w:val="7FB7269E"/>
    <w:rsid w:val="7FC96657"/>
    <w:rsid w:val="7FDA9588"/>
    <w:rsid w:val="7FDF220F"/>
    <w:rsid w:val="7FEDC5F7"/>
    <w:rsid w:val="7FEDD9DE"/>
    <w:rsid w:val="7FF5890D"/>
    <w:rsid w:val="7FF78517"/>
    <w:rsid w:val="7FF93490"/>
    <w:rsid w:val="97761201"/>
    <w:rsid w:val="99FF2014"/>
    <w:rsid w:val="A6DD0D7F"/>
    <w:rsid w:val="ACFF4FBB"/>
    <w:rsid w:val="ADC6F725"/>
    <w:rsid w:val="B7CF06AB"/>
    <w:rsid w:val="B7CFA926"/>
    <w:rsid w:val="B7F8786B"/>
    <w:rsid w:val="BABB6AA1"/>
    <w:rsid w:val="BB2F4199"/>
    <w:rsid w:val="BCFFB442"/>
    <w:rsid w:val="BD079C78"/>
    <w:rsid w:val="BD733540"/>
    <w:rsid w:val="BDEF2279"/>
    <w:rsid w:val="BF3735D5"/>
    <w:rsid w:val="BF7F09AC"/>
    <w:rsid w:val="BFD475C3"/>
    <w:rsid w:val="BFDE5EA6"/>
    <w:rsid w:val="CF6FC6F3"/>
    <w:rsid w:val="CFCBDB67"/>
    <w:rsid w:val="CFD3D3D7"/>
    <w:rsid w:val="CFDF1009"/>
    <w:rsid w:val="D3FF1F1C"/>
    <w:rsid w:val="D7160894"/>
    <w:rsid w:val="D7D7B16A"/>
    <w:rsid w:val="D8D6DB89"/>
    <w:rsid w:val="DB6F4CAB"/>
    <w:rsid w:val="DB777682"/>
    <w:rsid w:val="DD1FB521"/>
    <w:rsid w:val="DD7DEC36"/>
    <w:rsid w:val="DEFBFEAE"/>
    <w:rsid w:val="DF1F3B80"/>
    <w:rsid w:val="DF6F9789"/>
    <w:rsid w:val="DF792396"/>
    <w:rsid w:val="DF881774"/>
    <w:rsid w:val="DFE9BE81"/>
    <w:rsid w:val="DFFFA9E8"/>
    <w:rsid w:val="E5F4E9DC"/>
    <w:rsid w:val="E70FE695"/>
    <w:rsid w:val="EB2E368B"/>
    <w:rsid w:val="ECFED1BC"/>
    <w:rsid w:val="ED1D69BB"/>
    <w:rsid w:val="ED7FD312"/>
    <w:rsid w:val="EDFD7BBD"/>
    <w:rsid w:val="EEFBC12E"/>
    <w:rsid w:val="EF2E1AC6"/>
    <w:rsid w:val="EF53993F"/>
    <w:rsid w:val="EF6FD633"/>
    <w:rsid w:val="EFBFB2F4"/>
    <w:rsid w:val="EFBFFA21"/>
    <w:rsid w:val="F2BEBCB8"/>
    <w:rsid w:val="F36FB518"/>
    <w:rsid w:val="F3DE1A04"/>
    <w:rsid w:val="F3F722E5"/>
    <w:rsid w:val="F4FBCD07"/>
    <w:rsid w:val="F7FF4243"/>
    <w:rsid w:val="FA5F1E70"/>
    <w:rsid w:val="FA5FDB97"/>
    <w:rsid w:val="FB56E02A"/>
    <w:rsid w:val="FB7F486A"/>
    <w:rsid w:val="FBD719CA"/>
    <w:rsid w:val="FBFF5B2E"/>
    <w:rsid w:val="FC3EE73B"/>
    <w:rsid w:val="FD7FFE2B"/>
    <w:rsid w:val="FDEE196B"/>
    <w:rsid w:val="FDFE6575"/>
    <w:rsid w:val="FEA710C4"/>
    <w:rsid w:val="FEDFDDC2"/>
    <w:rsid w:val="FEED32F6"/>
    <w:rsid w:val="FEF781DD"/>
    <w:rsid w:val="FF3F7E3F"/>
    <w:rsid w:val="FFACD6D8"/>
    <w:rsid w:val="FFBA12D7"/>
    <w:rsid w:val="FFCBD314"/>
    <w:rsid w:val="FFDFF91C"/>
    <w:rsid w:val="FFDFFAEE"/>
    <w:rsid w:val="FFEF6777"/>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29"/>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30"/>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link w:val="33"/>
    <w:unhideWhenUsed/>
    <w:qFormat/>
    <w:uiPriority w:val="9"/>
    <w:pPr>
      <w:keepNext/>
      <w:keepLines/>
      <w:spacing w:before="260" w:after="260" w:line="416" w:lineRule="auto"/>
      <w:outlineLvl w:val="2"/>
    </w:pPr>
    <w:rPr>
      <w:b/>
      <w:bCs/>
      <w:sz w:val="32"/>
      <w:szCs w:val="32"/>
    </w:rPr>
  </w:style>
  <w:style w:type="character" w:default="1" w:styleId="17">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link w:val="26"/>
    <w:qFormat/>
    <w:uiPriority w:val="99"/>
    <w:pPr>
      <w:spacing w:beforeLines="30"/>
    </w:pPr>
    <w:rPr>
      <w:rFonts w:ascii="仿宋_GB2312" w:eastAsia="仿宋_GB2312"/>
      <w:kern w:val="0"/>
      <w:sz w:val="30"/>
    </w:rPr>
  </w:style>
  <w:style w:type="paragraph" w:styleId="6">
    <w:name w:val="Body Text Indent"/>
    <w:basedOn w:val="1"/>
    <w:next w:val="7"/>
    <w:qFormat/>
    <w:uiPriority w:val="0"/>
    <w:pPr>
      <w:spacing w:after="120"/>
      <w:ind w:left="200" w:leftChars="200"/>
    </w:pPr>
    <w:rPr>
      <w:rFonts w:ascii="仿宋_GB2312"/>
      <w:szCs w:val="32"/>
    </w:rPr>
  </w:style>
  <w:style w:type="paragraph" w:styleId="7">
    <w:name w:val="Body Text First Indent 2"/>
    <w:basedOn w:val="6"/>
    <w:unhideWhenUsed/>
    <w:qFormat/>
    <w:uiPriority w:val="99"/>
    <w:pPr>
      <w:ind w:firstLine="420" w:firstLineChars="200"/>
    </w:pPr>
  </w:style>
  <w:style w:type="paragraph" w:styleId="8">
    <w:name w:val="toc 3"/>
    <w:basedOn w:val="1"/>
    <w:next w:val="1"/>
    <w:unhideWhenUsed/>
    <w:qFormat/>
    <w:uiPriority w:val="39"/>
    <w:pPr>
      <w:tabs>
        <w:tab w:val="right" w:leader="dot" w:pos="8296"/>
      </w:tabs>
      <w:ind w:left="840" w:leftChars="400"/>
    </w:pPr>
  </w:style>
  <w:style w:type="paragraph" w:styleId="9">
    <w:name w:val="Balloon Text"/>
    <w:basedOn w:val="1"/>
    <w:link w:val="32"/>
    <w:semiHidden/>
    <w:unhideWhenUsed/>
    <w:qFormat/>
    <w:uiPriority w:val="99"/>
    <w:rPr>
      <w:sz w:val="18"/>
      <w:szCs w:val="18"/>
    </w:rPr>
  </w:style>
  <w:style w:type="paragraph" w:styleId="10">
    <w:name w:val="footer"/>
    <w:basedOn w:val="1"/>
    <w:link w:val="24"/>
    <w:qFormat/>
    <w:uiPriority w:val="99"/>
    <w:pPr>
      <w:tabs>
        <w:tab w:val="center" w:pos="4153"/>
        <w:tab w:val="right" w:pos="8306"/>
      </w:tabs>
      <w:snapToGrid w:val="0"/>
      <w:jc w:val="left"/>
    </w:pPr>
    <w:rPr>
      <w:rFonts w:ascii="Calibri" w:hAnsi="Calibri"/>
      <w:kern w:val="0"/>
      <w:sz w:val="18"/>
      <w:szCs w:val="18"/>
    </w:rPr>
  </w:style>
  <w:style w:type="paragraph" w:styleId="11">
    <w:name w:val="header"/>
    <w:basedOn w:val="1"/>
    <w:link w:val="22"/>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2">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3">
    <w:name w:val="footnote text"/>
    <w:basedOn w:val="1"/>
    <w:next w:val="7"/>
    <w:semiHidden/>
    <w:qFormat/>
    <w:uiPriority w:val="0"/>
    <w:pPr>
      <w:snapToGrid w:val="0"/>
      <w:jc w:val="left"/>
    </w:pPr>
    <w:rPr>
      <w:sz w:val="18"/>
      <w:szCs w:val="18"/>
    </w:rPr>
  </w:style>
  <w:style w:type="paragraph" w:styleId="14">
    <w:name w:val="toc 2"/>
    <w:basedOn w:val="1"/>
    <w:next w:val="1"/>
    <w:unhideWhenUsed/>
    <w:qFormat/>
    <w:uiPriority w:val="39"/>
    <w:pPr>
      <w:tabs>
        <w:tab w:val="right" w:leader="dot" w:pos="8296"/>
      </w:tabs>
      <w:ind w:left="420" w:leftChars="200"/>
    </w:pPr>
  </w:style>
  <w:style w:type="paragraph" w:styleId="15">
    <w:name w:val="Normal (Web)"/>
    <w:basedOn w:val="1"/>
    <w:semiHidden/>
    <w:unhideWhenUsed/>
    <w:qFormat/>
    <w:uiPriority w:val="99"/>
    <w:rPr>
      <w:sz w:val="24"/>
    </w:rPr>
  </w:style>
  <w:style w:type="character" w:styleId="18">
    <w:name w:val="Strong"/>
    <w:basedOn w:val="17"/>
    <w:qFormat/>
    <w:uiPriority w:val="99"/>
    <w:rPr>
      <w:b/>
    </w:rPr>
  </w:style>
  <w:style w:type="character" w:styleId="19">
    <w:name w:val="Hyperlink"/>
    <w:basedOn w:val="17"/>
    <w:unhideWhenUsed/>
    <w:qFormat/>
    <w:uiPriority w:val="99"/>
    <w:rPr>
      <w:color w:val="0000FF" w:themeColor="hyperlink"/>
      <w:u w:val="single"/>
      <w14:textFill>
        <w14:solidFill>
          <w14:schemeClr w14:val="hlink"/>
        </w14:solidFill>
      </w14:textFill>
    </w:rPr>
  </w:style>
  <w:style w:type="paragraph" w:customStyle="1" w:styleId="20">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character" w:customStyle="1" w:styleId="21">
    <w:name w:val="Header Char"/>
    <w:basedOn w:val="17"/>
    <w:semiHidden/>
    <w:qFormat/>
    <w:uiPriority w:val="99"/>
    <w:rPr>
      <w:rFonts w:ascii="Times New Roman" w:hAnsi="Times New Roman"/>
      <w:sz w:val="18"/>
      <w:szCs w:val="18"/>
    </w:rPr>
  </w:style>
  <w:style w:type="character" w:customStyle="1" w:styleId="22">
    <w:name w:val="页眉 Char"/>
    <w:link w:val="11"/>
    <w:semiHidden/>
    <w:qFormat/>
    <w:locked/>
    <w:uiPriority w:val="99"/>
    <w:rPr>
      <w:sz w:val="18"/>
    </w:rPr>
  </w:style>
  <w:style w:type="character" w:customStyle="1" w:styleId="23">
    <w:name w:val="Footer Char"/>
    <w:basedOn w:val="17"/>
    <w:semiHidden/>
    <w:qFormat/>
    <w:uiPriority w:val="99"/>
    <w:rPr>
      <w:rFonts w:ascii="Times New Roman" w:hAnsi="Times New Roman"/>
      <w:sz w:val="18"/>
      <w:szCs w:val="18"/>
    </w:rPr>
  </w:style>
  <w:style w:type="character" w:customStyle="1" w:styleId="24">
    <w:name w:val="页脚 Char"/>
    <w:link w:val="10"/>
    <w:qFormat/>
    <w:locked/>
    <w:uiPriority w:val="99"/>
    <w:rPr>
      <w:sz w:val="18"/>
    </w:rPr>
  </w:style>
  <w:style w:type="character" w:customStyle="1" w:styleId="25">
    <w:name w:val="Body Text Char"/>
    <w:basedOn w:val="17"/>
    <w:semiHidden/>
    <w:qFormat/>
    <w:uiPriority w:val="99"/>
    <w:rPr>
      <w:rFonts w:ascii="Times New Roman" w:hAnsi="Times New Roman"/>
      <w:szCs w:val="24"/>
    </w:rPr>
  </w:style>
  <w:style w:type="character" w:customStyle="1" w:styleId="26">
    <w:name w:val="正文文本 Char"/>
    <w:link w:val="2"/>
    <w:qFormat/>
    <w:locked/>
    <w:uiPriority w:val="99"/>
    <w:rPr>
      <w:rFonts w:ascii="仿宋_GB2312" w:hAnsi="Times New Roman" w:eastAsia="仿宋_GB2312"/>
      <w:sz w:val="24"/>
    </w:rPr>
  </w:style>
  <w:style w:type="paragraph" w:customStyle="1" w:styleId="27">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8">
    <w:name w:val="List Paragraph"/>
    <w:basedOn w:val="1"/>
    <w:qFormat/>
    <w:uiPriority w:val="34"/>
    <w:pPr>
      <w:ind w:firstLine="420" w:firstLineChars="200"/>
    </w:pPr>
  </w:style>
  <w:style w:type="character" w:customStyle="1" w:styleId="29">
    <w:name w:val="标题 1 Char"/>
    <w:basedOn w:val="17"/>
    <w:link w:val="3"/>
    <w:qFormat/>
    <w:uiPriority w:val="9"/>
    <w:rPr>
      <w:rFonts w:ascii="Times New Roman" w:hAnsi="Times New Roman"/>
      <w:b/>
      <w:bCs/>
      <w:kern w:val="44"/>
      <w:sz w:val="44"/>
      <w:szCs w:val="44"/>
    </w:rPr>
  </w:style>
  <w:style w:type="character" w:customStyle="1" w:styleId="30">
    <w:name w:val="标题 2 Char"/>
    <w:basedOn w:val="17"/>
    <w:link w:val="4"/>
    <w:qFormat/>
    <w:uiPriority w:val="9"/>
    <w:rPr>
      <w:rFonts w:asciiTheme="majorHAnsi" w:hAnsiTheme="majorHAnsi" w:eastAsiaTheme="majorEastAsia" w:cstheme="majorBidi"/>
      <w:b/>
      <w:bCs/>
      <w:kern w:val="2"/>
      <w:sz w:val="32"/>
      <w:szCs w:val="32"/>
    </w:rPr>
  </w:style>
  <w:style w:type="paragraph" w:customStyle="1" w:styleId="31">
    <w:name w:val="TOC 标题1"/>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2">
    <w:name w:val="批注框文本 Char"/>
    <w:basedOn w:val="17"/>
    <w:link w:val="9"/>
    <w:semiHidden/>
    <w:qFormat/>
    <w:uiPriority w:val="99"/>
    <w:rPr>
      <w:rFonts w:ascii="Times New Roman" w:hAnsi="Times New Roman"/>
      <w:kern w:val="2"/>
      <w:sz w:val="18"/>
      <w:szCs w:val="18"/>
    </w:rPr>
  </w:style>
  <w:style w:type="character" w:customStyle="1" w:styleId="33">
    <w:name w:val="标题 3 Char"/>
    <w:basedOn w:val="17"/>
    <w:link w:val="5"/>
    <w:qFormat/>
    <w:uiPriority w:val="9"/>
    <w:rPr>
      <w:rFonts w:ascii="Times New Roman" w:hAnsi="Times New Roman"/>
      <w:b/>
      <w:bCs/>
      <w:kern w:val="2"/>
      <w:sz w:val="32"/>
      <w:szCs w:val="32"/>
    </w:rPr>
  </w:style>
  <w:style w:type="paragraph" w:customStyle="1" w:styleId="34">
    <w:name w:val="TOC 标题2"/>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5">
    <w:name w:val="四号正文"/>
    <w:basedOn w:val="1"/>
    <w:qFormat/>
    <w:uiPriority w:val="0"/>
    <w:pPr>
      <w:spacing w:line="360" w:lineRule="auto"/>
    </w:pPr>
    <w:rPr>
      <w:rFonts w:ascii="??" w:hAnsi="??"/>
      <w:color w:val="000000"/>
      <w:kern w:val="0"/>
      <w:sz w:val="28"/>
      <w:szCs w:val="21"/>
      <w:lang w:val="zh-CN"/>
    </w:rPr>
  </w:style>
  <w:style w:type="character" w:customStyle="1" w:styleId="36">
    <w:name w:val="10"/>
    <w:basedOn w:val="17"/>
    <w:qFormat/>
    <w:uiPriority w:val="0"/>
    <w:rPr>
      <w:rFonts w:hint="default" w:ascii="Times New Roman" w:hAnsi="Times New Roman" w:cs="Times New Roman"/>
    </w:rPr>
  </w:style>
  <w:style w:type="character" w:customStyle="1" w:styleId="37">
    <w:name w:val="15"/>
    <w:basedOn w:val="17"/>
    <w:qFormat/>
    <w:uiPriority w:val="0"/>
    <w:rPr>
      <w:rFonts w:hint="default" w:ascii="Times New Roman" w:hAnsi="Times New Roman" w:cs="Times New Roman"/>
      <w:b/>
    </w:rPr>
  </w:style>
  <w:style w:type="paragraph" w:customStyle="1" w:styleId="38">
    <w:name w:val="WPSOffice手动目录 1"/>
    <w:qFormat/>
    <w:uiPriority w:val="0"/>
    <w:pPr>
      <w:ind w:leftChars="0"/>
    </w:pPr>
    <w:rPr>
      <w:rFonts w:ascii="Times New Roman" w:hAnsi="Times New Roman" w:eastAsia="宋体" w:cs="Times New Roman"/>
      <w:sz w:val="20"/>
      <w:szCs w:val="20"/>
    </w:rPr>
  </w:style>
  <w:style w:type="paragraph" w:customStyle="1" w:styleId="39">
    <w:name w:val="WPSOffice手动目录 2"/>
    <w:qFormat/>
    <w:uiPriority w:val="0"/>
    <w:pPr>
      <w:ind w:leftChars="200"/>
    </w:pPr>
    <w:rPr>
      <w:rFonts w:ascii="Times New Roman" w:hAnsi="Times New Roman" w:eastAsia="宋体" w:cs="Times New Roman"/>
      <w:sz w:val="20"/>
      <w:szCs w:val="20"/>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numbering" Target="numbering.xml"/><Relationship Id="rId17" Type="http://schemas.openxmlformats.org/officeDocument/2006/relationships/customXml" Target="../customXml/item1.xml"/><Relationship Id="rId16" Type="http://schemas.openxmlformats.org/officeDocument/2006/relationships/chart" Target="charts/chart7.xml"/><Relationship Id="rId15" Type="http://schemas.openxmlformats.org/officeDocument/2006/relationships/chart" Target="charts/chart6.xml"/><Relationship Id="rId14" Type="http://schemas.openxmlformats.org/officeDocument/2006/relationships/chart" Target="charts/chart5.xml"/><Relationship Id="rId13" Type="http://schemas.openxmlformats.org/officeDocument/2006/relationships/chart" Target="charts/chart4.xml"/><Relationship Id="rId12" Type="http://schemas.openxmlformats.org/officeDocument/2006/relationships/chart" Target="charts/chart3.xml"/><Relationship Id="rId11" Type="http://schemas.openxmlformats.org/officeDocument/2006/relationships/chart" Target="charts/chart2.xml"/><Relationship Id="rId10" Type="http://schemas.openxmlformats.org/officeDocument/2006/relationships/chart" Target="charts/chart1.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2.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package" Target="../embeddings/Workbook6.xlsx"/></Relationships>
</file>

<file path=word/charts/_rels/chart3.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4.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_rels/chart5.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6.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7.xml.rels><?xml version="1.0" encoding="UTF-8" standalone="yes"?>
<Relationships xmlns="http://schemas.openxmlformats.org/package/2006/relationships"><Relationship Id="rId3" Type="http://schemas.microsoft.com/office/2011/relationships/chartColorStyle" Target="colors7.xml"/><Relationship Id="rId2" Type="http://schemas.microsoft.com/office/2011/relationships/chartStyle" Target="style7.xml"/><Relationship Id="rId1" Type="http://schemas.openxmlformats.org/officeDocument/2006/relationships/package" Target="../embeddings/Workbook7.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收入、支出决算</a:t>
            </a:r>
          </a:p>
        </c:rich>
      </c:tx>
      <c:layout/>
      <c:overlay val="0"/>
      <c:spPr>
        <a:noFill/>
        <a:ln>
          <a:noFill/>
        </a:ln>
        <a:effectLst/>
      </c:spPr>
    </c:title>
    <c:autoTitleDeleted val="0"/>
    <c:plotArea>
      <c:layout>
        <c:manualLayout>
          <c:layoutTarget val="inner"/>
          <c:xMode val="edge"/>
          <c:yMode val="edge"/>
          <c:x val="0.16037620618053"/>
          <c:y val="0.054613733905579"/>
          <c:w val="0.748259435690729"/>
          <c:h val="0.866773962804006"/>
        </c:manualLayout>
      </c:layout>
      <c:barChart>
        <c:barDir val="col"/>
        <c:grouping val="clustered"/>
        <c:varyColors val="0"/>
        <c:ser>
          <c:idx val="0"/>
          <c:order val="0"/>
          <c:tx>
            <c:strRef>
              <c:f>Sheet1!$B$1</c:f>
              <c:strCache>
                <c:ptCount val="1"/>
                <c:pt idx="0">
                  <c:v>2024年</c:v>
                </c:pt>
              </c:strCache>
            </c:strRef>
          </c:tx>
          <c:spPr>
            <a:gradFill>
              <a:gsLst>
                <a:gs pos="0">
                  <a:schemeClr val="accent1">
                    <a:lumMod val="40000"/>
                    <a:lumOff val="60000"/>
                  </a:schemeClr>
                </a:gs>
                <a:gs pos="90000">
                  <a:schemeClr val="accent1"/>
                </a:gs>
              </a:gsLst>
              <a:lin ang="5400000" scaled="0"/>
            </a:gradFill>
            <a:ln>
              <a:gradFill>
                <a:gsLst>
                  <a:gs pos="0">
                    <a:schemeClr val="accent1"/>
                  </a:gs>
                  <a:gs pos="100000">
                    <a:schemeClr val="accent1">
                      <a:lumMod val="75000"/>
                    </a:schemeClr>
                  </a:gs>
                </a:gsLst>
                <a:lin ang="5400000" scaled="1"/>
              </a:gradFill>
            </a:ln>
            <a:effectLst>
              <a:outerShdw blurRad="76200" dist="25400" dir="2700000" algn="tl" rotWithShape="0">
                <a:schemeClr val="accent1">
                  <a:lumMod val="50000"/>
                  <a:alpha val="30000"/>
                </a:schemeClr>
              </a:outerShdw>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in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Sheet1!$A$2</c:f>
              <c:strCache>
                <c:ptCount val="1"/>
                <c:pt idx="0">
                  <c:v>收入、支出决算</c:v>
                </c:pt>
              </c:strCache>
            </c:strRef>
          </c:cat>
          <c:val>
            <c:numRef>
              <c:f>Sheet1!$B$2</c:f>
              <c:numCache>
                <c:formatCode>#,##0.00</c:formatCode>
                <c:ptCount val="1"/>
                <c:pt idx="0">
                  <c:v>34480.82</c:v>
                </c:pt>
              </c:numCache>
            </c:numRef>
          </c:val>
        </c:ser>
        <c:ser>
          <c:idx val="1"/>
          <c:order val="1"/>
          <c:tx>
            <c:strRef>
              <c:f>Sheet1!$C$1</c:f>
              <c:strCache>
                <c:ptCount val="1"/>
                <c:pt idx="0">
                  <c:v>2023年</c:v>
                </c:pt>
              </c:strCache>
            </c:strRef>
          </c:tx>
          <c:spPr>
            <a:gradFill>
              <a:gsLst>
                <a:gs pos="0">
                  <a:schemeClr val="accent2">
                    <a:lumMod val="40000"/>
                    <a:lumOff val="60000"/>
                  </a:schemeClr>
                </a:gs>
                <a:gs pos="90000">
                  <a:schemeClr val="accent2"/>
                </a:gs>
              </a:gsLst>
              <a:lin ang="5400000" scaled="0"/>
            </a:gradFill>
            <a:ln>
              <a:gradFill>
                <a:gsLst>
                  <a:gs pos="0">
                    <a:schemeClr val="accent2"/>
                  </a:gs>
                  <a:gs pos="100000">
                    <a:schemeClr val="accent2">
                      <a:lumMod val="75000"/>
                    </a:schemeClr>
                  </a:gs>
                </a:gsLst>
                <a:lin ang="5400000" scaled="1"/>
              </a:gradFill>
            </a:ln>
            <a:effectLst>
              <a:outerShdw blurRad="76200" dist="25400" dir="2700000" algn="tl" rotWithShape="0">
                <a:schemeClr val="accent2">
                  <a:lumMod val="50000"/>
                  <a:alpha val="30000"/>
                </a:schemeClr>
              </a:outerShdw>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in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Sheet1!$A$2</c:f>
              <c:strCache>
                <c:ptCount val="1"/>
                <c:pt idx="0">
                  <c:v>收入、支出决算</c:v>
                </c:pt>
              </c:strCache>
            </c:strRef>
          </c:cat>
          <c:val>
            <c:numRef>
              <c:f>Sheet1!$C$2</c:f>
              <c:numCache>
                <c:formatCode>General</c:formatCode>
                <c:ptCount val="1"/>
                <c:pt idx="0">
                  <c:v>39798.51</c:v>
                </c:pt>
              </c:numCache>
            </c:numRef>
          </c:val>
        </c:ser>
        <c:dLbls>
          <c:showLegendKey val="0"/>
          <c:showVal val="1"/>
          <c:showCatName val="0"/>
          <c:showSerName val="0"/>
          <c:showPercent val="0"/>
          <c:showBubbleSize val="0"/>
        </c:dLbls>
        <c:gapWidth val="260"/>
        <c:overlap val="-32"/>
        <c:axId val="177253376"/>
        <c:axId val="177304320"/>
      </c:barChart>
      <c:catAx>
        <c:axId val="177253376"/>
        <c:scaling>
          <c:orientation val="minMax"/>
        </c:scaling>
        <c:delete val="0"/>
        <c:axPos val="b"/>
        <c:numFmt formatCode="General" sourceLinked="0"/>
        <c:majorTickMark val="out"/>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77304320"/>
        <c:crosses val="autoZero"/>
        <c:auto val="1"/>
        <c:lblAlgn val="ctr"/>
        <c:lblOffset val="100"/>
        <c:noMultiLvlLbl val="0"/>
      </c:catAx>
      <c:valAx>
        <c:axId val="177304320"/>
        <c:scaling>
          <c:orientation val="minMax"/>
        </c:scaling>
        <c:delete val="0"/>
        <c:axPos val="l"/>
        <c:numFmt formatCode="#,##0.00" sourceLinked="1"/>
        <c:majorTickMark val="out"/>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77253376"/>
        <c:crosses val="autoZero"/>
        <c:crossBetween val="between"/>
      </c:valAx>
      <c:spPr>
        <a:noFill/>
        <a:ln>
          <a:noFill/>
        </a:ln>
        <a:effectLst/>
      </c:spPr>
    </c:plotArea>
    <c:legend>
      <c:legendPos val="r"/>
      <c:layout>
        <c:manualLayout>
          <c:xMode val="edge"/>
          <c:yMode val="edge"/>
          <c:x val="0.801270306583608"/>
          <c:y val="0.440808297567954"/>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104344a3-567e-4f0c-9031-bd138a068f37}"/>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view3D>
      <c:rotX val="30"/>
      <c:rotY val="0"/>
      <c:depthPercent val="100"/>
      <c:rAngAx val="0"/>
    </c:view3D>
    <c:floor>
      <c:thickness val="0"/>
      <c:spPr>
        <a:noFill/>
        <a:effectLst/>
      </c:spPr>
    </c:floor>
    <c:sideWall>
      <c:thickness val="0"/>
      <c:spPr>
        <a:noFill/>
        <a:effectLst/>
      </c:spPr>
    </c:sideWall>
    <c:backWall>
      <c:thickness val="0"/>
      <c:spPr>
        <a:noFill/>
        <a:effectLst/>
      </c:spPr>
    </c:backWall>
    <c:plotArea>
      <c:layout>
        <c:manualLayout>
          <c:layoutTarget val="inner"/>
          <c:xMode val="edge"/>
          <c:yMode val="edge"/>
          <c:x val="0.0315293549166465"/>
          <c:y val="0.145771355716107"/>
          <c:w val="0.946847064508335"/>
          <c:h val="0.720356991075223"/>
        </c:manualLayout>
      </c:layout>
      <c:pie3DChart>
        <c:varyColors val="1"/>
        <c:ser>
          <c:idx val="0"/>
          <c:order val="0"/>
          <c:tx>
            <c:strRef>
              <c:f>Sheet1!$B$1</c:f>
              <c:strCache>
                <c:ptCount val="1"/>
                <c:pt idx="0">
                  <c:v>收入决算</c:v>
                </c:pt>
              </c:strCache>
            </c:strRef>
          </c:tx>
          <c:spPr>
            <a:scene3d>
              <a:camera prst="orthographicFront"/>
              <a:lightRig rig="threePt" dir="t"/>
            </a:scene3d>
            <a:sp3d contourW="9525"/>
          </c:spPr>
          <c:explosion val="0"/>
          <c:dPt>
            <c:idx val="0"/>
            <c:bubble3D val="0"/>
            <c:spPr>
              <a:solidFill>
                <a:schemeClr val="accent1"/>
              </a:solidFill>
              <a:ln>
                <a:solidFill>
                  <a:schemeClr val="bg1"/>
                </a:solidFill>
              </a:ln>
              <a:effectLst/>
              <a:scene3d>
                <a:camera prst="orthographicFront"/>
                <a:lightRig rig="threePt" dir="t"/>
              </a:scene3d>
              <a:sp3d contourW="9525"/>
            </c:spPr>
          </c:dPt>
          <c:dPt>
            <c:idx val="1"/>
            <c:bubble3D val="0"/>
            <c:spPr>
              <a:solidFill>
                <a:schemeClr val="accent2"/>
              </a:solidFill>
              <a:ln>
                <a:solidFill>
                  <a:schemeClr val="bg1"/>
                </a:solidFill>
              </a:ln>
              <a:effectLst/>
              <a:scene3d>
                <a:camera prst="orthographicFront"/>
                <a:lightRig rig="threePt" dir="t"/>
              </a:scene3d>
              <a:sp3d contourW="9525"/>
            </c:spPr>
          </c:dPt>
          <c:dPt>
            <c:idx val="2"/>
            <c:bubble3D val="0"/>
            <c:spPr>
              <a:solidFill>
                <a:schemeClr val="accent3"/>
              </a:solidFill>
              <a:ln>
                <a:solidFill>
                  <a:schemeClr val="bg1"/>
                </a:solidFill>
              </a:ln>
              <a:effectLst/>
              <a:scene3d>
                <a:camera prst="orthographicFront"/>
                <a:lightRig rig="threePt" dir="t"/>
              </a:scene3d>
              <a:sp3d contourW="9525"/>
            </c:spPr>
          </c:dPt>
          <c:dPt>
            <c:idx val="3"/>
            <c:bubble3D val="0"/>
            <c:spPr>
              <a:solidFill>
                <a:schemeClr val="accent4"/>
              </a:solidFill>
              <a:ln>
                <a:solidFill>
                  <a:schemeClr val="bg1"/>
                </a:solidFill>
              </a:ln>
              <a:effectLst/>
              <a:scene3d>
                <a:camera prst="orthographicFront"/>
                <a:lightRig rig="threePt" dir="t"/>
              </a:scene3d>
              <a:sp3d contourW="9525"/>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一般公共预算财政拨款收入</c:v>
                </c:pt>
                <c:pt idx="1">
                  <c:v>政府性基金预算财政拨款收入</c:v>
                </c:pt>
                <c:pt idx="2">
                  <c:v>事业收入</c:v>
                </c:pt>
                <c:pt idx="3">
                  <c:v>其他收入</c:v>
                </c:pt>
              </c:strCache>
            </c:strRef>
          </c:cat>
          <c:val>
            <c:numRef>
              <c:f>Sheet1!$B$2:$B$5</c:f>
              <c:numCache>
                <c:formatCode>General</c:formatCode>
                <c:ptCount val="4"/>
                <c:pt idx="0">
                  <c:v>14992.29</c:v>
                </c:pt>
                <c:pt idx="1">
                  <c:v>7064.16</c:v>
                </c:pt>
                <c:pt idx="2">
                  <c:v>11335.82</c:v>
                </c:pt>
                <c:pt idx="3">
                  <c:v>811.07</c:v>
                </c:pt>
              </c:numCache>
            </c:numRef>
          </c:val>
        </c:ser>
        <c:dLbls>
          <c:showLegendKey val="0"/>
          <c:showVal val="1"/>
          <c:showCatName val="0"/>
          <c:showSerName val="0"/>
          <c:showPercent val="0"/>
          <c:showBubbleSize val="0"/>
        </c:dLbls>
      </c:pie3DChart>
      <c:spPr>
        <a:noFill/>
        <a:ln>
          <a:noFill/>
        </a:ln>
        <a:effectLst/>
      </c:spPr>
    </c:plotArea>
    <c:legend>
      <c:legendPos val="t"/>
      <c:layout>
        <c:manualLayout>
          <c:xMode val="edge"/>
          <c:yMode val="edge"/>
          <c:x val="0.0874003382459531"/>
          <c:y val="0.890777730556736"/>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4c032700-22e9-467a-9bd8-9d1031c69c61}"/>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view3D>
      <c:rotX val="30"/>
      <c:rotY val="0"/>
      <c:depthPercent val="100"/>
      <c:rAngAx val="0"/>
    </c:view3D>
    <c:floor>
      <c:thickness val="0"/>
      <c:spPr>
        <a:noFill/>
        <a:effectLst/>
      </c:spPr>
    </c:floor>
    <c:sideWall>
      <c:thickness val="0"/>
      <c:spPr>
        <a:noFill/>
        <a:effectLst/>
      </c:spPr>
    </c:sideWall>
    <c:backWall>
      <c:thickness val="0"/>
      <c:spPr>
        <a:noFill/>
        <a:effectLst/>
      </c:spPr>
    </c:backWall>
    <c:plotArea>
      <c:layout>
        <c:manualLayout>
          <c:layoutTarget val="inner"/>
          <c:xMode val="edge"/>
          <c:yMode val="edge"/>
          <c:x val="0.0265764677458323"/>
          <c:y val="0.279908414424728"/>
          <c:w val="0.946847064508335"/>
          <c:h val="0.68689181453921"/>
        </c:manualLayout>
      </c:layout>
      <c:pie3DChart>
        <c:varyColors val="1"/>
        <c:ser>
          <c:idx val="0"/>
          <c:order val="0"/>
          <c:tx>
            <c:strRef>
              <c:f>Sheet1!$B$1</c:f>
              <c:strCache>
                <c:ptCount val="1"/>
                <c:pt idx="0">
                  <c:v>支出决算</c:v>
                </c:pt>
              </c:strCache>
            </c:strRef>
          </c:tx>
          <c:spPr>
            <a:scene3d>
              <a:camera prst="orthographicFront"/>
              <a:lightRig rig="threePt" dir="t"/>
            </a:scene3d>
            <a:sp3d contourW="9525"/>
          </c:spPr>
          <c:explosion val="0"/>
          <c:dPt>
            <c:idx val="0"/>
            <c:bubble3D val="0"/>
            <c:spPr>
              <a:solidFill>
                <a:schemeClr val="accent1"/>
              </a:solidFill>
              <a:ln>
                <a:solidFill>
                  <a:schemeClr val="bg1"/>
                </a:solidFill>
              </a:ln>
              <a:effectLst/>
              <a:scene3d>
                <a:camera prst="orthographicFront"/>
                <a:lightRig rig="threePt" dir="t"/>
              </a:scene3d>
              <a:sp3d contourW="9525"/>
            </c:spPr>
          </c:dPt>
          <c:dPt>
            <c:idx val="1"/>
            <c:bubble3D val="0"/>
            <c:spPr>
              <a:solidFill>
                <a:schemeClr val="accent2"/>
              </a:solidFill>
              <a:ln>
                <a:solidFill>
                  <a:schemeClr val="bg1"/>
                </a:solidFill>
              </a:ln>
              <a:effectLst/>
              <a:scene3d>
                <a:camera prst="orthographicFront"/>
                <a:lightRig rig="threePt" dir="t"/>
              </a:scene3d>
              <a:sp3d contourW="9525"/>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基本支出</c:v>
                </c:pt>
                <c:pt idx="1">
                  <c:v>项目支出</c:v>
                </c:pt>
              </c:strCache>
            </c:strRef>
          </c:cat>
          <c:val>
            <c:numRef>
              <c:f>Sheet1!$B$2:$B$3</c:f>
              <c:numCache>
                <c:formatCode>General</c:formatCode>
                <c:ptCount val="2"/>
                <c:pt idx="0">
                  <c:v>21156.15</c:v>
                </c:pt>
                <c:pt idx="1">
                  <c:v>12943.51</c:v>
                </c:pt>
              </c:numCache>
            </c:numRef>
          </c:val>
        </c:ser>
        <c:dLbls>
          <c:showLegendKey val="0"/>
          <c:showVal val="0"/>
          <c:showCatName val="0"/>
          <c:showSerName val="0"/>
          <c:showPercent val="0"/>
          <c:showBubbleSize val="0"/>
        </c:dLbls>
      </c:pie3D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9a60f7de-5532-4602-9fbe-c5fae26a2921}"/>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收入、支出决算</a:t>
            </a:r>
          </a:p>
        </c:rich>
      </c:tx>
      <c:layout/>
      <c:overlay val="0"/>
      <c:spPr>
        <a:noFill/>
        <a:ln>
          <a:noFill/>
        </a:ln>
        <a:effectLst/>
      </c:spPr>
    </c:title>
    <c:autoTitleDeleted val="0"/>
    <c:plotArea>
      <c:layout>
        <c:manualLayout>
          <c:layoutTarget val="inner"/>
          <c:xMode val="edge"/>
          <c:yMode val="edge"/>
          <c:x val="0.162086234273849"/>
          <c:y val="0.0596208869814016"/>
          <c:w val="0.748259435690729"/>
          <c:h val="0.866773962804006"/>
        </c:manualLayout>
      </c:layout>
      <c:barChart>
        <c:barDir val="col"/>
        <c:grouping val="clustered"/>
        <c:varyColors val="0"/>
        <c:ser>
          <c:idx val="0"/>
          <c:order val="0"/>
          <c:tx>
            <c:strRef>
              <c:f>Sheet1!$B$1</c:f>
              <c:strCache>
                <c:ptCount val="1"/>
                <c:pt idx="0">
                  <c:v>2024年</c:v>
                </c:pt>
              </c:strCache>
            </c:strRef>
          </c:tx>
          <c:spPr>
            <a:gradFill>
              <a:gsLst>
                <a:gs pos="0">
                  <a:schemeClr val="accent1">
                    <a:lumMod val="40000"/>
                    <a:lumOff val="60000"/>
                  </a:schemeClr>
                </a:gs>
                <a:gs pos="90000">
                  <a:schemeClr val="accent1"/>
                </a:gs>
              </a:gsLst>
              <a:lin ang="5400000" scaled="0"/>
            </a:gradFill>
            <a:ln>
              <a:gradFill>
                <a:gsLst>
                  <a:gs pos="0">
                    <a:schemeClr val="accent1"/>
                  </a:gs>
                  <a:gs pos="100000">
                    <a:schemeClr val="accent1">
                      <a:lumMod val="75000"/>
                    </a:schemeClr>
                  </a:gs>
                </a:gsLst>
                <a:lin ang="5400000" scaled="1"/>
              </a:gradFill>
            </a:ln>
            <a:effectLst>
              <a:outerShdw blurRad="76200" dist="25400" dir="2700000" algn="tl" rotWithShape="0">
                <a:schemeClr val="accent1">
                  <a:lumMod val="50000"/>
                  <a:alpha val="30000"/>
                </a:schemeClr>
              </a:outerShdw>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in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Sheet1!$A$2</c:f>
              <c:strCache>
                <c:ptCount val="1"/>
                <c:pt idx="0">
                  <c:v>财政拨款收入、支出决算</c:v>
                </c:pt>
              </c:strCache>
            </c:strRef>
          </c:cat>
          <c:val>
            <c:numRef>
              <c:f>Sheet1!$B$2</c:f>
              <c:numCache>
                <c:formatCode>#,##0.00</c:formatCode>
                <c:ptCount val="1"/>
                <c:pt idx="0">
                  <c:v>22056.43</c:v>
                </c:pt>
              </c:numCache>
            </c:numRef>
          </c:val>
        </c:ser>
        <c:ser>
          <c:idx val="1"/>
          <c:order val="1"/>
          <c:tx>
            <c:strRef>
              <c:f>Sheet1!$C$1</c:f>
              <c:strCache>
                <c:ptCount val="1"/>
                <c:pt idx="0">
                  <c:v>2023年</c:v>
                </c:pt>
              </c:strCache>
            </c:strRef>
          </c:tx>
          <c:spPr>
            <a:gradFill>
              <a:gsLst>
                <a:gs pos="0">
                  <a:schemeClr val="accent2">
                    <a:lumMod val="40000"/>
                    <a:lumOff val="60000"/>
                  </a:schemeClr>
                </a:gs>
                <a:gs pos="90000">
                  <a:schemeClr val="accent2"/>
                </a:gs>
              </a:gsLst>
              <a:lin ang="5400000" scaled="0"/>
            </a:gradFill>
            <a:ln>
              <a:gradFill>
                <a:gsLst>
                  <a:gs pos="0">
                    <a:schemeClr val="accent2"/>
                  </a:gs>
                  <a:gs pos="100000">
                    <a:schemeClr val="accent2">
                      <a:lumMod val="75000"/>
                    </a:schemeClr>
                  </a:gs>
                </a:gsLst>
                <a:lin ang="5400000" scaled="1"/>
              </a:gradFill>
            </a:ln>
            <a:effectLst>
              <a:outerShdw blurRad="76200" dist="25400" dir="2700000" algn="tl" rotWithShape="0">
                <a:schemeClr val="accent2">
                  <a:lumMod val="50000"/>
                  <a:alpha val="30000"/>
                </a:schemeClr>
              </a:outerShdw>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in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Sheet1!$A$2</c:f>
              <c:strCache>
                <c:ptCount val="1"/>
                <c:pt idx="0">
                  <c:v>财政拨款收入、支出决算</c:v>
                </c:pt>
              </c:strCache>
            </c:strRef>
          </c:cat>
          <c:val>
            <c:numRef>
              <c:f>Sheet1!$C$2</c:f>
              <c:numCache>
                <c:formatCode>General</c:formatCode>
                <c:ptCount val="1"/>
                <c:pt idx="0">
                  <c:v>20292.22</c:v>
                </c:pt>
              </c:numCache>
            </c:numRef>
          </c:val>
        </c:ser>
        <c:dLbls>
          <c:showLegendKey val="0"/>
          <c:showVal val="1"/>
          <c:showCatName val="0"/>
          <c:showSerName val="0"/>
          <c:showPercent val="0"/>
          <c:showBubbleSize val="0"/>
        </c:dLbls>
        <c:gapWidth val="260"/>
        <c:overlap val="-32"/>
        <c:axId val="177253376"/>
        <c:axId val="177304320"/>
      </c:barChart>
      <c:catAx>
        <c:axId val="177253376"/>
        <c:scaling>
          <c:orientation val="minMax"/>
        </c:scaling>
        <c:delete val="0"/>
        <c:axPos val="b"/>
        <c:numFmt formatCode="General" sourceLinked="0"/>
        <c:majorTickMark val="out"/>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77304320"/>
        <c:crosses val="autoZero"/>
        <c:auto val="1"/>
        <c:lblAlgn val="ctr"/>
        <c:lblOffset val="100"/>
        <c:noMultiLvlLbl val="0"/>
      </c:catAx>
      <c:valAx>
        <c:axId val="177304320"/>
        <c:scaling>
          <c:orientation val="minMax"/>
        </c:scaling>
        <c:delete val="0"/>
        <c:axPos val="l"/>
        <c:numFmt formatCode="#,##0.00" sourceLinked="1"/>
        <c:majorTickMark val="out"/>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77253376"/>
        <c:crosses val="autoZero"/>
        <c:crossBetween val="between"/>
      </c:valAx>
      <c:spPr>
        <a:noFill/>
        <a:ln>
          <a:noFill/>
        </a:ln>
        <a:effectLst/>
      </c:spPr>
    </c:plotArea>
    <c:legend>
      <c:legendPos val="r"/>
      <c:layout>
        <c:manualLayout>
          <c:xMode val="edge"/>
          <c:yMode val="edge"/>
          <c:x val="0.801270306583608"/>
          <c:y val="0.440808297567954"/>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4fe43772-a919-469d-905b-d3da612ffd91}"/>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收入、支出决算</a:t>
            </a:r>
          </a:p>
        </c:rich>
      </c:tx>
      <c:layout/>
      <c:overlay val="0"/>
      <c:spPr>
        <a:noFill/>
        <a:ln>
          <a:noFill/>
        </a:ln>
        <a:effectLst/>
      </c:spPr>
    </c:title>
    <c:autoTitleDeleted val="0"/>
    <c:plotArea>
      <c:layout>
        <c:manualLayout>
          <c:layoutTarget val="inner"/>
          <c:xMode val="edge"/>
          <c:yMode val="edge"/>
          <c:x val="0.190423842677416"/>
          <c:y val="0.0547925608011441"/>
          <c:w val="0.748259435690729"/>
          <c:h val="0.866773962804006"/>
        </c:manualLayout>
      </c:layout>
      <c:barChart>
        <c:barDir val="col"/>
        <c:grouping val="clustered"/>
        <c:varyColors val="0"/>
        <c:ser>
          <c:idx val="0"/>
          <c:order val="0"/>
          <c:tx>
            <c:strRef>
              <c:f>Sheet1!$B$1</c:f>
              <c:strCache>
                <c:ptCount val="1"/>
                <c:pt idx="0">
                  <c:v>2024年</c:v>
                </c:pt>
              </c:strCache>
            </c:strRef>
          </c:tx>
          <c:spPr>
            <a:gradFill>
              <a:gsLst>
                <a:gs pos="0">
                  <a:schemeClr val="accent1">
                    <a:lumMod val="40000"/>
                    <a:lumOff val="60000"/>
                  </a:schemeClr>
                </a:gs>
                <a:gs pos="90000">
                  <a:schemeClr val="accent1"/>
                </a:gs>
              </a:gsLst>
              <a:lin ang="5400000" scaled="0"/>
            </a:gradFill>
            <a:ln>
              <a:gradFill>
                <a:gsLst>
                  <a:gs pos="0">
                    <a:schemeClr val="accent1"/>
                  </a:gs>
                  <a:gs pos="100000">
                    <a:schemeClr val="accent1">
                      <a:lumMod val="75000"/>
                    </a:schemeClr>
                  </a:gs>
                </a:gsLst>
                <a:lin ang="5400000" scaled="1"/>
              </a:gradFill>
            </a:ln>
            <a:effectLst>
              <a:outerShdw blurRad="76200" dist="25400" dir="2700000" algn="tl" rotWithShape="0">
                <a:schemeClr val="accent1">
                  <a:lumMod val="50000"/>
                  <a:alpha val="30000"/>
                </a:schemeClr>
              </a:outerShdw>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in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Sheet1!$A$2</c:f>
              <c:strCache>
                <c:ptCount val="1"/>
                <c:pt idx="0">
                  <c:v>一般公共预算财政拨款支出</c:v>
                </c:pt>
              </c:strCache>
            </c:strRef>
          </c:cat>
          <c:val>
            <c:numRef>
              <c:f>Sheet1!$B$2</c:f>
              <c:numCache>
                <c:formatCode>#,##0.00</c:formatCode>
                <c:ptCount val="1"/>
                <c:pt idx="0">
                  <c:v>14992.29</c:v>
                </c:pt>
              </c:numCache>
            </c:numRef>
          </c:val>
        </c:ser>
        <c:ser>
          <c:idx val="1"/>
          <c:order val="1"/>
          <c:tx>
            <c:strRef>
              <c:f>Sheet1!$C$1</c:f>
              <c:strCache>
                <c:ptCount val="1"/>
                <c:pt idx="0">
                  <c:v>2023年</c:v>
                </c:pt>
              </c:strCache>
            </c:strRef>
          </c:tx>
          <c:spPr>
            <a:gradFill>
              <a:gsLst>
                <a:gs pos="0">
                  <a:schemeClr val="accent2">
                    <a:lumMod val="40000"/>
                    <a:lumOff val="60000"/>
                  </a:schemeClr>
                </a:gs>
                <a:gs pos="90000">
                  <a:schemeClr val="accent2"/>
                </a:gs>
              </a:gsLst>
              <a:lin ang="5400000" scaled="0"/>
            </a:gradFill>
            <a:ln>
              <a:gradFill>
                <a:gsLst>
                  <a:gs pos="0">
                    <a:schemeClr val="accent2"/>
                  </a:gs>
                  <a:gs pos="100000">
                    <a:schemeClr val="accent2">
                      <a:lumMod val="75000"/>
                    </a:schemeClr>
                  </a:gs>
                </a:gsLst>
                <a:lin ang="5400000" scaled="1"/>
              </a:gradFill>
            </a:ln>
            <a:effectLst>
              <a:outerShdw blurRad="76200" dist="25400" dir="2700000" algn="tl" rotWithShape="0">
                <a:schemeClr val="accent2">
                  <a:lumMod val="50000"/>
                  <a:alpha val="30000"/>
                </a:schemeClr>
              </a:outerShdw>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in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Sheet1!$A$2</c:f>
              <c:strCache>
                <c:ptCount val="1"/>
                <c:pt idx="0">
                  <c:v>一般公共预算财政拨款支出</c:v>
                </c:pt>
              </c:strCache>
            </c:strRef>
          </c:cat>
          <c:val>
            <c:numRef>
              <c:f>Sheet1!$C$2</c:f>
              <c:numCache>
                <c:formatCode>General</c:formatCode>
                <c:ptCount val="1"/>
                <c:pt idx="0">
                  <c:v>15288.16</c:v>
                </c:pt>
              </c:numCache>
            </c:numRef>
          </c:val>
        </c:ser>
        <c:dLbls>
          <c:showLegendKey val="0"/>
          <c:showVal val="1"/>
          <c:showCatName val="0"/>
          <c:showSerName val="0"/>
          <c:showPercent val="0"/>
          <c:showBubbleSize val="0"/>
        </c:dLbls>
        <c:gapWidth val="260"/>
        <c:overlap val="-32"/>
        <c:axId val="177253376"/>
        <c:axId val="177304320"/>
      </c:barChart>
      <c:catAx>
        <c:axId val="177253376"/>
        <c:scaling>
          <c:orientation val="minMax"/>
        </c:scaling>
        <c:delete val="0"/>
        <c:axPos val="b"/>
        <c:numFmt formatCode="General" sourceLinked="0"/>
        <c:majorTickMark val="out"/>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77304320"/>
        <c:crosses val="autoZero"/>
        <c:auto val="1"/>
        <c:lblAlgn val="ctr"/>
        <c:lblOffset val="100"/>
        <c:noMultiLvlLbl val="0"/>
      </c:catAx>
      <c:valAx>
        <c:axId val="177304320"/>
        <c:scaling>
          <c:orientation val="minMax"/>
        </c:scaling>
        <c:delete val="0"/>
        <c:axPos val="l"/>
        <c:numFmt formatCode="#,##0.00" sourceLinked="1"/>
        <c:majorTickMark val="out"/>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77253376"/>
        <c:crosses val="autoZero"/>
        <c:crossBetween val="between"/>
      </c:valAx>
      <c:spPr>
        <a:noFill/>
        <a:ln>
          <a:noFill/>
        </a:ln>
        <a:effectLst/>
      </c:spPr>
    </c:plotArea>
    <c:legend>
      <c:legendPos val="r"/>
      <c:layout>
        <c:manualLayout>
          <c:xMode val="edge"/>
          <c:yMode val="edge"/>
          <c:x val="0.801270306583608"/>
          <c:y val="0.440808297567954"/>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5d0d8f2a-5084-47b0-8454-37218eb7ca60}"/>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view3D>
      <c:rotX val="30"/>
      <c:rotY val="0"/>
      <c:depthPercent val="100"/>
      <c:rAngAx val="0"/>
    </c:view3D>
    <c:floor>
      <c:thickness val="0"/>
      <c:spPr>
        <a:noFill/>
        <a:effectLst/>
      </c:spPr>
    </c:floor>
    <c:sideWall>
      <c:thickness val="0"/>
      <c:spPr>
        <a:noFill/>
        <a:effectLst/>
      </c:spPr>
    </c:sideWall>
    <c:backWall>
      <c:thickness val="0"/>
      <c:spPr>
        <a:noFill/>
        <a:effectLst/>
      </c:spPr>
    </c:backWall>
    <c:plotArea>
      <c:layout>
        <c:manualLayout>
          <c:layoutTarget val="inner"/>
          <c:xMode val="edge"/>
          <c:yMode val="edge"/>
          <c:x val="0.0189659338004349"/>
          <c:y val="0.185769574278059"/>
          <c:w val="0.957840057985021"/>
          <c:h val="0.784161952962191"/>
        </c:manualLayout>
      </c:layout>
      <c:pie3DChart>
        <c:varyColors val="1"/>
        <c:ser>
          <c:idx val="0"/>
          <c:order val="0"/>
          <c:tx>
            <c:strRef>
              <c:f>Sheet1!$B$1</c:f>
              <c:strCache>
                <c:ptCount val="1"/>
                <c:pt idx="0">
                  <c:v>一般公共预算财政拨款支出</c:v>
                </c:pt>
              </c:strCache>
            </c:strRef>
          </c:tx>
          <c:spPr>
            <a:scene3d>
              <a:camera prst="orthographicFront"/>
              <a:lightRig rig="threePt" dir="t"/>
            </a:scene3d>
            <a:sp3d contourW="9525"/>
          </c:spPr>
          <c:explosion val="0"/>
          <c:dPt>
            <c:idx val="0"/>
            <c:bubble3D val="0"/>
            <c:spPr>
              <a:solidFill>
                <a:schemeClr val="accent1"/>
              </a:solidFill>
              <a:ln>
                <a:solidFill>
                  <a:schemeClr val="bg1"/>
                </a:solidFill>
              </a:ln>
              <a:effectLst/>
              <a:scene3d>
                <a:camera prst="orthographicFront"/>
                <a:lightRig rig="threePt" dir="t"/>
              </a:scene3d>
              <a:sp3d contourW="9525"/>
            </c:spPr>
          </c:dPt>
          <c:dPt>
            <c:idx val="1"/>
            <c:bubble3D val="0"/>
            <c:spPr>
              <a:solidFill>
                <a:schemeClr val="accent2"/>
              </a:solidFill>
              <a:ln>
                <a:solidFill>
                  <a:schemeClr val="bg1"/>
                </a:solidFill>
              </a:ln>
              <a:effectLst/>
              <a:scene3d>
                <a:camera prst="orthographicFront"/>
                <a:lightRig rig="threePt" dir="t"/>
              </a:scene3d>
              <a:sp3d contourW="9525"/>
            </c:spPr>
          </c:dPt>
          <c:dPt>
            <c:idx val="2"/>
            <c:bubble3D val="0"/>
            <c:spPr>
              <a:solidFill>
                <a:schemeClr val="accent3"/>
              </a:solidFill>
              <a:ln>
                <a:solidFill>
                  <a:schemeClr val="bg1"/>
                </a:solidFill>
              </a:ln>
              <a:effectLst/>
              <a:scene3d>
                <a:camera prst="orthographicFront"/>
                <a:lightRig rig="threePt" dir="t"/>
              </a:scene3d>
              <a:sp3d contourW="9525"/>
            </c:spPr>
          </c:dPt>
          <c:dPt>
            <c:idx val="3"/>
            <c:bubble3D val="0"/>
            <c:spPr>
              <a:solidFill>
                <a:schemeClr val="accent4"/>
              </a:solidFill>
              <a:ln>
                <a:solidFill>
                  <a:schemeClr val="bg1"/>
                </a:solidFill>
              </a:ln>
              <a:effectLst/>
              <a:scene3d>
                <a:camera prst="orthographicFront"/>
                <a:lightRig rig="threePt" dir="t"/>
              </a:scene3d>
              <a:sp3d contourW="9525"/>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社会保障和就业支出</c:v>
                </c:pt>
                <c:pt idx="1">
                  <c:v>卫生健康支出</c:v>
                </c:pt>
                <c:pt idx="2">
                  <c:v>农林水支出</c:v>
                </c:pt>
                <c:pt idx="3">
                  <c:v>住房保障支出</c:v>
                </c:pt>
              </c:strCache>
            </c:strRef>
          </c:cat>
          <c:val>
            <c:numRef>
              <c:f>Sheet1!$B$2:$B$5</c:f>
              <c:numCache>
                <c:formatCode>General</c:formatCode>
                <c:ptCount val="4"/>
                <c:pt idx="0">
                  <c:v>2072.73</c:v>
                </c:pt>
                <c:pt idx="1">
                  <c:v>12005.44</c:v>
                </c:pt>
                <c:pt idx="2">
                  <c:v>196</c:v>
                </c:pt>
                <c:pt idx="3">
                  <c:v>718.12</c:v>
                </c:pt>
              </c:numCache>
            </c:numRef>
          </c:val>
        </c:ser>
        <c:dLbls>
          <c:showLegendKey val="0"/>
          <c:showVal val="1"/>
          <c:showCatName val="0"/>
          <c:showSerName val="0"/>
          <c:showPercent val="0"/>
          <c:showBubbleSize val="0"/>
        </c:dLbls>
      </c:pie3DChart>
      <c:spPr>
        <a:noFill/>
        <a:ln>
          <a:noFill/>
        </a:ln>
        <a:effectLst/>
      </c:spPr>
    </c:plotArea>
    <c:legend>
      <c:legendPos val="t"/>
      <c:layout>
        <c:manualLayout>
          <c:xMode val="edge"/>
          <c:yMode val="edge"/>
          <c:x val="0.264013046629621"/>
          <c:y val="0.124111536358666"/>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93ba6588-432a-4c8b-aa92-0f72baa6979e}"/>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view3D>
      <c:rotX val="30"/>
      <c:rotY val="0"/>
      <c:depthPercent val="100"/>
      <c:rAngAx val="0"/>
    </c:view3D>
    <c:floor>
      <c:thickness val="0"/>
      <c:spPr>
        <a:noFill/>
        <a:effectLst/>
      </c:spPr>
    </c:floor>
    <c:sideWall>
      <c:thickness val="0"/>
      <c:spPr>
        <a:noFill/>
        <a:effectLst/>
      </c:spPr>
    </c:sideWall>
    <c:backWall>
      <c:thickness val="0"/>
      <c:spPr>
        <a:noFill/>
        <a:effectLst/>
      </c:spPr>
    </c:backWall>
    <c:plotArea>
      <c:layout/>
      <c:pie3DChart>
        <c:varyColors val="1"/>
        <c:ser>
          <c:idx val="0"/>
          <c:order val="0"/>
          <c:tx>
            <c:strRef>
              <c:f>Sheet1!$B$1</c:f>
              <c:strCache>
                <c:ptCount val="1"/>
                <c:pt idx="0">
                  <c:v>“三公”经费决算</c:v>
                </c:pt>
              </c:strCache>
            </c:strRef>
          </c:tx>
          <c:spPr>
            <a:scene3d>
              <a:camera prst="orthographicFront"/>
              <a:lightRig rig="threePt" dir="t"/>
            </a:scene3d>
            <a:sp3d contourW="9525"/>
          </c:spPr>
          <c:explosion val="0"/>
          <c:dPt>
            <c:idx val="0"/>
            <c:bubble3D val="0"/>
            <c:spPr>
              <a:solidFill>
                <a:schemeClr val="accent1"/>
              </a:solidFill>
              <a:ln>
                <a:solidFill>
                  <a:schemeClr val="bg1"/>
                </a:solidFill>
              </a:ln>
              <a:effectLst/>
              <a:scene3d>
                <a:camera prst="orthographicFront"/>
                <a:lightRig rig="threePt" dir="t"/>
              </a:scene3d>
              <a:sp3d contourW="9525"/>
            </c:spPr>
          </c:dPt>
          <c:dPt>
            <c:idx val="1"/>
            <c:bubble3D val="0"/>
            <c:spPr>
              <a:solidFill>
                <a:schemeClr val="accent2"/>
              </a:solidFill>
              <a:ln>
                <a:solidFill>
                  <a:schemeClr val="bg1"/>
                </a:solidFill>
              </a:ln>
              <a:effectLst/>
              <a:scene3d>
                <a:camera prst="orthographicFront"/>
                <a:lightRig rig="threePt" dir="t"/>
              </a:scene3d>
              <a:sp3d contourW="9525"/>
            </c:spPr>
          </c:dPt>
          <c:dPt>
            <c:idx val="2"/>
            <c:bubble3D val="0"/>
            <c:spPr>
              <a:solidFill>
                <a:schemeClr val="accent3"/>
              </a:solidFill>
              <a:ln>
                <a:solidFill>
                  <a:schemeClr val="bg1"/>
                </a:solidFill>
              </a:ln>
              <a:effectLst/>
              <a:scene3d>
                <a:camera prst="orthographicFront"/>
                <a:lightRig rig="threePt" dir="t"/>
              </a:scene3d>
              <a:sp3d contourW="9525"/>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Sheet1!$A$2:$A$4</c:f>
              <c:strCache>
                <c:ptCount val="3"/>
                <c:pt idx="0">
                  <c:v>因公出国（境）费支出</c:v>
                </c:pt>
                <c:pt idx="1">
                  <c:v>公务用车购置及运行维护费支出</c:v>
                </c:pt>
                <c:pt idx="2">
                  <c:v>公务接待费支出</c:v>
                </c:pt>
              </c:strCache>
            </c:strRef>
          </c:cat>
          <c:val>
            <c:numRef>
              <c:f>Sheet1!$B$2:$B$4</c:f>
              <c:numCache>
                <c:formatCode>General</c:formatCode>
                <c:ptCount val="3"/>
                <c:pt idx="0">
                  <c:v>0</c:v>
                </c:pt>
                <c:pt idx="1">
                  <c:v>2.17</c:v>
                </c:pt>
                <c:pt idx="2">
                  <c:v>0</c:v>
                </c:pt>
              </c:numCache>
            </c:numRef>
          </c:val>
        </c:ser>
        <c:dLbls>
          <c:showLegendKey val="0"/>
          <c:showVal val="1"/>
          <c:showCatName val="0"/>
          <c:showSerName val="0"/>
          <c:showPercent val="0"/>
          <c:showBubbleSize val="0"/>
        </c:dLbls>
      </c:pie3D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55ede9e8-6adf-4007-8906-36c243e9fec7}"/>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acrossLinear" id="2">
  <a:schemeClr val="accent1"/>
  <a:schemeClr val="accent2"/>
  <a:schemeClr val="accent3"/>
  <a:schemeClr val="accent4"/>
  <a:schemeClr val="accent5"/>
  <a:schemeClr val="accent6"/>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acrossLinear" id="2">
  <a:schemeClr val="accent1"/>
  <a:schemeClr val="accent2"/>
  <a:schemeClr val="accent3"/>
  <a:schemeClr val="accent4"/>
  <a:schemeClr val="accent5"/>
  <a:schemeClr val="accent6"/>
</cs:colorStyle>
</file>

<file path=word/charts/colors5.xml><?xml version="1.0" encoding="utf-8"?>
<cs:colorStyle xmlns:cs="http://schemas.microsoft.com/office/drawing/2012/chartStyle" xmlns:a="http://schemas.openxmlformats.org/drawingml/2006/main" meth="acrossLinear" id="2">
  <a:schemeClr val="accent1"/>
  <a:schemeClr val="accent2"/>
  <a:schemeClr val="accent3"/>
  <a:schemeClr val="accent4"/>
  <a:schemeClr val="accent5"/>
  <a:schemeClr val="accent6"/>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9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styleClr val="auto"/>
    </cs:lnRef>
    <cs:fillRef idx="1">
      <cs:styleClr val="auto"/>
    </cs:fillRef>
    <cs:effectRef idx="0"/>
    <cs:fontRef idx="minor">
      <a:schemeClr val="dk1"/>
    </cs:fontRef>
    <cs:spPr>
      <a:ln>
        <a:solidFill>
          <a:schemeClr val="bg1"/>
        </a:solidFill>
      </a:ln>
      <a:effectLst/>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05">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styleClr val="auto"/>
    </cs:effectRef>
    <cs:fontRef idx="minor">
      <a:schemeClr val="dk1"/>
    </cs:fontRef>
    <cs:spPr>
      <a:gradFill>
        <a:gsLst>
          <a:gs pos="0">
            <a:schemeClr val="phClr">
              <a:lumMod val="40000"/>
              <a:lumOff val="60000"/>
            </a:schemeClr>
          </a:gs>
          <a:gs pos="90000">
            <a:schemeClr val="phClr"/>
          </a:gs>
        </a:gsLst>
        <a:lin ang="5400000" scaled="0"/>
      </a:gradFill>
      <a:ln>
        <a:gradFill>
          <a:gsLst>
            <a:gs pos="0">
              <a:schemeClr val="phClr"/>
            </a:gs>
            <a:gs pos="100000">
              <a:schemeClr val="phClr">
                <a:lumMod val="75000"/>
              </a:schemeClr>
            </a:gs>
          </a:gsLst>
          <a:lin ang="5400000" scaled="1"/>
        </a:gradFill>
      </a:ln>
      <a:effectLst>
        <a:outerShdw blurRad="76200" dist="25400" dir="2700000" algn="tl" rotWithShape="0">
          <a:schemeClr val="phClr">
            <a:lumMod val="50000"/>
            <a:alpha val="30000"/>
          </a:schemeClr>
        </a:outerShdw>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9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styleClr val="auto"/>
    </cs:lnRef>
    <cs:fillRef idx="1">
      <cs:styleClr val="auto"/>
    </cs:fillRef>
    <cs:effectRef idx="0"/>
    <cs:fontRef idx="minor">
      <a:schemeClr val="dk1"/>
    </cs:fontRef>
    <cs:spPr>
      <a:ln>
        <a:solidFill>
          <a:schemeClr val="bg1"/>
        </a:solidFill>
      </a:ln>
      <a:effectLst/>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05">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styleClr val="auto"/>
    </cs:effectRef>
    <cs:fontRef idx="minor">
      <a:schemeClr val="dk1"/>
    </cs:fontRef>
    <cs:spPr>
      <a:gradFill>
        <a:gsLst>
          <a:gs pos="0">
            <a:schemeClr val="phClr">
              <a:lumMod val="40000"/>
              <a:lumOff val="60000"/>
            </a:schemeClr>
          </a:gs>
          <a:gs pos="90000">
            <a:schemeClr val="phClr"/>
          </a:gs>
        </a:gsLst>
        <a:lin ang="5400000" scaled="0"/>
      </a:gradFill>
      <a:ln>
        <a:gradFill>
          <a:gsLst>
            <a:gs pos="0">
              <a:schemeClr val="phClr"/>
            </a:gs>
            <a:gs pos="100000">
              <a:schemeClr val="phClr">
                <a:lumMod val="75000"/>
              </a:schemeClr>
            </a:gs>
          </a:gsLst>
          <a:lin ang="5400000" scaled="1"/>
        </a:gradFill>
      </a:ln>
      <a:effectLst>
        <a:outerShdw blurRad="76200" dist="25400" dir="2700000" algn="tl" rotWithShape="0">
          <a:schemeClr val="phClr">
            <a:lumMod val="50000"/>
            <a:alpha val="30000"/>
          </a:schemeClr>
        </a:outerShdw>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05">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styleClr val="auto"/>
    </cs:effectRef>
    <cs:fontRef idx="minor">
      <a:schemeClr val="dk1"/>
    </cs:fontRef>
    <cs:spPr>
      <a:gradFill>
        <a:gsLst>
          <a:gs pos="0">
            <a:schemeClr val="phClr">
              <a:lumMod val="40000"/>
              <a:lumOff val="60000"/>
            </a:schemeClr>
          </a:gs>
          <a:gs pos="90000">
            <a:schemeClr val="phClr"/>
          </a:gs>
        </a:gsLst>
        <a:lin ang="5400000" scaled="0"/>
      </a:gradFill>
      <a:ln>
        <a:gradFill>
          <a:gsLst>
            <a:gs pos="0">
              <a:schemeClr val="phClr"/>
            </a:gs>
            <a:gs pos="100000">
              <a:schemeClr val="phClr">
                <a:lumMod val="75000"/>
              </a:schemeClr>
            </a:gs>
          </a:gsLst>
          <a:lin ang="5400000" scaled="1"/>
        </a:gradFill>
      </a:ln>
      <a:effectLst>
        <a:outerShdw blurRad="76200" dist="25400" dir="2700000" algn="tl" rotWithShape="0">
          <a:schemeClr val="phClr">
            <a:lumMod val="50000"/>
            <a:alpha val="30000"/>
          </a:schemeClr>
        </a:outerShdw>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1009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styleClr val="auto"/>
    </cs:lnRef>
    <cs:fillRef idx="1">
      <cs:styleClr val="auto"/>
    </cs:fillRef>
    <cs:effectRef idx="0"/>
    <cs:fontRef idx="minor">
      <a:schemeClr val="dk1"/>
    </cs:fontRef>
    <cs:spPr>
      <a:ln>
        <a:solidFill>
          <a:schemeClr val="bg1"/>
        </a:solidFill>
      </a:ln>
      <a:effectLst/>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1009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styleClr val="auto"/>
    </cs:lnRef>
    <cs:fillRef idx="1">
      <cs:styleClr val="auto"/>
    </cs:fillRef>
    <cs:effectRef idx="0"/>
    <cs:fontRef idx="minor">
      <a:schemeClr val="dk1"/>
    </cs:fontRef>
    <cs:spPr>
      <a:ln>
        <a:solidFill>
          <a:schemeClr val="bg1"/>
        </a:solidFill>
      </a:ln>
      <a:effectLst/>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66</Pages>
  <Words>1327</Words>
  <Characters>7570</Characters>
  <Lines>1</Lines>
  <Paragraphs>1</Paragraphs>
  <TotalTime>19</TotalTime>
  <ScaleCrop>false</ScaleCrop>
  <LinksUpToDate>false</LinksUpToDate>
  <CharactersWithSpaces>8880</CharactersWithSpaces>
  <Application>WPS Office_12.1.2.23578_F1E327BC-269C-435d-A152-05C5408002CA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2020-08-12T01:49:00Z</dcterms:created>
  <dc:creator>曹颖</dc:creator>
  <cp:lastModifiedBy>user</cp:lastModifiedBy>
  <cp:lastPrinted>2025-08-09T09:34:00Z</cp:lastPrinted>
  <dcterms:modified xsi:type="dcterms:W3CDTF">2026-09-17T11:44:22Z</dcterms:modified>
  <dc:title>四川省***</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2052-12.1.2.23578</vt:lpwstr>
  </property>
  <property fmtid="{D5CDD505-2E9C-101B-9397-08002B2CF9AE}" pid="3" name="ICV">
    <vt:lpwstr>04787F2533EB45DC91BCDE4AB213247F</vt:lpwstr>
  </property>
</Properties>
</file>