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38D015">
      <w:pPr>
        <w:spacing w:line="600" w:lineRule="exact"/>
        <w:jc w:val="center"/>
        <w:outlineLvl w:val="0"/>
        <w:rPr>
          <w:rFonts w:ascii="方正小标宋简体" w:hAnsi="宋体" w:eastAsia="方正小标宋简体"/>
          <w:color w:val="000000"/>
          <w:sz w:val="72"/>
          <w:szCs w:val="72"/>
        </w:rPr>
      </w:pPr>
      <w:bookmarkStart w:id="0" w:name="_Toc15306267"/>
    </w:p>
    <w:p w14:paraId="33A65BF7">
      <w:pPr>
        <w:spacing w:line="600" w:lineRule="exact"/>
        <w:jc w:val="center"/>
        <w:outlineLvl w:val="0"/>
        <w:rPr>
          <w:rFonts w:ascii="方正小标宋简体" w:hAnsi="宋体" w:eastAsia="方正小标宋简体"/>
          <w:color w:val="000000"/>
          <w:sz w:val="72"/>
          <w:szCs w:val="72"/>
        </w:rPr>
      </w:pPr>
    </w:p>
    <w:p w14:paraId="5E3134A7">
      <w:pPr>
        <w:spacing w:line="600" w:lineRule="exact"/>
        <w:jc w:val="center"/>
        <w:outlineLvl w:val="0"/>
        <w:rPr>
          <w:rFonts w:ascii="方正小标宋简体" w:hAnsi="宋体" w:eastAsia="方正小标宋简体"/>
          <w:color w:val="000000"/>
          <w:sz w:val="72"/>
          <w:szCs w:val="72"/>
        </w:rPr>
      </w:pPr>
    </w:p>
    <w:p w14:paraId="4177408F">
      <w:pPr>
        <w:spacing w:line="600" w:lineRule="exact"/>
        <w:jc w:val="center"/>
        <w:outlineLvl w:val="0"/>
        <w:rPr>
          <w:rFonts w:ascii="方正小标宋简体" w:hAnsi="宋体" w:eastAsia="方正小标宋简体"/>
          <w:color w:val="000000"/>
          <w:sz w:val="72"/>
          <w:szCs w:val="72"/>
        </w:rPr>
      </w:pPr>
    </w:p>
    <w:p w14:paraId="6108EF1B">
      <w:pPr>
        <w:adjustRightInd w:val="0"/>
        <w:snapToGrid w:val="0"/>
        <w:spacing w:line="360" w:lineRule="auto"/>
        <w:jc w:val="center"/>
        <w:outlineLvl w:val="0"/>
        <w:rPr>
          <w:rFonts w:ascii="方正小标宋简体" w:hAnsi="宋体" w:eastAsia="方正小标宋简体"/>
          <w:color w:val="000000"/>
          <w:sz w:val="72"/>
          <w:szCs w:val="72"/>
        </w:rPr>
      </w:pPr>
      <w:bookmarkStart w:id="1" w:name="_Toc15377193"/>
      <w:bookmarkStart w:id="2" w:name="_Toc15396475"/>
      <w:bookmarkStart w:id="3" w:name="_Toc15378441"/>
      <w:bookmarkStart w:id="4" w:name="_Toc15396597"/>
      <w:bookmarkStart w:id="5" w:name="_Toc52180062"/>
      <w:bookmarkStart w:id="6" w:name="_Toc15377425"/>
      <w:r>
        <w:rPr>
          <w:rFonts w:hint="eastAsia" w:ascii="方正小标宋简体" w:hAnsi="黑体" w:eastAsia="方正小标宋简体"/>
          <w:color w:val="000000"/>
          <w:sz w:val="72"/>
          <w:szCs w:val="72"/>
        </w:rPr>
        <w:t>2020</w:t>
      </w:r>
      <w:r>
        <w:rPr>
          <w:rFonts w:hint="eastAsia" w:ascii="方正小标宋简体" w:hAnsi="宋体" w:eastAsia="方正小标宋简体"/>
          <w:color w:val="000000"/>
          <w:sz w:val="72"/>
          <w:szCs w:val="72"/>
        </w:rPr>
        <w:t>年度</w:t>
      </w:r>
      <w:bookmarkEnd w:id="1"/>
      <w:bookmarkEnd w:id="2"/>
      <w:bookmarkEnd w:id="3"/>
      <w:bookmarkEnd w:id="4"/>
      <w:bookmarkEnd w:id="5"/>
      <w:bookmarkEnd w:id="6"/>
    </w:p>
    <w:p w14:paraId="6A53A911">
      <w:pPr>
        <w:adjustRightInd w:val="0"/>
        <w:snapToGrid w:val="0"/>
        <w:spacing w:line="360" w:lineRule="auto"/>
        <w:jc w:val="center"/>
        <w:outlineLvl w:val="0"/>
        <w:rPr>
          <w:rFonts w:ascii="方正小标宋简体" w:hAnsi="宋体" w:eastAsia="方正小标宋简体"/>
          <w:color w:val="000000"/>
          <w:sz w:val="72"/>
          <w:szCs w:val="72"/>
        </w:rPr>
      </w:pPr>
      <w:bookmarkStart w:id="7" w:name="_Toc15396598"/>
      <w:bookmarkStart w:id="8" w:name="_Toc15378442"/>
      <w:bookmarkStart w:id="9" w:name="_Toc52180063"/>
      <w:bookmarkStart w:id="10" w:name="_Toc15396476"/>
      <w:bookmarkStart w:id="11" w:name="_Toc15377426"/>
      <w:bookmarkStart w:id="12" w:name="_Toc15377194"/>
      <w:r>
        <w:rPr>
          <w:rFonts w:hint="eastAsia" w:ascii="方正小标宋简体" w:hAnsi="宋体" w:eastAsia="方正小标宋简体"/>
          <w:color w:val="000000"/>
          <w:sz w:val="52"/>
          <w:szCs w:val="52"/>
        </w:rPr>
        <w:t>盐边县</w:t>
      </w:r>
      <w:bookmarkEnd w:id="0"/>
      <w:bookmarkStart w:id="13" w:name="_Toc15306268"/>
      <w:r>
        <w:rPr>
          <w:rFonts w:hint="eastAsia" w:ascii="方正小标宋简体" w:hAnsi="宋体" w:eastAsia="方正小标宋简体"/>
          <w:color w:val="000000"/>
          <w:sz w:val="52"/>
          <w:szCs w:val="52"/>
        </w:rPr>
        <w:t>自然资源规划和林业局</w:t>
      </w:r>
    </w:p>
    <w:p w14:paraId="18A9F1BD">
      <w:pPr>
        <w:adjustRightInd w:val="0"/>
        <w:snapToGrid w:val="0"/>
        <w:spacing w:line="360" w:lineRule="auto"/>
        <w:jc w:val="center"/>
        <w:outlineLvl w:val="0"/>
        <w:rPr>
          <w:rFonts w:ascii="方正小标宋简体" w:hAnsi="宋体" w:eastAsia="方正小标宋简体"/>
          <w:color w:val="000000"/>
          <w:sz w:val="52"/>
          <w:szCs w:val="52"/>
        </w:rPr>
      </w:pPr>
      <w:r>
        <w:rPr>
          <w:rFonts w:hint="eastAsia" w:ascii="方正小标宋简体" w:hAnsi="宋体" w:eastAsia="方正小标宋简体"/>
          <w:color w:val="000000"/>
          <w:sz w:val="52"/>
          <w:szCs w:val="52"/>
        </w:rPr>
        <w:t>部门决算</w:t>
      </w:r>
      <w:bookmarkEnd w:id="7"/>
      <w:bookmarkEnd w:id="8"/>
      <w:bookmarkEnd w:id="9"/>
      <w:bookmarkEnd w:id="10"/>
      <w:bookmarkEnd w:id="11"/>
      <w:bookmarkEnd w:id="12"/>
      <w:bookmarkEnd w:id="13"/>
    </w:p>
    <w:p w14:paraId="45F39BD2">
      <w:pPr>
        <w:adjustRightInd w:val="0"/>
        <w:snapToGrid w:val="0"/>
        <w:spacing w:line="360" w:lineRule="auto"/>
        <w:jc w:val="center"/>
        <w:outlineLvl w:val="0"/>
        <w:rPr>
          <w:rFonts w:ascii="方正小标宋简体" w:hAnsi="宋体" w:eastAsia="方正小标宋简体"/>
          <w:color w:val="000000"/>
          <w:sz w:val="52"/>
          <w:szCs w:val="52"/>
        </w:rPr>
      </w:pPr>
    </w:p>
    <w:p w14:paraId="2AD674B8">
      <w:pPr>
        <w:widowControl/>
        <w:jc w:val="center"/>
        <w:rPr>
          <w:rFonts w:ascii="黑体" w:hAnsi="黑体" w:eastAsia="黑体"/>
          <w:color w:val="000000"/>
          <w:sz w:val="48"/>
          <w:szCs w:val="48"/>
        </w:rPr>
      </w:pPr>
      <w:r>
        <w:rPr>
          <w:rFonts w:ascii="方正小标宋简体" w:hAnsi="宋体" w:eastAsia="方正小标宋简体"/>
          <w:color w:val="000000"/>
          <w:sz w:val="36"/>
          <w:szCs w:val="36"/>
        </w:rPr>
        <w:br w:type="page"/>
      </w:r>
      <w:r>
        <w:rPr>
          <w:rFonts w:hint="eastAsia" w:ascii="黑体" w:hAnsi="黑体" w:eastAsia="黑体"/>
          <w:color w:val="000000"/>
          <w:sz w:val="48"/>
          <w:szCs w:val="48"/>
        </w:rPr>
        <w:t>目录</w:t>
      </w:r>
    </w:p>
    <w:p w14:paraId="551352B5">
      <w:pPr>
        <w:widowControl/>
        <w:jc w:val="center"/>
        <w:rPr>
          <w:rFonts w:ascii="黑体" w:hAnsi="黑体" w:eastAsia="黑体" w:cstheme="minorBidi"/>
          <w:sz w:val="28"/>
          <w:szCs w:val="28"/>
        </w:rPr>
      </w:pPr>
    </w:p>
    <w:p w14:paraId="4C9668F5">
      <w:pPr>
        <w:pStyle w:val="11"/>
      </w:pPr>
      <w:r>
        <w:rPr>
          <w:rFonts w:hint="eastAsia"/>
        </w:rPr>
        <w:t>公开时间：2021年10月20日</w:t>
      </w:r>
    </w:p>
    <w:sdt>
      <w:sdtPr>
        <w:rPr>
          <w:rFonts w:ascii="Times New Roman" w:hAnsi="Times New Roman" w:eastAsia="宋体" w:cs="Times New Roman"/>
          <w:b w:val="0"/>
          <w:bCs w:val="0"/>
          <w:color w:val="auto"/>
          <w:kern w:val="2"/>
          <w:sz w:val="21"/>
          <w:szCs w:val="24"/>
          <w:lang w:val="zh-CN"/>
        </w:rPr>
        <w:id w:val="864955229"/>
      </w:sdtPr>
      <w:sdtEndPr>
        <w:rPr>
          <w:rFonts w:ascii="Times New Roman" w:hAnsi="Times New Roman" w:eastAsia="宋体" w:cs="Times New Roman"/>
          <w:b w:val="0"/>
          <w:bCs w:val="0"/>
          <w:color w:val="auto"/>
          <w:kern w:val="2"/>
          <w:sz w:val="21"/>
          <w:szCs w:val="24"/>
          <w:lang w:val="en-US"/>
        </w:rPr>
      </w:sdtEndPr>
      <w:sdtContent>
        <w:p w14:paraId="1BBF8F76">
          <w:pPr>
            <w:pStyle w:val="30"/>
            <w:spacing w:before="0" w:line="240" w:lineRule="auto"/>
          </w:pPr>
          <w:r>
            <w:fldChar w:fldCharType="begin"/>
          </w:r>
          <w:r>
            <w:instrText xml:space="preserve"> TOC \o "1-3" \h \z \u </w:instrText>
          </w:r>
          <w:r>
            <w:fldChar w:fldCharType="separate"/>
          </w:r>
        </w:p>
        <w:p w14:paraId="5BFE49C7">
          <w:pPr>
            <w:pStyle w:val="11"/>
            <w:rPr>
              <w:rFonts w:asciiTheme="minorHAnsi" w:hAnsiTheme="minorHAnsi" w:eastAsiaTheme="minorEastAsia" w:cstheme="minorBidi"/>
              <w:sz w:val="21"/>
              <w:szCs w:val="22"/>
            </w:rPr>
          </w:pPr>
          <w:r>
            <w:fldChar w:fldCharType="begin"/>
          </w:r>
          <w:r>
            <w:instrText xml:space="preserve"> HYPERLINK \l "_Toc52180065" </w:instrText>
          </w:r>
          <w:r>
            <w:fldChar w:fldCharType="separate"/>
          </w:r>
          <w:r>
            <w:rPr>
              <w:rStyle w:val="16"/>
              <w:rFonts w:hint="eastAsia" w:ascii="黑体" w:hAnsi="黑体" w:eastAsia="黑体"/>
            </w:rPr>
            <w:t>第一部分</w:t>
          </w:r>
          <w:r>
            <w:rPr>
              <w:rStyle w:val="16"/>
              <w:rFonts w:ascii="黑体" w:hAnsi="黑体" w:eastAsia="黑体"/>
            </w:rPr>
            <w:t xml:space="preserve"> </w:t>
          </w:r>
          <w:r>
            <w:rPr>
              <w:rStyle w:val="16"/>
              <w:rFonts w:hint="eastAsia" w:ascii="黑体" w:hAnsi="黑体" w:eastAsia="黑体"/>
            </w:rPr>
            <w:t>部门概况</w:t>
          </w:r>
          <w:r>
            <w:tab/>
          </w:r>
          <w:r>
            <w:fldChar w:fldCharType="begin"/>
          </w:r>
          <w:r>
            <w:instrText xml:space="preserve"> PAGEREF _Toc52180065 \h </w:instrText>
          </w:r>
          <w:r>
            <w:fldChar w:fldCharType="separate"/>
          </w:r>
          <w:r>
            <w:t>4</w:t>
          </w:r>
          <w:r>
            <w:fldChar w:fldCharType="end"/>
          </w:r>
          <w:r>
            <w:fldChar w:fldCharType="end"/>
          </w:r>
          <w:r>
            <w:rPr>
              <w:rFonts w:hint="eastAsia"/>
            </w:rPr>
            <w:t>-10</w:t>
          </w:r>
        </w:p>
        <w:p w14:paraId="149BBB32">
          <w:pPr>
            <w:pStyle w:val="12"/>
            <w:rPr>
              <w:rFonts w:asciiTheme="minorHAnsi" w:hAnsiTheme="minorHAnsi" w:eastAsiaTheme="minorEastAsia" w:cstheme="minorBidi"/>
              <w:szCs w:val="22"/>
            </w:rPr>
          </w:pPr>
          <w:r>
            <w:fldChar w:fldCharType="begin"/>
          </w:r>
          <w:r>
            <w:instrText xml:space="preserve"> HYPERLINK \l "_Toc52180066" </w:instrText>
          </w:r>
          <w:r>
            <w:fldChar w:fldCharType="separate"/>
          </w:r>
          <w:r>
            <w:rPr>
              <w:rStyle w:val="16"/>
              <w:rFonts w:hint="eastAsia" w:ascii="黑体" w:hAnsi="黑体" w:eastAsia="黑体"/>
            </w:rPr>
            <w:t>一、基本职能及主要工作</w:t>
          </w:r>
          <w:r>
            <w:tab/>
          </w:r>
          <w:r>
            <w:fldChar w:fldCharType="begin"/>
          </w:r>
          <w:r>
            <w:instrText xml:space="preserve"> PAGEREF _Toc52180066 \h </w:instrText>
          </w:r>
          <w:r>
            <w:fldChar w:fldCharType="separate"/>
          </w:r>
          <w:r>
            <w:t>4</w:t>
          </w:r>
          <w:r>
            <w:fldChar w:fldCharType="end"/>
          </w:r>
          <w:r>
            <w:fldChar w:fldCharType="end"/>
          </w:r>
        </w:p>
        <w:p w14:paraId="4C750406">
          <w:pPr>
            <w:pStyle w:val="7"/>
            <w:rPr>
              <w:rFonts w:asciiTheme="minorHAnsi" w:hAnsiTheme="minorHAnsi" w:eastAsiaTheme="minorEastAsia" w:cstheme="minorBidi"/>
              <w:szCs w:val="22"/>
            </w:rPr>
          </w:pPr>
          <w:r>
            <w:fldChar w:fldCharType="begin"/>
          </w:r>
          <w:r>
            <w:instrText xml:space="preserve"> HYPERLINK \l "_Toc52180067" </w:instrText>
          </w:r>
          <w:r>
            <w:fldChar w:fldCharType="separate"/>
          </w:r>
          <w:r>
            <w:rPr>
              <w:rStyle w:val="16"/>
              <w:rFonts w:hint="eastAsia" w:ascii="仿宋" w:hAnsi="仿宋" w:eastAsia="仿宋"/>
              <w:bCs/>
            </w:rPr>
            <w:t>（一）主要职能。（职能参照县政府批准的三定方案）</w:t>
          </w:r>
          <w:r>
            <w:tab/>
          </w:r>
          <w:r>
            <w:fldChar w:fldCharType="begin"/>
          </w:r>
          <w:r>
            <w:instrText xml:space="preserve"> PAGEREF _Toc52180067 \h </w:instrText>
          </w:r>
          <w:r>
            <w:fldChar w:fldCharType="separate"/>
          </w:r>
          <w:r>
            <w:t>4</w:t>
          </w:r>
          <w:r>
            <w:fldChar w:fldCharType="end"/>
          </w:r>
          <w:r>
            <w:fldChar w:fldCharType="end"/>
          </w:r>
        </w:p>
        <w:p w14:paraId="2FD8E5FF">
          <w:pPr>
            <w:pStyle w:val="7"/>
            <w:rPr>
              <w:rFonts w:asciiTheme="minorHAnsi" w:hAnsiTheme="minorHAnsi" w:eastAsiaTheme="minorEastAsia" w:cstheme="minorBidi"/>
              <w:szCs w:val="22"/>
            </w:rPr>
          </w:pPr>
          <w:r>
            <w:fldChar w:fldCharType="begin"/>
          </w:r>
          <w:r>
            <w:instrText xml:space="preserve"> HYPERLINK \l "_Toc52180068" </w:instrText>
          </w:r>
          <w:r>
            <w:fldChar w:fldCharType="separate"/>
          </w:r>
          <w:r>
            <w:rPr>
              <w:rStyle w:val="16"/>
              <w:rFonts w:hint="eastAsia" w:ascii="仿宋" w:hAnsi="仿宋" w:eastAsia="仿宋"/>
              <w:bCs/>
            </w:rPr>
            <w:t>（二）</w:t>
          </w:r>
          <w:r>
            <w:rPr>
              <w:rStyle w:val="16"/>
              <w:rFonts w:ascii="仿宋" w:hAnsi="仿宋" w:eastAsia="仿宋"/>
              <w:bCs/>
            </w:rPr>
            <w:t>20</w:t>
          </w:r>
          <w:r>
            <w:rPr>
              <w:rStyle w:val="16"/>
              <w:rFonts w:hint="eastAsia" w:ascii="仿宋" w:hAnsi="仿宋" w:eastAsia="仿宋"/>
              <w:bCs/>
            </w:rPr>
            <w:t>20年重点工作完成情况。</w:t>
          </w:r>
          <w:r>
            <w:tab/>
          </w:r>
          <w:r>
            <w:rPr>
              <w:rFonts w:hint="eastAsia"/>
            </w:rPr>
            <w:t>5</w:t>
          </w:r>
          <w:r>
            <w:rPr>
              <w:rFonts w:hint="eastAsia"/>
            </w:rPr>
            <w:fldChar w:fldCharType="end"/>
          </w:r>
          <w:r>
            <w:rPr>
              <w:rFonts w:hint="eastAsia"/>
            </w:rPr>
            <w:t>-13</w:t>
          </w:r>
        </w:p>
        <w:p w14:paraId="5E84F83B">
          <w:pPr>
            <w:pStyle w:val="12"/>
            <w:rPr>
              <w:rFonts w:asciiTheme="minorHAnsi" w:hAnsiTheme="minorHAnsi" w:eastAsiaTheme="minorEastAsia" w:cstheme="minorBidi"/>
              <w:szCs w:val="22"/>
            </w:rPr>
          </w:pPr>
          <w:r>
            <w:fldChar w:fldCharType="begin"/>
          </w:r>
          <w:r>
            <w:instrText xml:space="preserve"> HYPERLINK \l "_Toc52180069" </w:instrText>
          </w:r>
          <w:r>
            <w:fldChar w:fldCharType="separate"/>
          </w:r>
          <w:r>
            <w:rPr>
              <w:rStyle w:val="16"/>
              <w:rFonts w:hint="eastAsia" w:ascii="黑体" w:eastAsia="黑体"/>
            </w:rPr>
            <w:t>二、</w:t>
          </w:r>
          <w:r>
            <w:rPr>
              <w:rStyle w:val="16"/>
              <w:rFonts w:hint="eastAsia" w:ascii="黑体" w:hAnsi="黑体" w:eastAsia="黑体"/>
            </w:rPr>
            <w:t>机构设置</w:t>
          </w:r>
          <w:r>
            <w:tab/>
          </w:r>
          <w:r>
            <w:fldChar w:fldCharType="end"/>
          </w:r>
          <w:r>
            <w:rPr>
              <w:rFonts w:hint="eastAsia"/>
            </w:rPr>
            <w:t>13-14</w:t>
          </w:r>
        </w:p>
        <w:p w14:paraId="53127A61">
          <w:pPr>
            <w:pStyle w:val="11"/>
            <w:rPr>
              <w:rFonts w:asciiTheme="minorHAnsi" w:hAnsiTheme="minorHAnsi" w:eastAsiaTheme="minorEastAsia" w:cstheme="minorBidi"/>
              <w:sz w:val="21"/>
              <w:szCs w:val="22"/>
            </w:rPr>
          </w:pPr>
          <w:r>
            <w:fldChar w:fldCharType="begin"/>
          </w:r>
          <w:r>
            <w:instrText xml:space="preserve"> HYPERLINK \l "_Toc52180073" </w:instrText>
          </w:r>
          <w:r>
            <w:fldChar w:fldCharType="separate"/>
          </w:r>
          <w:r>
            <w:rPr>
              <w:rStyle w:val="16"/>
              <w:rFonts w:hint="eastAsia" w:ascii="黑体" w:hAnsi="黑体" w:eastAsia="黑体"/>
            </w:rPr>
            <w:t>第二部分</w:t>
          </w:r>
          <w:r>
            <w:rPr>
              <w:rStyle w:val="16"/>
              <w:rFonts w:ascii="黑体" w:hAnsi="黑体" w:eastAsia="黑体"/>
            </w:rPr>
            <w:t xml:space="preserve"> 20</w:t>
          </w:r>
          <w:r>
            <w:rPr>
              <w:rStyle w:val="16"/>
              <w:rFonts w:hint="eastAsia" w:ascii="黑体" w:hAnsi="黑体" w:eastAsia="黑体"/>
            </w:rPr>
            <w:t>20年度部门决算情况说明</w:t>
          </w:r>
          <w:r>
            <w:tab/>
          </w:r>
          <w:r>
            <w:rPr>
              <w:rFonts w:hint="eastAsia"/>
            </w:rPr>
            <w:t>15-2</w:t>
          </w:r>
          <w:r>
            <w:rPr>
              <w:rFonts w:hint="eastAsia"/>
            </w:rPr>
            <w:fldChar w:fldCharType="end"/>
          </w:r>
          <w:r>
            <w:rPr>
              <w:rFonts w:hint="eastAsia"/>
            </w:rPr>
            <w:t>8</w:t>
          </w:r>
        </w:p>
        <w:p w14:paraId="164F043C">
          <w:pPr>
            <w:pStyle w:val="12"/>
            <w:tabs>
              <w:tab w:val="left" w:pos="1260"/>
            </w:tabs>
            <w:rPr>
              <w:rFonts w:asciiTheme="minorHAnsi" w:hAnsiTheme="minorHAnsi" w:eastAsiaTheme="minorEastAsia" w:cstheme="minorBidi"/>
              <w:szCs w:val="22"/>
            </w:rPr>
          </w:pPr>
          <w:r>
            <w:fldChar w:fldCharType="begin"/>
          </w:r>
          <w:r>
            <w:instrText xml:space="preserve"> HYPERLINK \l "_Toc52180074" </w:instrText>
          </w:r>
          <w:r>
            <w:fldChar w:fldCharType="separate"/>
          </w:r>
          <w:r>
            <w:rPr>
              <w:rStyle w:val="16"/>
              <w:rFonts w:hint="eastAsia" w:ascii="黑体" w:hAnsi="黑体" w:eastAsia="黑体" w:cstheme="majorBidi"/>
              <w:bCs/>
            </w:rPr>
            <w:t>一、</w:t>
          </w:r>
          <w:r>
            <w:rPr>
              <w:rFonts w:asciiTheme="minorHAnsi" w:hAnsiTheme="minorHAnsi" w:eastAsiaTheme="minorEastAsia" w:cstheme="minorBidi"/>
              <w:szCs w:val="22"/>
            </w:rPr>
            <w:tab/>
          </w:r>
          <w:r>
            <w:rPr>
              <w:rStyle w:val="16"/>
              <w:rFonts w:hint="eastAsia" w:ascii="黑体" w:hAnsi="黑体" w:eastAsia="黑体"/>
            </w:rPr>
            <w:t>收</w:t>
          </w:r>
          <w:r>
            <w:rPr>
              <w:rStyle w:val="16"/>
              <w:rFonts w:hint="eastAsia" w:ascii="黑体" w:hAnsi="黑体" w:eastAsia="黑体" w:cstheme="majorBidi"/>
              <w:bCs/>
            </w:rPr>
            <w:t>入支出决算总体情况说明</w:t>
          </w:r>
          <w:r>
            <w:tab/>
          </w:r>
          <w:r>
            <w:rPr>
              <w:rFonts w:hint="eastAsia"/>
            </w:rPr>
            <w:t>1</w:t>
          </w:r>
          <w:r>
            <w:rPr>
              <w:rFonts w:hint="eastAsia"/>
            </w:rPr>
            <w:fldChar w:fldCharType="end"/>
          </w:r>
          <w:r>
            <w:rPr>
              <w:rFonts w:hint="eastAsia"/>
            </w:rPr>
            <w:t>5</w:t>
          </w:r>
        </w:p>
        <w:p w14:paraId="7FC11F4E">
          <w:pPr>
            <w:pStyle w:val="12"/>
            <w:tabs>
              <w:tab w:val="left" w:pos="1260"/>
            </w:tabs>
            <w:rPr>
              <w:rFonts w:asciiTheme="minorHAnsi" w:hAnsiTheme="minorHAnsi" w:eastAsiaTheme="minorEastAsia" w:cstheme="minorBidi"/>
              <w:szCs w:val="22"/>
            </w:rPr>
          </w:pPr>
          <w:r>
            <w:fldChar w:fldCharType="begin"/>
          </w:r>
          <w:r>
            <w:instrText xml:space="preserve"> HYPERLINK \l "_Toc52180075" </w:instrText>
          </w:r>
          <w:r>
            <w:fldChar w:fldCharType="separate"/>
          </w:r>
          <w:r>
            <w:rPr>
              <w:rStyle w:val="16"/>
              <w:rFonts w:hint="eastAsia" w:ascii="黑体" w:hAnsi="黑体" w:eastAsia="黑体" w:cstheme="majorBidi"/>
              <w:bCs/>
            </w:rPr>
            <w:t>二、</w:t>
          </w:r>
          <w:r>
            <w:rPr>
              <w:rFonts w:asciiTheme="minorHAnsi" w:hAnsiTheme="minorHAnsi" w:eastAsiaTheme="minorEastAsia" w:cstheme="minorBidi"/>
              <w:szCs w:val="22"/>
            </w:rPr>
            <w:tab/>
          </w:r>
          <w:r>
            <w:rPr>
              <w:rStyle w:val="16"/>
              <w:rFonts w:hint="eastAsia" w:ascii="黑体" w:hAnsi="黑体" w:eastAsia="黑体"/>
            </w:rPr>
            <w:t>收</w:t>
          </w:r>
          <w:r>
            <w:rPr>
              <w:rStyle w:val="16"/>
              <w:rFonts w:hint="eastAsia" w:ascii="黑体" w:hAnsi="黑体" w:eastAsia="黑体" w:cstheme="majorBidi"/>
              <w:bCs/>
            </w:rPr>
            <w:t>入决算情况说明</w:t>
          </w:r>
          <w:r>
            <w:tab/>
          </w:r>
          <w:r>
            <w:rPr>
              <w:rFonts w:hint="eastAsia"/>
            </w:rPr>
            <w:t>1</w:t>
          </w:r>
          <w:r>
            <w:rPr>
              <w:rFonts w:hint="eastAsia"/>
            </w:rPr>
            <w:fldChar w:fldCharType="end"/>
          </w:r>
          <w:r>
            <w:rPr>
              <w:rFonts w:hint="eastAsia"/>
            </w:rPr>
            <w:t>5</w:t>
          </w:r>
        </w:p>
        <w:p w14:paraId="48FA8F6E">
          <w:pPr>
            <w:pStyle w:val="12"/>
            <w:tabs>
              <w:tab w:val="left" w:pos="1260"/>
            </w:tabs>
            <w:rPr>
              <w:rFonts w:asciiTheme="minorHAnsi" w:hAnsiTheme="minorHAnsi" w:eastAsiaTheme="minorEastAsia" w:cstheme="minorBidi"/>
              <w:szCs w:val="22"/>
            </w:rPr>
          </w:pPr>
          <w:r>
            <w:fldChar w:fldCharType="begin"/>
          </w:r>
          <w:r>
            <w:instrText xml:space="preserve"> HYPERLINK \l "_Toc52180077" </w:instrText>
          </w:r>
          <w:r>
            <w:fldChar w:fldCharType="separate"/>
          </w:r>
          <w:r>
            <w:rPr>
              <w:rStyle w:val="16"/>
              <w:rFonts w:hint="eastAsia" w:ascii="黑体" w:hAnsi="黑体" w:eastAsia="黑体" w:cstheme="majorBidi"/>
              <w:bCs/>
            </w:rPr>
            <w:t>三、</w:t>
          </w:r>
          <w:r>
            <w:rPr>
              <w:rFonts w:asciiTheme="minorHAnsi" w:hAnsiTheme="minorHAnsi" w:eastAsiaTheme="minorEastAsia" w:cstheme="minorBidi"/>
              <w:szCs w:val="22"/>
            </w:rPr>
            <w:tab/>
          </w:r>
          <w:r>
            <w:rPr>
              <w:rStyle w:val="16"/>
              <w:rFonts w:hint="eastAsia" w:ascii="黑体" w:hAnsi="黑体" w:eastAsia="黑体"/>
            </w:rPr>
            <w:t>支</w:t>
          </w:r>
          <w:r>
            <w:rPr>
              <w:rStyle w:val="16"/>
              <w:rFonts w:hint="eastAsia" w:ascii="黑体" w:hAnsi="黑体" w:eastAsia="黑体" w:cstheme="majorBidi"/>
              <w:bCs/>
            </w:rPr>
            <w:t>出决算情况说明</w:t>
          </w:r>
          <w:r>
            <w:tab/>
          </w:r>
          <w:r>
            <w:rPr>
              <w:rFonts w:hint="eastAsia"/>
            </w:rPr>
            <w:t>1</w:t>
          </w:r>
          <w:r>
            <w:rPr>
              <w:rFonts w:hint="eastAsia"/>
            </w:rPr>
            <w:fldChar w:fldCharType="end"/>
          </w:r>
          <w:r>
            <w:rPr>
              <w:rFonts w:hint="eastAsia"/>
            </w:rPr>
            <w:t>6</w:t>
          </w:r>
        </w:p>
        <w:p w14:paraId="4BB3D5E3">
          <w:pPr>
            <w:pStyle w:val="12"/>
            <w:rPr>
              <w:rFonts w:asciiTheme="minorHAnsi" w:hAnsiTheme="minorHAnsi" w:eastAsiaTheme="minorEastAsia" w:cstheme="minorBidi"/>
              <w:szCs w:val="22"/>
            </w:rPr>
          </w:pPr>
          <w:r>
            <w:fldChar w:fldCharType="begin"/>
          </w:r>
          <w:r>
            <w:instrText xml:space="preserve"> HYPERLINK \l "_Toc52180079" </w:instrText>
          </w:r>
          <w:r>
            <w:fldChar w:fldCharType="separate"/>
          </w:r>
          <w:r>
            <w:rPr>
              <w:rStyle w:val="16"/>
              <w:rFonts w:hint="eastAsia" w:ascii="黑体" w:hAnsi="黑体" w:eastAsia="黑体"/>
            </w:rPr>
            <w:t>四、财</w:t>
          </w:r>
          <w:r>
            <w:rPr>
              <w:rStyle w:val="16"/>
              <w:rFonts w:hint="eastAsia" w:ascii="黑体" w:hAnsi="黑体" w:eastAsia="黑体" w:cstheme="majorBidi"/>
              <w:bCs/>
            </w:rPr>
            <w:t>政拨款收入支出决算总体情况说明</w:t>
          </w:r>
          <w:r>
            <w:tab/>
          </w:r>
          <w:r>
            <w:rPr>
              <w:rFonts w:hint="eastAsia"/>
            </w:rPr>
            <w:t>1</w:t>
          </w:r>
          <w:r>
            <w:rPr>
              <w:rFonts w:hint="eastAsia"/>
            </w:rPr>
            <w:fldChar w:fldCharType="end"/>
          </w:r>
          <w:r>
            <w:rPr>
              <w:rFonts w:hint="eastAsia"/>
            </w:rPr>
            <w:t>7</w:t>
          </w:r>
        </w:p>
        <w:p w14:paraId="47D2633C">
          <w:pPr>
            <w:pStyle w:val="12"/>
            <w:rPr>
              <w:rFonts w:asciiTheme="minorHAnsi" w:hAnsiTheme="minorHAnsi" w:eastAsiaTheme="minorEastAsia" w:cstheme="minorBidi"/>
              <w:szCs w:val="22"/>
            </w:rPr>
          </w:pPr>
          <w:r>
            <w:fldChar w:fldCharType="begin"/>
          </w:r>
          <w:r>
            <w:instrText xml:space="preserve"> HYPERLINK \l "_Toc52180080" </w:instrText>
          </w:r>
          <w:r>
            <w:fldChar w:fldCharType="separate"/>
          </w:r>
          <w:r>
            <w:rPr>
              <w:rStyle w:val="16"/>
              <w:rFonts w:hint="eastAsia" w:ascii="黑体" w:hAnsi="黑体" w:eastAsia="黑体"/>
            </w:rPr>
            <w:t>五、</w:t>
          </w:r>
          <w:r>
            <w:rPr>
              <w:rStyle w:val="16"/>
              <w:rFonts w:hint="eastAsia" w:ascii="黑体" w:hAnsi="黑体" w:eastAsia="黑体"/>
              <w:b/>
            </w:rPr>
            <w:t>一</w:t>
          </w:r>
          <w:r>
            <w:rPr>
              <w:rStyle w:val="16"/>
              <w:rFonts w:hint="eastAsia" w:ascii="黑体" w:hAnsi="黑体" w:eastAsia="黑体" w:cstheme="majorBidi"/>
              <w:bCs/>
            </w:rPr>
            <w:t>般公共预算财政拨款支出决算情况说明</w:t>
          </w:r>
          <w:r>
            <w:tab/>
          </w:r>
          <w:r>
            <w:rPr>
              <w:rFonts w:hint="eastAsia"/>
            </w:rPr>
            <w:t>1</w:t>
          </w:r>
          <w:r>
            <w:rPr>
              <w:rFonts w:hint="eastAsia"/>
            </w:rPr>
            <w:fldChar w:fldCharType="end"/>
          </w:r>
          <w:r>
            <w:rPr>
              <w:rFonts w:hint="eastAsia"/>
            </w:rPr>
            <w:t>7-20</w:t>
          </w:r>
        </w:p>
        <w:p w14:paraId="2BF7EC66">
          <w:pPr>
            <w:pStyle w:val="7"/>
            <w:rPr>
              <w:rFonts w:asciiTheme="minorHAnsi" w:hAnsiTheme="minorHAnsi" w:eastAsiaTheme="minorEastAsia" w:cstheme="minorBidi"/>
              <w:szCs w:val="22"/>
            </w:rPr>
          </w:pPr>
          <w:r>
            <w:fldChar w:fldCharType="begin"/>
          </w:r>
          <w:r>
            <w:instrText xml:space="preserve"> HYPERLINK \l "_Toc52180081" </w:instrText>
          </w:r>
          <w:r>
            <w:fldChar w:fldCharType="separate"/>
          </w:r>
          <w:r>
            <w:rPr>
              <w:rStyle w:val="16"/>
              <w:rFonts w:hint="eastAsia" w:ascii="仿宋" w:hAnsi="仿宋" w:eastAsia="仿宋"/>
              <w:b/>
            </w:rPr>
            <w:t>（一）一般公共预算财政拨款支出决算总体情况</w:t>
          </w:r>
          <w:r>
            <w:tab/>
          </w:r>
          <w:r>
            <w:rPr>
              <w:rFonts w:hint="eastAsia"/>
            </w:rPr>
            <w:t>1</w:t>
          </w:r>
          <w:r>
            <w:rPr>
              <w:rFonts w:hint="eastAsia"/>
            </w:rPr>
            <w:fldChar w:fldCharType="end"/>
          </w:r>
          <w:r>
            <w:rPr>
              <w:rFonts w:hint="eastAsia"/>
            </w:rPr>
            <w:t>7</w:t>
          </w:r>
        </w:p>
        <w:p w14:paraId="57AE4AD4">
          <w:pPr>
            <w:pStyle w:val="7"/>
            <w:rPr>
              <w:rFonts w:asciiTheme="minorHAnsi" w:hAnsiTheme="minorHAnsi" w:eastAsiaTheme="minorEastAsia" w:cstheme="minorBidi"/>
              <w:szCs w:val="22"/>
            </w:rPr>
          </w:pPr>
          <w:r>
            <w:fldChar w:fldCharType="begin"/>
          </w:r>
          <w:r>
            <w:instrText xml:space="preserve"> HYPERLINK \l "_Toc52180082" </w:instrText>
          </w:r>
          <w:r>
            <w:fldChar w:fldCharType="separate"/>
          </w:r>
          <w:r>
            <w:rPr>
              <w:rStyle w:val="16"/>
              <w:rFonts w:hint="eastAsia" w:ascii="仿宋" w:hAnsi="仿宋" w:eastAsia="仿宋"/>
              <w:b/>
            </w:rPr>
            <w:t>（二）一般公共预算财政拨款支出决算结构情况</w:t>
          </w:r>
          <w:r>
            <w:tab/>
          </w:r>
          <w:r>
            <w:rPr>
              <w:rFonts w:hint="eastAsia"/>
            </w:rPr>
            <w:t>1</w:t>
          </w:r>
          <w:r>
            <w:rPr>
              <w:rFonts w:hint="eastAsia"/>
            </w:rPr>
            <w:fldChar w:fldCharType="end"/>
          </w:r>
          <w:r>
            <w:rPr>
              <w:rFonts w:hint="eastAsia"/>
            </w:rPr>
            <w:t>8</w:t>
          </w:r>
        </w:p>
        <w:p w14:paraId="44BF9B90">
          <w:pPr>
            <w:pStyle w:val="7"/>
            <w:rPr>
              <w:rFonts w:asciiTheme="minorHAnsi" w:hAnsiTheme="minorHAnsi" w:eastAsiaTheme="minorEastAsia" w:cstheme="minorBidi"/>
              <w:szCs w:val="22"/>
            </w:rPr>
          </w:pPr>
          <w:r>
            <w:fldChar w:fldCharType="begin"/>
          </w:r>
          <w:r>
            <w:instrText xml:space="preserve"> HYPERLINK \l "_Toc52180083" </w:instrText>
          </w:r>
          <w:r>
            <w:fldChar w:fldCharType="separate"/>
          </w:r>
          <w:r>
            <w:rPr>
              <w:rStyle w:val="16"/>
              <w:rFonts w:hint="eastAsia" w:ascii="仿宋" w:hAnsi="仿宋" w:eastAsia="仿宋"/>
              <w:b/>
            </w:rPr>
            <w:t>（三）一般公共预算财政拨款支出决算具体情况</w:t>
          </w:r>
          <w:r>
            <w:tab/>
          </w:r>
          <w:r>
            <w:rPr>
              <w:rFonts w:hint="eastAsia"/>
            </w:rPr>
            <w:t>1</w:t>
          </w:r>
          <w:r>
            <w:rPr>
              <w:rFonts w:hint="eastAsia"/>
            </w:rPr>
            <w:fldChar w:fldCharType="end"/>
          </w:r>
          <w:r>
            <w:rPr>
              <w:rFonts w:hint="eastAsia"/>
            </w:rPr>
            <w:t>9-20</w:t>
          </w:r>
        </w:p>
        <w:p w14:paraId="79CE206F">
          <w:pPr>
            <w:pStyle w:val="12"/>
            <w:rPr>
              <w:rFonts w:asciiTheme="minorHAnsi" w:hAnsiTheme="minorHAnsi" w:eastAsiaTheme="minorEastAsia" w:cstheme="minorBidi"/>
              <w:szCs w:val="22"/>
            </w:rPr>
          </w:pPr>
          <w:r>
            <w:fldChar w:fldCharType="begin"/>
          </w:r>
          <w:r>
            <w:instrText xml:space="preserve"> HYPERLINK \l "_Toc52180085" </w:instrText>
          </w:r>
          <w:r>
            <w:fldChar w:fldCharType="separate"/>
          </w:r>
          <w:r>
            <w:rPr>
              <w:rStyle w:val="16"/>
              <w:rFonts w:hint="eastAsia" w:ascii="黑体" w:eastAsia="黑体"/>
            </w:rPr>
            <w:t>六</w:t>
          </w:r>
          <w:r>
            <w:rPr>
              <w:rStyle w:val="16"/>
              <w:rFonts w:hint="eastAsia" w:ascii="黑体" w:eastAsia="黑体"/>
              <w:b/>
            </w:rPr>
            <w:t>、</w:t>
          </w:r>
          <w:r>
            <w:rPr>
              <w:rStyle w:val="16"/>
              <w:rFonts w:hint="eastAsia" w:ascii="黑体" w:hAnsi="黑体" w:eastAsia="黑体"/>
              <w:b/>
            </w:rPr>
            <w:t>一</w:t>
          </w:r>
          <w:r>
            <w:rPr>
              <w:rStyle w:val="16"/>
              <w:rFonts w:hint="eastAsia" w:ascii="黑体" w:hAnsi="黑体" w:eastAsia="黑体" w:cstheme="majorBidi"/>
              <w:bCs/>
            </w:rPr>
            <w:t>般公共预算财政拨款基本支出决算情况说明</w:t>
          </w:r>
          <w:r>
            <w:tab/>
          </w:r>
          <w:r>
            <w:fldChar w:fldCharType="end"/>
          </w:r>
          <w:r>
            <w:rPr>
              <w:rFonts w:hint="eastAsia"/>
            </w:rPr>
            <w:t>20</w:t>
          </w:r>
        </w:p>
        <w:p w14:paraId="2AB6FEDD">
          <w:pPr>
            <w:pStyle w:val="12"/>
            <w:rPr>
              <w:rFonts w:asciiTheme="minorHAnsi" w:hAnsiTheme="minorHAnsi" w:eastAsiaTheme="minorEastAsia" w:cstheme="minorBidi"/>
              <w:szCs w:val="22"/>
            </w:rPr>
          </w:pPr>
          <w:r>
            <w:fldChar w:fldCharType="begin"/>
          </w:r>
          <w:r>
            <w:instrText xml:space="preserve"> HYPERLINK \l "_Toc52180086" </w:instrText>
          </w:r>
          <w:r>
            <w:fldChar w:fldCharType="separate"/>
          </w:r>
          <w:r>
            <w:rPr>
              <w:rStyle w:val="16"/>
              <w:rFonts w:hint="eastAsia" w:ascii="黑体" w:eastAsia="黑体"/>
            </w:rPr>
            <w:t>七、</w:t>
          </w:r>
          <w:r>
            <w:rPr>
              <w:rStyle w:val="16"/>
              <w:rFonts w:ascii="黑体" w:hAnsi="黑体" w:eastAsia="黑体" w:cstheme="majorBidi"/>
              <w:b/>
              <w:bCs/>
            </w:rPr>
            <w:t>“</w:t>
          </w:r>
          <w:r>
            <w:rPr>
              <w:rStyle w:val="16"/>
              <w:rFonts w:hint="eastAsia" w:ascii="黑体" w:hAnsi="黑体" w:eastAsia="黑体" w:cstheme="majorBidi"/>
              <w:bCs/>
            </w:rPr>
            <w:t>三公”经费财政拨款支出决算情况说明</w:t>
          </w:r>
          <w:r>
            <w:tab/>
          </w:r>
          <w:r>
            <w:fldChar w:fldCharType="end"/>
          </w:r>
          <w:r>
            <w:rPr>
              <w:rFonts w:hint="eastAsia"/>
            </w:rPr>
            <w:t>21</w:t>
          </w:r>
        </w:p>
        <w:p w14:paraId="7B93D159">
          <w:pPr>
            <w:pStyle w:val="7"/>
            <w:rPr>
              <w:rFonts w:asciiTheme="minorHAnsi" w:hAnsiTheme="minorHAnsi" w:eastAsiaTheme="minorEastAsia" w:cstheme="minorBidi"/>
              <w:szCs w:val="22"/>
            </w:rPr>
          </w:pPr>
          <w:r>
            <w:fldChar w:fldCharType="begin"/>
          </w:r>
          <w:r>
            <w:instrText xml:space="preserve"> HYPERLINK \l "_Toc52180087" </w:instrText>
          </w:r>
          <w:r>
            <w:fldChar w:fldCharType="separate"/>
          </w:r>
          <w:r>
            <w:rPr>
              <w:rStyle w:val="16"/>
              <w:rFonts w:hint="eastAsia" w:ascii="仿宋" w:hAnsi="仿宋" w:eastAsia="仿宋"/>
              <w:b/>
            </w:rPr>
            <w:t>（一）“三公”经费财政拨款支出决算总体情况说明</w:t>
          </w:r>
          <w:r>
            <w:tab/>
          </w:r>
          <w:r>
            <w:fldChar w:fldCharType="end"/>
          </w:r>
          <w:r>
            <w:rPr>
              <w:rFonts w:hint="eastAsia"/>
            </w:rPr>
            <w:t>21</w:t>
          </w:r>
        </w:p>
        <w:p w14:paraId="1FB0EACF">
          <w:pPr>
            <w:pStyle w:val="7"/>
            <w:rPr>
              <w:rFonts w:asciiTheme="minorHAnsi" w:hAnsiTheme="minorHAnsi" w:eastAsiaTheme="minorEastAsia" w:cstheme="minorBidi"/>
              <w:szCs w:val="22"/>
            </w:rPr>
          </w:pPr>
          <w:r>
            <w:fldChar w:fldCharType="begin"/>
          </w:r>
          <w:r>
            <w:instrText xml:space="preserve"> HYPERLINK \l "_Toc52180088" </w:instrText>
          </w:r>
          <w:r>
            <w:fldChar w:fldCharType="separate"/>
          </w:r>
          <w:r>
            <w:rPr>
              <w:rStyle w:val="16"/>
              <w:rFonts w:hint="eastAsia" w:ascii="仿宋" w:hAnsi="仿宋" w:eastAsia="仿宋"/>
              <w:b/>
            </w:rPr>
            <w:t>（二）“三公”经费财政拨款支出决算具体情况说明</w:t>
          </w:r>
          <w:r>
            <w:tab/>
          </w:r>
          <w:r>
            <w:fldChar w:fldCharType="end"/>
          </w:r>
          <w:r>
            <w:rPr>
              <w:rFonts w:hint="eastAsia"/>
            </w:rPr>
            <w:t>21-22</w:t>
          </w:r>
        </w:p>
        <w:p w14:paraId="2B5A5824">
          <w:pPr>
            <w:pStyle w:val="12"/>
            <w:rPr>
              <w:rFonts w:asciiTheme="minorHAnsi" w:hAnsiTheme="minorHAnsi" w:eastAsiaTheme="minorEastAsia" w:cstheme="minorBidi"/>
              <w:szCs w:val="22"/>
            </w:rPr>
          </w:pPr>
          <w:r>
            <w:fldChar w:fldCharType="begin"/>
          </w:r>
          <w:r>
            <w:instrText xml:space="preserve"> HYPERLINK \l "_Toc52180089" </w:instrText>
          </w:r>
          <w:r>
            <w:fldChar w:fldCharType="separate"/>
          </w:r>
          <w:r>
            <w:rPr>
              <w:rStyle w:val="16"/>
              <w:rFonts w:hint="eastAsia" w:ascii="黑体" w:eastAsia="黑体"/>
            </w:rPr>
            <w:t>八、</w:t>
          </w:r>
          <w:r>
            <w:rPr>
              <w:rStyle w:val="16"/>
              <w:rFonts w:hint="eastAsia" w:ascii="黑体" w:hAnsi="黑体" w:eastAsia="黑体" w:cstheme="majorBidi"/>
              <w:bCs/>
            </w:rPr>
            <w:t>政府性基金预算支出决算情况说明</w:t>
          </w:r>
          <w:r>
            <w:tab/>
          </w:r>
          <w:r>
            <w:fldChar w:fldCharType="end"/>
          </w:r>
          <w:r>
            <w:rPr>
              <w:rFonts w:hint="eastAsia"/>
            </w:rPr>
            <w:t>22</w:t>
          </w:r>
        </w:p>
        <w:p w14:paraId="26DB6C6A">
          <w:pPr>
            <w:pStyle w:val="12"/>
            <w:rPr>
              <w:rFonts w:asciiTheme="minorHAnsi" w:hAnsiTheme="minorHAnsi" w:eastAsiaTheme="minorEastAsia" w:cstheme="minorBidi"/>
              <w:szCs w:val="22"/>
            </w:rPr>
          </w:pPr>
          <w:r>
            <w:fldChar w:fldCharType="begin"/>
          </w:r>
          <w:r>
            <w:instrText xml:space="preserve"> HYPERLINK \l "_Toc52180090" </w:instrText>
          </w:r>
          <w:r>
            <w:fldChar w:fldCharType="separate"/>
          </w:r>
          <w:r>
            <w:rPr>
              <w:rStyle w:val="16"/>
              <w:rFonts w:hint="eastAsia" w:ascii="黑体" w:hAnsi="黑体" w:eastAsia="黑体" w:cstheme="majorBidi"/>
              <w:bCs/>
            </w:rPr>
            <w:t>九、 国有资本经营预算支出决算情况说明</w:t>
          </w:r>
          <w:r>
            <w:tab/>
          </w:r>
          <w:r>
            <w:fldChar w:fldCharType="end"/>
          </w:r>
          <w:r>
            <w:rPr>
              <w:rFonts w:hint="eastAsia"/>
            </w:rPr>
            <w:t>23</w:t>
          </w:r>
        </w:p>
        <w:p w14:paraId="4B2D394C">
          <w:pPr>
            <w:pStyle w:val="12"/>
            <w:rPr>
              <w:rFonts w:asciiTheme="minorHAnsi" w:hAnsiTheme="minorHAnsi" w:eastAsiaTheme="minorEastAsia" w:cstheme="minorBidi"/>
              <w:szCs w:val="22"/>
            </w:rPr>
          </w:pPr>
          <w:r>
            <w:fldChar w:fldCharType="begin"/>
          </w:r>
          <w:r>
            <w:instrText xml:space="preserve"> HYPERLINK \l "_Toc52180091" </w:instrText>
          </w:r>
          <w:r>
            <w:fldChar w:fldCharType="separate"/>
          </w:r>
          <w:r>
            <w:rPr>
              <w:rStyle w:val="16"/>
              <w:rFonts w:hint="eastAsia" w:ascii="黑体" w:hAnsi="黑体" w:eastAsia="黑体"/>
            </w:rPr>
            <w:t>十</w:t>
          </w:r>
          <w:r>
            <w:rPr>
              <w:rStyle w:val="16"/>
              <w:rFonts w:hint="eastAsia" w:ascii="黑体" w:hAnsi="黑体" w:eastAsia="黑体" w:cstheme="majorBidi"/>
              <w:b/>
              <w:bCs/>
            </w:rPr>
            <w:t>、</w:t>
          </w:r>
          <w:r>
            <w:rPr>
              <w:rStyle w:val="16"/>
              <w:rFonts w:hint="eastAsia" w:ascii="黑体" w:hAnsi="黑体" w:eastAsia="黑体" w:cstheme="majorBidi"/>
              <w:bCs/>
            </w:rPr>
            <w:t>其他重要事项的情况说明</w:t>
          </w:r>
          <w:r>
            <w:tab/>
          </w:r>
          <w:r>
            <w:fldChar w:fldCharType="end"/>
          </w:r>
          <w:r>
            <w:rPr>
              <w:rFonts w:hint="eastAsia"/>
            </w:rPr>
            <w:t>23</w:t>
          </w:r>
        </w:p>
        <w:p w14:paraId="556EF5F0">
          <w:pPr>
            <w:pStyle w:val="7"/>
            <w:rPr>
              <w:rFonts w:asciiTheme="minorHAnsi" w:hAnsiTheme="minorHAnsi" w:eastAsiaTheme="minorEastAsia" w:cstheme="minorBidi"/>
              <w:szCs w:val="22"/>
            </w:rPr>
          </w:pPr>
          <w:r>
            <w:fldChar w:fldCharType="begin"/>
          </w:r>
          <w:r>
            <w:instrText xml:space="preserve"> HYPERLINK \l "_Toc52180092" </w:instrText>
          </w:r>
          <w:r>
            <w:fldChar w:fldCharType="separate"/>
          </w:r>
          <w:r>
            <w:rPr>
              <w:rStyle w:val="16"/>
              <w:rFonts w:hint="eastAsia" w:ascii="仿宋" w:hAnsi="仿宋" w:eastAsia="仿宋"/>
              <w:b/>
            </w:rPr>
            <w:t>（一）机关运行经费支出情况</w:t>
          </w:r>
          <w:r>
            <w:tab/>
          </w:r>
          <w:r>
            <w:fldChar w:fldCharType="end"/>
          </w:r>
          <w:r>
            <w:rPr>
              <w:rFonts w:hint="eastAsia"/>
            </w:rPr>
            <w:t>23</w:t>
          </w:r>
        </w:p>
        <w:p w14:paraId="432101B5">
          <w:pPr>
            <w:pStyle w:val="7"/>
            <w:rPr>
              <w:rFonts w:asciiTheme="minorHAnsi" w:hAnsiTheme="minorHAnsi" w:eastAsiaTheme="minorEastAsia" w:cstheme="minorBidi"/>
              <w:szCs w:val="22"/>
            </w:rPr>
          </w:pPr>
          <w:r>
            <w:fldChar w:fldCharType="begin"/>
          </w:r>
          <w:r>
            <w:instrText xml:space="preserve"> HYPERLINK \l "_Toc52180093" </w:instrText>
          </w:r>
          <w:r>
            <w:fldChar w:fldCharType="separate"/>
          </w:r>
          <w:r>
            <w:rPr>
              <w:rStyle w:val="16"/>
              <w:rFonts w:hint="eastAsia" w:ascii="仿宋" w:hAnsi="仿宋" w:eastAsia="仿宋"/>
              <w:b/>
            </w:rPr>
            <w:t>（二）政府采购支出情况</w:t>
          </w:r>
          <w:r>
            <w:tab/>
          </w:r>
          <w:r>
            <w:fldChar w:fldCharType="end"/>
          </w:r>
          <w:r>
            <w:rPr>
              <w:rFonts w:hint="eastAsia"/>
            </w:rPr>
            <w:t>23</w:t>
          </w:r>
        </w:p>
        <w:p w14:paraId="5B3A030B">
          <w:pPr>
            <w:pStyle w:val="7"/>
            <w:rPr>
              <w:rFonts w:asciiTheme="minorHAnsi" w:hAnsiTheme="minorHAnsi" w:eastAsiaTheme="minorEastAsia" w:cstheme="minorBidi"/>
              <w:szCs w:val="22"/>
            </w:rPr>
          </w:pPr>
          <w:r>
            <w:fldChar w:fldCharType="begin"/>
          </w:r>
          <w:r>
            <w:instrText xml:space="preserve"> HYPERLINK \l "_Toc52180094" </w:instrText>
          </w:r>
          <w:r>
            <w:fldChar w:fldCharType="separate"/>
          </w:r>
          <w:r>
            <w:rPr>
              <w:rStyle w:val="16"/>
              <w:rFonts w:hint="eastAsia" w:ascii="仿宋" w:hAnsi="仿宋" w:eastAsia="仿宋"/>
              <w:b/>
            </w:rPr>
            <w:t>（三）国有资产占有使用情况</w:t>
          </w:r>
          <w:r>
            <w:tab/>
          </w:r>
          <w:r>
            <w:fldChar w:fldCharType="end"/>
          </w:r>
          <w:r>
            <w:rPr>
              <w:rFonts w:hint="eastAsia"/>
            </w:rPr>
            <w:t>23</w:t>
          </w:r>
        </w:p>
        <w:p w14:paraId="0E5ADFA8">
          <w:pPr>
            <w:pStyle w:val="7"/>
            <w:rPr>
              <w:rFonts w:asciiTheme="minorHAnsi" w:hAnsiTheme="minorHAnsi" w:eastAsiaTheme="minorEastAsia" w:cstheme="minorBidi"/>
              <w:szCs w:val="22"/>
            </w:rPr>
          </w:pPr>
          <w:r>
            <w:fldChar w:fldCharType="begin"/>
          </w:r>
          <w:r>
            <w:instrText xml:space="preserve"> HYPERLINK \l "_Toc52180095" </w:instrText>
          </w:r>
          <w:r>
            <w:fldChar w:fldCharType="separate"/>
          </w:r>
          <w:r>
            <w:rPr>
              <w:rStyle w:val="16"/>
              <w:rFonts w:hint="eastAsia" w:ascii="仿宋" w:hAnsi="仿宋" w:eastAsia="仿宋"/>
              <w:b/>
            </w:rPr>
            <w:t>（四）预算绩效管理情况。</w:t>
          </w:r>
          <w:r>
            <w:tab/>
          </w:r>
          <w:r>
            <w:rPr>
              <w:rFonts w:hint="eastAsia"/>
            </w:rPr>
            <w:t>23-2</w:t>
          </w:r>
          <w:r>
            <w:rPr>
              <w:rFonts w:hint="eastAsia"/>
            </w:rPr>
            <w:fldChar w:fldCharType="end"/>
          </w:r>
          <w:r>
            <w:rPr>
              <w:rFonts w:hint="eastAsia"/>
            </w:rPr>
            <w:t>8</w:t>
          </w:r>
        </w:p>
        <w:p w14:paraId="2B1390D6">
          <w:pPr>
            <w:pStyle w:val="11"/>
            <w:rPr>
              <w:rFonts w:asciiTheme="minorHAnsi" w:hAnsiTheme="minorHAnsi" w:eastAsiaTheme="minorEastAsia" w:cstheme="minorBidi"/>
              <w:sz w:val="21"/>
              <w:szCs w:val="22"/>
            </w:rPr>
          </w:pPr>
          <w:r>
            <w:fldChar w:fldCharType="begin"/>
          </w:r>
          <w:r>
            <w:instrText xml:space="preserve"> HYPERLINK \l "_Toc52180096" </w:instrText>
          </w:r>
          <w:r>
            <w:fldChar w:fldCharType="separate"/>
          </w:r>
          <w:r>
            <w:rPr>
              <w:rStyle w:val="16"/>
              <w:rFonts w:hint="eastAsia" w:ascii="黑体" w:hAnsi="黑体" w:eastAsia="黑体"/>
              <w:bCs/>
              <w:kern w:val="44"/>
            </w:rPr>
            <w:t>第三部分</w:t>
          </w:r>
          <w:r>
            <w:rPr>
              <w:rStyle w:val="16"/>
              <w:rFonts w:hint="eastAsia" w:ascii="黑体" w:hAnsi="黑体" w:eastAsia="黑体"/>
            </w:rPr>
            <w:t xml:space="preserve"> 名</w:t>
          </w:r>
          <w:r>
            <w:rPr>
              <w:rStyle w:val="16"/>
              <w:rFonts w:hint="eastAsia" w:ascii="黑体" w:hAnsi="黑体" w:eastAsia="黑体"/>
              <w:bCs/>
              <w:kern w:val="44"/>
            </w:rPr>
            <w:t>词解释</w:t>
          </w:r>
          <w:r>
            <w:tab/>
          </w:r>
          <w:r>
            <w:rPr>
              <w:rFonts w:hint="eastAsia"/>
            </w:rPr>
            <w:t>28-</w:t>
          </w:r>
          <w:r>
            <w:rPr>
              <w:rFonts w:hint="eastAsia"/>
            </w:rPr>
            <w:fldChar w:fldCharType="end"/>
          </w:r>
          <w:r>
            <w:rPr>
              <w:rFonts w:hint="eastAsia"/>
            </w:rPr>
            <w:t>30</w:t>
          </w:r>
        </w:p>
        <w:p w14:paraId="2C5C5EFD">
          <w:pPr>
            <w:pStyle w:val="11"/>
            <w:rPr>
              <w:rFonts w:asciiTheme="minorHAnsi" w:hAnsiTheme="minorHAnsi" w:eastAsiaTheme="minorEastAsia" w:cstheme="minorBidi"/>
              <w:sz w:val="21"/>
              <w:szCs w:val="22"/>
            </w:rPr>
          </w:pPr>
          <w:r>
            <w:fldChar w:fldCharType="begin"/>
          </w:r>
          <w:r>
            <w:instrText xml:space="preserve"> HYPERLINK \l "_Toc52180097" </w:instrText>
          </w:r>
          <w:r>
            <w:fldChar w:fldCharType="separate"/>
          </w:r>
          <w:r>
            <w:rPr>
              <w:rStyle w:val="16"/>
              <w:rFonts w:hint="eastAsia" w:ascii="黑体" w:hAnsi="黑体" w:eastAsia="黑体"/>
            </w:rPr>
            <w:t>第</w:t>
          </w:r>
          <w:r>
            <w:rPr>
              <w:rStyle w:val="16"/>
              <w:rFonts w:hint="eastAsia" w:ascii="黑体" w:hAnsi="黑体" w:eastAsia="黑体"/>
              <w:bCs/>
              <w:kern w:val="44"/>
            </w:rPr>
            <w:t>四部分</w:t>
          </w:r>
          <w:r>
            <w:rPr>
              <w:rStyle w:val="16"/>
              <w:rFonts w:ascii="黑体" w:hAnsi="黑体" w:eastAsia="黑体"/>
              <w:bCs/>
              <w:kern w:val="44"/>
            </w:rPr>
            <w:t xml:space="preserve"> </w:t>
          </w:r>
          <w:r>
            <w:rPr>
              <w:rStyle w:val="16"/>
              <w:rFonts w:hint="eastAsia" w:ascii="黑体" w:hAnsi="黑体" w:eastAsia="黑体"/>
              <w:bCs/>
              <w:kern w:val="44"/>
            </w:rPr>
            <w:t>附件</w:t>
          </w:r>
          <w:r>
            <w:tab/>
          </w:r>
          <w:r>
            <w:rPr>
              <w:rFonts w:hint="eastAsia"/>
            </w:rPr>
            <w:t>31-</w:t>
          </w:r>
          <w:r>
            <w:rPr>
              <w:rFonts w:hint="eastAsia"/>
            </w:rPr>
            <w:fldChar w:fldCharType="end"/>
          </w:r>
          <w:r>
            <w:rPr>
              <w:rFonts w:hint="eastAsia"/>
            </w:rPr>
            <w:t>45</w:t>
          </w:r>
        </w:p>
        <w:p w14:paraId="748B286F">
          <w:pPr>
            <w:pStyle w:val="11"/>
            <w:rPr>
              <w:rFonts w:asciiTheme="minorHAnsi" w:hAnsiTheme="minorHAnsi" w:eastAsiaTheme="minorEastAsia" w:cstheme="minorBidi"/>
              <w:sz w:val="21"/>
              <w:szCs w:val="22"/>
            </w:rPr>
          </w:pPr>
          <w:r>
            <w:fldChar w:fldCharType="begin"/>
          </w:r>
          <w:r>
            <w:instrText xml:space="preserve"> HYPERLINK \l "_Toc52180099" </w:instrText>
          </w:r>
          <w:r>
            <w:fldChar w:fldCharType="separate"/>
          </w:r>
          <w:r>
            <w:rPr>
              <w:rStyle w:val="16"/>
              <w:rFonts w:hint="eastAsia" w:ascii="黑体" w:hAnsi="黑体" w:eastAsia="黑体"/>
            </w:rPr>
            <w:t>第</w:t>
          </w:r>
          <w:r>
            <w:rPr>
              <w:rStyle w:val="16"/>
              <w:rFonts w:hint="eastAsia" w:ascii="黑体" w:hAnsi="黑体" w:eastAsia="黑体"/>
              <w:bCs/>
              <w:kern w:val="44"/>
            </w:rPr>
            <w:t>五部分</w:t>
          </w:r>
          <w:r>
            <w:rPr>
              <w:rStyle w:val="16"/>
              <w:rFonts w:ascii="黑体" w:hAnsi="黑体" w:eastAsia="黑体"/>
              <w:bCs/>
              <w:kern w:val="44"/>
            </w:rPr>
            <w:t xml:space="preserve"> </w:t>
          </w:r>
          <w:r>
            <w:rPr>
              <w:rStyle w:val="16"/>
              <w:rFonts w:hint="eastAsia" w:ascii="黑体" w:hAnsi="黑体" w:eastAsia="黑体"/>
              <w:bCs/>
              <w:kern w:val="44"/>
            </w:rPr>
            <w:t>附表</w:t>
          </w:r>
          <w:r>
            <w:tab/>
          </w:r>
          <w:r>
            <w:fldChar w:fldCharType="end"/>
          </w:r>
          <w:r>
            <w:rPr>
              <w:rFonts w:hint="eastAsia"/>
            </w:rPr>
            <w:t>46</w:t>
          </w:r>
        </w:p>
        <w:p w14:paraId="0DB1CB0F">
          <w:pPr>
            <w:pStyle w:val="12"/>
            <w:rPr>
              <w:rFonts w:asciiTheme="minorHAnsi" w:hAnsiTheme="minorHAnsi" w:eastAsiaTheme="minorEastAsia" w:cstheme="minorBidi"/>
              <w:szCs w:val="22"/>
            </w:rPr>
          </w:pPr>
          <w:r>
            <w:fldChar w:fldCharType="begin"/>
          </w:r>
          <w:r>
            <w:instrText xml:space="preserve"> HYPERLINK \l "_Toc52180100" </w:instrText>
          </w:r>
          <w:r>
            <w:fldChar w:fldCharType="separate"/>
          </w:r>
          <w:r>
            <w:rPr>
              <w:rStyle w:val="16"/>
              <w:rFonts w:hint="eastAsia" w:ascii="仿宋" w:hAnsi="仿宋" w:eastAsia="仿宋"/>
            </w:rPr>
            <w:t>一、收入支出决算总表</w:t>
          </w:r>
          <w:r>
            <w:tab/>
          </w:r>
          <w:r>
            <w:fldChar w:fldCharType="end"/>
          </w:r>
          <w:r>
            <w:t>46</w:t>
          </w:r>
        </w:p>
        <w:p w14:paraId="0CDF5445">
          <w:pPr>
            <w:pStyle w:val="12"/>
            <w:rPr>
              <w:rFonts w:asciiTheme="minorHAnsi" w:hAnsiTheme="minorHAnsi" w:eastAsiaTheme="minorEastAsia" w:cstheme="minorBidi"/>
              <w:szCs w:val="22"/>
            </w:rPr>
          </w:pPr>
          <w:r>
            <w:fldChar w:fldCharType="begin"/>
          </w:r>
          <w:r>
            <w:instrText xml:space="preserve"> HYPERLINK \l "_Toc52180101" </w:instrText>
          </w:r>
          <w:r>
            <w:fldChar w:fldCharType="separate"/>
          </w:r>
          <w:r>
            <w:rPr>
              <w:rStyle w:val="16"/>
              <w:rFonts w:hint="eastAsia" w:ascii="仿宋" w:hAnsi="仿宋" w:eastAsia="仿宋"/>
            </w:rPr>
            <w:t>二、收入决算表</w:t>
          </w:r>
          <w:r>
            <w:tab/>
          </w:r>
          <w:r>
            <w:fldChar w:fldCharType="end"/>
          </w:r>
          <w:r>
            <w:t>46</w:t>
          </w:r>
        </w:p>
        <w:p w14:paraId="2CB98D90">
          <w:pPr>
            <w:pStyle w:val="12"/>
            <w:rPr>
              <w:rFonts w:asciiTheme="minorHAnsi" w:hAnsiTheme="minorHAnsi" w:eastAsiaTheme="minorEastAsia" w:cstheme="minorBidi"/>
              <w:szCs w:val="22"/>
            </w:rPr>
          </w:pPr>
          <w:r>
            <w:fldChar w:fldCharType="begin"/>
          </w:r>
          <w:r>
            <w:instrText xml:space="preserve"> HYPERLINK \l "_Toc52180102" </w:instrText>
          </w:r>
          <w:r>
            <w:fldChar w:fldCharType="separate"/>
          </w:r>
          <w:r>
            <w:rPr>
              <w:rStyle w:val="16"/>
              <w:rFonts w:hint="eastAsia" w:ascii="仿宋" w:hAnsi="仿宋" w:eastAsia="仿宋"/>
            </w:rPr>
            <w:t>三、支出决算表</w:t>
          </w:r>
          <w:r>
            <w:tab/>
          </w:r>
          <w:r>
            <w:fldChar w:fldCharType="end"/>
          </w:r>
          <w:r>
            <w:t>46</w:t>
          </w:r>
        </w:p>
        <w:p w14:paraId="46453C42">
          <w:pPr>
            <w:pStyle w:val="12"/>
            <w:rPr>
              <w:rFonts w:asciiTheme="minorHAnsi" w:hAnsiTheme="minorHAnsi" w:eastAsiaTheme="minorEastAsia" w:cstheme="minorBidi"/>
              <w:szCs w:val="22"/>
            </w:rPr>
          </w:pPr>
          <w:r>
            <w:fldChar w:fldCharType="begin"/>
          </w:r>
          <w:r>
            <w:instrText xml:space="preserve"> HYPERLINK \l "_Toc52180103" </w:instrText>
          </w:r>
          <w:r>
            <w:fldChar w:fldCharType="separate"/>
          </w:r>
          <w:r>
            <w:rPr>
              <w:rStyle w:val="16"/>
              <w:rFonts w:hint="eastAsia" w:ascii="仿宋" w:hAnsi="仿宋" w:eastAsia="仿宋"/>
            </w:rPr>
            <w:t>四、财政拨款收入支出决算总表</w:t>
          </w:r>
          <w:r>
            <w:tab/>
          </w:r>
          <w:r>
            <w:fldChar w:fldCharType="end"/>
          </w:r>
          <w:r>
            <w:t>46</w:t>
          </w:r>
        </w:p>
        <w:p w14:paraId="49E05172">
          <w:pPr>
            <w:pStyle w:val="12"/>
            <w:rPr>
              <w:rFonts w:asciiTheme="minorHAnsi" w:hAnsiTheme="minorHAnsi" w:eastAsiaTheme="minorEastAsia" w:cstheme="minorBidi"/>
              <w:szCs w:val="22"/>
            </w:rPr>
          </w:pPr>
          <w:r>
            <w:fldChar w:fldCharType="begin"/>
          </w:r>
          <w:r>
            <w:instrText xml:space="preserve"> HYPERLINK \l "_Toc52180104" </w:instrText>
          </w:r>
          <w:r>
            <w:fldChar w:fldCharType="separate"/>
          </w:r>
          <w:r>
            <w:rPr>
              <w:rStyle w:val="16"/>
              <w:rFonts w:hint="eastAsia" w:ascii="仿宋" w:hAnsi="仿宋" w:eastAsia="仿宋"/>
            </w:rPr>
            <w:t>五、财政拨款支出决算明细表</w:t>
          </w:r>
          <w:r>
            <w:tab/>
          </w:r>
          <w:r>
            <w:fldChar w:fldCharType="end"/>
          </w:r>
          <w:r>
            <w:t>46</w:t>
          </w:r>
        </w:p>
        <w:p w14:paraId="38228731">
          <w:pPr>
            <w:pStyle w:val="12"/>
            <w:rPr>
              <w:rFonts w:asciiTheme="minorHAnsi" w:hAnsiTheme="minorHAnsi" w:eastAsiaTheme="minorEastAsia" w:cstheme="minorBidi"/>
              <w:szCs w:val="22"/>
            </w:rPr>
          </w:pPr>
          <w:r>
            <w:fldChar w:fldCharType="begin"/>
          </w:r>
          <w:r>
            <w:instrText xml:space="preserve"> HYPERLINK \l "_Toc52180105" </w:instrText>
          </w:r>
          <w:r>
            <w:fldChar w:fldCharType="separate"/>
          </w:r>
          <w:r>
            <w:rPr>
              <w:rStyle w:val="16"/>
              <w:rFonts w:hint="eastAsia" w:ascii="仿宋" w:hAnsi="仿宋" w:eastAsia="仿宋"/>
            </w:rPr>
            <w:t>六、一般公共预算财政拨款支出决算表</w:t>
          </w:r>
          <w:r>
            <w:tab/>
          </w:r>
          <w:r>
            <w:fldChar w:fldCharType="end"/>
          </w:r>
          <w:r>
            <w:t>46</w:t>
          </w:r>
        </w:p>
        <w:p w14:paraId="3FCF70B3">
          <w:pPr>
            <w:pStyle w:val="12"/>
            <w:rPr>
              <w:rFonts w:asciiTheme="minorHAnsi" w:hAnsiTheme="minorHAnsi" w:eastAsiaTheme="minorEastAsia" w:cstheme="minorBidi"/>
              <w:szCs w:val="22"/>
            </w:rPr>
          </w:pPr>
          <w:r>
            <w:fldChar w:fldCharType="begin"/>
          </w:r>
          <w:r>
            <w:instrText xml:space="preserve"> HYPERLINK \l "_Toc52180106" </w:instrText>
          </w:r>
          <w:r>
            <w:fldChar w:fldCharType="separate"/>
          </w:r>
          <w:r>
            <w:rPr>
              <w:rStyle w:val="16"/>
              <w:rFonts w:hint="eastAsia" w:ascii="仿宋" w:hAnsi="仿宋" w:eastAsia="仿宋"/>
            </w:rPr>
            <w:t>七、一般公共预算财政拨款支出决算明细表</w:t>
          </w:r>
          <w:r>
            <w:tab/>
          </w:r>
          <w:r>
            <w:fldChar w:fldCharType="end"/>
          </w:r>
          <w:r>
            <w:t>46</w:t>
          </w:r>
        </w:p>
        <w:p w14:paraId="38C2C207">
          <w:pPr>
            <w:pStyle w:val="12"/>
            <w:rPr>
              <w:rFonts w:asciiTheme="minorHAnsi" w:hAnsiTheme="minorHAnsi" w:eastAsiaTheme="minorEastAsia" w:cstheme="minorBidi"/>
              <w:szCs w:val="22"/>
            </w:rPr>
          </w:pPr>
          <w:r>
            <w:fldChar w:fldCharType="begin"/>
          </w:r>
          <w:r>
            <w:instrText xml:space="preserve"> HYPERLINK \l "_Toc52180107" </w:instrText>
          </w:r>
          <w:r>
            <w:fldChar w:fldCharType="separate"/>
          </w:r>
          <w:r>
            <w:rPr>
              <w:rStyle w:val="16"/>
              <w:rFonts w:hint="eastAsia" w:ascii="仿宋" w:hAnsi="仿宋" w:eastAsia="仿宋"/>
            </w:rPr>
            <w:t>八、一般公共预算财政拨款基本支出决算表</w:t>
          </w:r>
          <w:r>
            <w:tab/>
          </w:r>
          <w:r>
            <w:fldChar w:fldCharType="end"/>
          </w:r>
          <w:r>
            <w:t>46</w:t>
          </w:r>
        </w:p>
        <w:p w14:paraId="199D2403">
          <w:pPr>
            <w:pStyle w:val="12"/>
            <w:rPr>
              <w:rFonts w:asciiTheme="minorHAnsi" w:hAnsiTheme="minorHAnsi" w:eastAsiaTheme="minorEastAsia" w:cstheme="minorBidi"/>
              <w:szCs w:val="22"/>
            </w:rPr>
          </w:pPr>
          <w:r>
            <w:fldChar w:fldCharType="begin"/>
          </w:r>
          <w:r>
            <w:instrText xml:space="preserve"> HYPERLINK \l "_Toc52180108" </w:instrText>
          </w:r>
          <w:r>
            <w:fldChar w:fldCharType="separate"/>
          </w:r>
          <w:r>
            <w:rPr>
              <w:rStyle w:val="16"/>
              <w:rFonts w:hint="eastAsia" w:ascii="仿宋" w:hAnsi="仿宋" w:eastAsia="仿宋"/>
            </w:rPr>
            <w:t>九、一般公共预算财政拨款项目支出决算表</w:t>
          </w:r>
          <w:r>
            <w:tab/>
          </w:r>
          <w:r>
            <w:fldChar w:fldCharType="end"/>
          </w:r>
          <w:r>
            <w:t>46</w:t>
          </w:r>
        </w:p>
        <w:p w14:paraId="184BD461">
          <w:pPr>
            <w:pStyle w:val="12"/>
            <w:rPr>
              <w:rFonts w:asciiTheme="minorHAnsi" w:hAnsiTheme="minorHAnsi" w:eastAsiaTheme="minorEastAsia" w:cstheme="minorBidi"/>
              <w:szCs w:val="22"/>
            </w:rPr>
          </w:pPr>
          <w:r>
            <w:fldChar w:fldCharType="begin"/>
          </w:r>
          <w:r>
            <w:instrText xml:space="preserve"> HYPERLINK \l "_Toc52180109" </w:instrText>
          </w:r>
          <w:r>
            <w:fldChar w:fldCharType="separate"/>
          </w:r>
          <w:r>
            <w:rPr>
              <w:rStyle w:val="16"/>
              <w:rFonts w:hint="eastAsia" w:ascii="仿宋" w:hAnsi="仿宋" w:eastAsia="仿宋"/>
            </w:rPr>
            <w:t>十、一般公共预算财政拨款“三公”经费支出决算表</w:t>
          </w:r>
          <w:r>
            <w:tab/>
          </w:r>
          <w:r>
            <w:fldChar w:fldCharType="end"/>
          </w:r>
          <w:r>
            <w:t>46</w:t>
          </w:r>
        </w:p>
        <w:p w14:paraId="00FE00CE">
          <w:pPr>
            <w:pStyle w:val="12"/>
            <w:rPr>
              <w:rFonts w:asciiTheme="minorHAnsi" w:hAnsiTheme="minorHAnsi" w:eastAsiaTheme="minorEastAsia" w:cstheme="minorBidi"/>
              <w:szCs w:val="22"/>
            </w:rPr>
          </w:pPr>
          <w:r>
            <w:fldChar w:fldCharType="begin"/>
          </w:r>
          <w:r>
            <w:instrText xml:space="preserve"> HYPERLINK \l "_Toc52180110" </w:instrText>
          </w:r>
          <w:r>
            <w:fldChar w:fldCharType="separate"/>
          </w:r>
          <w:r>
            <w:rPr>
              <w:rStyle w:val="16"/>
              <w:rFonts w:hint="eastAsia" w:ascii="仿宋" w:hAnsi="仿宋" w:eastAsia="仿宋"/>
            </w:rPr>
            <w:t>十一、政府性基金预算财政拨款收入支出决算表</w:t>
          </w:r>
          <w:r>
            <w:tab/>
          </w:r>
          <w:r>
            <w:fldChar w:fldCharType="end"/>
          </w:r>
          <w:r>
            <w:t>46</w:t>
          </w:r>
        </w:p>
        <w:p w14:paraId="2AA798B5">
          <w:pPr>
            <w:pStyle w:val="12"/>
            <w:rPr>
              <w:rFonts w:asciiTheme="minorHAnsi" w:hAnsiTheme="minorHAnsi" w:eastAsiaTheme="minorEastAsia" w:cstheme="minorBidi"/>
              <w:szCs w:val="22"/>
            </w:rPr>
          </w:pPr>
          <w:r>
            <w:fldChar w:fldCharType="begin"/>
          </w:r>
          <w:r>
            <w:instrText xml:space="preserve"> HYPERLINK \l "_Toc52180111" </w:instrText>
          </w:r>
          <w:r>
            <w:fldChar w:fldCharType="separate"/>
          </w:r>
          <w:r>
            <w:rPr>
              <w:rStyle w:val="16"/>
              <w:rFonts w:hint="eastAsia" w:ascii="仿宋" w:hAnsi="仿宋" w:eastAsia="仿宋"/>
            </w:rPr>
            <w:t>十二、政府性基金预算财政拨款“三公”经费支出决算表</w:t>
          </w:r>
          <w:r>
            <w:tab/>
          </w:r>
          <w:r>
            <w:fldChar w:fldCharType="end"/>
          </w:r>
          <w:r>
            <w:t>46</w:t>
          </w:r>
        </w:p>
        <w:p w14:paraId="23FB4565">
          <w:pPr>
            <w:pStyle w:val="12"/>
            <w:rPr>
              <w:rFonts w:asciiTheme="minorHAnsi" w:hAnsiTheme="minorHAnsi" w:eastAsiaTheme="minorEastAsia" w:cstheme="minorBidi"/>
              <w:szCs w:val="22"/>
            </w:rPr>
          </w:pPr>
          <w:r>
            <w:fldChar w:fldCharType="begin"/>
          </w:r>
          <w:r>
            <w:instrText xml:space="preserve"> HYPERLINK \l "_Toc52180112" </w:instrText>
          </w:r>
          <w:r>
            <w:fldChar w:fldCharType="separate"/>
          </w:r>
          <w:r>
            <w:rPr>
              <w:rStyle w:val="16"/>
              <w:rFonts w:hint="eastAsia" w:ascii="仿宋" w:hAnsi="仿宋" w:eastAsia="仿宋"/>
            </w:rPr>
            <w:t>十三、国有资本经营预算支出决算表</w:t>
          </w:r>
          <w:r>
            <w:tab/>
          </w:r>
          <w:r>
            <w:fldChar w:fldCharType="end"/>
          </w:r>
          <w:r>
            <w:t>46</w:t>
          </w:r>
        </w:p>
        <w:p w14:paraId="18C5EBED">
          <w:r>
            <w:fldChar w:fldCharType="end"/>
          </w:r>
        </w:p>
      </w:sdtContent>
    </w:sdt>
    <w:p w14:paraId="10DC6519">
      <w:pPr>
        <w:widowControl/>
        <w:spacing w:line="440" w:lineRule="exact"/>
        <w:jc w:val="left"/>
        <w:rPr>
          <w:rFonts w:ascii="仿宋" w:hAnsi="仿宋" w:eastAsia="仿宋"/>
          <w:bCs/>
          <w:kern w:val="44"/>
          <w:sz w:val="24"/>
        </w:rPr>
      </w:pPr>
      <w:bookmarkStart w:id="14" w:name="_Toc15377196"/>
      <w:bookmarkStart w:id="15" w:name="_Toc15396599"/>
      <w:r>
        <w:rPr>
          <w:rFonts w:ascii="仿宋" w:hAnsi="仿宋" w:eastAsia="仿宋"/>
          <w:b/>
          <w:sz w:val="24"/>
        </w:rPr>
        <w:br w:type="page"/>
      </w:r>
    </w:p>
    <w:p w14:paraId="64AB29D2">
      <w:pPr>
        <w:pStyle w:val="2"/>
        <w:jc w:val="center"/>
        <w:rPr>
          <w:rStyle w:val="25"/>
          <w:rFonts w:ascii="黑体" w:hAnsi="黑体" w:eastAsia="黑体"/>
          <w:b/>
          <w:bCs w:val="0"/>
        </w:rPr>
      </w:pPr>
      <w:bookmarkStart w:id="16" w:name="_Toc52180065"/>
      <w:r>
        <w:rPr>
          <w:rFonts w:hint="eastAsia" w:ascii="黑体" w:hAnsi="黑体" w:eastAsia="黑体"/>
          <w:b w:val="0"/>
        </w:rPr>
        <w:t xml:space="preserve">第一部分 </w:t>
      </w:r>
      <w:r>
        <w:rPr>
          <w:rStyle w:val="25"/>
          <w:rFonts w:hint="eastAsia" w:ascii="黑体" w:hAnsi="黑体" w:eastAsia="黑体"/>
          <w:b w:val="0"/>
          <w:bCs w:val="0"/>
        </w:rPr>
        <w:t>部门概况</w:t>
      </w:r>
      <w:bookmarkEnd w:id="14"/>
      <w:bookmarkEnd w:id="15"/>
      <w:bookmarkEnd w:id="16"/>
    </w:p>
    <w:p w14:paraId="28009578">
      <w:pPr>
        <w:widowControl/>
        <w:jc w:val="left"/>
        <w:rPr>
          <w:rFonts w:ascii="黑体" w:eastAsia="黑体"/>
          <w:color w:val="000000"/>
          <w:sz w:val="32"/>
          <w:szCs w:val="32"/>
        </w:rPr>
      </w:pPr>
    </w:p>
    <w:p w14:paraId="6A783FC2">
      <w:pPr>
        <w:pStyle w:val="3"/>
        <w:rPr>
          <w:rStyle w:val="26"/>
          <w:rFonts w:ascii="仿宋" w:hAnsi="仿宋" w:eastAsia="仿宋"/>
          <w:b w:val="0"/>
          <w:bCs w:val="0"/>
        </w:rPr>
      </w:pPr>
      <w:bookmarkStart w:id="17" w:name="_Toc15396600"/>
      <w:bookmarkStart w:id="18" w:name="_Toc15377197"/>
      <w:bookmarkStart w:id="19" w:name="_Toc52180066"/>
      <w:r>
        <w:rPr>
          <w:rFonts w:hint="eastAsia" w:ascii="黑体" w:hAnsi="黑体" w:eastAsia="黑体"/>
          <w:b w:val="0"/>
          <w:color w:val="000000"/>
        </w:rPr>
        <w:t>一、基</w:t>
      </w:r>
      <w:r>
        <w:rPr>
          <w:rStyle w:val="26"/>
          <w:rFonts w:hint="eastAsia" w:ascii="黑体" w:hAnsi="黑体" w:eastAsia="黑体"/>
          <w:b w:val="0"/>
          <w:bCs w:val="0"/>
        </w:rPr>
        <w:t>本职能及主要工作</w:t>
      </w:r>
      <w:bookmarkEnd w:id="17"/>
      <w:bookmarkEnd w:id="18"/>
      <w:bookmarkEnd w:id="19"/>
    </w:p>
    <w:p w14:paraId="2F379C4C">
      <w:pPr>
        <w:pStyle w:val="6"/>
        <w:adjustRightInd w:val="0"/>
        <w:snapToGrid w:val="0"/>
        <w:spacing w:before="93" w:line="600" w:lineRule="exact"/>
        <w:ind w:left="210" w:leftChars="100" w:firstLine="352" w:firstLineChars="110"/>
        <w:outlineLvl w:val="2"/>
        <w:rPr>
          <w:rFonts w:ascii="仿宋" w:hAnsi="仿宋" w:eastAsia="仿宋"/>
          <w:bCs/>
          <w:color w:val="000000"/>
          <w:sz w:val="32"/>
          <w:szCs w:val="32"/>
        </w:rPr>
      </w:pPr>
      <w:bookmarkStart w:id="20" w:name="_Toc52180067"/>
      <w:bookmarkStart w:id="21" w:name="_Toc15377198"/>
      <w:bookmarkStart w:id="22" w:name="_Toc15378445"/>
      <w:r>
        <w:rPr>
          <w:rFonts w:hint="eastAsia" w:ascii="仿宋" w:hAnsi="仿宋" w:eastAsia="仿宋"/>
          <w:bCs/>
          <w:color w:val="000000"/>
          <w:sz w:val="32"/>
          <w:szCs w:val="32"/>
        </w:rPr>
        <w:t>（一）主要职能。</w:t>
      </w:r>
      <w:bookmarkEnd w:id="20"/>
      <w:bookmarkEnd w:id="21"/>
      <w:bookmarkEnd w:id="22"/>
    </w:p>
    <w:p w14:paraId="6C01E12C">
      <w:pPr>
        <w:pStyle w:val="6"/>
        <w:adjustRightInd w:val="0"/>
        <w:snapToGrid w:val="0"/>
        <w:spacing w:before="93" w:line="600" w:lineRule="exact"/>
        <w:ind w:left="210" w:leftChars="100" w:firstLine="352" w:firstLineChars="110"/>
        <w:outlineLvl w:val="2"/>
        <w:rPr>
          <w:rFonts w:ascii="仿宋" w:hAnsi="仿宋" w:eastAsia="仿宋"/>
          <w:bCs/>
          <w:color w:val="000000"/>
          <w:sz w:val="32"/>
          <w:szCs w:val="32"/>
        </w:rPr>
      </w:pPr>
      <w:r>
        <w:rPr>
          <w:rFonts w:hint="eastAsia" w:ascii="仿宋" w:hAnsi="仿宋" w:eastAsia="仿宋"/>
          <w:bCs/>
          <w:color w:val="000000"/>
          <w:sz w:val="32"/>
          <w:szCs w:val="32"/>
          <w:lang w:eastAsia="zh-CN"/>
        </w:rPr>
        <w:t>1.</w:t>
      </w:r>
      <w:r>
        <w:rPr>
          <w:rFonts w:hint="eastAsia" w:ascii="仿宋" w:hAnsi="仿宋" w:eastAsia="仿宋"/>
          <w:bCs/>
          <w:color w:val="000000"/>
          <w:sz w:val="32"/>
          <w:szCs w:val="32"/>
        </w:rPr>
        <w:t>机构情况。盐边县自然资源规划和林业局主要职责是按照规定权限，履行全民所有土地、矿产、森林、草原、湿地、水等自然资源资产所有者职责和所有国土空间用途管制职责。贯彻执行国家、省、市有关自然资源和国土空间规划及测绘等方面的</w:t>
      </w:r>
      <w:r>
        <w:rPr>
          <w:rFonts w:hint="eastAsia" w:ascii="仿宋" w:hAnsi="仿宋" w:eastAsia="仿宋"/>
          <w:bCs/>
          <w:color w:val="000000"/>
          <w:sz w:val="32"/>
          <w:szCs w:val="32"/>
          <w:lang w:eastAsia="zh-CN"/>
        </w:rPr>
        <w:t>法律法规</w:t>
      </w:r>
      <w:r>
        <w:rPr>
          <w:rFonts w:hint="eastAsia" w:ascii="仿宋" w:hAnsi="仿宋" w:eastAsia="仿宋"/>
          <w:bCs/>
          <w:color w:val="000000"/>
          <w:sz w:val="32"/>
          <w:szCs w:val="32"/>
        </w:rPr>
        <w:t>、规章，制定有关政策措施并组织实施等各种涉及自然资源的工作。负责县政府机关的上情下达，下情上报及上级机关交办的其他工作。</w:t>
      </w:r>
    </w:p>
    <w:p w14:paraId="17128F27">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2.</w:t>
      </w:r>
      <w:r>
        <w:rPr>
          <w:rFonts w:hint="eastAsia" w:ascii="仿宋" w:hAnsi="仿宋" w:eastAsia="仿宋"/>
          <w:bCs/>
          <w:color w:val="000000"/>
          <w:sz w:val="32"/>
          <w:szCs w:val="32"/>
        </w:rPr>
        <w:t>人员情况。盐边县自然资源规划和林业局年初在职人员112人，退休人员50人；年末在职人员109人，离休人员1人，退休67人。</w:t>
      </w:r>
    </w:p>
    <w:p w14:paraId="45A76348">
      <w:pPr>
        <w:pStyle w:val="6"/>
        <w:adjustRightInd w:val="0"/>
        <w:snapToGrid w:val="0"/>
        <w:spacing w:before="93" w:line="600" w:lineRule="exact"/>
        <w:ind w:firstLine="672" w:firstLineChars="210"/>
        <w:outlineLvl w:val="2"/>
        <w:rPr>
          <w:rFonts w:ascii="仿宋" w:hAnsi="仿宋" w:eastAsia="仿宋"/>
          <w:bCs/>
          <w:color w:val="000000"/>
          <w:sz w:val="32"/>
          <w:szCs w:val="32"/>
        </w:rPr>
      </w:pPr>
      <w:bookmarkStart w:id="23" w:name="_Toc52180068"/>
      <w:bookmarkStart w:id="24" w:name="_Toc15377199"/>
      <w:bookmarkStart w:id="25" w:name="_Toc15378446"/>
      <w:r>
        <w:rPr>
          <w:rFonts w:hint="eastAsia" w:ascii="仿宋" w:hAnsi="仿宋" w:eastAsia="仿宋"/>
          <w:bCs/>
          <w:color w:val="000000"/>
          <w:sz w:val="32"/>
          <w:szCs w:val="32"/>
        </w:rPr>
        <w:t>（二）</w:t>
      </w:r>
      <w:r>
        <w:rPr>
          <w:rFonts w:ascii="仿宋" w:hAnsi="仿宋" w:eastAsia="仿宋"/>
          <w:bCs/>
          <w:color w:val="000000"/>
          <w:sz w:val="32"/>
          <w:szCs w:val="32"/>
        </w:rPr>
        <w:t>20</w:t>
      </w:r>
      <w:r>
        <w:rPr>
          <w:rFonts w:hint="eastAsia" w:ascii="仿宋" w:hAnsi="仿宋" w:eastAsia="仿宋"/>
          <w:bCs/>
          <w:color w:val="000000"/>
          <w:sz w:val="32"/>
          <w:szCs w:val="32"/>
        </w:rPr>
        <w:t>20年重点工作完成情况。</w:t>
      </w:r>
      <w:bookmarkEnd w:id="23"/>
      <w:bookmarkEnd w:id="24"/>
      <w:bookmarkEnd w:id="25"/>
    </w:p>
    <w:p w14:paraId="06723757">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1.耕地保护。严格落实耕地保护责任，落实监管责任、保护措施和考核办法，确保全县耕地22463万公顷、基本农田19562万公顷保护任务，面积不减少，质量不降低，认真开展永久基本农田划定工作。</w:t>
      </w:r>
    </w:p>
    <w:p w14:paraId="56FB6EF7">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2.用地报批。完成土地23.2404公顷，建设用地4个批次报批工作。</w:t>
      </w:r>
    </w:p>
    <w:p w14:paraId="25E569B9">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3.政务服务。一是受理不动产登记业务1751件，已办结1741件。颁发不动产权证书1402本，证明339份。受理注销登记、查封、解封登记175件。受理不动产查询业务共计1400余件，涉及查询10000余人次，出具查询结果3000余份。受理现场咨询和电话咨询</w:t>
      </w:r>
      <w:r>
        <w:rPr>
          <w:rFonts w:hint="eastAsia" w:ascii="仿宋" w:hAnsi="仿宋" w:eastAsia="仿宋"/>
          <w:bCs/>
          <w:color w:val="000000"/>
          <w:sz w:val="32"/>
          <w:szCs w:val="32"/>
          <w:lang w:eastAsia="zh-CN"/>
        </w:rPr>
        <w:t>业务</w:t>
      </w:r>
      <w:r>
        <w:rPr>
          <w:rFonts w:hint="eastAsia" w:ascii="仿宋" w:hAnsi="仿宋" w:eastAsia="仿宋"/>
          <w:bCs/>
          <w:color w:val="000000"/>
          <w:sz w:val="32"/>
          <w:szCs w:val="32"/>
        </w:rPr>
        <w:t>1600余人次。二是配合协助相关部门解决不动产登记历史遗留及5个“问题楼盘”2048套不动产权证书的办理问题。</w:t>
      </w:r>
    </w:p>
    <w:p w14:paraId="7C496E69">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4.土地开发和整理。完成盐边县永兴镇苍蒲村、复兴村土地开发整理项目市级竣工验收，建设规模11387亩，新增耕地1096.97亩。</w:t>
      </w:r>
    </w:p>
    <w:p w14:paraId="217A1149">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5.规划管理。一是审查办理《建设用地规划许可证》12件，用地规划面积265069.554平方米；《建设工程规划许可证》7件，总建筑面积10223.05平方米；审查批复建筑方案设计和指标论证报告共计21件；会同有关部门参加了19个建设项目的选址或技改初审。二是备案测绘合同15件，测绘资质备案12件。三是全面启动了《盐边县国土空间总体规划（2019-2035）》编制工作，确定了4个试点镇、6个村纳入县级总规统筹编制。四是完成了《盐边县桐源新区概念性规划》初步成果编制及《盐边县地下管线综合规划（2019-2035）》初稿编制。</w:t>
      </w:r>
    </w:p>
    <w:p w14:paraId="7DDDC0E7">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6.执法监察。一是开展动态巡查678次，参加巡查人数1406人次，重点区域巡查覆盖率达到95%，制止发现土地、矿产违法行为0起。二是立案查处土地、矿产违法案件6件，已结案4件。三是核查卫片图斑96个，发现7起农村违法占地并移交主管部门。四是以乡镇为主体在自然资源部下发的违建别墅疑似图斑基础上开展6轮专项排查，未发现疑似别墅问题。</w:t>
      </w:r>
    </w:p>
    <w:p w14:paraId="03C91FC7">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7.土地供应。出让国有建设用地使用权3宗，总面积4.8138公顷，成交价款7428万元。划拨土地9宗，面积31.2623公顷。</w:t>
      </w:r>
    </w:p>
    <w:p w14:paraId="688F5463">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8.征地拆迁安置。一是完成征收农用地区片综合地价标准制定工作，并公布实施。二是启动G4216项目征地搬迁工作，制定印发征地搬迁安置补偿方案，完成协议签订200余户。三是积极推动太阳湖公园、笮湖公园、桐源公园、山体公园、S218等基础设施建设，完成协议签订500余户。</w:t>
      </w:r>
    </w:p>
    <w:p w14:paraId="5D56DD0F">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9.地灾防治。一是编制单点地质灾害防灾预案73份，设置警示标牌73个，设置专职监测人员99人，发放防灾工作明白卡和防灾避险明白卡833份，现场开展防灾知识培训40场1500人次，发放宣传资料500余份。二是全力推动地质灾害治理项目及民生项目实施。完成避险搬迁44户（30户为民生工程，总投资176万元），治理工程4处（其中2处为民生工程）。三是汛期增补力量，强化应急保障，委托专业技术单位派出4名技术人员全年驻守现场。四是积极申报项目，包装地灾治理项目8个，小流域综合治理项目1个。</w:t>
      </w:r>
    </w:p>
    <w:p w14:paraId="51000731">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10.信访工作。受理信访案共计31件，其中县信访局交办网件9件，自然资源信访系统交办1件，信访积案化解1件，省委第十巡视组转县信访联席会交办11件、直接接访9件。网件满意度测评满意率均为百分之百，无大规模集体上访和群体性事件发生。</w:t>
      </w:r>
    </w:p>
    <w:p w14:paraId="1661D636">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11.非税收入征收。土地出让收入16652.59万元，收取不动产登记费20.10万元，收取矿业权出让收益及矿业权占用费等468.71万元，收缴罚没款21.32万元，其他收入（交易费、滞纳金）671.80万元。</w:t>
      </w:r>
    </w:p>
    <w:p w14:paraId="36D02273">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（十二）政策法规。一是坚持依法行政“谁用法、谁学法，谁执法、谁普法”的原则，强化依法行政普法宣传。依法开展法律法规政策咨询，进行调查、复核、调解、行政诉讼、行政复议等的办理、办结、防控，</w:t>
      </w:r>
      <w:r>
        <w:rPr>
          <w:rFonts w:hint="eastAsia" w:ascii="仿宋" w:hAnsi="仿宋" w:eastAsia="仿宋"/>
          <w:bCs/>
          <w:color w:val="000000"/>
          <w:sz w:val="32"/>
          <w:szCs w:val="32"/>
          <w:lang w:eastAsia="zh-CN"/>
        </w:rPr>
        <w:t>涉及</w:t>
      </w:r>
      <w:r>
        <w:rPr>
          <w:rFonts w:hint="eastAsia" w:ascii="仿宋" w:hAnsi="仿宋" w:eastAsia="仿宋"/>
          <w:bCs/>
          <w:color w:val="000000"/>
          <w:sz w:val="32"/>
          <w:szCs w:val="32"/>
        </w:rPr>
        <w:t>300余人件次。结合依法行政、</w:t>
      </w:r>
      <w:r>
        <w:rPr>
          <w:rFonts w:hint="eastAsia" w:ascii="仿宋" w:hAnsi="仿宋" w:eastAsia="仿宋"/>
          <w:bCs/>
          <w:color w:val="000000"/>
          <w:sz w:val="32"/>
          <w:szCs w:val="32"/>
          <w:lang w:eastAsia="zh-CN"/>
        </w:rPr>
        <w:t>“放管服”</w:t>
      </w:r>
      <w:r>
        <w:rPr>
          <w:rFonts w:hint="eastAsia" w:ascii="仿宋" w:hAnsi="仿宋" w:eastAsia="仿宋"/>
          <w:bCs/>
          <w:color w:val="000000"/>
          <w:sz w:val="32"/>
          <w:szCs w:val="32"/>
        </w:rPr>
        <w:t>、法律七进利用“地球日、土地日、宪法日”等全国普法宣传活动广泛普法。全年发放宣传</w:t>
      </w:r>
      <w:r>
        <w:rPr>
          <w:rFonts w:hint="eastAsia" w:ascii="仿宋" w:hAnsi="仿宋" w:eastAsia="仿宋"/>
          <w:bCs/>
          <w:color w:val="000000"/>
          <w:sz w:val="32"/>
          <w:szCs w:val="32"/>
          <w:lang w:eastAsia="zh-CN"/>
        </w:rPr>
        <w:t>资料</w:t>
      </w:r>
      <w:r>
        <w:rPr>
          <w:rFonts w:hint="eastAsia" w:ascii="仿宋" w:hAnsi="仿宋" w:eastAsia="仿宋"/>
          <w:bCs/>
          <w:color w:val="000000"/>
          <w:sz w:val="32"/>
          <w:szCs w:val="32"/>
        </w:rPr>
        <w:t>2300余件次，受教育干部群众（师生</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3000余人次。二是强化依法行政执法队伍建设，全体干部职工坚持学习“学习强国”，组织及参与依法行政能力培训（干部职工）200余人次。三是坚持会前学法和重大事项局务会审查</w:t>
      </w:r>
      <w:r>
        <w:rPr>
          <w:rFonts w:hint="eastAsia" w:ascii="仿宋" w:hAnsi="仿宋" w:eastAsia="仿宋"/>
          <w:bCs/>
          <w:color w:val="000000"/>
          <w:sz w:val="32"/>
          <w:szCs w:val="32"/>
          <w:lang w:eastAsia="zh-CN"/>
        </w:rPr>
        <w:t>制度</w:t>
      </w:r>
      <w:r>
        <w:rPr>
          <w:rFonts w:hint="eastAsia" w:ascii="仿宋" w:hAnsi="仿宋" w:eastAsia="仿宋"/>
          <w:bCs/>
          <w:color w:val="000000"/>
          <w:sz w:val="32"/>
          <w:szCs w:val="32"/>
        </w:rPr>
        <w:t>，全年开展依法行政重大事项行政审批许可、合法性合同协议规范性文本文件审查、行政案件立案审查等500余件次，坚持重大事项听证制度开展听证15件次。组织或参加邀标、比选、招标、投标、拍卖等土地矿权储备出让法定文件、集体土地流转征收文件等的合法性审查工作230余件次。</w:t>
      </w:r>
    </w:p>
    <w:p w14:paraId="17BD9814">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13.专项工作开展情况。</w:t>
      </w:r>
    </w:p>
    <w:p w14:paraId="7D020AE4">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（1）</w:t>
      </w:r>
      <w:r>
        <w:rPr>
          <w:rFonts w:hint="eastAsia" w:ascii="仿宋" w:hAnsi="仿宋" w:eastAsia="仿宋"/>
          <w:bCs/>
          <w:color w:val="000000"/>
          <w:sz w:val="32"/>
          <w:szCs w:val="32"/>
        </w:rPr>
        <w:t>第三次全国国土调查工作最终数据库已通过国家审核并锁定。</w:t>
      </w:r>
    </w:p>
    <w:p w14:paraId="00D7A5EC">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（2）</w:t>
      </w:r>
      <w:r>
        <w:rPr>
          <w:rFonts w:hint="eastAsia" w:ascii="仿宋" w:hAnsi="仿宋" w:eastAsia="仿宋"/>
          <w:bCs/>
          <w:color w:val="000000"/>
          <w:sz w:val="32"/>
          <w:szCs w:val="32"/>
        </w:rPr>
        <w:t>盐边县农村宅基地房地一体和集体建设用地确权登记颁证工作。完成宅基地地籍调查45794宗、集体建设用地地籍调查226宗，有序开展权源、测绘成果等资料公示工作。累计开展测绘资料公示35258户，完成公示28815户。累计开展权属资料公示35258户，完成公示24012户。</w:t>
      </w:r>
    </w:p>
    <w:p w14:paraId="15E1F4BF">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（3）</w:t>
      </w:r>
      <w:r>
        <w:rPr>
          <w:rFonts w:hint="eastAsia" w:ascii="仿宋" w:hAnsi="仿宋" w:eastAsia="仿宋"/>
          <w:bCs/>
          <w:color w:val="000000"/>
          <w:sz w:val="32"/>
          <w:szCs w:val="32"/>
        </w:rPr>
        <w:t>露天矿山综合整治工作。一是联合检查整理出存在问题的矿山19个。其中，已完成综合整治的矿山9个，已部分完成综合整治的矿山10个。二是已完成1个非法无证露天矿山案件查处及责任追究。三是完成8个责任主体灭失矿山的恢复治理。四是民用采砂点7个。其中，有3个在开采，均落实了监管责任，明确了生态修复责任主体；其余4个已经关闭。</w:t>
      </w:r>
    </w:p>
    <w:p w14:paraId="57415B55">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（4）</w:t>
      </w:r>
      <w:r>
        <w:rPr>
          <w:rFonts w:hint="eastAsia" w:ascii="仿宋" w:hAnsi="仿宋" w:eastAsia="仿宋"/>
          <w:bCs/>
          <w:color w:val="000000"/>
          <w:sz w:val="32"/>
          <w:szCs w:val="32"/>
        </w:rPr>
        <w:t>农村乱占耕地建房工作。一是制定并印发《盐边县农村乱占耕地建房问题摸排工作实施方案》，明确工作任务、时间要求，确保按时保质完成摸排工作任务。二是加大宣传力度。下发</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八不准</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宣传手册20000余份，全县宣传横幅30余幅，张贴海报132余份、制作LED宣传屏13</w:t>
      </w:r>
      <w:r>
        <w:rPr>
          <w:rFonts w:hint="eastAsia" w:ascii="仿宋" w:hAnsi="仿宋" w:eastAsia="仿宋"/>
          <w:bCs/>
          <w:color w:val="000000"/>
          <w:sz w:val="32"/>
          <w:szCs w:val="32"/>
          <w:lang w:eastAsia="zh-CN"/>
        </w:rPr>
        <w:t>幅</w:t>
      </w:r>
      <w:r>
        <w:rPr>
          <w:rFonts w:hint="eastAsia" w:ascii="仿宋" w:hAnsi="仿宋" w:eastAsia="仿宋"/>
          <w:bCs/>
          <w:color w:val="000000"/>
          <w:sz w:val="32"/>
          <w:szCs w:val="32"/>
        </w:rPr>
        <w:t>。三是在省级工作底图基础上，完善形成摸排耕地底图；利用农用地转用、不动产确权登记等数据，建立摸排审批数据底图；充分利用“两块地”确权登记调查信息、变更调查影像资料等方面数据，形成外业摸排工作底图。四是建立健全专项行动工作机制，确保专项行动取得实效。</w:t>
      </w:r>
    </w:p>
    <w:p w14:paraId="32CAC34A">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（5）</w:t>
      </w:r>
      <w:r>
        <w:rPr>
          <w:rFonts w:hint="eastAsia" w:ascii="仿宋" w:hAnsi="仿宋" w:eastAsia="仿宋"/>
          <w:bCs/>
          <w:color w:val="000000"/>
          <w:sz w:val="32"/>
          <w:szCs w:val="32"/>
        </w:rPr>
        <w:t>批而未供和闲置土地处置工作。根据省厅工作要求，完成批而未供土地处置21.2456公顷，闲置土地处置4.51公顷。</w:t>
      </w:r>
    </w:p>
    <w:p w14:paraId="3287A8EB">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（6）</w:t>
      </w:r>
      <w:r>
        <w:rPr>
          <w:rFonts w:hint="eastAsia" w:ascii="仿宋" w:hAnsi="仿宋" w:eastAsia="仿宋"/>
          <w:bCs/>
          <w:color w:val="000000"/>
          <w:sz w:val="32"/>
          <w:szCs w:val="32"/>
        </w:rPr>
        <w:t>全民所有自然资源资产清查与资产负债表编制试点工作。按期开展前期相关资料收集工作，完成2016</w:t>
      </w:r>
      <w:r>
        <w:rPr>
          <w:rFonts w:hint="eastAsia" w:ascii="仿宋" w:hAnsi="仿宋" w:eastAsia="仿宋"/>
          <w:bCs/>
          <w:color w:val="000000"/>
          <w:sz w:val="32"/>
          <w:szCs w:val="32"/>
          <w:lang w:eastAsia="zh-CN"/>
        </w:rPr>
        <w:t>—</w:t>
      </w:r>
      <w:r>
        <w:rPr>
          <w:rFonts w:hint="eastAsia" w:ascii="仿宋" w:hAnsi="仿宋" w:eastAsia="仿宋"/>
          <w:bCs/>
          <w:color w:val="000000"/>
          <w:sz w:val="32"/>
          <w:szCs w:val="32"/>
        </w:rPr>
        <w:t>2020年负债表及清查表的填报工作，建立全民所有自然资源资产清查试点成果数据库，并上报。</w:t>
      </w:r>
    </w:p>
    <w:p w14:paraId="19A8064C">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lang w:eastAsia="zh-CN"/>
        </w:rPr>
        <w:t>（7）</w:t>
      </w:r>
      <w:r>
        <w:rPr>
          <w:rFonts w:hint="eastAsia" w:ascii="仿宋" w:hAnsi="仿宋" w:eastAsia="仿宋"/>
          <w:bCs/>
          <w:color w:val="000000"/>
          <w:sz w:val="32"/>
          <w:szCs w:val="32"/>
        </w:rPr>
        <w:t>盐边县集体建设用地和农用地分等定级及基准地价、城镇标定地价编制工作均已完成，但上级审批后实施。</w:t>
      </w:r>
    </w:p>
    <w:p w14:paraId="4B80DB72">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14.进一步加强林业生态建设。对393.2万亩林地实施常年性管护；完成84.9351万亩重点公益林及40.129万亩天然商品林县级检查验收，兑现管护资金1843.36万元；完成退耕还林第一轮1.0064万亩巩固、新一轮1万亩管护抚育县级检查验收，兑现管护资金661.6744万元。</w:t>
      </w:r>
    </w:p>
    <w:p w14:paraId="2E93CD6E">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15.不断推进生态修复。开展大规模绿化盐边行动，通过生态修复、义务植树及荒漠化监测等工程不断推进国土绿化。2020年全县义务植树共栽种各类苗木55万株，义务植树建卡率100%，超额完成市级下达51万株的义务植树任务；投资400万元，联合长江局和攀枝花学院实施金沙江干热河谷生态恢复与治理生态文明建设重点项目，栽植鸡蛋花60000株、台湾相思10500株、清香木10500株；完成干热河谷第六次荒漠化和沙化监测工作，并上报检测成果。</w:t>
      </w:r>
    </w:p>
    <w:p w14:paraId="421F60E2">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16.进一步强化森林资源保护。一是不断加强森林资源管护。2020年，我县森林面积净增加12821亩，森林蓄积净增加43.3万立方米，成果数据已上报；严格依法办理林木采伐、林地征占用审批，进一步规范木材收购、加工、经营、运输等行为；完成“十四五”采伐限额编制；实施松材线虫病媒介昆虫松墨天牛防治作业，累计设置诱捕器240套，防控面积2.4万亩，诱捕松墨天牛31797头，投入资金40万元；投入经费1万元对红格镇大面山区域内发生的红火蚁进行监测，落实红火蚁兼职测报员定期；办理各类行政许可事项393件。二是持续开展毁林开垦专项整治。目前共排查出毁林开垦20.26亩，已查处7.73亩。三是扎实开展森林资源督察。对国家下发盐边县卫星判读疑似图斑198个、面积314.9591公顷、涉嫌违法使用林地17.9170公顷数据进行了100%实地核查，已通过上级督查。四是加强林业行政执法。受理各类行政案件25起，查处25起，行政处罚25人。五是进一步推进自然保护区监督管理。结合环保督察回头看，全面加强自然保护区管理，加快推进各项工作。开展自然保护地整合优化工作，整合优化方案已由省林草局进行调整。持续开展古树名木、县级重点保护树木的普查、挂牌、保护工作，完成76棵古树名木挂牌。扎实推进禁食野生动物退出补偿、转产帮扶等工作，共放生豪猪185只，补偿资金16.28万元。</w:t>
      </w:r>
    </w:p>
    <w:p w14:paraId="279D1C1F">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17.进一步深化森林草原防灭火工作</w:t>
      </w:r>
    </w:p>
    <w:p w14:paraId="7138A654">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一是坚决有力扑灭森林火灾。2020年，全县共发生森林火灾14起，过火面积298.34公顷，受害森林面积3.37公顷，森林火灾受害率0.01‰。森林火灾24小时扑灭率100%，无</w:t>
      </w:r>
      <w:r>
        <w:rPr>
          <w:rFonts w:hint="eastAsia" w:ascii="仿宋" w:hAnsi="仿宋" w:eastAsia="仿宋"/>
          <w:bCs/>
          <w:color w:val="000000"/>
          <w:sz w:val="32"/>
          <w:szCs w:val="32"/>
          <w:lang w:eastAsia="zh-CN"/>
        </w:rPr>
        <w:t>重特大</w:t>
      </w:r>
      <w:r>
        <w:rPr>
          <w:rFonts w:hint="eastAsia" w:ascii="仿宋" w:hAnsi="仿宋" w:eastAsia="仿宋"/>
          <w:bCs/>
          <w:color w:val="000000"/>
          <w:sz w:val="32"/>
          <w:szCs w:val="32"/>
        </w:rPr>
        <w:t>森林火灾发生。二是加快建设基础设施。已新（改）建林区防火道路154.6公里，正在建设林区防火道路94.4公里（其中通林下经济节点路27.3公里）。新建消防水池6口，整合673口林区边缘蓄水池作为消防水池。将林缘地带24.5万亩经果林纳入生物隔离带规范管理，构建经果林阻隔带3956公里。确定了二滩水库天然航空取水点坐标，设立了公示牌。完成防火检查站点改建2个，新建3个防火检查站已投入使用。2台巡护侦察无人机已采购入库。新建的16个智能卡口、5套林火视频监控已采购到位。鳡鱼扑火队营房改建工程11月竣工投用。3套瞭望塔设备、高倍望远镜已采购，视频监控和红外探测仪于11月底前安装运行。三是强化队伍建设。组建120人的地方专业扑火队，比去年增员20名，新建水泵分队20人，于10月12日挂牌，分别在桐子林镇、渔门镇、永兴镇南北中“分区”驻防。12个乡（镇）均组</w:t>
      </w:r>
      <w:r>
        <w:rPr>
          <w:rFonts w:hint="eastAsia" w:ascii="仿宋" w:hAnsi="仿宋" w:eastAsia="仿宋"/>
          <w:bCs/>
          <w:color w:val="000000"/>
          <w:sz w:val="32"/>
          <w:szCs w:val="32"/>
          <w:lang w:eastAsia="zh-CN"/>
        </w:rPr>
        <w:t>建了</w:t>
      </w:r>
      <w:r>
        <w:rPr>
          <w:rFonts w:hint="eastAsia" w:ascii="仿宋" w:hAnsi="仿宋" w:eastAsia="仿宋"/>
          <w:bCs/>
          <w:color w:val="000000"/>
          <w:sz w:val="32"/>
          <w:szCs w:val="32"/>
        </w:rPr>
        <w:t>15人左右的半专业扑火队；88个村（社区）均组建了20人左右的群众义务巡护队，并强化培训提能。四是全面开展隐患排查。根据历年火灾发生情况以及管控和处置难度，我县把圣水陵园、格萨拉景区、红宝龙头山花海纳入重点管控区域。聚焦企业生产用火用电、自发搬迁群众生产生活用火、林区输配电设施老化等问题，组织村（社区）党员、干部开展隐患排查整治，清理“四边”可燃物长度1500余公里，设置警示牌169块，切实减少火灾隐患；编制印发了《盐边县2020至2021年计划烧除实施方案》。五是“七级包保”责任制落地落实。已全面落实包村、包组、包户、包山头、包田间地块工作，森林防灭火包户明白卡发放张贴到户；制作并发放《盐边县森林草原防灭火专项整治工作应知应会手册》8万册、《盐边县森林草原防灭火专项整治工作“七级包保”工作手册》7600册。六是全面开展森林草原防灭火宣传教育。通过“集中宣传月”普法宣传教育活动、“五个一”和“开学第一课”活动、森林草原防灭火公开课及培训班、新闻媒体等载体全面开展宣传教育。在景点、通村公路、国省干道、林区重要节点、电力线路沿线等重点区域制作安装固定宣传警示标牌169块；加强林区企业的宣传教育，制作上墙“森林草原防灭火警示宣传栏”，签订责任书。向辖区内手机用户定期发送防灭火公益短信。</w:t>
      </w:r>
    </w:p>
    <w:p w14:paraId="31E6B040">
      <w:pPr>
        <w:pStyle w:val="6"/>
        <w:adjustRightInd w:val="0"/>
        <w:snapToGrid w:val="0"/>
        <w:spacing w:before="93" w:line="600" w:lineRule="exact"/>
        <w:ind w:firstLine="672" w:firstLineChars="210"/>
        <w:outlineLvl w:val="2"/>
        <w:rPr>
          <w:rFonts w:ascii="仿宋" w:hAnsi="仿宋" w:eastAsia="仿宋"/>
          <w:bCs/>
          <w:color w:val="000000"/>
          <w:sz w:val="32"/>
          <w:szCs w:val="32"/>
        </w:rPr>
      </w:pPr>
      <w:r>
        <w:rPr>
          <w:rFonts w:hint="eastAsia" w:ascii="仿宋" w:hAnsi="仿宋" w:eastAsia="仿宋"/>
          <w:bCs/>
          <w:color w:val="000000"/>
          <w:sz w:val="32"/>
          <w:szCs w:val="32"/>
        </w:rPr>
        <w:t>18.进一步发展林业产业。一是加快推进攀枝花大面山现代林业示范区建设。招商引资成功引进企业3个，项目落地3个，其中：攀枝花佳禾农业已建成600亩金菠萝和1000亩牛油果种植示范基地、攀枝花两岸金山农业已建成500亩佛手种植示范基地、攀枝花志泽文旅163亩葡萄高标准示范种植基地正在建设。二是大力发展林业生态旅游和森林康养产业。成功申报“全省第一批省级竹林人家”1家，正在申报“省级森林康养基地”1家、“三星级森林人家”3家。三是加快推进林业产业项目建设。“美丽四川·宜居乡村”绿化美化项目已完成实施方案编制并通过市林业局批准，正在进行项目立项、财评和施工队伍公开招投标。渔门镇后山村核桃提质增效示范基地项目已通过县级验收，格萨拉古德村红花油茶示范基地建设项目基础设施已完成并通过县级验收，苗木补植补</w:t>
      </w:r>
      <w:r>
        <w:rPr>
          <w:rFonts w:hint="eastAsia" w:ascii="仿宋" w:hAnsi="仿宋" w:eastAsia="仿宋"/>
          <w:bCs/>
          <w:color w:val="000000"/>
          <w:sz w:val="32"/>
          <w:szCs w:val="32"/>
          <w:lang w:eastAsia="zh-CN"/>
        </w:rPr>
        <w:t>栽</w:t>
      </w:r>
      <w:r>
        <w:rPr>
          <w:rFonts w:hint="eastAsia" w:ascii="仿宋" w:hAnsi="仿宋" w:eastAsia="仿宋"/>
          <w:bCs/>
          <w:color w:val="000000"/>
          <w:sz w:val="32"/>
          <w:szCs w:val="32"/>
        </w:rPr>
        <w:t>已完成，正在进行日常管护。</w:t>
      </w:r>
    </w:p>
    <w:p w14:paraId="4E774162">
      <w:pPr>
        <w:pStyle w:val="3"/>
        <w:ind w:firstLine="640" w:firstLineChars="200"/>
        <w:rPr>
          <w:rStyle w:val="26"/>
          <w:b w:val="0"/>
          <w:bCs w:val="0"/>
        </w:rPr>
      </w:pPr>
      <w:bookmarkStart w:id="26" w:name="_Toc15377200"/>
      <w:bookmarkStart w:id="27" w:name="_Toc15396601"/>
      <w:bookmarkStart w:id="28" w:name="_Toc52180069"/>
      <w:r>
        <w:rPr>
          <w:rFonts w:hint="eastAsia" w:ascii="黑体" w:eastAsia="黑体"/>
          <w:b w:val="0"/>
          <w:color w:val="000000"/>
        </w:rPr>
        <w:t>二、</w:t>
      </w:r>
      <w:r>
        <w:rPr>
          <w:rFonts w:hint="eastAsia" w:ascii="黑体" w:hAnsi="黑体" w:eastAsia="黑体"/>
          <w:b w:val="0"/>
          <w:color w:val="000000"/>
        </w:rPr>
        <w:t>机</w:t>
      </w:r>
      <w:r>
        <w:rPr>
          <w:rStyle w:val="26"/>
          <w:rFonts w:hint="eastAsia" w:ascii="黑体" w:hAnsi="黑体" w:eastAsia="黑体"/>
          <w:b w:val="0"/>
          <w:bCs w:val="0"/>
        </w:rPr>
        <w:t>构设置</w:t>
      </w:r>
      <w:bookmarkEnd w:id="26"/>
      <w:bookmarkEnd w:id="27"/>
      <w:bookmarkEnd w:id="28"/>
    </w:p>
    <w:p w14:paraId="37854AA3">
      <w:pPr>
        <w:spacing w:line="600" w:lineRule="exact"/>
        <w:ind w:firstLine="640" w:firstLineChars="200"/>
        <w:rPr>
          <w:rFonts w:ascii="仿宋" w:hAnsi="仿宋" w:eastAsia="仿宋"/>
          <w:sz w:val="32"/>
          <w:szCs w:val="32"/>
        </w:rPr>
      </w:pPr>
      <w:r>
        <w:rPr>
          <w:rFonts w:hint="eastAsia" w:ascii="仿宋" w:hAnsi="仿宋" w:eastAsia="仿宋"/>
          <w:sz w:val="32"/>
          <w:szCs w:val="32"/>
        </w:rPr>
        <w:t>盐边县自然资源规划和林业局下属二级单位20个，其中行政单位0个，参照公务员法管理的事业单位</w:t>
      </w:r>
      <w:r>
        <w:rPr>
          <w:rFonts w:hint="eastAsia" w:ascii="仿宋" w:hAnsi="仿宋" w:eastAsia="仿宋"/>
          <w:bCs/>
          <w:sz w:val="32"/>
          <w:szCs w:val="32"/>
        </w:rPr>
        <w:t>3</w:t>
      </w:r>
      <w:r>
        <w:rPr>
          <w:rFonts w:hint="eastAsia" w:ascii="仿宋" w:hAnsi="仿宋" w:eastAsia="仿宋"/>
          <w:sz w:val="32"/>
          <w:szCs w:val="32"/>
        </w:rPr>
        <w:t>个，其他事业单位17个。</w:t>
      </w:r>
    </w:p>
    <w:p w14:paraId="41F373DB">
      <w:pPr>
        <w:pStyle w:val="6"/>
        <w:adjustRightInd w:val="0"/>
        <w:snapToGrid w:val="0"/>
        <w:spacing w:before="93" w:line="600" w:lineRule="exact"/>
        <w:ind w:firstLine="672" w:firstLineChars="210"/>
        <w:rPr>
          <w:rFonts w:ascii="仿宋" w:hAnsi="仿宋" w:eastAsia="仿宋"/>
          <w:color w:val="000000"/>
          <w:sz w:val="32"/>
          <w:szCs w:val="32"/>
        </w:rPr>
      </w:pPr>
      <w:r>
        <w:rPr>
          <w:rFonts w:hint="eastAsia" w:ascii="仿宋" w:hAnsi="仿宋" w:eastAsia="仿宋"/>
          <w:color w:val="000000"/>
          <w:sz w:val="32"/>
          <w:szCs w:val="32"/>
        </w:rPr>
        <w:t>纳入盐边县自然资源规划和林业局2020年度部门决算编制范围的二级预算单位包括：</w:t>
      </w:r>
    </w:p>
    <w:p w14:paraId="4F407015">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盐边县土地矿产储备开发中心、</w:t>
      </w:r>
    </w:p>
    <w:p w14:paraId="4991461A">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盐边县不动产登记中心、</w:t>
      </w:r>
    </w:p>
    <w:p w14:paraId="5F750895">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盐边县土地征收协调办公室、</w:t>
      </w:r>
    </w:p>
    <w:p w14:paraId="3228D9ED">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盐边县林业产业发展办公室、</w:t>
      </w:r>
    </w:p>
    <w:p w14:paraId="247AB7E7">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盐边县林业工作总站、</w:t>
      </w:r>
    </w:p>
    <w:p w14:paraId="480E62B4">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盐边县森林经营所、</w:t>
      </w:r>
    </w:p>
    <w:p w14:paraId="4FCFAD09">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四川二滩湿地鸟类自然保护区管理局、</w:t>
      </w:r>
    </w:p>
    <w:p w14:paraId="1DE20413">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盐边县城乡规划编制研究中心、</w:t>
      </w:r>
    </w:p>
    <w:p w14:paraId="6C3B0F81">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盐边县桐子林国土资源所、</w:t>
      </w:r>
    </w:p>
    <w:p w14:paraId="4045F126">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盐边县红格国土资源所、</w:t>
      </w:r>
    </w:p>
    <w:p w14:paraId="5DAD217C">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盐边县红果国土资源所、</w:t>
      </w:r>
    </w:p>
    <w:p w14:paraId="372EAC8A">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盐边县渔门国土资源所、</w:t>
      </w:r>
    </w:p>
    <w:p w14:paraId="2EA2AD9C">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盐边县国胜国土资源所、</w:t>
      </w:r>
    </w:p>
    <w:p w14:paraId="33BC4CEA">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盐边县永兴国土资源所、</w:t>
      </w:r>
    </w:p>
    <w:p w14:paraId="504704C1">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盐边县格萨拉国土资源所、</w:t>
      </w:r>
    </w:p>
    <w:p w14:paraId="43D1BF97">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盐边县共和国土资源所、</w:t>
      </w:r>
    </w:p>
    <w:p w14:paraId="3CD50FF0">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盐边县森林防火指挥部办公室；</w:t>
      </w:r>
    </w:p>
    <w:p w14:paraId="14FEE642">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盐边县国土资源执法监察大队、</w:t>
      </w:r>
    </w:p>
    <w:p w14:paraId="5ABACD45">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盐边县林业执法稽查大队、</w:t>
      </w:r>
    </w:p>
    <w:p w14:paraId="202A3B29">
      <w:pPr>
        <w:pStyle w:val="6"/>
        <w:numPr>
          <w:ilvl w:val="0"/>
          <w:numId w:val="1"/>
        </w:numPr>
        <w:adjustRightInd w:val="0"/>
        <w:snapToGrid w:val="0"/>
        <w:spacing w:before="93" w:line="600" w:lineRule="exact"/>
        <w:outlineLvl w:val="2"/>
        <w:rPr>
          <w:rFonts w:ascii="仿宋" w:hAnsi="仿宋" w:eastAsia="仿宋"/>
          <w:color w:val="000000"/>
          <w:sz w:val="32"/>
          <w:szCs w:val="32"/>
        </w:rPr>
      </w:pPr>
      <w:r>
        <w:rPr>
          <w:rFonts w:hint="eastAsia" w:ascii="仿宋" w:hAnsi="仿宋" w:eastAsia="仿宋"/>
          <w:color w:val="000000"/>
          <w:sz w:val="32"/>
          <w:szCs w:val="32"/>
        </w:rPr>
        <w:t>盐边县森林病虫害防治检疫站。</w:t>
      </w:r>
    </w:p>
    <w:p w14:paraId="78013FAA">
      <w:pPr>
        <w:pStyle w:val="2"/>
        <w:ind w:right="440"/>
        <w:jc w:val="right"/>
        <w:rPr>
          <w:rStyle w:val="25"/>
          <w:rFonts w:ascii="黑体" w:hAnsi="黑体" w:eastAsia="黑体"/>
          <w:b w:val="0"/>
          <w:bCs w:val="0"/>
        </w:rPr>
      </w:pPr>
      <w:bookmarkStart w:id="29" w:name="_Toc15396602"/>
      <w:bookmarkStart w:id="30" w:name="_Toc15377204"/>
      <w:bookmarkStart w:id="31" w:name="_Toc52180073"/>
      <w:r>
        <w:rPr>
          <w:rFonts w:hint="eastAsia" w:ascii="黑体" w:hAnsi="黑体" w:eastAsia="黑体"/>
          <w:b w:val="0"/>
          <w:color w:val="000000"/>
        </w:rPr>
        <w:t>第二部分</w:t>
      </w:r>
      <w:r>
        <w:rPr>
          <w:rFonts w:hint="eastAsia" w:ascii="黑体" w:hAnsi="黑体" w:eastAsia="黑体"/>
          <w:color w:val="000000"/>
        </w:rPr>
        <w:t xml:space="preserve"> </w:t>
      </w:r>
      <w:r>
        <w:rPr>
          <w:rStyle w:val="25"/>
          <w:rFonts w:hint="eastAsia" w:ascii="黑体" w:hAnsi="黑体" w:eastAsia="黑体"/>
          <w:b w:val="0"/>
          <w:bCs w:val="0"/>
        </w:rPr>
        <w:t>2020年度部门决算情况说明</w:t>
      </w:r>
      <w:bookmarkEnd w:id="29"/>
      <w:bookmarkEnd w:id="30"/>
      <w:bookmarkEnd w:id="31"/>
    </w:p>
    <w:p w14:paraId="3BF07F60"/>
    <w:p w14:paraId="73B1B49D">
      <w:pPr>
        <w:pStyle w:val="24"/>
        <w:numPr>
          <w:ilvl w:val="0"/>
          <w:numId w:val="2"/>
        </w:numPr>
        <w:spacing w:line="600" w:lineRule="exact"/>
        <w:ind w:firstLineChars="0"/>
        <w:outlineLvl w:val="1"/>
        <w:rPr>
          <w:rStyle w:val="26"/>
          <w:rFonts w:ascii="黑体" w:hAnsi="黑体" w:eastAsia="黑体"/>
          <w:b w:val="0"/>
        </w:rPr>
      </w:pPr>
      <w:bookmarkStart w:id="32" w:name="_Toc52180074"/>
      <w:bookmarkStart w:id="33" w:name="_Toc15396603"/>
      <w:bookmarkStart w:id="34" w:name="_Toc15377205"/>
      <w:r>
        <w:rPr>
          <w:rFonts w:hint="eastAsia" w:ascii="黑体" w:hAnsi="黑体" w:eastAsia="黑体"/>
          <w:color w:val="000000"/>
          <w:sz w:val="32"/>
          <w:szCs w:val="32"/>
        </w:rPr>
        <w:t>收</w:t>
      </w:r>
      <w:r>
        <w:rPr>
          <w:rStyle w:val="26"/>
          <w:rFonts w:hint="eastAsia" w:ascii="黑体" w:hAnsi="黑体" w:eastAsia="黑体"/>
          <w:b w:val="0"/>
        </w:rPr>
        <w:t>入支出决算总体情况说明</w:t>
      </w:r>
      <w:bookmarkEnd w:id="32"/>
      <w:bookmarkEnd w:id="33"/>
      <w:bookmarkEnd w:id="34"/>
    </w:p>
    <w:p w14:paraId="02BDC3D4">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2020年度收、支总计50495.74万元。与2019年相比，收、支总计减少11466.32万元，下降18</w:t>
      </w:r>
      <w:r>
        <w:rPr>
          <w:rFonts w:ascii="仿宋" w:hAnsi="仿宋" w:eastAsia="仿宋"/>
          <w:color w:val="000000"/>
          <w:sz w:val="32"/>
          <w:szCs w:val="32"/>
        </w:rPr>
        <w:t>%</w:t>
      </w:r>
      <w:r>
        <w:rPr>
          <w:rFonts w:hint="eastAsia" w:ascii="仿宋" w:hAnsi="仿宋" w:eastAsia="仿宋"/>
          <w:color w:val="000000"/>
          <w:sz w:val="32"/>
          <w:szCs w:val="32"/>
        </w:rPr>
        <w:t>。主要变动原因是</w:t>
      </w:r>
      <w:bookmarkStart w:id="35" w:name="OLE_LINK4"/>
      <w:bookmarkStart w:id="36" w:name="OLE_LINK3"/>
      <w:r>
        <w:rPr>
          <w:rFonts w:hint="eastAsia" w:ascii="仿宋" w:hAnsi="仿宋" w:eastAsia="仿宋"/>
          <w:color w:val="000000"/>
          <w:sz w:val="32"/>
          <w:szCs w:val="32"/>
        </w:rPr>
        <w:t>机构改革单位合并后部分业务支出调整。</w:t>
      </w:r>
      <w:bookmarkEnd w:id="35"/>
      <w:bookmarkEnd w:id="36"/>
    </w:p>
    <w:p w14:paraId="22B4490C">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：收、支决算总计变动情况图）（柱状图）</w:t>
      </w:r>
    </w:p>
    <w:p w14:paraId="190A4BAC">
      <w:pPr>
        <w:ind w:firstLine="420" w:firstLineChars="200"/>
        <w:rPr>
          <w:rFonts w:ascii="仿宋" w:hAnsi="仿宋" w:eastAsia="仿宋"/>
          <w:color w:val="000000" w:themeColor="text1"/>
          <w:sz w:val="32"/>
          <w:szCs w:val="32"/>
          <w14:textFill>
            <w14:solidFill>
              <w14:schemeClr w14:val="tx1"/>
            </w14:solidFill>
          </w14:textFill>
        </w:rPr>
      </w:pPr>
      <w:r>
        <w:drawing>
          <wp:inline distT="0" distB="0" distL="0" distR="0">
            <wp:extent cx="5274310" cy="3059430"/>
            <wp:effectExtent l="0" t="0" r="21590" b="26670"/>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14:paraId="3A68E8C2">
      <w:pPr>
        <w:pStyle w:val="24"/>
        <w:spacing w:line="600" w:lineRule="exact"/>
        <w:ind w:firstLine="640"/>
        <w:outlineLvl w:val="1"/>
        <w:rPr>
          <w:rStyle w:val="26"/>
          <w:rFonts w:ascii="黑体" w:hAnsi="黑体" w:eastAsia="黑体"/>
          <w:b w:val="0"/>
        </w:rPr>
      </w:pPr>
      <w:bookmarkStart w:id="37" w:name="_Toc15377206"/>
      <w:bookmarkStart w:id="38" w:name="_Toc15396604"/>
      <w:bookmarkStart w:id="39" w:name="_Toc52180075"/>
      <w:r>
        <w:rPr>
          <w:rFonts w:hint="eastAsia" w:ascii="黑体" w:hAnsi="黑体" w:eastAsia="黑体"/>
          <w:color w:val="000000"/>
          <w:sz w:val="32"/>
          <w:szCs w:val="32"/>
        </w:rPr>
        <w:t>二、收</w:t>
      </w:r>
      <w:r>
        <w:rPr>
          <w:rStyle w:val="26"/>
          <w:rFonts w:hint="eastAsia" w:ascii="黑体" w:hAnsi="黑体" w:eastAsia="黑体"/>
          <w:b w:val="0"/>
        </w:rPr>
        <w:t>入决算情况说明</w:t>
      </w:r>
      <w:bookmarkEnd w:id="37"/>
      <w:bookmarkEnd w:id="38"/>
      <w:bookmarkEnd w:id="39"/>
    </w:p>
    <w:p w14:paraId="2F012C70">
      <w:pPr>
        <w:spacing w:line="600" w:lineRule="exact"/>
        <w:ind w:firstLine="640" w:firstLineChars="200"/>
        <w:outlineLvl w:val="1"/>
        <w:rPr>
          <w:rFonts w:ascii="仿宋" w:hAnsi="仿宋" w:eastAsia="仿宋"/>
          <w:color w:val="000000"/>
          <w:sz w:val="32"/>
          <w:szCs w:val="32"/>
        </w:rPr>
      </w:pPr>
      <w:bookmarkStart w:id="40" w:name="_Toc52180076"/>
      <w:r>
        <w:rPr>
          <w:rFonts w:ascii="仿宋" w:hAnsi="仿宋" w:eastAsia="仿宋"/>
          <w:color w:val="000000"/>
          <w:sz w:val="32"/>
          <w:szCs w:val="32"/>
        </w:rPr>
        <w:t>20</w:t>
      </w:r>
      <w:r>
        <w:rPr>
          <w:rFonts w:hint="eastAsia" w:ascii="仿宋" w:hAnsi="仿宋" w:eastAsia="仿宋"/>
          <w:color w:val="000000"/>
          <w:sz w:val="32"/>
          <w:szCs w:val="32"/>
        </w:rPr>
        <w:t>20年本年收入合计17199.22万元，其中：一般公共预算财政拨款收入12011.39万元，占70.16</w:t>
      </w:r>
      <w:r>
        <w:rPr>
          <w:rFonts w:ascii="仿宋" w:hAnsi="仿宋" w:eastAsia="仿宋"/>
          <w:color w:val="000000"/>
          <w:sz w:val="32"/>
          <w:szCs w:val="32"/>
        </w:rPr>
        <w:t>%</w:t>
      </w:r>
      <w:r>
        <w:rPr>
          <w:rFonts w:hint="eastAsia" w:ascii="仿宋" w:hAnsi="仿宋" w:eastAsia="仿宋"/>
          <w:color w:val="000000"/>
          <w:sz w:val="32"/>
          <w:szCs w:val="32"/>
        </w:rPr>
        <w:t>；政府性基金预算财政拨款收入5107.83万元，占29.84</w:t>
      </w:r>
      <w:r>
        <w:rPr>
          <w:rFonts w:ascii="仿宋" w:hAnsi="仿宋" w:eastAsia="仿宋"/>
          <w:color w:val="000000"/>
          <w:sz w:val="32"/>
          <w:szCs w:val="32"/>
        </w:rPr>
        <w:t>%</w:t>
      </w:r>
      <w:r>
        <w:rPr>
          <w:rFonts w:hint="eastAsia" w:ascii="仿宋" w:hAnsi="仿宋" w:eastAsia="仿宋"/>
          <w:color w:val="000000"/>
          <w:sz w:val="32"/>
          <w:szCs w:val="32"/>
        </w:rPr>
        <w:t>。</w:t>
      </w:r>
      <w:bookmarkEnd w:id="40"/>
    </w:p>
    <w:p w14:paraId="20D6E9A9">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（图2：收入决算结构图）（饼状图）</w:t>
      </w:r>
    </w:p>
    <w:p w14:paraId="575C4E8B">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15EEE452">
      <w:pPr>
        <w:ind w:firstLine="420" w:firstLineChars="200"/>
        <w:rPr>
          <w:rFonts w:ascii="仿宋" w:hAnsi="仿宋" w:eastAsia="仿宋"/>
          <w:color w:val="000000" w:themeColor="text1"/>
          <w:sz w:val="32"/>
          <w:szCs w:val="32"/>
          <w14:textFill>
            <w14:solidFill>
              <w14:schemeClr w14:val="tx1"/>
            </w14:solidFill>
          </w14:textFill>
        </w:rPr>
      </w:pPr>
      <w:r>
        <w:drawing>
          <wp:inline distT="0" distB="0" distL="0" distR="0">
            <wp:extent cx="5274310" cy="2670175"/>
            <wp:effectExtent l="0" t="0" r="21590" b="1587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372B8242">
      <w:pPr>
        <w:pStyle w:val="24"/>
        <w:spacing w:line="600" w:lineRule="exact"/>
        <w:ind w:firstLine="640"/>
        <w:outlineLvl w:val="1"/>
        <w:rPr>
          <w:rStyle w:val="26"/>
          <w:rFonts w:ascii="黑体" w:hAnsi="黑体" w:eastAsia="黑体"/>
          <w:b w:val="0"/>
        </w:rPr>
      </w:pPr>
      <w:bookmarkStart w:id="41" w:name="_Toc15377207"/>
      <w:bookmarkStart w:id="42" w:name="_Toc15396605"/>
      <w:bookmarkStart w:id="43" w:name="_Toc52180077"/>
      <w:r>
        <w:rPr>
          <w:rFonts w:hint="eastAsia" w:ascii="黑体" w:hAnsi="黑体" w:eastAsia="黑体"/>
          <w:color w:val="000000"/>
          <w:sz w:val="32"/>
          <w:szCs w:val="32"/>
        </w:rPr>
        <w:t>三、支</w:t>
      </w:r>
      <w:r>
        <w:rPr>
          <w:rStyle w:val="26"/>
          <w:rFonts w:hint="eastAsia" w:ascii="黑体" w:hAnsi="黑体" w:eastAsia="黑体"/>
          <w:b w:val="0"/>
        </w:rPr>
        <w:t>出决算情况说明</w:t>
      </w:r>
      <w:bookmarkEnd w:id="41"/>
      <w:bookmarkEnd w:id="42"/>
      <w:bookmarkEnd w:id="43"/>
    </w:p>
    <w:p w14:paraId="32EBA6D3">
      <w:pPr>
        <w:spacing w:line="600" w:lineRule="exact"/>
        <w:ind w:firstLine="640" w:firstLineChars="200"/>
        <w:outlineLvl w:val="1"/>
        <w:rPr>
          <w:rFonts w:ascii="仿宋" w:hAnsi="仿宋" w:eastAsia="仿宋"/>
          <w:color w:val="000000"/>
          <w:sz w:val="32"/>
          <w:szCs w:val="32"/>
        </w:rPr>
      </w:pPr>
      <w:bookmarkStart w:id="44" w:name="_Toc52180078"/>
      <w:r>
        <w:rPr>
          <w:rFonts w:ascii="仿宋" w:hAnsi="仿宋" w:eastAsia="仿宋"/>
          <w:color w:val="000000"/>
          <w:sz w:val="32"/>
          <w:szCs w:val="32"/>
        </w:rPr>
        <w:t>20</w:t>
      </w:r>
      <w:r>
        <w:rPr>
          <w:rFonts w:hint="eastAsia" w:ascii="仿宋" w:hAnsi="仿宋" w:eastAsia="仿宋"/>
          <w:color w:val="000000"/>
          <w:sz w:val="32"/>
          <w:szCs w:val="32"/>
        </w:rPr>
        <w:t>20年本年支出合计13399.63万元，其中：基本支出2117.45万元，占15.80</w:t>
      </w:r>
      <w:r>
        <w:rPr>
          <w:rFonts w:ascii="仿宋" w:hAnsi="仿宋" w:eastAsia="仿宋"/>
          <w:color w:val="000000"/>
          <w:sz w:val="32"/>
          <w:szCs w:val="32"/>
        </w:rPr>
        <w:t>%</w:t>
      </w:r>
      <w:r>
        <w:rPr>
          <w:rFonts w:hint="eastAsia" w:ascii="仿宋" w:hAnsi="仿宋" w:eastAsia="仿宋"/>
          <w:color w:val="000000"/>
          <w:sz w:val="32"/>
          <w:szCs w:val="32"/>
        </w:rPr>
        <w:t>；项目支出11282.18万元，占84.20</w:t>
      </w:r>
      <w:r>
        <w:rPr>
          <w:rFonts w:ascii="仿宋" w:hAnsi="仿宋" w:eastAsia="仿宋"/>
          <w:color w:val="000000"/>
          <w:sz w:val="32"/>
          <w:szCs w:val="32"/>
        </w:rPr>
        <w:t>%</w:t>
      </w:r>
      <w:r>
        <w:rPr>
          <w:rFonts w:hint="eastAsia" w:ascii="仿宋" w:hAnsi="仿宋" w:eastAsia="仿宋"/>
          <w:color w:val="000000"/>
          <w:sz w:val="32"/>
          <w:szCs w:val="32"/>
        </w:rPr>
        <w:t>；上缴上级支出0万元，占0</w:t>
      </w:r>
      <w:r>
        <w:rPr>
          <w:rFonts w:ascii="仿宋" w:hAnsi="仿宋" w:eastAsia="仿宋"/>
          <w:color w:val="000000"/>
          <w:sz w:val="32"/>
          <w:szCs w:val="32"/>
        </w:rPr>
        <w:t>%</w:t>
      </w:r>
      <w:r>
        <w:rPr>
          <w:rFonts w:hint="eastAsia" w:ascii="仿宋" w:hAnsi="仿宋" w:eastAsia="仿宋"/>
          <w:color w:val="000000"/>
          <w:sz w:val="32"/>
          <w:szCs w:val="32"/>
        </w:rPr>
        <w:t>；经营支出0万元，占0</w:t>
      </w:r>
      <w:r>
        <w:rPr>
          <w:rFonts w:ascii="仿宋" w:hAnsi="仿宋" w:eastAsia="仿宋"/>
          <w:color w:val="000000"/>
          <w:sz w:val="32"/>
          <w:szCs w:val="32"/>
        </w:rPr>
        <w:t>%</w:t>
      </w:r>
      <w:r>
        <w:rPr>
          <w:rFonts w:hint="eastAsia" w:ascii="仿宋" w:hAnsi="仿宋" w:eastAsia="仿宋"/>
          <w:color w:val="000000"/>
          <w:sz w:val="32"/>
          <w:szCs w:val="32"/>
        </w:rPr>
        <w:t>；对附属单位补助支出0万元，占0</w:t>
      </w:r>
      <w:r>
        <w:rPr>
          <w:rFonts w:ascii="仿宋" w:hAnsi="仿宋" w:eastAsia="仿宋"/>
          <w:color w:val="000000"/>
          <w:sz w:val="32"/>
          <w:szCs w:val="32"/>
        </w:rPr>
        <w:t>%</w:t>
      </w:r>
      <w:r>
        <w:rPr>
          <w:rFonts w:hint="eastAsia" w:ascii="仿宋" w:hAnsi="仿宋" w:eastAsia="仿宋"/>
          <w:color w:val="000000"/>
          <w:sz w:val="32"/>
          <w:szCs w:val="32"/>
        </w:rPr>
        <w:t>。</w:t>
      </w:r>
      <w:bookmarkEnd w:id="44"/>
    </w:p>
    <w:p w14:paraId="352A9CAD">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（图3：支出决算结构图）（饼状图）</w:t>
      </w:r>
    </w:p>
    <w:p w14:paraId="2844528C">
      <w:pPr>
        <w:ind w:firstLine="420" w:firstLineChars="200"/>
        <w:rPr>
          <w:rFonts w:ascii="仿宋" w:hAnsi="仿宋" w:eastAsia="仿宋"/>
          <w:color w:val="000000" w:themeColor="text1"/>
          <w:sz w:val="32"/>
          <w:szCs w:val="32"/>
          <w14:textFill>
            <w14:solidFill>
              <w14:schemeClr w14:val="tx1"/>
            </w14:solidFill>
          </w14:textFill>
        </w:rPr>
      </w:pPr>
      <w:r>
        <w:drawing>
          <wp:inline distT="0" distB="0" distL="0" distR="0">
            <wp:extent cx="5274310" cy="2654935"/>
            <wp:effectExtent l="0" t="0" r="21590" b="12065"/>
            <wp:docPr id="8" name="图表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4E19E98">
      <w:pPr>
        <w:spacing w:line="600" w:lineRule="exact"/>
        <w:ind w:firstLine="640" w:firstLineChars="200"/>
        <w:outlineLvl w:val="1"/>
        <w:rPr>
          <w:rStyle w:val="26"/>
          <w:rFonts w:ascii="黑体" w:hAnsi="黑体" w:eastAsia="黑体"/>
          <w:b w:val="0"/>
        </w:rPr>
      </w:pPr>
      <w:bookmarkStart w:id="45" w:name="_Toc15377208"/>
      <w:bookmarkStart w:id="46" w:name="_Toc52180079"/>
      <w:bookmarkStart w:id="47" w:name="_Toc15396606"/>
      <w:r>
        <w:rPr>
          <w:rFonts w:hint="eastAsia" w:ascii="黑体" w:hAnsi="黑体" w:eastAsia="黑体"/>
          <w:color w:val="000000"/>
          <w:sz w:val="32"/>
          <w:szCs w:val="32"/>
        </w:rPr>
        <w:t>四、财</w:t>
      </w:r>
      <w:r>
        <w:rPr>
          <w:rStyle w:val="26"/>
          <w:rFonts w:hint="eastAsia" w:ascii="黑体" w:hAnsi="黑体" w:eastAsia="黑体"/>
          <w:b w:val="0"/>
        </w:rPr>
        <w:t>政拨款收入支出决算总体情况说明</w:t>
      </w:r>
      <w:bookmarkEnd w:id="45"/>
      <w:bookmarkEnd w:id="46"/>
      <w:bookmarkEnd w:id="47"/>
    </w:p>
    <w:p w14:paraId="7387492D">
      <w:pPr>
        <w:spacing w:line="600" w:lineRule="exact"/>
        <w:ind w:firstLine="640"/>
        <w:rPr>
          <w:rFonts w:ascii="仿宋" w:hAnsi="仿宋" w:eastAsia="仿宋"/>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rPr>
        <w:t>20年财政拨款收、支总计30518.85万元。与</w:t>
      </w:r>
      <w:r>
        <w:rPr>
          <w:rFonts w:ascii="仿宋" w:hAnsi="仿宋" w:eastAsia="仿宋"/>
          <w:color w:val="000000"/>
          <w:sz w:val="32"/>
          <w:szCs w:val="32"/>
        </w:rPr>
        <w:t>201</w:t>
      </w:r>
      <w:r>
        <w:rPr>
          <w:rFonts w:hint="eastAsia" w:ascii="仿宋" w:hAnsi="仿宋" w:eastAsia="仿宋"/>
          <w:color w:val="000000"/>
          <w:sz w:val="32"/>
          <w:szCs w:val="32"/>
        </w:rPr>
        <w:t>9年相比，财政拨款收、支总计减少20257.21万元，下降39</w:t>
      </w:r>
      <w:r>
        <w:rPr>
          <w:rFonts w:ascii="仿宋" w:hAnsi="仿宋" w:eastAsia="仿宋"/>
          <w:color w:val="000000"/>
          <w:sz w:val="32"/>
          <w:szCs w:val="32"/>
        </w:rPr>
        <w:t>%</w:t>
      </w:r>
      <w:r>
        <w:rPr>
          <w:rFonts w:hint="eastAsia" w:ascii="仿宋" w:hAnsi="仿宋" w:eastAsia="仿宋"/>
          <w:color w:val="000000"/>
          <w:sz w:val="32"/>
          <w:szCs w:val="32"/>
        </w:rPr>
        <w:t>。主要变动原因是机构改革单位合并后部分业务支出调整。</w:t>
      </w:r>
    </w:p>
    <w:p w14:paraId="32FC3C1F">
      <w:pPr>
        <w:spacing w:line="600" w:lineRule="exact"/>
        <w:rPr>
          <w:rFonts w:ascii="仿宋" w:hAnsi="仿宋" w:eastAsia="仿宋"/>
          <w:color w:val="000000"/>
          <w:sz w:val="32"/>
          <w:szCs w:val="32"/>
        </w:rPr>
      </w:pPr>
    </w:p>
    <w:p w14:paraId="112A675B">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（图4：财政拨款收、支决算总计变动情况）（柱状图）</w:t>
      </w:r>
    </w:p>
    <w:p w14:paraId="1F3150BC">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264999F8">
      <w:pPr>
        <w:ind w:firstLine="420" w:firstLineChars="200"/>
        <w:rPr>
          <w:rFonts w:ascii="仿宋" w:hAnsi="仿宋" w:eastAsia="仿宋"/>
          <w:color w:val="000000" w:themeColor="text1"/>
          <w:sz w:val="32"/>
          <w:szCs w:val="32"/>
          <w14:textFill>
            <w14:solidFill>
              <w14:schemeClr w14:val="tx1"/>
            </w14:solidFill>
          </w14:textFill>
        </w:rPr>
      </w:pPr>
      <w:r>
        <w:drawing>
          <wp:inline distT="0" distB="0" distL="0" distR="0">
            <wp:extent cx="5274310" cy="2747010"/>
            <wp:effectExtent l="0" t="0" r="21590" b="15240"/>
            <wp:docPr id="10" name="图表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7E40A136">
      <w:pPr>
        <w:spacing w:line="600" w:lineRule="exact"/>
        <w:ind w:firstLine="640" w:firstLineChars="200"/>
        <w:outlineLvl w:val="1"/>
        <w:rPr>
          <w:rFonts w:ascii="黑体" w:hAnsi="黑体" w:eastAsia="黑体"/>
          <w:color w:val="000000"/>
          <w:sz w:val="32"/>
          <w:szCs w:val="32"/>
        </w:rPr>
      </w:pPr>
      <w:bookmarkStart w:id="48" w:name="_Toc52180080"/>
      <w:bookmarkStart w:id="49" w:name="_Toc15377209"/>
      <w:bookmarkStart w:id="50" w:name="_Toc15396607"/>
    </w:p>
    <w:p w14:paraId="17147E66">
      <w:pPr>
        <w:spacing w:line="600" w:lineRule="exact"/>
        <w:ind w:firstLine="640" w:firstLineChars="200"/>
        <w:outlineLvl w:val="1"/>
        <w:rPr>
          <w:rStyle w:val="26"/>
          <w:rFonts w:ascii="黑体" w:hAnsi="黑体" w:eastAsia="黑体"/>
          <w:b w:val="0"/>
        </w:rPr>
      </w:pPr>
      <w:r>
        <w:rPr>
          <w:rFonts w:hint="eastAsia" w:ascii="黑体" w:hAnsi="黑体" w:eastAsia="黑体"/>
          <w:color w:val="000000"/>
          <w:sz w:val="32"/>
          <w:szCs w:val="32"/>
        </w:rPr>
        <w:t>五、</w:t>
      </w:r>
      <w:r>
        <w:rPr>
          <w:rFonts w:hint="eastAsia" w:ascii="黑体" w:hAnsi="黑体" w:eastAsia="黑体"/>
          <w:b/>
          <w:color w:val="000000"/>
          <w:sz w:val="32"/>
          <w:szCs w:val="32"/>
        </w:rPr>
        <w:t>一</w:t>
      </w:r>
      <w:r>
        <w:rPr>
          <w:rStyle w:val="26"/>
          <w:rFonts w:hint="eastAsia" w:ascii="黑体" w:hAnsi="黑体" w:eastAsia="黑体"/>
          <w:b w:val="0"/>
        </w:rPr>
        <w:t>般公共预算财政拨款支出决算情况说明</w:t>
      </w:r>
      <w:bookmarkEnd w:id="48"/>
      <w:bookmarkEnd w:id="49"/>
      <w:bookmarkEnd w:id="50"/>
    </w:p>
    <w:p w14:paraId="3DC2F5D6">
      <w:pPr>
        <w:spacing w:line="600" w:lineRule="exact"/>
        <w:ind w:firstLine="643" w:firstLineChars="200"/>
        <w:outlineLvl w:val="2"/>
        <w:rPr>
          <w:rFonts w:ascii="仿宋" w:hAnsi="仿宋" w:eastAsia="仿宋"/>
          <w:b/>
          <w:color w:val="000000"/>
          <w:sz w:val="32"/>
          <w:szCs w:val="32"/>
        </w:rPr>
      </w:pPr>
      <w:bookmarkStart w:id="51" w:name="_Toc52180081"/>
      <w:bookmarkStart w:id="52" w:name="_Toc15377210"/>
      <w:r>
        <w:rPr>
          <w:rFonts w:hint="eastAsia" w:ascii="仿宋" w:hAnsi="仿宋" w:eastAsia="仿宋"/>
          <w:b/>
          <w:color w:val="000000"/>
          <w:sz w:val="32"/>
          <w:szCs w:val="32"/>
        </w:rPr>
        <w:t>（一）一般公共预算财政拨款支出决算总体情况</w:t>
      </w:r>
      <w:bookmarkEnd w:id="51"/>
      <w:bookmarkEnd w:id="52"/>
    </w:p>
    <w:p w14:paraId="770F1FB0">
      <w:pPr>
        <w:spacing w:line="600" w:lineRule="exact"/>
        <w:ind w:firstLine="640" w:firstLineChars="200"/>
        <w:rPr>
          <w:rFonts w:ascii="仿宋" w:hAnsi="仿宋" w:eastAsia="仿宋"/>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rPr>
        <w:t>20年一般公共预算财政拨款支出</w:t>
      </w:r>
      <w:r>
        <w:rPr>
          <w:rFonts w:ascii="仿宋" w:hAnsi="仿宋" w:eastAsia="仿宋"/>
          <w:color w:val="000000"/>
          <w:sz w:val="32"/>
          <w:szCs w:val="32"/>
        </w:rPr>
        <w:t>8200.59</w:t>
      </w:r>
      <w:r>
        <w:rPr>
          <w:rFonts w:hint="eastAsia" w:ascii="仿宋" w:hAnsi="仿宋" w:eastAsia="仿宋"/>
          <w:color w:val="000000"/>
          <w:sz w:val="32"/>
          <w:szCs w:val="32"/>
        </w:rPr>
        <w:t>万元，占本年支出合计的61.20</w:t>
      </w:r>
      <w:r>
        <w:rPr>
          <w:rFonts w:ascii="仿宋" w:hAnsi="仿宋" w:eastAsia="仿宋"/>
          <w:color w:val="000000"/>
          <w:sz w:val="32"/>
          <w:szCs w:val="32"/>
        </w:rPr>
        <w:t>%</w:t>
      </w:r>
      <w:r>
        <w:rPr>
          <w:rFonts w:hint="eastAsia" w:ascii="仿宋" w:hAnsi="仿宋" w:eastAsia="仿宋"/>
          <w:color w:val="000000"/>
          <w:sz w:val="32"/>
          <w:szCs w:val="32"/>
        </w:rPr>
        <w:t>。与</w:t>
      </w:r>
      <w:r>
        <w:rPr>
          <w:rFonts w:ascii="仿宋" w:hAnsi="仿宋" w:eastAsia="仿宋"/>
          <w:color w:val="000000"/>
          <w:sz w:val="32"/>
          <w:szCs w:val="32"/>
        </w:rPr>
        <w:t>20</w:t>
      </w:r>
      <w:r>
        <w:rPr>
          <w:rFonts w:hint="eastAsia" w:ascii="仿宋" w:hAnsi="仿宋" w:eastAsia="仿宋"/>
          <w:color w:val="000000"/>
          <w:sz w:val="32"/>
          <w:szCs w:val="32"/>
        </w:rPr>
        <w:t>19年相比，一般公共预算财政拨款减少40561.80万元，下降494</w:t>
      </w:r>
      <w:r>
        <w:rPr>
          <w:rFonts w:ascii="仿宋" w:hAnsi="仿宋" w:eastAsia="仿宋"/>
          <w:color w:val="000000"/>
          <w:sz w:val="32"/>
          <w:szCs w:val="32"/>
        </w:rPr>
        <w:t>%</w:t>
      </w:r>
      <w:r>
        <w:rPr>
          <w:rFonts w:hint="eastAsia" w:ascii="仿宋" w:hAnsi="仿宋" w:eastAsia="仿宋"/>
          <w:color w:val="000000"/>
          <w:sz w:val="32"/>
          <w:szCs w:val="32"/>
        </w:rPr>
        <w:t>。主要变动原因是机构改革单位合并后部分业务支出调整。</w:t>
      </w:r>
    </w:p>
    <w:p w14:paraId="383127C5">
      <w:pPr>
        <w:spacing w:line="600" w:lineRule="exact"/>
        <w:ind w:firstLine="640" w:firstLineChars="200"/>
        <w:rPr>
          <w:rFonts w:ascii="仿宋" w:hAnsi="仿宋" w:eastAsia="仿宋"/>
          <w:color w:val="000000"/>
          <w:sz w:val="32"/>
          <w:szCs w:val="32"/>
        </w:rPr>
      </w:pPr>
    </w:p>
    <w:p w14:paraId="56FFC53E">
      <w:pPr>
        <w:spacing w:line="600" w:lineRule="exact"/>
        <w:ind w:firstLine="640" w:firstLineChars="200"/>
        <w:rPr>
          <w:rFonts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（图5：一般公共预算财政拨款支出决算变动情况）（柱状图）</w:t>
      </w:r>
    </w:p>
    <w:p w14:paraId="3E95D93A">
      <w:pPr>
        <w:spacing w:line="600" w:lineRule="exact"/>
        <w:ind w:firstLine="640" w:firstLineChars="200"/>
        <w:rPr>
          <w:rFonts w:ascii="仿宋" w:hAnsi="仿宋" w:eastAsia="仿宋"/>
          <w:color w:val="000000" w:themeColor="text1"/>
          <w:sz w:val="32"/>
          <w:szCs w:val="32"/>
          <w14:textFill>
            <w14:solidFill>
              <w14:schemeClr w14:val="tx1"/>
            </w14:solidFill>
          </w14:textFill>
        </w:rPr>
      </w:pPr>
    </w:p>
    <w:p w14:paraId="39D35C9B">
      <w:pPr>
        <w:ind w:firstLine="420" w:firstLineChars="200"/>
        <w:rPr>
          <w:rFonts w:ascii="仿宋" w:hAnsi="仿宋" w:eastAsia="仿宋"/>
          <w:color w:val="000000" w:themeColor="text1"/>
          <w:sz w:val="32"/>
          <w:szCs w:val="32"/>
          <w14:textFill>
            <w14:solidFill>
              <w14:schemeClr w14:val="tx1"/>
            </w14:solidFill>
          </w14:textFill>
        </w:rPr>
      </w:pPr>
      <w:r>
        <w:drawing>
          <wp:inline distT="0" distB="0" distL="0" distR="0">
            <wp:extent cx="5274310" cy="2700020"/>
            <wp:effectExtent l="0" t="0" r="21590" b="2413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79B39052">
      <w:pPr>
        <w:spacing w:line="600" w:lineRule="exact"/>
        <w:ind w:firstLine="321" w:firstLineChars="100"/>
        <w:outlineLvl w:val="2"/>
        <w:rPr>
          <w:rFonts w:ascii="仿宋" w:hAnsi="仿宋" w:eastAsia="仿宋"/>
          <w:b/>
          <w:color w:val="000000"/>
          <w:sz w:val="32"/>
          <w:szCs w:val="32"/>
        </w:rPr>
      </w:pPr>
      <w:bookmarkStart w:id="53" w:name="_Toc15377211"/>
      <w:bookmarkStart w:id="54" w:name="_Toc52180082"/>
    </w:p>
    <w:p w14:paraId="41288C68">
      <w:pPr>
        <w:spacing w:line="600" w:lineRule="exact"/>
        <w:ind w:firstLine="321" w:firstLineChars="100"/>
        <w:outlineLvl w:val="2"/>
        <w:rPr>
          <w:rFonts w:ascii="仿宋" w:hAnsi="仿宋" w:eastAsia="仿宋"/>
          <w:b/>
          <w:color w:val="000000"/>
          <w:sz w:val="32"/>
          <w:szCs w:val="32"/>
        </w:rPr>
      </w:pPr>
      <w:r>
        <w:rPr>
          <w:rFonts w:hint="eastAsia" w:ascii="仿宋" w:hAnsi="仿宋" w:eastAsia="仿宋"/>
          <w:b/>
          <w:color w:val="000000"/>
          <w:sz w:val="32"/>
          <w:szCs w:val="32"/>
        </w:rPr>
        <w:t>（二）一般公共预算财政拨款支出决算结构情况</w:t>
      </w:r>
      <w:bookmarkEnd w:id="53"/>
      <w:bookmarkEnd w:id="54"/>
    </w:p>
    <w:p w14:paraId="4B953464">
      <w:pPr>
        <w:spacing w:line="600" w:lineRule="exact"/>
        <w:ind w:firstLine="640"/>
        <w:rPr>
          <w:rFonts w:ascii="仿宋" w:hAnsi="仿宋" w:eastAsia="仿宋"/>
          <w:b/>
          <w:color w:val="000000" w:themeColor="text1"/>
          <w:sz w:val="32"/>
          <w:szCs w:val="32"/>
          <w14:textFill>
            <w14:solidFill>
              <w14:schemeClr w14:val="tx1"/>
            </w14:solidFill>
          </w14:textFill>
        </w:rPr>
      </w:pPr>
      <w:r>
        <w:rPr>
          <w:rFonts w:ascii="仿宋" w:hAnsi="仿宋" w:eastAsia="仿宋"/>
          <w:color w:val="000000"/>
          <w:sz w:val="32"/>
          <w:szCs w:val="32"/>
        </w:rPr>
        <w:t>20</w:t>
      </w:r>
      <w:r>
        <w:rPr>
          <w:rFonts w:hint="eastAsia" w:ascii="仿宋" w:hAnsi="仿宋" w:eastAsia="仿宋"/>
          <w:color w:val="000000"/>
          <w:sz w:val="32"/>
          <w:szCs w:val="32"/>
        </w:rPr>
        <w:t>20年一般公共预算财</w:t>
      </w:r>
      <w:r>
        <w:rPr>
          <w:rFonts w:hint="eastAsia" w:ascii="仿宋" w:hAnsi="仿宋" w:eastAsia="仿宋"/>
          <w:color w:val="000000" w:themeColor="text1"/>
          <w:sz w:val="32"/>
          <w:szCs w:val="32"/>
          <w14:textFill>
            <w14:solidFill>
              <w14:schemeClr w14:val="tx1"/>
            </w14:solidFill>
          </w14:textFill>
        </w:rPr>
        <w:t>政拨款支出</w:t>
      </w:r>
      <w:r>
        <w:rPr>
          <w:rFonts w:ascii="仿宋" w:hAnsi="仿宋" w:eastAsia="仿宋"/>
          <w:color w:val="000000" w:themeColor="text1"/>
          <w:sz w:val="32"/>
          <w:szCs w:val="32"/>
          <w14:textFill>
            <w14:solidFill>
              <w14:schemeClr w14:val="tx1"/>
            </w14:solidFill>
          </w14:textFill>
        </w:rPr>
        <w:t>8200.59</w:t>
      </w:r>
      <w:r>
        <w:rPr>
          <w:rFonts w:hint="eastAsia" w:ascii="仿宋" w:hAnsi="仿宋" w:eastAsia="仿宋"/>
          <w:color w:val="000000" w:themeColor="text1"/>
          <w:sz w:val="32"/>
          <w:szCs w:val="32"/>
          <w14:textFill>
            <w14:solidFill>
              <w14:schemeClr w14:val="tx1"/>
            </w14:solidFill>
          </w14:textFill>
        </w:rPr>
        <w:t>万元，主要用于以下方面</w:t>
      </w:r>
      <w:r>
        <w:rPr>
          <w:rFonts w:hint="eastAsia" w:ascii="仿宋" w:hAnsi="仿宋" w:eastAsia="仿宋"/>
          <w:color w:val="000000" w:themeColor="text1"/>
          <w:sz w:val="32"/>
          <w:szCs w:val="32"/>
          <w:lang w:eastAsia="zh-CN"/>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社会保障和就业支出</w:t>
      </w:r>
      <w:r>
        <w:rPr>
          <w:rFonts w:ascii="仿宋" w:hAnsi="仿宋" w:eastAsia="仿宋"/>
          <w:color w:val="000000" w:themeColor="text1"/>
          <w:sz w:val="32"/>
          <w:szCs w:val="32"/>
          <w14:textFill>
            <w14:solidFill>
              <w14:schemeClr w14:val="tx1"/>
            </w14:solidFill>
          </w14:textFill>
        </w:rPr>
        <w:t>253.85</w:t>
      </w:r>
      <w:r>
        <w:rPr>
          <w:rFonts w:hint="eastAsia" w:ascii="仿宋" w:hAnsi="仿宋" w:eastAsia="仿宋"/>
          <w:color w:val="000000" w:themeColor="text1"/>
          <w:sz w:val="32"/>
          <w:szCs w:val="32"/>
          <w14:textFill>
            <w14:solidFill>
              <w14:schemeClr w14:val="tx1"/>
            </w14:solidFill>
          </w14:textFill>
        </w:rPr>
        <w:t>万元，占XX</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；卫生健康支出</w:t>
      </w:r>
      <w:r>
        <w:rPr>
          <w:rFonts w:ascii="仿宋" w:hAnsi="仿宋" w:eastAsia="仿宋"/>
          <w:color w:val="000000" w:themeColor="text1"/>
          <w:sz w:val="32"/>
          <w:szCs w:val="32"/>
          <w14:textFill>
            <w14:solidFill>
              <w14:schemeClr w14:val="tx1"/>
            </w14:solidFill>
          </w14:textFill>
        </w:rPr>
        <w:t>1</w:t>
      </w:r>
      <w:r>
        <w:rPr>
          <w:rFonts w:hint="eastAsia" w:ascii="仿宋" w:hAnsi="仿宋" w:eastAsia="仿宋"/>
          <w:color w:val="000000" w:themeColor="text1"/>
          <w:sz w:val="32"/>
          <w:szCs w:val="32"/>
          <w14:textFill>
            <w14:solidFill>
              <w14:schemeClr w14:val="tx1"/>
            </w14:solidFill>
          </w14:textFill>
        </w:rPr>
        <w:t>万元，占XX%；节能环保支出</w:t>
      </w:r>
      <w:r>
        <w:rPr>
          <w:rFonts w:ascii="仿宋" w:hAnsi="仿宋" w:eastAsia="仿宋"/>
          <w:color w:val="000000" w:themeColor="text1"/>
          <w:sz w:val="32"/>
          <w:szCs w:val="32"/>
          <w14:textFill>
            <w14:solidFill>
              <w14:schemeClr w14:val="tx1"/>
            </w14:solidFill>
          </w14:textFill>
        </w:rPr>
        <w:t>597.26</w:t>
      </w:r>
      <w:r>
        <w:rPr>
          <w:rFonts w:hint="eastAsia" w:ascii="仿宋" w:hAnsi="仿宋" w:eastAsia="仿宋"/>
          <w:color w:val="000000" w:themeColor="text1"/>
          <w:sz w:val="32"/>
          <w:szCs w:val="32"/>
          <w14:textFill>
            <w14:solidFill>
              <w14:schemeClr w14:val="tx1"/>
            </w14:solidFill>
          </w14:textFill>
        </w:rPr>
        <w:t>万元，占XX%；农林水支出</w:t>
      </w:r>
      <w:r>
        <w:rPr>
          <w:rFonts w:ascii="仿宋" w:hAnsi="仿宋" w:eastAsia="仿宋"/>
          <w:color w:val="000000" w:themeColor="text1"/>
          <w:sz w:val="32"/>
          <w:szCs w:val="32"/>
          <w14:textFill>
            <w14:solidFill>
              <w14:schemeClr w14:val="tx1"/>
            </w14:solidFill>
          </w14:textFill>
        </w:rPr>
        <w:t>3040.01</w:t>
      </w:r>
      <w:r>
        <w:rPr>
          <w:rFonts w:hint="eastAsia" w:ascii="仿宋" w:hAnsi="仿宋" w:eastAsia="仿宋"/>
          <w:color w:val="000000" w:themeColor="text1"/>
          <w:sz w:val="32"/>
          <w:szCs w:val="32"/>
          <w14:textFill>
            <w14:solidFill>
              <w14:schemeClr w14:val="tx1"/>
            </w14:solidFill>
          </w14:textFill>
        </w:rPr>
        <w:t>万元，占XX%；自然资源海洋气象等支出</w:t>
      </w:r>
      <w:r>
        <w:rPr>
          <w:rFonts w:ascii="仿宋" w:hAnsi="仿宋" w:eastAsia="仿宋"/>
          <w:color w:val="000000" w:themeColor="text1"/>
          <w:sz w:val="32"/>
          <w:szCs w:val="32"/>
          <w14:textFill>
            <w14:solidFill>
              <w14:schemeClr w14:val="tx1"/>
            </w14:solidFill>
          </w14:textFill>
        </w:rPr>
        <w:t>3023.82</w:t>
      </w:r>
      <w:r>
        <w:rPr>
          <w:rFonts w:hint="eastAsia" w:ascii="仿宋" w:hAnsi="仿宋" w:eastAsia="仿宋"/>
          <w:color w:val="000000" w:themeColor="text1"/>
          <w:sz w:val="32"/>
          <w:szCs w:val="32"/>
          <w14:textFill>
            <w14:solidFill>
              <w14:schemeClr w14:val="tx1"/>
            </w14:solidFill>
          </w14:textFill>
        </w:rPr>
        <w:t>万元，占XX%；住房保障支出</w:t>
      </w:r>
      <w:r>
        <w:rPr>
          <w:rFonts w:ascii="仿宋" w:hAnsi="仿宋" w:eastAsia="仿宋"/>
          <w:color w:val="000000" w:themeColor="text1"/>
          <w:sz w:val="32"/>
          <w:szCs w:val="32"/>
          <w14:textFill>
            <w14:solidFill>
              <w14:schemeClr w14:val="tx1"/>
            </w14:solidFill>
          </w14:textFill>
        </w:rPr>
        <w:t>182.44</w:t>
      </w:r>
      <w:r>
        <w:rPr>
          <w:rFonts w:hint="eastAsia" w:ascii="仿宋" w:hAnsi="仿宋" w:eastAsia="仿宋"/>
          <w:color w:val="000000" w:themeColor="text1"/>
          <w:sz w:val="32"/>
          <w:szCs w:val="32"/>
          <w14:textFill>
            <w14:solidFill>
              <w14:schemeClr w14:val="tx1"/>
            </w14:solidFill>
          </w14:textFill>
        </w:rPr>
        <w:t>万元，占XX</w:t>
      </w:r>
      <w:r>
        <w:rPr>
          <w:rFonts w:ascii="仿宋" w:hAnsi="仿宋" w:eastAsia="仿宋"/>
          <w:color w:val="000000" w:themeColor="text1"/>
          <w:sz w:val="32"/>
          <w:szCs w:val="32"/>
          <w14:textFill>
            <w14:solidFill>
              <w14:schemeClr w14:val="tx1"/>
            </w14:solidFill>
          </w14:textFill>
        </w:rPr>
        <w:t>%</w:t>
      </w:r>
      <w:r>
        <w:rPr>
          <w:rFonts w:hint="eastAsia" w:ascii="仿宋" w:hAnsi="仿宋" w:eastAsia="仿宋"/>
          <w:color w:val="000000" w:themeColor="text1"/>
          <w:sz w:val="32"/>
          <w:szCs w:val="32"/>
          <w14:textFill>
            <w14:solidFill>
              <w14:schemeClr w14:val="tx1"/>
            </w14:solidFill>
          </w14:textFill>
        </w:rPr>
        <w:t>；灾害防治及应急管理支出</w:t>
      </w:r>
      <w:r>
        <w:rPr>
          <w:rFonts w:ascii="仿宋" w:hAnsi="仿宋" w:eastAsia="仿宋"/>
          <w:color w:val="000000" w:themeColor="text1"/>
          <w:sz w:val="32"/>
          <w:szCs w:val="32"/>
          <w14:textFill>
            <w14:solidFill>
              <w14:schemeClr w14:val="tx1"/>
            </w14:solidFill>
          </w14:textFill>
        </w:rPr>
        <w:t>1102.21</w:t>
      </w:r>
      <w:r>
        <w:rPr>
          <w:rFonts w:hint="eastAsia" w:ascii="仿宋" w:hAnsi="仿宋" w:eastAsia="仿宋"/>
          <w:color w:val="000000" w:themeColor="text1"/>
          <w:sz w:val="32"/>
          <w:szCs w:val="32"/>
          <w14:textFill>
            <w14:solidFill>
              <w14:schemeClr w14:val="tx1"/>
            </w14:solidFill>
          </w14:textFill>
        </w:rPr>
        <w:t>万元，占XX%。</w:t>
      </w:r>
    </w:p>
    <w:p w14:paraId="0A21B6AC">
      <w:pPr>
        <w:spacing w:line="600" w:lineRule="exact"/>
        <w:ind w:firstLine="640" w:firstLineChars="200"/>
        <w:rPr>
          <w:rFonts w:ascii="仿宋" w:hAnsi="仿宋" w:eastAsia="仿宋"/>
          <w:color w:val="000000"/>
          <w:sz w:val="32"/>
          <w:szCs w:val="32"/>
        </w:rPr>
      </w:pPr>
    </w:p>
    <w:p w14:paraId="34EE13A7">
      <w:pPr>
        <w:spacing w:line="600" w:lineRule="exact"/>
        <w:ind w:firstLine="640" w:firstLineChars="200"/>
        <w:rPr>
          <w:rFonts w:ascii="仿宋" w:hAnsi="仿宋" w:eastAsia="仿宋"/>
          <w:color w:val="000000"/>
          <w:sz w:val="32"/>
          <w:szCs w:val="32"/>
        </w:rPr>
      </w:pPr>
    </w:p>
    <w:p w14:paraId="3283841A">
      <w:pPr>
        <w:spacing w:line="600" w:lineRule="exact"/>
        <w:ind w:firstLine="640" w:firstLineChars="200"/>
        <w:rPr>
          <w:rFonts w:ascii="仿宋" w:hAnsi="仿宋" w:eastAsia="仿宋"/>
          <w:color w:val="000000"/>
          <w:sz w:val="32"/>
          <w:szCs w:val="32"/>
        </w:rPr>
      </w:pPr>
    </w:p>
    <w:p w14:paraId="6D3436C3">
      <w:pPr>
        <w:spacing w:line="600" w:lineRule="exact"/>
        <w:ind w:firstLine="640" w:firstLineChars="200"/>
        <w:rPr>
          <w:rFonts w:ascii="仿宋" w:hAnsi="仿宋" w:eastAsia="仿宋"/>
          <w:color w:val="000000"/>
          <w:sz w:val="32"/>
          <w:szCs w:val="32"/>
        </w:rPr>
      </w:pPr>
    </w:p>
    <w:p w14:paraId="3CF0FE88">
      <w:pPr>
        <w:spacing w:line="600" w:lineRule="exact"/>
        <w:ind w:firstLine="640" w:firstLineChars="200"/>
        <w:rPr>
          <w:rFonts w:ascii="仿宋" w:hAnsi="仿宋" w:eastAsia="仿宋"/>
          <w:color w:val="000000"/>
          <w:sz w:val="32"/>
          <w:szCs w:val="32"/>
        </w:rPr>
      </w:pPr>
    </w:p>
    <w:p w14:paraId="1818704C">
      <w:pPr>
        <w:spacing w:line="600" w:lineRule="exact"/>
        <w:ind w:firstLine="640" w:firstLineChars="200"/>
        <w:rPr>
          <w:rFonts w:ascii="仿宋" w:hAnsi="仿宋" w:eastAsia="仿宋"/>
          <w:color w:val="000000"/>
          <w:sz w:val="32"/>
          <w:szCs w:val="32"/>
        </w:rPr>
      </w:pPr>
      <w:r>
        <w:rPr>
          <w:rFonts w:hint="eastAsia" w:ascii="仿宋" w:hAnsi="仿宋" w:eastAsia="仿宋"/>
          <w:color w:val="000000"/>
          <w:sz w:val="32"/>
          <w:szCs w:val="32"/>
        </w:rPr>
        <w:t>（图6：一般公共预算财政拨款支出决算结构）（饼状图）</w:t>
      </w:r>
    </w:p>
    <w:p w14:paraId="754D7D4E">
      <w:pPr>
        <w:spacing w:line="600" w:lineRule="exact"/>
        <w:ind w:firstLine="640" w:firstLineChars="200"/>
        <w:rPr>
          <w:rFonts w:ascii="仿宋" w:hAnsi="仿宋" w:eastAsia="仿宋"/>
          <w:color w:val="000000"/>
          <w:sz w:val="32"/>
          <w:szCs w:val="32"/>
        </w:rPr>
      </w:pPr>
    </w:p>
    <w:p w14:paraId="60C255FE">
      <w:pPr>
        <w:rPr>
          <w:rFonts w:ascii="仿宋" w:hAnsi="仿宋" w:eastAsia="仿宋"/>
          <w:color w:val="000000"/>
          <w:sz w:val="32"/>
          <w:szCs w:val="32"/>
        </w:rPr>
      </w:pPr>
      <w:r>
        <w:drawing>
          <wp:inline distT="0" distB="0" distL="0" distR="0">
            <wp:extent cx="5274310" cy="3241040"/>
            <wp:effectExtent l="0" t="0" r="21590" b="16510"/>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D0F0D14">
      <w:pPr>
        <w:spacing w:line="600" w:lineRule="exact"/>
        <w:outlineLvl w:val="2"/>
        <w:rPr>
          <w:rFonts w:ascii="仿宋" w:hAnsi="仿宋" w:eastAsia="仿宋"/>
          <w:b/>
          <w:color w:val="000000"/>
          <w:sz w:val="32"/>
          <w:szCs w:val="32"/>
        </w:rPr>
      </w:pPr>
      <w:bookmarkStart w:id="55" w:name="_Toc15377212"/>
      <w:bookmarkStart w:id="56" w:name="_Toc52180083"/>
      <w:r>
        <w:rPr>
          <w:rFonts w:hint="eastAsia" w:ascii="仿宋" w:hAnsi="仿宋" w:eastAsia="仿宋"/>
          <w:b/>
          <w:color w:val="000000"/>
          <w:sz w:val="32"/>
          <w:szCs w:val="32"/>
        </w:rPr>
        <w:t>（三）一般公共预算财政拨款支出决算具体情况</w:t>
      </w:r>
      <w:bookmarkEnd w:id="55"/>
      <w:bookmarkEnd w:id="56"/>
    </w:p>
    <w:p w14:paraId="04092D60">
      <w:pPr>
        <w:spacing w:line="600" w:lineRule="exact"/>
        <w:ind w:firstLine="640" w:firstLineChars="200"/>
        <w:outlineLvl w:val="2"/>
        <w:rPr>
          <w:rFonts w:ascii="仿宋" w:hAnsi="仿宋" w:eastAsia="仿宋"/>
          <w:color w:val="FF0000"/>
          <w:sz w:val="32"/>
          <w:szCs w:val="32"/>
        </w:rPr>
      </w:pPr>
      <w:bookmarkStart w:id="57" w:name="_Toc15377444"/>
      <w:bookmarkStart w:id="58" w:name="_Toc52180084"/>
      <w:bookmarkStart w:id="59" w:name="_Toc15378460"/>
      <w:bookmarkStart w:id="60" w:name="_Toc15377213"/>
      <w:r>
        <w:rPr>
          <w:rFonts w:hint="eastAsia" w:ascii="仿宋" w:hAnsi="仿宋" w:eastAsia="仿宋"/>
          <w:color w:val="000000" w:themeColor="text1"/>
          <w:sz w:val="32"/>
          <w:szCs w:val="32"/>
          <w14:textFill>
            <w14:solidFill>
              <w14:schemeClr w14:val="tx1"/>
            </w14:solidFill>
          </w14:textFill>
        </w:rPr>
        <w:t>2020年一般公共预算支出决算数为</w:t>
      </w:r>
      <w:r>
        <w:rPr>
          <w:rFonts w:ascii="仿宋" w:hAnsi="仿宋" w:eastAsia="仿宋"/>
          <w:color w:val="000000" w:themeColor="text1"/>
          <w:sz w:val="32"/>
          <w:szCs w:val="32"/>
          <w14:textFill>
            <w14:solidFill>
              <w14:schemeClr w14:val="tx1"/>
            </w14:solidFill>
          </w14:textFill>
        </w:rPr>
        <w:t>8200.59</w:t>
      </w:r>
      <w:r>
        <w:rPr>
          <w:rFonts w:hint="eastAsia" w:ascii="仿宋" w:hAnsi="仿宋" w:eastAsia="仿宋"/>
          <w:color w:val="000000" w:themeColor="text1"/>
          <w:sz w:val="32"/>
          <w:szCs w:val="32"/>
          <w14:textFill>
            <w14:solidFill>
              <w14:schemeClr w14:val="tx1"/>
            </w14:solidFill>
          </w14:textFill>
        </w:rPr>
        <w:t>万元，</w:t>
      </w:r>
      <w:r>
        <w:rPr>
          <w:rStyle w:val="15"/>
          <w:rFonts w:hint="eastAsia" w:ascii="仿宋" w:hAnsi="仿宋" w:eastAsia="仿宋"/>
          <w:b w:val="0"/>
          <w:bCs/>
          <w:color w:val="000000" w:themeColor="text1"/>
          <w:sz w:val="32"/>
          <w:szCs w:val="32"/>
          <w14:textFill>
            <w14:solidFill>
              <w14:schemeClr w14:val="tx1"/>
            </w14:solidFill>
          </w14:textFill>
        </w:rPr>
        <w:t>完成</w:t>
      </w:r>
      <w:r>
        <w:rPr>
          <w:rStyle w:val="15"/>
          <w:rFonts w:hint="eastAsia" w:ascii="仿宋" w:hAnsi="仿宋" w:eastAsia="仿宋"/>
          <w:b w:val="0"/>
          <w:bCs/>
          <w:color w:val="000000"/>
          <w:sz w:val="32"/>
          <w:szCs w:val="32"/>
        </w:rPr>
        <w:t>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。其中：</w:t>
      </w:r>
      <w:bookmarkEnd w:id="57"/>
      <w:bookmarkEnd w:id="58"/>
      <w:bookmarkEnd w:id="59"/>
      <w:bookmarkEnd w:id="60"/>
    </w:p>
    <w:p w14:paraId="304C063E">
      <w:pPr>
        <w:tabs>
          <w:tab w:val="left" w:pos="312"/>
        </w:tabs>
        <w:spacing w:line="600" w:lineRule="exact"/>
        <w:ind w:firstLine="630" w:firstLineChars="196"/>
        <w:rPr>
          <w:rFonts w:ascii="仿宋" w:hAnsi="仿宋" w:eastAsia="仿宋"/>
          <w:b/>
          <w:color w:val="000000"/>
          <w:sz w:val="32"/>
          <w:szCs w:val="32"/>
        </w:rPr>
      </w:pPr>
      <w:r>
        <w:rPr>
          <w:rStyle w:val="15"/>
          <w:rFonts w:hint="eastAsia" w:ascii="仿宋" w:hAnsi="仿宋" w:eastAsia="仿宋"/>
          <w:bCs/>
          <w:color w:val="000000"/>
          <w:sz w:val="32"/>
          <w:szCs w:val="32"/>
        </w:rPr>
        <w:t>1.社会保障和就业208</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253.85</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，决算数等于预算数的主要原因是人员经费按需下达。</w:t>
      </w:r>
    </w:p>
    <w:p w14:paraId="10223213">
      <w:pPr>
        <w:tabs>
          <w:tab w:val="left" w:pos="312"/>
        </w:tabs>
        <w:spacing w:line="600" w:lineRule="exact"/>
        <w:ind w:firstLine="630" w:firstLineChars="196"/>
        <w:rPr>
          <w:rStyle w:val="15"/>
          <w:rFonts w:hint="eastAsia" w:ascii="仿宋" w:hAnsi="仿宋" w:eastAsia="仿宋"/>
          <w:b w:val="0"/>
          <w:bCs/>
          <w:color w:val="000000"/>
          <w:sz w:val="32"/>
          <w:szCs w:val="32"/>
        </w:rPr>
      </w:pPr>
      <w:r>
        <w:rPr>
          <w:rStyle w:val="15"/>
          <w:rFonts w:hint="eastAsia" w:ascii="仿宋" w:hAnsi="仿宋" w:eastAsia="仿宋"/>
          <w:bCs/>
          <w:color w:val="000000"/>
          <w:sz w:val="32"/>
          <w:szCs w:val="32"/>
        </w:rPr>
        <w:t>2.卫生健康支出210：</w:t>
      </w:r>
      <w:r>
        <w:rPr>
          <w:rStyle w:val="15"/>
          <w:rFonts w:hint="eastAsia" w:ascii="仿宋" w:hAnsi="仿宋" w:eastAsia="仿宋"/>
          <w:b w:val="0"/>
          <w:bCs/>
          <w:color w:val="000000"/>
          <w:sz w:val="32"/>
          <w:szCs w:val="32"/>
        </w:rPr>
        <w:t>支出决算为1万元，完成预算100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，决算数等于预算数的主要原因是人员经费按需下达。</w:t>
      </w:r>
    </w:p>
    <w:p w14:paraId="5279DF2A">
      <w:pPr>
        <w:tabs>
          <w:tab w:val="left" w:pos="312"/>
        </w:tabs>
        <w:spacing w:line="600" w:lineRule="exact"/>
        <w:ind w:firstLine="630" w:firstLineChars="196"/>
        <w:rPr>
          <w:rStyle w:val="15"/>
          <w:rFonts w:ascii="仿宋" w:hAnsi="仿宋" w:eastAsia="仿宋"/>
          <w:b w:val="0"/>
          <w:bCs/>
          <w:color w:val="000000"/>
          <w:sz w:val="32"/>
          <w:szCs w:val="32"/>
        </w:rPr>
      </w:pPr>
      <w:r>
        <w:rPr>
          <w:rStyle w:val="15"/>
          <w:rFonts w:hint="eastAsia" w:ascii="仿宋" w:hAnsi="仿宋" w:eastAsia="仿宋"/>
          <w:bCs/>
          <w:color w:val="000000"/>
          <w:sz w:val="32"/>
          <w:szCs w:val="32"/>
        </w:rPr>
        <w:t>3.节能环保支出211</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597.26</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，决算数大于预算数的主要原因是中途追加惠民补贴。</w:t>
      </w:r>
    </w:p>
    <w:p w14:paraId="6809B33F">
      <w:pPr>
        <w:spacing w:line="600" w:lineRule="exact"/>
        <w:ind w:firstLine="643" w:firstLineChars="200"/>
        <w:rPr>
          <w:rFonts w:ascii="仿宋" w:hAnsi="仿宋" w:eastAsia="仿宋"/>
          <w:b/>
          <w:color w:val="000000"/>
          <w:sz w:val="32"/>
          <w:szCs w:val="32"/>
        </w:rPr>
      </w:pPr>
      <w:r>
        <w:rPr>
          <w:rStyle w:val="15"/>
          <w:rFonts w:hint="eastAsia" w:ascii="仿宋" w:hAnsi="仿宋" w:eastAsia="仿宋"/>
          <w:bCs/>
          <w:color w:val="000000"/>
          <w:sz w:val="32"/>
          <w:szCs w:val="32"/>
        </w:rPr>
        <w:t>4.农林水支出213</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3040.01</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，决算数大于预算数的主要原因是中途追加预算。</w:t>
      </w:r>
    </w:p>
    <w:p w14:paraId="2E355696">
      <w:pPr>
        <w:spacing w:line="600" w:lineRule="exact"/>
        <w:ind w:firstLine="643" w:firstLineChars="200"/>
        <w:rPr>
          <w:rFonts w:ascii="仿宋" w:hAnsi="仿宋" w:eastAsia="仿宋"/>
          <w:b/>
          <w:color w:val="000000"/>
          <w:sz w:val="32"/>
          <w:szCs w:val="32"/>
        </w:rPr>
      </w:pPr>
      <w:r>
        <w:rPr>
          <w:rStyle w:val="15"/>
          <w:rFonts w:hint="eastAsia" w:ascii="仿宋" w:hAnsi="仿宋" w:eastAsia="仿宋"/>
          <w:bCs/>
          <w:color w:val="000000"/>
          <w:sz w:val="32"/>
          <w:szCs w:val="32"/>
        </w:rPr>
        <w:t>5</w:t>
      </w:r>
      <w:r>
        <w:rPr>
          <w:rStyle w:val="15"/>
          <w:rFonts w:ascii="仿宋" w:hAnsi="仿宋" w:eastAsia="仿宋"/>
          <w:bCs/>
          <w:color w:val="000000"/>
          <w:sz w:val="32"/>
          <w:szCs w:val="32"/>
        </w:rPr>
        <w:t>.</w:t>
      </w:r>
      <w:r>
        <w:rPr>
          <w:rStyle w:val="15"/>
          <w:rFonts w:hint="eastAsia" w:ascii="仿宋" w:hAnsi="仿宋" w:eastAsia="仿宋"/>
          <w:bCs/>
          <w:color w:val="000000"/>
          <w:sz w:val="32"/>
          <w:szCs w:val="32"/>
        </w:rPr>
        <w:t>自然资源海洋气象等支出220</w:t>
      </w:r>
      <w:r>
        <w:rPr>
          <w:rStyle w:val="15"/>
          <w:rFonts w:hint="eastAsia" w:ascii="仿宋" w:hAnsi="仿宋" w:eastAsia="仿宋"/>
          <w:bCs/>
          <w:color w:val="000000"/>
          <w:sz w:val="32"/>
          <w:szCs w:val="32"/>
          <w:lang w:eastAsia="zh-CN"/>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3023.82</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，决算数小于预算数的主要原因是人员减少。</w:t>
      </w:r>
    </w:p>
    <w:p w14:paraId="32B13433">
      <w:pPr>
        <w:spacing w:line="600" w:lineRule="exact"/>
        <w:ind w:firstLine="643" w:firstLineChars="200"/>
        <w:rPr>
          <w:rFonts w:ascii="仿宋" w:hAnsi="仿宋" w:eastAsia="仿宋"/>
          <w:b/>
          <w:color w:val="000000"/>
          <w:sz w:val="32"/>
          <w:szCs w:val="32"/>
        </w:rPr>
      </w:pPr>
      <w:r>
        <w:rPr>
          <w:rStyle w:val="15"/>
          <w:rFonts w:ascii="仿宋" w:hAnsi="仿宋" w:eastAsia="仿宋"/>
          <w:bCs/>
          <w:color w:val="000000"/>
          <w:sz w:val="32"/>
          <w:szCs w:val="32"/>
        </w:rPr>
        <w:t>6.</w:t>
      </w:r>
      <w:r>
        <w:rPr>
          <w:rFonts w:hint="eastAsia" w:ascii="仿宋" w:hAnsi="仿宋" w:eastAsia="仿宋"/>
          <w:b/>
          <w:bCs/>
          <w:color w:val="000000" w:themeColor="text1"/>
          <w:sz w:val="32"/>
          <w:szCs w:val="32"/>
          <w14:textFill>
            <w14:solidFill>
              <w14:schemeClr w14:val="tx1"/>
            </w14:solidFill>
          </w14:textFill>
        </w:rPr>
        <w:t>住房保障支出</w:t>
      </w:r>
      <w:r>
        <w:rPr>
          <w:rFonts w:hint="eastAsia" w:ascii="仿宋" w:hAnsi="仿宋" w:eastAsia="仿宋"/>
          <w:b/>
          <w:bCs/>
          <w:color w:val="000000" w:themeColor="text1"/>
          <w:sz w:val="32"/>
          <w:szCs w:val="32"/>
          <w:lang w:eastAsia="zh-CN"/>
          <w14:textFill>
            <w14:solidFill>
              <w14:schemeClr w14:val="tx1"/>
            </w14:solidFill>
          </w14:textFill>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182.44</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，决算数等于预算数。</w:t>
      </w:r>
    </w:p>
    <w:p w14:paraId="6DAEC44C">
      <w:pPr>
        <w:spacing w:line="600" w:lineRule="exact"/>
        <w:ind w:firstLine="643" w:firstLineChars="200"/>
        <w:rPr>
          <w:rFonts w:ascii="仿宋" w:hAnsi="仿宋" w:eastAsia="仿宋"/>
          <w:b/>
          <w:color w:val="000000"/>
          <w:sz w:val="32"/>
          <w:szCs w:val="32"/>
        </w:rPr>
      </w:pPr>
      <w:r>
        <w:rPr>
          <w:rStyle w:val="15"/>
          <w:rFonts w:hint="eastAsia" w:ascii="仿宋" w:hAnsi="仿宋" w:eastAsia="仿宋"/>
          <w:bCs/>
          <w:color w:val="000000"/>
          <w:sz w:val="32"/>
          <w:szCs w:val="32"/>
        </w:rPr>
        <w:t>7</w:t>
      </w:r>
      <w:r>
        <w:rPr>
          <w:rStyle w:val="15"/>
          <w:rFonts w:ascii="仿宋" w:hAnsi="仿宋" w:eastAsia="仿宋"/>
          <w:bCs/>
          <w:color w:val="000000"/>
          <w:sz w:val="32"/>
          <w:szCs w:val="32"/>
        </w:rPr>
        <w:t>.</w:t>
      </w:r>
      <w:r>
        <w:rPr>
          <w:rFonts w:hint="eastAsia" w:ascii="仿宋" w:hAnsi="仿宋" w:eastAsia="仿宋"/>
          <w:b/>
          <w:bCs/>
          <w:color w:val="000000" w:themeColor="text1"/>
          <w:sz w:val="32"/>
          <w:szCs w:val="32"/>
          <w14:textFill>
            <w14:solidFill>
              <w14:schemeClr w14:val="tx1"/>
            </w14:solidFill>
          </w14:textFill>
        </w:rPr>
        <w:t>灾害防治及应急管理支出</w:t>
      </w:r>
      <w:r>
        <w:rPr>
          <w:rFonts w:hint="eastAsia" w:ascii="仿宋" w:hAnsi="仿宋" w:eastAsia="仿宋"/>
          <w:b/>
          <w:bCs/>
          <w:color w:val="000000" w:themeColor="text1"/>
          <w:sz w:val="32"/>
          <w:szCs w:val="32"/>
          <w:lang w:eastAsia="zh-CN"/>
          <w14:textFill>
            <w14:solidFill>
              <w14:schemeClr w14:val="tx1"/>
            </w14:solidFill>
          </w14:textFill>
        </w:rPr>
        <w:t>：</w:t>
      </w:r>
      <w:r>
        <w:rPr>
          <w:rStyle w:val="15"/>
          <w:rFonts w:hint="eastAsia" w:ascii="仿宋" w:hAnsi="仿宋" w:eastAsia="仿宋"/>
          <w:b w:val="0"/>
          <w:bCs/>
          <w:color w:val="000000"/>
          <w:sz w:val="32"/>
          <w:szCs w:val="32"/>
        </w:rPr>
        <w:t>支出决算为</w:t>
      </w:r>
      <w:r>
        <w:rPr>
          <w:rStyle w:val="15"/>
          <w:rFonts w:ascii="仿宋" w:hAnsi="仿宋" w:eastAsia="仿宋"/>
          <w:b w:val="0"/>
          <w:bCs/>
          <w:color w:val="000000"/>
          <w:sz w:val="32"/>
          <w:szCs w:val="32"/>
        </w:rPr>
        <w:t>1102.21</w:t>
      </w:r>
      <w:r>
        <w:rPr>
          <w:rStyle w:val="15"/>
          <w:rFonts w:hint="eastAsia" w:ascii="仿宋" w:hAnsi="仿宋" w:eastAsia="仿宋"/>
          <w:b w:val="0"/>
          <w:bCs/>
          <w:color w:val="000000"/>
          <w:sz w:val="32"/>
          <w:szCs w:val="32"/>
        </w:rPr>
        <w:t>万元，完成预算100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，决算数大于预算数中途有追加预算。</w:t>
      </w:r>
    </w:p>
    <w:p w14:paraId="3FE9D9B8">
      <w:pPr>
        <w:tabs>
          <w:tab w:val="right" w:pos="8306"/>
        </w:tabs>
        <w:spacing w:line="600" w:lineRule="exact"/>
        <w:ind w:firstLine="640"/>
        <w:outlineLvl w:val="1"/>
        <w:rPr>
          <w:rStyle w:val="26"/>
        </w:rPr>
      </w:pPr>
      <w:bookmarkStart w:id="61" w:name="_Toc15396608"/>
      <w:bookmarkStart w:id="62" w:name="_Toc15377214"/>
      <w:bookmarkStart w:id="63" w:name="_Toc52180085"/>
      <w:r>
        <w:rPr>
          <w:rFonts w:hint="eastAsia" w:ascii="黑体" w:eastAsia="黑体"/>
          <w:color w:val="000000"/>
          <w:sz w:val="32"/>
          <w:szCs w:val="32"/>
        </w:rPr>
        <w:t>六</w:t>
      </w:r>
      <w:r>
        <w:rPr>
          <w:rFonts w:hint="eastAsia" w:ascii="黑体" w:eastAsia="黑体"/>
          <w:b/>
          <w:color w:val="000000"/>
          <w:sz w:val="32"/>
          <w:szCs w:val="32"/>
        </w:rPr>
        <w:t>、</w:t>
      </w:r>
      <w:r>
        <w:rPr>
          <w:rFonts w:hint="eastAsia" w:ascii="黑体" w:hAnsi="黑体" w:eastAsia="黑体"/>
          <w:b/>
          <w:color w:val="000000"/>
          <w:sz w:val="32"/>
          <w:szCs w:val="32"/>
        </w:rPr>
        <w:t>一</w:t>
      </w:r>
      <w:r>
        <w:rPr>
          <w:rStyle w:val="26"/>
          <w:rFonts w:hint="eastAsia" w:ascii="黑体" w:hAnsi="黑体" w:eastAsia="黑体"/>
          <w:b w:val="0"/>
        </w:rPr>
        <w:t>般公共预算财政拨款基本支出决算情况说明</w:t>
      </w:r>
      <w:bookmarkEnd w:id="61"/>
      <w:bookmarkEnd w:id="62"/>
      <w:bookmarkEnd w:id="63"/>
      <w:r>
        <w:rPr>
          <w:rStyle w:val="26"/>
          <w:rFonts w:ascii="黑体" w:hAnsi="黑体" w:eastAsia="黑体"/>
          <w:b w:val="0"/>
        </w:rPr>
        <w:tab/>
      </w:r>
    </w:p>
    <w:p w14:paraId="128D38C9">
      <w:pPr>
        <w:spacing w:line="600" w:lineRule="exact"/>
        <w:ind w:firstLine="645"/>
        <w:rPr>
          <w:rFonts w:ascii="仿宋" w:hAnsi="仿宋" w:eastAsia="仿宋"/>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rPr>
        <w:t>20年一般公共预算财政拨款基本支出</w:t>
      </w:r>
      <w:r>
        <w:rPr>
          <w:rFonts w:ascii="仿宋" w:hAnsi="仿宋" w:eastAsia="仿宋"/>
          <w:color w:val="000000"/>
          <w:sz w:val="32"/>
          <w:szCs w:val="32"/>
        </w:rPr>
        <w:t>2117.4</w:t>
      </w:r>
      <w:r>
        <w:rPr>
          <w:rFonts w:hint="eastAsia" w:ascii="仿宋" w:hAnsi="仿宋" w:eastAsia="仿宋"/>
          <w:color w:val="000000"/>
          <w:sz w:val="32"/>
          <w:szCs w:val="32"/>
        </w:rPr>
        <w:t>5万元，其中：</w:t>
      </w:r>
    </w:p>
    <w:p w14:paraId="5C622D74">
      <w:pPr>
        <w:spacing w:line="600" w:lineRule="exact"/>
        <w:ind w:firstLine="645"/>
        <w:rPr>
          <w:rFonts w:ascii="仿宋" w:hAnsi="仿宋" w:eastAsia="仿宋"/>
          <w:color w:val="000000"/>
          <w:sz w:val="32"/>
          <w:szCs w:val="32"/>
        </w:rPr>
      </w:pPr>
      <w:r>
        <w:rPr>
          <w:rFonts w:hint="eastAsia" w:ascii="仿宋" w:hAnsi="仿宋" w:eastAsia="仿宋"/>
          <w:color w:val="000000"/>
          <w:sz w:val="32"/>
          <w:szCs w:val="32"/>
        </w:rPr>
        <w:t>人员经费</w:t>
      </w:r>
      <w:r>
        <w:rPr>
          <w:rFonts w:ascii="仿宋" w:hAnsi="仿宋" w:eastAsia="仿宋"/>
          <w:color w:val="000000"/>
          <w:sz w:val="32"/>
          <w:szCs w:val="32"/>
        </w:rPr>
        <w:t>1</w:t>
      </w:r>
      <w:r>
        <w:rPr>
          <w:rFonts w:hint="eastAsia" w:ascii="仿宋" w:hAnsi="仿宋" w:eastAsia="仿宋"/>
          <w:color w:val="000000"/>
          <w:sz w:val="32"/>
          <w:szCs w:val="32"/>
        </w:rPr>
        <w:t>969.67万元，主要包括：基本工资、津贴补贴、奖金、绩效工资、机关事业单位基本养老保险缴费、职业年金缴费、其他社会保障缴费、其他工资福利支出、离休费、退休费、抚恤金、生活补助、医疗费补助、奖励金、住房公积金、其他对个人和家庭的补助支出等。</w:t>
      </w:r>
      <w:r>
        <w:rPr>
          <w:rFonts w:ascii="仿宋" w:hAnsi="仿宋" w:eastAsia="仿宋"/>
          <w:color w:val="000000"/>
          <w:sz w:val="32"/>
          <w:szCs w:val="32"/>
        </w:rPr>
        <w:br w:type="textWrapping"/>
      </w:r>
      <w:r>
        <w:rPr>
          <w:rFonts w:hint="eastAsia" w:ascii="仿宋" w:hAnsi="仿宋" w:eastAsia="仿宋"/>
          <w:color w:val="000000"/>
          <w:sz w:val="32"/>
          <w:szCs w:val="32"/>
        </w:rPr>
        <w:t xml:space="preserve">    日常公用经费</w:t>
      </w:r>
      <w:r>
        <w:rPr>
          <w:rFonts w:ascii="仿宋" w:hAnsi="仿宋" w:eastAsia="仿宋"/>
          <w:color w:val="000000"/>
          <w:sz w:val="32"/>
          <w:szCs w:val="32"/>
        </w:rPr>
        <w:t>147.78</w:t>
      </w:r>
      <w:r>
        <w:rPr>
          <w:rFonts w:hint="eastAsia" w:ascii="仿宋" w:hAnsi="仿宋" w:eastAsia="仿宋"/>
          <w:color w:val="000000"/>
          <w:sz w:val="32"/>
          <w:szCs w:val="32"/>
        </w:rPr>
        <w:t>万元，主要包括：办公费、水费、电费、邮电费、差旅费、维修（护）费、会议费、培训费、公务接待费、劳务费、委托业务费、工会经费、福利费、公务用车运行维护费、其他交通费、其他商品和服务支出等。</w:t>
      </w:r>
    </w:p>
    <w:p w14:paraId="20712A17">
      <w:pPr>
        <w:spacing w:line="600" w:lineRule="exact"/>
        <w:ind w:firstLine="640"/>
        <w:outlineLvl w:val="1"/>
        <w:rPr>
          <w:rStyle w:val="26"/>
          <w:rFonts w:ascii="黑体" w:hAnsi="黑体" w:eastAsia="黑体"/>
          <w:b w:val="0"/>
        </w:rPr>
      </w:pPr>
      <w:bookmarkStart w:id="64" w:name="_Toc15396609"/>
      <w:bookmarkStart w:id="65" w:name="_Toc52180086"/>
      <w:bookmarkStart w:id="66" w:name="_Toc15377215"/>
      <w:r>
        <w:rPr>
          <w:rFonts w:hint="eastAsia" w:ascii="黑体" w:eastAsia="黑体"/>
          <w:color w:val="000000"/>
          <w:sz w:val="32"/>
          <w:szCs w:val="32"/>
        </w:rPr>
        <w:t>七、</w:t>
      </w:r>
      <w:r>
        <w:rPr>
          <w:rStyle w:val="26"/>
          <w:rFonts w:hint="eastAsia" w:ascii="黑体" w:hAnsi="黑体" w:eastAsia="黑体"/>
        </w:rPr>
        <w:t>“</w:t>
      </w:r>
      <w:r>
        <w:rPr>
          <w:rStyle w:val="26"/>
          <w:rFonts w:hint="eastAsia" w:ascii="黑体" w:hAnsi="黑体" w:eastAsia="黑体"/>
          <w:b w:val="0"/>
        </w:rPr>
        <w:t>三公”经费财政拨款支出决算情况说明</w:t>
      </w:r>
      <w:bookmarkEnd w:id="64"/>
      <w:bookmarkEnd w:id="65"/>
      <w:bookmarkEnd w:id="66"/>
    </w:p>
    <w:p w14:paraId="495DB86C">
      <w:pPr>
        <w:spacing w:line="600" w:lineRule="exact"/>
        <w:ind w:firstLine="640"/>
        <w:outlineLvl w:val="2"/>
        <w:rPr>
          <w:rFonts w:ascii="仿宋" w:hAnsi="仿宋" w:eastAsia="仿宋"/>
          <w:b/>
          <w:color w:val="000000"/>
          <w:sz w:val="32"/>
          <w:szCs w:val="32"/>
        </w:rPr>
      </w:pPr>
      <w:bookmarkStart w:id="67" w:name="_Toc52180087"/>
      <w:bookmarkStart w:id="68" w:name="_Toc15377216"/>
      <w:r>
        <w:rPr>
          <w:rFonts w:hint="eastAsia" w:ascii="仿宋" w:hAnsi="仿宋" w:eastAsia="仿宋"/>
          <w:b/>
          <w:color w:val="000000"/>
          <w:sz w:val="32"/>
          <w:szCs w:val="32"/>
        </w:rPr>
        <w:t>（一）“三公”经费财政拨款支出决算总体情况说明</w:t>
      </w:r>
      <w:bookmarkEnd w:id="67"/>
      <w:bookmarkEnd w:id="68"/>
    </w:p>
    <w:p w14:paraId="37947577">
      <w:pPr>
        <w:spacing w:line="600" w:lineRule="exact"/>
        <w:ind w:firstLine="640"/>
        <w:rPr>
          <w:rFonts w:ascii="仿宋" w:hAnsi="仿宋" w:eastAsia="仿宋"/>
          <w:b/>
          <w:color w:val="FF0000"/>
          <w:sz w:val="32"/>
          <w:szCs w:val="32"/>
        </w:rPr>
      </w:pPr>
      <w:r>
        <w:rPr>
          <w:rFonts w:ascii="仿宋" w:hAnsi="仿宋" w:eastAsia="仿宋"/>
          <w:color w:val="000000"/>
          <w:sz w:val="32"/>
          <w:szCs w:val="32"/>
        </w:rPr>
        <w:t>20</w:t>
      </w:r>
      <w:r>
        <w:rPr>
          <w:rFonts w:hint="eastAsia" w:ascii="仿宋" w:hAnsi="仿宋" w:eastAsia="仿宋"/>
          <w:color w:val="000000"/>
          <w:sz w:val="32"/>
          <w:szCs w:val="32"/>
        </w:rPr>
        <w:t>20年“三公”经费财政拨款支出决算为</w:t>
      </w:r>
      <w:r>
        <w:rPr>
          <w:rFonts w:ascii="仿宋" w:hAnsi="仿宋" w:eastAsia="仿宋"/>
          <w:color w:val="000000"/>
          <w:sz w:val="32"/>
          <w:szCs w:val="32"/>
        </w:rPr>
        <w:t>3.</w:t>
      </w:r>
      <w:r>
        <w:rPr>
          <w:rFonts w:hint="eastAsia" w:ascii="仿宋" w:hAnsi="仿宋" w:eastAsia="仿宋"/>
          <w:color w:val="000000"/>
          <w:sz w:val="32"/>
          <w:szCs w:val="32"/>
        </w:rPr>
        <w:t>32万元，完成预算100</w:t>
      </w:r>
      <w:r>
        <w:rPr>
          <w:rFonts w:ascii="仿宋" w:hAnsi="仿宋" w:eastAsia="仿宋"/>
          <w:color w:val="000000"/>
          <w:sz w:val="32"/>
          <w:szCs w:val="32"/>
        </w:rPr>
        <w:t>%</w:t>
      </w:r>
      <w:r>
        <w:rPr>
          <w:rFonts w:hint="eastAsia" w:ascii="仿宋" w:hAnsi="仿宋" w:eastAsia="仿宋"/>
          <w:color w:val="000000"/>
          <w:sz w:val="32"/>
          <w:szCs w:val="32"/>
        </w:rPr>
        <w:t>，决算数与预算数持平的主要原因是严格管控“三公”经费支出。</w:t>
      </w:r>
    </w:p>
    <w:p w14:paraId="1EE768A9">
      <w:pPr>
        <w:spacing w:line="600" w:lineRule="exact"/>
        <w:ind w:firstLine="640"/>
        <w:outlineLvl w:val="2"/>
        <w:rPr>
          <w:rFonts w:ascii="仿宋" w:hAnsi="仿宋" w:eastAsia="仿宋"/>
          <w:b/>
          <w:color w:val="000000"/>
          <w:sz w:val="32"/>
          <w:szCs w:val="32"/>
        </w:rPr>
      </w:pPr>
      <w:bookmarkStart w:id="69" w:name="_Toc52180088"/>
      <w:bookmarkStart w:id="70" w:name="_Toc15377217"/>
      <w:r>
        <w:rPr>
          <w:rFonts w:hint="eastAsia" w:ascii="仿宋" w:hAnsi="仿宋" w:eastAsia="仿宋"/>
          <w:b/>
          <w:color w:val="000000"/>
          <w:sz w:val="32"/>
          <w:szCs w:val="32"/>
        </w:rPr>
        <w:t>（二）“三公”经费财政拨款支出决算具体情况说明</w:t>
      </w:r>
      <w:bookmarkEnd w:id="69"/>
      <w:bookmarkEnd w:id="70"/>
    </w:p>
    <w:p w14:paraId="1305B104">
      <w:pPr>
        <w:spacing w:line="600" w:lineRule="exact"/>
        <w:ind w:firstLine="640"/>
        <w:rPr>
          <w:rFonts w:ascii="仿宋" w:hAnsi="仿宋" w:eastAsia="仿宋"/>
          <w:color w:val="000000"/>
          <w:sz w:val="32"/>
          <w:szCs w:val="32"/>
        </w:rPr>
      </w:pPr>
      <w:r>
        <w:rPr>
          <w:rFonts w:ascii="仿宋" w:hAnsi="仿宋" w:eastAsia="仿宋"/>
          <w:color w:val="000000"/>
          <w:sz w:val="32"/>
          <w:szCs w:val="32"/>
        </w:rPr>
        <w:t>20</w:t>
      </w:r>
      <w:r>
        <w:rPr>
          <w:rFonts w:hint="eastAsia" w:ascii="仿宋" w:hAnsi="仿宋" w:eastAsia="仿宋"/>
          <w:color w:val="000000"/>
          <w:sz w:val="32"/>
          <w:szCs w:val="32"/>
        </w:rPr>
        <w:t>20年“三公”经费财政拨款支出决算中，因公出国（境）费支出决算0万元，占0</w:t>
      </w:r>
      <w:r>
        <w:rPr>
          <w:rFonts w:ascii="仿宋" w:hAnsi="仿宋" w:eastAsia="仿宋"/>
          <w:color w:val="000000"/>
          <w:sz w:val="32"/>
          <w:szCs w:val="32"/>
        </w:rPr>
        <w:t>%</w:t>
      </w:r>
      <w:r>
        <w:rPr>
          <w:rFonts w:hint="eastAsia" w:ascii="仿宋" w:hAnsi="仿宋" w:eastAsia="仿宋"/>
          <w:color w:val="000000"/>
          <w:sz w:val="32"/>
          <w:szCs w:val="32"/>
        </w:rPr>
        <w:t>；公务用车购置及运行维护费支出决算1.77万元，占53.31</w:t>
      </w:r>
      <w:r>
        <w:rPr>
          <w:rFonts w:ascii="仿宋" w:hAnsi="仿宋" w:eastAsia="仿宋"/>
          <w:color w:val="000000"/>
          <w:sz w:val="32"/>
          <w:szCs w:val="32"/>
        </w:rPr>
        <w:t>%</w:t>
      </w:r>
      <w:r>
        <w:rPr>
          <w:rFonts w:hint="eastAsia" w:ascii="仿宋" w:hAnsi="仿宋" w:eastAsia="仿宋"/>
          <w:color w:val="000000"/>
          <w:sz w:val="32"/>
          <w:szCs w:val="32"/>
        </w:rPr>
        <w:t>；公务接待费支出决算1.55万元，占46.69</w:t>
      </w:r>
      <w:r>
        <w:rPr>
          <w:rFonts w:ascii="仿宋" w:hAnsi="仿宋" w:eastAsia="仿宋"/>
          <w:color w:val="000000"/>
          <w:sz w:val="32"/>
          <w:szCs w:val="32"/>
        </w:rPr>
        <w:t>%</w:t>
      </w:r>
      <w:r>
        <w:rPr>
          <w:rFonts w:hint="eastAsia" w:ascii="仿宋" w:hAnsi="仿宋" w:eastAsia="仿宋"/>
          <w:color w:val="000000"/>
          <w:sz w:val="32"/>
          <w:szCs w:val="32"/>
        </w:rPr>
        <w:t>。具体情况如下：</w:t>
      </w:r>
    </w:p>
    <w:p w14:paraId="50EF261B">
      <w:pPr>
        <w:spacing w:line="600" w:lineRule="exact"/>
        <w:ind w:firstLine="640"/>
        <w:rPr>
          <w:rFonts w:ascii="仿宋" w:hAnsi="仿宋" w:eastAsia="仿宋"/>
          <w:color w:val="000000"/>
          <w:sz w:val="32"/>
          <w:szCs w:val="32"/>
        </w:rPr>
      </w:pPr>
    </w:p>
    <w:p w14:paraId="10140BFF">
      <w:pPr>
        <w:spacing w:line="600" w:lineRule="exact"/>
        <w:ind w:firstLine="640"/>
        <w:rPr>
          <w:rFonts w:ascii="仿宋" w:hAnsi="仿宋" w:eastAsia="仿宋"/>
          <w:color w:val="000000"/>
          <w:sz w:val="32"/>
          <w:szCs w:val="32"/>
        </w:rPr>
      </w:pPr>
      <w:r>
        <w:rPr>
          <w:rFonts w:hint="eastAsia" w:ascii="仿宋" w:hAnsi="仿宋" w:eastAsia="仿宋"/>
          <w:color w:val="000000"/>
          <w:sz w:val="32"/>
          <w:szCs w:val="32"/>
        </w:rPr>
        <w:t>（图7：“三公”经费财政拨款支出结构）（饼状图）</w:t>
      </w:r>
    </w:p>
    <w:p w14:paraId="58877405">
      <w:pPr>
        <w:spacing w:line="6000" w:lineRule="exact"/>
        <w:ind w:firstLine="641"/>
        <w:rPr>
          <w:rFonts w:ascii="仿宋" w:hAnsi="仿宋" w:eastAsia="仿宋"/>
          <w:color w:val="000000"/>
          <w:sz w:val="32"/>
          <w:szCs w:val="32"/>
        </w:rPr>
      </w:pPr>
      <w:r>
        <w:drawing>
          <wp:inline distT="0" distB="0" distL="0" distR="0">
            <wp:extent cx="5274310" cy="2743200"/>
            <wp:effectExtent l="0" t="0" r="21590" b="1905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306C796">
      <w:pPr>
        <w:spacing w:line="600" w:lineRule="exact"/>
        <w:ind w:firstLine="640"/>
        <w:rPr>
          <w:rFonts w:ascii="仿宋_GB2312" w:eastAsia="仿宋_GB2312"/>
          <w:color w:val="000000"/>
          <w:sz w:val="32"/>
          <w:szCs w:val="32"/>
        </w:rPr>
      </w:pPr>
      <w:r>
        <w:rPr>
          <w:rFonts w:ascii="仿宋_GB2312" w:eastAsia="仿宋_GB2312"/>
          <w:b/>
          <w:color w:val="000000"/>
          <w:sz w:val="32"/>
          <w:szCs w:val="32"/>
        </w:rPr>
        <w:t>1.</w:t>
      </w:r>
      <w:r>
        <w:rPr>
          <w:rFonts w:hint="eastAsia" w:ascii="仿宋_GB2312" w:eastAsia="仿宋_GB2312"/>
          <w:b/>
          <w:color w:val="000000"/>
          <w:sz w:val="32"/>
          <w:szCs w:val="32"/>
        </w:rPr>
        <w:t>因公出国（境）经费支出</w:t>
      </w:r>
      <w:r>
        <w:rPr>
          <w:rFonts w:hint="eastAsia" w:ascii="仿宋_GB2312" w:eastAsia="仿宋_GB2312"/>
          <w:color w:val="000000"/>
          <w:sz w:val="32"/>
          <w:szCs w:val="32"/>
        </w:rPr>
        <w:t>0万元，</w:t>
      </w:r>
      <w:r>
        <w:rPr>
          <w:rStyle w:val="15"/>
          <w:rFonts w:hint="eastAsia" w:ascii="仿宋" w:hAnsi="仿宋" w:eastAsia="仿宋"/>
          <w:b w:val="0"/>
          <w:bCs/>
          <w:color w:val="000000"/>
          <w:sz w:val="32"/>
          <w:szCs w:val="32"/>
        </w:rPr>
        <w:t>完成预算0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全年安排因公出国（境）团组0次，出国（境）0人。</w:t>
      </w:r>
    </w:p>
    <w:p w14:paraId="13ACED4D">
      <w:pPr>
        <w:spacing w:line="600" w:lineRule="exact"/>
        <w:ind w:firstLine="640"/>
        <w:rPr>
          <w:rFonts w:ascii="仿宋_GB2312" w:eastAsia="仿宋_GB2312"/>
          <w:b/>
          <w:color w:val="000000"/>
          <w:sz w:val="32"/>
          <w:szCs w:val="32"/>
        </w:rPr>
      </w:pPr>
      <w:r>
        <w:rPr>
          <w:rFonts w:ascii="仿宋_GB2312" w:eastAsia="仿宋_GB2312"/>
          <w:b/>
          <w:color w:val="000000"/>
          <w:sz w:val="32"/>
          <w:szCs w:val="32"/>
        </w:rPr>
        <w:t>2.</w:t>
      </w:r>
      <w:r>
        <w:rPr>
          <w:rFonts w:hint="eastAsia" w:ascii="仿宋_GB2312" w:eastAsia="仿宋_GB2312"/>
          <w:b/>
          <w:color w:val="000000"/>
          <w:sz w:val="32"/>
          <w:szCs w:val="32"/>
        </w:rPr>
        <w:t>公务用车购置及运行维护费支出</w:t>
      </w:r>
      <w:r>
        <w:rPr>
          <w:rFonts w:hint="eastAsia" w:ascii="仿宋_GB2312" w:eastAsia="仿宋_GB2312"/>
          <w:color w:val="000000"/>
          <w:sz w:val="32"/>
          <w:szCs w:val="32"/>
        </w:rPr>
        <w:t>1.77万元</w:t>
      </w:r>
      <w:r>
        <w:rPr>
          <w:rFonts w:hint="eastAsia" w:ascii="仿宋_GB2312" w:eastAsia="仿宋_GB2312"/>
          <w:color w:val="000000"/>
          <w:sz w:val="32"/>
          <w:szCs w:val="32"/>
          <w:lang w:eastAsia="zh-CN"/>
        </w:rPr>
        <w:t>，</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公务用车购置及运行维护费支出决算比</w:t>
      </w:r>
      <w:r>
        <w:rPr>
          <w:rFonts w:ascii="仿宋_GB2312" w:eastAsia="仿宋_GB2312"/>
          <w:color w:val="000000"/>
          <w:sz w:val="32"/>
          <w:szCs w:val="32"/>
        </w:rPr>
        <w:t>20</w:t>
      </w:r>
      <w:r>
        <w:rPr>
          <w:rFonts w:hint="eastAsia" w:ascii="仿宋_GB2312" w:eastAsia="仿宋_GB2312"/>
          <w:color w:val="000000"/>
          <w:sz w:val="32"/>
          <w:szCs w:val="32"/>
        </w:rPr>
        <w:t>19年减少5.37万元，下降75</w:t>
      </w:r>
      <w:r>
        <w:rPr>
          <w:rFonts w:ascii="仿宋_GB2312" w:eastAsia="仿宋_GB2312"/>
          <w:color w:val="000000"/>
          <w:sz w:val="32"/>
          <w:szCs w:val="32"/>
        </w:rPr>
        <w:t>%</w:t>
      </w:r>
      <w:r>
        <w:rPr>
          <w:rFonts w:hint="eastAsia" w:ascii="仿宋_GB2312" w:eastAsia="仿宋_GB2312"/>
          <w:color w:val="000000"/>
          <w:sz w:val="32"/>
          <w:szCs w:val="32"/>
        </w:rPr>
        <w:t>。主要原因是加强公务用车管控，集中调配，合理安排。</w:t>
      </w:r>
    </w:p>
    <w:p w14:paraId="5BBA3252">
      <w:pPr>
        <w:spacing w:line="600" w:lineRule="exact"/>
        <w:ind w:firstLine="640" w:firstLineChars="200"/>
        <w:rPr>
          <w:rFonts w:ascii="仿宋_GB2312" w:eastAsia="仿宋_GB2312"/>
          <w:color w:val="000000"/>
          <w:sz w:val="32"/>
          <w:szCs w:val="32"/>
        </w:rPr>
      </w:pPr>
      <w:r>
        <w:rPr>
          <w:rFonts w:hint="eastAsia" w:ascii="仿宋_GB2312" w:eastAsia="仿宋_GB2312"/>
          <w:color w:val="000000"/>
          <w:sz w:val="32"/>
          <w:szCs w:val="32"/>
        </w:rPr>
        <w:t>其中：</w:t>
      </w:r>
      <w:r>
        <w:rPr>
          <w:rFonts w:hint="eastAsia" w:ascii="仿宋_GB2312" w:eastAsia="仿宋_GB2312"/>
          <w:b/>
          <w:color w:val="000000"/>
          <w:sz w:val="32"/>
          <w:szCs w:val="32"/>
        </w:rPr>
        <w:t>公务用车购置支出</w:t>
      </w:r>
      <w:r>
        <w:rPr>
          <w:rFonts w:hint="eastAsia" w:ascii="仿宋_GB2312" w:eastAsia="仿宋_GB2312"/>
          <w:color w:val="000000"/>
          <w:sz w:val="32"/>
          <w:szCs w:val="32"/>
        </w:rPr>
        <w:t>0万元。全年按规定更新购置公务用车0辆，金额0</w:t>
      </w:r>
      <w:r>
        <w:rPr>
          <w:rFonts w:ascii="仿宋_GB2312" w:eastAsia="仿宋_GB2312"/>
          <w:color w:val="000000"/>
          <w:sz w:val="32"/>
          <w:szCs w:val="32"/>
        </w:rPr>
        <w:t>元。</w:t>
      </w:r>
      <w:r>
        <w:rPr>
          <w:rFonts w:hint="eastAsia" w:ascii="仿宋_GB2312" w:eastAsia="仿宋_GB2312"/>
          <w:color w:val="000000"/>
          <w:sz w:val="32"/>
          <w:szCs w:val="32"/>
        </w:rPr>
        <w:t>截至</w:t>
      </w:r>
      <w:r>
        <w:rPr>
          <w:rFonts w:ascii="仿宋_GB2312" w:eastAsia="仿宋_GB2312"/>
          <w:color w:val="000000"/>
          <w:sz w:val="32"/>
          <w:szCs w:val="32"/>
        </w:rPr>
        <w:t>20</w:t>
      </w:r>
      <w:r>
        <w:rPr>
          <w:rFonts w:hint="eastAsia" w:ascii="仿宋_GB2312" w:eastAsia="仿宋_GB2312"/>
          <w:color w:val="000000"/>
          <w:sz w:val="32"/>
          <w:szCs w:val="32"/>
        </w:rPr>
        <w:t>20年</w:t>
      </w:r>
      <w:r>
        <w:rPr>
          <w:rFonts w:ascii="仿宋_GB2312" w:eastAsia="仿宋_GB2312"/>
          <w:color w:val="000000"/>
          <w:sz w:val="32"/>
          <w:szCs w:val="32"/>
        </w:rPr>
        <w:t>12</w:t>
      </w:r>
      <w:r>
        <w:rPr>
          <w:rFonts w:hint="eastAsia" w:ascii="仿宋_GB2312" w:eastAsia="仿宋_GB2312"/>
          <w:color w:val="000000"/>
          <w:sz w:val="32"/>
          <w:szCs w:val="32"/>
        </w:rPr>
        <w:t>月底，单位共有公务用车0辆，其中：主要领导干部用车0辆、机要通信用车0辆、应急保障用车0辆、执法执勤用车0辆。</w:t>
      </w:r>
    </w:p>
    <w:p w14:paraId="45DF2BE6">
      <w:pPr>
        <w:spacing w:line="600" w:lineRule="exact"/>
        <w:ind w:firstLine="640"/>
        <w:rPr>
          <w:rFonts w:ascii="仿宋_GB2312" w:eastAsia="仿宋_GB2312"/>
          <w:color w:val="000000"/>
          <w:sz w:val="32"/>
          <w:szCs w:val="32"/>
        </w:rPr>
      </w:pPr>
      <w:r>
        <w:rPr>
          <w:rFonts w:hint="eastAsia" w:ascii="仿宋_GB2312" w:eastAsia="仿宋_GB2312"/>
          <w:b/>
          <w:color w:val="000000"/>
          <w:sz w:val="32"/>
          <w:szCs w:val="32"/>
        </w:rPr>
        <w:t>公务用车运行维护费支出</w:t>
      </w:r>
      <w:r>
        <w:rPr>
          <w:rFonts w:hint="eastAsia" w:ascii="仿宋_GB2312" w:eastAsia="仿宋_GB2312"/>
          <w:color w:val="000000"/>
          <w:sz w:val="32"/>
          <w:szCs w:val="32"/>
        </w:rPr>
        <w:t>1.77万元。主要用于全局各项工作等所需的公务用车燃料费、维修费、过路过桥费、保险费等支出。</w:t>
      </w:r>
    </w:p>
    <w:p w14:paraId="333AC831">
      <w:pPr>
        <w:spacing w:line="600" w:lineRule="exact"/>
        <w:ind w:firstLine="640"/>
        <w:rPr>
          <w:rFonts w:ascii="仿宋_GB2312" w:eastAsia="仿宋_GB2312"/>
          <w:color w:val="000000"/>
          <w:sz w:val="32"/>
          <w:szCs w:val="32"/>
        </w:rPr>
      </w:pPr>
      <w:r>
        <w:rPr>
          <w:rFonts w:ascii="仿宋_GB2312" w:eastAsia="仿宋_GB2312"/>
          <w:b/>
          <w:color w:val="000000"/>
          <w:sz w:val="32"/>
          <w:szCs w:val="32"/>
        </w:rPr>
        <w:t>3.</w:t>
      </w:r>
      <w:r>
        <w:rPr>
          <w:rFonts w:hint="eastAsia" w:ascii="仿宋_GB2312" w:eastAsia="仿宋_GB2312"/>
          <w:b/>
          <w:color w:val="000000"/>
          <w:sz w:val="32"/>
          <w:szCs w:val="32"/>
        </w:rPr>
        <w:t>公务接待费支出</w:t>
      </w:r>
      <w:r>
        <w:rPr>
          <w:rFonts w:hint="eastAsia" w:ascii="仿宋_GB2312" w:eastAsia="仿宋_GB2312"/>
          <w:color w:val="000000"/>
          <w:sz w:val="32"/>
          <w:szCs w:val="32"/>
        </w:rPr>
        <w:t>1.55万元，</w:t>
      </w:r>
      <w:r>
        <w:rPr>
          <w:rStyle w:val="15"/>
          <w:rFonts w:hint="eastAsia" w:ascii="仿宋" w:hAnsi="仿宋" w:eastAsia="仿宋"/>
          <w:b w:val="0"/>
          <w:bCs/>
          <w:color w:val="000000"/>
          <w:sz w:val="32"/>
          <w:szCs w:val="32"/>
        </w:rPr>
        <w:t>完成预算100</w:t>
      </w:r>
      <w:r>
        <w:rPr>
          <w:rStyle w:val="15"/>
          <w:rFonts w:ascii="仿宋" w:hAnsi="仿宋" w:eastAsia="仿宋"/>
          <w:b w:val="0"/>
          <w:bCs/>
          <w:color w:val="000000"/>
          <w:sz w:val="32"/>
          <w:szCs w:val="32"/>
        </w:rPr>
        <w:t>%</w:t>
      </w:r>
      <w:r>
        <w:rPr>
          <w:rStyle w:val="15"/>
          <w:rFonts w:hint="eastAsia" w:ascii="仿宋" w:hAnsi="仿宋" w:eastAsia="仿宋"/>
          <w:b w:val="0"/>
          <w:bCs/>
          <w:color w:val="000000"/>
          <w:sz w:val="32"/>
          <w:szCs w:val="32"/>
        </w:rPr>
        <w:t>。</w:t>
      </w:r>
      <w:r>
        <w:rPr>
          <w:rFonts w:hint="eastAsia" w:ascii="仿宋_GB2312" w:eastAsia="仿宋_GB2312"/>
          <w:color w:val="000000"/>
          <w:sz w:val="32"/>
          <w:szCs w:val="32"/>
        </w:rPr>
        <w:t>公务接待费支出决算比</w:t>
      </w:r>
      <w:r>
        <w:rPr>
          <w:rFonts w:ascii="仿宋_GB2312" w:eastAsia="仿宋_GB2312"/>
          <w:color w:val="000000"/>
          <w:sz w:val="32"/>
          <w:szCs w:val="32"/>
        </w:rPr>
        <w:t>201</w:t>
      </w:r>
      <w:r>
        <w:rPr>
          <w:rFonts w:hint="eastAsia" w:ascii="仿宋_GB2312" w:eastAsia="仿宋_GB2312"/>
          <w:color w:val="000000"/>
          <w:sz w:val="32"/>
          <w:szCs w:val="32"/>
        </w:rPr>
        <w:t>9年减少1.36万元，下降46</w:t>
      </w:r>
      <w:r>
        <w:rPr>
          <w:rFonts w:ascii="仿宋_GB2312" w:eastAsia="仿宋_GB2312"/>
          <w:color w:val="000000"/>
          <w:sz w:val="32"/>
          <w:szCs w:val="32"/>
        </w:rPr>
        <w:t>%</w:t>
      </w:r>
      <w:r>
        <w:rPr>
          <w:rFonts w:hint="eastAsia" w:ascii="仿宋_GB2312" w:eastAsia="仿宋_GB2312"/>
          <w:color w:val="000000"/>
          <w:sz w:val="32"/>
          <w:szCs w:val="32"/>
        </w:rPr>
        <w:t>。主要严格执行公务接待制度，合理调整公务接待安排，整合并联事项。</w:t>
      </w:r>
    </w:p>
    <w:p w14:paraId="314E02E1">
      <w:pPr>
        <w:spacing w:line="600" w:lineRule="exact"/>
        <w:ind w:firstLine="640"/>
        <w:rPr>
          <w:rFonts w:ascii="仿宋_GB2312" w:eastAsia="仿宋_GB2312"/>
          <w:color w:val="000000"/>
          <w:sz w:val="32"/>
          <w:szCs w:val="32"/>
        </w:rPr>
      </w:pPr>
      <w:r>
        <w:rPr>
          <w:rFonts w:hint="eastAsia" w:ascii="仿宋" w:hAnsi="仿宋" w:eastAsia="仿宋"/>
          <w:b/>
          <w:color w:val="000000"/>
          <w:sz w:val="32"/>
          <w:szCs w:val="32"/>
        </w:rPr>
        <w:t>国内公务接待支出</w:t>
      </w:r>
      <w:r>
        <w:rPr>
          <w:rFonts w:hint="eastAsia" w:ascii="仿宋" w:hAnsi="仿宋" w:eastAsia="仿宋"/>
          <w:color w:val="000000"/>
          <w:sz w:val="32"/>
          <w:szCs w:val="32"/>
        </w:rPr>
        <w:t>1.55</w:t>
      </w:r>
      <w:r>
        <w:rPr>
          <w:rFonts w:hint="eastAsia" w:ascii="仿宋_GB2312" w:eastAsia="仿宋_GB2312"/>
          <w:color w:val="000000"/>
          <w:sz w:val="32"/>
          <w:szCs w:val="32"/>
        </w:rPr>
        <w:t>万元，主要用于执行公务、开展业务活动开支的交通费、住宿费、用餐费等。国内公务接待49批次，667人次（不包括陪同人员），共计支出1.55万元，具体内容包括：接待省、市级部门。</w:t>
      </w:r>
    </w:p>
    <w:p w14:paraId="2C320A80">
      <w:pPr>
        <w:spacing w:line="600" w:lineRule="exact"/>
        <w:ind w:firstLine="643" w:firstLineChars="200"/>
        <w:rPr>
          <w:rFonts w:ascii="仿宋_GB2312" w:eastAsia="仿宋_GB2312"/>
          <w:color w:val="000000" w:themeColor="text1"/>
          <w:sz w:val="32"/>
          <w:szCs w:val="32"/>
          <w14:textFill>
            <w14:solidFill>
              <w14:schemeClr w14:val="tx1"/>
            </w14:solidFill>
          </w14:textFill>
        </w:rPr>
      </w:pPr>
      <w:r>
        <w:rPr>
          <w:rFonts w:hint="eastAsia" w:ascii="仿宋" w:hAnsi="仿宋" w:eastAsia="仿宋"/>
          <w:b/>
          <w:color w:val="000000"/>
          <w:sz w:val="32"/>
          <w:szCs w:val="32"/>
        </w:rPr>
        <w:t>外事接待支出</w:t>
      </w:r>
      <w:r>
        <w:rPr>
          <w:rFonts w:hint="eastAsia" w:ascii="仿宋" w:hAnsi="仿宋" w:eastAsia="仿宋"/>
          <w:color w:val="000000"/>
          <w:sz w:val="32"/>
          <w:szCs w:val="32"/>
        </w:rPr>
        <w:t>0</w:t>
      </w:r>
      <w:r>
        <w:rPr>
          <w:rFonts w:hint="eastAsia" w:ascii="仿宋_GB2312" w:eastAsia="仿宋_GB2312"/>
          <w:color w:val="000000"/>
          <w:sz w:val="32"/>
          <w:szCs w:val="32"/>
        </w:rPr>
        <w:t>万元</w:t>
      </w:r>
      <w:r>
        <w:rPr>
          <w:rFonts w:hint="eastAsia" w:ascii="仿宋_GB2312" w:eastAsia="仿宋_GB2312"/>
          <w:color w:val="000000" w:themeColor="text1"/>
          <w:sz w:val="32"/>
          <w:szCs w:val="32"/>
          <w14:textFill>
            <w14:solidFill>
              <w14:schemeClr w14:val="tx1"/>
            </w14:solidFill>
          </w14:textFill>
        </w:rPr>
        <w:t>，外事接待0批次，0人，共计支出0万元。</w:t>
      </w:r>
    </w:p>
    <w:p w14:paraId="3B54BBCE">
      <w:pPr>
        <w:spacing w:line="600" w:lineRule="exact"/>
        <w:ind w:firstLine="640"/>
        <w:outlineLvl w:val="1"/>
        <w:rPr>
          <w:rStyle w:val="26"/>
          <w:rFonts w:ascii="黑体" w:hAnsi="黑体" w:eastAsia="黑体"/>
        </w:rPr>
      </w:pPr>
      <w:bookmarkStart w:id="71" w:name="_Toc15396610"/>
      <w:bookmarkStart w:id="72" w:name="_Toc15377218"/>
      <w:bookmarkStart w:id="73" w:name="_Toc52180089"/>
      <w:r>
        <w:rPr>
          <w:rFonts w:hint="eastAsia" w:ascii="黑体" w:eastAsia="黑体"/>
          <w:color w:val="000000"/>
          <w:sz w:val="32"/>
          <w:szCs w:val="32"/>
        </w:rPr>
        <w:t>八、</w:t>
      </w:r>
      <w:r>
        <w:rPr>
          <w:rStyle w:val="26"/>
          <w:rFonts w:hint="eastAsia" w:ascii="黑体" w:hAnsi="黑体" w:eastAsia="黑体"/>
          <w:b w:val="0"/>
        </w:rPr>
        <w:t>政府性基金预算支出决算情况说明</w:t>
      </w:r>
      <w:bookmarkEnd w:id="71"/>
      <w:bookmarkEnd w:id="72"/>
      <w:bookmarkEnd w:id="73"/>
    </w:p>
    <w:p w14:paraId="7111A8EC">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20年政府性基金预算拨款支出5199.08万元。</w:t>
      </w:r>
    </w:p>
    <w:p w14:paraId="7FD44535">
      <w:pPr>
        <w:numPr>
          <w:ilvl w:val="0"/>
          <w:numId w:val="3"/>
        </w:numPr>
        <w:spacing w:line="600" w:lineRule="exact"/>
        <w:ind w:firstLine="640"/>
        <w:outlineLvl w:val="1"/>
        <w:rPr>
          <w:rStyle w:val="26"/>
          <w:rFonts w:ascii="黑体" w:hAnsi="黑体" w:eastAsia="黑体"/>
          <w:b w:val="0"/>
        </w:rPr>
      </w:pPr>
      <w:bookmarkStart w:id="74" w:name="_Toc15396611"/>
      <w:bookmarkStart w:id="75" w:name="_Toc52180090"/>
      <w:bookmarkStart w:id="76" w:name="_Toc15377219"/>
      <w:r>
        <w:rPr>
          <w:rStyle w:val="26"/>
          <w:rFonts w:hint="eastAsia" w:ascii="黑体" w:hAnsi="黑体" w:eastAsia="黑体"/>
          <w:b w:val="0"/>
        </w:rPr>
        <w:t>国有资本经营预算支出决算情况说明</w:t>
      </w:r>
      <w:bookmarkEnd w:id="74"/>
      <w:bookmarkEnd w:id="75"/>
      <w:bookmarkEnd w:id="76"/>
    </w:p>
    <w:p w14:paraId="23F362EA">
      <w:pPr>
        <w:spacing w:line="600" w:lineRule="exact"/>
        <w:ind w:firstLine="64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20年国有资本经营预算拨款支出0万元。</w:t>
      </w:r>
    </w:p>
    <w:p w14:paraId="3CA4BF65">
      <w:pPr>
        <w:spacing w:line="600" w:lineRule="exact"/>
        <w:ind w:firstLine="640" w:firstLineChars="200"/>
        <w:outlineLvl w:val="1"/>
        <w:rPr>
          <w:rStyle w:val="26"/>
          <w:rFonts w:ascii="黑体" w:hAnsi="黑体" w:eastAsia="黑体"/>
        </w:rPr>
      </w:pPr>
      <w:bookmarkStart w:id="77" w:name="_Toc15396612"/>
      <w:bookmarkStart w:id="78" w:name="_Toc52180091"/>
      <w:bookmarkStart w:id="79" w:name="_Toc15377221"/>
      <w:r>
        <w:rPr>
          <w:rFonts w:hint="eastAsia" w:ascii="黑体" w:hAnsi="黑体" w:eastAsia="黑体"/>
          <w:color w:val="000000"/>
          <w:sz w:val="32"/>
          <w:szCs w:val="32"/>
        </w:rPr>
        <w:t>十</w:t>
      </w:r>
      <w:r>
        <w:rPr>
          <w:rStyle w:val="26"/>
          <w:rFonts w:hint="eastAsia" w:ascii="黑体" w:hAnsi="黑体" w:eastAsia="黑体"/>
        </w:rPr>
        <w:t>、</w:t>
      </w:r>
      <w:r>
        <w:rPr>
          <w:rStyle w:val="26"/>
          <w:rFonts w:hint="eastAsia" w:ascii="黑体" w:hAnsi="黑体" w:eastAsia="黑体"/>
          <w:b w:val="0"/>
        </w:rPr>
        <w:t>其他重要事项的情况说明</w:t>
      </w:r>
      <w:bookmarkEnd w:id="77"/>
      <w:bookmarkEnd w:id="78"/>
      <w:bookmarkEnd w:id="79"/>
    </w:p>
    <w:p w14:paraId="3BDD3276">
      <w:pPr>
        <w:spacing w:line="600" w:lineRule="exact"/>
        <w:ind w:firstLine="643" w:firstLineChars="200"/>
        <w:outlineLvl w:val="2"/>
        <w:rPr>
          <w:rFonts w:ascii="仿宋" w:hAnsi="仿宋" w:eastAsia="仿宋"/>
          <w:color w:val="000000"/>
          <w:sz w:val="32"/>
          <w:szCs w:val="32"/>
        </w:rPr>
      </w:pPr>
      <w:bookmarkStart w:id="80" w:name="_Toc15377222"/>
      <w:bookmarkStart w:id="81" w:name="_Toc52180092"/>
      <w:r>
        <w:rPr>
          <w:rFonts w:hint="eastAsia" w:ascii="仿宋" w:hAnsi="仿宋" w:eastAsia="仿宋"/>
          <w:b/>
          <w:color w:val="000000"/>
          <w:sz w:val="32"/>
          <w:szCs w:val="32"/>
        </w:rPr>
        <w:t>（一）机关运行经费支出情况</w:t>
      </w:r>
      <w:bookmarkEnd w:id="80"/>
      <w:bookmarkEnd w:id="81"/>
    </w:p>
    <w:p w14:paraId="1A6C1429">
      <w:pPr>
        <w:spacing w:line="600" w:lineRule="exact"/>
        <w:ind w:firstLine="640" w:firstLineChars="200"/>
        <w:rPr>
          <w:rFonts w:ascii="仿宋_GB2312" w:eastAsia="仿宋_GB2312"/>
          <w:color w:val="000000" w:themeColor="text1"/>
          <w:sz w:val="32"/>
          <w:szCs w:val="32"/>
          <w14:textFill>
            <w14:solidFill>
              <w14:schemeClr w14:val="tx1"/>
            </w14:solidFill>
          </w14:textFill>
        </w:rPr>
      </w:pPr>
      <w:r>
        <w:rPr>
          <w:rFonts w:ascii="仿宋_GB2312" w:eastAsia="仿宋_GB2312"/>
          <w:color w:val="000000"/>
          <w:sz w:val="32"/>
          <w:szCs w:val="32"/>
        </w:rPr>
        <w:t>20</w:t>
      </w:r>
      <w:r>
        <w:rPr>
          <w:rFonts w:hint="eastAsia" w:ascii="仿宋_GB2312" w:eastAsia="仿宋_GB2312"/>
          <w:color w:val="000000"/>
          <w:sz w:val="32"/>
          <w:szCs w:val="32"/>
        </w:rPr>
        <w:t>20年，盐边县自然资源规划和林业局机关运行经费支出147.78万元，比</w:t>
      </w:r>
      <w:r>
        <w:rPr>
          <w:rFonts w:ascii="仿宋_GB2312" w:eastAsia="仿宋_GB2312"/>
          <w:color w:val="000000"/>
          <w:sz w:val="32"/>
          <w:szCs w:val="32"/>
        </w:rPr>
        <w:t>20</w:t>
      </w:r>
      <w:r>
        <w:rPr>
          <w:rFonts w:hint="eastAsia" w:ascii="仿宋_GB2312" w:eastAsia="仿宋_GB2312"/>
          <w:color w:val="000000"/>
          <w:sz w:val="32"/>
          <w:szCs w:val="32"/>
        </w:rPr>
        <w:t>19年减少7.5万元，下降0.05</w:t>
      </w:r>
      <w:r>
        <w:rPr>
          <w:rFonts w:ascii="仿宋_GB2312" w:eastAsia="仿宋_GB2312"/>
          <w:color w:val="000000"/>
          <w:sz w:val="32"/>
          <w:szCs w:val="32"/>
        </w:rPr>
        <w:t>%</w:t>
      </w:r>
      <w:r>
        <w:rPr>
          <w:rFonts w:hint="eastAsia" w:ascii="仿宋_GB2312" w:eastAsia="仿宋_GB2312"/>
          <w:color w:val="000000"/>
          <w:sz w:val="32"/>
          <w:szCs w:val="32"/>
        </w:rPr>
        <w:t>，与上年数据基本持平</w:t>
      </w:r>
      <w:r>
        <w:rPr>
          <w:rFonts w:hint="eastAsia" w:ascii="仿宋_GB2312" w:eastAsia="仿宋_GB2312"/>
          <w:color w:val="000000" w:themeColor="text1"/>
          <w:sz w:val="32"/>
          <w:szCs w:val="32"/>
          <w14:textFill>
            <w14:solidFill>
              <w14:schemeClr w14:val="tx1"/>
            </w14:solidFill>
          </w14:textFill>
        </w:rPr>
        <w:t>。</w:t>
      </w:r>
    </w:p>
    <w:p w14:paraId="2A53BD19">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2" w:name="_Toc15377223"/>
      <w:bookmarkStart w:id="83" w:name="_Toc52180093"/>
      <w:r>
        <w:rPr>
          <w:rFonts w:hint="eastAsia" w:ascii="仿宋" w:hAnsi="仿宋" w:eastAsia="仿宋"/>
          <w:b/>
          <w:color w:val="000000"/>
          <w:sz w:val="32"/>
          <w:szCs w:val="32"/>
        </w:rPr>
        <w:t>（二）政府采购支出情况</w:t>
      </w:r>
      <w:bookmarkEnd w:id="82"/>
      <w:bookmarkEnd w:id="83"/>
    </w:p>
    <w:p w14:paraId="24B1600E">
      <w:pPr>
        <w:spacing w:line="600" w:lineRule="exact"/>
        <w:ind w:firstLine="640" w:firstLineChars="200"/>
        <w:rPr>
          <w:rFonts w:ascii="仿宋_GB2312" w:eastAsia="仿宋_GB2312"/>
          <w:color w:val="000000"/>
          <w:sz w:val="32"/>
          <w:szCs w:val="32"/>
        </w:rPr>
      </w:pPr>
      <w:r>
        <w:rPr>
          <w:rFonts w:ascii="仿宋_GB2312" w:eastAsia="仿宋_GB2312"/>
          <w:color w:val="000000"/>
          <w:sz w:val="32"/>
          <w:szCs w:val="32"/>
        </w:rPr>
        <w:t>20</w:t>
      </w:r>
      <w:r>
        <w:rPr>
          <w:rFonts w:hint="eastAsia" w:ascii="仿宋_GB2312" w:eastAsia="仿宋_GB2312"/>
          <w:color w:val="000000"/>
          <w:sz w:val="32"/>
          <w:szCs w:val="32"/>
        </w:rPr>
        <w:t>20年，政府采购支出总额0万元，其中：政府采购货物支出0万元、政府采购工程支出0万元、政府采购服务支出0万元。</w:t>
      </w:r>
    </w:p>
    <w:p w14:paraId="508E38E8">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4" w:name="_Toc15377224"/>
      <w:bookmarkStart w:id="85" w:name="_Toc52180094"/>
      <w:r>
        <w:rPr>
          <w:rFonts w:hint="eastAsia" w:ascii="仿宋" w:hAnsi="仿宋" w:eastAsia="仿宋"/>
          <w:b/>
          <w:color w:val="000000"/>
          <w:sz w:val="32"/>
          <w:szCs w:val="32"/>
        </w:rPr>
        <w:t>（三）国有资产占有使用情况</w:t>
      </w:r>
      <w:bookmarkEnd w:id="84"/>
      <w:bookmarkEnd w:id="85"/>
    </w:p>
    <w:p w14:paraId="1F15B891">
      <w:pPr>
        <w:autoSpaceDE w:val="0"/>
        <w:autoSpaceDN w:val="0"/>
        <w:adjustRightInd w:val="0"/>
        <w:spacing w:line="600" w:lineRule="exact"/>
        <w:ind w:firstLine="640" w:firstLineChars="200"/>
        <w:jc w:val="left"/>
        <w:rPr>
          <w:rFonts w:ascii="仿宋" w:hAnsi="仿宋" w:eastAsia="仿宋"/>
          <w:b/>
          <w:color w:val="FF0000"/>
          <w:sz w:val="32"/>
          <w:szCs w:val="32"/>
        </w:rPr>
      </w:pPr>
      <w:r>
        <w:rPr>
          <w:rFonts w:hint="eastAsia" w:ascii="仿宋_GB2312" w:eastAsia="仿宋_GB2312"/>
          <w:color w:val="000000"/>
          <w:sz w:val="32"/>
          <w:szCs w:val="32"/>
        </w:rPr>
        <w:t>截至</w:t>
      </w:r>
      <w:r>
        <w:rPr>
          <w:rFonts w:ascii="仿宋_GB2312" w:eastAsia="仿宋_GB2312"/>
          <w:color w:val="000000"/>
          <w:sz w:val="32"/>
          <w:szCs w:val="32"/>
        </w:rPr>
        <w:t>20</w:t>
      </w:r>
      <w:r>
        <w:rPr>
          <w:rFonts w:hint="eastAsia" w:ascii="仿宋_GB2312" w:eastAsia="仿宋_GB2312"/>
          <w:color w:val="000000"/>
          <w:sz w:val="32"/>
          <w:szCs w:val="32"/>
        </w:rPr>
        <w:t>20年</w:t>
      </w:r>
      <w:r>
        <w:rPr>
          <w:rFonts w:ascii="仿宋_GB2312" w:eastAsia="仿宋_GB2312"/>
          <w:color w:val="000000"/>
          <w:sz w:val="32"/>
          <w:szCs w:val="32"/>
        </w:rPr>
        <w:t>12</w:t>
      </w:r>
      <w:r>
        <w:rPr>
          <w:rFonts w:hint="eastAsia" w:ascii="仿宋_GB2312" w:eastAsia="仿宋_GB2312"/>
          <w:color w:val="000000"/>
          <w:sz w:val="32"/>
          <w:szCs w:val="32"/>
        </w:rPr>
        <w:t>月</w:t>
      </w:r>
      <w:r>
        <w:rPr>
          <w:rFonts w:ascii="仿宋_GB2312" w:eastAsia="仿宋_GB2312"/>
          <w:color w:val="000000"/>
          <w:sz w:val="32"/>
          <w:szCs w:val="32"/>
        </w:rPr>
        <w:t>31</w:t>
      </w:r>
      <w:r>
        <w:rPr>
          <w:rFonts w:hint="eastAsia" w:ascii="仿宋_GB2312" w:eastAsia="仿宋_GB2312"/>
          <w:color w:val="000000"/>
          <w:sz w:val="32"/>
          <w:szCs w:val="32"/>
        </w:rPr>
        <w:t>日，盐边县自然资源规划和林业局共有车辆13辆，其中：主要领导干部用车0辆、机要通信用车0辆、应急保障用车11辆、其他用车2辆</w:t>
      </w:r>
      <w:r>
        <w:rPr>
          <w:rFonts w:hint="eastAsia" w:ascii="仿宋_GB2312" w:eastAsia="仿宋_GB2312"/>
          <w:color w:val="000000" w:themeColor="text1"/>
          <w:sz w:val="32"/>
          <w:szCs w:val="32"/>
          <w14:textFill>
            <w14:solidFill>
              <w14:schemeClr w14:val="tx1"/>
            </w14:solidFill>
          </w14:textFill>
        </w:rPr>
        <w:t>其他用车</w:t>
      </w:r>
      <w:r>
        <w:rPr>
          <w:rFonts w:hint="eastAsia" w:ascii="仿宋_GB2312" w:eastAsia="仿宋_GB2312"/>
          <w:color w:val="000000" w:themeColor="text1"/>
          <w:sz w:val="32"/>
          <w:szCs w:val="32"/>
          <w:lang w:eastAsia="zh-CN"/>
          <w14:textFill>
            <w14:solidFill>
              <w14:schemeClr w14:val="tx1"/>
            </w14:solidFill>
          </w14:textFill>
        </w:rPr>
        <w:t>主要</w:t>
      </w:r>
      <w:r>
        <w:rPr>
          <w:rFonts w:hint="eastAsia" w:ascii="仿宋_GB2312" w:eastAsia="仿宋_GB2312"/>
          <w:color w:val="000000" w:themeColor="text1"/>
          <w:sz w:val="32"/>
          <w:szCs w:val="32"/>
          <w14:textFill>
            <w14:solidFill>
              <w14:schemeClr w14:val="tx1"/>
            </w14:solidFill>
          </w14:textFill>
        </w:rPr>
        <w:t>用于单价</w:t>
      </w:r>
      <w:r>
        <w:rPr>
          <w:rFonts w:ascii="仿宋_GB2312" w:eastAsia="仿宋_GB2312"/>
          <w:color w:val="000000" w:themeColor="text1"/>
          <w:sz w:val="32"/>
          <w:szCs w:val="32"/>
          <w14:textFill>
            <w14:solidFill>
              <w14:schemeClr w14:val="tx1"/>
            </w14:solidFill>
          </w14:textFill>
        </w:rPr>
        <w:t>50</w:t>
      </w:r>
      <w:r>
        <w:rPr>
          <w:rFonts w:hint="eastAsia" w:ascii="仿宋_GB2312" w:eastAsia="仿宋_GB2312"/>
          <w:color w:val="000000" w:themeColor="text1"/>
          <w:sz w:val="32"/>
          <w:szCs w:val="32"/>
          <w14:textFill>
            <w14:solidFill>
              <w14:schemeClr w14:val="tx1"/>
            </w14:solidFill>
          </w14:textFill>
        </w:rPr>
        <w:t>万元以上通用设备0（套），单价</w:t>
      </w:r>
      <w:r>
        <w:rPr>
          <w:rFonts w:ascii="仿宋_GB2312" w:eastAsia="仿宋_GB2312"/>
          <w:color w:val="000000" w:themeColor="text1"/>
          <w:sz w:val="32"/>
          <w:szCs w:val="32"/>
          <w14:textFill>
            <w14:solidFill>
              <w14:schemeClr w14:val="tx1"/>
            </w14:solidFill>
          </w14:textFill>
        </w:rPr>
        <w:t>100</w:t>
      </w:r>
      <w:r>
        <w:rPr>
          <w:rFonts w:hint="eastAsia" w:ascii="仿宋_GB2312" w:eastAsia="仿宋_GB2312"/>
          <w:color w:val="000000"/>
          <w:sz w:val="32"/>
          <w:szCs w:val="32"/>
        </w:rPr>
        <w:t>万元以上专用设备0（套）。</w:t>
      </w:r>
    </w:p>
    <w:p w14:paraId="37CA018B">
      <w:pPr>
        <w:autoSpaceDE w:val="0"/>
        <w:autoSpaceDN w:val="0"/>
        <w:adjustRightInd w:val="0"/>
        <w:spacing w:line="600" w:lineRule="exact"/>
        <w:ind w:firstLine="643" w:firstLineChars="200"/>
        <w:jc w:val="left"/>
        <w:outlineLvl w:val="2"/>
        <w:rPr>
          <w:rFonts w:ascii="仿宋" w:hAnsi="仿宋" w:eastAsia="仿宋"/>
          <w:b/>
          <w:color w:val="000000"/>
          <w:sz w:val="32"/>
          <w:szCs w:val="32"/>
        </w:rPr>
      </w:pPr>
      <w:bookmarkStart w:id="86" w:name="_Toc52180095"/>
      <w:r>
        <w:rPr>
          <w:rFonts w:hint="eastAsia" w:ascii="仿宋" w:hAnsi="仿宋" w:eastAsia="仿宋"/>
          <w:b/>
          <w:color w:val="000000"/>
          <w:sz w:val="32"/>
          <w:szCs w:val="32"/>
        </w:rPr>
        <w:t>（四）预算绩效管理情况。</w:t>
      </w:r>
      <w:bookmarkEnd w:id="86"/>
    </w:p>
    <w:p w14:paraId="1701753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根据预算绩效管理要求，本部门（单位）在年初预算编制阶段，组织对各个项目（项目名称）开展了预算事前绩效评估，对各个项目编制了绩效目标</w:t>
      </w:r>
      <w:r>
        <w:rPr>
          <w:rFonts w:hint="eastAsia" w:ascii="仿宋_GB2312" w:hAnsi="仿宋_GB2312" w:eastAsia="仿宋_GB2312" w:cs="仿宋_GB2312"/>
          <w:sz w:val="32"/>
          <w:szCs w:val="32"/>
          <w:lang w:eastAsia="zh-CN"/>
        </w:rPr>
        <w:t>，在</w:t>
      </w:r>
      <w:r>
        <w:rPr>
          <w:rFonts w:hint="eastAsia" w:ascii="仿宋_GB2312" w:hAnsi="仿宋_GB2312" w:eastAsia="仿宋_GB2312" w:cs="仿宋_GB2312"/>
          <w:sz w:val="32"/>
          <w:szCs w:val="32"/>
        </w:rPr>
        <w:t>预算执行过程中，选取几个项目开展绩效监控，年终执行完毕后，对几个项目开展了绩效目标完成情况自评。</w:t>
      </w:r>
    </w:p>
    <w:p w14:paraId="26DE447A">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2020年部门整体支出开展绩效自评，从评价情况来看（简要说明整体绩效情况）。本部门还自行组织了几个项目支出绩效评价，从评价情况来看（简要说明项目绩效情况；若未开展项目支出绩效评价，则说明未开展情况。如：本部门无专项预算项目，因此未组织开展项目支出绩效评价/本部门未组织开展项目支出绩效评价）。</w:t>
      </w:r>
    </w:p>
    <w:p w14:paraId="2DB1B9F7">
      <w:pPr>
        <w:numPr>
          <w:ilvl w:val="0"/>
          <w:numId w:val="4"/>
        </w:numPr>
        <w:spacing w:line="580" w:lineRule="exact"/>
        <w:ind w:firstLine="640" w:firstLineChars="200"/>
        <w:rPr>
          <w:rFonts w:ascii="仿宋_GB2312" w:hAnsi="仿宋_GB2312" w:eastAsia="仿宋_GB2312" w:cs="仿宋_GB2312"/>
          <w:sz w:val="32"/>
          <w:szCs w:val="32"/>
        </w:rPr>
      </w:pPr>
      <w:r>
        <w:rPr>
          <w:rFonts w:hint="eastAsia" w:ascii="楷体_GB2312" w:hAnsi="楷体_GB2312" w:eastAsia="楷体_GB2312" w:cs="楷体_GB2312"/>
          <w:sz w:val="32"/>
          <w:szCs w:val="32"/>
        </w:rPr>
        <w:t>项目绩效目标完成情况。</w:t>
      </w:r>
      <w:r>
        <w:rPr>
          <w:rFonts w:hint="eastAsia" w:ascii="楷体_GB2312" w:hAnsi="楷体_GB2312" w:eastAsia="楷体_GB2312" w:cs="楷体_GB2312"/>
          <w:sz w:val="32"/>
          <w:szCs w:val="32"/>
        </w:rPr>
        <w:br w:type="textWrapping"/>
      </w:r>
      <w:r>
        <w:rPr>
          <w:rFonts w:hint="eastAsia" w:ascii="仿宋_GB2312" w:hAnsi="仿宋_GB2312" w:eastAsia="仿宋_GB2312" w:cs="仿宋_GB2312"/>
          <w:sz w:val="32"/>
          <w:szCs w:val="32"/>
        </w:rPr>
        <w:t xml:space="preserve">    本部门在2020年度部门决算中反映“土地整理项目</w:t>
      </w:r>
      <w:r>
        <w:rPr>
          <w:rFonts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地质灾害防治项目</w:t>
      </w:r>
      <w:r>
        <w:rPr>
          <w:rFonts w:ascii="仿宋_GB2312" w:hAnsi="仿宋_GB2312" w:eastAsia="仿宋_GB2312" w:cs="仿宋_GB2312"/>
          <w:sz w:val="32"/>
          <w:szCs w:val="32"/>
        </w:rPr>
        <w:t>”</w:t>
      </w:r>
      <w:r>
        <w:rPr>
          <w:rFonts w:hint="eastAsia" w:ascii="仿宋_GB2312" w:hAnsi="仿宋_GB2312" w:eastAsia="仿宋_GB2312" w:cs="仿宋_GB2312"/>
          <w:sz w:val="32"/>
          <w:szCs w:val="32"/>
        </w:rPr>
        <w:t>“林业产业发展”等5个项目绩效目标实际完成情况。</w:t>
      </w:r>
    </w:p>
    <w:p w14:paraId="0D2D3922">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（1）土地整理项目绩效目标完成情况综述。项目全年预算数3866.05万元，执行数为1598.01万元，完成预算的42%。通过项目实施，保障农业产业发展。按照项目总体目标实现产业增收。</w:t>
      </w:r>
    </w:p>
    <w:p w14:paraId="7930E180">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（2）地质灾害防治项目绩效目标完成情况综述。项目全年预算数3366.54万元，执行数为1158.48万元，完成预算的35%。通过项目实施，保障人民生命财产安全。按照项目总体目标人类可持续发展。</w:t>
      </w:r>
    </w:p>
    <w:p w14:paraId="28C1CD0D">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（3）林业产业发展项目绩效目标完成情况综述。项目全年预算数2065.07万元，执行数为593.16万元，完成预算的29%。通过项目实施，保障提高生态效益发展，取得农业开发成效。</w:t>
      </w:r>
    </w:p>
    <w:p w14:paraId="63BB06DE">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（4）退耕还林项目绩效目标完成情况综述。项目全年预算数1113.43万元，执行数为1111.40万元，完成预算的99%。通过项目实施，保</w:t>
      </w:r>
      <w:r>
        <w:rPr>
          <w:rFonts w:hint="eastAsia" w:ascii="仿宋_GB2312" w:hAnsi="仿宋_GB2312" w:eastAsia="仿宋_GB2312" w:cs="仿宋_GB2312"/>
          <w:sz w:val="32"/>
          <w:szCs w:val="32"/>
          <w:lang w:eastAsia="zh-CN"/>
        </w:rPr>
        <w:t>障和</w:t>
      </w:r>
      <w:r>
        <w:rPr>
          <w:rFonts w:hint="eastAsia" w:ascii="仿宋_GB2312" w:hAnsi="仿宋_GB2312" w:eastAsia="仿宋_GB2312" w:cs="仿宋_GB2312"/>
          <w:sz w:val="32"/>
          <w:szCs w:val="32"/>
        </w:rPr>
        <w:t>提高人民经济发展，促进绿色生态发展成效。</w:t>
      </w:r>
    </w:p>
    <w:p w14:paraId="6F6151A3">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（5）森林防灭火项目绩效目标完成情况综述。项目全年预算数134.39万元，执行数为134.39万元，完成预算的100%。通过项目实施，保护</w:t>
      </w:r>
      <w:r>
        <w:rPr>
          <w:rFonts w:hint="eastAsia" w:ascii="仿宋_GB2312" w:hAnsi="仿宋_GB2312" w:eastAsia="仿宋_GB2312" w:cs="仿宋_GB2312"/>
          <w:sz w:val="32"/>
          <w:szCs w:val="32"/>
          <w:lang w:eastAsia="zh-CN"/>
        </w:rPr>
        <w:t>生态环境</w:t>
      </w:r>
      <w:r>
        <w:rPr>
          <w:rFonts w:hint="eastAsia" w:ascii="仿宋_GB2312" w:hAnsi="仿宋_GB2312" w:eastAsia="仿宋_GB2312" w:cs="仿宋_GB2312"/>
          <w:sz w:val="32"/>
          <w:szCs w:val="32"/>
        </w:rPr>
        <w:t>，为绿水青山就是金山银山创造优质条件，取得显著成效。</w:t>
      </w:r>
    </w:p>
    <w:p w14:paraId="6449212B">
      <w:pPr>
        <w:spacing w:line="580" w:lineRule="exact"/>
        <w:rPr>
          <w:rFonts w:ascii="仿宋_GB2312" w:hAnsi="仿宋_GB2312" w:eastAsia="仿宋_GB2312" w:cs="仿宋_GB2312"/>
          <w:sz w:val="32"/>
          <w:szCs w:val="32"/>
        </w:rPr>
      </w:pPr>
    </w:p>
    <w:p w14:paraId="0B0B6D35">
      <w:pPr>
        <w:spacing w:line="580" w:lineRule="exact"/>
        <w:rPr>
          <w:rFonts w:ascii="仿宋_GB2312" w:hAnsi="仿宋_GB2312" w:eastAsia="仿宋_GB2312" w:cs="仿宋_GB2312"/>
          <w:sz w:val="32"/>
          <w:szCs w:val="32"/>
        </w:rPr>
      </w:pPr>
    </w:p>
    <w:p w14:paraId="59181E31">
      <w:pPr>
        <w:spacing w:line="580" w:lineRule="exact"/>
        <w:rPr>
          <w:rFonts w:ascii="仿宋_GB2312" w:hAnsi="仿宋_GB2312" w:eastAsia="仿宋_GB2312" w:cs="仿宋_GB2312"/>
          <w:sz w:val="32"/>
          <w:szCs w:val="32"/>
        </w:rPr>
      </w:pPr>
    </w:p>
    <w:p w14:paraId="5968A89B">
      <w:pPr>
        <w:spacing w:line="580" w:lineRule="exact"/>
        <w:rPr>
          <w:rFonts w:ascii="仿宋_GB2312" w:hAnsi="仿宋_GB2312" w:eastAsia="仿宋_GB2312" w:cs="仿宋_GB2312"/>
          <w:sz w:val="32"/>
          <w:szCs w:val="32"/>
        </w:rPr>
      </w:pPr>
    </w:p>
    <w:p w14:paraId="209CD373">
      <w:pPr>
        <w:spacing w:line="580" w:lineRule="exact"/>
        <w:rPr>
          <w:rFonts w:ascii="仿宋_GB2312" w:hAnsi="仿宋_GB2312" w:eastAsia="仿宋_GB2312" w:cs="仿宋_GB2312"/>
          <w:sz w:val="32"/>
          <w:szCs w:val="32"/>
        </w:rPr>
      </w:pPr>
    </w:p>
    <w:p w14:paraId="4C3F2C9D">
      <w:pPr>
        <w:spacing w:line="580" w:lineRule="exact"/>
        <w:rPr>
          <w:rFonts w:ascii="仿宋_GB2312" w:hAnsi="仿宋_GB2312" w:eastAsia="仿宋_GB2312" w:cs="仿宋_GB2312"/>
          <w:sz w:val="32"/>
          <w:szCs w:val="32"/>
        </w:rPr>
      </w:pPr>
    </w:p>
    <w:p w14:paraId="5DFCCD84">
      <w:pPr>
        <w:spacing w:line="580" w:lineRule="exact"/>
        <w:rPr>
          <w:rFonts w:ascii="仿宋_GB2312" w:hAnsi="仿宋_GB2312" w:eastAsia="仿宋_GB2312" w:cs="仿宋_GB2312"/>
          <w:sz w:val="32"/>
          <w:szCs w:val="32"/>
        </w:rPr>
      </w:pPr>
    </w:p>
    <w:p w14:paraId="5FA38A28">
      <w:pPr>
        <w:spacing w:line="580" w:lineRule="exact"/>
        <w:rPr>
          <w:rFonts w:ascii="仿宋_GB2312" w:hAnsi="仿宋_GB2312" w:eastAsia="仿宋_GB2312" w:cs="仿宋_GB2312"/>
          <w:sz w:val="32"/>
          <w:szCs w:val="32"/>
        </w:rPr>
      </w:pPr>
    </w:p>
    <w:p w14:paraId="54101D86">
      <w:pPr>
        <w:spacing w:line="580" w:lineRule="exact"/>
        <w:rPr>
          <w:rFonts w:ascii="仿宋_GB2312" w:hAnsi="仿宋_GB2312" w:eastAsia="仿宋_GB2312" w:cs="仿宋_GB2312"/>
          <w:sz w:val="32"/>
          <w:szCs w:val="32"/>
        </w:rPr>
      </w:pPr>
    </w:p>
    <w:p w14:paraId="718B554D">
      <w:pPr>
        <w:spacing w:line="580" w:lineRule="exact"/>
        <w:rPr>
          <w:rFonts w:ascii="仿宋_GB2312" w:hAnsi="仿宋_GB2312" w:eastAsia="仿宋_GB2312" w:cs="仿宋_GB2312"/>
          <w:sz w:val="32"/>
          <w:szCs w:val="32"/>
        </w:rPr>
      </w:pPr>
    </w:p>
    <w:p w14:paraId="5E18781C">
      <w:pPr>
        <w:spacing w:line="580" w:lineRule="exact"/>
        <w:rPr>
          <w:rFonts w:ascii="仿宋_GB2312" w:hAnsi="仿宋_GB2312" w:eastAsia="仿宋_GB2312" w:cs="仿宋_GB2312"/>
          <w:sz w:val="32"/>
          <w:szCs w:val="32"/>
        </w:rPr>
      </w:pPr>
    </w:p>
    <w:p w14:paraId="402F3C14">
      <w:pPr>
        <w:spacing w:line="580" w:lineRule="exact"/>
        <w:rPr>
          <w:rFonts w:ascii="仿宋_GB2312" w:hAnsi="仿宋_GB2312" w:eastAsia="仿宋_GB2312" w:cs="仿宋_GB2312"/>
          <w:sz w:val="32"/>
          <w:szCs w:val="32"/>
        </w:rPr>
      </w:pPr>
    </w:p>
    <w:p w14:paraId="1CB37F5B">
      <w:pPr>
        <w:spacing w:line="580" w:lineRule="exact"/>
        <w:rPr>
          <w:rFonts w:hint="eastAsia" w:ascii="仿宋_GB2312" w:hAnsi="仿宋_GB2312" w:eastAsia="仿宋_GB2312" w:cs="仿宋_GB2312"/>
          <w:sz w:val="32"/>
          <w:szCs w:val="32"/>
        </w:rPr>
      </w:pPr>
    </w:p>
    <w:p w14:paraId="7E0B455D">
      <w:pPr>
        <w:spacing w:line="580" w:lineRule="exact"/>
        <w:rPr>
          <w:rFonts w:hint="eastAsia" w:ascii="仿宋_GB2312" w:hAnsi="仿宋_GB2312" w:eastAsia="仿宋_GB2312" w:cs="仿宋_GB2312"/>
          <w:sz w:val="32"/>
          <w:szCs w:val="32"/>
        </w:rPr>
      </w:pPr>
    </w:p>
    <w:p w14:paraId="410FED2A">
      <w:pPr>
        <w:spacing w:line="580" w:lineRule="exact"/>
        <w:rPr>
          <w:rFonts w:hint="eastAsia" w:ascii="仿宋_GB2312" w:hAnsi="仿宋_GB2312" w:eastAsia="仿宋_GB2312" w:cs="仿宋_GB2312"/>
          <w:sz w:val="32"/>
          <w:szCs w:val="32"/>
        </w:rPr>
      </w:pPr>
    </w:p>
    <w:p w14:paraId="452E6421">
      <w:pPr>
        <w:spacing w:line="580" w:lineRule="exact"/>
        <w:rPr>
          <w:rFonts w:ascii="仿宋_GB2312" w:hAnsi="仿宋_GB2312" w:eastAsia="仿宋_GB2312" w:cs="仿宋_GB2312"/>
          <w:sz w:val="32"/>
          <w:szCs w:val="32"/>
        </w:rPr>
      </w:pPr>
    </w:p>
    <w:p w14:paraId="4220A9A9">
      <w:pPr>
        <w:spacing w:line="580" w:lineRule="exact"/>
        <w:rPr>
          <w:rFonts w:ascii="仿宋_GB2312" w:hAnsi="仿宋_GB2312" w:eastAsia="仿宋_GB2312" w:cs="仿宋_GB2312"/>
          <w:sz w:val="32"/>
          <w:szCs w:val="32"/>
        </w:rPr>
      </w:pPr>
    </w:p>
    <w:p w14:paraId="575B3386">
      <w:pPr>
        <w:spacing w:line="580" w:lineRule="exact"/>
        <w:rPr>
          <w:rFonts w:ascii="仿宋_GB2312" w:hAnsi="仿宋_GB2312" w:eastAsia="仿宋_GB2312" w:cs="仿宋_GB2312"/>
          <w:sz w:val="32"/>
          <w:szCs w:val="32"/>
        </w:rPr>
      </w:pPr>
    </w:p>
    <w:p w14:paraId="39A081AD">
      <w:pPr>
        <w:spacing w:line="580" w:lineRule="exact"/>
        <w:rPr>
          <w:rFonts w:ascii="仿宋_GB2312" w:hAnsi="仿宋_GB2312" w:eastAsia="仿宋_GB2312" w:cs="仿宋_GB2312"/>
          <w:sz w:val="32"/>
          <w:szCs w:val="32"/>
        </w:rPr>
      </w:pPr>
    </w:p>
    <w:p w14:paraId="185C78C4">
      <w:pPr>
        <w:spacing w:line="580" w:lineRule="exact"/>
        <w:rPr>
          <w:rFonts w:ascii="仿宋_GB2312" w:hAnsi="仿宋_GB2312" w:eastAsia="仿宋_GB2312" w:cs="仿宋_GB2312"/>
          <w:sz w:val="32"/>
          <w:szCs w:val="32"/>
        </w:rPr>
      </w:pPr>
    </w:p>
    <w:p w14:paraId="17BE8BB3">
      <w:pPr>
        <w:spacing w:line="580" w:lineRule="exact"/>
        <w:rPr>
          <w:rFonts w:ascii="仿宋_GB2312" w:hAnsi="仿宋_GB2312" w:eastAsia="仿宋_GB2312" w:cs="仿宋_GB2312"/>
          <w:sz w:val="32"/>
          <w:szCs w:val="32"/>
        </w:rPr>
      </w:pPr>
    </w:p>
    <w:tbl>
      <w:tblPr>
        <w:tblStyle w:val="13"/>
        <w:tblpPr w:leftFromText="180" w:rightFromText="180" w:vertAnchor="text" w:horzAnchor="page" w:tblpXSpec="center" w:tblpY="423"/>
        <w:tblOverlap w:val="never"/>
        <w:tblW w:w="9960" w:type="dxa"/>
        <w:jc w:val="center"/>
        <w:tblLayout w:type="fixed"/>
        <w:tblCellMar>
          <w:top w:w="0" w:type="dxa"/>
          <w:left w:w="0" w:type="dxa"/>
          <w:bottom w:w="0" w:type="dxa"/>
          <w:right w:w="0" w:type="dxa"/>
        </w:tblCellMar>
      </w:tblPr>
      <w:tblGrid>
        <w:gridCol w:w="390"/>
        <w:gridCol w:w="1367"/>
        <w:gridCol w:w="1025"/>
        <w:gridCol w:w="2392"/>
        <w:gridCol w:w="2394"/>
        <w:gridCol w:w="2392"/>
      </w:tblGrid>
      <w:tr w14:paraId="66B44273">
        <w:tblPrEx>
          <w:tblCellMar>
            <w:top w:w="0" w:type="dxa"/>
            <w:left w:w="0" w:type="dxa"/>
            <w:bottom w:w="0" w:type="dxa"/>
            <w:right w:w="0" w:type="dxa"/>
          </w:tblCellMar>
        </w:tblPrEx>
        <w:trPr>
          <w:trHeight w:val="1034" w:hRule="atLeast"/>
          <w:jc w:val="center"/>
        </w:trPr>
        <w:tc>
          <w:tcPr>
            <w:tcW w:w="9960" w:type="dxa"/>
            <w:gridSpan w:val="6"/>
            <w:tcBorders>
              <w:top w:val="nil"/>
              <w:left w:val="nil"/>
              <w:bottom w:val="nil"/>
              <w:right w:val="nil"/>
            </w:tcBorders>
            <w:tcMar>
              <w:top w:w="15" w:type="dxa"/>
              <w:left w:w="15" w:type="dxa"/>
              <w:right w:w="15" w:type="dxa"/>
            </w:tcMar>
            <w:vAlign w:val="center"/>
          </w:tcPr>
          <w:p w14:paraId="23C98C93">
            <w:pPr>
              <w:widowControl/>
              <w:jc w:val="center"/>
              <w:textAlignment w:val="center"/>
              <w:rPr>
                <w:rFonts w:ascii="宋体" w:hAnsi="宋体" w:cs="宋体"/>
                <w:color w:val="000000"/>
                <w:sz w:val="36"/>
                <w:szCs w:val="36"/>
              </w:rPr>
            </w:pPr>
            <w:r>
              <w:rPr>
                <w:rFonts w:hint="eastAsia" w:ascii="宋体" w:hAnsi="宋体" w:cs="宋体"/>
                <w:b/>
                <w:bCs/>
                <w:color w:val="000000"/>
                <w:kern w:val="0"/>
                <w:sz w:val="36"/>
                <w:szCs w:val="36"/>
              </w:rPr>
              <w:t>项目绩效目标完成情况表</w:t>
            </w:r>
            <w:r>
              <w:rPr>
                <w:rFonts w:hint="eastAsia" w:ascii="宋体" w:hAnsi="宋体" w:cs="宋体"/>
                <w:b/>
                <w:bCs/>
                <w:color w:val="000000"/>
                <w:kern w:val="0"/>
                <w:sz w:val="36"/>
                <w:szCs w:val="36"/>
              </w:rPr>
              <w:br w:type="textWrapping"/>
            </w:r>
            <w:r>
              <w:rPr>
                <w:rFonts w:hint="eastAsia" w:ascii="宋体" w:hAnsi="宋体" w:cs="宋体"/>
                <w:b/>
                <w:bCs/>
                <w:color w:val="000000"/>
                <w:kern w:val="0"/>
                <w:sz w:val="36"/>
                <w:szCs w:val="36"/>
                <w:lang w:eastAsia="zh-CN"/>
              </w:rPr>
              <w:t>（</w:t>
            </w:r>
            <w:r>
              <w:rPr>
                <w:rFonts w:hint="eastAsia" w:ascii="宋体" w:hAnsi="宋体" w:cs="宋体"/>
                <w:color w:val="000000"/>
                <w:kern w:val="0"/>
                <w:sz w:val="36"/>
                <w:szCs w:val="36"/>
              </w:rPr>
              <w:t>2020 年度</w:t>
            </w:r>
            <w:r>
              <w:rPr>
                <w:rFonts w:hint="eastAsia" w:ascii="宋体" w:hAnsi="宋体" w:cs="宋体"/>
                <w:color w:val="000000"/>
                <w:kern w:val="0"/>
                <w:sz w:val="36"/>
                <w:szCs w:val="36"/>
                <w:lang w:eastAsia="zh-CN"/>
              </w:rPr>
              <w:t>）</w:t>
            </w:r>
          </w:p>
        </w:tc>
      </w:tr>
      <w:tr w14:paraId="75F4E1AA">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A4A2CD">
            <w:pPr>
              <w:widowControl/>
              <w:jc w:val="center"/>
              <w:textAlignment w:val="center"/>
              <w:rPr>
                <w:rFonts w:ascii="宋体" w:hAnsi="宋体" w:cs="宋体"/>
                <w:color w:val="000000"/>
                <w:sz w:val="24"/>
              </w:rPr>
            </w:pPr>
            <w:r>
              <w:rPr>
                <w:rFonts w:hint="eastAsia" w:ascii="宋体" w:hAnsi="宋体" w:cs="宋体"/>
                <w:color w:val="000000"/>
                <w:kern w:val="0"/>
                <w:sz w:val="24"/>
              </w:rPr>
              <w:t>项目名称</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A8499">
            <w:pPr>
              <w:widowControl/>
              <w:jc w:val="center"/>
              <w:textAlignment w:val="center"/>
              <w:rPr>
                <w:rFonts w:ascii="宋体" w:hAnsi="宋体" w:cs="宋体"/>
                <w:color w:val="000000"/>
                <w:sz w:val="24"/>
              </w:rPr>
            </w:pPr>
          </w:p>
        </w:tc>
      </w:tr>
      <w:tr w14:paraId="3DD56989">
        <w:tblPrEx>
          <w:tblCellMar>
            <w:top w:w="0" w:type="dxa"/>
            <w:left w:w="0" w:type="dxa"/>
            <w:bottom w:w="0" w:type="dxa"/>
            <w:right w:w="0" w:type="dxa"/>
          </w:tblCellMar>
        </w:tblPrEx>
        <w:trPr>
          <w:trHeight w:val="276" w:hRule="atLeast"/>
          <w:jc w:val="center"/>
        </w:trPr>
        <w:tc>
          <w:tcPr>
            <w:tcW w:w="278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3578A2">
            <w:pPr>
              <w:widowControl/>
              <w:jc w:val="center"/>
              <w:textAlignment w:val="center"/>
              <w:rPr>
                <w:rFonts w:ascii="宋体" w:hAnsi="宋体" w:cs="宋体"/>
                <w:color w:val="000000"/>
                <w:sz w:val="24"/>
              </w:rPr>
            </w:pPr>
            <w:r>
              <w:rPr>
                <w:rFonts w:hint="eastAsia" w:ascii="宋体" w:hAnsi="宋体" w:cs="宋体"/>
                <w:color w:val="000000"/>
                <w:kern w:val="0"/>
                <w:sz w:val="24"/>
              </w:rPr>
              <w:t>预算单位</w:t>
            </w:r>
          </w:p>
        </w:tc>
        <w:tc>
          <w:tcPr>
            <w:tcW w:w="717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448639">
            <w:pPr>
              <w:widowControl/>
              <w:jc w:val="center"/>
              <w:textAlignment w:val="center"/>
              <w:rPr>
                <w:rFonts w:ascii="宋体" w:hAnsi="宋体" w:cs="宋体"/>
                <w:color w:val="000000"/>
                <w:sz w:val="24"/>
              </w:rPr>
            </w:pPr>
            <w:r>
              <w:rPr>
                <w:rFonts w:hint="eastAsia" w:ascii="宋体" w:hAnsi="宋体" w:cs="宋体"/>
                <w:color w:val="000000"/>
                <w:sz w:val="24"/>
              </w:rPr>
              <w:t>盐边县自然资源规划和林业局</w:t>
            </w:r>
          </w:p>
        </w:tc>
      </w:tr>
      <w:tr w14:paraId="6E268836">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C56D6D">
            <w:pPr>
              <w:widowControl/>
              <w:jc w:val="center"/>
              <w:textAlignment w:val="center"/>
              <w:rPr>
                <w:rFonts w:ascii="宋体" w:hAnsi="宋体" w:cs="宋体"/>
                <w:color w:val="000000"/>
                <w:sz w:val="24"/>
              </w:rPr>
            </w:pPr>
            <w:r>
              <w:rPr>
                <w:rFonts w:hint="eastAsia" w:ascii="宋体" w:hAnsi="宋体" w:cs="宋体"/>
                <w:color w:val="000000"/>
                <w:kern w:val="0"/>
                <w:sz w:val="24"/>
              </w:rPr>
              <w:t>预算执行情况</w:t>
            </w:r>
            <w:r>
              <w:rPr>
                <w:rFonts w:hint="eastAsia" w:ascii="宋体" w:hAnsi="宋体" w:cs="宋体"/>
                <w:color w:val="000000"/>
                <w:kern w:val="0"/>
                <w:sz w:val="24"/>
                <w:lang w:eastAsia="zh-CN"/>
              </w:rPr>
              <w:t>（</w:t>
            </w:r>
            <w:r>
              <w:rPr>
                <w:rFonts w:hint="eastAsia" w:ascii="宋体" w:hAnsi="宋体" w:cs="宋体"/>
                <w:color w:val="000000"/>
                <w:kern w:val="0"/>
                <w:sz w:val="24"/>
              </w:rPr>
              <w:t>万元</w:t>
            </w:r>
            <w:r>
              <w:rPr>
                <w:rFonts w:hint="eastAsia" w:ascii="宋体" w:hAnsi="宋体" w:cs="宋体"/>
                <w:color w:val="000000"/>
                <w:kern w:val="0"/>
                <w:sz w:val="24"/>
                <w:lang w:eastAsia="zh-CN"/>
              </w:rPr>
              <w:t>）</w:t>
            </w: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783CC3">
            <w:pPr>
              <w:widowControl/>
              <w:jc w:val="center"/>
              <w:textAlignment w:val="center"/>
              <w:rPr>
                <w:rFonts w:ascii="宋体" w:hAnsi="宋体" w:cs="宋体"/>
                <w:color w:val="000000"/>
                <w:sz w:val="24"/>
              </w:rPr>
            </w:pPr>
            <w:r>
              <w:rPr>
                <w:rFonts w:hint="eastAsia" w:ascii="宋体" w:hAnsi="宋体" w:cs="宋体"/>
                <w:color w:val="000000"/>
                <w:kern w:val="0"/>
                <w:sz w:val="24"/>
              </w:rPr>
              <w:t>预算数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B4233E">
            <w:pPr>
              <w:widowControl/>
              <w:jc w:val="center"/>
              <w:textAlignment w:val="center"/>
              <w:rPr>
                <w:rFonts w:ascii="宋体" w:hAnsi="宋体" w:cs="宋体"/>
                <w:color w:val="000000"/>
                <w:sz w:val="24"/>
              </w:rPr>
            </w:pPr>
            <w:r>
              <w:rPr>
                <w:rFonts w:hint="eastAsia" w:ascii="宋体" w:hAnsi="宋体" w:cs="宋体"/>
                <w:color w:val="000000"/>
                <w:sz w:val="24"/>
              </w:rPr>
              <w:t>59129.17</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F7F90E">
            <w:pPr>
              <w:widowControl/>
              <w:jc w:val="center"/>
              <w:textAlignment w:val="center"/>
              <w:rPr>
                <w:rFonts w:ascii="宋体" w:hAnsi="宋体" w:cs="宋体"/>
                <w:color w:val="000000"/>
                <w:sz w:val="24"/>
              </w:rPr>
            </w:pPr>
            <w:r>
              <w:rPr>
                <w:rFonts w:hint="eastAsia" w:ascii="宋体" w:hAnsi="宋体" w:cs="宋体"/>
                <w:color w:val="000000"/>
                <w:kern w:val="0"/>
                <w:sz w:val="24"/>
              </w:rPr>
              <w:t>执行数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9169A7">
            <w:pPr>
              <w:widowControl/>
              <w:jc w:val="center"/>
              <w:textAlignment w:val="center"/>
              <w:rPr>
                <w:rFonts w:ascii="宋体" w:hAnsi="宋体" w:cs="宋体"/>
                <w:color w:val="000000"/>
                <w:sz w:val="24"/>
              </w:rPr>
            </w:pPr>
            <w:r>
              <w:rPr>
                <w:rFonts w:hint="eastAsia" w:ascii="宋体" w:hAnsi="宋体" w:cs="宋体"/>
                <w:color w:val="000000"/>
                <w:sz w:val="24"/>
              </w:rPr>
              <w:t>48762.38</w:t>
            </w:r>
          </w:p>
        </w:tc>
      </w:tr>
      <w:tr w14:paraId="5FAAD89D">
        <w:tblPrEx>
          <w:tblCellMar>
            <w:top w:w="0" w:type="dxa"/>
            <w:left w:w="0" w:type="dxa"/>
            <w:bottom w:w="0" w:type="dxa"/>
            <w:right w:w="0" w:type="dxa"/>
          </w:tblCellMar>
        </w:tblPrEx>
        <w:trPr>
          <w:trHeight w:val="276"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F3F34">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9924A4">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BF4C6C">
            <w:pPr>
              <w:widowControl/>
              <w:jc w:val="center"/>
              <w:textAlignment w:val="center"/>
              <w:rPr>
                <w:rFonts w:ascii="宋体" w:hAnsi="宋体" w:cs="宋体"/>
                <w:color w:val="000000"/>
                <w:sz w:val="24"/>
              </w:rPr>
            </w:pPr>
            <w:r>
              <w:rPr>
                <w:rFonts w:hint="eastAsia" w:ascii="宋体" w:hAnsi="宋体" w:cs="宋体"/>
                <w:color w:val="000000"/>
                <w:sz w:val="24"/>
              </w:rPr>
              <w:t>59129.17</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53EF37">
            <w:pPr>
              <w:widowControl/>
              <w:jc w:val="center"/>
              <w:textAlignment w:val="center"/>
              <w:rPr>
                <w:rFonts w:ascii="宋体" w:hAnsi="宋体" w:cs="宋体"/>
                <w:color w:val="000000"/>
                <w:sz w:val="24"/>
              </w:rPr>
            </w:pPr>
            <w:r>
              <w:rPr>
                <w:rFonts w:hint="eastAsia" w:ascii="宋体" w:hAnsi="宋体" w:cs="宋体"/>
                <w:color w:val="000000"/>
                <w:kern w:val="0"/>
                <w:sz w:val="24"/>
              </w:rPr>
              <w:t>其中</w:t>
            </w:r>
            <w:r>
              <w:rPr>
                <w:rFonts w:hint="eastAsia" w:ascii="宋体" w:hAnsi="宋体" w:cs="宋体"/>
                <w:color w:val="000000"/>
                <w:kern w:val="0"/>
                <w:sz w:val="24"/>
                <w:lang w:eastAsia="zh-CN"/>
              </w:rPr>
              <w:t>－</w:t>
            </w:r>
            <w:r>
              <w:rPr>
                <w:rFonts w:hint="eastAsia" w:ascii="宋体" w:hAnsi="宋体" w:cs="宋体"/>
                <w:color w:val="000000"/>
                <w:kern w:val="0"/>
                <w:sz w:val="24"/>
              </w:rPr>
              <w:t>财政拨款</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4E01E2">
            <w:pPr>
              <w:widowControl/>
              <w:jc w:val="center"/>
              <w:textAlignment w:val="center"/>
              <w:rPr>
                <w:rFonts w:ascii="宋体" w:hAnsi="宋体" w:cs="宋体"/>
                <w:color w:val="000000"/>
                <w:sz w:val="24"/>
              </w:rPr>
            </w:pPr>
            <w:r>
              <w:rPr>
                <w:rFonts w:hint="eastAsia" w:ascii="宋体" w:hAnsi="宋体" w:cs="宋体"/>
                <w:color w:val="000000"/>
                <w:sz w:val="24"/>
              </w:rPr>
              <w:t>48762.38</w:t>
            </w:r>
          </w:p>
        </w:tc>
      </w:tr>
      <w:tr w14:paraId="5BF9BE9B">
        <w:tblPrEx>
          <w:tblCellMar>
            <w:top w:w="0" w:type="dxa"/>
            <w:left w:w="0" w:type="dxa"/>
            <w:bottom w:w="0" w:type="dxa"/>
            <w:right w:w="0" w:type="dxa"/>
          </w:tblCellMar>
        </w:tblPrEx>
        <w:trPr>
          <w:trHeight w:val="1511"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C61533">
            <w:pPr>
              <w:jc w:val="center"/>
              <w:rPr>
                <w:rFonts w:ascii="宋体" w:hAnsi="宋体" w:cs="宋体"/>
                <w:color w:val="000000"/>
                <w:sz w:val="24"/>
              </w:rPr>
            </w:pPr>
          </w:p>
        </w:tc>
        <w:tc>
          <w:tcPr>
            <w:tcW w:w="2392"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E943FB">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657FF">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C7765">
            <w:pPr>
              <w:widowControl/>
              <w:jc w:val="center"/>
              <w:textAlignment w:val="center"/>
              <w:rPr>
                <w:rFonts w:ascii="宋体" w:hAnsi="宋体" w:cs="宋体"/>
                <w:color w:val="000000"/>
                <w:sz w:val="24"/>
              </w:rPr>
            </w:pPr>
            <w:r>
              <w:rPr>
                <w:rFonts w:hint="eastAsia" w:ascii="宋体" w:hAnsi="宋体" w:cs="宋体"/>
                <w:color w:val="000000"/>
                <w:kern w:val="0"/>
                <w:sz w:val="24"/>
                <w:lang w:eastAsia="zh-CN"/>
              </w:rPr>
              <w:t>其他</w:t>
            </w:r>
            <w:r>
              <w:rPr>
                <w:rFonts w:hint="eastAsia" w:ascii="宋体" w:hAnsi="宋体" w:cs="宋体"/>
                <w:color w:val="000000"/>
                <w:kern w:val="0"/>
                <w:sz w:val="24"/>
              </w:rPr>
              <w:t>资金</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126ADA">
            <w:pPr>
              <w:jc w:val="center"/>
              <w:rPr>
                <w:rFonts w:ascii="宋体" w:hAnsi="宋体" w:cs="宋体"/>
                <w:color w:val="000000"/>
                <w:sz w:val="24"/>
              </w:rPr>
            </w:pPr>
          </w:p>
        </w:tc>
      </w:tr>
      <w:tr w14:paraId="7AA114F4">
        <w:tblPrEx>
          <w:tblCellMar>
            <w:top w:w="0" w:type="dxa"/>
            <w:left w:w="0" w:type="dxa"/>
            <w:bottom w:w="0" w:type="dxa"/>
            <w:right w:w="0" w:type="dxa"/>
          </w:tblCellMar>
        </w:tblPrEx>
        <w:trPr>
          <w:trHeight w:val="276" w:hRule="atLeast"/>
          <w:jc w:val="center"/>
        </w:trPr>
        <w:tc>
          <w:tcPr>
            <w:tcW w:w="3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920319">
            <w:pPr>
              <w:widowControl/>
              <w:jc w:val="center"/>
              <w:textAlignment w:val="center"/>
              <w:rPr>
                <w:rFonts w:ascii="宋体" w:hAnsi="宋体" w:cs="宋体"/>
                <w:color w:val="000000"/>
                <w:sz w:val="24"/>
              </w:rPr>
            </w:pPr>
            <w:r>
              <w:rPr>
                <w:rFonts w:hint="eastAsia" w:ascii="宋体" w:hAnsi="宋体" w:cs="宋体"/>
                <w:color w:val="000000"/>
                <w:kern w:val="0"/>
                <w:sz w:val="24"/>
              </w:rPr>
              <w:t>年度目标完成情况</w:t>
            </w: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F707FE">
            <w:pPr>
              <w:widowControl/>
              <w:jc w:val="center"/>
              <w:textAlignment w:val="center"/>
              <w:rPr>
                <w:rFonts w:ascii="宋体" w:hAnsi="宋体" w:cs="宋体"/>
                <w:color w:val="000000"/>
                <w:sz w:val="24"/>
              </w:rPr>
            </w:pPr>
            <w:r>
              <w:rPr>
                <w:rFonts w:hint="eastAsia" w:ascii="宋体" w:hAnsi="宋体" w:cs="宋体"/>
                <w:color w:val="000000"/>
                <w:kern w:val="0"/>
                <w:sz w:val="24"/>
              </w:rPr>
              <w:t>预期目标</w:t>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535278">
            <w:pPr>
              <w:widowControl/>
              <w:jc w:val="center"/>
              <w:textAlignment w:val="center"/>
              <w:rPr>
                <w:rFonts w:ascii="宋体" w:hAnsi="宋体" w:cs="宋体"/>
                <w:color w:val="000000"/>
                <w:sz w:val="24"/>
              </w:rPr>
            </w:pPr>
            <w:r>
              <w:rPr>
                <w:rFonts w:hint="eastAsia" w:ascii="宋体" w:hAnsi="宋体" w:cs="宋体"/>
                <w:color w:val="000000"/>
                <w:kern w:val="0"/>
                <w:sz w:val="24"/>
              </w:rPr>
              <w:t>实际完成目标</w:t>
            </w:r>
          </w:p>
        </w:tc>
      </w:tr>
      <w:tr w14:paraId="5B7D3EBB">
        <w:tblPrEx>
          <w:tblCellMar>
            <w:top w:w="0" w:type="dxa"/>
            <w:left w:w="0" w:type="dxa"/>
            <w:bottom w:w="0" w:type="dxa"/>
            <w:right w:w="0" w:type="dxa"/>
          </w:tblCellMar>
        </w:tblPrEx>
        <w:trPr>
          <w:trHeight w:val="1159" w:hRule="atLeast"/>
          <w:jc w:val="center"/>
        </w:trPr>
        <w:tc>
          <w:tcPr>
            <w:tcW w:w="3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9CE31A">
            <w:pPr>
              <w:jc w:val="center"/>
              <w:rPr>
                <w:rFonts w:ascii="宋体" w:hAnsi="宋体" w:cs="宋体"/>
                <w:color w:val="000000"/>
                <w:sz w:val="24"/>
              </w:rPr>
            </w:pPr>
          </w:p>
        </w:tc>
        <w:tc>
          <w:tcPr>
            <w:tcW w:w="478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E7C200">
            <w:pPr>
              <w:widowControl/>
              <w:jc w:val="center"/>
              <w:textAlignment w:val="center"/>
              <w:rPr>
                <w:rFonts w:ascii="宋体" w:hAnsi="宋体" w:cs="宋体"/>
                <w:color w:val="000000"/>
                <w:sz w:val="24"/>
              </w:rPr>
            </w:pPr>
          </w:p>
          <w:p w14:paraId="03015B65">
            <w:pPr>
              <w:widowControl/>
              <w:jc w:val="center"/>
              <w:textAlignment w:val="center"/>
              <w:rPr>
                <w:rFonts w:ascii="宋体" w:hAnsi="宋体" w:cs="宋体"/>
                <w:color w:val="000000"/>
                <w:sz w:val="24"/>
              </w:rPr>
            </w:pPr>
            <w:r>
              <w:rPr>
                <w:rFonts w:hint="eastAsia" w:ascii="宋体" w:hAnsi="宋体" w:cs="宋体"/>
                <w:color w:val="000000"/>
                <w:sz w:val="24"/>
              </w:rPr>
              <w:t>按计划实施天然林管护和退耕还林工程、实施生态修复，推进国土绿化、森林资源保护、开展毁林开垦专项整治行动、推进森林防火工作、集中清理整治重点区域违法违规占用国家资源挤占生态空间行为专项行动工作、卫片执法工作、第三次全国国土调查工作、永久基本农田储备区划定及调整补划</w:t>
            </w:r>
            <w:r>
              <w:rPr>
                <w:rFonts w:hint="eastAsia" w:ascii="宋体" w:hAnsi="宋体" w:cs="宋体"/>
                <w:color w:val="000000"/>
                <w:sz w:val="24"/>
              </w:rPr>
              <w:tab/>
            </w:r>
          </w:p>
        </w:tc>
        <w:tc>
          <w:tcPr>
            <w:tcW w:w="4786" w:type="dxa"/>
            <w:gridSpan w:val="2"/>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EAC03">
            <w:pPr>
              <w:widowControl/>
              <w:jc w:val="center"/>
              <w:textAlignment w:val="center"/>
              <w:rPr>
                <w:rFonts w:ascii="宋体" w:hAnsi="宋体" w:cs="宋体"/>
                <w:color w:val="000000"/>
                <w:sz w:val="24"/>
              </w:rPr>
            </w:pPr>
            <w:r>
              <w:rPr>
                <w:rFonts w:hint="eastAsia" w:ascii="宋体" w:hAnsi="宋体" w:cs="宋体"/>
                <w:color w:val="000000"/>
                <w:sz w:val="24"/>
              </w:rPr>
              <w:t>管护国有林184.25万亩，补偿国有国家级公益林20.3万亩，集体和个人所有公益林84.94万亩，天然商品林停伐管护补助400736亩。补助森林抚育面积4.7万亩，兑现1999-2003年前一轮补助期满退耕还生态林81060.3亩。完成全县义务植树54.1万株，完成国家林草局下发我县森林、林地变化图斑现地核实工作，办理征占用林地22件，办理林木采伐证212件，累计设置松墨天牛诱捕器60套，防控面积6000亩，诱捕松墨天牛8240头，受理共立各类森林案件210起、破201起，破案率为95.7%，其中立刑事案件26起、破17起，分别比去年同期上升73.3%和6%，刑事拘留3人次、取保候审17人次，依法起诉13起，13人；办理行政案件184起，共查处擅自野外用火行政案件13件，行政处罚13人；立失火案15起，已破7起，刑事拘留3人次、取保候审7人次。全面完成实地核查及县图斑会审工作，涉及违法违规项目296个，根据专项清理整治工作要求，结合保护划定和涉及项目实际情况，确定违法违规项目7个，已全部完成整改。盐边县第三次全国国土调查初步数据成果已通过国家验收，正在根据国家最新反馈外业举证图斑开展外业举证工作。2019年一季度下发土地卫片图斑1个，二季度土地卫片图斑17个，三季度土地卫片图斑1个，已完成图斑判定和系统填报，正在按要求查处整改。2019年第一季度矿产卫片5个，三季度矿产卫片1个，已完成图斑判定和系统填报，正在开展查处整改工作。完成永久基本农田储备区划定及调整补划作业单位，完成图斑内业梳理4233.54公顷（毛面积），外业核查3842.02公顷（毛面积），综合征求意见后初步划定面积1502.59公顷（净面积），根据省、市审查反馈结果修改后确定划定面积1239.47公顷（净面积），成果已上报并通过市、省级审查；</w:t>
            </w:r>
            <w:r>
              <w:rPr>
                <w:rFonts w:hint="eastAsia" w:ascii="宋体" w:hAnsi="宋体" w:cs="宋体"/>
                <w:color w:val="000000"/>
                <w:sz w:val="24"/>
              </w:rPr>
              <w:tab/>
            </w:r>
            <w:r>
              <w:rPr>
                <w:rFonts w:hint="eastAsia" w:ascii="宋体" w:hAnsi="宋体" w:cs="宋体"/>
                <w:color w:val="000000"/>
                <w:sz w:val="24"/>
              </w:rPr>
              <w:tab/>
            </w:r>
            <w:r>
              <w:rPr>
                <w:rFonts w:ascii="宋体" w:hAnsi="宋体" w:cs="宋体"/>
                <w:color w:val="000000"/>
                <w:sz w:val="24"/>
              </w:rPr>
              <w:tab/>
            </w:r>
          </w:p>
        </w:tc>
      </w:tr>
      <w:tr w14:paraId="1081469E">
        <w:tblPrEx>
          <w:tblCellMar>
            <w:top w:w="0" w:type="dxa"/>
            <w:left w:w="0" w:type="dxa"/>
            <w:bottom w:w="0" w:type="dxa"/>
            <w:right w:w="0" w:type="dxa"/>
          </w:tblCellMar>
        </w:tblPrEx>
        <w:trPr>
          <w:trHeight w:val="1042" w:hRule="atLeast"/>
          <w:jc w:val="center"/>
        </w:trPr>
        <w:tc>
          <w:tcPr>
            <w:tcW w:w="390" w:type="dxa"/>
            <w:vMerge w:val="restart"/>
            <w:tcBorders>
              <w:top w:val="single" w:color="000000" w:sz="4" w:space="0"/>
              <w:left w:val="single" w:color="000000" w:sz="4" w:space="0"/>
              <w:right w:val="single" w:color="000000" w:sz="4" w:space="0"/>
            </w:tcBorders>
            <w:tcMar>
              <w:top w:w="15" w:type="dxa"/>
              <w:left w:w="15" w:type="dxa"/>
              <w:right w:w="15" w:type="dxa"/>
            </w:tcMar>
            <w:vAlign w:val="center"/>
          </w:tcPr>
          <w:p w14:paraId="585600F3">
            <w:pPr>
              <w:widowControl/>
              <w:jc w:val="center"/>
              <w:textAlignment w:val="center"/>
              <w:rPr>
                <w:rFonts w:ascii="宋体" w:hAnsi="宋体" w:cs="宋体"/>
                <w:color w:val="000000"/>
                <w:sz w:val="24"/>
              </w:rPr>
            </w:pPr>
            <w:r>
              <w:rPr>
                <w:rFonts w:hint="eastAsia" w:ascii="宋体" w:hAnsi="宋体" w:cs="宋体"/>
                <w:color w:val="000000"/>
                <w:sz w:val="24"/>
              </w:rPr>
              <w:t>绩效指标完成情况</w:t>
            </w: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A26DB4">
            <w:pPr>
              <w:widowControl/>
              <w:jc w:val="center"/>
              <w:textAlignment w:val="center"/>
              <w:rPr>
                <w:rFonts w:ascii="宋体" w:hAnsi="宋体" w:cs="宋体"/>
                <w:color w:val="000000"/>
                <w:sz w:val="24"/>
              </w:rPr>
            </w:pPr>
            <w:r>
              <w:rPr>
                <w:rFonts w:hint="eastAsia" w:ascii="宋体" w:hAnsi="宋体" w:cs="宋体"/>
                <w:color w:val="000000"/>
                <w:kern w:val="0"/>
                <w:sz w:val="24"/>
              </w:rPr>
              <w:t>一级指标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C08CA7">
            <w:pPr>
              <w:widowControl/>
              <w:jc w:val="center"/>
              <w:textAlignment w:val="center"/>
              <w:rPr>
                <w:rFonts w:ascii="宋体" w:hAnsi="宋体" w:cs="宋体"/>
                <w:color w:val="000000"/>
                <w:sz w:val="24"/>
              </w:rPr>
            </w:pPr>
            <w:r>
              <w:rPr>
                <w:rFonts w:hint="eastAsia" w:ascii="宋体" w:hAnsi="宋体" w:cs="宋体"/>
                <w:color w:val="000000"/>
                <w:kern w:val="0"/>
                <w:sz w:val="24"/>
              </w:rPr>
              <w:t>二级指标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AE607F">
            <w:pPr>
              <w:widowControl/>
              <w:jc w:val="center"/>
              <w:textAlignment w:val="center"/>
              <w:rPr>
                <w:rFonts w:ascii="宋体" w:hAnsi="宋体" w:cs="宋体"/>
                <w:color w:val="000000"/>
                <w:sz w:val="24"/>
              </w:rPr>
            </w:pPr>
            <w:r>
              <w:rPr>
                <w:rFonts w:hint="eastAsia" w:ascii="宋体" w:hAnsi="宋体" w:cs="宋体"/>
                <w:color w:val="000000"/>
                <w:kern w:val="0"/>
                <w:sz w:val="24"/>
              </w:rPr>
              <w:t>三级指标</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508C3">
            <w:pPr>
              <w:widowControl/>
              <w:jc w:val="center"/>
              <w:textAlignment w:val="center"/>
              <w:rPr>
                <w:rFonts w:ascii="宋体" w:hAnsi="宋体" w:cs="宋体"/>
                <w:color w:val="000000"/>
                <w:sz w:val="24"/>
              </w:rPr>
            </w:pPr>
            <w:r>
              <w:rPr>
                <w:rFonts w:hint="eastAsia" w:ascii="宋体" w:hAnsi="宋体" w:cs="宋体"/>
                <w:color w:val="000000"/>
                <w:kern w:val="0"/>
                <w:sz w:val="24"/>
              </w:rPr>
              <w:t>预期指标值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090638">
            <w:pPr>
              <w:widowControl/>
              <w:jc w:val="center"/>
              <w:textAlignment w:val="center"/>
              <w:rPr>
                <w:rFonts w:ascii="宋体" w:hAnsi="宋体" w:cs="宋体"/>
                <w:color w:val="000000"/>
                <w:sz w:val="24"/>
              </w:rPr>
            </w:pPr>
            <w:r>
              <w:rPr>
                <w:rFonts w:hint="eastAsia" w:ascii="宋体" w:hAnsi="宋体" w:cs="宋体"/>
                <w:color w:val="000000"/>
                <w:kern w:val="0"/>
                <w:sz w:val="24"/>
              </w:rPr>
              <w:t>实际完成指标值</w:t>
            </w:r>
            <w:r>
              <w:rPr>
                <w:rFonts w:hint="eastAsia" w:ascii="宋体" w:hAnsi="宋体" w:cs="宋体"/>
                <w:color w:val="000000"/>
                <w:kern w:val="0"/>
                <w:sz w:val="24"/>
                <w:lang w:eastAsia="zh-CN"/>
              </w:rPr>
              <w:t>（</w:t>
            </w:r>
            <w:r>
              <w:rPr>
                <w:rFonts w:hint="eastAsia" w:ascii="宋体" w:hAnsi="宋体" w:cs="宋体"/>
                <w:color w:val="000000"/>
                <w:kern w:val="0"/>
                <w:sz w:val="24"/>
              </w:rPr>
              <w:t>包含数字及文字描述</w:t>
            </w:r>
            <w:r>
              <w:rPr>
                <w:rFonts w:hint="eastAsia" w:ascii="宋体" w:hAnsi="宋体" w:cs="宋体"/>
                <w:color w:val="000000"/>
                <w:kern w:val="0"/>
                <w:sz w:val="24"/>
                <w:lang w:eastAsia="zh-CN"/>
              </w:rPr>
              <w:t>）</w:t>
            </w:r>
          </w:p>
        </w:tc>
      </w:tr>
      <w:tr w14:paraId="01B5C59B">
        <w:tblPrEx>
          <w:tblCellMar>
            <w:top w:w="0" w:type="dxa"/>
            <w:left w:w="0" w:type="dxa"/>
            <w:bottom w:w="0" w:type="dxa"/>
            <w:right w:w="0" w:type="dxa"/>
          </w:tblCellMar>
        </w:tblPrEx>
        <w:trPr>
          <w:trHeight w:val="953"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9836E90">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1E1045">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C724AD">
            <w:pPr>
              <w:widowControl/>
              <w:jc w:val="center"/>
              <w:textAlignment w:val="center"/>
              <w:rPr>
                <w:rFonts w:ascii="宋体" w:hAnsi="宋体" w:cs="宋体"/>
                <w:color w:val="000000"/>
                <w:sz w:val="24"/>
              </w:rPr>
            </w:pPr>
            <w:r>
              <w:rPr>
                <w:rFonts w:hint="eastAsia" w:ascii="宋体" w:hAnsi="宋体" w:cs="宋体"/>
                <w:color w:val="000000"/>
                <w:sz w:val="24"/>
              </w:rPr>
              <w:t>数量指标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8480E0">
            <w:pPr>
              <w:widowControl/>
              <w:jc w:val="center"/>
              <w:textAlignment w:val="center"/>
              <w:rPr>
                <w:rFonts w:ascii="宋体" w:hAnsi="宋体" w:cs="宋体"/>
                <w:color w:val="000000"/>
                <w:sz w:val="24"/>
              </w:rPr>
            </w:pPr>
            <w:r>
              <w:rPr>
                <w:rFonts w:hint="eastAsia" w:ascii="宋体" w:hAnsi="宋体" w:cs="宋体"/>
                <w:color w:val="000000"/>
                <w:sz w:val="24"/>
              </w:rPr>
              <w:t>全面下达项目资金59129.27万元</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0D6494">
            <w:pPr>
              <w:widowControl/>
              <w:jc w:val="center"/>
              <w:textAlignment w:val="center"/>
              <w:rPr>
                <w:rFonts w:ascii="宋体" w:hAnsi="宋体" w:cs="宋体"/>
                <w:color w:val="000000"/>
                <w:sz w:val="24"/>
              </w:rPr>
            </w:pPr>
            <w:r>
              <w:rPr>
                <w:rFonts w:hint="eastAsia" w:ascii="宋体" w:hAnsi="宋体" w:cs="宋体"/>
                <w:color w:val="000000"/>
                <w:sz w:val="24"/>
              </w:rPr>
              <w:t>实际支付48762.38万元</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4C3899">
            <w:pPr>
              <w:widowControl/>
              <w:jc w:val="center"/>
              <w:textAlignment w:val="center"/>
              <w:rPr>
                <w:rFonts w:ascii="宋体" w:hAnsi="宋体" w:cs="宋体"/>
                <w:color w:val="000000"/>
                <w:sz w:val="24"/>
              </w:rPr>
            </w:pPr>
            <w:r>
              <w:rPr>
                <w:rFonts w:hint="eastAsia" w:ascii="宋体" w:hAnsi="宋体" w:cs="宋体"/>
                <w:color w:val="000000"/>
                <w:sz w:val="24"/>
              </w:rPr>
              <w:t>完成83%</w:t>
            </w:r>
          </w:p>
        </w:tc>
      </w:tr>
      <w:tr w14:paraId="6FE7DBBC">
        <w:tblPrEx>
          <w:tblCellMar>
            <w:top w:w="0" w:type="dxa"/>
            <w:left w:w="0" w:type="dxa"/>
            <w:bottom w:w="0" w:type="dxa"/>
            <w:right w:w="0" w:type="dxa"/>
          </w:tblCellMar>
        </w:tblPrEx>
        <w:trPr>
          <w:trHeight w:val="1297"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C1A4F2F">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F5EC5">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504D47">
            <w:pPr>
              <w:widowControl/>
              <w:jc w:val="center"/>
              <w:textAlignment w:val="center"/>
              <w:rPr>
                <w:rFonts w:ascii="宋体" w:hAnsi="宋体" w:cs="宋体"/>
                <w:color w:val="000000"/>
                <w:sz w:val="24"/>
              </w:rPr>
            </w:pPr>
            <w:r>
              <w:rPr>
                <w:rFonts w:hint="eastAsia" w:ascii="宋体" w:hAnsi="宋体" w:cs="宋体"/>
                <w:color w:val="000000"/>
                <w:sz w:val="24"/>
              </w:rPr>
              <w:t>质量指标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690D75">
            <w:pPr>
              <w:widowControl/>
              <w:jc w:val="center"/>
              <w:textAlignment w:val="center"/>
              <w:rPr>
                <w:rFonts w:ascii="宋体" w:hAnsi="宋体" w:cs="宋体"/>
                <w:color w:val="000000"/>
                <w:sz w:val="24"/>
              </w:rPr>
            </w:pPr>
            <w:r>
              <w:rPr>
                <w:rFonts w:hint="eastAsia" w:ascii="宋体" w:hAnsi="宋体" w:cs="宋体"/>
                <w:color w:val="000000"/>
                <w:sz w:val="24"/>
              </w:rPr>
              <w:t>按省市县要求完成相关工作</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0CB036">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62A3E9">
            <w:pPr>
              <w:widowControl/>
              <w:jc w:val="center"/>
              <w:textAlignment w:val="center"/>
              <w:rPr>
                <w:rFonts w:ascii="宋体" w:hAnsi="宋体" w:cs="宋体"/>
                <w:color w:val="000000"/>
                <w:sz w:val="24"/>
              </w:rPr>
            </w:pPr>
            <w:r>
              <w:rPr>
                <w:rFonts w:hint="eastAsia" w:ascii="宋体" w:hAnsi="宋体" w:cs="宋体"/>
                <w:color w:val="000000"/>
                <w:sz w:val="24"/>
              </w:rPr>
              <w:t>完成83%</w:t>
            </w:r>
          </w:p>
        </w:tc>
      </w:tr>
      <w:tr w14:paraId="4A5B6C43">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5342F19">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98F531">
            <w:pPr>
              <w:widowControl/>
              <w:jc w:val="center"/>
              <w:textAlignment w:val="center"/>
              <w:rPr>
                <w:rFonts w:ascii="宋体" w:hAnsi="宋体" w:cs="宋体"/>
                <w:color w:val="00000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F6B526">
            <w:pPr>
              <w:widowControl/>
              <w:jc w:val="center"/>
              <w:textAlignment w:val="center"/>
              <w:rPr>
                <w:rFonts w:ascii="宋体" w:hAnsi="宋体" w:cs="宋体"/>
                <w:color w:val="000000"/>
                <w:sz w:val="24"/>
              </w:rPr>
            </w:pPr>
            <w:r>
              <w:rPr>
                <w:rFonts w:hint="eastAsia" w:ascii="宋体" w:hAnsi="宋体" w:cs="宋体"/>
                <w:color w:val="000000"/>
                <w:sz w:val="24"/>
              </w:rPr>
              <w:t>时效指标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524C8">
            <w:pPr>
              <w:widowControl/>
              <w:jc w:val="center"/>
              <w:textAlignment w:val="center"/>
              <w:rPr>
                <w:rFonts w:ascii="宋体" w:hAnsi="宋体" w:cs="宋体"/>
                <w:color w:val="000000"/>
                <w:sz w:val="24"/>
              </w:rPr>
            </w:pPr>
            <w:r>
              <w:rPr>
                <w:rFonts w:hint="eastAsia" w:ascii="宋体" w:hAnsi="宋体" w:cs="宋体"/>
                <w:color w:val="000000"/>
                <w:sz w:val="24"/>
              </w:rPr>
              <w:t>2019年12月31日完成</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126176">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AC1583">
            <w:pPr>
              <w:widowControl/>
              <w:jc w:val="center"/>
              <w:textAlignment w:val="center"/>
              <w:rPr>
                <w:rFonts w:ascii="宋体" w:hAnsi="宋体" w:cs="宋体"/>
                <w:color w:val="000000"/>
                <w:sz w:val="24"/>
              </w:rPr>
            </w:pPr>
            <w:r>
              <w:rPr>
                <w:rFonts w:hint="eastAsia" w:ascii="宋体" w:hAnsi="宋体" w:cs="宋体"/>
                <w:color w:val="000000"/>
                <w:sz w:val="24"/>
              </w:rPr>
              <w:t>完成100%</w:t>
            </w:r>
          </w:p>
        </w:tc>
      </w:tr>
      <w:tr w14:paraId="5EA49ADA">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56EB4258">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A5F410">
            <w:pPr>
              <w:widowControl/>
              <w:jc w:val="center"/>
              <w:textAlignment w:val="center"/>
              <w:rPr>
                <w:rFonts w:ascii="宋体" w:hAnsi="宋体" w:cs="宋体"/>
                <w:color w:val="000000"/>
                <w:kern w:val="0"/>
                <w:sz w:val="24"/>
              </w:rPr>
            </w:pPr>
            <w:r>
              <w:rPr>
                <w:rFonts w:hint="eastAsia" w:ascii="宋体" w:hAnsi="宋体" w:cs="宋体"/>
                <w:color w:val="000000"/>
                <w:kern w:val="0"/>
                <w:sz w:val="24"/>
              </w:rPr>
              <w:t>项目完成指标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69D2EA">
            <w:pPr>
              <w:widowControl/>
              <w:jc w:val="center"/>
              <w:textAlignment w:val="center"/>
              <w:rPr>
                <w:rFonts w:ascii="宋体" w:hAnsi="宋体" w:cs="宋体"/>
                <w:color w:val="000000"/>
                <w:sz w:val="24"/>
              </w:rPr>
            </w:pPr>
            <w:r>
              <w:rPr>
                <w:rFonts w:hint="eastAsia" w:ascii="宋体" w:hAnsi="宋体" w:cs="宋体"/>
                <w:color w:val="000000"/>
                <w:sz w:val="24"/>
              </w:rPr>
              <w:t>成本指标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497383">
            <w:pPr>
              <w:widowControl/>
              <w:jc w:val="center"/>
              <w:textAlignment w:val="center"/>
              <w:rPr>
                <w:rFonts w:ascii="宋体" w:hAnsi="宋体" w:cs="宋体"/>
                <w:color w:val="000000"/>
                <w:sz w:val="24"/>
              </w:rPr>
            </w:pP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422FF4">
            <w:pPr>
              <w:widowControl/>
              <w:jc w:val="center"/>
              <w:textAlignment w:val="center"/>
              <w:rPr>
                <w:rFonts w:ascii="宋体" w:hAnsi="宋体" w:cs="宋体"/>
                <w:color w:val="000000"/>
                <w:sz w:val="24"/>
              </w:rPr>
            </w:pP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C78065">
            <w:pPr>
              <w:widowControl/>
              <w:jc w:val="center"/>
              <w:textAlignment w:val="center"/>
              <w:rPr>
                <w:rFonts w:ascii="宋体" w:hAnsi="宋体" w:cs="宋体"/>
                <w:color w:val="000000"/>
                <w:sz w:val="24"/>
              </w:rPr>
            </w:pPr>
          </w:p>
        </w:tc>
      </w:tr>
      <w:tr w14:paraId="1C02122B">
        <w:tblPrEx>
          <w:tblCellMar>
            <w:top w:w="0" w:type="dxa"/>
            <w:left w:w="0" w:type="dxa"/>
            <w:bottom w:w="0" w:type="dxa"/>
            <w:right w:w="0" w:type="dxa"/>
          </w:tblCellMar>
        </w:tblPrEx>
        <w:trPr>
          <w:trHeight w:val="1042" w:hRule="atLeast"/>
          <w:jc w:val="center"/>
        </w:trPr>
        <w:tc>
          <w:tcPr>
            <w:tcW w:w="390" w:type="dxa"/>
            <w:vMerge w:val="continue"/>
            <w:tcBorders>
              <w:left w:val="single" w:color="000000" w:sz="4" w:space="0"/>
              <w:right w:val="single" w:color="000000" w:sz="4" w:space="0"/>
            </w:tcBorders>
            <w:tcMar>
              <w:top w:w="15" w:type="dxa"/>
              <w:left w:w="15" w:type="dxa"/>
              <w:right w:w="15" w:type="dxa"/>
            </w:tcMar>
            <w:vAlign w:val="center"/>
          </w:tcPr>
          <w:p w14:paraId="193DCF3F">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A7EB57">
            <w:pPr>
              <w:widowControl/>
              <w:jc w:val="center"/>
              <w:textAlignment w:val="center"/>
              <w:rPr>
                <w:rFonts w:ascii="宋体" w:hAnsi="宋体" w:cs="宋体"/>
                <w:color w:val="000000"/>
                <w:sz w:val="24"/>
              </w:rPr>
            </w:pPr>
            <w:r>
              <w:rPr>
                <w:rFonts w:hint="eastAsia" w:ascii="宋体" w:hAnsi="宋体" w:cs="宋体"/>
                <w:color w:val="000000"/>
                <w:kern w:val="0"/>
                <w:sz w:val="24"/>
              </w:rPr>
              <w:t>效益指标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AE179F">
            <w:pPr>
              <w:widowControl/>
              <w:jc w:val="center"/>
              <w:textAlignment w:val="center"/>
              <w:rPr>
                <w:rFonts w:ascii="宋体" w:hAnsi="宋体" w:cs="宋体"/>
                <w:color w:val="000000"/>
                <w:sz w:val="24"/>
              </w:rPr>
            </w:pPr>
            <w:r>
              <w:rPr>
                <w:rFonts w:hint="eastAsia" w:ascii="宋体" w:hAnsi="宋体" w:cs="宋体"/>
                <w:color w:val="000000"/>
                <w:sz w:val="24"/>
              </w:rPr>
              <w:t>社会效益指标</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8B2BAC">
            <w:pPr>
              <w:widowControl/>
              <w:jc w:val="center"/>
              <w:textAlignment w:val="center"/>
              <w:rPr>
                <w:rFonts w:ascii="宋体" w:hAnsi="宋体" w:cs="宋体"/>
                <w:color w:val="000000"/>
                <w:sz w:val="24"/>
              </w:rPr>
            </w:pPr>
            <w:r>
              <w:rPr>
                <w:rFonts w:hint="eastAsia" w:ascii="宋体" w:hAnsi="宋体" w:cs="宋体"/>
                <w:color w:val="000000"/>
                <w:sz w:val="24"/>
              </w:rPr>
              <w:t>推进全县土地、矿产、林业生态全面发展</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FC0B1">
            <w:pPr>
              <w:widowControl/>
              <w:jc w:val="center"/>
              <w:textAlignment w:val="center"/>
              <w:rPr>
                <w:rFonts w:ascii="宋体" w:hAnsi="宋体" w:cs="宋体"/>
                <w:color w:val="000000"/>
                <w:sz w:val="24"/>
              </w:rPr>
            </w:pPr>
            <w:r>
              <w:rPr>
                <w:rFonts w:hint="eastAsia" w:ascii="宋体" w:hAnsi="宋体" w:cs="宋体"/>
                <w:color w:val="000000"/>
                <w:sz w:val="24"/>
              </w:rPr>
              <w:t>提高人民生活水平</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EA04AF">
            <w:pPr>
              <w:widowControl/>
              <w:jc w:val="center"/>
              <w:textAlignment w:val="center"/>
              <w:rPr>
                <w:rFonts w:ascii="宋体" w:hAnsi="宋体" w:cs="宋体"/>
                <w:color w:val="000000"/>
                <w:sz w:val="24"/>
              </w:rPr>
            </w:pPr>
            <w:r>
              <w:rPr>
                <w:rFonts w:hint="eastAsia" w:ascii="宋体" w:hAnsi="宋体" w:cs="宋体"/>
                <w:color w:val="000000"/>
                <w:sz w:val="24"/>
              </w:rPr>
              <w:t>已完成90%以上</w:t>
            </w:r>
          </w:p>
        </w:tc>
      </w:tr>
      <w:tr w14:paraId="163921F2">
        <w:tblPrEx>
          <w:tblCellMar>
            <w:top w:w="0" w:type="dxa"/>
            <w:left w:w="0" w:type="dxa"/>
            <w:bottom w:w="0" w:type="dxa"/>
            <w:right w:w="0" w:type="dxa"/>
          </w:tblCellMar>
        </w:tblPrEx>
        <w:trPr>
          <w:trHeight w:val="1050" w:hRule="atLeast"/>
          <w:jc w:val="center"/>
        </w:trPr>
        <w:tc>
          <w:tcPr>
            <w:tcW w:w="390" w:type="dxa"/>
            <w:vMerge w:val="continue"/>
            <w:tcBorders>
              <w:left w:val="single" w:color="000000" w:sz="4" w:space="0"/>
              <w:bottom w:val="single" w:color="000000" w:sz="4" w:space="0"/>
              <w:right w:val="single" w:color="000000" w:sz="4" w:space="0"/>
            </w:tcBorders>
            <w:tcMar>
              <w:top w:w="15" w:type="dxa"/>
              <w:left w:w="15" w:type="dxa"/>
              <w:right w:w="15" w:type="dxa"/>
            </w:tcMar>
            <w:vAlign w:val="center"/>
          </w:tcPr>
          <w:p w14:paraId="1049DD0E">
            <w:pPr>
              <w:widowControl/>
              <w:jc w:val="center"/>
              <w:textAlignment w:val="center"/>
              <w:rPr>
                <w:rFonts w:ascii="宋体" w:hAnsi="宋体" w:cs="宋体"/>
                <w:color w:val="000000"/>
                <w:sz w:val="24"/>
              </w:rPr>
            </w:pPr>
          </w:p>
        </w:tc>
        <w:tc>
          <w:tcPr>
            <w:tcW w:w="136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B9C1EA">
            <w:pPr>
              <w:widowControl/>
              <w:jc w:val="center"/>
              <w:textAlignment w:val="center"/>
              <w:rPr>
                <w:rFonts w:ascii="宋体" w:hAnsi="宋体" w:cs="宋体"/>
                <w:color w:val="000000"/>
                <w:sz w:val="24"/>
              </w:rPr>
            </w:pPr>
            <w:r>
              <w:rPr>
                <w:rFonts w:hint="eastAsia" w:ascii="宋体" w:hAnsi="宋体" w:cs="宋体"/>
                <w:color w:val="000000"/>
                <w:kern w:val="0"/>
                <w:sz w:val="24"/>
              </w:rPr>
              <w:t>满意度指标</w:t>
            </w:r>
          </w:p>
        </w:tc>
        <w:tc>
          <w:tcPr>
            <w:tcW w:w="102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650AB3">
            <w:pPr>
              <w:widowControl/>
              <w:jc w:val="center"/>
              <w:textAlignment w:val="center"/>
              <w:rPr>
                <w:rFonts w:ascii="宋体" w:hAnsi="宋体" w:cs="宋体"/>
                <w:color w:val="000000"/>
                <w:sz w:val="24"/>
              </w:rPr>
            </w:pPr>
            <w:r>
              <w:rPr>
                <w:rFonts w:hint="eastAsia" w:ascii="宋体" w:hAnsi="宋体" w:cs="宋体"/>
                <w:color w:val="000000"/>
                <w:sz w:val="24"/>
              </w:rPr>
              <w:t>服务对象满意度</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71FCC1">
            <w:pPr>
              <w:widowControl/>
              <w:jc w:val="center"/>
              <w:textAlignment w:val="center"/>
              <w:rPr>
                <w:rFonts w:ascii="宋体" w:hAnsi="宋体" w:cs="宋体"/>
                <w:color w:val="000000"/>
                <w:sz w:val="24"/>
              </w:rPr>
            </w:pPr>
            <w:r>
              <w:rPr>
                <w:rFonts w:hint="eastAsia" w:ascii="宋体" w:hAnsi="宋体" w:cs="宋体"/>
                <w:color w:val="000000"/>
                <w:sz w:val="24"/>
              </w:rPr>
              <w:t>全县人民</w:t>
            </w:r>
          </w:p>
        </w:tc>
        <w:tc>
          <w:tcPr>
            <w:tcW w:w="23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EB36D1">
            <w:pPr>
              <w:widowControl/>
              <w:jc w:val="center"/>
              <w:textAlignment w:val="center"/>
              <w:rPr>
                <w:rFonts w:ascii="宋体" w:hAnsi="宋体" w:cs="宋体"/>
                <w:color w:val="000000"/>
                <w:sz w:val="24"/>
              </w:rPr>
            </w:pPr>
            <w:r>
              <w:rPr>
                <w:rFonts w:hint="eastAsia" w:ascii="宋体" w:hAnsi="宋体" w:cs="宋体"/>
                <w:color w:val="000000"/>
                <w:sz w:val="24"/>
              </w:rPr>
              <w:t>达到基本满意及以上</w:t>
            </w:r>
          </w:p>
        </w:tc>
        <w:tc>
          <w:tcPr>
            <w:tcW w:w="23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C77100">
            <w:pPr>
              <w:widowControl/>
              <w:jc w:val="center"/>
              <w:textAlignment w:val="center"/>
              <w:rPr>
                <w:rFonts w:ascii="宋体" w:hAnsi="宋体" w:cs="宋体"/>
                <w:color w:val="000000"/>
                <w:sz w:val="24"/>
              </w:rPr>
            </w:pPr>
            <w:r>
              <w:rPr>
                <w:rFonts w:hint="eastAsia" w:ascii="宋体" w:hAnsi="宋体" w:cs="宋体"/>
                <w:color w:val="000000"/>
                <w:sz w:val="24"/>
              </w:rPr>
              <w:t>达到基本满意及以上</w:t>
            </w:r>
          </w:p>
        </w:tc>
      </w:tr>
    </w:tbl>
    <w:p w14:paraId="62748089">
      <w:pPr>
        <w:spacing w:line="580" w:lineRule="exact"/>
        <w:ind w:left="630"/>
        <w:rPr>
          <w:rFonts w:ascii="仿宋_GB2312" w:hAnsi="仿宋_GB2312" w:eastAsia="仿宋_GB2312" w:cs="仿宋_GB2312"/>
          <w:sz w:val="32"/>
          <w:szCs w:val="32"/>
        </w:rPr>
      </w:pPr>
    </w:p>
    <w:p w14:paraId="1051DA10">
      <w:pPr>
        <w:spacing w:line="580" w:lineRule="exact"/>
        <w:ind w:left="630"/>
        <w:rPr>
          <w:rFonts w:ascii="仿宋_GB2312" w:hAnsi="仿宋_GB2312" w:eastAsia="仿宋_GB2312" w:cs="仿宋_GB2312"/>
          <w:sz w:val="32"/>
          <w:szCs w:val="32"/>
        </w:rPr>
      </w:pPr>
      <w:r>
        <w:rPr>
          <w:rFonts w:hint="eastAsia" w:ascii="楷体_GB2312" w:hAnsi="楷体_GB2312" w:eastAsia="楷体_GB2312" w:cs="楷体_GB2312"/>
          <w:sz w:val="32"/>
          <w:szCs w:val="32"/>
        </w:rPr>
        <w:t>2.部门绩效评价结果。</w:t>
      </w:r>
    </w:p>
    <w:p w14:paraId="03277116">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本部门按要求对2020年部门整体支出绩效评价情况开展自评，《部门2020年部门整体支出绩效评价报告》见附件（附件1）。</w:t>
      </w:r>
    </w:p>
    <w:p w14:paraId="62C05EA8">
      <w:pPr>
        <w:spacing w:line="58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本部门自行组织对土地整理项目、地质灾害防治项目开展了绩效评价，《项目2020年绩效评价报告》见附件（附件2）。（非涉密部门均需公开部门整体支出评价报告，部门自行组织的绩效评价情况根据部门实际公开，若未组织项目绩效评价，则只需说明部门整体支出绩效评价情况）</w:t>
      </w:r>
      <w:bookmarkStart w:id="87" w:name="_Toc15396614"/>
      <w:bookmarkStart w:id="88" w:name="_Toc52180097"/>
      <w:bookmarkStart w:id="89" w:name="_Toc15377226"/>
    </w:p>
    <w:p w14:paraId="18B726DD">
      <w:pPr>
        <w:spacing w:line="580" w:lineRule="exact"/>
        <w:ind w:firstLine="640" w:firstLineChars="200"/>
        <w:rPr>
          <w:rFonts w:ascii="仿宋_GB2312" w:hAnsi="仿宋_GB2312" w:eastAsia="仿宋_GB2312" w:cs="仿宋_GB2312"/>
          <w:sz w:val="32"/>
          <w:szCs w:val="32"/>
        </w:rPr>
      </w:pPr>
    </w:p>
    <w:p w14:paraId="55FEF543">
      <w:pPr>
        <w:widowControl/>
        <w:jc w:val="center"/>
        <w:rPr>
          <w:rFonts w:eastAsia="黑体"/>
          <w:color w:val="000000"/>
          <w:sz w:val="44"/>
          <w:szCs w:val="44"/>
        </w:rPr>
      </w:pPr>
      <w:r>
        <w:rPr>
          <w:rFonts w:eastAsia="黑体"/>
          <w:color w:val="000000"/>
          <w:sz w:val="44"/>
          <w:szCs w:val="44"/>
        </w:rPr>
        <w:t xml:space="preserve">第三部分  </w:t>
      </w:r>
      <w:r>
        <w:rPr>
          <w:rFonts w:eastAsia="黑体"/>
          <w:sz w:val="44"/>
          <w:szCs w:val="44"/>
        </w:rPr>
        <w:t>名词解释</w:t>
      </w:r>
    </w:p>
    <w:p w14:paraId="6E663F70">
      <w:pPr>
        <w:spacing w:line="560" w:lineRule="exact"/>
        <w:rPr>
          <w:rFonts w:eastAsia="仿宋_GB2312"/>
          <w:sz w:val="32"/>
          <w:szCs w:val="32"/>
        </w:rPr>
      </w:pPr>
    </w:p>
    <w:p w14:paraId="4EAB4AF0">
      <w:pPr>
        <w:spacing w:line="550" w:lineRule="exact"/>
        <w:ind w:firstLine="643" w:firstLineChars="200"/>
        <w:rPr>
          <w:rFonts w:eastAsia="仿宋_GB2312"/>
          <w:sz w:val="32"/>
          <w:szCs w:val="32"/>
        </w:rPr>
      </w:pPr>
      <w:r>
        <w:rPr>
          <w:rFonts w:eastAsia="仿宋_GB2312"/>
          <w:b/>
          <w:sz w:val="32"/>
          <w:szCs w:val="32"/>
        </w:rPr>
        <w:t>1.财政拨款收入：</w:t>
      </w:r>
      <w:r>
        <w:rPr>
          <w:rFonts w:eastAsia="仿宋_GB2312"/>
          <w:sz w:val="32"/>
          <w:szCs w:val="32"/>
        </w:rPr>
        <w:t>指单位从同级财政部门取得的财政预算资金。</w:t>
      </w:r>
    </w:p>
    <w:p w14:paraId="2AD707FC">
      <w:pPr>
        <w:spacing w:line="550" w:lineRule="exact"/>
        <w:ind w:firstLine="643" w:firstLineChars="200"/>
        <w:rPr>
          <w:rFonts w:eastAsia="仿宋_GB2312"/>
          <w:sz w:val="32"/>
          <w:szCs w:val="32"/>
        </w:rPr>
      </w:pPr>
      <w:r>
        <w:rPr>
          <w:rFonts w:eastAsia="仿宋_GB2312"/>
          <w:b/>
          <w:sz w:val="32"/>
          <w:szCs w:val="32"/>
        </w:rPr>
        <w:t>2.事业收入：</w:t>
      </w:r>
      <w:r>
        <w:rPr>
          <w:rFonts w:eastAsia="仿宋_GB2312"/>
          <w:sz w:val="32"/>
          <w:szCs w:val="32"/>
        </w:rPr>
        <w:t>指事业单位开展专业业务活动及辅助活动取得的收入。</w:t>
      </w:r>
    </w:p>
    <w:p w14:paraId="4ECAF631">
      <w:pPr>
        <w:spacing w:line="550" w:lineRule="exact"/>
        <w:ind w:firstLine="643" w:firstLineChars="200"/>
        <w:rPr>
          <w:rFonts w:eastAsia="仿宋_GB2312"/>
          <w:sz w:val="32"/>
          <w:szCs w:val="32"/>
        </w:rPr>
      </w:pPr>
      <w:r>
        <w:rPr>
          <w:rFonts w:eastAsia="仿宋_GB2312"/>
          <w:b/>
          <w:sz w:val="32"/>
          <w:szCs w:val="32"/>
        </w:rPr>
        <w:t>3.经营收入：</w:t>
      </w:r>
      <w:r>
        <w:rPr>
          <w:rFonts w:eastAsia="仿宋_GB2312"/>
          <w:sz w:val="32"/>
          <w:szCs w:val="32"/>
        </w:rPr>
        <w:t>指事业单位在专业业务活动及其辅助活动之外开展非独立核算经营活动取得的收入。</w:t>
      </w:r>
    </w:p>
    <w:p w14:paraId="55AFA905">
      <w:pPr>
        <w:spacing w:line="550" w:lineRule="exact"/>
        <w:ind w:left="638" w:leftChars="304"/>
        <w:rPr>
          <w:rFonts w:eastAsia="仿宋_GB2312"/>
          <w:sz w:val="32"/>
          <w:szCs w:val="32"/>
        </w:rPr>
      </w:pPr>
      <w:r>
        <w:rPr>
          <w:rFonts w:eastAsia="仿宋_GB2312"/>
          <w:b/>
          <w:sz w:val="32"/>
          <w:szCs w:val="32"/>
        </w:rPr>
        <w:t>4.其他收入：</w:t>
      </w:r>
      <w:r>
        <w:rPr>
          <w:rFonts w:eastAsia="仿宋_GB2312"/>
          <w:sz w:val="32"/>
          <w:szCs w:val="32"/>
        </w:rPr>
        <w:t>指单位取得的除上述收入以外的各项收入。</w:t>
      </w:r>
      <w:r>
        <w:rPr>
          <w:rFonts w:eastAsia="仿宋_GB2312"/>
          <w:b/>
          <w:sz w:val="32"/>
          <w:szCs w:val="32"/>
        </w:rPr>
        <w:t>5.用事业基金弥补收支差额：</w:t>
      </w:r>
      <w:r>
        <w:rPr>
          <w:rFonts w:eastAsia="仿宋_GB2312"/>
          <w:sz w:val="32"/>
          <w:szCs w:val="32"/>
        </w:rPr>
        <w:t xml:space="preserve">指事业单位在当年的财政拨款收入、事业收入、经营收入、其他收入不足以安排当年支出的情况下，使用以前年度积累的事业基金（事业单位当年收支相抵后按国家规定提取、用于弥补以后年度收支差额的基金）弥补本年度收支缺口的资金。 </w:t>
      </w:r>
    </w:p>
    <w:p w14:paraId="6BDC0808">
      <w:pPr>
        <w:spacing w:line="550" w:lineRule="exact"/>
        <w:ind w:firstLine="643" w:firstLineChars="200"/>
        <w:rPr>
          <w:rFonts w:eastAsia="仿宋_GB2312"/>
          <w:sz w:val="32"/>
          <w:szCs w:val="32"/>
        </w:rPr>
      </w:pPr>
      <w:r>
        <w:rPr>
          <w:rFonts w:eastAsia="仿宋_GB2312"/>
          <w:b/>
          <w:sz w:val="32"/>
          <w:szCs w:val="32"/>
        </w:rPr>
        <w:t>6.年初结转和结余：</w:t>
      </w:r>
      <w:r>
        <w:rPr>
          <w:rFonts w:eastAsia="仿宋_GB2312"/>
          <w:sz w:val="32"/>
          <w:szCs w:val="32"/>
        </w:rPr>
        <w:t xml:space="preserve">指以前年度尚未完成、结转到本年按有关规定继续使用的资金。 </w:t>
      </w:r>
    </w:p>
    <w:p w14:paraId="7803248D">
      <w:pPr>
        <w:spacing w:line="550" w:lineRule="exact"/>
        <w:ind w:firstLine="643" w:firstLineChars="200"/>
        <w:rPr>
          <w:rFonts w:eastAsia="仿宋_GB2312"/>
          <w:sz w:val="32"/>
          <w:szCs w:val="32"/>
        </w:rPr>
      </w:pPr>
      <w:r>
        <w:rPr>
          <w:rFonts w:eastAsia="仿宋_GB2312"/>
          <w:b/>
          <w:sz w:val="32"/>
          <w:szCs w:val="32"/>
        </w:rPr>
        <w:t>7.结余分配：</w:t>
      </w:r>
      <w:r>
        <w:rPr>
          <w:rFonts w:eastAsia="仿宋_GB2312"/>
          <w:sz w:val="32"/>
          <w:szCs w:val="32"/>
        </w:rPr>
        <w:t>指事业单位按照事业单位会计制度的规定从非财政补助结余中分配的事业基金和职工福利基金等。</w:t>
      </w:r>
    </w:p>
    <w:p w14:paraId="476E7213">
      <w:pPr>
        <w:spacing w:line="550" w:lineRule="exact"/>
        <w:ind w:firstLine="643" w:firstLineChars="200"/>
        <w:rPr>
          <w:rFonts w:eastAsia="仿宋_GB2312"/>
          <w:sz w:val="32"/>
          <w:szCs w:val="32"/>
        </w:rPr>
      </w:pPr>
      <w:r>
        <w:rPr>
          <w:rFonts w:eastAsia="仿宋_GB2312"/>
          <w:b/>
          <w:sz w:val="32"/>
          <w:szCs w:val="32"/>
        </w:rPr>
        <w:t>8.年末结转和结余：</w:t>
      </w:r>
      <w:r>
        <w:rPr>
          <w:rFonts w:eastAsia="仿宋_GB2312"/>
          <w:sz w:val="32"/>
          <w:szCs w:val="32"/>
        </w:rPr>
        <w:t>指单位按有关规定结转到下年或以后年度继续使用的资金。</w:t>
      </w:r>
    </w:p>
    <w:p w14:paraId="1C800A54">
      <w:pPr>
        <w:spacing w:line="550" w:lineRule="exact"/>
        <w:ind w:firstLine="643" w:firstLineChars="200"/>
        <w:rPr>
          <w:rFonts w:eastAsia="仿宋_GB2312"/>
          <w:b/>
          <w:sz w:val="32"/>
          <w:szCs w:val="32"/>
        </w:rPr>
      </w:pPr>
      <w:r>
        <w:rPr>
          <w:rFonts w:eastAsia="仿宋_GB2312"/>
          <w:b/>
          <w:sz w:val="32"/>
          <w:szCs w:val="32"/>
        </w:rPr>
        <w:t>9.一般公共服务（类）财政事务支出（款）</w:t>
      </w:r>
    </w:p>
    <w:p w14:paraId="17B6F850">
      <w:pPr>
        <w:spacing w:line="550" w:lineRule="exact"/>
        <w:ind w:firstLine="643" w:firstLineChars="200"/>
        <w:rPr>
          <w:rFonts w:eastAsia="仿宋_GB2312"/>
          <w:sz w:val="32"/>
          <w:szCs w:val="32"/>
        </w:rPr>
      </w:pPr>
      <w:r>
        <w:rPr>
          <w:rFonts w:eastAsia="仿宋_GB2312"/>
          <w:b/>
          <w:sz w:val="32"/>
          <w:szCs w:val="32"/>
        </w:rPr>
        <w:t>①行政运行</w:t>
      </w:r>
      <w:r>
        <w:rPr>
          <w:rFonts w:hint="eastAsia" w:eastAsia="仿宋_GB2312"/>
          <w:b/>
          <w:sz w:val="32"/>
          <w:szCs w:val="32"/>
          <w:lang w:eastAsia="zh-CN"/>
        </w:rPr>
        <w:t>：</w:t>
      </w:r>
      <w:r>
        <w:rPr>
          <w:rFonts w:eastAsia="仿宋_GB2312"/>
          <w:b/>
          <w:sz w:val="32"/>
          <w:szCs w:val="32"/>
        </w:rPr>
        <w:t xml:space="preserve"> </w:t>
      </w:r>
      <w:r>
        <w:rPr>
          <w:rFonts w:eastAsia="仿宋_GB2312"/>
          <w:sz w:val="32"/>
          <w:szCs w:val="32"/>
        </w:rPr>
        <w:t>指行政单位（包括实行公务员管理的事业单位）的基本支出。</w:t>
      </w:r>
    </w:p>
    <w:p w14:paraId="44BA5E1A">
      <w:pPr>
        <w:spacing w:line="550" w:lineRule="exact"/>
        <w:ind w:firstLine="643" w:firstLineChars="200"/>
        <w:rPr>
          <w:rFonts w:eastAsia="仿宋_GB2312"/>
          <w:sz w:val="32"/>
          <w:szCs w:val="32"/>
        </w:rPr>
      </w:pPr>
      <w:r>
        <w:rPr>
          <w:rFonts w:eastAsia="仿宋_GB2312"/>
          <w:b/>
          <w:sz w:val="32"/>
          <w:szCs w:val="32"/>
        </w:rPr>
        <w:t>②事业运行：</w:t>
      </w:r>
      <w:r>
        <w:rPr>
          <w:rFonts w:eastAsia="仿宋_GB2312"/>
          <w:sz w:val="32"/>
          <w:szCs w:val="32"/>
        </w:rPr>
        <w:t>指事业单位的基本支出。不包括行政单位（包括实行公务员管理的事业单位）后勤服务中心、医务室等附属事业单位。</w:t>
      </w:r>
    </w:p>
    <w:p w14:paraId="623D5A1B">
      <w:pPr>
        <w:spacing w:line="550" w:lineRule="exact"/>
        <w:ind w:firstLine="643" w:firstLineChars="200"/>
        <w:rPr>
          <w:rFonts w:eastAsia="仿宋_GB2312"/>
          <w:sz w:val="32"/>
          <w:szCs w:val="32"/>
        </w:rPr>
      </w:pPr>
      <w:r>
        <w:rPr>
          <w:rFonts w:eastAsia="仿宋_GB2312"/>
          <w:b/>
          <w:sz w:val="32"/>
          <w:szCs w:val="32"/>
        </w:rPr>
        <w:t>③一般行政管理事务：</w:t>
      </w:r>
      <w:r>
        <w:rPr>
          <w:rFonts w:eastAsia="仿宋_GB2312"/>
          <w:sz w:val="32"/>
          <w:szCs w:val="32"/>
        </w:rPr>
        <w:t>指行政单位（包括实行公务员管理的事业单位）未单独设置项级科目的其他项目支出。</w:t>
      </w:r>
    </w:p>
    <w:p w14:paraId="095ED392">
      <w:pPr>
        <w:spacing w:line="550" w:lineRule="exact"/>
        <w:ind w:firstLine="643" w:firstLineChars="200"/>
        <w:rPr>
          <w:rFonts w:eastAsia="仿宋_GB2312"/>
          <w:sz w:val="32"/>
          <w:szCs w:val="32"/>
        </w:rPr>
      </w:pPr>
      <w:r>
        <w:rPr>
          <w:rFonts w:eastAsia="仿宋_GB2312"/>
          <w:b/>
          <w:sz w:val="32"/>
          <w:szCs w:val="32"/>
        </w:rPr>
        <w:t>④信息化建设：</w:t>
      </w:r>
      <w:r>
        <w:rPr>
          <w:rFonts w:eastAsia="仿宋_GB2312"/>
          <w:sz w:val="32"/>
          <w:szCs w:val="32"/>
        </w:rPr>
        <w:t>指财政部门用于信息化建设方面的支出。</w:t>
      </w:r>
    </w:p>
    <w:p w14:paraId="64BD075F">
      <w:pPr>
        <w:spacing w:line="550" w:lineRule="exact"/>
        <w:ind w:firstLine="643" w:firstLineChars="200"/>
        <w:rPr>
          <w:rFonts w:eastAsia="仿宋_GB2312"/>
          <w:sz w:val="32"/>
          <w:szCs w:val="32"/>
        </w:rPr>
      </w:pPr>
      <w:r>
        <w:rPr>
          <w:rFonts w:eastAsia="仿宋_GB2312"/>
          <w:b/>
          <w:sz w:val="32"/>
          <w:szCs w:val="32"/>
        </w:rPr>
        <w:t>⑤财政委托业务支出：</w:t>
      </w:r>
      <w:r>
        <w:rPr>
          <w:rFonts w:eastAsia="仿宋_GB2312"/>
          <w:sz w:val="32"/>
          <w:szCs w:val="32"/>
        </w:rPr>
        <w:t>指财政委托评审机构进行财政投资评审和委托建设银行等机构代理业务发生的支出。</w:t>
      </w:r>
    </w:p>
    <w:p w14:paraId="2400FD87">
      <w:pPr>
        <w:spacing w:line="550" w:lineRule="exact"/>
        <w:ind w:firstLine="643" w:firstLineChars="200"/>
        <w:rPr>
          <w:rFonts w:eastAsia="仿宋_GB2312"/>
          <w:b/>
          <w:sz w:val="32"/>
          <w:szCs w:val="32"/>
        </w:rPr>
      </w:pPr>
      <w:r>
        <w:rPr>
          <w:rFonts w:eastAsia="仿宋_GB2312"/>
          <w:b/>
          <w:sz w:val="32"/>
          <w:szCs w:val="32"/>
        </w:rPr>
        <w:t xml:space="preserve">10.社会保障和就业（类）行政事业单位离退休（款）  </w:t>
      </w:r>
    </w:p>
    <w:p w14:paraId="6A8ACEDE">
      <w:pPr>
        <w:spacing w:line="550" w:lineRule="exact"/>
        <w:ind w:firstLine="643" w:firstLineChars="200"/>
        <w:rPr>
          <w:rFonts w:eastAsia="仿宋_GB2312"/>
          <w:sz w:val="32"/>
          <w:szCs w:val="32"/>
        </w:rPr>
      </w:pPr>
      <w:r>
        <w:rPr>
          <w:rFonts w:eastAsia="仿宋_GB2312"/>
          <w:b/>
          <w:sz w:val="32"/>
          <w:szCs w:val="32"/>
        </w:rPr>
        <w:t>①未归口管理的行政单位离退休</w:t>
      </w:r>
      <w:r>
        <w:rPr>
          <w:rFonts w:hint="eastAsia" w:eastAsia="仿宋_GB2312"/>
          <w:b/>
          <w:sz w:val="32"/>
          <w:szCs w:val="32"/>
          <w:lang w:eastAsia="zh-CN"/>
        </w:rPr>
        <w:t>：</w:t>
      </w:r>
      <w:r>
        <w:rPr>
          <w:rFonts w:eastAsia="仿宋_GB2312"/>
          <w:b/>
          <w:sz w:val="32"/>
          <w:szCs w:val="32"/>
        </w:rPr>
        <w:t xml:space="preserve"> </w:t>
      </w:r>
      <w:r>
        <w:rPr>
          <w:rFonts w:eastAsia="仿宋_GB2312"/>
          <w:sz w:val="32"/>
          <w:szCs w:val="32"/>
        </w:rPr>
        <w:t>指未归口管理的行政单位（包括实行公务员管理的事业单位）开支的离退休支出。</w:t>
      </w:r>
    </w:p>
    <w:p w14:paraId="0EE99E6E">
      <w:pPr>
        <w:spacing w:line="550" w:lineRule="exact"/>
        <w:ind w:firstLine="643" w:firstLineChars="200"/>
        <w:rPr>
          <w:rFonts w:eastAsia="仿宋_GB2312"/>
          <w:sz w:val="32"/>
          <w:szCs w:val="32"/>
        </w:rPr>
      </w:pPr>
      <w:r>
        <w:rPr>
          <w:rFonts w:eastAsia="仿宋_GB2312"/>
          <w:b/>
          <w:sz w:val="32"/>
          <w:szCs w:val="32"/>
        </w:rPr>
        <w:t>②机关事业单位基本养老保险缴费支出：</w:t>
      </w:r>
      <w:r>
        <w:rPr>
          <w:rFonts w:eastAsia="仿宋_GB2312"/>
          <w:sz w:val="32"/>
          <w:szCs w:val="32"/>
        </w:rPr>
        <w:t>指机关事业单位实施养老保险制度</w:t>
      </w:r>
      <w:r>
        <w:rPr>
          <w:rFonts w:hint="eastAsia" w:eastAsia="仿宋_GB2312"/>
          <w:sz w:val="32"/>
          <w:szCs w:val="32"/>
          <w:lang w:eastAsia="zh-CN"/>
        </w:rPr>
        <w:t>由</w:t>
      </w:r>
      <w:r>
        <w:rPr>
          <w:rFonts w:eastAsia="仿宋_GB2312"/>
          <w:sz w:val="32"/>
          <w:szCs w:val="32"/>
        </w:rPr>
        <w:t>单位缴纳的基本养老保险费支出。</w:t>
      </w:r>
    </w:p>
    <w:p w14:paraId="684AB5A5">
      <w:pPr>
        <w:spacing w:line="550" w:lineRule="exact"/>
        <w:ind w:firstLine="643" w:firstLineChars="200"/>
        <w:rPr>
          <w:rFonts w:eastAsia="仿宋_GB2312"/>
          <w:b/>
          <w:sz w:val="32"/>
          <w:szCs w:val="32"/>
        </w:rPr>
      </w:pPr>
      <w:r>
        <w:rPr>
          <w:rFonts w:eastAsia="仿宋_GB2312"/>
          <w:b/>
          <w:sz w:val="32"/>
          <w:szCs w:val="32"/>
        </w:rPr>
        <w:t>11.社会保障和就业（类）抚恤（款）</w:t>
      </w:r>
    </w:p>
    <w:p w14:paraId="7D000DF5">
      <w:pPr>
        <w:spacing w:line="550" w:lineRule="exact"/>
        <w:ind w:firstLine="643" w:firstLineChars="200"/>
        <w:rPr>
          <w:rFonts w:eastAsia="仿宋_GB2312"/>
          <w:sz w:val="32"/>
          <w:szCs w:val="32"/>
        </w:rPr>
      </w:pPr>
      <w:r>
        <w:rPr>
          <w:rFonts w:eastAsia="仿宋_GB2312"/>
          <w:b/>
          <w:sz w:val="32"/>
          <w:szCs w:val="32"/>
        </w:rPr>
        <w:sym w:font="Wingdings" w:char="F081"/>
      </w:r>
      <w:r>
        <w:rPr>
          <w:rFonts w:eastAsia="仿宋_GB2312"/>
          <w:b/>
          <w:sz w:val="32"/>
          <w:szCs w:val="32"/>
        </w:rPr>
        <w:t>伤残抚恤：</w:t>
      </w:r>
      <w:r>
        <w:rPr>
          <w:rFonts w:eastAsia="仿宋_GB2312"/>
          <w:sz w:val="32"/>
          <w:szCs w:val="32"/>
        </w:rPr>
        <w:t>指按规定用于伤残人员的抚恤金和按规定开支的各种伤残补助费</w:t>
      </w:r>
    </w:p>
    <w:p w14:paraId="395019AD">
      <w:pPr>
        <w:spacing w:line="550" w:lineRule="exact"/>
        <w:ind w:firstLine="643" w:firstLineChars="200"/>
        <w:rPr>
          <w:rFonts w:eastAsia="仿宋_GB2312"/>
          <w:sz w:val="32"/>
          <w:szCs w:val="32"/>
        </w:rPr>
      </w:pPr>
      <w:r>
        <w:rPr>
          <w:rFonts w:eastAsia="仿宋_GB2312"/>
          <w:b/>
          <w:sz w:val="32"/>
          <w:szCs w:val="32"/>
        </w:rPr>
        <w:t>1</w:t>
      </w:r>
      <w:r>
        <w:rPr>
          <w:rFonts w:hint="eastAsia" w:eastAsia="仿宋_GB2312"/>
          <w:b/>
          <w:sz w:val="32"/>
          <w:szCs w:val="32"/>
        </w:rPr>
        <w:t>2</w:t>
      </w:r>
      <w:r>
        <w:rPr>
          <w:rFonts w:eastAsia="仿宋_GB2312"/>
          <w:b/>
          <w:sz w:val="32"/>
          <w:szCs w:val="32"/>
        </w:rPr>
        <w:t>.住房保障支出（类）住房改革支出（款）住房公积金（项）：</w:t>
      </w:r>
      <w:r>
        <w:rPr>
          <w:rFonts w:eastAsia="仿宋_GB2312"/>
          <w:sz w:val="32"/>
          <w:szCs w:val="32"/>
        </w:rPr>
        <w:t>指行政事业单位按人力资源和社会保障部、财政部规定的基本工资和津贴补贴以及规定比例为职工缴纳的住房公积金。</w:t>
      </w:r>
    </w:p>
    <w:p w14:paraId="15BADE51">
      <w:pPr>
        <w:spacing w:line="550" w:lineRule="exact"/>
        <w:ind w:firstLine="643" w:firstLineChars="200"/>
        <w:rPr>
          <w:rFonts w:eastAsia="仿宋_GB2312"/>
          <w:sz w:val="32"/>
          <w:szCs w:val="32"/>
        </w:rPr>
      </w:pPr>
      <w:r>
        <w:rPr>
          <w:rFonts w:eastAsia="仿宋_GB2312"/>
          <w:b/>
          <w:sz w:val="32"/>
          <w:szCs w:val="32"/>
        </w:rPr>
        <w:t>1</w:t>
      </w:r>
      <w:r>
        <w:rPr>
          <w:rFonts w:hint="eastAsia" w:eastAsia="仿宋_GB2312"/>
          <w:b/>
          <w:sz w:val="32"/>
          <w:szCs w:val="32"/>
        </w:rPr>
        <w:t>3</w:t>
      </w:r>
      <w:r>
        <w:rPr>
          <w:rFonts w:eastAsia="仿宋_GB2312"/>
          <w:b/>
          <w:sz w:val="32"/>
          <w:szCs w:val="32"/>
        </w:rPr>
        <w:t>.农林水支出（类）农业农村（款）其他农业支出（项）</w:t>
      </w:r>
      <w:r>
        <w:rPr>
          <w:rFonts w:hint="eastAsia" w:eastAsia="仿宋_GB2312"/>
          <w:b/>
          <w:sz w:val="32"/>
          <w:szCs w:val="32"/>
          <w:lang w:eastAsia="zh-CN"/>
        </w:rPr>
        <w:t>：</w:t>
      </w:r>
      <w:r>
        <w:rPr>
          <w:rFonts w:eastAsia="仿宋_GB2312"/>
          <w:sz w:val="32"/>
          <w:szCs w:val="32"/>
        </w:rPr>
        <w:t>指其他项目以外用于农业方面的支出。</w:t>
      </w:r>
    </w:p>
    <w:p w14:paraId="060D42E1">
      <w:pPr>
        <w:spacing w:line="550" w:lineRule="exact"/>
        <w:ind w:firstLine="643" w:firstLineChars="200"/>
        <w:rPr>
          <w:rFonts w:eastAsia="仿宋_GB2312"/>
          <w:sz w:val="32"/>
          <w:szCs w:val="32"/>
        </w:rPr>
      </w:pPr>
      <w:r>
        <w:rPr>
          <w:rFonts w:eastAsia="仿宋_GB2312"/>
          <w:b/>
          <w:sz w:val="32"/>
          <w:szCs w:val="32"/>
        </w:rPr>
        <w:t>1</w:t>
      </w:r>
      <w:r>
        <w:rPr>
          <w:rFonts w:hint="eastAsia" w:eastAsia="仿宋_GB2312"/>
          <w:b/>
          <w:sz w:val="32"/>
          <w:szCs w:val="32"/>
        </w:rPr>
        <w:t>4</w:t>
      </w:r>
      <w:r>
        <w:rPr>
          <w:rFonts w:eastAsia="仿宋_GB2312"/>
          <w:b/>
          <w:sz w:val="32"/>
          <w:szCs w:val="32"/>
        </w:rPr>
        <w:t>.城乡社区（类）</w:t>
      </w:r>
      <w:r>
        <w:rPr>
          <w:rFonts w:hint="eastAsia" w:eastAsia="仿宋_GB2312"/>
          <w:b/>
          <w:sz w:val="32"/>
          <w:szCs w:val="32"/>
          <w:lang w:eastAsia="zh-CN"/>
        </w:rPr>
        <w:t>国有土地使用权</w:t>
      </w:r>
      <w:r>
        <w:rPr>
          <w:rFonts w:eastAsia="仿宋_GB2312"/>
          <w:b/>
          <w:sz w:val="32"/>
          <w:szCs w:val="32"/>
        </w:rPr>
        <w:t>出让收入及对应专项债务收入安排的支出（款）土地出让业务支出（项）：</w:t>
      </w:r>
      <w:r>
        <w:rPr>
          <w:rFonts w:eastAsia="仿宋_GB2312"/>
          <w:sz w:val="32"/>
          <w:szCs w:val="32"/>
        </w:rPr>
        <w:t>指土地出让收入用于土地出让业务费用的开支。</w:t>
      </w:r>
    </w:p>
    <w:p w14:paraId="50A6BDE3">
      <w:pPr>
        <w:spacing w:line="550" w:lineRule="exact"/>
        <w:ind w:firstLine="643" w:firstLineChars="200"/>
        <w:rPr>
          <w:rFonts w:eastAsia="仿宋_GB2312"/>
          <w:sz w:val="32"/>
          <w:szCs w:val="32"/>
        </w:rPr>
      </w:pPr>
      <w:r>
        <w:rPr>
          <w:rFonts w:hint="eastAsia" w:eastAsia="仿宋_GB2312"/>
          <w:b/>
          <w:sz w:val="32"/>
          <w:szCs w:val="32"/>
        </w:rPr>
        <w:t>15</w:t>
      </w:r>
      <w:r>
        <w:rPr>
          <w:rFonts w:eastAsia="仿宋_GB2312"/>
          <w:b/>
          <w:sz w:val="32"/>
          <w:szCs w:val="32"/>
        </w:rPr>
        <w:t>.基本支出：</w:t>
      </w:r>
      <w:r>
        <w:rPr>
          <w:rFonts w:eastAsia="仿宋_GB2312"/>
          <w:sz w:val="32"/>
          <w:szCs w:val="32"/>
        </w:rPr>
        <w:t>指为保障机构正常运转、完成日常工作任务而发生的人员支出和公用支出。</w:t>
      </w:r>
    </w:p>
    <w:p w14:paraId="33AB0F63">
      <w:pPr>
        <w:spacing w:line="550" w:lineRule="exact"/>
        <w:ind w:firstLine="643" w:firstLineChars="200"/>
        <w:rPr>
          <w:rFonts w:eastAsia="仿宋_GB2312"/>
          <w:sz w:val="32"/>
          <w:szCs w:val="32"/>
        </w:rPr>
      </w:pPr>
      <w:r>
        <w:rPr>
          <w:rFonts w:hint="eastAsia" w:eastAsia="仿宋_GB2312"/>
          <w:b/>
          <w:sz w:val="32"/>
          <w:szCs w:val="32"/>
        </w:rPr>
        <w:t>16</w:t>
      </w:r>
      <w:r>
        <w:rPr>
          <w:rFonts w:eastAsia="仿宋_GB2312"/>
          <w:b/>
          <w:sz w:val="32"/>
          <w:szCs w:val="32"/>
        </w:rPr>
        <w:t>.项目支出：</w:t>
      </w:r>
      <w:r>
        <w:rPr>
          <w:rFonts w:eastAsia="仿宋_GB2312"/>
          <w:sz w:val="32"/>
          <w:szCs w:val="32"/>
        </w:rPr>
        <w:t xml:space="preserve">指在基本支出之外为完成特定行政任务和事业发展目标所发生的支出。 </w:t>
      </w:r>
    </w:p>
    <w:p w14:paraId="7BA8A486">
      <w:pPr>
        <w:spacing w:line="550" w:lineRule="exact"/>
        <w:ind w:firstLine="643" w:firstLineChars="200"/>
        <w:rPr>
          <w:rFonts w:eastAsia="仿宋_GB2312"/>
          <w:sz w:val="32"/>
          <w:szCs w:val="32"/>
        </w:rPr>
      </w:pPr>
      <w:r>
        <w:rPr>
          <w:rFonts w:hint="eastAsia" w:eastAsia="仿宋_GB2312"/>
          <w:b/>
          <w:sz w:val="32"/>
          <w:szCs w:val="32"/>
        </w:rPr>
        <w:t>17</w:t>
      </w:r>
      <w:r>
        <w:rPr>
          <w:rFonts w:eastAsia="仿宋_GB2312"/>
          <w:b/>
          <w:sz w:val="32"/>
          <w:szCs w:val="32"/>
        </w:rPr>
        <w:t>.经营支出：</w:t>
      </w:r>
      <w:r>
        <w:rPr>
          <w:rFonts w:eastAsia="仿宋_GB2312"/>
          <w:sz w:val="32"/>
          <w:szCs w:val="32"/>
        </w:rPr>
        <w:t>指事业单位在专业业务活动及其辅助活动之外开展非独立核算经营活动发生的支出。</w:t>
      </w:r>
    </w:p>
    <w:p w14:paraId="167B1661">
      <w:pPr>
        <w:spacing w:line="550" w:lineRule="exact"/>
        <w:ind w:firstLine="643" w:firstLineChars="200"/>
        <w:rPr>
          <w:rFonts w:eastAsia="仿宋_GB2312"/>
          <w:sz w:val="32"/>
          <w:szCs w:val="32"/>
        </w:rPr>
      </w:pPr>
      <w:r>
        <w:rPr>
          <w:rFonts w:hint="eastAsia" w:eastAsia="仿宋_GB2312"/>
          <w:b/>
          <w:sz w:val="32"/>
          <w:szCs w:val="32"/>
        </w:rPr>
        <w:t>18</w:t>
      </w:r>
      <w:r>
        <w:rPr>
          <w:rFonts w:eastAsia="仿宋_GB2312"/>
          <w:b/>
          <w:sz w:val="32"/>
          <w:szCs w:val="32"/>
        </w:rPr>
        <w:t>.“三公”经费：</w:t>
      </w:r>
      <w:r>
        <w:rPr>
          <w:rFonts w:eastAsia="仿宋_GB2312"/>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7961D85">
      <w:pPr>
        <w:spacing w:line="550" w:lineRule="exact"/>
        <w:ind w:firstLine="643" w:firstLineChars="200"/>
        <w:rPr>
          <w:rFonts w:ascii="仿宋_GB2312" w:hAnsi="仿宋_GB2312" w:eastAsia="仿宋_GB2312" w:cs="仿宋_GB2312"/>
          <w:sz w:val="32"/>
          <w:szCs w:val="32"/>
        </w:rPr>
      </w:pPr>
      <w:r>
        <w:rPr>
          <w:rFonts w:hint="eastAsia" w:eastAsia="仿宋_GB2312"/>
          <w:b/>
          <w:sz w:val="32"/>
          <w:szCs w:val="32"/>
        </w:rPr>
        <w:t>19</w:t>
      </w:r>
      <w:r>
        <w:rPr>
          <w:rFonts w:eastAsia="仿宋_GB2312"/>
          <w:b/>
          <w:sz w:val="32"/>
          <w:szCs w:val="32"/>
        </w:rPr>
        <w:t>.机关运行经费：</w:t>
      </w:r>
      <w:r>
        <w:rPr>
          <w:rFonts w:eastAsia="仿宋_GB2312"/>
          <w:sz w:val="32"/>
          <w:szCs w:val="32"/>
        </w:rPr>
        <w:t>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AD24A11">
      <w:pPr>
        <w:spacing w:line="580" w:lineRule="exact"/>
        <w:ind w:firstLine="2640" w:firstLineChars="600"/>
        <w:rPr>
          <w:rStyle w:val="25"/>
          <w:rFonts w:ascii="黑体" w:hAnsi="黑体" w:eastAsia="黑体"/>
          <w:b w:val="0"/>
        </w:rPr>
      </w:pPr>
      <w:r>
        <w:rPr>
          <w:rFonts w:hint="eastAsia" w:ascii="黑体" w:hAnsi="黑体" w:eastAsia="黑体"/>
          <w:color w:val="000000"/>
          <w:sz w:val="44"/>
          <w:szCs w:val="44"/>
        </w:rPr>
        <w:t>第</w:t>
      </w:r>
      <w:r>
        <w:rPr>
          <w:rStyle w:val="25"/>
          <w:rFonts w:hint="eastAsia" w:ascii="黑体" w:hAnsi="黑体" w:eastAsia="黑体"/>
          <w:b w:val="0"/>
        </w:rPr>
        <w:t>四部分 附件</w:t>
      </w:r>
      <w:bookmarkEnd w:id="87"/>
      <w:bookmarkEnd w:id="88"/>
    </w:p>
    <w:p w14:paraId="695B702F">
      <w:pPr>
        <w:spacing w:line="580" w:lineRule="exact"/>
        <w:jc w:val="center"/>
        <w:rPr>
          <w:rFonts w:ascii="方正小标宋简体" w:hAnsi="方正小标宋简体" w:eastAsia="方正小标宋简体" w:cs="方正小标宋简体"/>
          <w:sz w:val="44"/>
          <w:szCs w:val="44"/>
        </w:rPr>
      </w:pPr>
    </w:p>
    <w:p w14:paraId="63F51995">
      <w:pPr>
        <w:spacing w:line="600" w:lineRule="exact"/>
        <w:jc w:val="center"/>
        <w:rPr>
          <w:rFonts w:ascii="方正小标宋简体" w:hAnsi="宋体" w:eastAsia="方正小标宋简体"/>
          <w:color w:val="000000"/>
          <w:kern w:val="0"/>
          <w:sz w:val="40"/>
          <w:szCs w:val="44"/>
        </w:rPr>
      </w:pPr>
      <w:r>
        <w:rPr>
          <w:rFonts w:hint="eastAsia" w:ascii="方正小标宋简体" w:hAnsi="宋体" w:eastAsia="方正小标宋简体"/>
          <w:color w:val="000000"/>
          <w:kern w:val="0"/>
          <w:sz w:val="40"/>
          <w:szCs w:val="44"/>
        </w:rPr>
        <w:t>盐边县自然资源规划和林业局</w:t>
      </w:r>
    </w:p>
    <w:p w14:paraId="45C649CB">
      <w:pPr>
        <w:spacing w:line="600" w:lineRule="exact"/>
        <w:jc w:val="center"/>
        <w:rPr>
          <w:rFonts w:ascii="方正小标宋简体" w:hAnsi="宋体" w:eastAsia="方正小标宋简体"/>
          <w:color w:val="000000"/>
          <w:kern w:val="0"/>
          <w:sz w:val="40"/>
          <w:szCs w:val="44"/>
          <w:lang w:val="zh-CN"/>
        </w:rPr>
      </w:pPr>
      <w:r>
        <w:rPr>
          <w:rFonts w:ascii="方正小标宋简体" w:hAnsi="宋体" w:eastAsia="方正小标宋简体"/>
          <w:color w:val="000000"/>
          <w:kern w:val="0"/>
          <w:sz w:val="40"/>
          <w:szCs w:val="44"/>
        </w:rPr>
        <w:t>20</w:t>
      </w:r>
      <w:r>
        <w:rPr>
          <w:rFonts w:hint="eastAsia" w:ascii="方正小标宋简体" w:hAnsi="宋体" w:eastAsia="方正小标宋简体"/>
          <w:color w:val="000000"/>
          <w:kern w:val="0"/>
          <w:sz w:val="40"/>
          <w:szCs w:val="44"/>
        </w:rPr>
        <w:t>20</w:t>
      </w:r>
      <w:r>
        <w:rPr>
          <w:rFonts w:ascii="方正小标宋简体" w:hAnsi="宋体" w:eastAsia="方正小标宋简体"/>
          <w:color w:val="000000"/>
          <w:kern w:val="0"/>
          <w:sz w:val="40"/>
          <w:szCs w:val="44"/>
        </w:rPr>
        <w:t>年部门</w:t>
      </w:r>
      <w:r>
        <w:rPr>
          <w:rFonts w:hint="eastAsia" w:ascii="方正小标宋简体" w:hAnsi="宋体" w:eastAsia="方正小标宋简体"/>
          <w:color w:val="000000"/>
          <w:kern w:val="0"/>
          <w:sz w:val="40"/>
          <w:szCs w:val="44"/>
          <w:lang w:val="zh-CN"/>
        </w:rPr>
        <w:t>整体支出绩效评价报告</w:t>
      </w:r>
    </w:p>
    <w:p w14:paraId="24F7654A">
      <w:pPr>
        <w:widowControl/>
        <w:spacing w:line="580" w:lineRule="exact"/>
        <w:contextualSpacing/>
        <w:jc w:val="center"/>
        <w:rPr>
          <w:rFonts w:ascii="仿宋_GB2312" w:hAnsi="宋体" w:eastAsia="仿宋_GB2312"/>
          <w:sz w:val="32"/>
          <w:szCs w:val="32"/>
          <w:shd w:val="clear" w:color="auto" w:fill="FFFFFF"/>
        </w:rPr>
      </w:pPr>
      <w:r>
        <w:rPr>
          <w:rFonts w:hint="eastAsia" w:ascii="仿宋_GB2312" w:hAnsi="宋体" w:eastAsia="仿宋_GB2312"/>
          <w:sz w:val="32"/>
          <w:szCs w:val="32"/>
          <w:shd w:val="clear" w:color="auto" w:fill="FFFFFF"/>
        </w:rPr>
        <w:t>（报告范围包括机关和下属单位）</w:t>
      </w:r>
    </w:p>
    <w:p w14:paraId="55AB8EB5">
      <w:pPr>
        <w:widowControl/>
        <w:adjustRightInd w:val="0"/>
        <w:snapToGrid w:val="0"/>
        <w:spacing w:line="580" w:lineRule="exact"/>
        <w:ind w:firstLine="480" w:firstLineChars="200"/>
        <w:contextualSpacing/>
        <w:jc w:val="left"/>
        <w:rPr>
          <w:rFonts w:ascii="黑体" w:hAnsi="宋体" w:eastAsia="黑体" w:cs="宋体"/>
          <w:color w:val="000000"/>
          <w:kern w:val="0"/>
          <w:sz w:val="24"/>
          <w:szCs w:val="32"/>
          <w:shd w:val="clear" w:color="auto" w:fill="FFFFFF"/>
        </w:rPr>
      </w:pPr>
    </w:p>
    <w:p w14:paraId="1D8B00E0">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lang w:val="zh-CN"/>
        </w:rPr>
      </w:pPr>
      <w:r>
        <w:rPr>
          <w:rFonts w:hint="eastAsia" w:ascii="黑体" w:hAnsi="宋体" w:eastAsia="黑体" w:cs="宋体"/>
          <w:color w:val="000000"/>
          <w:kern w:val="0"/>
          <w:sz w:val="32"/>
          <w:szCs w:val="32"/>
          <w:shd w:val="clear" w:color="auto" w:fill="FFFFFF"/>
        </w:rPr>
        <w:t>一、</w:t>
      </w:r>
      <w:r>
        <w:rPr>
          <w:rFonts w:hint="eastAsia" w:ascii="黑体" w:hAnsi="宋体" w:eastAsia="黑体" w:cs="宋体"/>
          <w:color w:val="000000"/>
          <w:kern w:val="0"/>
          <w:sz w:val="32"/>
          <w:szCs w:val="32"/>
          <w:shd w:val="clear" w:color="auto" w:fill="FFFFFF"/>
          <w:lang w:val="zh-CN"/>
        </w:rPr>
        <w:t>部门（单位）概况</w:t>
      </w:r>
    </w:p>
    <w:p w14:paraId="411CDD5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机构组成。盐边县自然资源规划和林业局下属事业单位17个，参照公务员法管理的事业单位3个。17个事业单位分别是盐边县土地矿产储备开发中心、盐边县不动产登记中心、盐边县土地征收协调办公室、盐边县林业产业发展办公室、盐边县林业工作总站、盐边县森林经营所、四川二滩湿地鸟类自然保护区管理局、盐边县城乡规划编制研究中心、盐边县桐子林国土资源所、盐边县红格国土资源所、盐边县红果国土资源所、盐边县渔门国土资源所、盐边县国胜国土资源所、盐边县永兴国土资源所、盐边县格萨拉国土资源所、盐边县共和国土资源所、盐边县森林防火指挥部办公室；3个参公事业单位分别是盐边县国土资源执法监察大队、盐边县林业执法稽查大队、盐边县森林病虫害防治检疫站。</w:t>
      </w:r>
    </w:p>
    <w:p w14:paraId="3A11CC0F">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机构职能。盐边县自然资源规划和林业局主要职责是按照规定权限，履行全民所有土地、矿产、森林、草原、湿地、水等自然资源资产所有者职责和所有国土空间用途管制职责。贯彻执行国家、省、市有关自然资源和国土空间规划及测绘等方面的法律法规、规章，制定有关政策措施并组织实施等各种涉及自然资源的工作。负责县政府机关的上情下达，下情上报及上级机关交办的其他工作。</w:t>
      </w:r>
    </w:p>
    <w:p w14:paraId="6C7A56B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（三）人员概况。盐边县自然资源规划和林业局年初在职人员112人，退休人员50人；年末在职人员127人，退休56人。因机构改革人员合并。</w:t>
      </w:r>
    </w:p>
    <w:p w14:paraId="04F95C03">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二、部门财政资金收支情况</w:t>
      </w:r>
    </w:p>
    <w:p w14:paraId="77C19BD2">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财政资金收入情况。一般公共预算项目收入合计20178.51万元。其中：城乡社区支出8302.18万元，农林水支出13.67万元，自然资源海洋气象等支出5052.25万元，灾害防治及应急管理支出1835.99万元。节能环保支出563.8万元，农林水支出4410.62万元。</w:t>
      </w:r>
    </w:p>
    <w:p w14:paraId="07C32E74">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部门财政资金支出情况。2019年度专项资金支出情况：项目支出48762.38万元，其中：节能环保支出1158.87万元，城乡社区支出41813.29万元，农林水支出2023.55万元，自然资源海洋气象等支出2473.8万元，灾害防治及应急管理支出1292.87万元。</w:t>
      </w:r>
    </w:p>
    <w:p w14:paraId="574BDC43">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三、部门整体预算绩效管理情况</w:t>
      </w:r>
    </w:p>
    <w:p w14:paraId="1F5BE353">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（一）部门预算管理。</w:t>
      </w:r>
    </w:p>
    <w:p w14:paraId="4072C690">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部门绩效目标制定、目标实现、预算编制准确、支出控制、预算动态调整、执行进度、预算完成情况和违规记录等情况。根据预算绩效管理要求，我单位在年初预算编制阶段，组织对地质灾害救助、全国国土调查工作、巴拉河流域环保督察违法违规建设项目现场清理和土地恢复专项、森林生态效益补偿、退耕还林、天然商品林停伐补助、中央财政造林补贴等项目开展了预算事前绩效评估，编制了绩效目标，在预算执行过程中，对项目开展绩效监控，年终执行完毕后，对项目开展了绩效目标完成情况梳理填报。</w:t>
      </w:r>
    </w:p>
    <w:p w14:paraId="2CDDEC8C">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我单位按照前期准备、组织实施、核查完善及分析评估四个阶段要求，组织开展部门整体支出开展绩效自评工作，从评价情况来看，结合单位工作实际，本单位主要领导和分管领导认真审核项目预算，对项目支出渠道严格把关，确保各项目支出实现了经济效益、社会效益、生态效益等预期目标。</w:t>
      </w:r>
    </w:p>
    <w:p w14:paraId="5CBBE527">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（二）结果应用情况。</w:t>
      </w:r>
    </w:p>
    <w:p w14:paraId="57BED46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包括绩效自评公开、评价结果整改和应用结果反馈等情况。</w:t>
      </w:r>
    </w:p>
    <w:p w14:paraId="11F0E451">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产出指标完成情况分析：2020年，一般公共预算和政府性基金财政拨款专项资金收入（决算数）为47950.08万元，其中：当年财政拨款项目支出（收入决算数）29815.64万元，年初结转和结余18134.44万元。当年财政拨款项目支出（支出决算数）38495.06万元。</w:t>
      </w:r>
    </w:p>
    <w:p w14:paraId="3BD142FD">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自评结论：2020年，我局积极履职，强化管理，较好地完成了年度工作目标。通过加强预算收支绩效管理，不断建立健全内部控制管理制度，梳理内部管理流程，部门预算整体支出管理水平得到了提升。但也存在一些不足之处：如预算编制工作不够细化；预算管理意识有待增强；财务人员业务知识有待更新等。下一步我单位将从以下几个方面进行改进：一是细化预算编制工作，认真做好预算的编制。进一步加强单位内部机构各股室的预算管理意识，严格按照预算编制的相关制度和要求进行预算编制。二是加强财务管理，严格财务审核。加强单位财务管理，健全单位财务管理制度体系，规范单位财务行为。三是完善资产管理，抓好“三公”经费控制。严格编制政府采购年初预算和计划，规范各类资产的购置审批制度、资产采购制度、使用管理制度、资产处理和报废审批制度、资产管理岗职责制度等，加强单位内部的资产管理工作。严格控制“三公”经费的规模和比例，把关“三公”经费支出的审核、审批，杜绝挪用和挤占其他预算资金行为；进一步细化“三公”经费的管理，合理压缩“三公”经费支出。四是对相关人员加强培训，特别是针对《中华人民共和国预算法》《政府会计制度》等学习培训，规范部门预算收支核算，切实提高部门预算收支管理水平。</w:t>
      </w:r>
    </w:p>
    <w:p w14:paraId="7E1CB745">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绩效自评结果拟应用和公开公示情况：2020年，本单位的绩效目标制定和实施都能结合本单位的实际，具有较强的目标性和可操作性，绩效自评结果也可以为下一年度的绩效管理提供参考和帮助。我们将进一步加强预算绩效管理，更好地履行本部门的职能职责，提高财政资金的使用效率，将有限的财政投入发挥最大的经济效益和社会效益。下一步，我们将在“盐边县公众信息网”财政信息板块下的“财政绩效评价信息专栏”对绩效自评结果进行公开公示。</w:t>
      </w:r>
    </w:p>
    <w:p w14:paraId="40619E3D">
      <w:pPr>
        <w:widowControl/>
        <w:adjustRightInd w:val="0"/>
        <w:snapToGrid w:val="0"/>
        <w:spacing w:line="580" w:lineRule="exact"/>
        <w:ind w:firstLine="640" w:firstLineChars="200"/>
        <w:contextualSpacing/>
        <w:jc w:val="left"/>
        <w:rPr>
          <w:rFonts w:ascii="黑体" w:hAnsi="宋体" w:eastAsia="黑体" w:cs="宋体"/>
          <w:color w:val="000000"/>
          <w:kern w:val="0"/>
          <w:sz w:val="32"/>
          <w:szCs w:val="32"/>
          <w:shd w:val="clear" w:color="auto" w:fill="FFFFFF"/>
        </w:rPr>
      </w:pPr>
      <w:r>
        <w:rPr>
          <w:rFonts w:hint="eastAsia" w:ascii="黑体" w:hAnsi="宋体" w:eastAsia="黑体" w:cs="宋体"/>
          <w:color w:val="000000"/>
          <w:kern w:val="0"/>
          <w:sz w:val="32"/>
          <w:szCs w:val="32"/>
          <w:shd w:val="clear" w:color="auto" w:fill="FFFFFF"/>
        </w:rPr>
        <w:t>四、评价结论及建议</w:t>
      </w:r>
    </w:p>
    <w:p w14:paraId="285A629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（一）评价结论。2020年，我局积极履职，强化管理，较好地完成了年度工作目标。</w:t>
      </w:r>
    </w:p>
    <w:p w14:paraId="47329E86">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（二）存在问题。如预算编制工作不够细化；预算管理意识有待增强；财务人员业务知识有待更新等。</w:t>
      </w:r>
    </w:p>
    <w:p w14:paraId="4B28A619">
      <w:pPr>
        <w:widowControl/>
        <w:adjustRightInd w:val="0"/>
        <w:snapToGrid w:val="0"/>
        <w:spacing w:line="580" w:lineRule="exact"/>
        <w:ind w:firstLine="640" w:firstLineChars="200"/>
        <w:contextualSpacing/>
        <w:jc w:val="left"/>
        <w:rPr>
          <w:rFonts w:ascii="仿宋_GB2312" w:hAnsi="宋体" w:eastAsia="仿宋_GB2312" w:cs="宋体"/>
          <w:color w:val="000000"/>
          <w:kern w:val="0"/>
          <w:sz w:val="32"/>
          <w:szCs w:val="32"/>
          <w:shd w:val="clear" w:color="auto" w:fill="FFFFFF"/>
          <w:lang w:val="zh-CN"/>
        </w:rPr>
      </w:pPr>
      <w:r>
        <w:rPr>
          <w:rFonts w:hint="eastAsia" w:ascii="仿宋_GB2312" w:hAnsi="宋体" w:eastAsia="仿宋_GB2312" w:cs="宋体"/>
          <w:color w:val="000000"/>
          <w:kern w:val="0"/>
          <w:sz w:val="32"/>
          <w:szCs w:val="32"/>
          <w:shd w:val="clear" w:color="auto" w:fill="FFFFFF"/>
          <w:lang w:val="zh-CN"/>
        </w:rPr>
        <w:t>（三）改进建议。一是细化预算编制工作，认真做好预算的编制。进一步加强单位内部机构各股室的预算管理意识，严格按照预算编制的相关制度和要求进行预算编制。二是加强财务管理，严格财务审核。加强单位财务管理，健全单位财务管理制度体系，规范单位财务行为。三是完善资产管理，抓好“三公”经费控制。严格编制政府采购年初预算和计划，规范各类资产的购置审批制度、资产采购制度、使用管理制度、资产处理和报废审批制度、资产管理岗职责制度等，加强单位内部的资产管理工作。严格控制“三公”经费的规模和比例，把关“三公”经费支出的审核、审批，杜绝挪用和挤占其他预算资金行为；进一步细化“三公”经费的管理，合理压缩“三公”经费支出。四是对相关人员加强培训，特别是针对《中华人民共和国预算法》《政府会计制度》等学习培训，规范部门预算收支核算，切实提高部门预算收支管理水平。</w:t>
      </w:r>
    </w:p>
    <w:p w14:paraId="0870B8A1">
      <w:pPr>
        <w:spacing w:line="580" w:lineRule="exact"/>
        <w:rPr>
          <w:rFonts w:ascii="黑体" w:hAnsi="黑体" w:eastAsia="黑体" w:cs="黑体"/>
          <w:sz w:val="32"/>
          <w:szCs w:val="32"/>
        </w:rPr>
      </w:pPr>
    </w:p>
    <w:p w14:paraId="74444A1F">
      <w:pPr>
        <w:spacing w:line="580" w:lineRule="exact"/>
        <w:rPr>
          <w:rFonts w:ascii="黑体" w:hAnsi="黑体" w:eastAsia="黑体" w:cs="黑体"/>
          <w:sz w:val="32"/>
          <w:szCs w:val="32"/>
        </w:rPr>
      </w:pPr>
    </w:p>
    <w:p w14:paraId="2E616791">
      <w:pPr>
        <w:spacing w:line="580" w:lineRule="exact"/>
        <w:rPr>
          <w:rFonts w:ascii="黑体" w:hAnsi="黑体" w:eastAsia="黑体" w:cs="黑体"/>
          <w:sz w:val="32"/>
          <w:szCs w:val="32"/>
        </w:rPr>
      </w:pPr>
    </w:p>
    <w:p w14:paraId="6068BD41">
      <w:pPr>
        <w:spacing w:line="580" w:lineRule="exact"/>
        <w:rPr>
          <w:rFonts w:ascii="黑体" w:hAnsi="黑体" w:eastAsia="黑体" w:cs="黑体"/>
          <w:sz w:val="32"/>
          <w:szCs w:val="32"/>
        </w:rPr>
      </w:pPr>
    </w:p>
    <w:p w14:paraId="402CAF60">
      <w:pPr>
        <w:spacing w:line="580" w:lineRule="exact"/>
        <w:rPr>
          <w:rFonts w:ascii="黑体" w:hAnsi="黑体" w:eastAsia="黑体" w:cs="黑体"/>
          <w:sz w:val="32"/>
          <w:szCs w:val="32"/>
        </w:rPr>
      </w:pPr>
    </w:p>
    <w:p w14:paraId="518559B4">
      <w:pPr>
        <w:spacing w:line="580" w:lineRule="exact"/>
        <w:ind w:firstLine="640" w:firstLineChars="200"/>
        <w:rPr>
          <w:rFonts w:ascii="仿宋_GB2312" w:hAnsi="仿宋_GB2312" w:eastAsia="仿宋_GB2312" w:cs="仿宋_GB2312"/>
          <w:sz w:val="32"/>
          <w:szCs w:val="32"/>
        </w:rPr>
      </w:pPr>
    </w:p>
    <w:p w14:paraId="49F0343E">
      <w:pPr>
        <w:spacing w:line="540" w:lineRule="exact"/>
        <w:jc w:val="center"/>
        <w:rPr>
          <w:rFonts w:ascii="方正小标宋简体" w:hAnsi="宋体" w:eastAsia="方正小标宋简体"/>
          <w:color w:val="000000"/>
          <w:kern w:val="0"/>
          <w:sz w:val="44"/>
          <w:szCs w:val="44"/>
          <w:lang w:val="zh-CN"/>
        </w:rPr>
      </w:pPr>
      <w:r>
        <w:rPr>
          <w:rFonts w:hint="eastAsia" w:ascii="方正小标宋简体" w:hAnsi="宋体" w:eastAsia="方正小标宋简体"/>
          <w:color w:val="000000"/>
          <w:kern w:val="0"/>
          <w:sz w:val="44"/>
          <w:szCs w:val="44"/>
        </w:rPr>
        <w:t>土地整理项目2020年</w:t>
      </w:r>
      <w:r>
        <w:rPr>
          <w:rFonts w:hint="eastAsia" w:ascii="方正小标宋简体" w:hAnsi="宋体" w:eastAsia="方正小标宋简体"/>
          <w:color w:val="000000"/>
          <w:kern w:val="0"/>
          <w:sz w:val="44"/>
          <w:szCs w:val="44"/>
          <w:lang w:val="zh-CN"/>
        </w:rPr>
        <w:t>绩效评价报告</w:t>
      </w:r>
    </w:p>
    <w:p w14:paraId="2EBFC7BD">
      <w:pPr>
        <w:spacing w:line="540" w:lineRule="exact"/>
        <w:rPr>
          <w:rFonts w:ascii="宋体" w:hAnsi="宋体"/>
          <w:sz w:val="32"/>
          <w:szCs w:val="32"/>
          <w:lang w:val="zh-CN"/>
        </w:rPr>
      </w:pPr>
    </w:p>
    <w:p w14:paraId="47B7E88F">
      <w:pPr>
        <w:adjustRightInd w:val="0"/>
        <w:snapToGrid w:val="0"/>
        <w:spacing w:line="540" w:lineRule="exact"/>
        <w:ind w:firstLine="720"/>
        <w:rPr>
          <w:rFonts w:ascii="黑体" w:hAnsi="宋体" w:eastAsia="黑体"/>
          <w:sz w:val="32"/>
          <w:szCs w:val="32"/>
          <w:lang w:val="zh-CN"/>
        </w:rPr>
      </w:pPr>
      <w:r>
        <w:rPr>
          <w:rFonts w:hint="eastAsia" w:ascii="黑体" w:hAnsi="宋体" w:eastAsia="黑体"/>
          <w:sz w:val="32"/>
          <w:szCs w:val="32"/>
        </w:rPr>
        <w:t>一、</w:t>
      </w:r>
      <w:r>
        <w:rPr>
          <w:rFonts w:hint="eastAsia" w:ascii="黑体" w:hAnsi="宋体" w:eastAsia="黑体"/>
          <w:sz w:val="32"/>
          <w:szCs w:val="32"/>
          <w:lang w:val="zh-CN"/>
        </w:rPr>
        <w:t>项目概况</w:t>
      </w:r>
    </w:p>
    <w:p w14:paraId="71D00E21">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（一）项目基本情况。</w:t>
      </w:r>
    </w:p>
    <w:p w14:paraId="71784641">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盐边县国胜乡大石房村、东巴湾村、新毕村、热水塘村土地开发整理项目于2016年7月29日经原市国土资源局以攀国土资发〔2016〕81号文批准立项，该项目于2017年3月23日由四川省财政评审中心对该项目做了预算价评审。</w:t>
      </w:r>
    </w:p>
    <w:p w14:paraId="2A6FEF91">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 盐边县永兴镇苍蒲村、复兴村土地开发整理项目于2016年7月29日经原市国土资源局以攀国土资发〔2016〕81号文批准立项，该项目于2017年3月23日由四川省财政评审中心对该项目做了预算价评审。</w:t>
      </w:r>
    </w:p>
    <w:p w14:paraId="69E617B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 盐边县红果彝族乡红果村、大槽村、花椒箐村土地开发整理项目于2016年7月29日经原市国土资源局以攀国土资发〔2016〕81号文批准立项，该项目于2017年3月23日由四川省财政评审中心对该项目做了预算价评审。</w:t>
      </w:r>
    </w:p>
    <w:p w14:paraId="7EE119BA">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 盐边县和爱彝族乡联合村、顺利村、团结村、新华村土地整理项目于2016年7月29日经原市国土资源局以攀国土资发〔2016〕81号文批准立项，该项目于2017年7月由四川省财政评审中心对该项目做了预算价评审。</w:t>
      </w:r>
    </w:p>
    <w:p w14:paraId="1DEB2F96">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（二）项目绩效目标。</w:t>
      </w:r>
    </w:p>
    <w:p w14:paraId="7A969BC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盐边县国胜乡大石房村、东巴湾村、新毕村、热水塘村土地开发整理项目建设规模10537.40亩，新增耕地面积1289.91亩，项目招标控制价2501.63万元。项目规划总工期为6个月，2017年12月动工，2019年5月竣工。主要建设内容包括：一、土地平整工程：完成格田整理685.54亩；坡改梯665.71亩；其他草地开发239.25亩；水田整理3193.26亩；旱地整理5639.55亩；二、灌溉与排水工程：整治0.3×0.3m灌溉渠11条7078m；整治0.4×0.4m灌溉渠7条4930m；整治1.5×1.2m排水沟2条402m；新建200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蓄水池</w:t>
      </w:r>
      <w:r>
        <w:rPr>
          <w:rFonts w:hint="eastAsia" w:ascii="仿宋_GB2312" w:hAnsi="宋体" w:eastAsia="仿宋_GB2312"/>
          <w:sz w:val="32"/>
          <w:szCs w:val="32"/>
          <w:lang w:val="zh-CN"/>
        </w:rPr>
        <w:t>14口；新建D400涵管34处146m；三、田间道路工程：整治3.0米宽砼田间道5条1872米（其中新建30×30边沟67米）；整治3.5米宽C30砼田间道3条4094米（其中新建30×30边沟2134米）；整治生产路27条16671米（其中新建30×30边沟234米）；新建田间道错车道16处，新建生产路错车道45处；新建挡土墙75处1044米；四、其他工程：项目公示牌1座，单项工程标志牌101块。</w:t>
      </w:r>
    </w:p>
    <w:p w14:paraId="20B43A0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 盐边县永兴镇苍蒲村、复兴村土地开发整理项目建设规模11387亩，新增耕地面积1207亩，项目招标控制价1257.3806万元。项目规划总工期为6个月，2017年12月动工，2019年5月竣工。主要建设内容包括：一、土地平整工程：坡改梯1146.73亩，格田整理922.91亩，荒草地整理378.82亩，旱地整理5147.12亩，水田整理1411.39亩；二、灌溉与排水工程：新建200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蓄水池</w:t>
      </w:r>
      <w:r>
        <w:rPr>
          <w:rFonts w:hint="eastAsia" w:ascii="仿宋_GB2312" w:hAnsi="宋体" w:eastAsia="仿宋_GB2312"/>
          <w:sz w:val="32"/>
          <w:szCs w:val="32"/>
          <w:lang w:val="zh-CN"/>
        </w:rPr>
        <w:t>48口，新建0.3×0.3m排水沟5290.2m，整治0.4m×0.4m排水沟10017.4m，新建0.6m×0.8m排水沟246米，新建Φ400田间道涵管394米，新建Φ600田间道涵管82米，新建Φ800田间道涵管16米，0.8m宽人行便桥94处；三、田间道路工程：新建3.0m宽田间道11141.1m，新建3.5m宽田间道6882.5 m，新建田间道错车道68处，新建田间道转弯车道18处，新建1.0m宽生产路866.8 m，新建2.5m宽生产路871m；四、其他工程：项目标识牌1座，单体工程标识牌113块。</w:t>
      </w:r>
    </w:p>
    <w:p w14:paraId="7517DA0A">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 盐边县红果彝族乡红果村、大槽村、花椒箐村土地开发整理项目建设规模16316.25亩，新增耕地面积2952.5亩，项目招标控制价2501.63万元。项目规划总工期为6个月，2017年11月动工，2018年12月竣工。主要建设内容包括：一、土地平整工程：格田整理1288.25亩、旱地坡改梯1851.50亩、水田整理776.15 亩、旱地整理7348.45亩；二、灌溉与排水工程：整治农渠（C20现浇砼渠0.4×0.4）5926m；配套渠道（C20现浇砼渠0.4×0.4）2691m；道路排水沟（C20现浇砼渠0.4×0.4）17163m、道路排水沟（C20现浇砼渠1.0×1.0）266m；排洪沟渠189m；过渠人行便桥119处；沉砂池8口，放水口140处，新建蓄水池27口；铺设 Φ400排水涵管364m，铺设Φ600排水涵管66m；铺设Φ800排水涵管72m；漫水桥8座；三、田间道路工程：整治田间道（宽4m砼路）309m，整治田间道（宽3.5m砼路）15460m，整治田间道（宽3m 砼路）3531m，新建错车道75处，田间道堡坎1083.5m，配套生产路（1m宽）187m、（1.5m宽）933m、（2m宽）1251m、（2.5m宽）2050m，涵洞1处；四、其他工程：项目公示牌1座，单项工程标志牌148块。</w:t>
      </w:r>
    </w:p>
    <w:p w14:paraId="678E9E8D">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 盐边县和爱彝族乡联合村、顺利村、团结村、新华村土地整理项目建设规模14615.2亩，计划新增耕地1395.6亩，项目招标控制价1378.1591万元。项目施工计划工期为6个月，2018年3月开工建设，2019年6月竣工。项目规划主要建设内容：一、土地平整工程：旱地坡改梯967.33亩、格田整理1187.88、旱地整理，7917.17亩，浆砌石埂修筑5846.93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、干砌石埂</w:t>
      </w:r>
      <w:r>
        <w:rPr>
          <w:rFonts w:hint="eastAsia" w:ascii="仿宋_GB2312" w:hAnsi="宋体" w:eastAsia="仿宋_GB2312"/>
          <w:sz w:val="32"/>
          <w:szCs w:val="32"/>
          <w:lang w:val="zh-CN"/>
        </w:rPr>
        <w:t>2034m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、土埂</w:t>
      </w:r>
      <w:r>
        <w:rPr>
          <w:rFonts w:hint="eastAsia" w:ascii="仿宋_GB2312" w:hAnsi="宋体" w:eastAsia="仿宋_GB2312"/>
          <w:sz w:val="32"/>
          <w:szCs w:val="32"/>
          <w:lang w:val="zh-CN"/>
        </w:rPr>
        <w:t>4029.47m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；二、灌溉与排水工程：新建</w:t>
      </w:r>
      <w:r>
        <w:rPr>
          <w:rFonts w:hint="eastAsia" w:ascii="仿宋_GB2312" w:hAnsi="宋体" w:eastAsia="仿宋_GB2312"/>
          <w:sz w:val="32"/>
          <w:szCs w:val="32"/>
          <w:lang w:val="zh-CN"/>
        </w:rPr>
        <w:t>100m</w:t>
      </w:r>
      <w:r>
        <w:rPr>
          <w:rFonts w:hint="eastAsia" w:ascii="宋体" w:hAnsi="宋体" w:cs="宋体"/>
          <w:sz w:val="32"/>
          <w:szCs w:val="32"/>
          <w:lang w:val="zh-CN"/>
        </w:rPr>
        <w:t>³</w:t>
      </w:r>
      <w:r>
        <w:rPr>
          <w:rFonts w:hint="eastAsia" w:ascii="仿宋_GB2312" w:hAnsi="仿宋_GB2312" w:eastAsia="仿宋_GB2312" w:cs="仿宋_GB2312"/>
          <w:sz w:val="32"/>
          <w:szCs w:val="32"/>
          <w:lang w:val="zh-CN"/>
        </w:rPr>
        <w:t>蓄水池</w:t>
      </w:r>
      <w:r>
        <w:rPr>
          <w:rFonts w:hint="eastAsia" w:ascii="仿宋_GB2312" w:hAnsi="宋体" w:eastAsia="仿宋_GB2312"/>
          <w:sz w:val="32"/>
          <w:szCs w:val="32"/>
          <w:lang w:val="zh-CN"/>
        </w:rPr>
        <w:t>61口，坡改梯配套0.4*0.3排水沟3701m、格田配套0.6m宽排水沟2299格田配套0.6m宽排水沟、整治田间道路配套涵洞590m；三、田间道路工程：整治3.0m宽田间道（砼路面） 9178m、错车道22处，3.5M宽整治田间道路4213m、错车道12处，整治1.0M宽生产路5179m；四、其他工程：项目公示牌1座，单项工程标志牌162块。</w:t>
      </w:r>
    </w:p>
    <w:p w14:paraId="6FA8D91D">
      <w:pPr>
        <w:adjustRightInd w:val="0"/>
        <w:snapToGrid w:val="0"/>
        <w:spacing w:line="540" w:lineRule="exact"/>
        <w:ind w:firstLine="720"/>
        <w:rPr>
          <w:rFonts w:ascii="黑体" w:hAnsi="宋体" w:eastAsia="黑体"/>
          <w:sz w:val="32"/>
          <w:szCs w:val="32"/>
        </w:rPr>
      </w:pPr>
      <w:r>
        <w:rPr>
          <w:rFonts w:hint="eastAsia" w:ascii="黑体" w:hAnsi="宋体" w:eastAsia="黑体"/>
          <w:sz w:val="32"/>
          <w:szCs w:val="32"/>
        </w:rPr>
        <w:t>二、项目资金申报及使用情况</w:t>
      </w:r>
    </w:p>
    <w:p w14:paraId="40B92E12">
      <w:pPr>
        <w:adjustRightInd w:val="0"/>
        <w:snapToGrid w:val="0"/>
        <w:spacing w:line="540" w:lineRule="exact"/>
        <w:ind w:firstLine="720"/>
        <w:rPr>
          <w:rFonts w:ascii="仿宋_GB2312" w:hAnsi="宋体" w:eastAsia="仿宋_GB2312"/>
          <w:sz w:val="32"/>
          <w:szCs w:val="32"/>
          <w:lang w:val="zh-CN"/>
        </w:rPr>
      </w:pPr>
      <w:r>
        <w:rPr>
          <w:rFonts w:hint="eastAsia" w:ascii="楷体_GB2312" w:hAnsi="宋体" w:eastAsia="楷体_GB2312"/>
          <w:b/>
          <w:sz w:val="32"/>
          <w:szCs w:val="32"/>
          <w:lang w:val="zh-CN"/>
        </w:rPr>
        <w:t>（一）资金计划、到位及使用情况。</w:t>
      </w:r>
    </w:p>
    <w:p w14:paraId="55559370">
      <w:pPr>
        <w:adjustRightInd w:val="0"/>
        <w:snapToGrid w:val="0"/>
        <w:spacing w:line="540" w:lineRule="exact"/>
        <w:ind w:firstLine="720"/>
        <w:rPr>
          <w:rFonts w:ascii="楷体_GB2312" w:hAnsi="宋体" w:eastAsia="楷体_GB2312"/>
          <w:sz w:val="32"/>
          <w:szCs w:val="32"/>
          <w:lang w:val="zh-CN"/>
        </w:rPr>
      </w:pPr>
      <w:r>
        <w:rPr>
          <w:rFonts w:hint="eastAsia" w:ascii="楷体_GB2312" w:hAnsi="宋体" w:eastAsia="楷体_GB2312"/>
          <w:sz w:val="32"/>
          <w:szCs w:val="32"/>
          <w:lang w:val="zh-CN"/>
        </w:rPr>
        <w:t>1.资金计划及到位。</w:t>
      </w:r>
    </w:p>
    <w:p w14:paraId="3C61C756">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国胜乡土地整理项目。工程预算总投资1703.57万元，其中工程施工费为1429.33万元，地力培肥43.50万元，前期工作费、工程监理费、竣工验收费等其他费用及不可预见费为230.74万元。四川省财政厅分别以川财投〔2017〕137号、川财投〔2016〕162号下达资金，总计到位1622.07万元。</w:t>
      </w:r>
    </w:p>
    <w:p w14:paraId="43628CB2">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永兴镇土地整理项目。工程预算总投资1678.33万元，其中工程施工费为1414.38万元，地力培肥42.36万元，前期工作费、工程监理费、竣工验收费等其他费用及不可预见费为221.59万元。四川省财政厅分别以川财投〔2017〕137号、川财投〔2016〕162号下达资金，总计到位1597.991万元。</w:t>
      </w:r>
    </w:p>
    <w:p w14:paraId="0C93ABA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红果乡土地整理项目。工程预算总投资2501.63万元，其中工程施工费为2129.57万元，地力培肥64.12万元，前期工作费、工程监理费、竣工验收费等其他费用及不可预见费为307.94万元。四川省财政厅分别以川财投〔2017〕137号、川财投〔2016〕162号下达资金，总计到位2383.92万元。</w:t>
      </w:r>
    </w:p>
    <w:p w14:paraId="245182C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和爱乡土地整理项目。工程预算总投资1580.76万元，其中工程施工费为1330.29万元，地力培肥47.87万元，前期工作费、工程监理费、竣工验收费等其他费用及不可预见费为202.60万元。四川省财政厅分别以川财投〔2017〕21号、川财投〔2017〕175号下达资金，总计到位1468.93万元。</w:t>
      </w:r>
    </w:p>
    <w:p w14:paraId="210F95D8">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2.资金使用。</w:t>
      </w:r>
    </w:p>
    <w:p w14:paraId="6F27B793">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盐边县国胜乡大石房村、东巴湾村、新毕村、热水塘村土地开发整理项目总支出1142.5996万元，盐边县永兴镇苍蒲村、复兴村土地开发整理项目总支出964.3951万元，盐边县红果彝族乡红果村、大槽村、花椒箐村土地开发整理项目总支出1660.9702万元，和爱彝族乡联合村、顺利村、团结村、新华村土地整理项目总支出847.29万元。</w:t>
      </w:r>
    </w:p>
    <w:p w14:paraId="06430C91">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（三）项目财务管理情况。</w:t>
      </w:r>
    </w:p>
    <w:p w14:paraId="40E1945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1.资金风险防范方案</w:t>
      </w:r>
    </w:p>
    <w:p w14:paraId="0694BB9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按投资计划，根据监理单位提出工程质检意见和施工单位的投资单据复印件报县国土局审查后拨付。</w:t>
      </w:r>
    </w:p>
    <w:p w14:paraId="4C7A6EEC">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①通过招投标方式，落实有资质、信誉高、投标价较低的施工队伍；</w:t>
      </w:r>
    </w:p>
    <w:p w14:paraId="67B13954">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②工程承包方式为：包工包料。为预防质量问题，签订合同时，施工单位先交纳履约保证金；</w:t>
      </w:r>
    </w:p>
    <w:p w14:paraId="6F49FE75">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③根据工程进展情况，按清单实际完成工程量支付工程款；</w:t>
      </w:r>
    </w:p>
    <w:p w14:paraId="7698F504">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④待全部工程结束后，经验收合格时，付工程款的90%，待工程质保期满后无质量问题，付清余下的工程款。</w:t>
      </w:r>
    </w:p>
    <w:p w14:paraId="3C457F78">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2.资金管理制度</w:t>
      </w:r>
    </w:p>
    <w:p w14:paraId="7008F5AA">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建立健全项目资金管理制度，设置项目台账，独立核算，严禁截留、挪用项目资金。严格按项目进度拨款程序，对项目实行预决算制度。</w:t>
      </w:r>
    </w:p>
    <w:p w14:paraId="0C75A232">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3.资金管理方式</w:t>
      </w:r>
    </w:p>
    <w:p w14:paraId="7A92F02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项目资金管理按“专款专用、台账管理、单独核算”原则进行管理。项目资金必须严格按规定的用途使用，严禁挤占挪用。</w:t>
      </w:r>
    </w:p>
    <w:p w14:paraId="5DDC2BC0">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4.资金支付方式</w:t>
      </w:r>
    </w:p>
    <w:p w14:paraId="5E651435">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施工单位提交工程量→监理审核→现场代表确认→县土地矿产储备开发中心审核→县自然资源规划和林业局财务室→县自然资源规划和林业局局长审核→县财政国库支付中心→施工单位。工程款以直接支付转账方式转至施工单位的基本账户，严禁现金支付项目工程款。</w:t>
      </w:r>
    </w:p>
    <w:p w14:paraId="4E795580">
      <w:pPr>
        <w:adjustRightInd w:val="0"/>
        <w:snapToGrid w:val="0"/>
        <w:spacing w:line="540" w:lineRule="exact"/>
        <w:ind w:firstLine="720"/>
        <w:rPr>
          <w:rFonts w:ascii="黑体" w:hAnsi="宋体" w:eastAsia="黑体"/>
          <w:sz w:val="32"/>
          <w:szCs w:val="32"/>
        </w:rPr>
      </w:pPr>
      <w:r>
        <w:rPr>
          <w:rFonts w:hint="eastAsia" w:ascii="黑体" w:hAnsi="宋体" w:eastAsia="黑体"/>
          <w:sz w:val="32"/>
          <w:szCs w:val="32"/>
        </w:rPr>
        <w:t>三、项目实施及管理情况</w:t>
      </w:r>
    </w:p>
    <w:p w14:paraId="55034C8A">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1.建立组织管理机构</w:t>
      </w:r>
    </w:p>
    <w:p w14:paraId="0BF6455C">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成立了以局长为组长的土地开发整理项目领导小组，并向每个标段派驻了现场代表，加强对项目质量和进度的监管，涉及的乡镇也组建了协调小组，委派专人到项目村协调工作。</w:t>
      </w:r>
    </w:p>
    <w:p w14:paraId="6BBEB93C">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2.严格落实项目管理制度</w:t>
      </w:r>
    </w:p>
    <w:p w14:paraId="0D4D4665">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（1）项目法人制度</w:t>
      </w:r>
    </w:p>
    <w:p w14:paraId="5CD99004">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根据职责分工，我县自然资源规划和林业局负责项目的具体实施，对项目策划、建设实施全过程管理，并承担投资安全风险。</w:t>
      </w:r>
    </w:p>
    <w:p w14:paraId="67AF5BF6">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（2）项目公示制度</w:t>
      </w:r>
    </w:p>
    <w:p w14:paraId="5098A7E1">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根据国家投资土地开发项目管理的规定，我们严格按程序对项目进行了建设公告、权属调整公告、项目情况公告，对项目名称、位置、建设规模、投资、工期、土地权属、项目实施单位、施工单位、监理单位、设计和中标单位等情况进行公告，广泛接受社会和群众监督，以达到公开、公平、公正的目的。</w:t>
      </w:r>
    </w:p>
    <w:p w14:paraId="45FC81F6">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（3）严格合同管理</w:t>
      </w:r>
    </w:p>
    <w:p w14:paraId="02A5D19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项目工程通过招标确定施工单位后，县自然资源规划和林业局与施工单位按照</w:t>
      </w:r>
      <w:bookmarkStart w:id="118" w:name="_GoBack"/>
      <w:bookmarkEnd w:id="118"/>
      <w:r>
        <w:rPr>
          <w:rFonts w:hint="eastAsia" w:ascii="仿宋_GB2312" w:hAnsi="宋体" w:eastAsia="仿宋_GB2312"/>
          <w:sz w:val="32"/>
          <w:szCs w:val="32"/>
          <w:lang w:val="zh-CN"/>
        </w:rPr>
        <w:t>规定签订《项目施工合同》，县自然资源规划和林业局与项目监理单位签订《项目工程监理合同》。在项目工程实施过程中，一切涉及工程的新增变更事项，必须经过设计、监理及甲方现场代表认可后，送县自然资源规划和林业局审核，报市自然资源和规划局批准后方可实施，确保项目工程达到预期的进度和质量。</w:t>
      </w:r>
    </w:p>
    <w:p w14:paraId="307754F8">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（4）实行公开招投标制度</w:t>
      </w:r>
    </w:p>
    <w:p w14:paraId="178303EE">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目前该项目正在组织公开施工招投标。</w:t>
      </w:r>
    </w:p>
    <w:p w14:paraId="06E76E02">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（5）项目工程监理制度</w:t>
      </w:r>
    </w:p>
    <w:p w14:paraId="57174694">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按照建设工程施工监理有关规定与监理单位签订《项目工程监理合同》，明确了双方的责、权、利。工程监理单位项目代表法人对工程质量、工期和投资控制实施全面监理，承担监理风险。为保证工程按质按量完成，本工程严格实行工程监理制度，本着客观、公正、公平的原则，对项目的施工质量、工程进度进行监理。监理公司委派工程总监和监理人员现场把关，做到了工程不合格不验收，原材料不合格不进场，保证了工程质量达到规范要求和设计要求。在施工过程中，凡是涉及因工程需要而引起的设计变更、工程量变更等，均由工程监理人员与甲方现场人员共同研究方案，呈报项目指挥部和市自然资源和规划局领导审批后，作为实施和结算的依据。</w:t>
      </w:r>
    </w:p>
    <w:p w14:paraId="18E64C83">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在项目实施过程中，实施单位经常性地对监理日志和监理报告等进行检查，了解监理情况，及时会同监理单位交流监理详情，研究解决监理工作中发现的问题，以确保工程进度和工程质量。</w:t>
      </w:r>
    </w:p>
    <w:p w14:paraId="0535F94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（6）项目工程建设管理工作制度</w:t>
      </w:r>
    </w:p>
    <w:p w14:paraId="3F7291D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为确保该项目的顺利实施和如期完成，使工程质量达到有关规定和要求，坚持落实以下工作制度：</w:t>
      </w:r>
    </w:p>
    <w:p w14:paraId="54661893">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汇报制度：项目实施期间，施工单位、监理单位、甲方代表把各自的工作情况定期向项目办公室进行旬报、月报、季报和年报，项目办公室每个月向项目指挥部及上级管理部门汇报一次项目工程实施的进度、质量与安全等情况，并对有关问题及时进行研究落实，使项目工程实施有条不紊。</w:t>
      </w:r>
    </w:p>
    <w:p w14:paraId="61AEC070">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检查制度：将检查职责以制度形式落实到人头，对施工单位的常规检查、施工进度、工程质量，监理单位的监理工作等的检查和各种合同履行情况的检查作出具体规定和要求。项目办公室对项目实施情况组织定期和不定期的检查或抽查，以便及时发现问题，及时研究处理、确保项目顺利实施。</w:t>
      </w:r>
    </w:p>
    <w:p w14:paraId="6724A404">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勤政廉洁制度：坚持勤政、廉洁、高效原则，调动各方面的工作积极性，做到各方面工作协调配合。严格按《四川省土地开发整理工作廉政建设制度》《盐边县自然资源规划和林业局党风廉政建设责任制度》《盐边县自然资源规划和林业局廉洁自律“十不准”》的规定，规范双方的廉政纪律。</w:t>
      </w:r>
    </w:p>
    <w:p w14:paraId="41E7219A">
      <w:pPr>
        <w:adjustRightInd w:val="0"/>
        <w:snapToGrid w:val="0"/>
        <w:spacing w:line="540" w:lineRule="exact"/>
        <w:ind w:firstLine="720"/>
        <w:rPr>
          <w:rFonts w:ascii="仿宋_GB2312" w:hAnsi="宋体" w:eastAsia="仿宋_GB2312"/>
          <w:sz w:val="32"/>
          <w:szCs w:val="32"/>
          <w:lang w:val="zh-CN"/>
        </w:rPr>
      </w:pPr>
      <w:r>
        <w:rPr>
          <w:rFonts w:hint="eastAsia" w:ascii="黑体" w:hAnsi="宋体" w:eastAsia="黑体"/>
          <w:sz w:val="32"/>
          <w:szCs w:val="32"/>
        </w:rPr>
        <w:t>四、项目绩效情况</w:t>
      </w:r>
      <w:r>
        <w:rPr>
          <w:rFonts w:hint="eastAsia" w:ascii="仿宋_GB2312" w:hAnsi="宋体" w:eastAsia="仿宋_GB2312"/>
          <w:sz w:val="32"/>
          <w:szCs w:val="32"/>
          <w:lang w:val="zh-CN"/>
        </w:rPr>
        <w:tab/>
      </w:r>
    </w:p>
    <w:p w14:paraId="12B03512">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（一）项目完成情况。</w:t>
      </w:r>
    </w:p>
    <w:p w14:paraId="395B9637">
      <w:pPr>
        <w:adjustRightInd w:val="0"/>
        <w:snapToGrid w:val="0"/>
        <w:spacing w:line="540" w:lineRule="exact"/>
        <w:ind w:firstLine="720"/>
        <w:rPr>
          <w:rFonts w:ascii="楷体_GB2312" w:hAnsi="宋体" w:eastAsia="楷体_GB2312"/>
          <w:b/>
          <w:sz w:val="32"/>
          <w:szCs w:val="32"/>
          <w:lang w:val="zh-CN"/>
        </w:rPr>
      </w:pPr>
      <w:r>
        <w:rPr>
          <w:rFonts w:hint="eastAsia" w:ascii="仿宋_GB2312" w:hAnsi="宋体" w:eastAsia="仿宋_GB2312"/>
          <w:sz w:val="32"/>
          <w:szCs w:val="32"/>
          <w:lang w:val="zh-CN"/>
        </w:rPr>
        <w:t>目前4个项目均已完工，其中国胜乡、红果乡2个土地整理项目已完成县级初验，永兴镇和爱乡2个项目正在组织开展验收工作。</w:t>
      </w:r>
    </w:p>
    <w:p w14:paraId="1CFCC2F0">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（二）项目效益情况。</w:t>
      </w:r>
    </w:p>
    <w:p w14:paraId="4EFA5B2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1.完善农业基础设施，促进农村现代化</w:t>
      </w:r>
    </w:p>
    <w:p w14:paraId="05D12C10">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本项目实施以后，田间道路和农田防护林成网，田块规整成方，土地得到平整，水利灌排设施配套完善，区内所有的新增耕地将成为“旱能灌、涝能排”的标准方田，对促进农业农村现代化具有重要意义。</w:t>
      </w:r>
    </w:p>
    <w:p w14:paraId="1F13D01E">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2.增加耕地面积，提高土地利用率</w:t>
      </w:r>
    </w:p>
    <w:p w14:paraId="658B73D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经测算，项目实施后，国胜乡项目新增耕地1289.91亩，新增耕地比率达到12.24%。永兴镇项目新增耕地1207亩，新增耕地比率达到10.6%。红果乡项目新增耕地2952.5亩，新增耕地比率达到18.1%。和爱乡新增耕地面积为1395.6亩，新增耕地比例为9.55%。</w:t>
      </w:r>
    </w:p>
    <w:p w14:paraId="099B4C7F">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3.改善耕地质量，提高耕地产出率</w:t>
      </w:r>
    </w:p>
    <w:p w14:paraId="3405A372">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通过项目实施，区内未利用地都建设成了优质稳产高产农田；在采用现代化耕作技术的基础上，再加上大力推广和使用有机肥料和生物肥料，耕地质量将得到全面提高，从而增加耕地产出率。</w:t>
      </w:r>
    </w:p>
    <w:p w14:paraId="1DF9B746">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4.促进农业结构调整，增加农民收入</w:t>
      </w:r>
    </w:p>
    <w:p w14:paraId="44ACE60B">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在项目实施过程中，当地农民参与项目建设，可以增加部分收入。项目实施后，将形成完善的田间道路系统和灌排系统，有利于推进规模化和专业化经营，促进农业结构调整。另一方面，农民可充分利用完善的农业生产设施，发展多种经营，降低生产成本和风险，从而增加收入。同时，还可降低灌溉劳动强度，节省劳动时间，使当地农民有更多的时间从事第三产业的发展，可提高农民的收入水平。</w:t>
      </w:r>
    </w:p>
    <w:p w14:paraId="6D4F2730">
      <w:pPr>
        <w:adjustRightInd w:val="0"/>
        <w:snapToGrid w:val="0"/>
        <w:spacing w:line="540" w:lineRule="exact"/>
        <w:ind w:firstLine="720"/>
        <w:rPr>
          <w:rFonts w:ascii="黑体" w:hAnsi="宋体" w:eastAsia="黑体"/>
          <w:sz w:val="32"/>
          <w:szCs w:val="32"/>
        </w:rPr>
      </w:pPr>
      <w:r>
        <w:rPr>
          <w:rFonts w:hint="eastAsia" w:ascii="黑体" w:hAnsi="宋体" w:eastAsia="黑体"/>
          <w:sz w:val="32"/>
          <w:szCs w:val="32"/>
        </w:rPr>
        <w:t>五、评价结论及建议</w:t>
      </w:r>
    </w:p>
    <w:p w14:paraId="2CFE080B">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（一）评价结论。</w:t>
      </w:r>
    </w:p>
    <w:p w14:paraId="0A720B75">
      <w:pPr>
        <w:adjustRightInd w:val="0"/>
        <w:snapToGrid w:val="0"/>
        <w:spacing w:line="540" w:lineRule="exact"/>
        <w:ind w:firstLine="720"/>
        <w:rPr>
          <w:rFonts w:ascii="仿宋_GB2312" w:hAnsi="宋体" w:eastAsia="仿宋_GB2312"/>
          <w:sz w:val="32"/>
          <w:szCs w:val="32"/>
          <w:lang w:val="zh-CN"/>
        </w:rPr>
      </w:pPr>
      <w:r>
        <w:rPr>
          <w:rFonts w:hint="eastAsia" w:ascii="仿宋_GB2312" w:hAnsi="宋体" w:eastAsia="仿宋_GB2312"/>
          <w:sz w:val="32"/>
          <w:szCs w:val="32"/>
          <w:lang w:val="zh-CN"/>
        </w:rPr>
        <w:t>我局积极履职，强化管理，完成了项目年度工作目标。</w:t>
      </w:r>
    </w:p>
    <w:p w14:paraId="0FA9032B">
      <w:pPr>
        <w:adjustRightInd w:val="0"/>
        <w:snapToGrid w:val="0"/>
        <w:spacing w:line="540" w:lineRule="exact"/>
        <w:ind w:firstLine="720"/>
        <w:rPr>
          <w:rFonts w:ascii="楷体_GB2312" w:hAnsi="宋体" w:eastAsia="楷体_GB2312"/>
          <w:b/>
          <w:sz w:val="32"/>
          <w:szCs w:val="32"/>
          <w:lang w:val="zh-CN"/>
        </w:rPr>
      </w:pPr>
      <w:r>
        <w:rPr>
          <w:rFonts w:hint="eastAsia" w:ascii="楷体_GB2312" w:hAnsi="宋体" w:eastAsia="楷体_GB2312"/>
          <w:b/>
          <w:sz w:val="32"/>
          <w:szCs w:val="32"/>
          <w:lang w:val="zh-CN"/>
        </w:rPr>
        <w:t>（二）存在的问题。</w:t>
      </w:r>
    </w:p>
    <w:p w14:paraId="53F57779">
      <w:pPr>
        <w:adjustRightInd w:val="0"/>
        <w:snapToGrid w:val="0"/>
        <w:spacing w:line="540" w:lineRule="exact"/>
        <w:ind w:firstLine="640" w:firstLineChars="200"/>
        <w:rPr>
          <w:rFonts w:ascii="仿宋_GB2312" w:hAnsi="宋体" w:eastAsia="仿宋_GB2312"/>
          <w:sz w:val="32"/>
          <w:szCs w:val="32"/>
          <w:lang w:val="zh-CN"/>
        </w:rPr>
      </w:pPr>
      <w:r>
        <w:rPr>
          <w:rFonts w:hint="eastAsia" w:ascii="仿宋_GB2312" w:hAnsi="宋体" w:eastAsia="仿宋_GB2312" w:cs="宋体"/>
          <w:color w:val="000000"/>
          <w:kern w:val="0"/>
          <w:sz w:val="32"/>
          <w:szCs w:val="32"/>
          <w:shd w:val="clear" w:color="auto" w:fill="FFFFFF"/>
          <w:lang w:val="zh-CN"/>
        </w:rPr>
        <w:t>项目预算绩效管理意识有待增强；绩效监控及管理相关业务知识储备不足；财务人员与业务人员工作细节沟通有待提高。</w:t>
      </w:r>
    </w:p>
    <w:p w14:paraId="73329562">
      <w:pPr>
        <w:spacing w:line="600" w:lineRule="exact"/>
        <w:outlineLvl w:val="0"/>
        <w:rPr>
          <w:rFonts w:ascii="楷体_GB2312" w:hAnsi="宋体" w:eastAsia="楷体_GB2312"/>
          <w:b/>
          <w:sz w:val="32"/>
          <w:szCs w:val="32"/>
          <w:lang w:val="zh-CN"/>
        </w:rPr>
      </w:pPr>
      <w:bookmarkStart w:id="90" w:name="_Toc15396618"/>
      <w:bookmarkStart w:id="91" w:name="_Toc52180099"/>
    </w:p>
    <w:p w14:paraId="1FA82FEE">
      <w:pPr>
        <w:spacing w:line="600" w:lineRule="exact"/>
        <w:outlineLvl w:val="0"/>
        <w:rPr>
          <w:rFonts w:ascii="楷体_GB2312" w:hAnsi="宋体" w:eastAsia="楷体_GB2312"/>
          <w:b/>
          <w:sz w:val="32"/>
          <w:szCs w:val="32"/>
          <w:lang w:val="zh-CN"/>
        </w:rPr>
      </w:pPr>
    </w:p>
    <w:p w14:paraId="44E38C32">
      <w:pPr>
        <w:spacing w:line="600" w:lineRule="exact"/>
        <w:outlineLvl w:val="0"/>
        <w:rPr>
          <w:rFonts w:ascii="楷体_GB2312" w:hAnsi="宋体" w:eastAsia="楷体_GB2312"/>
          <w:b/>
          <w:sz w:val="32"/>
          <w:szCs w:val="32"/>
          <w:lang w:val="zh-CN"/>
        </w:rPr>
      </w:pPr>
    </w:p>
    <w:p w14:paraId="549CCD69">
      <w:pPr>
        <w:spacing w:line="600" w:lineRule="exact"/>
        <w:outlineLvl w:val="0"/>
        <w:rPr>
          <w:rFonts w:ascii="楷体_GB2312" w:hAnsi="宋体" w:eastAsia="楷体_GB2312"/>
          <w:b/>
          <w:sz w:val="32"/>
          <w:szCs w:val="32"/>
          <w:lang w:val="zh-CN"/>
        </w:rPr>
      </w:pPr>
    </w:p>
    <w:p w14:paraId="6687FAE0">
      <w:pPr>
        <w:spacing w:line="600" w:lineRule="exact"/>
        <w:outlineLvl w:val="0"/>
        <w:rPr>
          <w:rFonts w:ascii="楷体_GB2312" w:hAnsi="宋体" w:eastAsia="楷体_GB2312"/>
          <w:b/>
          <w:sz w:val="32"/>
          <w:szCs w:val="32"/>
          <w:lang w:val="zh-CN"/>
        </w:rPr>
      </w:pPr>
    </w:p>
    <w:p w14:paraId="4AA97CF5">
      <w:pPr>
        <w:spacing w:line="600" w:lineRule="exact"/>
        <w:outlineLvl w:val="0"/>
        <w:rPr>
          <w:rFonts w:ascii="黑体" w:hAnsi="黑体" w:eastAsia="黑体"/>
          <w:color w:val="000000"/>
          <w:sz w:val="44"/>
          <w:szCs w:val="44"/>
        </w:rPr>
      </w:pPr>
    </w:p>
    <w:p w14:paraId="10A431E9">
      <w:pPr>
        <w:spacing w:line="600" w:lineRule="exact"/>
        <w:outlineLvl w:val="0"/>
        <w:rPr>
          <w:rFonts w:ascii="黑体" w:hAnsi="黑体" w:eastAsia="黑体"/>
          <w:color w:val="000000"/>
          <w:sz w:val="44"/>
          <w:szCs w:val="44"/>
        </w:rPr>
      </w:pPr>
    </w:p>
    <w:p w14:paraId="1ED84025">
      <w:pPr>
        <w:spacing w:line="600" w:lineRule="exact"/>
        <w:jc w:val="center"/>
        <w:outlineLvl w:val="0"/>
        <w:rPr>
          <w:rStyle w:val="25"/>
          <w:rFonts w:ascii="黑体" w:hAnsi="黑体" w:eastAsia="黑体"/>
          <w:b w:val="0"/>
        </w:rPr>
      </w:pPr>
      <w:r>
        <w:rPr>
          <w:rFonts w:hint="eastAsia" w:ascii="黑体" w:hAnsi="黑体" w:eastAsia="黑体"/>
          <w:color w:val="000000"/>
          <w:sz w:val="44"/>
          <w:szCs w:val="44"/>
        </w:rPr>
        <w:t>第</w:t>
      </w:r>
      <w:r>
        <w:rPr>
          <w:rStyle w:val="25"/>
          <w:rFonts w:hint="eastAsia" w:ascii="黑体" w:hAnsi="黑体" w:eastAsia="黑体"/>
          <w:b w:val="0"/>
        </w:rPr>
        <w:t>五部分 附表</w:t>
      </w:r>
      <w:bookmarkEnd w:id="89"/>
      <w:bookmarkEnd w:id="90"/>
      <w:bookmarkEnd w:id="91"/>
    </w:p>
    <w:p w14:paraId="3C4D747F">
      <w:pPr>
        <w:spacing w:line="600" w:lineRule="exact"/>
        <w:jc w:val="center"/>
        <w:outlineLvl w:val="0"/>
        <w:rPr>
          <w:rFonts w:ascii="仿宋" w:hAnsi="仿宋" w:eastAsia="仿宋"/>
          <w:b/>
          <w:color w:val="000000"/>
          <w:sz w:val="44"/>
          <w:szCs w:val="44"/>
        </w:rPr>
      </w:pPr>
    </w:p>
    <w:p w14:paraId="25B3CCBA">
      <w:pPr>
        <w:pStyle w:val="3"/>
        <w:rPr>
          <w:rFonts w:ascii="仿宋" w:hAnsi="仿宋" w:eastAsia="仿宋"/>
          <w:color w:val="000000"/>
        </w:rPr>
      </w:pPr>
      <w:bookmarkStart w:id="92" w:name="_Toc15396619"/>
      <w:bookmarkStart w:id="93" w:name="_Toc52180100"/>
      <w:r>
        <w:rPr>
          <w:rFonts w:hint="eastAsia" w:ascii="仿宋" w:hAnsi="仿宋" w:eastAsia="仿宋"/>
          <w:b w:val="0"/>
          <w:color w:val="000000"/>
        </w:rPr>
        <w:t>一、收</w:t>
      </w:r>
      <w:r>
        <w:rPr>
          <w:rStyle w:val="26"/>
          <w:rFonts w:hint="eastAsia" w:ascii="仿宋" w:hAnsi="仿宋" w:eastAsia="仿宋"/>
          <w:b w:val="0"/>
          <w:bCs w:val="0"/>
        </w:rPr>
        <w:t>入支出决算总表</w:t>
      </w:r>
      <w:bookmarkEnd w:id="92"/>
      <w:bookmarkEnd w:id="93"/>
    </w:p>
    <w:p w14:paraId="569A1B9C">
      <w:pPr>
        <w:pStyle w:val="3"/>
        <w:rPr>
          <w:rFonts w:ascii="仿宋" w:hAnsi="仿宋" w:eastAsia="仿宋"/>
          <w:color w:val="000000"/>
        </w:rPr>
      </w:pPr>
      <w:bookmarkStart w:id="94" w:name="_Toc52180101"/>
      <w:bookmarkStart w:id="95" w:name="_Toc15396620"/>
      <w:r>
        <w:rPr>
          <w:rFonts w:hint="eastAsia" w:ascii="仿宋" w:hAnsi="仿宋" w:eastAsia="仿宋"/>
          <w:b w:val="0"/>
          <w:color w:val="000000"/>
        </w:rPr>
        <w:t>二、收</w:t>
      </w:r>
      <w:r>
        <w:rPr>
          <w:rStyle w:val="26"/>
          <w:rFonts w:hint="eastAsia" w:ascii="仿宋" w:hAnsi="仿宋" w:eastAsia="仿宋"/>
          <w:b w:val="0"/>
          <w:bCs w:val="0"/>
        </w:rPr>
        <w:t>入决算表</w:t>
      </w:r>
      <w:bookmarkEnd w:id="94"/>
      <w:bookmarkEnd w:id="95"/>
    </w:p>
    <w:p w14:paraId="5DE45575">
      <w:pPr>
        <w:pStyle w:val="3"/>
        <w:rPr>
          <w:rFonts w:ascii="仿宋" w:hAnsi="仿宋" w:eastAsia="仿宋"/>
          <w:color w:val="000000"/>
        </w:rPr>
      </w:pPr>
      <w:bookmarkStart w:id="96" w:name="_Toc15396621"/>
      <w:bookmarkStart w:id="97" w:name="_Toc52180102"/>
      <w:r>
        <w:rPr>
          <w:rStyle w:val="26"/>
          <w:rFonts w:hint="eastAsia" w:ascii="仿宋" w:hAnsi="仿宋" w:eastAsia="仿宋"/>
          <w:b w:val="0"/>
          <w:bCs w:val="0"/>
        </w:rPr>
        <w:t>三、</w:t>
      </w:r>
      <w:r>
        <w:rPr>
          <w:rFonts w:hint="eastAsia" w:ascii="仿宋" w:hAnsi="仿宋" w:eastAsia="仿宋"/>
          <w:b w:val="0"/>
          <w:color w:val="000000"/>
        </w:rPr>
        <w:t>支</w:t>
      </w:r>
      <w:r>
        <w:rPr>
          <w:rStyle w:val="26"/>
          <w:rFonts w:hint="eastAsia" w:ascii="仿宋" w:hAnsi="仿宋" w:eastAsia="仿宋"/>
          <w:b w:val="0"/>
          <w:bCs w:val="0"/>
        </w:rPr>
        <w:t>出决算表</w:t>
      </w:r>
      <w:bookmarkEnd w:id="96"/>
      <w:bookmarkEnd w:id="97"/>
    </w:p>
    <w:p w14:paraId="5C55E9E7">
      <w:pPr>
        <w:pStyle w:val="3"/>
        <w:rPr>
          <w:rFonts w:ascii="仿宋" w:hAnsi="仿宋" w:eastAsia="仿宋"/>
          <w:b w:val="0"/>
          <w:color w:val="000000"/>
        </w:rPr>
      </w:pPr>
      <w:bookmarkStart w:id="98" w:name="_Toc15396622"/>
      <w:bookmarkStart w:id="99" w:name="_Toc52180103"/>
      <w:r>
        <w:rPr>
          <w:rStyle w:val="26"/>
          <w:rFonts w:hint="eastAsia" w:ascii="仿宋" w:hAnsi="仿宋" w:eastAsia="仿宋"/>
          <w:b w:val="0"/>
          <w:bCs w:val="0"/>
        </w:rPr>
        <w:t>四、</w:t>
      </w:r>
      <w:r>
        <w:rPr>
          <w:rFonts w:hint="eastAsia" w:ascii="仿宋" w:hAnsi="仿宋" w:eastAsia="仿宋"/>
          <w:b w:val="0"/>
          <w:color w:val="000000"/>
        </w:rPr>
        <w:t>财</w:t>
      </w:r>
      <w:r>
        <w:rPr>
          <w:rStyle w:val="26"/>
          <w:rFonts w:hint="eastAsia" w:ascii="仿宋" w:hAnsi="仿宋" w:eastAsia="仿宋"/>
          <w:b w:val="0"/>
          <w:bCs w:val="0"/>
        </w:rPr>
        <w:t>政拨款收入支出决算总表</w:t>
      </w:r>
      <w:bookmarkEnd w:id="98"/>
      <w:bookmarkEnd w:id="99"/>
    </w:p>
    <w:p w14:paraId="31871FDA">
      <w:pPr>
        <w:pStyle w:val="3"/>
        <w:rPr>
          <w:rStyle w:val="26"/>
          <w:rFonts w:ascii="仿宋" w:hAnsi="仿宋" w:eastAsia="仿宋"/>
          <w:b w:val="0"/>
          <w:bCs w:val="0"/>
        </w:rPr>
      </w:pPr>
      <w:bookmarkStart w:id="100" w:name="_Toc15396623"/>
      <w:bookmarkStart w:id="101" w:name="_Toc52180104"/>
      <w:r>
        <w:rPr>
          <w:rStyle w:val="26"/>
          <w:rFonts w:hint="eastAsia" w:ascii="仿宋" w:hAnsi="仿宋" w:eastAsia="仿宋"/>
          <w:b w:val="0"/>
          <w:bCs w:val="0"/>
        </w:rPr>
        <w:t>五、</w:t>
      </w:r>
      <w:r>
        <w:rPr>
          <w:rFonts w:hint="eastAsia" w:ascii="仿宋" w:hAnsi="仿宋" w:eastAsia="仿宋"/>
          <w:b w:val="0"/>
          <w:color w:val="000000"/>
        </w:rPr>
        <w:t>财</w:t>
      </w:r>
      <w:r>
        <w:rPr>
          <w:rStyle w:val="26"/>
          <w:rFonts w:hint="eastAsia" w:ascii="仿宋" w:hAnsi="仿宋" w:eastAsia="仿宋"/>
          <w:b w:val="0"/>
          <w:bCs w:val="0"/>
        </w:rPr>
        <w:t>政拨款支出决算明细表</w:t>
      </w:r>
      <w:bookmarkEnd w:id="100"/>
      <w:bookmarkEnd w:id="101"/>
      <w:bookmarkStart w:id="102" w:name="_Toc15396624"/>
    </w:p>
    <w:p w14:paraId="4040B305">
      <w:pPr>
        <w:pStyle w:val="3"/>
        <w:rPr>
          <w:rFonts w:ascii="仿宋" w:hAnsi="仿宋" w:eastAsia="仿宋"/>
          <w:color w:val="000000"/>
        </w:rPr>
      </w:pPr>
      <w:bookmarkStart w:id="103" w:name="_Toc52180105"/>
      <w:r>
        <w:rPr>
          <w:rStyle w:val="26"/>
          <w:rFonts w:hint="eastAsia" w:ascii="仿宋" w:hAnsi="仿宋" w:eastAsia="仿宋"/>
          <w:b w:val="0"/>
          <w:bCs w:val="0"/>
        </w:rPr>
        <w:t>六、</w:t>
      </w:r>
      <w:r>
        <w:rPr>
          <w:rFonts w:hint="eastAsia" w:ascii="仿宋" w:hAnsi="仿宋" w:eastAsia="仿宋"/>
          <w:b w:val="0"/>
          <w:color w:val="000000"/>
        </w:rPr>
        <w:t>一</w:t>
      </w:r>
      <w:r>
        <w:rPr>
          <w:rStyle w:val="26"/>
          <w:rFonts w:hint="eastAsia" w:ascii="仿宋" w:hAnsi="仿宋" w:eastAsia="仿宋"/>
          <w:b w:val="0"/>
          <w:bCs w:val="0"/>
        </w:rPr>
        <w:t>般公共预算财政拨款支出决算表</w:t>
      </w:r>
      <w:bookmarkEnd w:id="102"/>
      <w:bookmarkEnd w:id="103"/>
    </w:p>
    <w:p w14:paraId="0D2FBC9C">
      <w:pPr>
        <w:pStyle w:val="3"/>
        <w:rPr>
          <w:rFonts w:ascii="仿宋" w:hAnsi="仿宋" w:eastAsia="仿宋"/>
          <w:color w:val="000000"/>
        </w:rPr>
      </w:pPr>
      <w:bookmarkStart w:id="104" w:name="_Toc15396625"/>
      <w:bookmarkStart w:id="105" w:name="_Toc52180106"/>
      <w:r>
        <w:rPr>
          <w:rStyle w:val="26"/>
          <w:rFonts w:hint="eastAsia" w:ascii="仿宋" w:hAnsi="仿宋" w:eastAsia="仿宋"/>
          <w:b w:val="0"/>
          <w:bCs w:val="0"/>
        </w:rPr>
        <w:t>七、</w:t>
      </w:r>
      <w:r>
        <w:rPr>
          <w:rFonts w:hint="eastAsia" w:ascii="仿宋" w:hAnsi="仿宋" w:eastAsia="仿宋"/>
          <w:b w:val="0"/>
          <w:color w:val="000000"/>
        </w:rPr>
        <w:t>一</w:t>
      </w:r>
      <w:r>
        <w:rPr>
          <w:rStyle w:val="26"/>
          <w:rFonts w:hint="eastAsia" w:ascii="仿宋" w:hAnsi="仿宋" w:eastAsia="仿宋"/>
          <w:b w:val="0"/>
          <w:bCs w:val="0"/>
        </w:rPr>
        <w:t>般公共预算财政拨款支出决算明细表</w:t>
      </w:r>
      <w:bookmarkEnd w:id="104"/>
      <w:bookmarkEnd w:id="105"/>
    </w:p>
    <w:p w14:paraId="3AE98B57">
      <w:pPr>
        <w:pStyle w:val="3"/>
        <w:rPr>
          <w:rFonts w:ascii="仿宋" w:hAnsi="仿宋" w:eastAsia="仿宋"/>
          <w:color w:val="000000"/>
        </w:rPr>
      </w:pPr>
      <w:bookmarkStart w:id="106" w:name="_Toc52180107"/>
      <w:bookmarkStart w:id="107" w:name="_Toc15396626"/>
      <w:r>
        <w:rPr>
          <w:rStyle w:val="26"/>
          <w:rFonts w:hint="eastAsia" w:ascii="仿宋" w:hAnsi="仿宋" w:eastAsia="仿宋"/>
          <w:b w:val="0"/>
          <w:bCs w:val="0"/>
        </w:rPr>
        <w:t>八、</w:t>
      </w:r>
      <w:r>
        <w:rPr>
          <w:rFonts w:hint="eastAsia" w:ascii="仿宋" w:hAnsi="仿宋" w:eastAsia="仿宋"/>
          <w:b w:val="0"/>
          <w:color w:val="000000"/>
        </w:rPr>
        <w:t>一</w:t>
      </w:r>
      <w:r>
        <w:rPr>
          <w:rStyle w:val="26"/>
          <w:rFonts w:hint="eastAsia" w:ascii="仿宋" w:hAnsi="仿宋" w:eastAsia="仿宋"/>
          <w:b w:val="0"/>
          <w:bCs w:val="0"/>
        </w:rPr>
        <w:t>般公共预算财政拨款基本支出决算表</w:t>
      </w:r>
      <w:bookmarkEnd w:id="106"/>
      <w:bookmarkEnd w:id="107"/>
    </w:p>
    <w:p w14:paraId="3770E419">
      <w:pPr>
        <w:pStyle w:val="3"/>
        <w:rPr>
          <w:rFonts w:ascii="仿宋" w:hAnsi="仿宋" w:eastAsia="仿宋"/>
          <w:color w:val="000000"/>
        </w:rPr>
      </w:pPr>
      <w:bookmarkStart w:id="108" w:name="_Toc15396627"/>
      <w:bookmarkStart w:id="109" w:name="_Toc52180108"/>
      <w:r>
        <w:rPr>
          <w:rStyle w:val="26"/>
          <w:rFonts w:hint="eastAsia" w:ascii="仿宋" w:hAnsi="仿宋" w:eastAsia="仿宋"/>
          <w:b w:val="0"/>
          <w:bCs w:val="0"/>
        </w:rPr>
        <w:t>九、</w:t>
      </w:r>
      <w:r>
        <w:rPr>
          <w:rFonts w:hint="eastAsia" w:ascii="仿宋" w:hAnsi="仿宋" w:eastAsia="仿宋"/>
          <w:b w:val="0"/>
          <w:color w:val="000000"/>
        </w:rPr>
        <w:t>一</w:t>
      </w:r>
      <w:r>
        <w:rPr>
          <w:rStyle w:val="26"/>
          <w:rFonts w:hint="eastAsia" w:ascii="仿宋" w:hAnsi="仿宋" w:eastAsia="仿宋"/>
          <w:b w:val="0"/>
          <w:bCs w:val="0"/>
        </w:rPr>
        <w:t>般公共预算财政拨款项目支出决算表</w:t>
      </w:r>
      <w:bookmarkEnd w:id="108"/>
      <w:bookmarkEnd w:id="109"/>
    </w:p>
    <w:p w14:paraId="5CBEB019">
      <w:pPr>
        <w:pStyle w:val="3"/>
        <w:rPr>
          <w:rFonts w:ascii="仿宋" w:hAnsi="仿宋" w:eastAsia="仿宋"/>
          <w:color w:val="000000"/>
        </w:rPr>
      </w:pPr>
      <w:bookmarkStart w:id="110" w:name="_Toc52180109"/>
      <w:bookmarkStart w:id="111" w:name="_Toc15396628"/>
      <w:r>
        <w:rPr>
          <w:rStyle w:val="26"/>
          <w:rFonts w:hint="eastAsia" w:ascii="仿宋" w:hAnsi="仿宋" w:eastAsia="仿宋"/>
          <w:b w:val="0"/>
          <w:bCs w:val="0"/>
        </w:rPr>
        <w:t>十、</w:t>
      </w:r>
      <w:r>
        <w:rPr>
          <w:rFonts w:hint="eastAsia" w:ascii="仿宋" w:hAnsi="仿宋" w:eastAsia="仿宋"/>
          <w:b w:val="0"/>
          <w:color w:val="000000"/>
        </w:rPr>
        <w:t>一</w:t>
      </w:r>
      <w:r>
        <w:rPr>
          <w:rStyle w:val="26"/>
          <w:rFonts w:hint="eastAsia" w:ascii="仿宋" w:hAnsi="仿宋" w:eastAsia="仿宋"/>
          <w:b w:val="0"/>
          <w:bCs w:val="0"/>
        </w:rPr>
        <w:t>般公共预算财政拨款“三公”经费支出决算表</w:t>
      </w:r>
      <w:bookmarkEnd w:id="110"/>
      <w:bookmarkEnd w:id="111"/>
    </w:p>
    <w:p w14:paraId="1D94FC04">
      <w:pPr>
        <w:pStyle w:val="3"/>
        <w:rPr>
          <w:rFonts w:ascii="仿宋" w:hAnsi="仿宋" w:eastAsia="仿宋"/>
          <w:color w:val="000000"/>
        </w:rPr>
      </w:pPr>
      <w:bookmarkStart w:id="112" w:name="_Toc52180110"/>
      <w:bookmarkStart w:id="113" w:name="_Toc15396629"/>
      <w:r>
        <w:rPr>
          <w:rStyle w:val="26"/>
          <w:rFonts w:hint="eastAsia" w:ascii="仿宋" w:hAnsi="仿宋" w:eastAsia="仿宋"/>
          <w:b w:val="0"/>
          <w:bCs w:val="0"/>
        </w:rPr>
        <w:t>十一、</w:t>
      </w:r>
      <w:r>
        <w:rPr>
          <w:rFonts w:hint="eastAsia" w:ascii="仿宋" w:hAnsi="仿宋" w:eastAsia="仿宋"/>
          <w:b w:val="0"/>
          <w:color w:val="000000"/>
        </w:rPr>
        <w:t>政</w:t>
      </w:r>
      <w:r>
        <w:rPr>
          <w:rStyle w:val="26"/>
          <w:rFonts w:hint="eastAsia" w:ascii="仿宋" w:hAnsi="仿宋" w:eastAsia="仿宋"/>
          <w:b w:val="0"/>
          <w:bCs w:val="0"/>
        </w:rPr>
        <w:t>府性基金预算财政拨款收入支出决算表</w:t>
      </w:r>
      <w:bookmarkEnd w:id="112"/>
      <w:bookmarkEnd w:id="113"/>
    </w:p>
    <w:p w14:paraId="0A228CAB">
      <w:pPr>
        <w:pStyle w:val="3"/>
        <w:rPr>
          <w:rFonts w:ascii="仿宋" w:hAnsi="仿宋" w:eastAsia="仿宋"/>
          <w:color w:val="000000"/>
        </w:rPr>
      </w:pPr>
      <w:bookmarkStart w:id="114" w:name="_Toc52180111"/>
      <w:bookmarkStart w:id="115" w:name="_Toc15396630"/>
      <w:r>
        <w:rPr>
          <w:rStyle w:val="26"/>
          <w:rFonts w:hint="eastAsia" w:ascii="仿宋" w:hAnsi="仿宋" w:eastAsia="仿宋"/>
          <w:b w:val="0"/>
          <w:bCs w:val="0"/>
        </w:rPr>
        <w:t>十二、</w:t>
      </w:r>
      <w:r>
        <w:rPr>
          <w:rFonts w:hint="eastAsia" w:ascii="仿宋" w:hAnsi="仿宋" w:eastAsia="仿宋"/>
          <w:b w:val="0"/>
          <w:color w:val="000000"/>
        </w:rPr>
        <w:t>政</w:t>
      </w:r>
      <w:r>
        <w:rPr>
          <w:rStyle w:val="26"/>
          <w:rFonts w:hint="eastAsia" w:ascii="仿宋" w:hAnsi="仿宋" w:eastAsia="仿宋"/>
          <w:b w:val="0"/>
          <w:bCs w:val="0"/>
        </w:rPr>
        <w:t>府性基金预算财政拨款“三公”经费支出决算表</w:t>
      </w:r>
      <w:bookmarkEnd w:id="114"/>
      <w:bookmarkEnd w:id="115"/>
    </w:p>
    <w:p w14:paraId="4EAC84BC">
      <w:pPr>
        <w:pStyle w:val="3"/>
        <w:rPr>
          <w:rStyle w:val="26"/>
          <w:rFonts w:ascii="仿宋" w:hAnsi="仿宋" w:eastAsia="仿宋"/>
          <w:b w:val="0"/>
          <w:bCs w:val="0"/>
        </w:rPr>
      </w:pPr>
      <w:bookmarkStart w:id="116" w:name="_Toc52180112"/>
      <w:bookmarkStart w:id="117" w:name="_Toc15396631"/>
      <w:r>
        <w:rPr>
          <w:rStyle w:val="26"/>
          <w:rFonts w:hint="eastAsia" w:ascii="仿宋" w:hAnsi="仿宋" w:eastAsia="仿宋"/>
          <w:b w:val="0"/>
          <w:bCs w:val="0"/>
        </w:rPr>
        <w:t>十三、</w:t>
      </w:r>
      <w:r>
        <w:rPr>
          <w:rFonts w:hint="eastAsia" w:ascii="仿宋" w:hAnsi="仿宋" w:eastAsia="仿宋"/>
          <w:b w:val="0"/>
          <w:color w:val="000000"/>
        </w:rPr>
        <w:t>国</w:t>
      </w:r>
      <w:r>
        <w:rPr>
          <w:rStyle w:val="26"/>
          <w:rFonts w:hint="eastAsia" w:ascii="仿宋" w:hAnsi="仿宋" w:eastAsia="仿宋"/>
          <w:b w:val="0"/>
          <w:bCs w:val="0"/>
        </w:rPr>
        <w:t>有资本经营预算支出决算表</w:t>
      </w:r>
      <w:bookmarkEnd w:id="116"/>
      <w:bookmarkEnd w:id="117"/>
    </w:p>
    <w:p w14:paraId="537940C6">
      <w:pPr>
        <w:pStyle w:val="3"/>
        <w:rPr>
          <w:rFonts w:ascii="仿宋" w:hAnsi="仿宋" w:eastAsia="仿宋" w:cs="仿宋_GB2312"/>
          <w:b w:val="0"/>
          <w:bCs w:val="0"/>
        </w:rPr>
      </w:pPr>
      <w:r>
        <w:rPr>
          <w:rFonts w:hint="eastAsia" w:ascii="仿宋" w:hAnsi="仿宋" w:eastAsia="仿宋" w:cs="Cambria"/>
          <w:b w:val="0"/>
        </w:rPr>
        <w:t>十四</w:t>
      </w:r>
      <w:r>
        <w:rPr>
          <w:rFonts w:hint="eastAsia" w:ascii="仿宋" w:hAnsi="仿宋" w:eastAsia="仿宋" w:cs="Cambria"/>
        </w:rPr>
        <w:t>、</w:t>
      </w:r>
      <w:r>
        <w:rPr>
          <w:rFonts w:hint="eastAsia" w:ascii="仿宋" w:hAnsi="仿宋" w:eastAsia="仿宋" w:cs="仿宋_GB2312"/>
          <w:b w:val="0"/>
          <w:bCs w:val="0"/>
          <w:color w:val="000000"/>
        </w:rPr>
        <w:t>国</w:t>
      </w:r>
      <w:r>
        <w:rPr>
          <w:rFonts w:hint="eastAsia" w:ascii="仿宋" w:hAnsi="仿宋" w:eastAsia="仿宋" w:cs="仿宋_GB2312"/>
          <w:b w:val="0"/>
          <w:bCs w:val="0"/>
        </w:rPr>
        <w:t>有资本经营预算财政拨款支出决算表</w:t>
      </w:r>
    </w:p>
    <w:sectPr>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994781956"/>
    </w:sdtPr>
    <w:sdtContent>
      <w:p w14:paraId="1DFB7A39">
        <w:pPr>
          <w:pStyle w:val="9"/>
          <w:jc w:val="center"/>
        </w:pPr>
        <w:r>
          <w:fldChar w:fldCharType="begin"/>
        </w:r>
        <w:r>
          <w:instrText xml:space="preserve">PAGE   \* MERGEFORMAT</w:instrText>
        </w:r>
        <w:r>
          <w:fldChar w:fldCharType="separate"/>
        </w:r>
        <w:r>
          <w:rPr>
            <w:lang w:val="zh-CN"/>
          </w:rPr>
          <w:t>46</w:t>
        </w:r>
        <w:r>
          <w:fldChar w:fldCharType="end"/>
        </w:r>
      </w:p>
    </w:sdtContent>
  </w:sdt>
  <w:p w14:paraId="491A2D33">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D428">
    <w:pPr>
      <w:pStyle w:val="10"/>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abstractNum w:abstractNumId="2">
    <w:nsid w:val="62621CDC"/>
    <w:multiLevelType w:val="multilevel"/>
    <w:tmpl w:val="62621CDC"/>
    <w:lvl w:ilvl="0" w:tentative="0">
      <w:start w:val="1"/>
      <w:numFmt w:val="decimal"/>
      <w:lvlText w:val="%1."/>
      <w:lvlJc w:val="left"/>
      <w:pPr>
        <w:ind w:left="1152" w:hanging="480"/>
      </w:pPr>
      <w:rPr>
        <w:rFonts w:hint="default"/>
      </w:rPr>
    </w:lvl>
    <w:lvl w:ilvl="1" w:tentative="0">
      <w:start w:val="1"/>
      <w:numFmt w:val="lowerLetter"/>
      <w:lvlText w:val="%2)"/>
      <w:lvlJc w:val="left"/>
      <w:pPr>
        <w:ind w:left="1512" w:hanging="420"/>
      </w:pPr>
    </w:lvl>
    <w:lvl w:ilvl="2" w:tentative="0">
      <w:start w:val="1"/>
      <w:numFmt w:val="lowerRoman"/>
      <w:lvlText w:val="%3."/>
      <w:lvlJc w:val="right"/>
      <w:pPr>
        <w:ind w:left="1932" w:hanging="420"/>
      </w:pPr>
    </w:lvl>
    <w:lvl w:ilvl="3" w:tentative="0">
      <w:start w:val="1"/>
      <w:numFmt w:val="decimal"/>
      <w:lvlText w:val="%4."/>
      <w:lvlJc w:val="left"/>
      <w:pPr>
        <w:ind w:left="2352" w:hanging="420"/>
      </w:pPr>
    </w:lvl>
    <w:lvl w:ilvl="4" w:tentative="0">
      <w:start w:val="1"/>
      <w:numFmt w:val="lowerLetter"/>
      <w:lvlText w:val="%5)"/>
      <w:lvlJc w:val="left"/>
      <w:pPr>
        <w:ind w:left="2772" w:hanging="420"/>
      </w:pPr>
    </w:lvl>
    <w:lvl w:ilvl="5" w:tentative="0">
      <w:start w:val="1"/>
      <w:numFmt w:val="lowerRoman"/>
      <w:lvlText w:val="%6."/>
      <w:lvlJc w:val="right"/>
      <w:pPr>
        <w:ind w:left="3192" w:hanging="420"/>
      </w:pPr>
    </w:lvl>
    <w:lvl w:ilvl="6" w:tentative="0">
      <w:start w:val="1"/>
      <w:numFmt w:val="decimal"/>
      <w:lvlText w:val="%7."/>
      <w:lvlJc w:val="left"/>
      <w:pPr>
        <w:ind w:left="3612" w:hanging="420"/>
      </w:pPr>
    </w:lvl>
    <w:lvl w:ilvl="7" w:tentative="0">
      <w:start w:val="1"/>
      <w:numFmt w:val="lowerLetter"/>
      <w:lvlText w:val="%8)"/>
      <w:lvlJc w:val="left"/>
      <w:pPr>
        <w:ind w:left="4032" w:hanging="420"/>
      </w:pPr>
    </w:lvl>
    <w:lvl w:ilvl="8" w:tentative="0">
      <w:start w:val="1"/>
      <w:numFmt w:val="lowerRoman"/>
      <w:lvlText w:val="%9."/>
      <w:lvlJc w:val="right"/>
      <w:pPr>
        <w:ind w:left="4452" w:hanging="420"/>
      </w:pPr>
    </w:lvl>
  </w:abstractNum>
  <w:abstractNum w:abstractNumId="3">
    <w:nsid w:val="74544168"/>
    <w:multiLevelType w:val="singleLevel"/>
    <w:tmpl w:val="74544168"/>
    <w:lvl w:ilvl="0" w:tentative="0">
      <w:start w:val="1"/>
      <w:numFmt w:val="decimal"/>
      <w:lvlText w:val="%1."/>
      <w:lvlJc w:val="left"/>
      <w:pPr>
        <w:tabs>
          <w:tab w:val="left" w:pos="312"/>
        </w:tabs>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048E9"/>
    <w:rsid w:val="00017B3F"/>
    <w:rsid w:val="000222C6"/>
    <w:rsid w:val="0002549F"/>
    <w:rsid w:val="00026B1B"/>
    <w:rsid w:val="00041668"/>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D5D31"/>
    <w:rsid w:val="000E1620"/>
    <w:rsid w:val="000E6613"/>
    <w:rsid w:val="000E7119"/>
    <w:rsid w:val="00113E5D"/>
    <w:rsid w:val="00114E9B"/>
    <w:rsid w:val="00124746"/>
    <w:rsid w:val="00124E0C"/>
    <w:rsid w:val="00137744"/>
    <w:rsid w:val="00142216"/>
    <w:rsid w:val="0014388D"/>
    <w:rsid w:val="00144D6A"/>
    <w:rsid w:val="0014729F"/>
    <w:rsid w:val="00157BAB"/>
    <w:rsid w:val="001654D1"/>
    <w:rsid w:val="00174518"/>
    <w:rsid w:val="00176879"/>
    <w:rsid w:val="0018106D"/>
    <w:rsid w:val="001877A7"/>
    <w:rsid w:val="001879AC"/>
    <w:rsid w:val="00191536"/>
    <w:rsid w:val="00196687"/>
    <w:rsid w:val="001C0962"/>
    <w:rsid w:val="001C31B1"/>
    <w:rsid w:val="001D7531"/>
    <w:rsid w:val="001E737D"/>
    <w:rsid w:val="001F0592"/>
    <w:rsid w:val="001F7506"/>
    <w:rsid w:val="001F7E7E"/>
    <w:rsid w:val="002006CD"/>
    <w:rsid w:val="00202B36"/>
    <w:rsid w:val="00204B7A"/>
    <w:rsid w:val="00204CDE"/>
    <w:rsid w:val="0020764D"/>
    <w:rsid w:val="0021101A"/>
    <w:rsid w:val="00220536"/>
    <w:rsid w:val="00235629"/>
    <w:rsid w:val="00260C38"/>
    <w:rsid w:val="002616C0"/>
    <w:rsid w:val="00265372"/>
    <w:rsid w:val="002662AA"/>
    <w:rsid w:val="00280496"/>
    <w:rsid w:val="00294DC9"/>
    <w:rsid w:val="00295495"/>
    <w:rsid w:val="002A2676"/>
    <w:rsid w:val="002A31DE"/>
    <w:rsid w:val="002B2613"/>
    <w:rsid w:val="002C7CFF"/>
    <w:rsid w:val="002D19B0"/>
    <w:rsid w:val="002D6D05"/>
    <w:rsid w:val="002F1818"/>
    <w:rsid w:val="002F3E72"/>
    <w:rsid w:val="002F567B"/>
    <w:rsid w:val="002F56C5"/>
    <w:rsid w:val="003216A9"/>
    <w:rsid w:val="00334AAE"/>
    <w:rsid w:val="00334FA2"/>
    <w:rsid w:val="00335A74"/>
    <w:rsid w:val="00346B9D"/>
    <w:rsid w:val="00351749"/>
    <w:rsid w:val="0036561B"/>
    <w:rsid w:val="0037013F"/>
    <w:rsid w:val="003761F8"/>
    <w:rsid w:val="00380C92"/>
    <w:rsid w:val="00383495"/>
    <w:rsid w:val="003A484F"/>
    <w:rsid w:val="003A4883"/>
    <w:rsid w:val="003B03D0"/>
    <w:rsid w:val="003B0BE0"/>
    <w:rsid w:val="003B0C1B"/>
    <w:rsid w:val="003B2F58"/>
    <w:rsid w:val="003B688C"/>
    <w:rsid w:val="003C0291"/>
    <w:rsid w:val="003C39AE"/>
    <w:rsid w:val="003C7B60"/>
    <w:rsid w:val="003D0C0F"/>
    <w:rsid w:val="003D1FB2"/>
    <w:rsid w:val="003D66DA"/>
    <w:rsid w:val="003E1310"/>
    <w:rsid w:val="003E6F55"/>
    <w:rsid w:val="00406254"/>
    <w:rsid w:val="00416CD4"/>
    <w:rsid w:val="004223DE"/>
    <w:rsid w:val="00434489"/>
    <w:rsid w:val="00437085"/>
    <w:rsid w:val="00443880"/>
    <w:rsid w:val="004464F4"/>
    <w:rsid w:val="0045184F"/>
    <w:rsid w:val="00471401"/>
    <w:rsid w:val="00473F31"/>
    <w:rsid w:val="0048263A"/>
    <w:rsid w:val="00487E5D"/>
    <w:rsid w:val="004905E1"/>
    <w:rsid w:val="00495CD4"/>
    <w:rsid w:val="004A711F"/>
    <w:rsid w:val="004B096F"/>
    <w:rsid w:val="004B199D"/>
    <w:rsid w:val="004B4690"/>
    <w:rsid w:val="004E0A2D"/>
    <w:rsid w:val="004E206B"/>
    <w:rsid w:val="004E6DF7"/>
    <w:rsid w:val="004F0FBD"/>
    <w:rsid w:val="004F403E"/>
    <w:rsid w:val="00505A47"/>
    <w:rsid w:val="00512FDA"/>
    <w:rsid w:val="00520DA0"/>
    <w:rsid w:val="0055176D"/>
    <w:rsid w:val="0055787D"/>
    <w:rsid w:val="005664BB"/>
    <w:rsid w:val="00566FFA"/>
    <w:rsid w:val="0057481D"/>
    <w:rsid w:val="00574AB0"/>
    <w:rsid w:val="00575F0B"/>
    <w:rsid w:val="0058486E"/>
    <w:rsid w:val="00585B33"/>
    <w:rsid w:val="0059014D"/>
    <w:rsid w:val="005B5C64"/>
    <w:rsid w:val="005C6BD0"/>
    <w:rsid w:val="005C6C4C"/>
    <w:rsid w:val="005D1C8B"/>
    <w:rsid w:val="005D468D"/>
    <w:rsid w:val="005D5CED"/>
    <w:rsid w:val="005F1A4C"/>
    <w:rsid w:val="005F4A69"/>
    <w:rsid w:val="00605688"/>
    <w:rsid w:val="006070AF"/>
    <w:rsid w:val="00607E6C"/>
    <w:rsid w:val="006101B1"/>
    <w:rsid w:val="006132F7"/>
    <w:rsid w:val="00614E44"/>
    <w:rsid w:val="0062270A"/>
    <w:rsid w:val="00622830"/>
    <w:rsid w:val="00623DA0"/>
    <w:rsid w:val="00630AEF"/>
    <w:rsid w:val="006325F8"/>
    <w:rsid w:val="00633463"/>
    <w:rsid w:val="00634C9A"/>
    <w:rsid w:val="006440E4"/>
    <w:rsid w:val="006517C7"/>
    <w:rsid w:val="0066343B"/>
    <w:rsid w:val="00664777"/>
    <w:rsid w:val="006748A4"/>
    <w:rsid w:val="00681A31"/>
    <w:rsid w:val="00683E73"/>
    <w:rsid w:val="00692134"/>
    <w:rsid w:val="006A3141"/>
    <w:rsid w:val="006A5E34"/>
    <w:rsid w:val="006B2422"/>
    <w:rsid w:val="006B2B9A"/>
    <w:rsid w:val="006B3C80"/>
    <w:rsid w:val="006C1937"/>
    <w:rsid w:val="006F020C"/>
    <w:rsid w:val="007127B7"/>
    <w:rsid w:val="0071798E"/>
    <w:rsid w:val="007249D2"/>
    <w:rsid w:val="00724C80"/>
    <w:rsid w:val="00727533"/>
    <w:rsid w:val="007416B6"/>
    <w:rsid w:val="00746F48"/>
    <w:rsid w:val="0075329A"/>
    <w:rsid w:val="0075404D"/>
    <w:rsid w:val="0076018A"/>
    <w:rsid w:val="0076182A"/>
    <w:rsid w:val="00763B84"/>
    <w:rsid w:val="00767B7E"/>
    <w:rsid w:val="007770C3"/>
    <w:rsid w:val="00784D24"/>
    <w:rsid w:val="00785FBA"/>
    <w:rsid w:val="00786E4A"/>
    <w:rsid w:val="007875EB"/>
    <w:rsid w:val="0079149D"/>
    <w:rsid w:val="0079426B"/>
    <w:rsid w:val="007A6262"/>
    <w:rsid w:val="007C6D4E"/>
    <w:rsid w:val="007D01B6"/>
    <w:rsid w:val="007D1682"/>
    <w:rsid w:val="007D312A"/>
    <w:rsid w:val="007D3F19"/>
    <w:rsid w:val="007E23B0"/>
    <w:rsid w:val="007F1991"/>
    <w:rsid w:val="007F2C2F"/>
    <w:rsid w:val="007F55FC"/>
    <w:rsid w:val="007F5665"/>
    <w:rsid w:val="00800112"/>
    <w:rsid w:val="00812192"/>
    <w:rsid w:val="00813348"/>
    <w:rsid w:val="008253BB"/>
    <w:rsid w:val="00833962"/>
    <w:rsid w:val="0083706E"/>
    <w:rsid w:val="008408F6"/>
    <w:rsid w:val="008423A5"/>
    <w:rsid w:val="00850625"/>
    <w:rsid w:val="00853718"/>
    <w:rsid w:val="0085472A"/>
    <w:rsid w:val="00855221"/>
    <w:rsid w:val="00860645"/>
    <w:rsid w:val="00871F71"/>
    <w:rsid w:val="00872FD8"/>
    <w:rsid w:val="008811EA"/>
    <w:rsid w:val="00885AF4"/>
    <w:rsid w:val="008939CD"/>
    <w:rsid w:val="00897473"/>
    <w:rsid w:val="008B768C"/>
    <w:rsid w:val="008C4DB1"/>
    <w:rsid w:val="008C4EAF"/>
    <w:rsid w:val="008C5176"/>
    <w:rsid w:val="008C7FD0"/>
    <w:rsid w:val="008E1DE7"/>
    <w:rsid w:val="008E2343"/>
    <w:rsid w:val="008E521F"/>
    <w:rsid w:val="008E707C"/>
    <w:rsid w:val="008F0C9C"/>
    <w:rsid w:val="00900B08"/>
    <w:rsid w:val="00902155"/>
    <w:rsid w:val="00902FA3"/>
    <w:rsid w:val="00906859"/>
    <w:rsid w:val="00923564"/>
    <w:rsid w:val="0092392E"/>
    <w:rsid w:val="009315F9"/>
    <w:rsid w:val="00933499"/>
    <w:rsid w:val="00935C98"/>
    <w:rsid w:val="0094141F"/>
    <w:rsid w:val="00946945"/>
    <w:rsid w:val="00951248"/>
    <w:rsid w:val="0095152F"/>
    <w:rsid w:val="00954C49"/>
    <w:rsid w:val="00955E37"/>
    <w:rsid w:val="009611A6"/>
    <w:rsid w:val="00962124"/>
    <w:rsid w:val="0097099F"/>
    <w:rsid w:val="0097182A"/>
    <w:rsid w:val="00971997"/>
    <w:rsid w:val="00971FFC"/>
    <w:rsid w:val="009725DD"/>
    <w:rsid w:val="0098660A"/>
    <w:rsid w:val="009931C3"/>
    <w:rsid w:val="009B2C43"/>
    <w:rsid w:val="009B4EAE"/>
    <w:rsid w:val="009B7573"/>
    <w:rsid w:val="009C1C59"/>
    <w:rsid w:val="009C22F4"/>
    <w:rsid w:val="009C2E98"/>
    <w:rsid w:val="009C37FB"/>
    <w:rsid w:val="009D3447"/>
    <w:rsid w:val="009D4711"/>
    <w:rsid w:val="009F1185"/>
    <w:rsid w:val="009F18CD"/>
    <w:rsid w:val="009F2A13"/>
    <w:rsid w:val="009F6C1B"/>
    <w:rsid w:val="009F7527"/>
    <w:rsid w:val="00A039ED"/>
    <w:rsid w:val="00A04EB0"/>
    <w:rsid w:val="00A13CC1"/>
    <w:rsid w:val="00A16847"/>
    <w:rsid w:val="00A237D8"/>
    <w:rsid w:val="00A268C4"/>
    <w:rsid w:val="00A307CD"/>
    <w:rsid w:val="00A331C8"/>
    <w:rsid w:val="00A35117"/>
    <w:rsid w:val="00A40A00"/>
    <w:rsid w:val="00A4142F"/>
    <w:rsid w:val="00A422EB"/>
    <w:rsid w:val="00A45BB7"/>
    <w:rsid w:val="00A56DF2"/>
    <w:rsid w:val="00A56E6E"/>
    <w:rsid w:val="00A56EE1"/>
    <w:rsid w:val="00A67AB5"/>
    <w:rsid w:val="00A733B2"/>
    <w:rsid w:val="00A741C2"/>
    <w:rsid w:val="00A77793"/>
    <w:rsid w:val="00A91760"/>
    <w:rsid w:val="00A93B00"/>
    <w:rsid w:val="00A93B42"/>
    <w:rsid w:val="00A93C21"/>
    <w:rsid w:val="00AA2FD8"/>
    <w:rsid w:val="00AB33B2"/>
    <w:rsid w:val="00AB64C9"/>
    <w:rsid w:val="00AB68AF"/>
    <w:rsid w:val="00AC3C6A"/>
    <w:rsid w:val="00AC6CC4"/>
    <w:rsid w:val="00AD0F83"/>
    <w:rsid w:val="00AD5620"/>
    <w:rsid w:val="00AD656B"/>
    <w:rsid w:val="00AD6B0B"/>
    <w:rsid w:val="00AD7C1B"/>
    <w:rsid w:val="00AE16BA"/>
    <w:rsid w:val="00AE1E83"/>
    <w:rsid w:val="00AE1EBE"/>
    <w:rsid w:val="00AE5BC2"/>
    <w:rsid w:val="00AF3839"/>
    <w:rsid w:val="00B03C9D"/>
    <w:rsid w:val="00B060AE"/>
    <w:rsid w:val="00B10517"/>
    <w:rsid w:val="00B14E76"/>
    <w:rsid w:val="00B161B8"/>
    <w:rsid w:val="00B2048C"/>
    <w:rsid w:val="00B310B9"/>
    <w:rsid w:val="00B35F3F"/>
    <w:rsid w:val="00B36CBB"/>
    <w:rsid w:val="00B425E0"/>
    <w:rsid w:val="00B440AA"/>
    <w:rsid w:val="00B44B70"/>
    <w:rsid w:val="00B53C56"/>
    <w:rsid w:val="00B56B9E"/>
    <w:rsid w:val="00B57DAF"/>
    <w:rsid w:val="00B77EA6"/>
    <w:rsid w:val="00B81598"/>
    <w:rsid w:val="00B841F1"/>
    <w:rsid w:val="00B93E6B"/>
    <w:rsid w:val="00B944D6"/>
    <w:rsid w:val="00BB4DF0"/>
    <w:rsid w:val="00BC01EE"/>
    <w:rsid w:val="00BC289F"/>
    <w:rsid w:val="00BC2D50"/>
    <w:rsid w:val="00BC5361"/>
    <w:rsid w:val="00BC5460"/>
    <w:rsid w:val="00BC6B50"/>
    <w:rsid w:val="00BD0E25"/>
    <w:rsid w:val="00BF5BD6"/>
    <w:rsid w:val="00C01403"/>
    <w:rsid w:val="00C03E31"/>
    <w:rsid w:val="00C30E69"/>
    <w:rsid w:val="00C33468"/>
    <w:rsid w:val="00C3346F"/>
    <w:rsid w:val="00C33E72"/>
    <w:rsid w:val="00C354B2"/>
    <w:rsid w:val="00C35554"/>
    <w:rsid w:val="00C42709"/>
    <w:rsid w:val="00C46655"/>
    <w:rsid w:val="00C533CC"/>
    <w:rsid w:val="00C5751C"/>
    <w:rsid w:val="00C61BFC"/>
    <w:rsid w:val="00C62B85"/>
    <w:rsid w:val="00C65438"/>
    <w:rsid w:val="00C91CBB"/>
    <w:rsid w:val="00CA0D79"/>
    <w:rsid w:val="00CB15DF"/>
    <w:rsid w:val="00CB4E70"/>
    <w:rsid w:val="00CC09B6"/>
    <w:rsid w:val="00CC38B2"/>
    <w:rsid w:val="00CC666F"/>
    <w:rsid w:val="00CD1E3F"/>
    <w:rsid w:val="00CD220E"/>
    <w:rsid w:val="00CD6F9F"/>
    <w:rsid w:val="00CE44F6"/>
    <w:rsid w:val="00CE49DA"/>
    <w:rsid w:val="00CE7B61"/>
    <w:rsid w:val="00D00095"/>
    <w:rsid w:val="00D06A8A"/>
    <w:rsid w:val="00D114F0"/>
    <w:rsid w:val="00D20620"/>
    <w:rsid w:val="00D207FF"/>
    <w:rsid w:val="00D23975"/>
    <w:rsid w:val="00D254F7"/>
    <w:rsid w:val="00D26091"/>
    <w:rsid w:val="00D2685C"/>
    <w:rsid w:val="00D34E7C"/>
    <w:rsid w:val="00D35489"/>
    <w:rsid w:val="00D36AFE"/>
    <w:rsid w:val="00D51276"/>
    <w:rsid w:val="00D54F93"/>
    <w:rsid w:val="00D65480"/>
    <w:rsid w:val="00D7035F"/>
    <w:rsid w:val="00D71D8A"/>
    <w:rsid w:val="00D917D7"/>
    <w:rsid w:val="00D92060"/>
    <w:rsid w:val="00DA634F"/>
    <w:rsid w:val="00DA65AC"/>
    <w:rsid w:val="00DB1913"/>
    <w:rsid w:val="00DB57DE"/>
    <w:rsid w:val="00DC410D"/>
    <w:rsid w:val="00DC5A81"/>
    <w:rsid w:val="00DC68CA"/>
    <w:rsid w:val="00DC7CBA"/>
    <w:rsid w:val="00DD0DCA"/>
    <w:rsid w:val="00DD73B7"/>
    <w:rsid w:val="00DF28BC"/>
    <w:rsid w:val="00DF34B9"/>
    <w:rsid w:val="00E01053"/>
    <w:rsid w:val="00E07ACF"/>
    <w:rsid w:val="00E331A1"/>
    <w:rsid w:val="00E33202"/>
    <w:rsid w:val="00E336A9"/>
    <w:rsid w:val="00E42D4B"/>
    <w:rsid w:val="00E472B1"/>
    <w:rsid w:val="00E4759A"/>
    <w:rsid w:val="00E50624"/>
    <w:rsid w:val="00E52328"/>
    <w:rsid w:val="00E568DF"/>
    <w:rsid w:val="00E6123F"/>
    <w:rsid w:val="00E64269"/>
    <w:rsid w:val="00E66797"/>
    <w:rsid w:val="00E76492"/>
    <w:rsid w:val="00E76F72"/>
    <w:rsid w:val="00E82267"/>
    <w:rsid w:val="00E853CE"/>
    <w:rsid w:val="00E867B6"/>
    <w:rsid w:val="00E87F08"/>
    <w:rsid w:val="00EA010F"/>
    <w:rsid w:val="00EA0447"/>
    <w:rsid w:val="00EB260D"/>
    <w:rsid w:val="00EB5B5C"/>
    <w:rsid w:val="00ED1B63"/>
    <w:rsid w:val="00ED3C1F"/>
    <w:rsid w:val="00ED4085"/>
    <w:rsid w:val="00ED420E"/>
    <w:rsid w:val="00ED48CF"/>
    <w:rsid w:val="00ED6FBE"/>
    <w:rsid w:val="00EE2F57"/>
    <w:rsid w:val="00EF1244"/>
    <w:rsid w:val="00EF4C34"/>
    <w:rsid w:val="00EF77C6"/>
    <w:rsid w:val="00F05438"/>
    <w:rsid w:val="00F1361C"/>
    <w:rsid w:val="00F156F0"/>
    <w:rsid w:val="00F160C7"/>
    <w:rsid w:val="00F2408F"/>
    <w:rsid w:val="00F240E9"/>
    <w:rsid w:val="00F36D8F"/>
    <w:rsid w:val="00F417B1"/>
    <w:rsid w:val="00F449E6"/>
    <w:rsid w:val="00F45853"/>
    <w:rsid w:val="00F47637"/>
    <w:rsid w:val="00F602DF"/>
    <w:rsid w:val="00F754A1"/>
    <w:rsid w:val="00F81FD9"/>
    <w:rsid w:val="00F84175"/>
    <w:rsid w:val="00F841AA"/>
    <w:rsid w:val="00F84A94"/>
    <w:rsid w:val="00F87E96"/>
    <w:rsid w:val="00F90003"/>
    <w:rsid w:val="00F904DB"/>
    <w:rsid w:val="00FA23E8"/>
    <w:rsid w:val="00FD3CC1"/>
    <w:rsid w:val="00FD6D1E"/>
    <w:rsid w:val="00FF160F"/>
    <w:rsid w:val="00FF1E02"/>
    <w:rsid w:val="00FF30B4"/>
    <w:rsid w:val="10C055FF"/>
    <w:rsid w:val="13E9646A"/>
    <w:rsid w:val="16BB723D"/>
    <w:rsid w:val="17A61BDE"/>
    <w:rsid w:val="240371BF"/>
    <w:rsid w:val="29FD04D3"/>
    <w:rsid w:val="319F7F4E"/>
    <w:rsid w:val="4ECE2238"/>
    <w:rsid w:val="525648F0"/>
    <w:rsid w:val="5B104CF8"/>
    <w:rsid w:val="655245B0"/>
    <w:rsid w:val="68556F8C"/>
    <w:rsid w:val="7023570F"/>
    <w:rsid w:val="72734D90"/>
    <w:rsid w:val="7D263F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99" w:semiHidden="0" w:name="Normal Indent"/>
    <w:lsdException w:uiPriority="99"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5"/>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6"/>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9"/>
    <w:unhideWhenUsed/>
    <w:qFormat/>
    <w:uiPriority w:val="9"/>
    <w:pPr>
      <w:keepNext/>
      <w:keepLines/>
      <w:spacing w:before="260" w:after="260" w:line="416" w:lineRule="auto"/>
      <w:outlineLvl w:val="2"/>
    </w:pPr>
    <w:rPr>
      <w:b/>
      <w:bCs/>
      <w:sz w:val="32"/>
      <w:szCs w:val="32"/>
    </w:rPr>
  </w:style>
  <w:style w:type="character" w:default="1" w:styleId="14">
    <w:name w:val="Default Paragraph Font"/>
    <w:semiHidden/>
    <w:unhideWhenUsed/>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5">
    <w:name w:val="Normal Indent"/>
    <w:unhideWhenUsed/>
    <w:qFormat/>
    <w:uiPriority w:val="99"/>
    <w:pPr>
      <w:widowControl w:val="0"/>
      <w:ind w:firstLine="420" w:firstLineChars="200"/>
      <w:jc w:val="both"/>
    </w:pPr>
    <w:rPr>
      <w:rFonts w:ascii="Times New Roman" w:hAnsi="Times New Roman" w:eastAsia="宋体" w:cs="Times New Roman"/>
      <w:kern w:val="2"/>
      <w:sz w:val="21"/>
      <w:szCs w:val="24"/>
      <w:lang w:val="en-US" w:eastAsia="zh-CN" w:bidi="ar-SA"/>
    </w:rPr>
  </w:style>
  <w:style w:type="paragraph" w:styleId="6">
    <w:name w:val="Body Text"/>
    <w:basedOn w:val="1"/>
    <w:link w:val="22"/>
    <w:qFormat/>
    <w:uiPriority w:val="99"/>
    <w:pPr>
      <w:spacing w:beforeLines="30"/>
    </w:pPr>
    <w:rPr>
      <w:rFonts w:ascii="仿宋_GB2312" w:eastAsia="仿宋_GB2312"/>
      <w:kern w:val="0"/>
      <w:sz w:val="30"/>
    </w:rPr>
  </w:style>
  <w:style w:type="paragraph" w:styleId="7">
    <w:name w:val="toc 3"/>
    <w:basedOn w:val="1"/>
    <w:next w:val="1"/>
    <w:unhideWhenUsed/>
    <w:qFormat/>
    <w:uiPriority w:val="39"/>
    <w:pPr>
      <w:tabs>
        <w:tab w:val="right" w:leader="dot" w:pos="8296"/>
      </w:tabs>
      <w:ind w:left="840" w:leftChars="400"/>
    </w:pPr>
  </w:style>
  <w:style w:type="paragraph" w:styleId="8">
    <w:name w:val="Balloon Text"/>
    <w:basedOn w:val="1"/>
    <w:link w:val="28"/>
    <w:unhideWhenUsed/>
    <w:qFormat/>
    <w:uiPriority w:val="99"/>
    <w:rPr>
      <w:sz w:val="18"/>
      <w:szCs w:val="18"/>
    </w:rPr>
  </w:style>
  <w:style w:type="paragraph" w:styleId="9">
    <w:name w:val="footer"/>
    <w:basedOn w:val="1"/>
    <w:link w:val="20"/>
    <w:qFormat/>
    <w:uiPriority w:val="99"/>
    <w:pPr>
      <w:tabs>
        <w:tab w:val="center" w:pos="4153"/>
        <w:tab w:val="right" w:pos="8306"/>
      </w:tabs>
      <w:snapToGrid w:val="0"/>
      <w:jc w:val="left"/>
    </w:pPr>
    <w:rPr>
      <w:rFonts w:ascii="Calibri" w:hAnsi="Calibri"/>
      <w:kern w:val="0"/>
      <w:sz w:val="18"/>
      <w:szCs w:val="18"/>
    </w:rPr>
  </w:style>
  <w:style w:type="paragraph" w:styleId="10">
    <w:name w:val="header"/>
    <w:basedOn w:val="1"/>
    <w:link w:val="18"/>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toc 2"/>
    <w:basedOn w:val="1"/>
    <w:next w:val="1"/>
    <w:unhideWhenUsed/>
    <w:qFormat/>
    <w:uiPriority w:val="39"/>
    <w:pPr>
      <w:tabs>
        <w:tab w:val="right" w:leader="dot" w:pos="8296"/>
      </w:tabs>
      <w:ind w:left="420" w:leftChars="200"/>
    </w:pPr>
  </w:style>
  <w:style w:type="character" w:styleId="15">
    <w:name w:val="Strong"/>
    <w:basedOn w:val="14"/>
    <w:qFormat/>
    <w:uiPriority w:val="99"/>
    <w:rPr>
      <w:b/>
    </w:rPr>
  </w:style>
  <w:style w:type="character" w:styleId="16">
    <w:name w:val="Hyperlink"/>
    <w:basedOn w:val="14"/>
    <w:unhideWhenUsed/>
    <w:qFormat/>
    <w:uiPriority w:val="99"/>
    <w:rPr>
      <w:color w:val="0000FF" w:themeColor="hyperlink"/>
      <w:u w:val="single"/>
      <w14:textFill>
        <w14:solidFill>
          <w14:schemeClr w14:val="hlink"/>
        </w14:solidFill>
      </w14:textFill>
    </w:rPr>
  </w:style>
  <w:style w:type="character" w:customStyle="1" w:styleId="17">
    <w:name w:val="Header Char"/>
    <w:basedOn w:val="14"/>
    <w:semiHidden/>
    <w:qFormat/>
    <w:uiPriority w:val="99"/>
    <w:rPr>
      <w:rFonts w:ascii="Times New Roman" w:hAnsi="Times New Roman"/>
      <w:sz w:val="18"/>
      <w:szCs w:val="18"/>
    </w:rPr>
  </w:style>
  <w:style w:type="character" w:customStyle="1" w:styleId="18">
    <w:name w:val="页眉 Char"/>
    <w:link w:val="10"/>
    <w:semiHidden/>
    <w:qFormat/>
    <w:locked/>
    <w:uiPriority w:val="99"/>
    <w:rPr>
      <w:sz w:val="18"/>
    </w:rPr>
  </w:style>
  <w:style w:type="character" w:customStyle="1" w:styleId="19">
    <w:name w:val="Footer Char"/>
    <w:basedOn w:val="14"/>
    <w:semiHidden/>
    <w:qFormat/>
    <w:uiPriority w:val="99"/>
    <w:rPr>
      <w:rFonts w:ascii="Times New Roman" w:hAnsi="Times New Roman"/>
      <w:sz w:val="18"/>
      <w:szCs w:val="18"/>
    </w:rPr>
  </w:style>
  <w:style w:type="character" w:customStyle="1" w:styleId="20">
    <w:name w:val="页脚 Char"/>
    <w:link w:val="9"/>
    <w:qFormat/>
    <w:locked/>
    <w:uiPriority w:val="99"/>
    <w:rPr>
      <w:sz w:val="18"/>
    </w:rPr>
  </w:style>
  <w:style w:type="character" w:customStyle="1" w:styleId="21">
    <w:name w:val="Body Text Char"/>
    <w:basedOn w:val="14"/>
    <w:semiHidden/>
    <w:qFormat/>
    <w:uiPriority w:val="99"/>
    <w:rPr>
      <w:rFonts w:ascii="Times New Roman" w:hAnsi="Times New Roman"/>
      <w:szCs w:val="24"/>
    </w:rPr>
  </w:style>
  <w:style w:type="character" w:customStyle="1" w:styleId="22">
    <w:name w:val="正文文本 Char"/>
    <w:link w:val="6"/>
    <w:qFormat/>
    <w:locked/>
    <w:uiPriority w:val="99"/>
    <w:rPr>
      <w:rFonts w:ascii="仿宋_GB2312" w:hAnsi="Times New Roman" w:eastAsia="仿宋_GB2312"/>
      <w:sz w:val="24"/>
    </w:rPr>
  </w:style>
  <w:style w:type="paragraph" w:customStyle="1" w:styleId="23">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4">
    <w:name w:val="列出段落1"/>
    <w:basedOn w:val="1"/>
    <w:qFormat/>
    <w:uiPriority w:val="34"/>
    <w:pPr>
      <w:ind w:firstLine="420" w:firstLineChars="200"/>
    </w:pPr>
  </w:style>
  <w:style w:type="character" w:customStyle="1" w:styleId="25">
    <w:name w:val="标题 1 Char"/>
    <w:basedOn w:val="14"/>
    <w:link w:val="2"/>
    <w:qFormat/>
    <w:uiPriority w:val="9"/>
    <w:rPr>
      <w:rFonts w:ascii="Times New Roman" w:hAnsi="Times New Roman"/>
      <w:b/>
      <w:bCs/>
      <w:kern w:val="44"/>
      <w:sz w:val="44"/>
      <w:szCs w:val="44"/>
    </w:rPr>
  </w:style>
  <w:style w:type="character" w:customStyle="1" w:styleId="26">
    <w:name w:val="标题 2 Char"/>
    <w:basedOn w:val="14"/>
    <w:link w:val="3"/>
    <w:qFormat/>
    <w:uiPriority w:val="9"/>
    <w:rPr>
      <w:rFonts w:asciiTheme="majorHAnsi" w:hAnsiTheme="majorHAnsi" w:eastAsiaTheme="majorEastAsia" w:cstheme="majorBidi"/>
      <w:b/>
      <w:bCs/>
      <w:kern w:val="2"/>
      <w:sz w:val="32"/>
      <w:szCs w:val="32"/>
    </w:rPr>
  </w:style>
  <w:style w:type="paragraph" w:customStyle="1" w:styleId="27">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8">
    <w:name w:val="批注框文本 Char"/>
    <w:basedOn w:val="14"/>
    <w:link w:val="8"/>
    <w:semiHidden/>
    <w:qFormat/>
    <w:uiPriority w:val="99"/>
    <w:rPr>
      <w:rFonts w:ascii="Times New Roman" w:hAnsi="Times New Roman"/>
      <w:kern w:val="2"/>
      <w:sz w:val="18"/>
      <w:szCs w:val="18"/>
    </w:rPr>
  </w:style>
  <w:style w:type="character" w:customStyle="1" w:styleId="29">
    <w:name w:val="标题 3 Char"/>
    <w:basedOn w:val="14"/>
    <w:link w:val="4"/>
    <w:qFormat/>
    <w:uiPriority w:val="9"/>
    <w:rPr>
      <w:rFonts w:ascii="Times New Roman" w:hAnsi="Times New Roman"/>
      <w:b/>
      <w:bCs/>
      <w:kern w:val="2"/>
      <w:sz w:val="32"/>
      <w:szCs w:val="32"/>
    </w:rPr>
  </w:style>
  <w:style w:type="paragraph" w:customStyle="1" w:styleId="30">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chart" Target="charts/chart4.xml"/><Relationship Id="rId8" Type="http://schemas.openxmlformats.org/officeDocument/2006/relationships/chart" Target="charts/chart3.xml"/><Relationship Id="rId7" Type="http://schemas.openxmlformats.org/officeDocument/2006/relationships/chart" Target="charts/chart2.xml"/><Relationship Id="rId6" Type="http://schemas.openxmlformats.org/officeDocument/2006/relationships/chart" Target="charts/chart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1.xml"/><Relationship Id="rId13" Type="http://schemas.openxmlformats.org/officeDocument/2006/relationships/numbering" Target="numbering.xml"/><Relationship Id="rId12" Type="http://schemas.openxmlformats.org/officeDocument/2006/relationships/chart" Target="charts/chart7.xml"/><Relationship Id="rId11" Type="http://schemas.openxmlformats.org/officeDocument/2006/relationships/chart" Target="charts/chart6.xml"/><Relationship Id="rId10" Type="http://schemas.openxmlformats.org/officeDocument/2006/relationships/chart" Target="charts/chart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1" Type="http://schemas.openxmlformats.org/officeDocument/2006/relationships/package" Target="../embeddings/Workbook5.xlsx"/></Relationships>
</file>

<file path=word/charts/_rels/chart2.xml.rels><?xml version="1.0" encoding="UTF-8" standalone="yes"?>
<Relationships xmlns="http://schemas.openxmlformats.org/package/2006/relationships"><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1" Type="http://schemas.openxmlformats.org/officeDocument/2006/relationships/package" Target="../embeddings/Workbook4.xlsx"/></Relationships>
</file>

<file path=word/charts/_rels/chart6.xml.rels><?xml version="1.0" encoding="UTF-8" standalone="yes"?>
<Relationships xmlns="http://schemas.openxmlformats.org/package/2006/relationships"><Relationship Id="rId1" Type="http://schemas.openxmlformats.org/officeDocument/2006/relationships/oleObject" Target="Microsoft%20Word%20&#20013;&#30340;&#22270;&#34920;"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E:\1.&#33258;&#35268;&#23616;\&#39044;&#20915;&#31639;&#21450;&#20844;&#24320;\&#39044;&#12289;&#20915;&#31639;&#20844;&#24320;\2020&#24180;&#24230;\2020&#20915;&#31639;&#20844;&#24320;&#22270;&#34920;%20-%20&#21103;&#2641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1   </a:t>
            </a:r>
            <a:r>
              <a:rPr lang="zh-CN" altLang="en-US"/>
              <a:t>收入、支出决算总计变动情况</a:t>
            </a:r>
            <a:endParaRPr lang="zh-CN" altLang="en-US"/>
          </a:p>
        </c:rich>
      </c:tx>
      <c:layout/>
      <c:overlay val="0"/>
      <c:spPr>
        <a:noFill/>
        <a:ln w="25400">
          <a:noFill/>
        </a:ln>
      </c:spPr>
    </c:title>
    <c:autoTitleDeleted val="0"/>
    <c:plotArea>
      <c:layout/>
      <c:barChart>
        <c:barDir val="col"/>
        <c:grouping val="clustered"/>
        <c:varyColors val="0"/>
        <c:ser>
          <c:idx val="0"/>
          <c:order val="0"/>
          <c:tx>
            <c:strRef>
              <c:f>Sheet1!$A$58</c:f>
              <c:strCache>
                <c:ptCount val="1"/>
                <c:pt idx="0">
                  <c:v>收入、支出总计</c:v>
                </c:pt>
              </c:strCache>
            </c:strRef>
          </c:tx>
          <c:spPr>
            <a:solidFill>
              <a:srgbClr val="9999FF"/>
            </a:solidFill>
            <a:ln w="12700">
              <a:solidFill>
                <a:srgbClr val="000000">
                  <a:alpha val="100000"/>
                </a:srgbClr>
              </a:solidFill>
              <a:prstDash val="solid"/>
            </a:ln>
            <a:effectLst/>
          </c:spPr>
          <c:invertIfNegative val="0"/>
          <c:dLbls>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numRef>
              <c:f>Sheet1!$B$58:$C$58</c:f>
              <c:numCache>
                <c:formatCode>General</c:formatCode>
                <c:ptCount val="2"/>
                <c:pt idx="0">
                  <c:v>2020</c:v>
                </c:pt>
                <c:pt idx="1">
                  <c:v>2019</c:v>
                </c:pt>
              </c:numCache>
            </c:numRef>
          </c:cat>
          <c:val>
            <c:numRef>
              <c:f>Sheet1!$B$59:$C$59</c:f>
              <c:numCache>
                <c:formatCode>General</c:formatCode>
                <c:ptCount val="2"/>
                <c:pt idx="0">
                  <c:v>50495.74</c:v>
                </c:pt>
                <c:pt idx="1">
                  <c:v>61962.06</c:v>
                </c:pt>
              </c:numCache>
            </c:numRef>
          </c:val>
        </c:ser>
        <c:dLbls>
          <c:showLegendKey val="0"/>
          <c:showVal val="0"/>
          <c:showCatName val="0"/>
          <c:showSerName val="0"/>
          <c:showPercent val="0"/>
          <c:showBubbleSize val="0"/>
        </c:dLbls>
        <c:gapWidth val="150"/>
        <c:axId val="316762112"/>
        <c:axId val="324643648"/>
      </c:barChart>
      <c:catAx>
        <c:axId val="316762112"/>
        <c:scaling>
          <c:orientation val="minMax"/>
        </c:scaling>
        <c:delete val="0"/>
        <c:axPos val="b"/>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24643648"/>
        <c:crosses val="autoZero"/>
        <c:auto val="1"/>
        <c:lblAlgn val="ctr"/>
        <c:lblOffset val="100"/>
        <c:noMultiLvlLbl val="0"/>
      </c:catAx>
      <c:valAx>
        <c:axId val="324643648"/>
        <c:scaling>
          <c:orientation val="minMax"/>
        </c:scaling>
        <c:delete val="0"/>
        <c:axPos val="l"/>
        <c:majorGridlines>
          <c:spPr>
            <a:ln w="3175" cap="flat" cmpd="sng" algn="ctr">
              <a:solidFill>
                <a:srgbClr val="000000">
                  <a:alpha val="100000"/>
                </a:srgbClr>
              </a:solidFill>
              <a:prstDash val="solid"/>
              <a:round/>
            </a:ln>
            <a:effectLst/>
          </c:spPr>
        </c:majorGridlines>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6762112"/>
        <c:crosses val="autoZero"/>
        <c:crossBetween val="between"/>
      </c:valAx>
      <c:spPr>
        <a:solidFill>
          <a:srgbClr val="C0C0C0">
            <a:alpha val="100000"/>
          </a:srgbClr>
        </a:solidFill>
        <a:ln w="12700">
          <a:solidFill>
            <a:srgbClr val="808080">
              <a:alpha val="100000"/>
            </a:srgbClr>
          </a:solidFill>
          <a:prstDash val="solid"/>
        </a:ln>
        <a:effectLst/>
      </c:spPr>
    </c:plotArea>
    <c:legend>
      <c:legendPos val="r"/>
      <c:layout>
        <c:manualLayout>
          <c:xMode val="edge"/>
          <c:yMode val="edge"/>
          <c:x val="0.791490458070781"/>
          <c:y val="0.535452961984454"/>
          <c:w val="0.19716339367713"/>
          <c:h val="0.0537897952678447"/>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42f12f0-643e-4bf6-866b-44c9d3ac30f0}"/>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6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2    </a:t>
            </a:r>
            <a:r>
              <a:rPr lang="zh-CN" altLang="en-US"/>
              <a:t>收入决算结构图</a:t>
            </a:r>
            <a:endParaRPr lang="zh-CN" altLang="en-US"/>
          </a:p>
        </c:rich>
      </c:tx>
      <c:layout/>
      <c:overlay val="0"/>
      <c:spPr>
        <a:noFill/>
        <a:ln w="25400">
          <a:noFill/>
        </a:ln>
      </c:spPr>
    </c:title>
    <c:autoTitleDeleted val="0"/>
    <c:plotArea>
      <c:layout/>
      <c:pieChart>
        <c:varyColors val="1"/>
        <c:ser>
          <c:idx val="0"/>
          <c:order val="0"/>
          <c:spPr>
            <a:solidFill>
              <a:srgbClr val="9999FF"/>
            </a:solidFill>
            <a:ln w="12700">
              <a:solidFill>
                <a:srgbClr val="000000">
                  <a:alpha val="100000"/>
                </a:srgbClr>
              </a:solidFill>
              <a:prstDash val="solid"/>
            </a:ln>
            <a:effectLst/>
          </c:spPr>
          <c:explosion val="0"/>
          <c:dPt>
            <c:idx val="0"/>
            <c:bubble3D val="0"/>
            <c:spPr>
              <a:solidFill>
                <a:srgbClr val="9999FF"/>
              </a:solidFill>
              <a:ln w="12700">
                <a:solidFill>
                  <a:srgbClr val="000000">
                    <a:alpha val="100000"/>
                  </a:srgbClr>
                </a:solidFill>
                <a:prstDash val="solid"/>
              </a:ln>
              <a:effectLst/>
            </c:spPr>
          </c:dPt>
          <c:dPt>
            <c:idx val="1"/>
            <c:bubble3D val="0"/>
            <c:spPr>
              <a:solidFill>
                <a:srgbClr val="993366"/>
              </a:solidFill>
              <a:ln w="12700">
                <a:solidFill>
                  <a:srgbClr val="000000">
                    <a:alpha val="100000"/>
                  </a:srgbClr>
                </a:solidFill>
                <a:prstDash val="solid"/>
              </a:ln>
              <a:effectLst/>
            </c:spPr>
          </c:dPt>
          <c:dPt>
            <c:idx val="2"/>
            <c:bubble3D val="0"/>
            <c:spPr>
              <a:solidFill>
                <a:srgbClr val="FFFFCC"/>
              </a:solidFill>
              <a:ln w="12700">
                <a:solidFill>
                  <a:srgbClr val="000000">
                    <a:alpha val="100000"/>
                  </a:srgbClr>
                </a:solidFill>
                <a:prstDash val="solid"/>
              </a:ln>
              <a:effectLst/>
            </c:spPr>
          </c:dPt>
          <c:dPt>
            <c:idx val="3"/>
            <c:bubble3D val="0"/>
            <c:spPr>
              <a:solidFill>
                <a:srgbClr val="CCFFFF"/>
              </a:solidFill>
              <a:ln w="12700">
                <a:solidFill>
                  <a:srgbClr val="000000">
                    <a:alpha val="100000"/>
                  </a:srgbClr>
                </a:solidFill>
                <a:prstDash val="solid"/>
              </a:ln>
              <a:effectLst/>
            </c:spPr>
          </c:dPt>
          <c:dPt>
            <c:idx val="4"/>
            <c:bubble3D val="0"/>
            <c:spPr>
              <a:solidFill>
                <a:srgbClr val="660066"/>
              </a:solidFill>
              <a:ln w="12700">
                <a:solidFill>
                  <a:srgbClr val="000000">
                    <a:alpha val="100000"/>
                  </a:srgbClr>
                </a:solidFill>
                <a:prstDash val="solid"/>
              </a:ln>
              <a:effectLst/>
            </c:spPr>
          </c:dPt>
          <c:dPt>
            <c:idx val="5"/>
            <c:bubble3D val="0"/>
            <c:spPr>
              <a:solidFill>
                <a:srgbClr val="FF8080"/>
              </a:solidFill>
              <a:ln w="12700">
                <a:solidFill>
                  <a:srgbClr val="000000">
                    <a:alpha val="100000"/>
                  </a:srgbClr>
                </a:solidFill>
                <a:prstDash val="solid"/>
              </a:ln>
              <a:effectLst/>
            </c:spPr>
          </c:dPt>
          <c:dLbls>
            <c:dLbl>
              <c:idx val="0"/>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200" b="0" i="0" u="none" strike="noStrike" baseline="0">
                        <a:solidFill>
                          <a:srgbClr val="FF0000"/>
                        </a:solidFill>
                        <a:latin typeface="宋体" panose="02010600030101010101" charset="-122"/>
                        <a:ea typeface="宋体" panose="02010600030101010101" charset="-122"/>
                      </a:rPr>
                      <a:t>12011.39</a:t>
                    </a:r>
                    <a:r>
                      <a:rPr lang="zh-CN" altLang="en-US" sz="1200" b="0" i="0" u="none" strike="noStrike" baseline="0">
                        <a:solidFill>
                          <a:srgbClr val="FF0000"/>
                        </a:solidFill>
                        <a:latin typeface="宋体" panose="02010600030101010101" charset="-122"/>
                        <a:ea typeface="宋体" panose="02010600030101010101" charset="-122"/>
                      </a:rPr>
                      <a:t>, </a:t>
                    </a:r>
                    <a:r>
                      <a:rPr lang="en-US" altLang="zh-CN" sz="1200" b="0" i="0" u="none" strike="noStrike" baseline="0">
                        <a:solidFill>
                          <a:srgbClr val="FF0000"/>
                        </a:solidFill>
                        <a:latin typeface="宋体" panose="02010600030101010101" charset="-122"/>
                        <a:ea typeface="宋体" panose="02010600030101010101" charset="-122"/>
                      </a:rPr>
                      <a:t>70.16</a:t>
                    </a:r>
                    <a:r>
                      <a:rPr lang="zh-CN" altLang="en-US" sz="1200" b="0" i="0" u="none" strike="noStrike" baseline="0">
                        <a:solidFill>
                          <a:srgbClr val="FF0000"/>
                        </a:solidFill>
                        <a:latin typeface="宋体" panose="02010600030101010101" charset="-122"/>
                        <a:ea typeface="宋体" panose="02010600030101010101" charset="-122"/>
                        <a:cs typeface="Arial" panose="020B0604020202020204" pitchFamily="2"/>
                      </a:rPr>
                      <a:t>%</a:t>
                    </a:r>
                    <a:endParaRPr lang="zh-CN" altLang="en-US"/>
                  </a:p>
                </c:rich>
              </c:tx>
              <c:numFmt formatCode="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0"/>
              <c:showCatName val="0"/>
              <c:showSerName val="0"/>
              <c:showPercent val="0"/>
              <c:showBubbleSize val="0"/>
              <c:extLst>
                <c:ext xmlns:c15="http://schemas.microsoft.com/office/drawing/2012/chart" uri="{CE6537A1-D6FC-4f65-9D91-7224C49458BB}"/>
              </c:extLst>
            </c:dLbl>
            <c:dLbl>
              <c:idx val="1"/>
              <c:layout>
                <c:manualLayout>
                  <c:x val="0.0888159716453453"/>
                  <c:y val="0.159967184990127"/>
                </c:manualLayout>
              </c:layout>
              <c:tx>
                <c:rich>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en-US" altLang="zh-CN" sz="1200" b="0" i="0" u="none" strike="noStrike" baseline="0">
                        <a:solidFill>
                          <a:srgbClr val="FF0000"/>
                        </a:solidFill>
                        <a:latin typeface="宋体" panose="02010600030101010101" charset="-122"/>
                        <a:ea typeface="宋体" panose="02010600030101010101" charset="-122"/>
                      </a:rPr>
                      <a:t>5107.83</a:t>
                    </a:r>
                    <a:r>
                      <a:rPr lang="zh-CN" altLang="en-US" sz="1200" b="0" i="0" u="none" strike="noStrike" baseline="0">
                        <a:solidFill>
                          <a:srgbClr val="FF0000"/>
                        </a:solidFill>
                        <a:latin typeface="宋体" panose="02010600030101010101" charset="-122"/>
                        <a:ea typeface="宋体" panose="02010600030101010101" charset="-122"/>
                      </a:rPr>
                      <a:t>,</a:t>
                    </a:r>
                    <a:r>
                      <a:rPr lang="en-US" altLang="zh-CN" sz="1200" b="0" i="0" u="none" strike="noStrike" baseline="0">
                        <a:solidFill>
                          <a:srgbClr val="FF0000"/>
                        </a:solidFill>
                        <a:latin typeface="宋体" panose="02010600030101010101" charset="-122"/>
                        <a:ea typeface="宋体" panose="02010600030101010101" charset="-122"/>
                      </a:rPr>
                      <a:t>29.84</a:t>
                    </a:r>
                    <a:r>
                      <a:rPr lang="zh-CN" altLang="en-US" sz="1200" b="0" i="0" u="none" strike="noStrike" baseline="0">
                        <a:solidFill>
                          <a:srgbClr val="FF0000"/>
                        </a:solidFill>
                        <a:latin typeface="宋体" panose="02010600030101010101" charset="-122"/>
                        <a:ea typeface="宋体" panose="02010600030101010101" charset="-122"/>
                        <a:cs typeface="Arial" panose="020B0604020202020204" pitchFamily="2"/>
                      </a:rPr>
                      <a:t>%</a:t>
                    </a:r>
                    <a:endParaRPr lang="zh-CN" altLang="en-US"/>
                  </a:p>
                </c:rich>
              </c:tx>
              <c:numFmt formatCode="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0"/>
              <c:showCatName val="0"/>
              <c:showSerName val="0"/>
              <c:showPercent val="0"/>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0"/>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Sheet1!$C$3:$C$8</c:f>
              <c:numCache>
                <c:formatCode>General</c:formatCode>
                <c:ptCount val="6"/>
                <c:pt idx="0">
                  <c:v>12011.39</c:v>
                </c:pt>
                <c:pt idx="1">
                  <c:v>5107.83</c:v>
                </c:pt>
                <c:pt idx="2">
                  <c:v>0</c:v>
                </c:pt>
              </c:numCache>
            </c:numRef>
          </c:val>
        </c:ser>
        <c:ser>
          <c:idx val="1"/>
          <c:order val="1"/>
          <c:spPr>
            <a:solidFill>
              <a:srgbClr val="993366"/>
            </a:solidFill>
            <a:ln w="12700">
              <a:solidFill>
                <a:srgbClr val="000000"/>
              </a:solidFill>
              <a:prstDash val="solid"/>
            </a:ln>
            <a:effectLst/>
          </c:spPr>
          <c:explosion val="0"/>
          <c:dPt>
            <c:idx val="0"/>
            <c:bubble3D val="0"/>
            <c:spPr>
              <a:solidFill>
                <a:srgbClr val="9999FF"/>
              </a:solidFill>
              <a:ln w="12700">
                <a:solidFill>
                  <a:srgbClr val="000000"/>
                </a:solidFill>
                <a:prstDash val="solid"/>
              </a:ln>
              <a:effectLst/>
            </c:spPr>
          </c:dPt>
          <c:dPt>
            <c:idx val="1"/>
            <c:bubble3D val="0"/>
            <c:spPr>
              <a:solidFill>
                <a:srgbClr val="993366"/>
              </a:solidFill>
              <a:ln w="12700">
                <a:solidFill>
                  <a:srgbClr val="000000"/>
                </a:solidFill>
                <a:prstDash val="solid"/>
              </a:ln>
              <a:effectLst/>
            </c:spPr>
          </c:dPt>
          <c:dPt>
            <c:idx val="2"/>
            <c:bubble3D val="0"/>
            <c:spPr>
              <a:solidFill>
                <a:srgbClr val="FFFFCC"/>
              </a:solidFill>
              <a:ln w="12700">
                <a:solidFill>
                  <a:srgbClr val="000000"/>
                </a:solidFill>
                <a:prstDash val="solid"/>
              </a:ln>
              <a:effectLst/>
            </c:spPr>
          </c:dPt>
          <c:dPt>
            <c:idx val="3"/>
            <c:bubble3D val="0"/>
            <c:spPr>
              <a:solidFill>
                <a:srgbClr val="CCFFFF"/>
              </a:solidFill>
              <a:ln w="12700">
                <a:solidFill>
                  <a:srgbClr val="000000"/>
                </a:solidFill>
                <a:prstDash val="solid"/>
              </a:ln>
              <a:effectLst/>
            </c:spPr>
          </c:dPt>
          <c:dPt>
            <c:idx val="4"/>
            <c:bubble3D val="0"/>
            <c:spPr>
              <a:solidFill>
                <a:srgbClr val="660066"/>
              </a:solidFill>
              <a:ln w="12700">
                <a:solidFill>
                  <a:srgbClr val="000000"/>
                </a:solidFill>
                <a:prstDash val="solid"/>
              </a:ln>
              <a:effectLst/>
            </c:spPr>
          </c:dPt>
          <c:dPt>
            <c:idx val="5"/>
            <c:bubble3D val="0"/>
            <c:spPr>
              <a:solidFill>
                <a:srgbClr val="FF8080"/>
              </a:solidFill>
              <a:ln w="12700">
                <a:solidFill>
                  <a:srgbClr val="000000"/>
                </a:solidFill>
                <a:prstDash val="solid"/>
              </a:ln>
              <a:effectLst/>
            </c:spPr>
          </c:dPt>
          <c:dLbls>
            <c:delete val="1"/>
          </c:dLbls>
          <c:cat>
            <c:strRef>
              <c:f>Sheet1!$B$3:$B$8</c:f>
              <c:strCache>
                <c:ptCount val="6"/>
                <c:pt idx="0">
                  <c:v>一般公共预算财政拨款收入</c:v>
                </c:pt>
                <c:pt idx="1">
                  <c:v>政府性基金预算财政拨款收入</c:v>
                </c:pt>
                <c:pt idx="2">
                  <c:v>国有资本经营预算财政拨款收入</c:v>
                </c:pt>
                <c:pt idx="3">
                  <c:v>事业收入</c:v>
                </c:pt>
                <c:pt idx="4">
                  <c:v>附属单位上缴收入</c:v>
                </c:pt>
                <c:pt idx="5">
                  <c:v>其他收入</c:v>
                </c:pt>
              </c:strCache>
            </c:strRef>
          </c:cat>
          <c:val>
            <c:numRef>
              <c:f>Sheet1!$D$3:$D$8</c:f>
              <c:numCache>
                <c:formatCode>0.00%</c:formatCode>
                <c:ptCount val="6"/>
                <c:pt idx="0">
                  <c:v>0.7016</c:v>
                </c:pt>
                <c:pt idx="1">
                  <c:v>0.2984</c:v>
                </c:pt>
                <c:pt idx="2" c:formatCode="0%">
                  <c:v>0</c:v>
                </c:pt>
                <c:pt idx="3" c:formatCode="0%">
                  <c:v>0</c:v>
                </c:pt>
                <c:pt idx="4" c:formatCode="0%">
                  <c:v>0</c:v>
                </c:pt>
                <c:pt idx="5" c:formatCode="0%">
                  <c:v>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45161290322581"/>
          <c:y val="0.299169379719664"/>
          <c:w val="0.332398316970547"/>
          <c:h val="0.664820843821475"/>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eb51918a-9d0a-4868-92de-aaaa20f5f621}"/>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3    </a:t>
            </a:r>
            <a:r>
              <a:rPr lang="zh-CN" altLang="en-US"/>
              <a:t>支出决算结构图</a:t>
            </a:r>
            <a:endParaRPr lang="zh-CN" altLang="en-US"/>
          </a:p>
        </c:rich>
      </c:tx>
      <c:layout/>
      <c:overlay val="0"/>
      <c:spPr>
        <a:noFill/>
        <a:ln w="25400">
          <a:noFill/>
        </a:ln>
      </c:spPr>
    </c:title>
    <c:autoTitleDeleted val="0"/>
    <c:plotArea>
      <c:layout/>
      <c:pieChart>
        <c:varyColors val="1"/>
        <c:ser>
          <c:idx val="0"/>
          <c:order val="0"/>
          <c:spPr>
            <a:solidFill>
              <a:srgbClr val="9999FF"/>
            </a:solidFill>
            <a:ln w="12700">
              <a:solidFill>
                <a:srgbClr val="000000">
                  <a:alpha val="100000"/>
                </a:srgbClr>
              </a:solidFill>
              <a:prstDash val="solid"/>
            </a:ln>
            <a:effectLst/>
          </c:spPr>
          <c:explosion val="0"/>
          <c:dPt>
            <c:idx val="0"/>
            <c:bubble3D val="0"/>
            <c:spPr>
              <a:solidFill>
                <a:srgbClr val="9999FF"/>
              </a:solidFill>
              <a:ln w="12700">
                <a:solidFill>
                  <a:srgbClr val="000000">
                    <a:alpha val="100000"/>
                  </a:srgbClr>
                </a:solidFill>
                <a:prstDash val="solid"/>
              </a:ln>
              <a:effectLst/>
            </c:spPr>
          </c:dPt>
          <c:dPt>
            <c:idx val="1"/>
            <c:bubble3D val="0"/>
            <c:spPr>
              <a:solidFill>
                <a:srgbClr val="993366"/>
              </a:solidFill>
              <a:ln w="12700">
                <a:solidFill>
                  <a:srgbClr val="000000">
                    <a:alpha val="100000"/>
                  </a:srgbClr>
                </a:solidFill>
                <a:prstDash val="solid"/>
              </a:ln>
              <a:effectLst/>
            </c:spPr>
          </c:dPt>
          <c:dPt>
            <c:idx val="2"/>
            <c:bubble3D val="0"/>
            <c:spPr>
              <a:solidFill>
                <a:srgbClr val="FFFFCC"/>
              </a:solidFill>
              <a:ln w="12700">
                <a:solidFill>
                  <a:srgbClr val="000000">
                    <a:alpha val="100000"/>
                  </a:srgbClr>
                </a:solidFill>
                <a:prstDash val="solid"/>
              </a:ln>
              <a:effectLst/>
            </c:spPr>
          </c:dPt>
          <c:dPt>
            <c:idx val="3"/>
            <c:bubble3D val="0"/>
            <c:spPr>
              <a:solidFill>
                <a:srgbClr val="CCFFFF"/>
              </a:solidFill>
              <a:ln w="12700">
                <a:solidFill>
                  <a:srgbClr val="000000">
                    <a:alpha val="100000"/>
                  </a:srgbClr>
                </a:solidFill>
                <a:prstDash val="solid"/>
              </a:ln>
              <a:effectLst/>
            </c:spPr>
          </c:dPt>
          <c:dPt>
            <c:idx val="4"/>
            <c:bubble3D val="0"/>
            <c:spPr>
              <a:solidFill>
                <a:srgbClr val="660066"/>
              </a:solidFill>
              <a:ln w="12700">
                <a:solidFill>
                  <a:srgbClr val="000000">
                    <a:alpha val="100000"/>
                  </a:srgbClr>
                </a:solidFill>
                <a:prstDash val="solid"/>
              </a:ln>
              <a:effectLst/>
            </c:spPr>
          </c:dPt>
          <c:dLbls>
            <c:dLbl>
              <c:idx val="2"/>
              <c:layout/>
              <c:numFmt formatCode="0.0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extLst>
            </c:dLbl>
            <c:dLbl>
              <c:idx val="4"/>
              <c:layout/>
              <c:numFmt formatCode="0.0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extLst>
            </c:dLbl>
            <c:numFmt formatCode="0.00%" sourceLinked="0"/>
            <c:spPr>
              <a:noFill/>
              <a:ln w="25400">
                <a:noFill/>
              </a:ln>
              <a:effectLst/>
            </c:spPr>
            <c:txPr>
              <a:bodyPr rot="0" spcFirstLastPara="0" vertOverflow="ellipsis" vert="horz" wrap="square" lIns="38100" tIns="19050" rIns="38100" bIns="19050" anchor="ctr" anchorCtr="1"/>
              <a:lstStyle/>
              <a:p>
                <a:pPr>
                  <a:defRPr lang="zh-CN" sz="10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Sheet1!$B$34:$B$38</c:f>
              <c:strCache>
                <c:ptCount val="5"/>
                <c:pt idx="0">
                  <c:v>基本支出</c:v>
                </c:pt>
                <c:pt idx="1">
                  <c:v>项目支出</c:v>
                </c:pt>
                <c:pt idx="2">
                  <c:v>上缴上级支出</c:v>
                </c:pt>
                <c:pt idx="3">
                  <c:v>经营支出</c:v>
                </c:pt>
                <c:pt idx="4">
                  <c:v>对附属单位补助支出</c:v>
                </c:pt>
              </c:strCache>
            </c:strRef>
          </c:cat>
          <c:val>
            <c:numRef>
              <c:f>Sheet1!$C$34:$C$38</c:f>
              <c:numCache>
                <c:formatCode>General</c:formatCode>
                <c:ptCount val="5"/>
                <c:pt idx="0">
                  <c:v>2117.46</c:v>
                </c:pt>
                <c:pt idx="1">
                  <c:v>11282.2</c:v>
                </c:pt>
                <c:pt idx="2">
                  <c:v>0</c:v>
                </c:pt>
                <c:pt idx="3">
                  <c:v>0</c:v>
                </c:pt>
                <c:pt idx="4">
                  <c:v>0</c:v>
                </c:pt>
              </c:numCache>
            </c:numRef>
          </c:val>
        </c:ser>
        <c:ser>
          <c:idx val="1"/>
          <c:order val="1"/>
          <c:spPr>
            <a:solidFill>
              <a:srgbClr val="993366"/>
            </a:solidFill>
            <a:ln w="12700">
              <a:solidFill>
                <a:srgbClr val="000000"/>
              </a:solidFill>
              <a:prstDash val="solid"/>
            </a:ln>
            <a:effectLst/>
          </c:spPr>
          <c:explosion val="0"/>
          <c:dPt>
            <c:idx val="0"/>
            <c:bubble3D val="0"/>
            <c:spPr>
              <a:solidFill>
                <a:srgbClr val="9999FF"/>
              </a:solidFill>
              <a:ln w="12700">
                <a:solidFill>
                  <a:srgbClr val="000000"/>
                </a:solidFill>
                <a:prstDash val="solid"/>
              </a:ln>
              <a:effectLst/>
            </c:spPr>
          </c:dPt>
          <c:dPt>
            <c:idx val="1"/>
            <c:bubble3D val="0"/>
            <c:spPr>
              <a:solidFill>
                <a:srgbClr val="993366"/>
              </a:solidFill>
              <a:ln w="12700">
                <a:solidFill>
                  <a:srgbClr val="000000"/>
                </a:solidFill>
                <a:prstDash val="solid"/>
              </a:ln>
              <a:effectLst/>
            </c:spPr>
          </c:dPt>
          <c:dPt>
            <c:idx val="2"/>
            <c:bubble3D val="0"/>
            <c:spPr>
              <a:solidFill>
                <a:srgbClr val="FFFFCC"/>
              </a:solidFill>
              <a:ln w="12700">
                <a:solidFill>
                  <a:srgbClr val="000000"/>
                </a:solidFill>
                <a:prstDash val="solid"/>
              </a:ln>
              <a:effectLst/>
            </c:spPr>
          </c:dPt>
          <c:dPt>
            <c:idx val="3"/>
            <c:bubble3D val="0"/>
            <c:spPr>
              <a:solidFill>
                <a:srgbClr val="CCFFFF"/>
              </a:solidFill>
              <a:ln w="12700">
                <a:solidFill>
                  <a:srgbClr val="000000"/>
                </a:solidFill>
                <a:prstDash val="solid"/>
              </a:ln>
              <a:effectLst/>
            </c:spPr>
          </c:dPt>
          <c:dPt>
            <c:idx val="4"/>
            <c:bubble3D val="0"/>
            <c:spPr>
              <a:solidFill>
                <a:srgbClr val="660066"/>
              </a:solidFill>
              <a:ln w="12700">
                <a:solidFill>
                  <a:srgbClr val="000000"/>
                </a:solidFill>
                <a:prstDash val="solid"/>
              </a:ln>
              <a:effectLst/>
            </c:spPr>
          </c:dPt>
          <c:dLbls>
            <c:delete val="1"/>
          </c:dLbls>
          <c:cat>
            <c:strRef>
              <c:f>Sheet1!$B$34:$B$38</c:f>
              <c:strCache>
                <c:ptCount val="5"/>
                <c:pt idx="0">
                  <c:v>基本支出</c:v>
                </c:pt>
                <c:pt idx="1">
                  <c:v>项目支出</c:v>
                </c:pt>
                <c:pt idx="2">
                  <c:v>上缴上级支出</c:v>
                </c:pt>
                <c:pt idx="3">
                  <c:v>经营支出</c:v>
                </c:pt>
                <c:pt idx="4">
                  <c:v>对附属单位补助支出</c:v>
                </c:pt>
              </c:strCache>
            </c:strRef>
          </c:cat>
          <c:val>
            <c:numRef>
              <c:f>Sheet1!$D$34:$D$38</c:f>
              <c:numCache>
                <c:formatCode>0.00%</c:formatCode>
                <c:ptCount val="5"/>
                <c:pt idx="0">
                  <c:v>0.158</c:v>
                </c:pt>
                <c:pt idx="1">
                  <c:v>0.842</c:v>
                </c:pt>
                <c:pt idx="2">
                  <c:v>0</c:v>
                </c:pt>
                <c:pt idx="3">
                  <c:v>0</c:v>
                </c:pt>
                <c:pt idx="4">
                  <c:v>0</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46165590902838"/>
          <c:y val="0.468144677524289"/>
          <c:w val="0.235704644602953"/>
          <c:h val="0.299169379719664"/>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72d81d77-4248-46c0-a81e-3188f47e3f9d}"/>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4    </a:t>
            </a:r>
            <a:r>
              <a:rPr lang="zh-CN" altLang="en-US"/>
              <a:t>财政拨款收、支总计决算变动情况</a:t>
            </a:r>
            <a:endParaRPr lang="zh-CN" altLang="en-US"/>
          </a:p>
        </c:rich>
      </c:tx>
      <c:layout/>
      <c:overlay val="0"/>
      <c:spPr>
        <a:noFill/>
        <a:ln w="25400">
          <a:noFill/>
        </a:ln>
      </c:spPr>
    </c:title>
    <c:autoTitleDeleted val="0"/>
    <c:plotArea>
      <c:layout/>
      <c:barChart>
        <c:barDir val="col"/>
        <c:grouping val="clustered"/>
        <c:varyColors val="0"/>
        <c:ser>
          <c:idx val="0"/>
          <c:order val="0"/>
          <c:tx>
            <c:strRef>
              <c:f>Sheet1!$A$168</c:f>
              <c:strCache>
                <c:ptCount val="1"/>
                <c:pt idx="0">
                  <c:v>财政拨款收入、支出总计</c:v>
                </c:pt>
              </c:strCache>
            </c:strRef>
          </c:tx>
          <c:spPr>
            <a:solidFill>
              <a:srgbClr val="9999FF"/>
            </a:solidFill>
            <a:ln w="12700">
              <a:solidFill>
                <a:srgbClr val="000000">
                  <a:alpha val="100000"/>
                </a:srgbClr>
              </a:solidFill>
              <a:prstDash val="solid"/>
            </a:ln>
            <a:effectLst/>
          </c:spPr>
          <c:invertIfNegative val="0"/>
          <c:dLbls>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Sheet1!$B$167:$C$167</c:f>
              <c:strCache>
                <c:ptCount val="2"/>
                <c:pt idx="0">
                  <c:v>2020年</c:v>
                </c:pt>
                <c:pt idx="1">
                  <c:v>2019年</c:v>
                </c:pt>
              </c:strCache>
            </c:strRef>
          </c:cat>
          <c:val>
            <c:numRef>
              <c:f>Sheet1!$B$168:$C$168</c:f>
              <c:numCache>
                <c:formatCode>General</c:formatCode>
                <c:ptCount val="2"/>
                <c:pt idx="0">
                  <c:v>30518.85</c:v>
                </c:pt>
                <c:pt idx="1">
                  <c:v>50776.06</c:v>
                </c:pt>
              </c:numCache>
            </c:numRef>
          </c:val>
        </c:ser>
        <c:dLbls>
          <c:showLegendKey val="0"/>
          <c:showVal val="0"/>
          <c:showCatName val="0"/>
          <c:showSerName val="0"/>
          <c:showPercent val="0"/>
          <c:showBubbleSize val="0"/>
        </c:dLbls>
        <c:gapWidth val="150"/>
        <c:axId val="317050368"/>
        <c:axId val="324644800"/>
      </c:barChart>
      <c:catAx>
        <c:axId val="317050368"/>
        <c:scaling>
          <c:orientation val="minMax"/>
        </c:scaling>
        <c:delete val="0"/>
        <c:axPos val="b"/>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24644800"/>
        <c:crosses val="autoZero"/>
        <c:auto val="1"/>
        <c:lblAlgn val="ctr"/>
        <c:lblOffset val="100"/>
        <c:noMultiLvlLbl val="0"/>
      </c:catAx>
      <c:valAx>
        <c:axId val="324644800"/>
        <c:scaling>
          <c:orientation val="minMax"/>
        </c:scaling>
        <c:delete val="0"/>
        <c:axPos val="l"/>
        <c:majorGridlines>
          <c:spPr>
            <a:ln w="3175" cap="flat" cmpd="sng" algn="ctr">
              <a:solidFill>
                <a:srgbClr val="000000">
                  <a:alpha val="100000"/>
                </a:srgbClr>
              </a:solidFill>
              <a:prstDash val="solid"/>
              <a:round/>
            </a:ln>
            <a:effectLst/>
          </c:spPr>
        </c:majorGridlines>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7050368"/>
        <c:crosses val="autoZero"/>
        <c:crossBetween val="between"/>
      </c:valAx>
      <c:spPr>
        <a:solidFill>
          <a:srgbClr val="C0C0C0">
            <a:alpha val="100000"/>
          </a:srgbClr>
        </a:solidFill>
        <a:ln w="12700">
          <a:solidFill>
            <a:srgbClr val="808080">
              <a:alpha val="100000"/>
            </a:srgbClr>
          </a:solidFill>
          <a:prstDash val="solid"/>
        </a:ln>
        <a:effectLst/>
      </c:spPr>
    </c:plotArea>
    <c:legend>
      <c:legendPos val="r"/>
      <c:layout>
        <c:manualLayout>
          <c:xMode val="edge"/>
          <c:yMode val="edge"/>
          <c:x val="0.699280575539568"/>
          <c:y val="0.533149171270718"/>
          <c:w val="0.289208633093525"/>
          <c:h val="0.0607734806629834"/>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695ac2a6-9f75-4e96-90d3-746163c66721}"/>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5      </a:t>
            </a:r>
            <a:r>
              <a:rPr lang="zh-CN" altLang="en-US"/>
              <a:t>一般公共预算财政拨款支出决算变动情况</a:t>
            </a:r>
            <a:endParaRPr lang="zh-CN" altLang="en-US"/>
          </a:p>
        </c:rich>
      </c:tx>
      <c:layout/>
      <c:overlay val="0"/>
      <c:spPr>
        <a:noFill/>
        <a:ln w="25400">
          <a:noFill/>
        </a:ln>
      </c:spPr>
    </c:title>
    <c:autoTitleDeleted val="0"/>
    <c:plotArea>
      <c:layout/>
      <c:barChart>
        <c:barDir val="col"/>
        <c:grouping val="clustered"/>
        <c:varyColors val="0"/>
        <c:ser>
          <c:idx val="0"/>
          <c:order val="0"/>
          <c:tx>
            <c:strRef>
              <c:f>Sheet1!$A$85</c:f>
              <c:strCache>
                <c:ptCount val="1"/>
                <c:pt idx="0">
                  <c:v>一般公共预算财政拨款支出</c:v>
                </c:pt>
              </c:strCache>
            </c:strRef>
          </c:tx>
          <c:spPr>
            <a:solidFill>
              <a:srgbClr val="9999FF"/>
            </a:solidFill>
            <a:ln w="12700">
              <a:solidFill>
                <a:srgbClr val="000000">
                  <a:alpha val="100000"/>
                </a:srgbClr>
              </a:solidFill>
              <a:prstDash val="solid"/>
            </a:ln>
            <a:effectLst/>
          </c:spPr>
          <c:invertIfNegative val="0"/>
          <c:dLbls>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ext>
            </c:extLst>
          </c:dLbls>
          <c:cat>
            <c:strRef>
              <c:f>Sheet1!$B$84:$C$84</c:f>
              <c:strCache>
                <c:ptCount val="2"/>
                <c:pt idx="0">
                  <c:v>2020年</c:v>
                </c:pt>
                <c:pt idx="1">
                  <c:v>2019年</c:v>
                </c:pt>
              </c:strCache>
            </c:strRef>
          </c:cat>
          <c:val>
            <c:numRef>
              <c:f>Sheet1!$B$85:$C$85</c:f>
              <c:numCache>
                <c:formatCode>General</c:formatCode>
                <c:ptCount val="2"/>
                <c:pt idx="0">
                  <c:v>8200.59</c:v>
                </c:pt>
                <c:pt idx="1">
                  <c:v>48762.39</c:v>
                </c:pt>
              </c:numCache>
            </c:numRef>
          </c:val>
        </c:ser>
        <c:dLbls>
          <c:showLegendKey val="0"/>
          <c:showVal val="0"/>
          <c:showCatName val="0"/>
          <c:showSerName val="0"/>
          <c:showPercent val="0"/>
          <c:showBubbleSize val="0"/>
        </c:dLbls>
        <c:gapWidth val="150"/>
        <c:axId val="316763648"/>
        <c:axId val="324646528"/>
      </c:barChart>
      <c:catAx>
        <c:axId val="316763648"/>
        <c:scaling>
          <c:orientation val="minMax"/>
        </c:scaling>
        <c:delete val="0"/>
        <c:axPos val="b"/>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24646528"/>
        <c:crosses val="autoZero"/>
        <c:auto val="1"/>
        <c:lblAlgn val="ctr"/>
        <c:lblOffset val="100"/>
        <c:noMultiLvlLbl val="0"/>
      </c:catAx>
      <c:valAx>
        <c:axId val="324646528"/>
        <c:scaling>
          <c:orientation val="minMax"/>
        </c:scaling>
        <c:delete val="0"/>
        <c:axPos val="l"/>
        <c:majorGridlines>
          <c:spPr>
            <a:ln w="3175" cap="flat" cmpd="sng" algn="ctr">
              <a:solidFill>
                <a:srgbClr val="000000">
                  <a:alpha val="100000"/>
                </a:srgbClr>
              </a:solidFill>
              <a:prstDash val="solid"/>
              <a:round/>
            </a:ln>
            <a:effectLst/>
          </c:spPr>
        </c:majorGridlines>
        <c:numFmt formatCode="General" sourceLinked="1"/>
        <c:majorTickMark val="in"/>
        <c:minorTickMark val="none"/>
        <c:tickLblPos val="nextTo"/>
        <c:spPr>
          <a:noFill/>
          <a:ln w="3175" cap="flat" cmpd="sng" algn="ctr">
            <a:solidFill>
              <a:srgbClr val="000000"/>
            </a:solidFill>
            <a:prstDash val="solid"/>
            <a:round/>
          </a:ln>
          <a:effectLst/>
        </c:spPr>
        <c:txPr>
          <a:bodyPr rot="0" spcFirstLastPara="0" vertOverflow="ellipsis" vert="horz" wrap="square"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crossAx val="316763648"/>
        <c:crosses val="autoZero"/>
        <c:crossBetween val="between"/>
      </c:valAx>
      <c:spPr>
        <a:solidFill>
          <a:srgbClr val="C0C0C0">
            <a:alpha val="100000"/>
          </a:srgbClr>
        </a:solidFill>
        <a:ln w="12700">
          <a:solidFill>
            <a:srgbClr val="808080">
              <a:alpha val="100000"/>
            </a:srgbClr>
          </a:solidFill>
          <a:prstDash val="solid"/>
        </a:ln>
        <a:effectLst/>
      </c:spPr>
    </c:plotArea>
    <c:legend>
      <c:legendPos val="r"/>
      <c:layout>
        <c:manualLayout>
          <c:xMode val="edge"/>
          <c:yMode val="edge"/>
          <c:x val="0.676596681899216"/>
          <c:y val="0.534626761906437"/>
          <c:w val="0.313475611529825"/>
          <c:h val="0.0609419106836353"/>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cc2ef775-257c-43eb-8d2c-b833a181ffc4}"/>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25"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图</a:t>
            </a:r>
            <a:r>
              <a:rPr lang="en-US" altLang="zh-CN"/>
              <a:t>6    </a:t>
            </a:r>
            <a:r>
              <a:rPr lang="zh-CN" altLang="en-US"/>
              <a:t>一般公共预算财政拨款支出决算结构</a:t>
            </a:r>
            <a:endParaRPr lang="zh-CN" altLang="en-US"/>
          </a:p>
        </c:rich>
      </c:tx>
      <c:layout>
        <c:manualLayout>
          <c:xMode val="edge"/>
          <c:yMode val="edge"/>
          <c:x val="0.23925479618915"/>
          <c:y val="0.0179802217560683"/>
        </c:manualLayout>
      </c:layout>
      <c:overlay val="0"/>
      <c:spPr>
        <a:noFill/>
        <a:ln w="25400">
          <a:noFill/>
        </a:ln>
      </c:spPr>
    </c:title>
    <c:autoTitleDeleted val="0"/>
    <c:plotArea>
      <c:layout/>
      <c:pieChart>
        <c:varyColors val="1"/>
        <c:ser>
          <c:idx val="0"/>
          <c:order val="0"/>
          <c:spPr>
            <a:solidFill>
              <a:srgbClr val="9999FF"/>
            </a:solidFill>
            <a:ln w="12700">
              <a:solidFill>
                <a:srgbClr val="000000">
                  <a:alpha val="100000"/>
                </a:srgbClr>
              </a:solidFill>
              <a:prstDash val="solid"/>
            </a:ln>
            <a:effectLst/>
          </c:spPr>
          <c:explosion val="0"/>
          <c:dPt>
            <c:idx val="0"/>
            <c:bubble3D val="0"/>
            <c:spPr>
              <a:solidFill>
                <a:srgbClr val="9999FF"/>
              </a:solidFill>
              <a:ln w="12700">
                <a:solidFill>
                  <a:srgbClr val="000000">
                    <a:alpha val="100000"/>
                  </a:srgbClr>
                </a:solidFill>
                <a:prstDash val="solid"/>
              </a:ln>
              <a:effectLst/>
            </c:spPr>
          </c:dPt>
          <c:dPt>
            <c:idx val="1"/>
            <c:bubble3D val="0"/>
            <c:spPr>
              <a:solidFill>
                <a:srgbClr val="993366"/>
              </a:solidFill>
              <a:ln w="12700">
                <a:solidFill>
                  <a:srgbClr val="000000">
                    <a:alpha val="100000"/>
                  </a:srgbClr>
                </a:solidFill>
                <a:prstDash val="solid"/>
              </a:ln>
              <a:effectLst/>
            </c:spPr>
          </c:dPt>
          <c:dPt>
            <c:idx val="2"/>
            <c:bubble3D val="0"/>
            <c:spPr>
              <a:solidFill>
                <a:srgbClr val="FFFFCC"/>
              </a:solidFill>
              <a:ln w="12700">
                <a:solidFill>
                  <a:srgbClr val="000000">
                    <a:alpha val="100000"/>
                  </a:srgbClr>
                </a:solidFill>
                <a:prstDash val="solid"/>
              </a:ln>
              <a:effectLst/>
            </c:spPr>
          </c:dPt>
          <c:dPt>
            <c:idx val="3"/>
            <c:bubble3D val="0"/>
            <c:spPr>
              <a:solidFill>
                <a:srgbClr val="CCFFFF"/>
              </a:solidFill>
              <a:ln w="12700">
                <a:solidFill>
                  <a:srgbClr val="000000">
                    <a:alpha val="100000"/>
                  </a:srgbClr>
                </a:solidFill>
                <a:prstDash val="solid"/>
              </a:ln>
              <a:effectLst/>
            </c:spPr>
          </c:dPt>
          <c:dPt>
            <c:idx val="4"/>
            <c:bubble3D val="0"/>
            <c:spPr>
              <a:solidFill>
                <a:srgbClr val="9999FF"/>
              </a:solidFill>
              <a:ln w="12700">
                <a:solidFill>
                  <a:srgbClr val="000000">
                    <a:alpha val="100000"/>
                  </a:srgbClr>
                </a:solidFill>
                <a:prstDash val="solid"/>
              </a:ln>
              <a:effectLst/>
            </c:spPr>
          </c:dPt>
          <c:dPt>
            <c:idx val="5"/>
            <c:bubble3D val="0"/>
            <c:spPr>
              <a:solidFill>
                <a:srgbClr val="9999FF"/>
              </a:solidFill>
              <a:ln w="12700">
                <a:solidFill>
                  <a:srgbClr val="000000">
                    <a:alpha val="100000"/>
                  </a:srgbClr>
                </a:solidFill>
                <a:prstDash val="solid"/>
              </a:ln>
              <a:effectLst/>
            </c:spPr>
          </c:dPt>
          <c:dPt>
            <c:idx val="6"/>
            <c:bubble3D val="0"/>
            <c:spPr>
              <a:solidFill>
                <a:srgbClr val="9999FF"/>
              </a:solidFill>
              <a:ln w="12700">
                <a:solidFill>
                  <a:srgbClr val="000000">
                    <a:alpha val="100000"/>
                  </a:srgbClr>
                </a:solidFill>
                <a:prstDash val="solid"/>
              </a:ln>
              <a:effectLst/>
            </c:spPr>
          </c:dPt>
          <c:dLbls>
            <c:dLbl>
              <c:idx val="1"/>
              <c:layout/>
              <c:numFmt formatCode="0.0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extLst>
            </c:dLbl>
            <c:dLbl>
              <c:idx val="2"/>
              <c:layout/>
              <c:numFmt formatCode="0.0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extLst>
            </c:dLbl>
            <c:dLbl>
              <c:idx val="3"/>
              <c:layout/>
              <c:numFmt formatCode="0.0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extLst>
                <c:ext xmlns:c15="http://schemas.microsoft.com/office/drawing/2012/chart" uri="{CE6537A1-D6FC-4f65-9D91-7224C49458BB}"/>
              </c:extLst>
            </c:dLbl>
            <c:numFmt formatCode="0.00%" sourceLinked="0"/>
            <c:spPr>
              <a:noFill/>
              <a:ln w="25400">
                <a:noFill/>
              </a:ln>
              <a:effectLst/>
            </c:spPr>
            <c:txPr>
              <a:bodyPr rot="0" spcFirstLastPara="0" vertOverflow="ellipsis" vert="horz" wrap="square" lIns="38100" tIns="19050" rIns="38100" bIns="19050" anchor="ctr" anchorCtr="1"/>
              <a:lstStyle/>
              <a:p>
                <a:pPr>
                  <a:defRPr lang="zh-CN" sz="1025"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'[Microsoft Word 中的图表]Sheet1'!$A$110:$A$116</c:f>
              <c:strCache>
                <c:ptCount val="7"/>
                <c:pt idx="0">
                  <c:v>社会保障和就业支出</c:v>
                </c:pt>
                <c:pt idx="1">
                  <c:v>卫生健康支出</c:v>
                </c:pt>
                <c:pt idx="2">
                  <c:v>节能环保支出</c:v>
                </c:pt>
                <c:pt idx="3">
                  <c:v>农林水支出</c:v>
                </c:pt>
                <c:pt idx="4">
                  <c:v>自然资源海洋气象等支出</c:v>
                </c:pt>
                <c:pt idx="5">
                  <c:v>住房保障支出</c:v>
                </c:pt>
                <c:pt idx="6">
                  <c:v>灾害防治及应急管理支出</c:v>
                </c:pt>
              </c:strCache>
            </c:strRef>
          </c:cat>
          <c:val>
            <c:numRef>
              <c:f>'[Microsoft Word 中的图表]Sheet1'!$B$110:$B$116</c:f>
              <c:numCache>
                <c:formatCode>General</c:formatCode>
                <c:ptCount val="7"/>
                <c:pt idx="0">
                  <c:v>253.85</c:v>
                </c:pt>
                <c:pt idx="1">
                  <c:v>1</c:v>
                </c:pt>
                <c:pt idx="2">
                  <c:v>597.26</c:v>
                </c:pt>
                <c:pt idx="3">
                  <c:v>3040.01</c:v>
                </c:pt>
                <c:pt idx="4">
                  <c:v>3023.82</c:v>
                </c:pt>
                <c:pt idx="5">
                  <c:v>182.44</c:v>
                </c:pt>
                <c:pt idx="6">
                  <c:v>1102.21</c:v>
                </c:pt>
              </c:numCache>
            </c:numRef>
          </c:val>
        </c:ser>
        <c:ser>
          <c:idx val="1"/>
          <c:order val="1"/>
          <c:spPr>
            <a:solidFill>
              <a:srgbClr val="993366"/>
            </a:solidFill>
            <a:ln w="12700">
              <a:solidFill>
                <a:srgbClr val="000000"/>
              </a:solidFill>
              <a:prstDash val="solid"/>
            </a:ln>
            <a:effectLst/>
          </c:spPr>
          <c:explosion val="0"/>
          <c:dPt>
            <c:idx val="0"/>
            <c:bubble3D val="0"/>
            <c:spPr>
              <a:solidFill>
                <a:srgbClr val="9999FF"/>
              </a:solidFill>
              <a:ln w="12700">
                <a:solidFill>
                  <a:srgbClr val="000000"/>
                </a:solidFill>
                <a:prstDash val="solid"/>
              </a:ln>
              <a:effectLst/>
            </c:spPr>
          </c:dPt>
          <c:dPt>
            <c:idx val="1"/>
            <c:bubble3D val="0"/>
            <c:spPr>
              <a:solidFill>
                <a:srgbClr val="993366"/>
              </a:solidFill>
              <a:ln w="12700">
                <a:solidFill>
                  <a:srgbClr val="000000"/>
                </a:solidFill>
                <a:prstDash val="solid"/>
              </a:ln>
              <a:effectLst/>
            </c:spPr>
          </c:dPt>
          <c:dPt>
            <c:idx val="2"/>
            <c:bubble3D val="0"/>
            <c:spPr>
              <a:solidFill>
                <a:srgbClr val="FFFFCC"/>
              </a:solidFill>
              <a:ln w="12700">
                <a:solidFill>
                  <a:srgbClr val="000000"/>
                </a:solidFill>
                <a:prstDash val="solid"/>
              </a:ln>
              <a:effectLst/>
            </c:spPr>
          </c:dPt>
          <c:dPt>
            <c:idx val="3"/>
            <c:bubble3D val="0"/>
            <c:spPr>
              <a:solidFill>
                <a:srgbClr val="CCFFFF"/>
              </a:solidFill>
              <a:ln w="12700">
                <a:solidFill>
                  <a:srgbClr val="000000"/>
                </a:solidFill>
                <a:prstDash val="solid"/>
              </a:ln>
              <a:effectLst/>
            </c:spPr>
          </c:dPt>
          <c:dPt>
            <c:idx val="4"/>
            <c:bubble3D val="0"/>
            <c:spPr>
              <a:solidFill>
                <a:srgbClr val="993366"/>
              </a:solidFill>
              <a:ln w="12700">
                <a:solidFill>
                  <a:srgbClr val="000000"/>
                </a:solidFill>
                <a:prstDash val="solid"/>
              </a:ln>
              <a:effectLst/>
            </c:spPr>
          </c:dPt>
          <c:dPt>
            <c:idx val="5"/>
            <c:bubble3D val="0"/>
            <c:spPr>
              <a:solidFill>
                <a:srgbClr val="993366"/>
              </a:solidFill>
              <a:ln w="12700">
                <a:solidFill>
                  <a:srgbClr val="000000"/>
                </a:solidFill>
                <a:prstDash val="solid"/>
              </a:ln>
              <a:effectLst/>
            </c:spPr>
          </c:dPt>
          <c:dPt>
            <c:idx val="6"/>
            <c:bubble3D val="0"/>
            <c:spPr>
              <a:solidFill>
                <a:srgbClr val="993366"/>
              </a:solidFill>
              <a:ln w="12700">
                <a:solidFill>
                  <a:srgbClr val="000000"/>
                </a:solidFill>
                <a:prstDash val="solid"/>
              </a:ln>
              <a:effectLst/>
            </c:spPr>
          </c:dPt>
          <c:dLbls>
            <c:delete val="1"/>
          </c:dLbls>
          <c:cat>
            <c:strRef>
              <c:f>'[Microsoft Word 中的图表]Sheet1'!$A$110:$A$116</c:f>
              <c:strCache>
                <c:ptCount val="7"/>
                <c:pt idx="0">
                  <c:v>社会保障和就业支出</c:v>
                </c:pt>
                <c:pt idx="1">
                  <c:v>卫生健康支出</c:v>
                </c:pt>
                <c:pt idx="2">
                  <c:v>节能环保支出</c:v>
                </c:pt>
                <c:pt idx="3">
                  <c:v>农林水支出</c:v>
                </c:pt>
                <c:pt idx="4">
                  <c:v>自然资源海洋气象等支出</c:v>
                </c:pt>
                <c:pt idx="5">
                  <c:v>住房保障支出</c:v>
                </c:pt>
                <c:pt idx="6">
                  <c:v>灾害防治及应急管理支出</c:v>
                </c:pt>
              </c:strCache>
            </c:strRef>
          </c:cat>
          <c:val>
            <c:numRef>
              <c:f>'[Microsoft Word 中的图表]Sheet1'!$C$110:$C$116</c:f>
              <c:numCache>
                <c:formatCode>0.00%</c:formatCode>
                <c:ptCount val="7"/>
                <c:pt idx="0">
                  <c:v>0.031</c:v>
                </c:pt>
                <c:pt idx="1">
                  <c:v>0.0001</c:v>
                </c:pt>
                <c:pt idx="2">
                  <c:v>0.0728</c:v>
                </c:pt>
                <c:pt idx="3">
                  <c:v>0.3707</c:v>
                </c:pt>
                <c:pt idx="4">
                  <c:v>0.3687</c:v>
                </c:pt>
                <c:pt idx="5">
                  <c:v>0.0223</c:v>
                </c:pt>
                <c:pt idx="6">
                  <c:v>0.1344</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745856856613147"/>
          <c:y val="0.397753280839895"/>
          <c:w val="0.237569220995299"/>
          <c:h val="0.573783007461146"/>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8629586d-26ed-4b66-a7ef-a34b3e81b103}"/>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a:defRPr lang="zh-CN" sz="14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sz="1400" b="0" i="0" u="none" strike="noStrike" baseline="0">
                <a:solidFill>
                  <a:srgbClr val="000000"/>
                </a:solidFill>
                <a:latin typeface="宋体" panose="02010600030101010101" charset="-122"/>
                <a:ea typeface="宋体" panose="02010600030101010101" charset="-122"/>
              </a:rPr>
              <a:t>图</a:t>
            </a:r>
            <a:r>
              <a:rPr lang="zh-CN" altLang="en-US" sz="1400" b="0" i="0" u="none" strike="noStrike" baseline="0">
                <a:solidFill>
                  <a:srgbClr val="333333"/>
                </a:solidFill>
                <a:latin typeface="Arial" panose="020B0604020202020204" pitchFamily="2"/>
                <a:ea typeface="宋体" panose="02010600030101010101" charset="-122"/>
                <a:cs typeface="Arial" panose="020B0604020202020204" pitchFamily="2"/>
              </a:rPr>
              <a:t>7</a:t>
            </a:r>
            <a:r>
              <a:rPr lang="zh-CN" altLang="en-US" sz="1400" b="0" i="0" u="none" strike="noStrike" baseline="0">
                <a:solidFill>
                  <a:srgbClr val="000000"/>
                </a:solidFill>
                <a:latin typeface="宋体" panose="02010600030101010101" charset="-122"/>
                <a:ea typeface="宋体" panose="02010600030101010101" charset="-122"/>
                <a:cs typeface="Arial" panose="020B0604020202020204" pitchFamily="2"/>
              </a:rPr>
              <a:t>  “三公”经费财政拨款支出结构</a:t>
            </a:r>
            <a:endParaRPr lang="zh-CN" altLang="en-US"/>
          </a:p>
        </c:rich>
      </c:tx>
      <c:layout>
        <c:manualLayout>
          <c:xMode val="edge"/>
          <c:yMode val="edge"/>
          <c:x val="0.267368596216539"/>
          <c:y val="0.0221606648199446"/>
        </c:manualLayout>
      </c:layout>
      <c:overlay val="0"/>
      <c:spPr>
        <a:noFill/>
        <a:ln w="25400">
          <a:noFill/>
        </a:ln>
      </c:spPr>
    </c:title>
    <c:autoTitleDeleted val="0"/>
    <c:plotArea>
      <c:layout/>
      <c:pieChart>
        <c:varyColors val="1"/>
        <c:ser>
          <c:idx val="0"/>
          <c:order val="0"/>
          <c:spPr>
            <a:solidFill>
              <a:srgbClr val="9999FF"/>
            </a:solidFill>
            <a:ln w="12700">
              <a:solidFill>
                <a:srgbClr val="000000">
                  <a:alpha val="100000"/>
                </a:srgbClr>
              </a:solidFill>
              <a:prstDash val="solid"/>
            </a:ln>
            <a:effectLst/>
          </c:spPr>
          <c:explosion val="0"/>
          <c:dPt>
            <c:idx val="0"/>
            <c:bubble3D val="0"/>
            <c:spPr>
              <a:solidFill>
                <a:srgbClr val="9999FF"/>
              </a:solidFill>
              <a:ln w="12700">
                <a:solidFill>
                  <a:srgbClr val="000000">
                    <a:alpha val="100000"/>
                  </a:srgbClr>
                </a:solidFill>
                <a:prstDash val="solid"/>
              </a:ln>
              <a:effectLst/>
            </c:spPr>
          </c:dPt>
          <c:dPt>
            <c:idx val="1"/>
            <c:bubble3D val="0"/>
            <c:spPr>
              <a:solidFill>
                <a:srgbClr val="993366"/>
              </a:solidFill>
              <a:ln w="12700">
                <a:solidFill>
                  <a:srgbClr val="000000">
                    <a:alpha val="100000"/>
                  </a:srgbClr>
                </a:solidFill>
                <a:prstDash val="solid"/>
              </a:ln>
              <a:effectLst/>
            </c:spPr>
          </c:dPt>
          <c:dPt>
            <c:idx val="2"/>
            <c:bubble3D val="0"/>
            <c:spPr>
              <a:solidFill>
                <a:srgbClr val="FFFFCC"/>
              </a:solidFill>
              <a:ln w="12700">
                <a:solidFill>
                  <a:srgbClr val="000000">
                    <a:alpha val="100000"/>
                  </a:srgbClr>
                </a:solidFill>
                <a:prstDash val="solid"/>
              </a:ln>
              <a:effectLst/>
            </c:spPr>
          </c:dPt>
          <c:dLbls>
            <c:dLbl>
              <c:idx val="1"/>
              <c:layout>
                <c:manualLayout>
                  <c:x val="-0.095697718260516"/>
                  <c:y val="-0.00683034412365121"/>
                </c:manualLayout>
              </c:layout>
              <c:tx>
                <c:rich>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公务用车购置及运行维护费支出</a:t>
                    </a:r>
                    <a:r>
                      <a:rPr lang="en-US" altLang="zh-CN"/>
                      <a:t>, 1.77, 53.31%</a:t>
                    </a:r>
                    <a:endParaRPr lang="en-US" altLang="zh-CN"/>
                  </a:p>
                </c:rich>
              </c:tx>
              <c:dLblPos val="bestFit"/>
              <c:showLegendKey val="1"/>
              <c:showVal val="1"/>
              <c:showCatName val="1"/>
              <c:showSerName val="0"/>
              <c:showPercent val="1"/>
              <c:showBubbleSize val="0"/>
              <c:extLst>
                <c:ext xmlns:c15="http://schemas.microsoft.com/office/drawing/2012/chart" uri="{CE6537A1-D6FC-4f65-9D91-7224C49458BB}">
                  <c15:layout/>
                </c:ext>
              </c:extLst>
            </c:dLbl>
            <c:dLbl>
              <c:idx val="2"/>
              <c:layout>
                <c:manualLayout>
                  <c:x val="0.0462011089692382"/>
                  <c:y val="0.146972149314669"/>
                </c:manualLayout>
              </c:layout>
              <c:tx>
                <c:rich>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r>
                      <a:rPr lang="zh-CN" altLang="en-US"/>
                      <a:t>公务接待费支出</a:t>
                    </a:r>
                    <a:r>
                      <a:rPr lang="en-US" altLang="zh-CN"/>
                      <a:t>, 1.55, 46.69%</a:t>
                    </a:r>
                    <a:endParaRPr lang="en-US" altLang="zh-CN"/>
                  </a:p>
                </c:rich>
              </c:tx>
              <c:dLblPos val="bestFit"/>
              <c:showLegendKey val="1"/>
              <c:showVal val="1"/>
              <c:showCatName val="1"/>
              <c:showSerName val="0"/>
              <c:showPercent val="1"/>
              <c:showBubbleSize val="0"/>
              <c:extLst>
                <c:ext xmlns:c15="http://schemas.microsoft.com/office/drawing/2012/chart" uri="{CE6537A1-D6FC-4f65-9D91-7224C49458BB}">
                  <c15:layout/>
                </c:ext>
              </c:extLst>
            </c:dLbl>
            <c:numFmt formatCode="0%" sourceLinked="0"/>
            <c:spPr>
              <a:noFill/>
              <a:ln w="25400">
                <a:noFill/>
              </a:ln>
              <a:effectLst/>
            </c:spPr>
            <c:txPr>
              <a:bodyPr rot="0" spcFirstLastPara="0" vertOverflow="ellipsis" vert="horz" wrap="square" lIns="38100" tIns="19050" rIns="38100" bIns="19050" anchor="ctr" anchorCtr="1"/>
              <a:lstStyle/>
              <a:p>
                <a:pPr>
                  <a:defRPr lang="zh-CN" sz="12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dLblPos val="bestFit"/>
            <c:showLegendKey val="1"/>
            <c:showVal val="1"/>
            <c:showCatName val="1"/>
            <c:showSerName val="0"/>
            <c:showPercent val="1"/>
            <c:showBubbleSize val="0"/>
            <c:showLeaderLines val="1"/>
            <c:extLst>
              <c:ext xmlns:c15="http://schemas.microsoft.com/office/drawing/2012/chart" uri="{CE6537A1-D6FC-4f65-9D91-7224C49458BB}">
                <c15:layout/>
                <c15:showLeaderLines val="1"/>
                <c15:leaderLines>
                  <c:spPr>
                    <a:ln w="3175" cap="flat" cmpd="sng" algn="ctr">
                      <a:solidFill>
                        <a:srgbClr val="000000"/>
                      </a:solidFill>
                      <a:prstDash val="solid"/>
                      <a:round/>
                    </a:ln>
                  </c:spPr>
                </c15:leaderLines>
              </c:ext>
            </c:extLst>
          </c:dLbls>
          <c:cat>
            <c:strRef>
              <c:f>Sheet1!$B$138:$B$140</c:f>
              <c:strCache>
                <c:ptCount val="3"/>
                <c:pt idx="0">
                  <c:v>因公出国（境）费支出</c:v>
                </c:pt>
                <c:pt idx="1">
                  <c:v>公务用车购置及运行维护费支出</c:v>
                </c:pt>
                <c:pt idx="2">
                  <c:v>公务接待费支出</c:v>
                </c:pt>
              </c:strCache>
            </c:strRef>
          </c:cat>
          <c:val>
            <c:numRef>
              <c:f>Sheet1!$C$138:$C$140</c:f>
              <c:numCache>
                <c:formatCode>General</c:formatCode>
                <c:ptCount val="3"/>
                <c:pt idx="0">
                  <c:v>0</c:v>
                </c:pt>
                <c:pt idx="1">
                  <c:v>1.77</c:v>
                </c:pt>
                <c:pt idx="2">
                  <c:v>1.55</c:v>
                </c:pt>
              </c:numCache>
            </c:numRef>
          </c:val>
        </c:ser>
        <c:ser>
          <c:idx val="1"/>
          <c:order val="1"/>
          <c:spPr>
            <a:solidFill>
              <a:srgbClr val="993366"/>
            </a:solidFill>
            <a:ln w="12700">
              <a:solidFill>
                <a:srgbClr val="000000"/>
              </a:solidFill>
              <a:prstDash val="solid"/>
            </a:ln>
            <a:effectLst/>
          </c:spPr>
          <c:explosion val="0"/>
          <c:dPt>
            <c:idx val="0"/>
            <c:bubble3D val="0"/>
            <c:spPr>
              <a:solidFill>
                <a:srgbClr val="9999FF"/>
              </a:solidFill>
              <a:ln w="12700">
                <a:solidFill>
                  <a:srgbClr val="000000"/>
                </a:solidFill>
                <a:prstDash val="solid"/>
              </a:ln>
              <a:effectLst/>
            </c:spPr>
          </c:dPt>
          <c:dPt>
            <c:idx val="1"/>
            <c:bubble3D val="0"/>
            <c:spPr>
              <a:solidFill>
                <a:srgbClr val="993366"/>
              </a:solidFill>
              <a:ln w="12700">
                <a:solidFill>
                  <a:srgbClr val="000000"/>
                </a:solidFill>
                <a:prstDash val="solid"/>
              </a:ln>
              <a:effectLst/>
            </c:spPr>
          </c:dPt>
          <c:dPt>
            <c:idx val="2"/>
            <c:bubble3D val="0"/>
            <c:spPr>
              <a:solidFill>
                <a:srgbClr val="FFFFCC"/>
              </a:solidFill>
              <a:ln w="12700">
                <a:solidFill>
                  <a:srgbClr val="000000"/>
                </a:solidFill>
                <a:prstDash val="solid"/>
              </a:ln>
              <a:effectLst/>
            </c:spPr>
          </c:dPt>
          <c:dLbls>
            <c:delete val="1"/>
          </c:dLbls>
          <c:cat>
            <c:strRef>
              <c:f>Sheet1!$B$138:$B$140</c:f>
              <c:strCache>
                <c:ptCount val="3"/>
                <c:pt idx="0">
                  <c:v>因公出国（境）费支出</c:v>
                </c:pt>
                <c:pt idx="1">
                  <c:v>公务用车购置及运行维护费支出</c:v>
                </c:pt>
                <c:pt idx="2">
                  <c:v>公务接待费支出</c:v>
                </c:pt>
              </c:strCache>
            </c:strRef>
          </c:cat>
          <c:val>
            <c:numRef>
              <c:f>Sheet1!$D$138:$D$140</c:f>
              <c:numCache>
                <c:formatCode>General</c:formatCode>
                <c:ptCount val="3"/>
                <c:pt idx="0">
                  <c:v>0</c:v>
                </c:pt>
                <c:pt idx="1" c:formatCode="0.00%">
                  <c:v>0.5331</c:v>
                </c:pt>
                <c:pt idx="2" c:formatCode="0.00%">
                  <c:v>0.4669</c:v>
                </c:pt>
              </c:numCache>
            </c:numRef>
          </c:val>
        </c:ser>
        <c:dLbls>
          <c:showLegendKey val="0"/>
          <c:showVal val="0"/>
          <c:showCatName val="0"/>
          <c:showSerName val="0"/>
          <c:showPercent val="0"/>
          <c:showBubbleSize val="0"/>
          <c:showLeaderLines val="1"/>
        </c:dLbls>
        <c:firstSliceAng val="0"/>
      </c:pieChart>
      <c:spPr>
        <a:noFill/>
        <a:ln w="25400">
          <a:noFill/>
        </a:ln>
      </c:spPr>
    </c:plotArea>
    <c:legend>
      <c:legendPos val="r"/>
      <c:layout>
        <c:manualLayout>
          <c:xMode val="edge"/>
          <c:yMode val="edge"/>
          <c:x val="0.641210825779861"/>
          <c:y val="0.457064330127264"/>
          <c:w val="0.338616952939927"/>
          <c:h val="0.335180508759994"/>
        </c:manualLayout>
      </c:layout>
      <c:overlay val="0"/>
      <c:spPr>
        <a:solidFill>
          <a:srgbClr val="FFFFFF"/>
        </a:solidFill>
        <a:ln>
          <a:solidFill>
            <a:srgbClr val="000000"/>
          </a:solidFill>
        </a:ln>
        <a:effectLst/>
      </c:spPr>
      <c:txPr>
        <a:bodyPr rot="0" spcFirstLastPara="0" vertOverflow="ellipsis" vert="horz" wrap="square" anchor="ctr" anchorCtr="1"/>
        <a:lstStyle/>
        <a:p>
          <a:pPr>
            <a:defRPr lang="zh-CN" sz="1100" b="0" i="0" u="none" strike="noStrike" kern="1200" baseline="0">
              <a:solidFill>
                <a:srgbClr val="000000"/>
              </a:solidFill>
              <a:latin typeface="宋体" panose="02010600030101010101" charset="-122"/>
              <a:ea typeface="宋体" panose="02010600030101010101" charset="-122"/>
              <a:cs typeface="宋体" panose="02010600030101010101" charset="-122"/>
            </a:defRPr>
          </a:pPr>
        </a:p>
      </c:txPr>
    </c:legend>
    <c:plotVisOnly val="1"/>
    <c:dispBlanksAs val="gap"/>
    <c:showDLblsOverMax val="0"/>
    <c:extLst>
      <c:ext uri="{0b15fc19-7d7d-44ad-8c2d-2c3a37ce22c3}">
        <chartProps xmlns="https://web.wps.cn/et/2018/main" chartId="{071d24d1-033e-4cf2-bf0b-ac20185101c2}"/>
      </c:ext>
    </c:extLst>
  </c:chart>
  <c:spPr>
    <a:solidFill>
      <a:srgbClr val="FFFFFF"/>
    </a:solidFill>
    <a:ln w="3175" cap="flat" cmpd="sng" algn="ctr">
      <a:solidFill>
        <a:srgbClr val="000000">
          <a:alpha val="100000"/>
        </a:srgbClr>
      </a:solidFill>
      <a:prstDash val="solid"/>
      <a:round/>
    </a:ln>
    <a:effectLst/>
  </c:spPr>
  <c:txPr>
    <a:bodyPr/>
    <a:lstStyle/>
    <a:p>
      <a:pPr>
        <a:defRPr lang="zh-CN" sz="1200" b="0" i="0" u="none" strike="noStrike" baseline="0">
          <a:solidFill>
            <a:srgbClr val="000000"/>
          </a:solidFill>
          <a:latin typeface="宋体" panose="02010600030101010101" charset="-122"/>
          <a:ea typeface="宋体" panose="02010600030101010101" charset="-122"/>
          <a:cs typeface="宋体" panose="02010600030101010101" charset="-122"/>
        </a:defRPr>
      </a:pPr>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A3BF4-D1A5-4142-91FE-0940305B4A41}">
  <ds:schemaRefs/>
</ds:datastoreItem>
</file>

<file path=docProps/app.xml><?xml version="1.0" encoding="utf-8"?>
<Properties xmlns="http://schemas.openxmlformats.org/officeDocument/2006/extended-properties" xmlns:vt="http://schemas.openxmlformats.org/officeDocument/2006/docPropsVTypes">
  <Template>Normal</Template>
  <Company>四川省财政厅</Company>
  <Pages>47</Pages>
  <Words>4182</Words>
  <Characters>4649</Characters>
  <Lines>166</Lines>
  <Paragraphs>46</Paragraphs>
  <TotalTime>489</TotalTime>
  <ScaleCrop>false</ScaleCrop>
  <LinksUpToDate>false</LinksUpToDate>
  <CharactersWithSpaces>4788</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2020-09-28T01:52:00Z</dcterms:created>
  <dc:creator>曹颖</dc:creator>
  <cp:lastModifiedBy>Owner</cp:lastModifiedBy>
  <cp:lastPrinted>2022-06-13T02:57:00Z</cp:lastPrinted>
  <dcterms:modified xsi:type="dcterms:W3CDTF">2026-08-21T08:37:42Z</dcterms:modified>
  <dc:title>四川省***</dc:title>
  <cp:revision>101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08107CCD07BB4AF0AC1E3797F924B5F0</vt:lpwstr>
  </property>
  <property fmtid="{D5CDD505-2E9C-101B-9397-08002B2CF9AE}" pid="4" name="KSOTemplateDocerSaveRecord">
    <vt:lpwstr>eyJoZGlkIjoiZDg0NDNiYTUxOWU4N2FhYTE5YTc3OTM5YzA0NWVjYWEiLCJ1c2VySWQiOiIxMzY3NTIyMzE2In0=</vt:lpwstr>
  </property>
</Properties>
</file>