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11E02">
      <w:pPr>
        <w:keepNext w:val="0"/>
        <w:keepLines w:val="0"/>
        <w:pageBreakBefore w:val="0"/>
        <w:widowControl w:val="0"/>
        <w:kinsoku/>
        <w:wordWrap/>
        <w:overflowPunct/>
        <w:topLinePunct w:val="0"/>
        <w:autoSpaceDE/>
        <w:autoSpaceDN/>
        <w:bidi w:val="0"/>
        <w:adjustRightInd/>
        <w:snapToGrid/>
        <w:spacing w:line="590" w:lineRule="exact"/>
        <w:ind w:left="0" w:leftChars="0"/>
        <w:textAlignment w:val="auto"/>
        <w:rPr>
          <w:rFonts w:hint="eastAsia" w:eastAsia="黑体"/>
          <w:color w:val="000000"/>
          <w:kern w:val="0"/>
          <w:sz w:val="44"/>
          <w:szCs w:val="44"/>
          <w:lang w:val="en-US" w:eastAsia="zh-CN"/>
        </w:rPr>
      </w:pPr>
      <w:r>
        <w:rPr>
          <w:rFonts w:eastAsia="黑体"/>
          <w:color w:val="000000"/>
          <w:kern w:val="0"/>
          <w:sz w:val="32"/>
          <w:szCs w:val="32"/>
        </w:rPr>
        <w:t>附件</w:t>
      </w:r>
      <w:r>
        <w:rPr>
          <w:rFonts w:hint="eastAsia" w:eastAsia="黑体"/>
          <w:color w:val="000000"/>
          <w:kern w:val="0"/>
          <w:sz w:val="32"/>
          <w:szCs w:val="32"/>
          <w:lang w:val="en-US" w:eastAsia="zh-CN"/>
        </w:rPr>
        <w:t>3</w:t>
      </w:r>
    </w:p>
    <w:p w14:paraId="209D5B27">
      <w:pPr>
        <w:keepNext w:val="0"/>
        <w:keepLines w:val="0"/>
        <w:pageBreakBefore w:val="0"/>
        <w:widowControl w:val="0"/>
        <w:kinsoku/>
        <w:wordWrap/>
        <w:overflowPunct/>
        <w:topLinePunct w:val="0"/>
        <w:autoSpaceDE/>
        <w:autoSpaceDN/>
        <w:bidi w:val="0"/>
        <w:adjustRightInd/>
        <w:snapToGrid/>
        <w:spacing w:line="590" w:lineRule="exact"/>
        <w:ind w:left="0" w:leftChars="0"/>
        <w:jc w:val="center"/>
        <w:textAlignment w:val="auto"/>
        <w:rPr>
          <w:rFonts w:hint="eastAsia" w:ascii="方正小标宋简体" w:hAnsi="方正小标宋简体" w:eastAsia="方正小标宋简体" w:cs="方正小标宋简体"/>
          <w:color w:val="000000"/>
          <w:kern w:val="0"/>
          <w:sz w:val="44"/>
          <w:szCs w:val="44"/>
          <w:lang w:eastAsia="zh-CN"/>
        </w:rPr>
      </w:pPr>
    </w:p>
    <w:p w14:paraId="1D54DF97">
      <w:pPr>
        <w:keepNext w:val="0"/>
        <w:keepLines w:val="0"/>
        <w:pageBreakBefore w:val="0"/>
        <w:widowControl w:val="0"/>
        <w:kinsoku/>
        <w:wordWrap/>
        <w:overflowPunct/>
        <w:topLinePunct w:val="0"/>
        <w:autoSpaceDE/>
        <w:autoSpaceDN/>
        <w:bidi w:val="0"/>
        <w:adjustRightInd/>
        <w:snapToGrid/>
        <w:spacing w:line="590" w:lineRule="exact"/>
        <w:ind w:left="0" w:leftChars="0"/>
        <w:jc w:val="center"/>
        <w:textAlignment w:val="auto"/>
        <w:rPr>
          <w:rFonts w:hint="eastAsia" w:ascii="方正小标宋简体" w:hAnsi="方正小标宋简体" w:eastAsia="方正小标宋简体" w:cs="方正小标宋简体"/>
          <w:color w:val="000000"/>
          <w:kern w:val="0"/>
          <w:sz w:val="44"/>
          <w:szCs w:val="44"/>
          <w:lang w:eastAsia="zh-CN"/>
        </w:rPr>
      </w:pPr>
      <w:r>
        <w:rPr>
          <w:rFonts w:hint="eastAsia" w:ascii="方正小标宋简体" w:hAnsi="方正小标宋简体" w:eastAsia="方正小标宋简体" w:cs="方正小标宋简体"/>
          <w:color w:val="000000"/>
          <w:kern w:val="0"/>
          <w:sz w:val="44"/>
          <w:szCs w:val="44"/>
          <w:lang w:eastAsia="zh-CN"/>
        </w:rPr>
        <w:t>盐边县文化馆</w:t>
      </w:r>
    </w:p>
    <w:p w14:paraId="575502C5">
      <w:pPr>
        <w:keepNext w:val="0"/>
        <w:keepLines w:val="0"/>
        <w:pageBreakBefore w:val="0"/>
        <w:widowControl w:val="0"/>
        <w:kinsoku/>
        <w:wordWrap/>
        <w:overflowPunct/>
        <w:topLinePunct w:val="0"/>
        <w:autoSpaceDE/>
        <w:autoSpaceDN/>
        <w:bidi w:val="0"/>
        <w:adjustRightInd/>
        <w:snapToGrid/>
        <w:spacing w:line="590" w:lineRule="exact"/>
        <w:ind w:left="0" w:left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2020年度</w:t>
      </w:r>
      <w:r>
        <w:rPr>
          <w:rFonts w:hint="eastAsia" w:ascii="方正小标宋简体" w:hAnsi="方正小标宋简体" w:eastAsia="方正小标宋简体" w:cs="方正小标宋简体"/>
          <w:sz w:val="44"/>
          <w:szCs w:val="44"/>
          <w:lang w:eastAsia="zh-CN"/>
        </w:rPr>
        <w:t>国家公共文化服务体系示范区创建</w:t>
      </w:r>
      <w:r>
        <w:rPr>
          <w:rFonts w:hint="eastAsia" w:ascii="方正小标宋简体" w:hAnsi="方正小标宋简体" w:eastAsia="方正小标宋简体" w:cs="方正小标宋简体"/>
          <w:sz w:val="44"/>
          <w:szCs w:val="44"/>
        </w:rPr>
        <w:t>专项资金绩效自评报告</w:t>
      </w:r>
    </w:p>
    <w:p w14:paraId="7AF30518">
      <w:pPr>
        <w:keepNext w:val="0"/>
        <w:keepLines w:val="0"/>
        <w:pageBreakBefore w:val="0"/>
        <w:widowControl w:val="0"/>
        <w:kinsoku/>
        <w:wordWrap/>
        <w:overflowPunct/>
        <w:topLinePunct w:val="0"/>
        <w:autoSpaceDE/>
        <w:autoSpaceDN/>
        <w:bidi w:val="0"/>
        <w:adjustRightInd/>
        <w:snapToGrid/>
        <w:spacing w:line="590" w:lineRule="exact"/>
        <w:ind w:left="0" w:leftChars="0"/>
        <w:textAlignment w:val="auto"/>
        <w:rPr>
          <w:sz w:val="32"/>
          <w:szCs w:val="32"/>
          <w:lang w:val="zh-CN"/>
        </w:rPr>
      </w:pPr>
    </w:p>
    <w:p w14:paraId="42A2FB25">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黑体"/>
          <w:sz w:val="32"/>
          <w:szCs w:val="32"/>
        </w:rPr>
      </w:pPr>
      <w:r>
        <w:rPr>
          <w:rFonts w:eastAsia="黑体"/>
          <w:sz w:val="32"/>
          <w:szCs w:val="32"/>
        </w:rPr>
        <w:t>一、项目概况</w:t>
      </w:r>
    </w:p>
    <w:p w14:paraId="70A69B58">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（一）项目基本情况。</w:t>
      </w:r>
    </w:p>
    <w:p w14:paraId="243F06DE">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1.项目主管部门职能。</w:t>
      </w:r>
    </w:p>
    <w:p w14:paraId="23C23DE7">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仿宋_GB2312"/>
          <w:sz w:val="32"/>
          <w:szCs w:val="32"/>
        </w:rPr>
      </w:pPr>
      <w:r>
        <w:rPr>
          <w:rFonts w:hint="eastAsia" w:eastAsia="仿宋_GB2312"/>
          <w:sz w:val="32"/>
          <w:szCs w:val="32"/>
          <w:lang w:eastAsia="zh-CN"/>
        </w:rPr>
        <w:t>盐边县文化馆是盐边县文化广播电视和旅游局下属公益一类事业单位，县文化广播电视和旅游局作为项目主管部门，严格行使项目资金使用监督管理职能，使专项资金管理使用的各个环节严格按照制度执行，确保国家公共文化服务体系示范区创建工作顺利完成。</w:t>
      </w:r>
    </w:p>
    <w:p w14:paraId="55CB53C0">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项目立项、资金申报的依据。</w:t>
      </w:r>
    </w:p>
    <w:p w14:paraId="03528A9F">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textAlignment w:val="auto"/>
        <w:outlineLvl w:val="9"/>
        <w:rPr>
          <w:rFonts w:eastAsia="仿宋_GB2312"/>
          <w:sz w:val="32"/>
          <w:szCs w:val="32"/>
        </w:rPr>
      </w:pPr>
      <w:r>
        <w:rPr>
          <w:rFonts w:hint="eastAsia" w:ascii="仿宋_GB2312" w:hAnsi="仿宋_GB2312" w:eastAsia="仿宋_GB2312" w:cs="仿宋_GB2312"/>
          <w:sz w:val="32"/>
          <w:szCs w:val="32"/>
        </w:rPr>
        <w:t>根据《攀枝花市创建国家公共文化服务体系示范区规划（</w:t>
      </w:r>
      <w:r>
        <w:rPr>
          <w:rFonts w:hint="default" w:ascii="Times New Roman" w:hAnsi="Times New Roman" w:eastAsia="仿宋_GB2312" w:cs="Times New Roman"/>
          <w:sz w:val="32"/>
          <w:szCs w:val="32"/>
        </w:rPr>
        <w:t>2018—2020</w:t>
      </w:r>
      <w:r>
        <w:rPr>
          <w:rFonts w:hint="eastAsia" w:ascii="仿宋_GB2312" w:hAnsi="仿宋_GB2312" w:eastAsia="仿宋_GB2312" w:cs="仿宋_GB2312"/>
          <w:sz w:val="32"/>
          <w:szCs w:val="32"/>
        </w:rPr>
        <w:t>年）》（攀府发〔</w:t>
      </w:r>
      <w:r>
        <w:rPr>
          <w:rFonts w:hint="default" w:ascii="Times New Roman" w:hAnsi="Times New Roman" w:eastAsia="仿宋_GB2312" w:cs="Times New Roman"/>
          <w:sz w:val="32"/>
          <w:szCs w:val="32"/>
        </w:rPr>
        <w:t>2018</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16</w:t>
      </w:r>
      <w:r>
        <w:rPr>
          <w:rFonts w:hint="eastAsia" w:ascii="仿宋_GB2312" w:hAnsi="仿宋_GB2312" w:eastAsia="仿宋_GB2312" w:cs="仿宋_GB2312"/>
          <w:sz w:val="32"/>
          <w:szCs w:val="32"/>
        </w:rPr>
        <w:t>号）文件要求，盐边县文化馆、图书馆对照创建指标任务，</w:t>
      </w:r>
      <w:r>
        <w:rPr>
          <w:rFonts w:hint="eastAsia" w:ascii="仿宋_GB2312" w:hAnsi="仿宋_GB2312" w:eastAsia="仿宋_GB2312" w:cs="仿宋_GB2312"/>
          <w:sz w:val="32"/>
          <w:szCs w:val="32"/>
          <w:lang w:eastAsia="zh-CN"/>
        </w:rPr>
        <w:t>向县委、县政府申报了创建经费，用于改善文化馆、图书馆公共文化服务设施和图书馆购置图书。</w:t>
      </w:r>
    </w:p>
    <w:p w14:paraId="18A8C714">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eastAsia="仿宋_GB2312"/>
          <w:sz w:val="32"/>
          <w:szCs w:val="32"/>
          <w:lang w:eastAsia="zh-CN"/>
        </w:rPr>
      </w:pPr>
      <w:r>
        <w:rPr>
          <w:rFonts w:hint="eastAsia" w:ascii="仿宋_GB2312" w:hAnsi="仿宋_GB2312" w:eastAsia="仿宋_GB2312" w:cs="仿宋_GB2312"/>
          <w:b/>
          <w:bCs/>
          <w:sz w:val="32"/>
          <w:szCs w:val="32"/>
        </w:rPr>
        <w:t>3.资金管理办法制定情况，资金支持具体项目的条件、范围与支持方式概况。</w:t>
      </w:r>
      <w:r>
        <w:rPr>
          <w:rFonts w:hint="eastAsia" w:eastAsia="仿宋_GB2312"/>
          <w:sz w:val="32"/>
          <w:szCs w:val="32"/>
          <w:lang w:eastAsia="zh-CN"/>
        </w:rPr>
        <w:t>制定了项目资金使用管理制度，项目资金主要用于文化馆、图书馆免费开放场所购置空调设备、计算机、图书和免费开放室安装监控设备。</w:t>
      </w:r>
    </w:p>
    <w:p w14:paraId="049B4E1A">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4.资金分配的原则及考虑因素。</w:t>
      </w:r>
    </w:p>
    <w:p w14:paraId="4A1B3032">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eastAsia="仿宋_GB2312"/>
          <w:sz w:val="32"/>
          <w:szCs w:val="32"/>
          <w:lang w:val="en-US" w:eastAsia="zh-CN"/>
        </w:rPr>
      </w:pPr>
      <w:r>
        <w:rPr>
          <w:rFonts w:hint="eastAsia" w:eastAsia="仿宋_GB2312"/>
          <w:sz w:val="32"/>
          <w:szCs w:val="32"/>
          <w:lang w:eastAsia="zh-CN"/>
        </w:rPr>
        <w:t>该项目资金按统一管理、提升服务的原则，为广大群众提供优质的公共文化服务。</w:t>
      </w:r>
    </w:p>
    <w:p w14:paraId="0AE51EBD">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（二）项目绩效目标。</w:t>
      </w:r>
    </w:p>
    <w:p w14:paraId="67338222">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1.项目主要内容。</w:t>
      </w:r>
    </w:p>
    <w:p w14:paraId="3B3231BF">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eastAsia="仿宋_GB2312"/>
          <w:sz w:val="32"/>
          <w:szCs w:val="32"/>
          <w:lang w:val="en-US" w:eastAsia="zh-CN"/>
        </w:rPr>
      </w:pPr>
      <w:r>
        <w:rPr>
          <w:rFonts w:hint="eastAsia" w:eastAsia="仿宋_GB2312"/>
          <w:sz w:val="32"/>
          <w:szCs w:val="32"/>
          <w:lang w:eastAsia="zh-CN"/>
        </w:rPr>
        <w:t>文化馆和图书馆各免费开放室购置空调设备</w:t>
      </w:r>
      <w:r>
        <w:rPr>
          <w:rFonts w:hint="eastAsia" w:eastAsia="仿宋_GB2312"/>
          <w:sz w:val="32"/>
          <w:szCs w:val="32"/>
          <w:lang w:val="en-US" w:eastAsia="zh-CN"/>
        </w:rPr>
        <w:t>19台、</w:t>
      </w:r>
      <w:r>
        <w:rPr>
          <w:rFonts w:hint="eastAsia" w:eastAsia="仿宋_GB2312"/>
          <w:sz w:val="32"/>
          <w:szCs w:val="32"/>
          <w:lang w:eastAsia="zh-CN"/>
        </w:rPr>
        <w:t>计算机</w:t>
      </w:r>
      <w:r>
        <w:rPr>
          <w:rFonts w:hint="eastAsia" w:eastAsia="仿宋_GB2312"/>
          <w:sz w:val="32"/>
          <w:szCs w:val="32"/>
          <w:lang w:val="en-US" w:eastAsia="zh-CN"/>
        </w:rPr>
        <w:t>14台、</w:t>
      </w:r>
      <w:r>
        <w:rPr>
          <w:rFonts w:hint="eastAsia" w:eastAsia="仿宋_GB2312"/>
          <w:sz w:val="32"/>
          <w:szCs w:val="32"/>
          <w:lang w:eastAsia="zh-CN"/>
        </w:rPr>
        <w:t>购置图书</w:t>
      </w:r>
      <w:r>
        <w:rPr>
          <w:rFonts w:hint="eastAsia" w:eastAsia="仿宋_GB2312"/>
          <w:sz w:val="32"/>
          <w:szCs w:val="32"/>
          <w:lang w:val="en-US" w:eastAsia="zh-CN"/>
        </w:rPr>
        <w:t>8000册，并在免费开放室安装监控设备。</w:t>
      </w:r>
    </w:p>
    <w:p w14:paraId="4E9818CA">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项目应实现的具体绩效目标</w:t>
      </w:r>
      <w:r>
        <w:rPr>
          <w:rFonts w:hint="eastAsia" w:ascii="仿宋_GB2312" w:hAnsi="仿宋_GB2312" w:eastAsia="仿宋_GB2312" w:cs="仿宋_GB2312"/>
          <w:b/>
          <w:bCs/>
          <w:sz w:val="32"/>
          <w:szCs w:val="32"/>
          <w:lang w:eastAsia="zh-CN"/>
        </w:rPr>
        <w:t>。</w:t>
      </w:r>
    </w:p>
    <w:p w14:paraId="42193960">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eastAsia="仿宋_GB2312"/>
          <w:sz w:val="32"/>
          <w:szCs w:val="32"/>
          <w:lang w:val="en-US" w:eastAsia="zh-CN"/>
        </w:rPr>
      </w:pPr>
      <w:r>
        <w:rPr>
          <w:rFonts w:hint="eastAsia" w:eastAsia="仿宋_GB2312"/>
          <w:sz w:val="32"/>
          <w:szCs w:val="32"/>
          <w:lang w:eastAsia="zh-CN"/>
        </w:rPr>
        <w:t>文化馆和图书馆各免费开放室购置空调设备</w:t>
      </w:r>
      <w:r>
        <w:rPr>
          <w:rFonts w:hint="eastAsia" w:eastAsia="仿宋_GB2312"/>
          <w:sz w:val="32"/>
          <w:szCs w:val="32"/>
          <w:lang w:val="en-US" w:eastAsia="zh-CN"/>
        </w:rPr>
        <w:t>19台，</w:t>
      </w:r>
      <w:r>
        <w:rPr>
          <w:rFonts w:hint="eastAsia" w:eastAsia="仿宋_GB2312"/>
          <w:sz w:val="32"/>
          <w:szCs w:val="32"/>
          <w:lang w:eastAsia="zh-CN"/>
        </w:rPr>
        <w:t>计算机</w:t>
      </w:r>
      <w:r>
        <w:rPr>
          <w:rFonts w:hint="eastAsia" w:eastAsia="仿宋_GB2312"/>
          <w:sz w:val="32"/>
          <w:szCs w:val="32"/>
          <w:lang w:val="en-US" w:eastAsia="zh-CN"/>
        </w:rPr>
        <w:t>14台</w:t>
      </w:r>
      <w:r>
        <w:rPr>
          <w:rFonts w:hint="eastAsia" w:eastAsia="仿宋_GB2312"/>
          <w:sz w:val="32"/>
          <w:szCs w:val="32"/>
          <w:lang w:eastAsia="zh-CN"/>
        </w:rPr>
        <w:t>，图书馆购置图书</w:t>
      </w:r>
      <w:r>
        <w:rPr>
          <w:rFonts w:hint="eastAsia" w:eastAsia="仿宋_GB2312"/>
          <w:sz w:val="32"/>
          <w:szCs w:val="32"/>
          <w:lang w:val="en-US" w:eastAsia="zh-CN"/>
        </w:rPr>
        <w:t>8000册，为广大群众提供了更好的文化活动场所，满足了广大读者的阅读需求。</w:t>
      </w:r>
    </w:p>
    <w:p w14:paraId="0E94D55D">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0" w:firstLineChars="0"/>
        <w:textAlignment w:val="auto"/>
        <w:rPr>
          <w:rFonts w:eastAsia="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申报内容是否与实际相符，申报目标是否合理可行。</w:t>
      </w:r>
      <w:r>
        <w:rPr>
          <w:rFonts w:hint="eastAsia" w:eastAsia="仿宋_GB2312"/>
          <w:sz w:val="32"/>
          <w:szCs w:val="32"/>
          <w:lang w:val="en-US" w:eastAsia="zh-CN"/>
        </w:rPr>
        <w:t>项目内容与实际相符，申报目标合理可行。</w:t>
      </w:r>
    </w:p>
    <w:p w14:paraId="7637479F">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（三）项目自评步骤及方法。</w:t>
      </w:r>
    </w:p>
    <w:p w14:paraId="49AE17CA">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黑体"/>
          <w:sz w:val="32"/>
          <w:szCs w:val="32"/>
        </w:rPr>
      </w:pPr>
      <w:r>
        <w:rPr>
          <w:rFonts w:hint="eastAsia" w:ascii="仿宋_GB2312" w:hAnsi="仿宋_GB2312" w:eastAsia="仿宋_GB2312" w:cs="仿宋_GB2312"/>
          <w:sz w:val="32"/>
          <w:szCs w:val="32"/>
          <w:lang w:eastAsia="zh-CN"/>
        </w:rPr>
        <w:t>成立绩效自评小组，根据《盐边县关于全面实施预算绩效管理的工作方案》（盐边委办〔</w:t>
      </w:r>
      <w:r>
        <w:rPr>
          <w:rFonts w:hint="default" w:ascii="Times New Roman" w:hAnsi="Times New Roman" w:eastAsia="仿宋_GB2312" w:cs="Times New Roman"/>
          <w:sz w:val="32"/>
          <w:szCs w:val="32"/>
          <w:lang w:val="en-US" w:eastAsia="zh-CN"/>
        </w:rPr>
        <w:t>2019</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114</w:t>
      </w:r>
      <w:r>
        <w:rPr>
          <w:rFonts w:hint="eastAsia" w:ascii="仿宋_GB2312" w:hAnsi="仿宋_GB2312" w:eastAsia="仿宋_GB2312" w:cs="仿宋_GB2312"/>
          <w:sz w:val="32"/>
          <w:szCs w:val="32"/>
          <w:lang w:val="en-US" w:eastAsia="zh-CN"/>
        </w:rPr>
        <w:t>号）及《盐边县财政局关于开展</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val="en-US" w:eastAsia="zh-CN"/>
        </w:rPr>
        <w:t>年度部门整体支出绩效评价工作的通知》（盐边财绩</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2021</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lang w:val="en-US" w:eastAsia="zh-CN"/>
        </w:rPr>
        <w:t>号）文件要求，自评小组于</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12</w:t>
      </w:r>
      <w:r>
        <w:rPr>
          <w:rFonts w:hint="eastAsia" w:ascii="仿宋_GB2312" w:hAnsi="仿宋_GB2312" w:eastAsia="仿宋_GB2312" w:cs="仿宋_GB2312"/>
          <w:sz w:val="32"/>
          <w:szCs w:val="32"/>
          <w:lang w:val="en-US" w:eastAsia="zh-CN"/>
        </w:rPr>
        <w:t>月对文化馆和图书馆国家公共文化服务体系示范区创建项目进行了自评，查阅了项目财务和管理等相关资料，通过向服务对象开展问卷调查，以现场评价为主，非现场评价为辅</w:t>
      </w:r>
      <w:bookmarkStart w:id="0" w:name="_GoBack"/>
      <w:r>
        <w:rPr>
          <w:rFonts w:hint="eastAsia" w:ascii="仿宋_GB2312" w:hAnsi="仿宋_GB2312" w:eastAsia="仿宋_GB2312" w:cs="仿宋_GB2312"/>
          <w:sz w:val="32"/>
          <w:szCs w:val="32"/>
          <w:lang w:val="en-US" w:eastAsia="zh-CN"/>
        </w:rPr>
        <w:t>，以</w:t>
      </w:r>
      <w:bookmarkEnd w:id="0"/>
      <w:r>
        <w:rPr>
          <w:rFonts w:hint="eastAsia" w:ascii="仿宋_GB2312" w:hAnsi="仿宋_GB2312" w:eastAsia="仿宋_GB2312" w:cs="仿宋_GB2312"/>
          <w:sz w:val="32"/>
          <w:szCs w:val="32"/>
          <w:lang w:val="en-US" w:eastAsia="zh-CN"/>
        </w:rPr>
        <w:t>定量分析和定性分析相结合的议价方法对该项目进行了绩效评价。</w:t>
      </w:r>
    </w:p>
    <w:p w14:paraId="5AFE735A">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黑体"/>
          <w:sz w:val="32"/>
          <w:szCs w:val="32"/>
        </w:rPr>
      </w:pPr>
      <w:r>
        <w:rPr>
          <w:rFonts w:eastAsia="黑体"/>
          <w:sz w:val="32"/>
          <w:szCs w:val="32"/>
        </w:rPr>
        <w:t>二、项目资金申报及使用情况</w:t>
      </w:r>
    </w:p>
    <w:p w14:paraId="39EC5AEC">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（一）项目资金申报及批复情况。</w:t>
      </w:r>
    </w:p>
    <w:p w14:paraId="2B761E14">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hint="eastAsia" w:ascii="仿宋_GB2312" w:hAnsi="仿宋_GB2312" w:eastAsia="仿宋_GB2312" w:cs="仿宋_GB2312"/>
          <w:sz w:val="32"/>
          <w:szCs w:val="32"/>
          <w:lang w:eastAsia="zh-CN"/>
        </w:rPr>
        <w:t>先由县文化馆向文广旅局提交资金报告，县文广旅局向县委、县政府提交资金请示，县财政局将专项资金下达县文化馆。</w:t>
      </w:r>
    </w:p>
    <w:p w14:paraId="7AE3BACD">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eastAsia="楷体_GB2312"/>
          <w:sz w:val="32"/>
          <w:szCs w:val="32"/>
          <w:lang w:eastAsia="zh-CN"/>
        </w:rPr>
      </w:pPr>
      <w:r>
        <w:rPr>
          <w:rFonts w:eastAsia="楷体_GB2312"/>
          <w:sz w:val="32"/>
          <w:szCs w:val="32"/>
        </w:rPr>
        <w:t>（二）资金计划、到位及使用情况</w:t>
      </w:r>
      <w:r>
        <w:rPr>
          <w:rFonts w:hint="eastAsia" w:eastAsia="楷体_GB2312"/>
          <w:sz w:val="32"/>
          <w:szCs w:val="32"/>
          <w:lang w:eastAsia="zh-CN"/>
        </w:rPr>
        <w:t>。</w:t>
      </w:r>
    </w:p>
    <w:p w14:paraId="76B60C17">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1.资金计划。</w:t>
      </w:r>
    </w:p>
    <w:p w14:paraId="43EC5438">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eastAsia="仿宋_GB2312"/>
          <w:b/>
          <w:sz w:val="32"/>
          <w:szCs w:val="32"/>
          <w:lang w:val="en-US" w:eastAsia="zh-CN"/>
        </w:rPr>
      </w:pPr>
      <w:r>
        <w:rPr>
          <w:rFonts w:hint="eastAsia" w:ascii="仿宋_GB2312" w:hAnsi="仿宋_GB2312" w:eastAsia="仿宋_GB2312" w:cs="仿宋_GB2312"/>
          <w:sz w:val="32"/>
          <w:szCs w:val="32"/>
          <w:lang w:val="en-US" w:eastAsia="zh-CN"/>
        </w:rPr>
        <w:t>国家公共文化服务体系示范区创建项目资金计划</w:t>
      </w:r>
      <w:r>
        <w:rPr>
          <w:rFonts w:hint="default" w:ascii="Times New Roman" w:hAnsi="Times New Roman" w:eastAsia="仿宋_GB2312" w:cs="Times New Roman"/>
          <w:color w:val="auto"/>
          <w:sz w:val="32"/>
          <w:szCs w:val="32"/>
          <w:lang w:val="en-US" w:eastAsia="zh-CN"/>
        </w:rPr>
        <w:t>27.25</w:t>
      </w:r>
      <w:r>
        <w:rPr>
          <w:rFonts w:hint="eastAsia" w:ascii="仿宋_GB2312" w:hAnsi="仿宋_GB2312" w:eastAsia="仿宋_GB2312" w:cs="仿宋_GB2312"/>
          <w:sz w:val="32"/>
          <w:szCs w:val="32"/>
          <w:lang w:val="en-US" w:eastAsia="zh-CN"/>
        </w:rPr>
        <w:t>万元，全部由县财政补助。</w:t>
      </w:r>
    </w:p>
    <w:p w14:paraId="682C8A3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资金到位。</w:t>
      </w:r>
    </w:p>
    <w:p w14:paraId="10910173">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b w:val="0"/>
          <w:bCs/>
          <w:sz w:val="32"/>
          <w:szCs w:val="32"/>
          <w:lang w:val="en-US" w:eastAsia="zh-CN"/>
        </w:rPr>
        <w:t>2020</w:t>
      </w:r>
      <w:r>
        <w:rPr>
          <w:rFonts w:hint="eastAsia" w:ascii="仿宋_GB2312" w:hAnsi="仿宋_GB2312" w:eastAsia="仿宋_GB2312" w:cs="仿宋_GB2312"/>
          <w:b w:val="0"/>
          <w:bCs/>
          <w:sz w:val="32"/>
          <w:szCs w:val="32"/>
          <w:lang w:val="en-US" w:eastAsia="zh-CN"/>
        </w:rPr>
        <w:t>年</w:t>
      </w:r>
      <w:r>
        <w:rPr>
          <w:rFonts w:hint="default" w:ascii="Times New Roman" w:hAnsi="Times New Roman" w:eastAsia="仿宋_GB2312" w:cs="Times New Roman"/>
          <w:b w:val="0"/>
          <w:bCs/>
          <w:sz w:val="32"/>
          <w:szCs w:val="32"/>
          <w:lang w:val="en-US" w:eastAsia="zh-CN"/>
        </w:rPr>
        <w:t>8</w:t>
      </w:r>
      <w:r>
        <w:rPr>
          <w:rFonts w:hint="eastAsia" w:ascii="仿宋_GB2312" w:hAnsi="仿宋_GB2312" w:eastAsia="仿宋_GB2312" w:cs="仿宋_GB2312"/>
          <w:b w:val="0"/>
          <w:bCs/>
          <w:sz w:val="32"/>
          <w:szCs w:val="32"/>
          <w:lang w:val="en-US" w:eastAsia="zh-CN"/>
        </w:rPr>
        <w:t>月，盐边县财政局《关于下达国家公共文化服务体系示范区创建经费的通知》（盐财资行</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259</w:t>
      </w:r>
      <w:r>
        <w:rPr>
          <w:rFonts w:hint="eastAsia" w:ascii="仿宋_GB2312" w:hAnsi="仿宋_GB2312" w:eastAsia="仿宋_GB2312" w:cs="仿宋_GB2312"/>
          <w:sz w:val="32"/>
          <w:szCs w:val="32"/>
          <w:lang w:val="en-US" w:eastAsia="zh-CN"/>
        </w:rPr>
        <w:t>号）下达文化馆国家公共文化服务体系示范区创建经费</w:t>
      </w:r>
      <w:r>
        <w:rPr>
          <w:rFonts w:hint="default" w:ascii="Times New Roman" w:hAnsi="Times New Roman" w:eastAsia="仿宋_GB2312" w:cs="Times New Roman"/>
          <w:sz w:val="32"/>
          <w:szCs w:val="32"/>
          <w:lang w:val="en-US" w:eastAsia="zh-CN"/>
        </w:rPr>
        <w:t>14.7</w:t>
      </w:r>
      <w:r>
        <w:rPr>
          <w:rFonts w:hint="eastAsia" w:ascii="仿宋_GB2312" w:hAnsi="仿宋_GB2312" w:eastAsia="仿宋_GB2312" w:cs="仿宋_GB2312"/>
          <w:sz w:val="32"/>
          <w:szCs w:val="32"/>
          <w:lang w:val="en-US" w:eastAsia="zh-CN"/>
        </w:rPr>
        <w:t>万元。</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val="en-US" w:eastAsia="zh-CN"/>
        </w:rPr>
        <w:t>年</w:t>
      </w:r>
      <w:r>
        <w:rPr>
          <w:rFonts w:hint="default" w:ascii="Times New Roman" w:hAnsi="Times New Roman" w:eastAsia="仿宋_GB2312" w:cs="Times New Roman"/>
          <w:sz w:val="32"/>
          <w:szCs w:val="32"/>
          <w:lang w:val="en-US" w:eastAsia="zh-CN"/>
        </w:rPr>
        <w:t>10</w:t>
      </w:r>
      <w:r>
        <w:rPr>
          <w:rFonts w:hint="eastAsia" w:ascii="仿宋_GB2312" w:hAnsi="仿宋_GB2312" w:eastAsia="仿宋_GB2312" w:cs="仿宋_GB2312"/>
          <w:sz w:val="32"/>
          <w:szCs w:val="32"/>
          <w:lang w:val="en-US" w:eastAsia="zh-CN"/>
        </w:rPr>
        <w:t>月盐边县财政局《关于下达国家公共文化服务体系示范区创建经费的通知》（</w:t>
      </w:r>
      <w:r>
        <w:rPr>
          <w:rFonts w:hint="eastAsia" w:ascii="仿宋_GB2312" w:hAnsi="仿宋_GB2312" w:eastAsia="仿宋_GB2312" w:cs="仿宋_GB2312"/>
          <w:b w:val="0"/>
          <w:bCs/>
          <w:sz w:val="32"/>
          <w:szCs w:val="32"/>
          <w:lang w:val="en-US" w:eastAsia="zh-CN"/>
        </w:rPr>
        <w:t>盐财资行</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2020</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355</w:t>
      </w:r>
      <w:r>
        <w:rPr>
          <w:rFonts w:hint="eastAsia" w:ascii="仿宋_GB2312" w:hAnsi="仿宋_GB2312" w:eastAsia="仿宋_GB2312" w:cs="仿宋_GB2312"/>
          <w:sz w:val="32"/>
          <w:szCs w:val="32"/>
          <w:lang w:val="en-US" w:eastAsia="zh-CN"/>
        </w:rPr>
        <w:t>号）下达国家公共文化服务体系示范区创建经费</w:t>
      </w:r>
      <w:r>
        <w:rPr>
          <w:rFonts w:hint="default" w:ascii="Times New Roman" w:hAnsi="Times New Roman" w:eastAsia="仿宋_GB2312" w:cs="Times New Roman"/>
          <w:color w:val="auto"/>
          <w:sz w:val="32"/>
          <w:szCs w:val="32"/>
          <w:lang w:val="en-US" w:eastAsia="zh-CN"/>
        </w:rPr>
        <w:t>12.55</w:t>
      </w:r>
      <w:r>
        <w:rPr>
          <w:rFonts w:hint="eastAsia" w:ascii="仿宋_GB2312" w:hAnsi="仿宋_GB2312" w:eastAsia="仿宋_GB2312" w:cs="仿宋_GB2312"/>
          <w:sz w:val="32"/>
          <w:szCs w:val="32"/>
          <w:lang w:val="en-US" w:eastAsia="zh-CN"/>
        </w:rPr>
        <w:t>万元，资金到位及时，到位率</w:t>
      </w:r>
      <w:r>
        <w:rPr>
          <w:rFonts w:hint="default" w:ascii="Times New Roman" w:hAnsi="Times New Roman" w:eastAsia="仿宋_GB2312" w:cs="Times New Roman"/>
          <w:sz w:val="32"/>
          <w:szCs w:val="32"/>
          <w:lang w:val="en-US" w:eastAsia="zh-CN"/>
        </w:rPr>
        <w:t>100%</w:t>
      </w:r>
      <w:r>
        <w:rPr>
          <w:rFonts w:hint="eastAsia" w:ascii="仿宋_GB2312" w:hAnsi="仿宋_GB2312" w:eastAsia="仿宋_GB2312" w:cs="仿宋_GB2312"/>
          <w:sz w:val="32"/>
          <w:szCs w:val="32"/>
          <w:lang w:val="en-US" w:eastAsia="zh-CN"/>
        </w:rPr>
        <w:t>。</w:t>
      </w:r>
    </w:p>
    <w:p w14:paraId="6FAC9E4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3.</w:t>
      </w:r>
      <w:r>
        <w:rPr>
          <w:rFonts w:hint="eastAsia" w:ascii="仿宋_GB2312" w:hAnsi="仿宋_GB2312" w:eastAsia="仿宋_GB2312" w:cs="仿宋_GB2312"/>
          <w:b/>
          <w:sz w:val="32"/>
          <w:szCs w:val="32"/>
        </w:rPr>
        <w:t>资金使用。</w:t>
      </w:r>
    </w:p>
    <w:p w14:paraId="72026D0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textAlignment w:val="auto"/>
        <w:rPr>
          <w:rFonts w:hint="eastAsia" w:eastAsia="仿宋_GB2312"/>
          <w:b/>
          <w:sz w:val="32"/>
          <w:szCs w:val="32"/>
          <w:lang w:val="en-US" w:eastAsia="zh-CN"/>
        </w:rPr>
      </w:pPr>
      <w:r>
        <w:rPr>
          <w:rFonts w:hint="eastAsia" w:ascii="仿宋_GB2312" w:hAnsi="仿宋_GB2312" w:eastAsia="仿宋_GB2312" w:cs="仿宋_GB2312"/>
          <w:b w:val="0"/>
          <w:bCs/>
          <w:sz w:val="32"/>
          <w:szCs w:val="32"/>
          <w:lang w:eastAsia="zh-CN"/>
        </w:rPr>
        <w:t>截至</w:t>
      </w:r>
      <w:r>
        <w:rPr>
          <w:rFonts w:hint="default" w:ascii="Times New Roman" w:hAnsi="Times New Roman" w:eastAsia="仿宋_GB2312" w:cs="Times New Roman"/>
          <w:b w:val="0"/>
          <w:bCs/>
          <w:sz w:val="32"/>
          <w:szCs w:val="32"/>
          <w:lang w:val="en-US" w:eastAsia="zh-CN"/>
        </w:rPr>
        <w:t>2020</w:t>
      </w:r>
      <w:r>
        <w:rPr>
          <w:rFonts w:hint="eastAsia" w:ascii="仿宋_GB2312" w:hAnsi="仿宋_GB2312" w:eastAsia="仿宋_GB2312" w:cs="仿宋_GB2312"/>
          <w:b w:val="0"/>
          <w:bCs/>
          <w:sz w:val="32"/>
          <w:szCs w:val="32"/>
          <w:lang w:val="en-US" w:eastAsia="zh-CN"/>
        </w:rPr>
        <w:t>年</w:t>
      </w:r>
      <w:r>
        <w:rPr>
          <w:rFonts w:hint="default" w:ascii="Times New Roman" w:hAnsi="Times New Roman" w:eastAsia="仿宋_GB2312" w:cs="Times New Roman"/>
          <w:b w:val="0"/>
          <w:bCs/>
          <w:sz w:val="32"/>
          <w:szCs w:val="32"/>
          <w:lang w:val="en-US" w:eastAsia="zh-CN"/>
        </w:rPr>
        <w:t>12</w:t>
      </w:r>
      <w:r>
        <w:rPr>
          <w:rFonts w:hint="eastAsia" w:ascii="仿宋_GB2312" w:hAnsi="仿宋_GB2312" w:eastAsia="仿宋_GB2312" w:cs="仿宋_GB2312"/>
          <w:b w:val="0"/>
          <w:bCs/>
          <w:sz w:val="32"/>
          <w:szCs w:val="32"/>
          <w:lang w:val="en-US" w:eastAsia="zh-CN"/>
        </w:rPr>
        <w:t>月</w:t>
      </w:r>
      <w:r>
        <w:rPr>
          <w:rFonts w:hint="default" w:ascii="Times New Roman" w:hAnsi="Times New Roman" w:eastAsia="仿宋_GB2312" w:cs="Times New Roman"/>
          <w:b w:val="0"/>
          <w:bCs/>
          <w:sz w:val="32"/>
          <w:szCs w:val="32"/>
          <w:lang w:val="en-US" w:eastAsia="zh-CN"/>
        </w:rPr>
        <w:t>31</w:t>
      </w:r>
      <w:r>
        <w:rPr>
          <w:rFonts w:hint="eastAsia" w:ascii="仿宋_GB2312" w:hAnsi="仿宋_GB2312" w:eastAsia="仿宋_GB2312" w:cs="仿宋_GB2312"/>
          <w:b w:val="0"/>
          <w:bCs/>
          <w:sz w:val="32"/>
          <w:szCs w:val="32"/>
          <w:lang w:val="en-US" w:eastAsia="zh-CN"/>
        </w:rPr>
        <w:t>日，</w:t>
      </w:r>
      <w:r>
        <w:rPr>
          <w:rFonts w:hint="eastAsia" w:ascii="仿宋_GB2312" w:hAnsi="仿宋_GB2312" w:eastAsia="仿宋_GB2312" w:cs="仿宋_GB2312"/>
          <w:sz w:val="32"/>
          <w:szCs w:val="32"/>
          <w:lang w:val="en-US" w:eastAsia="zh-CN"/>
        </w:rPr>
        <w:t>国家公共文化服务体系示范区创建经费已使用</w:t>
      </w:r>
      <w:r>
        <w:rPr>
          <w:rFonts w:hint="default" w:ascii="Times New Roman" w:hAnsi="Times New Roman" w:eastAsia="仿宋_GB2312" w:cs="Times New Roman"/>
          <w:color w:val="auto"/>
          <w:sz w:val="32"/>
          <w:szCs w:val="32"/>
          <w:lang w:val="en-US" w:eastAsia="zh-CN"/>
        </w:rPr>
        <w:t>27.25</w:t>
      </w:r>
      <w:r>
        <w:rPr>
          <w:rFonts w:hint="eastAsia" w:ascii="仿宋_GB2312" w:hAnsi="仿宋_GB2312" w:eastAsia="仿宋_GB2312" w:cs="仿宋_GB2312"/>
          <w:sz w:val="32"/>
          <w:szCs w:val="32"/>
          <w:lang w:val="en-US" w:eastAsia="zh-CN"/>
        </w:rPr>
        <w:t>万元，结余</w:t>
      </w:r>
      <w:r>
        <w:rPr>
          <w:rFonts w:hint="default" w:ascii="Times New Roman" w:hAnsi="Times New Roman" w:eastAsia="仿宋_GB2312" w:cs="Times New Roman"/>
          <w:sz w:val="32"/>
          <w:szCs w:val="32"/>
          <w:lang w:val="en-US" w:eastAsia="zh-CN"/>
        </w:rPr>
        <w:t>0</w:t>
      </w:r>
      <w:r>
        <w:rPr>
          <w:rFonts w:hint="eastAsia" w:ascii="仿宋_GB2312" w:hAnsi="仿宋_GB2312" w:eastAsia="仿宋_GB2312" w:cs="仿宋_GB2312"/>
          <w:sz w:val="32"/>
          <w:szCs w:val="32"/>
          <w:lang w:val="en-US" w:eastAsia="zh-CN"/>
        </w:rPr>
        <w:t>元。专项资金均用于提升公共文化服务质量，</w:t>
      </w:r>
      <w:r>
        <w:rPr>
          <w:rFonts w:hint="eastAsia" w:ascii="仿宋_GB2312" w:hAnsi="仿宋_GB2312" w:eastAsia="仿宋_GB2312" w:cs="仿宋_GB2312"/>
          <w:b w:val="0"/>
          <w:bCs/>
          <w:sz w:val="32"/>
          <w:szCs w:val="32"/>
          <w:lang w:val="en-US" w:eastAsia="zh-CN"/>
        </w:rPr>
        <w:t>资金支付合规合法，与预算相符。</w:t>
      </w:r>
    </w:p>
    <w:p w14:paraId="4C62803D">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（三）项目财务管理情况。</w:t>
      </w:r>
    </w:p>
    <w:p w14:paraId="3F69EEB6">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eastAsia="仿宋_GB2312"/>
          <w:sz w:val="32"/>
          <w:szCs w:val="32"/>
          <w:lang w:eastAsia="zh-CN"/>
        </w:rPr>
      </w:pPr>
      <w:r>
        <w:rPr>
          <w:rFonts w:hint="eastAsia" w:eastAsia="仿宋_GB2312"/>
          <w:sz w:val="32"/>
          <w:szCs w:val="32"/>
          <w:lang w:eastAsia="zh-CN"/>
        </w:rPr>
        <w:t>该项目在实施过程中严格按照《中华人民共和国预算法》《中华人民共和国公共文化服务保障法》等相关法律法规及项目管理制度等相关规定执行，所有项目资金按照相关文件精神合理、合规、合法使用，账务处理及时，会计核算规范。</w:t>
      </w:r>
    </w:p>
    <w:p w14:paraId="0E43CAA1">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黑体"/>
          <w:sz w:val="32"/>
          <w:szCs w:val="32"/>
        </w:rPr>
      </w:pPr>
      <w:r>
        <w:rPr>
          <w:rFonts w:eastAsia="黑体"/>
          <w:sz w:val="32"/>
          <w:szCs w:val="32"/>
        </w:rPr>
        <w:t>三、项目实施及管理情况</w:t>
      </w:r>
    </w:p>
    <w:p w14:paraId="55B5042C">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lang w:eastAsia="zh-CN"/>
        </w:rPr>
      </w:pPr>
      <w:r>
        <w:rPr>
          <w:rFonts w:eastAsia="楷体_GB2312"/>
          <w:sz w:val="32"/>
          <w:szCs w:val="32"/>
        </w:rPr>
        <w:t>（一）项目组织架构及实施流程。</w:t>
      </w:r>
    </w:p>
    <w:p w14:paraId="1E6F56C9">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hint="eastAsia" w:ascii="仿宋_GB2312" w:hAnsi="仿宋_GB2312" w:eastAsia="仿宋_GB2312" w:cs="仿宋_GB2312"/>
          <w:sz w:val="32"/>
          <w:szCs w:val="32"/>
          <w:lang w:eastAsia="zh-CN"/>
        </w:rPr>
        <w:t>项目资金由主管局进行监管，文化馆根据工作实际统筹安排，由馆内财务室管理项目资金进出，各业务室协助资金管理。</w:t>
      </w:r>
    </w:p>
    <w:p w14:paraId="70C41F32">
      <w:pPr>
        <w:keepNext w:val="0"/>
        <w:keepLines w:val="0"/>
        <w:pageBreakBefore w:val="0"/>
        <w:widowControl w:val="0"/>
        <w:numPr>
          <w:ilvl w:val="0"/>
          <w:numId w:val="1"/>
        </w:numPr>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项目管理情况。</w:t>
      </w:r>
    </w:p>
    <w:p w14:paraId="6825ED9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textAlignment w:val="auto"/>
        <w:rPr>
          <w:rFonts w:hint="eastAsia" w:eastAsia="仿宋_GB2312"/>
          <w:sz w:val="32"/>
          <w:szCs w:val="32"/>
          <w:lang w:val="en-US" w:eastAsia="zh-CN"/>
        </w:rPr>
      </w:pPr>
      <w:r>
        <w:rPr>
          <w:rFonts w:hint="eastAsia" w:eastAsia="仿宋_GB2312"/>
          <w:sz w:val="32"/>
          <w:szCs w:val="32"/>
          <w:lang w:eastAsia="zh-CN"/>
        </w:rPr>
        <w:t>该项目资金专款专用，杜绝挪用、挤占、滞留，严格按照中央和省、市财经法及相关管理办法，制定了专项资金管理制度，项目资金及时向社会公开。</w:t>
      </w:r>
    </w:p>
    <w:p w14:paraId="4B633B03">
      <w:pPr>
        <w:keepNext w:val="0"/>
        <w:keepLines w:val="0"/>
        <w:pageBreakBefore w:val="0"/>
        <w:widowControl w:val="0"/>
        <w:numPr>
          <w:ilvl w:val="0"/>
          <w:numId w:val="1"/>
        </w:numPr>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项目监管情况。</w:t>
      </w:r>
    </w:p>
    <w:p w14:paraId="2AF66595">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firstLine="640" w:firstLineChars="200"/>
        <w:textAlignment w:val="auto"/>
        <w:rPr>
          <w:rFonts w:eastAsia="仿宋_GB2312"/>
          <w:sz w:val="32"/>
          <w:szCs w:val="32"/>
        </w:rPr>
      </w:pPr>
      <w:r>
        <w:rPr>
          <w:rFonts w:hint="eastAsia" w:ascii="仿宋_GB2312" w:hAnsi="仿宋_GB2312" w:eastAsia="仿宋_GB2312" w:cs="仿宋_GB2312"/>
          <w:sz w:val="32"/>
          <w:szCs w:val="32"/>
          <w:lang w:val="en-US" w:eastAsia="zh-CN"/>
        </w:rPr>
        <w:t>县文广旅局和县财政局对该项目资金使用情况进行抽查，对资金的管理和使用进行跟踪监督。</w:t>
      </w:r>
    </w:p>
    <w:p w14:paraId="212B9465">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黑体"/>
          <w:sz w:val="32"/>
          <w:szCs w:val="32"/>
        </w:rPr>
      </w:pPr>
      <w:r>
        <w:rPr>
          <w:rFonts w:eastAsia="黑体"/>
          <w:sz w:val="32"/>
          <w:szCs w:val="32"/>
        </w:rPr>
        <w:t>四、项目绩效情况</w:t>
      </w:r>
      <w:r>
        <w:rPr>
          <w:rFonts w:eastAsia="黑体"/>
          <w:sz w:val="32"/>
          <w:szCs w:val="32"/>
        </w:rPr>
        <w:tab/>
      </w:r>
    </w:p>
    <w:p w14:paraId="6A9C0F12">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（一）项目完成情况。</w:t>
      </w:r>
    </w:p>
    <w:p w14:paraId="3057ACA2">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仿宋_GB2312"/>
          <w:sz w:val="32"/>
          <w:szCs w:val="32"/>
        </w:rPr>
      </w:pPr>
      <w:r>
        <w:rPr>
          <w:rFonts w:hint="eastAsia" w:eastAsia="仿宋_GB2312"/>
          <w:sz w:val="32"/>
          <w:szCs w:val="32"/>
          <w:lang w:eastAsia="zh-CN"/>
        </w:rPr>
        <w:t>文化馆和图书馆各免费开放室购置空调设备</w:t>
      </w:r>
      <w:r>
        <w:rPr>
          <w:rFonts w:hint="eastAsia" w:eastAsia="仿宋_GB2312"/>
          <w:sz w:val="32"/>
          <w:szCs w:val="32"/>
          <w:lang w:val="en-US" w:eastAsia="zh-CN"/>
        </w:rPr>
        <w:t>19台，</w:t>
      </w:r>
      <w:r>
        <w:rPr>
          <w:rFonts w:hint="eastAsia" w:eastAsia="仿宋_GB2312"/>
          <w:sz w:val="32"/>
          <w:szCs w:val="32"/>
          <w:lang w:eastAsia="zh-CN"/>
        </w:rPr>
        <w:t>计算机</w:t>
      </w:r>
      <w:r>
        <w:rPr>
          <w:rFonts w:hint="eastAsia" w:eastAsia="仿宋_GB2312"/>
          <w:sz w:val="32"/>
          <w:szCs w:val="32"/>
          <w:lang w:val="en-US" w:eastAsia="zh-CN"/>
        </w:rPr>
        <w:t>14台</w:t>
      </w:r>
      <w:r>
        <w:rPr>
          <w:rFonts w:hint="eastAsia" w:eastAsia="仿宋_GB2312"/>
          <w:sz w:val="32"/>
          <w:szCs w:val="32"/>
          <w:lang w:eastAsia="zh-CN"/>
        </w:rPr>
        <w:t>，图书馆购置图书</w:t>
      </w:r>
      <w:r>
        <w:rPr>
          <w:rFonts w:hint="eastAsia" w:eastAsia="仿宋_GB2312"/>
          <w:sz w:val="32"/>
          <w:szCs w:val="32"/>
          <w:lang w:val="en-US" w:eastAsia="zh-CN"/>
        </w:rPr>
        <w:t>8000册，并在免费开放室安装监控设备。为广大群众提供了更好的文化活动场所，满足了广大读者的阅读需求。</w:t>
      </w:r>
    </w:p>
    <w:p w14:paraId="7C12839A">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（二）项目效益情况。</w:t>
      </w:r>
    </w:p>
    <w:p w14:paraId="26DA3DA4">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1.经济效益。</w:t>
      </w:r>
      <w:r>
        <w:rPr>
          <w:rFonts w:hint="eastAsia" w:eastAsia="仿宋_GB2312"/>
          <w:sz w:val="32"/>
          <w:szCs w:val="32"/>
          <w:lang w:val="en-US" w:eastAsia="zh-CN"/>
        </w:rPr>
        <w:t>国家公共文化服务体系示范区创建属于公共文化惠民项目，不以营利为目的。</w:t>
      </w:r>
    </w:p>
    <w:p w14:paraId="29EB06B0">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2.社会效益。</w:t>
      </w:r>
      <w:r>
        <w:rPr>
          <w:rFonts w:hint="eastAsia" w:eastAsia="仿宋_GB2312"/>
          <w:sz w:val="32"/>
          <w:szCs w:val="32"/>
          <w:lang w:val="en-US" w:eastAsia="zh-CN"/>
        </w:rPr>
        <w:t>全县受益人口达3万余人次，保障群众基本文化权益，提升了群众文化生活品质。</w:t>
      </w:r>
    </w:p>
    <w:p w14:paraId="75A869CC">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3.生态效益。</w:t>
      </w:r>
      <w:r>
        <w:rPr>
          <w:rFonts w:hint="eastAsia" w:eastAsia="仿宋_GB2312"/>
          <w:sz w:val="32"/>
          <w:szCs w:val="32"/>
          <w:lang w:val="en-US" w:eastAsia="zh-CN"/>
        </w:rPr>
        <w:t>无垃圾、无固废，无噪声。</w:t>
      </w:r>
    </w:p>
    <w:p w14:paraId="7156E2F1">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4.可持续效益。</w:t>
      </w:r>
      <w:r>
        <w:rPr>
          <w:rFonts w:hint="eastAsia" w:eastAsia="仿宋_GB2312"/>
          <w:sz w:val="32"/>
          <w:szCs w:val="32"/>
          <w:lang w:val="en-US" w:eastAsia="zh-CN"/>
        </w:rPr>
        <w:t>满足广大群众精神文化需求，加强我县公共文化服务体系建设，为群众提供集中阅读的平台，进一步丰富广大群众的精神文化生活，提升盐边公共文化服务质量。</w:t>
      </w:r>
    </w:p>
    <w:p w14:paraId="3628C7D6">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eastAsia="仿宋_GB2312"/>
          <w:sz w:val="32"/>
          <w:szCs w:val="32"/>
          <w:lang w:val="en-US" w:eastAsia="zh-CN"/>
        </w:rPr>
      </w:pPr>
      <w:r>
        <w:rPr>
          <w:rFonts w:hint="eastAsia" w:ascii="仿宋_GB2312" w:hAnsi="仿宋_GB2312" w:eastAsia="仿宋_GB2312" w:cs="仿宋_GB2312"/>
          <w:b/>
          <w:bCs/>
          <w:sz w:val="32"/>
          <w:szCs w:val="32"/>
          <w:lang w:val="en-US" w:eastAsia="zh-CN"/>
        </w:rPr>
        <w:t>5.服务对象满意度。</w:t>
      </w:r>
      <w:r>
        <w:rPr>
          <w:rFonts w:hint="eastAsia" w:eastAsia="仿宋_GB2312"/>
          <w:sz w:val="32"/>
          <w:szCs w:val="32"/>
          <w:lang w:val="en-US" w:eastAsia="zh-CN"/>
        </w:rPr>
        <w:t>改善文化活动和集中阅读场所，受益群众满意率达92%以上。</w:t>
      </w:r>
    </w:p>
    <w:p w14:paraId="487866BF">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黑体"/>
          <w:sz w:val="32"/>
          <w:szCs w:val="32"/>
        </w:rPr>
      </w:pPr>
      <w:r>
        <w:rPr>
          <w:rFonts w:eastAsia="黑体"/>
          <w:sz w:val="32"/>
          <w:szCs w:val="32"/>
        </w:rPr>
        <w:t>五、评价结论及建议</w:t>
      </w:r>
    </w:p>
    <w:p w14:paraId="3E389CCE">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（一）评价结论。</w:t>
      </w:r>
    </w:p>
    <w:p w14:paraId="542E22DF">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仿宋_GB2312"/>
          <w:sz w:val="32"/>
          <w:szCs w:val="32"/>
        </w:rPr>
      </w:pPr>
      <w:r>
        <w:rPr>
          <w:rFonts w:hint="eastAsia" w:eastAsia="仿宋_GB2312"/>
          <w:sz w:val="32"/>
          <w:szCs w:val="32"/>
          <w:lang w:val="en-US" w:eastAsia="zh-CN"/>
        </w:rPr>
        <w:t>该项目资金使用科学合理、管理规范、监管到位，完成较好，质量较高，运行保障有力，各项效益明显，群众反响较好，社会效益显著。</w:t>
      </w:r>
    </w:p>
    <w:p w14:paraId="2245DA12">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（二）存在的问题。</w:t>
      </w:r>
    </w:p>
    <w:p w14:paraId="09DD3616">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eastAsia="仿宋_GB2312"/>
          <w:sz w:val="32"/>
          <w:szCs w:val="32"/>
          <w:lang w:eastAsia="zh-CN"/>
        </w:rPr>
      </w:pPr>
      <w:r>
        <w:rPr>
          <w:rFonts w:hint="eastAsia" w:eastAsia="仿宋_GB2312"/>
          <w:b/>
          <w:bCs/>
          <w:sz w:val="32"/>
          <w:szCs w:val="32"/>
          <w:lang w:eastAsia="zh-CN"/>
        </w:rPr>
        <w:t>一是</w:t>
      </w:r>
      <w:r>
        <w:rPr>
          <w:rFonts w:hint="eastAsia" w:eastAsia="仿宋_GB2312"/>
          <w:sz w:val="32"/>
          <w:szCs w:val="32"/>
          <w:lang w:eastAsia="zh-CN"/>
        </w:rPr>
        <w:t>盐边县地域辽阔，人口居住分散，文化馆和图书馆活动场馆不能满足全县人民的文化需求。</w:t>
      </w:r>
    </w:p>
    <w:p w14:paraId="7812D664">
      <w:pPr>
        <w:keepNext w:val="0"/>
        <w:keepLines w:val="0"/>
        <w:pageBreakBefore w:val="0"/>
        <w:widowControl w:val="0"/>
        <w:kinsoku/>
        <w:wordWrap/>
        <w:overflowPunct/>
        <w:topLinePunct w:val="0"/>
        <w:autoSpaceDE/>
        <w:autoSpaceDN/>
        <w:bidi w:val="0"/>
        <w:adjustRightInd/>
        <w:snapToGrid/>
        <w:spacing w:line="590" w:lineRule="exact"/>
        <w:ind w:left="0" w:leftChars="0" w:firstLine="643" w:firstLineChars="200"/>
        <w:textAlignment w:val="auto"/>
        <w:rPr>
          <w:rFonts w:hint="eastAsia" w:eastAsia="仿宋_GB2312"/>
          <w:sz w:val="32"/>
          <w:szCs w:val="32"/>
          <w:lang w:eastAsia="zh-CN"/>
        </w:rPr>
      </w:pPr>
      <w:r>
        <w:rPr>
          <w:rFonts w:hint="eastAsia" w:eastAsia="仿宋_GB2312"/>
          <w:b/>
          <w:bCs/>
          <w:sz w:val="32"/>
          <w:szCs w:val="32"/>
          <w:lang w:eastAsia="zh-CN"/>
        </w:rPr>
        <w:t>二是</w:t>
      </w:r>
      <w:r>
        <w:rPr>
          <w:rFonts w:hint="eastAsia" w:eastAsia="仿宋_GB2312"/>
          <w:sz w:val="32"/>
          <w:szCs w:val="32"/>
          <w:lang w:eastAsia="zh-CN"/>
        </w:rPr>
        <w:t>缺乏公共文化服务经费。</w:t>
      </w:r>
    </w:p>
    <w:p w14:paraId="7E93AAED">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eastAsia="楷体_GB2312"/>
          <w:sz w:val="32"/>
          <w:szCs w:val="32"/>
        </w:rPr>
      </w:pPr>
      <w:r>
        <w:rPr>
          <w:rFonts w:eastAsia="楷体_GB2312"/>
          <w:sz w:val="32"/>
          <w:szCs w:val="32"/>
        </w:rPr>
        <w:t>（三）相关建议。</w:t>
      </w:r>
    </w:p>
    <w:p w14:paraId="475DC01C">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建议增加公共文化服务资金量和专业人才，提高整体公共文化服务水平。</w:t>
      </w:r>
    </w:p>
    <w:p w14:paraId="560AA4C7">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eastAsia="仿宋_GB2312"/>
          <w:sz w:val="32"/>
          <w:szCs w:val="32"/>
          <w:lang w:eastAsia="zh-CN"/>
        </w:rPr>
      </w:pPr>
    </w:p>
    <w:p w14:paraId="0F271A6F">
      <w:pPr>
        <w:keepNext w:val="0"/>
        <w:keepLines w:val="0"/>
        <w:pageBreakBefore w:val="0"/>
        <w:widowControl w:val="0"/>
        <w:kinsoku/>
        <w:wordWrap/>
        <w:overflowPunct/>
        <w:topLinePunct w:val="0"/>
        <w:autoSpaceDE/>
        <w:autoSpaceDN/>
        <w:bidi w:val="0"/>
        <w:adjustRightInd/>
        <w:snapToGrid/>
        <w:spacing w:line="590" w:lineRule="exact"/>
        <w:ind w:left="0" w:leftChars="0"/>
        <w:textAlignment w:val="auto"/>
        <w:rPr>
          <w:rFonts w:hint="eastAsia" w:ascii="仿宋_GB2312" w:eastAsia="仿宋_GB2312"/>
          <w:sz w:val="32"/>
          <w:szCs w:val="32"/>
          <w:lang w:eastAsia="zh-CN"/>
        </w:rPr>
      </w:pPr>
    </w:p>
    <w:p w14:paraId="6E613753">
      <w:pPr>
        <w:keepNext w:val="0"/>
        <w:keepLines w:val="0"/>
        <w:pageBreakBefore w:val="0"/>
        <w:widowControl w:val="0"/>
        <w:kinsoku/>
        <w:wordWrap/>
        <w:overflowPunct/>
        <w:topLinePunct w:val="0"/>
        <w:autoSpaceDE/>
        <w:autoSpaceDN/>
        <w:bidi w:val="0"/>
        <w:adjustRightInd/>
        <w:snapToGrid/>
        <w:spacing w:line="590" w:lineRule="exact"/>
        <w:ind w:left="0" w:leftChars="0" w:firstLine="4800" w:firstLineChars="1500"/>
        <w:textAlignment w:val="auto"/>
        <w:rPr>
          <w:rFonts w:hint="eastAsia" w:ascii="仿宋_GB2312" w:eastAsia="仿宋_GB2312"/>
          <w:sz w:val="32"/>
          <w:szCs w:val="32"/>
          <w:lang w:val="en-US" w:eastAsia="zh-CN"/>
        </w:rPr>
      </w:pPr>
      <w:r>
        <w:rPr>
          <w:rFonts w:hint="eastAsia" w:ascii="仿宋_GB2312" w:eastAsia="仿宋_GB2312"/>
          <w:sz w:val="32"/>
          <w:szCs w:val="32"/>
          <w:lang w:eastAsia="zh-CN"/>
        </w:rPr>
        <w:t>盐边县文化馆</w:t>
      </w:r>
      <w:r>
        <w:rPr>
          <w:rFonts w:hint="eastAsia" w:ascii="仿宋_GB2312" w:eastAsia="仿宋_GB2312"/>
          <w:sz w:val="32"/>
          <w:szCs w:val="32"/>
          <w:lang w:val="en-US" w:eastAsia="zh-CN"/>
        </w:rPr>
        <w:t xml:space="preserve">      </w:t>
      </w:r>
    </w:p>
    <w:p w14:paraId="2142AF99">
      <w:pPr>
        <w:keepNext w:val="0"/>
        <w:keepLines w:val="0"/>
        <w:pageBreakBefore w:val="0"/>
        <w:widowControl w:val="0"/>
        <w:kinsoku/>
        <w:wordWrap/>
        <w:overflowPunct/>
        <w:topLinePunct w:val="0"/>
        <w:autoSpaceDE/>
        <w:autoSpaceDN/>
        <w:bidi w:val="0"/>
        <w:adjustRightInd/>
        <w:snapToGrid/>
        <w:spacing w:line="590" w:lineRule="exact"/>
        <w:ind w:left="0" w:leftChars="0" w:firstLine="4800" w:firstLineChars="1500"/>
        <w:textAlignment w:val="auto"/>
        <w:rPr>
          <w:rFonts w:hint="eastAsia" w:ascii="仿宋_GB2312" w:eastAsia="仿宋_GB2312"/>
          <w:sz w:val="32"/>
          <w:szCs w:val="32"/>
        </w:rPr>
      </w:pPr>
      <w:r>
        <w:rPr>
          <w:rFonts w:hint="default" w:ascii="Times New Roman" w:hAnsi="Times New Roman" w:eastAsia="仿宋_GB2312" w:cs="Times New Roman"/>
          <w:sz w:val="32"/>
          <w:szCs w:val="32"/>
          <w:lang w:val="en-US" w:eastAsia="zh-CN"/>
        </w:rPr>
        <w:t>2021</w:t>
      </w:r>
      <w:r>
        <w:rPr>
          <w:rFonts w:hint="eastAsia" w:ascii="仿宋_GB2312" w:eastAsia="仿宋_GB2312"/>
          <w:sz w:val="32"/>
          <w:szCs w:val="32"/>
          <w:lang w:val="en-US" w:eastAsia="zh-CN"/>
        </w:rPr>
        <w:t>年</w:t>
      </w:r>
      <w:r>
        <w:rPr>
          <w:rFonts w:hint="default" w:ascii="Times New Roman" w:hAnsi="Times New Roman" w:eastAsia="仿宋_GB2312" w:cs="Times New Roman"/>
          <w:sz w:val="32"/>
          <w:szCs w:val="32"/>
          <w:lang w:val="en-US" w:eastAsia="zh-CN"/>
        </w:rPr>
        <w:t>9</w:t>
      </w:r>
      <w:r>
        <w:rPr>
          <w:rFonts w:hint="eastAsia" w:ascii="仿宋_GB2312" w:eastAsia="仿宋_GB2312"/>
          <w:sz w:val="32"/>
          <w:szCs w:val="32"/>
          <w:lang w:val="en-US" w:eastAsia="zh-CN"/>
        </w:rPr>
        <w:t>月</w:t>
      </w:r>
      <w:r>
        <w:rPr>
          <w:rFonts w:hint="default" w:ascii="Times New Roman" w:hAnsi="Times New Roman" w:eastAsia="仿宋_GB2312" w:cs="Times New Roman"/>
          <w:sz w:val="32"/>
          <w:szCs w:val="32"/>
          <w:lang w:val="en-US" w:eastAsia="zh-CN"/>
        </w:rPr>
        <w:t>8</w:t>
      </w:r>
      <w:r>
        <w:rPr>
          <w:rFonts w:hint="eastAsia" w:ascii="仿宋_GB2312" w:eastAsia="仿宋_GB2312"/>
          <w:sz w:val="32"/>
          <w:szCs w:val="32"/>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8F960D"/>
    <w:multiLevelType w:val="singleLevel"/>
    <w:tmpl w:val="0F8F960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BmMGQ0ZTdmOGEwODA0MTQ0NDFlYWVlZmY1NWY4MGIifQ=="/>
  </w:docVars>
  <w:rsids>
    <w:rsidRoot w:val="00E96F9E"/>
    <w:rsid w:val="00C22052"/>
    <w:rsid w:val="00C366D5"/>
    <w:rsid w:val="00E96F9E"/>
    <w:rsid w:val="01802BB3"/>
    <w:rsid w:val="019C6914"/>
    <w:rsid w:val="063A2F61"/>
    <w:rsid w:val="08B66C39"/>
    <w:rsid w:val="0A230F42"/>
    <w:rsid w:val="0ACC1EB4"/>
    <w:rsid w:val="109C2E9D"/>
    <w:rsid w:val="12854107"/>
    <w:rsid w:val="139123DB"/>
    <w:rsid w:val="16300E8C"/>
    <w:rsid w:val="17B712E0"/>
    <w:rsid w:val="196F3E70"/>
    <w:rsid w:val="1BB90DC1"/>
    <w:rsid w:val="1C747DA0"/>
    <w:rsid w:val="20D94E51"/>
    <w:rsid w:val="22E22E93"/>
    <w:rsid w:val="23AD1813"/>
    <w:rsid w:val="27B60CC9"/>
    <w:rsid w:val="2B8A0160"/>
    <w:rsid w:val="2C5F7FB9"/>
    <w:rsid w:val="33B22CE5"/>
    <w:rsid w:val="33FA1576"/>
    <w:rsid w:val="36C54A23"/>
    <w:rsid w:val="38CF6709"/>
    <w:rsid w:val="399E668E"/>
    <w:rsid w:val="411502DA"/>
    <w:rsid w:val="4E222AC4"/>
    <w:rsid w:val="51D04E20"/>
    <w:rsid w:val="51F14E7C"/>
    <w:rsid w:val="54FD73C5"/>
    <w:rsid w:val="5506404E"/>
    <w:rsid w:val="55FF5147"/>
    <w:rsid w:val="567B2827"/>
    <w:rsid w:val="59C25E4D"/>
    <w:rsid w:val="5B1F5718"/>
    <w:rsid w:val="5F47361F"/>
    <w:rsid w:val="61E42F7D"/>
    <w:rsid w:val="622730AD"/>
    <w:rsid w:val="63DC3674"/>
    <w:rsid w:val="716E69FF"/>
    <w:rsid w:val="732E13D7"/>
    <w:rsid w:val="74E76F27"/>
    <w:rsid w:val="77061D6D"/>
    <w:rsid w:val="77971801"/>
    <w:rsid w:val="7B622465"/>
    <w:rsid w:val="7DAA4650"/>
    <w:rsid w:val="7F9F42F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宋体" w:cs="Times New Roman"/>
      <w:kern w:val="2"/>
      <w:sz w:val="18"/>
      <w:szCs w:val="18"/>
    </w:rPr>
  </w:style>
  <w:style w:type="character" w:customStyle="1" w:styleId="7">
    <w:name w:val="页脚 Char"/>
    <w:basedOn w:val="5"/>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2064</Words>
  <Characters>2169</Characters>
  <Lines>9</Lines>
  <Paragraphs>2</Paragraphs>
  <TotalTime>30</TotalTime>
  <ScaleCrop>false</ScaleCrop>
  <LinksUpToDate>false</LinksUpToDate>
  <CharactersWithSpaces>2176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2021-08-18T08:10:00Z</dcterms:created>
  <dc:creator>Administrator</dc:creator>
  <cp:lastModifiedBy>Owner</cp:lastModifiedBy>
  <cp:lastPrinted>2021-09-16T01:58:00Z</cp:lastPrinted>
  <dcterms:modified xsi:type="dcterms:W3CDTF">2026-08-20T10:20:20Z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9C89156186264BCB8A5A3BCA27DECCBE</vt:lpwstr>
  </property>
  <property fmtid="{D5CDD505-2E9C-101B-9397-08002B2CF9AE}" pid="4" name="KSOTemplateDocerSaveRecord">
    <vt:lpwstr>eyJoZGlkIjoiZDg0NDNiYTUxOWU4N2FhYTE5YTc3OTM5YzA0NWVjYWEiLCJ1c2VySWQiOiIxMzY3NTIyMzE2In0=</vt:lpwstr>
  </property>
</Properties>
</file>