
<file path=[Content_Types].xml><?xml version="1.0" encoding="utf-8"?>
<Types xmlns="http://schemas.openxmlformats.org/package/2006/content-types">
  <Default Extension="xml" ContentType="application/xml"/>
  <Default Extension="xls" ContentType="application/vnd.ms-exce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DC34F">
      <w:pPr>
        <w:spacing w:line="600" w:lineRule="exact"/>
        <w:jc w:val="center"/>
        <w:outlineLvl w:val="0"/>
        <w:rPr>
          <w:rFonts w:ascii="方正小标宋简体" w:hAnsi="宋体" w:eastAsia="方正小标宋简体"/>
          <w:sz w:val="72"/>
          <w:szCs w:val="72"/>
        </w:rPr>
      </w:pPr>
      <w:bookmarkStart w:id="0" w:name="_Toc15377193"/>
      <w:bookmarkStart w:id="1" w:name="_Toc15377425"/>
      <w:bookmarkStart w:id="2" w:name="_Toc15378441"/>
      <w:bookmarkStart w:id="3" w:name="_Toc15396475"/>
      <w:bookmarkStart w:id="4" w:name="_Toc15396597"/>
      <w:bookmarkStart w:id="5" w:name="_Toc15306267"/>
    </w:p>
    <w:p w14:paraId="5C3FEA44">
      <w:pPr>
        <w:spacing w:line="600" w:lineRule="exact"/>
        <w:jc w:val="center"/>
        <w:outlineLvl w:val="0"/>
        <w:rPr>
          <w:rFonts w:ascii="方正小标宋简体" w:hAnsi="宋体" w:eastAsia="方正小标宋简体"/>
          <w:sz w:val="72"/>
          <w:szCs w:val="72"/>
        </w:rPr>
      </w:pPr>
    </w:p>
    <w:p w14:paraId="13381020">
      <w:pPr>
        <w:spacing w:line="600" w:lineRule="exact"/>
        <w:jc w:val="center"/>
        <w:outlineLvl w:val="0"/>
        <w:rPr>
          <w:rFonts w:ascii="方正小标宋简体" w:hAnsi="宋体" w:eastAsia="方正小标宋简体"/>
          <w:sz w:val="72"/>
          <w:szCs w:val="72"/>
        </w:rPr>
      </w:pPr>
    </w:p>
    <w:p w14:paraId="0C1ECC30">
      <w:pPr>
        <w:spacing w:line="600" w:lineRule="exact"/>
        <w:jc w:val="center"/>
        <w:outlineLvl w:val="0"/>
        <w:rPr>
          <w:rFonts w:ascii="方正小标宋简体" w:hAnsi="宋体" w:eastAsia="方正小标宋简体"/>
          <w:sz w:val="72"/>
          <w:szCs w:val="72"/>
        </w:rPr>
      </w:pPr>
    </w:p>
    <w:p w14:paraId="503758D3">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ascii="方正小标宋简体" w:hAnsi="方正小标宋简体" w:eastAsia="方正小标宋简体" w:cs="方正小标宋简体"/>
          <w:sz w:val="72"/>
          <w:szCs w:val="72"/>
        </w:rPr>
        <w:t>2021</w:t>
      </w:r>
      <w:r>
        <w:rPr>
          <w:rFonts w:hint="eastAsia" w:ascii="方正小标宋简体" w:hAnsi="方正小标宋简体" w:eastAsia="方正小标宋简体" w:cs="方正小标宋简体"/>
          <w:sz w:val="72"/>
          <w:szCs w:val="72"/>
        </w:rPr>
        <w:t>年度</w:t>
      </w:r>
      <w:bookmarkEnd w:id="0"/>
      <w:bookmarkEnd w:id="1"/>
      <w:bookmarkEnd w:id="2"/>
      <w:bookmarkEnd w:id="3"/>
      <w:bookmarkEnd w:id="4"/>
    </w:p>
    <w:p w14:paraId="6EA9065C">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377194"/>
      <w:bookmarkStart w:id="7" w:name="_Toc15396598"/>
      <w:bookmarkStart w:id="8" w:name="_Toc15378442"/>
      <w:bookmarkStart w:id="9" w:name="_Toc15377426"/>
      <w:bookmarkStart w:id="10" w:name="_Toc15396476"/>
      <w:r>
        <w:rPr>
          <w:rFonts w:hint="eastAsia" w:ascii="方正小标宋简体" w:hAnsi="方正小标宋简体" w:eastAsia="方正小标宋简体" w:cs="方正小标宋简体"/>
          <w:sz w:val="72"/>
          <w:szCs w:val="72"/>
        </w:rPr>
        <w:t>盐边县</w:t>
      </w:r>
      <w:bookmarkEnd w:id="5"/>
      <w:bookmarkStart w:id="11" w:name="_Toc15306268"/>
      <w:r>
        <w:rPr>
          <w:rFonts w:hint="eastAsia" w:ascii="方正小标宋简体" w:hAnsi="方正小标宋简体" w:eastAsia="方正小标宋简体" w:cs="方正小标宋简体"/>
          <w:sz w:val="72"/>
          <w:szCs w:val="72"/>
        </w:rPr>
        <w:t>融媒体中心</w:t>
      </w:r>
    </w:p>
    <w:p w14:paraId="3B4513EE">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部门决算</w:t>
      </w:r>
      <w:bookmarkEnd w:id="6"/>
      <w:bookmarkEnd w:id="7"/>
      <w:bookmarkEnd w:id="8"/>
      <w:bookmarkEnd w:id="9"/>
      <w:bookmarkEnd w:id="10"/>
      <w:bookmarkEnd w:id="11"/>
    </w:p>
    <w:p w14:paraId="7567FEFB">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6F09B922">
      <w:pPr>
        <w:widowControl/>
        <w:jc w:val="center"/>
        <w:rPr>
          <w:rFonts w:ascii="黑体" w:hAnsi="黑体" w:eastAsia="黑体"/>
          <w:sz w:val="28"/>
          <w:szCs w:val="28"/>
        </w:rPr>
      </w:pPr>
    </w:p>
    <w:p w14:paraId="6AE5D8DF">
      <w:pPr>
        <w:pStyle w:val="11"/>
      </w:pPr>
      <w:r>
        <w:rPr>
          <w:rFonts w:hint="eastAsia"/>
        </w:rPr>
        <w:t>公开时间：</w:t>
      </w:r>
      <w:r>
        <w:t>2022</w:t>
      </w:r>
      <w:r>
        <w:rPr>
          <w:rFonts w:hint="eastAsia"/>
        </w:rPr>
        <w:t>年</w:t>
      </w:r>
      <w:r>
        <w:t>10</w:t>
      </w:r>
      <w:r>
        <w:rPr>
          <w:rFonts w:hint="eastAsia"/>
        </w:rPr>
        <w:t>月</w:t>
      </w:r>
      <w:r>
        <w:t>20</w:t>
      </w:r>
      <w:r>
        <w:rPr>
          <w:rFonts w:hint="eastAsia"/>
        </w:rPr>
        <w:t>日</w:t>
      </w:r>
    </w:p>
    <w:p w14:paraId="43D2D2BC"/>
    <w:p w14:paraId="39D35323">
      <w:r>
        <w:rPr>
          <w:rFonts w:hint="eastAsia"/>
        </w:rPr>
        <w:t>第一部分部门概况</w:t>
      </w:r>
      <w:r>
        <w:t>............................................................................</w:t>
      </w:r>
      <w:r>
        <w:rPr>
          <w:rFonts w:hint="eastAsia"/>
        </w:rPr>
        <w:t>..........................</w:t>
      </w:r>
      <w:r>
        <w:t>..............</w:t>
      </w:r>
      <w:r>
        <w:rPr>
          <w:rFonts w:ascii="宋体" w:hAnsi="宋体"/>
          <w:szCs w:val="21"/>
        </w:rPr>
        <w:t>4</w:t>
      </w:r>
    </w:p>
    <w:p w14:paraId="131F5C79">
      <w:pPr>
        <w:pStyle w:val="12"/>
        <w:adjustRightInd w:val="0"/>
        <w:snapToGrid w:val="0"/>
        <w:spacing w:line="440" w:lineRule="exact"/>
        <w:jc w:val="left"/>
        <w:rPr>
          <w:sz w:val="24"/>
        </w:rPr>
      </w:pPr>
      <w:r>
        <w:rPr>
          <w:rFonts w:hint="eastAsia"/>
        </w:rPr>
        <w:t>一、基本职能及主要工作</w:t>
      </w:r>
      <w:r>
        <w:rPr>
          <w:sz w:val="24"/>
        </w:rPr>
        <w:t>......................................................................................</w:t>
      </w:r>
      <w:r>
        <w:rPr>
          <w:rFonts w:ascii="宋体" w:hAnsi="宋体"/>
        </w:rPr>
        <w:t>4</w:t>
      </w:r>
    </w:p>
    <w:p w14:paraId="6BF0C1E3">
      <w:pPr>
        <w:pStyle w:val="12"/>
        <w:adjustRightInd w:val="0"/>
        <w:snapToGrid w:val="0"/>
        <w:spacing w:line="440" w:lineRule="exact"/>
        <w:jc w:val="left"/>
        <w:rPr>
          <w:rFonts w:ascii="仿宋" w:hAnsi="仿宋" w:eastAsia="仿宋"/>
          <w:sz w:val="24"/>
        </w:rPr>
      </w:pPr>
      <w:r>
        <w:rPr>
          <w:rFonts w:hint="eastAsia"/>
          <w:sz w:val="24"/>
        </w:rPr>
        <w:t>二、机构设置</w:t>
      </w:r>
      <w:r>
        <w:rPr>
          <w:sz w:val="24"/>
        </w:rPr>
        <w:t>....................................................................................................</w:t>
      </w:r>
      <w:r>
        <w:rPr>
          <w:rFonts w:ascii="宋体" w:hAnsi="宋体"/>
          <w:szCs w:val="21"/>
        </w:rPr>
        <w:t>6</w:t>
      </w:r>
    </w:p>
    <w:p w14:paraId="0540630F">
      <w:r>
        <w:rPr>
          <w:rFonts w:hint="eastAsia"/>
        </w:rPr>
        <w:t>第二部分</w:t>
      </w:r>
      <w:r>
        <w:t xml:space="preserve"> 2021</w:t>
      </w:r>
      <w:r>
        <w:rPr>
          <w:rFonts w:hint="eastAsia"/>
        </w:rPr>
        <w:t>年度部门决算情况说明</w:t>
      </w:r>
      <w:r>
        <w:t>..................</w:t>
      </w:r>
      <w:r>
        <w:rPr>
          <w:rFonts w:hint="eastAsia"/>
        </w:rPr>
        <w:t>........................</w:t>
      </w:r>
      <w:r>
        <w:t>.......................................</w:t>
      </w:r>
      <w:r>
        <w:rPr>
          <w:rFonts w:ascii="宋体" w:hAnsi="宋体"/>
          <w:szCs w:val="21"/>
        </w:rPr>
        <w:t>7</w:t>
      </w:r>
    </w:p>
    <w:p w14:paraId="4456C8FE">
      <w:pPr>
        <w:pStyle w:val="12"/>
        <w:adjustRightInd w:val="0"/>
        <w:snapToGrid w:val="0"/>
        <w:spacing w:line="440" w:lineRule="exact"/>
        <w:jc w:val="left"/>
        <w:rPr>
          <w:rFonts w:ascii="仿宋" w:hAnsi="仿宋" w:eastAsia="仿宋"/>
          <w:sz w:val="24"/>
        </w:rPr>
      </w:pPr>
      <w:r>
        <w:rPr>
          <w:rFonts w:hint="eastAsia"/>
          <w:sz w:val="24"/>
        </w:rPr>
        <w:t>一、收入支出决算总体情况说明</w:t>
      </w:r>
      <w:r>
        <w:rPr>
          <w:sz w:val="24"/>
        </w:rPr>
        <w:t>....................................................................</w:t>
      </w:r>
      <w:r>
        <w:rPr>
          <w:rFonts w:ascii="宋体" w:hAnsi="宋体"/>
          <w:szCs w:val="21"/>
        </w:rPr>
        <w:t>7</w:t>
      </w:r>
    </w:p>
    <w:p w14:paraId="40802A05">
      <w:pPr>
        <w:pStyle w:val="12"/>
        <w:adjustRightInd w:val="0"/>
        <w:snapToGrid w:val="0"/>
        <w:spacing w:line="440" w:lineRule="exact"/>
        <w:jc w:val="left"/>
        <w:rPr>
          <w:rFonts w:ascii="仿宋" w:hAnsi="仿宋" w:eastAsia="仿宋"/>
          <w:sz w:val="24"/>
        </w:rPr>
      </w:pPr>
      <w:r>
        <w:rPr>
          <w:rFonts w:hint="eastAsia"/>
          <w:sz w:val="24"/>
        </w:rPr>
        <w:t>二、收入决算情况说明</w:t>
      </w:r>
      <w:r>
        <w:rPr>
          <w:sz w:val="24"/>
        </w:rPr>
        <w:t>....................................................................................</w:t>
      </w:r>
      <w:r>
        <w:rPr>
          <w:rFonts w:ascii="宋体" w:hAnsi="宋体"/>
          <w:szCs w:val="21"/>
        </w:rPr>
        <w:t>7</w:t>
      </w:r>
    </w:p>
    <w:p w14:paraId="78671246">
      <w:pPr>
        <w:pStyle w:val="12"/>
        <w:adjustRightInd w:val="0"/>
        <w:snapToGrid w:val="0"/>
        <w:spacing w:line="440" w:lineRule="exact"/>
        <w:jc w:val="left"/>
        <w:rPr>
          <w:rFonts w:ascii="仿宋" w:hAnsi="仿宋" w:eastAsia="仿宋"/>
          <w:sz w:val="24"/>
        </w:rPr>
      </w:pPr>
      <w:r>
        <w:rPr>
          <w:rFonts w:hint="eastAsia"/>
          <w:sz w:val="24"/>
        </w:rPr>
        <w:t>三、支出决算情况说明</w:t>
      </w:r>
      <w:r>
        <w:rPr>
          <w:sz w:val="24"/>
        </w:rPr>
        <w:t>....................................................................................</w:t>
      </w:r>
      <w:r>
        <w:rPr>
          <w:rFonts w:ascii="宋体" w:hAnsi="宋体"/>
          <w:szCs w:val="21"/>
        </w:rPr>
        <w:t>8</w:t>
      </w:r>
    </w:p>
    <w:p w14:paraId="5100AFA4">
      <w:pPr>
        <w:pStyle w:val="12"/>
        <w:adjustRightInd w:val="0"/>
        <w:snapToGrid w:val="0"/>
        <w:spacing w:line="440" w:lineRule="exact"/>
        <w:jc w:val="left"/>
        <w:rPr>
          <w:rFonts w:ascii="仿宋" w:hAnsi="仿宋" w:eastAsia="仿宋"/>
          <w:sz w:val="24"/>
        </w:rPr>
      </w:pPr>
      <w:r>
        <w:rPr>
          <w:rFonts w:hint="eastAsia"/>
          <w:sz w:val="24"/>
        </w:rPr>
        <w:t>四、财政拨款收入支出决算总体情况说明</w:t>
      </w:r>
      <w:r>
        <w:rPr>
          <w:sz w:val="24"/>
        </w:rPr>
        <w:t>....................................................</w:t>
      </w:r>
      <w:r>
        <w:rPr>
          <w:rFonts w:ascii="宋体" w:hAnsi="宋体"/>
          <w:szCs w:val="21"/>
        </w:rPr>
        <w:t>8</w:t>
      </w:r>
    </w:p>
    <w:p w14:paraId="2A0F7586">
      <w:pPr>
        <w:pStyle w:val="12"/>
        <w:adjustRightInd w:val="0"/>
        <w:snapToGrid w:val="0"/>
        <w:spacing w:line="440" w:lineRule="exact"/>
        <w:jc w:val="left"/>
        <w:rPr>
          <w:rFonts w:ascii="仿宋" w:hAnsi="仿宋" w:eastAsia="仿宋"/>
          <w:sz w:val="24"/>
        </w:rPr>
      </w:pPr>
      <w:r>
        <w:rPr>
          <w:rFonts w:hint="eastAsia"/>
          <w:sz w:val="24"/>
        </w:rPr>
        <w:t>五、一般公共预算财政拨款支出决算情况说明</w:t>
      </w:r>
      <w:r>
        <w:rPr>
          <w:sz w:val="24"/>
        </w:rPr>
        <w:t>............................................</w:t>
      </w:r>
      <w:r>
        <w:rPr>
          <w:rFonts w:ascii="宋体" w:hAnsi="宋体"/>
          <w:szCs w:val="21"/>
        </w:rPr>
        <w:t>9</w:t>
      </w:r>
    </w:p>
    <w:p w14:paraId="3026104D">
      <w:pPr>
        <w:pStyle w:val="12"/>
        <w:adjustRightInd w:val="0"/>
        <w:snapToGrid w:val="0"/>
        <w:spacing w:line="440" w:lineRule="exact"/>
        <w:jc w:val="left"/>
        <w:rPr>
          <w:sz w:val="24"/>
        </w:rPr>
      </w:pPr>
      <w:r>
        <w:rPr>
          <w:rFonts w:hint="eastAsia"/>
          <w:sz w:val="24"/>
        </w:rPr>
        <w:t>六、一般公共预算财政拨款基本支出决算情况说明</w:t>
      </w:r>
      <w:r>
        <w:rPr>
          <w:sz w:val="24"/>
        </w:rPr>
        <w:t>...................................</w:t>
      </w:r>
      <w:r>
        <w:rPr>
          <w:rFonts w:ascii="宋体" w:hAnsi="宋体"/>
          <w:szCs w:val="21"/>
        </w:rPr>
        <w:t>11</w:t>
      </w:r>
    </w:p>
    <w:p w14:paraId="375ACBC6">
      <w:pPr>
        <w:pStyle w:val="12"/>
        <w:adjustRightInd w:val="0"/>
        <w:snapToGrid w:val="0"/>
        <w:spacing w:line="440" w:lineRule="exact"/>
        <w:jc w:val="left"/>
        <w:rPr>
          <w:rFonts w:ascii="仿宋" w:hAnsi="仿宋" w:eastAsia="仿宋"/>
          <w:sz w:val="24"/>
        </w:rPr>
      </w:pPr>
      <w:r>
        <w:rPr>
          <w:rFonts w:hint="eastAsia"/>
          <w:sz w:val="24"/>
        </w:rPr>
        <w:t>七、“三公”经费财政拨款支出决算情况说明</w:t>
      </w:r>
      <w:r>
        <w:rPr>
          <w:sz w:val="24"/>
        </w:rPr>
        <w:t>...........................................</w:t>
      </w:r>
      <w:r>
        <w:rPr>
          <w:rFonts w:ascii="宋体" w:hAnsi="宋体"/>
          <w:szCs w:val="21"/>
        </w:rPr>
        <w:t>11</w:t>
      </w:r>
    </w:p>
    <w:p w14:paraId="31945950">
      <w:pPr>
        <w:pStyle w:val="12"/>
        <w:adjustRightInd w:val="0"/>
        <w:snapToGrid w:val="0"/>
        <w:spacing w:line="440" w:lineRule="exact"/>
        <w:jc w:val="left"/>
        <w:rPr>
          <w:rFonts w:ascii="仿宋" w:hAnsi="仿宋" w:eastAsia="仿宋"/>
          <w:sz w:val="24"/>
        </w:rPr>
      </w:pPr>
      <w:r>
        <w:rPr>
          <w:rFonts w:hint="eastAsia"/>
          <w:sz w:val="24"/>
        </w:rPr>
        <w:t>八、政府性基金预算支出决算情况说明</w:t>
      </w:r>
      <w:r>
        <w:rPr>
          <w:sz w:val="24"/>
        </w:rPr>
        <w:t>.......................................................</w:t>
      </w:r>
      <w:r>
        <w:rPr>
          <w:rFonts w:ascii="宋体" w:hAnsi="宋体"/>
          <w:szCs w:val="21"/>
        </w:rPr>
        <w:t>12</w:t>
      </w:r>
    </w:p>
    <w:p w14:paraId="7551992D">
      <w:pPr>
        <w:pStyle w:val="12"/>
        <w:adjustRightInd w:val="0"/>
        <w:snapToGrid w:val="0"/>
        <w:spacing w:line="440" w:lineRule="exact"/>
        <w:ind w:leftChars="0"/>
        <w:jc w:val="left"/>
        <w:rPr>
          <w:rFonts w:ascii="宋体" w:cs="宋体"/>
          <w:sz w:val="24"/>
        </w:rPr>
      </w:pPr>
      <w:r>
        <w:rPr>
          <w:rFonts w:hint="eastAsia" w:ascii="宋体" w:hAnsi="宋体" w:cs="宋体"/>
          <w:sz w:val="24"/>
        </w:rPr>
        <w:t>九、国有资本经营预算支出决算情况说明</w:t>
      </w:r>
      <w:r>
        <w:rPr>
          <w:sz w:val="24"/>
        </w:rPr>
        <w:t>...................................................</w:t>
      </w:r>
      <w:r>
        <w:rPr>
          <w:rFonts w:ascii="宋体" w:hAnsi="宋体"/>
          <w:szCs w:val="21"/>
        </w:rPr>
        <w:t>12</w:t>
      </w:r>
    </w:p>
    <w:p w14:paraId="1C841CCA">
      <w:pPr>
        <w:adjustRightInd w:val="0"/>
        <w:snapToGrid w:val="0"/>
        <w:spacing w:line="440" w:lineRule="exact"/>
        <w:ind w:firstLine="420" w:firstLineChars="175"/>
        <w:jc w:val="left"/>
        <w:rPr>
          <w:rFonts w:ascii="宋体" w:cs="宋体"/>
          <w:sz w:val="24"/>
        </w:rPr>
      </w:pPr>
      <w:r>
        <w:rPr>
          <w:rStyle w:val="17"/>
          <w:rFonts w:hint="eastAsia" w:ascii="宋体" w:hAnsi="宋体" w:cs="宋体"/>
          <w:color w:val="auto"/>
          <w:sz w:val="24"/>
          <w:u w:val="none"/>
        </w:rPr>
        <w:t>十、</w:t>
      </w:r>
      <w:r>
        <w:rPr>
          <w:rFonts w:hint="eastAsia" w:ascii="宋体" w:hAnsi="宋体" w:cs="宋体"/>
          <w:sz w:val="24"/>
        </w:rPr>
        <w:t>其他重要事项的情况说明</w:t>
      </w:r>
      <w:r>
        <w:rPr>
          <w:sz w:val="24"/>
        </w:rPr>
        <w:t>.......................................................................</w:t>
      </w:r>
      <w:r>
        <w:rPr>
          <w:rFonts w:ascii="宋体" w:hAnsi="宋体"/>
          <w:szCs w:val="21"/>
        </w:rPr>
        <w:t>12</w:t>
      </w:r>
    </w:p>
    <w:p w14:paraId="0CEC19EF">
      <w:r>
        <w:rPr>
          <w:rFonts w:hint="eastAsia"/>
        </w:rPr>
        <w:t>第三部分名词解释</w:t>
      </w:r>
      <w:r>
        <w:t>...........................................</w:t>
      </w:r>
      <w:r>
        <w:rPr>
          <w:rFonts w:hint="eastAsia"/>
        </w:rPr>
        <w:t>..........................</w:t>
      </w:r>
      <w:r>
        <w:t>..............................................</w:t>
      </w:r>
      <w:r>
        <w:rPr>
          <w:rFonts w:ascii="宋体" w:hAnsi="宋体"/>
          <w:szCs w:val="21"/>
        </w:rPr>
        <w:t>14</w:t>
      </w:r>
    </w:p>
    <w:p w14:paraId="5D1CC1D0">
      <w:r>
        <w:rPr>
          <w:rFonts w:hint="eastAsia"/>
        </w:rPr>
        <w:t>第四部分附件</w:t>
      </w:r>
      <w:r>
        <w:t>....................................................</w:t>
      </w:r>
      <w:r>
        <w:rPr>
          <w:rFonts w:hint="eastAsia"/>
        </w:rPr>
        <w:t>...........................</w:t>
      </w:r>
      <w:r>
        <w:t>............................................</w:t>
      </w:r>
      <w:r>
        <w:rPr>
          <w:rFonts w:ascii="宋体" w:hAnsi="宋体"/>
          <w:szCs w:val="21"/>
        </w:rPr>
        <w:t>16</w:t>
      </w:r>
    </w:p>
    <w:p w14:paraId="1F6C98E1">
      <w:r>
        <w:rPr>
          <w:rFonts w:hint="eastAsia"/>
        </w:rPr>
        <w:t>第五部分附表</w:t>
      </w:r>
      <w:r>
        <w:t>......................................................</w:t>
      </w:r>
      <w:r>
        <w:rPr>
          <w:rFonts w:hint="eastAsia"/>
        </w:rPr>
        <w:t>...........................</w:t>
      </w:r>
      <w:r>
        <w:t>..........................................</w:t>
      </w:r>
      <w:r>
        <w:rPr>
          <w:rFonts w:ascii="宋体" w:hAnsi="宋体"/>
          <w:szCs w:val="21"/>
        </w:rPr>
        <w:t>28</w:t>
      </w:r>
    </w:p>
    <w:p w14:paraId="055DE4C7">
      <w:pPr>
        <w:pStyle w:val="12"/>
        <w:adjustRightInd w:val="0"/>
        <w:snapToGrid w:val="0"/>
        <w:spacing w:line="440" w:lineRule="exact"/>
        <w:jc w:val="left"/>
        <w:rPr>
          <w:rFonts w:ascii="仿宋" w:hAnsi="仿宋" w:eastAsia="仿宋"/>
          <w:sz w:val="24"/>
        </w:rPr>
      </w:pPr>
      <w:r>
        <w:rPr>
          <w:rFonts w:hint="eastAsia" w:ascii="仿宋" w:hAnsi="仿宋" w:eastAsia="仿宋"/>
          <w:sz w:val="24"/>
        </w:rPr>
        <w:t>一、</w:t>
      </w:r>
      <w:r>
        <w:rPr>
          <w:rFonts w:hint="eastAsia"/>
          <w:sz w:val="24"/>
        </w:rPr>
        <w:t>收入支出决算总表</w:t>
      </w:r>
      <w:r>
        <w:rPr>
          <w:sz w:val="24"/>
        </w:rPr>
        <w:t>...................................................................................</w:t>
      </w:r>
      <w:r>
        <w:rPr>
          <w:rFonts w:ascii="宋体" w:hAnsi="宋体"/>
          <w:szCs w:val="21"/>
        </w:rPr>
        <w:t>28</w:t>
      </w:r>
    </w:p>
    <w:p w14:paraId="6398EB69">
      <w:pPr>
        <w:pStyle w:val="12"/>
        <w:adjustRightInd w:val="0"/>
        <w:snapToGrid w:val="0"/>
        <w:spacing w:line="440" w:lineRule="exact"/>
        <w:jc w:val="left"/>
        <w:rPr>
          <w:rFonts w:ascii="宋体" w:cs="宋体"/>
          <w:sz w:val="24"/>
        </w:rPr>
      </w:pPr>
      <w:r>
        <w:rPr>
          <w:rFonts w:hint="eastAsia" w:ascii="宋体" w:hAnsi="宋体" w:cs="宋体"/>
          <w:sz w:val="24"/>
        </w:rPr>
        <w:t>二、收入决算表</w:t>
      </w:r>
      <w:r>
        <w:rPr>
          <w:sz w:val="24"/>
        </w:rPr>
        <w:t>...............................................................................................</w:t>
      </w:r>
      <w:r>
        <w:rPr>
          <w:rFonts w:ascii="宋体" w:hAnsi="宋体"/>
          <w:szCs w:val="21"/>
        </w:rPr>
        <w:t>28</w:t>
      </w:r>
    </w:p>
    <w:p w14:paraId="6DEE9BA1">
      <w:pPr>
        <w:pStyle w:val="12"/>
        <w:adjustRightInd w:val="0"/>
        <w:snapToGrid w:val="0"/>
        <w:spacing w:line="440" w:lineRule="exact"/>
        <w:jc w:val="left"/>
        <w:rPr>
          <w:rFonts w:ascii="宋体" w:cs="宋体"/>
          <w:sz w:val="24"/>
        </w:rPr>
      </w:pPr>
      <w:r>
        <w:rPr>
          <w:rFonts w:hint="eastAsia" w:ascii="宋体" w:hAnsi="宋体" w:cs="宋体"/>
          <w:sz w:val="24"/>
        </w:rPr>
        <w:t>三、支出决算表</w:t>
      </w:r>
      <w:r>
        <w:rPr>
          <w:sz w:val="24"/>
        </w:rPr>
        <w:t>...............................................................................................</w:t>
      </w:r>
      <w:r>
        <w:rPr>
          <w:rFonts w:ascii="宋体" w:hAnsi="宋体"/>
          <w:szCs w:val="21"/>
        </w:rPr>
        <w:t>28</w:t>
      </w:r>
    </w:p>
    <w:p w14:paraId="1594C22B">
      <w:pPr>
        <w:pStyle w:val="12"/>
        <w:adjustRightInd w:val="0"/>
        <w:snapToGrid w:val="0"/>
        <w:spacing w:line="440" w:lineRule="exact"/>
        <w:jc w:val="left"/>
        <w:rPr>
          <w:rFonts w:ascii="宋体" w:cs="宋体"/>
          <w:sz w:val="24"/>
        </w:rPr>
      </w:pPr>
      <w:r>
        <w:rPr>
          <w:rFonts w:hint="eastAsia" w:ascii="宋体" w:hAnsi="宋体" w:cs="宋体"/>
          <w:sz w:val="24"/>
        </w:rPr>
        <w:t>四、财政拨款收入支出决算总表</w:t>
      </w:r>
      <w:r>
        <w:rPr>
          <w:sz w:val="24"/>
        </w:rPr>
        <w:t>...................................................................</w:t>
      </w:r>
      <w:r>
        <w:rPr>
          <w:rFonts w:ascii="宋体" w:hAnsi="宋体"/>
          <w:szCs w:val="21"/>
        </w:rPr>
        <w:t>28</w:t>
      </w:r>
    </w:p>
    <w:p w14:paraId="2FD1B768">
      <w:pPr>
        <w:pStyle w:val="12"/>
        <w:adjustRightInd w:val="0"/>
        <w:snapToGrid w:val="0"/>
        <w:spacing w:line="440" w:lineRule="exact"/>
        <w:jc w:val="left"/>
        <w:rPr>
          <w:rFonts w:ascii="宋体" w:cs="宋体"/>
          <w:sz w:val="24"/>
        </w:rPr>
      </w:pPr>
      <w:r>
        <w:rPr>
          <w:rFonts w:hint="eastAsia" w:ascii="宋体" w:hAnsi="宋体" w:cs="宋体"/>
          <w:sz w:val="24"/>
        </w:rPr>
        <w:t>五、财政拨款支出决算明细表</w:t>
      </w:r>
      <w:r>
        <w:rPr>
          <w:sz w:val="24"/>
        </w:rPr>
        <w:t>.......................................................................</w:t>
      </w:r>
      <w:r>
        <w:rPr>
          <w:rFonts w:ascii="宋体" w:hAnsi="宋体"/>
          <w:szCs w:val="21"/>
        </w:rPr>
        <w:t>28</w:t>
      </w:r>
    </w:p>
    <w:p w14:paraId="7393DAF3">
      <w:pPr>
        <w:pStyle w:val="12"/>
        <w:adjustRightInd w:val="0"/>
        <w:snapToGrid w:val="0"/>
        <w:spacing w:line="440" w:lineRule="exact"/>
        <w:jc w:val="left"/>
        <w:rPr>
          <w:rFonts w:ascii="宋体" w:cs="宋体"/>
          <w:sz w:val="24"/>
        </w:rPr>
      </w:pPr>
      <w:r>
        <w:rPr>
          <w:rFonts w:hint="eastAsia" w:ascii="宋体" w:hAnsi="宋体" w:cs="宋体"/>
          <w:sz w:val="24"/>
        </w:rPr>
        <w:t>六、一般公共预算财政拨款支出决算表</w:t>
      </w:r>
      <w:r>
        <w:rPr>
          <w:sz w:val="24"/>
        </w:rPr>
        <w:t>.......................................................</w:t>
      </w:r>
      <w:r>
        <w:rPr>
          <w:rFonts w:ascii="宋体" w:hAnsi="宋体"/>
          <w:szCs w:val="21"/>
        </w:rPr>
        <w:t>28</w:t>
      </w:r>
    </w:p>
    <w:p w14:paraId="589845FF">
      <w:pPr>
        <w:pStyle w:val="12"/>
        <w:adjustRightInd w:val="0"/>
        <w:snapToGrid w:val="0"/>
        <w:spacing w:line="440" w:lineRule="exact"/>
        <w:jc w:val="left"/>
        <w:rPr>
          <w:rFonts w:ascii="宋体" w:cs="宋体"/>
          <w:sz w:val="24"/>
        </w:rPr>
      </w:pPr>
      <w:r>
        <w:rPr>
          <w:rFonts w:hint="eastAsia" w:ascii="宋体" w:hAnsi="宋体" w:cs="宋体"/>
          <w:sz w:val="24"/>
        </w:rPr>
        <w:t>七、一般公共预算财政拨款支出决算明细表</w:t>
      </w:r>
      <w:r>
        <w:rPr>
          <w:sz w:val="24"/>
        </w:rPr>
        <w:t>...............................................</w:t>
      </w:r>
      <w:r>
        <w:rPr>
          <w:rFonts w:ascii="宋体" w:hAnsi="宋体"/>
          <w:szCs w:val="21"/>
        </w:rPr>
        <w:t>28</w:t>
      </w:r>
    </w:p>
    <w:p w14:paraId="222D5F16">
      <w:pPr>
        <w:pStyle w:val="12"/>
        <w:adjustRightInd w:val="0"/>
        <w:snapToGrid w:val="0"/>
        <w:spacing w:line="440" w:lineRule="exact"/>
        <w:jc w:val="left"/>
        <w:rPr>
          <w:rFonts w:ascii="宋体" w:cs="宋体"/>
          <w:sz w:val="24"/>
        </w:rPr>
      </w:pPr>
      <w:r>
        <w:rPr>
          <w:rFonts w:hint="eastAsia" w:ascii="宋体" w:hAnsi="宋体" w:cs="宋体"/>
          <w:sz w:val="24"/>
        </w:rPr>
        <w:t>八、一般公共预算财政拨款基本支出决算表</w:t>
      </w:r>
      <w:r>
        <w:rPr>
          <w:sz w:val="24"/>
        </w:rPr>
        <w:t>...............................................</w:t>
      </w:r>
      <w:r>
        <w:rPr>
          <w:rFonts w:ascii="宋体" w:hAnsi="宋体"/>
          <w:szCs w:val="21"/>
        </w:rPr>
        <w:t>28</w:t>
      </w:r>
    </w:p>
    <w:p w14:paraId="2C8D22A6">
      <w:pPr>
        <w:pStyle w:val="12"/>
        <w:adjustRightInd w:val="0"/>
        <w:snapToGrid w:val="0"/>
        <w:spacing w:line="440" w:lineRule="exact"/>
        <w:jc w:val="left"/>
        <w:rPr>
          <w:rFonts w:ascii="宋体" w:cs="宋体"/>
          <w:sz w:val="24"/>
        </w:rPr>
      </w:pPr>
      <w:r>
        <w:rPr>
          <w:rFonts w:hint="eastAsia" w:ascii="宋体" w:hAnsi="宋体" w:cs="宋体"/>
          <w:sz w:val="24"/>
        </w:rPr>
        <w:t>九、一般公共预算财政拨款项目支出决算表</w:t>
      </w:r>
      <w:r>
        <w:rPr>
          <w:sz w:val="24"/>
        </w:rPr>
        <w:t>...............................................</w:t>
      </w:r>
      <w:r>
        <w:rPr>
          <w:rFonts w:ascii="宋体" w:hAnsi="宋体"/>
          <w:szCs w:val="21"/>
        </w:rPr>
        <w:t>28</w:t>
      </w:r>
    </w:p>
    <w:p w14:paraId="0C81F0FC">
      <w:pPr>
        <w:pStyle w:val="12"/>
        <w:adjustRightInd w:val="0"/>
        <w:snapToGrid w:val="0"/>
        <w:spacing w:line="440" w:lineRule="exact"/>
        <w:jc w:val="left"/>
        <w:rPr>
          <w:rFonts w:ascii="宋体" w:cs="宋体"/>
          <w:sz w:val="24"/>
        </w:rPr>
      </w:pPr>
      <w:r>
        <w:rPr>
          <w:rFonts w:hint="eastAsia" w:ascii="宋体" w:hAnsi="宋体" w:cs="宋体"/>
          <w:sz w:val="24"/>
        </w:rPr>
        <w:t>十、一般公共预算财政拨款“三公”经费支出决算表</w:t>
      </w:r>
      <w:r>
        <w:rPr>
          <w:sz w:val="24"/>
        </w:rPr>
        <w:t>..............................</w:t>
      </w:r>
      <w:r>
        <w:rPr>
          <w:rFonts w:ascii="宋体" w:hAnsi="宋体"/>
          <w:szCs w:val="21"/>
        </w:rPr>
        <w:t>28</w:t>
      </w:r>
    </w:p>
    <w:p w14:paraId="125D7D8A">
      <w:pPr>
        <w:pStyle w:val="12"/>
        <w:adjustRightInd w:val="0"/>
        <w:snapToGrid w:val="0"/>
        <w:spacing w:line="440" w:lineRule="exact"/>
        <w:jc w:val="left"/>
        <w:rPr>
          <w:rFonts w:ascii="宋体" w:cs="宋体"/>
          <w:sz w:val="24"/>
        </w:rPr>
      </w:pPr>
      <w:r>
        <w:rPr>
          <w:rFonts w:hint="eastAsia" w:ascii="宋体" w:hAnsi="宋体" w:cs="宋体"/>
          <w:sz w:val="24"/>
        </w:rPr>
        <w:t>十一、政府性基金预算财政拨款收入支出决算表</w:t>
      </w:r>
      <w:r>
        <w:rPr>
          <w:sz w:val="24"/>
        </w:rPr>
        <w:t>......................................</w:t>
      </w:r>
      <w:r>
        <w:rPr>
          <w:rFonts w:ascii="宋体" w:hAnsi="宋体"/>
          <w:szCs w:val="21"/>
        </w:rPr>
        <w:t>28</w:t>
      </w:r>
    </w:p>
    <w:p w14:paraId="2AE745D6">
      <w:pPr>
        <w:pStyle w:val="12"/>
        <w:adjustRightInd w:val="0"/>
        <w:snapToGrid w:val="0"/>
        <w:spacing w:line="440" w:lineRule="exact"/>
        <w:jc w:val="left"/>
        <w:rPr>
          <w:rFonts w:ascii="宋体" w:cs="宋体"/>
          <w:sz w:val="24"/>
        </w:rPr>
      </w:pPr>
      <w:r>
        <w:rPr>
          <w:rFonts w:hint="eastAsia" w:ascii="宋体" w:hAnsi="宋体" w:cs="宋体"/>
          <w:sz w:val="24"/>
        </w:rPr>
        <w:t>十二、政府性基金预算财政拨款“三公”经费支出决算表</w:t>
      </w:r>
      <w:r>
        <w:rPr>
          <w:sz w:val="24"/>
        </w:rPr>
        <w:t>......................</w:t>
      </w:r>
      <w:r>
        <w:rPr>
          <w:rFonts w:ascii="宋体" w:hAnsi="宋体"/>
          <w:szCs w:val="21"/>
        </w:rPr>
        <w:t>28</w:t>
      </w:r>
    </w:p>
    <w:p w14:paraId="18810706">
      <w:pPr>
        <w:pStyle w:val="12"/>
        <w:adjustRightInd w:val="0"/>
        <w:snapToGrid w:val="0"/>
        <w:spacing w:line="440" w:lineRule="exact"/>
        <w:jc w:val="left"/>
        <w:rPr>
          <w:rFonts w:ascii="宋体" w:cs="宋体"/>
          <w:sz w:val="24"/>
        </w:rPr>
      </w:pPr>
      <w:r>
        <w:rPr>
          <w:rFonts w:hint="eastAsia" w:ascii="宋体" w:hAnsi="宋体" w:cs="宋体"/>
          <w:sz w:val="24"/>
        </w:rPr>
        <w:t>十三、国有资本经营预算财政拨款收入支出决算表</w:t>
      </w:r>
      <w:r>
        <w:rPr>
          <w:sz w:val="24"/>
        </w:rPr>
        <w:t>..................................</w:t>
      </w:r>
      <w:r>
        <w:rPr>
          <w:rFonts w:ascii="宋体" w:hAnsi="宋体"/>
          <w:szCs w:val="21"/>
        </w:rPr>
        <w:t>28</w:t>
      </w:r>
    </w:p>
    <w:p w14:paraId="208BD1DE">
      <w:pPr>
        <w:pStyle w:val="12"/>
        <w:adjustRightInd w:val="0"/>
        <w:snapToGrid w:val="0"/>
        <w:spacing w:line="440" w:lineRule="exact"/>
        <w:jc w:val="left"/>
        <w:rPr>
          <w:rFonts w:ascii="宋体" w:cs="宋体"/>
          <w:sz w:val="24"/>
        </w:rPr>
      </w:pPr>
      <w:r>
        <w:rPr>
          <w:rFonts w:hint="eastAsia" w:ascii="宋体" w:hAnsi="宋体" w:cs="宋体"/>
          <w:sz w:val="24"/>
        </w:rPr>
        <w:t>十四、国有资本经营预算财政拨款支出决算表</w:t>
      </w:r>
      <w:r>
        <w:rPr>
          <w:sz w:val="24"/>
        </w:rPr>
        <w:t>..........................................</w:t>
      </w:r>
      <w:r>
        <w:rPr>
          <w:rFonts w:ascii="宋体" w:hAnsi="宋体"/>
          <w:szCs w:val="21"/>
        </w:rPr>
        <w:t>28</w:t>
      </w:r>
    </w:p>
    <w:p w14:paraId="2D5C482D">
      <w:pPr>
        <w:widowControl/>
        <w:adjustRightInd w:val="0"/>
        <w:snapToGrid w:val="0"/>
        <w:spacing w:line="440" w:lineRule="exact"/>
        <w:jc w:val="left"/>
        <w:rPr>
          <w:rFonts w:ascii="仿宋" w:hAnsi="仿宋" w:eastAsia="仿宋"/>
          <w:sz w:val="24"/>
        </w:rPr>
      </w:pPr>
    </w:p>
    <w:p w14:paraId="4B1D8652">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21DF3269">
      <w:pPr>
        <w:pStyle w:val="3"/>
        <w:jc w:val="center"/>
        <w:rPr>
          <w:rStyle w:val="18"/>
          <w:rFonts w:ascii="黑体" w:hAnsi="黑体" w:eastAsia="黑体"/>
          <w:b/>
          <w:bCs w:val="0"/>
        </w:rPr>
      </w:pPr>
      <w:r>
        <w:rPr>
          <w:rFonts w:hint="eastAsia" w:ascii="黑体" w:hAnsi="黑体" w:eastAsia="黑体"/>
          <w:b w:val="0"/>
        </w:rPr>
        <w:t>第一部分</w:t>
      </w:r>
      <w:r>
        <w:rPr>
          <w:rFonts w:ascii="黑体" w:hAnsi="黑体" w:eastAsia="黑体"/>
          <w:b w:val="0"/>
        </w:rPr>
        <w:t xml:space="preserve"> </w:t>
      </w:r>
      <w:r>
        <w:rPr>
          <w:rStyle w:val="18"/>
          <w:rFonts w:hint="eastAsia" w:ascii="黑体" w:hAnsi="黑体" w:eastAsia="黑体"/>
          <w:b w:val="0"/>
          <w:bCs w:val="0"/>
        </w:rPr>
        <w:t>部门概况</w:t>
      </w:r>
      <w:bookmarkEnd w:id="12"/>
      <w:bookmarkEnd w:id="13"/>
    </w:p>
    <w:p w14:paraId="7F734C52">
      <w:pPr>
        <w:widowControl/>
        <w:jc w:val="left"/>
        <w:rPr>
          <w:rFonts w:ascii="黑体" w:eastAsia="黑体"/>
          <w:sz w:val="32"/>
          <w:szCs w:val="32"/>
        </w:rPr>
      </w:pPr>
    </w:p>
    <w:p w14:paraId="32AFF6C5">
      <w:pPr>
        <w:spacing w:line="580" w:lineRule="exact"/>
        <w:ind w:firstLine="640" w:firstLineChars="200"/>
        <w:rPr>
          <w:rFonts w:ascii="仿宋_GB2312" w:eastAsia="仿宋_GB2312"/>
          <w:sz w:val="32"/>
          <w:szCs w:val="32"/>
        </w:rPr>
      </w:pPr>
      <w:bookmarkStart w:id="14" w:name="_Toc15377197"/>
      <w:bookmarkStart w:id="15" w:name="_Toc15396600"/>
      <w:r>
        <w:rPr>
          <w:rStyle w:val="19"/>
          <w:rFonts w:hint="eastAsia" w:ascii="黑体" w:hAnsi="黑体" w:eastAsia="黑体"/>
          <w:b w:val="0"/>
          <w:bCs w:val="0"/>
        </w:rPr>
        <w:t>一、基本职能及主要工作</w:t>
      </w:r>
      <w:bookmarkEnd w:id="14"/>
      <w:bookmarkEnd w:id="15"/>
    </w:p>
    <w:p w14:paraId="0959AA4B">
      <w:pPr>
        <w:spacing w:line="580" w:lineRule="exact"/>
        <w:ind w:firstLine="643" w:firstLineChars="200"/>
        <w:rPr>
          <w:rFonts w:ascii="楷体_GB2312" w:hAnsi="楷体_GB2312" w:eastAsia="楷体_GB2312" w:cs="楷体_GB2312"/>
          <w:b/>
          <w:bCs/>
          <w:sz w:val="32"/>
          <w:szCs w:val="32"/>
        </w:rPr>
      </w:pPr>
      <w:bookmarkStart w:id="16" w:name="_Toc15377198"/>
      <w:bookmarkStart w:id="17" w:name="_Toc15378445"/>
      <w:r>
        <w:rPr>
          <w:rFonts w:hint="eastAsia" w:ascii="楷体_GB2312" w:hAnsi="楷体_GB2312" w:eastAsia="楷体_GB2312" w:cs="楷体_GB2312"/>
          <w:b/>
          <w:bCs/>
          <w:sz w:val="32"/>
          <w:szCs w:val="32"/>
        </w:rPr>
        <w:t>（一）主要职能。</w:t>
      </w:r>
      <w:bookmarkEnd w:id="16"/>
      <w:bookmarkEnd w:id="17"/>
    </w:p>
    <w:p w14:paraId="559FF5E7">
      <w:pPr>
        <w:spacing w:line="580" w:lineRule="exact"/>
        <w:ind w:firstLine="640" w:firstLineChars="200"/>
        <w:rPr>
          <w:rFonts w:ascii="仿宋_GB2312" w:eastAsia="仿宋_GB2312"/>
          <w:sz w:val="32"/>
          <w:szCs w:val="32"/>
        </w:rPr>
      </w:pPr>
      <w:r>
        <w:rPr>
          <w:rFonts w:hint="eastAsia" w:ascii="仿宋_GB2312" w:eastAsia="仿宋_GB2312"/>
          <w:sz w:val="32"/>
          <w:szCs w:val="32"/>
        </w:rPr>
        <w:t>负责融媒体服务相关事务性工作。</w:t>
      </w:r>
    </w:p>
    <w:p w14:paraId="478F86DF">
      <w:pPr>
        <w:spacing w:line="580" w:lineRule="exact"/>
        <w:ind w:firstLine="643" w:firstLineChars="200"/>
        <w:rPr>
          <w:rFonts w:ascii="楷体_GB2312" w:hAnsi="楷体_GB2312" w:eastAsia="楷体_GB2312" w:cs="楷体_GB2312"/>
          <w:b/>
          <w:bCs/>
          <w:sz w:val="32"/>
          <w:szCs w:val="32"/>
        </w:rPr>
      </w:pPr>
      <w:bookmarkStart w:id="18" w:name="_Toc15377199"/>
      <w:bookmarkStart w:id="19" w:name="_Toc15378446"/>
      <w:r>
        <w:rPr>
          <w:rFonts w:hint="eastAsia" w:ascii="楷体_GB2312" w:hAnsi="楷体_GB2312" w:eastAsia="楷体_GB2312" w:cs="楷体_GB2312"/>
          <w:b/>
          <w:bCs/>
          <w:sz w:val="32"/>
          <w:szCs w:val="32"/>
        </w:rPr>
        <w:t>（二）</w:t>
      </w:r>
      <w:r>
        <w:rPr>
          <w:rFonts w:ascii="楷体_GB2312" w:hAnsi="楷体_GB2312" w:eastAsia="楷体_GB2312" w:cs="楷体_GB2312"/>
          <w:b/>
          <w:bCs/>
          <w:sz w:val="32"/>
          <w:szCs w:val="32"/>
        </w:rPr>
        <w:t>2021</w:t>
      </w:r>
      <w:r>
        <w:rPr>
          <w:rFonts w:hint="eastAsia" w:ascii="楷体_GB2312" w:hAnsi="楷体_GB2312" w:eastAsia="楷体_GB2312" w:cs="楷体_GB2312"/>
          <w:b/>
          <w:bCs/>
          <w:sz w:val="32"/>
          <w:szCs w:val="32"/>
        </w:rPr>
        <w:t>年重点工作完成情况。</w:t>
      </w:r>
      <w:bookmarkEnd w:id="18"/>
      <w:bookmarkEnd w:id="19"/>
    </w:p>
    <w:p w14:paraId="05565E4B">
      <w:pPr>
        <w:snapToGrid w:val="0"/>
        <w:spacing w:line="580" w:lineRule="exact"/>
        <w:ind w:firstLine="643" w:firstLineChars="200"/>
        <w:rPr>
          <w:rFonts w:ascii="仿宋_GB2312" w:hAnsi="仿宋" w:eastAsia="仿宋_GB2312"/>
          <w:sz w:val="32"/>
          <w:szCs w:val="32"/>
        </w:rPr>
      </w:pPr>
      <w:r>
        <w:rPr>
          <w:rFonts w:ascii="仿宋_GB2312" w:hAnsi="方正楷体_GBK" w:eastAsia="仿宋_GB2312" w:cs="方正楷体_GBK"/>
          <w:b/>
          <w:sz w:val="32"/>
          <w:szCs w:val="32"/>
        </w:rPr>
        <w:t>1.</w:t>
      </w:r>
      <w:r>
        <w:rPr>
          <w:rFonts w:hint="eastAsia" w:ascii="仿宋_GB2312" w:hAnsi="方正楷体_GBK" w:eastAsia="仿宋_GB2312" w:cs="方正楷体_GBK"/>
          <w:b/>
          <w:sz w:val="32"/>
          <w:szCs w:val="32"/>
        </w:rPr>
        <w:t>提升新闻质效，做强主流舆论阵地</w:t>
      </w:r>
    </w:p>
    <w:p w14:paraId="07B59EE5">
      <w:pPr>
        <w:spacing w:line="580" w:lineRule="exact"/>
        <w:ind w:firstLine="640" w:firstLineChars="200"/>
        <w:rPr>
          <w:rFonts w:ascii="仿宋_GB2312" w:eastAsia="仿宋_GB2312"/>
          <w:sz w:val="32"/>
          <w:szCs w:val="32"/>
        </w:rPr>
      </w:pPr>
      <w:r>
        <w:rPr>
          <w:rFonts w:hint="eastAsia" w:ascii="仿宋_GB2312" w:eastAsia="仿宋_GB2312"/>
          <w:sz w:val="32"/>
          <w:szCs w:val="32"/>
        </w:rPr>
        <w:t>围绕融媒产品生产传播，每日工作碰头，每周选题策划、每月新闻总结，大力加强内容建设，整合文字、图片、视频、音频新闻，推动新闻信息生产、传播、引导能力提升。</w:t>
      </w:r>
    </w:p>
    <w:p w14:paraId="0598BE7A">
      <w:pPr>
        <w:spacing w:line="580" w:lineRule="exact"/>
        <w:ind w:firstLine="640" w:firstLineChars="200"/>
        <w:rPr>
          <w:rFonts w:ascii="仿宋_GB2312" w:eastAsia="仿宋_GB2312"/>
          <w:sz w:val="32"/>
          <w:szCs w:val="32"/>
        </w:rPr>
      </w:pPr>
      <w:r>
        <w:rPr>
          <w:rFonts w:hint="eastAsia" w:ascii="仿宋_GB2312" w:eastAsia="仿宋_GB2312"/>
          <w:sz w:val="32"/>
          <w:szCs w:val="32"/>
        </w:rPr>
        <w:t>今年以来，以党史学习教育为主线，围绕县委、县政府中心工作，中心策划推出《百年初心盐边路》《学党史庆百年》《我为群众办实事》《乡村振兴》《康养盐边》《“盐”展开来》等专题栏目，大力宣传报道我县深入推动“一区四县”建设取得的成效，持续开展常态化疫情防控、森林草原防灭火等宣传报道，完成党代会、</w:t>
      </w:r>
      <w:bookmarkStart w:id="74" w:name="_GoBack"/>
      <w:r>
        <w:rPr>
          <w:rFonts w:hint="eastAsia" w:ascii="仿宋_GB2312" w:eastAsia="仿宋_GB2312"/>
          <w:sz w:val="32"/>
          <w:szCs w:val="32"/>
          <w:lang w:eastAsia="zh-CN"/>
        </w:rPr>
        <w:t>两会</w:t>
      </w:r>
      <w:bookmarkEnd w:id="74"/>
      <w:r>
        <w:rPr>
          <w:rFonts w:hint="eastAsia" w:ascii="仿宋_GB2312" w:eastAsia="仿宋_GB2312"/>
          <w:sz w:val="32"/>
          <w:szCs w:val="32"/>
        </w:rPr>
        <w:t>等重大事件宣传报道，广泛凝聚奋力拼搏、攻坚克难的思想共识。我中心编发电视新闻</w:t>
      </w:r>
      <w:r>
        <w:rPr>
          <w:rFonts w:ascii="仿宋_GB2312" w:eastAsia="仿宋_GB2312"/>
          <w:sz w:val="32"/>
          <w:szCs w:val="32"/>
        </w:rPr>
        <w:t>200</w:t>
      </w:r>
      <w:r>
        <w:rPr>
          <w:rFonts w:hint="eastAsia" w:ascii="仿宋_GB2312" w:eastAsia="仿宋_GB2312"/>
          <w:sz w:val="32"/>
          <w:szCs w:val="32"/>
        </w:rPr>
        <w:t>期、</w:t>
      </w:r>
      <w:r>
        <w:rPr>
          <w:rFonts w:ascii="仿宋_GB2312" w:eastAsia="仿宋_GB2312"/>
          <w:sz w:val="32"/>
          <w:szCs w:val="32"/>
        </w:rPr>
        <w:t>757</w:t>
      </w:r>
      <w:r>
        <w:rPr>
          <w:rFonts w:hint="eastAsia" w:ascii="仿宋_GB2312" w:eastAsia="仿宋_GB2312"/>
          <w:sz w:val="32"/>
          <w:szCs w:val="32"/>
        </w:rPr>
        <w:t>条；在“盐边融媒”微信公众号共发稿</w:t>
      </w:r>
      <w:r>
        <w:rPr>
          <w:rFonts w:ascii="仿宋_GB2312" w:eastAsia="仿宋_GB2312"/>
          <w:sz w:val="32"/>
          <w:szCs w:val="32"/>
        </w:rPr>
        <w:t>2672</w:t>
      </w:r>
      <w:r>
        <w:rPr>
          <w:rFonts w:hint="eastAsia" w:ascii="仿宋_GB2312" w:eastAsia="仿宋_GB2312"/>
          <w:sz w:val="32"/>
          <w:szCs w:val="32"/>
        </w:rPr>
        <w:t>条，其中制播原创新媒体稿件达</w:t>
      </w:r>
      <w:r>
        <w:rPr>
          <w:rFonts w:ascii="仿宋_GB2312" w:eastAsia="仿宋_GB2312"/>
          <w:sz w:val="32"/>
          <w:szCs w:val="32"/>
        </w:rPr>
        <w:t>1400</w:t>
      </w:r>
      <w:r>
        <w:rPr>
          <w:rFonts w:hint="eastAsia" w:ascii="仿宋_GB2312" w:eastAsia="仿宋_GB2312"/>
          <w:sz w:val="32"/>
          <w:szCs w:val="32"/>
        </w:rPr>
        <w:t>条；在“盐边融媒”</w:t>
      </w:r>
      <w:r>
        <w:rPr>
          <w:rFonts w:ascii="仿宋_GB2312" w:eastAsia="仿宋_GB2312"/>
          <w:sz w:val="32"/>
          <w:szCs w:val="32"/>
        </w:rPr>
        <w:t>APP</w:t>
      </w:r>
      <w:r>
        <w:rPr>
          <w:rFonts w:hint="eastAsia" w:ascii="仿宋_GB2312" w:eastAsia="仿宋_GB2312"/>
          <w:sz w:val="32"/>
          <w:szCs w:val="32"/>
        </w:rPr>
        <w:t>共发稿</w:t>
      </w:r>
      <w:r>
        <w:rPr>
          <w:rFonts w:ascii="仿宋_GB2312" w:eastAsia="仿宋_GB2312"/>
          <w:sz w:val="32"/>
          <w:szCs w:val="32"/>
        </w:rPr>
        <w:t>3036</w:t>
      </w:r>
      <w:r>
        <w:rPr>
          <w:rFonts w:hint="eastAsia" w:ascii="仿宋_GB2312" w:eastAsia="仿宋_GB2312"/>
          <w:sz w:val="32"/>
          <w:szCs w:val="32"/>
        </w:rPr>
        <w:t>条，其中制播原创稿件达</w:t>
      </w:r>
      <w:r>
        <w:rPr>
          <w:rFonts w:ascii="仿宋_GB2312" w:eastAsia="仿宋_GB2312"/>
          <w:sz w:val="32"/>
          <w:szCs w:val="32"/>
        </w:rPr>
        <w:t>1500</w:t>
      </w:r>
      <w:r>
        <w:rPr>
          <w:rFonts w:hint="eastAsia" w:ascii="仿宋_GB2312" w:eastAsia="仿宋_GB2312"/>
          <w:sz w:val="32"/>
          <w:szCs w:val="32"/>
        </w:rPr>
        <w:t>条；抖音平台</w:t>
      </w:r>
      <w:r>
        <w:rPr>
          <w:rFonts w:hint="eastAsia" w:ascii="仿宋_GB2312" w:eastAsia="仿宋_GB2312"/>
          <w:sz w:val="32"/>
          <w:szCs w:val="32"/>
          <w:lang w:eastAsia="zh-CN"/>
        </w:rPr>
        <w:t>视频播放</w:t>
      </w:r>
      <w:r>
        <w:rPr>
          <w:rFonts w:ascii="仿宋_GB2312" w:eastAsia="仿宋_GB2312"/>
          <w:sz w:val="32"/>
          <w:szCs w:val="32"/>
        </w:rPr>
        <w:t>104</w:t>
      </w:r>
      <w:r>
        <w:rPr>
          <w:rFonts w:hint="eastAsia" w:ascii="仿宋_GB2312" w:eastAsia="仿宋_GB2312"/>
          <w:sz w:val="32"/>
          <w:szCs w:val="32"/>
        </w:rPr>
        <w:t>条、视频号</w:t>
      </w:r>
      <w:r>
        <w:rPr>
          <w:rFonts w:hint="eastAsia" w:ascii="仿宋_GB2312" w:eastAsia="仿宋_GB2312"/>
          <w:sz w:val="32"/>
          <w:szCs w:val="32"/>
          <w:lang w:eastAsia="zh-CN"/>
        </w:rPr>
        <w:t>视频播放</w:t>
      </w:r>
      <w:r>
        <w:rPr>
          <w:rFonts w:ascii="仿宋_GB2312" w:eastAsia="仿宋_GB2312"/>
          <w:sz w:val="32"/>
          <w:szCs w:val="32"/>
        </w:rPr>
        <w:t>123</w:t>
      </w:r>
      <w:r>
        <w:rPr>
          <w:rFonts w:hint="eastAsia" w:ascii="仿宋_GB2312" w:eastAsia="仿宋_GB2312"/>
          <w:sz w:val="32"/>
          <w:szCs w:val="32"/>
        </w:rPr>
        <w:t>条</w:t>
      </w:r>
      <w:r>
        <w:rPr>
          <w:rFonts w:hint="eastAsia" w:ascii="仿宋_GB2312" w:eastAsia="仿宋_GB2312"/>
          <w:color w:val="000000"/>
          <w:sz w:val="32"/>
          <w:szCs w:val="32"/>
        </w:rPr>
        <w:t>。</w:t>
      </w:r>
      <w:r>
        <w:rPr>
          <w:rFonts w:ascii="仿宋_GB2312" w:eastAsia="仿宋_GB2312"/>
          <w:color w:val="000000"/>
          <w:sz w:val="32"/>
          <w:szCs w:val="32"/>
        </w:rPr>
        <w:t>2019—2020</w:t>
      </w:r>
      <w:r>
        <w:rPr>
          <w:rFonts w:hint="eastAsia" w:ascii="仿宋_GB2312" w:eastAsia="仿宋_GB2312"/>
          <w:color w:val="000000"/>
          <w:sz w:val="32"/>
          <w:szCs w:val="32"/>
        </w:rPr>
        <w:t>年度新闻奖评选中，获得</w:t>
      </w:r>
      <w:r>
        <w:rPr>
          <w:rFonts w:ascii="仿宋_GB2312" w:eastAsia="仿宋_GB2312"/>
          <w:color w:val="000000"/>
          <w:sz w:val="32"/>
          <w:szCs w:val="32"/>
        </w:rPr>
        <w:t>4</w:t>
      </w:r>
      <w:r>
        <w:rPr>
          <w:rFonts w:hint="eastAsia" w:ascii="仿宋_GB2312" w:eastAsia="仿宋_GB2312"/>
          <w:color w:val="000000"/>
          <w:sz w:val="32"/>
          <w:szCs w:val="32"/>
        </w:rPr>
        <w:t>个提名奖，</w:t>
      </w:r>
      <w:r>
        <w:rPr>
          <w:rFonts w:ascii="仿宋_GB2312" w:eastAsia="仿宋_GB2312"/>
          <w:color w:val="000000"/>
          <w:sz w:val="32"/>
          <w:szCs w:val="32"/>
        </w:rPr>
        <w:t>2</w:t>
      </w:r>
      <w:r>
        <w:rPr>
          <w:rFonts w:hint="eastAsia" w:ascii="仿宋_GB2312" w:eastAsia="仿宋_GB2312"/>
          <w:color w:val="000000"/>
          <w:sz w:val="32"/>
          <w:szCs w:val="32"/>
        </w:rPr>
        <w:t>个优秀奖；在</w:t>
      </w:r>
      <w:r>
        <w:rPr>
          <w:rFonts w:ascii="仿宋_GB2312" w:eastAsia="仿宋_GB2312"/>
          <w:color w:val="000000"/>
          <w:sz w:val="32"/>
          <w:szCs w:val="32"/>
        </w:rPr>
        <w:t>2020</w:t>
      </w:r>
      <w:r>
        <w:rPr>
          <w:rFonts w:hint="eastAsia" w:ascii="仿宋_GB2312" w:eastAsia="仿宋_GB2312"/>
          <w:color w:val="000000"/>
          <w:sz w:val="32"/>
          <w:szCs w:val="32"/>
        </w:rPr>
        <w:t>年度攀枝花新闻奖评选中，获得一等奖一名，二等奖一名，三等奖一名。</w:t>
      </w:r>
    </w:p>
    <w:p w14:paraId="7FE9093C">
      <w:pPr>
        <w:spacing w:line="580" w:lineRule="exact"/>
        <w:ind w:firstLine="643" w:firstLineChars="200"/>
        <w:rPr>
          <w:rFonts w:ascii="仿宋_GB2312" w:eastAsia="仿宋_GB2312"/>
          <w:sz w:val="32"/>
          <w:szCs w:val="32"/>
        </w:rPr>
      </w:pPr>
      <w:r>
        <w:rPr>
          <w:rFonts w:ascii="仿宋_GB2312" w:hAnsi="方正楷体_GBK" w:eastAsia="仿宋_GB2312" w:cs="方正楷体_GBK"/>
          <w:b/>
          <w:sz w:val="32"/>
          <w:szCs w:val="32"/>
        </w:rPr>
        <w:t>2.</w:t>
      </w:r>
      <w:r>
        <w:rPr>
          <w:rFonts w:hint="eastAsia" w:ascii="仿宋_GB2312" w:hAnsi="方正楷体_GBK" w:eastAsia="仿宋_GB2312" w:cs="方正楷体_GBK"/>
          <w:b/>
          <w:sz w:val="32"/>
          <w:szCs w:val="32"/>
        </w:rPr>
        <w:t>强化平台建设，不断放大盐边声音</w:t>
      </w:r>
    </w:p>
    <w:p w14:paraId="55485367">
      <w:pPr>
        <w:spacing w:line="580" w:lineRule="exact"/>
        <w:ind w:firstLine="640" w:firstLineChars="200"/>
        <w:rPr>
          <w:rFonts w:ascii="仿宋_GB2312" w:eastAsia="仿宋_GB2312"/>
          <w:sz w:val="32"/>
          <w:szCs w:val="32"/>
        </w:rPr>
      </w:pPr>
      <w:r>
        <w:rPr>
          <w:rFonts w:hint="eastAsia" w:ascii="仿宋_GB2312" w:eastAsia="仿宋_GB2312"/>
          <w:sz w:val="32"/>
          <w:szCs w:val="32"/>
        </w:rPr>
        <w:t>在充分运用“盐边融媒”微信公众号、客户端、电视台、广播电台、视频号、微博、抖音等平台宣传的同时，借力中央和省市平台，不断展示盐边形象，放大盐边声音，逐步构建多维宣传的新格局。</w:t>
      </w:r>
      <w:r>
        <w:rPr>
          <w:rFonts w:hint="eastAsia" w:ascii="仿宋_GB2312" w:eastAsia="仿宋_GB2312"/>
          <w:bCs/>
          <w:sz w:val="32"/>
          <w:szCs w:val="32"/>
        </w:rPr>
        <w:t>一是</w:t>
      </w:r>
      <w:r>
        <w:rPr>
          <w:rFonts w:ascii="仿宋_GB2312" w:eastAsia="仿宋_GB2312"/>
          <w:sz w:val="32"/>
          <w:szCs w:val="32"/>
        </w:rPr>
        <w:t>2021</w:t>
      </w:r>
      <w:r>
        <w:rPr>
          <w:rFonts w:hint="eastAsia" w:ascii="仿宋_GB2312" w:eastAsia="仿宋_GB2312"/>
          <w:sz w:val="32"/>
          <w:szCs w:val="32"/>
        </w:rPr>
        <w:t>年</w:t>
      </w:r>
      <w:r>
        <w:rPr>
          <w:rFonts w:ascii="仿宋_GB2312" w:eastAsia="仿宋_GB2312"/>
          <w:sz w:val="32"/>
          <w:szCs w:val="32"/>
        </w:rPr>
        <w:t>7</w:t>
      </w:r>
      <w:r>
        <w:rPr>
          <w:rFonts w:hint="eastAsia" w:ascii="仿宋_GB2312" w:eastAsia="仿宋_GB2312"/>
          <w:sz w:val="32"/>
          <w:szCs w:val="32"/>
        </w:rPr>
        <w:t>月</w:t>
      </w:r>
      <w:r>
        <w:rPr>
          <w:rFonts w:ascii="仿宋_GB2312" w:eastAsia="仿宋_GB2312"/>
          <w:sz w:val="32"/>
          <w:szCs w:val="32"/>
        </w:rPr>
        <w:t>—11</w:t>
      </w:r>
      <w:r>
        <w:rPr>
          <w:rFonts w:hint="eastAsia" w:ascii="仿宋_GB2312" w:eastAsia="仿宋_GB2312"/>
          <w:sz w:val="32"/>
          <w:szCs w:val="32"/>
        </w:rPr>
        <w:t>月，盐边县在全省县级综合传播力指数（赞同度）一直在全省保持前</w:t>
      </w:r>
      <w:r>
        <w:rPr>
          <w:rFonts w:ascii="仿宋_GB2312" w:eastAsia="仿宋_GB2312"/>
          <w:sz w:val="32"/>
          <w:szCs w:val="32"/>
        </w:rPr>
        <w:t>15</w:t>
      </w:r>
      <w:r>
        <w:rPr>
          <w:rFonts w:hint="eastAsia" w:ascii="仿宋_GB2312" w:eastAsia="仿宋_GB2312"/>
          <w:sz w:val="32"/>
          <w:szCs w:val="32"/>
        </w:rPr>
        <w:t>；</w:t>
      </w:r>
      <w:r>
        <w:rPr>
          <w:rFonts w:ascii="仿宋_GB2312" w:eastAsia="仿宋_GB2312"/>
          <w:sz w:val="32"/>
          <w:szCs w:val="32"/>
        </w:rPr>
        <w:t>8</w:t>
      </w:r>
      <w:r>
        <w:rPr>
          <w:rFonts w:hint="eastAsia" w:ascii="仿宋_GB2312" w:eastAsia="仿宋_GB2312"/>
          <w:sz w:val="32"/>
          <w:szCs w:val="32"/>
        </w:rPr>
        <w:t>月由我中心选送的原创歌曲《攀枝花开红艳艳》荣获全省《乡村好声音》第三季金奖金曲；“盐边油底肉”“盐边羊肉米线”“盐边泡菜鱼”“盐边牛肉”上榜“</w:t>
      </w:r>
      <w:r>
        <w:rPr>
          <w:rFonts w:ascii="仿宋_GB2312" w:eastAsia="仿宋_GB2312"/>
          <w:sz w:val="32"/>
          <w:szCs w:val="32"/>
        </w:rPr>
        <w:t>100</w:t>
      </w:r>
      <w:r>
        <w:rPr>
          <w:rFonts w:hint="eastAsia" w:ascii="仿宋_GB2312" w:eastAsia="仿宋_GB2312"/>
          <w:sz w:val="32"/>
          <w:szCs w:val="32"/>
        </w:rPr>
        <w:t>道天府名菜”；《攀枝花盐边县：油底肉》获评</w:t>
      </w:r>
      <w:r>
        <w:rPr>
          <w:rFonts w:ascii="仿宋_GB2312" w:eastAsia="仿宋_GB2312"/>
          <w:sz w:val="32"/>
          <w:szCs w:val="32"/>
        </w:rPr>
        <w:t>2021</w:t>
      </w:r>
      <w:r>
        <w:rPr>
          <w:rFonts w:hint="eastAsia" w:ascii="仿宋_GB2312" w:eastAsia="仿宋_GB2312"/>
          <w:sz w:val="32"/>
          <w:szCs w:val="32"/>
        </w:rPr>
        <w:t>年第五期全国县级融媒体中心优秀作品双月赛三等奖；视频“盐边羊肉米线”</w:t>
      </w:r>
      <w:r>
        <w:rPr>
          <w:rFonts w:ascii="仿宋_GB2312" w:eastAsia="仿宋_GB2312"/>
          <w:sz w:val="32"/>
          <w:szCs w:val="32"/>
        </w:rPr>
        <w:t xml:space="preserve"> </w:t>
      </w:r>
      <w:r>
        <w:rPr>
          <w:rFonts w:hint="eastAsia" w:ascii="仿宋_GB2312" w:eastAsia="仿宋_GB2312"/>
          <w:sz w:val="32"/>
          <w:szCs w:val="32"/>
        </w:rPr>
        <w:t>荣获新华社“最想去打卡的早餐”首季第一名后，今年，国庆期间陆续推出了</w:t>
      </w:r>
      <w:r>
        <w:rPr>
          <w:rFonts w:ascii="仿宋_GB2312" w:eastAsia="仿宋_GB2312"/>
          <w:sz w:val="32"/>
          <w:szCs w:val="32"/>
        </w:rPr>
        <w:t>8</w:t>
      </w:r>
      <w:r>
        <w:rPr>
          <w:rFonts w:hint="eastAsia" w:ascii="仿宋_GB2312" w:eastAsia="仿宋_GB2312"/>
          <w:sz w:val="32"/>
          <w:szCs w:val="32"/>
        </w:rPr>
        <w:t>道盐边菜视频在各媒体平台播发，《滋味盐边</w:t>
      </w:r>
      <w:r>
        <w:rPr>
          <w:rFonts w:ascii="仿宋_GB2312" w:eastAsia="仿宋_GB2312"/>
          <w:sz w:val="32"/>
          <w:szCs w:val="32"/>
        </w:rPr>
        <w:t>—</w:t>
      </w:r>
      <w:r>
        <w:rPr>
          <w:rFonts w:hint="eastAsia" w:ascii="仿宋_GB2312" w:eastAsia="仿宋_GB2312"/>
          <w:sz w:val="32"/>
          <w:szCs w:val="32"/>
        </w:rPr>
        <w:t>盐边味道》系列宣传在学习强国、新华号、人民号、四川观察等平台一经推出，在全网引起热烈回响，收获了社会各界的盛赞。</w:t>
      </w:r>
      <w:r>
        <w:rPr>
          <w:rFonts w:hint="eastAsia" w:ascii="仿宋_GB2312" w:eastAsia="仿宋_GB2312"/>
          <w:bCs/>
          <w:sz w:val="32"/>
          <w:szCs w:val="32"/>
        </w:rPr>
        <w:t>二是</w:t>
      </w:r>
      <w:r>
        <w:rPr>
          <w:rFonts w:hint="eastAsia" w:ascii="仿宋_GB2312" w:eastAsia="仿宋_GB2312"/>
          <w:sz w:val="32"/>
          <w:szCs w:val="32"/>
        </w:rPr>
        <w:t>打通省级平台，在四川观察、川报观察同步推送盐边信息，入驻</w:t>
      </w:r>
      <w:r>
        <w:rPr>
          <w:rFonts w:hint="eastAsia" w:ascii="仿宋_GB2312" w:eastAsia="仿宋_GB2312"/>
          <w:sz w:val="32"/>
          <w:szCs w:val="32"/>
          <w:lang w:eastAsia="zh-CN"/>
        </w:rPr>
        <w:t>《人民日报》</w:t>
      </w:r>
      <w:r>
        <w:rPr>
          <w:rFonts w:hint="eastAsia" w:ascii="仿宋_GB2312" w:eastAsia="仿宋_GB2312"/>
          <w:sz w:val="32"/>
          <w:szCs w:val="32"/>
        </w:rPr>
        <w:t>、新华网客户端，通过人民号、新华号发布盐边信息。目前，“盐边融媒”微信公众号有粉丝</w:t>
      </w:r>
      <w:r>
        <w:rPr>
          <w:rFonts w:ascii="仿宋_GB2312" w:eastAsia="仿宋_GB2312"/>
          <w:sz w:val="32"/>
          <w:szCs w:val="32"/>
        </w:rPr>
        <w:t>5.3</w:t>
      </w:r>
      <w:r>
        <w:rPr>
          <w:rFonts w:hint="eastAsia" w:ascii="仿宋_GB2312" w:eastAsia="仿宋_GB2312"/>
          <w:sz w:val="32"/>
          <w:szCs w:val="32"/>
        </w:rPr>
        <w:t>万，“盐边融媒”抖音号粉丝</w:t>
      </w:r>
      <w:r>
        <w:rPr>
          <w:rFonts w:ascii="仿宋_GB2312" w:eastAsia="仿宋_GB2312"/>
          <w:sz w:val="32"/>
          <w:szCs w:val="32"/>
        </w:rPr>
        <w:t>5.2</w:t>
      </w:r>
      <w:r>
        <w:rPr>
          <w:rFonts w:hint="eastAsia" w:ascii="仿宋_GB2312" w:eastAsia="仿宋_GB2312"/>
          <w:sz w:val="32"/>
          <w:szCs w:val="32"/>
        </w:rPr>
        <w:t>万，新华号阅读量累计</w:t>
      </w:r>
      <w:r>
        <w:rPr>
          <w:rFonts w:ascii="仿宋_GB2312" w:eastAsia="仿宋_GB2312"/>
          <w:sz w:val="32"/>
          <w:szCs w:val="32"/>
        </w:rPr>
        <w:t>1.23</w:t>
      </w:r>
      <w:r>
        <w:rPr>
          <w:rFonts w:hint="eastAsia" w:ascii="仿宋_GB2312" w:eastAsia="仿宋_GB2312"/>
          <w:sz w:val="32"/>
          <w:szCs w:val="32"/>
        </w:rPr>
        <w:t>亿、人民号阅读量累计</w:t>
      </w:r>
      <w:r>
        <w:rPr>
          <w:rFonts w:ascii="仿宋_GB2312" w:eastAsia="仿宋_GB2312"/>
          <w:sz w:val="32"/>
          <w:szCs w:val="32"/>
        </w:rPr>
        <w:t>320</w:t>
      </w:r>
      <w:r>
        <w:rPr>
          <w:rFonts w:hint="eastAsia" w:ascii="仿宋_GB2312" w:eastAsia="仿宋_GB2312"/>
          <w:sz w:val="32"/>
          <w:szCs w:val="32"/>
        </w:rPr>
        <w:t>万。</w:t>
      </w:r>
    </w:p>
    <w:p w14:paraId="7D5E8BF4">
      <w:pPr>
        <w:spacing w:line="580" w:lineRule="exact"/>
        <w:ind w:firstLine="643" w:firstLineChars="200"/>
        <w:rPr>
          <w:rFonts w:ascii="仿宋_GB2312" w:eastAsia="仿宋_GB2312"/>
          <w:sz w:val="32"/>
          <w:szCs w:val="32"/>
        </w:rPr>
      </w:pPr>
      <w:r>
        <w:rPr>
          <w:rFonts w:ascii="仿宋_GB2312" w:hAnsi="方正楷体_GBK" w:eastAsia="仿宋_GB2312" w:cs="方正楷体_GBK"/>
          <w:b/>
          <w:sz w:val="32"/>
          <w:szCs w:val="32"/>
        </w:rPr>
        <w:t>3.</w:t>
      </w:r>
      <w:r>
        <w:rPr>
          <w:rFonts w:hint="eastAsia" w:ascii="仿宋_GB2312" w:hAnsi="方正楷体_GBK" w:eastAsia="仿宋_GB2312" w:cs="方正楷体_GBK"/>
          <w:b/>
          <w:sz w:val="32"/>
          <w:szCs w:val="32"/>
        </w:rPr>
        <w:t>加强队伍建设，提升团队整体活力水平</w:t>
      </w:r>
    </w:p>
    <w:p w14:paraId="508D3865">
      <w:pPr>
        <w:spacing w:line="580" w:lineRule="exact"/>
        <w:ind w:firstLine="640" w:firstLineChars="200"/>
        <w:rPr>
          <w:rFonts w:ascii="仿宋_GB2312" w:eastAsia="仿宋_GB2312"/>
          <w:sz w:val="32"/>
          <w:szCs w:val="32"/>
        </w:rPr>
      </w:pPr>
      <w:r>
        <w:rPr>
          <w:rFonts w:hint="eastAsia" w:ascii="仿宋_GB2312" w:eastAsia="仿宋_GB2312"/>
          <w:sz w:val="32"/>
          <w:szCs w:val="32"/>
        </w:rPr>
        <w:t>整合传统媒体、新媒体采编团队，打破原有“两套人马、两类平台”各干各的工作现状，实现管理组织体系的重塑和再造。将全县各部门、各乡（镇）进行归口、划片，采编人员</w:t>
      </w:r>
      <w:r>
        <w:rPr>
          <w:rFonts w:hint="eastAsia" w:ascii="仿宋_GB2312" w:eastAsia="仿宋_GB2312"/>
          <w:sz w:val="32"/>
          <w:szCs w:val="32"/>
          <w:lang w:eastAsia="zh-CN"/>
        </w:rPr>
        <w:t>集中</w:t>
      </w:r>
      <w:r>
        <w:rPr>
          <w:rFonts w:hint="eastAsia" w:ascii="仿宋_GB2312" w:eastAsia="仿宋_GB2312"/>
          <w:sz w:val="32"/>
          <w:szCs w:val="32"/>
        </w:rPr>
        <w:t>统筹分配任务；将采编发任务落实到个人，强化练兵，逐步实现一岗多能，一稿多用，做到既能独立完成也能协同作战。同时在机制建设上，不断完善符合新闻工作规律的评价激励、薪酬分配等方面制度，探索建立特殊人才激励机制，把更多优秀人才吸引到融媒体中心。今年按照省委宣传部统一安排，</w:t>
      </w:r>
      <w:r>
        <w:rPr>
          <w:rFonts w:ascii="仿宋_GB2312" w:eastAsia="仿宋_GB2312"/>
          <w:sz w:val="32"/>
          <w:szCs w:val="32"/>
        </w:rPr>
        <w:t>17</w:t>
      </w:r>
      <w:r>
        <w:rPr>
          <w:rFonts w:hint="eastAsia" w:ascii="仿宋_GB2312" w:eastAsia="仿宋_GB2312"/>
          <w:sz w:val="32"/>
          <w:szCs w:val="32"/>
        </w:rPr>
        <w:t>名一线采编人员前往成都市参加全省县级融媒体中心从业人员个人培训，实现了一线人员全覆盖，</w:t>
      </w:r>
      <w:r>
        <w:rPr>
          <w:rFonts w:ascii="仿宋_GB2312" w:eastAsia="仿宋_GB2312"/>
          <w:sz w:val="32"/>
          <w:szCs w:val="32"/>
        </w:rPr>
        <w:t>9</w:t>
      </w:r>
      <w:r>
        <w:rPr>
          <w:rFonts w:hint="eastAsia" w:ascii="仿宋_GB2312" w:eastAsia="仿宋_GB2312"/>
          <w:sz w:val="32"/>
          <w:szCs w:val="32"/>
        </w:rPr>
        <w:t>名一线新闻工作者参加记者资格证考试，获得编辑记者资格证书</w:t>
      </w:r>
    </w:p>
    <w:p w14:paraId="7A677E39">
      <w:pPr>
        <w:spacing w:line="580" w:lineRule="exact"/>
        <w:ind w:firstLine="643" w:firstLineChars="200"/>
        <w:rPr>
          <w:rFonts w:ascii="仿宋_GB2312" w:eastAsia="仿宋_GB2312"/>
          <w:b/>
          <w:sz w:val="32"/>
          <w:szCs w:val="32"/>
        </w:rPr>
      </w:pPr>
      <w:r>
        <w:rPr>
          <w:rFonts w:ascii="仿宋_GB2312" w:hAnsi="方正楷体_GBK" w:eastAsia="仿宋_GB2312" w:cs="方正楷体_GBK"/>
          <w:b/>
          <w:sz w:val="32"/>
          <w:szCs w:val="32"/>
        </w:rPr>
        <w:t>4.</w:t>
      </w:r>
      <w:r>
        <w:rPr>
          <w:rFonts w:hint="eastAsia" w:ascii="仿宋_GB2312" w:hAnsi="方正楷体_GBK" w:eastAsia="仿宋_GB2312" w:cs="方正楷体_GBK"/>
          <w:b/>
          <w:sz w:val="32"/>
          <w:szCs w:val="32"/>
        </w:rPr>
        <w:t>不断完善硬件设备，确保新闻安全播出</w:t>
      </w:r>
    </w:p>
    <w:p w14:paraId="4889A463">
      <w:pPr>
        <w:spacing w:line="580" w:lineRule="exact"/>
        <w:ind w:firstLine="640" w:firstLineChars="200"/>
        <w:rPr>
          <w:rFonts w:ascii="仿宋_GB2312" w:eastAsia="仿宋_GB2312"/>
          <w:sz w:val="32"/>
          <w:szCs w:val="32"/>
        </w:rPr>
      </w:pPr>
      <w:r>
        <w:rPr>
          <w:rFonts w:ascii="仿宋_GB2312" w:eastAsia="仿宋_GB2312"/>
          <w:sz w:val="32"/>
          <w:szCs w:val="32"/>
        </w:rPr>
        <w:t>2021</w:t>
      </w:r>
      <w:r>
        <w:rPr>
          <w:rFonts w:hint="eastAsia" w:ascii="仿宋_GB2312" w:eastAsia="仿宋_GB2312"/>
          <w:sz w:val="32"/>
          <w:szCs w:val="32"/>
        </w:rPr>
        <w:t>年度争取省级专项资金共</w:t>
      </w:r>
      <w:r>
        <w:rPr>
          <w:rFonts w:ascii="仿宋_GB2312" w:eastAsia="仿宋_GB2312"/>
          <w:sz w:val="32"/>
          <w:szCs w:val="32"/>
        </w:rPr>
        <w:t>63</w:t>
      </w:r>
      <w:r>
        <w:rPr>
          <w:rFonts w:hint="eastAsia" w:ascii="仿宋_GB2312" w:eastAsia="仿宋_GB2312"/>
          <w:sz w:val="32"/>
          <w:szCs w:val="32"/>
        </w:rPr>
        <w:t>万元，每年与国网盐边供电公司合作</w:t>
      </w:r>
      <w:r>
        <w:rPr>
          <w:rFonts w:ascii="仿宋_GB2312" w:eastAsia="仿宋_GB2312"/>
          <w:sz w:val="32"/>
          <w:szCs w:val="32"/>
        </w:rPr>
        <w:t>7</w:t>
      </w:r>
      <w:r>
        <w:rPr>
          <w:rFonts w:hint="eastAsia" w:ascii="仿宋_GB2312" w:eastAsia="仿宋_GB2312"/>
          <w:sz w:val="32"/>
          <w:szCs w:val="32"/>
        </w:rPr>
        <w:t>万元。县委、县政府大力支持中心建设，县财政每年预算</w:t>
      </w:r>
      <w:r>
        <w:rPr>
          <w:rFonts w:ascii="仿宋_GB2312" w:eastAsia="仿宋_GB2312"/>
          <w:sz w:val="32"/>
          <w:szCs w:val="32"/>
        </w:rPr>
        <w:t>83</w:t>
      </w:r>
      <w:r>
        <w:rPr>
          <w:rFonts w:hint="eastAsia" w:ascii="仿宋_GB2312" w:eastAsia="仿宋_GB2312"/>
          <w:sz w:val="32"/>
          <w:szCs w:val="32"/>
        </w:rPr>
        <w:t>万元用于以钱养事人员聘用，划拨</w:t>
      </w:r>
      <w:r>
        <w:rPr>
          <w:rFonts w:ascii="仿宋_GB2312" w:eastAsia="仿宋_GB2312"/>
          <w:sz w:val="32"/>
          <w:szCs w:val="32"/>
        </w:rPr>
        <w:t>30</w:t>
      </w:r>
      <w:r>
        <w:rPr>
          <w:rFonts w:hint="eastAsia" w:ascii="仿宋_GB2312" w:eastAsia="仿宋_GB2312"/>
          <w:sz w:val="32"/>
          <w:szCs w:val="32"/>
        </w:rPr>
        <w:t>余万元用于网络服务、设备升级维护、电力保障等。</w:t>
      </w:r>
    </w:p>
    <w:p w14:paraId="3B282DF7">
      <w:pPr>
        <w:spacing w:line="580" w:lineRule="exact"/>
        <w:ind w:firstLine="640" w:firstLineChars="200"/>
        <w:rPr>
          <w:rFonts w:ascii="黑体" w:hAnsi="黑体" w:eastAsia="黑体" w:cs="黑体"/>
          <w:sz w:val="32"/>
          <w:szCs w:val="32"/>
        </w:rPr>
      </w:pPr>
      <w:bookmarkStart w:id="20" w:name="_Toc15396601"/>
      <w:bookmarkStart w:id="21" w:name="_Toc15377200"/>
      <w:r>
        <w:rPr>
          <w:rFonts w:hint="eastAsia" w:ascii="黑体" w:hAnsi="黑体" w:eastAsia="黑体" w:cs="黑体"/>
          <w:sz w:val="32"/>
          <w:szCs w:val="32"/>
        </w:rPr>
        <w:t>二、机构设置</w:t>
      </w:r>
      <w:bookmarkEnd w:id="20"/>
      <w:bookmarkEnd w:id="21"/>
    </w:p>
    <w:p w14:paraId="65AA79B0">
      <w:pPr>
        <w:spacing w:line="580" w:lineRule="exact"/>
        <w:ind w:firstLine="640" w:firstLineChars="200"/>
        <w:rPr>
          <w:rFonts w:ascii="仿宋_GB2312" w:eastAsia="仿宋_GB2312"/>
          <w:sz w:val="32"/>
          <w:szCs w:val="32"/>
        </w:rPr>
      </w:pPr>
      <w:r>
        <w:rPr>
          <w:rFonts w:hint="eastAsia" w:ascii="仿宋_GB2312" w:eastAsia="仿宋_GB2312"/>
          <w:sz w:val="32"/>
          <w:szCs w:val="32"/>
        </w:rPr>
        <w:t>盐边县融媒体中心下属二级单位</w:t>
      </w:r>
      <w:r>
        <w:rPr>
          <w:rFonts w:ascii="仿宋_GB2312" w:eastAsia="仿宋_GB2312"/>
          <w:sz w:val="32"/>
          <w:szCs w:val="32"/>
        </w:rPr>
        <w:t>0</w:t>
      </w:r>
      <w:r>
        <w:rPr>
          <w:rFonts w:hint="eastAsia" w:ascii="仿宋_GB2312" w:eastAsia="仿宋_GB2312"/>
          <w:sz w:val="32"/>
          <w:szCs w:val="32"/>
        </w:rPr>
        <w:t>个，其中行政单位</w:t>
      </w:r>
      <w:r>
        <w:rPr>
          <w:rFonts w:ascii="仿宋_GB2312" w:eastAsia="仿宋_GB2312"/>
          <w:sz w:val="32"/>
          <w:szCs w:val="32"/>
        </w:rPr>
        <w:t>0</w:t>
      </w:r>
      <w:r>
        <w:rPr>
          <w:rFonts w:hint="eastAsia" w:ascii="仿宋_GB2312" w:eastAsia="仿宋_GB2312"/>
          <w:sz w:val="32"/>
          <w:szCs w:val="32"/>
        </w:rPr>
        <w:t>个，参照公务员法管理的事业单位</w:t>
      </w:r>
      <w:r>
        <w:rPr>
          <w:rFonts w:ascii="仿宋_GB2312" w:eastAsia="仿宋_GB2312"/>
          <w:sz w:val="32"/>
          <w:szCs w:val="32"/>
        </w:rPr>
        <w:t>0</w:t>
      </w:r>
      <w:r>
        <w:rPr>
          <w:rFonts w:hint="eastAsia" w:ascii="仿宋_GB2312" w:eastAsia="仿宋_GB2312"/>
          <w:sz w:val="32"/>
          <w:szCs w:val="32"/>
        </w:rPr>
        <w:t>个，其他事业单位</w:t>
      </w:r>
      <w:r>
        <w:rPr>
          <w:rFonts w:ascii="仿宋_GB2312" w:eastAsia="仿宋_GB2312"/>
          <w:sz w:val="32"/>
          <w:szCs w:val="32"/>
        </w:rPr>
        <w:t>0</w:t>
      </w:r>
      <w:r>
        <w:rPr>
          <w:rFonts w:hint="eastAsia" w:ascii="仿宋_GB2312" w:eastAsia="仿宋_GB2312"/>
          <w:sz w:val="32"/>
          <w:szCs w:val="32"/>
        </w:rPr>
        <w:t>个。</w:t>
      </w:r>
    </w:p>
    <w:p w14:paraId="0C5371EA">
      <w:pPr>
        <w:spacing w:line="580" w:lineRule="exact"/>
        <w:ind w:firstLine="640" w:firstLineChars="200"/>
        <w:rPr>
          <w:rFonts w:ascii="仿宋_GB2312" w:eastAsia="仿宋_GB2312"/>
          <w:sz w:val="32"/>
          <w:szCs w:val="32"/>
        </w:rPr>
      </w:pPr>
      <w:r>
        <w:rPr>
          <w:rFonts w:hint="eastAsia" w:ascii="仿宋_GB2312" w:eastAsia="仿宋_GB2312"/>
          <w:sz w:val="32"/>
          <w:szCs w:val="32"/>
        </w:rPr>
        <w:t>纳入盐边县融媒体中心</w:t>
      </w:r>
      <w:r>
        <w:rPr>
          <w:rFonts w:ascii="仿宋_GB2312" w:eastAsia="仿宋_GB2312"/>
          <w:sz w:val="32"/>
          <w:szCs w:val="32"/>
        </w:rPr>
        <w:t>2021</w:t>
      </w:r>
      <w:r>
        <w:rPr>
          <w:rFonts w:hint="eastAsia" w:ascii="仿宋_GB2312" w:eastAsia="仿宋_GB2312"/>
          <w:sz w:val="32"/>
          <w:szCs w:val="32"/>
        </w:rPr>
        <w:t>年度部门决算编制范围的二级预算单位包括</w:t>
      </w:r>
      <w:r>
        <w:rPr>
          <w:rFonts w:ascii="仿宋_GB2312" w:eastAsia="仿宋_GB2312"/>
          <w:sz w:val="32"/>
          <w:szCs w:val="32"/>
        </w:rPr>
        <w:t>0</w:t>
      </w:r>
      <w:r>
        <w:rPr>
          <w:rFonts w:hint="eastAsia" w:ascii="仿宋_GB2312" w:eastAsia="仿宋_GB2312"/>
          <w:sz w:val="32"/>
          <w:szCs w:val="32"/>
        </w:rPr>
        <w:t>个。</w:t>
      </w:r>
    </w:p>
    <w:p w14:paraId="4DC56B3F">
      <w:pPr>
        <w:pStyle w:val="2"/>
        <w:spacing w:before="93"/>
      </w:pPr>
    </w:p>
    <w:p w14:paraId="001B25DA">
      <w:pPr>
        <w:pStyle w:val="3"/>
        <w:ind w:right="440"/>
        <w:jc w:val="center"/>
        <w:rPr>
          <w:rStyle w:val="18"/>
          <w:rFonts w:ascii="黑体" w:hAnsi="黑体" w:eastAsia="黑体"/>
          <w:b w:val="0"/>
          <w:bCs/>
        </w:rPr>
      </w:pPr>
      <w:bookmarkStart w:id="22" w:name="_Toc15377204"/>
      <w:bookmarkStart w:id="23" w:name="_Toc15396602"/>
      <w:r>
        <w:rPr>
          <w:rFonts w:hint="eastAsia" w:ascii="黑体" w:hAnsi="黑体" w:eastAsia="黑体"/>
          <w:b w:val="0"/>
        </w:rPr>
        <w:t>第二部分</w:t>
      </w:r>
      <w:r>
        <w:rPr>
          <w:rFonts w:ascii="黑体" w:hAnsi="黑体" w:eastAsia="黑体"/>
          <w:b w:val="0"/>
        </w:rPr>
        <w:t xml:space="preserve"> 2021</w:t>
      </w:r>
      <w:r>
        <w:rPr>
          <w:rFonts w:hint="eastAsia" w:ascii="黑体" w:hAnsi="黑体" w:eastAsia="黑体"/>
          <w:b w:val="0"/>
        </w:rPr>
        <w:t>年度</w:t>
      </w:r>
      <w:r>
        <w:rPr>
          <w:rStyle w:val="18"/>
          <w:rFonts w:hint="eastAsia" w:ascii="黑体" w:hAnsi="黑体" w:eastAsia="黑体"/>
          <w:b w:val="0"/>
          <w:bCs/>
        </w:rPr>
        <w:t>部门决算情况说明</w:t>
      </w:r>
      <w:bookmarkEnd w:id="22"/>
      <w:bookmarkEnd w:id="23"/>
    </w:p>
    <w:p w14:paraId="0CD63A74"/>
    <w:p w14:paraId="2918B5D6">
      <w:pPr>
        <w:pStyle w:val="29"/>
        <w:numPr>
          <w:ilvl w:val="0"/>
          <w:numId w:val="1"/>
        </w:numPr>
        <w:spacing w:line="600" w:lineRule="exact"/>
        <w:ind w:firstLineChars="0"/>
        <w:outlineLvl w:val="1"/>
        <w:rPr>
          <w:rStyle w:val="19"/>
          <w:rFonts w:ascii="黑体" w:hAnsi="黑体" w:eastAsia="黑体"/>
          <w:b w:val="0"/>
        </w:rPr>
      </w:pPr>
      <w:bookmarkStart w:id="24" w:name="_Toc15396603"/>
      <w:bookmarkStart w:id="25" w:name="_Toc15377205"/>
      <w:r>
        <w:rPr>
          <w:rFonts w:hint="eastAsia" w:ascii="黑体" w:hAnsi="黑体" w:eastAsia="黑体"/>
          <w:sz w:val="32"/>
          <w:szCs w:val="32"/>
        </w:rPr>
        <w:t>收</w:t>
      </w:r>
      <w:r>
        <w:rPr>
          <w:rStyle w:val="19"/>
          <w:rFonts w:hint="eastAsia" w:ascii="黑体" w:hAnsi="黑体" w:eastAsia="黑体"/>
          <w:b w:val="0"/>
        </w:rPr>
        <w:t>入支出决算总体情况说明</w:t>
      </w:r>
      <w:bookmarkEnd w:id="24"/>
      <w:bookmarkEnd w:id="25"/>
    </w:p>
    <w:p w14:paraId="0DFDE1C9">
      <w:pPr>
        <w:spacing w:line="600" w:lineRule="exact"/>
        <w:ind w:firstLine="640" w:firstLineChars="200"/>
        <w:rPr>
          <w:rFonts w:ascii="仿宋" w:hAnsi="仿宋" w:eastAsia="仿宋"/>
          <w:sz w:val="32"/>
          <w:szCs w:val="32"/>
        </w:rPr>
      </w:pPr>
      <w:r>
        <w:rPr>
          <w:rFonts w:ascii="仿宋" w:hAnsi="仿宋" w:eastAsia="仿宋"/>
          <w:sz w:val="32"/>
          <w:szCs w:val="32"/>
        </w:rPr>
        <w:t>2021</w:t>
      </w:r>
      <w:r>
        <w:rPr>
          <w:rFonts w:hint="eastAsia" w:ascii="仿宋" w:hAnsi="仿宋" w:eastAsia="仿宋"/>
          <w:sz w:val="32"/>
          <w:szCs w:val="32"/>
        </w:rPr>
        <w:t>年度收、支总计</w:t>
      </w:r>
      <w:r>
        <w:rPr>
          <w:rFonts w:ascii="仿宋" w:hAnsi="仿宋" w:eastAsia="仿宋"/>
          <w:sz w:val="32"/>
          <w:szCs w:val="32"/>
        </w:rPr>
        <w:t>486.83</w:t>
      </w:r>
      <w:r>
        <w:rPr>
          <w:rFonts w:hint="eastAsia" w:ascii="仿宋" w:hAnsi="仿宋" w:eastAsia="仿宋"/>
          <w:sz w:val="32"/>
          <w:szCs w:val="32"/>
        </w:rPr>
        <w:t>万元。与</w:t>
      </w:r>
      <w:r>
        <w:rPr>
          <w:rFonts w:ascii="仿宋" w:hAnsi="仿宋" w:eastAsia="仿宋"/>
          <w:sz w:val="32"/>
          <w:szCs w:val="32"/>
        </w:rPr>
        <w:t>2020</w:t>
      </w:r>
      <w:r>
        <w:rPr>
          <w:rFonts w:hint="eastAsia" w:ascii="仿宋" w:hAnsi="仿宋" w:eastAsia="仿宋"/>
          <w:sz w:val="32"/>
          <w:szCs w:val="32"/>
        </w:rPr>
        <w:t>年相比，收、支总计各增加</w:t>
      </w:r>
      <w:r>
        <w:rPr>
          <w:rFonts w:ascii="仿宋" w:hAnsi="仿宋" w:eastAsia="仿宋"/>
          <w:sz w:val="32"/>
          <w:szCs w:val="32"/>
        </w:rPr>
        <w:t>63.04</w:t>
      </w:r>
      <w:r>
        <w:rPr>
          <w:rFonts w:hint="eastAsia" w:ascii="仿宋" w:hAnsi="仿宋" w:eastAsia="仿宋"/>
          <w:sz w:val="32"/>
          <w:szCs w:val="32"/>
        </w:rPr>
        <w:t>万元，增长</w:t>
      </w:r>
      <w:r>
        <w:rPr>
          <w:rFonts w:ascii="仿宋" w:hAnsi="仿宋" w:eastAsia="仿宋"/>
          <w:sz w:val="32"/>
          <w:szCs w:val="32"/>
        </w:rPr>
        <w:t>12.95%</w:t>
      </w:r>
      <w:r>
        <w:rPr>
          <w:rFonts w:hint="eastAsia" w:ascii="仿宋" w:hAnsi="仿宋" w:eastAsia="仿宋"/>
          <w:sz w:val="32"/>
          <w:szCs w:val="32"/>
        </w:rPr>
        <w:t>。主要变动原因是人员变动及调整存量资金支出。</w:t>
      </w:r>
    </w:p>
    <w:p w14:paraId="1364556E">
      <w:pPr>
        <w:pStyle w:val="2"/>
        <w:spacing w:before="93"/>
        <w:ind w:left="600" w:hanging="600" w:hangingChars="250"/>
        <w:jc w:val="center"/>
      </w:pPr>
      <w:r>
        <w:object>
          <v:shape id="_x0000_i1025" o:spt="75" type="#_x0000_t75" style="height:194.25pt;width:408.75pt;" o:ole="t" filled="f" o:preferrelative="t" stroked="f" coordsize="21600,21600">
            <v:path/>
            <v:fill on="f" focussize="0,0"/>
            <v:stroke on="f" joinstyle="miter"/>
            <v:imagedata r:id="rId8" cropleft="-1334f" croptop="-4727f" cropright="-41f" cropbottom="-3214f" o:title=""/>
            <o:lock v:ext="edit" aspectratio="f"/>
            <w10:wrap type="none"/>
            <w10:anchorlock/>
          </v:shape>
          <o:OLEObject Type="Embed" ProgID="Excel.Sheet.8" ShapeID="_x0000_i1025" DrawAspect="Content" ObjectID="_1468075725" r:id="rId7">
            <o:LockedField>false</o:LockedField>
          </o:OLEObject>
        </w:object>
      </w:r>
      <w:r>
        <w:t xml:space="preserve"> </w:t>
      </w: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w:t>
      </w:r>
    </w:p>
    <w:p w14:paraId="7E3EABEF">
      <w:pPr>
        <w:pStyle w:val="29"/>
        <w:numPr>
          <w:ilvl w:val="0"/>
          <w:numId w:val="1"/>
        </w:numPr>
        <w:spacing w:line="600" w:lineRule="exact"/>
        <w:ind w:firstLineChars="0"/>
        <w:outlineLvl w:val="1"/>
        <w:rPr>
          <w:rStyle w:val="19"/>
          <w:rFonts w:ascii="黑体" w:hAnsi="黑体" w:eastAsia="黑体"/>
          <w:b w:val="0"/>
        </w:rPr>
      </w:pPr>
      <w:bookmarkStart w:id="26" w:name="_Toc15396604"/>
      <w:bookmarkStart w:id="27" w:name="_Toc15377206"/>
      <w:r>
        <w:rPr>
          <w:rFonts w:hint="eastAsia" w:ascii="黑体" w:hAnsi="黑体" w:eastAsia="黑体"/>
          <w:sz w:val="32"/>
          <w:szCs w:val="32"/>
        </w:rPr>
        <w:t>收</w:t>
      </w:r>
      <w:r>
        <w:rPr>
          <w:rStyle w:val="19"/>
          <w:rFonts w:hint="eastAsia" w:ascii="黑体" w:hAnsi="黑体" w:eastAsia="黑体"/>
          <w:b w:val="0"/>
        </w:rPr>
        <w:t>入决算情况说明</w:t>
      </w:r>
      <w:bookmarkEnd w:id="26"/>
      <w:bookmarkEnd w:id="27"/>
    </w:p>
    <w:p w14:paraId="11E4E1D8">
      <w:pPr>
        <w:spacing w:line="600" w:lineRule="exact"/>
        <w:ind w:firstLine="640" w:firstLineChars="200"/>
        <w:outlineLvl w:val="1"/>
        <w:rPr>
          <w:rFonts w:ascii="仿宋" w:hAnsi="仿宋" w:eastAsia="仿宋"/>
          <w:sz w:val="32"/>
          <w:szCs w:val="32"/>
        </w:rPr>
      </w:pPr>
      <w:r>
        <w:rPr>
          <w:rFonts w:ascii="仿宋" w:hAnsi="仿宋" w:eastAsia="仿宋"/>
          <w:sz w:val="32"/>
          <w:szCs w:val="32"/>
        </w:rPr>
        <w:t>2021</w:t>
      </w:r>
      <w:r>
        <w:rPr>
          <w:rFonts w:hint="eastAsia" w:ascii="仿宋" w:hAnsi="仿宋" w:eastAsia="仿宋"/>
          <w:sz w:val="32"/>
          <w:szCs w:val="32"/>
        </w:rPr>
        <w:t>年本年收入合计</w:t>
      </w:r>
      <w:r>
        <w:rPr>
          <w:rFonts w:ascii="仿宋" w:hAnsi="仿宋" w:eastAsia="仿宋"/>
          <w:sz w:val="32"/>
          <w:szCs w:val="32"/>
        </w:rPr>
        <w:t>486.83</w:t>
      </w:r>
      <w:r>
        <w:rPr>
          <w:rFonts w:hint="eastAsia" w:ascii="仿宋" w:hAnsi="仿宋" w:eastAsia="仿宋"/>
          <w:sz w:val="32"/>
          <w:szCs w:val="32"/>
        </w:rPr>
        <w:t>万元，其中：一般公共预算财政拨款收入</w:t>
      </w:r>
      <w:r>
        <w:rPr>
          <w:rFonts w:ascii="仿宋" w:hAnsi="仿宋" w:eastAsia="仿宋"/>
          <w:sz w:val="32"/>
          <w:szCs w:val="32"/>
        </w:rPr>
        <w:t>486.83</w:t>
      </w:r>
      <w:r>
        <w:rPr>
          <w:rFonts w:hint="eastAsia" w:ascii="仿宋" w:hAnsi="仿宋" w:eastAsia="仿宋"/>
          <w:sz w:val="32"/>
          <w:szCs w:val="32"/>
        </w:rPr>
        <w:t>万元，占</w:t>
      </w:r>
      <w:r>
        <w:rPr>
          <w:rFonts w:ascii="仿宋" w:hAnsi="仿宋" w:eastAsia="仿宋"/>
          <w:sz w:val="32"/>
          <w:szCs w:val="32"/>
        </w:rPr>
        <w:t>100%</w:t>
      </w:r>
      <w:r>
        <w:rPr>
          <w:rFonts w:hint="eastAsia" w:ascii="仿宋" w:hAnsi="仿宋" w:eastAsia="仿宋"/>
          <w:sz w:val="32"/>
          <w:szCs w:val="32"/>
        </w:rPr>
        <w:t>；政府性基金预算财政拨款收入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；国有资本经营预算财政拨款收入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；上级补助收入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；事业收入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；经营收入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；附属单位上缴收入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；其他收入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w:t>
      </w:r>
    </w:p>
    <w:p w14:paraId="2D630DBA">
      <w:pPr>
        <w:pStyle w:val="2"/>
        <w:spacing w:before="93"/>
        <w:rPr>
          <w:b/>
        </w:rPr>
      </w:pPr>
      <w:r>
        <w:t xml:space="preserve">        </w:t>
      </w:r>
    </w:p>
    <w:p w14:paraId="10CE5D4B">
      <w:pPr>
        <w:pStyle w:val="2"/>
        <w:spacing w:before="93"/>
        <w:rPr>
          <w:rFonts w:ascii="仿宋" w:hAnsi="仿宋" w:eastAsia="仿宋"/>
          <w:sz w:val="32"/>
          <w:szCs w:val="32"/>
        </w:rPr>
      </w:pPr>
    </w:p>
    <w:p w14:paraId="595994A5">
      <w:pPr>
        <w:pStyle w:val="2"/>
        <w:spacing w:before="93"/>
        <w:rPr>
          <w:rFonts w:ascii="仿宋" w:hAnsi="仿宋" w:eastAsia="仿宋"/>
          <w:sz w:val="32"/>
          <w:szCs w:val="32"/>
        </w:rPr>
      </w:pPr>
      <w:r>
        <w:object>
          <v:shape id="_x0000_i1026" o:spt="75" type="#_x0000_t75" style="height:185.25pt;width:411.75pt;" o:ole="t" filled="f" o:preferrelative="t" stroked="f" coordsize="21600,21600">
            <v:path/>
            <v:fill on="f" focussize="0,0"/>
            <v:stroke on="f" joinstyle="miter"/>
            <v:imagedata r:id="rId10" cropbottom="-71f" o:title=""/>
            <o:lock v:ext="edit" aspectratio="f"/>
            <w10:wrap type="none"/>
            <w10:anchorlock/>
          </v:shape>
          <o:OLEObject Type="Embed" ProgID="Excel.Sheet.8" ShapeID="_x0000_i1026" DrawAspect="Content" ObjectID="_1468075726" r:id="rId9">
            <o:LockedField>false</o:LockedField>
          </o:OLEObject>
        </w:object>
      </w:r>
      <w:r>
        <w:rPr>
          <w:rFonts w:ascii="仿宋" w:hAnsi="仿宋" w:eastAsia="仿宋"/>
          <w:sz w:val="32"/>
          <w:szCs w:val="32"/>
        </w:rPr>
        <w:t xml:space="preserve">      </w:t>
      </w:r>
    </w:p>
    <w:p w14:paraId="2A4D2A0A">
      <w:pPr>
        <w:pStyle w:val="2"/>
        <w:spacing w:before="93"/>
        <w:jc w:val="center"/>
        <w:rPr>
          <w:rFonts w:ascii="仿宋" w:hAnsi="仿宋" w:eastAsia="仿宋"/>
          <w:sz w:val="32"/>
          <w:szCs w:val="32"/>
        </w:rPr>
      </w:pPr>
      <w:r>
        <w:rPr>
          <w:rFonts w:hint="eastAsia" w:ascii="仿宋" w:hAnsi="仿宋" w:eastAsia="仿宋"/>
          <w:sz w:val="32"/>
          <w:szCs w:val="32"/>
        </w:rPr>
        <w:t>（图</w:t>
      </w:r>
      <w:r>
        <w:rPr>
          <w:rFonts w:ascii="仿宋" w:hAnsi="仿宋" w:eastAsia="仿宋"/>
          <w:sz w:val="32"/>
          <w:szCs w:val="32"/>
        </w:rPr>
        <w:t>2</w:t>
      </w:r>
      <w:r>
        <w:rPr>
          <w:rFonts w:hint="eastAsia" w:ascii="仿宋" w:hAnsi="仿宋" w:eastAsia="仿宋"/>
          <w:sz w:val="32"/>
          <w:szCs w:val="32"/>
        </w:rPr>
        <w:t>：收入决算结构图）</w:t>
      </w:r>
    </w:p>
    <w:p w14:paraId="7DF798D6">
      <w:pPr>
        <w:pStyle w:val="29"/>
        <w:numPr>
          <w:ilvl w:val="0"/>
          <w:numId w:val="1"/>
        </w:numPr>
        <w:spacing w:line="600" w:lineRule="exact"/>
        <w:ind w:firstLineChars="0"/>
        <w:outlineLvl w:val="1"/>
        <w:rPr>
          <w:rStyle w:val="19"/>
          <w:rFonts w:ascii="黑体" w:hAnsi="黑体" w:eastAsia="黑体"/>
          <w:b w:val="0"/>
        </w:rPr>
      </w:pPr>
      <w:bookmarkStart w:id="28" w:name="_Toc15377207"/>
      <w:bookmarkStart w:id="29" w:name="_Toc15396605"/>
      <w:r>
        <w:rPr>
          <w:rFonts w:hint="eastAsia" w:ascii="黑体" w:hAnsi="黑体" w:eastAsia="黑体"/>
          <w:sz w:val="32"/>
          <w:szCs w:val="32"/>
        </w:rPr>
        <w:t>支</w:t>
      </w:r>
      <w:r>
        <w:rPr>
          <w:rStyle w:val="19"/>
          <w:rFonts w:hint="eastAsia" w:ascii="黑体" w:hAnsi="黑体" w:eastAsia="黑体"/>
          <w:b w:val="0"/>
        </w:rPr>
        <w:t>出决算情况说明</w:t>
      </w:r>
      <w:bookmarkEnd w:id="28"/>
      <w:bookmarkEnd w:id="29"/>
    </w:p>
    <w:p w14:paraId="3583156F">
      <w:pPr>
        <w:spacing w:line="600" w:lineRule="exact"/>
        <w:ind w:firstLine="640" w:firstLineChars="200"/>
        <w:outlineLvl w:val="1"/>
        <w:rPr>
          <w:rFonts w:ascii="仿宋" w:hAnsi="仿宋" w:eastAsia="仿宋"/>
          <w:sz w:val="32"/>
          <w:szCs w:val="32"/>
        </w:rPr>
      </w:pPr>
      <w:r>
        <w:rPr>
          <w:rFonts w:ascii="仿宋" w:hAnsi="仿宋" w:eastAsia="仿宋"/>
          <w:sz w:val="32"/>
          <w:szCs w:val="32"/>
        </w:rPr>
        <w:t>2021</w:t>
      </w:r>
      <w:r>
        <w:rPr>
          <w:rFonts w:hint="eastAsia" w:ascii="仿宋" w:hAnsi="仿宋" w:eastAsia="仿宋"/>
          <w:sz w:val="32"/>
          <w:szCs w:val="32"/>
        </w:rPr>
        <w:t>年本年支出合计</w:t>
      </w:r>
      <w:r>
        <w:rPr>
          <w:rFonts w:ascii="仿宋" w:hAnsi="仿宋" w:eastAsia="仿宋"/>
          <w:sz w:val="32"/>
          <w:szCs w:val="32"/>
        </w:rPr>
        <w:t>486.83</w:t>
      </w:r>
      <w:r>
        <w:rPr>
          <w:rFonts w:hint="eastAsia" w:ascii="仿宋" w:hAnsi="仿宋" w:eastAsia="仿宋"/>
          <w:sz w:val="32"/>
          <w:szCs w:val="32"/>
        </w:rPr>
        <w:t>万元，其中：基本支出</w:t>
      </w:r>
      <w:r>
        <w:rPr>
          <w:rFonts w:ascii="仿宋" w:hAnsi="仿宋" w:eastAsia="仿宋"/>
          <w:sz w:val="32"/>
          <w:szCs w:val="32"/>
        </w:rPr>
        <w:t>442.29</w:t>
      </w:r>
      <w:r>
        <w:rPr>
          <w:rFonts w:hint="eastAsia" w:ascii="仿宋" w:hAnsi="仿宋" w:eastAsia="仿宋"/>
          <w:sz w:val="32"/>
          <w:szCs w:val="32"/>
        </w:rPr>
        <w:t>万元，占</w:t>
      </w:r>
      <w:r>
        <w:rPr>
          <w:rFonts w:ascii="仿宋" w:hAnsi="仿宋" w:eastAsia="仿宋"/>
          <w:sz w:val="32"/>
          <w:szCs w:val="32"/>
        </w:rPr>
        <w:t>90.85%</w:t>
      </w:r>
      <w:r>
        <w:rPr>
          <w:rFonts w:hint="eastAsia" w:ascii="仿宋" w:hAnsi="仿宋" w:eastAsia="仿宋"/>
          <w:sz w:val="32"/>
          <w:szCs w:val="32"/>
        </w:rPr>
        <w:t>；项目支出</w:t>
      </w:r>
      <w:r>
        <w:rPr>
          <w:rFonts w:ascii="仿宋" w:hAnsi="仿宋" w:eastAsia="仿宋"/>
          <w:sz w:val="32"/>
          <w:szCs w:val="32"/>
        </w:rPr>
        <w:t>44.54</w:t>
      </w:r>
      <w:r>
        <w:rPr>
          <w:rFonts w:hint="eastAsia" w:ascii="仿宋" w:hAnsi="仿宋" w:eastAsia="仿宋"/>
          <w:sz w:val="32"/>
          <w:szCs w:val="32"/>
        </w:rPr>
        <w:t>万元，占</w:t>
      </w:r>
      <w:r>
        <w:rPr>
          <w:rFonts w:ascii="仿宋" w:hAnsi="仿宋" w:eastAsia="仿宋"/>
          <w:sz w:val="32"/>
          <w:szCs w:val="32"/>
        </w:rPr>
        <w:t>9.15%</w:t>
      </w:r>
      <w:r>
        <w:rPr>
          <w:rFonts w:hint="eastAsia" w:ascii="仿宋" w:hAnsi="仿宋" w:eastAsia="仿宋"/>
          <w:sz w:val="32"/>
          <w:szCs w:val="32"/>
        </w:rPr>
        <w:t>；上缴上级支出</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；经营支出</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；对附属单位补助支出</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w:t>
      </w:r>
    </w:p>
    <w:p w14:paraId="080430A7">
      <w:pPr>
        <w:pStyle w:val="2"/>
        <w:spacing w:before="93"/>
        <w:rPr>
          <w:rFonts w:ascii="仿宋" w:hAnsi="仿宋" w:eastAsia="仿宋"/>
          <w:sz w:val="32"/>
          <w:szCs w:val="32"/>
        </w:rPr>
      </w:pPr>
      <w:r>
        <w:object>
          <v:shape id="_x0000_i1027" o:spt="75" type="#_x0000_t75" style="height:173.25pt;width:399pt;" o:ole="t" filled="f" o:preferrelative="t" stroked="f" coordsize="21600,21600">
            <v:path/>
            <v:fill on="f" focussize="0,0"/>
            <v:stroke on="f" joinstyle="miter"/>
            <v:imagedata r:id="rId12" cropbottom="-76f" o:title=""/>
            <o:lock v:ext="edit" aspectratio="f"/>
            <w10:wrap type="none"/>
            <w10:anchorlock/>
          </v:shape>
          <o:OLEObject Type="Embed" ProgID="Excel.Sheet.8" ShapeID="_x0000_i1027" DrawAspect="Content" ObjectID="_1468075727" r:id="rId11">
            <o:LockedField>false</o:LockedField>
          </o:OLEObject>
        </w:object>
      </w:r>
    </w:p>
    <w:p w14:paraId="1F9BEA64">
      <w:pPr>
        <w:pStyle w:val="2"/>
        <w:spacing w:before="93"/>
        <w:jc w:val="center"/>
        <w:rPr>
          <w:rFonts w:ascii="仿宋" w:hAnsi="仿宋" w:eastAsia="仿宋"/>
          <w:sz w:val="32"/>
          <w:szCs w:val="32"/>
        </w:rPr>
      </w:pPr>
      <w:r>
        <w:rPr>
          <w:rFonts w:hint="eastAsia" w:ascii="仿宋" w:hAnsi="仿宋" w:eastAsia="仿宋"/>
          <w:sz w:val="32"/>
          <w:szCs w:val="32"/>
        </w:rPr>
        <w:t>（图</w:t>
      </w:r>
      <w:r>
        <w:rPr>
          <w:rFonts w:ascii="仿宋" w:hAnsi="仿宋" w:eastAsia="仿宋"/>
          <w:sz w:val="32"/>
          <w:szCs w:val="32"/>
        </w:rPr>
        <w:t>3</w:t>
      </w:r>
      <w:r>
        <w:rPr>
          <w:rFonts w:hint="eastAsia" w:ascii="仿宋" w:hAnsi="仿宋" w:eastAsia="仿宋"/>
          <w:sz w:val="32"/>
          <w:szCs w:val="32"/>
        </w:rPr>
        <w:t>：支出决算结构图）</w:t>
      </w:r>
    </w:p>
    <w:p w14:paraId="22E525CC">
      <w:pPr>
        <w:spacing w:line="600" w:lineRule="exact"/>
        <w:ind w:firstLine="640" w:firstLineChars="200"/>
        <w:outlineLvl w:val="1"/>
        <w:rPr>
          <w:rStyle w:val="19"/>
          <w:rFonts w:ascii="黑体" w:hAnsi="黑体" w:eastAsia="黑体"/>
          <w:b w:val="0"/>
        </w:rPr>
      </w:pPr>
      <w:bookmarkStart w:id="30" w:name="_Toc15396606"/>
      <w:bookmarkStart w:id="31" w:name="_Toc15377208"/>
      <w:r>
        <w:rPr>
          <w:rFonts w:hint="eastAsia" w:ascii="黑体" w:hAnsi="黑体" w:eastAsia="黑体"/>
          <w:sz w:val="32"/>
          <w:szCs w:val="32"/>
        </w:rPr>
        <w:t>四、财</w:t>
      </w:r>
      <w:r>
        <w:rPr>
          <w:rStyle w:val="19"/>
          <w:rFonts w:hint="eastAsia" w:ascii="黑体" w:hAnsi="黑体" w:eastAsia="黑体"/>
          <w:b w:val="0"/>
        </w:rPr>
        <w:t>政拨款收入支出决算总体情况说明</w:t>
      </w:r>
      <w:bookmarkEnd w:id="30"/>
      <w:bookmarkEnd w:id="31"/>
    </w:p>
    <w:p w14:paraId="2778C389">
      <w:pPr>
        <w:spacing w:line="600" w:lineRule="exact"/>
        <w:ind w:firstLine="640"/>
        <w:rPr>
          <w:rFonts w:ascii="仿宋" w:hAnsi="仿宋" w:eastAsia="仿宋"/>
          <w:sz w:val="32"/>
          <w:szCs w:val="32"/>
        </w:rPr>
      </w:pPr>
      <w:r>
        <w:rPr>
          <w:rFonts w:ascii="仿宋" w:hAnsi="仿宋" w:eastAsia="仿宋"/>
          <w:sz w:val="32"/>
          <w:szCs w:val="32"/>
        </w:rPr>
        <w:t>2021</w:t>
      </w:r>
      <w:r>
        <w:rPr>
          <w:rFonts w:hint="eastAsia" w:ascii="仿宋" w:hAnsi="仿宋" w:eastAsia="仿宋"/>
          <w:sz w:val="32"/>
          <w:szCs w:val="32"/>
        </w:rPr>
        <w:t>年财政拨款收、支总计</w:t>
      </w:r>
      <w:r>
        <w:rPr>
          <w:rFonts w:ascii="仿宋" w:hAnsi="仿宋" w:eastAsia="仿宋"/>
          <w:sz w:val="32"/>
          <w:szCs w:val="32"/>
        </w:rPr>
        <w:t>486.83</w:t>
      </w:r>
      <w:r>
        <w:rPr>
          <w:rFonts w:hint="eastAsia" w:ascii="仿宋" w:hAnsi="仿宋" w:eastAsia="仿宋"/>
          <w:sz w:val="32"/>
          <w:szCs w:val="32"/>
        </w:rPr>
        <w:t>万元。与</w:t>
      </w:r>
      <w:r>
        <w:rPr>
          <w:rFonts w:ascii="仿宋" w:hAnsi="仿宋" w:eastAsia="仿宋"/>
          <w:sz w:val="32"/>
          <w:szCs w:val="32"/>
        </w:rPr>
        <w:t>2020</w:t>
      </w:r>
      <w:r>
        <w:rPr>
          <w:rFonts w:hint="eastAsia" w:ascii="仿宋" w:hAnsi="仿宋" w:eastAsia="仿宋"/>
          <w:sz w:val="32"/>
          <w:szCs w:val="32"/>
        </w:rPr>
        <w:t>年相比，财政拨款收、支总计各增加</w:t>
      </w:r>
      <w:r>
        <w:rPr>
          <w:rFonts w:ascii="仿宋" w:hAnsi="仿宋" w:eastAsia="仿宋"/>
          <w:sz w:val="32"/>
          <w:szCs w:val="32"/>
        </w:rPr>
        <w:t>63.04</w:t>
      </w:r>
      <w:r>
        <w:rPr>
          <w:rFonts w:hint="eastAsia" w:ascii="仿宋" w:hAnsi="仿宋" w:eastAsia="仿宋"/>
          <w:sz w:val="32"/>
          <w:szCs w:val="32"/>
        </w:rPr>
        <w:t>万元，增长</w:t>
      </w:r>
      <w:r>
        <w:rPr>
          <w:rFonts w:ascii="仿宋" w:hAnsi="仿宋" w:eastAsia="仿宋"/>
          <w:sz w:val="32"/>
          <w:szCs w:val="32"/>
        </w:rPr>
        <w:t>12.95%</w:t>
      </w:r>
      <w:r>
        <w:rPr>
          <w:rFonts w:hint="eastAsia" w:ascii="仿宋" w:hAnsi="仿宋" w:eastAsia="仿宋"/>
          <w:sz w:val="32"/>
          <w:szCs w:val="32"/>
        </w:rPr>
        <w:t>。主要变动原因是人员变动及调整存量资金支出。</w:t>
      </w:r>
    </w:p>
    <w:p w14:paraId="0B68C9F0">
      <w:pPr>
        <w:pStyle w:val="2"/>
        <w:spacing w:before="93"/>
        <w:jc w:val="center"/>
        <w:rPr>
          <w:rFonts w:ascii="仿宋" w:hAnsi="仿宋" w:eastAsia="仿宋"/>
          <w:sz w:val="32"/>
          <w:szCs w:val="32"/>
        </w:rPr>
      </w:pPr>
      <w:r>
        <w:object>
          <v:shape id="_x0000_i1028" o:spt="75" type="#_x0000_t75" style="height:147.75pt;width:434.25pt;" o:ole="t" filled="f" o:preferrelative="t" stroked="f" coordsize="21600,21600">
            <v:path/>
            <v:fill on="f" focussize="0,0"/>
            <v:stroke on="f" joinstyle="miter"/>
            <v:imagedata r:id="rId14" cropbottom="-44f" o:title=""/>
            <o:lock v:ext="edit" aspectratio="f"/>
            <w10:wrap type="none"/>
            <w10:anchorlock/>
          </v:shape>
          <o:OLEObject Type="Embed" ProgID="Excel.Sheet.8" ShapeID="_x0000_i1028" DrawAspect="Content" ObjectID="_1468075728" r:id="rId13">
            <o:LockedField>false</o:LockedField>
          </o:OLEObject>
        </w:object>
      </w:r>
      <w:r>
        <w:rPr>
          <w:rFonts w:hint="eastAsia" w:ascii="仿宋" w:hAnsi="仿宋" w:eastAsia="仿宋"/>
          <w:sz w:val="32"/>
          <w:szCs w:val="32"/>
        </w:rPr>
        <w:t>（图</w:t>
      </w:r>
      <w:r>
        <w:rPr>
          <w:rFonts w:ascii="仿宋" w:hAnsi="仿宋" w:eastAsia="仿宋"/>
          <w:sz w:val="32"/>
          <w:szCs w:val="32"/>
        </w:rPr>
        <w:t>4</w:t>
      </w:r>
      <w:r>
        <w:rPr>
          <w:rFonts w:hint="eastAsia" w:ascii="仿宋" w:hAnsi="仿宋" w:eastAsia="仿宋"/>
          <w:sz w:val="32"/>
          <w:szCs w:val="32"/>
        </w:rPr>
        <w:t>：财政拨款收、支决算总计变动情况）</w:t>
      </w:r>
    </w:p>
    <w:p w14:paraId="4C733685">
      <w:pPr>
        <w:spacing w:line="600" w:lineRule="exact"/>
        <w:ind w:firstLine="640" w:firstLineChars="200"/>
        <w:outlineLvl w:val="1"/>
        <w:rPr>
          <w:rStyle w:val="19"/>
          <w:rFonts w:ascii="黑体" w:hAnsi="黑体" w:eastAsia="黑体"/>
          <w:b w:val="0"/>
        </w:rPr>
      </w:pPr>
      <w:bookmarkStart w:id="32" w:name="_Toc15377209"/>
      <w:bookmarkStart w:id="33" w:name="_Toc15396607"/>
      <w:r>
        <w:rPr>
          <w:rFonts w:hint="eastAsia" w:ascii="黑体" w:hAnsi="黑体" w:eastAsia="黑体"/>
          <w:sz w:val="32"/>
          <w:szCs w:val="32"/>
        </w:rPr>
        <w:t>五、</w:t>
      </w:r>
      <w:r>
        <w:rPr>
          <w:rFonts w:hint="eastAsia" w:ascii="黑体" w:hAnsi="黑体" w:eastAsia="黑体"/>
          <w:b/>
          <w:sz w:val="32"/>
          <w:szCs w:val="32"/>
        </w:rPr>
        <w:t>一</w:t>
      </w:r>
      <w:r>
        <w:rPr>
          <w:rStyle w:val="19"/>
          <w:rFonts w:hint="eastAsia" w:ascii="黑体" w:hAnsi="黑体" w:eastAsia="黑体"/>
          <w:b w:val="0"/>
        </w:rPr>
        <w:t>般公共预算财政拨款支出决算情况说明</w:t>
      </w:r>
      <w:bookmarkEnd w:id="32"/>
      <w:bookmarkEnd w:id="33"/>
    </w:p>
    <w:p w14:paraId="291A4E1A">
      <w:pPr>
        <w:spacing w:line="600" w:lineRule="exact"/>
        <w:ind w:firstLine="643" w:firstLineChars="200"/>
        <w:outlineLvl w:val="2"/>
        <w:rPr>
          <w:rFonts w:ascii="仿宋" w:hAnsi="仿宋" w:eastAsia="仿宋"/>
          <w:b/>
          <w:sz w:val="32"/>
          <w:szCs w:val="32"/>
        </w:rPr>
      </w:pPr>
      <w:bookmarkStart w:id="34" w:name="_Toc15377210"/>
      <w:r>
        <w:rPr>
          <w:rFonts w:hint="eastAsia" w:ascii="仿宋" w:hAnsi="仿宋" w:eastAsia="仿宋"/>
          <w:b/>
          <w:sz w:val="32"/>
          <w:szCs w:val="32"/>
        </w:rPr>
        <w:t>（一）一般公共预算财政拨款支出决算总体情况</w:t>
      </w:r>
      <w:bookmarkEnd w:id="34"/>
    </w:p>
    <w:p w14:paraId="1E4A7226">
      <w:pPr>
        <w:spacing w:line="600" w:lineRule="exact"/>
        <w:ind w:firstLine="640" w:firstLineChars="200"/>
        <w:rPr>
          <w:rFonts w:ascii="仿宋" w:hAnsi="仿宋" w:eastAsia="仿宋"/>
          <w:sz w:val="32"/>
          <w:szCs w:val="32"/>
        </w:rPr>
      </w:pPr>
      <w:r>
        <w:rPr>
          <w:rFonts w:ascii="仿宋" w:hAnsi="仿宋" w:eastAsia="仿宋"/>
          <w:sz w:val="32"/>
          <w:szCs w:val="32"/>
        </w:rPr>
        <w:t>2021</w:t>
      </w:r>
      <w:r>
        <w:rPr>
          <w:rFonts w:hint="eastAsia" w:ascii="仿宋" w:hAnsi="仿宋" w:eastAsia="仿宋"/>
          <w:sz w:val="32"/>
          <w:szCs w:val="32"/>
        </w:rPr>
        <w:t>年一般公共预算财政拨款支出</w:t>
      </w:r>
      <w:r>
        <w:rPr>
          <w:rFonts w:ascii="仿宋" w:hAnsi="仿宋" w:eastAsia="仿宋"/>
          <w:sz w:val="32"/>
          <w:szCs w:val="32"/>
        </w:rPr>
        <w:t>486.83</w:t>
      </w:r>
      <w:r>
        <w:rPr>
          <w:rFonts w:hint="eastAsia" w:ascii="仿宋" w:hAnsi="仿宋" w:eastAsia="仿宋"/>
          <w:sz w:val="32"/>
          <w:szCs w:val="32"/>
        </w:rPr>
        <w:t>万元，占本年支出合计的</w:t>
      </w:r>
      <w:r>
        <w:rPr>
          <w:rFonts w:ascii="仿宋" w:hAnsi="仿宋" w:eastAsia="仿宋"/>
          <w:sz w:val="32"/>
          <w:szCs w:val="32"/>
        </w:rPr>
        <w:t>100%</w:t>
      </w:r>
      <w:r>
        <w:rPr>
          <w:rFonts w:hint="eastAsia" w:ascii="仿宋" w:hAnsi="仿宋" w:eastAsia="仿宋"/>
          <w:sz w:val="32"/>
          <w:szCs w:val="32"/>
        </w:rPr>
        <w:t>。与</w:t>
      </w:r>
      <w:r>
        <w:rPr>
          <w:rFonts w:ascii="仿宋" w:hAnsi="仿宋" w:eastAsia="仿宋"/>
          <w:sz w:val="32"/>
          <w:szCs w:val="32"/>
        </w:rPr>
        <w:t>2020</w:t>
      </w:r>
      <w:r>
        <w:rPr>
          <w:rFonts w:hint="eastAsia" w:ascii="仿宋" w:hAnsi="仿宋" w:eastAsia="仿宋"/>
          <w:sz w:val="32"/>
          <w:szCs w:val="32"/>
        </w:rPr>
        <w:t>年相比，一般公共预算财政拨款支出增加</w:t>
      </w:r>
      <w:r>
        <w:rPr>
          <w:rFonts w:ascii="仿宋" w:hAnsi="仿宋" w:eastAsia="仿宋"/>
          <w:sz w:val="32"/>
          <w:szCs w:val="32"/>
        </w:rPr>
        <w:t>63.04</w:t>
      </w:r>
      <w:r>
        <w:rPr>
          <w:rFonts w:hint="eastAsia" w:ascii="仿宋" w:hAnsi="仿宋" w:eastAsia="仿宋"/>
          <w:sz w:val="32"/>
          <w:szCs w:val="32"/>
        </w:rPr>
        <w:t>万元，增长</w:t>
      </w:r>
      <w:r>
        <w:rPr>
          <w:rFonts w:ascii="仿宋" w:hAnsi="仿宋" w:eastAsia="仿宋"/>
          <w:sz w:val="32"/>
          <w:szCs w:val="32"/>
        </w:rPr>
        <w:t>12.95%</w:t>
      </w:r>
      <w:r>
        <w:rPr>
          <w:rFonts w:hint="eastAsia" w:ascii="仿宋" w:hAnsi="仿宋" w:eastAsia="仿宋"/>
          <w:sz w:val="32"/>
          <w:szCs w:val="32"/>
        </w:rPr>
        <w:t>。主要变动原因是人员变动及调整存量资金支出。</w:t>
      </w:r>
    </w:p>
    <w:p w14:paraId="1DFA3B90">
      <w:pPr>
        <w:pStyle w:val="2"/>
        <w:spacing w:before="93"/>
        <w:jc w:val="center"/>
        <w:rPr>
          <w:rFonts w:ascii="仿宋" w:hAnsi="仿宋" w:eastAsia="仿宋"/>
          <w:sz w:val="32"/>
          <w:szCs w:val="32"/>
        </w:rPr>
      </w:pPr>
      <w:r>
        <w:object>
          <v:shape id="_x0000_i1029" o:spt="75" type="#_x0000_t75" style="height:153.75pt;width:434.25pt;" o:ole="t" filled="f" o:preferrelative="t" stroked="f" coordsize="21600,21600">
            <v:path/>
            <v:fill on="f" focussize="0,0"/>
            <v:stroke on="f" joinstyle="miter"/>
            <v:imagedata r:id="rId16" o:title=""/>
            <o:lock v:ext="edit" aspectratio="f"/>
            <w10:wrap type="none"/>
            <w10:anchorlock/>
          </v:shape>
          <o:OLEObject Type="Embed" ProgID="Excel.Sheet.8" ShapeID="_x0000_i1029" DrawAspect="Content" ObjectID="_1468075729" r:id="rId15">
            <o:LockedField>false</o:LockedField>
          </o:OLEObject>
        </w:object>
      </w:r>
      <w:r>
        <w:rPr>
          <w:rFonts w:hint="eastAsia" w:ascii="仿宋" w:hAnsi="仿宋" w:eastAsia="仿宋"/>
          <w:sz w:val="32"/>
          <w:szCs w:val="32"/>
        </w:rPr>
        <w:t>（图</w:t>
      </w:r>
      <w:r>
        <w:rPr>
          <w:rFonts w:ascii="仿宋" w:hAnsi="仿宋" w:eastAsia="仿宋"/>
          <w:sz w:val="32"/>
          <w:szCs w:val="32"/>
        </w:rPr>
        <w:t>5</w:t>
      </w:r>
      <w:r>
        <w:rPr>
          <w:rFonts w:hint="eastAsia" w:ascii="仿宋" w:hAnsi="仿宋" w:eastAsia="仿宋"/>
          <w:sz w:val="32"/>
          <w:szCs w:val="32"/>
        </w:rPr>
        <w:t>：一般公共预算财政拨款支出决算变动情况）</w:t>
      </w:r>
    </w:p>
    <w:p w14:paraId="43470FA7">
      <w:pPr>
        <w:spacing w:line="600" w:lineRule="exact"/>
        <w:ind w:firstLine="643" w:firstLineChars="200"/>
        <w:outlineLvl w:val="2"/>
        <w:rPr>
          <w:rFonts w:ascii="仿宋" w:hAnsi="仿宋" w:eastAsia="仿宋"/>
          <w:b/>
          <w:sz w:val="32"/>
          <w:szCs w:val="32"/>
        </w:rPr>
      </w:pPr>
      <w:bookmarkStart w:id="35" w:name="_Toc15377211"/>
      <w:r>
        <w:rPr>
          <w:rFonts w:hint="eastAsia" w:ascii="仿宋" w:hAnsi="仿宋" w:eastAsia="仿宋"/>
          <w:b/>
          <w:sz w:val="32"/>
          <w:szCs w:val="32"/>
        </w:rPr>
        <w:t>（二）一般公共预算财政拨款支出决算结构情况</w:t>
      </w:r>
      <w:bookmarkEnd w:id="35"/>
    </w:p>
    <w:p w14:paraId="2046A826">
      <w:pPr>
        <w:spacing w:line="600" w:lineRule="exact"/>
        <w:ind w:firstLine="640"/>
        <w:rPr>
          <w:rFonts w:ascii="仿宋" w:hAnsi="仿宋" w:eastAsia="仿宋"/>
          <w:sz w:val="32"/>
          <w:szCs w:val="32"/>
        </w:rPr>
      </w:pPr>
      <w:r>
        <w:rPr>
          <w:rFonts w:ascii="仿宋" w:hAnsi="仿宋" w:eastAsia="仿宋"/>
          <w:sz w:val="32"/>
          <w:szCs w:val="32"/>
        </w:rPr>
        <w:t>2021</w:t>
      </w:r>
      <w:r>
        <w:rPr>
          <w:rFonts w:hint="eastAsia" w:ascii="仿宋" w:hAnsi="仿宋" w:eastAsia="仿宋"/>
          <w:sz w:val="32"/>
          <w:szCs w:val="32"/>
        </w:rPr>
        <w:t>年一般公共预算财政拨款支出</w:t>
      </w:r>
      <w:r>
        <w:rPr>
          <w:rFonts w:ascii="仿宋" w:hAnsi="仿宋" w:eastAsia="仿宋"/>
          <w:sz w:val="32"/>
          <w:szCs w:val="32"/>
        </w:rPr>
        <w:t>486.83</w:t>
      </w:r>
      <w:r>
        <w:rPr>
          <w:rFonts w:hint="eastAsia" w:ascii="仿宋" w:hAnsi="仿宋" w:eastAsia="仿宋"/>
          <w:sz w:val="32"/>
          <w:szCs w:val="32"/>
        </w:rPr>
        <w:t>万元，主要用于以下方面：</w:t>
      </w:r>
      <w:r>
        <w:rPr>
          <w:rFonts w:hint="eastAsia" w:ascii="仿宋" w:hAnsi="仿宋" w:eastAsia="仿宋"/>
          <w:b/>
          <w:bCs/>
          <w:sz w:val="32"/>
          <w:szCs w:val="32"/>
        </w:rPr>
        <w:t>文化旅游体育与传媒（类）支出</w:t>
      </w:r>
      <w:r>
        <w:rPr>
          <w:rFonts w:ascii="仿宋" w:hAnsi="仿宋" w:eastAsia="仿宋"/>
          <w:b/>
          <w:bCs/>
          <w:sz w:val="32"/>
          <w:szCs w:val="32"/>
        </w:rPr>
        <w:t>398.19</w:t>
      </w:r>
      <w:r>
        <w:rPr>
          <w:rFonts w:hint="eastAsia" w:ascii="仿宋" w:hAnsi="仿宋" w:eastAsia="仿宋"/>
          <w:b/>
          <w:bCs/>
          <w:sz w:val="32"/>
          <w:szCs w:val="32"/>
        </w:rPr>
        <w:t>万元，占</w:t>
      </w:r>
      <w:r>
        <w:rPr>
          <w:rFonts w:ascii="仿宋" w:hAnsi="仿宋" w:eastAsia="仿宋"/>
          <w:b/>
          <w:bCs/>
          <w:sz w:val="32"/>
          <w:szCs w:val="32"/>
        </w:rPr>
        <w:t>81.79%</w:t>
      </w:r>
      <w:r>
        <w:rPr>
          <w:rFonts w:hint="eastAsia" w:ascii="仿宋" w:hAnsi="仿宋" w:eastAsia="仿宋"/>
          <w:sz w:val="32"/>
          <w:szCs w:val="32"/>
        </w:rPr>
        <w:t>；</w:t>
      </w:r>
      <w:r>
        <w:rPr>
          <w:rFonts w:hint="eastAsia" w:ascii="仿宋" w:hAnsi="仿宋" w:eastAsia="仿宋"/>
          <w:b/>
          <w:sz w:val="32"/>
          <w:szCs w:val="32"/>
        </w:rPr>
        <w:t>社会保障和就业（类）</w:t>
      </w:r>
      <w:r>
        <w:rPr>
          <w:rFonts w:hint="eastAsia" w:ascii="仿宋" w:hAnsi="仿宋" w:eastAsia="仿宋"/>
          <w:sz w:val="32"/>
          <w:szCs w:val="32"/>
        </w:rPr>
        <w:t>支出</w:t>
      </w:r>
      <w:r>
        <w:rPr>
          <w:rFonts w:ascii="仿宋" w:hAnsi="仿宋" w:eastAsia="仿宋"/>
          <w:sz w:val="32"/>
          <w:szCs w:val="32"/>
        </w:rPr>
        <w:t>45.44</w:t>
      </w:r>
      <w:r>
        <w:rPr>
          <w:rFonts w:hint="eastAsia" w:ascii="仿宋" w:hAnsi="仿宋" w:eastAsia="仿宋"/>
          <w:sz w:val="32"/>
          <w:szCs w:val="32"/>
        </w:rPr>
        <w:t>万元，占</w:t>
      </w:r>
      <w:r>
        <w:rPr>
          <w:rFonts w:ascii="仿宋" w:hAnsi="仿宋" w:eastAsia="仿宋"/>
          <w:sz w:val="32"/>
          <w:szCs w:val="32"/>
        </w:rPr>
        <w:t>9.33%</w:t>
      </w:r>
      <w:r>
        <w:rPr>
          <w:rFonts w:hint="eastAsia" w:ascii="仿宋" w:hAnsi="仿宋" w:eastAsia="仿宋"/>
          <w:sz w:val="32"/>
          <w:szCs w:val="32"/>
        </w:rPr>
        <w:t>；</w:t>
      </w:r>
      <w:r>
        <w:rPr>
          <w:rFonts w:hint="eastAsia" w:ascii="仿宋" w:hAnsi="仿宋" w:eastAsia="仿宋"/>
          <w:b/>
          <w:bCs/>
          <w:sz w:val="32"/>
          <w:szCs w:val="32"/>
        </w:rPr>
        <w:t>卫生健康支出</w:t>
      </w:r>
      <w:r>
        <w:rPr>
          <w:rFonts w:ascii="仿宋" w:hAnsi="仿宋" w:eastAsia="仿宋"/>
          <w:sz w:val="32"/>
          <w:szCs w:val="32"/>
        </w:rPr>
        <w:t>17.32</w:t>
      </w:r>
      <w:r>
        <w:rPr>
          <w:rFonts w:hint="eastAsia" w:ascii="仿宋" w:hAnsi="仿宋" w:eastAsia="仿宋"/>
          <w:sz w:val="32"/>
          <w:szCs w:val="32"/>
        </w:rPr>
        <w:t>万元，占</w:t>
      </w:r>
      <w:r>
        <w:rPr>
          <w:rFonts w:ascii="仿宋" w:hAnsi="仿宋" w:eastAsia="仿宋"/>
          <w:sz w:val="32"/>
          <w:szCs w:val="32"/>
        </w:rPr>
        <w:t>3.56%</w:t>
      </w:r>
      <w:r>
        <w:rPr>
          <w:rFonts w:hint="eastAsia" w:ascii="仿宋" w:hAnsi="仿宋" w:eastAsia="仿宋"/>
          <w:sz w:val="32"/>
          <w:szCs w:val="32"/>
        </w:rPr>
        <w:t>；住房保障支出</w:t>
      </w:r>
      <w:r>
        <w:rPr>
          <w:rFonts w:ascii="仿宋" w:hAnsi="仿宋" w:eastAsia="仿宋"/>
          <w:sz w:val="32"/>
          <w:szCs w:val="32"/>
        </w:rPr>
        <w:t>25.88</w:t>
      </w:r>
      <w:r>
        <w:rPr>
          <w:rFonts w:hint="eastAsia" w:ascii="仿宋" w:hAnsi="仿宋" w:eastAsia="仿宋"/>
          <w:sz w:val="32"/>
          <w:szCs w:val="32"/>
        </w:rPr>
        <w:t>万元，占</w:t>
      </w:r>
      <w:r>
        <w:rPr>
          <w:rFonts w:ascii="仿宋" w:hAnsi="仿宋" w:eastAsia="仿宋"/>
          <w:sz w:val="32"/>
          <w:szCs w:val="32"/>
        </w:rPr>
        <w:t>5.32%</w:t>
      </w:r>
      <w:r>
        <w:rPr>
          <w:rFonts w:hint="eastAsia" w:ascii="仿宋" w:hAnsi="仿宋" w:eastAsia="仿宋"/>
          <w:sz w:val="32"/>
          <w:szCs w:val="32"/>
        </w:rPr>
        <w:t>。</w:t>
      </w:r>
    </w:p>
    <w:p w14:paraId="5554D2A0">
      <w:pPr>
        <w:pStyle w:val="2"/>
        <w:spacing w:before="93"/>
        <w:rPr>
          <w:rFonts w:ascii="仿宋" w:hAnsi="仿宋" w:eastAsia="仿宋"/>
          <w:sz w:val="32"/>
          <w:szCs w:val="32"/>
        </w:rPr>
      </w:pPr>
      <w:r>
        <w:pict>
          <v:shape id="_x0000_s1026" o:spid="_x0000_s1026" o:spt="75" type="#_x0000_t75" style="position:absolute;left:0pt;margin-left:-0.2pt;margin-top:1.75pt;height:156.5pt;width:408.5pt;mso-wrap-distance-left:9pt;mso-wrap-distance-right:9pt;z-index:-251657216;mso-width-relative:page;mso-height-relative:page;" o:ole="t" filled="f" o:preferrelative="t" stroked="f" coordsize="21600,21600" wrapcoords="119 413 79 20980 21441 20980 21441 413 119 413">
            <v:path/>
            <v:fill on="f" focussize="0,0"/>
            <v:stroke on="f" joinstyle="miter"/>
            <v:imagedata r:id="rId18" o:title=""/>
            <o:lock v:ext="edit" aspectratio="t"/>
            <w10:wrap type="tight"/>
          </v:shape>
          <o:OLEObject Type="Embed" ProgID="Excel.Sheet.8" ShapeID="_x0000_s1026" DrawAspect="Content" ObjectID="_1468075730" r:id="rId17">
            <o:LockedField>false</o:LockedField>
          </o:OLEObject>
        </w:pict>
      </w:r>
      <w:r>
        <w:t xml:space="preserve">        </w:t>
      </w:r>
      <w:r>
        <w:rPr>
          <w:rFonts w:hint="eastAsia" w:ascii="仿宋" w:hAnsi="仿宋" w:eastAsia="仿宋"/>
          <w:sz w:val="32"/>
          <w:szCs w:val="32"/>
        </w:rPr>
        <w:t>（图</w:t>
      </w:r>
      <w:r>
        <w:rPr>
          <w:rFonts w:ascii="仿宋" w:hAnsi="仿宋" w:eastAsia="仿宋"/>
          <w:sz w:val="32"/>
          <w:szCs w:val="32"/>
        </w:rPr>
        <w:t>6</w:t>
      </w:r>
      <w:r>
        <w:rPr>
          <w:rFonts w:hint="eastAsia" w:ascii="仿宋" w:hAnsi="仿宋" w:eastAsia="仿宋"/>
          <w:sz w:val="32"/>
          <w:szCs w:val="32"/>
        </w:rPr>
        <w:t>：一般公共预算财政拨款支出决算结构）</w:t>
      </w:r>
    </w:p>
    <w:p w14:paraId="33878777">
      <w:pPr>
        <w:spacing w:line="600" w:lineRule="exact"/>
        <w:ind w:firstLine="643" w:firstLineChars="200"/>
        <w:outlineLvl w:val="2"/>
        <w:rPr>
          <w:rFonts w:ascii="仿宋" w:hAnsi="仿宋" w:eastAsia="仿宋"/>
          <w:b/>
          <w:sz w:val="32"/>
          <w:szCs w:val="32"/>
        </w:rPr>
      </w:pPr>
      <w:bookmarkStart w:id="36" w:name="_Toc15377212"/>
      <w:r>
        <w:rPr>
          <w:rFonts w:hint="eastAsia" w:ascii="仿宋" w:hAnsi="仿宋" w:eastAsia="仿宋"/>
          <w:b/>
          <w:sz w:val="32"/>
          <w:szCs w:val="32"/>
        </w:rPr>
        <w:t>（三）一般公共预算财政拨款支出决算具体情况</w:t>
      </w:r>
      <w:bookmarkEnd w:id="36"/>
    </w:p>
    <w:p w14:paraId="5B8D7C7C">
      <w:pPr>
        <w:spacing w:line="600" w:lineRule="exact"/>
        <w:ind w:firstLine="643" w:firstLineChars="200"/>
        <w:outlineLvl w:val="2"/>
        <w:rPr>
          <w:rFonts w:ascii="仿宋" w:hAnsi="仿宋" w:eastAsia="仿宋"/>
          <w:sz w:val="32"/>
          <w:szCs w:val="32"/>
        </w:rPr>
      </w:pPr>
      <w:bookmarkStart w:id="37" w:name="_Toc15377213"/>
      <w:bookmarkStart w:id="38" w:name="_Toc15378460"/>
      <w:bookmarkStart w:id="39" w:name="_Toc15377444"/>
      <w:r>
        <w:rPr>
          <w:rFonts w:ascii="仿宋" w:hAnsi="仿宋" w:eastAsia="仿宋"/>
          <w:b/>
          <w:sz w:val="32"/>
          <w:szCs w:val="32"/>
        </w:rPr>
        <w:t>2021</w:t>
      </w:r>
      <w:r>
        <w:rPr>
          <w:rFonts w:hint="eastAsia" w:ascii="仿宋" w:hAnsi="仿宋" w:eastAsia="仿宋"/>
          <w:b/>
          <w:sz w:val="32"/>
          <w:szCs w:val="32"/>
        </w:rPr>
        <w:t>年一般公共预算支出决算数为</w:t>
      </w:r>
      <w:r>
        <w:rPr>
          <w:rFonts w:ascii="仿宋" w:hAnsi="仿宋" w:eastAsia="仿宋"/>
          <w:b/>
          <w:sz w:val="32"/>
          <w:szCs w:val="32"/>
        </w:rPr>
        <w:t>486.83</w:t>
      </w:r>
      <w:r>
        <w:rPr>
          <w:rFonts w:hint="eastAsia" w:ascii="仿宋" w:hAnsi="仿宋" w:eastAsia="仿宋"/>
          <w:sz w:val="32"/>
          <w:szCs w:val="32"/>
        </w:rPr>
        <w:t>，</w:t>
      </w:r>
      <w:r>
        <w:rPr>
          <w:rStyle w:val="16"/>
          <w:rFonts w:hint="eastAsia" w:ascii="仿宋" w:hAnsi="仿宋" w:eastAsia="仿宋"/>
          <w:bCs/>
          <w:sz w:val="32"/>
          <w:szCs w:val="32"/>
        </w:rPr>
        <w:t>完成预算</w:t>
      </w:r>
      <w:r>
        <w:rPr>
          <w:rStyle w:val="16"/>
          <w:rFonts w:ascii="仿宋" w:hAnsi="仿宋" w:eastAsia="仿宋"/>
          <w:bCs/>
          <w:sz w:val="32"/>
          <w:szCs w:val="32"/>
        </w:rPr>
        <w:t>100%</w:t>
      </w:r>
      <w:r>
        <w:rPr>
          <w:rStyle w:val="16"/>
          <w:rFonts w:hint="eastAsia" w:ascii="仿宋" w:hAnsi="仿宋" w:eastAsia="仿宋"/>
          <w:bCs/>
          <w:sz w:val="32"/>
          <w:szCs w:val="32"/>
        </w:rPr>
        <w:t>。其中：</w:t>
      </w:r>
      <w:bookmarkEnd w:id="37"/>
      <w:bookmarkEnd w:id="38"/>
      <w:bookmarkEnd w:id="39"/>
    </w:p>
    <w:p w14:paraId="4A61C713">
      <w:pPr>
        <w:spacing w:line="600" w:lineRule="exact"/>
        <w:ind w:firstLine="643" w:firstLineChars="200"/>
        <w:rPr>
          <w:rFonts w:ascii="仿宋" w:hAnsi="仿宋" w:eastAsia="仿宋"/>
          <w:b/>
          <w:sz w:val="32"/>
          <w:szCs w:val="32"/>
        </w:rPr>
      </w:pPr>
      <w:r>
        <w:rPr>
          <w:rStyle w:val="16"/>
          <w:rFonts w:ascii="仿宋" w:hAnsi="仿宋" w:eastAsia="仿宋"/>
          <w:bCs/>
          <w:sz w:val="32"/>
          <w:szCs w:val="32"/>
        </w:rPr>
        <w:t>1.</w:t>
      </w:r>
      <w:r>
        <w:rPr>
          <w:rStyle w:val="16"/>
          <w:rFonts w:hint="eastAsia" w:ascii="仿宋" w:hAnsi="仿宋" w:eastAsia="仿宋"/>
          <w:bCs/>
          <w:sz w:val="32"/>
          <w:szCs w:val="32"/>
        </w:rPr>
        <w:t>文化旅游体育与传媒（类）广播电视（款）广播电视事务（项）</w:t>
      </w:r>
      <w:r>
        <w:rPr>
          <w:rStyle w:val="16"/>
          <w:rFonts w:hint="eastAsia" w:ascii="仿宋" w:hAnsi="仿宋" w:eastAsia="仿宋"/>
          <w:bCs/>
          <w:sz w:val="32"/>
          <w:szCs w:val="32"/>
          <w:lang w:eastAsia="zh-CN"/>
        </w:rPr>
        <w:t>：</w:t>
      </w:r>
      <w:r>
        <w:rPr>
          <w:rStyle w:val="16"/>
          <w:rFonts w:hint="eastAsia" w:ascii="仿宋" w:hAnsi="仿宋" w:eastAsia="仿宋"/>
          <w:b w:val="0"/>
          <w:bCs/>
          <w:sz w:val="32"/>
          <w:szCs w:val="32"/>
        </w:rPr>
        <w:t>支出决算为</w:t>
      </w:r>
      <w:r>
        <w:rPr>
          <w:rStyle w:val="16"/>
          <w:rFonts w:ascii="仿宋" w:hAnsi="仿宋" w:eastAsia="仿宋"/>
          <w:b w:val="0"/>
          <w:bCs/>
          <w:sz w:val="32"/>
          <w:szCs w:val="32"/>
        </w:rPr>
        <w:t>398.19</w:t>
      </w:r>
      <w:r>
        <w:rPr>
          <w:rStyle w:val="16"/>
          <w:rFonts w:hint="eastAsia" w:ascii="仿宋" w:hAnsi="仿宋" w:eastAsia="仿宋"/>
          <w:b w:val="0"/>
          <w:bCs/>
          <w:sz w:val="32"/>
          <w:szCs w:val="32"/>
        </w:rPr>
        <w:t>万元，完成预算</w:t>
      </w:r>
      <w:r>
        <w:rPr>
          <w:rStyle w:val="16"/>
          <w:rFonts w:ascii="仿宋" w:hAnsi="仿宋" w:eastAsia="仿宋"/>
          <w:b w:val="0"/>
          <w:bCs/>
          <w:sz w:val="32"/>
          <w:szCs w:val="32"/>
        </w:rPr>
        <w:t>100%</w:t>
      </w:r>
      <w:r>
        <w:rPr>
          <w:rStyle w:val="16"/>
          <w:rFonts w:hint="eastAsia" w:ascii="仿宋" w:hAnsi="仿宋" w:eastAsia="仿宋"/>
          <w:b w:val="0"/>
          <w:bCs/>
          <w:sz w:val="32"/>
          <w:szCs w:val="32"/>
        </w:rPr>
        <w:t>，决算数等于预算数。</w:t>
      </w:r>
    </w:p>
    <w:p w14:paraId="76B2E69D">
      <w:pPr>
        <w:spacing w:line="600" w:lineRule="exact"/>
        <w:ind w:firstLine="643" w:firstLineChars="200"/>
        <w:rPr>
          <w:rFonts w:ascii="仿宋" w:hAnsi="仿宋" w:eastAsia="仿宋"/>
          <w:b/>
          <w:sz w:val="32"/>
          <w:szCs w:val="32"/>
        </w:rPr>
      </w:pPr>
      <w:r>
        <w:rPr>
          <w:rStyle w:val="16"/>
          <w:rFonts w:ascii="仿宋" w:hAnsi="仿宋" w:eastAsia="仿宋"/>
          <w:bCs/>
          <w:sz w:val="32"/>
          <w:szCs w:val="32"/>
        </w:rPr>
        <w:t>2.</w:t>
      </w:r>
      <w:r>
        <w:rPr>
          <w:rStyle w:val="16"/>
          <w:rFonts w:hint="eastAsia" w:ascii="仿宋" w:hAnsi="仿宋" w:eastAsia="仿宋"/>
          <w:bCs/>
          <w:sz w:val="32"/>
          <w:szCs w:val="32"/>
        </w:rPr>
        <w:t>社会保障和就业（类）行政事业单位养老支出（款）事业单位离退休（项）</w:t>
      </w:r>
      <w:r>
        <w:rPr>
          <w:rStyle w:val="16"/>
          <w:rFonts w:hint="eastAsia" w:ascii="仿宋" w:hAnsi="仿宋" w:eastAsia="仿宋"/>
          <w:bCs/>
          <w:sz w:val="32"/>
          <w:szCs w:val="32"/>
          <w:lang w:eastAsia="zh-CN"/>
        </w:rPr>
        <w:t>：</w:t>
      </w:r>
      <w:r>
        <w:rPr>
          <w:rStyle w:val="16"/>
          <w:rFonts w:hint="eastAsia" w:ascii="仿宋" w:hAnsi="仿宋" w:eastAsia="仿宋"/>
          <w:b w:val="0"/>
          <w:bCs/>
          <w:sz w:val="32"/>
          <w:szCs w:val="32"/>
        </w:rPr>
        <w:t>支出决算为</w:t>
      </w:r>
      <w:r>
        <w:rPr>
          <w:rStyle w:val="16"/>
          <w:rFonts w:ascii="仿宋" w:hAnsi="仿宋" w:eastAsia="仿宋"/>
          <w:b w:val="0"/>
          <w:bCs/>
          <w:sz w:val="32"/>
          <w:szCs w:val="32"/>
        </w:rPr>
        <w:t>45.44</w:t>
      </w:r>
      <w:r>
        <w:rPr>
          <w:rStyle w:val="16"/>
          <w:rFonts w:hint="eastAsia" w:ascii="仿宋" w:hAnsi="仿宋" w:eastAsia="仿宋"/>
          <w:b w:val="0"/>
          <w:bCs/>
          <w:sz w:val="32"/>
          <w:szCs w:val="32"/>
        </w:rPr>
        <w:t>万元，完成预算</w:t>
      </w:r>
      <w:r>
        <w:rPr>
          <w:rStyle w:val="16"/>
          <w:rFonts w:ascii="仿宋" w:hAnsi="仿宋" w:eastAsia="仿宋"/>
          <w:b w:val="0"/>
          <w:bCs/>
          <w:sz w:val="32"/>
          <w:szCs w:val="32"/>
        </w:rPr>
        <w:t>100%</w:t>
      </w:r>
      <w:r>
        <w:rPr>
          <w:rStyle w:val="16"/>
          <w:rFonts w:hint="eastAsia" w:ascii="仿宋" w:hAnsi="仿宋" w:eastAsia="仿宋"/>
          <w:b w:val="0"/>
          <w:bCs/>
          <w:sz w:val="32"/>
          <w:szCs w:val="32"/>
        </w:rPr>
        <w:t>，决算数等于预算数。</w:t>
      </w:r>
    </w:p>
    <w:p w14:paraId="15D71FAA">
      <w:pPr>
        <w:spacing w:line="600" w:lineRule="exact"/>
        <w:ind w:firstLine="643" w:firstLineChars="200"/>
        <w:rPr>
          <w:rStyle w:val="16"/>
          <w:rFonts w:ascii="仿宋" w:hAnsi="仿宋" w:eastAsia="仿宋"/>
          <w:b w:val="0"/>
          <w:bCs/>
          <w:sz w:val="32"/>
          <w:szCs w:val="32"/>
        </w:rPr>
      </w:pPr>
      <w:r>
        <w:rPr>
          <w:rStyle w:val="16"/>
          <w:rFonts w:ascii="仿宋" w:hAnsi="仿宋" w:eastAsia="仿宋"/>
          <w:bCs/>
          <w:sz w:val="32"/>
          <w:szCs w:val="32"/>
        </w:rPr>
        <w:t>3.</w:t>
      </w:r>
      <w:r>
        <w:rPr>
          <w:rFonts w:hint="eastAsia" w:ascii="仿宋" w:hAnsi="仿宋" w:eastAsia="仿宋"/>
          <w:b/>
          <w:bCs/>
          <w:sz w:val="32"/>
          <w:szCs w:val="32"/>
        </w:rPr>
        <w:t>卫生健康</w:t>
      </w:r>
      <w:r>
        <w:rPr>
          <w:rStyle w:val="16"/>
          <w:rFonts w:hint="eastAsia" w:ascii="仿宋" w:hAnsi="仿宋" w:eastAsia="仿宋"/>
          <w:bCs/>
          <w:sz w:val="32"/>
          <w:szCs w:val="32"/>
        </w:rPr>
        <w:t>（类）行政事业单位医疗（款）事业单位医疗（项）</w:t>
      </w:r>
      <w:r>
        <w:rPr>
          <w:rStyle w:val="16"/>
          <w:rFonts w:hint="eastAsia" w:ascii="仿宋" w:hAnsi="仿宋" w:eastAsia="仿宋"/>
          <w:bCs/>
          <w:sz w:val="32"/>
          <w:szCs w:val="32"/>
          <w:lang w:eastAsia="zh-CN"/>
        </w:rPr>
        <w:t>：</w:t>
      </w:r>
      <w:r>
        <w:rPr>
          <w:rStyle w:val="16"/>
          <w:rFonts w:hint="eastAsia" w:ascii="仿宋" w:hAnsi="仿宋" w:eastAsia="仿宋"/>
          <w:b w:val="0"/>
          <w:bCs/>
          <w:sz w:val="32"/>
          <w:szCs w:val="32"/>
        </w:rPr>
        <w:t>支出决算为</w:t>
      </w:r>
      <w:r>
        <w:rPr>
          <w:rStyle w:val="16"/>
          <w:rFonts w:ascii="仿宋" w:hAnsi="仿宋" w:eastAsia="仿宋"/>
          <w:b w:val="0"/>
          <w:bCs/>
          <w:sz w:val="32"/>
          <w:szCs w:val="32"/>
        </w:rPr>
        <w:t>17.32</w:t>
      </w:r>
      <w:r>
        <w:rPr>
          <w:rStyle w:val="16"/>
          <w:rFonts w:hint="eastAsia" w:ascii="仿宋" w:hAnsi="仿宋" w:eastAsia="仿宋"/>
          <w:b w:val="0"/>
          <w:bCs/>
          <w:sz w:val="32"/>
          <w:szCs w:val="32"/>
        </w:rPr>
        <w:t>万元，完成预算</w:t>
      </w:r>
      <w:r>
        <w:rPr>
          <w:rStyle w:val="16"/>
          <w:rFonts w:ascii="仿宋" w:hAnsi="仿宋" w:eastAsia="仿宋"/>
          <w:b w:val="0"/>
          <w:bCs/>
          <w:sz w:val="32"/>
          <w:szCs w:val="32"/>
        </w:rPr>
        <w:t>100%</w:t>
      </w:r>
      <w:r>
        <w:rPr>
          <w:rStyle w:val="16"/>
          <w:rFonts w:hint="eastAsia" w:ascii="仿宋" w:hAnsi="仿宋" w:eastAsia="仿宋"/>
          <w:b w:val="0"/>
          <w:bCs/>
          <w:sz w:val="32"/>
          <w:szCs w:val="32"/>
        </w:rPr>
        <w:t>，决算数等于预算数。</w:t>
      </w:r>
    </w:p>
    <w:p w14:paraId="59402272">
      <w:pPr>
        <w:pStyle w:val="2"/>
        <w:spacing w:before="93"/>
      </w:pPr>
      <w:r>
        <w:t xml:space="preserve">    </w:t>
      </w:r>
      <w:r>
        <w:rPr>
          <w:rStyle w:val="16"/>
          <w:rFonts w:ascii="仿宋" w:hAnsi="仿宋" w:eastAsia="仿宋"/>
          <w:bCs/>
          <w:sz w:val="32"/>
          <w:szCs w:val="32"/>
        </w:rPr>
        <w:t>4.</w:t>
      </w:r>
      <w:r>
        <w:rPr>
          <w:rFonts w:ascii="仿宋" w:hAnsi="仿宋" w:eastAsia="仿宋"/>
          <w:b/>
          <w:color w:val="000000"/>
          <w:sz w:val="32"/>
          <w:szCs w:val="32"/>
        </w:rPr>
        <w:t xml:space="preserve"> </w:t>
      </w:r>
      <w:r>
        <w:rPr>
          <w:rFonts w:hint="eastAsia" w:ascii="仿宋" w:hAnsi="仿宋" w:eastAsia="仿宋"/>
          <w:b/>
          <w:color w:val="000000"/>
          <w:sz w:val="32"/>
          <w:szCs w:val="32"/>
        </w:rPr>
        <w:t>住房保障支出</w:t>
      </w:r>
      <w:r>
        <w:rPr>
          <w:rStyle w:val="16"/>
          <w:rFonts w:hint="eastAsia" w:ascii="仿宋" w:hAnsi="仿宋" w:eastAsia="仿宋"/>
          <w:bCs/>
          <w:sz w:val="32"/>
          <w:szCs w:val="32"/>
        </w:rPr>
        <w:t>（类）</w:t>
      </w:r>
      <w:r>
        <w:rPr>
          <w:rStyle w:val="16"/>
          <w:rFonts w:hint="eastAsia" w:ascii="仿宋" w:hAnsi="仿宋" w:eastAsia="仿宋"/>
          <w:bCs/>
          <w:color w:val="000000"/>
          <w:sz w:val="32"/>
          <w:szCs w:val="32"/>
        </w:rPr>
        <w:t>住房改革支出</w:t>
      </w:r>
      <w:r>
        <w:rPr>
          <w:rStyle w:val="16"/>
          <w:rFonts w:hint="eastAsia" w:ascii="仿宋" w:hAnsi="仿宋" w:eastAsia="仿宋"/>
          <w:bCs/>
          <w:sz w:val="32"/>
          <w:szCs w:val="32"/>
        </w:rPr>
        <w:t>（款）</w:t>
      </w:r>
      <w:r>
        <w:rPr>
          <w:rStyle w:val="16"/>
          <w:rFonts w:hint="eastAsia" w:ascii="仿宋" w:hAnsi="仿宋" w:eastAsia="仿宋"/>
          <w:bCs/>
          <w:color w:val="000000"/>
          <w:sz w:val="32"/>
          <w:szCs w:val="32"/>
        </w:rPr>
        <w:t>住房公积金</w:t>
      </w:r>
      <w:r>
        <w:rPr>
          <w:rStyle w:val="16"/>
          <w:rFonts w:hint="eastAsia" w:ascii="仿宋" w:hAnsi="仿宋" w:eastAsia="仿宋"/>
          <w:bCs/>
          <w:sz w:val="32"/>
          <w:szCs w:val="32"/>
        </w:rPr>
        <w:t>（项）</w:t>
      </w:r>
      <w:r>
        <w:rPr>
          <w:rStyle w:val="16"/>
          <w:rFonts w:hint="eastAsia" w:ascii="仿宋" w:hAnsi="仿宋" w:eastAsia="仿宋"/>
          <w:bCs/>
          <w:sz w:val="32"/>
          <w:szCs w:val="32"/>
          <w:lang w:eastAsia="zh-CN"/>
        </w:rPr>
        <w:t>：</w:t>
      </w:r>
      <w:r>
        <w:rPr>
          <w:rStyle w:val="16"/>
          <w:rFonts w:hint="eastAsia" w:ascii="仿宋" w:hAnsi="仿宋" w:eastAsia="仿宋"/>
          <w:b w:val="0"/>
          <w:bCs/>
          <w:sz w:val="32"/>
          <w:szCs w:val="32"/>
        </w:rPr>
        <w:t>支出决算为</w:t>
      </w:r>
      <w:r>
        <w:rPr>
          <w:rStyle w:val="16"/>
          <w:rFonts w:ascii="仿宋" w:hAnsi="仿宋" w:eastAsia="仿宋"/>
          <w:b w:val="0"/>
          <w:bCs/>
          <w:sz w:val="32"/>
          <w:szCs w:val="32"/>
        </w:rPr>
        <w:t>25.88</w:t>
      </w:r>
      <w:r>
        <w:rPr>
          <w:rStyle w:val="16"/>
          <w:rFonts w:hint="eastAsia" w:ascii="仿宋" w:hAnsi="仿宋" w:eastAsia="仿宋"/>
          <w:b w:val="0"/>
          <w:bCs/>
          <w:sz w:val="32"/>
          <w:szCs w:val="32"/>
        </w:rPr>
        <w:t>万元，完成预算</w:t>
      </w:r>
      <w:r>
        <w:rPr>
          <w:rStyle w:val="16"/>
          <w:rFonts w:ascii="仿宋" w:hAnsi="仿宋" w:eastAsia="仿宋"/>
          <w:b w:val="0"/>
          <w:bCs/>
          <w:sz w:val="32"/>
          <w:szCs w:val="32"/>
        </w:rPr>
        <w:t>100%</w:t>
      </w:r>
      <w:r>
        <w:rPr>
          <w:rStyle w:val="16"/>
          <w:rFonts w:hint="eastAsia" w:ascii="仿宋" w:hAnsi="仿宋" w:eastAsia="仿宋"/>
          <w:b w:val="0"/>
          <w:bCs/>
          <w:sz w:val="32"/>
          <w:szCs w:val="32"/>
        </w:rPr>
        <w:t>，决算数等于预算数。</w:t>
      </w:r>
    </w:p>
    <w:p w14:paraId="2EE91DEA">
      <w:pPr>
        <w:tabs>
          <w:tab w:val="right" w:pos="8306"/>
        </w:tabs>
        <w:spacing w:line="600" w:lineRule="exact"/>
        <w:ind w:firstLine="640"/>
        <w:outlineLvl w:val="1"/>
        <w:rPr>
          <w:rStyle w:val="19"/>
        </w:rPr>
      </w:pPr>
      <w:bookmarkStart w:id="40" w:name="_Toc15377214"/>
      <w:bookmarkStart w:id="41"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19"/>
          <w:rFonts w:hint="eastAsia" w:ascii="黑体" w:hAnsi="黑体" w:eastAsia="黑体"/>
          <w:b w:val="0"/>
        </w:rPr>
        <w:t>般公共预算财政拨款基本支出决算情况说明</w:t>
      </w:r>
      <w:bookmarkEnd w:id="40"/>
      <w:bookmarkEnd w:id="41"/>
    </w:p>
    <w:p w14:paraId="5ABF1E95">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年一般公共预算财政拨款基本支出</w:t>
      </w:r>
      <w:r>
        <w:rPr>
          <w:rFonts w:ascii="仿宋_GB2312" w:hAnsi="仿宋_GB2312" w:eastAsia="仿宋_GB2312" w:cs="仿宋_GB2312"/>
          <w:sz w:val="32"/>
          <w:szCs w:val="32"/>
        </w:rPr>
        <w:t>442.29</w:t>
      </w:r>
      <w:r>
        <w:rPr>
          <w:rFonts w:hint="eastAsia" w:ascii="仿宋_GB2312" w:hAnsi="仿宋_GB2312" w:eastAsia="仿宋_GB2312" w:cs="仿宋_GB2312"/>
          <w:sz w:val="32"/>
          <w:szCs w:val="32"/>
        </w:rPr>
        <w:t>万元，其中：</w:t>
      </w:r>
    </w:p>
    <w:p w14:paraId="6667244F">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人员经费</w:t>
      </w:r>
      <w:r>
        <w:rPr>
          <w:rFonts w:ascii="仿宋_GB2312" w:hAnsi="仿宋_GB2312" w:eastAsia="仿宋_GB2312" w:cs="仿宋_GB2312"/>
          <w:sz w:val="32"/>
          <w:szCs w:val="32"/>
        </w:rPr>
        <w:t>307.35</w:t>
      </w:r>
      <w:r>
        <w:rPr>
          <w:rFonts w:hint="eastAsia" w:ascii="仿宋_GB2312" w:hAnsi="仿宋_GB2312" w:eastAsia="仿宋_GB2312" w:cs="仿宋_GB2312"/>
          <w:sz w:val="32"/>
          <w:szCs w:val="32"/>
        </w:rPr>
        <w:t>万元，主要包括：基本工资、津贴补贴、奖金、绩效工资、机关事业单位基本养老保险缴费、职业年金缴费、其他社会保障缴费、其他工资福利支出、生活补助、奖励金、住房公积金等。</w:t>
      </w:r>
      <w:r>
        <w:rPr>
          <w:rFonts w:ascii="仿宋_GB2312" w:hAnsi="仿宋_GB2312" w:eastAsia="仿宋_GB2312" w:cs="仿宋_GB2312"/>
          <w:sz w:val="32"/>
          <w:szCs w:val="32"/>
        </w:rPr>
        <w:br w:type="textWrapping"/>
      </w:r>
      <w:r>
        <w:rPr>
          <w:rFonts w:hint="eastAsia" w:ascii="仿宋_GB2312" w:hAnsi="仿宋_GB2312" w:eastAsia="仿宋_GB2312" w:cs="仿宋_GB2312"/>
          <w:sz w:val="32"/>
          <w:szCs w:val="32"/>
        </w:rPr>
        <w:t>　　公用经费</w:t>
      </w:r>
      <w:r>
        <w:rPr>
          <w:rFonts w:ascii="仿宋_GB2312" w:hAnsi="仿宋_GB2312" w:eastAsia="仿宋_GB2312" w:cs="仿宋_GB2312"/>
          <w:sz w:val="32"/>
          <w:szCs w:val="32"/>
        </w:rPr>
        <w:t>134.94</w:t>
      </w:r>
      <w:r>
        <w:rPr>
          <w:rFonts w:hint="eastAsia" w:ascii="仿宋_GB2312" w:hAnsi="仿宋_GB2312" w:eastAsia="仿宋_GB2312" w:cs="仿宋_GB2312"/>
          <w:sz w:val="32"/>
          <w:szCs w:val="32"/>
        </w:rPr>
        <w:t>万元，主要包括：办公费、水费、电费、邮电费、差旅费、维修（护）费、培训费、劳务费、委托业务费、工会经费、福利费、其他交通费、其他商品和服务支出、专用设备购置等。</w:t>
      </w:r>
    </w:p>
    <w:p w14:paraId="2B36D988">
      <w:pPr>
        <w:spacing w:line="600" w:lineRule="exact"/>
        <w:ind w:firstLine="640"/>
        <w:outlineLvl w:val="1"/>
        <w:rPr>
          <w:rStyle w:val="19"/>
          <w:rFonts w:ascii="黑体" w:hAnsi="黑体" w:eastAsia="黑体"/>
          <w:b w:val="0"/>
        </w:rPr>
      </w:pPr>
      <w:bookmarkStart w:id="42" w:name="_Toc15377215"/>
      <w:bookmarkStart w:id="43" w:name="_Toc15396609"/>
      <w:r>
        <w:rPr>
          <w:rFonts w:hint="eastAsia" w:ascii="黑体" w:eastAsia="黑体"/>
          <w:sz w:val="32"/>
          <w:szCs w:val="32"/>
        </w:rPr>
        <w:t>七、</w:t>
      </w:r>
      <w:r>
        <w:rPr>
          <w:rStyle w:val="19"/>
          <w:rFonts w:hint="eastAsia" w:ascii="黑体" w:hAnsi="黑体" w:eastAsia="黑体"/>
        </w:rPr>
        <w:t>“</w:t>
      </w:r>
      <w:r>
        <w:rPr>
          <w:rStyle w:val="19"/>
          <w:rFonts w:hint="eastAsia" w:ascii="黑体" w:hAnsi="黑体" w:eastAsia="黑体"/>
          <w:b w:val="0"/>
        </w:rPr>
        <w:t>三公”经费财政拨款支出决算情况说明</w:t>
      </w:r>
      <w:bookmarkEnd w:id="42"/>
      <w:bookmarkEnd w:id="43"/>
    </w:p>
    <w:p w14:paraId="05E72C6B">
      <w:pPr>
        <w:spacing w:line="600" w:lineRule="exact"/>
        <w:ind w:firstLine="640"/>
        <w:outlineLvl w:val="2"/>
        <w:rPr>
          <w:rFonts w:ascii="仿宋" w:hAnsi="仿宋" w:eastAsia="仿宋"/>
          <w:b/>
          <w:sz w:val="32"/>
          <w:szCs w:val="32"/>
        </w:rPr>
      </w:pPr>
      <w:bookmarkStart w:id="44" w:name="_Toc15377216"/>
      <w:r>
        <w:rPr>
          <w:rFonts w:hint="eastAsia" w:ascii="仿宋" w:hAnsi="仿宋" w:eastAsia="仿宋"/>
          <w:b/>
          <w:sz w:val="32"/>
          <w:szCs w:val="32"/>
        </w:rPr>
        <w:t>（一）“三公”经费财政拨款支出决算总体情况说明</w:t>
      </w:r>
      <w:bookmarkEnd w:id="44"/>
    </w:p>
    <w:p w14:paraId="3F91EC5C">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年“三公”经费财政拨款支出决算为</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万元，完成预算</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w:t>
      </w:r>
    </w:p>
    <w:p w14:paraId="5947197F">
      <w:pPr>
        <w:spacing w:line="600" w:lineRule="exact"/>
        <w:ind w:firstLine="640"/>
        <w:outlineLvl w:val="2"/>
        <w:rPr>
          <w:rFonts w:ascii="仿宋" w:hAnsi="仿宋" w:eastAsia="仿宋"/>
          <w:b/>
          <w:sz w:val="32"/>
          <w:szCs w:val="32"/>
        </w:rPr>
      </w:pPr>
      <w:bookmarkStart w:id="45" w:name="_Toc15377217"/>
      <w:r>
        <w:rPr>
          <w:rFonts w:hint="eastAsia" w:ascii="仿宋" w:hAnsi="仿宋" w:eastAsia="仿宋"/>
          <w:b/>
          <w:sz w:val="32"/>
          <w:szCs w:val="32"/>
        </w:rPr>
        <w:t>（二）“三公”经费财政拨款支出决算具体情况说明</w:t>
      </w:r>
      <w:bookmarkEnd w:id="45"/>
    </w:p>
    <w:p w14:paraId="574B8A18">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年“三公”经费财政拨款支出决算中，因公出国（境）费支出决算</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万元，占</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；公务用车购置及运行维护费支出决算</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万元，占</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；公务接待费支出决算</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万元，占</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。具体情况如下：</w:t>
      </w:r>
    </w:p>
    <w:p w14:paraId="1F2B35B9">
      <w:pPr>
        <w:spacing w:line="600" w:lineRule="exact"/>
        <w:ind w:firstLine="640"/>
        <w:rPr>
          <w:rFonts w:ascii="仿宋_GB2312" w:hAnsi="仿宋_GB2312" w:eastAsia="仿宋_GB2312" w:cs="仿宋_GB2312"/>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万元，完成预算</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。全年安排因公出国（境）团组</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次，出国（境）</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人。因公出国（境）支出决算比</w:t>
      </w:r>
      <w:r>
        <w:rPr>
          <w:rFonts w:ascii="仿宋_GB2312" w:hAnsi="仿宋_GB2312" w:eastAsia="仿宋_GB2312" w:cs="仿宋_GB2312"/>
          <w:sz w:val="32"/>
          <w:szCs w:val="32"/>
        </w:rPr>
        <w:t>2020</w:t>
      </w:r>
      <w:r>
        <w:rPr>
          <w:rFonts w:hint="eastAsia" w:ascii="仿宋_GB2312" w:hAnsi="仿宋_GB2312" w:eastAsia="仿宋_GB2312" w:cs="仿宋_GB2312"/>
          <w:sz w:val="32"/>
          <w:szCs w:val="32"/>
        </w:rPr>
        <w:t>年增加</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减少</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万元，增长</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下降</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w:t>
      </w:r>
    </w:p>
    <w:p w14:paraId="1AA1645E">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ascii="仿宋_GB2312" w:eastAsia="仿宋_GB2312"/>
          <w:sz w:val="32"/>
          <w:szCs w:val="32"/>
        </w:rPr>
        <w:t>0</w:t>
      </w:r>
      <w:r>
        <w:rPr>
          <w:rFonts w:hint="eastAsia" w:ascii="仿宋_GB2312" w:eastAsia="仿宋_GB2312"/>
          <w:sz w:val="32"/>
          <w:szCs w:val="32"/>
        </w:rPr>
        <w:t>万元</w:t>
      </w:r>
      <w:r>
        <w:rPr>
          <w:rFonts w:hint="eastAsia" w:ascii="仿宋_GB2312" w:eastAsia="仿宋_GB2312"/>
          <w:sz w:val="32"/>
          <w:szCs w:val="32"/>
          <w:lang w:eastAsia="zh-CN"/>
        </w:rPr>
        <w:t>，</w:t>
      </w:r>
      <w:r>
        <w:rPr>
          <w:rStyle w:val="16"/>
          <w:rFonts w:hint="eastAsia" w:ascii="仿宋" w:hAnsi="仿宋" w:eastAsia="仿宋"/>
          <w:b w:val="0"/>
          <w:bCs/>
          <w:sz w:val="32"/>
          <w:szCs w:val="32"/>
        </w:rPr>
        <w:t>完成预算</w:t>
      </w:r>
      <w:r>
        <w:rPr>
          <w:rStyle w:val="16"/>
          <w:rFonts w:ascii="仿宋" w:hAnsi="仿宋" w:eastAsia="仿宋"/>
          <w:b w:val="0"/>
          <w:bCs/>
          <w:sz w:val="32"/>
          <w:szCs w:val="32"/>
        </w:rPr>
        <w:t>0%</w:t>
      </w:r>
      <w:r>
        <w:rPr>
          <w:rStyle w:val="16"/>
          <w:rFonts w:hint="eastAsia" w:ascii="仿宋" w:hAnsi="仿宋" w:eastAsia="仿宋"/>
          <w:b w:val="0"/>
          <w:bCs/>
          <w:sz w:val="32"/>
          <w:szCs w:val="32"/>
        </w:rPr>
        <w:t>。</w:t>
      </w:r>
      <w:r>
        <w:rPr>
          <w:rFonts w:hint="eastAsia" w:ascii="仿宋_GB2312" w:eastAsia="仿宋_GB2312"/>
          <w:sz w:val="32"/>
          <w:szCs w:val="32"/>
        </w:rPr>
        <w:t>公务用车购置及运行维护费支出决算比</w:t>
      </w:r>
      <w:r>
        <w:rPr>
          <w:rFonts w:ascii="仿宋_GB2312" w:eastAsia="仿宋_GB2312"/>
          <w:sz w:val="32"/>
          <w:szCs w:val="32"/>
        </w:rPr>
        <w:t>2020</w:t>
      </w:r>
      <w:r>
        <w:rPr>
          <w:rFonts w:hint="eastAsia" w:ascii="仿宋_GB2312" w:eastAsia="仿宋_GB2312"/>
          <w:sz w:val="32"/>
          <w:szCs w:val="32"/>
        </w:rPr>
        <w:t>年增加</w:t>
      </w:r>
      <w:r>
        <w:rPr>
          <w:rFonts w:ascii="仿宋_GB2312" w:eastAsia="仿宋_GB2312"/>
          <w:sz w:val="32"/>
          <w:szCs w:val="32"/>
        </w:rPr>
        <w:t>/</w:t>
      </w:r>
      <w:r>
        <w:rPr>
          <w:rFonts w:hint="eastAsia" w:ascii="仿宋_GB2312" w:eastAsia="仿宋_GB2312"/>
          <w:sz w:val="32"/>
          <w:szCs w:val="32"/>
        </w:rPr>
        <w:t>减少</w:t>
      </w:r>
      <w:r>
        <w:rPr>
          <w:rFonts w:ascii="仿宋_GB2312" w:eastAsia="仿宋_GB2312"/>
          <w:sz w:val="32"/>
          <w:szCs w:val="32"/>
        </w:rPr>
        <w:t>0</w:t>
      </w:r>
      <w:r>
        <w:rPr>
          <w:rFonts w:hint="eastAsia" w:ascii="仿宋_GB2312" w:eastAsia="仿宋_GB2312"/>
          <w:sz w:val="32"/>
          <w:szCs w:val="32"/>
        </w:rPr>
        <w:t>万元，增长</w:t>
      </w:r>
      <w:r>
        <w:rPr>
          <w:rFonts w:ascii="仿宋_GB2312" w:eastAsia="仿宋_GB2312"/>
          <w:sz w:val="32"/>
          <w:szCs w:val="32"/>
        </w:rPr>
        <w:t>/</w:t>
      </w:r>
      <w:r>
        <w:rPr>
          <w:rFonts w:hint="eastAsia" w:ascii="仿宋_GB2312" w:eastAsia="仿宋_GB2312"/>
          <w:sz w:val="32"/>
          <w:szCs w:val="32"/>
        </w:rPr>
        <w:t>下降</w:t>
      </w:r>
      <w:r>
        <w:rPr>
          <w:rFonts w:ascii="仿宋_GB2312" w:eastAsia="仿宋_GB2312"/>
          <w:sz w:val="32"/>
          <w:szCs w:val="32"/>
        </w:rPr>
        <w:t>0%</w:t>
      </w:r>
      <w:r>
        <w:rPr>
          <w:rFonts w:hint="eastAsia" w:ascii="仿宋_GB2312" w:eastAsia="仿宋_GB2312"/>
          <w:sz w:val="32"/>
          <w:szCs w:val="32"/>
        </w:rPr>
        <w:t>。</w:t>
      </w:r>
    </w:p>
    <w:p w14:paraId="17B51E33">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ascii="仿宋_GB2312" w:eastAsia="仿宋_GB2312"/>
          <w:sz w:val="32"/>
          <w:szCs w:val="32"/>
        </w:rPr>
        <w:t>0</w:t>
      </w:r>
      <w:r>
        <w:rPr>
          <w:rFonts w:hint="eastAsia" w:ascii="仿宋_GB2312" w:eastAsia="仿宋_GB2312"/>
          <w:sz w:val="32"/>
          <w:szCs w:val="32"/>
        </w:rPr>
        <w:t>万元。全年按规定更新购置公务用车</w:t>
      </w:r>
      <w:r>
        <w:rPr>
          <w:rFonts w:ascii="仿宋_GB2312" w:eastAsia="仿宋_GB2312"/>
          <w:sz w:val="32"/>
          <w:szCs w:val="32"/>
        </w:rPr>
        <w:t>0</w:t>
      </w:r>
      <w:r>
        <w:rPr>
          <w:rFonts w:hint="eastAsia" w:ascii="仿宋_GB2312" w:eastAsia="仿宋_GB2312"/>
          <w:sz w:val="32"/>
          <w:szCs w:val="32"/>
        </w:rPr>
        <w:t>辆，其中：轿车</w:t>
      </w:r>
      <w:r>
        <w:rPr>
          <w:rFonts w:ascii="仿宋_GB2312" w:eastAsia="仿宋_GB2312"/>
          <w:sz w:val="32"/>
          <w:szCs w:val="32"/>
        </w:rPr>
        <w:t>0</w:t>
      </w:r>
      <w:r>
        <w:rPr>
          <w:rFonts w:hint="eastAsia" w:ascii="仿宋_GB2312" w:eastAsia="仿宋_GB2312"/>
          <w:sz w:val="32"/>
          <w:szCs w:val="32"/>
        </w:rPr>
        <w:t>辆、金额</w:t>
      </w:r>
      <w:r>
        <w:rPr>
          <w:rFonts w:ascii="仿宋_GB2312" w:eastAsia="仿宋_GB2312"/>
          <w:sz w:val="32"/>
          <w:szCs w:val="32"/>
        </w:rPr>
        <w:t>0</w:t>
      </w:r>
      <w:r>
        <w:rPr>
          <w:rFonts w:hint="eastAsia" w:ascii="仿宋_GB2312" w:eastAsia="仿宋_GB2312"/>
          <w:sz w:val="32"/>
          <w:szCs w:val="32"/>
        </w:rPr>
        <w:t>万元，越野车</w:t>
      </w:r>
      <w:r>
        <w:rPr>
          <w:rFonts w:ascii="仿宋_GB2312" w:eastAsia="仿宋_GB2312"/>
          <w:sz w:val="32"/>
          <w:szCs w:val="32"/>
        </w:rPr>
        <w:t>0</w:t>
      </w:r>
      <w:r>
        <w:rPr>
          <w:rFonts w:hint="eastAsia" w:ascii="仿宋_GB2312" w:eastAsia="仿宋_GB2312"/>
          <w:sz w:val="32"/>
          <w:szCs w:val="32"/>
        </w:rPr>
        <w:t>辆、金额</w:t>
      </w:r>
      <w:r>
        <w:rPr>
          <w:rFonts w:ascii="仿宋_GB2312" w:eastAsia="仿宋_GB2312"/>
          <w:sz w:val="32"/>
          <w:szCs w:val="32"/>
        </w:rPr>
        <w:t>0</w:t>
      </w:r>
      <w:r>
        <w:rPr>
          <w:rFonts w:hint="eastAsia" w:ascii="仿宋_GB2312" w:eastAsia="仿宋_GB2312"/>
          <w:sz w:val="32"/>
          <w:szCs w:val="32"/>
        </w:rPr>
        <w:t>万元，载客汽车</w:t>
      </w:r>
      <w:r>
        <w:rPr>
          <w:rFonts w:ascii="仿宋_GB2312" w:eastAsia="仿宋_GB2312"/>
          <w:sz w:val="32"/>
          <w:szCs w:val="32"/>
        </w:rPr>
        <w:t>0</w:t>
      </w:r>
      <w:r>
        <w:rPr>
          <w:rFonts w:hint="eastAsia" w:ascii="仿宋_GB2312" w:eastAsia="仿宋_GB2312"/>
          <w:sz w:val="32"/>
          <w:szCs w:val="32"/>
        </w:rPr>
        <w:t>辆、金额</w:t>
      </w:r>
      <w:r>
        <w:rPr>
          <w:rFonts w:ascii="仿宋_GB2312" w:eastAsia="仿宋_GB2312"/>
          <w:sz w:val="32"/>
          <w:szCs w:val="32"/>
        </w:rPr>
        <w:t>0</w:t>
      </w:r>
      <w:r>
        <w:rPr>
          <w:rFonts w:hint="eastAsia" w:ascii="仿宋_GB2312" w:eastAsia="仿宋_GB2312"/>
          <w:sz w:val="32"/>
          <w:szCs w:val="32"/>
        </w:rPr>
        <w:t>万元。截至</w:t>
      </w:r>
      <w:r>
        <w:rPr>
          <w:rFonts w:ascii="仿宋_GB2312" w:eastAsia="仿宋_GB2312"/>
          <w:sz w:val="32"/>
          <w:szCs w:val="32"/>
        </w:rPr>
        <w:t>2021</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月底，单位共有公务用车</w:t>
      </w:r>
      <w:r>
        <w:rPr>
          <w:rFonts w:ascii="仿宋_GB2312" w:eastAsia="仿宋_GB2312"/>
          <w:sz w:val="32"/>
          <w:szCs w:val="32"/>
        </w:rPr>
        <w:t>0</w:t>
      </w:r>
      <w:r>
        <w:rPr>
          <w:rFonts w:hint="eastAsia" w:ascii="仿宋_GB2312" w:eastAsia="仿宋_GB2312"/>
          <w:sz w:val="32"/>
          <w:szCs w:val="32"/>
        </w:rPr>
        <w:t>辆，其中：轿车</w:t>
      </w:r>
      <w:r>
        <w:rPr>
          <w:rFonts w:ascii="仿宋_GB2312" w:eastAsia="仿宋_GB2312"/>
          <w:sz w:val="32"/>
          <w:szCs w:val="32"/>
        </w:rPr>
        <w:t>0</w:t>
      </w:r>
      <w:r>
        <w:rPr>
          <w:rFonts w:hint="eastAsia" w:ascii="仿宋_GB2312" w:eastAsia="仿宋_GB2312"/>
          <w:sz w:val="32"/>
          <w:szCs w:val="32"/>
        </w:rPr>
        <w:t>辆、越野车</w:t>
      </w:r>
      <w:r>
        <w:rPr>
          <w:rFonts w:ascii="仿宋_GB2312" w:eastAsia="仿宋_GB2312"/>
          <w:sz w:val="32"/>
          <w:szCs w:val="32"/>
        </w:rPr>
        <w:t>0</w:t>
      </w:r>
      <w:r>
        <w:rPr>
          <w:rFonts w:hint="eastAsia" w:ascii="仿宋_GB2312" w:eastAsia="仿宋_GB2312"/>
          <w:sz w:val="32"/>
          <w:szCs w:val="32"/>
        </w:rPr>
        <w:t>辆、载客汽车</w:t>
      </w:r>
      <w:r>
        <w:rPr>
          <w:rFonts w:ascii="仿宋_GB2312" w:eastAsia="仿宋_GB2312"/>
          <w:sz w:val="32"/>
          <w:szCs w:val="32"/>
        </w:rPr>
        <w:t>0</w:t>
      </w:r>
      <w:r>
        <w:rPr>
          <w:rFonts w:hint="eastAsia" w:ascii="仿宋_GB2312" w:eastAsia="仿宋_GB2312"/>
          <w:sz w:val="32"/>
          <w:szCs w:val="32"/>
        </w:rPr>
        <w:t>辆。</w:t>
      </w:r>
    </w:p>
    <w:p w14:paraId="559EA36C">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ascii="仿宋_GB2312" w:eastAsia="仿宋_GB2312"/>
          <w:sz w:val="32"/>
          <w:szCs w:val="32"/>
        </w:rPr>
        <w:t>0</w:t>
      </w:r>
      <w:r>
        <w:rPr>
          <w:rFonts w:hint="eastAsia" w:ascii="仿宋_GB2312" w:eastAsia="仿宋_GB2312"/>
          <w:sz w:val="32"/>
          <w:szCs w:val="32"/>
        </w:rPr>
        <w:t>万元。</w:t>
      </w:r>
    </w:p>
    <w:p w14:paraId="44F2A106">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_GB2312" w:eastAsia="仿宋_GB2312"/>
          <w:sz w:val="32"/>
          <w:szCs w:val="32"/>
        </w:rPr>
        <w:t>0</w:t>
      </w:r>
      <w:r>
        <w:rPr>
          <w:rFonts w:hint="eastAsia" w:ascii="仿宋_GB2312" w:eastAsia="仿宋_GB2312"/>
          <w:sz w:val="32"/>
          <w:szCs w:val="32"/>
        </w:rPr>
        <w:t>万元，</w:t>
      </w:r>
      <w:r>
        <w:rPr>
          <w:rStyle w:val="16"/>
          <w:rFonts w:hint="eastAsia" w:ascii="仿宋" w:hAnsi="仿宋" w:eastAsia="仿宋"/>
          <w:b w:val="0"/>
          <w:bCs/>
          <w:sz w:val="32"/>
          <w:szCs w:val="32"/>
        </w:rPr>
        <w:t>完成预算</w:t>
      </w:r>
      <w:r>
        <w:rPr>
          <w:rStyle w:val="16"/>
          <w:rFonts w:ascii="仿宋" w:hAnsi="仿宋" w:eastAsia="仿宋"/>
          <w:b w:val="0"/>
          <w:bCs/>
          <w:sz w:val="32"/>
          <w:szCs w:val="32"/>
        </w:rPr>
        <w:t>0%</w:t>
      </w:r>
      <w:r>
        <w:rPr>
          <w:rStyle w:val="16"/>
          <w:rFonts w:hint="eastAsia" w:ascii="仿宋" w:hAns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2020</w:t>
      </w:r>
      <w:r>
        <w:rPr>
          <w:rFonts w:hint="eastAsia" w:ascii="仿宋_GB2312" w:eastAsia="仿宋_GB2312"/>
          <w:sz w:val="32"/>
          <w:szCs w:val="32"/>
        </w:rPr>
        <w:t>年增加</w:t>
      </w:r>
      <w:r>
        <w:rPr>
          <w:rFonts w:ascii="仿宋_GB2312" w:eastAsia="仿宋_GB2312"/>
          <w:sz w:val="32"/>
          <w:szCs w:val="32"/>
        </w:rPr>
        <w:t>/</w:t>
      </w:r>
      <w:r>
        <w:rPr>
          <w:rFonts w:hint="eastAsia" w:ascii="仿宋_GB2312" w:eastAsia="仿宋_GB2312"/>
          <w:sz w:val="32"/>
          <w:szCs w:val="32"/>
        </w:rPr>
        <w:t>减少</w:t>
      </w:r>
      <w:r>
        <w:rPr>
          <w:rFonts w:ascii="仿宋_GB2312" w:eastAsia="仿宋_GB2312"/>
          <w:sz w:val="32"/>
          <w:szCs w:val="32"/>
        </w:rPr>
        <w:t>0</w:t>
      </w:r>
      <w:r>
        <w:rPr>
          <w:rFonts w:hint="eastAsia" w:ascii="仿宋_GB2312" w:eastAsia="仿宋_GB2312"/>
          <w:sz w:val="32"/>
          <w:szCs w:val="32"/>
        </w:rPr>
        <w:t>万元，增长</w:t>
      </w:r>
      <w:r>
        <w:rPr>
          <w:rFonts w:ascii="仿宋_GB2312" w:eastAsia="仿宋_GB2312"/>
          <w:sz w:val="32"/>
          <w:szCs w:val="32"/>
        </w:rPr>
        <w:t>/</w:t>
      </w:r>
      <w:r>
        <w:rPr>
          <w:rFonts w:hint="eastAsia" w:ascii="仿宋_GB2312" w:eastAsia="仿宋_GB2312"/>
          <w:sz w:val="32"/>
          <w:szCs w:val="32"/>
        </w:rPr>
        <w:t>下降</w:t>
      </w:r>
      <w:r>
        <w:rPr>
          <w:rFonts w:ascii="仿宋_GB2312" w:eastAsia="仿宋_GB2312"/>
          <w:sz w:val="32"/>
          <w:szCs w:val="32"/>
        </w:rPr>
        <w:t>0%</w:t>
      </w:r>
      <w:r>
        <w:rPr>
          <w:rFonts w:hint="eastAsia" w:ascii="仿宋_GB2312" w:eastAsia="仿宋_GB2312"/>
          <w:sz w:val="32"/>
          <w:szCs w:val="32"/>
        </w:rPr>
        <w:t>。</w:t>
      </w:r>
      <w:r>
        <w:rPr>
          <w:rFonts w:ascii="仿宋_GB2312" w:eastAsia="仿宋_GB2312"/>
          <w:sz w:val="32"/>
          <w:szCs w:val="32"/>
        </w:rPr>
        <w:t>0</w:t>
      </w:r>
    </w:p>
    <w:p w14:paraId="658F7115">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ascii="仿宋" w:hAnsi="仿宋" w:eastAsia="仿宋"/>
          <w:sz w:val="32"/>
          <w:szCs w:val="32"/>
        </w:rPr>
        <w:t>0</w:t>
      </w:r>
      <w:r>
        <w:rPr>
          <w:rFonts w:hint="eastAsia" w:ascii="仿宋_GB2312" w:eastAsia="仿宋_GB2312"/>
          <w:sz w:val="32"/>
          <w:szCs w:val="32"/>
        </w:rPr>
        <w:t>万元。国内公务接待</w:t>
      </w:r>
      <w:r>
        <w:rPr>
          <w:rFonts w:ascii="仿宋_GB2312" w:eastAsia="仿宋_GB2312"/>
          <w:sz w:val="32"/>
          <w:szCs w:val="32"/>
        </w:rPr>
        <w:t>0</w:t>
      </w:r>
      <w:r>
        <w:rPr>
          <w:rFonts w:hint="eastAsia" w:ascii="仿宋_GB2312" w:eastAsia="仿宋_GB2312"/>
          <w:sz w:val="32"/>
          <w:szCs w:val="32"/>
        </w:rPr>
        <w:t>批次，</w:t>
      </w:r>
      <w:r>
        <w:rPr>
          <w:rFonts w:ascii="仿宋_GB2312" w:eastAsia="仿宋_GB2312"/>
          <w:sz w:val="32"/>
          <w:szCs w:val="32"/>
        </w:rPr>
        <w:t>0</w:t>
      </w:r>
      <w:r>
        <w:rPr>
          <w:rFonts w:hint="eastAsia" w:ascii="仿宋_GB2312" w:eastAsia="仿宋_GB2312"/>
          <w:sz w:val="32"/>
          <w:szCs w:val="32"/>
        </w:rPr>
        <w:t>人次（不包括陪同人员），共计支出</w:t>
      </w:r>
      <w:r>
        <w:rPr>
          <w:rFonts w:ascii="仿宋_GB2312" w:eastAsia="仿宋_GB2312"/>
          <w:sz w:val="32"/>
          <w:szCs w:val="32"/>
        </w:rPr>
        <w:t>0</w:t>
      </w:r>
      <w:r>
        <w:rPr>
          <w:rFonts w:hint="eastAsia" w:ascii="仿宋_GB2312" w:eastAsia="仿宋_GB2312"/>
          <w:sz w:val="32"/>
          <w:szCs w:val="32"/>
        </w:rPr>
        <w:t>万元。</w:t>
      </w:r>
    </w:p>
    <w:p w14:paraId="669A0714">
      <w:pPr>
        <w:spacing w:line="600" w:lineRule="exact"/>
        <w:ind w:firstLine="643" w:firstLineChars="200"/>
        <w:rPr>
          <w:rFonts w:ascii="仿宋_GB2312" w:eastAsia="仿宋_GB2312"/>
          <w:sz w:val="32"/>
          <w:szCs w:val="32"/>
        </w:rPr>
      </w:pPr>
      <w:r>
        <w:rPr>
          <w:rFonts w:hint="eastAsia" w:ascii="仿宋" w:hAnsi="仿宋" w:eastAsia="仿宋"/>
          <w:b/>
          <w:sz w:val="32"/>
          <w:szCs w:val="32"/>
        </w:rPr>
        <w:t>外事接待支出</w:t>
      </w:r>
      <w:r>
        <w:rPr>
          <w:rFonts w:ascii="仿宋" w:hAnsi="仿宋" w:eastAsia="仿宋"/>
          <w:sz w:val="32"/>
          <w:szCs w:val="32"/>
        </w:rPr>
        <w:t>0</w:t>
      </w:r>
      <w:r>
        <w:rPr>
          <w:rFonts w:hint="eastAsia" w:ascii="仿宋_GB2312" w:eastAsia="仿宋_GB2312"/>
          <w:sz w:val="32"/>
          <w:szCs w:val="32"/>
        </w:rPr>
        <w:t>万元，外事接待</w:t>
      </w:r>
      <w:r>
        <w:rPr>
          <w:rFonts w:ascii="仿宋_GB2312" w:eastAsia="仿宋_GB2312"/>
          <w:sz w:val="32"/>
          <w:szCs w:val="32"/>
        </w:rPr>
        <w:t>0</w:t>
      </w:r>
      <w:r>
        <w:rPr>
          <w:rFonts w:hint="eastAsia" w:ascii="仿宋_GB2312" w:eastAsia="仿宋_GB2312"/>
          <w:sz w:val="32"/>
          <w:szCs w:val="32"/>
        </w:rPr>
        <w:t>批次，</w:t>
      </w:r>
      <w:r>
        <w:rPr>
          <w:rFonts w:ascii="仿宋_GB2312" w:eastAsia="仿宋_GB2312"/>
          <w:sz w:val="32"/>
          <w:szCs w:val="32"/>
        </w:rPr>
        <w:t>0</w:t>
      </w:r>
      <w:r>
        <w:rPr>
          <w:rFonts w:hint="eastAsia" w:ascii="仿宋_GB2312" w:eastAsia="仿宋_GB2312"/>
          <w:sz w:val="32"/>
          <w:szCs w:val="32"/>
        </w:rPr>
        <w:t>人，共计支出</w:t>
      </w:r>
      <w:r>
        <w:rPr>
          <w:rFonts w:ascii="仿宋_GB2312" w:eastAsia="仿宋_GB2312"/>
          <w:sz w:val="32"/>
          <w:szCs w:val="32"/>
        </w:rPr>
        <w:t>0</w:t>
      </w:r>
      <w:r>
        <w:rPr>
          <w:rFonts w:hint="eastAsia" w:ascii="仿宋_GB2312" w:eastAsia="仿宋_GB2312"/>
          <w:sz w:val="32"/>
          <w:szCs w:val="32"/>
        </w:rPr>
        <w:t>万元。</w:t>
      </w:r>
    </w:p>
    <w:p w14:paraId="2BFBCF9C">
      <w:pPr>
        <w:spacing w:line="600" w:lineRule="exact"/>
        <w:ind w:firstLine="640"/>
        <w:outlineLvl w:val="1"/>
        <w:rPr>
          <w:rStyle w:val="19"/>
          <w:rFonts w:ascii="黑体" w:hAnsi="黑体" w:eastAsia="黑体"/>
        </w:rPr>
      </w:pPr>
      <w:bookmarkStart w:id="46" w:name="_Toc15396610"/>
      <w:bookmarkStart w:id="47" w:name="_Toc15377218"/>
      <w:r>
        <w:rPr>
          <w:rFonts w:hint="eastAsia" w:ascii="黑体" w:eastAsia="黑体"/>
          <w:sz w:val="32"/>
          <w:szCs w:val="32"/>
        </w:rPr>
        <w:t>八、</w:t>
      </w:r>
      <w:r>
        <w:rPr>
          <w:rStyle w:val="19"/>
          <w:rFonts w:hint="eastAsia" w:ascii="黑体" w:hAnsi="黑体" w:eastAsia="黑体"/>
          <w:b w:val="0"/>
        </w:rPr>
        <w:t>政府性基金预算支出决算情况说明</w:t>
      </w:r>
      <w:bookmarkEnd w:id="46"/>
      <w:bookmarkEnd w:id="47"/>
    </w:p>
    <w:p w14:paraId="2598FCAF">
      <w:pPr>
        <w:spacing w:line="600" w:lineRule="exact"/>
        <w:ind w:firstLine="640"/>
        <w:rPr>
          <w:rFonts w:ascii="仿宋_GB2312" w:eastAsia="仿宋_GB2312"/>
          <w:sz w:val="32"/>
          <w:szCs w:val="32"/>
        </w:rPr>
      </w:pPr>
      <w:r>
        <w:rPr>
          <w:rFonts w:ascii="仿宋_GB2312" w:eastAsia="仿宋_GB2312"/>
          <w:sz w:val="32"/>
          <w:szCs w:val="32"/>
        </w:rPr>
        <w:t>2021</w:t>
      </w:r>
      <w:r>
        <w:rPr>
          <w:rFonts w:hint="eastAsia" w:ascii="仿宋_GB2312" w:eastAsia="仿宋_GB2312"/>
          <w:sz w:val="32"/>
          <w:szCs w:val="32"/>
        </w:rPr>
        <w:t>年政府性基金预算财政拨款支出</w:t>
      </w:r>
      <w:r>
        <w:rPr>
          <w:rFonts w:ascii="仿宋_GB2312" w:eastAsia="仿宋_GB2312"/>
          <w:sz w:val="32"/>
          <w:szCs w:val="32"/>
        </w:rPr>
        <w:t>0</w:t>
      </w:r>
      <w:r>
        <w:rPr>
          <w:rFonts w:hint="eastAsia" w:ascii="仿宋_GB2312" w:eastAsia="仿宋_GB2312"/>
          <w:sz w:val="32"/>
          <w:szCs w:val="32"/>
        </w:rPr>
        <w:t>万元。</w:t>
      </w:r>
    </w:p>
    <w:p w14:paraId="5CC9BC31">
      <w:pPr>
        <w:numPr>
          <w:ilvl w:val="0"/>
          <w:numId w:val="2"/>
        </w:numPr>
        <w:spacing w:line="600" w:lineRule="exact"/>
        <w:ind w:firstLine="640"/>
        <w:outlineLvl w:val="1"/>
        <w:rPr>
          <w:rStyle w:val="19"/>
          <w:rFonts w:ascii="黑体" w:hAnsi="黑体" w:eastAsia="黑体"/>
          <w:b w:val="0"/>
        </w:rPr>
      </w:pPr>
      <w:bookmarkStart w:id="48" w:name="_Toc15377219"/>
      <w:bookmarkStart w:id="49" w:name="_Toc15396611"/>
      <w:r>
        <w:rPr>
          <w:rStyle w:val="19"/>
          <w:rFonts w:hint="eastAsia" w:ascii="黑体" w:hAnsi="黑体" w:eastAsia="黑体"/>
          <w:b w:val="0"/>
        </w:rPr>
        <w:t>国有资本经营预算支出决算情况说明</w:t>
      </w:r>
      <w:bookmarkEnd w:id="48"/>
      <w:bookmarkEnd w:id="49"/>
    </w:p>
    <w:p w14:paraId="7D3AE12F">
      <w:pPr>
        <w:spacing w:line="600" w:lineRule="exact"/>
        <w:ind w:firstLine="640"/>
        <w:rPr>
          <w:rFonts w:ascii="仿宋_GB2312" w:eastAsia="仿宋_GB2312"/>
          <w:sz w:val="32"/>
          <w:szCs w:val="32"/>
        </w:rPr>
      </w:pPr>
      <w:r>
        <w:rPr>
          <w:rFonts w:ascii="仿宋_GB2312" w:eastAsia="仿宋_GB2312"/>
          <w:sz w:val="32"/>
          <w:szCs w:val="32"/>
        </w:rPr>
        <w:t>2021</w:t>
      </w:r>
      <w:r>
        <w:rPr>
          <w:rFonts w:hint="eastAsia" w:ascii="仿宋_GB2312" w:eastAsia="仿宋_GB2312"/>
          <w:sz w:val="32"/>
          <w:szCs w:val="32"/>
        </w:rPr>
        <w:t>年国有资本经营预算财政拨款支出</w:t>
      </w:r>
      <w:r>
        <w:rPr>
          <w:rFonts w:ascii="仿宋_GB2312" w:eastAsia="仿宋_GB2312"/>
          <w:sz w:val="32"/>
          <w:szCs w:val="32"/>
        </w:rPr>
        <w:t>0</w:t>
      </w:r>
      <w:r>
        <w:rPr>
          <w:rFonts w:hint="eastAsia" w:ascii="仿宋_GB2312" w:eastAsia="仿宋_GB2312"/>
          <w:sz w:val="32"/>
          <w:szCs w:val="32"/>
        </w:rPr>
        <w:t>万元。</w:t>
      </w:r>
    </w:p>
    <w:p w14:paraId="237F248F">
      <w:pPr>
        <w:numPr>
          <w:ilvl w:val="0"/>
          <w:numId w:val="2"/>
        </w:numPr>
        <w:spacing w:line="600" w:lineRule="exact"/>
        <w:ind w:firstLine="640"/>
        <w:outlineLvl w:val="1"/>
        <w:rPr>
          <w:rStyle w:val="19"/>
          <w:rFonts w:ascii="黑体" w:hAnsi="黑体" w:eastAsia="黑体"/>
          <w:b w:val="0"/>
        </w:rPr>
      </w:pPr>
      <w:bookmarkStart w:id="50" w:name="_Toc15396612"/>
      <w:bookmarkStart w:id="51" w:name="_Toc15377221"/>
      <w:r>
        <w:rPr>
          <w:rStyle w:val="19"/>
          <w:rFonts w:hint="eastAsia" w:ascii="黑体" w:hAnsi="黑体" w:eastAsia="黑体"/>
          <w:b w:val="0"/>
        </w:rPr>
        <w:t>其他重要事项的情况说明</w:t>
      </w:r>
      <w:bookmarkEnd w:id="50"/>
      <w:bookmarkEnd w:id="51"/>
    </w:p>
    <w:p w14:paraId="109FC052">
      <w:pPr>
        <w:spacing w:line="600" w:lineRule="exact"/>
        <w:ind w:firstLine="643" w:firstLineChars="200"/>
        <w:outlineLvl w:val="2"/>
        <w:rPr>
          <w:rFonts w:ascii="仿宋" w:hAnsi="仿宋" w:eastAsia="仿宋"/>
          <w:sz w:val="32"/>
          <w:szCs w:val="32"/>
        </w:rPr>
      </w:pPr>
      <w:bookmarkStart w:id="52" w:name="_Toc15377222"/>
      <w:r>
        <w:rPr>
          <w:rFonts w:hint="eastAsia" w:ascii="仿宋" w:hAnsi="仿宋" w:eastAsia="仿宋"/>
          <w:b/>
          <w:sz w:val="32"/>
          <w:szCs w:val="32"/>
        </w:rPr>
        <w:t>（一）机关运行经费支出情况</w:t>
      </w:r>
      <w:bookmarkEnd w:id="52"/>
    </w:p>
    <w:p w14:paraId="3B84AB73">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年，盐边县融媒体中心机关运行经费支出</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万元，比</w:t>
      </w:r>
      <w:r>
        <w:rPr>
          <w:rFonts w:ascii="仿宋_GB2312" w:hAnsi="仿宋_GB2312" w:eastAsia="仿宋_GB2312" w:cs="仿宋_GB2312"/>
          <w:sz w:val="32"/>
          <w:szCs w:val="32"/>
        </w:rPr>
        <w:t>2020</w:t>
      </w:r>
      <w:r>
        <w:rPr>
          <w:rFonts w:hint="eastAsia" w:ascii="仿宋_GB2312" w:hAnsi="仿宋_GB2312" w:eastAsia="仿宋_GB2312" w:cs="仿宋_GB2312"/>
          <w:sz w:val="32"/>
          <w:szCs w:val="32"/>
        </w:rPr>
        <w:t>年增加</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减少</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万元，增长</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下降</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w:t>
      </w:r>
    </w:p>
    <w:p w14:paraId="20A6A116">
      <w:pPr>
        <w:autoSpaceDE w:val="0"/>
        <w:autoSpaceDN w:val="0"/>
        <w:adjustRightInd w:val="0"/>
        <w:spacing w:line="600" w:lineRule="exact"/>
        <w:ind w:firstLine="643" w:firstLineChars="200"/>
        <w:jc w:val="left"/>
        <w:outlineLvl w:val="2"/>
        <w:rPr>
          <w:rFonts w:ascii="仿宋" w:hAnsi="仿宋" w:eastAsia="仿宋"/>
          <w:b/>
          <w:sz w:val="32"/>
          <w:szCs w:val="32"/>
        </w:rPr>
      </w:pPr>
      <w:bookmarkStart w:id="53" w:name="_Toc15377223"/>
      <w:r>
        <w:rPr>
          <w:rFonts w:hint="eastAsia" w:ascii="仿宋" w:hAnsi="仿宋" w:eastAsia="仿宋"/>
          <w:b/>
          <w:sz w:val="32"/>
          <w:szCs w:val="32"/>
        </w:rPr>
        <w:t>（二）政府采购支出情况</w:t>
      </w:r>
      <w:bookmarkEnd w:id="53"/>
    </w:p>
    <w:p w14:paraId="0FA76E9E">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年，盐边县融媒体中心政府采购支出总额</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万元，其中：政府采购货物支出</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万元、政府采购工程支出</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万元、政府采购服务支出</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万元。主要用于专用设备购置。授予中小企业合同金额</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万元，占政府采购支出总额的</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，其中：授予小微企业合同金额</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万元，占政府采购支出总额的</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w:t>
      </w:r>
    </w:p>
    <w:p w14:paraId="7AF0A26E">
      <w:pPr>
        <w:autoSpaceDE w:val="0"/>
        <w:autoSpaceDN w:val="0"/>
        <w:adjustRightInd w:val="0"/>
        <w:spacing w:line="600" w:lineRule="exact"/>
        <w:ind w:firstLine="643" w:firstLineChars="200"/>
        <w:jc w:val="left"/>
        <w:outlineLvl w:val="2"/>
        <w:rPr>
          <w:rFonts w:ascii="仿宋" w:hAnsi="仿宋" w:eastAsia="仿宋"/>
          <w:b/>
          <w:sz w:val="32"/>
          <w:szCs w:val="32"/>
        </w:rPr>
      </w:pPr>
      <w:bookmarkStart w:id="54" w:name="_Toc15377224"/>
      <w:r>
        <w:rPr>
          <w:rFonts w:hint="eastAsia" w:ascii="仿宋" w:hAnsi="仿宋" w:eastAsia="仿宋"/>
          <w:b/>
          <w:sz w:val="32"/>
          <w:szCs w:val="32"/>
        </w:rPr>
        <w:t>（三）国有资产占有使用情况</w:t>
      </w:r>
      <w:bookmarkEnd w:id="54"/>
    </w:p>
    <w:p w14:paraId="42462538">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w:t>
      </w: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31</w:t>
      </w:r>
      <w:r>
        <w:rPr>
          <w:rFonts w:hint="eastAsia" w:ascii="仿宋_GB2312" w:hAnsi="仿宋_GB2312" w:eastAsia="仿宋_GB2312" w:cs="仿宋_GB2312"/>
          <w:sz w:val="32"/>
          <w:szCs w:val="32"/>
        </w:rPr>
        <w:t>日，盐边县融媒体中心共有车辆</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辆，其中：主要领导干部用车</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辆、机要通信用车</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辆、应急保障用车</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辆、其他用车</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辆、单价</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万元以上通用设备</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台（套），单价</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万元以上专用设备</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台（套）。</w:t>
      </w:r>
    </w:p>
    <w:p w14:paraId="466B3D99">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0ED349CE">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w:t>
      </w: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年度预算编制阶段，组织对省级宣传文化发展专项资金项目等</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个项目开展了预算事前绩效评估，对</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个项目编制了绩效目标</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预算执行过程中，选取</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个项目开展绩效监控，年终执行完毕后，对</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个项目开展了绩效自评。同时，本部门对</w:t>
      </w: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年部门整体开展绩效自评，《</w:t>
      </w: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年盐边县融媒体中心部门整体绩效评价报告》见附件（第四部分）。</w:t>
      </w:r>
    </w:p>
    <w:p w14:paraId="7207B6B2">
      <w:pPr>
        <w:widowControl/>
        <w:jc w:val="left"/>
        <w:rPr>
          <w:rFonts w:ascii="仿宋_GB2312" w:eastAsia="仿宋_GB2312"/>
          <w:b/>
          <w:sz w:val="32"/>
          <w:szCs w:val="32"/>
        </w:rPr>
      </w:pPr>
      <w:r>
        <w:rPr>
          <w:rFonts w:ascii="仿宋_GB2312" w:eastAsia="仿宋_GB2312"/>
          <w:b/>
          <w:sz w:val="32"/>
          <w:szCs w:val="32"/>
        </w:rPr>
        <w:br w:type="page"/>
      </w:r>
    </w:p>
    <w:p w14:paraId="7A00C149">
      <w:pPr>
        <w:numPr>
          <w:ilvl w:val="0"/>
          <w:numId w:val="3"/>
        </w:numPr>
        <w:spacing w:line="600" w:lineRule="exact"/>
        <w:ind w:firstLine="660" w:firstLineChars="150"/>
        <w:jc w:val="center"/>
        <w:outlineLvl w:val="0"/>
        <w:rPr>
          <w:rStyle w:val="18"/>
          <w:rFonts w:ascii="黑体" w:hAnsi="黑体" w:eastAsia="黑体"/>
          <w:b w:val="0"/>
        </w:rPr>
      </w:pPr>
      <w:bookmarkStart w:id="55" w:name="_Toc15396613"/>
      <w:bookmarkStart w:id="56" w:name="_Toc15377225"/>
      <w:r>
        <w:rPr>
          <w:rFonts w:hint="eastAsia" w:ascii="黑体" w:hAnsi="黑体" w:eastAsia="黑体"/>
          <w:sz w:val="44"/>
          <w:szCs w:val="44"/>
        </w:rPr>
        <w:t>名</w:t>
      </w:r>
      <w:r>
        <w:rPr>
          <w:rStyle w:val="18"/>
          <w:rFonts w:hint="eastAsia" w:ascii="黑体" w:hAnsi="黑体" w:eastAsia="黑体"/>
          <w:b w:val="0"/>
        </w:rPr>
        <w:t>词解释</w:t>
      </w:r>
      <w:bookmarkEnd w:id="55"/>
      <w:bookmarkEnd w:id="56"/>
    </w:p>
    <w:p w14:paraId="2B5336E5">
      <w:pPr>
        <w:spacing w:line="600" w:lineRule="exact"/>
        <w:jc w:val="left"/>
        <w:rPr>
          <w:rFonts w:ascii="宋体"/>
          <w:b/>
          <w:sz w:val="44"/>
          <w:szCs w:val="44"/>
        </w:rPr>
      </w:pPr>
    </w:p>
    <w:p w14:paraId="50DC46B6">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4F19A1C4">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年初结转和结余：指以前年度尚未完成、结转到本年按有关规定继续使用的资金。</w:t>
      </w:r>
    </w:p>
    <w:p w14:paraId="0F934C00">
      <w:pPr>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文化体育与传媒（类）</w:t>
      </w:r>
      <w:r>
        <w:rPr>
          <w:rFonts w:hint="eastAsia" w:ascii="仿宋_GB2312" w:eastAsia="仿宋_GB2312"/>
          <w:color w:val="000000"/>
          <w:sz w:val="32"/>
          <w:szCs w:val="32"/>
        </w:rPr>
        <w:t>广播电视</w:t>
      </w:r>
      <w:r>
        <w:rPr>
          <w:rFonts w:hint="eastAsia" w:ascii="仿宋_GB2312" w:eastAsia="仿宋_GB2312"/>
          <w:sz w:val="32"/>
          <w:szCs w:val="32"/>
        </w:rPr>
        <w:t>（款）</w:t>
      </w:r>
      <w:r>
        <w:rPr>
          <w:rFonts w:hint="eastAsia" w:ascii="仿宋_GB2312" w:eastAsia="仿宋_GB2312"/>
          <w:color w:val="000000"/>
          <w:sz w:val="32"/>
          <w:szCs w:val="32"/>
        </w:rPr>
        <w:t>广播电视事务</w:t>
      </w:r>
      <w:r>
        <w:rPr>
          <w:rFonts w:hint="eastAsia" w:ascii="仿宋_GB2312" w:eastAsia="仿宋_GB2312"/>
          <w:sz w:val="32"/>
          <w:szCs w:val="32"/>
        </w:rPr>
        <w:t>（项）：指</w:t>
      </w:r>
      <w:r>
        <w:rPr>
          <w:rFonts w:hint="eastAsia" w:ascii="仿宋_GB2312" w:eastAsia="仿宋_GB2312"/>
          <w:color w:val="000000"/>
          <w:sz w:val="32"/>
          <w:szCs w:val="32"/>
        </w:rPr>
        <w:t>反映广播电视台等的支出</w:t>
      </w:r>
      <w:r>
        <w:rPr>
          <w:rFonts w:hint="eastAsia" w:ascii="仿宋_GB2312" w:eastAsia="仿宋_GB2312"/>
          <w:color w:val="000000"/>
          <w:sz w:val="32"/>
          <w:szCs w:val="32"/>
          <w:lang w:eastAsia="zh-CN"/>
        </w:rPr>
        <w:t>。</w:t>
      </w:r>
    </w:p>
    <w:p w14:paraId="071F4ED9">
      <w:pPr>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社会保障和就业（类）</w:t>
      </w:r>
      <w:r>
        <w:rPr>
          <w:rFonts w:hint="eastAsia" w:ascii="仿宋_GB2312" w:eastAsia="仿宋_GB2312"/>
          <w:color w:val="000000"/>
          <w:sz w:val="32"/>
          <w:szCs w:val="32"/>
        </w:rPr>
        <w:t>行政单位离退休</w:t>
      </w:r>
      <w:r>
        <w:rPr>
          <w:rFonts w:hint="eastAsia" w:ascii="仿宋_GB2312" w:eastAsia="仿宋_GB2312"/>
          <w:sz w:val="32"/>
          <w:szCs w:val="32"/>
        </w:rPr>
        <w:t>（款）</w:t>
      </w:r>
      <w:r>
        <w:rPr>
          <w:rFonts w:hint="eastAsia" w:ascii="仿宋_GB2312" w:eastAsia="仿宋_GB2312"/>
          <w:color w:val="000000"/>
          <w:sz w:val="32"/>
          <w:szCs w:val="32"/>
        </w:rPr>
        <w:t>机关事业单位基本养老保险缴费</w:t>
      </w:r>
      <w:r>
        <w:rPr>
          <w:rFonts w:hint="eastAsia" w:ascii="仿宋_GB2312" w:eastAsia="仿宋_GB2312"/>
          <w:sz w:val="32"/>
          <w:szCs w:val="32"/>
        </w:rPr>
        <w:t>（项）：指</w:t>
      </w:r>
      <w:r>
        <w:rPr>
          <w:rFonts w:hint="eastAsia" w:ascii="仿宋_GB2312" w:eastAsia="仿宋_GB2312"/>
          <w:color w:val="000000"/>
          <w:sz w:val="32"/>
          <w:szCs w:val="32"/>
        </w:rPr>
        <w:t>机关事业单位实施养老保险制度由单位缴纳的基本养老保险费支出</w:t>
      </w:r>
      <w:r>
        <w:rPr>
          <w:rFonts w:hint="eastAsia" w:ascii="仿宋_GB2312" w:eastAsia="仿宋_GB2312"/>
          <w:color w:val="000000"/>
          <w:sz w:val="32"/>
          <w:szCs w:val="32"/>
          <w:lang w:eastAsia="zh-CN"/>
        </w:rPr>
        <w:t>。</w:t>
      </w:r>
    </w:p>
    <w:p w14:paraId="212F7CDC">
      <w:pPr>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卫生健康（类）行政事业单位医疗（款）事业单位医疗（项）：指反映财政部门安排的事业单位基本医疗保险缴费经费，未参加医疗保险的事业单位的公费医疗经费，按国家规定享受离休人员待遇的医疗经费。</w:t>
      </w:r>
    </w:p>
    <w:p w14:paraId="5EE1EEFB">
      <w:pPr>
        <w:pStyle w:val="2"/>
        <w:spacing w:before="93"/>
        <w:ind w:firstLine="640" w:firstLineChars="200"/>
      </w:pPr>
      <w:r>
        <w:rPr>
          <w:sz w:val="32"/>
          <w:szCs w:val="32"/>
        </w:rPr>
        <w:t>6.</w:t>
      </w:r>
      <w:r>
        <w:rPr>
          <w:rFonts w:hint="eastAsia"/>
          <w:sz w:val="32"/>
          <w:szCs w:val="32"/>
        </w:rPr>
        <w:t>住房保障（类）</w:t>
      </w:r>
      <w:r>
        <w:rPr>
          <w:rFonts w:hint="eastAsia"/>
          <w:color w:val="000000"/>
          <w:sz w:val="32"/>
          <w:szCs w:val="32"/>
        </w:rPr>
        <w:t>住房改革</w:t>
      </w:r>
      <w:r>
        <w:rPr>
          <w:rFonts w:hint="eastAsia"/>
          <w:sz w:val="32"/>
          <w:szCs w:val="32"/>
        </w:rPr>
        <w:t>（款）</w:t>
      </w:r>
      <w:r>
        <w:rPr>
          <w:rFonts w:hint="eastAsia"/>
          <w:color w:val="000000"/>
          <w:sz w:val="32"/>
          <w:szCs w:val="32"/>
        </w:rPr>
        <w:t>住房公积金</w:t>
      </w:r>
      <w:r>
        <w:rPr>
          <w:rFonts w:hint="eastAsia"/>
          <w:sz w:val="32"/>
          <w:szCs w:val="32"/>
        </w:rPr>
        <w:t>（项）：指</w:t>
      </w:r>
      <w:r>
        <w:rPr>
          <w:rFonts w:hint="eastAsia"/>
          <w:color w:val="000000"/>
          <w:sz w:val="32"/>
          <w:szCs w:val="32"/>
        </w:rPr>
        <w:t>行政事业单位按人力资源和社会保障部、财政部规定的基本工资和津贴补贴以及规定比例为职工缴纳的住房公积金。</w:t>
      </w:r>
    </w:p>
    <w:p w14:paraId="608D05F8">
      <w:pPr>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基本支出：指为保障机构正常运转、完成日常工作任务而发生的人员支出和公用支出。</w:t>
      </w:r>
    </w:p>
    <w:p w14:paraId="220C3031">
      <w:pPr>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项目支出：指在基本支出之外为完成特定行政任务和事业发展目标所发生的支出。</w:t>
      </w:r>
    </w:p>
    <w:p w14:paraId="14AEA778">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9.</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746CB69">
      <w:pPr>
        <w:spacing w:line="600" w:lineRule="exact"/>
        <w:jc w:val="center"/>
        <w:outlineLvl w:val="0"/>
        <w:rPr>
          <w:rStyle w:val="18"/>
          <w:rFonts w:ascii="黑体" w:hAnsi="黑体" w:eastAsia="黑体"/>
          <w:b w:val="0"/>
        </w:rPr>
      </w:pPr>
      <w:bookmarkStart w:id="57" w:name="_Toc15377226"/>
      <w:r>
        <w:rPr>
          <w:rFonts w:ascii="宋体"/>
          <w:b/>
          <w:sz w:val="44"/>
          <w:szCs w:val="44"/>
        </w:rPr>
        <w:br w:type="page"/>
      </w:r>
      <w:bookmarkStart w:id="58" w:name="_Toc15396614"/>
      <w:r>
        <w:rPr>
          <w:rFonts w:hint="eastAsia" w:ascii="黑体" w:hAnsi="黑体" w:eastAsia="黑体"/>
          <w:sz w:val="44"/>
          <w:szCs w:val="44"/>
        </w:rPr>
        <w:t>第</w:t>
      </w:r>
      <w:r>
        <w:rPr>
          <w:rStyle w:val="18"/>
          <w:rFonts w:hint="eastAsia" w:ascii="黑体" w:hAnsi="黑体" w:eastAsia="黑体"/>
          <w:b w:val="0"/>
        </w:rPr>
        <w:t>四部分</w:t>
      </w:r>
      <w:r>
        <w:rPr>
          <w:rStyle w:val="18"/>
          <w:rFonts w:ascii="黑体" w:hAnsi="黑体" w:eastAsia="黑体"/>
          <w:b w:val="0"/>
        </w:rPr>
        <w:t xml:space="preserve"> </w:t>
      </w:r>
      <w:r>
        <w:rPr>
          <w:rStyle w:val="18"/>
          <w:rFonts w:hint="eastAsia" w:ascii="黑体" w:hAnsi="黑体" w:eastAsia="黑体"/>
          <w:b w:val="0"/>
        </w:rPr>
        <w:t>附件</w:t>
      </w:r>
      <w:bookmarkEnd w:id="58"/>
    </w:p>
    <w:p w14:paraId="0940919B">
      <w:pPr>
        <w:spacing w:line="572" w:lineRule="exact"/>
        <w:jc w:val="left"/>
        <w:outlineLvl w:val="0"/>
        <w:rPr>
          <w:rFonts w:ascii="方正小标宋简体" w:hAnsi="方正小标宋简体" w:eastAsia="方正小标宋简体" w:cs="方正小标宋简体"/>
          <w:sz w:val="44"/>
          <w:szCs w:val="44"/>
        </w:rPr>
      </w:pPr>
      <w:r>
        <w:rPr>
          <w:rFonts w:hint="eastAsia" w:ascii="黑体" w:hAnsi="黑体" w:eastAsia="黑体" w:cs="黑体"/>
          <w:sz w:val="32"/>
          <w:szCs w:val="32"/>
        </w:rPr>
        <w:t>附件</w:t>
      </w:r>
    </w:p>
    <w:p w14:paraId="7438FB66">
      <w:pPr>
        <w:spacing w:line="572" w:lineRule="exact"/>
        <w:jc w:val="center"/>
        <w:rPr>
          <w:rFonts w:ascii="方正小标宋简体" w:hAnsi="宋体" w:eastAsia="方正小标宋简体"/>
          <w:kern w:val="0"/>
          <w:sz w:val="40"/>
          <w:szCs w:val="44"/>
        </w:rPr>
      </w:pPr>
      <w:r>
        <w:rPr>
          <w:rFonts w:ascii="方正小标宋简体" w:hAnsi="宋体" w:eastAsia="方正小标宋简体"/>
          <w:kern w:val="0"/>
          <w:sz w:val="40"/>
          <w:szCs w:val="44"/>
        </w:rPr>
        <w:t>2021</w:t>
      </w:r>
      <w:r>
        <w:rPr>
          <w:rFonts w:hint="eastAsia" w:ascii="方正小标宋简体" w:hAnsi="宋体" w:eastAsia="方正小标宋简体"/>
          <w:kern w:val="0"/>
          <w:sz w:val="40"/>
          <w:szCs w:val="44"/>
        </w:rPr>
        <w:t>年盐边县融媒体中心</w:t>
      </w:r>
    </w:p>
    <w:p w14:paraId="0173CF9C">
      <w:pPr>
        <w:spacing w:line="572" w:lineRule="exact"/>
        <w:jc w:val="center"/>
        <w:rPr>
          <w:rFonts w:ascii="方正小标宋简体" w:hAnsi="宋体" w:eastAsia="方正小标宋简体"/>
          <w:kern w:val="0"/>
          <w:sz w:val="40"/>
          <w:szCs w:val="44"/>
          <w:lang w:val="zh-CN"/>
        </w:rPr>
      </w:pPr>
      <w:r>
        <w:rPr>
          <w:rFonts w:hint="eastAsia" w:ascii="方正小标宋简体" w:hAnsi="宋体" w:eastAsia="方正小标宋简体"/>
          <w:kern w:val="0"/>
          <w:sz w:val="40"/>
          <w:szCs w:val="44"/>
        </w:rPr>
        <w:t>部门整体绩效评价报告</w:t>
      </w:r>
    </w:p>
    <w:p w14:paraId="76E485B0">
      <w:pPr>
        <w:widowControl/>
        <w:adjustRightInd w:val="0"/>
        <w:snapToGrid w:val="0"/>
        <w:spacing w:line="572" w:lineRule="exact"/>
        <w:ind w:firstLine="480" w:firstLineChars="200"/>
        <w:contextualSpacing/>
        <w:jc w:val="left"/>
        <w:rPr>
          <w:rFonts w:ascii="黑体" w:hAnsi="宋体" w:eastAsia="黑体" w:cs="宋体"/>
          <w:kern w:val="0"/>
          <w:sz w:val="24"/>
          <w:szCs w:val="32"/>
          <w:shd w:val="clear" w:color="auto" w:fill="FFFFFF"/>
        </w:rPr>
      </w:pPr>
    </w:p>
    <w:p w14:paraId="1D0C9798">
      <w:pPr>
        <w:widowControl/>
        <w:adjustRightInd w:val="0"/>
        <w:snapToGrid w:val="0"/>
        <w:spacing w:line="572" w:lineRule="exact"/>
        <w:ind w:firstLine="640" w:firstLineChars="200"/>
        <w:contextualSpacing/>
        <w:jc w:val="left"/>
        <w:rPr>
          <w:rFonts w:ascii="黑体" w:hAnsi="宋体" w:eastAsia="黑体" w:cs="宋体"/>
          <w:kern w:val="0"/>
          <w:sz w:val="32"/>
          <w:szCs w:val="32"/>
          <w:shd w:val="clear" w:color="auto" w:fill="FFFFFF"/>
          <w:lang w:val="zh-CN"/>
        </w:rPr>
      </w:pPr>
      <w:r>
        <w:rPr>
          <w:rFonts w:hint="eastAsia" w:ascii="黑体" w:hAnsi="宋体" w:eastAsia="黑体" w:cs="宋体"/>
          <w:kern w:val="0"/>
          <w:sz w:val="32"/>
          <w:szCs w:val="32"/>
          <w:shd w:val="clear" w:color="auto" w:fill="FFFFFF"/>
        </w:rPr>
        <w:t>一、</w:t>
      </w:r>
      <w:r>
        <w:rPr>
          <w:rFonts w:hint="eastAsia" w:ascii="黑体" w:hAnsi="宋体" w:eastAsia="黑体" w:cs="宋体"/>
          <w:kern w:val="0"/>
          <w:sz w:val="32"/>
          <w:szCs w:val="32"/>
          <w:shd w:val="clear" w:color="auto" w:fill="FFFFFF"/>
          <w:lang w:val="zh-CN"/>
        </w:rPr>
        <w:t>部门（单位）概况</w:t>
      </w:r>
    </w:p>
    <w:p w14:paraId="14255751">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（一）机构组成。</w:t>
      </w:r>
    </w:p>
    <w:p w14:paraId="74F29B7A">
      <w:pPr>
        <w:pStyle w:val="2"/>
        <w:spacing w:before="93"/>
        <w:ind w:firstLine="640" w:firstLineChars="200"/>
        <w:rPr>
          <w:lang w:val="zh-CN"/>
        </w:rPr>
      </w:pPr>
      <w:r>
        <w:rPr>
          <w:rFonts w:hint="eastAsia" w:hAnsi="宋体" w:cs="仿宋_GB2312"/>
          <w:color w:val="000000"/>
          <w:sz w:val="32"/>
          <w:szCs w:val="32"/>
          <w:shd w:val="clear" w:color="auto" w:fill="FFFFFF"/>
          <w:lang w:val="zh-CN"/>
        </w:rPr>
        <w:t>盐边县融媒体中心是县委直属事业单位，由县委宣传部代管。机构类别为公益一类，经费形式全额拨款。</w:t>
      </w:r>
    </w:p>
    <w:p w14:paraId="3D43674C">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（二）机构职能。</w:t>
      </w:r>
    </w:p>
    <w:p w14:paraId="695B1A7C">
      <w:pPr>
        <w:pStyle w:val="2"/>
        <w:spacing w:before="93"/>
        <w:rPr>
          <w:lang w:val="zh-CN"/>
        </w:rPr>
      </w:pPr>
      <w:r>
        <w:rPr>
          <w:lang w:val="zh-CN"/>
        </w:rPr>
        <w:t xml:space="preserve">    </w:t>
      </w:r>
      <w:r>
        <w:rPr>
          <w:rFonts w:hint="eastAsia" w:hAnsi="宋体" w:cs="仿宋_GB2312"/>
          <w:color w:val="000000"/>
          <w:sz w:val="32"/>
          <w:szCs w:val="32"/>
          <w:shd w:val="clear" w:color="auto" w:fill="FFFFFF"/>
          <w:lang w:val="zh-CN"/>
        </w:rPr>
        <w:t>负</w:t>
      </w:r>
      <w:r>
        <w:rPr>
          <w:rFonts w:hint="eastAsia"/>
          <w:color w:val="000000"/>
          <w:sz w:val="32"/>
          <w:szCs w:val="32"/>
          <w:lang w:val="zh-CN"/>
        </w:rPr>
        <w:t>责</w:t>
      </w:r>
      <w:r>
        <w:rPr>
          <w:rFonts w:hint="eastAsia"/>
          <w:color w:val="000000"/>
          <w:sz w:val="32"/>
          <w:szCs w:val="32"/>
        </w:rPr>
        <w:t>全县新闻宣传报道及</w:t>
      </w:r>
      <w:r>
        <w:rPr>
          <w:rFonts w:hint="eastAsia"/>
          <w:color w:val="000000"/>
          <w:sz w:val="32"/>
          <w:szCs w:val="32"/>
          <w:lang w:val="zh-CN"/>
        </w:rPr>
        <w:t>相</w:t>
      </w:r>
      <w:r>
        <w:rPr>
          <w:rFonts w:hint="eastAsia" w:hAnsi="宋体" w:cs="仿宋_GB2312"/>
          <w:color w:val="000000"/>
          <w:sz w:val="32"/>
          <w:szCs w:val="32"/>
          <w:shd w:val="clear" w:color="auto" w:fill="FFFFFF"/>
          <w:lang w:val="zh-CN"/>
        </w:rPr>
        <w:t>关事务性工作。</w:t>
      </w:r>
    </w:p>
    <w:p w14:paraId="713CBF3D">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（三）人员概况。</w:t>
      </w:r>
    </w:p>
    <w:p w14:paraId="5B47F824">
      <w:pPr>
        <w:pStyle w:val="2"/>
        <w:spacing w:before="93"/>
        <w:rPr>
          <w:lang w:val="zh-CN"/>
        </w:rPr>
      </w:pPr>
      <w:r>
        <w:rPr>
          <w:lang w:val="zh-CN"/>
        </w:rPr>
        <w:t xml:space="preserve">    </w:t>
      </w:r>
      <w:r>
        <w:rPr>
          <w:rFonts w:hint="eastAsia"/>
          <w:color w:val="000000"/>
          <w:sz w:val="32"/>
          <w:szCs w:val="32"/>
        </w:rPr>
        <w:t>核定事业编制</w:t>
      </w:r>
      <w:r>
        <w:rPr>
          <w:color w:val="000000"/>
          <w:sz w:val="32"/>
          <w:szCs w:val="32"/>
        </w:rPr>
        <w:t>23</w:t>
      </w:r>
      <w:r>
        <w:rPr>
          <w:rFonts w:hint="eastAsia"/>
          <w:color w:val="000000"/>
          <w:sz w:val="32"/>
          <w:szCs w:val="32"/>
        </w:rPr>
        <w:t>人，设主任</w:t>
      </w:r>
      <w:r>
        <w:rPr>
          <w:color w:val="000000"/>
          <w:sz w:val="32"/>
          <w:szCs w:val="32"/>
        </w:rPr>
        <w:t>1</w:t>
      </w:r>
      <w:r>
        <w:rPr>
          <w:rFonts w:hint="eastAsia"/>
          <w:color w:val="000000"/>
          <w:sz w:val="32"/>
          <w:szCs w:val="32"/>
        </w:rPr>
        <w:t>人（正科级），副主任</w:t>
      </w:r>
      <w:r>
        <w:rPr>
          <w:color w:val="000000"/>
          <w:sz w:val="32"/>
          <w:szCs w:val="32"/>
        </w:rPr>
        <w:t>2</w:t>
      </w:r>
      <w:r>
        <w:rPr>
          <w:rFonts w:hint="eastAsia"/>
          <w:color w:val="000000"/>
          <w:sz w:val="32"/>
          <w:szCs w:val="32"/>
        </w:rPr>
        <w:t>人（副科级）。本年实有在编在岗人员</w:t>
      </w:r>
      <w:r>
        <w:rPr>
          <w:color w:val="000000"/>
          <w:sz w:val="32"/>
          <w:szCs w:val="32"/>
        </w:rPr>
        <w:t>20</w:t>
      </w:r>
      <w:r>
        <w:rPr>
          <w:rFonts w:hint="eastAsia"/>
          <w:color w:val="000000"/>
          <w:sz w:val="32"/>
          <w:szCs w:val="32"/>
        </w:rPr>
        <w:t>人，退休人员</w:t>
      </w:r>
      <w:r>
        <w:rPr>
          <w:color w:val="000000"/>
          <w:sz w:val="32"/>
          <w:szCs w:val="32"/>
        </w:rPr>
        <w:t>7</w:t>
      </w:r>
      <w:r>
        <w:rPr>
          <w:rFonts w:hint="eastAsia"/>
          <w:color w:val="000000"/>
          <w:sz w:val="32"/>
          <w:szCs w:val="32"/>
        </w:rPr>
        <w:t>人，聘用人员</w:t>
      </w:r>
      <w:r>
        <w:rPr>
          <w:color w:val="000000"/>
          <w:sz w:val="32"/>
          <w:szCs w:val="32"/>
        </w:rPr>
        <w:t>14</w:t>
      </w:r>
      <w:r>
        <w:rPr>
          <w:rFonts w:hint="eastAsia"/>
          <w:color w:val="000000"/>
          <w:sz w:val="32"/>
          <w:szCs w:val="32"/>
        </w:rPr>
        <w:t>人（记者、播音、编辑）。</w:t>
      </w:r>
    </w:p>
    <w:p w14:paraId="549C4268">
      <w:pPr>
        <w:widowControl/>
        <w:adjustRightInd w:val="0"/>
        <w:snapToGrid w:val="0"/>
        <w:spacing w:line="572"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二、部门财政资金收支情况</w:t>
      </w:r>
    </w:p>
    <w:p w14:paraId="6A6915B4">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（一）部门财政资金收入情况。</w:t>
      </w:r>
    </w:p>
    <w:p w14:paraId="66D043CA">
      <w:pPr>
        <w:pStyle w:val="2"/>
        <w:spacing w:before="93"/>
        <w:rPr>
          <w:lang w:val="zh-CN"/>
        </w:rPr>
      </w:pPr>
      <w:r>
        <w:rPr>
          <w:lang w:val="zh-CN"/>
        </w:rPr>
        <w:t xml:space="preserve">    </w:t>
      </w:r>
      <w:r>
        <w:rPr>
          <w:rFonts w:hint="eastAsia"/>
          <w:sz w:val="32"/>
          <w:szCs w:val="32"/>
        </w:rPr>
        <w:t>本年度财政拨款收入支出预算安排为</w:t>
      </w:r>
      <w:r>
        <w:rPr>
          <w:sz w:val="32"/>
          <w:szCs w:val="32"/>
        </w:rPr>
        <w:t>457.29</w:t>
      </w:r>
      <w:r>
        <w:rPr>
          <w:rFonts w:hint="eastAsia"/>
          <w:sz w:val="32"/>
          <w:szCs w:val="32"/>
        </w:rPr>
        <w:t>万元，根据（盐边财政</w:t>
      </w:r>
      <w:r>
        <w:rPr>
          <w:rFonts w:hint="eastAsia"/>
          <w:sz w:val="32"/>
          <w:szCs w:val="32"/>
          <w:lang w:eastAsia="zh-CN"/>
        </w:rPr>
        <w:t>〔2021〕105号</w:t>
      </w:r>
      <w:r>
        <w:rPr>
          <w:rFonts w:hint="eastAsia"/>
          <w:sz w:val="32"/>
          <w:szCs w:val="32"/>
        </w:rPr>
        <w:t>）文件调整年初结转</w:t>
      </w:r>
      <w:r>
        <w:rPr>
          <w:sz w:val="32"/>
          <w:szCs w:val="32"/>
        </w:rPr>
        <w:t>29.54</w:t>
      </w:r>
      <w:r>
        <w:rPr>
          <w:rFonts w:hint="eastAsia"/>
          <w:sz w:val="32"/>
          <w:szCs w:val="32"/>
        </w:rPr>
        <w:t>万元，总计为</w:t>
      </w:r>
      <w:r>
        <w:rPr>
          <w:sz w:val="32"/>
          <w:szCs w:val="32"/>
        </w:rPr>
        <w:t>486.83</w:t>
      </w:r>
      <w:r>
        <w:rPr>
          <w:rFonts w:hint="eastAsia"/>
          <w:sz w:val="32"/>
          <w:szCs w:val="32"/>
        </w:rPr>
        <w:t>万元，与上年相比增加</w:t>
      </w:r>
      <w:r>
        <w:rPr>
          <w:sz w:val="32"/>
          <w:szCs w:val="32"/>
        </w:rPr>
        <w:t>63.04</w:t>
      </w:r>
      <w:r>
        <w:rPr>
          <w:rFonts w:hint="eastAsia"/>
          <w:sz w:val="32"/>
          <w:szCs w:val="32"/>
        </w:rPr>
        <w:t>万元。原因是人员变动及调整存量资金支出。</w:t>
      </w:r>
    </w:p>
    <w:p w14:paraId="5291A8B6">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（二）部门财政资金支出情况。</w:t>
      </w:r>
    </w:p>
    <w:p w14:paraId="46BE36CC">
      <w:pPr>
        <w:pStyle w:val="2"/>
        <w:spacing w:before="93"/>
        <w:rPr>
          <w:lang w:val="zh-CN"/>
        </w:rPr>
      </w:pPr>
      <w:r>
        <w:rPr>
          <w:lang w:val="zh-CN"/>
        </w:rPr>
        <w:t xml:space="preserve">    </w:t>
      </w:r>
      <w:r>
        <w:rPr>
          <w:rFonts w:hint="eastAsia"/>
          <w:color w:val="000000"/>
          <w:sz w:val="32"/>
          <w:szCs w:val="32"/>
        </w:rPr>
        <w:t>财政拨款</w:t>
      </w:r>
      <w:r>
        <w:rPr>
          <w:rFonts w:hint="eastAsia"/>
          <w:sz w:val="32"/>
          <w:szCs w:val="32"/>
        </w:rPr>
        <w:t>支出预算总额为</w:t>
      </w:r>
      <w:r>
        <w:rPr>
          <w:sz w:val="32"/>
          <w:szCs w:val="32"/>
        </w:rPr>
        <w:t>486.83</w:t>
      </w:r>
      <w:r>
        <w:rPr>
          <w:rFonts w:hint="eastAsia"/>
          <w:sz w:val="32"/>
          <w:szCs w:val="32"/>
        </w:rPr>
        <w:t>万元</w:t>
      </w:r>
      <w:r>
        <w:rPr>
          <w:rFonts w:hint="eastAsia" w:hAnsi="仿宋"/>
          <w:sz w:val="32"/>
          <w:szCs w:val="32"/>
        </w:rPr>
        <w:t>。</w:t>
      </w:r>
      <w:r>
        <w:rPr>
          <w:rFonts w:hint="eastAsia"/>
          <w:sz w:val="32"/>
          <w:szCs w:val="32"/>
        </w:rPr>
        <w:t>其中：</w:t>
      </w:r>
      <w:r>
        <w:rPr>
          <w:rFonts w:hint="eastAsia"/>
          <w:color w:val="000000"/>
          <w:sz w:val="32"/>
          <w:szCs w:val="32"/>
        </w:rPr>
        <w:t>工资福利支出</w:t>
      </w:r>
      <w:r>
        <w:rPr>
          <w:rFonts w:hAnsi="仿宋"/>
          <w:sz w:val="32"/>
          <w:szCs w:val="32"/>
        </w:rPr>
        <w:t>292.54</w:t>
      </w:r>
      <w:r>
        <w:rPr>
          <w:rFonts w:hint="eastAsia"/>
          <w:color w:val="000000"/>
          <w:sz w:val="32"/>
          <w:szCs w:val="32"/>
        </w:rPr>
        <w:t>万元，</w:t>
      </w:r>
      <w:r>
        <w:rPr>
          <w:rFonts w:hint="eastAsia" w:hAnsi="仿宋"/>
          <w:sz w:val="32"/>
          <w:szCs w:val="32"/>
        </w:rPr>
        <w:t>商品和服务支出</w:t>
      </w:r>
      <w:r>
        <w:rPr>
          <w:rFonts w:hAnsi="仿宋"/>
          <w:sz w:val="32"/>
          <w:szCs w:val="32"/>
        </w:rPr>
        <w:t>164.48</w:t>
      </w:r>
      <w:r>
        <w:rPr>
          <w:rFonts w:hint="eastAsia" w:hAnsi="仿宋"/>
          <w:sz w:val="32"/>
          <w:szCs w:val="32"/>
        </w:rPr>
        <w:t>万元</w:t>
      </w:r>
      <w:r>
        <w:rPr>
          <w:rFonts w:hint="eastAsia"/>
          <w:color w:val="000000"/>
          <w:sz w:val="32"/>
          <w:szCs w:val="32"/>
        </w:rPr>
        <w:t>，对个人和家庭的补助支出</w:t>
      </w:r>
      <w:r>
        <w:rPr>
          <w:rFonts w:hAnsi="仿宋"/>
          <w:sz w:val="32"/>
          <w:szCs w:val="32"/>
        </w:rPr>
        <w:t>14.81</w:t>
      </w:r>
      <w:r>
        <w:rPr>
          <w:rFonts w:hint="eastAsia"/>
          <w:color w:val="000000"/>
          <w:sz w:val="32"/>
          <w:szCs w:val="32"/>
        </w:rPr>
        <w:t>万元，资本性支出</w:t>
      </w:r>
      <w:r>
        <w:rPr>
          <w:color w:val="000000"/>
          <w:sz w:val="32"/>
          <w:szCs w:val="32"/>
        </w:rPr>
        <w:t>15</w:t>
      </w:r>
      <w:r>
        <w:rPr>
          <w:rFonts w:hint="eastAsia"/>
          <w:color w:val="000000"/>
          <w:sz w:val="32"/>
          <w:szCs w:val="32"/>
        </w:rPr>
        <w:t>万元</w:t>
      </w:r>
      <w:r>
        <w:rPr>
          <w:rFonts w:hint="eastAsia" w:hAnsi="仿宋"/>
          <w:sz w:val="32"/>
          <w:szCs w:val="32"/>
        </w:rPr>
        <w:t>。</w:t>
      </w:r>
    </w:p>
    <w:p w14:paraId="3BF083EC">
      <w:pPr>
        <w:widowControl/>
        <w:adjustRightInd w:val="0"/>
        <w:snapToGrid w:val="0"/>
        <w:spacing w:line="572"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三、部门整体预算绩效管理情况</w:t>
      </w:r>
    </w:p>
    <w:p w14:paraId="4D59A0D1">
      <w:pPr>
        <w:widowControl/>
        <w:adjustRightInd w:val="0"/>
        <w:snapToGrid w:val="0"/>
        <w:spacing w:line="572"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r>
        <w:rPr>
          <w:rFonts w:hint="eastAsia" w:ascii="楷体_GB2312" w:hAnsi="楷体_GB2312" w:eastAsia="楷体_GB2312" w:cs="楷体_GB2312"/>
          <w:b/>
          <w:bCs/>
          <w:kern w:val="0"/>
          <w:sz w:val="32"/>
          <w:szCs w:val="32"/>
          <w:shd w:val="clear" w:color="auto" w:fill="FFFFFF"/>
          <w:lang w:val="zh-CN"/>
        </w:rPr>
        <w:t>（一）部门预算项目绩效管理。</w:t>
      </w:r>
    </w:p>
    <w:p w14:paraId="41B61674">
      <w:pPr>
        <w:widowControl/>
        <w:adjustRightInd w:val="0"/>
        <w:snapToGrid w:val="0"/>
        <w:spacing w:line="600" w:lineRule="exact"/>
        <w:ind w:firstLine="420" w:firstLineChars="200"/>
        <w:contextualSpacing/>
        <w:jc w:val="left"/>
        <w:rPr>
          <w:rFonts w:ascii="仿宋_GB2312" w:eastAsia="仿宋_GB2312"/>
          <w:sz w:val="32"/>
          <w:szCs w:val="32"/>
        </w:rPr>
      </w:pPr>
      <w:r>
        <w:rPr>
          <w:lang w:val="zh-CN"/>
        </w:rPr>
        <w:t xml:space="preserve">    </w:t>
      </w:r>
      <w:r>
        <w:rPr>
          <w:rFonts w:hint="eastAsia" w:ascii="仿宋_GB2312" w:eastAsia="仿宋_GB2312"/>
          <w:color w:val="000000"/>
          <w:sz w:val="32"/>
          <w:szCs w:val="32"/>
        </w:rPr>
        <w:t>县融媒体中心</w:t>
      </w:r>
      <w:bookmarkStart w:id="59" w:name="OLE_LINK1"/>
      <w:r>
        <w:rPr>
          <w:rFonts w:hint="eastAsia" w:ascii="仿宋_GB2312" w:eastAsia="仿宋_GB2312"/>
          <w:sz w:val="32"/>
          <w:szCs w:val="32"/>
        </w:rPr>
        <w:t>围绕县委、县政府</w:t>
      </w:r>
      <w:r>
        <w:rPr>
          <w:rFonts w:ascii="仿宋_GB2312" w:eastAsia="仿宋_GB2312"/>
          <w:sz w:val="32"/>
          <w:szCs w:val="32"/>
        </w:rPr>
        <w:t>2021</w:t>
      </w:r>
      <w:r>
        <w:rPr>
          <w:rFonts w:hint="eastAsia" w:ascii="仿宋_GB2312" w:eastAsia="仿宋_GB2312"/>
          <w:sz w:val="32"/>
          <w:szCs w:val="32"/>
        </w:rPr>
        <w:t>年中心工作，强化外宣配置，做到主动靠前，积极加强与市级以上媒体的对接沟通，组织开展主题宣传、深度报道。努力提升上稿数量和质量。不断提升盐边宣传质量，打响盐边宣传品牌。持续做好深度融合，提高融媒体运行质效。进一步健全完善机制体制，推进采编播流程重塑更加顺畅高效，人员整体素质和能力加快提升，加强融媒人才培养，让团队尽快熟悉掌握媒体融合发展的基本要求，实现一岗多能，推动融媒体中心融合更深入、体制更顺畅、工作更高效。让融媒体中心成为党的政策上传下达的重要通道，成为党联系人民群众的重要桥梁纽带。</w:t>
      </w:r>
      <w:bookmarkEnd w:id="59"/>
    </w:p>
    <w:p w14:paraId="4FEC4329">
      <w:pPr>
        <w:widowControl/>
        <w:adjustRightInd w:val="0"/>
        <w:snapToGrid w:val="0"/>
        <w:spacing w:line="600" w:lineRule="exact"/>
        <w:ind w:firstLine="640" w:firstLineChars="200"/>
        <w:contextualSpacing/>
        <w:jc w:val="left"/>
        <w:rPr>
          <w:rFonts w:eastAsia="仿宋_GB2312"/>
          <w:color w:val="000000"/>
          <w:sz w:val="32"/>
          <w:szCs w:val="32"/>
        </w:rPr>
      </w:pPr>
      <w:r>
        <w:rPr>
          <w:rFonts w:hint="eastAsia" w:ascii="仿宋_GB2312" w:eastAsia="仿宋_GB2312"/>
          <w:sz w:val="32"/>
          <w:szCs w:val="32"/>
        </w:rPr>
        <w:t>目标实现：</w:t>
      </w:r>
      <w:r>
        <w:rPr>
          <w:rFonts w:ascii="仿宋_GB2312" w:eastAsia="仿宋_GB2312"/>
          <w:sz w:val="32"/>
          <w:szCs w:val="32"/>
        </w:rPr>
        <w:t>2021</w:t>
      </w:r>
      <w:r>
        <w:rPr>
          <w:rFonts w:hint="eastAsia" w:ascii="仿宋_GB2312" w:eastAsia="仿宋_GB2312"/>
          <w:sz w:val="32"/>
          <w:szCs w:val="32"/>
        </w:rPr>
        <w:t>年财政预算拨款收入支出</w:t>
      </w:r>
      <w:r>
        <w:rPr>
          <w:rFonts w:ascii="仿宋_GB2312" w:eastAsia="仿宋_GB2312"/>
          <w:sz w:val="32"/>
          <w:szCs w:val="32"/>
        </w:rPr>
        <w:t>486.83</w:t>
      </w:r>
      <w:r>
        <w:rPr>
          <w:rFonts w:hint="eastAsia" w:ascii="仿宋_GB2312" w:eastAsia="仿宋_GB2312"/>
          <w:sz w:val="32"/>
          <w:szCs w:val="32"/>
        </w:rPr>
        <w:t>万元，一是人员类经费支出是</w:t>
      </w:r>
      <w:r>
        <w:rPr>
          <w:rFonts w:hint="eastAsia" w:ascii="仿宋_GB2312" w:eastAsia="仿宋_GB2312"/>
          <w:color w:val="000000"/>
          <w:sz w:val="32"/>
          <w:szCs w:val="32"/>
        </w:rPr>
        <w:t>严格按照县财政预算编制</w:t>
      </w:r>
      <w:r>
        <w:rPr>
          <w:rFonts w:hint="eastAsia" w:eastAsia="仿宋_GB2312"/>
          <w:color w:val="000000"/>
          <w:sz w:val="32"/>
          <w:szCs w:val="32"/>
        </w:rPr>
        <w:t>规定和要求，结合本单位年度工作计划按县人社局审核过的工资进行编制，全年</w:t>
      </w:r>
      <w:r>
        <w:rPr>
          <w:rFonts w:hint="eastAsia" w:ascii="仿宋_GB2312" w:eastAsia="仿宋_GB2312"/>
          <w:sz w:val="32"/>
          <w:szCs w:val="32"/>
        </w:rPr>
        <w:t>人员类</w:t>
      </w:r>
      <w:r>
        <w:rPr>
          <w:rFonts w:hint="eastAsia" w:ascii="仿宋_GB2312" w:eastAsia="仿宋_GB2312"/>
          <w:color w:val="000000"/>
          <w:sz w:val="32"/>
          <w:szCs w:val="32"/>
        </w:rPr>
        <w:t>支出</w:t>
      </w:r>
      <w:r>
        <w:rPr>
          <w:rFonts w:ascii="仿宋_GB2312" w:eastAsia="仿宋_GB2312"/>
          <w:color w:val="000000"/>
          <w:sz w:val="32"/>
          <w:szCs w:val="32"/>
        </w:rPr>
        <w:t>307.35</w:t>
      </w:r>
      <w:r>
        <w:rPr>
          <w:rFonts w:hint="eastAsia" w:ascii="仿宋_GB2312" w:eastAsia="仿宋_GB2312"/>
          <w:color w:val="000000"/>
          <w:sz w:val="32"/>
          <w:szCs w:val="32"/>
        </w:rPr>
        <w:t>万元，</w:t>
      </w:r>
      <w:r>
        <w:rPr>
          <w:rFonts w:hint="eastAsia" w:ascii="仿宋_GB2312" w:hAnsi="仿宋" w:eastAsia="仿宋_GB2312"/>
          <w:sz w:val="32"/>
          <w:szCs w:val="32"/>
        </w:rPr>
        <w:t>占本年支出</w:t>
      </w:r>
      <w:r>
        <w:rPr>
          <w:rFonts w:ascii="仿宋_GB2312" w:hAnsi="仿宋" w:eastAsia="仿宋_GB2312"/>
          <w:sz w:val="32"/>
          <w:szCs w:val="32"/>
        </w:rPr>
        <w:t>63.13%</w:t>
      </w:r>
      <w:r>
        <w:rPr>
          <w:rFonts w:hint="eastAsia" w:ascii="仿宋_GB2312" w:hAnsi="仿宋" w:eastAsia="仿宋_GB2312"/>
          <w:sz w:val="32"/>
          <w:szCs w:val="32"/>
        </w:rPr>
        <w:t>，其中：工资福利支出</w:t>
      </w:r>
      <w:r>
        <w:rPr>
          <w:rFonts w:ascii="仿宋_GB2312" w:hAnsi="仿宋" w:eastAsia="仿宋_GB2312"/>
          <w:sz w:val="32"/>
          <w:szCs w:val="32"/>
        </w:rPr>
        <w:t>292.54</w:t>
      </w:r>
      <w:r>
        <w:rPr>
          <w:rFonts w:hint="eastAsia" w:ascii="仿宋_GB2312" w:hAnsi="仿宋" w:eastAsia="仿宋_GB2312"/>
          <w:sz w:val="32"/>
          <w:szCs w:val="32"/>
        </w:rPr>
        <w:t>万元，对个人和家庭的补助支出</w:t>
      </w:r>
      <w:r>
        <w:rPr>
          <w:rFonts w:ascii="仿宋_GB2312" w:hAnsi="仿宋" w:eastAsia="仿宋_GB2312"/>
          <w:sz w:val="32"/>
          <w:szCs w:val="32"/>
        </w:rPr>
        <w:t>14.81</w:t>
      </w:r>
      <w:r>
        <w:rPr>
          <w:rFonts w:hint="eastAsia" w:ascii="仿宋_GB2312" w:hAnsi="仿宋" w:eastAsia="仿宋_GB2312"/>
          <w:sz w:val="32"/>
          <w:szCs w:val="32"/>
        </w:rPr>
        <w:t>万元；二是</w:t>
      </w:r>
      <w:r>
        <w:rPr>
          <w:rFonts w:hint="eastAsia" w:eastAsia="仿宋_GB2312"/>
          <w:color w:val="000000"/>
          <w:sz w:val="32"/>
          <w:szCs w:val="32"/>
        </w:rPr>
        <w:t>运转类</w:t>
      </w:r>
      <w:r>
        <w:rPr>
          <w:rFonts w:hint="eastAsia" w:ascii="仿宋_GB2312" w:hAnsi="仿宋" w:eastAsia="仿宋_GB2312"/>
          <w:sz w:val="32"/>
          <w:szCs w:val="32"/>
        </w:rPr>
        <w:t>经费支出是</w:t>
      </w:r>
      <w:r>
        <w:rPr>
          <w:rFonts w:hint="eastAsia" w:eastAsia="仿宋_GB2312"/>
          <w:color w:val="000000"/>
          <w:sz w:val="32"/>
          <w:szCs w:val="32"/>
        </w:rPr>
        <w:t>按照定额编制要求按时完成编制，切实做到数据完整和准确无误，全年运转类</w:t>
      </w:r>
      <w:r>
        <w:rPr>
          <w:rFonts w:hint="eastAsia" w:ascii="仿宋_GB2312" w:hAnsi="仿宋" w:eastAsia="仿宋_GB2312"/>
          <w:sz w:val="32"/>
          <w:szCs w:val="32"/>
        </w:rPr>
        <w:t>支出</w:t>
      </w:r>
      <w:r>
        <w:rPr>
          <w:rFonts w:ascii="仿宋_GB2312" w:hAnsi="仿宋" w:eastAsia="仿宋_GB2312"/>
          <w:sz w:val="32"/>
          <w:szCs w:val="32"/>
        </w:rPr>
        <w:t>134.94</w:t>
      </w:r>
      <w:r>
        <w:rPr>
          <w:rFonts w:hint="eastAsia" w:ascii="仿宋_GB2312" w:hAnsi="仿宋" w:eastAsia="仿宋_GB2312"/>
          <w:sz w:val="32"/>
          <w:szCs w:val="32"/>
        </w:rPr>
        <w:t>万元，占本年支出</w:t>
      </w:r>
      <w:r>
        <w:rPr>
          <w:rFonts w:ascii="仿宋_GB2312" w:hAnsi="仿宋" w:eastAsia="仿宋_GB2312"/>
          <w:sz w:val="32"/>
          <w:szCs w:val="32"/>
        </w:rPr>
        <w:t>27.72%</w:t>
      </w:r>
      <w:r>
        <w:rPr>
          <w:rFonts w:hint="eastAsia" w:eastAsia="仿宋_GB2312"/>
          <w:color w:val="000000"/>
          <w:sz w:val="32"/>
          <w:szCs w:val="32"/>
        </w:rPr>
        <w:t>；三是特定目标类</w:t>
      </w:r>
      <w:r>
        <w:rPr>
          <w:rFonts w:hint="eastAsia" w:ascii="仿宋_GB2312" w:hAnsi="仿宋" w:eastAsia="仿宋_GB2312"/>
          <w:sz w:val="32"/>
          <w:szCs w:val="32"/>
        </w:rPr>
        <w:t>支出是对项目资金的预算，并提出项目具体的目标和实施计划，精准编制项目支出绩效申报表，切实做到项目资金编制的合理化、人性化，并在规定的时限内完整、准确报送到县级财政部门，全年特定目标类支出</w:t>
      </w:r>
      <w:r>
        <w:rPr>
          <w:rFonts w:ascii="仿宋_GB2312" w:hAnsi="仿宋" w:eastAsia="仿宋_GB2312"/>
          <w:sz w:val="32"/>
          <w:szCs w:val="32"/>
        </w:rPr>
        <w:t>44.54</w:t>
      </w:r>
      <w:r>
        <w:rPr>
          <w:rFonts w:hint="eastAsia" w:ascii="仿宋_GB2312" w:hAnsi="仿宋" w:eastAsia="仿宋_GB2312"/>
          <w:sz w:val="32"/>
          <w:szCs w:val="32"/>
        </w:rPr>
        <w:t>万元，占本年支出</w:t>
      </w:r>
      <w:r>
        <w:rPr>
          <w:rFonts w:ascii="仿宋_GB2312" w:hAnsi="仿宋" w:eastAsia="仿宋_GB2312"/>
          <w:sz w:val="32"/>
          <w:szCs w:val="32"/>
        </w:rPr>
        <w:t>9.15%</w:t>
      </w:r>
      <w:r>
        <w:rPr>
          <w:rFonts w:hint="eastAsia" w:ascii="仿宋_GB2312" w:hAnsi="仿宋" w:eastAsia="仿宋_GB2312"/>
          <w:sz w:val="32"/>
          <w:szCs w:val="32"/>
        </w:rPr>
        <w:t>，</w:t>
      </w:r>
      <w:r>
        <w:rPr>
          <w:rFonts w:hint="eastAsia" w:eastAsia="仿宋_GB2312"/>
          <w:color w:val="000000"/>
          <w:sz w:val="32"/>
          <w:szCs w:val="32"/>
        </w:rPr>
        <w:t>其中：按照县财政要求用存量资金划解以往年度暂付款项</w:t>
      </w:r>
      <w:r>
        <w:rPr>
          <w:rFonts w:eastAsia="仿宋_GB2312"/>
          <w:color w:val="000000"/>
          <w:sz w:val="32"/>
          <w:szCs w:val="32"/>
        </w:rPr>
        <w:t>29.54</w:t>
      </w:r>
      <w:r>
        <w:rPr>
          <w:rFonts w:hint="eastAsia" w:eastAsia="仿宋_GB2312"/>
          <w:color w:val="000000"/>
          <w:sz w:val="32"/>
          <w:szCs w:val="32"/>
        </w:rPr>
        <w:t>万元，实际本年资本性支出</w:t>
      </w:r>
      <w:r>
        <w:rPr>
          <w:rFonts w:eastAsia="仿宋_GB2312"/>
          <w:color w:val="000000"/>
          <w:sz w:val="32"/>
          <w:szCs w:val="32"/>
        </w:rPr>
        <w:t>15</w:t>
      </w:r>
      <w:r>
        <w:rPr>
          <w:rFonts w:hint="eastAsia" w:eastAsia="仿宋_GB2312"/>
          <w:color w:val="000000"/>
          <w:sz w:val="32"/>
          <w:szCs w:val="32"/>
        </w:rPr>
        <w:t>万元，预算完成</w:t>
      </w:r>
      <w:r>
        <w:rPr>
          <w:rFonts w:eastAsia="仿宋_GB2312"/>
          <w:color w:val="000000"/>
          <w:sz w:val="32"/>
          <w:szCs w:val="32"/>
        </w:rPr>
        <w:t>100%</w:t>
      </w:r>
      <w:r>
        <w:rPr>
          <w:rFonts w:hint="eastAsia" w:eastAsia="仿宋_GB2312"/>
          <w:color w:val="000000"/>
          <w:sz w:val="32"/>
          <w:szCs w:val="32"/>
        </w:rPr>
        <w:t>，本年无资金结转结余和违规记录。</w:t>
      </w:r>
    </w:p>
    <w:p w14:paraId="6F0B9024">
      <w:pPr>
        <w:widowControl/>
        <w:adjustRightInd w:val="0"/>
        <w:snapToGrid w:val="0"/>
        <w:spacing w:line="572"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r>
        <w:rPr>
          <w:rFonts w:hint="eastAsia" w:ascii="楷体_GB2312" w:hAnsi="楷体_GB2312" w:eastAsia="楷体_GB2312" w:cs="楷体_GB2312"/>
          <w:b/>
          <w:bCs/>
          <w:kern w:val="0"/>
          <w:sz w:val="32"/>
          <w:szCs w:val="32"/>
          <w:shd w:val="clear" w:color="auto" w:fill="FFFFFF"/>
          <w:lang w:val="zh-CN"/>
        </w:rPr>
        <w:t>（二）结果应用情况。</w:t>
      </w:r>
    </w:p>
    <w:p w14:paraId="2F26B0C7">
      <w:pPr>
        <w:widowControl/>
        <w:adjustRightInd w:val="0"/>
        <w:snapToGrid w:val="0"/>
        <w:spacing w:line="600" w:lineRule="exact"/>
        <w:ind w:firstLine="640" w:firstLineChars="200"/>
        <w:contextualSpacing/>
        <w:jc w:val="left"/>
        <w:rPr>
          <w:rFonts w:eastAsia="仿宋_GB2312"/>
          <w:color w:val="000000"/>
          <w:sz w:val="32"/>
          <w:szCs w:val="32"/>
        </w:rPr>
      </w:pPr>
      <w:r>
        <w:rPr>
          <w:rFonts w:hint="eastAsia" w:eastAsia="仿宋_GB2312"/>
          <w:color w:val="000000"/>
          <w:sz w:val="32"/>
          <w:szCs w:val="32"/>
        </w:rPr>
        <w:t>通过绩效自评，进一步掌握部门整体支出的使用情况和取得的效果，发现工作中存在的问题和不足，为下一步提高资金的使用效益、加强财政资金支出的规范化管理，健全和完善支出项目和资金使用管理办法，完善预算编制，加强绩效目标管理和绩效考核工作提供依据。</w:t>
      </w:r>
    </w:p>
    <w:p w14:paraId="6D758C50">
      <w:pPr>
        <w:pStyle w:val="2"/>
        <w:spacing w:before="93"/>
        <w:ind w:firstLine="640" w:firstLineChars="200"/>
        <w:rPr>
          <w:sz w:val="32"/>
          <w:szCs w:val="32"/>
          <w:lang w:val="zh-CN"/>
        </w:rPr>
      </w:pPr>
      <w:r>
        <w:rPr>
          <w:rFonts w:hint="eastAsia"/>
          <w:sz w:val="32"/>
          <w:szCs w:val="32"/>
        </w:rPr>
        <w:t>加强预算绩效信息发布管理制度建设，完善绩效信息公开机制，及时将部门整体支出绩效评价报告及自评表等信息按相关规定和要求在“盐边县公众信息网”财政信息版块“财政绩效评价信息”专栏中进行公开公示。</w:t>
      </w:r>
    </w:p>
    <w:p w14:paraId="1CA66524">
      <w:pPr>
        <w:widowControl/>
        <w:adjustRightInd w:val="0"/>
        <w:snapToGrid w:val="0"/>
        <w:spacing w:line="572"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r>
        <w:rPr>
          <w:rFonts w:hint="eastAsia" w:ascii="楷体_GB2312" w:hAnsi="楷体_GB2312" w:eastAsia="楷体_GB2312" w:cs="楷体_GB2312"/>
          <w:b/>
          <w:bCs/>
          <w:kern w:val="0"/>
          <w:sz w:val="32"/>
          <w:szCs w:val="32"/>
          <w:shd w:val="clear" w:color="auto" w:fill="FFFFFF"/>
          <w:lang w:val="zh-CN"/>
        </w:rPr>
        <w:t>（</w:t>
      </w:r>
      <w:r>
        <w:rPr>
          <w:rFonts w:hint="eastAsia" w:ascii="楷体_GB2312" w:hAnsi="楷体_GB2312" w:eastAsia="楷体_GB2312" w:cs="楷体_GB2312"/>
          <w:b/>
          <w:bCs/>
          <w:kern w:val="0"/>
          <w:sz w:val="32"/>
          <w:szCs w:val="32"/>
          <w:shd w:val="clear" w:color="auto" w:fill="FFFFFF"/>
        </w:rPr>
        <w:t>三</w:t>
      </w:r>
      <w:r>
        <w:rPr>
          <w:rFonts w:hint="eastAsia" w:ascii="楷体_GB2312" w:hAnsi="楷体_GB2312" w:eastAsia="楷体_GB2312" w:cs="楷体_GB2312"/>
          <w:b/>
          <w:bCs/>
          <w:kern w:val="0"/>
          <w:sz w:val="32"/>
          <w:szCs w:val="32"/>
          <w:shd w:val="clear" w:color="auto" w:fill="FFFFFF"/>
          <w:lang w:val="zh-CN"/>
        </w:rPr>
        <w:t>）自评质量。</w:t>
      </w:r>
    </w:p>
    <w:p w14:paraId="77237947">
      <w:pPr>
        <w:widowControl/>
        <w:adjustRightInd w:val="0"/>
        <w:snapToGrid w:val="0"/>
        <w:spacing w:line="576" w:lineRule="exact"/>
        <w:ind w:firstLine="645"/>
        <w:contextualSpacing/>
        <w:jc w:val="left"/>
        <w:rPr>
          <w:rFonts w:ascii="仿宋_GB2312" w:hAnsi="宋体" w:eastAsia="仿宋_GB2312" w:cs="宋体"/>
          <w:kern w:val="0"/>
          <w:sz w:val="32"/>
          <w:szCs w:val="32"/>
          <w:shd w:val="clear" w:color="auto" w:fill="FFFFFF"/>
        </w:rPr>
      </w:pPr>
      <w:r>
        <w:rPr>
          <w:rFonts w:ascii="仿宋_GB2312" w:hAnsi="宋体" w:eastAsia="仿宋_GB2312" w:cs="宋体"/>
          <w:kern w:val="0"/>
          <w:sz w:val="32"/>
          <w:szCs w:val="32"/>
          <w:shd w:val="clear" w:color="auto" w:fill="FFFFFF"/>
        </w:rPr>
        <w:t>2021</w:t>
      </w:r>
      <w:r>
        <w:rPr>
          <w:rFonts w:hint="eastAsia" w:ascii="仿宋_GB2312" w:hAnsi="宋体" w:eastAsia="仿宋_GB2312" w:cs="宋体"/>
          <w:kern w:val="0"/>
          <w:sz w:val="32"/>
          <w:szCs w:val="32"/>
          <w:shd w:val="clear" w:color="auto" w:fill="FFFFFF"/>
        </w:rPr>
        <w:t>年度中心坚持深入贯彻</w:t>
      </w:r>
      <w:r>
        <w:rPr>
          <w:rFonts w:hint="eastAsia" w:ascii="仿宋_GB2312" w:hAnsi="宋体" w:eastAsia="仿宋_GB2312" w:cs="宋体"/>
          <w:kern w:val="0"/>
          <w:sz w:val="32"/>
          <w:szCs w:val="32"/>
          <w:shd w:val="clear" w:color="auto" w:fill="FFFFFF"/>
          <w:lang w:eastAsia="zh-CN"/>
        </w:rPr>
        <w:t>习近平总书记重要讲话精神</w:t>
      </w:r>
      <w:r>
        <w:rPr>
          <w:rFonts w:hint="eastAsia" w:ascii="仿宋_GB2312" w:hAnsi="宋体" w:eastAsia="仿宋_GB2312" w:cs="宋体"/>
          <w:kern w:val="0"/>
          <w:sz w:val="32"/>
          <w:szCs w:val="32"/>
          <w:shd w:val="clear" w:color="auto" w:fill="FFFFFF"/>
        </w:rPr>
        <w:t>，严格按照县委、县政府的决策部署，对我中心提质增效专项资金的管理、使用、绩效考核等情况进行了监督检查，对专项资金的支出，进行了分年度归集和核算，数据核算准确，经济事项清楚详细、反映真实。各项目资金严格实行专款专用，未出现项目资金被挤占、挪用的情况，保证了项目的顺利实施，做到了党媒信息广泛宣传，为民服务</w:t>
      </w:r>
      <w:r>
        <w:rPr>
          <w:rFonts w:hint="eastAsia" w:ascii="仿宋_GB2312" w:hAnsi="宋体" w:eastAsia="仿宋_GB2312" w:cs="宋体"/>
          <w:kern w:val="0"/>
          <w:sz w:val="32"/>
          <w:szCs w:val="32"/>
          <w:shd w:val="clear" w:color="auto" w:fill="FFFFFF"/>
          <w:lang w:eastAsia="zh-CN"/>
        </w:rPr>
        <w:t>，</w:t>
      </w:r>
      <w:r>
        <w:rPr>
          <w:rFonts w:hint="eastAsia" w:ascii="仿宋_GB2312" w:hAnsi="宋体" w:eastAsia="仿宋_GB2312" w:cs="宋体"/>
          <w:kern w:val="0"/>
          <w:sz w:val="32"/>
          <w:szCs w:val="32"/>
          <w:shd w:val="clear" w:color="auto" w:fill="FFFFFF"/>
        </w:rPr>
        <w:t>使各项奖励政策做到家喻户晓，深入人心。</w:t>
      </w:r>
    </w:p>
    <w:p w14:paraId="18DE2223">
      <w:pPr>
        <w:widowControl/>
        <w:adjustRightInd w:val="0"/>
        <w:snapToGrid w:val="0"/>
        <w:spacing w:line="576"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四、评价结论及建议</w:t>
      </w:r>
    </w:p>
    <w:p w14:paraId="5BB3BA04">
      <w:pPr>
        <w:widowControl/>
        <w:adjustRightInd w:val="0"/>
        <w:snapToGrid w:val="0"/>
        <w:spacing w:line="576"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（一）评价结论。</w:t>
      </w:r>
    </w:p>
    <w:p w14:paraId="2CE4EBC7">
      <w:pPr>
        <w:pStyle w:val="2"/>
        <w:spacing w:before="93"/>
        <w:rPr>
          <w:sz w:val="32"/>
          <w:szCs w:val="32"/>
          <w:lang w:val="zh-CN"/>
        </w:rPr>
      </w:pPr>
      <w:r>
        <w:rPr>
          <w:sz w:val="32"/>
          <w:szCs w:val="32"/>
          <w:lang w:val="zh-CN"/>
        </w:rPr>
        <w:t xml:space="preserve">    </w:t>
      </w:r>
      <w:r>
        <w:rPr>
          <w:sz w:val="32"/>
          <w:szCs w:val="32"/>
        </w:rPr>
        <w:t>2021</w:t>
      </w:r>
      <w:r>
        <w:rPr>
          <w:rFonts w:hint="eastAsia"/>
          <w:sz w:val="32"/>
          <w:szCs w:val="32"/>
        </w:rPr>
        <w:t>年，我单位认真做好年度财政资金的预算编制工作，在资金使用和管理方面，进一步强化资金统筹，优化资金结构，明确开支范围，细化资金用途，确保部门职责任务顺利完成。全年基本支出保证了部门的正常运行和日常工作的正常开展，达到预期绩效目标，总体较为满意。</w:t>
      </w:r>
    </w:p>
    <w:p w14:paraId="796261C7">
      <w:pPr>
        <w:widowControl/>
        <w:adjustRightInd w:val="0"/>
        <w:snapToGrid w:val="0"/>
        <w:spacing w:line="576"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（二）存在问题。</w:t>
      </w:r>
    </w:p>
    <w:p w14:paraId="23FF7EF9">
      <w:pPr>
        <w:pStyle w:val="2"/>
        <w:spacing w:before="93"/>
        <w:ind w:firstLine="640" w:firstLineChars="200"/>
        <w:rPr>
          <w:sz w:val="32"/>
          <w:szCs w:val="32"/>
          <w:lang w:val="zh-CN"/>
        </w:rPr>
      </w:pPr>
      <w:r>
        <w:rPr>
          <w:rFonts w:hint="eastAsia"/>
          <w:sz w:val="32"/>
          <w:szCs w:val="32"/>
          <w:lang w:val="zh-CN"/>
        </w:rPr>
        <w:t>预算编制不够明确和细化，预算编制的合理性需要提高，执行力度还要进一步加强。</w:t>
      </w:r>
    </w:p>
    <w:p w14:paraId="50A77C77">
      <w:pPr>
        <w:widowControl/>
        <w:adjustRightInd w:val="0"/>
        <w:snapToGrid w:val="0"/>
        <w:spacing w:line="576"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（三）改进建议。</w:t>
      </w:r>
    </w:p>
    <w:p w14:paraId="77DBB4F8">
      <w:pPr>
        <w:pStyle w:val="13"/>
        <w:widowControl/>
        <w:spacing w:before="0" w:beforeAutospacing="0" w:after="0" w:afterAutospacing="0" w:line="600" w:lineRule="exact"/>
        <w:ind w:firstLine="640" w:firstLineChars="200"/>
        <w:rPr>
          <w:rFonts w:ascii="仿宋_GB2312" w:eastAsia="仿宋_GB2312"/>
          <w:kern w:val="2"/>
          <w:sz w:val="32"/>
          <w:szCs w:val="32"/>
        </w:rPr>
      </w:pPr>
      <w:r>
        <w:rPr>
          <w:rFonts w:ascii="仿宋_GB2312" w:eastAsia="仿宋_GB2312"/>
          <w:kern w:val="2"/>
          <w:sz w:val="32"/>
          <w:szCs w:val="32"/>
        </w:rPr>
        <w:t>1.</w:t>
      </w:r>
      <w:r>
        <w:rPr>
          <w:rFonts w:hint="eastAsia" w:ascii="仿宋_GB2312" w:eastAsia="仿宋_GB2312"/>
          <w:kern w:val="2"/>
          <w:sz w:val="32"/>
          <w:szCs w:val="32"/>
        </w:rPr>
        <w:t>进一步重视预算编制工作，提高预算编制的精确度。加强单位预算编制工作，</w:t>
      </w:r>
      <w:r>
        <w:rPr>
          <w:rFonts w:hint="eastAsia" w:ascii="仿宋_GB2312" w:eastAsia="仿宋_GB2312"/>
          <w:sz w:val="32"/>
          <w:szCs w:val="32"/>
        </w:rPr>
        <w:t>根据人员情况、业务开展需要，逐项做出预算计划，预算合理、不留缺口、不留空项。</w:t>
      </w:r>
    </w:p>
    <w:p w14:paraId="299176DA">
      <w:pPr>
        <w:pStyle w:val="2"/>
        <w:spacing w:before="93"/>
        <w:ind w:firstLine="640" w:firstLineChars="200"/>
        <w:rPr>
          <w:sz w:val="32"/>
          <w:szCs w:val="32"/>
          <w:lang w:val="zh-CN"/>
        </w:rPr>
      </w:pPr>
      <w:r>
        <w:rPr>
          <w:kern w:val="2"/>
          <w:sz w:val="32"/>
          <w:szCs w:val="32"/>
        </w:rPr>
        <w:t>2.</w:t>
      </w:r>
      <w:r>
        <w:rPr>
          <w:rFonts w:hint="eastAsia"/>
          <w:kern w:val="2"/>
          <w:sz w:val="32"/>
          <w:szCs w:val="32"/>
        </w:rPr>
        <w:t>加强业务培训，提高评价水平。部门整体绩效评价工作是一项长期性的工作，专业性强，工作量大，建议财政部门加强开展部门相关的政策、业务工作培训和指导，优化相关指标，切实推进绩效评价工作的开展。</w:t>
      </w:r>
    </w:p>
    <w:p w14:paraId="19D7BD2C">
      <w:pPr>
        <w:pStyle w:val="2"/>
        <w:spacing w:before="93"/>
        <w:rPr>
          <w:lang w:val="zh-CN"/>
        </w:rPr>
      </w:pPr>
      <w:r>
        <w:rPr>
          <w:rFonts w:hint="eastAsia" w:hAnsi="宋体" w:cs="宋体"/>
          <w:sz w:val="32"/>
          <w:szCs w:val="32"/>
          <w:shd w:val="clear" w:color="auto" w:fill="FFFFFF"/>
          <w:lang w:val="zh-CN"/>
        </w:rPr>
        <w:t>附件</w:t>
      </w:r>
    </w:p>
    <w:p w14:paraId="233EBCEB">
      <w:pPr>
        <w:spacing w:line="600" w:lineRule="exact"/>
        <w:jc w:val="center"/>
        <w:rPr>
          <w:rFonts w:ascii="方正小标宋简体" w:hAnsi="方正小标宋简体" w:eastAsia="方正小标宋简体" w:cs="方正小标宋简体"/>
          <w:sz w:val="40"/>
          <w:szCs w:val="40"/>
          <w:lang w:val="zh-CN"/>
        </w:rPr>
      </w:pPr>
      <w:r>
        <w:rPr>
          <w:rFonts w:ascii="方正小标宋简体" w:hAnsi="方正小标宋简体" w:eastAsia="方正小标宋简体" w:cs="方正小标宋简体"/>
          <w:sz w:val="40"/>
          <w:szCs w:val="40"/>
        </w:rPr>
        <w:t>2021</w:t>
      </w:r>
      <w:r>
        <w:rPr>
          <w:rFonts w:hint="eastAsia" w:ascii="方正小标宋简体" w:hAnsi="方正小标宋简体" w:eastAsia="方正小标宋简体" w:cs="方正小标宋简体"/>
          <w:sz w:val="40"/>
          <w:szCs w:val="40"/>
        </w:rPr>
        <w:t>年</w:t>
      </w:r>
      <w:r>
        <w:rPr>
          <w:rFonts w:hint="eastAsia" w:ascii="方正小标宋简体" w:hAnsi="方正小标宋简体" w:eastAsia="方正小标宋简体" w:cs="方正小标宋简体"/>
          <w:sz w:val="40"/>
          <w:szCs w:val="40"/>
          <w:lang w:val="zh-CN"/>
        </w:rPr>
        <w:t>专项预算项目支出绩效自评报告</w:t>
      </w:r>
    </w:p>
    <w:p w14:paraId="2C3C2D73">
      <w:pPr>
        <w:spacing w:line="600" w:lineRule="exact"/>
        <w:ind w:firstLine="640"/>
        <w:jc w:val="center"/>
        <w:rPr>
          <w:rFonts w:ascii="宋体"/>
          <w:sz w:val="32"/>
          <w:szCs w:val="32"/>
          <w:lang w:val="zh-CN"/>
        </w:rPr>
      </w:pPr>
    </w:p>
    <w:p w14:paraId="0CF59CDE">
      <w:pPr>
        <w:adjustRightInd w:val="0"/>
        <w:snapToGrid w:val="0"/>
        <w:spacing w:line="600"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2C510A5B">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6838557E">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1.说明项目主管部门（单位）在该项目管理中的职能。</w:t>
      </w:r>
    </w:p>
    <w:p w14:paraId="1DE83B7E">
      <w:pPr>
        <w:autoSpaceDE w:val="0"/>
        <w:autoSpaceDN w:val="0"/>
        <w:adjustRightInd w:val="0"/>
        <w:spacing w:line="580" w:lineRule="exact"/>
        <w:ind w:firstLine="640" w:firstLineChars="200"/>
        <w:jc w:val="left"/>
        <w:rPr>
          <w:rFonts w:eastAsia="仿宋_GB2312"/>
          <w:kern w:val="0"/>
          <w:sz w:val="32"/>
          <w:szCs w:val="32"/>
        </w:rPr>
      </w:pPr>
      <w:r>
        <w:rPr>
          <w:rFonts w:hint="eastAsia" w:ascii="仿宋_GB2312" w:hAnsi="宋体" w:eastAsia="仿宋_GB2312" w:cs="仿宋_GB2312"/>
          <w:color w:val="000000"/>
          <w:kern w:val="0"/>
          <w:sz w:val="32"/>
          <w:szCs w:val="32"/>
          <w:shd w:val="clear" w:color="auto" w:fill="FFFFFF"/>
          <w:lang w:val="zh-CN"/>
        </w:rPr>
        <w:t>盐边县融媒体中心是县委直属公益一类事业单位，由县委宣传部代管，负</w:t>
      </w:r>
      <w:r>
        <w:rPr>
          <w:rFonts w:hint="eastAsia" w:ascii="仿宋_GB2312" w:eastAsia="仿宋_GB2312"/>
          <w:color w:val="000000"/>
          <w:sz w:val="32"/>
          <w:szCs w:val="32"/>
          <w:lang w:val="zh-CN"/>
        </w:rPr>
        <w:t>责</w:t>
      </w:r>
      <w:r>
        <w:rPr>
          <w:rFonts w:hint="eastAsia" w:ascii="仿宋_GB2312" w:eastAsia="仿宋_GB2312"/>
          <w:color w:val="000000"/>
          <w:sz w:val="32"/>
          <w:szCs w:val="32"/>
        </w:rPr>
        <w:t>全县新闻宣传报道及</w:t>
      </w:r>
      <w:r>
        <w:rPr>
          <w:rFonts w:hint="eastAsia" w:ascii="仿宋_GB2312" w:eastAsia="仿宋_GB2312"/>
          <w:color w:val="000000"/>
          <w:sz w:val="32"/>
          <w:szCs w:val="32"/>
          <w:lang w:val="zh-CN"/>
        </w:rPr>
        <w:t>相</w:t>
      </w:r>
      <w:r>
        <w:rPr>
          <w:rFonts w:hint="eastAsia" w:ascii="仿宋_GB2312" w:hAnsi="宋体" w:eastAsia="仿宋_GB2312" w:cs="仿宋_GB2312"/>
          <w:color w:val="000000"/>
          <w:kern w:val="0"/>
          <w:sz w:val="32"/>
          <w:szCs w:val="32"/>
          <w:shd w:val="clear" w:color="auto" w:fill="FFFFFF"/>
          <w:lang w:val="zh-CN"/>
        </w:rPr>
        <w:t>关事务性工作。</w:t>
      </w:r>
    </w:p>
    <w:p w14:paraId="2047252A">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2.项目立项、资金申报的依据。</w:t>
      </w:r>
    </w:p>
    <w:p w14:paraId="36B15BD6">
      <w:pPr>
        <w:pStyle w:val="2"/>
        <w:spacing w:before="93"/>
        <w:ind w:firstLine="620" w:firstLineChars="200"/>
        <w:rPr>
          <w:lang w:val="zh-CN"/>
        </w:rPr>
      </w:pPr>
      <w:r>
        <w:rPr>
          <w:rFonts w:hint="eastAsia" w:hAnsi="宋体" w:cs="仿宋_GB2312"/>
          <w:sz w:val="31"/>
          <w:szCs w:val="31"/>
        </w:rPr>
        <w:t>根据四川省财政厅</w:t>
      </w:r>
      <w:r>
        <w:rPr>
          <w:rFonts w:hAnsi="宋体" w:cs="仿宋_GB2312"/>
          <w:sz w:val="31"/>
          <w:szCs w:val="31"/>
        </w:rPr>
        <w:t xml:space="preserve"> </w:t>
      </w:r>
      <w:r>
        <w:rPr>
          <w:rFonts w:hint="eastAsia" w:hAnsi="宋体" w:cs="仿宋_GB2312"/>
          <w:sz w:val="31"/>
          <w:szCs w:val="31"/>
        </w:rPr>
        <w:t>中共四川省委宣传部《关于下达</w:t>
      </w:r>
      <w:r>
        <w:rPr>
          <w:rFonts w:hAnsi="宋体" w:cs="仿宋_GB2312"/>
          <w:sz w:val="31"/>
          <w:szCs w:val="31"/>
        </w:rPr>
        <w:t>2020</w:t>
      </w:r>
      <w:r>
        <w:rPr>
          <w:rFonts w:hint="eastAsia" w:hAnsi="宋体" w:cs="仿宋_GB2312"/>
          <w:sz w:val="31"/>
          <w:szCs w:val="31"/>
        </w:rPr>
        <w:t>年四川省宣传文化事业发展专项资金预算》的通知（川财教〔</w:t>
      </w:r>
      <w:r>
        <w:rPr>
          <w:rFonts w:hAnsi="宋体" w:cs="仿宋_GB2312"/>
          <w:sz w:val="31"/>
          <w:szCs w:val="31"/>
        </w:rPr>
        <w:t>2020</w:t>
      </w:r>
      <w:r>
        <w:rPr>
          <w:rFonts w:hint="eastAsia" w:hAnsi="宋体" w:cs="仿宋_GB2312"/>
          <w:sz w:val="31"/>
          <w:szCs w:val="31"/>
        </w:rPr>
        <w:t>〕</w:t>
      </w:r>
      <w:r>
        <w:rPr>
          <w:rFonts w:hAnsi="宋体" w:cs="仿宋_GB2312"/>
          <w:sz w:val="31"/>
          <w:szCs w:val="31"/>
        </w:rPr>
        <w:t>71</w:t>
      </w:r>
      <w:r>
        <w:rPr>
          <w:rFonts w:hint="eastAsia" w:hAnsi="宋体" w:cs="仿宋_GB2312"/>
          <w:sz w:val="31"/>
          <w:szCs w:val="31"/>
        </w:rPr>
        <w:t>号）的文件分配要求，项目单位要按照“谁使用、谁负责”的原则，纳入单位财务统一管理，承担管理使用责任，作为该项目的立项依据，项目的设立符合申报条件。</w:t>
      </w:r>
    </w:p>
    <w:p w14:paraId="1577EF28">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3.资金管理办法制定情况，资金支持具体项目的条件、范围与支持方式概况。</w:t>
      </w:r>
    </w:p>
    <w:p w14:paraId="3129221A">
      <w:pPr>
        <w:autoSpaceDE w:val="0"/>
        <w:autoSpaceDN w:val="0"/>
        <w:adjustRightInd w:val="0"/>
        <w:spacing w:line="580" w:lineRule="exact"/>
        <w:ind w:firstLine="620" w:firstLineChars="200"/>
        <w:jc w:val="left"/>
        <w:rPr>
          <w:rFonts w:eastAsia="仿宋_GB2312"/>
          <w:kern w:val="0"/>
          <w:sz w:val="32"/>
          <w:szCs w:val="32"/>
        </w:rPr>
      </w:pPr>
      <w:r>
        <w:rPr>
          <w:rFonts w:hint="eastAsia" w:ascii="仿宋_GB2312" w:hAnsi="宋体" w:eastAsia="仿宋_GB2312" w:cs="仿宋_GB2312"/>
          <w:sz w:val="31"/>
          <w:szCs w:val="31"/>
        </w:rPr>
        <w:t>县融媒体中心管理制度健全，已制定相应的财务和业务管理制度，制度合法、合规、完整。运行经费项目资金使用合规，符合财经法规和财务管理制度以及有关专项资金管理办法的规定，有完整的审批程序和手续，</w:t>
      </w:r>
      <w:r>
        <w:rPr>
          <w:rFonts w:hint="eastAsia" w:eastAsia="仿宋_GB2312"/>
          <w:kern w:val="0"/>
          <w:sz w:val="32"/>
          <w:szCs w:val="32"/>
        </w:rPr>
        <w:t>按规定用途使用，按进度拨付，专款专用，</w:t>
      </w:r>
      <w:r>
        <w:rPr>
          <w:rFonts w:hint="eastAsia" w:ascii="仿宋_GB2312" w:hAnsi="宋体" w:eastAsia="仿宋_GB2312" w:cs="仿宋_GB2312"/>
          <w:sz w:val="31"/>
          <w:szCs w:val="31"/>
        </w:rPr>
        <w:t>不存在截留、挤占、挪用、虚列支出等情况。</w:t>
      </w:r>
    </w:p>
    <w:p w14:paraId="69DE88F1">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4.资金分配的原则及考虑因素。</w:t>
      </w:r>
    </w:p>
    <w:p w14:paraId="2673081A">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该笔资金全部用于县融媒体中心建设频道播出系统升级改造项目，实行专款专用。</w:t>
      </w:r>
    </w:p>
    <w:p w14:paraId="51EEA648">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0EE0D1D2">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1.项目主要内容。</w:t>
      </w:r>
    </w:p>
    <w:p w14:paraId="377B7FAD">
      <w:pPr>
        <w:autoSpaceDE w:val="0"/>
        <w:autoSpaceDN w:val="0"/>
        <w:adjustRightInd w:val="0"/>
        <w:spacing w:line="580" w:lineRule="exact"/>
        <w:ind w:firstLine="620" w:firstLineChars="200"/>
        <w:jc w:val="left"/>
        <w:rPr>
          <w:rFonts w:eastAsia="仿宋_GB2312"/>
          <w:kern w:val="0"/>
          <w:sz w:val="32"/>
          <w:szCs w:val="32"/>
        </w:rPr>
      </w:pPr>
      <w:r>
        <w:rPr>
          <w:rFonts w:hint="eastAsia" w:ascii="仿宋_GB2312" w:hAnsi="宋体" w:eastAsia="仿宋_GB2312" w:cs="仿宋_GB2312"/>
          <w:sz w:val="31"/>
          <w:szCs w:val="31"/>
        </w:rPr>
        <w:t>县融媒体中心因部分设备过于陈旧、配置不完善，无法满足高标清化电视节目的录制及制作要求，中心需从频道播出系统的</w:t>
      </w:r>
      <w:r>
        <w:rPr>
          <w:rFonts w:hint="eastAsia" w:eastAsia="仿宋_GB2312"/>
          <w:sz w:val="32"/>
          <w:szCs w:val="32"/>
          <w:shd w:val="clear" w:color="auto" w:fill="FFFFFF"/>
        </w:rPr>
        <w:t>专业性、技术含量等特殊性方面进行升</w:t>
      </w:r>
      <w:r>
        <w:rPr>
          <w:rFonts w:hint="eastAsia" w:ascii="仿宋_GB2312" w:hAnsi="宋体" w:eastAsia="仿宋_GB2312" w:cs="仿宋_GB2312"/>
          <w:sz w:val="31"/>
          <w:szCs w:val="31"/>
        </w:rPr>
        <w:t>级完善，确保满足标准化建设要求。</w:t>
      </w:r>
    </w:p>
    <w:p w14:paraId="6EE7AAD1">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2.项目应实现的具体绩效目标，包括目标的量化、细化情况以及项目实施进度计划等。</w:t>
      </w:r>
    </w:p>
    <w:p w14:paraId="65F8325A">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推进县级融媒体中心建设，建成集主流舆论阵地、综合信息服务平台、基层舆情聚合平台于一体的县级融媒体中心，充分发挥决策参考报信息、解决问题发点球、正面引导把方向、负面管控防风险功能。项目中标总价</w:t>
      </w:r>
      <w:r>
        <w:rPr>
          <w:rFonts w:eastAsia="仿宋_GB2312"/>
          <w:kern w:val="0"/>
          <w:sz w:val="32"/>
          <w:szCs w:val="32"/>
        </w:rPr>
        <w:t>72.6</w:t>
      </w:r>
      <w:r>
        <w:rPr>
          <w:rFonts w:hint="eastAsia" w:eastAsia="仿宋_GB2312"/>
          <w:kern w:val="0"/>
          <w:sz w:val="32"/>
          <w:szCs w:val="32"/>
        </w:rPr>
        <w:t>万元，现已支付</w:t>
      </w:r>
      <w:r>
        <w:rPr>
          <w:rFonts w:eastAsia="仿宋_GB2312"/>
          <w:kern w:val="0"/>
          <w:sz w:val="32"/>
          <w:szCs w:val="32"/>
        </w:rPr>
        <w:t>33</w:t>
      </w:r>
      <w:r>
        <w:rPr>
          <w:rFonts w:hint="eastAsia" w:eastAsia="仿宋_GB2312"/>
          <w:kern w:val="0"/>
          <w:sz w:val="32"/>
          <w:szCs w:val="32"/>
        </w:rPr>
        <w:t>万元（其中中央补助地方建设经费支付</w:t>
      </w:r>
      <w:r>
        <w:rPr>
          <w:rFonts w:eastAsia="仿宋_GB2312"/>
          <w:kern w:val="0"/>
          <w:sz w:val="32"/>
          <w:szCs w:val="32"/>
        </w:rPr>
        <w:t>18</w:t>
      </w:r>
      <w:r>
        <w:rPr>
          <w:rFonts w:hint="eastAsia" w:eastAsia="仿宋_GB2312"/>
          <w:kern w:val="0"/>
          <w:sz w:val="32"/>
          <w:szCs w:val="32"/>
        </w:rPr>
        <w:t>万元，省</w:t>
      </w:r>
      <w:r>
        <w:rPr>
          <w:rFonts w:hint="eastAsia" w:ascii="仿宋_GB2312" w:hAnsi="宋体" w:eastAsia="仿宋_GB2312" w:cs="仿宋_GB2312"/>
          <w:sz w:val="31"/>
          <w:szCs w:val="31"/>
        </w:rPr>
        <w:t>宣传文化事业发展专项经费支付</w:t>
      </w:r>
      <w:r>
        <w:rPr>
          <w:rFonts w:ascii="仿宋_GB2312" w:hAnsi="宋体" w:eastAsia="仿宋_GB2312" w:cs="仿宋_GB2312"/>
          <w:sz w:val="31"/>
          <w:szCs w:val="31"/>
        </w:rPr>
        <w:t>15</w:t>
      </w:r>
      <w:r>
        <w:rPr>
          <w:rFonts w:hint="eastAsia" w:ascii="仿宋_GB2312" w:hAnsi="宋体" w:eastAsia="仿宋_GB2312" w:cs="仿宋_GB2312"/>
          <w:sz w:val="31"/>
          <w:szCs w:val="31"/>
        </w:rPr>
        <w:t>万元），</w:t>
      </w:r>
      <w:r>
        <w:rPr>
          <w:rFonts w:hint="eastAsia" w:eastAsia="仿宋_GB2312"/>
          <w:kern w:val="0"/>
          <w:sz w:val="32"/>
          <w:szCs w:val="32"/>
        </w:rPr>
        <w:t>此项目现已进入验收阶段。</w:t>
      </w:r>
    </w:p>
    <w:p w14:paraId="4A0442BB">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3.分析评价申报内容是否与实际相符，申报目标是否合理可行。</w:t>
      </w:r>
    </w:p>
    <w:p w14:paraId="22A11145">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县融媒体中心频道播出系统升级改造项目申报内容与实际相符，具备合理性。</w:t>
      </w:r>
    </w:p>
    <w:p w14:paraId="7A808A80">
      <w:pPr>
        <w:widowControl/>
        <w:adjustRightInd w:val="0"/>
        <w:snapToGrid w:val="0"/>
        <w:spacing w:line="576" w:lineRule="exact"/>
        <w:ind w:firstLine="645"/>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rPr>
        <w:t>（三）</w:t>
      </w:r>
      <w:r>
        <w:rPr>
          <w:rFonts w:hint="eastAsia" w:ascii="仿宋_GB2312" w:hAnsi="宋体" w:eastAsia="仿宋_GB2312" w:cs="宋体"/>
          <w:kern w:val="0"/>
          <w:sz w:val="32"/>
          <w:szCs w:val="32"/>
          <w:shd w:val="clear" w:color="auto" w:fill="FFFFFF"/>
          <w:lang w:val="zh-CN"/>
        </w:rPr>
        <w:t>项目自评步骤及方法。</w:t>
      </w:r>
    </w:p>
    <w:p w14:paraId="5E6D60FA">
      <w:pPr>
        <w:widowControl/>
        <w:adjustRightInd w:val="0"/>
        <w:snapToGrid w:val="0"/>
        <w:spacing w:line="576" w:lineRule="exact"/>
        <w:ind w:firstLine="645"/>
        <w:contextualSpacing/>
        <w:jc w:val="left"/>
        <w:rPr>
          <w:rFonts w:ascii="仿宋_GB2312" w:hAnsi="宋体" w:eastAsia="仿宋_GB2312" w:cs="宋体"/>
          <w:kern w:val="0"/>
          <w:sz w:val="32"/>
          <w:szCs w:val="32"/>
          <w:shd w:val="clear" w:color="auto" w:fill="FFFFFF"/>
          <w:lang w:val="zh-CN"/>
        </w:rPr>
      </w:pPr>
      <w:r>
        <w:rPr>
          <w:rFonts w:ascii="仿宋_GB2312" w:hAnsi="宋体" w:eastAsia="仿宋_GB2312" w:cs="宋体"/>
          <w:kern w:val="0"/>
          <w:sz w:val="32"/>
          <w:szCs w:val="32"/>
          <w:shd w:val="clear" w:color="auto" w:fill="FFFFFF"/>
        </w:rPr>
        <w:t>1.</w:t>
      </w:r>
      <w:r>
        <w:rPr>
          <w:rFonts w:hint="eastAsia" w:ascii="仿宋_GB2312" w:hAnsi="宋体" w:eastAsia="仿宋_GB2312" w:cs="宋体"/>
          <w:kern w:val="0"/>
          <w:sz w:val="32"/>
          <w:szCs w:val="32"/>
          <w:shd w:val="clear" w:color="auto" w:fill="FFFFFF"/>
        </w:rPr>
        <w:t>前期准备。</w:t>
      </w:r>
      <w:r>
        <w:rPr>
          <w:rFonts w:hint="eastAsia" w:ascii="仿宋_GB2312" w:hAnsi="宋体" w:eastAsia="仿宋_GB2312" w:cs="宋体"/>
          <w:kern w:val="0"/>
          <w:sz w:val="32"/>
          <w:szCs w:val="32"/>
          <w:shd w:val="clear" w:color="auto" w:fill="FFFFFF"/>
          <w:lang w:val="zh-CN"/>
        </w:rPr>
        <w:t>成立绩效评价工作领导小组、绩效评价工作组，召开评价工作安排部署会，制定了整体支出绩效评价的工作方案、评价指标，明确了绩效目标。</w:t>
      </w:r>
    </w:p>
    <w:p w14:paraId="09082010">
      <w:pPr>
        <w:widowControl/>
        <w:adjustRightInd w:val="0"/>
        <w:snapToGrid w:val="0"/>
        <w:spacing w:line="576" w:lineRule="exact"/>
        <w:ind w:firstLine="645"/>
        <w:contextualSpacing/>
        <w:jc w:val="left"/>
        <w:rPr>
          <w:rFonts w:ascii="仿宋_GB2312" w:hAnsi="宋体" w:eastAsia="仿宋_GB2312" w:cs="宋体"/>
          <w:kern w:val="0"/>
          <w:sz w:val="32"/>
          <w:szCs w:val="32"/>
          <w:shd w:val="clear" w:color="auto" w:fill="FFFFFF"/>
          <w:lang w:val="zh-CN"/>
        </w:rPr>
      </w:pPr>
      <w:r>
        <w:rPr>
          <w:rFonts w:ascii="仿宋_GB2312" w:hAnsi="宋体" w:eastAsia="仿宋_GB2312" w:cs="宋体"/>
          <w:kern w:val="0"/>
          <w:sz w:val="32"/>
          <w:szCs w:val="32"/>
          <w:shd w:val="clear" w:color="auto" w:fill="FFFFFF"/>
        </w:rPr>
        <w:t>2.</w:t>
      </w:r>
      <w:r>
        <w:rPr>
          <w:rFonts w:hint="eastAsia" w:ascii="仿宋_GB2312" w:hAnsi="宋体" w:eastAsia="仿宋_GB2312" w:cs="宋体"/>
          <w:kern w:val="0"/>
          <w:sz w:val="32"/>
          <w:szCs w:val="32"/>
          <w:shd w:val="clear" w:color="auto" w:fill="FFFFFF"/>
          <w:lang w:val="zh-CN"/>
        </w:rPr>
        <w:t>组织实施。中心绩效评价工作组根据绩效评价的基本原理、原则和项目特点，结合绩效目标，按确定的评价指标体系、评分标准、评价方法和相关的工作程序和步骤，通过核实数据、查阅资料、归纳汇总等步骤在规定的时间节点内开展绩效自评工作。</w:t>
      </w:r>
    </w:p>
    <w:p w14:paraId="7309EAA8">
      <w:pPr>
        <w:widowControl/>
        <w:adjustRightInd w:val="0"/>
        <w:snapToGrid w:val="0"/>
        <w:spacing w:line="576" w:lineRule="exact"/>
        <w:ind w:firstLine="645"/>
        <w:contextualSpacing/>
        <w:jc w:val="left"/>
        <w:rPr>
          <w:rFonts w:eastAsia="仿宋_GB2312"/>
          <w:kern w:val="0"/>
          <w:sz w:val="32"/>
          <w:szCs w:val="32"/>
          <w:lang w:val="zh-CN"/>
        </w:rPr>
      </w:pPr>
      <w:r>
        <w:rPr>
          <w:rFonts w:ascii="仿宋_GB2312" w:hAnsi="宋体" w:eastAsia="仿宋_GB2312" w:cs="宋体"/>
          <w:kern w:val="0"/>
          <w:sz w:val="32"/>
          <w:szCs w:val="32"/>
          <w:shd w:val="clear" w:color="auto" w:fill="FFFFFF"/>
        </w:rPr>
        <w:t>3.</w:t>
      </w:r>
      <w:r>
        <w:rPr>
          <w:rFonts w:hint="eastAsia" w:ascii="仿宋_GB2312" w:hAnsi="宋体" w:eastAsia="仿宋_GB2312" w:cs="宋体"/>
          <w:kern w:val="0"/>
          <w:sz w:val="32"/>
          <w:szCs w:val="32"/>
          <w:shd w:val="clear" w:color="auto" w:fill="FFFFFF"/>
          <w:lang w:val="zh-CN"/>
        </w:rPr>
        <w:t>分析评价。该项目各项目标达到了相应时期执行进度，项目经费按预算实施，</w:t>
      </w:r>
      <w:r>
        <w:rPr>
          <w:rFonts w:hint="eastAsia" w:ascii="仿宋_GB2312" w:hAnsi="宋体" w:eastAsia="仿宋_GB2312" w:cs="宋体"/>
          <w:kern w:val="0"/>
          <w:sz w:val="32"/>
          <w:szCs w:val="32"/>
          <w:shd w:val="clear" w:color="auto" w:fill="FFFFFF"/>
        </w:rPr>
        <w:t>经过定量和定性分析形成评价结论，经过复核和交换意见后，形成绩效评价报告。</w:t>
      </w:r>
    </w:p>
    <w:p w14:paraId="0E9B1B92">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2EF95B11">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0CD7503B">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根据盐边县财政局《关于下达</w:t>
      </w:r>
      <w:r>
        <w:rPr>
          <w:rFonts w:eastAsia="仿宋_GB2312"/>
          <w:kern w:val="0"/>
          <w:sz w:val="32"/>
          <w:szCs w:val="32"/>
        </w:rPr>
        <w:t>2020</w:t>
      </w:r>
      <w:r>
        <w:rPr>
          <w:rFonts w:hint="eastAsia" w:eastAsia="仿宋_GB2312"/>
          <w:kern w:val="0"/>
          <w:sz w:val="32"/>
          <w:szCs w:val="32"/>
        </w:rPr>
        <w:t>年四川省宣传文化事业发展专项资金预算的通知》（盐财资行</w:t>
      </w:r>
      <w:r>
        <w:rPr>
          <w:rFonts w:hint="eastAsia" w:eastAsia="仿宋_GB2312"/>
          <w:kern w:val="0"/>
          <w:sz w:val="32"/>
          <w:szCs w:val="32"/>
          <w:lang w:eastAsia="zh-CN"/>
        </w:rPr>
        <w:t>〔2021〕131号</w:t>
      </w:r>
      <w:r>
        <w:rPr>
          <w:rFonts w:hint="eastAsia" w:eastAsia="仿宋_GB2312"/>
          <w:kern w:val="0"/>
          <w:sz w:val="32"/>
          <w:szCs w:val="32"/>
        </w:rPr>
        <w:t>）文件批复</w:t>
      </w:r>
      <w:r>
        <w:rPr>
          <w:rFonts w:eastAsia="仿宋_GB2312"/>
          <w:kern w:val="0"/>
          <w:sz w:val="32"/>
          <w:szCs w:val="32"/>
        </w:rPr>
        <w:t>2020</w:t>
      </w:r>
      <w:r>
        <w:rPr>
          <w:rFonts w:hint="eastAsia" w:eastAsia="仿宋_GB2312"/>
          <w:kern w:val="0"/>
          <w:sz w:val="32"/>
          <w:szCs w:val="32"/>
        </w:rPr>
        <w:t>年四川省宣传文化事业发展专项资金预算</w:t>
      </w:r>
      <w:r>
        <w:rPr>
          <w:rFonts w:eastAsia="仿宋_GB2312"/>
          <w:kern w:val="0"/>
          <w:sz w:val="32"/>
          <w:szCs w:val="32"/>
        </w:rPr>
        <w:t>15</w:t>
      </w:r>
      <w:r>
        <w:rPr>
          <w:rFonts w:hint="eastAsia" w:eastAsia="仿宋_GB2312"/>
          <w:kern w:val="0"/>
          <w:sz w:val="32"/>
          <w:szCs w:val="32"/>
        </w:rPr>
        <w:t>万元，专项用于县级融媒体中心建设项目。</w:t>
      </w:r>
    </w:p>
    <w:p w14:paraId="4D59D637">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（二）资金计划、到位及使用情况。</w:t>
      </w:r>
    </w:p>
    <w:p w14:paraId="494C1D88">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sz w:val="32"/>
          <w:szCs w:val="32"/>
          <w:lang w:val="zh-CN"/>
        </w:rPr>
        <w:t>1.资金计划。</w:t>
      </w:r>
    </w:p>
    <w:p w14:paraId="1FCF13E7">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县级融媒体中心建设项目资金来源为中央补助地方专项资金及省级专项资金拨款，项目投资</w:t>
      </w:r>
      <w:r>
        <w:rPr>
          <w:rFonts w:eastAsia="仿宋_GB2312"/>
          <w:kern w:val="0"/>
          <w:sz w:val="32"/>
          <w:szCs w:val="32"/>
        </w:rPr>
        <w:t>76</w:t>
      </w:r>
      <w:r>
        <w:rPr>
          <w:rFonts w:hint="eastAsia" w:eastAsia="仿宋_GB2312"/>
          <w:kern w:val="0"/>
          <w:sz w:val="32"/>
          <w:szCs w:val="32"/>
        </w:rPr>
        <w:t>万元。其中：中央补助地方专项经费两笔共</w:t>
      </w:r>
      <w:r>
        <w:rPr>
          <w:rFonts w:eastAsia="仿宋_GB2312"/>
          <w:kern w:val="0"/>
          <w:sz w:val="32"/>
          <w:szCs w:val="32"/>
        </w:rPr>
        <w:t>61</w:t>
      </w:r>
      <w:r>
        <w:rPr>
          <w:rFonts w:hint="eastAsia" w:eastAsia="仿宋_GB2312"/>
          <w:kern w:val="0"/>
          <w:sz w:val="32"/>
          <w:szCs w:val="32"/>
        </w:rPr>
        <w:t>万元，省宣传文化事业发展专项资金支付</w:t>
      </w:r>
      <w:r>
        <w:rPr>
          <w:rFonts w:eastAsia="仿宋_GB2312"/>
          <w:kern w:val="0"/>
          <w:sz w:val="32"/>
          <w:szCs w:val="32"/>
        </w:rPr>
        <w:t>15</w:t>
      </w:r>
      <w:r>
        <w:rPr>
          <w:rFonts w:hint="eastAsia" w:eastAsia="仿宋_GB2312"/>
          <w:kern w:val="0"/>
          <w:sz w:val="32"/>
          <w:szCs w:val="32"/>
        </w:rPr>
        <w:t>万元。</w:t>
      </w:r>
    </w:p>
    <w:p w14:paraId="58C67EB4">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sz w:val="32"/>
          <w:szCs w:val="32"/>
          <w:lang w:val="zh-CN"/>
        </w:rPr>
        <w:t>2.资金到位。</w:t>
      </w:r>
    </w:p>
    <w:p w14:paraId="49798AA5">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省宣传文化事业发展专项资金</w:t>
      </w:r>
      <w:r>
        <w:rPr>
          <w:rFonts w:eastAsia="仿宋_GB2312"/>
          <w:kern w:val="0"/>
          <w:sz w:val="32"/>
          <w:szCs w:val="32"/>
        </w:rPr>
        <w:t>15</w:t>
      </w:r>
      <w:r>
        <w:rPr>
          <w:rFonts w:hint="eastAsia" w:eastAsia="仿宋_GB2312"/>
          <w:kern w:val="0"/>
          <w:sz w:val="32"/>
          <w:szCs w:val="32"/>
        </w:rPr>
        <w:t>万元（盐财资行</w:t>
      </w:r>
      <w:r>
        <w:rPr>
          <w:rFonts w:eastAsia="仿宋_GB2312"/>
          <w:kern w:val="0"/>
          <w:sz w:val="32"/>
          <w:szCs w:val="32"/>
        </w:rPr>
        <w:t xml:space="preserve"> </w:t>
      </w:r>
      <w:r>
        <w:rPr>
          <w:rFonts w:hint="eastAsia" w:eastAsia="仿宋_GB2312"/>
          <w:kern w:val="0"/>
          <w:sz w:val="32"/>
          <w:szCs w:val="32"/>
          <w:lang w:eastAsia="zh-CN"/>
        </w:rPr>
        <w:t>〔2021〕131号</w:t>
      </w:r>
      <w:r>
        <w:rPr>
          <w:rFonts w:hint="eastAsia" w:eastAsia="仿宋_GB2312"/>
          <w:kern w:val="0"/>
          <w:sz w:val="32"/>
          <w:szCs w:val="32"/>
        </w:rPr>
        <w:t>）批复文件于</w:t>
      </w:r>
      <w:r>
        <w:rPr>
          <w:rFonts w:eastAsia="仿宋_GB2312"/>
          <w:kern w:val="0"/>
          <w:sz w:val="32"/>
          <w:szCs w:val="32"/>
        </w:rPr>
        <w:t>2021</w:t>
      </w:r>
      <w:r>
        <w:rPr>
          <w:rFonts w:hint="eastAsia" w:eastAsia="仿宋_GB2312"/>
          <w:kern w:val="0"/>
          <w:sz w:val="32"/>
          <w:szCs w:val="32"/>
        </w:rPr>
        <w:t>年及时下达并足额到位。</w:t>
      </w:r>
    </w:p>
    <w:p w14:paraId="334B1AF9">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sz w:val="32"/>
          <w:szCs w:val="32"/>
          <w:lang w:val="zh-CN"/>
        </w:rPr>
        <w:t>3.资金使用。</w:t>
      </w:r>
    </w:p>
    <w:p w14:paraId="26472A7A">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该项目资金按项目建设要求和进度进行支付，资金使用规范，专款专用。</w:t>
      </w:r>
      <w:r>
        <w:rPr>
          <w:rFonts w:hint="eastAsia" w:eastAsia="仿宋_GB2312"/>
          <w:kern w:val="0"/>
          <w:sz w:val="32"/>
          <w:szCs w:val="32"/>
          <w:lang w:eastAsia="zh-CN"/>
        </w:rPr>
        <w:t>截至</w:t>
      </w:r>
      <w:r>
        <w:rPr>
          <w:rFonts w:hint="eastAsia" w:eastAsia="仿宋_GB2312"/>
          <w:kern w:val="0"/>
          <w:sz w:val="32"/>
          <w:szCs w:val="32"/>
        </w:rPr>
        <w:t>目前，实际总支出为</w:t>
      </w:r>
      <w:r>
        <w:rPr>
          <w:rFonts w:eastAsia="仿宋_GB2312"/>
          <w:kern w:val="0"/>
          <w:sz w:val="32"/>
          <w:szCs w:val="32"/>
        </w:rPr>
        <w:t>33</w:t>
      </w:r>
      <w:r>
        <w:rPr>
          <w:rFonts w:hint="eastAsia" w:eastAsia="仿宋_GB2312"/>
          <w:kern w:val="0"/>
          <w:sz w:val="32"/>
          <w:szCs w:val="32"/>
        </w:rPr>
        <w:t>万元（其中中央补助地方建设经费支付</w:t>
      </w:r>
      <w:r>
        <w:rPr>
          <w:rFonts w:eastAsia="仿宋_GB2312"/>
          <w:kern w:val="0"/>
          <w:sz w:val="32"/>
          <w:szCs w:val="32"/>
        </w:rPr>
        <w:t>18</w:t>
      </w:r>
      <w:r>
        <w:rPr>
          <w:rFonts w:hint="eastAsia" w:eastAsia="仿宋_GB2312"/>
          <w:kern w:val="0"/>
          <w:sz w:val="32"/>
          <w:szCs w:val="32"/>
        </w:rPr>
        <w:t>万元，省</w:t>
      </w:r>
      <w:r>
        <w:rPr>
          <w:rFonts w:hint="eastAsia" w:ascii="仿宋_GB2312" w:hAnsi="宋体" w:eastAsia="仿宋_GB2312" w:cs="仿宋_GB2312"/>
          <w:sz w:val="31"/>
          <w:szCs w:val="31"/>
        </w:rPr>
        <w:t>宣传文化事业发展专项经费支付</w:t>
      </w:r>
      <w:r>
        <w:rPr>
          <w:rFonts w:ascii="仿宋_GB2312" w:hAnsi="宋体" w:eastAsia="仿宋_GB2312" w:cs="仿宋_GB2312"/>
          <w:sz w:val="31"/>
          <w:szCs w:val="31"/>
        </w:rPr>
        <w:t>15</w:t>
      </w:r>
      <w:r>
        <w:rPr>
          <w:rFonts w:hint="eastAsia" w:ascii="仿宋_GB2312" w:hAnsi="宋体" w:eastAsia="仿宋_GB2312" w:cs="仿宋_GB2312"/>
          <w:sz w:val="31"/>
          <w:szCs w:val="31"/>
        </w:rPr>
        <w:t>万元），结余</w:t>
      </w:r>
      <w:r>
        <w:rPr>
          <w:rFonts w:ascii="仿宋_GB2312" w:hAnsi="宋体" w:eastAsia="仿宋_GB2312" w:cs="仿宋_GB2312"/>
          <w:sz w:val="31"/>
          <w:szCs w:val="31"/>
        </w:rPr>
        <w:t>39.6</w:t>
      </w:r>
      <w:r>
        <w:rPr>
          <w:rFonts w:hint="eastAsia" w:ascii="仿宋_GB2312" w:hAnsi="宋体" w:eastAsia="仿宋_GB2312" w:cs="仿宋_GB2312"/>
          <w:sz w:val="31"/>
          <w:szCs w:val="31"/>
        </w:rPr>
        <w:t>万元待项目试运行使用验收合格后，计划于</w:t>
      </w:r>
      <w:r>
        <w:rPr>
          <w:rFonts w:eastAsia="仿宋_GB2312"/>
          <w:kern w:val="0"/>
          <w:sz w:val="32"/>
          <w:szCs w:val="32"/>
        </w:rPr>
        <w:t>2022</w:t>
      </w:r>
      <w:r>
        <w:rPr>
          <w:rFonts w:hint="eastAsia" w:eastAsia="仿宋_GB2312"/>
          <w:kern w:val="0"/>
          <w:sz w:val="32"/>
          <w:szCs w:val="32"/>
        </w:rPr>
        <w:t>年底前将结余资金全部支付到位。</w:t>
      </w:r>
    </w:p>
    <w:p w14:paraId="21D995E1">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10B66601">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本单位财务管理制度健全，资金严格按照项目资金管理规范经费开支，保证专款专用，不存在截留、挪用、挤占、虚列支出等情况，财务处理及时，会计核算做到真实、完整及规范。</w:t>
      </w:r>
    </w:p>
    <w:p w14:paraId="546D8B93">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三、项目实施及管理情况</w:t>
      </w:r>
    </w:p>
    <w:p w14:paraId="3D81CCE3">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结合项目组织实施管理办法，重点围绕以下内容进行分析评价，并对自评中发现的问题分析说明。</w:t>
      </w:r>
    </w:p>
    <w:p w14:paraId="3946066D">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（一）项目组织架构及实施流程。</w:t>
      </w:r>
    </w:p>
    <w:p w14:paraId="69F3D122">
      <w:pPr>
        <w:spacing w:line="580" w:lineRule="exact"/>
        <w:ind w:firstLine="809" w:firstLineChars="261"/>
        <w:rPr>
          <w:rFonts w:ascii="仿宋_GB2312" w:hAnsi="宋体" w:eastAsia="仿宋_GB2312" w:cs="仿宋_GB2312"/>
          <w:sz w:val="31"/>
          <w:szCs w:val="31"/>
        </w:rPr>
      </w:pPr>
      <w:r>
        <w:rPr>
          <w:rFonts w:hint="eastAsia" w:ascii="仿宋_GB2312" w:hAnsi="宋体" w:eastAsia="仿宋_GB2312" w:cs="仿宋_GB2312"/>
          <w:sz w:val="31"/>
          <w:szCs w:val="31"/>
        </w:rPr>
        <w:t>县融媒体中心项目资金按照《盐边县融媒体中心内部运行制度汇编》的规定执行，成立了盐边县融媒体中心项目建设领导小组，分管领导负责日常事务工作，并对项目实施进行跟踪与监督，开展项目绩效评价，确保项目绩效目标的完成；中心财务管理制度完善，管理方法较科学，日常加强财务管理，严格财务审核、核算，强化财务人员业务知识培训；加强项目承担单位法人责任，强化法人单位自我约束和自我规范，确保用得好，管得好；完善内部风险防控机制，强化资金使用绩效评价，保障资金使用安全规范有效，确保发挥更大效益。</w:t>
      </w:r>
    </w:p>
    <w:p w14:paraId="227403E5">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（二）项目管理情况。</w:t>
      </w:r>
    </w:p>
    <w:p w14:paraId="70477B44">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此项目按照财经法规、财务管理制度、政府采购程序开展了竞争性磋商，进行设备的购置，中选单位即与采购方融媒体中心进行了接洽，并按合同要求进行设备安装、测试和试运行，及时保障了融媒体中心节目制作、频道播出的标准化建设。</w:t>
      </w:r>
    </w:p>
    <w:p w14:paraId="123317B9">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（三）项目监管情况。</w:t>
      </w:r>
    </w:p>
    <w:p w14:paraId="52E03D7A">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根据相关财经政策要求，认真做好本单位部门绩效事中监控，切实分析本单位在预算绩效管理工作中存在的问题，提出具体措施加以改进，并将事中绩效评价报告报县财政局备案。</w:t>
      </w:r>
    </w:p>
    <w:p w14:paraId="236C0212">
      <w:pPr>
        <w:adjustRightInd w:val="0"/>
        <w:snapToGrid w:val="0"/>
        <w:spacing w:line="600" w:lineRule="exact"/>
        <w:ind w:firstLine="720"/>
        <w:rPr>
          <w:rFonts w:ascii="仿宋_GB2312" w:hAnsi="宋体" w:eastAsia="仿宋_GB2312"/>
          <w:sz w:val="32"/>
          <w:szCs w:val="32"/>
          <w:lang w:val="zh-CN"/>
        </w:rPr>
      </w:pPr>
      <w:r>
        <w:rPr>
          <w:rFonts w:hint="eastAsia" w:ascii="黑体" w:hAnsi="宋体" w:eastAsia="黑体"/>
          <w:sz w:val="32"/>
          <w:szCs w:val="32"/>
        </w:rPr>
        <w:t>四、项目绩效情况</w:t>
      </w:r>
      <w:r>
        <w:rPr>
          <w:rFonts w:ascii="仿宋_GB2312" w:hAnsi="宋体" w:eastAsia="仿宋_GB2312"/>
          <w:sz w:val="32"/>
          <w:szCs w:val="32"/>
          <w:lang w:val="zh-CN"/>
        </w:rPr>
        <w:tab/>
      </w:r>
    </w:p>
    <w:p w14:paraId="5D12D10F">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5021ECBC">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项目完成数量：较好地完成了</w:t>
      </w:r>
      <w:r>
        <w:rPr>
          <w:rFonts w:ascii="仿宋_GB2312" w:hAnsi="宋体" w:eastAsia="仿宋_GB2312"/>
          <w:kern w:val="0"/>
          <w:sz w:val="32"/>
          <w:szCs w:val="32"/>
        </w:rPr>
        <w:t>2021</w:t>
      </w:r>
      <w:r>
        <w:rPr>
          <w:rFonts w:hint="eastAsia" w:ascii="仿宋_GB2312" w:hAnsi="宋体" w:eastAsia="仿宋_GB2312"/>
          <w:kern w:val="0"/>
          <w:sz w:val="32"/>
          <w:szCs w:val="32"/>
        </w:rPr>
        <w:t>年</w:t>
      </w:r>
      <w:r>
        <w:rPr>
          <w:rFonts w:hint="eastAsia" w:ascii="仿宋_GB2312" w:hAnsi="宋体" w:eastAsia="仿宋_GB2312"/>
          <w:kern w:val="0"/>
          <w:sz w:val="32"/>
          <w:szCs w:val="32"/>
          <w:lang w:eastAsia="zh-CN"/>
        </w:rPr>
        <w:t>拟定</w:t>
      </w:r>
      <w:r>
        <w:rPr>
          <w:rFonts w:hint="eastAsia" w:ascii="仿宋_GB2312" w:hAnsi="宋体" w:eastAsia="仿宋_GB2312"/>
          <w:kern w:val="0"/>
          <w:sz w:val="32"/>
          <w:szCs w:val="32"/>
        </w:rPr>
        <w:t>的工作任务，确保了项目的有序开展，目前已完成全部项目的</w:t>
      </w:r>
      <w:r>
        <w:rPr>
          <w:rFonts w:ascii="仿宋_GB2312" w:hAnsi="宋体" w:eastAsia="仿宋_GB2312"/>
          <w:kern w:val="0"/>
          <w:sz w:val="32"/>
          <w:szCs w:val="32"/>
        </w:rPr>
        <w:t>100%</w:t>
      </w:r>
      <w:r>
        <w:rPr>
          <w:rFonts w:hint="eastAsia" w:ascii="仿宋_GB2312" w:hAnsi="宋体" w:eastAsia="仿宋_GB2312"/>
          <w:kern w:val="0"/>
          <w:sz w:val="32"/>
          <w:szCs w:val="32"/>
        </w:rPr>
        <w:t>，资金拨付达到</w:t>
      </w:r>
      <w:r>
        <w:rPr>
          <w:rFonts w:ascii="仿宋_GB2312" w:hAnsi="宋体" w:eastAsia="仿宋_GB2312"/>
          <w:kern w:val="0"/>
          <w:sz w:val="32"/>
          <w:szCs w:val="32"/>
        </w:rPr>
        <w:t>100%</w:t>
      </w:r>
      <w:r>
        <w:rPr>
          <w:rFonts w:hint="eastAsia" w:eastAsia="仿宋_GB2312"/>
          <w:kern w:val="0"/>
          <w:sz w:val="32"/>
          <w:szCs w:val="32"/>
        </w:rPr>
        <w:t>。</w:t>
      </w:r>
    </w:p>
    <w:p w14:paraId="66F894E3">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项目完成质量：全面加强内容建设，打造区域性主流舆论阵地、综合服务平台、社会信息枢纽，通过电视、广播、移动客户端播发，传播本地主流声音。</w:t>
      </w:r>
    </w:p>
    <w:p w14:paraId="6D111FC8">
      <w:pPr>
        <w:autoSpaceDE w:val="0"/>
        <w:autoSpaceDN w:val="0"/>
        <w:adjustRightInd w:val="0"/>
        <w:spacing w:line="580" w:lineRule="exact"/>
        <w:ind w:firstLine="640" w:firstLineChars="200"/>
        <w:jc w:val="left"/>
        <w:rPr>
          <w:rFonts w:ascii="仿宋_GB2312" w:eastAsia="仿宋_GB2312"/>
          <w:kern w:val="0"/>
          <w:sz w:val="32"/>
          <w:szCs w:val="32"/>
        </w:rPr>
      </w:pPr>
      <w:r>
        <w:rPr>
          <w:rFonts w:hint="eastAsia" w:eastAsia="仿宋_GB2312"/>
          <w:kern w:val="0"/>
          <w:sz w:val="32"/>
          <w:szCs w:val="32"/>
        </w:rPr>
        <w:t>项目完成时效：</w:t>
      </w:r>
      <w:r>
        <w:rPr>
          <w:rFonts w:ascii="仿宋_GB2312" w:eastAsia="仿宋_GB2312"/>
          <w:kern w:val="0"/>
          <w:sz w:val="32"/>
          <w:szCs w:val="32"/>
        </w:rPr>
        <w:t>2021</w:t>
      </w:r>
      <w:r>
        <w:rPr>
          <w:rFonts w:hint="eastAsia" w:ascii="仿宋_GB2312" w:eastAsia="仿宋_GB2312"/>
          <w:kern w:val="0"/>
          <w:sz w:val="32"/>
          <w:szCs w:val="32"/>
        </w:rPr>
        <w:t>年</w:t>
      </w:r>
      <w:r>
        <w:rPr>
          <w:rFonts w:ascii="仿宋_GB2312" w:eastAsia="仿宋_GB2312"/>
          <w:kern w:val="0"/>
          <w:sz w:val="32"/>
          <w:szCs w:val="32"/>
        </w:rPr>
        <w:t>10</w:t>
      </w:r>
      <w:r>
        <w:rPr>
          <w:rFonts w:hint="eastAsia" w:ascii="仿宋_GB2312" w:eastAsia="仿宋_GB2312"/>
          <w:kern w:val="0"/>
          <w:sz w:val="32"/>
          <w:szCs w:val="32"/>
          <w:lang w:eastAsia="zh-CN"/>
        </w:rPr>
        <w:t>—</w:t>
      </w:r>
      <w:r>
        <w:rPr>
          <w:rFonts w:ascii="仿宋_GB2312" w:eastAsia="仿宋_GB2312"/>
          <w:kern w:val="0"/>
          <w:sz w:val="32"/>
          <w:szCs w:val="32"/>
        </w:rPr>
        <w:t>12</w:t>
      </w:r>
      <w:r>
        <w:rPr>
          <w:rFonts w:hint="eastAsia" w:ascii="仿宋_GB2312" w:eastAsia="仿宋_GB2312"/>
          <w:kern w:val="0"/>
          <w:sz w:val="32"/>
          <w:szCs w:val="32"/>
        </w:rPr>
        <w:t>月已完成</w:t>
      </w:r>
      <w:r>
        <w:rPr>
          <w:rFonts w:ascii="仿宋_GB2312" w:eastAsia="仿宋_GB2312"/>
          <w:kern w:val="0"/>
          <w:sz w:val="32"/>
          <w:szCs w:val="32"/>
        </w:rPr>
        <w:t>100%</w:t>
      </w:r>
      <w:r>
        <w:rPr>
          <w:rFonts w:hint="eastAsia" w:ascii="仿宋_GB2312" w:eastAsia="仿宋_GB2312"/>
          <w:kern w:val="0"/>
          <w:sz w:val="32"/>
          <w:szCs w:val="32"/>
        </w:rPr>
        <w:t>。</w:t>
      </w:r>
    </w:p>
    <w:p w14:paraId="1309D8AA">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项目完成成本：项目资金</w:t>
      </w:r>
      <w:r>
        <w:rPr>
          <w:rFonts w:ascii="仿宋_GB2312" w:eastAsia="仿宋_GB2312"/>
          <w:kern w:val="0"/>
          <w:sz w:val="32"/>
          <w:szCs w:val="32"/>
        </w:rPr>
        <w:t>15</w:t>
      </w:r>
      <w:r>
        <w:rPr>
          <w:rFonts w:hint="eastAsia" w:ascii="仿宋_GB2312" w:eastAsia="仿宋_GB2312"/>
          <w:kern w:val="0"/>
          <w:sz w:val="32"/>
          <w:szCs w:val="32"/>
        </w:rPr>
        <w:t>万元，完成</w:t>
      </w:r>
      <w:r>
        <w:rPr>
          <w:rFonts w:ascii="仿宋_GB2312" w:eastAsia="仿宋_GB2312"/>
          <w:kern w:val="0"/>
          <w:sz w:val="32"/>
          <w:szCs w:val="32"/>
        </w:rPr>
        <w:t>100%</w:t>
      </w:r>
      <w:r>
        <w:rPr>
          <w:rFonts w:hint="eastAsia" w:eastAsia="仿宋_GB2312"/>
          <w:kern w:val="0"/>
          <w:sz w:val="32"/>
          <w:szCs w:val="32"/>
        </w:rPr>
        <w:t>。</w:t>
      </w:r>
    </w:p>
    <w:p w14:paraId="51734E0E">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3BFA6C42">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我单位对项目实施和整体社会效益及满意度等各项指标调查，效益明显，达到了预期效果。</w:t>
      </w:r>
    </w:p>
    <w:p w14:paraId="27DF1D21">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项目社会效益：为全县高质量发展提供强有力舆论支持和精神动力，提升新闻舆论传播力、引导力，更好“服务群众”。</w:t>
      </w:r>
    </w:p>
    <w:p w14:paraId="1E93B2BD">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可持续效益：为推动盐边县高质量发展营造良好的舆论氛围，盐边的对外形象、对外影响力得到大幅提升。</w:t>
      </w:r>
    </w:p>
    <w:p w14:paraId="5FCF3CC9">
      <w:pPr>
        <w:autoSpaceDE w:val="0"/>
        <w:autoSpaceDN w:val="0"/>
        <w:adjustRightInd w:val="0"/>
        <w:spacing w:line="580" w:lineRule="exact"/>
        <w:ind w:firstLine="640" w:firstLineChars="200"/>
        <w:jc w:val="left"/>
        <w:rPr>
          <w:rFonts w:eastAsia="仿宋_GB2312"/>
          <w:kern w:val="0"/>
          <w:sz w:val="32"/>
          <w:szCs w:val="32"/>
        </w:rPr>
      </w:pPr>
      <w:r>
        <w:rPr>
          <w:rFonts w:hint="eastAsia" w:eastAsia="仿宋_GB2312"/>
          <w:kern w:val="0"/>
          <w:sz w:val="32"/>
          <w:szCs w:val="32"/>
        </w:rPr>
        <w:t>服务对象满意度：群众对项目实施的满意度达</w:t>
      </w:r>
      <w:r>
        <w:rPr>
          <w:rFonts w:hint="eastAsia" w:ascii="仿宋_GB2312" w:eastAsia="仿宋_GB2312"/>
          <w:kern w:val="0"/>
          <w:sz w:val="32"/>
          <w:szCs w:val="32"/>
        </w:rPr>
        <w:t>到</w:t>
      </w:r>
      <w:r>
        <w:rPr>
          <w:rFonts w:ascii="仿宋_GB2312" w:eastAsia="仿宋_GB2312"/>
          <w:kern w:val="0"/>
          <w:sz w:val="32"/>
          <w:szCs w:val="32"/>
        </w:rPr>
        <w:t>90%</w:t>
      </w:r>
      <w:r>
        <w:rPr>
          <w:rFonts w:hint="eastAsia" w:eastAsia="仿宋_GB2312"/>
          <w:kern w:val="0"/>
          <w:sz w:val="32"/>
          <w:szCs w:val="32"/>
        </w:rPr>
        <w:t>以上。</w:t>
      </w:r>
    </w:p>
    <w:p w14:paraId="0971F2F5">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五、评价结论及建议</w:t>
      </w:r>
    </w:p>
    <w:p w14:paraId="09F820FA">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531E5BF8">
      <w:pPr>
        <w:autoSpaceDE w:val="0"/>
        <w:autoSpaceDN w:val="0"/>
        <w:adjustRightInd w:val="0"/>
        <w:spacing w:line="580" w:lineRule="exact"/>
        <w:ind w:firstLine="640" w:firstLineChars="200"/>
        <w:jc w:val="left"/>
        <w:rPr>
          <w:rFonts w:ascii="仿宋_GB2312" w:eastAsia="仿宋_GB2312"/>
          <w:kern w:val="0"/>
          <w:sz w:val="32"/>
          <w:szCs w:val="32"/>
        </w:rPr>
      </w:pPr>
      <w:r>
        <w:rPr>
          <w:rFonts w:hint="eastAsia" w:ascii="仿宋_GB2312" w:hAnsi="宋体" w:eastAsia="仿宋_GB2312" w:cs="仿宋_GB2312"/>
          <w:sz w:val="32"/>
          <w:szCs w:val="32"/>
        </w:rPr>
        <w:t>通过对项目指标和指标值综合评估，项目决策在总的方面立项充分，有立项程序；经费测算符合相关要求和定额标准，与设定的绩效目标相符合；资金用途和开支范围明确；能按期达到项目计划能力，设备使用率</w:t>
      </w:r>
      <w:r>
        <w:rPr>
          <w:rFonts w:ascii="仿宋_GB2312" w:hAnsi="宋体" w:eastAsia="仿宋_GB2312" w:cs="仿宋_GB2312"/>
          <w:sz w:val="32"/>
          <w:szCs w:val="32"/>
        </w:rPr>
        <w:t>100%</w:t>
      </w:r>
      <w:r>
        <w:rPr>
          <w:rFonts w:hint="eastAsia" w:ascii="仿宋_GB2312" w:hAnsi="宋体" w:eastAsia="仿宋_GB2312" w:cs="仿宋_GB2312"/>
          <w:sz w:val="32"/>
          <w:szCs w:val="32"/>
        </w:rPr>
        <w:t>，设备的使用运行状况好，对设备的后续管理进行精密维护；受益对象满意度达</w:t>
      </w:r>
      <w:r>
        <w:rPr>
          <w:rFonts w:ascii="仿宋_GB2312" w:hAnsi="宋体" w:eastAsia="仿宋_GB2312" w:cs="仿宋_GB2312"/>
          <w:sz w:val="32"/>
          <w:szCs w:val="32"/>
        </w:rPr>
        <w:t>90%</w:t>
      </w:r>
      <w:r>
        <w:rPr>
          <w:rFonts w:hint="eastAsia" w:ascii="仿宋_GB2312" w:hAnsi="宋体" w:eastAsia="仿宋_GB2312" w:cs="仿宋_GB2312"/>
          <w:sz w:val="32"/>
          <w:szCs w:val="32"/>
        </w:rPr>
        <w:t>以上。</w:t>
      </w:r>
      <w:r>
        <w:rPr>
          <w:rFonts w:hint="eastAsia" w:ascii="仿宋_GB2312" w:eastAsia="仿宋_GB2312"/>
          <w:kern w:val="0"/>
          <w:sz w:val="32"/>
          <w:szCs w:val="32"/>
        </w:rPr>
        <w:t>在资金使用和管理方面，进一步强化资金统筹，优化资金结构，明确开支范围，细化资金用途，确保单位服务职责任务顺利完成，保证了部门的正常运转和专项项目的正常开展，达到预期绩效目标，总体较为满意，评分为</w:t>
      </w:r>
      <w:r>
        <w:rPr>
          <w:rFonts w:ascii="仿宋_GB2312" w:eastAsia="仿宋_GB2312"/>
          <w:kern w:val="0"/>
          <w:sz w:val="32"/>
          <w:szCs w:val="32"/>
        </w:rPr>
        <w:t>98</w:t>
      </w:r>
      <w:r>
        <w:rPr>
          <w:rFonts w:hint="eastAsia" w:ascii="仿宋_GB2312" w:eastAsia="仿宋_GB2312"/>
          <w:kern w:val="0"/>
          <w:sz w:val="32"/>
          <w:szCs w:val="32"/>
        </w:rPr>
        <w:t>分。</w:t>
      </w:r>
    </w:p>
    <w:p w14:paraId="67DA7835">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488AFA67">
      <w:pPr>
        <w:adjustRightInd w:val="0"/>
        <w:snapToGrid w:val="0"/>
        <w:spacing w:line="600" w:lineRule="exact"/>
        <w:ind w:firstLine="640" w:firstLineChars="200"/>
        <w:rPr>
          <w:rFonts w:eastAsia="仿宋_GB2312"/>
          <w:kern w:val="0"/>
          <w:sz w:val="32"/>
          <w:szCs w:val="32"/>
        </w:rPr>
      </w:pPr>
      <w:r>
        <w:rPr>
          <w:rFonts w:hint="eastAsia" w:ascii="仿宋_GB2312" w:hAnsi="宋体" w:eastAsia="仿宋_GB2312"/>
          <w:sz w:val="32"/>
          <w:szCs w:val="32"/>
          <w:lang w:val="zh-CN"/>
        </w:rPr>
        <w:t>结合自评情况，分析存在的问题及原因。</w:t>
      </w:r>
      <w:r>
        <w:rPr>
          <w:rFonts w:hint="eastAsia" w:eastAsia="仿宋_GB2312"/>
          <w:kern w:val="0"/>
          <w:sz w:val="32"/>
          <w:szCs w:val="32"/>
        </w:rPr>
        <w:t>一是对项目绩效管理的思想认识不深；二是对项目绩效管理的运行机制不熟悉，评价工作推进缓慢。</w:t>
      </w:r>
    </w:p>
    <w:p w14:paraId="2AF104C6">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167F9B8D">
      <w:pPr>
        <w:autoSpaceDE w:val="0"/>
        <w:autoSpaceDN w:val="0"/>
        <w:adjustRightInd w:val="0"/>
        <w:spacing w:line="580" w:lineRule="exact"/>
        <w:ind w:firstLine="640" w:firstLineChars="200"/>
        <w:jc w:val="left"/>
        <w:rPr>
          <w:rFonts w:ascii="仿宋_GB2312" w:eastAsia="仿宋_GB2312"/>
          <w:kern w:val="0"/>
          <w:sz w:val="32"/>
          <w:szCs w:val="32"/>
        </w:rPr>
      </w:pPr>
      <w:r>
        <w:rPr>
          <w:rFonts w:hint="eastAsia" w:eastAsia="楷体_GB2312"/>
          <w:kern w:val="0"/>
          <w:sz w:val="32"/>
          <w:szCs w:val="32"/>
        </w:rPr>
        <w:t>进一步健全和创新管理，改进完善财务管理方法，提高项目建设制度管理和项目资金使用的评价机制。</w:t>
      </w:r>
    </w:p>
    <w:p w14:paraId="4FCF5A09">
      <w:pPr>
        <w:pStyle w:val="2"/>
        <w:spacing w:before="93"/>
      </w:pPr>
    </w:p>
    <w:p w14:paraId="6DC722B5">
      <w:pPr>
        <w:pStyle w:val="2"/>
        <w:spacing w:before="93"/>
        <w:rPr>
          <w:lang w:val="zh-CN"/>
        </w:rPr>
      </w:pPr>
    </w:p>
    <w:p w14:paraId="00702107">
      <w:pPr>
        <w:pStyle w:val="2"/>
        <w:spacing w:before="93"/>
        <w:rPr>
          <w:lang w:val="zh-CN"/>
        </w:rPr>
      </w:pPr>
    </w:p>
    <w:p w14:paraId="4D34250B">
      <w:pPr>
        <w:pStyle w:val="2"/>
        <w:spacing w:before="93"/>
        <w:rPr>
          <w:lang w:val="zh-CN"/>
        </w:rPr>
      </w:pPr>
    </w:p>
    <w:p w14:paraId="7E4467D6">
      <w:pPr>
        <w:pStyle w:val="2"/>
        <w:spacing w:before="93"/>
        <w:rPr>
          <w:lang w:val="zh-CN"/>
        </w:rPr>
      </w:pPr>
    </w:p>
    <w:p w14:paraId="65E1562F">
      <w:pPr>
        <w:pStyle w:val="2"/>
        <w:spacing w:before="93"/>
        <w:rPr>
          <w:lang w:val="zh-CN"/>
        </w:rPr>
      </w:pPr>
    </w:p>
    <w:p w14:paraId="7C779566">
      <w:pPr>
        <w:pStyle w:val="2"/>
        <w:spacing w:before="93"/>
        <w:rPr>
          <w:lang w:val="zh-CN"/>
        </w:rPr>
      </w:pPr>
    </w:p>
    <w:p w14:paraId="18C1FDC5">
      <w:pPr>
        <w:pStyle w:val="2"/>
        <w:spacing w:before="93"/>
        <w:rPr>
          <w:lang w:val="zh-CN"/>
        </w:rPr>
      </w:pPr>
    </w:p>
    <w:p w14:paraId="012C777B">
      <w:pPr>
        <w:pStyle w:val="2"/>
        <w:spacing w:before="93"/>
        <w:rPr>
          <w:lang w:val="zh-CN"/>
        </w:rPr>
      </w:pPr>
    </w:p>
    <w:p w14:paraId="7B1B6924">
      <w:pPr>
        <w:pStyle w:val="2"/>
        <w:spacing w:before="93"/>
        <w:rPr>
          <w:lang w:val="zh-CN"/>
        </w:rPr>
      </w:pPr>
    </w:p>
    <w:p w14:paraId="397E019D">
      <w:pPr>
        <w:pStyle w:val="2"/>
        <w:spacing w:before="93"/>
        <w:rPr>
          <w:lang w:val="zh-CN"/>
        </w:rPr>
      </w:pPr>
    </w:p>
    <w:p w14:paraId="72B60E35">
      <w:pPr>
        <w:pStyle w:val="2"/>
        <w:spacing w:before="93"/>
        <w:rPr>
          <w:lang w:val="zh-CN"/>
        </w:rPr>
      </w:pPr>
    </w:p>
    <w:p w14:paraId="5B91B84D">
      <w:pPr>
        <w:pStyle w:val="2"/>
        <w:spacing w:before="93"/>
        <w:rPr>
          <w:lang w:val="zh-CN"/>
        </w:rPr>
      </w:pPr>
    </w:p>
    <w:p w14:paraId="4532AF48">
      <w:pPr>
        <w:pStyle w:val="2"/>
        <w:spacing w:before="93"/>
        <w:rPr>
          <w:lang w:val="zh-CN"/>
        </w:rPr>
      </w:pPr>
    </w:p>
    <w:p w14:paraId="32A65B6D">
      <w:pPr>
        <w:pStyle w:val="2"/>
        <w:spacing w:before="93"/>
        <w:rPr>
          <w:lang w:val="zh-CN"/>
        </w:rPr>
      </w:pPr>
    </w:p>
    <w:p w14:paraId="3DC77BC3">
      <w:pPr>
        <w:pStyle w:val="2"/>
        <w:spacing w:before="93"/>
        <w:rPr>
          <w:lang w:val="zh-CN"/>
        </w:rPr>
      </w:pPr>
    </w:p>
    <w:p w14:paraId="3F186E28">
      <w:pPr>
        <w:pStyle w:val="2"/>
        <w:spacing w:before="93"/>
        <w:rPr>
          <w:lang w:val="zh-CN"/>
        </w:rPr>
      </w:pPr>
    </w:p>
    <w:p w14:paraId="784FD287">
      <w:pPr>
        <w:pStyle w:val="2"/>
        <w:spacing w:before="93"/>
        <w:rPr>
          <w:lang w:val="zh-CN"/>
        </w:rPr>
      </w:pPr>
    </w:p>
    <w:p w14:paraId="7D254465">
      <w:pPr>
        <w:pStyle w:val="2"/>
        <w:spacing w:before="93"/>
        <w:rPr>
          <w:lang w:val="zh-CN"/>
        </w:rPr>
      </w:pPr>
    </w:p>
    <w:p w14:paraId="748CA877">
      <w:pPr>
        <w:pStyle w:val="2"/>
        <w:spacing w:before="93"/>
        <w:rPr>
          <w:lang w:val="zh-CN"/>
        </w:rPr>
      </w:pPr>
    </w:p>
    <w:p w14:paraId="40240B4B">
      <w:pPr>
        <w:pStyle w:val="2"/>
        <w:spacing w:before="93"/>
        <w:rPr>
          <w:lang w:val="zh-CN"/>
        </w:rPr>
      </w:pPr>
    </w:p>
    <w:p w14:paraId="21B52347">
      <w:pPr>
        <w:pStyle w:val="2"/>
        <w:spacing w:before="93"/>
        <w:rPr>
          <w:lang w:val="zh-CN"/>
        </w:rPr>
      </w:pPr>
    </w:p>
    <w:tbl>
      <w:tblPr>
        <w:tblStyle w:val="14"/>
        <w:tblpPr w:leftFromText="180" w:rightFromText="180" w:vertAnchor="text" w:horzAnchor="page" w:tblpX="1281" w:tblpY="660"/>
        <w:tblOverlap w:val="never"/>
        <w:tblW w:w="9811" w:type="dxa"/>
        <w:tblInd w:w="0" w:type="dxa"/>
        <w:tblLayout w:type="fixed"/>
        <w:tblCellMar>
          <w:top w:w="0" w:type="dxa"/>
          <w:left w:w="108" w:type="dxa"/>
          <w:bottom w:w="0" w:type="dxa"/>
          <w:right w:w="108" w:type="dxa"/>
        </w:tblCellMar>
      </w:tblPr>
      <w:tblGrid>
        <w:gridCol w:w="1976"/>
        <w:gridCol w:w="1142"/>
        <w:gridCol w:w="1635"/>
        <w:gridCol w:w="1189"/>
        <w:gridCol w:w="1224"/>
        <w:gridCol w:w="2409"/>
        <w:gridCol w:w="236"/>
      </w:tblGrid>
      <w:tr w14:paraId="56278806">
        <w:tblPrEx>
          <w:tblCellMar>
            <w:top w:w="0" w:type="dxa"/>
            <w:left w:w="108" w:type="dxa"/>
            <w:bottom w:w="0" w:type="dxa"/>
            <w:right w:w="108" w:type="dxa"/>
          </w:tblCellMar>
        </w:tblPrEx>
        <w:trPr>
          <w:trHeight w:val="675" w:hRule="atLeast"/>
        </w:trPr>
        <w:tc>
          <w:tcPr>
            <w:tcW w:w="9577" w:type="dxa"/>
            <w:gridSpan w:val="6"/>
            <w:tcBorders>
              <w:top w:val="nil"/>
              <w:left w:val="nil"/>
              <w:bottom w:val="nil"/>
              <w:right w:val="nil"/>
            </w:tcBorders>
            <w:vAlign w:val="center"/>
          </w:tcPr>
          <w:p w14:paraId="227235A8">
            <w:pPr>
              <w:widowControl/>
              <w:textAlignment w:val="center"/>
              <w:rPr>
                <w:rFonts w:ascii="宋体" w:cs="宋体"/>
                <w:b/>
                <w:sz w:val="32"/>
                <w:szCs w:val="32"/>
              </w:rPr>
            </w:pPr>
            <w:r>
              <w:rPr>
                <w:rFonts w:ascii="宋体" w:hAnsi="宋体" w:cs="宋体"/>
                <w:b/>
                <w:sz w:val="32"/>
                <w:szCs w:val="32"/>
              </w:rPr>
              <w:t>2021</w:t>
            </w:r>
            <w:r>
              <w:rPr>
                <w:rFonts w:hint="eastAsia" w:ascii="宋体" w:hAnsi="宋体" w:cs="宋体"/>
                <w:b/>
                <w:sz w:val="32"/>
                <w:szCs w:val="32"/>
              </w:rPr>
              <w:t>年</w:t>
            </w:r>
            <w:r>
              <w:rPr>
                <w:rFonts w:ascii="宋体" w:hAnsi="宋体" w:cs="宋体"/>
                <w:b/>
                <w:sz w:val="32"/>
                <w:szCs w:val="32"/>
              </w:rPr>
              <w:t>100</w:t>
            </w:r>
            <w:r>
              <w:rPr>
                <w:rFonts w:hint="eastAsia" w:ascii="宋体" w:hAnsi="宋体" w:cs="宋体"/>
                <w:b/>
                <w:sz w:val="32"/>
                <w:szCs w:val="32"/>
              </w:rPr>
              <w:t>万元以上（含）特定目标类部门预算项目绩效目标自评</w:t>
            </w:r>
          </w:p>
        </w:tc>
        <w:tc>
          <w:tcPr>
            <w:tcW w:w="234" w:type="dxa"/>
            <w:tcBorders>
              <w:top w:val="nil"/>
              <w:left w:val="nil"/>
              <w:bottom w:val="nil"/>
              <w:right w:val="nil"/>
            </w:tcBorders>
            <w:vAlign w:val="center"/>
          </w:tcPr>
          <w:p w14:paraId="266C3455">
            <w:pPr>
              <w:widowControl/>
              <w:jc w:val="center"/>
              <w:textAlignment w:val="center"/>
              <w:rPr>
                <w:rFonts w:ascii="宋体" w:cs="宋体"/>
                <w:b/>
                <w:kern w:val="0"/>
                <w:sz w:val="32"/>
                <w:szCs w:val="32"/>
              </w:rPr>
            </w:pPr>
          </w:p>
        </w:tc>
      </w:tr>
      <w:tr w14:paraId="3EA065DD">
        <w:tblPrEx>
          <w:tblCellMar>
            <w:top w:w="0" w:type="dxa"/>
            <w:left w:w="108" w:type="dxa"/>
            <w:bottom w:w="0" w:type="dxa"/>
            <w:right w:w="108" w:type="dxa"/>
          </w:tblCellMar>
        </w:tblPrEx>
        <w:trPr>
          <w:gridAfter w:val="1"/>
          <w:wAfter w:w="234" w:type="dxa"/>
          <w:trHeight w:val="592" w:hRule="atLeast"/>
        </w:trPr>
        <w:tc>
          <w:tcPr>
            <w:tcW w:w="3119" w:type="dxa"/>
            <w:gridSpan w:val="2"/>
            <w:tcBorders>
              <w:top w:val="single" w:color="000000" w:sz="4" w:space="0"/>
              <w:left w:val="single" w:color="000000" w:sz="4" w:space="0"/>
              <w:bottom w:val="single" w:color="000000" w:sz="4" w:space="0"/>
              <w:right w:val="single" w:color="000000" w:sz="4" w:space="0"/>
            </w:tcBorders>
            <w:vAlign w:val="center"/>
          </w:tcPr>
          <w:p w14:paraId="05BB3B40">
            <w:pPr>
              <w:widowControl/>
              <w:spacing w:line="320" w:lineRule="exact"/>
              <w:jc w:val="center"/>
              <w:textAlignment w:val="center"/>
              <w:rPr>
                <w:rFonts w:ascii="宋体" w:cs="宋体"/>
                <w:sz w:val="24"/>
              </w:rPr>
            </w:pPr>
            <w:r>
              <w:rPr>
                <w:rFonts w:hint="eastAsia" w:ascii="宋体" w:hAnsi="宋体" w:cs="宋体"/>
                <w:kern w:val="0"/>
                <w:sz w:val="24"/>
              </w:rPr>
              <w:t>主管部门及代码</w:t>
            </w:r>
          </w:p>
        </w:tc>
        <w:tc>
          <w:tcPr>
            <w:tcW w:w="2824" w:type="dxa"/>
            <w:gridSpan w:val="2"/>
            <w:tcBorders>
              <w:top w:val="single" w:color="000000" w:sz="4" w:space="0"/>
              <w:left w:val="single" w:color="000000" w:sz="4" w:space="0"/>
              <w:bottom w:val="single" w:color="000000" w:sz="4" w:space="0"/>
              <w:right w:val="single" w:color="000000" w:sz="4" w:space="0"/>
            </w:tcBorders>
            <w:vAlign w:val="center"/>
          </w:tcPr>
          <w:p w14:paraId="166DCC65">
            <w:pPr>
              <w:widowControl/>
              <w:spacing w:line="320" w:lineRule="exact"/>
              <w:textAlignment w:val="center"/>
              <w:rPr>
                <w:rFonts w:ascii="宋体" w:cs="宋体"/>
                <w:sz w:val="24"/>
              </w:rPr>
            </w:pPr>
          </w:p>
        </w:tc>
        <w:tc>
          <w:tcPr>
            <w:tcW w:w="1224" w:type="dxa"/>
            <w:tcBorders>
              <w:top w:val="single" w:color="000000" w:sz="4" w:space="0"/>
              <w:left w:val="single" w:color="000000" w:sz="4" w:space="0"/>
              <w:bottom w:val="single" w:color="000000" w:sz="4" w:space="0"/>
              <w:right w:val="single" w:color="000000" w:sz="4" w:space="0"/>
            </w:tcBorders>
            <w:vAlign w:val="center"/>
          </w:tcPr>
          <w:p w14:paraId="099ADE0D">
            <w:pPr>
              <w:widowControl/>
              <w:spacing w:line="320" w:lineRule="exact"/>
              <w:jc w:val="center"/>
              <w:textAlignment w:val="center"/>
              <w:rPr>
                <w:rFonts w:ascii="宋体" w:cs="宋体"/>
                <w:sz w:val="24"/>
              </w:rPr>
            </w:pPr>
            <w:r>
              <w:rPr>
                <w:rFonts w:hint="eastAsia" w:ascii="宋体" w:hAnsi="宋体" w:cs="宋体"/>
                <w:kern w:val="0"/>
                <w:sz w:val="24"/>
              </w:rPr>
              <w:t>实施单位</w:t>
            </w:r>
          </w:p>
        </w:tc>
        <w:tc>
          <w:tcPr>
            <w:tcW w:w="2410" w:type="dxa"/>
            <w:tcBorders>
              <w:top w:val="single" w:color="000000" w:sz="4" w:space="0"/>
              <w:left w:val="single" w:color="000000" w:sz="4" w:space="0"/>
              <w:bottom w:val="single" w:color="000000" w:sz="4" w:space="0"/>
              <w:right w:val="single" w:color="000000" w:sz="4" w:space="0"/>
            </w:tcBorders>
            <w:vAlign w:val="center"/>
          </w:tcPr>
          <w:p w14:paraId="348076B3">
            <w:pPr>
              <w:widowControl/>
              <w:spacing w:line="320" w:lineRule="exact"/>
              <w:jc w:val="center"/>
              <w:textAlignment w:val="center"/>
              <w:rPr>
                <w:rFonts w:ascii="宋体" w:cs="宋体"/>
                <w:sz w:val="24"/>
              </w:rPr>
            </w:pPr>
          </w:p>
        </w:tc>
      </w:tr>
      <w:tr w14:paraId="3636490B">
        <w:tblPrEx>
          <w:tblCellMar>
            <w:top w:w="0" w:type="dxa"/>
            <w:left w:w="108" w:type="dxa"/>
            <w:bottom w:w="0" w:type="dxa"/>
            <w:right w:w="108" w:type="dxa"/>
          </w:tblCellMar>
        </w:tblPrEx>
        <w:trPr>
          <w:gridAfter w:val="1"/>
          <w:wAfter w:w="234" w:type="dxa"/>
          <w:trHeight w:val="541" w:hRule="atLeast"/>
        </w:trPr>
        <w:tc>
          <w:tcPr>
            <w:tcW w:w="311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B42E380">
            <w:pPr>
              <w:widowControl/>
              <w:spacing w:line="320" w:lineRule="exact"/>
              <w:jc w:val="center"/>
              <w:textAlignment w:val="center"/>
              <w:rPr>
                <w:rFonts w:ascii="宋体" w:cs="宋体"/>
                <w:sz w:val="24"/>
              </w:rPr>
            </w:pPr>
            <w:r>
              <w:rPr>
                <w:rFonts w:hint="eastAsia" w:ascii="宋体" w:hAnsi="宋体" w:cs="宋体"/>
                <w:kern w:val="0"/>
                <w:sz w:val="24"/>
              </w:rPr>
              <w:t>项目预算</w:t>
            </w:r>
            <w:r>
              <w:rPr>
                <w:rFonts w:ascii="宋体" w:cs="宋体"/>
                <w:kern w:val="0"/>
                <w:sz w:val="24"/>
              </w:rPr>
              <w:br w:type="textWrapping"/>
            </w:r>
            <w:r>
              <w:rPr>
                <w:rFonts w:hint="eastAsia" w:ascii="宋体" w:hAnsi="宋体" w:cs="宋体"/>
                <w:kern w:val="0"/>
                <w:sz w:val="24"/>
              </w:rPr>
              <w:t>执行情况</w:t>
            </w:r>
            <w:r>
              <w:rPr>
                <w:rFonts w:ascii="宋体" w:cs="宋体"/>
                <w:kern w:val="0"/>
                <w:sz w:val="24"/>
              </w:rPr>
              <w:br w:type="textWrapping"/>
            </w:r>
            <w:r>
              <w:rPr>
                <w:rFonts w:hint="eastAsia" w:ascii="宋体" w:hAnsi="宋体" w:cs="宋体"/>
                <w:kern w:val="0"/>
                <w:sz w:val="24"/>
              </w:rPr>
              <w:t>（万元）</w:t>
            </w:r>
          </w:p>
        </w:tc>
        <w:tc>
          <w:tcPr>
            <w:tcW w:w="1635" w:type="dxa"/>
            <w:tcBorders>
              <w:top w:val="single" w:color="000000" w:sz="4" w:space="0"/>
              <w:left w:val="single" w:color="000000" w:sz="4" w:space="0"/>
              <w:bottom w:val="single" w:color="000000" w:sz="4" w:space="0"/>
              <w:right w:val="single" w:color="000000" w:sz="4" w:space="0"/>
            </w:tcBorders>
            <w:vAlign w:val="center"/>
          </w:tcPr>
          <w:p w14:paraId="3C97C9CD">
            <w:pPr>
              <w:widowControl/>
              <w:spacing w:line="320" w:lineRule="exact"/>
              <w:jc w:val="left"/>
              <w:textAlignment w:val="center"/>
              <w:rPr>
                <w:rFonts w:ascii="宋体" w:cs="宋体"/>
                <w:sz w:val="24"/>
              </w:rPr>
            </w:pPr>
            <w:r>
              <w:rPr>
                <w:rFonts w:ascii="宋体" w:hAnsi="宋体" w:cs="宋体"/>
                <w:kern w:val="0"/>
                <w:sz w:val="24"/>
              </w:rPr>
              <w:t xml:space="preserve"> </w:t>
            </w:r>
            <w:r>
              <w:rPr>
                <w:rFonts w:hint="eastAsia" w:ascii="宋体" w:hAnsi="宋体" w:cs="宋体"/>
                <w:kern w:val="0"/>
                <w:sz w:val="24"/>
              </w:rPr>
              <w:t>预算数：</w:t>
            </w:r>
          </w:p>
        </w:tc>
        <w:tc>
          <w:tcPr>
            <w:tcW w:w="1189" w:type="dxa"/>
            <w:tcBorders>
              <w:top w:val="single" w:color="000000" w:sz="4" w:space="0"/>
              <w:left w:val="single" w:color="000000" w:sz="4" w:space="0"/>
              <w:bottom w:val="single" w:color="000000" w:sz="4" w:space="0"/>
              <w:right w:val="single" w:color="000000" w:sz="4" w:space="0"/>
            </w:tcBorders>
            <w:vAlign w:val="center"/>
          </w:tcPr>
          <w:p w14:paraId="0E5833E2">
            <w:pPr>
              <w:widowControl/>
              <w:spacing w:line="320" w:lineRule="exact"/>
              <w:jc w:val="left"/>
              <w:textAlignment w:val="center"/>
              <w:rPr>
                <w:rFonts w:ascii="宋体" w:cs="宋体"/>
                <w:sz w:val="24"/>
              </w:rPr>
            </w:pPr>
          </w:p>
        </w:tc>
        <w:tc>
          <w:tcPr>
            <w:tcW w:w="1224" w:type="dxa"/>
            <w:tcBorders>
              <w:top w:val="single" w:color="000000" w:sz="4" w:space="0"/>
              <w:left w:val="single" w:color="000000" w:sz="4" w:space="0"/>
              <w:bottom w:val="single" w:color="000000" w:sz="4" w:space="0"/>
              <w:right w:val="single" w:color="000000" w:sz="4" w:space="0"/>
            </w:tcBorders>
            <w:vAlign w:val="center"/>
          </w:tcPr>
          <w:p w14:paraId="73A6FCA9">
            <w:pPr>
              <w:widowControl/>
              <w:spacing w:line="320" w:lineRule="exact"/>
              <w:jc w:val="left"/>
              <w:textAlignment w:val="center"/>
              <w:rPr>
                <w:rFonts w:ascii="宋体" w:cs="宋体"/>
                <w:sz w:val="24"/>
              </w:rPr>
            </w:pPr>
            <w:r>
              <w:rPr>
                <w:rFonts w:ascii="宋体" w:hAnsi="宋体" w:cs="宋体"/>
                <w:kern w:val="0"/>
                <w:sz w:val="24"/>
              </w:rPr>
              <w:t xml:space="preserve"> </w:t>
            </w:r>
            <w:r>
              <w:rPr>
                <w:rFonts w:hint="eastAsia" w:ascii="宋体" w:hAnsi="宋体" w:cs="宋体"/>
                <w:kern w:val="0"/>
                <w:sz w:val="24"/>
              </w:rPr>
              <w:t>执行数：</w:t>
            </w:r>
          </w:p>
        </w:tc>
        <w:tc>
          <w:tcPr>
            <w:tcW w:w="2410" w:type="dxa"/>
            <w:tcBorders>
              <w:top w:val="single" w:color="000000" w:sz="4" w:space="0"/>
              <w:left w:val="single" w:color="000000" w:sz="4" w:space="0"/>
              <w:bottom w:val="single" w:color="000000" w:sz="4" w:space="0"/>
              <w:right w:val="single" w:color="000000" w:sz="4" w:space="0"/>
            </w:tcBorders>
            <w:vAlign w:val="center"/>
          </w:tcPr>
          <w:p w14:paraId="523FC670">
            <w:pPr>
              <w:widowControl/>
              <w:spacing w:line="320" w:lineRule="exact"/>
              <w:jc w:val="right"/>
              <w:textAlignment w:val="center"/>
              <w:rPr>
                <w:rFonts w:ascii="宋体" w:cs="宋体"/>
                <w:sz w:val="24"/>
              </w:rPr>
            </w:pPr>
          </w:p>
        </w:tc>
      </w:tr>
      <w:tr w14:paraId="4C80E7A1">
        <w:tblPrEx>
          <w:tblCellMar>
            <w:top w:w="0" w:type="dxa"/>
            <w:left w:w="108" w:type="dxa"/>
            <w:bottom w:w="0" w:type="dxa"/>
            <w:right w:w="108" w:type="dxa"/>
          </w:tblCellMar>
        </w:tblPrEx>
        <w:trPr>
          <w:gridAfter w:val="1"/>
          <w:wAfter w:w="234" w:type="dxa"/>
          <w:trHeight w:val="772" w:hRule="atLeast"/>
        </w:trPr>
        <w:tc>
          <w:tcPr>
            <w:tcW w:w="31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28B17FA">
            <w:pPr>
              <w:spacing w:line="320" w:lineRule="exact"/>
              <w:jc w:val="center"/>
              <w:rPr>
                <w:rFonts w:ascii="宋体" w:cs="宋体"/>
                <w:sz w:val="24"/>
              </w:rPr>
            </w:pPr>
          </w:p>
        </w:tc>
        <w:tc>
          <w:tcPr>
            <w:tcW w:w="1635" w:type="dxa"/>
            <w:tcBorders>
              <w:top w:val="single" w:color="000000" w:sz="4" w:space="0"/>
              <w:left w:val="single" w:color="000000" w:sz="4" w:space="0"/>
              <w:bottom w:val="single" w:color="000000" w:sz="4" w:space="0"/>
              <w:right w:val="single" w:color="000000" w:sz="4" w:space="0"/>
            </w:tcBorders>
            <w:vAlign w:val="center"/>
          </w:tcPr>
          <w:p w14:paraId="42290D83">
            <w:pPr>
              <w:widowControl/>
              <w:spacing w:line="320" w:lineRule="exact"/>
              <w:jc w:val="left"/>
              <w:textAlignment w:val="center"/>
              <w:rPr>
                <w:rFonts w:ascii="宋体" w:cs="宋体"/>
                <w:kern w:val="0"/>
                <w:sz w:val="24"/>
              </w:rPr>
            </w:pPr>
            <w:r>
              <w:rPr>
                <w:rFonts w:hint="eastAsia" w:ascii="宋体" w:hAnsi="宋体" w:cs="宋体"/>
                <w:kern w:val="0"/>
                <w:sz w:val="24"/>
              </w:rPr>
              <w:t>其中：</w:t>
            </w:r>
          </w:p>
          <w:p w14:paraId="0C1FA12C">
            <w:pPr>
              <w:widowControl/>
              <w:spacing w:line="320" w:lineRule="exact"/>
              <w:jc w:val="left"/>
              <w:textAlignment w:val="center"/>
              <w:rPr>
                <w:rFonts w:ascii="宋体" w:cs="宋体"/>
                <w:sz w:val="24"/>
              </w:rPr>
            </w:pPr>
            <w:r>
              <w:rPr>
                <w:rFonts w:hint="eastAsia" w:ascii="宋体" w:hAnsi="宋体" w:cs="宋体"/>
                <w:kern w:val="0"/>
                <w:sz w:val="24"/>
              </w:rPr>
              <w:t>财政拨款</w:t>
            </w:r>
          </w:p>
        </w:tc>
        <w:tc>
          <w:tcPr>
            <w:tcW w:w="1189" w:type="dxa"/>
            <w:tcBorders>
              <w:top w:val="single" w:color="000000" w:sz="4" w:space="0"/>
              <w:left w:val="single" w:color="000000" w:sz="4" w:space="0"/>
              <w:bottom w:val="single" w:color="000000" w:sz="4" w:space="0"/>
              <w:right w:val="single" w:color="000000" w:sz="4" w:space="0"/>
            </w:tcBorders>
            <w:vAlign w:val="center"/>
          </w:tcPr>
          <w:p w14:paraId="35578D93">
            <w:pPr>
              <w:widowControl/>
              <w:spacing w:line="320" w:lineRule="exact"/>
              <w:jc w:val="left"/>
              <w:textAlignment w:val="center"/>
              <w:rPr>
                <w:rFonts w:ascii="宋体" w:cs="宋体"/>
                <w:sz w:val="24"/>
              </w:rPr>
            </w:pPr>
          </w:p>
        </w:tc>
        <w:tc>
          <w:tcPr>
            <w:tcW w:w="1224" w:type="dxa"/>
            <w:tcBorders>
              <w:top w:val="single" w:color="000000" w:sz="4" w:space="0"/>
              <w:left w:val="single" w:color="000000" w:sz="4" w:space="0"/>
              <w:bottom w:val="single" w:color="000000" w:sz="4" w:space="0"/>
              <w:right w:val="single" w:color="000000" w:sz="4" w:space="0"/>
            </w:tcBorders>
            <w:vAlign w:val="center"/>
          </w:tcPr>
          <w:p w14:paraId="05CDAEDE">
            <w:pPr>
              <w:widowControl/>
              <w:spacing w:line="320" w:lineRule="exact"/>
              <w:jc w:val="left"/>
              <w:textAlignment w:val="center"/>
              <w:rPr>
                <w:rFonts w:ascii="宋体" w:cs="宋体"/>
                <w:kern w:val="0"/>
                <w:sz w:val="24"/>
              </w:rPr>
            </w:pPr>
            <w:r>
              <w:rPr>
                <w:rFonts w:hint="eastAsia" w:ascii="宋体" w:hAnsi="宋体" w:cs="宋体"/>
                <w:kern w:val="0"/>
                <w:sz w:val="24"/>
              </w:rPr>
              <w:t>其中：</w:t>
            </w:r>
          </w:p>
          <w:p w14:paraId="5B534C17">
            <w:pPr>
              <w:widowControl/>
              <w:spacing w:line="320" w:lineRule="exact"/>
              <w:jc w:val="left"/>
              <w:textAlignment w:val="center"/>
              <w:rPr>
                <w:rFonts w:ascii="宋体" w:cs="宋体"/>
                <w:sz w:val="24"/>
              </w:rPr>
            </w:pPr>
            <w:r>
              <w:rPr>
                <w:rFonts w:hint="eastAsia" w:ascii="宋体" w:hAnsi="宋体" w:cs="宋体"/>
                <w:kern w:val="0"/>
                <w:sz w:val="24"/>
              </w:rPr>
              <w:t>财政拨款</w:t>
            </w:r>
          </w:p>
        </w:tc>
        <w:tc>
          <w:tcPr>
            <w:tcW w:w="2410" w:type="dxa"/>
            <w:tcBorders>
              <w:top w:val="single" w:color="000000" w:sz="4" w:space="0"/>
              <w:left w:val="single" w:color="000000" w:sz="4" w:space="0"/>
              <w:bottom w:val="single" w:color="000000" w:sz="4" w:space="0"/>
              <w:right w:val="single" w:color="000000" w:sz="4" w:space="0"/>
            </w:tcBorders>
            <w:vAlign w:val="center"/>
          </w:tcPr>
          <w:p w14:paraId="7808ECB5">
            <w:pPr>
              <w:widowControl/>
              <w:spacing w:line="320" w:lineRule="exact"/>
              <w:textAlignment w:val="center"/>
              <w:rPr>
                <w:rFonts w:ascii="宋体" w:cs="宋体"/>
                <w:sz w:val="24"/>
              </w:rPr>
            </w:pPr>
          </w:p>
        </w:tc>
      </w:tr>
      <w:tr w14:paraId="7CD3E7C5">
        <w:tblPrEx>
          <w:tblCellMar>
            <w:top w:w="0" w:type="dxa"/>
            <w:left w:w="108" w:type="dxa"/>
            <w:bottom w:w="0" w:type="dxa"/>
            <w:right w:w="108" w:type="dxa"/>
          </w:tblCellMar>
        </w:tblPrEx>
        <w:trPr>
          <w:gridAfter w:val="1"/>
          <w:wAfter w:w="234" w:type="dxa"/>
          <w:trHeight w:val="526" w:hRule="atLeast"/>
        </w:trPr>
        <w:tc>
          <w:tcPr>
            <w:tcW w:w="31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5810118">
            <w:pPr>
              <w:spacing w:line="320" w:lineRule="exact"/>
              <w:jc w:val="center"/>
              <w:rPr>
                <w:rFonts w:ascii="宋体" w:cs="宋体"/>
                <w:sz w:val="24"/>
              </w:rPr>
            </w:pPr>
          </w:p>
        </w:tc>
        <w:tc>
          <w:tcPr>
            <w:tcW w:w="1635" w:type="dxa"/>
            <w:tcBorders>
              <w:top w:val="single" w:color="000000" w:sz="4" w:space="0"/>
              <w:left w:val="single" w:color="000000" w:sz="4" w:space="0"/>
              <w:bottom w:val="single" w:color="000000" w:sz="4" w:space="0"/>
              <w:right w:val="single" w:color="000000" w:sz="4" w:space="0"/>
            </w:tcBorders>
            <w:vAlign w:val="center"/>
          </w:tcPr>
          <w:p w14:paraId="378273A3">
            <w:pPr>
              <w:widowControl/>
              <w:spacing w:line="320" w:lineRule="exact"/>
              <w:jc w:val="left"/>
              <w:textAlignment w:val="center"/>
              <w:rPr>
                <w:rFonts w:ascii="宋体" w:cs="宋体"/>
                <w:sz w:val="24"/>
              </w:rPr>
            </w:pPr>
            <w:r>
              <w:rPr>
                <w:rFonts w:hint="eastAsia" w:ascii="宋体" w:hAnsi="宋体" w:cs="宋体"/>
                <w:kern w:val="0"/>
                <w:sz w:val="24"/>
              </w:rPr>
              <w:t>其他资金</w:t>
            </w:r>
          </w:p>
        </w:tc>
        <w:tc>
          <w:tcPr>
            <w:tcW w:w="1189" w:type="dxa"/>
            <w:tcBorders>
              <w:top w:val="single" w:color="000000" w:sz="4" w:space="0"/>
              <w:left w:val="single" w:color="000000" w:sz="4" w:space="0"/>
              <w:bottom w:val="single" w:color="000000" w:sz="4" w:space="0"/>
              <w:right w:val="single" w:color="000000" w:sz="4" w:space="0"/>
            </w:tcBorders>
            <w:vAlign w:val="center"/>
          </w:tcPr>
          <w:p w14:paraId="7C7884F3">
            <w:pPr>
              <w:widowControl/>
              <w:spacing w:line="320" w:lineRule="exact"/>
              <w:jc w:val="left"/>
              <w:textAlignment w:val="center"/>
              <w:rPr>
                <w:rFonts w:ascii="宋体" w:cs="宋体"/>
                <w:sz w:val="24"/>
              </w:rPr>
            </w:pPr>
          </w:p>
        </w:tc>
        <w:tc>
          <w:tcPr>
            <w:tcW w:w="1224" w:type="dxa"/>
            <w:tcBorders>
              <w:top w:val="single" w:color="000000" w:sz="4" w:space="0"/>
              <w:left w:val="single" w:color="000000" w:sz="4" w:space="0"/>
              <w:bottom w:val="single" w:color="000000" w:sz="4" w:space="0"/>
              <w:right w:val="single" w:color="000000" w:sz="4" w:space="0"/>
            </w:tcBorders>
            <w:vAlign w:val="center"/>
          </w:tcPr>
          <w:p w14:paraId="066C7888">
            <w:pPr>
              <w:widowControl/>
              <w:spacing w:line="320" w:lineRule="exact"/>
              <w:jc w:val="left"/>
              <w:textAlignment w:val="center"/>
              <w:rPr>
                <w:rFonts w:ascii="宋体" w:cs="宋体"/>
                <w:sz w:val="24"/>
              </w:rPr>
            </w:pPr>
            <w:r>
              <w:rPr>
                <w:rFonts w:hint="eastAsia" w:ascii="宋体" w:hAnsi="宋体" w:cs="宋体"/>
                <w:kern w:val="0"/>
                <w:sz w:val="24"/>
              </w:rPr>
              <w:t>其他资金</w:t>
            </w:r>
          </w:p>
        </w:tc>
        <w:tc>
          <w:tcPr>
            <w:tcW w:w="2410" w:type="dxa"/>
            <w:tcBorders>
              <w:top w:val="single" w:color="000000" w:sz="4" w:space="0"/>
              <w:left w:val="single" w:color="000000" w:sz="4" w:space="0"/>
              <w:bottom w:val="single" w:color="000000" w:sz="4" w:space="0"/>
              <w:right w:val="single" w:color="000000" w:sz="4" w:space="0"/>
            </w:tcBorders>
            <w:vAlign w:val="center"/>
          </w:tcPr>
          <w:p w14:paraId="69B3CB78">
            <w:pPr>
              <w:widowControl/>
              <w:spacing w:line="320" w:lineRule="exact"/>
              <w:jc w:val="center"/>
              <w:textAlignment w:val="center"/>
              <w:rPr>
                <w:rFonts w:ascii="宋体" w:cs="宋体"/>
                <w:sz w:val="24"/>
              </w:rPr>
            </w:pPr>
          </w:p>
        </w:tc>
      </w:tr>
      <w:tr w14:paraId="5F967432">
        <w:tblPrEx>
          <w:tblCellMar>
            <w:top w:w="0" w:type="dxa"/>
            <w:left w:w="108" w:type="dxa"/>
            <w:bottom w:w="0" w:type="dxa"/>
            <w:right w:w="108" w:type="dxa"/>
          </w:tblCellMar>
        </w:tblPrEx>
        <w:trPr>
          <w:gridAfter w:val="1"/>
          <w:wAfter w:w="234" w:type="dxa"/>
          <w:trHeight w:val="217" w:hRule="atLeast"/>
        </w:trPr>
        <w:tc>
          <w:tcPr>
            <w:tcW w:w="1977" w:type="dxa"/>
            <w:vMerge w:val="restart"/>
            <w:tcBorders>
              <w:top w:val="single" w:color="000000" w:sz="4" w:space="0"/>
              <w:left w:val="single" w:color="000000" w:sz="4" w:space="0"/>
              <w:bottom w:val="single" w:color="000000" w:sz="4" w:space="0"/>
              <w:right w:val="single" w:color="000000" w:sz="4" w:space="0"/>
            </w:tcBorders>
            <w:vAlign w:val="center"/>
          </w:tcPr>
          <w:p w14:paraId="73D69EF6">
            <w:pPr>
              <w:widowControl/>
              <w:spacing w:line="320" w:lineRule="exact"/>
              <w:jc w:val="center"/>
              <w:textAlignment w:val="center"/>
              <w:rPr>
                <w:rFonts w:ascii="宋体" w:cs="宋体"/>
                <w:kern w:val="0"/>
                <w:sz w:val="24"/>
              </w:rPr>
            </w:pPr>
            <w:r>
              <w:rPr>
                <w:rFonts w:hint="eastAsia" w:ascii="宋体" w:hAnsi="宋体" w:cs="宋体"/>
                <w:kern w:val="0"/>
                <w:sz w:val="24"/>
              </w:rPr>
              <w:t>年度总体目标</w:t>
            </w:r>
          </w:p>
          <w:p w14:paraId="32080A35">
            <w:pPr>
              <w:widowControl/>
              <w:spacing w:line="320" w:lineRule="exact"/>
              <w:jc w:val="center"/>
              <w:textAlignment w:val="center"/>
              <w:rPr>
                <w:rFonts w:ascii="宋体" w:cs="宋体"/>
                <w:sz w:val="24"/>
              </w:rPr>
            </w:pPr>
            <w:r>
              <w:rPr>
                <w:rFonts w:hint="eastAsia" w:ascii="宋体" w:hAnsi="宋体" w:cs="宋体"/>
                <w:kern w:val="0"/>
                <w:sz w:val="24"/>
              </w:rPr>
              <w:t>完成情况</w:t>
            </w:r>
          </w:p>
        </w:tc>
        <w:tc>
          <w:tcPr>
            <w:tcW w:w="3966" w:type="dxa"/>
            <w:gridSpan w:val="3"/>
            <w:tcBorders>
              <w:top w:val="single" w:color="000000" w:sz="4" w:space="0"/>
              <w:left w:val="single" w:color="000000" w:sz="4" w:space="0"/>
              <w:bottom w:val="single" w:color="000000" w:sz="4" w:space="0"/>
              <w:right w:val="single" w:color="000000" w:sz="4" w:space="0"/>
            </w:tcBorders>
            <w:vAlign w:val="center"/>
          </w:tcPr>
          <w:p w14:paraId="64B426F9">
            <w:pPr>
              <w:widowControl/>
              <w:spacing w:line="320" w:lineRule="exact"/>
              <w:jc w:val="center"/>
              <w:textAlignment w:val="center"/>
              <w:rPr>
                <w:rFonts w:ascii="宋体" w:cs="宋体"/>
                <w:sz w:val="24"/>
              </w:rPr>
            </w:pPr>
            <w:r>
              <w:rPr>
                <w:rFonts w:hint="eastAsia" w:ascii="宋体" w:hAnsi="宋体" w:cs="宋体"/>
                <w:kern w:val="0"/>
                <w:sz w:val="24"/>
              </w:rPr>
              <w:t>预期目标</w:t>
            </w:r>
          </w:p>
        </w:tc>
        <w:tc>
          <w:tcPr>
            <w:tcW w:w="3634" w:type="dxa"/>
            <w:gridSpan w:val="2"/>
            <w:tcBorders>
              <w:top w:val="single" w:color="000000" w:sz="4" w:space="0"/>
              <w:left w:val="single" w:color="000000" w:sz="4" w:space="0"/>
              <w:bottom w:val="single" w:color="000000" w:sz="4" w:space="0"/>
              <w:right w:val="single" w:color="000000" w:sz="4" w:space="0"/>
            </w:tcBorders>
            <w:vAlign w:val="center"/>
          </w:tcPr>
          <w:p w14:paraId="20A7A619">
            <w:pPr>
              <w:widowControl/>
              <w:spacing w:line="320" w:lineRule="exact"/>
              <w:jc w:val="center"/>
              <w:textAlignment w:val="center"/>
              <w:rPr>
                <w:rFonts w:ascii="宋体" w:cs="宋体"/>
                <w:sz w:val="24"/>
              </w:rPr>
            </w:pPr>
            <w:r>
              <w:rPr>
                <w:rFonts w:hint="eastAsia" w:ascii="宋体" w:hAnsi="宋体" w:cs="宋体"/>
                <w:kern w:val="0"/>
                <w:sz w:val="24"/>
              </w:rPr>
              <w:t>目标实际完成情况</w:t>
            </w:r>
          </w:p>
        </w:tc>
      </w:tr>
      <w:tr w14:paraId="0981A82A">
        <w:tblPrEx>
          <w:tblCellMar>
            <w:top w:w="0" w:type="dxa"/>
            <w:left w:w="108" w:type="dxa"/>
            <w:bottom w:w="0" w:type="dxa"/>
            <w:right w:w="108" w:type="dxa"/>
          </w:tblCellMar>
        </w:tblPrEx>
        <w:trPr>
          <w:gridAfter w:val="1"/>
          <w:wAfter w:w="234" w:type="dxa"/>
          <w:trHeight w:val="797" w:hRule="atLeast"/>
        </w:trPr>
        <w:tc>
          <w:tcPr>
            <w:tcW w:w="1977" w:type="dxa"/>
            <w:vMerge w:val="continue"/>
            <w:tcBorders>
              <w:top w:val="single" w:color="000000" w:sz="4" w:space="0"/>
              <w:left w:val="single" w:color="000000" w:sz="4" w:space="0"/>
              <w:bottom w:val="single" w:color="000000" w:sz="4" w:space="0"/>
              <w:right w:val="single" w:color="000000" w:sz="4" w:space="0"/>
            </w:tcBorders>
            <w:vAlign w:val="center"/>
          </w:tcPr>
          <w:p w14:paraId="16BFBE9B">
            <w:pPr>
              <w:spacing w:line="320" w:lineRule="exact"/>
              <w:jc w:val="center"/>
              <w:rPr>
                <w:rFonts w:ascii="宋体" w:cs="宋体"/>
                <w:sz w:val="24"/>
              </w:rPr>
            </w:pPr>
          </w:p>
        </w:tc>
        <w:tc>
          <w:tcPr>
            <w:tcW w:w="3966" w:type="dxa"/>
            <w:gridSpan w:val="3"/>
            <w:tcBorders>
              <w:top w:val="single" w:color="000000" w:sz="4" w:space="0"/>
              <w:left w:val="single" w:color="000000" w:sz="4" w:space="0"/>
              <w:bottom w:val="single" w:color="000000" w:sz="4" w:space="0"/>
              <w:right w:val="single" w:color="000000" w:sz="4" w:space="0"/>
            </w:tcBorders>
          </w:tcPr>
          <w:p w14:paraId="3EEEBF6C">
            <w:pPr>
              <w:widowControl/>
              <w:spacing w:line="320" w:lineRule="exact"/>
              <w:jc w:val="left"/>
              <w:textAlignment w:val="top"/>
              <w:rPr>
                <w:rFonts w:ascii="宋体" w:cs="宋体"/>
                <w:sz w:val="24"/>
              </w:rPr>
            </w:pPr>
          </w:p>
        </w:tc>
        <w:tc>
          <w:tcPr>
            <w:tcW w:w="3634" w:type="dxa"/>
            <w:gridSpan w:val="2"/>
            <w:tcBorders>
              <w:top w:val="single" w:color="000000" w:sz="4" w:space="0"/>
              <w:left w:val="single" w:color="000000" w:sz="4" w:space="0"/>
              <w:bottom w:val="single" w:color="000000" w:sz="4" w:space="0"/>
              <w:right w:val="single" w:color="000000" w:sz="4" w:space="0"/>
            </w:tcBorders>
          </w:tcPr>
          <w:p w14:paraId="5E76CEB8">
            <w:pPr>
              <w:widowControl/>
              <w:spacing w:line="320" w:lineRule="exact"/>
              <w:jc w:val="left"/>
              <w:textAlignment w:val="top"/>
              <w:rPr>
                <w:rFonts w:ascii="宋体" w:cs="宋体"/>
                <w:sz w:val="24"/>
              </w:rPr>
            </w:pPr>
          </w:p>
        </w:tc>
      </w:tr>
      <w:tr w14:paraId="3BA08163">
        <w:tblPrEx>
          <w:tblCellMar>
            <w:top w:w="0" w:type="dxa"/>
            <w:left w:w="108" w:type="dxa"/>
            <w:bottom w:w="0" w:type="dxa"/>
            <w:right w:w="108" w:type="dxa"/>
          </w:tblCellMar>
        </w:tblPrEx>
        <w:trPr>
          <w:gridAfter w:val="1"/>
          <w:wAfter w:w="234" w:type="dxa"/>
          <w:trHeight w:val="693" w:hRule="atLeast"/>
        </w:trPr>
        <w:tc>
          <w:tcPr>
            <w:tcW w:w="1977" w:type="dxa"/>
            <w:vMerge w:val="restart"/>
            <w:tcBorders>
              <w:top w:val="single" w:color="000000" w:sz="4" w:space="0"/>
              <w:left w:val="single" w:color="000000" w:sz="4" w:space="0"/>
              <w:right w:val="single" w:color="000000" w:sz="4" w:space="0"/>
            </w:tcBorders>
            <w:vAlign w:val="center"/>
          </w:tcPr>
          <w:p w14:paraId="61F54B89">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年度绩效指标完成情况</w:t>
            </w:r>
          </w:p>
        </w:tc>
        <w:tc>
          <w:tcPr>
            <w:tcW w:w="1142" w:type="dxa"/>
            <w:tcBorders>
              <w:top w:val="single" w:color="000000" w:sz="4" w:space="0"/>
              <w:left w:val="nil"/>
              <w:bottom w:val="single" w:color="000000" w:sz="4" w:space="0"/>
              <w:right w:val="single" w:color="000000" w:sz="4" w:space="0"/>
            </w:tcBorders>
            <w:vAlign w:val="center"/>
          </w:tcPr>
          <w:p w14:paraId="3094B3BF">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一级</w:t>
            </w:r>
          </w:p>
          <w:p w14:paraId="4C19731C">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vAlign w:val="center"/>
          </w:tcPr>
          <w:p w14:paraId="2B82E073">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二级</w:t>
            </w:r>
          </w:p>
          <w:p w14:paraId="668035C6">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vAlign w:val="center"/>
          </w:tcPr>
          <w:p w14:paraId="6E9A0723">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三级</w:t>
            </w:r>
          </w:p>
          <w:p w14:paraId="28E95D1E">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224" w:type="dxa"/>
            <w:tcBorders>
              <w:top w:val="single" w:color="000000" w:sz="4" w:space="0"/>
              <w:left w:val="single" w:color="000000" w:sz="4" w:space="0"/>
              <w:bottom w:val="single" w:color="000000" w:sz="4" w:space="0"/>
              <w:right w:val="single" w:color="000000" w:sz="4" w:space="0"/>
            </w:tcBorders>
            <w:vAlign w:val="center"/>
          </w:tcPr>
          <w:p w14:paraId="59E84899">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预期指标值</w:t>
            </w:r>
          </w:p>
        </w:tc>
        <w:tc>
          <w:tcPr>
            <w:tcW w:w="2410" w:type="dxa"/>
            <w:tcBorders>
              <w:top w:val="single" w:color="000000" w:sz="4" w:space="0"/>
              <w:left w:val="single" w:color="000000" w:sz="4" w:space="0"/>
              <w:bottom w:val="single" w:color="000000" w:sz="4" w:space="0"/>
              <w:right w:val="single" w:color="000000" w:sz="4" w:space="0"/>
            </w:tcBorders>
            <w:vAlign w:val="center"/>
          </w:tcPr>
          <w:p w14:paraId="0A29618B">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实际完成指标值</w:t>
            </w:r>
          </w:p>
        </w:tc>
      </w:tr>
      <w:tr w14:paraId="786BBB15">
        <w:tblPrEx>
          <w:tblCellMar>
            <w:top w:w="0" w:type="dxa"/>
            <w:left w:w="108" w:type="dxa"/>
            <w:bottom w:w="0" w:type="dxa"/>
            <w:right w:w="108" w:type="dxa"/>
          </w:tblCellMar>
        </w:tblPrEx>
        <w:trPr>
          <w:gridAfter w:val="1"/>
          <w:wAfter w:w="234" w:type="dxa"/>
          <w:trHeight w:val="613" w:hRule="atLeast"/>
        </w:trPr>
        <w:tc>
          <w:tcPr>
            <w:tcW w:w="1977" w:type="dxa"/>
            <w:vMerge w:val="continue"/>
            <w:tcBorders>
              <w:left w:val="single" w:color="000000" w:sz="4" w:space="0"/>
              <w:right w:val="single" w:color="000000" w:sz="4" w:space="0"/>
            </w:tcBorders>
            <w:vAlign w:val="center"/>
          </w:tcPr>
          <w:p w14:paraId="4445FEA8">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vAlign w:val="center"/>
          </w:tcPr>
          <w:p w14:paraId="28EE73B2">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完成</w:t>
            </w:r>
          </w:p>
          <w:p w14:paraId="13ACE9E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vAlign w:val="bottom"/>
          </w:tcPr>
          <w:p w14:paraId="6014B57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数量指标</w:t>
            </w:r>
          </w:p>
        </w:tc>
        <w:tc>
          <w:tcPr>
            <w:tcW w:w="1189" w:type="dxa"/>
            <w:tcBorders>
              <w:top w:val="single" w:color="000000" w:sz="4" w:space="0"/>
              <w:left w:val="single" w:color="000000" w:sz="4" w:space="0"/>
              <w:bottom w:val="single" w:color="000000" w:sz="4" w:space="0"/>
              <w:right w:val="single" w:color="000000" w:sz="4" w:space="0"/>
            </w:tcBorders>
            <w:vAlign w:val="bottom"/>
          </w:tcPr>
          <w:p w14:paraId="6BB0AC27">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vAlign w:val="bottom"/>
          </w:tcPr>
          <w:p w14:paraId="725F243F">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vAlign w:val="bottom"/>
          </w:tcPr>
          <w:p w14:paraId="2642EB08">
            <w:pPr>
              <w:widowControl/>
              <w:spacing w:line="320" w:lineRule="exact"/>
              <w:jc w:val="center"/>
              <w:textAlignment w:val="bottom"/>
              <w:rPr>
                <w:rFonts w:ascii="仿宋_GB2312" w:hAnsi="仿宋_GB2312" w:eastAsia="仿宋_GB2312" w:cs="仿宋_GB2312"/>
                <w:sz w:val="28"/>
                <w:szCs w:val="28"/>
              </w:rPr>
            </w:pPr>
          </w:p>
        </w:tc>
      </w:tr>
      <w:tr w14:paraId="77CD0AD8">
        <w:tblPrEx>
          <w:tblCellMar>
            <w:top w:w="0" w:type="dxa"/>
            <w:left w:w="108" w:type="dxa"/>
            <w:bottom w:w="0" w:type="dxa"/>
            <w:right w:w="108" w:type="dxa"/>
          </w:tblCellMar>
        </w:tblPrEx>
        <w:trPr>
          <w:gridAfter w:val="1"/>
          <w:wAfter w:w="234" w:type="dxa"/>
          <w:trHeight w:val="707" w:hRule="atLeast"/>
        </w:trPr>
        <w:tc>
          <w:tcPr>
            <w:tcW w:w="1977" w:type="dxa"/>
            <w:vMerge w:val="continue"/>
            <w:tcBorders>
              <w:left w:val="single" w:color="000000" w:sz="4" w:space="0"/>
              <w:right w:val="single" w:color="000000" w:sz="4" w:space="0"/>
            </w:tcBorders>
            <w:vAlign w:val="center"/>
          </w:tcPr>
          <w:p w14:paraId="66276212">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vAlign w:val="bottom"/>
          </w:tcPr>
          <w:p w14:paraId="1B372EE8">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vAlign w:val="bottom"/>
          </w:tcPr>
          <w:p w14:paraId="605DDC32">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质量指标</w:t>
            </w:r>
          </w:p>
        </w:tc>
        <w:tc>
          <w:tcPr>
            <w:tcW w:w="1189" w:type="dxa"/>
            <w:tcBorders>
              <w:top w:val="single" w:color="000000" w:sz="4" w:space="0"/>
              <w:left w:val="single" w:color="000000" w:sz="4" w:space="0"/>
              <w:bottom w:val="single" w:color="000000" w:sz="4" w:space="0"/>
              <w:right w:val="single" w:color="000000" w:sz="4" w:space="0"/>
            </w:tcBorders>
            <w:vAlign w:val="bottom"/>
          </w:tcPr>
          <w:p w14:paraId="36234A06">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vAlign w:val="bottom"/>
          </w:tcPr>
          <w:p w14:paraId="25EA88C1">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vAlign w:val="bottom"/>
          </w:tcPr>
          <w:p w14:paraId="7C34419D">
            <w:pPr>
              <w:widowControl/>
              <w:spacing w:line="320" w:lineRule="exact"/>
              <w:jc w:val="center"/>
              <w:textAlignment w:val="bottom"/>
              <w:rPr>
                <w:rFonts w:ascii="仿宋_GB2312" w:hAnsi="仿宋_GB2312" w:eastAsia="仿宋_GB2312" w:cs="仿宋_GB2312"/>
                <w:sz w:val="28"/>
                <w:szCs w:val="28"/>
              </w:rPr>
            </w:pPr>
          </w:p>
        </w:tc>
      </w:tr>
      <w:tr w14:paraId="4B1F5BE8">
        <w:tblPrEx>
          <w:tblCellMar>
            <w:top w:w="0" w:type="dxa"/>
            <w:left w:w="108" w:type="dxa"/>
            <w:bottom w:w="0" w:type="dxa"/>
            <w:right w:w="108" w:type="dxa"/>
          </w:tblCellMar>
        </w:tblPrEx>
        <w:trPr>
          <w:gridAfter w:val="1"/>
          <w:wAfter w:w="234" w:type="dxa"/>
          <w:trHeight w:val="690" w:hRule="atLeast"/>
        </w:trPr>
        <w:tc>
          <w:tcPr>
            <w:tcW w:w="1977" w:type="dxa"/>
            <w:vMerge w:val="continue"/>
            <w:tcBorders>
              <w:left w:val="single" w:color="000000" w:sz="4" w:space="0"/>
              <w:right w:val="single" w:color="000000" w:sz="4" w:space="0"/>
            </w:tcBorders>
            <w:vAlign w:val="center"/>
          </w:tcPr>
          <w:p w14:paraId="2017B9F3">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vAlign w:val="bottom"/>
          </w:tcPr>
          <w:p w14:paraId="66EA0FAD">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vAlign w:val="bottom"/>
          </w:tcPr>
          <w:p w14:paraId="6240E65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时效指标</w:t>
            </w:r>
          </w:p>
        </w:tc>
        <w:tc>
          <w:tcPr>
            <w:tcW w:w="1189" w:type="dxa"/>
            <w:tcBorders>
              <w:top w:val="single" w:color="000000" w:sz="4" w:space="0"/>
              <w:left w:val="single" w:color="000000" w:sz="4" w:space="0"/>
              <w:bottom w:val="single" w:color="000000" w:sz="4" w:space="0"/>
              <w:right w:val="single" w:color="000000" w:sz="4" w:space="0"/>
            </w:tcBorders>
            <w:vAlign w:val="bottom"/>
          </w:tcPr>
          <w:p w14:paraId="29AE6458">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vAlign w:val="bottom"/>
          </w:tcPr>
          <w:p w14:paraId="3ECB7EDD">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vAlign w:val="bottom"/>
          </w:tcPr>
          <w:p w14:paraId="17FDA543">
            <w:pPr>
              <w:widowControl/>
              <w:spacing w:line="320" w:lineRule="exact"/>
              <w:jc w:val="center"/>
              <w:textAlignment w:val="bottom"/>
              <w:rPr>
                <w:rFonts w:ascii="仿宋_GB2312" w:hAnsi="仿宋_GB2312" w:eastAsia="仿宋_GB2312" w:cs="仿宋_GB2312"/>
                <w:sz w:val="28"/>
                <w:szCs w:val="28"/>
              </w:rPr>
            </w:pPr>
          </w:p>
        </w:tc>
      </w:tr>
      <w:tr w14:paraId="272C5A1B">
        <w:tblPrEx>
          <w:tblCellMar>
            <w:top w:w="0" w:type="dxa"/>
            <w:left w:w="108" w:type="dxa"/>
            <w:bottom w:w="0" w:type="dxa"/>
            <w:right w:w="108" w:type="dxa"/>
          </w:tblCellMar>
        </w:tblPrEx>
        <w:trPr>
          <w:gridAfter w:val="1"/>
          <w:wAfter w:w="234" w:type="dxa"/>
          <w:trHeight w:val="698" w:hRule="atLeast"/>
        </w:trPr>
        <w:tc>
          <w:tcPr>
            <w:tcW w:w="1977" w:type="dxa"/>
            <w:vMerge w:val="continue"/>
            <w:tcBorders>
              <w:left w:val="single" w:color="000000" w:sz="4" w:space="0"/>
              <w:right w:val="single" w:color="000000" w:sz="4" w:space="0"/>
            </w:tcBorders>
            <w:vAlign w:val="center"/>
          </w:tcPr>
          <w:p w14:paraId="56F46A84">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vAlign w:val="bottom"/>
          </w:tcPr>
          <w:p w14:paraId="4349B471">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vAlign w:val="bottom"/>
          </w:tcPr>
          <w:p w14:paraId="7967A6EA">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成本指标</w:t>
            </w:r>
          </w:p>
        </w:tc>
        <w:tc>
          <w:tcPr>
            <w:tcW w:w="1189" w:type="dxa"/>
            <w:tcBorders>
              <w:top w:val="single" w:color="000000" w:sz="4" w:space="0"/>
              <w:left w:val="single" w:color="000000" w:sz="4" w:space="0"/>
              <w:bottom w:val="single" w:color="000000" w:sz="4" w:space="0"/>
              <w:right w:val="single" w:color="000000" w:sz="4" w:space="0"/>
            </w:tcBorders>
            <w:vAlign w:val="bottom"/>
          </w:tcPr>
          <w:p w14:paraId="1059AE0E">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vAlign w:val="bottom"/>
          </w:tcPr>
          <w:p w14:paraId="00118644">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vAlign w:val="bottom"/>
          </w:tcPr>
          <w:p w14:paraId="3D363129">
            <w:pPr>
              <w:widowControl/>
              <w:spacing w:line="320" w:lineRule="exact"/>
              <w:jc w:val="center"/>
              <w:textAlignment w:val="bottom"/>
              <w:rPr>
                <w:rFonts w:ascii="仿宋_GB2312" w:hAnsi="仿宋_GB2312" w:eastAsia="仿宋_GB2312" w:cs="仿宋_GB2312"/>
                <w:sz w:val="28"/>
                <w:szCs w:val="28"/>
              </w:rPr>
            </w:pPr>
          </w:p>
        </w:tc>
      </w:tr>
      <w:tr w14:paraId="69F58FD0">
        <w:tblPrEx>
          <w:tblCellMar>
            <w:top w:w="0" w:type="dxa"/>
            <w:left w:w="108" w:type="dxa"/>
            <w:bottom w:w="0" w:type="dxa"/>
            <w:right w:w="108" w:type="dxa"/>
          </w:tblCellMar>
        </w:tblPrEx>
        <w:trPr>
          <w:gridAfter w:val="1"/>
          <w:wAfter w:w="234" w:type="dxa"/>
          <w:trHeight w:val="977" w:hRule="atLeast"/>
        </w:trPr>
        <w:tc>
          <w:tcPr>
            <w:tcW w:w="1977" w:type="dxa"/>
            <w:vMerge w:val="continue"/>
            <w:tcBorders>
              <w:left w:val="single" w:color="000000" w:sz="4" w:space="0"/>
              <w:right w:val="single" w:color="000000" w:sz="4" w:space="0"/>
            </w:tcBorders>
            <w:vAlign w:val="center"/>
          </w:tcPr>
          <w:p w14:paraId="370473AD">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vAlign w:val="center"/>
          </w:tcPr>
          <w:p w14:paraId="6800B86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效益</w:t>
            </w:r>
            <w:r>
              <w:rPr>
                <w:rFonts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vAlign w:val="bottom"/>
          </w:tcPr>
          <w:p w14:paraId="07AF1488">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经济效益</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vAlign w:val="bottom"/>
          </w:tcPr>
          <w:p w14:paraId="43429D07">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vAlign w:val="bottom"/>
          </w:tcPr>
          <w:p w14:paraId="6865ED17">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vAlign w:val="bottom"/>
          </w:tcPr>
          <w:p w14:paraId="3670C1F4">
            <w:pPr>
              <w:widowControl/>
              <w:spacing w:line="320" w:lineRule="exact"/>
              <w:jc w:val="center"/>
              <w:textAlignment w:val="bottom"/>
              <w:rPr>
                <w:rFonts w:ascii="仿宋_GB2312" w:hAnsi="仿宋_GB2312" w:eastAsia="仿宋_GB2312" w:cs="仿宋_GB2312"/>
                <w:sz w:val="28"/>
                <w:szCs w:val="28"/>
              </w:rPr>
            </w:pPr>
          </w:p>
        </w:tc>
      </w:tr>
      <w:tr w14:paraId="075EC1CA">
        <w:tblPrEx>
          <w:tblCellMar>
            <w:top w:w="0" w:type="dxa"/>
            <w:left w:w="108" w:type="dxa"/>
            <w:bottom w:w="0" w:type="dxa"/>
            <w:right w:w="108" w:type="dxa"/>
          </w:tblCellMar>
        </w:tblPrEx>
        <w:trPr>
          <w:gridAfter w:val="1"/>
          <w:wAfter w:w="234" w:type="dxa"/>
          <w:trHeight w:val="849" w:hRule="atLeast"/>
        </w:trPr>
        <w:tc>
          <w:tcPr>
            <w:tcW w:w="1977" w:type="dxa"/>
            <w:vMerge w:val="continue"/>
            <w:tcBorders>
              <w:left w:val="single" w:color="000000" w:sz="4" w:space="0"/>
              <w:right w:val="single" w:color="000000" w:sz="4" w:space="0"/>
            </w:tcBorders>
            <w:vAlign w:val="center"/>
          </w:tcPr>
          <w:p w14:paraId="5C491147">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vAlign w:val="bottom"/>
          </w:tcPr>
          <w:p w14:paraId="65CA39BB">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vAlign w:val="bottom"/>
          </w:tcPr>
          <w:p w14:paraId="1D28B9D0">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社会效益</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vAlign w:val="bottom"/>
          </w:tcPr>
          <w:p w14:paraId="618CDB4E">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vAlign w:val="bottom"/>
          </w:tcPr>
          <w:p w14:paraId="406FCCA3">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vAlign w:val="bottom"/>
          </w:tcPr>
          <w:p w14:paraId="3835D265">
            <w:pPr>
              <w:widowControl/>
              <w:spacing w:line="320" w:lineRule="exact"/>
              <w:jc w:val="center"/>
              <w:textAlignment w:val="bottom"/>
              <w:rPr>
                <w:rFonts w:ascii="仿宋_GB2312" w:hAnsi="仿宋_GB2312" w:eastAsia="仿宋_GB2312" w:cs="仿宋_GB2312"/>
                <w:sz w:val="28"/>
                <w:szCs w:val="28"/>
              </w:rPr>
            </w:pPr>
          </w:p>
        </w:tc>
      </w:tr>
      <w:tr w14:paraId="0350111E">
        <w:tblPrEx>
          <w:tblCellMar>
            <w:top w:w="0" w:type="dxa"/>
            <w:left w:w="108" w:type="dxa"/>
            <w:bottom w:w="0" w:type="dxa"/>
            <w:right w:w="108" w:type="dxa"/>
          </w:tblCellMar>
        </w:tblPrEx>
        <w:trPr>
          <w:gridAfter w:val="1"/>
          <w:wAfter w:w="234" w:type="dxa"/>
          <w:trHeight w:val="833" w:hRule="atLeast"/>
        </w:trPr>
        <w:tc>
          <w:tcPr>
            <w:tcW w:w="1977" w:type="dxa"/>
            <w:vMerge w:val="continue"/>
            <w:tcBorders>
              <w:left w:val="single" w:color="000000" w:sz="4" w:space="0"/>
              <w:right w:val="single" w:color="000000" w:sz="4" w:space="0"/>
            </w:tcBorders>
            <w:vAlign w:val="center"/>
          </w:tcPr>
          <w:p w14:paraId="6279AEA2">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vAlign w:val="bottom"/>
          </w:tcPr>
          <w:p w14:paraId="18C32668">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vAlign w:val="bottom"/>
          </w:tcPr>
          <w:p w14:paraId="0984B78B">
            <w:pPr>
              <w:widowControl/>
              <w:spacing w:line="320" w:lineRule="exact"/>
              <w:ind w:left="463" w:leftChars="87" w:hanging="280" w:hangingChars="10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生态效益</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vAlign w:val="bottom"/>
          </w:tcPr>
          <w:p w14:paraId="74985A43">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vAlign w:val="bottom"/>
          </w:tcPr>
          <w:p w14:paraId="78786CC5">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vAlign w:val="bottom"/>
          </w:tcPr>
          <w:p w14:paraId="695D8799">
            <w:pPr>
              <w:widowControl/>
              <w:spacing w:line="320" w:lineRule="exact"/>
              <w:jc w:val="center"/>
              <w:textAlignment w:val="bottom"/>
              <w:rPr>
                <w:rFonts w:ascii="仿宋_GB2312" w:hAnsi="仿宋_GB2312" w:eastAsia="仿宋_GB2312" w:cs="仿宋_GB2312"/>
                <w:sz w:val="28"/>
                <w:szCs w:val="28"/>
              </w:rPr>
            </w:pPr>
          </w:p>
        </w:tc>
      </w:tr>
      <w:tr w14:paraId="6C040051">
        <w:tblPrEx>
          <w:tblCellMar>
            <w:top w:w="0" w:type="dxa"/>
            <w:left w:w="108" w:type="dxa"/>
            <w:bottom w:w="0" w:type="dxa"/>
            <w:right w:w="108" w:type="dxa"/>
          </w:tblCellMar>
        </w:tblPrEx>
        <w:trPr>
          <w:gridAfter w:val="1"/>
          <w:wAfter w:w="234" w:type="dxa"/>
          <w:trHeight w:val="757" w:hRule="atLeast"/>
        </w:trPr>
        <w:tc>
          <w:tcPr>
            <w:tcW w:w="1977" w:type="dxa"/>
            <w:vMerge w:val="continue"/>
            <w:tcBorders>
              <w:left w:val="single" w:color="000000" w:sz="4" w:space="0"/>
              <w:right w:val="single" w:color="000000" w:sz="4" w:space="0"/>
            </w:tcBorders>
            <w:vAlign w:val="center"/>
          </w:tcPr>
          <w:p w14:paraId="4DD33020">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vAlign w:val="bottom"/>
          </w:tcPr>
          <w:p w14:paraId="47BC9127">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vAlign w:val="bottom"/>
          </w:tcPr>
          <w:p w14:paraId="637EF0D1">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可持续影响</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vAlign w:val="bottom"/>
          </w:tcPr>
          <w:p w14:paraId="75C9DA75">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vAlign w:val="bottom"/>
          </w:tcPr>
          <w:p w14:paraId="20F21316">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vAlign w:val="bottom"/>
          </w:tcPr>
          <w:p w14:paraId="483CE0BF">
            <w:pPr>
              <w:widowControl/>
              <w:spacing w:line="320" w:lineRule="exact"/>
              <w:jc w:val="center"/>
              <w:textAlignment w:val="bottom"/>
              <w:rPr>
                <w:rFonts w:ascii="仿宋_GB2312" w:hAnsi="仿宋_GB2312" w:eastAsia="仿宋_GB2312" w:cs="仿宋_GB2312"/>
                <w:sz w:val="28"/>
                <w:szCs w:val="28"/>
              </w:rPr>
            </w:pPr>
          </w:p>
        </w:tc>
      </w:tr>
      <w:tr w14:paraId="0F1688A8">
        <w:tblPrEx>
          <w:tblCellMar>
            <w:top w:w="0" w:type="dxa"/>
            <w:left w:w="108" w:type="dxa"/>
            <w:bottom w:w="0" w:type="dxa"/>
            <w:right w:w="108" w:type="dxa"/>
          </w:tblCellMar>
        </w:tblPrEx>
        <w:trPr>
          <w:gridAfter w:val="1"/>
          <w:wAfter w:w="234" w:type="dxa"/>
          <w:trHeight w:val="839" w:hRule="atLeast"/>
        </w:trPr>
        <w:tc>
          <w:tcPr>
            <w:tcW w:w="1977" w:type="dxa"/>
            <w:vMerge w:val="continue"/>
            <w:tcBorders>
              <w:left w:val="single" w:color="000000" w:sz="4" w:space="0"/>
              <w:bottom w:val="single" w:color="000000" w:sz="4" w:space="0"/>
              <w:right w:val="single" w:color="000000" w:sz="4" w:space="0"/>
            </w:tcBorders>
            <w:vAlign w:val="center"/>
          </w:tcPr>
          <w:p w14:paraId="134C245D">
            <w:pPr>
              <w:spacing w:line="320" w:lineRule="exact"/>
              <w:jc w:val="center"/>
              <w:rPr>
                <w:rFonts w:ascii="仿宋_GB2312" w:hAnsi="仿宋_GB2312" w:eastAsia="仿宋_GB2312" w:cs="仿宋_GB2312"/>
                <w:sz w:val="28"/>
                <w:szCs w:val="28"/>
              </w:rPr>
            </w:pPr>
          </w:p>
        </w:tc>
        <w:tc>
          <w:tcPr>
            <w:tcW w:w="1142" w:type="dxa"/>
            <w:tcBorders>
              <w:top w:val="single" w:color="000000" w:sz="4" w:space="0"/>
              <w:left w:val="single" w:color="000000" w:sz="4" w:space="0"/>
              <w:bottom w:val="single" w:color="000000" w:sz="4" w:space="0"/>
              <w:right w:val="single" w:color="000000" w:sz="4" w:space="0"/>
            </w:tcBorders>
            <w:vAlign w:val="bottom"/>
          </w:tcPr>
          <w:p w14:paraId="0A83DE1F">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满意</w:t>
            </w:r>
            <w:r>
              <w:rPr>
                <w:rFonts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度指标</w:t>
            </w:r>
          </w:p>
        </w:tc>
        <w:tc>
          <w:tcPr>
            <w:tcW w:w="1635" w:type="dxa"/>
            <w:tcBorders>
              <w:top w:val="single" w:color="000000" w:sz="4" w:space="0"/>
              <w:left w:val="single" w:color="000000" w:sz="4" w:space="0"/>
              <w:bottom w:val="single" w:color="000000" w:sz="4" w:space="0"/>
              <w:right w:val="single" w:color="000000" w:sz="4" w:space="0"/>
            </w:tcBorders>
            <w:vAlign w:val="bottom"/>
          </w:tcPr>
          <w:p w14:paraId="5F076C13">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满意度</w:t>
            </w:r>
          </w:p>
          <w:p w14:paraId="204CF14F">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vAlign w:val="bottom"/>
          </w:tcPr>
          <w:p w14:paraId="06035BEA">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vAlign w:val="bottom"/>
          </w:tcPr>
          <w:p w14:paraId="31833A07">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vAlign w:val="bottom"/>
          </w:tcPr>
          <w:p w14:paraId="1C5FA4CC">
            <w:pPr>
              <w:widowControl/>
              <w:spacing w:line="320" w:lineRule="exact"/>
              <w:jc w:val="center"/>
              <w:textAlignment w:val="bottom"/>
              <w:rPr>
                <w:rFonts w:ascii="仿宋_GB2312" w:hAnsi="仿宋_GB2312" w:eastAsia="仿宋_GB2312" w:cs="仿宋_GB2312"/>
                <w:sz w:val="28"/>
                <w:szCs w:val="28"/>
              </w:rPr>
            </w:pPr>
          </w:p>
        </w:tc>
      </w:tr>
    </w:tbl>
    <w:p w14:paraId="682A6433">
      <w:pPr>
        <w:widowControl/>
        <w:adjustRightInd w:val="0"/>
        <w:snapToGrid w:val="0"/>
        <w:spacing w:line="580"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附表：</w:t>
      </w:r>
    </w:p>
    <w:p w14:paraId="169380BC">
      <w:pPr>
        <w:spacing w:line="580" w:lineRule="exact"/>
        <w:rPr>
          <w:rStyle w:val="18"/>
          <w:rFonts w:ascii="黑体" w:hAnsi="黑体" w:eastAsia="黑体"/>
          <w:b w:val="0"/>
        </w:rPr>
      </w:pPr>
    </w:p>
    <w:p w14:paraId="0A5CE497">
      <w:pPr>
        <w:widowControl/>
        <w:jc w:val="left"/>
        <w:rPr>
          <w:rStyle w:val="18"/>
          <w:rFonts w:ascii="黑体" w:hAnsi="黑体" w:eastAsia="黑体"/>
          <w:b w:val="0"/>
        </w:rPr>
      </w:pPr>
      <w:r>
        <w:rPr>
          <w:rStyle w:val="18"/>
          <w:rFonts w:ascii="黑体" w:hAnsi="黑体" w:eastAsia="黑体"/>
          <w:b w:val="0"/>
        </w:rPr>
        <w:br w:type="page"/>
      </w:r>
    </w:p>
    <w:p w14:paraId="31A1F7E5">
      <w:pPr>
        <w:spacing w:line="600" w:lineRule="exact"/>
        <w:jc w:val="center"/>
        <w:outlineLvl w:val="0"/>
        <w:rPr>
          <w:rFonts w:ascii="仿宋" w:hAnsi="仿宋" w:eastAsia="仿宋"/>
        </w:rPr>
      </w:pPr>
      <w:bookmarkStart w:id="60" w:name="_Toc15396618"/>
      <w:r>
        <w:rPr>
          <w:rFonts w:hint="eastAsia" w:ascii="黑体" w:hAnsi="黑体" w:eastAsia="黑体"/>
          <w:sz w:val="44"/>
          <w:szCs w:val="44"/>
        </w:rPr>
        <w:t>第</w:t>
      </w:r>
      <w:r>
        <w:rPr>
          <w:rStyle w:val="18"/>
          <w:rFonts w:hint="eastAsia" w:ascii="黑体" w:hAnsi="黑体" w:eastAsia="黑体"/>
          <w:b w:val="0"/>
        </w:rPr>
        <w:t>五部分</w:t>
      </w:r>
      <w:r>
        <w:rPr>
          <w:rStyle w:val="18"/>
          <w:rFonts w:ascii="黑体" w:hAnsi="黑体" w:eastAsia="黑体"/>
          <w:b w:val="0"/>
        </w:rPr>
        <w:t xml:space="preserve"> </w:t>
      </w:r>
      <w:r>
        <w:rPr>
          <w:rStyle w:val="18"/>
          <w:rFonts w:hint="eastAsia" w:ascii="黑体" w:hAnsi="黑体" w:eastAsia="黑体"/>
          <w:b w:val="0"/>
        </w:rPr>
        <w:t>附表</w:t>
      </w:r>
      <w:bookmarkEnd w:id="57"/>
      <w:bookmarkEnd w:id="60"/>
      <w:bookmarkStart w:id="61" w:name="_Toc15396619"/>
    </w:p>
    <w:p w14:paraId="58840719">
      <w:pPr>
        <w:pStyle w:val="4"/>
        <w:rPr>
          <w:rFonts w:ascii="仿宋" w:hAnsi="仿宋" w:eastAsia="仿宋"/>
        </w:rPr>
      </w:pPr>
      <w:r>
        <w:rPr>
          <w:rFonts w:hint="eastAsia" w:ascii="仿宋" w:hAnsi="仿宋" w:eastAsia="仿宋"/>
          <w:b w:val="0"/>
        </w:rPr>
        <w:t>一、收</w:t>
      </w:r>
      <w:r>
        <w:rPr>
          <w:rStyle w:val="19"/>
          <w:rFonts w:hint="eastAsia" w:ascii="仿宋" w:hAnsi="仿宋" w:eastAsia="仿宋"/>
          <w:b w:val="0"/>
          <w:bCs w:val="0"/>
        </w:rPr>
        <w:t>入支出决算总表</w:t>
      </w:r>
      <w:bookmarkEnd w:id="61"/>
    </w:p>
    <w:p w14:paraId="73E6E0BB">
      <w:pPr>
        <w:pStyle w:val="4"/>
        <w:rPr>
          <w:rFonts w:ascii="仿宋" w:hAnsi="仿宋" w:eastAsia="仿宋"/>
        </w:rPr>
      </w:pPr>
      <w:bookmarkStart w:id="62" w:name="_Toc15396620"/>
      <w:r>
        <w:rPr>
          <w:rFonts w:hint="eastAsia" w:ascii="仿宋" w:hAnsi="仿宋" w:eastAsia="仿宋"/>
          <w:b w:val="0"/>
        </w:rPr>
        <w:t>二、收</w:t>
      </w:r>
      <w:r>
        <w:rPr>
          <w:rStyle w:val="19"/>
          <w:rFonts w:hint="eastAsia" w:ascii="仿宋" w:hAnsi="仿宋" w:eastAsia="仿宋"/>
          <w:b w:val="0"/>
          <w:bCs w:val="0"/>
        </w:rPr>
        <w:t>入决算表</w:t>
      </w:r>
      <w:bookmarkEnd w:id="62"/>
    </w:p>
    <w:p w14:paraId="2BFD64E9">
      <w:pPr>
        <w:pStyle w:val="4"/>
        <w:rPr>
          <w:rFonts w:ascii="仿宋" w:hAnsi="仿宋" w:eastAsia="仿宋"/>
        </w:rPr>
      </w:pPr>
      <w:bookmarkStart w:id="63" w:name="_Toc15396621"/>
      <w:r>
        <w:rPr>
          <w:rStyle w:val="19"/>
          <w:rFonts w:hint="eastAsia" w:ascii="仿宋" w:hAnsi="仿宋" w:eastAsia="仿宋"/>
          <w:b w:val="0"/>
          <w:bCs w:val="0"/>
        </w:rPr>
        <w:t>三、</w:t>
      </w:r>
      <w:r>
        <w:rPr>
          <w:rFonts w:hint="eastAsia" w:ascii="仿宋" w:hAnsi="仿宋" w:eastAsia="仿宋"/>
          <w:b w:val="0"/>
        </w:rPr>
        <w:t>支</w:t>
      </w:r>
      <w:r>
        <w:rPr>
          <w:rStyle w:val="19"/>
          <w:rFonts w:hint="eastAsia" w:ascii="仿宋" w:hAnsi="仿宋" w:eastAsia="仿宋"/>
          <w:b w:val="0"/>
          <w:bCs w:val="0"/>
        </w:rPr>
        <w:t>出决算表</w:t>
      </w:r>
      <w:bookmarkEnd w:id="63"/>
    </w:p>
    <w:p w14:paraId="6E00C7FF">
      <w:pPr>
        <w:pStyle w:val="4"/>
        <w:rPr>
          <w:rFonts w:ascii="仿宋" w:hAnsi="仿宋" w:eastAsia="仿宋"/>
          <w:b w:val="0"/>
        </w:rPr>
      </w:pPr>
      <w:bookmarkStart w:id="64" w:name="_Toc15396622"/>
      <w:r>
        <w:rPr>
          <w:rStyle w:val="19"/>
          <w:rFonts w:hint="eastAsia" w:ascii="仿宋" w:hAnsi="仿宋" w:eastAsia="仿宋"/>
          <w:b w:val="0"/>
          <w:bCs w:val="0"/>
        </w:rPr>
        <w:t>四、</w:t>
      </w:r>
      <w:r>
        <w:rPr>
          <w:rFonts w:hint="eastAsia" w:ascii="仿宋" w:hAnsi="仿宋" w:eastAsia="仿宋"/>
          <w:b w:val="0"/>
        </w:rPr>
        <w:t>财</w:t>
      </w:r>
      <w:r>
        <w:rPr>
          <w:rStyle w:val="19"/>
          <w:rFonts w:hint="eastAsia" w:ascii="仿宋" w:hAnsi="仿宋" w:eastAsia="仿宋"/>
          <w:b w:val="0"/>
          <w:bCs w:val="0"/>
        </w:rPr>
        <w:t>政拨款收入支出决算总表</w:t>
      </w:r>
      <w:bookmarkEnd w:id="64"/>
    </w:p>
    <w:p w14:paraId="6EEBA07E">
      <w:pPr>
        <w:pStyle w:val="4"/>
        <w:rPr>
          <w:rStyle w:val="19"/>
          <w:rFonts w:ascii="仿宋" w:hAnsi="仿宋" w:eastAsia="仿宋"/>
          <w:b w:val="0"/>
          <w:bCs w:val="0"/>
        </w:rPr>
      </w:pPr>
      <w:bookmarkStart w:id="65" w:name="_Toc15396623"/>
      <w:r>
        <w:rPr>
          <w:rStyle w:val="19"/>
          <w:rFonts w:hint="eastAsia" w:ascii="仿宋" w:hAnsi="仿宋" w:eastAsia="仿宋"/>
          <w:b w:val="0"/>
          <w:bCs w:val="0"/>
        </w:rPr>
        <w:t>五、</w:t>
      </w:r>
      <w:r>
        <w:rPr>
          <w:rFonts w:hint="eastAsia" w:ascii="仿宋" w:hAnsi="仿宋" w:eastAsia="仿宋"/>
          <w:b w:val="0"/>
        </w:rPr>
        <w:t>财</w:t>
      </w:r>
      <w:r>
        <w:rPr>
          <w:rStyle w:val="19"/>
          <w:rFonts w:hint="eastAsia" w:ascii="仿宋" w:hAnsi="仿宋" w:eastAsia="仿宋"/>
          <w:b w:val="0"/>
          <w:bCs w:val="0"/>
        </w:rPr>
        <w:t>政拨款支出决算明细表</w:t>
      </w:r>
      <w:bookmarkEnd w:id="65"/>
      <w:bookmarkStart w:id="66" w:name="_Toc15396624"/>
    </w:p>
    <w:p w14:paraId="22F75E41">
      <w:pPr>
        <w:pStyle w:val="4"/>
        <w:rPr>
          <w:rFonts w:ascii="仿宋" w:hAnsi="仿宋" w:eastAsia="仿宋"/>
        </w:rPr>
      </w:pPr>
      <w:r>
        <w:rPr>
          <w:rStyle w:val="19"/>
          <w:rFonts w:hint="eastAsia" w:ascii="仿宋" w:hAnsi="仿宋" w:eastAsia="仿宋"/>
          <w:b w:val="0"/>
          <w:bCs w:val="0"/>
        </w:rPr>
        <w:t>六、</w:t>
      </w:r>
      <w:r>
        <w:rPr>
          <w:rFonts w:hint="eastAsia" w:ascii="仿宋" w:hAnsi="仿宋" w:eastAsia="仿宋"/>
          <w:b w:val="0"/>
        </w:rPr>
        <w:t>一</w:t>
      </w:r>
      <w:r>
        <w:rPr>
          <w:rStyle w:val="19"/>
          <w:rFonts w:hint="eastAsia" w:ascii="仿宋" w:hAnsi="仿宋" w:eastAsia="仿宋"/>
          <w:b w:val="0"/>
          <w:bCs w:val="0"/>
        </w:rPr>
        <w:t>般公共预算财政拨款支出决算表</w:t>
      </w:r>
      <w:bookmarkEnd w:id="66"/>
    </w:p>
    <w:p w14:paraId="30E8BAC9">
      <w:pPr>
        <w:pStyle w:val="4"/>
        <w:rPr>
          <w:rFonts w:ascii="仿宋" w:hAnsi="仿宋" w:eastAsia="仿宋"/>
        </w:rPr>
      </w:pPr>
      <w:bookmarkStart w:id="67" w:name="_Toc15396625"/>
      <w:r>
        <w:rPr>
          <w:rStyle w:val="19"/>
          <w:rFonts w:hint="eastAsia" w:ascii="仿宋" w:hAnsi="仿宋" w:eastAsia="仿宋"/>
          <w:b w:val="0"/>
          <w:bCs w:val="0"/>
        </w:rPr>
        <w:t>七、</w:t>
      </w:r>
      <w:r>
        <w:rPr>
          <w:rFonts w:hint="eastAsia" w:ascii="仿宋" w:hAnsi="仿宋" w:eastAsia="仿宋"/>
          <w:b w:val="0"/>
        </w:rPr>
        <w:t>一</w:t>
      </w:r>
      <w:r>
        <w:rPr>
          <w:rStyle w:val="19"/>
          <w:rFonts w:hint="eastAsia" w:ascii="仿宋" w:hAnsi="仿宋" w:eastAsia="仿宋"/>
          <w:b w:val="0"/>
          <w:bCs w:val="0"/>
        </w:rPr>
        <w:t>般公共预算财政拨款支出决算明细表</w:t>
      </w:r>
      <w:bookmarkEnd w:id="67"/>
    </w:p>
    <w:p w14:paraId="4B786CD3">
      <w:pPr>
        <w:pStyle w:val="4"/>
        <w:rPr>
          <w:rFonts w:ascii="仿宋" w:hAnsi="仿宋" w:eastAsia="仿宋"/>
        </w:rPr>
      </w:pPr>
      <w:bookmarkStart w:id="68" w:name="_Toc15396626"/>
      <w:r>
        <w:rPr>
          <w:rStyle w:val="19"/>
          <w:rFonts w:hint="eastAsia" w:ascii="仿宋" w:hAnsi="仿宋" w:eastAsia="仿宋"/>
          <w:b w:val="0"/>
          <w:bCs w:val="0"/>
        </w:rPr>
        <w:t>八、</w:t>
      </w:r>
      <w:r>
        <w:rPr>
          <w:rFonts w:hint="eastAsia" w:ascii="仿宋" w:hAnsi="仿宋" w:eastAsia="仿宋"/>
          <w:b w:val="0"/>
        </w:rPr>
        <w:t>一</w:t>
      </w:r>
      <w:r>
        <w:rPr>
          <w:rStyle w:val="19"/>
          <w:rFonts w:hint="eastAsia" w:ascii="仿宋" w:hAnsi="仿宋" w:eastAsia="仿宋"/>
          <w:b w:val="0"/>
          <w:bCs w:val="0"/>
        </w:rPr>
        <w:t>般公共预算财政拨款基本支出决算表</w:t>
      </w:r>
      <w:bookmarkEnd w:id="68"/>
    </w:p>
    <w:p w14:paraId="10735CC9">
      <w:pPr>
        <w:pStyle w:val="4"/>
        <w:rPr>
          <w:rFonts w:ascii="仿宋" w:hAnsi="仿宋" w:eastAsia="仿宋"/>
        </w:rPr>
      </w:pPr>
      <w:bookmarkStart w:id="69" w:name="_Toc15396627"/>
      <w:r>
        <w:rPr>
          <w:rStyle w:val="19"/>
          <w:rFonts w:hint="eastAsia" w:ascii="仿宋" w:hAnsi="仿宋" w:eastAsia="仿宋"/>
          <w:b w:val="0"/>
          <w:bCs w:val="0"/>
        </w:rPr>
        <w:t>九、</w:t>
      </w:r>
      <w:r>
        <w:rPr>
          <w:rFonts w:hint="eastAsia" w:ascii="仿宋" w:hAnsi="仿宋" w:eastAsia="仿宋"/>
          <w:b w:val="0"/>
        </w:rPr>
        <w:t>一</w:t>
      </w:r>
      <w:r>
        <w:rPr>
          <w:rStyle w:val="19"/>
          <w:rFonts w:hint="eastAsia" w:ascii="仿宋" w:hAnsi="仿宋" w:eastAsia="仿宋"/>
          <w:b w:val="0"/>
          <w:bCs w:val="0"/>
        </w:rPr>
        <w:t>般公共预算财政拨款项目支出决算表</w:t>
      </w:r>
      <w:bookmarkEnd w:id="69"/>
    </w:p>
    <w:p w14:paraId="26A47505">
      <w:pPr>
        <w:pStyle w:val="4"/>
        <w:rPr>
          <w:rFonts w:ascii="仿宋" w:hAnsi="仿宋" w:eastAsia="仿宋"/>
        </w:rPr>
      </w:pPr>
      <w:bookmarkStart w:id="70" w:name="_Toc15396628"/>
      <w:r>
        <w:rPr>
          <w:rStyle w:val="19"/>
          <w:rFonts w:hint="eastAsia" w:ascii="仿宋" w:hAnsi="仿宋" w:eastAsia="仿宋"/>
          <w:b w:val="0"/>
          <w:bCs w:val="0"/>
        </w:rPr>
        <w:t>十、</w:t>
      </w:r>
      <w:r>
        <w:rPr>
          <w:rFonts w:hint="eastAsia" w:ascii="仿宋" w:hAnsi="仿宋" w:eastAsia="仿宋"/>
          <w:b w:val="0"/>
        </w:rPr>
        <w:t>一</w:t>
      </w:r>
      <w:r>
        <w:rPr>
          <w:rStyle w:val="19"/>
          <w:rFonts w:hint="eastAsia" w:ascii="仿宋" w:hAnsi="仿宋" w:eastAsia="仿宋"/>
          <w:b w:val="0"/>
          <w:bCs w:val="0"/>
        </w:rPr>
        <w:t>般公共预算财政拨款“三公”经费支出决算表</w:t>
      </w:r>
      <w:bookmarkEnd w:id="70"/>
    </w:p>
    <w:p w14:paraId="09B87488">
      <w:pPr>
        <w:pStyle w:val="4"/>
        <w:rPr>
          <w:rFonts w:ascii="仿宋" w:hAnsi="仿宋" w:eastAsia="仿宋"/>
        </w:rPr>
      </w:pPr>
      <w:bookmarkStart w:id="71" w:name="_Toc15396629"/>
      <w:r>
        <w:rPr>
          <w:rStyle w:val="19"/>
          <w:rFonts w:hint="eastAsia" w:ascii="仿宋" w:hAnsi="仿宋" w:eastAsia="仿宋"/>
          <w:b w:val="0"/>
          <w:bCs w:val="0"/>
        </w:rPr>
        <w:t>十一、</w:t>
      </w:r>
      <w:r>
        <w:rPr>
          <w:rFonts w:hint="eastAsia" w:ascii="仿宋" w:hAnsi="仿宋" w:eastAsia="仿宋"/>
          <w:b w:val="0"/>
        </w:rPr>
        <w:t>政</w:t>
      </w:r>
      <w:r>
        <w:rPr>
          <w:rStyle w:val="19"/>
          <w:rFonts w:hint="eastAsia" w:ascii="仿宋" w:hAnsi="仿宋" w:eastAsia="仿宋"/>
          <w:b w:val="0"/>
          <w:bCs w:val="0"/>
        </w:rPr>
        <w:t>府性基金预算财政拨款收入支出决算表</w:t>
      </w:r>
      <w:bookmarkEnd w:id="71"/>
    </w:p>
    <w:p w14:paraId="35D3E674">
      <w:pPr>
        <w:pStyle w:val="4"/>
        <w:rPr>
          <w:rFonts w:ascii="仿宋" w:hAnsi="仿宋" w:eastAsia="仿宋"/>
        </w:rPr>
      </w:pPr>
      <w:bookmarkStart w:id="72" w:name="_Toc15396630"/>
      <w:r>
        <w:rPr>
          <w:rStyle w:val="19"/>
          <w:rFonts w:hint="eastAsia" w:ascii="仿宋" w:hAnsi="仿宋" w:eastAsia="仿宋"/>
          <w:b w:val="0"/>
          <w:bCs w:val="0"/>
        </w:rPr>
        <w:t>十二、</w:t>
      </w:r>
      <w:r>
        <w:rPr>
          <w:rFonts w:hint="eastAsia" w:ascii="仿宋" w:hAnsi="仿宋" w:eastAsia="仿宋"/>
          <w:b w:val="0"/>
        </w:rPr>
        <w:t>政</w:t>
      </w:r>
      <w:r>
        <w:rPr>
          <w:rStyle w:val="19"/>
          <w:rFonts w:hint="eastAsia" w:ascii="仿宋" w:hAnsi="仿宋" w:eastAsia="仿宋"/>
          <w:b w:val="0"/>
          <w:bCs w:val="0"/>
        </w:rPr>
        <w:t>府性基金预算财政拨款“三公”经费支出决算表</w:t>
      </w:r>
      <w:bookmarkEnd w:id="72"/>
    </w:p>
    <w:p w14:paraId="4FBD6AE4">
      <w:pPr>
        <w:pStyle w:val="4"/>
        <w:rPr>
          <w:rStyle w:val="19"/>
          <w:rFonts w:ascii="仿宋" w:hAnsi="仿宋" w:eastAsia="仿宋"/>
          <w:b w:val="0"/>
          <w:bCs w:val="0"/>
        </w:rPr>
      </w:pPr>
      <w:bookmarkStart w:id="73" w:name="_Toc15396631"/>
      <w:r>
        <w:rPr>
          <w:rStyle w:val="19"/>
          <w:rFonts w:hint="eastAsia" w:ascii="仿宋" w:hAnsi="仿宋" w:eastAsia="仿宋"/>
          <w:b w:val="0"/>
          <w:bCs w:val="0"/>
        </w:rPr>
        <w:t>十三、</w:t>
      </w:r>
      <w:r>
        <w:rPr>
          <w:rFonts w:hint="eastAsia" w:ascii="仿宋" w:hAnsi="仿宋" w:eastAsia="仿宋"/>
          <w:b w:val="0"/>
        </w:rPr>
        <w:t>国</w:t>
      </w:r>
      <w:r>
        <w:rPr>
          <w:rStyle w:val="19"/>
          <w:rFonts w:hint="eastAsia" w:ascii="仿宋" w:hAnsi="仿宋" w:eastAsia="仿宋"/>
          <w:b w:val="0"/>
          <w:bCs w:val="0"/>
        </w:rPr>
        <w:t>有资本经营预算财政拨款收入支出决算表</w:t>
      </w:r>
      <w:bookmarkEnd w:id="73"/>
    </w:p>
    <w:p w14:paraId="0E28D3E7">
      <w:pPr>
        <w:rPr>
          <w:rFonts w:eastAsia="仿宋"/>
        </w:rPr>
      </w:pPr>
      <w:r>
        <w:rPr>
          <w:rStyle w:val="19"/>
          <w:rFonts w:hint="eastAsia" w:ascii="仿宋" w:hAnsi="仿宋" w:eastAsia="仿宋"/>
          <w:b w:val="0"/>
          <w:bCs w:val="0"/>
        </w:rPr>
        <w:t>十四、国有资本经营预算财政拨款支出决算表</w:t>
      </w:r>
    </w:p>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E6E64">
    <w:pPr>
      <w:pStyle w:val="9"/>
      <w:jc w:val="center"/>
    </w:pPr>
    <w:r>
      <w:rPr>
        <w:szCs w:val="21"/>
      </w:rPr>
      <w:t xml:space="preserve">- </w:t>
    </w:r>
    <w:r>
      <w:rPr>
        <w:szCs w:val="21"/>
      </w:rPr>
      <w:fldChar w:fldCharType="begin"/>
    </w:r>
    <w:r>
      <w:rPr>
        <w:szCs w:val="21"/>
      </w:rPr>
      <w:instrText xml:space="preserve"> PAGE </w:instrText>
    </w:r>
    <w:r>
      <w:rPr>
        <w:szCs w:val="21"/>
      </w:rPr>
      <w:fldChar w:fldCharType="separate"/>
    </w:r>
    <w:r>
      <w:rPr>
        <w:szCs w:val="21"/>
      </w:rPr>
      <w:t>2</w:t>
    </w:r>
    <w:r>
      <w:rPr>
        <w:szCs w:val="21"/>
      </w:rPr>
      <w:fldChar w:fldCharType="end"/>
    </w:r>
    <w:r>
      <w:rPr>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7D9E8">
    <w:pPr>
      <w:pStyle w:val="9"/>
      <w:jc w:val="center"/>
    </w:pPr>
    <w:r>
      <w:rPr>
        <w:szCs w:val="21"/>
      </w:rPr>
      <w:t xml:space="preserve">- </w:t>
    </w:r>
    <w:r>
      <w:rPr>
        <w:szCs w:val="21"/>
      </w:rPr>
      <w:fldChar w:fldCharType="begin"/>
    </w:r>
    <w:r>
      <w:rPr>
        <w:szCs w:val="21"/>
      </w:rPr>
      <w:instrText xml:space="preserve"> PAGE </w:instrText>
    </w:r>
    <w:r>
      <w:rPr>
        <w:szCs w:val="21"/>
      </w:rPr>
      <w:fldChar w:fldCharType="separate"/>
    </w:r>
    <w:r>
      <w:rPr>
        <w:szCs w:val="21"/>
      </w:rPr>
      <w:t>1</w:t>
    </w:r>
    <w:r>
      <w:rPr>
        <w:szCs w:val="21"/>
      </w:rPr>
      <w:fldChar w:fldCharType="end"/>
    </w:r>
    <w:r>
      <w:rPr>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194F3">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WYyYjIwNWMwMjMzMWFiOTY2ZGYwYjNiMjU5ZjA0ODEifQ=="/>
  </w:docVars>
  <w:rsids>
    <w:rsidRoot w:val="00F1361C"/>
    <w:rsid w:val="000222C6"/>
    <w:rsid w:val="00022560"/>
    <w:rsid w:val="0002549F"/>
    <w:rsid w:val="00036406"/>
    <w:rsid w:val="000468DB"/>
    <w:rsid w:val="000554BB"/>
    <w:rsid w:val="0006487A"/>
    <w:rsid w:val="00065F8F"/>
    <w:rsid w:val="00070A43"/>
    <w:rsid w:val="00074515"/>
    <w:rsid w:val="000768F2"/>
    <w:rsid w:val="00083A4D"/>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5348"/>
    <w:rsid w:val="000E6613"/>
    <w:rsid w:val="000E7119"/>
    <w:rsid w:val="00103845"/>
    <w:rsid w:val="00113149"/>
    <w:rsid w:val="00114E9B"/>
    <w:rsid w:val="00142216"/>
    <w:rsid w:val="00144D6A"/>
    <w:rsid w:val="0014729F"/>
    <w:rsid w:val="001505F2"/>
    <w:rsid w:val="00157BAB"/>
    <w:rsid w:val="001654D1"/>
    <w:rsid w:val="00174518"/>
    <w:rsid w:val="0018106D"/>
    <w:rsid w:val="001877A7"/>
    <w:rsid w:val="0019003B"/>
    <w:rsid w:val="00191536"/>
    <w:rsid w:val="00196687"/>
    <w:rsid w:val="001B1090"/>
    <w:rsid w:val="001C0962"/>
    <w:rsid w:val="001D7531"/>
    <w:rsid w:val="001E737D"/>
    <w:rsid w:val="001F0592"/>
    <w:rsid w:val="001F7506"/>
    <w:rsid w:val="002006CD"/>
    <w:rsid w:val="00202B36"/>
    <w:rsid w:val="00204B7A"/>
    <w:rsid w:val="00204CDE"/>
    <w:rsid w:val="0021101A"/>
    <w:rsid w:val="00220536"/>
    <w:rsid w:val="00220730"/>
    <w:rsid w:val="00235629"/>
    <w:rsid w:val="00260C38"/>
    <w:rsid w:val="002616C0"/>
    <w:rsid w:val="002644BE"/>
    <w:rsid w:val="00265372"/>
    <w:rsid w:val="002662AA"/>
    <w:rsid w:val="00273132"/>
    <w:rsid w:val="0027470B"/>
    <w:rsid w:val="002759C9"/>
    <w:rsid w:val="00280496"/>
    <w:rsid w:val="00282698"/>
    <w:rsid w:val="00287142"/>
    <w:rsid w:val="00292263"/>
    <w:rsid w:val="0029244A"/>
    <w:rsid w:val="002937D4"/>
    <w:rsid w:val="00294DC9"/>
    <w:rsid w:val="00295495"/>
    <w:rsid w:val="002A31DE"/>
    <w:rsid w:val="002B0DAD"/>
    <w:rsid w:val="002B2613"/>
    <w:rsid w:val="002C190E"/>
    <w:rsid w:val="002D6D05"/>
    <w:rsid w:val="002D7F39"/>
    <w:rsid w:val="002E19B1"/>
    <w:rsid w:val="002F1818"/>
    <w:rsid w:val="002F567B"/>
    <w:rsid w:val="002F6737"/>
    <w:rsid w:val="002F76AF"/>
    <w:rsid w:val="003077A2"/>
    <w:rsid w:val="003216A9"/>
    <w:rsid w:val="00331A3F"/>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2257"/>
    <w:rsid w:val="003D66DA"/>
    <w:rsid w:val="003E1310"/>
    <w:rsid w:val="003E4D4E"/>
    <w:rsid w:val="003E6F55"/>
    <w:rsid w:val="00406254"/>
    <w:rsid w:val="00411F7A"/>
    <w:rsid w:val="00415B00"/>
    <w:rsid w:val="004223DE"/>
    <w:rsid w:val="0043039D"/>
    <w:rsid w:val="00434489"/>
    <w:rsid w:val="00437085"/>
    <w:rsid w:val="0044375B"/>
    <w:rsid w:val="00443880"/>
    <w:rsid w:val="0044421B"/>
    <w:rsid w:val="004464F4"/>
    <w:rsid w:val="00457321"/>
    <w:rsid w:val="00471401"/>
    <w:rsid w:val="00473F31"/>
    <w:rsid w:val="0048263A"/>
    <w:rsid w:val="00487B35"/>
    <w:rsid w:val="00487E5D"/>
    <w:rsid w:val="00491E5A"/>
    <w:rsid w:val="004A4B38"/>
    <w:rsid w:val="004A711F"/>
    <w:rsid w:val="004B199D"/>
    <w:rsid w:val="004B4690"/>
    <w:rsid w:val="004C7634"/>
    <w:rsid w:val="004E0A2D"/>
    <w:rsid w:val="004E206B"/>
    <w:rsid w:val="004E6DF7"/>
    <w:rsid w:val="004F0FBD"/>
    <w:rsid w:val="004F2C30"/>
    <w:rsid w:val="00505A47"/>
    <w:rsid w:val="00512FDA"/>
    <w:rsid w:val="00516B4A"/>
    <w:rsid w:val="00520DA0"/>
    <w:rsid w:val="0052402D"/>
    <w:rsid w:val="00540432"/>
    <w:rsid w:val="005447FC"/>
    <w:rsid w:val="005625CA"/>
    <w:rsid w:val="005664BB"/>
    <w:rsid w:val="00566FFA"/>
    <w:rsid w:val="0057481D"/>
    <w:rsid w:val="00583529"/>
    <w:rsid w:val="0058486E"/>
    <w:rsid w:val="00585B33"/>
    <w:rsid w:val="0059014D"/>
    <w:rsid w:val="005A49E7"/>
    <w:rsid w:val="005B5C64"/>
    <w:rsid w:val="005C5337"/>
    <w:rsid w:val="005C6B9D"/>
    <w:rsid w:val="005C6BD0"/>
    <w:rsid w:val="005D1C8B"/>
    <w:rsid w:val="005D3386"/>
    <w:rsid w:val="005D468D"/>
    <w:rsid w:val="005D5CED"/>
    <w:rsid w:val="005F1A4C"/>
    <w:rsid w:val="00605688"/>
    <w:rsid w:val="006070AF"/>
    <w:rsid w:val="00607E6C"/>
    <w:rsid w:val="006101B1"/>
    <w:rsid w:val="00610814"/>
    <w:rsid w:val="00614E44"/>
    <w:rsid w:val="0062243E"/>
    <w:rsid w:val="0062270A"/>
    <w:rsid w:val="00622830"/>
    <w:rsid w:val="00623DA0"/>
    <w:rsid w:val="00630AEF"/>
    <w:rsid w:val="006325F8"/>
    <w:rsid w:val="00633463"/>
    <w:rsid w:val="00634C9A"/>
    <w:rsid w:val="006440E4"/>
    <w:rsid w:val="00646826"/>
    <w:rsid w:val="006572CB"/>
    <w:rsid w:val="0066343B"/>
    <w:rsid w:val="00664777"/>
    <w:rsid w:val="00667178"/>
    <w:rsid w:val="006748A4"/>
    <w:rsid w:val="00681A31"/>
    <w:rsid w:val="00683D21"/>
    <w:rsid w:val="00683E73"/>
    <w:rsid w:val="00690095"/>
    <w:rsid w:val="00693909"/>
    <w:rsid w:val="006A3141"/>
    <w:rsid w:val="006A5E34"/>
    <w:rsid w:val="006B0CB2"/>
    <w:rsid w:val="006B2422"/>
    <w:rsid w:val="006B2B9A"/>
    <w:rsid w:val="006C1937"/>
    <w:rsid w:val="006D497E"/>
    <w:rsid w:val="006F020C"/>
    <w:rsid w:val="00710C4B"/>
    <w:rsid w:val="007127B7"/>
    <w:rsid w:val="0071798E"/>
    <w:rsid w:val="00726E4D"/>
    <w:rsid w:val="00736007"/>
    <w:rsid w:val="007416B6"/>
    <w:rsid w:val="00746F48"/>
    <w:rsid w:val="0075404D"/>
    <w:rsid w:val="0076182A"/>
    <w:rsid w:val="00767B7E"/>
    <w:rsid w:val="007721FB"/>
    <w:rsid w:val="007770C3"/>
    <w:rsid w:val="00784D24"/>
    <w:rsid w:val="00785FBA"/>
    <w:rsid w:val="00786E4A"/>
    <w:rsid w:val="007875EB"/>
    <w:rsid w:val="0079426B"/>
    <w:rsid w:val="007B648F"/>
    <w:rsid w:val="007D1682"/>
    <w:rsid w:val="007D312A"/>
    <w:rsid w:val="007D3F19"/>
    <w:rsid w:val="007E23B0"/>
    <w:rsid w:val="007E23E5"/>
    <w:rsid w:val="007E6B7C"/>
    <w:rsid w:val="007F1991"/>
    <w:rsid w:val="007F2C2F"/>
    <w:rsid w:val="007F55FC"/>
    <w:rsid w:val="007F5665"/>
    <w:rsid w:val="00800112"/>
    <w:rsid w:val="0080286A"/>
    <w:rsid w:val="00813348"/>
    <w:rsid w:val="008253BB"/>
    <w:rsid w:val="00825460"/>
    <w:rsid w:val="00834932"/>
    <w:rsid w:val="0083706E"/>
    <w:rsid w:val="008408F6"/>
    <w:rsid w:val="008423A5"/>
    <w:rsid w:val="00843373"/>
    <w:rsid w:val="008451D6"/>
    <w:rsid w:val="00850625"/>
    <w:rsid w:val="00853718"/>
    <w:rsid w:val="00855221"/>
    <w:rsid w:val="00860645"/>
    <w:rsid w:val="00871F71"/>
    <w:rsid w:val="00872BF2"/>
    <w:rsid w:val="00872FD8"/>
    <w:rsid w:val="0087656D"/>
    <w:rsid w:val="00885AF4"/>
    <w:rsid w:val="008908A2"/>
    <w:rsid w:val="008939CD"/>
    <w:rsid w:val="008B768C"/>
    <w:rsid w:val="008C4DB1"/>
    <w:rsid w:val="008C4EAF"/>
    <w:rsid w:val="008C5176"/>
    <w:rsid w:val="008C7FD0"/>
    <w:rsid w:val="008E1DE7"/>
    <w:rsid w:val="008E707C"/>
    <w:rsid w:val="00900B08"/>
    <w:rsid w:val="00902155"/>
    <w:rsid w:val="00902FA3"/>
    <w:rsid w:val="009055EA"/>
    <w:rsid w:val="00923564"/>
    <w:rsid w:val="0092392E"/>
    <w:rsid w:val="009315F9"/>
    <w:rsid w:val="00933499"/>
    <w:rsid w:val="00935C98"/>
    <w:rsid w:val="00945866"/>
    <w:rsid w:val="00946901"/>
    <w:rsid w:val="00946945"/>
    <w:rsid w:val="00951248"/>
    <w:rsid w:val="0095152F"/>
    <w:rsid w:val="00954C49"/>
    <w:rsid w:val="00955E37"/>
    <w:rsid w:val="0097099F"/>
    <w:rsid w:val="00971997"/>
    <w:rsid w:val="00971FFC"/>
    <w:rsid w:val="009819ED"/>
    <w:rsid w:val="0098660A"/>
    <w:rsid w:val="009931C3"/>
    <w:rsid w:val="009937CD"/>
    <w:rsid w:val="009950A7"/>
    <w:rsid w:val="009A2E62"/>
    <w:rsid w:val="009B01F4"/>
    <w:rsid w:val="009B2C43"/>
    <w:rsid w:val="009B4EAE"/>
    <w:rsid w:val="009B7573"/>
    <w:rsid w:val="009C22F4"/>
    <w:rsid w:val="009C2A4B"/>
    <w:rsid w:val="009C2E98"/>
    <w:rsid w:val="009D3447"/>
    <w:rsid w:val="009D4711"/>
    <w:rsid w:val="009E6AF0"/>
    <w:rsid w:val="009F1185"/>
    <w:rsid w:val="009F18CD"/>
    <w:rsid w:val="009F2A13"/>
    <w:rsid w:val="009F73C1"/>
    <w:rsid w:val="009F7527"/>
    <w:rsid w:val="009F7A2C"/>
    <w:rsid w:val="00A04EB0"/>
    <w:rsid w:val="00A05DDD"/>
    <w:rsid w:val="00A13CC1"/>
    <w:rsid w:val="00A16847"/>
    <w:rsid w:val="00A237D8"/>
    <w:rsid w:val="00A268C4"/>
    <w:rsid w:val="00A307CD"/>
    <w:rsid w:val="00A331C8"/>
    <w:rsid w:val="00A406ED"/>
    <w:rsid w:val="00A40A00"/>
    <w:rsid w:val="00A4142F"/>
    <w:rsid w:val="00A422EB"/>
    <w:rsid w:val="00A45BB7"/>
    <w:rsid w:val="00A51652"/>
    <w:rsid w:val="00A56DF2"/>
    <w:rsid w:val="00A56E6E"/>
    <w:rsid w:val="00A67AB5"/>
    <w:rsid w:val="00A733B2"/>
    <w:rsid w:val="00A741C2"/>
    <w:rsid w:val="00A91760"/>
    <w:rsid w:val="00A93B00"/>
    <w:rsid w:val="00A93C21"/>
    <w:rsid w:val="00A96B60"/>
    <w:rsid w:val="00AA3C67"/>
    <w:rsid w:val="00AB64C9"/>
    <w:rsid w:val="00AB6B7E"/>
    <w:rsid w:val="00AC3C6A"/>
    <w:rsid w:val="00AD0C25"/>
    <w:rsid w:val="00AD5620"/>
    <w:rsid w:val="00AD656B"/>
    <w:rsid w:val="00AD7C1B"/>
    <w:rsid w:val="00AE16BA"/>
    <w:rsid w:val="00AE1EBE"/>
    <w:rsid w:val="00B00B50"/>
    <w:rsid w:val="00B02043"/>
    <w:rsid w:val="00B03C9D"/>
    <w:rsid w:val="00B060AE"/>
    <w:rsid w:val="00B10517"/>
    <w:rsid w:val="00B14E76"/>
    <w:rsid w:val="00B161B8"/>
    <w:rsid w:val="00B2048C"/>
    <w:rsid w:val="00B2230C"/>
    <w:rsid w:val="00B310B9"/>
    <w:rsid w:val="00B35F3F"/>
    <w:rsid w:val="00B36CBB"/>
    <w:rsid w:val="00B425E0"/>
    <w:rsid w:val="00B440AA"/>
    <w:rsid w:val="00B44B70"/>
    <w:rsid w:val="00B53C56"/>
    <w:rsid w:val="00B57DAF"/>
    <w:rsid w:val="00B77EA6"/>
    <w:rsid w:val="00B80B4E"/>
    <w:rsid w:val="00B81598"/>
    <w:rsid w:val="00B841F1"/>
    <w:rsid w:val="00B944D6"/>
    <w:rsid w:val="00BA0FF8"/>
    <w:rsid w:val="00BA19D2"/>
    <w:rsid w:val="00BB4DF0"/>
    <w:rsid w:val="00BC289F"/>
    <w:rsid w:val="00BC2D50"/>
    <w:rsid w:val="00BC5361"/>
    <w:rsid w:val="00BC5460"/>
    <w:rsid w:val="00BC6B50"/>
    <w:rsid w:val="00BD0E25"/>
    <w:rsid w:val="00BF3803"/>
    <w:rsid w:val="00BF5BD6"/>
    <w:rsid w:val="00C03E31"/>
    <w:rsid w:val="00C104D7"/>
    <w:rsid w:val="00C22BD0"/>
    <w:rsid w:val="00C26FFD"/>
    <w:rsid w:val="00C33E72"/>
    <w:rsid w:val="00C354B2"/>
    <w:rsid w:val="00C35554"/>
    <w:rsid w:val="00C42709"/>
    <w:rsid w:val="00C533CC"/>
    <w:rsid w:val="00C5751C"/>
    <w:rsid w:val="00C61BFC"/>
    <w:rsid w:val="00C62B85"/>
    <w:rsid w:val="00C65438"/>
    <w:rsid w:val="00C73D1C"/>
    <w:rsid w:val="00C87FD8"/>
    <w:rsid w:val="00C91381"/>
    <w:rsid w:val="00C91CBB"/>
    <w:rsid w:val="00CA452E"/>
    <w:rsid w:val="00CA528D"/>
    <w:rsid w:val="00CB2CF6"/>
    <w:rsid w:val="00CB4E70"/>
    <w:rsid w:val="00CC07C5"/>
    <w:rsid w:val="00CC09B6"/>
    <w:rsid w:val="00CC666F"/>
    <w:rsid w:val="00CD1E3F"/>
    <w:rsid w:val="00CD6082"/>
    <w:rsid w:val="00CD7F58"/>
    <w:rsid w:val="00CE44F6"/>
    <w:rsid w:val="00CE49DA"/>
    <w:rsid w:val="00CE7B61"/>
    <w:rsid w:val="00CF6A8C"/>
    <w:rsid w:val="00D00095"/>
    <w:rsid w:val="00D114F0"/>
    <w:rsid w:val="00D20620"/>
    <w:rsid w:val="00D254F7"/>
    <w:rsid w:val="00D26091"/>
    <w:rsid w:val="00D2685C"/>
    <w:rsid w:val="00D34E7C"/>
    <w:rsid w:val="00D35489"/>
    <w:rsid w:val="00D36AFE"/>
    <w:rsid w:val="00D4630E"/>
    <w:rsid w:val="00D51276"/>
    <w:rsid w:val="00D7035F"/>
    <w:rsid w:val="00D74A22"/>
    <w:rsid w:val="00DA634F"/>
    <w:rsid w:val="00DA65AC"/>
    <w:rsid w:val="00DA7B96"/>
    <w:rsid w:val="00DB1913"/>
    <w:rsid w:val="00DB7F20"/>
    <w:rsid w:val="00DC410D"/>
    <w:rsid w:val="00DC5A81"/>
    <w:rsid w:val="00DC68CA"/>
    <w:rsid w:val="00DC7CBA"/>
    <w:rsid w:val="00DD73B7"/>
    <w:rsid w:val="00DF28BC"/>
    <w:rsid w:val="00DF34B9"/>
    <w:rsid w:val="00E01053"/>
    <w:rsid w:val="00E07ACF"/>
    <w:rsid w:val="00E07F0A"/>
    <w:rsid w:val="00E179DC"/>
    <w:rsid w:val="00E331A1"/>
    <w:rsid w:val="00E33202"/>
    <w:rsid w:val="00E336A9"/>
    <w:rsid w:val="00E472B1"/>
    <w:rsid w:val="00E50624"/>
    <w:rsid w:val="00E568DF"/>
    <w:rsid w:val="00E57579"/>
    <w:rsid w:val="00E64269"/>
    <w:rsid w:val="00E82267"/>
    <w:rsid w:val="00E82CC4"/>
    <w:rsid w:val="00E853CE"/>
    <w:rsid w:val="00E867B6"/>
    <w:rsid w:val="00E929B0"/>
    <w:rsid w:val="00EA010F"/>
    <w:rsid w:val="00ED1B63"/>
    <w:rsid w:val="00ED3C1F"/>
    <w:rsid w:val="00ED4085"/>
    <w:rsid w:val="00ED420E"/>
    <w:rsid w:val="00ED6FBE"/>
    <w:rsid w:val="00EE2F57"/>
    <w:rsid w:val="00EE500C"/>
    <w:rsid w:val="00EF4C34"/>
    <w:rsid w:val="00EF77C6"/>
    <w:rsid w:val="00F05438"/>
    <w:rsid w:val="00F1361C"/>
    <w:rsid w:val="00F156F0"/>
    <w:rsid w:val="00F160C7"/>
    <w:rsid w:val="00F2408F"/>
    <w:rsid w:val="00F240E9"/>
    <w:rsid w:val="00F270B8"/>
    <w:rsid w:val="00F36D8F"/>
    <w:rsid w:val="00F417B1"/>
    <w:rsid w:val="00F44535"/>
    <w:rsid w:val="00F45853"/>
    <w:rsid w:val="00F602DF"/>
    <w:rsid w:val="00F754A1"/>
    <w:rsid w:val="00F81802"/>
    <w:rsid w:val="00F81FD9"/>
    <w:rsid w:val="00F841AA"/>
    <w:rsid w:val="00F84A94"/>
    <w:rsid w:val="00F87963"/>
    <w:rsid w:val="00F87E96"/>
    <w:rsid w:val="00F965D6"/>
    <w:rsid w:val="00FA23E8"/>
    <w:rsid w:val="00FA744F"/>
    <w:rsid w:val="00FB3C08"/>
    <w:rsid w:val="00FD3CC1"/>
    <w:rsid w:val="00FF1E02"/>
    <w:rsid w:val="00FF30B4"/>
    <w:rsid w:val="066E0107"/>
    <w:rsid w:val="07996F6E"/>
    <w:rsid w:val="0A2032A3"/>
    <w:rsid w:val="101860EC"/>
    <w:rsid w:val="10C055FF"/>
    <w:rsid w:val="118107EC"/>
    <w:rsid w:val="13D50BC4"/>
    <w:rsid w:val="16BB723D"/>
    <w:rsid w:val="1BE8440E"/>
    <w:rsid w:val="1D155CEE"/>
    <w:rsid w:val="23860B96"/>
    <w:rsid w:val="240371BF"/>
    <w:rsid w:val="29FD04D3"/>
    <w:rsid w:val="2C8A61B5"/>
    <w:rsid w:val="2DF04E50"/>
    <w:rsid w:val="319F7F4E"/>
    <w:rsid w:val="36AA5135"/>
    <w:rsid w:val="37E16F03"/>
    <w:rsid w:val="386F2010"/>
    <w:rsid w:val="3D98207C"/>
    <w:rsid w:val="44E268DA"/>
    <w:rsid w:val="4A627F82"/>
    <w:rsid w:val="4B4F25DA"/>
    <w:rsid w:val="4B9F7402"/>
    <w:rsid w:val="4BE068DB"/>
    <w:rsid w:val="4D577224"/>
    <w:rsid w:val="4EAB630A"/>
    <w:rsid w:val="4ECE2238"/>
    <w:rsid w:val="5AF92295"/>
    <w:rsid w:val="5CD71FC4"/>
    <w:rsid w:val="6C4A05C8"/>
    <w:rsid w:val="6E7E3605"/>
    <w:rsid w:val="6FF5CC65"/>
    <w:rsid w:val="715C0E4B"/>
    <w:rsid w:val="72734D90"/>
    <w:rsid w:val="73AD73D5"/>
    <w:rsid w:val="73B6EB34"/>
    <w:rsid w:val="79EE5BA4"/>
    <w:rsid w:val="7A894339"/>
    <w:rsid w:val="7EEF11D3"/>
    <w:rsid w:val="7FA30C79"/>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qFormat="1" w:unhideWhenUsed="0"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99"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8"/>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19"/>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20"/>
    <w:qFormat/>
    <w:uiPriority w:val="9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7"/>
    <w:qFormat/>
    <w:uiPriority w:val="99"/>
    <w:pPr>
      <w:spacing w:beforeLines="30"/>
    </w:pPr>
    <w:rPr>
      <w:rFonts w:ascii="仿宋_GB2312" w:eastAsia="仿宋_GB2312"/>
      <w:kern w:val="0"/>
      <w:sz w:val="24"/>
      <w:szCs w:val="20"/>
    </w:rPr>
  </w:style>
  <w:style w:type="paragraph" w:styleId="6">
    <w:name w:val="index 5"/>
    <w:basedOn w:val="1"/>
    <w:next w:val="1"/>
    <w:semiHidden/>
    <w:qFormat/>
    <w:locked/>
    <w:uiPriority w:val="99"/>
    <w:pPr>
      <w:ind w:left="800" w:leftChars="800"/>
    </w:pPr>
  </w:style>
  <w:style w:type="paragraph" w:styleId="7">
    <w:name w:val="toc 3"/>
    <w:basedOn w:val="1"/>
    <w:next w:val="1"/>
    <w:qFormat/>
    <w:uiPriority w:val="99"/>
    <w:pPr>
      <w:tabs>
        <w:tab w:val="right" w:leader="dot" w:pos="8296"/>
      </w:tabs>
      <w:ind w:left="840" w:leftChars="400"/>
    </w:pPr>
  </w:style>
  <w:style w:type="paragraph" w:styleId="8">
    <w:name w:val="Balloon Text"/>
    <w:basedOn w:val="1"/>
    <w:link w:val="22"/>
    <w:semiHidden/>
    <w:qFormat/>
    <w:uiPriority w:val="99"/>
    <w:rPr>
      <w:sz w:val="18"/>
      <w:szCs w:val="18"/>
    </w:rPr>
  </w:style>
  <w:style w:type="paragraph" w:styleId="9">
    <w:name w:val="footer"/>
    <w:basedOn w:val="1"/>
    <w:link w:val="26"/>
    <w:qFormat/>
    <w:uiPriority w:val="99"/>
    <w:pPr>
      <w:tabs>
        <w:tab w:val="center" w:pos="4153"/>
        <w:tab w:val="right" w:pos="8306"/>
      </w:tabs>
      <w:snapToGrid w:val="0"/>
      <w:jc w:val="left"/>
    </w:pPr>
    <w:rPr>
      <w:kern w:val="0"/>
      <w:sz w:val="18"/>
      <w:szCs w:val="20"/>
    </w:rPr>
  </w:style>
  <w:style w:type="paragraph" w:styleId="10">
    <w:name w:val="header"/>
    <w:basedOn w:val="1"/>
    <w:link w:val="25"/>
    <w:semiHidden/>
    <w:qFormat/>
    <w:uiPriority w:val="99"/>
    <w:pPr>
      <w:pBdr>
        <w:bottom w:val="single" w:color="auto" w:sz="6" w:space="1"/>
      </w:pBdr>
      <w:tabs>
        <w:tab w:val="center" w:pos="4153"/>
        <w:tab w:val="right" w:pos="8306"/>
      </w:tabs>
      <w:snapToGrid w:val="0"/>
      <w:jc w:val="center"/>
    </w:pPr>
    <w:rPr>
      <w:kern w:val="0"/>
      <w:sz w:val="18"/>
      <w:szCs w:val="20"/>
    </w:rPr>
  </w:style>
  <w:style w:type="paragraph" w:styleId="11">
    <w:name w:val="toc 1"/>
    <w:basedOn w:val="1"/>
    <w:next w:val="1"/>
    <w:qFormat/>
    <w:uiPriority w:val="99"/>
    <w:pPr>
      <w:tabs>
        <w:tab w:val="right" w:leader="dot" w:pos="8296"/>
      </w:tabs>
      <w:spacing w:before="93"/>
      <w:jc w:val="center"/>
    </w:pPr>
    <w:rPr>
      <w:rFonts w:ascii="仿宋" w:hAnsi="仿宋" w:eastAsia="仿宋"/>
      <w:sz w:val="28"/>
      <w:szCs w:val="28"/>
    </w:rPr>
  </w:style>
  <w:style w:type="paragraph" w:styleId="12">
    <w:name w:val="toc 2"/>
    <w:basedOn w:val="1"/>
    <w:next w:val="1"/>
    <w:qFormat/>
    <w:uiPriority w:val="99"/>
    <w:pPr>
      <w:tabs>
        <w:tab w:val="right" w:leader="dot" w:pos="8296"/>
      </w:tabs>
      <w:ind w:left="420" w:leftChars="200"/>
    </w:pPr>
  </w:style>
  <w:style w:type="paragraph" w:styleId="13">
    <w:name w:val="Normal (Web)"/>
    <w:basedOn w:val="1"/>
    <w:next w:val="6"/>
    <w:qFormat/>
    <w:locked/>
    <w:uiPriority w:val="99"/>
    <w:pPr>
      <w:spacing w:before="100" w:beforeAutospacing="1" w:after="100" w:afterAutospacing="1"/>
      <w:jc w:val="left"/>
    </w:pPr>
    <w:rPr>
      <w:kern w:val="0"/>
      <w:sz w:val="24"/>
    </w:rPr>
  </w:style>
  <w:style w:type="character" w:styleId="16">
    <w:name w:val="Strong"/>
    <w:basedOn w:val="15"/>
    <w:qFormat/>
    <w:uiPriority w:val="99"/>
    <w:rPr>
      <w:rFonts w:cs="Times New Roman"/>
      <w:b/>
    </w:rPr>
  </w:style>
  <w:style w:type="character" w:styleId="17">
    <w:name w:val="Hyperlink"/>
    <w:basedOn w:val="15"/>
    <w:qFormat/>
    <w:uiPriority w:val="99"/>
    <w:rPr>
      <w:rFonts w:cs="Times New Roman"/>
      <w:color w:val="0000FF"/>
      <w:u w:val="single"/>
    </w:rPr>
  </w:style>
  <w:style w:type="character" w:customStyle="1" w:styleId="18">
    <w:name w:val="标题 1 Char"/>
    <w:basedOn w:val="15"/>
    <w:link w:val="3"/>
    <w:qFormat/>
    <w:locked/>
    <w:uiPriority w:val="99"/>
    <w:rPr>
      <w:rFonts w:ascii="Times New Roman" w:hAnsi="Times New Roman" w:cs="Times New Roman"/>
      <w:b/>
      <w:bCs/>
      <w:kern w:val="44"/>
      <w:sz w:val="44"/>
      <w:szCs w:val="44"/>
    </w:rPr>
  </w:style>
  <w:style w:type="character" w:customStyle="1" w:styleId="19">
    <w:name w:val="标题 2 Char"/>
    <w:basedOn w:val="15"/>
    <w:link w:val="4"/>
    <w:qFormat/>
    <w:locked/>
    <w:uiPriority w:val="99"/>
    <w:rPr>
      <w:rFonts w:ascii="Cambria" w:hAnsi="Cambria" w:eastAsia="宋体" w:cs="Times New Roman"/>
      <w:b/>
      <w:bCs/>
      <w:kern w:val="2"/>
      <w:sz w:val="32"/>
      <w:szCs w:val="32"/>
    </w:rPr>
  </w:style>
  <w:style w:type="character" w:customStyle="1" w:styleId="20">
    <w:name w:val="标题 3 Char"/>
    <w:basedOn w:val="15"/>
    <w:link w:val="5"/>
    <w:qFormat/>
    <w:locked/>
    <w:uiPriority w:val="99"/>
    <w:rPr>
      <w:rFonts w:ascii="Times New Roman" w:hAnsi="Times New Roman" w:cs="Times New Roman"/>
      <w:b/>
      <w:bCs/>
      <w:kern w:val="2"/>
      <w:sz w:val="32"/>
      <w:szCs w:val="32"/>
    </w:rPr>
  </w:style>
  <w:style w:type="character" w:customStyle="1" w:styleId="21">
    <w:name w:val="Body Text Char"/>
    <w:basedOn w:val="15"/>
    <w:link w:val="2"/>
    <w:semiHidden/>
    <w:qFormat/>
    <w:locked/>
    <w:uiPriority w:val="99"/>
    <w:rPr>
      <w:rFonts w:ascii="Times New Roman" w:hAnsi="Times New Roman" w:cs="Times New Roman"/>
      <w:sz w:val="24"/>
      <w:szCs w:val="24"/>
    </w:rPr>
  </w:style>
  <w:style w:type="character" w:customStyle="1" w:styleId="22">
    <w:name w:val="批注框文本 Char"/>
    <w:basedOn w:val="15"/>
    <w:link w:val="8"/>
    <w:semiHidden/>
    <w:qFormat/>
    <w:locked/>
    <w:uiPriority w:val="99"/>
    <w:rPr>
      <w:rFonts w:ascii="Times New Roman" w:hAnsi="Times New Roman" w:cs="Times New Roman"/>
      <w:kern w:val="2"/>
      <w:sz w:val="18"/>
      <w:szCs w:val="18"/>
    </w:rPr>
  </w:style>
  <w:style w:type="character" w:customStyle="1" w:styleId="23">
    <w:name w:val="Footer Char"/>
    <w:basedOn w:val="15"/>
    <w:link w:val="9"/>
    <w:semiHidden/>
    <w:qFormat/>
    <w:locked/>
    <w:uiPriority w:val="99"/>
    <w:rPr>
      <w:rFonts w:ascii="Times New Roman" w:hAnsi="Times New Roman" w:cs="Times New Roman"/>
      <w:sz w:val="18"/>
      <w:szCs w:val="18"/>
    </w:rPr>
  </w:style>
  <w:style w:type="character" w:customStyle="1" w:styleId="24">
    <w:name w:val="Header Char"/>
    <w:basedOn w:val="15"/>
    <w:link w:val="10"/>
    <w:semiHidden/>
    <w:qFormat/>
    <w:locked/>
    <w:uiPriority w:val="99"/>
    <w:rPr>
      <w:rFonts w:ascii="Times New Roman" w:hAnsi="Times New Roman" w:cs="Times New Roman"/>
      <w:sz w:val="18"/>
      <w:szCs w:val="18"/>
    </w:rPr>
  </w:style>
  <w:style w:type="character" w:customStyle="1" w:styleId="25">
    <w:name w:val="页眉 Char"/>
    <w:link w:val="10"/>
    <w:semiHidden/>
    <w:qFormat/>
    <w:locked/>
    <w:uiPriority w:val="99"/>
    <w:rPr>
      <w:sz w:val="18"/>
    </w:rPr>
  </w:style>
  <w:style w:type="character" w:customStyle="1" w:styleId="26">
    <w:name w:val="页脚 Char"/>
    <w:link w:val="9"/>
    <w:qFormat/>
    <w:locked/>
    <w:uiPriority w:val="99"/>
    <w:rPr>
      <w:sz w:val="18"/>
    </w:rPr>
  </w:style>
  <w:style w:type="character" w:customStyle="1" w:styleId="27">
    <w:name w:val="正文文本 Char"/>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99"/>
    <w:pPr>
      <w:ind w:firstLine="420" w:firstLineChars="200"/>
    </w:pPr>
  </w:style>
  <w:style w:type="paragraph" w:customStyle="1" w:styleId="30">
    <w:name w:val="TOC 标题1"/>
    <w:basedOn w:val="3"/>
    <w:next w:val="1"/>
    <w:qFormat/>
    <w:uiPriority w:val="99"/>
    <w:pPr>
      <w:widowControl/>
      <w:spacing w:before="480" w:after="0" w:line="276" w:lineRule="auto"/>
      <w:jc w:val="left"/>
      <w:outlineLvl w:val="9"/>
    </w:pPr>
    <w:rPr>
      <w:rFonts w:ascii="Cambria" w:hAnsi="Cambria"/>
      <w:color w:val="365F91"/>
      <w:kern w:val="0"/>
      <w:sz w:val="28"/>
      <w:szCs w:val="28"/>
    </w:rPr>
  </w:style>
  <w:style w:type="paragraph" w:customStyle="1" w:styleId="31">
    <w:name w:val="TOC 标题2"/>
    <w:basedOn w:val="3"/>
    <w:next w:val="1"/>
    <w:qFormat/>
    <w:uiPriority w:val="99"/>
    <w:pPr>
      <w:widowControl/>
      <w:spacing w:before="480" w:after="0" w:line="276" w:lineRule="auto"/>
      <w:jc w:val="left"/>
      <w:outlineLvl w:val="9"/>
    </w:pPr>
    <w:rPr>
      <w:rFonts w:ascii="Cambria" w:hAnsi="Cambria"/>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Workbook2.xls"/><Relationship Id="rId8" Type="http://schemas.openxmlformats.org/officeDocument/2006/relationships/image" Target="media/image1.png"/><Relationship Id="rId7" Type="http://schemas.openxmlformats.org/officeDocument/2006/relationships/oleObject" Target="embeddings/Workbook1.xls"/><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6.emf"/><Relationship Id="rId17" Type="http://schemas.openxmlformats.org/officeDocument/2006/relationships/oleObject" Target="embeddings/Workbook6.xls"/><Relationship Id="rId16" Type="http://schemas.openxmlformats.org/officeDocument/2006/relationships/image" Target="media/image5.png"/><Relationship Id="rId15" Type="http://schemas.openxmlformats.org/officeDocument/2006/relationships/oleObject" Target="embeddings/Workbook5.xls"/><Relationship Id="rId14" Type="http://schemas.openxmlformats.org/officeDocument/2006/relationships/image" Target="media/image4.png"/><Relationship Id="rId13" Type="http://schemas.openxmlformats.org/officeDocument/2006/relationships/oleObject" Target="embeddings/Workbook4.xls"/><Relationship Id="rId12" Type="http://schemas.openxmlformats.org/officeDocument/2006/relationships/image" Target="media/image3.png"/><Relationship Id="rId11" Type="http://schemas.openxmlformats.org/officeDocument/2006/relationships/oleObject" Target="embeddings/Workbook3.xls"/><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28</Pages>
  <Words>995</Words>
  <Characters>3169</Characters>
  <Lines>94</Lines>
  <Paragraphs>26</Paragraphs>
  <TotalTime>28</TotalTime>
  <ScaleCrop>false</ScaleCrop>
  <LinksUpToDate>false</LinksUpToDate>
  <CharactersWithSpaces>3171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2022-10-17T01:24:00Z</dcterms:created>
  <dc:creator>曹颖</dc:creator>
  <cp:lastModifiedBy>Owner</cp:lastModifiedBy>
  <cp:lastPrinted>2022-08-08T09:11:00Z</cp:lastPrinted>
  <dcterms:modified xsi:type="dcterms:W3CDTF">2026-08-20T09:46:04Z</dcterms:modified>
  <dc:title>四川省***</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DC6C03A762B3448688E470A1AA91D6A9</vt:lpwstr>
  </property>
  <property fmtid="{D5CDD505-2E9C-101B-9397-08002B2CF9AE}" pid="4" name="KSOTemplateDocerSaveRecord">
    <vt:lpwstr>eyJoZGlkIjoiZDg0NDNiYTUxOWU4N2FhYTE5YTc3OTM5YzA0NWVjYWEiLCJ1c2VySWQiOiIxMzY3NTIyMzE2In0=</vt:lpwstr>
  </property>
</Properties>
</file>