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66EBE">
      <w:pPr>
        <w:spacing w:line="600" w:lineRule="exact"/>
        <w:rPr>
          <w:rFonts w:eastAsia="方正小标宋简体"/>
          <w:color w:val="000000"/>
          <w:kern w:val="0"/>
          <w:sz w:val="44"/>
          <w:szCs w:val="44"/>
        </w:rPr>
      </w:pPr>
    </w:p>
    <w:p w14:paraId="778192C0">
      <w:pPr>
        <w:spacing w:line="640" w:lineRule="exact"/>
        <w:jc w:val="center"/>
        <w:rPr>
          <w:rFonts w:ascii="方正小标宋_GBK" w:eastAsia="方正小标宋_GBK"/>
          <w:sz w:val="44"/>
          <w:szCs w:val="44"/>
        </w:rPr>
      </w:pPr>
      <w:r>
        <w:rPr>
          <w:rFonts w:ascii="方正小标宋_GBK" w:eastAsia="方正小标宋_GBK"/>
          <w:sz w:val="44"/>
          <w:szCs w:val="44"/>
        </w:rPr>
        <w:t>2021</w:t>
      </w:r>
      <w:r>
        <w:rPr>
          <w:rFonts w:hint="eastAsia" w:ascii="方正小标宋_GBK" w:eastAsia="方正小标宋_GBK"/>
          <w:sz w:val="44"/>
          <w:szCs w:val="44"/>
        </w:rPr>
        <w:t>年度专项（项目）资金绩效自评报告</w:t>
      </w:r>
    </w:p>
    <w:p w14:paraId="2330D22E">
      <w:pPr>
        <w:spacing w:line="640" w:lineRule="exact"/>
        <w:jc w:val="center"/>
        <w:rPr>
          <w:rFonts w:eastAsia="方正楷体_GBK"/>
          <w:b/>
          <w:sz w:val="32"/>
          <w:szCs w:val="32"/>
        </w:rPr>
      </w:pPr>
      <w:r>
        <w:rPr>
          <w:rFonts w:hint="eastAsia" w:eastAsia="方正楷体_GBK"/>
          <w:b/>
          <w:sz w:val="32"/>
          <w:szCs w:val="32"/>
        </w:rPr>
        <w:t>（盐边县信访局信访业务经费项目）</w:t>
      </w:r>
    </w:p>
    <w:p w14:paraId="02778C43">
      <w:pPr>
        <w:spacing w:line="600" w:lineRule="exact"/>
        <w:rPr>
          <w:sz w:val="32"/>
          <w:szCs w:val="32"/>
          <w:lang w:val="zh-CN"/>
        </w:rPr>
      </w:pPr>
    </w:p>
    <w:p w14:paraId="511CEFCD">
      <w:pPr>
        <w:spacing w:line="560" w:lineRule="exact"/>
        <w:ind w:firstLine="640" w:firstLineChars="200"/>
        <w:rPr>
          <w:rFonts w:eastAsia="黑体"/>
          <w:sz w:val="32"/>
          <w:szCs w:val="32"/>
        </w:rPr>
      </w:pPr>
      <w:r>
        <w:rPr>
          <w:rFonts w:hint="eastAsia" w:eastAsia="黑体"/>
          <w:sz w:val="32"/>
          <w:szCs w:val="32"/>
        </w:rPr>
        <w:t>一、项目概况</w:t>
      </w:r>
    </w:p>
    <w:p w14:paraId="72CA379F">
      <w:p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（一）项目基本情况。</w:t>
      </w:r>
    </w:p>
    <w:p w14:paraId="4FE4D311">
      <w:pPr>
        <w:widowControl/>
        <w:shd w:val="clear" w:color="auto" w:fill="FFFFFF"/>
        <w:tabs>
          <w:tab w:val="left" w:pos="312"/>
        </w:tabs>
        <w:spacing w:line="560" w:lineRule="exact"/>
        <w:ind w:firstLine="640"/>
        <w:rPr>
          <w:rFonts w:ascii="方正仿宋_GBK" w:eastAsia="方正仿宋_GBK"/>
          <w:kern w:val="0"/>
          <w:sz w:val="32"/>
          <w:szCs w:val="32"/>
          <w:shd w:val="clear" w:color="auto" w:fill="FFFFFF"/>
        </w:rPr>
      </w:pPr>
      <w:r>
        <w:rPr>
          <w:rFonts w:ascii="方正仿宋_GBK" w:eastAsia="方正仿宋_GBK"/>
          <w:b/>
          <w:kern w:val="0"/>
          <w:sz w:val="32"/>
          <w:szCs w:val="32"/>
          <w:shd w:val="clear" w:color="auto" w:fill="FFFFFF"/>
        </w:rPr>
        <w:t>1.</w:t>
      </w:r>
      <w:r>
        <w:rPr>
          <w:rFonts w:hint="eastAsia" w:ascii="方正仿宋_GBK" w:eastAsia="方正仿宋_GBK"/>
          <w:b/>
          <w:kern w:val="0"/>
          <w:sz w:val="32"/>
          <w:szCs w:val="32"/>
          <w:shd w:val="clear" w:color="auto" w:fill="FFFFFF"/>
        </w:rPr>
        <w:t>县信访局项目管理职能。</w:t>
      </w:r>
      <w:r>
        <w:rPr>
          <w:rFonts w:hint="eastAsia" w:ascii="方正仿宋_GBK" w:eastAsia="方正仿宋_GBK"/>
          <w:kern w:val="0"/>
          <w:sz w:val="32"/>
          <w:szCs w:val="32"/>
          <w:shd w:val="clear" w:color="auto" w:fill="FFFFFF"/>
        </w:rPr>
        <w:t>县信访局</w:t>
      </w:r>
      <w:r>
        <w:rPr>
          <w:rFonts w:hint="eastAsia" w:ascii="方正仿宋_GBK" w:eastAsia="方正仿宋_GBK"/>
          <w:kern w:val="0"/>
          <w:sz w:val="32"/>
          <w:szCs w:val="32"/>
          <w:shd w:val="clear" w:color="auto" w:fill="FFFFFF"/>
          <w:lang w:val="zh-CN"/>
        </w:rPr>
        <w:t>承担县信访工作联席会议办公室日常工作。承担本部门规范性文件合法性审查、备案和清理；负责办理网上投诉信访事项。综合分析网上信访情况，提出工作建议。承担全县信访信息系统、四川省网上信访信息系统、各级党政领导信箱、人民网地方领导人留言、县信访局门户网站等应用系统的建设、运行、维护工作。承担网上信访相关业务的推广应用培训工作。办理上级转办交办的来信事项和群众给县委、县政府领导来信。承担社情民意的汇集分析工作，提出工作建议。承担县政府信访事项复查委员会办公室日常工作，负责接待群众到县委、县政府来访，综合分析来访情况提出工作建议。承办上级转办、交办来访事项，协助县领导开展接访下访工作。负责重大活动、重要会议等敏感时段的值班值守工作。组织协调进京赴省到市到县非接待场所有关人员</w:t>
      </w:r>
      <w:r>
        <w:rPr>
          <w:rFonts w:hint="eastAsia" w:ascii="方正仿宋_GBK" w:eastAsia="方正仿宋_GBK"/>
          <w:sz w:val="32"/>
          <w:szCs w:val="32"/>
        </w:rPr>
        <w:t>接访劝返协调处理工作。</w:t>
      </w:r>
    </w:p>
    <w:p w14:paraId="7BDBBBAC">
      <w:pPr>
        <w:widowControl/>
        <w:shd w:val="clear" w:color="auto" w:fill="FFFFFF"/>
        <w:tabs>
          <w:tab w:val="left" w:pos="312"/>
        </w:tabs>
        <w:spacing w:line="560" w:lineRule="exact"/>
        <w:ind w:left="640"/>
        <w:rPr>
          <w:rFonts w:ascii="方正仿宋_GBK" w:eastAsia="方正仿宋_GBK"/>
          <w:kern w:val="0"/>
          <w:sz w:val="32"/>
          <w:szCs w:val="32"/>
          <w:shd w:val="clear" w:color="auto" w:fill="FFFFFF"/>
          <w:lang w:val="zh-CN"/>
        </w:rPr>
      </w:pPr>
      <w:r>
        <w:rPr>
          <w:rFonts w:ascii="方正仿宋_GBK" w:eastAsia="方正仿宋_GBK"/>
          <w:b/>
          <w:sz w:val="32"/>
          <w:szCs w:val="32"/>
        </w:rPr>
        <w:t>2.</w:t>
      </w:r>
      <w:r>
        <w:rPr>
          <w:rFonts w:hint="eastAsia" w:ascii="方正仿宋_GBK" w:eastAsia="方正仿宋_GBK"/>
          <w:b/>
          <w:sz w:val="32"/>
          <w:szCs w:val="32"/>
        </w:rPr>
        <w:t>立项、资金申报依据。</w:t>
      </w:r>
      <w:r>
        <w:rPr>
          <w:rFonts w:hint="eastAsia" w:ascii="方正仿宋_GBK" w:eastAsia="方正仿宋_GBK"/>
          <w:sz w:val="32"/>
          <w:szCs w:val="32"/>
        </w:rPr>
        <w:t>根据信访工作需要，信访局</w:t>
      </w:r>
      <w:r>
        <w:rPr>
          <w:rFonts w:hint="eastAsia" w:ascii="方正仿宋_GBK" w:eastAsia="方正仿宋_GBK"/>
          <w:kern w:val="0"/>
          <w:sz w:val="32"/>
          <w:szCs w:val="32"/>
          <w:shd w:val="clear" w:color="auto" w:fill="FFFFFF"/>
          <w:lang w:val="zh-CN"/>
        </w:rPr>
        <w:t>承</w:t>
      </w:r>
    </w:p>
    <w:p w14:paraId="65AB4C26">
      <w:pPr>
        <w:widowControl/>
        <w:shd w:val="clear" w:color="auto" w:fill="FFFFFF"/>
        <w:tabs>
          <w:tab w:val="left" w:pos="312"/>
        </w:tabs>
        <w:spacing w:line="560" w:lineRule="exact"/>
        <w:rPr>
          <w:rFonts w:ascii="方正仿宋_GBK" w:eastAsia="方正仿宋_GBK"/>
          <w:sz w:val="32"/>
          <w:szCs w:val="32"/>
        </w:rPr>
      </w:pPr>
      <w:r>
        <w:rPr>
          <w:rFonts w:hint="eastAsia" w:ascii="方正仿宋_GBK" w:eastAsia="方正仿宋_GBK"/>
          <w:kern w:val="0"/>
          <w:sz w:val="32"/>
          <w:szCs w:val="32"/>
          <w:shd w:val="clear" w:color="auto" w:fill="FFFFFF"/>
          <w:lang w:val="zh-CN"/>
        </w:rPr>
        <w:t>办上级转办、交办来访事项，协助县领导开展接访下访工作。负责重大活动、重要会议等敏感时段的值班值守工作。组织协调进京赴省到市到县非接待场所有关人员</w:t>
      </w:r>
      <w:r>
        <w:rPr>
          <w:rFonts w:hint="eastAsia" w:ascii="方正仿宋_GBK" w:eastAsia="方正仿宋_GBK"/>
          <w:sz w:val="32"/>
          <w:szCs w:val="32"/>
        </w:rPr>
        <w:t>接访劝返协调处理工作。做好群众来信来访、网络投诉等基础信访业务工作，按规定及时办理各类信访案件，加强信访法治化建设，提高信访事项“三率”，巩固“两降两升”；开展矛盾纠纷排查和信访积案化解，做好群众到县到市到省进京上访的劝返、特殊敏感时期的信访维稳工作，全力维护全县社会和谐稳定。对诉求合理的信访积案逐步化解，对生活困难的信访人给予帮扶救助，对诉求无理的信访人进行教育疏导。</w:t>
      </w:r>
    </w:p>
    <w:p w14:paraId="67C345DD">
      <w:pPr>
        <w:widowControl/>
        <w:shd w:val="clear" w:color="auto" w:fill="FFFFFF"/>
        <w:tabs>
          <w:tab w:val="left" w:pos="312"/>
        </w:tabs>
        <w:spacing w:line="560" w:lineRule="exact"/>
        <w:ind w:firstLine="643" w:firstLineChars="200"/>
        <w:rPr>
          <w:rFonts w:ascii="方正仿宋_GBK" w:eastAsia="方正仿宋_GBK"/>
          <w:b/>
          <w:sz w:val="32"/>
          <w:szCs w:val="32"/>
        </w:rPr>
      </w:pPr>
      <w:r>
        <w:rPr>
          <w:rFonts w:ascii="方正仿宋_GBK" w:eastAsia="方正仿宋_GBK"/>
          <w:b/>
          <w:sz w:val="32"/>
          <w:szCs w:val="32"/>
        </w:rPr>
        <w:t>3.</w:t>
      </w:r>
      <w:r>
        <w:rPr>
          <w:rFonts w:hint="eastAsia" w:ascii="方正仿宋_GBK" w:eastAsia="方正仿宋_GBK"/>
          <w:b/>
          <w:sz w:val="32"/>
          <w:szCs w:val="32"/>
        </w:rPr>
        <w:t>资金管理办法制定、支持具体项目条件、范围、支持</w:t>
      </w:r>
    </w:p>
    <w:p w14:paraId="6EEC507D">
      <w:pPr>
        <w:widowControl/>
        <w:shd w:val="clear" w:color="auto" w:fill="FFFFFF"/>
        <w:tabs>
          <w:tab w:val="left" w:pos="312"/>
        </w:tabs>
        <w:spacing w:line="560" w:lineRule="exact"/>
        <w:rPr>
          <w:rFonts w:ascii="方正仿宋_GBK" w:eastAsia="方正仿宋_GBK"/>
          <w:sz w:val="32"/>
          <w:szCs w:val="32"/>
        </w:rPr>
      </w:pPr>
      <w:r>
        <w:rPr>
          <w:rFonts w:hint="eastAsia" w:ascii="方正仿宋_GBK" w:eastAsia="方正仿宋_GBK"/>
          <w:b/>
          <w:sz w:val="32"/>
          <w:szCs w:val="32"/>
        </w:rPr>
        <w:t>方式。</w:t>
      </w:r>
      <w:r>
        <w:rPr>
          <w:rFonts w:hint="eastAsia" w:ascii="方正仿宋_GBK" w:eastAsia="方正仿宋_GBK"/>
          <w:sz w:val="32"/>
          <w:szCs w:val="32"/>
        </w:rPr>
        <w:t>重点用</w:t>
      </w:r>
      <w:r>
        <w:rPr>
          <w:rFonts w:hint="eastAsia" w:ascii="方正仿宋_GBK" w:hAnsi="宋体" w:eastAsia="方正仿宋_GBK"/>
          <w:kern w:val="0"/>
          <w:sz w:val="32"/>
          <w:szCs w:val="32"/>
        </w:rPr>
        <w:t>于一些无责任主体信访案件等诉求合理但无相应政策规定的、生活确有困难的信访事项，根据“三到位一处理”的要求，本着实事求是、解决问题的原则，给予适当救助，做到解决、帮扶到位。特殊疑难信访积案及时主动化解。</w:t>
      </w:r>
    </w:p>
    <w:p w14:paraId="5DF72BF2">
      <w:pPr>
        <w:spacing w:line="560" w:lineRule="exact"/>
        <w:ind w:firstLine="643" w:firstLineChars="200"/>
        <w:rPr>
          <w:rFonts w:ascii="方正仿宋_GBK" w:eastAsia="方正仿宋_GBK"/>
          <w:sz w:val="32"/>
          <w:szCs w:val="32"/>
        </w:rPr>
      </w:pPr>
      <w:r>
        <w:rPr>
          <w:rFonts w:ascii="方正仿宋_GBK" w:eastAsia="方正仿宋_GBK"/>
          <w:b/>
          <w:sz w:val="32"/>
          <w:szCs w:val="32"/>
        </w:rPr>
        <w:t>4.</w:t>
      </w:r>
      <w:r>
        <w:rPr>
          <w:rFonts w:hint="eastAsia" w:ascii="方正仿宋_GBK" w:eastAsia="方正仿宋_GBK"/>
          <w:b/>
          <w:sz w:val="32"/>
          <w:szCs w:val="32"/>
        </w:rPr>
        <w:t>资金分配原则及考虑因素。</w:t>
      </w:r>
      <w:r>
        <w:rPr>
          <w:rFonts w:hint="eastAsia" w:ascii="方正仿宋_GBK" w:eastAsia="方正仿宋_GBK"/>
          <w:sz w:val="32"/>
          <w:szCs w:val="32"/>
        </w:rPr>
        <w:t>根据各乡镇、部门涉及的信访事项按照信访积案较多的乡镇重点支持，资金使用按照财务管理制度执行，重点资金使用中坚持责任部门提出申请，信访局经局务会研究提出具体方案后报请上级分管县领导审批再支出的管理方式。重点关注长期未化解的特殊疑难信访案件，中央、省市督查督办信访案件。</w:t>
      </w:r>
    </w:p>
    <w:p w14:paraId="5C933324">
      <w:p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（二）项目绩效目标。</w:t>
      </w:r>
    </w:p>
    <w:p w14:paraId="2D6FC2BD">
      <w:pPr>
        <w:spacing w:line="560" w:lineRule="exact"/>
        <w:ind w:firstLine="643" w:firstLineChars="200"/>
        <w:rPr>
          <w:rFonts w:ascii="方正仿宋_GBK" w:eastAsia="方正仿宋_GBK"/>
          <w:sz w:val="32"/>
          <w:szCs w:val="32"/>
        </w:rPr>
      </w:pPr>
      <w:r>
        <w:rPr>
          <w:rFonts w:ascii="方正仿宋_GBK" w:eastAsia="方正仿宋_GBK"/>
          <w:b/>
          <w:sz w:val="32"/>
          <w:szCs w:val="32"/>
        </w:rPr>
        <w:t>1.</w:t>
      </w:r>
      <w:r>
        <w:rPr>
          <w:rFonts w:hint="eastAsia" w:ascii="方正仿宋_GBK" w:eastAsia="方正仿宋_GBK"/>
          <w:sz w:val="32"/>
          <w:szCs w:val="32"/>
        </w:rPr>
        <w:t>项目主要内容是做好群众来信来访、网络投诉等基础信访业务工作，按规定及时办理各类信访案件，加强信访法治化建设，提高信访事项“三率”，巩固“两降两升”；开展矛盾纠纷排查和信访积案化解，做好群众到县到市到省进京上访的劝返</w:t>
      </w:r>
      <w:bookmarkStart w:id="0" w:name="_GoBack"/>
      <w:bookmarkEnd w:id="0"/>
      <w:r>
        <w:rPr>
          <w:rFonts w:hint="eastAsia" w:ascii="方正仿宋_GBK" w:eastAsia="方正仿宋_GBK"/>
          <w:sz w:val="32"/>
          <w:szCs w:val="32"/>
        </w:rPr>
        <w:t>、特殊敏感时期的信访维稳工作，全力维护全县社会和谐稳定。对诉求合理的信访积案逐步化解，对生活困难的信访事项给予帮扶救助，对诉求无理的信访人进行教育疏导。</w:t>
      </w:r>
    </w:p>
    <w:p w14:paraId="2E93C4DA">
      <w:pPr>
        <w:tabs>
          <w:tab w:val="left" w:pos="312"/>
        </w:tabs>
        <w:spacing w:line="560" w:lineRule="exact"/>
        <w:ind w:left="640"/>
        <w:rPr>
          <w:rFonts w:ascii="方正仿宋_GBK" w:eastAsia="方正仿宋_GBK"/>
          <w:sz w:val="32"/>
          <w:szCs w:val="32"/>
        </w:rPr>
      </w:pPr>
      <w:r>
        <w:rPr>
          <w:rFonts w:ascii="方正仿宋_GBK" w:eastAsia="方正仿宋_GBK"/>
          <w:b/>
          <w:sz w:val="32"/>
          <w:szCs w:val="32"/>
        </w:rPr>
        <w:t>2.</w:t>
      </w:r>
      <w:r>
        <w:rPr>
          <w:rFonts w:hint="eastAsia" w:ascii="方正仿宋_GBK" w:eastAsia="方正仿宋_GBK"/>
          <w:sz w:val="32"/>
          <w:szCs w:val="32"/>
        </w:rPr>
        <w:t>项目应实现的具体绩效目标为预计</w:t>
      </w:r>
      <w:r>
        <w:rPr>
          <w:rFonts w:ascii="方正仿宋_GBK" w:eastAsia="方正仿宋_GBK"/>
          <w:sz w:val="32"/>
          <w:szCs w:val="32"/>
        </w:rPr>
        <w:t>2021</w:t>
      </w:r>
      <w:r>
        <w:rPr>
          <w:rFonts w:hint="eastAsia" w:ascii="方正仿宋_GBK" w:eastAsia="方正仿宋_GBK"/>
          <w:sz w:val="32"/>
          <w:szCs w:val="32"/>
        </w:rPr>
        <w:t>年上访人次</w:t>
      </w:r>
    </w:p>
    <w:p w14:paraId="06013666">
      <w:pPr>
        <w:tabs>
          <w:tab w:val="left" w:pos="312"/>
        </w:tabs>
        <w:spacing w:line="560" w:lineRule="exact"/>
        <w:rPr>
          <w:rFonts w:ascii="方正仿宋_GBK" w:eastAsia="方正仿宋_GBK"/>
          <w:sz w:val="32"/>
          <w:szCs w:val="32"/>
        </w:rPr>
      </w:pPr>
      <w:r>
        <w:rPr>
          <w:rFonts w:ascii="方正仿宋_GBK" w:eastAsia="方正仿宋_GBK"/>
          <w:sz w:val="32"/>
          <w:szCs w:val="32"/>
        </w:rPr>
        <w:t>2000</w:t>
      </w:r>
      <w:r>
        <w:rPr>
          <w:rFonts w:hint="eastAsia" w:ascii="方正仿宋_GBK" w:eastAsia="方正仿宋_GBK"/>
          <w:sz w:val="32"/>
          <w:szCs w:val="32"/>
        </w:rPr>
        <w:t>人，批次</w:t>
      </w:r>
      <w:r>
        <w:rPr>
          <w:rFonts w:ascii="方正仿宋_GBK" w:eastAsia="方正仿宋_GBK"/>
          <w:sz w:val="32"/>
          <w:szCs w:val="32"/>
        </w:rPr>
        <w:t>400</w:t>
      </w:r>
      <w:r>
        <w:rPr>
          <w:rFonts w:hint="eastAsia" w:ascii="方正仿宋_GBK" w:eastAsia="方正仿宋_GBK"/>
          <w:sz w:val="32"/>
          <w:szCs w:val="32"/>
        </w:rPr>
        <w:t>，化解特殊疑难信访积案</w:t>
      </w:r>
      <w:r>
        <w:rPr>
          <w:rFonts w:ascii="方正仿宋_GBK" w:eastAsia="方正仿宋_GBK"/>
          <w:sz w:val="32"/>
          <w:szCs w:val="32"/>
        </w:rPr>
        <w:t>4</w:t>
      </w:r>
      <w:r>
        <w:rPr>
          <w:rFonts w:hint="eastAsia" w:ascii="方正仿宋_GBK" w:eastAsia="方正仿宋_GBK"/>
          <w:sz w:val="32"/>
          <w:szCs w:val="32"/>
        </w:rPr>
        <w:t>件，息诉罢访，当年完成，在九月进行年度计划执行情况汇总，根据汇总情况调整资金安排，年末按时完成目标任务。</w:t>
      </w:r>
    </w:p>
    <w:p w14:paraId="04E4FA25">
      <w:pPr>
        <w:spacing w:line="560" w:lineRule="exact"/>
        <w:ind w:firstLine="643" w:firstLineChars="200"/>
        <w:rPr>
          <w:rFonts w:ascii="方正仿宋_GBK" w:eastAsia="方正仿宋_GBK"/>
          <w:sz w:val="32"/>
          <w:szCs w:val="32"/>
        </w:rPr>
      </w:pPr>
      <w:r>
        <w:rPr>
          <w:rFonts w:ascii="方正仿宋_GBK" w:eastAsia="方正仿宋_GBK"/>
          <w:b/>
          <w:sz w:val="32"/>
          <w:szCs w:val="32"/>
        </w:rPr>
        <w:t>3.</w:t>
      </w:r>
      <w:r>
        <w:rPr>
          <w:rFonts w:hint="eastAsia" w:ascii="方正仿宋_GBK" w:eastAsia="方正仿宋_GBK"/>
          <w:sz w:val="32"/>
          <w:szCs w:val="32"/>
        </w:rPr>
        <w:t>申报内容与工作年度计划相符，申报目标合理可行。</w:t>
      </w:r>
    </w:p>
    <w:p w14:paraId="37637C88">
      <w:pPr>
        <w:spacing w:line="560" w:lineRule="exact"/>
        <w:ind w:firstLine="640" w:firstLineChars="200"/>
        <w:rPr>
          <w:rFonts w:ascii="方正仿宋_GBK" w:eastAsia="方正仿宋_GBK"/>
          <w:sz w:val="32"/>
          <w:szCs w:val="32"/>
        </w:rPr>
      </w:pPr>
      <w:r>
        <w:rPr>
          <w:rFonts w:hint="eastAsia" w:ascii="方正楷体_GBK" w:eastAsia="方正楷体_GBK"/>
          <w:sz w:val="32"/>
          <w:szCs w:val="32"/>
        </w:rPr>
        <w:t>（三）项目自评步骤及方法。</w:t>
      </w:r>
    </w:p>
    <w:p w14:paraId="357768E6">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由项目负责人根据项目绩效申报指标逐个核对、比对，是否完成申报指标，计算完成率。</w:t>
      </w:r>
    </w:p>
    <w:p w14:paraId="12A165FF">
      <w:pPr>
        <w:spacing w:line="560" w:lineRule="exact"/>
        <w:ind w:firstLine="640" w:firstLineChars="200"/>
        <w:rPr>
          <w:rFonts w:ascii="黑体" w:hAnsi="黑体" w:eastAsia="黑体"/>
          <w:sz w:val="32"/>
          <w:szCs w:val="32"/>
        </w:rPr>
      </w:pPr>
      <w:r>
        <w:rPr>
          <w:rFonts w:hint="eastAsia" w:ascii="黑体" w:hAnsi="黑体" w:eastAsia="黑体"/>
          <w:sz w:val="32"/>
          <w:szCs w:val="32"/>
        </w:rPr>
        <w:t>二、项目资金申报及使用情况</w:t>
      </w:r>
    </w:p>
    <w:p w14:paraId="6CDAABA7">
      <w:pPr>
        <w:spacing w:line="560" w:lineRule="exact"/>
        <w:ind w:firstLine="640" w:firstLineChars="200"/>
        <w:rPr>
          <w:rFonts w:ascii="方正仿宋_GBK" w:eastAsia="方正仿宋_GBK"/>
          <w:sz w:val="32"/>
          <w:szCs w:val="32"/>
        </w:rPr>
      </w:pPr>
      <w:r>
        <w:rPr>
          <w:rFonts w:hint="eastAsia" w:ascii="方正楷体_GBK" w:eastAsia="方正楷体_GBK"/>
          <w:sz w:val="32"/>
          <w:szCs w:val="32"/>
        </w:rPr>
        <w:t>（一）项目资金申报及批复情况。</w:t>
      </w:r>
    </w:p>
    <w:p w14:paraId="3734F59D">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该项目资金在年初预算时纳入预算申报，盐财资行</w:t>
      </w:r>
      <w:r>
        <w:rPr>
          <w:rFonts w:hint="eastAsia" w:ascii="宋体" w:hAnsi="宋体"/>
          <w:sz w:val="32"/>
          <w:szCs w:val="32"/>
        </w:rPr>
        <w:t>〔</w:t>
      </w:r>
      <w:r>
        <w:rPr>
          <w:rFonts w:ascii="方正仿宋_GBK" w:eastAsia="方正仿宋_GBK"/>
          <w:sz w:val="32"/>
          <w:szCs w:val="32"/>
        </w:rPr>
        <w:t>2021</w:t>
      </w:r>
      <w:r>
        <w:rPr>
          <w:rFonts w:hint="eastAsia" w:ascii="宋体" w:hAnsi="宋体"/>
          <w:sz w:val="32"/>
          <w:szCs w:val="32"/>
        </w:rPr>
        <w:t>〕</w:t>
      </w:r>
      <w:r>
        <w:rPr>
          <w:rFonts w:ascii="方正仿宋_GBK" w:eastAsia="方正仿宋_GBK"/>
          <w:sz w:val="32"/>
          <w:szCs w:val="32"/>
        </w:rPr>
        <w:t>174</w:t>
      </w:r>
      <w:r>
        <w:rPr>
          <w:rFonts w:hint="eastAsia" w:ascii="方正仿宋_GBK" w:eastAsia="方正仿宋_GBK"/>
          <w:sz w:val="32"/>
          <w:szCs w:val="32"/>
        </w:rPr>
        <w:t>号、盐财资行</w:t>
      </w:r>
      <w:r>
        <w:rPr>
          <w:rFonts w:hint="eastAsia" w:ascii="宋体" w:hAnsi="宋体"/>
          <w:sz w:val="32"/>
          <w:szCs w:val="32"/>
        </w:rPr>
        <w:t>〔</w:t>
      </w:r>
      <w:r>
        <w:rPr>
          <w:rFonts w:ascii="方正仿宋_GBK" w:eastAsia="方正仿宋_GBK"/>
          <w:sz w:val="32"/>
          <w:szCs w:val="32"/>
        </w:rPr>
        <w:t>2021</w:t>
      </w:r>
      <w:r>
        <w:rPr>
          <w:rFonts w:hint="eastAsia" w:ascii="宋体" w:hAnsi="宋体"/>
          <w:sz w:val="32"/>
          <w:szCs w:val="32"/>
        </w:rPr>
        <w:t>〕</w:t>
      </w:r>
      <w:r>
        <w:rPr>
          <w:rFonts w:ascii="宋体" w:hAnsi="宋体"/>
          <w:sz w:val="32"/>
          <w:szCs w:val="32"/>
        </w:rPr>
        <w:t>95</w:t>
      </w:r>
      <w:r>
        <w:rPr>
          <w:rFonts w:hint="eastAsia" w:ascii="宋体" w:hAnsi="宋体"/>
          <w:sz w:val="32"/>
          <w:szCs w:val="32"/>
        </w:rPr>
        <w:t>号、</w:t>
      </w:r>
      <w:r>
        <w:rPr>
          <w:rFonts w:hint="eastAsia" w:ascii="方正仿宋_GBK" w:eastAsia="方正仿宋_GBK"/>
          <w:sz w:val="32"/>
          <w:szCs w:val="32"/>
        </w:rPr>
        <w:t>盐财资预</w:t>
      </w:r>
      <w:r>
        <w:rPr>
          <w:rFonts w:hint="eastAsia" w:ascii="宋体" w:hAnsi="宋体"/>
          <w:sz w:val="32"/>
          <w:szCs w:val="32"/>
        </w:rPr>
        <w:t>〔</w:t>
      </w:r>
      <w:r>
        <w:rPr>
          <w:rFonts w:ascii="方正仿宋_GBK" w:eastAsia="方正仿宋_GBK"/>
          <w:sz w:val="32"/>
          <w:szCs w:val="32"/>
        </w:rPr>
        <w:t>2021</w:t>
      </w:r>
      <w:r>
        <w:rPr>
          <w:rFonts w:hint="eastAsia" w:ascii="宋体" w:hAnsi="宋体"/>
          <w:sz w:val="32"/>
          <w:szCs w:val="32"/>
        </w:rPr>
        <w:t>〕</w:t>
      </w:r>
      <w:r>
        <w:rPr>
          <w:rFonts w:ascii="方正仿宋_GBK" w:eastAsia="方正仿宋_GBK"/>
          <w:sz w:val="32"/>
          <w:szCs w:val="32"/>
        </w:rPr>
        <w:t>34</w:t>
      </w:r>
      <w:r>
        <w:rPr>
          <w:rFonts w:hint="eastAsia" w:ascii="方正仿宋_GBK" w:eastAsia="方正仿宋_GBK"/>
          <w:sz w:val="32"/>
          <w:szCs w:val="32"/>
        </w:rPr>
        <w:t>号、盐财资行</w:t>
      </w:r>
      <w:r>
        <w:rPr>
          <w:rFonts w:hint="eastAsia" w:ascii="宋体" w:hAnsi="宋体"/>
          <w:sz w:val="32"/>
          <w:szCs w:val="32"/>
        </w:rPr>
        <w:t>〔</w:t>
      </w:r>
      <w:r>
        <w:rPr>
          <w:rFonts w:ascii="方正仿宋_GBK" w:eastAsia="方正仿宋_GBK"/>
          <w:sz w:val="32"/>
          <w:szCs w:val="32"/>
        </w:rPr>
        <w:t>2021</w:t>
      </w:r>
      <w:r>
        <w:rPr>
          <w:rFonts w:hint="eastAsia" w:ascii="宋体" w:hAnsi="宋体"/>
          <w:sz w:val="32"/>
          <w:szCs w:val="32"/>
        </w:rPr>
        <w:t>〕</w:t>
      </w:r>
      <w:r>
        <w:rPr>
          <w:rFonts w:ascii="方正仿宋_GBK" w:eastAsia="方正仿宋_GBK"/>
          <w:sz w:val="32"/>
          <w:szCs w:val="32"/>
        </w:rPr>
        <w:t>444</w:t>
      </w:r>
      <w:r>
        <w:rPr>
          <w:rFonts w:hint="eastAsia" w:ascii="方正仿宋_GBK" w:eastAsia="方正仿宋_GBK"/>
          <w:sz w:val="32"/>
          <w:szCs w:val="32"/>
        </w:rPr>
        <w:t>号等批复，用于信访工作专项经费。年末调整支出项目按规定报送财政审批。</w:t>
      </w:r>
    </w:p>
    <w:p w14:paraId="456BB5CC">
      <w:p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（二）资金计划、到位及使用情况。</w:t>
      </w:r>
    </w:p>
    <w:p w14:paraId="33EC7B14">
      <w:pPr>
        <w:spacing w:line="560" w:lineRule="exact"/>
        <w:ind w:firstLine="643" w:firstLineChars="200"/>
        <w:rPr>
          <w:rFonts w:ascii="方正仿宋_GBK" w:eastAsia="方正仿宋_GBK"/>
          <w:b/>
          <w:sz w:val="32"/>
          <w:szCs w:val="32"/>
        </w:rPr>
      </w:pPr>
      <w:r>
        <w:rPr>
          <w:rFonts w:ascii="方正仿宋_GBK" w:eastAsia="方正仿宋_GBK"/>
          <w:b/>
          <w:sz w:val="32"/>
          <w:szCs w:val="32"/>
        </w:rPr>
        <w:t>1.</w:t>
      </w:r>
      <w:r>
        <w:rPr>
          <w:rFonts w:hint="eastAsia" w:ascii="方正仿宋_GBK" w:eastAsia="方正仿宋_GBK"/>
          <w:b/>
          <w:sz w:val="32"/>
          <w:szCs w:val="32"/>
        </w:rPr>
        <w:t>资金计划。</w:t>
      </w:r>
      <w:r>
        <w:rPr>
          <w:rFonts w:hint="eastAsia" w:ascii="方正仿宋_GBK" w:eastAsia="方正仿宋_GBK"/>
          <w:sz w:val="32"/>
          <w:szCs w:val="32"/>
        </w:rPr>
        <w:t>该项目为省、县级财政资金</w:t>
      </w:r>
    </w:p>
    <w:p w14:paraId="2C5A0D68">
      <w:pPr>
        <w:spacing w:line="560" w:lineRule="exact"/>
        <w:ind w:left="420" w:leftChars="200" w:firstLine="321" w:firstLineChars="100"/>
        <w:rPr>
          <w:rFonts w:ascii="方正仿宋_GBK" w:eastAsia="方正仿宋_GBK"/>
          <w:b/>
          <w:sz w:val="32"/>
          <w:szCs w:val="32"/>
        </w:rPr>
      </w:pPr>
      <w:r>
        <w:rPr>
          <w:rFonts w:ascii="方正仿宋_GBK" w:eastAsia="方正仿宋_GBK"/>
          <w:b/>
          <w:sz w:val="32"/>
          <w:szCs w:val="32"/>
        </w:rPr>
        <w:t>2.</w:t>
      </w:r>
      <w:r>
        <w:rPr>
          <w:rFonts w:hint="eastAsia" w:ascii="方正仿宋_GBK" w:eastAsia="方正仿宋_GBK"/>
          <w:b/>
          <w:sz w:val="32"/>
          <w:szCs w:val="32"/>
        </w:rPr>
        <w:t>资金到位。</w:t>
      </w:r>
      <w:r>
        <w:rPr>
          <w:rFonts w:hint="eastAsia" w:ascii="方正仿宋_GBK" w:eastAsia="方正仿宋_GBK"/>
          <w:sz w:val="32"/>
          <w:szCs w:val="32"/>
        </w:rPr>
        <w:t>及时、足额到位。</w:t>
      </w:r>
    </w:p>
    <w:p w14:paraId="7622DDE7">
      <w:pPr>
        <w:spacing w:line="560" w:lineRule="exact"/>
        <w:ind w:firstLine="643" w:firstLineChars="200"/>
        <w:rPr>
          <w:rFonts w:ascii="方正仿宋_GBK" w:eastAsia="方正仿宋_GBK"/>
          <w:b/>
          <w:sz w:val="32"/>
          <w:szCs w:val="32"/>
        </w:rPr>
      </w:pPr>
      <w:r>
        <w:rPr>
          <w:rFonts w:ascii="方正仿宋_GBK" w:eastAsia="方正仿宋_GBK"/>
          <w:b/>
          <w:sz w:val="32"/>
          <w:szCs w:val="32"/>
        </w:rPr>
        <w:t>3.</w:t>
      </w:r>
      <w:r>
        <w:rPr>
          <w:rFonts w:hint="eastAsia" w:ascii="方正仿宋_GBK" w:eastAsia="方正仿宋_GBK"/>
          <w:b/>
          <w:sz w:val="32"/>
          <w:szCs w:val="32"/>
        </w:rPr>
        <w:t>资金使用。</w:t>
      </w:r>
      <w:r>
        <w:rPr>
          <w:rFonts w:hint="eastAsia" w:ascii="方正仿宋_GBK" w:eastAsia="方正仿宋_GBK"/>
          <w:sz w:val="32"/>
          <w:szCs w:val="32"/>
        </w:rPr>
        <w:t>下达项目预算后及时报告单位向业务部门反馈，根据工作实际及时安排项目资金支出，涉及重点资金使用坚持责任部门提出申请，信访局经局务会研究提出具体方案后报请上级分管县领导审批再支出的管理方式。项目资金支出时，对责任部门进行资金使用规范提醒，明确管理责任，督促责任部门依法依规使用资金。业务部门对资金使用的具体情况主动获取反馈，对化解信访案件进行资料收集，了解项目实施的绩效情况。</w:t>
      </w:r>
    </w:p>
    <w:p w14:paraId="4209A343">
      <w:pPr>
        <w:numPr>
          <w:ilvl w:val="0"/>
          <w:numId w:val="1"/>
        </w:num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项目财务管理情况。</w:t>
      </w:r>
    </w:p>
    <w:p w14:paraId="4317070F">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项目实施单位财务管理制度健全，严格执行财务管理制度，账务处理及时，会计核算规范。</w:t>
      </w:r>
    </w:p>
    <w:p w14:paraId="77CCC39C">
      <w:pPr>
        <w:spacing w:line="560" w:lineRule="exact"/>
        <w:ind w:firstLine="640" w:firstLineChars="200"/>
        <w:rPr>
          <w:rFonts w:ascii="黑体" w:hAnsi="黑体" w:eastAsia="黑体"/>
          <w:sz w:val="32"/>
          <w:szCs w:val="32"/>
        </w:rPr>
      </w:pPr>
      <w:r>
        <w:rPr>
          <w:rFonts w:hint="eastAsia" w:ascii="黑体" w:hAnsi="黑体" w:eastAsia="黑体"/>
          <w:sz w:val="32"/>
          <w:szCs w:val="32"/>
        </w:rPr>
        <w:t>三、项目实施及管理情况</w:t>
      </w:r>
    </w:p>
    <w:p w14:paraId="4DEC51BF">
      <w:p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（一）项目组织架构及实施流程。</w:t>
      </w:r>
    </w:p>
    <w:p w14:paraId="180172EA">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信访局根据全县信访工作情况综合考虑，由信访局经党组会审议进行预算项目申报，根据各乡镇、部门涉及的信访事项按照信访积案较多的乡镇重点支持，资金使用按照财务管理制度执行，资金支付形式为直接支付和授权支付，严禁现金支出。重点资金使用中坚持责任部门提出申请，信访局经局务会研究提出具体方案后报请上级分管领导审批再支出的管理方式。重点关注长期未化解的特殊疑难信访案件，中央、省市督查督办信访案件。</w:t>
      </w:r>
    </w:p>
    <w:p w14:paraId="6014440C">
      <w:p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（二）项目管理情况。</w:t>
      </w:r>
    </w:p>
    <w:p w14:paraId="5AE2D263">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信访业务工作的开展重点在于根据工作需要解决实际问题，如特殊疑难信访积案资金使用坚持责任部门提出申请，信访局经局务会研究提出具体方案后报请上级分管领导审批再支出的管理方式。</w:t>
      </w:r>
    </w:p>
    <w:p w14:paraId="1252FA52">
      <w:pPr>
        <w:numPr>
          <w:ilvl w:val="0"/>
          <w:numId w:val="2"/>
        </w:num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项目监管情况。</w:t>
      </w:r>
    </w:p>
    <w:p w14:paraId="202E61E7">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项目资金支出时，对责任部门行文进行资金使用规范提醒，明确管理责任，督促责任部门依法依规使用资金。业务部门对资金使用的具体情况主动获取反馈，对化解信访案件进行资料收集，了解项目实施的绩效情况。</w:t>
      </w:r>
    </w:p>
    <w:p w14:paraId="5B0A8517">
      <w:pPr>
        <w:spacing w:line="560" w:lineRule="exact"/>
        <w:ind w:firstLine="640" w:firstLineChars="200"/>
        <w:rPr>
          <w:rFonts w:ascii="黑体" w:hAnsi="黑体" w:eastAsia="黑体"/>
          <w:sz w:val="32"/>
          <w:szCs w:val="32"/>
        </w:rPr>
      </w:pPr>
      <w:r>
        <w:rPr>
          <w:rFonts w:hint="eastAsia" w:ascii="黑体" w:hAnsi="黑体" w:eastAsia="黑体"/>
          <w:sz w:val="32"/>
          <w:szCs w:val="32"/>
        </w:rPr>
        <w:t>四、项目绩效情况</w:t>
      </w:r>
      <w:r>
        <w:rPr>
          <w:rFonts w:ascii="黑体" w:hAnsi="黑体" w:eastAsia="黑体"/>
          <w:sz w:val="32"/>
          <w:szCs w:val="32"/>
        </w:rPr>
        <w:tab/>
      </w:r>
    </w:p>
    <w:p w14:paraId="2907B570">
      <w:p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（一）项目完成情况。</w:t>
      </w:r>
    </w:p>
    <w:p w14:paraId="744505F3">
      <w:pPr>
        <w:spacing w:line="560" w:lineRule="exact"/>
        <w:ind w:firstLine="660" w:firstLineChars="200"/>
        <w:rPr>
          <w:rFonts w:ascii="方正楷体_GBK" w:eastAsia="方正楷体_GBK" w:cs="宋体"/>
          <w:b/>
          <w:bCs/>
          <w:color w:val="000000"/>
          <w:sz w:val="33"/>
          <w:szCs w:val="33"/>
        </w:rPr>
      </w:pPr>
      <w:r>
        <w:rPr>
          <w:rFonts w:ascii="方正仿宋_GBK" w:eastAsia="方正仿宋_GBK" w:cs="宋体"/>
          <w:sz w:val="33"/>
          <w:szCs w:val="33"/>
        </w:rPr>
        <w:t>2021</w:t>
      </w:r>
      <w:r>
        <w:rPr>
          <w:rFonts w:hint="eastAsia" w:ascii="方正仿宋_GBK" w:eastAsia="方正仿宋_GBK" w:cs="宋体"/>
          <w:sz w:val="33"/>
          <w:szCs w:val="33"/>
        </w:rPr>
        <w:t>年，县信访局共接</w:t>
      </w:r>
      <w:r>
        <w:rPr>
          <w:rFonts w:hint="eastAsia" w:ascii="方正仿宋_GBK" w:eastAsia="方正仿宋_GBK" w:cs="宋体"/>
          <w:sz w:val="33"/>
          <w:szCs w:val="33"/>
          <w:lang w:eastAsia="zh-CN"/>
        </w:rPr>
        <w:t>待</w:t>
      </w:r>
      <w:r>
        <w:rPr>
          <w:rFonts w:hint="eastAsia" w:ascii="方正仿宋_GBK" w:eastAsia="方正仿宋_GBK" w:cs="宋体"/>
          <w:sz w:val="33"/>
          <w:szCs w:val="33"/>
        </w:rPr>
        <w:t>群众来访</w:t>
      </w:r>
      <w:r>
        <w:rPr>
          <w:rFonts w:ascii="方正仿宋_GBK" w:eastAsia="方正仿宋_GBK" w:cs="宋体"/>
          <w:sz w:val="33"/>
          <w:szCs w:val="33"/>
        </w:rPr>
        <w:t>273</w:t>
      </w:r>
      <w:r>
        <w:rPr>
          <w:rFonts w:hint="eastAsia" w:ascii="方正仿宋_GBK" w:eastAsia="方正仿宋_GBK" w:cs="宋体"/>
          <w:sz w:val="33"/>
          <w:szCs w:val="33"/>
        </w:rPr>
        <w:t>批</w:t>
      </w:r>
      <w:r>
        <w:rPr>
          <w:rFonts w:ascii="方正仿宋_GBK" w:eastAsia="方正仿宋_GBK" w:cs="宋体"/>
          <w:sz w:val="33"/>
          <w:szCs w:val="33"/>
        </w:rPr>
        <w:t>1395</w:t>
      </w:r>
      <w:r>
        <w:rPr>
          <w:rFonts w:hint="eastAsia" w:ascii="方正仿宋_GBK" w:eastAsia="方正仿宋_GBK" w:cs="宋体"/>
          <w:sz w:val="33"/>
          <w:szCs w:val="33"/>
        </w:rPr>
        <w:t>人次，同比批次下降</w:t>
      </w:r>
      <w:r>
        <w:rPr>
          <w:rFonts w:ascii="方正仿宋_GBK" w:eastAsia="方正仿宋_GBK" w:cs="宋体"/>
          <w:sz w:val="33"/>
          <w:szCs w:val="33"/>
        </w:rPr>
        <w:t>10.7%</w:t>
      </w:r>
      <w:r>
        <w:rPr>
          <w:rFonts w:hint="eastAsia" w:ascii="方正仿宋_GBK" w:eastAsia="方正仿宋_GBK" w:cs="宋体"/>
          <w:sz w:val="33"/>
          <w:szCs w:val="33"/>
        </w:rPr>
        <w:t>、人次上升</w:t>
      </w:r>
      <w:r>
        <w:rPr>
          <w:rFonts w:ascii="方正仿宋_GBK" w:eastAsia="方正仿宋_GBK" w:cs="宋体"/>
          <w:sz w:val="33"/>
          <w:szCs w:val="33"/>
        </w:rPr>
        <w:t>22.6%</w:t>
      </w:r>
      <w:r>
        <w:rPr>
          <w:rFonts w:hint="eastAsia" w:ascii="方正仿宋_GBK" w:eastAsia="方正仿宋_GBK" w:cs="宋体"/>
          <w:sz w:val="33"/>
          <w:szCs w:val="33"/>
        </w:rPr>
        <w:t>；办理群众网上信</w:t>
      </w:r>
      <w:r>
        <w:rPr>
          <w:rFonts w:hint="eastAsia" w:ascii="方正仿宋_GBK" w:hAnsi="宋体" w:eastAsia="方正仿宋_GBK" w:cs="宋体"/>
          <w:sz w:val="33"/>
          <w:szCs w:val="33"/>
        </w:rPr>
        <w:t>访</w:t>
      </w:r>
      <w:r>
        <w:rPr>
          <w:rFonts w:ascii="方正仿宋_GBK" w:eastAsia="方正仿宋_GBK" w:cs="宋体"/>
          <w:sz w:val="33"/>
          <w:szCs w:val="33"/>
        </w:rPr>
        <w:t>420</w:t>
      </w:r>
      <w:r>
        <w:rPr>
          <w:rFonts w:hint="eastAsia" w:ascii="方正仿宋_GBK" w:hAnsi="宋体" w:eastAsia="方正仿宋_GBK" w:cs="宋体"/>
          <w:sz w:val="33"/>
          <w:szCs w:val="33"/>
        </w:rPr>
        <w:t>件，同比上升</w:t>
      </w:r>
      <w:r>
        <w:rPr>
          <w:rFonts w:ascii="方正仿宋_GBK" w:hAnsi="宋体" w:eastAsia="方正仿宋_GBK" w:cs="宋体"/>
          <w:sz w:val="33"/>
          <w:szCs w:val="33"/>
        </w:rPr>
        <w:t>13.2%</w:t>
      </w:r>
      <w:r>
        <w:rPr>
          <w:rFonts w:hint="eastAsia" w:ascii="方正仿宋_GBK" w:eastAsia="方正仿宋_GBK" w:cs="宋体"/>
          <w:sz w:val="33"/>
          <w:szCs w:val="33"/>
        </w:rPr>
        <w:t>；县领导接访约访下访共</w:t>
      </w:r>
      <w:r>
        <w:rPr>
          <w:rFonts w:ascii="方正仿宋_GBK" w:eastAsia="方正仿宋_GBK" w:cs="宋体"/>
          <w:sz w:val="33"/>
          <w:szCs w:val="33"/>
        </w:rPr>
        <w:t>51</w:t>
      </w:r>
      <w:r>
        <w:rPr>
          <w:rFonts w:hint="eastAsia" w:ascii="方正仿宋_GBK" w:eastAsia="方正仿宋_GBK" w:cs="宋体"/>
          <w:sz w:val="33"/>
          <w:szCs w:val="33"/>
        </w:rPr>
        <w:t>批</w:t>
      </w:r>
      <w:r>
        <w:rPr>
          <w:rFonts w:ascii="方正仿宋_GBK" w:eastAsia="方正仿宋_GBK" w:cs="宋体"/>
          <w:sz w:val="33"/>
          <w:szCs w:val="33"/>
        </w:rPr>
        <w:t>353</w:t>
      </w:r>
      <w:r>
        <w:rPr>
          <w:rFonts w:hint="eastAsia" w:ascii="方正仿宋_GBK" w:eastAsia="方正仿宋_GBK" w:cs="宋体"/>
          <w:sz w:val="33"/>
          <w:szCs w:val="33"/>
        </w:rPr>
        <w:t>人次，同比批次下降</w:t>
      </w:r>
      <w:r>
        <w:rPr>
          <w:rFonts w:ascii="方正仿宋_GBK" w:eastAsia="方正仿宋_GBK" w:cs="宋体"/>
          <w:sz w:val="33"/>
          <w:szCs w:val="33"/>
        </w:rPr>
        <w:t>13.5%</w:t>
      </w:r>
      <w:r>
        <w:rPr>
          <w:rFonts w:hint="eastAsia" w:ascii="方正仿宋_GBK" w:eastAsia="方正仿宋_GBK" w:cs="宋体"/>
          <w:sz w:val="33"/>
          <w:szCs w:val="33"/>
        </w:rPr>
        <w:t>、人次上升</w:t>
      </w:r>
      <w:r>
        <w:rPr>
          <w:rFonts w:ascii="方正仿宋_GBK" w:eastAsia="方正仿宋_GBK" w:cs="宋体"/>
          <w:sz w:val="33"/>
          <w:szCs w:val="33"/>
        </w:rPr>
        <w:t>49.5%</w:t>
      </w:r>
      <w:r>
        <w:rPr>
          <w:rFonts w:hint="eastAsia" w:ascii="方正仿宋_GBK" w:eastAsia="方正仿宋_GBK" w:cs="宋体"/>
          <w:sz w:val="33"/>
          <w:szCs w:val="33"/>
        </w:rPr>
        <w:t>；</w:t>
      </w:r>
      <w:r>
        <w:rPr>
          <w:rFonts w:ascii="方正仿宋_GBK" w:eastAsia="方正仿宋_GBK"/>
          <w:kern w:val="0"/>
          <w:sz w:val="32"/>
          <w:szCs w:val="32"/>
        </w:rPr>
        <w:t>2021</w:t>
      </w:r>
      <w:r>
        <w:rPr>
          <w:rFonts w:hint="eastAsia" w:ascii="方正仿宋_GBK" w:eastAsia="方正仿宋_GBK"/>
          <w:kern w:val="0"/>
          <w:sz w:val="32"/>
          <w:szCs w:val="32"/>
        </w:rPr>
        <w:t>年县级财政下达盐边县信访局重点信访工作经费</w:t>
      </w:r>
      <w:r>
        <w:rPr>
          <w:rFonts w:ascii="方正仿宋_GBK" w:eastAsia="方正仿宋_GBK"/>
          <w:kern w:val="0"/>
          <w:sz w:val="32"/>
          <w:szCs w:val="32"/>
        </w:rPr>
        <w:t>67.76</w:t>
      </w:r>
      <w:r>
        <w:rPr>
          <w:rFonts w:hint="eastAsia" w:ascii="方正仿宋_GBK" w:eastAsia="方正仿宋_GBK"/>
          <w:kern w:val="0"/>
          <w:sz w:val="32"/>
          <w:szCs w:val="32"/>
        </w:rPr>
        <w:t>万元，其中特殊疑难信访案件和重信重访专项基金</w:t>
      </w:r>
      <w:r>
        <w:rPr>
          <w:rFonts w:ascii="方正仿宋_GBK" w:eastAsia="方正仿宋_GBK"/>
          <w:kern w:val="0"/>
          <w:sz w:val="32"/>
          <w:szCs w:val="32"/>
        </w:rPr>
        <w:t>50</w:t>
      </w:r>
      <w:r>
        <w:rPr>
          <w:rFonts w:hint="eastAsia" w:ascii="方正仿宋_GBK" w:eastAsia="方正仿宋_GBK"/>
          <w:kern w:val="0"/>
          <w:sz w:val="32"/>
          <w:szCs w:val="32"/>
        </w:rPr>
        <w:t>万元，用于一些无责任主体信访案件等诉求合理但无相应政策规定的、生活确有困难的信访人，根据“三到位一处理”的要求，本着实事求是、解决问题的原则，给予适当救助，做到解决、帮扶到位。</w:t>
      </w:r>
      <w:r>
        <w:rPr>
          <w:rFonts w:hint="eastAsia" w:ascii="方正仿宋_GBK" w:eastAsia="方正仿宋_GBK" w:cs="宋体"/>
          <w:color w:val="000000"/>
          <w:sz w:val="33"/>
          <w:szCs w:val="33"/>
        </w:rPr>
        <w:t>按照“属地管理、分级负责”和“谁主管、谁负责”的原则，认真办理中央、省、市交办的重复信访事项，第一批中央、省、市交办重复信访积案均在</w:t>
      </w:r>
      <w:r>
        <w:rPr>
          <w:rFonts w:ascii="方正仿宋_GBK" w:eastAsia="方正仿宋_GBK" w:cs="宋体"/>
          <w:color w:val="000000"/>
          <w:sz w:val="33"/>
          <w:szCs w:val="33"/>
        </w:rPr>
        <w:t>9</w:t>
      </w:r>
      <w:r>
        <w:rPr>
          <w:rFonts w:hint="eastAsia" w:ascii="方正仿宋_GBK" w:eastAsia="方正仿宋_GBK" w:cs="宋体"/>
          <w:color w:val="000000"/>
          <w:sz w:val="33"/>
          <w:szCs w:val="33"/>
        </w:rPr>
        <w:t>月底全部办结化解，提前顺利完成了上级下达的目标任务。第二批中央交办信访积案</w:t>
      </w:r>
      <w:r>
        <w:rPr>
          <w:rFonts w:ascii="方正仿宋_GBK" w:eastAsia="方正仿宋_GBK" w:cs="宋体"/>
          <w:color w:val="000000"/>
          <w:sz w:val="33"/>
          <w:szCs w:val="33"/>
        </w:rPr>
        <w:t>9</w:t>
      </w:r>
      <w:r>
        <w:rPr>
          <w:rFonts w:hint="eastAsia" w:ascii="方正仿宋_GBK" w:eastAsia="方正仿宋_GBK" w:cs="宋体"/>
          <w:color w:val="000000"/>
          <w:sz w:val="33"/>
          <w:szCs w:val="33"/>
        </w:rPr>
        <w:t>件，已化解</w:t>
      </w:r>
      <w:r>
        <w:rPr>
          <w:rFonts w:ascii="方正仿宋_GBK" w:eastAsia="方正仿宋_GBK" w:cs="宋体"/>
          <w:color w:val="000000"/>
          <w:sz w:val="33"/>
          <w:szCs w:val="33"/>
        </w:rPr>
        <w:t>5</w:t>
      </w:r>
      <w:r>
        <w:rPr>
          <w:rFonts w:hint="eastAsia" w:ascii="方正仿宋_GBK" w:eastAsia="方正仿宋_GBK" w:cs="宋体"/>
          <w:color w:val="000000"/>
          <w:sz w:val="33"/>
          <w:szCs w:val="33"/>
        </w:rPr>
        <w:t>件，提前完成目标任务</w:t>
      </w:r>
      <w:r>
        <w:rPr>
          <w:rFonts w:hint="eastAsia" w:ascii="方正楷体_GBK" w:eastAsia="方正楷体_GBK" w:cs="宋体"/>
          <w:b/>
          <w:bCs/>
          <w:color w:val="000000"/>
          <w:sz w:val="33"/>
          <w:szCs w:val="33"/>
        </w:rPr>
        <w:t>。</w:t>
      </w:r>
      <w:r>
        <w:rPr>
          <w:rFonts w:hint="eastAsia" w:ascii="方正仿宋_GBK" w:eastAsia="方正仿宋_GBK"/>
          <w:kern w:val="0"/>
          <w:sz w:val="32"/>
          <w:szCs w:val="32"/>
        </w:rPr>
        <w:t>其他重点信访工作经费支出，已按照年度工作计划完成各项工作任务，推进依法分类处理各类信访事项。聘请保安人员，负责维持县群众工作中心接访工作秩序，网络平台正常运行使用。根据国家、省、市信访部门的工作要求，及时做好群众到各级上访的疏导工作，按上级要求开展信访业务知识培训学习，成都信访工作站相关工作正常开展。</w:t>
      </w:r>
    </w:p>
    <w:p w14:paraId="1A47B432">
      <w:pPr>
        <w:pBdr>
          <w:bottom w:val="single" w:color="FFFFFF" w:sz="4" w:space="31"/>
        </w:pBdr>
        <w:shd w:val="clear" w:color="auto" w:fill="FFFFFF"/>
        <w:tabs>
          <w:tab w:val="left" w:pos="1440"/>
        </w:tabs>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（二）项目效益情况。</w:t>
      </w:r>
    </w:p>
    <w:p w14:paraId="201F3A80">
      <w:pPr>
        <w:pBdr>
          <w:bottom w:val="single" w:color="FFFFFF" w:sz="4" w:space="31"/>
        </w:pBdr>
        <w:shd w:val="clear" w:color="auto" w:fill="FFFFFF"/>
        <w:tabs>
          <w:tab w:val="left" w:pos="1440"/>
        </w:tabs>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信访部门案件及时受理率</w:t>
      </w:r>
      <w:r>
        <w:rPr>
          <w:rFonts w:ascii="方正仿宋_GBK" w:eastAsia="方正仿宋_GBK"/>
          <w:sz w:val="32"/>
          <w:szCs w:val="32"/>
        </w:rPr>
        <w:t>100%</w:t>
      </w:r>
      <w:r>
        <w:rPr>
          <w:rFonts w:hint="eastAsia" w:ascii="方正仿宋_GBK" w:eastAsia="方正仿宋_GBK"/>
          <w:sz w:val="32"/>
          <w:szCs w:val="32"/>
        </w:rPr>
        <w:t>，责任单位及时受理率</w:t>
      </w:r>
      <w:r>
        <w:rPr>
          <w:rFonts w:ascii="方正仿宋_GBK" w:eastAsia="方正仿宋_GBK"/>
          <w:sz w:val="32"/>
          <w:szCs w:val="32"/>
        </w:rPr>
        <w:t>100%</w:t>
      </w:r>
      <w:r>
        <w:rPr>
          <w:rFonts w:hint="eastAsia" w:ascii="方正仿宋_GBK" w:eastAsia="方正仿宋_GBK"/>
          <w:sz w:val="32"/>
          <w:szCs w:val="32"/>
        </w:rPr>
        <w:t>和按期办结率</w:t>
      </w:r>
      <w:r>
        <w:rPr>
          <w:rFonts w:ascii="方正仿宋_GBK" w:eastAsia="方正仿宋_GBK"/>
          <w:sz w:val="32"/>
          <w:szCs w:val="32"/>
        </w:rPr>
        <w:t>98%</w:t>
      </w:r>
      <w:r>
        <w:rPr>
          <w:rFonts w:hint="eastAsia" w:ascii="方正仿宋_GBK" w:eastAsia="方正仿宋_GBK"/>
          <w:sz w:val="32"/>
          <w:szCs w:val="32"/>
        </w:rPr>
        <w:t>。对信访部门参评率达</w:t>
      </w:r>
      <w:r>
        <w:rPr>
          <w:rFonts w:ascii="方正仿宋_GBK" w:eastAsia="方正仿宋_GBK"/>
          <w:sz w:val="32"/>
          <w:szCs w:val="32"/>
        </w:rPr>
        <w:t>98%</w:t>
      </w:r>
      <w:r>
        <w:rPr>
          <w:rFonts w:hint="eastAsia" w:ascii="方正仿宋_GBK" w:eastAsia="方正仿宋_GBK"/>
          <w:sz w:val="32"/>
          <w:szCs w:val="32"/>
        </w:rPr>
        <w:t>，群众满意率达</w:t>
      </w:r>
      <w:r>
        <w:rPr>
          <w:rFonts w:ascii="方正仿宋_GBK" w:eastAsia="方正仿宋_GBK"/>
          <w:sz w:val="32"/>
          <w:szCs w:val="32"/>
        </w:rPr>
        <w:t>97%</w:t>
      </w:r>
      <w:r>
        <w:rPr>
          <w:rFonts w:hint="eastAsia" w:ascii="方正仿宋_GBK" w:eastAsia="方正仿宋_GBK"/>
          <w:sz w:val="32"/>
          <w:szCs w:val="32"/>
        </w:rPr>
        <w:t>，对责任部门群众参评率达</w:t>
      </w:r>
      <w:r>
        <w:rPr>
          <w:rFonts w:ascii="方正仿宋_GBK" w:eastAsia="方正仿宋_GBK"/>
          <w:sz w:val="32"/>
          <w:szCs w:val="32"/>
        </w:rPr>
        <w:t>97%</w:t>
      </w:r>
      <w:r>
        <w:rPr>
          <w:rFonts w:hint="eastAsia" w:ascii="方正仿宋_GBK" w:eastAsia="方正仿宋_GBK"/>
          <w:sz w:val="32"/>
          <w:szCs w:val="32"/>
        </w:rPr>
        <w:t>，群众满意率达</w:t>
      </w:r>
      <w:r>
        <w:rPr>
          <w:rFonts w:ascii="方正仿宋_GBK" w:eastAsia="方正仿宋_GBK"/>
          <w:sz w:val="32"/>
          <w:szCs w:val="32"/>
        </w:rPr>
        <w:t>95%</w:t>
      </w:r>
      <w:r>
        <w:rPr>
          <w:rFonts w:hint="eastAsia" w:ascii="方正仿宋_GBK" w:eastAsia="方正仿宋_GBK"/>
          <w:sz w:val="32"/>
          <w:szCs w:val="32"/>
        </w:rPr>
        <w:t>。</w:t>
      </w:r>
    </w:p>
    <w:p w14:paraId="56AF9B1F">
      <w:pPr>
        <w:pBdr>
          <w:bottom w:val="single" w:color="FFFFFF" w:sz="4" w:space="31"/>
        </w:pBdr>
        <w:shd w:val="clear" w:color="auto" w:fill="FFFFFF"/>
        <w:tabs>
          <w:tab w:val="left" w:pos="1440"/>
        </w:tabs>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五、评价结论及建议</w:t>
      </w:r>
    </w:p>
    <w:p w14:paraId="23B0779A">
      <w:pPr>
        <w:pBdr>
          <w:bottom w:val="single" w:color="FFFFFF" w:sz="4" w:space="31"/>
        </w:pBdr>
        <w:shd w:val="clear" w:color="auto" w:fill="FFFFFF"/>
        <w:tabs>
          <w:tab w:val="left" w:pos="1440"/>
        </w:tabs>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（一）评价结论。</w:t>
      </w:r>
    </w:p>
    <w:p w14:paraId="0DC68C38">
      <w:pPr>
        <w:pBdr>
          <w:bottom w:val="single" w:color="FFFFFF" w:sz="4" w:space="31"/>
        </w:pBdr>
        <w:shd w:val="clear" w:color="auto" w:fill="FFFFFF"/>
        <w:tabs>
          <w:tab w:val="left" w:pos="1440"/>
        </w:tabs>
        <w:adjustRightInd w:val="0"/>
        <w:snapToGrid w:val="0"/>
        <w:spacing w:line="560" w:lineRule="exact"/>
        <w:ind w:firstLine="640" w:firstLineChars="200"/>
        <w:rPr>
          <w:rFonts w:ascii="方正楷体_GBK" w:eastAsia="方正楷体_GBK"/>
          <w:b/>
          <w:sz w:val="32"/>
          <w:szCs w:val="32"/>
        </w:rPr>
      </w:pPr>
      <w:r>
        <w:rPr>
          <w:rFonts w:hint="eastAsia" w:ascii="方正仿宋_GBK" w:hAnsi="宋体" w:eastAsia="方正仿宋_GBK"/>
          <w:kern w:val="0"/>
          <w:sz w:val="32"/>
          <w:szCs w:val="32"/>
        </w:rPr>
        <w:t>严格按照国家、省、市有关专项资金使用文件精神，认真落实专项资金使用范围和标准，资金用于保障信访业务工作的正常开展，根据实际工作情况，在财政资金的支持下化解无责任主体信访案件、诉求合理但无相应政策规定的、生活确有困难的信访人信访案件</w:t>
      </w:r>
      <w:r>
        <w:rPr>
          <w:rFonts w:hint="eastAsia" w:ascii="方正仿宋_GBK" w:hAnsi="宋体" w:eastAsia="方正仿宋_GBK"/>
          <w:kern w:val="0"/>
          <w:sz w:val="32"/>
          <w:szCs w:val="32"/>
          <w:lang w:eastAsia="zh-CN"/>
        </w:rPr>
        <w:t>，</w:t>
      </w:r>
      <w:r>
        <w:rPr>
          <w:rFonts w:ascii="方正仿宋_GBK" w:hAnsi="宋体" w:eastAsia="方正仿宋_GBK"/>
          <w:kern w:val="0"/>
          <w:sz w:val="32"/>
          <w:szCs w:val="32"/>
        </w:rPr>
        <w:t xml:space="preserve"> </w:t>
      </w:r>
      <w:r>
        <w:rPr>
          <w:rFonts w:hint="eastAsia" w:ascii="方正仿宋_GBK" w:hAnsi="宋体" w:eastAsia="方正仿宋_GBK"/>
          <w:kern w:val="0"/>
          <w:sz w:val="32"/>
          <w:szCs w:val="32"/>
        </w:rPr>
        <w:t>根据“三到位一处理”的要求，本着实事求是、解决问题的原则，给予适当救助，做到解决、帮扶到位</w:t>
      </w:r>
      <w:r>
        <w:rPr>
          <w:rFonts w:hint="eastAsia" w:ascii="方正仿宋_GBK" w:hAnsi="宋体" w:eastAsia="方正仿宋_GBK"/>
          <w:kern w:val="0"/>
          <w:sz w:val="32"/>
          <w:szCs w:val="32"/>
          <w:lang w:eastAsia="zh-CN"/>
        </w:rPr>
        <w:t>，</w:t>
      </w:r>
      <w:r>
        <w:rPr>
          <w:rFonts w:hint="eastAsia" w:ascii="方正仿宋_GBK" w:hAnsi="宋体" w:eastAsia="方正仿宋_GBK"/>
          <w:kern w:val="0"/>
          <w:sz w:val="32"/>
          <w:szCs w:val="32"/>
        </w:rPr>
        <w:t>资金使用规范，档案清晰。案件办结，息诉息访，群众满意。</w:t>
      </w:r>
    </w:p>
    <w:p w14:paraId="1D782D24">
      <w:pPr>
        <w:pBdr>
          <w:bottom w:val="single" w:color="FFFFFF" w:sz="4" w:space="31"/>
        </w:pBdr>
        <w:shd w:val="clear" w:color="auto" w:fill="FFFFFF"/>
        <w:tabs>
          <w:tab w:val="left" w:pos="1440"/>
        </w:tabs>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（二）存在的问题。</w:t>
      </w:r>
    </w:p>
    <w:p w14:paraId="4C095D83">
      <w:pPr>
        <w:pBdr>
          <w:bottom w:val="single" w:color="FFFFFF" w:sz="4" w:space="31"/>
        </w:pBdr>
        <w:shd w:val="clear" w:color="auto" w:fill="FFFFFF"/>
        <w:tabs>
          <w:tab w:val="left" w:pos="1440"/>
        </w:tabs>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因为信访事项发生的特殊性和不确定性，单位在绩效管理工作中，对绩效指标的理解不足，申报绩效目标与实际实施内容必然有一定差距，增加了项目绩效目标实现难度。</w:t>
      </w:r>
    </w:p>
    <w:p w14:paraId="70FD0EED">
      <w:pPr>
        <w:pBdr>
          <w:bottom w:val="single" w:color="FFFFFF" w:sz="4" w:space="31"/>
        </w:pBdr>
        <w:shd w:val="clear" w:color="auto" w:fill="FFFFFF"/>
        <w:tabs>
          <w:tab w:val="left" w:pos="1440"/>
        </w:tabs>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（三）相关建议。</w:t>
      </w:r>
    </w:p>
    <w:p w14:paraId="50970678">
      <w:pPr>
        <w:pBdr>
          <w:bottom w:val="single" w:color="FFFFFF" w:sz="4" w:space="31"/>
        </w:pBdr>
        <w:shd w:val="clear" w:color="auto" w:fill="FFFFFF"/>
        <w:tabs>
          <w:tab w:val="left" w:pos="1440"/>
        </w:tabs>
        <w:adjustRightInd w:val="0"/>
        <w:snapToGrid w:val="0"/>
        <w:spacing w:line="560" w:lineRule="exact"/>
        <w:ind w:firstLine="640" w:firstLineChars="200"/>
        <w:rPr>
          <w:rFonts w:ascii="方正仿宋_GBK" w:eastAsia="方正仿宋_GBK"/>
          <w:sz w:val="32"/>
          <w:szCs w:val="32"/>
          <w:lang w:val="zh-CN"/>
        </w:rPr>
      </w:pPr>
      <w:r>
        <w:rPr>
          <w:rFonts w:hint="eastAsia" w:ascii="方正仿宋_GBK" w:eastAsia="方正仿宋_GBK"/>
          <w:sz w:val="32"/>
          <w:szCs w:val="32"/>
        </w:rPr>
        <w:t>加强资金绩效管理相关制度、文件的学习，强化绩效目标管理，结合单位实际情况做好绩效管理工作。</w:t>
      </w:r>
    </w:p>
    <w:p w14:paraId="6F133F1B">
      <w:pPr>
        <w:pStyle w:val="2"/>
        <w:spacing w:line="560" w:lineRule="exact"/>
        <w:rPr>
          <w:lang w:val="zh-CN"/>
        </w:rPr>
      </w:pPr>
    </w:p>
    <w:p w14:paraId="350B525E">
      <w:pPr>
        <w:tabs>
          <w:tab w:val="left" w:pos="8000"/>
          <w:tab w:val="left" w:pos="8160"/>
        </w:tabs>
        <w:spacing w:line="560" w:lineRule="exact"/>
        <w:ind w:firstLine="640" w:firstLineChars="200"/>
        <w:jc w:val="center"/>
        <w:rPr>
          <w:rFonts w:ascii="仿宋_GB2312" w:eastAsia="仿宋_GB2312"/>
          <w:sz w:val="32"/>
          <w:szCs w:val="32"/>
        </w:rPr>
      </w:pPr>
    </w:p>
    <w:p w14:paraId="1D841B37">
      <w:pPr>
        <w:tabs>
          <w:tab w:val="left" w:pos="8000"/>
          <w:tab w:val="left" w:pos="8160"/>
        </w:tabs>
        <w:spacing w:line="560" w:lineRule="exact"/>
        <w:ind w:firstLine="640" w:firstLineChars="200"/>
        <w:jc w:val="center"/>
        <w:rPr>
          <w:rFonts w:ascii="仿宋_GB2312" w:eastAsia="仿宋_GB2312"/>
          <w:sz w:val="32"/>
          <w:szCs w:val="32"/>
        </w:rPr>
      </w:pPr>
      <w:r>
        <w:rPr>
          <w:rFonts w:hint="eastAsia" w:ascii="仿宋_GB2312" w:eastAsia="仿宋_GB2312"/>
          <w:sz w:val="32"/>
          <w:szCs w:val="32"/>
        </w:rPr>
        <w:t xml:space="preserve">                            盐边县信访局</w:t>
      </w:r>
    </w:p>
    <w:p w14:paraId="257FE0AE">
      <w:pPr>
        <w:spacing w:line="560" w:lineRule="exact"/>
        <w:ind w:firstLine="640" w:firstLineChars="200"/>
        <w:jc w:val="center"/>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2022</w:t>
      </w:r>
      <w:r>
        <w:rPr>
          <w:rFonts w:hint="eastAsia" w:ascii="仿宋_GB2312" w:eastAsia="仿宋_GB2312"/>
          <w:sz w:val="32"/>
          <w:szCs w:val="32"/>
        </w:rPr>
        <w:t>年</w:t>
      </w:r>
      <w:r>
        <w:rPr>
          <w:rFonts w:ascii="仿宋_GB2312" w:eastAsia="仿宋_GB2312"/>
          <w:sz w:val="32"/>
          <w:szCs w:val="32"/>
        </w:rPr>
        <w:t>5</w:t>
      </w:r>
      <w:r>
        <w:rPr>
          <w:rFonts w:hint="eastAsia" w:ascii="仿宋_GB2312" w:eastAsia="仿宋_GB2312"/>
          <w:sz w:val="32"/>
          <w:szCs w:val="32"/>
        </w:rPr>
        <w:t>月</w:t>
      </w:r>
      <w:r>
        <w:rPr>
          <w:rFonts w:ascii="仿宋_GB2312" w:eastAsia="仿宋_GB2312"/>
          <w:sz w:val="32"/>
          <w:szCs w:val="32"/>
        </w:rPr>
        <w:t>15</w:t>
      </w:r>
      <w:r>
        <w:rPr>
          <w:rFonts w:hint="eastAsia" w:ascii="仿宋_GB2312" w:eastAsia="仿宋_GB2312"/>
          <w:sz w:val="32"/>
          <w:szCs w:val="32"/>
        </w:rPr>
        <w:t>日</w:t>
      </w:r>
    </w:p>
    <w:p w14:paraId="5CB5B27F">
      <w:pPr>
        <w:spacing w:line="560" w:lineRule="exact"/>
        <w:ind w:firstLine="640" w:firstLineChars="200"/>
        <w:rPr>
          <w:rFonts w:ascii="方正仿宋_GBK" w:eastAsia="方正仿宋_GBK"/>
          <w:sz w:val="32"/>
          <w:szCs w:val="32"/>
        </w:rPr>
      </w:pPr>
    </w:p>
    <w:p w14:paraId="757E5BE4">
      <w:pPr>
        <w:spacing w:line="560" w:lineRule="exact"/>
        <w:rPr>
          <w:rFonts w:ascii="方正仿宋_GBK" w:eastAsia="方正仿宋_GBK"/>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CB77B"/>
    <w:multiLevelType w:val="singleLevel"/>
    <w:tmpl w:val="A3ACB77B"/>
    <w:lvl w:ilvl="0" w:tentative="0">
      <w:start w:val="3"/>
      <w:numFmt w:val="chineseCounting"/>
      <w:suff w:val="nothing"/>
      <w:lvlText w:val="（%1）"/>
      <w:lvlJc w:val="left"/>
      <w:rPr>
        <w:rFonts w:hint="eastAsia" w:cs="Times New Roman"/>
      </w:rPr>
    </w:lvl>
  </w:abstractNum>
  <w:abstractNum w:abstractNumId="1">
    <w:nsid w:val="BF8E4775"/>
    <w:multiLevelType w:val="singleLevel"/>
    <w:tmpl w:val="BF8E4775"/>
    <w:lvl w:ilvl="0" w:tentative="0">
      <w:start w:val="3"/>
      <w:numFmt w:val="chineseCounting"/>
      <w:suff w:val="nothing"/>
      <w:lvlText w:val="（%1）"/>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6F9E"/>
    <w:rsid w:val="00007299"/>
    <w:rsid w:val="00020228"/>
    <w:rsid w:val="00032DD0"/>
    <w:rsid w:val="000938F2"/>
    <w:rsid w:val="00125CBD"/>
    <w:rsid w:val="00136A6B"/>
    <w:rsid w:val="00175B0C"/>
    <w:rsid w:val="00193974"/>
    <w:rsid w:val="002A6748"/>
    <w:rsid w:val="002D2956"/>
    <w:rsid w:val="003845BA"/>
    <w:rsid w:val="003C1386"/>
    <w:rsid w:val="004E235D"/>
    <w:rsid w:val="0052106A"/>
    <w:rsid w:val="00567C3C"/>
    <w:rsid w:val="00573035"/>
    <w:rsid w:val="005D2A61"/>
    <w:rsid w:val="005F34E8"/>
    <w:rsid w:val="00685A9D"/>
    <w:rsid w:val="006A04DB"/>
    <w:rsid w:val="00701CED"/>
    <w:rsid w:val="00731B7A"/>
    <w:rsid w:val="00733418"/>
    <w:rsid w:val="00745E47"/>
    <w:rsid w:val="00761C6C"/>
    <w:rsid w:val="00780ECC"/>
    <w:rsid w:val="00791873"/>
    <w:rsid w:val="00843A36"/>
    <w:rsid w:val="00866833"/>
    <w:rsid w:val="00874BDE"/>
    <w:rsid w:val="009229F0"/>
    <w:rsid w:val="00964088"/>
    <w:rsid w:val="009C36F2"/>
    <w:rsid w:val="00A06306"/>
    <w:rsid w:val="00A856DA"/>
    <w:rsid w:val="00AB3B3F"/>
    <w:rsid w:val="00AF2F96"/>
    <w:rsid w:val="00B64ED0"/>
    <w:rsid w:val="00B72C32"/>
    <w:rsid w:val="00B94978"/>
    <w:rsid w:val="00C22052"/>
    <w:rsid w:val="00C222B1"/>
    <w:rsid w:val="00C366D5"/>
    <w:rsid w:val="00C85DC1"/>
    <w:rsid w:val="00CA769C"/>
    <w:rsid w:val="00CB233D"/>
    <w:rsid w:val="00D47DD8"/>
    <w:rsid w:val="00E14B33"/>
    <w:rsid w:val="00E96F9E"/>
    <w:rsid w:val="00F64CC8"/>
    <w:rsid w:val="00F91CD2"/>
    <w:rsid w:val="02D54570"/>
    <w:rsid w:val="1CCF4D5F"/>
    <w:rsid w:val="33B22CE5"/>
    <w:rsid w:val="3708744A"/>
    <w:rsid w:val="48FC498B"/>
    <w:rsid w:val="5B1F5718"/>
    <w:rsid w:val="61E42F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99"/>
    <w:pPr>
      <w:ind w:firstLine="420"/>
    </w:pPr>
  </w:style>
  <w:style w:type="paragraph" w:customStyle="1" w:styleId="3">
    <w:name w:val="BodyTextIndent"/>
    <w:basedOn w:val="1"/>
    <w:next w:val="1"/>
    <w:qFormat/>
    <w:uiPriority w:val="99"/>
    <w:pPr>
      <w:ind w:firstLine="200"/>
      <w:textAlignment w:val="baseline"/>
    </w:pPr>
    <w:rPr>
      <w:rFonts w:ascii="黑体" w:eastAsia="黑体"/>
      <w:sz w:val="32"/>
      <w:szCs w:val="32"/>
    </w:rPr>
  </w:style>
  <w:style w:type="paragraph" w:styleId="4">
    <w:name w:val="footer"/>
    <w:basedOn w:val="1"/>
    <w:link w:val="8"/>
    <w:qFormat/>
    <w:uiPriority w:val="99"/>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link w:val="4"/>
    <w:qFormat/>
    <w:locked/>
    <w:uiPriority w:val="99"/>
    <w:rPr>
      <w:rFonts w:ascii="Times New Roman" w:hAnsi="Times New Roman" w:eastAsia="宋体"/>
      <w:kern w:val="2"/>
      <w:sz w:val="18"/>
    </w:rPr>
  </w:style>
  <w:style w:type="character" w:customStyle="1" w:styleId="9">
    <w:name w:val="页眉 Char"/>
    <w:link w:val="5"/>
    <w:qFormat/>
    <w:locked/>
    <w:uiPriority w:val="99"/>
    <w:rPr>
      <w:rFonts w:ascii="Times New Roman" w:hAnsi="Times New Roman" w:eastAsia="宋体"/>
      <w:kern w:val="2"/>
      <w:sz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7</Pages>
  <Words>3107</Words>
  <Characters>3207</Characters>
  <Lines>23</Lines>
  <Paragraphs>6</Paragraphs>
  <TotalTime>166</TotalTime>
  <ScaleCrop>false</ScaleCrop>
  <LinksUpToDate>false</LinksUpToDate>
  <CharactersWithSpaces>3264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2022-01-02T13:30:00Z</dcterms:created>
  <dc:creator>Administrator</dc:creator>
  <cp:lastModifiedBy>Owner</cp:lastModifiedBy>
  <dcterms:modified xsi:type="dcterms:W3CDTF">2026-08-20T07:58:16Z</dcterms:modified>
  <dc:title>附件2</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9C89156186264BCB8A5A3BCA27DECCBE</vt:lpwstr>
  </property>
  <property fmtid="{D5CDD505-2E9C-101B-9397-08002B2CF9AE}" pid="4" name="KSOTemplateDocerSaveRecord">
    <vt:lpwstr>eyJoZGlkIjoiZDg0NDNiYTUxOWU4N2FhYTE5YTc3OTM5YzA0NWVjYWEiLCJ1c2VySWQiOiIxMzY3NTIyMzE2In0=</vt:lpwstr>
  </property>
</Properties>
</file>