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6FF" w:rsidRPr="006E71AA" w:rsidRDefault="009966FF" w:rsidP="009966FF">
      <w:pPr>
        <w:spacing w:line="640" w:lineRule="exact"/>
        <w:jc w:val="center"/>
        <w:rPr>
          <w:rFonts w:ascii="方正小标宋_GBK" w:eastAsia="方正小标宋_GBK" w:hAnsi="Times New Roman"/>
          <w:sz w:val="44"/>
          <w:szCs w:val="44"/>
        </w:rPr>
      </w:pPr>
      <w:r w:rsidRPr="006E71AA">
        <w:rPr>
          <w:rFonts w:ascii="方正小标宋_GBK" w:eastAsia="方正小标宋_GBK" w:hAnsi="Times New Roman" w:hint="eastAsia"/>
          <w:sz w:val="44"/>
          <w:szCs w:val="44"/>
        </w:rPr>
        <w:t>盐边县信访局</w:t>
      </w:r>
    </w:p>
    <w:p w:rsidR="009966FF" w:rsidRPr="006E71AA" w:rsidRDefault="009966FF" w:rsidP="009966FF">
      <w:pPr>
        <w:spacing w:line="640" w:lineRule="exact"/>
        <w:jc w:val="center"/>
        <w:rPr>
          <w:rFonts w:ascii="方正小标宋_GBK" w:eastAsia="方正小标宋_GBK" w:hAnsi="Times New Roman"/>
          <w:sz w:val="44"/>
          <w:szCs w:val="44"/>
        </w:rPr>
      </w:pPr>
      <w:r w:rsidRPr="006E71AA">
        <w:rPr>
          <w:rFonts w:ascii="方正小标宋_GBK" w:eastAsia="方正小标宋_GBK" w:hAnsi="Times New Roman" w:hint="eastAsia"/>
          <w:sz w:val="44"/>
          <w:szCs w:val="44"/>
        </w:rPr>
        <w:t>2021年县级部门整体支出绩效评价报告</w:t>
      </w:r>
    </w:p>
    <w:p w:rsidR="009966FF" w:rsidRDefault="009966FF" w:rsidP="009966FF">
      <w:pPr>
        <w:spacing w:line="0" w:lineRule="atLeast"/>
        <w:jc w:val="left"/>
        <w:rPr>
          <w:rFonts w:ascii="方正小标宋_GBK" w:eastAsia="方正小标宋_GBK" w:hAnsi="Times New Roman"/>
          <w:b/>
          <w:sz w:val="44"/>
          <w:szCs w:val="44"/>
        </w:rPr>
      </w:pPr>
    </w:p>
    <w:p w:rsidR="009966FF" w:rsidRPr="00A77969" w:rsidRDefault="009966FF" w:rsidP="009966FF">
      <w:pPr>
        <w:numPr>
          <w:ilvl w:val="0"/>
          <w:numId w:val="1"/>
        </w:numPr>
        <w:spacing w:line="560" w:lineRule="exact"/>
        <w:rPr>
          <w:rFonts w:ascii="黑体" w:eastAsia="黑体" w:hAnsi="黑体" w:cs="楷体_GB2312"/>
          <w:sz w:val="32"/>
          <w:szCs w:val="32"/>
          <w:shd w:val="clear" w:color="auto" w:fill="FFFFFF"/>
        </w:rPr>
      </w:pPr>
      <w:r w:rsidRPr="00A77969">
        <w:rPr>
          <w:rFonts w:ascii="黑体" w:eastAsia="黑体" w:hAnsi="黑体" w:hint="eastAsia"/>
          <w:sz w:val="32"/>
          <w:szCs w:val="32"/>
        </w:rPr>
        <w:t>部门概况</w:t>
      </w:r>
    </w:p>
    <w:p w:rsidR="009966FF" w:rsidRPr="00A77969" w:rsidRDefault="009966FF" w:rsidP="009966FF">
      <w:pPr>
        <w:spacing w:line="560" w:lineRule="exact"/>
        <w:ind w:left="645"/>
        <w:rPr>
          <w:rStyle w:val="a5"/>
          <w:rFonts w:ascii="楷体_GB2312" w:eastAsia="楷体_GB2312" w:hAnsi="楷体" w:cs="楷体_GB2312"/>
          <w:b w:val="0"/>
          <w:sz w:val="32"/>
          <w:szCs w:val="32"/>
          <w:shd w:val="clear" w:color="auto" w:fill="FFFFFF"/>
        </w:rPr>
      </w:pPr>
      <w:r w:rsidRPr="00A77969">
        <w:rPr>
          <w:rStyle w:val="a5"/>
          <w:rFonts w:ascii="楷体_GB2312" w:eastAsia="楷体_GB2312" w:hAnsi="楷体" w:cs="楷体_GB2312" w:hint="eastAsia"/>
          <w:b w:val="0"/>
          <w:sz w:val="32"/>
          <w:szCs w:val="32"/>
          <w:shd w:val="clear" w:color="auto" w:fill="FFFFFF"/>
        </w:rPr>
        <w:t>（一）机构组成</w:t>
      </w:r>
      <w:r>
        <w:rPr>
          <w:rStyle w:val="a5"/>
          <w:rFonts w:ascii="楷体_GB2312" w:eastAsia="楷体_GB2312" w:hAnsi="楷体" w:cs="楷体_GB2312" w:hint="eastAsia"/>
          <w:b w:val="0"/>
          <w:sz w:val="32"/>
          <w:szCs w:val="32"/>
          <w:shd w:val="clear" w:color="auto" w:fill="FFFFFF"/>
        </w:rPr>
        <w:t>。</w:t>
      </w:r>
    </w:p>
    <w:p w:rsidR="009966FF" w:rsidRPr="00A77969" w:rsidRDefault="009966FF" w:rsidP="009966FF">
      <w:pPr>
        <w:widowControl/>
        <w:adjustRightInd w:val="0"/>
        <w:snapToGrid w:val="0"/>
        <w:spacing w:line="560" w:lineRule="exact"/>
        <w:ind w:firstLineChars="200" w:firstLine="640"/>
        <w:rPr>
          <w:rFonts w:ascii="仿宋_GB2312" w:eastAsia="仿宋_GB2312" w:hAnsi="Times New Roman"/>
          <w:kern w:val="0"/>
          <w:sz w:val="32"/>
          <w:szCs w:val="32"/>
          <w:shd w:val="clear" w:color="auto" w:fill="FFFFFF"/>
          <w:lang w:val="zh-CN"/>
        </w:rPr>
      </w:pPr>
      <w:r>
        <w:rPr>
          <w:rFonts w:ascii="仿宋_GB2312" w:eastAsia="仿宋_GB2312" w:hAnsi="Times New Roman" w:hint="eastAsia"/>
          <w:kern w:val="0"/>
          <w:sz w:val="32"/>
          <w:szCs w:val="32"/>
          <w:shd w:val="clear" w:color="auto" w:fill="FFFFFF"/>
          <w:lang w:val="zh-CN"/>
        </w:rPr>
        <w:t>县</w:t>
      </w:r>
      <w:r w:rsidRPr="00A77969">
        <w:rPr>
          <w:rFonts w:ascii="仿宋_GB2312" w:eastAsia="仿宋_GB2312" w:hAnsi="Times New Roman" w:hint="eastAsia"/>
          <w:kern w:val="0"/>
          <w:sz w:val="32"/>
          <w:szCs w:val="32"/>
          <w:shd w:val="clear" w:color="auto" w:fill="FFFFFF"/>
          <w:lang w:val="zh-CN"/>
        </w:rPr>
        <w:t>信访局设办公室</w:t>
      </w:r>
      <w:r w:rsidRPr="00A77969">
        <w:rPr>
          <w:rFonts w:ascii="仿宋_GB2312" w:eastAsia="仿宋_GB2312" w:hAnsi="Times New Roman" w:hint="eastAsia"/>
          <w:kern w:val="0"/>
          <w:sz w:val="32"/>
          <w:szCs w:val="32"/>
          <w:shd w:val="clear" w:color="auto" w:fill="FFFFFF"/>
        </w:rPr>
        <w:t>(综合股）</w:t>
      </w:r>
      <w:r w:rsidRPr="00A77969">
        <w:rPr>
          <w:rFonts w:ascii="仿宋_GB2312" w:eastAsia="仿宋_GB2312" w:hAnsi="Times New Roman" w:hint="eastAsia"/>
          <w:kern w:val="0"/>
          <w:sz w:val="32"/>
          <w:szCs w:val="32"/>
          <w:shd w:val="clear" w:color="auto" w:fill="FFFFFF"/>
          <w:lang w:val="zh-CN"/>
        </w:rPr>
        <w:t>、来访和督查督办股、</w:t>
      </w:r>
      <w:proofErr w:type="gramStart"/>
      <w:r w:rsidRPr="00A77969">
        <w:rPr>
          <w:rFonts w:ascii="仿宋_GB2312" w:eastAsia="仿宋_GB2312" w:hAnsi="Times New Roman" w:hint="eastAsia"/>
          <w:kern w:val="0"/>
          <w:sz w:val="32"/>
          <w:szCs w:val="32"/>
          <w:shd w:val="clear" w:color="auto" w:fill="FFFFFF"/>
          <w:lang w:val="zh-CN"/>
        </w:rPr>
        <w:t>网信办理股</w:t>
      </w:r>
      <w:proofErr w:type="gramEnd"/>
      <w:r w:rsidRPr="00A77969">
        <w:rPr>
          <w:rFonts w:ascii="仿宋_GB2312" w:eastAsia="仿宋_GB2312" w:hAnsi="Times New Roman" w:hint="eastAsia"/>
          <w:kern w:val="0"/>
          <w:sz w:val="32"/>
          <w:szCs w:val="32"/>
          <w:shd w:val="clear" w:color="auto" w:fill="FFFFFF"/>
          <w:lang w:val="zh-CN"/>
        </w:rPr>
        <w:t>三个内设机构。下设盐边县群众工作中心（未单独核算），是财政全额拨款事业单位。</w:t>
      </w:r>
    </w:p>
    <w:p w:rsidR="009966FF" w:rsidRPr="004F0AB4" w:rsidRDefault="009966FF" w:rsidP="009966FF">
      <w:pPr>
        <w:spacing w:line="560" w:lineRule="exact"/>
        <w:ind w:left="645"/>
        <w:rPr>
          <w:rStyle w:val="a5"/>
          <w:rFonts w:ascii="楷体_GB2312" w:eastAsia="楷体_GB2312" w:hAnsi="楷体" w:cs="楷体_GB2312"/>
          <w:shd w:val="clear" w:color="auto" w:fill="FFFFFF"/>
        </w:rPr>
      </w:pPr>
      <w:r>
        <w:rPr>
          <w:rStyle w:val="a5"/>
          <w:rFonts w:ascii="楷体_GB2312" w:eastAsia="楷体_GB2312" w:hAnsi="楷体" w:cs="楷体_GB2312" w:hint="eastAsia"/>
          <w:b w:val="0"/>
          <w:sz w:val="32"/>
          <w:szCs w:val="32"/>
          <w:shd w:val="clear" w:color="auto" w:fill="FFFFFF"/>
        </w:rPr>
        <w:t>（二）</w:t>
      </w:r>
      <w:r w:rsidRPr="004F0AB4">
        <w:rPr>
          <w:rStyle w:val="a5"/>
          <w:rFonts w:ascii="楷体_GB2312" w:eastAsia="楷体_GB2312" w:hAnsi="楷体" w:cs="楷体_GB2312" w:hint="eastAsia"/>
          <w:b w:val="0"/>
          <w:sz w:val="32"/>
          <w:szCs w:val="32"/>
          <w:shd w:val="clear" w:color="auto" w:fill="FFFFFF"/>
        </w:rPr>
        <w:t>单位基本职能</w:t>
      </w:r>
      <w:r>
        <w:rPr>
          <w:rStyle w:val="a5"/>
          <w:rFonts w:ascii="楷体_GB2312" w:eastAsia="楷体_GB2312" w:hAnsi="楷体" w:cs="楷体_GB2312" w:hint="eastAsia"/>
          <w:b w:val="0"/>
          <w:sz w:val="32"/>
          <w:szCs w:val="32"/>
          <w:shd w:val="clear" w:color="auto" w:fill="FFFFFF"/>
        </w:rPr>
        <w:t>。</w:t>
      </w:r>
    </w:p>
    <w:p w:rsidR="009966FF" w:rsidRPr="00A77969" w:rsidRDefault="009966FF" w:rsidP="009966FF">
      <w:pPr>
        <w:widowControl/>
        <w:shd w:val="clear" w:color="auto" w:fill="FFFFFF"/>
        <w:tabs>
          <w:tab w:val="left" w:pos="312"/>
        </w:tabs>
        <w:spacing w:line="560" w:lineRule="exact"/>
        <w:ind w:firstLine="640"/>
        <w:rPr>
          <w:rFonts w:ascii="仿宋_GB2312" w:eastAsia="仿宋_GB2312"/>
          <w:sz w:val="32"/>
          <w:szCs w:val="32"/>
        </w:rPr>
      </w:pPr>
      <w:r>
        <w:rPr>
          <w:rFonts w:ascii="仿宋_GB2312" w:eastAsia="仿宋_GB2312" w:hAnsi="Times New Roman" w:hint="eastAsia"/>
          <w:kern w:val="0"/>
          <w:sz w:val="32"/>
          <w:szCs w:val="32"/>
          <w:shd w:val="clear" w:color="auto" w:fill="FFFFFF"/>
          <w:lang w:val="zh-CN"/>
        </w:rPr>
        <w:t>县</w:t>
      </w:r>
      <w:r w:rsidRPr="00A77969">
        <w:rPr>
          <w:rStyle w:val="a5"/>
          <w:rFonts w:ascii="仿宋_GB2312" w:eastAsia="仿宋_GB2312" w:hAnsi="仿宋_GB2312" w:cs="仿宋_GB2312" w:hint="eastAsia"/>
          <w:b w:val="0"/>
          <w:bCs/>
          <w:sz w:val="32"/>
          <w:szCs w:val="32"/>
          <w:shd w:val="clear" w:color="auto" w:fill="FFFFFF"/>
        </w:rPr>
        <w:t>信访局</w:t>
      </w:r>
      <w:r w:rsidRPr="00A77969">
        <w:rPr>
          <w:rFonts w:ascii="仿宋_GB2312" w:eastAsia="仿宋_GB2312" w:hAnsi="Times New Roman" w:hint="eastAsia"/>
          <w:kern w:val="0"/>
          <w:sz w:val="32"/>
          <w:szCs w:val="32"/>
          <w:shd w:val="clear" w:color="auto" w:fill="FFFFFF"/>
          <w:lang w:val="zh-CN"/>
        </w:rPr>
        <w:t>属县政府派出机构，主要职责和职能是处理群众来信，接待群众来访；宣传党和政府群众工作的各项方针、政策、法律、法规；收集社情民意，综合分析群众意见、建议和对突出问题的反映，及时向县委、县政府领导反映；承办、督促县委、县政府领导同志交办的信访事项；排查县内矛盾纠纷，落实化解责任；协调处理跨县、区、部门的重要信访事项，协调处理群众集体到市委、市政府的上访事项及赴省</w:t>
      </w:r>
      <w:proofErr w:type="gramStart"/>
      <w:r w:rsidRPr="00A77969">
        <w:rPr>
          <w:rFonts w:ascii="仿宋_GB2312" w:eastAsia="仿宋_GB2312" w:hAnsi="Times New Roman" w:hint="eastAsia"/>
          <w:kern w:val="0"/>
          <w:sz w:val="32"/>
          <w:szCs w:val="32"/>
          <w:shd w:val="clear" w:color="auto" w:fill="FFFFFF"/>
          <w:lang w:val="zh-CN"/>
        </w:rPr>
        <w:t>进京非</w:t>
      </w:r>
      <w:proofErr w:type="gramEnd"/>
      <w:r w:rsidRPr="00A77969">
        <w:rPr>
          <w:rFonts w:ascii="仿宋_GB2312" w:eastAsia="仿宋_GB2312" w:hAnsi="Times New Roman" w:hint="eastAsia"/>
          <w:kern w:val="0"/>
          <w:sz w:val="32"/>
          <w:szCs w:val="32"/>
          <w:shd w:val="clear" w:color="auto" w:fill="FFFFFF"/>
          <w:lang w:val="zh-CN"/>
        </w:rPr>
        <w:t>正常上访的相关事项；指导、协调县级部门和乡（镇）党政机关的群众（信访）工作；检查、协调、指导乡（镇）、县级部门的群众工作，对县级部门和乡（镇）党政机关的群众（信访）工作进行目标管理考核，配合协助相关部门及乡（镇）开展群众思想政治工作。承办县委、县政府和省、市政府群众（信访）工作局批办、交办的其他事项。</w:t>
      </w:r>
      <w:r w:rsidRPr="00A77969">
        <w:rPr>
          <w:rFonts w:ascii="仿宋_GB2312" w:eastAsia="仿宋_GB2312" w:hAnsi="Times New Roman" w:hint="eastAsia"/>
          <w:kern w:val="0"/>
          <w:sz w:val="32"/>
          <w:szCs w:val="32"/>
          <w:shd w:val="clear" w:color="auto" w:fill="FFFFFF"/>
        </w:rPr>
        <w:t xml:space="preserve">      具体的职能职责为:</w:t>
      </w:r>
      <w:r w:rsidRPr="00A77969">
        <w:rPr>
          <w:rFonts w:ascii="仿宋_GB2312" w:eastAsia="仿宋_GB2312" w:hAnsi="Times New Roman" w:hint="eastAsia"/>
          <w:kern w:val="0"/>
          <w:sz w:val="32"/>
          <w:szCs w:val="32"/>
          <w:shd w:val="clear" w:color="auto" w:fill="FFFFFF"/>
          <w:lang w:val="zh-CN"/>
        </w:rPr>
        <w:t>综合股(政策法规股)。负责机关人事、保密、文电、目标管理、财务、会务、宣传、政务公开、政</w:t>
      </w:r>
      <w:r w:rsidRPr="00A77969">
        <w:rPr>
          <w:rFonts w:ascii="仿宋_GB2312" w:eastAsia="仿宋_GB2312" w:hAnsi="Times New Roman" w:hint="eastAsia"/>
          <w:kern w:val="0"/>
          <w:sz w:val="32"/>
          <w:szCs w:val="32"/>
          <w:shd w:val="clear" w:color="auto" w:fill="FFFFFF"/>
          <w:lang w:val="zh-CN"/>
        </w:rPr>
        <w:lastRenderedPageBreak/>
        <w:t>务接待、档案、机要、资产管理、后勤保障、应急、安全保卫等工作。承担机关党建、党风廉政和反腐败建设、群团和文化建设等工作。组织协调、督促检查机关政务、业务等工作。总结推广信访工作经验,组织开展全县信访工作业务指导、教育培训工作。负责机关退休人员管理服务工作。</w:t>
      </w:r>
      <w:proofErr w:type="gramStart"/>
      <w:r w:rsidRPr="00A77969">
        <w:rPr>
          <w:rFonts w:ascii="仿宋_GB2312" w:eastAsia="仿宋_GB2312" w:hAnsi="Times New Roman" w:hint="eastAsia"/>
          <w:kern w:val="0"/>
          <w:sz w:val="32"/>
          <w:szCs w:val="32"/>
          <w:shd w:val="clear" w:color="auto" w:fill="FFFFFF"/>
          <w:lang w:val="zh-CN"/>
        </w:rPr>
        <w:t>承担县</w:t>
      </w:r>
      <w:proofErr w:type="gramEnd"/>
      <w:r w:rsidRPr="00A77969">
        <w:rPr>
          <w:rFonts w:ascii="仿宋_GB2312" w:eastAsia="仿宋_GB2312" w:hAnsi="Times New Roman" w:hint="eastAsia"/>
          <w:kern w:val="0"/>
          <w:sz w:val="32"/>
          <w:szCs w:val="32"/>
          <w:shd w:val="clear" w:color="auto" w:fill="FFFFFF"/>
          <w:lang w:val="zh-CN"/>
        </w:rPr>
        <w:t>信访工作联席会议办公室日常工作。承担本部门规范性文件合法性审查、备案和清理</w:t>
      </w:r>
      <w:r w:rsidRPr="00A77969">
        <w:rPr>
          <w:rFonts w:ascii="仿宋_GB2312" w:eastAsia="仿宋_GB2312" w:hAnsi="Times New Roman" w:hint="eastAsia"/>
          <w:kern w:val="0"/>
          <w:sz w:val="32"/>
          <w:szCs w:val="32"/>
          <w:shd w:val="clear" w:color="auto" w:fill="FFFFFF"/>
        </w:rPr>
        <w:t>;</w:t>
      </w:r>
      <w:r w:rsidRPr="00A77969">
        <w:rPr>
          <w:rFonts w:ascii="仿宋_GB2312" w:eastAsia="仿宋_GB2312" w:hAnsi="Times New Roman" w:hint="eastAsia"/>
          <w:kern w:val="0"/>
          <w:sz w:val="32"/>
          <w:szCs w:val="32"/>
          <w:shd w:val="clear" w:color="auto" w:fill="FFFFFF"/>
          <w:lang w:val="zh-CN"/>
        </w:rPr>
        <w:t>业务股负责办理网上投诉信访事项。综合分析网上信访情况,提出工作建议。承担全县信访信息系统、四川省网上信访信息系统、各级党政领导信箱、</w:t>
      </w:r>
      <w:proofErr w:type="gramStart"/>
      <w:r w:rsidRPr="00A77969">
        <w:rPr>
          <w:rFonts w:ascii="仿宋_GB2312" w:eastAsia="仿宋_GB2312" w:hAnsi="Times New Roman" w:hint="eastAsia"/>
          <w:kern w:val="0"/>
          <w:sz w:val="32"/>
          <w:szCs w:val="32"/>
          <w:shd w:val="clear" w:color="auto" w:fill="FFFFFF"/>
          <w:lang w:val="zh-CN"/>
        </w:rPr>
        <w:t>人民网</w:t>
      </w:r>
      <w:proofErr w:type="gramEnd"/>
      <w:r w:rsidRPr="00A77969">
        <w:rPr>
          <w:rFonts w:ascii="仿宋_GB2312" w:eastAsia="仿宋_GB2312" w:hAnsi="Times New Roman" w:hint="eastAsia"/>
          <w:kern w:val="0"/>
          <w:sz w:val="32"/>
          <w:szCs w:val="32"/>
          <w:shd w:val="clear" w:color="auto" w:fill="FFFFFF"/>
          <w:lang w:val="zh-CN"/>
        </w:rPr>
        <w:t>地方领导人留言、县信访局门户网站等应用系统的建设、运行、维护工作。承担网上信访相关业务的推广应用培训工作。办理上级转办交办的来信事项和群众给县委、县政府领导来信。承担社情民意的汇集分析工作,提出工作建议。承担县政府信访事项复查委员会办公室日常工作</w:t>
      </w:r>
      <w:r w:rsidRPr="00A77969">
        <w:rPr>
          <w:rFonts w:ascii="仿宋_GB2312" w:eastAsia="仿宋_GB2312" w:hAnsi="Times New Roman" w:hint="eastAsia"/>
          <w:kern w:val="0"/>
          <w:sz w:val="32"/>
          <w:szCs w:val="32"/>
          <w:shd w:val="clear" w:color="auto" w:fill="FFFFFF"/>
        </w:rPr>
        <w:t>,</w:t>
      </w:r>
      <w:r w:rsidRPr="00A77969">
        <w:rPr>
          <w:rFonts w:ascii="仿宋_GB2312" w:eastAsia="仿宋_GB2312" w:hAnsi="Times New Roman" w:hint="eastAsia"/>
          <w:kern w:val="0"/>
          <w:sz w:val="32"/>
          <w:szCs w:val="32"/>
          <w:shd w:val="clear" w:color="auto" w:fill="FFFFFF"/>
          <w:lang w:val="zh-CN"/>
        </w:rPr>
        <w:t>负责接待群众到县委、县政府来访,综合分析来访情况提出工作建议。承办上级转办、交办来访事项,协助县领导开展接访下访工作。负责重大活动、重要会议等敏感时段的值班值守工作。组织协调进京赴省到市</w:t>
      </w:r>
      <w:proofErr w:type="gramStart"/>
      <w:r w:rsidRPr="00A77969">
        <w:rPr>
          <w:rFonts w:ascii="仿宋_GB2312" w:eastAsia="仿宋_GB2312" w:hAnsi="Times New Roman" w:hint="eastAsia"/>
          <w:kern w:val="0"/>
          <w:sz w:val="32"/>
          <w:szCs w:val="32"/>
          <w:shd w:val="clear" w:color="auto" w:fill="FFFFFF"/>
          <w:lang w:val="zh-CN"/>
        </w:rPr>
        <w:t>到县非接待</w:t>
      </w:r>
      <w:proofErr w:type="gramEnd"/>
      <w:r w:rsidRPr="00A77969">
        <w:rPr>
          <w:rFonts w:ascii="仿宋_GB2312" w:eastAsia="仿宋_GB2312" w:hAnsi="Times New Roman" w:hint="eastAsia"/>
          <w:kern w:val="0"/>
          <w:sz w:val="32"/>
          <w:szCs w:val="32"/>
          <w:shd w:val="clear" w:color="auto" w:fill="FFFFFF"/>
          <w:lang w:val="zh-CN"/>
        </w:rPr>
        <w:t>场所有关人员</w:t>
      </w:r>
      <w:r w:rsidRPr="00A77969">
        <w:rPr>
          <w:rFonts w:ascii="仿宋_GB2312" w:eastAsia="仿宋_GB2312" w:hint="eastAsia"/>
          <w:sz w:val="32"/>
          <w:szCs w:val="32"/>
        </w:rPr>
        <w:t>接访劝返协调处理工作。</w:t>
      </w:r>
    </w:p>
    <w:p w:rsidR="009966FF" w:rsidRPr="00AE53FC" w:rsidRDefault="009966FF" w:rsidP="009966FF">
      <w:pPr>
        <w:spacing w:line="560" w:lineRule="exact"/>
        <w:ind w:left="645"/>
        <w:rPr>
          <w:rStyle w:val="a5"/>
          <w:rFonts w:ascii="楷体_GB2312" w:eastAsia="楷体_GB2312" w:hAnsi="楷体" w:cs="楷体_GB2312"/>
          <w:b w:val="0"/>
          <w:sz w:val="32"/>
          <w:szCs w:val="32"/>
          <w:shd w:val="clear" w:color="auto" w:fill="FFFFFF"/>
        </w:rPr>
      </w:pPr>
      <w:r w:rsidRPr="00AE53FC">
        <w:rPr>
          <w:rStyle w:val="a5"/>
          <w:rFonts w:ascii="楷体_GB2312" w:eastAsia="楷体_GB2312" w:hAnsi="楷体" w:cs="楷体_GB2312" w:hint="eastAsia"/>
          <w:b w:val="0"/>
          <w:sz w:val="32"/>
          <w:szCs w:val="32"/>
          <w:shd w:val="clear" w:color="auto" w:fill="FFFFFF"/>
        </w:rPr>
        <w:t>（三）人员概况</w:t>
      </w:r>
      <w:r>
        <w:rPr>
          <w:rStyle w:val="a5"/>
          <w:rFonts w:ascii="楷体_GB2312" w:eastAsia="楷体_GB2312" w:hAnsi="楷体" w:cs="楷体_GB2312" w:hint="eastAsia"/>
          <w:b w:val="0"/>
          <w:sz w:val="32"/>
          <w:szCs w:val="32"/>
          <w:shd w:val="clear" w:color="auto" w:fill="FFFFFF"/>
        </w:rPr>
        <w:t>。</w:t>
      </w:r>
    </w:p>
    <w:p w:rsidR="009966FF" w:rsidRPr="00A77969" w:rsidRDefault="009966FF" w:rsidP="009966FF">
      <w:pPr>
        <w:widowControl/>
        <w:adjustRightInd w:val="0"/>
        <w:snapToGrid w:val="0"/>
        <w:spacing w:line="560" w:lineRule="exact"/>
        <w:ind w:firstLineChars="200" w:firstLine="640"/>
        <w:rPr>
          <w:rFonts w:ascii="仿宋_GB2312" w:eastAsia="仿宋_GB2312" w:hAnsi="Times New Roman"/>
          <w:kern w:val="0"/>
          <w:sz w:val="32"/>
          <w:szCs w:val="32"/>
          <w:shd w:val="clear" w:color="auto" w:fill="FFFFFF"/>
          <w:lang w:val="zh-CN"/>
        </w:rPr>
      </w:pPr>
      <w:r>
        <w:rPr>
          <w:rFonts w:ascii="仿宋_GB2312" w:eastAsia="仿宋_GB2312" w:hAnsi="Times New Roman" w:hint="eastAsia"/>
          <w:kern w:val="0"/>
          <w:sz w:val="32"/>
          <w:szCs w:val="32"/>
          <w:shd w:val="clear" w:color="auto" w:fill="FFFFFF"/>
          <w:lang w:val="zh-CN"/>
        </w:rPr>
        <w:t>县</w:t>
      </w:r>
      <w:r w:rsidRPr="00A77969">
        <w:rPr>
          <w:rFonts w:ascii="仿宋_GB2312" w:eastAsia="仿宋_GB2312" w:hAnsi="Times New Roman" w:hint="eastAsia"/>
          <w:kern w:val="0"/>
          <w:sz w:val="32"/>
          <w:szCs w:val="32"/>
          <w:shd w:val="clear" w:color="auto" w:fill="FFFFFF"/>
          <w:lang w:val="zh-CN"/>
        </w:rPr>
        <w:t>信访局行政编制人数为3人，现有在职行政人员</w:t>
      </w:r>
      <w:r w:rsidRPr="00A77969">
        <w:rPr>
          <w:rFonts w:ascii="仿宋_GB2312" w:eastAsia="仿宋_GB2312" w:hAnsi="Times New Roman" w:hint="eastAsia"/>
          <w:kern w:val="0"/>
          <w:sz w:val="32"/>
          <w:szCs w:val="32"/>
          <w:shd w:val="clear" w:color="auto" w:fill="FFFFFF"/>
        </w:rPr>
        <w:t>3</w:t>
      </w:r>
      <w:r w:rsidRPr="00A77969">
        <w:rPr>
          <w:rFonts w:ascii="仿宋_GB2312" w:eastAsia="仿宋_GB2312" w:hAnsi="Times New Roman" w:hint="eastAsia"/>
          <w:kern w:val="0"/>
          <w:sz w:val="32"/>
          <w:szCs w:val="32"/>
          <w:shd w:val="clear" w:color="auto" w:fill="FFFFFF"/>
          <w:lang w:val="zh-CN"/>
        </w:rPr>
        <w:t>人，下设盐边县群众工作中心事业编制人数为</w:t>
      </w:r>
      <w:r w:rsidRPr="00A77969">
        <w:rPr>
          <w:rFonts w:ascii="仿宋_GB2312" w:eastAsia="仿宋_GB2312" w:hAnsi="Times New Roman" w:hint="eastAsia"/>
          <w:kern w:val="0"/>
          <w:sz w:val="32"/>
          <w:szCs w:val="32"/>
          <w:shd w:val="clear" w:color="auto" w:fill="FFFFFF"/>
        </w:rPr>
        <w:t>8</w:t>
      </w:r>
      <w:r w:rsidRPr="00A77969">
        <w:rPr>
          <w:rFonts w:ascii="仿宋_GB2312" w:eastAsia="仿宋_GB2312" w:hAnsi="Times New Roman" w:hint="eastAsia"/>
          <w:kern w:val="0"/>
          <w:sz w:val="32"/>
          <w:szCs w:val="32"/>
          <w:shd w:val="clear" w:color="auto" w:fill="FFFFFF"/>
          <w:lang w:val="zh-CN"/>
        </w:rPr>
        <w:t>人，现有在职事业人员</w:t>
      </w:r>
      <w:r w:rsidRPr="00A77969">
        <w:rPr>
          <w:rFonts w:ascii="仿宋_GB2312" w:eastAsia="仿宋_GB2312" w:hAnsi="Times New Roman" w:hint="eastAsia"/>
          <w:kern w:val="0"/>
          <w:sz w:val="32"/>
          <w:szCs w:val="32"/>
          <w:shd w:val="clear" w:color="auto" w:fill="FFFFFF"/>
        </w:rPr>
        <w:t>8</w:t>
      </w:r>
      <w:r w:rsidRPr="00A77969">
        <w:rPr>
          <w:rFonts w:ascii="仿宋_GB2312" w:eastAsia="仿宋_GB2312" w:hAnsi="Times New Roman" w:hint="eastAsia"/>
          <w:kern w:val="0"/>
          <w:sz w:val="32"/>
          <w:szCs w:val="32"/>
          <w:shd w:val="clear" w:color="auto" w:fill="FFFFFF"/>
          <w:lang w:val="zh-CN"/>
        </w:rPr>
        <w:t>人。</w:t>
      </w:r>
    </w:p>
    <w:p w:rsidR="009966FF" w:rsidRPr="00AE53FC" w:rsidRDefault="009966FF" w:rsidP="009966FF">
      <w:pPr>
        <w:numPr>
          <w:ilvl w:val="0"/>
          <w:numId w:val="1"/>
        </w:numPr>
        <w:spacing w:line="560" w:lineRule="exact"/>
        <w:rPr>
          <w:rFonts w:ascii="黑体" w:eastAsia="黑体" w:hAnsi="黑体"/>
          <w:sz w:val="32"/>
          <w:szCs w:val="32"/>
        </w:rPr>
      </w:pPr>
      <w:r w:rsidRPr="00AE53FC">
        <w:rPr>
          <w:rFonts w:ascii="黑体" w:eastAsia="黑体" w:hAnsi="黑体" w:hint="eastAsia"/>
          <w:sz w:val="32"/>
          <w:szCs w:val="32"/>
        </w:rPr>
        <w:t>部门财政资金基本情况</w:t>
      </w:r>
    </w:p>
    <w:p w:rsidR="009966FF" w:rsidRPr="00AE53FC" w:rsidRDefault="009966FF" w:rsidP="009966FF">
      <w:pPr>
        <w:spacing w:line="560" w:lineRule="exact"/>
        <w:ind w:left="645"/>
        <w:rPr>
          <w:rStyle w:val="a5"/>
          <w:rFonts w:ascii="楷体_GB2312" w:eastAsia="楷体_GB2312" w:hAnsi="楷体" w:cs="楷体_GB2312"/>
          <w:b w:val="0"/>
          <w:sz w:val="32"/>
          <w:szCs w:val="32"/>
          <w:shd w:val="clear" w:color="auto" w:fill="FFFFFF"/>
        </w:rPr>
      </w:pPr>
      <w:r w:rsidRPr="00AE53FC">
        <w:rPr>
          <w:rStyle w:val="a5"/>
          <w:rFonts w:ascii="楷体_GB2312" w:eastAsia="楷体_GB2312" w:hAnsi="楷体" w:cs="楷体_GB2312" w:hint="eastAsia"/>
          <w:b w:val="0"/>
          <w:sz w:val="32"/>
          <w:szCs w:val="32"/>
          <w:shd w:val="clear" w:color="auto" w:fill="FFFFFF"/>
        </w:rPr>
        <w:lastRenderedPageBreak/>
        <w:t>（一）财政资金收入情况。</w:t>
      </w:r>
    </w:p>
    <w:p w:rsidR="009966FF" w:rsidRPr="00A77969" w:rsidRDefault="009966FF" w:rsidP="009966FF">
      <w:pPr>
        <w:pStyle w:val="a6"/>
        <w:widowControl/>
        <w:shd w:val="clear" w:color="auto" w:fill="FFFFFF"/>
        <w:spacing w:before="0" w:beforeAutospacing="0" w:after="0" w:afterAutospacing="0" w:line="560" w:lineRule="exact"/>
        <w:ind w:firstLine="640"/>
        <w:jc w:val="both"/>
        <w:rPr>
          <w:rFonts w:ascii="仿宋_GB2312" w:eastAsia="仿宋_GB2312" w:hAnsi="微软雅黑" w:cs="微软雅黑"/>
          <w:sz w:val="32"/>
          <w:szCs w:val="32"/>
        </w:rPr>
      </w:pPr>
      <w:r w:rsidRPr="00A77969">
        <w:rPr>
          <w:rFonts w:ascii="仿宋_GB2312" w:eastAsia="仿宋_GB2312" w:hint="eastAsia"/>
          <w:sz w:val="32"/>
          <w:szCs w:val="32"/>
          <w:shd w:val="clear" w:color="auto" w:fill="FFFFFF"/>
        </w:rPr>
        <w:t>按照综合预算，信访局所有收入和支出均纳入部门预算管理。</w:t>
      </w:r>
      <w:r w:rsidRPr="00A77969">
        <w:rPr>
          <w:rFonts w:ascii="仿宋_GB2312" w:eastAsia="仿宋_GB2312" w:hAnsi="微软雅黑" w:cs="微软雅黑" w:hint="eastAsia"/>
          <w:sz w:val="32"/>
          <w:szCs w:val="32"/>
          <w:shd w:val="clear" w:color="auto" w:fill="FFFFFF"/>
        </w:rPr>
        <w:t>2021</w:t>
      </w:r>
      <w:r w:rsidRPr="00A77969">
        <w:rPr>
          <w:rFonts w:ascii="仿宋_GB2312" w:eastAsia="仿宋_GB2312" w:hint="eastAsia"/>
          <w:sz w:val="32"/>
          <w:szCs w:val="32"/>
          <w:shd w:val="clear" w:color="auto" w:fill="FFFFFF"/>
        </w:rPr>
        <w:t>年财政收入323.72万元，其中：上年结转46.53万元，本年收入277.19万元，年初预算安排214.45 万元。</w:t>
      </w:r>
      <w:r w:rsidRPr="00A77969">
        <w:rPr>
          <w:rFonts w:ascii="仿宋_GB2312" w:eastAsia="仿宋_GB2312" w:hAnsi="微软雅黑" w:cs="微软雅黑" w:hint="eastAsia"/>
          <w:sz w:val="32"/>
          <w:szCs w:val="32"/>
          <w:shd w:val="clear" w:color="auto" w:fill="FFFFFF"/>
        </w:rPr>
        <w:t>2021</w:t>
      </w:r>
      <w:r w:rsidRPr="00A77969">
        <w:rPr>
          <w:rFonts w:ascii="仿宋_GB2312" w:eastAsia="仿宋_GB2312" w:hint="eastAsia"/>
          <w:sz w:val="32"/>
          <w:szCs w:val="32"/>
          <w:shd w:val="clear" w:color="auto" w:fill="FFFFFF"/>
        </w:rPr>
        <w:t>年基本收入204.28万元，其中人员经费收入188.80万元，公用经费收入15.48万元；本年项目收入 72.91 万元。</w:t>
      </w:r>
    </w:p>
    <w:p w:rsidR="009966FF" w:rsidRPr="006E71AA" w:rsidRDefault="009966FF" w:rsidP="009966FF">
      <w:pPr>
        <w:widowControl/>
        <w:adjustRightInd w:val="0"/>
        <w:snapToGrid w:val="0"/>
        <w:spacing w:line="560" w:lineRule="exact"/>
        <w:ind w:firstLineChars="200" w:firstLine="640"/>
        <w:contextualSpacing/>
        <w:rPr>
          <w:rFonts w:ascii="方正楷体_GBK" w:eastAsia="方正楷体_GBK" w:hAnsi="Times New Roman"/>
          <w:color w:val="000000"/>
          <w:sz w:val="32"/>
          <w:szCs w:val="32"/>
        </w:rPr>
      </w:pPr>
      <w:r w:rsidRPr="006E71AA">
        <w:rPr>
          <w:rFonts w:ascii="方正楷体_GBK" w:eastAsia="方正楷体_GBK" w:hAnsi="Times New Roman" w:hint="eastAsia"/>
          <w:color w:val="000000"/>
          <w:sz w:val="32"/>
          <w:szCs w:val="32"/>
        </w:rPr>
        <w:t>（二）财政资金支出情况</w:t>
      </w:r>
      <w:r>
        <w:rPr>
          <w:rFonts w:ascii="方正楷体_GBK" w:eastAsia="方正楷体_GBK" w:hAnsi="Times New Roman" w:hint="eastAsia"/>
          <w:color w:val="000000"/>
          <w:sz w:val="32"/>
          <w:szCs w:val="32"/>
        </w:rPr>
        <w:t>。</w:t>
      </w:r>
    </w:p>
    <w:p w:rsidR="009966FF" w:rsidRPr="00A77969" w:rsidRDefault="009966FF" w:rsidP="009966FF">
      <w:pPr>
        <w:pStyle w:val="a6"/>
        <w:widowControl/>
        <w:shd w:val="clear" w:color="auto" w:fill="FFFFFF"/>
        <w:spacing w:before="0" w:beforeAutospacing="0" w:after="0" w:afterAutospacing="0" w:line="560" w:lineRule="exact"/>
        <w:ind w:firstLine="640"/>
        <w:jc w:val="both"/>
        <w:rPr>
          <w:rFonts w:ascii="仿宋_GB2312" w:eastAsia="仿宋_GB2312" w:hAnsi="微软雅黑" w:cs="微软雅黑"/>
          <w:sz w:val="32"/>
          <w:szCs w:val="32"/>
        </w:rPr>
      </w:pPr>
      <w:r w:rsidRPr="00A77969">
        <w:rPr>
          <w:rFonts w:ascii="仿宋_GB2312" w:eastAsia="仿宋_GB2312" w:hint="eastAsia"/>
          <w:sz w:val="32"/>
          <w:szCs w:val="32"/>
          <w:shd w:val="clear" w:color="auto" w:fill="FFFFFF"/>
        </w:rPr>
        <w:t>严格按照预算执行。在收到财政下达的各类款项后，按照资金的用途使用，支出总额控制在预算总额以内，按照预算执行进度及时支付。</w:t>
      </w:r>
      <w:r w:rsidRPr="00A77969">
        <w:rPr>
          <w:rFonts w:ascii="仿宋_GB2312" w:eastAsia="仿宋_GB2312" w:hAnsi="微软雅黑" w:cs="微软雅黑" w:hint="eastAsia"/>
          <w:sz w:val="32"/>
          <w:szCs w:val="32"/>
          <w:shd w:val="clear" w:color="auto" w:fill="FFFFFF"/>
        </w:rPr>
        <w:t>2021</w:t>
      </w:r>
      <w:r w:rsidRPr="00A77969">
        <w:rPr>
          <w:rFonts w:ascii="仿宋_GB2312" w:eastAsia="仿宋_GB2312" w:hint="eastAsia"/>
          <w:sz w:val="32"/>
          <w:szCs w:val="32"/>
          <w:shd w:val="clear" w:color="auto" w:fill="FFFFFF"/>
        </w:rPr>
        <w:t>年财政支出共323.72万元。</w:t>
      </w:r>
      <w:r w:rsidRPr="00A77969">
        <w:rPr>
          <w:rFonts w:ascii="仿宋_GB2312" w:eastAsia="仿宋_GB2312" w:hAnsi="微软雅黑" w:cs="微软雅黑" w:hint="eastAsia"/>
          <w:sz w:val="32"/>
          <w:szCs w:val="32"/>
          <w:shd w:val="clear" w:color="auto" w:fill="FFFFFF"/>
        </w:rPr>
        <w:t>2021</w:t>
      </w:r>
      <w:r w:rsidRPr="00A77969">
        <w:rPr>
          <w:rFonts w:ascii="仿宋_GB2312" w:eastAsia="仿宋_GB2312" w:hint="eastAsia"/>
          <w:sz w:val="32"/>
          <w:szCs w:val="32"/>
          <w:shd w:val="clear" w:color="auto" w:fill="FFFFFF"/>
        </w:rPr>
        <w:t>年基本支出204.28万元，其中人员经费支出 188.80 万元，公用经费支出 15.48 万元；项目支出119.44 万元。人员支出是用于保障信访局机关、下属事业单位等机构正常运转的日常支出，主要包括基本工资、津贴补贴、住房公积金和社会保险缴费等支出。日常公用经费支出主要包括办公费、水费、电费、邮电费、印刷费、差旅费、维修（护）费、劳务费等支出。</w:t>
      </w:r>
    </w:p>
    <w:p w:rsidR="009966FF" w:rsidRPr="006E71AA" w:rsidRDefault="009966FF" w:rsidP="009966FF">
      <w:pPr>
        <w:widowControl/>
        <w:adjustRightInd w:val="0"/>
        <w:snapToGrid w:val="0"/>
        <w:spacing w:line="560" w:lineRule="exact"/>
        <w:ind w:firstLineChars="200" w:firstLine="640"/>
        <w:contextualSpacing/>
        <w:rPr>
          <w:rFonts w:ascii="方正楷体_GBK" w:eastAsia="方正楷体_GBK" w:hAnsi="Times New Roman"/>
          <w:sz w:val="32"/>
          <w:szCs w:val="32"/>
        </w:rPr>
      </w:pPr>
      <w:r w:rsidRPr="006E71AA">
        <w:rPr>
          <w:rFonts w:ascii="方正楷体_GBK" w:eastAsia="方正楷体_GBK" w:hAnsi="Times New Roman" w:hint="eastAsia"/>
          <w:sz w:val="32"/>
          <w:szCs w:val="32"/>
        </w:rPr>
        <w:t>（三）财政资金结转结余情况。</w:t>
      </w:r>
    </w:p>
    <w:p w:rsidR="009966FF" w:rsidRPr="00A77969" w:rsidRDefault="009966FF" w:rsidP="009966FF">
      <w:pPr>
        <w:pStyle w:val="a6"/>
        <w:widowControl/>
        <w:shd w:val="clear" w:color="auto" w:fill="FFFFFF"/>
        <w:spacing w:before="0" w:beforeAutospacing="0" w:after="0" w:afterAutospacing="0" w:line="560" w:lineRule="exact"/>
        <w:ind w:firstLineChars="250" w:firstLine="800"/>
        <w:jc w:val="both"/>
        <w:rPr>
          <w:rFonts w:ascii="仿宋_GB2312" w:eastAsia="仿宋_GB2312" w:hAnsi="微软雅黑" w:cs="微软雅黑"/>
          <w:sz w:val="32"/>
          <w:szCs w:val="32"/>
        </w:rPr>
      </w:pPr>
      <w:r w:rsidRPr="00A77969">
        <w:rPr>
          <w:rFonts w:ascii="仿宋_GB2312" w:eastAsia="仿宋_GB2312" w:hAnsi="微软雅黑" w:cs="微软雅黑" w:hint="eastAsia"/>
          <w:sz w:val="32"/>
          <w:szCs w:val="32"/>
          <w:shd w:val="clear" w:color="auto" w:fill="FFFFFF"/>
        </w:rPr>
        <w:t>2021</w:t>
      </w:r>
      <w:r w:rsidRPr="00A77969">
        <w:rPr>
          <w:rFonts w:ascii="仿宋_GB2312" w:eastAsia="仿宋_GB2312" w:hint="eastAsia"/>
          <w:sz w:val="32"/>
          <w:szCs w:val="32"/>
          <w:shd w:val="clear" w:color="auto" w:fill="FFFFFF"/>
        </w:rPr>
        <w:t>年无结转结余资金。</w:t>
      </w:r>
    </w:p>
    <w:p w:rsidR="009966FF" w:rsidRPr="006E71AA" w:rsidRDefault="009966FF" w:rsidP="009966FF">
      <w:pPr>
        <w:widowControl/>
        <w:adjustRightInd w:val="0"/>
        <w:snapToGrid w:val="0"/>
        <w:spacing w:line="560" w:lineRule="exact"/>
        <w:ind w:firstLineChars="200" w:firstLine="640"/>
        <w:contextualSpacing/>
        <w:rPr>
          <w:rFonts w:ascii="黑体" w:eastAsia="黑体" w:hAnsi="黑体"/>
          <w:color w:val="000000"/>
          <w:sz w:val="32"/>
          <w:szCs w:val="32"/>
        </w:rPr>
      </w:pPr>
      <w:r w:rsidRPr="006E71AA">
        <w:rPr>
          <w:rFonts w:ascii="黑体" w:eastAsia="黑体" w:hAnsi="黑体" w:hint="eastAsia"/>
          <w:color w:val="000000"/>
          <w:sz w:val="32"/>
          <w:szCs w:val="32"/>
        </w:rPr>
        <w:t>三、部门预算绩效管理情况（项目自评报告根据要求另行单独报送）</w:t>
      </w:r>
    </w:p>
    <w:p w:rsidR="009966FF" w:rsidRPr="006E71AA" w:rsidRDefault="009966FF" w:rsidP="009966FF">
      <w:pPr>
        <w:widowControl/>
        <w:adjustRightInd w:val="0"/>
        <w:snapToGrid w:val="0"/>
        <w:spacing w:line="560" w:lineRule="exact"/>
        <w:ind w:firstLineChars="200" w:firstLine="640"/>
        <w:contextualSpacing/>
        <w:rPr>
          <w:rFonts w:ascii="方正楷体_GBK" w:eastAsia="方正楷体_GBK" w:hAnsi="Times New Roman"/>
          <w:color w:val="000000"/>
          <w:sz w:val="32"/>
          <w:szCs w:val="32"/>
        </w:rPr>
      </w:pPr>
      <w:r w:rsidRPr="006E71AA">
        <w:rPr>
          <w:rFonts w:ascii="方正楷体_GBK" w:eastAsia="方正楷体_GBK" w:hAnsi="Times New Roman" w:hint="eastAsia"/>
          <w:color w:val="000000"/>
          <w:sz w:val="32"/>
          <w:szCs w:val="32"/>
        </w:rPr>
        <w:t>（一）部门预算绩效管理。</w:t>
      </w:r>
    </w:p>
    <w:p w:rsidR="009966FF" w:rsidRDefault="009966FF" w:rsidP="009966FF">
      <w:pPr>
        <w:pStyle w:val="a6"/>
        <w:widowControl/>
        <w:shd w:val="clear" w:color="auto" w:fill="FFFFFF"/>
        <w:spacing w:before="0" w:beforeAutospacing="0" w:after="0" w:afterAutospacing="0" w:line="560" w:lineRule="exact"/>
        <w:ind w:firstLine="640"/>
        <w:jc w:val="both"/>
        <w:rPr>
          <w:rFonts w:ascii="仿宋_GB2312" w:eastAsia="仿宋_GB2312" w:hAnsi="微软雅黑" w:cs="微软雅黑"/>
          <w:sz w:val="32"/>
          <w:szCs w:val="32"/>
          <w:shd w:val="clear" w:color="auto" w:fill="FFFFFF"/>
        </w:rPr>
      </w:pPr>
    </w:p>
    <w:p w:rsidR="009966FF" w:rsidRPr="006E71AA" w:rsidRDefault="009966FF" w:rsidP="009966FF">
      <w:pPr>
        <w:pStyle w:val="a6"/>
        <w:widowControl/>
        <w:shd w:val="clear" w:color="auto" w:fill="FFFFFF"/>
        <w:spacing w:before="0" w:beforeAutospacing="0" w:after="0" w:afterAutospacing="0" w:line="560" w:lineRule="exact"/>
        <w:ind w:firstLine="640"/>
        <w:jc w:val="both"/>
        <w:rPr>
          <w:rFonts w:ascii="仿宋_GB2312" w:eastAsia="仿宋_GB2312" w:hAnsi="微软雅黑" w:cs="微软雅黑"/>
          <w:b/>
          <w:sz w:val="32"/>
          <w:szCs w:val="32"/>
        </w:rPr>
      </w:pPr>
      <w:r w:rsidRPr="006E71AA">
        <w:rPr>
          <w:rFonts w:ascii="仿宋_GB2312" w:eastAsia="仿宋_GB2312" w:hAnsi="微软雅黑" w:cs="微软雅黑" w:hint="eastAsia"/>
          <w:b/>
          <w:sz w:val="32"/>
          <w:szCs w:val="32"/>
          <w:shd w:val="clear" w:color="auto" w:fill="FFFFFF"/>
        </w:rPr>
        <w:t>1.</w:t>
      </w:r>
      <w:r w:rsidRPr="006E71AA">
        <w:rPr>
          <w:rFonts w:ascii="仿宋_GB2312" w:eastAsia="仿宋_GB2312" w:hAnsi="仿宋_GB2312" w:cs="仿宋_GB2312" w:hint="eastAsia"/>
          <w:b/>
          <w:sz w:val="32"/>
          <w:szCs w:val="32"/>
          <w:shd w:val="clear" w:color="auto" w:fill="FFFFFF"/>
        </w:rPr>
        <w:t>总体绩效</w:t>
      </w:r>
      <w:r>
        <w:rPr>
          <w:rFonts w:ascii="仿宋_GB2312" w:eastAsia="仿宋_GB2312" w:hAnsi="仿宋_GB2312" w:cs="仿宋_GB2312" w:hint="eastAsia"/>
          <w:b/>
          <w:sz w:val="32"/>
          <w:szCs w:val="32"/>
          <w:shd w:val="clear" w:color="auto" w:fill="FFFFFF"/>
        </w:rPr>
        <w:t>。</w:t>
      </w:r>
    </w:p>
    <w:p w:rsidR="009966FF" w:rsidRPr="00A77969" w:rsidRDefault="009966FF" w:rsidP="009966FF">
      <w:pPr>
        <w:pStyle w:val="a6"/>
        <w:widowControl/>
        <w:shd w:val="clear" w:color="auto" w:fill="FFFFFF"/>
        <w:spacing w:before="0" w:beforeAutospacing="0" w:after="0" w:afterAutospacing="0" w:line="560" w:lineRule="exact"/>
        <w:ind w:firstLine="640"/>
        <w:jc w:val="both"/>
        <w:rPr>
          <w:rFonts w:ascii="仿宋_GB2312" w:eastAsia="仿宋_GB2312"/>
          <w:sz w:val="32"/>
          <w:szCs w:val="32"/>
          <w:shd w:val="clear" w:color="auto" w:fill="FFFFFF"/>
        </w:rPr>
      </w:pPr>
      <w:r w:rsidRPr="00A77969">
        <w:rPr>
          <w:rFonts w:ascii="仿宋_GB2312" w:eastAsia="仿宋_GB2312" w:hAnsi="微软雅黑" w:cs="微软雅黑" w:hint="eastAsia"/>
          <w:sz w:val="32"/>
          <w:szCs w:val="32"/>
          <w:shd w:val="clear" w:color="auto" w:fill="FFFFFF"/>
        </w:rPr>
        <w:lastRenderedPageBreak/>
        <w:t>2021</w:t>
      </w:r>
      <w:r w:rsidRPr="00A77969">
        <w:rPr>
          <w:rFonts w:ascii="仿宋_GB2312" w:eastAsia="仿宋_GB2312" w:hint="eastAsia"/>
          <w:sz w:val="32"/>
          <w:szCs w:val="32"/>
          <w:shd w:val="clear" w:color="auto" w:fill="FFFFFF"/>
        </w:rPr>
        <w:t>年总体目标是：在县委县政府的领导下，按照职能职责按时完成上级部门下达的各项任务。保证财政资金安全，按时发放职工工资，节约办公，保障机构正常运行；有序推进其他各项业务工作，服务群众。信访项目经费总体目标是：切实维护辖区社会和谐安定，妥善处理好各类信访案件，推动信访积案有效化解，减少积案存量；畅通信访渠道、规范信访秩序，妥善解决群众合理诉求，促进问题解决，维护社会稳定。</w:t>
      </w:r>
    </w:p>
    <w:p w:rsidR="009966FF" w:rsidRPr="006E71AA" w:rsidRDefault="009966FF" w:rsidP="009966FF">
      <w:pPr>
        <w:pStyle w:val="a6"/>
        <w:widowControl/>
        <w:shd w:val="clear" w:color="auto" w:fill="FFFFFF"/>
        <w:spacing w:before="0" w:beforeAutospacing="0" w:after="0" w:afterAutospacing="0" w:line="560" w:lineRule="exact"/>
        <w:ind w:firstLine="640"/>
        <w:jc w:val="both"/>
        <w:rPr>
          <w:rFonts w:ascii="仿宋_GB2312" w:eastAsia="仿宋_GB2312" w:hAnsi="仿宋_GB2312" w:cs="仿宋_GB2312"/>
          <w:b/>
          <w:sz w:val="32"/>
          <w:szCs w:val="32"/>
          <w:shd w:val="clear" w:color="auto" w:fill="FFFFFF"/>
        </w:rPr>
      </w:pPr>
      <w:r w:rsidRPr="006E71AA">
        <w:rPr>
          <w:rFonts w:ascii="仿宋_GB2312" w:eastAsia="仿宋_GB2312" w:hAnsi="仿宋_GB2312" w:cs="仿宋_GB2312" w:hint="eastAsia"/>
          <w:b/>
          <w:sz w:val="32"/>
          <w:szCs w:val="32"/>
          <w:shd w:val="clear" w:color="auto" w:fill="FFFFFF"/>
        </w:rPr>
        <w:t>2.主要目标绩效完成情况。</w:t>
      </w:r>
    </w:p>
    <w:p w:rsidR="009966FF" w:rsidRPr="00A77969" w:rsidRDefault="009966FF" w:rsidP="009966FF">
      <w:pPr>
        <w:snapToGrid w:val="0"/>
        <w:spacing w:line="560" w:lineRule="exact"/>
        <w:ind w:firstLineChars="200" w:firstLine="640"/>
        <w:rPr>
          <w:rFonts w:ascii="仿宋_GB2312" w:eastAsia="仿宋_GB2312" w:hAnsi="仿宋"/>
          <w:color w:val="000000"/>
          <w:sz w:val="32"/>
          <w:szCs w:val="32"/>
        </w:rPr>
      </w:pPr>
      <w:r w:rsidRPr="00A77969">
        <w:rPr>
          <w:rFonts w:ascii="仿宋_GB2312" w:eastAsia="仿宋_GB2312" w:hAnsi="Times New Roman" w:hint="eastAsia"/>
          <w:color w:val="000000"/>
          <w:sz w:val="32"/>
          <w:szCs w:val="32"/>
        </w:rPr>
        <w:t>2021年度全年资金拨付和使用均按计划进度完成，全年经费的拨付和使用均及时、合理，</w:t>
      </w:r>
      <w:r w:rsidRPr="00A77969">
        <w:rPr>
          <w:rFonts w:ascii="仿宋_GB2312" w:eastAsia="仿宋_GB2312" w:hAnsi="仿宋" w:hint="eastAsia"/>
          <w:color w:val="000000"/>
          <w:sz w:val="32"/>
          <w:szCs w:val="32"/>
        </w:rPr>
        <w:t>按照项目资金管理办法实行专款专用，</w:t>
      </w:r>
      <w:r w:rsidRPr="00A77969">
        <w:rPr>
          <w:rFonts w:ascii="仿宋_GB2312" w:eastAsia="仿宋_GB2312" w:hAnsi="Times New Roman" w:hint="eastAsia"/>
          <w:color w:val="000000"/>
          <w:sz w:val="32"/>
          <w:szCs w:val="32"/>
        </w:rPr>
        <w:t>未发生因经费影响工作的情况。严格</w:t>
      </w:r>
      <w:r w:rsidRPr="00A77969">
        <w:rPr>
          <w:rFonts w:ascii="仿宋_GB2312" w:eastAsia="仿宋_GB2312" w:hAnsi="仿宋" w:hint="eastAsia"/>
          <w:color w:val="000000"/>
          <w:sz w:val="32"/>
          <w:szCs w:val="32"/>
        </w:rPr>
        <w:t>执行国家有关法律、法规和财务规章制度，厉行节约，制止奢侈浪费，量入为出，保证重点，兼顾一般，严格专款专用，防止了截留、挤占、挪用等问题发生，确保资金安全、规范、有效使用。</w:t>
      </w:r>
    </w:p>
    <w:p w:rsidR="009966FF" w:rsidRPr="00A77969" w:rsidRDefault="009966FF" w:rsidP="009966FF">
      <w:pPr>
        <w:snapToGrid w:val="0"/>
        <w:spacing w:line="560" w:lineRule="exact"/>
        <w:ind w:firstLineChars="200" w:firstLine="640"/>
        <w:rPr>
          <w:rFonts w:ascii="仿宋_GB2312" w:eastAsia="仿宋_GB2312" w:hAnsi="Times New Roman"/>
          <w:bCs/>
          <w:color w:val="000000"/>
          <w:sz w:val="32"/>
          <w:szCs w:val="32"/>
        </w:rPr>
      </w:pPr>
      <w:r w:rsidRPr="00A77969">
        <w:rPr>
          <w:rFonts w:ascii="仿宋_GB2312" w:eastAsia="仿宋_GB2312" w:hAnsi="Times New Roman" w:hint="eastAsia"/>
          <w:bCs/>
          <w:color w:val="000000"/>
          <w:sz w:val="32"/>
          <w:szCs w:val="32"/>
        </w:rPr>
        <w:t>（1）人员类</w:t>
      </w:r>
      <w:r>
        <w:rPr>
          <w:rFonts w:ascii="仿宋_GB2312" w:eastAsia="仿宋_GB2312" w:hAnsi="Times New Roman" w:hint="eastAsia"/>
          <w:bCs/>
          <w:color w:val="000000"/>
          <w:sz w:val="32"/>
          <w:szCs w:val="32"/>
        </w:rPr>
        <w:t>。</w:t>
      </w:r>
    </w:p>
    <w:p w:rsidR="009966FF" w:rsidRPr="00A77969" w:rsidRDefault="009966FF" w:rsidP="009966FF">
      <w:pPr>
        <w:snapToGrid w:val="0"/>
        <w:spacing w:line="560" w:lineRule="exact"/>
        <w:ind w:firstLineChars="200" w:firstLine="640"/>
        <w:rPr>
          <w:rFonts w:ascii="仿宋_GB2312" w:eastAsia="仿宋_GB2312" w:hAnsi="仿宋"/>
          <w:color w:val="000000"/>
          <w:sz w:val="32"/>
          <w:szCs w:val="32"/>
        </w:rPr>
      </w:pPr>
      <w:r w:rsidRPr="00A77969">
        <w:rPr>
          <w:rFonts w:ascii="仿宋_GB2312" w:eastAsia="仿宋_GB2312" w:hAnsi="仿宋" w:hint="eastAsia"/>
          <w:color w:val="000000"/>
          <w:sz w:val="32"/>
          <w:szCs w:val="32"/>
        </w:rPr>
        <w:t>2021年度,使用一般公共预算财政拨款安排的职工工资支出、住房</w:t>
      </w:r>
      <w:r w:rsidR="008A5758">
        <w:rPr>
          <w:rFonts w:ascii="仿宋_GB2312" w:eastAsia="仿宋_GB2312" w:hAnsi="仿宋" w:hint="eastAsia"/>
          <w:color w:val="000000"/>
          <w:sz w:val="32"/>
          <w:szCs w:val="32"/>
        </w:rPr>
        <w:t>公积金支出等基本支出保障有力，未将工资福利支出等大平台指标挪作他</w:t>
      </w:r>
      <w:r w:rsidRPr="00A77969">
        <w:rPr>
          <w:rFonts w:ascii="仿宋_GB2312" w:eastAsia="仿宋_GB2312" w:hAnsi="仿宋" w:hint="eastAsia"/>
          <w:color w:val="000000"/>
          <w:sz w:val="32"/>
          <w:szCs w:val="32"/>
        </w:rPr>
        <w:t>用，确保全年平稳保障职工工资支出，维持基本行政运转。</w:t>
      </w:r>
    </w:p>
    <w:p w:rsidR="009966FF" w:rsidRPr="00A77969" w:rsidRDefault="009966FF" w:rsidP="009966FF">
      <w:pPr>
        <w:snapToGrid w:val="0"/>
        <w:spacing w:line="560" w:lineRule="exact"/>
        <w:ind w:firstLineChars="200" w:firstLine="640"/>
        <w:rPr>
          <w:rFonts w:ascii="仿宋_GB2312" w:eastAsia="仿宋_GB2312" w:hAnsi="Times New Roman"/>
          <w:color w:val="000000"/>
          <w:sz w:val="32"/>
          <w:szCs w:val="32"/>
        </w:rPr>
      </w:pPr>
      <w:r w:rsidRPr="00A77969">
        <w:rPr>
          <w:rFonts w:ascii="仿宋_GB2312" w:eastAsia="仿宋_GB2312" w:hAnsi="仿宋" w:hint="eastAsia"/>
          <w:color w:val="000000"/>
          <w:sz w:val="32"/>
          <w:szCs w:val="32"/>
        </w:rPr>
        <w:t>人员经费支出</w:t>
      </w:r>
      <w:r w:rsidRPr="00A77969">
        <w:rPr>
          <w:rFonts w:ascii="仿宋_GB2312" w:eastAsia="仿宋_GB2312" w:hint="eastAsia"/>
          <w:sz w:val="32"/>
          <w:szCs w:val="32"/>
          <w:shd w:val="clear" w:color="auto" w:fill="FFFFFF"/>
        </w:rPr>
        <w:t>188.80</w:t>
      </w:r>
      <w:r w:rsidRPr="00A77969">
        <w:rPr>
          <w:rFonts w:ascii="仿宋_GB2312" w:eastAsia="仿宋_GB2312" w:hAnsi="仿宋" w:hint="eastAsia"/>
          <w:color w:val="000000"/>
          <w:sz w:val="32"/>
          <w:szCs w:val="32"/>
        </w:rPr>
        <w:t>万元，主要用于职工工资及福利待遇支出，</w:t>
      </w:r>
      <w:r w:rsidRPr="00A77969">
        <w:rPr>
          <w:rFonts w:ascii="仿宋_GB2312" w:eastAsia="仿宋_GB2312" w:hAnsi="Times New Roman" w:hint="eastAsia"/>
          <w:color w:val="000000"/>
          <w:sz w:val="32"/>
          <w:szCs w:val="32"/>
        </w:rPr>
        <w:t>干部职工工资及对个人和家庭补助支出足额按月及时进行拨付，预算执行率100%。</w:t>
      </w:r>
      <w:bookmarkStart w:id="0" w:name="_GoBack"/>
      <w:bookmarkEnd w:id="0"/>
    </w:p>
    <w:p w:rsidR="009966FF" w:rsidRPr="00A77969" w:rsidRDefault="009966FF" w:rsidP="009966FF">
      <w:pPr>
        <w:snapToGrid w:val="0"/>
        <w:spacing w:line="560" w:lineRule="exact"/>
        <w:ind w:firstLineChars="200" w:firstLine="640"/>
        <w:rPr>
          <w:rFonts w:ascii="仿宋_GB2312" w:eastAsia="仿宋_GB2312" w:hAnsi="Times New Roman"/>
          <w:bCs/>
          <w:color w:val="000000"/>
          <w:sz w:val="32"/>
          <w:szCs w:val="32"/>
        </w:rPr>
      </w:pPr>
      <w:r w:rsidRPr="00A77969">
        <w:rPr>
          <w:rFonts w:ascii="仿宋_GB2312" w:eastAsia="仿宋_GB2312" w:hAnsi="Times New Roman" w:hint="eastAsia"/>
          <w:bCs/>
          <w:color w:val="000000"/>
          <w:sz w:val="32"/>
          <w:szCs w:val="32"/>
        </w:rPr>
        <w:lastRenderedPageBreak/>
        <w:t>（2）运转类</w:t>
      </w:r>
      <w:r>
        <w:rPr>
          <w:rFonts w:ascii="仿宋_GB2312" w:eastAsia="仿宋_GB2312" w:hAnsi="Times New Roman" w:hint="eastAsia"/>
          <w:bCs/>
          <w:color w:val="000000"/>
          <w:sz w:val="32"/>
          <w:szCs w:val="32"/>
        </w:rPr>
        <w:t>。</w:t>
      </w:r>
    </w:p>
    <w:p w:rsidR="009966FF" w:rsidRPr="00A77969" w:rsidRDefault="009966FF" w:rsidP="009966FF">
      <w:pPr>
        <w:snapToGrid w:val="0"/>
        <w:spacing w:line="560" w:lineRule="exact"/>
        <w:ind w:firstLineChars="200" w:firstLine="640"/>
        <w:rPr>
          <w:rFonts w:ascii="仿宋_GB2312" w:eastAsia="仿宋_GB2312" w:hAnsi="仿宋"/>
          <w:color w:val="000000"/>
          <w:sz w:val="32"/>
          <w:szCs w:val="32"/>
        </w:rPr>
      </w:pPr>
      <w:r w:rsidRPr="00A77969">
        <w:rPr>
          <w:rFonts w:ascii="仿宋_GB2312" w:eastAsia="仿宋_GB2312" w:hAnsi="仿宋" w:hint="eastAsia"/>
          <w:color w:val="000000"/>
          <w:sz w:val="32"/>
          <w:szCs w:val="32"/>
        </w:rPr>
        <w:t>2021年度,在履行一般行政管理职能、维持机关日常运转而开支的机关运行经费呈下降趋势，全局厉行节约，杜绝各类非</w:t>
      </w:r>
      <w:proofErr w:type="gramStart"/>
      <w:r w:rsidRPr="00A77969">
        <w:rPr>
          <w:rFonts w:ascii="仿宋_GB2312" w:eastAsia="仿宋_GB2312" w:hAnsi="仿宋" w:hint="eastAsia"/>
          <w:color w:val="000000"/>
          <w:sz w:val="32"/>
          <w:szCs w:val="32"/>
        </w:rPr>
        <w:t>必要业务</w:t>
      </w:r>
      <w:proofErr w:type="gramEnd"/>
      <w:r w:rsidRPr="00A77969">
        <w:rPr>
          <w:rFonts w:ascii="仿宋_GB2312" w:eastAsia="仿宋_GB2312" w:hAnsi="仿宋" w:hint="eastAsia"/>
          <w:color w:val="000000"/>
          <w:sz w:val="32"/>
          <w:szCs w:val="32"/>
        </w:rPr>
        <w:t>培训及差旅费支出；办公设备维护、耗材选购均货比三家，注重性价比，通过采取多种措施，切实严控各类公用经费支出。</w:t>
      </w:r>
    </w:p>
    <w:p w:rsidR="009966FF" w:rsidRPr="00A77969" w:rsidRDefault="009966FF" w:rsidP="009966FF">
      <w:pPr>
        <w:snapToGrid w:val="0"/>
        <w:spacing w:line="560" w:lineRule="exact"/>
        <w:ind w:firstLineChars="200" w:firstLine="640"/>
        <w:rPr>
          <w:rFonts w:ascii="仿宋_GB2312" w:eastAsia="仿宋_GB2312" w:hAnsi="Times New Roman"/>
          <w:color w:val="000000"/>
          <w:sz w:val="32"/>
          <w:szCs w:val="32"/>
        </w:rPr>
      </w:pPr>
      <w:r w:rsidRPr="00A77969">
        <w:rPr>
          <w:rFonts w:ascii="仿宋_GB2312" w:eastAsia="仿宋_GB2312" w:hAnsi="仿宋" w:hint="eastAsia"/>
          <w:color w:val="000000"/>
          <w:sz w:val="32"/>
          <w:szCs w:val="32"/>
        </w:rPr>
        <w:t>公用经费支出</w:t>
      </w:r>
      <w:r w:rsidRPr="00A77969">
        <w:rPr>
          <w:rFonts w:ascii="仿宋_GB2312" w:eastAsia="仿宋_GB2312" w:hint="eastAsia"/>
          <w:sz w:val="32"/>
          <w:szCs w:val="32"/>
          <w:shd w:val="clear" w:color="auto" w:fill="FFFFFF"/>
        </w:rPr>
        <w:t xml:space="preserve">15.48 </w:t>
      </w:r>
      <w:r w:rsidRPr="00A77969">
        <w:rPr>
          <w:rFonts w:ascii="仿宋_GB2312" w:eastAsia="仿宋_GB2312" w:hAnsi="仿宋" w:hint="eastAsia"/>
          <w:color w:val="000000"/>
          <w:sz w:val="32"/>
          <w:szCs w:val="32"/>
        </w:rPr>
        <w:t>万元，主要用于办公费、印刷费、水电费、车辆运行及维护费、差旅费、维修（护）费等日常公用经费，严格按照资金用途申报、使用资金，均已足额按时支付，有力保障了各项业务的顺利开展，预算执行率100%。</w:t>
      </w:r>
    </w:p>
    <w:p w:rsidR="009966FF" w:rsidRPr="00A77969" w:rsidRDefault="009966FF" w:rsidP="009966FF">
      <w:pPr>
        <w:widowControl/>
        <w:adjustRightInd w:val="0"/>
        <w:snapToGrid w:val="0"/>
        <w:spacing w:line="560" w:lineRule="exact"/>
        <w:ind w:firstLineChars="200" w:firstLine="640"/>
        <w:contextualSpacing/>
        <w:rPr>
          <w:rFonts w:ascii="仿宋_GB2312" w:eastAsia="仿宋_GB2312" w:hAnsi="Times New Roman"/>
          <w:bCs/>
          <w:color w:val="000000"/>
          <w:sz w:val="32"/>
          <w:szCs w:val="32"/>
        </w:rPr>
      </w:pPr>
      <w:r w:rsidRPr="00A77969">
        <w:rPr>
          <w:rFonts w:ascii="仿宋_GB2312" w:eastAsia="仿宋_GB2312" w:hAnsi="Times New Roman" w:hint="eastAsia"/>
          <w:bCs/>
          <w:color w:val="000000"/>
          <w:sz w:val="32"/>
          <w:szCs w:val="32"/>
        </w:rPr>
        <w:t>（3）特定目标类</w:t>
      </w:r>
      <w:r>
        <w:rPr>
          <w:rFonts w:ascii="仿宋_GB2312" w:eastAsia="仿宋_GB2312" w:hAnsi="Times New Roman" w:hint="eastAsia"/>
          <w:bCs/>
          <w:color w:val="000000"/>
          <w:sz w:val="32"/>
          <w:szCs w:val="32"/>
        </w:rPr>
        <w:t>。</w:t>
      </w:r>
    </w:p>
    <w:p w:rsidR="009966FF" w:rsidRPr="00A77969" w:rsidRDefault="009966FF" w:rsidP="009966FF">
      <w:pPr>
        <w:pBdr>
          <w:bottom w:val="single" w:sz="4" w:space="31" w:color="FFFFFF"/>
        </w:pBdr>
        <w:shd w:val="clear" w:color="auto" w:fill="FFFFFF"/>
        <w:tabs>
          <w:tab w:val="left" w:pos="1440"/>
        </w:tabs>
        <w:adjustRightInd w:val="0"/>
        <w:snapToGrid w:val="0"/>
        <w:spacing w:line="560" w:lineRule="exact"/>
        <w:ind w:firstLineChars="200" w:firstLine="640"/>
        <w:rPr>
          <w:rFonts w:ascii="仿宋_GB2312" w:eastAsia="仿宋_GB2312" w:hAnsi="仿宋"/>
          <w:color w:val="000000"/>
          <w:sz w:val="32"/>
          <w:szCs w:val="32"/>
        </w:rPr>
      </w:pPr>
      <w:r w:rsidRPr="00A77969">
        <w:rPr>
          <w:rFonts w:ascii="仿宋_GB2312" w:eastAsia="仿宋_GB2312" w:hAnsi="Times New Roman" w:hint="eastAsia"/>
          <w:color w:val="000000"/>
          <w:sz w:val="32"/>
          <w:szCs w:val="32"/>
        </w:rPr>
        <w:t>2021年</w:t>
      </w:r>
      <w:r w:rsidRPr="00A77969">
        <w:rPr>
          <w:rFonts w:ascii="仿宋_GB2312" w:eastAsia="仿宋_GB2312" w:hAnsi="仿宋" w:hint="eastAsia"/>
          <w:color w:val="000000"/>
          <w:sz w:val="32"/>
          <w:szCs w:val="32"/>
        </w:rPr>
        <w:t>项目支出</w:t>
      </w:r>
      <w:r w:rsidRPr="00A77969">
        <w:rPr>
          <w:rFonts w:ascii="仿宋_GB2312" w:eastAsia="仿宋_GB2312" w:hint="eastAsia"/>
          <w:sz w:val="32"/>
          <w:szCs w:val="32"/>
          <w:shd w:val="clear" w:color="auto" w:fill="FFFFFF"/>
        </w:rPr>
        <w:t>119.44</w:t>
      </w:r>
      <w:r w:rsidRPr="00A77969">
        <w:rPr>
          <w:rFonts w:ascii="仿宋_GB2312" w:eastAsia="仿宋_GB2312" w:hAnsi="仿宋" w:hint="eastAsia"/>
          <w:color w:val="000000"/>
          <w:sz w:val="32"/>
          <w:szCs w:val="32"/>
        </w:rPr>
        <w:t>万元，主要用于信访业务的办理，</w:t>
      </w:r>
      <w:r w:rsidRPr="00A77969">
        <w:rPr>
          <w:rFonts w:ascii="仿宋_GB2312" w:eastAsia="仿宋_GB2312" w:hAnsi="方正仿宋_GBK" w:cs="方正仿宋_GBK" w:hint="eastAsia"/>
          <w:kern w:val="0"/>
          <w:sz w:val="32"/>
          <w:szCs w:val="32"/>
          <w:shd w:val="clear" w:color="auto" w:fill="FFFFFF"/>
          <w:lang w:bidi="ar"/>
        </w:rPr>
        <w:t>用于无责任主体信访案件等诉求合理但无相应政策规定的、生活确有困难的信访事项，根据 “三到位</w:t>
      </w:r>
      <w:proofErr w:type="gramStart"/>
      <w:r w:rsidRPr="00A77969">
        <w:rPr>
          <w:rFonts w:ascii="仿宋_GB2312" w:eastAsia="仿宋_GB2312" w:hAnsi="方正仿宋_GBK" w:cs="方正仿宋_GBK" w:hint="eastAsia"/>
          <w:kern w:val="0"/>
          <w:sz w:val="32"/>
          <w:szCs w:val="32"/>
          <w:shd w:val="clear" w:color="auto" w:fill="FFFFFF"/>
          <w:lang w:bidi="ar"/>
        </w:rPr>
        <w:t>一</w:t>
      </w:r>
      <w:proofErr w:type="gramEnd"/>
      <w:r w:rsidRPr="00A77969">
        <w:rPr>
          <w:rFonts w:ascii="仿宋_GB2312" w:eastAsia="仿宋_GB2312" w:hAnsi="方正仿宋_GBK" w:cs="方正仿宋_GBK" w:hint="eastAsia"/>
          <w:kern w:val="0"/>
          <w:sz w:val="32"/>
          <w:szCs w:val="32"/>
          <w:shd w:val="clear" w:color="auto" w:fill="FFFFFF"/>
          <w:lang w:bidi="ar"/>
        </w:rPr>
        <w:t>处理”的要求，本着实事求是、解决问题的原则，给予适当救助，做到解决、帮扶到位。 当年确定特殊疑难信访积案4件及时主动化解，</w:t>
      </w:r>
      <w:proofErr w:type="gramStart"/>
      <w:r w:rsidRPr="00A77969">
        <w:rPr>
          <w:rFonts w:ascii="仿宋_GB2312" w:eastAsia="仿宋_GB2312" w:hAnsi="方正仿宋_GBK" w:cs="方正仿宋_GBK" w:hint="eastAsia"/>
          <w:kern w:val="0"/>
          <w:sz w:val="32"/>
          <w:szCs w:val="32"/>
          <w:shd w:val="clear" w:color="auto" w:fill="FFFFFF"/>
          <w:lang w:bidi="ar"/>
        </w:rPr>
        <w:t>案结事了</w:t>
      </w:r>
      <w:proofErr w:type="gramEnd"/>
      <w:r w:rsidRPr="00A77969">
        <w:rPr>
          <w:rFonts w:ascii="仿宋_GB2312" w:eastAsia="仿宋_GB2312" w:hAnsi="方正仿宋_GBK" w:cs="方正仿宋_GBK" w:hint="eastAsia"/>
          <w:kern w:val="0"/>
          <w:sz w:val="32"/>
          <w:szCs w:val="32"/>
          <w:shd w:val="clear" w:color="auto" w:fill="FFFFFF"/>
          <w:lang w:bidi="ar"/>
        </w:rPr>
        <w:t>。已按照年度工作计划完成各项工作任务，推进依法分类处理各类信访事项。聘请保安人员，负责维持县群众工作中心接访工作秩序，网络平台正常运行使用。根据国家、省、市信访部门的工作要求，及时做好群众到各级上访的疏导工作，按上级要求开展信访业务知识培训学习，成都信访工作站相关工作正常开展。</w:t>
      </w:r>
      <w:r w:rsidRPr="00A77969">
        <w:rPr>
          <w:rFonts w:ascii="仿宋_GB2312" w:eastAsia="仿宋_GB2312" w:hAnsi="仿宋" w:hint="eastAsia"/>
          <w:color w:val="000000"/>
          <w:sz w:val="32"/>
          <w:szCs w:val="32"/>
        </w:rPr>
        <w:t>预算执行率100%。 2021年无资金结余，资金结余了0元。</w:t>
      </w:r>
    </w:p>
    <w:p w:rsidR="009966FF" w:rsidRPr="00A77969" w:rsidRDefault="009966FF" w:rsidP="009966FF">
      <w:pPr>
        <w:pBdr>
          <w:bottom w:val="single" w:sz="4" w:space="31" w:color="FFFFFF"/>
        </w:pBdr>
        <w:shd w:val="clear" w:color="auto" w:fill="FFFFFF"/>
        <w:tabs>
          <w:tab w:val="left" w:pos="1440"/>
        </w:tabs>
        <w:adjustRightInd w:val="0"/>
        <w:snapToGrid w:val="0"/>
        <w:spacing w:line="560" w:lineRule="exact"/>
        <w:ind w:firstLineChars="200" w:firstLine="640"/>
        <w:rPr>
          <w:rFonts w:ascii="仿宋_GB2312" w:eastAsia="仿宋_GB2312" w:hAnsi="仿宋"/>
          <w:bCs/>
          <w:color w:val="000000"/>
          <w:sz w:val="32"/>
          <w:szCs w:val="32"/>
        </w:rPr>
      </w:pPr>
      <w:r w:rsidRPr="00A77969">
        <w:rPr>
          <w:rFonts w:ascii="仿宋_GB2312" w:eastAsia="仿宋_GB2312" w:hAnsi="Times New Roman" w:hint="eastAsia"/>
          <w:bCs/>
          <w:color w:val="000000"/>
          <w:sz w:val="32"/>
          <w:szCs w:val="32"/>
        </w:rPr>
        <w:t>（4）</w:t>
      </w:r>
      <w:r w:rsidRPr="00A77969">
        <w:rPr>
          <w:rFonts w:ascii="仿宋_GB2312" w:eastAsia="仿宋_GB2312" w:hAnsi="仿宋" w:hint="eastAsia"/>
          <w:bCs/>
          <w:color w:val="000000"/>
          <w:sz w:val="32"/>
          <w:szCs w:val="32"/>
        </w:rPr>
        <w:t>绩效目标完成情况</w:t>
      </w:r>
      <w:r>
        <w:rPr>
          <w:rFonts w:ascii="仿宋_GB2312" w:eastAsia="仿宋_GB2312" w:hAnsi="仿宋" w:hint="eastAsia"/>
          <w:bCs/>
          <w:color w:val="000000"/>
          <w:sz w:val="32"/>
          <w:szCs w:val="32"/>
        </w:rPr>
        <w:t>。</w:t>
      </w:r>
    </w:p>
    <w:p w:rsidR="009966FF" w:rsidRPr="00A77969" w:rsidRDefault="009966FF" w:rsidP="009966FF">
      <w:pPr>
        <w:pBdr>
          <w:bottom w:val="single" w:sz="4" w:space="31" w:color="FFFFFF"/>
        </w:pBdr>
        <w:shd w:val="clear" w:color="auto" w:fill="FFFFFF"/>
        <w:tabs>
          <w:tab w:val="left" w:pos="1440"/>
        </w:tabs>
        <w:adjustRightInd w:val="0"/>
        <w:snapToGrid w:val="0"/>
        <w:spacing w:line="560" w:lineRule="exact"/>
        <w:ind w:firstLineChars="200" w:firstLine="640"/>
        <w:rPr>
          <w:rFonts w:ascii="仿宋_GB2312" w:eastAsia="仿宋_GB2312" w:hAnsi="方正仿宋_GBK" w:cs="方正仿宋_GBK"/>
          <w:sz w:val="32"/>
          <w:szCs w:val="32"/>
          <w:shd w:val="clear" w:color="auto" w:fill="FFFFFF"/>
        </w:rPr>
      </w:pPr>
      <w:r w:rsidRPr="00A77969">
        <w:rPr>
          <w:rFonts w:ascii="仿宋_GB2312" w:eastAsia="仿宋_GB2312" w:hAnsi="Times New Roman" w:cs="宋体" w:hint="eastAsia"/>
          <w:sz w:val="32"/>
          <w:szCs w:val="32"/>
          <w:lang w:bidi="ar"/>
        </w:rPr>
        <w:lastRenderedPageBreak/>
        <w:t>2021年，县信访局共接接待群众来访273批1395人次，同比批次下降10.7%、人次上升22.6%；办理群众网上信</w:t>
      </w:r>
      <w:r w:rsidRPr="00A77969">
        <w:rPr>
          <w:rFonts w:ascii="仿宋_GB2312" w:eastAsia="仿宋_GB2312" w:hAnsi="宋体" w:cs="宋体" w:hint="eastAsia"/>
          <w:sz w:val="32"/>
          <w:szCs w:val="32"/>
          <w:lang w:bidi="ar"/>
        </w:rPr>
        <w:t>访</w:t>
      </w:r>
      <w:r w:rsidRPr="00A77969">
        <w:rPr>
          <w:rFonts w:ascii="仿宋_GB2312" w:eastAsia="仿宋_GB2312" w:hAnsi="Times New Roman" w:cs="宋体" w:hint="eastAsia"/>
          <w:sz w:val="32"/>
          <w:szCs w:val="32"/>
          <w:lang w:bidi="ar"/>
        </w:rPr>
        <w:t>420</w:t>
      </w:r>
      <w:r w:rsidRPr="00A77969">
        <w:rPr>
          <w:rFonts w:ascii="仿宋_GB2312" w:eastAsia="仿宋_GB2312" w:hAnsi="宋体" w:cs="宋体" w:hint="eastAsia"/>
          <w:sz w:val="32"/>
          <w:szCs w:val="32"/>
          <w:lang w:bidi="ar"/>
        </w:rPr>
        <w:t>件，同比上升13.2%</w:t>
      </w:r>
      <w:r w:rsidRPr="00A77969">
        <w:rPr>
          <w:rFonts w:ascii="仿宋_GB2312" w:eastAsia="仿宋_GB2312" w:hAnsi="Times New Roman" w:cs="宋体" w:hint="eastAsia"/>
          <w:sz w:val="32"/>
          <w:szCs w:val="32"/>
          <w:lang w:bidi="ar"/>
        </w:rPr>
        <w:t>；县领导接访约访下访共51批353人次，同比批次下降13.5%、人次上升49.5%；</w:t>
      </w:r>
      <w:r w:rsidRPr="00A77969">
        <w:rPr>
          <w:rFonts w:ascii="仿宋_GB2312" w:eastAsia="仿宋_GB2312" w:hAnsi="方正仿宋_GBK" w:cs="方正仿宋_GBK" w:hint="eastAsia"/>
          <w:sz w:val="32"/>
          <w:szCs w:val="32"/>
          <w:shd w:val="clear" w:color="auto" w:fill="FFFFFF"/>
          <w:lang w:bidi="ar"/>
        </w:rPr>
        <w:t>信访部门案件及时受理率100%，责任单位及时受理率100%和按期办结率98%。对信访部门参评率达98%，群众满意率达97%，对责任部门群众参评率达97%，群众满意率达95%。</w:t>
      </w:r>
    </w:p>
    <w:p w:rsidR="009966FF" w:rsidRPr="006E71AA" w:rsidRDefault="009966FF" w:rsidP="009966FF">
      <w:pPr>
        <w:pBdr>
          <w:bottom w:val="single" w:sz="4" w:space="31" w:color="FFFFFF"/>
        </w:pBdr>
        <w:shd w:val="clear" w:color="auto" w:fill="FFFFFF"/>
        <w:tabs>
          <w:tab w:val="left" w:pos="1440"/>
        </w:tabs>
        <w:adjustRightInd w:val="0"/>
        <w:snapToGrid w:val="0"/>
        <w:spacing w:line="560" w:lineRule="exact"/>
        <w:ind w:firstLineChars="200" w:firstLine="640"/>
        <w:rPr>
          <w:rFonts w:ascii="方正楷体_GBK" w:eastAsia="方正楷体_GBK" w:hAnsi="Times New Roman"/>
          <w:color w:val="000000"/>
          <w:sz w:val="32"/>
          <w:szCs w:val="32"/>
        </w:rPr>
      </w:pPr>
      <w:r w:rsidRPr="006E71AA">
        <w:rPr>
          <w:rFonts w:ascii="方正楷体_GBK" w:eastAsia="方正楷体_GBK" w:hAnsi="Times New Roman" w:hint="eastAsia"/>
          <w:color w:val="000000"/>
          <w:sz w:val="32"/>
          <w:szCs w:val="32"/>
        </w:rPr>
        <w:t>（二）结果应用情况。</w:t>
      </w:r>
    </w:p>
    <w:p w:rsidR="009966FF" w:rsidRPr="00A77969" w:rsidRDefault="009966FF" w:rsidP="009966FF">
      <w:pPr>
        <w:widowControl/>
        <w:adjustRightInd w:val="0"/>
        <w:snapToGrid w:val="0"/>
        <w:spacing w:line="560" w:lineRule="exact"/>
        <w:ind w:firstLineChars="200" w:firstLine="643"/>
        <w:contextualSpacing/>
        <w:rPr>
          <w:rFonts w:ascii="仿宋_GB2312" w:eastAsia="仿宋_GB2312" w:hAnsi="Times New Roman"/>
          <w:sz w:val="32"/>
          <w:szCs w:val="32"/>
        </w:rPr>
      </w:pPr>
      <w:r w:rsidRPr="006E71AA">
        <w:rPr>
          <w:rFonts w:ascii="仿宋_GB2312" w:eastAsia="仿宋_GB2312" w:hAnsi="Times New Roman" w:hint="eastAsia"/>
          <w:b/>
          <w:sz w:val="32"/>
          <w:szCs w:val="32"/>
        </w:rPr>
        <w:t>1.完善绩效评价体系，加强监督检查和考核工作。</w:t>
      </w:r>
      <w:r w:rsidRPr="00A77969">
        <w:rPr>
          <w:rFonts w:ascii="仿宋_GB2312" w:eastAsia="仿宋_GB2312" w:hAnsi="Times New Roman" w:hint="eastAsia"/>
          <w:sz w:val="32"/>
          <w:szCs w:val="32"/>
        </w:rPr>
        <w:t>进一步探索完善项目绩效评价指标体系、研究、关注绩效管理与实践发展的新思路、新动向，进一步完善项目绩效指标体系，增强绩效评价结果的可比性、可信度。加强对绩效管理工作的跟踪督查，做到绩效管理有依据、按程序、有奖惩，实现绩效管理的规范化、常态化。</w:t>
      </w:r>
    </w:p>
    <w:p w:rsidR="009966FF" w:rsidRPr="006E71AA" w:rsidRDefault="009966FF" w:rsidP="009966FF">
      <w:pPr>
        <w:snapToGrid w:val="0"/>
        <w:spacing w:line="560" w:lineRule="exact"/>
        <w:ind w:firstLineChars="200" w:firstLine="643"/>
        <w:rPr>
          <w:rFonts w:ascii="仿宋_GB2312" w:eastAsia="仿宋_GB2312" w:hAnsi="仿宋"/>
          <w:b/>
          <w:sz w:val="32"/>
          <w:szCs w:val="32"/>
        </w:rPr>
      </w:pPr>
      <w:r w:rsidRPr="006E71AA">
        <w:rPr>
          <w:rFonts w:ascii="仿宋_GB2312" w:eastAsia="仿宋_GB2312" w:hAnsi="仿宋" w:hint="eastAsia"/>
          <w:b/>
          <w:sz w:val="32"/>
          <w:szCs w:val="32"/>
        </w:rPr>
        <w:t>2.2021年，本部门年初部门预算、年终部门决算、年初部门预算绩效目标申报表等信息均在信息公开截止时间内通过盐边</w:t>
      </w:r>
      <w:proofErr w:type="gramStart"/>
      <w:r w:rsidRPr="006E71AA">
        <w:rPr>
          <w:rFonts w:ascii="仿宋_GB2312" w:eastAsia="仿宋_GB2312" w:hAnsi="仿宋" w:hint="eastAsia"/>
          <w:b/>
          <w:sz w:val="32"/>
          <w:szCs w:val="32"/>
        </w:rPr>
        <w:t>县公众</w:t>
      </w:r>
      <w:proofErr w:type="gramEnd"/>
      <w:r w:rsidRPr="006E71AA">
        <w:rPr>
          <w:rFonts w:ascii="仿宋_GB2312" w:eastAsia="仿宋_GB2312" w:hAnsi="仿宋" w:hint="eastAsia"/>
          <w:b/>
          <w:sz w:val="32"/>
          <w:szCs w:val="32"/>
        </w:rPr>
        <w:t>信息网向社会公开。</w:t>
      </w:r>
    </w:p>
    <w:p w:rsidR="009966FF" w:rsidRPr="00A77969" w:rsidRDefault="009966FF" w:rsidP="009966FF">
      <w:pPr>
        <w:snapToGrid w:val="0"/>
        <w:spacing w:line="560" w:lineRule="exact"/>
        <w:ind w:firstLineChars="200" w:firstLine="640"/>
        <w:rPr>
          <w:rFonts w:ascii="仿宋_GB2312" w:eastAsia="仿宋_GB2312" w:hAnsi="仿宋"/>
          <w:sz w:val="32"/>
          <w:szCs w:val="32"/>
        </w:rPr>
      </w:pPr>
      <w:r w:rsidRPr="00A77969">
        <w:rPr>
          <w:rFonts w:ascii="仿宋_GB2312" w:eastAsia="仿宋_GB2312" w:hAnsi="仿宋" w:hint="eastAsia"/>
          <w:sz w:val="32"/>
          <w:szCs w:val="32"/>
        </w:rPr>
        <w:t>为深入贯彻落实《中共四川省委四川省人民政府关于全面实施预算绩效管理的实施意见》（</w:t>
      </w:r>
      <w:proofErr w:type="gramStart"/>
      <w:r w:rsidRPr="00A77969">
        <w:rPr>
          <w:rFonts w:ascii="仿宋_GB2312" w:eastAsia="仿宋_GB2312" w:hAnsi="仿宋" w:hint="eastAsia"/>
          <w:sz w:val="32"/>
          <w:szCs w:val="32"/>
        </w:rPr>
        <w:t>川委发</w:t>
      </w:r>
      <w:proofErr w:type="gramEnd"/>
      <w:r w:rsidRPr="00A77969">
        <w:rPr>
          <w:rFonts w:ascii="仿宋_GB2312" w:eastAsia="仿宋_GB2312" w:hAnsi="仿宋" w:hint="eastAsia"/>
          <w:sz w:val="32"/>
          <w:szCs w:val="32"/>
        </w:rPr>
        <w:t>【2019】8号）文件精神，进一步深化事后绩效评价工作，不断提高部门预算整体绩效目标管理水平，按</w:t>
      </w:r>
      <w:proofErr w:type="gramStart"/>
      <w:r w:rsidRPr="00A77969">
        <w:rPr>
          <w:rFonts w:ascii="仿宋_GB2312" w:eastAsia="仿宋_GB2312" w:hAnsi="仿宋" w:hint="eastAsia"/>
          <w:sz w:val="32"/>
          <w:szCs w:val="32"/>
        </w:rPr>
        <w:t>盐边财绩〔2022〕</w:t>
      </w:r>
      <w:proofErr w:type="gramEnd"/>
      <w:r w:rsidRPr="00A77969">
        <w:rPr>
          <w:rFonts w:ascii="仿宋_GB2312" w:eastAsia="仿宋_GB2312" w:hAnsi="仿宋" w:hint="eastAsia"/>
          <w:sz w:val="32"/>
          <w:szCs w:val="32"/>
        </w:rPr>
        <w:t>3号《盐边县财政局关于开展2021年度部门预算整体及项目支出绩效自评工作的通知》要求，于2022年5月将《盐边县信访局2021</w:t>
      </w:r>
      <w:r w:rsidRPr="00A77969">
        <w:rPr>
          <w:rFonts w:ascii="仿宋_GB2312" w:eastAsia="仿宋_GB2312" w:hAnsi="仿宋" w:hint="eastAsia"/>
          <w:sz w:val="32"/>
          <w:szCs w:val="32"/>
        </w:rPr>
        <w:lastRenderedPageBreak/>
        <w:t>年部门预算整体绩效自评表》和《盐边县信访局2021年部门整体支出绩效评价报告》在“盐边县公众信息网”财政信息板块下的“财政绩效评价信息专栏”进行公开公示。</w:t>
      </w:r>
    </w:p>
    <w:p w:rsidR="009966FF" w:rsidRPr="006E71AA" w:rsidRDefault="009966FF" w:rsidP="009966FF">
      <w:pPr>
        <w:snapToGrid w:val="0"/>
        <w:spacing w:line="560" w:lineRule="exact"/>
        <w:ind w:firstLineChars="200" w:firstLine="643"/>
        <w:rPr>
          <w:rFonts w:ascii="仿宋_GB2312" w:eastAsia="仿宋_GB2312" w:hAnsi="仿宋"/>
          <w:b/>
          <w:sz w:val="32"/>
          <w:szCs w:val="32"/>
        </w:rPr>
      </w:pPr>
      <w:r w:rsidRPr="006E71AA">
        <w:rPr>
          <w:rFonts w:ascii="仿宋_GB2312" w:eastAsia="仿宋_GB2312" w:hAnsi="仿宋" w:hint="eastAsia"/>
          <w:b/>
          <w:sz w:val="32"/>
          <w:szCs w:val="32"/>
        </w:rPr>
        <w:t>3.绩效评价结果将作为以后年度项目立项和经费支持的重要依据。</w:t>
      </w:r>
    </w:p>
    <w:p w:rsidR="009966FF" w:rsidRPr="006E71AA" w:rsidRDefault="009966FF" w:rsidP="009966FF">
      <w:pPr>
        <w:widowControl/>
        <w:adjustRightInd w:val="0"/>
        <w:snapToGrid w:val="0"/>
        <w:spacing w:line="560" w:lineRule="exact"/>
        <w:ind w:firstLineChars="200" w:firstLine="640"/>
        <w:contextualSpacing/>
        <w:rPr>
          <w:rFonts w:ascii="黑体" w:eastAsia="黑体" w:hAnsi="黑体"/>
          <w:color w:val="000000"/>
          <w:sz w:val="32"/>
          <w:szCs w:val="32"/>
        </w:rPr>
      </w:pPr>
      <w:r w:rsidRPr="006E71AA">
        <w:rPr>
          <w:rFonts w:ascii="黑体" w:eastAsia="黑体" w:hAnsi="黑体" w:hint="eastAsia"/>
          <w:color w:val="000000"/>
          <w:sz w:val="32"/>
          <w:szCs w:val="32"/>
        </w:rPr>
        <w:t>四、评价结论及建议</w:t>
      </w:r>
    </w:p>
    <w:p w:rsidR="009966FF" w:rsidRPr="006E71AA" w:rsidRDefault="009966FF" w:rsidP="009966FF">
      <w:pPr>
        <w:widowControl/>
        <w:adjustRightInd w:val="0"/>
        <w:snapToGrid w:val="0"/>
        <w:spacing w:line="560" w:lineRule="exact"/>
        <w:ind w:firstLineChars="200" w:firstLine="640"/>
        <w:contextualSpacing/>
        <w:rPr>
          <w:rFonts w:ascii="方正楷体_GBK" w:eastAsia="方正楷体_GBK" w:hAnsi="Times New Roman"/>
          <w:color w:val="000000"/>
          <w:sz w:val="32"/>
          <w:szCs w:val="32"/>
        </w:rPr>
      </w:pPr>
      <w:r w:rsidRPr="006E71AA">
        <w:rPr>
          <w:rFonts w:ascii="方正楷体_GBK" w:eastAsia="方正楷体_GBK" w:hAnsi="Times New Roman" w:hint="eastAsia"/>
          <w:color w:val="000000"/>
          <w:sz w:val="32"/>
          <w:szCs w:val="32"/>
        </w:rPr>
        <w:t>（一）评价结论。</w:t>
      </w:r>
    </w:p>
    <w:p w:rsidR="009966FF" w:rsidRPr="00A77969" w:rsidRDefault="009966FF" w:rsidP="009966FF">
      <w:pPr>
        <w:pStyle w:val="a6"/>
        <w:widowControl/>
        <w:shd w:val="clear" w:color="auto" w:fill="FFFFFF"/>
        <w:spacing w:before="0" w:beforeAutospacing="0" w:after="0" w:afterAutospacing="0" w:line="560" w:lineRule="exact"/>
        <w:ind w:firstLine="643"/>
        <w:jc w:val="both"/>
        <w:rPr>
          <w:rFonts w:ascii="仿宋_GB2312" w:eastAsia="仿宋_GB2312" w:hAnsi="仿宋_GB2312" w:cs="仿宋_GB2312"/>
          <w:sz w:val="32"/>
          <w:szCs w:val="32"/>
          <w:shd w:val="clear" w:color="auto" w:fill="FFFFFF"/>
        </w:rPr>
      </w:pPr>
      <w:r w:rsidRPr="00A77969">
        <w:rPr>
          <w:rFonts w:ascii="仿宋_GB2312" w:eastAsia="仿宋_GB2312" w:hAnsi="仿宋_GB2312" w:cs="仿宋_GB2312" w:hint="eastAsia"/>
          <w:sz w:val="32"/>
          <w:szCs w:val="32"/>
          <w:shd w:val="clear" w:color="auto" w:fill="FFFFFF"/>
        </w:rPr>
        <w:t>信访局在预算编制、执行和支出绩效方面都严格按照规定执行，合理安排支出，部门预算编制规范、准确，各项经费足额纳入预算安排，确保了部门正常运转和专项工作的顺利开展，积极开通诉求表达新渠道，进一步畅通和拓宽了群众诉求表达渠道，推进及时就地解决信访问题，信访秩序进一步好转，较好的完成了年初绩效目标任务。</w:t>
      </w:r>
    </w:p>
    <w:p w:rsidR="009966FF" w:rsidRPr="00A77969" w:rsidRDefault="009966FF" w:rsidP="009966FF">
      <w:pPr>
        <w:widowControl/>
        <w:spacing w:line="560" w:lineRule="exact"/>
        <w:ind w:firstLineChars="200" w:firstLine="640"/>
        <w:rPr>
          <w:rFonts w:ascii="仿宋_GB2312" w:eastAsia="仿宋_GB2312" w:hAnsi="Times New Roman"/>
          <w:bCs/>
          <w:color w:val="000000"/>
          <w:sz w:val="32"/>
          <w:szCs w:val="32"/>
        </w:rPr>
      </w:pPr>
      <w:r w:rsidRPr="00A77969">
        <w:rPr>
          <w:rFonts w:ascii="仿宋_GB2312" w:eastAsia="仿宋_GB2312" w:hAnsi="仿宋" w:hint="eastAsia"/>
          <w:color w:val="000000"/>
          <w:sz w:val="32"/>
          <w:szCs w:val="32"/>
        </w:rPr>
        <w:t>综上所述,依据得分情况,本单位2021年部门支出绩效评价等级为"良好"。</w:t>
      </w:r>
    </w:p>
    <w:p w:rsidR="009966FF" w:rsidRPr="006E71AA" w:rsidRDefault="009966FF" w:rsidP="009966FF">
      <w:pPr>
        <w:widowControl/>
        <w:adjustRightInd w:val="0"/>
        <w:snapToGrid w:val="0"/>
        <w:spacing w:line="560" w:lineRule="exact"/>
        <w:ind w:firstLineChars="200" w:firstLine="640"/>
        <w:contextualSpacing/>
        <w:rPr>
          <w:rFonts w:ascii="方正楷体_GBK" w:eastAsia="方正楷体_GBK" w:hAnsi="Times New Roman"/>
          <w:color w:val="000000"/>
          <w:sz w:val="32"/>
          <w:szCs w:val="32"/>
        </w:rPr>
      </w:pPr>
      <w:r w:rsidRPr="006E71AA">
        <w:rPr>
          <w:rFonts w:ascii="方正楷体_GBK" w:eastAsia="方正楷体_GBK" w:hAnsi="Times New Roman" w:hint="eastAsia"/>
          <w:color w:val="000000"/>
          <w:sz w:val="32"/>
          <w:szCs w:val="32"/>
        </w:rPr>
        <w:t>（二）存在问题。</w:t>
      </w:r>
    </w:p>
    <w:p w:rsidR="009966FF" w:rsidRPr="00A77969" w:rsidRDefault="009966FF" w:rsidP="009966FF">
      <w:pPr>
        <w:widowControl/>
        <w:spacing w:line="560" w:lineRule="exact"/>
        <w:ind w:firstLineChars="200" w:firstLine="640"/>
        <w:rPr>
          <w:rFonts w:ascii="仿宋_GB2312" w:eastAsia="仿宋_GB2312" w:hAnsi="仿宋"/>
          <w:color w:val="000000"/>
          <w:sz w:val="32"/>
          <w:szCs w:val="32"/>
        </w:rPr>
      </w:pPr>
      <w:r w:rsidRPr="00A77969">
        <w:rPr>
          <w:rFonts w:ascii="仿宋_GB2312" w:eastAsia="仿宋_GB2312" w:hAnsi="仿宋" w:hint="eastAsia"/>
          <w:color w:val="000000"/>
          <w:sz w:val="32"/>
          <w:szCs w:val="32"/>
        </w:rPr>
        <w:t xml:space="preserve">内部控制制度不够健全，风险意识不强。在建立健全内控制度过程中，虽然基本明确了相关业务岗位的有关风险等级和风险防控措施，但目前领会认识深度不够，存在平铺式理解，尚局限于内控制度实践，没有提升到全局“一盘棋”的高度。  </w:t>
      </w:r>
    </w:p>
    <w:p w:rsidR="009966FF" w:rsidRPr="006E71AA" w:rsidRDefault="009966FF" w:rsidP="009966FF">
      <w:pPr>
        <w:widowControl/>
        <w:adjustRightInd w:val="0"/>
        <w:snapToGrid w:val="0"/>
        <w:spacing w:line="560" w:lineRule="exact"/>
        <w:ind w:firstLineChars="200" w:firstLine="640"/>
        <w:contextualSpacing/>
        <w:rPr>
          <w:rFonts w:ascii="方正楷体_GBK" w:eastAsia="方正楷体_GBK" w:hAnsi="Times New Roman"/>
          <w:color w:val="000000"/>
          <w:sz w:val="32"/>
          <w:szCs w:val="32"/>
        </w:rPr>
      </w:pPr>
      <w:r w:rsidRPr="006E71AA">
        <w:rPr>
          <w:rFonts w:ascii="方正楷体_GBK" w:eastAsia="方正楷体_GBK" w:hAnsi="Times New Roman" w:hint="eastAsia"/>
          <w:color w:val="000000"/>
          <w:sz w:val="32"/>
          <w:szCs w:val="32"/>
        </w:rPr>
        <w:t>（三）改进建议。</w:t>
      </w:r>
    </w:p>
    <w:p w:rsidR="009966FF" w:rsidRPr="00A77969" w:rsidRDefault="009966FF" w:rsidP="009966FF">
      <w:pPr>
        <w:pStyle w:val="a6"/>
        <w:widowControl/>
        <w:shd w:val="clear" w:color="auto" w:fill="FFFFFF"/>
        <w:spacing w:before="0" w:beforeAutospacing="0" w:after="0" w:afterAutospacing="0" w:line="560" w:lineRule="exact"/>
        <w:ind w:firstLineChars="200" w:firstLine="640"/>
        <w:jc w:val="both"/>
        <w:rPr>
          <w:rFonts w:ascii="仿宋_GB2312" w:eastAsia="仿宋_GB2312" w:hAnsi="微软雅黑" w:cs="微软雅黑"/>
          <w:sz w:val="32"/>
          <w:szCs w:val="32"/>
        </w:rPr>
      </w:pPr>
      <w:r w:rsidRPr="00A77969">
        <w:rPr>
          <w:rFonts w:ascii="仿宋_GB2312" w:eastAsia="仿宋_GB2312" w:hAnsi="仿宋_GB2312" w:cs="仿宋_GB2312" w:hint="eastAsia"/>
          <w:sz w:val="32"/>
          <w:szCs w:val="32"/>
          <w:shd w:val="clear" w:color="auto" w:fill="FFFFFF"/>
        </w:rPr>
        <w:t>需要进一步加强财务管理制度，严格财务审核，规范财务行为，提高预算编制精确度，进一步规范管理。</w:t>
      </w:r>
    </w:p>
    <w:p w:rsidR="009966FF" w:rsidRDefault="009966FF" w:rsidP="009966FF">
      <w:pPr>
        <w:pStyle w:val="a6"/>
        <w:widowControl/>
        <w:shd w:val="clear" w:color="auto" w:fill="FFFFFF"/>
        <w:spacing w:before="0" w:beforeAutospacing="0" w:after="0" w:afterAutospacing="0" w:line="560" w:lineRule="exact"/>
        <w:jc w:val="both"/>
        <w:rPr>
          <w:rFonts w:ascii="仿宋_GB2312" w:eastAsia="仿宋_GB2312" w:hAnsi="微软雅黑" w:cs="微软雅黑"/>
          <w:sz w:val="32"/>
          <w:szCs w:val="32"/>
          <w:shd w:val="clear" w:color="auto" w:fill="FFFFFF"/>
        </w:rPr>
      </w:pPr>
      <w:r w:rsidRPr="00A77969">
        <w:rPr>
          <w:rFonts w:ascii="仿宋_GB2312" w:eastAsia="仿宋_GB2312" w:hAnsi="微软雅黑" w:cs="微软雅黑" w:hint="eastAsia"/>
          <w:sz w:val="32"/>
          <w:szCs w:val="32"/>
          <w:shd w:val="clear" w:color="auto" w:fill="FFFFFF"/>
        </w:rPr>
        <w:lastRenderedPageBreak/>
        <w:t> </w:t>
      </w:r>
    </w:p>
    <w:p w:rsidR="009966FF" w:rsidRPr="00A77969" w:rsidRDefault="009966FF" w:rsidP="009966FF">
      <w:pPr>
        <w:widowControl/>
        <w:adjustRightInd w:val="0"/>
        <w:snapToGrid w:val="0"/>
        <w:spacing w:line="560" w:lineRule="exact"/>
        <w:ind w:firstLineChars="200" w:firstLine="640"/>
        <w:contextualSpacing/>
        <w:jc w:val="left"/>
        <w:rPr>
          <w:rFonts w:ascii="仿宋_GB2312" w:eastAsia="仿宋_GB2312" w:hAnsi="Times New Roman"/>
          <w:color w:val="000000"/>
          <w:sz w:val="32"/>
          <w:szCs w:val="32"/>
        </w:rPr>
      </w:pPr>
    </w:p>
    <w:p w:rsidR="009966FF" w:rsidRPr="00A77969" w:rsidRDefault="009966FF" w:rsidP="009966FF">
      <w:pPr>
        <w:autoSpaceDE w:val="0"/>
        <w:autoSpaceDN w:val="0"/>
        <w:adjustRightInd w:val="0"/>
        <w:spacing w:line="560" w:lineRule="exact"/>
        <w:ind w:firstLineChars="200" w:firstLine="640"/>
        <w:jc w:val="left"/>
        <w:rPr>
          <w:rFonts w:ascii="仿宋_GB2312" w:eastAsia="仿宋_GB2312" w:hAnsi="Times New Roman" w:cs="方正小标宋简体"/>
          <w:color w:val="000000"/>
          <w:kern w:val="0"/>
          <w:sz w:val="32"/>
          <w:szCs w:val="32"/>
        </w:rPr>
      </w:pPr>
    </w:p>
    <w:p w:rsidR="009966FF" w:rsidRPr="00A77969" w:rsidRDefault="009966FF" w:rsidP="009966FF">
      <w:pPr>
        <w:spacing w:line="560" w:lineRule="exact"/>
        <w:ind w:right="800"/>
        <w:jc w:val="right"/>
        <w:rPr>
          <w:rFonts w:ascii="仿宋_GB2312" w:eastAsia="仿宋_GB2312" w:hAnsi="Times New Roman"/>
          <w:sz w:val="32"/>
          <w:szCs w:val="32"/>
        </w:rPr>
      </w:pPr>
      <w:r w:rsidRPr="00A77969">
        <w:rPr>
          <w:rFonts w:ascii="仿宋_GB2312" w:eastAsia="仿宋_GB2312" w:hAnsi="Times New Roman" w:hint="eastAsia"/>
          <w:sz w:val="32"/>
          <w:szCs w:val="32"/>
        </w:rPr>
        <w:t>盐边县信访局</w:t>
      </w:r>
    </w:p>
    <w:p w:rsidR="009966FF" w:rsidRPr="00A77969" w:rsidRDefault="009966FF" w:rsidP="009966FF">
      <w:pPr>
        <w:spacing w:line="560" w:lineRule="exact"/>
        <w:ind w:right="480"/>
        <w:jc w:val="right"/>
        <w:rPr>
          <w:rFonts w:ascii="仿宋_GB2312" w:eastAsia="仿宋_GB2312"/>
          <w:sz w:val="32"/>
          <w:szCs w:val="32"/>
        </w:rPr>
      </w:pPr>
      <w:r w:rsidRPr="00A77969">
        <w:rPr>
          <w:rFonts w:ascii="仿宋_GB2312" w:eastAsia="仿宋_GB2312" w:hAnsi="Times New Roman" w:hint="eastAsia"/>
          <w:sz w:val="32"/>
          <w:szCs w:val="32"/>
        </w:rPr>
        <w:t>2022年5月</w:t>
      </w:r>
      <w:r>
        <w:rPr>
          <w:rFonts w:ascii="仿宋_GB2312" w:eastAsia="仿宋_GB2312" w:hAnsi="Times New Roman" w:hint="eastAsia"/>
          <w:sz w:val="32"/>
          <w:szCs w:val="32"/>
        </w:rPr>
        <w:t>15</w:t>
      </w:r>
      <w:r w:rsidRPr="00A77969">
        <w:rPr>
          <w:rFonts w:ascii="仿宋_GB2312" w:eastAsia="仿宋_GB2312" w:hAnsi="Times New Roman" w:hint="eastAsia"/>
          <w:sz w:val="32"/>
          <w:szCs w:val="32"/>
        </w:rPr>
        <w:t>日</w:t>
      </w:r>
    </w:p>
    <w:p w:rsidR="00F06311" w:rsidRDefault="00F06311"/>
    <w:sectPr w:rsidR="00F0631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7B6" w:rsidRDefault="006667B6" w:rsidP="009966FF">
      <w:r>
        <w:separator/>
      </w:r>
    </w:p>
  </w:endnote>
  <w:endnote w:type="continuationSeparator" w:id="0">
    <w:p w:rsidR="006667B6" w:rsidRDefault="006667B6" w:rsidP="00996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楷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7B6" w:rsidRDefault="006667B6" w:rsidP="009966FF">
      <w:r>
        <w:separator/>
      </w:r>
    </w:p>
  </w:footnote>
  <w:footnote w:type="continuationSeparator" w:id="0">
    <w:p w:rsidR="006667B6" w:rsidRDefault="006667B6" w:rsidP="009966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EE7BCB"/>
    <w:multiLevelType w:val="hybridMultilevel"/>
    <w:tmpl w:val="F722918E"/>
    <w:lvl w:ilvl="0" w:tplc="CE3EB004">
      <w:start w:val="1"/>
      <w:numFmt w:val="japaneseCounting"/>
      <w:lvlText w:val="%1、"/>
      <w:lvlJc w:val="left"/>
      <w:pPr>
        <w:ind w:left="1429" w:hanging="720"/>
      </w:pPr>
      <w:rPr>
        <w:rFonts w:cs="Times New Roman"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0E2"/>
    <w:rsid w:val="006667B6"/>
    <w:rsid w:val="008A5758"/>
    <w:rsid w:val="008D287D"/>
    <w:rsid w:val="009966FF"/>
    <w:rsid w:val="00E030E2"/>
    <w:rsid w:val="00F063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6F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966F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966FF"/>
    <w:rPr>
      <w:sz w:val="18"/>
      <w:szCs w:val="18"/>
    </w:rPr>
  </w:style>
  <w:style w:type="paragraph" w:styleId="a4">
    <w:name w:val="footer"/>
    <w:basedOn w:val="a"/>
    <w:link w:val="Char0"/>
    <w:uiPriority w:val="99"/>
    <w:unhideWhenUsed/>
    <w:rsid w:val="009966FF"/>
    <w:pPr>
      <w:tabs>
        <w:tab w:val="center" w:pos="4153"/>
        <w:tab w:val="right" w:pos="8306"/>
      </w:tabs>
      <w:snapToGrid w:val="0"/>
      <w:jc w:val="left"/>
    </w:pPr>
    <w:rPr>
      <w:sz w:val="18"/>
      <w:szCs w:val="18"/>
    </w:rPr>
  </w:style>
  <w:style w:type="character" w:customStyle="1" w:styleId="Char0">
    <w:name w:val="页脚 Char"/>
    <w:basedOn w:val="a0"/>
    <w:link w:val="a4"/>
    <w:uiPriority w:val="99"/>
    <w:rsid w:val="009966FF"/>
    <w:rPr>
      <w:sz w:val="18"/>
      <w:szCs w:val="18"/>
    </w:rPr>
  </w:style>
  <w:style w:type="character" w:styleId="a5">
    <w:name w:val="Strong"/>
    <w:qFormat/>
    <w:rsid w:val="009966FF"/>
    <w:rPr>
      <w:b/>
    </w:rPr>
  </w:style>
  <w:style w:type="paragraph" w:styleId="a6">
    <w:name w:val="Normal (Web)"/>
    <w:basedOn w:val="a"/>
    <w:rsid w:val="009966FF"/>
    <w:pPr>
      <w:spacing w:before="100" w:beforeAutospacing="1" w:after="100" w:afterAutospacing="1"/>
      <w:jc w:val="left"/>
    </w:pPr>
    <w:rPr>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6F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966F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966FF"/>
    <w:rPr>
      <w:sz w:val="18"/>
      <w:szCs w:val="18"/>
    </w:rPr>
  </w:style>
  <w:style w:type="paragraph" w:styleId="a4">
    <w:name w:val="footer"/>
    <w:basedOn w:val="a"/>
    <w:link w:val="Char0"/>
    <w:uiPriority w:val="99"/>
    <w:unhideWhenUsed/>
    <w:rsid w:val="009966FF"/>
    <w:pPr>
      <w:tabs>
        <w:tab w:val="center" w:pos="4153"/>
        <w:tab w:val="right" w:pos="8306"/>
      </w:tabs>
      <w:snapToGrid w:val="0"/>
      <w:jc w:val="left"/>
    </w:pPr>
    <w:rPr>
      <w:sz w:val="18"/>
      <w:szCs w:val="18"/>
    </w:rPr>
  </w:style>
  <w:style w:type="character" w:customStyle="1" w:styleId="Char0">
    <w:name w:val="页脚 Char"/>
    <w:basedOn w:val="a0"/>
    <w:link w:val="a4"/>
    <w:uiPriority w:val="99"/>
    <w:rsid w:val="009966FF"/>
    <w:rPr>
      <w:sz w:val="18"/>
      <w:szCs w:val="18"/>
    </w:rPr>
  </w:style>
  <w:style w:type="character" w:styleId="a5">
    <w:name w:val="Strong"/>
    <w:qFormat/>
    <w:rsid w:val="009966FF"/>
    <w:rPr>
      <w:b/>
    </w:rPr>
  </w:style>
  <w:style w:type="paragraph" w:styleId="a6">
    <w:name w:val="Normal (Web)"/>
    <w:basedOn w:val="a"/>
    <w:rsid w:val="009966FF"/>
    <w:pPr>
      <w:spacing w:before="100" w:beforeAutospacing="1" w:after="100" w:afterAutospacing="1"/>
      <w:jc w:val="left"/>
    </w:pPr>
    <w:rPr>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565</Words>
  <Characters>3227</Characters>
  <Application>Microsoft Office Word</Application>
  <DocSecurity>0</DocSecurity>
  <Lines>26</Lines>
  <Paragraphs>7</Paragraphs>
  <ScaleCrop>false</ScaleCrop>
  <Company>Lenovo</Company>
  <LinksUpToDate>false</LinksUpToDate>
  <CharactersWithSpaces>3785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钱志娟</dc:creator>
  <cp:keywords/>
  <dc:description/>
  <cp:lastModifiedBy>安燕</cp:lastModifiedBy>
  <cp:revision>3</cp:revision>
  <dcterms:created xsi:type="dcterms:W3CDTF">2022-05-23T09:28:00Z</dcterms:created>
  <dcterms:modified xsi:type="dcterms:W3CDTF">2024-01-15T09:50:00Z</dcterms:modified>
</cp:coreProperties>
</file>