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9816A">
      <w:pPr>
        <w:keepNext w:val="0"/>
        <w:keepLines w:val="0"/>
        <w:pageBreakBefore w:val="0"/>
        <w:widowControl/>
        <w:kinsoku w:val="0"/>
        <w:wordWrap/>
        <w:overflowPunct/>
        <w:topLinePunct w:val="0"/>
        <w:autoSpaceDE w:val="0"/>
        <w:autoSpaceDN w:val="0"/>
        <w:bidi w:val="0"/>
        <w:adjustRightInd w:val="0"/>
        <w:snapToGrid w:val="0"/>
        <w:spacing w:before="153" w:line="192" w:lineRule="auto"/>
        <w:ind w:left="1333"/>
        <w:jc w:val="center"/>
        <w:textAlignment w:val="baseline"/>
        <w:rPr>
          <w:rFonts w:ascii="微软雅黑" w:hAnsi="微软雅黑" w:eastAsia="微软雅黑" w:cs="微软雅黑"/>
          <w:sz w:val="43"/>
          <w:szCs w:val="43"/>
        </w:rPr>
      </w:pPr>
      <w:r>
        <w:rPr>
          <w:rFonts w:hint="eastAsia" w:ascii="微软雅黑" w:hAnsi="微软雅黑" w:eastAsia="微软雅黑" w:cs="微软雅黑"/>
          <w:b/>
          <w:bCs/>
          <w:spacing w:val="3"/>
          <w:sz w:val="43"/>
          <w:szCs w:val="43"/>
          <w:lang w:val="en-US" w:eastAsia="zh-CN"/>
        </w:rPr>
        <w:t>盐边县</w:t>
      </w:r>
      <w:r>
        <w:rPr>
          <w:rFonts w:ascii="微软雅黑" w:hAnsi="微软雅黑" w:eastAsia="微软雅黑" w:cs="微软雅黑"/>
          <w:b/>
          <w:bCs/>
          <w:spacing w:val="3"/>
          <w:sz w:val="43"/>
          <w:szCs w:val="43"/>
        </w:rPr>
        <w:t xml:space="preserve">市场监管领域部门联合抽查事项清单（ </w:t>
      </w:r>
      <w:r>
        <w:rPr>
          <w:rFonts w:ascii="Arial" w:hAnsi="Arial" w:eastAsia="Arial" w:cs="Arial"/>
          <w:spacing w:val="3"/>
          <w:position w:val="3"/>
          <w:sz w:val="43"/>
          <w:szCs w:val="43"/>
        </w:rPr>
        <w:t>202</w:t>
      </w:r>
      <w:r>
        <w:rPr>
          <w:rFonts w:ascii="Arial" w:hAnsi="Arial" w:eastAsia="Arial" w:cs="Arial"/>
          <w:spacing w:val="2"/>
          <w:position w:val="3"/>
          <w:sz w:val="43"/>
          <w:szCs w:val="43"/>
        </w:rPr>
        <w:t xml:space="preserve">6 </w:t>
      </w:r>
      <w:r>
        <w:rPr>
          <w:rFonts w:ascii="微软雅黑" w:hAnsi="微软雅黑" w:eastAsia="微软雅黑" w:cs="微软雅黑"/>
          <w:b/>
          <w:bCs/>
          <w:spacing w:val="2"/>
          <w:sz w:val="43"/>
          <w:szCs w:val="43"/>
        </w:rPr>
        <w:t>年）</w:t>
      </w:r>
    </w:p>
    <w:tbl>
      <w:tblPr>
        <w:tblStyle w:val="4"/>
        <w:tblW w:w="146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2"/>
        <w:gridCol w:w="1035"/>
        <w:gridCol w:w="2030"/>
        <w:gridCol w:w="1114"/>
        <w:gridCol w:w="714"/>
        <w:gridCol w:w="1024"/>
        <w:gridCol w:w="2460"/>
        <w:gridCol w:w="762"/>
        <w:gridCol w:w="817"/>
        <w:gridCol w:w="832"/>
        <w:gridCol w:w="868"/>
        <w:gridCol w:w="1554"/>
        <w:gridCol w:w="914"/>
      </w:tblGrid>
      <w:tr w14:paraId="7737A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jc w:val="center"/>
        </w:trPr>
        <w:tc>
          <w:tcPr>
            <w:tcW w:w="562" w:type="dxa"/>
            <w:vMerge w:val="restart"/>
            <w:tcBorders>
              <w:bottom w:val="nil"/>
            </w:tcBorders>
            <w:noWrap w:val="0"/>
            <w:vAlign w:val="top"/>
          </w:tcPr>
          <w:p w14:paraId="0FC83969">
            <w:pPr>
              <w:keepNext w:val="0"/>
              <w:keepLines w:val="0"/>
              <w:pageBreakBefore w:val="0"/>
              <w:widowControl/>
              <w:kinsoku w:val="0"/>
              <w:wordWrap/>
              <w:overflowPunct/>
              <w:topLinePunct w:val="0"/>
              <w:autoSpaceDE w:val="0"/>
              <w:autoSpaceDN w:val="0"/>
              <w:bidi w:val="0"/>
              <w:adjustRightInd w:val="0"/>
              <w:snapToGrid w:val="0"/>
              <w:spacing w:before="206" w:line="241" w:lineRule="auto"/>
              <w:ind w:left="102"/>
              <w:textAlignment w:val="baseline"/>
              <w:rPr>
                <w:rFonts w:ascii="黑体" w:hAnsi="黑体" w:eastAsia="黑体" w:cs="黑体"/>
                <w:sz w:val="18"/>
                <w:szCs w:val="18"/>
              </w:rPr>
            </w:pPr>
            <w:r>
              <w:rPr>
                <w:rFonts w:ascii="黑体" w:hAnsi="黑体" w:eastAsia="黑体" w:cs="黑体"/>
                <w:spacing w:val="-2"/>
                <w:sz w:val="18"/>
                <w:szCs w:val="18"/>
              </w:rPr>
              <w:t>序号</w:t>
            </w:r>
          </w:p>
        </w:tc>
        <w:tc>
          <w:tcPr>
            <w:tcW w:w="1035" w:type="dxa"/>
            <w:vMerge w:val="restart"/>
            <w:tcBorders>
              <w:bottom w:val="nil"/>
            </w:tcBorders>
            <w:noWrap w:val="0"/>
            <w:vAlign w:val="top"/>
          </w:tcPr>
          <w:p w14:paraId="632B1263">
            <w:pPr>
              <w:keepNext w:val="0"/>
              <w:keepLines w:val="0"/>
              <w:pageBreakBefore w:val="0"/>
              <w:widowControl/>
              <w:kinsoku w:val="0"/>
              <w:wordWrap/>
              <w:overflowPunct/>
              <w:topLinePunct w:val="0"/>
              <w:autoSpaceDE w:val="0"/>
              <w:autoSpaceDN w:val="0"/>
              <w:bidi w:val="0"/>
              <w:adjustRightInd w:val="0"/>
              <w:snapToGrid w:val="0"/>
              <w:spacing w:before="206" w:line="239" w:lineRule="auto"/>
              <w:ind w:left="156"/>
              <w:textAlignment w:val="baseline"/>
              <w:rPr>
                <w:rFonts w:ascii="黑体" w:hAnsi="黑体" w:eastAsia="黑体" w:cs="黑体"/>
                <w:sz w:val="18"/>
                <w:szCs w:val="18"/>
              </w:rPr>
            </w:pPr>
            <w:r>
              <w:rPr>
                <w:rFonts w:ascii="黑体" w:hAnsi="黑体" w:eastAsia="黑体" w:cs="黑体"/>
                <w:spacing w:val="-2"/>
                <w:sz w:val="18"/>
                <w:szCs w:val="18"/>
              </w:rPr>
              <w:t>抽查类别</w:t>
            </w:r>
          </w:p>
        </w:tc>
        <w:tc>
          <w:tcPr>
            <w:tcW w:w="2030" w:type="dxa"/>
            <w:vMerge w:val="restart"/>
            <w:tcBorders>
              <w:bottom w:val="nil"/>
            </w:tcBorders>
            <w:noWrap w:val="0"/>
            <w:vAlign w:val="top"/>
          </w:tcPr>
          <w:p w14:paraId="75500991">
            <w:pPr>
              <w:keepNext w:val="0"/>
              <w:keepLines w:val="0"/>
              <w:pageBreakBefore w:val="0"/>
              <w:widowControl/>
              <w:kinsoku w:val="0"/>
              <w:wordWrap/>
              <w:overflowPunct/>
              <w:topLinePunct w:val="0"/>
              <w:autoSpaceDE w:val="0"/>
              <w:autoSpaceDN w:val="0"/>
              <w:bidi w:val="0"/>
              <w:adjustRightInd w:val="0"/>
              <w:snapToGrid w:val="0"/>
              <w:spacing w:before="206" w:line="239" w:lineRule="auto"/>
              <w:ind w:left="122"/>
              <w:textAlignment w:val="baseline"/>
              <w:rPr>
                <w:rFonts w:ascii="黑体" w:hAnsi="黑体" w:eastAsia="黑体" w:cs="黑体"/>
                <w:sz w:val="18"/>
                <w:szCs w:val="18"/>
              </w:rPr>
            </w:pPr>
            <w:r>
              <w:rPr>
                <w:rFonts w:ascii="黑体" w:hAnsi="黑体" w:eastAsia="黑体" w:cs="黑体"/>
                <w:spacing w:val="-2"/>
                <w:sz w:val="18"/>
                <w:szCs w:val="18"/>
              </w:rPr>
              <w:t>牵头发起部门抽查事项</w:t>
            </w:r>
          </w:p>
        </w:tc>
        <w:tc>
          <w:tcPr>
            <w:tcW w:w="1114" w:type="dxa"/>
            <w:vMerge w:val="restart"/>
            <w:tcBorders>
              <w:bottom w:val="nil"/>
            </w:tcBorders>
            <w:noWrap w:val="0"/>
            <w:vAlign w:val="top"/>
          </w:tcPr>
          <w:p w14:paraId="3044C9A9">
            <w:pPr>
              <w:keepNext w:val="0"/>
              <w:keepLines w:val="0"/>
              <w:pageBreakBefore w:val="0"/>
              <w:widowControl/>
              <w:kinsoku w:val="0"/>
              <w:wordWrap/>
              <w:overflowPunct/>
              <w:topLinePunct w:val="0"/>
              <w:autoSpaceDE w:val="0"/>
              <w:autoSpaceDN w:val="0"/>
              <w:bidi w:val="0"/>
              <w:adjustRightInd w:val="0"/>
              <w:snapToGrid w:val="0"/>
              <w:spacing w:before="207"/>
              <w:ind w:left="197"/>
              <w:textAlignment w:val="baseline"/>
              <w:rPr>
                <w:rFonts w:ascii="黑体" w:hAnsi="黑体" w:eastAsia="黑体" w:cs="黑体"/>
                <w:sz w:val="18"/>
                <w:szCs w:val="18"/>
              </w:rPr>
            </w:pPr>
            <w:r>
              <w:rPr>
                <w:rFonts w:ascii="黑体" w:hAnsi="黑体" w:eastAsia="黑体" w:cs="黑体"/>
                <w:spacing w:val="-2"/>
                <w:sz w:val="18"/>
                <w:szCs w:val="18"/>
              </w:rPr>
              <w:t>抽查对象</w:t>
            </w:r>
          </w:p>
        </w:tc>
        <w:tc>
          <w:tcPr>
            <w:tcW w:w="714" w:type="dxa"/>
            <w:vMerge w:val="restart"/>
            <w:tcBorders>
              <w:bottom w:val="nil"/>
            </w:tcBorders>
            <w:noWrap w:val="0"/>
            <w:vAlign w:val="top"/>
          </w:tcPr>
          <w:p w14:paraId="2C2F2EC5">
            <w:pPr>
              <w:keepNext w:val="0"/>
              <w:keepLines w:val="0"/>
              <w:pageBreakBefore w:val="0"/>
              <w:widowControl/>
              <w:kinsoku w:val="0"/>
              <w:wordWrap/>
              <w:overflowPunct/>
              <w:topLinePunct w:val="0"/>
              <w:autoSpaceDE w:val="0"/>
              <w:autoSpaceDN w:val="0"/>
              <w:bidi w:val="0"/>
              <w:adjustRightInd w:val="0"/>
              <w:snapToGrid w:val="0"/>
              <w:spacing w:before="76"/>
              <w:ind w:left="181"/>
              <w:textAlignment w:val="baseline"/>
              <w:rPr>
                <w:rFonts w:ascii="黑体" w:hAnsi="黑体" w:eastAsia="黑体" w:cs="黑体"/>
                <w:sz w:val="18"/>
                <w:szCs w:val="18"/>
              </w:rPr>
            </w:pPr>
            <w:r>
              <w:rPr>
                <w:rFonts w:ascii="黑体" w:hAnsi="黑体" w:eastAsia="黑体" w:cs="黑体"/>
                <w:spacing w:val="-5"/>
                <w:sz w:val="18"/>
                <w:szCs w:val="18"/>
              </w:rPr>
              <w:t>事项</w:t>
            </w:r>
          </w:p>
          <w:p w14:paraId="79D13CF0">
            <w:pPr>
              <w:keepNext w:val="0"/>
              <w:keepLines w:val="0"/>
              <w:pageBreakBefore w:val="0"/>
              <w:widowControl/>
              <w:kinsoku w:val="0"/>
              <w:wordWrap/>
              <w:overflowPunct/>
              <w:topLinePunct w:val="0"/>
              <w:autoSpaceDE w:val="0"/>
              <w:autoSpaceDN w:val="0"/>
              <w:bidi w:val="0"/>
              <w:adjustRightInd w:val="0"/>
              <w:snapToGrid w:val="0"/>
              <w:spacing w:before="25" w:line="229" w:lineRule="auto"/>
              <w:ind w:left="183"/>
              <w:textAlignment w:val="baseline"/>
              <w:rPr>
                <w:rFonts w:ascii="黑体" w:hAnsi="黑体" w:eastAsia="黑体" w:cs="黑体"/>
                <w:sz w:val="18"/>
                <w:szCs w:val="18"/>
              </w:rPr>
            </w:pPr>
            <w:r>
              <w:rPr>
                <w:rFonts w:ascii="黑体" w:hAnsi="黑体" w:eastAsia="黑体" w:cs="黑体"/>
                <w:spacing w:val="-6"/>
                <w:sz w:val="18"/>
                <w:szCs w:val="18"/>
              </w:rPr>
              <w:t>类别</w:t>
            </w:r>
          </w:p>
        </w:tc>
        <w:tc>
          <w:tcPr>
            <w:tcW w:w="5895" w:type="dxa"/>
            <w:gridSpan w:val="5"/>
            <w:noWrap w:val="0"/>
            <w:vAlign w:val="top"/>
          </w:tcPr>
          <w:p w14:paraId="52A0EF8E">
            <w:pPr>
              <w:keepNext w:val="0"/>
              <w:keepLines w:val="0"/>
              <w:pageBreakBefore w:val="0"/>
              <w:widowControl/>
              <w:kinsoku w:val="0"/>
              <w:wordWrap/>
              <w:overflowPunct/>
              <w:topLinePunct w:val="0"/>
              <w:autoSpaceDE w:val="0"/>
              <w:autoSpaceDN w:val="0"/>
              <w:bidi w:val="0"/>
              <w:adjustRightInd w:val="0"/>
              <w:snapToGrid w:val="0"/>
              <w:spacing w:before="65" w:line="215" w:lineRule="auto"/>
              <w:ind w:left="2416"/>
              <w:textAlignment w:val="baseline"/>
              <w:rPr>
                <w:rFonts w:ascii="黑体" w:hAnsi="黑体" w:eastAsia="黑体" w:cs="黑体"/>
                <w:sz w:val="18"/>
                <w:szCs w:val="18"/>
              </w:rPr>
            </w:pPr>
            <w:r>
              <w:rPr>
                <w:rFonts w:ascii="黑体" w:hAnsi="黑体" w:eastAsia="黑体" w:cs="黑体"/>
                <w:spacing w:val="-3"/>
                <w:sz w:val="18"/>
                <w:szCs w:val="18"/>
              </w:rPr>
              <w:t>牵头发起部门</w:t>
            </w:r>
          </w:p>
        </w:tc>
        <w:tc>
          <w:tcPr>
            <w:tcW w:w="868" w:type="dxa"/>
            <w:vMerge w:val="restart"/>
            <w:tcBorders>
              <w:bottom w:val="nil"/>
            </w:tcBorders>
            <w:noWrap w:val="0"/>
            <w:vAlign w:val="top"/>
          </w:tcPr>
          <w:p w14:paraId="64856CB6">
            <w:pPr>
              <w:keepNext w:val="0"/>
              <w:keepLines w:val="0"/>
              <w:pageBreakBefore w:val="0"/>
              <w:widowControl/>
              <w:kinsoku w:val="0"/>
              <w:wordWrap/>
              <w:overflowPunct/>
              <w:topLinePunct w:val="0"/>
              <w:autoSpaceDE w:val="0"/>
              <w:autoSpaceDN w:val="0"/>
              <w:bidi w:val="0"/>
              <w:adjustRightInd w:val="0"/>
              <w:snapToGrid w:val="0"/>
              <w:spacing w:before="76" w:line="248" w:lineRule="auto"/>
              <w:ind w:left="261" w:right="69" w:hanging="183"/>
              <w:textAlignment w:val="baseline"/>
              <w:rPr>
                <w:rFonts w:ascii="黑体" w:hAnsi="黑体" w:eastAsia="黑体" w:cs="黑体"/>
                <w:sz w:val="18"/>
                <w:szCs w:val="18"/>
              </w:rPr>
            </w:pPr>
            <w:r>
              <w:rPr>
                <w:rFonts w:ascii="黑体" w:hAnsi="黑体" w:eastAsia="黑体" w:cs="黑体"/>
                <w:spacing w:val="-2"/>
                <w:sz w:val="18"/>
                <w:szCs w:val="18"/>
              </w:rPr>
              <w:t>联合抽查</w:t>
            </w:r>
            <w:r>
              <w:rPr>
                <w:rFonts w:ascii="黑体" w:hAnsi="黑体" w:eastAsia="黑体" w:cs="黑体"/>
                <w:spacing w:val="-5"/>
                <w:sz w:val="18"/>
                <w:szCs w:val="18"/>
              </w:rPr>
              <w:t>部门</w:t>
            </w:r>
          </w:p>
        </w:tc>
        <w:tc>
          <w:tcPr>
            <w:tcW w:w="1554" w:type="dxa"/>
            <w:vMerge w:val="restart"/>
            <w:tcBorders>
              <w:bottom w:val="nil"/>
            </w:tcBorders>
            <w:noWrap w:val="0"/>
            <w:vAlign w:val="top"/>
          </w:tcPr>
          <w:p w14:paraId="473AA12E">
            <w:pPr>
              <w:keepNext w:val="0"/>
              <w:keepLines w:val="0"/>
              <w:pageBreakBefore w:val="0"/>
              <w:widowControl/>
              <w:kinsoku w:val="0"/>
              <w:wordWrap/>
              <w:overflowPunct/>
              <w:topLinePunct w:val="0"/>
              <w:autoSpaceDE w:val="0"/>
              <w:autoSpaceDN w:val="0"/>
              <w:bidi w:val="0"/>
              <w:adjustRightInd w:val="0"/>
              <w:snapToGrid w:val="0"/>
              <w:spacing w:before="76" w:line="248" w:lineRule="auto"/>
              <w:ind w:left="420" w:right="233" w:hanging="180"/>
              <w:textAlignment w:val="baseline"/>
              <w:rPr>
                <w:rFonts w:ascii="黑体" w:hAnsi="黑体" w:eastAsia="黑体" w:cs="黑体"/>
                <w:sz w:val="18"/>
                <w:szCs w:val="18"/>
              </w:rPr>
            </w:pPr>
            <w:r>
              <w:rPr>
                <w:rFonts w:ascii="黑体" w:hAnsi="黑体" w:eastAsia="黑体" w:cs="黑体"/>
                <w:spacing w:val="-1"/>
                <w:sz w:val="18"/>
                <w:szCs w:val="18"/>
              </w:rPr>
              <w:t>联合抽查部门</w:t>
            </w:r>
            <w:r>
              <w:rPr>
                <w:rFonts w:ascii="黑体" w:hAnsi="黑体" w:eastAsia="黑体" w:cs="黑体"/>
                <w:spacing w:val="-2"/>
                <w:sz w:val="18"/>
                <w:szCs w:val="18"/>
              </w:rPr>
              <w:t>抽查事项</w:t>
            </w:r>
          </w:p>
        </w:tc>
        <w:tc>
          <w:tcPr>
            <w:tcW w:w="914" w:type="dxa"/>
            <w:vMerge w:val="restart"/>
            <w:tcBorders>
              <w:bottom w:val="nil"/>
            </w:tcBorders>
            <w:noWrap w:val="0"/>
            <w:vAlign w:val="top"/>
          </w:tcPr>
          <w:p w14:paraId="35A8C2F0">
            <w:pPr>
              <w:keepNext w:val="0"/>
              <w:keepLines w:val="0"/>
              <w:pageBreakBefore w:val="0"/>
              <w:widowControl/>
              <w:kinsoku w:val="0"/>
              <w:wordWrap/>
              <w:overflowPunct/>
              <w:topLinePunct w:val="0"/>
              <w:autoSpaceDE w:val="0"/>
              <w:autoSpaceDN w:val="0"/>
              <w:bidi w:val="0"/>
              <w:adjustRightInd w:val="0"/>
              <w:snapToGrid w:val="0"/>
              <w:spacing w:before="77"/>
              <w:ind w:left="98"/>
              <w:textAlignment w:val="baseline"/>
              <w:rPr>
                <w:rFonts w:ascii="黑体" w:hAnsi="黑体" w:eastAsia="黑体" w:cs="黑体"/>
                <w:sz w:val="18"/>
                <w:szCs w:val="18"/>
              </w:rPr>
            </w:pPr>
            <w:r>
              <w:rPr>
                <w:rFonts w:ascii="黑体" w:hAnsi="黑体" w:eastAsia="黑体" w:cs="黑体"/>
                <w:spacing w:val="-2"/>
                <w:sz w:val="18"/>
                <w:szCs w:val="18"/>
              </w:rPr>
              <w:t>对照部委</w:t>
            </w:r>
          </w:p>
          <w:p w14:paraId="6BC74FF1">
            <w:pPr>
              <w:keepNext w:val="0"/>
              <w:keepLines w:val="0"/>
              <w:pageBreakBefore w:val="0"/>
              <w:widowControl/>
              <w:kinsoku w:val="0"/>
              <w:wordWrap/>
              <w:overflowPunct/>
              <w:topLinePunct w:val="0"/>
              <w:autoSpaceDE w:val="0"/>
              <w:autoSpaceDN w:val="0"/>
              <w:bidi w:val="0"/>
              <w:adjustRightInd w:val="0"/>
              <w:snapToGrid w:val="0"/>
              <w:spacing w:before="25" w:line="229" w:lineRule="auto"/>
              <w:ind w:left="102"/>
              <w:textAlignment w:val="baseline"/>
              <w:rPr>
                <w:rFonts w:ascii="黑体" w:hAnsi="黑体" w:eastAsia="黑体" w:cs="黑体"/>
                <w:sz w:val="18"/>
                <w:szCs w:val="18"/>
              </w:rPr>
            </w:pPr>
            <w:r>
              <w:rPr>
                <w:rFonts w:ascii="黑体" w:hAnsi="黑体" w:eastAsia="黑体" w:cs="黑体"/>
                <w:spacing w:val="-2"/>
                <w:sz w:val="18"/>
                <w:szCs w:val="18"/>
              </w:rPr>
              <w:t>清单事项</w:t>
            </w:r>
          </w:p>
        </w:tc>
      </w:tr>
      <w:tr w14:paraId="12FC7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jc w:val="center"/>
        </w:trPr>
        <w:tc>
          <w:tcPr>
            <w:tcW w:w="562" w:type="dxa"/>
            <w:vMerge w:val="continue"/>
            <w:tcBorders>
              <w:top w:val="nil"/>
            </w:tcBorders>
            <w:noWrap w:val="0"/>
            <w:vAlign w:val="top"/>
          </w:tcPr>
          <w:p w14:paraId="5B4C1099">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c>
          <w:tcPr>
            <w:tcW w:w="1035" w:type="dxa"/>
            <w:vMerge w:val="continue"/>
            <w:tcBorders>
              <w:top w:val="nil"/>
            </w:tcBorders>
            <w:noWrap w:val="0"/>
            <w:vAlign w:val="top"/>
          </w:tcPr>
          <w:p w14:paraId="4B862E69">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c>
          <w:tcPr>
            <w:tcW w:w="2030" w:type="dxa"/>
            <w:vMerge w:val="continue"/>
            <w:tcBorders>
              <w:top w:val="nil"/>
            </w:tcBorders>
            <w:noWrap w:val="0"/>
            <w:vAlign w:val="top"/>
          </w:tcPr>
          <w:p w14:paraId="0497C4E9">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c>
          <w:tcPr>
            <w:tcW w:w="1114" w:type="dxa"/>
            <w:vMerge w:val="continue"/>
            <w:tcBorders>
              <w:top w:val="nil"/>
            </w:tcBorders>
            <w:noWrap w:val="0"/>
            <w:vAlign w:val="top"/>
          </w:tcPr>
          <w:p w14:paraId="41B19CE4">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c>
          <w:tcPr>
            <w:tcW w:w="714" w:type="dxa"/>
            <w:vMerge w:val="continue"/>
            <w:tcBorders>
              <w:top w:val="nil"/>
            </w:tcBorders>
            <w:noWrap w:val="0"/>
            <w:vAlign w:val="top"/>
          </w:tcPr>
          <w:p w14:paraId="66977465">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c>
          <w:tcPr>
            <w:tcW w:w="1024" w:type="dxa"/>
            <w:noWrap w:val="0"/>
            <w:vAlign w:val="top"/>
          </w:tcPr>
          <w:p w14:paraId="36B35C1A">
            <w:pPr>
              <w:keepNext w:val="0"/>
              <w:keepLines w:val="0"/>
              <w:pageBreakBefore w:val="0"/>
              <w:widowControl/>
              <w:kinsoku w:val="0"/>
              <w:wordWrap/>
              <w:overflowPunct/>
              <w:topLinePunct w:val="0"/>
              <w:autoSpaceDE w:val="0"/>
              <w:autoSpaceDN w:val="0"/>
              <w:bidi w:val="0"/>
              <w:adjustRightInd w:val="0"/>
              <w:snapToGrid w:val="0"/>
              <w:spacing w:before="60" w:line="215" w:lineRule="auto"/>
              <w:ind w:left="156"/>
              <w:textAlignment w:val="baseline"/>
              <w:rPr>
                <w:rFonts w:ascii="黑体" w:hAnsi="黑体" w:eastAsia="黑体" w:cs="黑体"/>
                <w:sz w:val="18"/>
                <w:szCs w:val="18"/>
              </w:rPr>
            </w:pPr>
            <w:r>
              <w:rPr>
                <w:rFonts w:ascii="黑体" w:hAnsi="黑体" w:eastAsia="黑体" w:cs="黑体"/>
                <w:spacing w:val="-3"/>
                <w:sz w:val="18"/>
                <w:szCs w:val="18"/>
              </w:rPr>
              <w:t>部门名称</w:t>
            </w:r>
          </w:p>
        </w:tc>
        <w:tc>
          <w:tcPr>
            <w:tcW w:w="2460" w:type="dxa"/>
            <w:noWrap w:val="0"/>
            <w:vAlign w:val="top"/>
          </w:tcPr>
          <w:p w14:paraId="388B7CDA">
            <w:pPr>
              <w:keepNext w:val="0"/>
              <w:keepLines w:val="0"/>
              <w:pageBreakBefore w:val="0"/>
              <w:widowControl/>
              <w:kinsoku w:val="0"/>
              <w:wordWrap/>
              <w:overflowPunct/>
              <w:topLinePunct w:val="0"/>
              <w:autoSpaceDE w:val="0"/>
              <w:autoSpaceDN w:val="0"/>
              <w:bidi w:val="0"/>
              <w:adjustRightInd w:val="0"/>
              <w:snapToGrid w:val="0"/>
              <w:spacing w:before="60" w:line="215" w:lineRule="auto"/>
              <w:ind w:left="871"/>
              <w:textAlignment w:val="baseline"/>
              <w:rPr>
                <w:rFonts w:ascii="黑体" w:hAnsi="黑体" w:eastAsia="黑体" w:cs="黑体"/>
                <w:sz w:val="18"/>
                <w:szCs w:val="18"/>
              </w:rPr>
            </w:pPr>
            <w:r>
              <w:rPr>
                <w:rFonts w:ascii="黑体" w:hAnsi="黑体" w:eastAsia="黑体" w:cs="黑体"/>
                <w:spacing w:val="-2"/>
                <w:sz w:val="18"/>
                <w:szCs w:val="18"/>
              </w:rPr>
              <w:t>抽查内容</w:t>
            </w:r>
          </w:p>
        </w:tc>
        <w:tc>
          <w:tcPr>
            <w:tcW w:w="762" w:type="dxa"/>
            <w:noWrap w:val="0"/>
            <w:vAlign w:val="top"/>
          </w:tcPr>
          <w:p w14:paraId="041B61C8">
            <w:pPr>
              <w:keepNext w:val="0"/>
              <w:keepLines w:val="0"/>
              <w:pageBreakBefore w:val="0"/>
              <w:widowControl/>
              <w:kinsoku w:val="0"/>
              <w:wordWrap/>
              <w:overflowPunct/>
              <w:topLinePunct w:val="0"/>
              <w:autoSpaceDE w:val="0"/>
              <w:autoSpaceDN w:val="0"/>
              <w:bidi w:val="0"/>
              <w:adjustRightInd w:val="0"/>
              <w:snapToGrid w:val="0"/>
              <w:spacing w:before="60" w:line="215" w:lineRule="auto"/>
              <w:ind w:left="24"/>
              <w:textAlignment w:val="baseline"/>
              <w:rPr>
                <w:rFonts w:ascii="黑体" w:hAnsi="黑体" w:eastAsia="黑体" w:cs="黑体"/>
                <w:sz w:val="18"/>
                <w:szCs w:val="18"/>
              </w:rPr>
            </w:pPr>
            <w:r>
              <w:rPr>
                <w:rFonts w:ascii="黑体" w:hAnsi="黑体" w:eastAsia="黑体" w:cs="黑体"/>
                <w:spacing w:val="-2"/>
                <w:sz w:val="18"/>
                <w:szCs w:val="18"/>
              </w:rPr>
              <w:t>抽查方式</w:t>
            </w:r>
          </w:p>
        </w:tc>
        <w:tc>
          <w:tcPr>
            <w:tcW w:w="817" w:type="dxa"/>
            <w:noWrap w:val="0"/>
            <w:vAlign w:val="top"/>
          </w:tcPr>
          <w:p w14:paraId="623D2588">
            <w:pPr>
              <w:keepNext w:val="0"/>
              <w:keepLines w:val="0"/>
              <w:pageBreakBefore w:val="0"/>
              <w:widowControl/>
              <w:kinsoku w:val="0"/>
              <w:wordWrap/>
              <w:overflowPunct/>
              <w:topLinePunct w:val="0"/>
              <w:autoSpaceDE w:val="0"/>
              <w:autoSpaceDN w:val="0"/>
              <w:bidi w:val="0"/>
              <w:adjustRightInd w:val="0"/>
              <w:snapToGrid w:val="0"/>
              <w:spacing w:before="60" w:line="215" w:lineRule="auto"/>
              <w:ind w:left="56"/>
              <w:textAlignment w:val="baseline"/>
              <w:rPr>
                <w:rFonts w:ascii="黑体" w:hAnsi="黑体" w:eastAsia="黑体" w:cs="黑体"/>
                <w:sz w:val="18"/>
                <w:szCs w:val="18"/>
              </w:rPr>
            </w:pPr>
            <w:r>
              <w:rPr>
                <w:rFonts w:ascii="黑体" w:hAnsi="黑体" w:eastAsia="黑体" w:cs="黑体"/>
                <w:spacing w:val="-3"/>
                <w:sz w:val="18"/>
                <w:szCs w:val="18"/>
              </w:rPr>
              <w:t>组织层级</w:t>
            </w:r>
          </w:p>
        </w:tc>
        <w:tc>
          <w:tcPr>
            <w:tcW w:w="832" w:type="dxa"/>
            <w:noWrap w:val="0"/>
            <w:vAlign w:val="top"/>
          </w:tcPr>
          <w:p w14:paraId="2A8F86B6">
            <w:pPr>
              <w:keepNext w:val="0"/>
              <w:keepLines w:val="0"/>
              <w:pageBreakBefore w:val="0"/>
              <w:widowControl/>
              <w:kinsoku w:val="0"/>
              <w:wordWrap/>
              <w:overflowPunct/>
              <w:topLinePunct w:val="0"/>
              <w:autoSpaceDE w:val="0"/>
              <w:autoSpaceDN w:val="0"/>
              <w:bidi w:val="0"/>
              <w:adjustRightInd w:val="0"/>
              <w:snapToGrid w:val="0"/>
              <w:spacing w:before="60" w:line="215" w:lineRule="auto"/>
              <w:ind w:left="66"/>
              <w:textAlignment w:val="baseline"/>
              <w:rPr>
                <w:rFonts w:ascii="黑体" w:hAnsi="黑体" w:eastAsia="黑体" w:cs="黑体"/>
                <w:sz w:val="18"/>
                <w:szCs w:val="18"/>
              </w:rPr>
            </w:pPr>
            <w:r>
              <w:rPr>
                <w:rFonts w:ascii="黑体" w:hAnsi="黑体" w:eastAsia="黑体" w:cs="黑体"/>
                <w:spacing w:val="-4"/>
                <w:sz w:val="18"/>
                <w:szCs w:val="18"/>
              </w:rPr>
              <w:t>实施层级</w:t>
            </w:r>
          </w:p>
        </w:tc>
        <w:tc>
          <w:tcPr>
            <w:tcW w:w="868" w:type="dxa"/>
            <w:vMerge w:val="continue"/>
            <w:tcBorders>
              <w:top w:val="nil"/>
            </w:tcBorders>
            <w:noWrap w:val="0"/>
            <w:vAlign w:val="top"/>
          </w:tcPr>
          <w:p w14:paraId="779E8456">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c>
          <w:tcPr>
            <w:tcW w:w="1554" w:type="dxa"/>
            <w:vMerge w:val="continue"/>
            <w:tcBorders>
              <w:top w:val="nil"/>
            </w:tcBorders>
            <w:noWrap w:val="0"/>
            <w:vAlign w:val="top"/>
          </w:tcPr>
          <w:p w14:paraId="2A737BCF">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c>
          <w:tcPr>
            <w:tcW w:w="914" w:type="dxa"/>
            <w:vMerge w:val="continue"/>
            <w:tcBorders>
              <w:top w:val="nil"/>
            </w:tcBorders>
            <w:noWrap w:val="0"/>
            <w:vAlign w:val="top"/>
          </w:tcPr>
          <w:p w14:paraId="1249853E">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r>
      <w:tr w14:paraId="6606E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jc w:val="center"/>
        </w:trPr>
        <w:tc>
          <w:tcPr>
            <w:tcW w:w="562" w:type="dxa"/>
            <w:vMerge w:val="restart"/>
            <w:noWrap w:val="0"/>
            <w:vAlign w:val="center"/>
          </w:tcPr>
          <w:p w14:paraId="682CCB05">
            <w:pPr>
              <w:keepNext w:val="0"/>
              <w:keepLines w:val="0"/>
              <w:pageBreakBefore w:val="0"/>
              <w:widowControl w:val="0"/>
              <w:numPr>
                <w:ilvl w:val="0"/>
                <w:numId w:val="0"/>
              </w:numPr>
              <w:suppressAutoHyphens/>
              <w:kinsoku/>
              <w:wordWrap/>
              <w:bidi w:val="0"/>
              <w:adjustRightInd/>
              <w:snapToGrid/>
              <w:spacing w:beforeAutospacing="0" w:after="0" w:line="260" w:lineRule="exact"/>
              <w:ind w:leftChars="0"/>
              <w:jc w:val="center"/>
              <w:rPr>
                <w:rFonts w:hint="eastAsia" w:ascii="Times New Roman" w:hAnsi="Times New Roman" w:eastAsia="方正仿宋简体" w:cs="Times New Roman"/>
                <w:b w:val="0"/>
                <w:bCs w:val="0"/>
                <w:snapToGrid w:val="0"/>
                <w:color w:val="1F497D"/>
                <w:kern w:val="0"/>
                <w:sz w:val="18"/>
                <w:szCs w:val="18"/>
                <w:highlight w:val="none"/>
                <w:lang w:val="en-US" w:eastAsia="zh-CN" w:bidi="ar-SA"/>
              </w:rPr>
            </w:pPr>
            <w:r>
              <w:rPr>
                <w:rFonts w:hint="eastAsia" w:ascii="Times New Roman" w:hAnsi="Times New Roman" w:eastAsia="方正仿宋简体" w:cs="Times New Roman"/>
                <w:b w:val="0"/>
                <w:bCs w:val="0"/>
                <w:snapToGrid w:val="0"/>
                <w:color w:val="1F497D"/>
                <w:kern w:val="0"/>
                <w:sz w:val="18"/>
                <w:szCs w:val="18"/>
                <w:highlight w:val="none"/>
                <w:lang w:val="en-US" w:eastAsia="zh-CN" w:bidi="ar-SA"/>
              </w:rPr>
              <w:t>1</w:t>
            </w:r>
          </w:p>
        </w:tc>
        <w:tc>
          <w:tcPr>
            <w:tcW w:w="1035" w:type="dxa"/>
            <w:vMerge w:val="restart"/>
            <w:noWrap w:val="0"/>
            <w:vAlign w:val="center"/>
          </w:tcPr>
          <w:p w14:paraId="6DD33E22">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学校办学情况抽查</w:t>
            </w:r>
          </w:p>
        </w:tc>
        <w:tc>
          <w:tcPr>
            <w:tcW w:w="2030" w:type="dxa"/>
            <w:vMerge w:val="restart"/>
            <w:noWrap w:val="0"/>
            <w:vAlign w:val="center"/>
          </w:tcPr>
          <w:p w14:paraId="504F5B34">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校外培训机构的办学资质、办学行为的检查</w:t>
            </w:r>
          </w:p>
        </w:tc>
        <w:tc>
          <w:tcPr>
            <w:tcW w:w="1114" w:type="dxa"/>
            <w:vMerge w:val="restart"/>
            <w:noWrap w:val="0"/>
            <w:vAlign w:val="center"/>
          </w:tcPr>
          <w:p w14:paraId="731B52B2">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全</w:t>
            </w:r>
            <w:r>
              <w:rPr>
                <w:rFonts w:hint="eastAsia" w:ascii="Times New Roman" w:hAnsi="Times New Roman" w:eastAsia="方正仿宋简体" w:cs="Times New Roman"/>
                <w:b w:val="0"/>
                <w:bCs w:val="0"/>
                <w:snapToGrid w:val="0"/>
                <w:color w:val="000000"/>
                <w:sz w:val="18"/>
                <w:szCs w:val="18"/>
                <w:highlight w:val="none"/>
                <w:lang w:val="en-US" w:eastAsia="zh-CN"/>
              </w:rPr>
              <w:t>县</w:t>
            </w:r>
            <w:r>
              <w:rPr>
                <w:rFonts w:hint="default" w:ascii="Times New Roman" w:hAnsi="Times New Roman" w:eastAsia="方正仿宋简体" w:cs="Times New Roman"/>
                <w:b w:val="0"/>
                <w:bCs w:val="0"/>
                <w:snapToGrid w:val="0"/>
                <w:color w:val="000000"/>
                <w:sz w:val="18"/>
                <w:szCs w:val="18"/>
                <w:highlight w:val="none"/>
              </w:rPr>
              <w:t>校外培训机构</w:t>
            </w:r>
          </w:p>
        </w:tc>
        <w:tc>
          <w:tcPr>
            <w:tcW w:w="714" w:type="dxa"/>
            <w:vMerge w:val="restart"/>
            <w:noWrap w:val="0"/>
            <w:vAlign w:val="center"/>
          </w:tcPr>
          <w:p w14:paraId="53EFE599">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一般检查事项</w:t>
            </w:r>
          </w:p>
        </w:tc>
        <w:tc>
          <w:tcPr>
            <w:tcW w:w="1024" w:type="dxa"/>
            <w:vMerge w:val="restart"/>
            <w:noWrap w:val="0"/>
            <w:vAlign w:val="center"/>
          </w:tcPr>
          <w:p w14:paraId="1AEC7745">
            <w:pPr>
              <w:keepNext w:val="0"/>
              <w:keepLines w:val="0"/>
              <w:pageBreakBefore w:val="0"/>
              <w:widowControl w:val="0"/>
              <w:suppressAutoHyphens/>
              <w:kinsoku/>
              <w:wordWrap/>
              <w:bidi w:val="0"/>
              <w:adjustRightInd/>
              <w:snapToGrid/>
              <w:spacing w:beforeAutospacing="0" w:after="0" w:line="260" w:lineRule="exact"/>
              <w:jc w:val="center"/>
              <w:rPr>
                <w:rFonts w:hint="eastAsia" w:ascii="Times New Roman" w:hAnsi="Times New Roman" w:eastAsia="方正仿宋简体" w:cs="Times New Roman"/>
                <w:b w:val="0"/>
                <w:bCs w:val="0"/>
                <w:snapToGrid w:val="0"/>
                <w:color w:val="000000"/>
                <w:kern w:val="2"/>
                <w:sz w:val="18"/>
                <w:szCs w:val="18"/>
                <w:highlight w:val="none"/>
                <w:lang w:val="en-US" w:eastAsia="zh-CN" w:bidi="ar-SA"/>
              </w:rPr>
            </w:pPr>
            <w:r>
              <w:rPr>
                <w:rFonts w:hint="eastAsia" w:ascii="Times New Roman" w:hAnsi="Times New Roman" w:eastAsia="方正仿宋简体" w:cs="Times New Roman"/>
                <w:b w:val="0"/>
                <w:bCs w:val="0"/>
                <w:snapToGrid w:val="0"/>
                <w:color w:val="000000"/>
                <w:sz w:val="18"/>
                <w:szCs w:val="18"/>
                <w:highlight w:val="none"/>
                <w:lang w:eastAsia="zh-CN"/>
              </w:rPr>
              <w:t>市教育和体育局</w:t>
            </w:r>
          </w:p>
        </w:tc>
        <w:tc>
          <w:tcPr>
            <w:tcW w:w="2460" w:type="dxa"/>
            <w:vMerge w:val="restart"/>
            <w:noWrap w:val="0"/>
            <w:vAlign w:val="center"/>
          </w:tcPr>
          <w:p w14:paraId="697E988F">
            <w:pPr>
              <w:keepNext w:val="0"/>
              <w:keepLines w:val="0"/>
              <w:pageBreakBefore w:val="0"/>
              <w:widowControl w:val="0"/>
              <w:suppressAutoHyphens/>
              <w:kinsoku/>
              <w:wordWrap/>
              <w:bidi w:val="0"/>
              <w:adjustRightInd/>
              <w:snapToGrid/>
              <w:spacing w:beforeAutospacing="0" w:after="0" w:line="260" w:lineRule="exact"/>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按照《中共中央办公厅 国务院办公厅印发〈关于进一步减轻义务教育阶段学生作业负担和校外培训负担的意见〉的通知》《四川省委办公厅 省政府办公厅印发〈关于进一步减轻义务教育阶段学生作业负担和校外培训负担的实施方案〉的通知》</w:t>
            </w:r>
            <w:r>
              <w:rPr>
                <w:rFonts w:hint="default" w:ascii="Times New Roman" w:hAnsi="Times New Roman" w:eastAsia="方正仿宋简体" w:cs="Times New Roman"/>
                <w:b w:val="0"/>
                <w:bCs w:val="0"/>
                <w:snapToGrid w:val="0"/>
                <w:color w:val="000000"/>
                <w:sz w:val="18"/>
                <w:szCs w:val="18"/>
                <w:highlight w:val="none"/>
                <w:lang w:eastAsia="zh-CN"/>
              </w:rPr>
              <w:t>等相关规定</w:t>
            </w:r>
            <w:r>
              <w:rPr>
                <w:rFonts w:hint="default" w:ascii="Times New Roman" w:hAnsi="Times New Roman" w:eastAsia="方正仿宋简体" w:cs="Times New Roman"/>
                <w:b w:val="0"/>
                <w:bCs w:val="0"/>
                <w:snapToGrid w:val="0"/>
                <w:color w:val="000000"/>
                <w:sz w:val="18"/>
                <w:szCs w:val="18"/>
                <w:highlight w:val="none"/>
              </w:rPr>
              <w:t>实施</w:t>
            </w:r>
          </w:p>
        </w:tc>
        <w:tc>
          <w:tcPr>
            <w:tcW w:w="762" w:type="dxa"/>
            <w:vMerge w:val="restart"/>
            <w:noWrap w:val="0"/>
            <w:vAlign w:val="center"/>
          </w:tcPr>
          <w:p w14:paraId="090D5A6A">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现场检查</w:t>
            </w:r>
          </w:p>
        </w:tc>
        <w:tc>
          <w:tcPr>
            <w:tcW w:w="817" w:type="dxa"/>
            <w:vMerge w:val="restart"/>
            <w:noWrap w:val="0"/>
            <w:vAlign w:val="center"/>
          </w:tcPr>
          <w:p w14:paraId="2A924512">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市、县</w:t>
            </w:r>
          </w:p>
        </w:tc>
        <w:tc>
          <w:tcPr>
            <w:tcW w:w="832" w:type="dxa"/>
            <w:vMerge w:val="restart"/>
            <w:noWrap w:val="0"/>
            <w:vAlign w:val="center"/>
          </w:tcPr>
          <w:p w14:paraId="37AB4D40">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市、县</w:t>
            </w:r>
          </w:p>
        </w:tc>
        <w:tc>
          <w:tcPr>
            <w:tcW w:w="868" w:type="dxa"/>
            <w:noWrap w:val="0"/>
            <w:vAlign w:val="center"/>
          </w:tcPr>
          <w:p w14:paraId="38F82340">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民政部门</w:t>
            </w:r>
          </w:p>
        </w:tc>
        <w:tc>
          <w:tcPr>
            <w:tcW w:w="1554" w:type="dxa"/>
            <w:noWrap w:val="0"/>
            <w:vAlign w:val="center"/>
          </w:tcPr>
          <w:p w14:paraId="2E0E87F6">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民非登记情况检查</w:t>
            </w:r>
          </w:p>
        </w:tc>
        <w:tc>
          <w:tcPr>
            <w:tcW w:w="914" w:type="dxa"/>
            <w:vMerge w:val="restart"/>
            <w:noWrap w:val="0"/>
            <w:vAlign w:val="center"/>
          </w:tcPr>
          <w:p w14:paraId="4A416546">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部委清单序号2</w:t>
            </w:r>
          </w:p>
        </w:tc>
      </w:tr>
      <w:tr w14:paraId="1A525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jc w:val="center"/>
        </w:trPr>
        <w:tc>
          <w:tcPr>
            <w:tcW w:w="562" w:type="dxa"/>
            <w:vMerge w:val="continue"/>
            <w:noWrap w:val="0"/>
            <w:vAlign w:val="center"/>
          </w:tcPr>
          <w:p w14:paraId="484755EC">
            <w:pPr>
              <w:keepNext w:val="0"/>
              <w:keepLines w:val="0"/>
              <w:pageBreakBefore w:val="0"/>
              <w:widowControl w:val="0"/>
              <w:suppressAutoHyphens/>
              <w:kinsoku/>
              <w:wordWrap/>
              <w:bidi w:val="0"/>
              <w:adjustRightInd/>
              <w:snapToGrid/>
              <w:spacing w:beforeAutospacing="0" w:after="0" w:line="260" w:lineRule="exact"/>
              <w:jc w:val="center"/>
            </w:pPr>
          </w:p>
        </w:tc>
        <w:tc>
          <w:tcPr>
            <w:tcW w:w="1035" w:type="dxa"/>
            <w:vMerge w:val="continue"/>
            <w:noWrap w:val="0"/>
            <w:vAlign w:val="center"/>
          </w:tcPr>
          <w:p w14:paraId="329DF685">
            <w:pPr>
              <w:keepNext w:val="0"/>
              <w:keepLines w:val="0"/>
              <w:pageBreakBefore w:val="0"/>
              <w:widowControl w:val="0"/>
              <w:suppressAutoHyphens/>
              <w:kinsoku/>
              <w:wordWrap/>
              <w:bidi w:val="0"/>
              <w:adjustRightInd/>
              <w:snapToGrid/>
              <w:spacing w:beforeAutospacing="0" w:after="0" w:line="260" w:lineRule="exact"/>
              <w:jc w:val="center"/>
            </w:pPr>
          </w:p>
        </w:tc>
        <w:tc>
          <w:tcPr>
            <w:tcW w:w="2030" w:type="dxa"/>
            <w:vMerge w:val="continue"/>
            <w:noWrap w:val="0"/>
            <w:vAlign w:val="center"/>
          </w:tcPr>
          <w:p w14:paraId="1E6FD4A6">
            <w:pPr>
              <w:keepNext w:val="0"/>
              <w:keepLines w:val="0"/>
              <w:pageBreakBefore w:val="0"/>
              <w:widowControl w:val="0"/>
              <w:suppressAutoHyphens/>
              <w:kinsoku/>
              <w:wordWrap/>
              <w:bidi w:val="0"/>
              <w:adjustRightInd/>
              <w:snapToGrid/>
              <w:spacing w:beforeAutospacing="0" w:after="0" w:line="260" w:lineRule="exact"/>
              <w:jc w:val="center"/>
            </w:pPr>
          </w:p>
        </w:tc>
        <w:tc>
          <w:tcPr>
            <w:tcW w:w="1114" w:type="dxa"/>
            <w:vMerge w:val="continue"/>
            <w:noWrap w:val="0"/>
            <w:vAlign w:val="center"/>
          </w:tcPr>
          <w:p w14:paraId="7560C4F0">
            <w:pPr>
              <w:keepNext w:val="0"/>
              <w:keepLines w:val="0"/>
              <w:pageBreakBefore w:val="0"/>
              <w:widowControl w:val="0"/>
              <w:suppressAutoHyphens/>
              <w:kinsoku/>
              <w:wordWrap/>
              <w:bidi w:val="0"/>
              <w:adjustRightInd/>
              <w:snapToGrid/>
              <w:spacing w:beforeAutospacing="0" w:after="0" w:line="260" w:lineRule="exact"/>
              <w:jc w:val="center"/>
            </w:pPr>
          </w:p>
        </w:tc>
        <w:tc>
          <w:tcPr>
            <w:tcW w:w="714" w:type="dxa"/>
            <w:vMerge w:val="continue"/>
            <w:noWrap w:val="0"/>
            <w:vAlign w:val="center"/>
          </w:tcPr>
          <w:p w14:paraId="79F231E6">
            <w:pPr>
              <w:keepNext w:val="0"/>
              <w:keepLines w:val="0"/>
              <w:pageBreakBefore w:val="0"/>
              <w:widowControl w:val="0"/>
              <w:suppressAutoHyphens/>
              <w:kinsoku/>
              <w:wordWrap/>
              <w:bidi w:val="0"/>
              <w:adjustRightInd/>
              <w:snapToGrid/>
              <w:spacing w:beforeAutospacing="0" w:after="0" w:line="260" w:lineRule="exact"/>
              <w:jc w:val="center"/>
            </w:pPr>
          </w:p>
        </w:tc>
        <w:tc>
          <w:tcPr>
            <w:tcW w:w="1024" w:type="dxa"/>
            <w:vMerge w:val="continue"/>
            <w:noWrap w:val="0"/>
            <w:vAlign w:val="center"/>
          </w:tcPr>
          <w:p w14:paraId="0F6D89C5">
            <w:pPr>
              <w:keepNext w:val="0"/>
              <w:keepLines w:val="0"/>
              <w:pageBreakBefore w:val="0"/>
              <w:widowControl w:val="0"/>
              <w:suppressAutoHyphens/>
              <w:kinsoku/>
              <w:wordWrap/>
              <w:bidi w:val="0"/>
              <w:adjustRightInd/>
              <w:snapToGrid/>
              <w:spacing w:beforeAutospacing="0" w:after="0" w:line="260" w:lineRule="exact"/>
              <w:jc w:val="center"/>
            </w:pPr>
          </w:p>
        </w:tc>
        <w:tc>
          <w:tcPr>
            <w:tcW w:w="2460" w:type="dxa"/>
            <w:vMerge w:val="continue"/>
            <w:noWrap w:val="0"/>
            <w:vAlign w:val="center"/>
          </w:tcPr>
          <w:p w14:paraId="3F54BC9C">
            <w:pPr>
              <w:keepNext w:val="0"/>
              <w:keepLines w:val="0"/>
              <w:pageBreakBefore w:val="0"/>
              <w:widowControl w:val="0"/>
              <w:suppressAutoHyphens/>
              <w:kinsoku/>
              <w:wordWrap/>
              <w:bidi w:val="0"/>
              <w:adjustRightInd/>
              <w:snapToGrid/>
              <w:spacing w:beforeAutospacing="0" w:after="0" w:line="260" w:lineRule="exact"/>
              <w:jc w:val="center"/>
            </w:pPr>
          </w:p>
        </w:tc>
        <w:tc>
          <w:tcPr>
            <w:tcW w:w="762" w:type="dxa"/>
            <w:vMerge w:val="continue"/>
            <w:noWrap w:val="0"/>
            <w:vAlign w:val="center"/>
          </w:tcPr>
          <w:p w14:paraId="626FEBED">
            <w:pPr>
              <w:keepNext w:val="0"/>
              <w:keepLines w:val="0"/>
              <w:pageBreakBefore w:val="0"/>
              <w:widowControl w:val="0"/>
              <w:suppressAutoHyphens/>
              <w:kinsoku/>
              <w:wordWrap/>
              <w:bidi w:val="0"/>
              <w:adjustRightInd/>
              <w:snapToGrid/>
              <w:spacing w:beforeAutospacing="0" w:after="0" w:line="260" w:lineRule="exact"/>
              <w:jc w:val="center"/>
            </w:pPr>
          </w:p>
        </w:tc>
        <w:tc>
          <w:tcPr>
            <w:tcW w:w="817" w:type="dxa"/>
            <w:vMerge w:val="continue"/>
            <w:noWrap w:val="0"/>
            <w:vAlign w:val="center"/>
          </w:tcPr>
          <w:p w14:paraId="0AD3FB7D">
            <w:pPr>
              <w:keepNext w:val="0"/>
              <w:keepLines w:val="0"/>
              <w:pageBreakBefore w:val="0"/>
              <w:widowControl w:val="0"/>
              <w:suppressAutoHyphens/>
              <w:kinsoku/>
              <w:wordWrap/>
              <w:bidi w:val="0"/>
              <w:adjustRightInd/>
              <w:snapToGrid/>
              <w:spacing w:beforeAutospacing="0" w:after="0" w:line="260" w:lineRule="exact"/>
              <w:jc w:val="center"/>
            </w:pPr>
          </w:p>
        </w:tc>
        <w:tc>
          <w:tcPr>
            <w:tcW w:w="832" w:type="dxa"/>
            <w:vMerge w:val="continue"/>
            <w:noWrap w:val="0"/>
            <w:vAlign w:val="center"/>
          </w:tcPr>
          <w:p w14:paraId="54A0E58D">
            <w:pPr>
              <w:keepNext w:val="0"/>
              <w:keepLines w:val="0"/>
              <w:pageBreakBefore w:val="0"/>
              <w:widowControl w:val="0"/>
              <w:suppressAutoHyphens/>
              <w:kinsoku/>
              <w:wordWrap/>
              <w:bidi w:val="0"/>
              <w:adjustRightInd/>
              <w:snapToGrid/>
              <w:spacing w:beforeAutospacing="0" w:after="0" w:line="260" w:lineRule="exact"/>
              <w:jc w:val="center"/>
            </w:pPr>
          </w:p>
        </w:tc>
        <w:tc>
          <w:tcPr>
            <w:tcW w:w="868" w:type="dxa"/>
            <w:noWrap w:val="0"/>
            <w:vAlign w:val="center"/>
          </w:tcPr>
          <w:p w14:paraId="45136AB1">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市场监管部门</w:t>
            </w:r>
          </w:p>
        </w:tc>
        <w:tc>
          <w:tcPr>
            <w:tcW w:w="1554" w:type="dxa"/>
            <w:noWrap w:val="0"/>
            <w:vAlign w:val="center"/>
          </w:tcPr>
          <w:p w14:paraId="56E1AFC3">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kern w:val="2"/>
                <w:sz w:val="18"/>
                <w:szCs w:val="18"/>
                <w:highlight w:val="none"/>
                <w:lang w:val="en-US" w:eastAsia="zh-CN" w:bidi="ar-SA"/>
              </w:rPr>
            </w:pPr>
            <w:r>
              <w:rPr>
                <w:rFonts w:hint="default" w:ascii="Times New Roman" w:hAnsi="Times New Roman" w:eastAsia="方正仿宋简体" w:cs="Times New Roman"/>
                <w:b w:val="0"/>
                <w:bCs w:val="0"/>
                <w:snapToGrid w:val="0"/>
                <w:color w:val="000000"/>
                <w:sz w:val="18"/>
                <w:szCs w:val="18"/>
                <w:highlight w:val="none"/>
              </w:rPr>
              <w:t>校外培训机构自媒体广告发布情况</w:t>
            </w:r>
            <w:r>
              <w:rPr>
                <w:rFonts w:hint="eastAsia" w:ascii="Times New Roman" w:hAnsi="Times New Roman" w:eastAsia="方正仿宋简体" w:cs="Times New Roman"/>
                <w:b w:val="0"/>
                <w:bCs w:val="0"/>
                <w:snapToGrid w:val="0"/>
                <w:color w:val="000000"/>
                <w:sz w:val="18"/>
                <w:szCs w:val="18"/>
                <w:highlight w:val="none"/>
                <w:lang w:eastAsia="zh-CN"/>
              </w:rPr>
              <w:t>的检查</w:t>
            </w:r>
          </w:p>
        </w:tc>
        <w:tc>
          <w:tcPr>
            <w:tcW w:w="914" w:type="dxa"/>
            <w:vMerge w:val="continue"/>
            <w:noWrap w:val="0"/>
            <w:vAlign w:val="center"/>
          </w:tcPr>
          <w:p w14:paraId="1EEB5357">
            <w:pPr>
              <w:keepNext w:val="0"/>
              <w:keepLines w:val="0"/>
              <w:pageBreakBefore w:val="0"/>
              <w:widowControl w:val="0"/>
              <w:suppressAutoHyphens/>
              <w:kinsoku/>
              <w:wordWrap/>
              <w:bidi w:val="0"/>
              <w:adjustRightInd/>
              <w:snapToGrid/>
              <w:spacing w:beforeAutospacing="0" w:after="0" w:line="260" w:lineRule="exact"/>
              <w:jc w:val="center"/>
              <w:rPr>
                <w:rFonts w:hint="default" w:ascii="Times New Roman" w:hAnsi="Times New Roman" w:eastAsia="方正仿宋简体" w:cs="Times New Roman"/>
                <w:b w:val="0"/>
                <w:bCs w:val="0"/>
                <w:snapToGrid w:val="0"/>
                <w:color w:val="000000"/>
                <w:sz w:val="18"/>
                <w:szCs w:val="18"/>
                <w:highlight w:val="none"/>
              </w:rPr>
            </w:pPr>
          </w:p>
        </w:tc>
      </w:tr>
      <w:tr w14:paraId="12338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562" w:type="dxa"/>
            <w:noWrap w:val="0"/>
            <w:vAlign w:val="center"/>
          </w:tcPr>
          <w:p w14:paraId="3ABB16A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2</w:t>
            </w:r>
          </w:p>
        </w:tc>
        <w:tc>
          <w:tcPr>
            <w:tcW w:w="1035" w:type="dxa"/>
            <w:noWrap w:val="0"/>
            <w:vAlign w:val="center"/>
          </w:tcPr>
          <w:p w14:paraId="0F43A0D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城乡生活污水处理设施污染防治情况抽查</w:t>
            </w:r>
          </w:p>
          <w:p w14:paraId="0996D360">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2030" w:type="dxa"/>
            <w:noWrap w:val="0"/>
            <w:vAlign w:val="center"/>
          </w:tcPr>
          <w:p w14:paraId="29F30473">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对城乡生活污水处理设施的建设进度、运营情况和排污口的检查</w:t>
            </w:r>
          </w:p>
          <w:p w14:paraId="322C0BF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1114" w:type="dxa"/>
            <w:noWrap w:val="0"/>
            <w:vAlign w:val="center"/>
          </w:tcPr>
          <w:p w14:paraId="613D9EC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城乡污水处理厂（站）</w:t>
            </w:r>
          </w:p>
          <w:p w14:paraId="733D431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714" w:type="dxa"/>
            <w:noWrap w:val="0"/>
            <w:vAlign w:val="center"/>
          </w:tcPr>
          <w:p w14:paraId="6E75E95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一般检查事项</w:t>
            </w:r>
          </w:p>
          <w:p w14:paraId="533C901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1024" w:type="dxa"/>
            <w:noWrap w:val="0"/>
            <w:vAlign w:val="center"/>
          </w:tcPr>
          <w:p w14:paraId="77498C9B">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生态环境部门</w:t>
            </w:r>
          </w:p>
          <w:p w14:paraId="335D7CC2">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2460" w:type="dxa"/>
            <w:noWrap w:val="0"/>
            <w:vAlign w:val="center"/>
          </w:tcPr>
          <w:p w14:paraId="6CEC03D3">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按照《中华人民共和国水污染防</w:t>
            </w:r>
          </w:p>
          <w:p w14:paraId="3338A5B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治法》等要求实施。</w:t>
            </w:r>
          </w:p>
          <w:p w14:paraId="404AB116">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762" w:type="dxa"/>
            <w:noWrap w:val="0"/>
            <w:vAlign w:val="center"/>
          </w:tcPr>
          <w:p w14:paraId="0EA3C08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现场检查</w:t>
            </w:r>
          </w:p>
          <w:p w14:paraId="6B62301B">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817" w:type="dxa"/>
            <w:noWrap w:val="0"/>
            <w:vAlign w:val="center"/>
          </w:tcPr>
          <w:p w14:paraId="3F4CFF33">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市</w:t>
            </w:r>
          </w:p>
          <w:p w14:paraId="4F14415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832" w:type="dxa"/>
            <w:noWrap w:val="0"/>
            <w:vAlign w:val="center"/>
          </w:tcPr>
          <w:p w14:paraId="0575227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市、县</w:t>
            </w:r>
            <w:r>
              <w:rPr>
                <w:rFonts w:hint="default" w:eastAsia="宋体"/>
                <w:sz w:val="18"/>
                <w:szCs w:val="18"/>
                <w:lang w:val="en-US" w:eastAsia="zh-CN"/>
              </w:rPr>
              <w:t>(</w:t>
            </w:r>
            <w:r>
              <w:rPr>
                <w:rFonts w:hint="eastAsia" w:eastAsia="宋体"/>
                <w:sz w:val="18"/>
                <w:szCs w:val="18"/>
                <w:lang w:val="en-US" w:eastAsia="zh-CN"/>
              </w:rPr>
              <w:t>区</w:t>
            </w:r>
            <w:r>
              <w:rPr>
                <w:rFonts w:hint="default" w:eastAsia="宋体"/>
                <w:sz w:val="18"/>
                <w:szCs w:val="18"/>
                <w:lang w:val="en-US" w:eastAsia="zh-CN"/>
              </w:rPr>
              <w:t>)</w:t>
            </w:r>
          </w:p>
          <w:p w14:paraId="0BD72E90">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868" w:type="dxa"/>
            <w:noWrap w:val="0"/>
            <w:vAlign w:val="center"/>
          </w:tcPr>
          <w:p w14:paraId="2C6D288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住房城乡</w:t>
            </w:r>
          </w:p>
          <w:p w14:paraId="7BC2719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建设部门</w:t>
            </w:r>
          </w:p>
          <w:p w14:paraId="228BC78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1554" w:type="dxa"/>
            <w:noWrap w:val="0"/>
            <w:vAlign w:val="center"/>
          </w:tcPr>
          <w:p w14:paraId="43FE7963">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城镇生活污水处理设施运维情况及管网配套情 况的检查</w:t>
            </w:r>
          </w:p>
          <w:p w14:paraId="5DEF048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914" w:type="dxa"/>
            <w:noWrap w:val="0"/>
            <w:vAlign w:val="center"/>
          </w:tcPr>
          <w:p w14:paraId="25DF720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部委清单</w:t>
            </w:r>
          </w:p>
          <w:p w14:paraId="5788D57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序号</w:t>
            </w:r>
            <w:r>
              <w:rPr>
                <w:rFonts w:hint="default" w:eastAsia="宋体"/>
                <w:sz w:val="18"/>
                <w:szCs w:val="18"/>
                <w:lang w:val="en-US" w:eastAsia="zh-CN"/>
              </w:rPr>
              <w:t>30</w:t>
            </w:r>
          </w:p>
          <w:p w14:paraId="1DA66D7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r>
      <w:tr w14:paraId="0D85F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562" w:type="dxa"/>
            <w:vMerge w:val="restart"/>
            <w:noWrap w:val="0"/>
            <w:vAlign w:val="center"/>
          </w:tcPr>
          <w:p w14:paraId="2AB5C91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3</w:t>
            </w:r>
          </w:p>
        </w:tc>
        <w:tc>
          <w:tcPr>
            <w:tcW w:w="1035" w:type="dxa"/>
            <w:vMerge w:val="restart"/>
            <w:noWrap w:val="0"/>
            <w:vAlign w:val="center"/>
          </w:tcPr>
          <w:p w14:paraId="7D7B5550">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定向</w:t>
            </w:r>
          </w:p>
        </w:tc>
        <w:tc>
          <w:tcPr>
            <w:tcW w:w="2030" w:type="dxa"/>
            <w:vMerge w:val="restart"/>
            <w:noWrap w:val="0"/>
            <w:vAlign w:val="center"/>
          </w:tcPr>
          <w:p w14:paraId="1807911D">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r>
              <w:rPr>
                <w:rFonts w:hint="eastAsia" w:ascii="方正仿宋_GBK" w:hAnsi="方正仿宋_GBK" w:eastAsia="方正仿宋_GBK" w:cs="方正仿宋_GBK"/>
                <w:snapToGrid w:val="0"/>
                <w:color w:val="000000"/>
                <w:kern w:val="0"/>
                <w:sz w:val="18"/>
                <w:szCs w:val="18"/>
                <w:lang w:val="en-US" w:eastAsia="zh-CN" w:bidi="ar"/>
              </w:rPr>
              <w:t>宾馆、旅店取得许可证、 卫生情况的检查</w:t>
            </w:r>
          </w:p>
          <w:p w14:paraId="34336BE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p>
        </w:tc>
        <w:tc>
          <w:tcPr>
            <w:tcW w:w="1114" w:type="dxa"/>
            <w:vMerge w:val="restart"/>
            <w:noWrap w:val="0"/>
            <w:vAlign w:val="center"/>
          </w:tcPr>
          <w:p w14:paraId="49710340">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r>
              <w:rPr>
                <w:rFonts w:hint="eastAsia" w:ascii="方正仿宋_GBK" w:hAnsi="方正仿宋_GBK" w:eastAsia="方正仿宋_GBK" w:cs="方正仿宋_GBK"/>
                <w:snapToGrid w:val="0"/>
                <w:color w:val="000000"/>
                <w:kern w:val="0"/>
                <w:sz w:val="18"/>
                <w:szCs w:val="18"/>
                <w:lang w:val="en-US" w:eastAsia="zh-CN" w:bidi="ar"/>
              </w:rPr>
              <w:t>宾馆、旅店</w:t>
            </w:r>
          </w:p>
        </w:tc>
        <w:tc>
          <w:tcPr>
            <w:tcW w:w="714" w:type="dxa"/>
            <w:vMerge w:val="restart"/>
            <w:noWrap w:val="0"/>
            <w:vAlign w:val="center"/>
          </w:tcPr>
          <w:p w14:paraId="549080ED">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一般检查事项</w:t>
            </w:r>
          </w:p>
        </w:tc>
        <w:tc>
          <w:tcPr>
            <w:tcW w:w="1024" w:type="dxa"/>
            <w:vMerge w:val="restart"/>
            <w:noWrap w:val="0"/>
            <w:vAlign w:val="center"/>
          </w:tcPr>
          <w:p w14:paraId="4F9E1490">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县卫生健康局</w:t>
            </w:r>
          </w:p>
        </w:tc>
        <w:tc>
          <w:tcPr>
            <w:tcW w:w="2460" w:type="dxa"/>
            <w:vMerge w:val="restart"/>
            <w:noWrap w:val="0"/>
            <w:vAlign w:val="center"/>
          </w:tcPr>
          <w:p w14:paraId="63036B0E">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r>
              <w:rPr>
                <w:rFonts w:hint="eastAsia" w:ascii="方正仿宋_GBK" w:hAnsi="方正仿宋_GBK" w:eastAsia="方正仿宋_GBK" w:cs="方正仿宋_GBK"/>
                <w:snapToGrid w:val="0"/>
                <w:color w:val="000000"/>
                <w:kern w:val="0"/>
                <w:sz w:val="18"/>
                <w:szCs w:val="18"/>
                <w:lang w:val="en-US" w:eastAsia="zh-CN" w:bidi="ar"/>
              </w:rPr>
              <w:t>宾馆、旅店取得许可证、 卫生情况的检查</w:t>
            </w:r>
          </w:p>
          <w:p w14:paraId="46E7C55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p>
        </w:tc>
        <w:tc>
          <w:tcPr>
            <w:tcW w:w="762" w:type="dxa"/>
            <w:vMerge w:val="restart"/>
            <w:noWrap w:val="0"/>
            <w:vAlign w:val="center"/>
          </w:tcPr>
          <w:p w14:paraId="35271C2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现场检查</w:t>
            </w:r>
          </w:p>
        </w:tc>
        <w:tc>
          <w:tcPr>
            <w:tcW w:w="817" w:type="dxa"/>
            <w:vMerge w:val="restart"/>
            <w:noWrap w:val="0"/>
            <w:vAlign w:val="center"/>
          </w:tcPr>
          <w:p w14:paraId="2930A05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市、县</w:t>
            </w:r>
          </w:p>
        </w:tc>
        <w:tc>
          <w:tcPr>
            <w:tcW w:w="832" w:type="dxa"/>
            <w:vMerge w:val="restart"/>
            <w:noWrap w:val="0"/>
            <w:vAlign w:val="center"/>
          </w:tcPr>
          <w:p w14:paraId="4BF5C11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县</w:t>
            </w:r>
          </w:p>
        </w:tc>
        <w:tc>
          <w:tcPr>
            <w:tcW w:w="868" w:type="dxa"/>
            <w:noWrap w:val="0"/>
            <w:vAlign w:val="center"/>
          </w:tcPr>
          <w:p w14:paraId="01F08A43">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napToGrid w:val="0"/>
                <w:color w:val="000000"/>
                <w:kern w:val="0"/>
                <w:sz w:val="18"/>
                <w:szCs w:val="18"/>
                <w:lang w:val="en-US" w:eastAsia="zh-CN" w:bidi="ar"/>
              </w:rPr>
            </w:pPr>
            <w:r>
              <w:rPr>
                <w:rFonts w:hint="eastAsia" w:ascii="方正仿宋_GBK" w:hAnsi="方正仿宋_GBK" w:eastAsia="方正仿宋_GBK" w:cs="方正仿宋_GBK"/>
                <w:snapToGrid w:val="0"/>
                <w:color w:val="000000"/>
                <w:kern w:val="0"/>
                <w:sz w:val="18"/>
                <w:szCs w:val="18"/>
                <w:lang w:val="en-US" w:eastAsia="zh-CN" w:bidi="ar"/>
              </w:rPr>
              <w:t>县市场监管局</w:t>
            </w:r>
          </w:p>
          <w:p w14:paraId="6E4D6E3A">
            <w:pPr>
              <w:keepNext w:val="0"/>
              <w:keepLines w:val="0"/>
              <w:pageBreakBefore w:val="0"/>
              <w:widowControl/>
              <w:suppressLineNumbers w:val="0"/>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p>
          <w:p w14:paraId="798784F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p>
        </w:tc>
        <w:tc>
          <w:tcPr>
            <w:tcW w:w="1554" w:type="dxa"/>
            <w:noWrap w:val="0"/>
            <w:vAlign w:val="center"/>
          </w:tcPr>
          <w:p w14:paraId="12357F9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lang w:val="en-US" w:eastAsia="zh-CN"/>
              </w:rPr>
            </w:pPr>
            <w:r>
              <w:rPr>
                <w:rFonts w:hint="eastAsia" w:ascii="方正仿宋_GBK" w:hAnsi="方正仿宋_GBK" w:eastAsia="方正仿宋_GBK" w:cs="方正仿宋_GBK"/>
                <w:sz w:val="18"/>
                <w:szCs w:val="18"/>
              </w:rPr>
              <w:t>年度报告公示信息的检</w:t>
            </w:r>
            <w:r>
              <w:rPr>
                <w:rFonts w:hint="eastAsia" w:ascii="方正仿宋_GBK" w:hAnsi="方正仿宋_GBK" w:eastAsia="方正仿宋_GBK" w:cs="方正仿宋_GBK"/>
                <w:sz w:val="18"/>
                <w:szCs w:val="18"/>
                <w:lang w:eastAsia="zh-CN"/>
              </w:rPr>
              <w:t>查</w:t>
            </w:r>
          </w:p>
        </w:tc>
        <w:tc>
          <w:tcPr>
            <w:tcW w:w="914" w:type="dxa"/>
            <w:vMerge w:val="restart"/>
            <w:noWrap w:val="0"/>
            <w:vAlign w:val="center"/>
          </w:tcPr>
          <w:p w14:paraId="600E5A8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部委清</w:t>
            </w:r>
            <w:r>
              <w:rPr>
                <w:rFonts w:hint="eastAsia" w:ascii="方正仿宋_GBK" w:hAnsi="方正仿宋_GBK" w:eastAsia="方正仿宋_GBK" w:cs="方正仿宋_GBK"/>
                <w:sz w:val="18"/>
                <w:szCs w:val="18"/>
                <w:lang w:val="en-US" w:eastAsia="zh-CN"/>
              </w:rPr>
              <w:t>单</w:t>
            </w:r>
            <w:r>
              <w:rPr>
                <w:rFonts w:hint="eastAsia" w:ascii="方正仿宋_GBK" w:hAnsi="方正仿宋_GBK" w:eastAsia="方正仿宋_GBK" w:cs="方正仿宋_GBK"/>
                <w:sz w:val="18"/>
                <w:szCs w:val="18"/>
              </w:rPr>
              <w:t>序号4</w:t>
            </w:r>
          </w:p>
        </w:tc>
      </w:tr>
      <w:tr w14:paraId="24B55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562" w:type="dxa"/>
            <w:vMerge w:val="continue"/>
            <w:noWrap w:val="0"/>
            <w:vAlign w:val="center"/>
          </w:tcPr>
          <w:p w14:paraId="5245B037">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1035" w:type="dxa"/>
            <w:vMerge w:val="continue"/>
            <w:noWrap w:val="0"/>
            <w:vAlign w:val="center"/>
          </w:tcPr>
          <w:p w14:paraId="5418DDC9">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2030" w:type="dxa"/>
            <w:vMerge w:val="continue"/>
            <w:noWrap w:val="0"/>
            <w:vAlign w:val="center"/>
          </w:tcPr>
          <w:p w14:paraId="6ADF8666">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1114" w:type="dxa"/>
            <w:vMerge w:val="continue"/>
            <w:noWrap w:val="0"/>
            <w:vAlign w:val="center"/>
          </w:tcPr>
          <w:p w14:paraId="670676B0">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714" w:type="dxa"/>
            <w:vMerge w:val="continue"/>
            <w:noWrap w:val="0"/>
            <w:vAlign w:val="center"/>
          </w:tcPr>
          <w:p w14:paraId="4A558C43">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1024" w:type="dxa"/>
            <w:vMerge w:val="continue"/>
            <w:noWrap w:val="0"/>
            <w:vAlign w:val="center"/>
          </w:tcPr>
          <w:p w14:paraId="04BD7C9B">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2460" w:type="dxa"/>
            <w:vMerge w:val="continue"/>
            <w:noWrap w:val="0"/>
            <w:vAlign w:val="center"/>
          </w:tcPr>
          <w:p w14:paraId="2DB13B4E">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762" w:type="dxa"/>
            <w:vMerge w:val="continue"/>
            <w:noWrap w:val="0"/>
            <w:vAlign w:val="center"/>
          </w:tcPr>
          <w:p w14:paraId="2CD456C6">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817" w:type="dxa"/>
            <w:vMerge w:val="continue"/>
            <w:noWrap w:val="0"/>
            <w:vAlign w:val="center"/>
          </w:tcPr>
          <w:p w14:paraId="556978B4">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832" w:type="dxa"/>
            <w:vMerge w:val="continue"/>
            <w:noWrap w:val="0"/>
            <w:vAlign w:val="center"/>
          </w:tcPr>
          <w:p w14:paraId="479C7F1F">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868" w:type="dxa"/>
            <w:noWrap w:val="0"/>
            <w:vAlign w:val="center"/>
          </w:tcPr>
          <w:p w14:paraId="18FE9B3A">
            <w:pPr>
              <w:keepNext w:val="0"/>
              <w:keepLines w:val="0"/>
              <w:widowControl/>
              <w:suppressLineNumbers w:val="0"/>
              <w:jc w:val="center"/>
              <w:rPr>
                <w:rFonts w:hint="eastAsia" w:ascii="方正仿宋_GBK" w:hAnsi="方正仿宋_GBK" w:eastAsia="方正仿宋_GBK" w:cs="方正仿宋_GBK"/>
                <w:snapToGrid w:val="0"/>
                <w:color w:val="000000"/>
                <w:kern w:val="0"/>
                <w:sz w:val="18"/>
                <w:szCs w:val="18"/>
                <w:lang w:val="en-US" w:eastAsia="zh-CN" w:bidi="ar"/>
              </w:rPr>
            </w:pPr>
            <w:r>
              <w:rPr>
                <w:rFonts w:hint="eastAsia" w:ascii="方正仿宋_GBK" w:hAnsi="方正仿宋_GBK" w:eastAsia="方正仿宋_GBK" w:cs="方正仿宋_GBK"/>
                <w:snapToGrid w:val="0"/>
                <w:color w:val="000000"/>
                <w:kern w:val="0"/>
                <w:sz w:val="18"/>
                <w:szCs w:val="18"/>
                <w:lang w:val="en-US" w:eastAsia="zh-CN" w:bidi="ar"/>
              </w:rPr>
              <w:t>县公安局</w:t>
            </w:r>
          </w:p>
          <w:p w14:paraId="5155A314">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1554" w:type="dxa"/>
            <w:noWrap w:val="0"/>
            <w:vAlign w:val="center"/>
          </w:tcPr>
          <w:p w14:paraId="5170B919">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b/>
                <w:bCs/>
              </w:rPr>
            </w:pPr>
            <w:r>
              <w:rPr>
                <w:rFonts w:hint="eastAsia" w:ascii="方正仿宋_GBK" w:hAnsi="方正仿宋_GBK" w:eastAsia="方正仿宋_GBK" w:cs="方正仿宋_GBK"/>
                <w:sz w:val="18"/>
                <w:szCs w:val="18"/>
                <w:lang w:val="en-US" w:eastAsia="zh-CN"/>
              </w:rPr>
              <w:t>住宿人员登记情况，治安防范情况检查</w:t>
            </w:r>
          </w:p>
        </w:tc>
        <w:tc>
          <w:tcPr>
            <w:tcW w:w="914" w:type="dxa"/>
            <w:vMerge w:val="continue"/>
            <w:noWrap w:val="0"/>
            <w:vAlign w:val="center"/>
          </w:tcPr>
          <w:p w14:paraId="1127C4DA">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r>
      <w:tr w14:paraId="0B59C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562" w:type="dxa"/>
            <w:vMerge w:val="continue"/>
            <w:noWrap w:val="0"/>
            <w:vAlign w:val="center"/>
          </w:tcPr>
          <w:p w14:paraId="23A62A6F">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1035" w:type="dxa"/>
            <w:vMerge w:val="continue"/>
            <w:noWrap w:val="0"/>
            <w:vAlign w:val="center"/>
          </w:tcPr>
          <w:p w14:paraId="71D66A7E">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2030" w:type="dxa"/>
            <w:vMerge w:val="continue"/>
            <w:noWrap w:val="0"/>
            <w:vAlign w:val="center"/>
          </w:tcPr>
          <w:p w14:paraId="2ED0CB48">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1114" w:type="dxa"/>
            <w:vMerge w:val="continue"/>
            <w:noWrap w:val="0"/>
            <w:vAlign w:val="center"/>
          </w:tcPr>
          <w:p w14:paraId="4F7608B2">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714" w:type="dxa"/>
            <w:vMerge w:val="continue"/>
            <w:noWrap w:val="0"/>
            <w:vAlign w:val="center"/>
          </w:tcPr>
          <w:p w14:paraId="60492F2E">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1024" w:type="dxa"/>
            <w:vMerge w:val="continue"/>
            <w:noWrap w:val="0"/>
            <w:vAlign w:val="center"/>
          </w:tcPr>
          <w:p w14:paraId="769B88D0">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2460" w:type="dxa"/>
            <w:vMerge w:val="continue"/>
            <w:noWrap w:val="0"/>
            <w:vAlign w:val="center"/>
          </w:tcPr>
          <w:p w14:paraId="00F1CECC">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762" w:type="dxa"/>
            <w:vMerge w:val="continue"/>
            <w:noWrap w:val="0"/>
            <w:vAlign w:val="center"/>
          </w:tcPr>
          <w:p w14:paraId="29796444">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817" w:type="dxa"/>
            <w:vMerge w:val="continue"/>
            <w:noWrap w:val="0"/>
            <w:vAlign w:val="center"/>
          </w:tcPr>
          <w:p w14:paraId="48FF0F71">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832" w:type="dxa"/>
            <w:vMerge w:val="continue"/>
            <w:noWrap w:val="0"/>
            <w:vAlign w:val="center"/>
          </w:tcPr>
          <w:p w14:paraId="7AED47A7">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c>
          <w:tcPr>
            <w:tcW w:w="868" w:type="dxa"/>
            <w:noWrap w:val="0"/>
            <w:vAlign w:val="center"/>
          </w:tcPr>
          <w:p w14:paraId="19558A74">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eastAsia" w:ascii="方正仿宋_GBK" w:hAnsi="方正仿宋_GBK" w:eastAsia="方正仿宋_GBK" w:cs="方正仿宋_GBK"/>
                <w:snapToGrid w:val="0"/>
                <w:color w:val="000000"/>
                <w:kern w:val="0"/>
                <w:sz w:val="18"/>
                <w:szCs w:val="18"/>
                <w:lang w:val="en-US" w:eastAsia="zh-CN" w:bidi="ar"/>
              </w:rPr>
              <w:t>县消防救援大队</w:t>
            </w:r>
          </w:p>
        </w:tc>
        <w:tc>
          <w:tcPr>
            <w:tcW w:w="1554" w:type="dxa"/>
            <w:noWrap w:val="0"/>
            <w:vAlign w:val="center"/>
          </w:tcPr>
          <w:p w14:paraId="26C5DE5B">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r>
              <w:rPr>
                <w:rFonts w:hint="eastAsia" w:ascii="方正仿宋_GBK" w:hAnsi="方正仿宋_GBK" w:eastAsia="方正仿宋_GBK" w:cs="方正仿宋_GBK"/>
                <w:sz w:val="18"/>
                <w:szCs w:val="18"/>
                <w:lang w:val="en-US" w:eastAsia="zh-CN"/>
              </w:rPr>
              <w:t>对宾馆、饭店履行消防安全主体责任情况检查。</w:t>
            </w:r>
          </w:p>
        </w:tc>
        <w:tc>
          <w:tcPr>
            <w:tcW w:w="914" w:type="dxa"/>
            <w:vMerge w:val="continue"/>
            <w:noWrap w:val="0"/>
            <w:vAlign w:val="center"/>
          </w:tcPr>
          <w:p w14:paraId="1D8E2975">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pPr>
          </w:p>
        </w:tc>
      </w:tr>
      <w:tr w14:paraId="2FBA0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562" w:type="dxa"/>
            <w:noWrap w:val="0"/>
            <w:vAlign w:val="center"/>
          </w:tcPr>
          <w:p w14:paraId="70D5033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4</w:t>
            </w:r>
          </w:p>
        </w:tc>
        <w:tc>
          <w:tcPr>
            <w:tcW w:w="1035" w:type="dxa"/>
            <w:noWrap w:val="0"/>
            <w:vAlign w:val="center"/>
          </w:tcPr>
          <w:p w14:paraId="4592CAC3">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工业企业安全生产情况抽查</w:t>
            </w:r>
          </w:p>
        </w:tc>
        <w:tc>
          <w:tcPr>
            <w:tcW w:w="2030" w:type="dxa"/>
            <w:noWrap w:val="0"/>
            <w:vAlign w:val="center"/>
          </w:tcPr>
          <w:p w14:paraId="5C81C0A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工业企业安全生产情况的检</w:t>
            </w:r>
          </w:p>
        </w:tc>
        <w:tc>
          <w:tcPr>
            <w:tcW w:w="1114" w:type="dxa"/>
            <w:noWrap w:val="0"/>
            <w:vAlign w:val="center"/>
          </w:tcPr>
          <w:p w14:paraId="1E26E19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查工业企业</w:t>
            </w:r>
          </w:p>
        </w:tc>
        <w:tc>
          <w:tcPr>
            <w:tcW w:w="714" w:type="dxa"/>
            <w:noWrap w:val="0"/>
            <w:vAlign w:val="center"/>
          </w:tcPr>
          <w:p w14:paraId="127A857D">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重点检查事项</w:t>
            </w:r>
          </w:p>
        </w:tc>
        <w:tc>
          <w:tcPr>
            <w:tcW w:w="1024" w:type="dxa"/>
            <w:noWrap w:val="0"/>
            <w:vAlign w:val="center"/>
          </w:tcPr>
          <w:p w14:paraId="668FD1F6">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应急管理部门</w:t>
            </w:r>
          </w:p>
        </w:tc>
        <w:tc>
          <w:tcPr>
            <w:tcW w:w="2460" w:type="dxa"/>
            <w:noWrap w:val="0"/>
            <w:vAlign w:val="center"/>
          </w:tcPr>
          <w:p w14:paraId="40C5AFB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1.企业是否按规定取得相应许可证情况。2.工业企业的安全生产主体责 任、法律、法规、规章、制度等落实情况</w:t>
            </w:r>
          </w:p>
        </w:tc>
        <w:tc>
          <w:tcPr>
            <w:tcW w:w="762" w:type="dxa"/>
            <w:noWrap w:val="0"/>
            <w:vAlign w:val="center"/>
          </w:tcPr>
          <w:p w14:paraId="3E79003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查阅安全生产资料、实地现场检查</w:t>
            </w:r>
          </w:p>
        </w:tc>
        <w:tc>
          <w:tcPr>
            <w:tcW w:w="817" w:type="dxa"/>
            <w:noWrap w:val="0"/>
            <w:vAlign w:val="center"/>
          </w:tcPr>
          <w:p w14:paraId="17868EC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县</w:t>
            </w:r>
          </w:p>
        </w:tc>
        <w:tc>
          <w:tcPr>
            <w:tcW w:w="832" w:type="dxa"/>
            <w:noWrap w:val="0"/>
            <w:vAlign w:val="center"/>
          </w:tcPr>
          <w:p w14:paraId="5F1C77AD">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县</w:t>
            </w:r>
          </w:p>
        </w:tc>
        <w:tc>
          <w:tcPr>
            <w:tcW w:w="868" w:type="dxa"/>
            <w:noWrap w:val="0"/>
            <w:vAlign w:val="center"/>
          </w:tcPr>
          <w:p w14:paraId="0156B7E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县市场监管部门</w:t>
            </w:r>
          </w:p>
        </w:tc>
        <w:tc>
          <w:tcPr>
            <w:tcW w:w="1554" w:type="dxa"/>
            <w:noWrap w:val="0"/>
            <w:vAlign w:val="center"/>
          </w:tcPr>
          <w:p w14:paraId="4CB0EA6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en-US"/>
              </w:rPr>
            </w:pPr>
            <w:r>
              <w:rPr>
                <w:rFonts w:hint="default" w:eastAsia="宋体"/>
                <w:sz w:val="18"/>
                <w:szCs w:val="18"/>
                <w:lang w:val="en-US" w:eastAsia="zh-CN"/>
              </w:rPr>
              <w:t>特种设备使用单位的检查</w:t>
            </w:r>
          </w:p>
        </w:tc>
        <w:tc>
          <w:tcPr>
            <w:tcW w:w="914" w:type="dxa"/>
            <w:noWrap w:val="0"/>
            <w:vAlign w:val="center"/>
          </w:tcPr>
          <w:p w14:paraId="41CD9229">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r>
      <w:tr w14:paraId="27778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562" w:type="dxa"/>
            <w:noWrap w:val="0"/>
            <w:vAlign w:val="center"/>
          </w:tcPr>
          <w:p w14:paraId="5897CA2D">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5</w:t>
            </w:r>
          </w:p>
        </w:tc>
        <w:tc>
          <w:tcPr>
            <w:tcW w:w="1035" w:type="dxa"/>
            <w:noWrap w:val="0"/>
            <w:vAlign w:val="center"/>
          </w:tcPr>
          <w:p w14:paraId="55CD1DE0">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房地产市场抽查</w:t>
            </w:r>
          </w:p>
          <w:p w14:paraId="279557C3">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2030" w:type="dxa"/>
            <w:noWrap w:val="0"/>
            <w:vAlign w:val="center"/>
          </w:tcPr>
          <w:p w14:paraId="21C7C49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对房地产开发企业经营行为监督检查</w:t>
            </w:r>
          </w:p>
        </w:tc>
        <w:tc>
          <w:tcPr>
            <w:tcW w:w="1114" w:type="dxa"/>
            <w:noWrap w:val="0"/>
            <w:vAlign w:val="center"/>
          </w:tcPr>
          <w:p w14:paraId="4616DD6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p>
          <w:p w14:paraId="1AA0AB8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房地产开 发企业</w:t>
            </w:r>
          </w:p>
          <w:p w14:paraId="5268591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p>
          <w:p w14:paraId="628B3DE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714" w:type="dxa"/>
            <w:noWrap w:val="0"/>
            <w:vAlign w:val="center"/>
          </w:tcPr>
          <w:p w14:paraId="6406008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p>
          <w:p w14:paraId="09BC345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一般检查事项</w:t>
            </w:r>
          </w:p>
          <w:p w14:paraId="5F032959">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1024" w:type="dxa"/>
            <w:noWrap w:val="0"/>
            <w:vAlign w:val="center"/>
          </w:tcPr>
          <w:p w14:paraId="2C177F30">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住房城乡建设部门</w:t>
            </w:r>
          </w:p>
        </w:tc>
        <w:tc>
          <w:tcPr>
            <w:tcW w:w="2460" w:type="dxa"/>
            <w:noWrap w:val="0"/>
            <w:vAlign w:val="center"/>
          </w:tcPr>
          <w:p w14:paraId="6B99E01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房地产开发企业的经营活动是否符合合房地产开发相关规定。</w:t>
            </w:r>
          </w:p>
          <w:p w14:paraId="7DEA5B06">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762" w:type="dxa"/>
            <w:noWrap w:val="0"/>
            <w:vAlign w:val="center"/>
          </w:tcPr>
          <w:p w14:paraId="76A7B5AD">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现场检查、书面检查、网络检查</w:t>
            </w:r>
          </w:p>
        </w:tc>
        <w:tc>
          <w:tcPr>
            <w:tcW w:w="817" w:type="dxa"/>
            <w:noWrap w:val="0"/>
            <w:vAlign w:val="center"/>
          </w:tcPr>
          <w:p w14:paraId="7E57922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县</w:t>
            </w:r>
          </w:p>
        </w:tc>
        <w:tc>
          <w:tcPr>
            <w:tcW w:w="832" w:type="dxa"/>
            <w:noWrap w:val="0"/>
            <w:vAlign w:val="center"/>
          </w:tcPr>
          <w:p w14:paraId="6D1989E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县</w:t>
            </w:r>
          </w:p>
        </w:tc>
        <w:tc>
          <w:tcPr>
            <w:tcW w:w="868" w:type="dxa"/>
            <w:noWrap w:val="0"/>
            <w:vAlign w:val="center"/>
          </w:tcPr>
          <w:p w14:paraId="48BDE8E6">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市场监管部门</w:t>
            </w:r>
          </w:p>
        </w:tc>
        <w:tc>
          <w:tcPr>
            <w:tcW w:w="1554" w:type="dxa"/>
            <w:noWrap w:val="0"/>
            <w:vAlign w:val="center"/>
          </w:tcPr>
          <w:p w14:paraId="0C0A44F2">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房地产开发企业自媒体广告发布情况的检查</w:t>
            </w:r>
          </w:p>
        </w:tc>
        <w:tc>
          <w:tcPr>
            <w:tcW w:w="914" w:type="dxa"/>
            <w:noWrap w:val="0"/>
            <w:vAlign w:val="center"/>
          </w:tcPr>
          <w:p w14:paraId="653E1CB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部委清单序号27</w:t>
            </w:r>
          </w:p>
        </w:tc>
      </w:tr>
      <w:tr w14:paraId="1B2CF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562" w:type="dxa"/>
            <w:noWrap w:val="0"/>
            <w:vAlign w:val="center"/>
          </w:tcPr>
          <w:p w14:paraId="0256FA62">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6</w:t>
            </w:r>
          </w:p>
        </w:tc>
        <w:tc>
          <w:tcPr>
            <w:tcW w:w="1035" w:type="dxa"/>
            <w:noWrap w:val="0"/>
            <w:vAlign w:val="center"/>
          </w:tcPr>
          <w:p w14:paraId="0C78761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p>
          <w:p w14:paraId="3EB1345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房地产市 场抽查</w:t>
            </w:r>
          </w:p>
          <w:p w14:paraId="0B087929">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p>
          <w:p w14:paraId="51F3EEBB">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2030" w:type="dxa"/>
            <w:noWrap w:val="0"/>
            <w:vAlign w:val="center"/>
          </w:tcPr>
          <w:p w14:paraId="2D908EC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对房地产经纪机构和房地产经纪人员的监督检查</w:t>
            </w:r>
          </w:p>
        </w:tc>
        <w:tc>
          <w:tcPr>
            <w:tcW w:w="1114" w:type="dxa"/>
            <w:noWrap w:val="0"/>
            <w:vAlign w:val="center"/>
          </w:tcPr>
          <w:p w14:paraId="2A229CF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房地产经纪机构和房地产经纪人员</w:t>
            </w:r>
          </w:p>
        </w:tc>
        <w:tc>
          <w:tcPr>
            <w:tcW w:w="714" w:type="dxa"/>
            <w:noWrap w:val="0"/>
            <w:vAlign w:val="center"/>
          </w:tcPr>
          <w:p w14:paraId="6B35FD39">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一般检查事项</w:t>
            </w:r>
          </w:p>
          <w:p w14:paraId="698076E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1024" w:type="dxa"/>
            <w:noWrap w:val="0"/>
            <w:vAlign w:val="center"/>
          </w:tcPr>
          <w:p w14:paraId="3024C2C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住房城乡建设部门</w:t>
            </w:r>
          </w:p>
        </w:tc>
        <w:tc>
          <w:tcPr>
            <w:tcW w:w="2460" w:type="dxa"/>
            <w:noWrap w:val="0"/>
            <w:vAlign w:val="center"/>
          </w:tcPr>
          <w:p w14:paraId="334D8272">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房地产经纪人员在岗情况，房地产经纪服务合同签订情况，服务项目、服务内容、收费标准公示情况，提供代办贷款、代办房地产登记等服务情况是否符合规定。</w:t>
            </w:r>
          </w:p>
        </w:tc>
        <w:tc>
          <w:tcPr>
            <w:tcW w:w="762" w:type="dxa"/>
            <w:noWrap w:val="0"/>
            <w:vAlign w:val="center"/>
          </w:tcPr>
          <w:p w14:paraId="5301D05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现场检查、书面检查、网络检查</w:t>
            </w:r>
          </w:p>
        </w:tc>
        <w:tc>
          <w:tcPr>
            <w:tcW w:w="817" w:type="dxa"/>
            <w:noWrap w:val="0"/>
            <w:vAlign w:val="center"/>
          </w:tcPr>
          <w:p w14:paraId="32AD008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县</w:t>
            </w:r>
          </w:p>
        </w:tc>
        <w:tc>
          <w:tcPr>
            <w:tcW w:w="832" w:type="dxa"/>
            <w:noWrap w:val="0"/>
            <w:vAlign w:val="center"/>
          </w:tcPr>
          <w:p w14:paraId="25C9FCB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县</w:t>
            </w:r>
          </w:p>
        </w:tc>
        <w:tc>
          <w:tcPr>
            <w:tcW w:w="868" w:type="dxa"/>
            <w:noWrap w:val="0"/>
            <w:vAlign w:val="center"/>
          </w:tcPr>
          <w:p w14:paraId="5804B4A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市场监管部门</w:t>
            </w:r>
          </w:p>
        </w:tc>
        <w:tc>
          <w:tcPr>
            <w:tcW w:w="1554" w:type="dxa"/>
            <w:noWrap w:val="0"/>
            <w:vAlign w:val="center"/>
          </w:tcPr>
          <w:p w14:paraId="228928F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对经纪机构价格行为的检查</w:t>
            </w:r>
          </w:p>
        </w:tc>
        <w:tc>
          <w:tcPr>
            <w:tcW w:w="914" w:type="dxa"/>
            <w:noWrap w:val="0"/>
            <w:vAlign w:val="center"/>
          </w:tcPr>
          <w:p w14:paraId="3979811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部委清单序号27</w:t>
            </w:r>
          </w:p>
        </w:tc>
      </w:tr>
      <w:tr w14:paraId="20A7A2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562" w:type="dxa"/>
            <w:noWrap w:val="0"/>
            <w:vAlign w:val="center"/>
          </w:tcPr>
          <w:p w14:paraId="32ECF29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7</w:t>
            </w:r>
          </w:p>
        </w:tc>
        <w:tc>
          <w:tcPr>
            <w:tcW w:w="1035" w:type="dxa"/>
            <w:noWrap w:val="0"/>
            <w:vAlign w:val="center"/>
          </w:tcPr>
          <w:p w14:paraId="3CC9435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物业服务抽查</w:t>
            </w:r>
          </w:p>
          <w:p w14:paraId="4485BF6A">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2030" w:type="dxa"/>
            <w:noWrap w:val="0"/>
            <w:vAlign w:val="center"/>
          </w:tcPr>
          <w:p w14:paraId="6C27438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对物业服务企业的监督检查</w:t>
            </w:r>
          </w:p>
        </w:tc>
        <w:tc>
          <w:tcPr>
            <w:tcW w:w="1114" w:type="dxa"/>
            <w:noWrap w:val="0"/>
            <w:vAlign w:val="center"/>
          </w:tcPr>
          <w:p w14:paraId="0EA1D3E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物业服务企业</w:t>
            </w:r>
          </w:p>
        </w:tc>
        <w:tc>
          <w:tcPr>
            <w:tcW w:w="714" w:type="dxa"/>
            <w:noWrap w:val="0"/>
            <w:vAlign w:val="center"/>
          </w:tcPr>
          <w:p w14:paraId="0F99A69B">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一般检查事项</w:t>
            </w:r>
          </w:p>
          <w:p w14:paraId="19CCAD3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p>
        </w:tc>
        <w:tc>
          <w:tcPr>
            <w:tcW w:w="1024" w:type="dxa"/>
            <w:noWrap w:val="0"/>
            <w:vAlign w:val="center"/>
          </w:tcPr>
          <w:p w14:paraId="68A254A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住房城乡建设部门</w:t>
            </w:r>
          </w:p>
        </w:tc>
        <w:tc>
          <w:tcPr>
            <w:tcW w:w="2460" w:type="dxa"/>
            <w:noWrap w:val="0"/>
            <w:vAlign w:val="center"/>
          </w:tcPr>
          <w:p w14:paraId="6F2F351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物业服务企业经营活动是否符合《物业管理条例》《四川省物业管理条例》的规定。</w:t>
            </w:r>
          </w:p>
        </w:tc>
        <w:tc>
          <w:tcPr>
            <w:tcW w:w="762" w:type="dxa"/>
            <w:noWrap w:val="0"/>
            <w:vAlign w:val="center"/>
          </w:tcPr>
          <w:p w14:paraId="7DD39DE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现场检查、书面检查、网络检查</w:t>
            </w:r>
          </w:p>
        </w:tc>
        <w:tc>
          <w:tcPr>
            <w:tcW w:w="817" w:type="dxa"/>
            <w:noWrap w:val="0"/>
            <w:vAlign w:val="center"/>
          </w:tcPr>
          <w:p w14:paraId="66EB742D">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县</w:t>
            </w:r>
          </w:p>
        </w:tc>
        <w:tc>
          <w:tcPr>
            <w:tcW w:w="832" w:type="dxa"/>
            <w:noWrap w:val="0"/>
            <w:vAlign w:val="center"/>
          </w:tcPr>
          <w:p w14:paraId="330D7E16">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县</w:t>
            </w:r>
          </w:p>
        </w:tc>
        <w:tc>
          <w:tcPr>
            <w:tcW w:w="868" w:type="dxa"/>
            <w:noWrap w:val="0"/>
            <w:vAlign w:val="center"/>
          </w:tcPr>
          <w:p w14:paraId="235C9FA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市场监管部门</w:t>
            </w:r>
          </w:p>
        </w:tc>
        <w:tc>
          <w:tcPr>
            <w:tcW w:w="1554" w:type="dxa"/>
            <w:noWrap w:val="0"/>
            <w:vAlign w:val="center"/>
          </w:tcPr>
          <w:p w14:paraId="3893A52B">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电梯等特种设备使用安全管理的检查</w:t>
            </w:r>
          </w:p>
        </w:tc>
        <w:tc>
          <w:tcPr>
            <w:tcW w:w="914" w:type="dxa"/>
            <w:noWrap w:val="0"/>
            <w:vAlign w:val="center"/>
          </w:tcPr>
          <w:p w14:paraId="102C58B2">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部委清单序号27</w:t>
            </w:r>
          </w:p>
        </w:tc>
      </w:tr>
      <w:tr w14:paraId="3443A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jc w:val="center"/>
        </w:trPr>
        <w:tc>
          <w:tcPr>
            <w:tcW w:w="562" w:type="dxa"/>
            <w:noWrap w:val="0"/>
            <w:vAlign w:val="center"/>
          </w:tcPr>
          <w:p w14:paraId="5A086031">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8</w:t>
            </w:r>
          </w:p>
        </w:tc>
        <w:tc>
          <w:tcPr>
            <w:tcW w:w="1035" w:type="dxa"/>
            <w:noWrap w:val="0"/>
            <w:vAlign w:val="center"/>
          </w:tcPr>
          <w:p w14:paraId="51E9808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建筑市场抽查</w:t>
            </w:r>
          </w:p>
        </w:tc>
        <w:tc>
          <w:tcPr>
            <w:tcW w:w="2030" w:type="dxa"/>
            <w:noWrap w:val="0"/>
            <w:vAlign w:val="center"/>
          </w:tcPr>
          <w:p w14:paraId="1A970769">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对建筑“两工地"起重机械设备质量以及检测机构持续满足许可情况的监督检查。</w:t>
            </w:r>
          </w:p>
        </w:tc>
        <w:tc>
          <w:tcPr>
            <w:tcW w:w="1114" w:type="dxa"/>
            <w:noWrap w:val="0"/>
            <w:vAlign w:val="center"/>
          </w:tcPr>
          <w:p w14:paraId="68F05457">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租赁、安装、拆卸、使用建筑起重机械的单位</w:t>
            </w:r>
          </w:p>
        </w:tc>
        <w:tc>
          <w:tcPr>
            <w:tcW w:w="714" w:type="dxa"/>
            <w:noWrap w:val="0"/>
            <w:vAlign w:val="center"/>
          </w:tcPr>
          <w:p w14:paraId="0507B40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重点检查事项</w:t>
            </w:r>
          </w:p>
        </w:tc>
        <w:tc>
          <w:tcPr>
            <w:tcW w:w="1024" w:type="dxa"/>
            <w:noWrap w:val="0"/>
            <w:vAlign w:val="center"/>
          </w:tcPr>
          <w:p w14:paraId="021281C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住房城乡建设部门</w:t>
            </w:r>
          </w:p>
        </w:tc>
        <w:tc>
          <w:tcPr>
            <w:tcW w:w="2460" w:type="dxa"/>
            <w:noWrap w:val="0"/>
            <w:vAlign w:val="center"/>
          </w:tcPr>
          <w:p w14:paraId="5A1D238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起重机械设备使用是否违反《建筑起重机械安全监督管理规定》第十七条、第二十八条、第二十九条、第三十条、第三十一条、第三十二条、第三十三条等规定</w:t>
            </w:r>
          </w:p>
        </w:tc>
        <w:tc>
          <w:tcPr>
            <w:tcW w:w="762" w:type="dxa"/>
            <w:noWrap w:val="0"/>
            <w:vAlign w:val="center"/>
          </w:tcPr>
          <w:p w14:paraId="790B8E66">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现场检查</w:t>
            </w:r>
          </w:p>
        </w:tc>
        <w:tc>
          <w:tcPr>
            <w:tcW w:w="817" w:type="dxa"/>
            <w:noWrap w:val="0"/>
            <w:vAlign w:val="center"/>
          </w:tcPr>
          <w:p w14:paraId="1EBAA4B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县</w:t>
            </w:r>
          </w:p>
        </w:tc>
        <w:tc>
          <w:tcPr>
            <w:tcW w:w="832" w:type="dxa"/>
            <w:noWrap w:val="0"/>
            <w:vAlign w:val="center"/>
          </w:tcPr>
          <w:p w14:paraId="5B6053D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县</w:t>
            </w:r>
          </w:p>
        </w:tc>
        <w:tc>
          <w:tcPr>
            <w:tcW w:w="868" w:type="dxa"/>
            <w:noWrap w:val="0"/>
            <w:vAlign w:val="center"/>
          </w:tcPr>
          <w:p w14:paraId="4D70FEF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市场监管部门</w:t>
            </w:r>
          </w:p>
        </w:tc>
        <w:tc>
          <w:tcPr>
            <w:tcW w:w="1554" w:type="dxa"/>
            <w:noWrap w:val="0"/>
            <w:vAlign w:val="center"/>
          </w:tcPr>
          <w:p w14:paraId="24D4DB7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eastAsia" w:eastAsia="宋体"/>
                <w:sz w:val="18"/>
                <w:szCs w:val="18"/>
                <w:lang w:val="en-US" w:eastAsia="zh-CN"/>
              </w:rPr>
              <w:t>“两工地”起重机械检验机构持续满足许可情况检查</w:t>
            </w:r>
          </w:p>
        </w:tc>
        <w:tc>
          <w:tcPr>
            <w:tcW w:w="914" w:type="dxa"/>
            <w:noWrap w:val="0"/>
            <w:vAlign w:val="center"/>
          </w:tcPr>
          <w:p w14:paraId="6FB6143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eastAsia" w:eastAsia="宋体"/>
                <w:sz w:val="18"/>
                <w:szCs w:val="18"/>
                <w:lang w:val="en-US" w:eastAsia="zh-CN"/>
              </w:rPr>
              <w:t>部委清单序号28</w:t>
            </w:r>
          </w:p>
        </w:tc>
      </w:tr>
      <w:tr w14:paraId="752E1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jc w:val="center"/>
        </w:trPr>
        <w:tc>
          <w:tcPr>
            <w:tcW w:w="562" w:type="dxa"/>
            <w:noWrap w:val="0"/>
            <w:vAlign w:val="center"/>
          </w:tcPr>
          <w:p w14:paraId="7C9F57F8">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eastAsia" w:eastAsia="宋体"/>
                <w:sz w:val="18"/>
                <w:szCs w:val="18"/>
                <w:lang w:val="en-US" w:eastAsia="zh-CN"/>
              </w:rPr>
              <w:t>9</w:t>
            </w:r>
          </w:p>
        </w:tc>
        <w:tc>
          <w:tcPr>
            <w:tcW w:w="1035" w:type="dxa"/>
            <w:noWrap w:val="0"/>
            <w:vAlign w:val="center"/>
          </w:tcPr>
          <w:p w14:paraId="02C019F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default" w:eastAsia="宋体"/>
                <w:sz w:val="18"/>
                <w:szCs w:val="18"/>
                <w:lang w:val="en-US" w:eastAsia="zh-CN"/>
              </w:rPr>
              <w:t>燃气经营抽查</w:t>
            </w:r>
          </w:p>
        </w:tc>
        <w:tc>
          <w:tcPr>
            <w:tcW w:w="2030" w:type="dxa"/>
            <w:noWrap w:val="0"/>
            <w:vAlign w:val="center"/>
          </w:tcPr>
          <w:p w14:paraId="4987954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default" w:eastAsia="宋体"/>
                <w:sz w:val="18"/>
                <w:szCs w:val="18"/>
                <w:lang w:val="en-US" w:eastAsia="zh-CN"/>
              </w:rPr>
              <w:t>对燃气经营许可证取得情况和燃气安全生产经营管理情况的监督检查</w:t>
            </w:r>
          </w:p>
        </w:tc>
        <w:tc>
          <w:tcPr>
            <w:tcW w:w="1114" w:type="dxa"/>
            <w:noWrap w:val="0"/>
            <w:vAlign w:val="center"/>
          </w:tcPr>
          <w:p w14:paraId="7CE19E1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default" w:eastAsia="宋体"/>
                <w:sz w:val="18"/>
                <w:szCs w:val="18"/>
                <w:lang w:val="en-US" w:eastAsia="zh-CN"/>
              </w:rPr>
              <w:t>燃气企业</w:t>
            </w:r>
          </w:p>
        </w:tc>
        <w:tc>
          <w:tcPr>
            <w:tcW w:w="714" w:type="dxa"/>
            <w:noWrap w:val="0"/>
            <w:vAlign w:val="center"/>
          </w:tcPr>
          <w:p w14:paraId="7E013EEF">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default" w:eastAsia="宋体"/>
                <w:sz w:val="18"/>
                <w:szCs w:val="18"/>
                <w:lang w:val="en-US" w:eastAsia="zh-CN"/>
              </w:rPr>
              <w:t>重点检查事项</w:t>
            </w:r>
          </w:p>
        </w:tc>
        <w:tc>
          <w:tcPr>
            <w:tcW w:w="1024" w:type="dxa"/>
            <w:noWrap w:val="0"/>
            <w:vAlign w:val="center"/>
          </w:tcPr>
          <w:p w14:paraId="3F1BA072">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default" w:eastAsia="宋体"/>
                <w:sz w:val="18"/>
                <w:szCs w:val="18"/>
                <w:lang w:val="en-US" w:eastAsia="zh-CN"/>
              </w:rPr>
              <w:t>盐边县综合行政执法局</w:t>
            </w:r>
          </w:p>
        </w:tc>
        <w:tc>
          <w:tcPr>
            <w:tcW w:w="2460" w:type="dxa"/>
            <w:noWrap w:val="0"/>
            <w:vAlign w:val="center"/>
          </w:tcPr>
          <w:p w14:paraId="18C5F3A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default" w:eastAsia="宋体"/>
                <w:sz w:val="18"/>
                <w:szCs w:val="18"/>
                <w:lang w:val="en-US" w:eastAsia="zh-CN"/>
              </w:rPr>
              <w:t>1.是否取得燃气经营许可证；2燃气经营许可证是否在有效期内；3.是否在许可证所规定的经营范围内进行经营活动；4.燃气安全生产经营管理情况是否符合规定。</w:t>
            </w:r>
          </w:p>
        </w:tc>
        <w:tc>
          <w:tcPr>
            <w:tcW w:w="762" w:type="dxa"/>
            <w:noWrap w:val="0"/>
            <w:vAlign w:val="center"/>
          </w:tcPr>
          <w:p w14:paraId="6F35B56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default" w:eastAsia="宋体"/>
                <w:sz w:val="18"/>
                <w:szCs w:val="18"/>
                <w:lang w:val="en-US" w:eastAsia="zh-CN"/>
              </w:rPr>
              <w:t>现场检查、书面检查、网络检查</w:t>
            </w:r>
          </w:p>
        </w:tc>
        <w:tc>
          <w:tcPr>
            <w:tcW w:w="817" w:type="dxa"/>
            <w:noWrap w:val="0"/>
            <w:vAlign w:val="center"/>
          </w:tcPr>
          <w:p w14:paraId="6D9AD7B5">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default" w:eastAsia="宋体"/>
                <w:sz w:val="18"/>
                <w:szCs w:val="18"/>
                <w:lang w:val="en-US" w:eastAsia="zh-CN"/>
              </w:rPr>
              <w:t>县</w:t>
            </w:r>
          </w:p>
        </w:tc>
        <w:tc>
          <w:tcPr>
            <w:tcW w:w="832" w:type="dxa"/>
            <w:noWrap w:val="0"/>
            <w:vAlign w:val="center"/>
          </w:tcPr>
          <w:p w14:paraId="029A5D5D">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default" w:eastAsia="宋体"/>
                <w:sz w:val="18"/>
                <w:szCs w:val="18"/>
                <w:lang w:val="en-US" w:eastAsia="zh-CN"/>
              </w:rPr>
              <w:t>县</w:t>
            </w:r>
          </w:p>
        </w:tc>
        <w:tc>
          <w:tcPr>
            <w:tcW w:w="868" w:type="dxa"/>
            <w:noWrap w:val="0"/>
            <w:vAlign w:val="center"/>
          </w:tcPr>
          <w:p w14:paraId="099FDBF4">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zh-CN"/>
              </w:rPr>
            </w:pPr>
            <w:r>
              <w:rPr>
                <w:rFonts w:hint="default" w:eastAsia="宋体"/>
                <w:sz w:val="18"/>
                <w:szCs w:val="18"/>
                <w:lang w:val="en-US" w:eastAsia="zh-CN"/>
              </w:rPr>
              <w:t>盐边县市场监督管理局</w:t>
            </w:r>
          </w:p>
        </w:tc>
        <w:tc>
          <w:tcPr>
            <w:tcW w:w="1554" w:type="dxa"/>
            <w:noWrap w:val="0"/>
            <w:vAlign w:val="center"/>
          </w:tcPr>
          <w:p w14:paraId="4B14742C">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default" w:eastAsia="宋体"/>
                <w:sz w:val="18"/>
                <w:szCs w:val="18"/>
                <w:lang w:val="en-US" w:eastAsia="zh-CN"/>
              </w:rPr>
              <w:t>液化石油气瓶充装单位违法违规充装行为、燃气企业公用燃气管道法定检验情况的检查</w:t>
            </w:r>
          </w:p>
        </w:tc>
        <w:tc>
          <w:tcPr>
            <w:tcW w:w="914" w:type="dxa"/>
            <w:noWrap w:val="0"/>
            <w:vAlign w:val="center"/>
          </w:tcPr>
          <w:p w14:paraId="091FA91E">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default" w:eastAsia="宋体"/>
                <w:sz w:val="18"/>
                <w:szCs w:val="18"/>
                <w:lang w:val="en-US" w:eastAsia="zh-CN"/>
              </w:rPr>
            </w:pPr>
            <w:r>
              <w:rPr>
                <w:rFonts w:hint="default" w:eastAsia="宋体"/>
                <w:sz w:val="18"/>
                <w:szCs w:val="18"/>
                <w:lang w:val="en-US" w:eastAsia="zh-CN"/>
              </w:rPr>
              <w:t>部委清单</w:t>
            </w:r>
          </w:p>
          <w:p w14:paraId="6E3B111B">
            <w:pPr>
              <w:pStyle w:val="5"/>
              <w:keepNext w:val="0"/>
              <w:keepLines w:val="0"/>
              <w:pageBreakBefore w:val="0"/>
              <w:widowControl/>
              <w:kinsoku w:val="0"/>
              <w:wordWrap/>
              <w:overflowPunct/>
              <w:topLinePunct w:val="0"/>
              <w:autoSpaceDE w:val="0"/>
              <w:autoSpaceDN w:val="0"/>
              <w:bidi w:val="0"/>
              <w:adjustRightInd w:val="0"/>
              <w:snapToGrid w:val="0"/>
              <w:jc w:val="center"/>
              <w:textAlignment w:val="center"/>
              <w:rPr>
                <w:rFonts w:hint="eastAsia" w:eastAsia="宋体"/>
                <w:sz w:val="18"/>
                <w:szCs w:val="18"/>
                <w:lang w:val="en-US" w:eastAsia="en-US"/>
              </w:rPr>
            </w:pPr>
            <w:r>
              <w:rPr>
                <w:rFonts w:hint="default" w:eastAsia="宋体"/>
                <w:sz w:val="18"/>
                <w:szCs w:val="18"/>
                <w:lang w:val="en-US" w:eastAsia="zh-CN"/>
              </w:rPr>
              <w:t>序号29</w:t>
            </w:r>
          </w:p>
        </w:tc>
      </w:tr>
    </w:tbl>
    <w:p w14:paraId="4C1FC4E6">
      <w:pPr>
        <w:keepNext w:val="0"/>
        <w:keepLines w:val="0"/>
        <w:pageBreakBefore w:val="0"/>
        <w:widowControl/>
        <w:kinsoku w:val="0"/>
        <w:wordWrap/>
        <w:overflowPunct/>
        <w:topLinePunct w:val="0"/>
        <w:autoSpaceDE w:val="0"/>
        <w:autoSpaceDN w:val="0"/>
        <w:bidi w:val="0"/>
        <w:adjustRightInd w:val="0"/>
        <w:snapToGrid w:val="0"/>
        <w:textAlignment w:val="baseline"/>
        <w:rPr>
          <w:rFonts w:ascii="Arial"/>
          <w:sz w:val="21"/>
        </w:rPr>
      </w:pPr>
    </w:p>
    <w:p w14:paraId="0F1EA0EA">
      <w:pPr>
        <w:keepNext w:val="0"/>
        <w:keepLines w:val="0"/>
        <w:pageBreakBefore w:val="0"/>
        <w:widowControl/>
        <w:kinsoku w:val="0"/>
        <w:wordWrap/>
        <w:overflowPunct/>
        <w:topLinePunct w:val="0"/>
        <w:autoSpaceDE w:val="0"/>
        <w:autoSpaceDN w:val="0"/>
        <w:bidi w:val="0"/>
        <w:adjustRightInd w:val="0"/>
        <w:snapToGrid w:val="0"/>
        <w:textAlignment w:val="baseline"/>
        <w:rPr>
          <w:rFonts w:ascii="Arial" w:hAnsi="Arial" w:eastAsia="Arial" w:cs="Arial"/>
          <w:sz w:val="21"/>
          <w:szCs w:val="21"/>
        </w:rPr>
        <w:sectPr>
          <w:headerReference r:id="rId5" w:type="default"/>
          <w:footerReference r:id="rId6" w:type="default"/>
          <w:pgSz w:w="16840" w:h="11907"/>
          <w:pgMar w:top="400" w:right="1131" w:bottom="1824" w:left="1017" w:header="0" w:footer="1459" w:gutter="0"/>
          <w:cols w:space="720" w:num="1"/>
        </w:sectPr>
      </w:pPr>
    </w:p>
    <w:p w14:paraId="13C1F1DF">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8BA87">
    <w:pPr>
      <w:spacing w:line="234" w:lineRule="auto"/>
      <w:ind w:left="12613"/>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0"/>
        <w:sz w:val="28"/>
        <w:szCs w:val="28"/>
      </w:rPr>
      <w:t xml:space="preserve"> </w:t>
    </w:r>
    <w:r>
      <w:rPr>
        <w:rFonts w:ascii="宋体" w:hAnsi="宋体" w:eastAsia="宋体" w:cs="宋体"/>
        <w:spacing w:val="-10"/>
        <w:sz w:val="28"/>
        <w:szCs w:val="28"/>
      </w:rPr>
      <w:t>19</w:t>
    </w:r>
    <w:r>
      <w:rPr>
        <w:rFonts w:ascii="宋体" w:hAnsi="宋体" w:eastAsia="宋体" w:cs="宋体"/>
        <w:spacing w:val="9"/>
        <w:sz w:val="28"/>
        <w:szCs w:val="28"/>
      </w:rPr>
      <w:t xml:space="preserve"> </w:t>
    </w:r>
    <w:r>
      <w:rPr>
        <w:rFonts w:ascii="宋体" w:hAnsi="宋体" w:eastAsia="宋体" w:cs="宋体"/>
        <w:spacing w:val="-1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9F38">
    <w:pPr>
      <w:spacing w:before="1" w:line="1269" w:lineRule="exact"/>
      <w:ind w:firstLine="20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1A2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2026-08-13T07:03:29Z</dcterms:created>
  <dc:creator>Administrator</dc:creator>
  <cp:lastModifiedBy>梵音</cp:lastModifiedBy>
  <dcterms:modified xsi:type="dcterms:W3CDTF">2026-08-13T07:03:41Z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eyJoZGlkIjoiNmMyNWVhMjE4MDA5NzUyMjg5MzIzMjMxMGIwMzVlMzciLCJ1c2VySWQiOiI2NjQwOTc5MDkifQ==</vt:lpwstr>
  </property>
  <property fmtid="{D5CDD505-2E9C-101B-9397-08002B2CF9AE}" pid="4" name="ICV">
    <vt:lpwstr>6ECCD67353704425826FD0294874E4CF_12</vt:lpwstr>
  </property>
</Properties>
</file>