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0C0244F8">
      <w:pPr>
        <w:spacing w:line="600" w:lineRule="exact"/>
        <w:jc w:val="center"/>
        <w:outlineLvl w:val="0"/>
        <w:rPr>
          <w:rFonts w:ascii="方正小标宋简体" w:hAnsi="宋体" w:eastAsia="方正小标宋简体"/>
          <w:sz w:val="72"/>
          <w:szCs w:val="72"/>
        </w:rPr>
      </w:pPr>
      <w:bookmarkStart w:id="0" w:name="_Toc15396475"/>
      <w:bookmarkStart w:id="1" w:name="_Toc15378441"/>
      <w:bookmarkStart w:id="2" w:name="_Toc15396597"/>
      <w:bookmarkStart w:id="3" w:name="_Toc15377425"/>
      <w:bookmarkStart w:id="4" w:name="_Toc15377193"/>
      <w:bookmarkStart w:id="5" w:name="_Toc15306267"/>
    </w:p>
    <w:p w14:paraId="0C44A8FA">
      <w:pPr>
        <w:pStyle w:val="2"/>
        <w:spacing w:before="93"/>
      </w:pPr>
    </w:p>
    <w:p w14:paraId="34BF3EBF">
      <w:pPr>
        <w:spacing w:line="600" w:lineRule="exact"/>
        <w:jc w:val="center"/>
        <w:outlineLvl w:val="0"/>
        <w:rPr>
          <w:rFonts w:ascii="方正小标宋简体" w:hAnsi="宋体" w:eastAsia="方正小标宋简体"/>
          <w:sz w:val="72"/>
          <w:szCs w:val="72"/>
        </w:rPr>
      </w:pPr>
    </w:p>
    <w:p w14:paraId="561D4809">
      <w:pPr>
        <w:spacing w:line="600" w:lineRule="exact"/>
        <w:jc w:val="center"/>
        <w:outlineLvl w:val="0"/>
        <w:rPr>
          <w:rFonts w:ascii="方正小标宋简体" w:hAnsi="宋体" w:eastAsia="方正小标宋简体"/>
          <w:sz w:val="72"/>
          <w:szCs w:val="72"/>
        </w:rPr>
      </w:pPr>
    </w:p>
    <w:p w14:paraId="594EB22B">
      <w:pPr>
        <w:adjustRightInd w:val="0"/>
        <w:snapToGrid w:val="0"/>
        <w:spacing w:line="360" w:lineRule="auto"/>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2023年度</w:t>
      </w:r>
      <w:bookmarkEnd w:id="0"/>
      <w:bookmarkEnd w:id="1"/>
      <w:bookmarkEnd w:id="2"/>
      <w:bookmarkEnd w:id="3"/>
      <w:bookmarkEnd w:id="4"/>
    </w:p>
    <w:bookmarkEnd w:id="5"/>
    <w:p w14:paraId="4AFFE3E4">
      <w:pPr>
        <w:adjustRightInd w:val="0"/>
        <w:snapToGrid w:val="0"/>
        <w:spacing w:line="360" w:lineRule="auto"/>
        <w:jc w:val="center"/>
        <w:outlineLvl w:val="0"/>
        <w:rPr>
          <w:rFonts w:ascii="方正小标宋简体" w:hAnsi="方正小标宋简体" w:eastAsia="方正小标宋简体" w:cs="方正小标宋简体"/>
          <w:sz w:val="44"/>
          <w:szCs w:val="44"/>
        </w:rPr>
      </w:pPr>
      <w:bookmarkStart w:id="6" w:name="_Toc15378442"/>
      <w:bookmarkStart w:id="7" w:name="_Toc15396598"/>
      <w:bookmarkStart w:id="8" w:name="_Toc15377426"/>
      <w:bookmarkStart w:id="9" w:name="_Toc15306268"/>
      <w:bookmarkStart w:id="10" w:name="_Toc15396476"/>
      <w:bookmarkStart w:id="11" w:name="_Toc15377194"/>
      <w:r>
        <w:rPr>
          <w:rFonts w:hint="eastAsia" w:ascii="方正小标宋简体" w:hAnsi="方正小标宋简体" w:eastAsia="方正小标宋简体" w:cs="方正小标宋简体"/>
          <w:sz w:val="44"/>
          <w:szCs w:val="44"/>
        </w:rPr>
        <w:t>盐边县妇幼保健服务中心</w:t>
      </w:r>
    </w:p>
    <w:p w14:paraId="755E18E1">
      <w:pPr>
        <w:adjustRightInd w:val="0"/>
        <w:snapToGrid w:val="0"/>
        <w:spacing w:line="360" w:lineRule="auto"/>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部门决算</w:t>
      </w:r>
      <w:bookmarkEnd w:id="6"/>
      <w:bookmarkEnd w:id="7"/>
      <w:bookmarkEnd w:id="8"/>
      <w:bookmarkEnd w:id="9"/>
      <w:bookmarkEnd w:id="10"/>
      <w:bookmarkEnd w:id="11"/>
    </w:p>
    <w:p w14:paraId="1E26B4E1">
      <w:pPr>
        <w:adjustRightInd w:val="0"/>
        <w:snapToGrid w:val="0"/>
        <w:spacing w:line="360" w:lineRule="auto"/>
        <w:jc w:val="center"/>
        <w:outlineLvl w:val="0"/>
        <w:rPr>
          <w:rFonts w:ascii="方正小标宋简体" w:hAnsi="宋体" w:eastAsia="方正小标宋简体"/>
          <w:sz w:val="52"/>
          <w:szCs w:val="52"/>
        </w:rPr>
      </w:pPr>
    </w:p>
    <w:p w14:paraId="0AD8EE5F">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1EA42CF3">
      <w:pPr>
        <w:widowControl/>
        <w:jc w:val="center"/>
        <w:rPr>
          <w:rFonts w:ascii="黑体" w:hAnsi="黑体" w:eastAsia="黑体" w:cstheme="minorBidi"/>
          <w:sz w:val="28"/>
          <w:szCs w:val="28"/>
        </w:rPr>
      </w:pPr>
    </w:p>
    <w:p w14:paraId="7B8A4DF3">
      <w:pPr>
        <w:pStyle w:val="11"/>
      </w:pPr>
      <w:r>
        <w:rPr>
          <w:rFonts w:hint="eastAsia"/>
        </w:rPr>
        <w:t>公开时间：</w:t>
      </w:r>
      <w:r>
        <w:rPr>
          <w:rFonts w:hint="eastAsia"/>
          <w:lang w:val="en-US" w:eastAsia="zh-CN"/>
        </w:rPr>
        <w:t>2024</w:t>
      </w:r>
      <w:r>
        <w:rPr>
          <w:rFonts w:hint="eastAsia"/>
        </w:rPr>
        <w:t>年10月 28 日</w:t>
      </w:r>
    </w:p>
    <w:p w14:paraId="7EF92168"/>
    <w:p w14:paraId="3EAC65A9">
      <w:pPr>
        <w:pStyle w:val="11"/>
        <w:adjustRightInd w:val="0"/>
        <w:snapToGrid w:val="0"/>
        <w:spacing w:before="0" w:line="44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第一部分 部门概况</w:t>
      </w:r>
      <w:r>
        <w:rPr>
          <w:rFonts w:hint="eastAsia" w:ascii="宋体" w:hAnsi="宋体" w:eastAsia="宋体" w:cs="宋体"/>
          <w:sz w:val="24"/>
          <w:szCs w:val="24"/>
          <w:highlight w:val="none"/>
        </w:rPr>
        <w:ptab w:relativeTo="margin" w:alignment="right" w:leader="dot"/>
      </w:r>
      <w:r>
        <w:rPr>
          <w:rFonts w:hint="eastAsia" w:ascii="宋体" w:hAnsi="宋体" w:eastAsia="宋体" w:cs="宋体"/>
          <w:sz w:val="24"/>
          <w:szCs w:val="24"/>
          <w:highlight w:val="none"/>
        </w:rPr>
        <w:t>1</w:t>
      </w:r>
    </w:p>
    <w:p w14:paraId="0556A564">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一、部门职责</w:t>
      </w:r>
      <w:r>
        <w:rPr>
          <w:rFonts w:hint="eastAsia" w:ascii="宋体" w:hAnsi="宋体" w:cs="宋体"/>
          <w:sz w:val="24"/>
          <w:highlight w:val="none"/>
        </w:rPr>
        <w:ptab w:relativeTo="margin" w:alignment="right" w:leader="dot"/>
      </w:r>
      <w:r>
        <w:rPr>
          <w:rFonts w:hint="eastAsia" w:ascii="宋体" w:hAnsi="宋体" w:cs="宋体"/>
          <w:sz w:val="24"/>
          <w:highlight w:val="none"/>
        </w:rPr>
        <w:t>1</w:t>
      </w:r>
    </w:p>
    <w:p w14:paraId="3EE5EA31">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二、机构设置</w:t>
      </w:r>
      <w:r>
        <w:rPr>
          <w:rFonts w:hint="eastAsia" w:ascii="宋体" w:hAnsi="宋体" w:cs="宋体"/>
          <w:sz w:val="24"/>
          <w:highlight w:val="none"/>
        </w:rPr>
        <w:tab/>
      </w:r>
      <w:r>
        <w:rPr>
          <w:rFonts w:hint="eastAsia" w:ascii="宋体" w:hAnsi="宋体" w:cs="宋体"/>
          <w:sz w:val="24"/>
          <w:highlight w:val="none"/>
        </w:rPr>
        <w:t>1</w:t>
      </w:r>
    </w:p>
    <w:p w14:paraId="0F26F4A3">
      <w:pPr>
        <w:pStyle w:val="11"/>
        <w:adjustRightInd w:val="0"/>
        <w:snapToGrid w:val="0"/>
        <w:spacing w:before="0" w:line="44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第二部分 2023年度部门决算情况说明</w:t>
      </w:r>
      <w:r>
        <w:rPr>
          <w:rFonts w:hint="eastAsia" w:ascii="宋体" w:hAnsi="宋体" w:eastAsia="宋体" w:cs="宋体"/>
          <w:sz w:val="24"/>
          <w:szCs w:val="24"/>
          <w:highlight w:val="none"/>
        </w:rPr>
        <w:tab/>
      </w:r>
      <w:r>
        <w:rPr>
          <w:rFonts w:hint="eastAsia" w:ascii="宋体" w:hAnsi="宋体" w:eastAsia="宋体" w:cs="宋体"/>
          <w:sz w:val="24"/>
          <w:szCs w:val="24"/>
          <w:highlight w:val="none"/>
        </w:rPr>
        <w:t>2</w:t>
      </w:r>
    </w:p>
    <w:p w14:paraId="14D721A0">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一、收入支出决算总体情况说明</w:t>
      </w:r>
      <w:r>
        <w:rPr>
          <w:rFonts w:hint="eastAsia" w:ascii="宋体" w:hAnsi="宋体" w:cs="宋体"/>
          <w:sz w:val="24"/>
          <w:highlight w:val="none"/>
        </w:rPr>
        <w:tab/>
      </w:r>
      <w:r>
        <w:rPr>
          <w:rFonts w:hint="eastAsia" w:ascii="宋体" w:hAnsi="宋体" w:cs="宋体"/>
          <w:sz w:val="24"/>
          <w:highlight w:val="none"/>
        </w:rPr>
        <w:t>2</w:t>
      </w:r>
    </w:p>
    <w:p w14:paraId="4004AAF1">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二、收入决算情况说明</w:t>
      </w:r>
      <w:r>
        <w:rPr>
          <w:rFonts w:hint="eastAsia" w:ascii="宋体" w:hAnsi="宋体" w:cs="宋体"/>
          <w:sz w:val="24"/>
          <w:highlight w:val="none"/>
        </w:rPr>
        <w:tab/>
      </w:r>
      <w:r>
        <w:rPr>
          <w:rFonts w:hint="eastAsia" w:ascii="宋体" w:hAnsi="宋体" w:cs="宋体"/>
          <w:sz w:val="24"/>
          <w:highlight w:val="none"/>
        </w:rPr>
        <w:t>2</w:t>
      </w:r>
    </w:p>
    <w:p w14:paraId="67BFD7BB">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三、支出决算情况说明</w:t>
      </w:r>
      <w:r>
        <w:rPr>
          <w:rFonts w:hint="eastAsia" w:ascii="宋体" w:hAnsi="宋体" w:cs="宋体"/>
          <w:sz w:val="24"/>
          <w:highlight w:val="none"/>
        </w:rPr>
        <w:tab/>
      </w:r>
      <w:r>
        <w:rPr>
          <w:rFonts w:hint="eastAsia" w:ascii="宋体" w:hAnsi="宋体" w:cs="宋体"/>
          <w:sz w:val="24"/>
          <w:highlight w:val="none"/>
        </w:rPr>
        <w:t>3</w:t>
      </w:r>
    </w:p>
    <w:p w14:paraId="3E5802DF">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四、财政拨款收入支出决算总体情况说明</w:t>
      </w:r>
      <w:r>
        <w:rPr>
          <w:rFonts w:hint="eastAsia" w:ascii="宋体" w:hAnsi="宋体" w:cs="宋体"/>
          <w:sz w:val="24"/>
          <w:highlight w:val="none"/>
        </w:rPr>
        <w:tab/>
      </w:r>
      <w:r>
        <w:rPr>
          <w:rFonts w:hint="eastAsia" w:ascii="宋体" w:hAnsi="宋体" w:cs="宋体"/>
          <w:sz w:val="24"/>
          <w:highlight w:val="none"/>
        </w:rPr>
        <w:t>4</w:t>
      </w:r>
    </w:p>
    <w:p w14:paraId="4ADFF3A9">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五、一般公共预算财政拨款支出决算情况说明</w:t>
      </w:r>
      <w:r>
        <w:rPr>
          <w:rFonts w:hint="eastAsia" w:ascii="宋体" w:hAnsi="宋体" w:cs="宋体"/>
          <w:sz w:val="24"/>
          <w:highlight w:val="none"/>
        </w:rPr>
        <w:tab/>
      </w:r>
      <w:r>
        <w:rPr>
          <w:rFonts w:hint="eastAsia" w:ascii="宋体" w:hAnsi="宋体" w:cs="宋体"/>
          <w:sz w:val="24"/>
          <w:highlight w:val="none"/>
        </w:rPr>
        <w:t>4</w:t>
      </w:r>
    </w:p>
    <w:p w14:paraId="3A6E5282">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六、一般公共预算财政拨款基本支出决算情况说明</w:t>
      </w:r>
      <w:r>
        <w:rPr>
          <w:rFonts w:hint="eastAsia" w:ascii="宋体" w:hAnsi="宋体" w:cs="宋体"/>
          <w:sz w:val="24"/>
          <w:highlight w:val="none"/>
        </w:rPr>
        <w:tab/>
      </w:r>
      <w:r>
        <w:rPr>
          <w:rFonts w:hint="eastAsia" w:ascii="宋体" w:hAnsi="宋体" w:cs="宋体"/>
          <w:sz w:val="24"/>
          <w:highlight w:val="none"/>
        </w:rPr>
        <w:t>7</w:t>
      </w:r>
    </w:p>
    <w:p w14:paraId="32662883">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七、财政拨款“三公”经费支出决算情况说明</w:t>
      </w:r>
      <w:r>
        <w:rPr>
          <w:rFonts w:hint="eastAsia" w:ascii="宋体" w:hAnsi="宋体" w:cs="宋体"/>
          <w:sz w:val="24"/>
          <w:highlight w:val="none"/>
        </w:rPr>
        <w:tab/>
      </w:r>
      <w:r>
        <w:rPr>
          <w:rFonts w:hint="eastAsia" w:ascii="宋体" w:hAnsi="宋体" w:cs="宋体"/>
          <w:sz w:val="24"/>
          <w:highlight w:val="none"/>
        </w:rPr>
        <w:t>8</w:t>
      </w:r>
    </w:p>
    <w:p w14:paraId="4C12B99A">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八、政府性基金预算支出决算情况说明</w:t>
      </w:r>
      <w:r>
        <w:rPr>
          <w:rFonts w:hint="eastAsia" w:ascii="宋体" w:hAnsi="宋体" w:cs="宋体"/>
          <w:sz w:val="24"/>
          <w:highlight w:val="none"/>
        </w:rPr>
        <w:tab/>
      </w:r>
      <w:r>
        <w:rPr>
          <w:rFonts w:hint="eastAsia" w:ascii="宋体" w:hAnsi="宋体" w:cs="宋体"/>
          <w:sz w:val="24"/>
          <w:highlight w:val="none"/>
        </w:rPr>
        <w:t>9</w:t>
      </w:r>
    </w:p>
    <w:p w14:paraId="33C243C8">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九、国有资本经营预算支出决算情况说明</w:t>
      </w:r>
      <w:r>
        <w:rPr>
          <w:rFonts w:hint="eastAsia" w:ascii="宋体" w:hAnsi="宋体" w:cs="宋体"/>
          <w:sz w:val="24"/>
          <w:highlight w:val="none"/>
        </w:rPr>
        <w:tab/>
      </w:r>
      <w:r>
        <w:rPr>
          <w:rFonts w:hint="eastAsia" w:ascii="宋体" w:hAnsi="宋体" w:cs="宋体"/>
          <w:sz w:val="24"/>
          <w:highlight w:val="none"/>
        </w:rPr>
        <w:t>9</w:t>
      </w:r>
    </w:p>
    <w:p w14:paraId="51F6C7F7">
      <w:pPr>
        <w:pStyle w:val="12"/>
        <w:adjustRightInd w:val="0"/>
        <w:snapToGrid w:val="0"/>
        <w:spacing w:line="440" w:lineRule="exact"/>
        <w:jc w:val="left"/>
        <w:rPr>
          <w:rFonts w:ascii="宋体" w:hAnsi="宋体" w:cs="宋体"/>
          <w:sz w:val="24"/>
          <w:highlight w:val="none"/>
        </w:rPr>
      </w:pPr>
      <w:r>
        <w:rPr>
          <w:rStyle w:val="17"/>
          <w:rFonts w:hint="eastAsia" w:ascii="宋体" w:hAnsi="宋体" w:cs="宋体"/>
          <w:color w:val="auto"/>
          <w:sz w:val="24"/>
          <w:highlight w:val="none"/>
          <w:u w:val="none"/>
        </w:rPr>
        <w:t>十、</w:t>
      </w:r>
      <w:r>
        <w:rPr>
          <w:rFonts w:hint="eastAsia" w:ascii="宋体" w:hAnsi="宋体" w:cs="宋体"/>
          <w:sz w:val="24"/>
          <w:highlight w:val="none"/>
        </w:rPr>
        <w:t>其他重要事项的情况说明</w:t>
      </w:r>
      <w:r>
        <w:rPr>
          <w:rFonts w:hint="eastAsia" w:ascii="宋体" w:hAnsi="宋体" w:cs="宋体"/>
          <w:sz w:val="24"/>
          <w:highlight w:val="none"/>
        </w:rPr>
        <w:tab/>
      </w:r>
      <w:r>
        <w:rPr>
          <w:rFonts w:hint="eastAsia" w:ascii="宋体" w:hAnsi="宋体" w:cs="宋体"/>
          <w:sz w:val="24"/>
          <w:highlight w:val="none"/>
        </w:rPr>
        <w:t>9</w:t>
      </w:r>
    </w:p>
    <w:p w14:paraId="05E64F4C">
      <w:pPr>
        <w:pStyle w:val="11"/>
        <w:adjustRightInd w:val="0"/>
        <w:snapToGrid w:val="0"/>
        <w:spacing w:before="0" w:line="44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第三部分 名词解释</w:t>
      </w:r>
      <w:r>
        <w:rPr>
          <w:rFonts w:hint="eastAsia" w:ascii="宋体" w:hAnsi="宋体" w:eastAsia="宋体" w:cs="宋体"/>
          <w:sz w:val="24"/>
          <w:szCs w:val="24"/>
          <w:highlight w:val="none"/>
        </w:rPr>
        <w:tab/>
      </w:r>
      <w:r>
        <w:rPr>
          <w:rFonts w:hint="eastAsia" w:ascii="宋体" w:hAnsi="宋体" w:eastAsia="宋体" w:cs="宋体"/>
          <w:sz w:val="24"/>
          <w:szCs w:val="24"/>
          <w:highlight w:val="none"/>
        </w:rPr>
        <w:t>11</w:t>
      </w:r>
    </w:p>
    <w:p w14:paraId="4F77A0E9">
      <w:pPr>
        <w:pStyle w:val="11"/>
        <w:adjustRightInd w:val="0"/>
        <w:snapToGrid w:val="0"/>
        <w:spacing w:before="0" w:line="44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第四部分 附件</w:t>
      </w:r>
      <w:r>
        <w:rPr>
          <w:rFonts w:hint="eastAsia" w:ascii="宋体" w:hAnsi="宋体" w:eastAsia="宋体" w:cs="宋体"/>
          <w:sz w:val="24"/>
          <w:szCs w:val="24"/>
          <w:highlight w:val="none"/>
        </w:rPr>
        <w:tab/>
      </w:r>
      <w:r>
        <w:rPr>
          <w:rFonts w:hint="eastAsia" w:ascii="宋体" w:hAnsi="宋体" w:eastAsia="宋体" w:cs="宋体"/>
          <w:sz w:val="24"/>
          <w:szCs w:val="24"/>
          <w:highlight w:val="none"/>
        </w:rPr>
        <w:t>14</w:t>
      </w:r>
    </w:p>
    <w:p w14:paraId="7E9C5613">
      <w:pPr>
        <w:pStyle w:val="11"/>
        <w:adjustRightInd w:val="0"/>
        <w:snapToGrid w:val="0"/>
        <w:spacing w:before="0" w:line="44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第五部分 附表</w:t>
      </w:r>
      <w:r>
        <w:rPr>
          <w:rFonts w:hint="eastAsia" w:ascii="宋体" w:hAnsi="宋体" w:eastAsia="宋体" w:cs="宋体"/>
          <w:sz w:val="24"/>
          <w:szCs w:val="24"/>
          <w:highlight w:val="none"/>
        </w:rPr>
        <w:tab/>
      </w:r>
      <w:r>
        <w:rPr>
          <w:rFonts w:hint="eastAsia" w:ascii="宋体" w:hAnsi="宋体" w:eastAsia="宋体" w:cs="宋体"/>
          <w:sz w:val="24"/>
          <w:szCs w:val="24"/>
          <w:highlight w:val="none"/>
        </w:rPr>
        <w:t>28</w:t>
      </w:r>
    </w:p>
    <w:p w14:paraId="5137D281">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一、收入支出决算总表</w:t>
      </w:r>
      <w:r>
        <w:rPr>
          <w:rFonts w:hint="eastAsia" w:ascii="宋体" w:hAnsi="宋体" w:cs="宋体"/>
          <w:sz w:val="24"/>
          <w:highlight w:val="none"/>
        </w:rPr>
        <w:tab/>
      </w:r>
      <w:r>
        <w:rPr>
          <w:rFonts w:hint="eastAsia" w:ascii="宋体" w:hAnsi="宋体" w:cs="宋体"/>
          <w:sz w:val="24"/>
          <w:highlight w:val="none"/>
        </w:rPr>
        <w:t>28</w:t>
      </w:r>
    </w:p>
    <w:p w14:paraId="2289B715">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二、收入决算表</w:t>
      </w:r>
      <w:r>
        <w:rPr>
          <w:rFonts w:hint="eastAsia" w:ascii="宋体" w:hAnsi="宋体" w:cs="宋体"/>
          <w:sz w:val="24"/>
          <w:highlight w:val="none"/>
        </w:rPr>
        <w:tab/>
      </w:r>
      <w:r>
        <w:rPr>
          <w:rFonts w:hint="eastAsia" w:ascii="宋体" w:hAnsi="宋体" w:cs="宋体"/>
          <w:sz w:val="24"/>
          <w:highlight w:val="none"/>
        </w:rPr>
        <w:t>28</w:t>
      </w:r>
    </w:p>
    <w:p w14:paraId="5E1B3318">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三、支出决算表</w:t>
      </w:r>
      <w:r>
        <w:rPr>
          <w:rFonts w:hint="eastAsia" w:ascii="宋体" w:hAnsi="宋体" w:cs="宋体"/>
          <w:sz w:val="24"/>
          <w:highlight w:val="none"/>
        </w:rPr>
        <w:tab/>
      </w:r>
      <w:r>
        <w:rPr>
          <w:rFonts w:hint="eastAsia" w:ascii="宋体" w:hAnsi="宋体" w:cs="宋体"/>
          <w:sz w:val="24"/>
          <w:highlight w:val="none"/>
        </w:rPr>
        <w:t>28</w:t>
      </w:r>
    </w:p>
    <w:p w14:paraId="59FCDAB2">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四、财政拨款收入支出决算总表</w:t>
      </w:r>
      <w:r>
        <w:rPr>
          <w:rFonts w:hint="eastAsia" w:ascii="宋体" w:hAnsi="宋体" w:cs="宋体"/>
          <w:sz w:val="24"/>
          <w:highlight w:val="none"/>
        </w:rPr>
        <w:tab/>
      </w:r>
      <w:r>
        <w:rPr>
          <w:rFonts w:hint="eastAsia" w:ascii="宋体" w:hAnsi="宋体" w:cs="宋体"/>
          <w:sz w:val="24"/>
          <w:highlight w:val="none"/>
        </w:rPr>
        <w:t>28</w:t>
      </w:r>
    </w:p>
    <w:p w14:paraId="15FC9575">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五、财政拨款支出决算明细表</w:t>
      </w:r>
      <w:r>
        <w:rPr>
          <w:rFonts w:hint="eastAsia" w:ascii="宋体" w:hAnsi="宋体" w:cs="宋体"/>
          <w:sz w:val="24"/>
          <w:highlight w:val="none"/>
        </w:rPr>
        <w:tab/>
      </w:r>
      <w:r>
        <w:rPr>
          <w:rFonts w:hint="eastAsia" w:ascii="宋体" w:hAnsi="宋体" w:cs="宋体"/>
          <w:sz w:val="24"/>
          <w:highlight w:val="none"/>
        </w:rPr>
        <w:t>28</w:t>
      </w:r>
    </w:p>
    <w:p w14:paraId="09D6C172">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六、一般公共预算财政拨款支出决算表</w:t>
      </w:r>
      <w:r>
        <w:rPr>
          <w:rFonts w:hint="eastAsia" w:ascii="宋体" w:hAnsi="宋体" w:cs="宋体"/>
          <w:sz w:val="24"/>
          <w:highlight w:val="none"/>
        </w:rPr>
        <w:tab/>
      </w:r>
      <w:r>
        <w:rPr>
          <w:rFonts w:hint="eastAsia" w:ascii="宋体" w:hAnsi="宋体" w:cs="宋体"/>
          <w:sz w:val="24"/>
          <w:highlight w:val="none"/>
        </w:rPr>
        <w:t>28</w:t>
      </w:r>
    </w:p>
    <w:p w14:paraId="6CDA67E9">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七、一般公共预算财政拨款支出决算明细表</w:t>
      </w:r>
      <w:r>
        <w:rPr>
          <w:rFonts w:hint="eastAsia" w:ascii="宋体" w:hAnsi="宋体" w:cs="宋体"/>
          <w:sz w:val="24"/>
          <w:highlight w:val="none"/>
        </w:rPr>
        <w:tab/>
      </w:r>
      <w:r>
        <w:rPr>
          <w:rFonts w:hint="eastAsia" w:ascii="宋体" w:hAnsi="宋体" w:cs="宋体"/>
          <w:sz w:val="24"/>
          <w:highlight w:val="none"/>
        </w:rPr>
        <w:t>28</w:t>
      </w:r>
    </w:p>
    <w:p w14:paraId="3949257E">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八、一般公共预算财政拨款基本支出决算明细表</w:t>
      </w:r>
      <w:r>
        <w:rPr>
          <w:rFonts w:hint="eastAsia" w:ascii="宋体" w:hAnsi="宋体" w:cs="宋体"/>
          <w:sz w:val="24"/>
          <w:highlight w:val="none"/>
        </w:rPr>
        <w:tab/>
      </w:r>
      <w:r>
        <w:rPr>
          <w:rFonts w:hint="eastAsia" w:ascii="宋体" w:hAnsi="宋体" w:cs="宋体"/>
          <w:sz w:val="24"/>
          <w:highlight w:val="none"/>
        </w:rPr>
        <w:t>28</w:t>
      </w:r>
    </w:p>
    <w:p w14:paraId="555791ED">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九、一般公共预算财政拨款项目支出决算表</w:t>
      </w:r>
      <w:r>
        <w:rPr>
          <w:rFonts w:hint="eastAsia" w:ascii="宋体" w:hAnsi="宋体" w:cs="宋体"/>
          <w:sz w:val="24"/>
          <w:highlight w:val="none"/>
        </w:rPr>
        <w:tab/>
      </w:r>
      <w:r>
        <w:rPr>
          <w:rFonts w:hint="eastAsia" w:ascii="宋体" w:hAnsi="宋体" w:cs="宋体"/>
          <w:sz w:val="24"/>
          <w:highlight w:val="none"/>
        </w:rPr>
        <w:t>28</w:t>
      </w:r>
    </w:p>
    <w:p w14:paraId="0C7C4167">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十、政府性基金预算财政拨款收入支出决算表</w:t>
      </w:r>
      <w:r>
        <w:rPr>
          <w:rFonts w:hint="eastAsia" w:ascii="宋体" w:hAnsi="宋体" w:cs="宋体"/>
          <w:sz w:val="24"/>
          <w:highlight w:val="none"/>
        </w:rPr>
        <w:tab/>
      </w:r>
      <w:r>
        <w:rPr>
          <w:rFonts w:hint="eastAsia" w:ascii="宋体" w:hAnsi="宋体" w:cs="宋体"/>
          <w:sz w:val="24"/>
          <w:highlight w:val="none"/>
        </w:rPr>
        <w:t>28</w:t>
      </w:r>
    </w:p>
    <w:p w14:paraId="2A8E2F66">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十一、国有资本经营预算财政拨款收入支出决算表</w:t>
      </w:r>
      <w:r>
        <w:rPr>
          <w:rFonts w:hint="eastAsia" w:ascii="宋体" w:hAnsi="宋体" w:cs="宋体"/>
          <w:sz w:val="24"/>
          <w:highlight w:val="none"/>
        </w:rPr>
        <w:tab/>
      </w:r>
      <w:r>
        <w:rPr>
          <w:rFonts w:hint="eastAsia" w:ascii="宋体" w:hAnsi="宋体" w:cs="宋体"/>
          <w:sz w:val="24"/>
          <w:highlight w:val="none"/>
        </w:rPr>
        <w:t>28</w:t>
      </w:r>
    </w:p>
    <w:p w14:paraId="684123C7">
      <w:pPr>
        <w:pStyle w:val="12"/>
        <w:adjustRightInd w:val="0"/>
        <w:snapToGrid w:val="0"/>
        <w:spacing w:line="440" w:lineRule="exact"/>
        <w:jc w:val="left"/>
        <w:rPr>
          <w:rFonts w:ascii="宋体" w:hAnsi="宋体" w:cs="宋体"/>
          <w:sz w:val="24"/>
          <w:highlight w:val="none"/>
        </w:rPr>
      </w:pPr>
      <w:r>
        <w:rPr>
          <w:rFonts w:hint="eastAsia" w:ascii="宋体" w:hAnsi="宋体" w:cs="宋体"/>
          <w:sz w:val="24"/>
          <w:highlight w:val="none"/>
        </w:rPr>
        <w:t>十二、国有资本经营预算财政拨款支出决算表</w:t>
      </w:r>
      <w:r>
        <w:rPr>
          <w:rFonts w:hint="eastAsia" w:ascii="宋体" w:hAnsi="宋体" w:cs="宋体"/>
          <w:sz w:val="24"/>
          <w:highlight w:val="none"/>
        </w:rPr>
        <w:tab/>
      </w:r>
      <w:r>
        <w:rPr>
          <w:rFonts w:hint="eastAsia" w:ascii="宋体" w:hAnsi="宋体" w:cs="宋体"/>
          <w:sz w:val="24"/>
          <w:highlight w:val="none"/>
        </w:rPr>
        <w:t>28</w:t>
      </w:r>
    </w:p>
    <w:p w14:paraId="606CF1A7">
      <w:pPr>
        <w:pStyle w:val="12"/>
        <w:adjustRightInd w:val="0"/>
        <w:snapToGrid w:val="0"/>
        <w:spacing w:line="440" w:lineRule="exact"/>
        <w:jc w:val="left"/>
        <w:rPr>
          <w:rFonts w:ascii="宋体" w:hAnsi="宋体" w:cs="宋体"/>
          <w:sz w:val="24"/>
        </w:rPr>
      </w:pPr>
      <w:r>
        <w:rPr>
          <w:rFonts w:hint="eastAsia" w:ascii="宋体" w:hAnsi="宋体" w:cs="宋体"/>
          <w:sz w:val="24"/>
          <w:highlight w:val="none"/>
        </w:rPr>
        <w:t>十三、财政拨款“三公”经费支出决算表</w:t>
      </w:r>
      <w:bookmarkStart w:id="12" w:name="_Toc15396599"/>
      <w:bookmarkStart w:id="13" w:name="_Toc15377196"/>
      <w:r>
        <w:rPr>
          <w:rFonts w:hint="eastAsia" w:ascii="宋体" w:hAnsi="宋体" w:cs="宋体"/>
          <w:sz w:val="24"/>
          <w:highlight w:val="none"/>
        </w:rPr>
        <w:tab/>
      </w:r>
      <w:r>
        <w:rPr>
          <w:rFonts w:hint="eastAsia" w:ascii="宋体" w:hAnsi="宋体" w:cs="宋体"/>
          <w:sz w:val="24"/>
          <w:highlight w:val="none"/>
        </w:rPr>
        <w:t>28</w:t>
      </w:r>
    </w:p>
    <w:p w14:paraId="24E82C3C">
      <w:pPr>
        <w:pStyle w:val="3"/>
        <w:jc w:val="center"/>
        <w:rPr>
          <w:rFonts w:ascii="宋体" w:hAnsi="宋体" w:cs="宋体"/>
          <w:b w:val="0"/>
          <w:sz w:val="24"/>
          <w:szCs w:val="24"/>
        </w:rPr>
        <w:sectPr>
          <w:headerReference r:id="rId3" w:type="default"/>
          <w:pgSz w:w="11906" w:h="16838"/>
          <w:pgMar w:top="1440" w:right="1800" w:bottom="1440" w:left="1800" w:header="851" w:footer="992" w:gutter="0"/>
          <w:pgNumType w:start="1"/>
          <w:cols w:space="425" w:num="1"/>
          <w:titlePg/>
          <w:docGrid w:type="lines" w:linePitch="312" w:charSpace="0"/>
        </w:sectPr>
      </w:pPr>
    </w:p>
    <w:p w14:paraId="2DCF5EA5"/>
    <w:p w14:paraId="42C3D252">
      <w:pPr>
        <w:pStyle w:val="3"/>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14:paraId="4F8CB68D">
      <w:pPr>
        <w:widowControl/>
        <w:jc w:val="left"/>
        <w:rPr>
          <w:rFonts w:ascii="黑体" w:eastAsia="黑体"/>
          <w:sz w:val="32"/>
          <w:szCs w:val="32"/>
        </w:rPr>
      </w:pPr>
    </w:p>
    <w:p w14:paraId="0E7E9A25">
      <w:pPr>
        <w:pStyle w:val="4"/>
        <w:numPr>
          <w:ilvl w:val="0"/>
          <w:numId w:val="0"/>
        </w:numPr>
        <w:ind w:firstLine="640" w:firstLineChars="200"/>
        <w:rPr>
          <w:rFonts w:ascii="黑体" w:hAnsi="黑体" w:eastAsia="黑体"/>
          <w:b w:val="0"/>
          <w:highlight w:val="yellow"/>
        </w:rPr>
      </w:pPr>
      <w:r>
        <w:rPr>
          <w:rFonts w:hint="eastAsia" w:ascii="黑体" w:hAnsi="黑体" w:eastAsia="黑体"/>
          <w:b w:val="0"/>
          <w:highlight w:val="none"/>
          <w:lang w:val="en-US" w:eastAsia="zh-CN"/>
        </w:rPr>
        <w:t>一、</w:t>
      </w:r>
      <w:r>
        <w:rPr>
          <w:rFonts w:hint="eastAsia" w:ascii="黑体" w:hAnsi="黑体" w:eastAsia="黑体"/>
          <w:b w:val="0"/>
          <w:highlight w:val="none"/>
        </w:rPr>
        <w:t>部门职责</w:t>
      </w:r>
    </w:p>
    <w:p w14:paraId="2887D50E">
      <w:pPr>
        <w:pStyle w:val="4"/>
        <w:spacing w:line="560" w:lineRule="exact"/>
        <w:ind w:firstLine="640" w:firstLineChars="200"/>
        <w:rPr>
          <w:rFonts w:eastAsia="宋体"/>
        </w:rPr>
      </w:pPr>
      <w:r>
        <w:rPr>
          <w:rFonts w:hint="eastAsia" w:ascii="仿宋" w:hAnsi="仿宋" w:eastAsia="仿宋" w:cs="仿宋"/>
          <w:b w:val="0"/>
          <w:bCs w:val="0"/>
          <w:color w:val="333333"/>
          <w:highlight w:val="none"/>
        </w:rPr>
        <w:t>本</w:t>
      </w:r>
      <w:r>
        <w:rPr>
          <w:rFonts w:hint="eastAsia" w:ascii="仿宋" w:hAnsi="仿宋" w:eastAsia="仿宋" w:cs="仿宋"/>
          <w:b w:val="0"/>
          <w:bCs w:val="0"/>
          <w:color w:val="333333"/>
          <w:highlight w:val="none"/>
          <w:lang w:val="en-US" w:eastAsia="zh-CN"/>
        </w:rPr>
        <w:t>部门</w:t>
      </w:r>
      <w:r>
        <w:rPr>
          <w:rFonts w:hint="eastAsia" w:ascii="仿宋" w:hAnsi="仿宋" w:eastAsia="仿宋" w:cs="仿宋"/>
          <w:b w:val="0"/>
          <w:bCs w:val="0"/>
          <w:color w:val="333333"/>
          <w:highlight w:val="none"/>
        </w:rPr>
        <w:t>以群体保健工作为基础，面向基层、预防为主，主要以</w:t>
      </w:r>
      <w:r>
        <w:rPr>
          <w:rFonts w:hint="eastAsia" w:ascii="仿宋" w:hAnsi="仿宋" w:eastAsia="仿宋" w:cs="仿宋"/>
          <w:b w:val="0"/>
          <w:bCs w:val="0"/>
          <w:color w:val="3D3D3D"/>
          <w:highlight w:val="none"/>
        </w:rPr>
        <w:t>妇</w:t>
      </w:r>
      <w:r>
        <w:rPr>
          <w:rFonts w:hint="eastAsia" w:ascii="仿宋" w:hAnsi="仿宋" w:eastAsia="仿宋" w:cs="仿宋"/>
          <w:b w:val="0"/>
          <w:bCs w:val="0"/>
          <w:color w:val="3D3D3D"/>
        </w:rPr>
        <w:t>女保健、儿童保健、妇产科医疗、儿科医疗、妇幼卫生监测与信息管理、妇幼卫生保健人员培训与技术支持、妇幼保健科学研究、妇幼保健咨询、计划生育技术服务、生育指导与避孕咨询、婚前保健和医学检查、婚前咨询与新婚保健、避孕方法使用和知情选择、计划生育技术和婚前保健服务人员培训与技术支持、计划生育科学研究一系列业务</w:t>
      </w:r>
      <w:r>
        <w:rPr>
          <w:rFonts w:hint="eastAsia" w:ascii="仿宋" w:hAnsi="仿宋" w:eastAsia="仿宋" w:cs="仿宋"/>
          <w:b w:val="0"/>
          <w:bCs w:val="0"/>
          <w:color w:val="333333"/>
        </w:rPr>
        <w:t>。在切实履行公共卫生职责的同时，开展与妇女儿童健康密切相关的基本医疗服务。</w:t>
      </w:r>
    </w:p>
    <w:p w14:paraId="77BC78DF">
      <w:pPr>
        <w:pStyle w:val="4"/>
        <w:ind w:firstLine="640" w:firstLineChars="200"/>
        <w:rPr>
          <w:rStyle w:val="28"/>
          <w:b w:val="0"/>
          <w:bCs w:val="0"/>
          <w:highlight w:val="none"/>
        </w:rPr>
      </w:pPr>
      <w:bookmarkStart w:id="14" w:name="_Toc15396601"/>
      <w:bookmarkStart w:id="15" w:name="_Toc15377200"/>
      <w:r>
        <w:rPr>
          <w:rFonts w:hint="eastAsia" w:ascii="黑体" w:eastAsia="黑体"/>
          <w:b w:val="0"/>
          <w:highlight w:val="none"/>
        </w:rPr>
        <w:t>二、</w:t>
      </w:r>
      <w:r>
        <w:rPr>
          <w:rFonts w:hint="eastAsia" w:ascii="黑体" w:hAnsi="黑体" w:eastAsia="黑体"/>
          <w:b w:val="0"/>
          <w:highlight w:val="none"/>
        </w:rPr>
        <w:t>机</w:t>
      </w:r>
      <w:r>
        <w:rPr>
          <w:rStyle w:val="28"/>
          <w:rFonts w:hint="eastAsia" w:ascii="黑体" w:hAnsi="黑体" w:eastAsia="黑体"/>
          <w:b w:val="0"/>
          <w:bCs w:val="0"/>
          <w:highlight w:val="none"/>
        </w:rPr>
        <w:t>构设置</w:t>
      </w:r>
      <w:bookmarkEnd w:id="14"/>
      <w:bookmarkEnd w:id="15"/>
    </w:p>
    <w:p w14:paraId="02B730A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highlight w:val="none"/>
        </w:rPr>
        <w:t>盐边县妇幼保健服务中心下属二级预算单位1个，其中行政单</w:t>
      </w:r>
      <w:r>
        <w:rPr>
          <w:rFonts w:hint="eastAsia" w:ascii="仿宋" w:hAnsi="仿宋" w:eastAsia="仿宋" w:cs="仿宋"/>
          <w:sz w:val="32"/>
          <w:szCs w:val="32"/>
        </w:rPr>
        <w:t>位0个，参照公务员法管理的事业单位</w:t>
      </w:r>
      <w:r>
        <w:rPr>
          <w:rFonts w:hint="eastAsia" w:ascii="仿宋" w:hAnsi="仿宋" w:eastAsia="仿宋" w:cs="仿宋"/>
          <w:bCs/>
          <w:sz w:val="32"/>
          <w:szCs w:val="32"/>
        </w:rPr>
        <w:t>0</w:t>
      </w:r>
      <w:r>
        <w:rPr>
          <w:rFonts w:hint="eastAsia" w:ascii="仿宋" w:hAnsi="仿宋" w:eastAsia="仿宋" w:cs="仿宋"/>
          <w:sz w:val="32"/>
          <w:szCs w:val="32"/>
        </w:rPr>
        <w:t>个，其他事业单位1个。</w:t>
      </w:r>
    </w:p>
    <w:p w14:paraId="0946AB87">
      <w:pPr>
        <w:pStyle w:val="2"/>
        <w:rPr>
          <w:rFonts w:ascii="仿宋" w:hAnsi="仿宋" w:eastAsia="仿宋" w:cs="仿宋"/>
          <w:kern w:val="2"/>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kern w:val="2"/>
          <w:sz w:val="32"/>
          <w:szCs w:val="32"/>
          <w:lang w:val="en-US" w:eastAsia="zh-CN"/>
        </w:rPr>
        <w:t xml:space="preserve"> 纳入盐边县妇幼保健服务中心2023年度部门决算编制范围的二级预算单位包括：</w:t>
      </w:r>
    </w:p>
    <w:p w14:paraId="7F415093">
      <w:pPr>
        <w:pStyle w:val="2"/>
        <w:keepNext w:val="0"/>
        <w:keepLines w:val="0"/>
        <w:pageBreakBefore w:val="0"/>
        <w:widowControl w:val="0"/>
        <w:numPr>
          <w:ilvl w:val="0"/>
          <w:numId w:val="1"/>
        </w:numPr>
        <w:kinsoku/>
        <w:wordWrap/>
        <w:overflowPunct/>
        <w:topLinePunct w:val="0"/>
        <w:autoSpaceDE/>
        <w:autoSpaceDN/>
        <w:bidi w:val="0"/>
        <w:adjustRightInd w:val="0"/>
        <w:snapToGrid w:val="0"/>
        <w:spacing w:before="93" w:line="480" w:lineRule="auto"/>
        <w:textAlignment w:val="auto"/>
        <w:outlineLvl w:val="2"/>
        <w:rPr>
          <w:rFonts w:ascii="仿宋" w:hAnsi="仿宋" w:eastAsia="仿宋"/>
          <w:sz w:val="32"/>
          <w:szCs w:val="32"/>
        </w:rPr>
      </w:pPr>
      <w:r>
        <w:rPr>
          <w:rFonts w:hint="eastAsia" w:ascii="仿宋" w:hAnsi="仿宋" w:eastAsia="仿宋" w:cs="仿宋"/>
          <w:sz w:val="32"/>
          <w:szCs w:val="32"/>
        </w:rPr>
        <w:t>盐边县妇幼保健服务中心。</w:t>
      </w:r>
    </w:p>
    <w:p w14:paraId="3A200138">
      <w:pPr>
        <w:pStyle w:val="2"/>
        <w:keepNext w:val="0"/>
        <w:keepLines w:val="0"/>
        <w:pageBreakBefore w:val="0"/>
        <w:widowControl w:val="0"/>
        <w:kinsoku/>
        <w:wordWrap/>
        <w:overflowPunct/>
        <w:topLinePunct w:val="0"/>
        <w:autoSpaceDE/>
        <w:autoSpaceDN/>
        <w:bidi w:val="0"/>
        <w:adjustRightInd w:val="0"/>
        <w:snapToGrid w:val="0"/>
        <w:spacing w:before="93" w:line="480" w:lineRule="auto"/>
        <w:ind w:left="672"/>
        <w:textAlignment w:val="auto"/>
        <w:outlineLvl w:val="2"/>
        <w:rPr>
          <w:rFonts w:ascii="仿宋" w:hAnsi="仿宋" w:eastAsia="仿宋"/>
          <w:sz w:val="32"/>
          <w:szCs w:val="32"/>
        </w:rPr>
      </w:pPr>
      <w:r>
        <w:rPr>
          <w:rFonts w:ascii="仿宋" w:hAnsi="仿宋" w:eastAsia="仿宋"/>
          <w:sz w:val="32"/>
          <w:szCs w:val="32"/>
        </w:rPr>
        <w:br w:type="page"/>
      </w:r>
    </w:p>
    <w:p w14:paraId="044C2E28">
      <w:bookmarkStart w:id="16" w:name="_Toc15396602"/>
      <w:bookmarkStart w:id="17" w:name="_Toc15377204"/>
    </w:p>
    <w:p w14:paraId="6F1F6D70">
      <w:pPr>
        <w:pStyle w:val="3"/>
        <w:ind w:right="440"/>
        <w:jc w:val="center"/>
        <w:rPr>
          <w:rStyle w:val="27"/>
          <w:rFonts w:ascii="黑体" w:hAnsi="黑体" w:eastAsia="黑体"/>
          <w:b w:val="0"/>
          <w:bCs/>
        </w:rPr>
      </w:pPr>
      <w:r>
        <w:rPr>
          <w:rFonts w:hint="eastAsia" w:ascii="黑体" w:hAnsi="黑体" w:eastAsia="黑体"/>
          <w:b w:val="0"/>
        </w:rPr>
        <w:t>第二部分 2023年度</w:t>
      </w:r>
      <w:r>
        <w:rPr>
          <w:rStyle w:val="27"/>
          <w:rFonts w:hint="eastAsia" w:ascii="黑体" w:hAnsi="黑体" w:eastAsia="黑体"/>
          <w:b w:val="0"/>
          <w:bCs/>
        </w:rPr>
        <w:t>部门决算情况说明</w:t>
      </w:r>
      <w:bookmarkEnd w:id="16"/>
      <w:bookmarkEnd w:id="17"/>
    </w:p>
    <w:p w14:paraId="6B0EE716"/>
    <w:p w14:paraId="03432431">
      <w:pPr>
        <w:pStyle w:val="26"/>
        <w:numPr>
          <w:ilvl w:val="0"/>
          <w:numId w:val="2"/>
        </w:numPr>
        <w:spacing w:line="600" w:lineRule="exact"/>
        <w:ind w:firstLineChars="0"/>
        <w:outlineLvl w:val="1"/>
        <w:rPr>
          <w:rStyle w:val="28"/>
          <w:rFonts w:ascii="黑体" w:hAnsi="黑体" w:eastAsia="黑体"/>
          <w:b w:val="0"/>
        </w:rPr>
      </w:pPr>
      <w:bookmarkStart w:id="18" w:name="_Toc15396603"/>
      <w:bookmarkStart w:id="19" w:name="_Toc15377205"/>
      <w:r>
        <w:rPr>
          <w:rFonts w:hint="eastAsia" w:ascii="黑体" w:hAnsi="黑体" w:eastAsia="黑体"/>
          <w:sz w:val="32"/>
          <w:szCs w:val="32"/>
        </w:rPr>
        <w:t>收</w:t>
      </w:r>
      <w:r>
        <w:rPr>
          <w:rStyle w:val="28"/>
          <w:rFonts w:hint="eastAsia" w:ascii="黑体" w:hAnsi="黑体" w:eastAsia="黑体"/>
          <w:b w:val="0"/>
        </w:rPr>
        <w:t>入支出决算总体情况说明</w:t>
      </w:r>
      <w:bookmarkEnd w:id="18"/>
      <w:bookmarkEnd w:id="19"/>
    </w:p>
    <w:p w14:paraId="0B41EB5F">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2023年度收、支总计均为</w:t>
      </w:r>
      <w:r>
        <w:rPr>
          <w:rFonts w:hint="eastAsia"/>
          <w:sz w:val="32"/>
          <w:szCs w:val="32"/>
        </w:rPr>
        <w:t>681.14</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与2022年度相比，收、支总计各增加13.64万元，增长2.04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sz w:val="32"/>
          <w:szCs w:val="32"/>
          <w:highlight w:val="none"/>
        </w:rPr>
        <w:t>主要变动原因是</w:t>
      </w:r>
      <w:r>
        <w:rPr>
          <w:rFonts w:eastAsia="仿宋_GB2312"/>
          <w:sz w:val="32"/>
          <w:szCs w:val="32"/>
          <w:highlight w:val="none"/>
        </w:rPr>
        <w:t>一般公共预算财政拨款收入</w:t>
      </w:r>
      <w:r>
        <w:rPr>
          <w:rFonts w:hint="eastAsia" w:eastAsia="仿宋_GB2312"/>
          <w:sz w:val="32"/>
          <w:szCs w:val="32"/>
          <w:highlight w:val="none"/>
          <w:lang w:val="en-US" w:eastAsia="zh-CN"/>
        </w:rPr>
        <w:t>中卫生健康收入</w:t>
      </w:r>
      <w:r>
        <w:rPr>
          <w:rFonts w:eastAsia="仿宋_GB2312"/>
          <w:sz w:val="32"/>
          <w:szCs w:val="32"/>
          <w:highlight w:val="none"/>
        </w:rPr>
        <w:t>增加</w:t>
      </w:r>
      <w:r>
        <w:rPr>
          <w:rFonts w:hint="eastAsia" w:ascii="仿宋" w:hAnsi="仿宋" w:eastAsia="仿宋"/>
          <w:sz w:val="32"/>
          <w:szCs w:val="32"/>
          <w:highlight w:val="none"/>
        </w:rPr>
        <w:t>。</w:t>
      </w:r>
    </w:p>
    <w:p w14:paraId="30F32E70">
      <w:pPr>
        <w:pStyle w:val="18"/>
      </w:pPr>
      <w:r>
        <w:drawing>
          <wp:inline distT="0" distB="0" distL="114300" distR="114300">
            <wp:extent cx="5003165" cy="2661920"/>
            <wp:effectExtent l="4445" t="4445" r="21590" b="1968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84452D7">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：收、支决算总计变动情况图（万元）</w:t>
      </w:r>
    </w:p>
    <w:p w14:paraId="54C80B73">
      <w:pPr>
        <w:spacing w:line="600" w:lineRule="exact"/>
        <w:ind w:firstLine="640" w:firstLineChars="200"/>
        <w:jc w:val="left"/>
        <w:rPr>
          <w:rFonts w:ascii="仿宋_GB2312" w:eastAsia="仿宋_GB2312"/>
          <w:sz w:val="32"/>
          <w:szCs w:val="32"/>
        </w:rPr>
      </w:pPr>
    </w:p>
    <w:p w14:paraId="31334082">
      <w:pPr>
        <w:pStyle w:val="26"/>
        <w:numPr>
          <w:ilvl w:val="0"/>
          <w:numId w:val="2"/>
        </w:numPr>
        <w:spacing w:line="600" w:lineRule="exact"/>
        <w:ind w:firstLineChars="0"/>
        <w:outlineLvl w:val="1"/>
        <w:rPr>
          <w:rStyle w:val="28"/>
          <w:rFonts w:ascii="黑体" w:hAnsi="黑体" w:eastAsia="黑体"/>
          <w:b w:val="0"/>
        </w:rPr>
      </w:pPr>
      <w:bookmarkStart w:id="20" w:name="_Toc15377206"/>
      <w:bookmarkStart w:id="21" w:name="_Toc15396604"/>
      <w:r>
        <w:rPr>
          <w:rFonts w:hint="eastAsia" w:ascii="黑体" w:hAnsi="黑体" w:eastAsia="黑体"/>
          <w:sz w:val="32"/>
          <w:szCs w:val="32"/>
        </w:rPr>
        <w:t>收</w:t>
      </w:r>
      <w:r>
        <w:rPr>
          <w:rStyle w:val="28"/>
          <w:rFonts w:hint="eastAsia" w:ascii="黑体" w:hAnsi="黑体" w:eastAsia="黑体"/>
          <w:b w:val="0"/>
        </w:rPr>
        <w:t>入决算情况说明</w:t>
      </w:r>
      <w:bookmarkEnd w:id="20"/>
      <w:bookmarkEnd w:id="21"/>
    </w:p>
    <w:p w14:paraId="356E6EF9">
      <w:pPr>
        <w:spacing w:line="600" w:lineRule="exact"/>
        <w:ind w:firstLine="640" w:firstLineChars="200"/>
        <w:jc w:val="left"/>
        <w:outlineLvl w:val="1"/>
        <w:rPr>
          <w:rFonts w:ascii="仿宋" w:hAnsi="仿宋" w:eastAsia="仿宋"/>
          <w:sz w:val="32"/>
          <w:szCs w:val="32"/>
        </w:rPr>
      </w:pPr>
      <w:r>
        <w:rPr>
          <w:rFonts w:hint="eastAsia" w:ascii="仿宋" w:hAnsi="仿宋" w:eastAsia="仿宋"/>
          <w:sz w:val="32"/>
          <w:szCs w:val="32"/>
        </w:rPr>
        <w:t>2023年度本年收入合计</w:t>
      </w:r>
      <w:r>
        <w:rPr>
          <w:sz w:val="32"/>
          <w:szCs w:val="32"/>
        </w:rPr>
        <w:t>681.14</w:t>
      </w:r>
      <w:r>
        <w:rPr>
          <w:rFonts w:hint="eastAsia" w:ascii="仿宋" w:hAnsi="仿宋" w:eastAsia="仿宋"/>
          <w:sz w:val="32"/>
          <w:szCs w:val="32"/>
        </w:rPr>
        <w:t>万元，其中：一般公共预算财政拨款收入</w:t>
      </w:r>
      <w:r>
        <w:rPr>
          <w:sz w:val="32"/>
          <w:szCs w:val="32"/>
        </w:rPr>
        <w:t>681.14</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26C55C7C">
      <w:pPr>
        <w:ind w:firstLine="420" w:firstLineChars="200"/>
        <w:outlineLvl w:val="1"/>
        <w:rPr>
          <w:rFonts w:ascii="仿宋" w:hAnsi="仿宋" w:eastAsia="仿宋"/>
          <w:sz w:val="32"/>
          <w:szCs w:val="32"/>
        </w:rPr>
      </w:pPr>
      <w:r>
        <w:drawing>
          <wp:inline distT="0" distB="0" distL="114300" distR="114300">
            <wp:extent cx="4939665" cy="2762250"/>
            <wp:effectExtent l="4445" t="4445" r="8890"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108F31F">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图2：收入决算结构图（万元）</w:t>
      </w:r>
    </w:p>
    <w:p w14:paraId="49C864E3">
      <w:pPr>
        <w:spacing w:line="600" w:lineRule="exact"/>
        <w:ind w:firstLine="640" w:firstLineChars="200"/>
        <w:rPr>
          <w:rFonts w:ascii="仿宋_GB2312" w:eastAsia="仿宋_GB2312"/>
          <w:sz w:val="32"/>
          <w:szCs w:val="32"/>
        </w:rPr>
      </w:pPr>
    </w:p>
    <w:p w14:paraId="6F44FCDF">
      <w:pPr>
        <w:pStyle w:val="26"/>
        <w:numPr>
          <w:ilvl w:val="0"/>
          <w:numId w:val="2"/>
        </w:numPr>
        <w:spacing w:line="600" w:lineRule="exact"/>
        <w:ind w:firstLineChars="0"/>
        <w:outlineLvl w:val="1"/>
        <w:rPr>
          <w:rStyle w:val="28"/>
          <w:rFonts w:ascii="黑体" w:hAnsi="黑体" w:eastAsia="黑体"/>
          <w:b w:val="0"/>
        </w:rPr>
      </w:pPr>
      <w:bookmarkStart w:id="22" w:name="_Toc15377207"/>
      <w:bookmarkStart w:id="23" w:name="_Toc15396605"/>
      <w:r>
        <w:rPr>
          <w:rFonts w:hint="eastAsia" w:ascii="黑体" w:hAnsi="黑体" w:eastAsia="黑体"/>
          <w:sz w:val="32"/>
          <w:szCs w:val="32"/>
        </w:rPr>
        <w:t>支</w:t>
      </w:r>
      <w:r>
        <w:rPr>
          <w:rStyle w:val="28"/>
          <w:rFonts w:hint="eastAsia" w:ascii="黑体" w:hAnsi="黑体" w:eastAsia="黑体"/>
          <w:b w:val="0"/>
        </w:rPr>
        <w:t>出决算情况说明</w:t>
      </w:r>
      <w:bookmarkEnd w:id="22"/>
      <w:bookmarkEnd w:id="23"/>
    </w:p>
    <w:p w14:paraId="4A9716F4">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2023年度本年支出合计</w:t>
      </w:r>
      <w:r>
        <w:rPr>
          <w:sz w:val="32"/>
          <w:szCs w:val="32"/>
        </w:rPr>
        <w:t>681.14</w:t>
      </w:r>
      <w:r>
        <w:rPr>
          <w:rFonts w:hint="eastAsia" w:ascii="仿宋" w:hAnsi="仿宋" w:eastAsia="仿宋"/>
          <w:sz w:val="32"/>
          <w:szCs w:val="32"/>
        </w:rPr>
        <w:t>万元，其中：基本支出</w:t>
      </w:r>
      <w:r>
        <w:rPr>
          <w:sz w:val="32"/>
          <w:szCs w:val="32"/>
        </w:rPr>
        <w:t>566.87</w:t>
      </w:r>
      <w:r>
        <w:rPr>
          <w:rFonts w:hint="eastAsia" w:ascii="仿宋" w:hAnsi="仿宋" w:eastAsia="仿宋"/>
          <w:sz w:val="32"/>
          <w:szCs w:val="32"/>
        </w:rPr>
        <w:t>万元，占</w:t>
      </w:r>
      <w:r>
        <w:rPr>
          <w:sz w:val="32"/>
          <w:szCs w:val="32"/>
        </w:rPr>
        <w:t>83.22</w:t>
      </w:r>
      <w:r>
        <w:rPr>
          <w:rFonts w:ascii="仿宋" w:hAnsi="仿宋" w:eastAsia="仿宋"/>
          <w:sz w:val="32"/>
          <w:szCs w:val="32"/>
        </w:rPr>
        <w:t>%</w:t>
      </w:r>
      <w:r>
        <w:rPr>
          <w:rFonts w:hint="eastAsia" w:ascii="仿宋" w:hAnsi="仿宋" w:eastAsia="仿宋"/>
          <w:sz w:val="32"/>
          <w:szCs w:val="32"/>
        </w:rPr>
        <w:t>；项目支出</w:t>
      </w:r>
      <w:r>
        <w:rPr>
          <w:sz w:val="32"/>
          <w:szCs w:val="32"/>
        </w:rPr>
        <w:t>114.28</w:t>
      </w:r>
      <w:r>
        <w:rPr>
          <w:rFonts w:hint="eastAsia" w:ascii="仿宋" w:hAnsi="仿宋" w:eastAsia="仿宋"/>
          <w:sz w:val="32"/>
          <w:szCs w:val="32"/>
        </w:rPr>
        <w:t>万元，占</w:t>
      </w:r>
      <w:r>
        <w:rPr>
          <w:sz w:val="32"/>
          <w:szCs w:val="32"/>
        </w:rPr>
        <w:t>16.77</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425C9A51">
      <w:pPr>
        <w:ind w:firstLine="641"/>
        <w:rPr>
          <w:rFonts w:ascii="仿宋" w:hAnsi="仿宋" w:eastAsia="仿宋"/>
          <w:sz w:val="32"/>
          <w:szCs w:val="32"/>
          <w:shd w:val="pct10" w:color="auto" w:fill="FFFFFF"/>
        </w:rPr>
      </w:pPr>
      <w:r>
        <w:drawing>
          <wp:inline distT="0" distB="0" distL="114300" distR="114300">
            <wp:extent cx="4769485" cy="2467610"/>
            <wp:effectExtent l="4445" t="5080" r="7620" b="2286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107354B">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图3：支出决算结构图（万元）</w:t>
      </w:r>
    </w:p>
    <w:p w14:paraId="70F2F0F2">
      <w:pPr>
        <w:spacing w:line="600" w:lineRule="exact"/>
        <w:ind w:firstLine="640" w:firstLineChars="200"/>
        <w:rPr>
          <w:rFonts w:ascii="仿宋_GB2312" w:eastAsia="仿宋_GB2312"/>
          <w:sz w:val="32"/>
          <w:szCs w:val="32"/>
        </w:rPr>
      </w:pPr>
    </w:p>
    <w:p w14:paraId="0EFCDA15">
      <w:pPr>
        <w:spacing w:line="600" w:lineRule="exact"/>
        <w:ind w:firstLine="640" w:firstLineChars="200"/>
        <w:outlineLvl w:val="1"/>
        <w:rPr>
          <w:rStyle w:val="28"/>
          <w:rFonts w:ascii="黑体" w:hAnsi="黑体" w:eastAsia="黑体"/>
          <w:b w:val="0"/>
        </w:rPr>
      </w:pPr>
      <w:bookmarkStart w:id="24" w:name="_Toc15396606"/>
      <w:bookmarkStart w:id="25" w:name="_Toc15377208"/>
      <w:r>
        <w:rPr>
          <w:rFonts w:hint="eastAsia" w:ascii="黑体" w:hAnsi="黑体" w:eastAsia="黑体"/>
          <w:sz w:val="32"/>
          <w:szCs w:val="32"/>
        </w:rPr>
        <w:t>四、财</w:t>
      </w:r>
      <w:r>
        <w:rPr>
          <w:rStyle w:val="28"/>
          <w:rFonts w:hint="eastAsia" w:ascii="黑体" w:hAnsi="黑体" w:eastAsia="黑体"/>
          <w:b w:val="0"/>
        </w:rPr>
        <w:t>政拨款收入支出决算总体情况说明</w:t>
      </w:r>
      <w:bookmarkEnd w:id="24"/>
      <w:bookmarkEnd w:id="25"/>
    </w:p>
    <w:p w14:paraId="63A675A2">
      <w:pPr>
        <w:spacing w:line="600" w:lineRule="exact"/>
        <w:ind w:firstLine="640"/>
        <w:rPr>
          <w:rFonts w:ascii="仿宋" w:hAnsi="仿宋" w:eastAsia="仿宋"/>
          <w:sz w:val="32"/>
          <w:szCs w:val="32"/>
        </w:rPr>
      </w:pPr>
      <w:r>
        <w:rPr>
          <w:rFonts w:hint="eastAsia" w:ascii="仿宋" w:hAnsi="仿宋" w:eastAsia="仿宋"/>
          <w:sz w:val="32"/>
          <w:szCs w:val="32"/>
        </w:rPr>
        <w:t>2023年度财政拨款收、支总计均为</w:t>
      </w:r>
      <w:r>
        <w:rPr>
          <w:sz w:val="32"/>
          <w:szCs w:val="32"/>
        </w:rPr>
        <w:t>681.14</w:t>
      </w:r>
      <w:r>
        <w:rPr>
          <w:rFonts w:hint="eastAsia" w:ascii="仿宋" w:hAnsi="仿宋" w:eastAsia="仿宋"/>
          <w:sz w:val="32"/>
          <w:szCs w:val="32"/>
        </w:rPr>
        <w:t>万元。与2022年度相比，财政拨款收、支总计各增加13.64万元，增长2.04</w:t>
      </w:r>
      <w:r>
        <w:rPr>
          <w:rFonts w:ascii="仿宋" w:hAnsi="仿宋" w:eastAsia="仿宋"/>
          <w:sz w:val="32"/>
          <w:szCs w:val="32"/>
        </w:rPr>
        <w:t>%</w:t>
      </w:r>
      <w:r>
        <w:rPr>
          <w:rFonts w:hint="eastAsia" w:ascii="仿宋" w:hAnsi="仿宋" w:eastAsia="仿宋"/>
          <w:sz w:val="32"/>
          <w:szCs w:val="32"/>
        </w:rPr>
        <w:t>。主要变动原因是项目支出</w:t>
      </w:r>
      <w:r>
        <w:rPr>
          <w:rFonts w:hint="eastAsia" w:ascii="仿宋" w:hAnsi="仿宋" w:eastAsia="仿宋"/>
          <w:sz w:val="32"/>
          <w:szCs w:val="32"/>
          <w:lang w:val="en-US" w:eastAsia="zh-CN"/>
        </w:rPr>
        <w:t>公共卫生健康支出</w:t>
      </w:r>
      <w:r>
        <w:rPr>
          <w:rFonts w:hint="eastAsia" w:ascii="仿宋" w:hAnsi="仿宋" w:eastAsia="仿宋"/>
          <w:sz w:val="32"/>
          <w:szCs w:val="32"/>
        </w:rPr>
        <w:t>增加。</w:t>
      </w:r>
    </w:p>
    <w:p w14:paraId="5968A1B1">
      <w:pPr>
        <w:rPr>
          <w:rFonts w:ascii="仿宋" w:hAnsi="仿宋" w:eastAsia="仿宋"/>
          <w:sz w:val="32"/>
          <w:szCs w:val="32"/>
        </w:rPr>
      </w:pPr>
      <w:r>
        <w:drawing>
          <wp:inline distT="0" distB="0" distL="114300" distR="114300">
            <wp:extent cx="5036820" cy="2353310"/>
            <wp:effectExtent l="4445" t="4445" r="6985" b="234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FE73D47">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图4：财政拨款收、支决算总计变动情况（万元）</w:t>
      </w:r>
    </w:p>
    <w:p w14:paraId="0DC21C10">
      <w:pPr>
        <w:spacing w:line="600" w:lineRule="exact"/>
        <w:ind w:firstLine="640"/>
        <w:rPr>
          <w:rFonts w:ascii="仿宋" w:hAnsi="仿宋" w:eastAsia="仿宋"/>
          <w:b/>
          <w:sz w:val="32"/>
          <w:szCs w:val="32"/>
        </w:rPr>
      </w:pPr>
    </w:p>
    <w:p w14:paraId="08A0F36B">
      <w:pPr>
        <w:spacing w:line="600" w:lineRule="exact"/>
        <w:ind w:firstLine="640" w:firstLineChars="200"/>
        <w:outlineLvl w:val="1"/>
        <w:rPr>
          <w:rStyle w:val="28"/>
          <w:rFonts w:ascii="黑体" w:hAnsi="黑体" w:eastAsia="黑体"/>
          <w:b w:val="0"/>
        </w:rPr>
      </w:pPr>
      <w:bookmarkStart w:id="26" w:name="_Toc15396607"/>
      <w:bookmarkStart w:id="27" w:name="_Toc15377209"/>
      <w:r>
        <w:rPr>
          <w:rFonts w:hint="eastAsia" w:ascii="黑体" w:hAnsi="黑体" w:eastAsia="黑体"/>
          <w:sz w:val="32"/>
          <w:szCs w:val="32"/>
        </w:rPr>
        <w:t>五、</w:t>
      </w:r>
      <w:r>
        <w:rPr>
          <w:rFonts w:hint="eastAsia" w:ascii="黑体" w:hAnsi="黑体" w:eastAsia="黑体"/>
          <w:b/>
          <w:sz w:val="32"/>
          <w:szCs w:val="32"/>
        </w:rPr>
        <w:t>一</w:t>
      </w:r>
      <w:r>
        <w:rPr>
          <w:rStyle w:val="28"/>
          <w:rFonts w:hint="eastAsia" w:ascii="黑体" w:hAnsi="黑体" w:eastAsia="黑体"/>
          <w:b w:val="0"/>
        </w:rPr>
        <w:t>般公共预算财政拨款支出决算情况说明</w:t>
      </w:r>
      <w:bookmarkEnd w:id="26"/>
      <w:bookmarkEnd w:id="27"/>
    </w:p>
    <w:p w14:paraId="191D96F2">
      <w:pPr>
        <w:spacing w:line="600" w:lineRule="exact"/>
        <w:ind w:firstLine="643" w:firstLineChars="200"/>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14:paraId="4BDC8CB7">
      <w:pPr>
        <w:spacing w:line="600" w:lineRule="exact"/>
        <w:ind w:firstLine="640" w:firstLineChars="20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681.14</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。与2022年度相比，一般公共预算财政拨款支出增加13.64万元，增长2.04</w:t>
      </w:r>
      <w:r>
        <w:rPr>
          <w:rFonts w:ascii="仿宋" w:hAnsi="仿宋" w:eastAsia="仿宋"/>
          <w:sz w:val="32"/>
          <w:szCs w:val="32"/>
        </w:rPr>
        <w:t>%</w:t>
      </w:r>
      <w:r>
        <w:rPr>
          <w:rFonts w:hint="eastAsia" w:ascii="仿宋" w:hAnsi="仿宋" w:eastAsia="仿宋"/>
          <w:sz w:val="32"/>
          <w:szCs w:val="32"/>
        </w:rPr>
        <w:t>。主要变动原因是本年度公共卫生项目支出增加。</w:t>
      </w:r>
    </w:p>
    <w:p w14:paraId="246DE571">
      <w:pPr>
        <w:ind w:firstLine="420" w:firstLineChars="200"/>
        <w:rPr>
          <w:rFonts w:ascii="仿宋" w:hAnsi="仿宋" w:eastAsia="仿宋"/>
          <w:sz w:val="32"/>
          <w:szCs w:val="32"/>
        </w:rPr>
      </w:pPr>
      <w:r>
        <w:drawing>
          <wp:inline distT="0" distB="0" distL="114300" distR="114300">
            <wp:extent cx="4967605" cy="2047240"/>
            <wp:effectExtent l="4445" t="4445" r="19050" b="571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6409666">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图5：一般公共预算财政拨款支出决算变动情况（万元）</w:t>
      </w:r>
    </w:p>
    <w:p w14:paraId="607C92CB">
      <w:pPr>
        <w:spacing w:line="600" w:lineRule="exact"/>
        <w:ind w:firstLine="643" w:firstLineChars="200"/>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14:paraId="639D0EB0">
      <w:pPr>
        <w:spacing w:line="600" w:lineRule="exact"/>
        <w:ind w:firstLine="64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681.14</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rPr>
        <w:t>0万元，占0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sz w:val="32"/>
          <w:szCs w:val="32"/>
        </w:rPr>
        <w:t>0万元，占0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sz w:val="32"/>
          <w:szCs w:val="32"/>
        </w:rPr>
        <w:t>0万元，占0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文化旅游体育与传媒支出0万元，占0</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rPr>
        <w:t>107.56万元，占15.79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卫生健康支出529.81</w:t>
      </w:r>
      <w:r>
        <w:rPr>
          <w:rFonts w:hint="eastAsia" w:ascii="仿宋" w:hAnsi="仿宋" w:eastAsia="仿宋"/>
          <w:sz w:val="32"/>
          <w:szCs w:val="32"/>
        </w:rPr>
        <w:t>万元，占77.78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rPr>
        <w:t>43.77万元，占6.43</w:t>
      </w:r>
      <w:r>
        <w:rPr>
          <w:rFonts w:ascii="仿宋" w:hAnsi="仿宋" w:eastAsia="仿宋"/>
          <w:sz w:val="32"/>
          <w:szCs w:val="32"/>
        </w:rPr>
        <w:t>%</w:t>
      </w:r>
      <w:r>
        <w:rPr>
          <w:rFonts w:hint="eastAsia" w:ascii="仿宋" w:hAnsi="仿宋" w:eastAsia="仿宋"/>
          <w:sz w:val="32"/>
          <w:szCs w:val="32"/>
        </w:rPr>
        <w:t>；项目支出114.28，占16.77%。</w:t>
      </w:r>
    </w:p>
    <w:p w14:paraId="4718431C">
      <w:pPr>
        <w:ind w:firstLine="641"/>
        <w:rPr>
          <w:rFonts w:ascii="仿宋" w:hAnsi="仿宋" w:eastAsia="仿宋"/>
          <w:sz w:val="32"/>
          <w:szCs w:val="32"/>
        </w:rPr>
      </w:pPr>
      <w:r>
        <w:drawing>
          <wp:inline distT="0" distB="0" distL="114300" distR="114300">
            <wp:extent cx="4817110" cy="2426335"/>
            <wp:effectExtent l="4445" t="4445" r="17145" b="7620"/>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C42E4E">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图6：一般公共预算财政拨款支出决算结构（万元）</w:t>
      </w:r>
    </w:p>
    <w:p w14:paraId="13C8B4C7">
      <w:pPr>
        <w:spacing w:line="600" w:lineRule="exact"/>
        <w:ind w:firstLine="643" w:firstLineChars="200"/>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14:paraId="23054229">
      <w:pPr>
        <w:spacing w:line="600" w:lineRule="exact"/>
        <w:ind w:firstLine="640" w:firstLineChars="200"/>
        <w:outlineLvl w:val="2"/>
        <w:rPr>
          <w:rFonts w:ascii="仿宋" w:hAnsi="仿宋" w:eastAsia="仿宋" w:cs="仿宋"/>
          <w:bCs/>
          <w:sz w:val="32"/>
          <w:szCs w:val="32"/>
        </w:rPr>
      </w:pPr>
      <w:bookmarkStart w:id="31" w:name="_Toc15377213"/>
      <w:bookmarkStart w:id="32" w:name="_Toc15377444"/>
      <w:bookmarkStart w:id="33" w:name="_Toc15378460"/>
      <w:r>
        <w:rPr>
          <w:rFonts w:hint="eastAsia" w:ascii="仿宋" w:hAnsi="仿宋" w:eastAsia="仿宋" w:cs="仿宋"/>
          <w:bCs/>
          <w:sz w:val="32"/>
          <w:szCs w:val="32"/>
        </w:rPr>
        <w:t>2023年度一般公共预算支出决算数为681.14万元，</w:t>
      </w:r>
      <w:r>
        <w:rPr>
          <w:rStyle w:val="16"/>
          <w:rFonts w:hint="eastAsia" w:ascii="仿宋" w:hAnsi="仿宋" w:eastAsia="仿宋" w:cs="仿宋"/>
          <w:b w:val="0"/>
          <w:bCs/>
          <w:sz w:val="32"/>
          <w:szCs w:val="32"/>
        </w:rPr>
        <w:t>完成预算100%。其中：</w:t>
      </w:r>
      <w:bookmarkEnd w:id="31"/>
      <w:bookmarkEnd w:id="32"/>
      <w:bookmarkEnd w:id="33"/>
    </w:p>
    <w:p w14:paraId="63A7323E">
      <w:pPr>
        <w:spacing w:line="600" w:lineRule="exact"/>
        <w:ind w:firstLine="640" w:firstLineChars="200"/>
        <w:rPr>
          <w:rStyle w:val="16"/>
          <w:rFonts w:hint="eastAsia" w:ascii="仿宋" w:hAnsi="仿宋" w:eastAsia="仿宋" w:cs="仿宋"/>
          <w:b w:val="0"/>
          <w:bCs/>
          <w:sz w:val="32"/>
          <w:szCs w:val="32"/>
          <w:lang w:val="en-US" w:eastAsia="zh-CN"/>
        </w:rPr>
      </w:pPr>
      <w:r>
        <w:rPr>
          <w:rStyle w:val="16"/>
          <w:rFonts w:hint="eastAsia" w:ascii="仿宋" w:hAnsi="仿宋" w:eastAsia="仿宋" w:cs="仿宋"/>
          <w:b w:val="0"/>
          <w:bCs/>
          <w:sz w:val="32"/>
          <w:szCs w:val="32"/>
        </w:rPr>
        <w:t>1.社会保障和就业（类）行政事业单位养老支出（款）事业单位养老保险（项）: 支出决算为60.89万元，完成预算100%</w:t>
      </w:r>
      <w:r>
        <w:rPr>
          <w:rStyle w:val="16"/>
          <w:rFonts w:hint="eastAsia" w:ascii="仿宋" w:hAnsi="仿宋" w:eastAsia="仿宋" w:cs="仿宋"/>
          <w:b w:val="0"/>
          <w:bCs/>
          <w:sz w:val="32"/>
          <w:szCs w:val="32"/>
          <w:lang w:eastAsia="zh-CN"/>
        </w:rPr>
        <w:t>。</w:t>
      </w:r>
    </w:p>
    <w:p w14:paraId="1AC94AEE">
      <w:pPr>
        <w:spacing w:line="600" w:lineRule="exact"/>
        <w:ind w:firstLine="640" w:firstLineChars="200"/>
        <w:rPr>
          <w:rStyle w:val="16"/>
          <w:rFonts w:ascii="仿宋" w:hAnsi="仿宋" w:eastAsia="仿宋" w:cs="仿宋"/>
          <w:b w:val="0"/>
          <w:bCs/>
          <w:sz w:val="32"/>
          <w:szCs w:val="32"/>
        </w:rPr>
      </w:pPr>
      <w:r>
        <w:rPr>
          <w:rStyle w:val="16"/>
          <w:rFonts w:hint="eastAsia" w:ascii="仿宋" w:hAnsi="仿宋" w:eastAsia="仿宋" w:cs="仿宋"/>
          <w:b w:val="0"/>
          <w:bCs/>
          <w:sz w:val="32"/>
          <w:szCs w:val="32"/>
        </w:rPr>
        <w:t>2.社会保障和就业（类）行政事业单位养老支出（款）事业单位离退休（项）: 支出决算为38.38万元，完成预算100%。</w:t>
      </w:r>
    </w:p>
    <w:p w14:paraId="1E58B33E">
      <w:pPr>
        <w:spacing w:line="600" w:lineRule="exact"/>
        <w:ind w:firstLine="640" w:firstLineChars="200"/>
        <w:rPr>
          <w:rFonts w:ascii="仿宋" w:hAnsi="仿宋" w:eastAsia="仿宋" w:cs="仿宋"/>
          <w:bCs/>
          <w:sz w:val="32"/>
          <w:szCs w:val="32"/>
        </w:rPr>
      </w:pPr>
      <w:r>
        <w:rPr>
          <w:rStyle w:val="16"/>
          <w:rFonts w:hint="eastAsia" w:ascii="仿宋" w:hAnsi="仿宋" w:eastAsia="仿宋" w:cs="仿宋"/>
          <w:b w:val="0"/>
          <w:bCs/>
          <w:sz w:val="32"/>
          <w:szCs w:val="32"/>
        </w:rPr>
        <w:t>3.社会保障和就业（类）行政事业单位养老支出（款）事业单位职业年金缴费支出（项）: 支出决算为8.28万元，完成预算100%。</w:t>
      </w:r>
    </w:p>
    <w:p w14:paraId="0EB47AEA">
      <w:pPr>
        <w:spacing w:line="600" w:lineRule="exact"/>
        <w:ind w:firstLine="640" w:firstLineChars="200"/>
        <w:rPr>
          <w:rFonts w:ascii="仿宋" w:hAnsi="仿宋" w:eastAsia="仿宋" w:cs="仿宋"/>
          <w:bCs/>
          <w:sz w:val="32"/>
          <w:szCs w:val="32"/>
        </w:rPr>
      </w:pPr>
      <w:r>
        <w:rPr>
          <w:rStyle w:val="16"/>
          <w:rFonts w:hint="eastAsia" w:ascii="仿宋" w:hAnsi="仿宋" w:eastAsia="仿宋" w:cs="仿宋"/>
          <w:b w:val="0"/>
          <w:bCs/>
          <w:sz w:val="32"/>
          <w:szCs w:val="32"/>
        </w:rPr>
        <w:t>4.</w:t>
      </w:r>
      <w:r>
        <w:rPr>
          <w:rFonts w:hint="eastAsia" w:ascii="仿宋" w:hAnsi="仿宋" w:eastAsia="仿宋" w:cs="仿宋"/>
          <w:bCs/>
          <w:sz w:val="32"/>
          <w:szCs w:val="32"/>
        </w:rPr>
        <w:t>卫生健康</w:t>
      </w:r>
      <w:r>
        <w:rPr>
          <w:rStyle w:val="16"/>
          <w:rFonts w:hint="eastAsia" w:ascii="仿宋" w:hAnsi="仿宋" w:eastAsia="仿宋" w:cs="仿宋"/>
          <w:b w:val="0"/>
          <w:bCs/>
          <w:sz w:val="32"/>
          <w:szCs w:val="32"/>
        </w:rPr>
        <w:t>（类）公共卫生（款）妇幼保健机构（项）:支出决算为372.16万元，完成预算100%。</w:t>
      </w:r>
    </w:p>
    <w:p w14:paraId="247764BB">
      <w:pPr>
        <w:spacing w:line="600" w:lineRule="exact"/>
        <w:ind w:firstLine="640" w:firstLineChars="200"/>
        <w:rPr>
          <w:rFonts w:ascii="仿宋" w:hAnsi="仿宋" w:eastAsia="仿宋" w:cs="仿宋"/>
          <w:bCs/>
          <w:sz w:val="32"/>
          <w:szCs w:val="32"/>
        </w:rPr>
      </w:pPr>
      <w:r>
        <w:rPr>
          <w:rStyle w:val="16"/>
          <w:rFonts w:hint="eastAsia" w:ascii="仿宋" w:hAnsi="仿宋" w:eastAsia="仿宋" w:cs="仿宋"/>
          <w:b w:val="0"/>
          <w:bCs/>
          <w:sz w:val="32"/>
          <w:szCs w:val="32"/>
        </w:rPr>
        <w:t>5.</w:t>
      </w:r>
      <w:r>
        <w:rPr>
          <w:rFonts w:hint="eastAsia" w:ascii="仿宋" w:hAnsi="仿宋" w:eastAsia="仿宋" w:cs="仿宋"/>
          <w:bCs/>
          <w:sz w:val="32"/>
          <w:szCs w:val="32"/>
        </w:rPr>
        <w:t>卫生健康</w:t>
      </w:r>
      <w:r>
        <w:rPr>
          <w:rStyle w:val="16"/>
          <w:rFonts w:hint="eastAsia" w:ascii="仿宋" w:hAnsi="仿宋" w:eastAsia="仿宋" w:cs="仿宋"/>
          <w:b w:val="0"/>
          <w:bCs/>
          <w:sz w:val="32"/>
          <w:szCs w:val="32"/>
        </w:rPr>
        <w:t>（类）公共卫生（款）基本公共卫生支出（项）:支出决算为17.1万元，完成预算100%。</w:t>
      </w:r>
    </w:p>
    <w:p w14:paraId="530EE517">
      <w:pPr>
        <w:spacing w:line="600" w:lineRule="exact"/>
        <w:ind w:firstLine="640" w:firstLineChars="200"/>
        <w:rPr>
          <w:rFonts w:ascii="仿宋" w:hAnsi="仿宋" w:eastAsia="仿宋" w:cs="仿宋"/>
          <w:bCs/>
          <w:sz w:val="32"/>
          <w:szCs w:val="32"/>
        </w:rPr>
      </w:pPr>
      <w:r>
        <w:rPr>
          <w:rStyle w:val="16"/>
          <w:rFonts w:hint="eastAsia" w:ascii="仿宋" w:hAnsi="仿宋" w:eastAsia="仿宋" w:cs="仿宋"/>
          <w:b w:val="0"/>
          <w:bCs/>
          <w:sz w:val="32"/>
          <w:szCs w:val="32"/>
        </w:rPr>
        <w:t>6.</w:t>
      </w:r>
      <w:r>
        <w:rPr>
          <w:rFonts w:hint="eastAsia" w:ascii="仿宋" w:hAnsi="仿宋" w:eastAsia="仿宋" w:cs="仿宋"/>
          <w:bCs/>
          <w:sz w:val="32"/>
          <w:szCs w:val="32"/>
        </w:rPr>
        <w:t>卫生健康</w:t>
      </w:r>
      <w:r>
        <w:rPr>
          <w:rStyle w:val="16"/>
          <w:rFonts w:hint="eastAsia" w:ascii="仿宋" w:hAnsi="仿宋" w:eastAsia="仿宋" w:cs="仿宋"/>
          <w:b w:val="0"/>
          <w:bCs/>
          <w:sz w:val="32"/>
          <w:szCs w:val="32"/>
        </w:rPr>
        <w:t>（类）公共卫生（款）重大公共卫生支出（项）:支出决算为43.52万元，完成预算100%。</w:t>
      </w:r>
    </w:p>
    <w:p w14:paraId="21C9D4EA">
      <w:pPr>
        <w:spacing w:line="600" w:lineRule="exact"/>
        <w:ind w:firstLine="640" w:firstLineChars="200"/>
        <w:rPr>
          <w:rStyle w:val="16"/>
          <w:rFonts w:ascii="仿宋" w:hAnsi="仿宋" w:eastAsia="仿宋" w:cs="仿宋"/>
          <w:b w:val="0"/>
          <w:bCs/>
          <w:sz w:val="32"/>
          <w:szCs w:val="32"/>
        </w:rPr>
      </w:pPr>
      <w:r>
        <w:rPr>
          <w:rStyle w:val="16"/>
          <w:rFonts w:hint="eastAsia" w:ascii="仿宋" w:hAnsi="仿宋" w:eastAsia="仿宋" w:cs="仿宋"/>
          <w:b w:val="0"/>
          <w:bCs/>
          <w:sz w:val="32"/>
          <w:szCs w:val="32"/>
        </w:rPr>
        <w:t>7.</w:t>
      </w:r>
      <w:r>
        <w:rPr>
          <w:rFonts w:hint="eastAsia" w:ascii="仿宋" w:hAnsi="仿宋" w:eastAsia="仿宋" w:cs="仿宋"/>
          <w:bCs/>
          <w:sz w:val="32"/>
          <w:szCs w:val="32"/>
        </w:rPr>
        <w:t>卫生健康</w:t>
      </w:r>
      <w:r>
        <w:rPr>
          <w:rStyle w:val="16"/>
          <w:rFonts w:hint="eastAsia" w:ascii="仿宋" w:hAnsi="仿宋" w:eastAsia="仿宋" w:cs="仿宋"/>
          <w:b w:val="0"/>
          <w:bCs/>
          <w:sz w:val="32"/>
          <w:szCs w:val="32"/>
        </w:rPr>
        <w:t>（类）公共卫生（款）其他公共卫生支出（项）:支出决算为10.08万元，完成预算100%。</w:t>
      </w:r>
    </w:p>
    <w:p w14:paraId="6CEE1BFF">
      <w:pPr>
        <w:spacing w:line="600" w:lineRule="exact"/>
        <w:ind w:firstLine="640" w:firstLineChars="200"/>
        <w:rPr>
          <w:rFonts w:ascii="仿宋" w:hAnsi="仿宋" w:eastAsia="仿宋" w:cs="仿宋"/>
          <w:bCs/>
          <w:sz w:val="32"/>
          <w:szCs w:val="32"/>
        </w:rPr>
      </w:pPr>
      <w:r>
        <w:rPr>
          <w:rFonts w:hint="eastAsia" w:ascii="仿宋" w:hAnsi="仿宋" w:eastAsia="仿宋" w:cs="仿宋"/>
          <w:bCs/>
          <w:sz w:val="32"/>
          <w:szCs w:val="32"/>
        </w:rPr>
        <w:t>8</w:t>
      </w:r>
      <w:r>
        <w:rPr>
          <w:rStyle w:val="16"/>
          <w:rFonts w:hint="eastAsia" w:ascii="仿宋" w:hAnsi="仿宋" w:eastAsia="仿宋" w:cs="仿宋"/>
          <w:b w:val="0"/>
          <w:bCs/>
          <w:sz w:val="32"/>
          <w:szCs w:val="32"/>
        </w:rPr>
        <w:t>.</w:t>
      </w:r>
      <w:r>
        <w:rPr>
          <w:rFonts w:hint="eastAsia" w:ascii="仿宋" w:hAnsi="仿宋" w:eastAsia="仿宋" w:cs="仿宋"/>
          <w:bCs/>
          <w:sz w:val="32"/>
          <w:szCs w:val="32"/>
        </w:rPr>
        <w:t>卫生健康支出</w:t>
      </w:r>
      <w:r>
        <w:rPr>
          <w:rStyle w:val="16"/>
          <w:rFonts w:hint="eastAsia" w:ascii="仿宋" w:hAnsi="仿宋" w:eastAsia="仿宋" w:cs="仿宋"/>
          <w:b w:val="0"/>
          <w:bCs/>
          <w:sz w:val="32"/>
          <w:szCs w:val="32"/>
        </w:rPr>
        <w:t>（类）行政事业单位医疗（款）事业单位医疗（项）:支出决算为40.9万元，完成预算100%。</w:t>
      </w:r>
    </w:p>
    <w:p w14:paraId="53F7BB46">
      <w:pPr>
        <w:spacing w:line="600" w:lineRule="exact"/>
        <w:ind w:firstLine="640" w:firstLineChars="200"/>
        <w:rPr>
          <w:rFonts w:ascii="仿宋" w:hAnsi="仿宋" w:eastAsia="仿宋" w:cs="仿宋"/>
          <w:bCs/>
          <w:sz w:val="32"/>
          <w:szCs w:val="32"/>
        </w:rPr>
      </w:pPr>
      <w:r>
        <w:rPr>
          <w:rStyle w:val="16"/>
          <w:rFonts w:hint="eastAsia" w:ascii="仿宋" w:hAnsi="仿宋" w:eastAsia="仿宋" w:cs="仿宋"/>
          <w:b w:val="0"/>
          <w:bCs/>
          <w:sz w:val="32"/>
          <w:szCs w:val="32"/>
        </w:rPr>
        <w:t>9.</w:t>
      </w:r>
      <w:r>
        <w:rPr>
          <w:rFonts w:hint="eastAsia" w:ascii="仿宋" w:hAnsi="仿宋" w:eastAsia="仿宋" w:cs="仿宋"/>
          <w:bCs/>
          <w:sz w:val="32"/>
          <w:szCs w:val="32"/>
        </w:rPr>
        <w:t>卫生健康支出</w:t>
      </w:r>
      <w:r>
        <w:rPr>
          <w:rStyle w:val="16"/>
          <w:rFonts w:hint="eastAsia" w:ascii="仿宋" w:hAnsi="仿宋" w:eastAsia="仿宋" w:cs="仿宋"/>
          <w:b w:val="0"/>
          <w:bCs/>
          <w:sz w:val="32"/>
          <w:szCs w:val="32"/>
        </w:rPr>
        <w:t>（类）行政事业单位医疗（款）其他行政事业单位医疗支出（项）:支出决算为2.48万元，完成预算100%。</w:t>
      </w:r>
    </w:p>
    <w:p w14:paraId="4BCCCDE2">
      <w:pPr>
        <w:pStyle w:val="2"/>
        <w:spacing w:before="93"/>
        <w:ind w:firstLine="640" w:firstLineChars="200"/>
        <w:rPr>
          <w:rStyle w:val="16"/>
          <w:rFonts w:hint="eastAsia" w:ascii="仿宋" w:hAnsi="仿宋" w:eastAsia="仿宋" w:cs="仿宋"/>
          <w:b w:val="0"/>
          <w:bCs/>
          <w:sz w:val="32"/>
          <w:szCs w:val="32"/>
          <w:lang w:eastAsia="zh-CN"/>
        </w:rPr>
      </w:pPr>
      <w:r>
        <w:rPr>
          <w:rStyle w:val="16"/>
          <w:rFonts w:hint="eastAsia" w:ascii="仿宋" w:hAnsi="仿宋" w:eastAsia="仿宋" w:cs="仿宋"/>
          <w:b w:val="0"/>
          <w:bCs/>
          <w:sz w:val="32"/>
          <w:szCs w:val="32"/>
        </w:rPr>
        <w:t>10.</w:t>
      </w:r>
      <w:r>
        <w:rPr>
          <w:rFonts w:hint="eastAsia" w:ascii="仿宋" w:hAnsi="仿宋" w:eastAsia="仿宋" w:cs="仿宋"/>
          <w:bCs/>
          <w:sz w:val="32"/>
          <w:szCs w:val="32"/>
        </w:rPr>
        <w:t>卫生健康支出</w:t>
      </w:r>
      <w:r>
        <w:rPr>
          <w:rStyle w:val="16"/>
          <w:rFonts w:hint="eastAsia" w:ascii="仿宋" w:hAnsi="仿宋" w:eastAsia="仿宋" w:cs="仿宋"/>
          <w:b w:val="0"/>
          <w:bCs/>
          <w:sz w:val="32"/>
          <w:szCs w:val="32"/>
        </w:rPr>
        <w:t>（类）其他卫生健康支出（款）其他卫生健康支出（项）:支出决算为43.57万元，完成预算100%</w:t>
      </w:r>
      <w:r>
        <w:rPr>
          <w:rStyle w:val="16"/>
          <w:rFonts w:hint="eastAsia" w:ascii="仿宋" w:hAnsi="仿宋" w:eastAsia="仿宋" w:cs="仿宋"/>
          <w:b w:val="0"/>
          <w:bCs/>
          <w:sz w:val="32"/>
          <w:szCs w:val="32"/>
          <w:lang w:eastAsia="zh-CN"/>
        </w:rPr>
        <w:t>。</w:t>
      </w:r>
    </w:p>
    <w:p w14:paraId="77DACAC6">
      <w:pPr>
        <w:spacing w:line="600" w:lineRule="exact"/>
        <w:ind w:firstLine="640"/>
        <w:rPr>
          <w:rFonts w:ascii="仿宋" w:hAnsi="仿宋" w:eastAsia="仿宋" w:cs="仿宋"/>
          <w:sz w:val="32"/>
          <w:szCs w:val="32"/>
        </w:rPr>
      </w:pPr>
      <w:r>
        <w:rPr>
          <w:rStyle w:val="16"/>
          <w:rFonts w:hint="eastAsia" w:ascii="仿宋" w:hAnsi="仿宋" w:eastAsia="仿宋" w:cs="仿宋"/>
          <w:b w:val="0"/>
          <w:bCs/>
          <w:color w:val="000000"/>
          <w:sz w:val="32"/>
          <w:szCs w:val="32"/>
        </w:rPr>
        <w:t>11.</w:t>
      </w:r>
      <w:r>
        <w:rPr>
          <w:rFonts w:hint="eastAsia" w:ascii="仿宋" w:hAnsi="仿宋" w:eastAsia="仿宋" w:cs="仿宋"/>
          <w:bCs/>
          <w:color w:val="000000"/>
          <w:sz w:val="32"/>
          <w:szCs w:val="32"/>
        </w:rPr>
        <w:t>住房保障支出（类）住房改革支出（款）住房公积金（项）</w:t>
      </w:r>
      <w:r>
        <w:rPr>
          <w:rStyle w:val="16"/>
          <w:rFonts w:hint="eastAsia" w:ascii="仿宋" w:hAnsi="仿宋" w:eastAsia="仿宋" w:cs="仿宋"/>
          <w:b w:val="0"/>
          <w:bCs/>
          <w:color w:val="000000"/>
          <w:sz w:val="32"/>
          <w:szCs w:val="32"/>
        </w:rPr>
        <w:t>: 支出决算为43.77万元，完成预算100%</w:t>
      </w:r>
      <w:r>
        <w:rPr>
          <w:rFonts w:hint="eastAsia" w:ascii="仿宋" w:hAnsi="仿宋" w:eastAsia="仿宋" w:cs="仿宋"/>
          <w:bCs/>
          <w:kern w:val="0"/>
          <w:sz w:val="32"/>
          <w:szCs w:val="32"/>
        </w:rPr>
        <w:t>。</w:t>
      </w:r>
    </w:p>
    <w:p w14:paraId="7A753B62">
      <w:pPr>
        <w:tabs>
          <w:tab w:val="right" w:pos="8306"/>
        </w:tabs>
        <w:spacing w:line="600" w:lineRule="exact"/>
        <w:ind w:firstLine="640"/>
        <w:outlineLvl w:val="1"/>
        <w:rPr>
          <w:rStyle w:val="28"/>
        </w:rPr>
      </w:pPr>
      <w:bookmarkStart w:id="34" w:name="_Toc15377214"/>
      <w:bookmarkStart w:id="35"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8"/>
          <w:rFonts w:hint="eastAsia" w:ascii="黑体" w:hAnsi="黑体" w:eastAsia="黑体"/>
          <w:b w:val="0"/>
        </w:rPr>
        <w:t>般公共预算财政拨款基本支出决算情况说明</w:t>
      </w:r>
      <w:bookmarkEnd w:id="34"/>
      <w:bookmarkEnd w:id="35"/>
      <w:r>
        <w:rPr>
          <w:rStyle w:val="28"/>
          <w:rFonts w:ascii="黑体" w:hAnsi="黑体" w:eastAsia="黑体"/>
          <w:b w:val="0"/>
        </w:rPr>
        <w:tab/>
      </w:r>
    </w:p>
    <w:p w14:paraId="472385C1">
      <w:pPr>
        <w:spacing w:line="600" w:lineRule="exact"/>
        <w:ind w:firstLine="645"/>
        <w:rPr>
          <w:rFonts w:ascii="仿宋" w:hAnsi="仿宋" w:eastAsia="仿宋" w:cs="仿宋"/>
          <w:sz w:val="32"/>
          <w:szCs w:val="32"/>
        </w:rPr>
      </w:pPr>
      <w:r>
        <w:rPr>
          <w:rFonts w:hint="eastAsia" w:ascii="仿宋" w:hAnsi="仿宋" w:eastAsia="仿宋" w:cs="仿宋"/>
          <w:sz w:val="32"/>
          <w:szCs w:val="32"/>
        </w:rPr>
        <w:t>2023年度一般公共预算财政拨款基本支出566.87万元，其中：</w:t>
      </w:r>
    </w:p>
    <w:p w14:paraId="7554DE49">
      <w:pPr>
        <w:spacing w:line="600" w:lineRule="exact"/>
        <w:ind w:firstLine="645"/>
        <w:rPr>
          <w:rFonts w:ascii="仿宋" w:hAnsi="仿宋" w:eastAsia="仿宋"/>
          <w:b/>
          <w:sz w:val="32"/>
          <w:szCs w:val="32"/>
        </w:rPr>
      </w:pPr>
      <w:r>
        <w:rPr>
          <w:rFonts w:hint="eastAsia" w:ascii="仿宋" w:hAnsi="仿宋" w:eastAsia="仿宋"/>
          <w:sz w:val="32"/>
          <w:szCs w:val="32"/>
        </w:rPr>
        <w:t>人员经费</w:t>
      </w:r>
      <w:r>
        <w:rPr>
          <w:rFonts w:ascii="仿宋" w:hAnsi="仿宋" w:eastAsia="仿宋"/>
          <w:b/>
          <w:sz w:val="32"/>
          <w:szCs w:val="32"/>
        </w:rPr>
        <w:t>564.55</w:t>
      </w:r>
      <w:r>
        <w:rPr>
          <w:rFonts w:hint="eastAsia" w:ascii="仿宋" w:hAnsi="仿宋" w:eastAsia="仿宋"/>
          <w:sz w:val="32"/>
          <w:szCs w:val="32"/>
        </w:rPr>
        <w:t>万元，主要包括：基本工资、津贴补贴、绩效工资、机关事业单位基本养老保险缴费、职业年金缴费、其他社会保障缴费、其他工资福利支出、生活补助、医疗费补助、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ascii="仿宋" w:hAnsi="仿宋" w:eastAsia="仿宋"/>
          <w:b/>
          <w:sz w:val="32"/>
          <w:szCs w:val="32"/>
        </w:rPr>
        <w:t>2.32</w:t>
      </w:r>
      <w:r>
        <w:rPr>
          <w:rFonts w:hint="eastAsia" w:ascii="仿宋" w:hAnsi="仿宋" w:eastAsia="仿宋"/>
          <w:sz w:val="32"/>
          <w:szCs w:val="32"/>
        </w:rPr>
        <w:t>万元，主要包括：维修（护）费、福利费。</w:t>
      </w:r>
    </w:p>
    <w:p w14:paraId="76447B12">
      <w:pPr>
        <w:spacing w:line="600" w:lineRule="exact"/>
        <w:ind w:firstLine="640"/>
        <w:outlineLvl w:val="1"/>
        <w:rPr>
          <w:rStyle w:val="28"/>
          <w:rFonts w:ascii="黑体" w:hAnsi="黑体" w:eastAsia="黑体"/>
          <w:b w:val="0"/>
        </w:rPr>
      </w:pPr>
      <w:bookmarkStart w:id="36" w:name="_Toc15377215"/>
      <w:bookmarkStart w:id="37" w:name="_Toc15396609"/>
      <w:r>
        <w:rPr>
          <w:rFonts w:hint="eastAsia" w:ascii="黑体" w:eastAsia="黑体"/>
          <w:sz w:val="32"/>
          <w:szCs w:val="32"/>
        </w:rPr>
        <w:t>七、</w:t>
      </w:r>
      <w:r>
        <w:rPr>
          <w:rStyle w:val="28"/>
          <w:rFonts w:hint="eastAsia" w:ascii="黑体" w:hAnsi="黑体" w:eastAsia="黑体"/>
          <w:b w:val="0"/>
        </w:rPr>
        <w:t>财政拨款</w:t>
      </w:r>
      <w:r>
        <w:rPr>
          <w:rStyle w:val="28"/>
          <w:rFonts w:hint="eastAsia" w:ascii="黑体" w:hAnsi="黑体" w:eastAsia="黑体"/>
        </w:rPr>
        <w:t>“</w:t>
      </w:r>
      <w:r>
        <w:rPr>
          <w:rStyle w:val="28"/>
          <w:rFonts w:hint="eastAsia" w:ascii="黑体" w:hAnsi="黑体" w:eastAsia="黑体"/>
          <w:b w:val="0"/>
        </w:rPr>
        <w:t>三公”经费支出决算情况说明</w:t>
      </w:r>
      <w:bookmarkEnd w:id="36"/>
      <w:bookmarkEnd w:id="37"/>
    </w:p>
    <w:p w14:paraId="5E6254A0">
      <w:pPr>
        <w:spacing w:line="600" w:lineRule="exact"/>
        <w:ind w:firstLine="640"/>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14:paraId="4D15BEF6">
      <w:pPr>
        <w:spacing w:line="600" w:lineRule="exact"/>
        <w:ind w:firstLine="640"/>
        <w:outlineLvl w:val="2"/>
        <w:rPr>
          <w:rFonts w:ascii="仿宋" w:hAnsi="仿宋" w:eastAsia="仿宋"/>
          <w:sz w:val="32"/>
          <w:szCs w:val="32"/>
        </w:rPr>
      </w:pPr>
      <w:r>
        <w:rPr>
          <w:rFonts w:hint="eastAsia" w:ascii="仿宋" w:hAnsi="仿宋" w:eastAsia="仿宋"/>
          <w:sz w:val="32"/>
          <w:szCs w:val="32"/>
        </w:rPr>
        <w:t>2023年度“三公”经费财政拨款支出决算为</w:t>
      </w:r>
      <w:r>
        <w:rPr>
          <w:sz w:val="32"/>
          <w:szCs w:val="32"/>
        </w:rPr>
        <w:t>0</w:t>
      </w:r>
      <w:r>
        <w:rPr>
          <w:rFonts w:hint="eastAsia" w:ascii="仿宋" w:hAnsi="仿宋" w:eastAsia="仿宋"/>
          <w:sz w:val="32"/>
          <w:szCs w:val="32"/>
        </w:rPr>
        <w:t>万元，完成预算</w:t>
      </w:r>
      <w:r>
        <w:rPr>
          <w:sz w:val="32"/>
          <w:szCs w:val="32"/>
        </w:rPr>
        <w:t>0</w:t>
      </w:r>
      <w:r>
        <w:rPr>
          <w:rFonts w:ascii="仿宋" w:hAnsi="仿宋" w:eastAsia="仿宋"/>
          <w:sz w:val="32"/>
          <w:szCs w:val="32"/>
        </w:rPr>
        <w:t>%</w:t>
      </w:r>
      <w:r>
        <w:rPr>
          <w:rFonts w:hint="eastAsia" w:ascii="仿宋" w:hAnsi="仿宋" w:eastAsia="仿宋"/>
          <w:sz w:val="32"/>
          <w:szCs w:val="32"/>
        </w:rPr>
        <w:t>，较上年度减少0.54万元，下降100%。决算数等于预算数的主要原因是缩减“三公”经费支出。</w:t>
      </w:r>
    </w:p>
    <w:p w14:paraId="384E774B">
      <w:pPr>
        <w:spacing w:line="600" w:lineRule="exact"/>
        <w:ind w:firstLine="640"/>
        <w:outlineLvl w:val="2"/>
        <w:rPr>
          <w:rFonts w:ascii="仿宋" w:hAnsi="仿宋" w:eastAsia="仿宋"/>
          <w:b/>
          <w:sz w:val="32"/>
          <w:szCs w:val="32"/>
        </w:rPr>
      </w:pPr>
      <w:bookmarkStart w:id="39" w:name="_Toc15377217"/>
      <w:r>
        <w:rPr>
          <w:rFonts w:hint="eastAsia" w:ascii="仿宋" w:hAnsi="仿宋" w:eastAsia="仿宋"/>
          <w:b/>
          <w:sz w:val="32"/>
          <w:szCs w:val="32"/>
        </w:rPr>
        <w:t>（二）“三公”经费财政拨款支出决算具体情况说明</w:t>
      </w:r>
      <w:bookmarkEnd w:id="39"/>
    </w:p>
    <w:p w14:paraId="559D2774">
      <w:pPr>
        <w:spacing w:line="600" w:lineRule="exact"/>
        <w:ind w:firstLine="640"/>
        <w:rPr>
          <w:rFonts w:ascii="仿宋" w:hAnsi="仿宋" w:eastAsia="仿宋" w:cs="仿宋"/>
          <w:sz w:val="32"/>
          <w:szCs w:val="32"/>
        </w:rPr>
      </w:pPr>
      <w:r>
        <w:rPr>
          <w:rFonts w:hint="eastAsia" w:ascii="仿宋" w:hAnsi="仿宋" w:eastAsia="仿宋" w:cs="仿宋"/>
          <w:sz w:val="32"/>
          <w:szCs w:val="32"/>
        </w:rPr>
        <w:t>2023年度“三公”经费财政拨款支出决算中，因公出国（境）费支出决算0万元，占0%；公务用车购置及运行维护费支出决算0万元，占0%；公务接待费支出决算0万元，占0%。具体情况如下：</w:t>
      </w:r>
    </w:p>
    <w:p w14:paraId="07DA929C">
      <w:pPr>
        <w:spacing w:line="600" w:lineRule="exact"/>
        <w:ind w:firstLine="640"/>
        <w:rPr>
          <w:rFonts w:ascii="仿宋" w:hAnsi="仿宋" w:eastAsia="仿宋" w:cs="仿宋"/>
          <w:b/>
          <w:sz w:val="32"/>
          <w:szCs w:val="32"/>
        </w:rPr>
      </w:pPr>
      <w:r>
        <w:rPr>
          <w:rFonts w:hint="eastAsia" w:ascii="仿宋" w:hAnsi="仿宋" w:eastAsia="仿宋" w:cs="仿宋"/>
          <w:b/>
          <w:sz w:val="32"/>
          <w:szCs w:val="32"/>
        </w:rPr>
        <w:t>1.因公出国（境）经费支出</w:t>
      </w:r>
      <w:r>
        <w:rPr>
          <w:rFonts w:hint="eastAsia" w:ascii="仿宋" w:hAnsi="仿宋" w:eastAsia="仿宋" w:cs="仿宋"/>
          <w:sz w:val="32"/>
          <w:szCs w:val="32"/>
        </w:rPr>
        <w:t>0万元，</w:t>
      </w:r>
      <w:r>
        <w:rPr>
          <w:rStyle w:val="16"/>
          <w:rFonts w:hint="eastAsia" w:ascii="仿宋" w:hAnsi="仿宋" w:eastAsia="仿宋" w:cs="仿宋"/>
          <w:b w:val="0"/>
          <w:bCs/>
          <w:sz w:val="32"/>
          <w:szCs w:val="32"/>
        </w:rPr>
        <w:t>完成预算</w:t>
      </w:r>
      <w:r>
        <w:rPr>
          <w:rFonts w:hint="eastAsia" w:ascii="仿宋" w:hAnsi="仿宋" w:eastAsia="仿宋" w:cs="仿宋"/>
          <w:sz w:val="32"/>
          <w:szCs w:val="32"/>
        </w:rPr>
        <w:t>0</w:t>
      </w:r>
      <w:r>
        <w:rPr>
          <w:rStyle w:val="16"/>
          <w:rFonts w:hint="eastAsia" w:ascii="仿宋" w:hAnsi="仿宋" w:eastAsia="仿宋" w:cs="仿宋"/>
          <w:b w:val="0"/>
          <w:bCs/>
          <w:sz w:val="32"/>
          <w:szCs w:val="32"/>
        </w:rPr>
        <w:t>%。</w:t>
      </w:r>
      <w:r>
        <w:rPr>
          <w:rFonts w:hint="eastAsia" w:ascii="仿宋" w:hAnsi="仿宋" w:eastAsia="仿宋" w:cs="仿宋"/>
          <w:sz w:val="32"/>
          <w:szCs w:val="32"/>
        </w:rPr>
        <w:t>全年安排因公出国（境）团组0次，出国（境）0人。因公出国（境）支出决算比2022年增加0万元，增长0%。</w:t>
      </w:r>
    </w:p>
    <w:p w14:paraId="2B666680">
      <w:pPr>
        <w:spacing w:line="600" w:lineRule="exact"/>
        <w:ind w:firstLine="640"/>
        <w:rPr>
          <w:rFonts w:ascii="仿宋" w:hAnsi="仿宋" w:eastAsia="仿宋" w:cs="仿宋"/>
          <w:b/>
          <w:sz w:val="32"/>
          <w:szCs w:val="32"/>
        </w:rPr>
      </w:pPr>
      <w:r>
        <w:rPr>
          <w:rFonts w:hint="eastAsia" w:ascii="仿宋" w:hAnsi="仿宋" w:eastAsia="仿宋" w:cs="仿宋"/>
          <w:b/>
          <w:sz w:val="32"/>
          <w:szCs w:val="32"/>
        </w:rPr>
        <w:t>2.公务用车购置及运行维护费支出</w:t>
      </w:r>
      <w:r>
        <w:rPr>
          <w:rFonts w:hint="eastAsia" w:ascii="仿宋" w:hAnsi="仿宋" w:eastAsia="仿宋" w:cs="仿宋"/>
          <w:sz w:val="32"/>
          <w:szCs w:val="32"/>
        </w:rPr>
        <w:t>0万元,</w:t>
      </w:r>
      <w:r>
        <w:rPr>
          <w:rStyle w:val="16"/>
          <w:rFonts w:hint="eastAsia" w:ascii="仿宋" w:hAnsi="仿宋" w:eastAsia="仿宋" w:cs="仿宋"/>
          <w:b w:val="0"/>
          <w:bCs/>
          <w:sz w:val="32"/>
          <w:szCs w:val="32"/>
        </w:rPr>
        <w:t>完成预算</w:t>
      </w:r>
      <w:r>
        <w:rPr>
          <w:rFonts w:hint="eastAsia" w:ascii="仿宋" w:hAnsi="仿宋" w:eastAsia="仿宋" w:cs="仿宋"/>
          <w:sz w:val="32"/>
          <w:szCs w:val="32"/>
        </w:rPr>
        <w:t>0</w:t>
      </w:r>
      <w:r>
        <w:rPr>
          <w:rStyle w:val="16"/>
          <w:rFonts w:hint="eastAsia" w:ascii="仿宋" w:hAnsi="仿宋" w:eastAsia="仿宋" w:cs="仿宋"/>
          <w:b w:val="0"/>
          <w:bCs/>
          <w:sz w:val="32"/>
          <w:szCs w:val="32"/>
        </w:rPr>
        <w:t>%。</w:t>
      </w:r>
      <w:r>
        <w:rPr>
          <w:rFonts w:hint="eastAsia" w:ascii="仿宋" w:hAnsi="仿宋" w:eastAsia="仿宋" w:cs="仿宋"/>
          <w:sz w:val="32"/>
          <w:szCs w:val="32"/>
        </w:rPr>
        <w:t>公务用车购置及运行维护费支出决算比2022年度减少0.54万元，下降100%。主要原因是本年无公务用车购置及运行维护费用。</w:t>
      </w:r>
    </w:p>
    <w:p w14:paraId="18020B01">
      <w:pPr>
        <w:spacing w:line="600" w:lineRule="exact"/>
        <w:ind w:firstLine="640" w:firstLineChars="200"/>
        <w:rPr>
          <w:rFonts w:ascii="仿宋" w:hAnsi="仿宋" w:eastAsia="仿宋" w:cs="仿宋"/>
          <w:b/>
          <w:sz w:val="32"/>
          <w:szCs w:val="32"/>
        </w:rPr>
      </w:pPr>
      <w:r>
        <w:rPr>
          <w:rFonts w:hint="eastAsia" w:ascii="仿宋" w:hAnsi="仿宋" w:eastAsia="仿宋" w:cs="仿宋"/>
          <w:sz w:val="32"/>
          <w:szCs w:val="32"/>
        </w:rPr>
        <w:t>其中：</w:t>
      </w:r>
      <w:r>
        <w:rPr>
          <w:rFonts w:hint="eastAsia" w:ascii="仿宋" w:hAnsi="仿宋" w:eastAsia="仿宋" w:cs="仿宋"/>
          <w:b/>
          <w:sz w:val="32"/>
          <w:szCs w:val="32"/>
        </w:rPr>
        <w:t>公务用车购置支出</w:t>
      </w:r>
      <w:r>
        <w:rPr>
          <w:rFonts w:hint="eastAsia" w:ascii="仿宋" w:hAnsi="仿宋" w:eastAsia="仿宋" w:cs="仿宋"/>
          <w:sz w:val="32"/>
          <w:szCs w:val="32"/>
        </w:rPr>
        <w:t>0万元。全年按规定更新购置公务用车0辆，其中：轿车0辆、金额0万元，越野车0辆、金额0万元，载客汽车0辆、金额0万元。截至2023年12月31日，单位共有公务用车1辆，其中：特种专业用车1辆。</w:t>
      </w:r>
    </w:p>
    <w:p w14:paraId="295E424E">
      <w:pPr>
        <w:spacing w:line="600" w:lineRule="exact"/>
        <w:ind w:firstLine="643" w:firstLineChars="200"/>
        <w:rPr>
          <w:rFonts w:ascii="仿宋_GB2312" w:eastAsia="仿宋_GB2312"/>
          <w:b/>
          <w:sz w:val="32"/>
          <w:szCs w:val="32"/>
        </w:rPr>
      </w:pPr>
    </w:p>
    <w:p w14:paraId="77E2E94B">
      <w:pPr>
        <w:spacing w:line="600" w:lineRule="exact"/>
        <w:ind w:firstLine="640"/>
        <w:rPr>
          <w:rFonts w:ascii="仿宋" w:hAnsi="仿宋" w:eastAsia="仿宋" w:cs="仿宋"/>
          <w:sz w:val="32"/>
          <w:szCs w:val="32"/>
        </w:rPr>
      </w:pPr>
      <w:bookmarkStart w:id="40" w:name="_Toc15377218"/>
      <w:bookmarkStart w:id="41" w:name="_Toc15396610"/>
      <w:r>
        <w:rPr>
          <w:rFonts w:hint="eastAsia" w:ascii="仿宋" w:hAnsi="仿宋" w:eastAsia="仿宋" w:cs="仿宋"/>
          <w:b/>
          <w:sz w:val="32"/>
          <w:szCs w:val="32"/>
        </w:rPr>
        <w:t>公务用车运行维护费支出0</w:t>
      </w:r>
      <w:r>
        <w:rPr>
          <w:rFonts w:hint="eastAsia" w:ascii="仿宋" w:hAnsi="仿宋" w:eastAsia="仿宋" w:cs="仿宋"/>
          <w:sz w:val="32"/>
          <w:szCs w:val="32"/>
        </w:rPr>
        <w:t>万元。</w:t>
      </w:r>
    </w:p>
    <w:p w14:paraId="167E9B39">
      <w:pPr>
        <w:spacing w:line="600" w:lineRule="exact"/>
        <w:ind w:firstLine="640"/>
        <w:rPr>
          <w:rFonts w:ascii="仿宋" w:hAnsi="仿宋" w:eastAsia="仿宋" w:cs="仿宋"/>
          <w:sz w:val="32"/>
          <w:szCs w:val="32"/>
        </w:rPr>
      </w:pPr>
      <w:r>
        <w:rPr>
          <w:rFonts w:hint="eastAsia" w:ascii="仿宋" w:hAnsi="仿宋" w:eastAsia="仿宋" w:cs="仿宋"/>
          <w:sz w:val="32"/>
          <w:szCs w:val="32"/>
        </w:rPr>
        <w:t>公务接待费支出决算比2022年度减少0.54万元，下降100%。主要原因是本年无三公经费支出。其中：</w:t>
      </w:r>
    </w:p>
    <w:p w14:paraId="6A6C7321">
      <w:pPr>
        <w:spacing w:line="600" w:lineRule="exact"/>
        <w:ind w:firstLine="640"/>
        <w:rPr>
          <w:rFonts w:ascii="仿宋" w:hAnsi="仿宋" w:eastAsia="仿宋" w:cs="仿宋"/>
          <w:b w:val="0"/>
          <w:bCs/>
          <w:sz w:val="32"/>
          <w:szCs w:val="32"/>
        </w:rPr>
      </w:pPr>
      <w:r>
        <w:rPr>
          <w:rFonts w:hint="eastAsia" w:ascii="仿宋" w:hAnsi="仿宋" w:eastAsia="仿宋" w:cs="仿宋"/>
          <w:b w:val="0"/>
          <w:bCs/>
          <w:sz w:val="32"/>
          <w:szCs w:val="32"/>
        </w:rPr>
        <w:t>国内公务接待支出0万元。</w:t>
      </w:r>
    </w:p>
    <w:p w14:paraId="1DD2BC45">
      <w:pPr>
        <w:spacing w:line="600" w:lineRule="exact"/>
        <w:ind w:firstLine="640" w:firstLineChars="200"/>
        <w:rPr>
          <w:rFonts w:hint="eastAsia" w:ascii="仿宋" w:hAnsi="仿宋" w:eastAsia="仿宋" w:cs="仿宋"/>
          <w:b w:val="0"/>
          <w:bCs/>
          <w:sz w:val="32"/>
          <w:szCs w:val="32"/>
          <w:highlight w:val="yellow"/>
        </w:rPr>
      </w:pPr>
      <w:r>
        <w:rPr>
          <w:rFonts w:hint="eastAsia" w:ascii="仿宋" w:hAnsi="仿宋" w:eastAsia="仿宋" w:cs="仿宋"/>
          <w:b w:val="0"/>
          <w:bCs/>
          <w:sz w:val="32"/>
          <w:szCs w:val="32"/>
          <w:highlight w:val="none"/>
        </w:rPr>
        <w:t>外事接待支出0万元。</w:t>
      </w:r>
    </w:p>
    <w:p w14:paraId="2C5CE595">
      <w:pPr>
        <w:pStyle w:val="2"/>
        <w:ind w:firstLine="640" w:firstLineChars="200"/>
        <w:rPr>
          <w:rFonts w:ascii="黑体" w:eastAsia="黑体"/>
          <w:sz w:val="32"/>
          <w:szCs w:val="32"/>
          <w:highlight w:val="yellow"/>
        </w:rPr>
      </w:pPr>
      <w:r>
        <w:rPr>
          <w:rFonts w:hint="default" w:ascii="Times New Roman" w:hAnsi="Times New Roman" w:eastAsia="仿宋_GB2312" w:cs="Times New Roman"/>
          <w:b w:val="0"/>
          <w:bCs/>
          <w:sz w:val="32"/>
          <w:szCs w:val="32"/>
        </w:rPr>
        <w:t>国内公务接待</w:t>
      </w:r>
      <w:r>
        <w:rPr>
          <w:rFonts w:hint="eastAsia" w:ascii="Times New Roman" w:hAnsi="Times New Roman" w:cs="Times New Roman"/>
          <w:b w:val="0"/>
          <w:bCs/>
          <w:sz w:val="32"/>
          <w:szCs w:val="32"/>
          <w:lang w:val="en-US" w:eastAsia="zh-CN"/>
        </w:rPr>
        <w:t>费</w:t>
      </w:r>
      <w:r>
        <w:rPr>
          <w:rFonts w:hint="default" w:ascii="Times New Roman" w:hAnsi="Times New Roman" w:eastAsia="仿宋_GB2312" w:cs="Times New Roman"/>
          <w:b w:val="0"/>
          <w:bCs/>
          <w:sz w:val="32"/>
          <w:szCs w:val="32"/>
        </w:rPr>
        <w:t>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14:paraId="2E3E40BF">
      <w:pPr>
        <w:spacing w:line="600" w:lineRule="exact"/>
        <w:ind w:firstLine="640"/>
        <w:outlineLvl w:val="1"/>
        <w:rPr>
          <w:rStyle w:val="28"/>
          <w:rFonts w:ascii="黑体" w:hAnsi="黑体" w:eastAsia="黑体"/>
          <w:highlight w:val="none"/>
        </w:rPr>
      </w:pPr>
      <w:r>
        <w:rPr>
          <w:rFonts w:hint="eastAsia" w:ascii="黑体" w:eastAsia="黑体"/>
          <w:sz w:val="32"/>
          <w:szCs w:val="32"/>
          <w:highlight w:val="none"/>
        </w:rPr>
        <w:t>八、</w:t>
      </w:r>
      <w:r>
        <w:rPr>
          <w:rStyle w:val="28"/>
          <w:rFonts w:hint="eastAsia" w:ascii="黑体" w:hAnsi="黑体" w:eastAsia="黑体"/>
          <w:b w:val="0"/>
          <w:highlight w:val="none"/>
        </w:rPr>
        <w:t>政府性基金预算支出决算情况说明</w:t>
      </w:r>
      <w:bookmarkEnd w:id="40"/>
      <w:bookmarkEnd w:id="41"/>
    </w:p>
    <w:p w14:paraId="5D2A63EF">
      <w:pPr>
        <w:spacing w:line="600" w:lineRule="exact"/>
        <w:ind w:firstLine="640"/>
        <w:rPr>
          <w:highlight w:val="yellow"/>
        </w:rPr>
      </w:pPr>
      <w:r>
        <w:rPr>
          <w:rFonts w:hint="eastAsia" w:ascii="仿宋" w:hAnsi="仿宋" w:eastAsia="仿宋" w:cs="仿宋"/>
          <w:sz w:val="32"/>
          <w:szCs w:val="32"/>
          <w:highlight w:val="none"/>
        </w:rPr>
        <w:t>2023年度政府性基金预算财政拨款支出0万元。</w:t>
      </w:r>
      <w:r>
        <w:rPr>
          <w:rFonts w:hint="eastAsia" w:eastAsia="仿宋_GB2312" w:cs="Times New Roman"/>
          <w:sz w:val="32"/>
          <w:szCs w:val="32"/>
          <w:lang w:eastAsia="zh-CN"/>
        </w:rPr>
        <w:t>本单位</w:t>
      </w: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政府性基金预算财政拨款</w:t>
      </w:r>
      <w:r>
        <w:rPr>
          <w:rFonts w:hint="default" w:ascii="Times New Roman" w:hAnsi="Times New Roman" w:eastAsia="仿宋_GB2312" w:cs="Times New Roman"/>
          <w:sz w:val="32"/>
          <w:szCs w:val="32"/>
          <w:lang w:eastAsia="zh-CN"/>
        </w:rPr>
        <w:t>收入，无</w:t>
      </w:r>
      <w:r>
        <w:rPr>
          <w:rFonts w:hint="default" w:ascii="Times New Roman" w:hAnsi="Times New Roman" w:eastAsia="仿宋_GB2312" w:cs="Times New Roman"/>
          <w:sz w:val="32"/>
          <w:szCs w:val="32"/>
        </w:rPr>
        <w:t>政府性基金预算财政拨款</w:t>
      </w:r>
      <w:r>
        <w:rPr>
          <w:rFonts w:hint="default" w:ascii="Times New Roman" w:hAnsi="Times New Roman" w:eastAsia="仿宋_GB2312" w:cs="Times New Roman"/>
          <w:sz w:val="32"/>
          <w:szCs w:val="32"/>
          <w:lang w:eastAsia="zh-CN"/>
        </w:rPr>
        <w:t>支出。</w:t>
      </w:r>
    </w:p>
    <w:p w14:paraId="1D804752">
      <w:pPr>
        <w:numPr>
          <w:ilvl w:val="0"/>
          <w:numId w:val="3"/>
        </w:numPr>
        <w:spacing w:line="600" w:lineRule="exact"/>
        <w:ind w:firstLine="640"/>
        <w:outlineLvl w:val="1"/>
        <w:rPr>
          <w:rStyle w:val="28"/>
          <w:rFonts w:ascii="黑体" w:hAnsi="黑体" w:eastAsia="黑体"/>
          <w:b w:val="0"/>
          <w:highlight w:val="none"/>
        </w:rPr>
      </w:pPr>
      <w:bookmarkStart w:id="42" w:name="_Toc15396611"/>
      <w:bookmarkStart w:id="43" w:name="_Toc15377219"/>
      <w:r>
        <w:rPr>
          <w:rStyle w:val="28"/>
          <w:rFonts w:hint="eastAsia" w:ascii="黑体" w:hAnsi="黑体" w:eastAsia="黑体"/>
          <w:b w:val="0"/>
          <w:highlight w:val="none"/>
        </w:rPr>
        <w:t>国有资本经营预算支出决算情况说明</w:t>
      </w:r>
      <w:bookmarkEnd w:id="42"/>
      <w:bookmarkEnd w:id="43"/>
    </w:p>
    <w:p w14:paraId="529CFA76">
      <w:pPr>
        <w:spacing w:line="600" w:lineRule="exact"/>
        <w:ind w:firstLine="640"/>
        <w:rPr>
          <w:highlight w:val="yellow"/>
        </w:rPr>
      </w:pPr>
      <w:r>
        <w:rPr>
          <w:rFonts w:hint="eastAsia" w:ascii="仿宋" w:hAnsi="仿宋" w:eastAsia="仿宋" w:cs="仿宋"/>
          <w:sz w:val="32"/>
          <w:szCs w:val="32"/>
          <w:highlight w:val="none"/>
        </w:rPr>
        <w:t>2023年度国有资本经营预算财政拨款支出0万元。</w:t>
      </w:r>
      <w:r>
        <w:rPr>
          <w:rFonts w:hint="default" w:ascii="Times New Roman" w:hAnsi="Times New Roman" w:eastAsia="仿宋_GB2312" w:cs="Times New Roman"/>
          <w:sz w:val="32"/>
          <w:szCs w:val="32"/>
          <w:lang w:eastAsia="zh-CN"/>
        </w:rPr>
        <w:t>本中心无</w:t>
      </w:r>
      <w:r>
        <w:rPr>
          <w:rFonts w:hint="default" w:ascii="Times New Roman" w:hAnsi="Times New Roman" w:eastAsia="仿宋_GB2312" w:cs="Times New Roman"/>
          <w:sz w:val="32"/>
          <w:szCs w:val="32"/>
        </w:rPr>
        <w:t>国有资本经营预算财政拨款</w:t>
      </w:r>
      <w:r>
        <w:rPr>
          <w:rFonts w:hint="default" w:ascii="Times New Roman" w:hAnsi="Times New Roman" w:eastAsia="仿宋_GB2312" w:cs="Times New Roman"/>
          <w:sz w:val="32"/>
          <w:szCs w:val="32"/>
          <w:lang w:eastAsia="zh-CN"/>
        </w:rPr>
        <w:t>收入，无</w:t>
      </w:r>
      <w:r>
        <w:rPr>
          <w:rFonts w:hint="default" w:ascii="Times New Roman" w:hAnsi="Times New Roman" w:eastAsia="仿宋_GB2312" w:cs="Times New Roman"/>
          <w:sz w:val="32"/>
          <w:szCs w:val="32"/>
        </w:rPr>
        <w:t>国有资本经营预算财政拨款</w:t>
      </w:r>
      <w:r>
        <w:rPr>
          <w:rFonts w:hint="default" w:ascii="Times New Roman" w:hAnsi="Times New Roman" w:eastAsia="仿宋_GB2312" w:cs="Times New Roman"/>
          <w:sz w:val="32"/>
          <w:szCs w:val="32"/>
          <w:lang w:eastAsia="zh-CN"/>
        </w:rPr>
        <w:t>支出。</w:t>
      </w:r>
    </w:p>
    <w:p w14:paraId="13F675E3">
      <w:pPr>
        <w:numPr>
          <w:ilvl w:val="0"/>
          <w:numId w:val="3"/>
        </w:numPr>
        <w:spacing w:line="600" w:lineRule="exact"/>
        <w:ind w:firstLine="640"/>
        <w:outlineLvl w:val="1"/>
        <w:rPr>
          <w:rStyle w:val="28"/>
          <w:rFonts w:ascii="黑体" w:hAnsi="黑体" w:eastAsia="黑体"/>
          <w:b w:val="0"/>
          <w:highlight w:val="none"/>
        </w:rPr>
      </w:pPr>
      <w:bookmarkStart w:id="44" w:name="_Toc15396612"/>
      <w:bookmarkStart w:id="45" w:name="_Toc15377221"/>
      <w:r>
        <w:rPr>
          <w:rStyle w:val="28"/>
          <w:rFonts w:hint="eastAsia" w:ascii="黑体" w:hAnsi="黑体" w:eastAsia="黑体"/>
          <w:b w:val="0"/>
          <w:highlight w:val="none"/>
        </w:rPr>
        <w:t>其他重要事项的情况说明</w:t>
      </w:r>
      <w:bookmarkEnd w:id="44"/>
      <w:bookmarkEnd w:id="45"/>
    </w:p>
    <w:p w14:paraId="69B49CCB">
      <w:pPr>
        <w:spacing w:line="600" w:lineRule="exact"/>
        <w:ind w:firstLine="643" w:firstLineChars="200"/>
        <w:outlineLvl w:val="2"/>
        <w:rPr>
          <w:rFonts w:ascii="仿宋" w:hAnsi="仿宋" w:eastAsia="仿宋"/>
          <w:sz w:val="32"/>
          <w:szCs w:val="32"/>
        </w:rPr>
      </w:pPr>
      <w:bookmarkStart w:id="46" w:name="_Toc15377222"/>
      <w:r>
        <w:rPr>
          <w:rFonts w:hint="eastAsia" w:ascii="仿宋" w:hAnsi="仿宋" w:eastAsia="仿宋"/>
          <w:b/>
          <w:sz w:val="32"/>
          <w:szCs w:val="32"/>
          <w:highlight w:val="none"/>
        </w:rPr>
        <w:t>（一）机关运行经</w:t>
      </w:r>
      <w:r>
        <w:rPr>
          <w:rFonts w:hint="eastAsia" w:ascii="仿宋" w:hAnsi="仿宋" w:eastAsia="仿宋"/>
          <w:b/>
          <w:sz w:val="32"/>
          <w:szCs w:val="32"/>
        </w:rPr>
        <w:t>费支出情况</w:t>
      </w:r>
      <w:bookmarkEnd w:id="46"/>
    </w:p>
    <w:p w14:paraId="6DE1C004">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2023年度，</w:t>
      </w:r>
      <w:r>
        <w:rPr>
          <w:rFonts w:hint="eastAsia" w:ascii="仿宋" w:hAnsi="仿宋" w:eastAsia="仿宋" w:cs="仿宋"/>
          <w:b w:val="0"/>
          <w:bCs/>
          <w:sz w:val="32"/>
          <w:szCs w:val="32"/>
        </w:rPr>
        <w:t>盐边县妇幼保健服务中心</w:t>
      </w:r>
      <w:r>
        <w:rPr>
          <w:rFonts w:hint="eastAsia" w:ascii="仿宋" w:hAnsi="仿宋" w:eastAsia="仿宋" w:cs="仿宋"/>
          <w:sz w:val="32"/>
          <w:szCs w:val="32"/>
        </w:rPr>
        <w:t>机关运行经费支出</w:t>
      </w:r>
      <w:r>
        <w:rPr>
          <w:rFonts w:hint="eastAsia" w:ascii="仿宋" w:hAnsi="仿宋" w:eastAsia="仿宋" w:cs="仿宋"/>
          <w:b/>
          <w:sz w:val="32"/>
          <w:szCs w:val="32"/>
        </w:rPr>
        <w:t>0</w:t>
      </w:r>
      <w:r>
        <w:rPr>
          <w:rFonts w:hint="eastAsia" w:ascii="仿宋" w:hAnsi="仿宋" w:eastAsia="仿宋" w:cs="仿宋"/>
          <w:sz w:val="32"/>
          <w:szCs w:val="32"/>
        </w:rPr>
        <w:t>万元，比2022年度持平。</w:t>
      </w:r>
    </w:p>
    <w:p w14:paraId="3C1D9C03">
      <w:pPr>
        <w:autoSpaceDE w:val="0"/>
        <w:autoSpaceDN w:val="0"/>
        <w:adjustRightInd w:val="0"/>
        <w:spacing w:line="600" w:lineRule="exact"/>
        <w:ind w:firstLine="643" w:firstLineChars="200"/>
        <w:jc w:val="left"/>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14:paraId="425C4E45">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2023年度，</w:t>
      </w:r>
      <w:r>
        <w:rPr>
          <w:rFonts w:hint="eastAsia" w:ascii="仿宋" w:hAnsi="仿宋" w:eastAsia="仿宋" w:cs="仿宋"/>
          <w:bCs/>
          <w:sz w:val="32"/>
          <w:szCs w:val="32"/>
        </w:rPr>
        <w:t>盐边县妇幼保健服务中心</w:t>
      </w:r>
      <w:r>
        <w:rPr>
          <w:rFonts w:hint="eastAsia" w:ascii="仿宋" w:hAnsi="仿宋" w:eastAsia="仿宋" w:cs="仿宋"/>
          <w:sz w:val="32"/>
          <w:szCs w:val="32"/>
        </w:rPr>
        <w:t>政府采购支出总额</w:t>
      </w:r>
      <w:r>
        <w:rPr>
          <w:rFonts w:hint="eastAsia" w:ascii="仿宋" w:hAnsi="仿宋" w:eastAsia="仿宋" w:cs="仿宋"/>
          <w:b/>
          <w:sz w:val="32"/>
          <w:szCs w:val="32"/>
        </w:rPr>
        <w:t>0</w:t>
      </w:r>
      <w:r>
        <w:rPr>
          <w:rFonts w:hint="eastAsia" w:ascii="仿宋" w:hAnsi="仿宋" w:eastAsia="仿宋" w:cs="仿宋"/>
          <w:sz w:val="32"/>
          <w:szCs w:val="32"/>
        </w:rPr>
        <w:t>万元，其中：政府采购货物支出</w:t>
      </w:r>
      <w:r>
        <w:rPr>
          <w:rFonts w:hint="eastAsia" w:ascii="仿宋" w:hAnsi="仿宋" w:eastAsia="仿宋" w:cs="仿宋"/>
          <w:b/>
          <w:sz w:val="32"/>
          <w:szCs w:val="32"/>
        </w:rPr>
        <w:t>0</w:t>
      </w:r>
      <w:r>
        <w:rPr>
          <w:rFonts w:hint="eastAsia" w:ascii="仿宋" w:hAnsi="仿宋" w:eastAsia="仿宋" w:cs="仿宋"/>
          <w:sz w:val="32"/>
          <w:szCs w:val="32"/>
        </w:rPr>
        <w:t>万元、政府采购工程支出</w:t>
      </w:r>
      <w:r>
        <w:rPr>
          <w:rFonts w:hint="eastAsia" w:ascii="仿宋" w:hAnsi="仿宋" w:eastAsia="仿宋" w:cs="仿宋"/>
          <w:b/>
          <w:sz w:val="32"/>
          <w:szCs w:val="32"/>
        </w:rPr>
        <w:t>0</w:t>
      </w:r>
      <w:r>
        <w:rPr>
          <w:rFonts w:hint="eastAsia" w:ascii="仿宋" w:hAnsi="仿宋" w:eastAsia="仿宋" w:cs="仿宋"/>
          <w:sz w:val="32"/>
          <w:szCs w:val="32"/>
        </w:rPr>
        <w:t>万元、政府采购服务支出</w:t>
      </w:r>
      <w:r>
        <w:rPr>
          <w:rFonts w:hint="eastAsia" w:ascii="仿宋" w:hAnsi="仿宋" w:eastAsia="仿宋" w:cs="仿宋"/>
          <w:b/>
          <w:sz w:val="32"/>
          <w:szCs w:val="32"/>
        </w:rPr>
        <w:t>0</w:t>
      </w:r>
      <w:r>
        <w:rPr>
          <w:rFonts w:hint="eastAsia" w:ascii="仿宋" w:hAnsi="仿宋" w:eastAsia="仿宋" w:cs="仿宋"/>
          <w:sz w:val="32"/>
          <w:szCs w:val="32"/>
        </w:rPr>
        <w:t>万元。授予中小企业合同金额</w:t>
      </w:r>
      <w:r>
        <w:rPr>
          <w:rFonts w:hint="eastAsia" w:ascii="仿宋" w:hAnsi="仿宋" w:eastAsia="仿宋" w:cs="仿宋"/>
          <w:b/>
          <w:sz w:val="32"/>
          <w:szCs w:val="32"/>
        </w:rPr>
        <w:t>0</w:t>
      </w:r>
      <w:r>
        <w:rPr>
          <w:rFonts w:hint="eastAsia" w:ascii="仿宋" w:hAnsi="仿宋" w:eastAsia="仿宋" w:cs="仿宋"/>
          <w:sz w:val="32"/>
          <w:szCs w:val="32"/>
        </w:rPr>
        <w:t>万元，占政府采购支出总额的0%，其中：授予小微企业合同金额</w:t>
      </w:r>
      <w:r>
        <w:rPr>
          <w:rFonts w:hint="eastAsia" w:ascii="仿宋" w:hAnsi="仿宋" w:eastAsia="仿宋" w:cs="仿宋"/>
          <w:b/>
          <w:sz w:val="32"/>
          <w:szCs w:val="32"/>
        </w:rPr>
        <w:t>0</w:t>
      </w:r>
      <w:r>
        <w:rPr>
          <w:rFonts w:hint="eastAsia" w:ascii="仿宋" w:hAnsi="仿宋" w:eastAsia="仿宋" w:cs="仿宋"/>
          <w:sz w:val="32"/>
          <w:szCs w:val="32"/>
        </w:rPr>
        <w:t>万元，占政府采购支出总额的</w:t>
      </w:r>
      <w:r>
        <w:rPr>
          <w:rFonts w:hint="eastAsia" w:ascii="仿宋" w:hAnsi="仿宋" w:eastAsia="仿宋" w:cs="仿宋"/>
          <w:b/>
          <w:sz w:val="32"/>
          <w:szCs w:val="32"/>
        </w:rPr>
        <w:t>0</w:t>
      </w:r>
      <w:r>
        <w:rPr>
          <w:rFonts w:hint="eastAsia" w:ascii="仿宋" w:hAnsi="仿宋" w:eastAsia="仿宋" w:cs="仿宋"/>
          <w:sz w:val="32"/>
          <w:szCs w:val="32"/>
        </w:rPr>
        <w:t>%。</w:t>
      </w:r>
    </w:p>
    <w:p w14:paraId="5F715F72">
      <w:pPr>
        <w:autoSpaceDE w:val="0"/>
        <w:autoSpaceDN w:val="0"/>
        <w:adjustRightInd w:val="0"/>
        <w:spacing w:line="600" w:lineRule="exact"/>
        <w:ind w:firstLine="643" w:firstLineChars="200"/>
        <w:jc w:val="left"/>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14:paraId="2E6455E3">
      <w:pPr>
        <w:autoSpaceDE w:val="0"/>
        <w:autoSpaceDN w:val="0"/>
        <w:adjustRightInd w:val="0"/>
        <w:spacing w:line="6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截至2023年12月31日，</w:t>
      </w:r>
      <w:r>
        <w:rPr>
          <w:rFonts w:hint="eastAsia" w:ascii="仿宋" w:hAnsi="仿宋" w:eastAsia="仿宋" w:cs="仿宋"/>
          <w:bCs/>
          <w:sz w:val="32"/>
          <w:szCs w:val="32"/>
        </w:rPr>
        <w:t>盐边县妇幼保健服务中心</w:t>
      </w:r>
      <w:r>
        <w:rPr>
          <w:rFonts w:hint="eastAsia" w:ascii="仿宋" w:hAnsi="仿宋" w:eastAsia="仿宋" w:cs="仿宋"/>
          <w:sz w:val="32"/>
          <w:szCs w:val="32"/>
        </w:rPr>
        <w:t>共有车辆</w:t>
      </w:r>
      <w:r>
        <w:rPr>
          <w:rFonts w:hint="eastAsia" w:ascii="仿宋" w:hAnsi="仿宋" w:eastAsia="仿宋" w:cs="仿宋"/>
          <w:b/>
          <w:sz w:val="32"/>
          <w:szCs w:val="32"/>
        </w:rPr>
        <w:t>1</w:t>
      </w:r>
      <w:r>
        <w:rPr>
          <w:rFonts w:hint="eastAsia" w:ascii="仿宋" w:hAnsi="仿宋" w:eastAsia="仿宋" w:cs="仿宋"/>
          <w:sz w:val="32"/>
          <w:szCs w:val="32"/>
        </w:rPr>
        <w:t>辆，其中：其他用车1辆，其他用车主要是用于小型救护车用于下乡督导。单价100万元以上设备（不含车辆）</w:t>
      </w:r>
      <w:r>
        <w:rPr>
          <w:rFonts w:hint="eastAsia" w:ascii="仿宋" w:hAnsi="仿宋" w:eastAsia="仿宋" w:cs="仿宋"/>
          <w:b/>
          <w:sz w:val="32"/>
          <w:szCs w:val="32"/>
        </w:rPr>
        <w:t>0</w:t>
      </w:r>
      <w:r>
        <w:rPr>
          <w:rFonts w:hint="eastAsia" w:ascii="仿宋" w:hAnsi="仿宋" w:eastAsia="仿宋" w:cs="仿宋"/>
          <w:sz w:val="32"/>
          <w:szCs w:val="32"/>
        </w:rPr>
        <w:t>台（套）。</w:t>
      </w:r>
    </w:p>
    <w:p w14:paraId="2BF5C591">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4A059C8E">
      <w:pPr>
        <w:widowControl/>
        <w:ind w:firstLine="640" w:firstLineChars="200"/>
        <w:jc w:val="left"/>
        <w:rPr>
          <w:rFonts w:eastAsia="仿宋_GB2312"/>
          <w:b/>
          <w:sz w:val="32"/>
          <w:szCs w:val="32"/>
        </w:rPr>
      </w:pPr>
      <w:r>
        <w:rPr>
          <w:rFonts w:hint="eastAsia" w:ascii="仿宋" w:hAnsi="仿宋" w:eastAsia="仿宋" w:cs="仿宋"/>
          <w:sz w:val="32"/>
          <w:szCs w:val="32"/>
        </w:rPr>
        <w:t>根据预算绩效管理要求，本单位在2023年度预算编制阶段，组织对医疗机构事业发展资金项目、基本公共卫生（孕检）补助资金项目、基本公共卫生（妇幼卫生监测）资金项目、卫生健康专项资金（婚检）资金项目、医疗服务与保障能力提升资金项目、重大公共卫生补助资金（重大传染病防控-艾滋病、乙肝、梅毒）项目、新冠肺炎疫情防控资金项目等20个项目开展了预算事前绩效评估，对20个项目编制了绩效目标，预算执行过程中，选取20个项目开展绩效监控,组织对20个项目开展绩效自评，绩效自评表详见第四部分附件。</w:t>
      </w:r>
      <w:r>
        <w:rPr>
          <w:rFonts w:eastAsia="仿宋_GB2312"/>
          <w:b/>
          <w:sz w:val="32"/>
          <w:szCs w:val="32"/>
        </w:rPr>
        <w:br w:type="page"/>
      </w:r>
    </w:p>
    <w:p w14:paraId="31C55EB5">
      <w:pPr>
        <w:pStyle w:val="3"/>
        <w:jc w:val="center"/>
      </w:pPr>
      <w:r>
        <w:rPr>
          <w:rFonts w:hint="eastAsia"/>
        </w:rPr>
        <w:t>第三部分 名词解释</w:t>
      </w:r>
    </w:p>
    <w:p w14:paraId="446B3E4F"/>
    <w:p w14:paraId="2BD3F806">
      <w:pPr>
        <w:pStyle w:val="25"/>
        <w:spacing w:line="560" w:lineRule="exact"/>
        <w:ind w:firstLine="640" w:firstLineChars="200"/>
        <w:rPr>
          <w:rFonts w:hAnsi="仿宋"/>
          <w:color w:val="auto"/>
          <w:sz w:val="32"/>
          <w:szCs w:val="32"/>
        </w:rPr>
      </w:pPr>
      <w:r>
        <w:rPr>
          <w:rFonts w:hint="eastAsia" w:hAnsi="仿宋"/>
          <w:color w:val="auto"/>
          <w:sz w:val="32"/>
          <w:szCs w:val="32"/>
        </w:rPr>
        <w:t>1.财政拨款收入：指单位从同级财政部门取得的财政预算资金。</w:t>
      </w:r>
    </w:p>
    <w:p w14:paraId="27474C3B">
      <w:pPr>
        <w:pStyle w:val="25"/>
        <w:spacing w:line="560" w:lineRule="exact"/>
        <w:ind w:firstLine="640" w:firstLineChars="200"/>
        <w:rPr>
          <w:rFonts w:hAnsi="仿宋"/>
          <w:color w:val="auto"/>
          <w:sz w:val="32"/>
          <w:szCs w:val="32"/>
        </w:rPr>
      </w:pPr>
      <w:r>
        <w:rPr>
          <w:rFonts w:hint="eastAsia" w:hAnsi="仿宋"/>
          <w:color w:val="auto"/>
          <w:sz w:val="32"/>
          <w:szCs w:val="32"/>
        </w:rPr>
        <w:t>2.事业收入：指事业单位开展专业业务活动及辅助活动取得的收入。</w:t>
      </w:r>
    </w:p>
    <w:p w14:paraId="7BC400BF">
      <w:pPr>
        <w:pStyle w:val="25"/>
        <w:spacing w:line="560" w:lineRule="exact"/>
        <w:ind w:firstLine="640" w:firstLineChars="200"/>
        <w:rPr>
          <w:rFonts w:hAnsi="仿宋"/>
          <w:color w:val="auto"/>
          <w:sz w:val="32"/>
          <w:szCs w:val="32"/>
        </w:rPr>
      </w:pPr>
      <w:r>
        <w:rPr>
          <w:rFonts w:hint="eastAsia" w:hAnsi="仿宋"/>
          <w:color w:val="auto"/>
          <w:sz w:val="32"/>
          <w:szCs w:val="32"/>
        </w:rPr>
        <w:t>3.经营收入：指事业单位在专业业务活动及其辅助活动之外开展非独立核算经营活动取得的收入。</w:t>
      </w:r>
    </w:p>
    <w:p w14:paraId="5CE4C861">
      <w:pPr>
        <w:pStyle w:val="25"/>
        <w:spacing w:line="560" w:lineRule="exact"/>
        <w:ind w:firstLine="640" w:firstLineChars="200"/>
        <w:rPr>
          <w:rFonts w:hAnsi="仿宋"/>
          <w:color w:val="auto"/>
          <w:sz w:val="32"/>
          <w:szCs w:val="32"/>
        </w:rPr>
      </w:pPr>
      <w:r>
        <w:rPr>
          <w:rFonts w:hint="eastAsia" w:hAnsi="仿宋"/>
          <w:color w:val="auto"/>
          <w:sz w:val="32"/>
          <w:szCs w:val="32"/>
        </w:rPr>
        <w:t xml:space="preserve">4.其他收入：指单位取得的除上述收入以外的各项收入。 </w:t>
      </w:r>
    </w:p>
    <w:p w14:paraId="28359502">
      <w:pPr>
        <w:pStyle w:val="25"/>
        <w:spacing w:line="560" w:lineRule="exact"/>
        <w:ind w:firstLine="640" w:firstLineChars="200"/>
        <w:rPr>
          <w:rFonts w:hAnsi="仿宋"/>
          <w:color w:val="auto"/>
          <w:sz w:val="32"/>
          <w:szCs w:val="32"/>
        </w:rPr>
      </w:pPr>
      <w:r>
        <w:rPr>
          <w:rFonts w:hint="eastAsia" w:hAnsi="仿宋"/>
          <w:color w:val="auto"/>
          <w:sz w:val="32"/>
          <w:szCs w:val="32"/>
        </w:rPr>
        <w:t>5.</w:t>
      </w:r>
      <w:r>
        <w:rPr>
          <w:rFonts w:hint="eastAsia" w:hAnsi="仿宋"/>
          <w:sz w:val="32"/>
          <w:szCs w:val="32"/>
        </w:rPr>
        <w:t>使用非财政拨款结余（含专用结余）</w:t>
      </w:r>
      <w:r>
        <w:rPr>
          <w:rFonts w:hint="eastAsia" w:hAnsi="仿宋"/>
          <w:color w:val="auto"/>
          <w:sz w:val="32"/>
          <w:szCs w:val="32"/>
        </w:rPr>
        <w:t xml:space="preserve">：指事业单位使用以前年度积累的非财政拨款结余弥补当年收支差额的金额。 </w:t>
      </w:r>
    </w:p>
    <w:p w14:paraId="6657BD8B">
      <w:pPr>
        <w:pStyle w:val="25"/>
        <w:spacing w:line="560" w:lineRule="exact"/>
        <w:ind w:firstLine="640" w:firstLineChars="200"/>
        <w:rPr>
          <w:rFonts w:hAnsi="仿宋"/>
          <w:color w:val="auto"/>
          <w:sz w:val="32"/>
          <w:szCs w:val="32"/>
        </w:rPr>
      </w:pPr>
      <w:r>
        <w:rPr>
          <w:rFonts w:hint="eastAsia" w:hAnsi="仿宋"/>
          <w:color w:val="auto"/>
          <w:sz w:val="32"/>
          <w:szCs w:val="32"/>
        </w:rPr>
        <w:t xml:space="preserve">6.年初结转和结余：指以前年度尚未完成、结转到本年按有关规定继续使用的资金。 </w:t>
      </w:r>
    </w:p>
    <w:p w14:paraId="485F0437">
      <w:pPr>
        <w:pStyle w:val="25"/>
        <w:spacing w:line="560" w:lineRule="exact"/>
        <w:ind w:firstLine="640" w:firstLineChars="200"/>
        <w:rPr>
          <w:rFonts w:hAnsi="仿宋"/>
          <w:color w:val="auto"/>
          <w:sz w:val="32"/>
          <w:szCs w:val="32"/>
        </w:rPr>
      </w:pPr>
      <w:r>
        <w:rPr>
          <w:rFonts w:hint="eastAsia" w:hAnsi="仿宋"/>
          <w:color w:val="auto"/>
          <w:sz w:val="32"/>
          <w:szCs w:val="32"/>
        </w:rPr>
        <w:t>7.结余分配：指事业单位按照会计制度规定缴纳的所得税、提取的专用结余以及转入非财政拨款结余的金额等。</w:t>
      </w:r>
    </w:p>
    <w:p w14:paraId="43260709">
      <w:pPr>
        <w:pStyle w:val="25"/>
        <w:spacing w:line="560" w:lineRule="exact"/>
        <w:ind w:firstLine="640" w:firstLineChars="200"/>
        <w:rPr>
          <w:rFonts w:hAnsi="仿宋"/>
          <w:color w:val="auto"/>
          <w:sz w:val="32"/>
          <w:szCs w:val="32"/>
        </w:rPr>
      </w:pPr>
      <w:r>
        <w:rPr>
          <w:rFonts w:hint="eastAsia" w:hAnsi="仿宋"/>
          <w:color w:val="auto"/>
          <w:sz w:val="32"/>
          <w:szCs w:val="32"/>
        </w:rPr>
        <w:t>8.年末结转和结余：指单位按有关规定结转到下年或以后年度继续使用的资金。</w:t>
      </w:r>
    </w:p>
    <w:p w14:paraId="42CF7076">
      <w:pPr>
        <w:spacing w:line="560" w:lineRule="exact"/>
        <w:ind w:firstLine="640" w:firstLineChars="200"/>
        <w:rPr>
          <w:rFonts w:ascii="仿宋" w:hAnsi="仿宋" w:eastAsia="仿宋" w:cs="仿宋"/>
          <w:sz w:val="32"/>
          <w:szCs w:val="32"/>
        </w:rPr>
      </w:pPr>
      <w:r>
        <w:rPr>
          <w:rStyle w:val="16"/>
          <w:rFonts w:hint="eastAsia" w:ascii="仿宋" w:hAnsi="仿宋" w:eastAsia="仿宋" w:cs="仿宋"/>
          <w:b w:val="0"/>
          <w:sz w:val="32"/>
          <w:szCs w:val="32"/>
        </w:rPr>
        <w:t>社会保障和就业（类）行政事业单位养老支出（款）事业单位离退休（项）:</w:t>
      </w:r>
      <w:r>
        <w:rPr>
          <w:rFonts w:hint="eastAsia" w:ascii="仿宋" w:hAnsi="仿宋" w:eastAsia="仿宋" w:cs="仿宋"/>
          <w:sz w:val="32"/>
          <w:szCs w:val="32"/>
        </w:rPr>
        <w:t>指用于购买退休人员的公务员医疗保险、生活补贴支出。</w:t>
      </w:r>
    </w:p>
    <w:p w14:paraId="1E75DFCC">
      <w:pPr>
        <w:spacing w:line="560" w:lineRule="exact"/>
        <w:ind w:firstLine="640" w:firstLineChars="200"/>
        <w:rPr>
          <w:rFonts w:ascii="仿宋" w:hAnsi="仿宋" w:eastAsia="仿宋" w:cs="仿宋"/>
          <w:sz w:val="32"/>
          <w:szCs w:val="32"/>
        </w:rPr>
      </w:pPr>
      <w:r>
        <w:rPr>
          <w:rStyle w:val="16"/>
          <w:rFonts w:hint="eastAsia" w:ascii="仿宋" w:hAnsi="仿宋" w:eastAsia="仿宋" w:cs="仿宋"/>
          <w:b w:val="0"/>
          <w:sz w:val="32"/>
          <w:szCs w:val="32"/>
        </w:rPr>
        <w:t>9.社会保障和就业（类）行政事业单位养老支出（款）机关事业单位基本养老保险缴费支出（项）:</w:t>
      </w:r>
      <w:r>
        <w:rPr>
          <w:rFonts w:hint="eastAsia" w:ascii="仿宋" w:hAnsi="仿宋" w:eastAsia="仿宋" w:cs="仿宋"/>
          <w:sz w:val="32"/>
          <w:szCs w:val="32"/>
        </w:rPr>
        <w:t>指机关事业单位实施养老保险制度由单位缴纳的基本养老保险费支出。</w:t>
      </w:r>
    </w:p>
    <w:p w14:paraId="7F319232">
      <w:pPr>
        <w:spacing w:line="560" w:lineRule="exact"/>
        <w:ind w:firstLine="640" w:firstLineChars="200"/>
        <w:rPr>
          <w:rFonts w:ascii="仿宋" w:hAnsi="仿宋" w:eastAsia="仿宋" w:cs="仿宋"/>
          <w:sz w:val="32"/>
          <w:szCs w:val="32"/>
        </w:rPr>
      </w:pPr>
      <w:r>
        <w:rPr>
          <w:rStyle w:val="16"/>
          <w:rFonts w:hint="eastAsia" w:ascii="仿宋" w:hAnsi="仿宋" w:eastAsia="仿宋" w:cs="仿宋"/>
          <w:b w:val="0"/>
          <w:sz w:val="32"/>
          <w:szCs w:val="32"/>
        </w:rPr>
        <w:t>10.社会保障和就业（类）行政事业单位养老支出（款）机关事业单位职业年金缴费支出（项）:</w:t>
      </w:r>
      <w:r>
        <w:rPr>
          <w:rFonts w:hint="eastAsia" w:ascii="仿宋" w:hAnsi="仿宋" w:eastAsia="仿宋" w:cs="仿宋"/>
          <w:sz w:val="32"/>
          <w:szCs w:val="32"/>
        </w:rPr>
        <w:t>指机关事业单位实施退休人员年金纪实的职业年金支出</w:t>
      </w:r>
      <w:r>
        <w:rPr>
          <w:rStyle w:val="16"/>
          <w:rFonts w:hint="eastAsia" w:ascii="仿宋" w:hAnsi="仿宋" w:eastAsia="仿宋" w:cs="仿宋"/>
          <w:b w:val="0"/>
          <w:sz w:val="32"/>
          <w:szCs w:val="32"/>
        </w:rPr>
        <w:t>。</w:t>
      </w:r>
    </w:p>
    <w:p w14:paraId="2B82748A">
      <w:pPr>
        <w:spacing w:line="560" w:lineRule="exact"/>
        <w:ind w:firstLine="640" w:firstLineChars="200"/>
        <w:rPr>
          <w:rStyle w:val="16"/>
          <w:rFonts w:ascii="仿宋" w:hAnsi="仿宋" w:eastAsia="仿宋" w:cs="仿宋"/>
          <w:b w:val="0"/>
          <w:sz w:val="32"/>
          <w:szCs w:val="32"/>
        </w:rPr>
      </w:pPr>
      <w:r>
        <w:rPr>
          <w:rFonts w:hint="eastAsia" w:ascii="仿宋" w:hAnsi="仿宋" w:eastAsia="仿宋" w:cs="仿宋"/>
          <w:sz w:val="32"/>
          <w:szCs w:val="32"/>
        </w:rPr>
        <w:t>11.卫生健康支出</w:t>
      </w:r>
      <w:r>
        <w:rPr>
          <w:rStyle w:val="16"/>
          <w:rFonts w:hint="eastAsia" w:ascii="仿宋" w:hAnsi="仿宋" w:eastAsia="仿宋" w:cs="仿宋"/>
          <w:b w:val="0"/>
          <w:sz w:val="32"/>
          <w:szCs w:val="32"/>
        </w:rPr>
        <w:t>（类）公立医院（款）其他公立医院支出（项）:指用于医疗服务和保障能力提升的支出。</w:t>
      </w:r>
    </w:p>
    <w:p w14:paraId="719DBD7D">
      <w:pPr>
        <w:spacing w:line="560" w:lineRule="exact"/>
        <w:ind w:firstLine="640" w:firstLineChars="200"/>
        <w:rPr>
          <w:rFonts w:ascii="仿宋" w:hAnsi="仿宋" w:eastAsia="仿宋" w:cs="仿宋"/>
          <w:sz w:val="32"/>
          <w:szCs w:val="32"/>
        </w:rPr>
      </w:pPr>
      <w:r>
        <w:rPr>
          <w:rStyle w:val="16"/>
          <w:rFonts w:hint="eastAsia" w:ascii="仿宋" w:hAnsi="仿宋" w:eastAsia="仿宋" w:cs="仿宋"/>
          <w:b w:val="0"/>
          <w:sz w:val="32"/>
          <w:szCs w:val="32"/>
        </w:rPr>
        <w:t>12.</w:t>
      </w:r>
      <w:r>
        <w:rPr>
          <w:rFonts w:hint="eastAsia" w:ascii="仿宋" w:hAnsi="仿宋" w:eastAsia="仿宋" w:cs="仿宋"/>
          <w:sz w:val="32"/>
          <w:szCs w:val="32"/>
        </w:rPr>
        <w:t>卫生健康支出</w:t>
      </w:r>
      <w:r>
        <w:rPr>
          <w:rStyle w:val="16"/>
          <w:rFonts w:hint="eastAsia" w:ascii="仿宋" w:hAnsi="仿宋" w:eastAsia="仿宋" w:cs="仿宋"/>
          <w:b w:val="0"/>
          <w:sz w:val="32"/>
          <w:szCs w:val="32"/>
        </w:rPr>
        <w:t>（类）公共卫生（款）妇幼保健机构（项）:指用于妇幼保健机构的支出。</w:t>
      </w:r>
    </w:p>
    <w:p w14:paraId="68D716D2">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13.卫生健康支出</w:t>
      </w:r>
      <w:r>
        <w:rPr>
          <w:rStyle w:val="16"/>
          <w:rFonts w:hint="eastAsia" w:ascii="仿宋" w:hAnsi="仿宋" w:eastAsia="仿宋" w:cs="仿宋"/>
          <w:b w:val="0"/>
          <w:sz w:val="32"/>
          <w:szCs w:val="32"/>
        </w:rPr>
        <w:t>（类）公共卫生（款）基本公共卫生服务（项）:</w:t>
      </w:r>
      <w:r>
        <w:rPr>
          <w:rFonts w:hint="eastAsia" w:ascii="仿宋" w:hAnsi="仿宋" w:eastAsia="仿宋" w:cs="仿宋"/>
          <w:sz w:val="32"/>
          <w:szCs w:val="32"/>
        </w:rPr>
        <w:t>指基本公共卫生服务支出</w:t>
      </w:r>
      <w:r>
        <w:rPr>
          <w:rStyle w:val="16"/>
          <w:rFonts w:hint="eastAsia" w:ascii="仿宋" w:hAnsi="仿宋" w:eastAsia="仿宋" w:cs="仿宋"/>
          <w:b w:val="0"/>
          <w:sz w:val="32"/>
          <w:szCs w:val="32"/>
        </w:rPr>
        <w:t>。</w:t>
      </w:r>
    </w:p>
    <w:p w14:paraId="5F3F7847">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14</w:t>
      </w:r>
      <w:r>
        <w:rPr>
          <w:rStyle w:val="16"/>
          <w:rFonts w:hint="eastAsia" w:ascii="仿宋" w:hAnsi="仿宋" w:eastAsia="仿宋" w:cs="仿宋"/>
          <w:b w:val="0"/>
          <w:sz w:val="32"/>
          <w:szCs w:val="32"/>
        </w:rPr>
        <w:t>.</w:t>
      </w:r>
      <w:r>
        <w:rPr>
          <w:rFonts w:hint="eastAsia" w:ascii="仿宋" w:hAnsi="仿宋" w:eastAsia="仿宋" w:cs="仿宋"/>
          <w:sz w:val="32"/>
          <w:szCs w:val="32"/>
        </w:rPr>
        <w:t>卫生健康支出</w:t>
      </w:r>
      <w:r>
        <w:rPr>
          <w:rStyle w:val="16"/>
          <w:rFonts w:hint="eastAsia" w:ascii="仿宋" w:hAnsi="仿宋" w:eastAsia="仿宋" w:cs="仿宋"/>
          <w:b w:val="0"/>
          <w:sz w:val="32"/>
          <w:szCs w:val="32"/>
        </w:rPr>
        <w:t>（类）公共卫生（款）重大公共卫生服务（项）:</w:t>
      </w:r>
      <w:r>
        <w:rPr>
          <w:rFonts w:hint="eastAsia" w:ascii="仿宋" w:hAnsi="仿宋" w:eastAsia="仿宋" w:cs="仿宋"/>
          <w:sz w:val="32"/>
          <w:szCs w:val="32"/>
        </w:rPr>
        <w:t>指重大疾病、重大传染病预防控制等重大公共卫生服务项目支出</w:t>
      </w:r>
      <w:r>
        <w:rPr>
          <w:rStyle w:val="16"/>
          <w:rFonts w:hint="eastAsia" w:ascii="仿宋" w:hAnsi="仿宋" w:eastAsia="仿宋" w:cs="仿宋"/>
          <w:b w:val="0"/>
          <w:sz w:val="32"/>
          <w:szCs w:val="32"/>
        </w:rPr>
        <w:t>。</w:t>
      </w:r>
    </w:p>
    <w:p w14:paraId="3A0724BE">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15</w:t>
      </w:r>
      <w:r>
        <w:rPr>
          <w:rStyle w:val="16"/>
          <w:rFonts w:hint="eastAsia" w:ascii="仿宋" w:hAnsi="仿宋" w:eastAsia="仿宋" w:cs="仿宋"/>
          <w:b w:val="0"/>
          <w:sz w:val="32"/>
          <w:szCs w:val="32"/>
        </w:rPr>
        <w:t>.</w:t>
      </w:r>
      <w:r>
        <w:rPr>
          <w:rFonts w:hint="eastAsia" w:ascii="仿宋" w:hAnsi="仿宋" w:eastAsia="仿宋" w:cs="仿宋"/>
          <w:sz w:val="32"/>
          <w:szCs w:val="32"/>
        </w:rPr>
        <w:t>卫生健康支出</w:t>
      </w:r>
      <w:r>
        <w:rPr>
          <w:rStyle w:val="16"/>
          <w:rFonts w:hint="eastAsia" w:ascii="仿宋" w:hAnsi="仿宋" w:eastAsia="仿宋" w:cs="仿宋"/>
          <w:b w:val="0"/>
          <w:sz w:val="32"/>
          <w:szCs w:val="32"/>
        </w:rPr>
        <w:t>（类）公共卫生（款）突发公共卫生事件应急处理（项）:指突发公共卫生事件应急处理支出。</w:t>
      </w:r>
    </w:p>
    <w:p w14:paraId="68E45ED2">
      <w:pPr>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16</w:t>
      </w:r>
      <w:r>
        <w:rPr>
          <w:rStyle w:val="16"/>
          <w:rFonts w:hint="eastAsia" w:ascii="仿宋" w:hAnsi="仿宋" w:eastAsia="仿宋" w:cs="仿宋"/>
          <w:b w:val="0"/>
          <w:sz w:val="32"/>
          <w:szCs w:val="32"/>
        </w:rPr>
        <w:t>.</w:t>
      </w:r>
      <w:r>
        <w:rPr>
          <w:rFonts w:hint="eastAsia" w:ascii="仿宋" w:hAnsi="仿宋" w:eastAsia="仿宋" w:cs="仿宋"/>
          <w:sz w:val="32"/>
          <w:szCs w:val="32"/>
        </w:rPr>
        <w:t>卫生健康支出</w:t>
      </w:r>
      <w:r>
        <w:rPr>
          <w:rStyle w:val="16"/>
          <w:rFonts w:hint="eastAsia" w:ascii="仿宋" w:hAnsi="仿宋" w:eastAsia="仿宋" w:cs="仿宋"/>
          <w:b w:val="0"/>
          <w:sz w:val="32"/>
          <w:szCs w:val="32"/>
        </w:rPr>
        <w:t>（类）行政事业单位医疗（款）事业单位医疗（项）:</w:t>
      </w:r>
      <w:r>
        <w:rPr>
          <w:rFonts w:hint="eastAsia" w:ascii="仿宋" w:hAnsi="仿宋" w:eastAsia="仿宋" w:cs="仿宋"/>
          <w:sz w:val="32"/>
          <w:szCs w:val="32"/>
        </w:rPr>
        <w:t xml:space="preserve">指财政部门安排的事业单位基本医疗保险缴费经费，未参加医疗保险的事业单位的公务员医疗经费。                           </w:t>
      </w:r>
    </w:p>
    <w:p w14:paraId="5E61A5F8">
      <w:pPr>
        <w:spacing w:line="560" w:lineRule="exact"/>
        <w:ind w:firstLine="640" w:firstLineChars="200"/>
        <w:jc w:val="left"/>
        <w:rPr>
          <w:rFonts w:ascii="仿宋" w:hAnsi="仿宋" w:eastAsia="仿宋" w:cs="仿宋"/>
          <w:sz w:val="32"/>
          <w:szCs w:val="32"/>
        </w:rPr>
      </w:pPr>
      <w:r>
        <w:rPr>
          <w:rStyle w:val="16"/>
          <w:rFonts w:hint="eastAsia" w:ascii="仿宋" w:hAnsi="仿宋" w:eastAsia="仿宋" w:cs="仿宋"/>
          <w:b w:val="0"/>
          <w:sz w:val="32"/>
          <w:szCs w:val="32"/>
        </w:rPr>
        <w:t>17 .</w:t>
      </w:r>
      <w:r>
        <w:rPr>
          <w:rFonts w:hint="eastAsia" w:ascii="仿宋" w:hAnsi="仿宋" w:eastAsia="仿宋" w:cs="仿宋"/>
          <w:sz w:val="32"/>
          <w:szCs w:val="32"/>
        </w:rPr>
        <w:t>卫生健康支出</w:t>
      </w:r>
      <w:r>
        <w:rPr>
          <w:rStyle w:val="16"/>
          <w:rFonts w:hint="eastAsia" w:ascii="仿宋" w:hAnsi="仿宋" w:eastAsia="仿宋" w:cs="仿宋"/>
          <w:b w:val="0"/>
          <w:sz w:val="32"/>
          <w:szCs w:val="32"/>
        </w:rPr>
        <w:t>（类）行政事业单位医疗（款）其他行政事业单位医疗支出（项）:指用于购买企业保险的支出。</w:t>
      </w:r>
    </w:p>
    <w:p w14:paraId="49E6462C">
      <w:pPr>
        <w:spacing w:line="560" w:lineRule="exact"/>
        <w:ind w:firstLine="640" w:firstLineChars="200"/>
        <w:rPr>
          <w:rFonts w:ascii="仿宋" w:hAnsi="仿宋" w:eastAsia="仿宋" w:cs="仿宋"/>
          <w:sz w:val="32"/>
          <w:szCs w:val="32"/>
        </w:rPr>
      </w:pPr>
      <w:r>
        <w:rPr>
          <w:rStyle w:val="16"/>
          <w:rFonts w:hint="eastAsia" w:ascii="仿宋" w:hAnsi="仿宋" w:eastAsia="仿宋" w:cs="仿宋"/>
          <w:b w:val="0"/>
          <w:sz w:val="32"/>
          <w:szCs w:val="32"/>
        </w:rPr>
        <w:t>18.</w:t>
      </w:r>
      <w:r>
        <w:rPr>
          <w:rFonts w:hint="eastAsia" w:ascii="仿宋" w:hAnsi="仿宋" w:eastAsia="仿宋" w:cs="仿宋"/>
          <w:sz w:val="32"/>
          <w:szCs w:val="32"/>
        </w:rPr>
        <w:t>卫生健康支出</w:t>
      </w:r>
      <w:r>
        <w:rPr>
          <w:rStyle w:val="16"/>
          <w:rFonts w:hint="eastAsia" w:ascii="仿宋" w:hAnsi="仿宋" w:eastAsia="仿宋" w:cs="仿宋"/>
          <w:b w:val="0"/>
          <w:sz w:val="32"/>
          <w:szCs w:val="32"/>
        </w:rPr>
        <w:t>（类）其他卫生健康支出（款）其他卫生健康支出（项）:</w:t>
      </w:r>
      <w:r>
        <w:rPr>
          <w:rFonts w:hint="eastAsia" w:ascii="仿宋" w:hAnsi="仿宋" w:eastAsia="仿宋" w:cs="仿宋"/>
          <w:sz w:val="32"/>
          <w:szCs w:val="32"/>
        </w:rPr>
        <w:t>指除上述项目以外其他用于卫生健康方面的支出。</w:t>
      </w:r>
    </w:p>
    <w:p w14:paraId="25D7745D">
      <w:pPr>
        <w:spacing w:line="560" w:lineRule="exact"/>
        <w:ind w:firstLine="640" w:firstLineChars="200"/>
        <w:rPr>
          <w:rFonts w:ascii="仿宋" w:hAnsi="仿宋" w:eastAsia="仿宋" w:cs="仿宋"/>
          <w:sz w:val="32"/>
          <w:szCs w:val="32"/>
        </w:rPr>
      </w:pPr>
      <w:r>
        <w:rPr>
          <w:rStyle w:val="16"/>
          <w:rFonts w:hint="eastAsia" w:ascii="仿宋" w:hAnsi="仿宋" w:eastAsia="仿宋" w:cs="仿宋"/>
          <w:b w:val="0"/>
          <w:color w:val="000000"/>
          <w:sz w:val="32"/>
          <w:szCs w:val="32"/>
        </w:rPr>
        <w:t>19.</w:t>
      </w:r>
      <w:r>
        <w:rPr>
          <w:rFonts w:hint="eastAsia" w:ascii="仿宋" w:hAnsi="仿宋" w:eastAsia="仿宋" w:cs="仿宋"/>
          <w:color w:val="000000"/>
          <w:sz w:val="32"/>
          <w:szCs w:val="32"/>
        </w:rPr>
        <w:t>住房保障支出（类）住房改革支出（款）住房公积金（项）</w:t>
      </w:r>
      <w:r>
        <w:rPr>
          <w:rStyle w:val="16"/>
          <w:rFonts w:hint="eastAsia" w:ascii="仿宋" w:hAnsi="仿宋" w:eastAsia="仿宋" w:cs="仿宋"/>
          <w:b w:val="0"/>
          <w:color w:val="000000"/>
          <w:sz w:val="32"/>
          <w:szCs w:val="32"/>
        </w:rPr>
        <w:t xml:space="preserve">: </w:t>
      </w:r>
      <w:r>
        <w:rPr>
          <w:rFonts w:hint="eastAsia" w:ascii="仿宋" w:hAnsi="仿宋" w:eastAsia="仿宋" w:cs="仿宋"/>
          <w:sz w:val="32"/>
          <w:szCs w:val="32"/>
        </w:rPr>
        <w:t>指行政事业单位按人力资源和社会保障部、财政部规定的基本工资和津贴补贴以及规定比例为职工缴纳的住房公积金。</w:t>
      </w:r>
    </w:p>
    <w:p w14:paraId="14401202">
      <w:pPr>
        <w:ind w:firstLine="640" w:firstLineChars="200"/>
        <w:rPr>
          <w:rStyle w:val="16"/>
          <w:rFonts w:ascii="仿宋" w:hAnsi="仿宋" w:eastAsia="仿宋" w:cs="仿宋"/>
          <w:b w:val="0"/>
          <w:sz w:val="32"/>
          <w:szCs w:val="32"/>
        </w:rPr>
      </w:pPr>
      <w:r>
        <w:rPr>
          <w:rFonts w:hint="eastAsia" w:ascii="仿宋" w:hAnsi="仿宋" w:eastAsia="仿宋" w:cs="仿宋"/>
          <w:sz w:val="32"/>
          <w:szCs w:val="32"/>
        </w:rPr>
        <w:t>20</w:t>
      </w:r>
      <w:r>
        <w:rPr>
          <w:rStyle w:val="16"/>
          <w:rFonts w:hint="eastAsia" w:ascii="仿宋" w:hAnsi="仿宋" w:eastAsia="仿宋" w:cs="仿宋"/>
          <w:b w:val="0"/>
          <w:sz w:val="32"/>
          <w:szCs w:val="32"/>
        </w:rPr>
        <w:t>.</w:t>
      </w:r>
      <w:r>
        <w:rPr>
          <w:rFonts w:hint="eastAsia" w:ascii="仿宋" w:hAnsi="仿宋" w:eastAsia="仿宋" w:cs="仿宋"/>
          <w:sz w:val="32"/>
          <w:szCs w:val="32"/>
        </w:rPr>
        <w:t>卫生健康支出</w:t>
      </w:r>
      <w:r>
        <w:rPr>
          <w:rStyle w:val="16"/>
          <w:rFonts w:hint="eastAsia" w:ascii="仿宋" w:hAnsi="仿宋" w:eastAsia="仿宋" w:cs="仿宋"/>
          <w:b w:val="0"/>
          <w:sz w:val="32"/>
          <w:szCs w:val="32"/>
        </w:rPr>
        <w:t>（类）公共卫生（款）其他公共卫生支出（项）:</w:t>
      </w:r>
      <w:r>
        <w:rPr>
          <w:rFonts w:hint="eastAsia" w:ascii="仿宋" w:hAnsi="仿宋" w:eastAsia="仿宋" w:cs="仿宋"/>
          <w:sz w:val="32"/>
          <w:szCs w:val="32"/>
        </w:rPr>
        <w:t>指除上述项目以外其他用于公共卫生支出的支出</w:t>
      </w:r>
      <w:r>
        <w:rPr>
          <w:rStyle w:val="16"/>
          <w:rFonts w:hint="eastAsia" w:ascii="仿宋" w:hAnsi="仿宋" w:eastAsia="仿宋" w:cs="仿宋"/>
          <w:b w:val="0"/>
          <w:sz w:val="32"/>
          <w:szCs w:val="32"/>
        </w:rPr>
        <w:t xml:space="preserve">。      </w:t>
      </w:r>
    </w:p>
    <w:p w14:paraId="35B21811">
      <w:pPr>
        <w:ind w:firstLine="640" w:firstLineChars="200"/>
        <w:rPr>
          <w:rFonts w:ascii="仿宋" w:hAnsi="仿宋" w:eastAsia="仿宋" w:cs="仿宋"/>
          <w:sz w:val="32"/>
          <w:szCs w:val="32"/>
        </w:rPr>
      </w:pPr>
      <w:r>
        <w:rPr>
          <w:rFonts w:hint="eastAsia" w:ascii="仿宋" w:hAnsi="仿宋" w:eastAsia="仿宋" w:cs="仿宋"/>
          <w:sz w:val="32"/>
          <w:szCs w:val="32"/>
        </w:rPr>
        <w:t>21.基本支出：指为保障机构正常运转、完成日常工作任务而发生的人员支出和公用支出。</w:t>
      </w:r>
    </w:p>
    <w:p w14:paraId="43ECF44E">
      <w:pPr>
        <w:ind w:firstLine="640" w:firstLineChars="200"/>
        <w:rPr>
          <w:rFonts w:ascii="仿宋" w:hAnsi="仿宋" w:eastAsia="仿宋" w:cs="仿宋"/>
          <w:sz w:val="32"/>
          <w:szCs w:val="32"/>
        </w:rPr>
      </w:pPr>
      <w:r>
        <w:rPr>
          <w:rFonts w:hint="eastAsia" w:ascii="仿宋" w:hAnsi="仿宋" w:eastAsia="仿宋" w:cs="仿宋"/>
          <w:sz w:val="32"/>
          <w:szCs w:val="32"/>
        </w:rPr>
        <w:t xml:space="preserve">22.项目支出：指在基本支出之外为完成特定行政任务和事业发展目标所发生的支出。 </w:t>
      </w:r>
    </w:p>
    <w:p w14:paraId="67AD14B1">
      <w:pPr>
        <w:ind w:firstLine="640" w:firstLineChars="200"/>
        <w:rPr>
          <w:rFonts w:ascii="仿宋" w:hAnsi="仿宋" w:eastAsia="仿宋" w:cs="仿宋"/>
          <w:sz w:val="32"/>
          <w:szCs w:val="32"/>
        </w:rPr>
      </w:pPr>
      <w:r>
        <w:rPr>
          <w:rFonts w:hint="eastAsia" w:ascii="仿宋" w:hAnsi="仿宋" w:eastAsia="仿宋" w:cs="仿宋"/>
          <w:sz w:val="32"/>
          <w:szCs w:val="32"/>
        </w:rPr>
        <w:t>23.经营支出：指事业单位在专业业务活动及其辅助活动之外开展非独立核算经营活动发生的支出。</w:t>
      </w:r>
    </w:p>
    <w:p w14:paraId="79B88D54">
      <w:pPr>
        <w:pStyle w:val="25"/>
        <w:spacing w:line="560" w:lineRule="exact"/>
        <w:ind w:firstLine="640" w:firstLineChars="200"/>
        <w:rPr>
          <w:rFonts w:ascii="仿宋_GB2312" w:eastAsia="仿宋_GB2312"/>
          <w:color w:val="auto"/>
          <w:sz w:val="32"/>
          <w:szCs w:val="32"/>
        </w:rPr>
      </w:pPr>
      <w:r>
        <w:rPr>
          <w:rFonts w:hint="eastAsia" w:hAnsi="仿宋"/>
          <w:color w:val="auto"/>
          <w:sz w:val="32"/>
          <w:szCs w:val="32"/>
        </w:rPr>
        <w:t>24.“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4069C72">
      <w:pPr>
        <w:ind w:firstLine="643" w:firstLineChars="200"/>
        <w:rPr>
          <w:rFonts w:ascii="仿宋" w:hAnsi="仿宋" w:eastAsia="仿宋"/>
          <w:b/>
          <w:sz w:val="32"/>
          <w:szCs w:val="32"/>
        </w:rPr>
      </w:pPr>
      <w:r>
        <w:rPr>
          <w:rFonts w:ascii="仿宋" w:hAnsi="仿宋" w:eastAsia="仿宋"/>
          <w:b/>
          <w:sz w:val="32"/>
          <w:szCs w:val="32"/>
        </w:rPr>
        <w:br w:type="page"/>
      </w:r>
    </w:p>
    <w:p w14:paraId="6CA0CB8C">
      <w:pPr>
        <w:pStyle w:val="3"/>
        <w:numPr>
          <w:ilvl w:val="0"/>
          <w:numId w:val="4"/>
        </w:numPr>
        <w:ind w:firstLine="2640" w:firstLineChars="600"/>
        <w:rPr>
          <w:rFonts w:ascii="黑体" w:hAnsi="黑体" w:eastAsia="黑体"/>
          <w:b w:val="0"/>
        </w:rPr>
      </w:pPr>
      <w:r>
        <w:rPr>
          <w:rFonts w:hint="eastAsia" w:ascii="黑体" w:hAnsi="黑体" w:eastAsia="黑体"/>
          <w:b w:val="0"/>
        </w:rPr>
        <w:t>附件</w:t>
      </w:r>
    </w:p>
    <w:p w14:paraId="23B79D93">
      <w:pPr>
        <w:rPr>
          <w:rFonts w:ascii="黑体" w:hAnsi="黑体" w:eastAsia="黑体" w:cs="黑体"/>
          <w:sz w:val="32"/>
          <w:szCs w:val="32"/>
        </w:rPr>
      </w:pPr>
      <w:r>
        <w:rPr>
          <w:rFonts w:hint="eastAsia" w:ascii="黑体" w:hAnsi="黑体" w:eastAsia="黑体" w:cs="黑体"/>
          <w:sz w:val="32"/>
          <w:szCs w:val="32"/>
        </w:rPr>
        <w:t>附件1</w:t>
      </w:r>
    </w:p>
    <w:p w14:paraId="52748C70">
      <w:pPr>
        <w:jc w:val="center"/>
        <w:rPr>
          <w:rFonts w:ascii="方正小标宋简体" w:hAnsi="方正小标宋简体" w:eastAsia="方正小标宋简体"/>
          <w:sz w:val="44"/>
          <w:szCs w:val="44"/>
        </w:rPr>
      </w:pPr>
      <w:r>
        <w:rPr>
          <w:rFonts w:hint="eastAsia" w:ascii="方正小标宋简体" w:hAnsi="方正小标宋简体" w:eastAsia="方正小标宋简体" w:cs="方正小标宋简体"/>
          <w:bCs/>
          <w:sz w:val="44"/>
          <w:szCs w:val="44"/>
        </w:rPr>
        <w:t>盐边县妇幼保健服务中心</w:t>
      </w:r>
      <w:r>
        <w:rPr>
          <w:rFonts w:hint="eastAsia" w:ascii="方正小标宋简体" w:hAnsi="方正小标宋简体" w:eastAsia="方正小标宋简体"/>
          <w:sz w:val="44"/>
          <w:szCs w:val="44"/>
        </w:rPr>
        <w:t>部门预算</w:t>
      </w:r>
    </w:p>
    <w:p w14:paraId="18044B8A">
      <w:pPr>
        <w:jc w:val="center"/>
        <w:rPr>
          <w:rFonts w:ascii="仿宋_GB2312" w:eastAsia="仿宋_GB2312"/>
          <w:sz w:val="32"/>
          <w:szCs w:val="32"/>
        </w:rPr>
      </w:pPr>
      <w:r>
        <w:rPr>
          <w:rFonts w:hint="eastAsia" w:ascii="方正小标宋简体" w:hAnsi="方正小标宋简体" w:eastAsia="方正小标宋简体"/>
          <w:sz w:val="44"/>
          <w:szCs w:val="44"/>
        </w:rPr>
        <w:t>整体绩效评价报告</w:t>
      </w:r>
    </w:p>
    <w:p w14:paraId="10A97007"/>
    <w:p w14:paraId="03D676E7">
      <w:pPr>
        <w:rPr>
          <w:rFonts w:ascii="黑体" w:hAnsi="黑体" w:eastAsia="黑体"/>
          <w:sz w:val="32"/>
          <w:szCs w:val="32"/>
        </w:rPr>
      </w:pPr>
      <w:r>
        <w:rPr>
          <w:rFonts w:hint="eastAsia" w:ascii="黑体" w:hAnsi="黑体" w:eastAsia="黑体"/>
          <w:sz w:val="32"/>
          <w:szCs w:val="32"/>
        </w:rPr>
        <w:t>一、部门（单位）基本情况</w:t>
      </w:r>
    </w:p>
    <w:p w14:paraId="18B1BB56">
      <w:pPr>
        <w:ind w:firstLine="640" w:firstLineChars="200"/>
        <w:rPr>
          <w:rFonts w:ascii="仿宋" w:hAnsi="仿宋" w:eastAsia="仿宋" w:cs="仿宋"/>
          <w:sz w:val="32"/>
          <w:szCs w:val="32"/>
        </w:rPr>
      </w:pPr>
      <w:r>
        <w:rPr>
          <w:rFonts w:hint="eastAsia" w:ascii="仿宋" w:hAnsi="仿宋" w:eastAsia="仿宋" w:cs="仿宋"/>
          <w:bCs/>
          <w:sz w:val="32"/>
          <w:szCs w:val="32"/>
        </w:rPr>
        <w:t>（一）机构组成。</w:t>
      </w:r>
      <w:r>
        <w:rPr>
          <w:rFonts w:hint="eastAsia" w:ascii="仿宋" w:hAnsi="仿宋" w:eastAsia="仿宋" w:cs="仿宋"/>
          <w:sz w:val="32"/>
          <w:szCs w:val="32"/>
        </w:rPr>
        <w:t>2017年经盐边县县委、县政府批准，将县妇幼保健院、县人口和计划生育服务中心进行整合挂牌为盐边县妇幼保健计划生育服务中心，并保留妇幼保健院名称。2019年机构再次更名为盐边县妇幼保健服务中心。</w:t>
      </w:r>
    </w:p>
    <w:p w14:paraId="6B83CBDC">
      <w:pPr>
        <w:ind w:firstLine="640" w:firstLineChars="200"/>
        <w:rPr>
          <w:rFonts w:ascii="仿宋" w:hAnsi="仿宋" w:eastAsia="仿宋" w:cs="仿宋"/>
          <w:b/>
          <w:sz w:val="32"/>
          <w:szCs w:val="32"/>
        </w:rPr>
      </w:pPr>
      <w:r>
        <w:rPr>
          <w:rFonts w:hint="eastAsia" w:ascii="仿宋" w:hAnsi="仿宋" w:eastAsia="仿宋" w:cs="仿宋"/>
          <w:bCs/>
          <w:sz w:val="32"/>
          <w:szCs w:val="32"/>
        </w:rPr>
        <w:t>（二）机构职能。</w:t>
      </w:r>
      <w:r>
        <w:rPr>
          <w:rFonts w:hint="eastAsia" w:ascii="仿宋" w:hAnsi="仿宋" w:eastAsia="仿宋" w:cs="仿宋"/>
          <w:sz w:val="32"/>
          <w:szCs w:val="32"/>
        </w:rPr>
        <w:t>集妇幼保健、临床医疗、婚前保健、计划生育技术、孕前优生、康复医疗为一体的妇幼保健机构。</w:t>
      </w:r>
    </w:p>
    <w:p w14:paraId="0E675818">
      <w:pPr>
        <w:ind w:firstLine="640" w:firstLineChars="200"/>
        <w:rPr>
          <w:rFonts w:ascii="仿宋" w:hAnsi="仿宋" w:eastAsia="仿宋" w:cs="仿宋"/>
          <w:sz w:val="32"/>
          <w:szCs w:val="32"/>
        </w:rPr>
      </w:pPr>
      <w:r>
        <w:rPr>
          <w:rFonts w:hint="eastAsia" w:ascii="仿宋" w:hAnsi="仿宋" w:eastAsia="仿宋" w:cs="仿宋"/>
          <w:bCs/>
          <w:sz w:val="32"/>
          <w:szCs w:val="32"/>
        </w:rPr>
        <w:t>（三）人员概况。</w:t>
      </w:r>
      <w:r>
        <w:rPr>
          <w:rFonts w:hint="eastAsia" w:ascii="仿宋" w:hAnsi="仿宋" w:eastAsia="仿宋" w:cs="仿宋"/>
          <w:sz w:val="32"/>
          <w:szCs w:val="32"/>
        </w:rPr>
        <w:t>截至2023年末，核定编制数33人，在编 31人，现有各类专业技术人员26人，其中：主任医师 1人；副主任护师5人；主治医师 9人；主管护师 3人；主管检验师1人；执业医师4人；护师1人；检验师1人；助理医师1人。</w:t>
      </w:r>
    </w:p>
    <w:p w14:paraId="08D7B862">
      <w:pPr>
        <w:rPr>
          <w:rFonts w:ascii="黑体" w:hAnsi="黑体" w:eastAsia="黑体"/>
          <w:sz w:val="32"/>
          <w:szCs w:val="32"/>
        </w:rPr>
      </w:pPr>
      <w:r>
        <w:rPr>
          <w:rFonts w:hint="eastAsia" w:ascii="黑体" w:hAnsi="黑体" w:eastAsia="黑体"/>
          <w:sz w:val="32"/>
          <w:szCs w:val="32"/>
        </w:rPr>
        <w:t>二、部门资金收支情况</w:t>
      </w:r>
    </w:p>
    <w:p w14:paraId="366F938E">
      <w:pPr>
        <w:ind w:firstLine="640" w:firstLineChars="200"/>
        <w:rPr>
          <w:rFonts w:ascii="仿宋" w:hAnsi="仿宋" w:eastAsia="仿宋" w:cs="仿宋"/>
          <w:bCs/>
          <w:sz w:val="32"/>
          <w:szCs w:val="32"/>
        </w:rPr>
      </w:pPr>
      <w:r>
        <w:rPr>
          <w:rFonts w:hint="eastAsia" w:ascii="仿宋" w:hAnsi="仿宋" w:eastAsia="仿宋" w:cs="仿宋"/>
          <w:bCs/>
          <w:sz w:val="32"/>
          <w:szCs w:val="32"/>
        </w:rPr>
        <w:t>（一）收入情况。盐边县妇幼保健服务中心本年度财政拨款收入：681.14万元，其中一般公共预算财政拨款681.14万元；政府性基金预算财政拨款0万元。</w:t>
      </w:r>
    </w:p>
    <w:p w14:paraId="4E5444AF">
      <w:pPr>
        <w:ind w:firstLine="640" w:firstLineChars="200"/>
        <w:rPr>
          <w:rFonts w:ascii="仿宋" w:hAnsi="仿宋" w:eastAsia="仿宋" w:cs="仿宋"/>
          <w:bCs/>
          <w:sz w:val="32"/>
          <w:szCs w:val="32"/>
        </w:rPr>
      </w:pPr>
      <w:r>
        <w:rPr>
          <w:rFonts w:hint="eastAsia" w:ascii="仿宋" w:hAnsi="仿宋" w:eastAsia="仿宋" w:cs="仿宋"/>
          <w:bCs/>
          <w:sz w:val="32"/>
          <w:szCs w:val="32"/>
        </w:rPr>
        <w:t>（二）支出情况。盐边县妇幼保健服务中心本年度财政拨款支出681.14万元，其中基本支出566.86万元，项目支出主要是社会保障和就业支出、卫生健康支出、行政事业单位医疗、住房保障支出；项目支出114.28万元，项目支出主要是基本公共卫生支出、重大公共卫生、其他卫生健康支出。</w:t>
      </w:r>
    </w:p>
    <w:p w14:paraId="054AF006">
      <w:pPr>
        <w:ind w:firstLine="640" w:firstLineChars="200"/>
        <w:rPr>
          <w:rFonts w:ascii="仿宋_GB2312"/>
          <w:sz w:val="32"/>
          <w:szCs w:val="32"/>
        </w:rPr>
      </w:pPr>
      <w:r>
        <w:rPr>
          <w:rFonts w:hint="eastAsia" w:ascii="仿宋" w:hAnsi="仿宋" w:eastAsia="仿宋" w:cs="仿宋"/>
          <w:bCs/>
          <w:sz w:val="32"/>
          <w:szCs w:val="32"/>
        </w:rPr>
        <w:t>（三）结余分配和结转结余情况。盐边县盐边县妇幼保健服务中心2023年无结余分配和结转结余情况。</w:t>
      </w:r>
    </w:p>
    <w:p w14:paraId="7680F8B3">
      <w:pPr>
        <w:widowControl/>
        <w:adjustRightInd w:val="0"/>
        <w:snapToGrid w:val="0"/>
        <w:spacing w:line="580" w:lineRule="exact"/>
        <w:contextualSpacing/>
        <w:jc w:val="left"/>
        <w:rPr>
          <w:rFonts w:eastAsia="黑体"/>
          <w:kern w:val="0"/>
          <w:sz w:val="32"/>
          <w:szCs w:val="32"/>
          <w:shd w:val="clear" w:color="auto" w:fill="FFFFFF"/>
        </w:rPr>
      </w:pPr>
      <w:r>
        <w:rPr>
          <w:rFonts w:eastAsia="黑体"/>
          <w:kern w:val="0"/>
          <w:sz w:val="32"/>
          <w:szCs w:val="32"/>
          <w:shd w:val="clear" w:color="auto" w:fill="FFFFFF"/>
        </w:rPr>
        <w:t>三、部门整体预算绩效管理情况</w:t>
      </w:r>
    </w:p>
    <w:p w14:paraId="6D8B8790">
      <w:pPr>
        <w:pStyle w:val="2"/>
        <w:rPr>
          <w:rFonts w:hint="eastAsia" w:ascii="宋体" w:hAnsi="宋体" w:eastAsia="宋体" w:cs="宋体"/>
          <w:sz w:val="32"/>
          <w:szCs w:val="32"/>
          <w:lang w:val="en-US" w:eastAsia="zh-CN"/>
        </w:rPr>
      </w:pPr>
      <w:r>
        <w:rPr>
          <w:rFonts w:hint="eastAsia" w:eastAsia="黑体"/>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val="en-US" w:eastAsia="zh-CN"/>
        </w:rPr>
        <w:t>（一）人员经费情况</w:t>
      </w:r>
    </w:p>
    <w:p w14:paraId="0B5CFF74">
      <w:pPr>
        <w:snapToGrid w:val="0"/>
        <w:spacing w:line="600" w:lineRule="exact"/>
        <w:ind w:firstLine="640" w:firstLineChars="200"/>
        <w:rPr>
          <w:rFonts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1.经费</w:t>
      </w:r>
      <w:r>
        <w:rPr>
          <w:rFonts w:hint="eastAsia" w:ascii="仿宋" w:hAnsi="仿宋" w:eastAsia="仿宋" w:cs="仿宋"/>
          <w:color w:val="333333"/>
          <w:sz w:val="32"/>
          <w:szCs w:val="32"/>
          <w:shd w:val="clear" w:color="auto" w:fill="FFFFFF"/>
          <w:lang w:val="en-US" w:eastAsia="zh-CN"/>
        </w:rPr>
        <w:t>支出</w:t>
      </w:r>
      <w:r>
        <w:rPr>
          <w:rFonts w:hint="eastAsia" w:ascii="仿宋" w:hAnsi="仿宋" w:eastAsia="仿宋" w:cs="仿宋"/>
          <w:color w:val="333333"/>
          <w:sz w:val="32"/>
          <w:szCs w:val="32"/>
          <w:shd w:val="clear" w:color="auto" w:fill="FFFFFF"/>
        </w:rPr>
        <w:t>类：主要是保障在编31名职工的基本工资、津贴补贴保险、奖金、保险和公积金等，每月按时发放，有调资或者增资等严格按照人社局审批执行及时拨付，保证了人员的稳定和积极性。全年人员经费预算521.36万元，完成率100%。</w:t>
      </w:r>
    </w:p>
    <w:p w14:paraId="67BDD025">
      <w:pPr>
        <w:snapToGrid w:val="0"/>
        <w:spacing w:line="600" w:lineRule="exact"/>
        <w:ind w:firstLine="640" w:firstLineChars="200"/>
        <w:rPr>
          <w:rFonts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2.公用经费：主要是保障单位正常运转，全年公用经费预算2.32万元，完成率100%。</w:t>
      </w:r>
    </w:p>
    <w:p w14:paraId="00C6502D">
      <w:pPr>
        <w:snapToGrid w:val="0"/>
        <w:spacing w:line="600" w:lineRule="exact"/>
        <w:ind w:firstLine="640" w:firstLineChars="200"/>
        <w:rPr>
          <w:rFonts w:ascii="仿宋" w:hAnsi="仿宋" w:eastAsia="仿宋" w:cs="仿宋"/>
          <w:sz w:val="32"/>
          <w:szCs w:val="32"/>
          <w:lang w:val="zh-CN"/>
        </w:rPr>
      </w:pPr>
      <w:r>
        <w:rPr>
          <w:rFonts w:hint="eastAsia" w:ascii="仿宋" w:hAnsi="仿宋" w:eastAsia="仿宋" w:cs="仿宋"/>
          <w:color w:val="333333"/>
          <w:sz w:val="32"/>
          <w:szCs w:val="32"/>
          <w:shd w:val="clear" w:color="auto" w:fill="FFFFFF"/>
        </w:rPr>
        <w:t>3.特定目标类：包括公共卫生项目、重大传染病项目、其他卫生健康支出项目等。对所申报的项目按照相关法律、法规、方针政策和支出需要，进行充分调研和论证，做好可行性分析，按照轻重缓急合理进行编报所有项目制定了绩效目标，实行项目入库、严格支出管理，按进度支付，实行绩效监控。全年特定目标类预算</w:t>
      </w:r>
      <w:r>
        <w:rPr>
          <w:rFonts w:hint="eastAsia" w:ascii="仿宋" w:hAnsi="仿宋" w:eastAsia="仿宋" w:cs="仿宋"/>
          <w:kern w:val="0"/>
          <w:sz w:val="32"/>
          <w:szCs w:val="32"/>
          <w:shd w:val="clear" w:color="auto" w:fill="FFFFFF"/>
        </w:rPr>
        <w:t>114.28</w:t>
      </w:r>
      <w:r>
        <w:rPr>
          <w:rFonts w:hint="eastAsia" w:ascii="仿宋" w:hAnsi="仿宋" w:eastAsia="仿宋" w:cs="仿宋"/>
          <w:color w:val="333333"/>
          <w:sz w:val="32"/>
          <w:szCs w:val="32"/>
          <w:shd w:val="clear" w:color="auto" w:fill="FFFFFF"/>
        </w:rPr>
        <w:t>万元，完成率100%。</w:t>
      </w:r>
    </w:p>
    <w:p w14:paraId="30843473">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（二）结果应用情况</w:t>
      </w:r>
    </w:p>
    <w:p w14:paraId="668F84CD">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1.增补叶酸预防神经管缺陷项目：2023年叶酸新增应服用人数 1842人,新增服用人数1802人,服用率为97.82%，叶酸服用依从人数1684人,依从率为93.45%叶酸服用知识调查人数3979人,知晓人数3744人,知晓率为94.09%，共发叶酸6736瓶。</w:t>
      </w:r>
    </w:p>
    <w:p w14:paraId="2D1EF210">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2.农村“两癌”筛查项目：截至2023年12月31日完成乳腺癌筛查1815人，检出乳腺癌1人，检出率55.09/10万，2023年全县新增乳腺癌14人，乳腺癌早诊率7.14 %；宫颈癌筛查1815人,检出宫颈癌及癌前病变9人，检出率495.86/10万，2023年全县新发宫颈癌45人，宫颈癌早诊率20%。</w:t>
      </w:r>
    </w:p>
    <w:p w14:paraId="2BC88DB8">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3.孕前优生健康检查项目：2023年我县孕前优生医学检查的任务数为600对，2023年盐边县为1125人提供了免费孕前优生健康检查，筛查率93.75%，评估出的具有风险因素1094人，风险评估率97.24%。其中：营养风险因素225人，占比20.57%；遗传风险因素122人，占比11.15%；慢病风险因素210人，占比19.20%；感染风险因素80人，占比7.31% ； 生殖风险因素141人，占比12.89%；环境风险因素178人，占比16.27%；行为风险因素142人，占比12.98%；社会心理风险因素14人，占比1.28%。</w:t>
      </w:r>
    </w:p>
    <w:p w14:paraId="31ADC595">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4.自愿免费婚前医学检查：2023年完成免费婚前医学检查519对，民政部门提供的结婚登记人数550对，免费婚前医学检查率94.36%。检出疾病人数9人，疾病检出率0.87%。</w:t>
      </w:r>
    </w:p>
    <w:p w14:paraId="5A76C6C5">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5.妇幼健康监测项目：2023年盐边县上报本地户籍活产儿1690人，无孕产妇死亡，孕产妇死亡率0/10万；5 岁以下儿童死亡率4.73‰，婴儿死亡率3.01‰，新生儿死亡率2.37‰，低于攀枝花市目标控制值；国家级出生缺陷监测医院监测围产儿133例，上报出生缺陷2例，出生缺陷发生率150.38/万，高于攀枝花市出生缺陷发生率。</w:t>
      </w:r>
    </w:p>
    <w:p w14:paraId="0D50AD7C">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6.新生儿先天性心脏病筛查项目：新生儿先天性心脏病筛查是早期发现先天性心脏病，开展早期诊断和早期干预的有效措施，是减少先天性心脏病对儿童健康危害、促进儿童健康发展的有力保障。</w:t>
      </w:r>
      <w:bookmarkStart w:id="64" w:name="_GoBack"/>
      <w:r>
        <w:rPr>
          <w:rFonts w:hint="eastAsia" w:ascii="仿宋" w:hAnsi="仿宋" w:eastAsia="仿宋" w:cs="仿宋"/>
          <w:sz w:val="32"/>
          <w:szCs w:val="32"/>
          <w:lang w:val="zh-CN"/>
        </w:rPr>
        <w:t>2023年</w:t>
      </w:r>
      <w:bookmarkEnd w:id="64"/>
      <w:r>
        <w:rPr>
          <w:rFonts w:hint="eastAsia" w:ascii="仿宋" w:hAnsi="仿宋" w:eastAsia="仿宋" w:cs="仿宋"/>
          <w:sz w:val="32"/>
          <w:szCs w:val="32"/>
          <w:lang w:val="zh-CN"/>
        </w:rPr>
        <w:t>10月启动了先天性心脏病免费筛查项目，截止12 月底为24例新生儿进行了免费筛查，新生儿先天性心脏病筛查率21.62%，未达到≥60%的目标值，未发现初筛阳性患儿。</w:t>
      </w:r>
    </w:p>
    <w:p w14:paraId="3F94AF05">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7.基本避孕服务项目。</w:t>
      </w:r>
    </w:p>
    <w:p w14:paraId="4B57D03A">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rPr>
        <w:t>1</w:t>
      </w:r>
      <w:r>
        <w:rPr>
          <w:rFonts w:hint="eastAsia" w:ascii="仿宋" w:hAnsi="仿宋" w:eastAsia="仿宋" w:cs="仿宋"/>
          <w:sz w:val="32"/>
          <w:szCs w:val="32"/>
          <w:lang w:val="zh-CN"/>
        </w:rPr>
        <w:t>）主要指标完成情况： 基本避孕药具发放机构比例88%（119/135），基本避孕药具发放12230人次，基本避孕药具发放覆盖率60%（7792/13084），基本避孕手术服务率97%（291/301）。服务对象满意度99%。</w:t>
      </w:r>
    </w:p>
    <w:p w14:paraId="6D433218">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(2）避孕手术构成比：2023年全年手术总例数1711例，其中放置宫内节育器401例，占比23.4%；取出取出宫内节育器术505例，占比29.5%；取出皮下埋置剂术44例，占比2.57%；计划生育手术761例，其中负压吸引术352例，占比20.6%；钳刮术39 例，占比2.28%；药物流产术370例（含麻醉流产 353 例），占比21.6%。</w:t>
      </w:r>
    </w:p>
    <w:p w14:paraId="3C2B5408">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8.新生儿遗传代谢病筛查项目：</w:t>
      </w:r>
    </w:p>
    <w:p w14:paraId="33AFEE3C">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2023年县域内助产机构分娩活产婴儿为440人，进行了新生儿遗传代谢病筛查人数426人，筛查率96.82%，未达到98%的筛查率，筛查出可疑阳性儿6例，召回复采5例，召回率83.33%；需确诊检 3例，确诊2例，未确诊1例；今年我县中医院、县人民医院为405例新生儿进行了听力筛查，听力筛查率为92.05%，达到90%的目标值，初筛未通过36人，召回复筛14人，均已通过。2023年4月利用公益基金启动了多种遗传代谢病免费筛查项目，为190例新生儿进行了免费筛查，筛查出可疑阳性3人，召回复采1人。</w:t>
      </w:r>
    </w:p>
    <w:p w14:paraId="54DE0C5D">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9.妇幼保健机构能力建设项目</w:t>
      </w:r>
    </w:p>
    <w:p w14:paraId="194F337A">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1）按照省市相关文件要求制定下发了《盐边县危重孕产妇和新生儿转运与急救管理实施方案》，建立了盐边县危急重症孕产妇和新生儿急救中心，以县卫健局局长为组长，副局长为副组长及公共卫生股长、各医疗机构负责人为成员的产科急救领导小组，以各助产机构负责人及医务科科长、妇产科主任为成员的产儿科急救领导小组办公室。制定并下发了《盐边县孕产妇风险评估与管理工作方案》，召开了专题会议，安排部署了我县母婴安全保障工作。</w:t>
      </w:r>
    </w:p>
    <w:p w14:paraId="594ED42A">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2）为强化医护人员急救意识，规范救治流程，进一步保障母婴安全，我县于2023年2月16日组织召开了盐边县2023年母婴安全保障工作会议，全面分析当前全县母婴安全面临的严峻形势，对下一步推进母婴安全质量提升及落实母婴安全行动计划、母婴安全五项制度进行了部署。</w:t>
      </w:r>
    </w:p>
    <w:p w14:paraId="302DA36F">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rPr>
        <w:t>10</w:t>
      </w:r>
      <w:r>
        <w:rPr>
          <w:rFonts w:hint="eastAsia" w:ascii="仿宋" w:hAnsi="仿宋" w:eastAsia="仿宋" w:cs="仿宋"/>
          <w:sz w:val="32"/>
          <w:szCs w:val="32"/>
          <w:lang w:val="zh-CN"/>
        </w:rPr>
        <w:t>.妇幼监测人才培训项目</w:t>
      </w:r>
    </w:p>
    <w:p w14:paraId="25C1C5D3">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（1）加强产儿科人员、妇幼保健人员基本知识、基本理论和基本技能“三基”培训。同时按要求组织基层产科医师3人、出生缺陷防治4人，新生儿科医师1人，参加全省集中培训，努力增强产儿科服务能力建设。</w:t>
      </w:r>
    </w:p>
    <w:p w14:paraId="755A896B">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（2）年初举办了产儿科适宜技术培训，高危孕产妇筛查评估及转诊流程，产后出血的诊断处理及新生儿窒息复苏等基本技能培训。</w:t>
      </w:r>
    </w:p>
    <w:p w14:paraId="4BC509D0">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（3）各乡镇妇幼卫生监测人员的“三基”（基础理论、基本知识、基本技能）考核合格率≥90％。</w:t>
      </w:r>
    </w:p>
    <w:p w14:paraId="099B04F0">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（4）推广应用规范、统一的妇幼卫生监测工作监督指导指南，及电子台账。</w:t>
      </w:r>
    </w:p>
    <w:p w14:paraId="003BB84C">
      <w:pPr>
        <w:pStyle w:val="2"/>
        <w:spacing w:before="93"/>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根据上级部门的要求，我中心不断加强自身的制度建设，进行不断的梳理和完善，对内控管理的各个环节加强制约，不断完善新业务的操作规程和流程，同时加强考核，以考核促提高，以提高促发展。从制度、会计、审计、安全等多方面，形成相互融通相互制约机制。中心专门成立业务检查小组，定期、不定期对人员进行考核、检查，并结合案件“专项治理”工作，全面提高制度执行力。中心按照信息公开制度及时公开政务、单位预算、单位决算等信息。</w:t>
      </w:r>
    </w:p>
    <w:p w14:paraId="59D9F547">
      <w:pPr>
        <w:pStyle w:val="2"/>
        <w:spacing w:before="93"/>
        <w:rPr>
          <w:rFonts w:ascii="仿宋" w:hAnsi="仿宋" w:eastAsia="仿宋" w:cs="仿宋"/>
          <w:sz w:val="32"/>
          <w:szCs w:val="32"/>
          <w:lang w:val="zh-CN"/>
        </w:rPr>
      </w:pPr>
      <w:r>
        <w:rPr>
          <w:rFonts w:hint="eastAsia" w:ascii="仿宋" w:hAnsi="仿宋" w:eastAsia="仿宋" w:cs="仿宋"/>
          <w:sz w:val="32"/>
          <w:szCs w:val="32"/>
          <w:lang w:val="zh-CN"/>
        </w:rPr>
        <w:t>（三）自评质量</w:t>
      </w:r>
    </w:p>
    <w:p w14:paraId="5A5593C2">
      <w:pPr>
        <w:pStyle w:val="2"/>
        <w:spacing w:before="93"/>
        <w:ind w:firstLine="640" w:firstLineChars="200"/>
        <w:rPr>
          <w:lang w:val="zh-CN"/>
        </w:rPr>
      </w:pPr>
      <w:r>
        <w:rPr>
          <w:rFonts w:hint="eastAsia" w:ascii="仿宋" w:hAnsi="仿宋" w:eastAsia="仿宋" w:cs="仿宋"/>
          <w:sz w:val="32"/>
          <w:szCs w:val="32"/>
          <w:lang w:val="zh-CN"/>
        </w:rPr>
        <w:t>2023年通过加强预算收支管理，不断建立健全内部管理制度，梳理内部管理流程，部门整体支出管理水平得到提升。整体支出自评准确率90%。</w:t>
      </w:r>
    </w:p>
    <w:p w14:paraId="759D834B">
      <w:pPr>
        <w:ind w:firstLine="640" w:firstLineChars="200"/>
        <w:rPr>
          <w:rFonts w:ascii="黑体" w:hAnsi="黑体" w:eastAsia="黑体"/>
          <w:sz w:val="32"/>
          <w:szCs w:val="32"/>
        </w:rPr>
      </w:pPr>
      <w:r>
        <w:rPr>
          <w:rFonts w:hint="eastAsia" w:ascii="黑体" w:hAnsi="黑体" w:eastAsia="黑体"/>
          <w:sz w:val="32"/>
          <w:szCs w:val="32"/>
        </w:rPr>
        <w:t>四、评价结论及建议</w:t>
      </w:r>
    </w:p>
    <w:p w14:paraId="3F75F1D8">
      <w:pPr>
        <w:ind w:firstLine="600" w:firstLineChars="200"/>
        <w:rPr>
          <w:rFonts w:ascii="仿宋" w:hAnsi="仿宋" w:eastAsia="仿宋" w:cs="仿宋"/>
          <w:bCs/>
          <w:sz w:val="30"/>
          <w:szCs w:val="30"/>
        </w:rPr>
      </w:pPr>
      <w:r>
        <w:rPr>
          <w:rFonts w:hint="eastAsia" w:ascii="仿宋" w:hAnsi="仿宋" w:eastAsia="仿宋" w:cs="仿宋"/>
          <w:bCs/>
          <w:sz w:val="30"/>
          <w:szCs w:val="30"/>
        </w:rPr>
        <w:t>（一）评价结论</w:t>
      </w:r>
    </w:p>
    <w:p w14:paraId="585599CB">
      <w:pPr>
        <w:ind w:firstLine="600" w:firstLineChars="200"/>
        <w:rPr>
          <w:rFonts w:ascii="仿宋" w:hAnsi="仿宋" w:eastAsia="仿宋" w:cs="仿宋"/>
          <w:bCs/>
          <w:sz w:val="30"/>
          <w:szCs w:val="30"/>
        </w:rPr>
      </w:pPr>
      <w:r>
        <w:rPr>
          <w:rFonts w:hint="eastAsia" w:ascii="仿宋" w:hAnsi="仿宋" w:eastAsia="仿宋" w:cs="仿宋"/>
          <w:bCs/>
          <w:sz w:val="30"/>
          <w:szCs w:val="30"/>
        </w:rPr>
        <w:t>1.2023年通过加强预算收支管理，不断建立健全内部管理制度，梳理内部管理流程，部门整体支出管理水平得到提升。自评结果为良好。</w:t>
      </w:r>
    </w:p>
    <w:p w14:paraId="2F137C1E">
      <w:pPr>
        <w:numPr>
          <w:ilvl w:val="0"/>
          <w:numId w:val="5"/>
        </w:numPr>
        <w:ind w:firstLine="600" w:firstLineChars="200"/>
        <w:rPr>
          <w:rFonts w:hint="eastAsia" w:ascii="仿宋" w:hAnsi="仿宋" w:eastAsia="仿宋" w:cs="仿宋"/>
          <w:bCs/>
          <w:sz w:val="30"/>
          <w:szCs w:val="30"/>
        </w:rPr>
      </w:pPr>
      <w:r>
        <w:rPr>
          <w:rFonts w:hint="eastAsia" w:ascii="仿宋" w:hAnsi="仿宋" w:eastAsia="仿宋" w:cs="仿宋"/>
          <w:bCs/>
          <w:sz w:val="30"/>
          <w:szCs w:val="30"/>
        </w:rPr>
        <w:t>存在问题</w:t>
      </w:r>
    </w:p>
    <w:p w14:paraId="4FE93F3D">
      <w:pPr>
        <w:numPr>
          <w:ilvl w:val="0"/>
          <w:numId w:val="0"/>
        </w:numPr>
        <w:ind w:firstLine="600" w:firstLineChars="200"/>
        <w:rPr>
          <w:rFonts w:ascii="仿宋" w:hAnsi="仿宋" w:eastAsia="仿宋" w:cs="仿宋"/>
          <w:bCs/>
          <w:sz w:val="30"/>
          <w:szCs w:val="30"/>
        </w:rPr>
      </w:pPr>
      <w:r>
        <w:rPr>
          <w:rFonts w:hint="eastAsia" w:ascii="仿宋" w:hAnsi="仿宋" w:eastAsia="仿宋" w:cs="仿宋"/>
          <w:bCs/>
          <w:sz w:val="30"/>
          <w:szCs w:val="30"/>
        </w:rPr>
        <w:t>从这次的绩效自评结果看，我中心项目实施情况整体良好，各科室工作积极主动，使资金发挥了其应有的经济及社会效益，当然也存在一些问题：</w:t>
      </w:r>
    </w:p>
    <w:p w14:paraId="6C225BF3">
      <w:pPr>
        <w:ind w:firstLine="600" w:firstLineChars="200"/>
        <w:rPr>
          <w:rFonts w:ascii="仿宋" w:hAnsi="仿宋" w:eastAsia="仿宋" w:cs="仿宋"/>
          <w:bCs/>
          <w:sz w:val="30"/>
          <w:szCs w:val="30"/>
        </w:rPr>
      </w:pPr>
      <w:r>
        <w:rPr>
          <w:rFonts w:hint="eastAsia" w:ascii="仿宋" w:hAnsi="仿宋" w:eastAsia="仿宋" w:cs="仿宋"/>
          <w:bCs/>
          <w:sz w:val="30"/>
          <w:szCs w:val="30"/>
        </w:rPr>
        <w:t>1.预算细化程度不够，造成了预算数与执行数的差异。</w:t>
      </w:r>
    </w:p>
    <w:p w14:paraId="419B4D51">
      <w:pPr>
        <w:ind w:firstLine="600" w:firstLineChars="200"/>
        <w:rPr>
          <w:rFonts w:ascii="仿宋" w:hAnsi="仿宋" w:eastAsia="仿宋" w:cs="仿宋"/>
          <w:bCs/>
          <w:sz w:val="30"/>
          <w:szCs w:val="30"/>
        </w:rPr>
      </w:pPr>
      <w:r>
        <w:rPr>
          <w:rFonts w:hint="eastAsia" w:ascii="仿宋" w:hAnsi="仿宋" w:eastAsia="仿宋" w:cs="仿宋"/>
          <w:bCs/>
          <w:sz w:val="30"/>
          <w:szCs w:val="30"/>
        </w:rPr>
        <w:t>2．预算执行完成后的绩效管理还有待完善和加强。</w:t>
      </w:r>
    </w:p>
    <w:p w14:paraId="162E2024">
      <w:pPr>
        <w:ind w:firstLine="600" w:firstLineChars="200"/>
        <w:rPr>
          <w:rFonts w:ascii="仿宋" w:hAnsi="仿宋" w:eastAsia="仿宋" w:cs="仿宋"/>
          <w:bCs/>
          <w:sz w:val="30"/>
          <w:szCs w:val="30"/>
        </w:rPr>
      </w:pPr>
      <w:r>
        <w:rPr>
          <w:rFonts w:hint="eastAsia" w:ascii="仿宋" w:hAnsi="仿宋" w:eastAsia="仿宋" w:cs="仿宋"/>
          <w:bCs/>
          <w:sz w:val="30"/>
          <w:szCs w:val="30"/>
        </w:rPr>
        <w:t>（1）对于绩效评价的认识不够深入，把预算绩效简单等同于工作目标、工作考核和业务管理。</w:t>
      </w:r>
    </w:p>
    <w:p w14:paraId="323B4E70">
      <w:pPr>
        <w:ind w:firstLine="600" w:firstLineChars="200"/>
        <w:rPr>
          <w:rFonts w:ascii="仿宋" w:hAnsi="仿宋" w:eastAsia="仿宋" w:cs="仿宋"/>
          <w:bCs/>
          <w:sz w:val="30"/>
          <w:szCs w:val="30"/>
        </w:rPr>
      </w:pPr>
      <w:r>
        <w:rPr>
          <w:rFonts w:hint="eastAsia" w:ascii="仿宋" w:hAnsi="仿宋" w:eastAsia="仿宋" w:cs="仿宋"/>
          <w:bCs/>
          <w:sz w:val="30"/>
          <w:szCs w:val="30"/>
        </w:rPr>
        <w:t>（2）绩效目标和指标往往根据项目实际完成情况制定，对项目执行过程有效约束不够，存在一定的偏差。</w:t>
      </w:r>
    </w:p>
    <w:p w14:paraId="68A37137">
      <w:pPr>
        <w:ind w:firstLine="600" w:firstLineChars="200"/>
        <w:rPr>
          <w:rFonts w:ascii="仿宋" w:hAnsi="仿宋" w:eastAsia="仿宋" w:cs="仿宋"/>
          <w:bCs/>
          <w:sz w:val="30"/>
          <w:szCs w:val="30"/>
        </w:rPr>
      </w:pPr>
      <w:r>
        <w:rPr>
          <w:rFonts w:hint="eastAsia" w:ascii="仿宋" w:hAnsi="仿宋" w:eastAsia="仿宋" w:cs="仿宋"/>
          <w:bCs/>
          <w:sz w:val="30"/>
          <w:szCs w:val="30"/>
        </w:rPr>
        <w:t>（3）在绩效考评指标的设计上，部分特色指标缺乏数据支持和可行的分析测评，绩效指标体系有待完善。</w:t>
      </w:r>
    </w:p>
    <w:p w14:paraId="6BDFA408">
      <w:pPr>
        <w:ind w:firstLine="600" w:firstLineChars="200"/>
        <w:rPr>
          <w:rFonts w:hint="eastAsia" w:ascii="仿宋" w:hAnsi="仿宋" w:eastAsia="仿宋" w:cs="仿宋"/>
          <w:bCs/>
          <w:sz w:val="30"/>
          <w:szCs w:val="30"/>
        </w:rPr>
      </w:pPr>
      <w:r>
        <w:rPr>
          <w:rFonts w:hint="eastAsia" w:ascii="仿宋" w:hAnsi="仿宋" w:eastAsia="仿宋" w:cs="仿宋"/>
          <w:bCs/>
          <w:sz w:val="30"/>
          <w:szCs w:val="30"/>
        </w:rPr>
        <w:t>（三）改进建议</w:t>
      </w:r>
    </w:p>
    <w:p w14:paraId="023E9C88">
      <w:pPr>
        <w:ind w:firstLine="600" w:firstLineChars="200"/>
        <w:rPr>
          <w:rFonts w:ascii="仿宋" w:hAnsi="仿宋" w:eastAsia="仿宋" w:cs="仿宋"/>
          <w:bCs/>
          <w:sz w:val="30"/>
          <w:szCs w:val="30"/>
        </w:rPr>
      </w:pPr>
      <w:r>
        <w:rPr>
          <w:rFonts w:hint="eastAsia" w:ascii="仿宋" w:hAnsi="仿宋" w:eastAsia="仿宋" w:cs="仿宋"/>
          <w:bCs/>
          <w:sz w:val="30"/>
          <w:szCs w:val="30"/>
        </w:rPr>
        <w:t>加强绩效评价管理制度和流程的建设，进一步深化、完善绩效管理体系，建立全过程的预算绩效管理机制，促进绩效管理工作向广度和深度延伸。规范绩效评价管理资料的收集整理，确保相关信息完整、可靠，客观公正地反映项目资金实际使用和产生的绩效状况，为今后该项目实施方向及管理方式的改进提供指导。</w:t>
      </w:r>
    </w:p>
    <w:p w14:paraId="6CB6EE10">
      <w:pPr>
        <w:rPr>
          <w:rFonts w:ascii="黑体" w:hAnsi="黑体" w:eastAsia="黑体"/>
          <w:sz w:val="32"/>
          <w:szCs w:val="32"/>
        </w:rPr>
      </w:pPr>
    </w:p>
    <w:p w14:paraId="2F90655A">
      <w:pPr>
        <w:rPr>
          <w:rFonts w:ascii="黑体" w:hAnsi="黑体" w:eastAsia="黑体"/>
          <w:sz w:val="32"/>
          <w:szCs w:val="32"/>
        </w:rPr>
      </w:pPr>
    </w:p>
    <w:p w14:paraId="12E96E75">
      <w:pPr>
        <w:rPr>
          <w:rFonts w:ascii="黑体" w:hAnsi="黑体" w:eastAsia="黑体"/>
          <w:sz w:val="32"/>
          <w:szCs w:val="32"/>
        </w:rPr>
      </w:pPr>
    </w:p>
    <w:p w14:paraId="17F1EC97">
      <w:pPr>
        <w:rPr>
          <w:rFonts w:ascii="黑体" w:hAnsi="黑体" w:eastAsia="黑体"/>
          <w:sz w:val="32"/>
          <w:szCs w:val="32"/>
        </w:rPr>
      </w:pPr>
    </w:p>
    <w:p w14:paraId="31157DAD">
      <w:pPr>
        <w:rPr>
          <w:rFonts w:ascii="黑体" w:hAnsi="黑体" w:eastAsia="黑体"/>
          <w:sz w:val="32"/>
          <w:szCs w:val="32"/>
        </w:rPr>
      </w:pPr>
    </w:p>
    <w:p w14:paraId="45FA2733">
      <w:pPr>
        <w:rPr>
          <w:rFonts w:ascii="黑体" w:hAnsi="黑体" w:eastAsia="黑体"/>
          <w:sz w:val="32"/>
          <w:szCs w:val="32"/>
        </w:rPr>
      </w:pPr>
    </w:p>
    <w:p w14:paraId="4DE06DD9">
      <w:pPr>
        <w:pStyle w:val="2"/>
        <w:spacing w:before="93"/>
      </w:pPr>
    </w:p>
    <w:p w14:paraId="2FAE0E18">
      <w:pPr>
        <w:rPr>
          <w:rFonts w:hint="eastAsia" w:ascii="黑体" w:hAnsi="黑体" w:eastAsia="黑体"/>
          <w:sz w:val="32"/>
          <w:szCs w:val="32"/>
        </w:rPr>
      </w:pPr>
    </w:p>
    <w:p w14:paraId="05D536A6">
      <w:pPr>
        <w:rPr>
          <w:rFonts w:hint="eastAsia" w:ascii="黑体" w:hAnsi="黑体" w:eastAsia="黑体"/>
          <w:sz w:val="32"/>
          <w:szCs w:val="32"/>
        </w:rPr>
      </w:pPr>
    </w:p>
    <w:p w14:paraId="74CC9F95">
      <w:pPr>
        <w:rPr>
          <w:rFonts w:hint="eastAsia" w:ascii="黑体" w:hAnsi="黑体" w:eastAsia="黑体"/>
          <w:sz w:val="32"/>
          <w:szCs w:val="32"/>
        </w:rPr>
      </w:pPr>
    </w:p>
    <w:p w14:paraId="0B356025">
      <w:r>
        <w:rPr>
          <w:rFonts w:hint="eastAsia" w:ascii="黑体" w:hAnsi="黑体" w:eastAsia="黑体"/>
          <w:sz w:val="32"/>
          <w:szCs w:val="32"/>
        </w:rPr>
        <w:t>附件2</w:t>
      </w:r>
    </w:p>
    <w:p w14:paraId="29AE9FB6">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盐边县妇幼保健服务中心</w:t>
      </w:r>
    </w:p>
    <w:p w14:paraId="2A5D25B6">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2023年（重大传染病等防控资金）绩效</w:t>
      </w:r>
    </w:p>
    <w:p w14:paraId="51AD948B">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自评报告</w:t>
      </w:r>
    </w:p>
    <w:p w14:paraId="06C30E86">
      <w:pPr>
        <w:rPr>
          <w:rFonts w:eastAsia="仿宋_GB2312"/>
          <w:sz w:val="32"/>
          <w:szCs w:val="32"/>
          <w:lang w:val="zh-CN"/>
        </w:rPr>
      </w:pPr>
    </w:p>
    <w:p w14:paraId="13105F71">
      <w:pPr>
        <w:ind w:firstLine="640" w:firstLineChars="200"/>
        <w:rPr>
          <w:rFonts w:ascii="黑体" w:hAnsi="黑体" w:eastAsia="黑体"/>
          <w:sz w:val="32"/>
          <w:szCs w:val="32"/>
          <w:lang w:val="zh-CN"/>
        </w:rPr>
      </w:pPr>
      <w:r>
        <w:rPr>
          <w:rFonts w:hint="eastAsia" w:ascii="黑体" w:hAnsi="黑体" w:eastAsia="黑体"/>
          <w:sz w:val="32"/>
          <w:szCs w:val="32"/>
          <w:lang w:val="zh-CN"/>
        </w:rPr>
        <w:t>一、项目概况</w:t>
      </w:r>
    </w:p>
    <w:p w14:paraId="0C684D77">
      <w:pPr>
        <w:adjustRightInd w:val="0"/>
        <w:snapToGrid w:val="0"/>
        <w:spacing w:line="600" w:lineRule="exact"/>
        <w:ind w:firstLine="720"/>
        <w:rPr>
          <w:rFonts w:ascii="仿宋" w:hAnsi="仿宋" w:eastAsia="仿宋" w:cs="仿宋"/>
          <w:sz w:val="32"/>
          <w:szCs w:val="32"/>
        </w:rPr>
      </w:pPr>
      <w:r>
        <w:rPr>
          <w:rFonts w:hint="eastAsia" w:ascii="仿宋" w:hAnsi="仿宋" w:eastAsia="仿宋" w:cs="仿宋"/>
          <w:sz w:val="32"/>
          <w:szCs w:val="32"/>
        </w:rPr>
        <w:t>1．主管部门职能</w:t>
      </w:r>
    </w:p>
    <w:p w14:paraId="642D7FF8">
      <w:pPr>
        <w:adjustRightInd w:val="0"/>
        <w:snapToGrid w:val="0"/>
        <w:spacing w:line="600" w:lineRule="exact"/>
        <w:ind w:firstLine="720"/>
        <w:rPr>
          <w:rFonts w:ascii="仿宋" w:hAnsi="仿宋" w:eastAsia="仿宋" w:cs="仿宋"/>
          <w:sz w:val="32"/>
          <w:szCs w:val="32"/>
        </w:rPr>
      </w:pPr>
      <w:r>
        <w:rPr>
          <w:rFonts w:hint="eastAsia" w:ascii="仿宋" w:hAnsi="仿宋" w:eastAsia="仿宋" w:cs="仿宋"/>
          <w:sz w:val="32"/>
          <w:szCs w:val="32"/>
        </w:rPr>
        <w:t>提供对全县疾病预防控制规划、免疫规划以及严重危害人民健康的重大传染病等公共卫生问题的干预措施。收集、报告法定传染病疫情信息、突发公共卫生事件应急处置信息。依照国家检疫传染病和监测传染病目录，参与开展检疫监测工作。</w:t>
      </w:r>
    </w:p>
    <w:p w14:paraId="254D38EF">
      <w:pPr>
        <w:adjustRightInd w:val="0"/>
        <w:snapToGrid w:val="0"/>
        <w:spacing w:line="600" w:lineRule="exact"/>
        <w:ind w:firstLine="720"/>
        <w:rPr>
          <w:rFonts w:ascii="仿宋" w:hAnsi="仿宋" w:eastAsia="仿宋" w:cs="仿宋"/>
          <w:sz w:val="32"/>
          <w:szCs w:val="32"/>
        </w:rPr>
      </w:pPr>
      <w:r>
        <w:rPr>
          <w:rFonts w:hint="eastAsia" w:ascii="仿宋" w:hAnsi="仿宋" w:eastAsia="仿宋" w:cs="仿宋"/>
          <w:sz w:val="32"/>
          <w:szCs w:val="32"/>
        </w:rPr>
        <w:t>2. 项目立项、资金申报的依据</w:t>
      </w:r>
    </w:p>
    <w:p w14:paraId="001E966C">
      <w:pPr>
        <w:adjustRightInd w:val="0"/>
        <w:snapToGrid w:val="0"/>
        <w:spacing w:line="600" w:lineRule="exact"/>
        <w:ind w:firstLine="720"/>
        <w:rPr>
          <w:rFonts w:ascii="仿宋" w:hAnsi="仿宋" w:eastAsia="仿宋" w:cs="仿宋"/>
          <w:sz w:val="32"/>
          <w:szCs w:val="32"/>
        </w:rPr>
      </w:pPr>
      <w:r>
        <w:rPr>
          <w:rFonts w:hint="eastAsia" w:ascii="仿宋" w:hAnsi="仿宋" w:eastAsia="仿宋" w:cs="仿宋"/>
          <w:sz w:val="32"/>
          <w:szCs w:val="32"/>
        </w:rPr>
        <w:t>重大传染病防控项目包括扩大国家免疫规划、艾滋病防治、重点传染病及健康危害因素监测等内容，项目覆盖全县，为群众提供传染病防控、疾病预防、检验检疫等服务。</w:t>
      </w:r>
    </w:p>
    <w:p w14:paraId="786DC7C5">
      <w:pPr>
        <w:adjustRightInd w:val="0"/>
        <w:snapToGrid w:val="0"/>
        <w:spacing w:line="600" w:lineRule="exact"/>
        <w:ind w:firstLine="720"/>
        <w:rPr>
          <w:rFonts w:ascii="仿宋" w:hAnsi="仿宋" w:eastAsia="仿宋" w:cs="仿宋"/>
          <w:sz w:val="32"/>
          <w:szCs w:val="32"/>
        </w:rPr>
      </w:pPr>
      <w:r>
        <w:rPr>
          <w:rFonts w:hint="eastAsia" w:ascii="仿宋" w:hAnsi="仿宋" w:eastAsia="仿宋" w:cs="仿宋"/>
          <w:sz w:val="32"/>
          <w:szCs w:val="32"/>
        </w:rPr>
        <w:t>3．资金管理办法</w:t>
      </w:r>
    </w:p>
    <w:p w14:paraId="2EBFE57C">
      <w:pPr>
        <w:pStyle w:val="2"/>
        <w:spacing w:before="93"/>
        <w:ind w:firstLine="640" w:firstLineChars="200"/>
        <w:rPr>
          <w:rFonts w:ascii="仿宋" w:hAnsi="仿宋" w:eastAsia="仿宋" w:cs="仿宋"/>
          <w:sz w:val="32"/>
          <w:szCs w:val="32"/>
        </w:rPr>
      </w:pPr>
      <w:r>
        <w:rPr>
          <w:rFonts w:hint="eastAsia" w:ascii="仿宋" w:hAnsi="仿宋" w:eastAsia="仿宋" w:cs="仿宋"/>
          <w:sz w:val="32"/>
          <w:szCs w:val="32"/>
        </w:rPr>
        <w:t>项目资金严格按照相关资金文件要求由县卫生健康局统筹下拨县妇幼保健服务中心，项目资金全部用于重大传染病防控项目。按照项目实施方案要求，由各业务科室制定符合我中心实际情况的实施方案，确保目标任务在2023年全面完成。</w:t>
      </w:r>
    </w:p>
    <w:p w14:paraId="3024119E">
      <w:pPr>
        <w:adjustRightInd w:val="0"/>
        <w:snapToGrid w:val="0"/>
        <w:spacing w:line="600" w:lineRule="exact"/>
        <w:ind w:firstLine="720"/>
        <w:rPr>
          <w:rFonts w:ascii="仿宋" w:hAnsi="仿宋" w:eastAsia="仿宋" w:cs="仿宋"/>
          <w:sz w:val="32"/>
          <w:szCs w:val="32"/>
        </w:rPr>
      </w:pPr>
      <w:r>
        <w:rPr>
          <w:rFonts w:hint="eastAsia" w:ascii="仿宋" w:hAnsi="仿宋" w:eastAsia="仿宋" w:cs="仿宋"/>
          <w:sz w:val="32"/>
          <w:szCs w:val="32"/>
        </w:rPr>
        <w:t>4. 资金分配的原则及考虑因素</w:t>
      </w:r>
    </w:p>
    <w:p w14:paraId="2D59D822">
      <w:pPr>
        <w:adjustRightInd w:val="0"/>
        <w:snapToGrid w:val="0"/>
        <w:spacing w:line="600" w:lineRule="exact"/>
        <w:ind w:firstLine="720"/>
        <w:rPr>
          <w:rFonts w:ascii="仿宋" w:hAnsi="仿宋" w:eastAsia="仿宋" w:cs="仿宋"/>
          <w:sz w:val="32"/>
          <w:szCs w:val="32"/>
        </w:rPr>
      </w:pPr>
      <w:r>
        <w:rPr>
          <w:rFonts w:hint="eastAsia" w:ascii="仿宋" w:hAnsi="仿宋" w:eastAsia="仿宋" w:cs="仿宋"/>
          <w:sz w:val="32"/>
          <w:szCs w:val="32"/>
        </w:rPr>
        <w:t>由卫生健康局统筹分配资金。充分考虑项目涉及服务人群和项目完成难度。</w:t>
      </w:r>
    </w:p>
    <w:p w14:paraId="26FA2674">
      <w:pPr>
        <w:numPr>
          <w:ilvl w:val="0"/>
          <w:numId w:val="6"/>
        </w:numPr>
        <w:adjustRightInd w:val="0"/>
        <w:snapToGrid w:val="0"/>
        <w:spacing w:line="600" w:lineRule="exact"/>
        <w:ind w:firstLine="720"/>
        <w:rPr>
          <w:rFonts w:ascii="楷体_GB2312" w:eastAsia="楷体_GB2312"/>
          <w:b/>
          <w:bCs/>
          <w:sz w:val="32"/>
          <w:szCs w:val="32"/>
        </w:rPr>
      </w:pPr>
      <w:r>
        <w:rPr>
          <w:rFonts w:hint="eastAsia" w:ascii="楷体_GB2312" w:eastAsia="楷体_GB2312"/>
          <w:b/>
          <w:bCs/>
          <w:sz w:val="32"/>
          <w:szCs w:val="32"/>
        </w:rPr>
        <w:t>项目绩效目标</w:t>
      </w:r>
    </w:p>
    <w:p w14:paraId="63B44196">
      <w:pPr>
        <w:adjustRightInd w:val="0"/>
        <w:snapToGrid w:val="0"/>
        <w:spacing w:line="600" w:lineRule="exact"/>
        <w:ind w:firstLine="720"/>
        <w:rPr>
          <w:rFonts w:ascii="仿宋" w:hAnsi="仿宋" w:eastAsia="仿宋" w:cs="仿宋"/>
          <w:sz w:val="32"/>
          <w:szCs w:val="32"/>
        </w:rPr>
      </w:pPr>
      <w:r>
        <w:rPr>
          <w:rFonts w:hint="eastAsia" w:ascii="仿宋" w:hAnsi="仿宋" w:eastAsia="仿宋" w:cs="仿宋"/>
          <w:sz w:val="32"/>
          <w:szCs w:val="32"/>
        </w:rPr>
        <w:t>1. 项目主要内容。</w:t>
      </w:r>
    </w:p>
    <w:p w14:paraId="20127238">
      <w:pPr>
        <w:adjustRightInd w:val="0"/>
        <w:snapToGrid w:val="0"/>
        <w:spacing w:line="600" w:lineRule="exact"/>
        <w:ind w:firstLine="720"/>
        <w:rPr>
          <w:rFonts w:ascii="仿宋" w:hAnsi="仿宋" w:eastAsia="仿宋" w:cs="仿宋"/>
          <w:sz w:val="32"/>
          <w:szCs w:val="32"/>
        </w:rPr>
      </w:pPr>
      <w:r>
        <w:rPr>
          <w:rFonts w:hint="eastAsia" w:ascii="仿宋" w:hAnsi="仿宋" w:eastAsia="仿宋" w:cs="仿宋"/>
          <w:sz w:val="32"/>
          <w:szCs w:val="32"/>
        </w:rPr>
        <w:t>进一步完善“政府组织领导、部门各负其责、全社会共同参与”的防治机制，全面落实各项艾滋病和性病预防控制措施，提高发现率，扩大治疗覆盖面，提升治疗成功率，降低死亡率，降低新发感染，提高感染者和病人的生活质量。及时发现和规范治疗管理艾滋病患者，持续降低艾滋病的感染、发病与死亡，确保艾滋病病例稳步下降，提高群众健康水平。全面开展乙肝梅毒综合防治，强化艾滋病病例发现，进一步落实艾滋病控制策略和措施，持续巩固我县地方传染病消除成果。</w:t>
      </w:r>
    </w:p>
    <w:p w14:paraId="5BB26B70">
      <w:pPr>
        <w:adjustRightInd w:val="0"/>
        <w:snapToGrid w:val="0"/>
        <w:spacing w:line="600" w:lineRule="exact"/>
        <w:ind w:firstLine="720"/>
        <w:rPr>
          <w:rFonts w:ascii="仿宋" w:hAnsi="仿宋" w:eastAsia="仿宋" w:cs="仿宋"/>
          <w:sz w:val="32"/>
          <w:szCs w:val="32"/>
        </w:rPr>
      </w:pPr>
      <w:r>
        <w:rPr>
          <w:rFonts w:hint="eastAsia" w:ascii="仿宋" w:hAnsi="仿宋" w:eastAsia="仿宋" w:cs="仿宋"/>
          <w:sz w:val="32"/>
          <w:szCs w:val="32"/>
        </w:rPr>
        <w:t>2. 项目应实现的具体绩效目标。</w:t>
      </w:r>
    </w:p>
    <w:p w14:paraId="581F83E2">
      <w:pPr>
        <w:spacing w:line="600" w:lineRule="exact"/>
        <w:ind w:firstLine="640"/>
        <w:rPr>
          <w:rFonts w:ascii="仿宋" w:hAnsi="仿宋" w:eastAsia="仿宋" w:cs="仿宋"/>
          <w:kern w:val="0"/>
          <w:sz w:val="32"/>
          <w:szCs w:val="32"/>
        </w:rPr>
      </w:pPr>
      <w:r>
        <w:rPr>
          <w:rFonts w:hint="eastAsia" w:ascii="仿宋" w:hAnsi="仿宋" w:eastAsia="仿宋" w:cs="仿宋"/>
          <w:kern w:val="0"/>
          <w:sz w:val="32"/>
          <w:szCs w:val="32"/>
        </w:rPr>
        <w:t>2023年顺利完成重大传染病防控项目相关指标，盐边县妇幼保健服务中心将加强建设过程中的技术指导和监督，强化重点任务项目落地落实。该项目任务量完成、质量标准、进度计划、成本控制都在可控范围内。</w:t>
      </w:r>
    </w:p>
    <w:p w14:paraId="03BFBE8F">
      <w:pPr>
        <w:adjustRightInd w:val="0"/>
        <w:snapToGrid w:val="0"/>
        <w:spacing w:line="600" w:lineRule="exact"/>
        <w:ind w:firstLine="720"/>
        <w:rPr>
          <w:rFonts w:ascii="仿宋" w:hAnsi="仿宋" w:eastAsia="仿宋" w:cs="仿宋"/>
          <w:sz w:val="32"/>
          <w:szCs w:val="32"/>
        </w:rPr>
      </w:pPr>
      <w:r>
        <w:rPr>
          <w:rFonts w:hint="eastAsia" w:ascii="仿宋" w:hAnsi="仿宋" w:eastAsia="仿宋" w:cs="仿宋"/>
          <w:sz w:val="32"/>
          <w:szCs w:val="32"/>
        </w:rPr>
        <w:t>3. 申报内容、申报目标。</w:t>
      </w:r>
    </w:p>
    <w:p w14:paraId="7DD8B5B0">
      <w:pPr>
        <w:adjustRightInd w:val="0"/>
        <w:snapToGrid w:val="0"/>
        <w:spacing w:line="600" w:lineRule="exact"/>
        <w:ind w:firstLine="640" w:firstLineChars="200"/>
        <w:rPr>
          <w:rFonts w:ascii="仿宋" w:hAnsi="仿宋" w:eastAsia="仿宋" w:cs="仿宋"/>
          <w:b/>
          <w:bCs/>
          <w:sz w:val="32"/>
          <w:szCs w:val="32"/>
        </w:rPr>
      </w:pPr>
      <w:r>
        <w:rPr>
          <w:rFonts w:hint="eastAsia" w:ascii="仿宋" w:hAnsi="仿宋" w:eastAsia="仿宋" w:cs="仿宋"/>
          <w:sz w:val="32"/>
          <w:szCs w:val="32"/>
        </w:rPr>
        <w:t>申报内容与实际相符，申报目标合理可行。</w:t>
      </w:r>
    </w:p>
    <w:p w14:paraId="666218D5">
      <w:pPr>
        <w:pStyle w:val="2"/>
        <w:spacing w:before="93"/>
        <w:rPr>
          <w:rFonts w:ascii="仿宋" w:hAnsi="仿宋" w:eastAsia="仿宋" w:cs="仿宋"/>
          <w:sz w:val="32"/>
          <w:szCs w:val="32"/>
        </w:rPr>
      </w:pPr>
    </w:p>
    <w:p w14:paraId="5AC860E8">
      <w:pPr>
        <w:adjustRightInd w:val="0"/>
        <w:snapToGrid w:val="0"/>
        <w:spacing w:line="600" w:lineRule="exact"/>
        <w:ind w:firstLine="720"/>
        <w:rPr>
          <w:rFonts w:eastAsia="楷体_GB2312"/>
          <w:b/>
          <w:bCs/>
          <w:sz w:val="32"/>
          <w:szCs w:val="32"/>
        </w:rPr>
      </w:pPr>
      <w:r>
        <w:rPr>
          <w:rFonts w:hint="eastAsia" w:ascii="楷体_GB2312" w:eastAsia="楷体_GB2312"/>
          <w:b/>
          <w:bCs/>
          <w:sz w:val="32"/>
          <w:szCs w:val="32"/>
        </w:rPr>
        <w:t>（三）项目自评步骤及方法</w:t>
      </w:r>
    </w:p>
    <w:p w14:paraId="0CA225BA">
      <w:pPr>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有序开展2023年度重大传染病防控项目绩效评估工作，通过现场抽查等方法了解项目情况，收集相关基础资料，并查阅资料、收集数据信息等，深入论证、综合分析相关情况，对项目的实施进度和数量、完成质量以及有效性和社会性进行分析评估，形成绩效评估报告。</w:t>
      </w:r>
    </w:p>
    <w:p w14:paraId="62CE3705">
      <w:pPr>
        <w:adjustRightInd w:val="0"/>
        <w:snapToGrid w:val="0"/>
        <w:spacing w:line="600" w:lineRule="exact"/>
        <w:ind w:firstLine="720"/>
        <w:rPr>
          <w:rFonts w:eastAsia="黑体"/>
          <w:sz w:val="32"/>
          <w:szCs w:val="32"/>
        </w:rPr>
      </w:pPr>
      <w:bookmarkStart w:id="49" w:name="_Toc1136781002_WPSOffice_Level2"/>
      <w:bookmarkStart w:id="50" w:name="_Toc764263619_WPSOffice_Level2"/>
      <w:r>
        <w:rPr>
          <w:rFonts w:hint="eastAsia" w:ascii="黑体" w:eastAsia="黑体"/>
          <w:sz w:val="32"/>
          <w:szCs w:val="32"/>
        </w:rPr>
        <w:t>二、项目资金申报及使用情况</w:t>
      </w:r>
      <w:bookmarkEnd w:id="49"/>
      <w:bookmarkEnd w:id="50"/>
    </w:p>
    <w:p w14:paraId="4DE33780">
      <w:pPr>
        <w:adjustRightInd w:val="0"/>
        <w:snapToGrid w:val="0"/>
        <w:spacing w:line="600" w:lineRule="exact"/>
        <w:ind w:firstLine="720"/>
        <w:rPr>
          <w:rFonts w:ascii="楷体_GB2312" w:eastAsia="楷体_GB2312"/>
          <w:b/>
          <w:bCs/>
          <w:sz w:val="32"/>
          <w:szCs w:val="32"/>
        </w:rPr>
      </w:pPr>
      <w:r>
        <w:rPr>
          <w:rFonts w:hint="eastAsia" w:ascii="楷体_GB2312" w:eastAsia="楷体_GB2312"/>
          <w:b/>
          <w:bCs/>
          <w:sz w:val="32"/>
          <w:szCs w:val="32"/>
        </w:rPr>
        <w:t>（一）项目资金申报及批复情况</w:t>
      </w:r>
    </w:p>
    <w:p w14:paraId="3D5E6947">
      <w:pPr>
        <w:adjustRightInd w:val="0"/>
        <w:snapToGrid w:val="0"/>
        <w:spacing w:line="578" w:lineRule="exact"/>
        <w:ind w:firstLine="720"/>
        <w:rPr>
          <w:rFonts w:ascii="仿宋" w:hAnsi="仿宋" w:eastAsia="仿宋" w:cs="仿宋"/>
          <w:sz w:val="30"/>
          <w:szCs w:val="30"/>
        </w:rPr>
      </w:pPr>
      <w:r>
        <w:rPr>
          <w:rFonts w:hint="eastAsia" w:ascii="仿宋" w:hAnsi="仿宋" w:eastAsia="仿宋" w:cs="仿宋"/>
          <w:sz w:val="30"/>
          <w:szCs w:val="30"/>
        </w:rPr>
        <w:t>按照省、市印发的重大传染病等防控补助资金实施方案</w:t>
      </w:r>
    </w:p>
    <w:p w14:paraId="55B4B15F">
      <w:pPr>
        <w:adjustRightInd w:val="0"/>
        <w:snapToGrid w:val="0"/>
        <w:spacing w:line="578" w:lineRule="exact"/>
        <w:rPr>
          <w:rFonts w:ascii="仿宋" w:hAnsi="仿宋" w:eastAsia="仿宋" w:cs="仿宋"/>
          <w:sz w:val="30"/>
          <w:szCs w:val="30"/>
        </w:rPr>
      </w:pPr>
      <w:r>
        <w:rPr>
          <w:rFonts w:hint="eastAsia" w:ascii="仿宋" w:hAnsi="仿宋" w:eastAsia="仿宋" w:cs="仿宋"/>
          <w:sz w:val="30"/>
          <w:szCs w:val="30"/>
        </w:rPr>
        <w:t>要求，制定符合我中心的项目实施方案，分解细化目标任务，确保了目标任务全面完成，项目申报内容与具体实施内容相符、申报目标合理。</w:t>
      </w:r>
    </w:p>
    <w:p w14:paraId="65326A0D">
      <w:pPr>
        <w:adjustRightInd w:val="0"/>
        <w:snapToGrid w:val="0"/>
        <w:spacing w:line="578" w:lineRule="exact"/>
        <w:ind w:firstLine="720"/>
      </w:pPr>
      <w:r>
        <w:rPr>
          <w:rFonts w:hint="eastAsia" w:ascii="楷体_GB2312" w:hAnsi="宋体" w:eastAsia="楷体_GB2312"/>
          <w:b/>
          <w:sz w:val="32"/>
          <w:szCs w:val="32"/>
          <w:lang w:val="zh-CN"/>
        </w:rPr>
        <w:t>（二）资金计划、到位及使用情况</w:t>
      </w:r>
    </w:p>
    <w:p w14:paraId="2839D99D">
      <w:pPr>
        <w:pStyle w:val="2"/>
        <w:spacing w:before="93"/>
        <w:ind w:firstLine="900" w:firstLineChars="300"/>
        <w:rPr>
          <w:rFonts w:ascii="仿宋" w:hAnsi="仿宋" w:eastAsia="仿宋" w:cs="仿宋"/>
          <w:szCs w:val="30"/>
          <w:shd w:val="clear" w:color="auto" w:fill="FFFFFF"/>
          <w:lang w:val="zh-CN"/>
        </w:rPr>
      </w:pPr>
      <w:r>
        <w:rPr>
          <w:rFonts w:hint="eastAsia" w:ascii="仿宋" w:hAnsi="仿宋" w:eastAsia="仿宋" w:cs="仿宋"/>
          <w:szCs w:val="30"/>
          <w:shd w:val="clear" w:color="auto" w:fill="FFFFFF"/>
          <w:lang w:val="zh-CN"/>
        </w:rPr>
        <w:t>1．资金计划。重大传染病等防控资金计划安排用于包括：重大传染病（HIV）防治支出、核酸试剂和防控物资保障采购、抗疫一线医务人员补助等方面的支出。</w:t>
      </w:r>
    </w:p>
    <w:p w14:paraId="1DA3117E">
      <w:pPr>
        <w:widowControl/>
        <w:adjustRightInd w:val="0"/>
        <w:snapToGrid w:val="0"/>
        <w:spacing w:line="578" w:lineRule="exact"/>
        <w:ind w:firstLine="900" w:firstLineChars="300"/>
        <w:contextualSpacing/>
        <w:jc w:val="left"/>
        <w:rPr>
          <w:rFonts w:ascii="仿宋" w:hAnsi="仿宋" w:eastAsia="仿宋" w:cs="仿宋"/>
          <w:kern w:val="0"/>
          <w:sz w:val="30"/>
          <w:szCs w:val="30"/>
          <w:shd w:val="clear" w:color="auto" w:fill="FFFFFF"/>
          <w:lang w:val="zh-CN"/>
        </w:rPr>
      </w:pPr>
      <w:r>
        <w:rPr>
          <w:rFonts w:hint="eastAsia" w:ascii="仿宋" w:hAnsi="仿宋" w:eastAsia="仿宋" w:cs="仿宋"/>
          <w:kern w:val="0"/>
          <w:sz w:val="30"/>
          <w:szCs w:val="30"/>
          <w:shd w:val="clear" w:color="auto" w:fill="FFFFFF"/>
          <w:lang w:val="zh-CN"/>
        </w:rPr>
        <w:t>2．资金到位。根据盐边县卫健局《关于分配下达 2023年重大传染病防控中央补助资金（提前批）的函》（盐边卫函〔2023〕30号）、盐边县财政局《关于下达下达2023年重大传染病防控中央补助资金（第二批）的通知》（盐财资行〔2023〕403号）、等文件精神，县财政局2023年陆续下达相关资金合计63.17万元。</w:t>
      </w:r>
    </w:p>
    <w:p w14:paraId="5649B1EB">
      <w:pPr>
        <w:widowControl/>
        <w:adjustRightInd w:val="0"/>
        <w:snapToGrid w:val="0"/>
        <w:spacing w:line="578" w:lineRule="exact"/>
        <w:ind w:firstLine="900" w:firstLineChars="300"/>
        <w:contextualSpacing/>
        <w:jc w:val="left"/>
        <w:rPr>
          <w:rFonts w:ascii="仿宋" w:hAnsi="仿宋" w:eastAsia="仿宋" w:cs="仿宋"/>
          <w:kern w:val="0"/>
          <w:sz w:val="32"/>
          <w:szCs w:val="32"/>
          <w:shd w:val="clear" w:color="auto" w:fill="FFFFFF"/>
          <w:lang w:val="zh-CN"/>
        </w:rPr>
      </w:pPr>
      <w:r>
        <w:rPr>
          <w:rFonts w:hint="eastAsia" w:ascii="仿宋" w:hAnsi="仿宋" w:eastAsia="仿宋" w:cs="仿宋"/>
          <w:kern w:val="0"/>
          <w:sz w:val="30"/>
          <w:szCs w:val="30"/>
          <w:shd w:val="clear" w:color="auto" w:fill="FFFFFF"/>
          <w:lang w:val="zh-CN"/>
        </w:rPr>
        <w:t>3．资金使用。截至2023年12月支付核酸试剂、防疫物资采购、隔离人员补助、核酸检测转运费、艾管办运行管理及能力建设、HIV防治咨询检测、一线医务人员工作补助等费用合计 51.19万元；项目资金使用率81%。</w:t>
      </w:r>
    </w:p>
    <w:p w14:paraId="7A45D2EF">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2DFD5831">
      <w:pPr>
        <w:pStyle w:val="2"/>
        <w:spacing w:before="93"/>
        <w:ind w:firstLine="900" w:firstLineChars="300"/>
        <w:rPr>
          <w:rFonts w:ascii="仿宋" w:hAnsi="仿宋" w:eastAsia="仿宋" w:cs="仿宋"/>
          <w:szCs w:val="30"/>
          <w:shd w:val="clear" w:color="auto" w:fill="FFFFFF"/>
          <w:lang w:val="zh-CN"/>
        </w:rPr>
      </w:pPr>
      <w:r>
        <w:rPr>
          <w:rFonts w:hint="eastAsia" w:ascii="仿宋" w:hAnsi="仿宋" w:eastAsia="仿宋" w:cs="仿宋"/>
          <w:szCs w:val="30"/>
          <w:shd w:val="clear" w:color="auto" w:fill="FFFFFF"/>
          <w:lang w:val="zh-CN"/>
        </w:rPr>
        <w:t>本单位财务管理制度健全，严格执行财务管理制度，及</w:t>
      </w:r>
    </w:p>
    <w:p w14:paraId="0B1CF57D">
      <w:pPr>
        <w:pStyle w:val="2"/>
        <w:spacing w:before="93"/>
        <w:rPr>
          <w:rFonts w:ascii="仿宋" w:hAnsi="仿宋" w:eastAsia="仿宋" w:cs="仿宋"/>
          <w:szCs w:val="30"/>
          <w:shd w:val="clear" w:color="auto" w:fill="FFFFFF"/>
          <w:lang w:val="zh-CN"/>
        </w:rPr>
      </w:pPr>
      <w:r>
        <w:rPr>
          <w:rFonts w:hint="eastAsia" w:ascii="仿宋" w:hAnsi="仿宋" w:eastAsia="仿宋" w:cs="仿宋"/>
          <w:szCs w:val="30"/>
          <w:shd w:val="clear" w:color="auto" w:fill="FFFFFF"/>
          <w:lang w:val="zh-CN"/>
        </w:rPr>
        <w:t>时开展账务处理，做到专款专用，规范开展会计核算。</w:t>
      </w:r>
    </w:p>
    <w:p w14:paraId="3AC1050E">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三、项目实施及管理情况</w:t>
      </w:r>
    </w:p>
    <w:p w14:paraId="406225A5">
      <w:pPr>
        <w:pStyle w:val="2"/>
        <w:spacing w:before="93"/>
        <w:ind w:firstLine="600" w:firstLineChars="200"/>
        <w:rPr>
          <w:rFonts w:ascii="仿宋" w:hAnsi="仿宋" w:eastAsia="仿宋" w:cs="仿宋"/>
          <w:szCs w:val="30"/>
          <w:shd w:val="clear" w:color="auto" w:fill="FFFFFF"/>
          <w:lang w:val="zh-CN"/>
        </w:rPr>
      </w:pPr>
      <w:r>
        <w:rPr>
          <w:rFonts w:hint="eastAsia" w:ascii="仿宋" w:hAnsi="仿宋" w:eastAsia="仿宋" w:cs="仿宋"/>
          <w:szCs w:val="30"/>
          <w:shd w:val="clear" w:color="auto" w:fill="FFFFFF"/>
          <w:lang w:val="zh-CN"/>
        </w:rPr>
        <w:t>盐边县人民医院相关科室负责项目实施，由分管领导全面负责项目实施指导工作。严格按照相关法律法规及项目管理制度实施，专款专用、合理规划、统筹安排。</w:t>
      </w:r>
    </w:p>
    <w:p w14:paraId="3DDB79B3">
      <w:pPr>
        <w:adjustRightInd w:val="0"/>
        <w:snapToGrid w:val="0"/>
        <w:spacing w:line="600" w:lineRule="exact"/>
        <w:ind w:firstLine="720"/>
        <w:rPr>
          <w:rFonts w:eastAsia="楷体_GB2312"/>
          <w:b/>
          <w:bCs/>
          <w:sz w:val="32"/>
          <w:szCs w:val="32"/>
        </w:rPr>
      </w:pPr>
      <w:r>
        <w:rPr>
          <w:rFonts w:hint="eastAsia" w:ascii="楷体_GB2312" w:eastAsia="楷体_GB2312"/>
          <w:b/>
          <w:bCs/>
          <w:sz w:val="32"/>
          <w:szCs w:val="32"/>
        </w:rPr>
        <w:t>（一）项目组织架构及实施流程</w:t>
      </w:r>
    </w:p>
    <w:p w14:paraId="40226A5F">
      <w:pPr>
        <w:adjustRightInd w:val="0"/>
        <w:snapToGrid w:val="0"/>
        <w:spacing w:line="600" w:lineRule="exact"/>
        <w:ind w:firstLine="720"/>
        <w:rPr>
          <w:rFonts w:ascii="仿宋" w:hAnsi="仿宋" w:eastAsia="仿宋" w:cs="仿宋"/>
          <w:sz w:val="32"/>
          <w:szCs w:val="32"/>
        </w:rPr>
      </w:pPr>
      <w:r>
        <w:rPr>
          <w:rFonts w:hint="eastAsia" w:ascii="仿宋" w:hAnsi="仿宋" w:eastAsia="仿宋" w:cs="仿宋"/>
          <w:sz w:val="30"/>
          <w:szCs w:val="30"/>
        </w:rPr>
        <w:t>盐边县妇幼保健服务中心由业务科室制定资金分配方案和工作实施方案，中心班子督促并指导项目科室规范实施项目内容，办公室负责督促上级资金执行进度，并定期通报，规范上级资金执行。</w:t>
      </w:r>
    </w:p>
    <w:p w14:paraId="51014740">
      <w:pPr>
        <w:adjustRightInd w:val="0"/>
        <w:snapToGrid w:val="0"/>
        <w:spacing w:line="600" w:lineRule="exact"/>
        <w:ind w:firstLine="720"/>
        <w:rPr>
          <w:rFonts w:eastAsia="仿宋_GB2312"/>
          <w:sz w:val="32"/>
          <w:szCs w:val="32"/>
        </w:rPr>
      </w:pPr>
      <w:r>
        <w:rPr>
          <w:rFonts w:hint="eastAsia" w:ascii="楷体_GB2312" w:eastAsia="楷体_GB2312"/>
          <w:b/>
          <w:bCs/>
          <w:sz w:val="32"/>
          <w:szCs w:val="32"/>
        </w:rPr>
        <w:t>（二）项目管理情况</w:t>
      </w:r>
    </w:p>
    <w:p w14:paraId="786DE085">
      <w:pPr>
        <w:adjustRightInd w:val="0"/>
        <w:snapToGrid w:val="0"/>
        <w:spacing w:line="600" w:lineRule="exact"/>
        <w:ind w:firstLine="720"/>
        <w:rPr>
          <w:rFonts w:ascii="仿宋" w:hAnsi="仿宋" w:eastAsia="仿宋" w:cs="仿宋"/>
          <w:sz w:val="30"/>
          <w:szCs w:val="30"/>
        </w:rPr>
      </w:pPr>
      <w:r>
        <w:rPr>
          <w:rFonts w:hint="eastAsia" w:ascii="仿宋" w:hAnsi="仿宋" w:eastAsia="仿宋" w:cs="仿宋"/>
          <w:sz w:val="30"/>
          <w:szCs w:val="30"/>
        </w:rPr>
        <w:t>盐边县妇幼保健服务中心按照上级资金管理办法使用项目资金，制定相关实施方案和绩效目标，实施过程中严格执行财政资金管理、政府采购等相关管理规定。</w:t>
      </w:r>
    </w:p>
    <w:p w14:paraId="05892D48">
      <w:pPr>
        <w:adjustRightInd w:val="0"/>
        <w:snapToGrid w:val="0"/>
        <w:spacing w:line="600" w:lineRule="exact"/>
        <w:ind w:firstLine="720"/>
        <w:rPr>
          <w:rFonts w:eastAsia="仿宋_GB2312"/>
          <w:sz w:val="32"/>
          <w:szCs w:val="32"/>
        </w:rPr>
      </w:pPr>
      <w:r>
        <w:rPr>
          <w:rFonts w:hint="eastAsia" w:ascii="楷体_GB2312" w:eastAsia="楷体_GB2312"/>
          <w:b/>
          <w:bCs/>
          <w:sz w:val="32"/>
          <w:szCs w:val="32"/>
        </w:rPr>
        <w:t>（三）项目监管情况</w:t>
      </w:r>
    </w:p>
    <w:p w14:paraId="7A204A65">
      <w:pPr>
        <w:adjustRightInd w:val="0"/>
        <w:snapToGrid w:val="0"/>
        <w:spacing w:line="600" w:lineRule="exact"/>
        <w:ind w:firstLine="720"/>
        <w:rPr>
          <w:rFonts w:ascii="仿宋" w:hAnsi="仿宋" w:eastAsia="仿宋" w:cs="仿宋"/>
          <w:sz w:val="30"/>
          <w:szCs w:val="30"/>
        </w:rPr>
      </w:pPr>
      <w:r>
        <w:rPr>
          <w:rFonts w:hint="eastAsia" w:ascii="仿宋" w:hAnsi="仿宋" w:eastAsia="仿宋" w:cs="仿宋"/>
          <w:sz w:val="30"/>
          <w:szCs w:val="30"/>
        </w:rPr>
        <w:t>盐边县妇幼保健服务中心制定年度工作方案和绩效评价方案，明确了2023年度项目工作的目标任务、工作方向和年度工作重点。进一步强化了项目日常监管，提高管理质量。</w:t>
      </w:r>
    </w:p>
    <w:p w14:paraId="7A2368EE">
      <w:pPr>
        <w:adjustRightInd w:val="0"/>
        <w:snapToGrid w:val="0"/>
        <w:spacing w:line="578"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14:paraId="4606A53A">
      <w:pPr>
        <w:adjustRightInd w:val="0"/>
        <w:snapToGrid w:val="0"/>
        <w:spacing w:line="600" w:lineRule="exact"/>
        <w:ind w:firstLine="720"/>
        <w:rPr>
          <w:rFonts w:eastAsia="楷体_GB2312"/>
          <w:b/>
          <w:bCs/>
          <w:sz w:val="32"/>
          <w:szCs w:val="32"/>
        </w:rPr>
      </w:pPr>
      <w:r>
        <w:rPr>
          <w:rFonts w:hint="eastAsia" w:ascii="楷体_GB2312" w:eastAsia="楷体_GB2312"/>
          <w:b/>
          <w:bCs/>
          <w:sz w:val="32"/>
          <w:szCs w:val="32"/>
        </w:rPr>
        <w:t>（一）项目完成情况</w:t>
      </w:r>
    </w:p>
    <w:p w14:paraId="5A05267B">
      <w:pPr>
        <w:pStyle w:val="2"/>
        <w:spacing w:before="93"/>
        <w:ind w:firstLine="600" w:firstLineChars="200"/>
        <w:rPr>
          <w:rFonts w:ascii="仿宋" w:hAnsi="仿宋" w:eastAsia="仿宋" w:cs="仿宋"/>
          <w:szCs w:val="30"/>
        </w:rPr>
      </w:pPr>
      <w:r>
        <w:rPr>
          <w:rFonts w:hint="eastAsia" w:ascii="仿宋" w:hAnsi="仿宋" w:eastAsia="仿宋" w:cs="仿宋"/>
          <w:szCs w:val="30"/>
        </w:rPr>
        <w:t>本单位结合工作职责，认真贯彻落实上级关于重大传染病等防控资金使用办法、完善重大传染病防控体系、优化防控措施的工作方案要求，按照项目进度进行实施。截至2023年12月31日，以上项目已完成81%。</w:t>
      </w:r>
    </w:p>
    <w:p w14:paraId="1A571498">
      <w:pPr>
        <w:pStyle w:val="2"/>
        <w:spacing w:before="93"/>
        <w:ind w:firstLine="600" w:firstLineChars="200"/>
        <w:rPr>
          <w:rFonts w:ascii="仿宋" w:hAnsi="仿宋" w:eastAsia="仿宋" w:cs="仿宋"/>
          <w:szCs w:val="30"/>
        </w:rPr>
      </w:pPr>
      <w:r>
        <w:rPr>
          <w:rFonts w:hint="eastAsia" w:ascii="仿宋" w:hAnsi="仿宋" w:eastAsia="仿宋" w:cs="仿宋"/>
          <w:szCs w:val="30"/>
        </w:rPr>
        <w:t>1. 数量指标：完成全年在辖区住院分娩的产妇数1000对筛查，感染育龄妇女孕情检测60人，新增感染梅毒孕妇5人，孕产妇艾滋病、梅毒和乙肝检测838人，一线医务人员23名发放补助。绩效核酸试剂采购等疫情防控相关工作任务，完成本年度HIV等传染病相关培训两次。</w:t>
      </w:r>
    </w:p>
    <w:p w14:paraId="234DBF8D">
      <w:pPr>
        <w:pStyle w:val="2"/>
        <w:spacing w:before="93"/>
        <w:ind w:firstLine="600" w:firstLineChars="200"/>
        <w:rPr>
          <w:rFonts w:ascii="仿宋" w:hAnsi="仿宋" w:eastAsia="仿宋" w:cs="仿宋"/>
          <w:szCs w:val="30"/>
        </w:rPr>
      </w:pPr>
      <w:r>
        <w:rPr>
          <w:rFonts w:hint="eastAsia" w:ascii="仿宋" w:hAnsi="仿宋" w:eastAsia="仿宋" w:cs="仿宋"/>
          <w:szCs w:val="30"/>
        </w:rPr>
        <w:t>2、质量指标：婚前医学检查、孕前优生艾滋病检测率100%，孕产妇艾滋病、梅毒和乙肝检测率100%，孕情监测率87%。</w:t>
      </w:r>
    </w:p>
    <w:p w14:paraId="5565E186">
      <w:pPr>
        <w:pStyle w:val="2"/>
        <w:spacing w:before="93"/>
        <w:ind w:firstLine="600" w:firstLineChars="200"/>
        <w:rPr>
          <w:rFonts w:ascii="仿宋" w:hAnsi="仿宋" w:eastAsia="仿宋" w:cs="仿宋"/>
          <w:szCs w:val="30"/>
        </w:rPr>
      </w:pPr>
      <w:r>
        <w:rPr>
          <w:rFonts w:hint="eastAsia" w:ascii="仿宋" w:hAnsi="仿宋" w:eastAsia="仿宋" w:cs="仿宋"/>
          <w:szCs w:val="30"/>
        </w:rPr>
        <w:t>3、时效指标：持续实施，长期执行完成。</w:t>
      </w:r>
    </w:p>
    <w:p w14:paraId="7EADF700">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38B94F7D">
      <w:pPr>
        <w:pStyle w:val="2"/>
        <w:spacing w:before="93"/>
        <w:ind w:firstLine="900" w:firstLineChars="300"/>
        <w:rPr>
          <w:rFonts w:ascii="仿宋" w:hAnsi="仿宋" w:eastAsia="仿宋" w:cs="仿宋"/>
        </w:rPr>
      </w:pPr>
      <w:r>
        <w:rPr>
          <w:rFonts w:hint="eastAsia" w:ascii="仿宋" w:hAnsi="仿宋" w:eastAsia="仿宋" w:cs="仿宋"/>
        </w:rPr>
        <w:t>1、 社会效益：提高医疗机构传染病防控能力、减少HIV的传播、降低新发感染、提高感染者和病人的生活质量、营造健康和谐的社会氛围。</w:t>
      </w:r>
    </w:p>
    <w:p w14:paraId="18DB1841">
      <w:pPr>
        <w:pStyle w:val="2"/>
        <w:spacing w:before="93"/>
        <w:ind w:firstLine="900" w:firstLineChars="300"/>
        <w:rPr>
          <w:rFonts w:ascii="仿宋" w:hAnsi="仿宋" w:eastAsia="仿宋" w:cs="仿宋"/>
        </w:rPr>
      </w:pPr>
      <w:r>
        <w:rPr>
          <w:rFonts w:hint="eastAsia" w:ascii="仿宋" w:hAnsi="仿宋" w:eastAsia="仿宋" w:cs="仿宋"/>
        </w:rPr>
        <w:t>2、可持续效益：提升医疗服务保障能力、全面落实HIV抗体试剂采购、传染病信息报告管理，预防控制措施，提高发现率；感染患者经抗病毒治疗、督导服药管理，可减少社会传播，对社会稳定、经济发展有显著帮助。</w:t>
      </w:r>
    </w:p>
    <w:p w14:paraId="5E8D471A">
      <w:pPr>
        <w:pStyle w:val="2"/>
        <w:spacing w:before="93"/>
        <w:ind w:firstLine="900" w:firstLineChars="300"/>
      </w:pPr>
      <w:r>
        <w:rPr>
          <w:rFonts w:hint="eastAsia" w:ascii="仿宋" w:hAnsi="仿宋" w:eastAsia="仿宋" w:cs="仿宋"/>
        </w:rPr>
        <w:t>3、服务对象满意度：为群众提供疫情保障，提高群众信任感；近年我县HIV的社会传染性有明显下降趋势，促进社会和谐稳定；更好</w:t>
      </w:r>
      <w:r>
        <w:rPr>
          <w:rFonts w:hint="eastAsia" w:ascii="仿宋" w:hAnsi="仿宋" w:eastAsia="仿宋" w:cs="仿宋"/>
          <w:lang w:eastAsia="zh-CN"/>
        </w:rPr>
        <w:t>地</w:t>
      </w:r>
      <w:r>
        <w:rPr>
          <w:rFonts w:hint="eastAsia" w:ascii="仿宋" w:hAnsi="仿宋" w:eastAsia="仿宋" w:cs="仿宋"/>
        </w:rPr>
        <w:t>为社会群众提供便捷的医疗服务，提高广大群众满意度。</w:t>
      </w:r>
    </w:p>
    <w:p w14:paraId="0B180962">
      <w:pPr>
        <w:adjustRightInd w:val="0"/>
        <w:snapToGrid w:val="0"/>
        <w:spacing w:line="600" w:lineRule="exact"/>
        <w:ind w:firstLine="720"/>
        <w:rPr>
          <w:rFonts w:eastAsia="黑体"/>
          <w:sz w:val="32"/>
          <w:szCs w:val="32"/>
        </w:rPr>
      </w:pPr>
      <w:r>
        <w:rPr>
          <w:rFonts w:hint="eastAsia" w:ascii="黑体" w:eastAsia="黑体"/>
          <w:sz w:val="32"/>
          <w:szCs w:val="32"/>
        </w:rPr>
        <w:t>五、评价结论及建议</w:t>
      </w:r>
    </w:p>
    <w:p w14:paraId="0E647FE3">
      <w:pPr>
        <w:adjustRightInd w:val="0"/>
        <w:snapToGrid w:val="0"/>
        <w:spacing w:line="600" w:lineRule="exact"/>
        <w:ind w:firstLine="720"/>
        <w:rPr>
          <w:rFonts w:eastAsia="楷体_GB2312"/>
          <w:b/>
          <w:bCs/>
          <w:sz w:val="32"/>
          <w:szCs w:val="32"/>
        </w:rPr>
      </w:pPr>
      <w:r>
        <w:rPr>
          <w:rFonts w:hint="eastAsia" w:ascii="楷体_GB2312" w:eastAsia="楷体_GB2312"/>
          <w:b/>
          <w:bCs/>
          <w:sz w:val="32"/>
          <w:szCs w:val="32"/>
        </w:rPr>
        <w:t>（一）评价结论</w:t>
      </w:r>
    </w:p>
    <w:p w14:paraId="1CC6E6A0">
      <w:pPr>
        <w:adjustRightInd w:val="0"/>
        <w:snapToGrid w:val="0"/>
        <w:spacing w:line="600" w:lineRule="exact"/>
        <w:ind w:firstLine="600" w:firstLineChars="200"/>
        <w:rPr>
          <w:rFonts w:ascii="仿宋" w:eastAsia="仿宋"/>
          <w:sz w:val="30"/>
          <w:szCs w:val="30"/>
        </w:rPr>
      </w:pPr>
      <w:r>
        <w:rPr>
          <w:rFonts w:hint="eastAsia" w:ascii="仿宋" w:eastAsia="仿宋"/>
          <w:sz w:val="30"/>
          <w:szCs w:val="30"/>
        </w:rPr>
        <w:t>各项工作高效有序推进，圆满完成省级下达的各项工作任务。</w:t>
      </w:r>
    </w:p>
    <w:p w14:paraId="5B90FF3E">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6C8742D7">
      <w:pPr>
        <w:pStyle w:val="2"/>
        <w:spacing w:before="93"/>
        <w:ind w:firstLine="600" w:firstLineChars="200"/>
        <w:rPr>
          <w:rFonts w:ascii="仿宋" w:hAnsi="仿宋" w:eastAsia="仿宋" w:cs="仿宋"/>
          <w:szCs w:val="30"/>
        </w:rPr>
      </w:pPr>
      <w:r>
        <w:rPr>
          <w:rFonts w:hint="eastAsia" w:ascii="仿宋" w:hAnsi="仿宋" w:eastAsia="仿宋" w:cs="仿宋"/>
          <w:szCs w:val="30"/>
        </w:rPr>
        <w:t>我中心专业技术力量还需进一步提高。</w:t>
      </w:r>
    </w:p>
    <w:p w14:paraId="23D0B40F">
      <w:pPr>
        <w:adjustRightInd w:val="0"/>
        <w:snapToGrid w:val="0"/>
        <w:spacing w:line="578" w:lineRule="exact"/>
        <w:ind w:firstLine="720"/>
      </w:pPr>
      <w:r>
        <w:rPr>
          <w:rFonts w:hint="eastAsia" w:ascii="楷体_GB2312" w:hAnsi="宋体" w:eastAsia="楷体_GB2312"/>
          <w:b/>
          <w:sz w:val="32"/>
          <w:szCs w:val="32"/>
          <w:lang w:val="zh-CN"/>
        </w:rPr>
        <w:t>（三）相关建议</w:t>
      </w:r>
    </w:p>
    <w:p w14:paraId="5ABCE1C0">
      <w:pPr>
        <w:pStyle w:val="2"/>
        <w:spacing w:before="93"/>
        <w:ind w:firstLine="900" w:firstLineChars="300"/>
        <w:rPr>
          <w:rFonts w:ascii="仿宋" w:hAnsi="仿宋" w:eastAsia="仿宋" w:cs="仿宋"/>
          <w:szCs w:val="30"/>
        </w:rPr>
      </w:pPr>
      <w:r>
        <w:rPr>
          <w:rFonts w:hint="eastAsia" w:ascii="仿宋" w:hAnsi="仿宋" w:eastAsia="仿宋" w:cs="仿宋"/>
          <w:szCs w:val="30"/>
        </w:rPr>
        <w:t>1. 加强资金管理：重大传染病项目的经费需要经过严格的预算管理，确保资金使用符合相关规定和标准，避免浪费和重复投资。</w:t>
      </w:r>
    </w:p>
    <w:p w14:paraId="2F5704B1">
      <w:pPr>
        <w:pStyle w:val="2"/>
        <w:spacing w:before="93"/>
        <w:ind w:firstLine="900" w:firstLineChars="300"/>
        <w:rPr>
          <w:rFonts w:ascii="仿宋" w:hAnsi="仿宋" w:eastAsia="仿宋" w:cs="仿宋"/>
          <w:szCs w:val="30"/>
        </w:rPr>
      </w:pPr>
      <w:r>
        <w:rPr>
          <w:rFonts w:hint="eastAsia" w:ascii="仿宋" w:hAnsi="仿宋" w:eastAsia="仿宋" w:cs="仿宋"/>
          <w:szCs w:val="30"/>
        </w:rPr>
        <w:t>2、加大财政资金投入力度，切实解决医务人员匮乏的问题，加强重大疫情防控能力建设，提升中心传染病防控能力和水平。</w:t>
      </w:r>
    </w:p>
    <w:p w14:paraId="071C1661">
      <w:pPr>
        <w:pStyle w:val="2"/>
        <w:spacing w:before="93"/>
      </w:pPr>
    </w:p>
    <w:p w14:paraId="60F2305A">
      <w:pPr>
        <w:ind w:firstLine="640" w:firstLineChars="200"/>
        <w:rPr>
          <w:rFonts w:eastAsia="仿宋_GB2312"/>
          <w:sz w:val="32"/>
          <w:szCs w:val="32"/>
          <w:lang w:val="zh-CN"/>
        </w:rPr>
      </w:pPr>
    </w:p>
    <w:p w14:paraId="53F7480A">
      <w:pPr>
        <w:widowControl/>
        <w:ind w:firstLine="2640" w:firstLineChars="600"/>
        <w:rPr>
          <w:rFonts w:ascii="仿宋" w:hAnsi="仿宋" w:eastAsia="仿宋"/>
        </w:rPr>
      </w:pPr>
      <w:r>
        <w:rPr>
          <w:rFonts w:hint="eastAsia" w:ascii="黑体" w:hAnsi="黑体" w:eastAsia="黑体"/>
          <w:sz w:val="44"/>
          <w:szCs w:val="44"/>
        </w:rPr>
        <w:t>第</w:t>
      </w:r>
      <w:r>
        <w:rPr>
          <w:rStyle w:val="34"/>
          <w:rFonts w:hint="eastAsia" w:ascii="黑体" w:hAnsi="黑体" w:eastAsia="黑体"/>
          <w:b w:val="0"/>
        </w:rPr>
        <w:t>五部分 附表</w:t>
      </w:r>
      <w:bookmarkStart w:id="51" w:name="_Toc15396619"/>
    </w:p>
    <w:p w14:paraId="16ADF22B">
      <w:pPr>
        <w:pStyle w:val="4"/>
        <w:rPr>
          <w:rFonts w:ascii="仿宋" w:hAnsi="仿宋" w:eastAsia="仿宋"/>
        </w:rPr>
      </w:pPr>
      <w:r>
        <w:rPr>
          <w:rFonts w:hint="eastAsia" w:ascii="仿宋" w:hAnsi="仿宋" w:eastAsia="仿宋"/>
          <w:b w:val="0"/>
        </w:rPr>
        <w:t>一、收</w:t>
      </w:r>
      <w:r>
        <w:rPr>
          <w:rStyle w:val="35"/>
          <w:rFonts w:hint="eastAsia" w:ascii="仿宋" w:hAnsi="仿宋" w:eastAsia="仿宋"/>
          <w:b w:val="0"/>
          <w:bCs w:val="0"/>
        </w:rPr>
        <w:t>入支出决算总表</w:t>
      </w:r>
      <w:bookmarkEnd w:id="51"/>
    </w:p>
    <w:p w14:paraId="1F0E0F45">
      <w:pPr>
        <w:pStyle w:val="4"/>
        <w:rPr>
          <w:rFonts w:ascii="仿宋" w:hAnsi="仿宋" w:eastAsia="仿宋"/>
        </w:rPr>
      </w:pPr>
      <w:bookmarkStart w:id="52" w:name="_Toc15396620"/>
      <w:r>
        <w:rPr>
          <w:rFonts w:hint="eastAsia" w:ascii="仿宋" w:hAnsi="仿宋" w:eastAsia="仿宋"/>
          <w:b w:val="0"/>
        </w:rPr>
        <w:t>二、收</w:t>
      </w:r>
      <w:r>
        <w:rPr>
          <w:rStyle w:val="35"/>
          <w:rFonts w:hint="eastAsia" w:ascii="仿宋" w:hAnsi="仿宋" w:eastAsia="仿宋"/>
          <w:b w:val="0"/>
          <w:bCs w:val="0"/>
        </w:rPr>
        <w:t>入决算表</w:t>
      </w:r>
      <w:bookmarkEnd w:id="52"/>
    </w:p>
    <w:p w14:paraId="549B0D7F">
      <w:pPr>
        <w:pStyle w:val="4"/>
        <w:rPr>
          <w:rFonts w:ascii="仿宋" w:hAnsi="仿宋" w:eastAsia="仿宋"/>
        </w:rPr>
      </w:pPr>
      <w:bookmarkStart w:id="53" w:name="_Toc15396621"/>
      <w:r>
        <w:rPr>
          <w:rStyle w:val="35"/>
          <w:rFonts w:hint="eastAsia" w:ascii="仿宋" w:hAnsi="仿宋" w:eastAsia="仿宋"/>
          <w:b w:val="0"/>
          <w:bCs w:val="0"/>
        </w:rPr>
        <w:t>三、</w:t>
      </w:r>
      <w:r>
        <w:rPr>
          <w:rFonts w:hint="eastAsia" w:ascii="仿宋" w:hAnsi="仿宋" w:eastAsia="仿宋"/>
          <w:b w:val="0"/>
        </w:rPr>
        <w:t>支</w:t>
      </w:r>
      <w:r>
        <w:rPr>
          <w:rStyle w:val="35"/>
          <w:rFonts w:hint="eastAsia" w:ascii="仿宋" w:hAnsi="仿宋" w:eastAsia="仿宋"/>
          <w:b w:val="0"/>
          <w:bCs w:val="0"/>
        </w:rPr>
        <w:t>出决算表</w:t>
      </w:r>
      <w:bookmarkEnd w:id="53"/>
    </w:p>
    <w:p w14:paraId="41FDEEC1">
      <w:pPr>
        <w:pStyle w:val="4"/>
        <w:rPr>
          <w:rFonts w:ascii="仿宋" w:hAnsi="仿宋" w:eastAsia="仿宋"/>
          <w:b w:val="0"/>
        </w:rPr>
      </w:pPr>
      <w:bookmarkStart w:id="54" w:name="_Toc15396622"/>
      <w:r>
        <w:rPr>
          <w:rStyle w:val="35"/>
          <w:rFonts w:hint="eastAsia" w:ascii="仿宋" w:hAnsi="仿宋" w:eastAsia="仿宋"/>
          <w:b w:val="0"/>
          <w:bCs w:val="0"/>
        </w:rPr>
        <w:t>四、</w:t>
      </w:r>
      <w:r>
        <w:rPr>
          <w:rFonts w:hint="eastAsia" w:ascii="仿宋" w:hAnsi="仿宋" w:eastAsia="仿宋"/>
          <w:b w:val="0"/>
        </w:rPr>
        <w:t>财</w:t>
      </w:r>
      <w:r>
        <w:rPr>
          <w:rStyle w:val="35"/>
          <w:rFonts w:hint="eastAsia" w:ascii="仿宋" w:hAnsi="仿宋" w:eastAsia="仿宋"/>
          <w:b w:val="0"/>
          <w:bCs w:val="0"/>
        </w:rPr>
        <w:t>政拨款收入支出决算总表</w:t>
      </w:r>
      <w:bookmarkEnd w:id="54"/>
    </w:p>
    <w:p w14:paraId="069EE004">
      <w:pPr>
        <w:pStyle w:val="4"/>
        <w:rPr>
          <w:rStyle w:val="35"/>
          <w:rFonts w:ascii="仿宋" w:hAnsi="仿宋" w:eastAsia="仿宋"/>
          <w:b w:val="0"/>
          <w:bCs w:val="0"/>
        </w:rPr>
      </w:pPr>
      <w:bookmarkStart w:id="55" w:name="_Toc15396623"/>
      <w:r>
        <w:rPr>
          <w:rStyle w:val="35"/>
          <w:rFonts w:hint="eastAsia" w:ascii="仿宋" w:hAnsi="仿宋" w:eastAsia="仿宋"/>
          <w:b w:val="0"/>
          <w:bCs w:val="0"/>
        </w:rPr>
        <w:t>五、</w:t>
      </w:r>
      <w:r>
        <w:rPr>
          <w:rFonts w:hint="eastAsia" w:ascii="仿宋" w:hAnsi="仿宋" w:eastAsia="仿宋"/>
          <w:b w:val="0"/>
        </w:rPr>
        <w:t>财</w:t>
      </w:r>
      <w:r>
        <w:rPr>
          <w:rStyle w:val="35"/>
          <w:rFonts w:hint="eastAsia" w:ascii="仿宋" w:hAnsi="仿宋" w:eastAsia="仿宋"/>
          <w:b w:val="0"/>
          <w:bCs w:val="0"/>
        </w:rPr>
        <w:t>政拨款支出决算明细表</w:t>
      </w:r>
      <w:bookmarkEnd w:id="55"/>
      <w:bookmarkStart w:id="56" w:name="_Toc15396624"/>
    </w:p>
    <w:p w14:paraId="3AB4441C">
      <w:pPr>
        <w:pStyle w:val="4"/>
        <w:rPr>
          <w:rFonts w:ascii="仿宋" w:hAnsi="仿宋" w:eastAsia="仿宋"/>
        </w:rPr>
      </w:pPr>
      <w:r>
        <w:rPr>
          <w:rStyle w:val="35"/>
          <w:rFonts w:hint="eastAsia" w:ascii="仿宋" w:hAnsi="仿宋" w:eastAsia="仿宋"/>
          <w:b w:val="0"/>
          <w:bCs w:val="0"/>
        </w:rPr>
        <w:t>六、</w:t>
      </w:r>
      <w:r>
        <w:rPr>
          <w:rFonts w:hint="eastAsia" w:ascii="仿宋" w:hAnsi="仿宋" w:eastAsia="仿宋"/>
          <w:b w:val="0"/>
        </w:rPr>
        <w:t>一</w:t>
      </w:r>
      <w:r>
        <w:rPr>
          <w:rStyle w:val="35"/>
          <w:rFonts w:hint="eastAsia" w:ascii="仿宋" w:hAnsi="仿宋" w:eastAsia="仿宋"/>
          <w:b w:val="0"/>
          <w:bCs w:val="0"/>
        </w:rPr>
        <w:t>般公共预算财政拨款支出决算表</w:t>
      </w:r>
      <w:bookmarkEnd w:id="56"/>
    </w:p>
    <w:p w14:paraId="563F4DFA">
      <w:pPr>
        <w:pStyle w:val="4"/>
        <w:rPr>
          <w:rFonts w:ascii="仿宋" w:hAnsi="仿宋" w:eastAsia="仿宋"/>
        </w:rPr>
      </w:pPr>
      <w:bookmarkStart w:id="57" w:name="_Toc15396625"/>
      <w:r>
        <w:rPr>
          <w:rStyle w:val="35"/>
          <w:rFonts w:hint="eastAsia" w:ascii="仿宋" w:hAnsi="仿宋" w:eastAsia="仿宋"/>
          <w:b w:val="0"/>
          <w:bCs w:val="0"/>
        </w:rPr>
        <w:t>七、</w:t>
      </w:r>
      <w:r>
        <w:rPr>
          <w:rFonts w:hint="eastAsia" w:ascii="仿宋" w:hAnsi="仿宋" w:eastAsia="仿宋"/>
          <w:b w:val="0"/>
        </w:rPr>
        <w:t>一</w:t>
      </w:r>
      <w:r>
        <w:rPr>
          <w:rStyle w:val="35"/>
          <w:rFonts w:hint="eastAsia" w:ascii="仿宋" w:hAnsi="仿宋" w:eastAsia="仿宋"/>
          <w:b w:val="0"/>
          <w:bCs w:val="0"/>
        </w:rPr>
        <w:t>般公共预算财政拨款支出决算明细表</w:t>
      </w:r>
      <w:bookmarkEnd w:id="57"/>
    </w:p>
    <w:p w14:paraId="6F39BAAC">
      <w:pPr>
        <w:pStyle w:val="4"/>
        <w:rPr>
          <w:rFonts w:ascii="仿宋" w:hAnsi="仿宋" w:eastAsia="仿宋"/>
        </w:rPr>
      </w:pPr>
      <w:bookmarkStart w:id="58" w:name="_Toc15396626"/>
      <w:r>
        <w:rPr>
          <w:rStyle w:val="35"/>
          <w:rFonts w:hint="eastAsia" w:ascii="仿宋" w:hAnsi="仿宋" w:eastAsia="仿宋"/>
          <w:b w:val="0"/>
          <w:bCs w:val="0"/>
        </w:rPr>
        <w:t>八、</w:t>
      </w:r>
      <w:r>
        <w:rPr>
          <w:rFonts w:hint="eastAsia" w:ascii="仿宋" w:hAnsi="仿宋" w:eastAsia="仿宋"/>
          <w:b w:val="0"/>
        </w:rPr>
        <w:t>一</w:t>
      </w:r>
      <w:r>
        <w:rPr>
          <w:rStyle w:val="35"/>
          <w:rFonts w:hint="eastAsia" w:ascii="仿宋" w:hAnsi="仿宋" w:eastAsia="仿宋"/>
          <w:b w:val="0"/>
          <w:bCs w:val="0"/>
        </w:rPr>
        <w:t>般公共预算财政拨款基本支出决算表</w:t>
      </w:r>
      <w:bookmarkEnd w:id="58"/>
    </w:p>
    <w:p w14:paraId="26EFB090">
      <w:pPr>
        <w:pStyle w:val="4"/>
        <w:rPr>
          <w:rFonts w:ascii="仿宋" w:hAnsi="仿宋" w:eastAsia="仿宋"/>
        </w:rPr>
      </w:pPr>
      <w:bookmarkStart w:id="59" w:name="_Toc15396627"/>
      <w:r>
        <w:rPr>
          <w:rStyle w:val="35"/>
          <w:rFonts w:hint="eastAsia" w:ascii="仿宋" w:hAnsi="仿宋" w:eastAsia="仿宋"/>
          <w:b w:val="0"/>
          <w:bCs w:val="0"/>
        </w:rPr>
        <w:t>九、</w:t>
      </w:r>
      <w:r>
        <w:rPr>
          <w:rFonts w:hint="eastAsia" w:ascii="仿宋" w:hAnsi="仿宋" w:eastAsia="仿宋"/>
          <w:b w:val="0"/>
        </w:rPr>
        <w:t>一</w:t>
      </w:r>
      <w:r>
        <w:rPr>
          <w:rStyle w:val="35"/>
          <w:rFonts w:hint="eastAsia" w:ascii="仿宋" w:hAnsi="仿宋" w:eastAsia="仿宋"/>
          <w:b w:val="0"/>
          <w:bCs w:val="0"/>
        </w:rPr>
        <w:t>般公共预算财政拨款项目支出决算表</w:t>
      </w:r>
      <w:bookmarkEnd w:id="59"/>
    </w:p>
    <w:p w14:paraId="31E7EBA9">
      <w:pPr>
        <w:pStyle w:val="4"/>
        <w:rPr>
          <w:rFonts w:ascii="仿宋" w:hAnsi="仿宋" w:eastAsia="仿宋"/>
        </w:rPr>
      </w:pPr>
      <w:bookmarkStart w:id="60" w:name="_Toc15396628"/>
      <w:r>
        <w:rPr>
          <w:rStyle w:val="35"/>
          <w:rFonts w:hint="eastAsia" w:ascii="仿宋" w:hAnsi="仿宋" w:eastAsia="仿宋"/>
          <w:b w:val="0"/>
          <w:bCs w:val="0"/>
        </w:rPr>
        <w:t>十、</w:t>
      </w:r>
      <w:bookmarkEnd w:id="60"/>
      <w:r>
        <w:rPr>
          <w:rFonts w:hint="eastAsia" w:ascii="仿宋" w:hAnsi="仿宋" w:eastAsia="仿宋"/>
          <w:b w:val="0"/>
        </w:rPr>
        <w:t>政</w:t>
      </w:r>
      <w:r>
        <w:rPr>
          <w:rStyle w:val="35"/>
          <w:rFonts w:hint="eastAsia" w:ascii="仿宋" w:hAnsi="仿宋" w:eastAsia="仿宋"/>
          <w:b w:val="0"/>
          <w:bCs w:val="0"/>
        </w:rPr>
        <w:t>府性基金预算财政拨款收入支出决算表</w:t>
      </w:r>
    </w:p>
    <w:p w14:paraId="35479F3F">
      <w:pPr>
        <w:pStyle w:val="4"/>
        <w:rPr>
          <w:rFonts w:ascii="仿宋" w:hAnsi="仿宋" w:eastAsia="仿宋"/>
        </w:rPr>
      </w:pPr>
      <w:bookmarkStart w:id="61" w:name="_Toc15396629"/>
      <w:r>
        <w:rPr>
          <w:rStyle w:val="35"/>
          <w:rFonts w:hint="eastAsia" w:ascii="仿宋" w:hAnsi="仿宋" w:eastAsia="仿宋"/>
          <w:b w:val="0"/>
          <w:bCs w:val="0"/>
        </w:rPr>
        <w:t>十一、</w:t>
      </w:r>
      <w:bookmarkEnd w:id="61"/>
      <w:r>
        <w:rPr>
          <w:rFonts w:hint="eastAsia" w:ascii="仿宋" w:hAnsi="仿宋" w:eastAsia="仿宋"/>
          <w:b w:val="0"/>
        </w:rPr>
        <w:t>国</w:t>
      </w:r>
      <w:r>
        <w:rPr>
          <w:rStyle w:val="35"/>
          <w:rFonts w:hint="eastAsia" w:ascii="仿宋" w:hAnsi="仿宋" w:eastAsia="仿宋"/>
          <w:b w:val="0"/>
          <w:bCs w:val="0"/>
        </w:rPr>
        <w:t>有资本经营预算财政拨款收入支出决算表</w:t>
      </w:r>
    </w:p>
    <w:p w14:paraId="1DCF2F04">
      <w:pPr>
        <w:pStyle w:val="4"/>
        <w:rPr>
          <w:rFonts w:ascii="仿宋" w:hAnsi="仿宋" w:eastAsia="仿宋"/>
        </w:rPr>
      </w:pPr>
      <w:bookmarkStart w:id="62" w:name="_Toc15396630"/>
      <w:r>
        <w:rPr>
          <w:rStyle w:val="35"/>
          <w:rFonts w:hint="eastAsia" w:ascii="仿宋" w:hAnsi="仿宋" w:eastAsia="仿宋"/>
          <w:b w:val="0"/>
          <w:bCs w:val="0"/>
        </w:rPr>
        <w:t>十二、</w:t>
      </w:r>
      <w:bookmarkEnd w:id="62"/>
      <w:r>
        <w:rPr>
          <w:rStyle w:val="35"/>
          <w:rFonts w:hint="eastAsia" w:ascii="仿宋" w:hAnsi="仿宋" w:eastAsia="仿宋"/>
          <w:b w:val="0"/>
          <w:bCs w:val="0"/>
        </w:rPr>
        <w:t>国有资本经营预算财政拨款支出决算表</w:t>
      </w:r>
    </w:p>
    <w:p w14:paraId="37EF638B">
      <w:pPr>
        <w:pStyle w:val="4"/>
        <w:rPr>
          <w:rStyle w:val="35"/>
          <w:rFonts w:ascii="仿宋" w:hAnsi="仿宋" w:eastAsia="仿宋"/>
          <w:b w:val="0"/>
          <w:bCs w:val="0"/>
        </w:rPr>
      </w:pPr>
      <w:bookmarkStart w:id="63" w:name="_Toc15396631"/>
      <w:r>
        <w:rPr>
          <w:rStyle w:val="35"/>
          <w:rFonts w:hint="eastAsia" w:ascii="仿宋" w:hAnsi="仿宋" w:eastAsia="仿宋"/>
          <w:b w:val="0"/>
          <w:bCs w:val="0"/>
        </w:rPr>
        <w:t>十三、</w:t>
      </w:r>
      <w:bookmarkEnd w:id="63"/>
      <w:r>
        <w:rPr>
          <w:rStyle w:val="35"/>
          <w:rFonts w:hint="eastAsia" w:ascii="仿宋" w:hAnsi="仿宋" w:eastAsia="仿宋"/>
          <w:b w:val="0"/>
          <w:bCs w:val="0"/>
        </w:rPr>
        <w:t>财政拨款“三公”经费支出决算表</w:t>
      </w:r>
    </w:p>
    <w:p w14:paraId="17A1E9FD">
      <w:pPr>
        <w:pStyle w:val="2"/>
        <w:spacing w:before="93"/>
      </w:pPr>
    </w:p>
    <w:sectPr>
      <w:footerReference r:id="rId5" w:type="firs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557D9">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FAFF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6BFAFF5">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7C49B">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9E6A0">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BF9E6A0">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3CA5D">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716A47F"/>
    <w:multiLevelType w:val="singleLevel"/>
    <w:tmpl w:val="E716A47F"/>
    <w:lvl w:ilvl="0" w:tentative="0">
      <w:start w:val="2"/>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057E0AF"/>
    <w:multiLevelType w:val="singleLevel"/>
    <w:tmpl w:val="3057E0AF"/>
    <w:lvl w:ilvl="0" w:tentative="0">
      <w:start w:val="2"/>
      <w:numFmt w:val="chineseCounting"/>
      <w:suff w:val="nothing"/>
      <w:lvlText w:val="（%1）"/>
      <w:lvlJc w:val="left"/>
      <w:rPr>
        <w:rFonts w:hint="eastAsia"/>
      </w:rPr>
    </w:lvl>
  </w:abstractNum>
  <w:abstractNum w:abstractNumId="4">
    <w:nsid w:val="5D6DACCC"/>
    <w:multiLevelType w:val="singleLevel"/>
    <w:tmpl w:val="5D6DACCC"/>
    <w:lvl w:ilvl="0" w:tentative="0">
      <w:start w:val="4"/>
      <w:numFmt w:val="chineseCounting"/>
      <w:suff w:val="space"/>
      <w:lvlText w:val="第%1部分"/>
      <w:lvlJc w:val="left"/>
      <w:rPr>
        <w:rFonts w:hint="eastAsia"/>
      </w:rPr>
    </w:lvl>
  </w:abstractNum>
  <w:abstractNum w:abstractNumId="5">
    <w:nsid w:val="62621CDC"/>
    <w:multiLevelType w:val="multilevel"/>
    <w:tmpl w:val="62621CDC"/>
    <w:lvl w:ilvl="0" w:tentative="0">
      <w:start w:val="1"/>
      <w:numFmt w:val="decimal"/>
      <w:lvlText w:val="%1."/>
      <w:lvlJc w:val="left"/>
      <w:pPr>
        <w:ind w:left="1152" w:hanging="480"/>
      </w:pPr>
      <w:rPr>
        <w:rFonts w:hint="default" w:ascii="仿宋" w:hAnsi="仿宋" w:eastAsia="仿宋" w:cs="仿宋"/>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1MjgxYjU2NmI0MGIxYWQxM2JjMTdmYmRkYzgxZmM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C4F5C"/>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D170A"/>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0655"/>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6116A"/>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47EF9"/>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2D34AE"/>
    <w:rsid w:val="036F8141"/>
    <w:rsid w:val="03EE748E"/>
    <w:rsid w:val="04985214"/>
    <w:rsid w:val="04F64804"/>
    <w:rsid w:val="066E0107"/>
    <w:rsid w:val="06E07123"/>
    <w:rsid w:val="074165FB"/>
    <w:rsid w:val="07996F6E"/>
    <w:rsid w:val="07DFD8BA"/>
    <w:rsid w:val="0A2032A3"/>
    <w:rsid w:val="0D35B1ED"/>
    <w:rsid w:val="0DD264D9"/>
    <w:rsid w:val="0E7ED1F5"/>
    <w:rsid w:val="0F98263C"/>
    <w:rsid w:val="101860EC"/>
    <w:rsid w:val="10C055FF"/>
    <w:rsid w:val="118107EC"/>
    <w:rsid w:val="13D50BC4"/>
    <w:rsid w:val="13F5616D"/>
    <w:rsid w:val="14B33686"/>
    <w:rsid w:val="15FE1F44"/>
    <w:rsid w:val="16BB723D"/>
    <w:rsid w:val="16C21F84"/>
    <w:rsid w:val="172B6DB1"/>
    <w:rsid w:val="172F6458"/>
    <w:rsid w:val="17651304"/>
    <w:rsid w:val="17F9714D"/>
    <w:rsid w:val="1833416F"/>
    <w:rsid w:val="18512BDB"/>
    <w:rsid w:val="18C118DD"/>
    <w:rsid w:val="1918F934"/>
    <w:rsid w:val="192279D5"/>
    <w:rsid w:val="1B3721C8"/>
    <w:rsid w:val="1BE8440E"/>
    <w:rsid w:val="1C0F4EF3"/>
    <w:rsid w:val="1D155CEE"/>
    <w:rsid w:val="1D5C0E05"/>
    <w:rsid w:val="1DFBC4B3"/>
    <w:rsid w:val="1E740ACF"/>
    <w:rsid w:val="1F19C781"/>
    <w:rsid w:val="1F33FCE5"/>
    <w:rsid w:val="1F5F247E"/>
    <w:rsid w:val="1F7F7398"/>
    <w:rsid w:val="1FD2DB6F"/>
    <w:rsid w:val="1FF35744"/>
    <w:rsid w:val="1FF6BC77"/>
    <w:rsid w:val="1FF9236D"/>
    <w:rsid w:val="208C266E"/>
    <w:rsid w:val="22D8034C"/>
    <w:rsid w:val="2333840E"/>
    <w:rsid w:val="23860B96"/>
    <w:rsid w:val="23CE7D55"/>
    <w:rsid w:val="240371BF"/>
    <w:rsid w:val="24BB4433"/>
    <w:rsid w:val="257C638F"/>
    <w:rsid w:val="272F4001"/>
    <w:rsid w:val="27F119DF"/>
    <w:rsid w:val="288051AE"/>
    <w:rsid w:val="2964687E"/>
    <w:rsid w:val="29FD04D3"/>
    <w:rsid w:val="2BFF7BC6"/>
    <w:rsid w:val="2C8A61B5"/>
    <w:rsid w:val="2CD59C95"/>
    <w:rsid w:val="2D484046"/>
    <w:rsid w:val="2D5075B9"/>
    <w:rsid w:val="2DF04E50"/>
    <w:rsid w:val="2EFD05E5"/>
    <w:rsid w:val="2F040D46"/>
    <w:rsid w:val="2F4F95CE"/>
    <w:rsid w:val="2FACAFDD"/>
    <w:rsid w:val="2FAE5751"/>
    <w:rsid w:val="2FB1A395"/>
    <w:rsid w:val="2FCF0B76"/>
    <w:rsid w:val="2FD9A7D8"/>
    <w:rsid w:val="302428C3"/>
    <w:rsid w:val="311D50AF"/>
    <w:rsid w:val="318F55E6"/>
    <w:rsid w:val="319F7F4E"/>
    <w:rsid w:val="3207249C"/>
    <w:rsid w:val="3304709D"/>
    <w:rsid w:val="33F22174"/>
    <w:rsid w:val="346E65F9"/>
    <w:rsid w:val="36AA5135"/>
    <w:rsid w:val="36BE0DA7"/>
    <w:rsid w:val="376B6AA6"/>
    <w:rsid w:val="376D39B2"/>
    <w:rsid w:val="37E16F03"/>
    <w:rsid w:val="37F53A3B"/>
    <w:rsid w:val="38C74734"/>
    <w:rsid w:val="38D469F0"/>
    <w:rsid w:val="38F78389"/>
    <w:rsid w:val="397BAF1F"/>
    <w:rsid w:val="39842625"/>
    <w:rsid w:val="39E7B272"/>
    <w:rsid w:val="39F7642F"/>
    <w:rsid w:val="39FF7B37"/>
    <w:rsid w:val="3AB79AF3"/>
    <w:rsid w:val="3AFDCB77"/>
    <w:rsid w:val="3B5B73B5"/>
    <w:rsid w:val="3B7EF35A"/>
    <w:rsid w:val="3B9FDB6C"/>
    <w:rsid w:val="3BA66882"/>
    <w:rsid w:val="3BAA122E"/>
    <w:rsid w:val="3BB920E2"/>
    <w:rsid w:val="3BD66ED6"/>
    <w:rsid w:val="3BF5BC2F"/>
    <w:rsid w:val="3BF7C23A"/>
    <w:rsid w:val="3BFF223E"/>
    <w:rsid w:val="3C6EC0A1"/>
    <w:rsid w:val="3CDB0824"/>
    <w:rsid w:val="3CEBA265"/>
    <w:rsid w:val="3D6A7F9F"/>
    <w:rsid w:val="3D7E7F4D"/>
    <w:rsid w:val="3D98207C"/>
    <w:rsid w:val="3D9CF30A"/>
    <w:rsid w:val="3DFF5A3E"/>
    <w:rsid w:val="3E78745D"/>
    <w:rsid w:val="3EEE77E9"/>
    <w:rsid w:val="3F394AF5"/>
    <w:rsid w:val="3F8876D5"/>
    <w:rsid w:val="3FBE5714"/>
    <w:rsid w:val="3FCD5E80"/>
    <w:rsid w:val="3FDD8615"/>
    <w:rsid w:val="3FDFB2FF"/>
    <w:rsid w:val="3FF4CAE0"/>
    <w:rsid w:val="3FF75FAF"/>
    <w:rsid w:val="3FF7B227"/>
    <w:rsid w:val="400A0B15"/>
    <w:rsid w:val="40B977E5"/>
    <w:rsid w:val="41143CDC"/>
    <w:rsid w:val="42360B1F"/>
    <w:rsid w:val="42672B97"/>
    <w:rsid w:val="43A22185"/>
    <w:rsid w:val="44E268DA"/>
    <w:rsid w:val="452030E2"/>
    <w:rsid w:val="454124D9"/>
    <w:rsid w:val="457F4F6B"/>
    <w:rsid w:val="46B207D1"/>
    <w:rsid w:val="4737FB58"/>
    <w:rsid w:val="47ECCB02"/>
    <w:rsid w:val="47FA6A3F"/>
    <w:rsid w:val="487D096B"/>
    <w:rsid w:val="49D7AE48"/>
    <w:rsid w:val="4A3F6C7E"/>
    <w:rsid w:val="4A627F82"/>
    <w:rsid w:val="4B0E749A"/>
    <w:rsid w:val="4B4F25DA"/>
    <w:rsid w:val="4BBB4781"/>
    <w:rsid w:val="4BD709A5"/>
    <w:rsid w:val="4BDD9BFF"/>
    <w:rsid w:val="4BE068DB"/>
    <w:rsid w:val="4D577224"/>
    <w:rsid w:val="4DBF1CEB"/>
    <w:rsid w:val="4DBF6A6B"/>
    <w:rsid w:val="4DF6A672"/>
    <w:rsid w:val="4EAB630A"/>
    <w:rsid w:val="4ECE2238"/>
    <w:rsid w:val="4F7EA413"/>
    <w:rsid w:val="4FAB812F"/>
    <w:rsid w:val="4FE9BD67"/>
    <w:rsid w:val="4FEE4C07"/>
    <w:rsid w:val="4FFB052F"/>
    <w:rsid w:val="533252E0"/>
    <w:rsid w:val="537E6D0A"/>
    <w:rsid w:val="53AB6B88"/>
    <w:rsid w:val="53F74C96"/>
    <w:rsid w:val="55191A1B"/>
    <w:rsid w:val="557E4B75"/>
    <w:rsid w:val="5583522D"/>
    <w:rsid w:val="55CF657E"/>
    <w:rsid w:val="57BD3DD4"/>
    <w:rsid w:val="57F9CD1E"/>
    <w:rsid w:val="5A6B2D19"/>
    <w:rsid w:val="5AF92295"/>
    <w:rsid w:val="5AF9D8E9"/>
    <w:rsid w:val="5BDD38BD"/>
    <w:rsid w:val="5BDD79E6"/>
    <w:rsid w:val="5BEFC772"/>
    <w:rsid w:val="5BFF5DFC"/>
    <w:rsid w:val="5C2C472A"/>
    <w:rsid w:val="5CD71FC4"/>
    <w:rsid w:val="5D1F11B5"/>
    <w:rsid w:val="5D3647F9"/>
    <w:rsid w:val="5D944335"/>
    <w:rsid w:val="5DA644D4"/>
    <w:rsid w:val="5DAE1B18"/>
    <w:rsid w:val="5DE7D9E5"/>
    <w:rsid w:val="5ECEC941"/>
    <w:rsid w:val="5EFF8FC6"/>
    <w:rsid w:val="5F5BA39A"/>
    <w:rsid w:val="5F7D3B79"/>
    <w:rsid w:val="5F7F4610"/>
    <w:rsid w:val="5FBF9FF3"/>
    <w:rsid w:val="5FCD4E2C"/>
    <w:rsid w:val="5FEF394A"/>
    <w:rsid w:val="5FF67715"/>
    <w:rsid w:val="6139299F"/>
    <w:rsid w:val="61CA71D5"/>
    <w:rsid w:val="627EE9EA"/>
    <w:rsid w:val="63B23AA5"/>
    <w:rsid w:val="641E0DFC"/>
    <w:rsid w:val="647F5392"/>
    <w:rsid w:val="64E322C4"/>
    <w:rsid w:val="65FB93B9"/>
    <w:rsid w:val="6633C463"/>
    <w:rsid w:val="66CB67C0"/>
    <w:rsid w:val="67D55B77"/>
    <w:rsid w:val="67EE7F84"/>
    <w:rsid w:val="684C2C5A"/>
    <w:rsid w:val="686F5F53"/>
    <w:rsid w:val="68A64F7A"/>
    <w:rsid w:val="6A436452"/>
    <w:rsid w:val="6AA95198"/>
    <w:rsid w:val="6AFFCEAF"/>
    <w:rsid w:val="6B96E9E6"/>
    <w:rsid w:val="6BCE57B5"/>
    <w:rsid w:val="6BFEA4DB"/>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41F48"/>
    <w:rsid w:val="6F6F90A8"/>
    <w:rsid w:val="6F6FB3EB"/>
    <w:rsid w:val="6F8731EA"/>
    <w:rsid w:val="6FB40867"/>
    <w:rsid w:val="6FBC2ADD"/>
    <w:rsid w:val="6FD57C00"/>
    <w:rsid w:val="6FEFFFD8"/>
    <w:rsid w:val="6FF5CC65"/>
    <w:rsid w:val="6FFB47EC"/>
    <w:rsid w:val="6FFF034A"/>
    <w:rsid w:val="6FFF2382"/>
    <w:rsid w:val="704A5D94"/>
    <w:rsid w:val="712A28F1"/>
    <w:rsid w:val="715C0E4B"/>
    <w:rsid w:val="71FFD401"/>
    <w:rsid w:val="72233669"/>
    <w:rsid w:val="72734D90"/>
    <w:rsid w:val="7332FE48"/>
    <w:rsid w:val="734806D3"/>
    <w:rsid w:val="73552361"/>
    <w:rsid w:val="73A81D87"/>
    <w:rsid w:val="73AD73D5"/>
    <w:rsid w:val="73B6EB34"/>
    <w:rsid w:val="73FA497D"/>
    <w:rsid w:val="744731E5"/>
    <w:rsid w:val="74BBD01D"/>
    <w:rsid w:val="74ED5379"/>
    <w:rsid w:val="75DEEEC2"/>
    <w:rsid w:val="75FE3D53"/>
    <w:rsid w:val="760057B0"/>
    <w:rsid w:val="76674885"/>
    <w:rsid w:val="767F479D"/>
    <w:rsid w:val="769D2054"/>
    <w:rsid w:val="76E3355F"/>
    <w:rsid w:val="76F742AF"/>
    <w:rsid w:val="76F7BE7D"/>
    <w:rsid w:val="76FF5125"/>
    <w:rsid w:val="77356731"/>
    <w:rsid w:val="773570D3"/>
    <w:rsid w:val="77597F31"/>
    <w:rsid w:val="776F6FFA"/>
    <w:rsid w:val="7777A522"/>
    <w:rsid w:val="77858688"/>
    <w:rsid w:val="778769C8"/>
    <w:rsid w:val="778D2E12"/>
    <w:rsid w:val="77CB741A"/>
    <w:rsid w:val="77D7BE3A"/>
    <w:rsid w:val="77DC22F5"/>
    <w:rsid w:val="780302A9"/>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34373E"/>
    <w:rsid w:val="7CBFC87B"/>
    <w:rsid w:val="7CFE0F48"/>
    <w:rsid w:val="7D3DE31C"/>
    <w:rsid w:val="7D7EC23E"/>
    <w:rsid w:val="7D7F8A13"/>
    <w:rsid w:val="7DBBCB01"/>
    <w:rsid w:val="7DC765D0"/>
    <w:rsid w:val="7DDB0EE0"/>
    <w:rsid w:val="7DFF51D8"/>
    <w:rsid w:val="7E5B1E30"/>
    <w:rsid w:val="7E634199"/>
    <w:rsid w:val="7E8ADEBF"/>
    <w:rsid w:val="7EEF11D3"/>
    <w:rsid w:val="7EF7261C"/>
    <w:rsid w:val="7EF78C20"/>
    <w:rsid w:val="7F3F679B"/>
    <w:rsid w:val="7F4FC4EF"/>
    <w:rsid w:val="7F5E4D54"/>
    <w:rsid w:val="7F6B75FA"/>
    <w:rsid w:val="7F9F518D"/>
    <w:rsid w:val="7FA30C79"/>
    <w:rsid w:val="7FAF8ABF"/>
    <w:rsid w:val="7FB7269E"/>
    <w:rsid w:val="7FBD6753"/>
    <w:rsid w:val="7FBFABB4"/>
    <w:rsid w:val="7FC65084"/>
    <w:rsid w:val="7FC96657"/>
    <w:rsid w:val="7FD447E0"/>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AF782C"/>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4"/>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6"/>
    <w:unhideWhenUsed/>
    <w:qFormat/>
    <w:uiPriority w:val="99"/>
    <w:pPr>
      <w:ind w:firstLine="420" w:firstLine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Char"/>
    <w:link w:val="10"/>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Char"/>
    <w:link w:val="9"/>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Char"/>
    <w:link w:val="2"/>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5"/>
    <w:qFormat/>
    <w:uiPriority w:val="9"/>
    <w:rPr>
      <w:rFonts w:ascii="Times New Roman" w:hAnsi="Times New Roman"/>
      <w:b/>
      <w:bCs/>
      <w:kern w:val="44"/>
      <w:sz w:val="44"/>
      <w:szCs w:val="44"/>
    </w:rPr>
  </w:style>
  <w:style w:type="character" w:customStyle="1" w:styleId="28">
    <w:name w:val="标题 2 字符"/>
    <w:basedOn w:val="15"/>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5"/>
    <w:link w:val="8"/>
    <w:semiHidden/>
    <w:qFormat/>
    <w:uiPriority w:val="99"/>
    <w:rPr>
      <w:rFonts w:ascii="Times New Roman" w:hAnsi="Times New Roman"/>
      <w:kern w:val="2"/>
      <w:sz w:val="18"/>
      <w:szCs w:val="18"/>
    </w:rPr>
  </w:style>
  <w:style w:type="character" w:customStyle="1" w:styleId="31">
    <w:name w:val="标题 3 Char"/>
    <w:basedOn w:val="15"/>
    <w:link w:val="5"/>
    <w:qFormat/>
    <w:uiPriority w:val="9"/>
    <w:rPr>
      <w:rFonts w:ascii="Times New Roman" w:hAnsi="Times New Roman"/>
      <w:b/>
      <w:bCs/>
      <w:kern w:val="2"/>
      <w:sz w:val="32"/>
      <w:szCs w:val="32"/>
    </w:rPr>
  </w:style>
  <w:style w:type="paragraph" w:customStyle="1" w:styleId="32">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四号正文"/>
    <w:basedOn w:val="1"/>
    <w:qFormat/>
    <w:uiPriority w:val="0"/>
    <w:pPr>
      <w:spacing w:line="360" w:lineRule="auto"/>
    </w:pPr>
    <w:rPr>
      <w:rFonts w:ascii="??" w:hAnsi="??"/>
      <w:color w:val="000000"/>
      <w:kern w:val="0"/>
      <w:sz w:val="28"/>
      <w:szCs w:val="21"/>
      <w:lang w:val="zh-CN"/>
    </w:rPr>
  </w:style>
  <w:style w:type="character" w:customStyle="1" w:styleId="34">
    <w:name w:val="标题 1 Char"/>
    <w:link w:val="3"/>
    <w:qFormat/>
    <w:uiPriority w:val="9"/>
    <w:rPr>
      <w:b/>
      <w:bCs/>
      <w:kern w:val="44"/>
      <w:sz w:val="44"/>
      <w:szCs w:val="44"/>
    </w:rPr>
  </w:style>
  <w:style w:type="character" w:customStyle="1" w:styleId="35">
    <w:name w:val="标题 2 Char"/>
    <w:link w:val="4"/>
    <w:qFormat/>
    <w:uiPriority w:val="9"/>
    <w:rPr>
      <w:rFonts w:ascii="Cambria" w:hAnsi="Cambria" w:eastAsia="宋体"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G:\mmm\MM\yy&#20250;&#35745;\2023&#20915;&#31639;\2023&#22919;&#24188;\2023&#25968;&#25454;&#24037;&#20316;&#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mm\MM\yy&#20250;&#35745;\2023&#20915;&#31639;\2023&#22919;&#24188;\2023&#25968;&#25454;&#24037;&#20316;&#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mmm\MM\yy&#20250;&#35745;\2023&#20915;&#31639;\2023&#22919;&#24188;\2023&#25968;&#25454;&#24037;&#20316;&#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mmm\MM\yy&#20250;&#35745;\2023&#20915;&#31639;\2023&#22919;&#24188;\2023&#25968;&#25454;&#24037;&#20316;&#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mmm\MM\yy&#20250;&#35745;\2023&#20915;&#31639;\2023&#22919;&#24188;\2023&#25968;&#25454;&#24037;&#20316;&#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mmm\MM\yy&#20250;&#35745;\2023&#20915;&#31639;\2023&#22919;&#24188;\2023&#25968;&#25454;&#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收支决算变动情况图</a:t>
            </a:r>
            <a:endParaRPr lang="zh-CN" altLang="en-US"/>
          </a:p>
        </c:rich>
      </c:tx>
      <c:layout/>
      <c:overlay val="0"/>
      <c:spPr>
        <a:noFill/>
        <a:ln>
          <a:noFill/>
        </a:ln>
        <a:effectLst/>
      </c:spPr>
    </c:title>
    <c:autoTitleDeleted val="0"/>
    <c:plotArea>
      <c:layout/>
      <c:barChart>
        <c:barDir val="col"/>
        <c:grouping val="clustered"/>
        <c:varyColors val="0"/>
        <c:ser>
          <c:idx val="0"/>
          <c:order val="0"/>
          <c:tx>
            <c:strRef>
              <c:f>"2022年"</c:f>
              <c:strCache>
                <c:ptCount val="1"/>
                <c:pt idx="0">
                  <c:v>2022年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[2023数据工作表.xls]Sheet1!$A$1:$B$1</c:f>
              <c:strCache>
                <c:ptCount val="2"/>
                <c:pt idx="0">
                  <c:v>收入</c:v>
                </c:pt>
                <c:pt idx="1">
                  <c:v>支出</c:v>
                </c:pt>
              </c:strCache>
            </c:strRef>
          </c:cat>
          <c:val>
            <c:numRef>
              <c:f>[2023数据工作表.xls]Sheet1!$A$2:$B$2</c:f>
              <c:numCache>
                <c:formatCode>General</c:formatCode>
                <c:ptCount val="2"/>
                <c:pt idx="0">
                  <c:v>667.5</c:v>
                </c:pt>
                <c:pt idx="1">
                  <c:v>667.5</c:v>
                </c:pt>
              </c:numCache>
            </c:numRef>
          </c:val>
        </c:ser>
        <c:ser>
          <c:idx val="1"/>
          <c:order val="1"/>
          <c:tx>
            <c:strRef>
              <c:f>"2023年"</c:f>
              <c:strCache>
                <c:ptCount val="1"/>
                <c:pt idx="0">
                  <c:v>2023年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[2023数据工作表.xls]Sheet1!$A$1:$B$1</c:f>
              <c:strCache>
                <c:ptCount val="2"/>
                <c:pt idx="0">
                  <c:v>收入</c:v>
                </c:pt>
                <c:pt idx="1">
                  <c:v>支出</c:v>
                </c:pt>
              </c:strCache>
            </c:strRef>
          </c:cat>
          <c:val>
            <c:numRef>
              <c:f>[2023数据工作表.xls]Sheet1!$A$3:$B$3</c:f>
              <c:numCache>
                <c:formatCode>General</c:formatCode>
                <c:ptCount val="2"/>
                <c:pt idx="0">
                  <c:v>681.14</c:v>
                </c:pt>
                <c:pt idx="1">
                  <c:v>681.14</c:v>
                </c:pt>
              </c:numCache>
            </c:numRef>
          </c:val>
        </c:ser>
        <c:dLbls>
          <c:showLegendKey val="0"/>
          <c:showVal val="1"/>
          <c:showCatName val="0"/>
          <c:showSerName val="0"/>
          <c:showPercent val="0"/>
          <c:showBubbleSize val="0"/>
        </c:dLbls>
        <c:gapWidth val="246"/>
        <c:overlap val="-28"/>
        <c:axId val="353978240"/>
        <c:axId val="354681984"/>
      </c:barChart>
      <c:catAx>
        <c:axId val="35397824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4681984"/>
        <c:crosses val="autoZero"/>
        <c:auto val="1"/>
        <c:lblAlgn val="ctr"/>
        <c:lblOffset val="100"/>
        <c:noMultiLvlLbl val="0"/>
      </c:catAx>
      <c:valAx>
        <c:axId val="354681984"/>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39782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2477922-3b76-499e-9203-633a2bffb43e}"/>
      </c:ext>
    </c:extLst>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收入决算结构图</a:t>
            </a:r>
            <a:endParaRPr lang="zh-CN" altLang="en-US"/>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[2023数据工作表.xls]Sheet1!$A$17:$F$17</c:f>
              <c:strCache>
                <c:ptCount val="6"/>
                <c:pt idx="0">
                  <c:v>一般公共预算收入</c:v>
                </c:pt>
                <c:pt idx="1">
                  <c:v>政府基金拨款收入</c:v>
                </c:pt>
                <c:pt idx="2">
                  <c:v>上级补助收入</c:v>
                </c:pt>
                <c:pt idx="3">
                  <c:v>事业收入</c:v>
                </c:pt>
                <c:pt idx="4">
                  <c:v>经营收入</c:v>
                </c:pt>
                <c:pt idx="5">
                  <c:v>其他收入</c:v>
                </c:pt>
              </c:strCache>
            </c:strRef>
          </c:cat>
          <c:val>
            <c:numRef>
              <c:f>[2023数据工作表.xls]Sheet1!$A$18:$F$18</c:f>
              <c:numCache>
                <c:formatCode>General</c:formatCode>
                <c:ptCount val="6"/>
                <c:pt idx="0">
                  <c:v>681.14</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741936d-3d92-45f3-83c8-274671f4d80b}"/>
      </c:ext>
    </c:extLst>
  </c:chart>
  <c:spPr>
    <a:solidFill>
      <a:schemeClr val="accent5">
        <a:lumMod val="40000"/>
        <a:lumOff val="60000"/>
      </a:schemeClr>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2023</a:t>
            </a:r>
            <a:r>
              <a:rPr lang="zh-CN" altLang="en-US"/>
              <a:t>年支出决算结构图</a:t>
            </a:r>
            <a:endParaRPr lang="zh-CN" altLang="en-US"/>
          </a:p>
        </c:rich>
      </c:tx>
      <c:layout/>
      <c:overlay val="0"/>
      <c:spPr>
        <a:noFill/>
        <a:ln>
          <a:noFill/>
        </a:ln>
        <a:effectLst/>
      </c:spPr>
    </c:title>
    <c:autoTitleDeleted val="0"/>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[2023数据工作表.xls]Sheet1!$A$21:$D$21</c:f>
              <c:strCache>
                <c:ptCount val="4"/>
                <c:pt idx="0">
                  <c:v>基本支出</c:v>
                </c:pt>
                <c:pt idx="1">
                  <c:v>项目支出</c:v>
                </c:pt>
                <c:pt idx="2">
                  <c:v>上缴上级支出</c:v>
                </c:pt>
                <c:pt idx="3">
                  <c:v>经营支出</c:v>
                </c:pt>
              </c:strCache>
            </c:strRef>
          </c:cat>
          <c:val>
            <c:numRef>
              <c:f>[2023数据工作表.xls]Sheet1!$A$22:$D$22</c:f>
              <c:numCache>
                <c:formatCode>General</c:formatCode>
                <c:ptCount val="4"/>
                <c:pt idx="0">
                  <c:v>566.87</c:v>
                </c:pt>
                <c:pt idx="1">
                  <c:v>114.28</c:v>
                </c:pt>
                <c:pt idx="2">
                  <c:v>0</c:v>
                </c:pt>
                <c:pt idx="3">
                  <c:v>0</c:v>
                </c:pt>
              </c:numCache>
            </c:numRef>
          </c:val>
        </c:ser>
        <c:dLbls>
          <c:showLegendKey val="0"/>
          <c:showVal val="1"/>
          <c:showCatName val="0"/>
          <c:showSerName val="0"/>
          <c:showPercent val="0"/>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9f0e909-d5d2-4195-8699-c94a89177bec}"/>
      </c:ext>
    </c:extLst>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财政拨款收支决算变动情况</a:t>
            </a:r>
            <a:endParaRPr lang="zh-CN" altLang="en-US"/>
          </a:p>
        </c:rich>
      </c:tx>
      <c:layout/>
      <c:overlay val="0"/>
      <c:spPr>
        <a:noFill/>
        <a:ln>
          <a:noFill/>
        </a:ln>
        <a:effectLst/>
      </c:spPr>
    </c:title>
    <c:autoTitleDeleted val="0"/>
    <c:plotArea>
      <c:layout>
        <c:manualLayout>
          <c:layoutTarget val="inner"/>
          <c:xMode val="edge"/>
          <c:yMode val="edge"/>
          <c:x val="0.0814218841427736"/>
          <c:y val="0.240579710144928"/>
          <c:w val="0.886395552954944"/>
          <c:h val="0.449726247987118"/>
        </c:manualLayout>
      </c:layout>
      <c:barChart>
        <c:barDir val="col"/>
        <c:grouping val="clustered"/>
        <c:varyColors val="0"/>
        <c:ser>
          <c:idx val="0"/>
          <c:order val="0"/>
          <c:tx>
            <c:strRef>
              <c:f>"2022年"</c:f>
              <c:strCache>
                <c:ptCount val="1"/>
                <c:pt idx="0">
                  <c:v>2022年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[2023数据工作表.xls]Sheet1!$A$1:$B$1</c:f>
              <c:strCache>
                <c:ptCount val="2"/>
                <c:pt idx="0">
                  <c:v>收入</c:v>
                </c:pt>
                <c:pt idx="1">
                  <c:v>支出</c:v>
                </c:pt>
              </c:strCache>
            </c:strRef>
          </c:cat>
          <c:val>
            <c:numRef>
              <c:f>[2023数据工作表.xls]Sheet1!$A$2:$B$2</c:f>
              <c:numCache>
                <c:formatCode>General</c:formatCode>
                <c:ptCount val="2"/>
                <c:pt idx="0">
                  <c:v>667.5</c:v>
                </c:pt>
                <c:pt idx="1">
                  <c:v>667.5</c:v>
                </c:pt>
              </c:numCache>
            </c:numRef>
          </c:val>
        </c:ser>
        <c:ser>
          <c:idx val="1"/>
          <c:order val="1"/>
          <c:tx>
            <c:strRef>
              <c:f>"2023年"</c:f>
              <c:strCache>
                <c:ptCount val="1"/>
                <c:pt idx="0">
                  <c:v>2023年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[2023数据工作表.xls]Sheet1!$A$1:$B$1</c:f>
              <c:strCache>
                <c:ptCount val="2"/>
                <c:pt idx="0">
                  <c:v>收入</c:v>
                </c:pt>
                <c:pt idx="1">
                  <c:v>支出</c:v>
                </c:pt>
              </c:strCache>
            </c:strRef>
          </c:cat>
          <c:val>
            <c:numRef>
              <c:f>[2023数据工作表.xls]Sheet1!$A$3:$B$3</c:f>
              <c:numCache>
                <c:formatCode>General</c:formatCode>
                <c:ptCount val="2"/>
                <c:pt idx="0">
                  <c:v>681.14</c:v>
                </c:pt>
                <c:pt idx="1">
                  <c:v>681.14</c:v>
                </c:pt>
              </c:numCache>
            </c:numRef>
          </c:val>
        </c:ser>
        <c:dLbls>
          <c:showLegendKey val="0"/>
          <c:showVal val="1"/>
          <c:showCatName val="0"/>
          <c:showSerName val="0"/>
          <c:showPercent val="0"/>
          <c:showBubbleSize val="0"/>
        </c:dLbls>
        <c:gapWidth val="246"/>
        <c:overlap val="-28"/>
        <c:axId val="44875136"/>
        <c:axId val="44876928"/>
      </c:barChart>
      <c:catAx>
        <c:axId val="4487513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876928"/>
        <c:crosses val="autoZero"/>
        <c:auto val="1"/>
        <c:lblAlgn val="ctr"/>
        <c:lblOffset val="100"/>
        <c:noMultiLvlLbl val="0"/>
      </c:catAx>
      <c:valAx>
        <c:axId val="44876928"/>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87513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4b89dfb-58e1-462b-b3a4-a4499a06d8d2}"/>
      </c:ext>
    </c:extLst>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51542650887733"/>
          <c:y val="0.0741671553433303"/>
          <c:w val="0.897815789473684"/>
          <c:h val="0.550443159922929"/>
        </c:manualLayout>
      </c:layout>
      <c:barChart>
        <c:barDir val="col"/>
        <c:grouping val="clustered"/>
        <c:varyColors val="0"/>
        <c:ser>
          <c:idx val="0"/>
          <c:order val="0"/>
          <c:tx>
            <c:strRef>
              <c:f>"2022年度"</c:f>
              <c:strCache>
                <c:ptCount val="1"/>
                <c:pt idx="0">
                  <c:v>2022年度</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[2023数据工作表.xls]Sheet1!$A$25</c:f>
              <c:strCache>
                <c:ptCount val="1"/>
                <c:pt idx="0">
                  <c:v>一般公共预算支出</c:v>
                </c:pt>
              </c:strCache>
            </c:strRef>
          </c:cat>
          <c:val>
            <c:numRef>
              <c:f>[2023数据工作表.xls]Sheet1!$A$26</c:f>
              <c:numCache>
                <c:formatCode>General</c:formatCode>
                <c:ptCount val="1"/>
                <c:pt idx="0">
                  <c:v>667.5</c:v>
                </c:pt>
              </c:numCache>
            </c:numRef>
          </c:val>
        </c:ser>
        <c:ser>
          <c:idx val="1"/>
          <c:order val="1"/>
          <c:tx>
            <c:strRef>
              <c:f>"2023年度"</c:f>
              <c:strCache>
                <c:ptCount val="1"/>
                <c:pt idx="0">
                  <c:v>2023年度</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[2023数据工作表.xls]Sheet1!$A$25</c:f>
              <c:strCache>
                <c:ptCount val="1"/>
                <c:pt idx="0">
                  <c:v>一般公共预算支出</c:v>
                </c:pt>
              </c:strCache>
            </c:strRef>
          </c:cat>
          <c:val>
            <c:numRef>
              <c:f>[2023数据工作表.xls]Sheet1!$A$27</c:f>
              <c:numCache>
                <c:formatCode>General</c:formatCode>
                <c:ptCount val="1"/>
                <c:pt idx="0">
                  <c:v>681.14</c:v>
                </c:pt>
              </c:numCache>
            </c:numRef>
          </c:val>
        </c:ser>
        <c:dLbls>
          <c:showLegendKey val="0"/>
          <c:showVal val="1"/>
          <c:showCatName val="0"/>
          <c:showSerName val="0"/>
          <c:showPercent val="0"/>
          <c:showBubbleSize val="0"/>
        </c:dLbls>
        <c:gapWidth val="246"/>
        <c:overlap val="-28"/>
        <c:axId val="163724288"/>
        <c:axId val="163730176"/>
      </c:barChart>
      <c:catAx>
        <c:axId val="16372428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3730176"/>
        <c:crosses val="autoZero"/>
        <c:auto val="1"/>
        <c:lblAlgn val="ctr"/>
        <c:lblOffset val="100"/>
        <c:noMultiLvlLbl val="0"/>
      </c:catAx>
      <c:valAx>
        <c:axId val="163730176"/>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372428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b6bf068-214b-47ea-9e17-6803fb95d825}"/>
      </c:ext>
    </c:extLst>
  </c:chart>
  <c:spPr>
    <a:solidFill>
      <a:schemeClr val="accent5">
        <a:lumMod val="40000"/>
        <a:lumOff val="60000"/>
      </a:schemeClr>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一般公共预算财政支出决算结构图</a:t>
            </a:r>
            <a:endParaRPr lang="zh-CN" altLang="en-US"/>
          </a:p>
        </c:rich>
      </c:tx>
      <c:layout/>
      <c:overlay val="0"/>
      <c:spPr>
        <a:noFill/>
        <a:ln>
          <a:noFill/>
        </a:ln>
        <a:effectLst/>
      </c:spPr>
    </c:title>
    <c:autoTitleDeleted val="0"/>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[2023数据工作表.xls]Sheet1!$A$42:$D$42</c:f>
              <c:strCache>
                <c:ptCount val="4"/>
                <c:pt idx="0">
                  <c:v>社会保障和就业支出</c:v>
                </c:pt>
                <c:pt idx="1">
                  <c:v>卫生健康支出</c:v>
                </c:pt>
                <c:pt idx="2">
                  <c:v>住房保障支出</c:v>
                </c:pt>
                <c:pt idx="3">
                  <c:v>项目支出</c:v>
                </c:pt>
              </c:strCache>
            </c:strRef>
          </c:cat>
          <c:val>
            <c:numRef>
              <c:f>[2023数据工作表.xls]Sheet1!$A$43:$D$43</c:f>
              <c:numCache>
                <c:formatCode>General</c:formatCode>
                <c:ptCount val="4"/>
                <c:pt idx="0">
                  <c:v>107.56</c:v>
                </c:pt>
                <c:pt idx="1">
                  <c:v>529.81</c:v>
                </c:pt>
                <c:pt idx="2">
                  <c:v>43.77</c:v>
                </c:pt>
                <c:pt idx="3">
                  <c:v>114.28</c:v>
                </c:pt>
              </c:numCache>
            </c:numRef>
          </c:val>
        </c:ser>
        <c:dLbls>
          <c:showLegendKey val="0"/>
          <c:showVal val="1"/>
          <c:showCatName val="0"/>
          <c:showSerName val="0"/>
          <c:showPercent val="0"/>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1eca4af-bb91-40d1-aa70-b0f8d2e155c8}"/>
      </c:ext>
    </c:extLst>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31</Pages>
  <Words>10970</Words>
  <Characters>11900</Characters>
  <Lines>86</Lines>
  <Paragraphs>24</Paragraphs>
  <TotalTime>24</TotalTime>
  <ScaleCrop>false</ScaleCrop>
  <LinksUpToDate>false</LinksUpToDate>
  <CharactersWithSpaces>12020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2024-08-05T15:12:00Z</dcterms:created>
  <dc:creator>曹颖</dc:creator>
  <cp:lastModifiedBy>张露</cp:lastModifiedBy>
  <cp:lastPrinted>2023-08-03T18:35:00Z</cp:lastPrinted>
  <dcterms:modified xsi:type="dcterms:W3CDTF">2026-07-28T03:36:58Z</dcterms:modified>
  <dc:title>四川省***</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5A788A812BC149848022FBE4586608D4_13</vt:lpwstr>
  </property>
  <property fmtid="{D5CDD505-2E9C-101B-9397-08002B2CF9AE}" pid="4" name="KSOTemplateDocerSaveRecord">
    <vt:lpwstr>eyJoZGlkIjoiZmRjYWZhOTQyZTJlOTljNDY1MjM2NjNlZDYwYmZkN2QiLCJ1c2VySWQiOiI4ODI1MDY3ODAifQ==</vt:lpwstr>
  </property>
</Properties>
</file>