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16922">
      <w:pPr>
        <w:spacing w:line="600" w:lineRule="exact"/>
        <w:jc w:val="center"/>
        <w:outlineLvl w:val="0"/>
        <w:rPr>
          <w:rFonts w:ascii="方正小标宋简体" w:hAnsi="宋体" w:eastAsia="方正小标宋简体"/>
          <w:color w:val="000000"/>
          <w:sz w:val="72"/>
          <w:szCs w:val="72"/>
        </w:rPr>
      </w:pPr>
      <w:bookmarkStart w:id="0" w:name="_Toc15306267"/>
    </w:p>
    <w:p w14:paraId="4A6558BF">
      <w:pPr>
        <w:spacing w:line="600" w:lineRule="exact"/>
        <w:jc w:val="center"/>
        <w:outlineLvl w:val="0"/>
        <w:rPr>
          <w:rFonts w:ascii="方正小标宋简体" w:hAnsi="宋体" w:eastAsia="方正小标宋简体"/>
          <w:color w:val="000000"/>
          <w:sz w:val="72"/>
          <w:szCs w:val="72"/>
        </w:rPr>
      </w:pPr>
    </w:p>
    <w:p w14:paraId="0F7C61E9">
      <w:pPr>
        <w:spacing w:line="600" w:lineRule="exact"/>
        <w:jc w:val="center"/>
        <w:outlineLvl w:val="0"/>
        <w:rPr>
          <w:rFonts w:ascii="方正小标宋简体" w:hAnsi="宋体" w:eastAsia="方正小标宋简体"/>
          <w:color w:val="000000"/>
          <w:sz w:val="72"/>
          <w:szCs w:val="72"/>
        </w:rPr>
      </w:pPr>
    </w:p>
    <w:p w14:paraId="21C72B21">
      <w:pPr>
        <w:spacing w:line="600" w:lineRule="exact"/>
        <w:jc w:val="center"/>
        <w:outlineLvl w:val="0"/>
        <w:rPr>
          <w:rFonts w:ascii="方正小标宋简体" w:hAnsi="宋体" w:eastAsia="方正小标宋简体"/>
          <w:color w:val="000000"/>
          <w:sz w:val="72"/>
          <w:szCs w:val="72"/>
        </w:rPr>
      </w:pPr>
    </w:p>
    <w:p w14:paraId="502F93BE">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96597"/>
      <w:bookmarkStart w:id="4" w:name="_Toc15378441"/>
      <w:bookmarkStart w:id="5" w:name="_Toc15377425"/>
      <w:bookmarkStart w:id="6" w:name="_Toc19494"/>
      <w:r>
        <w:rPr>
          <w:rFonts w:ascii="黑体" w:hAnsi="黑体" w:eastAsia="黑体"/>
          <w:color w:val="000000"/>
          <w:sz w:val="72"/>
          <w:szCs w:val="72"/>
        </w:rPr>
        <w:t>20</w:t>
      </w:r>
      <w:r>
        <w:rPr>
          <w:rFonts w:hint="eastAsia" w:ascii="黑体" w:hAnsi="黑体" w:eastAsia="黑体"/>
          <w:color w:val="000000"/>
          <w:sz w:val="72"/>
          <w:szCs w:val="72"/>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bookmarkEnd w:id="0"/>
    <w:p w14:paraId="614DB5AF">
      <w:pPr>
        <w:adjustRightInd w:val="0"/>
        <w:snapToGrid w:val="0"/>
        <w:spacing w:line="360" w:lineRule="auto"/>
        <w:jc w:val="center"/>
        <w:outlineLvl w:val="0"/>
        <w:rPr>
          <w:rFonts w:ascii="方正小标宋简体" w:hAnsi="宋体" w:eastAsia="方正小标宋简体"/>
          <w:color w:val="000000"/>
          <w:sz w:val="72"/>
          <w:szCs w:val="72"/>
        </w:rPr>
      </w:pPr>
      <w:bookmarkStart w:id="7" w:name="_Toc3964"/>
      <w:bookmarkStart w:id="8" w:name="_Toc15396476"/>
      <w:bookmarkStart w:id="9" w:name="_Toc15377426"/>
      <w:bookmarkStart w:id="10" w:name="_Toc15396598"/>
      <w:bookmarkStart w:id="11" w:name="_Toc15377194"/>
      <w:bookmarkStart w:id="12" w:name="_Toc15306268"/>
      <w:bookmarkStart w:id="13" w:name="_Toc15378442"/>
      <w:r>
        <w:rPr>
          <w:rFonts w:hint="eastAsia" w:ascii="方正小标宋简体" w:hAnsi="宋体" w:eastAsia="方正小标宋简体"/>
          <w:color w:val="000000"/>
          <w:sz w:val="72"/>
          <w:szCs w:val="72"/>
        </w:rPr>
        <w:t>盐边县人民医院</w:t>
      </w:r>
      <w:bookmarkEnd w:id="7"/>
    </w:p>
    <w:p w14:paraId="4066974F">
      <w:pPr>
        <w:adjustRightInd w:val="0"/>
        <w:snapToGrid w:val="0"/>
        <w:spacing w:line="360" w:lineRule="auto"/>
        <w:jc w:val="center"/>
        <w:outlineLvl w:val="0"/>
        <w:rPr>
          <w:rFonts w:ascii="方正小标宋简体" w:hAnsi="宋体" w:eastAsia="方正小标宋简体"/>
          <w:color w:val="000000"/>
          <w:sz w:val="72"/>
          <w:szCs w:val="72"/>
        </w:rPr>
      </w:pPr>
      <w:bookmarkStart w:id="14" w:name="_Toc17533"/>
      <w:r>
        <w:rPr>
          <w:rFonts w:hint="eastAsia" w:ascii="方正小标宋简体" w:hAnsi="宋体" w:eastAsia="方正小标宋简体"/>
          <w:color w:val="000000"/>
          <w:sz w:val="72"/>
          <w:szCs w:val="72"/>
        </w:rPr>
        <w:t>单位决算</w:t>
      </w:r>
      <w:bookmarkEnd w:id="8"/>
      <w:bookmarkEnd w:id="9"/>
      <w:bookmarkEnd w:id="10"/>
      <w:bookmarkEnd w:id="11"/>
      <w:bookmarkEnd w:id="12"/>
      <w:bookmarkEnd w:id="13"/>
      <w:bookmarkEnd w:id="14"/>
      <w:r>
        <w:rPr>
          <w:rFonts w:hint="eastAsia" w:ascii="方正小标宋简体" w:hAnsi="宋体" w:eastAsia="方正小标宋简体"/>
          <w:color w:val="000000"/>
          <w:sz w:val="72"/>
          <w:szCs w:val="72"/>
        </w:rPr>
        <w:t>公开编制说明</w:t>
      </w:r>
    </w:p>
    <w:p w14:paraId="07D01AF8">
      <w:pPr>
        <w:adjustRightInd w:val="0"/>
        <w:snapToGrid w:val="0"/>
        <w:spacing w:line="360" w:lineRule="auto"/>
        <w:jc w:val="center"/>
        <w:outlineLvl w:val="0"/>
        <w:rPr>
          <w:rFonts w:ascii="方正小标宋简体" w:hAnsi="宋体" w:eastAsia="方正小标宋简体"/>
          <w:color w:val="000000"/>
          <w:sz w:val="52"/>
          <w:szCs w:val="52"/>
        </w:rPr>
      </w:pPr>
    </w:p>
    <w:p w14:paraId="19C44D0D">
      <w:pPr>
        <w:widowControl/>
        <w:jc w:val="center"/>
        <w:rPr>
          <w:rFonts w:ascii="黑体" w:hAnsi="黑体" w:eastAsia="黑体" w:cstheme="minorBidi"/>
          <w:sz w:val="28"/>
          <w:szCs w:val="2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4EE7C570">
      <w:pPr>
        <w:pStyle w:val="11"/>
      </w:pPr>
      <w:r>
        <w:rPr>
          <w:rFonts w:hint="eastAsia"/>
        </w:rPr>
        <w:t>公开时间：2022年11月1日</w:t>
      </w:r>
    </w:p>
    <w:sdt>
      <w:sdtPr>
        <w:rPr>
          <w:b/>
          <w:bCs/>
          <w:kern w:val="44"/>
          <w:sz w:val="44"/>
          <w:szCs w:val="44"/>
          <w:lang w:val="zh-CN"/>
        </w:rPr>
        <w:id w:val="864955229"/>
        <w:docPartObj>
          <w:docPartGallery w:val="Table of Contents"/>
          <w:docPartUnique/>
        </w:docPartObj>
      </w:sdtPr>
      <w:sdtEndPr>
        <w:rPr>
          <w:b/>
          <w:bCs/>
          <w:kern w:val="44"/>
          <w:sz w:val="28"/>
          <w:szCs w:val="28"/>
          <w:lang w:val="en-US"/>
        </w:rPr>
      </w:sdtEndPr>
      <w:sdtContent>
        <w:p w14:paraId="4B12DDCE">
          <w:pPr>
            <w:widowControl/>
            <w:jc w:val="center"/>
          </w:pPr>
          <w:r>
            <w:rPr>
              <w:sz w:val="28"/>
              <w:szCs w:val="28"/>
            </w:rPr>
            <w:fldChar w:fldCharType="begin"/>
          </w:r>
          <w:r>
            <w:rPr>
              <w:sz w:val="28"/>
              <w:szCs w:val="28"/>
            </w:rPr>
            <w:instrText xml:space="preserve"> TOC \o "1-3" \h \z \u </w:instrText>
          </w:r>
          <w:r>
            <w:rPr>
              <w:sz w:val="28"/>
              <w:szCs w:val="28"/>
            </w:rPr>
            <w:fldChar w:fldCharType="separate"/>
          </w:r>
        </w:p>
        <w:p w14:paraId="61A0655C">
          <w:pPr>
            <w:pStyle w:val="11"/>
            <w:tabs>
              <w:tab w:val="right" w:leader="dot" w:pos="8306"/>
              <w:tab w:val="clear" w:pos="8296"/>
            </w:tabs>
          </w:pPr>
          <w:r>
            <w:fldChar w:fldCharType="begin"/>
          </w:r>
          <w:r>
            <w:instrText xml:space="preserve"> HYPERLINK \l "_Toc5086" </w:instrText>
          </w:r>
          <w:r>
            <w:fldChar w:fldCharType="separate"/>
          </w:r>
          <w:r>
            <w:rPr>
              <w:rFonts w:hint="eastAsia" w:ascii="黑体" w:hAnsi="黑体" w:eastAsia="黑体"/>
            </w:rPr>
            <w:t>第一部分部门概况</w:t>
          </w:r>
          <w:r>
            <w:tab/>
          </w:r>
          <w:r>
            <w:rPr>
              <w:rFonts w:hint="eastAsia"/>
            </w:rPr>
            <w:t>4</w:t>
          </w:r>
          <w:r>
            <w:rPr>
              <w:rFonts w:hint="eastAsia"/>
            </w:rPr>
            <w:fldChar w:fldCharType="end"/>
          </w:r>
        </w:p>
        <w:p w14:paraId="40C7B3B7">
          <w:pPr>
            <w:pStyle w:val="12"/>
            <w:tabs>
              <w:tab w:val="right" w:leader="dot" w:pos="8306"/>
              <w:tab w:val="clear" w:pos="8296"/>
            </w:tabs>
            <w:rPr>
              <w:rFonts w:hint="eastAsia"/>
            </w:rPr>
          </w:pPr>
          <w:r>
            <w:fldChar w:fldCharType="begin"/>
          </w:r>
          <w:r>
            <w:instrText xml:space="preserve"> HYPERLINK \l "_Toc22593" </w:instrText>
          </w:r>
          <w:r>
            <w:fldChar w:fldCharType="separate"/>
          </w:r>
          <w:r>
            <w:rPr>
              <w:rFonts w:hint="eastAsia" w:ascii="黑体" w:hAnsi="黑体" w:eastAsia="黑体"/>
            </w:rPr>
            <w:t>一、基本职能</w:t>
          </w:r>
          <w:r>
            <w:rPr>
              <w:rFonts w:hint="eastAsia" w:ascii="黑体" w:hAnsi="黑体" w:eastAsia="黑体"/>
            </w:rPr>
            <w:tab/>
          </w:r>
          <w:r>
            <w:rPr>
              <w:rFonts w:hint="eastAsia" w:ascii="黑体" w:hAnsi="黑体" w:eastAsia="黑体"/>
            </w:rPr>
            <w:fldChar w:fldCharType="begin"/>
          </w:r>
          <w:r>
            <w:rPr>
              <w:rFonts w:hint="eastAsia" w:ascii="黑体" w:hAnsi="黑体" w:eastAsia="黑体"/>
            </w:rPr>
            <w:instrText xml:space="preserve"> PAGEREF _Toc22593 \h </w:instrText>
          </w:r>
          <w:r>
            <w:rPr>
              <w:rFonts w:hint="eastAsia" w:ascii="黑体" w:hAnsi="黑体" w:eastAsia="黑体"/>
            </w:rPr>
            <w:fldChar w:fldCharType="separate"/>
          </w:r>
          <w:r>
            <w:rPr>
              <w:rFonts w:hint="eastAsia" w:ascii="黑体" w:hAnsi="黑体" w:eastAsia="黑体"/>
            </w:rPr>
            <w:t>4</w:t>
          </w:r>
          <w:r>
            <w:rPr>
              <w:rFonts w:hint="eastAsia" w:ascii="黑体" w:hAnsi="黑体" w:eastAsia="黑体"/>
            </w:rPr>
            <w:fldChar w:fldCharType="end"/>
          </w:r>
          <w:r>
            <w:rPr>
              <w:rFonts w:hint="eastAsia" w:ascii="黑体" w:hAnsi="黑体" w:eastAsia="黑体"/>
            </w:rPr>
            <w:fldChar w:fldCharType="end"/>
          </w:r>
        </w:p>
        <w:p w14:paraId="69B16AAA">
          <w:pPr>
            <w:pStyle w:val="12"/>
          </w:pPr>
          <w:r>
            <w:fldChar w:fldCharType="begin"/>
          </w:r>
          <w:r>
            <w:instrText xml:space="preserve"> HYPERLINK \l "_Toc22593" </w:instrText>
          </w:r>
          <w:r>
            <w:fldChar w:fldCharType="separate"/>
          </w:r>
          <w:r>
            <w:rPr>
              <w:rFonts w:hint="eastAsia" w:ascii="黑体" w:hAnsi="黑体" w:eastAsia="黑体"/>
            </w:rPr>
            <w:t>二、机构设置情况</w:t>
          </w:r>
          <w:r>
            <w:rPr>
              <w:rFonts w:hint="eastAsia" w:ascii="黑体" w:hAnsi="黑体" w:eastAsia="黑体"/>
            </w:rPr>
            <w:tab/>
          </w:r>
          <w:r>
            <w:rPr>
              <w:rFonts w:hint="eastAsia" w:ascii="黑体" w:hAnsi="黑体" w:eastAsia="黑体"/>
            </w:rPr>
            <w:fldChar w:fldCharType="begin"/>
          </w:r>
          <w:r>
            <w:rPr>
              <w:rFonts w:hint="eastAsia" w:ascii="黑体" w:hAnsi="黑体" w:eastAsia="黑体"/>
            </w:rPr>
            <w:instrText xml:space="preserve"> PAGEREF _Toc22593 \h </w:instrText>
          </w:r>
          <w:r>
            <w:rPr>
              <w:rFonts w:hint="eastAsia" w:ascii="黑体" w:hAnsi="黑体" w:eastAsia="黑体"/>
            </w:rPr>
            <w:fldChar w:fldCharType="separate"/>
          </w:r>
          <w:r>
            <w:rPr>
              <w:rFonts w:hint="eastAsia" w:ascii="黑体" w:hAnsi="黑体" w:eastAsia="黑体"/>
            </w:rPr>
            <w:t>4</w:t>
          </w:r>
          <w:r>
            <w:rPr>
              <w:rFonts w:hint="eastAsia" w:ascii="黑体" w:hAnsi="黑体" w:eastAsia="黑体"/>
            </w:rPr>
            <w:fldChar w:fldCharType="end"/>
          </w:r>
          <w:r>
            <w:rPr>
              <w:rFonts w:hint="eastAsia" w:ascii="黑体" w:hAnsi="黑体" w:eastAsia="黑体"/>
            </w:rPr>
            <w:fldChar w:fldCharType="end"/>
          </w:r>
        </w:p>
        <w:p w14:paraId="01BA6291">
          <w:pPr>
            <w:pStyle w:val="12"/>
            <w:tabs>
              <w:tab w:val="right" w:leader="dot" w:pos="8306"/>
              <w:tab w:val="clear" w:pos="8296"/>
            </w:tabs>
          </w:pPr>
          <w:r>
            <w:fldChar w:fldCharType="begin"/>
          </w:r>
          <w:r>
            <w:instrText xml:space="preserve"> HYPERLINK \l "_Toc22593" </w:instrText>
          </w:r>
          <w:r>
            <w:fldChar w:fldCharType="separate"/>
          </w:r>
          <w:r>
            <w:rPr>
              <w:rFonts w:hint="eastAsia" w:ascii="黑体" w:hAnsi="黑体" w:eastAsia="黑体"/>
            </w:rPr>
            <w:t>三、2021年重点工作</w:t>
          </w:r>
          <w:r>
            <w:rPr>
              <w:rFonts w:hint="eastAsia" w:ascii="黑体" w:hAnsi="黑体" w:eastAsia="黑体"/>
            </w:rPr>
            <w:tab/>
          </w:r>
          <w:r>
            <w:rPr>
              <w:rFonts w:hint="eastAsia" w:ascii="黑体" w:hAnsi="黑体" w:eastAsia="黑体"/>
            </w:rPr>
            <w:t>4</w:t>
          </w:r>
          <w:r>
            <w:rPr>
              <w:rFonts w:hint="eastAsia" w:ascii="黑体" w:hAnsi="黑体" w:eastAsia="黑体"/>
            </w:rPr>
            <w:fldChar w:fldCharType="end"/>
          </w:r>
        </w:p>
        <w:p w14:paraId="170DF42A">
          <w:pPr>
            <w:pStyle w:val="11"/>
            <w:tabs>
              <w:tab w:val="right" w:leader="dot" w:pos="8306"/>
              <w:tab w:val="clear" w:pos="8296"/>
            </w:tabs>
          </w:pPr>
          <w:r>
            <w:fldChar w:fldCharType="begin"/>
          </w:r>
          <w:r>
            <w:instrText xml:space="preserve"> HYPERLINK \l "_Toc14968" </w:instrText>
          </w:r>
          <w:r>
            <w:fldChar w:fldCharType="separate"/>
          </w:r>
          <w:r>
            <w:rPr>
              <w:rFonts w:hint="eastAsia" w:ascii="黑体" w:hAnsi="黑体" w:eastAsia="黑体"/>
            </w:rPr>
            <w:t>第二部分</w:t>
          </w:r>
          <w:r>
            <w:rPr>
              <w:rFonts w:ascii="黑体" w:hAnsi="黑体" w:eastAsia="黑体"/>
            </w:rPr>
            <w:t>20</w:t>
          </w:r>
          <w:r>
            <w:rPr>
              <w:rFonts w:hint="eastAsia" w:ascii="黑体" w:hAnsi="黑体" w:eastAsia="黑体"/>
            </w:rPr>
            <w:t>21年度部门决算情况说明</w:t>
          </w:r>
          <w:r>
            <w:tab/>
          </w:r>
          <w:r>
            <w:rPr>
              <w:rFonts w:hint="eastAsia"/>
            </w:rPr>
            <w:t>6</w:t>
          </w:r>
          <w:r>
            <w:rPr>
              <w:rFonts w:hint="eastAsia"/>
            </w:rPr>
            <w:fldChar w:fldCharType="end"/>
          </w:r>
        </w:p>
        <w:p w14:paraId="7FB9D4EA">
          <w:pPr>
            <w:pStyle w:val="12"/>
            <w:tabs>
              <w:tab w:val="right" w:leader="dot" w:pos="8306"/>
              <w:tab w:val="clear" w:pos="8296"/>
            </w:tabs>
          </w:pPr>
          <w:r>
            <w:fldChar w:fldCharType="begin"/>
          </w:r>
          <w:r>
            <w:instrText xml:space="preserve"> HYPERLINK \l "_Toc28896"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rPr>
              <w:rFonts w:hint="eastAsia"/>
            </w:rPr>
            <w:t>6</w:t>
          </w:r>
          <w:r>
            <w:rPr>
              <w:rFonts w:hint="eastAsia"/>
            </w:rPr>
            <w:fldChar w:fldCharType="end"/>
          </w:r>
        </w:p>
        <w:p w14:paraId="5548E254">
          <w:pPr>
            <w:pStyle w:val="12"/>
            <w:tabs>
              <w:tab w:val="right" w:leader="dot" w:pos="8306"/>
              <w:tab w:val="clear" w:pos="8296"/>
            </w:tabs>
          </w:pPr>
          <w:r>
            <w:fldChar w:fldCharType="begin"/>
          </w:r>
          <w:r>
            <w:instrText xml:space="preserve"> HYPERLINK \l "_Toc13552"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rPr>
              <w:rFonts w:hint="eastAsia"/>
            </w:rPr>
            <w:t>6</w:t>
          </w:r>
          <w:r>
            <w:rPr>
              <w:rFonts w:hint="eastAsia"/>
            </w:rPr>
            <w:fldChar w:fldCharType="end"/>
          </w:r>
        </w:p>
        <w:p w14:paraId="49203275">
          <w:pPr>
            <w:pStyle w:val="12"/>
            <w:tabs>
              <w:tab w:val="right" w:leader="dot" w:pos="8306"/>
              <w:tab w:val="clear" w:pos="8296"/>
            </w:tabs>
          </w:pPr>
          <w:r>
            <w:fldChar w:fldCharType="begin"/>
          </w:r>
          <w:r>
            <w:instrText xml:space="preserve"> HYPERLINK \l "_Toc29980"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rPr>
              <w:rFonts w:hint="eastAsia"/>
            </w:rPr>
            <w:t>7</w:t>
          </w:r>
          <w:r>
            <w:rPr>
              <w:rFonts w:hint="eastAsia"/>
            </w:rPr>
            <w:fldChar w:fldCharType="end"/>
          </w:r>
        </w:p>
        <w:p w14:paraId="5572A2EE">
          <w:pPr>
            <w:pStyle w:val="12"/>
            <w:tabs>
              <w:tab w:val="right" w:leader="dot" w:pos="8306"/>
              <w:tab w:val="clear" w:pos="8296"/>
            </w:tabs>
          </w:pPr>
          <w:r>
            <w:fldChar w:fldCharType="begin"/>
          </w:r>
          <w:r>
            <w:instrText xml:space="preserve"> HYPERLINK \l "_Toc5719"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rPr>
              <w:rFonts w:hint="eastAsia"/>
            </w:rPr>
            <w:t>8</w:t>
          </w:r>
          <w:r>
            <w:rPr>
              <w:rFonts w:hint="eastAsia"/>
            </w:rPr>
            <w:fldChar w:fldCharType="end"/>
          </w:r>
        </w:p>
        <w:p w14:paraId="78534A84">
          <w:pPr>
            <w:pStyle w:val="12"/>
            <w:tabs>
              <w:tab w:val="right" w:leader="dot" w:pos="8306"/>
              <w:tab w:val="clear" w:pos="8296"/>
            </w:tabs>
          </w:pPr>
          <w:r>
            <w:fldChar w:fldCharType="begin"/>
          </w:r>
          <w:r>
            <w:instrText xml:space="preserve"> HYPERLINK \l "_Toc25423" </w:instrText>
          </w:r>
          <w:r>
            <w:fldChar w:fldCharType="separate"/>
          </w:r>
          <w:r>
            <w:rPr>
              <w:rFonts w:hint="eastAsia" w:ascii="黑体" w:eastAsia="黑体"/>
              <w:szCs w:val="32"/>
            </w:rPr>
            <w:t>五、</w:t>
          </w:r>
          <w:r>
            <w:rPr>
              <w:rFonts w:hint="eastAsia" w:ascii="黑体" w:hAnsi="黑体" w:eastAsia="黑体"/>
            </w:rPr>
            <w:t>一般公共预算财政拨款支出决算情况说明</w:t>
          </w:r>
          <w:r>
            <w:tab/>
          </w:r>
          <w:r>
            <w:rPr>
              <w:rFonts w:hint="eastAsia"/>
            </w:rPr>
            <w:t>9</w:t>
          </w:r>
          <w:r>
            <w:rPr>
              <w:rFonts w:hint="eastAsia"/>
            </w:rPr>
            <w:fldChar w:fldCharType="end"/>
          </w:r>
        </w:p>
        <w:p w14:paraId="65B96571">
          <w:pPr>
            <w:pStyle w:val="12"/>
          </w:pPr>
          <w:r>
            <w:rPr>
              <w:rFonts w:hint="eastAsia"/>
            </w:rPr>
            <w:t>六、</w:t>
          </w:r>
          <w:r>
            <w:fldChar w:fldCharType="begin"/>
          </w:r>
          <w:r>
            <w:instrText xml:space="preserve"> HYPERLINK \l "_Toc25423" </w:instrText>
          </w:r>
          <w:r>
            <w:fldChar w:fldCharType="separate"/>
          </w:r>
          <w:r>
            <w:rPr>
              <w:rFonts w:hint="eastAsia" w:ascii="黑体" w:hAnsi="黑体" w:eastAsia="黑体"/>
            </w:rPr>
            <w:t>一般公共预算财政拨款基本支出决算情况说明</w:t>
          </w:r>
          <w:r>
            <w:tab/>
          </w:r>
          <w:r>
            <w:rPr>
              <w:rFonts w:hint="eastAsia"/>
            </w:rPr>
            <w:t>1</w:t>
          </w:r>
          <w:r>
            <w:rPr>
              <w:rFonts w:hint="eastAsia"/>
            </w:rPr>
            <w:fldChar w:fldCharType="end"/>
          </w:r>
          <w:r>
            <w:rPr>
              <w:rFonts w:hint="eastAsia"/>
            </w:rPr>
            <w:t>1</w:t>
          </w:r>
        </w:p>
        <w:p w14:paraId="00B0C181">
          <w:pPr>
            <w:pStyle w:val="12"/>
            <w:tabs>
              <w:tab w:val="right" w:leader="dot" w:pos="8306"/>
              <w:tab w:val="clear" w:pos="8296"/>
            </w:tabs>
          </w:pPr>
          <w:r>
            <w:fldChar w:fldCharType="begin"/>
          </w:r>
          <w:r>
            <w:instrText xml:space="preserve"> HYPERLINK \l "_Toc8568"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rPr>
              <w:rFonts w:hint="eastAsia"/>
            </w:rPr>
            <w:t>1</w:t>
          </w:r>
          <w:r>
            <w:rPr>
              <w:rFonts w:hint="eastAsia"/>
            </w:rPr>
            <w:fldChar w:fldCharType="end"/>
          </w:r>
          <w:r>
            <w:rPr>
              <w:rFonts w:hint="eastAsia"/>
            </w:rPr>
            <w:t>1</w:t>
          </w:r>
        </w:p>
        <w:p w14:paraId="43DF3FE6">
          <w:pPr>
            <w:pStyle w:val="12"/>
            <w:tabs>
              <w:tab w:val="right" w:leader="dot" w:pos="8306"/>
              <w:tab w:val="clear" w:pos="8296"/>
            </w:tabs>
          </w:pPr>
          <w:r>
            <w:fldChar w:fldCharType="begin"/>
          </w:r>
          <w:r>
            <w:instrText xml:space="preserve"> HYPERLINK \l "_Toc27920"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_Toc27920 \h </w:instrText>
          </w:r>
          <w:r>
            <w:fldChar w:fldCharType="separate"/>
          </w:r>
          <w:r>
            <w:t>1</w:t>
          </w:r>
          <w:r>
            <w:rPr>
              <w:rFonts w:hint="eastAsia"/>
            </w:rPr>
            <w:t>4</w:t>
          </w:r>
          <w:r>
            <w:fldChar w:fldCharType="end"/>
          </w:r>
          <w:r>
            <w:fldChar w:fldCharType="end"/>
          </w:r>
        </w:p>
        <w:p w14:paraId="198F73DD">
          <w:pPr>
            <w:pStyle w:val="12"/>
            <w:tabs>
              <w:tab w:val="right" w:leader="dot" w:pos="8306"/>
              <w:tab w:val="clear" w:pos="8296"/>
            </w:tabs>
          </w:pPr>
          <w:r>
            <w:fldChar w:fldCharType="begin"/>
          </w:r>
          <w:r>
            <w:instrText xml:space="preserve"> HYPERLINK \l "_Toc23148" </w:instrText>
          </w:r>
          <w:r>
            <w:fldChar w:fldCharType="separate"/>
          </w:r>
          <w:r>
            <w:rPr>
              <w:rFonts w:hint="eastAsia" w:ascii="黑体" w:hAnsi="黑体" w:eastAsia="黑体"/>
            </w:rPr>
            <w:t>九、 国有资本经营预算支出决算情况说明</w:t>
          </w:r>
          <w:r>
            <w:tab/>
          </w:r>
          <w:r>
            <w:fldChar w:fldCharType="begin"/>
          </w:r>
          <w:r>
            <w:instrText xml:space="preserve"> PAGEREF _Toc23148 \h </w:instrText>
          </w:r>
          <w:r>
            <w:fldChar w:fldCharType="separate"/>
          </w:r>
          <w:r>
            <w:t>1</w:t>
          </w:r>
          <w:r>
            <w:rPr>
              <w:rFonts w:hint="eastAsia"/>
            </w:rPr>
            <w:t>4</w:t>
          </w:r>
          <w:r>
            <w:fldChar w:fldCharType="end"/>
          </w:r>
          <w:r>
            <w:fldChar w:fldCharType="end"/>
          </w:r>
        </w:p>
        <w:p w14:paraId="041AAE15">
          <w:pPr>
            <w:pStyle w:val="12"/>
            <w:tabs>
              <w:tab w:val="right" w:leader="dot" w:pos="8306"/>
              <w:tab w:val="clear" w:pos="8296"/>
            </w:tabs>
          </w:pPr>
          <w:r>
            <w:fldChar w:fldCharType="begin"/>
          </w:r>
          <w:r>
            <w:instrText xml:space="preserve"> HYPERLINK \l "_Toc28864"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_Toc28864 \h </w:instrText>
          </w:r>
          <w:r>
            <w:fldChar w:fldCharType="separate"/>
          </w:r>
          <w:r>
            <w:t>1</w:t>
          </w:r>
          <w:r>
            <w:rPr>
              <w:rFonts w:hint="eastAsia"/>
            </w:rPr>
            <w:t>4</w:t>
          </w:r>
          <w:r>
            <w:fldChar w:fldCharType="end"/>
          </w:r>
          <w:r>
            <w:fldChar w:fldCharType="end"/>
          </w:r>
        </w:p>
        <w:p w14:paraId="4D9E43D2">
          <w:pPr>
            <w:pStyle w:val="11"/>
            <w:tabs>
              <w:tab w:val="right" w:leader="dot" w:pos="8306"/>
              <w:tab w:val="clear" w:pos="8296"/>
            </w:tabs>
          </w:pPr>
          <w:r>
            <w:fldChar w:fldCharType="begin"/>
          </w:r>
          <w:r>
            <w:instrText xml:space="preserve"> HYPERLINK \l "_Toc8022" </w:instrText>
          </w:r>
          <w:r>
            <w:fldChar w:fldCharType="separate"/>
          </w:r>
          <w:r>
            <w:rPr>
              <w:rFonts w:hint="eastAsia" w:ascii="黑体" w:hAnsi="黑体" w:eastAsia="黑体"/>
              <w:szCs w:val="44"/>
            </w:rPr>
            <w:t>第</w:t>
          </w:r>
          <w:r>
            <w:rPr>
              <w:rFonts w:hint="eastAsia" w:ascii="黑体" w:hAnsi="黑体" w:eastAsia="黑体"/>
            </w:rPr>
            <w:t>三部分名词解释</w:t>
          </w:r>
          <w:r>
            <w:tab/>
          </w:r>
          <w:r>
            <w:rPr>
              <w:rFonts w:hint="eastAsia"/>
            </w:rPr>
            <w:t>15</w:t>
          </w:r>
          <w:r>
            <w:rPr>
              <w:rFonts w:hint="eastAsia"/>
            </w:rPr>
            <w:fldChar w:fldCharType="end"/>
          </w:r>
          <w:r>
            <w:fldChar w:fldCharType="begin"/>
          </w:r>
          <w:r>
            <w:instrText xml:space="preserve"> HYPERLINK \l "_Toc32547" </w:instrText>
          </w:r>
          <w:r>
            <w:fldChar w:fldCharType="separate"/>
          </w:r>
          <w:r>
            <w:fldChar w:fldCharType="end"/>
          </w:r>
        </w:p>
        <w:p w14:paraId="25FEAE03">
          <w:pPr>
            <w:pStyle w:val="11"/>
            <w:tabs>
              <w:tab w:val="right" w:leader="dot" w:pos="8306"/>
              <w:tab w:val="clear" w:pos="8296"/>
            </w:tabs>
          </w:pPr>
          <w:r>
            <w:fldChar w:fldCharType="begin"/>
          </w:r>
          <w:r>
            <w:instrText xml:space="preserve"> HYPERLINK \l "_Toc8022" </w:instrText>
          </w:r>
          <w:r>
            <w:fldChar w:fldCharType="separate"/>
          </w:r>
          <w:r>
            <w:rPr>
              <w:rFonts w:hint="eastAsia" w:ascii="黑体" w:hAnsi="黑体" w:eastAsia="黑体"/>
              <w:szCs w:val="44"/>
            </w:rPr>
            <w:t>第</w:t>
          </w:r>
          <w:r>
            <w:rPr>
              <w:rFonts w:hint="eastAsia" w:ascii="黑体" w:hAnsi="黑体" w:eastAsia="黑体"/>
            </w:rPr>
            <w:t>四部分附件</w:t>
          </w:r>
          <w:r>
            <w:tab/>
          </w:r>
          <w:r>
            <w:rPr>
              <w:rFonts w:hint="eastAsia"/>
            </w:rPr>
            <w:t>1</w:t>
          </w:r>
          <w:r>
            <w:rPr>
              <w:rFonts w:hint="eastAsia"/>
            </w:rPr>
            <w:fldChar w:fldCharType="end"/>
          </w:r>
          <w:r>
            <w:rPr>
              <w:rFonts w:hint="eastAsia"/>
            </w:rPr>
            <w:t>9</w:t>
          </w:r>
        </w:p>
        <w:p w14:paraId="30C2C00B">
          <w:pPr>
            <w:pStyle w:val="12"/>
            <w:tabs>
              <w:tab w:val="right" w:leader="dot" w:pos="8306"/>
              <w:tab w:val="clear" w:pos="8296"/>
            </w:tabs>
          </w:pPr>
          <w:r>
            <w:fldChar w:fldCharType="begin"/>
          </w:r>
          <w:r>
            <w:instrText xml:space="preserve"> HYPERLINK \l "_Toc31225" </w:instrText>
          </w:r>
          <w:r>
            <w:fldChar w:fldCharType="separate"/>
          </w:r>
          <w:r>
            <w:rPr>
              <w:rFonts w:hint="eastAsia" w:ascii="黑体" w:hAnsi="黑体" w:eastAsia="黑体"/>
              <w:szCs w:val="32"/>
            </w:rPr>
            <w:t>附件</w:t>
          </w:r>
          <w:r>
            <w:rPr>
              <w:rFonts w:ascii="黑体" w:hAnsi="黑体" w:eastAsia="黑体"/>
              <w:szCs w:val="32"/>
            </w:rPr>
            <w:t>1</w:t>
          </w:r>
          <w:r>
            <w:tab/>
          </w:r>
          <w:r>
            <w:rPr>
              <w:rFonts w:hint="eastAsia"/>
            </w:rPr>
            <w:t>1</w:t>
          </w:r>
          <w:r>
            <w:rPr>
              <w:rFonts w:hint="eastAsia"/>
            </w:rPr>
            <w:fldChar w:fldCharType="end"/>
          </w:r>
          <w:r>
            <w:rPr>
              <w:rFonts w:hint="eastAsia"/>
            </w:rPr>
            <w:t>9</w:t>
          </w:r>
        </w:p>
        <w:p w14:paraId="196657B0">
          <w:pPr>
            <w:pStyle w:val="12"/>
            <w:tabs>
              <w:tab w:val="right" w:leader="dot" w:pos="8306"/>
              <w:tab w:val="clear" w:pos="8296"/>
            </w:tabs>
          </w:pPr>
          <w:r>
            <w:fldChar w:fldCharType="begin"/>
          </w:r>
          <w:r>
            <w:instrText xml:space="preserve"> HYPERLINK \l "_Toc9673" </w:instrText>
          </w:r>
          <w:r>
            <w:fldChar w:fldCharType="separate"/>
          </w:r>
          <w:r>
            <w:rPr>
              <w:rFonts w:hint="eastAsia" w:ascii="仿宋" w:hAnsi="仿宋" w:eastAsia="仿宋"/>
              <w:szCs w:val="32"/>
            </w:rPr>
            <w:t>附件</w:t>
          </w:r>
          <w:r>
            <w:rPr>
              <w:rFonts w:ascii="仿宋" w:hAnsi="仿宋" w:eastAsia="仿宋"/>
              <w:szCs w:val="32"/>
            </w:rPr>
            <w:t>2</w:t>
          </w:r>
          <w:r>
            <w:tab/>
          </w:r>
          <w:r>
            <w:rPr>
              <w:rFonts w:hint="eastAsia"/>
            </w:rPr>
            <w:t>2</w:t>
          </w:r>
          <w:r>
            <w:rPr>
              <w:rFonts w:hint="eastAsia"/>
            </w:rPr>
            <w:fldChar w:fldCharType="end"/>
          </w:r>
          <w:r>
            <w:rPr>
              <w:rFonts w:hint="eastAsia"/>
            </w:rPr>
            <w:t>1</w:t>
          </w:r>
        </w:p>
        <w:p w14:paraId="2B39CC96">
          <w:pPr>
            <w:pStyle w:val="11"/>
            <w:tabs>
              <w:tab w:val="right" w:leader="dot" w:pos="8306"/>
              <w:tab w:val="clear" w:pos="8296"/>
            </w:tabs>
          </w:pPr>
          <w:r>
            <w:fldChar w:fldCharType="begin"/>
          </w:r>
          <w:r>
            <w:instrText xml:space="preserve"> HYPERLINK \l "_Toc26331" </w:instrText>
          </w:r>
          <w:r>
            <w:fldChar w:fldCharType="separate"/>
          </w:r>
          <w:r>
            <w:rPr>
              <w:rFonts w:hint="eastAsia" w:ascii="黑体" w:hAnsi="黑体" w:eastAsia="黑体"/>
              <w:szCs w:val="44"/>
            </w:rPr>
            <w:t>第</w:t>
          </w:r>
          <w:r>
            <w:rPr>
              <w:rFonts w:hint="eastAsia" w:ascii="黑体" w:hAnsi="黑体" w:eastAsia="黑体"/>
            </w:rPr>
            <w:t>五部分 附表</w:t>
          </w:r>
          <w:r>
            <w:tab/>
          </w:r>
          <w:r>
            <w:rPr>
              <w:rFonts w:hint="eastAsia"/>
            </w:rPr>
            <w:t>2</w:t>
          </w:r>
          <w:r>
            <w:rPr>
              <w:rFonts w:hint="eastAsia"/>
            </w:rPr>
            <w:fldChar w:fldCharType="end"/>
          </w:r>
          <w:r>
            <w:rPr>
              <w:rFonts w:hint="eastAsia"/>
            </w:rPr>
            <w:t>3</w:t>
          </w:r>
        </w:p>
        <w:p w14:paraId="79A95F03">
          <w:pPr>
            <w:pStyle w:val="12"/>
            <w:tabs>
              <w:tab w:val="right" w:leader="dot" w:pos="8306"/>
              <w:tab w:val="clear" w:pos="8296"/>
            </w:tabs>
          </w:pPr>
          <w:r>
            <w:fldChar w:fldCharType="begin"/>
          </w:r>
          <w:r>
            <w:instrText xml:space="preserve"> HYPERLINK \l "_Toc12049" </w:instrText>
          </w:r>
          <w:r>
            <w:fldChar w:fldCharType="separate"/>
          </w:r>
          <w:r>
            <w:rPr>
              <w:rFonts w:hint="eastAsia" w:ascii="仿宋" w:hAnsi="仿宋" w:eastAsia="仿宋"/>
            </w:rPr>
            <w:t>一、收入支出决算总表</w:t>
          </w:r>
          <w:r>
            <w:tab/>
          </w:r>
          <w:r>
            <w:rPr>
              <w:rFonts w:hint="eastAsia"/>
            </w:rPr>
            <w:t>2</w:t>
          </w:r>
          <w:r>
            <w:rPr>
              <w:rFonts w:hint="eastAsia"/>
            </w:rPr>
            <w:fldChar w:fldCharType="end"/>
          </w:r>
          <w:r>
            <w:rPr>
              <w:rFonts w:hint="eastAsia"/>
            </w:rPr>
            <w:t>3</w:t>
          </w:r>
        </w:p>
        <w:p w14:paraId="02FCB44A">
          <w:pPr>
            <w:pStyle w:val="12"/>
            <w:tabs>
              <w:tab w:val="right" w:leader="dot" w:pos="8306"/>
              <w:tab w:val="clear" w:pos="8296"/>
            </w:tabs>
          </w:pPr>
          <w:r>
            <w:fldChar w:fldCharType="begin"/>
          </w:r>
          <w:r>
            <w:instrText xml:space="preserve"> HYPERLINK \l "_Toc26973" </w:instrText>
          </w:r>
          <w:r>
            <w:fldChar w:fldCharType="separate"/>
          </w:r>
          <w:r>
            <w:rPr>
              <w:rFonts w:hint="eastAsia" w:ascii="仿宋" w:hAnsi="仿宋" w:eastAsia="仿宋"/>
            </w:rPr>
            <w:t>二、收入决算表</w:t>
          </w:r>
          <w:r>
            <w:tab/>
          </w:r>
          <w:r>
            <w:rPr>
              <w:rFonts w:hint="eastAsia"/>
            </w:rPr>
            <w:t>2</w:t>
          </w:r>
          <w:r>
            <w:rPr>
              <w:rFonts w:hint="eastAsia"/>
            </w:rPr>
            <w:fldChar w:fldCharType="end"/>
          </w:r>
          <w:r>
            <w:rPr>
              <w:rFonts w:hint="eastAsia"/>
            </w:rPr>
            <w:t>3</w:t>
          </w:r>
        </w:p>
        <w:p w14:paraId="67B1153C">
          <w:pPr>
            <w:pStyle w:val="12"/>
            <w:tabs>
              <w:tab w:val="right" w:leader="dot" w:pos="8306"/>
              <w:tab w:val="clear" w:pos="8296"/>
            </w:tabs>
          </w:pPr>
          <w:r>
            <w:fldChar w:fldCharType="begin"/>
          </w:r>
          <w:r>
            <w:instrText xml:space="preserve"> HYPERLINK \l "_Toc8737" </w:instrText>
          </w:r>
          <w:r>
            <w:fldChar w:fldCharType="separate"/>
          </w:r>
          <w:r>
            <w:rPr>
              <w:rFonts w:hint="eastAsia" w:ascii="仿宋" w:hAnsi="仿宋" w:eastAsia="仿宋"/>
            </w:rPr>
            <w:t>三、支出决算表</w:t>
          </w:r>
          <w:r>
            <w:tab/>
          </w:r>
          <w:r>
            <w:rPr>
              <w:rFonts w:hint="eastAsia"/>
            </w:rPr>
            <w:t>2</w:t>
          </w:r>
          <w:r>
            <w:rPr>
              <w:rFonts w:hint="eastAsia"/>
            </w:rPr>
            <w:fldChar w:fldCharType="end"/>
          </w:r>
          <w:r>
            <w:rPr>
              <w:rFonts w:hint="eastAsia"/>
            </w:rPr>
            <w:t>3</w:t>
          </w:r>
        </w:p>
        <w:p w14:paraId="5A6B44A3">
          <w:pPr>
            <w:pStyle w:val="12"/>
            <w:tabs>
              <w:tab w:val="right" w:leader="dot" w:pos="8306"/>
              <w:tab w:val="clear" w:pos="8296"/>
            </w:tabs>
          </w:pPr>
          <w:r>
            <w:fldChar w:fldCharType="begin"/>
          </w:r>
          <w:r>
            <w:instrText xml:space="preserve"> HYPERLINK \l "_Toc8078" </w:instrText>
          </w:r>
          <w:r>
            <w:fldChar w:fldCharType="separate"/>
          </w:r>
          <w:r>
            <w:rPr>
              <w:rFonts w:hint="eastAsia" w:ascii="仿宋" w:hAnsi="仿宋" w:eastAsia="仿宋"/>
            </w:rPr>
            <w:t>四、财政拨款收入支出决算总表</w:t>
          </w:r>
          <w:r>
            <w:tab/>
          </w:r>
          <w:r>
            <w:rPr>
              <w:rFonts w:hint="eastAsia"/>
            </w:rPr>
            <w:t>2</w:t>
          </w:r>
          <w:r>
            <w:rPr>
              <w:rFonts w:hint="eastAsia"/>
            </w:rPr>
            <w:fldChar w:fldCharType="end"/>
          </w:r>
          <w:r>
            <w:rPr>
              <w:rFonts w:hint="eastAsia"/>
            </w:rPr>
            <w:t>3</w:t>
          </w:r>
        </w:p>
        <w:p w14:paraId="19DB10B3">
          <w:pPr>
            <w:pStyle w:val="12"/>
            <w:tabs>
              <w:tab w:val="right" w:leader="dot" w:pos="8306"/>
              <w:tab w:val="clear" w:pos="8296"/>
            </w:tabs>
          </w:pPr>
          <w:r>
            <w:fldChar w:fldCharType="begin"/>
          </w:r>
          <w:r>
            <w:instrText xml:space="preserve"> HYPERLINK \l "_Toc21518" </w:instrText>
          </w:r>
          <w:r>
            <w:fldChar w:fldCharType="separate"/>
          </w:r>
          <w:r>
            <w:rPr>
              <w:rFonts w:hint="eastAsia" w:ascii="仿宋" w:hAnsi="仿宋" w:eastAsia="仿宋"/>
            </w:rPr>
            <w:t>五、财政拨款支出决算明细表</w:t>
          </w:r>
          <w:r>
            <w:tab/>
          </w:r>
          <w:r>
            <w:rPr>
              <w:rFonts w:hint="eastAsia"/>
            </w:rPr>
            <w:t>2</w:t>
          </w:r>
          <w:r>
            <w:rPr>
              <w:rFonts w:hint="eastAsia"/>
            </w:rPr>
            <w:fldChar w:fldCharType="end"/>
          </w:r>
          <w:r>
            <w:rPr>
              <w:rFonts w:hint="eastAsia"/>
            </w:rPr>
            <w:t>3</w:t>
          </w:r>
        </w:p>
        <w:p w14:paraId="45373902">
          <w:pPr>
            <w:pStyle w:val="12"/>
            <w:tabs>
              <w:tab w:val="right" w:leader="dot" w:pos="8306"/>
              <w:tab w:val="clear" w:pos="8296"/>
            </w:tabs>
          </w:pPr>
          <w:r>
            <w:fldChar w:fldCharType="begin"/>
          </w:r>
          <w:r>
            <w:instrText xml:space="preserve"> HYPERLINK \l "_Toc1128" </w:instrText>
          </w:r>
          <w:r>
            <w:fldChar w:fldCharType="separate"/>
          </w:r>
          <w:r>
            <w:rPr>
              <w:rFonts w:hint="eastAsia" w:ascii="仿宋" w:hAnsi="仿宋" w:eastAsia="仿宋"/>
            </w:rPr>
            <w:t>六、一般公共预算财政拨款支出决算表</w:t>
          </w:r>
          <w:r>
            <w:tab/>
          </w:r>
          <w:r>
            <w:rPr>
              <w:rFonts w:hint="eastAsia"/>
            </w:rPr>
            <w:t>2</w:t>
          </w:r>
          <w:r>
            <w:rPr>
              <w:rFonts w:hint="eastAsia"/>
            </w:rPr>
            <w:fldChar w:fldCharType="end"/>
          </w:r>
          <w:r>
            <w:rPr>
              <w:rFonts w:hint="eastAsia"/>
            </w:rPr>
            <w:t>3</w:t>
          </w:r>
        </w:p>
        <w:p w14:paraId="3F654653">
          <w:pPr>
            <w:pStyle w:val="12"/>
            <w:tabs>
              <w:tab w:val="right" w:leader="dot" w:pos="8306"/>
              <w:tab w:val="clear" w:pos="8296"/>
            </w:tabs>
          </w:pPr>
          <w:r>
            <w:fldChar w:fldCharType="begin"/>
          </w:r>
          <w:r>
            <w:instrText xml:space="preserve"> HYPERLINK \l "_Toc19772" </w:instrText>
          </w:r>
          <w:r>
            <w:fldChar w:fldCharType="separate"/>
          </w:r>
          <w:r>
            <w:rPr>
              <w:rFonts w:hint="eastAsia" w:ascii="仿宋" w:hAnsi="仿宋" w:eastAsia="仿宋"/>
            </w:rPr>
            <w:t>七、一般公共预算财政拨款支出决算明细表</w:t>
          </w:r>
          <w:r>
            <w:tab/>
          </w:r>
          <w:r>
            <w:rPr>
              <w:rFonts w:hint="eastAsia"/>
            </w:rPr>
            <w:t>2</w:t>
          </w:r>
          <w:r>
            <w:rPr>
              <w:rFonts w:hint="eastAsia"/>
            </w:rPr>
            <w:fldChar w:fldCharType="end"/>
          </w:r>
          <w:r>
            <w:rPr>
              <w:rFonts w:hint="eastAsia"/>
            </w:rPr>
            <w:t>3</w:t>
          </w:r>
        </w:p>
        <w:p w14:paraId="592C5C68">
          <w:pPr>
            <w:pStyle w:val="12"/>
            <w:tabs>
              <w:tab w:val="right" w:leader="dot" w:pos="8306"/>
              <w:tab w:val="clear" w:pos="8296"/>
            </w:tabs>
          </w:pPr>
          <w:r>
            <w:fldChar w:fldCharType="begin"/>
          </w:r>
          <w:r>
            <w:instrText xml:space="preserve"> HYPERLINK \l "_Toc23242" </w:instrText>
          </w:r>
          <w:r>
            <w:fldChar w:fldCharType="separate"/>
          </w:r>
          <w:r>
            <w:rPr>
              <w:rFonts w:hint="eastAsia" w:ascii="仿宋" w:hAnsi="仿宋" w:eastAsia="仿宋"/>
            </w:rPr>
            <w:t>八、一般公共预算财政拨款基本支出决算表</w:t>
          </w:r>
          <w:r>
            <w:tab/>
          </w:r>
          <w:r>
            <w:rPr>
              <w:rFonts w:hint="eastAsia"/>
            </w:rPr>
            <w:t>2</w:t>
          </w:r>
          <w:r>
            <w:rPr>
              <w:rFonts w:hint="eastAsia"/>
            </w:rPr>
            <w:fldChar w:fldCharType="end"/>
          </w:r>
          <w:r>
            <w:rPr>
              <w:rFonts w:hint="eastAsia"/>
            </w:rPr>
            <w:t>3</w:t>
          </w:r>
        </w:p>
        <w:p w14:paraId="6EFA890B">
          <w:pPr>
            <w:pStyle w:val="12"/>
            <w:tabs>
              <w:tab w:val="right" w:leader="dot" w:pos="8306"/>
              <w:tab w:val="clear" w:pos="8296"/>
            </w:tabs>
          </w:pPr>
          <w:r>
            <w:fldChar w:fldCharType="begin"/>
          </w:r>
          <w:r>
            <w:instrText xml:space="preserve"> HYPERLINK \l "_Toc22766" </w:instrText>
          </w:r>
          <w:r>
            <w:fldChar w:fldCharType="separate"/>
          </w:r>
          <w:r>
            <w:rPr>
              <w:rFonts w:hint="eastAsia" w:ascii="仿宋" w:hAnsi="仿宋" w:eastAsia="仿宋"/>
            </w:rPr>
            <w:t>九、一般公共预算财政拨款项目支出决算表</w:t>
          </w:r>
          <w:r>
            <w:tab/>
          </w:r>
          <w:r>
            <w:rPr>
              <w:rFonts w:hint="eastAsia"/>
            </w:rPr>
            <w:t>2</w:t>
          </w:r>
          <w:r>
            <w:rPr>
              <w:rFonts w:hint="eastAsia"/>
            </w:rPr>
            <w:fldChar w:fldCharType="end"/>
          </w:r>
          <w:r>
            <w:rPr>
              <w:rFonts w:hint="eastAsia"/>
            </w:rPr>
            <w:t>3</w:t>
          </w:r>
        </w:p>
        <w:p w14:paraId="2984350E">
          <w:pPr>
            <w:pStyle w:val="12"/>
            <w:tabs>
              <w:tab w:val="right" w:leader="dot" w:pos="8306"/>
              <w:tab w:val="clear" w:pos="8296"/>
            </w:tabs>
          </w:pPr>
          <w:r>
            <w:fldChar w:fldCharType="begin"/>
          </w:r>
          <w:r>
            <w:instrText xml:space="preserve"> HYPERLINK \l "_Toc3398" </w:instrText>
          </w:r>
          <w:r>
            <w:fldChar w:fldCharType="separate"/>
          </w:r>
          <w:r>
            <w:rPr>
              <w:rFonts w:hint="eastAsia" w:ascii="仿宋" w:hAnsi="仿宋" w:eastAsia="仿宋"/>
            </w:rPr>
            <w:t>十、一般公共预算财政拨款“三公”经费支出决算表</w:t>
          </w:r>
          <w:r>
            <w:tab/>
          </w:r>
          <w:r>
            <w:rPr>
              <w:rFonts w:hint="eastAsia"/>
            </w:rPr>
            <w:t>2</w:t>
          </w:r>
          <w:r>
            <w:rPr>
              <w:rFonts w:hint="eastAsia"/>
            </w:rPr>
            <w:fldChar w:fldCharType="end"/>
          </w:r>
          <w:r>
            <w:rPr>
              <w:rFonts w:hint="eastAsia"/>
            </w:rPr>
            <w:t>3</w:t>
          </w:r>
        </w:p>
        <w:p w14:paraId="0E206988">
          <w:pPr>
            <w:pStyle w:val="12"/>
            <w:tabs>
              <w:tab w:val="right" w:leader="dot" w:pos="8306"/>
              <w:tab w:val="clear" w:pos="8296"/>
            </w:tabs>
          </w:pPr>
          <w:r>
            <w:fldChar w:fldCharType="begin"/>
          </w:r>
          <w:r>
            <w:instrText xml:space="preserve"> HYPERLINK \l "_Toc14950" </w:instrText>
          </w:r>
          <w:r>
            <w:fldChar w:fldCharType="separate"/>
          </w:r>
          <w:r>
            <w:rPr>
              <w:rFonts w:hint="eastAsia" w:ascii="仿宋" w:hAnsi="仿宋" w:eastAsia="仿宋"/>
            </w:rPr>
            <w:t>十一、政府性基金预算财政拨款收入支出决算表</w:t>
          </w:r>
          <w:r>
            <w:tab/>
          </w:r>
          <w:r>
            <w:rPr>
              <w:rFonts w:hint="eastAsia"/>
            </w:rPr>
            <w:t>2</w:t>
          </w:r>
          <w:r>
            <w:rPr>
              <w:rFonts w:hint="eastAsia"/>
            </w:rPr>
            <w:fldChar w:fldCharType="end"/>
          </w:r>
          <w:r>
            <w:rPr>
              <w:rFonts w:hint="eastAsia"/>
            </w:rPr>
            <w:t>3</w:t>
          </w:r>
        </w:p>
        <w:p w14:paraId="5C3A6986">
          <w:pPr>
            <w:pStyle w:val="12"/>
            <w:tabs>
              <w:tab w:val="right" w:leader="dot" w:pos="8306"/>
              <w:tab w:val="clear" w:pos="8296"/>
            </w:tabs>
          </w:pPr>
          <w:r>
            <w:fldChar w:fldCharType="begin"/>
          </w:r>
          <w:r>
            <w:instrText xml:space="preserve"> HYPERLINK \l "_Toc4415" </w:instrText>
          </w:r>
          <w:r>
            <w:fldChar w:fldCharType="separate"/>
          </w:r>
          <w:r>
            <w:rPr>
              <w:rFonts w:hint="eastAsia" w:ascii="仿宋" w:hAnsi="仿宋" w:eastAsia="仿宋"/>
            </w:rPr>
            <w:t>十二、政府性基金预算财政拨款“三公”经费支出决算表</w:t>
          </w:r>
          <w:r>
            <w:tab/>
          </w:r>
          <w:r>
            <w:rPr>
              <w:rFonts w:hint="eastAsia"/>
            </w:rPr>
            <w:t>2</w:t>
          </w:r>
          <w:r>
            <w:rPr>
              <w:rFonts w:hint="eastAsia"/>
            </w:rPr>
            <w:fldChar w:fldCharType="end"/>
          </w:r>
          <w:r>
            <w:rPr>
              <w:rFonts w:hint="eastAsia"/>
            </w:rPr>
            <w:t>3</w:t>
          </w:r>
        </w:p>
        <w:p w14:paraId="4B67FFF5">
          <w:pPr>
            <w:pStyle w:val="12"/>
            <w:tabs>
              <w:tab w:val="right" w:leader="dot" w:pos="8306"/>
              <w:tab w:val="clear" w:pos="8296"/>
            </w:tabs>
          </w:pPr>
          <w:r>
            <w:fldChar w:fldCharType="begin"/>
          </w:r>
          <w:r>
            <w:instrText xml:space="preserve"> HYPERLINK \l "_Toc31736" </w:instrText>
          </w:r>
          <w:r>
            <w:fldChar w:fldCharType="separate"/>
          </w:r>
          <w:r>
            <w:rPr>
              <w:rFonts w:hint="eastAsia" w:ascii="仿宋" w:hAnsi="仿宋" w:eastAsia="仿宋"/>
            </w:rPr>
            <w:t>十三</w:t>
          </w:r>
          <w:r>
            <w:rPr>
              <w:rFonts w:hint="eastAsia"/>
            </w:rPr>
            <w:t>、国</w:t>
          </w:r>
          <w:r>
            <w:rPr>
              <w:rFonts w:hint="eastAsia" w:ascii="仿宋" w:hAnsi="仿宋" w:eastAsia="仿宋"/>
            </w:rPr>
            <w:t>有资本经营预算财政拨款收入支出决算表</w:t>
          </w:r>
          <w:r>
            <w:tab/>
          </w:r>
          <w:r>
            <w:rPr>
              <w:rFonts w:hint="eastAsia"/>
            </w:rPr>
            <w:t>2</w:t>
          </w:r>
          <w:r>
            <w:rPr>
              <w:rFonts w:hint="eastAsia"/>
            </w:rPr>
            <w:fldChar w:fldCharType="end"/>
          </w:r>
          <w:r>
            <w:rPr>
              <w:rFonts w:hint="eastAsia"/>
            </w:rPr>
            <w:t>3</w:t>
          </w:r>
        </w:p>
        <w:p w14:paraId="792AC2E8">
          <w:pPr>
            <w:pStyle w:val="12"/>
            <w:tabs>
              <w:tab w:val="right" w:leader="dot" w:pos="8306"/>
              <w:tab w:val="clear" w:pos="8296"/>
            </w:tabs>
          </w:pPr>
          <w:r>
            <w:rPr>
              <w:rFonts w:hint="eastAsia"/>
            </w:rPr>
            <w:t>十四、国有资本经营预算财政拨款支出决算表</w:t>
          </w:r>
          <w:r>
            <w:tab/>
          </w:r>
          <w:r>
            <w:rPr>
              <w:rFonts w:hint="eastAsia"/>
            </w:rPr>
            <w:t>23</w:t>
          </w:r>
        </w:p>
        <w:p w14:paraId="26CE144D">
          <w:pPr>
            <w:pStyle w:val="31"/>
            <w:widowControl/>
            <w:spacing w:before="0" w:line="240" w:lineRule="auto"/>
            <w:jc w:val="center"/>
            <w:rPr>
              <w:b w:val="0"/>
              <w:bCs w:val="0"/>
              <w:kern w:val="2"/>
              <w:sz w:val="28"/>
              <w:szCs w:val="28"/>
            </w:rPr>
          </w:pPr>
          <w:r>
            <w:rPr>
              <w:sz w:val="28"/>
              <w:szCs w:val="28"/>
            </w:rPr>
            <w:fldChar w:fldCharType="end"/>
          </w:r>
        </w:p>
      </w:sdtContent>
    </w:sdt>
    <w:p w14:paraId="33AA2739">
      <w:pPr>
        <w:rPr>
          <w:sz w:val="28"/>
          <w:szCs w:val="28"/>
        </w:rPr>
      </w:pPr>
    </w:p>
    <w:p w14:paraId="5E263185">
      <w:pPr>
        <w:rPr>
          <w:sz w:val="28"/>
          <w:szCs w:val="28"/>
        </w:rPr>
      </w:pPr>
    </w:p>
    <w:p w14:paraId="7AF6DEC1">
      <w:pPr>
        <w:rPr>
          <w:sz w:val="28"/>
          <w:szCs w:val="28"/>
        </w:rPr>
      </w:pPr>
    </w:p>
    <w:p w14:paraId="58664D0F">
      <w:pPr>
        <w:rPr>
          <w:sz w:val="28"/>
          <w:szCs w:val="28"/>
        </w:rPr>
      </w:pPr>
    </w:p>
    <w:p w14:paraId="0B51A44D">
      <w:pPr>
        <w:rPr>
          <w:sz w:val="28"/>
          <w:szCs w:val="28"/>
        </w:rPr>
      </w:pPr>
    </w:p>
    <w:p w14:paraId="746897EB">
      <w:pPr>
        <w:pStyle w:val="31"/>
        <w:widowControl/>
        <w:spacing w:before="0" w:line="240" w:lineRule="auto"/>
        <w:jc w:val="center"/>
        <w:rPr>
          <w:rStyle w:val="18"/>
          <w:rFonts w:ascii="黑体" w:hAnsi="黑体" w:eastAsia="黑体"/>
          <w:b w:val="0"/>
          <w:bCs w:val="0"/>
        </w:rPr>
      </w:pPr>
      <w:r>
        <w:rPr>
          <w:rFonts w:hint="eastAsia" w:ascii="黑体" w:hAnsi="黑体" w:eastAsia="黑体"/>
          <w:b w:val="0"/>
        </w:rPr>
        <w:t>第一部分</w:t>
      </w:r>
      <w:r>
        <w:rPr>
          <w:rStyle w:val="18"/>
          <w:rFonts w:hint="eastAsia" w:ascii="黑体" w:hAnsi="黑体" w:eastAsia="黑体"/>
          <w:b w:val="0"/>
          <w:bCs w:val="0"/>
        </w:rPr>
        <w:t>单位概况</w:t>
      </w:r>
    </w:p>
    <w:p w14:paraId="013DEB91"/>
    <w:p w14:paraId="1081FE1F">
      <w:pPr>
        <w:pStyle w:val="3"/>
        <w:spacing w:line="540" w:lineRule="exact"/>
        <w:ind w:firstLine="643" w:firstLineChars="200"/>
        <w:rPr>
          <w:rFonts w:ascii="方正宋黑_GBK" w:hAnsi="方正宋黑_GBK" w:eastAsia="方正宋黑_GBK" w:cs="方正宋黑_GBK"/>
        </w:rPr>
      </w:pPr>
      <w:bookmarkStart w:id="15" w:name="_Toc15396600"/>
      <w:bookmarkStart w:id="16" w:name="_Toc15377197"/>
      <w:bookmarkStart w:id="17" w:name="_Toc22593"/>
      <w:r>
        <w:rPr>
          <w:rFonts w:hint="eastAsia" w:ascii="方正宋黑_GBK" w:hAnsi="方正宋黑_GBK" w:eastAsia="方正宋黑_GBK" w:cs="方正宋黑_GBK"/>
        </w:rPr>
        <w:t>一、基本职能</w:t>
      </w:r>
      <w:bookmarkEnd w:id="15"/>
      <w:bookmarkEnd w:id="16"/>
      <w:bookmarkEnd w:id="17"/>
    </w:p>
    <w:p w14:paraId="383D7371">
      <w:pPr>
        <w:spacing w:line="54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盐边县人民医院是盐边县域内医疗卫生中心和农村三级医疗卫生服务龙头，与市级医院分工协作，主要为县域居民提供基本医疗服务，包括运用适宜医疗技术和药物，开展常见病、多发病诊疗，危急重症病人救治，重大疑难疾病接治转诊；推广应用适宜医疗技术，为农村基层医疗卫生机构人员提供培训和技术指导；承担部分公共卫生服务，以及自然灾害和突发事件医疗救治等工作。医院以病人为中心，加强内部管理，不断完善功能，提高技术水平和服务质量满足人民群众日益增长的医疗服务需求，实现小病不出乡大病不出县，切实解决群众看病难看病贵问题。</w:t>
      </w:r>
    </w:p>
    <w:p w14:paraId="427C84CD">
      <w:pPr>
        <w:spacing w:line="54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二、机构设置情况</w:t>
      </w:r>
    </w:p>
    <w:p w14:paraId="6E0B0629">
      <w:pPr>
        <w:spacing w:line="540" w:lineRule="exact"/>
        <w:ind w:firstLine="640" w:firstLineChars="200"/>
        <w:contextualSpacing/>
        <w:jc w:val="left"/>
        <w:rPr>
          <w:rFonts w:ascii="仿宋" w:hAnsi="仿宋" w:eastAsia="仿宋"/>
          <w:color w:val="000000"/>
          <w:sz w:val="32"/>
          <w:szCs w:val="32"/>
        </w:rPr>
      </w:pPr>
      <w:r>
        <w:rPr>
          <w:rFonts w:hint="eastAsia" w:ascii="仿宋" w:hAnsi="仿宋" w:eastAsia="仿宋"/>
          <w:color w:val="000000"/>
          <w:sz w:val="32"/>
          <w:szCs w:val="32"/>
        </w:rPr>
        <w:t>盐边县人民医院下属非独立核算单位0个，其中行政单位0个，参照公务员法管理的事业单位0个，其他事业单位0个。</w:t>
      </w:r>
    </w:p>
    <w:p w14:paraId="3626C546">
      <w:pPr>
        <w:pStyle w:val="3"/>
        <w:spacing w:line="540" w:lineRule="exact"/>
        <w:ind w:firstLine="643" w:firstLineChars="200"/>
        <w:rPr>
          <w:rFonts w:ascii="方正宋黑_GBK" w:hAnsi="方正宋黑_GBK" w:eastAsia="方正宋黑_GBK" w:cs="方正宋黑_GBK"/>
        </w:rPr>
      </w:pPr>
      <w:bookmarkStart w:id="18" w:name="_Toc15377199"/>
      <w:bookmarkStart w:id="19" w:name="_Toc15378446"/>
      <w:r>
        <w:rPr>
          <w:rFonts w:hint="eastAsia" w:ascii="方正宋黑_GBK" w:hAnsi="方正宋黑_GBK" w:eastAsia="方正宋黑_GBK" w:cs="方正宋黑_GBK"/>
        </w:rPr>
        <w:t>三、2021年重点工作完成情况</w:t>
      </w:r>
      <w:bookmarkEnd w:id="18"/>
      <w:bookmarkEnd w:id="19"/>
      <w:bookmarkStart w:id="20" w:name="_Toc15377200"/>
      <w:bookmarkStart w:id="21" w:name="_Toc15396601"/>
    </w:p>
    <w:p w14:paraId="24DFB514">
      <w:pPr>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1.</w:t>
      </w:r>
      <w:r>
        <w:rPr>
          <w:rFonts w:hint="eastAsia" w:ascii="仿宋" w:hAnsi="仿宋" w:eastAsia="仿宋"/>
          <w:color w:val="000000"/>
          <w:sz w:val="32"/>
          <w:szCs w:val="32"/>
        </w:rPr>
        <w:t>严格落实党建、党风廉政、意识形态工作，全力发挥党组织的战斗堡垒作用。规范理论学习，筑牢思想根基。一是</w:t>
      </w:r>
      <w:r>
        <w:rPr>
          <w:rFonts w:ascii="仿宋" w:hAnsi="仿宋" w:eastAsia="仿宋"/>
          <w:color w:val="000000"/>
          <w:sz w:val="32"/>
          <w:szCs w:val="32"/>
        </w:rPr>
        <w:t>加强对党忠诚教育，</w:t>
      </w:r>
      <w:r>
        <w:rPr>
          <w:rFonts w:hint="eastAsia" w:ascii="仿宋" w:hAnsi="仿宋" w:eastAsia="仿宋"/>
          <w:color w:val="000000"/>
          <w:sz w:val="32"/>
          <w:szCs w:val="32"/>
        </w:rPr>
        <w:t>二是认真落实</w:t>
      </w:r>
      <w:bookmarkStart w:id="101" w:name="_GoBack"/>
      <w:bookmarkEnd w:id="101"/>
      <w:r>
        <w:rPr>
          <w:rFonts w:hint="eastAsia" w:ascii="仿宋" w:hAnsi="仿宋" w:eastAsia="仿宋"/>
          <w:color w:val="000000"/>
          <w:sz w:val="32"/>
          <w:szCs w:val="32"/>
          <w:lang w:eastAsia="zh-CN"/>
        </w:rPr>
        <w:t>“三会一课”制度。</w:t>
      </w:r>
      <w:r>
        <w:rPr>
          <w:rFonts w:hint="eastAsia" w:ascii="仿宋" w:hAnsi="仿宋" w:eastAsia="仿宋"/>
          <w:color w:val="000000"/>
          <w:sz w:val="32"/>
          <w:szCs w:val="32"/>
        </w:rPr>
        <w:t>三是积极开展民主评议党员、党员承诺践诺活动。持续</w:t>
      </w:r>
      <w:r>
        <w:rPr>
          <w:rFonts w:ascii="仿宋" w:hAnsi="仿宋" w:eastAsia="仿宋"/>
          <w:color w:val="000000"/>
          <w:sz w:val="32"/>
          <w:szCs w:val="32"/>
        </w:rPr>
        <w:t>推进党风廉政建设和反腐败工作</w:t>
      </w:r>
      <w:r>
        <w:rPr>
          <w:rFonts w:hint="eastAsia" w:ascii="仿宋" w:hAnsi="仿宋" w:eastAsia="仿宋"/>
          <w:color w:val="000000"/>
          <w:sz w:val="32"/>
          <w:szCs w:val="32"/>
        </w:rPr>
        <w:t>。扎实推进意识形态工作，充分发挥宣传阵地作用。精心组织开展庆祝建党 100 周年系列活动。持续推进巡察（查）整改工作。</w:t>
      </w:r>
    </w:p>
    <w:p w14:paraId="2CB416D5">
      <w:pPr>
        <w:ind w:firstLine="636"/>
        <w:rPr>
          <w:rFonts w:ascii="仿宋" w:hAnsi="仿宋" w:eastAsia="仿宋"/>
          <w:color w:val="000000"/>
          <w:sz w:val="32"/>
          <w:szCs w:val="32"/>
        </w:rPr>
      </w:pPr>
      <w:r>
        <w:rPr>
          <w:rFonts w:hint="eastAsia" w:ascii="仿宋" w:hAnsi="仿宋" w:eastAsia="仿宋"/>
          <w:color w:val="000000"/>
          <w:sz w:val="32"/>
          <w:szCs w:val="32"/>
          <w:lang w:eastAsia="zh-CN"/>
        </w:rPr>
        <w:t>2.</w:t>
      </w:r>
      <w:r>
        <w:rPr>
          <w:rFonts w:hint="eastAsia" w:ascii="仿宋" w:hAnsi="仿宋" w:eastAsia="仿宋"/>
          <w:color w:val="000000"/>
          <w:sz w:val="32"/>
          <w:szCs w:val="32"/>
        </w:rPr>
        <w:t>积极开展疫情防控工作。全院干部职工统一思想，提高认识，将新冠肺炎疫情防控作为首要任务来抓。</w:t>
      </w:r>
    </w:p>
    <w:p w14:paraId="5F1BC69D">
      <w:pPr>
        <w:ind w:firstLine="624"/>
        <w:rPr>
          <w:rFonts w:ascii="仿宋" w:hAnsi="仿宋" w:eastAsia="仿宋"/>
          <w:color w:val="000000"/>
          <w:sz w:val="32"/>
          <w:szCs w:val="32"/>
        </w:rPr>
      </w:pPr>
      <w:r>
        <w:rPr>
          <w:rFonts w:hint="eastAsia" w:ascii="仿宋" w:hAnsi="仿宋" w:eastAsia="仿宋"/>
          <w:color w:val="000000"/>
          <w:sz w:val="32"/>
          <w:szCs w:val="32"/>
          <w:lang w:eastAsia="zh-CN"/>
        </w:rPr>
        <w:t>3.</w:t>
      </w:r>
      <w:r>
        <w:rPr>
          <w:rFonts w:hint="eastAsia" w:ascii="仿宋" w:hAnsi="仿宋" w:eastAsia="仿宋"/>
          <w:color w:val="000000"/>
          <w:sz w:val="32"/>
          <w:szCs w:val="32"/>
        </w:rPr>
        <w:t>加强医联体和医共体建设工作，发挥好县域医疗龙头带动作用</w:t>
      </w:r>
    </w:p>
    <w:p w14:paraId="3F94AC73">
      <w:pPr>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4.</w:t>
      </w:r>
      <w:r>
        <w:rPr>
          <w:rFonts w:hint="eastAsia" w:ascii="仿宋" w:hAnsi="仿宋" w:eastAsia="仿宋"/>
          <w:color w:val="000000"/>
          <w:sz w:val="32"/>
          <w:szCs w:val="32"/>
        </w:rPr>
        <w:t>业务工作有序推进。全年在严格落实疫情常态化防控措施情况下较好地完成了上级下达的各项公益性任务。</w:t>
      </w:r>
    </w:p>
    <w:p w14:paraId="2789E0AC">
      <w:pPr>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5.</w:t>
      </w:r>
      <w:r>
        <w:rPr>
          <w:rFonts w:hint="eastAsia" w:ascii="仿宋" w:hAnsi="仿宋" w:eastAsia="仿宋"/>
          <w:color w:val="000000"/>
          <w:sz w:val="32"/>
          <w:szCs w:val="32"/>
        </w:rPr>
        <w:t>加大项目谋划推进，提升医院硬实力。立足医院短板，结合新冠肺炎疫情防控要求，统筹推进硬件基础设施建设。</w:t>
      </w:r>
    </w:p>
    <w:p w14:paraId="2B38F367">
      <w:pPr>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6.</w:t>
      </w:r>
      <w:r>
        <w:rPr>
          <w:rFonts w:hint="eastAsia" w:ascii="仿宋" w:hAnsi="仿宋" w:eastAsia="仿宋"/>
          <w:color w:val="000000"/>
          <w:sz w:val="32"/>
          <w:szCs w:val="32"/>
        </w:rPr>
        <w:t>认真落实上级管理要求。强化医疗</w:t>
      </w:r>
      <w:r>
        <w:rPr>
          <w:rFonts w:hint="eastAsia" w:ascii="仿宋" w:hAnsi="仿宋" w:eastAsia="仿宋"/>
          <w:color w:val="000000"/>
          <w:sz w:val="32"/>
          <w:szCs w:val="32"/>
          <w:lang w:eastAsia="zh-CN"/>
        </w:rPr>
        <w:t>技术</w:t>
      </w:r>
      <w:r>
        <w:rPr>
          <w:rFonts w:hint="eastAsia" w:ascii="仿宋" w:hAnsi="仿宋" w:eastAsia="仿宋"/>
          <w:color w:val="000000"/>
          <w:sz w:val="32"/>
          <w:szCs w:val="32"/>
        </w:rPr>
        <w:t>管理。结合医院医德医风管理，继续开展“三好一满意”工作，强化了“进一步改善医疗服务行动”活动。严格执行医德医风奖惩制度，通过激励机制进一步改善全院医疗服务。强化了分级诊疗的管理工作。</w:t>
      </w:r>
    </w:p>
    <w:p w14:paraId="0E76E1E7">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7.</w:t>
      </w:r>
      <w:r>
        <w:rPr>
          <w:rFonts w:hint="eastAsia" w:ascii="仿宋" w:hAnsi="仿宋" w:eastAsia="仿宋"/>
          <w:color w:val="000000"/>
          <w:sz w:val="32"/>
          <w:szCs w:val="32"/>
        </w:rPr>
        <w:t>强化医院质量管理，推进内涵建设。狠抓医疗质量管理，确保医疗安全。加强医疗质量追踪、特殊</w:t>
      </w:r>
      <w:r>
        <w:rPr>
          <w:rFonts w:hint="eastAsia" w:ascii="仿宋" w:hAnsi="仿宋" w:eastAsia="仿宋"/>
          <w:color w:val="000000"/>
          <w:sz w:val="32"/>
          <w:szCs w:val="32"/>
          <w:lang w:eastAsia="zh-CN"/>
        </w:rPr>
        <w:t>病例</w:t>
      </w:r>
      <w:r>
        <w:rPr>
          <w:rFonts w:hint="eastAsia" w:ascii="仿宋" w:hAnsi="仿宋" w:eastAsia="仿宋"/>
          <w:color w:val="000000"/>
          <w:sz w:val="32"/>
          <w:szCs w:val="32"/>
        </w:rPr>
        <w:t>讨论、多科室会诊、多部门协调抢救等工作。强化病历质控。加强临床路径及单病种质量控制。加强了医疗</w:t>
      </w:r>
      <w:r>
        <w:rPr>
          <w:rFonts w:hint="eastAsia" w:ascii="仿宋" w:hAnsi="仿宋" w:eastAsia="仿宋"/>
          <w:color w:val="000000"/>
          <w:sz w:val="32"/>
          <w:szCs w:val="32"/>
          <w:lang w:eastAsia="zh-CN"/>
        </w:rPr>
        <w:t>安全</w:t>
      </w:r>
      <w:r>
        <w:rPr>
          <w:rFonts w:hint="eastAsia" w:ascii="仿宋" w:hAnsi="仿宋" w:eastAsia="仿宋"/>
          <w:color w:val="000000"/>
          <w:sz w:val="32"/>
          <w:szCs w:val="32"/>
        </w:rPr>
        <w:t>管理。</w:t>
      </w:r>
    </w:p>
    <w:p w14:paraId="07DEEDAD">
      <w:pPr>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8.</w:t>
      </w:r>
      <w:r>
        <w:rPr>
          <w:rFonts w:hint="eastAsia" w:ascii="仿宋" w:hAnsi="仿宋" w:eastAsia="仿宋"/>
          <w:color w:val="000000"/>
          <w:sz w:val="32"/>
          <w:szCs w:val="32"/>
        </w:rPr>
        <w:t>提高护理质量，增强服务能力，改善服务态度。加强护理质量安全管理。严格三级护理质控管理。细化查房，提高质量。例会分析，有效整改。改进服务环境，改善服务态度，切实做到以病人为中心。强化护理继教培训。重视护理文化建设、打造团队核心竞争力</w:t>
      </w:r>
    </w:p>
    <w:p w14:paraId="217CB465">
      <w:pPr>
        <w:rPr>
          <w:rFonts w:ascii="仿宋" w:hAnsi="仿宋" w:eastAsia="仿宋"/>
          <w:color w:val="000000"/>
          <w:sz w:val="32"/>
          <w:szCs w:val="32"/>
        </w:rPr>
      </w:pPr>
      <w:r>
        <w:rPr>
          <w:rFonts w:hint="eastAsia" w:ascii="仿宋" w:hAnsi="仿宋" w:eastAsia="仿宋"/>
          <w:color w:val="000000"/>
          <w:sz w:val="32"/>
          <w:szCs w:val="32"/>
          <w:lang w:eastAsia="zh-CN"/>
        </w:rPr>
        <w:t>9.</w:t>
      </w:r>
      <w:r>
        <w:rPr>
          <w:rFonts w:hint="eastAsia" w:ascii="仿宋" w:hAnsi="仿宋" w:eastAsia="仿宋"/>
          <w:color w:val="000000"/>
          <w:sz w:val="32"/>
          <w:szCs w:val="32"/>
        </w:rPr>
        <w:t>规范院感管理</w:t>
      </w:r>
    </w:p>
    <w:p w14:paraId="0CC4C210">
      <w:pPr>
        <w:rPr>
          <w:rFonts w:ascii="宋体" w:hAnsi="宋体" w:eastAsia="仿宋_GB2312" w:cs="宋体"/>
          <w:kern w:val="0"/>
          <w:sz w:val="32"/>
          <w:szCs w:val="32"/>
        </w:rPr>
      </w:pPr>
      <w:r>
        <w:rPr>
          <w:rFonts w:hint="eastAsia" w:ascii="仿宋" w:hAnsi="仿宋" w:eastAsia="仿宋"/>
          <w:color w:val="000000"/>
          <w:sz w:val="32"/>
          <w:szCs w:val="32"/>
          <w:lang w:eastAsia="zh-CN"/>
        </w:rPr>
        <w:t>10.</w:t>
      </w:r>
      <w:r>
        <w:rPr>
          <w:rFonts w:hint="eastAsia" w:ascii="仿宋" w:hAnsi="仿宋" w:eastAsia="仿宋"/>
          <w:color w:val="000000"/>
          <w:sz w:val="32"/>
          <w:szCs w:val="32"/>
        </w:rPr>
        <w:t>公共卫生及妇幼保健管理工作。</w:t>
      </w:r>
    </w:p>
    <w:bookmarkEnd w:id="20"/>
    <w:bookmarkEnd w:id="21"/>
    <w:p w14:paraId="11CA0DF2">
      <w:pPr>
        <w:pStyle w:val="2"/>
        <w:ind w:right="440"/>
        <w:rPr>
          <w:rFonts w:ascii="黑体" w:hAnsi="黑体" w:eastAsia="黑体"/>
          <w:b w:val="0"/>
          <w:bCs w:val="0"/>
        </w:rPr>
      </w:pPr>
      <w:bookmarkStart w:id="22" w:name="_Toc15396602"/>
      <w:bookmarkStart w:id="23" w:name="_Toc15377204"/>
      <w:bookmarkStart w:id="24" w:name="_Toc14968"/>
      <w:r>
        <w:rPr>
          <w:rFonts w:hint="eastAsia" w:ascii="黑体" w:hAnsi="黑体" w:eastAsia="黑体"/>
          <w:b w:val="0"/>
          <w:color w:val="000000"/>
        </w:rPr>
        <w:t>第二部分</w:t>
      </w:r>
      <w:r>
        <w:rPr>
          <w:rStyle w:val="18"/>
          <w:rFonts w:ascii="黑体" w:hAnsi="黑体" w:eastAsia="黑体"/>
          <w:b w:val="0"/>
          <w:bCs w:val="0"/>
        </w:rPr>
        <w:t>20</w:t>
      </w:r>
      <w:r>
        <w:rPr>
          <w:rStyle w:val="18"/>
          <w:rFonts w:hint="eastAsia" w:ascii="黑体" w:hAnsi="黑体" w:eastAsia="黑体"/>
          <w:b w:val="0"/>
          <w:bCs w:val="0"/>
        </w:rPr>
        <w:t>21年度单位决算情况说明</w:t>
      </w:r>
      <w:bookmarkEnd w:id="22"/>
      <w:bookmarkEnd w:id="23"/>
      <w:bookmarkEnd w:id="24"/>
    </w:p>
    <w:p w14:paraId="0838466A">
      <w:pPr>
        <w:pStyle w:val="28"/>
        <w:numPr>
          <w:ilvl w:val="0"/>
          <w:numId w:val="1"/>
        </w:numPr>
        <w:spacing w:line="600" w:lineRule="exact"/>
        <w:ind w:firstLineChars="0"/>
        <w:outlineLvl w:val="1"/>
        <w:rPr>
          <w:rStyle w:val="19"/>
          <w:rFonts w:ascii="黑体" w:hAnsi="黑体" w:eastAsia="黑体"/>
          <w:b w:val="0"/>
        </w:rPr>
      </w:pPr>
      <w:bookmarkStart w:id="25" w:name="_Toc15396603"/>
      <w:bookmarkStart w:id="26" w:name="_Toc28896"/>
      <w:bookmarkStart w:id="27" w:name="_Toc15377205"/>
      <w:r>
        <w:rPr>
          <w:rFonts w:hint="eastAsia" w:ascii="黑体" w:hAnsi="黑体" w:eastAsia="黑体"/>
          <w:b/>
          <w:color w:val="000000"/>
          <w:sz w:val="32"/>
          <w:szCs w:val="32"/>
        </w:rPr>
        <w:t>收</w:t>
      </w:r>
      <w:r>
        <w:rPr>
          <w:rStyle w:val="19"/>
          <w:rFonts w:hint="eastAsia" w:ascii="黑体" w:hAnsi="黑体" w:eastAsia="黑体"/>
          <w:b w:val="0"/>
        </w:rPr>
        <w:t>入支出决算总体情况说明</w:t>
      </w:r>
      <w:bookmarkEnd w:id="25"/>
      <w:bookmarkEnd w:id="26"/>
      <w:bookmarkEnd w:id="27"/>
    </w:p>
    <w:p w14:paraId="45BCB350">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2021年收入合计5011.31万元，比2020年6883.32万元减少1872.01万元，减少27.20%，主要是由于政府性基金预算财政拨款减少导致总收入减少。</w:t>
      </w:r>
    </w:p>
    <w:p w14:paraId="1077F161">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2021年支出合计5185.12万元，比2020年6904.25万元减少1719.13万元，减少24.9%。主要</w:t>
      </w:r>
      <w:r>
        <w:rPr>
          <w:rFonts w:hint="eastAsia" w:ascii="仿宋" w:hAnsi="仿宋" w:eastAsia="仿宋"/>
          <w:color w:val="000000"/>
          <w:sz w:val="32"/>
          <w:szCs w:val="32"/>
          <w:lang w:eastAsia="zh-CN"/>
        </w:rPr>
        <w:t>是由于抗疫特别国债安排的支出减少</w:t>
      </w:r>
      <w:r>
        <w:rPr>
          <w:rFonts w:hint="eastAsia" w:ascii="仿宋" w:hAnsi="仿宋" w:eastAsia="仿宋"/>
          <w:color w:val="000000"/>
          <w:sz w:val="32"/>
          <w:szCs w:val="32"/>
        </w:rPr>
        <w:t>。</w:t>
      </w:r>
    </w:p>
    <w:p w14:paraId="66B041DA">
      <w:pPr>
        <w:pStyle w:val="5"/>
        <w:spacing w:before="93"/>
        <w:ind w:firstLine="6240" w:firstLineChars="2600"/>
        <w:rPr>
          <w:rFonts w:hAnsi="仿宋"/>
          <w:szCs w:val="24"/>
        </w:rPr>
      </w:pPr>
      <w:r>
        <w:rPr>
          <w:rFonts w:hint="eastAsia" w:hAnsi="仿宋"/>
          <w:szCs w:val="24"/>
        </w:rPr>
        <w:t>单位：万元</w:t>
      </w:r>
    </w:p>
    <w:p w14:paraId="4B779CF8">
      <w:pPr>
        <w:pStyle w:val="5"/>
        <w:spacing w:before="93"/>
      </w:pPr>
      <w:r>
        <w:drawing>
          <wp:inline distT="0" distB="0" distL="0" distR="0">
            <wp:extent cx="5440680" cy="29559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441152" cy="2956744"/>
                    </a:xfrm>
                    <a:prstGeom prst="rect">
                      <a:avLst/>
                    </a:prstGeom>
                  </pic:spPr>
                </pic:pic>
              </a:graphicData>
            </a:graphic>
          </wp:inline>
        </w:drawing>
      </w:r>
    </w:p>
    <w:p w14:paraId="09A648FD">
      <w:pPr>
        <w:pStyle w:val="5"/>
        <w:spacing w:before="93"/>
        <w:jc w:val="center"/>
        <w:rPr>
          <w:rFonts w:ascii="仿宋" w:hAnsi="仿宋" w:eastAsia="仿宋"/>
          <w:sz w:val="32"/>
          <w:szCs w:val="32"/>
        </w:rPr>
      </w:pPr>
    </w:p>
    <w:p w14:paraId="26C24E13">
      <w:pPr>
        <w:pStyle w:val="28"/>
        <w:numPr>
          <w:ilvl w:val="0"/>
          <w:numId w:val="1"/>
        </w:numPr>
        <w:spacing w:line="600" w:lineRule="exact"/>
        <w:ind w:firstLineChars="0"/>
        <w:outlineLvl w:val="1"/>
        <w:rPr>
          <w:rStyle w:val="19"/>
          <w:rFonts w:ascii="黑体" w:hAnsi="黑体" w:eastAsia="黑体"/>
          <w:b w:val="0"/>
        </w:rPr>
      </w:pPr>
      <w:bookmarkStart w:id="28" w:name="_Toc15396604"/>
      <w:bookmarkStart w:id="29" w:name="_Toc13552"/>
      <w:bookmarkStart w:id="30" w:name="_Toc15377206"/>
      <w:bookmarkStart w:id="31" w:name="_Toc15396605"/>
      <w:bookmarkStart w:id="32" w:name="_Toc29980"/>
      <w:bookmarkStart w:id="33" w:name="_Toc15377207"/>
      <w:r>
        <w:rPr>
          <w:rFonts w:hint="eastAsia" w:ascii="黑体" w:hAnsi="黑体" w:eastAsia="黑体"/>
          <w:b/>
          <w:color w:val="000000"/>
          <w:sz w:val="32"/>
          <w:szCs w:val="32"/>
        </w:rPr>
        <w:t>收</w:t>
      </w:r>
      <w:r>
        <w:rPr>
          <w:rStyle w:val="19"/>
          <w:rFonts w:hint="eastAsia" w:ascii="黑体" w:hAnsi="黑体" w:eastAsia="黑体"/>
          <w:b w:val="0"/>
        </w:rPr>
        <w:t>入决算情况说明</w:t>
      </w:r>
      <w:bookmarkEnd w:id="28"/>
      <w:bookmarkEnd w:id="29"/>
      <w:bookmarkEnd w:id="30"/>
    </w:p>
    <w:p w14:paraId="168F8A66">
      <w:pPr>
        <w:spacing w:line="600" w:lineRule="exact"/>
        <w:ind w:firstLine="640" w:firstLineChars="200"/>
        <w:outlineLvl w:val="1"/>
        <w:rPr>
          <w:rFonts w:ascii="仿宋" w:hAnsi="仿宋" w:eastAsia="仿宋"/>
          <w:color w:val="000000"/>
          <w:sz w:val="32"/>
          <w:szCs w:val="32"/>
        </w:rPr>
      </w:pPr>
      <w:bookmarkStart w:id="34" w:name="_Toc30612"/>
      <w:r>
        <w:rPr>
          <w:rFonts w:ascii="仿宋" w:hAnsi="仿宋" w:eastAsia="仿宋"/>
          <w:color w:val="000000"/>
          <w:sz w:val="32"/>
          <w:szCs w:val="32"/>
        </w:rPr>
        <w:t>20</w:t>
      </w:r>
      <w:r>
        <w:rPr>
          <w:rFonts w:hint="eastAsia" w:ascii="仿宋" w:hAnsi="仿宋" w:eastAsia="仿宋"/>
          <w:color w:val="000000"/>
          <w:sz w:val="32"/>
          <w:szCs w:val="32"/>
        </w:rPr>
        <w:t>21年本年收入合计5011.31万元，其中：一般公共预算财政拨款收入4976.69万元，占99.31</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；其他收入34.63万元，占0.69</w:t>
      </w:r>
      <w:r>
        <w:rPr>
          <w:rFonts w:ascii="仿宋" w:hAnsi="仿宋" w:eastAsia="仿宋"/>
          <w:color w:val="000000"/>
          <w:sz w:val="32"/>
          <w:szCs w:val="32"/>
        </w:rPr>
        <w:t>%</w:t>
      </w:r>
      <w:r>
        <w:rPr>
          <w:rFonts w:hint="eastAsia" w:ascii="仿宋" w:hAnsi="仿宋" w:eastAsia="仿宋"/>
          <w:color w:val="000000"/>
          <w:sz w:val="32"/>
          <w:szCs w:val="32"/>
        </w:rPr>
        <w:t>。</w:t>
      </w:r>
      <w:bookmarkEnd w:id="34"/>
    </w:p>
    <w:p w14:paraId="6B40A06C">
      <w:pPr>
        <w:spacing w:line="600" w:lineRule="exact"/>
        <w:ind w:firstLine="560" w:firstLineChars="200"/>
        <w:outlineLvl w:val="1"/>
        <w:rPr>
          <w:rFonts w:ascii="仿宋" w:hAnsi="仿宋" w:eastAsia="仿宋"/>
          <w:sz w:val="28"/>
          <w:szCs w:val="28"/>
        </w:rPr>
      </w:pPr>
    </w:p>
    <w:p w14:paraId="0714A26C">
      <w:pPr>
        <w:spacing w:line="600" w:lineRule="exact"/>
        <w:ind w:firstLine="560" w:firstLineChars="200"/>
        <w:jc w:val="right"/>
        <w:outlineLvl w:val="1"/>
        <w:rPr>
          <w:rFonts w:ascii="仿宋" w:hAnsi="仿宋" w:eastAsia="仿宋"/>
          <w:sz w:val="28"/>
          <w:szCs w:val="28"/>
        </w:rPr>
      </w:pPr>
      <w:r>
        <w:rPr>
          <w:rFonts w:hint="eastAsia" w:ascii="仿宋" w:hAnsi="仿宋" w:eastAsia="仿宋"/>
          <w:sz w:val="28"/>
          <w:szCs w:val="28"/>
        </w:rPr>
        <w:t>单位：万元</w:t>
      </w:r>
    </w:p>
    <w:p w14:paraId="6F170203">
      <w:pPr>
        <w:spacing w:line="600" w:lineRule="exact"/>
        <w:ind w:firstLine="560" w:firstLineChars="200"/>
        <w:outlineLvl w:val="1"/>
        <w:rPr>
          <w:rFonts w:ascii="仿宋" w:hAnsi="仿宋" w:eastAsia="仿宋"/>
          <w:sz w:val="28"/>
          <w:szCs w:val="28"/>
        </w:rPr>
      </w:pPr>
    </w:p>
    <w:p w14:paraId="09DF8381">
      <w:pPr>
        <w:pStyle w:val="13"/>
        <w:rPr>
          <w:rFonts w:ascii="仿宋" w:hAnsi="仿宋" w:eastAsia="仿宋"/>
          <w:color w:val="000000"/>
          <w:sz w:val="32"/>
          <w:szCs w:val="32"/>
        </w:rPr>
      </w:pPr>
      <w:r>
        <w:drawing>
          <wp:inline distT="0" distB="0" distL="0" distR="0">
            <wp:extent cx="6256020" cy="24231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6250692" cy="2421096"/>
                    </a:xfrm>
                    <a:prstGeom prst="rect">
                      <a:avLst/>
                    </a:prstGeom>
                  </pic:spPr>
                </pic:pic>
              </a:graphicData>
            </a:graphic>
          </wp:inline>
        </w:drawing>
      </w:r>
    </w:p>
    <w:p w14:paraId="3D75B2CB">
      <w:pPr>
        <w:spacing w:line="600" w:lineRule="exact"/>
        <w:outlineLvl w:val="1"/>
        <w:rPr>
          <w:rFonts w:ascii="仿宋" w:hAnsi="仿宋" w:eastAsia="仿宋"/>
          <w:sz w:val="32"/>
          <w:szCs w:val="32"/>
        </w:rPr>
      </w:pPr>
    </w:p>
    <w:p w14:paraId="4E5989A8">
      <w:pPr>
        <w:spacing w:line="600" w:lineRule="exact"/>
        <w:outlineLvl w:val="1"/>
        <w:rPr>
          <w:rFonts w:ascii="仿宋" w:hAnsi="仿宋" w:eastAsia="仿宋"/>
          <w:color w:val="000000"/>
          <w:sz w:val="32"/>
          <w:szCs w:val="32"/>
        </w:rPr>
      </w:pPr>
    </w:p>
    <w:p w14:paraId="05E801DB">
      <w:pPr>
        <w:pStyle w:val="28"/>
        <w:numPr>
          <w:ilvl w:val="0"/>
          <w:numId w:val="1"/>
        </w:numPr>
        <w:spacing w:line="600" w:lineRule="exact"/>
        <w:ind w:firstLineChars="0"/>
        <w:outlineLvl w:val="1"/>
        <w:rPr>
          <w:rStyle w:val="19"/>
          <w:rFonts w:ascii="黑体" w:hAnsi="黑体" w:eastAsia="黑体"/>
          <w:b w:val="0"/>
        </w:rPr>
      </w:pPr>
      <w:r>
        <w:rPr>
          <w:rFonts w:hint="eastAsia" w:ascii="黑体" w:hAnsi="黑体" w:eastAsia="黑体"/>
          <w:color w:val="000000"/>
          <w:sz w:val="32"/>
          <w:szCs w:val="32"/>
        </w:rPr>
        <w:t>支</w:t>
      </w:r>
      <w:r>
        <w:rPr>
          <w:rStyle w:val="19"/>
          <w:rFonts w:hint="eastAsia" w:ascii="黑体" w:hAnsi="黑体" w:eastAsia="黑体"/>
          <w:b w:val="0"/>
        </w:rPr>
        <w:t>出决算情况说明</w:t>
      </w:r>
      <w:bookmarkEnd w:id="31"/>
      <w:bookmarkEnd w:id="32"/>
      <w:bookmarkEnd w:id="33"/>
    </w:p>
    <w:p w14:paraId="5F6300DB">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21年本年支出合计5185.12万元，其中：基本支出1631.15万元，占31.46</w:t>
      </w:r>
      <w:r>
        <w:rPr>
          <w:rFonts w:ascii="仿宋" w:hAnsi="仿宋" w:eastAsia="仿宋"/>
          <w:color w:val="000000"/>
          <w:sz w:val="32"/>
          <w:szCs w:val="32"/>
        </w:rPr>
        <w:t>%</w:t>
      </w:r>
      <w:r>
        <w:rPr>
          <w:rFonts w:hint="eastAsia" w:ascii="仿宋" w:hAnsi="仿宋" w:eastAsia="仿宋"/>
          <w:color w:val="000000"/>
          <w:sz w:val="32"/>
          <w:szCs w:val="32"/>
        </w:rPr>
        <w:t>；项目支出3553.97万元，占68.54</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78DF6161">
      <w:pPr>
        <w:spacing w:line="600" w:lineRule="exact"/>
        <w:ind w:firstLine="560" w:firstLineChars="200"/>
        <w:jc w:val="right"/>
        <w:rPr>
          <w:rFonts w:ascii="仿宋" w:hAnsi="仿宋" w:eastAsia="仿宋"/>
          <w:sz w:val="28"/>
          <w:szCs w:val="28"/>
        </w:rPr>
      </w:pPr>
    </w:p>
    <w:p w14:paraId="0742F271">
      <w:pPr>
        <w:spacing w:line="600" w:lineRule="exact"/>
        <w:ind w:firstLine="560" w:firstLineChars="200"/>
        <w:jc w:val="right"/>
        <w:rPr>
          <w:rFonts w:ascii="仿宋" w:hAnsi="仿宋" w:eastAsia="仿宋"/>
          <w:sz w:val="28"/>
          <w:szCs w:val="28"/>
        </w:rPr>
      </w:pPr>
    </w:p>
    <w:p w14:paraId="7CCF9961">
      <w:pPr>
        <w:spacing w:line="600" w:lineRule="exact"/>
        <w:ind w:firstLine="560" w:firstLineChars="200"/>
        <w:jc w:val="right"/>
        <w:rPr>
          <w:rFonts w:ascii="仿宋" w:hAnsi="仿宋" w:eastAsia="仿宋"/>
          <w:sz w:val="28"/>
          <w:szCs w:val="28"/>
        </w:rPr>
      </w:pPr>
    </w:p>
    <w:p w14:paraId="1935E356">
      <w:pPr>
        <w:spacing w:line="600" w:lineRule="exact"/>
        <w:ind w:firstLine="560" w:firstLineChars="200"/>
        <w:jc w:val="right"/>
        <w:rPr>
          <w:rFonts w:ascii="仿宋" w:hAnsi="仿宋" w:eastAsia="仿宋"/>
          <w:sz w:val="28"/>
          <w:szCs w:val="28"/>
        </w:rPr>
      </w:pPr>
      <w:r>
        <w:rPr>
          <w:rFonts w:hint="eastAsia" w:ascii="仿宋" w:hAnsi="仿宋" w:eastAsia="仿宋"/>
          <w:sz w:val="28"/>
          <w:szCs w:val="28"/>
        </w:rPr>
        <w:t>单位：万元</w:t>
      </w:r>
    </w:p>
    <w:p w14:paraId="7A656EE9">
      <w:pPr>
        <w:pStyle w:val="13"/>
        <w:rPr>
          <w:rFonts w:ascii="仿宋" w:hAnsi="仿宋" w:eastAsia="仿宋"/>
          <w:color w:val="000000"/>
          <w:sz w:val="32"/>
          <w:szCs w:val="32"/>
        </w:rPr>
      </w:pPr>
      <w:r>
        <w:drawing>
          <wp:inline distT="0" distB="0" distL="0" distR="0">
            <wp:extent cx="4351020" cy="26352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4351398" cy="2635872"/>
                    </a:xfrm>
                    <a:prstGeom prst="rect">
                      <a:avLst/>
                    </a:prstGeom>
                  </pic:spPr>
                </pic:pic>
              </a:graphicData>
            </a:graphic>
          </wp:inline>
        </w:drawing>
      </w:r>
    </w:p>
    <w:p w14:paraId="5A2E9408">
      <w:pPr>
        <w:spacing w:line="600" w:lineRule="exact"/>
        <w:ind w:firstLine="640"/>
        <w:rPr>
          <w:rFonts w:ascii="仿宋" w:hAnsi="仿宋" w:eastAsia="仿宋"/>
          <w:color w:val="000000"/>
          <w:sz w:val="32"/>
          <w:szCs w:val="32"/>
          <w:shd w:val="pct10" w:color="auto" w:fill="FFFFFF"/>
        </w:rPr>
      </w:pPr>
    </w:p>
    <w:p w14:paraId="520D3F83">
      <w:pPr>
        <w:spacing w:line="600" w:lineRule="exact"/>
        <w:ind w:firstLine="640" w:firstLineChars="200"/>
        <w:outlineLvl w:val="1"/>
        <w:rPr>
          <w:rStyle w:val="19"/>
          <w:rFonts w:ascii="黑体" w:hAnsi="黑体" w:eastAsia="黑体"/>
          <w:b w:val="0"/>
        </w:rPr>
      </w:pPr>
      <w:bookmarkStart w:id="35" w:name="_Toc5719"/>
      <w:bookmarkStart w:id="36" w:name="_Toc15377208"/>
      <w:bookmarkStart w:id="37" w:name="_Toc15396606"/>
      <w:r>
        <w:rPr>
          <w:rFonts w:hint="eastAsia" w:ascii="黑体" w:hAnsi="黑体" w:eastAsia="黑体"/>
          <w:color w:val="000000"/>
          <w:sz w:val="32"/>
          <w:szCs w:val="32"/>
        </w:rPr>
        <w:t>四、财</w:t>
      </w:r>
      <w:r>
        <w:rPr>
          <w:rStyle w:val="19"/>
          <w:rFonts w:hint="eastAsia" w:ascii="黑体" w:hAnsi="黑体" w:eastAsia="黑体"/>
          <w:b w:val="0"/>
        </w:rPr>
        <w:t>政拨款收入支出决算总体情况说明</w:t>
      </w:r>
      <w:bookmarkEnd w:id="35"/>
      <w:bookmarkEnd w:id="36"/>
      <w:bookmarkEnd w:id="37"/>
    </w:p>
    <w:p w14:paraId="70601B32">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2021年财政拨款收入总计4976.69万元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比2020财政拨款6883.32万元收入减少1906.63万元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减少27.7%。主要原因是2021年抗疫特别国债项目资金减</w:t>
      </w:r>
      <w:r>
        <w:rPr>
          <w:rFonts w:hint="eastAsia" w:ascii="仿宋" w:hAnsi="仿宋" w:eastAsia="仿宋"/>
          <w:color w:val="000000"/>
          <w:sz w:val="32"/>
          <w:szCs w:val="32"/>
          <w:lang w:eastAsia="zh-CN"/>
        </w:rPr>
        <w:t>少</w:t>
      </w:r>
      <w:r>
        <w:rPr>
          <w:rFonts w:hint="eastAsia" w:ascii="仿宋" w:hAnsi="仿宋" w:eastAsia="仿宋"/>
          <w:color w:val="000000"/>
          <w:sz w:val="32"/>
          <w:szCs w:val="32"/>
        </w:rPr>
        <w:t>。</w:t>
      </w:r>
      <w:r>
        <w:rPr>
          <w:rFonts w:ascii="仿宋" w:hAnsi="仿宋" w:eastAsia="仿宋"/>
          <w:color w:val="000000"/>
          <w:sz w:val="32"/>
          <w:szCs w:val="32"/>
        </w:rPr>
        <w:t>20</w:t>
      </w:r>
      <w:r>
        <w:rPr>
          <w:rFonts w:hint="eastAsia" w:ascii="仿宋" w:hAnsi="仿宋" w:eastAsia="仿宋"/>
          <w:color w:val="000000"/>
          <w:sz w:val="32"/>
          <w:szCs w:val="32"/>
        </w:rPr>
        <w:t>21年财政拨款支出总计5177.1万元，比2020年6654.79万元减少1477.69万元，减少22.2%。</w:t>
      </w:r>
      <w:bookmarkStart w:id="38" w:name="_Toc15377209"/>
      <w:bookmarkStart w:id="39" w:name="_Toc15396607"/>
      <w:r>
        <w:rPr>
          <w:rFonts w:hint="eastAsia" w:ascii="仿宋" w:hAnsi="仿宋" w:eastAsia="仿宋"/>
          <w:color w:val="000000"/>
          <w:sz w:val="32"/>
          <w:szCs w:val="32"/>
        </w:rPr>
        <w:t>主要原因是2021年抗疫特别国债安排支出减少造成的。</w:t>
      </w:r>
    </w:p>
    <w:p w14:paraId="4E4DEE87">
      <w:pPr>
        <w:spacing w:line="600" w:lineRule="exact"/>
        <w:ind w:firstLine="5600" w:firstLineChars="1750"/>
        <w:rPr>
          <w:rFonts w:ascii="仿宋" w:hAnsi="仿宋" w:eastAsia="仿宋"/>
          <w:color w:val="000000"/>
          <w:sz w:val="32"/>
          <w:szCs w:val="32"/>
        </w:rPr>
      </w:pPr>
    </w:p>
    <w:p w14:paraId="79CFA2D1">
      <w:pPr>
        <w:spacing w:line="600" w:lineRule="exact"/>
        <w:ind w:firstLine="5600" w:firstLineChars="1750"/>
        <w:rPr>
          <w:rFonts w:ascii="仿宋" w:hAnsi="仿宋" w:eastAsia="仿宋"/>
          <w:color w:val="000000"/>
          <w:sz w:val="32"/>
          <w:szCs w:val="32"/>
        </w:rPr>
      </w:pPr>
    </w:p>
    <w:p w14:paraId="7EA4FB67">
      <w:pPr>
        <w:spacing w:line="600" w:lineRule="exact"/>
        <w:ind w:firstLine="5600" w:firstLineChars="1750"/>
        <w:rPr>
          <w:rFonts w:ascii="仿宋" w:hAnsi="仿宋" w:eastAsia="仿宋"/>
          <w:color w:val="000000"/>
          <w:sz w:val="32"/>
          <w:szCs w:val="32"/>
        </w:rPr>
      </w:pPr>
    </w:p>
    <w:p w14:paraId="04426D89">
      <w:pPr>
        <w:spacing w:line="600" w:lineRule="exact"/>
        <w:ind w:firstLine="5600" w:firstLineChars="1750"/>
        <w:rPr>
          <w:rFonts w:ascii="仿宋" w:hAnsi="仿宋" w:eastAsia="仿宋"/>
          <w:color w:val="000000"/>
          <w:sz w:val="32"/>
          <w:szCs w:val="32"/>
        </w:rPr>
      </w:pPr>
    </w:p>
    <w:p w14:paraId="012B5CBA">
      <w:pPr>
        <w:spacing w:line="600" w:lineRule="exact"/>
        <w:ind w:firstLine="5600" w:firstLineChars="1750"/>
        <w:rPr>
          <w:rFonts w:ascii="仿宋" w:hAnsi="仿宋" w:eastAsia="仿宋"/>
          <w:color w:val="000000"/>
          <w:sz w:val="32"/>
          <w:szCs w:val="32"/>
        </w:rPr>
      </w:pPr>
    </w:p>
    <w:p w14:paraId="230498A2">
      <w:pPr>
        <w:spacing w:line="600" w:lineRule="exact"/>
        <w:ind w:firstLine="5600" w:firstLineChars="1750"/>
        <w:rPr>
          <w:rFonts w:ascii="仿宋" w:hAnsi="仿宋" w:eastAsia="仿宋"/>
          <w:color w:val="000000"/>
          <w:sz w:val="32"/>
          <w:szCs w:val="32"/>
        </w:rPr>
      </w:pPr>
    </w:p>
    <w:p w14:paraId="21BA1655">
      <w:pPr>
        <w:spacing w:line="600" w:lineRule="exact"/>
        <w:ind w:firstLine="5600" w:firstLineChars="1750"/>
        <w:rPr>
          <w:rFonts w:ascii="仿宋" w:hAnsi="仿宋" w:eastAsia="仿宋"/>
          <w:color w:val="000000"/>
          <w:sz w:val="32"/>
          <w:szCs w:val="32"/>
        </w:rPr>
      </w:pPr>
      <w:r>
        <w:rPr>
          <w:rFonts w:hint="eastAsia" w:ascii="仿宋" w:hAnsi="仿宋" w:eastAsia="仿宋"/>
          <w:color w:val="000000"/>
          <w:sz w:val="32"/>
          <w:szCs w:val="32"/>
        </w:rPr>
        <w:t>单位：万元</w:t>
      </w:r>
    </w:p>
    <w:p w14:paraId="2920F3A0">
      <w:pPr>
        <w:pStyle w:val="13"/>
        <w:rPr>
          <w:rFonts w:ascii="仿宋" w:hAnsi="仿宋" w:eastAsia="仿宋"/>
          <w:color w:val="000000"/>
          <w:sz w:val="32"/>
          <w:szCs w:val="32"/>
        </w:rPr>
      </w:pPr>
      <w:r>
        <w:drawing>
          <wp:inline distT="0" distB="0" distL="0" distR="0">
            <wp:extent cx="5044440" cy="26060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044878" cy="2606266"/>
                    </a:xfrm>
                    <a:prstGeom prst="rect">
                      <a:avLst/>
                    </a:prstGeom>
                  </pic:spPr>
                </pic:pic>
              </a:graphicData>
            </a:graphic>
          </wp:inline>
        </w:drawing>
      </w:r>
    </w:p>
    <w:p w14:paraId="27E75EB6">
      <w:pPr>
        <w:spacing w:line="600" w:lineRule="exact"/>
        <w:ind w:firstLine="640" w:firstLineChars="200"/>
        <w:rPr>
          <w:rStyle w:val="19"/>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9"/>
          <w:rFonts w:hint="eastAsia" w:ascii="黑体" w:hAnsi="黑体" w:eastAsia="黑体"/>
          <w:b w:val="0"/>
        </w:rPr>
        <w:t>般公共预算财政拨款支出决算情况说明</w:t>
      </w:r>
      <w:bookmarkEnd w:id="38"/>
      <w:bookmarkEnd w:id="39"/>
    </w:p>
    <w:p w14:paraId="7744F877">
      <w:pPr>
        <w:spacing w:line="600" w:lineRule="exact"/>
        <w:ind w:firstLine="640" w:firstLineChars="200"/>
        <w:outlineLvl w:val="2"/>
        <w:rPr>
          <w:rFonts w:ascii="仿宋" w:hAnsi="仿宋" w:eastAsia="仿宋"/>
          <w:color w:val="000000"/>
          <w:sz w:val="32"/>
          <w:szCs w:val="32"/>
        </w:rPr>
      </w:pPr>
      <w:bookmarkStart w:id="40" w:name="_Toc26274"/>
      <w:bookmarkStart w:id="41" w:name="_Toc15377210"/>
      <w:r>
        <w:rPr>
          <w:rFonts w:hint="eastAsia" w:ascii="仿宋" w:hAnsi="仿宋" w:eastAsia="仿宋"/>
          <w:color w:val="000000"/>
          <w:sz w:val="32"/>
          <w:szCs w:val="32"/>
        </w:rPr>
        <w:t>（一）一般公共预算财政拨款支出决算总体情况</w:t>
      </w:r>
      <w:bookmarkEnd w:id="40"/>
      <w:bookmarkEnd w:id="41"/>
    </w:p>
    <w:p w14:paraId="0D725AD3">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21年一般公共预算财政拨款支出5177.10万元，占本年支出合计的99.85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20年相比，一般公共预算财政拨款增加103.77万元，增长2.05</w:t>
      </w:r>
      <w:r>
        <w:rPr>
          <w:rFonts w:ascii="仿宋" w:hAnsi="仿宋" w:eastAsia="仿宋"/>
          <w:color w:val="000000"/>
          <w:sz w:val="32"/>
          <w:szCs w:val="32"/>
        </w:rPr>
        <w:t>%</w:t>
      </w:r>
      <w:r>
        <w:rPr>
          <w:rFonts w:hint="eastAsia" w:ascii="仿宋" w:hAnsi="仿宋" w:eastAsia="仿宋"/>
          <w:color w:val="000000"/>
          <w:sz w:val="32"/>
          <w:szCs w:val="32"/>
        </w:rPr>
        <w:t>。</w:t>
      </w:r>
      <w:bookmarkStart w:id="42" w:name="_Toc15377211"/>
      <w:r>
        <w:rPr>
          <w:rFonts w:hint="eastAsia" w:ascii="仿宋" w:hAnsi="仿宋" w:eastAsia="仿宋"/>
          <w:color w:val="000000"/>
          <w:sz w:val="32"/>
          <w:szCs w:val="32"/>
        </w:rPr>
        <w:t>主要原因是2021年人员经费增长导致支出增</w:t>
      </w:r>
      <w:r>
        <w:rPr>
          <w:rFonts w:hint="eastAsia" w:ascii="仿宋" w:hAnsi="仿宋" w:eastAsia="仿宋"/>
          <w:color w:val="000000"/>
          <w:sz w:val="32"/>
          <w:szCs w:val="32"/>
          <w:lang w:eastAsia="zh-CN"/>
        </w:rPr>
        <w:t>加</w:t>
      </w:r>
      <w:r>
        <w:rPr>
          <w:rFonts w:hint="eastAsia" w:ascii="仿宋" w:hAnsi="仿宋" w:eastAsia="仿宋"/>
          <w:color w:val="000000"/>
          <w:sz w:val="32"/>
          <w:szCs w:val="32"/>
        </w:rPr>
        <w:t>。</w:t>
      </w:r>
    </w:p>
    <w:p w14:paraId="1D66F4A7">
      <w:pPr>
        <w:pStyle w:val="13"/>
        <w:rPr>
          <w:rFonts w:ascii="仿宋" w:hAnsi="仿宋" w:eastAsia="仿宋"/>
          <w:sz w:val="32"/>
          <w:szCs w:val="32"/>
        </w:rPr>
      </w:pPr>
      <w:r>
        <w:drawing>
          <wp:inline distT="0" distB="0" distL="0" distR="0">
            <wp:extent cx="5455920" cy="28041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456393" cy="2804403"/>
                    </a:xfrm>
                    <a:prstGeom prst="rect">
                      <a:avLst/>
                    </a:prstGeom>
                  </pic:spPr>
                </pic:pic>
              </a:graphicData>
            </a:graphic>
          </wp:inline>
        </w:drawing>
      </w:r>
    </w:p>
    <w:p w14:paraId="6B6A232E">
      <w:pPr>
        <w:spacing w:line="600" w:lineRule="exact"/>
        <w:ind w:firstLine="640" w:firstLineChars="200"/>
        <w:rPr>
          <w:rFonts w:ascii="仿宋" w:hAnsi="仿宋" w:eastAsia="仿宋"/>
          <w:color w:val="000000"/>
          <w:sz w:val="32"/>
          <w:szCs w:val="32"/>
        </w:rPr>
      </w:pPr>
    </w:p>
    <w:p w14:paraId="5184EFBF">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（二）一般公共预算财政拨款支出决算结构情况</w:t>
      </w:r>
      <w:bookmarkEnd w:id="42"/>
    </w:p>
    <w:p w14:paraId="4BF18963">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21年一般公共预算财政拨款支出5132.37万元，主要用于以下方面</w:t>
      </w:r>
      <w:r>
        <w:rPr>
          <w:rFonts w:hint="eastAsia" w:ascii="仿宋" w:hAnsi="仿宋" w:eastAsia="仿宋"/>
          <w:color w:val="000000"/>
          <w:sz w:val="32"/>
          <w:szCs w:val="32"/>
          <w:lang w:eastAsia="zh-CN"/>
        </w:rPr>
        <w:t>：</w:t>
      </w:r>
      <w:r>
        <w:rPr>
          <w:rFonts w:hint="eastAsia" w:ascii="仿宋" w:hAnsi="仿宋" w:eastAsia="仿宋"/>
          <w:color w:val="000000"/>
          <w:sz w:val="32"/>
          <w:szCs w:val="32"/>
        </w:rPr>
        <w:t>一般公共服务（类）支出0万元，占0</w:t>
      </w:r>
      <w:r>
        <w:rPr>
          <w:rFonts w:ascii="仿宋" w:hAnsi="仿宋" w:eastAsia="仿宋"/>
          <w:color w:val="000000"/>
          <w:sz w:val="32"/>
          <w:szCs w:val="32"/>
        </w:rPr>
        <w:t>%</w:t>
      </w:r>
      <w:r>
        <w:rPr>
          <w:rFonts w:hint="eastAsia" w:ascii="仿宋" w:hAnsi="仿宋" w:eastAsia="仿宋"/>
          <w:color w:val="000000"/>
          <w:sz w:val="32"/>
          <w:szCs w:val="32"/>
        </w:rPr>
        <w:t>；教育支出（类）0万元，占0</w:t>
      </w:r>
      <w:r>
        <w:rPr>
          <w:rFonts w:ascii="仿宋" w:hAnsi="仿宋" w:eastAsia="仿宋"/>
          <w:color w:val="000000"/>
          <w:sz w:val="32"/>
          <w:szCs w:val="32"/>
        </w:rPr>
        <w:t>%</w:t>
      </w:r>
      <w:r>
        <w:rPr>
          <w:rFonts w:hint="eastAsia" w:ascii="仿宋" w:hAnsi="仿宋" w:eastAsia="仿宋"/>
          <w:color w:val="000000"/>
          <w:sz w:val="32"/>
          <w:szCs w:val="32"/>
        </w:rPr>
        <w:t>；科学技术（类）支出0万元，占0</w:t>
      </w:r>
      <w:r>
        <w:rPr>
          <w:rFonts w:ascii="仿宋" w:hAnsi="仿宋" w:eastAsia="仿宋"/>
          <w:color w:val="000000"/>
          <w:sz w:val="32"/>
          <w:szCs w:val="32"/>
        </w:rPr>
        <w:t>%</w:t>
      </w:r>
      <w:r>
        <w:rPr>
          <w:rFonts w:hint="eastAsia" w:ascii="仿宋" w:hAnsi="仿宋" w:eastAsia="仿宋"/>
          <w:color w:val="000000"/>
          <w:sz w:val="32"/>
          <w:szCs w:val="32"/>
        </w:rPr>
        <w:t>；社会保障和就业（类）支出205.67万元，占4.01</w:t>
      </w:r>
      <w:r>
        <w:rPr>
          <w:rFonts w:ascii="仿宋" w:hAnsi="仿宋" w:eastAsia="仿宋"/>
          <w:color w:val="000000"/>
          <w:sz w:val="32"/>
          <w:szCs w:val="32"/>
        </w:rPr>
        <w:t>%</w:t>
      </w:r>
      <w:r>
        <w:rPr>
          <w:rFonts w:hint="eastAsia" w:ascii="仿宋" w:hAnsi="仿宋" w:eastAsia="仿宋"/>
          <w:color w:val="000000"/>
          <w:sz w:val="32"/>
          <w:szCs w:val="32"/>
        </w:rPr>
        <w:t>；卫生健康支出4799.05万元，占93.51</w:t>
      </w:r>
      <w:r>
        <w:rPr>
          <w:rFonts w:ascii="仿宋" w:hAnsi="仿宋" w:eastAsia="仿宋"/>
          <w:color w:val="000000"/>
          <w:sz w:val="32"/>
          <w:szCs w:val="32"/>
        </w:rPr>
        <w:t>%</w:t>
      </w:r>
      <w:r>
        <w:rPr>
          <w:rFonts w:hint="eastAsia" w:ascii="仿宋" w:hAnsi="仿宋" w:eastAsia="仿宋"/>
          <w:color w:val="000000"/>
          <w:sz w:val="32"/>
          <w:szCs w:val="32"/>
        </w:rPr>
        <w:t>；住房保障支出127.66万元，占2.48</w:t>
      </w:r>
      <w:r>
        <w:rPr>
          <w:rFonts w:ascii="仿宋" w:hAnsi="仿宋" w:eastAsia="仿宋"/>
          <w:color w:val="000000"/>
          <w:sz w:val="32"/>
          <w:szCs w:val="32"/>
        </w:rPr>
        <w:t>%</w:t>
      </w:r>
      <w:r>
        <w:rPr>
          <w:rFonts w:hint="eastAsia" w:ascii="仿宋" w:hAnsi="仿宋" w:eastAsia="仿宋"/>
          <w:color w:val="000000"/>
          <w:sz w:val="32"/>
          <w:szCs w:val="32"/>
        </w:rPr>
        <w:t>。</w:t>
      </w:r>
    </w:p>
    <w:p w14:paraId="7D98CD93">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单位：万元</w:t>
      </w:r>
    </w:p>
    <w:p w14:paraId="148E9D64">
      <w:pPr>
        <w:pStyle w:val="13"/>
        <w:rPr>
          <w:rFonts w:ascii="仿宋" w:hAnsi="仿宋" w:eastAsia="仿宋"/>
          <w:color w:val="000000"/>
          <w:sz w:val="32"/>
          <w:szCs w:val="32"/>
        </w:rPr>
      </w:pPr>
      <w:r>
        <w:drawing>
          <wp:inline distT="0" distB="0" distL="0" distR="0">
            <wp:extent cx="4671060" cy="275844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4671465" cy="2758679"/>
                    </a:xfrm>
                    <a:prstGeom prst="rect">
                      <a:avLst/>
                    </a:prstGeom>
                  </pic:spPr>
                </pic:pic>
              </a:graphicData>
            </a:graphic>
          </wp:inline>
        </w:drawing>
      </w:r>
    </w:p>
    <w:p w14:paraId="434F8CEC">
      <w:pPr>
        <w:spacing w:line="600" w:lineRule="exact"/>
        <w:ind w:firstLine="640"/>
        <w:rPr>
          <w:rFonts w:ascii="仿宋" w:hAnsi="仿宋" w:eastAsia="仿宋"/>
          <w:color w:val="000000"/>
          <w:sz w:val="32"/>
          <w:szCs w:val="32"/>
        </w:rPr>
      </w:pPr>
    </w:p>
    <w:p w14:paraId="24B8AE59">
      <w:pPr>
        <w:spacing w:line="600" w:lineRule="exact"/>
        <w:ind w:firstLine="643" w:firstLineChars="200"/>
        <w:outlineLvl w:val="2"/>
        <w:rPr>
          <w:rFonts w:ascii="黑体" w:hAnsi="仿宋" w:eastAsia="黑体"/>
          <w:b/>
          <w:color w:val="000000"/>
          <w:sz w:val="32"/>
          <w:szCs w:val="32"/>
        </w:rPr>
      </w:pPr>
      <w:bookmarkStart w:id="43" w:name="_Toc5502"/>
      <w:bookmarkStart w:id="44" w:name="_Toc15377212"/>
      <w:r>
        <w:rPr>
          <w:rFonts w:hint="eastAsia" w:ascii="黑体" w:hAnsi="仿宋" w:eastAsia="黑体"/>
          <w:b/>
          <w:color w:val="000000"/>
          <w:sz w:val="32"/>
          <w:szCs w:val="32"/>
        </w:rPr>
        <w:t>（三）一般公共预算财政拨款支出决算具体情况</w:t>
      </w:r>
      <w:bookmarkEnd w:id="43"/>
      <w:bookmarkEnd w:id="44"/>
    </w:p>
    <w:p w14:paraId="12CA241C">
      <w:pPr>
        <w:spacing w:line="600" w:lineRule="exact"/>
        <w:ind w:firstLine="640" w:firstLineChars="200"/>
        <w:outlineLvl w:val="2"/>
        <w:rPr>
          <w:rFonts w:ascii="仿宋" w:hAnsi="仿宋" w:eastAsia="仿宋"/>
          <w:color w:val="000000"/>
          <w:sz w:val="32"/>
          <w:szCs w:val="32"/>
        </w:rPr>
      </w:pPr>
      <w:bookmarkStart w:id="45" w:name="_Toc15377213"/>
      <w:bookmarkStart w:id="46" w:name="_Toc15377444"/>
      <w:bookmarkStart w:id="47" w:name="_Toc13983"/>
      <w:bookmarkStart w:id="48" w:name="_Toc15378460"/>
      <w:r>
        <w:rPr>
          <w:rFonts w:ascii="仿宋" w:hAnsi="仿宋" w:eastAsia="仿宋"/>
          <w:color w:val="000000"/>
          <w:sz w:val="32"/>
          <w:szCs w:val="32"/>
        </w:rPr>
        <w:t>20</w:t>
      </w:r>
      <w:r>
        <w:rPr>
          <w:rFonts w:hint="eastAsia" w:ascii="仿宋" w:hAnsi="仿宋" w:eastAsia="仿宋"/>
          <w:color w:val="000000"/>
          <w:sz w:val="32"/>
          <w:szCs w:val="32"/>
        </w:rPr>
        <w:t>21年一般公共预算支出决算数为5132.37万元，完成预算100</w:t>
      </w:r>
      <w:r>
        <w:rPr>
          <w:rFonts w:ascii="仿宋" w:hAnsi="仿宋" w:eastAsia="仿宋"/>
          <w:color w:val="000000"/>
          <w:sz w:val="32"/>
          <w:szCs w:val="32"/>
        </w:rPr>
        <w:t>%</w:t>
      </w:r>
      <w:r>
        <w:rPr>
          <w:rFonts w:hint="eastAsia" w:ascii="仿宋" w:hAnsi="仿宋" w:eastAsia="仿宋"/>
          <w:color w:val="000000"/>
          <w:sz w:val="32"/>
          <w:szCs w:val="32"/>
        </w:rPr>
        <w:t>。其中：</w:t>
      </w:r>
      <w:bookmarkEnd w:id="45"/>
      <w:bookmarkEnd w:id="46"/>
      <w:bookmarkEnd w:id="47"/>
      <w:bookmarkEnd w:id="48"/>
    </w:p>
    <w:p w14:paraId="07F747B8">
      <w:pPr>
        <w:ind w:firstLine="472" w:firstLineChars="147"/>
        <w:rPr>
          <w:rStyle w:val="16"/>
          <w:rFonts w:ascii="仿宋" w:hAnsi="仿宋" w:eastAsia="仿宋"/>
          <w:b w:val="0"/>
          <w:bCs/>
          <w:sz w:val="32"/>
          <w:szCs w:val="32"/>
        </w:rPr>
      </w:pPr>
      <w:r>
        <w:rPr>
          <w:rStyle w:val="16"/>
          <w:rFonts w:hint="eastAsia" w:ascii="仿宋" w:hAnsi="仿宋" w:eastAsia="仿宋"/>
          <w:bCs/>
          <w:color w:val="000000"/>
          <w:sz w:val="32"/>
          <w:szCs w:val="32"/>
        </w:rPr>
        <w:t>1</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（社会保障和就业支出）类（行政事业单位养老支出）款</w:t>
      </w:r>
      <w:r>
        <w:rPr>
          <w:rStyle w:val="16"/>
          <w:rFonts w:hint="eastAsia" w:ascii="仿宋" w:hAnsi="仿宋" w:eastAsia="仿宋"/>
          <w:b w:val="0"/>
          <w:bCs/>
          <w:sz w:val="32"/>
          <w:szCs w:val="32"/>
        </w:rPr>
        <w:t>机关事业单位基本养老保险缴费支出</w:t>
      </w:r>
      <w:r>
        <w:rPr>
          <w:rStyle w:val="16"/>
          <w:rFonts w:hint="eastAsia" w:ascii="仿宋" w:hAnsi="仿宋" w:eastAsia="仿宋"/>
          <w:b w:val="0"/>
          <w:bCs/>
          <w:sz w:val="32"/>
          <w:szCs w:val="32"/>
          <w:lang w:eastAsia="zh-CN"/>
        </w:rPr>
        <w:t>：</w:t>
      </w:r>
      <w:r>
        <w:rPr>
          <w:rStyle w:val="16"/>
          <w:rFonts w:hint="eastAsia" w:ascii="仿宋" w:hAnsi="仿宋" w:eastAsia="仿宋"/>
          <w:b w:val="0"/>
          <w:bCs/>
          <w:color w:val="000000"/>
          <w:sz w:val="32"/>
          <w:szCs w:val="32"/>
        </w:rPr>
        <w:t>决算为205.67万元，完成预算100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5D692A1E">
      <w:pPr>
        <w:ind w:firstLine="472" w:firstLineChars="147"/>
        <w:rPr>
          <w:rStyle w:val="16"/>
          <w:rFonts w:ascii="仿宋" w:hAnsi="仿宋" w:eastAsia="仿宋"/>
          <w:b w:val="0"/>
          <w:bCs/>
          <w:sz w:val="32"/>
          <w:szCs w:val="32"/>
        </w:rPr>
      </w:pPr>
      <w:r>
        <w:rPr>
          <w:rStyle w:val="16"/>
          <w:rFonts w:hint="eastAsia" w:ascii="仿宋" w:hAnsi="仿宋" w:eastAsia="仿宋"/>
          <w:bCs/>
          <w:color w:val="000000"/>
          <w:sz w:val="32"/>
          <w:szCs w:val="32"/>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（卫生健康支出）类（公立医院）款</w:t>
      </w:r>
      <w:r>
        <w:rPr>
          <w:rStyle w:val="16"/>
          <w:rFonts w:hint="eastAsia" w:ascii="仿宋" w:hAnsi="仿宋" w:eastAsia="仿宋"/>
          <w:b w:val="0"/>
          <w:bCs/>
          <w:color w:val="000000"/>
          <w:sz w:val="32"/>
          <w:szCs w:val="32"/>
        </w:rPr>
        <w:t>综合医院支出决算为4448.59万元，完成预算100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Cs/>
          <w:color w:val="000000"/>
          <w:sz w:val="32"/>
          <w:szCs w:val="32"/>
        </w:rPr>
        <w:t>（卫生健康支出）类（公共卫生）款</w:t>
      </w:r>
      <w:r>
        <w:rPr>
          <w:rStyle w:val="16"/>
          <w:rFonts w:hint="eastAsia" w:ascii="仿宋" w:hAnsi="仿宋" w:eastAsia="仿宋"/>
          <w:b w:val="0"/>
          <w:bCs/>
          <w:sz w:val="32"/>
          <w:szCs w:val="32"/>
        </w:rPr>
        <w:t>重大公共卫生服务支出决算为60.3万元。</w:t>
      </w:r>
      <w:r>
        <w:rPr>
          <w:rStyle w:val="16"/>
          <w:rFonts w:hint="eastAsia" w:ascii="仿宋" w:hAnsi="仿宋" w:eastAsia="仿宋"/>
          <w:bCs/>
          <w:color w:val="000000"/>
          <w:sz w:val="32"/>
          <w:szCs w:val="32"/>
        </w:rPr>
        <w:t>（卫生健康支出）类（公共卫生）款</w:t>
      </w:r>
      <w:r>
        <w:rPr>
          <w:rStyle w:val="16"/>
          <w:rFonts w:hint="eastAsia" w:ascii="仿宋" w:hAnsi="仿宋" w:eastAsia="仿宋"/>
          <w:b w:val="0"/>
          <w:bCs/>
          <w:sz w:val="32"/>
          <w:szCs w:val="32"/>
        </w:rPr>
        <w:t>突发公共卫生事件应急处理专项支出决算为20.43万元，</w:t>
      </w:r>
      <w:r>
        <w:rPr>
          <w:rStyle w:val="16"/>
          <w:rFonts w:hint="eastAsia" w:ascii="仿宋" w:hAnsi="仿宋" w:eastAsia="仿宋"/>
          <w:b w:val="0"/>
          <w:bCs/>
          <w:sz w:val="32"/>
          <w:szCs w:val="32"/>
          <w:lang w:eastAsia="zh-CN"/>
        </w:rPr>
        <w:t>（</w:t>
      </w:r>
      <w:r>
        <w:rPr>
          <w:rStyle w:val="16"/>
          <w:rFonts w:hint="eastAsia" w:ascii="仿宋" w:hAnsi="仿宋" w:eastAsia="仿宋"/>
          <w:bCs/>
          <w:color w:val="000000"/>
          <w:sz w:val="32"/>
          <w:szCs w:val="32"/>
        </w:rPr>
        <w:t>卫生健康支出）类（行政事业单位医疗）款</w:t>
      </w:r>
      <w:r>
        <w:rPr>
          <w:rStyle w:val="16"/>
          <w:rFonts w:hint="eastAsia" w:ascii="仿宋" w:hAnsi="仿宋" w:eastAsia="仿宋"/>
          <w:b w:val="0"/>
          <w:bCs/>
          <w:sz w:val="32"/>
          <w:szCs w:val="32"/>
        </w:rPr>
        <w:t>事业单位医疗支出决算为71.98万元，</w:t>
      </w:r>
      <w:r>
        <w:rPr>
          <w:rStyle w:val="16"/>
          <w:rFonts w:hint="eastAsia" w:ascii="仿宋" w:hAnsi="仿宋" w:eastAsia="仿宋"/>
          <w:b w:val="0"/>
          <w:bCs/>
          <w:sz w:val="32"/>
          <w:szCs w:val="32"/>
          <w:lang w:eastAsia="zh-CN"/>
        </w:rPr>
        <w:t>（</w:t>
      </w:r>
      <w:r>
        <w:rPr>
          <w:rStyle w:val="16"/>
          <w:rFonts w:hint="eastAsia" w:ascii="仿宋" w:hAnsi="仿宋" w:eastAsia="仿宋"/>
          <w:bCs/>
          <w:color w:val="000000"/>
          <w:sz w:val="32"/>
          <w:szCs w:val="32"/>
        </w:rPr>
        <w:t>卫生健康支出）类（行政事业单位医疗）款</w:t>
      </w:r>
      <w:r>
        <w:rPr>
          <w:rStyle w:val="16"/>
          <w:rFonts w:hint="eastAsia" w:ascii="仿宋" w:hAnsi="仿宋" w:eastAsia="仿宋"/>
          <w:b w:val="0"/>
          <w:bCs/>
          <w:sz w:val="32"/>
          <w:szCs w:val="32"/>
        </w:rPr>
        <w:t>公务员医疗补助支出决算为14.43万元，</w:t>
      </w:r>
      <w:r>
        <w:rPr>
          <w:rStyle w:val="16"/>
          <w:rFonts w:hint="eastAsia" w:ascii="仿宋" w:hAnsi="仿宋" w:eastAsia="仿宋"/>
          <w:bCs/>
          <w:color w:val="000000"/>
          <w:sz w:val="32"/>
          <w:szCs w:val="32"/>
        </w:rPr>
        <w:t>（卫生健康支出）类（其他卫生健康支出）款</w:t>
      </w:r>
      <w:r>
        <w:rPr>
          <w:rStyle w:val="16"/>
          <w:rFonts w:hint="eastAsia" w:ascii="仿宋" w:hAnsi="仿宋" w:eastAsia="仿宋"/>
          <w:bCs/>
          <w:sz w:val="32"/>
          <w:szCs w:val="32"/>
        </w:rPr>
        <w:t>其</w:t>
      </w:r>
      <w:r>
        <w:rPr>
          <w:rStyle w:val="16"/>
          <w:rFonts w:hint="eastAsia" w:ascii="仿宋" w:hAnsi="仿宋" w:eastAsia="仿宋"/>
          <w:b w:val="0"/>
          <w:bCs/>
          <w:sz w:val="32"/>
          <w:szCs w:val="32"/>
        </w:rPr>
        <w:t>他卫生健康支出决算为183.32万元。</w:t>
      </w:r>
    </w:p>
    <w:p w14:paraId="33E8319B">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lang w:eastAsia="zh-CN"/>
        </w:rPr>
        <w:t>3.</w:t>
      </w:r>
      <w:r>
        <w:rPr>
          <w:rFonts w:hint="eastAsia" w:ascii="仿宋" w:hAnsi="仿宋" w:eastAsia="仿宋"/>
          <w:color w:val="000000"/>
          <w:sz w:val="32"/>
          <w:szCs w:val="32"/>
        </w:rPr>
        <w:t>（</w:t>
      </w:r>
      <w:r>
        <w:rPr>
          <w:rFonts w:hint="eastAsia" w:ascii="仿宋" w:hAnsi="仿宋" w:eastAsia="仿宋"/>
          <w:b/>
          <w:color w:val="000000"/>
          <w:sz w:val="32"/>
          <w:szCs w:val="32"/>
        </w:rPr>
        <w:t>住房保障支出）类（住房改革支出）款住房公积金项</w:t>
      </w:r>
      <w:r>
        <w:rPr>
          <w:rFonts w:hint="eastAsia" w:ascii="仿宋" w:hAnsi="仿宋" w:eastAsia="仿宋"/>
          <w:color w:val="000000"/>
          <w:sz w:val="32"/>
          <w:szCs w:val="32"/>
        </w:rPr>
        <w:t>：</w:t>
      </w:r>
      <w:r>
        <w:rPr>
          <w:rStyle w:val="16"/>
          <w:rFonts w:hint="eastAsia" w:ascii="仿宋" w:hAnsi="仿宋" w:eastAsia="仿宋"/>
          <w:b w:val="0"/>
          <w:bCs/>
          <w:color w:val="000000"/>
          <w:sz w:val="32"/>
          <w:szCs w:val="32"/>
        </w:rPr>
        <w:t>支出决算为127.66万元，完成预算100%。</w:t>
      </w:r>
    </w:p>
    <w:p w14:paraId="37BA2AF5">
      <w:pPr>
        <w:tabs>
          <w:tab w:val="right" w:pos="8306"/>
        </w:tabs>
        <w:spacing w:line="600" w:lineRule="exact"/>
        <w:ind w:firstLine="640"/>
        <w:outlineLvl w:val="1"/>
        <w:rPr>
          <w:rStyle w:val="19"/>
        </w:rPr>
      </w:pPr>
      <w:bookmarkStart w:id="49" w:name="_Toc25423"/>
      <w:bookmarkStart w:id="50" w:name="_Toc15396608"/>
      <w:bookmarkStart w:id="5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rPr>
        <w:t>般公共预算财政拨款基本支出决算情况说明</w:t>
      </w:r>
      <w:bookmarkEnd w:id="49"/>
      <w:bookmarkEnd w:id="50"/>
      <w:bookmarkEnd w:id="51"/>
      <w:r>
        <w:rPr>
          <w:rStyle w:val="19"/>
          <w:rFonts w:ascii="黑体" w:hAnsi="黑体" w:eastAsia="黑体"/>
          <w:b w:val="0"/>
        </w:rPr>
        <w:tab/>
      </w:r>
    </w:p>
    <w:p w14:paraId="34B4D51E">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21年一般公共预算财政拨款基本支出1623.13万元，其中：</w:t>
      </w:r>
    </w:p>
    <w:p w14:paraId="4D8C2811">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1611.92万元，主要包括：基本工资、津贴补贴、绩效工资、机关事业单位基本养老保险缴费、职业年金缴费、其他社会保障缴费、抚恤金、生活补助、医疗费、奖励金、住房公积金、其他对个人和家庭的补助支出等。</w:t>
      </w:r>
    </w:p>
    <w:p w14:paraId="635F69E3">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公用经费11.2万元，主要包括退休人员福利费、工会经费等。</w:t>
      </w:r>
    </w:p>
    <w:p w14:paraId="503B5846">
      <w:pPr>
        <w:spacing w:line="600" w:lineRule="exact"/>
        <w:ind w:firstLine="640"/>
        <w:outlineLvl w:val="1"/>
        <w:rPr>
          <w:rStyle w:val="19"/>
          <w:rFonts w:ascii="黑体" w:hAnsi="黑体" w:eastAsia="黑体"/>
          <w:b w:val="0"/>
        </w:rPr>
      </w:pPr>
      <w:bookmarkStart w:id="52" w:name="_Toc8568"/>
      <w:bookmarkStart w:id="53" w:name="_Toc15396609"/>
      <w:bookmarkStart w:id="54" w:name="_Toc15377215"/>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52"/>
      <w:bookmarkEnd w:id="53"/>
      <w:bookmarkEnd w:id="54"/>
    </w:p>
    <w:p w14:paraId="7F41B118">
      <w:pPr>
        <w:spacing w:line="600" w:lineRule="exact"/>
        <w:ind w:firstLine="640"/>
        <w:outlineLvl w:val="2"/>
        <w:rPr>
          <w:rFonts w:ascii="仿宋" w:hAnsi="仿宋" w:eastAsia="仿宋"/>
          <w:b/>
          <w:color w:val="000000"/>
          <w:sz w:val="32"/>
          <w:szCs w:val="32"/>
        </w:rPr>
      </w:pPr>
      <w:bookmarkStart w:id="55" w:name="_Toc15377216"/>
      <w:bookmarkStart w:id="56" w:name="_Toc32002"/>
      <w:r>
        <w:rPr>
          <w:rFonts w:hint="eastAsia" w:ascii="仿宋" w:hAnsi="仿宋" w:eastAsia="仿宋"/>
          <w:b/>
          <w:color w:val="000000"/>
          <w:sz w:val="32"/>
          <w:szCs w:val="32"/>
        </w:rPr>
        <w:t>（一）“三公”经费财政拨款支出决算总体情况说明</w:t>
      </w:r>
      <w:bookmarkEnd w:id="55"/>
      <w:bookmarkEnd w:id="56"/>
    </w:p>
    <w:p w14:paraId="4BCF968B">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21年“三公”经费财政拨款支出决算为6.67万元。完成预算的</w:t>
      </w:r>
      <w:r>
        <w:rPr>
          <w:rFonts w:hint="eastAsia" w:ascii="仿宋" w:hAnsi="仿宋" w:eastAsia="仿宋"/>
          <w:sz w:val="32"/>
          <w:szCs w:val="32"/>
        </w:rPr>
        <w:t>97.95%</w:t>
      </w:r>
      <w:r>
        <w:rPr>
          <w:rFonts w:hint="eastAsia" w:ascii="仿宋" w:hAnsi="仿宋" w:eastAsia="仿宋"/>
          <w:color w:val="000000"/>
          <w:sz w:val="32"/>
          <w:szCs w:val="32"/>
        </w:rPr>
        <w:t>。决算数小于预算数的主要原因是公务接待费减</w:t>
      </w:r>
      <w:r>
        <w:rPr>
          <w:rFonts w:hint="eastAsia" w:ascii="仿宋" w:hAnsi="仿宋" w:eastAsia="仿宋"/>
          <w:color w:val="000000"/>
          <w:sz w:val="32"/>
          <w:szCs w:val="32"/>
          <w:lang w:eastAsia="zh-CN"/>
        </w:rPr>
        <w:t>少</w:t>
      </w:r>
      <w:r>
        <w:rPr>
          <w:rFonts w:hint="eastAsia" w:ascii="仿宋" w:hAnsi="仿宋" w:eastAsia="仿宋"/>
          <w:color w:val="000000"/>
          <w:sz w:val="32"/>
          <w:szCs w:val="32"/>
        </w:rPr>
        <w:t>。</w:t>
      </w:r>
    </w:p>
    <w:p w14:paraId="370913E0">
      <w:pPr>
        <w:spacing w:line="600" w:lineRule="exact"/>
        <w:ind w:firstLine="640"/>
        <w:outlineLvl w:val="2"/>
        <w:rPr>
          <w:rFonts w:ascii="仿宋" w:hAnsi="仿宋" w:eastAsia="仿宋"/>
          <w:b/>
          <w:color w:val="000000"/>
          <w:sz w:val="32"/>
          <w:szCs w:val="32"/>
        </w:rPr>
      </w:pPr>
      <w:bookmarkStart w:id="57" w:name="_Toc16451"/>
      <w:bookmarkStart w:id="58" w:name="_Toc15377217"/>
      <w:r>
        <w:rPr>
          <w:rFonts w:hint="eastAsia" w:ascii="仿宋" w:hAnsi="仿宋" w:eastAsia="仿宋"/>
          <w:b/>
          <w:color w:val="000000"/>
          <w:sz w:val="32"/>
          <w:szCs w:val="32"/>
        </w:rPr>
        <w:t>（二）“三公”经费财政拨款支出决算具体情况说明</w:t>
      </w:r>
      <w:bookmarkEnd w:id="57"/>
      <w:bookmarkEnd w:id="58"/>
    </w:p>
    <w:p w14:paraId="696792AD">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21年“三公”经费财政拨款支出决算中，因公出国（境）费支出决算0万元，占0%，公务用车购置及运行维护费支出决算为6.15万元，占92.2%，公务接待费支出决算为0.52万元，占7.8%。</w:t>
      </w:r>
    </w:p>
    <w:p w14:paraId="544B5AF1">
      <w:pPr>
        <w:spacing w:line="600" w:lineRule="exact"/>
        <w:ind w:firstLine="5760" w:firstLineChars="1800"/>
        <w:rPr>
          <w:rFonts w:ascii="仿宋" w:hAnsi="仿宋" w:eastAsia="仿宋"/>
          <w:color w:val="000000"/>
          <w:sz w:val="32"/>
          <w:szCs w:val="32"/>
        </w:rPr>
      </w:pPr>
      <w:r>
        <w:rPr>
          <w:rFonts w:hint="eastAsia" w:ascii="仿宋" w:hAnsi="仿宋" w:eastAsia="仿宋"/>
          <w:color w:val="000000"/>
          <w:sz w:val="32"/>
          <w:szCs w:val="32"/>
        </w:rPr>
        <w:t>单位：万元</w:t>
      </w:r>
    </w:p>
    <w:p w14:paraId="02C9E56E">
      <w:pPr>
        <w:pStyle w:val="13"/>
        <w:rPr>
          <w:rFonts w:ascii="仿宋" w:hAnsi="仿宋" w:eastAsia="仿宋"/>
          <w:color w:val="000000"/>
          <w:sz w:val="32"/>
          <w:szCs w:val="32"/>
        </w:rPr>
      </w:pPr>
      <w:r>
        <w:drawing>
          <wp:inline distT="0" distB="0" distL="0" distR="0">
            <wp:extent cx="4983480" cy="3223260"/>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4983912" cy="3223540"/>
                    </a:xfrm>
                    <a:prstGeom prst="rect">
                      <a:avLst/>
                    </a:prstGeom>
                  </pic:spPr>
                </pic:pic>
              </a:graphicData>
            </a:graphic>
          </wp:inline>
        </w:drawing>
      </w:r>
    </w:p>
    <w:p w14:paraId="78F2063B">
      <w:pPr>
        <w:spacing w:line="600" w:lineRule="exact"/>
        <w:jc w:val="center"/>
        <w:rPr>
          <w:rFonts w:ascii="仿宋" w:hAnsi="仿宋" w:eastAsia="仿宋"/>
          <w:sz w:val="32"/>
          <w:szCs w:val="32"/>
        </w:rPr>
      </w:pPr>
    </w:p>
    <w:p w14:paraId="74C6E747">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因公出国（境）经费支出0万元，完成预算的0%，全年安排因公出国（境）团组0次，出国（境）0人。</w:t>
      </w:r>
    </w:p>
    <w:p w14:paraId="11E57695">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公务用车购置及运行维护费支出6.15万元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hint="eastAsia" w:ascii="仿宋" w:hAnsi="仿宋" w:eastAsia="仿宋"/>
          <w:sz w:val="32"/>
          <w:szCs w:val="32"/>
        </w:rPr>
        <w:t>123%</w:t>
      </w:r>
      <w:r>
        <w:rPr>
          <w:rFonts w:hint="eastAsia" w:ascii="仿宋" w:hAnsi="仿宋" w:eastAsia="仿宋"/>
          <w:color w:val="000000"/>
          <w:sz w:val="32"/>
          <w:szCs w:val="32"/>
        </w:rPr>
        <w:t>。公务用车购置及运行维护费支出决算比2020年增加2.38万元，主要原因是2021年因疫情防控执行医疗保障</w:t>
      </w:r>
      <w:r>
        <w:rPr>
          <w:rFonts w:hint="eastAsia" w:ascii="仿宋" w:hAnsi="仿宋" w:eastAsia="仿宋"/>
          <w:color w:val="000000"/>
          <w:sz w:val="32"/>
          <w:szCs w:val="32"/>
          <w:lang w:eastAsia="zh-CN"/>
        </w:rPr>
        <w:t>任务造</w:t>
      </w:r>
      <w:r>
        <w:rPr>
          <w:rFonts w:hint="eastAsia" w:ascii="仿宋" w:hAnsi="仿宋" w:eastAsia="仿宋"/>
          <w:color w:val="000000"/>
          <w:sz w:val="32"/>
          <w:szCs w:val="32"/>
        </w:rPr>
        <w:t>成的。</w:t>
      </w:r>
    </w:p>
    <w:p w14:paraId="51EBF170">
      <w:pPr>
        <w:spacing w:line="600" w:lineRule="exact"/>
        <w:ind w:firstLine="640" w:firstLineChars="200"/>
        <w:rPr>
          <w:rFonts w:ascii="仿宋" w:hAnsi="仿宋" w:eastAsia="仿宋"/>
          <w:color w:val="000000"/>
          <w:sz w:val="32"/>
          <w:szCs w:val="32"/>
        </w:rPr>
      </w:pPr>
      <w:r>
        <w:rPr>
          <w:rFonts w:hint="eastAsia" w:ascii="仿宋_GB2312" w:eastAsia="仿宋_GB2312"/>
          <w:color w:val="000000"/>
          <w:sz w:val="32"/>
          <w:szCs w:val="32"/>
        </w:rPr>
        <w:t>其中：</w:t>
      </w:r>
      <w:r>
        <w:rPr>
          <w:rFonts w:hint="eastAsia" w:ascii="仿宋" w:hAnsi="仿宋" w:eastAsia="仿宋"/>
          <w:color w:val="000000"/>
          <w:sz w:val="32"/>
          <w:szCs w:val="32"/>
        </w:rPr>
        <w:t>公务用车购置支出0万元。全年按规定更新购置公务用车0辆，其中：轿车0辆、金额0万元，越野车0辆、金额0万元，载客汽车0辆、金额0万元。截至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月底，单位共有公务用车5辆，其中：轿车0辆、越野车0辆、载客汽车5辆。</w:t>
      </w:r>
    </w:p>
    <w:p w14:paraId="3864FD91">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公务用车运行维护费支出6.15万元。主要用于疫情防控、急诊出诊等所需的公务用车燃料费、维修费、过路过桥费、保险费等支出。</w:t>
      </w:r>
    </w:p>
    <w:p w14:paraId="66922058">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公务接待费支出0.52万元，完成预算的28.73%。2021年共接待11批次53人。完成预算的</w:t>
      </w:r>
      <w:r>
        <w:rPr>
          <w:rFonts w:hint="eastAsia" w:ascii="仿宋" w:hAnsi="仿宋" w:eastAsia="仿宋"/>
          <w:sz w:val="32"/>
          <w:szCs w:val="32"/>
        </w:rPr>
        <w:t>28.74%</w:t>
      </w:r>
      <w:r>
        <w:rPr>
          <w:rFonts w:hint="eastAsia" w:ascii="仿宋" w:hAnsi="仿宋" w:eastAsia="仿宋"/>
          <w:color w:val="000000"/>
          <w:sz w:val="32"/>
          <w:szCs w:val="32"/>
        </w:rPr>
        <w:t>，公务接待费支出决算比2020年增加0.1万元，增长23.8%。主要原因是疫情防控接待工作餐增</w:t>
      </w:r>
      <w:r>
        <w:rPr>
          <w:rFonts w:hint="eastAsia" w:ascii="仿宋" w:hAnsi="仿宋" w:eastAsia="仿宋"/>
          <w:color w:val="000000"/>
          <w:sz w:val="32"/>
          <w:szCs w:val="32"/>
          <w:lang w:eastAsia="zh-CN"/>
        </w:rPr>
        <w:t>加</w:t>
      </w:r>
      <w:r>
        <w:rPr>
          <w:rFonts w:hint="eastAsia" w:ascii="仿宋" w:hAnsi="仿宋" w:eastAsia="仿宋"/>
          <w:color w:val="000000"/>
          <w:sz w:val="32"/>
          <w:szCs w:val="32"/>
        </w:rPr>
        <w:t>。其中：</w:t>
      </w:r>
    </w:p>
    <w:p w14:paraId="1951BAC8">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国内公务接待费0.52万元，主要用于</w:t>
      </w:r>
      <w:r>
        <w:rPr>
          <w:rFonts w:ascii="仿宋" w:hAnsi="仿宋" w:eastAsia="仿宋"/>
          <w:color w:val="000000"/>
          <w:sz w:val="32"/>
          <w:szCs w:val="32"/>
        </w:rPr>
        <w:t>国内公务接待支出0.52万元，主要用于开展业务活动时开支的用餐费等)。国内公务接待11批次，53人次（不包括陪同人员），共计支出0.52万元，具体内容包括：1.接待处理医疗纠纷案件用餐费224元，2.接待疫情防控及业务指导用餐900元，3.接待攀西钒钛检验检测院专家用餐费300元，4.接待医院护理质量安全管理检查工作用餐194元，5.接待全科医生转岗培训项目督导与调研用餐786元，6.接待攀枝花艾滋病管理技术指导及医院“爱婴医院”复核用餐598元，7.接待疫情防控风险排查交叉检查工作用餐240元，8.接待中心医院血透室搬迁前现场评审和指导工作用餐290元，9.接待肾病医疗质量控制督导检查工作餐300元，10.接待攀枝花市消毒供应调研组用餐480元，11.接待四川省中医强基层“百千万”行动专家组用餐850元</w:t>
      </w:r>
      <w:r>
        <w:rPr>
          <w:rFonts w:hint="eastAsia" w:ascii="仿宋" w:hAnsi="仿宋" w:eastAsia="仿宋"/>
          <w:color w:val="000000"/>
          <w:sz w:val="32"/>
          <w:szCs w:val="32"/>
        </w:rPr>
        <w:t>。</w:t>
      </w:r>
    </w:p>
    <w:p w14:paraId="114DB85F">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外事接待支出0万元，外事接待0批次，0人，共计0万元。</w:t>
      </w:r>
      <w:bookmarkStart w:id="59" w:name="_Toc15396610"/>
      <w:bookmarkStart w:id="60" w:name="_Toc15377218"/>
    </w:p>
    <w:p w14:paraId="7B9B665C">
      <w:pPr>
        <w:spacing w:line="600" w:lineRule="exact"/>
        <w:ind w:firstLine="640"/>
        <w:outlineLvl w:val="1"/>
        <w:rPr>
          <w:rStyle w:val="19"/>
          <w:rFonts w:ascii="黑体" w:hAnsi="黑体" w:eastAsia="黑体"/>
        </w:rPr>
      </w:pPr>
      <w:bookmarkStart w:id="61" w:name="_Toc27920"/>
      <w:r>
        <w:rPr>
          <w:rFonts w:hint="eastAsia" w:ascii="黑体" w:eastAsia="黑体"/>
          <w:color w:val="000000"/>
          <w:sz w:val="32"/>
          <w:szCs w:val="32"/>
        </w:rPr>
        <w:t>八、</w:t>
      </w:r>
      <w:r>
        <w:rPr>
          <w:rStyle w:val="19"/>
          <w:rFonts w:hint="eastAsia" w:ascii="黑体" w:hAnsi="黑体" w:eastAsia="黑体"/>
          <w:b w:val="0"/>
        </w:rPr>
        <w:t>政府性基金预算支出决算情况</w:t>
      </w:r>
      <w:bookmarkEnd w:id="59"/>
      <w:bookmarkEnd w:id="60"/>
      <w:r>
        <w:rPr>
          <w:rStyle w:val="19"/>
          <w:rFonts w:hint="eastAsia" w:ascii="黑体" w:hAnsi="黑体" w:eastAsia="黑体"/>
          <w:b w:val="0"/>
        </w:rPr>
        <w:t>说明</w:t>
      </w:r>
      <w:bookmarkEnd w:id="61"/>
    </w:p>
    <w:p w14:paraId="4D1402E9">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21年政府性基金预算拨款支出44.72万元。</w:t>
      </w:r>
    </w:p>
    <w:p w14:paraId="4908243D">
      <w:pPr>
        <w:numPr>
          <w:ilvl w:val="0"/>
          <w:numId w:val="2"/>
        </w:numPr>
        <w:spacing w:line="600" w:lineRule="exact"/>
        <w:ind w:firstLine="640"/>
        <w:outlineLvl w:val="1"/>
        <w:rPr>
          <w:rStyle w:val="19"/>
          <w:rFonts w:ascii="黑体" w:hAnsi="黑体" w:eastAsia="黑体"/>
          <w:b w:val="0"/>
        </w:rPr>
      </w:pPr>
      <w:bookmarkStart w:id="62" w:name="_Toc15396611"/>
      <w:bookmarkStart w:id="63" w:name="_Toc23148"/>
      <w:bookmarkStart w:id="64" w:name="_Toc15377219"/>
      <w:r>
        <w:rPr>
          <w:rStyle w:val="19"/>
          <w:rFonts w:hint="eastAsia" w:ascii="黑体" w:hAnsi="黑体" w:eastAsia="黑体"/>
          <w:b w:val="0"/>
        </w:rPr>
        <w:t>国有资本经营预算支出决算情况说明</w:t>
      </w:r>
      <w:bookmarkEnd w:id="62"/>
      <w:bookmarkEnd w:id="63"/>
      <w:bookmarkEnd w:id="64"/>
    </w:p>
    <w:p w14:paraId="2A2E4970">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21年国有资本经营预算拨款支出0万元。</w:t>
      </w:r>
    </w:p>
    <w:p w14:paraId="3AD5ECE8">
      <w:pPr>
        <w:spacing w:line="600" w:lineRule="exact"/>
        <w:ind w:firstLine="800" w:firstLineChars="250"/>
        <w:outlineLvl w:val="1"/>
        <w:rPr>
          <w:rStyle w:val="19"/>
          <w:rFonts w:ascii="黑体" w:hAnsi="黑体" w:eastAsia="黑体"/>
        </w:rPr>
      </w:pPr>
      <w:bookmarkStart w:id="65" w:name="_Toc28864"/>
      <w:r>
        <w:rPr>
          <w:rFonts w:hint="eastAsia" w:ascii="黑体" w:hAnsi="黑体" w:eastAsia="黑体"/>
          <w:color w:val="000000"/>
          <w:sz w:val="32"/>
          <w:szCs w:val="32"/>
        </w:rPr>
        <w:t>十</w:t>
      </w:r>
      <w:r>
        <w:rPr>
          <w:rStyle w:val="19"/>
          <w:rFonts w:hint="eastAsia" w:ascii="黑体" w:hAnsi="黑体" w:eastAsia="黑体"/>
        </w:rPr>
        <w:t>、其他重要事项的情况说明</w:t>
      </w:r>
      <w:bookmarkEnd w:id="65"/>
    </w:p>
    <w:p w14:paraId="13B5EEC0">
      <w:pPr>
        <w:spacing w:line="600" w:lineRule="exact"/>
        <w:ind w:firstLine="643" w:firstLineChars="200"/>
        <w:outlineLvl w:val="2"/>
        <w:rPr>
          <w:rFonts w:ascii="仿宋" w:hAnsi="仿宋" w:eastAsia="仿宋"/>
          <w:color w:val="000000"/>
          <w:sz w:val="32"/>
          <w:szCs w:val="32"/>
        </w:rPr>
      </w:pPr>
      <w:bookmarkStart w:id="66" w:name="_Toc9597"/>
      <w:r>
        <w:rPr>
          <w:rFonts w:hint="eastAsia" w:ascii="仿宋" w:hAnsi="仿宋" w:eastAsia="仿宋"/>
          <w:b/>
          <w:color w:val="000000"/>
          <w:sz w:val="32"/>
          <w:szCs w:val="32"/>
        </w:rPr>
        <w:t>（一）机关运行经费支出情况</w:t>
      </w:r>
      <w:bookmarkEnd w:id="66"/>
    </w:p>
    <w:p w14:paraId="2FC3D8F5">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21年，盐边县人民医院机关运行经费支出0万元。</w:t>
      </w:r>
    </w:p>
    <w:p w14:paraId="69F19A6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7" w:name="_Toc10061"/>
      <w:r>
        <w:rPr>
          <w:rFonts w:hint="eastAsia" w:ascii="仿宋" w:hAnsi="仿宋" w:eastAsia="仿宋"/>
          <w:b/>
          <w:color w:val="000000"/>
          <w:sz w:val="32"/>
          <w:szCs w:val="32"/>
        </w:rPr>
        <w:t>（二）政府采购支出情况</w:t>
      </w:r>
      <w:bookmarkEnd w:id="67"/>
    </w:p>
    <w:p w14:paraId="55BDE8A5">
      <w:pPr>
        <w:spacing w:line="600" w:lineRule="exact"/>
        <w:ind w:firstLine="640" w:firstLineChars="200"/>
        <w:rPr>
          <w:rFonts w:ascii="仿宋" w:hAnsi="仿宋" w:eastAsia="仿宋"/>
          <w:color w:val="000000"/>
          <w:sz w:val="32"/>
          <w:szCs w:val="32"/>
        </w:rPr>
      </w:pPr>
      <w:r>
        <w:rPr>
          <w:rFonts w:ascii="仿宋_GB2312" w:eastAsia="仿宋_GB2312"/>
          <w:color w:val="000000"/>
          <w:sz w:val="32"/>
          <w:szCs w:val="32"/>
        </w:rPr>
        <w:t>2</w:t>
      </w:r>
      <w:r>
        <w:rPr>
          <w:rFonts w:ascii="仿宋" w:hAnsi="仿宋" w:eastAsia="仿宋"/>
          <w:color w:val="000000"/>
          <w:sz w:val="32"/>
          <w:szCs w:val="32"/>
        </w:rPr>
        <w:t>0</w:t>
      </w:r>
      <w:r>
        <w:rPr>
          <w:rFonts w:hint="eastAsia" w:ascii="仿宋" w:hAnsi="仿宋" w:eastAsia="仿宋"/>
          <w:color w:val="000000"/>
          <w:sz w:val="32"/>
          <w:szCs w:val="32"/>
        </w:rPr>
        <w:t>21年，盐边县人民医院政府采购支出总额3252.844万元，其中：政府采购货物支出1258.894万元、政府采购工程支出0万元、政府采购服务支出1993.95万元。主要用于医技楼装修及设备购置。授予中小企业合同金额0万元，占政府采购支出总额的0</w:t>
      </w:r>
      <w:r>
        <w:rPr>
          <w:rFonts w:ascii="仿宋" w:hAnsi="仿宋" w:eastAsia="仿宋"/>
          <w:color w:val="000000"/>
          <w:sz w:val="32"/>
          <w:szCs w:val="32"/>
        </w:rPr>
        <w:t>%</w:t>
      </w:r>
      <w:r>
        <w:rPr>
          <w:rFonts w:hint="eastAsia" w:ascii="仿宋" w:hAnsi="仿宋" w:eastAsia="仿宋"/>
          <w:color w:val="000000"/>
          <w:sz w:val="32"/>
          <w:szCs w:val="32"/>
        </w:rPr>
        <w:t>，其中：授予小微企业合同金额0万元，占政府采购支出总额的0</w:t>
      </w:r>
      <w:r>
        <w:rPr>
          <w:rFonts w:ascii="仿宋" w:hAnsi="仿宋" w:eastAsia="仿宋"/>
          <w:color w:val="000000"/>
          <w:sz w:val="32"/>
          <w:szCs w:val="32"/>
        </w:rPr>
        <w:t>%</w:t>
      </w:r>
      <w:r>
        <w:rPr>
          <w:rFonts w:hint="eastAsia" w:ascii="仿宋" w:hAnsi="仿宋" w:eastAsia="仿宋"/>
          <w:color w:val="000000"/>
          <w:sz w:val="32"/>
          <w:szCs w:val="32"/>
        </w:rPr>
        <w:t>。</w:t>
      </w:r>
    </w:p>
    <w:p w14:paraId="3A6E1AD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8" w:name="_Toc27701"/>
      <w:r>
        <w:rPr>
          <w:rFonts w:hint="eastAsia" w:ascii="仿宋" w:hAnsi="仿宋" w:eastAsia="仿宋"/>
          <w:b/>
          <w:color w:val="000000"/>
          <w:sz w:val="32"/>
          <w:szCs w:val="32"/>
        </w:rPr>
        <w:t>（三）国有资产占有使用情况</w:t>
      </w:r>
      <w:bookmarkEnd w:id="68"/>
    </w:p>
    <w:p w14:paraId="2E6C385E">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盐边县人民医院共有车辆5辆，其中：主要领导干部用车0辆、机要通信用车0辆、应急保障用车1辆、特种专业技术用车（救护车）4辆，主要用于盐边县城及周边乡镇的急诊急救工作及本地区的疫情防控工作。单价</w:t>
      </w:r>
      <w:r>
        <w:rPr>
          <w:rFonts w:ascii="仿宋" w:hAnsi="仿宋" w:eastAsia="仿宋"/>
          <w:color w:val="000000"/>
          <w:sz w:val="32"/>
          <w:szCs w:val="32"/>
        </w:rPr>
        <w:t>50</w:t>
      </w:r>
      <w:r>
        <w:rPr>
          <w:rFonts w:hint="eastAsia" w:ascii="仿宋" w:hAnsi="仿宋" w:eastAsia="仿宋"/>
          <w:color w:val="000000"/>
          <w:sz w:val="32"/>
          <w:szCs w:val="32"/>
        </w:rPr>
        <w:t>万元以上通用设备1台（套），单价</w:t>
      </w:r>
      <w:r>
        <w:rPr>
          <w:rFonts w:ascii="仿宋" w:hAnsi="仿宋" w:eastAsia="仿宋"/>
          <w:color w:val="000000"/>
          <w:sz w:val="32"/>
          <w:szCs w:val="32"/>
        </w:rPr>
        <w:t>100</w:t>
      </w:r>
      <w:r>
        <w:rPr>
          <w:rFonts w:hint="eastAsia" w:ascii="仿宋" w:hAnsi="仿宋" w:eastAsia="仿宋"/>
          <w:color w:val="000000"/>
          <w:sz w:val="32"/>
          <w:szCs w:val="32"/>
        </w:rPr>
        <w:t>万元以上专用设备7台（套）。</w:t>
      </w:r>
    </w:p>
    <w:p w14:paraId="4505A623">
      <w:pPr>
        <w:spacing w:line="580" w:lineRule="exact"/>
        <w:ind w:firstLine="315" w:firstLineChars="98"/>
        <w:rPr>
          <w:rFonts w:ascii="仿宋" w:hAnsi="仿宋" w:eastAsia="仿宋" w:cs="楷体_GB2312"/>
          <w:b/>
          <w:bCs/>
          <w:sz w:val="32"/>
          <w:szCs w:val="32"/>
        </w:rPr>
      </w:pPr>
      <w:r>
        <w:rPr>
          <w:rFonts w:hint="eastAsia" w:ascii="仿宋" w:hAnsi="仿宋" w:eastAsia="仿宋"/>
          <w:b/>
          <w:color w:val="000000"/>
          <w:sz w:val="32"/>
          <w:szCs w:val="32"/>
        </w:rPr>
        <w:t>（四）</w:t>
      </w:r>
      <w:r>
        <w:rPr>
          <w:rFonts w:hint="eastAsia" w:ascii="仿宋" w:hAnsi="仿宋" w:eastAsia="仿宋" w:cs="楷体_GB2312"/>
          <w:b/>
          <w:bCs/>
          <w:sz w:val="32"/>
          <w:szCs w:val="32"/>
        </w:rPr>
        <w:t>预算绩效管理情况。</w:t>
      </w:r>
    </w:p>
    <w:p w14:paraId="70E145F4">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根据预算绩效管理要求，本单位在2021年初预算编制阶段，组织对医疗服务与保障能力提升项目、抗疫特别国债等项目开展了预算事前绩效评估，对2个项目编制了绩效目标</w:t>
      </w:r>
      <w:r>
        <w:rPr>
          <w:rFonts w:hint="eastAsia" w:ascii="仿宋" w:hAnsi="仿宋" w:eastAsia="仿宋"/>
          <w:color w:val="000000"/>
          <w:sz w:val="32"/>
          <w:szCs w:val="32"/>
          <w:lang w:eastAsia="zh-CN"/>
        </w:rPr>
        <w:t>，在</w:t>
      </w:r>
      <w:r>
        <w:rPr>
          <w:rFonts w:hint="eastAsia" w:ascii="仿宋" w:hAnsi="仿宋" w:eastAsia="仿宋"/>
          <w:color w:val="000000"/>
          <w:sz w:val="32"/>
          <w:szCs w:val="32"/>
        </w:rPr>
        <w:t>预算执行过程中，选取2个项目开展绩效监控，年终执行完毕后，对2个项目开展了绩效自评，2021年特定目标类部门预算项目绩效目标自评表见附件（第四</w:t>
      </w:r>
      <w:r>
        <w:rPr>
          <w:rFonts w:hint="eastAsia" w:ascii="仿宋" w:hAnsi="仿宋" w:eastAsia="仿宋"/>
          <w:color w:val="000000"/>
          <w:sz w:val="32"/>
          <w:szCs w:val="32"/>
          <w:lang w:eastAsia="zh-CN"/>
        </w:rPr>
        <w:t>部分</w:t>
      </w:r>
      <w:r>
        <w:rPr>
          <w:rFonts w:hint="eastAsia" w:ascii="仿宋" w:hAnsi="仿宋" w:eastAsia="仿宋"/>
          <w:color w:val="000000"/>
          <w:sz w:val="32"/>
          <w:szCs w:val="32"/>
        </w:rPr>
        <w:t>）</w:t>
      </w:r>
    </w:p>
    <w:p w14:paraId="5E68512C">
      <w:pPr>
        <w:autoSpaceDE w:val="0"/>
        <w:autoSpaceDN w:val="0"/>
        <w:adjustRightInd w:val="0"/>
        <w:spacing w:line="600" w:lineRule="exact"/>
        <w:ind w:firstLine="640" w:firstLineChars="200"/>
        <w:jc w:val="left"/>
        <w:rPr>
          <w:rFonts w:ascii="仿宋" w:hAnsi="仿宋" w:eastAsia="仿宋"/>
          <w:color w:val="000000"/>
          <w:sz w:val="32"/>
          <w:szCs w:val="32"/>
        </w:rPr>
      </w:pPr>
    </w:p>
    <w:p w14:paraId="10BBF140">
      <w:pPr>
        <w:numPr>
          <w:ilvl w:val="0"/>
          <w:numId w:val="3"/>
        </w:numPr>
        <w:spacing w:line="600" w:lineRule="exact"/>
        <w:ind w:firstLine="660" w:firstLineChars="150"/>
        <w:jc w:val="center"/>
        <w:outlineLvl w:val="0"/>
        <w:rPr>
          <w:rStyle w:val="18"/>
          <w:rFonts w:ascii="黑体" w:hAnsi="黑体" w:eastAsia="黑体"/>
          <w:b w:val="0"/>
        </w:rPr>
      </w:pPr>
      <w:bookmarkStart w:id="69" w:name="_Toc21237"/>
      <w:r>
        <w:rPr>
          <w:rFonts w:hint="eastAsia" w:ascii="黑体" w:hAnsi="黑体" w:eastAsia="黑体"/>
          <w:sz w:val="44"/>
          <w:szCs w:val="44"/>
        </w:rPr>
        <w:t>名</w:t>
      </w:r>
      <w:r>
        <w:rPr>
          <w:rStyle w:val="18"/>
          <w:rFonts w:hint="eastAsia" w:ascii="黑体" w:hAnsi="黑体" w:eastAsia="黑体"/>
        </w:rPr>
        <w:t>词解释</w:t>
      </w:r>
      <w:bookmarkEnd w:id="69"/>
    </w:p>
    <w:p w14:paraId="5226EE5D">
      <w:pPr>
        <w:spacing w:line="600" w:lineRule="exact"/>
        <w:jc w:val="left"/>
        <w:rPr>
          <w:rFonts w:ascii="宋体"/>
          <w:b/>
          <w:sz w:val="44"/>
          <w:szCs w:val="44"/>
        </w:rPr>
      </w:pPr>
    </w:p>
    <w:p w14:paraId="4EDC0C11">
      <w:pPr>
        <w:pStyle w:val="27"/>
        <w:spacing w:line="560" w:lineRule="exact"/>
        <w:ind w:firstLine="640" w:firstLineChars="200"/>
        <w:rPr>
          <w:rFonts w:hAnsi="仿宋" w:cs="Times New Roman"/>
          <w:kern w:val="2"/>
          <w:sz w:val="32"/>
          <w:szCs w:val="32"/>
        </w:rPr>
      </w:pPr>
      <w:r>
        <w:rPr>
          <w:rFonts w:hAnsi="仿宋" w:cs="Times New Roman"/>
          <w:kern w:val="2"/>
          <w:sz w:val="32"/>
          <w:szCs w:val="32"/>
        </w:rPr>
        <w:t>1.</w:t>
      </w:r>
      <w:r>
        <w:rPr>
          <w:rFonts w:hint="eastAsia" w:hAnsi="仿宋" w:cs="Times New Roman"/>
          <w:kern w:val="2"/>
          <w:sz w:val="32"/>
          <w:szCs w:val="32"/>
        </w:rPr>
        <w:t>财政拨款收入：指单位从同级财政部门取得的财政预算资金。</w:t>
      </w:r>
    </w:p>
    <w:p w14:paraId="3189013C">
      <w:pPr>
        <w:pStyle w:val="27"/>
        <w:spacing w:line="560" w:lineRule="exact"/>
        <w:ind w:firstLine="640" w:firstLineChars="200"/>
        <w:rPr>
          <w:rFonts w:hAnsi="仿宋" w:cs="Times New Roman"/>
          <w:kern w:val="2"/>
          <w:sz w:val="32"/>
          <w:szCs w:val="32"/>
        </w:rPr>
      </w:pPr>
      <w:r>
        <w:rPr>
          <w:rFonts w:hAnsi="仿宋" w:cs="Times New Roman"/>
          <w:kern w:val="2"/>
          <w:sz w:val="32"/>
          <w:szCs w:val="32"/>
        </w:rPr>
        <w:t>2.</w:t>
      </w:r>
      <w:r>
        <w:rPr>
          <w:rFonts w:hint="eastAsia" w:hAnsi="仿宋" w:cs="Times New Roman"/>
          <w:kern w:val="2"/>
          <w:sz w:val="32"/>
          <w:szCs w:val="32"/>
        </w:rPr>
        <w:t>事业收入：指事业单位开展专业业务活动及辅助活动取得的收入。</w:t>
      </w:r>
    </w:p>
    <w:p w14:paraId="59BB7854">
      <w:pPr>
        <w:pStyle w:val="27"/>
        <w:spacing w:line="560" w:lineRule="exact"/>
        <w:ind w:firstLine="640" w:firstLineChars="200"/>
        <w:rPr>
          <w:rFonts w:hAnsi="仿宋" w:cs="Times New Roman"/>
          <w:kern w:val="2"/>
          <w:sz w:val="32"/>
          <w:szCs w:val="32"/>
        </w:rPr>
      </w:pPr>
      <w:r>
        <w:rPr>
          <w:rFonts w:hint="eastAsia" w:hAnsi="仿宋" w:cs="Times New Roman"/>
          <w:kern w:val="2"/>
          <w:sz w:val="32"/>
          <w:szCs w:val="32"/>
        </w:rPr>
        <w:t>3</w:t>
      </w:r>
      <w:r>
        <w:rPr>
          <w:rFonts w:hAnsi="仿宋" w:cs="Times New Roman"/>
          <w:kern w:val="2"/>
          <w:sz w:val="32"/>
          <w:szCs w:val="32"/>
        </w:rPr>
        <w:t>.</w:t>
      </w:r>
      <w:r>
        <w:rPr>
          <w:rFonts w:hint="eastAsia" w:hAnsi="仿宋" w:cs="Times New Roman"/>
          <w:kern w:val="2"/>
          <w:sz w:val="32"/>
          <w:szCs w:val="32"/>
        </w:rPr>
        <w:t>其他收入：指单位取得的除上述收入以外的各项收入。</w:t>
      </w:r>
    </w:p>
    <w:p w14:paraId="3E6DC229">
      <w:pPr>
        <w:pStyle w:val="27"/>
        <w:spacing w:line="560" w:lineRule="exact"/>
        <w:ind w:firstLine="640" w:firstLineChars="200"/>
        <w:rPr>
          <w:rFonts w:hAnsi="仿宋" w:cs="Times New Roman"/>
          <w:kern w:val="2"/>
          <w:sz w:val="32"/>
          <w:szCs w:val="32"/>
        </w:rPr>
      </w:pPr>
      <w:r>
        <w:rPr>
          <w:rFonts w:hint="eastAsia" w:hAnsi="仿宋" w:cs="Times New Roman"/>
          <w:kern w:val="2"/>
          <w:sz w:val="32"/>
          <w:szCs w:val="32"/>
        </w:rPr>
        <w:t>4</w:t>
      </w:r>
      <w:r>
        <w:rPr>
          <w:rFonts w:hAnsi="仿宋" w:cs="Times New Roman"/>
          <w:kern w:val="2"/>
          <w:sz w:val="32"/>
          <w:szCs w:val="32"/>
        </w:rPr>
        <w:t>.</w:t>
      </w:r>
      <w:r>
        <w:rPr>
          <w:rFonts w:hint="eastAsia" w:hAnsi="仿宋" w:cs="Times New Roman"/>
          <w:kern w:val="2"/>
          <w:sz w:val="32"/>
          <w:szCs w:val="32"/>
        </w:rPr>
        <w:t>年初结转和结余：指以前年度尚未完成、结转到本年按有关规定继续使用的资金。</w:t>
      </w:r>
    </w:p>
    <w:p w14:paraId="026C7119">
      <w:pPr>
        <w:pStyle w:val="27"/>
        <w:spacing w:line="560" w:lineRule="exact"/>
        <w:ind w:firstLine="640" w:firstLineChars="200"/>
        <w:rPr>
          <w:rFonts w:hAnsi="仿宋" w:cs="Times New Roman"/>
          <w:kern w:val="2"/>
          <w:sz w:val="32"/>
          <w:szCs w:val="32"/>
        </w:rPr>
      </w:pPr>
      <w:r>
        <w:rPr>
          <w:rFonts w:hint="eastAsia" w:hAnsi="仿宋" w:cs="Times New Roman"/>
          <w:kern w:val="2"/>
          <w:sz w:val="32"/>
          <w:szCs w:val="32"/>
        </w:rPr>
        <w:t>5</w:t>
      </w:r>
      <w:r>
        <w:rPr>
          <w:rFonts w:hAnsi="仿宋" w:cs="Times New Roman"/>
          <w:kern w:val="2"/>
          <w:sz w:val="32"/>
          <w:szCs w:val="32"/>
        </w:rPr>
        <w:t>.</w:t>
      </w:r>
      <w:r>
        <w:rPr>
          <w:rFonts w:hint="eastAsia" w:hAnsi="仿宋" w:cs="Times New Roman"/>
          <w:kern w:val="2"/>
          <w:sz w:val="32"/>
          <w:szCs w:val="32"/>
        </w:rPr>
        <w:t>结余分配：指事业单位按照会计制度规定缴纳的所得税、提取的专用结余以及转入非财政拨款结余的金额等。</w:t>
      </w:r>
    </w:p>
    <w:p w14:paraId="6A48C240">
      <w:pPr>
        <w:pStyle w:val="27"/>
        <w:spacing w:line="560" w:lineRule="exact"/>
        <w:ind w:firstLine="640" w:firstLineChars="200"/>
        <w:rPr>
          <w:rFonts w:hAnsi="仿宋" w:cs="Times New Roman"/>
          <w:kern w:val="2"/>
          <w:sz w:val="32"/>
          <w:szCs w:val="32"/>
        </w:rPr>
      </w:pPr>
      <w:r>
        <w:rPr>
          <w:rFonts w:hint="eastAsia" w:hAnsi="仿宋" w:cs="Times New Roman"/>
          <w:kern w:val="2"/>
          <w:sz w:val="32"/>
          <w:szCs w:val="32"/>
          <w:lang w:eastAsia="zh-CN"/>
        </w:rPr>
        <w:t>6.</w:t>
      </w:r>
      <w:r>
        <w:rPr>
          <w:rFonts w:hint="eastAsia" w:hAnsi="仿宋" w:cs="Times New Roman"/>
          <w:kern w:val="2"/>
          <w:sz w:val="32"/>
          <w:szCs w:val="32"/>
        </w:rPr>
        <w:t>年末结转和结余：指单位按有关规定结转到下年或以后年度继续使用的资金。</w:t>
      </w:r>
    </w:p>
    <w:p w14:paraId="669041DF">
      <w:pPr>
        <w:ind w:firstLine="640" w:firstLineChars="200"/>
        <w:rPr>
          <w:rFonts w:ascii="仿宋" w:hAnsi="仿宋" w:eastAsia="仿宋"/>
          <w:color w:val="000000"/>
          <w:sz w:val="32"/>
          <w:szCs w:val="32"/>
        </w:rPr>
      </w:pPr>
      <w:r>
        <w:rPr>
          <w:rFonts w:hint="eastAsia" w:ascii="仿宋" w:hAnsi="仿宋" w:eastAsia="仿宋"/>
          <w:color w:val="000000"/>
          <w:sz w:val="32"/>
          <w:szCs w:val="32"/>
        </w:rPr>
        <w:t>7</w:t>
      </w:r>
      <w:r>
        <w:rPr>
          <w:rFonts w:ascii="仿宋" w:hAnsi="仿宋" w:eastAsia="仿宋"/>
          <w:color w:val="000000"/>
          <w:sz w:val="32"/>
          <w:szCs w:val="32"/>
        </w:rPr>
        <w:t>.</w:t>
      </w:r>
      <w:r>
        <w:rPr>
          <w:rFonts w:hint="eastAsia" w:ascii="仿宋" w:hAnsi="仿宋" w:eastAsia="仿宋"/>
          <w:color w:val="000000"/>
          <w:sz w:val="32"/>
          <w:szCs w:val="32"/>
        </w:rPr>
        <w:t>社会保障和就业支出（类）行政事业单位养老支出（款）机关事业单位基本养老保险缴费支出（项）：指机关事业单位实施养老保险制度由单位缴纳的基本养老保险费支出。</w:t>
      </w:r>
    </w:p>
    <w:p w14:paraId="5EC71E60">
      <w:pPr>
        <w:pStyle w:val="5"/>
        <w:spacing w:before="93"/>
        <w:ind w:firstLine="640" w:firstLineChars="200"/>
        <w:rPr>
          <w:rFonts w:ascii="仿宋" w:hAnsi="仿宋" w:eastAsia="仿宋"/>
          <w:color w:val="000000"/>
          <w:kern w:val="2"/>
          <w:sz w:val="32"/>
          <w:szCs w:val="32"/>
        </w:rPr>
      </w:pPr>
      <w:r>
        <w:rPr>
          <w:rFonts w:hint="eastAsia" w:ascii="仿宋" w:hAnsi="仿宋" w:eastAsia="仿宋"/>
          <w:color w:val="000000"/>
          <w:kern w:val="2"/>
          <w:sz w:val="32"/>
          <w:szCs w:val="32"/>
        </w:rPr>
        <w:t>8</w:t>
      </w:r>
      <w:r>
        <w:rPr>
          <w:rFonts w:ascii="仿宋" w:hAnsi="仿宋" w:eastAsia="仿宋"/>
          <w:color w:val="000000"/>
          <w:kern w:val="2"/>
          <w:sz w:val="32"/>
          <w:szCs w:val="32"/>
        </w:rPr>
        <w:t>.</w:t>
      </w:r>
      <w:r>
        <w:rPr>
          <w:rFonts w:hint="eastAsia" w:ascii="仿宋" w:hAnsi="仿宋" w:eastAsia="仿宋"/>
          <w:color w:val="000000"/>
          <w:kern w:val="2"/>
          <w:sz w:val="32"/>
          <w:szCs w:val="32"/>
        </w:rPr>
        <w:t>社会保障和就业（类）行政事业单位养老支出（款）机关事业单位职业年金缴费支出（项）</w:t>
      </w:r>
      <w:r>
        <w:rPr>
          <w:rFonts w:hint="eastAsia" w:ascii="仿宋" w:hAnsi="仿宋" w:eastAsia="仿宋"/>
          <w:color w:val="000000"/>
          <w:kern w:val="2"/>
          <w:sz w:val="32"/>
          <w:szCs w:val="32"/>
          <w:lang w:eastAsia="zh-CN"/>
        </w:rPr>
        <w:t>：</w:t>
      </w:r>
      <w:r>
        <w:rPr>
          <w:rFonts w:hint="eastAsia" w:ascii="仿宋" w:hAnsi="仿宋" w:eastAsia="仿宋"/>
          <w:color w:val="000000"/>
          <w:kern w:val="2"/>
          <w:sz w:val="32"/>
          <w:szCs w:val="32"/>
        </w:rPr>
        <w:t>指机关事业单位实施养老保险制度由单位实际缴纳的职业年金支出。</w:t>
      </w:r>
    </w:p>
    <w:p w14:paraId="085E0AAB">
      <w:pPr>
        <w:ind w:firstLine="640" w:firstLineChars="200"/>
        <w:rPr>
          <w:rFonts w:ascii="仿宋" w:hAnsi="仿宋" w:eastAsia="仿宋"/>
          <w:color w:val="000000"/>
          <w:sz w:val="32"/>
          <w:szCs w:val="32"/>
        </w:rPr>
      </w:pPr>
      <w:r>
        <w:rPr>
          <w:rFonts w:hint="eastAsia" w:ascii="仿宋" w:hAnsi="仿宋" w:eastAsia="仿宋"/>
          <w:color w:val="000000"/>
          <w:sz w:val="32"/>
          <w:szCs w:val="32"/>
        </w:rPr>
        <w:t>9.卫生健康支出（类）公立医院（款）综合医院（项）：指卫生健康、中医部门所属的城市综合性医院、独立门诊、教学医院、疗养院和县医院的支出。</w:t>
      </w:r>
    </w:p>
    <w:p w14:paraId="291EB7A0">
      <w:pPr>
        <w:ind w:firstLine="640" w:firstLineChars="200"/>
        <w:rPr>
          <w:rFonts w:ascii="仿宋" w:hAnsi="仿宋" w:eastAsia="仿宋"/>
          <w:color w:val="000000"/>
          <w:sz w:val="32"/>
          <w:szCs w:val="32"/>
        </w:rPr>
      </w:pPr>
      <w:r>
        <w:rPr>
          <w:rFonts w:hint="eastAsia" w:ascii="仿宋" w:hAnsi="仿宋" w:eastAsia="仿宋"/>
          <w:color w:val="000000"/>
          <w:sz w:val="32"/>
          <w:szCs w:val="32"/>
        </w:rPr>
        <w:t>10.卫生健康支出（类）公立医院（款）其他公立医院支出（项）：指除上述项目以外的其他用于公立医院方面的支出。</w:t>
      </w:r>
    </w:p>
    <w:p w14:paraId="6487C941">
      <w:pPr>
        <w:ind w:firstLine="640" w:firstLineChars="200"/>
        <w:rPr>
          <w:rFonts w:ascii="仿宋" w:hAnsi="仿宋" w:eastAsia="仿宋"/>
          <w:color w:val="000000"/>
          <w:sz w:val="32"/>
          <w:szCs w:val="32"/>
        </w:rPr>
      </w:pPr>
      <w:r>
        <w:rPr>
          <w:rFonts w:hint="eastAsia" w:ascii="仿宋" w:hAnsi="仿宋" w:eastAsia="仿宋"/>
          <w:color w:val="000000"/>
          <w:sz w:val="32"/>
          <w:szCs w:val="32"/>
        </w:rPr>
        <w:t>11.卫生健康支出（类）公共卫生（款）重大公共卫生服务（项）：指重大疾病、重大传染病预防控制等重大公共卫生服务项目支出。</w:t>
      </w:r>
    </w:p>
    <w:p w14:paraId="34F7B3EC">
      <w:pPr>
        <w:ind w:firstLine="640" w:firstLineChars="200"/>
        <w:rPr>
          <w:rFonts w:ascii="仿宋" w:hAnsi="仿宋" w:eastAsia="仿宋"/>
          <w:color w:val="000000"/>
          <w:sz w:val="32"/>
          <w:szCs w:val="32"/>
        </w:rPr>
      </w:pPr>
      <w:r>
        <w:rPr>
          <w:rFonts w:hint="eastAsia" w:ascii="仿宋" w:hAnsi="仿宋" w:eastAsia="仿宋"/>
          <w:color w:val="000000"/>
          <w:sz w:val="32"/>
          <w:szCs w:val="32"/>
        </w:rPr>
        <w:t>12.卫生健康支出（类）公共卫生（款）突发公共卫生事件应急处理（项）：指用于突发公共卫生事件应急处理的支出。</w:t>
      </w:r>
    </w:p>
    <w:p w14:paraId="4D02A853">
      <w:pPr>
        <w:ind w:firstLine="640" w:firstLineChars="200"/>
        <w:rPr>
          <w:rFonts w:ascii="仿宋" w:hAnsi="仿宋" w:eastAsia="仿宋"/>
          <w:color w:val="000000"/>
          <w:sz w:val="32"/>
          <w:szCs w:val="32"/>
        </w:rPr>
      </w:pPr>
      <w:r>
        <w:rPr>
          <w:rFonts w:hint="eastAsia" w:ascii="仿宋" w:hAnsi="仿宋" w:eastAsia="仿宋"/>
          <w:color w:val="000000"/>
          <w:sz w:val="32"/>
          <w:szCs w:val="32"/>
        </w:rPr>
        <w:t>13.卫生健康支出（类）行政事业单位医疗（款）事业单位医疗（项）：指财政部门安排的事业单位基本医疗保险缴费经费，未参加医疗保险的事业单位的公费医疗经费，按国家规定享受离休人员待遇的医疗经费。</w:t>
      </w:r>
    </w:p>
    <w:p w14:paraId="7FCA0B38">
      <w:pPr>
        <w:ind w:firstLine="640" w:firstLineChars="200"/>
        <w:rPr>
          <w:rFonts w:ascii="仿宋" w:hAnsi="仿宋" w:eastAsia="仿宋"/>
          <w:color w:val="000000"/>
          <w:sz w:val="32"/>
          <w:szCs w:val="32"/>
        </w:rPr>
      </w:pPr>
      <w:r>
        <w:rPr>
          <w:rFonts w:hint="eastAsia" w:ascii="仿宋" w:hAnsi="仿宋" w:eastAsia="仿宋"/>
          <w:color w:val="000000"/>
          <w:sz w:val="32"/>
          <w:szCs w:val="32"/>
        </w:rPr>
        <w:t>14.卫生健康支出（类）行政事业单位医疗（款）公务员医疗补助（项）：指财政部门安排的公务员医疗补助经费。</w:t>
      </w:r>
    </w:p>
    <w:p w14:paraId="1E7FA7D0">
      <w:pPr>
        <w:ind w:firstLine="640" w:firstLineChars="200"/>
        <w:rPr>
          <w:rFonts w:ascii="仿宋" w:hAnsi="仿宋" w:eastAsia="仿宋"/>
          <w:color w:val="000000"/>
          <w:sz w:val="32"/>
          <w:szCs w:val="32"/>
        </w:rPr>
      </w:pPr>
      <w:r>
        <w:rPr>
          <w:rFonts w:hint="eastAsia" w:ascii="仿宋" w:hAnsi="仿宋" w:eastAsia="仿宋"/>
          <w:color w:val="000000"/>
          <w:sz w:val="32"/>
          <w:szCs w:val="32"/>
        </w:rPr>
        <w:t>15.卫生健康支出（类）其他卫生健康支出（款）其他卫生健康支出（项）：指除上述项目以外其他用于卫生健康方面的支出。</w:t>
      </w:r>
    </w:p>
    <w:p w14:paraId="4F6DF8D4">
      <w:pPr>
        <w:ind w:firstLine="640" w:firstLineChars="200"/>
        <w:rPr>
          <w:rFonts w:ascii="仿宋" w:hAnsi="仿宋" w:eastAsia="仿宋"/>
          <w:color w:val="000000"/>
          <w:sz w:val="32"/>
          <w:szCs w:val="32"/>
        </w:rPr>
      </w:pPr>
      <w:r>
        <w:rPr>
          <w:rFonts w:hint="eastAsia" w:ascii="仿宋" w:hAnsi="仿宋" w:eastAsia="仿宋"/>
          <w:color w:val="000000"/>
          <w:sz w:val="32"/>
          <w:szCs w:val="32"/>
        </w:rPr>
        <w:t>16.住房保障支出（类）住房改革支出（款）住房公积金（项）：指行政事业单位按人力资源和社会保障部、财政部规定的基本工资和津贴补贴以及规定比例为职工缴纳的住房公积金。</w:t>
      </w:r>
    </w:p>
    <w:p w14:paraId="104C7F6F">
      <w:pPr>
        <w:ind w:firstLine="640" w:firstLineChars="200"/>
        <w:rPr>
          <w:rFonts w:ascii="仿宋" w:hAnsi="仿宋" w:eastAsia="仿宋"/>
          <w:color w:val="000000"/>
          <w:sz w:val="32"/>
          <w:szCs w:val="32"/>
        </w:rPr>
      </w:pPr>
      <w:r>
        <w:rPr>
          <w:rFonts w:hint="eastAsia" w:ascii="仿宋" w:hAnsi="仿宋" w:eastAsia="仿宋"/>
          <w:color w:val="000000"/>
          <w:sz w:val="32"/>
          <w:szCs w:val="32"/>
        </w:rPr>
        <w:t>17</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14:paraId="2DBAFA16">
      <w:pPr>
        <w:ind w:firstLine="640" w:firstLineChars="200"/>
        <w:rPr>
          <w:rFonts w:ascii="仿宋" w:hAnsi="仿宋" w:eastAsia="仿宋"/>
          <w:color w:val="000000"/>
          <w:sz w:val="32"/>
          <w:szCs w:val="32"/>
        </w:rPr>
      </w:pPr>
      <w:r>
        <w:rPr>
          <w:rFonts w:hint="eastAsia" w:ascii="仿宋" w:hAnsi="仿宋" w:eastAsia="仿宋"/>
          <w:color w:val="000000"/>
          <w:sz w:val="32"/>
          <w:szCs w:val="32"/>
        </w:rPr>
        <w:t>18</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14:paraId="233C947B">
      <w:pPr>
        <w:pStyle w:val="27"/>
        <w:spacing w:line="560" w:lineRule="exact"/>
        <w:ind w:firstLine="640" w:firstLineChars="200"/>
        <w:rPr>
          <w:rFonts w:hAnsi="仿宋" w:cs="Times New Roman"/>
          <w:kern w:val="2"/>
          <w:sz w:val="32"/>
          <w:szCs w:val="32"/>
        </w:rPr>
      </w:pPr>
      <w:r>
        <w:rPr>
          <w:rFonts w:hint="eastAsia" w:hAnsi="仿宋" w:cs="Times New Roman"/>
          <w:kern w:val="2"/>
          <w:sz w:val="32"/>
          <w:szCs w:val="32"/>
        </w:rPr>
        <w:t>19</w:t>
      </w:r>
      <w:r>
        <w:rPr>
          <w:rFonts w:hAnsi="仿宋" w:cs="Times New Roman"/>
          <w:kern w:val="2"/>
          <w:sz w:val="32"/>
          <w:szCs w:val="32"/>
        </w:rPr>
        <w:t>.</w:t>
      </w:r>
      <w:r>
        <w:rPr>
          <w:rFonts w:hint="eastAsia" w:hAnsi="仿宋" w:cs="Times New Roman"/>
          <w:kern w:val="2"/>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F9FBA5B">
      <w:pPr>
        <w:pStyle w:val="27"/>
        <w:spacing w:line="560" w:lineRule="exact"/>
        <w:ind w:firstLine="640" w:firstLineChars="200"/>
        <w:rPr>
          <w:rFonts w:hAnsi="仿宋" w:cs="Times New Roman"/>
          <w:kern w:val="2"/>
          <w:sz w:val="32"/>
          <w:szCs w:val="32"/>
        </w:rPr>
      </w:pPr>
      <w:r>
        <w:rPr>
          <w:rFonts w:hint="eastAsia" w:hAnsi="仿宋" w:cs="Times New Roman"/>
          <w:kern w:val="2"/>
          <w:sz w:val="32"/>
          <w:szCs w:val="32"/>
        </w:rPr>
        <w:t>20</w:t>
      </w:r>
      <w:r>
        <w:rPr>
          <w:rFonts w:hAnsi="仿宋" w:cs="Times New Roman"/>
          <w:kern w:val="2"/>
          <w:sz w:val="32"/>
          <w:szCs w:val="32"/>
        </w:rPr>
        <w:t>.</w:t>
      </w:r>
      <w:r>
        <w:rPr>
          <w:rFonts w:hint="eastAsia" w:hAnsi="仿宋" w:cs="Times New Roman"/>
          <w:kern w:val="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5DC8299">
      <w:pPr>
        <w:pStyle w:val="27"/>
        <w:spacing w:line="560" w:lineRule="exact"/>
        <w:ind w:firstLine="640" w:firstLineChars="200"/>
        <w:rPr>
          <w:rFonts w:ascii="仿宋_GB2312" w:eastAsia="仿宋_GB2312"/>
          <w:color w:val="auto"/>
          <w:sz w:val="32"/>
          <w:szCs w:val="32"/>
        </w:rPr>
      </w:pPr>
    </w:p>
    <w:p w14:paraId="77E80C92">
      <w:pPr>
        <w:autoSpaceDE w:val="0"/>
        <w:autoSpaceDN w:val="0"/>
        <w:adjustRightInd w:val="0"/>
        <w:spacing w:line="600" w:lineRule="exact"/>
        <w:ind w:firstLine="2420" w:firstLineChars="550"/>
        <w:jc w:val="left"/>
        <w:rPr>
          <w:rFonts w:ascii="黑体" w:hAnsi="黑体" w:eastAsia="黑体"/>
          <w:sz w:val="44"/>
          <w:szCs w:val="44"/>
        </w:rPr>
      </w:pPr>
      <w:bookmarkStart w:id="70" w:name="_Toc32587"/>
    </w:p>
    <w:p w14:paraId="7504E240">
      <w:pPr>
        <w:autoSpaceDE w:val="0"/>
        <w:autoSpaceDN w:val="0"/>
        <w:adjustRightInd w:val="0"/>
        <w:spacing w:line="600" w:lineRule="exact"/>
        <w:ind w:firstLine="2420" w:firstLineChars="550"/>
        <w:jc w:val="left"/>
        <w:rPr>
          <w:rFonts w:ascii="黑体" w:hAnsi="黑体" w:eastAsia="黑体"/>
          <w:sz w:val="44"/>
          <w:szCs w:val="44"/>
        </w:rPr>
      </w:pPr>
    </w:p>
    <w:p w14:paraId="1628C761">
      <w:pPr>
        <w:autoSpaceDE w:val="0"/>
        <w:autoSpaceDN w:val="0"/>
        <w:adjustRightInd w:val="0"/>
        <w:spacing w:line="600" w:lineRule="exact"/>
        <w:ind w:firstLine="2420" w:firstLineChars="550"/>
        <w:jc w:val="left"/>
        <w:rPr>
          <w:rFonts w:ascii="黑体" w:hAnsi="黑体" w:eastAsia="黑体"/>
          <w:sz w:val="44"/>
          <w:szCs w:val="44"/>
        </w:rPr>
      </w:pPr>
    </w:p>
    <w:p w14:paraId="5C3B10FE">
      <w:pPr>
        <w:autoSpaceDE w:val="0"/>
        <w:autoSpaceDN w:val="0"/>
        <w:adjustRightInd w:val="0"/>
        <w:spacing w:line="600" w:lineRule="exact"/>
        <w:ind w:firstLine="2420" w:firstLineChars="550"/>
        <w:jc w:val="left"/>
        <w:rPr>
          <w:rFonts w:ascii="黑体" w:hAnsi="黑体" w:eastAsia="黑体"/>
          <w:sz w:val="44"/>
          <w:szCs w:val="44"/>
        </w:rPr>
      </w:pPr>
    </w:p>
    <w:p w14:paraId="1F83A1CA">
      <w:pPr>
        <w:autoSpaceDE w:val="0"/>
        <w:autoSpaceDN w:val="0"/>
        <w:adjustRightInd w:val="0"/>
        <w:spacing w:line="600" w:lineRule="exact"/>
        <w:ind w:firstLine="2420" w:firstLineChars="550"/>
        <w:jc w:val="left"/>
        <w:rPr>
          <w:rFonts w:ascii="黑体" w:hAnsi="黑体" w:eastAsia="黑体"/>
          <w:sz w:val="44"/>
          <w:szCs w:val="44"/>
        </w:rPr>
      </w:pPr>
    </w:p>
    <w:p w14:paraId="5726DD44">
      <w:pPr>
        <w:autoSpaceDE w:val="0"/>
        <w:autoSpaceDN w:val="0"/>
        <w:adjustRightInd w:val="0"/>
        <w:spacing w:line="600" w:lineRule="exact"/>
        <w:ind w:firstLine="2420" w:firstLineChars="550"/>
        <w:jc w:val="left"/>
        <w:rPr>
          <w:rFonts w:ascii="黑体" w:hAnsi="黑体" w:eastAsia="黑体"/>
          <w:sz w:val="44"/>
          <w:szCs w:val="44"/>
        </w:rPr>
      </w:pPr>
    </w:p>
    <w:p w14:paraId="7960C846">
      <w:pPr>
        <w:autoSpaceDE w:val="0"/>
        <w:autoSpaceDN w:val="0"/>
        <w:adjustRightInd w:val="0"/>
        <w:spacing w:line="600" w:lineRule="exact"/>
        <w:ind w:firstLine="2420" w:firstLineChars="550"/>
        <w:jc w:val="left"/>
        <w:rPr>
          <w:rFonts w:ascii="黑体" w:hAnsi="黑体" w:eastAsia="黑体"/>
          <w:sz w:val="44"/>
          <w:szCs w:val="44"/>
        </w:rPr>
      </w:pPr>
    </w:p>
    <w:p w14:paraId="4B889F47">
      <w:pPr>
        <w:autoSpaceDE w:val="0"/>
        <w:autoSpaceDN w:val="0"/>
        <w:adjustRightInd w:val="0"/>
        <w:spacing w:line="600" w:lineRule="exact"/>
        <w:ind w:firstLine="2420" w:firstLineChars="550"/>
        <w:jc w:val="left"/>
        <w:rPr>
          <w:rFonts w:ascii="黑体" w:hAnsi="黑体" w:eastAsia="黑体"/>
          <w:sz w:val="44"/>
          <w:szCs w:val="44"/>
        </w:rPr>
      </w:pPr>
    </w:p>
    <w:p w14:paraId="49D09001">
      <w:pPr>
        <w:autoSpaceDE w:val="0"/>
        <w:autoSpaceDN w:val="0"/>
        <w:adjustRightInd w:val="0"/>
        <w:spacing w:line="600" w:lineRule="exact"/>
        <w:ind w:firstLine="2420" w:firstLineChars="550"/>
        <w:jc w:val="left"/>
        <w:rPr>
          <w:rFonts w:ascii="黑体" w:hAnsi="黑体" w:eastAsia="黑体"/>
          <w:sz w:val="44"/>
          <w:szCs w:val="44"/>
        </w:rPr>
      </w:pPr>
    </w:p>
    <w:p w14:paraId="62579C98">
      <w:pPr>
        <w:autoSpaceDE w:val="0"/>
        <w:autoSpaceDN w:val="0"/>
        <w:adjustRightInd w:val="0"/>
        <w:spacing w:line="600" w:lineRule="exact"/>
        <w:ind w:firstLine="2420" w:firstLineChars="550"/>
        <w:jc w:val="left"/>
        <w:rPr>
          <w:rFonts w:ascii="黑体" w:hAnsi="黑体" w:eastAsia="黑体"/>
          <w:sz w:val="44"/>
          <w:szCs w:val="44"/>
        </w:rPr>
      </w:pPr>
    </w:p>
    <w:p w14:paraId="7A3D663A">
      <w:pPr>
        <w:autoSpaceDE w:val="0"/>
        <w:autoSpaceDN w:val="0"/>
        <w:adjustRightInd w:val="0"/>
        <w:spacing w:line="600" w:lineRule="exact"/>
        <w:ind w:firstLine="2420" w:firstLineChars="550"/>
        <w:jc w:val="left"/>
        <w:rPr>
          <w:rFonts w:ascii="黑体" w:hAnsi="黑体" w:eastAsia="黑体"/>
          <w:sz w:val="44"/>
          <w:szCs w:val="44"/>
        </w:rPr>
      </w:pPr>
    </w:p>
    <w:p w14:paraId="32AE4B4F">
      <w:pPr>
        <w:autoSpaceDE w:val="0"/>
        <w:autoSpaceDN w:val="0"/>
        <w:adjustRightInd w:val="0"/>
        <w:spacing w:line="600" w:lineRule="exact"/>
        <w:ind w:firstLine="2420" w:firstLineChars="550"/>
        <w:jc w:val="left"/>
        <w:rPr>
          <w:rFonts w:ascii="黑体" w:hAnsi="黑体" w:eastAsia="黑体"/>
          <w:sz w:val="44"/>
          <w:szCs w:val="44"/>
        </w:rPr>
      </w:pPr>
    </w:p>
    <w:p w14:paraId="10D930F0">
      <w:pPr>
        <w:autoSpaceDE w:val="0"/>
        <w:autoSpaceDN w:val="0"/>
        <w:adjustRightInd w:val="0"/>
        <w:spacing w:line="600" w:lineRule="exact"/>
        <w:ind w:firstLine="2420" w:firstLineChars="550"/>
        <w:jc w:val="left"/>
        <w:rPr>
          <w:rFonts w:ascii="黑体" w:hAnsi="黑体" w:eastAsia="黑体"/>
          <w:sz w:val="44"/>
          <w:szCs w:val="44"/>
        </w:rPr>
      </w:pPr>
    </w:p>
    <w:p w14:paraId="1469520D">
      <w:pPr>
        <w:autoSpaceDE w:val="0"/>
        <w:autoSpaceDN w:val="0"/>
        <w:adjustRightInd w:val="0"/>
        <w:spacing w:line="600" w:lineRule="exact"/>
        <w:ind w:firstLine="2420" w:firstLineChars="550"/>
        <w:jc w:val="left"/>
        <w:rPr>
          <w:rFonts w:ascii="黑体" w:hAnsi="黑体" w:eastAsia="黑体"/>
          <w:sz w:val="44"/>
          <w:szCs w:val="44"/>
        </w:rPr>
      </w:pPr>
    </w:p>
    <w:p w14:paraId="1674743E">
      <w:pPr>
        <w:autoSpaceDE w:val="0"/>
        <w:autoSpaceDN w:val="0"/>
        <w:adjustRightInd w:val="0"/>
        <w:spacing w:line="600" w:lineRule="exact"/>
        <w:ind w:firstLine="2420" w:firstLineChars="550"/>
        <w:jc w:val="left"/>
        <w:rPr>
          <w:rFonts w:ascii="黑体" w:hAnsi="黑体" w:eastAsia="黑体"/>
          <w:sz w:val="44"/>
          <w:szCs w:val="44"/>
        </w:rPr>
      </w:pPr>
    </w:p>
    <w:p w14:paraId="0828090F">
      <w:pPr>
        <w:autoSpaceDE w:val="0"/>
        <w:autoSpaceDN w:val="0"/>
        <w:adjustRightInd w:val="0"/>
        <w:spacing w:line="600" w:lineRule="exact"/>
        <w:ind w:firstLine="2420" w:firstLineChars="550"/>
        <w:jc w:val="left"/>
        <w:rPr>
          <w:rFonts w:ascii="仿宋" w:hAnsi="仿宋" w:eastAsia="仿宋"/>
          <w:color w:val="000000"/>
          <w:sz w:val="32"/>
          <w:szCs w:val="32"/>
        </w:rPr>
      </w:pPr>
      <w:r>
        <w:rPr>
          <w:rFonts w:hint="eastAsia" w:ascii="黑体" w:hAnsi="黑体" w:eastAsia="黑体"/>
          <w:sz w:val="44"/>
          <w:szCs w:val="44"/>
        </w:rPr>
        <w:t>第</w:t>
      </w:r>
      <w:r>
        <w:rPr>
          <w:rStyle w:val="18"/>
          <w:rFonts w:hint="eastAsia" w:ascii="黑体" w:hAnsi="黑体" w:eastAsia="黑体"/>
        </w:rPr>
        <w:t>四部分 附件</w:t>
      </w:r>
      <w:bookmarkEnd w:id="70"/>
    </w:p>
    <w:p w14:paraId="443E5318">
      <w:pPr>
        <w:autoSpaceDE w:val="0"/>
        <w:autoSpaceDN w:val="0"/>
        <w:adjustRightInd w:val="0"/>
        <w:spacing w:line="600" w:lineRule="exact"/>
        <w:ind w:firstLine="640" w:firstLineChars="200"/>
        <w:jc w:val="left"/>
        <w:rPr>
          <w:rFonts w:ascii="仿宋" w:hAnsi="仿宋" w:eastAsia="仿宋"/>
          <w:color w:val="000000"/>
          <w:sz w:val="32"/>
          <w:szCs w:val="32"/>
        </w:rPr>
      </w:pPr>
    </w:p>
    <w:p w14:paraId="4FCDBC7D">
      <w:pPr>
        <w:spacing w:line="572" w:lineRule="exact"/>
        <w:jc w:val="left"/>
        <w:outlineLvl w:val="0"/>
        <w:rPr>
          <w:rFonts w:ascii="仿宋_GB2312" w:hAnsi="仿宋_GB2312" w:eastAsia="仿宋_GB2312" w:cs="仿宋_GB2312"/>
          <w:sz w:val="32"/>
          <w:szCs w:val="32"/>
        </w:rPr>
      </w:pPr>
      <w:bookmarkStart w:id="71" w:name="_Toc13272"/>
      <w:r>
        <w:rPr>
          <w:rFonts w:hint="eastAsia" w:ascii="黑体" w:hAnsi="黑体" w:eastAsia="黑体" w:cs="黑体"/>
          <w:sz w:val="32"/>
          <w:szCs w:val="32"/>
        </w:rPr>
        <w:t>附件</w:t>
      </w:r>
      <w:bookmarkEnd w:id="71"/>
      <w:r>
        <w:rPr>
          <w:rFonts w:hint="eastAsia" w:ascii="黑体" w:hAnsi="黑体" w:eastAsia="黑体" w:cs="黑体"/>
          <w:sz w:val="32"/>
          <w:szCs w:val="32"/>
        </w:rPr>
        <w:t>1：</w:t>
      </w:r>
    </w:p>
    <w:tbl>
      <w:tblPr>
        <w:tblStyle w:val="14"/>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2026"/>
        <w:gridCol w:w="1170"/>
        <w:gridCol w:w="1675"/>
        <w:gridCol w:w="1616"/>
        <w:gridCol w:w="856"/>
        <w:gridCol w:w="278"/>
        <w:gridCol w:w="2190"/>
      </w:tblGrid>
      <w:tr w14:paraId="5559F859">
        <w:tblPrEx>
          <w:tblCellMar>
            <w:top w:w="0" w:type="dxa"/>
            <w:left w:w="108" w:type="dxa"/>
            <w:bottom w:w="0" w:type="dxa"/>
            <w:right w:w="108" w:type="dxa"/>
          </w:tblCellMar>
        </w:tblPrEx>
        <w:trPr>
          <w:trHeight w:val="675" w:hRule="atLeast"/>
        </w:trPr>
        <w:tc>
          <w:tcPr>
            <w:tcW w:w="9811" w:type="dxa"/>
            <w:gridSpan w:val="7"/>
            <w:tcBorders>
              <w:top w:val="nil"/>
              <w:left w:val="nil"/>
              <w:bottom w:val="nil"/>
              <w:right w:val="nil"/>
            </w:tcBorders>
            <w:vAlign w:val="center"/>
          </w:tcPr>
          <w:p w14:paraId="4E4103C6">
            <w:pPr>
              <w:widowControl/>
              <w:jc w:val="center"/>
              <w:textAlignment w:val="center"/>
              <w:rPr>
                <w:rFonts w:ascii="宋体" w:hAnsi="宋体" w:cs="宋体"/>
                <w:b/>
                <w:sz w:val="32"/>
                <w:szCs w:val="32"/>
              </w:rPr>
            </w:pPr>
            <w:r>
              <w:rPr>
                <w:rFonts w:hint="eastAsia" w:ascii="宋体" w:hAnsi="宋体" w:cs="宋体"/>
                <w:b/>
                <w:sz w:val="32"/>
                <w:szCs w:val="32"/>
              </w:rPr>
              <w:t>医疗服务与保障能力提升项目绩效评价表</w:t>
            </w:r>
          </w:p>
        </w:tc>
      </w:tr>
      <w:tr w14:paraId="4CE24073">
        <w:tblPrEx>
          <w:tblCellMar>
            <w:top w:w="0" w:type="dxa"/>
            <w:left w:w="108" w:type="dxa"/>
            <w:bottom w:w="0" w:type="dxa"/>
            <w:right w:w="108" w:type="dxa"/>
          </w:tblCellMar>
        </w:tblPrEx>
        <w:trPr>
          <w:trHeight w:val="254" w:hRule="atLeast"/>
        </w:trPr>
        <w:tc>
          <w:tcPr>
            <w:tcW w:w="3196" w:type="dxa"/>
            <w:gridSpan w:val="2"/>
            <w:tcBorders>
              <w:top w:val="single" w:color="000000" w:sz="4" w:space="0"/>
              <w:left w:val="single" w:color="000000" w:sz="4" w:space="0"/>
              <w:bottom w:val="single" w:color="000000" w:sz="4" w:space="0"/>
              <w:right w:val="single" w:color="000000" w:sz="4" w:space="0"/>
            </w:tcBorders>
            <w:vAlign w:val="center"/>
          </w:tcPr>
          <w:p w14:paraId="4449D6AD">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3291" w:type="dxa"/>
            <w:gridSpan w:val="2"/>
            <w:tcBorders>
              <w:top w:val="single" w:color="000000" w:sz="4" w:space="0"/>
              <w:left w:val="single" w:color="000000" w:sz="4" w:space="0"/>
              <w:bottom w:val="single" w:color="000000" w:sz="4" w:space="0"/>
              <w:right w:val="single" w:color="000000" w:sz="4" w:space="0"/>
            </w:tcBorders>
            <w:vAlign w:val="center"/>
          </w:tcPr>
          <w:p w14:paraId="43BC0656">
            <w:pPr>
              <w:widowControl/>
              <w:spacing w:line="320" w:lineRule="exact"/>
              <w:textAlignment w:val="center"/>
              <w:rPr>
                <w:rFonts w:ascii="宋体" w:hAnsi="宋体" w:cs="宋体"/>
                <w:sz w:val="24"/>
              </w:rPr>
            </w:pPr>
            <w:r>
              <w:rPr>
                <w:rFonts w:hint="eastAsia" w:ascii="宋体" w:hAnsi="宋体" w:cs="宋体"/>
                <w:sz w:val="24"/>
              </w:rPr>
              <w:t>盐边县卫生健康局</w:t>
            </w:r>
          </w:p>
        </w:tc>
        <w:tc>
          <w:tcPr>
            <w:tcW w:w="856" w:type="dxa"/>
            <w:tcBorders>
              <w:top w:val="single" w:color="000000" w:sz="4" w:space="0"/>
              <w:left w:val="single" w:color="000000" w:sz="4" w:space="0"/>
              <w:bottom w:val="single" w:color="000000" w:sz="4" w:space="0"/>
              <w:right w:val="single" w:color="000000" w:sz="4" w:space="0"/>
            </w:tcBorders>
            <w:vAlign w:val="center"/>
          </w:tcPr>
          <w:p w14:paraId="6ECAB1C1">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66CB34FF">
            <w:pPr>
              <w:widowControl/>
              <w:spacing w:line="320" w:lineRule="exact"/>
              <w:jc w:val="left"/>
              <w:textAlignment w:val="center"/>
              <w:rPr>
                <w:rFonts w:ascii="宋体" w:hAnsi="宋体" w:cs="宋体"/>
                <w:sz w:val="24"/>
              </w:rPr>
            </w:pPr>
            <w:r>
              <w:rPr>
                <w:rFonts w:hint="eastAsia" w:ascii="宋体" w:hAnsi="宋体" w:cs="宋体"/>
                <w:sz w:val="24"/>
              </w:rPr>
              <w:t>盐边县人民医院</w:t>
            </w:r>
          </w:p>
        </w:tc>
      </w:tr>
      <w:tr w14:paraId="67E5336C">
        <w:tblPrEx>
          <w:tblCellMar>
            <w:top w:w="0" w:type="dxa"/>
            <w:left w:w="108" w:type="dxa"/>
            <w:bottom w:w="0" w:type="dxa"/>
            <w:right w:w="108" w:type="dxa"/>
          </w:tblCellMar>
        </w:tblPrEx>
        <w:trPr>
          <w:trHeight w:val="341" w:hRule="atLeast"/>
        </w:trPr>
        <w:tc>
          <w:tcPr>
            <w:tcW w:w="319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E77F357">
            <w:pPr>
              <w:widowControl/>
              <w:spacing w:line="320" w:lineRule="exact"/>
              <w:jc w:val="center"/>
              <w:textAlignment w:val="center"/>
              <w:rPr>
                <w:rFonts w:ascii="宋体" w:hAnsi="宋体" w:cs="宋体"/>
                <w:kern w:val="0"/>
                <w:sz w:val="24"/>
              </w:rPr>
            </w:pPr>
            <w:r>
              <w:rPr>
                <w:rFonts w:hint="eastAsia" w:ascii="宋体" w:hAnsi="宋体" w:cs="宋体"/>
                <w:kern w:val="0"/>
                <w:sz w:val="24"/>
              </w:rPr>
              <w:t>项目预算</w:t>
            </w:r>
          </w:p>
          <w:p w14:paraId="24A72718">
            <w:pPr>
              <w:widowControl/>
              <w:spacing w:line="320" w:lineRule="exact"/>
              <w:jc w:val="center"/>
              <w:textAlignment w:val="center"/>
              <w:rPr>
                <w:rFonts w:ascii="宋体" w:hAnsi="宋体" w:cs="宋体"/>
                <w:kern w:val="0"/>
                <w:sz w:val="24"/>
              </w:rPr>
            </w:pPr>
            <w:r>
              <w:rPr>
                <w:rFonts w:hint="eastAsia" w:ascii="宋体" w:hAnsi="宋体" w:cs="宋体"/>
                <w:kern w:val="0"/>
                <w:sz w:val="24"/>
              </w:rPr>
              <w:t>执行情况</w:t>
            </w:r>
          </w:p>
          <w:p w14:paraId="65EF53A2">
            <w:pPr>
              <w:widowControl/>
              <w:spacing w:line="320" w:lineRule="exact"/>
              <w:jc w:val="center"/>
              <w:textAlignment w:val="center"/>
              <w:rPr>
                <w:rFonts w:ascii="宋体" w:hAnsi="宋体" w:cs="宋体"/>
                <w:sz w:val="24"/>
              </w:rPr>
            </w:pPr>
            <w:r>
              <w:rPr>
                <w:rFonts w:hint="eastAsia" w:ascii="宋体" w:hAnsi="宋体" w:cs="宋体"/>
                <w:kern w:val="0"/>
                <w:sz w:val="24"/>
              </w:rPr>
              <w:t>（万元）</w:t>
            </w:r>
          </w:p>
        </w:tc>
        <w:tc>
          <w:tcPr>
            <w:tcW w:w="1675" w:type="dxa"/>
            <w:tcBorders>
              <w:top w:val="single" w:color="000000" w:sz="4" w:space="0"/>
              <w:left w:val="single" w:color="000000" w:sz="4" w:space="0"/>
              <w:bottom w:val="single" w:color="000000" w:sz="4" w:space="0"/>
              <w:right w:val="single" w:color="000000" w:sz="4" w:space="0"/>
            </w:tcBorders>
            <w:vAlign w:val="center"/>
          </w:tcPr>
          <w:p w14:paraId="71F1C9D3">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616" w:type="dxa"/>
            <w:tcBorders>
              <w:top w:val="single" w:color="000000" w:sz="4" w:space="0"/>
              <w:left w:val="single" w:color="000000" w:sz="4" w:space="0"/>
              <w:bottom w:val="single" w:color="000000" w:sz="4" w:space="0"/>
              <w:right w:val="single" w:color="000000" w:sz="4" w:space="0"/>
            </w:tcBorders>
            <w:vAlign w:val="center"/>
          </w:tcPr>
          <w:p w14:paraId="2A7DFF31">
            <w:pPr>
              <w:widowControl/>
              <w:spacing w:line="320" w:lineRule="exact"/>
              <w:jc w:val="left"/>
              <w:textAlignment w:val="center"/>
              <w:rPr>
                <w:rFonts w:ascii="宋体" w:hAnsi="宋体" w:cs="宋体"/>
                <w:sz w:val="24"/>
              </w:rPr>
            </w:pPr>
            <w:r>
              <w:rPr>
                <w:rFonts w:hint="eastAsia" w:ascii="宋体" w:hAnsi="宋体" w:cs="宋体"/>
                <w:sz w:val="24"/>
              </w:rPr>
              <w:t>130．67</w:t>
            </w:r>
          </w:p>
        </w:tc>
        <w:tc>
          <w:tcPr>
            <w:tcW w:w="856" w:type="dxa"/>
            <w:tcBorders>
              <w:top w:val="single" w:color="000000" w:sz="4" w:space="0"/>
              <w:left w:val="single" w:color="000000" w:sz="4" w:space="0"/>
              <w:bottom w:val="single" w:color="000000" w:sz="4" w:space="0"/>
              <w:right w:val="single" w:color="000000" w:sz="4" w:space="0"/>
            </w:tcBorders>
            <w:vAlign w:val="center"/>
          </w:tcPr>
          <w:p w14:paraId="1AFC856B">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469FA14D">
            <w:pPr>
              <w:widowControl/>
              <w:spacing w:line="320" w:lineRule="exact"/>
              <w:jc w:val="left"/>
              <w:textAlignment w:val="center"/>
              <w:rPr>
                <w:rFonts w:ascii="宋体" w:hAnsi="宋体" w:cs="宋体"/>
                <w:sz w:val="24"/>
              </w:rPr>
            </w:pPr>
            <w:r>
              <w:rPr>
                <w:rFonts w:hint="eastAsia" w:ascii="宋体" w:hAnsi="宋体" w:cs="宋体"/>
                <w:sz w:val="24"/>
              </w:rPr>
              <w:t>94．37</w:t>
            </w:r>
          </w:p>
        </w:tc>
      </w:tr>
      <w:tr w14:paraId="2D784E60">
        <w:tblPrEx>
          <w:tblCellMar>
            <w:top w:w="0" w:type="dxa"/>
            <w:left w:w="108" w:type="dxa"/>
            <w:bottom w:w="0" w:type="dxa"/>
            <w:right w:w="108" w:type="dxa"/>
          </w:tblCellMar>
        </w:tblPrEx>
        <w:trPr>
          <w:trHeight w:val="555" w:hRule="atLeast"/>
        </w:trPr>
        <w:tc>
          <w:tcPr>
            <w:tcW w:w="319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212ABE">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vAlign w:val="center"/>
          </w:tcPr>
          <w:p w14:paraId="27A1746F">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498D2718">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616" w:type="dxa"/>
            <w:tcBorders>
              <w:top w:val="single" w:color="000000" w:sz="4" w:space="0"/>
              <w:left w:val="single" w:color="000000" w:sz="4" w:space="0"/>
              <w:bottom w:val="single" w:color="000000" w:sz="4" w:space="0"/>
              <w:right w:val="single" w:color="000000" w:sz="4" w:space="0"/>
            </w:tcBorders>
            <w:vAlign w:val="center"/>
          </w:tcPr>
          <w:p w14:paraId="2FE7F3CA">
            <w:pPr>
              <w:widowControl/>
              <w:spacing w:line="320" w:lineRule="exact"/>
              <w:jc w:val="left"/>
              <w:textAlignment w:val="center"/>
              <w:rPr>
                <w:rFonts w:ascii="宋体" w:hAnsi="宋体" w:cs="宋体"/>
                <w:sz w:val="24"/>
              </w:rPr>
            </w:pPr>
            <w:r>
              <w:rPr>
                <w:rFonts w:hint="eastAsia" w:ascii="宋体" w:hAnsi="宋体" w:cs="宋体"/>
                <w:sz w:val="24"/>
              </w:rPr>
              <w:t>130．67</w:t>
            </w:r>
          </w:p>
        </w:tc>
        <w:tc>
          <w:tcPr>
            <w:tcW w:w="856" w:type="dxa"/>
            <w:tcBorders>
              <w:top w:val="single" w:color="000000" w:sz="4" w:space="0"/>
              <w:left w:val="single" w:color="000000" w:sz="4" w:space="0"/>
              <w:bottom w:val="single" w:color="000000" w:sz="4" w:space="0"/>
              <w:right w:val="single" w:color="000000" w:sz="4" w:space="0"/>
            </w:tcBorders>
            <w:vAlign w:val="center"/>
          </w:tcPr>
          <w:p w14:paraId="419DF747">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79B671A9">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69E6B9F7">
            <w:pPr>
              <w:widowControl/>
              <w:spacing w:line="320" w:lineRule="exact"/>
              <w:textAlignment w:val="center"/>
              <w:rPr>
                <w:rFonts w:ascii="宋体" w:hAnsi="宋体" w:cs="宋体"/>
                <w:sz w:val="24"/>
              </w:rPr>
            </w:pPr>
            <w:r>
              <w:rPr>
                <w:rFonts w:hint="eastAsia" w:ascii="宋体" w:hAnsi="宋体" w:cs="宋体"/>
                <w:sz w:val="24"/>
              </w:rPr>
              <w:t>94．37</w:t>
            </w:r>
          </w:p>
        </w:tc>
      </w:tr>
      <w:tr w14:paraId="18F58476">
        <w:tblPrEx>
          <w:tblCellMar>
            <w:top w:w="0" w:type="dxa"/>
            <w:left w:w="108" w:type="dxa"/>
            <w:bottom w:w="0" w:type="dxa"/>
            <w:right w:w="108" w:type="dxa"/>
          </w:tblCellMar>
        </w:tblPrEx>
        <w:trPr>
          <w:trHeight w:val="341" w:hRule="atLeast"/>
        </w:trPr>
        <w:tc>
          <w:tcPr>
            <w:tcW w:w="319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57F42B">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vAlign w:val="center"/>
          </w:tcPr>
          <w:p w14:paraId="442EEA29">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616" w:type="dxa"/>
            <w:tcBorders>
              <w:top w:val="single" w:color="000000" w:sz="4" w:space="0"/>
              <w:left w:val="single" w:color="000000" w:sz="4" w:space="0"/>
              <w:bottom w:val="single" w:color="000000" w:sz="4" w:space="0"/>
              <w:right w:val="single" w:color="000000" w:sz="4" w:space="0"/>
            </w:tcBorders>
            <w:vAlign w:val="center"/>
          </w:tcPr>
          <w:p w14:paraId="2E506E15">
            <w:pPr>
              <w:widowControl/>
              <w:spacing w:line="320" w:lineRule="exact"/>
              <w:jc w:val="left"/>
              <w:textAlignment w:val="center"/>
              <w:rPr>
                <w:rFonts w:ascii="宋体" w:hAnsi="宋体" w:cs="宋体"/>
                <w:sz w:val="24"/>
              </w:rPr>
            </w:pPr>
          </w:p>
        </w:tc>
        <w:tc>
          <w:tcPr>
            <w:tcW w:w="856" w:type="dxa"/>
            <w:tcBorders>
              <w:top w:val="single" w:color="000000" w:sz="4" w:space="0"/>
              <w:left w:val="single" w:color="000000" w:sz="4" w:space="0"/>
              <w:bottom w:val="single" w:color="000000" w:sz="4" w:space="0"/>
              <w:right w:val="single" w:color="000000" w:sz="4" w:space="0"/>
            </w:tcBorders>
            <w:vAlign w:val="center"/>
          </w:tcPr>
          <w:p w14:paraId="6C2B1A24">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2EDB4206">
            <w:pPr>
              <w:widowControl/>
              <w:spacing w:line="320" w:lineRule="exact"/>
              <w:jc w:val="center"/>
              <w:textAlignment w:val="center"/>
              <w:rPr>
                <w:rFonts w:ascii="宋体" w:hAnsi="宋体" w:cs="宋体"/>
                <w:sz w:val="24"/>
              </w:rPr>
            </w:pPr>
          </w:p>
        </w:tc>
      </w:tr>
      <w:tr w14:paraId="3677FFC4">
        <w:tblPrEx>
          <w:tblCellMar>
            <w:top w:w="0" w:type="dxa"/>
            <w:left w:w="108" w:type="dxa"/>
            <w:bottom w:w="0" w:type="dxa"/>
            <w:right w:w="108" w:type="dxa"/>
          </w:tblCellMar>
        </w:tblPrEx>
        <w:trPr>
          <w:trHeight w:val="217" w:hRule="atLeast"/>
        </w:trPr>
        <w:tc>
          <w:tcPr>
            <w:tcW w:w="2026" w:type="dxa"/>
            <w:vMerge w:val="restart"/>
            <w:tcBorders>
              <w:top w:val="single" w:color="000000" w:sz="4" w:space="0"/>
              <w:left w:val="single" w:color="000000" w:sz="4" w:space="0"/>
              <w:bottom w:val="single" w:color="000000" w:sz="4" w:space="0"/>
              <w:right w:val="single" w:color="000000" w:sz="4" w:space="0"/>
            </w:tcBorders>
            <w:vAlign w:val="center"/>
          </w:tcPr>
          <w:p w14:paraId="5F2AC82A">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5EC34AFF">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461" w:type="dxa"/>
            <w:gridSpan w:val="3"/>
            <w:tcBorders>
              <w:top w:val="single" w:color="000000" w:sz="4" w:space="0"/>
              <w:left w:val="single" w:color="000000" w:sz="4" w:space="0"/>
              <w:bottom w:val="single" w:color="000000" w:sz="4" w:space="0"/>
              <w:right w:val="single" w:color="000000" w:sz="4" w:space="0"/>
            </w:tcBorders>
            <w:vAlign w:val="center"/>
          </w:tcPr>
          <w:p w14:paraId="7A4ADC40">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324" w:type="dxa"/>
            <w:gridSpan w:val="3"/>
            <w:tcBorders>
              <w:top w:val="single" w:color="000000" w:sz="4" w:space="0"/>
              <w:left w:val="single" w:color="000000" w:sz="4" w:space="0"/>
              <w:bottom w:val="single" w:color="000000" w:sz="4" w:space="0"/>
              <w:right w:val="single" w:color="000000" w:sz="4" w:space="0"/>
            </w:tcBorders>
            <w:vAlign w:val="center"/>
          </w:tcPr>
          <w:p w14:paraId="3DCC2BDC">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717D640A">
        <w:tblPrEx>
          <w:tblCellMar>
            <w:top w:w="0" w:type="dxa"/>
            <w:left w:w="108" w:type="dxa"/>
            <w:bottom w:w="0" w:type="dxa"/>
            <w:right w:w="108" w:type="dxa"/>
          </w:tblCellMar>
        </w:tblPrEx>
        <w:trPr>
          <w:trHeight w:val="1147" w:hRule="atLeast"/>
        </w:trPr>
        <w:tc>
          <w:tcPr>
            <w:tcW w:w="2026" w:type="dxa"/>
            <w:vMerge w:val="continue"/>
            <w:tcBorders>
              <w:top w:val="single" w:color="000000" w:sz="4" w:space="0"/>
              <w:left w:val="single" w:color="000000" w:sz="4" w:space="0"/>
              <w:bottom w:val="single" w:color="000000" w:sz="4" w:space="0"/>
              <w:right w:val="single" w:color="000000" w:sz="4" w:space="0"/>
            </w:tcBorders>
            <w:vAlign w:val="center"/>
          </w:tcPr>
          <w:p w14:paraId="71CAD3EA">
            <w:pPr>
              <w:spacing w:line="320" w:lineRule="exact"/>
              <w:jc w:val="center"/>
              <w:rPr>
                <w:rFonts w:ascii="宋体" w:hAnsi="宋体" w:cs="宋体"/>
                <w:sz w:val="24"/>
              </w:rPr>
            </w:pPr>
          </w:p>
        </w:tc>
        <w:tc>
          <w:tcPr>
            <w:tcW w:w="4461" w:type="dxa"/>
            <w:gridSpan w:val="3"/>
            <w:tcBorders>
              <w:top w:val="single" w:color="000000" w:sz="4" w:space="0"/>
              <w:left w:val="single" w:color="000000" w:sz="4" w:space="0"/>
              <w:bottom w:val="single" w:color="000000" w:sz="4" w:space="0"/>
              <w:right w:val="single" w:color="000000" w:sz="4" w:space="0"/>
            </w:tcBorders>
          </w:tcPr>
          <w:p w14:paraId="14C2A59B">
            <w:pPr>
              <w:widowControl/>
              <w:spacing w:line="320" w:lineRule="exact"/>
              <w:jc w:val="left"/>
              <w:textAlignment w:val="top"/>
              <w:rPr>
                <w:rFonts w:ascii="宋体" w:hAnsi="宋体" w:cs="宋体"/>
                <w:sz w:val="24"/>
              </w:rPr>
            </w:pPr>
            <w:r>
              <w:rPr>
                <w:rFonts w:hint="eastAsia" w:ascii="宋体" w:hAnsi="宋体" w:cs="宋体"/>
                <w:sz w:val="24"/>
              </w:rPr>
              <w:t>受新冠肺炎病毒疫情影响，提高医院快速检测核酸的能力，改善医院就诊环境，提高病人就诊舒适度。</w:t>
            </w:r>
          </w:p>
        </w:tc>
        <w:tc>
          <w:tcPr>
            <w:tcW w:w="3324" w:type="dxa"/>
            <w:gridSpan w:val="3"/>
            <w:tcBorders>
              <w:top w:val="single" w:color="000000" w:sz="4" w:space="0"/>
              <w:left w:val="single" w:color="000000" w:sz="4" w:space="0"/>
              <w:bottom w:val="single" w:color="000000" w:sz="4" w:space="0"/>
              <w:right w:val="single" w:color="000000" w:sz="4" w:space="0"/>
            </w:tcBorders>
          </w:tcPr>
          <w:p w14:paraId="4F63A189">
            <w:pPr>
              <w:widowControl/>
              <w:spacing w:line="320" w:lineRule="exact"/>
              <w:jc w:val="left"/>
              <w:textAlignment w:val="top"/>
              <w:rPr>
                <w:rFonts w:ascii="宋体" w:hAnsi="宋体" w:cs="宋体"/>
                <w:sz w:val="24"/>
              </w:rPr>
            </w:pPr>
            <w:r>
              <w:rPr>
                <w:rFonts w:hint="eastAsia" w:ascii="宋体" w:hAnsi="宋体" w:cs="宋体"/>
                <w:sz w:val="24"/>
              </w:rPr>
              <w:t xml:space="preserve">   已完成核酸快检设备采购，验收并投入使用，逐步改善医院就诊环境，病人满意度得到提高。</w:t>
            </w:r>
          </w:p>
        </w:tc>
      </w:tr>
      <w:tr w14:paraId="408A1001">
        <w:tblPrEx>
          <w:tblCellMar>
            <w:top w:w="0" w:type="dxa"/>
            <w:left w:w="108" w:type="dxa"/>
            <w:bottom w:w="0" w:type="dxa"/>
            <w:right w:w="108" w:type="dxa"/>
          </w:tblCellMar>
        </w:tblPrEx>
        <w:trPr>
          <w:trHeight w:val="693" w:hRule="atLeast"/>
        </w:trPr>
        <w:tc>
          <w:tcPr>
            <w:tcW w:w="2026" w:type="dxa"/>
            <w:vMerge w:val="restart"/>
            <w:tcBorders>
              <w:top w:val="single" w:color="000000" w:sz="4" w:space="0"/>
              <w:left w:val="single" w:color="000000" w:sz="4" w:space="0"/>
              <w:bottom w:val="single" w:color="auto" w:sz="4" w:space="0"/>
              <w:right w:val="single" w:color="000000" w:sz="4" w:space="0"/>
            </w:tcBorders>
            <w:vAlign w:val="center"/>
          </w:tcPr>
          <w:p w14:paraId="4ACE4621">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70" w:type="dxa"/>
            <w:tcBorders>
              <w:top w:val="single" w:color="000000" w:sz="4" w:space="0"/>
              <w:left w:val="nil"/>
              <w:bottom w:val="single" w:color="000000" w:sz="4" w:space="0"/>
              <w:right w:val="single" w:color="000000" w:sz="4" w:space="0"/>
            </w:tcBorders>
            <w:vAlign w:val="center"/>
          </w:tcPr>
          <w:p w14:paraId="4A463362">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4B5B0D9E">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vAlign w:val="center"/>
          </w:tcPr>
          <w:p w14:paraId="41AEE403">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06B17E98">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249B2C49">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1CB74A1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4BCBC7A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190" w:type="dxa"/>
            <w:tcBorders>
              <w:top w:val="single" w:color="000000" w:sz="4" w:space="0"/>
              <w:left w:val="single" w:color="000000" w:sz="4" w:space="0"/>
              <w:bottom w:val="single" w:color="000000" w:sz="4" w:space="0"/>
              <w:right w:val="single" w:color="000000" w:sz="4" w:space="0"/>
            </w:tcBorders>
            <w:vAlign w:val="center"/>
          </w:tcPr>
          <w:p w14:paraId="7DED8834">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18898B8A">
        <w:tblPrEx>
          <w:tblCellMar>
            <w:top w:w="0" w:type="dxa"/>
            <w:left w:w="108" w:type="dxa"/>
            <w:bottom w:w="0" w:type="dxa"/>
            <w:right w:w="108" w:type="dxa"/>
          </w:tblCellMar>
        </w:tblPrEx>
        <w:trPr>
          <w:trHeight w:val="1073" w:hRule="atLeast"/>
        </w:trPr>
        <w:tc>
          <w:tcPr>
            <w:tcW w:w="2026" w:type="dxa"/>
            <w:vMerge w:val="continue"/>
            <w:tcBorders>
              <w:left w:val="single" w:color="000000" w:sz="4" w:space="0"/>
              <w:bottom w:val="single" w:color="auto" w:sz="4" w:space="0"/>
              <w:right w:val="single" w:color="000000" w:sz="4" w:space="0"/>
            </w:tcBorders>
            <w:vAlign w:val="center"/>
          </w:tcPr>
          <w:p w14:paraId="190A6065">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right w:val="single" w:color="000000" w:sz="4" w:space="0"/>
            </w:tcBorders>
            <w:vAlign w:val="center"/>
          </w:tcPr>
          <w:p w14:paraId="475648C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完成指标</w:t>
            </w:r>
          </w:p>
        </w:tc>
        <w:tc>
          <w:tcPr>
            <w:tcW w:w="1675" w:type="dxa"/>
            <w:vMerge w:val="restart"/>
            <w:tcBorders>
              <w:top w:val="single" w:color="000000" w:sz="4" w:space="0"/>
              <w:left w:val="single" w:color="000000" w:sz="4" w:space="0"/>
              <w:right w:val="single" w:color="000000" w:sz="4" w:space="0"/>
            </w:tcBorders>
            <w:vAlign w:val="center"/>
          </w:tcPr>
          <w:p w14:paraId="22A5979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数量指标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75184810">
            <w:pPr>
              <w:widowControl/>
              <w:spacing w:line="320" w:lineRule="exac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完成核酸快检设备采购</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297BFA0C">
            <w:pPr>
              <w:jc w:val="center"/>
              <w:rPr>
                <w:rFonts w:ascii="宋体" w:hAnsi="宋体" w:cs="宋体"/>
                <w:sz w:val="24"/>
              </w:rPr>
            </w:pPr>
            <w:r>
              <w:rPr>
                <w:rFonts w:hint="eastAsia"/>
              </w:rPr>
              <w:t>≥80%</w:t>
            </w:r>
          </w:p>
          <w:p w14:paraId="4D137D11">
            <w:pPr>
              <w:widowControl/>
              <w:spacing w:line="320" w:lineRule="exact"/>
              <w:jc w:val="center"/>
              <w:textAlignment w:val="bottom"/>
              <w:rPr>
                <w:rFonts w:ascii="仿宋_GB2312" w:hAnsi="仿宋_GB2312" w:eastAsia="仿宋_GB2312" w:cs="仿宋_GB2312"/>
                <w:sz w:val="28"/>
                <w:szCs w:val="28"/>
              </w:rPr>
            </w:pPr>
          </w:p>
        </w:tc>
        <w:tc>
          <w:tcPr>
            <w:tcW w:w="2190" w:type="dxa"/>
            <w:tcBorders>
              <w:top w:val="single" w:color="000000" w:sz="4" w:space="0"/>
              <w:left w:val="single" w:color="000000" w:sz="4" w:space="0"/>
              <w:bottom w:val="single" w:color="000000" w:sz="4" w:space="0"/>
              <w:right w:val="single" w:color="000000" w:sz="4" w:space="0"/>
            </w:tcBorders>
            <w:vAlign w:val="center"/>
          </w:tcPr>
          <w:p w14:paraId="3364123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5AFD4ECC">
        <w:tblPrEx>
          <w:tblCellMar>
            <w:top w:w="0" w:type="dxa"/>
            <w:left w:w="108" w:type="dxa"/>
            <w:bottom w:w="0" w:type="dxa"/>
            <w:right w:w="108" w:type="dxa"/>
          </w:tblCellMar>
        </w:tblPrEx>
        <w:trPr>
          <w:trHeight w:val="1368" w:hRule="atLeast"/>
        </w:trPr>
        <w:tc>
          <w:tcPr>
            <w:tcW w:w="2026" w:type="dxa"/>
            <w:vMerge w:val="continue"/>
            <w:tcBorders>
              <w:left w:val="single" w:color="000000" w:sz="4" w:space="0"/>
              <w:bottom w:val="single" w:color="auto" w:sz="4" w:space="0"/>
              <w:right w:val="single" w:color="000000" w:sz="4" w:space="0"/>
            </w:tcBorders>
            <w:vAlign w:val="center"/>
          </w:tcPr>
          <w:p w14:paraId="1CA6E837">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7C4BD0BD">
            <w:pPr>
              <w:spacing w:line="320" w:lineRule="exact"/>
              <w:jc w:val="center"/>
              <w:rPr>
                <w:rFonts w:ascii="仿宋_GB2312" w:hAnsi="仿宋_GB2312" w:eastAsia="仿宋_GB2312" w:cs="仿宋_GB2312"/>
                <w:sz w:val="28"/>
                <w:szCs w:val="28"/>
              </w:rPr>
            </w:pPr>
          </w:p>
        </w:tc>
        <w:tc>
          <w:tcPr>
            <w:tcW w:w="1675" w:type="dxa"/>
            <w:vMerge w:val="continue"/>
            <w:tcBorders>
              <w:left w:val="single" w:color="000000" w:sz="4" w:space="0"/>
              <w:right w:val="single" w:color="000000" w:sz="4" w:space="0"/>
            </w:tcBorders>
            <w:vAlign w:val="center"/>
          </w:tcPr>
          <w:p w14:paraId="7E0C13E0">
            <w:pPr>
              <w:widowControl/>
              <w:spacing w:line="320" w:lineRule="exact"/>
              <w:jc w:val="center"/>
              <w:textAlignment w:val="bottom"/>
              <w:rPr>
                <w:rFonts w:ascii="仿宋_GB2312" w:hAnsi="仿宋_GB2312" w:eastAsia="仿宋_GB2312" w:cs="仿宋_GB2312"/>
                <w:sz w:val="28"/>
                <w:szCs w:val="28"/>
              </w:rPr>
            </w:pPr>
          </w:p>
        </w:tc>
        <w:tc>
          <w:tcPr>
            <w:tcW w:w="1616" w:type="dxa"/>
            <w:tcBorders>
              <w:top w:val="single" w:color="000000" w:sz="4" w:space="0"/>
              <w:left w:val="single" w:color="000000" w:sz="4" w:space="0"/>
              <w:bottom w:val="single" w:color="000000" w:sz="4" w:space="0"/>
              <w:right w:val="single" w:color="000000" w:sz="4" w:space="0"/>
            </w:tcBorders>
            <w:vAlign w:val="center"/>
          </w:tcPr>
          <w:p w14:paraId="2587A3A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核酸快检设备投入使用</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42D421CF">
            <w:pPr>
              <w:jc w:val="center"/>
              <w:rPr>
                <w:rFonts w:ascii="宋体" w:hAnsi="宋体" w:cs="宋体"/>
                <w:sz w:val="24"/>
              </w:rPr>
            </w:pPr>
            <w:r>
              <w:rPr>
                <w:rFonts w:hint="eastAsia"/>
              </w:rPr>
              <w:t>≥80%</w:t>
            </w:r>
          </w:p>
          <w:p w14:paraId="60606D56">
            <w:pPr>
              <w:widowControl/>
              <w:spacing w:line="320" w:lineRule="exact"/>
              <w:jc w:val="center"/>
              <w:textAlignment w:val="bottom"/>
              <w:rPr>
                <w:rFonts w:ascii="仿宋_GB2312" w:hAnsi="仿宋_GB2312" w:eastAsia="仿宋_GB2312" w:cs="仿宋_GB2312"/>
                <w:sz w:val="28"/>
                <w:szCs w:val="28"/>
              </w:rPr>
            </w:pPr>
          </w:p>
        </w:tc>
        <w:tc>
          <w:tcPr>
            <w:tcW w:w="2190" w:type="dxa"/>
            <w:tcBorders>
              <w:top w:val="single" w:color="000000" w:sz="4" w:space="0"/>
              <w:left w:val="single" w:color="000000" w:sz="4" w:space="0"/>
              <w:bottom w:val="single" w:color="000000" w:sz="4" w:space="0"/>
              <w:right w:val="single" w:color="000000" w:sz="4" w:space="0"/>
            </w:tcBorders>
            <w:vAlign w:val="center"/>
          </w:tcPr>
          <w:p w14:paraId="7BED8F9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3B8C8BC9">
        <w:tblPrEx>
          <w:tblCellMar>
            <w:top w:w="0" w:type="dxa"/>
            <w:left w:w="108" w:type="dxa"/>
            <w:bottom w:w="0" w:type="dxa"/>
            <w:right w:w="108" w:type="dxa"/>
          </w:tblCellMar>
        </w:tblPrEx>
        <w:trPr>
          <w:trHeight w:val="415" w:hRule="atLeast"/>
        </w:trPr>
        <w:tc>
          <w:tcPr>
            <w:tcW w:w="2026" w:type="dxa"/>
            <w:vMerge w:val="continue"/>
            <w:tcBorders>
              <w:left w:val="single" w:color="000000" w:sz="4" w:space="0"/>
              <w:bottom w:val="single" w:color="auto" w:sz="4" w:space="0"/>
              <w:right w:val="single" w:color="000000" w:sz="4" w:space="0"/>
            </w:tcBorders>
            <w:vAlign w:val="center"/>
          </w:tcPr>
          <w:p w14:paraId="507470C2">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2A91EF76">
            <w:pPr>
              <w:spacing w:line="320" w:lineRule="exact"/>
              <w:jc w:val="center"/>
              <w:rPr>
                <w:rFonts w:ascii="仿宋_GB2312" w:hAnsi="仿宋_GB2312" w:eastAsia="仿宋_GB2312" w:cs="仿宋_GB2312"/>
                <w:sz w:val="28"/>
                <w:szCs w:val="28"/>
              </w:rPr>
            </w:pPr>
          </w:p>
        </w:tc>
        <w:tc>
          <w:tcPr>
            <w:tcW w:w="1675" w:type="dxa"/>
            <w:vMerge w:val="continue"/>
            <w:tcBorders>
              <w:left w:val="single" w:color="000000" w:sz="4" w:space="0"/>
              <w:bottom w:val="single" w:color="000000" w:sz="4" w:space="0"/>
              <w:right w:val="single" w:color="000000" w:sz="4" w:space="0"/>
            </w:tcBorders>
            <w:vAlign w:val="center"/>
          </w:tcPr>
          <w:p w14:paraId="28425845">
            <w:pPr>
              <w:widowControl/>
              <w:spacing w:line="320" w:lineRule="exact"/>
              <w:jc w:val="center"/>
              <w:textAlignment w:val="bottom"/>
              <w:rPr>
                <w:rFonts w:ascii="仿宋_GB2312" w:hAnsi="仿宋_GB2312" w:eastAsia="仿宋_GB2312" w:cs="仿宋_GB2312"/>
                <w:sz w:val="28"/>
                <w:szCs w:val="28"/>
              </w:rPr>
            </w:pPr>
          </w:p>
        </w:tc>
        <w:tc>
          <w:tcPr>
            <w:tcW w:w="1616" w:type="dxa"/>
            <w:tcBorders>
              <w:top w:val="single" w:color="000000" w:sz="4" w:space="0"/>
              <w:left w:val="single" w:color="000000" w:sz="4" w:space="0"/>
              <w:bottom w:val="single" w:color="000000" w:sz="4" w:space="0"/>
              <w:right w:val="single" w:color="000000" w:sz="4" w:space="0"/>
            </w:tcBorders>
            <w:vAlign w:val="center"/>
          </w:tcPr>
          <w:p w14:paraId="5AB7DE08">
            <w:pPr>
              <w:widowControl/>
              <w:spacing w:line="320" w:lineRule="exact"/>
              <w:jc w:val="center"/>
              <w:textAlignment w:val="bottom"/>
              <w:rPr>
                <w:rFonts w:ascii="仿宋_GB2312" w:hAnsi="仿宋_GB2312" w:eastAsia="仿宋_GB2312" w:cs="仿宋_GB2312"/>
                <w:sz w:val="28"/>
                <w:szCs w:val="28"/>
              </w:rPr>
            </w:pPr>
            <w:r>
              <w:rPr>
                <w:rFonts w:hint="eastAsia" w:ascii="宋体" w:hAnsi="宋体" w:cs="宋体"/>
                <w:sz w:val="24"/>
              </w:rPr>
              <w:t>改善医院就诊环境</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437B9E60">
            <w:pPr>
              <w:jc w:val="center"/>
              <w:rPr>
                <w:rFonts w:ascii="宋体" w:hAnsi="宋体" w:cs="宋体"/>
                <w:sz w:val="24"/>
              </w:rPr>
            </w:pPr>
            <w:r>
              <w:rPr>
                <w:rFonts w:hint="eastAsia"/>
              </w:rPr>
              <w:t>≥80%</w:t>
            </w:r>
          </w:p>
          <w:p w14:paraId="10BA05DC">
            <w:pPr>
              <w:widowControl/>
              <w:spacing w:line="320" w:lineRule="exact"/>
              <w:jc w:val="center"/>
              <w:textAlignment w:val="bottom"/>
              <w:rPr>
                <w:rFonts w:ascii="仿宋_GB2312" w:hAnsi="仿宋_GB2312" w:eastAsia="仿宋_GB2312" w:cs="仿宋_GB2312"/>
                <w:sz w:val="28"/>
                <w:szCs w:val="28"/>
              </w:rPr>
            </w:pPr>
          </w:p>
        </w:tc>
        <w:tc>
          <w:tcPr>
            <w:tcW w:w="2190" w:type="dxa"/>
            <w:tcBorders>
              <w:top w:val="single" w:color="000000" w:sz="4" w:space="0"/>
              <w:left w:val="single" w:color="000000" w:sz="4" w:space="0"/>
              <w:bottom w:val="single" w:color="000000" w:sz="4" w:space="0"/>
              <w:right w:val="single" w:color="000000" w:sz="4" w:space="0"/>
            </w:tcBorders>
            <w:vAlign w:val="center"/>
          </w:tcPr>
          <w:p w14:paraId="000F9BC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85%</w:t>
            </w:r>
          </w:p>
        </w:tc>
      </w:tr>
      <w:tr w14:paraId="745074CC">
        <w:tblPrEx>
          <w:tblCellMar>
            <w:top w:w="0" w:type="dxa"/>
            <w:left w:w="108" w:type="dxa"/>
            <w:bottom w:w="0" w:type="dxa"/>
            <w:right w:w="108" w:type="dxa"/>
          </w:tblCellMar>
        </w:tblPrEx>
        <w:trPr>
          <w:trHeight w:val="1042" w:hRule="atLeast"/>
        </w:trPr>
        <w:tc>
          <w:tcPr>
            <w:tcW w:w="2026" w:type="dxa"/>
            <w:vMerge w:val="continue"/>
            <w:tcBorders>
              <w:left w:val="single" w:color="000000" w:sz="4" w:space="0"/>
              <w:bottom w:val="single" w:color="auto" w:sz="4" w:space="0"/>
              <w:right w:val="single" w:color="000000" w:sz="4" w:space="0"/>
            </w:tcBorders>
            <w:vAlign w:val="center"/>
          </w:tcPr>
          <w:p w14:paraId="20821CE1">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36339792">
            <w:pPr>
              <w:spacing w:line="320" w:lineRule="exact"/>
              <w:jc w:val="center"/>
              <w:rPr>
                <w:rFonts w:ascii="仿宋_GB2312" w:hAnsi="仿宋_GB2312" w:eastAsia="仿宋_GB2312" w:cs="仿宋_GB2312"/>
                <w:sz w:val="28"/>
                <w:szCs w:val="28"/>
              </w:rPr>
            </w:pPr>
          </w:p>
        </w:tc>
        <w:tc>
          <w:tcPr>
            <w:tcW w:w="1675" w:type="dxa"/>
            <w:vMerge w:val="restart"/>
            <w:tcBorders>
              <w:top w:val="single" w:color="000000" w:sz="4" w:space="0"/>
              <w:left w:val="single" w:color="000000" w:sz="4" w:space="0"/>
              <w:right w:val="single" w:color="000000" w:sz="4" w:space="0"/>
            </w:tcBorders>
            <w:vAlign w:val="center"/>
          </w:tcPr>
          <w:p w14:paraId="3394BEC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质量指标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334B205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提升核酸检测能力</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6163DCF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得到提升</w:t>
            </w:r>
          </w:p>
        </w:tc>
        <w:tc>
          <w:tcPr>
            <w:tcW w:w="2190" w:type="dxa"/>
            <w:tcBorders>
              <w:top w:val="single" w:color="000000" w:sz="4" w:space="0"/>
              <w:left w:val="single" w:color="000000" w:sz="4" w:space="0"/>
              <w:bottom w:val="single" w:color="000000" w:sz="4" w:space="0"/>
              <w:right w:val="single" w:color="000000" w:sz="4" w:space="0"/>
            </w:tcBorders>
            <w:vAlign w:val="center"/>
          </w:tcPr>
          <w:p w14:paraId="6612EE7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得到提升</w:t>
            </w:r>
          </w:p>
        </w:tc>
      </w:tr>
      <w:tr w14:paraId="1BBCC2A2">
        <w:tblPrEx>
          <w:tblCellMar>
            <w:top w:w="0" w:type="dxa"/>
            <w:left w:w="108" w:type="dxa"/>
            <w:bottom w:w="0" w:type="dxa"/>
            <w:right w:w="108" w:type="dxa"/>
          </w:tblCellMar>
        </w:tblPrEx>
        <w:trPr>
          <w:trHeight w:val="1042" w:hRule="atLeast"/>
        </w:trPr>
        <w:tc>
          <w:tcPr>
            <w:tcW w:w="2026" w:type="dxa"/>
            <w:vMerge w:val="continue"/>
            <w:tcBorders>
              <w:left w:val="single" w:color="000000" w:sz="4" w:space="0"/>
              <w:bottom w:val="single" w:color="auto" w:sz="4" w:space="0"/>
              <w:right w:val="single" w:color="000000" w:sz="4" w:space="0"/>
            </w:tcBorders>
            <w:vAlign w:val="center"/>
          </w:tcPr>
          <w:p w14:paraId="3783E437">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4CFD48DE">
            <w:pPr>
              <w:spacing w:line="320" w:lineRule="exact"/>
              <w:jc w:val="center"/>
              <w:rPr>
                <w:rFonts w:ascii="仿宋_GB2312" w:hAnsi="仿宋_GB2312" w:eastAsia="仿宋_GB2312" w:cs="仿宋_GB2312"/>
                <w:sz w:val="28"/>
                <w:szCs w:val="28"/>
              </w:rPr>
            </w:pPr>
          </w:p>
        </w:tc>
        <w:tc>
          <w:tcPr>
            <w:tcW w:w="1675" w:type="dxa"/>
            <w:vMerge w:val="continue"/>
            <w:tcBorders>
              <w:left w:val="single" w:color="000000" w:sz="4" w:space="0"/>
              <w:right w:val="single" w:color="000000" w:sz="4" w:space="0"/>
            </w:tcBorders>
            <w:vAlign w:val="center"/>
          </w:tcPr>
          <w:p w14:paraId="570981F1">
            <w:pPr>
              <w:widowControl/>
              <w:spacing w:line="320" w:lineRule="exact"/>
              <w:jc w:val="center"/>
              <w:textAlignment w:val="bottom"/>
              <w:rPr>
                <w:rFonts w:ascii="仿宋_GB2312" w:hAnsi="仿宋_GB2312" w:eastAsia="仿宋_GB2312" w:cs="仿宋_GB2312"/>
                <w:sz w:val="28"/>
                <w:szCs w:val="28"/>
              </w:rPr>
            </w:pPr>
          </w:p>
        </w:tc>
        <w:tc>
          <w:tcPr>
            <w:tcW w:w="1616" w:type="dxa"/>
            <w:tcBorders>
              <w:top w:val="single" w:color="000000" w:sz="4" w:space="0"/>
              <w:left w:val="single" w:color="000000" w:sz="4" w:space="0"/>
              <w:bottom w:val="single" w:color="000000" w:sz="4" w:space="0"/>
              <w:right w:val="single" w:color="000000" w:sz="4" w:space="0"/>
            </w:tcBorders>
            <w:vAlign w:val="center"/>
          </w:tcPr>
          <w:p w14:paraId="283A6E5A">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提供疫情防控保障</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1FC6721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得到提高</w:t>
            </w:r>
          </w:p>
        </w:tc>
        <w:tc>
          <w:tcPr>
            <w:tcW w:w="2190" w:type="dxa"/>
            <w:tcBorders>
              <w:top w:val="single" w:color="000000" w:sz="4" w:space="0"/>
              <w:left w:val="single" w:color="000000" w:sz="4" w:space="0"/>
              <w:bottom w:val="single" w:color="000000" w:sz="4" w:space="0"/>
              <w:right w:val="single" w:color="000000" w:sz="4" w:space="0"/>
            </w:tcBorders>
            <w:vAlign w:val="center"/>
          </w:tcPr>
          <w:p w14:paraId="75DAD93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得到提高</w:t>
            </w:r>
          </w:p>
        </w:tc>
      </w:tr>
      <w:tr w14:paraId="6222FA3D">
        <w:tblPrEx>
          <w:tblCellMar>
            <w:top w:w="0" w:type="dxa"/>
            <w:left w:w="108" w:type="dxa"/>
            <w:bottom w:w="0" w:type="dxa"/>
            <w:right w:w="108" w:type="dxa"/>
          </w:tblCellMar>
        </w:tblPrEx>
        <w:trPr>
          <w:trHeight w:val="1042" w:hRule="atLeast"/>
        </w:trPr>
        <w:tc>
          <w:tcPr>
            <w:tcW w:w="2026" w:type="dxa"/>
            <w:vMerge w:val="continue"/>
            <w:tcBorders>
              <w:left w:val="single" w:color="000000" w:sz="4" w:space="0"/>
              <w:bottom w:val="single" w:color="auto" w:sz="4" w:space="0"/>
              <w:right w:val="single" w:color="000000" w:sz="4" w:space="0"/>
            </w:tcBorders>
            <w:vAlign w:val="center"/>
          </w:tcPr>
          <w:p w14:paraId="44A3B3D6">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4B724EFD">
            <w:pPr>
              <w:spacing w:line="320" w:lineRule="exact"/>
              <w:jc w:val="center"/>
              <w:rPr>
                <w:rFonts w:ascii="仿宋_GB2312" w:hAnsi="仿宋_GB2312" w:eastAsia="仿宋_GB2312" w:cs="仿宋_GB2312"/>
                <w:sz w:val="28"/>
                <w:szCs w:val="28"/>
              </w:rPr>
            </w:pPr>
          </w:p>
        </w:tc>
        <w:tc>
          <w:tcPr>
            <w:tcW w:w="1675" w:type="dxa"/>
            <w:vMerge w:val="continue"/>
            <w:tcBorders>
              <w:left w:val="single" w:color="000000" w:sz="4" w:space="0"/>
              <w:right w:val="single" w:color="000000" w:sz="4" w:space="0"/>
            </w:tcBorders>
            <w:vAlign w:val="center"/>
          </w:tcPr>
          <w:p w14:paraId="326BAA10">
            <w:pPr>
              <w:widowControl/>
              <w:spacing w:line="320" w:lineRule="exact"/>
              <w:jc w:val="center"/>
              <w:textAlignment w:val="bottom"/>
              <w:rPr>
                <w:rFonts w:ascii="仿宋_GB2312" w:hAnsi="仿宋_GB2312" w:eastAsia="仿宋_GB2312" w:cs="仿宋_GB2312"/>
                <w:sz w:val="28"/>
                <w:szCs w:val="28"/>
              </w:rPr>
            </w:pPr>
          </w:p>
        </w:tc>
        <w:tc>
          <w:tcPr>
            <w:tcW w:w="1616" w:type="dxa"/>
            <w:tcBorders>
              <w:top w:val="single" w:color="000000" w:sz="4" w:space="0"/>
              <w:left w:val="single" w:color="000000" w:sz="4" w:space="0"/>
              <w:bottom w:val="single" w:color="000000" w:sz="4" w:space="0"/>
              <w:right w:val="single" w:color="000000" w:sz="4" w:space="0"/>
            </w:tcBorders>
            <w:vAlign w:val="center"/>
          </w:tcPr>
          <w:p w14:paraId="510C8B0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改善医院就诊环境</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2904F5B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得到改善</w:t>
            </w:r>
          </w:p>
        </w:tc>
        <w:tc>
          <w:tcPr>
            <w:tcW w:w="2190" w:type="dxa"/>
            <w:tcBorders>
              <w:top w:val="single" w:color="000000" w:sz="4" w:space="0"/>
              <w:left w:val="single" w:color="000000" w:sz="4" w:space="0"/>
              <w:bottom w:val="single" w:color="000000" w:sz="4" w:space="0"/>
              <w:right w:val="single" w:color="000000" w:sz="4" w:space="0"/>
            </w:tcBorders>
            <w:vAlign w:val="center"/>
          </w:tcPr>
          <w:p w14:paraId="3BA1655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得到改善</w:t>
            </w:r>
          </w:p>
        </w:tc>
      </w:tr>
      <w:tr w14:paraId="22A32EA1">
        <w:tblPrEx>
          <w:tblCellMar>
            <w:top w:w="0" w:type="dxa"/>
            <w:left w:w="108" w:type="dxa"/>
            <w:bottom w:w="0" w:type="dxa"/>
            <w:right w:w="108" w:type="dxa"/>
          </w:tblCellMar>
        </w:tblPrEx>
        <w:trPr>
          <w:trHeight w:val="852" w:hRule="atLeast"/>
        </w:trPr>
        <w:tc>
          <w:tcPr>
            <w:tcW w:w="2026" w:type="dxa"/>
            <w:vMerge w:val="continue"/>
            <w:tcBorders>
              <w:left w:val="single" w:color="000000" w:sz="4" w:space="0"/>
              <w:bottom w:val="single" w:color="auto" w:sz="4" w:space="0"/>
              <w:right w:val="single" w:color="000000" w:sz="4" w:space="0"/>
            </w:tcBorders>
            <w:vAlign w:val="center"/>
          </w:tcPr>
          <w:p w14:paraId="7B4C83A8">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2D5AC8F1">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vAlign w:val="center"/>
          </w:tcPr>
          <w:p w14:paraId="2FDFFC6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时效指标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2466DFF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项目资金按照进度及时支付</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71B7574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在项目采购完成并验收后按照合同支付</w:t>
            </w:r>
          </w:p>
        </w:tc>
        <w:tc>
          <w:tcPr>
            <w:tcW w:w="2190" w:type="dxa"/>
            <w:tcBorders>
              <w:top w:val="single" w:color="000000" w:sz="4" w:space="0"/>
              <w:left w:val="single" w:color="000000" w:sz="4" w:space="0"/>
              <w:bottom w:val="single" w:color="000000" w:sz="4" w:space="0"/>
              <w:right w:val="single" w:color="000000" w:sz="4" w:space="0"/>
            </w:tcBorders>
            <w:vAlign w:val="center"/>
          </w:tcPr>
          <w:p w14:paraId="75F491A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核酸快检设备已按照合同进度完成支付</w:t>
            </w:r>
          </w:p>
        </w:tc>
      </w:tr>
      <w:tr w14:paraId="70C1BDEA">
        <w:tblPrEx>
          <w:tblCellMar>
            <w:top w:w="0" w:type="dxa"/>
            <w:left w:w="108" w:type="dxa"/>
            <w:bottom w:w="0" w:type="dxa"/>
            <w:right w:w="108" w:type="dxa"/>
          </w:tblCellMar>
        </w:tblPrEx>
        <w:trPr>
          <w:trHeight w:val="530" w:hRule="atLeast"/>
        </w:trPr>
        <w:tc>
          <w:tcPr>
            <w:tcW w:w="2026" w:type="dxa"/>
            <w:vMerge w:val="continue"/>
            <w:tcBorders>
              <w:left w:val="single" w:color="000000" w:sz="4" w:space="0"/>
              <w:bottom w:val="single" w:color="auto" w:sz="4" w:space="0"/>
              <w:right w:val="single" w:color="000000" w:sz="4" w:space="0"/>
            </w:tcBorders>
            <w:vAlign w:val="center"/>
          </w:tcPr>
          <w:p w14:paraId="37680366">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right w:val="single" w:color="000000" w:sz="4" w:space="0"/>
            </w:tcBorders>
            <w:vAlign w:val="center"/>
          </w:tcPr>
          <w:p w14:paraId="722F8930">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效益指标</w:t>
            </w:r>
          </w:p>
        </w:tc>
        <w:tc>
          <w:tcPr>
            <w:tcW w:w="1675" w:type="dxa"/>
            <w:tcBorders>
              <w:top w:val="single" w:color="000000" w:sz="4" w:space="0"/>
              <w:left w:val="single" w:color="000000" w:sz="4" w:space="0"/>
              <w:right w:val="single" w:color="000000" w:sz="4" w:space="0"/>
            </w:tcBorders>
            <w:vAlign w:val="center"/>
          </w:tcPr>
          <w:p w14:paraId="00DAB1D8">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社会效益指标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4D50633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受益群众对项目的满</w:t>
            </w:r>
            <w:r>
              <w:rPr>
                <w:rFonts w:hint="eastAsia" w:ascii="仿宋_GB2312" w:hAnsi="仿宋_GB2312" w:eastAsia="仿宋_GB2312" w:cs="仿宋_GB2312"/>
                <w:sz w:val="28"/>
                <w:szCs w:val="28"/>
                <w:lang w:eastAsia="zh-CN"/>
              </w:rPr>
              <w:t>意度</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28099F3B">
            <w:pPr>
              <w:widowControl/>
              <w:spacing w:line="320" w:lineRule="exact"/>
              <w:jc w:val="center"/>
              <w:textAlignment w:val="bottom"/>
              <w:rPr>
                <w:rFonts w:ascii="仿宋_GB2312" w:hAnsi="仿宋_GB2312" w:eastAsia="仿宋_GB2312" w:cs="仿宋_GB2312"/>
                <w:sz w:val="28"/>
                <w:szCs w:val="28"/>
              </w:rPr>
            </w:pPr>
            <w:r>
              <w:rPr>
                <w:rFonts w:ascii="Arial" w:hAnsi="Arial" w:eastAsia="仿宋_GB2312" w:cs="Arial"/>
                <w:sz w:val="28"/>
                <w:szCs w:val="28"/>
              </w:rPr>
              <w:t>≥</w:t>
            </w:r>
            <w:r>
              <w:rPr>
                <w:rFonts w:hint="eastAsia" w:ascii="Arial" w:hAnsi="Arial" w:eastAsia="仿宋_GB2312" w:cs="Arial"/>
                <w:sz w:val="28"/>
                <w:szCs w:val="28"/>
              </w:rPr>
              <w:t>90%</w:t>
            </w:r>
          </w:p>
        </w:tc>
        <w:tc>
          <w:tcPr>
            <w:tcW w:w="2190" w:type="dxa"/>
            <w:tcBorders>
              <w:top w:val="single" w:color="000000" w:sz="4" w:space="0"/>
              <w:left w:val="single" w:color="000000" w:sz="4" w:space="0"/>
              <w:bottom w:val="single" w:color="000000" w:sz="4" w:space="0"/>
              <w:right w:val="single" w:color="000000" w:sz="4" w:space="0"/>
            </w:tcBorders>
            <w:vAlign w:val="center"/>
          </w:tcPr>
          <w:p w14:paraId="1A6224F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4A848B35">
        <w:tblPrEx>
          <w:tblCellMar>
            <w:top w:w="0" w:type="dxa"/>
            <w:left w:w="108" w:type="dxa"/>
            <w:bottom w:w="0" w:type="dxa"/>
            <w:right w:w="108" w:type="dxa"/>
          </w:tblCellMar>
        </w:tblPrEx>
        <w:trPr>
          <w:trHeight w:val="530" w:hRule="atLeast"/>
        </w:trPr>
        <w:tc>
          <w:tcPr>
            <w:tcW w:w="2026" w:type="dxa"/>
            <w:vMerge w:val="continue"/>
            <w:tcBorders>
              <w:left w:val="single" w:color="000000" w:sz="4" w:space="0"/>
              <w:bottom w:val="single" w:color="auto" w:sz="4" w:space="0"/>
              <w:right w:val="single" w:color="000000" w:sz="4" w:space="0"/>
            </w:tcBorders>
            <w:vAlign w:val="center"/>
          </w:tcPr>
          <w:p w14:paraId="4A5E2C52">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bottom w:val="single" w:color="000000" w:sz="4" w:space="0"/>
              <w:right w:val="single" w:color="000000" w:sz="4" w:space="0"/>
            </w:tcBorders>
            <w:vAlign w:val="center"/>
          </w:tcPr>
          <w:p w14:paraId="677818F2">
            <w:pPr>
              <w:widowControl/>
              <w:spacing w:line="320" w:lineRule="exact"/>
              <w:jc w:val="center"/>
              <w:textAlignment w:val="bottom"/>
              <w:rPr>
                <w:rFonts w:ascii="仿宋_GB2312" w:hAnsi="仿宋_GB2312" w:eastAsia="仿宋_GB2312" w:cs="仿宋_GB2312"/>
                <w:kern w:val="0"/>
                <w:sz w:val="28"/>
                <w:szCs w:val="28"/>
              </w:rPr>
            </w:pPr>
          </w:p>
        </w:tc>
        <w:tc>
          <w:tcPr>
            <w:tcW w:w="1675" w:type="dxa"/>
            <w:tcBorders>
              <w:top w:val="single" w:color="000000" w:sz="4" w:space="0"/>
              <w:left w:val="single" w:color="000000" w:sz="4" w:space="0"/>
              <w:bottom w:val="single" w:color="000000" w:sz="4" w:space="0"/>
              <w:right w:val="single" w:color="000000" w:sz="4" w:space="0"/>
            </w:tcBorders>
            <w:vAlign w:val="center"/>
          </w:tcPr>
          <w:p w14:paraId="3CE83D6A">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可持续影响指标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6E5C12F3">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改善医疗就诊条件，增强医疗诊治能力</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7C620AEA">
            <w:pPr>
              <w:widowControl/>
              <w:spacing w:line="320" w:lineRule="exact"/>
              <w:jc w:val="center"/>
              <w:textAlignment w:val="bottom"/>
              <w:rPr>
                <w:rFonts w:ascii="仿宋_GB2312" w:hAnsi="仿宋_GB2312" w:eastAsia="仿宋_GB2312" w:cs="仿宋_GB2312"/>
                <w:sz w:val="28"/>
                <w:szCs w:val="28"/>
              </w:rPr>
            </w:pPr>
            <w:r>
              <w:rPr>
                <w:rFonts w:ascii="Arial" w:hAnsi="Arial" w:eastAsia="仿宋_GB2312" w:cs="Arial"/>
                <w:sz w:val="28"/>
                <w:szCs w:val="28"/>
              </w:rPr>
              <w:t>≥</w:t>
            </w:r>
            <w:r>
              <w:rPr>
                <w:rFonts w:hint="eastAsia" w:ascii="Arial" w:hAnsi="Arial" w:eastAsia="仿宋_GB2312" w:cs="Arial"/>
                <w:sz w:val="28"/>
                <w:szCs w:val="28"/>
              </w:rPr>
              <w:t>80%</w:t>
            </w:r>
          </w:p>
        </w:tc>
        <w:tc>
          <w:tcPr>
            <w:tcW w:w="2190" w:type="dxa"/>
            <w:tcBorders>
              <w:top w:val="single" w:color="000000" w:sz="4" w:space="0"/>
              <w:left w:val="single" w:color="000000" w:sz="4" w:space="0"/>
              <w:bottom w:val="single" w:color="000000" w:sz="4" w:space="0"/>
              <w:right w:val="single" w:color="000000" w:sz="4" w:space="0"/>
            </w:tcBorders>
            <w:vAlign w:val="center"/>
          </w:tcPr>
          <w:p w14:paraId="6DFC2388">
            <w:pPr>
              <w:widowControl/>
              <w:spacing w:line="320" w:lineRule="exact"/>
              <w:jc w:val="center"/>
              <w:textAlignment w:val="bottom"/>
              <w:rPr>
                <w:rFonts w:ascii="仿宋_GB2312" w:hAnsi="仿宋_GB2312" w:eastAsia="仿宋_GB2312" w:cs="仿宋_GB2312"/>
                <w:sz w:val="28"/>
                <w:szCs w:val="28"/>
              </w:rPr>
            </w:pPr>
            <w:r>
              <w:rPr>
                <w:rFonts w:ascii="Arial" w:hAnsi="Arial" w:eastAsia="仿宋_GB2312" w:cs="Arial"/>
                <w:sz w:val="28"/>
                <w:szCs w:val="28"/>
              </w:rPr>
              <w:t>≥</w:t>
            </w:r>
            <w:r>
              <w:rPr>
                <w:rFonts w:hint="eastAsia" w:ascii="Arial" w:hAnsi="Arial" w:eastAsia="仿宋_GB2312" w:cs="Arial"/>
                <w:sz w:val="28"/>
                <w:szCs w:val="28"/>
              </w:rPr>
              <w:t>95%</w:t>
            </w:r>
          </w:p>
        </w:tc>
      </w:tr>
      <w:tr w14:paraId="1AC1AF5B">
        <w:tblPrEx>
          <w:tblCellMar>
            <w:top w:w="0" w:type="dxa"/>
            <w:left w:w="108" w:type="dxa"/>
            <w:bottom w:w="0" w:type="dxa"/>
            <w:right w:w="108" w:type="dxa"/>
          </w:tblCellMar>
        </w:tblPrEx>
        <w:trPr>
          <w:trHeight w:val="530" w:hRule="atLeast"/>
        </w:trPr>
        <w:tc>
          <w:tcPr>
            <w:tcW w:w="2026" w:type="dxa"/>
            <w:vMerge w:val="continue"/>
            <w:tcBorders>
              <w:left w:val="single" w:color="000000" w:sz="4" w:space="0"/>
              <w:bottom w:val="single" w:color="auto" w:sz="4" w:space="0"/>
              <w:right w:val="single" w:color="000000" w:sz="4" w:space="0"/>
            </w:tcBorders>
            <w:vAlign w:val="center"/>
          </w:tcPr>
          <w:p w14:paraId="3D3FF447">
            <w:pPr>
              <w:spacing w:line="320" w:lineRule="exact"/>
              <w:jc w:val="center"/>
              <w:rPr>
                <w:rFonts w:ascii="仿宋_GB2312" w:hAnsi="仿宋_GB2312" w:eastAsia="仿宋_GB2312" w:cs="仿宋_GB2312"/>
                <w:sz w:val="28"/>
                <w:szCs w:val="28"/>
              </w:rPr>
            </w:pPr>
          </w:p>
        </w:tc>
        <w:tc>
          <w:tcPr>
            <w:tcW w:w="1170" w:type="dxa"/>
            <w:tcBorders>
              <w:top w:val="single" w:color="000000" w:sz="4" w:space="0"/>
              <w:left w:val="single" w:color="000000" w:sz="4" w:space="0"/>
              <w:bottom w:val="single" w:color="auto" w:sz="4" w:space="0"/>
              <w:right w:val="single" w:color="000000" w:sz="4" w:space="0"/>
            </w:tcBorders>
            <w:vAlign w:val="center"/>
          </w:tcPr>
          <w:p w14:paraId="2D763D88">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满意度指标</w:t>
            </w:r>
          </w:p>
        </w:tc>
        <w:tc>
          <w:tcPr>
            <w:tcW w:w="1675" w:type="dxa"/>
            <w:tcBorders>
              <w:top w:val="single" w:color="000000" w:sz="4" w:space="0"/>
              <w:left w:val="single" w:color="000000" w:sz="4" w:space="0"/>
              <w:bottom w:val="single" w:color="auto" w:sz="4" w:space="0"/>
              <w:right w:val="single" w:color="000000" w:sz="4" w:space="0"/>
            </w:tcBorders>
            <w:vAlign w:val="center"/>
          </w:tcPr>
          <w:p w14:paraId="03F911F5">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25A6BB9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重点人群满意度</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4EC588AA">
            <w:pPr>
              <w:widowControl/>
              <w:spacing w:line="320" w:lineRule="exact"/>
              <w:jc w:val="center"/>
              <w:textAlignment w:val="bottom"/>
              <w:rPr>
                <w:rFonts w:ascii="仿宋_GB2312" w:hAnsi="仿宋_GB2312" w:eastAsia="仿宋_GB2312" w:cs="仿宋_GB2312"/>
                <w:sz w:val="28"/>
                <w:szCs w:val="28"/>
              </w:rPr>
            </w:pPr>
            <w:r>
              <w:rPr>
                <w:rFonts w:ascii="Arial" w:hAnsi="Arial" w:eastAsia="仿宋_GB2312" w:cs="Arial"/>
                <w:sz w:val="28"/>
                <w:szCs w:val="28"/>
              </w:rPr>
              <w:t>≥</w:t>
            </w:r>
            <w:r>
              <w:rPr>
                <w:rFonts w:hint="eastAsia" w:ascii="Arial" w:hAnsi="Arial" w:eastAsia="仿宋_GB2312" w:cs="Arial"/>
                <w:sz w:val="28"/>
                <w:szCs w:val="28"/>
              </w:rPr>
              <w:t>90%</w:t>
            </w:r>
          </w:p>
        </w:tc>
        <w:tc>
          <w:tcPr>
            <w:tcW w:w="2190" w:type="dxa"/>
            <w:tcBorders>
              <w:top w:val="single" w:color="000000" w:sz="4" w:space="0"/>
              <w:left w:val="single" w:color="000000" w:sz="4" w:space="0"/>
              <w:bottom w:val="single" w:color="000000" w:sz="4" w:space="0"/>
              <w:right w:val="single" w:color="000000" w:sz="4" w:space="0"/>
            </w:tcBorders>
            <w:vAlign w:val="center"/>
          </w:tcPr>
          <w:p w14:paraId="7CCB71FD">
            <w:pPr>
              <w:widowControl/>
              <w:spacing w:line="320" w:lineRule="exact"/>
              <w:jc w:val="center"/>
              <w:textAlignment w:val="bottom"/>
              <w:rPr>
                <w:rFonts w:ascii="Arial" w:hAnsi="Arial" w:eastAsia="仿宋_GB2312" w:cs="Arial"/>
                <w:sz w:val="28"/>
                <w:szCs w:val="28"/>
              </w:rPr>
            </w:pPr>
            <w:r>
              <w:rPr>
                <w:rFonts w:hint="eastAsia" w:ascii="Arial" w:hAnsi="Arial" w:eastAsia="仿宋_GB2312" w:cs="Arial"/>
                <w:sz w:val="28"/>
                <w:szCs w:val="28"/>
              </w:rPr>
              <w:t>95%</w:t>
            </w:r>
          </w:p>
        </w:tc>
      </w:tr>
    </w:tbl>
    <w:p w14:paraId="541A91B4">
      <w:pPr>
        <w:pStyle w:val="5"/>
        <w:spacing w:before="93"/>
        <w:rPr>
          <w:rFonts w:ascii="黑体" w:hAnsi="黑体" w:eastAsia="黑体"/>
          <w:sz w:val="44"/>
          <w:szCs w:val="44"/>
        </w:rPr>
      </w:pPr>
    </w:p>
    <w:p w14:paraId="13BD3828">
      <w:pPr>
        <w:autoSpaceDE w:val="0"/>
        <w:autoSpaceDN w:val="0"/>
        <w:adjustRightInd w:val="0"/>
        <w:spacing w:line="600" w:lineRule="exact"/>
        <w:ind w:firstLine="640" w:firstLineChars="200"/>
        <w:jc w:val="left"/>
        <w:rPr>
          <w:rFonts w:ascii="仿宋" w:hAnsi="仿宋" w:eastAsia="仿宋"/>
          <w:color w:val="000000"/>
          <w:sz w:val="32"/>
          <w:szCs w:val="32"/>
        </w:rPr>
      </w:pPr>
    </w:p>
    <w:p w14:paraId="2D80E97E">
      <w:pPr>
        <w:autoSpaceDE w:val="0"/>
        <w:autoSpaceDN w:val="0"/>
        <w:adjustRightInd w:val="0"/>
        <w:spacing w:line="600" w:lineRule="exact"/>
        <w:ind w:firstLine="640" w:firstLineChars="200"/>
        <w:jc w:val="left"/>
        <w:rPr>
          <w:rFonts w:ascii="仿宋" w:hAnsi="仿宋" w:eastAsia="仿宋"/>
          <w:color w:val="000000"/>
          <w:sz w:val="32"/>
          <w:szCs w:val="32"/>
        </w:rPr>
      </w:pPr>
    </w:p>
    <w:p w14:paraId="0CCFB458">
      <w:pPr>
        <w:autoSpaceDE w:val="0"/>
        <w:autoSpaceDN w:val="0"/>
        <w:adjustRightInd w:val="0"/>
        <w:spacing w:line="600" w:lineRule="exact"/>
        <w:ind w:firstLine="640" w:firstLineChars="200"/>
        <w:jc w:val="left"/>
        <w:rPr>
          <w:rFonts w:ascii="仿宋" w:hAnsi="仿宋" w:eastAsia="仿宋"/>
          <w:color w:val="000000"/>
          <w:sz w:val="32"/>
          <w:szCs w:val="32"/>
        </w:rPr>
      </w:pPr>
    </w:p>
    <w:p w14:paraId="686D776E">
      <w:pPr>
        <w:autoSpaceDE w:val="0"/>
        <w:autoSpaceDN w:val="0"/>
        <w:adjustRightInd w:val="0"/>
        <w:spacing w:line="600" w:lineRule="exact"/>
        <w:ind w:firstLine="640" w:firstLineChars="200"/>
        <w:jc w:val="left"/>
        <w:rPr>
          <w:rFonts w:ascii="仿宋" w:hAnsi="仿宋" w:eastAsia="仿宋"/>
          <w:color w:val="000000"/>
          <w:sz w:val="32"/>
          <w:szCs w:val="32"/>
        </w:rPr>
      </w:pPr>
    </w:p>
    <w:p w14:paraId="421F5620">
      <w:pPr>
        <w:autoSpaceDE w:val="0"/>
        <w:autoSpaceDN w:val="0"/>
        <w:adjustRightInd w:val="0"/>
        <w:spacing w:line="600" w:lineRule="exact"/>
        <w:ind w:firstLine="640" w:firstLineChars="200"/>
        <w:jc w:val="left"/>
        <w:rPr>
          <w:rFonts w:ascii="仿宋" w:hAnsi="仿宋" w:eastAsia="仿宋"/>
          <w:color w:val="000000"/>
          <w:sz w:val="32"/>
          <w:szCs w:val="32"/>
        </w:rPr>
      </w:pPr>
    </w:p>
    <w:p w14:paraId="48EA93EC">
      <w:pPr>
        <w:autoSpaceDE w:val="0"/>
        <w:autoSpaceDN w:val="0"/>
        <w:adjustRightInd w:val="0"/>
        <w:spacing w:line="600" w:lineRule="exact"/>
        <w:ind w:firstLine="640" w:firstLineChars="200"/>
        <w:jc w:val="left"/>
        <w:rPr>
          <w:rFonts w:ascii="仿宋" w:hAnsi="仿宋" w:eastAsia="仿宋"/>
          <w:color w:val="000000"/>
          <w:sz w:val="32"/>
          <w:szCs w:val="32"/>
        </w:rPr>
      </w:pPr>
    </w:p>
    <w:p w14:paraId="61745F6F">
      <w:pPr>
        <w:autoSpaceDE w:val="0"/>
        <w:autoSpaceDN w:val="0"/>
        <w:adjustRightInd w:val="0"/>
        <w:spacing w:line="600" w:lineRule="exact"/>
        <w:ind w:firstLine="640" w:firstLineChars="200"/>
        <w:jc w:val="left"/>
        <w:rPr>
          <w:rFonts w:ascii="仿宋" w:hAnsi="仿宋" w:eastAsia="仿宋"/>
          <w:color w:val="000000"/>
          <w:sz w:val="32"/>
          <w:szCs w:val="32"/>
        </w:rPr>
      </w:pPr>
    </w:p>
    <w:p w14:paraId="61B8CF96">
      <w:pPr>
        <w:autoSpaceDE w:val="0"/>
        <w:autoSpaceDN w:val="0"/>
        <w:adjustRightInd w:val="0"/>
        <w:spacing w:line="600" w:lineRule="exact"/>
        <w:ind w:firstLine="640" w:firstLineChars="200"/>
        <w:jc w:val="left"/>
        <w:rPr>
          <w:rFonts w:ascii="仿宋" w:hAnsi="仿宋" w:eastAsia="仿宋"/>
          <w:color w:val="000000"/>
          <w:sz w:val="32"/>
          <w:szCs w:val="32"/>
        </w:rPr>
      </w:pPr>
    </w:p>
    <w:p w14:paraId="6BE6E9E9">
      <w:pPr>
        <w:autoSpaceDE w:val="0"/>
        <w:autoSpaceDN w:val="0"/>
        <w:adjustRightInd w:val="0"/>
        <w:spacing w:line="600" w:lineRule="exact"/>
        <w:ind w:firstLine="640" w:firstLineChars="200"/>
        <w:jc w:val="left"/>
        <w:rPr>
          <w:rFonts w:ascii="仿宋" w:hAnsi="仿宋" w:eastAsia="仿宋"/>
          <w:color w:val="000000"/>
          <w:sz w:val="32"/>
          <w:szCs w:val="32"/>
        </w:rPr>
      </w:pPr>
    </w:p>
    <w:p w14:paraId="4663F095">
      <w:pPr>
        <w:autoSpaceDE w:val="0"/>
        <w:autoSpaceDN w:val="0"/>
        <w:adjustRightInd w:val="0"/>
        <w:spacing w:line="600" w:lineRule="exact"/>
        <w:ind w:firstLine="640" w:firstLineChars="200"/>
        <w:jc w:val="left"/>
        <w:rPr>
          <w:rFonts w:ascii="仿宋" w:hAnsi="仿宋" w:eastAsia="仿宋"/>
          <w:color w:val="000000"/>
          <w:sz w:val="32"/>
          <w:szCs w:val="32"/>
        </w:rPr>
      </w:pPr>
    </w:p>
    <w:p w14:paraId="45CC79FE">
      <w:pPr>
        <w:autoSpaceDE w:val="0"/>
        <w:autoSpaceDN w:val="0"/>
        <w:adjustRightInd w:val="0"/>
        <w:spacing w:line="600" w:lineRule="exact"/>
        <w:ind w:firstLine="640" w:firstLineChars="200"/>
        <w:jc w:val="left"/>
        <w:rPr>
          <w:rFonts w:ascii="仿宋" w:hAnsi="仿宋" w:eastAsia="仿宋"/>
          <w:color w:val="000000"/>
          <w:sz w:val="32"/>
          <w:szCs w:val="32"/>
        </w:rPr>
      </w:pPr>
    </w:p>
    <w:p w14:paraId="013101A3">
      <w:pPr>
        <w:autoSpaceDE w:val="0"/>
        <w:autoSpaceDN w:val="0"/>
        <w:adjustRightInd w:val="0"/>
        <w:spacing w:line="600" w:lineRule="exact"/>
        <w:ind w:firstLine="640" w:firstLineChars="200"/>
        <w:jc w:val="left"/>
        <w:rPr>
          <w:rFonts w:ascii="黑体" w:hAnsi="黑体" w:eastAsia="黑体" w:cs="黑体"/>
          <w:sz w:val="32"/>
          <w:szCs w:val="32"/>
        </w:rPr>
      </w:pPr>
    </w:p>
    <w:p w14:paraId="1DF84330">
      <w:pPr>
        <w:autoSpaceDE w:val="0"/>
        <w:autoSpaceDN w:val="0"/>
        <w:adjustRightInd w:val="0"/>
        <w:spacing w:line="600" w:lineRule="exact"/>
        <w:ind w:firstLine="640" w:firstLineChars="200"/>
        <w:jc w:val="left"/>
        <w:rPr>
          <w:rFonts w:ascii="仿宋" w:hAnsi="仿宋" w:eastAsia="仿宋"/>
          <w:color w:val="000000"/>
          <w:sz w:val="32"/>
          <w:szCs w:val="32"/>
        </w:rPr>
      </w:pPr>
      <w:r>
        <w:rPr>
          <w:rFonts w:hint="eastAsia" w:ascii="黑体" w:hAnsi="黑体" w:eastAsia="黑体" w:cs="黑体"/>
          <w:sz w:val="32"/>
          <w:szCs w:val="32"/>
        </w:rPr>
        <w:t>附件2</w:t>
      </w:r>
    </w:p>
    <w:tbl>
      <w:tblPr>
        <w:tblStyle w:val="14"/>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2026"/>
        <w:gridCol w:w="1170"/>
        <w:gridCol w:w="1675"/>
        <w:gridCol w:w="1616"/>
        <w:gridCol w:w="856"/>
        <w:gridCol w:w="278"/>
        <w:gridCol w:w="2190"/>
      </w:tblGrid>
      <w:tr w14:paraId="73FADC75">
        <w:tblPrEx>
          <w:tblCellMar>
            <w:top w:w="0" w:type="dxa"/>
            <w:left w:w="108" w:type="dxa"/>
            <w:bottom w:w="0" w:type="dxa"/>
            <w:right w:w="108" w:type="dxa"/>
          </w:tblCellMar>
        </w:tblPrEx>
        <w:trPr>
          <w:trHeight w:val="675" w:hRule="atLeast"/>
        </w:trPr>
        <w:tc>
          <w:tcPr>
            <w:tcW w:w="9811" w:type="dxa"/>
            <w:gridSpan w:val="7"/>
            <w:tcBorders>
              <w:top w:val="nil"/>
              <w:left w:val="nil"/>
              <w:bottom w:val="nil"/>
              <w:right w:val="nil"/>
            </w:tcBorders>
            <w:vAlign w:val="center"/>
          </w:tcPr>
          <w:p w14:paraId="42DA3040">
            <w:pPr>
              <w:widowControl/>
              <w:jc w:val="center"/>
              <w:textAlignment w:val="center"/>
              <w:rPr>
                <w:rFonts w:ascii="宋体" w:hAnsi="宋体" w:cs="宋体"/>
                <w:b/>
                <w:sz w:val="32"/>
                <w:szCs w:val="32"/>
              </w:rPr>
            </w:pPr>
            <w:r>
              <w:rPr>
                <w:rFonts w:hint="eastAsia" w:ascii="宋体" w:hAnsi="宋体" w:cs="宋体"/>
                <w:b/>
                <w:sz w:val="32"/>
                <w:szCs w:val="32"/>
              </w:rPr>
              <w:t>抗疫特别国债资金项目绩效评价表</w:t>
            </w:r>
          </w:p>
        </w:tc>
      </w:tr>
      <w:tr w14:paraId="7C7ECC62">
        <w:tblPrEx>
          <w:tblCellMar>
            <w:top w:w="0" w:type="dxa"/>
            <w:left w:w="108" w:type="dxa"/>
            <w:bottom w:w="0" w:type="dxa"/>
            <w:right w:w="108" w:type="dxa"/>
          </w:tblCellMar>
        </w:tblPrEx>
        <w:trPr>
          <w:trHeight w:val="254" w:hRule="atLeast"/>
        </w:trPr>
        <w:tc>
          <w:tcPr>
            <w:tcW w:w="3196" w:type="dxa"/>
            <w:gridSpan w:val="2"/>
            <w:tcBorders>
              <w:top w:val="single" w:color="000000" w:sz="4" w:space="0"/>
              <w:left w:val="single" w:color="000000" w:sz="4" w:space="0"/>
              <w:bottom w:val="single" w:color="000000" w:sz="4" w:space="0"/>
              <w:right w:val="single" w:color="000000" w:sz="4" w:space="0"/>
            </w:tcBorders>
            <w:vAlign w:val="center"/>
          </w:tcPr>
          <w:p w14:paraId="39B992B8">
            <w:pPr>
              <w:widowControl/>
              <w:spacing w:line="320" w:lineRule="exact"/>
              <w:jc w:val="center"/>
              <w:textAlignment w:val="center"/>
              <w:rPr>
                <w:rFonts w:ascii="宋体" w:hAnsi="宋体" w:cs="宋体"/>
                <w:sz w:val="24"/>
              </w:rPr>
            </w:pPr>
            <w:r>
              <w:rPr>
                <w:rFonts w:hint="eastAsia" w:ascii="宋体" w:hAnsi="宋体" w:cs="宋体"/>
                <w:kern w:val="0"/>
                <w:sz w:val="24"/>
              </w:rPr>
              <w:t>主管部门及代码</w:t>
            </w:r>
          </w:p>
        </w:tc>
        <w:tc>
          <w:tcPr>
            <w:tcW w:w="3291" w:type="dxa"/>
            <w:gridSpan w:val="2"/>
            <w:tcBorders>
              <w:top w:val="single" w:color="000000" w:sz="4" w:space="0"/>
              <w:left w:val="single" w:color="000000" w:sz="4" w:space="0"/>
              <w:bottom w:val="single" w:color="000000" w:sz="4" w:space="0"/>
              <w:right w:val="single" w:color="000000" w:sz="4" w:space="0"/>
            </w:tcBorders>
            <w:vAlign w:val="center"/>
          </w:tcPr>
          <w:p w14:paraId="71421B13">
            <w:pPr>
              <w:widowControl/>
              <w:spacing w:line="320" w:lineRule="exact"/>
              <w:textAlignment w:val="center"/>
              <w:rPr>
                <w:rFonts w:ascii="宋体" w:hAnsi="宋体" w:cs="宋体"/>
                <w:sz w:val="24"/>
              </w:rPr>
            </w:pPr>
            <w:r>
              <w:rPr>
                <w:rFonts w:hint="eastAsia" w:ascii="宋体" w:hAnsi="宋体" w:cs="宋体"/>
                <w:sz w:val="24"/>
              </w:rPr>
              <w:t>盐边县卫生健康局</w:t>
            </w:r>
          </w:p>
        </w:tc>
        <w:tc>
          <w:tcPr>
            <w:tcW w:w="856" w:type="dxa"/>
            <w:tcBorders>
              <w:top w:val="single" w:color="000000" w:sz="4" w:space="0"/>
              <w:left w:val="single" w:color="000000" w:sz="4" w:space="0"/>
              <w:bottom w:val="single" w:color="000000" w:sz="4" w:space="0"/>
              <w:right w:val="single" w:color="000000" w:sz="4" w:space="0"/>
            </w:tcBorders>
            <w:vAlign w:val="center"/>
          </w:tcPr>
          <w:p w14:paraId="07678AFE">
            <w:pPr>
              <w:widowControl/>
              <w:spacing w:line="320" w:lineRule="exact"/>
              <w:jc w:val="center"/>
              <w:textAlignment w:val="center"/>
              <w:rPr>
                <w:rFonts w:ascii="宋体" w:hAnsi="宋体" w:cs="宋体"/>
                <w:sz w:val="24"/>
              </w:rPr>
            </w:pPr>
            <w:r>
              <w:rPr>
                <w:rFonts w:hint="eastAsia" w:ascii="宋体" w:hAnsi="宋体" w:cs="宋体"/>
                <w:kern w:val="0"/>
                <w:sz w:val="24"/>
              </w:rPr>
              <w:t>实施单位</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20BBAF05">
            <w:pPr>
              <w:widowControl/>
              <w:spacing w:line="320" w:lineRule="exact"/>
              <w:jc w:val="left"/>
              <w:textAlignment w:val="center"/>
              <w:rPr>
                <w:rFonts w:ascii="宋体" w:hAnsi="宋体" w:cs="宋体"/>
                <w:sz w:val="24"/>
              </w:rPr>
            </w:pPr>
            <w:r>
              <w:rPr>
                <w:rFonts w:hint="eastAsia" w:ascii="宋体" w:hAnsi="宋体" w:cs="宋体"/>
                <w:sz w:val="24"/>
              </w:rPr>
              <w:t>盐边县人民医院</w:t>
            </w:r>
          </w:p>
        </w:tc>
      </w:tr>
      <w:tr w14:paraId="2A6A2765">
        <w:tblPrEx>
          <w:tblCellMar>
            <w:top w:w="0" w:type="dxa"/>
            <w:left w:w="108" w:type="dxa"/>
            <w:bottom w:w="0" w:type="dxa"/>
            <w:right w:w="108" w:type="dxa"/>
          </w:tblCellMar>
        </w:tblPrEx>
        <w:trPr>
          <w:trHeight w:val="341" w:hRule="atLeast"/>
        </w:trPr>
        <w:tc>
          <w:tcPr>
            <w:tcW w:w="319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74211CA">
            <w:pPr>
              <w:widowControl/>
              <w:spacing w:line="320" w:lineRule="exact"/>
              <w:jc w:val="center"/>
              <w:textAlignment w:val="center"/>
              <w:rPr>
                <w:rFonts w:ascii="宋体" w:hAnsi="宋体" w:cs="宋体"/>
                <w:kern w:val="0"/>
                <w:sz w:val="24"/>
              </w:rPr>
            </w:pPr>
            <w:r>
              <w:rPr>
                <w:rFonts w:hint="eastAsia" w:ascii="宋体" w:hAnsi="宋体" w:cs="宋体"/>
                <w:kern w:val="0"/>
                <w:sz w:val="24"/>
              </w:rPr>
              <w:t>项目预算</w:t>
            </w:r>
          </w:p>
          <w:p w14:paraId="58F5B39F">
            <w:pPr>
              <w:widowControl/>
              <w:spacing w:line="320" w:lineRule="exact"/>
              <w:jc w:val="center"/>
              <w:textAlignment w:val="center"/>
              <w:rPr>
                <w:rFonts w:ascii="宋体" w:hAnsi="宋体" w:cs="宋体"/>
                <w:kern w:val="0"/>
                <w:sz w:val="24"/>
              </w:rPr>
            </w:pPr>
            <w:r>
              <w:rPr>
                <w:rFonts w:hint="eastAsia" w:ascii="宋体" w:hAnsi="宋体" w:cs="宋体"/>
                <w:kern w:val="0"/>
                <w:sz w:val="24"/>
              </w:rPr>
              <w:t>执行情况</w:t>
            </w:r>
          </w:p>
          <w:p w14:paraId="366EA9EC">
            <w:pPr>
              <w:widowControl/>
              <w:spacing w:line="320" w:lineRule="exact"/>
              <w:jc w:val="center"/>
              <w:textAlignment w:val="center"/>
              <w:rPr>
                <w:rFonts w:ascii="宋体" w:hAnsi="宋体" w:cs="宋体"/>
                <w:sz w:val="24"/>
              </w:rPr>
            </w:pPr>
            <w:r>
              <w:rPr>
                <w:rFonts w:hint="eastAsia" w:ascii="宋体" w:hAnsi="宋体" w:cs="宋体"/>
                <w:kern w:val="0"/>
                <w:sz w:val="24"/>
              </w:rPr>
              <w:t>（万元）</w:t>
            </w:r>
          </w:p>
        </w:tc>
        <w:tc>
          <w:tcPr>
            <w:tcW w:w="1675" w:type="dxa"/>
            <w:tcBorders>
              <w:top w:val="single" w:color="000000" w:sz="4" w:space="0"/>
              <w:left w:val="single" w:color="000000" w:sz="4" w:space="0"/>
              <w:bottom w:val="single" w:color="000000" w:sz="4" w:space="0"/>
              <w:right w:val="single" w:color="000000" w:sz="4" w:space="0"/>
            </w:tcBorders>
            <w:vAlign w:val="center"/>
          </w:tcPr>
          <w:p w14:paraId="51BBA982">
            <w:pPr>
              <w:widowControl/>
              <w:spacing w:line="320" w:lineRule="exact"/>
              <w:jc w:val="left"/>
              <w:textAlignment w:val="center"/>
              <w:rPr>
                <w:rFonts w:ascii="宋体" w:hAnsi="宋体" w:cs="宋体"/>
                <w:sz w:val="24"/>
              </w:rPr>
            </w:pPr>
            <w:r>
              <w:rPr>
                <w:rFonts w:hint="eastAsia" w:ascii="宋体" w:hAnsi="宋体" w:cs="宋体"/>
                <w:kern w:val="0"/>
                <w:sz w:val="24"/>
              </w:rPr>
              <w:t xml:space="preserve"> 预算数：</w:t>
            </w:r>
          </w:p>
        </w:tc>
        <w:tc>
          <w:tcPr>
            <w:tcW w:w="1616" w:type="dxa"/>
            <w:tcBorders>
              <w:top w:val="single" w:color="000000" w:sz="4" w:space="0"/>
              <w:left w:val="single" w:color="000000" w:sz="4" w:space="0"/>
              <w:bottom w:val="single" w:color="000000" w:sz="4" w:space="0"/>
              <w:right w:val="single" w:color="000000" w:sz="4" w:space="0"/>
            </w:tcBorders>
            <w:vAlign w:val="center"/>
          </w:tcPr>
          <w:p w14:paraId="6A6EBB8E">
            <w:pPr>
              <w:widowControl/>
              <w:spacing w:line="320" w:lineRule="exact"/>
              <w:jc w:val="left"/>
              <w:textAlignment w:val="center"/>
              <w:rPr>
                <w:rFonts w:ascii="宋体" w:hAnsi="宋体" w:cs="宋体"/>
                <w:sz w:val="24"/>
              </w:rPr>
            </w:pPr>
            <w:r>
              <w:rPr>
                <w:rFonts w:hint="eastAsia" w:ascii="宋体" w:hAnsi="宋体" w:cs="宋体"/>
                <w:sz w:val="24"/>
              </w:rPr>
              <w:t>1950</w:t>
            </w:r>
          </w:p>
        </w:tc>
        <w:tc>
          <w:tcPr>
            <w:tcW w:w="856" w:type="dxa"/>
            <w:tcBorders>
              <w:top w:val="single" w:color="000000" w:sz="4" w:space="0"/>
              <w:left w:val="single" w:color="000000" w:sz="4" w:space="0"/>
              <w:bottom w:val="single" w:color="000000" w:sz="4" w:space="0"/>
              <w:right w:val="single" w:color="000000" w:sz="4" w:space="0"/>
            </w:tcBorders>
            <w:vAlign w:val="center"/>
          </w:tcPr>
          <w:p w14:paraId="0CB07DE4">
            <w:pPr>
              <w:widowControl/>
              <w:spacing w:line="320" w:lineRule="exact"/>
              <w:jc w:val="left"/>
              <w:textAlignment w:val="center"/>
              <w:rPr>
                <w:rFonts w:ascii="宋体" w:hAnsi="宋体" w:cs="宋体"/>
                <w:sz w:val="24"/>
              </w:rPr>
            </w:pPr>
            <w:r>
              <w:rPr>
                <w:rFonts w:hint="eastAsia" w:ascii="宋体" w:hAnsi="宋体" w:cs="宋体"/>
                <w:kern w:val="0"/>
                <w:sz w:val="24"/>
              </w:rPr>
              <w:t xml:space="preserve"> 执行数：</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6157C90C">
            <w:pPr>
              <w:widowControl/>
              <w:spacing w:line="320" w:lineRule="exact"/>
              <w:jc w:val="left"/>
              <w:textAlignment w:val="center"/>
              <w:rPr>
                <w:rFonts w:ascii="宋体" w:hAnsi="宋体" w:cs="宋体"/>
                <w:sz w:val="24"/>
              </w:rPr>
            </w:pPr>
            <w:r>
              <w:rPr>
                <w:rFonts w:hint="eastAsia" w:ascii="宋体" w:hAnsi="宋体" w:cs="宋体"/>
                <w:sz w:val="24"/>
              </w:rPr>
              <w:t>1373．104</w:t>
            </w:r>
          </w:p>
        </w:tc>
      </w:tr>
      <w:tr w14:paraId="36AAADB1">
        <w:tblPrEx>
          <w:tblCellMar>
            <w:top w:w="0" w:type="dxa"/>
            <w:left w:w="108" w:type="dxa"/>
            <w:bottom w:w="0" w:type="dxa"/>
            <w:right w:w="108" w:type="dxa"/>
          </w:tblCellMar>
        </w:tblPrEx>
        <w:trPr>
          <w:trHeight w:val="853" w:hRule="atLeast"/>
        </w:trPr>
        <w:tc>
          <w:tcPr>
            <w:tcW w:w="319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9A2B66">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vAlign w:val="center"/>
          </w:tcPr>
          <w:p w14:paraId="66266D2D">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511ED738">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1616" w:type="dxa"/>
            <w:tcBorders>
              <w:top w:val="single" w:color="000000" w:sz="4" w:space="0"/>
              <w:left w:val="single" w:color="000000" w:sz="4" w:space="0"/>
              <w:bottom w:val="single" w:color="000000" w:sz="4" w:space="0"/>
              <w:right w:val="single" w:color="000000" w:sz="4" w:space="0"/>
            </w:tcBorders>
            <w:vAlign w:val="center"/>
          </w:tcPr>
          <w:p w14:paraId="3E8CA71F">
            <w:pPr>
              <w:widowControl/>
              <w:spacing w:line="320" w:lineRule="exact"/>
              <w:jc w:val="left"/>
              <w:textAlignment w:val="center"/>
              <w:rPr>
                <w:rFonts w:ascii="宋体" w:hAnsi="宋体" w:cs="宋体"/>
                <w:sz w:val="24"/>
              </w:rPr>
            </w:pPr>
            <w:r>
              <w:rPr>
                <w:rFonts w:hint="eastAsia" w:ascii="宋体" w:hAnsi="宋体" w:cs="宋体"/>
                <w:sz w:val="24"/>
              </w:rPr>
              <w:t>1950</w:t>
            </w:r>
          </w:p>
        </w:tc>
        <w:tc>
          <w:tcPr>
            <w:tcW w:w="856" w:type="dxa"/>
            <w:tcBorders>
              <w:top w:val="single" w:color="000000" w:sz="4" w:space="0"/>
              <w:left w:val="single" w:color="000000" w:sz="4" w:space="0"/>
              <w:bottom w:val="single" w:color="000000" w:sz="4" w:space="0"/>
              <w:right w:val="single" w:color="000000" w:sz="4" w:space="0"/>
            </w:tcBorders>
            <w:vAlign w:val="center"/>
          </w:tcPr>
          <w:p w14:paraId="0313277A">
            <w:pPr>
              <w:widowControl/>
              <w:spacing w:line="320" w:lineRule="exact"/>
              <w:jc w:val="left"/>
              <w:textAlignment w:val="center"/>
              <w:rPr>
                <w:rFonts w:ascii="宋体" w:hAnsi="宋体" w:cs="宋体"/>
                <w:kern w:val="0"/>
                <w:sz w:val="24"/>
              </w:rPr>
            </w:pPr>
            <w:r>
              <w:rPr>
                <w:rFonts w:hint="eastAsia" w:ascii="宋体" w:hAnsi="宋体" w:cs="宋体"/>
                <w:kern w:val="0"/>
                <w:sz w:val="24"/>
              </w:rPr>
              <w:t>其中：</w:t>
            </w:r>
          </w:p>
          <w:p w14:paraId="4ECC0B4E">
            <w:pPr>
              <w:widowControl/>
              <w:spacing w:line="320" w:lineRule="exact"/>
              <w:jc w:val="left"/>
              <w:textAlignment w:val="center"/>
              <w:rPr>
                <w:rFonts w:ascii="宋体" w:hAnsi="宋体" w:cs="宋体"/>
                <w:sz w:val="24"/>
              </w:rPr>
            </w:pPr>
            <w:r>
              <w:rPr>
                <w:rFonts w:hint="eastAsia" w:ascii="宋体" w:hAnsi="宋体" w:cs="宋体"/>
                <w:kern w:val="0"/>
                <w:sz w:val="24"/>
              </w:rPr>
              <w:t>财政拨款</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562332DB">
            <w:pPr>
              <w:widowControl/>
              <w:spacing w:line="320" w:lineRule="exact"/>
              <w:textAlignment w:val="center"/>
              <w:rPr>
                <w:rFonts w:ascii="宋体" w:hAnsi="宋体" w:cs="宋体"/>
                <w:sz w:val="24"/>
              </w:rPr>
            </w:pPr>
            <w:r>
              <w:rPr>
                <w:rFonts w:hint="eastAsia" w:ascii="宋体" w:hAnsi="宋体" w:cs="宋体"/>
                <w:sz w:val="24"/>
              </w:rPr>
              <w:t>1373．104</w:t>
            </w:r>
          </w:p>
        </w:tc>
      </w:tr>
      <w:tr w14:paraId="09192749">
        <w:tblPrEx>
          <w:tblCellMar>
            <w:top w:w="0" w:type="dxa"/>
            <w:left w:w="108" w:type="dxa"/>
            <w:bottom w:w="0" w:type="dxa"/>
            <w:right w:w="108" w:type="dxa"/>
          </w:tblCellMar>
        </w:tblPrEx>
        <w:trPr>
          <w:trHeight w:val="313" w:hRule="atLeast"/>
        </w:trPr>
        <w:tc>
          <w:tcPr>
            <w:tcW w:w="319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A7A6B9D">
            <w:pPr>
              <w:spacing w:line="320" w:lineRule="exact"/>
              <w:jc w:val="center"/>
              <w:rPr>
                <w:rFonts w:ascii="宋体" w:hAnsi="宋体" w:cs="宋体"/>
                <w:sz w:val="24"/>
              </w:rPr>
            </w:pPr>
          </w:p>
        </w:tc>
        <w:tc>
          <w:tcPr>
            <w:tcW w:w="1675" w:type="dxa"/>
            <w:tcBorders>
              <w:top w:val="single" w:color="000000" w:sz="4" w:space="0"/>
              <w:left w:val="single" w:color="000000" w:sz="4" w:space="0"/>
              <w:bottom w:val="single" w:color="000000" w:sz="4" w:space="0"/>
              <w:right w:val="single" w:color="000000" w:sz="4" w:space="0"/>
            </w:tcBorders>
            <w:vAlign w:val="center"/>
          </w:tcPr>
          <w:p w14:paraId="0B32A8AA">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1616" w:type="dxa"/>
            <w:tcBorders>
              <w:top w:val="single" w:color="000000" w:sz="4" w:space="0"/>
              <w:left w:val="single" w:color="000000" w:sz="4" w:space="0"/>
              <w:bottom w:val="single" w:color="000000" w:sz="4" w:space="0"/>
              <w:right w:val="single" w:color="000000" w:sz="4" w:space="0"/>
            </w:tcBorders>
            <w:vAlign w:val="center"/>
          </w:tcPr>
          <w:p w14:paraId="19F74A47">
            <w:pPr>
              <w:widowControl/>
              <w:spacing w:line="320" w:lineRule="exact"/>
              <w:jc w:val="left"/>
              <w:textAlignment w:val="center"/>
              <w:rPr>
                <w:rFonts w:ascii="宋体" w:hAnsi="宋体" w:cs="宋体"/>
                <w:sz w:val="24"/>
              </w:rPr>
            </w:pPr>
            <w:r>
              <w:rPr>
                <w:rFonts w:hint="eastAsia" w:ascii="宋体" w:hAnsi="宋体" w:cs="宋体"/>
                <w:sz w:val="24"/>
              </w:rPr>
              <w:t>1950</w:t>
            </w:r>
          </w:p>
        </w:tc>
        <w:tc>
          <w:tcPr>
            <w:tcW w:w="856" w:type="dxa"/>
            <w:tcBorders>
              <w:top w:val="single" w:color="000000" w:sz="4" w:space="0"/>
              <w:left w:val="single" w:color="000000" w:sz="4" w:space="0"/>
              <w:bottom w:val="single" w:color="000000" w:sz="4" w:space="0"/>
              <w:right w:val="single" w:color="000000" w:sz="4" w:space="0"/>
            </w:tcBorders>
            <w:vAlign w:val="center"/>
          </w:tcPr>
          <w:p w14:paraId="6A24D9D9">
            <w:pPr>
              <w:widowControl/>
              <w:spacing w:line="320" w:lineRule="exact"/>
              <w:jc w:val="left"/>
              <w:textAlignment w:val="center"/>
              <w:rPr>
                <w:rFonts w:ascii="宋体" w:hAnsi="宋体" w:cs="宋体"/>
                <w:sz w:val="24"/>
              </w:rPr>
            </w:pPr>
            <w:r>
              <w:rPr>
                <w:rFonts w:hint="eastAsia" w:ascii="宋体" w:hAnsi="宋体" w:cs="宋体"/>
                <w:kern w:val="0"/>
                <w:sz w:val="24"/>
              </w:rPr>
              <w:t>其他资金</w:t>
            </w:r>
          </w:p>
        </w:tc>
        <w:tc>
          <w:tcPr>
            <w:tcW w:w="2468" w:type="dxa"/>
            <w:gridSpan w:val="2"/>
            <w:tcBorders>
              <w:top w:val="single" w:color="000000" w:sz="4" w:space="0"/>
              <w:left w:val="single" w:color="000000" w:sz="4" w:space="0"/>
              <w:bottom w:val="single" w:color="000000" w:sz="4" w:space="0"/>
              <w:right w:val="single" w:color="000000" w:sz="4" w:space="0"/>
            </w:tcBorders>
            <w:vAlign w:val="center"/>
          </w:tcPr>
          <w:p w14:paraId="7E2C2968">
            <w:pPr>
              <w:widowControl/>
              <w:spacing w:line="320" w:lineRule="exact"/>
              <w:textAlignment w:val="center"/>
              <w:rPr>
                <w:rFonts w:ascii="宋体" w:hAnsi="宋体" w:cs="宋体"/>
                <w:sz w:val="24"/>
              </w:rPr>
            </w:pPr>
            <w:r>
              <w:rPr>
                <w:rFonts w:hint="eastAsia" w:ascii="宋体" w:hAnsi="宋体" w:cs="宋体"/>
                <w:sz w:val="24"/>
              </w:rPr>
              <w:t>1373．104</w:t>
            </w:r>
          </w:p>
        </w:tc>
      </w:tr>
      <w:tr w14:paraId="2A4242AA">
        <w:tblPrEx>
          <w:tblCellMar>
            <w:top w:w="0" w:type="dxa"/>
            <w:left w:w="108" w:type="dxa"/>
            <w:bottom w:w="0" w:type="dxa"/>
            <w:right w:w="108" w:type="dxa"/>
          </w:tblCellMar>
        </w:tblPrEx>
        <w:trPr>
          <w:trHeight w:val="217" w:hRule="atLeast"/>
        </w:trPr>
        <w:tc>
          <w:tcPr>
            <w:tcW w:w="2026" w:type="dxa"/>
            <w:vMerge w:val="restart"/>
            <w:tcBorders>
              <w:top w:val="single" w:color="000000" w:sz="4" w:space="0"/>
              <w:left w:val="single" w:color="000000" w:sz="4" w:space="0"/>
              <w:bottom w:val="single" w:color="000000" w:sz="4" w:space="0"/>
              <w:right w:val="single" w:color="000000" w:sz="4" w:space="0"/>
            </w:tcBorders>
            <w:vAlign w:val="center"/>
          </w:tcPr>
          <w:p w14:paraId="72F23F39">
            <w:pPr>
              <w:widowControl/>
              <w:spacing w:line="320" w:lineRule="exact"/>
              <w:jc w:val="center"/>
              <w:textAlignment w:val="center"/>
              <w:rPr>
                <w:rFonts w:ascii="宋体" w:hAnsi="宋体" w:cs="宋体"/>
                <w:kern w:val="0"/>
                <w:sz w:val="24"/>
              </w:rPr>
            </w:pPr>
            <w:r>
              <w:rPr>
                <w:rFonts w:hint="eastAsia" w:ascii="宋体" w:hAnsi="宋体" w:cs="宋体"/>
                <w:kern w:val="0"/>
                <w:sz w:val="24"/>
              </w:rPr>
              <w:t>年度总体目标</w:t>
            </w:r>
          </w:p>
          <w:p w14:paraId="6E15EB23">
            <w:pPr>
              <w:widowControl/>
              <w:spacing w:line="320" w:lineRule="exact"/>
              <w:jc w:val="center"/>
              <w:textAlignment w:val="center"/>
              <w:rPr>
                <w:rFonts w:ascii="宋体" w:hAnsi="宋体" w:cs="宋体"/>
                <w:sz w:val="24"/>
              </w:rPr>
            </w:pPr>
            <w:r>
              <w:rPr>
                <w:rFonts w:hint="eastAsia" w:ascii="宋体" w:hAnsi="宋体" w:cs="宋体"/>
                <w:kern w:val="0"/>
                <w:sz w:val="24"/>
              </w:rPr>
              <w:t>完成情况</w:t>
            </w:r>
          </w:p>
        </w:tc>
        <w:tc>
          <w:tcPr>
            <w:tcW w:w="4461" w:type="dxa"/>
            <w:gridSpan w:val="3"/>
            <w:tcBorders>
              <w:top w:val="single" w:color="000000" w:sz="4" w:space="0"/>
              <w:left w:val="single" w:color="000000" w:sz="4" w:space="0"/>
              <w:bottom w:val="single" w:color="000000" w:sz="4" w:space="0"/>
              <w:right w:val="single" w:color="000000" w:sz="4" w:space="0"/>
            </w:tcBorders>
            <w:vAlign w:val="center"/>
          </w:tcPr>
          <w:p w14:paraId="4B5CA997">
            <w:pPr>
              <w:widowControl/>
              <w:spacing w:line="320" w:lineRule="exact"/>
              <w:jc w:val="center"/>
              <w:textAlignment w:val="center"/>
              <w:rPr>
                <w:rFonts w:ascii="宋体" w:hAnsi="宋体" w:cs="宋体"/>
                <w:sz w:val="24"/>
              </w:rPr>
            </w:pPr>
            <w:r>
              <w:rPr>
                <w:rFonts w:hint="eastAsia" w:ascii="宋体" w:hAnsi="宋体" w:cs="宋体"/>
                <w:kern w:val="0"/>
                <w:sz w:val="24"/>
              </w:rPr>
              <w:t>预期目标</w:t>
            </w:r>
          </w:p>
        </w:tc>
        <w:tc>
          <w:tcPr>
            <w:tcW w:w="3324" w:type="dxa"/>
            <w:gridSpan w:val="3"/>
            <w:tcBorders>
              <w:top w:val="single" w:color="000000" w:sz="4" w:space="0"/>
              <w:left w:val="single" w:color="000000" w:sz="4" w:space="0"/>
              <w:bottom w:val="single" w:color="000000" w:sz="4" w:space="0"/>
              <w:right w:val="single" w:color="000000" w:sz="4" w:space="0"/>
            </w:tcBorders>
            <w:vAlign w:val="center"/>
          </w:tcPr>
          <w:p w14:paraId="532CBA94">
            <w:pPr>
              <w:widowControl/>
              <w:spacing w:line="320" w:lineRule="exact"/>
              <w:jc w:val="center"/>
              <w:textAlignment w:val="center"/>
              <w:rPr>
                <w:rFonts w:ascii="宋体" w:hAnsi="宋体" w:cs="宋体"/>
                <w:sz w:val="24"/>
              </w:rPr>
            </w:pPr>
            <w:r>
              <w:rPr>
                <w:rFonts w:hint="eastAsia" w:ascii="宋体" w:hAnsi="宋体" w:cs="宋体"/>
                <w:kern w:val="0"/>
                <w:sz w:val="24"/>
              </w:rPr>
              <w:t>目标实际完成情况</w:t>
            </w:r>
          </w:p>
        </w:tc>
      </w:tr>
      <w:tr w14:paraId="317C0B45">
        <w:tblPrEx>
          <w:tblCellMar>
            <w:top w:w="0" w:type="dxa"/>
            <w:left w:w="108" w:type="dxa"/>
            <w:bottom w:w="0" w:type="dxa"/>
            <w:right w:w="108" w:type="dxa"/>
          </w:tblCellMar>
        </w:tblPrEx>
        <w:trPr>
          <w:trHeight w:val="1147" w:hRule="atLeast"/>
        </w:trPr>
        <w:tc>
          <w:tcPr>
            <w:tcW w:w="2026" w:type="dxa"/>
            <w:vMerge w:val="continue"/>
            <w:tcBorders>
              <w:top w:val="single" w:color="000000" w:sz="4" w:space="0"/>
              <w:left w:val="single" w:color="000000" w:sz="4" w:space="0"/>
              <w:bottom w:val="single" w:color="000000" w:sz="4" w:space="0"/>
              <w:right w:val="single" w:color="000000" w:sz="4" w:space="0"/>
            </w:tcBorders>
            <w:vAlign w:val="center"/>
          </w:tcPr>
          <w:p w14:paraId="75CAB262">
            <w:pPr>
              <w:spacing w:line="320" w:lineRule="exact"/>
              <w:jc w:val="center"/>
              <w:rPr>
                <w:rFonts w:ascii="宋体" w:hAnsi="宋体" w:cs="宋体"/>
                <w:sz w:val="24"/>
              </w:rPr>
            </w:pPr>
          </w:p>
        </w:tc>
        <w:tc>
          <w:tcPr>
            <w:tcW w:w="4461" w:type="dxa"/>
            <w:gridSpan w:val="3"/>
            <w:tcBorders>
              <w:top w:val="single" w:color="000000" w:sz="4" w:space="0"/>
              <w:left w:val="single" w:color="000000" w:sz="4" w:space="0"/>
              <w:bottom w:val="single" w:color="000000" w:sz="4" w:space="0"/>
              <w:right w:val="single" w:color="000000" w:sz="4" w:space="0"/>
            </w:tcBorders>
          </w:tcPr>
          <w:p w14:paraId="59DFC1DD">
            <w:pPr>
              <w:widowControl/>
              <w:spacing w:line="320" w:lineRule="exact"/>
              <w:jc w:val="left"/>
              <w:textAlignment w:val="top"/>
              <w:rPr>
                <w:rFonts w:ascii="宋体" w:hAnsi="宋体" w:cs="宋体"/>
                <w:sz w:val="24"/>
              </w:rPr>
            </w:pPr>
            <w:r>
              <w:rPr>
                <w:rFonts w:hint="eastAsia" w:ascii="宋体" w:hAnsi="宋体" w:cs="宋体"/>
                <w:sz w:val="24"/>
              </w:rPr>
              <w:t>改建医技综合楼及配套设施完善、改建两间核酸检测实验室</w:t>
            </w:r>
          </w:p>
        </w:tc>
        <w:tc>
          <w:tcPr>
            <w:tcW w:w="3324" w:type="dxa"/>
            <w:gridSpan w:val="3"/>
            <w:tcBorders>
              <w:top w:val="single" w:color="000000" w:sz="4" w:space="0"/>
              <w:left w:val="single" w:color="000000" w:sz="4" w:space="0"/>
              <w:bottom w:val="single" w:color="000000" w:sz="4" w:space="0"/>
              <w:right w:val="single" w:color="000000" w:sz="4" w:space="0"/>
            </w:tcBorders>
          </w:tcPr>
          <w:p w14:paraId="23AAD295">
            <w:pPr>
              <w:widowControl/>
              <w:spacing w:line="320" w:lineRule="exact"/>
              <w:jc w:val="left"/>
              <w:textAlignment w:val="top"/>
              <w:rPr>
                <w:rFonts w:ascii="宋体" w:hAnsi="宋体" w:cs="宋体"/>
                <w:sz w:val="24"/>
              </w:rPr>
            </w:pPr>
            <w:r>
              <w:rPr>
                <w:rFonts w:hint="eastAsia" w:ascii="宋体" w:hAnsi="宋体" w:cs="宋体"/>
                <w:sz w:val="24"/>
              </w:rPr>
              <w:t xml:space="preserve">   进行医技综合楼包括检验科、血透室ICU、手术室综合项目装修及采购相应设备，按照资金拨付及项目合同进度进行核酸检测实验室建设</w:t>
            </w:r>
          </w:p>
        </w:tc>
      </w:tr>
      <w:tr w14:paraId="70A81E05">
        <w:tblPrEx>
          <w:tblCellMar>
            <w:top w:w="0" w:type="dxa"/>
            <w:left w:w="108" w:type="dxa"/>
            <w:bottom w:w="0" w:type="dxa"/>
            <w:right w:w="108" w:type="dxa"/>
          </w:tblCellMar>
        </w:tblPrEx>
        <w:trPr>
          <w:trHeight w:val="693" w:hRule="atLeast"/>
        </w:trPr>
        <w:tc>
          <w:tcPr>
            <w:tcW w:w="2026" w:type="dxa"/>
            <w:vMerge w:val="restart"/>
            <w:tcBorders>
              <w:top w:val="single" w:color="000000" w:sz="4" w:space="0"/>
              <w:left w:val="single" w:color="000000" w:sz="4" w:space="0"/>
              <w:bottom w:val="single" w:color="auto" w:sz="4" w:space="0"/>
              <w:right w:val="single" w:color="000000" w:sz="4" w:space="0"/>
            </w:tcBorders>
            <w:vAlign w:val="center"/>
          </w:tcPr>
          <w:p w14:paraId="77E14E3F">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年度绩效指标完成情况</w:t>
            </w:r>
          </w:p>
        </w:tc>
        <w:tc>
          <w:tcPr>
            <w:tcW w:w="1170" w:type="dxa"/>
            <w:tcBorders>
              <w:top w:val="single" w:color="000000" w:sz="4" w:space="0"/>
              <w:left w:val="nil"/>
              <w:bottom w:val="single" w:color="000000" w:sz="4" w:space="0"/>
              <w:right w:val="single" w:color="000000" w:sz="4" w:space="0"/>
            </w:tcBorders>
            <w:vAlign w:val="center"/>
          </w:tcPr>
          <w:p w14:paraId="4D960271">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一级</w:t>
            </w:r>
          </w:p>
          <w:p w14:paraId="62FC837B">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75" w:type="dxa"/>
            <w:tcBorders>
              <w:top w:val="single" w:color="000000" w:sz="4" w:space="0"/>
              <w:left w:val="single" w:color="000000" w:sz="4" w:space="0"/>
              <w:bottom w:val="single" w:color="000000" w:sz="4" w:space="0"/>
              <w:right w:val="single" w:color="000000" w:sz="4" w:space="0"/>
            </w:tcBorders>
            <w:vAlign w:val="center"/>
          </w:tcPr>
          <w:p w14:paraId="01CD6EEE">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二级</w:t>
            </w:r>
          </w:p>
          <w:p w14:paraId="072996D4">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13F34777">
            <w:pPr>
              <w:widowControl/>
              <w:spacing w:line="32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三级</w:t>
            </w:r>
          </w:p>
          <w:p w14:paraId="60ED48B7">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指标</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660BC49E">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预期指标值</w:t>
            </w:r>
          </w:p>
        </w:tc>
        <w:tc>
          <w:tcPr>
            <w:tcW w:w="2190" w:type="dxa"/>
            <w:tcBorders>
              <w:top w:val="single" w:color="000000" w:sz="4" w:space="0"/>
              <w:left w:val="single" w:color="000000" w:sz="4" w:space="0"/>
              <w:bottom w:val="single" w:color="000000" w:sz="4" w:space="0"/>
              <w:right w:val="single" w:color="000000" w:sz="4" w:space="0"/>
            </w:tcBorders>
            <w:vAlign w:val="center"/>
          </w:tcPr>
          <w:p w14:paraId="24E82F6C">
            <w:pPr>
              <w:widowControl/>
              <w:spacing w:line="320" w:lineRule="exact"/>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实际完成指标值</w:t>
            </w:r>
          </w:p>
        </w:tc>
      </w:tr>
      <w:tr w14:paraId="7CAAFDDB">
        <w:tblPrEx>
          <w:tblCellMar>
            <w:top w:w="0" w:type="dxa"/>
            <w:left w:w="108" w:type="dxa"/>
            <w:bottom w:w="0" w:type="dxa"/>
            <w:right w:w="108" w:type="dxa"/>
          </w:tblCellMar>
        </w:tblPrEx>
        <w:trPr>
          <w:trHeight w:val="1073" w:hRule="atLeast"/>
        </w:trPr>
        <w:tc>
          <w:tcPr>
            <w:tcW w:w="2026" w:type="dxa"/>
            <w:vMerge w:val="continue"/>
            <w:tcBorders>
              <w:left w:val="single" w:color="000000" w:sz="4" w:space="0"/>
              <w:bottom w:val="single" w:color="auto" w:sz="4" w:space="0"/>
              <w:right w:val="single" w:color="000000" w:sz="4" w:space="0"/>
            </w:tcBorders>
            <w:vAlign w:val="center"/>
          </w:tcPr>
          <w:p w14:paraId="3A3BABFB">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right w:val="single" w:color="000000" w:sz="4" w:space="0"/>
            </w:tcBorders>
            <w:vAlign w:val="center"/>
          </w:tcPr>
          <w:p w14:paraId="1C476B4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完成指标</w:t>
            </w:r>
          </w:p>
        </w:tc>
        <w:tc>
          <w:tcPr>
            <w:tcW w:w="1675" w:type="dxa"/>
            <w:vMerge w:val="restart"/>
            <w:tcBorders>
              <w:top w:val="single" w:color="000000" w:sz="4" w:space="0"/>
              <w:left w:val="single" w:color="000000" w:sz="4" w:space="0"/>
              <w:right w:val="single" w:color="000000" w:sz="4" w:space="0"/>
            </w:tcBorders>
            <w:vAlign w:val="center"/>
          </w:tcPr>
          <w:p w14:paraId="1371E35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数量指标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69ED59C9">
            <w:pPr>
              <w:widowControl/>
              <w:spacing w:line="320" w:lineRule="exact"/>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医技楼装修及设备采购</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0CB1F94E">
            <w:pPr>
              <w:jc w:val="center"/>
              <w:rPr>
                <w:rFonts w:ascii="宋体" w:hAnsi="宋体" w:cs="宋体"/>
                <w:sz w:val="24"/>
              </w:rPr>
            </w:pPr>
            <w:r>
              <w:rPr>
                <w:rFonts w:hint="eastAsia"/>
              </w:rPr>
              <w:t>≥90%</w:t>
            </w:r>
          </w:p>
          <w:p w14:paraId="6F6A0695">
            <w:pPr>
              <w:widowControl/>
              <w:spacing w:line="320" w:lineRule="exact"/>
              <w:jc w:val="center"/>
              <w:textAlignment w:val="bottom"/>
              <w:rPr>
                <w:rFonts w:ascii="仿宋_GB2312" w:hAnsi="仿宋_GB2312" w:eastAsia="仿宋_GB2312" w:cs="仿宋_GB2312"/>
                <w:sz w:val="28"/>
                <w:szCs w:val="28"/>
              </w:rPr>
            </w:pPr>
          </w:p>
        </w:tc>
        <w:tc>
          <w:tcPr>
            <w:tcW w:w="2190" w:type="dxa"/>
            <w:tcBorders>
              <w:top w:val="single" w:color="000000" w:sz="4" w:space="0"/>
              <w:left w:val="single" w:color="000000" w:sz="4" w:space="0"/>
              <w:bottom w:val="single" w:color="000000" w:sz="4" w:space="0"/>
              <w:right w:val="single" w:color="000000" w:sz="4" w:space="0"/>
            </w:tcBorders>
            <w:vAlign w:val="center"/>
          </w:tcPr>
          <w:p w14:paraId="015E9C8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15FB78D0">
        <w:tblPrEx>
          <w:tblCellMar>
            <w:top w:w="0" w:type="dxa"/>
            <w:left w:w="108" w:type="dxa"/>
            <w:bottom w:w="0" w:type="dxa"/>
            <w:right w:w="108" w:type="dxa"/>
          </w:tblCellMar>
        </w:tblPrEx>
        <w:trPr>
          <w:trHeight w:val="1368" w:hRule="atLeast"/>
        </w:trPr>
        <w:tc>
          <w:tcPr>
            <w:tcW w:w="2026" w:type="dxa"/>
            <w:vMerge w:val="continue"/>
            <w:tcBorders>
              <w:left w:val="single" w:color="000000" w:sz="4" w:space="0"/>
              <w:bottom w:val="single" w:color="auto" w:sz="4" w:space="0"/>
              <w:right w:val="single" w:color="000000" w:sz="4" w:space="0"/>
            </w:tcBorders>
            <w:vAlign w:val="center"/>
          </w:tcPr>
          <w:p w14:paraId="3EC0082A">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61FBE4D4">
            <w:pPr>
              <w:spacing w:line="320" w:lineRule="exact"/>
              <w:jc w:val="center"/>
              <w:rPr>
                <w:rFonts w:ascii="仿宋_GB2312" w:hAnsi="仿宋_GB2312" w:eastAsia="仿宋_GB2312" w:cs="仿宋_GB2312"/>
                <w:sz w:val="28"/>
                <w:szCs w:val="28"/>
              </w:rPr>
            </w:pPr>
          </w:p>
        </w:tc>
        <w:tc>
          <w:tcPr>
            <w:tcW w:w="1675" w:type="dxa"/>
            <w:vMerge w:val="continue"/>
            <w:tcBorders>
              <w:left w:val="single" w:color="000000" w:sz="4" w:space="0"/>
              <w:right w:val="single" w:color="000000" w:sz="4" w:space="0"/>
            </w:tcBorders>
            <w:vAlign w:val="center"/>
          </w:tcPr>
          <w:p w14:paraId="4ADC76C7">
            <w:pPr>
              <w:widowControl/>
              <w:spacing w:line="320" w:lineRule="exact"/>
              <w:jc w:val="center"/>
              <w:textAlignment w:val="bottom"/>
              <w:rPr>
                <w:rFonts w:ascii="仿宋_GB2312" w:hAnsi="仿宋_GB2312" w:eastAsia="仿宋_GB2312" w:cs="仿宋_GB2312"/>
                <w:sz w:val="28"/>
                <w:szCs w:val="28"/>
              </w:rPr>
            </w:pPr>
          </w:p>
        </w:tc>
        <w:tc>
          <w:tcPr>
            <w:tcW w:w="1616" w:type="dxa"/>
            <w:tcBorders>
              <w:top w:val="single" w:color="000000" w:sz="4" w:space="0"/>
              <w:left w:val="single" w:color="000000" w:sz="4" w:space="0"/>
              <w:bottom w:val="single" w:color="000000" w:sz="4" w:space="0"/>
              <w:right w:val="single" w:color="000000" w:sz="4" w:space="0"/>
            </w:tcBorders>
            <w:vAlign w:val="center"/>
          </w:tcPr>
          <w:p w14:paraId="7C8C0A20">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核酸检测实验室建设改建</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3523B550">
            <w:pPr>
              <w:jc w:val="center"/>
              <w:rPr>
                <w:rFonts w:ascii="宋体" w:hAnsi="宋体" w:cs="宋体"/>
                <w:sz w:val="24"/>
              </w:rPr>
            </w:pPr>
            <w:r>
              <w:rPr>
                <w:rFonts w:hint="eastAsia"/>
              </w:rPr>
              <w:t>≥90%</w:t>
            </w:r>
          </w:p>
          <w:p w14:paraId="24B532DC">
            <w:pPr>
              <w:widowControl/>
              <w:spacing w:line="320" w:lineRule="exact"/>
              <w:jc w:val="center"/>
              <w:textAlignment w:val="bottom"/>
              <w:rPr>
                <w:rFonts w:ascii="仿宋_GB2312" w:hAnsi="仿宋_GB2312" w:eastAsia="仿宋_GB2312" w:cs="仿宋_GB2312"/>
                <w:sz w:val="28"/>
                <w:szCs w:val="28"/>
              </w:rPr>
            </w:pPr>
          </w:p>
        </w:tc>
        <w:tc>
          <w:tcPr>
            <w:tcW w:w="2190" w:type="dxa"/>
            <w:tcBorders>
              <w:top w:val="single" w:color="000000" w:sz="4" w:space="0"/>
              <w:left w:val="single" w:color="000000" w:sz="4" w:space="0"/>
              <w:bottom w:val="single" w:color="000000" w:sz="4" w:space="0"/>
              <w:right w:val="single" w:color="000000" w:sz="4" w:space="0"/>
            </w:tcBorders>
            <w:vAlign w:val="center"/>
          </w:tcPr>
          <w:p w14:paraId="0A65187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459BC720">
        <w:tblPrEx>
          <w:tblCellMar>
            <w:top w:w="0" w:type="dxa"/>
            <w:left w:w="108" w:type="dxa"/>
            <w:bottom w:w="0" w:type="dxa"/>
            <w:right w:w="108" w:type="dxa"/>
          </w:tblCellMar>
        </w:tblPrEx>
        <w:trPr>
          <w:trHeight w:val="792" w:hRule="atLeast"/>
        </w:trPr>
        <w:tc>
          <w:tcPr>
            <w:tcW w:w="2026" w:type="dxa"/>
            <w:vMerge w:val="continue"/>
            <w:tcBorders>
              <w:left w:val="single" w:color="000000" w:sz="4" w:space="0"/>
              <w:bottom w:val="single" w:color="auto" w:sz="4" w:space="0"/>
              <w:right w:val="single" w:color="000000" w:sz="4" w:space="0"/>
            </w:tcBorders>
            <w:vAlign w:val="center"/>
          </w:tcPr>
          <w:p w14:paraId="71DFA291">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3B19B4C2">
            <w:pPr>
              <w:spacing w:line="320" w:lineRule="exact"/>
              <w:jc w:val="center"/>
              <w:rPr>
                <w:rFonts w:ascii="仿宋_GB2312" w:hAnsi="仿宋_GB2312" w:eastAsia="仿宋_GB2312" w:cs="仿宋_GB2312"/>
                <w:sz w:val="28"/>
                <w:szCs w:val="28"/>
              </w:rPr>
            </w:pPr>
          </w:p>
        </w:tc>
        <w:tc>
          <w:tcPr>
            <w:tcW w:w="1675" w:type="dxa"/>
            <w:vMerge w:val="restart"/>
            <w:tcBorders>
              <w:top w:val="single" w:color="000000" w:sz="4" w:space="0"/>
              <w:left w:val="single" w:color="000000" w:sz="4" w:space="0"/>
              <w:right w:val="single" w:color="000000" w:sz="4" w:space="0"/>
            </w:tcBorders>
            <w:vAlign w:val="center"/>
          </w:tcPr>
          <w:p w14:paraId="6F28045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质量指标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5DF4B5B6">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提升疾病诊疗救治能力</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546FCB5C">
            <w:pPr>
              <w:jc w:val="center"/>
              <w:rPr>
                <w:rFonts w:ascii="宋体" w:hAnsi="宋体" w:cs="宋体"/>
                <w:sz w:val="24"/>
              </w:rPr>
            </w:pPr>
            <w:r>
              <w:rPr>
                <w:rFonts w:hint="eastAsia"/>
              </w:rPr>
              <w:t>≥90%</w:t>
            </w:r>
          </w:p>
          <w:p w14:paraId="05B5D36B">
            <w:pPr>
              <w:widowControl/>
              <w:spacing w:line="320" w:lineRule="exact"/>
              <w:jc w:val="center"/>
              <w:textAlignment w:val="bottom"/>
              <w:rPr>
                <w:rFonts w:ascii="仿宋_GB2312" w:hAnsi="仿宋_GB2312" w:eastAsia="仿宋_GB2312" w:cs="仿宋_GB2312"/>
                <w:sz w:val="28"/>
                <w:szCs w:val="28"/>
              </w:rPr>
            </w:pPr>
          </w:p>
        </w:tc>
        <w:tc>
          <w:tcPr>
            <w:tcW w:w="2190" w:type="dxa"/>
            <w:tcBorders>
              <w:top w:val="single" w:color="000000" w:sz="4" w:space="0"/>
              <w:left w:val="single" w:color="000000" w:sz="4" w:space="0"/>
              <w:bottom w:val="single" w:color="000000" w:sz="4" w:space="0"/>
              <w:right w:val="single" w:color="000000" w:sz="4" w:space="0"/>
            </w:tcBorders>
            <w:vAlign w:val="center"/>
          </w:tcPr>
          <w:p w14:paraId="0801DDBF">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6CE5C065">
        <w:tblPrEx>
          <w:tblCellMar>
            <w:top w:w="0" w:type="dxa"/>
            <w:left w:w="108" w:type="dxa"/>
            <w:bottom w:w="0" w:type="dxa"/>
            <w:right w:w="108" w:type="dxa"/>
          </w:tblCellMar>
        </w:tblPrEx>
        <w:trPr>
          <w:trHeight w:val="1042" w:hRule="atLeast"/>
        </w:trPr>
        <w:tc>
          <w:tcPr>
            <w:tcW w:w="2026" w:type="dxa"/>
            <w:vMerge w:val="continue"/>
            <w:tcBorders>
              <w:left w:val="single" w:color="000000" w:sz="4" w:space="0"/>
              <w:bottom w:val="single" w:color="auto" w:sz="4" w:space="0"/>
              <w:right w:val="single" w:color="000000" w:sz="4" w:space="0"/>
            </w:tcBorders>
            <w:vAlign w:val="center"/>
          </w:tcPr>
          <w:p w14:paraId="023FBD64">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2D9F40C0">
            <w:pPr>
              <w:spacing w:line="320" w:lineRule="exact"/>
              <w:jc w:val="center"/>
              <w:rPr>
                <w:rFonts w:ascii="仿宋_GB2312" w:hAnsi="仿宋_GB2312" w:eastAsia="仿宋_GB2312" w:cs="仿宋_GB2312"/>
                <w:sz w:val="28"/>
                <w:szCs w:val="28"/>
              </w:rPr>
            </w:pPr>
          </w:p>
        </w:tc>
        <w:tc>
          <w:tcPr>
            <w:tcW w:w="1675" w:type="dxa"/>
            <w:vMerge w:val="continue"/>
            <w:tcBorders>
              <w:left w:val="single" w:color="000000" w:sz="4" w:space="0"/>
              <w:right w:val="single" w:color="000000" w:sz="4" w:space="0"/>
            </w:tcBorders>
            <w:vAlign w:val="center"/>
          </w:tcPr>
          <w:p w14:paraId="6FF9F38E">
            <w:pPr>
              <w:widowControl/>
              <w:spacing w:line="320" w:lineRule="exact"/>
              <w:jc w:val="center"/>
              <w:textAlignment w:val="bottom"/>
              <w:rPr>
                <w:rFonts w:ascii="仿宋_GB2312" w:hAnsi="仿宋_GB2312" w:eastAsia="仿宋_GB2312" w:cs="仿宋_GB2312"/>
                <w:sz w:val="28"/>
                <w:szCs w:val="28"/>
              </w:rPr>
            </w:pPr>
          </w:p>
        </w:tc>
        <w:tc>
          <w:tcPr>
            <w:tcW w:w="1616" w:type="dxa"/>
            <w:tcBorders>
              <w:top w:val="single" w:color="000000" w:sz="4" w:space="0"/>
              <w:left w:val="single" w:color="000000" w:sz="4" w:space="0"/>
              <w:bottom w:val="single" w:color="000000" w:sz="4" w:space="0"/>
              <w:right w:val="single" w:color="000000" w:sz="4" w:space="0"/>
            </w:tcBorders>
            <w:vAlign w:val="center"/>
          </w:tcPr>
          <w:p w14:paraId="2B32FD9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提高实验室检测水平</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719464D9">
            <w:pPr>
              <w:jc w:val="center"/>
              <w:rPr>
                <w:rFonts w:ascii="宋体" w:hAnsi="宋体" w:cs="宋体"/>
                <w:sz w:val="24"/>
              </w:rPr>
            </w:pPr>
            <w:r>
              <w:rPr>
                <w:rFonts w:hint="eastAsia"/>
              </w:rPr>
              <w:t>≥90%</w:t>
            </w:r>
          </w:p>
          <w:p w14:paraId="5B99DC29">
            <w:pPr>
              <w:widowControl/>
              <w:spacing w:line="320" w:lineRule="exact"/>
              <w:jc w:val="center"/>
              <w:textAlignment w:val="bottom"/>
              <w:rPr>
                <w:rFonts w:ascii="仿宋_GB2312" w:hAnsi="仿宋_GB2312" w:eastAsia="仿宋_GB2312" w:cs="仿宋_GB2312"/>
                <w:sz w:val="28"/>
                <w:szCs w:val="28"/>
              </w:rPr>
            </w:pPr>
          </w:p>
        </w:tc>
        <w:tc>
          <w:tcPr>
            <w:tcW w:w="2190" w:type="dxa"/>
            <w:tcBorders>
              <w:top w:val="single" w:color="000000" w:sz="4" w:space="0"/>
              <w:left w:val="single" w:color="000000" w:sz="4" w:space="0"/>
              <w:bottom w:val="single" w:color="000000" w:sz="4" w:space="0"/>
              <w:right w:val="single" w:color="000000" w:sz="4" w:space="0"/>
            </w:tcBorders>
            <w:vAlign w:val="center"/>
          </w:tcPr>
          <w:p w14:paraId="319F54E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3BF49F59">
        <w:tblPrEx>
          <w:tblCellMar>
            <w:top w:w="0" w:type="dxa"/>
            <w:left w:w="108" w:type="dxa"/>
            <w:bottom w:w="0" w:type="dxa"/>
            <w:right w:w="108" w:type="dxa"/>
          </w:tblCellMar>
        </w:tblPrEx>
        <w:trPr>
          <w:trHeight w:val="852" w:hRule="atLeast"/>
        </w:trPr>
        <w:tc>
          <w:tcPr>
            <w:tcW w:w="2026" w:type="dxa"/>
            <w:vMerge w:val="continue"/>
            <w:tcBorders>
              <w:left w:val="single" w:color="000000" w:sz="4" w:space="0"/>
              <w:bottom w:val="single" w:color="auto" w:sz="4" w:space="0"/>
              <w:right w:val="single" w:color="000000" w:sz="4" w:space="0"/>
            </w:tcBorders>
            <w:vAlign w:val="center"/>
          </w:tcPr>
          <w:p w14:paraId="78403ECD">
            <w:pPr>
              <w:spacing w:line="320" w:lineRule="exact"/>
              <w:jc w:val="center"/>
              <w:rPr>
                <w:rFonts w:ascii="仿宋_GB2312" w:hAnsi="仿宋_GB2312" w:eastAsia="仿宋_GB2312" w:cs="仿宋_GB2312"/>
                <w:sz w:val="28"/>
                <w:szCs w:val="28"/>
              </w:rPr>
            </w:pPr>
          </w:p>
        </w:tc>
        <w:tc>
          <w:tcPr>
            <w:tcW w:w="1170" w:type="dxa"/>
            <w:vMerge w:val="continue"/>
            <w:tcBorders>
              <w:left w:val="single" w:color="000000" w:sz="4" w:space="0"/>
              <w:right w:val="single" w:color="000000" w:sz="4" w:space="0"/>
            </w:tcBorders>
            <w:vAlign w:val="center"/>
          </w:tcPr>
          <w:p w14:paraId="142583AE">
            <w:pPr>
              <w:spacing w:line="320" w:lineRule="exact"/>
              <w:jc w:val="center"/>
              <w:rPr>
                <w:rFonts w:ascii="仿宋_GB2312" w:hAnsi="仿宋_GB2312" w:eastAsia="仿宋_GB2312" w:cs="仿宋_GB2312"/>
                <w:sz w:val="28"/>
                <w:szCs w:val="28"/>
              </w:rPr>
            </w:pPr>
          </w:p>
        </w:tc>
        <w:tc>
          <w:tcPr>
            <w:tcW w:w="1675" w:type="dxa"/>
            <w:tcBorders>
              <w:top w:val="single" w:color="000000" w:sz="4" w:space="0"/>
              <w:left w:val="single" w:color="000000" w:sz="4" w:space="0"/>
              <w:bottom w:val="single" w:color="000000" w:sz="4" w:space="0"/>
              <w:right w:val="single" w:color="000000" w:sz="4" w:space="0"/>
            </w:tcBorders>
            <w:vAlign w:val="center"/>
          </w:tcPr>
          <w:p w14:paraId="2C47E1B2">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时效指标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5050B77B">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项目资金按要求及时拨付</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19035D78">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及时支付</w:t>
            </w:r>
          </w:p>
        </w:tc>
        <w:tc>
          <w:tcPr>
            <w:tcW w:w="2190" w:type="dxa"/>
            <w:tcBorders>
              <w:top w:val="single" w:color="000000" w:sz="4" w:space="0"/>
              <w:left w:val="single" w:color="000000" w:sz="4" w:space="0"/>
              <w:bottom w:val="single" w:color="000000" w:sz="4" w:space="0"/>
              <w:right w:val="single" w:color="000000" w:sz="4" w:space="0"/>
            </w:tcBorders>
            <w:vAlign w:val="center"/>
          </w:tcPr>
          <w:p w14:paraId="4DAC2567">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100%</w:t>
            </w:r>
          </w:p>
        </w:tc>
      </w:tr>
      <w:tr w14:paraId="7AE0BB8B">
        <w:tblPrEx>
          <w:tblCellMar>
            <w:top w:w="0" w:type="dxa"/>
            <w:left w:w="108" w:type="dxa"/>
            <w:bottom w:w="0" w:type="dxa"/>
            <w:right w:w="108" w:type="dxa"/>
          </w:tblCellMar>
        </w:tblPrEx>
        <w:trPr>
          <w:trHeight w:val="530" w:hRule="atLeast"/>
        </w:trPr>
        <w:tc>
          <w:tcPr>
            <w:tcW w:w="2026" w:type="dxa"/>
            <w:vMerge w:val="continue"/>
            <w:tcBorders>
              <w:left w:val="single" w:color="000000" w:sz="4" w:space="0"/>
              <w:bottom w:val="single" w:color="auto" w:sz="4" w:space="0"/>
              <w:right w:val="single" w:color="000000" w:sz="4" w:space="0"/>
            </w:tcBorders>
            <w:vAlign w:val="center"/>
          </w:tcPr>
          <w:p w14:paraId="56905F63">
            <w:pPr>
              <w:spacing w:line="320" w:lineRule="exact"/>
              <w:jc w:val="center"/>
              <w:rPr>
                <w:rFonts w:ascii="仿宋_GB2312" w:hAnsi="仿宋_GB2312" w:eastAsia="仿宋_GB2312" w:cs="仿宋_GB2312"/>
                <w:sz w:val="28"/>
                <w:szCs w:val="28"/>
              </w:rPr>
            </w:pPr>
          </w:p>
        </w:tc>
        <w:tc>
          <w:tcPr>
            <w:tcW w:w="1170" w:type="dxa"/>
            <w:vMerge w:val="restart"/>
            <w:tcBorders>
              <w:top w:val="single" w:color="000000" w:sz="4" w:space="0"/>
              <w:left w:val="single" w:color="000000" w:sz="4" w:space="0"/>
              <w:right w:val="single" w:color="000000" w:sz="4" w:space="0"/>
            </w:tcBorders>
            <w:vAlign w:val="center"/>
          </w:tcPr>
          <w:p w14:paraId="18D20118">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效益指标</w:t>
            </w:r>
          </w:p>
        </w:tc>
        <w:tc>
          <w:tcPr>
            <w:tcW w:w="1675" w:type="dxa"/>
            <w:vMerge w:val="restart"/>
            <w:tcBorders>
              <w:top w:val="single" w:color="000000" w:sz="4" w:space="0"/>
              <w:left w:val="single" w:color="000000" w:sz="4" w:space="0"/>
              <w:right w:val="single" w:color="000000" w:sz="4" w:space="0"/>
            </w:tcBorders>
            <w:vAlign w:val="center"/>
          </w:tcPr>
          <w:p w14:paraId="47E41C81">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社会效益指标</w:t>
            </w:r>
          </w:p>
        </w:tc>
        <w:tc>
          <w:tcPr>
            <w:tcW w:w="1616" w:type="dxa"/>
            <w:tcBorders>
              <w:top w:val="single" w:color="000000" w:sz="4" w:space="0"/>
              <w:left w:val="single" w:color="000000" w:sz="4" w:space="0"/>
              <w:bottom w:val="single" w:color="000000" w:sz="4" w:space="0"/>
              <w:right w:val="single" w:color="000000" w:sz="4" w:space="0"/>
            </w:tcBorders>
            <w:vAlign w:val="center"/>
          </w:tcPr>
          <w:p w14:paraId="0EDD0DCC">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改善检验科、ICU等基础设施</w:t>
            </w:r>
            <w:r>
              <w:rPr>
                <w:rFonts w:hint="eastAsia" w:ascii="仿宋_GB2312" w:hAnsi="仿宋_GB2312" w:eastAsia="仿宋_GB2312" w:cs="仿宋_GB2312"/>
                <w:sz w:val="28"/>
                <w:szCs w:val="28"/>
                <w:lang w:eastAsia="zh-CN"/>
              </w:rPr>
              <w:t>薄弱</w:t>
            </w:r>
            <w:r>
              <w:rPr>
                <w:rFonts w:hint="eastAsia" w:ascii="仿宋_GB2312" w:hAnsi="仿宋_GB2312" w:eastAsia="仿宋_GB2312" w:cs="仿宋_GB2312"/>
                <w:sz w:val="28"/>
                <w:szCs w:val="28"/>
              </w:rPr>
              <w:t>条件</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0DBDB563">
            <w:pPr>
              <w:widowControl/>
              <w:spacing w:line="320" w:lineRule="exact"/>
              <w:jc w:val="center"/>
              <w:textAlignment w:val="bottom"/>
              <w:rPr>
                <w:rFonts w:ascii="仿宋_GB2312" w:hAnsi="仿宋_GB2312" w:eastAsia="仿宋_GB2312" w:cs="仿宋_GB2312"/>
                <w:sz w:val="28"/>
                <w:szCs w:val="28"/>
              </w:rPr>
            </w:pPr>
            <w:r>
              <w:rPr>
                <w:rFonts w:hint="eastAsia" w:ascii="Arial" w:hAnsi="Arial" w:eastAsia="仿宋_GB2312" w:cs="Arial"/>
                <w:sz w:val="28"/>
                <w:szCs w:val="28"/>
              </w:rPr>
              <w:t>得到改善</w:t>
            </w:r>
          </w:p>
        </w:tc>
        <w:tc>
          <w:tcPr>
            <w:tcW w:w="2190" w:type="dxa"/>
            <w:tcBorders>
              <w:top w:val="single" w:color="000000" w:sz="4" w:space="0"/>
              <w:left w:val="single" w:color="000000" w:sz="4" w:space="0"/>
              <w:bottom w:val="single" w:color="000000" w:sz="4" w:space="0"/>
              <w:right w:val="single" w:color="000000" w:sz="4" w:space="0"/>
            </w:tcBorders>
            <w:vAlign w:val="center"/>
          </w:tcPr>
          <w:p w14:paraId="4BBA02E9">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得到改善</w:t>
            </w:r>
          </w:p>
          <w:p w14:paraId="73FC2C53">
            <w:pPr>
              <w:widowControl/>
              <w:spacing w:line="320" w:lineRule="exact"/>
              <w:jc w:val="center"/>
              <w:textAlignment w:val="bottom"/>
              <w:rPr>
                <w:rFonts w:ascii="仿宋_GB2312" w:hAnsi="仿宋_GB2312" w:eastAsia="仿宋_GB2312" w:cs="仿宋_GB2312"/>
                <w:sz w:val="28"/>
                <w:szCs w:val="28"/>
              </w:rPr>
            </w:pPr>
          </w:p>
        </w:tc>
      </w:tr>
      <w:tr w14:paraId="734F16F9">
        <w:tblPrEx>
          <w:tblCellMar>
            <w:top w:w="0" w:type="dxa"/>
            <w:left w:w="108" w:type="dxa"/>
            <w:bottom w:w="0" w:type="dxa"/>
            <w:right w:w="108" w:type="dxa"/>
          </w:tblCellMar>
        </w:tblPrEx>
        <w:trPr>
          <w:trHeight w:val="530" w:hRule="atLeast"/>
        </w:trPr>
        <w:tc>
          <w:tcPr>
            <w:tcW w:w="2026" w:type="dxa"/>
            <w:vMerge w:val="continue"/>
            <w:tcBorders>
              <w:left w:val="single" w:color="000000" w:sz="4" w:space="0"/>
              <w:bottom w:val="single" w:color="auto" w:sz="4" w:space="0"/>
              <w:right w:val="single" w:color="000000" w:sz="4" w:space="0"/>
            </w:tcBorders>
            <w:vAlign w:val="center"/>
          </w:tcPr>
          <w:p w14:paraId="31EE9FB9">
            <w:pPr>
              <w:spacing w:line="320" w:lineRule="exact"/>
              <w:jc w:val="center"/>
              <w:rPr>
                <w:rFonts w:ascii="仿宋_GB2312" w:hAnsi="仿宋_GB2312" w:eastAsia="仿宋_GB2312" w:cs="仿宋_GB2312"/>
                <w:sz w:val="28"/>
                <w:szCs w:val="28"/>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14:paraId="1FF30A99">
            <w:pPr>
              <w:widowControl/>
              <w:spacing w:line="320" w:lineRule="exact"/>
              <w:jc w:val="center"/>
              <w:textAlignment w:val="bottom"/>
              <w:rPr>
                <w:rFonts w:ascii="仿宋_GB2312" w:hAnsi="仿宋_GB2312" w:eastAsia="仿宋_GB2312" w:cs="仿宋_GB2312"/>
                <w:kern w:val="0"/>
                <w:sz w:val="28"/>
                <w:szCs w:val="28"/>
              </w:rPr>
            </w:pPr>
          </w:p>
        </w:tc>
        <w:tc>
          <w:tcPr>
            <w:tcW w:w="1675" w:type="dxa"/>
            <w:vMerge w:val="continue"/>
            <w:tcBorders>
              <w:left w:val="single" w:color="000000" w:sz="4" w:space="0"/>
              <w:bottom w:val="single" w:color="000000" w:sz="4" w:space="0"/>
              <w:right w:val="single" w:color="000000" w:sz="4" w:space="0"/>
            </w:tcBorders>
            <w:vAlign w:val="center"/>
          </w:tcPr>
          <w:p w14:paraId="78580C92">
            <w:pPr>
              <w:widowControl/>
              <w:spacing w:line="320" w:lineRule="exact"/>
              <w:jc w:val="center"/>
              <w:textAlignment w:val="bottom"/>
              <w:rPr>
                <w:rFonts w:ascii="仿宋_GB2312" w:hAnsi="仿宋_GB2312" w:eastAsia="仿宋_GB2312" w:cs="仿宋_GB2312"/>
                <w:kern w:val="0"/>
                <w:sz w:val="28"/>
                <w:szCs w:val="28"/>
              </w:rPr>
            </w:pPr>
          </w:p>
        </w:tc>
        <w:tc>
          <w:tcPr>
            <w:tcW w:w="1616" w:type="dxa"/>
            <w:tcBorders>
              <w:top w:val="single" w:color="000000" w:sz="4" w:space="0"/>
              <w:left w:val="single" w:color="000000" w:sz="4" w:space="0"/>
              <w:right w:val="single" w:color="000000" w:sz="4" w:space="0"/>
            </w:tcBorders>
            <w:vAlign w:val="center"/>
          </w:tcPr>
          <w:p w14:paraId="378B5D3D">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达到核酸检测实验室具备检测能力</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28337346">
            <w:pPr>
              <w:widowControl/>
              <w:spacing w:line="320" w:lineRule="exact"/>
              <w:jc w:val="center"/>
              <w:textAlignment w:val="bottom"/>
              <w:rPr>
                <w:rFonts w:ascii="Arial" w:hAnsi="Arial" w:eastAsia="仿宋_GB2312" w:cs="Arial"/>
                <w:sz w:val="28"/>
                <w:szCs w:val="28"/>
              </w:rPr>
            </w:pPr>
            <w:r>
              <w:rPr>
                <w:rFonts w:hint="eastAsia" w:ascii="Arial" w:hAnsi="Arial" w:eastAsia="仿宋_GB2312" w:cs="Arial"/>
                <w:sz w:val="28"/>
                <w:szCs w:val="28"/>
              </w:rPr>
              <w:t>得到提高</w:t>
            </w:r>
          </w:p>
        </w:tc>
        <w:tc>
          <w:tcPr>
            <w:tcW w:w="2190" w:type="dxa"/>
            <w:tcBorders>
              <w:top w:val="single" w:color="000000" w:sz="4" w:space="0"/>
              <w:left w:val="single" w:color="000000" w:sz="4" w:space="0"/>
              <w:bottom w:val="single" w:color="000000" w:sz="4" w:space="0"/>
              <w:right w:val="single" w:color="000000" w:sz="4" w:space="0"/>
            </w:tcBorders>
            <w:vAlign w:val="center"/>
          </w:tcPr>
          <w:p w14:paraId="16A2FFE7">
            <w:pPr>
              <w:widowControl/>
              <w:spacing w:line="320" w:lineRule="exact"/>
              <w:jc w:val="center"/>
              <w:textAlignment w:val="bottom"/>
              <w:rPr>
                <w:rFonts w:ascii="仿宋_GB2312" w:hAnsi="仿宋_GB2312" w:eastAsia="仿宋_GB2312" w:cs="仿宋_GB2312"/>
                <w:sz w:val="28"/>
                <w:szCs w:val="28"/>
              </w:rPr>
            </w:pPr>
            <w:r>
              <w:rPr>
                <w:rFonts w:hint="eastAsia" w:ascii="Arial" w:hAnsi="Arial" w:eastAsia="仿宋_GB2312" w:cs="Arial"/>
                <w:sz w:val="28"/>
                <w:szCs w:val="28"/>
              </w:rPr>
              <w:t>得到提高</w:t>
            </w:r>
          </w:p>
        </w:tc>
      </w:tr>
      <w:tr w14:paraId="4FD42F43">
        <w:tblPrEx>
          <w:tblCellMar>
            <w:top w:w="0" w:type="dxa"/>
            <w:left w:w="108" w:type="dxa"/>
            <w:bottom w:w="0" w:type="dxa"/>
            <w:right w:w="108" w:type="dxa"/>
          </w:tblCellMar>
        </w:tblPrEx>
        <w:trPr>
          <w:trHeight w:val="530" w:hRule="atLeast"/>
        </w:trPr>
        <w:tc>
          <w:tcPr>
            <w:tcW w:w="2026" w:type="dxa"/>
            <w:vMerge w:val="continue"/>
            <w:tcBorders>
              <w:left w:val="single" w:color="000000" w:sz="4" w:space="0"/>
              <w:bottom w:val="single" w:color="auto" w:sz="4" w:space="0"/>
              <w:right w:val="single" w:color="000000" w:sz="4" w:space="0"/>
            </w:tcBorders>
            <w:vAlign w:val="center"/>
          </w:tcPr>
          <w:p w14:paraId="05BD6FBA">
            <w:pPr>
              <w:spacing w:line="320" w:lineRule="exact"/>
              <w:jc w:val="center"/>
              <w:rPr>
                <w:rFonts w:ascii="仿宋_GB2312" w:hAnsi="仿宋_GB2312" w:eastAsia="仿宋_GB2312" w:cs="仿宋_GB2312"/>
                <w:sz w:val="28"/>
                <w:szCs w:val="28"/>
              </w:rPr>
            </w:pPr>
          </w:p>
        </w:tc>
        <w:tc>
          <w:tcPr>
            <w:tcW w:w="1170" w:type="dxa"/>
            <w:tcBorders>
              <w:top w:val="single" w:color="000000" w:sz="4" w:space="0"/>
              <w:left w:val="single" w:color="000000" w:sz="4" w:space="0"/>
              <w:bottom w:val="single" w:color="auto" w:sz="4" w:space="0"/>
              <w:right w:val="single" w:color="000000" w:sz="4" w:space="0"/>
            </w:tcBorders>
            <w:vAlign w:val="center"/>
          </w:tcPr>
          <w:p w14:paraId="7894921D">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满意度指标</w:t>
            </w:r>
          </w:p>
        </w:tc>
        <w:tc>
          <w:tcPr>
            <w:tcW w:w="1675" w:type="dxa"/>
            <w:tcBorders>
              <w:top w:val="single" w:color="000000" w:sz="4" w:space="0"/>
              <w:left w:val="single" w:color="000000" w:sz="4" w:space="0"/>
              <w:bottom w:val="single" w:color="auto" w:sz="4" w:space="0"/>
              <w:right w:val="single" w:color="000000" w:sz="4" w:space="0"/>
            </w:tcBorders>
            <w:vAlign w:val="center"/>
          </w:tcPr>
          <w:p w14:paraId="50B8CEF8">
            <w:pPr>
              <w:widowControl/>
              <w:spacing w:line="320" w:lineRule="exact"/>
              <w:jc w:val="center"/>
              <w:textAlignment w:val="bottom"/>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满意度指标</w:t>
            </w:r>
          </w:p>
        </w:tc>
        <w:tc>
          <w:tcPr>
            <w:tcW w:w="1616" w:type="dxa"/>
            <w:tcBorders>
              <w:left w:val="single" w:color="000000" w:sz="4" w:space="0"/>
              <w:bottom w:val="single" w:color="000000" w:sz="4" w:space="0"/>
              <w:right w:val="single" w:color="000000" w:sz="4" w:space="0"/>
            </w:tcBorders>
            <w:vAlign w:val="center"/>
          </w:tcPr>
          <w:p w14:paraId="669CC091">
            <w:pPr>
              <w:widowControl/>
              <w:spacing w:line="320" w:lineRule="exact"/>
              <w:jc w:val="center"/>
              <w:textAlignment w:val="bottom"/>
              <w:rPr>
                <w:rFonts w:ascii="仿宋_GB2312" w:hAnsi="仿宋_GB2312" w:eastAsia="仿宋_GB2312" w:cs="仿宋_GB2312"/>
                <w:sz w:val="28"/>
                <w:szCs w:val="28"/>
              </w:rPr>
            </w:pPr>
            <w:r>
              <w:rPr>
                <w:rFonts w:hint="eastAsia" w:ascii="仿宋_GB2312" w:hAnsi="仿宋_GB2312" w:eastAsia="仿宋_GB2312" w:cs="仿宋_GB2312"/>
                <w:sz w:val="28"/>
                <w:szCs w:val="28"/>
              </w:rPr>
              <w:t>重点人群满意度</w:t>
            </w: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0B16D8F2">
            <w:pPr>
              <w:widowControl/>
              <w:spacing w:line="320" w:lineRule="exact"/>
              <w:jc w:val="center"/>
              <w:textAlignment w:val="bottom"/>
              <w:rPr>
                <w:rFonts w:ascii="仿宋_GB2312" w:hAnsi="仿宋_GB2312" w:eastAsia="仿宋_GB2312" w:cs="仿宋_GB2312"/>
                <w:sz w:val="28"/>
                <w:szCs w:val="28"/>
              </w:rPr>
            </w:pPr>
            <w:r>
              <w:rPr>
                <w:rFonts w:ascii="Arial" w:hAnsi="Arial" w:eastAsia="仿宋_GB2312" w:cs="Arial"/>
                <w:sz w:val="28"/>
                <w:szCs w:val="28"/>
              </w:rPr>
              <w:t>≥</w:t>
            </w:r>
            <w:r>
              <w:rPr>
                <w:rFonts w:hint="eastAsia" w:ascii="Arial" w:hAnsi="Arial" w:eastAsia="仿宋_GB2312" w:cs="Arial"/>
                <w:sz w:val="28"/>
                <w:szCs w:val="28"/>
              </w:rPr>
              <w:t>90%</w:t>
            </w:r>
          </w:p>
        </w:tc>
        <w:tc>
          <w:tcPr>
            <w:tcW w:w="2190" w:type="dxa"/>
            <w:tcBorders>
              <w:top w:val="single" w:color="000000" w:sz="4" w:space="0"/>
              <w:left w:val="single" w:color="000000" w:sz="4" w:space="0"/>
              <w:bottom w:val="single" w:color="000000" w:sz="4" w:space="0"/>
              <w:right w:val="single" w:color="000000" w:sz="4" w:space="0"/>
            </w:tcBorders>
            <w:vAlign w:val="center"/>
          </w:tcPr>
          <w:p w14:paraId="1AE69B2C">
            <w:pPr>
              <w:widowControl/>
              <w:spacing w:line="320" w:lineRule="exact"/>
              <w:jc w:val="center"/>
              <w:textAlignment w:val="bottom"/>
              <w:rPr>
                <w:rFonts w:ascii="Arial" w:hAnsi="Arial" w:eastAsia="仿宋_GB2312" w:cs="Arial"/>
                <w:sz w:val="28"/>
                <w:szCs w:val="28"/>
              </w:rPr>
            </w:pPr>
            <w:r>
              <w:rPr>
                <w:rFonts w:hint="eastAsia" w:ascii="Arial" w:hAnsi="Arial" w:eastAsia="仿宋_GB2312" w:cs="Arial"/>
                <w:sz w:val="28"/>
                <w:szCs w:val="28"/>
              </w:rPr>
              <w:t>95%</w:t>
            </w:r>
          </w:p>
        </w:tc>
      </w:tr>
    </w:tbl>
    <w:p w14:paraId="47730BFB">
      <w:pPr>
        <w:autoSpaceDE w:val="0"/>
        <w:autoSpaceDN w:val="0"/>
        <w:adjustRightInd w:val="0"/>
        <w:spacing w:line="600" w:lineRule="exact"/>
        <w:jc w:val="left"/>
        <w:rPr>
          <w:rFonts w:ascii="仿宋" w:hAnsi="仿宋" w:eastAsia="仿宋"/>
          <w:color w:val="000000"/>
          <w:sz w:val="32"/>
          <w:szCs w:val="32"/>
        </w:rPr>
      </w:pPr>
    </w:p>
    <w:p w14:paraId="5CC99D9E">
      <w:pPr>
        <w:spacing w:line="560" w:lineRule="exact"/>
        <w:rPr>
          <w:rFonts w:eastAsia="楷体_GB2312"/>
          <w:sz w:val="32"/>
          <w:szCs w:val="32"/>
        </w:rPr>
      </w:pPr>
      <w:bookmarkStart w:id="72" w:name="_Toc15377226"/>
      <w:bookmarkStart w:id="73" w:name="_Toc15396618"/>
    </w:p>
    <w:p w14:paraId="7E6FC3CE">
      <w:pPr>
        <w:spacing w:line="560" w:lineRule="exact"/>
        <w:rPr>
          <w:rFonts w:eastAsia="仿宋_GB2312"/>
          <w:sz w:val="32"/>
          <w:szCs w:val="32"/>
        </w:rPr>
      </w:pPr>
    </w:p>
    <w:bookmarkEnd w:id="72"/>
    <w:bookmarkEnd w:id="73"/>
    <w:p w14:paraId="7433DF42">
      <w:pPr>
        <w:spacing w:line="600" w:lineRule="exact"/>
        <w:jc w:val="center"/>
        <w:outlineLvl w:val="0"/>
        <w:rPr>
          <w:rFonts w:ascii="仿宋" w:hAnsi="仿宋" w:eastAsia="仿宋"/>
          <w:b/>
          <w:color w:val="000000"/>
        </w:rPr>
      </w:pPr>
      <w:bookmarkStart w:id="74" w:name="_Toc15396619"/>
      <w:r>
        <w:rPr>
          <w:rFonts w:ascii="仿宋" w:hAnsi="仿宋" w:eastAsia="仿宋"/>
          <w:b/>
          <w:color w:val="000000"/>
        </w:rPr>
        <w:tab/>
      </w:r>
      <w:bookmarkStart w:id="75" w:name="_Toc26331"/>
    </w:p>
    <w:p w14:paraId="65E7DFCD">
      <w:pPr>
        <w:spacing w:line="600" w:lineRule="exact"/>
        <w:jc w:val="center"/>
        <w:outlineLvl w:val="0"/>
        <w:rPr>
          <w:rFonts w:ascii="仿宋" w:hAnsi="仿宋" w:eastAsia="仿宋"/>
          <w:b/>
          <w:color w:val="000000"/>
        </w:rPr>
      </w:pPr>
    </w:p>
    <w:p w14:paraId="1856767E">
      <w:pPr>
        <w:spacing w:line="600" w:lineRule="exact"/>
        <w:jc w:val="center"/>
        <w:outlineLvl w:val="0"/>
        <w:rPr>
          <w:rFonts w:ascii="仿宋" w:hAnsi="仿宋" w:eastAsia="仿宋"/>
          <w:b/>
          <w:color w:val="000000"/>
        </w:rPr>
      </w:pPr>
    </w:p>
    <w:p w14:paraId="77731896">
      <w:pPr>
        <w:spacing w:line="600" w:lineRule="exact"/>
        <w:jc w:val="center"/>
        <w:outlineLvl w:val="0"/>
        <w:rPr>
          <w:rFonts w:ascii="仿宋" w:hAnsi="仿宋" w:eastAsia="仿宋"/>
          <w:b/>
          <w:color w:val="000000"/>
        </w:rPr>
      </w:pPr>
    </w:p>
    <w:p w14:paraId="15072AC0">
      <w:pPr>
        <w:spacing w:line="600" w:lineRule="exact"/>
        <w:jc w:val="center"/>
        <w:outlineLvl w:val="0"/>
        <w:rPr>
          <w:rFonts w:ascii="仿宋" w:hAnsi="仿宋" w:eastAsia="仿宋"/>
          <w:b/>
          <w:color w:val="000000"/>
        </w:rPr>
      </w:pPr>
    </w:p>
    <w:p w14:paraId="6672B9F8">
      <w:pPr>
        <w:spacing w:line="600" w:lineRule="exact"/>
        <w:jc w:val="center"/>
        <w:outlineLvl w:val="0"/>
        <w:rPr>
          <w:rFonts w:ascii="仿宋" w:hAnsi="仿宋" w:eastAsia="仿宋"/>
          <w:b/>
          <w:color w:val="000000"/>
        </w:rPr>
      </w:pPr>
    </w:p>
    <w:p w14:paraId="0DE7CB9B">
      <w:pPr>
        <w:spacing w:line="600" w:lineRule="exact"/>
        <w:jc w:val="center"/>
        <w:outlineLvl w:val="0"/>
        <w:rPr>
          <w:rFonts w:ascii="仿宋" w:hAnsi="仿宋" w:eastAsia="仿宋"/>
          <w:b/>
          <w:color w:val="000000"/>
        </w:rPr>
      </w:pPr>
    </w:p>
    <w:p w14:paraId="2D3E7374">
      <w:pPr>
        <w:spacing w:line="600" w:lineRule="exact"/>
        <w:jc w:val="center"/>
        <w:outlineLvl w:val="0"/>
        <w:rPr>
          <w:rFonts w:ascii="仿宋" w:hAnsi="仿宋" w:eastAsia="仿宋"/>
          <w:b/>
          <w:color w:val="000000"/>
        </w:rPr>
      </w:pPr>
    </w:p>
    <w:p w14:paraId="72554F6A">
      <w:pPr>
        <w:spacing w:line="600" w:lineRule="exact"/>
        <w:jc w:val="center"/>
        <w:outlineLvl w:val="0"/>
        <w:rPr>
          <w:rFonts w:ascii="仿宋" w:hAnsi="仿宋" w:eastAsia="仿宋"/>
          <w:b/>
          <w:color w:val="000000"/>
        </w:rPr>
      </w:pPr>
    </w:p>
    <w:p w14:paraId="4380C417">
      <w:pPr>
        <w:spacing w:line="600" w:lineRule="exact"/>
        <w:jc w:val="center"/>
        <w:outlineLvl w:val="0"/>
        <w:rPr>
          <w:rFonts w:ascii="仿宋" w:hAnsi="仿宋" w:eastAsia="仿宋"/>
          <w:b/>
          <w:color w:val="000000"/>
        </w:rPr>
      </w:pPr>
    </w:p>
    <w:p w14:paraId="0325E945">
      <w:pPr>
        <w:spacing w:line="600" w:lineRule="exact"/>
        <w:jc w:val="center"/>
        <w:outlineLvl w:val="0"/>
        <w:rPr>
          <w:rFonts w:ascii="仿宋" w:hAnsi="仿宋" w:eastAsia="仿宋"/>
          <w:b/>
          <w:color w:val="000000"/>
        </w:rPr>
      </w:pPr>
    </w:p>
    <w:p w14:paraId="558007D0">
      <w:pPr>
        <w:spacing w:line="600" w:lineRule="exact"/>
        <w:jc w:val="center"/>
        <w:outlineLvl w:val="0"/>
        <w:rPr>
          <w:rFonts w:ascii="仿宋" w:hAnsi="仿宋" w:eastAsia="仿宋"/>
          <w:b/>
          <w:color w:val="000000"/>
        </w:rPr>
      </w:pPr>
    </w:p>
    <w:bookmarkEnd w:id="75"/>
    <w:p w14:paraId="2528F05D">
      <w:pPr>
        <w:spacing w:line="600" w:lineRule="exact"/>
        <w:jc w:val="center"/>
        <w:outlineLvl w:val="0"/>
        <w:rPr>
          <w:rStyle w:val="18"/>
          <w:rFonts w:ascii="黑体" w:hAnsi="黑体" w:eastAsia="黑体"/>
          <w:b w:val="0"/>
        </w:rPr>
      </w:pPr>
    </w:p>
    <w:p w14:paraId="19F80ABB">
      <w:pPr>
        <w:spacing w:line="600" w:lineRule="exact"/>
        <w:jc w:val="center"/>
        <w:outlineLvl w:val="0"/>
        <w:rPr>
          <w:rStyle w:val="18"/>
          <w:rFonts w:ascii="黑体" w:hAnsi="黑体" w:eastAsia="黑体"/>
          <w:b w:val="0"/>
        </w:rPr>
      </w:pPr>
    </w:p>
    <w:p w14:paraId="53CA8359">
      <w:pPr>
        <w:spacing w:line="600" w:lineRule="exact"/>
        <w:outlineLvl w:val="0"/>
        <w:rPr>
          <w:rFonts w:ascii="黑体" w:hAnsi="黑体" w:eastAsia="黑体"/>
          <w:bCs/>
          <w:kern w:val="44"/>
          <w:sz w:val="44"/>
          <w:szCs w:val="44"/>
        </w:rPr>
      </w:pPr>
    </w:p>
    <w:p w14:paraId="2B261EFD">
      <w:bookmarkStart w:id="76" w:name="_Toc12049"/>
    </w:p>
    <w:p w14:paraId="09037D67">
      <w:pPr>
        <w:spacing w:line="600" w:lineRule="exact"/>
        <w:outlineLvl w:val="0"/>
        <w:rPr>
          <w:rFonts w:ascii="黑体" w:hAnsi="黑体" w:eastAsia="黑体"/>
          <w:color w:val="000000"/>
          <w:sz w:val="44"/>
          <w:szCs w:val="44"/>
        </w:rPr>
      </w:pPr>
    </w:p>
    <w:p w14:paraId="14BB694C">
      <w:pPr>
        <w:spacing w:line="600" w:lineRule="exact"/>
        <w:jc w:val="center"/>
        <w:outlineLvl w:val="0"/>
        <w:rPr>
          <w:rFonts w:ascii="仿宋" w:hAnsi="仿宋" w:eastAsia="仿宋"/>
          <w:color w:val="000000"/>
        </w:rPr>
      </w:pPr>
      <w:r>
        <w:rPr>
          <w:rFonts w:hint="eastAsia" w:ascii="黑体" w:hAnsi="黑体" w:eastAsia="黑体"/>
          <w:color w:val="000000"/>
          <w:sz w:val="44"/>
          <w:szCs w:val="44"/>
        </w:rPr>
        <w:t>第</w:t>
      </w:r>
      <w:r>
        <w:rPr>
          <w:rStyle w:val="18"/>
          <w:rFonts w:hint="eastAsia" w:ascii="黑体" w:hAnsi="黑体" w:eastAsia="黑体"/>
          <w:b w:val="0"/>
        </w:rPr>
        <w:t>五部分 附表</w:t>
      </w:r>
    </w:p>
    <w:p w14:paraId="6FAF77AE">
      <w:pPr>
        <w:pStyle w:val="3"/>
        <w:rPr>
          <w:rFonts w:ascii="仿宋" w:hAnsi="仿宋" w:eastAsia="仿宋"/>
          <w:color w:val="000000"/>
        </w:rPr>
      </w:pPr>
      <w:r>
        <w:rPr>
          <w:rFonts w:hint="eastAsia" w:ascii="仿宋" w:hAnsi="仿宋" w:eastAsia="仿宋"/>
          <w:b w:val="0"/>
          <w:color w:val="000000"/>
        </w:rPr>
        <w:t>一、收</w:t>
      </w:r>
      <w:r>
        <w:rPr>
          <w:rStyle w:val="19"/>
          <w:rFonts w:hint="eastAsia" w:ascii="仿宋" w:hAnsi="仿宋" w:eastAsia="仿宋"/>
          <w:b w:val="0"/>
          <w:bCs w:val="0"/>
        </w:rPr>
        <w:t>入支出决算总表</w:t>
      </w:r>
      <w:bookmarkEnd w:id="74"/>
      <w:bookmarkEnd w:id="76"/>
    </w:p>
    <w:p w14:paraId="1B0A77CF">
      <w:pPr>
        <w:pStyle w:val="3"/>
        <w:rPr>
          <w:rFonts w:ascii="仿宋" w:hAnsi="仿宋" w:eastAsia="仿宋"/>
          <w:color w:val="000000"/>
        </w:rPr>
      </w:pPr>
      <w:bookmarkStart w:id="77" w:name="_Toc15396620"/>
      <w:bookmarkStart w:id="78" w:name="_Toc26973"/>
      <w:r>
        <w:rPr>
          <w:rFonts w:hint="eastAsia" w:ascii="仿宋" w:hAnsi="仿宋" w:eastAsia="仿宋"/>
          <w:b w:val="0"/>
          <w:color w:val="000000"/>
        </w:rPr>
        <w:t>二、收</w:t>
      </w:r>
      <w:r>
        <w:rPr>
          <w:rStyle w:val="19"/>
          <w:rFonts w:hint="eastAsia" w:ascii="仿宋" w:hAnsi="仿宋" w:eastAsia="仿宋"/>
          <w:b w:val="0"/>
          <w:bCs w:val="0"/>
        </w:rPr>
        <w:t>入决算表</w:t>
      </w:r>
      <w:bookmarkEnd w:id="77"/>
      <w:bookmarkEnd w:id="78"/>
    </w:p>
    <w:p w14:paraId="364849F7">
      <w:pPr>
        <w:pStyle w:val="3"/>
        <w:rPr>
          <w:rFonts w:ascii="仿宋" w:hAnsi="仿宋" w:eastAsia="仿宋"/>
          <w:color w:val="000000"/>
        </w:rPr>
      </w:pPr>
      <w:bookmarkStart w:id="79" w:name="_Toc15396621"/>
      <w:bookmarkStart w:id="80" w:name="_Toc8737"/>
      <w:r>
        <w:rPr>
          <w:rStyle w:val="19"/>
          <w:rFonts w:hint="eastAsia" w:ascii="仿宋" w:hAnsi="仿宋" w:eastAsia="仿宋"/>
          <w:b w:val="0"/>
          <w:bCs w:val="0"/>
        </w:rPr>
        <w:t>三、</w:t>
      </w:r>
      <w:r>
        <w:rPr>
          <w:rFonts w:hint="eastAsia" w:ascii="仿宋" w:hAnsi="仿宋" w:eastAsia="仿宋"/>
          <w:b w:val="0"/>
          <w:color w:val="000000"/>
        </w:rPr>
        <w:t>支</w:t>
      </w:r>
      <w:r>
        <w:rPr>
          <w:rStyle w:val="19"/>
          <w:rFonts w:hint="eastAsia" w:ascii="仿宋" w:hAnsi="仿宋" w:eastAsia="仿宋"/>
          <w:b w:val="0"/>
          <w:bCs w:val="0"/>
        </w:rPr>
        <w:t>出决算表</w:t>
      </w:r>
      <w:bookmarkEnd w:id="79"/>
      <w:bookmarkEnd w:id="80"/>
    </w:p>
    <w:p w14:paraId="199B1DCC">
      <w:pPr>
        <w:pStyle w:val="3"/>
        <w:rPr>
          <w:rFonts w:ascii="仿宋" w:hAnsi="仿宋" w:eastAsia="仿宋"/>
          <w:b w:val="0"/>
          <w:color w:val="000000"/>
        </w:rPr>
      </w:pPr>
      <w:bookmarkStart w:id="81" w:name="_Toc8078"/>
      <w:bookmarkStart w:id="82" w:name="_Toc15396622"/>
      <w:r>
        <w:rPr>
          <w:rStyle w:val="19"/>
          <w:rFonts w:hint="eastAsia" w:ascii="仿宋" w:hAnsi="仿宋" w:eastAsia="仿宋"/>
          <w:b w:val="0"/>
          <w:bCs w:val="0"/>
        </w:rPr>
        <w:t>四、</w:t>
      </w:r>
      <w:r>
        <w:rPr>
          <w:rFonts w:hint="eastAsia" w:ascii="仿宋" w:hAnsi="仿宋" w:eastAsia="仿宋"/>
          <w:b w:val="0"/>
          <w:color w:val="000000"/>
        </w:rPr>
        <w:t>财</w:t>
      </w:r>
      <w:r>
        <w:rPr>
          <w:rStyle w:val="19"/>
          <w:rFonts w:hint="eastAsia" w:ascii="仿宋" w:hAnsi="仿宋" w:eastAsia="仿宋"/>
          <w:b w:val="0"/>
          <w:bCs w:val="0"/>
        </w:rPr>
        <w:t>政拨款收入支出决算总表</w:t>
      </w:r>
      <w:bookmarkEnd w:id="81"/>
      <w:bookmarkEnd w:id="82"/>
    </w:p>
    <w:p w14:paraId="6429BCFE">
      <w:pPr>
        <w:pStyle w:val="3"/>
        <w:rPr>
          <w:rFonts w:ascii="仿宋" w:hAnsi="仿宋" w:eastAsia="仿宋"/>
          <w:color w:val="000000"/>
        </w:rPr>
      </w:pPr>
      <w:bookmarkStart w:id="83" w:name="_Toc21518"/>
      <w:bookmarkStart w:id="84" w:name="_Toc15396623"/>
      <w:r>
        <w:rPr>
          <w:rStyle w:val="19"/>
          <w:rFonts w:hint="eastAsia" w:ascii="仿宋" w:hAnsi="仿宋" w:eastAsia="仿宋"/>
          <w:b w:val="0"/>
          <w:bCs w:val="0"/>
        </w:rPr>
        <w:t>五、</w:t>
      </w:r>
      <w:r>
        <w:rPr>
          <w:rFonts w:hint="eastAsia" w:ascii="仿宋" w:hAnsi="仿宋" w:eastAsia="仿宋"/>
          <w:b w:val="0"/>
          <w:color w:val="000000"/>
        </w:rPr>
        <w:t>财</w:t>
      </w:r>
      <w:r>
        <w:rPr>
          <w:rStyle w:val="19"/>
          <w:rFonts w:hint="eastAsia" w:ascii="仿宋" w:hAnsi="仿宋" w:eastAsia="仿宋"/>
          <w:b w:val="0"/>
          <w:bCs w:val="0"/>
        </w:rPr>
        <w:t>政拨款支出决算明细表</w:t>
      </w:r>
      <w:bookmarkEnd w:id="83"/>
      <w:bookmarkEnd w:id="84"/>
    </w:p>
    <w:p w14:paraId="1550DB48">
      <w:pPr>
        <w:pStyle w:val="3"/>
        <w:rPr>
          <w:rFonts w:ascii="仿宋" w:hAnsi="仿宋" w:eastAsia="仿宋"/>
          <w:color w:val="000000"/>
        </w:rPr>
      </w:pPr>
      <w:bookmarkStart w:id="85" w:name="_Toc15396624"/>
      <w:bookmarkStart w:id="86" w:name="_Toc1128"/>
      <w:r>
        <w:rPr>
          <w:rStyle w:val="19"/>
          <w:rFonts w:hint="eastAsia" w:ascii="仿宋" w:hAnsi="仿宋" w:eastAsia="仿宋"/>
          <w:b w:val="0"/>
          <w:bCs w:val="0"/>
        </w:rPr>
        <w:t>六、</w:t>
      </w:r>
      <w:r>
        <w:rPr>
          <w:rFonts w:hint="eastAsia" w:ascii="仿宋" w:hAnsi="仿宋" w:eastAsia="仿宋"/>
          <w:b w:val="0"/>
          <w:color w:val="000000"/>
        </w:rPr>
        <w:t>一</w:t>
      </w:r>
      <w:r>
        <w:rPr>
          <w:rStyle w:val="19"/>
          <w:rFonts w:hint="eastAsia" w:ascii="仿宋" w:hAnsi="仿宋" w:eastAsia="仿宋"/>
          <w:b w:val="0"/>
          <w:bCs w:val="0"/>
        </w:rPr>
        <w:t>般公共预算财政拨款支出决算表</w:t>
      </w:r>
      <w:bookmarkEnd w:id="85"/>
      <w:bookmarkEnd w:id="86"/>
    </w:p>
    <w:p w14:paraId="7DF39BF4">
      <w:pPr>
        <w:pStyle w:val="3"/>
        <w:rPr>
          <w:rFonts w:ascii="仿宋" w:hAnsi="仿宋" w:eastAsia="仿宋"/>
          <w:color w:val="000000"/>
        </w:rPr>
      </w:pPr>
      <w:bookmarkStart w:id="87" w:name="_Toc15396625"/>
      <w:bookmarkStart w:id="88" w:name="_Toc19772"/>
      <w:r>
        <w:rPr>
          <w:rStyle w:val="19"/>
          <w:rFonts w:hint="eastAsia" w:ascii="仿宋" w:hAnsi="仿宋" w:eastAsia="仿宋"/>
          <w:b w:val="0"/>
          <w:bCs w:val="0"/>
        </w:rPr>
        <w:t>七、</w:t>
      </w:r>
      <w:r>
        <w:rPr>
          <w:rFonts w:hint="eastAsia" w:ascii="仿宋" w:hAnsi="仿宋" w:eastAsia="仿宋"/>
          <w:b w:val="0"/>
          <w:color w:val="000000"/>
        </w:rPr>
        <w:t>一</w:t>
      </w:r>
      <w:r>
        <w:rPr>
          <w:rStyle w:val="19"/>
          <w:rFonts w:hint="eastAsia" w:ascii="仿宋" w:hAnsi="仿宋" w:eastAsia="仿宋"/>
          <w:b w:val="0"/>
          <w:bCs w:val="0"/>
        </w:rPr>
        <w:t>般公共预算财政拨款支出决算明细表</w:t>
      </w:r>
      <w:bookmarkEnd w:id="87"/>
      <w:bookmarkEnd w:id="88"/>
    </w:p>
    <w:p w14:paraId="3505ED12">
      <w:pPr>
        <w:pStyle w:val="3"/>
        <w:rPr>
          <w:rFonts w:ascii="仿宋" w:hAnsi="仿宋" w:eastAsia="仿宋"/>
          <w:color w:val="000000"/>
        </w:rPr>
      </w:pPr>
      <w:bookmarkStart w:id="89" w:name="_Toc15396626"/>
      <w:bookmarkStart w:id="90" w:name="_Toc23242"/>
      <w:r>
        <w:rPr>
          <w:rStyle w:val="19"/>
          <w:rFonts w:hint="eastAsia" w:ascii="仿宋" w:hAnsi="仿宋" w:eastAsia="仿宋"/>
          <w:b w:val="0"/>
          <w:bCs w:val="0"/>
        </w:rPr>
        <w:t>八、</w:t>
      </w:r>
      <w:r>
        <w:rPr>
          <w:rFonts w:hint="eastAsia" w:ascii="仿宋" w:hAnsi="仿宋" w:eastAsia="仿宋"/>
          <w:b w:val="0"/>
          <w:color w:val="000000"/>
        </w:rPr>
        <w:t>一</w:t>
      </w:r>
      <w:r>
        <w:rPr>
          <w:rStyle w:val="19"/>
          <w:rFonts w:hint="eastAsia" w:ascii="仿宋" w:hAnsi="仿宋" w:eastAsia="仿宋"/>
          <w:b w:val="0"/>
          <w:bCs w:val="0"/>
        </w:rPr>
        <w:t>般公共预算财政拨款基本支出决算表</w:t>
      </w:r>
      <w:bookmarkEnd w:id="89"/>
      <w:bookmarkEnd w:id="90"/>
    </w:p>
    <w:p w14:paraId="32F69AC7">
      <w:pPr>
        <w:pStyle w:val="3"/>
        <w:rPr>
          <w:rFonts w:ascii="仿宋" w:hAnsi="仿宋" w:eastAsia="仿宋"/>
          <w:color w:val="000000"/>
        </w:rPr>
      </w:pPr>
      <w:bookmarkStart w:id="91" w:name="_Toc15396627"/>
      <w:bookmarkStart w:id="92" w:name="_Toc22766"/>
      <w:r>
        <w:rPr>
          <w:rStyle w:val="19"/>
          <w:rFonts w:hint="eastAsia" w:ascii="仿宋" w:hAnsi="仿宋" w:eastAsia="仿宋"/>
          <w:b w:val="0"/>
          <w:bCs w:val="0"/>
        </w:rPr>
        <w:t>九、</w:t>
      </w:r>
      <w:r>
        <w:rPr>
          <w:rFonts w:hint="eastAsia" w:ascii="仿宋" w:hAnsi="仿宋" w:eastAsia="仿宋"/>
          <w:b w:val="0"/>
          <w:color w:val="000000"/>
        </w:rPr>
        <w:t>一</w:t>
      </w:r>
      <w:r>
        <w:rPr>
          <w:rStyle w:val="19"/>
          <w:rFonts w:hint="eastAsia" w:ascii="仿宋" w:hAnsi="仿宋" w:eastAsia="仿宋"/>
          <w:b w:val="0"/>
          <w:bCs w:val="0"/>
        </w:rPr>
        <w:t>般公共预算财政拨款项目支出决算表</w:t>
      </w:r>
      <w:bookmarkEnd w:id="91"/>
      <w:bookmarkEnd w:id="92"/>
    </w:p>
    <w:p w14:paraId="0DB30A1D">
      <w:pPr>
        <w:pStyle w:val="3"/>
        <w:rPr>
          <w:rFonts w:ascii="仿宋" w:hAnsi="仿宋" w:eastAsia="仿宋"/>
          <w:color w:val="000000"/>
        </w:rPr>
      </w:pPr>
      <w:bookmarkStart w:id="93" w:name="_Toc3398"/>
      <w:bookmarkStart w:id="94" w:name="_Toc15396628"/>
      <w:r>
        <w:rPr>
          <w:rStyle w:val="19"/>
          <w:rFonts w:hint="eastAsia" w:ascii="仿宋" w:hAnsi="仿宋" w:eastAsia="仿宋"/>
          <w:b w:val="0"/>
          <w:bCs w:val="0"/>
        </w:rPr>
        <w:t>十、</w:t>
      </w:r>
      <w:r>
        <w:rPr>
          <w:rFonts w:hint="eastAsia" w:ascii="仿宋" w:hAnsi="仿宋" w:eastAsia="仿宋"/>
          <w:b w:val="0"/>
          <w:color w:val="000000"/>
        </w:rPr>
        <w:t>一</w:t>
      </w:r>
      <w:r>
        <w:rPr>
          <w:rStyle w:val="19"/>
          <w:rFonts w:hint="eastAsia" w:ascii="仿宋" w:hAnsi="仿宋" w:eastAsia="仿宋"/>
          <w:b w:val="0"/>
          <w:bCs w:val="0"/>
        </w:rPr>
        <w:t>般公共预算财政拨款“三公”经费支出决算表</w:t>
      </w:r>
      <w:bookmarkEnd w:id="93"/>
      <w:bookmarkEnd w:id="94"/>
    </w:p>
    <w:p w14:paraId="4D8F4F8F">
      <w:pPr>
        <w:pStyle w:val="3"/>
        <w:rPr>
          <w:rFonts w:ascii="仿宋" w:hAnsi="仿宋" w:eastAsia="仿宋"/>
          <w:color w:val="000000"/>
        </w:rPr>
      </w:pPr>
      <w:bookmarkStart w:id="95" w:name="_Toc15396629"/>
      <w:bookmarkStart w:id="96" w:name="_Toc14950"/>
      <w:r>
        <w:rPr>
          <w:rStyle w:val="19"/>
          <w:rFonts w:hint="eastAsia" w:ascii="仿宋" w:hAnsi="仿宋" w:eastAsia="仿宋"/>
          <w:b w:val="0"/>
          <w:bCs w:val="0"/>
        </w:rPr>
        <w:t>十一、</w:t>
      </w:r>
      <w:r>
        <w:rPr>
          <w:rFonts w:hint="eastAsia" w:ascii="仿宋" w:hAnsi="仿宋" w:eastAsia="仿宋"/>
          <w:b w:val="0"/>
          <w:color w:val="000000"/>
        </w:rPr>
        <w:t>政</w:t>
      </w:r>
      <w:r>
        <w:rPr>
          <w:rStyle w:val="19"/>
          <w:rFonts w:hint="eastAsia" w:ascii="仿宋" w:hAnsi="仿宋" w:eastAsia="仿宋"/>
          <w:b w:val="0"/>
          <w:bCs w:val="0"/>
        </w:rPr>
        <w:t>府性基金预算财政拨款收入支出决算表</w:t>
      </w:r>
      <w:bookmarkEnd w:id="95"/>
      <w:bookmarkEnd w:id="96"/>
    </w:p>
    <w:p w14:paraId="0923A46B">
      <w:pPr>
        <w:pStyle w:val="3"/>
        <w:rPr>
          <w:rStyle w:val="19"/>
          <w:rFonts w:ascii="仿宋" w:hAnsi="仿宋" w:eastAsia="仿宋"/>
          <w:b w:val="0"/>
          <w:bCs w:val="0"/>
        </w:rPr>
      </w:pPr>
      <w:bookmarkStart w:id="97" w:name="_Toc15396630"/>
      <w:bookmarkStart w:id="98" w:name="_Toc4415"/>
      <w:r>
        <w:rPr>
          <w:rStyle w:val="19"/>
          <w:rFonts w:hint="eastAsia" w:ascii="仿宋" w:hAnsi="仿宋" w:eastAsia="仿宋"/>
          <w:b w:val="0"/>
          <w:bCs w:val="0"/>
        </w:rPr>
        <w:t>十二、</w:t>
      </w:r>
      <w:r>
        <w:rPr>
          <w:rFonts w:hint="eastAsia" w:ascii="仿宋" w:hAnsi="仿宋" w:eastAsia="仿宋"/>
          <w:b w:val="0"/>
          <w:color w:val="000000"/>
        </w:rPr>
        <w:t>政</w:t>
      </w:r>
      <w:r>
        <w:rPr>
          <w:rStyle w:val="19"/>
          <w:rFonts w:hint="eastAsia" w:ascii="仿宋" w:hAnsi="仿宋" w:eastAsia="仿宋"/>
          <w:b w:val="0"/>
          <w:bCs w:val="0"/>
        </w:rPr>
        <w:t>府性基金预算财政拨款“三公”经费支出决算表</w:t>
      </w:r>
      <w:bookmarkEnd w:id="97"/>
      <w:bookmarkEnd w:id="98"/>
    </w:p>
    <w:p w14:paraId="69F532E1">
      <w:pPr>
        <w:pStyle w:val="3"/>
        <w:rPr>
          <w:rStyle w:val="19"/>
          <w:rFonts w:ascii="仿宋" w:hAnsi="仿宋" w:eastAsia="仿宋"/>
          <w:b w:val="0"/>
          <w:bCs w:val="0"/>
        </w:rPr>
      </w:pPr>
      <w:bookmarkStart w:id="99" w:name="_Toc31736"/>
      <w:r>
        <w:rPr>
          <w:rStyle w:val="19"/>
          <w:rFonts w:hint="eastAsia" w:ascii="仿宋" w:hAnsi="仿宋" w:eastAsia="仿宋"/>
          <w:b w:val="0"/>
          <w:bCs w:val="0"/>
        </w:rPr>
        <w:t>十三</w:t>
      </w:r>
      <w:r>
        <w:rPr>
          <w:rFonts w:hint="eastAsia"/>
          <w:bCs w:val="0"/>
          <w:color w:val="000000"/>
        </w:rPr>
        <w:t>、</w:t>
      </w:r>
      <w:r>
        <w:rPr>
          <w:rFonts w:hint="eastAsia"/>
          <w:b w:val="0"/>
          <w:bCs w:val="0"/>
          <w:color w:val="000000"/>
        </w:rPr>
        <w:t>国</w:t>
      </w:r>
      <w:r>
        <w:rPr>
          <w:rStyle w:val="19"/>
          <w:rFonts w:hint="eastAsia" w:ascii="仿宋" w:hAnsi="仿宋" w:eastAsia="仿宋"/>
          <w:b w:val="0"/>
          <w:bCs w:val="0"/>
        </w:rPr>
        <w:t>有资本经营预算财政拨款收入支出决算表</w:t>
      </w:r>
      <w:bookmarkEnd w:id="99"/>
    </w:p>
    <w:p w14:paraId="25D2085B">
      <w:pPr>
        <w:pStyle w:val="3"/>
        <w:rPr>
          <w:rFonts w:ascii="仿宋" w:hAnsi="仿宋" w:eastAsia="仿宋"/>
          <w:color w:val="000000"/>
        </w:rPr>
      </w:pPr>
      <w:bookmarkStart w:id="100" w:name="_Toc4148"/>
      <w:r>
        <w:rPr>
          <w:rStyle w:val="19"/>
          <w:rFonts w:hint="eastAsia" w:ascii="仿宋" w:hAnsi="仿宋" w:eastAsia="仿宋"/>
          <w:b w:val="0"/>
          <w:bCs w:val="0"/>
        </w:rPr>
        <w:t>十四</w:t>
      </w:r>
      <w:r>
        <w:rPr>
          <w:rFonts w:hint="eastAsia" w:ascii="仿宋" w:hAnsi="仿宋" w:eastAsia="仿宋"/>
          <w:color w:val="000000"/>
        </w:rPr>
        <w:t>、</w:t>
      </w:r>
      <w:r>
        <w:rPr>
          <w:rFonts w:hint="eastAsia" w:ascii="仿宋" w:hAnsi="仿宋" w:eastAsia="仿宋"/>
          <w:b w:val="0"/>
          <w:color w:val="000000"/>
        </w:rPr>
        <w:t>国</w:t>
      </w:r>
      <w:r>
        <w:rPr>
          <w:rStyle w:val="19"/>
          <w:rFonts w:hint="eastAsia" w:ascii="仿宋" w:hAnsi="仿宋" w:eastAsia="仿宋"/>
          <w:b w:val="0"/>
          <w:bCs w:val="0"/>
        </w:rPr>
        <w:t>有资本经营预算财政拨款支出决算表</w:t>
      </w:r>
      <w:bookmarkEnd w:id="100"/>
    </w:p>
    <w:p w14:paraId="430F895F"/>
    <w:sectPr>
      <w:headerReference r:id="rId3" w:type="default"/>
      <w:footerReference r:id="rId4" w:type="default"/>
      <w:pgSz w:w="11906" w:h="16838"/>
      <w:pgMar w:top="1440" w:right="1701" w:bottom="1440" w:left="1758"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宋黑_GBK">
    <w:altName w:val="宋体"/>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8422A">
    <w:pPr>
      <w:pStyle w:val="9"/>
      <w:jc w:val="center"/>
    </w:pPr>
    <w:r>
      <w:fldChar w:fldCharType="begin"/>
    </w:r>
    <w:r>
      <w:instrText xml:space="preserve">PAGE   \* MERGEFORMAT</w:instrText>
    </w:r>
    <w:r>
      <w:fldChar w:fldCharType="separate"/>
    </w:r>
    <w:r>
      <w:rPr>
        <w:lang w:val="zh-CN"/>
      </w:rPr>
      <w:t>2</w:t>
    </w:r>
    <w:r>
      <w:rPr>
        <w:lang w:val="zh-CN"/>
      </w:rPr>
      <w:fldChar w:fldCharType="end"/>
    </w:r>
  </w:p>
  <w:p w14:paraId="418470F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ACB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288"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GZkMWJhN2YyYWU1ZWRlMWQ0NzVhN2I3YjE2ZmI5YTAifQ=="/>
  </w:docVars>
  <w:rsids>
    <w:rsidRoot w:val="00F1361C"/>
    <w:rsid w:val="000027AE"/>
    <w:rsid w:val="00006E1C"/>
    <w:rsid w:val="000109F0"/>
    <w:rsid w:val="000172A8"/>
    <w:rsid w:val="000202EB"/>
    <w:rsid w:val="000222C6"/>
    <w:rsid w:val="0002549F"/>
    <w:rsid w:val="00027607"/>
    <w:rsid w:val="00027B62"/>
    <w:rsid w:val="0003124D"/>
    <w:rsid w:val="00033CB8"/>
    <w:rsid w:val="00034ADC"/>
    <w:rsid w:val="00041667"/>
    <w:rsid w:val="00041A04"/>
    <w:rsid w:val="00042AE6"/>
    <w:rsid w:val="00042F12"/>
    <w:rsid w:val="000564CA"/>
    <w:rsid w:val="0006487A"/>
    <w:rsid w:val="00065F8F"/>
    <w:rsid w:val="00072D33"/>
    <w:rsid w:val="00074C95"/>
    <w:rsid w:val="000768F2"/>
    <w:rsid w:val="000811E5"/>
    <w:rsid w:val="00085365"/>
    <w:rsid w:val="0008740E"/>
    <w:rsid w:val="0009184B"/>
    <w:rsid w:val="000919A4"/>
    <w:rsid w:val="00094112"/>
    <w:rsid w:val="0009593C"/>
    <w:rsid w:val="000974E5"/>
    <w:rsid w:val="000A00B2"/>
    <w:rsid w:val="000A51B7"/>
    <w:rsid w:val="000A65DE"/>
    <w:rsid w:val="000B047F"/>
    <w:rsid w:val="000B5923"/>
    <w:rsid w:val="000B5A48"/>
    <w:rsid w:val="000B6575"/>
    <w:rsid w:val="000B6FF3"/>
    <w:rsid w:val="000C3008"/>
    <w:rsid w:val="000C3467"/>
    <w:rsid w:val="000C3CA6"/>
    <w:rsid w:val="000C46D5"/>
    <w:rsid w:val="000C5E45"/>
    <w:rsid w:val="000D1267"/>
    <w:rsid w:val="000D1D50"/>
    <w:rsid w:val="000D2918"/>
    <w:rsid w:val="000D5782"/>
    <w:rsid w:val="000E03A4"/>
    <w:rsid w:val="000E3E7A"/>
    <w:rsid w:val="000E6613"/>
    <w:rsid w:val="000E7119"/>
    <w:rsid w:val="000F7820"/>
    <w:rsid w:val="0010170F"/>
    <w:rsid w:val="00107377"/>
    <w:rsid w:val="00113B46"/>
    <w:rsid w:val="00114E9B"/>
    <w:rsid w:val="0011537A"/>
    <w:rsid w:val="001156DF"/>
    <w:rsid w:val="0011730E"/>
    <w:rsid w:val="001227BA"/>
    <w:rsid w:val="00122879"/>
    <w:rsid w:val="0012597E"/>
    <w:rsid w:val="00130B93"/>
    <w:rsid w:val="00132E81"/>
    <w:rsid w:val="00135E40"/>
    <w:rsid w:val="00136377"/>
    <w:rsid w:val="0014016C"/>
    <w:rsid w:val="0014729F"/>
    <w:rsid w:val="0015661E"/>
    <w:rsid w:val="00157BAB"/>
    <w:rsid w:val="00162C26"/>
    <w:rsid w:val="001650C3"/>
    <w:rsid w:val="001654D1"/>
    <w:rsid w:val="0016617B"/>
    <w:rsid w:val="001703AC"/>
    <w:rsid w:val="001712F2"/>
    <w:rsid w:val="00171FD2"/>
    <w:rsid w:val="001756AD"/>
    <w:rsid w:val="001764AF"/>
    <w:rsid w:val="0018106D"/>
    <w:rsid w:val="0018404F"/>
    <w:rsid w:val="00184946"/>
    <w:rsid w:val="0018615F"/>
    <w:rsid w:val="001875D7"/>
    <w:rsid w:val="001877A7"/>
    <w:rsid w:val="00191536"/>
    <w:rsid w:val="00196687"/>
    <w:rsid w:val="001A539D"/>
    <w:rsid w:val="001A596B"/>
    <w:rsid w:val="001A6AE4"/>
    <w:rsid w:val="001B0681"/>
    <w:rsid w:val="001B0A0D"/>
    <w:rsid w:val="001B1C44"/>
    <w:rsid w:val="001B3BDA"/>
    <w:rsid w:val="001B52BB"/>
    <w:rsid w:val="001C0962"/>
    <w:rsid w:val="001C695E"/>
    <w:rsid w:val="001D16B2"/>
    <w:rsid w:val="001D2D03"/>
    <w:rsid w:val="001D5684"/>
    <w:rsid w:val="001D7531"/>
    <w:rsid w:val="001E1197"/>
    <w:rsid w:val="001E2C23"/>
    <w:rsid w:val="001E72FA"/>
    <w:rsid w:val="001E737D"/>
    <w:rsid w:val="001F0592"/>
    <w:rsid w:val="001F21BD"/>
    <w:rsid w:val="001F44B4"/>
    <w:rsid w:val="001F4CF4"/>
    <w:rsid w:val="001F7506"/>
    <w:rsid w:val="002006CD"/>
    <w:rsid w:val="00202B36"/>
    <w:rsid w:val="00204B7A"/>
    <w:rsid w:val="002056A8"/>
    <w:rsid w:val="00205D86"/>
    <w:rsid w:val="0021101A"/>
    <w:rsid w:val="00211993"/>
    <w:rsid w:val="00211E35"/>
    <w:rsid w:val="00212494"/>
    <w:rsid w:val="00220536"/>
    <w:rsid w:val="002214CA"/>
    <w:rsid w:val="00226528"/>
    <w:rsid w:val="00227C73"/>
    <w:rsid w:val="00230227"/>
    <w:rsid w:val="00235629"/>
    <w:rsid w:val="002358E4"/>
    <w:rsid w:val="002401BB"/>
    <w:rsid w:val="002409B2"/>
    <w:rsid w:val="00242185"/>
    <w:rsid w:val="0024455C"/>
    <w:rsid w:val="002456C8"/>
    <w:rsid w:val="002479D4"/>
    <w:rsid w:val="002505D3"/>
    <w:rsid w:val="0025450A"/>
    <w:rsid w:val="00260C38"/>
    <w:rsid w:val="002616C0"/>
    <w:rsid w:val="002662AA"/>
    <w:rsid w:val="00267328"/>
    <w:rsid w:val="00271A9E"/>
    <w:rsid w:val="00274A43"/>
    <w:rsid w:val="00276097"/>
    <w:rsid w:val="002768D7"/>
    <w:rsid w:val="00280496"/>
    <w:rsid w:val="0028174A"/>
    <w:rsid w:val="0028375A"/>
    <w:rsid w:val="002844B3"/>
    <w:rsid w:val="00284B29"/>
    <w:rsid w:val="00285283"/>
    <w:rsid w:val="00291473"/>
    <w:rsid w:val="0029527E"/>
    <w:rsid w:val="00295495"/>
    <w:rsid w:val="002955F8"/>
    <w:rsid w:val="00295EEC"/>
    <w:rsid w:val="00296C89"/>
    <w:rsid w:val="002A0846"/>
    <w:rsid w:val="002A486C"/>
    <w:rsid w:val="002A5228"/>
    <w:rsid w:val="002A6A74"/>
    <w:rsid w:val="002A73EC"/>
    <w:rsid w:val="002B1EC2"/>
    <w:rsid w:val="002B22A3"/>
    <w:rsid w:val="002B2613"/>
    <w:rsid w:val="002B3AE1"/>
    <w:rsid w:val="002B4D3A"/>
    <w:rsid w:val="002B624F"/>
    <w:rsid w:val="002B6BD2"/>
    <w:rsid w:val="002B7482"/>
    <w:rsid w:val="002B7A2E"/>
    <w:rsid w:val="002B7B64"/>
    <w:rsid w:val="002C1071"/>
    <w:rsid w:val="002C13CC"/>
    <w:rsid w:val="002C1917"/>
    <w:rsid w:val="002C1E3B"/>
    <w:rsid w:val="002C48BF"/>
    <w:rsid w:val="002C6EBF"/>
    <w:rsid w:val="002D6DB6"/>
    <w:rsid w:val="002D7AA7"/>
    <w:rsid w:val="002E1272"/>
    <w:rsid w:val="002E68E3"/>
    <w:rsid w:val="002F0883"/>
    <w:rsid w:val="002F1818"/>
    <w:rsid w:val="002F2607"/>
    <w:rsid w:val="002F2A1E"/>
    <w:rsid w:val="002F3D26"/>
    <w:rsid w:val="002F567B"/>
    <w:rsid w:val="002F5ADB"/>
    <w:rsid w:val="002F5D37"/>
    <w:rsid w:val="002F648A"/>
    <w:rsid w:val="002F7C2F"/>
    <w:rsid w:val="002F7E52"/>
    <w:rsid w:val="00300909"/>
    <w:rsid w:val="00301A92"/>
    <w:rsid w:val="00301CCF"/>
    <w:rsid w:val="003047B5"/>
    <w:rsid w:val="003066B4"/>
    <w:rsid w:val="003076B4"/>
    <w:rsid w:val="003077FE"/>
    <w:rsid w:val="003105BB"/>
    <w:rsid w:val="003216A9"/>
    <w:rsid w:val="00323F38"/>
    <w:rsid w:val="0033149F"/>
    <w:rsid w:val="00333FFC"/>
    <w:rsid w:val="00342D2D"/>
    <w:rsid w:val="00346460"/>
    <w:rsid w:val="00356148"/>
    <w:rsid w:val="00357714"/>
    <w:rsid w:val="003632EA"/>
    <w:rsid w:val="00365991"/>
    <w:rsid w:val="0037013F"/>
    <w:rsid w:val="00371D78"/>
    <w:rsid w:val="003741E6"/>
    <w:rsid w:val="00380684"/>
    <w:rsid w:val="00380C92"/>
    <w:rsid w:val="00386BA9"/>
    <w:rsid w:val="00396BF9"/>
    <w:rsid w:val="00397146"/>
    <w:rsid w:val="00397F15"/>
    <w:rsid w:val="003A0F03"/>
    <w:rsid w:val="003A40FA"/>
    <w:rsid w:val="003A484F"/>
    <w:rsid w:val="003B0BE0"/>
    <w:rsid w:val="003B0C1B"/>
    <w:rsid w:val="003B1609"/>
    <w:rsid w:val="003B368E"/>
    <w:rsid w:val="003B48AB"/>
    <w:rsid w:val="003B495C"/>
    <w:rsid w:val="003B5740"/>
    <w:rsid w:val="003B688C"/>
    <w:rsid w:val="003C0291"/>
    <w:rsid w:val="003C39AE"/>
    <w:rsid w:val="003C7B60"/>
    <w:rsid w:val="003D05B8"/>
    <w:rsid w:val="003D1398"/>
    <w:rsid w:val="003D1FB2"/>
    <w:rsid w:val="003D66DA"/>
    <w:rsid w:val="003E02F1"/>
    <w:rsid w:val="003E1310"/>
    <w:rsid w:val="003E6F55"/>
    <w:rsid w:val="003F3509"/>
    <w:rsid w:val="003F504A"/>
    <w:rsid w:val="0040470F"/>
    <w:rsid w:val="00406254"/>
    <w:rsid w:val="0041054F"/>
    <w:rsid w:val="0041675C"/>
    <w:rsid w:val="00417172"/>
    <w:rsid w:val="004215A0"/>
    <w:rsid w:val="00421B27"/>
    <w:rsid w:val="00421E66"/>
    <w:rsid w:val="004223DE"/>
    <w:rsid w:val="0042254E"/>
    <w:rsid w:val="00427912"/>
    <w:rsid w:val="00430355"/>
    <w:rsid w:val="00434489"/>
    <w:rsid w:val="00434B82"/>
    <w:rsid w:val="00437085"/>
    <w:rsid w:val="00440C73"/>
    <w:rsid w:val="00441102"/>
    <w:rsid w:val="004417E1"/>
    <w:rsid w:val="00441A5C"/>
    <w:rsid w:val="00442297"/>
    <w:rsid w:val="00442B7A"/>
    <w:rsid w:val="00443238"/>
    <w:rsid w:val="004433A8"/>
    <w:rsid w:val="00443880"/>
    <w:rsid w:val="00444CF7"/>
    <w:rsid w:val="0044564E"/>
    <w:rsid w:val="00445E49"/>
    <w:rsid w:val="004464F4"/>
    <w:rsid w:val="004540F8"/>
    <w:rsid w:val="00465FD9"/>
    <w:rsid w:val="004668B3"/>
    <w:rsid w:val="00466CB4"/>
    <w:rsid w:val="00471401"/>
    <w:rsid w:val="00473F31"/>
    <w:rsid w:val="004774E0"/>
    <w:rsid w:val="00480E5F"/>
    <w:rsid w:val="0048178B"/>
    <w:rsid w:val="0048263A"/>
    <w:rsid w:val="004864A5"/>
    <w:rsid w:val="00487287"/>
    <w:rsid w:val="00487E5D"/>
    <w:rsid w:val="004919F1"/>
    <w:rsid w:val="00493EAB"/>
    <w:rsid w:val="00494D52"/>
    <w:rsid w:val="004A3E2B"/>
    <w:rsid w:val="004A711F"/>
    <w:rsid w:val="004B0D43"/>
    <w:rsid w:val="004B1551"/>
    <w:rsid w:val="004B199D"/>
    <w:rsid w:val="004B310D"/>
    <w:rsid w:val="004B4690"/>
    <w:rsid w:val="004B50F0"/>
    <w:rsid w:val="004B76AD"/>
    <w:rsid w:val="004C25F6"/>
    <w:rsid w:val="004C2FA7"/>
    <w:rsid w:val="004D1516"/>
    <w:rsid w:val="004E00E6"/>
    <w:rsid w:val="004E0A2D"/>
    <w:rsid w:val="004E206B"/>
    <w:rsid w:val="004E2189"/>
    <w:rsid w:val="004E2863"/>
    <w:rsid w:val="004E4A19"/>
    <w:rsid w:val="004E6DF7"/>
    <w:rsid w:val="004F0FBD"/>
    <w:rsid w:val="004F29E2"/>
    <w:rsid w:val="004F4DDB"/>
    <w:rsid w:val="004F50A1"/>
    <w:rsid w:val="004F5B67"/>
    <w:rsid w:val="00501277"/>
    <w:rsid w:val="00503756"/>
    <w:rsid w:val="00505A47"/>
    <w:rsid w:val="0050777F"/>
    <w:rsid w:val="00507D2E"/>
    <w:rsid w:val="00512688"/>
    <w:rsid w:val="00512FDA"/>
    <w:rsid w:val="00517A98"/>
    <w:rsid w:val="00517C85"/>
    <w:rsid w:val="00520DA0"/>
    <w:rsid w:val="00522BA4"/>
    <w:rsid w:val="00532B0C"/>
    <w:rsid w:val="00542091"/>
    <w:rsid w:val="00542D6C"/>
    <w:rsid w:val="00543C35"/>
    <w:rsid w:val="00544A56"/>
    <w:rsid w:val="0056199E"/>
    <w:rsid w:val="0056555D"/>
    <w:rsid w:val="005664BB"/>
    <w:rsid w:val="00573C5B"/>
    <w:rsid w:val="0057481D"/>
    <w:rsid w:val="00576383"/>
    <w:rsid w:val="00576F06"/>
    <w:rsid w:val="00582801"/>
    <w:rsid w:val="0058486E"/>
    <w:rsid w:val="00591AF2"/>
    <w:rsid w:val="00592CFE"/>
    <w:rsid w:val="00592D46"/>
    <w:rsid w:val="00593E69"/>
    <w:rsid w:val="005952E7"/>
    <w:rsid w:val="00595CEB"/>
    <w:rsid w:val="005A10FB"/>
    <w:rsid w:val="005A1B19"/>
    <w:rsid w:val="005A1DF0"/>
    <w:rsid w:val="005A2771"/>
    <w:rsid w:val="005A3A4F"/>
    <w:rsid w:val="005C0FBB"/>
    <w:rsid w:val="005C1097"/>
    <w:rsid w:val="005C3C8C"/>
    <w:rsid w:val="005C49E1"/>
    <w:rsid w:val="005C60DF"/>
    <w:rsid w:val="005D1C8B"/>
    <w:rsid w:val="005D5CED"/>
    <w:rsid w:val="005D6F32"/>
    <w:rsid w:val="005E11C3"/>
    <w:rsid w:val="005E5924"/>
    <w:rsid w:val="005E64BD"/>
    <w:rsid w:val="005E6F1E"/>
    <w:rsid w:val="005F1A4C"/>
    <w:rsid w:val="005F3677"/>
    <w:rsid w:val="00601418"/>
    <w:rsid w:val="006034D7"/>
    <w:rsid w:val="00605688"/>
    <w:rsid w:val="00605E9A"/>
    <w:rsid w:val="006070AF"/>
    <w:rsid w:val="00607E6C"/>
    <w:rsid w:val="006101B1"/>
    <w:rsid w:val="00612C6E"/>
    <w:rsid w:val="00612FFB"/>
    <w:rsid w:val="00614E44"/>
    <w:rsid w:val="00622830"/>
    <w:rsid w:val="00630AEF"/>
    <w:rsid w:val="00632571"/>
    <w:rsid w:val="006325F8"/>
    <w:rsid w:val="00632DCE"/>
    <w:rsid w:val="00634C9A"/>
    <w:rsid w:val="00634EF7"/>
    <w:rsid w:val="00641EC5"/>
    <w:rsid w:val="006440E4"/>
    <w:rsid w:val="006456DF"/>
    <w:rsid w:val="0064795F"/>
    <w:rsid w:val="00651CDE"/>
    <w:rsid w:val="00652DFC"/>
    <w:rsid w:val="00653B57"/>
    <w:rsid w:val="00653DDE"/>
    <w:rsid w:val="00653F9D"/>
    <w:rsid w:val="00654FFC"/>
    <w:rsid w:val="0065626F"/>
    <w:rsid w:val="00661790"/>
    <w:rsid w:val="0066343B"/>
    <w:rsid w:val="00664644"/>
    <w:rsid w:val="00664777"/>
    <w:rsid w:val="00666A1E"/>
    <w:rsid w:val="00667F95"/>
    <w:rsid w:val="00673285"/>
    <w:rsid w:val="006735B8"/>
    <w:rsid w:val="006748A4"/>
    <w:rsid w:val="00674EC9"/>
    <w:rsid w:val="00683E73"/>
    <w:rsid w:val="006854E8"/>
    <w:rsid w:val="006931F5"/>
    <w:rsid w:val="00694677"/>
    <w:rsid w:val="006A0D8E"/>
    <w:rsid w:val="006A1538"/>
    <w:rsid w:val="006A2CBB"/>
    <w:rsid w:val="006A3141"/>
    <w:rsid w:val="006A4DAE"/>
    <w:rsid w:val="006A5E34"/>
    <w:rsid w:val="006B0599"/>
    <w:rsid w:val="006B10B3"/>
    <w:rsid w:val="006B2422"/>
    <w:rsid w:val="006B2B9A"/>
    <w:rsid w:val="006B370E"/>
    <w:rsid w:val="006C1937"/>
    <w:rsid w:val="006C2E90"/>
    <w:rsid w:val="006D28F6"/>
    <w:rsid w:val="006E3A22"/>
    <w:rsid w:val="006E4289"/>
    <w:rsid w:val="006E4348"/>
    <w:rsid w:val="006E775A"/>
    <w:rsid w:val="006F020C"/>
    <w:rsid w:val="006F1DC8"/>
    <w:rsid w:val="006F1E59"/>
    <w:rsid w:val="006F286A"/>
    <w:rsid w:val="006F44E8"/>
    <w:rsid w:val="006F633C"/>
    <w:rsid w:val="006F67EC"/>
    <w:rsid w:val="006F74A6"/>
    <w:rsid w:val="00700179"/>
    <w:rsid w:val="0070547D"/>
    <w:rsid w:val="007127B7"/>
    <w:rsid w:val="0071303E"/>
    <w:rsid w:val="00713AD6"/>
    <w:rsid w:val="00721A02"/>
    <w:rsid w:val="00723D4F"/>
    <w:rsid w:val="00724760"/>
    <w:rsid w:val="00730575"/>
    <w:rsid w:val="00735F2B"/>
    <w:rsid w:val="007364CE"/>
    <w:rsid w:val="00737E76"/>
    <w:rsid w:val="00741275"/>
    <w:rsid w:val="007416B6"/>
    <w:rsid w:val="00746136"/>
    <w:rsid w:val="00746C8D"/>
    <w:rsid w:val="00746F48"/>
    <w:rsid w:val="0075109D"/>
    <w:rsid w:val="0075404D"/>
    <w:rsid w:val="00756DE2"/>
    <w:rsid w:val="00757C0A"/>
    <w:rsid w:val="0076182A"/>
    <w:rsid w:val="00767B7E"/>
    <w:rsid w:val="00771520"/>
    <w:rsid w:val="0077411A"/>
    <w:rsid w:val="007768A4"/>
    <w:rsid w:val="007770C3"/>
    <w:rsid w:val="007840A0"/>
    <w:rsid w:val="00784D24"/>
    <w:rsid w:val="007853B0"/>
    <w:rsid w:val="00785FBA"/>
    <w:rsid w:val="00786E4A"/>
    <w:rsid w:val="007875EB"/>
    <w:rsid w:val="007907DB"/>
    <w:rsid w:val="0079426B"/>
    <w:rsid w:val="007A0198"/>
    <w:rsid w:val="007A2CFE"/>
    <w:rsid w:val="007A32FF"/>
    <w:rsid w:val="007B09EA"/>
    <w:rsid w:val="007B1BE0"/>
    <w:rsid w:val="007B6DD5"/>
    <w:rsid w:val="007C1FFF"/>
    <w:rsid w:val="007C2200"/>
    <w:rsid w:val="007C46F7"/>
    <w:rsid w:val="007C60FB"/>
    <w:rsid w:val="007C7643"/>
    <w:rsid w:val="007C7BC8"/>
    <w:rsid w:val="007D157A"/>
    <w:rsid w:val="007D312A"/>
    <w:rsid w:val="007D31FD"/>
    <w:rsid w:val="007D3F19"/>
    <w:rsid w:val="007E1363"/>
    <w:rsid w:val="007E20AE"/>
    <w:rsid w:val="007E23B0"/>
    <w:rsid w:val="007E70FF"/>
    <w:rsid w:val="007E787E"/>
    <w:rsid w:val="007F1991"/>
    <w:rsid w:val="007F2164"/>
    <w:rsid w:val="007F2C2F"/>
    <w:rsid w:val="007F4006"/>
    <w:rsid w:val="007F55FC"/>
    <w:rsid w:val="007F5665"/>
    <w:rsid w:val="007F7233"/>
    <w:rsid w:val="00800112"/>
    <w:rsid w:val="008045DC"/>
    <w:rsid w:val="00805E17"/>
    <w:rsid w:val="008060E3"/>
    <w:rsid w:val="00822A93"/>
    <w:rsid w:val="008253BB"/>
    <w:rsid w:val="00825ED1"/>
    <w:rsid w:val="00826EB3"/>
    <w:rsid w:val="0083094F"/>
    <w:rsid w:val="008358A8"/>
    <w:rsid w:val="0083706E"/>
    <w:rsid w:val="008423A5"/>
    <w:rsid w:val="00843838"/>
    <w:rsid w:val="00850625"/>
    <w:rsid w:val="00851120"/>
    <w:rsid w:val="00853718"/>
    <w:rsid w:val="00855221"/>
    <w:rsid w:val="00860423"/>
    <w:rsid w:val="00860645"/>
    <w:rsid w:val="008646D4"/>
    <w:rsid w:val="00866B70"/>
    <w:rsid w:val="00867E35"/>
    <w:rsid w:val="00871A45"/>
    <w:rsid w:val="00871F71"/>
    <w:rsid w:val="00872158"/>
    <w:rsid w:val="008760C2"/>
    <w:rsid w:val="0087689E"/>
    <w:rsid w:val="00882E30"/>
    <w:rsid w:val="008840B8"/>
    <w:rsid w:val="00884472"/>
    <w:rsid w:val="00885AF4"/>
    <w:rsid w:val="00885BC8"/>
    <w:rsid w:val="008863BD"/>
    <w:rsid w:val="00886DA0"/>
    <w:rsid w:val="00890883"/>
    <w:rsid w:val="00891264"/>
    <w:rsid w:val="00891563"/>
    <w:rsid w:val="008939CD"/>
    <w:rsid w:val="008972F8"/>
    <w:rsid w:val="008A561E"/>
    <w:rsid w:val="008A5A5B"/>
    <w:rsid w:val="008A773A"/>
    <w:rsid w:val="008B0AB4"/>
    <w:rsid w:val="008B2342"/>
    <w:rsid w:val="008B472D"/>
    <w:rsid w:val="008B6EC8"/>
    <w:rsid w:val="008B75DC"/>
    <w:rsid w:val="008B768C"/>
    <w:rsid w:val="008C4DB1"/>
    <w:rsid w:val="008C4EAF"/>
    <w:rsid w:val="008C5176"/>
    <w:rsid w:val="008C6604"/>
    <w:rsid w:val="008C6A45"/>
    <w:rsid w:val="008C7FD0"/>
    <w:rsid w:val="008E091F"/>
    <w:rsid w:val="008E1A18"/>
    <w:rsid w:val="008E1DE7"/>
    <w:rsid w:val="008E45E3"/>
    <w:rsid w:val="008E6527"/>
    <w:rsid w:val="008E707C"/>
    <w:rsid w:val="008F4358"/>
    <w:rsid w:val="008F6201"/>
    <w:rsid w:val="008F7776"/>
    <w:rsid w:val="00900B08"/>
    <w:rsid w:val="00902155"/>
    <w:rsid w:val="00902FA3"/>
    <w:rsid w:val="009040F5"/>
    <w:rsid w:val="00905B90"/>
    <w:rsid w:val="00907BE1"/>
    <w:rsid w:val="0091178D"/>
    <w:rsid w:val="00912361"/>
    <w:rsid w:val="00912631"/>
    <w:rsid w:val="00916244"/>
    <w:rsid w:val="00923564"/>
    <w:rsid w:val="0092392E"/>
    <w:rsid w:val="00930689"/>
    <w:rsid w:val="00930AA6"/>
    <w:rsid w:val="009315F9"/>
    <w:rsid w:val="009332DF"/>
    <w:rsid w:val="0093330E"/>
    <w:rsid w:val="00933447"/>
    <w:rsid w:val="00935236"/>
    <w:rsid w:val="0094172E"/>
    <w:rsid w:val="00944958"/>
    <w:rsid w:val="009454C4"/>
    <w:rsid w:val="00946945"/>
    <w:rsid w:val="00946A2D"/>
    <w:rsid w:val="00946A50"/>
    <w:rsid w:val="00946B6F"/>
    <w:rsid w:val="00946CC3"/>
    <w:rsid w:val="0094738F"/>
    <w:rsid w:val="00950C7D"/>
    <w:rsid w:val="00951248"/>
    <w:rsid w:val="0095152F"/>
    <w:rsid w:val="00954C49"/>
    <w:rsid w:val="00955102"/>
    <w:rsid w:val="00957A89"/>
    <w:rsid w:val="00965A91"/>
    <w:rsid w:val="00966A00"/>
    <w:rsid w:val="0097099F"/>
    <w:rsid w:val="00971997"/>
    <w:rsid w:val="00971FFC"/>
    <w:rsid w:val="0097368A"/>
    <w:rsid w:val="00973740"/>
    <w:rsid w:val="0097444E"/>
    <w:rsid w:val="009756C4"/>
    <w:rsid w:val="00975708"/>
    <w:rsid w:val="00977E53"/>
    <w:rsid w:val="0098660A"/>
    <w:rsid w:val="00987B53"/>
    <w:rsid w:val="00987F65"/>
    <w:rsid w:val="0099278B"/>
    <w:rsid w:val="009931C3"/>
    <w:rsid w:val="00994115"/>
    <w:rsid w:val="00994197"/>
    <w:rsid w:val="00994FAE"/>
    <w:rsid w:val="00996595"/>
    <w:rsid w:val="00997AE2"/>
    <w:rsid w:val="009A79C0"/>
    <w:rsid w:val="009B2C43"/>
    <w:rsid w:val="009B3A1C"/>
    <w:rsid w:val="009B4EAE"/>
    <w:rsid w:val="009B7573"/>
    <w:rsid w:val="009B7989"/>
    <w:rsid w:val="009C22F4"/>
    <w:rsid w:val="009C2E98"/>
    <w:rsid w:val="009C55B6"/>
    <w:rsid w:val="009C7BF8"/>
    <w:rsid w:val="009D20BB"/>
    <w:rsid w:val="009D3155"/>
    <w:rsid w:val="009D3447"/>
    <w:rsid w:val="009D4711"/>
    <w:rsid w:val="009D4C36"/>
    <w:rsid w:val="009D5379"/>
    <w:rsid w:val="009D5BF7"/>
    <w:rsid w:val="009D5E2D"/>
    <w:rsid w:val="009D77DB"/>
    <w:rsid w:val="009E34D1"/>
    <w:rsid w:val="009E3706"/>
    <w:rsid w:val="009F0D9D"/>
    <w:rsid w:val="009F1185"/>
    <w:rsid w:val="009F18CD"/>
    <w:rsid w:val="009F28F3"/>
    <w:rsid w:val="009F2A13"/>
    <w:rsid w:val="009F356A"/>
    <w:rsid w:val="009F38B4"/>
    <w:rsid w:val="009F4179"/>
    <w:rsid w:val="009F55EC"/>
    <w:rsid w:val="00A0179A"/>
    <w:rsid w:val="00A04EB0"/>
    <w:rsid w:val="00A05A42"/>
    <w:rsid w:val="00A05C93"/>
    <w:rsid w:val="00A06EE3"/>
    <w:rsid w:val="00A072A1"/>
    <w:rsid w:val="00A105EC"/>
    <w:rsid w:val="00A13CC1"/>
    <w:rsid w:val="00A1410B"/>
    <w:rsid w:val="00A155FF"/>
    <w:rsid w:val="00A16847"/>
    <w:rsid w:val="00A176E2"/>
    <w:rsid w:val="00A20798"/>
    <w:rsid w:val="00A21B86"/>
    <w:rsid w:val="00A223F0"/>
    <w:rsid w:val="00A237D8"/>
    <w:rsid w:val="00A26201"/>
    <w:rsid w:val="00A26536"/>
    <w:rsid w:val="00A268C4"/>
    <w:rsid w:val="00A26917"/>
    <w:rsid w:val="00A27BC0"/>
    <w:rsid w:val="00A307CD"/>
    <w:rsid w:val="00A35FCA"/>
    <w:rsid w:val="00A40A00"/>
    <w:rsid w:val="00A4142F"/>
    <w:rsid w:val="00A41D5C"/>
    <w:rsid w:val="00A42032"/>
    <w:rsid w:val="00A42C2A"/>
    <w:rsid w:val="00A44543"/>
    <w:rsid w:val="00A46DB2"/>
    <w:rsid w:val="00A51070"/>
    <w:rsid w:val="00A52D7F"/>
    <w:rsid w:val="00A544D6"/>
    <w:rsid w:val="00A554B0"/>
    <w:rsid w:val="00A56DF2"/>
    <w:rsid w:val="00A57AAE"/>
    <w:rsid w:val="00A603C6"/>
    <w:rsid w:val="00A60499"/>
    <w:rsid w:val="00A62EB8"/>
    <w:rsid w:val="00A6352D"/>
    <w:rsid w:val="00A635A6"/>
    <w:rsid w:val="00A64B44"/>
    <w:rsid w:val="00A67AB5"/>
    <w:rsid w:val="00A70615"/>
    <w:rsid w:val="00A71B2D"/>
    <w:rsid w:val="00A76E9F"/>
    <w:rsid w:val="00A773C3"/>
    <w:rsid w:val="00A802A7"/>
    <w:rsid w:val="00A80385"/>
    <w:rsid w:val="00A85BC9"/>
    <w:rsid w:val="00A87602"/>
    <w:rsid w:val="00A87906"/>
    <w:rsid w:val="00A91760"/>
    <w:rsid w:val="00A93B00"/>
    <w:rsid w:val="00A93C21"/>
    <w:rsid w:val="00A9516F"/>
    <w:rsid w:val="00AA3E4C"/>
    <w:rsid w:val="00AA474E"/>
    <w:rsid w:val="00AA68E1"/>
    <w:rsid w:val="00AA72B6"/>
    <w:rsid w:val="00AB1C22"/>
    <w:rsid w:val="00AB1DD8"/>
    <w:rsid w:val="00AB2098"/>
    <w:rsid w:val="00AB3453"/>
    <w:rsid w:val="00AB41DB"/>
    <w:rsid w:val="00AC2BF5"/>
    <w:rsid w:val="00AC3C6A"/>
    <w:rsid w:val="00AD0B86"/>
    <w:rsid w:val="00AD470F"/>
    <w:rsid w:val="00AD5620"/>
    <w:rsid w:val="00AD56F0"/>
    <w:rsid w:val="00AD744F"/>
    <w:rsid w:val="00AD7C1B"/>
    <w:rsid w:val="00AE16BA"/>
    <w:rsid w:val="00AE1EBE"/>
    <w:rsid w:val="00AE4D3A"/>
    <w:rsid w:val="00AE7299"/>
    <w:rsid w:val="00AE7D9D"/>
    <w:rsid w:val="00AF5960"/>
    <w:rsid w:val="00AF77A7"/>
    <w:rsid w:val="00B01BA0"/>
    <w:rsid w:val="00B02CBE"/>
    <w:rsid w:val="00B03C9D"/>
    <w:rsid w:val="00B056AE"/>
    <w:rsid w:val="00B060AE"/>
    <w:rsid w:val="00B10331"/>
    <w:rsid w:val="00B10517"/>
    <w:rsid w:val="00B11C52"/>
    <w:rsid w:val="00B13DD1"/>
    <w:rsid w:val="00B14873"/>
    <w:rsid w:val="00B14E76"/>
    <w:rsid w:val="00B151BB"/>
    <w:rsid w:val="00B161B8"/>
    <w:rsid w:val="00B161BE"/>
    <w:rsid w:val="00B2048C"/>
    <w:rsid w:val="00B22210"/>
    <w:rsid w:val="00B22753"/>
    <w:rsid w:val="00B310B9"/>
    <w:rsid w:val="00B33FD5"/>
    <w:rsid w:val="00B34090"/>
    <w:rsid w:val="00B35F3F"/>
    <w:rsid w:val="00B36CBB"/>
    <w:rsid w:val="00B408BC"/>
    <w:rsid w:val="00B425E0"/>
    <w:rsid w:val="00B43C32"/>
    <w:rsid w:val="00B440AA"/>
    <w:rsid w:val="00B44B70"/>
    <w:rsid w:val="00B45894"/>
    <w:rsid w:val="00B5082B"/>
    <w:rsid w:val="00B51860"/>
    <w:rsid w:val="00B51CD6"/>
    <w:rsid w:val="00B53C56"/>
    <w:rsid w:val="00B5448D"/>
    <w:rsid w:val="00B57346"/>
    <w:rsid w:val="00B576D6"/>
    <w:rsid w:val="00B60135"/>
    <w:rsid w:val="00B60EA6"/>
    <w:rsid w:val="00B61E82"/>
    <w:rsid w:val="00B63728"/>
    <w:rsid w:val="00B6461D"/>
    <w:rsid w:val="00B664B4"/>
    <w:rsid w:val="00B66EC2"/>
    <w:rsid w:val="00B72124"/>
    <w:rsid w:val="00B730CD"/>
    <w:rsid w:val="00B77EA6"/>
    <w:rsid w:val="00B81598"/>
    <w:rsid w:val="00B83C73"/>
    <w:rsid w:val="00B841F1"/>
    <w:rsid w:val="00B85BDD"/>
    <w:rsid w:val="00B870C1"/>
    <w:rsid w:val="00B9038C"/>
    <w:rsid w:val="00B90AEC"/>
    <w:rsid w:val="00B93000"/>
    <w:rsid w:val="00B941FB"/>
    <w:rsid w:val="00B944D6"/>
    <w:rsid w:val="00B95EE3"/>
    <w:rsid w:val="00BA72A0"/>
    <w:rsid w:val="00BA76F1"/>
    <w:rsid w:val="00BA7E8E"/>
    <w:rsid w:val="00BB4DF0"/>
    <w:rsid w:val="00BB5719"/>
    <w:rsid w:val="00BB6026"/>
    <w:rsid w:val="00BB6201"/>
    <w:rsid w:val="00BC289F"/>
    <w:rsid w:val="00BC5361"/>
    <w:rsid w:val="00BC5460"/>
    <w:rsid w:val="00BC5FC2"/>
    <w:rsid w:val="00BC643D"/>
    <w:rsid w:val="00BC6B50"/>
    <w:rsid w:val="00BC7B22"/>
    <w:rsid w:val="00BD0E25"/>
    <w:rsid w:val="00BD1D64"/>
    <w:rsid w:val="00BD4E68"/>
    <w:rsid w:val="00BD5D12"/>
    <w:rsid w:val="00BE15DC"/>
    <w:rsid w:val="00BE585D"/>
    <w:rsid w:val="00BE74D5"/>
    <w:rsid w:val="00BF0B90"/>
    <w:rsid w:val="00BF445D"/>
    <w:rsid w:val="00BF5BD6"/>
    <w:rsid w:val="00BF76A8"/>
    <w:rsid w:val="00C007B7"/>
    <w:rsid w:val="00C0154B"/>
    <w:rsid w:val="00C03E31"/>
    <w:rsid w:val="00C04F2C"/>
    <w:rsid w:val="00C073EF"/>
    <w:rsid w:val="00C116EE"/>
    <w:rsid w:val="00C15F0D"/>
    <w:rsid w:val="00C16757"/>
    <w:rsid w:val="00C207C6"/>
    <w:rsid w:val="00C22CB3"/>
    <w:rsid w:val="00C232B0"/>
    <w:rsid w:val="00C23C9C"/>
    <w:rsid w:val="00C24AEB"/>
    <w:rsid w:val="00C269FF"/>
    <w:rsid w:val="00C274DC"/>
    <w:rsid w:val="00C306D1"/>
    <w:rsid w:val="00C33E72"/>
    <w:rsid w:val="00C354B2"/>
    <w:rsid w:val="00C35554"/>
    <w:rsid w:val="00C35BE3"/>
    <w:rsid w:val="00C42709"/>
    <w:rsid w:val="00C4624A"/>
    <w:rsid w:val="00C5007D"/>
    <w:rsid w:val="00C509CE"/>
    <w:rsid w:val="00C533CC"/>
    <w:rsid w:val="00C5440F"/>
    <w:rsid w:val="00C55373"/>
    <w:rsid w:val="00C574C9"/>
    <w:rsid w:val="00C5751C"/>
    <w:rsid w:val="00C61B50"/>
    <w:rsid w:val="00C61BFC"/>
    <w:rsid w:val="00C62308"/>
    <w:rsid w:val="00C62AB0"/>
    <w:rsid w:val="00C62B85"/>
    <w:rsid w:val="00C65438"/>
    <w:rsid w:val="00C659D4"/>
    <w:rsid w:val="00C667F3"/>
    <w:rsid w:val="00C74F6C"/>
    <w:rsid w:val="00C77EB9"/>
    <w:rsid w:val="00C82488"/>
    <w:rsid w:val="00C84554"/>
    <w:rsid w:val="00C848DE"/>
    <w:rsid w:val="00C85D8C"/>
    <w:rsid w:val="00C91CBB"/>
    <w:rsid w:val="00C94AB9"/>
    <w:rsid w:val="00CA0EFA"/>
    <w:rsid w:val="00CB311C"/>
    <w:rsid w:val="00CB6CD3"/>
    <w:rsid w:val="00CC09B6"/>
    <w:rsid w:val="00CC3728"/>
    <w:rsid w:val="00CC61C4"/>
    <w:rsid w:val="00CC666F"/>
    <w:rsid w:val="00CC6C9C"/>
    <w:rsid w:val="00CC77C5"/>
    <w:rsid w:val="00CD134E"/>
    <w:rsid w:val="00CD1E3F"/>
    <w:rsid w:val="00CD67C7"/>
    <w:rsid w:val="00CD7625"/>
    <w:rsid w:val="00CE44F6"/>
    <w:rsid w:val="00CE4723"/>
    <w:rsid w:val="00CE49DA"/>
    <w:rsid w:val="00CE7B61"/>
    <w:rsid w:val="00CE7F12"/>
    <w:rsid w:val="00CF0A80"/>
    <w:rsid w:val="00CF187B"/>
    <w:rsid w:val="00CF1FF9"/>
    <w:rsid w:val="00CF254D"/>
    <w:rsid w:val="00CF731C"/>
    <w:rsid w:val="00D00095"/>
    <w:rsid w:val="00D027A5"/>
    <w:rsid w:val="00D06BD1"/>
    <w:rsid w:val="00D07E66"/>
    <w:rsid w:val="00D10E39"/>
    <w:rsid w:val="00D131DB"/>
    <w:rsid w:val="00D1456A"/>
    <w:rsid w:val="00D14933"/>
    <w:rsid w:val="00D159B3"/>
    <w:rsid w:val="00D15BC2"/>
    <w:rsid w:val="00D20620"/>
    <w:rsid w:val="00D26091"/>
    <w:rsid w:val="00D27314"/>
    <w:rsid w:val="00D27679"/>
    <w:rsid w:val="00D32216"/>
    <w:rsid w:val="00D34164"/>
    <w:rsid w:val="00D34E7C"/>
    <w:rsid w:val="00D35489"/>
    <w:rsid w:val="00D35EF4"/>
    <w:rsid w:val="00D36D22"/>
    <w:rsid w:val="00D41038"/>
    <w:rsid w:val="00D44740"/>
    <w:rsid w:val="00D456AB"/>
    <w:rsid w:val="00D45930"/>
    <w:rsid w:val="00D45D7E"/>
    <w:rsid w:val="00D51276"/>
    <w:rsid w:val="00D516DE"/>
    <w:rsid w:val="00D51C0D"/>
    <w:rsid w:val="00D53450"/>
    <w:rsid w:val="00D543AA"/>
    <w:rsid w:val="00D5565C"/>
    <w:rsid w:val="00D55FA7"/>
    <w:rsid w:val="00D64CC9"/>
    <w:rsid w:val="00D7035F"/>
    <w:rsid w:val="00D70FFD"/>
    <w:rsid w:val="00D716A1"/>
    <w:rsid w:val="00D723EB"/>
    <w:rsid w:val="00D73F6E"/>
    <w:rsid w:val="00D75FC6"/>
    <w:rsid w:val="00D76C9B"/>
    <w:rsid w:val="00D835FB"/>
    <w:rsid w:val="00D9797B"/>
    <w:rsid w:val="00DA360E"/>
    <w:rsid w:val="00DA5A80"/>
    <w:rsid w:val="00DA65AC"/>
    <w:rsid w:val="00DB0F51"/>
    <w:rsid w:val="00DB1913"/>
    <w:rsid w:val="00DB4C99"/>
    <w:rsid w:val="00DB5A76"/>
    <w:rsid w:val="00DC410D"/>
    <w:rsid w:val="00DC4ED7"/>
    <w:rsid w:val="00DC61F9"/>
    <w:rsid w:val="00DC68CA"/>
    <w:rsid w:val="00DC7CBA"/>
    <w:rsid w:val="00DD73B7"/>
    <w:rsid w:val="00DE1E86"/>
    <w:rsid w:val="00DE57A2"/>
    <w:rsid w:val="00DF0AA9"/>
    <w:rsid w:val="00DF1932"/>
    <w:rsid w:val="00DF28BC"/>
    <w:rsid w:val="00DF3205"/>
    <w:rsid w:val="00DF34B9"/>
    <w:rsid w:val="00DF4770"/>
    <w:rsid w:val="00DF7044"/>
    <w:rsid w:val="00DF7E71"/>
    <w:rsid w:val="00E00041"/>
    <w:rsid w:val="00E00E4C"/>
    <w:rsid w:val="00E01053"/>
    <w:rsid w:val="00E0276F"/>
    <w:rsid w:val="00E02C24"/>
    <w:rsid w:val="00E05038"/>
    <w:rsid w:val="00E07ACF"/>
    <w:rsid w:val="00E1016C"/>
    <w:rsid w:val="00E10722"/>
    <w:rsid w:val="00E25084"/>
    <w:rsid w:val="00E2723F"/>
    <w:rsid w:val="00E30F9A"/>
    <w:rsid w:val="00E310F8"/>
    <w:rsid w:val="00E3170A"/>
    <w:rsid w:val="00E331A1"/>
    <w:rsid w:val="00E33202"/>
    <w:rsid w:val="00E336A9"/>
    <w:rsid w:val="00E340E6"/>
    <w:rsid w:val="00E35483"/>
    <w:rsid w:val="00E3552D"/>
    <w:rsid w:val="00E4036E"/>
    <w:rsid w:val="00E4369F"/>
    <w:rsid w:val="00E43897"/>
    <w:rsid w:val="00E43E83"/>
    <w:rsid w:val="00E45AF7"/>
    <w:rsid w:val="00E50624"/>
    <w:rsid w:val="00E50AA0"/>
    <w:rsid w:val="00E50ED9"/>
    <w:rsid w:val="00E52D4C"/>
    <w:rsid w:val="00E568DF"/>
    <w:rsid w:val="00E5765F"/>
    <w:rsid w:val="00E64269"/>
    <w:rsid w:val="00E674AA"/>
    <w:rsid w:val="00E675E1"/>
    <w:rsid w:val="00E709C1"/>
    <w:rsid w:val="00E76CE8"/>
    <w:rsid w:val="00E82267"/>
    <w:rsid w:val="00E8274F"/>
    <w:rsid w:val="00E82B45"/>
    <w:rsid w:val="00E84DFF"/>
    <w:rsid w:val="00E865E9"/>
    <w:rsid w:val="00E91588"/>
    <w:rsid w:val="00E95BB6"/>
    <w:rsid w:val="00E97A01"/>
    <w:rsid w:val="00EA010F"/>
    <w:rsid w:val="00EA154E"/>
    <w:rsid w:val="00EA1860"/>
    <w:rsid w:val="00EA21A2"/>
    <w:rsid w:val="00EB5BB0"/>
    <w:rsid w:val="00EC47EC"/>
    <w:rsid w:val="00EC5AD1"/>
    <w:rsid w:val="00ED090C"/>
    <w:rsid w:val="00ED1B63"/>
    <w:rsid w:val="00ED3C1F"/>
    <w:rsid w:val="00ED4085"/>
    <w:rsid w:val="00ED420E"/>
    <w:rsid w:val="00EE2F57"/>
    <w:rsid w:val="00EE41F8"/>
    <w:rsid w:val="00EE68BF"/>
    <w:rsid w:val="00EF20D6"/>
    <w:rsid w:val="00EF453F"/>
    <w:rsid w:val="00EF4C34"/>
    <w:rsid w:val="00EF77C6"/>
    <w:rsid w:val="00F03A7F"/>
    <w:rsid w:val="00F05438"/>
    <w:rsid w:val="00F0600E"/>
    <w:rsid w:val="00F120A8"/>
    <w:rsid w:val="00F1361C"/>
    <w:rsid w:val="00F145B3"/>
    <w:rsid w:val="00F15AEF"/>
    <w:rsid w:val="00F160C7"/>
    <w:rsid w:val="00F16B99"/>
    <w:rsid w:val="00F16DE3"/>
    <w:rsid w:val="00F220A4"/>
    <w:rsid w:val="00F24E3D"/>
    <w:rsid w:val="00F25E3D"/>
    <w:rsid w:val="00F311C5"/>
    <w:rsid w:val="00F33825"/>
    <w:rsid w:val="00F36714"/>
    <w:rsid w:val="00F36D8F"/>
    <w:rsid w:val="00F377BE"/>
    <w:rsid w:val="00F415D8"/>
    <w:rsid w:val="00F417B1"/>
    <w:rsid w:val="00F43149"/>
    <w:rsid w:val="00F44C7D"/>
    <w:rsid w:val="00F4517E"/>
    <w:rsid w:val="00F45B22"/>
    <w:rsid w:val="00F46A43"/>
    <w:rsid w:val="00F52B6F"/>
    <w:rsid w:val="00F52D25"/>
    <w:rsid w:val="00F5453F"/>
    <w:rsid w:val="00F602DF"/>
    <w:rsid w:val="00F63A3F"/>
    <w:rsid w:val="00F703FD"/>
    <w:rsid w:val="00F7115B"/>
    <w:rsid w:val="00F74173"/>
    <w:rsid w:val="00F81B2D"/>
    <w:rsid w:val="00F81FD9"/>
    <w:rsid w:val="00F82FA3"/>
    <w:rsid w:val="00F841AA"/>
    <w:rsid w:val="00F84B99"/>
    <w:rsid w:val="00F87FCD"/>
    <w:rsid w:val="00F90CFB"/>
    <w:rsid w:val="00FA23E8"/>
    <w:rsid w:val="00FA445B"/>
    <w:rsid w:val="00FA7BF9"/>
    <w:rsid w:val="00FB2F95"/>
    <w:rsid w:val="00FB35D6"/>
    <w:rsid w:val="00FB4FDD"/>
    <w:rsid w:val="00FB755E"/>
    <w:rsid w:val="00FC0B08"/>
    <w:rsid w:val="00FC5291"/>
    <w:rsid w:val="00FC784E"/>
    <w:rsid w:val="00FD3CC1"/>
    <w:rsid w:val="00FD3FAB"/>
    <w:rsid w:val="00FE49A6"/>
    <w:rsid w:val="00FF1E02"/>
    <w:rsid w:val="00FF2445"/>
    <w:rsid w:val="00FF30B4"/>
    <w:rsid w:val="07780DBD"/>
    <w:rsid w:val="0A7F056D"/>
    <w:rsid w:val="109059E6"/>
    <w:rsid w:val="10C055FF"/>
    <w:rsid w:val="12F95F2E"/>
    <w:rsid w:val="143A410D"/>
    <w:rsid w:val="16BB723D"/>
    <w:rsid w:val="1E0A6AF0"/>
    <w:rsid w:val="240371BF"/>
    <w:rsid w:val="29FD04D3"/>
    <w:rsid w:val="2A66642C"/>
    <w:rsid w:val="319F7F4E"/>
    <w:rsid w:val="37083966"/>
    <w:rsid w:val="41C314F6"/>
    <w:rsid w:val="41EA0AFF"/>
    <w:rsid w:val="4B612657"/>
    <w:rsid w:val="512A0E05"/>
    <w:rsid w:val="57B57FFE"/>
    <w:rsid w:val="5B303B6B"/>
    <w:rsid w:val="63074963"/>
    <w:rsid w:val="638D6EC6"/>
    <w:rsid w:val="64C15E44"/>
    <w:rsid w:val="688D71BE"/>
    <w:rsid w:val="753B5FA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Plain Text"/>
    <w:basedOn w:val="1"/>
    <w:link w:val="32"/>
    <w:qFormat/>
    <w:uiPriority w:val="0"/>
    <w:rPr>
      <w:rFonts w:ascii="宋体" w:hAnsi="Courier New"/>
      <w:szCs w:val="21"/>
    </w:rPr>
  </w:style>
  <w:style w:type="paragraph" w:styleId="8">
    <w:name w:val="Balloon Text"/>
    <w:basedOn w:val="1"/>
    <w:link w:val="30"/>
    <w:semiHidden/>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rPr>
      <w:sz w:val="28"/>
      <w:szCs w:val="28"/>
    </w:rPr>
  </w:style>
  <w:style w:type="paragraph" w:styleId="13">
    <w:name w:val="Normal (Web)"/>
    <w:basedOn w:val="1"/>
    <w:qFormat/>
    <w:uiPriority w:val="0"/>
    <w:pPr>
      <w:widowControl/>
      <w:jc w:val="left"/>
    </w:pPr>
    <w:rPr>
      <w:rFonts w:ascii="宋体" w:hAnsi="宋体" w:cs="宋体"/>
      <w:kern w:val="0"/>
      <w:sz w:val="24"/>
    </w:rPr>
  </w:style>
  <w:style w:type="character" w:styleId="16">
    <w:name w:val="Strong"/>
    <w:qFormat/>
    <w:uiPriority w:val="99"/>
    <w:rPr>
      <w:rFonts w:cs="Times New Roman"/>
      <w:b/>
    </w:rPr>
  </w:style>
  <w:style w:type="character" w:styleId="17">
    <w:name w:val="Hyperlink"/>
    <w:qFormat/>
    <w:uiPriority w:val="99"/>
    <w:rPr>
      <w:rFonts w:cs="Times New Roman"/>
      <w:color w:val="0000FF"/>
      <w:u w:val="single"/>
    </w:rPr>
  </w:style>
  <w:style w:type="character" w:customStyle="1" w:styleId="18">
    <w:name w:val="标题 1 Char"/>
    <w:link w:val="2"/>
    <w:qFormat/>
    <w:locked/>
    <w:uiPriority w:val="9"/>
    <w:rPr>
      <w:rFonts w:ascii="Times New Roman" w:hAnsi="Times New Roman" w:cs="Times New Roman"/>
      <w:b/>
      <w:bCs/>
      <w:kern w:val="44"/>
      <w:sz w:val="44"/>
      <w:szCs w:val="44"/>
    </w:rPr>
  </w:style>
  <w:style w:type="character" w:customStyle="1" w:styleId="19">
    <w:name w:val="标题 2 Char"/>
    <w:link w:val="3"/>
    <w:qFormat/>
    <w:locked/>
    <w:uiPriority w:val="9"/>
    <w:rPr>
      <w:rFonts w:ascii="Cambria" w:hAnsi="Cambria" w:eastAsia="宋体" w:cs="Times New Roman"/>
      <w:b/>
      <w:bCs/>
      <w:kern w:val="2"/>
      <w:sz w:val="32"/>
      <w:szCs w:val="32"/>
    </w:rPr>
  </w:style>
  <w:style w:type="character" w:customStyle="1" w:styleId="20">
    <w:name w:val="标题 3 Char"/>
    <w:link w:val="4"/>
    <w:qFormat/>
    <w:locked/>
    <w:uiPriority w:val="99"/>
    <w:rPr>
      <w:rFonts w:ascii="Times New Roman" w:hAnsi="Times New Roman" w:cs="Times New Roman"/>
      <w:b/>
      <w:bCs/>
      <w:kern w:val="2"/>
      <w:sz w:val="32"/>
      <w:szCs w:val="32"/>
    </w:rPr>
  </w:style>
  <w:style w:type="character" w:customStyle="1" w:styleId="21">
    <w:name w:val="Body Text Char"/>
    <w:semiHidden/>
    <w:qFormat/>
    <w:uiPriority w:val="99"/>
    <w:rPr>
      <w:rFonts w:ascii="Times New Roman" w:hAnsi="Times New Roman" w:cs="Times New Roman"/>
      <w:sz w:val="24"/>
      <w:szCs w:val="24"/>
    </w:rPr>
  </w:style>
  <w:style w:type="character" w:customStyle="1" w:styleId="22">
    <w:name w:val="Footer Char"/>
    <w:semiHidden/>
    <w:qFormat/>
    <w:uiPriority w:val="99"/>
    <w:rPr>
      <w:rFonts w:ascii="Times New Roman" w:hAnsi="Times New Roman" w:cs="Times New Roman"/>
      <w:sz w:val="18"/>
      <w:szCs w:val="18"/>
    </w:rPr>
  </w:style>
  <w:style w:type="character" w:customStyle="1" w:styleId="23">
    <w:name w:val="Header Char"/>
    <w:semiHidden/>
    <w:qFormat/>
    <w:uiPriority w:val="99"/>
    <w:rPr>
      <w:rFonts w:ascii="Times New Roman" w:hAnsi="Times New Roman" w:cs="Times New Roman"/>
      <w:sz w:val="18"/>
      <w:szCs w:val="18"/>
    </w:rPr>
  </w:style>
  <w:style w:type="character" w:customStyle="1" w:styleId="24">
    <w:name w:val="页眉 Char"/>
    <w:link w:val="10"/>
    <w:semiHidden/>
    <w:qFormat/>
    <w:locked/>
    <w:uiPriority w:val="99"/>
    <w:rPr>
      <w:sz w:val="18"/>
    </w:rPr>
  </w:style>
  <w:style w:type="character" w:customStyle="1" w:styleId="25">
    <w:name w:val="页脚 Char"/>
    <w:link w:val="9"/>
    <w:qFormat/>
    <w:locked/>
    <w:uiPriority w:val="99"/>
    <w:rPr>
      <w:sz w:val="18"/>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0">
    <w:name w:val="批注框文本 Char"/>
    <w:link w:val="8"/>
    <w:semiHidden/>
    <w:qFormat/>
    <w:locked/>
    <w:uiPriority w:val="99"/>
    <w:rPr>
      <w:rFonts w:ascii="Times New Roman" w:hAnsi="Times New Roman" w:cs="Times New Roman"/>
      <w:kern w:val="2"/>
      <w:sz w:val="18"/>
      <w:szCs w:val="18"/>
    </w:rPr>
  </w:style>
  <w:style w:type="paragraph" w:customStyle="1" w:styleId="31">
    <w:name w:val="TOC 标题2"/>
    <w:basedOn w:val="2"/>
    <w:next w:val="1"/>
    <w:unhideWhenUsed/>
    <w:qFormat/>
    <w:uiPriority w:val="39"/>
    <w:pPr>
      <w:outlineLvl w:val="9"/>
    </w:pPr>
  </w:style>
  <w:style w:type="character" w:customStyle="1" w:styleId="32">
    <w:name w:val="纯文本 Char"/>
    <w:basedOn w:val="15"/>
    <w:link w:val="7"/>
    <w:qFormat/>
    <w:uiPriority w:val="0"/>
    <w:rPr>
      <w:rFonts w:ascii="宋体" w:hAnsi="Courier New"/>
      <w:kern w:val="2"/>
      <w:sz w:val="21"/>
      <w:szCs w:val="21"/>
    </w:rPr>
  </w:style>
  <w:style w:type="character" w:customStyle="1" w:styleId="33">
    <w:name w:val="font31"/>
    <w:basedOn w:val="15"/>
    <w:qFormat/>
    <w:uiPriority w:val="0"/>
    <w:rPr>
      <w:rFonts w:hint="default" w:ascii="Times New Roman" w:hAnsi="Times New Roman" w:cs="Times New Roman"/>
      <w:color w:val="000000"/>
      <w:sz w:val="24"/>
      <w:szCs w:val="24"/>
      <w:u w:val="none"/>
    </w:rPr>
  </w:style>
  <w:style w:type="character" w:customStyle="1" w:styleId="34">
    <w:name w:val="font1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D9FA5-70A7-4ACE-AD3E-28AA9183FCD4}">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872</Words>
  <Characters>912</Characters>
  <Lines>63</Lines>
  <Paragraphs>17</Paragraphs>
  <TotalTime>42</TotalTime>
  <ScaleCrop>false</ScaleCrop>
  <LinksUpToDate>false</LinksUpToDate>
  <CharactersWithSpaces>951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张露</cp:lastModifiedBy>
  <cp:lastPrinted>2022-10-26T09:36:00Z</cp:lastPrinted>
  <dcterms:modified xsi:type="dcterms:W3CDTF">2026-07-28T03:21:36Z</dcterms:modified>
  <dc:title>四川省***</dc:title>
  <cp:revision>515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7D120ABC080A4C5789E26142007FC86E</vt:lpwstr>
  </property>
  <property fmtid="{D5CDD505-2E9C-101B-9397-08002B2CF9AE}" pid="4" name="KSOTemplateDocerSaveRecord">
    <vt:lpwstr>eyJoZGlkIjoiZmRjYWZhOTQyZTJlOTljNDY1MjM2NjNlZDYwYmZkN2QiLCJ1c2VySWQiOiI4ODI1MDY3ODAifQ==</vt:lpwstr>
  </property>
</Properties>
</file>