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8B4F8">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9"/>
        <w:rPr>
          <w:rFonts w:hint="default" w:ascii="Times New Roman" w:hAnsi="Times New Roman" w:eastAsia="方正小标宋简体" w:cs="Times New Roman"/>
          <w:b w:val="0"/>
          <w:bCs w:val="0"/>
          <w:sz w:val="52"/>
          <w:szCs w:val="52"/>
        </w:rPr>
      </w:pPr>
      <w:bookmarkStart w:id="0" w:name="_Toc15306267"/>
      <w:bookmarkStart w:id="1" w:name="_Toc15377426"/>
      <w:bookmarkStart w:id="2" w:name="_Toc15396598"/>
      <w:bookmarkStart w:id="3" w:name="_Toc15396476"/>
      <w:bookmarkStart w:id="4" w:name="_Toc15377194"/>
      <w:bookmarkStart w:id="5" w:name="_Toc15378442"/>
    </w:p>
    <w:p w14:paraId="387DED81">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9"/>
        <w:rPr>
          <w:rFonts w:hint="default" w:ascii="Times New Roman" w:hAnsi="Times New Roman" w:eastAsia="方正小标宋简体" w:cs="Times New Roman"/>
          <w:b w:val="0"/>
          <w:bCs w:val="0"/>
          <w:sz w:val="52"/>
          <w:szCs w:val="52"/>
        </w:rPr>
      </w:pPr>
    </w:p>
    <w:p w14:paraId="515D79CC">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9"/>
        <w:rPr>
          <w:rFonts w:hint="default" w:ascii="Times New Roman" w:hAnsi="Times New Roman" w:eastAsia="方正小标宋简体" w:cs="Times New Roman"/>
          <w:b w:val="0"/>
          <w:bCs w:val="0"/>
          <w:sz w:val="52"/>
          <w:szCs w:val="52"/>
        </w:rPr>
      </w:pPr>
    </w:p>
    <w:p w14:paraId="527B118F">
      <w:pPr>
        <w:keepNext w:val="0"/>
        <w:keepLines w:val="0"/>
        <w:pageBreakBefore w:val="0"/>
        <w:widowControl w:val="0"/>
        <w:kinsoku/>
        <w:wordWrap/>
        <w:overflowPunct/>
        <w:topLinePunct w:val="0"/>
        <w:autoSpaceDE/>
        <w:autoSpaceDN/>
        <w:bidi w:val="0"/>
        <w:adjustRightInd w:val="0"/>
        <w:snapToGrid w:val="0"/>
        <w:spacing w:line="720" w:lineRule="auto"/>
        <w:jc w:val="center"/>
        <w:textAlignment w:val="auto"/>
        <w:outlineLvl w:val="0"/>
        <w:rPr>
          <w:rFonts w:hint="default" w:ascii="Times New Roman" w:hAnsi="Times New Roman" w:eastAsia="方正小标宋简体" w:cs="Times New Roman"/>
          <w:b w:val="0"/>
          <w:bCs w:val="0"/>
          <w:sz w:val="52"/>
          <w:szCs w:val="52"/>
          <w:lang w:val="en-US" w:eastAsia="zh-CN"/>
        </w:rPr>
      </w:pPr>
      <w:bookmarkStart w:id="6" w:name="_Toc4897"/>
      <w:r>
        <w:rPr>
          <w:rFonts w:hint="default" w:ascii="Times New Roman" w:hAnsi="Times New Roman" w:eastAsia="方正小标宋简体" w:cs="Times New Roman"/>
          <w:b w:val="0"/>
          <w:bCs w:val="0"/>
          <w:sz w:val="52"/>
          <w:szCs w:val="52"/>
        </w:rPr>
        <w:t>盐边县</w:t>
      </w:r>
      <w:bookmarkEnd w:id="0"/>
      <w:bookmarkStart w:id="7" w:name="_Toc15306268"/>
      <w:r>
        <w:rPr>
          <w:rFonts w:hint="default" w:ascii="Times New Roman" w:hAnsi="Times New Roman" w:eastAsia="方正小标宋简体" w:cs="Times New Roman"/>
          <w:b w:val="0"/>
          <w:bCs w:val="0"/>
          <w:sz w:val="52"/>
          <w:szCs w:val="52"/>
          <w:lang w:val="en-US" w:eastAsia="zh-CN"/>
        </w:rPr>
        <w:t>人民政府办公室</w:t>
      </w:r>
      <w:bookmarkEnd w:id="6"/>
    </w:p>
    <w:p w14:paraId="1AAC869E">
      <w:pPr>
        <w:keepNext w:val="0"/>
        <w:keepLines w:val="0"/>
        <w:pageBreakBefore w:val="0"/>
        <w:widowControl w:val="0"/>
        <w:kinsoku/>
        <w:wordWrap/>
        <w:overflowPunct/>
        <w:topLinePunct w:val="0"/>
        <w:autoSpaceDE/>
        <w:autoSpaceDN/>
        <w:bidi w:val="0"/>
        <w:adjustRightInd w:val="0"/>
        <w:snapToGrid w:val="0"/>
        <w:spacing w:line="720" w:lineRule="auto"/>
        <w:jc w:val="center"/>
        <w:textAlignment w:val="auto"/>
        <w:outlineLvl w:val="0"/>
        <w:rPr>
          <w:rFonts w:hint="default" w:ascii="Times New Roman" w:hAnsi="Times New Roman" w:eastAsia="方正小标宋简体" w:cs="Times New Roman"/>
          <w:b w:val="0"/>
          <w:bCs w:val="0"/>
          <w:sz w:val="52"/>
          <w:szCs w:val="52"/>
        </w:rPr>
      </w:pPr>
      <w:bookmarkStart w:id="8" w:name="_Toc13949"/>
      <w:r>
        <w:rPr>
          <w:rFonts w:hint="default" w:ascii="Times New Roman" w:hAnsi="Times New Roman" w:eastAsia="方正小标宋简体" w:cs="Times New Roman"/>
          <w:b w:val="0"/>
          <w:bCs w:val="0"/>
          <w:sz w:val="52"/>
          <w:szCs w:val="52"/>
        </w:rPr>
        <w:t>2021年度</w:t>
      </w:r>
      <w:bookmarkEnd w:id="8"/>
    </w:p>
    <w:p w14:paraId="393A148B">
      <w:pPr>
        <w:keepNext w:val="0"/>
        <w:keepLines w:val="0"/>
        <w:pageBreakBefore w:val="0"/>
        <w:widowControl w:val="0"/>
        <w:kinsoku/>
        <w:wordWrap/>
        <w:overflowPunct/>
        <w:topLinePunct w:val="0"/>
        <w:autoSpaceDE/>
        <w:autoSpaceDN/>
        <w:bidi w:val="0"/>
        <w:adjustRightInd w:val="0"/>
        <w:snapToGrid w:val="0"/>
        <w:spacing w:line="720" w:lineRule="auto"/>
        <w:jc w:val="center"/>
        <w:textAlignment w:val="auto"/>
        <w:outlineLvl w:val="0"/>
        <w:rPr>
          <w:rFonts w:hint="default" w:ascii="Times New Roman" w:hAnsi="Times New Roman" w:eastAsia="方正小标宋简体" w:cs="Times New Roman"/>
          <w:b w:val="0"/>
          <w:bCs w:val="0"/>
          <w:sz w:val="52"/>
          <w:szCs w:val="52"/>
          <w:lang w:val="en-US" w:eastAsia="zh-CN"/>
        </w:rPr>
      </w:pPr>
      <w:bookmarkStart w:id="9" w:name="_Toc2463"/>
      <w:r>
        <w:rPr>
          <w:rFonts w:hint="default" w:ascii="Times New Roman" w:hAnsi="Times New Roman" w:eastAsia="方正小标宋简体" w:cs="Times New Roman"/>
          <w:b w:val="0"/>
          <w:bCs w:val="0"/>
          <w:sz w:val="52"/>
          <w:szCs w:val="52"/>
        </w:rPr>
        <w:t>部门决算</w:t>
      </w:r>
      <w:bookmarkEnd w:id="1"/>
      <w:bookmarkEnd w:id="2"/>
      <w:bookmarkEnd w:id="3"/>
      <w:bookmarkEnd w:id="4"/>
      <w:bookmarkEnd w:id="5"/>
      <w:bookmarkEnd w:id="7"/>
      <w:r>
        <w:rPr>
          <w:rFonts w:hint="default" w:ascii="Times New Roman" w:hAnsi="Times New Roman" w:eastAsia="方正小标宋简体" w:cs="Times New Roman"/>
          <w:b w:val="0"/>
          <w:bCs w:val="0"/>
          <w:sz w:val="52"/>
          <w:szCs w:val="52"/>
          <w:lang w:val="en-US" w:eastAsia="zh-CN"/>
        </w:rPr>
        <w:t>报告</w:t>
      </w:r>
      <w:bookmarkEnd w:id="9"/>
    </w:p>
    <w:p w14:paraId="46093690">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outlineLvl w:val="9"/>
        <w:rPr>
          <w:rFonts w:hint="default" w:ascii="Times New Roman" w:hAnsi="Times New Roman" w:eastAsia="方正小标宋简体" w:cs="Times New Roman"/>
          <w:sz w:val="44"/>
          <w:szCs w:val="44"/>
        </w:rPr>
      </w:pPr>
    </w:p>
    <w:p w14:paraId="0D4AA2E7">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outlineLvl w:val="9"/>
        <w:rPr>
          <w:rFonts w:hint="default" w:ascii="Times New Roman" w:hAnsi="Times New Roman" w:eastAsia="方正小标宋简体" w:cs="Times New Roman"/>
          <w:sz w:val="44"/>
          <w:szCs w:val="44"/>
        </w:rPr>
      </w:pPr>
    </w:p>
    <w:p w14:paraId="7FFDF323">
      <w:pPr>
        <w:keepNext w:val="0"/>
        <w:keepLines w:val="0"/>
        <w:pageBreakBefore w:val="0"/>
        <w:widowControl w:val="0"/>
        <w:kinsoku/>
        <w:wordWrap/>
        <w:overflowPunct/>
        <w:topLinePunct w:val="0"/>
        <w:autoSpaceDE/>
        <w:autoSpaceDN/>
        <w:bidi w:val="0"/>
        <w:adjustRightInd w:val="0"/>
        <w:snapToGrid w:val="0"/>
        <w:spacing w:line="640" w:lineRule="exact"/>
        <w:jc w:val="both"/>
        <w:textAlignment w:val="auto"/>
        <w:outlineLvl w:val="9"/>
        <w:rPr>
          <w:rFonts w:hint="default" w:ascii="Times New Roman" w:hAnsi="Times New Roman" w:eastAsia="方正小标宋简体" w:cs="Times New Roman"/>
          <w:sz w:val="44"/>
          <w:szCs w:val="44"/>
        </w:rPr>
      </w:pPr>
    </w:p>
    <w:p w14:paraId="36AAC955">
      <w:pPr>
        <w:pStyle w:val="4"/>
        <w:keepNext/>
        <w:keepLines/>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bookmarkStart w:id="10" w:name="_Toc3080"/>
      <w:r>
        <w:rPr>
          <w:rFonts w:hint="default" w:ascii="Times New Roman" w:hAnsi="Times New Roman" w:eastAsia="方正小标宋简体" w:cs="Times New Roman"/>
          <w:b w:val="0"/>
          <w:bCs w:val="0"/>
          <w:sz w:val="44"/>
          <w:szCs w:val="44"/>
          <w:lang w:val="en-US" w:eastAsia="zh-CN"/>
        </w:rPr>
        <w:t>目录</w:t>
      </w:r>
      <w:bookmarkEnd w:id="10"/>
    </w:p>
    <w:p w14:paraId="728AA93F">
      <w:pPr>
        <w:pStyle w:val="13"/>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公开时间：2022年10月20日</w:t>
      </w:r>
    </w:p>
    <w:sdt>
      <w:sdtPr>
        <w:rPr>
          <w:rFonts w:ascii="宋体" w:hAnsi="宋体" w:eastAsia="宋体" w:cs="Times New Roman"/>
          <w:kern w:val="2"/>
          <w:sz w:val="21"/>
          <w:szCs w:val="24"/>
          <w:lang w:val="en-US" w:eastAsia="zh-CN" w:bidi="ar-SA"/>
        </w:rPr>
        <w:id w:val="147455980"/>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49746BF0">
          <w:pPr>
            <w:spacing w:before="0" w:beforeLines="0" w:after="0" w:afterLines="0" w:line="240" w:lineRule="auto"/>
            <w:ind w:left="0" w:leftChars="0" w:right="0" w:rightChars="0" w:firstLine="0" w:firstLineChars="0"/>
            <w:jc w:val="center"/>
          </w:pPr>
          <w:r>
            <w:fldChar w:fldCharType="begin"/>
          </w:r>
          <w:r>
            <w:instrText xml:space="preserve">TOC \o "1-2" \h \u </w:instrText>
          </w:r>
          <w:r>
            <w:fldChar w:fldCharType="separate"/>
          </w:r>
        </w:p>
        <w:p w14:paraId="3280FC58">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_Toc14099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第一部分 部门概况</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_Toc14099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- 3 -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26CE7C4B">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_Toc28175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rPr>
            <w:t>一、</w:t>
          </w:r>
          <w:r>
            <w:rPr>
              <w:rFonts w:hint="default" w:ascii="Times New Roman" w:hAnsi="Times New Roman" w:eastAsia="仿宋_GB2312" w:cs="Times New Roman"/>
              <w:sz w:val="30"/>
              <w:szCs w:val="30"/>
            </w:rPr>
            <w:t>基</w:t>
          </w:r>
          <w:r>
            <w:rPr>
              <w:rFonts w:hint="default" w:ascii="Times New Roman" w:hAnsi="Times New Roman" w:eastAsia="仿宋_GB2312" w:cs="Times New Roman"/>
              <w:bCs w:val="0"/>
              <w:sz w:val="30"/>
              <w:szCs w:val="30"/>
            </w:rPr>
            <w:t>本职能及主要工作</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_Toc28175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- 3 -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125A211C">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_Toc10253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lang w:val="en-US" w:eastAsia="zh-CN"/>
            </w:rPr>
            <w:t>二、机构设置</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_Toc10253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- 7 -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39E3E27">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_Toc9992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第二部分 2021年度部门决算情况说明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_Toc9992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- 8 -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018A8CB5">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_Toc21093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一、</w:t>
          </w:r>
          <w:r>
            <w:rPr>
              <w:rFonts w:hint="default" w:ascii="Times New Roman" w:hAnsi="Times New Roman" w:eastAsia="仿宋_GB2312" w:cs="Times New Roman"/>
              <w:bCs w:val="0"/>
              <w:sz w:val="30"/>
              <w:szCs w:val="30"/>
            </w:rPr>
            <w:t>收入支出决算总体情况说明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_Toc21093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- 8 -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503BC82C">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_Toc25008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二、</w:t>
          </w:r>
          <w:r>
            <w:rPr>
              <w:rFonts w:hint="default" w:ascii="Times New Roman" w:hAnsi="Times New Roman" w:eastAsia="仿宋_GB2312" w:cs="Times New Roman"/>
              <w:bCs w:val="0"/>
              <w:sz w:val="30"/>
              <w:szCs w:val="30"/>
            </w:rPr>
            <w:t>收入决算情况说明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_Toc25008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- 9 -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0D61F02E">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_Toc3133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三、支出决算情况说明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_Toc3133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- 9 -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14D92D58">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_Toc10525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四、财政拨款收入支出决算总体情况说明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_Toc10525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- 10 -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AA0C61D">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_Toc13299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五、一般公共预算财政拨款支出决算情况说明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_Toc13299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- 11 -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6DDAD36A">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_Toc21085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六、一般公共预算财政拨款基本支出决算情况说明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_Toc21085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- 13 -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2888688A">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_Toc23570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七、“三公”经费财政拨款支出决算情况说明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_Toc23570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- 14 -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487AD68">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_Toc32588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八、政府性基金预算支出决算情况说明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_Toc32588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- 15 -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E17E7A4">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_Toc18176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九、国有资本经营预算支出决算情况说明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_Toc18176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- 15 -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6D2A99CF">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_Toc17517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十、其他重要事项的情况说明</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_Toc17517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- 15 -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051870C9">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_Toc21626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第三部分 名词解释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_Toc21626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- 17 -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607BD386">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_Toc14722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第四部分 附件</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_Toc14722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- 20 -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487BFE00">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bCs w:val="0"/>
              <w:sz w:val="30"/>
              <w:szCs w:val="30"/>
              <w:lang w:val="en-US" w:eastAsia="zh-CN"/>
            </w:rPr>
            <w:t>盐边县人民政府办公室</w:t>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_Toc27117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2021年部门整体绩效评价报告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_Toc27117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- 20 -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CFDE93B">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bCs w:val="0"/>
              <w:sz w:val="30"/>
              <w:szCs w:val="30"/>
              <w:lang w:val="en-US" w:eastAsia="zh-CN"/>
            </w:rPr>
            <w:t>盐边县人民政府办公室</w:t>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_Toc23429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2021年</w:t>
          </w:r>
          <w:r>
            <w:rPr>
              <w:rFonts w:hint="default" w:ascii="Times New Roman" w:hAnsi="Times New Roman" w:eastAsia="仿宋_GB2312" w:cs="Times New Roman"/>
              <w:bCs w:val="0"/>
              <w:sz w:val="30"/>
              <w:szCs w:val="30"/>
              <w:lang w:val="zh-CN" w:eastAsia="zh-CN"/>
            </w:rPr>
            <w:t>专项预算项目支出绩效自评报告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_Toc23429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- 28 -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ACCECDC">
          <w:pPr>
            <w:pStyle w:val="38"/>
            <w:keepNext w:val="0"/>
            <w:keepLines w:val="0"/>
            <w:pageBreakBefore w:val="0"/>
            <w:widowControl/>
            <w:tabs>
              <w:tab w:val="right" w:leader="dot" w:pos="884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_Toc26526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bCs w:val="0"/>
              <w:sz w:val="30"/>
              <w:szCs w:val="30"/>
              <w:lang w:val="en-US" w:eastAsia="zh-CN"/>
            </w:rPr>
            <w:t>第五部分 附表</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_Toc26526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- 40 -</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02DD4D55">
          <w:r>
            <w:rPr>
              <w:b/>
            </w:rPr>
            <w:fldChar w:fldCharType="end"/>
          </w:r>
        </w:p>
      </w:sdtContent>
    </w:sdt>
    <w:p w14:paraId="26ACC133">
      <w:pPr>
        <w:rPr>
          <w:rFonts w:hint="default" w:ascii="Times New Roman" w:hAnsi="Times New Roman" w:eastAsia="方正小标宋简体" w:cs="Times New Roman"/>
          <w:b w:val="0"/>
          <w:bCs w:val="0"/>
          <w:sz w:val="44"/>
          <w:szCs w:val="44"/>
          <w:lang w:val="en-US" w:eastAsia="zh-CN"/>
        </w:rPr>
      </w:pPr>
      <w:bookmarkStart w:id="11" w:name="_Toc14099"/>
      <w:r>
        <w:rPr>
          <w:rFonts w:hint="default" w:ascii="Times New Roman" w:hAnsi="Times New Roman" w:eastAsia="方正小标宋简体" w:cs="Times New Roman"/>
          <w:b w:val="0"/>
          <w:bCs w:val="0"/>
          <w:sz w:val="44"/>
          <w:szCs w:val="44"/>
          <w:lang w:val="en-US" w:eastAsia="zh-CN"/>
        </w:rPr>
        <w:br w:type="page"/>
      </w:r>
    </w:p>
    <w:p w14:paraId="7320602C">
      <w:pPr>
        <w:pStyle w:val="4"/>
        <w:keepNext/>
        <w:keepLines/>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第一部分 部门概况</w:t>
      </w:r>
      <w:bookmarkEnd w:id="11"/>
    </w:p>
    <w:p w14:paraId="1FBFDE0D">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2" w:name="_Toc15396600"/>
      <w:bookmarkStart w:id="13" w:name="_Toc28175"/>
      <w:bookmarkStart w:id="14" w:name="_Toc15377197"/>
      <w:r>
        <w:rPr>
          <w:rFonts w:hint="default" w:ascii="Times New Roman" w:hAnsi="Times New Roman" w:eastAsia="黑体" w:cs="Times New Roman"/>
          <w:b w:val="0"/>
        </w:rPr>
        <w:t>基</w:t>
      </w:r>
      <w:r>
        <w:rPr>
          <w:rStyle w:val="29"/>
          <w:rFonts w:hint="default" w:ascii="Times New Roman" w:hAnsi="Times New Roman" w:eastAsia="黑体" w:cs="Times New Roman"/>
          <w:b w:val="0"/>
          <w:bCs w:val="0"/>
        </w:rPr>
        <w:t>本职能及主要工作</w:t>
      </w:r>
      <w:bookmarkEnd w:id="12"/>
      <w:bookmarkEnd w:id="13"/>
      <w:bookmarkEnd w:id="14"/>
      <w:bookmarkStart w:id="15" w:name="_Toc15378445"/>
      <w:bookmarkStart w:id="16" w:name="_Toc15377198"/>
    </w:p>
    <w:p w14:paraId="38FC2D9C">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（一）主要职能。</w:t>
      </w:r>
      <w:bookmarkEnd w:id="15"/>
      <w:bookmarkEnd w:id="16"/>
    </w:p>
    <w:p w14:paraId="61A8519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共盐边县委机构编制委员会《关于印发盐边县人民政府办公室主要职责内设机构和人员编制规定的通知》（盐边编发〔2012〕5号）规定，县政府办公室是协助县政府领导同志处理县政府日常工作的机构，职能职责如下：</w:t>
      </w:r>
    </w:p>
    <w:p w14:paraId="2FE870A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协助县政府领导同志组织起草或审核以县政府、县政府办公室名义发布的公文。办理省政府、省政府办公厅及省级部门和市政府、市政府办公室及市级部门发送县政府的文电。指导全县行政机关公文处理工作。</w:t>
      </w:r>
    </w:p>
    <w:p w14:paraId="440459A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rPr>
        <w:t>研究县政府部门和乡（镇）人民政府、县政府派出机构请示县政府的事项，提出审核意见，报县政府领导同志审批。</w:t>
      </w:r>
    </w:p>
    <w:p w14:paraId="7251F62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负责县政府会议的准备工作，协助县政府领导同志组织实施会议决定事项。</w:t>
      </w:r>
    </w:p>
    <w:p w14:paraId="1054687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rPr>
        <w:t>督促检查县政府部门和乡（镇）人民政府、县政府派出机构对县政府决定事项及县政府领导同志指示的贯彻落实情况，及时向县政府领导同志报告。</w:t>
      </w:r>
    </w:p>
    <w:p w14:paraId="08356B0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根据县政府领导同志的指示，对县政府部门间争议问题提出处理意见和建议，报县政府领导同志决定。</w:t>
      </w:r>
    </w:p>
    <w:p w14:paraId="130A75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负责县政府值班工作，指导县政府部门和乡（镇）人民政府、县政府派出机构值班工作，及时报告重要情况。</w:t>
      </w:r>
    </w:p>
    <w:p w14:paraId="08D17EB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7.</w:t>
      </w:r>
      <w:r>
        <w:rPr>
          <w:rFonts w:hint="default" w:ascii="Times New Roman" w:hAnsi="Times New Roman" w:eastAsia="仿宋_GB2312" w:cs="Times New Roman"/>
          <w:sz w:val="32"/>
          <w:szCs w:val="32"/>
        </w:rPr>
        <w:t>指导、监督全县政府信息公开工作，指导、监督全县政府系统电子政务工作和政府网站建设。</w:t>
      </w:r>
    </w:p>
    <w:p w14:paraId="6BBEB9E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8.</w:t>
      </w:r>
      <w:r>
        <w:rPr>
          <w:rFonts w:hint="default" w:ascii="Times New Roman" w:hAnsi="Times New Roman" w:eastAsia="仿宋_GB2312" w:cs="Times New Roman"/>
          <w:sz w:val="32"/>
          <w:szCs w:val="32"/>
        </w:rPr>
        <w:t>负责县政府部门和乡（镇）人民政府、县政府派出机构目标（绩效）管理工作，牵头负责全县民生工程工作的实施和推进，组织办理涉及县政府工作的人大代表议案、批评、建议和政协委员提案、建议案。</w:t>
      </w:r>
    </w:p>
    <w:p w14:paraId="028570D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9.</w:t>
      </w:r>
      <w:r>
        <w:rPr>
          <w:rFonts w:hint="default" w:ascii="Times New Roman" w:hAnsi="Times New Roman" w:eastAsia="仿宋_GB2312" w:cs="Times New Roman"/>
          <w:sz w:val="32"/>
          <w:szCs w:val="32"/>
        </w:rPr>
        <w:t>指导全县应急管理工作，协助县政府领导同志做好需由县政府组织处理的突发事件的应急处置工作，指导全县抗灾救灾工作。</w:t>
      </w:r>
    </w:p>
    <w:p w14:paraId="54B8F0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10.</w:t>
      </w:r>
      <w:r>
        <w:rPr>
          <w:rFonts w:hint="default" w:ascii="Times New Roman" w:hAnsi="Times New Roman" w:eastAsia="仿宋_GB2312" w:cs="Times New Roman"/>
          <w:sz w:val="32"/>
          <w:szCs w:val="32"/>
        </w:rPr>
        <w:t>围绕县政府中心工作和县政府领导同志的指示，组织专题调查研究，及时反映情况，提出政策性建议。</w:t>
      </w:r>
    </w:p>
    <w:p w14:paraId="077BE30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11.</w:t>
      </w:r>
      <w:r>
        <w:rPr>
          <w:rFonts w:hint="default" w:ascii="Times New Roman" w:hAnsi="Times New Roman" w:eastAsia="仿宋_GB2312" w:cs="Times New Roman"/>
          <w:sz w:val="32"/>
          <w:szCs w:val="32"/>
        </w:rPr>
        <w:t>统筹管理全县外事工作，归口管理全县因公出国（境）工作，负责全县涉外管理、相关礼宾接待、国际友好城市缔结和对外友协工作，办理其他相关涉外事务。</w:t>
      </w:r>
    </w:p>
    <w:p w14:paraId="6860915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12.</w:t>
      </w:r>
      <w:r>
        <w:rPr>
          <w:rFonts w:hint="default" w:ascii="Times New Roman" w:hAnsi="Times New Roman" w:eastAsia="仿宋_GB2312" w:cs="Times New Roman"/>
          <w:sz w:val="32"/>
          <w:szCs w:val="32"/>
        </w:rPr>
        <w:t>负责县政府法制工作，负责全县依法行政工作的组织协调和监督指导，负责县政府规范性文件的合法性审查和制定工作，依法开展行政执法监督工作，做好行政复议、行政应诉工作。</w:t>
      </w:r>
    </w:p>
    <w:p w14:paraId="7FE1ACD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13.</w:t>
      </w:r>
      <w:r>
        <w:rPr>
          <w:rFonts w:hint="default" w:ascii="Times New Roman" w:hAnsi="Times New Roman" w:eastAsia="仿宋_GB2312" w:cs="Times New Roman"/>
          <w:sz w:val="32"/>
          <w:szCs w:val="32"/>
        </w:rPr>
        <w:t>负责县政府驻外机构的管理工作。</w:t>
      </w:r>
    </w:p>
    <w:p w14:paraId="2EF752B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14.</w:t>
      </w:r>
      <w:r>
        <w:rPr>
          <w:rFonts w:hint="default" w:ascii="Times New Roman" w:hAnsi="Times New Roman" w:eastAsia="仿宋_GB2312" w:cs="Times New Roman"/>
          <w:sz w:val="32"/>
          <w:szCs w:val="32"/>
        </w:rPr>
        <w:t>承担县政府公布的有关行政审批事项。</w:t>
      </w:r>
    </w:p>
    <w:p w14:paraId="4C7A349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15.</w:t>
      </w:r>
      <w:r>
        <w:rPr>
          <w:rFonts w:hint="default" w:ascii="Times New Roman" w:hAnsi="Times New Roman" w:eastAsia="仿宋_GB2312" w:cs="Times New Roman"/>
          <w:sz w:val="32"/>
          <w:szCs w:val="32"/>
        </w:rPr>
        <w:t>负责全县机关效能建设工作。</w:t>
      </w:r>
    </w:p>
    <w:p w14:paraId="31A2805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16.</w:t>
      </w:r>
      <w:r>
        <w:rPr>
          <w:rFonts w:hint="default" w:ascii="Times New Roman" w:hAnsi="Times New Roman" w:eastAsia="仿宋_GB2312" w:cs="Times New Roman"/>
          <w:sz w:val="32"/>
          <w:szCs w:val="32"/>
        </w:rPr>
        <w:t>承办县政府和县政府领导同志交办的其他事项。</w:t>
      </w:r>
    </w:p>
    <w:p w14:paraId="63FCDB06">
      <w:pPr>
        <w:pStyle w:val="7"/>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hint="default" w:ascii="Times New Roman" w:hAnsi="Times New Roman" w:eastAsia="仿宋" w:cs="Times New Roman"/>
          <w:bCs/>
          <w:sz w:val="32"/>
          <w:szCs w:val="32"/>
        </w:rPr>
      </w:pPr>
    </w:p>
    <w:p w14:paraId="02CD08C9">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17" w:name="_Toc15378446"/>
      <w:bookmarkStart w:id="18" w:name="_Toc15377199"/>
      <w:r>
        <w:rPr>
          <w:rFonts w:hint="default" w:ascii="Times New Roman" w:hAnsi="Times New Roman" w:eastAsia="楷体_GB2312" w:cs="Times New Roman"/>
          <w:b w:val="0"/>
          <w:bCs w:val="0"/>
          <w:lang w:val="en-US" w:eastAsia="zh-CN"/>
        </w:rPr>
        <w:t>（二）2021年重点工作完成情况。</w:t>
      </w:r>
      <w:bookmarkEnd w:id="17"/>
      <w:bookmarkEnd w:id="18"/>
      <w:bookmarkStart w:id="19" w:name="_Toc15377200"/>
      <w:bookmarkStart w:id="20" w:name="_Toc15396601"/>
    </w:p>
    <w:p w14:paraId="392512FC">
      <w:pPr>
        <w:pStyle w:val="3"/>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bookmarkStart w:id="21" w:name="_Toc29689"/>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zh-CN" w:eastAsia="zh-CN"/>
        </w:rPr>
        <w:t>坚持理论武装不动摇，着力增强政治意识。</w:t>
      </w:r>
      <w:r>
        <w:rPr>
          <w:rFonts w:hint="default" w:ascii="Times New Roman" w:hAnsi="Times New Roman" w:eastAsia="仿宋_GB2312" w:cs="Times New Roman"/>
          <w:b w:val="0"/>
          <w:bCs w:val="0"/>
          <w:kern w:val="2"/>
          <w:sz w:val="32"/>
          <w:szCs w:val="32"/>
          <w:lang w:val="zh-CN" w:eastAsia="zh-CN" w:bidi="ar-SA"/>
        </w:rPr>
        <w:t>一年来，县政府办公室班子成员，</w:t>
      </w:r>
      <w:r>
        <w:rPr>
          <w:rFonts w:hint="default" w:ascii="Times New Roman" w:hAnsi="Times New Roman" w:eastAsia="仿宋_GB2312" w:cs="Times New Roman"/>
          <w:b w:val="0"/>
          <w:bCs w:val="0"/>
          <w:kern w:val="2"/>
          <w:sz w:val="32"/>
          <w:szCs w:val="32"/>
          <w:lang w:val="en-US" w:eastAsia="zh-CN" w:bidi="ar-SA"/>
        </w:rPr>
        <w:t>深入学习贯彻党的十九大和十九届四中、五中、六中全会精神，认真学习贯彻省委十一届七次八次全会、市委十届八次九次全会、县委十四届八次九次全会、县委党代会、县委读书班、县</w:t>
      </w:r>
      <w:r>
        <w:rPr>
          <w:rFonts w:hint="eastAsia" w:eastAsia="仿宋_GB2312" w:cs="Times New Roman"/>
          <w:b w:val="0"/>
          <w:bCs w:val="0"/>
          <w:kern w:val="2"/>
          <w:sz w:val="32"/>
          <w:szCs w:val="32"/>
          <w:lang w:val="en-US" w:eastAsia="zh-CN" w:bidi="ar-SA"/>
        </w:rPr>
        <w:t>两会精神</w:t>
      </w:r>
      <w:r>
        <w:rPr>
          <w:rFonts w:hint="default" w:ascii="Times New Roman" w:hAnsi="Times New Roman" w:eastAsia="仿宋_GB2312" w:cs="Times New Roman"/>
          <w:b w:val="0"/>
          <w:bCs w:val="0"/>
          <w:kern w:val="2"/>
          <w:sz w:val="32"/>
          <w:szCs w:val="32"/>
          <w:lang w:val="en-US" w:eastAsia="zh-CN" w:bidi="ar-SA"/>
        </w:rPr>
        <w:t>，切实提高政治判断力、政治领悟力、政治执行力。持续扎实开展“守纪律、提效能、强执行、做表率”活动，引导和带动全办党员干部锐意进取、埋头苦干、狠抓落实。树牢了“四个意识”、坚定了“四个自信”、增强了“四个定力”、践行了“两个维护”，站稳了政治脚跟。</w:t>
      </w:r>
      <w:bookmarkEnd w:id="21"/>
    </w:p>
    <w:p w14:paraId="321C90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0"/>
          <w:sz w:val="32"/>
          <w:szCs w:val="32"/>
          <w:lang w:val="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zh-CN" w:eastAsia="zh-CN"/>
        </w:rPr>
        <w:t>坚持中心工作不动摇，倾力完成各项任务。</w:t>
      </w:r>
      <w:r>
        <w:rPr>
          <w:rFonts w:hint="default" w:ascii="Times New Roman" w:hAnsi="Times New Roman" w:eastAsia="仿宋_GB2312" w:cs="Times New Roman"/>
          <w:sz w:val="32"/>
          <w:szCs w:val="32"/>
          <w:lang w:val="en-US" w:eastAsia="zh-CN"/>
        </w:rPr>
        <w:t>畅通相关信息渠道，及时做好上情下达、下情上传，让领导第一时间掌握各种重要情况，及时把总结分析部门工作与民情民意的相关情况信息报县政府研究处理，为政府科学决策施政提供有力支撑发挥参谋作用，提高政策文件的协同性、科学性。2021年共向省、市报送政务信息300余条，市级采用26条、省级采用7条，圆满完成目标考核任务；盐边县政府门户网站共计公开信息7242条，全程网办率、压缩办理时限比例分别达90%、70%以上，实现103个高频事项“最多跑一次”，公开回复县长信箱信件49件，在全省绩效评估中考核为优秀。</w:t>
      </w:r>
    </w:p>
    <w:p w14:paraId="229D67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zh-CN" w:eastAsia="zh-CN"/>
        </w:rPr>
        <w:t>坚持廉政建设不动摇，全力夯实作风纪律。</w:t>
      </w:r>
      <w:r>
        <w:rPr>
          <w:rFonts w:hint="default" w:ascii="Times New Roman" w:hAnsi="Times New Roman" w:eastAsia="仿宋_GB2312" w:cs="Times New Roman"/>
          <w:sz w:val="32"/>
          <w:szCs w:val="32"/>
          <w:lang w:val="en-US" w:eastAsia="zh-CN"/>
        </w:rPr>
        <w:t>坚持把党风廉政建设与“三办”“三服务”工作同部署、同落实、同检查、同考核，坚决做到两手抓、两手硬。层层落实党风廉政建设责任制，对照《2021党风廉政建设主体责任清单》与班子成员签订《党风廉政建设责任书》3份，班子成员分别与分管股室负责人签订责任书6份，定期或不定期与班子成员进行廉政谈话，针对个别班子成员思想不稳定、工作节奏慢、不注重生活细节等</w:t>
      </w:r>
      <w:r>
        <w:rPr>
          <w:rFonts w:hint="eastAsia" w:eastAsia="仿宋_GB2312" w:cs="Times New Roman"/>
          <w:sz w:val="32"/>
          <w:szCs w:val="32"/>
          <w:lang w:val="en-US" w:eastAsia="zh-CN"/>
        </w:rPr>
        <w:t>苗头性、倾向性问题</w:t>
      </w:r>
      <w:r>
        <w:rPr>
          <w:rFonts w:hint="default" w:ascii="Times New Roman" w:hAnsi="Times New Roman" w:eastAsia="仿宋_GB2312" w:cs="Times New Roman"/>
          <w:sz w:val="32"/>
          <w:szCs w:val="32"/>
          <w:lang w:val="en-US" w:eastAsia="zh-CN"/>
        </w:rPr>
        <w:t>及时批评教育和提醒纠正，不断增强党风廉政建设责任制意识。认真落实</w:t>
      </w:r>
      <w:r>
        <w:rPr>
          <w:rFonts w:hint="eastAsia" w:eastAsia="仿宋_GB2312" w:cs="Times New Roman"/>
          <w:sz w:val="32"/>
          <w:szCs w:val="32"/>
          <w:lang w:val="en-US" w:eastAsia="zh-CN"/>
        </w:rPr>
        <w:t>全面</w:t>
      </w:r>
      <w:r>
        <w:rPr>
          <w:rFonts w:hint="default" w:ascii="Times New Roman" w:hAnsi="Times New Roman" w:eastAsia="仿宋_GB2312" w:cs="Times New Roman"/>
          <w:sz w:val="32"/>
          <w:szCs w:val="32"/>
          <w:lang w:val="en-US" w:eastAsia="zh-CN"/>
        </w:rPr>
        <w:t>从严治党新要求，始终贯彻落实中央八项规定和省市县“十项规定”及其实施细则，严格控制公务接待、公车使用、公务出差、加班工作餐等费用标准。持续开展形式主义、官僚主义和不作为不担当问题专项治理，精心办文、改进文风，以县政府或县政府办公室名义印发规范性文件49件，均达到精文减会三分之一以上的要求。</w:t>
      </w:r>
    </w:p>
    <w:p w14:paraId="119A81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坚持党建引领不动摇，聚力提升决策能力。</w:t>
      </w:r>
      <w:r>
        <w:rPr>
          <w:rFonts w:hint="default" w:ascii="Times New Roman" w:hAnsi="Times New Roman" w:eastAsia="仿宋_GB2312" w:cs="Times New Roman"/>
          <w:sz w:val="32"/>
          <w:szCs w:val="32"/>
          <w:lang w:val="zh-CN" w:eastAsia="zh-CN"/>
        </w:rPr>
        <w:t>坚</w:t>
      </w:r>
      <w:r>
        <w:rPr>
          <w:rFonts w:hint="default" w:ascii="Times New Roman" w:hAnsi="Times New Roman" w:eastAsia="仿宋_GB2312" w:cs="Times New Roman"/>
          <w:sz w:val="32"/>
          <w:szCs w:val="32"/>
          <w:lang w:val="en-US" w:eastAsia="zh-CN"/>
        </w:rPr>
        <w:t>持每季度研究一次党建工作，认真落实</w:t>
      </w:r>
      <w:r>
        <w:rPr>
          <w:rFonts w:hint="eastAsia" w:eastAsia="仿宋_GB2312" w:cs="Times New Roman"/>
          <w:sz w:val="32"/>
          <w:szCs w:val="32"/>
          <w:lang w:val="en-US" w:eastAsia="zh-CN"/>
        </w:rPr>
        <w:t>“三会一课”</w:t>
      </w:r>
      <w:r>
        <w:rPr>
          <w:rFonts w:hint="default" w:ascii="Times New Roman" w:hAnsi="Times New Roman" w:eastAsia="仿宋_GB2312" w:cs="Times New Roman"/>
          <w:sz w:val="32"/>
          <w:szCs w:val="32"/>
          <w:lang w:val="en-US" w:eastAsia="zh-CN"/>
        </w:rPr>
        <w:t>、主题党日等党组织生活制度，严肃党内政治生活，坚决执行民主集中制，充分发扬党内民主，严格执行“三重一大”集体决策和主要领导末位表态发言制度，杜绝“一言堂”和领导个人说了算。</w:t>
      </w:r>
      <w:r>
        <w:rPr>
          <w:rFonts w:hint="default" w:ascii="Times New Roman" w:hAnsi="Times New Roman" w:eastAsia="仿宋_GB2312" w:cs="Times New Roman"/>
          <w:sz w:val="32"/>
          <w:szCs w:val="32"/>
        </w:rPr>
        <w:t>结合党史学习教育</w:t>
      </w:r>
      <w:r>
        <w:rPr>
          <w:rFonts w:hint="eastAsia" w:eastAsia="仿宋_GB2312" w:cs="Times New Roman"/>
          <w:sz w:val="32"/>
          <w:szCs w:val="32"/>
          <w:lang w:eastAsia="zh-CN"/>
        </w:rPr>
        <w:t>“我为群众办实事”实践活动</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协助</w:t>
      </w:r>
      <w:r>
        <w:rPr>
          <w:rFonts w:hint="default" w:ascii="Times New Roman" w:hAnsi="Times New Roman" w:eastAsia="仿宋_GB2312" w:cs="Times New Roman"/>
          <w:sz w:val="32"/>
          <w:szCs w:val="32"/>
        </w:rPr>
        <w:t>办理民生实事48件，</w:t>
      </w:r>
      <w:r>
        <w:rPr>
          <w:rFonts w:hint="default" w:ascii="Times New Roman" w:hAnsi="Times New Roman" w:eastAsia="仿宋_GB2312" w:cs="Times New Roman"/>
          <w:sz w:val="32"/>
          <w:szCs w:val="32"/>
          <w:lang w:eastAsia="zh-CN"/>
        </w:rPr>
        <w:t>协助县领导</w:t>
      </w:r>
      <w:r>
        <w:rPr>
          <w:rFonts w:hint="default" w:ascii="Times New Roman" w:hAnsi="Times New Roman" w:eastAsia="仿宋_GB2312" w:cs="Times New Roman"/>
          <w:sz w:val="32"/>
          <w:szCs w:val="32"/>
        </w:rPr>
        <w:t>深入基层开展专题调研24次，</w:t>
      </w:r>
      <w:r>
        <w:rPr>
          <w:rFonts w:hint="default" w:ascii="Times New Roman" w:hAnsi="Times New Roman" w:eastAsia="仿宋_GB2312" w:cs="Times New Roman"/>
          <w:sz w:val="32"/>
          <w:szCs w:val="32"/>
          <w:lang w:eastAsia="zh-CN"/>
        </w:rPr>
        <w:t>协助</w:t>
      </w:r>
      <w:r>
        <w:rPr>
          <w:rFonts w:hint="default" w:ascii="Times New Roman" w:hAnsi="Times New Roman" w:eastAsia="仿宋_GB2312" w:cs="Times New Roman"/>
          <w:sz w:val="32"/>
          <w:szCs w:val="32"/>
        </w:rPr>
        <w:t>撰写调研报告26篇。</w:t>
      </w:r>
      <w:r>
        <w:rPr>
          <w:rFonts w:hint="default" w:ascii="Times New Roman" w:hAnsi="Times New Roman" w:eastAsia="仿宋_GB2312" w:cs="Times New Roman"/>
          <w:sz w:val="32"/>
          <w:szCs w:val="32"/>
          <w:lang w:val="en-US" w:eastAsia="zh-CN"/>
        </w:rPr>
        <w:t>召开民主生活会1次，参加党员大会4次，班子成员以普通党员身份参加办公室党支部组织生活会4次；自觉接受党内外、人民群众等各方面广泛监督，县政府办公室党务、政务重要事项，均按规定进行了公示公开。</w:t>
      </w:r>
    </w:p>
    <w:p w14:paraId="1A6F4E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坚持服务大局不动摇，努力提高保障水平。</w:t>
      </w:r>
      <w:r>
        <w:rPr>
          <w:rFonts w:hint="default" w:ascii="Times New Roman" w:hAnsi="Times New Roman" w:eastAsia="仿宋_GB2312" w:cs="Times New Roman"/>
          <w:sz w:val="32"/>
          <w:szCs w:val="32"/>
          <w:lang w:val="en-US" w:eastAsia="zh-CN"/>
        </w:rPr>
        <w:t>切实抓好综合协调、政务接待、督促检查、后勤服务等工作，力争将领导交办和服务领导的每一件大事办成、小事办实、急事办妥、难事办好，以制度促效率，先后修订完善考勤、财务管理等制度，切实做到大事不误、小事不漏、办事周到。按照“督在关键处、查在实效上”的要求，把督查重点放在会议决定、领导批示和交办事项的全面落实上，及时分解下达目标任务，形成责任清单，严格销号管理，及时跟踪督办，确保政令畅通，2021年共督办落实县领导批示450件。加强完善县政府总值班室应急值守、会商研判、多方联动等制度，有效防范和处置疫情、火灾、交通事故等突发事件70余起，最大限度减轻和消除突发公共事件造成的社会危害和影响，彰显经济社会发展的服务保障能力。</w:t>
      </w:r>
    </w:p>
    <w:p w14:paraId="3609A815">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lang w:val="en-US" w:eastAsia="zh-CN"/>
        </w:rPr>
      </w:pPr>
      <w:bookmarkStart w:id="22" w:name="_Toc10253"/>
      <w:r>
        <w:rPr>
          <w:rFonts w:hint="default" w:ascii="Times New Roman" w:hAnsi="Times New Roman" w:eastAsia="黑体" w:cs="Times New Roman"/>
          <w:b w:val="0"/>
          <w:lang w:val="en-US" w:eastAsia="zh-CN"/>
        </w:rPr>
        <w:t>机构设置</w:t>
      </w:r>
      <w:bookmarkEnd w:id="19"/>
      <w:bookmarkEnd w:id="20"/>
      <w:bookmarkEnd w:id="22"/>
    </w:p>
    <w:p w14:paraId="706511C8">
      <w:pPr>
        <w:pStyle w:val="19"/>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 w:cs="Times New Roman"/>
          <w:kern w:val="0"/>
          <w:sz w:val="32"/>
          <w:szCs w:val="32"/>
        </w:rPr>
      </w:pPr>
      <w:r>
        <w:rPr>
          <w:rFonts w:hint="default" w:ascii="Times New Roman" w:hAnsi="Times New Roman" w:eastAsia="仿宋_GB2312" w:cs="Times New Roman"/>
          <w:snapToGrid w:val="0"/>
          <w:spacing w:val="-6"/>
          <w:kern w:val="34"/>
          <w:sz w:val="32"/>
          <w:szCs w:val="32"/>
          <w:lang w:val="en-US" w:eastAsia="zh-CN" w:bidi="ar-SA"/>
        </w:rPr>
        <w:t>县政府办公室为独立核算行政单位，内设</w:t>
      </w:r>
      <w:r>
        <w:rPr>
          <w:rFonts w:hint="default" w:ascii="Times New Roman" w:hAnsi="Times New Roman" w:eastAsia="仿宋_GB2312" w:cs="Times New Roman"/>
          <w:sz w:val="32"/>
          <w:szCs w:val="32"/>
          <w:shd w:val="clear" w:color="auto" w:fill="FFFFFF"/>
        </w:rPr>
        <w:t>行政股、综合一股、综合二股、文电股、政研股、信息股、总值班室7个股室</w:t>
      </w:r>
      <w:r>
        <w:rPr>
          <w:rFonts w:hint="default" w:ascii="Times New Roman" w:hAnsi="Times New Roman" w:eastAsia="仿宋_GB2312" w:cs="Times New Roman"/>
          <w:sz w:val="32"/>
          <w:szCs w:val="32"/>
        </w:rPr>
        <w:t>。</w:t>
      </w:r>
      <w:r>
        <w:rPr>
          <w:rFonts w:hint="default" w:ascii="Times New Roman" w:hAnsi="Times New Roman" w:eastAsia="仿宋_GB2312" w:cs="Times New Roman"/>
          <w:snapToGrid w:val="0"/>
          <w:spacing w:val="-6"/>
          <w:kern w:val="34"/>
          <w:sz w:val="32"/>
          <w:szCs w:val="32"/>
          <w:lang w:val="en-US" w:eastAsia="zh-CN" w:bidi="ar-SA"/>
        </w:rPr>
        <w:t>下属盐边县政府网站事务中心1个公益一类事业单位。</w:t>
      </w:r>
      <w:r>
        <w:rPr>
          <w:rFonts w:hint="default" w:ascii="Times New Roman" w:hAnsi="Times New Roman" w:eastAsia="仿宋" w:cs="Times New Roman"/>
          <w:sz w:val="32"/>
          <w:szCs w:val="32"/>
        </w:rPr>
        <w:br w:type="page"/>
      </w:r>
    </w:p>
    <w:p w14:paraId="07DF4AC4">
      <w:pPr>
        <w:pStyle w:val="4"/>
        <w:keepNext/>
        <w:keepLines/>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bookmarkStart w:id="23" w:name="_Toc15377204"/>
      <w:bookmarkStart w:id="24" w:name="_Toc15396602"/>
      <w:bookmarkStart w:id="25" w:name="_Toc9992"/>
      <w:r>
        <w:rPr>
          <w:rFonts w:hint="default" w:ascii="Times New Roman" w:hAnsi="Times New Roman" w:eastAsia="方正小标宋简体" w:cs="Times New Roman"/>
          <w:b w:val="0"/>
          <w:bCs w:val="0"/>
          <w:sz w:val="44"/>
          <w:szCs w:val="44"/>
          <w:lang w:val="en-US" w:eastAsia="zh-CN"/>
        </w:rPr>
        <w:t>第二部分 2021年度部门决算情况说明</w:t>
      </w:r>
      <w:bookmarkEnd w:id="23"/>
      <w:bookmarkEnd w:id="24"/>
      <w:bookmarkEnd w:id="25"/>
    </w:p>
    <w:p w14:paraId="549A56AD">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26" w:name="_Toc15377205"/>
      <w:bookmarkStart w:id="27" w:name="_Toc15396603"/>
      <w:bookmarkStart w:id="28" w:name="_Toc21093"/>
      <w:r>
        <w:rPr>
          <w:rStyle w:val="29"/>
          <w:rFonts w:hint="default" w:ascii="Times New Roman" w:hAnsi="Times New Roman" w:eastAsia="黑体" w:cs="Times New Roman"/>
          <w:b w:val="0"/>
          <w:bCs w:val="0"/>
          <w:lang w:val="en-US" w:eastAsia="zh-CN"/>
        </w:rPr>
        <w:t>一、</w:t>
      </w:r>
      <w:r>
        <w:rPr>
          <w:rStyle w:val="29"/>
          <w:rFonts w:hint="default" w:ascii="Times New Roman" w:hAnsi="Times New Roman" w:eastAsia="黑体" w:cs="Times New Roman"/>
          <w:b w:val="0"/>
          <w:bCs w:val="0"/>
        </w:rPr>
        <w:t>收入支出决算总体情况说明</w:t>
      </w:r>
      <w:bookmarkEnd w:id="26"/>
      <w:bookmarkEnd w:id="27"/>
      <w:bookmarkEnd w:id="28"/>
    </w:p>
    <w:p w14:paraId="21C230C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sz w:val="32"/>
          <w:szCs w:val="32"/>
          <w:lang w:val="en-US" w:eastAsia="zh-CN"/>
        </w:rPr>
        <w:t>2021年</w:t>
      </w:r>
      <w:r>
        <w:rPr>
          <w:rFonts w:hint="default" w:ascii="Times New Roman" w:hAnsi="Times New Roman" w:eastAsia="仿宋" w:cs="Times New Roman"/>
          <w:sz w:val="32"/>
          <w:szCs w:val="32"/>
        </w:rPr>
        <w:t>度</w:t>
      </w:r>
      <w:r>
        <w:rPr>
          <w:rFonts w:hint="default" w:ascii="Times New Roman" w:hAnsi="Times New Roman" w:eastAsia="仿宋_GB2312" w:cs="Times New Roman"/>
          <w:sz w:val="32"/>
          <w:szCs w:val="32"/>
        </w:rPr>
        <w:t>一般公共预算财政拨款收入预算总额为</w:t>
      </w:r>
      <w:r>
        <w:rPr>
          <w:rFonts w:hint="default" w:ascii="Times New Roman" w:hAnsi="Times New Roman" w:eastAsia="仿宋_GB2312" w:cs="Times New Roman"/>
          <w:sz w:val="32"/>
          <w:szCs w:val="32"/>
          <w:lang w:val="en-US" w:eastAsia="zh-CN"/>
        </w:rPr>
        <w:t>838.75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年初财政拨款结转和结余326.03万元，收入总计1164.78万元</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收入预算总额较</w:t>
      </w:r>
      <w:r>
        <w:rPr>
          <w:rFonts w:hint="default"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850.18</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strike w:val="0"/>
          <w:dstrike w:val="0"/>
          <w:color w:val="auto"/>
          <w:sz w:val="32"/>
          <w:szCs w:val="32"/>
          <w:lang w:val="en-US" w:eastAsia="zh-CN"/>
        </w:rPr>
        <w:t>增加</w:t>
      </w:r>
      <w:r>
        <w:rPr>
          <w:rFonts w:hint="default" w:ascii="Times New Roman" w:hAnsi="Times New Roman" w:eastAsia="仿宋_GB2312" w:cs="Times New Roman"/>
          <w:color w:val="auto"/>
          <w:sz w:val="32"/>
          <w:szCs w:val="32"/>
          <w:lang w:val="en-US" w:eastAsia="zh-CN"/>
        </w:rPr>
        <w:t>314.6</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其中</w:t>
      </w:r>
      <w:r>
        <w:rPr>
          <w:rFonts w:hint="default" w:ascii="Times New Roman" w:hAnsi="Times New Roman" w:eastAsia="仿宋_GB2312" w:cs="Times New Roman"/>
          <w:sz w:val="32"/>
          <w:szCs w:val="32"/>
          <w:lang w:val="en-US" w:eastAsia="zh-CN"/>
        </w:rPr>
        <w:t>年初财政拨款结转和结余增加326.03万元</w:t>
      </w:r>
      <w:r>
        <w:rPr>
          <w:rFonts w:hint="default" w:ascii="Times New Roman" w:hAnsi="Times New Roman" w:eastAsia="仿宋_GB2312" w:cs="Times New Roman"/>
          <w:color w:val="auto"/>
          <w:sz w:val="32"/>
          <w:szCs w:val="32"/>
          <w:lang w:eastAsia="zh-CN"/>
        </w:rPr>
        <w:t>；</w:t>
      </w:r>
    </w:p>
    <w:p w14:paraId="5FBDE100">
      <w:pPr>
        <w:keepNext w:val="0"/>
        <w:keepLines w:val="0"/>
        <w:pageBreakBefore w:val="0"/>
        <w:widowControl w:val="0"/>
        <w:pBdr>
          <w:bottom w:val="single" w:color="FFFFFF" w:sz="4" w:space="29"/>
        </w:pBdr>
        <w:kinsoku/>
        <w:wordWrap/>
        <w:overflowPunct/>
        <w:topLinePunct w:val="0"/>
        <w:autoSpaceDE/>
        <w:autoSpaceDN w:val="0"/>
        <w:bidi w:val="0"/>
        <w:adjustRightInd w:val="0"/>
        <w:snapToGrid w:val="0"/>
        <w:spacing w:line="560" w:lineRule="exact"/>
        <w:ind w:firstLine="640" w:firstLineChars="200"/>
        <w:textAlignment w:val="baseline"/>
        <w:rPr>
          <w:rFonts w:hint="default" w:ascii="Times New Roman" w:hAnsi="Times New Roman" w:cs="Times New Roman"/>
          <w:lang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年一般公共预算财政拨款支出预算总额为</w:t>
      </w:r>
      <w:r>
        <w:rPr>
          <w:rFonts w:hint="default" w:ascii="Times New Roman" w:hAnsi="Times New Roman" w:eastAsia="仿宋_GB2312" w:cs="Times New Roman"/>
          <w:color w:val="auto"/>
          <w:sz w:val="32"/>
          <w:szCs w:val="32"/>
          <w:lang w:val="en-US" w:eastAsia="zh-CN"/>
        </w:rPr>
        <w:t>1164.78</w:t>
      </w:r>
      <w:r>
        <w:rPr>
          <w:rFonts w:hint="default" w:ascii="Times New Roman" w:hAnsi="Times New Roman" w:eastAsia="仿宋_GB2312" w:cs="Times New Roman"/>
          <w:color w:val="auto"/>
          <w:sz w:val="32"/>
          <w:szCs w:val="32"/>
        </w:rPr>
        <w:t>万元，其中：一般公共服务支出</w:t>
      </w:r>
      <w:r>
        <w:rPr>
          <w:rFonts w:hint="default" w:ascii="Times New Roman" w:hAnsi="Times New Roman" w:eastAsia="仿宋_GB2312" w:cs="Times New Roman"/>
          <w:color w:val="auto"/>
          <w:sz w:val="32"/>
          <w:szCs w:val="32"/>
          <w:lang w:val="en-US" w:eastAsia="zh-CN"/>
        </w:rPr>
        <w:t>949.97</w:t>
      </w:r>
      <w:r>
        <w:rPr>
          <w:rFonts w:hint="default" w:ascii="Times New Roman" w:hAnsi="Times New Roman" w:eastAsia="仿宋_GB2312" w:cs="Times New Roman"/>
          <w:color w:val="auto"/>
          <w:sz w:val="32"/>
          <w:szCs w:val="32"/>
        </w:rPr>
        <w:t>万元，社会保障和就业</w:t>
      </w:r>
      <w:r>
        <w:rPr>
          <w:rFonts w:hint="default" w:ascii="Times New Roman" w:hAnsi="Times New Roman" w:eastAsia="仿宋_GB2312" w:cs="Times New Roman"/>
          <w:color w:val="auto"/>
          <w:sz w:val="32"/>
          <w:szCs w:val="32"/>
          <w:lang w:val="en-US" w:eastAsia="zh-CN"/>
        </w:rPr>
        <w:t>支出120.60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卫生健康支出36.86万元，住房保障支出57.35万元</w:t>
      </w:r>
      <w:r>
        <w:rPr>
          <w:rFonts w:hint="default" w:ascii="Times New Roman" w:hAnsi="Times New Roman" w:eastAsia="仿宋_GB2312" w:cs="Times New Roman"/>
          <w:color w:val="auto"/>
          <w:sz w:val="32"/>
          <w:szCs w:val="32"/>
        </w:rPr>
        <w:t>。支出预算总额较20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850.18</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strike w:val="0"/>
          <w:dstrike w:val="0"/>
          <w:color w:val="auto"/>
          <w:sz w:val="32"/>
          <w:szCs w:val="32"/>
          <w:lang w:val="en-US" w:eastAsia="zh-CN"/>
        </w:rPr>
        <w:t>增加</w:t>
      </w:r>
      <w:r>
        <w:rPr>
          <w:rFonts w:hint="default" w:ascii="Times New Roman" w:hAnsi="Times New Roman" w:eastAsia="仿宋_GB2312" w:cs="Times New Roman"/>
          <w:sz w:val="32"/>
          <w:szCs w:val="32"/>
          <w:lang w:val="en-US" w:eastAsia="zh-CN"/>
        </w:rPr>
        <w:t>314.6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以前年度暂付调列支出增加326.03万元</w:t>
      </w:r>
      <w:r>
        <w:rPr>
          <w:rFonts w:hint="default" w:ascii="Times New Roman" w:hAnsi="Times New Roman" w:eastAsia="仿宋_GB2312" w:cs="Times New Roman"/>
          <w:sz w:val="32"/>
          <w:szCs w:val="32"/>
          <w:lang w:eastAsia="zh-CN"/>
        </w:rPr>
        <w:t>。</w:t>
      </w:r>
    </w:p>
    <w:p w14:paraId="76A373A7">
      <w:pPr>
        <w:pStyle w:val="19"/>
        <w:rPr>
          <w:rFonts w:hint="default" w:ascii="Times New Roman" w:hAnsi="Times New Roman" w:eastAsia="仿宋" w:cs="Times New Roman"/>
          <w:sz w:val="32"/>
          <w:szCs w:val="32"/>
        </w:rPr>
      </w:pPr>
      <w:r>
        <w:rPr>
          <w:rFonts w:hint="default" w:ascii="Times New Roman" w:hAnsi="Times New Roman" w:cs="Times New Roman"/>
        </w:rPr>
        <w:drawing>
          <wp:inline distT="0" distB="0" distL="114300" distR="114300">
            <wp:extent cx="4572000" cy="2529205"/>
            <wp:effectExtent l="4445" t="4445" r="10795" b="11430"/>
            <wp:docPr id="157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9D669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1"/>
        <w:rPr>
          <w:rFonts w:hint="default" w:ascii="Times New Roman" w:hAnsi="Times New Roman" w:eastAsia="仿宋_GB2312" w:cs="Times New Roman"/>
          <w:sz w:val="32"/>
          <w:szCs w:val="32"/>
          <w:lang w:val="en-US" w:eastAsia="zh-CN"/>
        </w:rPr>
      </w:pPr>
      <w:bookmarkStart w:id="29" w:name="_Toc10642"/>
      <w:r>
        <w:rPr>
          <w:rFonts w:hint="default" w:ascii="Times New Roman" w:hAnsi="Times New Roman" w:eastAsia="仿宋_GB2312" w:cs="Times New Roman"/>
          <w:sz w:val="32"/>
          <w:szCs w:val="32"/>
          <w:lang w:val="en-US" w:eastAsia="zh-CN"/>
        </w:rPr>
        <w:t>（图1：收、支决算总计变动情况图）（柱状图）</w:t>
      </w:r>
      <w:bookmarkEnd w:id="29"/>
    </w:p>
    <w:p w14:paraId="7408944F">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30" w:name="_Toc15396604"/>
      <w:bookmarkStart w:id="31" w:name="_Toc15377206"/>
      <w:bookmarkStart w:id="32" w:name="_Toc25008"/>
      <w:r>
        <w:rPr>
          <w:rStyle w:val="29"/>
          <w:rFonts w:hint="default" w:ascii="Times New Roman" w:hAnsi="Times New Roman" w:eastAsia="黑体" w:cs="Times New Roman"/>
          <w:b w:val="0"/>
          <w:bCs w:val="0"/>
          <w:lang w:val="en-US" w:eastAsia="zh-CN"/>
        </w:rPr>
        <w:t>二、</w:t>
      </w:r>
      <w:r>
        <w:rPr>
          <w:rStyle w:val="29"/>
          <w:rFonts w:hint="default" w:ascii="Times New Roman" w:hAnsi="Times New Roman" w:eastAsia="黑体" w:cs="Times New Roman"/>
          <w:b w:val="0"/>
          <w:bCs w:val="0"/>
        </w:rPr>
        <w:t>收入决算情况说明</w:t>
      </w:r>
      <w:bookmarkEnd w:id="30"/>
      <w:bookmarkEnd w:id="31"/>
      <w:bookmarkEnd w:id="32"/>
    </w:p>
    <w:p w14:paraId="28C39CE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sz w:val="32"/>
          <w:szCs w:val="32"/>
        </w:rPr>
      </w:pPr>
      <w:bookmarkStart w:id="33" w:name="_Toc25622"/>
      <w:r>
        <w:rPr>
          <w:rFonts w:hint="default" w:ascii="Times New Roman" w:hAnsi="Times New Roman" w:eastAsia="仿宋_GB2312" w:cs="Times New Roman"/>
          <w:sz w:val="32"/>
          <w:szCs w:val="32"/>
        </w:rPr>
        <w:t>2021年收入</w:t>
      </w:r>
      <w:r>
        <w:rPr>
          <w:rFonts w:hint="default" w:ascii="Times New Roman" w:hAnsi="Times New Roman" w:eastAsia="仿宋_GB2312" w:cs="Times New Roman"/>
          <w:sz w:val="32"/>
          <w:szCs w:val="32"/>
          <w:lang w:val="en-US" w:eastAsia="zh-CN"/>
        </w:rPr>
        <w:t>总计1164.78万元，</w:t>
      </w:r>
      <w:r>
        <w:rPr>
          <w:rFonts w:hint="default" w:ascii="Times New Roman" w:hAnsi="Times New Roman" w:eastAsia="仿宋_GB2312" w:cs="Times New Roman"/>
          <w:sz w:val="32"/>
          <w:szCs w:val="32"/>
        </w:rPr>
        <w:t>其中：一般公共预算财政拨款收入</w:t>
      </w:r>
      <w:r>
        <w:rPr>
          <w:rFonts w:hint="default" w:ascii="Times New Roman" w:hAnsi="Times New Roman" w:eastAsia="仿宋_GB2312" w:cs="Times New Roman"/>
          <w:sz w:val="32"/>
          <w:szCs w:val="32"/>
          <w:lang w:val="en-US" w:eastAsia="zh-CN"/>
        </w:rPr>
        <w:t>838.75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年初财政拨款结转和结余326.03万元，占28%，用于以前年度暂付调列支出</w:t>
      </w:r>
      <w:r>
        <w:rPr>
          <w:rFonts w:hint="default" w:ascii="Times New Roman" w:hAnsi="Times New Roman" w:eastAsia="仿宋_GB2312" w:cs="Times New Roman"/>
          <w:sz w:val="32"/>
          <w:szCs w:val="32"/>
        </w:rPr>
        <w:t>。</w:t>
      </w:r>
      <w:bookmarkEnd w:id="33"/>
    </w:p>
    <w:p w14:paraId="58C9FDA6">
      <w:pPr>
        <w:pStyle w:val="19"/>
        <w:rPr>
          <w:rFonts w:hint="default" w:ascii="Times New Roman" w:hAnsi="Times New Roman" w:eastAsia="仿宋" w:cs="Times New Roman"/>
          <w:sz w:val="32"/>
          <w:szCs w:val="32"/>
        </w:rPr>
      </w:pPr>
      <w:r>
        <w:rPr>
          <w:rFonts w:hint="default" w:ascii="Times New Roman" w:hAnsi="Times New Roman" w:cs="Times New Roman"/>
        </w:rPr>
        <w:drawing>
          <wp:inline distT="0" distB="0" distL="114300" distR="114300">
            <wp:extent cx="5268595" cy="3026410"/>
            <wp:effectExtent l="4445" t="4445" r="15240" b="17145"/>
            <wp:docPr id="156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3C231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1"/>
        <w:rPr>
          <w:rFonts w:hint="default" w:ascii="Times New Roman" w:hAnsi="Times New Roman" w:eastAsia="仿宋_GB2312" w:cs="Times New Roman"/>
          <w:sz w:val="32"/>
          <w:szCs w:val="32"/>
          <w:lang w:val="en-US" w:eastAsia="zh-CN"/>
        </w:rPr>
      </w:pPr>
      <w:bookmarkStart w:id="34" w:name="_Toc29076"/>
      <w:r>
        <w:rPr>
          <w:rFonts w:hint="default" w:ascii="Times New Roman" w:hAnsi="Times New Roman" w:eastAsia="仿宋_GB2312" w:cs="Times New Roman"/>
          <w:sz w:val="32"/>
          <w:szCs w:val="32"/>
          <w:lang w:val="en-US" w:eastAsia="zh-CN"/>
        </w:rPr>
        <w:t>（图2：收入决算结构图）（饼状图）</w:t>
      </w:r>
      <w:bookmarkEnd w:id="34"/>
    </w:p>
    <w:p w14:paraId="0707C7A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hint="default" w:ascii="Times New Roman" w:hAnsi="Times New Roman" w:eastAsia="黑体" w:cs="Times New Roman"/>
          <w:b w:val="0"/>
          <w:bCs w:val="0"/>
          <w:lang w:val="en-US" w:eastAsia="zh-CN"/>
        </w:rPr>
      </w:pPr>
      <w:bookmarkStart w:id="35" w:name="_Toc3133"/>
      <w:bookmarkStart w:id="36" w:name="_Toc15396605"/>
      <w:bookmarkStart w:id="37" w:name="_Toc15377207"/>
      <w:r>
        <w:rPr>
          <w:rStyle w:val="29"/>
          <w:rFonts w:hint="default" w:ascii="Times New Roman" w:hAnsi="Times New Roman" w:eastAsia="黑体" w:cs="Times New Roman"/>
          <w:b w:val="0"/>
          <w:bCs w:val="0"/>
          <w:lang w:val="en-US" w:eastAsia="zh-CN"/>
        </w:rPr>
        <w:t>三、支出决算情况说明</w:t>
      </w:r>
      <w:bookmarkEnd w:id="35"/>
      <w:bookmarkEnd w:id="36"/>
      <w:bookmarkEnd w:id="37"/>
    </w:p>
    <w:p w14:paraId="0CCB1B7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sz w:val="32"/>
          <w:szCs w:val="32"/>
          <w:lang w:val="en-US" w:eastAsia="zh-CN"/>
        </w:rPr>
      </w:pPr>
      <w:bookmarkStart w:id="38" w:name="_Toc12101"/>
      <w:r>
        <w:rPr>
          <w:rFonts w:hint="default" w:ascii="Times New Roman" w:hAnsi="Times New Roman" w:eastAsia="仿宋_GB2312" w:cs="Times New Roman"/>
          <w:sz w:val="32"/>
          <w:szCs w:val="32"/>
          <w:lang w:val="en-US" w:eastAsia="zh-CN"/>
        </w:rPr>
        <w:t>2021年本年支出合计1164.78万元，其中：基本支出722.93万元，占62.07%；项目支出441.85万元，占37.93%。</w:t>
      </w:r>
      <w:bookmarkEnd w:id="38"/>
    </w:p>
    <w:p w14:paraId="67E7B963">
      <w:pPr>
        <w:pStyle w:val="19"/>
        <w:rPr>
          <w:rFonts w:hint="default" w:ascii="Times New Roman" w:hAnsi="Times New Roman" w:eastAsia="仿宋" w:cs="Times New Roman"/>
          <w:sz w:val="32"/>
          <w:szCs w:val="32"/>
        </w:rPr>
      </w:pPr>
      <w:r>
        <w:rPr>
          <w:rFonts w:hint="default" w:ascii="Times New Roman" w:hAnsi="Times New Roman" w:cs="Times New Roman"/>
        </w:rPr>
        <w:drawing>
          <wp:inline distT="0" distB="0" distL="114300" distR="114300">
            <wp:extent cx="5272405" cy="2064385"/>
            <wp:effectExtent l="4445" t="4445" r="11430" b="19050"/>
            <wp:docPr id="156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4CD38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1"/>
        <w:rPr>
          <w:rFonts w:hint="default" w:ascii="Times New Roman" w:hAnsi="Times New Roman" w:eastAsia="仿宋_GB2312" w:cs="Times New Roman"/>
          <w:sz w:val="32"/>
          <w:szCs w:val="32"/>
          <w:lang w:val="en-US" w:eastAsia="zh-CN"/>
        </w:rPr>
      </w:pPr>
      <w:bookmarkStart w:id="39" w:name="_Toc30678"/>
      <w:r>
        <w:rPr>
          <w:rFonts w:hint="default" w:ascii="Times New Roman" w:hAnsi="Times New Roman" w:eastAsia="仿宋_GB2312" w:cs="Times New Roman"/>
          <w:sz w:val="32"/>
          <w:szCs w:val="32"/>
          <w:lang w:val="en-US" w:eastAsia="zh-CN"/>
        </w:rPr>
        <w:t>（图3：支出决算结构图）（饼状图）</w:t>
      </w:r>
      <w:bookmarkEnd w:id="39"/>
      <w:bookmarkStart w:id="40" w:name="_Toc15396606"/>
      <w:bookmarkStart w:id="41" w:name="_Toc15377208"/>
    </w:p>
    <w:p w14:paraId="654C07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hint="default" w:ascii="Times New Roman" w:hAnsi="Times New Roman" w:eastAsia="黑体" w:cs="Times New Roman"/>
          <w:b w:val="0"/>
          <w:bCs w:val="0"/>
          <w:lang w:val="en-US" w:eastAsia="zh-CN"/>
        </w:rPr>
      </w:pPr>
      <w:bookmarkStart w:id="42" w:name="_Toc10525"/>
      <w:r>
        <w:rPr>
          <w:rStyle w:val="29"/>
          <w:rFonts w:hint="default" w:ascii="Times New Roman" w:hAnsi="Times New Roman" w:eastAsia="黑体" w:cs="Times New Roman"/>
          <w:b w:val="0"/>
          <w:bCs w:val="0"/>
          <w:lang w:val="en-US" w:eastAsia="zh-CN"/>
        </w:rPr>
        <w:t>四、财政拨款收入支出决算总体情况说明</w:t>
      </w:r>
      <w:bookmarkEnd w:id="40"/>
      <w:bookmarkEnd w:id="41"/>
      <w:bookmarkEnd w:id="42"/>
    </w:p>
    <w:p w14:paraId="3663A4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年财政拨款收</w:t>
      </w:r>
      <w:r>
        <w:rPr>
          <w:rFonts w:hint="default" w:ascii="Times New Roman" w:hAnsi="Times New Roman" w:eastAsia="仿宋_GB2312" w:cs="Times New Roman"/>
          <w:sz w:val="32"/>
          <w:szCs w:val="32"/>
          <w:lang w:val="en-US" w:eastAsia="zh-CN"/>
        </w:rPr>
        <w:t>入</w:t>
      </w:r>
      <w:r>
        <w:rPr>
          <w:rFonts w:hint="default" w:ascii="Times New Roman" w:hAnsi="Times New Roman" w:eastAsia="仿宋_GB2312" w:cs="Times New Roman"/>
          <w:sz w:val="32"/>
          <w:szCs w:val="32"/>
        </w:rPr>
        <w:t>总计</w:t>
      </w:r>
      <w:r>
        <w:rPr>
          <w:rFonts w:hint="default" w:ascii="Times New Roman" w:hAnsi="Times New Roman" w:eastAsia="仿宋_GB2312" w:cs="Times New Roman"/>
          <w:sz w:val="32"/>
          <w:szCs w:val="32"/>
          <w:lang w:val="en-US" w:eastAsia="zh-CN"/>
        </w:rPr>
        <w:t>1164.78</w:t>
      </w:r>
      <w:r>
        <w:rPr>
          <w:rFonts w:hint="default" w:ascii="Times New Roman" w:hAnsi="Times New Roman" w:eastAsia="仿宋_GB2312" w:cs="Times New Roman"/>
          <w:sz w:val="32"/>
          <w:szCs w:val="32"/>
        </w:rPr>
        <w:t>万元。与</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年相比，收</w:t>
      </w:r>
      <w:r>
        <w:rPr>
          <w:rFonts w:hint="default" w:ascii="Times New Roman" w:hAnsi="Times New Roman" w:eastAsia="仿宋_GB2312" w:cs="Times New Roman"/>
          <w:sz w:val="32"/>
          <w:szCs w:val="32"/>
          <w:lang w:val="en-US" w:eastAsia="zh-CN"/>
        </w:rPr>
        <w:t>入增加314.6</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率为37</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年初财政拨款结转和结余增加326.03万元</w:t>
      </w:r>
      <w:r>
        <w:rPr>
          <w:rFonts w:hint="default" w:ascii="Times New Roman" w:hAnsi="Times New Roman" w:eastAsia="仿宋_GB2312" w:cs="Times New Roman"/>
          <w:sz w:val="32"/>
          <w:szCs w:val="32"/>
          <w:lang w:eastAsia="zh-CN"/>
        </w:rPr>
        <w:t>。</w:t>
      </w:r>
    </w:p>
    <w:p w14:paraId="384E14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年财政拨款</w:t>
      </w:r>
      <w:r>
        <w:rPr>
          <w:rFonts w:hint="default"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rPr>
        <w:t>总计</w:t>
      </w:r>
      <w:r>
        <w:rPr>
          <w:rFonts w:hint="default" w:ascii="Times New Roman" w:hAnsi="Times New Roman" w:eastAsia="仿宋_GB2312" w:cs="Times New Roman"/>
          <w:sz w:val="32"/>
          <w:szCs w:val="32"/>
          <w:lang w:val="en-US" w:eastAsia="zh-CN"/>
        </w:rPr>
        <w:t>1164.78</w:t>
      </w:r>
      <w:r>
        <w:rPr>
          <w:rFonts w:hint="default" w:ascii="Times New Roman" w:hAnsi="Times New Roman" w:eastAsia="仿宋_GB2312" w:cs="Times New Roman"/>
          <w:sz w:val="32"/>
          <w:szCs w:val="32"/>
        </w:rPr>
        <w:t>万元。与</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年相比，</w:t>
      </w:r>
      <w:r>
        <w:rPr>
          <w:rFonts w:hint="default" w:ascii="Times New Roman" w:hAnsi="Times New Roman" w:eastAsia="仿宋_GB2312" w:cs="Times New Roman"/>
          <w:sz w:val="32"/>
          <w:szCs w:val="32"/>
          <w:lang w:val="en-US" w:eastAsia="zh-CN"/>
        </w:rPr>
        <w:t>支出增加118.76</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率为37</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以前年度暂付调列支出326.03万元</w:t>
      </w:r>
      <w:r>
        <w:rPr>
          <w:rFonts w:hint="default" w:ascii="Times New Roman" w:hAnsi="Times New Roman" w:eastAsia="仿宋_GB2312" w:cs="Times New Roman"/>
          <w:sz w:val="32"/>
          <w:szCs w:val="32"/>
          <w:lang w:eastAsia="zh-CN"/>
        </w:rPr>
        <w:t>。</w:t>
      </w:r>
    </w:p>
    <w:p w14:paraId="038CE532">
      <w:pPr>
        <w:pStyle w:val="19"/>
        <w:rPr>
          <w:rFonts w:hint="default" w:ascii="Times New Roman" w:hAnsi="Times New Roman" w:eastAsia="仿宋" w:cs="Times New Roman"/>
          <w:sz w:val="32"/>
          <w:szCs w:val="32"/>
        </w:rPr>
      </w:pPr>
      <w:r>
        <w:rPr>
          <w:rFonts w:hint="default" w:ascii="Times New Roman" w:hAnsi="Times New Roman" w:cs="Times New Roman"/>
        </w:rPr>
        <w:drawing>
          <wp:inline distT="0" distB="0" distL="114300" distR="114300">
            <wp:extent cx="5271770" cy="2792730"/>
            <wp:effectExtent l="4445" t="4445" r="12065" b="6985"/>
            <wp:docPr id="156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BFA13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1"/>
        <w:rPr>
          <w:rFonts w:hint="default" w:ascii="Times New Roman" w:hAnsi="Times New Roman" w:eastAsia="仿宋_GB2312" w:cs="Times New Roman"/>
          <w:sz w:val="32"/>
          <w:szCs w:val="32"/>
          <w:lang w:val="en-US" w:eastAsia="zh-CN"/>
        </w:rPr>
      </w:pPr>
      <w:bookmarkStart w:id="43" w:name="_Toc21640"/>
      <w:r>
        <w:rPr>
          <w:rFonts w:hint="default" w:ascii="Times New Roman" w:hAnsi="Times New Roman" w:eastAsia="仿宋_GB2312" w:cs="Times New Roman"/>
          <w:sz w:val="32"/>
          <w:szCs w:val="32"/>
          <w:lang w:val="en-US" w:eastAsia="zh-CN"/>
        </w:rPr>
        <w:t>（图4：财政拨款收、支决算总计变动情况）（柱状图）</w:t>
      </w:r>
      <w:bookmarkEnd w:id="43"/>
    </w:p>
    <w:p w14:paraId="2C9FD8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hint="default" w:ascii="Times New Roman" w:hAnsi="Times New Roman" w:eastAsia="黑体" w:cs="Times New Roman"/>
          <w:b w:val="0"/>
          <w:bCs w:val="0"/>
          <w:lang w:val="en-US" w:eastAsia="zh-CN"/>
        </w:rPr>
      </w:pPr>
      <w:bookmarkStart w:id="44" w:name="_Toc15377209"/>
      <w:bookmarkStart w:id="45" w:name="_Toc15396607"/>
      <w:bookmarkStart w:id="46" w:name="_Toc13299"/>
      <w:r>
        <w:rPr>
          <w:rStyle w:val="29"/>
          <w:rFonts w:hint="default" w:ascii="Times New Roman" w:hAnsi="Times New Roman" w:eastAsia="黑体" w:cs="Times New Roman"/>
          <w:b w:val="0"/>
          <w:bCs w:val="0"/>
          <w:lang w:val="en-US" w:eastAsia="zh-CN"/>
        </w:rPr>
        <w:t>五、一般公共预算财政拨款支出决算情况说明</w:t>
      </w:r>
      <w:bookmarkEnd w:id="44"/>
      <w:bookmarkEnd w:id="45"/>
      <w:bookmarkEnd w:id="46"/>
      <w:bookmarkStart w:id="47" w:name="_Toc15377210"/>
    </w:p>
    <w:p w14:paraId="5A712B34">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（一）一般公共预算财政拨款支出决算总体情况</w:t>
      </w:r>
      <w:bookmarkEnd w:id="47"/>
    </w:p>
    <w:p w14:paraId="6E14CF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2021年一般公共预算财政拨款支出1164.78万元，占本年支出合计的100%。</w:t>
      </w:r>
    </w:p>
    <w:p w14:paraId="124DD2D8">
      <w:pPr>
        <w:pStyle w:val="2"/>
        <w:rPr>
          <w:rFonts w:hint="default" w:ascii="Times New Roman" w:hAnsi="Times New Roman" w:cs="Times New Roman"/>
        </w:rPr>
      </w:pPr>
      <w:r>
        <w:rPr>
          <w:rFonts w:hint="default" w:ascii="Times New Roman" w:hAnsi="Times New Roman" w:cs="Times New Roman"/>
        </w:rPr>
        <w:drawing>
          <wp:inline distT="0" distB="0" distL="114300" distR="114300">
            <wp:extent cx="5271770" cy="3041650"/>
            <wp:effectExtent l="4445" t="4445" r="12065" b="17145"/>
            <wp:docPr id="156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C3020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（图5：一般公共预算财政拨款支出决算变动情况）（柱状图）</w:t>
      </w:r>
    </w:p>
    <w:p w14:paraId="535FDA6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48" w:name="_Toc15377211"/>
      <w:r>
        <w:rPr>
          <w:rFonts w:hint="default" w:ascii="Times New Roman" w:hAnsi="Times New Roman" w:eastAsia="楷体_GB2312" w:cs="Times New Roman"/>
          <w:b w:val="0"/>
          <w:bCs w:val="0"/>
          <w:lang w:val="en-US" w:eastAsia="zh-CN"/>
        </w:rPr>
        <w:t>（二）一般公共预算财政拨款支出决算结构情况</w:t>
      </w:r>
      <w:bookmarkEnd w:id="48"/>
    </w:p>
    <w:p w14:paraId="0ACE55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主要用于以下方面</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一般公共服务（类）支出949.97万元，占81.56%；社会保障和就业（类）支出120.6万元，占10.35%；卫生健康支出36.86万元，占3.16%；住房保障支出57.35万元，占4.93%。与2020年相比，一般公共预算财政拨款支出增加314.6万元，增长37%。主要变动原因是2021年以前年度暂付调列支出326.03万元。</w:t>
      </w:r>
    </w:p>
    <w:p w14:paraId="36E5A837">
      <w:pPr>
        <w:pStyle w:val="2"/>
        <w:rPr>
          <w:rFonts w:hint="default" w:ascii="Times New Roman" w:hAnsi="Times New Roman" w:cs="Times New Roman"/>
        </w:rPr>
      </w:pPr>
      <w:r>
        <w:rPr>
          <w:rFonts w:hint="default" w:ascii="Times New Roman" w:hAnsi="Times New Roman" w:cs="Times New Roman"/>
        </w:rPr>
        <w:drawing>
          <wp:inline distT="0" distB="0" distL="114300" distR="114300">
            <wp:extent cx="4763135" cy="3124835"/>
            <wp:effectExtent l="4445" t="5080" r="17780" b="9525"/>
            <wp:docPr id="179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2B845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（图6：一般公共预算财政拨款支出决算结构）（饼状图）</w:t>
      </w:r>
    </w:p>
    <w:p w14:paraId="5243519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49" w:name="_Toc15377212"/>
      <w:r>
        <w:rPr>
          <w:rFonts w:hint="default" w:ascii="Times New Roman" w:hAnsi="Times New Roman" w:eastAsia="楷体_GB2312" w:cs="Times New Roman"/>
          <w:b w:val="0"/>
          <w:bCs w:val="0"/>
          <w:lang w:val="en-US" w:eastAsia="zh-CN"/>
        </w:rPr>
        <w:t>（三）一般公共预算财政拨款支出决算具体情况</w:t>
      </w:r>
      <w:bookmarkEnd w:id="49"/>
    </w:p>
    <w:p w14:paraId="64569B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bookmarkStart w:id="50" w:name="_Toc15378460"/>
      <w:bookmarkStart w:id="51" w:name="_Toc15377213"/>
      <w:bookmarkStart w:id="52" w:name="_Toc15377444"/>
      <w:r>
        <w:rPr>
          <w:rFonts w:hint="default" w:ascii="Times New Roman" w:hAnsi="Times New Roman" w:eastAsia="仿宋_GB2312" w:cs="Times New Roman"/>
          <w:sz w:val="32"/>
          <w:szCs w:val="32"/>
          <w:lang w:val="en-US" w:eastAsia="zh-CN"/>
        </w:rPr>
        <w:t>2021年一般公共预算支出决算数为1164.78，完成预算100%。其中：</w:t>
      </w:r>
      <w:bookmarkEnd w:id="50"/>
      <w:bookmarkEnd w:id="51"/>
      <w:bookmarkEnd w:id="52"/>
    </w:p>
    <w:p w14:paraId="12FD16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1.一般公共服务（类）政府办公厅（室）及相关机构事务（款）支出决算数为949.97万元。其中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行政运行（项）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基本支出435.60万元，完成预算100%；一般行政管理事务（项）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项目支出441.85万元，完成预算100%；事业运行（项）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基本支出72.52万元，完成预算100%；</w:t>
      </w:r>
    </w:p>
    <w:p w14:paraId="20D4B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2.社会保障和就业支出（类）支出决算数为120.60万元。其中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行政事业单位养老支出（款）支出决算总数为113.72万元行政单位离退休（项）支出决算数为63.12万元，完成预算100%；机关事业单位基本养老保险缴费支出（项）支出决算数为44.80万元，完成预算100%；机关事业单位职业年金缴费支出（项）支出决算数为5.80万元，完成预算100%；抚恤（款）伤残抚恤（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支出决算数为6.88万元，完成预算100%。</w:t>
      </w:r>
    </w:p>
    <w:p w14:paraId="3390D5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3.卫生健康（类）行政事业单位医疗（款）支出决算数为36.86万元，完成预算100%。其中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行政单位医疗（项）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支出决算数为27.12万元，完成预算100%；事业单位医疗（项）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支出决算数为6.06万元，完成预算100%；公务员医疗补助（项）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支出决算数为3.68万元，完成预算100%。</w:t>
      </w:r>
    </w:p>
    <w:p w14:paraId="135005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4.住房保障支出（类）住房改革支出（款）住房公积金（项）</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支出决算为57.35万元，完成预算100%。</w:t>
      </w:r>
    </w:p>
    <w:p w14:paraId="1D421D88">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lang w:val="en-US" w:eastAsia="zh-CN"/>
        </w:rPr>
      </w:pPr>
      <w:bookmarkStart w:id="53" w:name="_Toc15377214"/>
      <w:bookmarkStart w:id="54" w:name="_Toc21085"/>
      <w:bookmarkStart w:id="55" w:name="_Toc15396608"/>
      <w:r>
        <w:rPr>
          <w:rStyle w:val="29"/>
          <w:rFonts w:hint="default" w:ascii="Times New Roman" w:hAnsi="Times New Roman" w:eastAsia="黑体" w:cs="Times New Roman"/>
          <w:b w:val="0"/>
          <w:bCs w:val="0"/>
          <w:lang w:val="en-US" w:eastAsia="zh-CN"/>
        </w:rPr>
        <w:t>六、一般公共预算财政拨款基本支出决算情况说明</w:t>
      </w:r>
      <w:bookmarkEnd w:id="53"/>
      <w:bookmarkEnd w:id="54"/>
      <w:bookmarkEnd w:id="55"/>
      <w:r>
        <w:rPr>
          <w:rStyle w:val="29"/>
          <w:rFonts w:hint="default" w:ascii="Times New Roman" w:hAnsi="Times New Roman" w:eastAsia="黑体" w:cs="Times New Roman"/>
          <w:b w:val="0"/>
          <w:bCs w:val="0"/>
          <w:lang w:val="en-US" w:eastAsia="zh-CN"/>
        </w:rPr>
        <w:tab/>
      </w:r>
    </w:p>
    <w:p w14:paraId="1058E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2021年一般公共预算财政拨款基本支出1164.78万元，其中：</w:t>
      </w:r>
    </w:p>
    <w:p w14:paraId="2521C0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人员经费668.47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公用经费54.46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DC537CE">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lang w:val="en-US" w:eastAsia="zh-CN"/>
        </w:rPr>
      </w:pPr>
      <w:bookmarkStart w:id="56" w:name="_Toc15377215"/>
      <w:bookmarkStart w:id="57" w:name="_Toc15396609"/>
      <w:bookmarkStart w:id="58" w:name="_Toc23570"/>
      <w:r>
        <w:rPr>
          <w:rStyle w:val="29"/>
          <w:rFonts w:hint="default" w:ascii="Times New Roman" w:hAnsi="Times New Roman" w:eastAsia="黑体" w:cs="Times New Roman"/>
          <w:b w:val="0"/>
          <w:bCs w:val="0"/>
          <w:lang w:val="en-US" w:eastAsia="zh-CN"/>
        </w:rPr>
        <w:t>七、“三公”经费财政拨款支出决算情况说明</w:t>
      </w:r>
      <w:bookmarkEnd w:id="56"/>
      <w:bookmarkEnd w:id="57"/>
      <w:bookmarkEnd w:id="58"/>
    </w:p>
    <w:p w14:paraId="18776329">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59" w:name="_Toc15377216"/>
      <w:r>
        <w:rPr>
          <w:rFonts w:hint="default" w:ascii="Times New Roman" w:hAnsi="Times New Roman" w:eastAsia="楷体_GB2312" w:cs="Times New Roman"/>
          <w:b w:val="0"/>
          <w:bCs w:val="0"/>
          <w:lang w:val="en-US" w:eastAsia="zh-CN"/>
        </w:rPr>
        <w:t>（一）“三公”经费财政拨款支出决算总体情况说明</w:t>
      </w:r>
      <w:bookmarkEnd w:id="59"/>
    </w:p>
    <w:p w14:paraId="1ECFD0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2021年“三公”经费财政拨款支出决算为0.07万元，完成预算100%。</w:t>
      </w:r>
    </w:p>
    <w:p w14:paraId="0E81F6A0">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60" w:name="_Toc15377217"/>
      <w:r>
        <w:rPr>
          <w:rFonts w:hint="default" w:ascii="Times New Roman" w:hAnsi="Times New Roman" w:eastAsia="楷体_GB2312" w:cs="Times New Roman"/>
          <w:b w:val="0"/>
          <w:bCs w:val="0"/>
          <w:lang w:val="en-US" w:eastAsia="zh-CN"/>
        </w:rPr>
        <w:t>（二）“三公”经费财政拨款支出决算具体情况说明</w:t>
      </w:r>
      <w:bookmarkEnd w:id="60"/>
    </w:p>
    <w:p w14:paraId="16891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2021年“三公”经费财政拨款支出决算中，因公出国（境）费支出决算0万元；公务用车购置及运行维护费支出决算0万元；公务接待费支出决算0.07万元，占100%。具体情况如下：</w:t>
      </w:r>
    </w:p>
    <w:p w14:paraId="683AE0F4">
      <w:pPr>
        <w:pStyle w:val="2"/>
        <w:rPr>
          <w:rFonts w:hint="default" w:ascii="Times New Roman" w:hAnsi="Times New Roman" w:cs="Times New Roman"/>
        </w:rPr>
      </w:pPr>
      <w:r>
        <w:rPr>
          <w:rFonts w:hint="default" w:ascii="Times New Roman" w:hAnsi="Times New Roman" w:cs="Times New Roman"/>
        </w:rPr>
        <w:drawing>
          <wp:inline distT="0" distB="0" distL="114300" distR="114300">
            <wp:extent cx="4686300" cy="2321560"/>
            <wp:effectExtent l="4445" t="5080" r="18415" b="5080"/>
            <wp:docPr id="180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8F017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（图7：“三公”经费财政拨款支出结构）（饼状图）</w:t>
      </w:r>
    </w:p>
    <w:p w14:paraId="03CBA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1.因公出国（境）经费支出0万元。</w:t>
      </w:r>
    </w:p>
    <w:p w14:paraId="0752E4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2.公务用车购置及运行维护费支出0万元。</w:t>
      </w:r>
    </w:p>
    <w:p w14:paraId="7B5DD1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3.公务接待费支出0.07万元，完成预算100%。公务接待费支出决算比2020年增加0.07万元，增长100%。主要原因是本年度支出700元公务接待费，2020年无公务接待费支出。其中：</w:t>
      </w:r>
    </w:p>
    <w:p w14:paraId="42BE7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国内公务接待支出0.7万元，国内公务接待1批次，7人次（不包括陪同人员），共计支出0.07万元，主要用于市政府办赴我县北部开展“特色资源开发及增长点打造”专题调研活动开支的相关费用700元。</w:t>
      </w:r>
    </w:p>
    <w:p w14:paraId="3EA790C4">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lang w:val="en-US" w:eastAsia="zh-CN"/>
        </w:rPr>
      </w:pPr>
      <w:bookmarkStart w:id="61" w:name="_Toc15377218"/>
      <w:bookmarkStart w:id="62" w:name="_Toc15396610"/>
      <w:bookmarkStart w:id="63" w:name="_Toc32588"/>
      <w:r>
        <w:rPr>
          <w:rStyle w:val="29"/>
          <w:rFonts w:hint="default" w:ascii="Times New Roman" w:hAnsi="Times New Roman" w:eastAsia="黑体" w:cs="Times New Roman"/>
          <w:b w:val="0"/>
          <w:bCs w:val="0"/>
          <w:lang w:val="en-US" w:eastAsia="zh-CN"/>
        </w:rPr>
        <w:t>八、政府性基金预算支出决算情况说明</w:t>
      </w:r>
      <w:bookmarkEnd w:id="61"/>
      <w:bookmarkEnd w:id="62"/>
      <w:bookmarkEnd w:id="63"/>
    </w:p>
    <w:p w14:paraId="47B478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2021年政府性基金预算财政拨款支出0万元。</w:t>
      </w:r>
    </w:p>
    <w:p w14:paraId="68DF297B">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lang w:val="en-US" w:eastAsia="zh-CN"/>
        </w:rPr>
      </w:pPr>
      <w:bookmarkStart w:id="64" w:name="_Toc15396611"/>
      <w:bookmarkStart w:id="65" w:name="_Toc18176"/>
      <w:bookmarkStart w:id="66" w:name="_Toc15377219"/>
      <w:r>
        <w:rPr>
          <w:rStyle w:val="29"/>
          <w:rFonts w:hint="default" w:ascii="Times New Roman" w:hAnsi="Times New Roman" w:eastAsia="黑体" w:cs="Times New Roman"/>
          <w:b w:val="0"/>
          <w:bCs w:val="0"/>
          <w:lang w:val="en-US" w:eastAsia="zh-CN"/>
        </w:rPr>
        <w:t>九、国有资本经营预算支出决算情况说明</w:t>
      </w:r>
      <w:bookmarkEnd w:id="64"/>
      <w:bookmarkEnd w:id="65"/>
      <w:bookmarkEnd w:id="66"/>
    </w:p>
    <w:p w14:paraId="45DC1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2021年国有资本经营预算财政拨款支出0万元。</w:t>
      </w:r>
    </w:p>
    <w:p w14:paraId="3DFC2BD9">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lang w:val="en-US" w:eastAsia="zh-CN"/>
        </w:rPr>
      </w:pPr>
      <w:bookmarkStart w:id="67" w:name="_Toc15396612"/>
      <w:bookmarkStart w:id="68" w:name="_Toc17517"/>
      <w:bookmarkStart w:id="69" w:name="_Toc15377221"/>
      <w:r>
        <w:rPr>
          <w:rStyle w:val="29"/>
          <w:rFonts w:hint="default" w:ascii="Times New Roman" w:hAnsi="Times New Roman" w:eastAsia="黑体" w:cs="Times New Roman"/>
          <w:b w:val="0"/>
          <w:bCs w:val="0"/>
          <w:lang w:val="en-US" w:eastAsia="zh-CN"/>
        </w:rPr>
        <w:t>十、其他重要事项的情况说明</w:t>
      </w:r>
      <w:bookmarkEnd w:id="67"/>
      <w:bookmarkEnd w:id="68"/>
      <w:bookmarkEnd w:id="69"/>
    </w:p>
    <w:p w14:paraId="21EB432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70" w:name="_Toc15377222"/>
      <w:r>
        <w:rPr>
          <w:rFonts w:hint="default" w:ascii="Times New Roman" w:hAnsi="Times New Roman" w:eastAsia="楷体_GB2312" w:cs="Times New Roman"/>
          <w:b w:val="0"/>
          <w:bCs w:val="0"/>
          <w:lang w:val="en-US" w:eastAsia="zh-CN"/>
        </w:rPr>
        <w:t>（一）机关运行经费支出情况</w:t>
      </w:r>
      <w:bookmarkEnd w:id="70"/>
    </w:p>
    <w:p w14:paraId="045840E8">
      <w:pPr>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2021年，盐边县人民政府办公室机关运行经费支出54.46万元，比2020年增加0.69万元，增长1.28%。主要原因是本年度办公室设备维修等办公经费较上年有所增加。</w:t>
      </w:r>
    </w:p>
    <w:p w14:paraId="0A607A6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71" w:name="_Toc15377223"/>
      <w:r>
        <w:rPr>
          <w:rFonts w:hint="default" w:ascii="Times New Roman" w:hAnsi="Times New Roman" w:eastAsia="楷体_GB2312" w:cs="Times New Roman"/>
          <w:b w:val="0"/>
          <w:bCs w:val="0"/>
          <w:lang w:val="en-US" w:eastAsia="zh-CN"/>
        </w:rPr>
        <w:t>（二）政府采购支出情况</w:t>
      </w:r>
      <w:bookmarkEnd w:id="71"/>
    </w:p>
    <w:p w14:paraId="6393FDFB">
      <w:pPr>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w:t>
      </w:r>
      <w:r>
        <w:rPr>
          <w:rFonts w:hint="default" w:ascii="Times New Roman" w:hAnsi="Times New Roman" w:eastAsia="仿宋_GB2312" w:cs="Times New Roman"/>
          <w:sz w:val="32"/>
          <w:szCs w:val="32"/>
          <w:lang w:val="en-US" w:eastAsia="zh-CN"/>
        </w:rPr>
        <w:t>盐边县人民政府办公室</w:t>
      </w:r>
      <w:r>
        <w:rPr>
          <w:rFonts w:hint="default" w:ascii="Times New Roman" w:hAnsi="Times New Roman" w:eastAsia="仿宋_GB2312" w:cs="Times New Roman"/>
          <w:sz w:val="32"/>
          <w:szCs w:val="32"/>
        </w:rPr>
        <w:t>政府采购支出总额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7E81D203">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bookmarkStart w:id="72" w:name="_Toc15377224"/>
      <w:r>
        <w:rPr>
          <w:rFonts w:hint="default" w:ascii="Times New Roman" w:hAnsi="Times New Roman" w:eastAsia="楷体_GB2312" w:cs="Times New Roman"/>
          <w:b w:val="0"/>
          <w:bCs w:val="0"/>
          <w:lang w:val="en-US" w:eastAsia="zh-CN"/>
        </w:rPr>
        <w:t>（三）国有资产占有使用情况</w:t>
      </w:r>
      <w:bookmarkEnd w:id="72"/>
    </w:p>
    <w:p w14:paraId="7727E298">
      <w:pPr>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截至2021年12月31日，</w:t>
      </w:r>
      <w:r>
        <w:rPr>
          <w:rFonts w:hint="default" w:ascii="Times New Roman" w:hAnsi="Times New Roman" w:eastAsia="仿宋_GB2312" w:cs="Times New Roman"/>
          <w:sz w:val="32"/>
          <w:szCs w:val="32"/>
          <w:lang w:val="en-US" w:eastAsia="zh-CN"/>
        </w:rPr>
        <w:t>盐边县人民政府办公室</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辆，其中：主要领导干部用车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单价50万元以上通用设备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台（套），单价100万元以上专用设备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3EE6F89E">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（四）预算绩效管理情况</w:t>
      </w:r>
    </w:p>
    <w:p w14:paraId="089C1A44">
      <w:pPr>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根据预算绩效管理要求，本部门在2021年度预算编制阶段，组织对</w:t>
      </w:r>
      <w:r>
        <w:rPr>
          <w:rFonts w:hint="default" w:ascii="Times New Roman" w:hAnsi="Times New Roman" w:eastAsia="仿宋_GB2312" w:cs="Times New Roman"/>
          <w:sz w:val="32"/>
          <w:szCs w:val="32"/>
          <w:highlight w:val="none"/>
          <w:lang w:val="en-US" w:eastAsia="zh-CN"/>
        </w:rPr>
        <w:t>县政府办公室工作经费</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lang w:val="en-US" w:eastAsia="zh-CN"/>
        </w:rPr>
        <w:t>网站平台工作经费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个项目开展了预算事前绩效评估，对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个项目编制了绩效目标</w:t>
      </w:r>
      <w:r>
        <w:rPr>
          <w:rFonts w:hint="eastAsia" w:eastAsia="仿宋_GB2312" w:cs="Times New Roman"/>
          <w:sz w:val="32"/>
          <w:szCs w:val="32"/>
          <w:lang w:eastAsia="zh-CN"/>
        </w:rPr>
        <w:t>，在</w:t>
      </w:r>
      <w:r>
        <w:rPr>
          <w:rFonts w:hint="default" w:ascii="Times New Roman" w:hAnsi="Times New Roman" w:eastAsia="仿宋_GB2312" w:cs="Times New Roman"/>
          <w:sz w:val="32"/>
          <w:szCs w:val="32"/>
        </w:rPr>
        <w:t>预算执行过程中，选取</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个项目开展绩效监控，年终执行完毕后，对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个项目开展了绩效自评。同时，本部门对2021年部门整体开展绩效自评，《2021年</w:t>
      </w:r>
      <w:r>
        <w:rPr>
          <w:rFonts w:hint="default" w:ascii="Times New Roman" w:hAnsi="Times New Roman" w:eastAsia="仿宋_GB2312" w:cs="Times New Roman"/>
          <w:sz w:val="32"/>
          <w:szCs w:val="32"/>
          <w:lang w:val="en-US" w:eastAsia="zh-CN"/>
        </w:rPr>
        <w:t>盐边县人民政府办公室</w:t>
      </w:r>
      <w:r>
        <w:rPr>
          <w:rFonts w:hint="default" w:ascii="Times New Roman" w:hAnsi="Times New Roman" w:eastAsia="仿宋_GB2312" w:cs="Times New Roman"/>
          <w:sz w:val="32"/>
          <w:szCs w:val="32"/>
        </w:rPr>
        <w:t>部门整体绩效评价报告》见附件（第四部分）。</w:t>
      </w:r>
    </w:p>
    <w:p w14:paraId="2D260C71">
      <w:pPr>
        <w:pageBreakBefore w:val="0"/>
        <w:widowControl/>
        <w:kinsoku/>
        <w:wordWrap/>
        <w:overflowPunct/>
        <w:topLinePunct w:val="0"/>
        <w:bidi w:val="0"/>
        <w:snapToGrid/>
        <w:spacing w:line="560" w:lineRule="exact"/>
        <w:jc w:val="left"/>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br w:type="page"/>
      </w:r>
    </w:p>
    <w:p w14:paraId="1DE51D83">
      <w:pPr>
        <w:pStyle w:val="4"/>
        <w:keepNext/>
        <w:keepLines/>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bookmarkStart w:id="73" w:name="_Toc15396613"/>
      <w:bookmarkStart w:id="74" w:name="_Toc21626"/>
      <w:bookmarkStart w:id="75" w:name="_Toc15377225"/>
      <w:r>
        <w:rPr>
          <w:rFonts w:hint="default" w:ascii="Times New Roman" w:hAnsi="Times New Roman" w:eastAsia="方正小标宋简体" w:cs="Times New Roman"/>
          <w:b w:val="0"/>
          <w:bCs w:val="0"/>
          <w:sz w:val="44"/>
          <w:szCs w:val="44"/>
          <w:lang w:val="en-US" w:eastAsia="zh-CN"/>
        </w:rPr>
        <w:t>第三部分 名词解释</w:t>
      </w:r>
      <w:bookmarkEnd w:id="73"/>
      <w:bookmarkEnd w:id="74"/>
      <w:bookmarkEnd w:id="75"/>
    </w:p>
    <w:p w14:paraId="7912AFCD">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1.财政拨款收入：指单位从同级财政部门取得的财政预算资金。</w:t>
      </w:r>
    </w:p>
    <w:p w14:paraId="4ECD30D9">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2.事业收入：指事业单位开展专业业务活动及辅助活动取得的收入。</w:t>
      </w:r>
    </w:p>
    <w:p w14:paraId="54796528">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3.经营收入：指事业单位在专业业务活动及其辅助活动之外开展非独立核算经营活动取得的收入。4.其他收入：指单位取得的除上述收入以外的各项收入。主要是…（收入类型）等。</w:t>
      </w:r>
    </w:p>
    <w:p w14:paraId="0B8E7888">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5.使用非财政拨款结余：指事业单位使用以前年度积累的非财政拨款结余弥补当年收支差额的金额。</w:t>
      </w:r>
    </w:p>
    <w:p w14:paraId="54FA7285">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6.年初结转和结余：指以前年度尚未完成、结转到本年按有关规定继续使用的资金。</w:t>
      </w:r>
    </w:p>
    <w:p w14:paraId="34DE928D">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4C181090">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8.</w:t>
      </w:r>
      <w:r>
        <w:rPr>
          <w:rFonts w:hint="default" w:ascii="Times New Roman" w:hAnsi="Times New Roman" w:eastAsia="仿宋_GB2312" w:cs="Times New Roman"/>
          <w:color w:val="auto"/>
          <w:sz w:val="32"/>
          <w:szCs w:val="32"/>
        </w:rPr>
        <w:t>年末结转和结余：指单位按有关规定结转到下年或以后年度继续使用的资金。</w:t>
      </w:r>
    </w:p>
    <w:p w14:paraId="0980439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9.一般公共服务（类）</w:t>
      </w:r>
      <w:r>
        <w:rPr>
          <w:rFonts w:hint="default" w:ascii="Times New Roman" w:hAnsi="Times New Roman" w:eastAsia="仿宋_GB2312" w:cs="Times New Roman"/>
          <w:sz w:val="32"/>
          <w:szCs w:val="32"/>
          <w:lang w:val="en-US" w:eastAsia="zh-CN"/>
        </w:rPr>
        <w:t>政府办公厅（室）及相关机构事务</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val="en-US" w:eastAsia="zh-CN"/>
        </w:rPr>
        <w:t>行政运行</w:t>
      </w:r>
      <w:r>
        <w:rPr>
          <w:rFonts w:hint="default" w:ascii="Times New Roman" w:hAnsi="Times New Roman" w:eastAsia="仿宋_GB2312" w:cs="Times New Roman"/>
          <w:sz w:val="32"/>
          <w:szCs w:val="32"/>
        </w:rPr>
        <w:t>（项）：指</w:t>
      </w:r>
      <w:r>
        <w:rPr>
          <w:rFonts w:hint="default" w:ascii="Times New Roman" w:hAnsi="Times New Roman" w:eastAsia="仿宋_GB2312" w:cs="Times New Roman"/>
          <w:b w:val="0"/>
          <w:bCs w:val="0"/>
          <w:sz w:val="32"/>
          <w:szCs w:val="32"/>
        </w:rPr>
        <w:t>反映行政单位（包括实行公务员管理的事业单位）的基本支出</w:t>
      </w:r>
      <w:r>
        <w:rPr>
          <w:rFonts w:hint="default" w:ascii="Times New Roman" w:hAnsi="Times New Roman" w:eastAsia="仿宋_GB2312" w:cs="Times New Roman"/>
          <w:sz w:val="32"/>
          <w:szCs w:val="32"/>
        </w:rPr>
        <w:t>。</w:t>
      </w:r>
    </w:p>
    <w:p w14:paraId="0D0603D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10</w:t>
      </w:r>
      <w:r>
        <w:rPr>
          <w:rFonts w:hint="default" w:ascii="Times New Roman" w:hAnsi="Times New Roman" w:eastAsia="仿宋_GB2312" w:cs="Times New Roman"/>
          <w:b w:val="0"/>
          <w:bCs w:val="0"/>
          <w:sz w:val="32"/>
          <w:szCs w:val="32"/>
        </w:rPr>
        <w:t>.社会保障和就业支出（类）行政事业单位离退休（款）未归口管理的行政单位离退休（项）：反映未实行归口管理的行政单位（包括实行公务员管理的事业单位）开支的离退休支出。</w:t>
      </w:r>
    </w:p>
    <w:p w14:paraId="4F85BADF">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11</w:t>
      </w:r>
      <w:r>
        <w:rPr>
          <w:rFonts w:hint="default" w:ascii="Times New Roman" w:hAnsi="Times New Roman" w:eastAsia="仿宋_GB2312" w:cs="Times New Roman"/>
          <w:b w:val="0"/>
          <w:bCs w:val="0"/>
          <w:sz w:val="32"/>
          <w:szCs w:val="32"/>
        </w:rPr>
        <w:t>.社会保障和就业支出（类）抚恤（款）死亡抚恤（项）：反映按规定用于烈士和牺牲、病故人员家属的一次性和定期抚恤金以及丧葬补助费。</w:t>
      </w:r>
    </w:p>
    <w:p w14:paraId="49EA8687">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.社会保障和就业支出（类）行政事业单位离退休（款）机关事业单位基本养老保险缴费支出（项）：反映机关事业单位实施养老保险制度由单位缴纳的基本养老保险费支出。</w:t>
      </w:r>
    </w:p>
    <w:p w14:paraId="24BEBF53">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13</w:t>
      </w:r>
      <w:r>
        <w:rPr>
          <w:rFonts w:hint="default" w:ascii="Times New Roman" w:hAnsi="Times New Roman" w:eastAsia="仿宋_GB2312" w:cs="Times New Roman"/>
          <w:b w:val="0"/>
          <w:bCs w:val="0"/>
          <w:sz w:val="32"/>
          <w:szCs w:val="32"/>
        </w:rPr>
        <w:t>.社会保障和就业支出（类）行政事业单位离退休（款）机关事业单位职业年金缴费支出（项）：反映机关事业单位实施养老保险制度由单位实际缴纳的职业年金支出。</w:t>
      </w:r>
    </w:p>
    <w:p w14:paraId="5B075756">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14</w:t>
      </w:r>
      <w:r>
        <w:rPr>
          <w:rFonts w:hint="default" w:ascii="Times New Roman" w:hAnsi="Times New Roman" w:eastAsia="仿宋_GB2312" w:cs="Times New Roman"/>
          <w:b w:val="0"/>
          <w:bCs w:val="0"/>
          <w:sz w:val="32"/>
          <w:szCs w:val="32"/>
        </w:rPr>
        <w:t>.住房保障支出（类）住房改革支出（款）住房公积金（项）：反映行政事业单位按人力资源和社会保障部、财政部规定的基本工资和津贴补贴以及规定比例为职工缴纳的住房公积金。</w:t>
      </w:r>
    </w:p>
    <w:p w14:paraId="3D2D22F0">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.基本支出：指为保障机构正常运转、完成日常工作任务而发生的人员支出和公用支出。</w:t>
      </w:r>
    </w:p>
    <w:p w14:paraId="1D3DAD3E">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.项目支出：指在基本支出之外为完成特定行政任务和事业发展目标所发生的支出。</w:t>
      </w:r>
    </w:p>
    <w:p w14:paraId="65A7F50E">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14:paraId="3C7C4F62">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3FEC124">
      <w:pPr>
        <w:pStyle w:val="26"/>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8F85BB5">
      <w:pPr>
        <w:spacing w:line="600" w:lineRule="exact"/>
        <w:jc w:val="center"/>
        <w:outlineLvl w:val="9"/>
        <w:rPr>
          <w:rFonts w:hint="default" w:ascii="Times New Roman" w:hAnsi="Times New Roman" w:eastAsia="黑体" w:cs="Times New Roman"/>
          <w:sz w:val="44"/>
          <w:szCs w:val="44"/>
        </w:rPr>
      </w:pPr>
      <w:bookmarkStart w:id="76" w:name="_Toc15396614"/>
      <w:bookmarkStart w:id="77" w:name="_Toc15377226"/>
    </w:p>
    <w:p w14:paraId="27488A34">
      <w:pPr>
        <w:spacing w:line="600" w:lineRule="exact"/>
        <w:jc w:val="center"/>
        <w:outlineLvl w:val="9"/>
        <w:rPr>
          <w:rFonts w:hint="default" w:ascii="Times New Roman" w:hAnsi="Times New Roman" w:eastAsia="黑体" w:cs="Times New Roman"/>
          <w:sz w:val="44"/>
          <w:szCs w:val="44"/>
        </w:rPr>
      </w:pPr>
    </w:p>
    <w:p w14:paraId="7E20626E">
      <w:pPr>
        <w:spacing w:line="600" w:lineRule="exact"/>
        <w:jc w:val="center"/>
        <w:outlineLvl w:val="9"/>
        <w:rPr>
          <w:rFonts w:hint="default" w:ascii="Times New Roman" w:hAnsi="Times New Roman" w:eastAsia="黑体" w:cs="Times New Roman"/>
          <w:sz w:val="44"/>
          <w:szCs w:val="44"/>
        </w:rPr>
      </w:pPr>
    </w:p>
    <w:p w14:paraId="4279FDF7">
      <w:pPr>
        <w:spacing w:line="600" w:lineRule="exact"/>
        <w:jc w:val="center"/>
        <w:outlineLvl w:val="9"/>
        <w:rPr>
          <w:rFonts w:hint="default" w:ascii="Times New Roman" w:hAnsi="Times New Roman" w:eastAsia="黑体" w:cs="Times New Roman"/>
          <w:sz w:val="44"/>
          <w:szCs w:val="44"/>
        </w:rPr>
      </w:pPr>
    </w:p>
    <w:p w14:paraId="71D63A92">
      <w:pPr>
        <w:spacing w:line="600" w:lineRule="exact"/>
        <w:jc w:val="center"/>
        <w:outlineLvl w:val="9"/>
        <w:rPr>
          <w:rFonts w:hint="default" w:ascii="Times New Roman" w:hAnsi="Times New Roman" w:eastAsia="黑体" w:cs="Times New Roman"/>
          <w:sz w:val="44"/>
          <w:szCs w:val="44"/>
        </w:rPr>
      </w:pPr>
    </w:p>
    <w:p w14:paraId="2EB1DB40">
      <w:pPr>
        <w:spacing w:line="600" w:lineRule="exact"/>
        <w:jc w:val="center"/>
        <w:outlineLvl w:val="9"/>
        <w:rPr>
          <w:rFonts w:hint="default" w:ascii="Times New Roman" w:hAnsi="Times New Roman" w:eastAsia="黑体" w:cs="Times New Roman"/>
          <w:sz w:val="44"/>
          <w:szCs w:val="44"/>
        </w:rPr>
      </w:pPr>
    </w:p>
    <w:p w14:paraId="77EFFED6">
      <w:pPr>
        <w:spacing w:line="600" w:lineRule="exact"/>
        <w:jc w:val="center"/>
        <w:outlineLvl w:val="9"/>
        <w:rPr>
          <w:rFonts w:hint="default" w:ascii="Times New Roman" w:hAnsi="Times New Roman" w:eastAsia="黑体" w:cs="Times New Roman"/>
          <w:sz w:val="44"/>
          <w:szCs w:val="44"/>
        </w:rPr>
      </w:pPr>
    </w:p>
    <w:p w14:paraId="7296D6F7">
      <w:pPr>
        <w:spacing w:line="600" w:lineRule="exact"/>
        <w:jc w:val="center"/>
        <w:outlineLvl w:val="9"/>
        <w:rPr>
          <w:rFonts w:hint="default" w:ascii="Times New Roman" w:hAnsi="Times New Roman" w:eastAsia="黑体" w:cs="Times New Roman"/>
          <w:sz w:val="44"/>
          <w:szCs w:val="44"/>
        </w:rPr>
      </w:pPr>
    </w:p>
    <w:p w14:paraId="442C712E">
      <w:pPr>
        <w:spacing w:line="600" w:lineRule="exact"/>
        <w:jc w:val="center"/>
        <w:outlineLvl w:val="9"/>
        <w:rPr>
          <w:rFonts w:hint="default" w:ascii="Times New Roman" w:hAnsi="Times New Roman" w:eastAsia="黑体" w:cs="Times New Roman"/>
          <w:sz w:val="44"/>
          <w:szCs w:val="44"/>
        </w:rPr>
      </w:pPr>
    </w:p>
    <w:p w14:paraId="10BD983A">
      <w:pPr>
        <w:spacing w:line="600" w:lineRule="exact"/>
        <w:jc w:val="center"/>
        <w:outlineLvl w:val="9"/>
        <w:rPr>
          <w:rFonts w:hint="default" w:ascii="Times New Roman" w:hAnsi="Times New Roman" w:eastAsia="黑体" w:cs="Times New Roman"/>
          <w:sz w:val="44"/>
          <w:szCs w:val="44"/>
        </w:rPr>
      </w:pPr>
    </w:p>
    <w:p w14:paraId="4C24C9B1">
      <w:pPr>
        <w:spacing w:line="600" w:lineRule="exact"/>
        <w:jc w:val="center"/>
        <w:outlineLvl w:val="9"/>
        <w:rPr>
          <w:rFonts w:hint="default" w:ascii="Times New Roman" w:hAnsi="Times New Roman" w:eastAsia="黑体" w:cs="Times New Roman"/>
          <w:sz w:val="44"/>
          <w:szCs w:val="44"/>
        </w:rPr>
      </w:pPr>
    </w:p>
    <w:p w14:paraId="541B82E1">
      <w:pPr>
        <w:rPr>
          <w:rFonts w:hint="default" w:ascii="Times New Roman" w:hAnsi="Times New Roman" w:eastAsia="黑体" w:cs="Times New Roman"/>
          <w:sz w:val="44"/>
          <w:szCs w:val="44"/>
        </w:rPr>
      </w:pPr>
      <w:r>
        <w:rPr>
          <w:rFonts w:hint="default" w:ascii="Times New Roman" w:hAnsi="Times New Roman" w:eastAsia="黑体" w:cs="Times New Roman"/>
          <w:sz w:val="44"/>
          <w:szCs w:val="44"/>
        </w:rPr>
        <w:br w:type="page"/>
      </w:r>
    </w:p>
    <w:p w14:paraId="4869EA3C">
      <w:pPr>
        <w:pStyle w:val="4"/>
        <w:keepNext/>
        <w:keepLines/>
        <w:pageBreakBefore w:val="0"/>
        <w:widowControl w:val="0"/>
        <w:numPr>
          <w:ilvl w:val="0"/>
          <w:numId w:val="2"/>
        </w:numPr>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bookmarkStart w:id="78" w:name="_Toc14722"/>
      <w:r>
        <w:rPr>
          <w:rFonts w:hint="default" w:ascii="Times New Roman" w:hAnsi="Times New Roman" w:eastAsia="方正小标宋简体" w:cs="Times New Roman"/>
          <w:b w:val="0"/>
          <w:bCs w:val="0"/>
          <w:sz w:val="44"/>
          <w:szCs w:val="44"/>
          <w:lang w:val="en-US" w:eastAsia="zh-CN"/>
        </w:rPr>
        <w:t>附件</w:t>
      </w:r>
      <w:bookmarkEnd w:id="76"/>
      <w:bookmarkEnd w:id="78"/>
    </w:p>
    <w:p w14:paraId="76F5317C">
      <w:pPr>
        <w:numPr>
          <w:ilvl w:val="0"/>
          <w:numId w:val="0"/>
        </w:numPr>
        <w:rPr>
          <w:rFonts w:hint="default" w:ascii="Times New Roman" w:hAnsi="Times New Roman" w:cs="Times New Roman"/>
          <w:lang w:val="en-US" w:eastAsia="zh-CN"/>
        </w:rPr>
      </w:pPr>
    </w:p>
    <w:p w14:paraId="6D6D8E5E">
      <w:pPr>
        <w:pStyle w:val="4"/>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val="0"/>
          <w:bCs w:val="0"/>
          <w:sz w:val="44"/>
          <w:szCs w:val="44"/>
          <w:lang w:val="en-US" w:eastAsia="zh-CN"/>
        </w:rPr>
      </w:pPr>
      <w:bookmarkStart w:id="79" w:name="_Toc78"/>
      <w:r>
        <w:rPr>
          <w:rFonts w:hint="default" w:ascii="Times New Roman" w:hAnsi="Times New Roman" w:eastAsia="方正小标宋简体" w:cs="Times New Roman"/>
          <w:b w:val="0"/>
          <w:bCs w:val="0"/>
          <w:sz w:val="44"/>
          <w:szCs w:val="44"/>
          <w:lang w:val="en-US" w:eastAsia="zh-CN"/>
        </w:rPr>
        <w:t>盐边县人民政府办公室</w:t>
      </w:r>
      <w:bookmarkEnd w:id="79"/>
    </w:p>
    <w:p w14:paraId="161CFBA7">
      <w:pPr>
        <w:pStyle w:val="4"/>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val="0"/>
          <w:bCs w:val="0"/>
          <w:sz w:val="44"/>
          <w:szCs w:val="44"/>
          <w:lang w:val="en-US" w:eastAsia="zh-CN"/>
        </w:rPr>
      </w:pPr>
      <w:bookmarkStart w:id="80" w:name="_Toc27738_WPSOffice_Level2"/>
      <w:bookmarkStart w:id="81" w:name="_Toc28822_WPSOffice_Level2"/>
      <w:bookmarkStart w:id="82" w:name="_Toc4735_WPSOffice_Level2"/>
      <w:bookmarkStart w:id="83" w:name="_Toc31358_WPSOffice_Level2"/>
      <w:bookmarkStart w:id="84" w:name="_Toc27117"/>
      <w:r>
        <w:rPr>
          <w:rFonts w:hint="default" w:ascii="Times New Roman" w:hAnsi="Times New Roman" w:eastAsia="方正小标宋简体" w:cs="Times New Roman"/>
          <w:b w:val="0"/>
          <w:bCs w:val="0"/>
          <w:sz w:val="44"/>
          <w:szCs w:val="44"/>
          <w:lang w:val="en-US" w:eastAsia="zh-CN"/>
        </w:rPr>
        <w:t>2021年部门整体绩效评价报告</w:t>
      </w:r>
      <w:bookmarkEnd w:id="80"/>
      <w:bookmarkEnd w:id="81"/>
      <w:bookmarkEnd w:id="82"/>
      <w:bookmarkEnd w:id="83"/>
      <w:bookmarkEnd w:id="84"/>
    </w:p>
    <w:p w14:paraId="56935606">
      <w:pPr>
        <w:rPr>
          <w:rFonts w:hint="default"/>
          <w:lang w:val="en-US" w:eastAsia="zh-CN"/>
        </w:rPr>
      </w:pPr>
    </w:p>
    <w:p w14:paraId="59F190BE">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Style w:val="29"/>
          <w:rFonts w:hint="default" w:ascii="Times New Roman" w:hAnsi="Times New Roman" w:eastAsia="黑体" w:cs="Times New Roman"/>
          <w:b w:val="0"/>
          <w:bCs w:val="0"/>
        </w:rPr>
      </w:pPr>
      <w:bookmarkStart w:id="85" w:name="_Toc21495"/>
      <w:r>
        <w:rPr>
          <w:rStyle w:val="29"/>
          <w:rFonts w:hint="default" w:ascii="Times New Roman" w:hAnsi="Times New Roman" w:eastAsia="黑体" w:cs="Times New Roman"/>
          <w:b w:val="0"/>
          <w:bCs w:val="0"/>
        </w:rPr>
        <w:t>一、部门概况</w:t>
      </w:r>
      <w:bookmarkEnd w:id="85"/>
    </w:p>
    <w:p w14:paraId="32ECE7C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86" w:name="_Toc20618_WPSOffice_Level2"/>
      <w:bookmarkStart w:id="87" w:name="_Toc2557_WPSOffice_Level2"/>
      <w:bookmarkStart w:id="88" w:name="_Toc12841_WPSOffice_Level2"/>
      <w:r>
        <w:rPr>
          <w:rFonts w:hint="default" w:ascii="Times New Roman" w:hAnsi="Times New Roman" w:eastAsia="楷体_GB2312" w:cs="Times New Roman"/>
          <w:b w:val="0"/>
          <w:bCs w:val="0"/>
          <w:lang w:val="en-US" w:eastAsia="zh-CN"/>
        </w:rPr>
        <w:t>（一）机构组成。</w:t>
      </w:r>
      <w:bookmarkEnd w:id="86"/>
      <w:bookmarkEnd w:id="87"/>
      <w:bookmarkEnd w:id="88"/>
    </w:p>
    <w:p w14:paraId="6342700E">
      <w:pPr>
        <w:keepNext w:val="0"/>
        <w:keepLines w:val="0"/>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color w:val="000000"/>
          <w:sz w:val="32"/>
          <w:szCs w:val="32"/>
        </w:rPr>
      </w:pPr>
      <w:r>
        <w:rPr>
          <w:rFonts w:hint="eastAsia" w:eastAsia="仿宋_GB2312" w:cs="Times New Roman"/>
          <w:b/>
          <w:bCs/>
          <w:spacing w:val="-6"/>
          <w:kern w:val="34"/>
          <w:sz w:val="32"/>
          <w:szCs w:val="32"/>
          <w:lang w:val="en-US" w:eastAsia="zh-CN"/>
        </w:rPr>
        <w:t>1.</w:t>
      </w:r>
      <w:r>
        <w:rPr>
          <w:rFonts w:hint="default" w:ascii="Times New Roman" w:hAnsi="Times New Roman" w:eastAsia="仿宋_GB2312" w:cs="Times New Roman"/>
          <w:b/>
          <w:bCs/>
          <w:spacing w:val="-6"/>
          <w:kern w:val="34"/>
          <w:sz w:val="32"/>
          <w:szCs w:val="32"/>
        </w:rPr>
        <w:t>县政府办公室设下列内设机构。</w:t>
      </w:r>
      <w:r>
        <w:rPr>
          <w:rFonts w:hint="default" w:ascii="Times New Roman" w:hAnsi="Times New Roman" w:eastAsia="仿宋_GB2312" w:cs="Times New Roman"/>
          <w:sz w:val="32"/>
          <w:szCs w:val="32"/>
          <w:shd w:val="clear" w:color="auto" w:fill="FFFFFF"/>
        </w:rPr>
        <w:t>县政府办公室内设行政股、综合一股、综合二股、文电股、政研股、信息股、总值班室</w:t>
      </w:r>
      <w:r>
        <w:rPr>
          <w:rFonts w:hint="default" w:ascii="Times New Roman" w:hAnsi="Times New Roman" w:cs="Times New Roman"/>
          <w:sz w:val="32"/>
          <w:szCs w:val="32"/>
          <w:shd w:val="clear" w:color="auto" w:fill="FFFFFF"/>
        </w:rPr>
        <w:t>7</w:t>
      </w:r>
      <w:r>
        <w:rPr>
          <w:rFonts w:hint="default" w:ascii="Times New Roman" w:hAnsi="Times New Roman" w:eastAsia="仿宋_GB2312" w:cs="Times New Roman"/>
          <w:sz w:val="32"/>
          <w:szCs w:val="32"/>
          <w:shd w:val="clear" w:color="auto" w:fill="FFFFFF"/>
        </w:rPr>
        <w:t>个股室</w:t>
      </w:r>
      <w:r>
        <w:rPr>
          <w:rFonts w:hint="default" w:ascii="Times New Roman" w:hAnsi="Times New Roman" w:eastAsia="仿宋_GB2312" w:cs="Times New Roman"/>
          <w:sz w:val="32"/>
          <w:szCs w:val="32"/>
        </w:rPr>
        <w:t>。</w:t>
      </w:r>
    </w:p>
    <w:p w14:paraId="2ADA455A">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color w:val="000000"/>
          <w:sz w:val="32"/>
          <w:szCs w:val="32"/>
        </w:rPr>
      </w:pPr>
      <w:r>
        <w:rPr>
          <w:rFonts w:hint="eastAsia" w:eastAsia="仿宋_GB2312" w:cs="Times New Roman"/>
          <w:b/>
          <w:bCs/>
          <w:spacing w:val="-6"/>
          <w:kern w:val="34"/>
          <w:sz w:val="32"/>
          <w:szCs w:val="32"/>
          <w:lang w:val="en-US" w:eastAsia="zh-CN"/>
        </w:rPr>
        <w:t>2.</w:t>
      </w:r>
      <w:r>
        <w:rPr>
          <w:rFonts w:hint="default" w:ascii="Times New Roman" w:hAnsi="Times New Roman" w:eastAsia="仿宋_GB2312" w:cs="Times New Roman"/>
          <w:b/>
          <w:bCs/>
          <w:spacing w:val="-6"/>
          <w:kern w:val="34"/>
          <w:sz w:val="32"/>
          <w:szCs w:val="32"/>
          <w:lang w:val="en-US" w:eastAsia="zh-CN"/>
        </w:rPr>
        <w:t>所属事业单位。</w:t>
      </w:r>
      <w:r>
        <w:rPr>
          <w:rFonts w:hint="default" w:ascii="Times New Roman" w:hAnsi="Times New Roman" w:eastAsia="仿宋_GB2312" w:cs="Times New Roman"/>
          <w:sz w:val="32"/>
          <w:szCs w:val="32"/>
        </w:rPr>
        <w:t>盐边县政府网站事务中心为县政府办公室所属公益一类事业单位。</w:t>
      </w:r>
    </w:p>
    <w:p w14:paraId="7FC13D44">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89" w:name="_Toc24716_WPSOffice_Level2"/>
      <w:bookmarkStart w:id="90" w:name="_Toc22623_WPSOffice_Level2"/>
      <w:bookmarkStart w:id="91" w:name="_Toc8575_WPSOffice_Level2"/>
      <w:r>
        <w:rPr>
          <w:rFonts w:hint="default" w:ascii="Times New Roman" w:hAnsi="Times New Roman" w:eastAsia="楷体_GB2312" w:cs="Times New Roman"/>
          <w:b w:val="0"/>
          <w:bCs w:val="0"/>
          <w:lang w:val="en-US" w:eastAsia="zh-CN"/>
        </w:rPr>
        <w:t>（二）机构职能。</w:t>
      </w:r>
      <w:bookmarkEnd w:id="89"/>
      <w:bookmarkEnd w:id="90"/>
      <w:bookmarkEnd w:id="91"/>
    </w:p>
    <w:p w14:paraId="45E65C20">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共盐边县委机构编制委员会《关于印发盐边县人民政府办公室主要职责内设机构和人员编制规定的通知》（盐边编发〔2012〕5号）规定，县政府办公室是协助县政府领导同志处理县政府日常工作的机构，职能职责如下：</w:t>
      </w:r>
    </w:p>
    <w:p w14:paraId="0571B041">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1.协助县政府领导同志组织起草或审核以县政府、县政府办公室名义发布的公文。办理省政府、省政府办公厅及省级部门和市政府、市政府办公室及市级部门发送县政府的文电。指导全县行政机关公文处理工作。</w:t>
      </w:r>
    </w:p>
    <w:p w14:paraId="6D2FEC8B">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2.研究县政府部门和乡（镇）人民政府、县政府派出机构请示县政府的事项，提出审核意见，报县政府领导同志审批。</w:t>
      </w:r>
    </w:p>
    <w:p w14:paraId="4A42ADCF">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3.负责县政府会议的准备工作，协助县政府领导同志组织实施会议决定事项。</w:t>
      </w:r>
    </w:p>
    <w:p w14:paraId="5A730595">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4.督促检查县政府部门和乡（镇）人民政府、县政府派出机构对县政府决定事项及县政府领导同志指示的贯彻落实情况，及时向县政府领导同志报告。</w:t>
      </w:r>
    </w:p>
    <w:p w14:paraId="3D3E6D34">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5.根据县政府领导同志的指示，对县政府部门间争议问题提出处理意见和建议，报县政府领导同志决定。</w:t>
      </w:r>
    </w:p>
    <w:p w14:paraId="0C753ABE">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6.负责县政府值班工作，指导县政府部门和乡（镇）人民政府、县政府派出机构值班工作，及时报告重要情况。</w:t>
      </w:r>
    </w:p>
    <w:p w14:paraId="6BAF5A55">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7.指导、监督全县政府信息公开工作，指导、监督全县政府系统电子政务工作和政府网站建设。</w:t>
      </w:r>
    </w:p>
    <w:p w14:paraId="69A6E31E">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8.负责县政府部门和乡（镇）人民政府、县政府派出机构目标（绩效）管理工作，牵头负责全县民生工程工作的实施和推进，组织办理涉及县政府工作的人大代表议案、批评、建议和政协委员提案、建议案。</w:t>
      </w:r>
    </w:p>
    <w:p w14:paraId="62621A20">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9.指导全县应急管理工作，协助县政府领导同志做好需由县政府组织处理的突发事件的应急处置工作，指导全县抗灾救灾工作。</w:t>
      </w:r>
    </w:p>
    <w:p w14:paraId="508A1E1A">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10.围绕县政府中心工作和县政府领导同志的指示，组织专题调查研究，及时反映情况，提出政策性建议。</w:t>
      </w:r>
    </w:p>
    <w:p w14:paraId="57A521A1">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11.统筹管理全县外事工作，归口管理全县因公出国（境）工作，负责全县涉外管理、相关礼宾接待、国际友好城市缔结和对外友协工作，办理其他相关涉外事务。</w:t>
      </w:r>
    </w:p>
    <w:p w14:paraId="2BE9D36B">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12.负责县政府法制工作，负责全县依法行政工作的组织协调和监督指导，负责县政府规范性文件的合法性审查和制定工作，依法开展行政执法监督工作，做好行政复议、行政应诉工作。</w:t>
      </w:r>
    </w:p>
    <w:p w14:paraId="4E2846A1">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13.负责县政府驻外机构的管理工作。</w:t>
      </w:r>
    </w:p>
    <w:p w14:paraId="125D013F">
      <w:pPr>
        <w:pageBreakBefore w:val="0"/>
        <w:widowControl/>
        <w:kinsoku/>
        <w:wordWrap/>
        <w:overflowPunct/>
        <w:topLinePunct w:val="0"/>
        <w:autoSpaceDE/>
        <w:autoSpaceDN/>
        <w:bidi w:val="0"/>
        <w:adjustRightInd w:val="0"/>
        <w:snapToGrid w:val="0"/>
        <w:spacing w:line="560" w:lineRule="exact"/>
        <w:ind w:left="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14.承担县政府公布的有关行政审批事项。</w:t>
      </w:r>
    </w:p>
    <w:p w14:paraId="4E601253">
      <w:pPr>
        <w:pageBreakBefore w:val="0"/>
        <w:widowControl/>
        <w:kinsoku/>
        <w:wordWrap/>
        <w:overflowPunct/>
        <w:topLinePunct w:val="0"/>
        <w:autoSpaceDE/>
        <w:autoSpaceDN/>
        <w:bidi w:val="0"/>
        <w:adjustRightInd w:val="0"/>
        <w:snapToGrid w:val="0"/>
        <w:spacing w:line="560" w:lineRule="exact"/>
        <w:ind w:left="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15.负责全县机关效能建设工作。</w:t>
      </w:r>
    </w:p>
    <w:p w14:paraId="40F65DF8">
      <w:pPr>
        <w:pageBreakBefore w:val="0"/>
        <w:widowControl/>
        <w:kinsoku/>
        <w:wordWrap/>
        <w:overflowPunct/>
        <w:topLinePunct w:val="0"/>
        <w:autoSpaceDE/>
        <w:autoSpaceDN/>
        <w:bidi w:val="0"/>
        <w:adjustRightInd w:val="0"/>
        <w:snapToGrid w:val="0"/>
        <w:spacing w:line="560" w:lineRule="exact"/>
        <w:ind w:left="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16.承办县政府和县政府领导同志交办的其他事项。</w:t>
      </w:r>
    </w:p>
    <w:p w14:paraId="01A74940">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92" w:name="_Toc20226_WPSOffice_Level2"/>
      <w:bookmarkStart w:id="93" w:name="_Toc940_WPSOffice_Level2"/>
      <w:bookmarkStart w:id="94" w:name="_Toc4040_WPSOffice_Level2"/>
      <w:r>
        <w:rPr>
          <w:rFonts w:hint="default" w:ascii="Times New Roman" w:hAnsi="Times New Roman" w:eastAsia="楷体_GB2312" w:cs="Times New Roman"/>
          <w:b w:val="0"/>
          <w:bCs w:val="0"/>
          <w:lang w:val="en-US" w:eastAsia="zh-CN"/>
        </w:rPr>
        <w:t>（三）人员概况。</w:t>
      </w:r>
      <w:bookmarkEnd w:id="92"/>
      <w:bookmarkEnd w:id="93"/>
      <w:bookmarkEnd w:id="94"/>
    </w:p>
    <w:p w14:paraId="2ACAFF97">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县政府办公室编制数44名，其中行政编制20名，机关后勤编制8名，事业编制16名。离退休人员16人。</w:t>
      </w:r>
    </w:p>
    <w:p w14:paraId="6CC4C23C">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Style w:val="29"/>
          <w:rFonts w:hint="default" w:ascii="Times New Roman" w:hAnsi="Times New Roman" w:eastAsia="黑体" w:cs="Times New Roman"/>
          <w:b w:val="0"/>
          <w:bCs w:val="0"/>
        </w:rPr>
      </w:pPr>
      <w:bookmarkStart w:id="95" w:name="_Toc15960"/>
      <w:r>
        <w:rPr>
          <w:rStyle w:val="29"/>
          <w:rFonts w:hint="default" w:ascii="Times New Roman" w:hAnsi="Times New Roman" w:eastAsia="黑体" w:cs="Times New Roman"/>
          <w:b w:val="0"/>
          <w:bCs w:val="0"/>
        </w:rPr>
        <w:t>二、部门财政资金基本情况</w:t>
      </w:r>
      <w:bookmarkEnd w:id="95"/>
    </w:p>
    <w:p w14:paraId="0480834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96" w:name="_Toc22600_WPSOffice_Level2"/>
      <w:bookmarkStart w:id="97" w:name="_Toc30867_WPSOffice_Level2"/>
      <w:r>
        <w:rPr>
          <w:rFonts w:hint="default" w:ascii="Times New Roman" w:hAnsi="Times New Roman" w:eastAsia="楷体_GB2312" w:cs="Times New Roman"/>
          <w:b w:val="0"/>
          <w:bCs w:val="0"/>
          <w:lang w:val="en-US" w:eastAsia="zh-CN"/>
        </w:rPr>
        <w:t>（一）财政资金收入情况。</w:t>
      </w:r>
      <w:bookmarkEnd w:id="96"/>
      <w:bookmarkEnd w:id="97"/>
    </w:p>
    <w:p w14:paraId="1D0B9994">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2021年我单位本年收入总额为1164.78万元，均为财政拨款补助收入，占总收入的100%，无预算外资金收入和其他收入。其中：一般公共</w:t>
      </w:r>
      <w:r>
        <w:rPr>
          <w:rFonts w:hint="default" w:ascii="Times New Roman" w:hAnsi="Times New Roman" w:eastAsia="仿宋_GB2312" w:cs="Times New Roman"/>
          <w:sz w:val="32"/>
          <w:szCs w:val="32"/>
          <w:lang w:val="en-US" w:eastAsia="zh-CN"/>
        </w:rPr>
        <w:t>预算财政拨款收入838.75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年初结转结余326.03</w:t>
      </w:r>
      <w:r>
        <w:rPr>
          <w:rFonts w:hint="default" w:ascii="Times New Roman" w:hAnsi="Times New Roman" w:eastAsia="仿宋_GB2312" w:cs="Times New Roman"/>
          <w:sz w:val="32"/>
          <w:szCs w:val="32"/>
        </w:rPr>
        <w:t>万元。</w:t>
      </w:r>
    </w:p>
    <w:p w14:paraId="5CA54728">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98" w:name="_Toc28213_WPSOffice_Level2"/>
      <w:bookmarkStart w:id="99" w:name="_Toc27920_WPSOffice_Level2"/>
      <w:r>
        <w:rPr>
          <w:rFonts w:hint="default" w:ascii="Times New Roman" w:hAnsi="Times New Roman" w:eastAsia="楷体_GB2312" w:cs="Times New Roman"/>
          <w:b w:val="0"/>
          <w:bCs w:val="0"/>
          <w:lang w:val="en-US" w:eastAsia="zh-CN"/>
        </w:rPr>
        <w:t>（二）财政资金支出情况。</w:t>
      </w:r>
      <w:bookmarkEnd w:id="98"/>
      <w:bookmarkEnd w:id="99"/>
    </w:p>
    <w:p w14:paraId="65644F51">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2021我单位本年支出总额1164.78万元，均为财政拨款补助支出，占总支出的100%。其中：基本支出722.93万元，占总支出的62.07%，项目支出115.82万元，占总支出的9.94%，冲抵暂付326.03万元，占总支出的27.99%。</w:t>
      </w:r>
    </w:p>
    <w:p w14:paraId="165E5F39">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1.</w:t>
      </w:r>
      <w:r>
        <w:rPr>
          <w:rFonts w:hint="default" w:ascii="Times New Roman" w:hAnsi="Times New Roman" w:eastAsia="仿宋_GB2312" w:cs="Times New Roman"/>
          <w:b/>
          <w:bCs/>
          <w:spacing w:val="-6"/>
          <w:kern w:val="34"/>
          <w:sz w:val="32"/>
          <w:szCs w:val="32"/>
          <w:lang w:val="en-US" w:eastAsia="zh-CN"/>
        </w:rPr>
        <w:t>按支出功能分类主要用于以下方面。</w:t>
      </w:r>
    </w:p>
    <w:p w14:paraId="0C5EC746">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（1）</w:t>
      </w:r>
      <w:r>
        <w:rPr>
          <w:rFonts w:hint="default" w:ascii="Times New Roman" w:hAnsi="Times New Roman" w:eastAsia="仿宋_GB2312" w:cs="Times New Roman"/>
          <w:sz w:val="32"/>
          <w:szCs w:val="32"/>
        </w:rPr>
        <w:t>一般公共服务支出949.97万元，占总支出的81.56%，主要用于单位人员工资、日常运转以及为完成特定行政工作任务和事业发展目标而安排的年度项目支出。</w:t>
      </w:r>
    </w:p>
    <w:p w14:paraId="74FBAABD">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（2）</w:t>
      </w:r>
      <w:r>
        <w:rPr>
          <w:rFonts w:hint="default" w:ascii="Times New Roman" w:hAnsi="Times New Roman" w:eastAsia="仿宋_GB2312" w:cs="Times New Roman"/>
          <w:sz w:val="32"/>
          <w:szCs w:val="32"/>
        </w:rPr>
        <w:t>社会保障和就业支出120.60万元，占总支出的10.35%，主要用于单位人员的基本养老保险单位缴费支出以及离退休人员的相关经费支出。</w:t>
      </w:r>
    </w:p>
    <w:p w14:paraId="7C297C50">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（3）</w:t>
      </w:r>
      <w:r>
        <w:rPr>
          <w:rFonts w:hint="default" w:ascii="Times New Roman" w:hAnsi="Times New Roman" w:eastAsia="仿宋_GB2312" w:cs="Times New Roman"/>
          <w:sz w:val="32"/>
          <w:szCs w:val="32"/>
        </w:rPr>
        <w:t>卫生健康支出38.86万元，占总支出的3.</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%，主要用于机关及离退休人员的基本医疗保险缴费等支出</w:t>
      </w:r>
    </w:p>
    <w:p w14:paraId="3D815A38">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（4）</w:t>
      </w:r>
      <w:r>
        <w:rPr>
          <w:rFonts w:hint="default" w:ascii="Times New Roman" w:hAnsi="Times New Roman" w:eastAsia="仿宋_GB2312" w:cs="Times New Roman"/>
          <w:sz w:val="32"/>
          <w:szCs w:val="32"/>
        </w:rPr>
        <w:t>住房保障支出57.35万元，占总支出的4.92%，用于单位按照规定标准为职工缴纳住房公积金等支出。</w:t>
      </w:r>
    </w:p>
    <w:p w14:paraId="7EE64921">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2.</w:t>
      </w:r>
      <w:r>
        <w:rPr>
          <w:rFonts w:hint="default" w:ascii="Times New Roman" w:hAnsi="Times New Roman" w:eastAsia="仿宋_GB2312" w:cs="Times New Roman"/>
          <w:b/>
          <w:bCs/>
          <w:spacing w:val="-6"/>
          <w:kern w:val="34"/>
          <w:sz w:val="32"/>
          <w:szCs w:val="32"/>
          <w:lang w:val="en-US" w:eastAsia="zh-CN"/>
        </w:rPr>
        <w:t>按支出按经济分类主要用于以下方面。</w:t>
      </w:r>
    </w:p>
    <w:p w14:paraId="36F81743">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我单位本年支出1164.78万元，其中：工资福利支出598.47万元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商品服务支出496.31万元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对个人和家庭的补助支出70万元。主要的经费支出有以下几方面</w:t>
      </w:r>
      <w:r>
        <w:rPr>
          <w:rFonts w:hint="eastAsia" w:eastAsia="仿宋_GB2312" w:cs="Times New Roman"/>
          <w:sz w:val="32"/>
          <w:szCs w:val="32"/>
          <w:lang w:eastAsia="zh-CN"/>
        </w:rPr>
        <w:t>：</w:t>
      </w:r>
    </w:p>
    <w:p w14:paraId="364227DB">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（1）</w:t>
      </w:r>
      <w:r>
        <w:rPr>
          <w:rFonts w:hint="default" w:ascii="Times New Roman" w:hAnsi="Times New Roman" w:eastAsia="仿宋_GB2312" w:cs="Times New Roman"/>
          <w:sz w:val="32"/>
          <w:szCs w:val="32"/>
        </w:rPr>
        <w:t>“三公”经费支出情况：本年新增公务接待费0元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国内公务接待</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val="en-US" w:eastAsia="zh-CN"/>
        </w:rPr>
        <w:t>700元；</w:t>
      </w:r>
      <w:r>
        <w:rPr>
          <w:rFonts w:hint="default" w:ascii="Times New Roman" w:hAnsi="Times New Roman" w:eastAsia="仿宋_GB2312" w:cs="Times New Roman"/>
          <w:sz w:val="32"/>
          <w:szCs w:val="32"/>
        </w:rPr>
        <w:t>公务用车运行维护费0元。</w:t>
      </w:r>
    </w:p>
    <w:p w14:paraId="1DD6270D">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（2）</w:t>
      </w:r>
      <w:r>
        <w:rPr>
          <w:rFonts w:hint="default" w:ascii="Times New Roman" w:hAnsi="Times New Roman" w:eastAsia="仿宋_GB2312" w:cs="Times New Roman"/>
          <w:sz w:val="32"/>
          <w:szCs w:val="32"/>
        </w:rPr>
        <w:t>差旅费：本年差旅费支出10.44万元。</w:t>
      </w:r>
    </w:p>
    <w:p w14:paraId="19FC04E8">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（3）</w:t>
      </w:r>
      <w:r>
        <w:rPr>
          <w:rFonts w:hint="default" w:ascii="Times New Roman" w:hAnsi="Times New Roman" w:eastAsia="仿宋_GB2312" w:cs="Times New Roman"/>
          <w:sz w:val="32"/>
          <w:szCs w:val="32"/>
        </w:rPr>
        <w:t>办公费：本年办公费支出8.54万元。</w:t>
      </w:r>
    </w:p>
    <w:p w14:paraId="3C585B05">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（4）</w:t>
      </w:r>
      <w:r>
        <w:rPr>
          <w:rFonts w:hint="default" w:ascii="Times New Roman" w:hAnsi="Times New Roman" w:eastAsia="仿宋_GB2312" w:cs="Times New Roman"/>
          <w:sz w:val="32"/>
          <w:szCs w:val="32"/>
        </w:rPr>
        <w:t>邮电费：本年邮电费支出0.52万元。</w:t>
      </w:r>
    </w:p>
    <w:p w14:paraId="1ED13BD9">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（5）</w:t>
      </w:r>
      <w:r>
        <w:rPr>
          <w:rFonts w:hint="default" w:ascii="Times New Roman" w:hAnsi="Times New Roman" w:eastAsia="仿宋_GB2312" w:cs="Times New Roman"/>
          <w:sz w:val="32"/>
          <w:szCs w:val="32"/>
        </w:rPr>
        <w:t>其他交通费用：本年职工公务用车交通补助21.08万元。</w:t>
      </w:r>
    </w:p>
    <w:p w14:paraId="646639A2">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00" w:name="_Toc8607_WPSOffice_Level2"/>
      <w:bookmarkStart w:id="101" w:name="_Toc12080_WPSOffice_Level2"/>
      <w:r>
        <w:rPr>
          <w:rFonts w:hint="default" w:ascii="Times New Roman" w:hAnsi="Times New Roman" w:eastAsia="楷体_GB2312" w:cs="Times New Roman"/>
          <w:b w:val="0"/>
          <w:bCs w:val="0"/>
          <w:lang w:val="en-US" w:eastAsia="zh-CN"/>
        </w:rPr>
        <w:t>（三）财政资金结转结余情况。</w:t>
      </w:r>
      <w:bookmarkEnd w:id="100"/>
      <w:bookmarkEnd w:id="101"/>
    </w:p>
    <w:p w14:paraId="3E429594">
      <w:pPr>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2021年我单位年终无结转结余资金。</w:t>
      </w:r>
    </w:p>
    <w:p w14:paraId="4116D824">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Style w:val="29"/>
          <w:rFonts w:hint="default" w:ascii="Times New Roman" w:hAnsi="Times New Roman" w:eastAsia="黑体" w:cs="Times New Roman"/>
          <w:b w:val="0"/>
          <w:bCs w:val="0"/>
        </w:rPr>
      </w:pPr>
      <w:bookmarkStart w:id="102" w:name="_Toc28198"/>
      <w:r>
        <w:rPr>
          <w:rStyle w:val="29"/>
          <w:rFonts w:hint="default" w:ascii="Times New Roman" w:hAnsi="Times New Roman" w:eastAsia="黑体" w:cs="Times New Roman"/>
          <w:b w:val="0"/>
          <w:bCs w:val="0"/>
        </w:rPr>
        <w:t>三、部门预算绩效管理情况（项目自评报告根据要求另行单独报送）。</w:t>
      </w:r>
      <w:bookmarkEnd w:id="102"/>
    </w:p>
    <w:p w14:paraId="3241A9FE">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03" w:name="_Toc18560_WPSOffice_Level2"/>
      <w:bookmarkStart w:id="104" w:name="_Toc17784_WPSOffice_Level2"/>
      <w:bookmarkStart w:id="105" w:name="_Toc19492_WPSOffice_Level2"/>
      <w:r>
        <w:rPr>
          <w:rFonts w:hint="default" w:ascii="Times New Roman" w:hAnsi="Times New Roman" w:eastAsia="楷体_GB2312" w:cs="Times New Roman"/>
          <w:b w:val="0"/>
          <w:bCs w:val="0"/>
          <w:lang w:val="en-US" w:eastAsia="zh-CN"/>
        </w:rPr>
        <w:t>（一）部门预算绩效管理。</w:t>
      </w:r>
      <w:bookmarkEnd w:id="103"/>
      <w:bookmarkEnd w:id="104"/>
      <w:bookmarkEnd w:id="105"/>
    </w:p>
    <w:p w14:paraId="6E563A17">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根据预算绩效管理工作的有关要求，进一步完善预算绩效管理制度，全面加强绩效目标管理，我单位高度重视，强化责任意识，于2021年年初制定了相应的部门绩效目标，</w:t>
      </w:r>
    </w:p>
    <w:p w14:paraId="4C78ABA6">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1.</w:t>
      </w:r>
      <w:r>
        <w:rPr>
          <w:rFonts w:hint="default" w:ascii="Times New Roman" w:hAnsi="Times New Roman" w:eastAsia="仿宋_GB2312" w:cs="Times New Roman"/>
          <w:b/>
          <w:bCs/>
          <w:spacing w:val="-6"/>
          <w:kern w:val="34"/>
          <w:sz w:val="32"/>
          <w:szCs w:val="32"/>
          <w:lang w:val="en-US" w:eastAsia="zh-CN"/>
        </w:rPr>
        <w:t>加强党的建设，进一步提升服务意识。</w:t>
      </w:r>
    </w:p>
    <w:p w14:paraId="7FEC4329">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县委、县政府工作为中心，坚持“十四五”规划发展原则，着眼“十四五”规划发展目标，加强办公室学习和培训，提高工作人员服务能力和水平，对文件精神学深悟透，对各项工作孰能于心，努力优化县政府服务环境，进一步强化大局意识、责任意识、服务意识、创新意识，做到超前服务、主动服务、满意服务。</w:t>
      </w:r>
    </w:p>
    <w:p w14:paraId="1307D326">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2.</w:t>
      </w:r>
      <w:r>
        <w:rPr>
          <w:rFonts w:hint="default" w:ascii="Times New Roman" w:hAnsi="Times New Roman" w:eastAsia="仿宋_GB2312" w:cs="Times New Roman"/>
          <w:b/>
          <w:bCs/>
          <w:spacing w:val="-6"/>
          <w:kern w:val="34"/>
          <w:sz w:val="32"/>
          <w:szCs w:val="32"/>
          <w:lang w:val="en-US" w:eastAsia="zh-CN"/>
        </w:rPr>
        <w:t>履行职能职责，进一步确保政令畅通。</w:t>
      </w:r>
    </w:p>
    <w:p w14:paraId="0B1FE5B4">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发挥办公室职能职责，主动增强与市、县两级部门的联系、对接和沟通，科学合理安排好县政府领导日常活动，实现政府工作无缝对接。进一步提高办公室工作人员政治站位，坚决树立“马上就办，真抓实干”的意识，服从服务于“十四五”规划发展大局，因势利导推进各项重点工作，把工作标准调整到最高、工作热情调整到最大、工作劲头调整到最佳，严于律己，敢于负责，争当表率，形成合力，确保县委、县政府决策部署高效畅通。</w:t>
      </w:r>
    </w:p>
    <w:p w14:paraId="4B1BD2EE">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3.</w:t>
      </w:r>
      <w:r>
        <w:rPr>
          <w:rFonts w:hint="default" w:ascii="Times New Roman" w:hAnsi="Times New Roman" w:eastAsia="仿宋_GB2312" w:cs="Times New Roman"/>
          <w:b/>
          <w:bCs/>
          <w:spacing w:val="-6"/>
          <w:kern w:val="34"/>
          <w:sz w:val="32"/>
          <w:szCs w:val="32"/>
          <w:lang w:val="en-US" w:eastAsia="zh-CN"/>
        </w:rPr>
        <w:t>注重对接协调，进一步当好参谋助手。</w:t>
      </w:r>
    </w:p>
    <w:p w14:paraId="0148DB30">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做好县政府的“千里眼”和“顺风耳”，紧紧围绕全县“十四五”规划重点工作和经济社会发展重点、难点问题，积极协调各单位部门，主动了解相关情况，第一时间掌握相关资料，寻求破解难题的办法和助力发展的良策，及时准确为领导决策部署提供高质量参考。</w:t>
      </w:r>
    </w:p>
    <w:p w14:paraId="1FECDA3C">
      <w:pPr>
        <w:pageBreakBefore w:val="0"/>
        <w:widowControl/>
        <w:kinsoku/>
        <w:wordWrap/>
        <w:overflowPunct/>
        <w:topLinePunct w:val="0"/>
        <w:autoSpaceDE/>
        <w:autoSpaceDN/>
        <w:bidi w:val="0"/>
        <w:adjustRightInd w:val="0"/>
        <w:snapToGrid w:val="0"/>
        <w:spacing w:line="560" w:lineRule="exact"/>
        <w:ind w:left="0"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4.</w:t>
      </w:r>
      <w:r>
        <w:rPr>
          <w:rFonts w:hint="default" w:ascii="Times New Roman" w:hAnsi="Times New Roman" w:eastAsia="仿宋_GB2312" w:cs="Times New Roman"/>
          <w:b/>
          <w:bCs/>
          <w:spacing w:val="-6"/>
          <w:kern w:val="34"/>
          <w:sz w:val="32"/>
          <w:szCs w:val="32"/>
          <w:lang w:val="en-US" w:eastAsia="zh-CN"/>
        </w:rPr>
        <w:t>勇于担当作为，进一步转变工作作风。</w:t>
      </w:r>
    </w:p>
    <w:p w14:paraId="2BF68808">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立足本职工作，履行岗位职责，践行使命担当，持续抓好政务公开、政务信息、网站建设、值班值守、公文收发等各项业务工作，形成各股室相互配合，衔接有序的良好工作氛围。进一步转变工作人员工作作风，树立敢于锐意进取、善于开拓创新，勇于直面矛盾，发挥挑重担、涉险滩、啃骨头的担当精神，求真务实，严于律己，尽心尽力</w:t>
      </w:r>
      <w:r>
        <w:rPr>
          <w:rFonts w:hint="eastAsia" w:eastAsia="仿宋_GB2312" w:cs="Times New Roman"/>
          <w:sz w:val="32"/>
          <w:szCs w:val="32"/>
          <w:lang w:eastAsia="zh-CN"/>
        </w:rPr>
        <w:t>地</w:t>
      </w:r>
      <w:r>
        <w:rPr>
          <w:rFonts w:hint="default" w:ascii="Times New Roman" w:hAnsi="Times New Roman" w:eastAsia="仿宋_GB2312" w:cs="Times New Roman"/>
          <w:sz w:val="32"/>
          <w:szCs w:val="32"/>
        </w:rPr>
        <w:t>做好办公室工作。</w:t>
      </w:r>
    </w:p>
    <w:p w14:paraId="0F28D811">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对全部财政拨款收入均按要求实行绩效目标管理。全年所有支出都按照有关规定强化资金管理，提升资金使用效率，认真落实厉行节约各项政策，截</w:t>
      </w:r>
      <w:r>
        <w:rPr>
          <w:rFonts w:hint="eastAsia" w:eastAsia="仿宋_GB2312" w:cs="Times New Roman"/>
          <w:sz w:val="32"/>
          <w:szCs w:val="32"/>
          <w:lang w:eastAsia="zh-CN"/>
        </w:rPr>
        <w:t>至</w:t>
      </w:r>
      <w:r>
        <w:rPr>
          <w:rFonts w:hint="default" w:ascii="Times New Roman" w:hAnsi="Times New Roman" w:eastAsia="仿宋_GB2312" w:cs="Times New Roman"/>
          <w:sz w:val="32"/>
          <w:szCs w:val="32"/>
        </w:rPr>
        <w:t>2021年12月底，本单位支出执行数为1164.78万元，执行率达到100%，无资金结余等情况，较好地完成了年初制定的工作目标任务，各项工作有序推进，整体支出平稳，较好地实现社会效益和可持续效益目标，全面达到绩效目标完成进度。</w:t>
      </w:r>
    </w:p>
    <w:p w14:paraId="7F65038F">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06" w:name="_Toc31320_WPSOffice_Level2"/>
      <w:bookmarkStart w:id="107" w:name="_Toc28273_WPSOffice_Level2"/>
      <w:bookmarkStart w:id="108" w:name="_Toc26401_WPSOffice_Level2"/>
      <w:r>
        <w:rPr>
          <w:rFonts w:hint="default" w:ascii="Times New Roman" w:hAnsi="Times New Roman" w:eastAsia="楷体_GB2312" w:cs="Times New Roman"/>
          <w:b w:val="0"/>
          <w:bCs w:val="0"/>
          <w:lang w:val="en-US" w:eastAsia="zh-CN"/>
        </w:rPr>
        <w:t>（二）结果应用情况。</w:t>
      </w:r>
      <w:bookmarkEnd w:id="106"/>
      <w:bookmarkEnd w:id="107"/>
      <w:bookmarkEnd w:id="108"/>
    </w:p>
    <w:p w14:paraId="2AD2D90E">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我单位根据盐边县财政局《关于开展2021年度部门预算整体</w:t>
      </w:r>
      <w:r>
        <w:rPr>
          <w:rFonts w:hint="eastAsia" w:eastAsia="仿宋_GB2312" w:cs="Times New Roman"/>
          <w:sz w:val="32"/>
          <w:szCs w:val="32"/>
          <w:lang w:eastAsia="zh-CN"/>
        </w:rPr>
        <w:t>及</w:t>
      </w:r>
      <w:r>
        <w:rPr>
          <w:rFonts w:hint="default" w:ascii="Times New Roman" w:hAnsi="Times New Roman" w:eastAsia="仿宋_GB2312" w:cs="Times New Roman"/>
          <w:sz w:val="32"/>
          <w:szCs w:val="32"/>
        </w:rPr>
        <w:t>项目支出绩效自评工作的通知》（盐边财绩〔2022〕3号）文件要求，对2021年度部门支出绩效进行了认真自评，自评等级为良好。在资金的管理和使用上，严格按照相关</w:t>
      </w:r>
      <w:r>
        <w:rPr>
          <w:rFonts w:hint="eastAsia" w:eastAsia="仿宋_GB2312" w:cs="Times New Roman"/>
          <w:sz w:val="32"/>
          <w:szCs w:val="32"/>
          <w:lang w:eastAsia="zh-CN"/>
        </w:rPr>
        <w:t>法律法规</w:t>
      </w:r>
      <w:r>
        <w:rPr>
          <w:rFonts w:hint="default" w:ascii="Times New Roman" w:hAnsi="Times New Roman" w:eastAsia="仿宋_GB2312" w:cs="Times New Roman"/>
          <w:sz w:val="32"/>
          <w:szCs w:val="32"/>
        </w:rPr>
        <w:t>规定，遵守财经纪律，认真履行部门职能职责，深入了解资金的执行和使用情况，以及所产生的经济效益、社会效益等，</w:t>
      </w:r>
      <w:r>
        <w:rPr>
          <w:rFonts w:hint="eastAsia" w:eastAsia="仿宋_GB2312" w:cs="Times New Roman"/>
          <w:sz w:val="32"/>
          <w:szCs w:val="32"/>
          <w:lang w:eastAsia="zh-CN"/>
        </w:rPr>
        <w:t>查找</w:t>
      </w:r>
      <w:r>
        <w:rPr>
          <w:rFonts w:hint="default" w:ascii="Times New Roman" w:hAnsi="Times New Roman" w:eastAsia="仿宋_GB2312" w:cs="Times New Roman"/>
          <w:sz w:val="32"/>
          <w:szCs w:val="32"/>
        </w:rPr>
        <w:t>财政资金预算编制、预算执行、预算监督过程中存在的不足。加强预算绩效信息发布管理制度建设，完善绩效信息公开机制，及时将财政部门批复的部门预算及报表等信息按相关规定和要求在盐边县公众信息网“财政信息”栏中进行公开公示。同时对2021年预算绩效情况于近日通过公众信息网站公开，接受广大群众监督。</w:t>
      </w:r>
    </w:p>
    <w:p w14:paraId="5FBD7344">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Style w:val="29"/>
          <w:rFonts w:hint="default" w:ascii="Times New Roman" w:hAnsi="Times New Roman" w:eastAsia="黑体" w:cs="Times New Roman"/>
          <w:b w:val="0"/>
          <w:bCs w:val="0"/>
        </w:rPr>
      </w:pPr>
      <w:bookmarkStart w:id="109" w:name="_Toc6295"/>
      <w:r>
        <w:rPr>
          <w:rStyle w:val="29"/>
          <w:rFonts w:hint="default" w:ascii="Times New Roman" w:hAnsi="Times New Roman" w:eastAsia="黑体" w:cs="Times New Roman"/>
          <w:b w:val="0"/>
          <w:bCs w:val="0"/>
        </w:rPr>
        <w:t>四、评价结论及建议</w:t>
      </w:r>
      <w:bookmarkEnd w:id="109"/>
    </w:p>
    <w:p w14:paraId="7A36B6B1">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10" w:name="_Toc21268_WPSOffice_Level2"/>
      <w:bookmarkStart w:id="111" w:name="_Toc2941_WPSOffice_Level2"/>
      <w:bookmarkStart w:id="112" w:name="_Toc23345_WPSOffice_Level2"/>
      <w:r>
        <w:rPr>
          <w:rFonts w:hint="default" w:ascii="Times New Roman" w:hAnsi="Times New Roman" w:eastAsia="楷体_GB2312" w:cs="Times New Roman"/>
          <w:b w:val="0"/>
          <w:bCs w:val="0"/>
          <w:lang w:val="en-US" w:eastAsia="zh-CN"/>
        </w:rPr>
        <w:t>（一）评价结论。</w:t>
      </w:r>
      <w:bookmarkEnd w:id="110"/>
      <w:bookmarkEnd w:id="111"/>
      <w:bookmarkEnd w:id="112"/>
    </w:p>
    <w:p w14:paraId="43584FA5">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县人民政府办公室按照预算管理有关规定，部门预算的编制实行综合预算制度，即全部收入和支出都反映在预算中。按照预算批复规范和从严控制预算执行。认真落实厉行节约各项政策，牢固树立过“紧日子”的思想，在资金使用和管理方面，进一步强化资金统筹，优化资金结构，明确开支范围，细化资金用途，严格控制办公费、差旅费、公务接待费等一般性支出。在政府办公室党组的正确领导下，认真履行职责，把服务和监督有机结合，规范、高效完</w:t>
      </w:r>
      <w:r>
        <w:rPr>
          <w:rFonts w:hint="eastAsia" w:eastAsia="仿宋_GB2312" w:cs="Times New Roman"/>
          <w:sz w:val="32"/>
          <w:szCs w:val="32"/>
          <w:lang w:eastAsia="zh-CN"/>
        </w:rPr>
        <w:t>成</w:t>
      </w:r>
      <w:r>
        <w:rPr>
          <w:rFonts w:hint="default" w:ascii="Times New Roman" w:hAnsi="Times New Roman" w:eastAsia="仿宋_GB2312" w:cs="Times New Roman"/>
          <w:sz w:val="32"/>
          <w:szCs w:val="32"/>
        </w:rPr>
        <w:t>各项工作，达到预期绩效目标，总体较为满意。</w:t>
      </w:r>
    </w:p>
    <w:p w14:paraId="003BF664">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13" w:name="_Toc28476_WPSOffice_Level2"/>
      <w:bookmarkStart w:id="114" w:name="_Toc17392_WPSOffice_Level2"/>
      <w:bookmarkStart w:id="115" w:name="_Toc2393_WPSOffice_Level2"/>
      <w:r>
        <w:rPr>
          <w:rFonts w:hint="default" w:ascii="Times New Roman" w:hAnsi="Times New Roman" w:eastAsia="楷体_GB2312" w:cs="Times New Roman"/>
          <w:b w:val="0"/>
          <w:bCs w:val="0"/>
          <w:lang w:val="en-US" w:eastAsia="zh-CN"/>
        </w:rPr>
        <w:t>（二）存在问题。</w:t>
      </w:r>
      <w:bookmarkEnd w:id="113"/>
      <w:bookmarkEnd w:id="114"/>
      <w:bookmarkEnd w:id="115"/>
    </w:p>
    <w:p w14:paraId="1191CE52">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1.绩效目标设立不够明确、细化和量化。项目单位虽然设立了项目资金绩效目标，但目标不够明确、细化和量化。</w:t>
      </w:r>
    </w:p>
    <w:p w14:paraId="2F1F6486">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2.资金使用效益有待进一步提高。</w:t>
      </w:r>
    </w:p>
    <w:p w14:paraId="1FBDA2D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楷体_GB2312" w:cs="Times New Roman"/>
          <w:b w:val="0"/>
          <w:bCs w:val="0"/>
          <w:lang w:val="en-US" w:eastAsia="zh-CN"/>
        </w:rPr>
      </w:pPr>
      <w:bookmarkStart w:id="116" w:name="_Toc9571_WPSOffice_Level2"/>
      <w:bookmarkStart w:id="117" w:name="_Toc5180_WPSOffice_Level2"/>
      <w:bookmarkStart w:id="118" w:name="_Toc4999_WPSOffice_Level2"/>
      <w:r>
        <w:rPr>
          <w:rFonts w:hint="default" w:ascii="Times New Roman" w:hAnsi="Times New Roman" w:eastAsia="楷体_GB2312" w:cs="Times New Roman"/>
          <w:b w:val="0"/>
          <w:bCs w:val="0"/>
          <w:lang w:val="en-US" w:eastAsia="zh-CN"/>
        </w:rPr>
        <w:t>（三）改进建议。</w:t>
      </w:r>
      <w:bookmarkEnd w:id="116"/>
      <w:bookmarkEnd w:id="117"/>
      <w:bookmarkEnd w:id="118"/>
    </w:p>
    <w:p w14:paraId="4E0FF2E0">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1.遵循预算管理办法，从严控制年中追加预算规模。对于年度无法预计的临时追加的相关工作所需经费，严格按照预算调整追加程序，逐级申报报批，有效降低预算控制率。</w:t>
      </w:r>
    </w:p>
    <w:p w14:paraId="64634333">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2.保障预算执行进度。加快推进项目实施进度，加强项目开展进度的跟踪，开展项目绩效的跟踪和评价，确保项目绩效的完成，发挥资金的使用效益，提高预算完成率。</w:t>
      </w:r>
    </w:p>
    <w:p w14:paraId="2B636DF1">
      <w:pPr>
        <w:pageBreakBefore w:val="0"/>
        <w:kinsoku/>
        <w:wordWrap/>
        <w:overflowPunct/>
        <w:topLinePunct w:val="0"/>
        <w:autoSpaceDE/>
        <w:autoSpaceDN/>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3.加强</w:t>
      </w:r>
      <w:r>
        <w:rPr>
          <w:rFonts w:hint="default" w:ascii="Times New Roman" w:hAnsi="Times New Roman" w:eastAsia="仿宋_GB2312" w:cs="Times New Roman"/>
          <w:color w:val="000000"/>
          <w:sz w:val="32"/>
          <w:szCs w:val="32"/>
        </w:rPr>
        <w:t>预算绩效管理</w:t>
      </w:r>
      <w:r>
        <w:rPr>
          <w:rFonts w:hint="default" w:ascii="Times New Roman" w:hAnsi="Times New Roman" w:eastAsia="仿宋_GB2312" w:cs="Times New Roman"/>
          <w:sz w:val="32"/>
          <w:szCs w:val="32"/>
        </w:rPr>
        <w:t>业务学习及培训，</w:t>
      </w:r>
      <w:r>
        <w:rPr>
          <w:rFonts w:hint="eastAsia" w:eastAsia="仿宋_GB2312" w:cs="Times New Roman"/>
          <w:sz w:val="32"/>
          <w:szCs w:val="32"/>
          <w:lang w:eastAsia="zh-CN"/>
        </w:rPr>
        <w:t>增强</w:t>
      </w:r>
      <w:r>
        <w:rPr>
          <w:rFonts w:hint="default" w:ascii="Times New Roman" w:hAnsi="Times New Roman" w:eastAsia="仿宋_GB2312" w:cs="Times New Roman"/>
          <w:sz w:val="32"/>
          <w:szCs w:val="32"/>
        </w:rPr>
        <w:t>业务人员绩效管理意识，进一步加强预算绩效管理工作，优化项目支出绩效指标体系，完善预算绩效管理制度，推动我单位 2022年预算绩效管理工作常态化、规范化。</w:t>
      </w:r>
    </w:p>
    <w:p w14:paraId="4F0D5CC4">
      <w:pPr>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3EFA6451">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kern w:val="0"/>
          <w:sz w:val="32"/>
          <w:szCs w:val="32"/>
          <w:shd w:val="clear" w:color="auto" w:fill="FFFFFF"/>
          <w:lang w:val="zh-CN"/>
        </w:rPr>
      </w:pPr>
    </w:p>
    <w:p w14:paraId="240416A7">
      <w:pPr>
        <w:pStyle w:val="7"/>
        <w:pageBreakBefore w:val="0"/>
        <w:kinsoku/>
        <w:wordWrap/>
        <w:overflowPunct/>
        <w:topLinePunct w:val="0"/>
        <w:autoSpaceDE/>
        <w:autoSpaceDN/>
        <w:bidi w:val="0"/>
        <w:spacing w:before="93" w:line="560" w:lineRule="exact"/>
        <w:textAlignment w:val="auto"/>
        <w:rPr>
          <w:rFonts w:hint="default" w:ascii="Times New Roman" w:hAnsi="Times New Roman" w:cs="Times New Roman"/>
          <w:sz w:val="32"/>
          <w:szCs w:val="32"/>
          <w:shd w:val="clear" w:color="auto" w:fill="FFFFFF"/>
          <w:lang w:val="zh-CN"/>
        </w:rPr>
      </w:pPr>
    </w:p>
    <w:p w14:paraId="7426A2AB">
      <w:pPr>
        <w:pStyle w:val="7"/>
        <w:pageBreakBefore w:val="0"/>
        <w:kinsoku/>
        <w:wordWrap/>
        <w:overflowPunct/>
        <w:topLinePunct w:val="0"/>
        <w:autoSpaceDE/>
        <w:autoSpaceDN/>
        <w:bidi w:val="0"/>
        <w:spacing w:before="93" w:line="560" w:lineRule="exact"/>
        <w:textAlignment w:val="auto"/>
        <w:rPr>
          <w:rFonts w:hint="default" w:ascii="Times New Roman" w:hAnsi="Times New Roman" w:cs="Times New Roman"/>
          <w:sz w:val="32"/>
          <w:szCs w:val="32"/>
          <w:shd w:val="clear" w:color="auto" w:fill="FFFFFF"/>
          <w:lang w:val="zh-CN"/>
        </w:rPr>
      </w:pPr>
    </w:p>
    <w:p w14:paraId="2404731F">
      <w:pPr>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shd w:val="clear" w:color="auto" w:fill="FFFFFF"/>
          <w:lang w:val="zh-CN"/>
        </w:rPr>
        <w:br w:type="page"/>
      </w:r>
    </w:p>
    <w:p w14:paraId="4B048784">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sz w:val="44"/>
          <w:szCs w:val="44"/>
          <w:lang w:val="en-US" w:eastAsia="zh-CN"/>
        </w:rPr>
      </w:pPr>
      <w:bookmarkStart w:id="119" w:name="_Toc6054"/>
      <w:r>
        <w:rPr>
          <w:rFonts w:hint="default" w:ascii="Times New Roman" w:hAnsi="Times New Roman" w:eastAsia="方正小标宋简体" w:cs="Times New Roman"/>
          <w:b w:val="0"/>
          <w:bCs w:val="0"/>
          <w:sz w:val="44"/>
          <w:szCs w:val="44"/>
          <w:lang w:val="en-US" w:eastAsia="zh-CN"/>
        </w:rPr>
        <w:t>盐边县人民政府办公室</w:t>
      </w:r>
      <w:bookmarkEnd w:id="119"/>
    </w:p>
    <w:p w14:paraId="73BF4D78">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sz w:val="44"/>
          <w:szCs w:val="44"/>
          <w:lang w:val="zh-CN" w:eastAsia="zh-CN"/>
        </w:rPr>
      </w:pPr>
      <w:bookmarkStart w:id="120" w:name="_Toc31044_WPSOffice_Level2"/>
      <w:bookmarkStart w:id="121" w:name="_Toc10908_WPSOffice_Level2"/>
      <w:bookmarkStart w:id="122" w:name="_Toc2262_WPSOffice_Level2"/>
      <w:bookmarkStart w:id="123" w:name="_Toc7869_WPSOffice_Level2"/>
      <w:bookmarkStart w:id="124" w:name="_Toc23429"/>
      <w:r>
        <w:rPr>
          <w:rFonts w:hint="default" w:ascii="Times New Roman" w:hAnsi="Times New Roman" w:eastAsia="方正小标宋简体" w:cs="Times New Roman"/>
          <w:b w:val="0"/>
          <w:bCs w:val="0"/>
          <w:sz w:val="44"/>
          <w:szCs w:val="44"/>
          <w:lang w:val="en-US" w:eastAsia="zh-CN"/>
        </w:rPr>
        <w:t>2021年</w:t>
      </w:r>
      <w:r>
        <w:rPr>
          <w:rFonts w:hint="default" w:ascii="Times New Roman" w:hAnsi="Times New Roman" w:eastAsia="方正小标宋简体" w:cs="Times New Roman"/>
          <w:b w:val="0"/>
          <w:bCs w:val="0"/>
          <w:sz w:val="44"/>
          <w:szCs w:val="44"/>
          <w:lang w:val="zh-CN" w:eastAsia="zh-CN"/>
        </w:rPr>
        <w:t>专项预算项目支出绩效自评报告</w:t>
      </w:r>
      <w:bookmarkEnd w:id="120"/>
      <w:bookmarkEnd w:id="121"/>
      <w:bookmarkEnd w:id="122"/>
      <w:bookmarkEnd w:id="123"/>
      <w:bookmarkEnd w:id="124"/>
    </w:p>
    <w:p w14:paraId="74AD025C">
      <w:pPr>
        <w:pageBreakBefore w:val="0"/>
        <w:kinsoku/>
        <w:wordWrap/>
        <w:overflowPunct/>
        <w:topLinePunct w:val="0"/>
        <w:bidi w:val="0"/>
        <w:spacing w:line="560" w:lineRule="exact"/>
        <w:ind w:firstLine="640"/>
        <w:jc w:val="both"/>
        <w:textAlignment w:val="auto"/>
        <w:rPr>
          <w:rFonts w:hint="default" w:ascii="Times New Roman" w:hAnsi="Times New Roman" w:cs="Times New Roman"/>
          <w:sz w:val="32"/>
          <w:szCs w:val="32"/>
          <w:lang w:val="zh-CN"/>
        </w:rPr>
      </w:pPr>
    </w:p>
    <w:p w14:paraId="6391F2E4">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25" w:name="_Toc21927_WPSOffice_Level2"/>
      <w:bookmarkStart w:id="126" w:name="_Toc22581"/>
      <w:bookmarkStart w:id="127" w:name="_Toc13592_WPSOffice_Level2"/>
      <w:bookmarkStart w:id="128" w:name="_Toc20091_WPSOffice_Level2"/>
      <w:r>
        <w:rPr>
          <w:rStyle w:val="29"/>
          <w:rFonts w:hint="default" w:ascii="Times New Roman" w:hAnsi="Times New Roman" w:eastAsia="黑体" w:cs="Times New Roman"/>
          <w:b w:val="0"/>
          <w:bCs w:val="0"/>
        </w:rPr>
        <w:t>一、项目基本情况</w:t>
      </w:r>
      <w:bookmarkEnd w:id="125"/>
      <w:bookmarkEnd w:id="126"/>
      <w:bookmarkEnd w:id="127"/>
      <w:bookmarkEnd w:id="128"/>
    </w:p>
    <w:p w14:paraId="10C5A635">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县政府办公室纳入部门决算的项目支出</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个项目，</w:t>
      </w:r>
      <w:r>
        <w:rPr>
          <w:rFonts w:hint="default" w:ascii="Times New Roman" w:hAnsi="Times New Roman" w:eastAsia="仿宋_GB2312" w:cs="Times New Roman"/>
          <w:sz w:val="32"/>
          <w:szCs w:val="32"/>
          <w:highlight w:val="none"/>
          <w:lang w:val="en-US" w:eastAsia="zh-CN"/>
        </w:rPr>
        <w:t>预算</w:t>
      </w:r>
      <w:r>
        <w:rPr>
          <w:rFonts w:hint="default" w:ascii="Times New Roman" w:hAnsi="Times New Roman" w:eastAsia="仿宋_GB2312" w:cs="Times New Roman"/>
          <w:sz w:val="32"/>
          <w:szCs w:val="32"/>
          <w:highlight w:val="none"/>
        </w:rPr>
        <w:t>资金总额</w:t>
      </w:r>
      <w:r>
        <w:rPr>
          <w:rFonts w:hint="default" w:ascii="Times New Roman" w:hAnsi="Times New Roman" w:eastAsia="仿宋_GB2312" w:cs="Times New Roman"/>
          <w:sz w:val="32"/>
          <w:szCs w:val="32"/>
          <w:highlight w:val="none"/>
          <w:lang w:val="en-US" w:eastAsia="zh-CN"/>
        </w:rPr>
        <w:t>115.82</w:t>
      </w:r>
      <w:r>
        <w:rPr>
          <w:rFonts w:hint="default" w:ascii="Times New Roman" w:hAnsi="Times New Roman" w:eastAsia="仿宋_GB2312" w:cs="Times New Roman"/>
          <w:sz w:val="32"/>
          <w:szCs w:val="32"/>
          <w:highlight w:val="none"/>
        </w:rPr>
        <w:t>万元，使用</w:t>
      </w:r>
      <w:r>
        <w:rPr>
          <w:rFonts w:hint="default" w:ascii="Times New Roman" w:hAnsi="Times New Roman" w:eastAsia="仿宋_GB2312" w:cs="Times New Roman"/>
          <w:sz w:val="32"/>
          <w:szCs w:val="32"/>
          <w:highlight w:val="none"/>
          <w:lang w:val="en-US" w:eastAsia="zh-CN"/>
        </w:rPr>
        <w:t>115.82</w:t>
      </w:r>
      <w:r>
        <w:rPr>
          <w:rFonts w:hint="default" w:ascii="Times New Roman" w:hAnsi="Times New Roman" w:eastAsia="仿宋_GB2312" w:cs="Times New Roman"/>
          <w:sz w:val="32"/>
          <w:szCs w:val="32"/>
          <w:highlight w:val="none"/>
        </w:rPr>
        <w:t>万元，执行率为</w:t>
      </w:r>
      <w:r>
        <w:rPr>
          <w:rFonts w:hint="default"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w:t>
      </w:r>
    </w:p>
    <w:p w14:paraId="378CDF81">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从资金来源情况分析：</w:t>
      </w:r>
      <w:r>
        <w:rPr>
          <w:rFonts w:hint="default" w:ascii="Times New Roman" w:hAnsi="Times New Roman" w:eastAsia="仿宋_GB2312" w:cs="Times New Roman"/>
          <w:sz w:val="32"/>
          <w:szCs w:val="32"/>
          <w:highlight w:val="none"/>
          <w:lang w:val="en-US" w:eastAsia="zh-CN"/>
        </w:rPr>
        <w:t>县</w:t>
      </w:r>
      <w:r>
        <w:rPr>
          <w:rFonts w:hint="default" w:ascii="Times New Roman" w:hAnsi="Times New Roman" w:eastAsia="仿宋_GB2312" w:cs="Times New Roman"/>
          <w:sz w:val="32"/>
          <w:szCs w:val="32"/>
          <w:highlight w:val="none"/>
        </w:rPr>
        <w:t>财政拨款项目支出共</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个，</w:t>
      </w:r>
      <w:r>
        <w:rPr>
          <w:rFonts w:hint="default" w:ascii="Times New Roman" w:hAnsi="Times New Roman" w:eastAsia="仿宋_GB2312" w:cs="Times New Roman"/>
          <w:sz w:val="32"/>
          <w:szCs w:val="32"/>
          <w:highlight w:val="none"/>
          <w:lang w:val="en-US" w:eastAsia="zh-CN"/>
        </w:rPr>
        <w:t>下达</w:t>
      </w:r>
      <w:r>
        <w:rPr>
          <w:rFonts w:hint="default" w:ascii="Times New Roman" w:hAnsi="Times New Roman" w:eastAsia="仿宋_GB2312" w:cs="Times New Roman"/>
          <w:sz w:val="32"/>
          <w:szCs w:val="32"/>
          <w:highlight w:val="none"/>
        </w:rPr>
        <w:t>资金总额</w:t>
      </w:r>
      <w:r>
        <w:rPr>
          <w:rFonts w:hint="default" w:ascii="Times New Roman" w:hAnsi="Times New Roman" w:eastAsia="仿宋_GB2312" w:cs="Times New Roman"/>
          <w:sz w:val="32"/>
          <w:szCs w:val="32"/>
          <w:highlight w:val="none"/>
          <w:lang w:val="en-US" w:eastAsia="zh-CN"/>
        </w:rPr>
        <w:t>115.82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根据盐财资行〔2021〕161号、盐财资行〔2021〕182号、盐财资行〔2021〕501号下达县政府办公室工作经费106万元，年初预算网站平台工作经费9.82万元。</w:t>
      </w:r>
    </w:p>
    <w:p w14:paraId="181BE899">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从资金下达情况分析：20</w:t>
      </w:r>
      <w:r>
        <w:rPr>
          <w:rFonts w:hint="default" w:ascii="Times New Roman" w:hAnsi="Times New Roman"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年财政拨款项目支出共</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个。</w:t>
      </w:r>
    </w:p>
    <w:p w14:paraId="7C72D584">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从资金使用对象情况分析：20</w:t>
      </w:r>
      <w:r>
        <w:rPr>
          <w:rFonts w:hint="default" w:ascii="Times New Roman" w:hAnsi="Times New Roman"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年项目支出使用对象主要分为</w:t>
      </w:r>
      <w:r>
        <w:rPr>
          <w:rFonts w:hint="default" w:ascii="Times New Roman" w:hAnsi="Times New Roman" w:eastAsia="仿宋_GB2312" w:cs="Times New Roman"/>
          <w:sz w:val="32"/>
          <w:szCs w:val="32"/>
          <w:highlight w:val="none"/>
          <w:lang w:val="en-US" w:eastAsia="zh-CN"/>
        </w:rPr>
        <w:t>两</w:t>
      </w:r>
      <w:r>
        <w:rPr>
          <w:rFonts w:hint="default" w:ascii="Times New Roman" w:hAnsi="Times New Roman" w:eastAsia="仿宋_GB2312" w:cs="Times New Roman"/>
          <w:sz w:val="32"/>
          <w:szCs w:val="32"/>
          <w:highlight w:val="none"/>
        </w:rPr>
        <w:t>大类：县政府办公室工作经费</w:t>
      </w:r>
      <w:r>
        <w:rPr>
          <w:rFonts w:hint="default" w:ascii="Times New Roman" w:hAnsi="Times New Roman" w:eastAsia="仿宋_GB2312" w:cs="Times New Roman"/>
          <w:sz w:val="32"/>
          <w:szCs w:val="32"/>
          <w:highlight w:val="none"/>
          <w:lang w:val="en-US" w:eastAsia="zh-CN"/>
        </w:rPr>
        <w:t>支出、网站平台工作经费</w:t>
      </w:r>
      <w:r>
        <w:rPr>
          <w:rFonts w:hint="default" w:ascii="Times New Roman" w:hAnsi="Times New Roman" w:eastAsia="仿宋_GB2312" w:cs="Times New Roman"/>
          <w:sz w:val="32"/>
          <w:szCs w:val="32"/>
          <w:highlight w:val="none"/>
          <w:lang w:eastAsia="zh-CN"/>
        </w:rPr>
        <w:t>支出</w:t>
      </w:r>
      <w:r>
        <w:rPr>
          <w:rFonts w:hint="default" w:ascii="Times New Roman" w:hAnsi="Times New Roman" w:eastAsia="仿宋_GB2312" w:cs="Times New Roman"/>
          <w:sz w:val="32"/>
          <w:szCs w:val="32"/>
          <w:highlight w:val="none"/>
        </w:rPr>
        <w:t>。</w:t>
      </w:r>
    </w:p>
    <w:p w14:paraId="0D6B1804">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29" w:name="_Toc12814_WPSOffice_Level2"/>
      <w:bookmarkStart w:id="130" w:name="_Toc1349_WPSOffice_Level2"/>
      <w:bookmarkStart w:id="131" w:name="_Toc6786_WPSOffice_Level2"/>
      <w:bookmarkStart w:id="132" w:name="_Toc9969"/>
      <w:r>
        <w:rPr>
          <w:rStyle w:val="29"/>
          <w:rFonts w:hint="default" w:ascii="Times New Roman" w:hAnsi="Times New Roman" w:eastAsia="黑体" w:cs="Times New Roman"/>
          <w:b w:val="0"/>
          <w:bCs w:val="0"/>
        </w:rPr>
        <w:t>二、评价工作开展情况</w:t>
      </w:r>
      <w:bookmarkEnd w:id="129"/>
      <w:bookmarkEnd w:id="130"/>
      <w:bookmarkEnd w:id="131"/>
      <w:bookmarkEnd w:id="132"/>
    </w:p>
    <w:p w14:paraId="7ECF1DC4">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县政府办公室在20</w:t>
      </w:r>
      <w:r>
        <w:rPr>
          <w:rFonts w:hint="default" w:ascii="Times New Roman" w:hAnsi="Times New Roman"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 xml:space="preserve"> 年度部门决算中反映“县政府办公室工作经费”“</w:t>
      </w:r>
      <w:r>
        <w:rPr>
          <w:rFonts w:hint="default" w:ascii="Times New Roman" w:hAnsi="Times New Roman" w:eastAsia="仿宋_GB2312" w:cs="Times New Roman"/>
          <w:sz w:val="32"/>
          <w:szCs w:val="32"/>
          <w:highlight w:val="none"/>
          <w:lang w:val="en-US" w:eastAsia="zh-CN"/>
        </w:rPr>
        <w:t>网站平台工作经费</w:t>
      </w:r>
      <w:r>
        <w:rPr>
          <w:rFonts w:hint="default" w:ascii="Times New Roman" w:hAnsi="Times New Roman" w:eastAsia="仿宋_GB2312" w:cs="Times New Roman"/>
          <w:sz w:val="32"/>
          <w:szCs w:val="32"/>
          <w:highlight w:val="none"/>
        </w:rPr>
        <w:t>”2个项目绩效目标实际完成情况。</w:t>
      </w:r>
    </w:p>
    <w:p w14:paraId="72BE73DF">
      <w:pPr>
        <w:pageBreakBefore w:val="0"/>
        <w:widowControl/>
        <w:numPr>
          <w:ilvl w:val="0"/>
          <w:numId w:val="3"/>
        </w:numPr>
        <w:kinsoku/>
        <w:wordWrap/>
        <w:overflowPunct/>
        <w:topLinePunct w:val="0"/>
        <w:autoSpaceDE/>
        <w:autoSpaceDN/>
        <w:bidi w:val="0"/>
        <w:adjustRightInd w:val="0"/>
        <w:snapToGrid w:val="0"/>
        <w:spacing w:line="560" w:lineRule="exact"/>
        <w:ind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default" w:ascii="Times New Roman" w:hAnsi="Times New Roman" w:eastAsia="仿宋_GB2312" w:cs="Times New Roman"/>
          <w:b/>
          <w:bCs/>
          <w:spacing w:val="-6"/>
          <w:kern w:val="34"/>
          <w:sz w:val="32"/>
          <w:szCs w:val="32"/>
          <w:lang w:val="en-US" w:eastAsia="zh-CN"/>
        </w:rPr>
        <w:t>“县政府办公室工作经费”项目绩效目标完成情况综述。</w:t>
      </w:r>
    </w:p>
    <w:p w14:paraId="19DE1E6C">
      <w:pPr>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项目全年预算数</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06</w:t>
      </w:r>
      <w:r>
        <w:rPr>
          <w:rFonts w:hint="default" w:ascii="Times New Roman" w:hAnsi="Times New Roman" w:eastAsia="仿宋_GB2312" w:cs="Times New Roman"/>
          <w:sz w:val="32"/>
          <w:szCs w:val="32"/>
          <w:highlight w:val="none"/>
        </w:rPr>
        <w:t>万元，执行数为</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06</w:t>
      </w:r>
      <w:r>
        <w:rPr>
          <w:rFonts w:hint="default" w:ascii="Times New Roman" w:hAnsi="Times New Roman" w:eastAsia="仿宋_GB2312" w:cs="Times New Roman"/>
          <w:sz w:val="32"/>
          <w:szCs w:val="32"/>
          <w:highlight w:val="none"/>
        </w:rPr>
        <w:t>万元，完成预算的</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w:t>
      </w:r>
    </w:p>
    <w:p w14:paraId="1329BAB5">
      <w:pPr>
        <w:pageBreakBefore w:val="0"/>
        <w:widowControl/>
        <w:kinsoku/>
        <w:wordWrap/>
        <w:overflowPunct/>
        <w:topLinePunct w:val="0"/>
        <w:autoSpaceDE/>
        <w:autoSpaceDN/>
        <w:bidi w:val="0"/>
        <w:adjustRightInd w:val="0"/>
        <w:snapToGrid w:val="0"/>
        <w:spacing w:line="560" w:lineRule="exact"/>
        <w:ind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2.</w:t>
      </w:r>
      <w:r>
        <w:rPr>
          <w:rFonts w:hint="default" w:ascii="Times New Roman" w:hAnsi="Times New Roman" w:eastAsia="仿宋_GB2312" w:cs="Times New Roman"/>
          <w:b/>
          <w:bCs/>
          <w:spacing w:val="-6"/>
          <w:kern w:val="34"/>
          <w:sz w:val="32"/>
          <w:szCs w:val="32"/>
          <w:lang w:val="en-US" w:eastAsia="zh-CN"/>
        </w:rPr>
        <w:t>“网站平台工作经费”项目绩效目标完成情况综述。</w:t>
      </w:r>
    </w:p>
    <w:p w14:paraId="449DA3BD">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rPr>
        <w:t>项目全年预算数</w:t>
      </w:r>
      <w:r>
        <w:rPr>
          <w:rFonts w:hint="default" w:ascii="Times New Roman" w:hAnsi="Times New Roman" w:eastAsia="仿宋_GB2312" w:cs="Times New Roman"/>
          <w:sz w:val="32"/>
          <w:szCs w:val="32"/>
          <w:highlight w:val="none"/>
          <w:lang w:eastAsia="zh-CN"/>
        </w:rPr>
        <w:t>9</w:t>
      </w:r>
      <w:r>
        <w:rPr>
          <w:rFonts w:hint="default" w:ascii="Times New Roman" w:hAnsi="Times New Roman" w:eastAsia="仿宋_GB2312" w:cs="Times New Roman"/>
          <w:sz w:val="32"/>
          <w:szCs w:val="32"/>
          <w:highlight w:val="none"/>
          <w:lang w:val="en-US" w:eastAsia="zh-CN"/>
        </w:rPr>
        <w:t>.82</w:t>
      </w:r>
      <w:r>
        <w:rPr>
          <w:rFonts w:hint="default" w:ascii="Times New Roman" w:hAnsi="Times New Roman" w:eastAsia="仿宋_GB2312" w:cs="Times New Roman"/>
          <w:sz w:val="32"/>
          <w:szCs w:val="32"/>
          <w:highlight w:val="none"/>
        </w:rPr>
        <w:t>万元，执行数为</w:t>
      </w:r>
      <w:r>
        <w:rPr>
          <w:rFonts w:hint="default" w:ascii="Times New Roman" w:hAnsi="Times New Roman" w:eastAsia="仿宋_GB2312" w:cs="Times New Roman"/>
          <w:sz w:val="32"/>
          <w:szCs w:val="32"/>
          <w:highlight w:val="none"/>
          <w:lang w:eastAsia="zh-CN"/>
        </w:rPr>
        <w:t>9</w:t>
      </w:r>
      <w:r>
        <w:rPr>
          <w:rFonts w:hint="default" w:ascii="Times New Roman" w:hAnsi="Times New Roman" w:eastAsia="仿宋_GB2312" w:cs="Times New Roman"/>
          <w:sz w:val="32"/>
          <w:szCs w:val="32"/>
          <w:highlight w:val="none"/>
          <w:lang w:val="en-US" w:eastAsia="zh-CN"/>
        </w:rPr>
        <w:t>.82</w:t>
      </w:r>
      <w:r>
        <w:rPr>
          <w:rFonts w:hint="default" w:ascii="Times New Roman" w:hAnsi="Times New Roman" w:eastAsia="仿宋_GB2312" w:cs="Times New Roman"/>
          <w:sz w:val="32"/>
          <w:szCs w:val="32"/>
          <w:highlight w:val="none"/>
        </w:rPr>
        <w:t>万元，完成预算的100%。</w:t>
      </w:r>
    </w:p>
    <w:p w14:paraId="24F3641D">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33" w:name="_Toc12252_WPSOffice_Level2"/>
      <w:bookmarkStart w:id="134" w:name="_Toc24291_WPSOffice_Level2"/>
      <w:bookmarkStart w:id="135" w:name="_Toc21319"/>
      <w:bookmarkStart w:id="136" w:name="_Toc12195_WPSOffice_Level2"/>
      <w:r>
        <w:rPr>
          <w:rStyle w:val="29"/>
          <w:rFonts w:hint="default" w:ascii="Times New Roman" w:hAnsi="Times New Roman" w:eastAsia="黑体" w:cs="Times New Roman"/>
          <w:b w:val="0"/>
          <w:bCs w:val="0"/>
        </w:rPr>
        <w:t>三、项目实施情况</w:t>
      </w:r>
      <w:bookmarkEnd w:id="133"/>
      <w:bookmarkEnd w:id="134"/>
      <w:bookmarkEnd w:id="135"/>
      <w:bookmarkEnd w:id="136"/>
    </w:p>
    <w:p w14:paraId="0ECDE680">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（一）项目决策。</w:t>
      </w:r>
    </w:p>
    <w:p w14:paraId="38F80E1C">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lang w:val="en-US" w:eastAsia="zh-CN"/>
        </w:rPr>
        <w:t>县政府办公室</w:t>
      </w:r>
      <w:r>
        <w:rPr>
          <w:rFonts w:hint="default" w:ascii="Times New Roman" w:hAnsi="Times New Roman" w:eastAsia="仿宋_GB2312" w:cs="Times New Roman"/>
          <w:sz w:val="32"/>
          <w:szCs w:val="32"/>
          <w:highlight w:val="none"/>
        </w:rPr>
        <w:t>依据单位职能和县</w:t>
      </w:r>
      <w:r>
        <w:rPr>
          <w:rFonts w:hint="default" w:ascii="Times New Roman" w:hAnsi="Times New Roman" w:eastAsia="仿宋_GB2312" w:cs="Times New Roman"/>
          <w:sz w:val="32"/>
          <w:szCs w:val="32"/>
          <w:highlight w:val="none"/>
          <w:lang w:eastAsia="zh-CN"/>
        </w:rPr>
        <w:t>政府</w:t>
      </w:r>
      <w:r>
        <w:rPr>
          <w:rFonts w:hint="default" w:ascii="Times New Roman" w:hAnsi="Times New Roman" w:eastAsia="仿宋_GB2312" w:cs="Times New Roman"/>
          <w:sz w:val="32"/>
          <w:szCs w:val="32"/>
          <w:highlight w:val="none"/>
        </w:rPr>
        <w:t>审批通过的县</w:t>
      </w:r>
      <w:r>
        <w:rPr>
          <w:rFonts w:hint="default" w:ascii="Times New Roman" w:hAnsi="Times New Roman" w:eastAsia="仿宋_GB2312" w:cs="Times New Roman"/>
          <w:sz w:val="32"/>
          <w:szCs w:val="32"/>
          <w:highlight w:val="none"/>
          <w:lang w:eastAsia="zh-CN"/>
        </w:rPr>
        <w:t>政府办</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年度工作要点，为保障各项工作圆满完成，实现工作目标，制定了机关各支出项目的绩效目标，分为</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个项目支出渠道，分别是县政府办公室工作经费</w:t>
      </w:r>
      <w:r>
        <w:rPr>
          <w:rFonts w:hint="default" w:ascii="Times New Roman" w:hAnsi="Times New Roman" w:eastAsia="仿宋_GB2312" w:cs="Times New Roman"/>
          <w:sz w:val="32"/>
          <w:szCs w:val="32"/>
          <w:highlight w:val="none"/>
          <w:lang w:val="en-US" w:eastAsia="zh-CN"/>
        </w:rPr>
        <w:t>项目</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网站平台工作经费项目</w:t>
      </w:r>
      <w:r>
        <w:rPr>
          <w:rFonts w:hint="default" w:ascii="Times New Roman" w:hAnsi="Times New Roman" w:eastAsia="仿宋_GB2312" w:cs="Times New Roman"/>
          <w:sz w:val="32"/>
          <w:szCs w:val="32"/>
          <w:highlight w:val="none"/>
        </w:rPr>
        <w:t>。</w:t>
      </w:r>
    </w:p>
    <w:p w14:paraId="727FBB43">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（二）项目管理。</w:t>
      </w:r>
    </w:p>
    <w:p w14:paraId="7092B1CF">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20</w:t>
      </w:r>
      <w:r>
        <w:rPr>
          <w:rFonts w:hint="default" w:ascii="Times New Roman" w:hAnsi="Times New Roman" w:eastAsia="仿宋_GB2312" w:cs="Times New Roman"/>
          <w:kern w:val="0"/>
          <w:sz w:val="32"/>
          <w:szCs w:val="32"/>
          <w:highlight w:val="none"/>
          <w:lang w:eastAsia="zh-CN"/>
        </w:rPr>
        <w:t>2</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县政府办公室</w:t>
      </w:r>
      <w:r>
        <w:rPr>
          <w:rFonts w:hint="default" w:ascii="Times New Roman" w:hAnsi="Times New Roman" w:eastAsia="仿宋_GB2312" w:cs="Times New Roman"/>
          <w:kern w:val="0"/>
          <w:sz w:val="32"/>
          <w:szCs w:val="32"/>
          <w:highlight w:val="none"/>
        </w:rPr>
        <w:t>项目支出资金分配科学合理</w:t>
      </w:r>
      <w:r>
        <w:rPr>
          <w:rFonts w:hint="eastAsia" w:eastAsia="仿宋_GB2312" w:cs="Times New Roman"/>
          <w:kern w:val="0"/>
          <w:sz w:val="32"/>
          <w:szCs w:val="32"/>
          <w:highlight w:val="none"/>
          <w:lang w:eastAsia="zh-CN"/>
        </w:rPr>
        <w:t>，对</w:t>
      </w:r>
      <w:r>
        <w:rPr>
          <w:rFonts w:hint="default" w:ascii="Times New Roman" w:hAnsi="Times New Roman" w:eastAsia="仿宋_GB2312" w:cs="Times New Roman"/>
          <w:kern w:val="0"/>
          <w:sz w:val="32"/>
          <w:szCs w:val="32"/>
          <w:highlight w:val="none"/>
        </w:rPr>
        <w:t>财政项目资金的管理实行了全过程管理，对于项目资金的分配，在各个环节上严格审查数据，建立了责任追究制。资金筹集和核拨：建立了项目负责人初审、</w:t>
      </w:r>
      <w:r>
        <w:rPr>
          <w:rFonts w:hint="default" w:ascii="Times New Roman" w:hAnsi="Times New Roman" w:eastAsia="仿宋_GB2312" w:cs="Times New Roman"/>
          <w:kern w:val="0"/>
          <w:sz w:val="32"/>
          <w:szCs w:val="32"/>
          <w:highlight w:val="none"/>
          <w:lang w:val="en-US" w:eastAsia="zh-CN"/>
        </w:rPr>
        <w:t>财务</w:t>
      </w:r>
      <w:r>
        <w:rPr>
          <w:rFonts w:hint="default" w:ascii="Times New Roman" w:hAnsi="Times New Roman" w:eastAsia="仿宋_GB2312" w:cs="Times New Roman"/>
          <w:kern w:val="0"/>
          <w:sz w:val="32"/>
          <w:szCs w:val="32"/>
          <w:highlight w:val="none"/>
        </w:rPr>
        <w:t>复核、分管副</w:t>
      </w:r>
      <w:r>
        <w:rPr>
          <w:rFonts w:hint="default" w:ascii="Times New Roman" w:hAnsi="Times New Roman" w:eastAsia="仿宋_GB2312" w:cs="Times New Roman"/>
          <w:kern w:val="0"/>
          <w:sz w:val="32"/>
          <w:szCs w:val="32"/>
          <w:highlight w:val="none"/>
          <w:lang w:val="en-US" w:eastAsia="zh-CN"/>
        </w:rPr>
        <w:t>主任</w:t>
      </w:r>
      <w:r>
        <w:rPr>
          <w:rFonts w:hint="default" w:ascii="Times New Roman" w:hAnsi="Times New Roman" w:eastAsia="仿宋_GB2312" w:cs="Times New Roman"/>
          <w:kern w:val="0"/>
          <w:sz w:val="32"/>
          <w:szCs w:val="32"/>
          <w:highlight w:val="none"/>
        </w:rPr>
        <w:t>审核、</w:t>
      </w:r>
      <w:r>
        <w:rPr>
          <w:rFonts w:hint="default" w:ascii="Times New Roman" w:hAnsi="Times New Roman" w:eastAsia="仿宋_GB2312" w:cs="Times New Roman"/>
          <w:kern w:val="0"/>
          <w:sz w:val="32"/>
          <w:szCs w:val="32"/>
          <w:highlight w:val="none"/>
          <w:lang w:val="en-US" w:eastAsia="zh-CN"/>
        </w:rPr>
        <w:t>主任</w:t>
      </w:r>
      <w:r>
        <w:rPr>
          <w:rFonts w:hint="default" w:ascii="Times New Roman" w:hAnsi="Times New Roman" w:eastAsia="仿宋_GB2312" w:cs="Times New Roman"/>
          <w:kern w:val="0"/>
          <w:sz w:val="32"/>
          <w:szCs w:val="32"/>
          <w:highlight w:val="none"/>
        </w:rPr>
        <w:t>审批的分级授权制，总体上项目管理规范、科学，符合财务管理要求。</w:t>
      </w:r>
    </w:p>
    <w:p w14:paraId="62D439AB">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37" w:name="_Toc21588_WPSOffice_Level2"/>
      <w:bookmarkStart w:id="138" w:name="_Toc489_WPSOffice_Level2"/>
      <w:bookmarkStart w:id="139" w:name="_Toc24751_WPSOffice_Level2"/>
      <w:bookmarkStart w:id="140" w:name="_Toc4057"/>
      <w:r>
        <w:rPr>
          <w:rStyle w:val="29"/>
          <w:rFonts w:hint="default" w:ascii="Times New Roman" w:hAnsi="Times New Roman" w:eastAsia="黑体" w:cs="Times New Roman"/>
          <w:b w:val="0"/>
          <w:bCs w:val="0"/>
        </w:rPr>
        <w:t>四、项目绩效情况</w:t>
      </w:r>
      <w:bookmarkEnd w:id="137"/>
      <w:bookmarkEnd w:id="138"/>
      <w:bookmarkEnd w:id="139"/>
      <w:bookmarkEnd w:id="140"/>
    </w:p>
    <w:p w14:paraId="4E1CDA3C">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（一）项目完成情况。</w:t>
      </w:r>
    </w:p>
    <w:p w14:paraId="5F187C5F">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rPr>
        <w:t>截</w:t>
      </w:r>
      <w:r>
        <w:rPr>
          <w:rFonts w:hint="eastAsia" w:eastAsia="仿宋_GB2312" w:cs="Times New Roman"/>
          <w:kern w:val="0"/>
          <w:sz w:val="32"/>
          <w:szCs w:val="32"/>
          <w:highlight w:val="none"/>
          <w:lang w:eastAsia="zh-CN"/>
        </w:rPr>
        <w:t>至</w:t>
      </w:r>
      <w:r>
        <w:rPr>
          <w:rFonts w:hint="default" w:ascii="Times New Roman" w:hAnsi="Times New Roman" w:eastAsia="仿宋_GB2312" w:cs="Times New Roman"/>
          <w:kern w:val="0"/>
          <w:sz w:val="32"/>
          <w:szCs w:val="32"/>
          <w:highlight w:val="none"/>
        </w:rPr>
        <w:t>20</w:t>
      </w:r>
      <w:r>
        <w:rPr>
          <w:rFonts w:hint="default" w:ascii="Times New Roman" w:hAnsi="Times New Roman" w:eastAsia="仿宋_GB2312" w:cs="Times New Roman"/>
          <w:kern w:val="0"/>
          <w:sz w:val="32"/>
          <w:szCs w:val="32"/>
          <w:highlight w:val="none"/>
          <w:lang w:eastAsia="zh-CN"/>
        </w:rPr>
        <w:t>2</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年12月31日，</w:t>
      </w:r>
      <w:r>
        <w:rPr>
          <w:rFonts w:hint="default" w:ascii="Times New Roman" w:hAnsi="Times New Roman" w:eastAsia="仿宋_GB2312" w:cs="Times New Roman"/>
          <w:kern w:val="0"/>
          <w:sz w:val="32"/>
          <w:szCs w:val="32"/>
          <w:highlight w:val="none"/>
          <w:lang w:val="en-US" w:eastAsia="zh-CN"/>
        </w:rPr>
        <w:t>县政府办公室</w:t>
      </w:r>
      <w:r>
        <w:rPr>
          <w:rFonts w:hint="default" w:ascii="Times New Roman" w:hAnsi="Times New Roman" w:eastAsia="仿宋_GB2312" w:cs="Times New Roman"/>
          <w:kern w:val="0"/>
          <w:sz w:val="32"/>
          <w:szCs w:val="32"/>
          <w:highlight w:val="none"/>
        </w:rPr>
        <w:t>项目资金支付</w:t>
      </w:r>
      <w:r>
        <w:rPr>
          <w:rFonts w:hint="default" w:ascii="Times New Roman" w:hAnsi="Times New Roman" w:eastAsia="仿宋_GB2312" w:cs="Times New Roman"/>
          <w:kern w:val="0"/>
          <w:sz w:val="32"/>
          <w:szCs w:val="32"/>
          <w:highlight w:val="none"/>
          <w:lang w:val="en-US" w:eastAsia="zh-CN"/>
        </w:rPr>
        <w:t>115.82</w:t>
      </w:r>
      <w:r>
        <w:rPr>
          <w:rFonts w:hint="default" w:ascii="Times New Roman" w:hAnsi="Times New Roman" w:eastAsia="仿宋_GB2312" w:cs="Times New Roman"/>
          <w:kern w:val="0"/>
          <w:sz w:val="32"/>
          <w:szCs w:val="32"/>
          <w:highlight w:val="none"/>
        </w:rPr>
        <w:t>万元，资金执行率为</w:t>
      </w:r>
      <w:r>
        <w:rPr>
          <w:rFonts w:hint="default" w:ascii="Times New Roman" w:hAnsi="Times New Roman" w:eastAsia="仿宋_GB2312" w:cs="Times New Roman"/>
          <w:kern w:val="0"/>
          <w:sz w:val="32"/>
          <w:szCs w:val="32"/>
          <w:highlight w:val="none"/>
          <w:lang w:val="en-US" w:eastAsia="zh-CN"/>
        </w:rPr>
        <w:t>100</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个目标项目工作，完成了预设的绩效目标，绩效目标完成质量较高，项目完成时效准确，项目成本控制较好，取得了较好的项目经济效益和社会效益</w:t>
      </w:r>
      <w:r>
        <w:rPr>
          <w:rFonts w:hint="default" w:ascii="Times New Roman" w:hAnsi="Times New Roman" w:eastAsia="仿宋_GB2312" w:cs="Times New Roman"/>
          <w:kern w:val="0"/>
          <w:sz w:val="32"/>
          <w:szCs w:val="32"/>
          <w:highlight w:val="none"/>
          <w:lang w:eastAsia="zh-CN"/>
        </w:rPr>
        <w:t>。</w:t>
      </w:r>
    </w:p>
    <w:p w14:paraId="7D0B1AED">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（二）项目效益情况。</w:t>
      </w:r>
    </w:p>
    <w:p w14:paraId="40EFD81E">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rPr>
        <w:t>截</w:t>
      </w:r>
      <w:r>
        <w:rPr>
          <w:rFonts w:hint="eastAsia" w:eastAsia="仿宋_GB2312" w:cs="Times New Roman"/>
          <w:kern w:val="0"/>
          <w:sz w:val="32"/>
          <w:szCs w:val="32"/>
          <w:highlight w:val="none"/>
          <w:lang w:eastAsia="zh-CN"/>
        </w:rPr>
        <w:t>至</w:t>
      </w:r>
      <w:r>
        <w:rPr>
          <w:rFonts w:hint="default" w:ascii="Times New Roman" w:hAnsi="Times New Roman" w:eastAsia="仿宋_GB2312" w:cs="Times New Roman"/>
          <w:kern w:val="0"/>
          <w:sz w:val="32"/>
          <w:szCs w:val="32"/>
          <w:highlight w:val="none"/>
        </w:rPr>
        <w:t>20</w:t>
      </w:r>
      <w:r>
        <w:rPr>
          <w:rFonts w:hint="default" w:ascii="Times New Roman" w:hAnsi="Times New Roman" w:eastAsia="仿宋_GB2312" w:cs="Times New Roman"/>
          <w:kern w:val="0"/>
          <w:sz w:val="32"/>
          <w:szCs w:val="32"/>
          <w:highlight w:val="none"/>
          <w:lang w:eastAsia="zh-CN"/>
        </w:rPr>
        <w:t>2</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年12月31日，</w:t>
      </w:r>
      <w:r>
        <w:rPr>
          <w:rFonts w:hint="default" w:ascii="Times New Roman" w:hAnsi="Times New Roman" w:eastAsia="仿宋_GB2312" w:cs="Times New Roman"/>
          <w:kern w:val="0"/>
          <w:sz w:val="32"/>
          <w:szCs w:val="32"/>
          <w:highlight w:val="none"/>
          <w:lang w:val="en-US" w:eastAsia="zh-CN"/>
        </w:rPr>
        <w:t>县政府办公室</w:t>
      </w:r>
      <w:r>
        <w:rPr>
          <w:rFonts w:hint="default" w:ascii="Times New Roman" w:hAnsi="Times New Roman" w:eastAsia="仿宋_GB2312" w:cs="Times New Roman"/>
          <w:kern w:val="0"/>
          <w:sz w:val="32"/>
          <w:szCs w:val="32"/>
          <w:highlight w:val="none"/>
        </w:rPr>
        <w:t>项目资金支付</w:t>
      </w:r>
      <w:r>
        <w:rPr>
          <w:rFonts w:hint="default" w:ascii="Times New Roman" w:hAnsi="Times New Roman" w:eastAsia="仿宋_GB2312" w:cs="Times New Roman"/>
          <w:kern w:val="0"/>
          <w:sz w:val="32"/>
          <w:szCs w:val="32"/>
          <w:highlight w:val="none"/>
          <w:lang w:val="en-US" w:eastAsia="zh-CN"/>
        </w:rPr>
        <w:t>115.82</w:t>
      </w:r>
      <w:r>
        <w:rPr>
          <w:rFonts w:hint="default" w:ascii="Times New Roman" w:hAnsi="Times New Roman" w:eastAsia="仿宋_GB2312" w:cs="Times New Roman"/>
          <w:kern w:val="0"/>
          <w:sz w:val="32"/>
          <w:szCs w:val="32"/>
          <w:highlight w:val="none"/>
        </w:rPr>
        <w:t>万元，资金执行率为</w:t>
      </w:r>
      <w:r>
        <w:rPr>
          <w:rFonts w:hint="default" w:ascii="Times New Roman" w:hAnsi="Times New Roman" w:eastAsia="仿宋_GB2312" w:cs="Times New Roman"/>
          <w:kern w:val="0"/>
          <w:sz w:val="32"/>
          <w:szCs w:val="32"/>
          <w:highlight w:val="none"/>
          <w:lang w:val="en-US" w:eastAsia="zh-CN"/>
        </w:rPr>
        <w:t>100</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个目标项目工作，总体上完成了预设的绩效目标，绩效目标完成质量较高，项目完成时效准确，项目成本控制较好，取得了较好的项目经济效益和社会效益，</w:t>
      </w:r>
      <w:r>
        <w:rPr>
          <w:rFonts w:hint="default" w:ascii="Times New Roman" w:hAnsi="Times New Roman" w:eastAsia="仿宋_GB2312" w:cs="Times New Roman"/>
          <w:kern w:val="0"/>
          <w:sz w:val="32"/>
          <w:szCs w:val="32"/>
          <w:highlight w:val="none"/>
          <w:lang w:eastAsia="zh-CN"/>
        </w:rPr>
        <w:t>全面推进工作的顺利开展，在往</w:t>
      </w:r>
      <w:r>
        <w:rPr>
          <w:rFonts w:hint="eastAsia" w:eastAsia="仿宋_GB2312" w:cs="Times New Roman"/>
          <w:kern w:val="0"/>
          <w:sz w:val="32"/>
          <w:szCs w:val="32"/>
          <w:highlight w:val="none"/>
          <w:lang w:eastAsia="zh-CN"/>
        </w:rPr>
        <w:t>年</w:t>
      </w:r>
      <w:r>
        <w:rPr>
          <w:rFonts w:hint="default" w:ascii="Times New Roman" w:hAnsi="Times New Roman" w:eastAsia="仿宋_GB2312" w:cs="Times New Roman"/>
          <w:kern w:val="0"/>
          <w:sz w:val="32"/>
          <w:szCs w:val="32"/>
          <w:highlight w:val="none"/>
          <w:lang w:eastAsia="zh-CN"/>
        </w:rPr>
        <w:t>基础上，有效提高工作水平，提升工作效率。</w:t>
      </w:r>
    </w:p>
    <w:p w14:paraId="613EBF36">
      <w:pPr>
        <w:pageBreakBefore w:val="0"/>
        <w:widowControl/>
        <w:kinsoku/>
        <w:wordWrap/>
        <w:overflowPunct/>
        <w:topLinePunct w:val="0"/>
        <w:autoSpaceDE/>
        <w:autoSpaceDN/>
        <w:bidi w:val="0"/>
        <w:adjustRightInd w:val="0"/>
        <w:snapToGrid w:val="0"/>
        <w:spacing w:line="560" w:lineRule="exact"/>
        <w:ind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1.</w:t>
      </w:r>
      <w:r>
        <w:rPr>
          <w:rFonts w:hint="default" w:ascii="Times New Roman" w:hAnsi="Times New Roman" w:eastAsia="仿宋_GB2312" w:cs="Times New Roman"/>
          <w:b/>
          <w:bCs/>
          <w:spacing w:val="-6"/>
          <w:kern w:val="34"/>
          <w:sz w:val="32"/>
          <w:szCs w:val="32"/>
          <w:lang w:val="en-US" w:eastAsia="zh-CN"/>
        </w:rPr>
        <w:t>“县政府办公室工作经费”项目绩效目标完成情况综述。</w:t>
      </w:r>
    </w:p>
    <w:p w14:paraId="76E45F8C">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项目全年预算数</w:t>
      </w:r>
      <w:r>
        <w:rPr>
          <w:rFonts w:hint="default" w:ascii="Times New Roman" w:hAnsi="Times New Roman" w:eastAsia="仿宋_GB2312" w:cs="Times New Roman"/>
          <w:sz w:val="32"/>
          <w:szCs w:val="32"/>
          <w:highlight w:val="none"/>
          <w:lang w:val="en-US" w:eastAsia="zh-CN"/>
        </w:rPr>
        <w:t>106</w:t>
      </w:r>
      <w:r>
        <w:rPr>
          <w:rFonts w:hint="default" w:ascii="Times New Roman" w:hAnsi="Times New Roman" w:eastAsia="仿宋_GB2312" w:cs="Times New Roman"/>
          <w:sz w:val="32"/>
          <w:szCs w:val="32"/>
          <w:highlight w:val="none"/>
        </w:rPr>
        <w:t>万元，执行数为</w:t>
      </w:r>
      <w:r>
        <w:rPr>
          <w:rFonts w:hint="default" w:ascii="Times New Roman" w:hAnsi="Times New Roman" w:eastAsia="仿宋_GB2312" w:cs="Times New Roman"/>
          <w:sz w:val="32"/>
          <w:szCs w:val="32"/>
          <w:highlight w:val="none"/>
          <w:lang w:val="en-US" w:eastAsia="zh-CN"/>
        </w:rPr>
        <w:t>106</w:t>
      </w:r>
      <w:r>
        <w:rPr>
          <w:rFonts w:hint="default" w:ascii="Times New Roman" w:hAnsi="Times New Roman" w:eastAsia="仿宋_GB2312" w:cs="Times New Roman"/>
          <w:sz w:val="32"/>
          <w:szCs w:val="32"/>
          <w:highlight w:val="none"/>
        </w:rPr>
        <w:t>万元，完成预算的</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%。通过项目实施，保障了保障县政府和县政府办公室工作正常运转。</w:t>
      </w:r>
    </w:p>
    <w:p w14:paraId="130F1E4C">
      <w:pPr>
        <w:pageBreakBefore w:val="0"/>
        <w:widowControl/>
        <w:kinsoku/>
        <w:wordWrap/>
        <w:overflowPunct/>
        <w:topLinePunct w:val="0"/>
        <w:autoSpaceDE/>
        <w:autoSpaceDN/>
        <w:bidi w:val="0"/>
        <w:adjustRightInd w:val="0"/>
        <w:snapToGrid w:val="0"/>
        <w:spacing w:line="560" w:lineRule="exact"/>
        <w:ind w:firstLine="619" w:firstLineChars="200"/>
        <w:contextualSpacing/>
        <w:jc w:val="left"/>
        <w:textAlignment w:val="auto"/>
        <w:rPr>
          <w:rFonts w:hint="default" w:ascii="Times New Roman" w:hAnsi="Times New Roman" w:eastAsia="仿宋_GB2312" w:cs="Times New Roman"/>
          <w:b/>
          <w:bCs/>
          <w:spacing w:val="-6"/>
          <w:kern w:val="34"/>
          <w:sz w:val="32"/>
          <w:szCs w:val="32"/>
          <w:lang w:val="en-US" w:eastAsia="zh-CN"/>
        </w:rPr>
      </w:pPr>
      <w:r>
        <w:rPr>
          <w:rFonts w:hint="eastAsia" w:eastAsia="仿宋_GB2312" w:cs="Times New Roman"/>
          <w:b/>
          <w:bCs/>
          <w:spacing w:val="-6"/>
          <w:kern w:val="34"/>
          <w:sz w:val="32"/>
          <w:szCs w:val="32"/>
          <w:lang w:val="en-US" w:eastAsia="zh-CN"/>
        </w:rPr>
        <w:t>2.</w:t>
      </w:r>
      <w:r>
        <w:rPr>
          <w:rFonts w:hint="default" w:ascii="Times New Roman" w:hAnsi="Times New Roman" w:eastAsia="仿宋_GB2312" w:cs="Times New Roman"/>
          <w:b/>
          <w:bCs/>
          <w:spacing w:val="-6"/>
          <w:kern w:val="34"/>
          <w:sz w:val="32"/>
          <w:szCs w:val="32"/>
          <w:lang w:val="en-US" w:eastAsia="zh-CN"/>
        </w:rPr>
        <w:t>“网站平台工作经费”项目绩效目标完成情况综述。</w:t>
      </w:r>
    </w:p>
    <w:p w14:paraId="4B99F537">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项目全年预算数</w:t>
      </w:r>
      <w:r>
        <w:rPr>
          <w:rFonts w:hint="default" w:ascii="Times New Roman" w:hAnsi="Times New Roman" w:eastAsia="仿宋_GB2312" w:cs="Times New Roman"/>
          <w:sz w:val="32"/>
          <w:szCs w:val="32"/>
          <w:highlight w:val="none"/>
          <w:lang w:eastAsia="zh-CN"/>
        </w:rPr>
        <w:t>9</w:t>
      </w:r>
      <w:r>
        <w:rPr>
          <w:rFonts w:hint="default" w:ascii="Times New Roman" w:hAnsi="Times New Roman" w:eastAsia="仿宋_GB2312" w:cs="Times New Roman"/>
          <w:sz w:val="32"/>
          <w:szCs w:val="32"/>
          <w:highlight w:val="none"/>
          <w:lang w:val="en-US" w:eastAsia="zh-CN"/>
        </w:rPr>
        <w:t>.82</w:t>
      </w:r>
      <w:r>
        <w:rPr>
          <w:rFonts w:hint="default" w:ascii="Times New Roman" w:hAnsi="Times New Roman" w:eastAsia="仿宋_GB2312" w:cs="Times New Roman"/>
          <w:sz w:val="32"/>
          <w:szCs w:val="32"/>
          <w:highlight w:val="none"/>
        </w:rPr>
        <w:t>万元，执行数为</w:t>
      </w:r>
      <w:r>
        <w:rPr>
          <w:rFonts w:hint="default" w:ascii="Times New Roman" w:hAnsi="Times New Roman" w:eastAsia="仿宋_GB2312" w:cs="Times New Roman"/>
          <w:sz w:val="32"/>
          <w:szCs w:val="32"/>
          <w:highlight w:val="none"/>
          <w:lang w:eastAsia="zh-CN"/>
        </w:rPr>
        <w:t>9</w:t>
      </w:r>
      <w:r>
        <w:rPr>
          <w:rFonts w:hint="default" w:ascii="Times New Roman" w:hAnsi="Times New Roman" w:eastAsia="仿宋_GB2312" w:cs="Times New Roman"/>
          <w:sz w:val="32"/>
          <w:szCs w:val="32"/>
          <w:highlight w:val="none"/>
          <w:lang w:val="en-US" w:eastAsia="zh-CN"/>
        </w:rPr>
        <w:t>.82</w:t>
      </w:r>
      <w:r>
        <w:rPr>
          <w:rFonts w:hint="default" w:ascii="Times New Roman" w:hAnsi="Times New Roman" w:eastAsia="仿宋_GB2312" w:cs="Times New Roman"/>
          <w:sz w:val="32"/>
          <w:szCs w:val="32"/>
          <w:highlight w:val="none"/>
        </w:rPr>
        <w:t>万元，完成预算的100%。通过项目实施，</w:t>
      </w:r>
      <w:r>
        <w:rPr>
          <w:rFonts w:hint="default" w:ascii="Times New Roman" w:hAnsi="Times New Roman" w:eastAsia="仿宋_GB2312" w:cs="Times New Roman"/>
          <w:sz w:val="32"/>
          <w:szCs w:val="32"/>
          <w:highlight w:val="none"/>
          <w:lang w:val="en-US" w:eastAsia="zh-CN"/>
        </w:rPr>
        <w:t>保障网站平台稳定畅通，</w:t>
      </w:r>
      <w:r>
        <w:rPr>
          <w:rFonts w:hint="default" w:ascii="Times New Roman" w:hAnsi="Times New Roman" w:eastAsia="仿宋_GB2312" w:cs="Times New Roman"/>
          <w:sz w:val="32"/>
          <w:highlight w:val="none"/>
        </w:rPr>
        <w:t>更好地宣传盐边，促进县域经济更快更好发展</w:t>
      </w:r>
      <w:r>
        <w:rPr>
          <w:rFonts w:hint="default" w:ascii="Times New Roman" w:hAnsi="Times New Roman" w:eastAsia="仿宋_GB2312" w:cs="Times New Roman"/>
          <w:sz w:val="32"/>
          <w:szCs w:val="32"/>
          <w:highlight w:val="none"/>
        </w:rPr>
        <w:t>。</w:t>
      </w:r>
    </w:p>
    <w:p w14:paraId="0FFB2F21">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Style w:val="29"/>
          <w:rFonts w:hint="default" w:ascii="Times New Roman" w:hAnsi="Times New Roman" w:eastAsia="黑体" w:cs="Times New Roman"/>
          <w:b w:val="0"/>
          <w:bCs w:val="0"/>
        </w:rPr>
      </w:pPr>
      <w:bookmarkStart w:id="141" w:name="_Toc23930_WPSOffice_Level2"/>
      <w:bookmarkStart w:id="142" w:name="_Toc19384_WPSOffice_Level2"/>
      <w:bookmarkStart w:id="143" w:name="_Toc26014_WPSOffice_Level2"/>
      <w:bookmarkStart w:id="144" w:name="_Toc13268"/>
      <w:r>
        <w:rPr>
          <w:rStyle w:val="29"/>
          <w:rFonts w:hint="default" w:ascii="Times New Roman" w:hAnsi="Times New Roman" w:eastAsia="黑体" w:cs="Times New Roman"/>
          <w:b w:val="0"/>
          <w:bCs w:val="0"/>
        </w:rPr>
        <w:t>五、评价结论及存在问题</w:t>
      </w:r>
      <w:bookmarkEnd w:id="141"/>
      <w:bookmarkEnd w:id="142"/>
      <w:bookmarkEnd w:id="143"/>
      <w:bookmarkEnd w:id="144"/>
    </w:p>
    <w:p w14:paraId="01FD7E57">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en-US" w:eastAsia="zh-CN"/>
        </w:rPr>
      </w:pPr>
      <w:r>
        <w:rPr>
          <w:rFonts w:hint="default" w:ascii="Times New Roman" w:hAnsi="Times New Roman" w:eastAsia="楷体_GB2312" w:cs="Times New Roman"/>
          <w:b w:val="0"/>
          <w:bCs w:val="0"/>
          <w:lang w:val="en-US" w:eastAsia="zh-CN"/>
        </w:rPr>
        <w:t>（一）评价结论。</w:t>
      </w:r>
    </w:p>
    <w:p w14:paraId="4E254D9A">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县政府办公室</w:t>
      </w:r>
      <w:r>
        <w:rPr>
          <w:rFonts w:hint="default" w:ascii="Times New Roman" w:hAnsi="Times New Roman" w:eastAsia="仿宋_GB2312" w:cs="Times New Roman"/>
          <w:sz w:val="32"/>
          <w:szCs w:val="32"/>
          <w:highlight w:val="none"/>
        </w:rPr>
        <w:t>严格执行上级关于项目绩效评价的相关规定，开展了项目绩效评价工作，实现了预期目标</w:t>
      </w:r>
      <w:r>
        <w:rPr>
          <w:rFonts w:hint="default" w:ascii="Times New Roman" w:hAnsi="Times New Roman" w:eastAsia="仿宋_GB2312" w:cs="Times New Roman"/>
          <w:sz w:val="32"/>
          <w:szCs w:val="32"/>
          <w:highlight w:val="none"/>
          <w:lang w:eastAsia="zh-CN"/>
        </w:rPr>
        <w:t>。</w:t>
      </w:r>
    </w:p>
    <w:p w14:paraId="46FFA2A5">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zh-CN" w:eastAsia="zh-CN"/>
        </w:rPr>
      </w:pPr>
      <w:r>
        <w:rPr>
          <w:rFonts w:hint="default" w:ascii="Times New Roman" w:hAnsi="Times New Roman" w:eastAsia="楷体_GB2312" w:cs="Times New Roman"/>
          <w:b w:val="0"/>
          <w:bCs w:val="0"/>
          <w:lang w:val="zh-CN" w:eastAsia="zh-CN"/>
        </w:rPr>
        <w:t>（二）存在的问题。</w:t>
      </w:r>
    </w:p>
    <w:p w14:paraId="0BB135A4">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2021年县政府办公室在预算执行及绩效管理方面虽取得了一些成绩，但</w:t>
      </w:r>
      <w:r>
        <w:rPr>
          <w:rFonts w:hint="default" w:ascii="Times New Roman" w:hAnsi="Times New Roman" w:eastAsia="仿宋_GB2312" w:cs="Times New Roman"/>
          <w:kern w:val="0"/>
          <w:sz w:val="32"/>
          <w:szCs w:val="32"/>
          <w:highlight w:val="none"/>
        </w:rPr>
        <w:t>单位预算管理</w:t>
      </w:r>
      <w:bookmarkStart w:id="176" w:name="_GoBack"/>
      <w:r>
        <w:rPr>
          <w:rFonts w:hint="eastAsia" w:eastAsia="仿宋_GB2312" w:cs="Times New Roman"/>
          <w:kern w:val="0"/>
          <w:sz w:val="32"/>
          <w:szCs w:val="32"/>
          <w:highlight w:val="none"/>
          <w:lang w:eastAsia="zh-CN"/>
        </w:rPr>
        <w:t>意识还有待</w:t>
      </w:r>
      <w:bookmarkEnd w:id="176"/>
      <w:r>
        <w:rPr>
          <w:rFonts w:hint="default" w:ascii="Times New Roman" w:hAnsi="Times New Roman" w:eastAsia="仿宋_GB2312" w:cs="Times New Roman"/>
          <w:kern w:val="0"/>
          <w:sz w:val="32"/>
          <w:szCs w:val="32"/>
          <w:highlight w:val="none"/>
        </w:rPr>
        <w:t>进一步加强，预算目标管理力度还有待加强。</w:t>
      </w:r>
    </w:p>
    <w:p w14:paraId="04E9B1C6">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楷体_GB2312" w:cs="Times New Roman"/>
          <w:b w:val="0"/>
          <w:bCs w:val="0"/>
          <w:lang w:val="zh-CN" w:eastAsia="zh-CN"/>
        </w:rPr>
      </w:pPr>
      <w:r>
        <w:rPr>
          <w:rFonts w:hint="default" w:ascii="Times New Roman" w:hAnsi="Times New Roman" w:eastAsia="楷体_GB2312" w:cs="Times New Roman"/>
          <w:b w:val="0"/>
          <w:bCs w:val="0"/>
          <w:lang w:val="zh-CN" w:eastAsia="zh-CN"/>
        </w:rPr>
        <w:t>（三）相关建议。</w:t>
      </w:r>
    </w:p>
    <w:p w14:paraId="62511028">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1.遵循先有预算、后有支出的原则，加强机关财务管理，严禁超预算和无预算安排支出，严格开支范围和标准。</w:t>
      </w:r>
    </w:p>
    <w:p w14:paraId="0FDDCD3F">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2.严格控制项目经费。认真贯彻落实中央八项规定和省市委十项规定，严格项目经费支出的审核和审批，合理压缩项目经费支出。</w:t>
      </w:r>
    </w:p>
    <w:p w14:paraId="624348EE">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3.加强业务培训，提高评价水平。</w:t>
      </w:r>
    </w:p>
    <w:p w14:paraId="680E6F27">
      <w:pPr>
        <w:rPr>
          <w:rFonts w:hint="default" w:ascii="Times New Roman" w:hAnsi="Times New Roman" w:cs="Times New Roman"/>
          <w:lang w:val="zh-CN"/>
        </w:rPr>
      </w:pPr>
      <w:r>
        <w:rPr>
          <w:rFonts w:hint="default" w:ascii="Times New Roman" w:hAnsi="Times New Roman" w:cs="Times New Roman"/>
          <w:lang w:val="zh-CN"/>
        </w:rPr>
        <w:br w:type="page"/>
      </w:r>
    </w:p>
    <w:p w14:paraId="13EF9E06">
      <w:pPr>
        <w:pStyle w:val="4"/>
        <w:keepNext/>
        <w:keepLines/>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Style w:val="29"/>
          <w:rFonts w:hint="default" w:ascii="Times New Roman" w:hAnsi="Times New Roman" w:eastAsia="黑体" w:cs="Times New Roman"/>
          <w:b w:val="0"/>
          <w:bCs w:val="0"/>
          <w:lang w:val="zh-CN"/>
        </w:rPr>
      </w:pPr>
      <w:bookmarkStart w:id="145" w:name="_Toc1882_WPSOffice_Level2"/>
      <w:bookmarkStart w:id="146" w:name="_Toc8062"/>
      <w:r>
        <w:rPr>
          <w:rStyle w:val="29"/>
          <w:rFonts w:hint="default" w:ascii="Times New Roman" w:hAnsi="Times New Roman" w:eastAsia="黑体" w:cs="Times New Roman"/>
          <w:b w:val="0"/>
          <w:bCs w:val="0"/>
          <w:lang w:val="zh-CN"/>
        </w:rPr>
        <w:t>附表：</w:t>
      </w:r>
      <w:bookmarkEnd w:id="145"/>
      <w:bookmarkEnd w:id="146"/>
    </w:p>
    <w:p w14:paraId="19662EC6">
      <w:pPr>
        <w:rPr>
          <w:rFonts w:hint="default" w:ascii="Times New Roman" w:hAnsi="Times New Roman" w:cs="Times New Roman"/>
          <w:lang w:eastAsia="zh-CN"/>
        </w:rPr>
      </w:pPr>
    </w:p>
    <w:tbl>
      <w:tblPr>
        <w:tblStyle w:val="15"/>
        <w:tblW w:w="8959" w:type="dxa"/>
        <w:tblInd w:w="0" w:type="dxa"/>
        <w:shd w:val="clear" w:color="auto" w:fill="auto"/>
        <w:tblLayout w:type="fixed"/>
        <w:tblCellMar>
          <w:top w:w="0" w:type="dxa"/>
          <w:left w:w="0" w:type="dxa"/>
          <w:bottom w:w="0" w:type="dxa"/>
          <w:right w:w="0" w:type="dxa"/>
        </w:tblCellMar>
      </w:tblPr>
      <w:tblGrid>
        <w:gridCol w:w="960"/>
        <w:gridCol w:w="960"/>
        <w:gridCol w:w="960"/>
        <w:gridCol w:w="1516"/>
        <w:gridCol w:w="1124"/>
        <w:gridCol w:w="801"/>
        <w:gridCol w:w="550"/>
        <w:gridCol w:w="2088"/>
      </w:tblGrid>
      <w:tr w14:paraId="63F753E5">
        <w:tblPrEx>
          <w:shd w:val="clear" w:color="auto" w:fill="auto"/>
          <w:tblCellMar>
            <w:top w:w="0" w:type="dxa"/>
            <w:left w:w="0" w:type="dxa"/>
            <w:bottom w:w="0" w:type="dxa"/>
            <w:right w:w="0" w:type="dxa"/>
          </w:tblCellMar>
        </w:tblPrEx>
        <w:trPr>
          <w:trHeight w:val="408" w:hRule="atLeast"/>
        </w:trPr>
        <w:tc>
          <w:tcPr>
            <w:tcW w:w="8959" w:type="dxa"/>
            <w:gridSpan w:val="8"/>
            <w:tcBorders>
              <w:top w:val="nil"/>
              <w:left w:val="nil"/>
              <w:bottom w:val="nil"/>
              <w:right w:val="nil"/>
            </w:tcBorders>
            <w:shd w:val="clear" w:color="auto" w:fill="auto"/>
            <w:tcMar>
              <w:top w:w="12" w:type="dxa"/>
              <w:left w:w="12" w:type="dxa"/>
              <w:right w:w="12" w:type="dxa"/>
            </w:tcMar>
            <w:vAlign w:val="center"/>
          </w:tcPr>
          <w:p w14:paraId="0FF710D8">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专项（项目）资金绩效自评表</w:t>
            </w:r>
          </w:p>
        </w:tc>
      </w:tr>
      <w:tr w14:paraId="25D9919F">
        <w:tblPrEx>
          <w:tblCellMar>
            <w:top w:w="0" w:type="dxa"/>
            <w:left w:w="0" w:type="dxa"/>
            <w:bottom w:w="0" w:type="dxa"/>
            <w:right w:w="0" w:type="dxa"/>
          </w:tblCellMar>
        </w:tblPrEx>
        <w:trPr>
          <w:trHeight w:val="312" w:hRule="atLeast"/>
        </w:trPr>
        <w:tc>
          <w:tcPr>
            <w:tcW w:w="8959" w:type="dxa"/>
            <w:gridSpan w:val="8"/>
            <w:tcBorders>
              <w:top w:val="nil"/>
              <w:left w:val="nil"/>
              <w:bottom w:val="nil"/>
              <w:right w:val="nil"/>
            </w:tcBorders>
            <w:shd w:val="clear" w:color="auto" w:fill="auto"/>
            <w:tcMar>
              <w:top w:w="12" w:type="dxa"/>
              <w:left w:w="12" w:type="dxa"/>
              <w:right w:w="12" w:type="dxa"/>
            </w:tcMar>
            <w:vAlign w:val="center"/>
          </w:tcPr>
          <w:p w14:paraId="4C1DE55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（2021</w:t>
            </w:r>
            <w:r>
              <w:rPr>
                <w:rStyle w:val="36"/>
                <w:rFonts w:hint="default" w:ascii="Times New Roman" w:hAnsi="Times New Roman" w:cs="Times New Roman"/>
                <w:lang w:val="en-US" w:eastAsia="zh-CN" w:bidi="ar"/>
              </w:rPr>
              <w:t>年度）</w:t>
            </w:r>
          </w:p>
        </w:tc>
      </w:tr>
      <w:tr w14:paraId="3B1ADD4A">
        <w:tblPrEx>
          <w:tblCellMar>
            <w:top w:w="0" w:type="dxa"/>
            <w:left w:w="0" w:type="dxa"/>
            <w:bottom w:w="0" w:type="dxa"/>
            <w:right w:w="0" w:type="dxa"/>
          </w:tblCellMar>
        </w:tblPrEx>
        <w:trPr>
          <w:trHeight w:val="312" w:hRule="atLeast"/>
        </w:trPr>
        <w:tc>
          <w:tcPr>
            <w:tcW w:w="960" w:type="dxa"/>
            <w:tcBorders>
              <w:top w:val="nil"/>
              <w:left w:val="nil"/>
              <w:bottom w:val="single" w:color="000000" w:sz="4" w:space="0"/>
              <w:right w:val="nil"/>
            </w:tcBorders>
            <w:shd w:val="clear" w:color="auto" w:fill="auto"/>
            <w:noWrap/>
            <w:tcMar>
              <w:top w:w="12" w:type="dxa"/>
              <w:left w:w="12" w:type="dxa"/>
              <w:right w:w="12" w:type="dxa"/>
            </w:tcMar>
            <w:vAlign w:val="center"/>
          </w:tcPr>
          <w:p w14:paraId="21F64787">
            <w:pPr>
              <w:rPr>
                <w:rFonts w:hint="default" w:ascii="Times New Roman" w:hAnsi="Times New Roman" w:eastAsia="宋体" w:cs="Times New Roman"/>
                <w:i w:val="0"/>
                <w:color w:val="000000"/>
                <w:sz w:val="24"/>
                <w:szCs w:val="24"/>
                <w:u w:val="none"/>
              </w:rPr>
            </w:pPr>
          </w:p>
        </w:tc>
        <w:tc>
          <w:tcPr>
            <w:tcW w:w="960" w:type="dxa"/>
            <w:tcBorders>
              <w:top w:val="nil"/>
              <w:left w:val="nil"/>
              <w:bottom w:val="single" w:color="000000" w:sz="4" w:space="0"/>
              <w:right w:val="nil"/>
            </w:tcBorders>
            <w:shd w:val="clear" w:color="auto" w:fill="auto"/>
            <w:tcMar>
              <w:top w:w="12" w:type="dxa"/>
              <w:left w:w="12" w:type="dxa"/>
              <w:right w:w="12" w:type="dxa"/>
            </w:tcMar>
            <w:vAlign w:val="center"/>
          </w:tcPr>
          <w:p w14:paraId="4BE0D28A">
            <w:pPr>
              <w:rPr>
                <w:rFonts w:hint="default" w:ascii="Times New Roman" w:hAnsi="Times New Roman" w:eastAsia="宋体" w:cs="Times New Roman"/>
                <w:i w:val="0"/>
                <w:color w:val="000000"/>
                <w:sz w:val="24"/>
                <w:szCs w:val="24"/>
                <w:u w:val="none"/>
              </w:rPr>
            </w:pPr>
          </w:p>
        </w:tc>
        <w:tc>
          <w:tcPr>
            <w:tcW w:w="960" w:type="dxa"/>
            <w:tcBorders>
              <w:top w:val="nil"/>
              <w:left w:val="nil"/>
              <w:bottom w:val="nil"/>
              <w:right w:val="nil"/>
            </w:tcBorders>
            <w:shd w:val="clear" w:color="auto" w:fill="auto"/>
            <w:tcMar>
              <w:top w:w="12" w:type="dxa"/>
              <w:left w:w="12" w:type="dxa"/>
              <w:right w:w="12" w:type="dxa"/>
            </w:tcMar>
            <w:vAlign w:val="center"/>
          </w:tcPr>
          <w:p w14:paraId="298D458D">
            <w:pPr>
              <w:rPr>
                <w:rFonts w:hint="default" w:ascii="Times New Roman" w:hAnsi="Times New Roman" w:eastAsia="宋体" w:cs="Times New Roman"/>
                <w:i w:val="0"/>
                <w:color w:val="000000"/>
                <w:sz w:val="24"/>
                <w:szCs w:val="24"/>
                <w:u w:val="none"/>
              </w:rPr>
            </w:pPr>
          </w:p>
        </w:tc>
        <w:tc>
          <w:tcPr>
            <w:tcW w:w="1516" w:type="dxa"/>
            <w:tcBorders>
              <w:top w:val="nil"/>
              <w:left w:val="nil"/>
              <w:bottom w:val="nil"/>
              <w:right w:val="nil"/>
            </w:tcBorders>
            <w:shd w:val="clear" w:color="auto" w:fill="auto"/>
            <w:tcMar>
              <w:top w:w="12" w:type="dxa"/>
              <w:left w:w="12" w:type="dxa"/>
              <w:right w:w="12" w:type="dxa"/>
            </w:tcMar>
            <w:vAlign w:val="center"/>
          </w:tcPr>
          <w:p w14:paraId="57B87A22">
            <w:pPr>
              <w:rPr>
                <w:rFonts w:hint="default" w:ascii="Times New Roman" w:hAnsi="Times New Roman" w:eastAsia="宋体" w:cs="Times New Roman"/>
                <w:i w:val="0"/>
                <w:color w:val="000000"/>
                <w:sz w:val="24"/>
                <w:szCs w:val="24"/>
                <w:u w:val="none"/>
              </w:rPr>
            </w:pPr>
          </w:p>
        </w:tc>
        <w:tc>
          <w:tcPr>
            <w:tcW w:w="1124" w:type="dxa"/>
            <w:tcBorders>
              <w:top w:val="nil"/>
              <w:left w:val="nil"/>
              <w:bottom w:val="nil"/>
              <w:right w:val="nil"/>
            </w:tcBorders>
            <w:shd w:val="clear" w:color="auto" w:fill="auto"/>
            <w:tcMar>
              <w:top w:w="12" w:type="dxa"/>
              <w:left w:w="12" w:type="dxa"/>
              <w:right w:w="12" w:type="dxa"/>
            </w:tcMar>
            <w:vAlign w:val="center"/>
          </w:tcPr>
          <w:p w14:paraId="197BCC3C">
            <w:pPr>
              <w:rPr>
                <w:rFonts w:hint="default" w:ascii="Times New Roman" w:hAnsi="Times New Roman" w:eastAsia="宋体" w:cs="Times New Roman"/>
                <w:i w:val="0"/>
                <w:color w:val="000000"/>
                <w:sz w:val="24"/>
                <w:szCs w:val="24"/>
                <w:u w:val="none"/>
              </w:rPr>
            </w:pPr>
          </w:p>
        </w:tc>
        <w:tc>
          <w:tcPr>
            <w:tcW w:w="801" w:type="dxa"/>
            <w:tcBorders>
              <w:top w:val="nil"/>
              <w:left w:val="nil"/>
              <w:bottom w:val="nil"/>
              <w:right w:val="nil"/>
            </w:tcBorders>
            <w:shd w:val="clear" w:color="auto" w:fill="auto"/>
            <w:tcMar>
              <w:top w:w="12" w:type="dxa"/>
              <w:left w:w="12" w:type="dxa"/>
              <w:right w:w="12" w:type="dxa"/>
            </w:tcMar>
            <w:vAlign w:val="center"/>
          </w:tcPr>
          <w:p w14:paraId="1A5FA79E">
            <w:pPr>
              <w:rPr>
                <w:rFonts w:hint="default" w:ascii="Times New Roman" w:hAnsi="Times New Roman" w:eastAsia="宋体" w:cs="Times New Roman"/>
                <w:i w:val="0"/>
                <w:color w:val="000000"/>
                <w:sz w:val="24"/>
                <w:szCs w:val="24"/>
                <w:u w:val="none"/>
              </w:rPr>
            </w:pPr>
          </w:p>
        </w:tc>
        <w:tc>
          <w:tcPr>
            <w:tcW w:w="550" w:type="dxa"/>
            <w:tcBorders>
              <w:top w:val="nil"/>
              <w:left w:val="nil"/>
              <w:bottom w:val="nil"/>
              <w:right w:val="nil"/>
            </w:tcBorders>
            <w:shd w:val="clear" w:color="auto" w:fill="auto"/>
            <w:tcMar>
              <w:top w:w="12" w:type="dxa"/>
              <w:left w:w="12" w:type="dxa"/>
              <w:right w:w="12" w:type="dxa"/>
            </w:tcMar>
            <w:vAlign w:val="center"/>
          </w:tcPr>
          <w:p w14:paraId="4AA29D07">
            <w:pPr>
              <w:rPr>
                <w:rFonts w:hint="default" w:ascii="Times New Roman" w:hAnsi="Times New Roman" w:eastAsia="宋体" w:cs="Times New Roman"/>
                <w:i w:val="0"/>
                <w:color w:val="000000"/>
                <w:sz w:val="24"/>
                <w:szCs w:val="24"/>
                <w:u w:val="none"/>
              </w:rPr>
            </w:pPr>
          </w:p>
        </w:tc>
        <w:tc>
          <w:tcPr>
            <w:tcW w:w="2088" w:type="dxa"/>
            <w:tcBorders>
              <w:top w:val="nil"/>
              <w:left w:val="nil"/>
              <w:bottom w:val="nil"/>
              <w:right w:val="nil"/>
            </w:tcBorders>
            <w:shd w:val="clear" w:color="auto" w:fill="auto"/>
            <w:tcMar>
              <w:top w:w="12" w:type="dxa"/>
              <w:left w:w="12" w:type="dxa"/>
              <w:right w:w="12" w:type="dxa"/>
            </w:tcMar>
            <w:vAlign w:val="center"/>
          </w:tcPr>
          <w:p w14:paraId="4CA460C5">
            <w:pPr>
              <w:rPr>
                <w:rFonts w:hint="default" w:ascii="Times New Roman" w:hAnsi="Times New Roman" w:eastAsia="宋体" w:cs="Times New Roman"/>
                <w:i w:val="0"/>
                <w:color w:val="000000"/>
                <w:sz w:val="24"/>
                <w:szCs w:val="24"/>
                <w:u w:val="none"/>
              </w:rPr>
            </w:pPr>
          </w:p>
        </w:tc>
      </w:tr>
      <w:tr w14:paraId="750D741F">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3D36B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专项（项目）名称</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A5C00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县政府办公室工作经费</w:t>
            </w:r>
          </w:p>
        </w:tc>
      </w:tr>
      <w:tr w14:paraId="471C888E">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0B828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项目主管单位</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CE63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盐边县人民政府办公室</w:t>
            </w:r>
          </w:p>
        </w:tc>
      </w:tr>
      <w:tr w14:paraId="3B5CB235">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C92E7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项目实施单位</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9AD18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盐边县人民政府办公室</w:t>
            </w:r>
          </w:p>
        </w:tc>
      </w:tr>
      <w:tr w14:paraId="261E7DE9">
        <w:tblPrEx>
          <w:tblCellMar>
            <w:top w:w="0" w:type="dxa"/>
            <w:left w:w="0" w:type="dxa"/>
            <w:bottom w:w="0" w:type="dxa"/>
            <w:right w:w="0" w:type="dxa"/>
          </w:tblCellMar>
        </w:tblPrEx>
        <w:trPr>
          <w:trHeight w:val="624" w:hRule="atLeast"/>
        </w:trPr>
        <w:tc>
          <w:tcPr>
            <w:tcW w:w="28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A4DE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项目资金</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（万元）</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3FC3EB">
            <w:pPr>
              <w:jc w:val="center"/>
              <w:rPr>
                <w:rFonts w:hint="default" w:ascii="Times New Roman" w:hAnsi="Times New Roman" w:eastAsia="宋体" w:cs="Times New Roman"/>
                <w:i w:val="0"/>
                <w:color w:val="000000"/>
                <w:sz w:val="24"/>
                <w:szCs w:val="24"/>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D697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全年预算数</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E1565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实际完成数</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373D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执行率（%）</w:t>
            </w:r>
          </w:p>
        </w:tc>
      </w:tr>
      <w:tr w14:paraId="4652ECEB">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7A49AC">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EC2AC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年度资金总额：</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DDAF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106</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C2E8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106</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3E8A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w:t>
            </w:r>
          </w:p>
        </w:tc>
      </w:tr>
      <w:tr w14:paraId="54B18671">
        <w:tblPrEx>
          <w:tblCellMar>
            <w:top w:w="0" w:type="dxa"/>
            <w:left w:w="0" w:type="dxa"/>
            <w:bottom w:w="0" w:type="dxa"/>
            <w:right w:w="0" w:type="dxa"/>
          </w:tblCellMar>
        </w:tblPrEx>
        <w:trPr>
          <w:trHeight w:val="1248"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04C49C">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3E1D0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其中：上级财政资金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15AB68">
            <w:pPr>
              <w:jc w:val="cente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F22E7">
            <w:pPr>
              <w:jc w:val="center"/>
              <w:rPr>
                <w:rFonts w:hint="default" w:ascii="Times New Roman" w:hAnsi="Times New Roman" w:eastAsia="宋体" w:cs="Times New Roman"/>
                <w:i w:val="0"/>
                <w:color w:val="000000"/>
                <w:sz w:val="24"/>
                <w:szCs w:val="24"/>
                <w:u w:val="none"/>
              </w:rPr>
            </w:pP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4EBA53">
            <w:pPr>
              <w:jc w:val="center"/>
              <w:rPr>
                <w:rFonts w:hint="default" w:ascii="Times New Roman" w:hAnsi="Times New Roman" w:eastAsia="宋体" w:cs="Times New Roman"/>
                <w:i w:val="0"/>
                <w:color w:val="000000"/>
                <w:sz w:val="24"/>
                <w:szCs w:val="24"/>
                <w:u w:val="none"/>
              </w:rPr>
            </w:pPr>
          </w:p>
        </w:tc>
      </w:tr>
      <w:tr w14:paraId="0A489BFF">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E4755B">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DC6EB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本级财政资金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DB200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106</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D0F82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106</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5E053E">
            <w:pPr>
              <w:jc w:val="center"/>
              <w:rPr>
                <w:rFonts w:hint="default" w:ascii="Times New Roman" w:hAnsi="Times New Roman" w:eastAsia="宋体" w:cs="Times New Roman"/>
                <w:i w:val="0"/>
                <w:color w:val="000000"/>
                <w:sz w:val="24"/>
                <w:szCs w:val="24"/>
                <w:u w:val="none"/>
              </w:rPr>
            </w:pPr>
          </w:p>
        </w:tc>
      </w:tr>
      <w:tr w14:paraId="7AECA011">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8922DD">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F8123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AE7763">
            <w:pP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2AE765">
            <w:pPr>
              <w:rPr>
                <w:rFonts w:hint="default" w:ascii="Times New Roman" w:hAnsi="Times New Roman" w:eastAsia="宋体" w:cs="Times New Roman"/>
                <w:i w:val="0"/>
                <w:color w:val="000000"/>
                <w:sz w:val="24"/>
                <w:szCs w:val="24"/>
                <w:u w:val="none"/>
              </w:rPr>
            </w:pP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9266F7">
            <w:pPr>
              <w:jc w:val="center"/>
              <w:rPr>
                <w:rFonts w:hint="default" w:ascii="Times New Roman" w:hAnsi="Times New Roman" w:eastAsia="宋体" w:cs="Times New Roman"/>
                <w:i w:val="0"/>
                <w:color w:val="000000"/>
                <w:sz w:val="24"/>
                <w:szCs w:val="24"/>
                <w:u w:val="none"/>
              </w:rPr>
            </w:pPr>
          </w:p>
        </w:tc>
      </w:tr>
      <w:tr w14:paraId="6A1219F6">
        <w:tblPrEx>
          <w:tblCellMar>
            <w:top w:w="0" w:type="dxa"/>
            <w:left w:w="0" w:type="dxa"/>
            <w:bottom w:w="0" w:type="dxa"/>
            <w:right w:w="0"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E7380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体</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目</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标</w:t>
            </w:r>
          </w:p>
        </w:tc>
        <w:tc>
          <w:tcPr>
            <w:tcW w:w="343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E96A2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年度设定目标</w:t>
            </w:r>
          </w:p>
        </w:tc>
        <w:tc>
          <w:tcPr>
            <w:tcW w:w="4563"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9DE6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实际完成情况</w:t>
            </w:r>
          </w:p>
        </w:tc>
      </w:tr>
      <w:tr w14:paraId="474EA426">
        <w:tblPrEx>
          <w:tblCellMar>
            <w:top w:w="0" w:type="dxa"/>
            <w:left w:w="0" w:type="dxa"/>
            <w:bottom w:w="0" w:type="dxa"/>
            <w:right w:w="0"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A34D0F">
            <w:pPr>
              <w:jc w:val="center"/>
              <w:rPr>
                <w:rFonts w:hint="default" w:ascii="Times New Roman" w:hAnsi="Times New Roman" w:eastAsia="宋体" w:cs="Times New Roman"/>
                <w:i w:val="0"/>
                <w:color w:val="000000"/>
                <w:sz w:val="24"/>
                <w:szCs w:val="24"/>
                <w:u w:val="none"/>
              </w:rPr>
            </w:pPr>
          </w:p>
        </w:tc>
        <w:tc>
          <w:tcPr>
            <w:tcW w:w="343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42549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完成各项目标任务，政务信息、政务调研等工作，弥补公用经费不足等。</w:t>
            </w:r>
          </w:p>
        </w:tc>
        <w:tc>
          <w:tcPr>
            <w:tcW w:w="4563"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264BD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全面完成各项目标任务</w:t>
            </w:r>
          </w:p>
        </w:tc>
      </w:tr>
      <w:tr w14:paraId="7168CDA8">
        <w:tblPrEx>
          <w:tblCellMar>
            <w:top w:w="0" w:type="dxa"/>
            <w:left w:w="0" w:type="dxa"/>
            <w:bottom w:w="0" w:type="dxa"/>
            <w:right w:w="0" w:type="dxa"/>
          </w:tblCellMar>
        </w:tblPrEx>
        <w:trPr>
          <w:trHeight w:val="1248"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939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效</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标</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90D559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58E3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EDF87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B3376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年度指标值</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9392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实际完成数</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8B77E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完成率（%）</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A78E9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未完成原因和改进措施</w:t>
            </w:r>
          </w:p>
        </w:tc>
      </w:tr>
      <w:tr w14:paraId="35ED9243">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96F61C">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73846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项目完成</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1FBD2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663FB4EE">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完成各项目标任务</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545DB5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完成2021年县政府工作报告，完成政务信息工作任务，办理政务公开。</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57600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D6A1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8A5376">
            <w:pPr>
              <w:rPr>
                <w:rFonts w:hint="default" w:ascii="Times New Roman" w:hAnsi="Times New Roman" w:eastAsia="宋体" w:cs="Times New Roman"/>
                <w:i w:val="0"/>
                <w:color w:val="000000"/>
                <w:sz w:val="24"/>
                <w:szCs w:val="24"/>
                <w:u w:val="none"/>
              </w:rPr>
            </w:pPr>
          </w:p>
        </w:tc>
      </w:tr>
      <w:tr w14:paraId="64113DD0">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C4EA78">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A4910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5B3D3E">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74C2279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57DBAB7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完成县领导招商引资宣传、调研产生的差旅费、会议费、印刷费、租赁费等。</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E7AB9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A1BC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CCCDAF">
            <w:pPr>
              <w:rPr>
                <w:rFonts w:hint="default" w:ascii="Times New Roman" w:hAnsi="Times New Roman" w:eastAsia="宋体" w:cs="Times New Roman"/>
                <w:i w:val="0"/>
                <w:color w:val="000000"/>
                <w:sz w:val="24"/>
                <w:szCs w:val="24"/>
                <w:u w:val="none"/>
              </w:rPr>
            </w:pPr>
          </w:p>
        </w:tc>
      </w:tr>
      <w:tr w14:paraId="2A954132">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34F5E0">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8DA84F">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6674F94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4E7E8F5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完成工作任务</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82808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按计划保质保量完成各项工作任务</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15A25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6B7FC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86A6BB">
            <w:pPr>
              <w:rPr>
                <w:rFonts w:hint="default" w:ascii="Times New Roman" w:hAnsi="Times New Roman" w:eastAsia="宋体" w:cs="Times New Roman"/>
                <w:i w:val="0"/>
                <w:color w:val="000000"/>
                <w:sz w:val="24"/>
                <w:szCs w:val="24"/>
                <w:u w:val="none"/>
              </w:rPr>
            </w:pPr>
          </w:p>
        </w:tc>
      </w:tr>
      <w:tr w14:paraId="58823EAE">
        <w:tblPrEx>
          <w:tblCellMar>
            <w:top w:w="0" w:type="dxa"/>
            <w:left w:w="0" w:type="dxa"/>
            <w:bottom w:w="0" w:type="dxa"/>
            <w:right w:w="0"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80771B">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824E50">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4FB1E4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1F3281D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按工作计划</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2EE032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2021年1月—12月</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BF5A61">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14C52B">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3BA8A5">
            <w:pPr>
              <w:rPr>
                <w:rFonts w:hint="default" w:ascii="Times New Roman" w:hAnsi="Times New Roman" w:eastAsia="宋体" w:cs="Times New Roman"/>
                <w:i w:val="0"/>
                <w:color w:val="000000"/>
                <w:sz w:val="24"/>
                <w:szCs w:val="24"/>
                <w:u w:val="none"/>
              </w:rPr>
            </w:pPr>
          </w:p>
        </w:tc>
      </w:tr>
      <w:tr w14:paraId="33462889">
        <w:tblPrEx>
          <w:tblCellMar>
            <w:top w:w="0" w:type="dxa"/>
            <w:left w:w="0" w:type="dxa"/>
            <w:bottom w:w="0" w:type="dxa"/>
            <w:right w:w="0" w:type="dxa"/>
          </w:tblCellMar>
        </w:tblPrEx>
        <w:trPr>
          <w:trHeight w:val="93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809C58">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EBF3CE">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F218C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6BAFC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日常工作经费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12F77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CFA0E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7CDA4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9378A7">
            <w:pPr>
              <w:rPr>
                <w:rFonts w:hint="default" w:ascii="Times New Roman" w:hAnsi="Times New Roman" w:eastAsia="宋体" w:cs="Times New Roman"/>
                <w:i w:val="0"/>
                <w:color w:val="000000"/>
                <w:sz w:val="24"/>
                <w:szCs w:val="24"/>
                <w:u w:val="none"/>
              </w:rPr>
            </w:pPr>
          </w:p>
        </w:tc>
      </w:tr>
      <w:tr w14:paraId="5C672CC3">
        <w:tblPrEx>
          <w:tblCellMar>
            <w:top w:w="0" w:type="dxa"/>
            <w:left w:w="0" w:type="dxa"/>
            <w:bottom w:w="0" w:type="dxa"/>
            <w:right w:w="0" w:type="dxa"/>
          </w:tblCellMar>
        </w:tblPrEx>
        <w:trPr>
          <w:trHeight w:val="345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997239">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B438EC">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C782C7">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29BB1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EB5EF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主要用于县领导招商引资宣传、调研产生的差旅费、会议费、印刷费、租赁费等，在额度内按实际支付经费。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E870D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DE17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C6FA2D">
            <w:pPr>
              <w:rPr>
                <w:rFonts w:hint="default" w:ascii="Times New Roman" w:hAnsi="Times New Roman" w:eastAsia="宋体" w:cs="Times New Roman"/>
                <w:i w:val="0"/>
                <w:color w:val="000000"/>
                <w:sz w:val="24"/>
                <w:szCs w:val="24"/>
                <w:u w:val="none"/>
              </w:rPr>
            </w:pPr>
          </w:p>
        </w:tc>
      </w:tr>
      <w:tr w14:paraId="6088D31D">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853F79">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61640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项目效益</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28EB5B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经济效益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70DD295A">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推动规范项目管理，提高资金使用绩效。</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E29041">
            <w:pP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B2A8C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55FD2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D317A9">
            <w:pPr>
              <w:rPr>
                <w:rFonts w:hint="default" w:ascii="Times New Roman" w:hAnsi="Times New Roman" w:eastAsia="宋体" w:cs="Times New Roman"/>
                <w:i w:val="0"/>
                <w:color w:val="000000"/>
                <w:sz w:val="24"/>
                <w:szCs w:val="24"/>
                <w:u w:val="none"/>
              </w:rPr>
            </w:pPr>
          </w:p>
        </w:tc>
      </w:tr>
      <w:tr w14:paraId="37CB5EF9">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1D039C">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6DD887">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564489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54B84BB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9DA585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CB051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6C75F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5AB708">
            <w:pPr>
              <w:rPr>
                <w:rFonts w:hint="default" w:ascii="Times New Roman" w:hAnsi="Times New Roman" w:eastAsia="宋体" w:cs="Times New Roman"/>
                <w:i w:val="0"/>
                <w:color w:val="000000"/>
                <w:sz w:val="24"/>
                <w:szCs w:val="24"/>
                <w:u w:val="none"/>
              </w:rPr>
            </w:pPr>
          </w:p>
        </w:tc>
      </w:tr>
      <w:tr w14:paraId="68021883">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AF8E05">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2483D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5D4B6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D7A1A8">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服务对象满意度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4C809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23A1C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48BBB8">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4643E0">
            <w:pPr>
              <w:rPr>
                <w:rFonts w:hint="default" w:ascii="Times New Roman" w:hAnsi="Times New Roman" w:eastAsia="宋体" w:cs="Times New Roman"/>
                <w:i w:val="0"/>
                <w:color w:val="000000"/>
                <w:sz w:val="24"/>
                <w:szCs w:val="24"/>
                <w:u w:val="none"/>
              </w:rPr>
            </w:pPr>
          </w:p>
        </w:tc>
      </w:tr>
      <w:tr w14:paraId="32E569AC">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E6A3A5">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4D49DA">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38AB16">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837C41">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群众满意度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1EF1AC">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3CB8B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A2C30A">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AFBAD5">
            <w:pPr>
              <w:rPr>
                <w:rFonts w:hint="default" w:ascii="Times New Roman" w:hAnsi="Times New Roman" w:eastAsia="宋体" w:cs="Times New Roman"/>
                <w:i w:val="0"/>
                <w:color w:val="000000"/>
                <w:sz w:val="24"/>
                <w:szCs w:val="24"/>
                <w:u w:val="none"/>
              </w:rPr>
            </w:pPr>
          </w:p>
        </w:tc>
      </w:tr>
      <w:tr w14:paraId="7DDDABD6">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86A2A0">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B920C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项目完成</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640E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2DD2D01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完成各项目标任务</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743DE3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完成2021年县政府工作报告，完成政务信息工作任务，办理政务公开。</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AEADE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C1E7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3206DA">
            <w:pPr>
              <w:rPr>
                <w:rFonts w:hint="default" w:ascii="Times New Roman" w:hAnsi="Times New Roman" w:eastAsia="宋体" w:cs="Times New Roman"/>
                <w:i w:val="0"/>
                <w:color w:val="000000"/>
                <w:sz w:val="24"/>
                <w:szCs w:val="24"/>
                <w:u w:val="none"/>
              </w:rPr>
            </w:pPr>
          </w:p>
        </w:tc>
      </w:tr>
      <w:tr w14:paraId="2D1A5351">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9BA64B">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59E151">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3B8B35">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4F47694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78603F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完成县领导招商引资宣传、调研产生的差旅费、会议费、印刷费、租赁费等。</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EE911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2B882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1CBF3E">
            <w:pPr>
              <w:rPr>
                <w:rFonts w:hint="default" w:ascii="Times New Roman" w:hAnsi="Times New Roman" w:eastAsia="宋体" w:cs="Times New Roman"/>
                <w:i w:val="0"/>
                <w:color w:val="000000"/>
                <w:sz w:val="24"/>
                <w:szCs w:val="24"/>
                <w:u w:val="none"/>
              </w:rPr>
            </w:pPr>
          </w:p>
        </w:tc>
      </w:tr>
      <w:tr w14:paraId="202250C2">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26EC38">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772041">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7402739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63FBFFE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完成工作任务</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E9945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按计划保质保量完成各项工作任务</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38E6F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36A1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B08F8A">
            <w:pPr>
              <w:rPr>
                <w:rFonts w:hint="default" w:ascii="Times New Roman" w:hAnsi="Times New Roman" w:eastAsia="宋体" w:cs="Times New Roman"/>
                <w:i w:val="0"/>
                <w:color w:val="000000"/>
                <w:sz w:val="24"/>
                <w:szCs w:val="24"/>
                <w:u w:val="none"/>
              </w:rPr>
            </w:pPr>
          </w:p>
        </w:tc>
      </w:tr>
      <w:tr w14:paraId="4FE4C4F5">
        <w:tblPrEx>
          <w:tblCellMar>
            <w:top w:w="0" w:type="dxa"/>
            <w:left w:w="0" w:type="dxa"/>
            <w:bottom w:w="0" w:type="dxa"/>
            <w:right w:w="0"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1E279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9F14D2">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51EE33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5F6D5D3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按工作计划</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F145590">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2021年1月—12月</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376F22">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0DEFBB">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BC228B">
            <w:pPr>
              <w:rPr>
                <w:rFonts w:hint="default" w:ascii="Times New Roman" w:hAnsi="Times New Roman" w:eastAsia="宋体" w:cs="Times New Roman"/>
                <w:i w:val="0"/>
                <w:color w:val="000000"/>
                <w:sz w:val="24"/>
                <w:szCs w:val="24"/>
                <w:u w:val="none"/>
              </w:rPr>
            </w:pPr>
          </w:p>
        </w:tc>
      </w:tr>
      <w:tr w14:paraId="236F2B23">
        <w:tblPrEx>
          <w:tblCellMar>
            <w:top w:w="0" w:type="dxa"/>
            <w:left w:w="0" w:type="dxa"/>
            <w:bottom w:w="0" w:type="dxa"/>
            <w:right w:w="0" w:type="dxa"/>
          </w:tblCellMar>
        </w:tblPrEx>
        <w:trPr>
          <w:trHeight w:val="93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9DA4E4">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9102DA">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8DF6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D8237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日常工作经费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08F56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56C14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5EF7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9A4A6A">
            <w:pPr>
              <w:rPr>
                <w:rFonts w:hint="default" w:ascii="Times New Roman" w:hAnsi="Times New Roman" w:eastAsia="宋体" w:cs="Times New Roman"/>
                <w:i w:val="0"/>
                <w:color w:val="000000"/>
                <w:sz w:val="24"/>
                <w:szCs w:val="24"/>
                <w:u w:val="none"/>
              </w:rPr>
            </w:pPr>
          </w:p>
        </w:tc>
      </w:tr>
      <w:tr w14:paraId="68C9B957">
        <w:tblPrEx>
          <w:tblCellMar>
            <w:top w:w="0" w:type="dxa"/>
            <w:left w:w="0" w:type="dxa"/>
            <w:bottom w:w="0" w:type="dxa"/>
            <w:right w:w="0" w:type="dxa"/>
          </w:tblCellMar>
        </w:tblPrEx>
        <w:trPr>
          <w:trHeight w:val="345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2188A1">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0E9A93">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F8D0C7">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4FE9B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B5CE4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主要用于县领导招商引资宣传、调研产生的差旅费、会议费、印刷费、租赁费等，在额度内按实际支付经费。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7FEB9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23148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35759E">
            <w:pPr>
              <w:rPr>
                <w:rFonts w:hint="default" w:ascii="Times New Roman" w:hAnsi="Times New Roman" w:eastAsia="宋体" w:cs="Times New Roman"/>
                <w:i w:val="0"/>
                <w:color w:val="000000"/>
                <w:sz w:val="24"/>
                <w:szCs w:val="24"/>
                <w:u w:val="none"/>
              </w:rPr>
            </w:pPr>
          </w:p>
        </w:tc>
      </w:tr>
      <w:tr w14:paraId="7A3126F8">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0416CB">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3D517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项目效益</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657A10C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经济效益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2F6BE9E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推动规范项目管理，提高资金使用绩效。</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65FBF4">
            <w:pP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22F98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E892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999124">
            <w:pPr>
              <w:rPr>
                <w:rFonts w:hint="default" w:ascii="Times New Roman" w:hAnsi="Times New Roman" w:eastAsia="宋体" w:cs="Times New Roman"/>
                <w:i w:val="0"/>
                <w:color w:val="000000"/>
                <w:sz w:val="24"/>
                <w:szCs w:val="24"/>
                <w:u w:val="none"/>
              </w:rPr>
            </w:pPr>
          </w:p>
        </w:tc>
      </w:tr>
      <w:tr w14:paraId="18AEA47F">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31B80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724456">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0CC197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0E970DA4">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F3E151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99FBD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47EB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76A6D7">
            <w:pPr>
              <w:rPr>
                <w:rFonts w:hint="default" w:ascii="Times New Roman" w:hAnsi="Times New Roman" w:eastAsia="宋体" w:cs="Times New Roman"/>
                <w:i w:val="0"/>
                <w:color w:val="000000"/>
                <w:sz w:val="24"/>
                <w:szCs w:val="24"/>
                <w:u w:val="none"/>
              </w:rPr>
            </w:pPr>
          </w:p>
        </w:tc>
      </w:tr>
      <w:tr w14:paraId="75F3A6F5">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A78A98">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D203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6D71B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63975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服务对象满意度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CB2EB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76D46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FD3F3E">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110FD5">
            <w:pPr>
              <w:rPr>
                <w:rFonts w:hint="default" w:ascii="Times New Roman" w:hAnsi="Times New Roman" w:eastAsia="宋体" w:cs="Times New Roman"/>
                <w:i w:val="0"/>
                <w:color w:val="000000"/>
                <w:sz w:val="24"/>
                <w:szCs w:val="24"/>
                <w:u w:val="none"/>
              </w:rPr>
            </w:pPr>
          </w:p>
        </w:tc>
      </w:tr>
      <w:tr w14:paraId="3FC2863C">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7F95EB">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E2937C">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609316">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3C9B3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群众满意度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95346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FF53E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FBB5F1">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9760AE">
            <w:pPr>
              <w:rPr>
                <w:rFonts w:hint="default" w:ascii="Times New Roman" w:hAnsi="Times New Roman" w:eastAsia="宋体" w:cs="Times New Roman"/>
                <w:i w:val="0"/>
                <w:color w:val="000000"/>
                <w:sz w:val="24"/>
                <w:szCs w:val="24"/>
                <w:u w:val="none"/>
              </w:rPr>
            </w:pPr>
          </w:p>
        </w:tc>
      </w:tr>
      <w:tr w14:paraId="37855235">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556B46">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951F6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项目完成</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81281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682CAE1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完成各项目标任务</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970893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完成2021年县政府工作报告，完成政务信息工作任务，办理政务公开。</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AA3FA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909C0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24E293">
            <w:pPr>
              <w:rPr>
                <w:rFonts w:hint="default" w:ascii="Times New Roman" w:hAnsi="Times New Roman" w:eastAsia="宋体" w:cs="Times New Roman"/>
                <w:i w:val="0"/>
                <w:color w:val="000000"/>
                <w:sz w:val="24"/>
                <w:szCs w:val="24"/>
                <w:u w:val="none"/>
              </w:rPr>
            </w:pPr>
          </w:p>
        </w:tc>
      </w:tr>
      <w:tr w14:paraId="55A09981">
        <w:tblPrEx>
          <w:tblCellMar>
            <w:top w:w="0" w:type="dxa"/>
            <w:left w:w="0" w:type="dxa"/>
            <w:bottom w:w="0" w:type="dxa"/>
            <w:right w:w="0" w:type="dxa"/>
          </w:tblCellMar>
        </w:tblPrEx>
        <w:trPr>
          <w:trHeight w:val="259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6949D0">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C65523">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E00C82">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63E616E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06F807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完成县领导招商引资宣传、调研产生的差旅费、会议费、印刷费、租赁费等。</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5F62B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F9DA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12E025">
            <w:pPr>
              <w:rPr>
                <w:rFonts w:hint="default" w:ascii="Times New Roman" w:hAnsi="Times New Roman" w:eastAsia="宋体" w:cs="Times New Roman"/>
                <w:i w:val="0"/>
                <w:color w:val="000000"/>
                <w:sz w:val="24"/>
                <w:szCs w:val="24"/>
                <w:u w:val="none"/>
              </w:rPr>
            </w:pPr>
          </w:p>
        </w:tc>
      </w:tr>
      <w:tr w14:paraId="02261468">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44F222">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CFAE5F">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89F8D2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316ABA1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完成工作任务</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41D694">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按计划保质保量完成各项工作任务</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BD3F6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1E4A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350EEB">
            <w:pPr>
              <w:rPr>
                <w:rFonts w:hint="default" w:ascii="Times New Roman" w:hAnsi="Times New Roman" w:eastAsia="宋体" w:cs="Times New Roman"/>
                <w:i w:val="0"/>
                <w:color w:val="000000"/>
                <w:sz w:val="24"/>
                <w:szCs w:val="24"/>
                <w:u w:val="none"/>
              </w:rPr>
            </w:pPr>
          </w:p>
        </w:tc>
      </w:tr>
      <w:tr w14:paraId="6ADA83D4">
        <w:tblPrEx>
          <w:tblCellMar>
            <w:top w:w="0" w:type="dxa"/>
            <w:left w:w="0" w:type="dxa"/>
            <w:bottom w:w="0" w:type="dxa"/>
            <w:right w:w="0" w:type="dxa"/>
          </w:tblCellMar>
        </w:tblPrEx>
        <w:trPr>
          <w:trHeight w:val="62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BC136F">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838C99">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52C0D4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1BF7E35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按工作计划</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1C920E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2021年1月—12月</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BC7CF0">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9D16F7">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47F3AE">
            <w:pPr>
              <w:rPr>
                <w:rFonts w:hint="default" w:ascii="Times New Roman" w:hAnsi="Times New Roman" w:eastAsia="宋体" w:cs="Times New Roman"/>
                <w:i w:val="0"/>
                <w:color w:val="000000"/>
                <w:sz w:val="24"/>
                <w:szCs w:val="24"/>
                <w:u w:val="none"/>
              </w:rPr>
            </w:pPr>
          </w:p>
        </w:tc>
      </w:tr>
      <w:tr w14:paraId="5A05EB33">
        <w:tblPrEx>
          <w:tblCellMar>
            <w:top w:w="0" w:type="dxa"/>
            <w:left w:w="0" w:type="dxa"/>
            <w:bottom w:w="0" w:type="dxa"/>
            <w:right w:w="0" w:type="dxa"/>
          </w:tblCellMar>
        </w:tblPrEx>
        <w:trPr>
          <w:trHeight w:val="93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A6C1CA">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AC6218">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9D14F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09202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日常工作经费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EC2ED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65A66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2C7F4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D9891E">
            <w:pPr>
              <w:rPr>
                <w:rFonts w:hint="default" w:ascii="Times New Roman" w:hAnsi="Times New Roman" w:eastAsia="宋体" w:cs="Times New Roman"/>
                <w:i w:val="0"/>
                <w:color w:val="000000"/>
                <w:sz w:val="24"/>
                <w:szCs w:val="24"/>
                <w:u w:val="none"/>
              </w:rPr>
            </w:pPr>
          </w:p>
        </w:tc>
      </w:tr>
      <w:tr w14:paraId="72974E06">
        <w:tblPrEx>
          <w:tblCellMar>
            <w:top w:w="0" w:type="dxa"/>
            <w:left w:w="0" w:type="dxa"/>
            <w:bottom w:w="0" w:type="dxa"/>
            <w:right w:w="0" w:type="dxa"/>
          </w:tblCellMar>
        </w:tblPrEx>
        <w:trPr>
          <w:trHeight w:val="345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C7334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1C6262">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E04EB7">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E04FA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招商引资宣传及调研经费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AE4850">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主要用于县领导招商引资宣传、调研产生的差旅费、会议费、印刷费、租赁费等，在额度内按实际支付经费。</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D823E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5CF7C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2E5A01">
            <w:pPr>
              <w:rPr>
                <w:rFonts w:hint="default" w:ascii="Times New Roman" w:hAnsi="Times New Roman" w:eastAsia="宋体" w:cs="Times New Roman"/>
                <w:i w:val="0"/>
                <w:color w:val="000000"/>
                <w:sz w:val="24"/>
                <w:szCs w:val="24"/>
                <w:u w:val="none"/>
              </w:rPr>
            </w:pPr>
          </w:p>
        </w:tc>
      </w:tr>
      <w:tr w14:paraId="55EB95F7">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C4EBB6">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733B7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项目效益</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B4AFF1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经济效益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2B7CCCB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推动规范项目管理，提高资金使用绩效。</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30E130">
            <w:pP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244CE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AFB23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AA8DCC">
            <w:pPr>
              <w:rPr>
                <w:rFonts w:hint="default" w:ascii="Times New Roman" w:hAnsi="Times New Roman" w:eastAsia="宋体" w:cs="Times New Roman"/>
                <w:i w:val="0"/>
                <w:color w:val="000000"/>
                <w:sz w:val="24"/>
                <w:szCs w:val="24"/>
                <w:u w:val="none"/>
              </w:rPr>
            </w:pPr>
          </w:p>
        </w:tc>
      </w:tr>
      <w:tr w14:paraId="4F47645E">
        <w:tblPrEx>
          <w:tblCellMar>
            <w:top w:w="0" w:type="dxa"/>
            <w:left w:w="0" w:type="dxa"/>
            <w:bottom w:w="0" w:type="dxa"/>
            <w:right w:w="0" w:type="dxa"/>
          </w:tblCellMar>
        </w:tblPrEx>
        <w:trPr>
          <w:trHeight w:val="14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A17C6F">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1D4CE6">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52F5C67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nil"/>
              <w:bottom w:val="nil"/>
              <w:right w:val="nil"/>
            </w:tcBorders>
            <w:shd w:val="clear" w:color="auto" w:fill="auto"/>
            <w:tcMar>
              <w:top w:w="12" w:type="dxa"/>
              <w:left w:w="12" w:type="dxa"/>
              <w:right w:w="12" w:type="dxa"/>
            </w:tcMar>
            <w:vAlign w:val="center"/>
          </w:tcPr>
          <w:p w14:paraId="1BAE532E">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112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445803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确保县政府各项工作和服务的正常运行</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F2AA6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0759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7358E8">
            <w:pPr>
              <w:rPr>
                <w:rFonts w:hint="default" w:ascii="Times New Roman" w:hAnsi="Times New Roman" w:eastAsia="宋体" w:cs="Times New Roman"/>
                <w:i w:val="0"/>
                <w:color w:val="000000"/>
                <w:sz w:val="24"/>
                <w:szCs w:val="24"/>
                <w:u w:val="none"/>
              </w:rPr>
            </w:pPr>
          </w:p>
        </w:tc>
      </w:tr>
      <w:tr w14:paraId="2D260A35">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29926">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C4CB3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00B2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AF0ED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服务对象满意度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FEAFA1">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6E986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192E74">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B36543">
            <w:pPr>
              <w:rPr>
                <w:rFonts w:hint="default" w:ascii="Times New Roman" w:hAnsi="Times New Roman" w:eastAsia="宋体" w:cs="Times New Roman"/>
                <w:i w:val="0"/>
                <w:color w:val="000000"/>
                <w:sz w:val="24"/>
                <w:szCs w:val="24"/>
                <w:u w:val="none"/>
              </w:rPr>
            </w:pPr>
          </w:p>
        </w:tc>
      </w:tr>
      <w:tr w14:paraId="0A8EAB47">
        <w:tblPrEx>
          <w:tblCellMar>
            <w:top w:w="0" w:type="dxa"/>
            <w:left w:w="0" w:type="dxa"/>
            <w:bottom w:w="0" w:type="dxa"/>
            <w:right w:w="0" w:type="dxa"/>
          </w:tblCellMar>
        </w:tblPrEx>
        <w:trPr>
          <w:trHeight w:val="115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CF9F91">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255FE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D539E6">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97246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群众满意度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7B3B0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F35A4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E15959">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BBB66B">
            <w:pPr>
              <w:rPr>
                <w:rFonts w:hint="default" w:ascii="Times New Roman" w:hAnsi="Times New Roman" w:eastAsia="宋体" w:cs="Times New Roman"/>
                <w:i w:val="0"/>
                <w:color w:val="000000"/>
                <w:sz w:val="24"/>
                <w:szCs w:val="24"/>
                <w:u w:val="none"/>
              </w:rPr>
            </w:pPr>
          </w:p>
        </w:tc>
      </w:tr>
      <w:tr w14:paraId="729F6BAD">
        <w:tblPrEx>
          <w:tblCellMar>
            <w:top w:w="0" w:type="dxa"/>
            <w:left w:w="0" w:type="dxa"/>
            <w:bottom w:w="0" w:type="dxa"/>
            <w:right w:w="0" w:type="dxa"/>
          </w:tblCellMar>
        </w:tblPrEx>
        <w:trPr>
          <w:trHeight w:val="408" w:hRule="atLeast"/>
        </w:trPr>
        <w:tc>
          <w:tcPr>
            <w:tcW w:w="8959" w:type="dxa"/>
            <w:gridSpan w:val="8"/>
            <w:tcBorders>
              <w:top w:val="nil"/>
              <w:left w:val="nil"/>
              <w:bottom w:val="nil"/>
              <w:right w:val="nil"/>
            </w:tcBorders>
            <w:shd w:val="clear" w:color="auto" w:fill="auto"/>
            <w:tcMar>
              <w:top w:w="12" w:type="dxa"/>
              <w:left w:w="12" w:type="dxa"/>
              <w:right w:w="12" w:type="dxa"/>
            </w:tcMar>
            <w:vAlign w:val="center"/>
          </w:tcPr>
          <w:p w14:paraId="08111D43">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247807AE">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862A7DB">
            <w:pPr>
              <w:pStyle w:val="2"/>
              <w:rPr>
                <w:rFonts w:hint="default" w:ascii="Times New Roman" w:hAnsi="Times New Roman" w:eastAsia="宋体" w:cs="Times New Roman"/>
                <w:b/>
                <w:i w:val="0"/>
                <w:color w:val="000000"/>
                <w:kern w:val="0"/>
                <w:sz w:val="32"/>
                <w:szCs w:val="32"/>
                <w:u w:val="none"/>
                <w:lang w:val="en-US" w:eastAsia="zh-CN" w:bidi="ar"/>
              </w:rPr>
            </w:pPr>
          </w:p>
          <w:p w14:paraId="53FBE1C9">
            <w:pPr>
              <w:pStyle w:val="2"/>
              <w:rPr>
                <w:rFonts w:hint="default" w:ascii="Times New Roman" w:hAnsi="Times New Roman" w:eastAsia="宋体" w:cs="Times New Roman"/>
                <w:b/>
                <w:i w:val="0"/>
                <w:color w:val="000000"/>
                <w:kern w:val="0"/>
                <w:sz w:val="32"/>
                <w:szCs w:val="32"/>
                <w:u w:val="none"/>
                <w:lang w:val="en-US" w:eastAsia="zh-CN" w:bidi="ar"/>
              </w:rPr>
            </w:pPr>
          </w:p>
          <w:p w14:paraId="3B792880">
            <w:pPr>
              <w:pStyle w:val="2"/>
              <w:rPr>
                <w:rFonts w:hint="default" w:ascii="Times New Roman" w:hAnsi="Times New Roman" w:eastAsia="宋体" w:cs="Times New Roman"/>
                <w:b/>
                <w:i w:val="0"/>
                <w:color w:val="000000"/>
                <w:kern w:val="0"/>
                <w:sz w:val="32"/>
                <w:szCs w:val="32"/>
                <w:u w:val="none"/>
                <w:lang w:val="en-US" w:eastAsia="zh-CN" w:bidi="ar"/>
              </w:rPr>
            </w:pPr>
          </w:p>
          <w:p w14:paraId="279956E7">
            <w:pPr>
              <w:pStyle w:val="2"/>
              <w:rPr>
                <w:rFonts w:hint="default" w:ascii="Times New Roman" w:hAnsi="Times New Roman" w:eastAsia="宋体" w:cs="Times New Roman"/>
                <w:b/>
                <w:i w:val="0"/>
                <w:color w:val="000000"/>
                <w:kern w:val="0"/>
                <w:sz w:val="32"/>
                <w:szCs w:val="32"/>
                <w:u w:val="none"/>
                <w:lang w:val="en-US" w:eastAsia="zh-CN" w:bidi="ar"/>
              </w:rPr>
            </w:pPr>
          </w:p>
          <w:p w14:paraId="2A1ACC79">
            <w:pPr>
              <w:pStyle w:val="2"/>
              <w:rPr>
                <w:rFonts w:hint="default" w:ascii="Times New Roman" w:hAnsi="Times New Roman" w:eastAsia="宋体" w:cs="Times New Roman"/>
                <w:b/>
                <w:i w:val="0"/>
                <w:color w:val="000000"/>
                <w:kern w:val="0"/>
                <w:sz w:val="32"/>
                <w:szCs w:val="32"/>
                <w:u w:val="none"/>
                <w:lang w:val="en-US" w:eastAsia="zh-CN" w:bidi="ar"/>
              </w:rPr>
            </w:pPr>
          </w:p>
          <w:p w14:paraId="7C3F440F">
            <w:pPr>
              <w:pStyle w:val="2"/>
              <w:rPr>
                <w:rFonts w:hint="default" w:ascii="Times New Roman" w:hAnsi="Times New Roman" w:eastAsia="宋体" w:cs="Times New Roman"/>
                <w:b/>
                <w:i w:val="0"/>
                <w:color w:val="000000"/>
                <w:kern w:val="0"/>
                <w:sz w:val="32"/>
                <w:szCs w:val="32"/>
                <w:u w:val="none"/>
                <w:lang w:val="en-US" w:eastAsia="zh-CN" w:bidi="ar"/>
              </w:rPr>
            </w:pPr>
          </w:p>
          <w:p w14:paraId="66F45FB3">
            <w:pPr>
              <w:pStyle w:val="2"/>
              <w:rPr>
                <w:rFonts w:hint="default" w:ascii="Times New Roman" w:hAnsi="Times New Roman" w:eastAsia="宋体" w:cs="Times New Roman"/>
                <w:b/>
                <w:i w:val="0"/>
                <w:color w:val="000000"/>
                <w:kern w:val="0"/>
                <w:sz w:val="32"/>
                <w:szCs w:val="32"/>
                <w:u w:val="none"/>
                <w:lang w:val="en-US" w:eastAsia="zh-CN" w:bidi="ar"/>
              </w:rPr>
            </w:pPr>
          </w:p>
          <w:p w14:paraId="1F9D235D">
            <w:pPr>
              <w:pStyle w:val="2"/>
              <w:rPr>
                <w:rFonts w:hint="default" w:ascii="Times New Roman" w:hAnsi="Times New Roman" w:eastAsia="宋体" w:cs="Times New Roman"/>
                <w:b/>
                <w:i w:val="0"/>
                <w:color w:val="000000"/>
                <w:kern w:val="0"/>
                <w:sz w:val="32"/>
                <w:szCs w:val="32"/>
                <w:u w:val="none"/>
                <w:lang w:val="en-US" w:eastAsia="zh-CN" w:bidi="ar"/>
              </w:rPr>
            </w:pPr>
          </w:p>
          <w:p w14:paraId="2CB387AB">
            <w:pPr>
              <w:pStyle w:val="2"/>
              <w:rPr>
                <w:rFonts w:hint="default" w:ascii="Times New Roman" w:hAnsi="Times New Roman" w:eastAsia="宋体" w:cs="Times New Roman"/>
                <w:b/>
                <w:i w:val="0"/>
                <w:color w:val="000000"/>
                <w:kern w:val="0"/>
                <w:sz w:val="32"/>
                <w:szCs w:val="32"/>
                <w:u w:val="none"/>
                <w:lang w:val="en-US" w:eastAsia="zh-CN" w:bidi="ar"/>
              </w:rPr>
            </w:pPr>
          </w:p>
          <w:p w14:paraId="09601967">
            <w:pPr>
              <w:pStyle w:val="2"/>
              <w:rPr>
                <w:rFonts w:hint="default" w:ascii="Times New Roman" w:hAnsi="Times New Roman" w:eastAsia="宋体" w:cs="Times New Roman"/>
                <w:b/>
                <w:i w:val="0"/>
                <w:color w:val="000000"/>
                <w:kern w:val="0"/>
                <w:sz w:val="32"/>
                <w:szCs w:val="32"/>
                <w:u w:val="none"/>
                <w:lang w:val="en-US" w:eastAsia="zh-CN" w:bidi="ar"/>
              </w:rPr>
            </w:pPr>
          </w:p>
          <w:p w14:paraId="2DD6DDD1">
            <w:pPr>
              <w:pStyle w:val="2"/>
              <w:rPr>
                <w:rFonts w:hint="default" w:ascii="Times New Roman" w:hAnsi="Times New Roman" w:eastAsia="宋体" w:cs="Times New Roman"/>
                <w:b/>
                <w:i w:val="0"/>
                <w:color w:val="000000"/>
                <w:kern w:val="0"/>
                <w:sz w:val="32"/>
                <w:szCs w:val="32"/>
                <w:u w:val="none"/>
                <w:lang w:val="en-US" w:eastAsia="zh-CN" w:bidi="ar"/>
              </w:rPr>
            </w:pPr>
          </w:p>
          <w:p w14:paraId="62890557">
            <w:pPr>
              <w:pStyle w:val="2"/>
              <w:rPr>
                <w:rFonts w:hint="default" w:ascii="Times New Roman" w:hAnsi="Times New Roman" w:eastAsia="宋体" w:cs="Times New Roman"/>
                <w:b/>
                <w:i w:val="0"/>
                <w:color w:val="000000"/>
                <w:kern w:val="0"/>
                <w:sz w:val="32"/>
                <w:szCs w:val="32"/>
                <w:u w:val="none"/>
                <w:lang w:val="en-US" w:eastAsia="zh-CN" w:bidi="ar"/>
              </w:rPr>
            </w:pPr>
          </w:p>
          <w:p w14:paraId="6F705F02">
            <w:pPr>
              <w:pStyle w:val="2"/>
              <w:rPr>
                <w:rFonts w:hint="default" w:ascii="Times New Roman" w:hAnsi="Times New Roman" w:eastAsia="宋体" w:cs="Times New Roman"/>
                <w:b/>
                <w:i w:val="0"/>
                <w:color w:val="000000"/>
                <w:kern w:val="0"/>
                <w:sz w:val="32"/>
                <w:szCs w:val="32"/>
                <w:u w:val="none"/>
                <w:lang w:val="en-US" w:eastAsia="zh-CN" w:bidi="ar"/>
              </w:rPr>
            </w:pPr>
          </w:p>
          <w:p w14:paraId="267A14E3">
            <w:pPr>
              <w:keepNext w:val="0"/>
              <w:keepLines w:val="0"/>
              <w:widowControl/>
              <w:suppressLineNumbers w:val="0"/>
              <w:jc w:val="both"/>
              <w:textAlignment w:val="center"/>
              <w:rPr>
                <w:rFonts w:hint="default" w:ascii="Times New Roman" w:hAnsi="Times New Roman" w:eastAsia="宋体" w:cs="Times New Roman"/>
                <w:b/>
                <w:i w:val="0"/>
                <w:color w:val="000000"/>
                <w:kern w:val="0"/>
                <w:sz w:val="32"/>
                <w:szCs w:val="32"/>
                <w:u w:val="none"/>
                <w:lang w:val="en-US" w:eastAsia="zh-CN" w:bidi="ar"/>
              </w:rPr>
            </w:pPr>
          </w:p>
          <w:p w14:paraId="2E1C179E">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专项（项目）资金绩效自评表</w:t>
            </w:r>
          </w:p>
        </w:tc>
      </w:tr>
      <w:tr w14:paraId="13669E92">
        <w:tblPrEx>
          <w:tblCellMar>
            <w:top w:w="0" w:type="dxa"/>
            <w:left w:w="0" w:type="dxa"/>
            <w:bottom w:w="0" w:type="dxa"/>
            <w:right w:w="0" w:type="dxa"/>
          </w:tblCellMar>
        </w:tblPrEx>
        <w:trPr>
          <w:trHeight w:val="312" w:hRule="atLeast"/>
        </w:trPr>
        <w:tc>
          <w:tcPr>
            <w:tcW w:w="8959" w:type="dxa"/>
            <w:gridSpan w:val="8"/>
            <w:tcBorders>
              <w:top w:val="nil"/>
              <w:left w:val="nil"/>
              <w:bottom w:val="nil"/>
              <w:right w:val="nil"/>
            </w:tcBorders>
            <w:shd w:val="clear" w:color="auto" w:fill="auto"/>
            <w:tcMar>
              <w:top w:w="12" w:type="dxa"/>
              <w:left w:w="12" w:type="dxa"/>
              <w:right w:w="12" w:type="dxa"/>
            </w:tcMar>
            <w:vAlign w:val="center"/>
          </w:tcPr>
          <w:p w14:paraId="3580E95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（2021</w:t>
            </w:r>
            <w:r>
              <w:rPr>
                <w:rStyle w:val="36"/>
                <w:rFonts w:hint="default" w:ascii="Times New Roman" w:hAnsi="Times New Roman" w:cs="Times New Roman"/>
                <w:lang w:val="en-US" w:eastAsia="zh-CN" w:bidi="ar"/>
              </w:rPr>
              <w:t>年度）</w:t>
            </w:r>
          </w:p>
        </w:tc>
      </w:tr>
      <w:tr w14:paraId="2A25656A">
        <w:tblPrEx>
          <w:tblCellMar>
            <w:top w:w="0" w:type="dxa"/>
            <w:left w:w="0" w:type="dxa"/>
            <w:bottom w:w="0" w:type="dxa"/>
            <w:right w:w="0" w:type="dxa"/>
          </w:tblCellMar>
        </w:tblPrEx>
        <w:trPr>
          <w:trHeight w:val="312" w:hRule="atLeast"/>
        </w:trPr>
        <w:tc>
          <w:tcPr>
            <w:tcW w:w="960" w:type="dxa"/>
            <w:tcBorders>
              <w:top w:val="nil"/>
              <w:left w:val="nil"/>
              <w:bottom w:val="single" w:color="000000" w:sz="4" w:space="0"/>
              <w:right w:val="nil"/>
            </w:tcBorders>
            <w:shd w:val="clear" w:color="auto" w:fill="auto"/>
            <w:noWrap/>
            <w:tcMar>
              <w:top w:w="12" w:type="dxa"/>
              <w:left w:w="12" w:type="dxa"/>
              <w:right w:w="12" w:type="dxa"/>
            </w:tcMar>
            <w:vAlign w:val="center"/>
          </w:tcPr>
          <w:p w14:paraId="5A781CC0">
            <w:pPr>
              <w:rPr>
                <w:rFonts w:hint="default" w:ascii="Times New Roman" w:hAnsi="Times New Roman" w:eastAsia="宋体" w:cs="Times New Roman"/>
                <w:i w:val="0"/>
                <w:color w:val="000000"/>
                <w:sz w:val="24"/>
                <w:szCs w:val="24"/>
                <w:u w:val="none"/>
              </w:rPr>
            </w:pPr>
          </w:p>
        </w:tc>
        <w:tc>
          <w:tcPr>
            <w:tcW w:w="960" w:type="dxa"/>
            <w:tcBorders>
              <w:top w:val="nil"/>
              <w:left w:val="nil"/>
              <w:bottom w:val="single" w:color="000000" w:sz="4" w:space="0"/>
              <w:right w:val="nil"/>
            </w:tcBorders>
            <w:shd w:val="clear" w:color="auto" w:fill="auto"/>
            <w:tcMar>
              <w:top w:w="12" w:type="dxa"/>
              <w:left w:w="12" w:type="dxa"/>
              <w:right w:w="12" w:type="dxa"/>
            </w:tcMar>
            <w:vAlign w:val="center"/>
          </w:tcPr>
          <w:p w14:paraId="7A062176">
            <w:pPr>
              <w:rPr>
                <w:rFonts w:hint="default" w:ascii="Times New Roman" w:hAnsi="Times New Roman" w:eastAsia="宋体" w:cs="Times New Roman"/>
                <w:i w:val="0"/>
                <w:color w:val="000000"/>
                <w:sz w:val="24"/>
                <w:szCs w:val="24"/>
                <w:u w:val="none"/>
              </w:rPr>
            </w:pPr>
          </w:p>
        </w:tc>
        <w:tc>
          <w:tcPr>
            <w:tcW w:w="960" w:type="dxa"/>
            <w:tcBorders>
              <w:top w:val="nil"/>
              <w:left w:val="nil"/>
              <w:bottom w:val="nil"/>
              <w:right w:val="nil"/>
            </w:tcBorders>
            <w:shd w:val="clear" w:color="auto" w:fill="auto"/>
            <w:tcMar>
              <w:top w:w="12" w:type="dxa"/>
              <w:left w:w="12" w:type="dxa"/>
              <w:right w:w="12" w:type="dxa"/>
            </w:tcMar>
            <w:vAlign w:val="center"/>
          </w:tcPr>
          <w:p w14:paraId="47B04636">
            <w:pPr>
              <w:rPr>
                <w:rFonts w:hint="default" w:ascii="Times New Roman" w:hAnsi="Times New Roman" w:eastAsia="宋体" w:cs="Times New Roman"/>
                <w:i w:val="0"/>
                <w:color w:val="000000"/>
                <w:sz w:val="24"/>
                <w:szCs w:val="24"/>
                <w:u w:val="none"/>
              </w:rPr>
            </w:pPr>
          </w:p>
        </w:tc>
        <w:tc>
          <w:tcPr>
            <w:tcW w:w="1516" w:type="dxa"/>
            <w:tcBorders>
              <w:top w:val="nil"/>
              <w:left w:val="nil"/>
              <w:bottom w:val="nil"/>
              <w:right w:val="nil"/>
            </w:tcBorders>
            <w:shd w:val="clear" w:color="auto" w:fill="auto"/>
            <w:tcMar>
              <w:top w:w="12" w:type="dxa"/>
              <w:left w:w="12" w:type="dxa"/>
              <w:right w:w="12" w:type="dxa"/>
            </w:tcMar>
            <w:vAlign w:val="center"/>
          </w:tcPr>
          <w:p w14:paraId="684EA083">
            <w:pPr>
              <w:rPr>
                <w:rFonts w:hint="default" w:ascii="Times New Roman" w:hAnsi="Times New Roman" w:eastAsia="宋体" w:cs="Times New Roman"/>
                <w:i w:val="0"/>
                <w:color w:val="000000"/>
                <w:sz w:val="24"/>
                <w:szCs w:val="24"/>
                <w:u w:val="none"/>
              </w:rPr>
            </w:pPr>
          </w:p>
        </w:tc>
        <w:tc>
          <w:tcPr>
            <w:tcW w:w="1124" w:type="dxa"/>
            <w:tcBorders>
              <w:top w:val="nil"/>
              <w:left w:val="nil"/>
              <w:bottom w:val="nil"/>
              <w:right w:val="nil"/>
            </w:tcBorders>
            <w:shd w:val="clear" w:color="auto" w:fill="auto"/>
            <w:tcMar>
              <w:top w:w="12" w:type="dxa"/>
              <w:left w:w="12" w:type="dxa"/>
              <w:right w:w="12" w:type="dxa"/>
            </w:tcMar>
            <w:vAlign w:val="center"/>
          </w:tcPr>
          <w:p w14:paraId="1DBD0B70">
            <w:pPr>
              <w:rPr>
                <w:rFonts w:hint="default" w:ascii="Times New Roman" w:hAnsi="Times New Roman" w:eastAsia="宋体" w:cs="Times New Roman"/>
                <w:i w:val="0"/>
                <w:color w:val="000000"/>
                <w:sz w:val="24"/>
                <w:szCs w:val="24"/>
                <w:u w:val="none"/>
              </w:rPr>
            </w:pPr>
          </w:p>
        </w:tc>
        <w:tc>
          <w:tcPr>
            <w:tcW w:w="801" w:type="dxa"/>
            <w:tcBorders>
              <w:top w:val="nil"/>
              <w:left w:val="nil"/>
              <w:bottom w:val="nil"/>
              <w:right w:val="nil"/>
            </w:tcBorders>
            <w:shd w:val="clear" w:color="auto" w:fill="auto"/>
            <w:tcMar>
              <w:top w:w="12" w:type="dxa"/>
              <w:left w:w="12" w:type="dxa"/>
              <w:right w:w="12" w:type="dxa"/>
            </w:tcMar>
            <w:vAlign w:val="center"/>
          </w:tcPr>
          <w:p w14:paraId="0592FB7E">
            <w:pPr>
              <w:rPr>
                <w:rFonts w:hint="default" w:ascii="Times New Roman" w:hAnsi="Times New Roman" w:eastAsia="宋体" w:cs="Times New Roman"/>
                <w:i w:val="0"/>
                <w:color w:val="000000"/>
                <w:sz w:val="24"/>
                <w:szCs w:val="24"/>
                <w:u w:val="none"/>
              </w:rPr>
            </w:pPr>
          </w:p>
        </w:tc>
        <w:tc>
          <w:tcPr>
            <w:tcW w:w="550" w:type="dxa"/>
            <w:tcBorders>
              <w:top w:val="nil"/>
              <w:left w:val="nil"/>
              <w:bottom w:val="nil"/>
              <w:right w:val="nil"/>
            </w:tcBorders>
            <w:shd w:val="clear" w:color="auto" w:fill="auto"/>
            <w:tcMar>
              <w:top w:w="12" w:type="dxa"/>
              <w:left w:w="12" w:type="dxa"/>
              <w:right w:w="12" w:type="dxa"/>
            </w:tcMar>
            <w:vAlign w:val="center"/>
          </w:tcPr>
          <w:p w14:paraId="5BB58240">
            <w:pPr>
              <w:rPr>
                <w:rFonts w:hint="default" w:ascii="Times New Roman" w:hAnsi="Times New Roman" w:eastAsia="宋体" w:cs="Times New Roman"/>
                <w:i w:val="0"/>
                <w:color w:val="000000"/>
                <w:sz w:val="24"/>
                <w:szCs w:val="24"/>
                <w:u w:val="none"/>
              </w:rPr>
            </w:pPr>
          </w:p>
        </w:tc>
        <w:tc>
          <w:tcPr>
            <w:tcW w:w="2088" w:type="dxa"/>
            <w:tcBorders>
              <w:top w:val="nil"/>
              <w:left w:val="nil"/>
              <w:bottom w:val="nil"/>
              <w:right w:val="nil"/>
            </w:tcBorders>
            <w:shd w:val="clear" w:color="auto" w:fill="auto"/>
            <w:tcMar>
              <w:top w:w="12" w:type="dxa"/>
              <w:left w:w="12" w:type="dxa"/>
              <w:right w:w="12" w:type="dxa"/>
            </w:tcMar>
            <w:vAlign w:val="center"/>
          </w:tcPr>
          <w:p w14:paraId="2DF943F9">
            <w:pPr>
              <w:rPr>
                <w:rFonts w:hint="default" w:ascii="Times New Roman" w:hAnsi="Times New Roman" w:eastAsia="宋体" w:cs="Times New Roman"/>
                <w:i w:val="0"/>
                <w:color w:val="000000"/>
                <w:sz w:val="24"/>
                <w:szCs w:val="24"/>
                <w:u w:val="none"/>
              </w:rPr>
            </w:pPr>
          </w:p>
        </w:tc>
      </w:tr>
      <w:tr w14:paraId="3D2CCB85">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F66AD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专项（项目）名称</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E314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网站平台工作经费</w:t>
            </w:r>
          </w:p>
        </w:tc>
      </w:tr>
      <w:tr w14:paraId="4B4C4873">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333B0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项目主管单位</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641F3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盐边县人民政府办公室</w:t>
            </w:r>
          </w:p>
        </w:tc>
      </w:tr>
      <w:tr w14:paraId="36513959">
        <w:tblPrEx>
          <w:tblCellMar>
            <w:top w:w="0" w:type="dxa"/>
            <w:left w:w="0" w:type="dxa"/>
            <w:bottom w:w="0" w:type="dxa"/>
            <w:right w:w="0" w:type="dxa"/>
          </w:tblCellMar>
        </w:tblPrEx>
        <w:trPr>
          <w:trHeight w:val="312" w:hRule="atLeast"/>
        </w:trPr>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CB34C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项目实施单位</w:t>
            </w:r>
          </w:p>
        </w:tc>
        <w:tc>
          <w:tcPr>
            <w:tcW w:w="607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0BD2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盐边县人民政府办公室</w:t>
            </w:r>
          </w:p>
        </w:tc>
      </w:tr>
      <w:tr w14:paraId="4324A49E">
        <w:tblPrEx>
          <w:tblCellMar>
            <w:top w:w="0" w:type="dxa"/>
            <w:left w:w="0" w:type="dxa"/>
            <w:bottom w:w="0" w:type="dxa"/>
            <w:right w:w="0" w:type="dxa"/>
          </w:tblCellMar>
        </w:tblPrEx>
        <w:trPr>
          <w:trHeight w:val="624" w:hRule="atLeast"/>
        </w:trPr>
        <w:tc>
          <w:tcPr>
            <w:tcW w:w="28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C5EF8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项目资金</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（万元）</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A67E1C">
            <w:pPr>
              <w:jc w:val="center"/>
              <w:rPr>
                <w:rFonts w:hint="default" w:ascii="Times New Roman" w:hAnsi="Times New Roman" w:eastAsia="宋体" w:cs="Times New Roman"/>
                <w:i w:val="0"/>
                <w:color w:val="000000"/>
                <w:sz w:val="24"/>
                <w:szCs w:val="24"/>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96833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全年预算数</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FB15F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实际完成数</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B9EE9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执行率（%）</w:t>
            </w:r>
          </w:p>
        </w:tc>
      </w:tr>
      <w:tr w14:paraId="37CA10C0">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677B6F">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0BEEF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年度资金总额：</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F8CCC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C2BDA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E5C1C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w:t>
            </w:r>
          </w:p>
        </w:tc>
      </w:tr>
      <w:tr w14:paraId="3487C383">
        <w:tblPrEx>
          <w:tblCellMar>
            <w:top w:w="0" w:type="dxa"/>
            <w:left w:w="0" w:type="dxa"/>
            <w:bottom w:w="0" w:type="dxa"/>
            <w:right w:w="0" w:type="dxa"/>
          </w:tblCellMar>
        </w:tblPrEx>
        <w:trPr>
          <w:trHeight w:val="1248"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342CDC">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E8B3F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其中：上级财政资金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0C534B">
            <w:pPr>
              <w:jc w:val="cente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3D1253">
            <w:pPr>
              <w:jc w:val="center"/>
              <w:rPr>
                <w:rFonts w:hint="default" w:ascii="Times New Roman" w:hAnsi="Times New Roman" w:eastAsia="宋体" w:cs="Times New Roman"/>
                <w:i w:val="0"/>
                <w:color w:val="000000"/>
                <w:sz w:val="24"/>
                <w:szCs w:val="24"/>
                <w:u w:val="none"/>
              </w:rPr>
            </w:pP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EB7B49">
            <w:pPr>
              <w:jc w:val="center"/>
              <w:rPr>
                <w:rFonts w:hint="default" w:ascii="Times New Roman" w:hAnsi="Times New Roman" w:eastAsia="宋体" w:cs="Times New Roman"/>
                <w:i w:val="0"/>
                <w:color w:val="000000"/>
                <w:sz w:val="24"/>
                <w:szCs w:val="24"/>
                <w:u w:val="none"/>
              </w:rPr>
            </w:pPr>
          </w:p>
        </w:tc>
      </w:tr>
      <w:tr w14:paraId="733BDFFE">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3DCD41">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B21AC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本级财政资金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2171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F3522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A287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w:t>
            </w:r>
          </w:p>
        </w:tc>
      </w:tr>
      <w:tr w14:paraId="22B29F37">
        <w:tblPrEx>
          <w:tblCellMar>
            <w:top w:w="0" w:type="dxa"/>
            <w:left w:w="0" w:type="dxa"/>
            <w:bottom w:w="0" w:type="dxa"/>
            <w:right w:w="0" w:type="dxa"/>
          </w:tblCellMar>
        </w:tblPrEx>
        <w:trPr>
          <w:trHeight w:val="936" w:hRule="atLeast"/>
        </w:trPr>
        <w:tc>
          <w:tcPr>
            <w:tcW w:w="28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38103E">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39850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其他资金</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D59DC4">
            <w:pP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0FB7F9">
            <w:pPr>
              <w:rPr>
                <w:rFonts w:hint="default" w:ascii="Times New Roman" w:hAnsi="Times New Roman" w:eastAsia="宋体" w:cs="Times New Roman"/>
                <w:i w:val="0"/>
                <w:color w:val="000000"/>
                <w:sz w:val="24"/>
                <w:szCs w:val="24"/>
                <w:u w:val="none"/>
              </w:rPr>
            </w:pP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5BBCCD">
            <w:pPr>
              <w:jc w:val="center"/>
              <w:rPr>
                <w:rFonts w:hint="default" w:ascii="Times New Roman" w:hAnsi="Times New Roman" w:eastAsia="宋体" w:cs="Times New Roman"/>
                <w:i w:val="0"/>
                <w:color w:val="000000"/>
                <w:sz w:val="24"/>
                <w:szCs w:val="24"/>
                <w:u w:val="none"/>
              </w:rPr>
            </w:pPr>
          </w:p>
        </w:tc>
      </w:tr>
      <w:tr w14:paraId="36C2CCF0">
        <w:tblPrEx>
          <w:tblCellMar>
            <w:top w:w="0" w:type="dxa"/>
            <w:left w:w="0" w:type="dxa"/>
            <w:bottom w:w="0" w:type="dxa"/>
            <w:right w:w="0"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4A2CC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总</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体</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目</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标</w:t>
            </w:r>
          </w:p>
        </w:tc>
        <w:tc>
          <w:tcPr>
            <w:tcW w:w="343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E94D9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年度设定目标</w:t>
            </w:r>
          </w:p>
        </w:tc>
        <w:tc>
          <w:tcPr>
            <w:tcW w:w="4563"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DF458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实际完成情况</w:t>
            </w:r>
          </w:p>
        </w:tc>
      </w:tr>
      <w:tr w14:paraId="47692229">
        <w:tblPrEx>
          <w:tblCellMar>
            <w:top w:w="0" w:type="dxa"/>
            <w:left w:w="0" w:type="dxa"/>
            <w:bottom w:w="0" w:type="dxa"/>
            <w:right w:w="0"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162DEB">
            <w:pPr>
              <w:jc w:val="center"/>
              <w:rPr>
                <w:rFonts w:hint="default" w:ascii="Times New Roman" w:hAnsi="Times New Roman" w:eastAsia="宋体" w:cs="Times New Roman"/>
                <w:i w:val="0"/>
                <w:color w:val="000000"/>
                <w:sz w:val="24"/>
                <w:szCs w:val="24"/>
                <w:u w:val="none"/>
              </w:rPr>
            </w:pPr>
          </w:p>
        </w:tc>
        <w:tc>
          <w:tcPr>
            <w:tcW w:w="343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1BBB7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网站平台运行维护工作经费</w:t>
            </w:r>
          </w:p>
        </w:tc>
        <w:tc>
          <w:tcPr>
            <w:tcW w:w="4563"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B1F75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2021年网站平台运行正常，完成年度目标</w:t>
            </w:r>
          </w:p>
        </w:tc>
      </w:tr>
      <w:tr w14:paraId="04E2B33C">
        <w:tblPrEx>
          <w:tblCellMar>
            <w:top w:w="0" w:type="dxa"/>
            <w:left w:w="0" w:type="dxa"/>
            <w:bottom w:w="0" w:type="dxa"/>
            <w:right w:w="0" w:type="dxa"/>
          </w:tblCellMar>
        </w:tblPrEx>
        <w:trPr>
          <w:trHeight w:val="1248"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E7728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效</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标</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9B898E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5CFEE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447E7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DB82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年度指标值</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513A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实际完成数</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B69C4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完成率（%）</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EC2D2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未完成原因和改进措施</w:t>
            </w:r>
          </w:p>
        </w:tc>
      </w:tr>
      <w:tr w14:paraId="5395352D">
        <w:tblPrEx>
          <w:tblCellMar>
            <w:top w:w="0" w:type="dxa"/>
            <w:left w:w="0" w:type="dxa"/>
            <w:bottom w:w="0" w:type="dxa"/>
            <w:right w:w="0" w:type="dxa"/>
          </w:tblCellMar>
        </w:tblPrEx>
        <w:trPr>
          <w:trHeight w:val="124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893F68">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72DC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项目完成</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B18EF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4F827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完成网站平台运行维护工作</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66A3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完成网站平台运行维护工作</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5D4BA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0C11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FB5D72">
            <w:pPr>
              <w:rPr>
                <w:rFonts w:hint="default" w:ascii="Times New Roman" w:hAnsi="Times New Roman" w:eastAsia="宋体" w:cs="Times New Roman"/>
                <w:i w:val="0"/>
                <w:color w:val="000000"/>
                <w:sz w:val="24"/>
                <w:szCs w:val="24"/>
                <w:u w:val="none"/>
              </w:rPr>
            </w:pPr>
          </w:p>
        </w:tc>
      </w:tr>
      <w:tr w14:paraId="13F5D886">
        <w:tblPrEx>
          <w:tblCellMar>
            <w:top w:w="0" w:type="dxa"/>
            <w:left w:w="0" w:type="dxa"/>
            <w:bottom w:w="0" w:type="dxa"/>
            <w:right w:w="0" w:type="dxa"/>
          </w:tblCellMar>
        </w:tblPrEx>
        <w:trPr>
          <w:trHeight w:val="124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A3B79D">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4C860B">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5787FE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9FE28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完成网站平台稳定运行</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BA03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完成网站平台稳定运行</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6E3DD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56657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9664FE">
            <w:pPr>
              <w:rPr>
                <w:rFonts w:hint="default" w:ascii="Times New Roman" w:hAnsi="Times New Roman" w:eastAsia="宋体" w:cs="Times New Roman"/>
                <w:i w:val="0"/>
                <w:color w:val="000000"/>
                <w:sz w:val="24"/>
                <w:szCs w:val="24"/>
                <w:u w:val="none"/>
              </w:rPr>
            </w:pPr>
          </w:p>
        </w:tc>
      </w:tr>
      <w:tr w14:paraId="37C9781B">
        <w:tblPrEx>
          <w:tblCellMar>
            <w:top w:w="0" w:type="dxa"/>
            <w:left w:w="0" w:type="dxa"/>
            <w:bottom w:w="0" w:type="dxa"/>
            <w:right w:w="0" w:type="dxa"/>
          </w:tblCellMar>
        </w:tblPrEx>
        <w:trPr>
          <w:trHeight w:val="93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852845">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A42A3B">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0502AA7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CFA7E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F43CC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2021年1月—12月</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66E770">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FDB33C">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19794C">
            <w:pPr>
              <w:rPr>
                <w:rFonts w:hint="default" w:ascii="Times New Roman" w:hAnsi="Times New Roman" w:eastAsia="宋体" w:cs="Times New Roman"/>
                <w:i w:val="0"/>
                <w:color w:val="000000"/>
                <w:sz w:val="24"/>
                <w:szCs w:val="24"/>
                <w:u w:val="none"/>
              </w:rPr>
            </w:pPr>
          </w:p>
        </w:tc>
      </w:tr>
      <w:tr w14:paraId="65AE27EC">
        <w:tblPrEx>
          <w:tblCellMar>
            <w:top w:w="0" w:type="dxa"/>
            <w:left w:w="0" w:type="dxa"/>
            <w:bottom w:w="0" w:type="dxa"/>
            <w:right w:w="0" w:type="dxa"/>
          </w:tblCellMar>
        </w:tblPrEx>
        <w:trPr>
          <w:trHeight w:val="124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85CC22">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77C6ED">
            <w:pPr>
              <w:jc w:val="center"/>
              <w:rPr>
                <w:rFonts w:hint="default" w:ascii="Times New Roman" w:hAnsi="Times New Roman" w:eastAsia="宋体" w:cs="Times New Roman"/>
                <w:i w:val="0"/>
                <w:color w:val="000000"/>
                <w:sz w:val="24"/>
                <w:szCs w:val="24"/>
                <w:u w:val="none"/>
              </w:rPr>
            </w:pP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5D8C59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成本指标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C0C4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网站平台运行维护工作经费</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2FE59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9.82万元</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4B6B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9.82万元</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5CC6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5B3905">
            <w:pPr>
              <w:rPr>
                <w:rFonts w:hint="default" w:ascii="Times New Roman" w:hAnsi="Times New Roman" w:eastAsia="宋体" w:cs="Times New Roman"/>
                <w:i w:val="0"/>
                <w:color w:val="000000"/>
                <w:sz w:val="24"/>
                <w:szCs w:val="24"/>
                <w:u w:val="none"/>
              </w:rPr>
            </w:pPr>
          </w:p>
        </w:tc>
      </w:tr>
      <w:tr w14:paraId="4A743A5B">
        <w:tblPrEx>
          <w:tblCellMar>
            <w:top w:w="0" w:type="dxa"/>
            <w:left w:w="0" w:type="dxa"/>
            <w:bottom w:w="0" w:type="dxa"/>
            <w:right w:w="0" w:type="dxa"/>
          </w:tblCellMar>
        </w:tblPrEx>
        <w:trPr>
          <w:trHeight w:val="93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958F91">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747F1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项目效益</w:t>
            </w:r>
          </w:p>
        </w:tc>
        <w:tc>
          <w:tcPr>
            <w:tcW w:w="960"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1E7FA4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经济效益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008C69">
            <w:pPr>
              <w:jc w:val="center"/>
              <w:rPr>
                <w:rFonts w:hint="default" w:ascii="Times New Roman" w:hAnsi="Times New Roman" w:eastAsia="宋体" w:cs="Times New Roman"/>
                <w:i w:val="0"/>
                <w:color w:val="000000"/>
                <w:sz w:val="24"/>
                <w:szCs w:val="24"/>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23C4D1">
            <w:pPr>
              <w:jc w:val="center"/>
              <w:rPr>
                <w:rFonts w:hint="default" w:ascii="Times New Roman" w:hAnsi="Times New Roman" w:eastAsia="宋体" w:cs="Times New Roman"/>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CF83A9">
            <w:pPr>
              <w:rPr>
                <w:rFonts w:hint="default" w:ascii="Times New Roman" w:hAnsi="Times New Roman" w:eastAsia="宋体" w:cs="Times New Roman"/>
                <w:i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2562F">
            <w:pPr>
              <w:jc w:val="center"/>
              <w:rPr>
                <w:rFonts w:hint="default" w:ascii="Times New Roman" w:hAnsi="Times New Roman" w:eastAsia="宋体" w:cs="Times New Roman"/>
                <w:i w:val="0"/>
                <w:color w:val="000000"/>
                <w:sz w:val="24"/>
                <w:szCs w:val="24"/>
                <w:u w:val="none"/>
              </w:rPr>
            </w:pP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909CB4">
            <w:pPr>
              <w:rPr>
                <w:rFonts w:hint="default" w:ascii="Times New Roman" w:hAnsi="Times New Roman" w:eastAsia="宋体" w:cs="Times New Roman"/>
                <w:i w:val="0"/>
                <w:color w:val="000000"/>
                <w:sz w:val="24"/>
                <w:szCs w:val="24"/>
                <w:u w:val="none"/>
              </w:rPr>
            </w:pPr>
          </w:p>
        </w:tc>
      </w:tr>
      <w:tr w14:paraId="41021920">
        <w:tblPrEx>
          <w:tblCellMar>
            <w:top w:w="0" w:type="dxa"/>
            <w:left w:w="0" w:type="dxa"/>
            <w:bottom w:w="0" w:type="dxa"/>
            <w:right w:w="0" w:type="dxa"/>
          </w:tblCellMar>
        </w:tblPrEx>
        <w:trPr>
          <w:trHeight w:val="124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BCC61F">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35C5127C">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6E0E99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社会效益</w:t>
            </w:r>
            <w:r>
              <w:rPr>
                <w:rFonts w:hint="default" w:ascii="Times New Roman" w:hAnsi="Times New Roman" w:eastAsia="宋体" w:cs="Times New Roman"/>
                <w:i w:val="0"/>
                <w:color w:val="000000"/>
                <w:kern w:val="0"/>
                <w:sz w:val="24"/>
                <w:szCs w:val="24"/>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2031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提升盐边县政务透明度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F5FC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提升盐边县政务透明度</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F6746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884DE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ABE547">
            <w:pPr>
              <w:rPr>
                <w:rFonts w:hint="default" w:ascii="Times New Roman" w:hAnsi="Times New Roman" w:eastAsia="宋体" w:cs="Times New Roman"/>
                <w:i w:val="0"/>
                <w:color w:val="000000"/>
                <w:sz w:val="24"/>
                <w:szCs w:val="24"/>
                <w:u w:val="none"/>
              </w:rPr>
            </w:pPr>
          </w:p>
        </w:tc>
      </w:tr>
      <w:tr w14:paraId="5606CEBD">
        <w:tblPrEx>
          <w:tblCellMar>
            <w:top w:w="0" w:type="dxa"/>
            <w:left w:w="0" w:type="dxa"/>
            <w:bottom w:w="0" w:type="dxa"/>
            <w:right w:w="0" w:type="dxa"/>
          </w:tblCellMar>
        </w:tblPrEx>
        <w:trPr>
          <w:trHeight w:val="124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4B84C6">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204D0E1D">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14:paraId="42ECF750">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B7131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提升盐边县宣传影响力</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5D5E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提升盐边县宣传影响力</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56C0C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按工作计划全部完成</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D82CA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38935A">
            <w:pPr>
              <w:rPr>
                <w:rFonts w:hint="default" w:ascii="Times New Roman" w:hAnsi="Times New Roman" w:eastAsia="宋体" w:cs="Times New Roman"/>
                <w:i w:val="0"/>
                <w:color w:val="000000"/>
                <w:sz w:val="24"/>
                <w:szCs w:val="24"/>
                <w:u w:val="none"/>
              </w:rPr>
            </w:pPr>
          </w:p>
        </w:tc>
      </w:tr>
      <w:tr w14:paraId="402B9528">
        <w:tblPrEx>
          <w:tblCellMar>
            <w:top w:w="0" w:type="dxa"/>
            <w:left w:w="0" w:type="dxa"/>
            <w:bottom w:w="0" w:type="dxa"/>
            <w:right w:w="0" w:type="dxa"/>
          </w:tblCellMar>
        </w:tblPrEx>
        <w:trPr>
          <w:trHeight w:val="156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63609E">
            <w:pPr>
              <w:jc w:val="center"/>
              <w:rPr>
                <w:rFonts w:hint="default" w:ascii="Times New Roman" w:hAnsi="Times New Roman" w:eastAsia="宋体" w:cs="Times New Roman"/>
                <w:i w:val="0"/>
                <w:color w:val="000000"/>
                <w:sz w:val="24"/>
                <w:szCs w:val="24"/>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ABAD0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0F4FA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5D66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服务对象满意度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B6D3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FF6A1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3C1B15">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64F981">
            <w:pPr>
              <w:rPr>
                <w:rFonts w:hint="default" w:ascii="Times New Roman" w:hAnsi="Times New Roman" w:eastAsia="宋体" w:cs="Times New Roman"/>
                <w:i w:val="0"/>
                <w:color w:val="000000"/>
                <w:sz w:val="24"/>
                <w:szCs w:val="24"/>
                <w:u w:val="none"/>
              </w:rPr>
            </w:pPr>
          </w:p>
        </w:tc>
      </w:tr>
      <w:tr w14:paraId="6EDC07D0">
        <w:tblPrEx>
          <w:tblCellMar>
            <w:top w:w="0" w:type="dxa"/>
            <w:left w:w="0" w:type="dxa"/>
            <w:bottom w:w="0" w:type="dxa"/>
            <w:right w:w="0" w:type="dxa"/>
          </w:tblCellMar>
        </w:tblPrEx>
        <w:trPr>
          <w:trHeight w:val="156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0E8BD5">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CD20B7">
            <w:pPr>
              <w:jc w:val="center"/>
              <w:rPr>
                <w:rFonts w:hint="default" w:ascii="Times New Roman" w:hAnsi="Times New Roman" w:eastAsia="宋体" w:cs="Times New Roman"/>
                <w:i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EBE6F1">
            <w:pPr>
              <w:jc w:val="center"/>
              <w:rPr>
                <w:rFonts w:hint="default" w:ascii="Times New Roman" w:hAnsi="Times New Roman" w:eastAsia="宋体" w:cs="Times New Roman"/>
                <w:i w:val="0"/>
                <w:color w:val="000000"/>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8A8B5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群众满意度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986E4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抽样调查达到基本满意及以上</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47B58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基本达到预期指标</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CD7870">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已完成</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40A8A1">
            <w:pPr>
              <w:rPr>
                <w:rFonts w:hint="default" w:ascii="Times New Roman" w:hAnsi="Times New Roman" w:eastAsia="宋体" w:cs="Times New Roman"/>
                <w:i w:val="0"/>
                <w:color w:val="000000"/>
                <w:sz w:val="24"/>
                <w:szCs w:val="24"/>
                <w:u w:val="none"/>
              </w:rPr>
            </w:pPr>
          </w:p>
        </w:tc>
      </w:tr>
    </w:tbl>
    <w:p w14:paraId="590A8C0E">
      <w:pPr>
        <w:widowControl/>
        <w:jc w:val="left"/>
        <w:rPr>
          <w:rStyle w:val="28"/>
          <w:rFonts w:hint="default" w:ascii="Times New Roman" w:hAnsi="Times New Roman" w:eastAsia="黑体" w:cs="Times New Roman"/>
          <w:b w:val="0"/>
        </w:rPr>
      </w:pPr>
      <w:r>
        <w:rPr>
          <w:rStyle w:val="28"/>
          <w:rFonts w:hint="default" w:ascii="Times New Roman" w:hAnsi="Times New Roman" w:eastAsia="黑体" w:cs="Times New Roman"/>
          <w:b w:val="0"/>
        </w:rPr>
        <w:br w:type="page"/>
      </w:r>
    </w:p>
    <w:p w14:paraId="36062EC5">
      <w:pPr>
        <w:pStyle w:val="4"/>
        <w:keepNext/>
        <w:keepLines/>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b w:val="0"/>
          <w:bCs w:val="0"/>
          <w:sz w:val="44"/>
          <w:szCs w:val="44"/>
          <w:lang w:val="en-US" w:eastAsia="zh-CN"/>
        </w:rPr>
      </w:pPr>
      <w:bookmarkStart w:id="147" w:name="_Toc26526"/>
      <w:bookmarkStart w:id="148" w:name="_Toc15396618"/>
      <w:r>
        <w:rPr>
          <w:rFonts w:hint="default" w:ascii="Times New Roman" w:hAnsi="Times New Roman" w:eastAsia="方正小标宋简体" w:cs="Times New Roman"/>
          <w:b w:val="0"/>
          <w:bCs w:val="0"/>
          <w:sz w:val="44"/>
          <w:szCs w:val="44"/>
          <w:lang w:val="en-US" w:eastAsia="zh-CN"/>
        </w:rPr>
        <w:t>第五部分 附表</w:t>
      </w:r>
      <w:bookmarkEnd w:id="77"/>
      <w:bookmarkEnd w:id="147"/>
      <w:bookmarkEnd w:id="148"/>
      <w:bookmarkStart w:id="149" w:name="_Toc15396619"/>
    </w:p>
    <w:p w14:paraId="0AA4E088">
      <w:pPr>
        <w:bidi w:val="0"/>
        <w:rPr>
          <w:rFonts w:hint="default" w:ascii="Times New Roman" w:hAnsi="Times New Roman" w:cs="Times New Roman"/>
          <w:sz w:val="32"/>
          <w:szCs w:val="40"/>
        </w:rPr>
      </w:pPr>
    </w:p>
    <w:p w14:paraId="7A161569">
      <w:pPr>
        <w:bidi w:val="0"/>
        <w:rPr>
          <w:rFonts w:hint="default" w:ascii="Times New Roman" w:hAnsi="Times New Roman" w:eastAsia="仿宋_GB2312" w:cs="Times New Roman"/>
          <w:sz w:val="32"/>
          <w:szCs w:val="40"/>
        </w:rPr>
      </w:pPr>
      <w:bookmarkStart w:id="150" w:name="_Toc13369_WPSOffice_Level2"/>
      <w:r>
        <w:rPr>
          <w:rFonts w:hint="default" w:ascii="Times New Roman" w:hAnsi="Times New Roman" w:eastAsia="仿宋_GB2312" w:cs="Times New Roman"/>
          <w:sz w:val="32"/>
          <w:szCs w:val="40"/>
        </w:rPr>
        <w:t>一、收入支出决算总表</w:t>
      </w:r>
      <w:bookmarkEnd w:id="149"/>
      <w:bookmarkEnd w:id="150"/>
    </w:p>
    <w:p w14:paraId="1AEDFE02">
      <w:pPr>
        <w:bidi w:val="0"/>
        <w:rPr>
          <w:rFonts w:hint="default" w:ascii="Times New Roman" w:hAnsi="Times New Roman" w:eastAsia="仿宋_GB2312" w:cs="Times New Roman"/>
          <w:sz w:val="32"/>
          <w:szCs w:val="40"/>
        </w:rPr>
      </w:pPr>
      <w:bookmarkStart w:id="151" w:name="_Toc15396620"/>
      <w:bookmarkStart w:id="152" w:name="_Toc19833_WPSOffice_Level2"/>
      <w:r>
        <w:rPr>
          <w:rFonts w:hint="default" w:ascii="Times New Roman" w:hAnsi="Times New Roman" w:eastAsia="仿宋_GB2312" w:cs="Times New Roman"/>
          <w:sz w:val="32"/>
          <w:szCs w:val="40"/>
        </w:rPr>
        <w:t>二、收入决算表</w:t>
      </w:r>
      <w:bookmarkEnd w:id="151"/>
      <w:bookmarkEnd w:id="152"/>
    </w:p>
    <w:p w14:paraId="6A6B3368">
      <w:pPr>
        <w:bidi w:val="0"/>
        <w:rPr>
          <w:rFonts w:hint="default" w:ascii="Times New Roman" w:hAnsi="Times New Roman" w:eastAsia="仿宋_GB2312" w:cs="Times New Roman"/>
          <w:sz w:val="32"/>
          <w:szCs w:val="40"/>
        </w:rPr>
      </w:pPr>
      <w:bookmarkStart w:id="153" w:name="_Toc9359_WPSOffice_Level2"/>
      <w:bookmarkStart w:id="154" w:name="_Toc15396621"/>
      <w:r>
        <w:rPr>
          <w:rFonts w:hint="default" w:ascii="Times New Roman" w:hAnsi="Times New Roman" w:eastAsia="仿宋_GB2312" w:cs="Times New Roman"/>
          <w:sz w:val="32"/>
          <w:szCs w:val="40"/>
        </w:rPr>
        <w:t>三、支出决算表</w:t>
      </w:r>
      <w:bookmarkEnd w:id="153"/>
      <w:bookmarkEnd w:id="154"/>
    </w:p>
    <w:p w14:paraId="05406CBB">
      <w:pPr>
        <w:bidi w:val="0"/>
        <w:rPr>
          <w:rFonts w:hint="default" w:ascii="Times New Roman" w:hAnsi="Times New Roman" w:eastAsia="仿宋_GB2312" w:cs="Times New Roman"/>
          <w:sz w:val="32"/>
          <w:szCs w:val="40"/>
        </w:rPr>
      </w:pPr>
      <w:bookmarkStart w:id="155" w:name="_Toc15396622"/>
      <w:bookmarkStart w:id="156" w:name="_Toc28537_WPSOffice_Level2"/>
      <w:r>
        <w:rPr>
          <w:rFonts w:hint="default" w:ascii="Times New Roman" w:hAnsi="Times New Roman" w:eastAsia="仿宋_GB2312" w:cs="Times New Roman"/>
          <w:sz w:val="32"/>
          <w:szCs w:val="40"/>
        </w:rPr>
        <w:t>四、财政拨款收入支出决算总表</w:t>
      </w:r>
      <w:bookmarkEnd w:id="155"/>
      <w:bookmarkEnd w:id="156"/>
    </w:p>
    <w:p w14:paraId="5719E37C">
      <w:pPr>
        <w:bidi w:val="0"/>
        <w:rPr>
          <w:rFonts w:hint="default" w:ascii="Times New Roman" w:hAnsi="Times New Roman" w:eastAsia="仿宋_GB2312" w:cs="Times New Roman"/>
          <w:sz w:val="32"/>
          <w:szCs w:val="40"/>
        </w:rPr>
      </w:pPr>
      <w:bookmarkStart w:id="157" w:name="_Toc13349_WPSOffice_Level2"/>
      <w:bookmarkStart w:id="158" w:name="_Toc15396623"/>
      <w:r>
        <w:rPr>
          <w:rFonts w:hint="default" w:ascii="Times New Roman" w:hAnsi="Times New Roman" w:eastAsia="仿宋_GB2312" w:cs="Times New Roman"/>
          <w:sz w:val="32"/>
          <w:szCs w:val="40"/>
        </w:rPr>
        <w:t>五、财政拨款支出决算明细表</w:t>
      </w:r>
      <w:bookmarkEnd w:id="157"/>
      <w:bookmarkEnd w:id="158"/>
      <w:bookmarkStart w:id="159" w:name="_Toc15396624"/>
    </w:p>
    <w:p w14:paraId="36321D17">
      <w:pPr>
        <w:bidi w:val="0"/>
        <w:rPr>
          <w:rFonts w:hint="default" w:ascii="Times New Roman" w:hAnsi="Times New Roman" w:eastAsia="仿宋_GB2312" w:cs="Times New Roman"/>
          <w:sz w:val="32"/>
          <w:szCs w:val="40"/>
        </w:rPr>
      </w:pPr>
      <w:bookmarkStart w:id="160" w:name="_Toc29715_WPSOffice_Level2"/>
      <w:r>
        <w:rPr>
          <w:rFonts w:hint="default" w:ascii="Times New Roman" w:hAnsi="Times New Roman" w:eastAsia="仿宋_GB2312" w:cs="Times New Roman"/>
          <w:sz w:val="32"/>
          <w:szCs w:val="40"/>
        </w:rPr>
        <w:t>六、一般公共预算财政拨款支出决算表</w:t>
      </w:r>
      <w:bookmarkEnd w:id="159"/>
      <w:bookmarkEnd w:id="160"/>
    </w:p>
    <w:p w14:paraId="14B29790">
      <w:pPr>
        <w:bidi w:val="0"/>
        <w:rPr>
          <w:rFonts w:hint="default" w:ascii="Times New Roman" w:hAnsi="Times New Roman" w:eastAsia="仿宋_GB2312" w:cs="Times New Roman"/>
          <w:sz w:val="32"/>
          <w:szCs w:val="40"/>
        </w:rPr>
      </w:pPr>
      <w:bookmarkStart w:id="161" w:name="_Toc15396625"/>
      <w:bookmarkStart w:id="162" w:name="_Toc20450_WPSOffice_Level2"/>
      <w:r>
        <w:rPr>
          <w:rFonts w:hint="default" w:ascii="Times New Roman" w:hAnsi="Times New Roman" w:eastAsia="仿宋_GB2312" w:cs="Times New Roman"/>
          <w:sz w:val="32"/>
          <w:szCs w:val="40"/>
        </w:rPr>
        <w:t>七、一般公共预算财政拨款支出决算明细表</w:t>
      </w:r>
      <w:bookmarkEnd w:id="161"/>
      <w:bookmarkEnd w:id="162"/>
    </w:p>
    <w:p w14:paraId="6BEE6224">
      <w:pPr>
        <w:bidi w:val="0"/>
        <w:rPr>
          <w:rFonts w:hint="default" w:ascii="Times New Roman" w:hAnsi="Times New Roman" w:eastAsia="仿宋_GB2312" w:cs="Times New Roman"/>
          <w:sz w:val="32"/>
          <w:szCs w:val="40"/>
        </w:rPr>
      </w:pPr>
      <w:bookmarkStart w:id="163" w:name="_Toc22877_WPSOffice_Level2"/>
      <w:bookmarkStart w:id="164" w:name="_Toc15396626"/>
      <w:r>
        <w:rPr>
          <w:rFonts w:hint="default" w:ascii="Times New Roman" w:hAnsi="Times New Roman" w:eastAsia="仿宋_GB2312" w:cs="Times New Roman"/>
          <w:sz w:val="32"/>
          <w:szCs w:val="40"/>
        </w:rPr>
        <w:t>八、一般公共预算财政拨款基本支出决算表</w:t>
      </w:r>
      <w:bookmarkEnd w:id="163"/>
      <w:bookmarkEnd w:id="164"/>
    </w:p>
    <w:p w14:paraId="0942D2F9">
      <w:pPr>
        <w:bidi w:val="0"/>
        <w:rPr>
          <w:rFonts w:hint="default" w:ascii="Times New Roman" w:hAnsi="Times New Roman" w:eastAsia="仿宋_GB2312" w:cs="Times New Roman"/>
          <w:sz w:val="32"/>
          <w:szCs w:val="40"/>
        </w:rPr>
      </w:pPr>
      <w:bookmarkStart w:id="165" w:name="_Toc15396627"/>
      <w:bookmarkStart w:id="166" w:name="_Toc22309_WPSOffice_Level2"/>
      <w:r>
        <w:rPr>
          <w:rFonts w:hint="default" w:ascii="Times New Roman" w:hAnsi="Times New Roman" w:eastAsia="仿宋_GB2312" w:cs="Times New Roman"/>
          <w:sz w:val="32"/>
          <w:szCs w:val="40"/>
        </w:rPr>
        <w:t>九、一般公共预算财政拨款项目支出决算表</w:t>
      </w:r>
      <w:bookmarkEnd w:id="165"/>
      <w:bookmarkEnd w:id="166"/>
    </w:p>
    <w:p w14:paraId="01AB471B">
      <w:pPr>
        <w:bidi w:val="0"/>
        <w:rPr>
          <w:rFonts w:hint="default" w:ascii="Times New Roman" w:hAnsi="Times New Roman" w:eastAsia="仿宋_GB2312" w:cs="Times New Roman"/>
          <w:sz w:val="32"/>
          <w:szCs w:val="40"/>
        </w:rPr>
      </w:pPr>
      <w:bookmarkStart w:id="167" w:name="_Toc31825_WPSOffice_Level2"/>
      <w:bookmarkStart w:id="168" w:name="_Toc15396628"/>
      <w:r>
        <w:rPr>
          <w:rFonts w:hint="default" w:ascii="Times New Roman" w:hAnsi="Times New Roman" w:eastAsia="仿宋_GB2312" w:cs="Times New Roman"/>
          <w:sz w:val="32"/>
          <w:szCs w:val="40"/>
        </w:rPr>
        <w:t>十、一般公共预算财政拨款“三公”经费支出决算表</w:t>
      </w:r>
      <w:bookmarkEnd w:id="167"/>
      <w:bookmarkEnd w:id="168"/>
    </w:p>
    <w:p w14:paraId="038C5F69">
      <w:pPr>
        <w:bidi w:val="0"/>
        <w:rPr>
          <w:rFonts w:hint="default" w:ascii="Times New Roman" w:hAnsi="Times New Roman" w:eastAsia="仿宋_GB2312" w:cs="Times New Roman"/>
          <w:sz w:val="32"/>
          <w:szCs w:val="40"/>
        </w:rPr>
      </w:pPr>
      <w:bookmarkStart w:id="169" w:name="_Toc15396629"/>
      <w:bookmarkStart w:id="170" w:name="_Toc10674_WPSOffice_Level2"/>
      <w:r>
        <w:rPr>
          <w:rFonts w:hint="default" w:ascii="Times New Roman" w:hAnsi="Times New Roman" w:eastAsia="仿宋_GB2312" w:cs="Times New Roman"/>
          <w:sz w:val="32"/>
          <w:szCs w:val="40"/>
        </w:rPr>
        <w:t>十一、政府性基金预算财政拨款收入支出决算表</w:t>
      </w:r>
      <w:bookmarkEnd w:id="169"/>
      <w:bookmarkEnd w:id="170"/>
    </w:p>
    <w:p w14:paraId="1EEA8376">
      <w:pPr>
        <w:bidi w:val="0"/>
        <w:rPr>
          <w:rFonts w:hint="default" w:ascii="Times New Roman" w:hAnsi="Times New Roman" w:eastAsia="仿宋_GB2312" w:cs="Times New Roman"/>
          <w:sz w:val="32"/>
          <w:szCs w:val="40"/>
        </w:rPr>
      </w:pPr>
      <w:bookmarkStart w:id="171" w:name="_Toc8589_WPSOffice_Level2"/>
      <w:bookmarkStart w:id="172" w:name="_Toc15396630"/>
      <w:r>
        <w:rPr>
          <w:rFonts w:hint="default" w:ascii="Times New Roman" w:hAnsi="Times New Roman" w:eastAsia="仿宋_GB2312" w:cs="Times New Roman"/>
          <w:sz w:val="32"/>
          <w:szCs w:val="40"/>
        </w:rPr>
        <w:t>十二、政府性基金预算财政拨款“三公”经费支出决算表</w:t>
      </w:r>
      <w:bookmarkEnd w:id="171"/>
      <w:bookmarkEnd w:id="172"/>
    </w:p>
    <w:p w14:paraId="1069D922">
      <w:pPr>
        <w:bidi w:val="0"/>
        <w:rPr>
          <w:rFonts w:hint="default" w:ascii="Times New Roman" w:hAnsi="Times New Roman" w:eastAsia="仿宋_GB2312" w:cs="Times New Roman"/>
          <w:sz w:val="32"/>
          <w:szCs w:val="40"/>
        </w:rPr>
      </w:pPr>
      <w:bookmarkStart w:id="173" w:name="_Toc15396631"/>
      <w:bookmarkStart w:id="174" w:name="_Toc30194_WPSOffice_Level2"/>
      <w:r>
        <w:rPr>
          <w:rFonts w:hint="default" w:ascii="Times New Roman" w:hAnsi="Times New Roman" w:eastAsia="仿宋_GB2312" w:cs="Times New Roman"/>
          <w:sz w:val="32"/>
          <w:szCs w:val="40"/>
        </w:rPr>
        <w:t>十三、国有资本经营预算财政拨款收入支出决算表</w:t>
      </w:r>
      <w:bookmarkEnd w:id="173"/>
      <w:bookmarkEnd w:id="174"/>
    </w:p>
    <w:p w14:paraId="5CD10CB3">
      <w:pPr>
        <w:bidi w:val="0"/>
        <w:rPr>
          <w:rFonts w:hint="default" w:ascii="Times New Roman" w:hAnsi="Times New Roman" w:eastAsia="仿宋_GB2312" w:cs="Times New Roman"/>
          <w:sz w:val="32"/>
          <w:szCs w:val="40"/>
        </w:rPr>
      </w:pPr>
      <w:bookmarkStart w:id="175" w:name="_Toc20757_WPSOffice_Level2"/>
      <w:r>
        <w:rPr>
          <w:rFonts w:hint="default" w:ascii="Times New Roman" w:hAnsi="Times New Roman" w:eastAsia="仿宋_GB2312" w:cs="Times New Roman"/>
          <w:sz w:val="32"/>
          <w:szCs w:val="40"/>
        </w:rPr>
        <w:t>十四、国有资本经营预算财政拨款支出决算表</w:t>
      </w:r>
      <w:bookmarkEnd w:id="175"/>
    </w:p>
    <w:sectPr>
      <w:headerReference r:id="rId4" w:type="first"/>
      <w:headerReference r:id="rId3" w:type="default"/>
      <w:footerReference r:id="rId5" w:type="default"/>
      <w:pgSz w:w="11906" w:h="16838"/>
      <w:pgMar w:top="2098" w:right="1474" w:bottom="1984"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0A110">
    <w:pPr>
      <w:pStyle w:val="11"/>
      <w:jc w:val="center"/>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994781956"/>
                </w:sdtPr>
                <w:sdtEndPr>
                  <w:rPr>
                    <w:rFonts w:hint="eastAsia" w:ascii="宋体" w:hAnsi="宋体" w:eastAsia="宋体" w:cs="宋体"/>
                    <w:sz w:val="28"/>
                    <w:szCs w:val="28"/>
                  </w:rPr>
                </w:sdtEndPr>
                <w:sdtContent>
                  <w:p w14:paraId="7446F866">
                    <w:pPr>
                      <w:pStyle w:val="11"/>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22</w:t>
                    </w:r>
                    <w:r>
                      <w:rPr>
                        <w:rFonts w:hint="eastAsia" w:ascii="宋体" w:hAnsi="宋体" w:eastAsia="宋体" w:cs="宋体"/>
                        <w:sz w:val="28"/>
                        <w:szCs w:val="28"/>
                      </w:rPr>
                      <w:fldChar w:fldCharType="end"/>
                    </w:r>
                  </w:p>
                </w:sdtContent>
              </w:sdt>
              <w:p w14:paraId="0CE5B7A1">
                <w:pPr>
                  <w:pStyle w:val="2"/>
                  <w:rPr>
                    <w:rFonts w:hint="eastAsia" w:ascii="宋体" w:hAnsi="宋体" w:eastAsia="宋体" w:cs="宋体"/>
                    <w:sz w:val="28"/>
                    <w:szCs w:val="28"/>
                  </w:rPr>
                </w:pPr>
              </w:p>
            </w:txbxContent>
          </v:textbox>
        </v:shape>
      </w:pict>
    </w:r>
  </w:p>
  <w:p w14:paraId="421D508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163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80BD2">
    <w:pPr>
      <w:pStyle w:val="1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CFB8E"/>
    <w:multiLevelType w:val="singleLevel"/>
    <w:tmpl w:val="87ACFB8E"/>
    <w:lvl w:ilvl="0" w:tentative="0">
      <w:start w:val="1"/>
      <w:numFmt w:val="decimal"/>
      <w:suff w:val="nothing"/>
      <w:lvlText w:val="%1、"/>
      <w:lvlJc w:val="left"/>
    </w:lvl>
  </w:abstractNum>
  <w:abstractNum w:abstractNumId="1">
    <w:nsid w:val="3829BA3B"/>
    <w:multiLevelType w:val="singleLevel"/>
    <w:tmpl w:val="3829BA3B"/>
    <w:lvl w:ilvl="0" w:tentative="0">
      <w:start w:val="1"/>
      <w:numFmt w:val="chineseCounting"/>
      <w:suff w:val="nothing"/>
      <w:lvlText w:val="%1、"/>
      <w:lvlJc w:val="left"/>
      <w:rPr>
        <w:rFonts w:hint="eastAsia"/>
      </w:rPr>
    </w:lvl>
  </w:abstractNum>
  <w:abstractNum w:abstractNumId="2">
    <w:nsid w:val="642DE235"/>
    <w:multiLevelType w:val="singleLevel"/>
    <w:tmpl w:val="642DE235"/>
    <w:lvl w:ilvl="0" w:tentative="0">
      <w:start w:val="4"/>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MzM2M2ZGZiZTJhODFhMWFiMDc3YWU0ZTMxM2U5Mz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1F7A"/>
    <w:rsid w:val="0041708F"/>
    <w:rsid w:val="004223DE"/>
    <w:rsid w:val="00434489"/>
    <w:rsid w:val="00437085"/>
    <w:rsid w:val="00443880"/>
    <w:rsid w:val="004464F4"/>
    <w:rsid w:val="00457321"/>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72CB"/>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A2E62"/>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6B60"/>
    <w:rsid w:val="00AB64C9"/>
    <w:rsid w:val="00AC3C6A"/>
    <w:rsid w:val="00AD0C25"/>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22BD0"/>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CF1F69"/>
    <w:rsid w:val="01D949DB"/>
    <w:rsid w:val="022808C7"/>
    <w:rsid w:val="023E01E0"/>
    <w:rsid w:val="02C27014"/>
    <w:rsid w:val="043D695F"/>
    <w:rsid w:val="04D91810"/>
    <w:rsid w:val="04F261EE"/>
    <w:rsid w:val="05D63AB0"/>
    <w:rsid w:val="05F32422"/>
    <w:rsid w:val="05F42A5D"/>
    <w:rsid w:val="062460E8"/>
    <w:rsid w:val="066E0107"/>
    <w:rsid w:val="06F35724"/>
    <w:rsid w:val="06FE4FB0"/>
    <w:rsid w:val="07254A4D"/>
    <w:rsid w:val="07996F6E"/>
    <w:rsid w:val="08BE67C8"/>
    <w:rsid w:val="08F96EF9"/>
    <w:rsid w:val="0A2032A3"/>
    <w:rsid w:val="0A9E04B4"/>
    <w:rsid w:val="0AD54559"/>
    <w:rsid w:val="0B0F4E2E"/>
    <w:rsid w:val="0B8B1DAC"/>
    <w:rsid w:val="0C663453"/>
    <w:rsid w:val="0D5E3188"/>
    <w:rsid w:val="0D8B1469"/>
    <w:rsid w:val="0DC0085F"/>
    <w:rsid w:val="0EBF7635"/>
    <w:rsid w:val="0F6249A2"/>
    <w:rsid w:val="0F8C64BB"/>
    <w:rsid w:val="101860EC"/>
    <w:rsid w:val="104C0E75"/>
    <w:rsid w:val="10C055FF"/>
    <w:rsid w:val="11445C7A"/>
    <w:rsid w:val="118107EC"/>
    <w:rsid w:val="11E1385F"/>
    <w:rsid w:val="12195A1C"/>
    <w:rsid w:val="13284FBA"/>
    <w:rsid w:val="13D50BC4"/>
    <w:rsid w:val="13DE7A27"/>
    <w:rsid w:val="14126386"/>
    <w:rsid w:val="142468C7"/>
    <w:rsid w:val="14A5691F"/>
    <w:rsid w:val="14C456EF"/>
    <w:rsid w:val="14EC1A45"/>
    <w:rsid w:val="16BB723D"/>
    <w:rsid w:val="171A2355"/>
    <w:rsid w:val="17267368"/>
    <w:rsid w:val="176F12E9"/>
    <w:rsid w:val="179B56EA"/>
    <w:rsid w:val="17A21C13"/>
    <w:rsid w:val="17DC592B"/>
    <w:rsid w:val="186D3F67"/>
    <w:rsid w:val="18CB07E2"/>
    <w:rsid w:val="18DA412E"/>
    <w:rsid w:val="1A7446A4"/>
    <w:rsid w:val="1B681793"/>
    <w:rsid w:val="1BCA1532"/>
    <w:rsid w:val="1BE8440E"/>
    <w:rsid w:val="1CFC39FB"/>
    <w:rsid w:val="1D155CEE"/>
    <w:rsid w:val="1D4F4079"/>
    <w:rsid w:val="1D5E61BB"/>
    <w:rsid w:val="1DED6846"/>
    <w:rsid w:val="1E915F8E"/>
    <w:rsid w:val="1F390429"/>
    <w:rsid w:val="214C3A44"/>
    <w:rsid w:val="21AB70CA"/>
    <w:rsid w:val="220F341F"/>
    <w:rsid w:val="22C936E5"/>
    <w:rsid w:val="22F414B9"/>
    <w:rsid w:val="230C355D"/>
    <w:rsid w:val="23860B96"/>
    <w:rsid w:val="23AA6E47"/>
    <w:rsid w:val="240371BF"/>
    <w:rsid w:val="24DC2122"/>
    <w:rsid w:val="24F044AE"/>
    <w:rsid w:val="24F93667"/>
    <w:rsid w:val="273408C4"/>
    <w:rsid w:val="28E940FC"/>
    <w:rsid w:val="29525764"/>
    <w:rsid w:val="29911D60"/>
    <w:rsid w:val="29FD04D3"/>
    <w:rsid w:val="2BBA7A08"/>
    <w:rsid w:val="2C8A61B5"/>
    <w:rsid w:val="2D6952F1"/>
    <w:rsid w:val="2DF04E50"/>
    <w:rsid w:val="2E450E37"/>
    <w:rsid w:val="2E78070A"/>
    <w:rsid w:val="2F0A1994"/>
    <w:rsid w:val="2F8638A3"/>
    <w:rsid w:val="2FAF4FDF"/>
    <w:rsid w:val="302F259F"/>
    <w:rsid w:val="30422AF3"/>
    <w:rsid w:val="3046587F"/>
    <w:rsid w:val="306F29DF"/>
    <w:rsid w:val="30B746D8"/>
    <w:rsid w:val="318B54B8"/>
    <w:rsid w:val="319F7F4E"/>
    <w:rsid w:val="32BE378D"/>
    <w:rsid w:val="3360195C"/>
    <w:rsid w:val="33B9413F"/>
    <w:rsid w:val="35400002"/>
    <w:rsid w:val="36AA5135"/>
    <w:rsid w:val="36C06420"/>
    <w:rsid w:val="37A3628B"/>
    <w:rsid w:val="37E16F03"/>
    <w:rsid w:val="38F021D7"/>
    <w:rsid w:val="396956F6"/>
    <w:rsid w:val="39FE6B76"/>
    <w:rsid w:val="3ADB163B"/>
    <w:rsid w:val="3B4C7C1B"/>
    <w:rsid w:val="3B863BA7"/>
    <w:rsid w:val="3BA746B4"/>
    <w:rsid w:val="3BAC426C"/>
    <w:rsid w:val="3C8B6A58"/>
    <w:rsid w:val="3D0022B6"/>
    <w:rsid w:val="3D185F90"/>
    <w:rsid w:val="3D35092F"/>
    <w:rsid w:val="3D98207C"/>
    <w:rsid w:val="3D9D55CF"/>
    <w:rsid w:val="3E061CF8"/>
    <w:rsid w:val="40B975F6"/>
    <w:rsid w:val="40DF5701"/>
    <w:rsid w:val="422B3AC9"/>
    <w:rsid w:val="42346E70"/>
    <w:rsid w:val="42864ABC"/>
    <w:rsid w:val="429B4A3B"/>
    <w:rsid w:val="42C87FB9"/>
    <w:rsid w:val="43AB0CEE"/>
    <w:rsid w:val="44436C5C"/>
    <w:rsid w:val="44952362"/>
    <w:rsid w:val="44E268DA"/>
    <w:rsid w:val="45990A36"/>
    <w:rsid w:val="45EC3156"/>
    <w:rsid w:val="45F613A1"/>
    <w:rsid w:val="46370456"/>
    <w:rsid w:val="47BD5352"/>
    <w:rsid w:val="47D96200"/>
    <w:rsid w:val="47DB2A13"/>
    <w:rsid w:val="47E761D6"/>
    <w:rsid w:val="4A3E4B27"/>
    <w:rsid w:val="4A627F82"/>
    <w:rsid w:val="4B3005E6"/>
    <w:rsid w:val="4B3059FD"/>
    <w:rsid w:val="4B4F25DA"/>
    <w:rsid w:val="4BE068DB"/>
    <w:rsid w:val="4C5708D7"/>
    <w:rsid w:val="4C926269"/>
    <w:rsid w:val="4D577224"/>
    <w:rsid w:val="4E382074"/>
    <w:rsid w:val="4EAB630A"/>
    <w:rsid w:val="4ECE2238"/>
    <w:rsid w:val="4F6223C4"/>
    <w:rsid w:val="4FCE085F"/>
    <w:rsid w:val="4FEF6632"/>
    <w:rsid w:val="500F5F4C"/>
    <w:rsid w:val="52BB0D9A"/>
    <w:rsid w:val="53B8559B"/>
    <w:rsid w:val="54A44416"/>
    <w:rsid w:val="552B6AA9"/>
    <w:rsid w:val="55E20619"/>
    <w:rsid w:val="56CB0BB6"/>
    <w:rsid w:val="5797609F"/>
    <w:rsid w:val="581B4D9C"/>
    <w:rsid w:val="584E0BB5"/>
    <w:rsid w:val="59727E14"/>
    <w:rsid w:val="5AF92295"/>
    <w:rsid w:val="5B922FDB"/>
    <w:rsid w:val="5BF1400B"/>
    <w:rsid w:val="5C98670D"/>
    <w:rsid w:val="5CC07A0D"/>
    <w:rsid w:val="5CD71FC4"/>
    <w:rsid w:val="5D6E73C0"/>
    <w:rsid w:val="5DAB3829"/>
    <w:rsid w:val="5E564E4C"/>
    <w:rsid w:val="5E5D676C"/>
    <w:rsid w:val="5ED06100"/>
    <w:rsid w:val="5F1C7D6B"/>
    <w:rsid w:val="5F1D0583"/>
    <w:rsid w:val="60B42B72"/>
    <w:rsid w:val="615B676D"/>
    <w:rsid w:val="617C08D2"/>
    <w:rsid w:val="624B1CE5"/>
    <w:rsid w:val="63321962"/>
    <w:rsid w:val="63697CBD"/>
    <w:rsid w:val="643904A7"/>
    <w:rsid w:val="653926BE"/>
    <w:rsid w:val="65793627"/>
    <w:rsid w:val="667C70B4"/>
    <w:rsid w:val="668A6207"/>
    <w:rsid w:val="675B6C96"/>
    <w:rsid w:val="677C1521"/>
    <w:rsid w:val="6C062D03"/>
    <w:rsid w:val="6C2527DA"/>
    <w:rsid w:val="6C4A05C8"/>
    <w:rsid w:val="6D9F1682"/>
    <w:rsid w:val="6DD57147"/>
    <w:rsid w:val="6E096671"/>
    <w:rsid w:val="6E7E3605"/>
    <w:rsid w:val="6F1C6D39"/>
    <w:rsid w:val="6FF5CC65"/>
    <w:rsid w:val="70012827"/>
    <w:rsid w:val="7081392A"/>
    <w:rsid w:val="70C9788D"/>
    <w:rsid w:val="70FD3869"/>
    <w:rsid w:val="715C0E4B"/>
    <w:rsid w:val="72734D90"/>
    <w:rsid w:val="733A5369"/>
    <w:rsid w:val="73AD73D5"/>
    <w:rsid w:val="73B6EB34"/>
    <w:rsid w:val="752F570F"/>
    <w:rsid w:val="753D13F1"/>
    <w:rsid w:val="75514E26"/>
    <w:rsid w:val="76153224"/>
    <w:rsid w:val="770C4666"/>
    <w:rsid w:val="771E2DD2"/>
    <w:rsid w:val="77407654"/>
    <w:rsid w:val="78683754"/>
    <w:rsid w:val="798247AF"/>
    <w:rsid w:val="79EE5BA4"/>
    <w:rsid w:val="7A894339"/>
    <w:rsid w:val="7A8D7090"/>
    <w:rsid w:val="7B085D31"/>
    <w:rsid w:val="7B7835A5"/>
    <w:rsid w:val="7BA37BFC"/>
    <w:rsid w:val="7BE03EAC"/>
    <w:rsid w:val="7CAE5D7D"/>
    <w:rsid w:val="7CCB6903"/>
    <w:rsid w:val="7CDF68F9"/>
    <w:rsid w:val="7DD87AE1"/>
    <w:rsid w:val="7DDB6598"/>
    <w:rsid w:val="7DE949F2"/>
    <w:rsid w:val="7E214B4B"/>
    <w:rsid w:val="7ED76FA0"/>
    <w:rsid w:val="7EEC1A31"/>
    <w:rsid w:val="7EEF11D3"/>
    <w:rsid w:val="7F395632"/>
    <w:rsid w:val="7F4B266B"/>
    <w:rsid w:val="7FA30C79"/>
    <w:rsid w:val="7FA70FD6"/>
    <w:rsid w:val="7FAD2788"/>
    <w:rsid w:val="7FC96657"/>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paragraph" w:styleId="6">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Courier New"/>
    </w:r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Normal Indent1"/>
    <w:basedOn w:val="1"/>
    <w:qFormat/>
    <w:uiPriority w:val="0"/>
    <w:pPr>
      <w:ind w:firstLine="420" w:firstLineChars="200"/>
    </w:pPr>
    <w:rPr>
      <w:rFonts w:ascii="Times New Roman" w:hAnsi="Times New Roman"/>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font01"/>
    <w:basedOn w:val="16"/>
    <w:qFormat/>
    <w:uiPriority w:val="0"/>
    <w:rPr>
      <w:rFonts w:hint="default" w:ascii="Times New Roman" w:hAnsi="Times New Roman" w:cs="Times New Roman"/>
      <w:color w:val="000000"/>
      <w:sz w:val="24"/>
      <w:szCs w:val="24"/>
      <w:u w:val="none"/>
    </w:rPr>
  </w:style>
  <w:style w:type="character" w:customStyle="1" w:styleId="35">
    <w:name w:val="font41"/>
    <w:basedOn w:val="16"/>
    <w:qFormat/>
    <w:uiPriority w:val="0"/>
    <w:rPr>
      <w:rFonts w:hint="eastAsia" w:ascii="宋体" w:hAnsi="宋体" w:eastAsia="宋体" w:cs="宋体"/>
      <w:color w:val="000000"/>
      <w:sz w:val="24"/>
      <w:szCs w:val="24"/>
      <w:u w:val="none"/>
    </w:rPr>
  </w:style>
  <w:style w:type="character" w:customStyle="1" w:styleId="36">
    <w:name w:val="font31"/>
    <w:basedOn w:val="16"/>
    <w:qFormat/>
    <w:uiPriority w:val="0"/>
    <w:rPr>
      <w:rFonts w:hint="eastAsia" w:ascii="宋体" w:hAnsi="宋体" w:eastAsia="宋体" w:cs="宋体"/>
      <w:color w:val="000000"/>
      <w:sz w:val="24"/>
      <w:szCs w:val="24"/>
      <w:u w:val="none"/>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021&#24180;&#20915;&#31639;&#20844;&#24320;&#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021&#24180;&#20915;&#31639;&#20844;&#24320;&#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021&#24180;&#20915;&#31639;&#20844;&#24320;&#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021&#24180;&#20915;&#31639;&#20844;&#24320;&#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021&#24180;&#20915;&#31639;&#20844;&#24320;&#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5919;&#24220;&#21150;2021&#24180;&#20915;&#31639;&#20844;&#24320;&#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6700;&#38754;-D\2022&#24180;&#24037;&#20316;&#24320;&#23637;\2021&#24180;&#20915;&#31639;&#20844;&#24320;-2022&#24180;10&#26376;\&#20915;&#31639;&#20844;&#24320;\2021&#24180;&#20915;&#31639;&#20844;&#24320;&#65288;&#19978;&#25253;&#65289;\&#25919;&#24220;&#21150;2021&#24180;&#20915;&#31639;&#20844;&#24320;&#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b="0" i="0" u="none" strike="noStrike" baseline="0">
                <a:solidFill>
                  <a:srgbClr val="333333"/>
                </a:solidFill>
                <a:latin typeface="宋体" panose="02010600030101010101" charset="-122"/>
                <a:ea typeface="宋体" panose="02010600030101010101" charset="-122"/>
                <a:cs typeface="宋体" panose="02010600030101010101" charset="-122"/>
              </a:rPr>
              <a:t>图</a:t>
            </a:r>
            <a:r>
              <a:rPr lang="en-US" altLang="zh-CN" sz="12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1     </a:t>
            </a:r>
            <a:r>
              <a:rPr altLang="en-US" sz="1200" b="0" i="0" u="none" strike="noStrike" baseline="0">
                <a:solidFill>
                  <a:srgbClr val="333333"/>
                </a:solidFill>
                <a:latin typeface="宋体" panose="02010600030101010101" charset="-122"/>
                <a:ea typeface="宋体" panose="02010600030101010101" charset="-122"/>
                <a:cs typeface="宋体" panose="02010600030101010101" charset="-122"/>
              </a:rPr>
              <a:t>收、支决算总计变动情况表    单位：万元</a:t>
            </a:r>
            <a:endParaRPr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47708333333333"/>
          <c:y val="0.0222222222222222"/>
        </c:manualLayout>
      </c:layout>
      <c:overlay val="0"/>
      <c:spPr>
        <a:noFill/>
        <a:ln>
          <a:noFill/>
        </a:ln>
        <a:effectLst/>
      </c:spPr>
    </c:title>
    <c:autoTitleDeleted val="0"/>
    <c:plotArea>
      <c:layout>
        <c:manualLayout>
          <c:layoutTarget val="inner"/>
          <c:xMode val="edge"/>
          <c:yMode val="edge"/>
          <c:x val="0.0874444444444444"/>
          <c:y val="0.158564814814815"/>
          <c:w val="0.882"/>
          <c:h val="0.617222222222222"/>
        </c:manualLayout>
      </c:layout>
      <c:barChart>
        <c:barDir val="col"/>
        <c:grouping val="clustered"/>
        <c:varyColors val="0"/>
        <c:ser>
          <c:idx val="0"/>
          <c:order val="0"/>
          <c:tx>
            <c:strRef>
              <c:f>[2021年决算公开图表.xls]Sheet1!$A$4</c:f>
              <c:strCache>
                <c:ptCount val="1"/>
                <c:pt idx="0">
                  <c:v>2020</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[2021年决算公开图表.xls]Sheet1!$B$3:$C$3</c:f>
              <c:strCache>
                <c:ptCount val="2"/>
                <c:pt idx="0">
                  <c:v>收入决算总计</c:v>
                </c:pt>
                <c:pt idx="1">
                  <c:v>支出决算总计</c:v>
                </c:pt>
              </c:strCache>
            </c:strRef>
          </c:cat>
          <c:val>
            <c:numRef>
              <c:f>[2021年决算公开图表.xls]Sheet1!$B$4:$C$4</c:f>
              <c:numCache>
                <c:formatCode>General</c:formatCode>
                <c:ptCount val="2"/>
                <c:pt idx="0">
                  <c:v>850.18</c:v>
                </c:pt>
                <c:pt idx="1">
                  <c:v>850.18</c:v>
                </c:pt>
              </c:numCache>
            </c:numRef>
          </c:val>
        </c:ser>
        <c:ser>
          <c:idx val="1"/>
          <c:order val="1"/>
          <c:tx>
            <c:strRef>
              <c:f>[2021年决算公开图表.xls]Sheet1!$A$5</c:f>
              <c:strCache>
                <c:ptCount val="1"/>
                <c:pt idx="0">
                  <c:v>2021</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[2021年决算公开图表.xls]Sheet1!$B$3:$C$3</c:f>
              <c:strCache>
                <c:ptCount val="2"/>
                <c:pt idx="0">
                  <c:v>收入决算总计</c:v>
                </c:pt>
                <c:pt idx="1">
                  <c:v>支出决算总计</c:v>
                </c:pt>
              </c:strCache>
            </c:strRef>
          </c:cat>
          <c:val>
            <c:numRef>
              <c:f>[2021年决算公开图表.xls]Sheet1!$B$5:$C$5</c:f>
              <c:numCache>
                <c:formatCode>General</c:formatCode>
                <c:ptCount val="2"/>
                <c:pt idx="0">
                  <c:v>1164.78</c:v>
                </c:pt>
                <c:pt idx="1">
                  <c:v>1164.78</c:v>
                </c:pt>
              </c:numCache>
            </c:numRef>
          </c:val>
        </c:ser>
        <c:dLbls>
          <c:showLegendKey val="0"/>
          <c:showVal val="0"/>
          <c:showCatName val="0"/>
          <c:showSerName val="0"/>
          <c:showPercent val="0"/>
          <c:showBubbleSize val="0"/>
        </c:dLbls>
        <c:gapWidth val="219"/>
        <c:overlap val="-27"/>
        <c:axId val="447540087"/>
        <c:axId val="547270304"/>
      </c:barChart>
      <c:catAx>
        <c:axId val="44754008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7270304"/>
        <c:crosses val="autoZero"/>
        <c:auto val="1"/>
        <c:lblAlgn val="ctr"/>
        <c:lblOffset val="100"/>
        <c:noMultiLvlLbl val="0"/>
      </c:catAx>
      <c:valAx>
        <c:axId val="5472703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5400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c541af-6997-4102-93bc-750796e9216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575"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400"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cs typeface="宋体" panose="02010600030101010101" charset="-122"/>
              </a:rPr>
              <a:t>2    </a:t>
            </a:r>
            <a:r>
              <a:rPr lang="zh-CN" altLang="en-US" sz="1400" b="0" i="0" u="none" strike="noStrike" baseline="0">
                <a:solidFill>
                  <a:srgbClr val="000000"/>
                </a:solidFill>
                <a:latin typeface="宋体" panose="02010600030101010101" charset="-122"/>
                <a:ea typeface="宋体" panose="02010600030101010101" charset="-122"/>
                <a:cs typeface="宋体" panose="02010600030101010101" charset="-122"/>
              </a:rPr>
              <a:t>收入决算结构图    </a:t>
            </a:r>
            <a:r>
              <a:rPr lang="zh-CN" altLang="en-US"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lang="zh-CN"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37602320955515"/>
          <c:y val="0.034412955465587"/>
        </c:manualLayout>
      </c:layout>
      <c:overlay val="0"/>
    </c:title>
    <c:autoTitleDeleted val="0"/>
    <c:plotArea>
      <c:layout>
        <c:manualLayout>
          <c:layoutTarget val="inner"/>
          <c:xMode val="edge"/>
          <c:yMode val="edge"/>
          <c:x val="0.216531157532317"/>
          <c:y val="0.350202429149798"/>
          <c:w val="0.244470661730036"/>
          <c:h val="0.425101214574899"/>
        </c:manualLayout>
      </c:layout>
      <c:pieChart>
        <c:varyColors val="1"/>
        <c:ser>
          <c:idx val="0"/>
          <c:order val="0"/>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Pt>
            <c:idx val="5"/>
            <c:bubble3D val="0"/>
            <c:explosion val="0"/>
            <c:spPr>
              <a:solidFill>
                <a:srgbClr val="FF8080">
                  <a:alpha val="100000"/>
                </a:srgbClr>
              </a:solidFill>
              <a:ln w="12700">
                <a:solidFill>
                  <a:srgbClr val="000000">
                    <a:alpha val="100000"/>
                  </a:srgbClr>
                </a:solidFill>
                <a:prstDash val="solid"/>
              </a:ln>
            </c:spPr>
          </c:dPt>
          <c:dLbls>
            <c:dLbl>
              <c:idx val="0"/>
              <c:layout>
                <c:manualLayout>
                  <c:x val="0.0237435217548512"/>
                  <c:y val="0.0436424674779689"/>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layout>
                <c:manualLayout>
                  <c:x val="-0.0289261178739303"/>
                  <c:y val="-0.10973562736047"/>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numFmt formatCode="0%" sourceLinked="0"/>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[2021年决算公开图表.xls]Sheet1!$B$20:$B$25</c:f>
              <c:strCache>
                <c:ptCount val="6"/>
                <c:pt idx="0">
                  <c:v>一般公共预算财政拨款收入</c:v>
                </c:pt>
                <c:pt idx="1">
                  <c:v>政府性基金预算财政拨款收入</c:v>
                </c:pt>
                <c:pt idx="2">
                  <c:v>国有资本经营预算财政拨款收入</c:v>
                </c:pt>
                <c:pt idx="3">
                  <c:v>事业收入</c:v>
                </c:pt>
                <c:pt idx="4">
                  <c:v>附属单位上缴收入</c:v>
                </c:pt>
                <c:pt idx="5">
                  <c:v>年初财政拨款结转和结余</c:v>
                </c:pt>
              </c:strCache>
            </c:strRef>
          </c:cat>
          <c:val>
            <c:numRef>
              <c:f>[2021年决算公开图表.xls]Sheet1!$C$20:$C$25</c:f>
              <c:numCache>
                <c:formatCode>General</c:formatCode>
                <c:ptCount val="6"/>
                <c:pt idx="0">
                  <c:v>838.75</c:v>
                </c:pt>
                <c:pt idx="1">
                  <c:v>0</c:v>
                </c:pt>
                <c:pt idx="2">
                  <c:v>0</c:v>
                </c:pt>
                <c:pt idx="3">
                  <c:v>0</c:v>
                </c:pt>
                <c:pt idx="4">
                  <c:v>0</c:v>
                </c:pt>
                <c:pt idx="5">
                  <c:v>326.03</c:v>
                </c:pt>
              </c:numCache>
            </c:numRef>
          </c:val>
        </c:ser>
        <c:ser>
          <c:idx val="1"/>
          <c:order val="1"/>
          <c:spPr>
            <a:solidFill>
              <a:srgbClr val="993366">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Pt>
            <c:idx val="5"/>
            <c:bubble3D val="0"/>
            <c:explosion val="0"/>
            <c:spPr>
              <a:solidFill>
                <a:srgbClr val="FF8080">
                  <a:alpha val="100000"/>
                </a:srgbClr>
              </a:solidFill>
              <a:ln w="12700">
                <a:solidFill>
                  <a:srgbClr val="000000">
                    <a:alpha val="100000"/>
                  </a:srgbClr>
                </a:solidFill>
                <a:prstDash val="solid"/>
              </a:ln>
            </c:spPr>
          </c:dPt>
          <c:dLbls>
            <c:delete val="1"/>
          </c:dLbls>
          <c:cat>
            <c:strRef>
              <c:f>[2021年决算公开图表.xls]Sheet1!$B$20:$B$25</c:f>
              <c:strCache>
                <c:ptCount val="6"/>
                <c:pt idx="0">
                  <c:v>一般公共预算财政拨款收入</c:v>
                </c:pt>
                <c:pt idx="1">
                  <c:v>政府性基金预算财政拨款收入</c:v>
                </c:pt>
                <c:pt idx="2">
                  <c:v>国有资本经营预算财政拨款收入</c:v>
                </c:pt>
                <c:pt idx="3">
                  <c:v>事业收入</c:v>
                </c:pt>
                <c:pt idx="4">
                  <c:v>附属单位上缴收入</c:v>
                </c:pt>
                <c:pt idx="5">
                  <c:v>年初财政拨款结转和结余</c:v>
                </c:pt>
              </c:strCache>
            </c:strRef>
          </c:cat>
          <c:val>
            <c:numRef>
              <c:f>[2021年决算公开图表.xls]Sheet1!$D$20:$D$25</c:f>
              <c:numCache>
                <c:formatCode>0%</c:formatCode>
                <c:ptCount val="6"/>
                <c:pt idx="0">
                  <c:v>0.7201</c:v>
                </c:pt>
                <c:pt idx="1">
                  <c:v>0</c:v>
                </c:pt>
                <c:pt idx="2">
                  <c:v>0</c:v>
                </c:pt>
                <c:pt idx="3">
                  <c:v>0</c:v>
                </c:pt>
                <c:pt idx="4">
                  <c:v>0</c:v>
                </c:pt>
                <c:pt idx="5">
                  <c:v>0.2799</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7171220884933"/>
          <c:y val="0.240890688259109"/>
          <c:w val="0.3215"/>
          <c:h val="0.661"/>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0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9636b6a1-d616-4652-9518-f99c62b5f99a}"/>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1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425" b="0" i="0" u="none" strike="noStrike" baseline="0">
                <a:solidFill>
                  <a:srgbClr val="000000"/>
                </a:solidFill>
                <a:latin typeface="宋体" panose="02010600030101010101" charset="-122"/>
                <a:ea typeface="宋体" panose="02010600030101010101" charset="-122"/>
                <a:cs typeface="宋体" panose="02010600030101010101" charset="-122"/>
              </a:rPr>
              <a:t>图3    支出决算结构图     </a:t>
            </a:r>
            <a:r>
              <a:rPr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00966624556716"/>
          <c:y val="0.009227929867733"/>
        </c:manualLayout>
      </c:layout>
      <c:overlay val="0"/>
      <c:spPr>
        <a:noFill/>
        <a:ln w="3175">
          <a:noFill/>
        </a:ln>
      </c:spPr>
    </c:title>
    <c:autoTitleDeleted val="0"/>
    <c:plotArea>
      <c:layout>
        <c:manualLayout>
          <c:layoutTarget val="inner"/>
          <c:xMode val="edge"/>
          <c:yMode val="edge"/>
          <c:x val="0.253135725085926"/>
          <c:y val="0.334029227557411"/>
          <c:w val="0.246294219002523"/>
          <c:h val="0.450939457202505"/>
        </c:manualLayout>
      </c:layout>
      <c:pieChart>
        <c:varyColors val="1"/>
        <c:ser>
          <c:idx val="0"/>
          <c:order val="0"/>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Lbl>
              <c:idx val="0"/>
              <c:layout>
                <c:manualLayout>
                  <c:x val="0.023726363964832"/>
                  <c:y val="0.0811724915445321"/>
                </c:manualLayout>
              </c:layout>
              <c:dLblPos val="bestFit"/>
              <c:showLegendKey val="1"/>
              <c:showVal val="1"/>
              <c:showCatName val="1"/>
              <c:showSerName val="0"/>
              <c:showPercent val="1"/>
              <c:showBubbleSize val="0"/>
              <c:extLst>
                <c:ext xmlns:c15="http://schemas.microsoft.com/office/drawing/2012/chart" uri="{CE6537A1-D6FC-4f65-9D91-7224C49458BB}">
                  <c15:layout/>
                </c:ext>
              </c:extLst>
            </c:dLbl>
            <c:dLbl>
              <c:idx val="1"/>
              <c:layout>
                <c:manualLayout>
                  <c:x val="-0.0144526074912682"/>
                  <c:y val="-0.150169109357384"/>
                </c:manualLayout>
              </c:layout>
              <c:dLblPos val="bestFit"/>
              <c:showLegendKey val="1"/>
              <c:showVal val="1"/>
              <c:showCatName val="1"/>
              <c:showSerName val="0"/>
              <c:showPercent val="1"/>
              <c:showBubbleSize val="0"/>
              <c:extLst>
                <c:ext xmlns:c15="http://schemas.microsoft.com/office/drawing/2012/chart" uri="{CE6537A1-D6FC-4f65-9D91-7224C49458BB}">
                  <c15:layout/>
                </c:ext>
              </c:extLst>
            </c:dLbl>
            <c:dLbl>
              <c:idx val="2"/>
              <c:delete val="1"/>
            </c:dLbl>
            <c:dLbl>
              <c:idx val="3"/>
              <c:delete val="1"/>
            </c:dLbl>
            <c:dLbl>
              <c:idx val="4"/>
              <c:delete val="1"/>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[2021年决算公开图表.xls]Sheet1!$B$51:$B$55</c:f>
              <c:strCache>
                <c:ptCount val="5"/>
                <c:pt idx="0">
                  <c:v>基本支出</c:v>
                </c:pt>
                <c:pt idx="1">
                  <c:v>项目支出</c:v>
                </c:pt>
                <c:pt idx="2">
                  <c:v>上缴上级支出</c:v>
                </c:pt>
                <c:pt idx="3">
                  <c:v>经营支出</c:v>
                </c:pt>
                <c:pt idx="4">
                  <c:v>对附属单位补助支出</c:v>
                </c:pt>
              </c:strCache>
            </c:strRef>
          </c:cat>
          <c:val>
            <c:numRef>
              <c:f>[2021年决算公开图表.xls]Sheet1!$C$51:$C$55</c:f>
              <c:numCache>
                <c:formatCode>General</c:formatCode>
                <c:ptCount val="5"/>
                <c:pt idx="0">
                  <c:v>722.93</c:v>
                </c:pt>
                <c:pt idx="1">
                  <c:v>441.85</c:v>
                </c:pt>
                <c:pt idx="2">
                  <c:v>0</c:v>
                </c:pt>
                <c:pt idx="3">
                  <c:v>0</c:v>
                </c:pt>
                <c:pt idx="4">
                  <c:v>0</c:v>
                </c:pt>
              </c:numCache>
            </c:numRef>
          </c:val>
        </c:ser>
        <c:ser>
          <c:idx val="1"/>
          <c:order val="1"/>
          <c:spPr>
            <a:solidFill>
              <a:srgbClr val="993366">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elete val="1"/>
          </c:dLbls>
          <c:cat>
            <c:strRef>
              <c:f>[2021年决算公开图表.xls]Sheet1!$B$51:$B$55</c:f>
              <c:strCache>
                <c:ptCount val="5"/>
                <c:pt idx="0">
                  <c:v>基本支出</c:v>
                </c:pt>
                <c:pt idx="1">
                  <c:v>项目支出</c:v>
                </c:pt>
                <c:pt idx="2">
                  <c:v>上缴上级支出</c:v>
                </c:pt>
                <c:pt idx="3">
                  <c:v>经营支出</c:v>
                </c:pt>
                <c:pt idx="4">
                  <c:v>对附属单位补助支出</c:v>
                </c:pt>
              </c:strCache>
            </c:strRef>
          </c:cat>
          <c:val>
            <c:numRef>
              <c:f>[2021年决算公开图表.xls]Sheet1!$D$51:$D$55</c:f>
              <c:numCache>
                <c:formatCode>0.00%</c:formatCode>
                <c:ptCount val="5"/>
                <c:pt idx="0">
                  <c:v>0.62</c:v>
                </c:pt>
                <c:pt idx="1">
                  <c:v>0.38</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46838492111285"/>
          <c:y val="0.186471251409245"/>
          <c:w val="0.245212573768517"/>
          <c:h val="0.789177001127396"/>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5261fa5c-f08c-4caf-9887-9fbde73609dc}"/>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375"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sz="1375"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375" b="0" i="0" u="none" strike="noStrike" baseline="0">
                <a:solidFill>
                  <a:srgbClr val="000000"/>
                </a:solidFill>
                <a:latin typeface="宋体" panose="02010600030101010101" charset="-122"/>
                <a:ea typeface="宋体" panose="02010600030101010101" charset="-122"/>
                <a:cs typeface="宋体" panose="02010600030101010101" charset="-122"/>
              </a:rPr>
              <a:t>4   </a:t>
            </a:r>
            <a:r>
              <a:rPr lang="zh-CN" altLang="en-US" sz="1375" b="0" i="0" u="none" strike="noStrike" baseline="0">
                <a:solidFill>
                  <a:srgbClr val="000000"/>
                </a:solidFill>
                <a:latin typeface="宋体" panose="02010600030101010101" charset="-122"/>
                <a:ea typeface="宋体" panose="02010600030101010101" charset="-122"/>
                <a:cs typeface="宋体" panose="02010600030101010101" charset="-122"/>
              </a:rPr>
              <a:t>收入、支出预算执行变动情况    </a:t>
            </a:r>
            <a:r>
              <a:rPr lang="zh-CN" altLang="en-US"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lang="zh-CN"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04167128970004"/>
          <c:y val="0.0256579507324049"/>
        </c:manualLayout>
      </c:layout>
      <c:overlay val="0"/>
    </c:title>
    <c:autoTitleDeleted val="0"/>
    <c:plotArea>
      <c:layout>
        <c:manualLayout>
          <c:layoutTarget val="inner"/>
          <c:xMode val="edge"/>
          <c:yMode val="edge"/>
          <c:x val="0.080000080422875"/>
          <c:y val="0.170290269313859"/>
          <c:w val="0.690588929532759"/>
          <c:h val="0.711958253620709"/>
        </c:manualLayout>
      </c:layout>
      <c:barChart>
        <c:barDir val="col"/>
        <c:grouping val="clustered"/>
        <c:varyColors val="0"/>
        <c:ser>
          <c:idx val="0"/>
          <c:order val="0"/>
          <c:tx>
            <c:strRef>
              <c:f>"收入"</c:f>
              <c:strCache>
                <c:ptCount val="1"/>
                <c:pt idx="0">
                  <c:v>收入</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433630450493857"/>
                  <c:y val="-0.0020120724346076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28836424957841"/>
                  <c:y val="-0.016096579476861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[2021年决算公开图表.xls]Sheet1!$B$75:$C$75</c:f>
              <c:strCache>
                <c:ptCount val="2"/>
                <c:pt idx="0">
                  <c:v>2020年</c:v>
                </c:pt>
                <c:pt idx="1">
                  <c:v>2021年</c:v>
                </c:pt>
              </c:strCache>
            </c:strRef>
          </c:cat>
          <c:val>
            <c:numRef>
              <c:f>[2021年决算公开图表.xls]Sheet1!$B$76:$C$76</c:f>
              <c:numCache>
                <c:formatCode>General</c:formatCode>
                <c:ptCount val="2"/>
                <c:pt idx="0">
                  <c:v>850.18</c:v>
                </c:pt>
                <c:pt idx="1">
                  <c:v>1164.78</c:v>
                </c:pt>
              </c:numCache>
            </c:numRef>
          </c:val>
        </c:ser>
        <c:ser>
          <c:idx val="1"/>
          <c:order val="1"/>
          <c:tx>
            <c:strRef>
              <c:f>"支出"</c:f>
              <c:strCache>
                <c:ptCount val="1"/>
                <c:pt idx="0">
                  <c:v>支出</c:v>
                </c:pt>
              </c:strCache>
            </c:strRef>
          </c:tx>
          <c:spPr>
            <a:solidFill>
              <a:schemeClr val="accent4">
                <a:lumMod val="20000"/>
                <a:lumOff val="80000"/>
              </a:schemeClr>
            </a:solidFill>
          </c:spPr>
          <c:invertIfNegative val="0"/>
          <c:dLbls>
            <c:dLbl>
              <c:idx val="0"/>
              <c:layout>
                <c:manualLayout>
                  <c:x val="0.0289086966995905"/>
                  <c:y val="0.0020120724346076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11924837388581"/>
                  <c:y val="-0.006036217303822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[2021年决算公开图表.xls]Sheet1!$B$75:$C$75</c:f>
              <c:strCache>
                <c:ptCount val="2"/>
                <c:pt idx="0">
                  <c:v>2020年</c:v>
                </c:pt>
                <c:pt idx="1">
                  <c:v>2021年</c:v>
                </c:pt>
              </c:strCache>
            </c:strRef>
          </c:cat>
          <c:val>
            <c:numRef>
              <c:f>[2021年决算公开图表.xls]Sheet1!$B$77:$C$77</c:f>
              <c:numCache>
                <c:formatCode>General</c:formatCode>
                <c:ptCount val="2"/>
                <c:pt idx="0">
                  <c:v>850.18</c:v>
                </c:pt>
                <c:pt idx="1">
                  <c:v>1164.78</c:v>
                </c:pt>
              </c:numCache>
            </c:numRef>
          </c:val>
        </c:ser>
        <c:dLbls>
          <c:showLegendKey val="0"/>
          <c:showVal val="0"/>
          <c:showCatName val="0"/>
          <c:showSerName val="0"/>
          <c:showPercent val="0"/>
          <c:showBubbleSize val="0"/>
        </c:dLbls>
        <c:gapWidth val="150"/>
        <c:overlap val="0"/>
        <c:axId val="507222237"/>
        <c:axId val="45531568"/>
      </c:barChart>
      <c:catAx>
        <c:axId val="507222237"/>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5531568"/>
        <c:crosses val="autoZero"/>
        <c:auto val="1"/>
        <c:lblAlgn val="ctr"/>
        <c:lblOffset val="100"/>
        <c:tickLblSkip val="1"/>
        <c:noMultiLvlLbl val="0"/>
      </c:catAx>
      <c:valAx>
        <c:axId val="45531568"/>
        <c:scaling>
          <c:orientation val="minMax"/>
        </c:scaling>
        <c:delete val="0"/>
        <c:axPos val="l"/>
        <c:majorGridlines>
          <c:spPr>
            <a:ln w="3175" cap="flat" cmpd="sng" algn="ctr">
              <a:solidFill>
                <a:srgbClr val="000000">
                  <a:alpha val="100000"/>
                </a:srgbClr>
              </a:solidFill>
              <a:prstDash val="solid"/>
              <a:round/>
            </a:ln>
          </c:spPr>
        </c:majorGridlines>
        <c:title>
          <c:layout/>
          <c:overlay val="0"/>
          <c:tx>
            <c:rich>
              <a:bodyPr/>
              <a:lstStyle/>
              <a:p>
                <a:pPr>
                  <a:defRPr/>
                </a:pPr>
              </a:p>
            </c:rich>
          </c:tx>
        </c:title>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07222237"/>
        <c:crosses val="autoZero"/>
        <c:crossBetween val="between"/>
      </c:valAx>
      <c:spPr>
        <a:solidFill>
          <a:srgbClr val="C0C0C0">
            <a:alpha val="100000"/>
          </a:srgbClr>
        </a:solidFill>
        <a:ln w="12700">
          <a:solidFill>
            <a:srgbClr val="808080">
              <a:alpha val="100000"/>
            </a:srgbClr>
          </a:solidFill>
          <a:prstDash val="solid"/>
        </a:ln>
      </c:spPr>
    </c:plotArea>
    <c:legend>
      <c:legendPos val="r"/>
      <c:layout>
        <c:manualLayout>
          <c:xMode val="edge"/>
          <c:yMode val="edge"/>
          <c:x val="0.785840188014101"/>
          <c:y val="0.50007441583569"/>
          <c:w val="0.11701919310615"/>
          <c:h val="0.232028575680905"/>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0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82bc7481-ec7a-4f7e-b65d-01e1f455acd6}"/>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1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375"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375" b="0" i="0" u="none" strike="noStrike" baseline="0">
                <a:solidFill>
                  <a:srgbClr val="000000"/>
                </a:solidFill>
                <a:latin typeface="宋体" panose="02010600030101010101" charset="-122"/>
                <a:ea typeface="宋体" panose="02010600030101010101" charset="-122"/>
                <a:cs typeface="宋体" panose="02010600030101010101" charset="-122"/>
              </a:rPr>
              <a:t>5</a:t>
            </a:r>
            <a:r>
              <a:rPr sz="1375" b="0" i="0" u="none" strike="noStrike" baseline="0">
                <a:solidFill>
                  <a:srgbClr val="000000"/>
                </a:solidFill>
                <a:latin typeface="宋体" panose="02010600030101010101" charset="-122"/>
                <a:ea typeface="宋体" panose="02010600030101010101" charset="-122"/>
                <a:cs typeface="宋体" panose="02010600030101010101" charset="-122"/>
              </a:rPr>
              <a:t>一般公共预算财政拨款支出决算变动情况        </a:t>
            </a:r>
            <a:r>
              <a:rPr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505016635964842"/>
          <c:y val="0.0137464822808721"/>
        </c:manualLayout>
      </c:layout>
      <c:overlay val="0"/>
      <c:spPr>
        <a:noFill/>
        <a:ln w="3175">
          <a:noFill/>
        </a:ln>
      </c:spPr>
    </c:title>
    <c:autoTitleDeleted val="0"/>
    <c:plotArea>
      <c:layout>
        <c:manualLayout>
          <c:layoutTarget val="inner"/>
          <c:xMode val="edge"/>
          <c:yMode val="edge"/>
          <c:x val="0.106022645145748"/>
          <c:y val="0.200994083619596"/>
          <c:w val="0.572941752440296"/>
          <c:h val="0.682282585698648"/>
        </c:manualLayout>
      </c:layout>
      <c:barChart>
        <c:barDir val="col"/>
        <c:grouping val="clustered"/>
        <c:varyColors val="0"/>
        <c:ser>
          <c:idx val="0"/>
          <c:order val="0"/>
          <c:tx>
            <c:strRef>
              <c:f>[2021年决算公开图表.xls]Sheet1!#REF!</c:f>
              <c:strCache>
                <c:ptCount val="1"/>
                <c:pt idx="0">
                  <c:v/>
                </c:pt>
              </c:strCache>
            </c:strRef>
          </c:tx>
          <c:spPr>
            <a:solidFill>
              <a:srgbClr val="9999FF">
                <a:alpha val="100000"/>
              </a:srgbClr>
            </a:solidFill>
            <a:ln w="12700">
              <a:solidFill>
                <a:srgbClr val="000000">
                  <a:alpha val="100000"/>
                </a:srgbClr>
              </a:solidFill>
              <a:prstDash val="solid"/>
            </a:ln>
          </c:spPr>
          <c:invertIfNegative val="0"/>
          <c:dLbls>
            <c:dLbl>
              <c:idx val="0"/>
              <c:layout/>
              <c:numFmt formatCode="General" sourceLinked="1"/>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[2021年决算公开图表.xls]Sheet1!$B$101:$C$101</c:f>
              <c:strCache>
                <c:ptCount val="2"/>
                <c:pt idx="0">
                  <c:v>2020年</c:v>
                </c:pt>
                <c:pt idx="1">
                  <c:v>2021年</c:v>
                </c:pt>
              </c:strCache>
            </c:strRef>
          </c:cat>
          <c:val>
            <c:numRef>
              <c:f>[2021年决算公开图表.xls]Sheet1!$B$102:$C$102</c:f>
              <c:numCache>
                <c:formatCode>General</c:formatCode>
                <c:ptCount val="2"/>
                <c:pt idx="0">
                  <c:v>850.18</c:v>
                </c:pt>
                <c:pt idx="1">
                  <c:v>1164.78</c:v>
                </c:pt>
              </c:numCache>
            </c:numRef>
          </c:val>
        </c:ser>
        <c:dLbls>
          <c:showLegendKey val="0"/>
          <c:showVal val="0"/>
          <c:showCatName val="0"/>
          <c:showSerName val="0"/>
          <c:showPercent val="0"/>
          <c:showBubbleSize val="0"/>
        </c:dLbls>
        <c:gapWidth val="150"/>
        <c:overlap val="0"/>
        <c:axId val="671090006"/>
        <c:axId val="13863510"/>
      </c:barChart>
      <c:catAx>
        <c:axId val="671090006"/>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3863510"/>
        <c:crosses val="autoZero"/>
        <c:auto val="1"/>
        <c:lblAlgn val="ctr"/>
        <c:lblOffset val="100"/>
        <c:tickLblSkip val="1"/>
        <c:noMultiLvlLbl val="0"/>
      </c:catAx>
      <c:valAx>
        <c:axId val="13863510"/>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71090006"/>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d9f16783-8f1e-4cb1-ac82-a859e3881d06}"/>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1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400"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cs typeface="宋体" panose="02010600030101010101" charset="-122"/>
              </a:rPr>
              <a:t>6</a:t>
            </a:r>
            <a:r>
              <a:rPr sz="1400" b="0" i="0" u="none" strike="noStrike" baseline="0">
                <a:solidFill>
                  <a:srgbClr val="000000"/>
                </a:solidFill>
                <a:latin typeface="宋体" panose="02010600030101010101" charset="-122"/>
                <a:ea typeface="宋体" panose="02010600030101010101" charset="-122"/>
                <a:cs typeface="宋体" panose="02010600030101010101" charset="-122"/>
              </a:rPr>
              <a:t> 一般公共预算财政拨款支出决算结构</a:t>
            </a:r>
            <a:endParaRPr sz="1400" b="0" i="0" u="none" strike="noStrike" baseline="0">
              <a:solidFill>
                <a:srgbClr val="000000"/>
              </a:solidFill>
              <a:latin typeface="宋体" panose="02010600030101010101" charset="-122"/>
              <a:ea typeface="宋体" panose="02010600030101010101" charset="-122"/>
              <a:cs typeface="宋体" panose="02010600030101010101" charset="-122"/>
            </a:endParaRPr>
          </a:p>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105319290761232"/>
          <c:y val="0.0180643359402644"/>
        </c:manualLayout>
      </c:layout>
      <c:overlay val="0"/>
      <c:spPr>
        <a:noFill/>
        <a:ln w="3175">
          <a:noFill/>
        </a:ln>
      </c:spPr>
    </c:title>
    <c:autoTitleDeleted val="0"/>
    <c:plotArea>
      <c:layout>
        <c:manualLayout>
          <c:layoutTarget val="inner"/>
          <c:xMode val="edge"/>
          <c:yMode val="edge"/>
          <c:x val="0.252293789891618"/>
          <c:y val="0.385779407517173"/>
          <c:w val="0.245413050167301"/>
          <c:h val="0.323752130230098"/>
        </c:manualLayout>
      </c:layout>
      <c:pieChart>
        <c:varyColors val="1"/>
        <c:ser>
          <c:idx val="0"/>
          <c:order val="0"/>
          <c:tx>
            <c:strRef>
              <c:f>"一般公共服务（类）支出"</c:f>
              <c:strCache>
                <c:ptCount val="1"/>
                <c:pt idx="0">
                  <c:v>一般公共服务（类）支出</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Lbls>
            <c:dLbl>
              <c:idx val="0"/>
              <c:layout>
                <c:manualLayout>
                  <c:x val="0.0100335192334067"/>
                  <c:y val="0.0558102628950457"/>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dLbl>
              <c:idx val="1"/>
              <c:layout>
                <c:manualLayout>
                  <c:x val="-0.136670125198593"/>
                  <c:y val="-0.0517404594242946"/>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dLbl>
              <c:idx val="2"/>
              <c:layout>
                <c:manualLayout>
                  <c:x val="0.0519233971158837"/>
                  <c:y val="-0.0578725778978221"/>
                </c:manualLayout>
              </c:layout>
              <c:tx>
                <c:rich>
                  <a:bodyPr rot="0" spcFirstLastPara="0" vertOverflow="ellipsis" vert="horz" wrap="square" lIns="38100" tIns="19050" rIns="38100" bIns="19050" anchor="ctr" anchorCtr="1"/>
                  <a:lstStyle/>
                  <a:p>
                    <a:pPr defTabSz="914400">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卫生健康支出, 36.86, 3.1</a:t>
                    </a:r>
                    <a:r>
                      <a:rPr lang="en-US" altLang="zh-CN"/>
                      <a:t>7</a:t>
                    </a:r>
                    <a:r>
                      <a:t>%</a:t>
                    </a:r>
                  </a:p>
                </c:rich>
              </c:tx>
              <c:numFmt formatCode="0.00%" sourceLinked="0"/>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dLbl>
              <c:idx val="3"/>
              <c:layout>
                <c:manualLayout>
                  <c:x val="0.22284387699621"/>
                  <c:y val="0.00573489215549927"/>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[政府办2021年决算公开图表.xls]Sheet1!$A$127:$A$130</c:f>
              <c:strCache>
                <c:ptCount val="4"/>
                <c:pt idx="0">
                  <c:v>一般公共服务（类）支出</c:v>
                </c:pt>
                <c:pt idx="1">
                  <c:v>社会保障和就业（类）支出</c:v>
                </c:pt>
                <c:pt idx="2">
                  <c:v>卫生健康支出</c:v>
                </c:pt>
                <c:pt idx="3">
                  <c:v>住房保障支出</c:v>
                </c:pt>
              </c:strCache>
            </c:strRef>
          </c:cat>
          <c:val>
            <c:numRef>
              <c:f>[政府办2021年决算公开图表.xls]Sheet1!$B$127:$B$130</c:f>
              <c:numCache>
                <c:formatCode>General</c:formatCode>
                <c:ptCount val="4"/>
                <c:pt idx="0">
                  <c:v>949.97</c:v>
                </c:pt>
                <c:pt idx="1">
                  <c:v>120.6</c:v>
                </c:pt>
                <c:pt idx="2">
                  <c:v>36.86</c:v>
                </c:pt>
                <c:pt idx="3">
                  <c:v>57.35</c:v>
                </c:pt>
              </c:numCache>
            </c:numRef>
          </c:val>
        </c:ser>
        <c:ser>
          <c:idx val="1"/>
          <c:order val="1"/>
          <c:tx>
            <c:strRef>
              <c:f>"社会保障和就业（类）支出"</c:f>
              <c:strCache>
                <c:ptCount val="1"/>
                <c:pt idx="0">
                  <c:v>社会保障和就业（类）支出</c:v>
                </c:pt>
              </c:strCache>
            </c:strRef>
          </c:tx>
          <c:spPr>
            <a:solidFill>
              <a:srgbClr val="993366">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Lbls>
            <c:delete val="1"/>
          </c:dLbls>
          <c:cat>
            <c:strRef>
              <c:f>[政府办2021年决算公开图表.xls]Sheet1!$A$127:$A$130</c:f>
              <c:strCache>
                <c:ptCount val="4"/>
                <c:pt idx="0">
                  <c:v>一般公共服务（类）支出</c:v>
                </c:pt>
                <c:pt idx="1">
                  <c:v>社会保障和就业（类）支出</c:v>
                </c:pt>
                <c:pt idx="2">
                  <c:v>卫生健康支出</c:v>
                </c:pt>
                <c:pt idx="3">
                  <c:v>住房保障支出</c:v>
                </c:pt>
              </c:strCache>
            </c:strRef>
          </c:cat>
          <c:val>
            <c:numRef>
              <c:f>[政府办2021年决算公开图表.xls]Sheet1!$C$127:$C$130</c:f>
              <c:numCache>
                <c:formatCode>0.00%</c:formatCode>
                <c:ptCount val="4"/>
                <c:pt idx="0">
                  <c:v>0.8156</c:v>
                </c:pt>
                <c:pt idx="1">
                  <c:v>0.1035</c:v>
                </c:pt>
                <c:pt idx="2">
                  <c:v>0.0317</c:v>
                </c:pt>
                <c:pt idx="3">
                  <c:v>0.0492</c:v>
                </c:pt>
              </c:numCache>
            </c:numRef>
          </c:val>
        </c:ser>
        <c:ser>
          <c:idx val="2"/>
          <c:order val="2"/>
          <c:tx>
            <c:strRef>
              <c:f>"卫生健康支出"</c:f>
              <c:strCache>
                <c:ptCount val="1"/>
                <c:pt idx="0">
                  <c:v>卫生健康支出</c:v>
                </c:pt>
              </c:strCache>
            </c:strRef>
          </c:tx>
          <c:explosion val="0"/>
          <c:dPt>
            <c:idx val="0"/>
            <c:bubble3D val="0"/>
            <c:explosion val="0"/>
          </c:dPt>
          <c:dLbls>
            <c:delete val="1"/>
          </c:dLbls>
          <c:cat>
            <c:strRef>
              <c:f>[政府办2021年决算公开图表.xls]Sheet1!$A$127:$A$130</c:f>
              <c:strCache>
                <c:ptCount val="4"/>
                <c:pt idx="0">
                  <c:v>一般公共服务（类）支出</c:v>
                </c:pt>
                <c:pt idx="1">
                  <c:v>社会保障和就业（类）支出</c:v>
                </c:pt>
                <c:pt idx="2">
                  <c:v>卫生健康支出</c:v>
                </c:pt>
                <c:pt idx="3">
                  <c:v>住房保障支出</c:v>
                </c:pt>
              </c:strCache>
            </c:strRef>
          </c:cat>
          <c:val>
            <c:numRef>
              <c:f>{1}</c:f>
              <c:numCache>
                <c:formatCode>General</c:formatCode>
                <c:ptCount val="1"/>
                <c:pt idx="0">
                  <c:v>1</c:v>
                </c:pt>
              </c:numCache>
            </c:numRef>
          </c:val>
        </c:ser>
        <c:ser>
          <c:idx val="3"/>
          <c:order val="3"/>
          <c:tx>
            <c:strRef>
              <c:f>"住房保障支出"</c:f>
              <c:strCache>
                <c:ptCount val="1"/>
                <c:pt idx="0">
                  <c:v>住房保障支出</c:v>
                </c:pt>
              </c:strCache>
            </c:strRef>
          </c:tx>
          <c:explosion val="0"/>
          <c:dPt>
            <c:idx val="0"/>
            <c:bubble3D val="0"/>
            <c:explosion val="0"/>
          </c:dPt>
          <c:dLbls>
            <c:delete val="1"/>
          </c:dLbls>
          <c:cat>
            <c:strRef>
              <c:f>[政府办2021年决算公开图表.xls]Sheet1!$A$127:$A$130</c:f>
              <c:strCache>
                <c:ptCount val="4"/>
                <c:pt idx="0">
                  <c:v>一般公共服务（类）支出</c:v>
                </c:pt>
                <c:pt idx="1">
                  <c:v>社会保障和就业（类）支出</c:v>
                </c:pt>
                <c:pt idx="2">
                  <c:v>卫生健康支出</c:v>
                </c:pt>
                <c:pt idx="3">
                  <c:v>住房保障支出</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17517664311425"/>
          <c:y val="0.433448486080065"/>
          <c:w val="0.37825"/>
          <c:h val="0.5505"/>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dbb044a2-abeb-45af-938d-b0728af01967}"/>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375"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375" b="0" i="0" u="none" strike="noStrike" baseline="0">
                <a:solidFill>
                  <a:srgbClr val="000000"/>
                </a:solidFill>
                <a:latin typeface="宋体" panose="02010600030101010101" charset="-122"/>
                <a:ea typeface="宋体" panose="02010600030101010101" charset="-122"/>
                <a:cs typeface="宋体" panose="02010600030101010101" charset="-122"/>
              </a:rPr>
              <a:t>7</a:t>
            </a:r>
            <a:r>
              <a:rPr sz="1375" b="0" i="0" u="none" strike="noStrike" baseline="0">
                <a:solidFill>
                  <a:srgbClr val="000000"/>
                </a:solidFill>
                <a:latin typeface="宋体" panose="02010600030101010101" charset="-122"/>
                <a:ea typeface="宋体" panose="02010600030101010101" charset="-122"/>
                <a:cs typeface="宋体" panose="02010600030101010101" charset="-122"/>
              </a:rPr>
              <a:t> “三公”经费财政拨款支出结构 </a:t>
            </a:r>
            <a:r>
              <a:rPr sz="1200" b="0" i="0" u="none" strike="noStrike" baseline="0">
                <a:solidFill>
                  <a:srgbClr val="000000"/>
                </a:solidFill>
                <a:latin typeface="宋体" panose="02010600030101010101" charset="-122"/>
                <a:ea typeface="宋体" panose="02010600030101010101" charset="-122"/>
                <a:cs typeface="宋体" panose="02010600030101010101" charset="-122"/>
              </a:rPr>
              <a:t>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214279044114539"/>
          <c:y val="0.0215627308069232"/>
        </c:manualLayout>
      </c:layout>
      <c:overlay val="0"/>
      <c:spPr>
        <a:noFill/>
        <a:ln w="3175">
          <a:noFill/>
        </a:ln>
      </c:spPr>
    </c:title>
    <c:autoTitleDeleted val="0"/>
    <c:plotArea>
      <c:layout>
        <c:manualLayout>
          <c:layoutTarget val="inner"/>
          <c:xMode val="edge"/>
          <c:yMode val="edge"/>
          <c:x val="0.237028404248106"/>
          <c:y val="0.388663967611336"/>
          <c:w val="0.196934047310616"/>
          <c:h val="0.338056680161943"/>
        </c:manualLayout>
      </c:layout>
      <c:pieChart>
        <c:varyColors val="1"/>
        <c:ser>
          <c:idx val="0"/>
          <c:order val="0"/>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Lbls>
            <c:dLbl>
              <c:idx val="0"/>
              <c:layout>
                <c:manualLayout>
                  <c:x val="-0.160377358490566"/>
                  <c:y val="0.012847965738758"/>
                </c:manualLayout>
              </c:layout>
              <c:numFmt formatCode="0%" sourceLinked="0"/>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dLbl>
              <c:idx val="1"/>
              <c:layout>
                <c:manualLayout>
                  <c:x val="0.195754716981132"/>
                  <c:y val="-0.0428265524625268"/>
                </c:manualLayout>
              </c:layout>
              <c:numFmt formatCode="0%" sourceLinked="0"/>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dLbl>
              <c:idx val="2"/>
              <c:layout>
                <c:manualLayout>
                  <c:x val="0.176787670851285"/>
                  <c:y val="0.0552447975468445"/>
                </c:manualLayout>
              </c:layout>
              <c:numFmt formatCode="0%" sourceLinked="0"/>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extLst>
                <c:ext xmlns:c15="http://schemas.microsoft.com/office/drawing/2012/chart" uri="{CE6537A1-D6FC-4f65-9D91-7224C49458BB}">
                  <c15:layout/>
                </c:ext>
              </c:extLst>
            </c:dLbl>
            <c:numFmt formatCode="0%" sourceLinked="0"/>
            <c:spPr>
              <a:noFill/>
              <a:ln w="3175">
                <a:noFill/>
              </a:ln>
              <a:effectLst/>
            </c:spPr>
            <c:txPr>
              <a:bodyPr rot="0" spcFirstLastPara="0" vertOverflow="ellipsis" vert="horz" wrap="square" lIns="38100" tIns="19050" rIns="38100" bIns="19050" anchor="ctr" anchorCtr="1"/>
              <a:lstStyle/>
              <a:p>
                <a:pPr>
                  <a:defRPr lang="zh-CN" sz="117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1"/>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[政府办2021年决算公开图表.xls]Sheet1!$B$155:$B$157</c:f>
              <c:strCache>
                <c:ptCount val="3"/>
                <c:pt idx="0">
                  <c:v>因公出国（境）费支出</c:v>
                </c:pt>
                <c:pt idx="1">
                  <c:v>公务用车购置及运行维护费支出</c:v>
                </c:pt>
                <c:pt idx="2">
                  <c:v>公务接待费支出</c:v>
                </c:pt>
              </c:strCache>
            </c:strRef>
          </c:cat>
          <c:val>
            <c:numRef>
              <c:f>[政府办2021年决算公开图表.xls]Sheet1!$C$155:$C$157</c:f>
              <c:numCache>
                <c:formatCode>General</c:formatCode>
                <c:ptCount val="3"/>
                <c:pt idx="0">
                  <c:v>0</c:v>
                </c:pt>
                <c:pt idx="1">
                  <c:v>0</c:v>
                </c:pt>
                <c:pt idx="2">
                  <c:v>0.07</c:v>
                </c:pt>
              </c:numCache>
            </c:numRef>
          </c:val>
        </c:ser>
        <c:ser>
          <c:idx val="1"/>
          <c:order val="1"/>
          <c:spPr>
            <a:solidFill>
              <a:srgbClr val="993366">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12700">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Lbls>
            <c:delete val="1"/>
          </c:dLbls>
          <c:cat>
            <c:strRef>
              <c:f>[政府办2021年决算公开图表.xls]Sheet1!$B$155:$B$157</c:f>
              <c:strCache>
                <c:ptCount val="3"/>
                <c:pt idx="0">
                  <c:v>因公出国（境）费支出</c:v>
                </c:pt>
                <c:pt idx="1">
                  <c:v>公务用车购置及运行维护费支出</c:v>
                </c:pt>
                <c:pt idx="2">
                  <c:v>公务接待费支出</c:v>
                </c:pt>
              </c:strCache>
            </c:strRef>
          </c:cat>
          <c:val>
            <c:numRef>
              <c:f>[政府办2021年决算公开图表.xls]Sheet1!$D$155:$D$157</c:f>
              <c:numCache>
                <c:formatCode>General</c:formatCode>
                <c:ptCount val="3"/>
                <c:pt idx="0">
                  <c:v>0</c:v>
                </c:pt>
                <c:pt idx="1" c:formatCode="0%">
                  <c:v>0</c:v>
                </c:pt>
                <c:pt idx="2" c:formatCode="0%">
                  <c:v>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67453139701877"/>
          <c:y val="0.396761031209429"/>
          <c:w val="0.32575"/>
          <c:h val="0.3305"/>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08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87bf8476-1d81-43d7-a646-e3f4664a672f}"/>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1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40</Pages>
  <Words>359</Words>
  <Characters>388</Characters>
  <Lines>57</Lines>
  <Paragraphs>16</Paragraphs>
  <TotalTime>8</TotalTime>
  <ScaleCrop>false</ScaleCrop>
  <LinksUpToDate>false</LinksUpToDate>
  <CharactersWithSpaces>488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2022-10-07T01:09:00Z</dcterms:created>
  <dc:creator>曹颖</dc:creator>
  <cp:lastModifiedBy>Owner</cp:lastModifiedBy>
  <cp:lastPrinted>2022-10-19T07:22:00Z</cp:lastPrinted>
  <dcterms:modified xsi:type="dcterms:W3CDTF">2026-07-27T10:15:02Z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651B89768D89436A8E2AFC84B85A9610</vt:lpwstr>
  </property>
  <property fmtid="{D5CDD505-2E9C-101B-9397-08002B2CF9AE}" pid="4" name="KSOTemplateDocerSaveRecord">
    <vt:lpwstr>eyJoZGlkIjoiZDg0NDNiYTUxOWU4N2FhYTE5YTc3OTM5YzA0NWVjYWEiLCJ1c2VySWQiOiIxMzY3NTIyMzE2In0=</vt:lpwstr>
  </property>
</Properties>
</file>