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sz w:val="72"/>
          <w:szCs w:val="72"/>
        </w:rPr>
      </w:pPr>
      <w:bookmarkStart w:id="0" w:name="_Toc15396475"/>
      <w:bookmarkStart w:id="1" w:name="_Toc15378441"/>
      <w:bookmarkStart w:id="2" w:name="_Toc15377193"/>
      <w:bookmarkStart w:id="3" w:name="_Toc15396597"/>
      <w:bookmarkStart w:id="4" w:name="_Toc15377425"/>
      <w:bookmarkStart w:id="5" w:name="_Toc15306267"/>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bookmarkEnd w:id="0"/>
    <w:bookmarkEnd w:id="1"/>
    <w:bookmarkEnd w:id="2"/>
    <w:bookmarkEnd w:id="3"/>
    <w:bookmarkEnd w:id="4"/>
    <w:p>
      <w:pPr>
        <w:adjustRightInd w:val="0"/>
        <w:snapToGrid w:val="0"/>
        <w:spacing w:line="360" w:lineRule="auto"/>
        <w:jc w:val="center"/>
        <w:outlineLvl w:val="0"/>
        <w:rPr>
          <w:rFonts w:ascii="黑体" w:hAnsi="黑体" w:eastAsia="黑体" w:cs="方正小标宋简体"/>
          <w:sz w:val="72"/>
          <w:szCs w:val="72"/>
        </w:rPr>
      </w:pPr>
      <w:r>
        <w:rPr>
          <w:rFonts w:hint="eastAsia" w:ascii="黑体" w:hAnsi="黑体" w:eastAsia="黑体" w:cs="方正小标宋简体"/>
          <w:sz w:val="72"/>
          <w:szCs w:val="72"/>
        </w:rPr>
        <w:t>2022年度</w:t>
      </w:r>
    </w:p>
    <w:bookmarkEnd w:id="5"/>
    <w:p>
      <w:pPr>
        <w:adjustRightInd w:val="0"/>
        <w:snapToGrid w:val="0"/>
        <w:spacing w:line="360" w:lineRule="auto"/>
        <w:ind w:left="-420" w:leftChars="-200" w:right="-420" w:rightChars="-200"/>
        <w:jc w:val="center"/>
        <w:outlineLvl w:val="0"/>
        <w:rPr>
          <w:rFonts w:ascii="黑体" w:hAnsi="黑体" w:eastAsia="黑体" w:cs="方正小标宋简体"/>
          <w:sz w:val="72"/>
          <w:szCs w:val="72"/>
        </w:rPr>
      </w:pPr>
      <w:bookmarkStart w:id="6" w:name="_Toc15396476"/>
      <w:bookmarkStart w:id="7" w:name="_Toc15396598"/>
      <w:bookmarkStart w:id="8" w:name="_Toc15377426"/>
      <w:bookmarkStart w:id="9" w:name="_Toc15377194"/>
      <w:bookmarkStart w:id="10" w:name="_Toc15306268"/>
      <w:bookmarkStart w:id="11" w:name="_Toc15378442"/>
      <w:r>
        <w:rPr>
          <w:rFonts w:hint="eastAsia" w:ascii="黑体" w:hAnsi="黑体" w:eastAsia="黑体" w:cs="方正小标宋简体"/>
          <w:sz w:val="72"/>
          <w:szCs w:val="72"/>
        </w:rPr>
        <w:t>中国共产党盐边县委宣传部</w:t>
      </w:r>
    </w:p>
    <w:p>
      <w:pPr>
        <w:adjustRightInd w:val="0"/>
        <w:snapToGrid w:val="0"/>
        <w:spacing w:line="360" w:lineRule="auto"/>
        <w:jc w:val="center"/>
        <w:outlineLvl w:val="0"/>
        <w:rPr>
          <w:rFonts w:ascii="黑体" w:hAnsi="黑体" w:eastAsia="黑体" w:cs="方正小标宋简体"/>
          <w:sz w:val="72"/>
          <w:szCs w:val="72"/>
        </w:rPr>
      </w:pPr>
      <w:r>
        <w:rPr>
          <w:rFonts w:hint="eastAsia" w:ascii="黑体" w:hAnsi="黑体" w:eastAsia="黑体" w:cs="方正小标宋简体"/>
          <w:sz w:val="72"/>
          <w:szCs w:val="72"/>
        </w:rPr>
        <w:t>部门决算</w:t>
      </w:r>
      <w:bookmarkEnd w:id="6"/>
      <w:bookmarkEnd w:id="7"/>
      <w:bookmarkEnd w:id="8"/>
      <w:bookmarkEnd w:id="9"/>
      <w:bookmarkEnd w:id="10"/>
      <w:bookmarkEnd w:id="11"/>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jc w:val="center"/>
      </w:pPr>
      <w:r>
        <w:rPr>
          <w:rFonts w:hint="eastAsia"/>
        </w:rPr>
        <w:t>公开时间：2023年10月26日</w:t>
      </w:r>
    </w:p>
    <w:p/>
    <w:p>
      <w:pPr>
        <w:adjustRightInd w:val="0"/>
        <w:snapToGrid w:val="0"/>
        <w:spacing w:line="440" w:lineRule="exact"/>
        <w:jc w:val="left"/>
        <w:rPr>
          <w:rFonts w:cstheme="minorBidi"/>
          <w:sz w:val="24"/>
        </w:rPr>
      </w:pPr>
      <w:r>
        <w:rPr>
          <w:rFonts w:hint="eastAsia"/>
          <w:sz w:val="24"/>
        </w:rPr>
        <w:t>第一部分</w:t>
      </w:r>
      <w:r>
        <w:rPr>
          <w:rFonts w:hint="eastAsia"/>
          <w:sz w:val="24"/>
          <w:lang w:val="en-US" w:eastAsia="zh-CN"/>
        </w:rPr>
        <w:t xml:space="preserve"> </w:t>
      </w:r>
      <w:r>
        <w:rPr>
          <w:rFonts w:hint="eastAsia"/>
          <w:sz w:val="24"/>
        </w:rPr>
        <w:t>部门概况</w:t>
      </w:r>
      <w:r>
        <w:t>…………………………………………………………………………</w:t>
      </w:r>
      <w:r>
        <w:rPr>
          <w:rFonts w:hint="eastAsia"/>
        </w:rPr>
        <w:t>...</w:t>
      </w:r>
      <w:r>
        <w:rPr>
          <w:rFonts w:hint="eastAsia"/>
          <w:sz w:val="24"/>
        </w:rPr>
        <w:t>4</w:t>
      </w:r>
    </w:p>
    <w:p>
      <w:pPr>
        <w:adjustRightInd w:val="0"/>
        <w:snapToGrid w:val="0"/>
        <w:spacing w:line="440" w:lineRule="exact"/>
        <w:jc w:val="left"/>
        <w:rPr>
          <w:sz w:val="24"/>
        </w:rPr>
      </w:pPr>
      <w:r>
        <w:rPr>
          <w:rFonts w:hint="eastAsia"/>
          <w:sz w:val="24"/>
        </w:rPr>
        <w:t>一、部门职责</w:t>
      </w:r>
      <w:r>
        <w:rPr>
          <w:sz w:val="24"/>
        </w:rPr>
        <w:t>………………………………………………………………………</w:t>
      </w:r>
      <w:r>
        <w:rPr>
          <w:rFonts w:hint="eastAsia"/>
          <w:sz w:val="24"/>
        </w:rPr>
        <w:t>4</w:t>
      </w:r>
    </w:p>
    <w:p>
      <w:pPr>
        <w:adjustRightInd w:val="0"/>
        <w:snapToGrid w:val="0"/>
        <w:spacing w:line="440" w:lineRule="exact"/>
        <w:jc w:val="left"/>
        <w:rPr>
          <w:rFonts w:ascii="仿宋" w:hAnsi="仿宋" w:eastAsia="仿宋" w:cstheme="minorBidi"/>
          <w:sz w:val="24"/>
        </w:rPr>
      </w:pPr>
      <w:r>
        <w:rPr>
          <w:rFonts w:hint="eastAsia"/>
          <w:sz w:val="24"/>
        </w:rPr>
        <w:t>二、机构设置</w:t>
      </w:r>
      <w:r>
        <w:rPr>
          <w:sz w:val="24"/>
        </w:rPr>
        <w:t>………………………………………………………………………</w:t>
      </w:r>
      <w:r>
        <w:rPr>
          <w:rFonts w:hint="eastAsia"/>
          <w:sz w:val="24"/>
        </w:rPr>
        <w:t>4</w:t>
      </w:r>
    </w:p>
    <w:p>
      <w:pPr>
        <w:adjustRightInd w:val="0"/>
        <w:snapToGrid w:val="0"/>
        <w:spacing w:line="440" w:lineRule="exact"/>
        <w:jc w:val="left"/>
        <w:rPr>
          <w:sz w:val="24"/>
        </w:rPr>
      </w:pPr>
      <w:r>
        <w:rPr>
          <w:rFonts w:hint="eastAsia"/>
          <w:sz w:val="24"/>
        </w:rPr>
        <w:t>第二部分 2022年度部门决算情况说明</w:t>
      </w:r>
      <w:r>
        <w:rPr>
          <w:sz w:val="24"/>
        </w:rPr>
        <w:t>…………………………………………</w:t>
      </w:r>
      <w:r>
        <w:rPr>
          <w:rFonts w:hint="eastAsia"/>
          <w:sz w:val="24"/>
          <w:lang w:eastAsia="zh-CN"/>
        </w:rPr>
        <w:t>.</w:t>
      </w:r>
      <w:r>
        <w:rPr>
          <w:rFonts w:hint="eastAsia"/>
          <w:sz w:val="24"/>
        </w:rPr>
        <w:t>4</w:t>
      </w:r>
    </w:p>
    <w:p>
      <w:pPr>
        <w:adjustRightInd w:val="0"/>
        <w:snapToGrid w:val="0"/>
        <w:spacing w:line="440" w:lineRule="exact"/>
        <w:jc w:val="left"/>
        <w:rPr>
          <w:rFonts w:ascii="仿宋" w:hAnsi="仿宋" w:eastAsia="仿宋" w:cstheme="minorBidi"/>
          <w:sz w:val="24"/>
        </w:rPr>
      </w:pPr>
      <w:r>
        <w:rPr>
          <w:rFonts w:hint="eastAsia"/>
          <w:sz w:val="24"/>
        </w:rPr>
        <w:t>一、收入支出决算总体情况说明</w:t>
      </w:r>
      <w:r>
        <w:rPr>
          <w:sz w:val="24"/>
        </w:rPr>
        <w:t>…………………………………………………</w:t>
      </w:r>
      <w:r>
        <w:rPr>
          <w:rFonts w:hint="eastAsia"/>
          <w:sz w:val="24"/>
        </w:rPr>
        <w:t>.5</w:t>
      </w:r>
    </w:p>
    <w:p>
      <w:pPr>
        <w:adjustRightInd w:val="0"/>
        <w:snapToGrid w:val="0"/>
        <w:spacing w:line="440" w:lineRule="exact"/>
        <w:jc w:val="left"/>
        <w:rPr>
          <w:rFonts w:ascii="仿宋" w:hAnsi="仿宋" w:eastAsia="仿宋" w:cstheme="minorBidi"/>
          <w:sz w:val="24"/>
        </w:rPr>
      </w:pPr>
      <w:r>
        <w:rPr>
          <w:rFonts w:hint="eastAsia"/>
          <w:sz w:val="24"/>
        </w:rPr>
        <w:t>二、收入决算情况说明</w:t>
      </w:r>
      <w:r>
        <w:rPr>
          <w:sz w:val="24"/>
        </w:rPr>
        <w:t>……………………………………………………………</w:t>
      </w:r>
      <w:r>
        <w:rPr>
          <w:rFonts w:hint="eastAsia"/>
          <w:sz w:val="24"/>
        </w:rPr>
        <w:t>.5</w:t>
      </w:r>
    </w:p>
    <w:p>
      <w:pPr>
        <w:adjustRightInd w:val="0"/>
        <w:snapToGrid w:val="0"/>
        <w:spacing w:line="440" w:lineRule="exact"/>
        <w:jc w:val="left"/>
        <w:rPr>
          <w:rFonts w:ascii="仿宋" w:hAnsi="仿宋" w:eastAsia="仿宋" w:cstheme="minorBidi"/>
          <w:sz w:val="24"/>
        </w:rPr>
      </w:pPr>
      <w:r>
        <w:rPr>
          <w:rFonts w:hint="eastAsia"/>
          <w:sz w:val="24"/>
        </w:rPr>
        <w:t>三、支出决算情况说明</w:t>
      </w:r>
      <w:r>
        <w:rPr>
          <w:sz w:val="24"/>
        </w:rPr>
        <w:t>……………………………………………………………</w:t>
      </w:r>
      <w:r>
        <w:rPr>
          <w:rFonts w:hint="eastAsia"/>
          <w:sz w:val="24"/>
        </w:rPr>
        <w:t>.6</w:t>
      </w:r>
    </w:p>
    <w:p>
      <w:pPr>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r>
        <w:rPr>
          <w:sz w:val="24"/>
        </w:rPr>
        <w:t>………………………………………</w:t>
      </w:r>
      <w:r>
        <w:rPr>
          <w:rFonts w:hint="eastAsia"/>
          <w:sz w:val="24"/>
        </w:rPr>
        <w:t>.6</w:t>
      </w:r>
    </w:p>
    <w:p>
      <w:pPr>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r>
        <w:rPr>
          <w:sz w:val="24"/>
        </w:rPr>
        <w:t>…………………………………</w:t>
      </w:r>
      <w:r>
        <w:rPr>
          <w:rFonts w:hint="eastAsia"/>
          <w:sz w:val="24"/>
        </w:rPr>
        <w:t>.7</w:t>
      </w:r>
    </w:p>
    <w:p>
      <w:pPr>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r>
        <w:rPr>
          <w:sz w:val="24"/>
        </w:rPr>
        <w:t>……………………………</w:t>
      </w:r>
      <w:r>
        <w:rPr>
          <w:rFonts w:hint="eastAsia"/>
          <w:sz w:val="24"/>
        </w:rPr>
        <w:t>10</w:t>
      </w:r>
    </w:p>
    <w:p>
      <w:pPr>
        <w:adjustRightInd w:val="0"/>
        <w:snapToGrid w:val="0"/>
        <w:spacing w:line="440" w:lineRule="exact"/>
        <w:jc w:val="left"/>
        <w:rPr>
          <w:rFonts w:ascii="仿宋" w:hAnsi="仿宋" w:eastAsia="仿宋" w:cstheme="minorBidi"/>
          <w:sz w:val="24"/>
        </w:rPr>
      </w:pPr>
      <w:r>
        <w:rPr>
          <w:rFonts w:hint="eastAsia"/>
          <w:sz w:val="24"/>
        </w:rPr>
        <w:t>七、财政拨款“三公”经费支出决算情况说明</w:t>
      </w:r>
      <w:r>
        <w:rPr>
          <w:sz w:val="24"/>
        </w:rPr>
        <w:t>…………………………………</w:t>
      </w:r>
      <w:r>
        <w:rPr>
          <w:rFonts w:hint="eastAsia"/>
          <w:sz w:val="24"/>
        </w:rPr>
        <w:t>11</w:t>
      </w:r>
    </w:p>
    <w:p>
      <w:pPr>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r>
        <w:rPr>
          <w:sz w:val="24"/>
        </w:rPr>
        <w:t>…………………………………………</w:t>
      </w:r>
      <w:r>
        <w:rPr>
          <w:rFonts w:hint="eastAsia"/>
          <w:sz w:val="24"/>
        </w:rPr>
        <w:t>13</w:t>
      </w:r>
    </w:p>
    <w:p>
      <w:pPr>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九、国有资本经营预算支出决算情况说明</w:t>
      </w:r>
      <w:r>
        <w:rPr>
          <w:rFonts w:asciiTheme="minorEastAsia" w:hAnsiTheme="minorEastAsia" w:eastAsiaTheme="minorEastAsia" w:cstheme="minorEastAsia"/>
          <w:sz w:val="24"/>
        </w:rPr>
        <w:t>………………………………………</w:t>
      </w:r>
      <w:r>
        <w:rPr>
          <w:rFonts w:hint="eastAsia" w:asciiTheme="minorEastAsia" w:hAnsiTheme="minorEastAsia" w:eastAsiaTheme="minorEastAsia" w:cstheme="minorEastAsia"/>
          <w:sz w:val="24"/>
        </w:rPr>
        <w:t>13</w:t>
      </w:r>
    </w:p>
    <w:p>
      <w:pPr>
        <w:adjustRightInd w:val="0"/>
        <w:snapToGrid w:val="0"/>
        <w:spacing w:line="440" w:lineRule="exact"/>
        <w:jc w:val="left"/>
        <w:rPr>
          <w:rFonts w:asciiTheme="minorEastAsia" w:hAnsiTheme="minorEastAsia" w:eastAsiaTheme="minorEastAsia" w:cstheme="minorEastAsia"/>
          <w:sz w:val="24"/>
        </w:rPr>
      </w:pPr>
      <w:r>
        <w:rPr>
          <w:rStyle w:val="28"/>
          <w:rFonts w:hint="eastAsia" w:asciiTheme="minorEastAsia" w:hAnsiTheme="minorEastAsia" w:eastAsiaTheme="minorEastAsia" w:cstheme="minorEastAsia"/>
        </w:rPr>
        <w:t>十、</w:t>
      </w:r>
      <w:r>
        <w:rPr>
          <w:rFonts w:hint="eastAsia" w:asciiTheme="minorEastAsia" w:hAnsiTheme="minorEastAsia" w:eastAsiaTheme="minorEastAsia" w:cstheme="minorEastAsia"/>
          <w:sz w:val="24"/>
        </w:rPr>
        <w:t>其他重要事项的情况说明</w:t>
      </w:r>
      <w:r>
        <w:rPr>
          <w:rFonts w:asciiTheme="minorEastAsia" w:hAnsiTheme="minorEastAsia" w:eastAsiaTheme="minorEastAsia" w:cstheme="minorEastAsia"/>
          <w:sz w:val="24"/>
        </w:rPr>
        <w:t>……………………………………………………</w:t>
      </w:r>
      <w:r>
        <w:rPr>
          <w:rFonts w:hint="eastAsia" w:asciiTheme="minorEastAsia" w:hAnsiTheme="minorEastAsia" w:eastAsiaTheme="minorEastAsia" w:cstheme="minorEastAsia"/>
          <w:sz w:val="24"/>
        </w:rPr>
        <w:t>13</w:t>
      </w:r>
    </w:p>
    <w:p>
      <w:pPr>
        <w:adjustRightInd w:val="0"/>
        <w:snapToGrid w:val="0"/>
        <w:spacing w:line="440" w:lineRule="exact"/>
        <w:jc w:val="left"/>
        <w:rPr>
          <w:rFonts w:cstheme="minorBidi"/>
          <w:sz w:val="24"/>
        </w:rPr>
      </w:pPr>
      <w:r>
        <w:rPr>
          <w:rFonts w:hint="eastAsia"/>
          <w:sz w:val="24"/>
        </w:rPr>
        <w:t>第三部分名词解释</w:t>
      </w:r>
      <w:r>
        <w:rPr>
          <w:sz w:val="24"/>
        </w:rPr>
        <w:t>…………………………………………………………………</w:t>
      </w:r>
      <w:r>
        <w:rPr>
          <w:rFonts w:hint="eastAsia"/>
          <w:sz w:val="24"/>
        </w:rPr>
        <w:t>15</w:t>
      </w:r>
    </w:p>
    <w:p>
      <w:pPr>
        <w:adjustRightInd w:val="0"/>
        <w:snapToGrid w:val="0"/>
        <w:spacing w:line="440" w:lineRule="exact"/>
        <w:jc w:val="left"/>
        <w:rPr>
          <w:rFonts w:cstheme="minorBidi"/>
          <w:sz w:val="24"/>
        </w:rPr>
      </w:pPr>
      <w:r>
        <w:rPr>
          <w:rFonts w:hint="eastAsia"/>
          <w:sz w:val="24"/>
        </w:rPr>
        <w:t>第四部分附件</w:t>
      </w:r>
      <w:r>
        <w:rPr>
          <w:sz w:val="24"/>
        </w:rPr>
        <w:t>………………………………………………………………………</w:t>
      </w:r>
      <w:r>
        <w:rPr>
          <w:rFonts w:hint="eastAsia"/>
          <w:sz w:val="24"/>
        </w:rPr>
        <w:t>19</w:t>
      </w:r>
    </w:p>
    <w:p>
      <w:pPr>
        <w:adjustRightInd w:val="0"/>
        <w:snapToGrid w:val="0"/>
        <w:spacing w:line="440" w:lineRule="exact"/>
        <w:jc w:val="left"/>
        <w:rPr>
          <w:rFonts w:cstheme="minorBidi"/>
          <w:sz w:val="24"/>
        </w:rPr>
      </w:pPr>
      <w:r>
        <w:rPr>
          <w:rFonts w:hint="eastAsia"/>
          <w:sz w:val="24"/>
        </w:rPr>
        <w:t>第五部分附表</w:t>
      </w:r>
      <w:r>
        <w:rPr>
          <w:sz w:val="24"/>
        </w:rPr>
        <w:t>………………………………………………………………………</w:t>
      </w:r>
      <w:r>
        <w:rPr>
          <w:rFonts w:hint="eastAsia"/>
          <w:sz w:val="24"/>
        </w:rPr>
        <w:t>42</w:t>
      </w:r>
    </w:p>
    <w:p>
      <w:pPr>
        <w:adjustRightInd w:val="0"/>
        <w:snapToGrid w:val="0"/>
        <w:spacing w:line="440" w:lineRule="exact"/>
        <w:jc w:val="left"/>
        <w:rPr>
          <w:sz w:val="24"/>
        </w:rPr>
      </w:pPr>
      <w:r>
        <w:rPr>
          <w:rFonts w:hint="eastAsia"/>
          <w:sz w:val="24"/>
        </w:rPr>
        <w:t>一、收入支出决算总表</w:t>
      </w:r>
      <w:r>
        <w:rPr>
          <w:sz w:val="24"/>
        </w:rPr>
        <w:t>……………………………………………………………</w:t>
      </w:r>
      <w:r>
        <w:rPr>
          <w:rFonts w:hint="eastAsia"/>
          <w:sz w:val="24"/>
        </w:rPr>
        <w:t>42</w:t>
      </w:r>
    </w:p>
    <w:p>
      <w:pPr>
        <w:adjustRightInd w:val="0"/>
        <w:snapToGrid w:val="0"/>
        <w:spacing w:line="440" w:lineRule="exact"/>
        <w:jc w:val="left"/>
        <w:rPr>
          <w:sz w:val="24"/>
        </w:rPr>
      </w:pPr>
      <w:r>
        <w:rPr>
          <w:rFonts w:hint="eastAsia"/>
          <w:sz w:val="24"/>
        </w:rPr>
        <w:t>二、收入决算表</w:t>
      </w:r>
      <w:r>
        <w:rPr>
          <w:sz w:val="24"/>
        </w:rPr>
        <w:t>……………………………………………………………………</w:t>
      </w:r>
      <w:r>
        <w:rPr>
          <w:rFonts w:hint="eastAsia"/>
          <w:sz w:val="24"/>
        </w:rPr>
        <w:t>43</w:t>
      </w:r>
    </w:p>
    <w:p>
      <w:pPr>
        <w:adjustRightInd w:val="0"/>
        <w:snapToGrid w:val="0"/>
        <w:spacing w:line="440" w:lineRule="exact"/>
        <w:jc w:val="left"/>
        <w:rPr>
          <w:sz w:val="24"/>
        </w:rPr>
      </w:pPr>
      <w:r>
        <w:rPr>
          <w:rFonts w:hint="eastAsia"/>
          <w:sz w:val="24"/>
        </w:rPr>
        <w:t>三、支出决算表</w:t>
      </w:r>
      <w:r>
        <w:rPr>
          <w:sz w:val="24"/>
        </w:rPr>
        <w:t>……………………………………………………………………</w:t>
      </w:r>
      <w:r>
        <w:rPr>
          <w:rFonts w:hint="eastAsia"/>
          <w:sz w:val="24"/>
        </w:rPr>
        <w:t>44</w:t>
      </w:r>
    </w:p>
    <w:p>
      <w:pPr>
        <w:adjustRightInd w:val="0"/>
        <w:snapToGrid w:val="0"/>
        <w:spacing w:line="440" w:lineRule="exact"/>
        <w:jc w:val="left"/>
        <w:rPr>
          <w:sz w:val="24"/>
        </w:rPr>
      </w:pPr>
      <w:r>
        <w:rPr>
          <w:rFonts w:hint="eastAsia"/>
          <w:sz w:val="24"/>
        </w:rPr>
        <w:t>四、财政拨款收入支出决算总表</w:t>
      </w:r>
      <w:r>
        <w:rPr>
          <w:sz w:val="24"/>
        </w:rPr>
        <w:t>…………………………………………………</w:t>
      </w:r>
      <w:r>
        <w:rPr>
          <w:rFonts w:hint="eastAsia"/>
          <w:sz w:val="24"/>
        </w:rPr>
        <w:t>45</w:t>
      </w:r>
    </w:p>
    <w:p>
      <w:pPr>
        <w:adjustRightInd w:val="0"/>
        <w:snapToGrid w:val="0"/>
        <w:spacing w:line="440" w:lineRule="exact"/>
        <w:jc w:val="left"/>
        <w:rPr>
          <w:sz w:val="24"/>
        </w:rPr>
      </w:pPr>
      <w:r>
        <w:rPr>
          <w:rFonts w:hint="eastAsia"/>
          <w:sz w:val="24"/>
        </w:rPr>
        <w:t>五、财政拨款支出决算明细表</w:t>
      </w:r>
      <w:r>
        <w:rPr>
          <w:sz w:val="24"/>
        </w:rPr>
        <w:t>……………………………………………………</w:t>
      </w:r>
      <w:r>
        <w:rPr>
          <w:rFonts w:hint="eastAsia"/>
          <w:sz w:val="24"/>
        </w:rPr>
        <w:t>46</w:t>
      </w:r>
    </w:p>
    <w:p>
      <w:pPr>
        <w:adjustRightInd w:val="0"/>
        <w:snapToGrid w:val="0"/>
        <w:spacing w:line="440" w:lineRule="exact"/>
        <w:jc w:val="left"/>
        <w:rPr>
          <w:sz w:val="24"/>
        </w:rPr>
      </w:pPr>
      <w:r>
        <w:rPr>
          <w:rFonts w:hint="eastAsia"/>
          <w:sz w:val="24"/>
        </w:rPr>
        <w:t>六、一般公共预算财政拨款支出决算表</w:t>
      </w:r>
      <w:r>
        <w:rPr>
          <w:sz w:val="24"/>
        </w:rPr>
        <w:t>…………………………………………</w:t>
      </w:r>
      <w:r>
        <w:rPr>
          <w:rFonts w:hint="eastAsia"/>
          <w:sz w:val="24"/>
        </w:rPr>
        <w:t>47</w:t>
      </w:r>
    </w:p>
    <w:p>
      <w:pPr>
        <w:adjustRightInd w:val="0"/>
        <w:snapToGrid w:val="0"/>
        <w:spacing w:line="440" w:lineRule="exact"/>
        <w:jc w:val="left"/>
        <w:rPr>
          <w:sz w:val="24"/>
        </w:rPr>
      </w:pPr>
      <w:r>
        <w:rPr>
          <w:rFonts w:hint="eastAsia"/>
          <w:sz w:val="24"/>
        </w:rPr>
        <w:t>七、一般公共预算财政拨款支出决算明细表</w:t>
      </w:r>
      <w:r>
        <w:rPr>
          <w:sz w:val="24"/>
        </w:rPr>
        <w:t>……………………………………</w:t>
      </w:r>
      <w:r>
        <w:rPr>
          <w:rFonts w:hint="eastAsia"/>
          <w:sz w:val="24"/>
        </w:rPr>
        <w:t>48</w:t>
      </w:r>
    </w:p>
    <w:p>
      <w:pPr>
        <w:adjustRightInd w:val="0"/>
        <w:snapToGrid w:val="0"/>
        <w:spacing w:line="440" w:lineRule="exact"/>
        <w:jc w:val="left"/>
        <w:rPr>
          <w:sz w:val="24"/>
        </w:rPr>
      </w:pPr>
      <w:r>
        <w:rPr>
          <w:rFonts w:hint="eastAsia"/>
          <w:sz w:val="24"/>
        </w:rPr>
        <w:t>八、一般公共预算财政拨款基本支出决算明细表</w:t>
      </w:r>
      <w:r>
        <w:rPr>
          <w:sz w:val="24"/>
        </w:rPr>
        <w:t>………………………………</w:t>
      </w:r>
      <w:r>
        <w:rPr>
          <w:rFonts w:hint="eastAsia"/>
          <w:sz w:val="24"/>
        </w:rPr>
        <w:t>49</w:t>
      </w:r>
    </w:p>
    <w:p>
      <w:pPr>
        <w:adjustRightInd w:val="0"/>
        <w:snapToGrid w:val="0"/>
        <w:spacing w:line="440" w:lineRule="exact"/>
        <w:jc w:val="left"/>
        <w:rPr>
          <w:sz w:val="24"/>
        </w:rPr>
      </w:pPr>
      <w:r>
        <w:rPr>
          <w:rFonts w:hint="eastAsia"/>
          <w:sz w:val="24"/>
        </w:rPr>
        <w:t>九、一般公共预算财政拨款项目支出决算表</w:t>
      </w:r>
      <w:r>
        <w:rPr>
          <w:sz w:val="24"/>
        </w:rPr>
        <w:t>……………………………………</w:t>
      </w:r>
      <w:r>
        <w:rPr>
          <w:rFonts w:hint="eastAsia"/>
          <w:sz w:val="24"/>
        </w:rPr>
        <w:t>50</w:t>
      </w:r>
    </w:p>
    <w:p>
      <w:pPr>
        <w:adjustRightInd w:val="0"/>
        <w:snapToGrid w:val="0"/>
        <w:spacing w:line="440" w:lineRule="exact"/>
        <w:jc w:val="left"/>
        <w:rPr>
          <w:sz w:val="24"/>
        </w:rPr>
      </w:pPr>
      <w:r>
        <w:rPr>
          <w:rFonts w:hint="eastAsia"/>
          <w:sz w:val="24"/>
        </w:rPr>
        <w:t>十、政府性基金预算财政拨款收入支出决算表</w:t>
      </w:r>
      <w:r>
        <w:rPr>
          <w:sz w:val="24"/>
        </w:rPr>
        <w:t>…………………………………</w:t>
      </w:r>
      <w:r>
        <w:rPr>
          <w:rFonts w:hint="eastAsia"/>
          <w:sz w:val="24"/>
        </w:rPr>
        <w:t>.51</w:t>
      </w:r>
    </w:p>
    <w:p>
      <w:pPr>
        <w:adjustRightInd w:val="0"/>
        <w:snapToGrid w:val="0"/>
        <w:spacing w:line="440" w:lineRule="exact"/>
        <w:jc w:val="left"/>
        <w:rPr>
          <w:sz w:val="24"/>
        </w:rPr>
      </w:pPr>
      <w:r>
        <w:rPr>
          <w:rFonts w:hint="eastAsia"/>
          <w:sz w:val="24"/>
        </w:rPr>
        <w:t>十一、国有资本经营预算财政拨款收入支出决算表</w:t>
      </w:r>
      <w:r>
        <w:rPr>
          <w:sz w:val="24"/>
        </w:rPr>
        <w:t>……………………………</w:t>
      </w:r>
      <w:r>
        <w:rPr>
          <w:rFonts w:hint="eastAsia"/>
          <w:sz w:val="24"/>
          <w:lang w:eastAsia="zh-CN"/>
        </w:rPr>
        <w:t>.</w:t>
      </w:r>
      <w:r>
        <w:rPr>
          <w:rFonts w:hint="eastAsia"/>
          <w:sz w:val="24"/>
        </w:rPr>
        <w:t>52</w:t>
      </w:r>
    </w:p>
    <w:p>
      <w:pPr>
        <w:adjustRightInd w:val="0"/>
        <w:snapToGrid w:val="0"/>
        <w:spacing w:line="440" w:lineRule="exact"/>
        <w:jc w:val="left"/>
        <w:rPr>
          <w:sz w:val="24"/>
        </w:rPr>
      </w:pPr>
      <w:r>
        <w:rPr>
          <w:rFonts w:hint="eastAsia"/>
          <w:sz w:val="24"/>
        </w:rPr>
        <w:t>十二、国有资本经营预算财政拨款支出决算表</w:t>
      </w:r>
      <w:r>
        <w:rPr>
          <w:sz w:val="24"/>
        </w:rPr>
        <w:t>…………………………………</w:t>
      </w:r>
      <w:r>
        <w:rPr>
          <w:rFonts w:hint="eastAsia"/>
          <w:sz w:val="24"/>
          <w:lang w:eastAsia="zh-CN"/>
        </w:rPr>
        <w:t>.</w:t>
      </w:r>
      <w:r>
        <w:rPr>
          <w:rFonts w:hint="eastAsia"/>
          <w:sz w:val="24"/>
        </w:rPr>
        <w:t>53</w:t>
      </w:r>
    </w:p>
    <w:p>
      <w:pPr>
        <w:adjustRightInd w:val="0"/>
        <w:snapToGrid w:val="0"/>
        <w:spacing w:line="440" w:lineRule="exact"/>
        <w:jc w:val="left"/>
        <w:rPr>
          <w:rFonts w:asciiTheme="minorEastAsia" w:hAnsiTheme="minorEastAsia" w:eastAsiaTheme="minorEastAsia" w:cstheme="minorEastAsia"/>
          <w:sz w:val="24"/>
        </w:rPr>
      </w:pPr>
      <w:r>
        <w:rPr>
          <w:rFonts w:hint="eastAsia"/>
          <w:sz w:val="24"/>
        </w:rPr>
        <w:t>十三、财政拨款“三公”经费支出决算表</w:t>
      </w:r>
      <w:r>
        <w:rPr>
          <w:sz w:val="24"/>
        </w:rPr>
        <w:t>………………………………………</w:t>
      </w:r>
      <w:r>
        <w:rPr>
          <w:rFonts w:hint="eastAsia"/>
          <w:sz w:val="24"/>
          <w:lang w:eastAsia="zh-CN"/>
        </w:rPr>
        <w:t>.</w:t>
      </w:r>
      <w:r>
        <w:rPr>
          <w:rFonts w:hint="eastAsia"/>
          <w:sz w:val="24"/>
        </w:rPr>
        <w:t>54</w:t>
      </w:r>
    </w:p>
    <w:p>
      <w:pPr>
        <w:widowControl/>
        <w:adjustRightInd w:val="0"/>
        <w:snapToGrid w:val="0"/>
        <w:spacing w:line="440" w:lineRule="exact"/>
        <w:ind w:firstLine="1320" w:firstLineChars="550"/>
        <w:jc w:val="left"/>
        <w:rPr>
          <w:rFonts w:ascii="仿宋" w:hAnsi="仿宋" w:eastAsia="仿宋"/>
          <w:sz w:val="24"/>
        </w:rPr>
      </w:pP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3"/>
        <w:jc w:val="center"/>
        <w:rPr>
          <w:rFonts w:ascii="黑体" w:eastAsia="黑体"/>
          <w:sz w:val="32"/>
          <w:szCs w:val="32"/>
        </w:rPr>
      </w:pPr>
      <w:r>
        <w:rPr>
          <w:rFonts w:hint="eastAsia" w:ascii="黑体" w:hAnsi="黑体" w:eastAsia="黑体"/>
          <w:b w:val="0"/>
        </w:rPr>
        <w:t xml:space="preserve">第一部分 </w:t>
      </w:r>
      <w:r>
        <w:rPr>
          <w:rFonts w:hint="eastAsia" w:ascii="黑体" w:hAnsi="黑体" w:eastAsia="黑体"/>
        </w:rPr>
        <w:t>部门概况</w:t>
      </w:r>
      <w:bookmarkEnd w:id="12"/>
      <w:bookmarkEnd w:id="13"/>
    </w:p>
    <w:p>
      <w:pPr>
        <w:pStyle w:val="4"/>
        <w:ind w:firstLine="640" w:firstLineChars="200"/>
        <w:rPr>
          <w:rFonts w:ascii="黑体" w:hAnsi="黑体" w:eastAsia="黑体"/>
          <w:b w:val="0"/>
        </w:rPr>
      </w:pPr>
      <w:bookmarkStart w:id="14" w:name="_Toc15396600"/>
      <w:bookmarkStart w:id="15" w:name="_Toc15377197"/>
      <w:r>
        <w:rPr>
          <w:rFonts w:hint="eastAsia" w:ascii="黑体" w:hAnsi="黑体" w:eastAsia="黑体"/>
          <w:b w:val="0"/>
        </w:rPr>
        <w:t>一、</w:t>
      </w:r>
      <w:bookmarkEnd w:id="14"/>
      <w:bookmarkEnd w:id="15"/>
      <w:r>
        <w:rPr>
          <w:rFonts w:hint="eastAsia" w:ascii="黑体" w:hAnsi="黑体" w:eastAsia="黑体"/>
          <w:b w:val="0"/>
        </w:rPr>
        <w:t>部门职责</w:t>
      </w:r>
      <w:bookmarkStart w:id="16" w:name="_Toc15377200"/>
      <w:bookmarkStart w:id="17" w:name="_Toc15396601"/>
    </w:p>
    <w:p>
      <w:pPr>
        <w:pStyle w:val="4"/>
        <w:spacing w:line="340" w:lineRule="exact"/>
        <w:ind w:firstLine="640" w:firstLineChars="200"/>
        <w:rPr>
          <w:rFonts w:ascii="仿宋" w:hAnsi="仿宋" w:eastAsia="仿宋" w:cs="Times New Roman"/>
          <w:b w:val="0"/>
          <w:bCs w:val="0"/>
          <w:color w:val="333333"/>
          <w:kern w:val="0"/>
          <w:sz w:val="32"/>
          <w:szCs w:val="32"/>
          <w:lang w:val="en-US" w:eastAsia="zh-CN" w:bidi="ar-SA"/>
        </w:rPr>
      </w:pPr>
      <w:r>
        <w:rPr>
          <w:rFonts w:hint="eastAsia" w:ascii="仿宋" w:hAnsi="仿宋" w:eastAsia="仿宋" w:cs="Times New Roman"/>
          <w:b w:val="0"/>
          <w:bCs w:val="0"/>
          <w:color w:val="333333"/>
          <w:kern w:val="0"/>
          <w:sz w:val="32"/>
          <w:szCs w:val="32"/>
          <w:lang w:val="en-US" w:eastAsia="zh-CN" w:bidi="ar-SA"/>
        </w:rPr>
        <w:t>1.</w:t>
      </w:r>
      <w:r>
        <w:rPr>
          <w:rFonts w:ascii="仿宋" w:hAnsi="仿宋" w:eastAsia="仿宋" w:cs="Times New Roman"/>
          <w:b w:val="0"/>
          <w:bCs w:val="0"/>
          <w:color w:val="333333"/>
          <w:kern w:val="0"/>
          <w:sz w:val="32"/>
          <w:szCs w:val="32"/>
          <w:lang w:val="en-US" w:eastAsia="zh-CN" w:bidi="ar-SA"/>
        </w:rPr>
        <w:t>宣传贯彻党的路线、方针、政策</w:t>
      </w:r>
      <w:r>
        <w:rPr>
          <w:rFonts w:hint="eastAsia" w:ascii="仿宋" w:hAnsi="仿宋" w:eastAsia="仿宋" w:cs="Times New Roman"/>
          <w:b w:val="0"/>
          <w:bCs w:val="0"/>
          <w:color w:val="333333"/>
          <w:kern w:val="0"/>
          <w:sz w:val="32"/>
          <w:szCs w:val="32"/>
          <w:lang w:val="en-US" w:eastAsia="zh-CN" w:bidi="ar-SA"/>
        </w:rPr>
        <w:t>。</w:t>
      </w:r>
    </w:p>
    <w:p>
      <w:pPr>
        <w:pStyle w:val="2"/>
        <w:adjustRightInd w:val="0"/>
        <w:snapToGrid w:val="0"/>
        <w:spacing w:before="93" w:line="340" w:lineRule="exact"/>
        <w:ind w:firstLine="672" w:firstLineChars="210"/>
        <w:outlineLvl w:val="2"/>
        <w:rPr>
          <w:rFonts w:ascii="仿宋" w:hAnsi="仿宋" w:eastAsia="仿宋"/>
          <w:color w:val="333333"/>
          <w:sz w:val="32"/>
          <w:szCs w:val="32"/>
        </w:rPr>
      </w:pPr>
      <w:r>
        <w:rPr>
          <w:rFonts w:hint="eastAsia" w:ascii="仿宋" w:hAnsi="仿宋" w:eastAsia="仿宋"/>
          <w:color w:val="333333"/>
          <w:sz w:val="32"/>
          <w:szCs w:val="32"/>
        </w:rPr>
        <w:t>2.</w:t>
      </w:r>
      <w:r>
        <w:rPr>
          <w:rFonts w:ascii="仿宋" w:hAnsi="仿宋" w:eastAsia="仿宋"/>
          <w:color w:val="333333"/>
          <w:sz w:val="32"/>
          <w:szCs w:val="32"/>
        </w:rPr>
        <w:t>掌握全县党员、干部和人民群众的思想状态，及时向县委和上级有关部门反馈</w:t>
      </w:r>
      <w:r>
        <w:rPr>
          <w:rFonts w:hint="eastAsia" w:ascii="仿宋" w:hAnsi="仿宋" w:eastAsia="仿宋"/>
          <w:color w:val="333333"/>
          <w:sz w:val="32"/>
          <w:szCs w:val="32"/>
        </w:rPr>
        <w:t>。</w:t>
      </w:r>
    </w:p>
    <w:p>
      <w:pPr>
        <w:pStyle w:val="2"/>
        <w:adjustRightInd w:val="0"/>
        <w:snapToGrid w:val="0"/>
        <w:spacing w:before="93" w:line="600" w:lineRule="exact"/>
        <w:ind w:firstLine="672" w:firstLineChars="210"/>
        <w:outlineLvl w:val="2"/>
        <w:rPr>
          <w:rFonts w:ascii="仿宋" w:hAnsi="仿宋" w:eastAsia="仿宋"/>
          <w:color w:val="333333"/>
          <w:sz w:val="32"/>
          <w:szCs w:val="32"/>
        </w:rPr>
      </w:pPr>
      <w:r>
        <w:rPr>
          <w:rFonts w:hint="eastAsia" w:ascii="仿宋" w:hAnsi="仿宋" w:eastAsia="仿宋"/>
          <w:color w:val="333333"/>
          <w:sz w:val="32"/>
          <w:szCs w:val="32"/>
        </w:rPr>
        <w:t>3.</w:t>
      </w:r>
      <w:r>
        <w:rPr>
          <w:rFonts w:ascii="仿宋" w:hAnsi="仿宋" w:eastAsia="仿宋"/>
          <w:color w:val="333333"/>
          <w:sz w:val="32"/>
          <w:szCs w:val="32"/>
        </w:rPr>
        <w:t>负责理论教育、新闻报道、</w:t>
      </w:r>
      <w:r>
        <w:rPr>
          <w:rFonts w:hint="eastAsia" w:ascii="仿宋" w:hAnsi="仿宋" w:eastAsia="仿宋"/>
          <w:color w:val="333333"/>
          <w:sz w:val="32"/>
          <w:szCs w:val="32"/>
          <w:lang w:eastAsia="zh-CN"/>
        </w:rPr>
        <w:t>宣传思想文化工作</w:t>
      </w:r>
      <w:r>
        <w:rPr>
          <w:rFonts w:hint="eastAsia" w:ascii="仿宋" w:hAnsi="仿宋" w:eastAsia="仿宋"/>
          <w:color w:val="333333"/>
          <w:sz w:val="32"/>
          <w:szCs w:val="32"/>
        </w:rPr>
        <w:t>。</w:t>
      </w:r>
    </w:p>
    <w:p>
      <w:pPr>
        <w:pStyle w:val="2"/>
        <w:adjustRightInd w:val="0"/>
        <w:snapToGrid w:val="0"/>
        <w:spacing w:before="93" w:line="600" w:lineRule="exact"/>
        <w:ind w:firstLine="672" w:firstLineChars="210"/>
        <w:outlineLvl w:val="2"/>
        <w:rPr>
          <w:rFonts w:ascii="仿宋" w:hAnsi="仿宋" w:eastAsia="仿宋"/>
          <w:color w:val="333333"/>
          <w:sz w:val="32"/>
          <w:szCs w:val="32"/>
        </w:rPr>
      </w:pPr>
      <w:r>
        <w:rPr>
          <w:rFonts w:hint="eastAsia" w:ascii="仿宋" w:hAnsi="仿宋" w:eastAsia="仿宋"/>
          <w:color w:val="333333"/>
          <w:sz w:val="32"/>
          <w:szCs w:val="32"/>
        </w:rPr>
        <w:t>4.</w:t>
      </w:r>
      <w:r>
        <w:rPr>
          <w:rFonts w:ascii="仿宋" w:hAnsi="仿宋" w:eastAsia="仿宋"/>
          <w:color w:val="333333"/>
          <w:sz w:val="32"/>
          <w:szCs w:val="32"/>
        </w:rPr>
        <w:t>规划部署、组织实施全县群众社会主义精神文明建设活动</w:t>
      </w:r>
      <w:r>
        <w:rPr>
          <w:rFonts w:hint="eastAsia" w:ascii="仿宋" w:hAnsi="仿宋" w:eastAsia="仿宋"/>
          <w:color w:val="333333"/>
          <w:sz w:val="32"/>
          <w:szCs w:val="32"/>
        </w:rPr>
        <w:t>。</w:t>
      </w:r>
    </w:p>
    <w:p>
      <w:pPr>
        <w:pStyle w:val="2"/>
        <w:adjustRightInd w:val="0"/>
        <w:snapToGrid w:val="0"/>
        <w:spacing w:before="93" w:line="600" w:lineRule="exact"/>
        <w:ind w:firstLine="672" w:firstLineChars="210"/>
        <w:outlineLvl w:val="2"/>
        <w:rPr>
          <w:rFonts w:ascii="仿宋" w:hAnsi="仿宋" w:eastAsia="仿宋"/>
          <w:color w:val="333333"/>
          <w:sz w:val="32"/>
          <w:szCs w:val="32"/>
        </w:rPr>
      </w:pPr>
      <w:r>
        <w:rPr>
          <w:rFonts w:hint="eastAsia" w:ascii="仿宋" w:hAnsi="仿宋" w:eastAsia="仿宋"/>
          <w:color w:val="333333"/>
          <w:sz w:val="32"/>
          <w:szCs w:val="32"/>
        </w:rPr>
        <w:t>5.</w:t>
      </w:r>
      <w:r>
        <w:rPr>
          <w:rFonts w:ascii="仿宋" w:hAnsi="仿宋" w:eastAsia="仿宋"/>
          <w:color w:val="333333"/>
          <w:sz w:val="32"/>
          <w:szCs w:val="32"/>
        </w:rPr>
        <w:t>培育文学艺术人才，加强县内外文学艺术交流。</w:t>
      </w:r>
    </w:p>
    <w:p>
      <w:pPr>
        <w:pStyle w:val="2"/>
        <w:spacing w:before="93"/>
        <w:ind w:firstLine="600"/>
        <w:rPr>
          <w:rFonts w:ascii="黑体" w:hAnsi="黑体" w:eastAsia="黑体"/>
          <w:sz w:val="32"/>
          <w:szCs w:val="32"/>
        </w:rPr>
      </w:pPr>
      <w:r>
        <w:rPr>
          <w:rFonts w:hint="eastAsia" w:ascii="黑体" w:eastAsia="黑体"/>
          <w:sz w:val="32"/>
          <w:szCs w:val="32"/>
        </w:rPr>
        <w:t>二、</w:t>
      </w:r>
      <w:r>
        <w:rPr>
          <w:rFonts w:hint="eastAsia" w:ascii="黑体" w:hAnsi="黑体" w:eastAsia="黑体"/>
          <w:sz w:val="32"/>
          <w:szCs w:val="32"/>
        </w:rPr>
        <w:t>机构设置</w:t>
      </w:r>
      <w:bookmarkEnd w:id="16"/>
      <w:bookmarkEnd w:id="17"/>
    </w:p>
    <w:p>
      <w:pPr>
        <w:pStyle w:val="2"/>
        <w:adjustRightInd w:val="0"/>
        <w:snapToGrid w:val="0"/>
        <w:spacing w:before="93" w:line="600" w:lineRule="exact"/>
        <w:ind w:firstLine="672" w:firstLineChars="210"/>
        <w:outlineLvl w:val="2"/>
        <w:rPr>
          <w:rFonts w:ascii="仿宋" w:hAnsi="仿宋" w:eastAsia="仿宋"/>
          <w:color w:val="000000"/>
          <w:sz w:val="32"/>
          <w:szCs w:val="32"/>
        </w:rPr>
      </w:pPr>
      <w:bookmarkStart w:id="18" w:name="_Toc15377204"/>
      <w:bookmarkStart w:id="19" w:name="_Toc15396602"/>
      <w:r>
        <w:rPr>
          <w:rFonts w:hint="eastAsia" w:ascii="仿宋" w:hAnsi="仿宋" w:eastAsia="仿宋"/>
          <w:color w:val="000000"/>
          <w:sz w:val="32"/>
          <w:szCs w:val="32"/>
        </w:rPr>
        <w:t>中国共产党盐边县委宣传部下属二级预算单位0个，其中行政单位0个，参照公务员法管理的事业单位0个，其他事业单位0个。</w:t>
      </w:r>
    </w:p>
    <w:p>
      <w:pPr>
        <w:pStyle w:val="2"/>
        <w:adjustRightInd w:val="0"/>
        <w:snapToGrid w:val="0"/>
        <w:spacing w:before="93" w:line="600" w:lineRule="exact"/>
        <w:ind w:firstLine="672" w:firstLineChars="210"/>
        <w:outlineLvl w:val="2"/>
        <w:rPr>
          <w:rFonts w:ascii="仿宋" w:hAnsi="仿宋" w:eastAsia="仿宋"/>
          <w:sz w:val="32"/>
          <w:szCs w:val="32"/>
        </w:rPr>
      </w:pPr>
      <w:r>
        <w:rPr>
          <w:rFonts w:hint="eastAsia" w:ascii="仿宋" w:hAnsi="仿宋" w:eastAsia="仿宋"/>
          <w:color w:val="000000"/>
          <w:sz w:val="32"/>
          <w:szCs w:val="32"/>
        </w:rPr>
        <w:t>中国共产党盐边</w:t>
      </w:r>
      <w:r>
        <w:rPr>
          <w:rFonts w:ascii="仿宋" w:hAnsi="仿宋" w:eastAsia="仿宋"/>
          <w:color w:val="000000"/>
          <w:sz w:val="32"/>
          <w:szCs w:val="32"/>
        </w:rPr>
        <w:t>县委宣传部内设股室4个，</w:t>
      </w:r>
      <w:r>
        <w:rPr>
          <w:rFonts w:ascii="仿宋" w:hAnsi="仿宋" w:eastAsia="仿宋"/>
          <w:sz w:val="32"/>
          <w:szCs w:val="32"/>
        </w:rPr>
        <w:t>即办公室、宣传股、文化电影出版管理股、精神文明建设股。下属非独立核算单位2个（其他事业单位），即县对外宣传服务中心、新时代文明实践服务中心。另代管1个群团组织，即县文学艺术界联合会。</w:t>
      </w:r>
    </w:p>
    <w:p>
      <w:pPr>
        <w:pStyle w:val="2"/>
        <w:adjustRightInd w:val="0"/>
        <w:snapToGrid w:val="0"/>
        <w:spacing w:before="93" w:line="600" w:lineRule="exact"/>
        <w:ind w:firstLine="630" w:firstLineChars="210"/>
        <w:outlineLvl w:val="2"/>
      </w:pPr>
    </w:p>
    <w:p>
      <w:pPr>
        <w:pStyle w:val="2"/>
        <w:adjustRightInd w:val="0"/>
        <w:snapToGrid w:val="0"/>
        <w:spacing w:before="93" w:line="600" w:lineRule="exact"/>
        <w:ind w:firstLine="630" w:firstLineChars="210"/>
        <w:outlineLvl w:val="2"/>
      </w:pPr>
    </w:p>
    <w:p>
      <w:pPr>
        <w:pStyle w:val="2"/>
        <w:adjustRightInd w:val="0"/>
        <w:snapToGrid w:val="0"/>
        <w:spacing w:before="93" w:line="600" w:lineRule="exact"/>
        <w:ind w:firstLine="630" w:firstLineChars="210"/>
        <w:outlineLvl w:val="2"/>
      </w:pPr>
    </w:p>
    <w:p>
      <w:pPr>
        <w:pStyle w:val="2"/>
        <w:adjustRightInd w:val="0"/>
        <w:snapToGrid w:val="0"/>
        <w:spacing w:before="93" w:line="600" w:lineRule="exact"/>
        <w:ind w:firstLine="630" w:firstLineChars="210"/>
        <w:outlineLvl w:val="2"/>
      </w:pPr>
    </w:p>
    <w:p>
      <w:pPr>
        <w:snapToGrid w:val="0"/>
        <w:spacing w:line="560" w:lineRule="exact"/>
        <w:ind w:firstLine="880" w:firstLineChars="200"/>
        <w:rPr>
          <w:rFonts w:ascii="黑体" w:hAnsi="黑体" w:eastAsia="黑体"/>
          <w:bCs/>
          <w:sz w:val="44"/>
          <w:szCs w:val="44"/>
        </w:rPr>
      </w:pPr>
      <w:r>
        <w:rPr>
          <w:rFonts w:hint="eastAsia" w:ascii="黑体" w:hAnsi="黑体" w:eastAsia="黑体"/>
          <w:sz w:val="44"/>
          <w:szCs w:val="44"/>
        </w:rPr>
        <w:t>第二部分 2022年度部门决算情况说明</w:t>
      </w:r>
      <w:bookmarkEnd w:id="18"/>
      <w:bookmarkEnd w:id="19"/>
    </w:p>
    <w:p/>
    <w:p>
      <w:pPr>
        <w:numPr>
          <w:ilvl w:val="0"/>
          <w:numId w:val="1"/>
        </w:numPr>
        <w:spacing w:line="600" w:lineRule="exact"/>
        <w:outlineLvl w:val="1"/>
        <w:rPr>
          <w:rFonts w:ascii="黑体" w:hAnsi="黑体" w:eastAsia="黑体"/>
          <w:b/>
          <w:sz w:val="32"/>
          <w:szCs w:val="32"/>
        </w:rPr>
      </w:pPr>
      <w:bookmarkStart w:id="20" w:name="_Toc15377205"/>
      <w:bookmarkStart w:id="21" w:name="_Toc15396603"/>
      <w:r>
        <w:rPr>
          <w:rFonts w:hint="eastAsia" w:ascii="黑体" w:hAnsi="黑体" w:eastAsia="黑体"/>
          <w:sz w:val="32"/>
          <w:szCs w:val="32"/>
        </w:rPr>
        <w:t>收</w:t>
      </w:r>
      <w:r>
        <w:rPr>
          <w:rFonts w:hint="eastAsia" w:ascii="黑体" w:hAnsi="黑体" w:eastAsia="黑体"/>
          <w:b/>
          <w:sz w:val="32"/>
          <w:szCs w:val="32"/>
        </w:rPr>
        <w:t>入支出决算总体情况说明</w:t>
      </w:r>
      <w:bookmarkEnd w:id="20"/>
      <w:bookmarkEnd w:id="21"/>
    </w:p>
    <w:p>
      <w:pPr>
        <w:spacing w:line="600" w:lineRule="exact"/>
        <w:ind w:firstLine="640" w:firstLineChars="200"/>
        <w:rPr>
          <w:rFonts w:ascii="仿宋" w:hAnsi="仿宋" w:eastAsia="仿宋"/>
          <w:sz w:val="32"/>
          <w:szCs w:val="32"/>
        </w:rPr>
      </w:pPr>
      <w:r>
        <w:rPr>
          <w:rFonts w:hint="eastAsia" w:ascii="仿宋" w:hAnsi="仿宋" w:eastAsia="仿宋"/>
          <w:sz w:val="32"/>
          <w:szCs w:val="32"/>
        </w:rPr>
        <w:t>2022年度收入总计</w:t>
      </w:r>
      <w:r>
        <w:rPr>
          <w:rFonts w:hint="eastAsia" w:ascii="仿宋" w:hAnsi="仿宋" w:eastAsia="仿宋" w:cs="仿宋_GB2312"/>
          <w:b/>
          <w:color w:val="000000"/>
          <w:sz w:val="32"/>
          <w:szCs w:val="32"/>
          <w:lang w:val="zh-CN"/>
        </w:rPr>
        <w:t>723.46</w:t>
      </w:r>
      <w:r>
        <w:rPr>
          <w:rFonts w:hint="eastAsia" w:ascii="仿宋" w:hAnsi="仿宋" w:eastAsia="仿宋"/>
          <w:sz w:val="32"/>
          <w:szCs w:val="32"/>
        </w:rPr>
        <w:t>万元，上年结转结余16.21万元。与2021年相比，收入总计减少</w:t>
      </w:r>
      <w:r>
        <w:rPr>
          <w:rFonts w:hint="eastAsia" w:ascii="仿宋" w:hAnsi="仿宋" w:eastAsia="仿宋" w:cs="仿宋_GB2312"/>
          <w:color w:val="000000"/>
          <w:sz w:val="32"/>
          <w:szCs w:val="32"/>
          <w:lang w:val="zh-CN"/>
        </w:rPr>
        <w:t>17.93</w:t>
      </w:r>
      <w:r>
        <w:rPr>
          <w:rFonts w:hint="eastAsia" w:ascii="仿宋" w:hAnsi="仿宋" w:eastAsia="仿宋"/>
          <w:sz w:val="32"/>
          <w:szCs w:val="32"/>
        </w:rPr>
        <w:t>万元，下降2.42</w:t>
      </w:r>
      <w:r>
        <w:rPr>
          <w:rFonts w:ascii="仿宋" w:hAnsi="仿宋" w:eastAsia="仿宋"/>
          <w:sz w:val="32"/>
          <w:szCs w:val="32"/>
        </w:rPr>
        <w:t>%</w:t>
      </w:r>
      <w:r>
        <w:rPr>
          <w:rFonts w:hint="eastAsia" w:ascii="仿宋" w:hAnsi="仿宋" w:eastAsia="仿宋"/>
          <w:sz w:val="32"/>
          <w:szCs w:val="32"/>
        </w:rPr>
        <w:t>。主要变动原因是减少了项目支出。</w:t>
      </w:r>
    </w:p>
    <w:p>
      <w:pPr>
        <w:pStyle w:val="2"/>
        <w:spacing w:before="93"/>
        <w:ind w:firstLine="600"/>
        <w:rPr>
          <w:rFonts w:ascii="仿宋" w:hAnsi="仿宋" w:eastAsia="仿宋"/>
        </w:rPr>
      </w:pPr>
      <w:r>
        <w:rPr>
          <w:rFonts w:hint="eastAsia" w:ascii="仿宋" w:hAnsi="仿宋" w:eastAsia="仿宋"/>
        </w:rPr>
        <w:t>2022年支出总计739.67万元，与2021年相比，支出总计减少547.07万元，下降42.52%，主要变动原因是减少了项目支出。</w:t>
      </w:r>
    </w:p>
    <w:p>
      <w:pPr>
        <w:pStyle w:val="2"/>
        <w:spacing w:before="93"/>
        <w:ind w:firstLine="600"/>
      </w:pPr>
      <w:r>
        <w:drawing>
          <wp:inline distT="0" distB="0" distL="0" distR="0">
            <wp:extent cx="5274310" cy="3096895"/>
            <wp:effectExtent l="19050" t="0" r="21590" b="7714"/>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numPr>
          <w:ilvl w:val="0"/>
          <w:numId w:val="1"/>
        </w:numPr>
        <w:spacing w:line="600" w:lineRule="exact"/>
        <w:outlineLvl w:val="1"/>
        <w:rPr>
          <w:rFonts w:ascii="黑体" w:hAnsi="黑体" w:eastAsia="黑体"/>
          <w:b/>
          <w:sz w:val="32"/>
          <w:szCs w:val="32"/>
        </w:rPr>
      </w:pPr>
      <w:bookmarkStart w:id="22" w:name="_Toc15377206"/>
      <w:bookmarkStart w:id="23" w:name="_Toc15396604"/>
      <w:r>
        <w:rPr>
          <w:rFonts w:hint="eastAsia" w:ascii="黑体" w:hAnsi="黑体" w:eastAsia="黑体"/>
          <w:sz w:val="32"/>
          <w:szCs w:val="32"/>
        </w:rPr>
        <w:t>收</w:t>
      </w:r>
      <w:r>
        <w:rPr>
          <w:rFonts w:hint="eastAsia" w:ascii="黑体" w:hAnsi="黑体" w:eastAsia="黑体"/>
          <w:b/>
          <w:sz w:val="32"/>
          <w:szCs w:val="32"/>
        </w:rPr>
        <w:t>入决算情况说明</w:t>
      </w:r>
      <w:bookmarkEnd w:id="22"/>
      <w:bookmarkEnd w:id="23"/>
    </w:p>
    <w:p>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22年本年收入合计</w:t>
      </w:r>
      <w:r>
        <w:rPr>
          <w:rFonts w:hint="eastAsia" w:ascii="仿宋" w:hAnsi="仿宋" w:eastAsia="仿宋" w:cs="仿宋_GB2312"/>
          <w:color w:val="000000"/>
          <w:sz w:val="32"/>
          <w:szCs w:val="32"/>
          <w:lang w:val="zh-CN"/>
        </w:rPr>
        <w:t>723.46</w:t>
      </w:r>
      <w:r>
        <w:rPr>
          <w:rFonts w:hint="eastAsia" w:ascii="仿宋" w:hAnsi="仿宋" w:eastAsia="仿宋"/>
          <w:sz w:val="32"/>
          <w:szCs w:val="32"/>
        </w:rPr>
        <w:t>万元，其中：一般公共预算财政拨款收入</w:t>
      </w:r>
      <w:r>
        <w:rPr>
          <w:rFonts w:ascii="仿宋" w:hAnsi="仿宋" w:eastAsia="仿宋" w:cs="仿宋_GB2312"/>
          <w:color w:val="000000"/>
          <w:sz w:val="32"/>
          <w:szCs w:val="32"/>
          <w:lang w:val="zh-CN"/>
        </w:rPr>
        <w:t>723.18</w:t>
      </w:r>
      <w:r>
        <w:rPr>
          <w:rFonts w:hint="eastAsia" w:ascii="仿宋" w:hAnsi="仿宋" w:eastAsia="仿宋"/>
          <w:sz w:val="32"/>
          <w:szCs w:val="32"/>
        </w:rPr>
        <w:t>万元，占</w:t>
      </w:r>
      <w:r>
        <w:rPr>
          <w:rFonts w:hint="eastAsia" w:ascii="仿宋" w:hAnsi="仿宋" w:eastAsia="仿宋" w:cs="仿宋_GB2312"/>
          <w:color w:val="000000"/>
          <w:sz w:val="32"/>
          <w:szCs w:val="32"/>
          <w:lang w:val="zh-CN"/>
        </w:rPr>
        <w:t>100</w:t>
      </w:r>
      <w:r>
        <w:rPr>
          <w:rFonts w:ascii="仿宋" w:hAnsi="仿宋" w:eastAsia="仿宋"/>
          <w:sz w:val="32"/>
          <w:szCs w:val="32"/>
        </w:rPr>
        <w:t>%</w:t>
      </w:r>
      <w:r>
        <w:rPr>
          <w:rFonts w:hint="eastAsia" w:ascii="仿宋" w:hAnsi="仿宋" w:eastAsia="仿宋"/>
          <w:sz w:val="32"/>
          <w:szCs w:val="32"/>
        </w:rPr>
        <w:t>；政府性基金预算财政拨款收入</w:t>
      </w:r>
      <w:r>
        <w:rPr>
          <w:rFonts w:hint="eastAsia" w:ascii="仿宋" w:hAnsi="仿宋" w:eastAsia="仿宋" w:cs="仿宋_GB2312"/>
          <w:color w:val="000000"/>
          <w:sz w:val="32"/>
          <w:szCs w:val="32"/>
          <w:lang w:val="zh-CN"/>
        </w:rPr>
        <w:t>0.28</w:t>
      </w:r>
      <w:r>
        <w:rPr>
          <w:rFonts w:hint="eastAsia" w:ascii="仿宋" w:hAnsi="仿宋" w:eastAsia="仿宋"/>
          <w:sz w:val="32"/>
          <w:szCs w:val="32"/>
        </w:rPr>
        <w:t>万元，占</w:t>
      </w:r>
      <w:r>
        <w:rPr>
          <w:rFonts w:hint="eastAsia" w:ascii="仿宋" w:hAnsi="仿宋" w:eastAsia="仿宋" w:cs="仿宋_GB2312"/>
          <w:color w:val="000000"/>
          <w:sz w:val="32"/>
          <w:szCs w:val="32"/>
          <w:lang w:val="zh-CN"/>
        </w:rPr>
        <w:t>0</w:t>
      </w:r>
      <w:r>
        <w:rPr>
          <w:rFonts w:ascii="仿宋" w:hAnsi="仿宋" w:eastAsia="仿宋"/>
          <w:sz w:val="32"/>
          <w:szCs w:val="32"/>
        </w:rPr>
        <w:t>%</w:t>
      </w:r>
      <w:r>
        <w:rPr>
          <w:rFonts w:hint="eastAsia" w:ascii="仿宋" w:hAnsi="仿宋" w:eastAsia="仿宋"/>
          <w:sz w:val="32"/>
          <w:szCs w:val="32"/>
        </w:rPr>
        <w:t>；国有资本经营预算财政拨款收入0万元，占0</w:t>
      </w:r>
      <w:r>
        <w:rPr>
          <w:rFonts w:ascii="仿宋" w:hAnsi="仿宋" w:eastAsia="仿宋"/>
          <w:sz w:val="32"/>
          <w:szCs w:val="32"/>
        </w:rPr>
        <w:t>%</w:t>
      </w:r>
      <w:r>
        <w:rPr>
          <w:rFonts w:hint="eastAsia" w:ascii="仿宋" w:hAnsi="仿宋" w:eastAsia="仿宋"/>
          <w:sz w:val="32"/>
          <w:szCs w:val="32"/>
        </w:rPr>
        <w:t>；上级补助收入0万元，占0</w:t>
      </w:r>
      <w:r>
        <w:rPr>
          <w:rFonts w:ascii="仿宋" w:hAnsi="仿宋" w:eastAsia="仿宋"/>
          <w:sz w:val="32"/>
          <w:szCs w:val="32"/>
        </w:rPr>
        <w:t>%</w:t>
      </w:r>
      <w:r>
        <w:rPr>
          <w:rFonts w:hint="eastAsia" w:ascii="仿宋" w:hAnsi="仿宋" w:eastAsia="仿宋"/>
          <w:sz w:val="32"/>
          <w:szCs w:val="32"/>
        </w:rPr>
        <w:t>；事业收入0万元，占0</w:t>
      </w:r>
      <w:r>
        <w:rPr>
          <w:rFonts w:ascii="仿宋" w:hAnsi="仿宋" w:eastAsia="仿宋"/>
          <w:sz w:val="32"/>
          <w:szCs w:val="32"/>
        </w:rPr>
        <w:t>%</w:t>
      </w:r>
      <w:r>
        <w:rPr>
          <w:rFonts w:hint="eastAsia" w:ascii="仿宋" w:hAnsi="仿宋" w:eastAsia="仿宋"/>
          <w:sz w:val="32"/>
          <w:szCs w:val="32"/>
        </w:rPr>
        <w:t>；经营收入0万元，占0</w:t>
      </w:r>
      <w:r>
        <w:rPr>
          <w:rFonts w:ascii="仿宋" w:hAnsi="仿宋" w:eastAsia="仿宋"/>
          <w:sz w:val="32"/>
          <w:szCs w:val="32"/>
        </w:rPr>
        <w:t>%</w:t>
      </w:r>
      <w:r>
        <w:rPr>
          <w:rFonts w:hint="eastAsia" w:ascii="仿宋" w:hAnsi="仿宋" w:eastAsia="仿宋"/>
          <w:sz w:val="32"/>
          <w:szCs w:val="32"/>
        </w:rPr>
        <w:t>；附属单位上缴收入0万元，占0</w:t>
      </w:r>
      <w:r>
        <w:rPr>
          <w:rFonts w:ascii="仿宋" w:hAnsi="仿宋" w:eastAsia="仿宋"/>
          <w:sz w:val="32"/>
          <w:szCs w:val="32"/>
        </w:rPr>
        <w:t>%</w:t>
      </w:r>
      <w:r>
        <w:rPr>
          <w:rFonts w:hint="eastAsia" w:ascii="仿宋" w:hAnsi="仿宋" w:eastAsia="仿宋"/>
          <w:sz w:val="32"/>
          <w:szCs w:val="32"/>
        </w:rPr>
        <w:t>；其他收入0万元，占0</w:t>
      </w:r>
      <w:r>
        <w:rPr>
          <w:rFonts w:ascii="仿宋" w:hAnsi="仿宋" w:eastAsia="仿宋"/>
          <w:sz w:val="32"/>
          <w:szCs w:val="32"/>
        </w:rPr>
        <w:t>%</w:t>
      </w:r>
      <w:r>
        <w:rPr>
          <w:rFonts w:hint="eastAsia" w:ascii="仿宋" w:hAnsi="仿宋" w:eastAsia="仿宋"/>
          <w:sz w:val="32"/>
          <w:szCs w:val="32"/>
        </w:rPr>
        <w:t>。</w:t>
      </w:r>
    </w:p>
    <w:p>
      <w:pPr>
        <w:pStyle w:val="2"/>
        <w:spacing w:before="93"/>
      </w:pPr>
      <w:r>
        <w:drawing>
          <wp:inline distT="0" distB="0" distL="0" distR="0">
            <wp:extent cx="5274310" cy="2712085"/>
            <wp:effectExtent l="19050" t="0" r="21590" b="0"/>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numPr>
          <w:ilvl w:val="0"/>
          <w:numId w:val="1"/>
        </w:numPr>
        <w:spacing w:line="600" w:lineRule="exact"/>
        <w:outlineLvl w:val="1"/>
        <w:rPr>
          <w:rFonts w:ascii="黑体" w:hAnsi="黑体" w:eastAsia="黑体"/>
          <w:b/>
          <w:sz w:val="32"/>
          <w:szCs w:val="32"/>
        </w:rPr>
      </w:pPr>
      <w:bookmarkStart w:id="24" w:name="_Toc15396605"/>
      <w:bookmarkStart w:id="25" w:name="_Toc15377207"/>
      <w:r>
        <w:rPr>
          <w:rFonts w:hint="eastAsia" w:ascii="黑体" w:hAnsi="黑体" w:eastAsia="黑体"/>
          <w:sz w:val="32"/>
          <w:szCs w:val="32"/>
        </w:rPr>
        <w:t>支</w:t>
      </w:r>
      <w:r>
        <w:rPr>
          <w:rFonts w:hint="eastAsia" w:ascii="黑体" w:hAnsi="黑体" w:eastAsia="黑体"/>
          <w:b/>
          <w:sz w:val="32"/>
          <w:szCs w:val="32"/>
        </w:rPr>
        <w:t>出决算情况说明</w:t>
      </w:r>
      <w:bookmarkEnd w:id="24"/>
      <w:bookmarkEnd w:id="25"/>
    </w:p>
    <w:p>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22年本年支出合计</w:t>
      </w:r>
      <w:r>
        <w:rPr>
          <w:rFonts w:ascii="仿宋" w:hAnsi="仿宋" w:eastAsia="仿宋" w:cs="仿宋_GB2312"/>
          <w:color w:val="000000"/>
          <w:sz w:val="32"/>
          <w:szCs w:val="32"/>
          <w:lang w:val="zh-CN"/>
        </w:rPr>
        <w:t>739.67</w:t>
      </w:r>
      <w:r>
        <w:rPr>
          <w:rFonts w:hint="eastAsia" w:ascii="仿宋" w:hAnsi="仿宋" w:eastAsia="仿宋"/>
          <w:sz w:val="32"/>
          <w:szCs w:val="32"/>
        </w:rPr>
        <w:t>万元，其中：基本支出</w:t>
      </w:r>
      <w:r>
        <w:rPr>
          <w:rFonts w:ascii="仿宋" w:hAnsi="仿宋" w:eastAsia="仿宋" w:cs="仿宋_GB2312"/>
          <w:color w:val="000000"/>
          <w:sz w:val="32"/>
          <w:szCs w:val="32"/>
          <w:lang w:val="zh-CN"/>
        </w:rPr>
        <w:t>312.87</w:t>
      </w:r>
      <w:r>
        <w:rPr>
          <w:rFonts w:hint="eastAsia" w:ascii="仿宋" w:hAnsi="仿宋" w:eastAsia="仿宋"/>
          <w:sz w:val="32"/>
          <w:szCs w:val="32"/>
        </w:rPr>
        <w:t>万元，占</w:t>
      </w:r>
      <w:r>
        <w:rPr>
          <w:rFonts w:ascii="仿宋" w:hAnsi="仿宋" w:eastAsia="仿宋" w:cs="仿宋_GB2312"/>
          <w:color w:val="000000"/>
          <w:sz w:val="32"/>
          <w:szCs w:val="32"/>
          <w:lang w:val="zh-CN"/>
        </w:rPr>
        <w:t>42.3</w:t>
      </w:r>
      <w:r>
        <w:rPr>
          <w:rFonts w:ascii="仿宋" w:hAnsi="仿宋" w:eastAsia="仿宋"/>
          <w:sz w:val="32"/>
          <w:szCs w:val="32"/>
        </w:rPr>
        <w:t>%</w:t>
      </w:r>
      <w:r>
        <w:rPr>
          <w:rFonts w:hint="eastAsia" w:ascii="仿宋" w:hAnsi="仿宋" w:eastAsia="仿宋"/>
          <w:sz w:val="32"/>
          <w:szCs w:val="32"/>
        </w:rPr>
        <w:t>；项目支出</w:t>
      </w:r>
      <w:r>
        <w:rPr>
          <w:rFonts w:ascii="仿宋" w:hAnsi="仿宋" w:eastAsia="仿宋" w:cs="仿宋_GB2312"/>
          <w:color w:val="000000"/>
          <w:sz w:val="32"/>
          <w:szCs w:val="32"/>
          <w:lang w:val="zh-CN"/>
        </w:rPr>
        <w:t>426.8</w:t>
      </w:r>
      <w:r>
        <w:rPr>
          <w:rFonts w:hint="eastAsia" w:ascii="仿宋" w:hAnsi="仿宋" w:eastAsia="仿宋"/>
          <w:sz w:val="32"/>
          <w:szCs w:val="32"/>
        </w:rPr>
        <w:t>万元，占</w:t>
      </w:r>
      <w:r>
        <w:rPr>
          <w:rFonts w:ascii="仿宋" w:hAnsi="仿宋" w:eastAsia="仿宋" w:cs="仿宋_GB2312"/>
          <w:color w:val="000000"/>
          <w:sz w:val="32"/>
          <w:szCs w:val="32"/>
          <w:lang w:val="zh-CN"/>
        </w:rPr>
        <w:t>57.7</w:t>
      </w:r>
      <w:r>
        <w:rPr>
          <w:rFonts w:ascii="仿宋" w:hAnsi="仿宋" w:eastAsia="仿宋"/>
          <w:sz w:val="32"/>
          <w:szCs w:val="32"/>
        </w:rPr>
        <w:t>%</w:t>
      </w:r>
      <w:r>
        <w:rPr>
          <w:rFonts w:hint="eastAsia" w:ascii="仿宋" w:hAnsi="仿宋" w:eastAsia="仿宋"/>
          <w:sz w:val="32"/>
          <w:szCs w:val="32"/>
        </w:rPr>
        <w:t>；上缴上级支出0万元，占0</w:t>
      </w:r>
      <w:r>
        <w:rPr>
          <w:rFonts w:ascii="仿宋" w:hAnsi="仿宋" w:eastAsia="仿宋"/>
          <w:sz w:val="32"/>
          <w:szCs w:val="32"/>
        </w:rPr>
        <w:t>%</w:t>
      </w:r>
      <w:r>
        <w:rPr>
          <w:rFonts w:hint="eastAsia" w:ascii="仿宋" w:hAnsi="仿宋" w:eastAsia="仿宋"/>
          <w:sz w:val="32"/>
          <w:szCs w:val="32"/>
        </w:rPr>
        <w:t>；经营支出0万元，占0</w:t>
      </w:r>
      <w:r>
        <w:rPr>
          <w:rFonts w:ascii="仿宋" w:hAnsi="仿宋" w:eastAsia="仿宋"/>
          <w:sz w:val="32"/>
          <w:szCs w:val="32"/>
        </w:rPr>
        <w:t>%</w:t>
      </w:r>
      <w:r>
        <w:rPr>
          <w:rFonts w:hint="eastAsia" w:ascii="仿宋" w:hAnsi="仿宋" w:eastAsia="仿宋"/>
          <w:sz w:val="32"/>
          <w:szCs w:val="32"/>
        </w:rPr>
        <w:t>；对附属单位补助支出0万元，占0</w:t>
      </w:r>
      <w:r>
        <w:rPr>
          <w:rFonts w:ascii="仿宋" w:hAnsi="仿宋" w:eastAsia="仿宋"/>
          <w:sz w:val="32"/>
          <w:szCs w:val="32"/>
        </w:rPr>
        <w:t>%</w:t>
      </w:r>
      <w:r>
        <w:rPr>
          <w:rFonts w:hint="eastAsia" w:ascii="仿宋" w:hAnsi="仿宋" w:eastAsia="仿宋"/>
          <w:sz w:val="32"/>
          <w:szCs w:val="32"/>
        </w:rPr>
        <w:t>。</w:t>
      </w:r>
    </w:p>
    <w:p>
      <w:pPr>
        <w:pStyle w:val="2"/>
        <w:spacing w:before="93"/>
      </w:pPr>
      <w:r>
        <w:drawing>
          <wp:inline distT="0" distB="0" distL="0" distR="0">
            <wp:extent cx="5274310" cy="2654935"/>
            <wp:effectExtent l="19050" t="0" r="2159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outlineLvl w:val="1"/>
        <w:rPr>
          <w:rFonts w:ascii="黑体" w:hAnsi="黑体" w:eastAsia="黑体"/>
          <w:b/>
        </w:rPr>
      </w:pPr>
      <w:bookmarkStart w:id="26" w:name="_Toc15377208"/>
      <w:bookmarkStart w:id="27" w:name="_Toc15396606"/>
      <w:r>
        <w:rPr>
          <w:rFonts w:hint="eastAsia" w:ascii="黑体" w:hAnsi="黑体" w:eastAsia="黑体"/>
          <w:sz w:val="32"/>
          <w:szCs w:val="32"/>
        </w:rPr>
        <w:t>四、财</w:t>
      </w:r>
      <w:r>
        <w:rPr>
          <w:rFonts w:hint="eastAsia" w:ascii="黑体" w:hAnsi="黑体" w:eastAsia="黑体"/>
          <w:b/>
          <w:sz w:val="32"/>
          <w:szCs w:val="32"/>
        </w:rPr>
        <w:t>政拨款收入支出决算总体情况说明</w:t>
      </w:r>
      <w:bookmarkEnd w:id="26"/>
      <w:bookmarkEnd w:id="27"/>
    </w:p>
    <w:p>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22年财政拨款收入总计</w:t>
      </w:r>
      <w:r>
        <w:rPr>
          <w:rFonts w:hint="eastAsia" w:ascii="仿宋" w:hAnsi="仿宋" w:eastAsia="仿宋" w:cs="仿宋_GB2312"/>
          <w:color w:val="000000"/>
          <w:sz w:val="32"/>
          <w:szCs w:val="32"/>
          <w:lang w:val="zh-CN"/>
        </w:rPr>
        <w:t>723.46</w:t>
      </w:r>
      <w:r>
        <w:rPr>
          <w:rFonts w:hint="eastAsia" w:ascii="仿宋" w:hAnsi="仿宋" w:eastAsia="仿宋"/>
          <w:sz w:val="32"/>
          <w:szCs w:val="32"/>
        </w:rPr>
        <w:t>万元，上年结转结余16.21万元。与</w:t>
      </w:r>
      <w:r>
        <w:rPr>
          <w:rFonts w:ascii="仿宋" w:hAnsi="仿宋" w:eastAsia="仿宋"/>
          <w:sz w:val="32"/>
          <w:szCs w:val="32"/>
        </w:rPr>
        <w:t>20</w:t>
      </w:r>
      <w:r>
        <w:rPr>
          <w:rFonts w:hint="eastAsia" w:ascii="仿宋" w:hAnsi="仿宋" w:eastAsia="仿宋"/>
          <w:sz w:val="32"/>
          <w:szCs w:val="32"/>
        </w:rPr>
        <w:t>21年相比，财政拨款收入减少17.93万元，下降2.42</w:t>
      </w:r>
      <w:r>
        <w:rPr>
          <w:rFonts w:ascii="仿宋" w:hAnsi="仿宋" w:eastAsia="仿宋"/>
          <w:sz w:val="32"/>
          <w:szCs w:val="32"/>
        </w:rPr>
        <w:t>%</w:t>
      </w:r>
      <w:r>
        <w:rPr>
          <w:rFonts w:hint="eastAsia" w:ascii="仿宋" w:hAnsi="仿宋" w:eastAsia="仿宋"/>
          <w:sz w:val="32"/>
          <w:szCs w:val="32"/>
        </w:rPr>
        <w:t>。主要变动原因是减少了项目支出</w:t>
      </w:r>
      <w:r>
        <w:rPr>
          <w:rFonts w:hint="eastAsia" w:ascii="仿宋" w:hAnsi="仿宋" w:eastAsia="仿宋"/>
          <w:sz w:val="32"/>
          <w:szCs w:val="32"/>
          <w:lang w:eastAsia="zh-CN"/>
        </w:rPr>
        <w:t>。</w:t>
      </w:r>
    </w:p>
    <w:p>
      <w:pPr>
        <w:pStyle w:val="2"/>
        <w:spacing w:before="93"/>
        <w:rPr>
          <w:rFonts w:ascii="仿宋" w:hAnsi="仿宋" w:eastAsia="仿宋"/>
          <w:sz w:val="32"/>
          <w:szCs w:val="32"/>
        </w:rPr>
      </w:pPr>
      <w:r>
        <w:rPr>
          <w:rFonts w:hint="eastAsia"/>
        </w:rPr>
        <w:t xml:space="preserve">    </w:t>
      </w:r>
      <w:r>
        <w:rPr>
          <w:rFonts w:hint="eastAsia" w:ascii="仿宋" w:hAnsi="仿宋" w:eastAsia="仿宋"/>
          <w:sz w:val="32"/>
          <w:szCs w:val="32"/>
        </w:rPr>
        <w:t>2022年</w:t>
      </w:r>
      <w:r>
        <w:rPr>
          <w:rFonts w:hint="eastAsia" w:ascii="仿宋" w:hAnsi="仿宋" w:eastAsia="仿宋"/>
          <w:sz w:val="32"/>
          <w:szCs w:val="32"/>
          <w:lang w:eastAsia="zh-CN"/>
        </w:rPr>
        <w:t>财政拨款</w:t>
      </w:r>
      <w:r>
        <w:rPr>
          <w:rFonts w:hint="eastAsia" w:ascii="仿宋" w:hAnsi="仿宋" w:eastAsia="仿宋"/>
          <w:sz w:val="32"/>
          <w:szCs w:val="32"/>
        </w:rPr>
        <w:t>支出总计739.67万元，与2021年相比，</w:t>
      </w:r>
      <w:r>
        <w:rPr>
          <w:rFonts w:hint="eastAsia" w:ascii="仿宋" w:hAnsi="仿宋" w:eastAsia="仿宋"/>
          <w:sz w:val="32"/>
          <w:szCs w:val="32"/>
          <w:lang w:eastAsia="zh-CN"/>
        </w:rPr>
        <w:t>财政拨款</w:t>
      </w:r>
      <w:r>
        <w:rPr>
          <w:rFonts w:hint="eastAsia" w:ascii="仿宋" w:hAnsi="仿宋" w:eastAsia="仿宋"/>
          <w:sz w:val="32"/>
          <w:szCs w:val="32"/>
        </w:rPr>
        <w:t>支出减少547.07万元，下降42.52%，主要变动原因是减少了项目支出。</w:t>
      </w:r>
    </w:p>
    <w:p>
      <w:pPr>
        <w:spacing w:line="600" w:lineRule="exact"/>
        <w:ind w:firstLine="640" w:firstLineChars="200"/>
        <w:outlineLvl w:val="1"/>
        <w:rPr>
          <w:rFonts w:ascii="黑体" w:hAnsi="黑体" w:eastAsia="黑体"/>
          <w:b/>
          <w:sz w:val="32"/>
          <w:szCs w:val="32"/>
        </w:rPr>
      </w:pPr>
      <w:bookmarkStart w:id="28" w:name="_Toc15377209"/>
      <w:bookmarkStart w:id="29" w:name="_Toc15396607"/>
      <w:r>
        <w:rPr>
          <w:rFonts w:hint="eastAsia" w:ascii="黑体" w:hAnsi="黑体" w:eastAsia="黑体"/>
          <w:sz w:val="32"/>
          <w:szCs w:val="32"/>
        </w:rPr>
        <w:t>五、</w:t>
      </w:r>
      <w:r>
        <w:rPr>
          <w:rFonts w:hint="eastAsia" w:ascii="黑体" w:hAnsi="黑体" w:eastAsia="黑体"/>
          <w:b/>
          <w:sz w:val="32"/>
          <w:szCs w:val="32"/>
        </w:rPr>
        <w:t>一般公共预算财政拨款支出决算情况说明</w:t>
      </w:r>
      <w:bookmarkEnd w:id="28"/>
      <w:bookmarkEnd w:id="29"/>
    </w:p>
    <w:p>
      <w:pPr>
        <w:spacing w:line="600" w:lineRule="exact"/>
        <w:ind w:firstLine="643" w:firstLineChars="200"/>
        <w:outlineLvl w:val="2"/>
        <w:rPr>
          <w:rFonts w:ascii="仿宋" w:hAnsi="仿宋" w:eastAsia="仿宋"/>
          <w:b/>
          <w:sz w:val="32"/>
          <w:szCs w:val="32"/>
        </w:rPr>
      </w:pPr>
      <w:bookmarkStart w:id="30" w:name="_Toc15377210"/>
      <w:r>
        <w:rPr>
          <w:rFonts w:hint="eastAsia" w:ascii="仿宋" w:hAnsi="仿宋" w:eastAsia="仿宋"/>
          <w:b/>
          <w:sz w:val="32"/>
          <w:szCs w:val="32"/>
        </w:rPr>
        <w:t>（一）一般公共预算财政拨款支出决算总体情况</w:t>
      </w:r>
      <w:bookmarkEnd w:id="30"/>
    </w:p>
    <w:p>
      <w:pPr>
        <w:spacing w:line="600" w:lineRule="exact"/>
        <w:ind w:firstLine="640" w:firstLineChars="20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22年一般公共预算财政拨款支出</w:t>
      </w:r>
      <w:r>
        <w:rPr>
          <w:rFonts w:hint="eastAsia" w:ascii="仿宋" w:hAnsi="仿宋" w:eastAsia="仿宋" w:cs="仿宋_GB2312"/>
          <w:color w:val="000000"/>
          <w:sz w:val="32"/>
          <w:szCs w:val="32"/>
          <w:lang w:val="zh-CN"/>
        </w:rPr>
        <w:t>739.39</w:t>
      </w:r>
      <w:r>
        <w:rPr>
          <w:rFonts w:hint="eastAsia" w:ascii="仿宋" w:hAnsi="仿宋" w:eastAsia="仿宋"/>
          <w:sz w:val="32"/>
          <w:szCs w:val="32"/>
        </w:rPr>
        <w:t>万元，占本年支出合计的</w:t>
      </w:r>
      <w:r>
        <w:rPr>
          <w:rFonts w:hint="eastAsia" w:ascii="仿宋" w:hAnsi="仿宋" w:eastAsia="仿宋" w:cs="仿宋_GB2312"/>
          <w:color w:val="000000"/>
          <w:sz w:val="32"/>
          <w:szCs w:val="32"/>
          <w:lang w:val="zh-CN"/>
        </w:rPr>
        <w:t>100</w:t>
      </w:r>
      <w:r>
        <w:rPr>
          <w:rFonts w:ascii="仿宋" w:hAnsi="仿宋" w:eastAsia="仿宋"/>
          <w:sz w:val="32"/>
          <w:szCs w:val="32"/>
        </w:rPr>
        <w:t>%</w:t>
      </w:r>
      <w:r>
        <w:rPr>
          <w:rFonts w:hint="eastAsia" w:ascii="仿宋" w:hAnsi="仿宋" w:eastAsia="仿宋"/>
          <w:sz w:val="32"/>
          <w:szCs w:val="32"/>
        </w:rPr>
        <w:t>。与</w:t>
      </w:r>
      <w:r>
        <w:rPr>
          <w:rFonts w:ascii="仿宋" w:hAnsi="仿宋" w:eastAsia="仿宋"/>
          <w:sz w:val="32"/>
          <w:szCs w:val="32"/>
        </w:rPr>
        <w:t>20</w:t>
      </w:r>
      <w:r>
        <w:rPr>
          <w:rFonts w:hint="eastAsia" w:ascii="仿宋" w:hAnsi="仿宋" w:eastAsia="仿宋"/>
          <w:sz w:val="32"/>
          <w:szCs w:val="32"/>
        </w:rPr>
        <w:t>21年相比，一般公共预算财政拨款支出减少</w:t>
      </w:r>
      <w:r>
        <w:rPr>
          <w:rFonts w:hint="eastAsia" w:ascii="仿宋" w:hAnsi="仿宋" w:eastAsia="仿宋" w:cs="仿宋_GB2312"/>
          <w:color w:val="000000"/>
          <w:sz w:val="32"/>
          <w:szCs w:val="32"/>
          <w:lang w:val="zh-CN"/>
        </w:rPr>
        <w:t>547</w:t>
      </w:r>
      <w:r>
        <w:rPr>
          <w:rFonts w:hint="eastAsia" w:ascii="仿宋" w:hAnsi="仿宋" w:eastAsia="仿宋"/>
          <w:sz w:val="32"/>
          <w:szCs w:val="32"/>
        </w:rPr>
        <w:t>万元，下降42.52</w:t>
      </w:r>
      <w:r>
        <w:rPr>
          <w:rFonts w:ascii="仿宋" w:hAnsi="仿宋" w:eastAsia="仿宋"/>
          <w:sz w:val="32"/>
          <w:szCs w:val="32"/>
        </w:rPr>
        <w:t>%</w:t>
      </w:r>
      <w:r>
        <w:rPr>
          <w:rFonts w:hint="eastAsia" w:ascii="仿宋" w:hAnsi="仿宋" w:eastAsia="仿宋"/>
          <w:sz w:val="32"/>
          <w:szCs w:val="32"/>
        </w:rPr>
        <w:t>。主要变动原因是减少了项目支出。</w:t>
      </w:r>
    </w:p>
    <w:p>
      <w:pPr>
        <w:pStyle w:val="2"/>
        <w:spacing w:before="93"/>
      </w:pPr>
      <w:r>
        <w:drawing>
          <wp:inline distT="0" distB="0" distL="0" distR="0">
            <wp:extent cx="5274310" cy="2743200"/>
            <wp:effectExtent l="19050" t="0" r="2159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3" w:firstLineChars="200"/>
        <w:outlineLvl w:val="2"/>
        <w:rPr>
          <w:rFonts w:ascii="仿宋" w:hAnsi="仿宋" w:eastAsia="仿宋"/>
          <w:b/>
          <w:sz w:val="32"/>
          <w:szCs w:val="32"/>
        </w:rPr>
      </w:pPr>
      <w:bookmarkStart w:id="31" w:name="_Toc15377211"/>
      <w:r>
        <w:rPr>
          <w:rFonts w:hint="eastAsia" w:ascii="仿宋" w:hAnsi="仿宋" w:eastAsia="仿宋"/>
          <w:b/>
          <w:sz w:val="32"/>
          <w:szCs w:val="32"/>
        </w:rPr>
        <w:t>（二）一般公共预算财政拨款支出决算结构情况</w:t>
      </w:r>
      <w:bookmarkEnd w:id="31"/>
    </w:p>
    <w:p>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22年一般公共预算财政拨款支出</w:t>
      </w:r>
      <w:r>
        <w:rPr>
          <w:rFonts w:hint="eastAsia" w:ascii="仿宋" w:hAnsi="仿宋" w:eastAsia="仿宋" w:cs="仿宋_GB2312"/>
          <w:color w:val="000000"/>
          <w:sz w:val="32"/>
          <w:szCs w:val="32"/>
          <w:lang w:val="zh-CN"/>
        </w:rPr>
        <w:t>739.39</w:t>
      </w:r>
      <w:r>
        <w:rPr>
          <w:rFonts w:hint="eastAsia" w:ascii="仿宋" w:hAnsi="仿宋" w:eastAsia="仿宋"/>
          <w:sz w:val="32"/>
          <w:szCs w:val="32"/>
        </w:rPr>
        <w:t>万元，主要用于以下方面</w:t>
      </w:r>
      <w:r>
        <w:rPr>
          <w:rFonts w:hint="eastAsia" w:ascii="仿宋" w:hAnsi="仿宋" w:eastAsia="仿宋"/>
          <w:sz w:val="32"/>
          <w:szCs w:val="32"/>
          <w:lang w:eastAsia="zh-CN"/>
        </w:rPr>
        <w:t>：</w:t>
      </w:r>
      <w:r>
        <w:rPr>
          <w:rFonts w:hint="eastAsia" w:ascii="仿宋" w:hAnsi="仿宋" w:eastAsia="仿宋"/>
          <w:sz w:val="32"/>
          <w:szCs w:val="32"/>
        </w:rPr>
        <w:t>一般公共服务</w:t>
      </w:r>
      <w:r>
        <w:rPr>
          <w:rFonts w:hint="eastAsia" w:ascii="仿宋" w:hAnsi="仿宋" w:eastAsia="仿宋"/>
          <w:bCs/>
          <w:sz w:val="32"/>
          <w:szCs w:val="32"/>
        </w:rPr>
        <w:t>支出</w:t>
      </w:r>
      <w:r>
        <w:rPr>
          <w:rFonts w:ascii="仿宋" w:hAnsi="仿宋" w:eastAsia="仿宋" w:cs="仿宋_GB2312"/>
          <w:color w:val="000000"/>
          <w:sz w:val="32"/>
          <w:szCs w:val="32"/>
          <w:lang w:val="zh-CN"/>
        </w:rPr>
        <w:t>583.83</w:t>
      </w:r>
      <w:r>
        <w:rPr>
          <w:rFonts w:hint="eastAsia" w:ascii="仿宋" w:hAnsi="仿宋" w:eastAsia="仿宋"/>
          <w:sz w:val="32"/>
          <w:szCs w:val="32"/>
        </w:rPr>
        <w:t>万元，占</w:t>
      </w:r>
      <w:r>
        <w:rPr>
          <w:rFonts w:hint="eastAsia" w:ascii="仿宋" w:hAnsi="仿宋" w:eastAsia="仿宋" w:cs="仿宋_GB2312"/>
          <w:color w:val="000000"/>
          <w:sz w:val="32"/>
          <w:szCs w:val="32"/>
          <w:lang w:val="zh-CN"/>
        </w:rPr>
        <w:t>79</w:t>
      </w:r>
      <w:r>
        <w:rPr>
          <w:rFonts w:ascii="仿宋" w:hAnsi="仿宋" w:eastAsia="仿宋"/>
          <w:sz w:val="32"/>
          <w:szCs w:val="32"/>
        </w:rPr>
        <w:t>%</w:t>
      </w:r>
      <w:r>
        <w:rPr>
          <w:rFonts w:hint="eastAsia" w:ascii="仿宋" w:hAnsi="仿宋" w:eastAsia="仿宋"/>
          <w:sz w:val="32"/>
          <w:szCs w:val="32"/>
        </w:rPr>
        <w:t>；教育支出0万元，占0</w:t>
      </w:r>
      <w:r>
        <w:rPr>
          <w:rFonts w:ascii="仿宋" w:hAnsi="仿宋" w:eastAsia="仿宋"/>
          <w:sz w:val="32"/>
          <w:szCs w:val="32"/>
        </w:rPr>
        <w:t>%</w:t>
      </w:r>
      <w:r>
        <w:rPr>
          <w:rFonts w:hint="eastAsia" w:ascii="仿宋" w:hAnsi="仿宋" w:eastAsia="仿宋"/>
          <w:sz w:val="32"/>
          <w:szCs w:val="32"/>
        </w:rPr>
        <w:t>；科学技术</w:t>
      </w:r>
      <w:r>
        <w:rPr>
          <w:rFonts w:hint="eastAsia" w:ascii="仿宋" w:hAnsi="仿宋" w:eastAsia="仿宋"/>
          <w:bCs/>
          <w:sz w:val="32"/>
          <w:szCs w:val="32"/>
        </w:rPr>
        <w:t>支出</w:t>
      </w:r>
      <w:r>
        <w:rPr>
          <w:rFonts w:hint="eastAsia" w:ascii="仿宋" w:hAnsi="仿宋" w:eastAsia="仿宋"/>
          <w:sz w:val="32"/>
          <w:szCs w:val="32"/>
        </w:rPr>
        <w:t>0万元，占0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Cs/>
          <w:sz w:val="32"/>
          <w:szCs w:val="32"/>
        </w:rPr>
        <w:t>文化旅游体育与传媒支出74.83万元，占10.1</w:t>
      </w:r>
      <w:r>
        <w:rPr>
          <w:rFonts w:ascii="仿宋" w:hAnsi="仿宋" w:eastAsia="仿宋"/>
          <w:bCs/>
          <w:sz w:val="32"/>
          <w:szCs w:val="32"/>
        </w:rPr>
        <w:t>%</w:t>
      </w:r>
      <w:r>
        <w:rPr>
          <w:rFonts w:hint="eastAsia" w:ascii="仿宋" w:hAnsi="仿宋" w:eastAsia="仿宋"/>
          <w:sz w:val="32"/>
          <w:szCs w:val="32"/>
        </w:rPr>
        <w:t>；社会保障和就业</w:t>
      </w:r>
      <w:r>
        <w:rPr>
          <w:rFonts w:hint="eastAsia" w:ascii="仿宋" w:hAnsi="仿宋" w:eastAsia="仿宋"/>
          <w:bCs/>
          <w:sz w:val="32"/>
          <w:szCs w:val="32"/>
        </w:rPr>
        <w:t>支出</w:t>
      </w:r>
      <w:r>
        <w:rPr>
          <w:rFonts w:ascii="仿宋" w:hAnsi="仿宋" w:eastAsia="仿宋" w:cs="仿宋_GB2312"/>
          <w:color w:val="000000"/>
          <w:sz w:val="32"/>
          <w:szCs w:val="32"/>
          <w:lang w:val="zh-CN"/>
        </w:rPr>
        <w:t>34.86</w:t>
      </w:r>
      <w:r>
        <w:rPr>
          <w:rFonts w:hint="eastAsia" w:ascii="仿宋" w:hAnsi="仿宋" w:eastAsia="仿宋"/>
          <w:sz w:val="32"/>
          <w:szCs w:val="32"/>
        </w:rPr>
        <w:t>万元，占</w:t>
      </w:r>
      <w:r>
        <w:rPr>
          <w:rFonts w:hint="eastAsia" w:ascii="仿宋" w:hAnsi="仿宋" w:eastAsia="仿宋" w:cs="仿宋_GB2312"/>
          <w:color w:val="000000"/>
          <w:sz w:val="32"/>
          <w:szCs w:val="32"/>
          <w:lang w:val="zh-CN"/>
        </w:rPr>
        <w:t>4.6</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Cs/>
          <w:sz w:val="32"/>
          <w:szCs w:val="32"/>
        </w:rPr>
        <w:t>卫生健康支出</w:t>
      </w:r>
      <w:r>
        <w:rPr>
          <w:rFonts w:ascii="仿宋" w:hAnsi="仿宋" w:eastAsia="仿宋" w:cs="仿宋_GB2312"/>
          <w:color w:val="000000"/>
          <w:sz w:val="32"/>
          <w:szCs w:val="32"/>
          <w:lang w:val="zh-CN"/>
        </w:rPr>
        <w:t>22.76</w:t>
      </w:r>
      <w:r>
        <w:rPr>
          <w:rFonts w:hint="eastAsia" w:ascii="仿宋" w:hAnsi="仿宋" w:eastAsia="仿宋"/>
          <w:sz w:val="32"/>
          <w:szCs w:val="32"/>
        </w:rPr>
        <w:t>万元，占</w:t>
      </w:r>
      <w:r>
        <w:rPr>
          <w:rFonts w:ascii="仿宋" w:hAnsi="仿宋" w:eastAsia="仿宋" w:cs="仿宋_GB2312"/>
          <w:color w:val="000000"/>
          <w:sz w:val="32"/>
          <w:szCs w:val="32"/>
          <w:lang w:val="zh-CN"/>
        </w:rPr>
        <w:t>3.1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cs="仿宋_GB2312"/>
          <w:color w:val="000000"/>
          <w:sz w:val="32"/>
          <w:szCs w:val="32"/>
          <w:lang w:val="zh-CN"/>
        </w:rPr>
        <w:t>节能环保支出0万元，占0</w:t>
      </w:r>
      <w:r>
        <w:rPr>
          <w:rFonts w:ascii="仿宋" w:hAnsi="仿宋" w:eastAsia="仿宋" w:cs="仿宋_GB2312"/>
          <w:color w:val="000000"/>
          <w:sz w:val="32"/>
          <w:szCs w:val="32"/>
          <w:lang w:val="zh-CN"/>
        </w:rPr>
        <w:t>%</w:t>
      </w:r>
      <w:r>
        <w:rPr>
          <w:rFonts w:hint="eastAsia" w:ascii="仿宋" w:hAnsi="仿宋" w:eastAsia="仿宋" w:cs="仿宋_GB2312"/>
          <w:color w:val="000000"/>
          <w:sz w:val="32"/>
          <w:szCs w:val="32"/>
          <w:lang w:val="zh-CN"/>
        </w:rPr>
        <w:t>；城乡社区支出</w:t>
      </w:r>
      <w:r>
        <w:rPr>
          <w:rFonts w:ascii="仿宋" w:hAnsi="仿宋" w:eastAsia="仿宋" w:cs="仿宋_GB2312"/>
          <w:color w:val="000000"/>
          <w:sz w:val="32"/>
          <w:szCs w:val="32"/>
          <w:lang w:val="zh-CN"/>
        </w:rPr>
        <w:t>0</w:t>
      </w:r>
      <w:r>
        <w:rPr>
          <w:rFonts w:hint="eastAsia" w:ascii="仿宋" w:hAnsi="仿宋" w:eastAsia="仿宋" w:cs="仿宋_GB2312"/>
          <w:color w:val="000000"/>
          <w:sz w:val="32"/>
          <w:szCs w:val="32"/>
          <w:lang w:val="zh-CN"/>
        </w:rPr>
        <w:t>万元，占</w:t>
      </w:r>
      <w:r>
        <w:rPr>
          <w:rFonts w:ascii="仿宋" w:hAnsi="仿宋" w:eastAsia="仿宋" w:cs="仿宋_GB2312"/>
          <w:color w:val="000000"/>
          <w:sz w:val="32"/>
          <w:szCs w:val="32"/>
          <w:lang w:val="zh-CN"/>
        </w:rPr>
        <w:t>0%</w:t>
      </w:r>
      <w:r>
        <w:rPr>
          <w:rFonts w:hint="eastAsia" w:ascii="仿宋" w:hAnsi="仿宋" w:eastAsia="仿宋" w:cs="仿宋_GB2312"/>
          <w:color w:val="000000"/>
          <w:sz w:val="32"/>
          <w:szCs w:val="32"/>
          <w:lang w:val="zh-CN"/>
        </w:rPr>
        <w:t>；农林水支出0万元，占0</w:t>
      </w:r>
      <w:r>
        <w:rPr>
          <w:rFonts w:ascii="仿宋" w:hAnsi="仿宋" w:eastAsia="仿宋" w:cs="仿宋_GB2312"/>
          <w:color w:val="000000"/>
          <w:sz w:val="32"/>
          <w:szCs w:val="32"/>
          <w:lang w:val="zh-CN"/>
        </w:rPr>
        <w:t>%</w:t>
      </w:r>
      <w:r>
        <w:rPr>
          <w:rFonts w:hint="eastAsia" w:ascii="仿宋" w:hAnsi="仿宋" w:eastAsia="仿宋" w:cs="仿宋_GB2312"/>
          <w:color w:val="000000"/>
          <w:sz w:val="32"/>
          <w:szCs w:val="32"/>
          <w:lang w:val="zh-CN"/>
        </w:rPr>
        <w:t>；</w:t>
      </w:r>
      <w:r>
        <w:rPr>
          <w:rFonts w:hint="eastAsia" w:ascii="仿宋" w:hAnsi="仿宋" w:eastAsia="仿宋"/>
          <w:bCs/>
          <w:sz w:val="32"/>
          <w:szCs w:val="32"/>
        </w:rPr>
        <w:t>住房保障支出</w:t>
      </w:r>
      <w:r>
        <w:rPr>
          <w:rFonts w:ascii="仿宋" w:hAnsi="仿宋" w:eastAsia="仿宋" w:cs="仿宋_GB2312"/>
          <w:color w:val="000000"/>
          <w:sz w:val="32"/>
          <w:szCs w:val="32"/>
          <w:lang w:val="zh-CN"/>
        </w:rPr>
        <w:t>23.11</w:t>
      </w:r>
      <w:r>
        <w:rPr>
          <w:rFonts w:hint="eastAsia" w:ascii="仿宋" w:hAnsi="仿宋" w:eastAsia="仿宋"/>
          <w:sz w:val="32"/>
          <w:szCs w:val="32"/>
        </w:rPr>
        <w:t>万元，</w:t>
      </w:r>
      <w:r>
        <w:rPr>
          <w:rFonts w:hint="eastAsia" w:ascii="仿宋" w:hAnsi="仿宋" w:eastAsia="仿宋" w:cs="仿宋_GB2312"/>
          <w:color w:val="000000"/>
          <w:sz w:val="32"/>
          <w:szCs w:val="32"/>
          <w:lang w:val="zh-CN"/>
        </w:rPr>
        <w:t>占</w:t>
      </w:r>
      <w:r>
        <w:rPr>
          <w:rFonts w:ascii="仿宋" w:hAnsi="仿宋" w:eastAsia="仿宋" w:cs="仿宋_GB2312"/>
          <w:color w:val="000000"/>
          <w:sz w:val="32"/>
          <w:szCs w:val="32"/>
          <w:lang w:val="zh-CN"/>
        </w:rPr>
        <w:t>3.</w:t>
      </w:r>
      <w:r>
        <w:rPr>
          <w:rFonts w:hint="eastAsia" w:ascii="仿宋" w:hAnsi="仿宋" w:eastAsia="仿宋" w:cs="仿宋_GB2312"/>
          <w:color w:val="000000"/>
          <w:sz w:val="32"/>
          <w:szCs w:val="32"/>
          <w:lang w:val="zh-CN"/>
        </w:rPr>
        <w:t>2</w:t>
      </w:r>
      <w:r>
        <w:rPr>
          <w:rFonts w:ascii="仿宋" w:hAnsi="仿宋" w:eastAsia="仿宋"/>
          <w:sz w:val="32"/>
          <w:szCs w:val="32"/>
        </w:rPr>
        <w:t>%</w:t>
      </w:r>
      <w:r>
        <w:rPr>
          <w:rFonts w:hint="eastAsia" w:ascii="仿宋" w:hAnsi="仿宋" w:eastAsia="仿宋"/>
          <w:sz w:val="32"/>
          <w:szCs w:val="32"/>
        </w:rPr>
        <w:t>。</w:t>
      </w:r>
    </w:p>
    <w:p>
      <w:pPr>
        <w:pStyle w:val="2"/>
        <w:spacing w:before="93"/>
      </w:pPr>
      <w:r>
        <w:drawing>
          <wp:inline distT="0" distB="0" distL="0" distR="0">
            <wp:extent cx="5274310" cy="3572510"/>
            <wp:effectExtent l="19050" t="0" r="21590" b="8421"/>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3" w:firstLineChars="200"/>
        <w:outlineLvl w:val="2"/>
        <w:rPr>
          <w:rFonts w:ascii="仿宋" w:hAnsi="仿宋" w:eastAsia="仿宋"/>
          <w:b/>
          <w:sz w:val="32"/>
          <w:szCs w:val="32"/>
        </w:rPr>
      </w:pPr>
      <w:bookmarkStart w:id="32" w:name="_Toc15377212"/>
      <w:r>
        <w:rPr>
          <w:rFonts w:hint="eastAsia" w:ascii="仿宋" w:hAnsi="仿宋" w:eastAsia="仿宋"/>
          <w:b/>
          <w:sz w:val="32"/>
          <w:szCs w:val="32"/>
        </w:rPr>
        <w:t>（三）一般公共预算财政拨款支出决算具体情况</w:t>
      </w:r>
      <w:bookmarkEnd w:id="32"/>
    </w:p>
    <w:p>
      <w:pPr>
        <w:spacing w:line="600" w:lineRule="exact"/>
        <w:ind w:firstLine="640" w:firstLineChars="200"/>
        <w:outlineLvl w:val="2"/>
        <w:rPr>
          <w:rFonts w:ascii="仿宋" w:hAnsi="仿宋" w:eastAsia="仿宋"/>
          <w:sz w:val="32"/>
          <w:szCs w:val="32"/>
        </w:rPr>
      </w:pPr>
      <w:bookmarkStart w:id="33" w:name="_Toc15377444"/>
      <w:bookmarkStart w:id="34" w:name="_Toc15377213"/>
      <w:bookmarkStart w:id="35" w:name="_Toc15378460"/>
      <w:r>
        <w:rPr>
          <w:rFonts w:hint="eastAsia" w:ascii="仿宋" w:hAnsi="仿宋" w:eastAsia="仿宋"/>
          <w:sz w:val="32"/>
          <w:szCs w:val="32"/>
        </w:rPr>
        <w:t>2022年一般公共预算支出决算数为</w:t>
      </w:r>
      <w:r>
        <w:rPr>
          <w:rFonts w:hint="eastAsia" w:ascii="仿宋" w:hAnsi="仿宋" w:eastAsia="仿宋" w:cs="仿宋_GB2312"/>
          <w:bCs/>
          <w:color w:val="000000"/>
          <w:sz w:val="32"/>
          <w:szCs w:val="32"/>
          <w:lang w:val="zh-CN"/>
        </w:rPr>
        <w:t>739.39万元</w:t>
      </w:r>
      <w:r>
        <w:rPr>
          <w:rFonts w:hint="eastAsia" w:ascii="仿宋" w:hAnsi="仿宋" w:eastAsia="仿宋"/>
          <w:sz w:val="32"/>
          <w:szCs w:val="32"/>
        </w:rPr>
        <w:t>，</w:t>
      </w:r>
      <w:r>
        <w:rPr>
          <w:rStyle w:val="27"/>
          <w:rFonts w:hint="eastAsia" w:ascii="仿宋" w:hAnsi="仿宋" w:eastAsia="仿宋"/>
          <w:bCs/>
          <w:sz w:val="32"/>
          <w:szCs w:val="32"/>
        </w:rPr>
        <w:t>完成预算100</w:t>
      </w:r>
      <w:r>
        <w:rPr>
          <w:rStyle w:val="27"/>
          <w:rFonts w:ascii="仿宋" w:hAnsi="仿宋" w:eastAsia="仿宋"/>
          <w:bCs/>
          <w:sz w:val="32"/>
          <w:szCs w:val="32"/>
        </w:rPr>
        <w:t>%</w:t>
      </w:r>
      <w:r>
        <w:rPr>
          <w:rStyle w:val="27"/>
          <w:rFonts w:hint="eastAsia" w:ascii="仿宋" w:hAnsi="仿宋" w:eastAsia="仿宋"/>
          <w:bCs/>
          <w:sz w:val="32"/>
          <w:szCs w:val="32"/>
        </w:rPr>
        <w:t>。其中：</w:t>
      </w:r>
      <w:bookmarkEnd w:id="33"/>
      <w:bookmarkEnd w:id="34"/>
      <w:bookmarkEnd w:id="35"/>
    </w:p>
    <w:p>
      <w:pPr>
        <w:ind w:firstLine="640" w:firstLineChars="200"/>
        <w:rPr>
          <w:rStyle w:val="27"/>
          <w:rFonts w:ascii="仿宋" w:hAnsi="仿宋" w:eastAsia="仿宋"/>
          <w:bCs/>
          <w:sz w:val="32"/>
          <w:szCs w:val="32"/>
        </w:rPr>
      </w:pPr>
      <w:r>
        <w:rPr>
          <w:rStyle w:val="27"/>
          <w:rFonts w:ascii="仿宋" w:hAnsi="仿宋" w:eastAsia="仿宋"/>
          <w:bCs/>
          <w:sz w:val="32"/>
          <w:szCs w:val="32"/>
        </w:rPr>
        <w:t>1.</w:t>
      </w:r>
      <w:r>
        <w:rPr>
          <w:rStyle w:val="27"/>
          <w:rFonts w:hint="eastAsia" w:ascii="仿宋" w:hAnsi="仿宋" w:eastAsia="仿宋"/>
          <w:bCs/>
          <w:sz w:val="32"/>
          <w:szCs w:val="32"/>
        </w:rPr>
        <w:t>一般公共服务支出（类）民族事务（款）民族工作专项（款）：支出决算数为2.536万元，完成预算100</w:t>
      </w:r>
      <w:r>
        <w:rPr>
          <w:rStyle w:val="27"/>
          <w:rFonts w:ascii="仿宋" w:hAnsi="仿宋" w:eastAsia="仿宋"/>
          <w:bCs/>
          <w:sz w:val="32"/>
          <w:szCs w:val="32"/>
        </w:rPr>
        <w:t>%</w:t>
      </w:r>
      <w:r>
        <w:rPr>
          <w:rStyle w:val="27"/>
          <w:rFonts w:hint="eastAsia" w:ascii="仿宋" w:hAnsi="仿宋" w:eastAsia="仿宋"/>
          <w:bCs/>
          <w:sz w:val="32"/>
          <w:szCs w:val="32"/>
        </w:rPr>
        <w:t>，与预算数持平。</w:t>
      </w:r>
    </w:p>
    <w:p>
      <w:pPr>
        <w:ind w:firstLine="640" w:firstLineChars="200"/>
        <w:rPr>
          <w:rStyle w:val="27"/>
          <w:rFonts w:ascii="仿宋" w:hAnsi="仿宋" w:eastAsia="仿宋"/>
          <w:bCs/>
          <w:sz w:val="32"/>
          <w:szCs w:val="32"/>
        </w:rPr>
      </w:pPr>
      <w:r>
        <w:rPr>
          <w:rStyle w:val="27"/>
          <w:rFonts w:hint="eastAsia" w:ascii="仿宋" w:hAnsi="仿宋" w:eastAsia="仿宋"/>
          <w:bCs/>
          <w:sz w:val="32"/>
          <w:szCs w:val="32"/>
        </w:rPr>
        <w:t>2.一般公共服务支出</w:t>
      </w:r>
      <w:r>
        <w:rPr>
          <w:rStyle w:val="27"/>
          <w:rFonts w:hint="eastAsia" w:ascii="仿宋" w:hAnsi="仿宋" w:eastAsia="仿宋"/>
          <w:bCs/>
          <w:sz w:val="32"/>
          <w:szCs w:val="32"/>
          <w:lang w:eastAsia="zh-CN"/>
        </w:rPr>
        <w:t>（</w:t>
      </w:r>
      <w:r>
        <w:rPr>
          <w:rStyle w:val="27"/>
          <w:rFonts w:hint="eastAsia" w:ascii="仿宋" w:hAnsi="仿宋" w:eastAsia="仿宋"/>
          <w:bCs/>
          <w:sz w:val="32"/>
          <w:szCs w:val="32"/>
        </w:rPr>
        <w:t>类</w:t>
      </w:r>
      <w:r>
        <w:rPr>
          <w:rStyle w:val="27"/>
          <w:rFonts w:hint="eastAsia" w:ascii="仿宋" w:hAnsi="仿宋" w:eastAsia="仿宋"/>
          <w:bCs/>
          <w:sz w:val="32"/>
          <w:szCs w:val="32"/>
          <w:lang w:eastAsia="zh-CN"/>
        </w:rPr>
        <w:t>）</w:t>
      </w:r>
      <w:r>
        <w:rPr>
          <w:rStyle w:val="27"/>
          <w:rFonts w:hint="eastAsia" w:ascii="仿宋" w:hAnsi="仿宋" w:eastAsia="仿宋"/>
          <w:bCs/>
          <w:sz w:val="32"/>
          <w:szCs w:val="32"/>
        </w:rPr>
        <w:t xml:space="preserve">宣传事务（款）行政运行（项）：支出决算数为170.04万元，完成预算100%，与预算持平。 </w:t>
      </w:r>
    </w:p>
    <w:p>
      <w:pPr>
        <w:ind w:firstLine="640" w:firstLineChars="200"/>
        <w:rPr>
          <w:rStyle w:val="27"/>
          <w:rFonts w:ascii="仿宋" w:hAnsi="仿宋" w:eastAsia="仿宋"/>
          <w:bCs/>
          <w:sz w:val="32"/>
          <w:szCs w:val="32"/>
        </w:rPr>
      </w:pPr>
      <w:r>
        <w:rPr>
          <w:rStyle w:val="27"/>
          <w:rFonts w:hint="eastAsia" w:ascii="仿宋" w:hAnsi="仿宋" w:eastAsia="仿宋"/>
          <w:bCs/>
          <w:sz w:val="32"/>
          <w:szCs w:val="32"/>
        </w:rPr>
        <w:t>3.一般公共服务支出</w:t>
      </w:r>
      <w:r>
        <w:rPr>
          <w:rStyle w:val="27"/>
          <w:rFonts w:hint="eastAsia" w:ascii="仿宋" w:hAnsi="仿宋" w:eastAsia="仿宋"/>
          <w:bCs/>
          <w:sz w:val="32"/>
          <w:szCs w:val="32"/>
          <w:lang w:eastAsia="zh-CN"/>
        </w:rPr>
        <w:t>（</w:t>
      </w:r>
      <w:r>
        <w:rPr>
          <w:rStyle w:val="27"/>
          <w:rFonts w:hint="eastAsia" w:ascii="仿宋" w:hAnsi="仿宋" w:eastAsia="仿宋"/>
          <w:bCs/>
          <w:sz w:val="32"/>
          <w:szCs w:val="32"/>
        </w:rPr>
        <w:t>类</w:t>
      </w:r>
      <w:r>
        <w:rPr>
          <w:rStyle w:val="27"/>
          <w:rFonts w:hint="eastAsia" w:ascii="仿宋" w:hAnsi="仿宋" w:eastAsia="仿宋"/>
          <w:bCs/>
          <w:sz w:val="32"/>
          <w:szCs w:val="32"/>
          <w:lang w:eastAsia="zh-CN"/>
        </w:rPr>
        <w:t>）</w:t>
      </w:r>
      <w:r>
        <w:rPr>
          <w:rStyle w:val="27"/>
          <w:rFonts w:hint="eastAsia" w:ascii="仿宋" w:hAnsi="仿宋" w:eastAsia="仿宋"/>
          <w:bCs/>
          <w:sz w:val="32"/>
          <w:szCs w:val="32"/>
        </w:rPr>
        <w:t>宣传事务（款）事业运行（项）：支出决算数为59.1万元，完成预算100%，与预算数持平。</w:t>
      </w:r>
    </w:p>
    <w:p>
      <w:pPr>
        <w:ind w:firstLine="640" w:firstLineChars="200"/>
        <w:rPr>
          <w:rStyle w:val="27"/>
          <w:rFonts w:ascii="仿宋" w:hAnsi="仿宋" w:eastAsia="仿宋"/>
          <w:bCs/>
          <w:sz w:val="32"/>
          <w:szCs w:val="32"/>
        </w:rPr>
      </w:pPr>
      <w:r>
        <w:rPr>
          <w:rStyle w:val="27"/>
          <w:rFonts w:hint="eastAsia" w:ascii="仿宋" w:hAnsi="仿宋" w:eastAsia="仿宋"/>
          <w:bCs/>
          <w:sz w:val="32"/>
          <w:szCs w:val="32"/>
        </w:rPr>
        <w:t>4.一般公共服务支出</w:t>
      </w:r>
      <w:r>
        <w:rPr>
          <w:rStyle w:val="27"/>
          <w:rFonts w:hint="eastAsia" w:ascii="仿宋" w:hAnsi="仿宋" w:eastAsia="仿宋"/>
          <w:bCs/>
          <w:sz w:val="32"/>
          <w:szCs w:val="32"/>
          <w:lang w:eastAsia="zh-CN"/>
        </w:rPr>
        <w:t>（</w:t>
      </w:r>
      <w:r>
        <w:rPr>
          <w:rStyle w:val="27"/>
          <w:rFonts w:hint="eastAsia" w:ascii="仿宋" w:hAnsi="仿宋" w:eastAsia="仿宋"/>
          <w:bCs/>
          <w:sz w:val="32"/>
          <w:szCs w:val="32"/>
        </w:rPr>
        <w:t>类</w:t>
      </w:r>
      <w:r>
        <w:rPr>
          <w:rStyle w:val="27"/>
          <w:rFonts w:hint="eastAsia" w:ascii="仿宋" w:hAnsi="仿宋" w:eastAsia="仿宋"/>
          <w:bCs/>
          <w:sz w:val="32"/>
          <w:szCs w:val="32"/>
          <w:lang w:eastAsia="zh-CN"/>
        </w:rPr>
        <w:t>）</w:t>
      </w:r>
      <w:r>
        <w:rPr>
          <w:rStyle w:val="27"/>
          <w:rFonts w:hint="eastAsia" w:ascii="仿宋" w:hAnsi="仿宋" w:eastAsia="仿宋"/>
          <w:bCs/>
          <w:sz w:val="32"/>
          <w:szCs w:val="32"/>
        </w:rPr>
        <w:t>宣传事务（款）</w:t>
      </w:r>
      <w:r>
        <w:rPr>
          <w:rFonts w:hint="eastAsia" w:ascii="仿宋" w:hAnsi="仿宋" w:eastAsia="仿宋" w:cs="Arial"/>
          <w:color w:val="000000"/>
          <w:kern w:val="0"/>
          <w:sz w:val="32"/>
          <w:szCs w:val="32"/>
        </w:rPr>
        <w:t>其他宣传事务（项）：支出决算数为349.16万元，完成预算100%，</w:t>
      </w:r>
      <w:r>
        <w:rPr>
          <w:rStyle w:val="27"/>
          <w:rFonts w:hint="eastAsia" w:ascii="仿宋" w:hAnsi="仿宋" w:eastAsia="仿宋"/>
          <w:bCs/>
          <w:sz w:val="32"/>
          <w:szCs w:val="32"/>
        </w:rPr>
        <w:t>与预算数持平。</w:t>
      </w:r>
    </w:p>
    <w:p>
      <w:pPr>
        <w:pStyle w:val="2"/>
        <w:spacing w:before="93"/>
        <w:ind w:firstLine="660"/>
        <w:rPr>
          <w:rStyle w:val="27"/>
          <w:rFonts w:ascii="仿宋" w:hAnsi="仿宋" w:eastAsia="仿宋"/>
          <w:bCs/>
          <w:kern w:val="2"/>
          <w:sz w:val="32"/>
          <w:szCs w:val="32"/>
        </w:rPr>
      </w:pPr>
      <w:r>
        <w:rPr>
          <w:rStyle w:val="27"/>
          <w:rFonts w:hint="eastAsia" w:ascii="仿宋" w:hAnsi="仿宋" w:eastAsia="仿宋"/>
          <w:bCs/>
          <w:kern w:val="2"/>
          <w:sz w:val="32"/>
          <w:szCs w:val="32"/>
        </w:rPr>
        <w:t>5</w:t>
      </w:r>
      <w:r>
        <w:rPr>
          <w:rStyle w:val="27"/>
          <w:rFonts w:hint="eastAsia" w:ascii="仿宋" w:hAnsi="仿宋" w:eastAsia="仿宋"/>
          <w:bCs/>
          <w:kern w:val="2"/>
          <w:sz w:val="32"/>
          <w:szCs w:val="32"/>
          <w:lang w:val="en-US" w:eastAsia="zh-CN"/>
        </w:rPr>
        <w:t>.</w:t>
      </w:r>
      <w:r>
        <w:rPr>
          <w:rStyle w:val="27"/>
          <w:rFonts w:hint="eastAsia" w:ascii="仿宋" w:hAnsi="仿宋" w:eastAsia="仿宋"/>
          <w:bCs/>
          <w:kern w:val="2"/>
          <w:sz w:val="32"/>
          <w:szCs w:val="32"/>
        </w:rPr>
        <w:t>文化旅游体育与传媒支出（类）文化和旅游（款）：文化活动（项）：支出决算数16.21万元，完成预算100%。与预算持平。</w:t>
      </w:r>
    </w:p>
    <w:p>
      <w:pPr>
        <w:pStyle w:val="2"/>
        <w:spacing w:before="93"/>
        <w:ind w:firstLine="660"/>
        <w:rPr>
          <w:rStyle w:val="27"/>
          <w:rFonts w:ascii="仿宋" w:hAnsi="仿宋" w:eastAsia="仿宋"/>
          <w:bCs/>
          <w:kern w:val="2"/>
          <w:sz w:val="32"/>
          <w:szCs w:val="32"/>
        </w:rPr>
      </w:pPr>
      <w:r>
        <w:rPr>
          <w:rStyle w:val="27"/>
          <w:rFonts w:hint="eastAsia" w:ascii="仿宋" w:hAnsi="仿宋" w:eastAsia="仿宋"/>
          <w:bCs/>
          <w:kern w:val="2"/>
          <w:sz w:val="32"/>
          <w:szCs w:val="32"/>
        </w:rPr>
        <w:t>6.文化旅游体育与传媒支出（类）文化和旅游（款）其他文化和旅游支出（项）：决算数为32.61万元，完成预算100%，与预算持平。</w:t>
      </w:r>
    </w:p>
    <w:p>
      <w:pPr>
        <w:pStyle w:val="2"/>
        <w:spacing w:before="93"/>
        <w:ind w:firstLine="660"/>
        <w:rPr>
          <w:rStyle w:val="27"/>
          <w:rFonts w:ascii="仿宋" w:hAnsi="仿宋" w:eastAsia="仿宋"/>
          <w:bCs/>
          <w:kern w:val="2"/>
          <w:sz w:val="32"/>
          <w:szCs w:val="32"/>
        </w:rPr>
      </w:pPr>
      <w:r>
        <w:rPr>
          <w:rStyle w:val="27"/>
          <w:rFonts w:hint="eastAsia" w:ascii="仿宋" w:hAnsi="仿宋" w:eastAsia="仿宋"/>
          <w:bCs/>
          <w:kern w:val="2"/>
          <w:sz w:val="32"/>
          <w:szCs w:val="32"/>
        </w:rPr>
        <w:t>7.文化旅游体育与传媒支出（类）新闻出版电影（款）电影（项）：支出决算数为15.77万元，完成预算100%，与预算数持平。</w:t>
      </w:r>
    </w:p>
    <w:p>
      <w:pPr>
        <w:pStyle w:val="2"/>
        <w:spacing w:before="93"/>
        <w:ind w:firstLine="660"/>
        <w:rPr>
          <w:rStyle w:val="27"/>
          <w:rFonts w:ascii="仿宋" w:hAnsi="仿宋" w:eastAsia="仿宋"/>
          <w:bCs/>
          <w:kern w:val="2"/>
          <w:sz w:val="32"/>
          <w:szCs w:val="32"/>
        </w:rPr>
      </w:pPr>
      <w:r>
        <w:rPr>
          <w:rStyle w:val="27"/>
          <w:rFonts w:hint="eastAsia" w:ascii="仿宋" w:hAnsi="仿宋" w:eastAsia="仿宋"/>
          <w:bCs/>
          <w:kern w:val="2"/>
          <w:sz w:val="32"/>
          <w:szCs w:val="32"/>
        </w:rPr>
        <w:t>8.文化旅游体育与传媒支出（类）其他文化旅游体育与传媒支出（款）其他文化旅游体育与传媒支出（项）：支出决算数为10.24万元，完成预算100%，与预算数持平。</w:t>
      </w:r>
    </w:p>
    <w:p>
      <w:pPr>
        <w:spacing w:line="600" w:lineRule="exact"/>
        <w:ind w:firstLine="640" w:firstLineChars="200"/>
        <w:rPr>
          <w:rStyle w:val="27"/>
          <w:rFonts w:ascii="仿宋" w:hAnsi="仿宋" w:eastAsia="仿宋"/>
          <w:bCs/>
          <w:sz w:val="32"/>
          <w:szCs w:val="32"/>
        </w:rPr>
      </w:pPr>
      <w:r>
        <w:rPr>
          <w:rStyle w:val="27"/>
          <w:rFonts w:hint="eastAsia" w:ascii="仿宋" w:hAnsi="仿宋" w:eastAsia="仿宋"/>
          <w:bCs/>
          <w:sz w:val="32"/>
          <w:szCs w:val="32"/>
        </w:rPr>
        <w:t>9</w:t>
      </w:r>
      <w:r>
        <w:rPr>
          <w:rStyle w:val="27"/>
          <w:rFonts w:ascii="仿宋" w:hAnsi="仿宋" w:eastAsia="仿宋"/>
          <w:bCs/>
          <w:sz w:val="32"/>
          <w:szCs w:val="32"/>
        </w:rPr>
        <w:t>.</w:t>
      </w:r>
      <w:r>
        <w:rPr>
          <w:rStyle w:val="27"/>
          <w:rFonts w:hint="eastAsia" w:ascii="仿宋" w:hAnsi="仿宋" w:eastAsia="仿宋"/>
          <w:bCs/>
          <w:sz w:val="32"/>
          <w:szCs w:val="32"/>
        </w:rPr>
        <w:t>社会保障和就业支出（类）行政事业单位养老支出（款）行政单位离退休（项）：</w:t>
      </w:r>
      <w:r>
        <w:rPr>
          <w:rStyle w:val="27"/>
          <w:rFonts w:hint="eastAsia" w:ascii="仿宋" w:hAnsi="仿宋" w:eastAsia="仿宋"/>
          <w:b/>
          <w:bCs/>
          <w:sz w:val="32"/>
          <w:szCs w:val="32"/>
        </w:rPr>
        <w:t>支出</w:t>
      </w:r>
      <w:r>
        <w:rPr>
          <w:rStyle w:val="27"/>
          <w:rFonts w:hint="eastAsia" w:ascii="仿宋" w:hAnsi="仿宋" w:eastAsia="仿宋"/>
          <w:bCs/>
          <w:sz w:val="32"/>
          <w:szCs w:val="32"/>
        </w:rPr>
        <w:t>决算数为14.75万元，完成预算100</w:t>
      </w:r>
      <w:r>
        <w:rPr>
          <w:rStyle w:val="27"/>
          <w:rFonts w:ascii="仿宋" w:hAnsi="仿宋" w:eastAsia="仿宋"/>
          <w:bCs/>
          <w:sz w:val="32"/>
          <w:szCs w:val="32"/>
        </w:rPr>
        <w:t>%</w:t>
      </w:r>
      <w:r>
        <w:rPr>
          <w:rStyle w:val="27"/>
          <w:rFonts w:hint="eastAsia" w:ascii="仿宋" w:hAnsi="仿宋" w:eastAsia="仿宋"/>
          <w:bCs/>
          <w:sz w:val="32"/>
          <w:szCs w:val="32"/>
        </w:rPr>
        <w:t>，与预算数持平。</w:t>
      </w:r>
    </w:p>
    <w:p>
      <w:pPr>
        <w:spacing w:line="600" w:lineRule="exact"/>
        <w:ind w:firstLine="640" w:firstLineChars="200"/>
        <w:rPr>
          <w:rStyle w:val="27"/>
          <w:rFonts w:ascii="仿宋" w:hAnsi="仿宋" w:eastAsia="仿宋"/>
          <w:bCs/>
          <w:sz w:val="32"/>
          <w:szCs w:val="32"/>
        </w:rPr>
      </w:pPr>
      <w:r>
        <w:rPr>
          <w:rStyle w:val="27"/>
          <w:rFonts w:hint="eastAsia" w:ascii="仿宋" w:hAnsi="仿宋" w:eastAsia="仿宋"/>
          <w:bCs/>
          <w:sz w:val="32"/>
          <w:szCs w:val="32"/>
        </w:rPr>
        <w:t>10.社会保障和就业支出（类）行政事业单位养老支出（款）机关事业单位基本养老保险缴费支出：支出决算数为20.11万元，完成预算100%，与预算数持平。</w:t>
      </w:r>
    </w:p>
    <w:p>
      <w:pPr>
        <w:ind w:firstLine="640" w:firstLineChars="200"/>
        <w:rPr>
          <w:rStyle w:val="27"/>
          <w:rFonts w:ascii="仿宋" w:hAnsi="仿宋" w:eastAsia="仿宋"/>
          <w:bCs/>
          <w:sz w:val="32"/>
          <w:szCs w:val="32"/>
        </w:rPr>
      </w:pPr>
      <w:r>
        <w:rPr>
          <w:rStyle w:val="27"/>
          <w:rFonts w:hint="eastAsia" w:ascii="仿宋" w:hAnsi="仿宋" w:eastAsia="仿宋"/>
          <w:bCs/>
          <w:sz w:val="32"/>
          <w:szCs w:val="32"/>
        </w:rPr>
        <w:t>11</w:t>
      </w:r>
      <w:r>
        <w:rPr>
          <w:rStyle w:val="27"/>
          <w:rFonts w:ascii="仿宋" w:hAnsi="仿宋" w:eastAsia="仿宋"/>
          <w:bCs/>
          <w:sz w:val="32"/>
          <w:szCs w:val="32"/>
        </w:rPr>
        <w:t>.</w:t>
      </w:r>
      <w:r>
        <w:rPr>
          <w:rFonts w:hint="eastAsia" w:ascii="仿宋" w:hAnsi="仿宋" w:eastAsia="仿宋"/>
          <w:bCs/>
          <w:sz w:val="32"/>
          <w:szCs w:val="32"/>
        </w:rPr>
        <w:t>卫生健康支出（类）行政事业单位医疗（款）</w:t>
      </w:r>
      <w:r>
        <w:rPr>
          <w:rStyle w:val="27"/>
          <w:rFonts w:hint="eastAsia" w:ascii="仿宋" w:hAnsi="仿宋" w:eastAsia="仿宋"/>
          <w:bCs/>
          <w:sz w:val="32"/>
          <w:szCs w:val="32"/>
        </w:rPr>
        <w:t>行政单位医疗（项）：支出决算数10.83万元，完成预算100%，与预算持平。</w:t>
      </w:r>
    </w:p>
    <w:p>
      <w:pPr>
        <w:ind w:firstLine="640" w:firstLineChars="200"/>
        <w:rPr>
          <w:rStyle w:val="27"/>
          <w:rFonts w:ascii="仿宋" w:hAnsi="仿宋" w:eastAsia="仿宋"/>
          <w:bCs/>
          <w:sz w:val="32"/>
          <w:szCs w:val="32"/>
        </w:rPr>
      </w:pPr>
      <w:r>
        <w:rPr>
          <w:rStyle w:val="27"/>
          <w:rFonts w:hint="eastAsia" w:ascii="仿宋" w:hAnsi="仿宋" w:eastAsia="仿宋"/>
          <w:bCs/>
          <w:sz w:val="32"/>
          <w:szCs w:val="32"/>
        </w:rPr>
        <w:t>12.</w:t>
      </w:r>
      <w:r>
        <w:rPr>
          <w:rFonts w:hint="eastAsia" w:ascii="仿宋" w:hAnsi="仿宋" w:eastAsia="仿宋"/>
          <w:bCs/>
          <w:sz w:val="32"/>
          <w:szCs w:val="32"/>
        </w:rPr>
        <w:t>卫生健康支出（类）行政事业单位医疗（款）</w:t>
      </w:r>
      <w:r>
        <w:rPr>
          <w:rStyle w:val="27"/>
          <w:rFonts w:hint="eastAsia" w:ascii="仿宋" w:hAnsi="仿宋" w:eastAsia="仿宋"/>
          <w:bCs/>
          <w:sz w:val="32"/>
          <w:szCs w:val="32"/>
        </w:rPr>
        <w:t>事业单位医疗（项）：支出决算数2.9万元，完成预算100%，与预算数持平。</w:t>
      </w:r>
    </w:p>
    <w:p>
      <w:pPr>
        <w:ind w:firstLine="640" w:firstLineChars="200"/>
        <w:rPr>
          <w:rStyle w:val="27"/>
          <w:rFonts w:ascii="仿宋" w:hAnsi="仿宋" w:eastAsia="仿宋"/>
          <w:bCs/>
          <w:sz w:val="32"/>
          <w:szCs w:val="32"/>
        </w:rPr>
      </w:pPr>
      <w:r>
        <w:rPr>
          <w:rStyle w:val="27"/>
          <w:rFonts w:hint="eastAsia" w:ascii="仿宋" w:hAnsi="仿宋" w:eastAsia="仿宋"/>
          <w:bCs/>
          <w:sz w:val="32"/>
          <w:szCs w:val="32"/>
        </w:rPr>
        <w:t>13.</w:t>
      </w:r>
      <w:r>
        <w:rPr>
          <w:rFonts w:hint="eastAsia" w:ascii="仿宋" w:hAnsi="仿宋" w:eastAsia="仿宋"/>
          <w:bCs/>
          <w:sz w:val="32"/>
          <w:szCs w:val="32"/>
        </w:rPr>
        <w:t>卫生健康支出（类）行政事业单位医疗（款）</w:t>
      </w:r>
      <w:r>
        <w:rPr>
          <w:rStyle w:val="27"/>
          <w:rFonts w:hint="eastAsia" w:ascii="仿宋" w:hAnsi="仿宋" w:eastAsia="仿宋"/>
          <w:bCs/>
          <w:sz w:val="32"/>
          <w:szCs w:val="32"/>
        </w:rPr>
        <w:t>公务员医疗补助（项）：支出决算数7.17万元，完成预算100%，与预算数持平。</w:t>
      </w:r>
    </w:p>
    <w:p>
      <w:pPr>
        <w:ind w:firstLine="640" w:firstLineChars="200"/>
        <w:rPr>
          <w:rStyle w:val="27"/>
          <w:rFonts w:ascii="仿宋" w:hAnsi="仿宋" w:eastAsia="仿宋"/>
          <w:bCs/>
          <w:sz w:val="32"/>
          <w:szCs w:val="32"/>
        </w:rPr>
      </w:pPr>
      <w:r>
        <w:rPr>
          <w:rStyle w:val="27"/>
          <w:rFonts w:hint="eastAsia" w:ascii="仿宋" w:hAnsi="仿宋" w:eastAsia="仿宋"/>
          <w:bCs/>
          <w:sz w:val="32"/>
          <w:szCs w:val="32"/>
        </w:rPr>
        <w:t>14.</w:t>
      </w:r>
      <w:r>
        <w:rPr>
          <w:rFonts w:hint="eastAsia" w:ascii="仿宋" w:hAnsi="仿宋" w:eastAsia="仿宋"/>
          <w:bCs/>
          <w:sz w:val="32"/>
          <w:szCs w:val="32"/>
        </w:rPr>
        <w:t>卫生健康支出（类）行政事业单位医疗（款）</w:t>
      </w:r>
      <w:r>
        <w:rPr>
          <w:rFonts w:hint="eastAsia" w:ascii="仿宋" w:hAnsi="仿宋" w:eastAsia="仿宋" w:cs="Arial"/>
          <w:color w:val="000000"/>
          <w:kern w:val="0"/>
          <w:sz w:val="32"/>
          <w:szCs w:val="32"/>
        </w:rPr>
        <w:t>其他行政事业单位医疗支出（项）：支出</w:t>
      </w:r>
      <w:r>
        <w:rPr>
          <w:rStyle w:val="27"/>
          <w:rFonts w:hint="eastAsia" w:ascii="仿宋" w:hAnsi="仿宋" w:eastAsia="仿宋"/>
          <w:bCs/>
          <w:sz w:val="32"/>
          <w:szCs w:val="32"/>
        </w:rPr>
        <w:t>决算数1.86万元，完成预算100</w:t>
      </w:r>
      <w:r>
        <w:rPr>
          <w:rStyle w:val="27"/>
          <w:rFonts w:ascii="仿宋" w:hAnsi="仿宋" w:eastAsia="仿宋"/>
          <w:bCs/>
          <w:sz w:val="32"/>
          <w:szCs w:val="32"/>
        </w:rPr>
        <w:t>%</w:t>
      </w:r>
      <w:r>
        <w:rPr>
          <w:rStyle w:val="27"/>
          <w:rFonts w:hint="eastAsia" w:ascii="仿宋" w:hAnsi="仿宋" w:eastAsia="仿宋"/>
          <w:bCs/>
          <w:sz w:val="32"/>
          <w:szCs w:val="32"/>
        </w:rPr>
        <w:t>，与预算数持平。</w:t>
      </w:r>
      <w:r>
        <w:rPr>
          <w:rFonts w:hint="eastAsia" w:ascii="仿宋" w:hAnsi="仿宋" w:eastAsia="仿宋"/>
          <w:sz w:val="32"/>
          <w:szCs w:val="32"/>
        </w:rPr>
        <w:t xml:space="preserve">     </w:t>
      </w:r>
    </w:p>
    <w:p>
      <w:pPr>
        <w:pStyle w:val="2"/>
        <w:spacing w:before="93"/>
        <w:rPr>
          <w:rFonts w:ascii="仿宋" w:hAnsi="仿宋" w:eastAsia="仿宋"/>
          <w:b/>
          <w:sz w:val="32"/>
          <w:szCs w:val="32"/>
        </w:rPr>
      </w:pPr>
      <w:r>
        <w:rPr>
          <w:rFonts w:hint="eastAsia" w:ascii="仿宋" w:hAnsi="仿宋" w:eastAsia="仿宋"/>
          <w:sz w:val="32"/>
          <w:szCs w:val="32"/>
        </w:rPr>
        <w:t xml:space="preserve">    15</w:t>
      </w:r>
      <w:r>
        <w:rPr>
          <w:rFonts w:hint="eastAsia" w:ascii="仿宋" w:hAnsi="仿宋" w:eastAsia="仿宋"/>
          <w:sz w:val="32"/>
          <w:szCs w:val="32"/>
          <w:lang w:val="en-US" w:eastAsia="zh-CN"/>
        </w:rPr>
        <w:t>.</w:t>
      </w:r>
      <w:r>
        <w:rPr>
          <w:rFonts w:hint="eastAsia" w:ascii="仿宋" w:hAnsi="仿宋" w:eastAsia="仿宋"/>
          <w:sz w:val="32"/>
          <w:szCs w:val="32"/>
        </w:rPr>
        <w:t>住房保障支出（类）住房改革支出（款）住房公积金（项）：支出决算数23.11万元，完成预算100%，与预算数持平。</w:t>
      </w:r>
    </w:p>
    <w:p>
      <w:pPr>
        <w:tabs>
          <w:tab w:val="right" w:pos="8306"/>
        </w:tabs>
        <w:spacing w:line="600" w:lineRule="exact"/>
        <w:ind w:firstLine="640"/>
        <w:outlineLvl w:val="1"/>
      </w:pPr>
      <w:bookmarkStart w:id="36" w:name="_Toc15377214"/>
      <w:bookmarkStart w:id="37"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一般公共预算财政拨款基本支出决算情况说明</w:t>
      </w:r>
      <w:bookmarkEnd w:id="36"/>
      <w:bookmarkEnd w:id="37"/>
      <w:r>
        <w:rPr>
          <w:rFonts w:ascii="黑体" w:hAnsi="黑体" w:eastAsia="黑体"/>
          <w:b/>
        </w:rPr>
        <w:tab/>
      </w:r>
    </w:p>
    <w:p>
      <w:pPr>
        <w:spacing w:line="600" w:lineRule="exact"/>
        <w:ind w:firstLine="645"/>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22年一般公共预算财政拨款基本支出</w:t>
      </w:r>
      <w:r>
        <w:rPr>
          <w:rFonts w:hint="eastAsia" w:ascii="仿宋" w:hAnsi="仿宋" w:eastAsia="仿宋" w:cs="仿宋_GB2312"/>
          <w:color w:val="000000"/>
          <w:sz w:val="32"/>
          <w:szCs w:val="32"/>
          <w:lang w:val="zh-CN"/>
        </w:rPr>
        <w:t>312.87</w:t>
      </w:r>
      <w:r>
        <w:rPr>
          <w:rFonts w:hint="eastAsia" w:ascii="仿宋" w:hAnsi="仿宋" w:eastAsia="仿宋"/>
          <w:sz w:val="32"/>
          <w:szCs w:val="32"/>
        </w:rPr>
        <w:t>万元，其中：</w:t>
      </w:r>
    </w:p>
    <w:p>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hint="eastAsia" w:ascii="仿宋" w:hAnsi="仿宋" w:eastAsia="仿宋" w:cs="仿宋_GB2312"/>
          <w:color w:val="000000"/>
          <w:sz w:val="32"/>
          <w:szCs w:val="32"/>
          <w:lang w:val="zh-CN"/>
        </w:rPr>
        <w:t>290.98</w:t>
      </w:r>
      <w:r>
        <w:rPr>
          <w:rFonts w:hint="eastAsia" w:ascii="仿宋" w:hAnsi="仿宋" w:eastAsia="仿宋"/>
          <w:sz w:val="32"/>
          <w:szCs w:val="32"/>
        </w:rPr>
        <w:t>万元，主要包括：基本工资、津贴补贴、奖金、绩效工资、机关事业单位基本养老保险缴费、职工基本医疗保险缴费、公务员医疗补助缴费、其他社会保障缴费、住房公积金、医疗费、其他工资福利支出、生活补助、医疗费补助、奖励金、支出。</w:t>
      </w:r>
      <w:r>
        <w:rPr>
          <w:rFonts w:ascii="仿宋" w:hAnsi="仿宋" w:eastAsia="仿宋"/>
          <w:sz w:val="32"/>
          <w:szCs w:val="32"/>
        </w:rPr>
        <w:br w:type="textWrapping"/>
      </w:r>
      <w:r>
        <w:rPr>
          <w:rFonts w:hint="eastAsia" w:ascii="仿宋" w:hAnsi="仿宋" w:eastAsia="仿宋"/>
          <w:sz w:val="32"/>
          <w:szCs w:val="32"/>
        </w:rPr>
        <w:t>　　公用经费</w:t>
      </w:r>
      <w:r>
        <w:rPr>
          <w:rFonts w:hint="eastAsia" w:ascii="仿宋" w:hAnsi="仿宋" w:eastAsia="仿宋" w:cs="仿宋_GB2312"/>
          <w:color w:val="000000"/>
          <w:sz w:val="32"/>
          <w:szCs w:val="32"/>
          <w:lang w:val="zh-CN"/>
        </w:rPr>
        <w:t>21.89</w:t>
      </w:r>
      <w:r>
        <w:rPr>
          <w:rFonts w:hint="eastAsia" w:ascii="仿宋" w:hAnsi="仿宋" w:eastAsia="仿宋"/>
          <w:sz w:val="32"/>
          <w:szCs w:val="32"/>
        </w:rPr>
        <w:t>万元，主要包括：办公费、印刷费、差旅费、维修（护）费、租赁费、会议费、培训费、公务接待费、劳务费、委托业务费、工会经费、福利费、其他交通费、其他商品和服务支出。</w:t>
      </w:r>
    </w:p>
    <w:p>
      <w:pPr>
        <w:pBdr>
          <w:bottom w:val="single" w:color="FFFFFF" w:sz="4" w:space="31"/>
        </w:pBdr>
        <w:shd w:val="clear" w:color="auto" w:fill="FFFFFF"/>
        <w:tabs>
          <w:tab w:val="left" w:pos="1440"/>
        </w:tabs>
        <w:adjustRightInd w:val="0"/>
        <w:snapToGrid w:val="0"/>
        <w:spacing w:line="360" w:lineRule="auto"/>
        <w:ind w:firstLine="640" w:firstLineChars="200"/>
        <w:rPr>
          <w:rFonts w:ascii="黑体" w:hAnsi="黑体" w:eastAsia="黑体"/>
          <w:b/>
          <w:sz w:val="32"/>
          <w:szCs w:val="32"/>
        </w:rPr>
      </w:pPr>
      <w:bookmarkStart w:id="38" w:name="_Toc15377215"/>
      <w:bookmarkStart w:id="39" w:name="_Toc15396609"/>
      <w:r>
        <w:rPr>
          <w:rFonts w:hint="eastAsia" w:ascii="黑体" w:eastAsia="黑体"/>
          <w:sz w:val="32"/>
          <w:szCs w:val="32"/>
        </w:rPr>
        <w:t>七、</w:t>
      </w:r>
      <w:r>
        <w:rPr>
          <w:rFonts w:hint="eastAsia" w:ascii="黑体" w:hAnsi="黑体" w:eastAsia="黑体"/>
          <w:b/>
          <w:sz w:val="32"/>
          <w:szCs w:val="32"/>
        </w:rPr>
        <w:t>财政拨款</w:t>
      </w:r>
      <w:r>
        <w:rPr>
          <w:rFonts w:hint="eastAsia" w:ascii="黑体" w:hAnsi="黑体" w:eastAsia="黑体"/>
          <w:sz w:val="32"/>
          <w:szCs w:val="32"/>
        </w:rPr>
        <w:t>“</w:t>
      </w:r>
      <w:r>
        <w:rPr>
          <w:rFonts w:hint="eastAsia" w:ascii="黑体" w:hAnsi="黑体" w:eastAsia="黑体"/>
          <w:b/>
          <w:sz w:val="32"/>
          <w:szCs w:val="32"/>
        </w:rPr>
        <w:t>三公”经费支出决算情况说明</w:t>
      </w:r>
      <w:bookmarkEnd w:id="38"/>
      <w:bookmarkEnd w:id="39"/>
      <w:bookmarkStart w:id="40" w:name="_Toc15377216"/>
    </w:p>
    <w:p>
      <w:pPr>
        <w:pBdr>
          <w:bottom w:val="single" w:color="FFFFFF" w:sz="4" w:space="31"/>
        </w:pBdr>
        <w:shd w:val="clear" w:color="auto" w:fill="FFFFFF"/>
        <w:tabs>
          <w:tab w:val="left" w:pos="1440"/>
        </w:tabs>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（一）“三公”经费财政拨款支出决算总体情况说明</w:t>
      </w:r>
      <w:bookmarkEnd w:id="40"/>
    </w:p>
    <w:p>
      <w:pPr>
        <w:pBdr>
          <w:bottom w:val="single" w:color="FFFFFF" w:sz="4" w:space="31"/>
        </w:pBdr>
        <w:shd w:val="clear" w:color="auto" w:fill="FFFFFF"/>
        <w:tabs>
          <w:tab w:val="left" w:pos="1440"/>
        </w:tabs>
        <w:adjustRightInd w:val="0"/>
        <w:snapToGrid w:val="0"/>
        <w:spacing w:line="360" w:lineRule="auto"/>
        <w:ind w:firstLine="640" w:firstLineChars="200"/>
      </w:pPr>
      <w:r>
        <w:rPr>
          <w:rFonts w:ascii="仿宋" w:hAnsi="仿宋" w:eastAsia="仿宋"/>
          <w:sz w:val="32"/>
          <w:szCs w:val="32"/>
        </w:rPr>
        <w:t>20</w:t>
      </w:r>
      <w:r>
        <w:rPr>
          <w:rFonts w:hint="eastAsia" w:ascii="仿宋" w:hAnsi="仿宋" w:eastAsia="仿宋"/>
          <w:sz w:val="32"/>
          <w:szCs w:val="32"/>
        </w:rPr>
        <w:t>22年“三公”经费财政拨款支出决算数为</w:t>
      </w:r>
      <w:r>
        <w:rPr>
          <w:rFonts w:ascii="仿宋" w:hAnsi="仿宋" w:eastAsia="仿宋" w:cs="仿宋_GB2312"/>
          <w:color w:val="000000"/>
          <w:sz w:val="32"/>
          <w:szCs w:val="32"/>
          <w:lang w:val="zh-CN"/>
        </w:rPr>
        <w:t>0.1</w:t>
      </w:r>
      <w:r>
        <w:rPr>
          <w:rFonts w:hint="eastAsia" w:ascii="仿宋" w:hAnsi="仿宋" w:eastAsia="仿宋" w:cs="仿宋_GB2312"/>
          <w:color w:val="000000"/>
          <w:sz w:val="32"/>
          <w:szCs w:val="32"/>
          <w:lang w:val="zh-CN"/>
        </w:rPr>
        <w:t>6</w:t>
      </w:r>
      <w:r>
        <w:rPr>
          <w:rFonts w:hint="eastAsia" w:ascii="仿宋" w:hAnsi="仿宋" w:eastAsia="仿宋"/>
          <w:sz w:val="32"/>
          <w:szCs w:val="32"/>
        </w:rPr>
        <w:t>万元，完成预算</w:t>
      </w:r>
      <w:r>
        <w:rPr>
          <w:rFonts w:ascii="仿宋" w:hAnsi="仿宋" w:eastAsia="仿宋" w:cs="仿宋_GB2312"/>
          <w:color w:val="000000"/>
          <w:sz w:val="32"/>
          <w:szCs w:val="32"/>
          <w:lang w:val="zh-CN"/>
        </w:rPr>
        <w:t>48.1</w:t>
      </w:r>
      <w:r>
        <w:rPr>
          <w:rFonts w:ascii="仿宋" w:hAnsi="仿宋" w:eastAsia="仿宋"/>
          <w:sz w:val="32"/>
          <w:szCs w:val="32"/>
        </w:rPr>
        <w:t>%</w:t>
      </w:r>
      <w:r>
        <w:rPr>
          <w:rFonts w:hint="eastAsia" w:ascii="仿宋" w:hAnsi="仿宋" w:eastAsia="仿宋"/>
          <w:sz w:val="32"/>
          <w:szCs w:val="32"/>
        </w:rPr>
        <w:t>，较上年减少0.88万元，下降84.62%。决算数小于预算数的主要原</w:t>
      </w:r>
      <w:r>
        <w:rPr>
          <w:rFonts w:hint="eastAsia" w:ascii="仿宋" w:hAnsi="仿宋" w:eastAsia="仿宋"/>
          <w:sz w:val="32"/>
          <w:szCs w:val="32"/>
          <w:lang w:eastAsia="zh-CN"/>
        </w:rPr>
        <w:t>因是</w:t>
      </w:r>
      <w:r>
        <w:rPr>
          <w:rFonts w:hint="eastAsia" w:ascii="仿宋" w:hAnsi="仿宋" w:eastAsia="仿宋"/>
          <w:sz w:val="32"/>
          <w:szCs w:val="32"/>
        </w:rPr>
        <w:t>落实过紧日子要求，厉行节约，从严控制和压缩相关经费支出。</w:t>
      </w:r>
      <w:r>
        <w:rPr>
          <w:rFonts w:hint="eastAsia" w:ascii="仿宋" w:hAnsi="仿宋" w:eastAsia="仿宋" w:cs="仿宋_GB2312"/>
          <w:color w:val="000000"/>
          <w:sz w:val="32"/>
          <w:szCs w:val="32"/>
        </w:rPr>
        <w:t>无因公出国（出境）情况产生。</w:t>
      </w:r>
      <w:bookmarkStart w:id="41" w:name="_Toc15377217"/>
    </w:p>
    <w:p>
      <w:pPr>
        <w:pBdr>
          <w:bottom w:val="single" w:color="FFFFFF" w:sz="4" w:space="31"/>
        </w:pBdr>
        <w:shd w:val="clear" w:color="auto" w:fill="FFFFFF"/>
        <w:tabs>
          <w:tab w:val="left" w:pos="1440"/>
        </w:tabs>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（二）“三公”经费财政拨款支出决算具体情况说明</w:t>
      </w:r>
      <w:bookmarkEnd w:id="41"/>
    </w:p>
    <w:p>
      <w:pPr>
        <w:pBdr>
          <w:bottom w:val="single" w:color="FFFFFF" w:sz="4" w:space="31"/>
        </w:pBdr>
        <w:shd w:val="clear" w:color="auto" w:fill="FFFFFF"/>
        <w:tabs>
          <w:tab w:val="left" w:pos="1440"/>
        </w:tabs>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22年“三公”经费财政拨款支出决算中，因公出国（境）费支出决算0万元，占0</w:t>
      </w:r>
      <w:r>
        <w:rPr>
          <w:rFonts w:ascii="仿宋" w:hAnsi="仿宋" w:eastAsia="仿宋"/>
          <w:sz w:val="32"/>
          <w:szCs w:val="32"/>
        </w:rPr>
        <w:t>%</w:t>
      </w:r>
      <w:r>
        <w:rPr>
          <w:rFonts w:hint="eastAsia" w:ascii="仿宋" w:hAnsi="仿宋" w:eastAsia="仿宋"/>
          <w:sz w:val="32"/>
          <w:szCs w:val="32"/>
        </w:rPr>
        <w:t>；公务用车购置及运行维护费支出决算0万元，占0</w:t>
      </w:r>
      <w:r>
        <w:rPr>
          <w:rFonts w:ascii="仿宋" w:hAnsi="仿宋" w:eastAsia="仿宋"/>
          <w:sz w:val="32"/>
          <w:szCs w:val="32"/>
        </w:rPr>
        <w:t>%</w:t>
      </w:r>
      <w:r>
        <w:rPr>
          <w:rFonts w:hint="eastAsia" w:ascii="仿宋" w:hAnsi="仿宋" w:eastAsia="仿宋"/>
          <w:sz w:val="32"/>
          <w:szCs w:val="32"/>
        </w:rPr>
        <w:t>；公务接待费支出决算0.16万元，占100</w:t>
      </w:r>
      <w:r>
        <w:rPr>
          <w:rFonts w:ascii="仿宋" w:hAnsi="仿宋" w:eastAsia="仿宋"/>
          <w:sz w:val="32"/>
          <w:szCs w:val="32"/>
        </w:rPr>
        <w:t>%</w:t>
      </w:r>
      <w:r>
        <w:rPr>
          <w:rFonts w:hint="eastAsia" w:ascii="仿宋" w:hAnsi="仿宋" w:eastAsia="仿宋"/>
          <w:sz w:val="32"/>
          <w:szCs w:val="32"/>
        </w:rPr>
        <w:t>。具体情况如下：</w:t>
      </w:r>
    </w:p>
    <w:p>
      <w:pPr>
        <w:pStyle w:val="2"/>
        <w:spacing w:before="93"/>
      </w:pPr>
      <w:r>
        <w:drawing>
          <wp:inline distT="0" distB="0" distL="0" distR="0">
            <wp:extent cx="5274310" cy="2743200"/>
            <wp:effectExtent l="19050" t="0" r="21590"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因公出国（境）经费支出0万元，</w:t>
      </w:r>
      <w:r>
        <w:rPr>
          <w:rStyle w:val="27"/>
          <w:rFonts w:hint="eastAsia" w:ascii="仿宋" w:hAnsi="仿宋" w:eastAsia="仿宋"/>
          <w:bCs/>
          <w:sz w:val="32"/>
          <w:szCs w:val="32"/>
        </w:rPr>
        <w:t>完成预算0</w:t>
      </w:r>
      <w:r>
        <w:rPr>
          <w:rStyle w:val="27"/>
          <w:rFonts w:ascii="仿宋" w:hAnsi="仿宋" w:eastAsia="仿宋"/>
          <w:bCs/>
          <w:sz w:val="32"/>
          <w:szCs w:val="32"/>
        </w:rPr>
        <w:t>%</w:t>
      </w:r>
      <w:r>
        <w:rPr>
          <w:rStyle w:val="27"/>
          <w:rFonts w:hint="eastAsia" w:ascii="仿宋" w:hAnsi="仿宋" w:eastAsia="仿宋"/>
          <w:bCs/>
          <w:sz w:val="32"/>
          <w:szCs w:val="32"/>
        </w:rPr>
        <w:t>。</w:t>
      </w:r>
      <w:r>
        <w:rPr>
          <w:rFonts w:hint="eastAsia" w:ascii="仿宋" w:hAnsi="仿宋" w:eastAsia="仿宋"/>
          <w:sz w:val="32"/>
          <w:szCs w:val="32"/>
        </w:rPr>
        <w:t>全年安排因公出国（境）团组0次，出国（境）0次。因公出国（境）支出决算与</w:t>
      </w:r>
      <w:r>
        <w:rPr>
          <w:rFonts w:ascii="仿宋" w:hAnsi="仿宋" w:eastAsia="仿宋"/>
          <w:sz w:val="32"/>
          <w:szCs w:val="32"/>
        </w:rPr>
        <w:t>20</w:t>
      </w:r>
      <w:r>
        <w:rPr>
          <w:rFonts w:hint="eastAsia" w:ascii="仿宋" w:hAnsi="仿宋" w:eastAsia="仿宋"/>
          <w:sz w:val="32"/>
          <w:szCs w:val="32"/>
        </w:rPr>
        <w:t>21年持平。</w:t>
      </w:r>
    </w:p>
    <w:p>
      <w:pPr>
        <w:spacing w:line="600" w:lineRule="exact"/>
        <w:ind w:firstLine="640"/>
        <w:rPr>
          <w:rFonts w:ascii="仿宋" w:hAnsi="仿宋" w:eastAsia="仿宋"/>
          <w:b/>
          <w:sz w:val="32"/>
          <w:szCs w:val="32"/>
        </w:rPr>
      </w:pPr>
      <w:r>
        <w:rPr>
          <w:rFonts w:ascii="仿宋" w:hAnsi="仿宋" w:eastAsia="仿宋"/>
          <w:sz w:val="32"/>
          <w:szCs w:val="32"/>
        </w:rPr>
        <w:t>2.</w:t>
      </w:r>
      <w:r>
        <w:rPr>
          <w:rFonts w:hint="eastAsia" w:ascii="仿宋" w:hAnsi="仿宋" w:eastAsia="仿宋"/>
          <w:sz w:val="32"/>
          <w:szCs w:val="32"/>
        </w:rPr>
        <w:t>公务用车购置及运行维护费支出0万元</w:t>
      </w:r>
      <w:r>
        <w:rPr>
          <w:rFonts w:hint="eastAsia" w:ascii="仿宋" w:hAnsi="仿宋" w:eastAsia="仿宋"/>
          <w:sz w:val="32"/>
          <w:szCs w:val="32"/>
          <w:lang w:eastAsia="zh-CN"/>
        </w:rPr>
        <w:t>，</w:t>
      </w:r>
      <w:r>
        <w:rPr>
          <w:rStyle w:val="27"/>
          <w:rFonts w:hint="eastAsia" w:ascii="仿宋" w:hAnsi="仿宋" w:eastAsia="仿宋"/>
          <w:bCs/>
          <w:sz w:val="32"/>
          <w:szCs w:val="32"/>
        </w:rPr>
        <w:t>完成预算0</w:t>
      </w:r>
      <w:r>
        <w:rPr>
          <w:rStyle w:val="27"/>
          <w:rFonts w:ascii="仿宋" w:hAnsi="仿宋" w:eastAsia="仿宋"/>
          <w:bCs/>
          <w:sz w:val="32"/>
          <w:szCs w:val="32"/>
        </w:rPr>
        <w:t>%</w:t>
      </w:r>
      <w:r>
        <w:rPr>
          <w:rStyle w:val="27"/>
          <w:rFonts w:hint="eastAsia" w:ascii="仿宋" w:hAnsi="仿宋" w:eastAsia="仿宋"/>
          <w:b/>
          <w:bCs/>
          <w:sz w:val="32"/>
          <w:szCs w:val="32"/>
        </w:rPr>
        <w:t>。</w:t>
      </w:r>
      <w:r>
        <w:rPr>
          <w:rFonts w:hint="eastAsia" w:ascii="仿宋" w:hAnsi="仿宋" w:eastAsia="仿宋"/>
          <w:sz w:val="32"/>
          <w:szCs w:val="32"/>
        </w:rPr>
        <w:t>公务用车购置及运行维护费支出决算与</w:t>
      </w:r>
      <w:r>
        <w:rPr>
          <w:rFonts w:ascii="仿宋" w:hAnsi="仿宋" w:eastAsia="仿宋"/>
          <w:sz w:val="32"/>
          <w:szCs w:val="32"/>
        </w:rPr>
        <w:t>20</w:t>
      </w:r>
      <w:r>
        <w:rPr>
          <w:rFonts w:hint="eastAsia" w:ascii="仿宋" w:hAnsi="仿宋" w:eastAsia="仿宋"/>
          <w:sz w:val="32"/>
          <w:szCs w:val="32"/>
        </w:rPr>
        <w:t>21年持平。</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其中：公务用车购置支出0万元。全年按规定更新购置公务用车0辆，其中：轿车0辆、金额0万元，越野车0辆、金额0万元，载客汽车0辆、金额0万元。截至</w:t>
      </w:r>
      <w:r>
        <w:rPr>
          <w:rFonts w:ascii="仿宋" w:hAnsi="仿宋" w:eastAsia="仿宋"/>
          <w:sz w:val="32"/>
          <w:szCs w:val="32"/>
        </w:rPr>
        <w:t>20</w:t>
      </w:r>
      <w:r>
        <w:rPr>
          <w:rFonts w:hint="eastAsia" w:ascii="仿宋" w:hAnsi="仿宋" w:eastAsia="仿宋"/>
          <w:sz w:val="32"/>
          <w:szCs w:val="32"/>
        </w:rPr>
        <w:t>22年</w:t>
      </w:r>
      <w:r>
        <w:rPr>
          <w:rFonts w:ascii="仿宋" w:hAnsi="仿宋" w:eastAsia="仿宋"/>
          <w:sz w:val="32"/>
          <w:szCs w:val="32"/>
        </w:rPr>
        <w:t>12</w:t>
      </w:r>
      <w:r>
        <w:rPr>
          <w:rFonts w:hint="eastAsia" w:ascii="仿宋" w:hAnsi="仿宋" w:eastAsia="仿宋"/>
          <w:sz w:val="32"/>
          <w:szCs w:val="32"/>
        </w:rPr>
        <w:t>月底，单位共有公务用车0辆，其中：轿车0辆、越野车0辆、载客汽车0辆。公务用车运行维护费支出0万元。</w:t>
      </w:r>
    </w:p>
    <w:p>
      <w:pPr>
        <w:spacing w:line="600" w:lineRule="exact"/>
        <w:ind w:firstLine="64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公务接待费支出0.16万元，</w:t>
      </w:r>
      <w:r>
        <w:rPr>
          <w:rStyle w:val="27"/>
          <w:rFonts w:hint="eastAsia" w:ascii="仿宋" w:hAnsi="仿宋" w:eastAsia="仿宋"/>
          <w:bCs/>
          <w:sz w:val="32"/>
          <w:szCs w:val="32"/>
        </w:rPr>
        <w:t>完成预算48.1</w:t>
      </w:r>
      <w:r>
        <w:rPr>
          <w:rStyle w:val="27"/>
          <w:rFonts w:ascii="仿宋" w:hAnsi="仿宋" w:eastAsia="仿宋"/>
          <w:bCs/>
          <w:sz w:val="32"/>
          <w:szCs w:val="32"/>
        </w:rPr>
        <w:t>%</w:t>
      </w:r>
      <w:r>
        <w:rPr>
          <w:rStyle w:val="27"/>
          <w:rFonts w:hint="eastAsia" w:ascii="仿宋" w:hAnsi="仿宋" w:eastAsia="仿宋"/>
          <w:bCs/>
          <w:sz w:val="32"/>
          <w:szCs w:val="32"/>
        </w:rPr>
        <w:t>。</w:t>
      </w:r>
      <w:r>
        <w:rPr>
          <w:rFonts w:hint="eastAsia" w:ascii="仿宋" w:hAnsi="仿宋" w:eastAsia="仿宋"/>
          <w:sz w:val="32"/>
          <w:szCs w:val="32"/>
        </w:rPr>
        <w:t>公务接待费支出决算比</w:t>
      </w:r>
      <w:r>
        <w:rPr>
          <w:rFonts w:ascii="仿宋" w:hAnsi="仿宋" w:eastAsia="仿宋"/>
          <w:sz w:val="32"/>
          <w:szCs w:val="32"/>
        </w:rPr>
        <w:t>20</w:t>
      </w:r>
      <w:r>
        <w:rPr>
          <w:rFonts w:hint="eastAsia" w:ascii="仿宋" w:hAnsi="仿宋" w:eastAsia="仿宋"/>
          <w:sz w:val="32"/>
          <w:szCs w:val="32"/>
        </w:rPr>
        <w:t>21年减少0.88万元，下降84.62</w:t>
      </w:r>
      <w:r>
        <w:rPr>
          <w:rFonts w:ascii="仿宋" w:hAnsi="仿宋" w:eastAsia="仿宋"/>
          <w:sz w:val="32"/>
          <w:szCs w:val="32"/>
        </w:rPr>
        <w:t>%</w:t>
      </w:r>
      <w:r>
        <w:rPr>
          <w:rFonts w:hint="eastAsia" w:ascii="仿宋" w:hAnsi="仿宋" w:eastAsia="仿宋"/>
          <w:sz w:val="32"/>
          <w:szCs w:val="32"/>
        </w:rPr>
        <w:t>。主要原因是落实过紧日子要求，厉行节约，从严控制和压缩相关经费支出。其中：</w:t>
      </w:r>
    </w:p>
    <w:p>
      <w:pPr>
        <w:spacing w:line="600" w:lineRule="exact"/>
        <w:ind w:firstLine="640"/>
        <w:rPr>
          <w:rFonts w:ascii="仿宋" w:hAnsi="仿宋" w:eastAsia="仿宋"/>
          <w:sz w:val="32"/>
          <w:szCs w:val="32"/>
        </w:rPr>
      </w:pPr>
      <w:r>
        <w:rPr>
          <w:rFonts w:hint="eastAsia" w:ascii="仿宋" w:hAnsi="仿宋" w:eastAsia="仿宋"/>
          <w:sz w:val="32"/>
          <w:szCs w:val="32"/>
        </w:rPr>
        <w:t>国内公务接待支出0.16万元，主要用于执行公务、开展业务活动用餐，国内公务接待3批次，20 人（不包括陪同人员），共计支出0.16万元。具体内容：1、接待媒体记者来我县开展“项目攻坚突破年”誓师大会及2022年</w:t>
      </w:r>
      <w:r>
        <w:rPr>
          <w:rFonts w:hint="eastAsia" w:ascii="仿宋" w:hAnsi="仿宋" w:eastAsia="仿宋"/>
          <w:sz w:val="32"/>
          <w:szCs w:val="32"/>
          <w:lang w:eastAsia="zh-CN"/>
        </w:rPr>
        <w:t>一季度</w:t>
      </w:r>
      <w:r>
        <w:rPr>
          <w:rFonts w:hint="eastAsia" w:ascii="仿宋" w:hAnsi="仿宋" w:eastAsia="仿宋"/>
          <w:sz w:val="32"/>
          <w:szCs w:val="32"/>
        </w:rPr>
        <w:t>重大项目开工仪式宣传，支出420元；2、接待市委宣传部来我县调研新时代文明实践所站建设情况，支出630元；3、接待市委宣传部来我县调研文旅资源工作，支出550元，合计支出0.16万元。</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外事接待支出0万元。</w:t>
      </w:r>
      <w:bookmarkStart w:id="42" w:name="_Toc15396610"/>
      <w:bookmarkStart w:id="43" w:name="_Toc15377218"/>
      <w:bookmarkStart w:id="69" w:name="_GoBack"/>
      <w:bookmarkEnd w:id="69"/>
    </w:p>
    <w:p>
      <w:pPr>
        <w:spacing w:line="600" w:lineRule="exact"/>
        <w:ind w:firstLine="640"/>
        <w:outlineLvl w:val="1"/>
      </w:pPr>
      <w:r>
        <w:rPr>
          <w:rFonts w:hint="eastAsia" w:ascii="黑体" w:eastAsia="黑体"/>
          <w:sz w:val="32"/>
          <w:szCs w:val="32"/>
        </w:rPr>
        <w:t>八、</w:t>
      </w:r>
      <w:r>
        <w:rPr>
          <w:rFonts w:hint="eastAsia" w:ascii="黑体" w:hAnsi="黑体" w:eastAsia="黑体"/>
          <w:b/>
          <w:sz w:val="32"/>
          <w:szCs w:val="32"/>
        </w:rPr>
        <w:t>政府性基金预算支出决算情况说明</w:t>
      </w:r>
      <w:bookmarkEnd w:id="42"/>
      <w:bookmarkEnd w:id="43"/>
    </w:p>
    <w:p>
      <w:pPr>
        <w:pBdr>
          <w:bottom w:val="single" w:color="FFFFFF" w:sz="4" w:space="31"/>
        </w:pBdr>
        <w:shd w:val="clear" w:color="auto" w:fill="FFFFFF"/>
        <w:tabs>
          <w:tab w:val="left" w:pos="1440"/>
        </w:tabs>
        <w:adjustRightInd w:val="0"/>
        <w:snapToGrid w:val="0"/>
        <w:spacing w:line="360" w:lineRule="auto"/>
        <w:ind w:firstLine="640" w:firstLineChars="200"/>
        <w:rPr>
          <w:rFonts w:ascii="仿宋" w:hAnsi="仿宋" w:eastAsia="仿宋"/>
          <w:color w:val="000000"/>
          <w:sz w:val="32"/>
          <w:szCs w:val="32"/>
        </w:rPr>
      </w:pPr>
      <w:r>
        <w:rPr>
          <w:rFonts w:ascii="仿宋" w:hAnsi="仿宋" w:eastAsia="仿宋"/>
          <w:sz w:val="32"/>
          <w:szCs w:val="32"/>
        </w:rPr>
        <w:t>20</w:t>
      </w:r>
      <w:r>
        <w:rPr>
          <w:rFonts w:hint="eastAsia" w:ascii="仿宋" w:hAnsi="仿宋" w:eastAsia="仿宋"/>
          <w:sz w:val="32"/>
          <w:szCs w:val="32"/>
        </w:rPr>
        <w:t>22年政府性基金预算财政拨款支出</w:t>
      </w:r>
      <w:r>
        <w:rPr>
          <w:rFonts w:hint="eastAsia" w:ascii="仿宋" w:hAnsi="仿宋" w:eastAsia="仿宋" w:cs="仿宋_GB2312"/>
          <w:color w:val="000000"/>
          <w:sz w:val="32"/>
          <w:szCs w:val="32"/>
          <w:lang w:val="zh-CN"/>
        </w:rPr>
        <w:t>0.28</w:t>
      </w:r>
      <w:r>
        <w:rPr>
          <w:rFonts w:hint="eastAsia" w:ascii="仿宋" w:hAnsi="仿宋" w:eastAsia="仿宋"/>
          <w:sz w:val="32"/>
          <w:szCs w:val="32"/>
        </w:rPr>
        <w:t>万元。主要用于</w:t>
      </w:r>
      <w:r>
        <w:rPr>
          <w:rFonts w:hint="eastAsia" w:ascii="仿宋" w:hAnsi="仿宋" w:eastAsia="仿宋"/>
          <w:color w:val="000000"/>
          <w:sz w:val="32"/>
          <w:szCs w:val="32"/>
        </w:rPr>
        <w:t>奖励国产影片放映突出电影院补助。</w:t>
      </w:r>
      <w:bookmarkStart w:id="44" w:name="_Toc15377219"/>
      <w:bookmarkStart w:id="45" w:name="_Toc15396611"/>
    </w:p>
    <w:p>
      <w:pPr>
        <w:pBdr>
          <w:bottom w:val="single" w:color="FFFFFF" w:sz="4" w:space="31"/>
        </w:pBdr>
        <w:shd w:val="clear" w:color="auto" w:fill="FFFFFF"/>
        <w:tabs>
          <w:tab w:val="left" w:pos="1440"/>
        </w:tabs>
        <w:adjustRightInd w:val="0"/>
        <w:snapToGrid w:val="0"/>
        <w:spacing w:line="360" w:lineRule="auto"/>
        <w:ind w:firstLine="640" w:firstLineChars="200"/>
        <w:rPr>
          <w:rFonts w:ascii="黑体" w:hAnsi="黑体" w:eastAsia="黑体"/>
          <w:b/>
          <w:sz w:val="32"/>
          <w:szCs w:val="32"/>
        </w:rPr>
      </w:pPr>
      <w:r>
        <w:rPr>
          <w:rFonts w:hint="eastAsia" w:ascii="黑体" w:hAnsi="黑体" w:eastAsia="黑体"/>
          <w:color w:val="000000"/>
          <w:sz w:val="32"/>
          <w:szCs w:val="32"/>
        </w:rPr>
        <w:t>九、</w:t>
      </w:r>
      <w:r>
        <w:rPr>
          <w:rFonts w:hint="eastAsia" w:ascii="黑体" w:hAnsi="黑体" w:eastAsia="黑体"/>
          <w:b/>
          <w:sz w:val="32"/>
          <w:szCs w:val="32"/>
        </w:rPr>
        <w:t>国有资本经营预算支出决算情况说明</w:t>
      </w:r>
      <w:bookmarkEnd w:id="44"/>
      <w:bookmarkEnd w:id="45"/>
    </w:p>
    <w:p>
      <w:pPr>
        <w:pBdr>
          <w:bottom w:val="single" w:color="FFFFFF" w:sz="4" w:space="31"/>
        </w:pBdr>
        <w:shd w:val="clear" w:color="auto" w:fill="FFFFFF"/>
        <w:tabs>
          <w:tab w:val="left" w:pos="1440"/>
        </w:tabs>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22年国有资本经营预算财政拨款支出0万元。本部门没有国有资本经营预算</w:t>
      </w:r>
      <w:r>
        <w:rPr>
          <w:rFonts w:hint="eastAsia" w:ascii="仿宋" w:hAnsi="仿宋" w:eastAsia="仿宋"/>
          <w:sz w:val="32"/>
          <w:szCs w:val="32"/>
          <w:lang w:eastAsia="zh-CN"/>
        </w:rPr>
        <w:t>拨款</w:t>
      </w:r>
      <w:r>
        <w:rPr>
          <w:rFonts w:hint="eastAsia" w:ascii="仿宋" w:hAnsi="仿宋" w:eastAsia="仿宋"/>
          <w:sz w:val="32"/>
          <w:szCs w:val="32"/>
        </w:rPr>
        <w:t>收入，也没有使用国有资本经营预算</w:t>
      </w:r>
      <w:r>
        <w:rPr>
          <w:rFonts w:hint="eastAsia" w:ascii="仿宋" w:hAnsi="仿宋" w:eastAsia="仿宋"/>
          <w:sz w:val="32"/>
          <w:szCs w:val="32"/>
          <w:lang w:eastAsia="zh-CN"/>
        </w:rPr>
        <w:t>拨款</w:t>
      </w:r>
      <w:r>
        <w:rPr>
          <w:rFonts w:hint="eastAsia" w:ascii="仿宋" w:hAnsi="仿宋" w:eastAsia="仿宋"/>
          <w:sz w:val="32"/>
          <w:szCs w:val="32"/>
        </w:rPr>
        <w:t>安排的支出。</w:t>
      </w:r>
      <w:bookmarkStart w:id="46" w:name="_Toc15396612"/>
      <w:bookmarkStart w:id="47" w:name="_Toc15377221"/>
    </w:p>
    <w:p>
      <w:pPr>
        <w:pBdr>
          <w:bottom w:val="single" w:color="FFFFFF" w:sz="4" w:space="31"/>
        </w:pBdr>
        <w:shd w:val="clear" w:color="auto" w:fill="FFFFFF"/>
        <w:tabs>
          <w:tab w:val="left" w:pos="1440"/>
        </w:tabs>
        <w:adjustRightInd w:val="0"/>
        <w:snapToGrid w:val="0"/>
        <w:spacing w:line="360" w:lineRule="auto"/>
        <w:ind w:firstLine="640" w:firstLineChars="200"/>
        <w:rPr>
          <w:rFonts w:ascii="黑体" w:hAnsi="黑体" w:eastAsia="黑体"/>
          <w:b/>
          <w:sz w:val="32"/>
          <w:szCs w:val="32"/>
        </w:rPr>
      </w:pPr>
      <w:r>
        <w:rPr>
          <w:rFonts w:hint="eastAsia" w:ascii="黑体" w:hAnsi="黑体" w:eastAsia="黑体"/>
          <w:sz w:val="32"/>
          <w:szCs w:val="32"/>
        </w:rPr>
        <w:t>十、</w:t>
      </w:r>
      <w:r>
        <w:rPr>
          <w:rFonts w:hint="eastAsia" w:ascii="黑体" w:hAnsi="黑体" w:eastAsia="黑体"/>
          <w:b/>
          <w:sz w:val="32"/>
          <w:szCs w:val="32"/>
        </w:rPr>
        <w:t>其他重要事项的情况说明</w:t>
      </w:r>
      <w:bookmarkEnd w:id="46"/>
      <w:bookmarkEnd w:id="47"/>
      <w:bookmarkStart w:id="48" w:name="_Toc15377222"/>
    </w:p>
    <w:p>
      <w:pPr>
        <w:pBdr>
          <w:bottom w:val="single" w:color="FFFFFF" w:sz="4" w:space="31"/>
        </w:pBdr>
        <w:shd w:val="clear" w:color="auto" w:fill="FFFFFF"/>
        <w:tabs>
          <w:tab w:val="left" w:pos="1440"/>
        </w:tabs>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（一）机关运行经费支出情况</w:t>
      </w:r>
      <w:bookmarkEnd w:id="48"/>
    </w:p>
    <w:p>
      <w:pPr>
        <w:pBdr>
          <w:bottom w:val="single" w:color="FFFFFF" w:sz="4" w:space="31"/>
        </w:pBdr>
        <w:shd w:val="clear" w:color="auto" w:fill="FFFFFF"/>
        <w:tabs>
          <w:tab w:val="left" w:pos="1440"/>
        </w:tabs>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22年，盐边县委宣传部机关运行经费支出</w:t>
      </w:r>
      <w:r>
        <w:rPr>
          <w:rFonts w:ascii="仿宋" w:hAnsi="仿宋" w:eastAsia="仿宋" w:cs="仿宋_GB2312"/>
          <w:color w:val="000000"/>
          <w:sz w:val="32"/>
          <w:szCs w:val="32"/>
          <w:lang w:val="zh-CN"/>
        </w:rPr>
        <w:t>32.23</w:t>
      </w:r>
      <w:r>
        <w:rPr>
          <w:rFonts w:hint="eastAsia" w:ascii="仿宋" w:hAnsi="仿宋" w:eastAsia="仿宋"/>
          <w:sz w:val="32"/>
          <w:szCs w:val="32"/>
        </w:rPr>
        <w:t>万元，比</w:t>
      </w:r>
      <w:r>
        <w:rPr>
          <w:rFonts w:ascii="仿宋" w:hAnsi="仿宋" w:eastAsia="仿宋"/>
          <w:sz w:val="32"/>
          <w:szCs w:val="32"/>
        </w:rPr>
        <w:t>20</w:t>
      </w:r>
      <w:r>
        <w:rPr>
          <w:rFonts w:hint="eastAsia" w:ascii="仿宋" w:hAnsi="仿宋" w:eastAsia="仿宋"/>
          <w:sz w:val="32"/>
          <w:szCs w:val="32"/>
        </w:rPr>
        <w:t>21年减少1.92万元，下降5.6</w:t>
      </w:r>
      <w:r>
        <w:rPr>
          <w:rFonts w:ascii="仿宋" w:hAnsi="仿宋" w:eastAsia="仿宋"/>
          <w:sz w:val="32"/>
          <w:szCs w:val="32"/>
        </w:rPr>
        <w:t>%</w:t>
      </w:r>
      <w:r>
        <w:rPr>
          <w:rFonts w:hint="eastAsia" w:ascii="仿宋" w:hAnsi="仿宋" w:eastAsia="仿宋"/>
          <w:sz w:val="32"/>
          <w:szCs w:val="32"/>
        </w:rPr>
        <w:t>。主要原因是落实过紧日子要求，厉行节约，从严控制和压缩相关经费支出。</w:t>
      </w:r>
      <w:bookmarkStart w:id="49" w:name="_Toc15377223"/>
    </w:p>
    <w:p>
      <w:pPr>
        <w:pBdr>
          <w:bottom w:val="single" w:color="FFFFFF" w:sz="4" w:space="31"/>
        </w:pBdr>
        <w:shd w:val="clear" w:color="auto" w:fill="FFFFFF"/>
        <w:tabs>
          <w:tab w:val="left" w:pos="1440"/>
        </w:tabs>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（二）政府采购支出情况</w:t>
      </w:r>
      <w:bookmarkEnd w:id="49"/>
    </w:p>
    <w:p>
      <w:pPr>
        <w:pBdr>
          <w:bottom w:val="single" w:color="FFFFFF" w:sz="4" w:space="31"/>
        </w:pBdr>
        <w:shd w:val="clear" w:color="auto" w:fill="FFFFFF"/>
        <w:tabs>
          <w:tab w:val="left" w:pos="1440"/>
        </w:tabs>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22年，盐边县委宣传部政府采购支出总额0万元，其中：政府采购货物支出0万元、政府采购工程支出0万元、政府采购服务支出0万元。授予中小企业合同金额0万元，占政府采购支出总额的0</w:t>
      </w:r>
      <w:r>
        <w:rPr>
          <w:rFonts w:ascii="仿宋" w:hAnsi="仿宋" w:eastAsia="仿宋"/>
          <w:sz w:val="32"/>
          <w:szCs w:val="32"/>
        </w:rPr>
        <w:t>%</w:t>
      </w:r>
      <w:r>
        <w:rPr>
          <w:rFonts w:hint="eastAsia" w:ascii="仿宋" w:hAnsi="仿宋" w:eastAsia="仿宋"/>
          <w:sz w:val="32"/>
          <w:szCs w:val="32"/>
        </w:rPr>
        <w:t>，其中：授予小微企业合同金额0万元，占政府采购支出总额的0</w:t>
      </w:r>
      <w:r>
        <w:rPr>
          <w:rFonts w:ascii="仿宋" w:hAnsi="仿宋" w:eastAsia="仿宋"/>
          <w:sz w:val="32"/>
          <w:szCs w:val="32"/>
        </w:rPr>
        <w:t>%</w:t>
      </w:r>
      <w:r>
        <w:rPr>
          <w:rFonts w:hint="eastAsia" w:ascii="仿宋" w:hAnsi="仿宋" w:eastAsia="仿宋"/>
          <w:sz w:val="32"/>
          <w:szCs w:val="32"/>
        </w:rPr>
        <w:t>。</w:t>
      </w:r>
      <w:bookmarkStart w:id="50" w:name="_Toc15377224"/>
    </w:p>
    <w:p>
      <w:pPr>
        <w:pBdr>
          <w:bottom w:val="single" w:color="FFFFFF" w:sz="4" w:space="31"/>
        </w:pBdr>
        <w:shd w:val="clear" w:color="auto" w:fill="FFFFFF"/>
        <w:tabs>
          <w:tab w:val="left" w:pos="1440"/>
        </w:tabs>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（三）国有资产占有使用情况</w:t>
      </w:r>
      <w:bookmarkEnd w:id="50"/>
    </w:p>
    <w:p>
      <w:pPr>
        <w:pBdr>
          <w:bottom w:val="single" w:color="FFFFFF" w:sz="4" w:space="31"/>
        </w:pBdr>
        <w:shd w:val="clear" w:color="auto" w:fill="FFFFFF"/>
        <w:tabs>
          <w:tab w:val="left" w:pos="1440"/>
        </w:tabs>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截至</w:t>
      </w:r>
      <w:r>
        <w:rPr>
          <w:rFonts w:ascii="仿宋" w:hAnsi="仿宋" w:eastAsia="仿宋"/>
          <w:sz w:val="32"/>
          <w:szCs w:val="32"/>
        </w:rPr>
        <w:t>20</w:t>
      </w:r>
      <w:r>
        <w:rPr>
          <w:rFonts w:hint="eastAsia" w:ascii="仿宋" w:hAnsi="仿宋" w:eastAsia="仿宋"/>
          <w:sz w:val="32"/>
          <w:szCs w:val="32"/>
        </w:rPr>
        <w:t>22年</w:t>
      </w:r>
      <w:r>
        <w:rPr>
          <w:rFonts w:ascii="仿宋" w:hAnsi="仿宋" w:eastAsia="仿宋"/>
          <w:sz w:val="32"/>
          <w:szCs w:val="32"/>
        </w:rPr>
        <w:t>12</w:t>
      </w:r>
      <w:r>
        <w:rPr>
          <w:rFonts w:hint="eastAsia" w:ascii="仿宋" w:hAnsi="仿宋" w:eastAsia="仿宋"/>
          <w:sz w:val="32"/>
          <w:szCs w:val="32"/>
        </w:rPr>
        <w:t>月</w:t>
      </w:r>
      <w:r>
        <w:rPr>
          <w:rFonts w:ascii="仿宋" w:hAnsi="仿宋" w:eastAsia="仿宋"/>
          <w:sz w:val="32"/>
          <w:szCs w:val="32"/>
        </w:rPr>
        <w:t>31</w:t>
      </w:r>
      <w:r>
        <w:rPr>
          <w:rFonts w:hint="eastAsia" w:ascii="仿宋" w:hAnsi="仿宋" w:eastAsia="仿宋"/>
          <w:sz w:val="32"/>
          <w:szCs w:val="32"/>
        </w:rPr>
        <w:t>日，盐边县委宣传部共有车辆0辆，其中：主要领导干部用车0辆、机要通信用车0辆、应急保障用车0辆、其他用车0辆。单价</w:t>
      </w:r>
      <w:r>
        <w:rPr>
          <w:rFonts w:ascii="仿宋" w:hAnsi="仿宋" w:eastAsia="仿宋"/>
          <w:sz w:val="32"/>
          <w:szCs w:val="32"/>
        </w:rPr>
        <w:t>100</w:t>
      </w:r>
      <w:r>
        <w:rPr>
          <w:rFonts w:hint="eastAsia" w:ascii="仿宋" w:hAnsi="仿宋" w:eastAsia="仿宋"/>
          <w:sz w:val="32"/>
          <w:szCs w:val="32"/>
        </w:rPr>
        <w:t>万元以上专用设备0台（套）。</w:t>
      </w:r>
    </w:p>
    <w:p>
      <w:pPr>
        <w:pBdr>
          <w:bottom w:val="single" w:color="FFFFFF" w:sz="4" w:space="31"/>
        </w:pBdr>
        <w:shd w:val="clear" w:color="auto" w:fill="FFFFFF"/>
        <w:tabs>
          <w:tab w:val="left" w:pos="1440"/>
        </w:tabs>
        <w:adjustRightInd w:val="0"/>
        <w:snapToGrid w:val="0"/>
        <w:spacing w:line="360" w:lineRule="auto"/>
        <w:ind w:firstLine="643" w:firstLineChars="200"/>
      </w:pPr>
      <w:r>
        <w:rPr>
          <w:rFonts w:hint="eastAsia" w:ascii="仿宋" w:hAnsi="仿宋" w:eastAsia="仿宋"/>
          <w:b/>
          <w:sz w:val="32"/>
          <w:szCs w:val="32"/>
        </w:rPr>
        <w:t>（四）预算绩效管理情况</w:t>
      </w:r>
    </w:p>
    <w:p>
      <w:pPr>
        <w:pBdr>
          <w:bottom w:val="single" w:color="FFFFFF" w:sz="4" w:space="31"/>
        </w:pBdr>
        <w:shd w:val="clear" w:color="auto" w:fill="FFFFFF"/>
        <w:tabs>
          <w:tab w:val="left" w:pos="1440"/>
        </w:tabs>
        <w:adjustRightInd w:val="0"/>
        <w:snapToGrid w:val="0"/>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根据预算绩效管理要求，本部门在2022年度预算编制阶段，组织对</w:t>
      </w:r>
      <w:r>
        <w:rPr>
          <w:rFonts w:hint="eastAsia" w:ascii="仿宋" w:hAnsi="仿宋" w:eastAsia="仿宋"/>
          <w:color w:val="000000"/>
          <w:kern w:val="0"/>
          <w:sz w:val="32"/>
          <w:szCs w:val="32"/>
          <w:shd w:val="clear" w:color="auto" w:fill="FFFFFF"/>
          <w:lang w:val="zh-CN"/>
        </w:rPr>
        <w:t>文明城市创建、新时代文明实践中心所（站）标准化、规范化建设，宣传工作及媒体协作项目，全县党报、党刊、报刊征订项目，盐边县“品味大笮摄影、诗歌大赛”项目</w:t>
      </w:r>
      <w:r>
        <w:rPr>
          <w:rFonts w:hint="eastAsia" w:ascii="仿宋" w:hAnsi="仿宋" w:eastAsia="仿宋" w:cs="仿宋_GB2312"/>
          <w:sz w:val="32"/>
          <w:szCs w:val="32"/>
        </w:rPr>
        <w:t>等4个项目开展了预算事前绩效评估，对4个项目编制了绩效目标</w:t>
      </w:r>
      <w:r>
        <w:rPr>
          <w:rFonts w:hint="eastAsia" w:ascii="仿宋" w:hAnsi="仿宋" w:eastAsia="仿宋" w:cs="仿宋_GB2312"/>
          <w:sz w:val="32"/>
          <w:szCs w:val="32"/>
          <w:lang w:eastAsia="zh-CN"/>
        </w:rPr>
        <w:t>，在</w:t>
      </w:r>
      <w:r>
        <w:rPr>
          <w:rFonts w:hint="eastAsia" w:ascii="仿宋" w:hAnsi="仿宋" w:eastAsia="仿宋" w:cs="仿宋_GB2312"/>
          <w:sz w:val="32"/>
          <w:szCs w:val="32"/>
        </w:rPr>
        <w:t>预算执行过程中，选取5个项目开展绩效监控。年终执行完毕后，对所有项目开展了绩效目标完成情况自评。</w:t>
      </w:r>
    </w:p>
    <w:p>
      <w:pPr>
        <w:pBdr>
          <w:bottom w:val="single" w:color="FFFFFF" w:sz="4" w:space="31"/>
        </w:pBdr>
        <w:shd w:val="clear" w:color="auto" w:fill="FFFFFF"/>
        <w:tabs>
          <w:tab w:val="left" w:pos="1440"/>
        </w:tabs>
        <w:adjustRightInd w:val="0"/>
        <w:snapToGrid w:val="0"/>
        <w:spacing w:line="560" w:lineRule="exact"/>
        <w:ind w:firstLine="640" w:firstLineChars="200"/>
        <w:rPr>
          <w:rFonts w:ascii="仿宋" w:hAnsi="仿宋" w:eastAsia="仿宋" w:cs="仿宋_GB2312"/>
          <w:sz w:val="32"/>
          <w:szCs w:val="32"/>
          <w:shd w:val="clear" w:color="auto" w:fill="FFFFFF"/>
        </w:rPr>
      </w:pPr>
      <w:r>
        <w:rPr>
          <w:rFonts w:hint="eastAsia" w:ascii="仿宋" w:hAnsi="仿宋" w:eastAsia="仿宋" w:cs="仿宋_GB2312"/>
          <w:sz w:val="32"/>
          <w:szCs w:val="32"/>
        </w:rPr>
        <w:t>本部门按要求对</w:t>
      </w:r>
      <w:r>
        <w:rPr>
          <w:rFonts w:ascii="仿宋" w:hAnsi="仿宋" w:eastAsia="仿宋" w:cs="仿宋_GB2312"/>
          <w:sz w:val="32"/>
          <w:szCs w:val="32"/>
        </w:rPr>
        <w:t>20</w:t>
      </w:r>
      <w:r>
        <w:rPr>
          <w:rFonts w:hint="eastAsia" w:ascii="仿宋" w:hAnsi="仿宋" w:eastAsia="仿宋" w:cs="仿宋_GB2312"/>
          <w:sz w:val="32"/>
          <w:szCs w:val="32"/>
        </w:rPr>
        <w:t>22年部门整体支出开展绩效自评，从评价情况来看</w:t>
      </w:r>
      <w:r>
        <w:rPr>
          <w:rFonts w:hint="eastAsia" w:ascii="仿宋" w:hAnsi="仿宋" w:eastAsia="仿宋" w:cs="仿宋_GB2312"/>
          <w:sz w:val="32"/>
          <w:szCs w:val="32"/>
          <w:shd w:val="clear" w:color="auto" w:fill="FFFFFF"/>
        </w:rPr>
        <w:t>2022年盐边</w:t>
      </w:r>
      <w:r>
        <w:rPr>
          <w:rFonts w:hint="eastAsia" w:ascii="仿宋" w:hAnsi="仿宋" w:eastAsia="仿宋" w:cs="仿宋_GB2312"/>
          <w:sz w:val="32"/>
          <w:szCs w:val="32"/>
          <w:shd w:val="clear" w:color="auto" w:fill="FFFFFF"/>
          <w:lang w:eastAsia="zh-CN"/>
        </w:rPr>
        <w:t>县委宣传部</w:t>
      </w:r>
      <w:r>
        <w:rPr>
          <w:rFonts w:hint="eastAsia" w:ascii="仿宋" w:hAnsi="仿宋" w:eastAsia="仿宋" w:cs="仿宋_GB2312"/>
          <w:sz w:val="32"/>
          <w:szCs w:val="32"/>
          <w:shd w:val="clear" w:color="auto" w:fill="FFFFFF"/>
        </w:rPr>
        <w:t>部门预算支出进度基本与预算相符，财务制度、内控制度健全、规范，账务处理及时，会计核算规范，绩效有所提高。</w:t>
      </w:r>
    </w:p>
    <w:p>
      <w:pPr>
        <w:pBdr>
          <w:bottom w:val="single" w:color="FFFFFF" w:sz="4" w:space="31"/>
        </w:pBdr>
        <w:shd w:val="clear" w:color="auto" w:fill="FFFFFF"/>
        <w:tabs>
          <w:tab w:val="left" w:pos="1440"/>
        </w:tabs>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cs="仿宋_GB2312"/>
          <w:sz w:val="32"/>
          <w:szCs w:val="32"/>
        </w:rPr>
        <w:t>本部门组织对2022年度部门所有预算资金全面开展绩效自评，形成《盐边县委宣传部2022年部门整体支出绩效评价报告》</w:t>
      </w:r>
      <w:r>
        <w:rPr>
          <w:rFonts w:hint="eastAsia" w:ascii="仿宋" w:hAnsi="仿宋" w:eastAsia="仿宋" w:cs="仿宋_GB2312"/>
          <w:sz w:val="32"/>
          <w:szCs w:val="32"/>
          <w:lang w:eastAsia="zh-CN"/>
        </w:rPr>
        <w:t>（</w:t>
      </w:r>
      <w:r>
        <w:rPr>
          <w:rFonts w:hint="eastAsia" w:ascii="仿宋" w:hAnsi="仿宋" w:eastAsia="仿宋" w:cs="仿宋_GB2312"/>
          <w:sz w:val="32"/>
          <w:szCs w:val="32"/>
        </w:rPr>
        <w:t>附件1</w:t>
      </w:r>
      <w:r>
        <w:rPr>
          <w:rFonts w:hint="eastAsia" w:ascii="仿宋" w:hAnsi="仿宋" w:eastAsia="仿宋" w:cs="仿宋_GB2312"/>
          <w:sz w:val="32"/>
          <w:szCs w:val="32"/>
          <w:lang w:eastAsia="zh-CN"/>
        </w:rPr>
        <w:t>）</w:t>
      </w:r>
      <w:r>
        <w:rPr>
          <w:rFonts w:hint="eastAsia" w:ascii="仿宋" w:hAnsi="仿宋" w:eastAsia="仿宋" w:cs="仿宋_GB2312"/>
          <w:sz w:val="32"/>
          <w:szCs w:val="32"/>
        </w:rPr>
        <w:t>、《2022年度中央支持地方公共文化体系建设补助资金绩效自评报告》（附件2）、《2022年中央支持地方公共文化服务体系建设补助资金（新时代文明实践中心建设项目）自评报告》（附件3）、《2021年中央、省级补助地方国家电影事业发展专项资金绩效自评报告》（附件4）、《笮山若水》现画复刊经费绩效自评报告（附件5）、《2022年度理论学习宣讲经费绩效自评报告》（附件6）。其中，盐边县委宣传部部门整体（含部门预算项目）绩效自评得分为91分，绩效自评综述：本部门</w:t>
      </w:r>
      <w:r>
        <w:rPr>
          <w:rFonts w:hint="eastAsia" w:ascii="仿宋" w:hAnsi="仿宋" w:eastAsia="仿宋"/>
          <w:sz w:val="32"/>
          <w:szCs w:val="32"/>
        </w:rPr>
        <w:t>围绕预算编制、预算执行、支出绩效三个方面对2022年度部门整体绩效进行了认真自评，根据得分情况本部门支出绩效评价等级为“良好”。</w:t>
      </w:r>
    </w:p>
    <w:p>
      <w:pPr>
        <w:pStyle w:val="2"/>
        <w:rPr>
          <w:rFonts w:hint="eastAsia" w:ascii="仿宋" w:hAnsi="仿宋" w:eastAsia="仿宋"/>
          <w:sz w:val="32"/>
          <w:szCs w:val="32"/>
        </w:rPr>
      </w:pPr>
    </w:p>
    <w:p>
      <w:pPr>
        <w:pStyle w:val="2"/>
        <w:rPr>
          <w:rFonts w:hint="eastAsia" w:ascii="仿宋" w:hAnsi="仿宋" w:eastAsia="仿宋"/>
          <w:sz w:val="32"/>
          <w:szCs w:val="32"/>
        </w:rPr>
      </w:pPr>
    </w:p>
    <w:p>
      <w:pPr>
        <w:pStyle w:val="2"/>
        <w:rPr>
          <w:rFonts w:hint="eastAsia" w:ascii="仿宋" w:hAnsi="仿宋" w:eastAsia="仿宋"/>
          <w:sz w:val="32"/>
          <w:szCs w:val="32"/>
        </w:rPr>
      </w:pPr>
    </w:p>
    <w:p>
      <w:pPr>
        <w:pStyle w:val="2"/>
        <w:rPr>
          <w:rFonts w:hint="eastAsia" w:ascii="仿宋" w:hAnsi="仿宋" w:eastAsia="仿宋"/>
          <w:sz w:val="32"/>
          <w:szCs w:val="32"/>
        </w:rPr>
      </w:pPr>
    </w:p>
    <w:p>
      <w:pPr>
        <w:pStyle w:val="2"/>
        <w:rPr>
          <w:rFonts w:hint="eastAsia" w:ascii="仿宋" w:hAnsi="仿宋" w:eastAsia="仿宋"/>
          <w:sz w:val="32"/>
          <w:szCs w:val="32"/>
        </w:rPr>
      </w:pPr>
    </w:p>
    <w:p>
      <w:pPr>
        <w:numPr>
          <w:ilvl w:val="0"/>
          <w:numId w:val="2"/>
        </w:numPr>
        <w:spacing w:line="560" w:lineRule="exact"/>
        <w:ind w:firstLine="880" w:firstLineChars="200"/>
        <w:jc w:val="center"/>
        <w:outlineLvl w:val="0"/>
        <w:rPr>
          <w:rFonts w:ascii="仿宋" w:hAnsi="仿宋" w:eastAsia="仿宋"/>
          <w:sz w:val="44"/>
          <w:szCs w:val="44"/>
        </w:rPr>
      </w:pPr>
      <w:bookmarkStart w:id="51" w:name="_Toc15377225"/>
      <w:bookmarkStart w:id="52" w:name="_Toc15396613"/>
      <w:r>
        <w:rPr>
          <w:rFonts w:hint="eastAsia" w:ascii="黑体" w:hAnsi="黑体" w:eastAsia="黑体"/>
          <w:sz w:val="44"/>
          <w:szCs w:val="44"/>
        </w:rPr>
        <w:t>名</w:t>
      </w:r>
      <w:r>
        <w:rPr>
          <w:rFonts w:hint="eastAsia" w:ascii="黑体" w:hAnsi="黑体" w:eastAsia="黑体"/>
          <w:b/>
          <w:sz w:val="44"/>
          <w:szCs w:val="44"/>
        </w:rPr>
        <w:t>词解释</w:t>
      </w:r>
      <w:bookmarkEnd w:id="51"/>
      <w:bookmarkEnd w:id="52"/>
    </w:p>
    <w:p>
      <w:pPr>
        <w:spacing w:line="560" w:lineRule="exact"/>
        <w:ind w:firstLine="640" w:firstLineChars="200"/>
        <w:jc w:val="left"/>
        <w:outlineLvl w:val="0"/>
        <w:rPr>
          <w:rFonts w:hint="eastAsia" w:ascii="仿宋" w:hAnsi="仿宋" w:eastAsia="仿宋"/>
          <w:sz w:val="32"/>
          <w:szCs w:val="32"/>
        </w:rPr>
      </w:pPr>
    </w:p>
    <w:p>
      <w:pPr>
        <w:spacing w:line="560" w:lineRule="exact"/>
        <w:ind w:firstLine="640" w:firstLineChars="200"/>
        <w:jc w:val="left"/>
        <w:outlineLvl w:val="0"/>
        <w:rPr>
          <w:rFonts w:ascii="仿宋" w:hAnsi="仿宋" w:eastAsia="仿宋"/>
          <w:sz w:val="32"/>
          <w:szCs w:val="32"/>
        </w:rPr>
      </w:pPr>
      <w:r>
        <w:rPr>
          <w:rFonts w:hint="eastAsia" w:ascii="仿宋" w:hAnsi="仿宋" w:eastAsia="仿宋"/>
          <w:sz w:val="32"/>
          <w:szCs w:val="32"/>
        </w:rPr>
        <w:t>1.财政拨款收入：指单位从同级财政部门取得的财政预算资金。</w:t>
      </w:r>
    </w:p>
    <w:p>
      <w:pPr>
        <w:spacing w:line="560" w:lineRule="exact"/>
        <w:ind w:firstLine="640" w:firstLineChars="200"/>
        <w:jc w:val="left"/>
        <w:outlineLvl w:val="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事业收入：指事业单位开展专业业务活动及辅助活动取得的收入。</w:t>
      </w:r>
    </w:p>
    <w:p>
      <w:pPr>
        <w:spacing w:line="560" w:lineRule="exact"/>
        <w:ind w:firstLine="640" w:firstLineChars="200"/>
        <w:jc w:val="left"/>
        <w:outlineLvl w:val="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w:t>
      </w:r>
      <w:r>
        <w:rPr>
          <w:rFonts w:hint="eastAsia" w:ascii="仿宋" w:hAnsi="仿宋" w:eastAsia="仿宋"/>
          <w:sz w:val="32"/>
          <w:szCs w:val="32"/>
        </w:rPr>
        <w:t>年初结转和结余：指以前年度尚未完成、结转到本年按有关规定继续使用的资金。</w:t>
      </w:r>
    </w:p>
    <w:p>
      <w:pPr>
        <w:spacing w:line="560" w:lineRule="exact"/>
        <w:ind w:firstLine="640" w:firstLineChars="200"/>
        <w:jc w:val="left"/>
        <w:outlineLvl w:val="0"/>
        <w:rPr>
          <w:rFonts w:ascii="仿宋" w:hAnsi="仿宋" w:eastAsia="仿宋"/>
          <w:sz w:val="32"/>
          <w:szCs w:val="32"/>
        </w:rPr>
      </w:pPr>
      <w:r>
        <w:rPr>
          <w:rFonts w:hint="eastAsia" w:ascii="仿宋" w:hAnsi="仿宋" w:eastAsia="仿宋"/>
          <w:sz w:val="32"/>
          <w:szCs w:val="32"/>
          <w:lang w:eastAsia="zh-CN"/>
        </w:rPr>
        <w:t>4.</w:t>
      </w:r>
      <w:r>
        <w:rPr>
          <w:rFonts w:hint="eastAsia" w:ascii="仿宋" w:hAnsi="仿宋" w:eastAsia="仿宋"/>
          <w:sz w:val="32"/>
          <w:szCs w:val="32"/>
        </w:rPr>
        <w:t>年末结转和结余：指单位按有关规定结转到下年或以后年度继续使用的资金。</w:t>
      </w:r>
    </w:p>
    <w:p>
      <w:pPr>
        <w:ind w:firstLine="640" w:firstLineChars="200"/>
        <w:rPr>
          <w:rFonts w:ascii="仿宋" w:hAnsi="仿宋" w:eastAsia="仿宋" w:cs="仿宋_GB2312"/>
          <w:sz w:val="32"/>
          <w:szCs w:val="32"/>
        </w:rPr>
      </w:pPr>
      <w:r>
        <w:rPr>
          <w:rStyle w:val="27"/>
          <w:rFonts w:hint="eastAsia" w:ascii="仿宋" w:hAnsi="仿宋" w:eastAsia="仿宋"/>
          <w:bCs/>
          <w:sz w:val="32"/>
          <w:szCs w:val="32"/>
        </w:rPr>
        <w:t>5</w:t>
      </w:r>
      <w:r>
        <w:rPr>
          <w:rStyle w:val="27"/>
          <w:rFonts w:ascii="仿宋" w:hAnsi="仿宋" w:eastAsia="仿宋"/>
          <w:bCs/>
          <w:sz w:val="32"/>
          <w:szCs w:val="32"/>
        </w:rPr>
        <w:t>.</w:t>
      </w:r>
      <w:r>
        <w:rPr>
          <w:rStyle w:val="27"/>
          <w:rFonts w:hint="eastAsia" w:ascii="仿宋" w:hAnsi="仿宋" w:eastAsia="仿宋"/>
          <w:bCs/>
          <w:sz w:val="32"/>
          <w:szCs w:val="32"/>
        </w:rPr>
        <w:t>一般公共服务支出（类）民族事务（款）民族工作专项（款）</w:t>
      </w:r>
      <w:r>
        <w:rPr>
          <w:rFonts w:hint="eastAsia" w:ascii="仿宋" w:hAnsi="仿宋" w:eastAsia="仿宋" w:cs="仿宋_GB2312"/>
          <w:sz w:val="32"/>
          <w:szCs w:val="32"/>
        </w:rPr>
        <w:t>反映用于民族事务管理方面的专项支出。</w:t>
      </w:r>
    </w:p>
    <w:p>
      <w:pPr>
        <w:ind w:firstLine="640" w:firstLineChars="200"/>
        <w:rPr>
          <w:rStyle w:val="27"/>
          <w:rFonts w:ascii="仿宋" w:hAnsi="仿宋" w:eastAsia="仿宋"/>
          <w:bCs/>
          <w:sz w:val="32"/>
          <w:szCs w:val="32"/>
        </w:rPr>
      </w:pPr>
      <w:r>
        <w:rPr>
          <w:rStyle w:val="27"/>
          <w:rFonts w:hint="eastAsia" w:ascii="仿宋" w:hAnsi="仿宋" w:eastAsia="仿宋"/>
          <w:bCs/>
          <w:sz w:val="32"/>
          <w:szCs w:val="32"/>
        </w:rPr>
        <w:t>6.一般公共服务支出</w:t>
      </w:r>
      <w:r>
        <w:rPr>
          <w:rStyle w:val="27"/>
          <w:rFonts w:hint="eastAsia" w:ascii="仿宋" w:hAnsi="仿宋" w:eastAsia="仿宋"/>
          <w:bCs/>
          <w:sz w:val="32"/>
          <w:szCs w:val="32"/>
          <w:lang w:eastAsia="zh-CN"/>
        </w:rPr>
        <w:t>（</w:t>
      </w:r>
      <w:r>
        <w:rPr>
          <w:rStyle w:val="27"/>
          <w:rFonts w:hint="eastAsia" w:ascii="仿宋" w:hAnsi="仿宋" w:eastAsia="仿宋"/>
          <w:bCs/>
          <w:sz w:val="32"/>
          <w:szCs w:val="32"/>
        </w:rPr>
        <w:t>类</w:t>
      </w:r>
      <w:r>
        <w:rPr>
          <w:rStyle w:val="27"/>
          <w:rFonts w:hint="eastAsia" w:ascii="仿宋" w:hAnsi="仿宋" w:eastAsia="仿宋"/>
          <w:bCs/>
          <w:sz w:val="32"/>
          <w:szCs w:val="32"/>
          <w:lang w:eastAsia="zh-CN"/>
        </w:rPr>
        <w:t>）</w:t>
      </w:r>
      <w:r>
        <w:rPr>
          <w:rStyle w:val="27"/>
          <w:rFonts w:hint="eastAsia" w:ascii="仿宋" w:hAnsi="仿宋" w:eastAsia="仿宋"/>
          <w:bCs/>
          <w:sz w:val="32"/>
          <w:szCs w:val="32"/>
        </w:rPr>
        <w:t>宣传事务（款）行政运行（项）</w:t>
      </w:r>
      <w:r>
        <w:rPr>
          <w:rFonts w:hint="eastAsia" w:ascii="仿宋" w:hAnsi="仿宋" w:eastAsia="仿宋" w:cs="仿宋_GB2312"/>
          <w:sz w:val="32"/>
          <w:szCs w:val="32"/>
        </w:rPr>
        <w:t>反映行政单位（包括实行公务员管理的事业单位）的基本支出</w:t>
      </w:r>
      <w:r>
        <w:rPr>
          <w:rStyle w:val="27"/>
          <w:rFonts w:hint="eastAsia" w:ascii="仿宋" w:hAnsi="仿宋" w:eastAsia="仿宋"/>
          <w:bCs/>
          <w:sz w:val="32"/>
          <w:szCs w:val="32"/>
        </w:rPr>
        <w:t xml:space="preserve">。 </w:t>
      </w:r>
    </w:p>
    <w:p>
      <w:pPr>
        <w:ind w:firstLine="640" w:firstLineChars="200"/>
        <w:rPr>
          <w:rStyle w:val="27"/>
          <w:rFonts w:ascii="仿宋" w:hAnsi="仿宋" w:eastAsia="仿宋"/>
          <w:bCs/>
          <w:sz w:val="32"/>
          <w:szCs w:val="32"/>
        </w:rPr>
      </w:pPr>
      <w:r>
        <w:rPr>
          <w:rStyle w:val="27"/>
          <w:rFonts w:hint="eastAsia" w:ascii="仿宋" w:hAnsi="仿宋" w:eastAsia="仿宋"/>
          <w:bCs/>
          <w:sz w:val="32"/>
          <w:szCs w:val="32"/>
        </w:rPr>
        <w:t>7.一般公共服务支出</w:t>
      </w:r>
      <w:r>
        <w:rPr>
          <w:rStyle w:val="27"/>
          <w:rFonts w:hint="eastAsia" w:ascii="仿宋" w:hAnsi="仿宋" w:eastAsia="仿宋"/>
          <w:bCs/>
          <w:sz w:val="32"/>
          <w:szCs w:val="32"/>
          <w:lang w:eastAsia="zh-CN"/>
        </w:rPr>
        <w:t>（</w:t>
      </w:r>
      <w:r>
        <w:rPr>
          <w:rStyle w:val="27"/>
          <w:rFonts w:hint="eastAsia" w:ascii="仿宋" w:hAnsi="仿宋" w:eastAsia="仿宋"/>
          <w:bCs/>
          <w:sz w:val="32"/>
          <w:szCs w:val="32"/>
        </w:rPr>
        <w:t>类</w:t>
      </w:r>
      <w:r>
        <w:rPr>
          <w:rStyle w:val="27"/>
          <w:rFonts w:hint="eastAsia" w:ascii="仿宋" w:hAnsi="仿宋" w:eastAsia="仿宋"/>
          <w:bCs/>
          <w:sz w:val="32"/>
          <w:szCs w:val="32"/>
          <w:lang w:eastAsia="zh-CN"/>
        </w:rPr>
        <w:t>）</w:t>
      </w:r>
      <w:r>
        <w:rPr>
          <w:rStyle w:val="27"/>
          <w:rFonts w:hint="eastAsia" w:ascii="仿宋" w:hAnsi="仿宋" w:eastAsia="仿宋"/>
          <w:bCs/>
          <w:sz w:val="32"/>
          <w:szCs w:val="32"/>
        </w:rPr>
        <w:t>宣传事务（款）事业运行（项）</w:t>
      </w:r>
      <w:r>
        <w:rPr>
          <w:rFonts w:hint="eastAsia" w:ascii="仿宋" w:hAnsi="仿宋" w:eastAsia="仿宋" w:cs="仿宋_GB2312"/>
          <w:sz w:val="32"/>
          <w:szCs w:val="32"/>
        </w:rPr>
        <w:t>反映事业单位的基本支出，不包括行政单位（包括实行公务员管理的事业单位）后勤服务中心、医务室等附属事业单位。</w:t>
      </w:r>
    </w:p>
    <w:p>
      <w:pPr>
        <w:spacing w:line="580" w:lineRule="exact"/>
        <w:ind w:firstLine="640" w:firstLineChars="200"/>
        <w:rPr>
          <w:rFonts w:ascii="仿宋" w:hAnsi="仿宋" w:eastAsia="仿宋" w:cs="仿宋_GB2312"/>
          <w:sz w:val="32"/>
          <w:szCs w:val="32"/>
        </w:rPr>
      </w:pPr>
      <w:r>
        <w:rPr>
          <w:rStyle w:val="27"/>
          <w:rFonts w:hint="eastAsia" w:ascii="仿宋" w:hAnsi="仿宋" w:eastAsia="仿宋"/>
          <w:bCs/>
          <w:sz w:val="32"/>
          <w:szCs w:val="32"/>
        </w:rPr>
        <w:t>8.一般公共服务支出</w:t>
      </w:r>
      <w:r>
        <w:rPr>
          <w:rStyle w:val="27"/>
          <w:rFonts w:hint="eastAsia" w:ascii="仿宋" w:hAnsi="仿宋" w:eastAsia="仿宋"/>
          <w:bCs/>
          <w:sz w:val="32"/>
          <w:szCs w:val="32"/>
          <w:lang w:eastAsia="zh-CN"/>
        </w:rPr>
        <w:t>（</w:t>
      </w:r>
      <w:r>
        <w:rPr>
          <w:rStyle w:val="27"/>
          <w:rFonts w:hint="eastAsia" w:ascii="仿宋" w:hAnsi="仿宋" w:eastAsia="仿宋"/>
          <w:bCs/>
          <w:sz w:val="32"/>
          <w:szCs w:val="32"/>
        </w:rPr>
        <w:t>类</w:t>
      </w:r>
      <w:r>
        <w:rPr>
          <w:rStyle w:val="27"/>
          <w:rFonts w:hint="eastAsia" w:ascii="仿宋" w:hAnsi="仿宋" w:eastAsia="仿宋"/>
          <w:bCs/>
          <w:sz w:val="32"/>
          <w:szCs w:val="32"/>
          <w:lang w:eastAsia="zh-CN"/>
        </w:rPr>
        <w:t>）</w:t>
      </w:r>
      <w:r>
        <w:rPr>
          <w:rStyle w:val="27"/>
          <w:rFonts w:hint="eastAsia" w:ascii="仿宋" w:hAnsi="仿宋" w:eastAsia="仿宋"/>
          <w:bCs/>
          <w:sz w:val="32"/>
          <w:szCs w:val="32"/>
        </w:rPr>
        <w:t>宣传事务（款）</w:t>
      </w:r>
      <w:r>
        <w:rPr>
          <w:rFonts w:hint="eastAsia" w:ascii="仿宋" w:hAnsi="仿宋" w:eastAsia="仿宋" w:cs="Arial"/>
          <w:color w:val="000000"/>
          <w:kern w:val="0"/>
          <w:sz w:val="32"/>
          <w:szCs w:val="32"/>
        </w:rPr>
        <w:t>其他宣传事务（项）</w:t>
      </w:r>
      <w:r>
        <w:rPr>
          <w:rFonts w:hint="eastAsia" w:ascii="仿宋" w:hAnsi="仿宋" w:eastAsia="仿宋" w:cs="仿宋_GB2312"/>
          <w:sz w:val="32"/>
          <w:szCs w:val="32"/>
        </w:rPr>
        <w:t>反映除上述项目以外其他用于中国共产党宣传部门的事务支出。</w:t>
      </w:r>
    </w:p>
    <w:p>
      <w:pPr>
        <w:ind w:firstLine="640" w:firstLineChars="200"/>
        <w:rPr>
          <w:rFonts w:ascii="仿宋" w:hAnsi="仿宋" w:eastAsia="仿宋"/>
          <w:sz w:val="32"/>
          <w:szCs w:val="32"/>
        </w:rPr>
      </w:pPr>
      <w:r>
        <w:rPr>
          <w:rStyle w:val="27"/>
          <w:rFonts w:hint="eastAsia" w:ascii="仿宋" w:hAnsi="仿宋" w:eastAsia="仿宋"/>
          <w:bCs/>
          <w:sz w:val="32"/>
          <w:szCs w:val="32"/>
        </w:rPr>
        <w:t>9</w:t>
      </w:r>
      <w:r>
        <w:rPr>
          <w:rStyle w:val="27"/>
          <w:rFonts w:hint="eastAsia" w:ascii="仿宋" w:hAnsi="仿宋" w:eastAsia="仿宋"/>
          <w:bCs/>
          <w:sz w:val="32"/>
          <w:szCs w:val="32"/>
          <w:lang w:val="en-US" w:eastAsia="zh-CN"/>
        </w:rPr>
        <w:t>.</w:t>
      </w:r>
      <w:r>
        <w:rPr>
          <w:rStyle w:val="27"/>
          <w:rFonts w:hint="eastAsia" w:ascii="仿宋" w:hAnsi="仿宋" w:eastAsia="仿宋"/>
          <w:bCs/>
          <w:sz w:val="32"/>
          <w:szCs w:val="32"/>
        </w:rPr>
        <w:t>文化旅游体育与传媒支出（类）文化和旅游（款）文化活动（项）</w:t>
      </w:r>
      <w:r>
        <w:rPr>
          <w:rFonts w:hint="eastAsia" w:ascii="仿宋" w:hAnsi="仿宋" w:eastAsia="仿宋"/>
          <w:sz w:val="32"/>
          <w:szCs w:val="32"/>
        </w:rPr>
        <w:t>反映举办大型文化艺术活动的支出</w:t>
      </w:r>
    </w:p>
    <w:p>
      <w:pPr>
        <w:ind w:firstLine="640" w:firstLineChars="200"/>
        <w:rPr>
          <w:rFonts w:ascii="仿宋" w:hAnsi="仿宋" w:eastAsia="仿宋"/>
          <w:sz w:val="32"/>
          <w:szCs w:val="32"/>
        </w:rPr>
      </w:pPr>
      <w:r>
        <w:rPr>
          <w:rStyle w:val="27"/>
          <w:rFonts w:hint="eastAsia" w:ascii="仿宋" w:hAnsi="仿宋" w:eastAsia="仿宋"/>
          <w:bCs/>
          <w:sz w:val="32"/>
          <w:szCs w:val="32"/>
        </w:rPr>
        <w:t>10.文化旅游体育与传媒支出（类）文化和旅游（款）其他文化和旅游支出（项）</w:t>
      </w:r>
      <w:r>
        <w:rPr>
          <w:rFonts w:hint="eastAsia" w:ascii="仿宋" w:hAnsi="仿宋" w:eastAsia="仿宋"/>
          <w:sz w:val="32"/>
          <w:szCs w:val="32"/>
        </w:rPr>
        <w:t>反映除上述项目以外其他用于文化和旅游方面的支出。</w:t>
      </w:r>
    </w:p>
    <w:p>
      <w:pPr>
        <w:ind w:firstLine="640" w:firstLineChars="200"/>
        <w:rPr>
          <w:rFonts w:ascii="仿宋" w:hAnsi="仿宋" w:eastAsia="仿宋"/>
          <w:sz w:val="32"/>
          <w:szCs w:val="32"/>
        </w:rPr>
      </w:pPr>
      <w:r>
        <w:rPr>
          <w:rStyle w:val="27"/>
          <w:rFonts w:hint="eastAsia" w:ascii="仿宋" w:hAnsi="仿宋" w:eastAsia="仿宋"/>
          <w:bCs/>
          <w:sz w:val="32"/>
          <w:szCs w:val="32"/>
        </w:rPr>
        <w:t>11.文化旅游体育与传媒支出（类）新闻出版电影（款）电影（项）</w:t>
      </w:r>
      <w:r>
        <w:rPr>
          <w:rFonts w:hint="eastAsia" w:ascii="仿宋" w:hAnsi="仿宋" w:eastAsia="仿宋"/>
          <w:sz w:val="32"/>
          <w:szCs w:val="32"/>
        </w:rPr>
        <w:t>反映电影制片、发行、放映等方面的支出。</w:t>
      </w:r>
    </w:p>
    <w:p>
      <w:pPr>
        <w:ind w:firstLine="640" w:firstLineChars="200"/>
        <w:rPr>
          <w:rFonts w:ascii="仿宋" w:hAnsi="仿宋" w:eastAsia="仿宋"/>
          <w:sz w:val="32"/>
          <w:szCs w:val="32"/>
        </w:rPr>
      </w:pPr>
      <w:r>
        <w:rPr>
          <w:rStyle w:val="27"/>
          <w:rFonts w:hint="eastAsia" w:ascii="仿宋" w:hAnsi="仿宋" w:eastAsia="仿宋"/>
          <w:bCs/>
          <w:sz w:val="32"/>
          <w:szCs w:val="32"/>
        </w:rPr>
        <w:t>12.文化旅游体育与传媒支出（类）其他文化旅游体育与传媒支出（款）其他文化旅游</w:t>
      </w:r>
      <w:r>
        <w:rPr>
          <w:rStyle w:val="27"/>
          <w:rFonts w:hint="eastAsia" w:ascii="仿宋" w:hAnsi="仿宋" w:eastAsia="仿宋"/>
          <w:bCs/>
          <w:sz w:val="32"/>
          <w:szCs w:val="32"/>
          <w:lang w:eastAsia="zh-CN"/>
        </w:rPr>
        <w:t>体育</w:t>
      </w:r>
      <w:r>
        <w:rPr>
          <w:rStyle w:val="27"/>
          <w:rFonts w:hint="eastAsia" w:ascii="仿宋" w:hAnsi="仿宋" w:eastAsia="仿宋"/>
          <w:bCs/>
          <w:sz w:val="32"/>
          <w:szCs w:val="32"/>
        </w:rPr>
        <w:t>与传媒支出（项）</w:t>
      </w:r>
      <w:r>
        <w:rPr>
          <w:rFonts w:hint="eastAsia" w:ascii="仿宋" w:hAnsi="仿宋" w:eastAsia="仿宋"/>
          <w:sz w:val="32"/>
          <w:szCs w:val="32"/>
        </w:rPr>
        <w:t>反映上述项目以外的国家电影事业发展专项资金支出。</w:t>
      </w:r>
    </w:p>
    <w:p>
      <w:pPr>
        <w:ind w:firstLine="640" w:firstLineChars="200"/>
      </w:pPr>
      <w:r>
        <w:rPr>
          <w:rStyle w:val="27"/>
          <w:rFonts w:hint="eastAsia" w:ascii="仿宋" w:hAnsi="仿宋" w:eastAsia="仿宋"/>
          <w:bCs/>
          <w:sz w:val="32"/>
          <w:szCs w:val="32"/>
        </w:rPr>
        <w:t>13.文化旅游体育与传媒支出（类）国家电影事业发展专项资金安排的支出（款）其他国家电影事业发展专项资金支出（项）反映上述项目以外的国家电影事业发展专项资金支出。</w:t>
      </w:r>
    </w:p>
    <w:p>
      <w:pPr>
        <w:ind w:firstLine="640" w:firstLineChars="200"/>
        <w:rPr>
          <w:rFonts w:ascii="仿宋" w:hAnsi="仿宋" w:eastAsia="仿宋"/>
          <w:sz w:val="32"/>
          <w:szCs w:val="32"/>
        </w:rPr>
      </w:pPr>
      <w:r>
        <w:rPr>
          <w:rStyle w:val="27"/>
          <w:rFonts w:hint="eastAsia" w:ascii="仿宋" w:hAnsi="仿宋" w:eastAsia="仿宋"/>
          <w:bCs/>
          <w:sz w:val="32"/>
          <w:szCs w:val="32"/>
        </w:rPr>
        <w:t>14</w:t>
      </w:r>
      <w:r>
        <w:rPr>
          <w:rStyle w:val="27"/>
          <w:rFonts w:ascii="仿宋" w:hAnsi="仿宋" w:eastAsia="仿宋"/>
          <w:bCs/>
          <w:sz w:val="32"/>
          <w:szCs w:val="32"/>
        </w:rPr>
        <w:t>.</w:t>
      </w:r>
      <w:r>
        <w:rPr>
          <w:rStyle w:val="27"/>
          <w:rFonts w:hint="eastAsia" w:ascii="仿宋" w:hAnsi="仿宋" w:eastAsia="仿宋"/>
          <w:bCs/>
          <w:sz w:val="32"/>
          <w:szCs w:val="32"/>
        </w:rPr>
        <w:t>社会保障和就业支出（类）行政事业单位养老支出（款）行政单位离退休（项）</w:t>
      </w:r>
      <w:r>
        <w:rPr>
          <w:rFonts w:hint="eastAsia" w:ascii="仿宋" w:hAnsi="仿宋" w:eastAsia="仿宋"/>
          <w:sz w:val="32"/>
          <w:szCs w:val="32"/>
        </w:rPr>
        <w:t>反映行政单位（包括实行公务员管理的事业单位）开支了离退休经费。</w:t>
      </w:r>
    </w:p>
    <w:p>
      <w:pPr>
        <w:ind w:firstLine="640" w:firstLineChars="200"/>
        <w:rPr>
          <w:rFonts w:ascii="仿宋" w:hAnsi="仿宋" w:eastAsia="仿宋"/>
          <w:sz w:val="32"/>
          <w:szCs w:val="32"/>
        </w:rPr>
      </w:pPr>
      <w:r>
        <w:rPr>
          <w:rStyle w:val="27"/>
          <w:rFonts w:hint="eastAsia" w:ascii="仿宋" w:hAnsi="仿宋" w:eastAsia="仿宋"/>
          <w:bCs/>
          <w:sz w:val="32"/>
          <w:szCs w:val="32"/>
        </w:rPr>
        <w:t>15.社会保障和就业支出（类）行政事业单位养老支出（款）机关事业单位基本养老保险缴费支出</w:t>
      </w:r>
      <w:r>
        <w:rPr>
          <w:rFonts w:hint="eastAsia" w:ascii="仿宋" w:hAnsi="仿宋" w:eastAsia="仿宋"/>
          <w:sz w:val="32"/>
          <w:szCs w:val="32"/>
        </w:rPr>
        <w:t>反映机关事业单位实施养老保险制度由单位缴纳的基本养老保险费支出。</w:t>
      </w:r>
    </w:p>
    <w:p>
      <w:pPr>
        <w:ind w:firstLine="640" w:firstLineChars="200"/>
        <w:rPr>
          <w:rFonts w:ascii="仿宋" w:hAnsi="仿宋" w:eastAsia="仿宋"/>
          <w:sz w:val="32"/>
          <w:szCs w:val="32"/>
        </w:rPr>
      </w:pPr>
      <w:r>
        <w:rPr>
          <w:rStyle w:val="27"/>
          <w:rFonts w:hint="eastAsia" w:ascii="仿宋" w:hAnsi="仿宋" w:eastAsia="仿宋"/>
          <w:bCs/>
          <w:sz w:val="32"/>
          <w:szCs w:val="32"/>
        </w:rPr>
        <w:t>16</w:t>
      </w:r>
      <w:r>
        <w:rPr>
          <w:rStyle w:val="27"/>
          <w:rFonts w:ascii="仿宋" w:hAnsi="仿宋" w:eastAsia="仿宋"/>
          <w:bCs/>
          <w:sz w:val="32"/>
          <w:szCs w:val="32"/>
        </w:rPr>
        <w:t>.</w:t>
      </w:r>
      <w:r>
        <w:rPr>
          <w:rFonts w:hint="eastAsia" w:ascii="仿宋" w:hAnsi="仿宋" w:eastAsia="仿宋"/>
          <w:bCs/>
          <w:sz w:val="32"/>
          <w:szCs w:val="32"/>
        </w:rPr>
        <w:t>卫生健康支出（类）行政事业单位医疗（款）</w:t>
      </w:r>
      <w:r>
        <w:rPr>
          <w:rStyle w:val="27"/>
          <w:rFonts w:hint="eastAsia" w:ascii="仿宋" w:hAnsi="仿宋" w:eastAsia="仿宋"/>
          <w:bCs/>
          <w:sz w:val="32"/>
          <w:szCs w:val="32"/>
        </w:rPr>
        <w:t>行政单位医疗（项）</w:t>
      </w:r>
      <w:r>
        <w:rPr>
          <w:rFonts w:hint="eastAsia" w:ascii="仿宋" w:hAnsi="仿宋" w:eastAsia="仿宋"/>
          <w:sz w:val="32"/>
          <w:szCs w:val="32"/>
        </w:rPr>
        <w:t>反映财政部门安排的行政单位（包括实行公务员管理的事业单位，下同）基本医疗保险缴费经费，未参加医疗保险的行政单位的公费医疗经费，按国家规定享受离休人员、</w:t>
      </w:r>
      <w:r>
        <w:rPr>
          <w:rFonts w:hint="eastAsia" w:ascii="仿宋" w:hAnsi="仿宋" w:eastAsia="仿宋"/>
          <w:sz w:val="32"/>
          <w:szCs w:val="32"/>
          <w:lang w:eastAsia="zh-CN"/>
        </w:rPr>
        <w:t>红军</w:t>
      </w:r>
      <w:r>
        <w:rPr>
          <w:rFonts w:hint="eastAsia" w:ascii="仿宋" w:hAnsi="仿宋" w:eastAsia="仿宋"/>
          <w:sz w:val="32"/>
          <w:szCs w:val="32"/>
        </w:rPr>
        <w:t>战士待遇人员的医疗经费。</w:t>
      </w:r>
    </w:p>
    <w:p>
      <w:pPr>
        <w:ind w:firstLine="640" w:firstLineChars="200"/>
        <w:rPr>
          <w:rFonts w:ascii="仿宋" w:hAnsi="仿宋" w:eastAsia="仿宋"/>
          <w:sz w:val="32"/>
          <w:szCs w:val="32"/>
        </w:rPr>
      </w:pPr>
      <w:r>
        <w:rPr>
          <w:rStyle w:val="27"/>
          <w:rFonts w:hint="eastAsia" w:ascii="仿宋" w:hAnsi="仿宋" w:eastAsia="仿宋"/>
          <w:bCs/>
          <w:sz w:val="32"/>
          <w:szCs w:val="32"/>
        </w:rPr>
        <w:t>17.</w:t>
      </w:r>
      <w:r>
        <w:rPr>
          <w:rFonts w:hint="eastAsia" w:ascii="仿宋" w:hAnsi="仿宋" w:eastAsia="仿宋"/>
          <w:bCs/>
          <w:sz w:val="32"/>
          <w:szCs w:val="32"/>
        </w:rPr>
        <w:t>卫生健康支出（类）行政事业单位医疗（款）</w:t>
      </w:r>
      <w:r>
        <w:rPr>
          <w:rStyle w:val="27"/>
          <w:rFonts w:hint="eastAsia" w:ascii="仿宋" w:hAnsi="仿宋" w:eastAsia="仿宋"/>
          <w:bCs/>
          <w:sz w:val="32"/>
          <w:szCs w:val="32"/>
        </w:rPr>
        <w:t>事业单位医疗（项）</w:t>
      </w:r>
      <w:r>
        <w:rPr>
          <w:rFonts w:hint="eastAsia" w:ascii="仿宋" w:hAnsi="仿宋" w:eastAsia="仿宋"/>
          <w:sz w:val="32"/>
          <w:szCs w:val="32"/>
        </w:rPr>
        <w:t>反映财政部门安排的事业单位基本医疗保险缴费经费，未参加医疗保险的事业单位的公费医疗经费，按国家规定享受离休人员待遇的医疗经费。</w:t>
      </w:r>
    </w:p>
    <w:p>
      <w:pPr>
        <w:ind w:firstLine="640" w:firstLineChars="200"/>
        <w:rPr>
          <w:rFonts w:ascii="仿宋" w:hAnsi="仿宋" w:eastAsia="仿宋"/>
          <w:sz w:val="32"/>
          <w:szCs w:val="32"/>
        </w:rPr>
      </w:pPr>
      <w:r>
        <w:rPr>
          <w:rStyle w:val="27"/>
          <w:rFonts w:hint="eastAsia" w:ascii="仿宋" w:hAnsi="仿宋" w:eastAsia="仿宋"/>
          <w:bCs/>
          <w:sz w:val="32"/>
          <w:szCs w:val="32"/>
        </w:rPr>
        <w:t>18.</w:t>
      </w:r>
      <w:r>
        <w:rPr>
          <w:rFonts w:hint="eastAsia" w:ascii="仿宋" w:hAnsi="仿宋" w:eastAsia="仿宋"/>
          <w:bCs/>
          <w:sz w:val="32"/>
          <w:szCs w:val="32"/>
        </w:rPr>
        <w:t>卫生健康支出（类）行政事业单位医疗（款）</w:t>
      </w:r>
      <w:r>
        <w:rPr>
          <w:rStyle w:val="27"/>
          <w:rFonts w:hint="eastAsia" w:ascii="仿宋" w:hAnsi="仿宋" w:eastAsia="仿宋"/>
          <w:bCs/>
          <w:sz w:val="32"/>
          <w:szCs w:val="32"/>
        </w:rPr>
        <w:t>公务员医疗补助（项）</w:t>
      </w:r>
      <w:r>
        <w:rPr>
          <w:rFonts w:hint="eastAsia" w:ascii="仿宋" w:hAnsi="仿宋" w:eastAsia="仿宋"/>
          <w:sz w:val="32"/>
          <w:szCs w:val="32"/>
        </w:rPr>
        <w:t xml:space="preserve">反映财政部门安排的公务员医疗补助经费。 </w:t>
      </w:r>
    </w:p>
    <w:p>
      <w:pPr>
        <w:ind w:firstLine="640" w:firstLineChars="200"/>
        <w:rPr>
          <w:rFonts w:ascii="仿宋" w:hAnsi="仿宋" w:eastAsia="仿宋"/>
          <w:sz w:val="32"/>
          <w:szCs w:val="32"/>
        </w:rPr>
      </w:pPr>
      <w:r>
        <w:rPr>
          <w:rStyle w:val="27"/>
          <w:rFonts w:hint="eastAsia" w:ascii="仿宋" w:hAnsi="仿宋" w:eastAsia="仿宋"/>
          <w:bCs/>
          <w:sz w:val="32"/>
          <w:szCs w:val="32"/>
        </w:rPr>
        <w:t>19.</w:t>
      </w:r>
      <w:r>
        <w:rPr>
          <w:rFonts w:hint="eastAsia" w:ascii="仿宋" w:hAnsi="仿宋" w:eastAsia="仿宋"/>
          <w:bCs/>
          <w:sz w:val="32"/>
          <w:szCs w:val="32"/>
        </w:rPr>
        <w:t>卫生健康支出（类）行政事业单位医疗（款）</w:t>
      </w:r>
      <w:r>
        <w:rPr>
          <w:rFonts w:hint="eastAsia" w:ascii="仿宋" w:hAnsi="仿宋" w:eastAsia="仿宋" w:cs="Arial"/>
          <w:color w:val="000000"/>
          <w:kern w:val="0"/>
          <w:sz w:val="32"/>
          <w:szCs w:val="32"/>
        </w:rPr>
        <w:t>其他行政事业单位医疗支出（项）</w:t>
      </w:r>
      <w:r>
        <w:rPr>
          <w:rFonts w:hint="eastAsia" w:ascii="仿宋" w:hAnsi="仿宋" w:eastAsia="仿宋"/>
          <w:sz w:val="32"/>
          <w:szCs w:val="32"/>
        </w:rPr>
        <w:t>反映除上述项目以外的其他用于行政事业单位医疗方面的支出。</w:t>
      </w:r>
    </w:p>
    <w:p>
      <w:pPr>
        <w:ind w:firstLine="640" w:firstLineChars="200"/>
        <w:rPr>
          <w:rFonts w:ascii="仿宋" w:hAnsi="仿宋" w:eastAsia="仿宋"/>
          <w:sz w:val="32"/>
          <w:szCs w:val="32"/>
        </w:rPr>
      </w:pPr>
      <w:r>
        <w:rPr>
          <w:rFonts w:hint="eastAsia" w:ascii="仿宋" w:hAnsi="仿宋" w:eastAsia="仿宋"/>
          <w:sz w:val="32"/>
          <w:szCs w:val="32"/>
        </w:rPr>
        <w:t>20</w:t>
      </w:r>
      <w:r>
        <w:rPr>
          <w:rFonts w:hint="eastAsia" w:ascii="仿宋" w:hAnsi="仿宋" w:eastAsia="仿宋"/>
          <w:sz w:val="32"/>
          <w:szCs w:val="32"/>
          <w:lang w:val="en-US" w:eastAsia="zh-CN"/>
        </w:rPr>
        <w:t>.</w:t>
      </w:r>
      <w:r>
        <w:rPr>
          <w:rFonts w:hint="eastAsia" w:ascii="仿宋" w:hAnsi="仿宋" w:eastAsia="仿宋"/>
          <w:sz w:val="32"/>
          <w:szCs w:val="32"/>
        </w:rPr>
        <w:t>住房保障支出（类）住房改革支出（款）住房公积金（项）：反映行政事业单位</w:t>
      </w:r>
      <w:r>
        <w:rPr>
          <w:rFonts w:hint="eastAsia" w:ascii="仿宋" w:hAnsi="仿宋" w:eastAsia="仿宋"/>
          <w:sz w:val="32"/>
          <w:szCs w:val="32"/>
          <w:lang w:eastAsia="zh-CN"/>
        </w:rPr>
        <w:t>按人力资源和社会保障部</w:t>
      </w:r>
      <w:r>
        <w:rPr>
          <w:rFonts w:hint="eastAsia" w:ascii="仿宋" w:hAnsi="仿宋" w:eastAsia="仿宋"/>
          <w:sz w:val="32"/>
          <w:szCs w:val="32"/>
        </w:rPr>
        <w:t>、财政部规定的基本工资和津贴补贴以及规定比例为职工缴纳的住房公积金。</w:t>
      </w:r>
      <w:r>
        <w:rPr>
          <w:rFonts w:hint="eastAsia"/>
        </w:rPr>
        <w:t xml:space="preserve">  </w:t>
      </w:r>
    </w:p>
    <w:p>
      <w:pPr>
        <w:ind w:firstLine="640" w:firstLineChars="200"/>
        <w:rPr>
          <w:rFonts w:ascii="仿宋" w:hAnsi="仿宋" w:eastAsia="仿宋"/>
          <w:sz w:val="32"/>
          <w:szCs w:val="32"/>
        </w:rPr>
      </w:pPr>
      <w:r>
        <w:rPr>
          <w:rFonts w:hint="eastAsia" w:ascii="仿宋" w:hAnsi="仿宋" w:eastAsia="仿宋"/>
          <w:sz w:val="32"/>
          <w:szCs w:val="32"/>
        </w:rPr>
        <w:t>21</w:t>
      </w:r>
      <w:r>
        <w:rPr>
          <w:rFonts w:ascii="仿宋" w:hAnsi="仿宋" w:eastAsia="仿宋"/>
          <w:sz w:val="32"/>
          <w:szCs w:val="32"/>
        </w:rPr>
        <w:t>.</w:t>
      </w:r>
      <w:r>
        <w:rPr>
          <w:rFonts w:hint="eastAsia" w:ascii="仿宋" w:hAnsi="仿宋" w:eastAsia="仿宋"/>
          <w:sz w:val="32"/>
          <w:szCs w:val="32"/>
        </w:rPr>
        <w:t>项目支出：指在基本支出之外为完成特定行政任务和事业发展目标所发生的支出。</w:t>
      </w:r>
    </w:p>
    <w:p>
      <w:pPr>
        <w:ind w:firstLine="643" w:firstLineChars="200"/>
        <w:rPr>
          <w:rFonts w:ascii="仿宋" w:hAnsi="仿宋" w:eastAsia="仿宋"/>
          <w:sz w:val="32"/>
          <w:szCs w:val="32"/>
        </w:rPr>
      </w:pPr>
      <w:r>
        <w:rPr>
          <w:rFonts w:hint="eastAsia" w:ascii="仿宋" w:hAnsi="仿宋" w:eastAsia="仿宋"/>
          <w:b/>
          <w:sz w:val="32"/>
          <w:szCs w:val="32"/>
        </w:rPr>
        <w:t>22</w:t>
      </w:r>
      <w:r>
        <w:rPr>
          <w:rFonts w:ascii="仿宋" w:hAnsi="仿宋" w:eastAsia="仿宋"/>
          <w:sz w:val="32"/>
          <w:szCs w:val="32"/>
        </w:rPr>
        <w:t>.</w:t>
      </w:r>
      <w:r>
        <w:rPr>
          <w:rFonts w:hint="eastAsia" w:ascii="仿宋" w:hAnsi="仿宋" w:eastAsia="仿宋"/>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运行维护费反映单位按规定保留的公务用车燃料费、维修费、过路过桥费、保险费、安全奖励费用等支出。公务用车购置反映公务用车购置支出（含车辆购置税、牌照费）。公务接待费反映单位按规定开支的各类公务接待（含外宾接待）费用。</w:t>
      </w:r>
    </w:p>
    <w:p>
      <w:pPr>
        <w:ind w:firstLine="640" w:firstLineChars="200"/>
        <w:rPr>
          <w:rFonts w:ascii="仿宋" w:hAnsi="仿宋" w:eastAsia="仿宋"/>
          <w:sz w:val="32"/>
          <w:szCs w:val="32"/>
        </w:rPr>
      </w:pPr>
      <w:r>
        <w:rPr>
          <w:rFonts w:hint="eastAsia" w:ascii="仿宋" w:hAnsi="仿宋" w:eastAsia="仿宋"/>
          <w:sz w:val="32"/>
          <w:szCs w:val="32"/>
        </w:rPr>
        <w:t>23</w:t>
      </w:r>
      <w:r>
        <w:rPr>
          <w:rFonts w:ascii="仿宋" w:hAnsi="仿宋" w:eastAsia="仿宋"/>
          <w:sz w:val="32"/>
          <w:szCs w:val="32"/>
        </w:rPr>
        <w:t>.</w:t>
      </w:r>
      <w:r>
        <w:rPr>
          <w:rFonts w:hint="eastAsia" w:ascii="仿宋" w:hAnsi="仿宋" w:eastAsia="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sz w:val="44"/>
          <w:szCs w:val="44"/>
        </w:rPr>
      </w:pPr>
      <w:bookmarkStart w:id="53" w:name="_Toc15396614"/>
      <w:bookmarkStart w:id="54" w:name="_Toc15377226"/>
    </w:p>
    <w:p>
      <w:pPr>
        <w:spacing w:line="600" w:lineRule="exact"/>
        <w:jc w:val="center"/>
        <w:outlineLvl w:val="0"/>
        <w:rPr>
          <w:rFonts w:hint="eastAsia" w:ascii="黑体" w:hAnsi="黑体" w:eastAsia="黑体"/>
          <w:sz w:val="44"/>
          <w:szCs w:val="44"/>
        </w:rPr>
      </w:pPr>
    </w:p>
    <w:p>
      <w:pPr>
        <w:pStyle w:val="2"/>
        <w:rPr>
          <w:rFonts w:hint="eastAsia" w:ascii="黑体" w:hAnsi="黑体" w:eastAsia="黑体"/>
          <w:sz w:val="44"/>
          <w:szCs w:val="44"/>
        </w:rPr>
      </w:pPr>
    </w:p>
    <w:p>
      <w:pPr>
        <w:pStyle w:val="2"/>
        <w:rPr>
          <w:rFonts w:hint="eastAsia" w:ascii="黑体" w:hAnsi="黑体" w:eastAsia="黑体"/>
          <w:sz w:val="44"/>
          <w:szCs w:val="44"/>
        </w:rPr>
      </w:pPr>
    </w:p>
    <w:p>
      <w:pPr>
        <w:pStyle w:val="2"/>
        <w:rPr>
          <w:rFonts w:hint="eastAsia" w:ascii="黑体" w:hAnsi="黑体" w:eastAsia="黑体"/>
          <w:sz w:val="44"/>
          <w:szCs w:val="44"/>
        </w:rPr>
      </w:pPr>
    </w:p>
    <w:p>
      <w:pPr>
        <w:pStyle w:val="2"/>
        <w:rPr>
          <w:rFonts w:hint="eastAsia" w:ascii="黑体" w:hAnsi="黑体" w:eastAsia="黑体"/>
          <w:sz w:val="44"/>
          <w:szCs w:val="44"/>
        </w:rPr>
      </w:pPr>
    </w:p>
    <w:p>
      <w:pPr>
        <w:pStyle w:val="2"/>
        <w:rPr>
          <w:rFonts w:hint="eastAsia" w:ascii="黑体" w:hAnsi="黑体" w:eastAsia="黑体"/>
          <w:sz w:val="44"/>
          <w:szCs w:val="44"/>
        </w:rPr>
      </w:pPr>
    </w:p>
    <w:p>
      <w:pPr>
        <w:pStyle w:val="2"/>
        <w:rPr>
          <w:rFonts w:hint="eastAsia" w:ascii="黑体" w:hAnsi="黑体" w:eastAsia="黑体"/>
          <w:sz w:val="44"/>
          <w:szCs w:val="44"/>
        </w:rPr>
      </w:pPr>
    </w:p>
    <w:p>
      <w:pPr>
        <w:pStyle w:val="2"/>
        <w:rPr>
          <w:rFonts w:hint="eastAsia" w:ascii="黑体" w:hAnsi="黑体" w:eastAsia="黑体"/>
          <w:sz w:val="44"/>
          <w:szCs w:val="44"/>
        </w:rPr>
      </w:pPr>
    </w:p>
    <w:p>
      <w:pPr>
        <w:pStyle w:val="2"/>
        <w:rPr>
          <w:rFonts w:hint="eastAsia" w:ascii="黑体" w:hAnsi="黑体" w:eastAsia="黑体"/>
          <w:sz w:val="44"/>
          <w:szCs w:val="44"/>
        </w:rPr>
      </w:pPr>
    </w:p>
    <w:p>
      <w:pPr>
        <w:spacing w:line="600" w:lineRule="exact"/>
        <w:jc w:val="center"/>
        <w:outlineLvl w:val="0"/>
        <w:rPr>
          <w:rFonts w:ascii="黑体" w:hAnsi="黑体" w:eastAsia="黑体"/>
          <w:b/>
          <w:sz w:val="44"/>
          <w:szCs w:val="44"/>
        </w:rPr>
      </w:pPr>
      <w:r>
        <w:rPr>
          <w:rFonts w:hint="eastAsia" w:ascii="黑体" w:hAnsi="黑体" w:eastAsia="黑体"/>
          <w:sz w:val="44"/>
          <w:szCs w:val="44"/>
        </w:rPr>
        <w:t>第</w:t>
      </w:r>
      <w:r>
        <w:rPr>
          <w:rFonts w:hint="eastAsia" w:ascii="黑体" w:hAnsi="黑体" w:eastAsia="黑体"/>
          <w:b/>
          <w:sz w:val="44"/>
          <w:szCs w:val="44"/>
        </w:rPr>
        <w:t>四部分 附件</w:t>
      </w:r>
      <w:bookmarkEnd w:id="53"/>
    </w:p>
    <w:p>
      <w:pPr>
        <w:widowControl/>
        <w:spacing w:line="560" w:lineRule="exact"/>
        <w:contextualSpacing/>
      </w:pPr>
      <w:r>
        <w:rPr>
          <w:rFonts w:hint="eastAsia" w:ascii="宋体" w:hAnsi="宋体"/>
          <w:b/>
          <w:sz w:val="32"/>
          <w:szCs w:val="32"/>
          <w:shd w:val="clear" w:color="auto" w:fill="FFFFFF"/>
        </w:rPr>
        <w:t>附件1</w:t>
      </w:r>
    </w:p>
    <w:p>
      <w:pPr>
        <w:widowControl/>
        <w:spacing w:line="580" w:lineRule="exact"/>
        <w:contextualSpacing/>
        <w:jc w:val="center"/>
        <w:rPr>
          <w:rFonts w:hint="eastAsia" w:ascii="方正小标宋_GBK" w:hAnsi="方正小标宋_GBK" w:eastAsia="方正小标宋_GBK" w:cs="方正小标宋_GBK"/>
          <w:b/>
          <w:bCs w:val="0"/>
          <w:sz w:val="38"/>
          <w:szCs w:val="38"/>
          <w:shd w:val="clear" w:color="auto" w:fill="FFFFFF"/>
        </w:rPr>
      </w:pPr>
      <w:r>
        <w:rPr>
          <w:rFonts w:hint="eastAsia" w:ascii="方正小标宋_GBK" w:hAnsi="方正小标宋_GBK" w:eastAsia="方正小标宋_GBK" w:cs="方正小标宋_GBK"/>
          <w:b/>
          <w:bCs w:val="0"/>
          <w:sz w:val="38"/>
          <w:szCs w:val="38"/>
          <w:shd w:val="clear" w:color="auto" w:fill="FFFFFF"/>
        </w:rPr>
        <w:t>中国共产党盐边县委员会宣传部</w:t>
      </w:r>
    </w:p>
    <w:p>
      <w:pPr>
        <w:jc w:val="center"/>
        <w:rPr>
          <w:rFonts w:hint="eastAsia" w:ascii="方正小标宋_GBK" w:hAnsi="方正小标宋_GBK" w:eastAsia="方正小标宋_GBK" w:cs="方正小标宋_GBK"/>
          <w:b/>
          <w:bCs w:val="0"/>
          <w:color w:val="000000"/>
          <w:kern w:val="0"/>
          <w:sz w:val="38"/>
          <w:szCs w:val="38"/>
          <w:shd w:val="clear" w:color="auto" w:fill="FFFFFF"/>
        </w:rPr>
      </w:pPr>
      <w:r>
        <w:rPr>
          <w:rFonts w:hint="eastAsia" w:ascii="方正小标宋_GBK" w:hAnsi="方正小标宋_GBK" w:eastAsia="方正小标宋_GBK" w:cs="方正小标宋_GBK"/>
          <w:b/>
          <w:bCs w:val="0"/>
          <w:sz w:val="38"/>
          <w:szCs w:val="38"/>
        </w:rPr>
        <w:t>部门整体支出绩效评价报告</w:t>
      </w:r>
    </w:p>
    <w:p>
      <w:pPr>
        <w:widowControl/>
        <w:adjustRightInd w:val="0"/>
        <w:snapToGrid w:val="0"/>
        <w:spacing w:line="560" w:lineRule="exact"/>
        <w:ind w:firstLine="720" w:firstLineChars="200"/>
        <w:contextualSpacing/>
        <w:jc w:val="left"/>
        <w:rPr>
          <w:rFonts w:eastAsia="黑体"/>
          <w:color w:val="000000"/>
          <w:kern w:val="0"/>
          <w:sz w:val="36"/>
          <w:szCs w:val="36"/>
          <w:shd w:val="clear" w:color="auto" w:fill="FFFFFF"/>
        </w:rPr>
      </w:pPr>
    </w:p>
    <w:p>
      <w:pPr>
        <w:widowControl/>
        <w:adjustRightInd w:val="0"/>
        <w:snapToGrid w:val="0"/>
        <w:spacing w:line="560" w:lineRule="exact"/>
        <w:ind w:firstLine="660" w:firstLineChars="200"/>
        <w:contextualSpacing/>
        <w:jc w:val="left"/>
        <w:rPr>
          <w:rFonts w:hint="eastAsia" w:ascii="方正黑体_GBK" w:hAnsi="方正黑体_GBK" w:eastAsia="方正黑体_GBK" w:cs="方正黑体_GBK"/>
          <w:color w:val="000000"/>
          <w:kern w:val="0"/>
          <w:sz w:val="33"/>
          <w:szCs w:val="33"/>
          <w:shd w:val="clear" w:color="auto" w:fill="FFFFFF"/>
          <w:lang w:val="zh-CN"/>
        </w:rPr>
      </w:pPr>
      <w:r>
        <w:rPr>
          <w:rFonts w:hint="eastAsia" w:ascii="方正黑体_GBK" w:hAnsi="方正黑体_GBK" w:eastAsia="方正黑体_GBK" w:cs="方正黑体_GBK"/>
          <w:color w:val="000000"/>
          <w:kern w:val="0"/>
          <w:sz w:val="33"/>
          <w:szCs w:val="33"/>
          <w:shd w:val="clear" w:color="auto" w:fill="FFFFFF"/>
        </w:rPr>
        <w:t>一、</w:t>
      </w:r>
      <w:r>
        <w:rPr>
          <w:rFonts w:hint="eastAsia" w:ascii="方正黑体_GBK" w:hAnsi="方正黑体_GBK" w:eastAsia="方正黑体_GBK" w:cs="方正黑体_GBK"/>
          <w:color w:val="000000"/>
          <w:kern w:val="0"/>
          <w:sz w:val="33"/>
          <w:szCs w:val="33"/>
          <w:shd w:val="clear" w:color="auto" w:fill="FFFFFF"/>
          <w:lang w:val="zh-CN"/>
        </w:rPr>
        <w:t>部门（单位）概况</w:t>
      </w:r>
    </w:p>
    <w:p>
      <w:pPr>
        <w:widowControl/>
        <w:adjustRightInd w:val="0"/>
        <w:snapToGrid w:val="0"/>
        <w:spacing w:line="560" w:lineRule="exact"/>
        <w:ind w:firstLine="643" w:firstLineChars="200"/>
        <w:contextualSpacing/>
        <w:jc w:val="left"/>
        <w:rPr>
          <w:rFonts w:ascii="仿宋" w:hAnsi="仿宋" w:eastAsia="仿宋"/>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（一）机构组成</w:t>
      </w:r>
      <w:r>
        <w:rPr>
          <w:rFonts w:ascii="仿宋" w:hAnsi="仿宋" w:eastAsia="仿宋"/>
          <w:color w:val="000000"/>
          <w:kern w:val="0"/>
          <w:sz w:val="32"/>
          <w:szCs w:val="32"/>
          <w:shd w:val="clear" w:color="auto" w:fill="FFFFFF"/>
          <w:lang w:val="zh-CN"/>
        </w:rPr>
        <w:t>。</w:t>
      </w:r>
    </w:p>
    <w:p>
      <w:pPr>
        <w:spacing w:line="560" w:lineRule="exact"/>
        <w:ind w:firstLine="640" w:firstLineChars="200"/>
        <w:rPr>
          <w:rFonts w:ascii="仿宋" w:hAnsi="仿宋" w:eastAsia="仿宋"/>
          <w:color w:val="000000"/>
          <w:kern w:val="0"/>
          <w:sz w:val="32"/>
          <w:szCs w:val="32"/>
          <w:shd w:val="clear" w:color="auto" w:fill="FFFFFF"/>
          <w:lang w:val="zh-CN"/>
        </w:rPr>
      </w:pPr>
      <w:r>
        <w:rPr>
          <w:rFonts w:hint="eastAsia" w:ascii="仿宋" w:hAnsi="仿宋" w:eastAsia="仿宋"/>
          <w:sz w:val="32"/>
          <w:szCs w:val="32"/>
        </w:rPr>
        <w:t>我部门</w:t>
      </w:r>
      <w:r>
        <w:rPr>
          <w:rFonts w:ascii="仿宋" w:hAnsi="仿宋" w:eastAsia="仿宋"/>
          <w:sz w:val="32"/>
          <w:szCs w:val="32"/>
        </w:rPr>
        <w:t>属于一级预算单位。内设股室4个，</w:t>
      </w:r>
      <w:r>
        <w:rPr>
          <w:rFonts w:hint="eastAsia" w:ascii="仿宋" w:hAnsi="仿宋" w:eastAsia="仿宋"/>
          <w:sz w:val="32"/>
          <w:szCs w:val="32"/>
        </w:rPr>
        <w:t>即</w:t>
      </w:r>
      <w:r>
        <w:rPr>
          <w:rFonts w:ascii="仿宋" w:hAnsi="仿宋" w:eastAsia="仿宋"/>
          <w:sz w:val="32"/>
          <w:szCs w:val="32"/>
        </w:rPr>
        <w:t>办公室、宣传股、文化电影出版管理股、精神文明建设股。下属非独立核算其他事业单位</w:t>
      </w:r>
      <w:r>
        <w:rPr>
          <w:rFonts w:hint="eastAsia" w:ascii="仿宋" w:hAnsi="仿宋" w:eastAsia="仿宋"/>
          <w:sz w:val="32"/>
          <w:szCs w:val="32"/>
        </w:rPr>
        <w:t>2</w:t>
      </w:r>
      <w:r>
        <w:rPr>
          <w:rFonts w:ascii="仿宋" w:hAnsi="仿宋" w:eastAsia="仿宋"/>
          <w:sz w:val="32"/>
          <w:szCs w:val="32"/>
        </w:rPr>
        <w:t>个</w:t>
      </w:r>
      <w:r>
        <w:rPr>
          <w:rFonts w:hint="eastAsia" w:ascii="仿宋" w:hAnsi="仿宋" w:eastAsia="仿宋"/>
          <w:sz w:val="32"/>
          <w:szCs w:val="32"/>
        </w:rPr>
        <w:t>，即</w:t>
      </w:r>
      <w:r>
        <w:rPr>
          <w:rFonts w:ascii="仿宋" w:hAnsi="仿宋" w:eastAsia="仿宋"/>
          <w:sz w:val="32"/>
          <w:szCs w:val="32"/>
        </w:rPr>
        <w:t>县对外宣传服务中心、新</w:t>
      </w:r>
      <w:r>
        <w:rPr>
          <w:rFonts w:hint="eastAsia" w:ascii="仿宋" w:hAnsi="仿宋" w:eastAsia="仿宋"/>
          <w:sz w:val="32"/>
          <w:szCs w:val="32"/>
        </w:rPr>
        <w:t>时代</w:t>
      </w:r>
      <w:r>
        <w:rPr>
          <w:rFonts w:ascii="仿宋" w:hAnsi="仿宋" w:eastAsia="仿宋"/>
          <w:sz w:val="32"/>
          <w:szCs w:val="32"/>
        </w:rPr>
        <w:t>文明实践</w:t>
      </w:r>
      <w:r>
        <w:rPr>
          <w:rFonts w:hint="eastAsia" w:ascii="仿宋" w:hAnsi="仿宋" w:eastAsia="仿宋"/>
          <w:sz w:val="32"/>
          <w:szCs w:val="32"/>
        </w:rPr>
        <w:t>服务</w:t>
      </w:r>
      <w:r>
        <w:rPr>
          <w:rFonts w:ascii="仿宋" w:hAnsi="仿宋" w:eastAsia="仿宋"/>
          <w:sz w:val="32"/>
          <w:szCs w:val="32"/>
        </w:rPr>
        <w:t>中心。</w:t>
      </w:r>
      <w:r>
        <w:rPr>
          <w:rFonts w:hint="eastAsia" w:ascii="仿宋" w:hAnsi="仿宋" w:eastAsia="仿宋"/>
          <w:sz w:val="32"/>
          <w:szCs w:val="32"/>
        </w:rPr>
        <w:t>另代管1个群团组织，即</w:t>
      </w:r>
      <w:r>
        <w:rPr>
          <w:rFonts w:ascii="仿宋" w:hAnsi="仿宋" w:eastAsia="仿宋"/>
          <w:sz w:val="32"/>
          <w:szCs w:val="32"/>
        </w:rPr>
        <w:t>县文学艺术界联合会</w:t>
      </w:r>
      <w:r>
        <w:rPr>
          <w:rFonts w:hint="eastAsia" w:ascii="仿宋" w:hAnsi="仿宋" w:eastAsia="仿宋"/>
          <w:sz w:val="32"/>
          <w:szCs w:val="32"/>
        </w:rPr>
        <w:t>。</w:t>
      </w:r>
      <w:r>
        <w:rPr>
          <w:rFonts w:hint="eastAsia" w:ascii="仿宋" w:hAnsi="仿宋" w:eastAsia="仿宋"/>
          <w:color w:val="000000"/>
          <w:kern w:val="0"/>
          <w:sz w:val="32"/>
          <w:szCs w:val="32"/>
          <w:shd w:val="clear" w:color="auto" w:fill="FFFFFF"/>
          <w:lang w:val="zh-CN"/>
        </w:rPr>
        <w:t xml:space="preserve"> </w:t>
      </w:r>
    </w:p>
    <w:p>
      <w:pPr>
        <w:widowControl/>
        <w:adjustRightInd w:val="0"/>
        <w:snapToGrid w:val="0"/>
        <w:spacing w:line="560" w:lineRule="exact"/>
        <w:ind w:firstLine="643" w:firstLineChars="200"/>
        <w:contextualSpacing/>
        <w:jc w:val="left"/>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（二）机构职能。</w:t>
      </w:r>
    </w:p>
    <w:p>
      <w:pPr>
        <w:spacing w:line="560" w:lineRule="exact"/>
        <w:ind w:firstLine="640" w:firstLineChars="200"/>
        <w:rPr>
          <w:rFonts w:ascii="仿宋" w:hAnsi="仿宋" w:eastAsia="仿宋"/>
          <w:color w:val="000000"/>
          <w:kern w:val="0"/>
          <w:sz w:val="32"/>
          <w:szCs w:val="32"/>
          <w:shd w:val="clear" w:color="auto" w:fill="FFFFFF"/>
          <w:lang w:val="zh-CN"/>
        </w:rPr>
      </w:pPr>
      <w:r>
        <w:rPr>
          <w:rFonts w:ascii="仿宋" w:hAnsi="仿宋" w:eastAsia="仿宋"/>
          <w:sz w:val="32"/>
          <w:szCs w:val="32"/>
        </w:rPr>
        <w:t>拟定全县宣传思想文化工作重大政策和事业产业发展总体规划，统筹协调推进宣传思想文化领域法治建设；统筹协调全县党的意识形态工作，负责规划组织全局性思想政治工作；统筹指导协调推动精神文化产品的创作和生产和精神文明建设工作，指导协调推动群众文化建设、精神文明创建、公民思想道德建设和志愿服务工作；统筹分析研判和引导社会舆论，指导协调县级新闻单位工作，负责组织协调重大新闻宣传活动和重大突发公共事件应急新闻工作；统筹协调对外宣传工作，组织推动国际传播能力建设，组织指导重大对外宣传活动和对外文化交流工作，协调推动中华文化走出去工作，组织开展全县互联网对外交流和合作；统筹协调组织开展新闻发布工作，承担县委新闻发布有关组织协调工作；统筹指导推进文化体制改革和文化事业、文化产业及旅游业发展，会同有关单位组织研究县属国有文化资产监管重大政策；负责管理新闻出版行政事务和所涉及的行政审批工作，组织指导协调“扫黄打非”工作，中央和省市新闻媒体驻盐机构的监督管理，新闻记者证管理工作，管理电影行政事务和所涉及的行政审批工作，指导监管电影制片、发行、放映工作，组织对电影内容进行审查，指导协调和参与重大电影活动和电影对外合作交流；负责组织开展全县宣传思想文化、网络安全和信息化干部教育培训和人才工作；统筹推动网络阵地建设，会同有关部门推动媒体融合发展和地方融媒体中心建设；依法负责网络新闻业务和论坛、博客、搜索引擎等具有新闻舆论及社会动员功能业务的审批及日常监管；完成县委交办的其他任务。</w:t>
      </w:r>
    </w:p>
    <w:p>
      <w:pPr>
        <w:widowControl/>
        <w:adjustRightInd w:val="0"/>
        <w:snapToGrid w:val="0"/>
        <w:spacing w:line="560" w:lineRule="exact"/>
        <w:ind w:firstLine="643" w:firstLineChars="200"/>
        <w:contextualSpacing/>
        <w:jc w:val="left"/>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（三）人员概况。</w:t>
      </w:r>
    </w:p>
    <w:p>
      <w:pPr>
        <w:spacing w:line="560" w:lineRule="exact"/>
        <w:ind w:firstLine="640" w:firstLineChars="200"/>
        <w:rPr>
          <w:rFonts w:ascii="仿宋" w:hAnsi="仿宋" w:eastAsia="仿宋"/>
          <w:sz w:val="32"/>
          <w:szCs w:val="32"/>
        </w:rPr>
      </w:pPr>
      <w:r>
        <w:rPr>
          <w:rFonts w:ascii="仿宋" w:hAnsi="仿宋" w:eastAsia="仿宋"/>
          <w:sz w:val="32"/>
          <w:szCs w:val="32"/>
        </w:rPr>
        <w:t>宣传部核定编制</w:t>
      </w:r>
      <w:r>
        <w:rPr>
          <w:rFonts w:hint="eastAsia" w:ascii="仿宋" w:hAnsi="仿宋" w:eastAsia="仿宋"/>
          <w:sz w:val="32"/>
          <w:szCs w:val="32"/>
          <w:lang w:eastAsia="zh-CN"/>
        </w:rPr>
        <w:t>（</w:t>
      </w:r>
      <w:r>
        <w:rPr>
          <w:rFonts w:hint="eastAsia" w:ascii="仿宋" w:hAnsi="仿宋" w:eastAsia="仿宋"/>
          <w:sz w:val="32"/>
          <w:szCs w:val="32"/>
        </w:rPr>
        <w:t>含群团组织、下属事业单位）包括：</w:t>
      </w:r>
      <w:r>
        <w:rPr>
          <w:rFonts w:ascii="仿宋" w:hAnsi="仿宋" w:eastAsia="仿宋"/>
          <w:sz w:val="32"/>
          <w:szCs w:val="32"/>
        </w:rPr>
        <w:t>行政编制8名，</w:t>
      </w:r>
      <w:r>
        <w:rPr>
          <w:rFonts w:hint="eastAsia" w:ascii="仿宋" w:hAnsi="仿宋" w:eastAsia="仿宋"/>
          <w:sz w:val="32"/>
          <w:szCs w:val="32"/>
        </w:rPr>
        <w:t>参公编制2名，</w:t>
      </w:r>
      <w:r>
        <w:rPr>
          <w:rFonts w:ascii="仿宋" w:hAnsi="仿宋" w:eastAsia="仿宋"/>
          <w:sz w:val="32"/>
          <w:szCs w:val="32"/>
        </w:rPr>
        <w:t>事业编制7名，</w:t>
      </w:r>
      <w:r>
        <w:rPr>
          <w:rFonts w:hint="eastAsia" w:ascii="仿宋" w:hAnsi="仿宋" w:eastAsia="仿宋"/>
          <w:sz w:val="32"/>
          <w:szCs w:val="32"/>
        </w:rPr>
        <w:t>机关</w:t>
      </w:r>
      <w:r>
        <w:rPr>
          <w:rFonts w:ascii="仿宋" w:hAnsi="仿宋" w:eastAsia="仿宋"/>
          <w:sz w:val="32"/>
          <w:szCs w:val="32"/>
        </w:rPr>
        <w:t>工勤1名</w:t>
      </w:r>
      <w:r>
        <w:rPr>
          <w:rFonts w:hint="eastAsia" w:ascii="仿宋" w:hAnsi="仿宋" w:eastAsia="仿宋"/>
          <w:sz w:val="32"/>
          <w:szCs w:val="32"/>
        </w:rPr>
        <w:t>。</w:t>
      </w:r>
      <w:r>
        <w:rPr>
          <w:rFonts w:ascii="仿宋" w:hAnsi="仿宋" w:eastAsia="仿宋"/>
          <w:sz w:val="32"/>
          <w:szCs w:val="32"/>
        </w:rPr>
        <w:t>2021年在岗</w:t>
      </w:r>
      <w:r>
        <w:rPr>
          <w:rFonts w:hint="eastAsia" w:ascii="仿宋" w:hAnsi="仿宋" w:eastAsia="仿宋"/>
          <w:sz w:val="32"/>
          <w:szCs w:val="32"/>
        </w:rPr>
        <w:t>17</w:t>
      </w:r>
      <w:r>
        <w:rPr>
          <w:rFonts w:ascii="仿宋" w:hAnsi="仿宋" w:eastAsia="仿宋"/>
          <w:sz w:val="32"/>
          <w:szCs w:val="32"/>
        </w:rPr>
        <w:t>名：其中行政人员</w:t>
      </w:r>
      <w:r>
        <w:rPr>
          <w:rFonts w:hint="eastAsia" w:ascii="仿宋" w:hAnsi="仿宋" w:eastAsia="仿宋"/>
          <w:sz w:val="32"/>
          <w:szCs w:val="32"/>
        </w:rPr>
        <w:t>8</w:t>
      </w:r>
      <w:r>
        <w:rPr>
          <w:rFonts w:ascii="仿宋" w:hAnsi="仿宋" w:eastAsia="仿宋"/>
          <w:sz w:val="32"/>
          <w:szCs w:val="32"/>
        </w:rPr>
        <w:t>名，</w:t>
      </w:r>
      <w:r>
        <w:rPr>
          <w:rFonts w:hint="eastAsia" w:ascii="仿宋" w:hAnsi="仿宋" w:eastAsia="仿宋"/>
          <w:sz w:val="32"/>
          <w:szCs w:val="32"/>
        </w:rPr>
        <w:t>参公人员2名，</w:t>
      </w:r>
      <w:r>
        <w:rPr>
          <w:rFonts w:ascii="仿宋" w:hAnsi="仿宋" w:eastAsia="仿宋"/>
          <w:sz w:val="32"/>
          <w:szCs w:val="32"/>
        </w:rPr>
        <w:t>事业人员</w:t>
      </w:r>
      <w:r>
        <w:rPr>
          <w:rFonts w:hint="eastAsia" w:ascii="仿宋" w:hAnsi="仿宋" w:eastAsia="仿宋"/>
          <w:sz w:val="32"/>
          <w:szCs w:val="32"/>
        </w:rPr>
        <w:t>6</w:t>
      </w:r>
      <w:r>
        <w:rPr>
          <w:rFonts w:ascii="仿宋" w:hAnsi="仿宋" w:eastAsia="仿宋"/>
          <w:sz w:val="32"/>
          <w:szCs w:val="32"/>
        </w:rPr>
        <w:t>名</w:t>
      </w:r>
      <w:r>
        <w:rPr>
          <w:rFonts w:hint="eastAsia" w:ascii="仿宋" w:hAnsi="仿宋" w:eastAsia="仿宋"/>
          <w:sz w:val="32"/>
          <w:szCs w:val="32"/>
        </w:rPr>
        <w:t>，</w:t>
      </w:r>
      <w:r>
        <w:rPr>
          <w:rFonts w:ascii="仿宋" w:hAnsi="仿宋" w:eastAsia="仿宋"/>
          <w:sz w:val="32"/>
          <w:szCs w:val="32"/>
        </w:rPr>
        <w:t>机关工勤1名。</w:t>
      </w:r>
      <w:r>
        <w:rPr>
          <w:rFonts w:hint="eastAsia" w:ascii="仿宋" w:hAnsi="仿宋" w:eastAsia="仿宋"/>
          <w:sz w:val="32"/>
          <w:szCs w:val="32"/>
        </w:rPr>
        <w:t xml:space="preserve"> </w:t>
      </w:r>
    </w:p>
    <w:p>
      <w:pPr>
        <w:widowControl/>
        <w:adjustRightInd w:val="0"/>
        <w:snapToGrid w:val="0"/>
        <w:spacing w:line="560" w:lineRule="exact"/>
        <w:ind w:firstLine="720" w:firstLineChars="200"/>
        <w:contextualSpacing/>
        <w:jc w:val="left"/>
        <w:rPr>
          <w:rFonts w:eastAsia="黑体"/>
          <w:color w:val="000000"/>
          <w:kern w:val="0"/>
          <w:sz w:val="36"/>
          <w:szCs w:val="36"/>
          <w:shd w:val="clear" w:color="auto" w:fill="FFFFFF"/>
        </w:rPr>
      </w:pPr>
      <w:r>
        <w:rPr>
          <w:rFonts w:eastAsia="黑体"/>
          <w:color w:val="000000"/>
          <w:kern w:val="0"/>
          <w:sz w:val="36"/>
          <w:szCs w:val="36"/>
          <w:shd w:val="clear" w:color="auto" w:fill="FFFFFF"/>
        </w:rPr>
        <w:t>二、部门财政资金收支情况</w:t>
      </w:r>
    </w:p>
    <w:p>
      <w:pPr>
        <w:widowControl/>
        <w:adjustRightInd w:val="0"/>
        <w:snapToGrid w:val="0"/>
        <w:spacing w:line="560" w:lineRule="exact"/>
        <w:ind w:firstLine="643" w:firstLineChars="200"/>
        <w:contextualSpacing/>
        <w:jc w:val="left"/>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（一）部门财政资金收入情况。</w:t>
      </w:r>
    </w:p>
    <w:p>
      <w:pPr>
        <w:spacing w:line="560" w:lineRule="exact"/>
        <w:ind w:firstLine="640" w:firstLineChars="200"/>
        <w:rPr>
          <w:rFonts w:ascii="仿宋" w:hAnsi="仿宋" w:eastAsia="仿宋"/>
          <w:color w:val="000000"/>
          <w:kern w:val="0"/>
          <w:sz w:val="32"/>
          <w:szCs w:val="32"/>
          <w:shd w:val="clear" w:color="auto" w:fill="FFFFFF"/>
          <w:lang w:val="zh-CN"/>
        </w:rPr>
      </w:pPr>
      <w:r>
        <w:rPr>
          <w:rFonts w:hint="eastAsia" w:ascii="仿宋" w:hAnsi="仿宋" w:eastAsia="仿宋"/>
          <w:sz w:val="32"/>
          <w:szCs w:val="32"/>
        </w:rPr>
        <w:t>本单位2022年收入年初预算安排464.33万元（其中人员经费181.4万元，公用支出22.93万元，项目经费260万元）。年中调整预算数739.67万元（其中人员经费290.98万元，公用支出21.89万元，项目支出426.8万元）。2022年全年预算收入739.67万元。</w:t>
      </w:r>
    </w:p>
    <w:p>
      <w:pPr>
        <w:widowControl/>
        <w:adjustRightInd w:val="0"/>
        <w:snapToGrid w:val="0"/>
        <w:spacing w:line="560" w:lineRule="exact"/>
        <w:ind w:firstLine="643" w:firstLineChars="200"/>
        <w:contextualSpacing/>
        <w:jc w:val="left"/>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（二）部门财政资金支出情况。</w:t>
      </w:r>
    </w:p>
    <w:p>
      <w:pPr>
        <w:spacing w:line="560" w:lineRule="exact"/>
        <w:ind w:firstLine="640" w:firstLineChars="200"/>
        <w:rPr>
          <w:rFonts w:eastAsia="楷体_GB2312"/>
          <w:color w:val="000000"/>
          <w:kern w:val="0"/>
          <w:sz w:val="32"/>
          <w:szCs w:val="32"/>
          <w:shd w:val="clear" w:color="auto" w:fill="FFFFFF"/>
          <w:lang w:val="zh-CN"/>
        </w:rPr>
      </w:pPr>
      <w:r>
        <w:rPr>
          <w:rFonts w:hint="eastAsia" w:ascii="仿宋" w:hAnsi="仿宋" w:eastAsia="仿宋"/>
          <w:sz w:val="32"/>
          <w:szCs w:val="32"/>
        </w:rPr>
        <w:t>我单位2022年年初部门预算基本支出安排464.33万元（其中人员经费181.4万元，公用支出22.93万元，项目支出260万元）。2022年决算支出739.67万元，基本支出312.87万元（其中人员经费290.98万元，公用支出21.89万元），项目支出426.8万元。</w:t>
      </w:r>
    </w:p>
    <w:p>
      <w:pPr>
        <w:widowControl/>
        <w:adjustRightInd w:val="0"/>
        <w:snapToGrid w:val="0"/>
        <w:spacing w:line="560"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三、部门整体预算绩效管理情况</w:t>
      </w:r>
    </w:p>
    <w:p>
      <w:pPr>
        <w:widowControl/>
        <w:adjustRightInd w:val="0"/>
        <w:snapToGrid w:val="0"/>
        <w:spacing w:line="560" w:lineRule="exact"/>
        <w:ind w:firstLine="643" w:firstLineChars="200"/>
        <w:contextualSpacing/>
        <w:jc w:val="left"/>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（一）部门预算项目绩效管理。</w:t>
      </w:r>
    </w:p>
    <w:p>
      <w:pPr>
        <w:widowControl/>
        <w:adjustRightInd w:val="0"/>
        <w:snapToGrid w:val="0"/>
        <w:spacing w:line="560" w:lineRule="exact"/>
        <w:ind w:firstLine="640" w:firstLineChars="200"/>
        <w:contextualSpacing/>
        <w:jc w:val="left"/>
        <w:rPr>
          <w:rFonts w:ascii="仿宋" w:hAnsi="仿宋" w:eastAsia="仿宋"/>
          <w:color w:val="000000"/>
          <w:kern w:val="0"/>
          <w:sz w:val="32"/>
          <w:szCs w:val="32"/>
          <w:shd w:val="clear" w:color="auto" w:fill="FFFFFF"/>
          <w:lang w:val="zh-CN"/>
        </w:rPr>
      </w:pPr>
      <w:r>
        <w:rPr>
          <w:rFonts w:hint="eastAsia" w:ascii="仿宋" w:hAnsi="仿宋" w:eastAsia="仿宋"/>
          <w:color w:val="000000"/>
          <w:kern w:val="0"/>
          <w:sz w:val="32"/>
          <w:szCs w:val="32"/>
          <w:shd w:val="clear" w:color="auto" w:fill="FFFFFF"/>
          <w:lang w:val="zh-CN"/>
        </w:rPr>
        <w:t>1.部门预算项目安排支出情况</w:t>
      </w:r>
    </w:p>
    <w:p>
      <w:pPr>
        <w:widowControl/>
        <w:adjustRightInd w:val="0"/>
        <w:snapToGrid w:val="0"/>
        <w:spacing w:line="560" w:lineRule="exact"/>
        <w:ind w:firstLine="640" w:firstLineChars="200"/>
        <w:contextualSpacing/>
        <w:jc w:val="left"/>
        <w:rPr>
          <w:rFonts w:ascii="仿宋" w:hAnsi="仿宋" w:eastAsia="仿宋"/>
          <w:color w:val="000000"/>
          <w:kern w:val="0"/>
          <w:sz w:val="32"/>
          <w:szCs w:val="32"/>
          <w:shd w:val="clear" w:color="auto" w:fill="FFFFFF"/>
          <w:lang w:val="zh-CN"/>
        </w:rPr>
      </w:pPr>
      <w:r>
        <w:rPr>
          <w:rFonts w:hint="eastAsia" w:ascii="仿宋" w:hAnsi="仿宋" w:eastAsia="仿宋"/>
          <w:color w:val="000000"/>
          <w:kern w:val="0"/>
          <w:sz w:val="32"/>
          <w:szCs w:val="32"/>
          <w:shd w:val="clear" w:color="auto" w:fill="FFFFFF"/>
          <w:lang w:val="zh-CN"/>
        </w:rPr>
        <w:t>项目资金支出426.8万元，主要是：</w:t>
      </w:r>
    </w:p>
    <w:p>
      <w:pPr>
        <w:widowControl/>
        <w:adjustRightInd w:val="0"/>
        <w:snapToGrid w:val="0"/>
        <w:spacing w:line="560" w:lineRule="exact"/>
        <w:ind w:firstLine="640" w:firstLineChars="200"/>
        <w:contextualSpacing/>
        <w:jc w:val="left"/>
        <w:rPr>
          <w:rFonts w:ascii="仿宋" w:hAnsi="仿宋" w:eastAsia="仿宋"/>
          <w:color w:val="000000"/>
          <w:kern w:val="0"/>
          <w:sz w:val="32"/>
          <w:szCs w:val="32"/>
          <w:shd w:val="clear" w:color="auto" w:fill="FFFFFF"/>
          <w:lang w:val="zh-CN"/>
        </w:rPr>
      </w:pPr>
      <w:r>
        <w:rPr>
          <w:rFonts w:hint="eastAsia" w:ascii="仿宋" w:hAnsi="仿宋" w:eastAsia="仿宋"/>
          <w:color w:val="000000"/>
          <w:kern w:val="0"/>
          <w:sz w:val="32"/>
          <w:szCs w:val="32"/>
          <w:shd w:val="clear" w:color="auto" w:fill="FFFFFF"/>
          <w:lang w:val="zh-CN"/>
        </w:rPr>
        <w:t>（1）年初纳入部门预算项目文明城市创建、新时代文明实践中心所（站）标准化、规范化建设项目经费9万元，已完成支付9万元，完成率100%。主要用于结合创建文明城市、文明单位、文明村镇，开展文明劝导、志愿服务、文明家庭评选等一系列活动，在做好文明实践中心建设推广的同时，推动乡村振兴工作有序开展。</w:t>
      </w:r>
    </w:p>
    <w:p>
      <w:pPr>
        <w:widowControl/>
        <w:adjustRightInd w:val="0"/>
        <w:snapToGrid w:val="0"/>
        <w:spacing w:line="560" w:lineRule="exact"/>
        <w:ind w:firstLine="640" w:firstLineChars="200"/>
        <w:contextualSpacing/>
        <w:jc w:val="left"/>
        <w:rPr>
          <w:rFonts w:ascii="仿宋" w:hAnsi="仿宋" w:eastAsia="仿宋"/>
          <w:color w:val="000000"/>
          <w:kern w:val="0"/>
          <w:sz w:val="32"/>
          <w:szCs w:val="32"/>
          <w:shd w:val="clear" w:color="auto" w:fill="FFFFFF"/>
          <w:lang w:val="zh-CN"/>
        </w:rPr>
      </w:pPr>
      <w:r>
        <w:rPr>
          <w:rFonts w:hint="eastAsia" w:ascii="仿宋" w:hAnsi="仿宋" w:eastAsia="仿宋"/>
          <w:color w:val="000000"/>
          <w:kern w:val="0"/>
          <w:sz w:val="32"/>
          <w:szCs w:val="32"/>
          <w:shd w:val="clear" w:color="auto" w:fill="FFFFFF"/>
          <w:lang w:val="zh-CN"/>
        </w:rPr>
        <w:t>（2）年初纳入部门预算项目宣传工作及媒体协作项目经费79.25万元，已完成支付79.25万元，完成率100%。主要用于加强外媒合作。开展对外宣传专版报道，在与四川日报、川报观察、攀枝花日报常规合作的基础上，在重大事件和重要时段开展专版报道。</w:t>
      </w:r>
    </w:p>
    <w:p>
      <w:pPr>
        <w:widowControl/>
        <w:adjustRightInd w:val="0"/>
        <w:snapToGrid w:val="0"/>
        <w:spacing w:line="560" w:lineRule="exact"/>
        <w:ind w:firstLine="640" w:firstLineChars="200"/>
        <w:contextualSpacing/>
        <w:jc w:val="left"/>
        <w:rPr>
          <w:rFonts w:ascii="仿宋" w:hAnsi="仿宋" w:eastAsia="仿宋"/>
          <w:color w:val="000000"/>
          <w:kern w:val="0"/>
          <w:sz w:val="32"/>
          <w:szCs w:val="32"/>
          <w:shd w:val="clear" w:color="auto" w:fill="FFFFFF"/>
          <w:lang w:val="zh-CN"/>
        </w:rPr>
      </w:pPr>
      <w:r>
        <w:rPr>
          <w:rFonts w:hint="eastAsia" w:ascii="仿宋" w:hAnsi="仿宋" w:eastAsia="仿宋"/>
          <w:color w:val="000000"/>
          <w:kern w:val="0"/>
          <w:sz w:val="32"/>
          <w:szCs w:val="32"/>
          <w:shd w:val="clear" w:color="auto" w:fill="FFFFFF"/>
          <w:lang w:val="zh-CN"/>
        </w:rPr>
        <w:t>（3）年初纳入部门预算项目全县党报、党刊、报刊征订项目经费129.71万元，已完成支付129.71万元，完成率100%。主要用于订阅《人民日报》337份；《光明日报》194；新华每日电讯124份；四川日报510份；经济日报152份；四川农村日报440；攀枝花日报1840份；半月谈70份；《人民日报》（民生周刊）15份；四川经济日报36份。让全县干部职工充分认识党报党刊的重要作用，增强做好党报党刊发行工作的自觉性、主动性。做大做强主流思想舆论，助推全县中心工作，提高新闻舆论传播力、引导力、影响力、公信力</w:t>
      </w:r>
    </w:p>
    <w:p>
      <w:pPr>
        <w:widowControl/>
        <w:adjustRightInd w:val="0"/>
        <w:snapToGrid w:val="0"/>
        <w:spacing w:line="560" w:lineRule="exact"/>
        <w:ind w:firstLine="640" w:firstLineChars="200"/>
        <w:contextualSpacing/>
        <w:jc w:val="left"/>
        <w:rPr>
          <w:rFonts w:ascii="仿宋" w:hAnsi="仿宋" w:eastAsia="仿宋"/>
          <w:color w:val="000000"/>
          <w:kern w:val="0"/>
          <w:sz w:val="32"/>
          <w:szCs w:val="32"/>
          <w:shd w:val="clear" w:color="auto" w:fill="FFFFFF"/>
          <w:lang w:val="zh-CN"/>
        </w:rPr>
      </w:pPr>
      <w:r>
        <w:rPr>
          <w:rFonts w:hint="eastAsia" w:ascii="仿宋" w:hAnsi="仿宋" w:eastAsia="仿宋"/>
          <w:color w:val="000000"/>
          <w:kern w:val="0"/>
          <w:sz w:val="32"/>
          <w:szCs w:val="32"/>
          <w:shd w:val="clear" w:color="auto" w:fill="FFFFFF"/>
          <w:lang w:val="zh-CN"/>
        </w:rPr>
        <w:t>（4）年初纳入部门预算项目盐边县“品味大笮摄影、诗歌大赛”项目经费16.21万元，已完成支付16.21万元，完成率100%。项目主要用于开展主题文艺活动、送文化下乡活动（现场送春联、送画、送摄影照片）、送传统文化进校园活动、送文化进企业活动、送文化进军营活动、主题征文、文艺家协会采风活动、文艺家笔会活动、文艺家讲座培训。</w:t>
      </w:r>
    </w:p>
    <w:p>
      <w:pPr>
        <w:widowControl/>
        <w:adjustRightInd w:val="0"/>
        <w:snapToGrid w:val="0"/>
        <w:spacing w:line="560" w:lineRule="exact"/>
        <w:ind w:firstLine="640" w:firstLineChars="200"/>
        <w:contextualSpacing/>
        <w:jc w:val="left"/>
        <w:rPr>
          <w:rFonts w:ascii="仿宋" w:hAnsi="仿宋" w:eastAsia="仿宋"/>
          <w:color w:val="000000"/>
          <w:kern w:val="0"/>
          <w:sz w:val="32"/>
          <w:szCs w:val="32"/>
          <w:shd w:val="clear" w:color="auto" w:fill="FFFFFF"/>
          <w:lang w:val="zh-CN"/>
        </w:rPr>
      </w:pPr>
      <w:r>
        <w:rPr>
          <w:rFonts w:hint="eastAsia" w:ascii="仿宋" w:hAnsi="仿宋" w:eastAsia="仿宋"/>
          <w:color w:val="000000"/>
          <w:kern w:val="0"/>
          <w:sz w:val="32"/>
          <w:szCs w:val="32"/>
          <w:shd w:val="clear" w:color="auto" w:fill="FFFFFF"/>
          <w:lang w:val="zh-CN"/>
        </w:rPr>
        <w:t>（5）根据盐财资行〔2022〕468号下达创建民族团结进步示范县项目经费2.54万元，已完成支付2.54万元，完成率100%。主要用于民族团结创建宣传工作。</w:t>
      </w:r>
    </w:p>
    <w:p>
      <w:pPr>
        <w:widowControl/>
        <w:adjustRightInd w:val="0"/>
        <w:snapToGrid w:val="0"/>
        <w:spacing w:line="560" w:lineRule="exact"/>
        <w:ind w:firstLine="640" w:firstLineChars="200"/>
        <w:contextualSpacing/>
        <w:jc w:val="left"/>
        <w:rPr>
          <w:rFonts w:ascii="仿宋" w:hAnsi="仿宋" w:eastAsia="仿宋"/>
          <w:color w:val="000000"/>
          <w:kern w:val="0"/>
          <w:sz w:val="32"/>
          <w:szCs w:val="32"/>
          <w:shd w:val="clear" w:color="auto" w:fill="FFFFFF"/>
          <w:lang w:val="zh-CN"/>
        </w:rPr>
      </w:pPr>
      <w:r>
        <w:rPr>
          <w:rFonts w:hint="eastAsia" w:ascii="仿宋" w:hAnsi="仿宋" w:eastAsia="仿宋"/>
          <w:color w:val="000000"/>
          <w:kern w:val="0"/>
          <w:sz w:val="32"/>
          <w:szCs w:val="32"/>
          <w:shd w:val="clear" w:color="auto" w:fill="FFFFFF"/>
          <w:lang w:val="zh-CN"/>
        </w:rPr>
        <w:t>（6）根据盐财资行〔2022〕451号下达盐边县2022年理论学习宣讲项目经费13.35万元，已完成支付13.35万元，完成率100%。主要用于按照上级要求，每年开展县委理论学习中心组专题学习6次，党的十九届六中全会、省委、市委相关会议精神的宣讲，购买各类理论刊物，进一步提升我县党员干部的知识理论水平。</w:t>
      </w:r>
    </w:p>
    <w:p>
      <w:pPr>
        <w:widowControl/>
        <w:adjustRightInd w:val="0"/>
        <w:snapToGrid w:val="0"/>
        <w:spacing w:line="560" w:lineRule="exact"/>
        <w:ind w:firstLine="640" w:firstLineChars="200"/>
        <w:contextualSpacing/>
        <w:jc w:val="left"/>
        <w:rPr>
          <w:rFonts w:ascii="仿宋" w:hAnsi="仿宋" w:eastAsia="仿宋"/>
          <w:color w:val="000000"/>
          <w:kern w:val="0"/>
          <w:sz w:val="32"/>
          <w:szCs w:val="32"/>
          <w:shd w:val="clear" w:color="auto" w:fill="FFFFFF"/>
          <w:lang w:val="zh-CN"/>
        </w:rPr>
      </w:pPr>
      <w:r>
        <w:rPr>
          <w:rFonts w:hint="eastAsia" w:ascii="仿宋" w:hAnsi="仿宋" w:eastAsia="仿宋"/>
          <w:color w:val="000000"/>
          <w:kern w:val="0"/>
          <w:sz w:val="32"/>
          <w:szCs w:val="32"/>
          <w:shd w:val="clear" w:color="auto" w:fill="FFFFFF"/>
          <w:lang w:val="zh-CN"/>
        </w:rPr>
        <w:t>（7）根据盐财资行〔2022〕527号下达参加第二届乡村文化振兴魅力竞演大赛项目经费4.76万元，已完成支付4.76万元，完成率100%。主要用于参加四川省第二届乡村文化振兴魅力竞演大赛颁奖晚会演出，把盐边的本土文化推广出去。</w:t>
      </w:r>
    </w:p>
    <w:p>
      <w:pPr>
        <w:widowControl/>
        <w:adjustRightInd w:val="0"/>
        <w:snapToGrid w:val="0"/>
        <w:spacing w:line="560" w:lineRule="exact"/>
        <w:ind w:firstLine="640" w:firstLineChars="200"/>
        <w:contextualSpacing/>
        <w:jc w:val="left"/>
        <w:rPr>
          <w:rFonts w:ascii="仿宋" w:hAnsi="仿宋" w:eastAsia="仿宋"/>
          <w:color w:val="000000"/>
          <w:kern w:val="0"/>
          <w:sz w:val="32"/>
          <w:szCs w:val="32"/>
          <w:shd w:val="clear" w:color="auto" w:fill="FFFFFF"/>
          <w:lang w:val="zh-CN"/>
        </w:rPr>
      </w:pPr>
      <w:r>
        <w:rPr>
          <w:rFonts w:hint="eastAsia" w:ascii="仿宋" w:hAnsi="仿宋" w:eastAsia="仿宋"/>
          <w:color w:val="000000"/>
          <w:kern w:val="0"/>
          <w:sz w:val="32"/>
          <w:szCs w:val="32"/>
          <w:shd w:val="clear" w:color="auto" w:fill="FFFFFF"/>
          <w:lang w:val="zh-CN"/>
        </w:rPr>
        <w:t>（8）根据盐财资行〔2022〕449号下达网络舆情监测服务合作项目经费6万元，已完成支付6万元，完成率100%。主要用于根据相关文件（网信办所有文件均为密件）要求，确保我县网络阵地安全，借助专业团队共同协作开展舆情监测工作。</w:t>
      </w:r>
    </w:p>
    <w:p>
      <w:pPr>
        <w:widowControl/>
        <w:adjustRightInd w:val="0"/>
        <w:snapToGrid w:val="0"/>
        <w:spacing w:line="560" w:lineRule="exact"/>
        <w:ind w:firstLine="640" w:firstLineChars="200"/>
        <w:contextualSpacing/>
        <w:jc w:val="left"/>
        <w:rPr>
          <w:rFonts w:ascii="仿宋" w:hAnsi="仿宋" w:eastAsia="仿宋"/>
          <w:color w:val="000000"/>
          <w:kern w:val="0"/>
          <w:sz w:val="32"/>
          <w:szCs w:val="32"/>
          <w:shd w:val="clear" w:color="auto" w:fill="FFFFFF"/>
          <w:lang w:val="zh-CN"/>
        </w:rPr>
      </w:pPr>
      <w:r>
        <w:rPr>
          <w:rFonts w:hint="eastAsia" w:ascii="仿宋" w:hAnsi="仿宋" w:eastAsia="仿宋"/>
          <w:color w:val="000000"/>
          <w:kern w:val="0"/>
          <w:sz w:val="32"/>
          <w:szCs w:val="32"/>
          <w:shd w:val="clear" w:color="auto" w:fill="FFFFFF"/>
          <w:lang w:val="zh-CN"/>
        </w:rPr>
        <w:t>（9）根据盐财资行〔2022〕450号下达《笮山若水》画报复刊项目经费7万元，已完成支付7万元，完成率100%。主要用于深入挖掘大笮文化，擦亮“滋味盐边”文化品牌，为实现雅砻江畔璀璨明珠提供精神动力和智力支持。进一步提升大笮文化的影响力，按照县委要求：恢复成立大笮文化研究会，恢复大笮文化研究会刊《笮山若水》。</w:t>
      </w:r>
    </w:p>
    <w:p>
      <w:pPr>
        <w:widowControl/>
        <w:adjustRightInd w:val="0"/>
        <w:snapToGrid w:val="0"/>
        <w:spacing w:line="560" w:lineRule="exact"/>
        <w:ind w:firstLine="640" w:firstLineChars="200"/>
        <w:contextualSpacing/>
        <w:jc w:val="left"/>
        <w:rPr>
          <w:rFonts w:ascii="仿宋" w:hAnsi="仿宋" w:eastAsia="仿宋"/>
          <w:color w:val="000000"/>
          <w:kern w:val="0"/>
          <w:sz w:val="32"/>
          <w:szCs w:val="32"/>
          <w:shd w:val="clear" w:color="auto" w:fill="FFFFFF"/>
          <w:lang w:val="zh-CN"/>
        </w:rPr>
      </w:pPr>
      <w:r>
        <w:rPr>
          <w:rFonts w:hint="eastAsia" w:ascii="仿宋" w:hAnsi="仿宋" w:eastAsia="仿宋"/>
          <w:color w:val="000000"/>
          <w:kern w:val="0"/>
          <w:sz w:val="32"/>
          <w:szCs w:val="32"/>
          <w:shd w:val="clear" w:color="auto" w:fill="FFFFFF"/>
          <w:lang w:val="zh-CN"/>
        </w:rPr>
        <w:t>（10）根据盐财资行〔2022〕549号下达2022年媒体合作、精神文明报等刊物征订及央视《味道》栏目节目摄制项目经费100.09万元，已完成支付100.09万元，完成率100%。主要用于与新华社、四川日报、四川经济日报、四川农村日报、四川当代县域经济杂志出版有限公司、精神文明报、攀枝花市广播电视台、攀枝花日报等媒体开展全方位合作，扩大钒钛首县、滋味盐边品牌力和知晓度；顺利推进2022年度盐边县精神文明报等刊物征订工作；加强对外宣传，邀请央级媒体来盐采访摄制，全面展示盐边经济社会发展成就。</w:t>
      </w:r>
    </w:p>
    <w:p>
      <w:pPr>
        <w:spacing w:line="560" w:lineRule="exact"/>
        <w:ind w:firstLine="640" w:firstLineChars="200"/>
        <w:rPr>
          <w:rFonts w:ascii="仿宋" w:hAnsi="仿宋" w:eastAsia="仿宋"/>
          <w:color w:val="000000"/>
          <w:kern w:val="0"/>
          <w:sz w:val="32"/>
          <w:szCs w:val="32"/>
          <w:shd w:val="clear" w:color="auto" w:fill="FFFFFF"/>
          <w:lang w:val="zh-CN"/>
        </w:rPr>
      </w:pPr>
      <w:r>
        <w:rPr>
          <w:rFonts w:hint="eastAsia" w:ascii="仿宋" w:hAnsi="仿宋" w:eastAsia="仿宋"/>
          <w:color w:val="000000"/>
          <w:kern w:val="0"/>
          <w:sz w:val="32"/>
          <w:szCs w:val="32"/>
          <w:shd w:val="clear" w:color="auto" w:fill="FFFFFF"/>
          <w:lang w:val="zh-CN"/>
        </w:rPr>
        <w:t>（11）根据盐财资行〔2022〕524号下达2022年中央支持地方文化服务体系建设补助奖金32.6万元，已完成支付32.6万元，完成率100%。主要用于</w:t>
      </w:r>
      <w:r>
        <w:rPr>
          <w:rFonts w:hint="eastAsia" w:ascii="仿宋" w:hAnsi="仿宋" w:eastAsia="仿宋"/>
          <w:sz w:val="32"/>
          <w:szCs w:val="32"/>
        </w:rPr>
        <w:t>80个建制村农村公益电影放映1440场，8个社区放映120场，23所学校放映92场，共播放1652场次，丰富百姓精神文化生活。农家书屋补充更新图书</w:t>
      </w:r>
      <w:r>
        <w:rPr>
          <w:rFonts w:hint="eastAsia" w:ascii="仿宋" w:hAnsi="仿宋" w:eastAsia="仿宋"/>
          <w:sz w:val="32"/>
          <w:szCs w:val="32"/>
          <w:lang w:eastAsia="zh-CN"/>
        </w:rPr>
        <w:t>。</w:t>
      </w:r>
    </w:p>
    <w:p>
      <w:pPr>
        <w:widowControl/>
        <w:adjustRightInd w:val="0"/>
        <w:snapToGrid w:val="0"/>
        <w:spacing w:line="560" w:lineRule="exact"/>
        <w:ind w:firstLine="640" w:firstLineChars="200"/>
        <w:contextualSpacing/>
        <w:jc w:val="left"/>
        <w:rPr>
          <w:rFonts w:ascii="仿宋" w:hAnsi="仿宋" w:eastAsia="仿宋"/>
          <w:color w:val="000000"/>
          <w:kern w:val="0"/>
          <w:sz w:val="32"/>
          <w:szCs w:val="32"/>
          <w:shd w:val="clear" w:color="auto" w:fill="FFFFFF"/>
          <w:lang w:val="zh-CN"/>
        </w:rPr>
      </w:pPr>
      <w:r>
        <w:rPr>
          <w:rFonts w:hint="eastAsia" w:ascii="仿宋" w:hAnsi="仿宋" w:eastAsia="仿宋"/>
          <w:color w:val="000000"/>
          <w:kern w:val="0"/>
          <w:sz w:val="32"/>
          <w:szCs w:val="32"/>
          <w:shd w:val="clear" w:color="auto" w:fill="FFFFFF"/>
          <w:lang w:val="zh-CN"/>
        </w:rPr>
        <w:t>（12）根据盐财资行〔2022〕110号下达2021年公益电影放映县级补助奖金15.77万元，已完成支付15.77万元，完成率100%。主要用于根据《中共攀枝花市委宣传部关于建立攀枝花市推进使用正版软件工作联席会议制度的通知》（攀委宣发〔2020〕36号），《中共四川省委宣传部办公室关于做好2021年度农村电影公益放映工作的通知》（川宣办〔2021〕18号）和《中共攀枝花市委宣传部 攀枝花市教育和体育局 攀枝花市财政局关于做好2021年度公益电影放映工作的通知》（攀委宣发〔2021〕20号）以及“三下乡”相关文件要求，实现80个建制村农村公益电影放映1440场，8个社区放映120场，23所学校放映92场，共播放1652场次，县级资金15.768万元。</w:t>
      </w:r>
    </w:p>
    <w:p>
      <w:pPr>
        <w:widowControl/>
        <w:adjustRightInd w:val="0"/>
        <w:snapToGrid w:val="0"/>
        <w:spacing w:line="560" w:lineRule="exact"/>
        <w:ind w:firstLine="640" w:firstLineChars="200"/>
        <w:contextualSpacing/>
        <w:jc w:val="left"/>
        <w:rPr>
          <w:rFonts w:ascii="仿宋" w:hAnsi="仿宋" w:eastAsia="仿宋"/>
          <w:color w:val="000000"/>
          <w:kern w:val="0"/>
          <w:sz w:val="32"/>
          <w:szCs w:val="32"/>
          <w:shd w:val="clear" w:color="auto" w:fill="FFFFFF"/>
          <w:lang w:val="zh-CN"/>
        </w:rPr>
      </w:pPr>
      <w:r>
        <w:rPr>
          <w:rFonts w:hint="eastAsia" w:ascii="仿宋" w:hAnsi="仿宋" w:eastAsia="仿宋"/>
          <w:color w:val="000000"/>
          <w:kern w:val="0"/>
          <w:sz w:val="32"/>
          <w:szCs w:val="32"/>
          <w:shd w:val="clear" w:color="auto" w:fill="FFFFFF"/>
          <w:lang w:val="zh-CN"/>
        </w:rPr>
        <w:t>（13）根据盐财资行〔2022〕83号下达2022年中央支持地方公共文化服务体系建设（新时代文明实践中心建设项目）经费10.24万元，已完成支付10.24万元，完成率100%。主要用于将还未进行打造的7个新时代文明实践所和75个新时代文明实践站统一打造，达到全县新时代文明实践所站全覆盖的目标。</w:t>
      </w:r>
    </w:p>
    <w:p>
      <w:pPr>
        <w:widowControl/>
        <w:adjustRightInd w:val="0"/>
        <w:snapToGrid w:val="0"/>
        <w:spacing w:line="560" w:lineRule="exact"/>
        <w:ind w:firstLine="640" w:firstLineChars="200"/>
        <w:contextualSpacing/>
        <w:jc w:val="left"/>
        <w:rPr>
          <w:rFonts w:ascii="仿宋" w:hAnsi="仿宋" w:eastAsia="仿宋"/>
          <w:color w:val="000000"/>
          <w:kern w:val="0"/>
          <w:sz w:val="32"/>
          <w:szCs w:val="32"/>
          <w:shd w:val="clear" w:color="auto" w:fill="FFFFFF"/>
          <w:lang w:val="zh-CN"/>
        </w:rPr>
      </w:pPr>
      <w:r>
        <w:rPr>
          <w:rFonts w:hint="eastAsia" w:ascii="仿宋" w:hAnsi="仿宋" w:eastAsia="仿宋"/>
          <w:color w:val="000000"/>
          <w:kern w:val="0"/>
          <w:sz w:val="32"/>
          <w:szCs w:val="32"/>
          <w:shd w:val="clear" w:color="auto" w:fill="FFFFFF"/>
          <w:lang w:val="zh-CN"/>
        </w:rPr>
        <w:t>2.部门绩效情况：总体绩效</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基本支出：保障单位正常运转，包括用于在职和退休人员基本工资、津贴补贴等人员经费以及办公费、印刷费、水电费、差旅费等日常公用经费。2022年一般</w:t>
      </w:r>
      <w:r>
        <w:rPr>
          <w:rFonts w:hint="eastAsia" w:ascii="仿宋" w:hAnsi="仿宋" w:eastAsia="仿宋"/>
          <w:sz w:val="32"/>
          <w:szCs w:val="32"/>
          <w:lang w:eastAsia="zh-CN"/>
        </w:rPr>
        <w:t>财政拨款</w:t>
      </w:r>
      <w:r>
        <w:rPr>
          <w:rFonts w:hint="eastAsia" w:ascii="仿宋" w:hAnsi="仿宋" w:eastAsia="仿宋"/>
          <w:sz w:val="32"/>
          <w:szCs w:val="32"/>
        </w:rPr>
        <w:t>基本支出决算数739.67万元，其中工资福利支出275.85万元，公用经费支出21.89万元，对个人和家庭补助支出15.12万元。按经济科目分类如下：</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1</w:t>
      </w:r>
      <w:r>
        <w:rPr>
          <w:rFonts w:hint="eastAsia" w:ascii="仿宋" w:hAnsi="仿宋" w:eastAsia="仿宋"/>
          <w:sz w:val="32"/>
          <w:szCs w:val="32"/>
          <w:lang w:eastAsia="zh-CN"/>
        </w:rPr>
        <w:t>）</w:t>
      </w:r>
      <w:r>
        <w:rPr>
          <w:rFonts w:hint="eastAsia" w:ascii="仿宋" w:hAnsi="仿宋" w:eastAsia="仿宋"/>
          <w:sz w:val="32"/>
          <w:szCs w:val="32"/>
        </w:rPr>
        <w:t>工资福利支出275.85万元，其中：基本工资67.14万元；津贴补贴53.27万元；奖金58.62万元；绩效工资27.62万元；机关事业单位基本养老保险缴费20.1万元；职工基本医疗保险缴费13.84万元；公务员医疗补助缴费8.68万元；其他社会保障缴费0.84万元；住房公积金23.11万元；其他工资福利支出2.37万元。</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2</w:t>
      </w:r>
      <w:r>
        <w:rPr>
          <w:rFonts w:hint="eastAsia" w:ascii="仿宋" w:hAnsi="仿宋" w:eastAsia="仿宋"/>
          <w:sz w:val="32"/>
          <w:szCs w:val="32"/>
          <w:lang w:eastAsia="zh-CN"/>
        </w:rPr>
        <w:t>）</w:t>
      </w:r>
      <w:r>
        <w:rPr>
          <w:rFonts w:hint="eastAsia" w:ascii="仿宋" w:hAnsi="仿宋" w:eastAsia="仿宋"/>
          <w:sz w:val="32"/>
          <w:szCs w:val="32"/>
        </w:rPr>
        <w:t>商品和服务支出21.89万元，其中：办公费1.5万元；差旅费3.24万元；维修维护费0.12万元；会议费0.23万元；培训费1.84万元；公务接待费0.16万元；劳务费0.75万元；委托业务费0.92万元；工会经费2.26万元；福利费3.23万元；其他交通费7.25；其他商品和服务支出0.4万元。</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3</w:t>
      </w:r>
      <w:r>
        <w:rPr>
          <w:rFonts w:hint="eastAsia" w:ascii="仿宋" w:hAnsi="仿宋" w:eastAsia="仿宋"/>
          <w:sz w:val="32"/>
          <w:szCs w:val="32"/>
          <w:lang w:eastAsia="zh-CN"/>
        </w:rPr>
        <w:t>）</w:t>
      </w:r>
      <w:r>
        <w:rPr>
          <w:rFonts w:hint="eastAsia" w:ascii="仿宋" w:hAnsi="仿宋" w:eastAsia="仿宋"/>
          <w:sz w:val="32"/>
          <w:szCs w:val="32"/>
        </w:rPr>
        <w:t>对个人和家庭补助支出15.12万元，其中生活补助12.16万元；奖励金0.02万元，医疗补助2.94万元。</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3.“三公”经费情况</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因公出国（境）费0元，公务用车购置及运行维护费0元；公务接待费0.16万元。</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.主要目标绩效完成情况</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（1）产出指标完成情况</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2022年，按年初计划完成了宣传工作及媒体协作工作，全县党报、党刊、</w:t>
      </w:r>
      <w:r>
        <w:rPr>
          <w:rFonts w:hint="eastAsia" w:ascii="仿宋" w:hAnsi="仿宋" w:eastAsia="仿宋"/>
          <w:sz w:val="32"/>
          <w:szCs w:val="32"/>
          <w:lang w:eastAsia="zh-CN"/>
        </w:rPr>
        <w:t>报刊</w:t>
      </w:r>
      <w:r>
        <w:rPr>
          <w:rFonts w:hint="eastAsia" w:ascii="仿宋" w:hAnsi="仿宋" w:eastAsia="仿宋"/>
          <w:sz w:val="32"/>
          <w:szCs w:val="32"/>
        </w:rPr>
        <w:t>征订专项工作；2022年媒体合作、精神文明报等刊物征订及央视《味道》栏目摄制工作。</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（2）效益指标完成情况</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我单位较好</w:t>
      </w:r>
      <w:r>
        <w:rPr>
          <w:rFonts w:hint="eastAsia" w:ascii="仿宋" w:hAnsi="仿宋" w:eastAsia="仿宋"/>
          <w:sz w:val="32"/>
          <w:szCs w:val="32"/>
          <w:lang w:eastAsia="zh-CN"/>
        </w:rPr>
        <w:t>地</w:t>
      </w:r>
      <w:r>
        <w:rPr>
          <w:rFonts w:hint="eastAsia" w:ascii="仿宋" w:hAnsi="仿宋" w:eastAsia="仿宋"/>
          <w:sz w:val="32"/>
          <w:szCs w:val="32"/>
        </w:rPr>
        <w:t>完成了2022年初设定的工作任务，各项项目得到有序开展。到年底完成项目的100%，完成项目验收率100%。</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（3）满意度指标完成情况</w:t>
      </w:r>
    </w:p>
    <w:p>
      <w:pPr>
        <w:spacing w:line="560" w:lineRule="exact"/>
        <w:ind w:firstLine="640" w:firstLineChars="200"/>
        <w:rPr>
          <w:rFonts w:ascii="仿宋" w:hAnsi="仿宋" w:eastAsia="仿宋"/>
          <w:color w:val="000000"/>
          <w:kern w:val="0"/>
          <w:sz w:val="32"/>
          <w:szCs w:val="32"/>
          <w:shd w:val="clear" w:color="auto" w:fill="FFFFFF"/>
          <w:lang w:val="zh-CN"/>
        </w:rPr>
      </w:pPr>
      <w:r>
        <w:rPr>
          <w:rFonts w:hint="eastAsia" w:ascii="仿宋" w:hAnsi="仿宋" w:eastAsia="仿宋"/>
          <w:sz w:val="32"/>
          <w:szCs w:val="32"/>
        </w:rPr>
        <w:t>2022年，我单位对全部项目实施和整体社会效益及满意度等各项指标调查，全县群众和职工对项目实施满意度达到95%。项目社会效益和经济效益明显，达到了预期效果。</w:t>
      </w:r>
    </w:p>
    <w:p>
      <w:pPr>
        <w:widowControl/>
        <w:adjustRightInd w:val="0"/>
        <w:snapToGrid w:val="0"/>
        <w:spacing w:line="560" w:lineRule="exact"/>
        <w:ind w:firstLine="643" w:firstLineChars="200"/>
        <w:contextualSpacing/>
        <w:jc w:val="left"/>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 w:hAnsi="仿宋" w:eastAsia="仿宋"/>
          <w:color w:val="000000"/>
          <w:kern w:val="0"/>
          <w:sz w:val="32"/>
          <w:szCs w:val="32"/>
          <w:shd w:val="clear" w:color="auto" w:fill="FFFFFF"/>
          <w:lang w:val="zh-CN"/>
        </w:rPr>
      </w:pPr>
      <w:r>
        <w:rPr>
          <w:rFonts w:hint="eastAsia" w:ascii="仿宋" w:hAnsi="仿宋" w:eastAsia="仿宋"/>
          <w:color w:val="000000"/>
          <w:sz w:val="32"/>
          <w:szCs w:val="32"/>
        </w:rPr>
        <w:t>根据年初绩效目标，参照经费管理使用要求和相应项目实施方案要求进行收支管理，做到专款专用，投入到位，发挥效益。</w:t>
      </w:r>
    </w:p>
    <w:p>
      <w:pPr>
        <w:widowControl/>
        <w:adjustRightInd w:val="0"/>
        <w:snapToGrid w:val="0"/>
        <w:spacing w:line="560" w:lineRule="exact"/>
        <w:ind w:firstLine="643" w:firstLineChars="200"/>
        <w:contextualSpacing/>
        <w:jc w:val="left"/>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eastAsia="zh-CN"/>
        </w:rPr>
        <w:t>（三）</w:t>
      </w:r>
      <w:r>
        <w:rPr>
          <w:rFonts w:hint="eastAsia" w:ascii="方正楷体_GBK" w:hAnsi="方正楷体_GBK" w:eastAsia="方正楷体_GBK" w:cs="方正楷体_GBK"/>
          <w:b/>
          <w:bCs/>
          <w:color w:val="000000"/>
          <w:kern w:val="0"/>
          <w:sz w:val="32"/>
          <w:szCs w:val="32"/>
          <w:shd w:val="clear" w:color="auto" w:fill="FFFFFF"/>
          <w:lang w:val="zh-CN"/>
        </w:rPr>
        <w:t>自评质量。</w:t>
      </w:r>
    </w:p>
    <w:p>
      <w:pPr>
        <w:widowControl/>
        <w:adjustRightInd w:val="0"/>
        <w:snapToGrid w:val="0"/>
        <w:spacing w:line="560" w:lineRule="exact"/>
        <w:contextualSpacing/>
        <w:jc w:val="left"/>
        <w:rPr>
          <w:rFonts w:ascii="仿宋" w:hAnsi="仿宋" w:eastAsia="仿宋"/>
          <w:color w:val="000000"/>
          <w:kern w:val="0"/>
          <w:sz w:val="32"/>
          <w:szCs w:val="32"/>
          <w:shd w:val="clear" w:color="auto" w:fill="FFFFFF"/>
        </w:rPr>
      </w:pPr>
      <w:r>
        <w:rPr>
          <w:rFonts w:ascii="仿宋" w:hAnsi="仿宋" w:eastAsia="仿宋"/>
          <w:color w:val="000000"/>
          <w:kern w:val="0"/>
          <w:sz w:val="32"/>
          <w:szCs w:val="32"/>
          <w:shd w:val="clear" w:color="auto" w:fill="FFFFFF"/>
        </w:rPr>
        <w:t xml:space="preserve">    </w:t>
      </w:r>
      <w:r>
        <w:rPr>
          <w:rFonts w:hint="eastAsia" w:ascii="仿宋" w:hAnsi="仿宋" w:eastAsia="仿宋"/>
          <w:color w:val="000000"/>
          <w:kern w:val="0"/>
          <w:sz w:val="32"/>
          <w:szCs w:val="32"/>
          <w:shd w:val="clear" w:color="auto" w:fill="FFFFFF"/>
        </w:rPr>
        <w:t>良好</w:t>
      </w:r>
    </w:p>
    <w:p>
      <w:pPr>
        <w:widowControl/>
        <w:adjustRightInd w:val="0"/>
        <w:snapToGrid w:val="0"/>
        <w:spacing w:line="560" w:lineRule="exact"/>
        <w:ind w:firstLine="660" w:firstLineChars="200"/>
        <w:contextualSpacing/>
        <w:jc w:val="left"/>
        <w:rPr>
          <w:rFonts w:hint="eastAsia" w:ascii="方正黑体_GBK" w:hAnsi="方正黑体_GBK" w:eastAsia="方正黑体_GBK" w:cs="方正黑体_GBK"/>
          <w:color w:val="000000"/>
          <w:kern w:val="0"/>
          <w:sz w:val="33"/>
          <w:szCs w:val="33"/>
          <w:shd w:val="clear" w:color="auto" w:fill="FFFFFF"/>
        </w:rPr>
      </w:pPr>
      <w:r>
        <w:rPr>
          <w:rFonts w:hint="eastAsia" w:ascii="方正黑体_GBK" w:hAnsi="方正黑体_GBK" w:eastAsia="方正黑体_GBK" w:cs="方正黑体_GBK"/>
          <w:color w:val="000000"/>
          <w:kern w:val="0"/>
          <w:sz w:val="33"/>
          <w:szCs w:val="33"/>
          <w:shd w:val="clear" w:color="auto" w:fill="FFFFFF"/>
        </w:rPr>
        <w:t>四、评价结论及建议</w:t>
      </w:r>
    </w:p>
    <w:p>
      <w:pPr>
        <w:widowControl/>
        <w:adjustRightInd w:val="0"/>
        <w:snapToGrid w:val="0"/>
        <w:spacing w:line="560" w:lineRule="exact"/>
        <w:ind w:firstLine="663" w:firstLineChars="200"/>
        <w:contextualSpacing/>
        <w:jc w:val="left"/>
        <w:rPr>
          <w:rFonts w:hint="eastAsia" w:ascii="方正楷体_GBK" w:hAnsi="方正楷体_GBK" w:eastAsia="方正楷体_GBK" w:cs="方正楷体_GBK"/>
          <w:b/>
          <w:bCs/>
          <w:color w:val="000000"/>
          <w:kern w:val="0"/>
          <w:sz w:val="33"/>
          <w:szCs w:val="33"/>
          <w:shd w:val="clear" w:color="auto" w:fill="FFFFFF"/>
          <w:lang w:val="zh-CN"/>
        </w:rPr>
      </w:pPr>
      <w:r>
        <w:rPr>
          <w:rFonts w:hint="eastAsia" w:ascii="方正楷体_GBK" w:hAnsi="方正楷体_GBK" w:eastAsia="方正楷体_GBK" w:cs="方正楷体_GBK"/>
          <w:b/>
          <w:bCs/>
          <w:color w:val="000000"/>
          <w:kern w:val="0"/>
          <w:sz w:val="33"/>
          <w:szCs w:val="33"/>
          <w:shd w:val="clear" w:color="auto" w:fill="FFFFFF"/>
          <w:lang w:val="zh-CN"/>
        </w:rPr>
        <w:t>（一）评价结论。</w:t>
      </w:r>
    </w:p>
    <w:p>
      <w:pPr>
        <w:spacing w:line="560" w:lineRule="exact"/>
        <w:ind w:firstLine="640" w:firstLineChars="200"/>
        <w:rPr>
          <w:rFonts w:ascii="仿宋" w:hAnsi="仿宋" w:eastAsia="仿宋"/>
          <w:color w:val="000000"/>
          <w:kern w:val="0"/>
          <w:sz w:val="32"/>
          <w:szCs w:val="32"/>
          <w:shd w:val="clear" w:color="auto" w:fill="FFFFFF"/>
          <w:lang w:val="zh-CN"/>
        </w:rPr>
      </w:pPr>
      <w:r>
        <w:rPr>
          <w:rFonts w:hint="eastAsia" w:ascii="仿宋" w:hAnsi="仿宋" w:eastAsia="仿宋"/>
          <w:sz w:val="32"/>
          <w:szCs w:val="32"/>
        </w:rPr>
        <w:t>我单位根据盐边县财政局《关于开展2022年度预算绩效自评工作的通知》盐边财绩</w:t>
      </w:r>
      <w:r>
        <w:rPr>
          <w:rFonts w:hint="eastAsia" w:ascii="仿宋" w:hAnsi="仿宋" w:eastAsia="仿宋"/>
          <w:sz w:val="32"/>
          <w:szCs w:val="32"/>
          <w:lang w:eastAsia="zh-CN"/>
        </w:rPr>
        <w:t>〔2023〕1号</w:t>
      </w:r>
      <w:r>
        <w:rPr>
          <w:rFonts w:hint="eastAsia" w:ascii="仿宋" w:hAnsi="仿宋" w:eastAsia="仿宋"/>
          <w:sz w:val="32"/>
          <w:szCs w:val="32"/>
        </w:rPr>
        <w:t>文件精神，围绕预算编制、预算执行、支出绩效三个方面对2022年度预算绩效进行了认真自评，自评完成97%（详见附件1）。根据得分情况本部门支出绩效评价等级为“良好”。</w:t>
      </w:r>
    </w:p>
    <w:p>
      <w:pPr>
        <w:widowControl/>
        <w:adjustRightInd w:val="0"/>
        <w:snapToGrid w:val="0"/>
        <w:spacing w:line="560" w:lineRule="exact"/>
        <w:ind w:firstLine="663" w:firstLineChars="200"/>
        <w:contextualSpacing/>
        <w:jc w:val="left"/>
        <w:rPr>
          <w:rFonts w:hint="eastAsia" w:ascii="方正楷体_GBK" w:hAnsi="方正楷体_GBK" w:eastAsia="方正楷体_GBK" w:cs="方正楷体_GBK"/>
          <w:b/>
          <w:bCs/>
          <w:color w:val="000000"/>
          <w:kern w:val="0"/>
          <w:sz w:val="33"/>
          <w:szCs w:val="33"/>
          <w:shd w:val="clear" w:color="auto" w:fill="FFFFFF"/>
          <w:lang w:val="zh-CN"/>
        </w:rPr>
      </w:pPr>
      <w:r>
        <w:rPr>
          <w:rFonts w:hint="eastAsia" w:ascii="方正楷体_GBK" w:hAnsi="方正楷体_GBK" w:eastAsia="方正楷体_GBK" w:cs="方正楷体_GBK"/>
          <w:b/>
          <w:bCs/>
          <w:color w:val="000000"/>
          <w:kern w:val="0"/>
          <w:sz w:val="33"/>
          <w:szCs w:val="33"/>
          <w:shd w:val="clear" w:color="auto" w:fill="FFFFFF"/>
          <w:lang w:val="zh-CN"/>
        </w:rPr>
        <w:t>（二）存在问题。</w:t>
      </w:r>
    </w:p>
    <w:p>
      <w:pPr>
        <w:spacing w:line="560" w:lineRule="exact"/>
        <w:ind w:firstLine="640" w:firstLineChars="200"/>
        <w:rPr>
          <w:rFonts w:ascii="仿宋" w:hAnsi="仿宋" w:eastAsia="仿宋"/>
          <w:color w:val="000000"/>
          <w:kern w:val="0"/>
          <w:sz w:val="32"/>
          <w:szCs w:val="32"/>
          <w:shd w:val="clear" w:color="auto" w:fill="FFFFFF"/>
          <w:lang w:val="zh-CN"/>
        </w:rPr>
      </w:pPr>
      <w:r>
        <w:rPr>
          <w:rFonts w:hint="eastAsia" w:ascii="仿宋" w:hAnsi="仿宋" w:eastAsia="仿宋"/>
          <w:sz w:val="32"/>
          <w:szCs w:val="32"/>
        </w:rPr>
        <w:t>项目的经济社会效益指标、可持续影响力指标难以量化评估。</w:t>
      </w:r>
    </w:p>
    <w:p>
      <w:pPr>
        <w:widowControl/>
        <w:adjustRightInd w:val="0"/>
        <w:snapToGrid w:val="0"/>
        <w:spacing w:line="560" w:lineRule="exact"/>
        <w:ind w:firstLine="663" w:firstLineChars="200"/>
        <w:contextualSpacing/>
        <w:jc w:val="left"/>
        <w:rPr>
          <w:rFonts w:hint="eastAsia" w:ascii="方正楷体_GBK" w:hAnsi="方正楷体_GBK" w:eastAsia="方正楷体_GBK" w:cs="方正楷体_GBK"/>
          <w:b/>
          <w:bCs/>
          <w:color w:val="000000"/>
          <w:kern w:val="0"/>
          <w:sz w:val="33"/>
          <w:szCs w:val="33"/>
          <w:shd w:val="clear" w:color="auto" w:fill="FFFFFF"/>
          <w:lang w:val="zh-CN"/>
        </w:rPr>
      </w:pPr>
      <w:r>
        <w:rPr>
          <w:rFonts w:hint="eastAsia" w:ascii="方正楷体_GBK" w:hAnsi="方正楷体_GBK" w:eastAsia="方正楷体_GBK" w:cs="方正楷体_GBK"/>
          <w:b/>
          <w:bCs/>
          <w:color w:val="000000"/>
          <w:kern w:val="0"/>
          <w:sz w:val="33"/>
          <w:szCs w:val="33"/>
          <w:shd w:val="clear" w:color="auto" w:fill="FFFFFF"/>
          <w:lang w:val="zh-CN"/>
        </w:rPr>
        <w:t>（三）改进建议。</w:t>
      </w:r>
    </w:p>
    <w:p>
      <w:pPr>
        <w:widowControl/>
        <w:adjustRightInd w:val="0"/>
        <w:snapToGrid w:val="0"/>
        <w:spacing w:line="560" w:lineRule="exact"/>
        <w:ind w:firstLine="640" w:firstLineChars="200"/>
        <w:contextualSpacing/>
        <w:jc w:val="left"/>
        <w:rPr>
          <w:rFonts w:ascii="仿宋" w:hAnsi="仿宋" w:eastAsia="仿宋"/>
          <w:color w:val="000000"/>
          <w:kern w:val="0"/>
          <w:sz w:val="32"/>
          <w:szCs w:val="32"/>
          <w:shd w:val="clear" w:color="auto" w:fill="FFFFFF"/>
          <w:lang w:val="zh-CN"/>
        </w:rPr>
      </w:pPr>
      <w:r>
        <w:rPr>
          <w:rFonts w:hint="eastAsia" w:ascii="仿宋" w:hAnsi="仿宋" w:eastAsia="仿宋"/>
          <w:color w:val="000000"/>
          <w:kern w:val="0"/>
          <w:sz w:val="32"/>
          <w:szCs w:val="32"/>
          <w:shd w:val="clear" w:color="auto" w:fill="FFFFFF"/>
          <w:lang w:val="zh-CN"/>
        </w:rPr>
        <w:t>无</w:t>
      </w:r>
    </w:p>
    <w:p>
      <w:pPr>
        <w:spacing w:line="600" w:lineRule="exact"/>
        <w:jc w:val="center"/>
        <w:outlineLvl w:val="0"/>
        <w:rPr>
          <w:rFonts w:ascii="黑体" w:hAnsi="黑体" w:eastAsia="黑体"/>
          <w:sz w:val="44"/>
          <w:szCs w:val="44"/>
        </w:rPr>
      </w:pPr>
      <w:bookmarkStart w:id="55" w:name="_Toc15396618"/>
    </w:p>
    <w:p>
      <w:pPr>
        <w:spacing w:line="640" w:lineRule="exact"/>
        <w:jc w:val="left"/>
        <w:rPr>
          <w:rFonts w:ascii="仿宋" w:hAnsi="仿宋" w:eastAsia="仿宋"/>
          <w:sz w:val="32"/>
          <w:szCs w:val="32"/>
        </w:rPr>
      </w:pPr>
    </w:p>
    <w:p>
      <w:pPr>
        <w:spacing w:line="640" w:lineRule="exact"/>
        <w:jc w:val="left"/>
        <w:rPr>
          <w:rFonts w:ascii="仿宋" w:hAnsi="仿宋" w:eastAsia="仿宋"/>
          <w:sz w:val="32"/>
          <w:szCs w:val="32"/>
        </w:rPr>
      </w:pPr>
    </w:p>
    <w:p>
      <w:pPr>
        <w:spacing w:line="640" w:lineRule="exact"/>
        <w:jc w:val="left"/>
        <w:rPr>
          <w:rFonts w:ascii="仿宋" w:hAnsi="仿宋" w:eastAsia="仿宋"/>
          <w:sz w:val="32"/>
          <w:szCs w:val="32"/>
        </w:rPr>
      </w:pPr>
    </w:p>
    <w:p>
      <w:pPr>
        <w:spacing w:line="640" w:lineRule="exact"/>
        <w:jc w:val="left"/>
        <w:rPr>
          <w:rFonts w:ascii="仿宋" w:hAnsi="仿宋" w:eastAsia="仿宋"/>
          <w:sz w:val="32"/>
          <w:szCs w:val="32"/>
        </w:rPr>
      </w:pPr>
    </w:p>
    <w:p>
      <w:pPr>
        <w:spacing w:line="640" w:lineRule="exact"/>
        <w:jc w:val="left"/>
        <w:rPr>
          <w:rFonts w:ascii="仿宋" w:hAnsi="仿宋" w:eastAsia="仿宋"/>
          <w:sz w:val="32"/>
          <w:szCs w:val="32"/>
        </w:rPr>
      </w:pPr>
    </w:p>
    <w:p>
      <w:pPr>
        <w:spacing w:line="640" w:lineRule="exact"/>
        <w:jc w:val="left"/>
        <w:rPr>
          <w:rFonts w:ascii="仿宋" w:hAnsi="仿宋" w:eastAsia="仿宋"/>
          <w:sz w:val="32"/>
          <w:szCs w:val="32"/>
        </w:rPr>
      </w:pPr>
    </w:p>
    <w:p>
      <w:pPr>
        <w:spacing w:line="640" w:lineRule="exact"/>
        <w:jc w:val="left"/>
        <w:rPr>
          <w:rFonts w:ascii="仿宋" w:hAnsi="仿宋" w:eastAsia="仿宋"/>
          <w:sz w:val="32"/>
          <w:szCs w:val="32"/>
        </w:rPr>
      </w:pPr>
    </w:p>
    <w:p>
      <w:pPr>
        <w:spacing w:line="640" w:lineRule="exact"/>
        <w:jc w:val="left"/>
        <w:rPr>
          <w:rFonts w:ascii="仿宋" w:hAnsi="仿宋" w:eastAsia="仿宋"/>
          <w:sz w:val="32"/>
          <w:szCs w:val="32"/>
        </w:rPr>
      </w:pPr>
    </w:p>
    <w:p>
      <w:pPr>
        <w:spacing w:line="640" w:lineRule="exact"/>
        <w:jc w:val="left"/>
        <w:rPr>
          <w:rFonts w:ascii="黑体" w:hAnsi="黑体" w:eastAsia="黑体"/>
          <w:sz w:val="32"/>
          <w:szCs w:val="32"/>
        </w:rPr>
      </w:pPr>
      <w:r>
        <w:rPr>
          <w:rFonts w:hint="eastAsia" w:ascii="黑体" w:hAnsi="黑体" w:eastAsia="黑体"/>
          <w:sz w:val="32"/>
          <w:szCs w:val="32"/>
        </w:rPr>
        <w:t>附件2</w:t>
      </w:r>
    </w:p>
    <w:p>
      <w:pPr>
        <w:spacing w:line="640" w:lineRule="exact"/>
        <w:jc w:val="center"/>
        <w:rPr>
          <w:rFonts w:hint="eastAsia" w:ascii="方正小标宋_GBK" w:hAnsi="方正小标宋_GBK" w:eastAsia="方正小标宋_GBK" w:cs="方正小标宋_GBK"/>
          <w:b/>
          <w:bCs/>
          <w:sz w:val="38"/>
          <w:szCs w:val="38"/>
        </w:rPr>
      </w:pPr>
      <w:r>
        <w:rPr>
          <w:rFonts w:hint="eastAsia" w:ascii="方正小标宋_GBK" w:hAnsi="方正小标宋_GBK" w:eastAsia="方正小标宋_GBK" w:cs="方正小标宋_GBK"/>
          <w:b/>
          <w:bCs/>
          <w:sz w:val="38"/>
          <w:szCs w:val="38"/>
        </w:rPr>
        <w:t>2022年中央支持地方公共文化体系建设补助资金</w:t>
      </w:r>
    </w:p>
    <w:p>
      <w:pPr>
        <w:spacing w:line="640" w:lineRule="exact"/>
        <w:jc w:val="center"/>
        <w:rPr>
          <w:rFonts w:hint="eastAsia" w:ascii="方正小标宋_GBK" w:hAnsi="方正小标宋_GBK" w:eastAsia="方正小标宋_GBK" w:cs="方正小标宋_GBK"/>
          <w:b/>
          <w:bCs/>
          <w:sz w:val="38"/>
          <w:szCs w:val="38"/>
          <w:lang w:val="zh-CN"/>
        </w:rPr>
      </w:pPr>
      <w:r>
        <w:rPr>
          <w:rFonts w:hint="eastAsia" w:ascii="方正小标宋_GBK" w:hAnsi="方正小标宋_GBK" w:eastAsia="方正小标宋_GBK" w:cs="方正小标宋_GBK"/>
          <w:b/>
          <w:bCs/>
          <w:sz w:val="38"/>
          <w:szCs w:val="38"/>
        </w:rPr>
        <w:t>绩效评估报告</w:t>
      </w:r>
    </w:p>
    <w:p>
      <w:pPr>
        <w:spacing w:line="560" w:lineRule="exact"/>
        <w:ind w:firstLine="640" w:firstLineChars="200"/>
        <w:rPr>
          <w:rFonts w:eastAsia="黑体"/>
          <w:sz w:val="32"/>
          <w:szCs w:val="32"/>
        </w:rPr>
      </w:pPr>
    </w:p>
    <w:p>
      <w:pPr>
        <w:spacing w:line="560" w:lineRule="exact"/>
        <w:ind w:firstLine="640" w:firstLineChars="200"/>
        <w:rPr>
          <w:rFonts w:eastAsia="黑体"/>
          <w:sz w:val="32"/>
          <w:szCs w:val="32"/>
        </w:rPr>
      </w:pPr>
      <w:r>
        <w:rPr>
          <w:rFonts w:eastAsia="黑体"/>
          <w:sz w:val="32"/>
          <w:szCs w:val="32"/>
        </w:rPr>
        <w:t>一、项目概况</w:t>
      </w:r>
    </w:p>
    <w:p>
      <w:pPr>
        <w:spacing w:line="560" w:lineRule="exact"/>
        <w:ind w:firstLine="640" w:firstLineChars="200"/>
        <w:rPr>
          <w:rFonts w:ascii="仿宋" w:hAnsi="仿宋" w:eastAsia="仿宋"/>
          <w:sz w:val="32"/>
          <w:szCs w:val="32"/>
        </w:rPr>
      </w:pPr>
      <w:r>
        <w:rPr>
          <w:rFonts w:hint="eastAsia" w:ascii="仿宋" w:hAnsi="仿宋" w:eastAsia="仿宋"/>
          <w:color w:val="000000"/>
          <w:sz w:val="32"/>
          <w:szCs w:val="32"/>
        </w:rPr>
        <w:t>根据</w:t>
      </w:r>
      <w:r>
        <w:rPr>
          <w:rFonts w:hint="eastAsia" w:ascii="仿宋" w:hAnsi="仿宋" w:eastAsia="仿宋"/>
          <w:sz w:val="32"/>
          <w:szCs w:val="32"/>
        </w:rPr>
        <w:t>《</w:t>
      </w:r>
      <w:r>
        <w:rPr>
          <w:rFonts w:hint="eastAsia" w:ascii="仿宋" w:hAnsi="仿宋" w:eastAsia="仿宋"/>
          <w:bCs/>
          <w:sz w:val="32"/>
          <w:szCs w:val="32"/>
        </w:rPr>
        <w:t>中共攀枝花市委宣传部 攀枝花市教育和体育局 攀枝花市财政局关于做好2022年度公益电影放映工作的通知</w:t>
      </w:r>
      <w:r>
        <w:rPr>
          <w:rFonts w:hint="eastAsia" w:ascii="仿宋" w:hAnsi="仿宋" w:eastAsia="仿宋"/>
          <w:sz w:val="32"/>
          <w:szCs w:val="32"/>
        </w:rPr>
        <w:t>》（攀委宣发〔2022〕11号）文件要求，实现80个建制村农村公益电影放映1440场，8个社区放映120场，23所学校放映92场，共播放1652场次，已支付中央、省级19.356万元。</w:t>
      </w:r>
    </w:p>
    <w:p>
      <w:pPr>
        <w:spacing w:line="560" w:lineRule="exact"/>
        <w:ind w:firstLine="640" w:firstLineChars="200"/>
        <w:rPr>
          <w:rFonts w:ascii="仿宋" w:hAnsi="仿宋" w:eastAsia="仿宋"/>
          <w:sz w:val="32"/>
          <w:szCs w:val="32"/>
        </w:rPr>
      </w:pPr>
      <w:r>
        <w:rPr>
          <w:rFonts w:hint="eastAsia" w:ascii="仿宋" w:hAnsi="仿宋" w:eastAsia="仿宋"/>
          <w:kern w:val="0"/>
          <w:sz w:val="32"/>
          <w:szCs w:val="32"/>
        </w:rPr>
        <w:t>由于2021年播放场次调整，导致中央、省级公益电影放映资金申请缺口</w:t>
      </w:r>
      <w:r>
        <w:rPr>
          <w:rFonts w:ascii="仿宋" w:hAnsi="仿宋" w:eastAsia="仿宋"/>
          <w:kern w:val="0"/>
          <w:sz w:val="32"/>
          <w:szCs w:val="32"/>
        </w:rPr>
        <w:t>9</w:t>
      </w:r>
      <w:r>
        <w:rPr>
          <w:rFonts w:hint="eastAsia" w:ascii="仿宋" w:hAnsi="仿宋" w:eastAsia="仿宋"/>
          <w:kern w:val="0"/>
          <w:sz w:val="32"/>
          <w:szCs w:val="32"/>
        </w:rPr>
        <w:t>.</w:t>
      </w:r>
      <w:r>
        <w:rPr>
          <w:rFonts w:ascii="仿宋" w:hAnsi="仿宋" w:eastAsia="仿宋"/>
          <w:kern w:val="0"/>
          <w:sz w:val="32"/>
          <w:szCs w:val="32"/>
        </w:rPr>
        <w:t>948</w:t>
      </w:r>
      <w:r>
        <w:rPr>
          <w:rFonts w:hint="eastAsia" w:ascii="仿宋" w:hAnsi="仿宋" w:eastAsia="仿宋"/>
          <w:kern w:val="0"/>
          <w:sz w:val="32"/>
          <w:szCs w:val="32"/>
        </w:rPr>
        <w:t>万</w:t>
      </w:r>
      <w:r>
        <w:rPr>
          <w:rFonts w:ascii="仿宋" w:hAnsi="仿宋" w:eastAsia="仿宋"/>
          <w:kern w:val="0"/>
          <w:sz w:val="32"/>
          <w:szCs w:val="32"/>
        </w:rPr>
        <w:t>元</w:t>
      </w:r>
      <w:r>
        <w:rPr>
          <w:rFonts w:hint="eastAsia" w:ascii="仿宋" w:hAnsi="仿宋" w:eastAsia="仿宋"/>
          <w:kern w:val="0"/>
          <w:sz w:val="32"/>
          <w:szCs w:val="32"/>
        </w:rPr>
        <w:t>，已于2022年12月14日全部支付到程翔数字电影放映公司。</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2022年农家书屋补充更新图书资金3.3024万元。</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以上三项合计32.6064万元。</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二、立项必要性</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公益电影放映是重点民生工程，省市委都有相关的文件明确要求放映任务，丰富基层百姓精神文化生活。农家书屋图书补充更新是中央、省市委每年定期要求开展的工作，传承优秀文化，丰富基层农民群众阅读精神生活。</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三、投入经济性</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公益电影农村、社区、学校每场成本为281元、400元、480元，县级补贴每场分别为77.5元，200元，240元，按照2022年的放映任务，2022年公益电影放映产生中央、省级资金19.356万元。</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2022年农家书屋补充更新图书资金3.3024万元。</w:t>
      </w:r>
      <w:r>
        <w:rPr>
          <w:rFonts w:ascii="仿宋" w:hAnsi="仿宋" w:eastAsia="仿宋"/>
          <w:sz w:val="32"/>
          <w:szCs w:val="32"/>
        </w:rPr>
        <w:t>1.2022年2—3月，《中共中央关于党的百年奋斗重大成就和历史经验的决议》辅导读本。80个农家书屋，每个农家书屋各2本，36元一本。36元×160本＝5760元；《党的十九届六中全会决议学习辅导100问》，28元×160本＝4480元。</w:t>
      </w:r>
      <w:r>
        <w:rPr>
          <w:rFonts w:hint="eastAsia" w:ascii="仿宋" w:hAnsi="仿宋" w:eastAsia="仿宋"/>
          <w:sz w:val="32"/>
          <w:szCs w:val="32"/>
        </w:rPr>
        <w:t>合计：10240元。</w:t>
      </w:r>
      <w:r>
        <w:rPr>
          <w:rFonts w:ascii="仿宋" w:hAnsi="仿宋" w:eastAsia="仿宋"/>
          <w:sz w:val="32"/>
          <w:szCs w:val="32"/>
        </w:rPr>
        <w:t>2.《习近平正定足迹》等四本丛书，284.8元一套</w:t>
      </w:r>
      <w:r>
        <w:rPr>
          <w:rFonts w:hint="eastAsia" w:ascii="仿宋" w:hAnsi="仿宋" w:eastAsia="仿宋"/>
          <w:sz w:val="32"/>
          <w:szCs w:val="32"/>
        </w:rPr>
        <w:t>（356</w:t>
      </w:r>
      <w:r>
        <w:rPr>
          <w:rFonts w:ascii="仿宋" w:hAnsi="仿宋" w:eastAsia="仿宋"/>
          <w:sz w:val="32"/>
          <w:szCs w:val="32"/>
        </w:rPr>
        <w:t>×</w:t>
      </w:r>
      <w:r>
        <w:rPr>
          <w:rFonts w:hint="eastAsia" w:ascii="仿宋" w:hAnsi="仿宋" w:eastAsia="仿宋"/>
          <w:sz w:val="32"/>
          <w:szCs w:val="32"/>
        </w:rPr>
        <w:t>0.8）</w:t>
      </w:r>
      <w:r>
        <w:rPr>
          <w:rFonts w:ascii="仿宋" w:hAnsi="仿宋" w:eastAsia="仿宋"/>
          <w:sz w:val="32"/>
          <w:szCs w:val="32"/>
        </w:rPr>
        <w:t>，80个农家书屋，每个农家书屋</w:t>
      </w:r>
      <w:r>
        <w:rPr>
          <w:rFonts w:hint="eastAsia" w:ascii="仿宋" w:hAnsi="仿宋" w:eastAsia="仿宋"/>
          <w:sz w:val="32"/>
          <w:szCs w:val="32"/>
        </w:rPr>
        <w:t>1套</w:t>
      </w:r>
      <w:r>
        <w:rPr>
          <w:rFonts w:ascii="仿宋" w:hAnsi="仿宋" w:eastAsia="仿宋"/>
          <w:sz w:val="32"/>
          <w:szCs w:val="32"/>
        </w:rPr>
        <w:t>，284.8×80＝22784元</w:t>
      </w:r>
      <w:r>
        <w:rPr>
          <w:rFonts w:hint="eastAsia" w:ascii="仿宋" w:hAnsi="仿宋" w:eastAsia="仿宋"/>
          <w:sz w:val="32"/>
          <w:szCs w:val="32"/>
        </w:rPr>
        <w:t>。</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w:t>
      </w:r>
      <w:r>
        <w:rPr>
          <w:rFonts w:ascii="黑体" w:hAnsi="黑体" w:eastAsia="黑体"/>
          <w:sz w:val="32"/>
          <w:szCs w:val="32"/>
        </w:rPr>
        <w:t>、</w:t>
      </w:r>
      <w:r>
        <w:rPr>
          <w:rFonts w:hint="eastAsia" w:ascii="黑体" w:hAnsi="黑体" w:eastAsia="黑体"/>
          <w:sz w:val="32"/>
          <w:szCs w:val="32"/>
        </w:rPr>
        <w:t>绩效目标合理性</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公益电影放映</w:t>
      </w:r>
      <w:r>
        <w:rPr>
          <w:rFonts w:hint="eastAsia" w:ascii="仿宋" w:hAnsi="仿宋" w:eastAsia="仿宋"/>
          <w:kern w:val="0"/>
          <w:sz w:val="32"/>
          <w:szCs w:val="32"/>
        </w:rPr>
        <w:t>中央、省级资金</w:t>
      </w:r>
      <w:r>
        <w:rPr>
          <w:rFonts w:hint="eastAsia" w:ascii="仿宋" w:hAnsi="仿宋" w:eastAsia="仿宋"/>
          <w:sz w:val="32"/>
          <w:szCs w:val="32"/>
        </w:rPr>
        <w:t>19.356万元，确保实现80个建制村农村公益电影放映1440场，8个社区放映120场，23所学校放映92场，共播放1652场次，丰富百姓精神文化生活。</w:t>
      </w:r>
    </w:p>
    <w:p>
      <w:pPr>
        <w:spacing w:line="560" w:lineRule="exact"/>
        <w:ind w:firstLine="640" w:firstLineChars="200"/>
        <w:rPr>
          <w:rFonts w:ascii="仿宋" w:hAnsi="仿宋" w:eastAsia="仿宋"/>
          <w:sz w:val="32"/>
          <w:szCs w:val="32"/>
        </w:rPr>
      </w:pPr>
      <w:r>
        <w:rPr>
          <w:rFonts w:hint="eastAsia" w:ascii="仿宋" w:hAnsi="仿宋" w:eastAsia="仿宋"/>
          <w:kern w:val="0"/>
          <w:sz w:val="32"/>
          <w:szCs w:val="32"/>
        </w:rPr>
        <w:t>由于2021年播放场次调整，导致中央、省级公益电影放映资金申请缺口</w:t>
      </w:r>
      <w:r>
        <w:rPr>
          <w:rFonts w:ascii="仿宋" w:hAnsi="仿宋" w:eastAsia="仿宋"/>
          <w:kern w:val="0"/>
          <w:sz w:val="32"/>
          <w:szCs w:val="32"/>
        </w:rPr>
        <w:t>9</w:t>
      </w:r>
      <w:r>
        <w:rPr>
          <w:rFonts w:hint="eastAsia" w:ascii="仿宋" w:hAnsi="仿宋" w:eastAsia="仿宋"/>
          <w:kern w:val="0"/>
          <w:sz w:val="32"/>
          <w:szCs w:val="32"/>
        </w:rPr>
        <w:t>.</w:t>
      </w:r>
      <w:r>
        <w:rPr>
          <w:rFonts w:ascii="仿宋" w:hAnsi="仿宋" w:eastAsia="仿宋"/>
          <w:kern w:val="0"/>
          <w:sz w:val="32"/>
          <w:szCs w:val="32"/>
        </w:rPr>
        <w:t>948</w:t>
      </w:r>
      <w:r>
        <w:rPr>
          <w:rFonts w:hint="eastAsia" w:ascii="仿宋" w:hAnsi="仿宋" w:eastAsia="仿宋"/>
          <w:kern w:val="0"/>
          <w:sz w:val="32"/>
          <w:szCs w:val="32"/>
        </w:rPr>
        <w:t>万</w:t>
      </w:r>
      <w:r>
        <w:rPr>
          <w:rFonts w:ascii="仿宋" w:hAnsi="仿宋" w:eastAsia="仿宋"/>
          <w:kern w:val="0"/>
          <w:sz w:val="32"/>
          <w:szCs w:val="32"/>
        </w:rPr>
        <w:t>元</w:t>
      </w:r>
      <w:r>
        <w:rPr>
          <w:rFonts w:hint="eastAsia" w:ascii="仿宋" w:hAnsi="仿宋" w:eastAsia="仿宋"/>
          <w:kern w:val="0"/>
          <w:sz w:val="32"/>
          <w:szCs w:val="32"/>
        </w:rPr>
        <w:t>，</w:t>
      </w:r>
      <w:r>
        <w:rPr>
          <w:rFonts w:ascii="仿宋" w:hAnsi="仿宋" w:eastAsia="仿宋"/>
          <w:sz w:val="32"/>
          <w:szCs w:val="32"/>
        </w:rPr>
        <w:t>《中共四川省委宣传部办公室关于做好2021年度农村电影公益放映工作的通知》（川宣办〔2021〕18号）</w:t>
      </w:r>
      <w:r>
        <w:rPr>
          <w:rFonts w:hint="eastAsia" w:ascii="仿宋" w:hAnsi="仿宋" w:eastAsia="仿宋"/>
          <w:sz w:val="32"/>
          <w:szCs w:val="32"/>
        </w:rPr>
        <w:t>和《</w:t>
      </w:r>
      <w:r>
        <w:rPr>
          <w:rFonts w:hint="eastAsia" w:ascii="仿宋" w:hAnsi="仿宋" w:eastAsia="仿宋"/>
          <w:bCs/>
          <w:sz w:val="32"/>
          <w:szCs w:val="32"/>
        </w:rPr>
        <w:t>中共攀枝花市委宣传部 攀枝花市教育和体育局 攀枝花市财政局关于做好2021年度公益电影放映工作的通知</w:t>
      </w:r>
      <w:r>
        <w:rPr>
          <w:rFonts w:hint="eastAsia" w:ascii="仿宋" w:hAnsi="仿宋" w:eastAsia="仿宋"/>
          <w:sz w:val="32"/>
          <w:szCs w:val="32"/>
        </w:rPr>
        <w:t>》</w:t>
      </w:r>
      <w:r>
        <w:rPr>
          <w:rFonts w:ascii="仿宋" w:hAnsi="仿宋" w:eastAsia="仿宋"/>
          <w:sz w:val="32"/>
          <w:szCs w:val="32"/>
        </w:rPr>
        <w:t>（</w:t>
      </w:r>
      <w:r>
        <w:rPr>
          <w:rFonts w:hint="eastAsia" w:ascii="仿宋" w:hAnsi="仿宋" w:eastAsia="仿宋"/>
          <w:sz w:val="32"/>
          <w:szCs w:val="32"/>
        </w:rPr>
        <w:t>攀委宣发</w:t>
      </w:r>
      <w:r>
        <w:rPr>
          <w:rFonts w:ascii="仿宋" w:hAnsi="仿宋" w:eastAsia="仿宋"/>
          <w:sz w:val="32"/>
          <w:szCs w:val="32"/>
        </w:rPr>
        <w:t>〔2021〕</w:t>
      </w:r>
      <w:r>
        <w:rPr>
          <w:rFonts w:hint="eastAsia" w:ascii="仿宋" w:hAnsi="仿宋" w:eastAsia="仿宋"/>
          <w:sz w:val="32"/>
          <w:szCs w:val="32"/>
        </w:rPr>
        <w:t>20</w:t>
      </w:r>
      <w:r>
        <w:rPr>
          <w:rFonts w:ascii="仿宋" w:hAnsi="仿宋" w:eastAsia="仿宋"/>
          <w:sz w:val="32"/>
          <w:szCs w:val="32"/>
        </w:rPr>
        <w:t>号）</w:t>
      </w:r>
      <w:r>
        <w:rPr>
          <w:rFonts w:hint="eastAsia" w:ascii="仿宋" w:hAnsi="仿宋" w:eastAsia="仿宋"/>
          <w:sz w:val="32"/>
          <w:szCs w:val="32"/>
        </w:rPr>
        <w:t>文件</w:t>
      </w:r>
      <w:r>
        <w:rPr>
          <w:rFonts w:ascii="仿宋" w:hAnsi="仿宋" w:eastAsia="仿宋"/>
          <w:sz w:val="32"/>
          <w:szCs w:val="32"/>
        </w:rPr>
        <w:t>要求，</w:t>
      </w:r>
      <w:r>
        <w:rPr>
          <w:rFonts w:hint="eastAsia" w:ascii="仿宋" w:hAnsi="仿宋" w:eastAsia="仿宋"/>
          <w:sz w:val="32"/>
          <w:szCs w:val="32"/>
        </w:rPr>
        <w:t>实现80个建制村农村公益电影放映1440场，8个社区放映120场，23所学校放映92场，共播放1652场次，已向</w:t>
      </w:r>
      <w:r>
        <w:rPr>
          <w:rFonts w:hint="eastAsia" w:ascii="仿宋" w:hAnsi="仿宋" w:eastAsia="仿宋"/>
          <w:kern w:val="0"/>
          <w:sz w:val="32"/>
          <w:szCs w:val="32"/>
        </w:rPr>
        <w:t>程翔数字电影放映公司支付2021年中央、省级公益电影放映资金</w:t>
      </w:r>
      <w:r>
        <w:rPr>
          <w:rFonts w:ascii="仿宋" w:hAnsi="仿宋" w:eastAsia="仿宋"/>
          <w:kern w:val="0"/>
          <w:sz w:val="32"/>
          <w:szCs w:val="32"/>
        </w:rPr>
        <w:t>9</w:t>
      </w:r>
      <w:r>
        <w:rPr>
          <w:rFonts w:hint="eastAsia" w:ascii="仿宋" w:hAnsi="仿宋" w:eastAsia="仿宋"/>
          <w:kern w:val="0"/>
          <w:sz w:val="32"/>
          <w:szCs w:val="32"/>
        </w:rPr>
        <w:t>.</w:t>
      </w:r>
      <w:r>
        <w:rPr>
          <w:rFonts w:ascii="仿宋" w:hAnsi="仿宋" w:eastAsia="仿宋"/>
          <w:kern w:val="0"/>
          <w:sz w:val="32"/>
          <w:szCs w:val="32"/>
        </w:rPr>
        <w:t>948</w:t>
      </w:r>
      <w:r>
        <w:rPr>
          <w:rFonts w:hint="eastAsia" w:ascii="仿宋" w:hAnsi="仿宋" w:eastAsia="仿宋"/>
          <w:kern w:val="0"/>
          <w:sz w:val="32"/>
          <w:szCs w:val="32"/>
        </w:rPr>
        <w:t>万</w:t>
      </w:r>
      <w:r>
        <w:rPr>
          <w:rFonts w:ascii="仿宋" w:hAnsi="仿宋" w:eastAsia="仿宋"/>
          <w:kern w:val="0"/>
          <w:sz w:val="32"/>
          <w:szCs w:val="32"/>
        </w:rPr>
        <w:t>元</w:t>
      </w:r>
      <w:r>
        <w:rPr>
          <w:rFonts w:hint="eastAsia" w:ascii="仿宋" w:hAnsi="仿宋" w:eastAsia="仿宋"/>
          <w:sz w:val="32"/>
          <w:szCs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2022年农家书屋补充更新图书，着力推动习近平新时代中国特色社会主义思想深入人心，巩固拓展党史学习教育成果，以农家书屋为平台，组织开展主题鲜明、内容丰富、形式多样、融合互动的阅读活动，提升书屋服务效能、培育乡村文明</w:t>
      </w:r>
      <w:r>
        <w:rPr>
          <w:rFonts w:hint="eastAsia" w:ascii="仿宋" w:hAnsi="仿宋" w:eastAsia="仿宋"/>
          <w:sz w:val="32"/>
          <w:szCs w:val="32"/>
          <w:lang w:eastAsia="zh-CN"/>
        </w:rPr>
        <w:t>风尚</w:t>
      </w:r>
      <w:r>
        <w:rPr>
          <w:rFonts w:hint="eastAsia" w:ascii="仿宋" w:hAnsi="仿宋" w:eastAsia="仿宋"/>
          <w:sz w:val="32"/>
          <w:szCs w:val="32"/>
        </w:rPr>
        <w:t>、满足群众文化需求。</w:t>
      </w:r>
    </w:p>
    <w:p>
      <w:pPr>
        <w:spacing w:line="560" w:lineRule="exact"/>
        <w:ind w:firstLine="640" w:firstLineChars="200"/>
        <w:rPr>
          <w:rFonts w:eastAsia="黑体"/>
          <w:sz w:val="32"/>
          <w:szCs w:val="32"/>
        </w:rPr>
      </w:pPr>
      <w:r>
        <w:rPr>
          <w:rFonts w:hint="eastAsia" w:eastAsia="黑体"/>
          <w:sz w:val="32"/>
          <w:szCs w:val="32"/>
        </w:rPr>
        <w:t>五</w:t>
      </w:r>
      <w:r>
        <w:rPr>
          <w:rFonts w:eastAsia="黑体"/>
          <w:sz w:val="32"/>
          <w:szCs w:val="32"/>
        </w:rPr>
        <w:t>、</w:t>
      </w:r>
      <w:r>
        <w:rPr>
          <w:rFonts w:hint="eastAsia" w:eastAsia="黑体"/>
          <w:sz w:val="32"/>
          <w:szCs w:val="32"/>
        </w:rPr>
        <w:t>实施方案可行性</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公益电影放映、农家书屋补充更新图书两个子</w:t>
      </w:r>
      <w:r>
        <w:rPr>
          <w:rFonts w:ascii="仿宋" w:hAnsi="仿宋" w:eastAsia="仿宋"/>
          <w:sz w:val="32"/>
          <w:szCs w:val="32"/>
        </w:rPr>
        <w:t>项目</w:t>
      </w:r>
      <w:r>
        <w:rPr>
          <w:rFonts w:hint="eastAsia" w:ascii="仿宋" w:hAnsi="仿宋" w:eastAsia="仿宋"/>
          <w:sz w:val="32"/>
          <w:szCs w:val="32"/>
        </w:rPr>
        <w:t>均有详细的实施方案、组织机构健全，职责分工明确，有具体的实施时间，有明确的工作程序，有相应的质量检查，验收等手段。</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六、筹资合规性。</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公益电影放映、农家书屋补充更新图书均属于公共文化服务范畴，资金来源均为中央、省、县财政拨款，具有公共属性，属于公共财政支持范围</w:t>
      </w:r>
      <w:r>
        <w:rPr>
          <w:rFonts w:ascii="仿宋" w:hAnsi="仿宋" w:eastAsia="仿宋"/>
          <w:sz w:val="32"/>
          <w:szCs w:val="32"/>
        </w:rPr>
        <w:t>。</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七、可持续性分析</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公益电影放映传承优秀文化、民族文化，丰富了基层百姓精神文化生活。</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农家书屋补充更新图书丰富了基层乡村百姓阅读精神文化生活。</w:t>
      </w:r>
    </w:p>
    <w:p>
      <w:pPr>
        <w:spacing w:line="560" w:lineRule="exact"/>
        <w:rPr>
          <w:rFonts w:eastAsia="黑体"/>
          <w:sz w:val="32"/>
          <w:szCs w:val="32"/>
        </w:rPr>
      </w:pPr>
      <w:r>
        <w:rPr>
          <w:rFonts w:hint="eastAsia" w:eastAsia="黑体"/>
          <w:sz w:val="32"/>
          <w:szCs w:val="32"/>
        </w:rPr>
        <w:t xml:space="preserve">                            </w:t>
      </w:r>
    </w:p>
    <w:p>
      <w:pPr>
        <w:spacing w:line="560" w:lineRule="exact"/>
        <w:rPr>
          <w:rFonts w:ascii="方正仿宋_GBK" w:eastAsia="方正仿宋_GBK"/>
          <w:sz w:val="33"/>
          <w:szCs w:val="33"/>
        </w:rPr>
      </w:pPr>
      <w:r>
        <w:rPr>
          <w:rFonts w:hint="eastAsia" w:eastAsia="黑体"/>
          <w:sz w:val="32"/>
          <w:szCs w:val="32"/>
        </w:rPr>
        <w:t xml:space="preserve">                         </w:t>
      </w:r>
    </w:p>
    <w:p>
      <w:pPr>
        <w:pStyle w:val="2"/>
        <w:spacing w:before="93"/>
        <w:rPr>
          <w:rFonts w:hint="eastAsia" w:ascii="黑体" w:hAnsi="黑体" w:eastAsia="黑体"/>
        </w:rPr>
      </w:pPr>
    </w:p>
    <w:p>
      <w:pPr>
        <w:pStyle w:val="2"/>
        <w:spacing w:before="93"/>
        <w:rPr>
          <w:rFonts w:ascii="黑体" w:hAnsi="黑体" w:eastAsia="黑体"/>
        </w:rPr>
      </w:pPr>
      <w:r>
        <w:rPr>
          <w:rFonts w:hint="eastAsia" w:ascii="黑体" w:hAnsi="黑体" w:eastAsia="黑体"/>
        </w:rPr>
        <w:t>附件3</w:t>
      </w:r>
    </w:p>
    <w:p>
      <w:pPr>
        <w:jc w:val="center"/>
        <w:rPr>
          <w:rFonts w:ascii="方正小标宋_GBK" w:hAnsi="方正小标宋_GBK" w:eastAsia="方正小标宋_GBK" w:cs="方正小标宋_GBK"/>
          <w:b/>
          <w:bCs/>
          <w:sz w:val="38"/>
          <w:szCs w:val="38"/>
        </w:rPr>
      </w:pPr>
      <w:r>
        <w:rPr>
          <w:rFonts w:hint="eastAsia" w:ascii="方正小标宋_GBK" w:hAnsi="方正小标宋_GBK" w:eastAsia="方正小标宋_GBK" w:cs="方正小标宋_GBK"/>
          <w:b/>
          <w:bCs/>
          <w:sz w:val="38"/>
          <w:szCs w:val="38"/>
        </w:rPr>
        <w:t>关于2022年中央支持地方公共文化服务体系建设补助资金（新时代文明实践中心建设项目）</w:t>
      </w:r>
    </w:p>
    <w:p>
      <w:pPr>
        <w:jc w:val="center"/>
        <w:rPr>
          <w:b/>
          <w:bCs/>
          <w:sz w:val="38"/>
          <w:szCs w:val="38"/>
        </w:rPr>
      </w:pPr>
      <w:r>
        <w:rPr>
          <w:rFonts w:hint="eastAsia" w:ascii="方正小标宋_GBK" w:hAnsi="方正小标宋_GBK" w:eastAsia="方正小标宋_GBK" w:cs="方正小标宋_GBK"/>
          <w:b/>
          <w:bCs/>
          <w:sz w:val="38"/>
          <w:szCs w:val="38"/>
        </w:rPr>
        <w:t>自评报告</w:t>
      </w:r>
    </w:p>
    <w:p>
      <w:pPr>
        <w:spacing w:line="560" w:lineRule="exact"/>
        <w:ind w:firstLine="720" w:firstLineChars="200"/>
        <w:rPr>
          <w:rFonts w:hint="eastAsia" w:ascii="方正黑体_GBK" w:hAnsi="方正黑体_GBK" w:eastAsia="方正黑体_GBK" w:cs="方正黑体_GBK"/>
          <w:sz w:val="36"/>
          <w:szCs w:val="36"/>
        </w:rPr>
      </w:pPr>
    </w:p>
    <w:p>
      <w:pPr>
        <w:spacing w:line="560" w:lineRule="exact"/>
        <w:ind w:firstLine="720" w:firstLineChars="200"/>
        <w:rPr>
          <w:rFonts w:ascii="方正黑体_GBK" w:hAnsi="方正黑体_GBK" w:eastAsia="方正黑体_GBK" w:cs="方正黑体_GBK"/>
          <w:sz w:val="36"/>
          <w:szCs w:val="36"/>
        </w:rPr>
      </w:pPr>
      <w:r>
        <w:rPr>
          <w:rFonts w:hint="eastAsia" w:ascii="方正黑体_GBK" w:hAnsi="方正黑体_GBK" w:eastAsia="方正黑体_GBK" w:cs="方正黑体_GBK"/>
          <w:sz w:val="36"/>
          <w:szCs w:val="36"/>
        </w:rPr>
        <w:t>一、项目概况</w:t>
      </w:r>
    </w:p>
    <w:p>
      <w:pPr>
        <w:spacing w:line="56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（一）项目资金申报及批复情况。</w:t>
      </w:r>
    </w:p>
    <w:p>
      <w:pPr>
        <w:spacing w:line="560" w:lineRule="exact"/>
        <w:ind w:firstLine="640" w:firstLineChars="200"/>
        <w:rPr>
          <w:rFonts w:ascii="仿宋" w:hAnsi="仿宋" w:eastAsia="仿宋"/>
          <w:color w:val="000000"/>
          <w:sz w:val="32"/>
          <w:szCs w:val="32"/>
        </w:rPr>
      </w:pPr>
      <w:r>
        <w:rPr>
          <w:rFonts w:hint="eastAsia" w:ascii="仿宋" w:hAnsi="仿宋" w:eastAsia="仿宋"/>
          <w:sz w:val="32"/>
          <w:szCs w:val="32"/>
        </w:rPr>
        <w:t>2022年向中央、省、市及本级财政申报新时代文明实践中心项目建设的资金，</w:t>
      </w:r>
      <w:r>
        <w:rPr>
          <w:rFonts w:ascii="仿宋" w:hAnsi="仿宋" w:eastAsia="仿宋"/>
          <w:color w:val="000000"/>
          <w:sz w:val="32"/>
          <w:szCs w:val="32"/>
        </w:rPr>
        <w:t>2022年盐边县收到中央支持地方公共文化服务体系建设补助资金（新时代文明实践中心建设项目）10.5万元</w:t>
      </w:r>
      <w:r>
        <w:rPr>
          <w:rFonts w:hint="eastAsia" w:ascii="仿宋" w:hAnsi="仿宋" w:eastAsia="仿宋"/>
          <w:color w:val="000000"/>
          <w:sz w:val="32"/>
          <w:szCs w:val="32"/>
        </w:rPr>
        <w:t>，</w:t>
      </w:r>
      <w:r>
        <w:rPr>
          <w:rFonts w:ascii="仿宋" w:hAnsi="仿宋" w:eastAsia="仿宋"/>
          <w:color w:val="000000"/>
          <w:sz w:val="32"/>
          <w:szCs w:val="32"/>
        </w:rPr>
        <w:t>符合资金管理办法等相关规定。</w:t>
      </w:r>
    </w:p>
    <w:p>
      <w:pPr>
        <w:spacing w:line="56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（二）项目绩效目标。</w:t>
      </w:r>
    </w:p>
    <w:p>
      <w:pPr>
        <w:pStyle w:val="15"/>
        <w:widowControl/>
        <w:spacing w:beforeAutospacing="0" w:afterAutospacing="0"/>
        <w:ind w:firstLine="660"/>
        <w:rPr>
          <w:rFonts w:ascii="仿宋" w:hAnsi="仿宋" w:eastAsia="仿宋"/>
          <w:color w:val="000000"/>
          <w:sz w:val="32"/>
        </w:rPr>
      </w:pPr>
      <w:r>
        <w:rPr>
          <w:rFonts w:ascii="仿宋" w:hAnsi="仿宋" w:eastAsia="仿宋"/>
          <w:color w:val="000000"/>
          <w:sz w:val="32"/>
        </w:rPr>
        <w:t>主要用于新时代文明实践中心（所、站）建设、开展文明实践志愿服务活动、组织志愿服务骨干培训等工作，截至2022年底，各项绩效目标全部完成。</w:t>
      </w:r>
    </w:p>
    <w:p>
      <w:pPr>
        <w:spacing w:line="560" w:lineRule="exact"/>
        <w:ind w:firstLine="660" w:firstLineChars="200"/>
        <w:rPr>
          <w:rFonts w:ascii="方正楷体_GBK" w:hAnsi="方正楷体_GBK" w:eastAsia="方正楷体_GBK" w:cs="方正楷体_GBK"/>
          <w:sz w:val="33"/>
          <w:szCs w:val="33"/>
        </w:rPr>
      </w:pPr>
      <w:r>
        <w:rPr>
          <w:rFonts w:hint="eastAsia" w:ascii="方正楷体_GBK" w:hAnsi="方正楷体_GBK" w:eastAsia="方正楷体_GBK" w:cs="方正楷体_GBK"/>
          <w:sz w:val="33"/>
          <w:szCs w:val="33"/>
        </w:rPr>
        <w:t>（三）项目资金申报相符性。</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关于2022年中央支持地方公共文化服务体系建设补助资金（新时代文明实践中心建设项目）的</w:t>
      </w:r>
      <w:r>
        <w:rPr>
          <w:rFonts w:ascii="仿宋" w:hAnsi="仿宋" w:eastAsia="仿宋"/>
          <w:color w:val="000000"/>
          <w:sz w:val="32"/>
          <w:szCs w:val="32"/>
        </w:rPr>
        <w:t>项目申报内容与具体实施内容相符、申报目标合理可行。</w:t>
      </w:r>
    </w:p>
    <w:p>
      <w:pPr>
        <w:spacing w:line="560" w:lineRule="exact"/>
        <w:ind w:firstLine="660" w:firstLineChars="200"/>
        <w:rPr>
          <w:rFonts w:ascii="方正黑体_GBK" w:hAnsi="方正黑体_GBK" w:eastAsia="方正黑体_GBK" w:cs="方正黑体_GBK"/>
          <w:sz w:val="33"/>
          <w:szCs w:val="33"/>
        </w:rPr>
      </w:pPr>
      <w:r>
        <w:rPr>
          <w:rFonts w:hint="eastAsia" w:ascii="方正黑体_GBK" w:hAnsi="方正黑体_GBK" w:eastAsia="方正黑体_GBK" w:cs="方正黑体_GBK"/>
          <w:sz w:val="33"/>
          <w:szCs w:val="33"/>
        </w:rPr>
        <w:t>二、项目实施及管理情况</w:t>
      </w:r>
    </w:p>
    <w:p>
      <w:pPr>
        <w:spacing w:line="56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（一）资金计划、到位及使用情况。</w:t>
      </w:r>
    </w:p>
    <w:p>
      <w:pPr>
        <w:pStyle w:val="15"/>
        <w:widowControl/>
        <w:spacing w:beforeAutospacing="0" w:afterAutospacing="0"/>
        <w:ind w:firstLine="660"/>
        <w:rPr>
          <w:rFonts w:ascii="仿宋" w:hAnsi="仿宋" w:eastAsia="仿宋"/>
          <w:color w:val="000000"/>
          <w:sz w:val="32"/>
        </w:rPr>
      </w:pPr>
      <w:r>
        <w:rPr>
          <w:rFonts w:ascii="仿宋" w:hAnsi="仿宋" w:eastAsia="仿宋"/>
          <w:color w:val="000000"/>
          <w:sz w:val="32"/>
        </w:rPr>
        <w:t>盐边县收到中央支持地方公共文化服务体系建设补助资金（新时代文明实践中心建设项目）10.5万元，其中用于新时代文明实践中心项目建设</w:t>
      </w:r>
      <w:r>
        <w:rPr>
          <w:rFonts w:hint="eastAsia" w:ascii="仿宋" w:hAnsi="仿宋" w:eastAsia="仿宋"/>
          <w:color w:val="000000"/>
          <w:sz w:val="32"/>
        </w:rPr>
        <w:t>4.74</w:t>
      </w:r>
      <w:r>
        <w:rPr>
          <w:rFonts w:ascii="仿宋" w:hAnsi="仿宋" w:eastAsia="仿宋"/>
          <w:color w:val="000000"/>
          <w:sz w:val="32"/>
        </w:rPr>
        <w:t>万元，开展文明实践活动经费4.5万元，组织志愿者骨干培训经费1万元，共计10.</w:t>
      </w:r>
      <w:r>
        <w:rPr>
          <w:rFonts w:hint="eastAsia" w:ascii="仿宋" w:hAnsi="仿宋" w:eastAsia="仿宋"/>
          <w:color w:val="000000"/>
          <w:sz w:val="32"/>
        </w:rPr>
        <w:t>24</w:t>
      </w:r>
      <w:r>
        <w:rPr>
          <w:rFonts w:ascii="仿宋" w:hAnsi="仿宋" w:eastAsia="仿宋"/>
          <w:color w:val="000000"/>
          <w:sz w:val="32"/>
        </w:rPr>
        <w:t>万元。</w:t>
      </w:r>
    </w:p>
    <w:p>
      <w:pPr>
        <w:spacing w:line="56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（二）项目财务管理情况。</w:t>
      </w:r>
    </w:p>
    <w:p>
      <w:pPr>
        <w:pStyle w:val="16"/>
        <w:ind w:left="420" w:firstLine="640"/>
        <w:rPr>
          <w:rFonts w:ascii="仿宋" w:hAnsi="仿宋" w:eastAsia="仿宋"/>
          <w:kern w:val="0"/>
          <w:sz w:val="32"/>
        </w:rPr>
      </w:pPr>
      <w:r>
        <w:rPr>
          <w:rFonts w:hint="eastAsia" w:ascii="仿宋" w:hAnsi="仿宋" w:eastAsia="仿宋"/>
          <w:kern w:val="0"/>
          <w:sz w:val="32"/>
        </w:rPr>
        <w:t>新时代文明实践中心建设项目，</w:t>
      </w:r>
      <w:r>
        <w:rPr>
          <w:rFonts w:ascii="仿宋" w:hAnsi="仿宋" w:eastAsia="仿宋"/>
          <w:kern w:val="0"/>
          <w:sz w:val="32"/>
        </w:rPr>
        <w:t>实施单位财务管理制度</w:t>
      </w:r>
    </w:p>
    <w:p>
      <w:pPr>
        <w:pStyle w:val="16"/>
        <w:ind w:left="0" w:leftChars="0" w:firstLine="0" w:firstLineChars="0"/>
        <w:rPr>
          <w:rFonts w:ascii="仿宋" w:hAnsi="仿宋" w:eastAsia="仿宋"/>
          <w:sz w:val="32"/>
        </w:rPr>
      </w:pPr>
      <w:r>
        <w:rPr>
          <w:rFonts w:ascii="仿宋" w:hAnsi="仿宋" w:eastAsia="仿宋"/>
          <w:kern w:val="0"/>
          <w:sz w:val="32"/>
        </w:rPr>
        <w:t>健全，严格执行财务管理制度，账务处理及时，会计核算规范。</w:t>
      </w:r>
    </w:p>
    <w:p>
      <w:pPr>
        <w:spacing w:line="560" w:lineRule="exact"/>
        <w:ind w:firstLine="663" w:firstLineChars="200"/>
        <w:rPr>
          <w:rFonts w:ascii="方正黑体_GBK" w:hAnsi="方正黑体_GBK" w:eastAsia="方正黑体_GBK" w:cs="方正黑体_GBK"/>
          <w:b/>
          <w:sz w:val="33"/>
          <w:szCs w:val="33"/>
        </w:rPr>
      </w:pPr>
      <w:r>
        <w:rPr>
          <w:rFonts w:hint="eastAsia" w:ascii="方正黑体_GBK" w:hAnsi="方正黑体_GBK" w:eastAsia="方正黑体_GBK" w:cs="方正黑体_GBK"/>
          <w:b/>
          <w:sz w:val="33"/>
          <w:szCs w:val="33"/>
        </w:rPr>
        <w:t>三、项目绩效情况</w:t>
      </w:r>
      <w:r>
        <w:rPr>
          <w:rFonts w:hint="eastAsia" w:ascii="方正黑体_GBK" w:hAnsi="方正黑体_GBK" w:eastAsia="方正黑体_GBK" w:cs="方正黑体_GBK"/>
          <w:b/>
          <w:sz w:val="33"/>
          <w:szCs w:val="33"/>
        </w:rPr>
        <w:tab/>
      </w:r>
    </w:p>
    <w:p>
      <w:pPr>
        <w:spacing w:line="56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（一）项目完成情况。</w:t>
      </w:r>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盐边县2022年标准化建设1个新时代文明实践中心，全县组建了1</w:t>
      </w:r>
      <w:r>
        <w:rPr>
          <w:rFonts w:hint="eastAsia" w:ascii="仿宋" w:hAnsi="仿宋" w:eastAsia="仿宋"/>
          <w:color w:val="000000"/>
          <w:sz w:val="32"/>
          <w:szCs w:val="32"/>
        </w:rPr>
        <w:t>支志愿服务总队、</w:t>
      </w:r>
      <w:r>
        <w:rPr>
          <w:rFonts w:ascii="仿宋" w:hAnsi="仿宋" w:eastAsia="仿宋"/>
          <w:color w:val="000000"/>
          <w:sz w:val="32"/>
          <w:szCs w:val="32"/>
        </w:rPr>
        <w:t>24支文明实践志愿服务队伍，全年开展116场集中性活动</w:t>
      </w:r>
      <w:r>
        <w:rPr>
          <w:rFonts w:hint="eastAsia" w:ascii="仿宋" w:hAnsi="仿宋" w:eastAsia="仿宋"/>
          <w:color w:val="000000"/>
          <w:sz w:val="32"/>
          <w:szCs w:val="32"/>
        </w:rPr>
        <w:t>、9702场（次）文明实践活动，</w:t>
      </w:r>
      <w:r>
        <w:rPr>
          <w:rFonts w:ascii="仿宋" w:hAnsi="仿宋" w:eastAsia="仿宋"/>
          <w:color w:val="000000"/>
          <w:sz w:val="32"/>
          <w:szCs w:val="32"/>
        </w:rPr>
        <w:t>在“盐边融媒”APP、“盐边融媒”微信公众号等网络媒体平台上开设专栏，对优秀志愿服务活动、志愿服务典型进行宣传报道。已形成有影响力的志愿服务品牌十个，现有平台整合效果基本达成预期指标，2022年10月结合盐边县实际工作情况形成了富有地方特色的工作经验总结。</w:t>
      </w:r>
    </w:p>
    <w:p>
      <w:pPr>
        <w:spacing w:line="56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（二）项目效益情况。</w:t>
      </w:r>
    </w:p>
    <w:p>
      <w:pPr>
        <w:pStyle w:val="15"/>
        <w:widowControl/>
        <w:spacing w:beforeAutospacing="0" w:afterAutospacing="0"/>
        <w:ind w:firstLine="660"/>
        <w:rPr>
          <w:rFonts w:ascii="仿宋" w:hAnsi="仿宋" w:eastAsia="仿宋"/>
          <w:color w:val="000000"/>
          <w:sz w:val="32"/>
        </w:rPr>
      </w:pPr>
      <w:r>
        <w:rPr>
          <w:rFonts w:ascii="仿宋" w:hAnsi="仿宋" w:eastAsia="仿宋"/>
          <w:color w:val="000000"/>
          <w:sz w:val="32"/>
        </w:rPr>
        <w:t>新时代文明实践中心</w:t>
      </w:r>
      <w:r>
        <w:rPr>
          <w:rFonts w:hint="eastAsia" w:ascii="仿宋" w:hAnsi="仿宋" w:eastAsia="仿宋"/>
          <w:color w:val="000000"/>
          <w:sz w:val="32"/>
          <w:lang w:eastAsia="zh-CN"/>
        </w:rPr>
        <w:t>（</w:t>
      </w:r>
      <w:r>
        <w:rPr>
          <w:rFonts w:ascii="仿宋" w:hAnsi="仿宋" w:eastAsia="仿宋"/>
          <w:color w:val="000000"/>
          <w:sz w:val="32"/>
        </w:rPr>
        <w:t>所、站）设施配备经费为10.5万元，占年度补助资金的18%。新时代文明实践中心（所、站）常态化组织辖区骨干志愿者开展集中性和针对性志愿服务培训，覆盖率达95%。依托新时代文明实践中心（所、站）广泛发动群众，大力宣传志愿服务精神，积极招募志愿者开展各类志愿服务活动，2022年各新时代文明实践站开展文明实践活动的参与人数占各社区（村）常住人口的60%。</w:t>
      </w:r>
    </w:p>
    <w:p>
      <w:pPr>
        <w:pStyle w:val="15"/>
        <w:widowControl/>
        <w:spacing w:beforeAutospacing="0" w:afterAutospacing="0"/>
        <w:ind w:firstLine="660"/>
        <w:rPr>
          <w:rFonts w:ascii="仿宋" w:hAnsi="仿宋" w:eastAsia="仿宋"/>
          <w:color w:val="000000"/>
          <w:sz w:val="32"/>
        </w:rPr>
      </w:pPr>
      <w:r>
        <w:rPr>
          <w:rFonts w:ascii="仿宋" w:hAnsi="仿宋" w:eastAsia="仿宋"/>
          <w:color w:val="000000"/>
          <w:sz w:val="32"/>
        </w:rPr>
        <w:t>盐边县各新时代文明实践中心（所、站）通过聚焦群众需求，切实打通宣传、教育、关心、服务群众的“最后一公里”，推动新时代文明实践走进千家万户，切实为群众办实事、办好事，使群众对文明实践工作的满意率达到了95%。</w:t>
      </w:r>
    </w:p>
    <w:p>
      <w:pPr>
        <w:spacing w:line="560" w:lineRule="exact"/>
        <w:ind w:firstLine="660" w:firstLineChars="200"/>
        <w:rPr>
          <w:rFonts w:ascii="方正黑体_GBK" w:hAnsi="方正黑体_GBK" w:eastAsia="方正黑体_GBK" w:cs="方正黑体_GBK"/>
          <w:sz w:val="33"/>
          <w:szCs w:val="33"/>
        </w:rPr>
      </w:pPr>
      <w:r>
        <w:rPr>
          <w:rFonts w:hint="eastAsia" w:ascii="方正黑体_GBK" w:hAnsi="方正黑体_GBK" w:eastAsia="方正黑体_GBK" w:cs="方正黑体_GBK"/>
          <w:sz w:val="33"/>
          <w:szCs w:val="33"/>
        </w:rPr>
        <w:t>四、问题及建议</w:t>
      </w:r>
    </w:p>
    <w:p>
      <w:pPr>
        <w:spacing w:line="560" w:lineRule="exact"/>
        <w:ind w:firstLine="600" w:firstLineChars="200"/>
        <w:rPr>
          <w:rFonts w:ascii="方正楷体_GBK" w:hAnsi="方正楷体_GBK" w:eastAsia="方正楷体_GBK" w:cs="方正楷体_GBK"/>
          <w:sz w:val="30"/>
          <w:szCs w:val="30"/>
        </w:rPr>
      </w:pPr>
      <w:r>
        <w:rPr>
          <w:rFonts w:hint="eastAsia" w:ascii="方正楷体_GBK" w:hAnsi="方正楷体_GBK" w:eastAsia="方正楷体_GBK" w:cs="方正楷体_GBK"/>
          <w:sz w:val="30"/>
          <w:szCs w:val="30"/>
        </w:rPr>
        <w:t>（一）存在的问题。</w:t>
      </w:r>
    </w:p>
    <w:p>
      <w:pPr>
        <w:pStyle w:val="16"/>
        <w:ind w:left="420" w:firstLine="640"/>
        <w:rPr>
          <w:rFonts w:ascii="仿宋" w:hAnsi="仿宋" w:eastAsia="仿宋"/>
          <w:sz w:val="32"/>
        </w:rPr>
      </w:pPr>
      <w:r>
        <w:rPr>
          <w:rFonts w:hint="eastAsia" w:ascii="仿宋" w:hAnsi="仿宋" w:eastAsia="仿宋"/>
          <w:color w:val="000000"/>
          <w:sz w:val="32"/>
        </w:rPr>
        <w:t>无</w:t>
      </w:r>
    </w:p>
    <w:p>
      <w:pPr>
        <w:spacing w:line="56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（二）相关建议。</w:t>
      </w:r>
    </w:p>
    <w:p>
      <w:pPr>
        <w:pStyle w:val="15"/>
        <w:widowControl/>
        <w:spacing w:beforeAutospacing="0" w:afterAutospacing="0"/>
        <w:ind w:firstLine="660"/>
        <w:rPr>
          <w:rFonts w:ascii="黑体" w:hAnsi="黑体" w:eastAsia="黑体"/>
          <w:sz w:val="44"/>
          <w:szCs w:val="44"/>
        </w:rPr>
      </w:pPr>
      <w:r>
        <w:rPr>
          <w:rFonts w:hint="eastAsia" w:ascii="仿宋" w:hAnsi="仿宋" w:eastAsia="仿宋"/>
          <w:color w:val="000000"/>
          <w:sz w:val="32"/>
        </w:rPr>
        <w:t>充分发挥常备志愿服务队、专业志愿服务队、群众身边志愿服务队的力量，结合当下民生热点、关切重点，广泛开展为民服务、文明创建、“红色基因传承”“我们的节日”等活动，推进活动多样化。定期开展文明实践培训，促进各志愿服务队互相借智借力，做到左右联动、上下支持，实现资源共享，合力推进各项实践活动的有效开展，切实发挥好1+1&gt;2的效果，实现“多方共赢”。</w:t>
      </w:r>
    </w:p>
    <w:p>
      <w:pPr>
        <w:spacing w:line="600" w:lineRule="exact"/>
        <w:jc w:val="center"/>
        <w:outlineLvl w:val="0"/>
        <w:rPr>
          <w:rFonts w:ascii="黑体" w:hAnsi="黑体" w:eastAsia="黑体"/>
          <w:sz w:val="44"/>
          <w:szCs w:val="44"/>
        </w:rPr>
      </w:pPr>
    </w:p>
    <w:p>
      <w:pPr>
        <w:pStyle w:val="37"/>
        <w:spacing w:line="580" w:lineRule="exact"/>
        <w:jc w:val="left"/>
        <w:rPr>
          <w:rFonts w:ascii="仿宋" w:hAnsi="仿宋" w:eastAsia="仿宋"/>
          <w:b/>
          <w:sz w:val="32"/>
          <w:szCs w:val="32"/>
        </w:rPr>
      </w:pPr>
      <w:r>
        <w:rPr>
          <w:rFonts w:hint="eastAsia" w:ascii="仿宋" w:hAnsi="仿宋" w:eastAsia="仿宋"/>
          <w:b/>
          <w:sz w:val="32"/>
          <w:szCs w:val="32"/>
        </w:rPr>
        <w:t>附件4</w:t>
      </w:r>
    </w:p>
    <w:p>
      <w:pPr>
        <w:pStyle w:val="37"/>
        <w:spacing w:line="580" w:lineRule="exact"/>
        <w:jc w:val="center"/>
        <w:rPr>
          <w:rFonts w:hint="eastAsia" w:ascii="方正小标宋_GBK" w:hAnsi="方正小标宋_GBK" w:eastAsia="方正小标宋_GBK" w:cs="方正小标宋_GBK"/>
          <w:b w:val="0"/>
          <w:bCs/>
          <w:color w:val="auto"/>
          <w:kern w:val="2"/>
          <w:sz w:val="38"/>
          <w:szCs w:val="38"/>
        </w:rPr>
      </w:pPr>
      <w:r>
        <w:rPr>
          <w:rFonts w:hint="eastAsia" w:ascii="方正小标宋_GBK" w:hAnsi="方正小标宋_GBK" w:eastAsia="方正小标宋_GBK" w:cs="方正小标宋_GBK"/>
          <w:b w:val="0"/>
          <w:bCs/>
          <w:sz w:val="38"/>
          <w:szCs w:val="38"/>
        </w:rPr>
        <w:t>2021年中央、省级补助地方国家电影事业发展专项资金使用绩效自评报告</w:t>
      </w:r>
    </w:p>
    <w:p>
      <w:pPr>
        <w:adjustRightInd w:val="0"/>
        <w:snapToGrid w:val="0"/>
        <w:spacing w:line="560" w:lineRule="exact"/>
        <w:ind w:firstLine="660" w:firstLineChars="200"/>
        <w:rPr>
          <w:rFonts w:eastAsia="方正黑体_GBK"/>
          <w:sz w:val="33"/>
          <w:szCs w:val="33"/>
        </w:rPr>
      </w:pPr>
    </w:p>
    <w:p>
      <w:pPr>
        <w:adjustRightInd w:val="0"/>
        <w:snapToGrid w:val="0"/>
        <w:spacing w:line="560" w:lineRule="exact"/>
        <w:ind w:firstLine="660" w:firstLineChars="200"/>
        <w:rPr>
          <w:rFonts w:eastAsia="方正黑体_GBK"/>
          <w:sz w:val="33"/>
          <w:szCs w:val="33"/>
          <w:lang w:val="zh-CN"/>
        </w:rPr>
      </w:pPr>
      <w:r>
        <w:rPr>
          <w:rFonts w:eastAsia="方正黑体_GBK"/>
          <w:sz w:val="33"/>
          <w:szCs w:val="33"/>
        </w:rPr>
        <w:t>一、项目概况</w:t>
      </w:r>
    </w:p>
    <w:p>
      <w:pPr>
        <w:adjustRightInd w:val="0"/>
        <w:snapToGrid w:val="0"/>
        <w:spacing w:line="560" w:lineRule="exact"/>
        <w:rPr>
          <w:rFonts w:ascii="仿宋" w:hAnsi="仿宋" w:eastAsia="仿宋"/>
          <w:b/>
          <w:sz w:val="32"/>
          <w:szCs w:val="32"/>
        </w:rPr>
      </w:pPr>
      <w:r>
        <w:rPr>
          <w:rFonts w:eastAsia="方正仿宋_GBK"/>
          <w:sz w:val="33"/>
          <w:szCs w:val="33"/>
        </w:rPr>
        <w:t xml:space="preserve">   </w:t>
      </w:r>
      <w:r>
        <w:rPr>
          <w:rFonts w:ascii="仿宋" w:hAnsi="仿宋" w:eastAsia="仿宋"/>
          <w:sz w:val="32"/>
          <w:szCs w:val="32"/>
        </w:rPr>
        <w:t xml:space="preserve"> 盐边县委宣传部纳入20</w:t>
      </w:r>
      <w:r>
        <w:rPr>
          <w:rFonts w:hint="eastAsia" w:ascii="仿宋" w:hAnsi="仿宋" w:eastAsia="仿宋"/>
          <w:sz w:val="32"/>
          <w:szCs w:val="32"/>
        </w:rPr>
        <w:t>21</w:t>
      </w:r>
      <w:r>
        <w:rPr>
          <w:rFonts w:ascii="仿宋" w:hAnsi="仿宋" w:eastAsia="仿宋"/>
          <w:sz w:val="32"/>
          <w:szCs w:val="32"/>
        </w:rPr>
        <w:t>年</w:t>
      </w:r>
      <w:r>
        <w:rPr>
          <w:rFonts w:hint="eastAsia" w:ascii="仿宋" w:hAnsi="仿宋" w:eastAsia="仿宋"/>
          <w:sz w:val="32"/>
          <w:szCs w:val="32"/>
        </w:rPr>
        <w:t>中央、</w:t>
      </w:r>
      <w:r>
        <w:rPr>
          <w:rFonts w:ascii="仿宋" w:hAnsi="仿宋" w:eastAsia="仿宋"/>
          <w:sz w:val="32"/>
          <w:szCs w:val="32"/>
        </w:rPr>
        <w:t>省级国家电影事业发展专项资金20</w:t>
      </w:r>
      <w:r>
        <w:rPr>
          <w:rFonts w:hint="eastAsia" w:ascii="仿宋" w:hAnsi="仿宋" w:eastAsia="仿宋"/>
          <w:sz w:val="32"/>
          <w:szCs w:val="32"/>
        </w:rPr>
        <w:t>21</w:t>
      </w:r>
      <w:r>
        <w:rPr>
          <w:rFonts w:ascii="仿宋" w:hAnsi="仿宋" w:eastAsia="仿宋"/>
          <w:sz w:val="32"/>
          <w:szCs w:val="32"/>
        </w:rPr>
        <w:t>年度绩效自评项目数量1个，名称：20</w:t>
      </w:r>
      <w:r>
        <w:rPr>
          <w:rFonts w:hint="eastAsia" w:ascii="仿宋" w:hAnsi="仿宋" w:eastAsia="仿宋"/>
          <w:sz w:val="32"/>
          <w:szCs w:val="32"/>
        </w:rPr>
        <w:t>21</w:t>
      </w:r>
      <w:r>
        <w:rPr>
          <w:rFonts w:ascii="仿宋" w:hAnsi="仿宋" w:eastAsia="仿宋"/>
          <w:sz w:val="32"/>
          <w:szCs w:val="32"/>
        </w:rPr>
        <w:t>年</w:t>
      </w:r>
      <w:r>
        <w:rPr>
          <w:rFonts w:hint="eastAsia" w:ascii="仿宋" w:hAnsi="仿宋" w:eastAsia="仿宋"/>
          <w:sz w:val="32"/>
          <w:szCs w:val="32"/>
        </w:rPr>
        <w:t>中央、</w:t>
      </w:r>
      <w:r>
        <w:rPr>
          <w:rFonts w:ascii="仿宋" w:hAnsi="仿宋" w:eastAsia="仿宋"/>
          <w:sz w:val="32"/>
          <w:szCs w:val="32"/>
        </w:rPr>
        <w:t>省级国家电影事业发展专项资金。</w:t>
      </w:r>
    </w:p>
    <w:p>
      <w:pPr>
        <w:adjustRightInd w:val="0"/>
        <w:snapToGrid w:val="0"/>
        <w:spacing w:line="560" w:lineRule="exact"/>
        <w:ind w:firstLine="660" w:firstLineChars="200"/>
        <w:rPr>
          <w:rFonts w:eastAsia="方正黑体_GBK"/>
          <w:sz w:val="33"/>
          <w:szCs w:val="33"/>
        </w:rPr>
      </w:pPr>
      <w:r>
        <w:rPr>
          <w:rFonts w:eastAsia="方正黑体_GBK"/>
          <w:sz w:val="33"/>
          <w:szCs w:val="33"/>
        </w:rPr>
        <w:t>二、项目资金申报及使用情况</w:t>
      </w:r>
    </w:p>
    <w:p>
      <w:pPr>
        <w:adjustRightInd w:val="0"/>
        <w:snapToGrid w:val="0"/>
        <w:spacing w:line="560" w:lineRule="exact"/>
        <w:ind w:firstLine="640" w:firstLineChars="200"/>
        <w:rPr>
          <w:rFonts w:ascii="方正楷体_GBK" w:eastAsia="方正楷体_GBK"/>
          <w:sz w:val="32"/>
          <w:szCs w:val="32"/>
          <w:lang w:val="zh-CN"/>
        </w:rPr>
      </w:pPr>
      <w:r>
        <w:rPr>
          <w:rFonts w:hint="eastAsia" w:ascii="方正楷体_GBK" w:eastAsia="方正楷体_GBK"/>
          <w:sz w:val="32"/>
          <w:szCs w:val="32"/>
          <w:lang w:val="zh-CN"/>
        </w:rPr>
        <w:t>（一）项目资金申报情况</w:t>
      </w:r>
    </w:p>
    <w:p>
      <w:pPr>
        <w:adjustRightInd w:val="0"/>
        <w:snapToGrid w:val="0"/>
        <w:spacing w:line="560" w:lineRule="exact"/>
        <w:ind w:firstLine="640" w:firstLineChars="200"/>
        <w:rPr>
          <w:rFonts w:ascii="仿宋" w:hAnsi="仿宋" w:eastAsia="仿宋"/>
          <w:sz w:val="32"/>
          <w:szCs w:val="32"/>
          <w:lang w:val="zh-CN"/>
        </w:rPr>
      </w:pPr>
      <w:r>
        <w:rPr>
          <w:rFonts w:ascii="仿宋" w:hAnsi="仿宋" w:eastAsia="仿宋"/>
          <w:sz w:val="32"/>
          <w:szCs w:val="32"/>
          <w:lang w:val="zh-CN"/>
        </w:rPr>
        <w:t>根据四川省财政厅</w:t>
      </w:r>
      <w:r>
        <w:rPr>
          <w:rFonts w:hint="eastAsia" w:ascii="仿宋" w:hAnsi="仿宋" w:eastAsia="仿宋"/>
          <w:sz w:val="32"/>
          <w:szCs w:val="32"/>
          <w:lang w:val="zh-CN"/>
        </w:rPr>
        <w:t>，</w:t>
      </w:r>
      <w:r>
        <w:rPr>
          <w:rFonts w:ascii="仿宋" w:hAnsi="仿宋" w:eastAsia="仿宋"/>
          <w:sz w:val="32"/>
          <w:szCs w:val="32"/>
          <w:lang w:val="zh-CN"/>
        </w:rPr>
        <w:t>中共四川省委宣传部《关于下达20</w:t>
      </w:r>
      <w:r>
        <w:rPr>
          <w:rFonts w:hint="eastAsia" w:ascii="仿宋" w:hAnsi="仿宋" w:eastAsia="仿宋"/>
          <w:sz w:val="32"/>
          <w:szCs w:val="32"/>
          <w:lang w:val="zh-CN"/>
        </w:rPr>
        <w:t>21中央补助地方国家电影事业发展专项资金预算的通知</w:t>
      </w:r>
      <w:r>
        <w:rPr>
          <w:rFonts w:ascii="仿宋" w:hAnsi="仿宋" w:eastAsia="仿宋"/>
          <w:sz w:val="32"/>
          <w:szCs w:val="32"/>
          <w:lang w:val="zh-CN"/>
        </w:rPr>
        <w:t xml:space="preserve">》（川财教 </w:t>
      </w:r>
      <w:r>
        <w:rPr>
          <w:rFonts w:hint="eastAsia" w:ascii="仿宋" w:hAnsi="仿宋" w:eastAsia="仿宋"/>
          <w:sz w:val="32"/>
          <w:szCs w:val="32"/>
          <w:lang w:val="zh-CN"/>
        </w:rPr>
        <w:t>〔2021〕165号</w:t>
      </w:r>
      <w:r>
        <w:rPr>
          <w:rFonts w:ascii="仿宋" w:hAnsi="仿宋" w:eastAsia="仿宋"/>
          <w:sz w:val="32"/>
          <w:szCs w:val="32"/>
          <w:lang w:val="zh-CN"/>
        </w:rPr>
        <w:t>）文件要求，</w:t>
      </w:r>
      <w:r>
        <w:rPr>
          <w:rFonts w:hint="eastAsia" w:ascii="仿宋" w:hAnsi="仿宋" w:eastAsia="仿宋"/>
          <w:sz w:val="32"/>
          <w:szCs w:val="32"/>
          <w:lang w:val="zh-CN"/>
        </w:rPr>
        <w:t>资金预算0.05万元，和</w:t>
      </w:r>
      <w:r>
        <w:rPr>
          <w:rFonts w:ascii="仿宋" w:hAnsi="仿宋" w:eastAsia="仿宋"/>
          <w:sz w:val="32"/>
          <w:szCs w:val="32"/>
          <w:lang w:val="zh-CN"/>
        </w:rPr>
        <w:t>四川省财政厅</w:t>
      </w:r>
      <w:r>
        <w:rPr>
          <w:rFonts w:hint="eastAsia" w:ascii="仿宋" w:hAnsi="仿宋" w:eastAsia="仿宋"/>
          <w:sz w:val="32"/>
          <w:szCs w:val="32"/>
          <w:lang w:val="zh-CN"/>
        </w:rPr>
        <w:t>，</w:t>
      </w:r>
      <w:r>
        <w:rPr>
          <w:rFonts w:ascii="仿宋" w:hAnsi="仿宋" w:eastAsia="仿宋"/>
          <w:sz w:val="32"/>
          <w:szCs w:val="32"/>
          <w:lang w:val="zh-CN"/>
        </w:rPr>
        <w:t>中共四川省委宣传部《关于下达20</w:t>
      </w:r>
      <w:r>
        <w:rPr>
          <w:rFonts w:hint="eastAsia" w:ascii="仿宋" w:hAnsi="仿宋" w:eastAsia="仿宋"/>
          <w:sz w:val="32"/>
          <w:szCs w:val="32"/>
          <w:lang w:val="zh-CN"/>
        </w:rPr>
        <w:t>21年省级国家电影事业发展专项资金预算的通知</w:t>
      </w:r>
      <w:r>
        <w:rPr>
          <w:rFonts w:ascii="仿宋" w:hAnsi="仿宋" w:eastAsia="仿宋"/>
          <w:sz w:val="32"/>
          <w:szCs w:val="32"/>
          <w:lang w:val="zh-CN"/>
        </w:rPr>
        <w:t xml:space="preserve">》（川财教 </w:t>
      </w:r>
      <w:r>
        <w:rPr>
          <w:rFonts w:hint="eastAsia" w:ascii="仿宋" w:hAnsi="仿宋" w:eastAsia="仿宋"/>
          <w:sz w:val="32"/>
          <w:szCs w:val="32"/>
          <w:lang w:val="zh-CN"/>
        </w:rPr>
        <w:t>〔2021〕167号</w:t>
      </w:r>
      <w:r>
        <w:rPr>
          <w:rFonts w:ascii="仿宋" w:hAnsi="仿宋" w:eastAsia="仿宋"/>
          <w:sz w:val="32"/>
          <w:szCs w:val="32"/>
          <w:lang w:val="zh-CN"/>
        </w:rPr>
        <w:t>）文件要求</w:t>
      </w:r>
      <w:r>
        <w:rPr>
          <w:rFonts w:hint="eastAsia" w:ascii="仿宋" w:hAnsi="仿宋" w:eastAsia="仿宋"/>
          <w:sz w:val="32"/>
          <w:szCs w:val="32"/>
          <w:lang w:val="zh-CN"/>
        </w:rPr>
        <w:t>，资金预算0.23万元。</w:t>
      </w:r>
    </w:p>
    <w:p>
      <w:pPr>
        <w:adjustRightInd w:val="0"/>
        <w:snapToGrid w:val="0"/>
        <w:spacing w:line="560" w:lineRule="exact"/>
        <w:ind w:firstLine="720"/>
        <w:rPr>
          <w:rFonts w:ascii="方正楷体_GBK" w:eastAsia="方正楷体_GBK"/>
          <w:sz w:val="32"/>
          <w:szCs w:val="32"/>
          <w:lang w:val="zh-CN"/>
        </w:rPr>
      </w:pPr>
      <w:r>
        <w:rPr>
          <w:rFonts w:hint="eastAsia" w:ascii="方正楷体_GBK" w:eastAsia="方正楷体_GBK"/>
          <w:sz w:val="32"/>
          <w:szCs w:val="32"/>
          <w:lang w:val="zh-CN"/>
        </w:rPr>
        <w:t>（二）资金使用情况</w:t>
      </w:r>
    </w:p>
    <w:p>
      <w:pPr>
        <w:adjustRightInd w:val="0"/>
        <w:snapToGrid w:val="0"/>
        <w:spacing w:line="560" w:lineRule="exact"/>
        <w:ind w:firstLine="800" w:firstLineChars="250"/>
        <w:rPr>
          <w:rFonts w:ascii="仿宋" w:hAnsi="仿宋" w:eastAsia="仿宋"/>
          <w:sz w:val="32"/>
          <w:szCs w:val="32"/>
          <w:lang w:val="zh-CN"/>
        </w:rPr>
      </w:pPr>
      <w:r>
        <w:rPr>
          <w:rFonts w:ascii="仿宋" w:hAnsi="仿宋" w:eastAsia="仿宋"/>
          <w:sz w:val="32"/>
          <w:szCs w:val="32"/>
          <w:lang w:val="zh-CN"/>
        </w:rPr>
        <w:t>项目资金实际支出</w:t>
      </w:r>
      <w:r>
        <w:rPr>
          <w:rFonts w:hint="eastAsia" w:ascii="仿宋" w:hAnsi="仿宋" w:eastAsia="仿宋"/>
          <w:sz w:val="32"/>
          <w:szCs w:val="32"/>
          <w:lang w:val="zh-CN"/>
        </w:rPr>
        <w:t>0.28</w:t>
      </w:r>
      <w:r>
        <w:rPr>
          <w:rFonts w:ascii="仿宋" w:hAnsi="仿宋" w:eastAsia="仿宋"/>
          <w:sz w:val="32"/>
          <w:szCs w:val="32"/>
          <w:lang w:val="zh-CN"/>
        </w:rPr>
        <w:t>万元，</w:t>
      </w:r>
      <w:r>
        <w:rPr>
          <w:rFonts w:hint="eastAsia" w:ascii="仿宋" w:hAnsi="仿宋" w:eastAsia="仿宋"/>
          <w:sz w:val="32"/>
          <w:szCs w:val="32"/>
          <w:lang w:val="zh-CN"/>
        </w:rPr>
        <w:t>已于2022年1月支付到太平洋影院盐边店（大笮文化传播有限责任公司）。</w:t>
      </w:r>
      <w:r>
        <w:rPr>
          <w:rFonts w:ascii="仿宋" w:hAnsi="仿宋" w:eastAsia="仿宋"/>
          <w:sz w:val="32"/>
          <w:szCs w:val="32"/>
          <w:lang w:val="zh-CN"/>
        </w:rPr>
        <w:t>资金开支范围奖励国产影片放映成绩突出影院，支付依据合规合法，资金支付与预算相符。</w:t>
      </w:r>
    </w:p>
    <w:p>
      <w:pPr>
        <w:adjustRightInd w:val="0"/>
        <w:snapToGrid w:val="0"/>
        <w:spacing w:line="560" w:lineRule="exact"/>
        <w:ind w:firstLine="825" w:firstLineChars="250"/>
        <w:rPr>
          <w:rFonts w:eastAsia="方正黑体_GBK"/>
          <w:sz w:val="33"/>
          <w:szCs w:val="33"/>
          <w:lang w:val="zh-CN"/>
        </w:rPr>
      </w:pPr>
      <w:r>
        <w:rPr>
          <w:rFonts w:eastAsia="方正黑体_GBK"/>
          <w:sz w:val="33"/>
          <w:szCs w:val="33"/>
          <w:lang w:val="zh-CN"/>
        </w:rPr>
        <w:t>三、项目管理情况</w:t>
      </w:r>
    </w:p>
    <w:p>
      <w:pPr>
        <w:adjustRightInd w:val="0"/>
        <w:snapToGrid w:val="0"/>
        <w:spacing w:line="560" w:lineRule="exact"/>
        <w:ind w:firstLine="640" w:firstLineChars="200"/>
        <w:rPr>
          <w:rFonts w:ascii="仿宋" w:hAnsi="仿宋" w:eastAsia="仿宋"/>
          <w:sz w:val="32"/>
          <w:szCs w:val="32"/>
          <w:lang w:val="zh-CN"/>
        </w:rPr>
      </w:pPr>
      <w:r>
        <w:rPr>
          <w:rFonts w:ascii="仿宋" w:hAnsi="仿宋" w:eastAsia="仿宋"/>
          <w:sz w:val="32"/>
          <w:szCs w:val="32"/>
          <w:lang w:val="zh-CN"/>
        </w:rPr>
        <w:t>有健全的项目管理制度、机构设置、会计核算及账务处理。对照项目资金管理办法，严格执行财务管理制度、财务处理及时、会计核算规范。</w:t>
      </w:r>
    </w:p>
    <w:p>
      <w:pPr>
        <w:adjustRightInd w:val="0"/>
        <w:snapToGrid w:val="0"/>
        <w:spacing w:line="560" w:lineRule="exact"/>
        <w:ind w:firstLine="825" w:firstLineChars="250"/>
        <w:rPr>
          <w:rFonts w:eastAsia="方正黑体_GBK"/>
          <w:sz w:val="33"/>
          <w:szCs w:val="33"/>
          <w:lang w:val="zh-CN"/>
        </w:rPr>
      </w:pPr>
      <w:r>
        <w:rPr>
          <w:rFonts w:eastAsia="方正黑体_GBK"/>
          <w:sz w:val="33"/>
          <w:szCs w:val="33"/>
        </w:rPr>
        <w:t>四、项目绩效情况</w:t>
      </w:r>
      <w:r>
        <w:rPr>
          <w:rFonts w:eastAsia="方正黑体_GBK"/>
          <w:sz w:val="33"/>
          <w:szCs w:val="33"/>
          <w:lang w:val="zh-CN"/>
        </w:rPr>
        <w:tab/>
      </w:r>
    </w:p>
    <w:p>
      <w:pPr>
        <w:adjustRightInd w:val="0"/>
        <w:snapToGrid w:val="0"/>
        <w:spacing w:line="560" w:lineRule="exact"/>
        <w:ind w:firstLine="640" w:firstLineChars="200"/>
        <w:rPr>
          <w:rFonts w:ascii="方正楷体_GBK" w:eastAsia="方正楷体_GBK"/>
          <w:sz w:val="32"/>
          <w:szCs w:val="32"/>
          <w:lang w:val="zh-CN"/>
        </w:rPr>
      </w:pPr>
      <w:r>
        <w:rPr>
          <w:rFonts w:hint="eastAsia" w:ascii="方正楷体_GBK" w:eastAsia="方正楷体_GBK"/>
          <w:sz w:val="32"/>
          <w:szCs w:val="32"/>
          <w:lang w:val="zh-CN"/>
        </w:rPr>
        <w:t>（一）项目完成情况</w:t>
      </w:r>
    </w:p>
    <w:p>
      <w:pPr>
        <w:adjustRightInd w:val="0"/>
        <w:snapToGrid w:val="0"/>
        <w:spacing w:line="560" w:lineRule="exact"/>
        <w:ind w:firstLine="640" w:firstLineChars="200"/>
        <w:rPr>
          <w:rFonts w:ascii="仿宋" w:hAnsi="仿宋" w:eastAsia="仿宋"/>
          <w:sz w:val="32"/>
          <w:szCs w:val="32"/>
          <w:lang w:val="zh-CN"/>
        </w:rPr>
      </w:pPr>
      <w:r>
        <w:rPr>
          <w:rFonts w:ascii="仿宋" w:hAnsi="仿宋" w:eastAsia="仿宋"/>
          <w:sz w:val="32"/>
          <w:szCs w:val="32"/>
          <w:lang w:val="zh-CN"/>
        </w:rPr>
        <w:t>该项目资金已于20</w:t>
      </w:r>
      <w:r>
        <w:rPr>
          <w:rFonts w:hint="eastAsia" w:ascii="仿宋" w:hAnsi="仿宋" w:eastAsia="仿宋"/>
          <w:sz w:val="32"/>
          <w:szCs w:val="32"/>
          <w:lang w:val="zh-CN"/>
        </w:rPr>
        <w:t>22</w:t>
      </w:r>
      <w:r>
        <w:rPr>
          <w:rFonts w:ascii="仿宋" w:hAnsi="仿宋" w:eastAsia="仿宋"/>
          <w:sz w:val="32"/>
          <w:szCs w:val="32"/>
          <w:lang w:val="zh-CN"/>
        </w:rPr>
        <w:t>年</w:t>
      </w:r>
      <w:r>
        <w:rPr>
          <w:rFonts w:hint="eastAsia" w:ascii="仿宋" w:hAnsi="仿宋" w:eastAsia="仿宋"/>
          <w:sz w:val="32"/>
          <w:szCs w:val="32"/>
          <w:lang w:val="zh-CN"/>
        </w:rPr>
        <w:t>1</w:t>
      </w:r>
      <w:r>
        <w:rPr>
          <w:rFonts w:ascii="仿宋" w:hAnsi="仿宋" w:eastAsia="仿宋"/>
          <w:sz w:val="32"/>
          <w:szCs w:val="32"/>
          <w:lang w:val="zh-CN"/>
        </w:rPr>
        <w:t>月划拨到太平洋影院盐边</w:t>
      </w:r>
      <w:r>
        <w:rPr>
          <w:rFonts w:hint="eastAsia" w:ascii="仿宋" w:hAnsi="仿宋" w:eastAsia="仿宋"/>
          <w:sz w:val="32"/>
          <w:szCs w:val="32"/>
          <w:lang w:val="zh-CN"/>
        </w:rPr>
        <w:t>店（大笮文化传播有限责任公司）</w:t>
      </w:r>
      <w:r>
        <w:rPr>
          <w:rFonts w:ascii="仿宋" w:hAnsi="仿宋" w:eastAsia="仿宋"/>
          <w:sz w:val="32"/>
          <w:szCs w:val="32"/>
          <w:lang w:val="zh-CN"/>
        </w:rPr>
        <w:t>。</w:t>
      </w:r>
    </w:p>
    <w:p>
      <w:pPr>
        <w:adjustRightInd w:val="0"/>
        <w:snapToGrid w:val="0"/>
        <w:spacing w:line="560" w:lineRule="exact"/>
        <w:ind w:firstLine="640" w:firstLineChars="200"/>
        <w:rPr>
          <w:rFonts w:ascii="方正楷体_GBK" w:eastAsia="方正楷体_GBK"/>
          <w:sz w:val="32"/>
          <w:szCs w:val="32"/>
          <w:lang w:val="zh-CN"/>
        </w:rPr>
      </w:pPr>
      <w:r>
        <w:rPr>
          <w:rFonts w:hint="eastAsia" w:ascii="方正楷体_GBK" w:eastAsia="方正楷体_GBK"/>
          <w:sz w:val="32"/>
          <w:szCs w:val="32"/>
          <w:lang w:val="zh-CN"/>
        </w:rPr>
        <w:t>（二）项目效益情况</w:t>
      </w:r>
    </w:p>
    <w:p>
      <w:pPr>
        <w:adjustRightInd w:val="0"/>
        <w:snapToGrid w:val="0"/>
        <w:spacing w:line="560" w:lineRule="exact"/>
        <w:ind w:firstLine="640" w:firstLineChars="200"/>
        <w:rPr>
          <w:rFonts w:ascii="仿宋" w:hAnsi="仿宋" w:eastAsia="仿宋"/>
          <w:sz w:val="32"/>
          <w:szCs w:val="32"/>
          <w:lang w:val="zh-CN"/>
        </w:rPr>
      </w:pPr>
      <w:r>
        <w:rPr>
          <w:rFonts w:ascii="仿宋" w:hAnsi="仿宋" w:eastAsia="仿宋"/>
          <w:sz w:val="32"/>
          <w:szCs w:val="32"/>
          <w:lang w:val="zh-CN"/>
        </w:rPr>
        <w:t>通过该项目的实施，大力推荐了国产影片，丰富了全县群众文化生活</w:t>
      </w:r>
      <w:r>
        <w:rPr>
          <w:rFonts w:hint="eastAsia" w:ascii="仿宋" w:hAnsi="仿宋" w:eastAsia="仿宋"/>
          <w:sz w:val="32"/>
          <w:szCs w:val="32"/>
          <w:lang w:val="zh-CN"/>
        </w:rPr>
        <w:t>，让</w:t>
      </w:r>
      <w:r>
        <w:rPr>
          <w:rFonts w:ascii="仿宋" w:hAnsi="仿宋" w:eastAsia="仿宋"/>
          <w:sz w:val="32"/>
          <w:szCs w:val="32"/>
          <w:lang w:val="zh-CN"/>
        </w:rPr>
        <w:t>市民从看电影中受到教育、获取知识，了解党和国家方针政策、各级</w:t>
      </w:r>
      <w:r>
        <w:rPr>
          <w:rFonts w:hint="eastAsia" w:ascii="仿宋" w:hAnsi="仿宋" w:eastAsia="仿宋"/>
          <w:sz w:val="32"/>
          <w:szCs w:val="32"/>
          <w:lang w:val="zh-CN"/>
        </w:rPr>
        <w:t>党委、政府</w:t>
      </w:r>
      <w:r>
        <w:rPr>
          <w:rFonts w:ascii="仿宋" w:hAnsi="仿宋" w:eastAsia="仿宋"/>
          <w:sz w:val="32"/>
          <w:szCs w:val="32"/>
          <w:lang w:val="zh-CN"/>
        </w:rPr>
        <w:t>重大工作举措，对掌握农村科普知识及致富信息起到有效作用，深受广大市民欢迎，通过国家电影事业发展专项资金这项惠民工程的实施，</w:t>
      </w:r>
      <w:r>
        <w:rPr>
          <w:rFonts w:hint="eastAsia" w:ascii="仿宋" w:hAnsi="仿宋" w:eastAsia="仿宋"/>
          <w:sz w:val="32"/>
          <w:szCs w:val="32"/>
          <w:lang w:val="zh-CN"/>
        </w:rPr>
        <w:t>受到</w:t>
      </w:r>
      <w:r>
        <w:rPr>
          <w:rFonts w:ascii="仿宋" w:hAnsi="仿宋" w:eastAsia="仿宋"/>
          <w:sz w:val="32"/>
          <w:szCs w:val="32"/>
          <w:lang w:val="zh-CN"/>
        </w:rPr>
        <w:t>了较好的经济效益、社会效益、生态效益、可持续发展效益。</w:t>
      </w:r>
    </w:p>
    <w:p>
      <w:pPr>
        <w:pStyle w:val="2"/>
        <w:spacing w:before="93"/>
        <w:rPr>
          <w:lang w:val="zh-CN"/>
        </w:rPr>
      </w:pPr>
    </w:p>
    <w:p>
      <w:pPr>
        <w:pStyle w:val="2"/>
        <w:spacing w:before="93"/>
        <w:rPr>
          <w:lang w:val="zh-CN"/>
        </w:rPr>
      </w:pPr>
    </w:p>
    <w:p>
      <w:pPr>
        <w:pStyle w:val="2"/>
        <w:spacing w:before="93"/>
        <w:rPr>
          <w:rFonts w:ascii="仿宋" w:hAnsi="仿宋" w:eastAsia="仿宋"/>
          <w:sz w:val="32"/>
          <w:szCs w:val="32"/>
          <w:lang w:val="zh-CN"/>
        </w:rPr>
      </w:pPr>
    </w:p>
    <w:p>
      <w:pPr>
        <w:pStyle w:val="2"/>
        <w:spacing w:before="93"/>
        <w:rPr>
          <w:rFonts w:ascii="仿宋" w:hAnsi="仿宋" w:eastAsia="仿宋"/>
          <w:sz w:val="32"/>
          <w:szCs w:val="32"/>
          <w:lang w:val="zh-CN"/>
        </w:rPr>
      </w:pPr>
    </w:p>
    <w:p>
      <w:pPr>
        <w:pStyle w:val="2"/>
        <w:spacing w:before="93"/>
        <w:rPr>
          <w:rFonts w:ascii="仿宋" w:hAnsi="仿宋" w:eastAsia="仿宋"/>
          <w:sz w:val="32"/>
          <w:szCs w:val="32"/>
          <w:lang w:val="zh-CN"/>
        </w:rPr>
      </w:pPr>
    </w:p>
    <w:p>
      <w:pPr>
        <w:pStyle w:val="2"/>
        <w:spacing w:before="93"/>
        <w:rPr>
          <w:rFonts w:ascii="仿宋" w:hAnsi="仿宋" w:eastAsia="仿宋"/>
          <w:sz w:val="32"/>
          <w:szCs w:val="32"/>
          <w:lang w:val="zh-CN"/>
        </w:rPr>
      </w:pPr>
    </w:p>
    <w:p>
      <w:pPr>
        <w:pStyle w:val="2"/>
        <w:spacing w:before="93"/>
        <w:rPr>
          <w:rFonts w:ascii="黑体" w:hAnsi="黑体" w:eastAsia="黑体"/>
          <w:sz w:val="32"/>
          <w:szCs w:val="32"/>
          <w:lang w:val="zh-CN"/>
        </w:rPr>
      </w:pPr>
      <w:r>
        <w:rPr>
          <w:rFonts w:hint="eastAsia" w:ascii="黑体" w:hAnsi="黑体" w:eastAsia="黑体"/>
          <w:sz w:val="32"/>
          <w:szCs w:val="32"/>
          <w:lang w:val="zh-CN"/>
        </w:rPr>
        <w:t>附件5</w:t>
      </w:r>
    </w:p>
    <w:p>
      <w:pPr>
        <w:pStyle w:val="37"/>
        <w:spacing w:line="580" w:lineRule="exact"/>
        <w:jc w:val="center"/>
        <w:rPr>
          <w:rFonts w:ascii="仿宋_GB2312" w:hAnsi="宋体" w:eastAsia="仿宋_GB2312"/>
          <w:kern w:val="2"/>
          <w:sz w:val="32"/>
          <w:szCs w:val="32"/>
        </w:rPr>
      </w:pPr>
      <w:r>
        <w:rPr>
          <w:rFonts w:hint="eastAsia" w:ascii="方正小标宋_GBK" w:hAnsi="宋体" w:eastAsia="方正小标宋_GBK"/>
          <w:b/>
          <w:sz w:val="38"/>
          <w:szCs w:val="38"/>
        </w:rPr>
        <w:t>202</w:t>
      </w:r>
      <w:r>
        <w:rPr>
          <w:rFonts w:hint="eastAsia" w:ascii="方正小标宋_GBK" w:hAnsi="宋体" w:eastAsia="方正小标宋_GBK"/>
          <w:b/>
          <w:sz w:val="38"/>
          <w:szCs w:val="38"/>
          <w:lang w:val="en-US"/>
        </w:rPr>
        <w:t>2《笮山若水》会刊编印</w:t>
      </w:r>
      <w:r>
        <w:rPr>
          <w:rFonts w:hint="eastAsia" w:ascii="方正小标宋_GBK" w:hAnsi="宋体" w:eastAsia="方正小标宋_GBK"/>
          <w:b/>
          <w:sz w:val="38"/>
          <w:szCs w:val="38"/>
        </w:rPr>
        <w:t>资金绩效自评报告</w:t>
      </w:r>
    </w:p>
    <w:p>
      <w:pPr>
        <w:adjustRightInd w:val="0"/>
        <w:snapToGrid w:val="0"/>
        <w:spacing w:line="560" w:lineRule="exact"/>
        <w:ind w:firstLine="720" w:firstLineChars="200"/>
        <w:rPr>
          <w:rFonts w:eastAsia="方正黑体_GBK"/>
          <w:color w:val="000000"/>
          <w:sz w:val="36"/>
          <w:szCs w:val="36"/>
        </w:rPr>
      </w:pPr>
    </w:p>
    <w:p>
      <w:pPr>
        <w:adjustRightInd w:val="0"/>
        <w:snapToGrid w:val="0"/>
        <w:spacing w:line="560" w:lineRule="exact"/>
        <w:ind w:firstLine="720" w:firstLineChars="200"/>
        <w:rPr>
          <w:rFonts w:eastAsia="方正黑体_GBK"/>
          <w:color w:val="000000"/>
          <w:sz w:val="36"/>
          <w:szCs w:val="36"/>
          <w:lang w:val="zh-CN"/>
        </w:rPr>
      </w:pPr>
      <w:r>
        <w:rPr>
          <w:rFonts w:eastAsia="方正黑体_GBK"/>
          <w:color w:val="000000"/>
          <w:sz w:val="36"/>
          <w:szCs w:val="36"/>
        </w:rPr>
        <w:t>一、自评项目概况</w:t>
      </w:r>
    </w:p>
    <w:p>
      <w:pPr>
        <w:adjustRightInd w:val="0"/>
        <w:snapToGrid w:val="0"/>
        <w:spacing w:line="560" w:lineRule="exact"/>
        <w:rPr>
          <w:rFonts w:ascii="仿宋" w:hAnsi="仿宋" w:eastAsia="仿宋"/>
          <w:b/>
          <w:color w:val="000000"/>
          <w:sz w:val="32"/>
          <w:szCs w:val="32"/>
        </w:rPr>
      </w:pPr>
      <w:r>
        <w:rPr>
          <w:rFonts w:eastAsia="方正仿宋_GBK"/>
          <w:color w:val="000000"/>
          <w:sz w:val="33"/>
          <w:szCs w:val="33"/>
        </w:rPr>
        <w:t xml:space="preserve">    </w:t>
      </w:r>
      <w:r>
        <w:rPr>
          <w:rFonts w:hint="eastAsia" w:ascii="仿宋" w:hAnsi="仿宋" w:eastAsia="仿宋"/>
          <w:color w:val="000000"/>
          <w:sz w:val="32"/>
          <w:szCs w:val="32"/>
        </w:rPr>
        <w:t>根据工作需要，</w:t>
      </w:r>
      <w:r>
        <w:rPr>
          <w:rFonts w:ascii="仿宋" w:hAnsi="仿宋" w:eastAsia="仿宋"/>
          <w:color w:val="000000"/>
          <w:sz w:val="32"/>
          <w:szCs w:val="32"/>
        </w:rPr>
        <w:t>20</w:t>
      </w:r>
      <w:r>
        <w:rPr>
          <w:rFonts w:hint="eastAsia" w:ascii="仿宋" w:hAnsi="仿宋" w:eastAsia="仿宋"/>
          <w:color w:val="000000"/>
          <w:sz w:val="32"/>
          <w:szCs w:val="32"/>
        </w:rPr>
        <w:t>22</w:t>
      </w:r>
      <w:r>
        <w:rPr>
          <w:rFonts w:ascii="仿宋" w:hAnsi="仿宋" w:eastAsia="仿宋"/>
          <w:color w:val="000000"/>
          <w:sz w:val="32"/>
          <w:szCs w:val="32"/>
        </w:rPr>
        <w:t>年</w:t>
      </w:r>
      <w:r>
        <w:rPr>
          <w:rFonts w:hint="eastAsia" w:ascii="仿宋" w:hAnsi="仿宋" w:eastAsia="仿宋"/>
          <w:color w:val="000000"/>
          <w:sz w:val="32"/>
          <w:szCs w:val="32"/>
        </w:rPr>
        <w:t>底，</w:t>
      </w:r>
      <w:r>
        <w:rPr>
          <w:rFonts w:ascii="仿宋" w:hAnsi="仿宋" w:eastAsia="仿宋"/>
          <w:color w:val="000000"/>
          <w:sz w:val="32"/>
          <w:szCs w:val="32"/>
        </w:rPr>
        <w:t>盐边县委宣传部</w:t>
      </w:r>
      <w:r>
        <w:rPr>
          <w:rFonts w:hint="eastAsia" w:ascii="仿宋" w:hAnsi="仿宋" w:eastAsia="仿宋"/>
          <w:color w:val="000000"/>
          <w:sz w:val="32"/>
          <w:szCs w:val="32"/>
        </w:rPr>
        <w:t>安排文联恢复大笮文化研究会会刊《笮山若水》，并申请复刊经费9.6万元，财政下达7万元。</w:t>
      </w:r>
      <w:r>
        <w:rPr>
          <w:rFonts w:ascii="仿宋" w:hAnsi="仿宋" w:eastAsia="仿宋"/>
          <w:color w:val="000000"/>
          <w:sz w:val="32"/>
          <w:szCs w:val="32"/>
        </w:rPr>
        <w:t>名称：</w:t>
      </w:r>
      <w:r>
        <w:rPr>
          <w:rFonts w:hint="eastAsia" w:ascii="仿宋" w:hAnsi="仿宋" w:eastAsia="仿宋"/>
          <w:color w:val="000000"/>
          <w:sz w:val="32"/>
          <w:szCs w:val="32"/>
        </w:rPr>
        <w:t>《笮山若水专刊》</w:t>
      </w:r>
    </w:p>
    <w:p>
      <w:pPr>
        <w:adjustRightInd w:val="0"/>
        <w:snapToGrid w:val="0"/>
        <w:spacing w:line="560" w:lineRule="exact"/>
        <w:ind w:firstLine="720" w:firstLineChars="200"/>
        <w:rPr>
          <w:rFonts w:eastAsia="方正黑体_GBK"/>
          <w:color w:val="000000"/>
          <w:sz w:val="36"/>
          <w:szCs w:val="36"/>
        </w:rPr>
      </w:pPr>
      <w:r>
        <w:rPr>
          <w:rFonts w:eastAsia="方正黑体_GBK"/>
          <w:color w:val="000000"/>
          <w:sz w:val="36"/>
          <w:szCs w:val="36"/>
        </w:rPr>
        <w:t>二、项目资金申报及使用情况</w:t>
      </w:r>
    </w:p>
    <w:p>
      <w:pPr>
        <w:adjustRightInd w:val="0"/>
        <w:snapToGrid w:val="0"/>
        <w:spacing w:line="560" w:lineRule="exact"/>
        <w:ind w:firstLine="643" w:firstLineChars="200"/>
        <w:rPr>
          <w:rFonts w:ascii="仿宋" w:hAnsi="仿宋" w:eastAsia="仿宋"/>
          <w:b/>
          <w:color w:val="000000"/>
          <w:sz w:val="32"/>
          <w:szCs w:val="32"/>
          <w:lang w:val="zh-CN"/>
        </w:rPr>
      </w:pPr>
      <w:r>
        <w:rPr>
          <w:rFonts w:hint="eastAsia" w:ascii="仿宋" w:hAnsi="仿宋" w:eastAsia="仿宋"/>
          <w:b/>
          <w:color w:val="000000"/>
          <w:sz w:val="32"/>
          <w:szCs w:val="32"/>
          <w:lang w:val="zh-CN"/>
        </w:rPr>
        <w:t>（一）项目资金申报情况</w:t>
      </w:r>
    </w:p>
    <w:p>
      <w:pPr>
        <w:adjustRightInd w:val="0"/>
        <w:snapToGrid w:val="0"/>
        <w:spacing w:line="560" w:lineRule="exact"/>
        <w:ind w:firstLine="640" w:firstLineChars="200"/>
        <w:rPr>
          <w:rFonts w:ascii="仿宋" w:hAnsi="仿宋" w:eastAsia="仿宋"/>
          <w:color w:val="000000"/>
          <w:sz w:val="32"/>
          <w:szCs w:val="32"/>
          <w:lang w:val="zh-CN"/>
        </w:rPr>
      </w:pPr>
      <w:r>
        <w:rPr>
          <w:rFonts w:ascii="仿宋" w:hAnsi="仿宋" w:eastAsia="仿宋"/>
          <w:color w:val="000000"/>
          <w:sz w:val="32"/>
          <w:szCs w:val="32"/>
          <w:lang w:val="zh-CN"/>
        </w:rPr>
        <w:t>根据</w:t>
      </w:r>
      <w:r>
        <w:rPr>
          <w:rFonts w:hint="eastAsia" w:ascii="仿宋" w:hAnsi="仿宋" w:eastAsia="仿宋"/>
          <w:color w:val="000000"/>
          <w:sz w:val="32"/>
          <w:szCs w:val="32"/>
          <w:lang w:val="zh-CN"/>
        </w:rPr>
        <w:t>县委、县政府工作安排部署，县委宣传部文联申请</w:t>
      </w:r>
      <w:r>
        <w:rPr>
          <w:rFonts w:hint="eastAsia" w:ascii="仿宋" w:hAnsi="仿宋" w:eastAsia="仿宋"/>
          <w:color w:val="000000"/>
          <w:sz w:val="32"/>
          <w:szCs w:val="32"/>
        </w:rPr>
        <w:t>复刊经费9.6万元，实际下达7万元资金（《笮山若水》专刊）</w:t>
      </w:r>
      <w:r>
        <w:rPr>
          <w:rFonts w:ascii="仿宋" w:hAnsi="仿宋" w:eastAsia="仿宋"/>
          <w:color w:val="000000"/>
          <w:sz w:val="32"/>
          <w:szCs w:val="32"/>
          <w:lang w:val="zh-CN"/>
        </w:rPr>
        <w:t>，</w:t>
      </w:r>
      <w:r>
        <w:rPr>
          <w:rFonts w:hint="eastAsia" w:ascii="仿宋" w:hAnsi="仿宋" w:eastAsia="仿宋"/>
          <w:color w:val="000000"/>
          <w:sz w:val="32"/>
          <w:szCs w:val="32"/>
          <w:lang w:val="zh-CN"/>
        </w:rPr>
        <w:t>资金预算</w:t>
      </w:r>
      <w:r>
        <w:rPr>
          <w:rFonts w:hint="eastAsia" w:ascii="仿宋" w:hAnsi="仿宋" w:eastAsia="仿宋"/>
          <w:color w:val="000000"/>
          <w:sz w:val="32"/>
          <w:szCs w:val="32"/>
        </w:rPr>
        <w:t>7</w:t>
      </w:r>
      <w:r>
        <w:rPr>
          <w:rFonts w:hint="eastAsia" w:ascii="仿宋" w:hAnsi="仿宋" w:eastAsia="仿宋"/>
          <w:color w:val="000000"/>
          <w:sz w:val="32"/>
          <w:szCs w:val="32"/>
          <w:lang w:val="zh-CN"/>
        </w:rPr>
        <w:t>万元。</w:t>
      </w:r>
    </w:p>
    <w:p>
      <w:pPr>
        <w:adjustRightInd w:val="0"/>
        <w:snapToGrid w:val="0"/>
        <w:spacing w:line="560" w:lineRule="exact"/>
        <w:ind w:firstLine="720"/>
        <w:rPr>
          <w:rFonts w:ascii="仿宋" w:hAnsi="仿宋" w:eastAsia="仿宋"/>
          <w:b/>
          <w:color w:val="000000"/>
          <w:sz w:val="32"/>
          <w:szCs w:val="32"/>
          <w:lang w:val="zh-CN"/>
        </w:rPr>
      </w:pPr>
      <w:r>
        <w:rPr>
          <w:rFonts w:hint="eastAsia" w:ascii="仿宋" w:hAnsi="仿宋" w:eastAsia="仿宋"/>
          <w:b/>
          <w:color w:val="000000"/>
          <w:sz w:val="32"/>
          <w:szCs w:val="32"/>
          <w:lang w:val="zh-CN"/>
        </w:rPr>
        <w:t>（二）资金使用情况</w:t>
      </w:r>
    </w:p>
    <w:p>
      <w:pPr>
        <w:adjustRightInd w:val="0"/>
        <w:snapToGrid w:val="0"/>
        <w:spacing w:line="560" w:lineRule="exact"/>
        <w:ind w:firstLine="800" w:firstLineChars="250"/>
        <w:rPr>
          <w:rFonts w:ascii="仿宋" w:hAnsi="仿宋" w:eastAsia="仿宋"/>
          <w:color w:val="000000"/>
          <w:sz w:val="32"/>
          <w:szCs w:val="32"/>
          <w:lang w:val="zh-CN"/>
        </w:rPr>
      </w:pPr>
      <w:r>
        <w:rPr>
          <w:rFonts w:ascii="仿宋" w:hAnsi="仿宋" w:eastAsia="仿宋"/>
          <w:color w:val="000000"/>
          <w:sz w:val="32"/>
          <w:szCs w:val="32"/>
          <w:lang w:val="zh-CN"/>
        </w:rPr>
        <w:t>项目资金实际支出</w:t>
      </w:r>
      <w:r>
        <w:rPr>
          <w:rFonts w:hint="eastAsia" w:ascii="仿宋" w:hAnsi="仿宋" w:eastAsia="仿宋"/>
          <w:color w:val="000000"/>
          <w:sz w:val="32"/>
          <w:szCs w:val="32"/>
        </w:rPr>
        <w:t>6.997万</w:t>
      </w:r>
      <w:r>
        <w:rPr>
          <w:rFonts w:ascii="仿宋" w:hAnsi="仿宋" w:eastAsia="仿宋"/>
          <w:color w:val="000000"/>
          <w:sz w:val="32"/>
          <w:szCs w:val="32"/>
          <w:lang w:val="zh-CN"/>
        </w:rPr>
        <w:t>元，资金开支范围</w:t>
      </w:r>
      <w:r>
        <w:rPr>
          <w:rFonts w:hint="eastAsia" w:ascii="仿宋" w:hAnsi="仿宋" w:eastAsia="仿宋"/>
          <w:color w:val="000000"/>
          <w:sz w:val="32"/>
          <w:szCs w:val="32"/>
          <w:lang w:val="zh-CN"/>
        </w:rPr>
        <w:t>办刊办公电脑、软件、桌椅、刊物印刷</w:t>
      </w:r>
      <w:r>
        <w:rPr>
          <w:rFonts w:ascii="仿宋" w:hAnsi="仿宋" w:eastAsia="仿宋"/>
          <w:color w:val="000000"/>
          <w:sz w:val="32"/>
          <w:szCs w:val="32"/>
          <w:lang w:val="zh-CN"/>
        </w:rPr>
        <w:t>，支付依据合规合法，资金支付与预算相符。</w:t>
      </w:r>
    </w:p>
    <w:p>
      <w:pPr>
        <w:adjustRightInd w:val="0"/>
        <w:snapToGrid w:val="0"/>
        <w:spacing w:line="560" w:lineRule="exact"/>
        <w:ind w:firstLine="900" w:firstLineChars="250"/>
        <w:rPr>
          <w:rFonts w:eastAsia="方正黑体_GBK"/>
          <w:color w:val="000000"/>
          <w:sz w:val="36"/>
          <w:szCs w:val="36"/>
          <w:lang w:val="zh-CN"/>
        </w:rPr>
      </w:pPr>
      <w:r>
        <w:rPr>
          <w:rFonts w:eastAsia="方正黑体_GBK"/>
          <w:color w:val="000000"/>
          <w:sz w:val="36"/>
          <w:szCs w:val="36"/>
          <w:lang w:val="zh-CN"/>
        </w:rPr>
        <w:t>三、项目管理情况</w:t>
      </w:r>
    </w:p>
    <w:p>
      <w:pPr>
        <w:adjustRightInd w:val="0"/>
        <w:snapToGrid w:val="0"/>
        <w:spacing w:line="560" w:lineRule="exact"/>
        <w:ind w:firstLine="640" w:firstLineChars="200"/>
        <w:rPr>
          <w:rFonts w:ascii="仿宋" w:hAnsi="仿宋" w:eastAsia="仿宋"/>
          <w:color w:val="000000"/>
          <w:sz w:val="32"/>
          <w:szCs w:val="32"/>
          <w:lang w:val="zh-CN"/>
        </w:rPr>
      </w:pPr>
      <w:r>
        <w:rPr>
          <w:rFonts w:ascii="仿宋" w:hAnsi="仿宋" w:eastAsia="仿宋"/>
          <w:color w:val="000000"/>
          <w:sz w:val="32"/>
          <w:szCs w:val="32"/>
          <w:lang w:val="zh-CN"/>
        </w:rPr>
        <w:t>有健全的项目管理制度、机构设置、会计核算及账务处理。对照项目资金管理办法，严格执行财务管理制度、财务处理及时、会计核算规范。</w:t>
      </w:r>
    </w:p>
    <w:p>
      <w:pPr>
        <w:adjustRightInd w:val="0"/>
        <w:snapToGrid w:val="0"/>
        <w:spacing w:line="560" w:lineRule="exact"/>
        <w:ind w:firstLine="900" w:firstLineChars="250"/>
        <w:rPr>
          <w:rFonts w:eastAsia="方正黑体_GBK"/>
          <w:color w:val="000000"/>
          <w:sz w:val="36"/>
          <w:szCs w:val="36"/>
          <w:lang w:val="zh-CN"/>
        </w:rPr>
      </w:pPr>
      <w:r>
        <w:rPr>
          <w:rFonts w:eastAsia="方正黑体_GBK"/>
          <w:color w:val="000000"/>
          <w:sz w:val="36"/>
          <w:szCs w:val="36"/>
        </w:rPr>
        <w:t>四、项目绩效情况</w:t>
      </w:r>
      <w:r>
        <w:rPr>
          <w:rFonts w:eastAsia="方正黑体_GBK"/>
          <w:color w:val="000000"/>
          <w:sz w:val="36"/>
          <w:szCs w:val="36"/>
          <w:lang w:val="zh-CN"/>
        </w:rPr>
        <w:tab/>
      </w:r>
    </w:p>
    <w:p>
      <w:pPr>
        <w:adjustRightInd w:val="0"/>
        <w:snapToGrid w:val="0"/>
        <w:spacing w:line="560" w:lineRule="exact"/>
        <w:ind w:firstLine="643" w:firstLineChars="200"/>
        <w:rPr>
          <w:rFonts w:ascii="仿宋" w:hAnsi="仿宋" w:eastAsia="仿宋"/>
          <w:b/>
          <w:color w:val="000000"/>
          <w:sz w:val="32"/>
          <w:szCs w:val="32"/>
          <w:lang w:val="zh-CN"/>
        </w:rPr>
      </w:pPr>
      <w:r>
        <w:rPr>
          <w:rFonts w:hint="eastAsia" w:ascii="仿宋" w:hAnsi="仿宋" w:eastAsia="仿宋"/>
          <w:b/>
          <w:color w:val="000000"/>
          <w:sz w:val="32"/>
          <w:szCs w:val="32"/>
          <w:lang w:val="zh-CN"/>
        </w:rPr>
        <w:t>（一）项目完成情况</w:t>
      </w:r>
    </w:p>
    <w:p>
      <w:pPr>
        <w:adjustRightInd w:val="0"/>
        <w:snapToGrid w:val="0"/>
        <w:spacing w:line="560" w:lineRule="exact"/>
        <w:ind w:firstLine="640" w:firstLineChars="200"/>
        <w:rPr>
          <w:rFonts w:ascii="仿宋" w:hAnsi="仿宋" w:eastAsia="仿宋"/>
          <w:color w:val="000000"/>
          <w:sz w:val="32"/>
          <w:szCs w:val="32"/>
          <w:lang w:val="zh-CN"/>
        </w:rPr>
      </w:pPr>
      <w:r>
        <w:rPr>
          <w:rFonts w:ascii="仿宋" w:hAnsi="仿宋" w:eastAsia="仿宋"/>
          <w:color w:val="000000"/>
          <w:sz w:val="32"/>
          <w:szCs w:val="32"/>
          <w:lang w:val="zh-CN"/>
        </w:rPr>
        <w:t>该项目资金已于20</w:t>
      </w:r>
      <w:r>
        <w:rPr>
          <w:rFonts w:hint="eastAsia" w:ascii="仿宋" w:hAnsi="仿宋" w:eastAsia="仿宋"/>
          <w:color w:val="000000"/>
          <w:sz w:val="32"/>
          <w:szCs w:val="32"/>
          <w:lang w:val="zh-CN"/>
        </w:rPr>
        <w:t>2</w:t>
      </w:r>
      <w:r>
        <w:rPr>
          <w:rFonts w:hint="eastAsia" w:ascii="仿宋" w:hAnsi="仿宋" w:eastAsia="仿宋"/>
          <w:color w:val="000000"/>
          <w:sz w:val="32"/>
          <w:szCs w:val="32"/>
        </w:rPr>
        <w:t>2</w:t>
      </w:r>
      <w:r>
        <w:rPr>
          <w:rFonts w:ascii="仿宋" w:hAnsi="仿宋" w:eastAsia="仿宋"/>
          <w:color w:val="000000"/>
          <w:sz w:val="32"/>
          <w:szCs w:val="32"/>
          <w:lang w:val="zh-CN"/>
        </w:rPr>
        <w:t>年1</w:t>
      </w:r>
      <w:r>
        <w:rPr>
          <w:rFonts w:hint="eastAsia" w:ascii="仿宋" w:hAnsi="仿宋" w:eastAsia="仿宋"/>
          <w:color w:val="000000"/>
          <w:sz w:val="32"/>
          <w:szCs w:val="32"/>
          <w:lang w:val="zh-CN"/>
        </w:rPr>
        <w:t>2</w:t>
      </w:r>
      <w:r>
        <w:rPr>
          <w:rFonts w:ascii="仿宋" w:hAnsi="仿宋" w:eastAsia="仿宋"/>
          <w:color w:val="000000"/>
          <w:sz w:val="32"/>
          <w:szCs w:val="32"/>
          <w:lang w:val="zh-CN"/>
        </w:rPr>
        <w:t>月</w:t>
      </w:r>
      <w:r>
        <w:rPr>
          <w:rFonts w:hint="eastAsia" w:ascii="仿宋" w:hAnsi="仿宋" w:eastAsia="仿宋"/>
          <w:color w:val="000000"/>
          <w:sz w:val="32"/>
          <w:szCs w:val="32"/>
          <w:lang w:val="zh-CN"/>
        </w:rPr>
        <w:t>30</w:t>
      </w:r>
      <w:r>
        <w:rPr>
          <w:rFonts w:ascii="仿宋" w:hAnsi="仿宋" w:eastAsia="仿宋"/>
          <w:color w:val="000000"/>
          <w:sz w:val="32"/>
          <w:szCs w:val="32"/>
          <w:lang w:val="zh-CN"/>
        </w:rPr>
        <w:t>日前划拨到</w:t>
      </w:r>
      <w:r>
        <w:rPr>
          <w:rFonts w:hint="eastAsia" w:ascii="仿宋" w:hAnsi="仿宋" w:eastAsia="仿宋"/>
          <w:color w:val="000000"/>
          <w:sz w:val="32"/>
          <w:szCs w:val="32"/>
          <w:lang w:val="zh-CN"/>
        </w:rPr>
        <w:t>各相关实施单位。</w:t>
      </w:r>
    </w:p>
    <w:p>
      <w:pPr>
        <w:adjustRightInd w:val="0"/>
        <w:snapToGrid w:val="0"/>
        <w:spacing w:line="560" w:lineRule="exact"/>
        <w:ind w:firstLine="643" w:firstLineChars="200"/>
        <w:rPr>
          <w:rFonts w:ascii="仿宋" w:hAnsi="仿宋" w:eastAsia="仿宋"/>
          <w:b/>
          <w:color w:val="000000"/>
          <w:sz w:val="32"/>
          <w:szCs w:val="32"/>
          <w:lang w:val="zh-CN"/>
        </w:rPr>
      </w:pPr>
      <w:r>
        <w:rPr>
          <w:rFonts w:hint="eastAsia" w:ascii="仿宋" w:hAnsi="仿宋" w:eastAsia="仿宋"/>
          <w:b/>
          <w:color w:val="000000"/>
          <w:sz w:val="32"/>
          <w:szCs w:val="32"/>
          <w:lang w:val="zh-CN"/>
        </w:rPr>
        <w:t>（二）项目效益情况</w:t>
      </w:r>
    </w:p>
    <w:p>
      <w:pPr>
        <w:ind w:firstLine="640" w:firstLineChars="200"/>
        <w:rPr>
          <w:rFonts w:ascii="仿宋" w:hAnsi="仿宋" w:eastAsia="仿宋"/>
          <w:color w:val="000000"/>
          <w:sz w:val="32"/>
          <w:szCs w:val="32"/>
        </w:rPr>
      </w:pPr>
      <w:r>
        <w:rPr>
          <w:rFonts w:ascii="仿宋" w:hAnsi="仿宋" w:eastAsia="仿宋"/>
          <w:color w:val="000000"/>
          <w:sz w:val="32"/>
          <w:szCs w:val="32"/>
          <w:lang w:val="zh-CN"/>
        </w:rPr>
        <w:t>通过该项目的实施，丰富了全县群众文化生活，从</w:t>
      </w:r>
      <w:r>
        <w:rPr>
          <w:rFonts w:hint="eastAsia" w:ascii="仿宋" w:hAnsi="仿宋" w:eastAsia="仿宋"/>
          <w:color w:val="000000"/>
          <w:sz w:val="32"/>
          <w:szCs w:val="32"/>
          <w:lang w:val="zh-CN"/>
        </w:rPr>
        <w:t>身边的人、事、情感，激励干部群众工作、生活激情，引领广大人民群众与文艺工作者听党话、跟党走、繁荣创作、服务人民，培养文艺新人，凝聚文艺力量。受到</w:t>
      </w:r>
      <w:r>
        <w:rPr>
          <w:rFonts w:ascii="仿宋" w:hAnsi="仿宋" w:eastAsia="仿宋"/>
          <w:color w:val="000000"/>
          <w:sz w:val="32"/>
          <w:szCs w:val="32"/>
          <w:lang w:val="zh-CN"/>
        </w:rPr>
        <w:t>了较好的经济效益、社会效益、生态效益、可持续发展效益。</w:t>
      </w:r>
    </w:p>
    <w:p>
      <w:pPr>
        <w:adjustRightInd w:val="0"/>
        <w:snapToGrid w:val="0"/>
        <w:spacing w:line="560" w:lineRule="exact"/>
        <w:ind w:firstLine="640" w:firstLineChars="200"/>
        <w:rPr>
          <w:rFonts w:ascii="仿宋" w:hAnsi="仿宋" w:eastAsia="仿宋"/>
          <w:color w:val="000000"/>
          <w:sz w:val="32"/>
          <w:szCs w:val="32"/>
          <w:lang w:val="zh-CN"/>
        </w:rPr>
      </w:pPr>
    </w:p>
    <w:p>
      <w:pPr>
        <w:pStyle w:val="2"/>
        <w:spacing w:before="93"/>
        <w:rPr>
          <w:lang w:val="zh-CN"/>
        </w:rPr>
      </w:pPr>
    </w:p>
    <w:p>
      <w:pPr>
        <w:pStyle w:val="2"/>
        <w:spacing w:before="93"/>
        <w:rPr>
          <w:lang w:val="zh-CN"/>
        </w:rPr>
      </w:pPr>
    </w:p>
    <w:p>
      <w:pPr>
        <w:pStyle w:val="2"/>
        <w:spacing w:before="93"/>
        <w:rPr>
          <w:lang w:val="zh-CN"/>
        </w:rPr>
      </w:pPr>
    </w:p>
    <w:p>
      <w:pPr>
        <w:pStyle w:val="2"/>
        <w:spacing w:before="93"/>
        <w:rPr>
          <w:lang w:val="zh-CN"/>
        </w:rPr>
      </w:pPr>
    </w:p>
    <w:p>
      <w:pPr>
        <w:pStyle w:val="2"/>
        <w:spacing w:before="93"/>
        <w:rPr>
          <w:lang w:val="zh-CN"/>
        </w:rPr>
      </w:pPr>
    </w:p>
    <w:p>
      <w:pPr>
        <w:pStyle w:val="2"/>
        <w:spacing w:before="93"/>
        <w:rPr>
          <w:lang w:val="zh-CN"/>
        </w:rPr>
      </w:pPr>
    </w:p>
    <w:p>
      <w:pPr>
        <w:pStyle w:val="2"/>
        <w:spacing w:before="93"/>
        <w:rPr>
          <w:lang w:val="zh-CN"/>
        </w:rPr>
      </w:pPr>
    </w:p>
    <w:p>
      <w:pPr>
        <w:pStyle w:val="2"/>
        <w:spacing w:before="93"/>
        <w:rPr>
          <w:lang w:val="zh-CN"/>
        </w:rPr>
      </w:pPr>
    </w:p>
    <w:p>
      <w:pPr>
        <w:pStyle w:val="2"/>
        <w:spacing w:before="93"/>
        <w:rPr>
          <w:lang w:val="zh-CN"/>
        </w:rPr>
      </w:pPr>
    </w:p>
    <w:p>
      <w:pPr>
        <w:pStyle w:val="2"/>
        <w:spacing w:before="93"/>
        <w:rPr>
          <w:lang w:val="zh-CN"/>
        </w:rPr>
      </w:pPr>
    </w:p>
    <w:p>
      <w:pPr>
        <w:pStyle w:val="2"/>
        <w:spacing w:before="93"/>
        <w:rPr>
          <w:rFonts w:hint="eastAsia" w:ascii="方正黑体_GBK" w:hAnsi="方正黑体_GBK" w:eastAsia="方正黑体_GBK" w:cs="方正黑体_GBK"/>
          <w:sz w:val="33"/>
          <w:szCs w:val="33"/>
          <w:lang w:val="zh-CN"/>
        </w:rPr>
      </w:pPr>
      <w:r>
        <w:rPr>
          <w:rFonts w:hint="eastAsia" w:ascii="方正黑体_GBK" w:hAnsi="方正黑体_GBK" w:eastAsia="方正黑体_GBK" w:cs="方正黑体_GBK"/>
          <w:sz w:val="33"/>
          <w:szCs w:val="33"/>
          <w:lang w:val="zh-CN"/>
        </w:rPr>
        <w:t>附件6</w:t>
      </w:r>
    </w:p>
    <w:p>
      <w:pPr>
        <w:pStyle w:val="8"/>
        <w:spacing w:line="600" w:lineRule="exact"/>
        <w:ind w:firstLine="720" w:firstLineChars="200"/>
        <w:jc w:val="center"/>
        <w:rPr>
          <w:rFonts w:ascii="仿宋_GB2312" w:hAnsi="仿宋_GB2312" w:eastAsia="仿宋_GB2312" w:cs="仿宋_GB2312"/>
          <w:sz w:val="32"/>
          <w:szCs w:val="32"/>
        </w:rPr>
      </w:pPr>
      <w:r>
        <w:rPr>
          <w:rFonts w:hint="eastAsia" w:ascii="方正小标宋_GBK" w:hAnsi="黑体" w:eastAsia="方正小标宋_GBK" w:cs="黑体"/>
          <w:sz w:val="36"/>
          <w:szCs w:val="36"/>
        </w:rPr>
        <w:t>2022年理论学习宣讲经费绩效自评报告</w:t>
      </w:r>
    </w:p>
    <w:p>
      <w:pPr>
        <w:autoSpaceDE w:val="0"/>
        <w:autoSpaceDN w:val="0"/>
        <w:spacing w:line="600" w:lineRule="exact"/>
        <w:ind w:firstLine="640" w:firstLineChars="200"/>
        <w:rPr>
          <w:rFonts w:hint="eastAsia" w:eastAsia="黑体"/>
          <w:sz w:val="32"/>
          <w:szCs w:val="32"/>
        </w:rPr>
      </w:pPr>
    </w:p>
    <w:p>
      <w:pPr>
        <w:autoSpaceDE w:val="0"/>
        <w:autoSpaceDN w:val="0"/>
        <w:spacing w:line="600" w:lineRule="exact"/>
        <w:ind w:firstLine="640" w:firstLineChars="200"/>
        <w:rPr>
          <w:rFonts w:eastAsia="黑体" w:cstheme="minorBidi"/>
          <w:sz w:val="32"/>
          <w:szCs w:val="32"/>
        </w:rPr>
      </w:pPr>
      <w:r>
        <w:rPr>
          <w:rFonts w:hint="eastAsia" w:eastAsia="黑体"/>
          <w:sz w:val="32"/>
          <w:szCs w:val="32"/>
        </w:rPr>
        <w:t>一、项目概况</w:t>
      </w:r>
    </w:p>
    <w:p>
      <w:pPr>
        <w:autoSpaceDE w:val="0"/>
        <w:autoSpaceDN w:val="0"/>
        <w:spacing w:line="600" w:lineRule="exact"/>
        <w:ind w:firstLine="640" w:firstLineChars="200"/>
        <w:rPr>
          <w:rFonts w:ascii="仿宋" w:hAnsi="仿宋" w:eastAsia="仿宋"/>
          <w:sz w:val="32"/>
          <w:szCs w:val="32"/>
        </w:rPr>
      </w:pPr>
      <w:r>
        <w:rPr>
          <w:rFonts w:hint="eastAsia" w:ascii="仿宋" w:hAnsi="仿宋" w:eastAsia="仿宋"/>
          <w:sz w:val="32"/>
          <w:szCs w:val="32"/>
        </w:rPr>
        <w:t>（一）项目基本情况。</w:t>
      </w:r>
    </w:p>
    <w:p>
      <w:pPr>
        <w:autoSpaceDE w:val="0"/>
        <w:autoSpaceDN w:val="0"/>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1.</w:t>
      </w:r>
      <w:r>
        <w:rPr>
          <w:rFonts w:hint="eastAsia" w:ascii="仿宋" w:hAnsi="仿宋" w:eastAsia="仿宋"/>
          <w:sz w:val="32"/>
          <w:szCs w:val="32"/>
        </w:rPr>
        <w:t>说明项目主管部门（单位）在该项目管理中的职能。</w:t>
      </w:r>
    </w:p>
    <w:p>
      <w:pPr>
        <w:spacing w:line="560" w:lineRule="exact"/>
        <w:ind w:firstLine="660"/>
        <w:rPr>
          <w:rFonts w:ascii="仿宋" w:hAnsi="仿宋" w:eastAsia="仿宋"/>
          <w:sz w:val="32"/>
          <w:szCs w:val="32"/>
        </w:rPr>
      </w:pPr>
      <w:r>
        <w:rPr>
          <w:rFonts w:hint="eastAsia" w:ascii="仿宋" w:hAnsi="仿宋" w:eastAsia="仿宋"/>
          <w:sz w:val="32"/>
          <w:szCs w:val="32"/>
        </w:rPr>
        <w:t>县委宣传部负责县委中心组理论学习的服务工作</w:t>
      </w:r>
      <w:r>
        <w:rPr>
          <w:rFonts w:hint="eastAsia" w:ascii="仿宋" w:hAnsi="仿宋" w:eastAsia="仿宋"/>
          <w:sz w:val="32"/>
          <w:szCs w:val="32"/>
          <w:lang w:eastAsia="zh-CN"/>
        </w:rPr>
        <w:t>；</w:t>
      </w:r>
      <w:r>
        <w:rPr>
          <w:rFonts w:hint="eastAsia" w:ascii="仿宋" w:hAnsi="仿宋" w:eastAsia="仿宋"/>
          <w:sz w:val="32"/>
          <w:szCs w:val="32"/>
        </w:rPr>
        <w:t>负责理论学习、理论宣传、理论调研和理论队伍建</w:t>
      </w:r>
      <w:r>
        <w:rPr>
          <w:rFonts w:hint="eastAsia" w:ascii="仿宋" w:hAnsi="仿宋" w:eastAsia="仿宋"/>
          <w:sz w:val="32"/>
          <w:szCs w:val="32"/>
          <w:lang w:eastAsia="zh-CN"/>
        </w:rPr>
        <w:t>设等</w:t>
      </w:r>
      <w:r>
        <w:rPr>
          <w:rFonts w:hint="eastAsia" w:ascii="仿宋" w:hAnsi="仿宋" w:eastAsia="仿宋"/>
          <w:sz w:val="32"/>
          <w:szCs w:val="32"/>
        </w:rPr>
        <w:t>方面的业务工作</w:t>
      </w:r>
      <w:r>
        <w:rPr>
          <w:rFonts w:hint="eastAsia" w:ascii="仿宋" w:hAnsi="仿宋" w:eastAsia="仿宋"/>
          <w:sz w:val="32"/>
          <w:szCs w:val="32"/>
          <w:lang w:eastAsia="zh-CN"/>
        </w:rPr>
        <w:t>；</w:t>
      </w:r>
      <w:r>
        <w:rPr>
          <w:rFonts w:hint="eastAsia" w:ascii="仿宋" w:hAnsi="仿宋" w:eastAsia="仿宋"/>
          <w:sz w:val="32"/>
          <w:szCs w:val="32"/>
        </w:rPr>
        <w:t>起草并组织实施干部理论教育规划，了解、掌握全县党员干部和党委</w:t>
      </w:r>
      <w:r>
        <w:rPr>
          <w:rFonts w:hint="eastAsia" w:ascii="仿宋" w:hAnsi="仿宋" w:eastAsia="仿宋"/>
          <w:sz w:val="32"/>
          <w:szCs w:val="32"/>
          <w:lang w:eastAsia="zh-CN"/>
        </w:rPr>
        <w:t>（</w:t>
      </w:r>
      <w:r>
        <w:rPr>
          <w:rFonts w:hint="eastAsia" w:ascii="仿宋" w:hAnsi="仿宋" w:eastAsia="仿宋"/>
          <w:sz w:val="32"/>
          <w:szCs w:val="32"/>
        </w:rPr>
        <w:t>党组</w:t>
      </w:r>
      <w:r>
        <w:rPr>
          <w:rFonts w:hint="eastAsia" w:ascii="仿宋" w:hAnsi="仿宋" w:eastAsia="仿宋"/>
          <w:sz w:val="32"/>
          <w:szCs w:val="32"/>
          <w:lang w:eastAsia="zh-CN"/>
        </w:rPr>
        <w:t>）</w:t>
      </w:r>
      <w:r>
        <w:rPr>
          <w:rFonts w:hint="eastAsia" w:ascii="仿宋" w:hAnsi="仿宋" w:eastAsia="仿宋"/>
          <w:sz w:val="32"/>
          <w:szCs w:val="32"/>
        </w:rPr>
        <w:t>中心组理论学习情况</w:t>
      </w:r>
      <w:r>
        <w:rPr>
          <w:rFonts w:hint="eastAsia" w:ascii="仿宋" w:hAnsi="仿宋" w:eastAsia="仿宋"/>
          <w:sz w:val="32"/>
          <w:szCs w:val="32"/>
          <w:lang w:eastAsia="zh-CN"/>
        </w:rPr>
        <w:t>；</w:t>
      </w:r>
      <w:r>
        <w:rPr>
          <w:rFonts w:hint="eastAsia" w:ascii="仿宋" w:hAnsi="仿宋" w:eastAsia="仿宋"/>
          <w:sz w:val="32"/>
          <w:szCs w:val="32"/>
        </w:rPr>
        <w:t>负责全县党员党的基本理论、基本路线、基本知识和党员先进性及时事、政策等方面的教育，负责抓好各基层党校的阵地建设，负责农村党员冬训、党员轮训工作</w:t>
      </w:r>
      <w:r>
        <w:rPr>
          <w:rFonts w:hint="eastAsia" w:ascii="仿宋" w:hAnsi="仿宋" w:eastAsia="仿宋"/>
          <w:sz w:val="32"/>
          <w:szCs w:val="32"/>
          <w:lang w:eastAsia="zh-CN"/>
        </w:rPr>
        <w:t>；</w:t>
      </w:r>
      <w:r>
        <w:rPr>
          <w:rFonts w:hint="eastAsia" w:ascii="仿宋" w:hAnsi="仿宋" w:eastAsia="仿宋"/>
          <w:sz w:val="32"/>
          <w:szCs w:val="32"/>
        </w:rPr>
        <w:t>会同有关部门做好</w:t>
      </w:r>
      <w:r>
        <w:rPr>
          <w:rFonts w:hint="eastAsia" w:ascii="仿宋" w:hAnsi="仿宋" w:eastAsia="仿宋"/>
          <w:sz w:val="32"/>
          <w:szCs w:val="32"/>
          <w:lang w:eastAsia="zh-CN"/>
        </w:rPr>
        <w:t>先进</w:t>
      </w:r>
      <w:r>
        <w:rPr>
          <w:rFonts w:hint="eastAsia" w:ascii="仿宋" w:hAnsi="仿宋" w:eastAsia="仿宋"/>
          <w:sz w:val="32"/>
          <w:szCs w:val="32"/>
        </w:rPr>
        <w:t>基层党组织、优秀共产党员的典型宣传工作。</w:t>
      </w:r>
    </w:p>
    <w:p>
      <w:pPr>
        <w:autoSpaceDE w:val="0"/>
        <w:autoSpaceDN w:val="0"/>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2.</w:t>
      </w:r>
      <w:r>
        <w:rPr>
          <w:rFonts w:hint="eastAsia" w:ascii="仿宋" w:hAnsi="仿宋" w:eastAsia="仿宋"/>
          <w:sz w:val="32"/>
          <w:szCs w:val="32"/>
        </w:rPr>
        <w:t>项目立项、资金申报的依据。</w:t>
      </w:r>
    </w:p>
    <w:p>
      <w:pPr>
        <w:spacing w:line="560" w:lineRule="exact"/>
        <w:ind w:firstLine="660"/>
        <w:rPr>
          <w:rFonts w:ascii="仿宋" w:hAnsi="仿宋" w:eastAsia="仿宋"/>
          <w:sz w:val="32"/>
          <w:szCs w:val="32"/>
        </w:rPr>
      </w:pPr>
      <w:r>
        <w:rPr>
          <w:rFonts w:hint="eastAsia" w:ascii="仿宋" w:hAnsi="仿宋" w:eastAsia="仿宋"/>
          <w:sz w:val="32"/>
          <w:szCs w:val="32"/>
        </w:rPr>
        <w:t>按照上级要求，每年开展县委理论学习中心组专题学习至少6次，</w:t>
      </w:r>
      <w:r>
        <w:rPr>
          <w:rFonts w:hint="eastAsia" w:ascii="仿宋" w:hAnsi="仿宋" w:eastAsia="仿宋"/>
          <w:sz w:val="32"/>
          <w:szCs w:val="32"/>
          <w:lang w:eastAsia="zh-CN"/>
        </w:rPr>
        <w:t>党的二十大精神</w:t>
      </w:r>
      <w:r>
        <w:rPr>
          <w:rFonts w:hint="eastAsia" w:ascii="仿宋" w:hAnsi="仿宋" w:eastAsia="仿宋"/>
          <w:sz w:val="32"/>
          <w:szCs w:val="32"/>
        </w:rPr>
        <w:t>，中央、省委、市委重大会议精神的宣讲，我县本土理论宣讲品牌“笮悦慧”大讲堂理论宣讲，是进一步提升我县党员干部的知识理论水平的重要途径。</w:t>
      </w:r>
    </w:p>
    <w:p>
      <w:pPr>
        <w:numPr>
          <w:ilvl w:val="0"/>
          <w:numId w:val="3"/>
        </w:numPr>
        <w:autoSpaceDE w:val="0"/>
        <w:autoSpaceDN w:val="0"/>
        <w:adjustRightInd w:val="0"/>
        <w:spacing w:line="600" w:lineRule="exact"/>
        <w:ind w:firstLine="640" w:firstLineChars="200"/>
        <w:jc w:val="left"/>
        <w:rPr>
          <w:rFonts w:ascii="仿宋" w:hAnsi="仿宋" w:eastAsia="仿宋"/>
          <w:sz w:val="32"/>
          <w:szCs w:val="32"/>
        </w:rPr>
      </w:pPr>
      <w:r>
        <w:rPr>
          <w:rFonts w:hint="eastAsia" w:ascii="仿宋" w:hAnsi="仿宋" w:eastAsia="仿宋"/>
          <w:sz w:val="32"/>
          <w:szCs w:val="32"/>
        </w:rPr>
        <w:t>资金管理办法制定情况，资金支持具体项目的条件、范围与支持方式概况。</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主要用于开展县委理论学习中心组会议支出及贯彻落实党的二十大精神，中央、省委、市委重大会议精神的宣讲，我县本土理论宣讲品牌“笮悦慧”大讲堂理论宣讲工作支出，</w:t>
      </w:r>
      <w:r>
        <w:rPr>
          <w:rFonts w:hint="eastAsia" w:ascii="仿宋" w:hAnsi="仿宋" w:eastAsia="仿宋"/>
          <w:color w:val="000000"/>
          <w:sz w:val="32"/>
          <w:szCs w:val="32"/>
        </w:rPr>
        <w:t>项目资金采取县委宣传部、县财政局联合监管的办法，档案管理完整规范。</w:t>
      </w:r>
    </w:p>
    <w:p>
      <w:pPr>
        <w:autoSpaceDE w:val="0"/>
        <w:autoSpaceDN w:val="0"/>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4.</w:t>
      </w:r>
      <w:r>
        <w:rPr>
          <w:rFonts w:hint="eastAsia" w:ascii="仿宋" w:hAnsi="仿宋" w:eastAsia="仿宋"/>
          <w:sz w:val="32"/>
          <w:szCs w:val="32"/>
        </w:rPr>
        <w:t>资金分配的原则及考虑因素。</w:t>
      </w:r>
    </w:p>
    <w:p>
      <w:pPr>
        <w:autoSpaceDE w:val="0"/>
        <w:autoSpaceDN w:val="0"/>
        <w:spacing w:line="600" w:lineRule="exact"/>
        <w:ind w:firstLine="640" w:firstLineChars="200"/>
        <w:rPr>
          <w:rFonts w:ascii="仿宋" w:hAnsi="仿宋" w:eastAsia="仿宋"/>
          <w:sz w:val="32"/>
          <w:szCs w:val="32"/>
        </w:rPr>
      </w:pPr>
      <w:r>
        <w:rPr>
          <w:rFonts w:hint="eastAsia" w:ascii="仿宋" w:hAnsi="仿宋" w:eastAsia="仿宋"/>
          <w:color w:val="000000"/>
          <w:sz w:val="32"/>
          <w:szCs w:val="32"/>
        </w:rPr>
        <w:t>按照年初，县委宣传部印发</w:t>
      </w:r>
      <w:r>
        <w:rPr>
          <w:rFonts w:hint="eastAsia" w:ascii="仿宋" w:hAnsi="仿宋" w:eastAsia="仿宋"/>
          <w:sz w:val="32"/>
          <w:szCs w:val="32"/>
        </w:rPr>
        <w:t>的</w:t>
      </w:r>
      <w:r>
        <w:rPr>
          <w:rFonts w:hint="eastAsia" w:ascii="仿宋" w:hAnsi="仿宋" w:eastAsia="仿宋"/>
          <w:color w:val="000000"/>
          <w:sz w:val="32"/>
          <w:szCs w:val="32"/>
        </w:rPr>
        <w:t>《全县党委（党组）理论学习中心组专题学习安排意见》以及《盐边县党委（党组）理论学习中心组学习测评细则》等文件，</w:t>
      </w:r>
      <w:r>
        <w:rPr>
          <w:rFonts w:hint="eastAsia" w:ascii="仿宋" w:hAnsi="仿宋" w:eastAsia="仿宋"/>
          <w:sz w:val="32"/>
          <w:szCs w:val="32"/>
        </w:rPr>
        <w:t>规范项目，合理资金分配</w:t>
      </w:r>
      <w:r>
        <w:rPr>
          <w:rFonts w:hint="eastAsia" w:ascii="仿宋" w:hAnsi="仿宋" w:eastAsia="仿宋"/>
          <w:color w:val="000000"/>
          <w:sz w:val="32"/>
          <w:szCs w:val="32"/>
        </w:rPr>
        <w:t>。</w:t>
      </w:r>
    </w:p>
    <w:p>
      <w:pPr>
        <w:autoSpaceDE w:val="0"/>
        <w:autoSpaceDN w:val="0"/>
        <w:spacing w:line="600" w:lineRule="exact"/>
        <w:ind w:firstLine="640" w:firstLineChars="200"/>
        <w:rPr>
          <w:rFonts w:ascii="黑体" w:hAnsi="黑体" w:eastAsia="黑体" w:cstheme="minorBidi"/>
          <w:kern w:val="0"/>
          <w:sz w:val="32"/>
          <w:szCs w:val="32"/>
        </w:rPr>
      </w:pPr>
      <w:r>
        <w:rPr>
          <w:rFonts w:hint="eastAsia" w:ascii="黑体" w:hAnsi="黑体" w:eastAsia="黑体"/>
          <w:sz w:val="32"/>
          <w:szCs w:val="32"/>
        </w:rPr>
        <w:t>（二）项目绩效目标。</w:t>
      </w:r>
    </w:p>
    <w:p>
      <w:pPr>
        <w:autoSpaceDE w:val="0"/>
        <w:autoSpaceDN w:val="0"/>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1.</w:t>
      </w:r>
      <w:r>
        <w:rPr>
          <w:rFonts w:hint="eastAsia" w:ascii="仿宋" w:hAnsi="仿宋" w:eastAsia="仿宋"/>
          <w:sz w:val="32"/>
          <w:szCs w:val="32"/>
        </w:rPr>
        <w:t>项目主要内容。</w:t>
      </w:r>
    </w:p>
    <w:p>
      <w:pPr>
        <w:autoSpaceDE w:val="0"/>
        <w:autoSpaceDN w:val="0"/>
        <w:spacing w:line="600" w:lineRule="exact"/>
        <w:ind w:firstLine="640" w:firstLineChars="200"/>
        <w:rPr>
          <w:rFonts w:ascii="仿宋" w:hAnsi="仿宋" w:eastAsia="仿宋"/>
          <w:sz w:val="32"/>
          <w:szCs w:val="32"/>
        </w:rPr>
      </w:pPr>
      <w:r>
        <w:rPr>
          <w:rFonts w:hint="eastAsia" w:ascii="仿宋" w:hAnsi="仿宋" w:eastAsia="仿宋"/>
          <w:sz w:val="32"/>
          <w:szCs w:val="32"/>
        </w:rPr>
        <w:t>县委理论学习中心组专题学习，</w:t>
      </w:r>
      <w:r>
        <w:rPr>
          <w:rFonts w:hint="eastAsia" w:ascii="仿宋" w:hAnsi="仿宋" w:eastAsia="仿宋"/>
          <w:sz w:val="32"/>
          <w:szCs w:val="32"/>
          <w:lang w:eastAsia="zh-CN"/>
        </w:rPr>
        <w:t>党的二十大精神</w:t>
      </w:r>
      <w:r>
        <w:rPr>
          <w:rFonts w:hint="eastAsia" w:ascii="仿宋" w:hAnsi="仿宋" w:eastAsia="仿宋"/>
          <w:sz w:val="32"/>
          <w:szCs w:val="32"/>
        </w:rPr>
        <w:t>，中央、省委、市委重大会议精神的宣讲，我县本土理论宣讲品牌“笮悦慧”大讲堂理论宣讲。</w:t>
      </w:r>
    </w:p>
    <w:p>
      <w:pPr>
        <w:autoSpaceDE w:val="0"/>
        <w:autoSpaceDN w:val="0"/>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2.</w:t>
      </w:r>
      <w:r>
        <w:rPr>
          <w:rFonts w:hint="eastAsia" w:ascii="仿宋" w:hAnsi="仿宋" w:eastAsia="仿宋"/>
          <w:sz w:val="32"/>
          <w:szCs w:val="32"/>
        </w:rPr>
        <w:t>项目应实现的具体绩效目标，包括目标的量化、细化情况以及项目实施进度计划等。</w:t>
      </w:r>
    </w:p>
    <w:p>
      <w:pPr>
        <w:autoSpaceDE w:val="0"/>
        <w:autoSpaceDN w:val="0"/>
        <w:spacing w:line="600" w:lineRule="exact"/>
        <w:ind w:firstLine="640" w:firstLineChars="200"/>
        <w:rPr>
          <w:rFonts w:ascii="仿宋" w:hAnsi="仿宋" w:eastAsia="仿宋"/>
          <w:sz w:val="32"/>
          <w:szCs w:val="32"/>
        </w:rPr>
      </w:pPr>
      <w:r>
        <w:rPr>
          <w:rFonts w:hint="eastAsia" w:ascii="仿宋" w:hAnsi="仿宋" w:eastAsia="仿宋"/>
          <w:sz w:val="32"/>
          <w:szCs w:val="32"/>
        </w:rPr>
        <w:t>3.县委理论学习中心组专题学习至少6次；</w:t>
      </w:r>
      <w:r>
        <w:rPr>
          <w:rFonts w:hint="eastAsia" w:ascii="仿宋" w:hAnsi="仿宋" w:eastAsia="仿宋"/>
          <w:sz w:val="32"/>
          <w:szCs w:val="32"/>
          <w:lang w:eastAsia="zh-CN"/>
        </w:rPr>
        <w:t>党的二十大精神</w:t>
      </w:r>
      <w:r>
        <w:rPr>
          <w:rFonts w:hint="eastAsia" w:ascii="仿宋" w:hAnsi="仿宋" w:eastAsia="仿宋"/>
          <w:sz w:val="32"/>
          <w:szCs w:val="32"/>
        </w:rPr>
        <w:t>，中央、省委、市委重大会议精神，我县本土理论宣讲品牌“笮悦慧”大讲堂等理论宣讲至少150场。</w:t>
      </w:r>
    </w:p>
    <w:p>
      <w:pPr>
        <w:autoSpaceDE w:val="0"/>
        <w:autoSpaceDN w:val="0"/>
        <w:spacing w:line="600" w:lineRule="exact"/>
        <w:ind w:firstLine="640" w:firstLineChars="200"/>
        <w:rPr>
          <w:rFonts w:eastAsia="楷体_GB2312" w:cstheme="minorBidi"/>
          <w:sz w:val="32"/>
          <w:szCs w:val="32"/>
        </w:rPr>
      </w:pPr>
      <w:r>
        <w:rPr>
          <w:rFonts w:hint="eastAsia" w:eastAsia="黑体"/>
          <w:sz w:val="32"/>
          <w:szCs w:val="32"/>
        </w:rPr>
        <w:t>二、项目资金申报及使用情况</w:t>
      </w:r>
    </w:p>
    <w:p>
      <w:pPr>
        <w:autoSpaceDE w:val="0"/>
        <w:autoSpaceDN w:val="0"/>
        <w:spacing w:line="600" w:lineRule="exact"/>
        <w:ind w:firstLine="640" w:firstLineChars="200"/>
        <w:rPr>
          <w:rFonts w:ascii="仿宋" w:hAnsi="仿宋" w:eastAsia="仿宋"/>
          <w:sz w:val="33"/>
          <w:szCs w:val="33"/>
        </w:rPr>
      </w:pPr>
      <w:r>
        <w:rPr>
          <w:rFonts w:hint="eastAsia" w:ascii="仿宋" w:hAnsi="仿宋" w:eastAsia="仿宋"/>
          <w:sz w:val="32"/>
          <w:szCs w:val="32"/>
        </w:rPr>
        <w:t>（一）项目资金申报及批复情况。</w:t>
      </w:r>
    </w:p>
    <w:p>
      <w:pPr>
        <w:autoSpaceDE w:val="0"/>
        <w:autoSpaceDN w:val="0"/>
        <w:spacing w:line="600" w:lineRule="exact"/>
        <w:ind w:firstLine="640" w:firstLineChars="200"/>
        <w:rPr>
          <w:rFonts w:ascii="仿宋" w:hAnsi="仿宋" w:eastAsia="仿宋"/>
          <w:sz w:val="32"/>
          <w:szCs w:val="32"/>
        </w:rPr>
      </w:pPr>
      <w:r>
        <w:rPr>
          <w:rFonts w:hint="eastAsia" w:ascii="仿宋" w:hAnsi="仿宋" w:eastAsia="仿宋"/>
          <w:sz w:val="32"/>
          <w:szCs w:val="32"/>
        </w:rPr>
        <w:t>2022向本级财政追加申报2022年李路怒学习专项资金13.3537万元。</w:t>
      </w:r>
    </w:p>
    <w:p>
      <w:pPr>
        <w:numPr>
          <w:ilvl w:val="0"/>
          <w:numId w:val="4"/>
        </w:numPr>
        <w:autoSpaceDE w:val="0"/>
        <w:autoSpaceDN w:val="0"/>
        <w:adjustRightInd w:val="0"/>
        <w:spacing w:line="600" w:lineRule="exact"/>
        <w:ind w:firstLine="640" w:firstLineChars="200"/>
        <w:jc w:val="left"/>
        <w:rPr>
          <w:rFonts w:ascii="仿宋" w:hAnsi="仿宋" w:eastAsia="仿宋" w:cstheme="minorBidi"/>
          <w:sz w:val="32"/>
          <w:szCs w:val="32"/>
        </w:rPr>
      </w:pPr>
      <w:r>
        <w:rPr>
          <w:rFonts w:hint="eastAsia" w:ascii="仿宋" w:hAnsi="仿宋" w:eastAsia="仿宋"/>
          <w:sz w:val="32"/>
          <w:szCs w:val="32"/>
        </w:rPr>
        <w:t>资金计划、到位及使用情况。</w:t>
      </w:r>
    </w:p>
    <w:p>
      <w:pPr>
        <w:spacing w:line="600" w:lineRule="exact"/>
        <w:ind w:firstLine="640" w:firstLineChars="200"/>
        <w:rPr>
          <w:rFonts w:ascii="仿宋" w:hAnsi="仿宋" w:eastAsia="仿宋"/>
          <w:sz w:val="22"/>
          <w:szCs w:val="22"/>
        </w:rPr>
      </w:pPr>
      <w:r>
        <w:rPr>
          <w:rFonts w:hint="eastAsia" w:ascii="仿宋" w:hAnsi="仿宋" w:eastAsia="仿宋"/>
          <w:sz w:val="32"/>
          <w:szCs w:val="32"/>
        </w:rPr>
        <w:t>2022年理论学习项目成本（预算）使用合理，无浪费行为。</w:t>
      </w:r>
    </w:p>
    <w:p>
      <w:pPr>
        <w:autoSpaceDE w:val="0"/>
        <w:autoSpaceDN w:val="0"/>
        <w:spacing w:line="600" w:lineRule="exact"/>
        <w:ind w:firstLine="640" w:firstLineChars="200"/>
        <w:rPr>
          <w:rFonts w:ascii="仿宋" w:hAnsi="仿宋" w:eastAsia="仿宋"/>
          <w:sz w:val="32"/>
          <w:szCs w:val="32"/>
        </w:rPr>
      </w:pPr>
      <w:r>
        <w:rPr>
          <w:rFonts w:hint="eastAsia" w:ascii="仿宋" w:hAnsi="仿宋" w:eastAsia="仿宋"/>
          <w:sz w:val="32"/>
          <w:szCs w:val="32"/>
        </w:rPr>
        <w:t>（三）项目财务管理情况。</w:t>
      </w:r>
    </w:p>
    <w:p>
      <w:pPr>
        <w:autoSpaceDE w:val="0"/>
        <w:autoSpaceDN w:val="0"/>
        <w:spacing w:line="600" w:lineRule="exact"/>
        <w:ind w:firstLine="640" w:firstLineChars="200"/>
        <w:rPr>
          <w:rFonts w:ascii="仿宋" w:hAnsi="仿宋" w:eastAsia="仿宋"/>
          <w:sz w:val="32"/>
          <w:szCs w:val="32"/>
        </w:rPr>
      </w:pPr>
      <w:r>
        <w:rPr>
          <w:rFonts w:hint="eastAsia" w:ascii="仿宋" w:hAnsi="仿宋" w:eastAsia="仿宋"/>
          <w:sz w:val="32"/>
          <w:szCs w:val="32"/>
        </w:rPr>
        <w:t>财务管理制度健全，严格执行财务管理制度，账务处理及时，会计核算规范。</w:t>
      </w:r>
    </w:p>
    <w:p>
      <w:pPr>
        <w:autoSpaceDE w:val="0"/>
        <w:autoSpaceDN w:val="0"/>
        <w:spacing w:line="600" w:lineRule="exact"/>
        <w:ind w:firstLine="640" w:firstLineChars="200"/>
        <w:rPr>
          <w:rFonts w:eastAsia="黑体"/>
          <w:sz w:val="32"/>
          <w:szCs w:val="32"/>
        </w:rPr>
      </w:pPr>
      <w:r>
        <w:rPr>
          <w:rFonts w:hint="eastAsia" w:eastAsia="黑体"/>
          <w:sz w:val="32"/>
          <w:szCs w:val="32"/>
        </w:rPr>
        <w:t>三、项目实施及管理情况</w:t>
      </w:r>
    </w:p>
    <w:p>
      <w:pPr>
        <w:autoSpaceDE w:val="0"/>
        <w:autoSpaceDN w:val="0"/>
        <w:spacing w:line="600" w:lineRule="exact"/>
        <w:ind w:firstLine="640" w:firstLineChars="200"/>
        <w:rPr>
          <w:rFonts w:ascii="仿宋" w:hAnsi="仿宋" w:eastAsia="仿宋"/>
          <w:sz w:val="32"/>
          <w:szCs w:val="32"/>
        </w:rPr>
      </w:pPr>
      <w:r>
        <w:rPr>
          <w:rFonts w:hint="eastAsia" w:ascii="仿宋" w:hAnsi="仿宋" w:eastAsia="仿宋"/>
          <w:sz w:val="32"/>
          <w:szCs w:val="32"/>
        </w:rPr>
        <w:t>项目实施执行相关法律法规及项目管理制度，公正公开。</w:t>
      </w:r>
    </w:p>
    <w:p>
      <w:pPr>
        <w:autoSpaceDE w:val="0"/>
        <w:autoSpaceDN w:val="0"/>
        <w:spacing w:line="600" w:lineRule="exact"/>
        <w:ind w:firstLine="640" w:firstLineChars="200"/>
        <w:rPr>
          <w:rFonts w:eastAsia="黑体"/>
          <w:sz w:val="32"/>
          <w:szCs w:val="32"/>
        </w:rPr>
      </w:pPr>
      <w:r>
        <w:rPr>
          <w:rFonts w:hint="eastAsia" w:eastAsia="黑体"/>
          <w:sz w:val="32"/>
          <w:szCs w:val="32"/>
        </w:rPr>
        <w:t>四、项目绩效情况</w:t>
      </w:r>
    </w:p>
    <w:p>
      <w:pPr>
        <w:autoSpaceDE w:val="0"/>
        <w:autoSpaceDN w:val="0"/>
        <w:spacing w:line="600" w:lineRule="exact"/>
        <w:ind w:firstLine="640" w:firstLineChars="200"/>
        <w:rPr>
          <w:rFonts w:ascii="仿宋" w:hAnsi="仿宋" w:eastAsia="仿宋"/>
          <w:sz w:val="32"/>
          <w:szCs w:val="32"/>
        </w:rPr>
      </w:pPr>
      <w:r>
        <w:rPr>
          <w:rFonts w:hint="eastAsia" w:ascii="仿宋" w:hAnsi="仿宋" w:eastAsia="仿宋"/>
          <w:sz w:val="32"/>
          <w:szCs w:val="32"/>
        </w:rPr>
        <w:t>（一）项目完成情况。</w:t>
      </w:r>
    </w:p>
    <w:p>
      <w:pPr>
        <w:autoSpaceDE w:val="0"/>
        <w:autoSpaceDN w:val="0"/>
        <w:spacing w:line="600" w:lineRule="exact"/>
        <w:ind w:firstLine="640" w:firstLineChars="200"/>
        <w:rPr>
          <w:rFonts w:ascii="仿宋" w:hAnsi="仿宋" w:eastAsia="仿宋"/>
          <w:sz w:val="32"/>
          <w:szCs w:val="32"/>
        </w:rPr>
      </w:pPr>
      <w:r>
        <w:rPr>
          <w:rFonts w:hint="eastAsia" w:ascii="仿宋" w:hAnsi="仿宋" w:eastAsia="仿宋"/>
          <w:sz w:val="32"/>
          <w:szCs w:val="32"/>
        </w:rPr>
        <w:t>县委理论学习中心组学习9次，</w:t>
      </w:r>
      <w:r>
        <w:rPr>
          <w:rFonts w:hint="eastAsia" w:ascii="仿宋" w:hAnsi="仿宋" w:eastAsia="仿宋"/>
          <w:sz w:val="32"/>
          <w:szCs w:val="32"/>
          <w:lang w:eastAsia="zh-CN"/>
        </w:rPr>
        <w:t>党的二十大精神</w:t>
      </w:r>
      <w:r>
        <w:rPr>
          <w:rFonts w:hint="eastAsia" w:ascii="仿宋" w:hAnsi="仿宋" w:eastAsia="仿宋"/>
          <w:sz w:val="32"/>
          <w:szCs w:val="32"/>
        </w:rPr>
        <w:t>，中央、省委、市委重大会议精神，我县本土理论宣讲品牌“笮悦慧”大讲堂等理论宣讲164场。</w:t>
      </w:r>
    </w:p>
    <w:p>
      <w:pPr>
        <w:autoSpaceDE w:val="0"/>
        <w:autoSpaceDN w:val="0"/>
        <w:spacing w:line="600" w:lineRule="exact"/>
        <w:ind w:firstLine="640" w:firstLineChars="200"/>
        <w:rPr>
          <w:rFonts w:ascii="仿宋" w:hAnsi="仿宋" w:eastAsia="仿宋"/>
          <w:sz w:val="32"/>
          <w:szCs w:val="32"/>
        </w:rPr>
      </w:pPr>
      <w:r>
        <w:rPr>
          <w:rFonts w:hint="eastAsia" w:ascii="仿宋" w:hAnsi="仿宋" w:eastAsia="仿宋"/>
          <w:sz w:val="32"/>
          <w:szCs w:val="32"/>
        </w:rPr>
        <w:t>（二）项目效益情况。</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根据绩效评价结果，认为有助于进一步快速、精准地传播党委和政府的声音，发挥应急宣传功能，有利于进一步提升党员干部知识理论水平，为盐边高质量发展贡献磅礴理论力量。</w:t>
      </w:r>
    </w:p>
    <w:p>
      <w:pPr>
        <w:autoSpaceDE w:val="0"/>
        <w:autoSpaceDN w:val="0"/>
        <w:spacing w:line="600" w:lineRule="exact"/>
        <w:ind w:firstLine="640" w:firstLineChars="200"/>
        <w:rPr>
          <w:rFonts w:eastAsia="黑体" w:cstheme="minorBidi"/>
          <w:sz w:val="32"/>
          <w:szCs w:val="32"/>
        </w:rPr>
      </w:pPr>
      <w:r>
        <w:rPr>
          <w:rFonts w:hint="eastAsia" w:eastAsia="黑体"/>
          <w:sz w:val="32"/>
          <w:szCs w:val="32"/>
        </w:rPr>
        <w:t>五、评价结论及建议</w:t>
      </w:r>
    </w:p>
    <w:p>
      <w:pPr>
        <w:autoSpaceDE w:val="0"/>
        <w:autoSpaceDN w:val="0"/>
        <w:spacing w:line="600" w:lineRule="exact"/>
        <w:ind w:firstLine="640" w:firstLineChars="200"/>
        <w:rPr>
          <w:rFonts w:ascii="仿宋" w:hAnsi="仿宋" w:eastAsia="仿宋"/>
          <w:sz w:val="32"/>
          <w:szCs w:val="32"/>
        </w:rPr>
      </w:pPr>
      <w:r>
        <w:rPr>
          <w:rFonts w:hint="eastAsia" w:ascii="仿宋" w:hAnsi="仿宋" w:eastAsia="仿宋"/>
          <w:sz w:val="32"/>
          <w:szCs w:val="32"/>
        </w:rPr>
        <w:t>（一）评价结论。</w:t>
      </w:r>
    </w:p>
    <w:p>
      <w:pPr>
        <w:autoSpaceDE w:val="0"/>
        <w:autoSpaceDN w:val="0"/>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为推动盐边高质量发展奠定理论基础。</w:t>
      </w:r>
    </w:p>
    <w:p>
      <w:pPr>
        <w:autoSpaceDE w:val="0"/>
        <w:autoSpaceDN w:val="0"/>
        <w:spacing w:line="600" w:lineRule="exact"/>
        <w:ind w:firstLine="640" w:firstLineChars="200"/>
        <w:rPr>
          <w:rFonts w:ascii="仿宋" w:hAnsi="仿宋" w:eastAsia="仿宋" w:cstheme="minorBidi"/>
          <w:sz w:val="32"/>
          <w:szCs w:val="32"/>
        </w:rPr>
      </w:pPr>
      <w:r>
        <w:rPr>
          <w:rFonts w:hint="eastAsia" w:ascii="仿宋" w:hAnsi="仿宋" w:eastAsia="仿宋"/>
          <w:sz w:val="32"/>
          <w:szCs w:val="32"/>
        </w:rPr>
        <w:t>（二）存在的问题。</w:t>
      </w:r>
    </w:p>
    <w:p>
      <w:pPr>
        <w:ind w:firstLine="645"/>
        <w:rPr>
          <w:rFonts w:ascii="仿宋" w:hAnsi="仿宋" w:eastAsia="仿宋"/>
          <w:color w:val="000000"/>
          <w:sz w:val="32"/>
          <w:szCs w:val="32"/>
        </w:rPr>
      </w:pPr>
      <w:r>
        <w:rPr>
          <w:rFonts w:hint="eastAsia" w:ascii="仿宋" w:hAnsi="仿宋" w:eastAsia="仿宋"/>
          <w:color w:val="000000"/>
          <w:sz w:val="32"/>
          <w:szCs w:val="32"/>
        </w:rPr>
        <w:t>理论工作要切实提高政治站位，宣传工作需要更加细化，精准，扩大宣传面。</w:t>
      </w:r>
      <w:r>
        <w:rPr>
          <w:rFonts w:hint="eastAsia" w:ascii="仿宋" w:hAnsi="仿宋" w:eastAsia="仿宋"/>
          <w:color w:val="000000"/>
          <w:sz w:val="32"/>
          <w:szCs w:val="32"/>
        </w:rPr>
        <w:tab/>
      </w:r>
    </w:p>
    <w:p>
      <w:pPr>
        <w:autoSpaceDE w:val="0"/>
        <w:autoSpaceDN w:val="0"/>
        <w:spacing w:line="600" w:lineRule="exact"/>
        <w:ind w:firstLine="640" w:firstLineChars="200"/>
        <w:rPr>
          <w:rFonts w:ascii="仿宋" w:hAnsi="仿宋" w:eastAsia="仿宋" w:cstheme="minorBidi"/>
          <w:sz w:val="32"/>
          <w:szCs w:val="32"/>
        </w:rPr>
      </w:pPr>
      <w:r>
        <w:rPr>
          <w:rFonts w:hint="eastAsia" w:ascii="仿宋" w:hAnsi="仿宋" w:eastAsia="仿宋"/>
          <w:sz w:val="32"/>
          <w:szCs w:val="32"/>
        </w:rPr>
        <w:t>（三）相关建议。</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工作过程中，严格审批程序、严格规范财务，形成严格、科学、高效的运行机制。通过严格规范的工作程序，确保资金专款专用。</w:t>
      </w:r>
    </w:p>
    <w:p>
      <w:pPr>
        <w:pStyle w:val="8"/>
        <w:spacing w:line="600" w:lineRule="exact"/>
        <w:ind w:firstLine="640" w:firstLineChars="200"/>
        <w:jc w:val="left"/>
        <w:rPr>
          <w:rFonts w:ascii="黑体" w:hAnsi="黑体" w:eastAsia="黑体" w:cs="仿宋_GB2312"/>
          <w:sz w:val="32"/>
          <w:szCs w:val="32"/>
        </w:rPr>
      </w:pPr>
    </w:p>
    <w:p>
      <w:pPr>
        <w:spacing w:line="220" w:lineRule="atLeast"/>
        <w:rPr>
          <w:rFonts w:ascii="Tahoma" w:hAnsi="Tahoma" w:eastAsia="微软雅黑" w:cstheme="minorBidi"/>
          <w:sz w:val="22"/>
          <w:szCs w:val="22"/>
        </w:rPr>
      </w:pPr>
    </w:p>
    <w:p>
      <w:pPr>
        <w:adjustRightInd w:val="0"/>
        <w:snapToGrid w:val="0"/>
        <w:spacing w:line="560" w:lineRule="exact"/>
        <w:ind w:firstLine="720"/>
        <w:rPr>
          <w:rFonts w:eastAsia="方正仿宋_GBK"/>
          <w:color w:val="000000"/>
          <w:sz w:val="33"/>
          <w:szCs w:val="33"/>
          <w:lang w:val="zh-CN"/>
        </w:rPr>
      </w:pPr>
    </w:p>
    <w:p>
      <w:pPr>
        <w:pStyle w:val="2"/>
        <w:spacing w:before="93"/>
        <w:rPr>
          <w:lang w:val="zh-CN"/>
        </w:rPr>
      </w:pPr>
    </w:p>
    <w:p>
      <w:pPr>
        <w:adjustRightInd w:val="0"/>
        <w:snapToGrid w:val="0"/>
        <w:spacing w:line="560" w:lineRule="exact"/>
        <w:ind w:firstLine="720"/>
        <w:rPr>
          <w:rFonts w:eastAsia="方正仿宋_GBK"/>
          <w:sz w:val="33"/>
          <w:szCs w:val="33"/>
          <w:lang w:val="zh-CN"/>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both"/>
        <w:outlineLvl w:val="0"/>
        <w:rPr>
          <w:rFonts w:ascii="黑体" w:hAnsi="黑体" w:eastAsia="黑体"/>
          <w:sz w:val="44"/>
          <w:szCs w:val="44"/>
        </w:rPr>
      </w:pPr>
    </w:p>
    <w:p>
      <w:pPr>
        <w:spacing w:line="600" w:lineRule="exact"/>
        <w:jc w:val="center"/>
        <w:outlineLvl w:val="0"/>
        <w:rPr>
          <w:rFonts w:ascii="黑体" w:hAnsi="黑体" w:eastAsia="黑体"/>
          <w:b/>
          <w:sz w:val="44"/>
          <w:szCs w:val="44"/>
        </w:rPr>
      </w:pPr>
      <w:r>
        <w:rPr>
          <w:rFonts w:hint="eastAsia" w:ascii="黑体" w:hAnsi="黑体" w:eastAsia="黑体"/>
          <w:sz w:val="44"/>
          <w:szCs w:val="44"/>
        </w:rPr>
        <w:t>第</w:t>
      </w:r>
      <w:r>
        <w:rPr>
          <w:rFonts w:hint="eastAsia" w:ascii="黑体" w:hAnsi="黑体" w:eastAsia="黑体"/>
          <w:b/>
          <w:sz w:val="44"/>
          <w:szCs w:val="44"/>
        </w:rPr>
        <w:t>五部分 附表</w:t>
      </w:r>
      <w:bookmarkEnd w:id="54"/>
      <w:bookmarkEnd w:id="55"/>
      <w:bookmarkStart w:id="56" w:name="_Toc15396619"/>
    </w:p>
    <w:tbl>
      <w:tblPr>
        <w:tblStyle w:val="17"/>
        <w:tblW w:w="5000" w:type="pct"/>
        <w:tblInd w:w="0" w:type="dxa"/>
        <w:tblLayout w:type="fixed"/>
        <w:tblCellMar>
          <w:top w:w="0" w:type="dxa"/>
          <w:left w:w="57" w:type="dxa"/>
          <w:bottom w:w="0" w:type="dxa"/>
          <w:right w:w="57" w:type="dxa"/>
        </w:tblCellMar>
      </w:tblPr>
      <w:tblGrid>
        <w:gridCol w:w="8959"/>
      </w:tblGrid>
      <w:tr>
        <w:tblPrEx>
          <w:tblCellMar>
            <w:top w:w="0" w:type="dxa"/>
            <w:left w:w="57" w:type="dxa"/>
            <w:bottom w:w="0" w:type="dxa"/>
            <w:right w:w="57" w:type="dxa"/>
          </w:tblCellMar>
        </w:tblPrEx>
        <w:trPr>
          <w:trHeight w:val="390" w:hRule="atLeast"/>
        </w:trPr>
        <w:tc>
          <w:tcPr>
            <w:tcW w:w="5000" w:type="pct"/>
            <w:tcBorders>
              <w:top w:val="nil"/>
              <w:left w:val="nil"/>
              <w:bottom w:val="nil"/>
              <w:right w:val="nil"/>
            </w:tcBorders>
            <w:shd w:val="clear" w:color="auto" w:fill="auto"/>
            <w:noWrap/>
            <w:vAlign w:val="bottom"/>
          </w:tcPr>
          <w:p>
            <w:pPr>
              <w:widowControl/>
              <w:jc w:val="left"/>
              <w:rPr>
                <w:rFonts w:ascii="仿宋" w:hAnsi="仿宋" w:eastAsia="仿宋"/>
                <w:sz w:val="32"/>
                <w:szCs w:val="32"/>
              </w:rPr>
            </w:pPr>
            <w:r>
              <w:rPr>
                <w:rFonts w:hint="eastAsia" w:ascii="仿宋" w:hAnsi="仿宋" w:eastAsia="仿宋"/>
                <w:sz w:val="32"/>
                <w:szCs w:val="32"/>
              </w:rPr>
              <w:t>一、收入支出决算总表</w:t>
            </w:r>
            <w:bookmarkEnd w:id="56"/>
          </w:p>
          <w:p>
            <w:pPr>
              <w:pStyle w:val="2"/>
              <w:spacing w:before="93"/>
            </w:pPr>
            <w:r>
              <w:drawing>
                <wp:inline distT="0" distB="0" distL="0" distR="0">
                  <wp:extent cx="4956175" cy="6699250"/>
                  <wp:effectExtent l="0" t="0" r="15875" b="635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noChangeArrowheads="1"/>
                          </pic:cNvPicPr>
                        </pic:nvPicPr>
                        <pic:blipFill>
                          <a:blip r:embed="rId11"/>
                          <a:srcRect/>
                          <a:stretch>
                            <a:fillRect/>
                          </a:stretch>
                        </pic:blipFill>
                        <pic:spPr>
                          <a:xfrm>
                            <a:off x="0" y="0"/>
                            <a:ext cx="4956175" cy="6699250"/>
                          </a:xfrm>
                          <a:prstGeom prst="rect">
                            <a:avLst/>
                          </a:prstGeom>
                          <a:noFill/>
                          <a:ln w="9525">
                            <a:noFill/>
                            <a:miter lim="800000"/>
                            <a:headEnd/>
                            <a:tailEnd/>
                          </a:ln>
                        </pic:spPr>
                      </pic:pic>
                    </a:graphicData>
                  </a:graphic>
                </wp:inline>
              </w:drawing>
            </w:r>
          </w:p>
        </w:tc>
      </w:tr>
    </w:tbl>
    <w:p>
      <w:pPr>
        <w:rPr>
          <w:rFonts w:hint="eastAsia" w:ascii="仿宋" w:hAnsi="仿宋" w:eastAsia="仿宋"/>
          <w:sz w:val="32"/>
          <w:szCs w:val="32"/>
        </w:rPr>
      </w:pPr>
      <w:bookmarkStart w:id="57" w:name="_Toc15396620"/>
    </w:p>
    <w:p>
      <w:pPr>
        <w:rPr>
          <w:sz w:val="32"/>
          <w:szCs w:val="32"/>
        </w:rPr>
      </w:pPr>
      <w:r>
        <w:rPr>
          <w:rFonts w:hint="eastAsia" w:ascii="仿宋" w:hAnsi="仿宋" w:eastAsia="仿宋"/>
          <w:sz w:val="32"/>
          <w:szCs w:val="32"/>
        </w:rPr>
        <w:t>二、收入决算表</w:t>
      </w:r>
      <w:bookmarkEnd w:id="57"/>
    </w:p>
    <w:tbl>
      <w:tblPr>
        <w:tblStyle w:val="17"/>
        <w:tblW w:w="5000" w:type="pct"/>
        <w:tblInd w:w="0" w:type="dxa"/>
        <w:tblLayout w:type="autofit"/>
        <w:tblCellMar>
          <w:top w:w="0" w:type="dxa"/>
          <w:left w:w="108" w:type="dxa"/>
          <w:bottom w:w="0" w:type="dxa"/>
          <w:right w:w="108" w:type="dxa"/>
        </w:tblCellMar>
      </w:tblPr>
      <w:tblGrid>
        <w:gridCol w:w="31"/>
        <w:gridCol w:w="5727"/>
        <w:gridCol w:w="383"/>
        <w:gridCol w:w="328"/>
        <w:gridCol w:w="259"/>
        <w:gridCol w:w="221"/>
        <w:gridCol w:w="221"/>
        <w:gridCol w:w="283"/>
        <w:gridCol w:w="221"/>
        <w:gridCol w:w="221"/>
        <w:gridCol w:w="1166"/>
      </w:tblGrid>
      <w:tr>
        <w:tblPrEx>
          <w:tblCellMar>
            <w:top w:w="0" w:type="dxa"/>
            <w:left w:w="108" w:type="dxa"/>
            <w:bottom w:w="0" w:type="dxa"/>
            <w:right w:w="108" w:type="dxa"/>
          </w:tblCellMar>
        </w:tblPrEx>
        <w:trPr>
          <w:gridBefore w:val="1"/>
          <w:wBefore w:w="16" w:type="pct"/>
          <w:trHeight w:val="390" w:hRule="atLeast"/>
        </w:trPr>
        <w:tc>
          <w:tcPr>
            <w:tcW w:w="0" w:type="auto"/>
            <w:gridSpan w:val="10"/>
            <w:tcBorders>
              <w:top w:val="nil"/>
              <w:left w:val="nil"/>
              <w:bottom w:val="nil"/>
              <w:right w:val="nil"/>
            </w:tcBorders>
            <w:shd w:val="clear" w:color="auto" w:fill="auto"/>
            <w:noWrap/>
            <w:vAlign w:val="bottom"/>
          </w:tcPr>
          <w:p>
            <w:pPr>
              <w:widowControl/>
              <w:jc w:val="left"/>
              <w:rPr>
                <w:rFonts w:ascii="宋体" w:hAnsi="宋体" w:cs="Arial"/>
                <w:color w:val="000000"/>
                <w:kern w:val="0"/>
                <w:sz w:val="30"/>
                <w:szCs w:val="30"/>
              </w:rPr>
            </w:pPr>
            <w:r>
              <w:rPr>
                <w:rFonts w:ascii="宋体" w:hAnsi="宋体" w:cs="Arial"/>
                <w:color w:val="000000"/>
                <w:kern w:val="0"/>
                <w:sz w:val="30"/>
                <w:szCs w:val="30"/>
              </w:rPr>
              <w:drawing>
                <wp:inline distT="0" distB="0" distL="0" distR="0">
                  <wp:extent cx="5267960" cy="7515225"/>
                  <wp:effectExtent l="0" t="0" r="8890" b="952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noChangeArrowheads="1"/>
                          </pic:cNvPicPr>
                        </pic:nvPicPr>
                        <pic:blipFill>
                          <a:blip r:embed="rId12"/>
                          <a:srcRect/>
                          <a:stretch>
                            <a:fillRect/>
                          </a:stretch>
                        </pic:blipFill>
                        <pic:spPr>
                          <a:xfrm>
                            <a:off x="0" y="0"/>
                            <a:ext cx="5267960" cy="7515225"/>
                          </a:xfrm>
                          <a:prstGeom prst="rect">
                            <a:avLst/>
                          </a:prstGeom>
                          <a:noFill/>
                          <a:ln w="9525">
                            <a:noFill/>
                            <a:miter lim="800000"/>
                            <a:headEnd/>
                            <a:tailEnd/>
                          </a:ln>
                        </pic:spPr>
                      </pic:pic>
                    </a:graphicData>
                  </a:graphic>
                </wp:inline>
              </w:drawing>
            </w:r>
          </w:p>
        </w:tc>
      </w:tr>
      <w:tr>
        <w:tblPrEx>
          <w:tblCellMar>
            <w:top w:w="0" w:type="dxa"/>
            <w:left w:w="108" w:type="dxa"/>
            <w:bottom w:w="0" w:type="dxa"/>
            <w:right w:w="108" w:type="dxa"/>
          </w:tblCellMar>
        </w:tblPrEx>
        <w:trPr>
          <w:trHeight w:val="390" w:hRule="atLeast"/>
        </w:trPr>
        <w:tc>
          <w:tcPr>
            <w:tcW w:w="5000" w:type="pct"/>
            <w:gridSpan w:val="11"/>
            <w:tcBorders>
              <w:top w:val="nil"/>
              <w:left w:val="nil"/>
              <w:bottom w:val="nil"/>
              <w:right w:val="nil"/>
            </w:tcBorders>
            <w:shd w:val="clear" w:color="auto" w:fill="auto"/>
            <w:noWrap/>
            <w:vAlign w:val="bottom"/>
          </w:tcPr>
          <w:p>
            <w:pPr>
              <w:widowControl/>
              <w:jc w:val="left"/>
            </w:pPr>
            <w:bookmarkStart w:id="58" w:name="_Toc15396621"/>
            <w:r>
              <w:rPr>
                <w:rFonts w:hint="eastAsia" w:ascii="仿宋" w:hAnsi="仿宋" w:eastAsia="仿宋"/>
                <w:sz w:val="32"/>
                <w:szCs w:val="32"/>
              </w:rPr>
              <w:t>三、</w:t>
            </w:r>
            <w:r>
              <w:rPr>
                <w:rFonts w:hint="eastAsia" w:ascii="仿宋" w:hAnsi="仿宋" w:eastAsia="仿宋"/>
                <w:b/>
                <w:sz w:val="32"/>
                <w:szCs w:val="32"/>
              </w:rPr>
              <w:t>支</w:t>
            </w:r>
            <w:r>
              <w:rPr>
                <w:rFonts w:hint="eastAsia" w:ascii="仿宋" w:hAnsi="仿宋" w:eastAsia="仿宋"/>
                <w:sz w:val="32"/>
                <w:szCs w:val="32"/>
              </w:rPr>
              <w:t>出决算表</w:t>
            </w:r>
            <w:bookmarkEnd w:id="58"/>
          </w:p>
        </w:tc>
      </w:tr>
      <w:tr>
        <w:tblPrEx>
          <w:tblCellMar>
            <w:top w:w="0" w:type="dxa"/>
            <w:left w:w="108" w:type="dxa"/>
            <w:bottom w:w="0" w:type="dxa"/>
            <w:right w:w="108" w:type="dxa"/>
          </w:tblCellMar>
        </w:tblPrEx>
        <w:trPr>
          <w:trHeight w:val="90" w:hRule="atLeast"/>
        </w:trPr>
        <w:tc>
          <w:tcPr>
            <w:tcW w:w="2878" w:type="pct"/>
            <w:gridSpan w:val="2"/>
            <w:tcBorders>
              <w:top w:val="nil"/>
              <w:left w:val="nil"/>
              <w:bottom w:val="nil"/>
              <w:right w:val="nil"/>
            </w:tcBorders>
            <w:shd w:val="clear" w:color="auto" w:fill="auto"/>
            <w:noWrap/>
            <w:vAlign w:val="bottom"/>
          </w:tcPr>
          <w:p>
            <w:pPr>
              <w:widowControl/>
              <w:jc w:val="left"/>
              <w:rPr>
                <w:rFonts w:ascii="仿宋" w:hAnsi="仿宋" w:eastAsia="仿宋"/>
                <w:sz w:val="32"/>
                <w:szCs w:val="32"/>
              </w:rPr>
            </w:pPr>
            <w:bookmarkStart w:id="59" w:name="_Toc15396622"/>
            <w:r>
              <w:rPr>
                <w:rFonts w:hint="eastAsia" w:ascii="仿宋" w:hAnsi="仿宋" w:eastAsia="仿宋"/>
                <w:sz w:val="32"/>
                <w:szCs w:val="32"/>
              </w:rPr>
              <w:drawing>
                <wp:inline distT="0" distB="0" distL="0" distR="0">
                  <wp:extent cx="4363720" cy="6956425"/>
                  <wp:effectExtent l="0" t="0" r="17780" b="15875"/>
                  <wp:docPr id="3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9"/>
                          <pic:cNvPicPr>
                            <a:picLocks noChangeAspect="1" noChangeArrowheads="1"/>
                          </pic:cNvPicPr>
                        </pic:nvPicPr>
                        <pic:blipFill>
                          <a:blip r:embed="rId13"/>
                          <a:srcRect/>
                          <a:stretch>
                            <a:fillRect/>
                          </a:stretch>
                        </pic:blipFill>
                        <pic:spPr>
                          <a:xfrm>
                            <a:off x="0" y="0"/>
                            <a:ext cx="4363720" cy="6956425"/>
                          </a:xfrm>
                          <a:prstGeom prst="rect">
                            <a:avLst/>
                          </a:prstGeom>
                          <a:noFill/>
                          <a:ln w="9525">
                            <a:noFill/>
                            <a:miter lim="800000"/>
                            <a:headEnd/>
                            <a:tailEnd/>
                          </a:ln>
                        </pic:spPr>
                      </pic:pic>
                    </a:graphicData>
                  </a:graphic>
                </wp:inline>
              </w:drawing>
            </w:r>
          </w:p>
          <w:bookmarkEnd w:id="59"/>
          <w:p>
            <w:pPr>
              <w:widowControl/>
              <w:jc w:val="left"/>
            </w:pPr>
          </w:p>
        </w:tc>
        <w:tc>
          <w:tcPr>
            <w:tcW w:w="248" w:type="pct"/>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p>
        </w:tc>
        <w:tc>
          <w:tcPr>
            <w:tcW w:w="208" w:type="pct"/>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p>
        </w:tc>
        <w:tc>
          <w:tcPr>
            <w:tcW w:w="157" w:type="pct"/>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p>
        </w:tc>
        <w:tc>
          <w:tcPr>
            <w:tcW w:w="129" w:type="pct"/>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p>
        </w:tc>
        <w:tc>
          <w:tcPr>
            <w:tcW w:w="129" w:type="pct"/>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p>
        </w:tc>
        <w:tc>
          <w:tcPr>
            <w:tcW w:w="175" w:type="pct"/>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p>
        </w:tc>
        <w:tc>
          <w:tcPr>
            <w:tcW w:w="129" w:type="pct"/>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p>
        </w:tc>
        <w:tc>
          <w:tcPr>
            <w:tcW w:w="129" w:type="pct"/>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p>
        </w:tc>
        <w:tc>
          <w:tcPr>
            <w:tcW w:w="813" w:type="pct"/>
            <w:tcBorders>
              <w:top w:val="nil"/>
              <w:left w:val="nil"/>
              <w:bottom w:val="nil"/>
              <w:right w:val="nil"/>
            </w:tcBorders>
            <w:shd w:val="clear" w:color="auto" w:fill="auto"/>
            <w:noWrap/>
            <w:vAlign w:val="bottom"/>
          </w:tcPr>
          <w:p>
            <w:pPr>
              <w:widowControl/>
              <w:jc w:val="right"/>
              <w:rPr>
                <w:rFonts w:ascii="宋体" w:hAnsi="宋体" w:cs="Arial"/>
                <w:color w:val="000000"/>
                <w:kern w:val="0"/>
                <w:sz w:val="20"/>
                <w:szCs w:val="20"/>
              </w:rPr>
            </w:pPr>
          </w:p>
        </w:tc>
      </w:tr>
    </w:tbl>
    <w:p/>
    <w:p>
      <w:r>
        <w:rPr>
          <w:rFonts w:hint="eastAsia" w:ascii="仿宋" w:hAnsi="仿宋" w:eastAsia="仿宋"/>
          <w:sz w:val="32"/>
          <w:szCs w:val="32"/>
        </w:rPr>
        <w:t>四、</w:t>
      </w:r>
      <w:r>
        <w:rPr>
          <w:rFonts w:hint="eastAsia" w:ascii="仿宋" w:hAnsi="仿宋" w:eastAsia="仿宋"/>
          <w:b/>
          <w:sz w:val="32"/>
          <w:szCs w:val="32"/>
        </w:rPr>
        <w:t>财</w:t>
      </w:r>
      <w:r>
        <w:rPr>
          <w:rFonts w:hint="eastAsia" w:ascii="仿宋" w:hAnsi="仿宋" w:eastAsia="仿宋"/>
          <w:sz w:val="32"/>
          <w:szCs w:val="32"/>
        </w:rPr>
        <w:t>政拨款收入支出决算总表</w:t>
      </w:r>
    </w:p>
    <w:p>
      <w:r>
        <w:drawing>
          <wp:inline distT="0" distB="0" distL="0" distR="0">
            <wp:extent cx="5329555" cy="7676515"/>
            <wp:effectExtent l="0" t="0" r="4445" b="63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noChangeArrowheads="1"/>
                    </pic:cNvPicPr>
                  </pic:nvPicPr>
                  <pic:blipFill>
                    <a:blip r:embed="rId14"/>
                    <a:srcRect/>
                    <a:stretch>
                      <a:fillRect/>
                    </a:stretch>
                  </pic:blipFill>
                  <pic:spPr>
                    <a:xfrm>
                      <a:off x="0" y="0"/>
                      <a:ext cx="5329555" cy="7676515"/>
                    </a:xfrm>
                    <a:prstGeom prst="rect">
                      <a:avLst/>
                    </a:prstGeom>
                    <a:noFill/>
                    <a:ln w="9525">
                      <a:noFill/>
                      <a:miter lim="800000"/>
                      <a:headEnd/>
                      <a:tailEnd/>
                    </a:ln>
                  </pic:spPr>
                </pic:pic>
              </a:graphicData>
            </a:graphic>
          </wp:inline>
        </w:drawing>
      </w:r>
    </w:p>
    <w:tbl>
      <w:tblPr>
        <w:tblStyle w:val="17"/>
        <w:tblW w:w="8454" w:type="dxa"/>
        <w:tblInd w:w="93" w:type="dxa"/>
        <w:tblLayout w:type="autofit"/>
        <w:tblCellMar>
          <w:top w:w="0" w:type="dxa"/>
          <w:left w:w="108" w:type="dxa"/>
          <w:bottom w:w="0" w:type="dxa"/>
          <w:right w:w="108" w:type="dxa"/>
        </w:tblCellMar>
      </w:tblPr>
      <w:tblGrid>
        <w:gridCol w:w="221"/>
        <w:gridCol w:w="6316"/>
        <w:gridCol w:w="221"/>
        <w:gridCol w:w="221"/>
        <w:gridCol w:w="221"/>
        <w:gridCol w:w="221"/>
        <w:gridCol w:w="221"/>
        <w:gridCol w:w="221"/>
        <w:gridCol w:w="221"/>
        <w:gridCol w:w="221"/>
        <w:gridCol w:w="221"/>
        <w:gridCol w:w="221"/>
        <w:gridCol w:w="221"/>
      </w:tblGrid>
      <w:tr>
        <w:tblPrEx>
          <w:tblCellMar>
            <w:top w:w="0" w:type="dxa"/>
            <w:left w:w="108" w:type="dxa"/>
            <w:bottom w:w="0" w:type="dxa"/>
            <w:right w:w="108" w:type="dxa"/>
          </w:tblCellMar>
        </w:tblPrEx>
        <w:trPr>
          <w:trHeight w:val="546" w:hRule="atLeast"/>
        </w:trPr>
        <w:tc>
          <w:tcPr>
            <w:tcW w:w="0" w:type="auto"/>
            <w:gridSpan w:val="13"/>
            <w:tcBorders>
              <w:top w:val="nil"/>
              <w:left w:val="nil"/>
              <w:bottom w:val="nil"/>
              <w:right w:val="nil"/>
            </w:tcBorders>
            <w:shd w:val="clear" w:color="auto" w:fill="auto"/>
            <w:noWrap/>
            <w:vAlign w:val="bottom"/>
          </w:tcPr>
          <w:p>
            <w:pPr>
              <w:widowControl/>
              <w:jc w:val="left"/>
            </w:pPr>
            <w:bookmarkStart w:id="60" w:name="_Toc15396623"/>
            <w:r>
              <w:rPr>
                <w:rFonts w:hint="eastAsia" w:ascii="仿宋" w:hAnsi="仿宋" w:eastAsia="仿宋"/>
                <w:sz w:val="32"/>
                <w:szCs w:val="32"/>
              </w:rPr>
              <w:t>五、</w:t>
            </w:r>
            <w:r>
              <w:rPr>
                <w:rFonts w:hint="eastAsia" w:ascii="仿宋" w:hAnsi="仿宋" w:eastAsia="仿宋"/>
                <w:b/>
                <w:sz w:val="32"/>
                <w:szCs w:val="32"/>
              </w:rPr>
              <w:t>财</w:t>
            </w:r>
            <w:r>
              <w:rPr>
                <w:rFonts w:hint="eastAsia" w:ascii="仿宋" w:hAnsi="仿宋" w:eastAsia="仿宋"/>
                <w:sz w:val="32"/>
                <w:szCs w:val="32"/>
              </w:rPr>
              <w:t>政拨款支出决算明细表</w:t>
            </w:r>
            <w:bookmarkEnd w:id="60"/>
            <w:bookmarkStart w:id="61" w:name="_Toc15396624"/>
          </w:p>
        </w:tc>
      </w:tr>
      <w:tr>
        <w:tblPrEx>
          <w:tblCellMar>
            <w:top w:w="0" w:type="dxa"/>
            <w:left w:w="108" w:type="dxa"/>
            <w:bottom w:w="0" w:type="dxa"/>
            <w:right w:w="108" w:type="dxa"/>
          </w:tblCellMar>
        </w:tblPrEx>
        <w:trPr>
          <w:trHeight w:val="258" w:hRule="atLeast"/>
        </w:trPr>
        <w:tc>
          <w:tcPr>
            <w:tcW w:w="0" w:type="auto"/>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r>
              <w:rPr>
                <w:rFonts w:ascii="Arial" w:hAnsi="Arial" w:cs="Arial"/>
                <w:color w:val="000000"/>
                <w:kern w:val="0"/>
                <w:sz w:val="20"/>
                <w:szCs w:val="20"/>
              </w:rPr>
              <w:drawing>
                <wp:inline distT="0" distB="0" distL="0" distR="0">
                  <wp:extent cx="4618990" cy="7517765"/>
                  <wp:effectExtent l="0" t="0" r="10160" b="6985"/>
                  <wp:docPr id="3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0"/>
                          <pic:cNvPicPr>
                            <a:picLocks noChangeAspect="1" noChangeArrowheads="1"/>
                          </pic:cNvPicPr>
                        </pic:nvPicPr>
                        <pic:blipFill>
                          <a:blip r:embed="rId15"/>
                          <a:srcRect/>
                          <a:stretch>
                            <a:fillRect/>
                          </a:stretch>
                        </pic:blipFill>
                        <pic:spPr>
                          <a:xfrm>
                            <a:off x="0" y="0"/>
                            <a:ext cx="4618990" cy="751776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tcPr>
          <w:p>
            <w:pPr>
              <w:widowControl/>
              <w:jc w:val="right"/>
              <w:rPr>
                <w:rFonts w:ascii="宋体" w:hAnsi="宋体" w:cs="Arial"/>
                <w:color w:val="000000"/>
                <w:kern w:val="0"/>
                <w:sz w:val="20"/>
                <w:szCs w:val="20"/>
              </w:rPr>
            </w:pPr>
          </w:p>
        </w:tc>
      </w:tr>
    </w:tbl>
    <w:p>
      <w:pPr>
        <w:pStyle w:val="4"/>
      </w:pPr>
      <w:r>
        <w:rPr>
          <w:rFonts w:hint="eastAsia" w:ascii="仿宋" w:hAnsi="仿宋" w:eastAsia="仿宋"/>
        </w:rPr>
        <w:t>六、</w:t>
      </w:r>
      <w:r>
        <w:rPr>
          <w:rFonts w:hint="eastAsia" w:ascii="仿宋" w:hAnsi="仿宋" w:eastAsia="仿宋"/>
          <w:b w:val="0"/>
        </w:rPr>
        <w:t>一</w:t>
      </w:r>
      <w:r>
        <w:rPr>
          <w:rFonts w:hint="eastAsia" w:ascii="仿宋" w:hAnsi="仿宋" w:eastAsia="仿宋"/>
        </w:rPr>
        <w:t>般公共预算财政拨款支出决算表</w:t>
      </w:r>
      <w:bookmarkEnd w:id="61"/>
    </w:p>
    <w:p>
      <w:bookmarkStart w:id="62" w:name="_Toc15396625"/>
      <w:r>
        <w:drawing>
          <wp:inline distT="0" distB="0" distL="0" distR="0">
            <wp:extent cx="5274310" cy="5139055"/>
            <wp:effectExtent l="19050" t="0" r="254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6"/>
                    <a:srcRect/>
                    <a:stretch>
                      <a:fillRect/>
                    </a:stretch>
                  </pic:blipFill>
                  <pic:spPr>
                    <a:xfrm>
                      <a:off x="0" y="0"/>
                      <a:ext cx="5274310" cy="5139384"/>
                    </a:xfrm>
                    <a:prstGeom prst="rect">
                      <a:avLst/>
                    </a:prstGeom>
                    <a:noFill/>
                    <a:ln w="9525">
                      <a:noFill/>
                      <a:miter lim="800000"/>
                      <a:headEnd/>
                      <a:tailEnd/>
                    </a:ln>
                  </pic:spPr>
                </pic:pic>
              </a:graphicData>
            </a:graphic>
          </wp:inline>
        </w:drawing>
      </w:r>
    </w:p>
    <w:p>
      <w:pPr>
        <w:pStyle w:val="2"/>
        <w:spacing w:before="93"/>
      </w:pPr>
    </w:p>
    <w:p>
      <w:pPr>
        <w:pStyle w:val="4"/>
        <w:rPr>
          <w:rFonts w:ascii="仿宋" w:hAnsi="仿宋" w:eastAsia="仿宋"/>
        </w:rPr>
      </w:pPr>
      <w:r>
        <w:rPr>
          <w:rFonts w:hint="eastAsia" w:ascii="仿宋" w:hAnsi="仿宋" w:eastAsia="仿宋"/>
        </w:rPr>
        <w:t>七、</w:t>
      </w:r>
      <w:r>
        <w:rPr>
          <w:rFonts w:hint="eastAsia" w:ascii="仿宋" w:hAnsi="仿宋" w:eastAsia="仿宋"/>
          <w:b w:val="0"/>
        </w:rPr>
        <w:t>一</w:t>
      </w:r>
      <w:r>
        <w:rPr>
          <w:rFonts w:hint="eastAsia" w:ascii="仿宋" w:hAnsi="仿宋" w:eastAsia="仿宋"/>
        </w:rPr>
        <w:t>般公共预算财政拨款支出决算明细表</w:t>
      </w:r>
      <w:bookmarkEnd w:id="62"/>
      <w:bookmarkStart w:id="63" w:name="_Toc15396626"/>
    </w:p>
    <w:p>
      <w:pPr>
        <w:pStyle w:val="4"/>
        <w:tabs>
          <w:tab w:val="left" w:pos="6645"/>
        </w:tabs>
        <w:rPr>
          <w:rStyle w:val="32"/>
          <w:rFonts w:ascii="仿宋" w:hAnsi="仿宋" w:eastAsia="仿宋"/>
          <w:b w:val="0"/>
          <w:bCs w:val="0"/>
        </w:rPr>
      </w:pPr>
      <w:r>
        <w:rPr>
          <w:rFonts w:hint="eastAsia" w:ascii="仿宋" w:hAnsi="仿宋" w:eastAsia="仿宋"/>
          <w:b w:val="0"/>
          <w:bCs w:val="0"/>
        </w:rPr>
        <w:drawing>
          <wp:inline distT="0" distB="0" distL="0" distR="0">
            <wp:extent cx="5567680" cy="3639185"/>
            <wp:effectExtent l="19050" t="0" r="0" b="0"/>
            <wp:docPr id="35" name="图片 34"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4" descr="7.png"/>
                    <pic:cNvPicPr>
                      <a:picLocks noChangeAspect="1"/>
                    </pic:cNvPicPr>
                  </pic:nvPicPr>
                  <pic:blipFill>
                    <a:blip r:embed="rId17"/>
                    <a:stretch>
                      <a:fillRect/>
                    </a:stretch>
                  </pic:blipFill>
                  <pic:spPr>
                    <a:xfrm>
                      <a:off x="0" y="0"/>
                      <a:ext cx="5567767" cy="3639447"/>
                    </a:xfrm>
                    <a:prstGeom prst="rect">
                      <a:avLst/>
                    </a:prstGeom>
                  </pic:spPr>
                </pic:pic>
              </a:graphicData>
            </a:graphic>
          </wp:inline>
        </w:drawing>
      </w:r>
    </w:p>
    <w:p>
      <w:pPr>
        <w:pStyle w:val="4"/>
        <w:tabs>
          <w:tab w:val="left" w:pos="6645"/>
        </w:tabs>
        <w:rPr>
          <w:rStyle w:val="32"/>
          <w:rFonts w:ascii="仿宋" w:hAnsi="仿宋" w:eastAsia="仿宋"/>
          <w:b w:val="0"/>
          <w:bCs w:val="0"/>
        </w:rPr>
      </w:pPr>
      <w:r>
        <w:rPr>
          <w:rFonts w:hint="eastAsia" w:ascii="仿宋" w:hAnsi="仿宋" w:eastAsia="仿宋"/>
          <w:b w:val="0"/>
          <w:bCs w:val="0"/>
        </w:rPr>
        <w:drawing>
          <wp:inline distT="0" distB="0" distL="0" distR="0">
            <wp:extent cx="5567680" cy="4173855"/>
            <wp:effectExtent l="19050" t="0" r="0" b="0"/>
            <wp:docPr id="36" name="图片 35" descr="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descr="7.1.png"/>
                    <pic:cNvPicPr>
                      <a:picLocks noChangeAspect="1"/>
                    </pic:cNvPicPr>
                  </pic:nvPicPr>
                  <pic:blipFill>
                    <a:blip r:embed="rId18"/>
                    <a:stretch>
                      <a:fillRect/>
                    </a:stretch>
                  </pic:blipFill>
                  <pic:spPr>
                    <a:xfrm>
                      <a:off x="0" y="0"/>
                      <a:ext cx="5573288" cy="4177924"/>
                    </a:xfrm>
                    <a:prstGeom prst="rect">
                      <a:avLst/>
                    </a:prstGeom>
                  </pic:spPr>
                </pic:pic>
              </a:graphicData>
            </a:graphic>
          </wp:inline>
        </w:drawing>
      </w:r>
    </w:p>
    <w:p>
      <w:pPr>
        <w:pStyle w:val="4"/>
        <w:tabs>
          <w:tab w:val="left" w:pos="6645"/>
        </w:tabs>
        <w:rPr>
          <w:rStyle w:val="32"/>
          <w:rFonts w:hint="eastAsia" w:ascii="仿宋" w:hAnsi="仿宋" w:eastAsia="仿宋"/>
          <w:b w:val="0"/>
          <w:bCs w:val="0"/>
        </w:rPr>
      </w:pPr>
    </w:p>
    <w:p>
      <w:pPr>
        <w:pStyle w:val="4"/>
        <w:tabs>
          <w:tab w:val="left" w:pos="6645"/>
        </w:tabs>
        <w:rPr>
          <w:rStyle w:val="32"/>
          <w:rFonts w:hint="eastAsia" w:ascii="仿宋" w:hAnsi="仿宋" w:eastAsia="仿宋"/>
          <w:b w:val="0"/>
          <w:bCs w:val="0"/>
        </w:rPr>
      </w:pPr>
    </w:p>
    <w:p>
      <w:pPr>
        <w:pStyle w:val="4"/>
        <w:tabs>
          <w:tab w:val="left" w:pos="6645"/>
        </w:tabs>
        <w:rPr>
          <w:rStyle w:val="32"/>
          <w:rFonts w:hint="eastAsia" w:ascii="仿宋" w:hAnsi="仿宋" w:eastAsia="仿宋"/>
          <w:b w:val="0"/>
          <w:bCs w:val="0"/>
        </w:rPr>
      </w:pPr>
    </w:p>
    <w:p>
      <w:pPr>
        <w:pStyle w:val="4"/>
        <w:tabs>
          <w:tab w:val="left" w:pos="6645"/>
        </w:tabs>
        <w:rPr>
          <w:rStyle w:val="32"/>
          <w:rFonts w:hint="eastAsia" w:ascii="仿宋" w:hAnsi="仿宋" w:eastAsia="仿宋"/>
          <w:b w:val="0"/>
          <w:bCs w:val="0"/>
        </w:rPr>
      </w:pPr>
    </w:p>
    <w:p>
      <w:pPr>
        <w:pStyle w:val="4"/>
        <w:tabs>
          <w:tab w:val="left" w:pos="6645"/>
        </w:tabs>
        <w:rPr>
          <w:rStyle w:val="32"/>
          <w:rFonts w:hint="eastAsia" w:ascii="仿宋" w:hAnsi="仿宋" w:eastAsia="仿宋"/>
          <w:b w:val="0"/>
          <w:bCs w:val="0"/>
        </w:rPr>
      </w:pPr>
    </w:p>
    <w:p>
      <w:pPr>
        <w:pStyle w:val="4"/>
        <w:tabs>
          <w:tab w:val="left" w:pos="6645"/>
        </w:tabs>
        <w:rPr>
          <w:rStyle w:val="32"/>
          <w:rFonts w:hint="eastAsia" w:ascii="仿宋" w:hAnsi="仿宋" w:eastAsia="仿宋"/>
          <w:b w:val="0"/>
          <w:bCs w:val="0"/>
        </w:rPr>
      </w:pPr>
    </w:p>
    <w:p>
      <w:pPr>
        <w:pStyle w:val="4"/>
        <w:tabs>
          <w:tab w:val="left" w:pos="6645"/>
        </w:tabs>
        <w:rPr>
          <w:rStyle w:val="32"/>
          <w:rFonts w:ascii="仿宋" w:hAnsi="仿宋" w:eastAsia="仿宋"/>
          <w:b w:val="0"/>
          <w:bCs w:val="0"/>
        </w:rPr>
      </w:pPr>
      <w:r>
        <w:rPr>
          <w:rStyle w:val="32"/>
          <w:rFonts w:hint="eastAsia" w:ascii="仿宋" w:hAnsi="仿宋" w:eastAsia="仿宋"/>
          <w:b w:val="0"/>
          <w:bCs w:val="0"/>
        </w:rPr>
        <w:t>八、</w:t>
      </w:r>
      <w:r>
        <w:rPr>
          <w:rFonts w:hint="eastAsia" w:ascii="仿宋" w:hAnsi="仿宋" w:eastAsia="仿宋"/>
          <w:b w:val="0"/>
        </w:rPr>
        <w:t>一</w:t>
      </w:r>
      <w:r>
        <w:rPr>
          <w:rStyle w:val="32"/>
          <w:rFonts w:hint="eastAsia" w:ascii="仿宋" w:hAnsi="仿宋" w:eastAsia="仿宋"/>
          <w:b w:val="0"/>
          <w:bCs w:val="0"/>
        </w:rPr>
        <w:t>般公共预算财政拨款基本支出决算表</w:t>
      </w:r>
      <w:bookmarkEnd w:id="63"/>
    </w:p>
    <w:p>
      <w:r>
        <w:drawing>
          <wp:inline distT="0" distB="0" distL="0" distR="0">
            <wp:extent cx="5829300" cy="5913755"/>
            <wp:effectExtent l="19050" t="0" r="0" b="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noChangeArrowheads="1"/>
                    </pic:cNvPicPr>
                  </pic:nvPicPr>
                  <pic:blipFill>
                    <a:blip r:embed="rId19"/>
                    <a:srcRect/>
                    <a:stretch>
                      <a:fillRect/>
                    </a:stretch>
                  </pic:blipFill>
                  <pic:spPr>
                    <a:xfrm>
                      <a:off x="0" y="0"/>
                      <a:ext cx="5831723" cy="5916120"/>
                    </a:xfrm>
                    <a:prstGeom prst="rect">
                      <a:avLst/>
                    </a:prstGeom>
                    <a:noFill/>
                    <a:ln w="9525">
                      <a:noFill/>
                      <a:miter lim="800000"/>
                      <a:headEnd/>
                      <a:tailEnd/>
                    </a:ln>
                  </pic:spPr>
                </pic:pic>
              </a:graphicData>
            </a:graphic>
          </wp:inline>
        </w:drawing>
      </w:r>
    </w:p>
    <w:p>
      <w:pPr>
        <w:pStyle w:val="4"/>
        <w:rPr>
          <w:rFonts w:ascii="仿宋" w:hAnsi="仿宋" w:eastAsia="仿宋"/>
        </w:rPr>
      </w:pPr>
      <w:bookmarkStart w:id="64" w:name="_Toc15396627"/>
      <w:r>
        <w:rPr>
          <w:rFonts w:hint="eastAsia" w:ascii="仿宋" w:hAnsi="仿宋" w:eastAsia="仿宋"/>
        </w:rPr>
        <w:t>九、</w:t>
      </w:r>
      <w:r>
        <w:rPr>
          <w:rFonts w:hint="eastAsia" w:ascii="仿宋" w:hAnsi="仿宋" w:eastAsia="仿宋"/>
          <w:b w:val="0"/>
        </w:rPr>
        <w:t>一</w:t>
      </w:r>
      <w:r>
        <w:rPr>
          <w:rFonts w:hint="eastAsia" w:ascii="仿宋" w:hAnsi="仿宋" w:eastAsia="仿宋"/>
        </w:rPr>
        <w:t>般公共预算财政拨款项目支出决算表</w:t>
      </w:r>
      <w:bookmarkEnd w:id="64"/>
    </w:p>
    <w:p>
      <w:r>
        <w:drawing>
          <wp:inline distT="0" distB="0" distL="0" distR="0">
            <wp:extent cx="5698490" cy="6364605"/>
            <wp:effectExtent l="19050" t="0" r="0" b="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noChangeArrowheads="1"/>
                    </pic:cNvPicPr>
                  </pic:nvPicPr>
                  <pic:blipFill>
                    <a:blip r:embed="rId20"/>
                    <a:srcRect/>
                    <a:stretch>
                      <a:fillRect/>
                    </a:stretch>
                  </pic:blipFill>
                  <pic:spPr>
                    <a:xfrm>
                      <a:off x="0" y="0"/>
                      <a:ext cx="5698385" cy="6364578"/>
                    </a:xfrm>
                    <a:prstGeom prst="rect">
                      <a:avLst/>
                    </a:prstGeom>
                    <a:noFill/>
                    <a:ln w="9525">
                      <a:noFill/>
                      <a:miter lim="800000"/>
                      <a:headEnd/>
                      <a:tailEnd/>
                    </a:ln>
                  </pic:spPr>
                </pic:pic>
              </a:graphicData>
            </a:graphic>
          </wp:inline>
        </w:drawing>
      </w:r>
    </w:p>
    <w:p>
      <w:pPr>
        <w:pStyle w:val="4"/>
        <w:rPr>
          <w:rFonts w:ascii="仿宋" w:hAnsi="仿宋" w:eastAsia="仿宋"/>
        </w:rPr>
      </w:pPr>
      <w:bookmarkStart w:id="65" w:name="_Toc15396628"/>
      <w:r>
        <w:rPr>
          <w:rFonts w:hint="eastAsia" w:ascii="仿宋" w:hAnsi="仿宋" w:eastAsia="仿宋"/>
        </w:rPr>
        <w:t>十、</w:t>
      </w:r>
      <w:bookmarkEnd w:id="65"/>
      <w:r>
        <w:rPr>
          <w:rFonts w:hint="eastAsia" w:ascii="仿宋" w:hAnsi="仿宋" w:eastAsia="仿宋"/>
          <w:b w:val="0"/>
        </w:rPr>
        <w:t>政</w:t>
      </w:r>
      <w:r>
        <w:rPr>
          <w:rFonts w:hint="eastAsia" w:ascii="仿宋" w:hAnsi="仿宋" w:eastAsia="仿宋"/>
        </w:rPr>
        <w:t>府性基金预算财政拨款收入支出决算表</w:t>
      </w:r>
    </w:p>
    <w:p>
      <w:r>
        <w:drawing>
          <wp:inline distT="0" distB="0" distL="0" distR="0">
            <wp:extent cx="5532120" cy="5504180"/>
            <wp:effectExtent l="19050" t="0" r="0" b="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noChangeArrowheads="1"/>
                    </pic:cNvPicPr>
                  </pic:nvPicPr>
                  <pic:blipFill>
                    <a:blip r:embed="rId21"/>
                    <a:srcRect/>
                    <a:stretch>
                      <a:fillRect/>
                    </a:stretch>
                  </pic:blipFill>
                  <pic:spPr>
                    <a:xfrm>
                      <a:off x="0" y="0"/>
                      <a:ext cx="5534411" cy="5505951"/>
                    </a:xfrm>
                    <a:prstGeom prst="rect">
                      <a:avLst/>
                    </a:prstGeom>
                    <a:noFill/>
                    <a:ln w="9525">
                      <a:noFill/>
                      <a:miter lim="800000"/>
                      <a:headEnd/>
                      <a:tailEnd/>
                    </a:ln>
                  </pic:spPr>
                </pic:pic>
              </a:graphicData>
            </a:graphic>
          </wp:inline>
        </w:drawing>
      </w:r>
    </w:p>
    <w:p>
      <w:pPr>
        <w:pStyle w:val="4"/>
        <w:rPr>
          <w:rFonts w:ascii="仿宋" w:hAnsi="仿宋" w:eastAsia="仿宋"/>
        </w:rPr>
      </w:pPr>
      <w:bookmarkStart w:id="66" w:name="_Toc15396629"/>
      <w:r>
        <w:rPr>
          <w:rFonts w:hint="eastAsia" w:ascii="仿宋" w:hAnsi="仿宋" w:eastAsia="仿宋"/>
        </w:rPr>
        <w:t>十一、</w:t>
      </w:r>
      <w:bookmarkEnd w:id="66"/>
      <w:r>
        <w:rPr>
          <w:rFonts w:hint="eastAsia" w:ascii="仿宋" w:hAnsi="仿宋" w:eastAsia="仿宋"/>
          <w:b w:val="0"/>
        </w:rPr>
        <w:t>国</w:t>
      </w:r>
      <w:r>
        <w:rPr>
          <w:rFonts w:hint="eastAsia" w:ascii="仿宋" w:hAnsi="仿宋" w:eastAsia="仿宋"/>
        </w:rPr>
        <w:t>有资本经营预算财政拨款收入支出决算表</w:t>
      </w:r>
    </w:p>
    <w:p>
      <w:r>
        <w:drawing>
          <wp:inline distT="0" distB="0" distL="0" distR="0">
            <wp:extent cx="5852795" cy="5563235"/>
            <wp:effectExtent l="19050" t="0" r="0" b="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noChangeArrowheads="1"/>
                    </pic:cNvPicPr>
                  </pic:nvPicPr>
                  <pic:blipFill>
                    <a:blip r:embed="rId22"/>
                    <a:srcRect/>
                    <a:stretch>
                      <a:fillRect/>
                    </a:stretch>
                  </pic:blipFill>
                  <pic:spPr>
                    <a:xfrm>
                      <a:off x="0" y="0"/>
                      <a:ext cx="5852748" cy="5563066"/>
                    </a:xfrm>
                    <a:prstGeom prst="rect">
                      <a:avLst/>
                    </a:prstGeom>
                    <a:noFill/>
                    <a:ln w="9525">
                      <a:noFill/>
                      <a:miter lim="800000"/>
                      <a:headEnd/>
                      <a:tailEnd/>
                    </a:ln>
                  </pic:spPr>
                </pic:pic>
              </a:graphicData>
            </a:graphic>
          </wp:inline>
        </w:drawing>
      </w:r>
    </w:p>
    <w:p>
      <w:pPr>
        <w:pStyle w:val="4"/>
        <w:rPr>
          <w:rFonts w:ascii="仿宋" w:hAnsi="仿宋" w:eastAsia="仿宋"/>
        </w:rPr>
      </w:pPr>
      <w:bookmarkStart w:id="67" w:name="_Toc15396630"/>
      <w:r>
        <w:rPr>
          <w:rFonts w:hint="eastAsia" w:ascii="仿宋" w:hAnsi="仿宋" w:eastAsia="仿宋"/>
        </w:rPr>
        <w:t>十二、</w:t>
      </w:r>
      <w:bookmarkEnd w:id="67"/>
      <w:r>
        <w:rPr>
          <w:rFonts w:hint="eastAsia" w:ascii="仿宋" w:hAnsi="仿宋" w:eastAsia="仿宋"/>
        </w:rPr>
        <w:t>国有资本经营预算财政拨款支出决算表</w:t>
      </w:r>
      <w:bookmarkStart w:id="68" w:name="_Toc15396631"/>
    </w:p>
    <w:p>
      <w:r>
        <w:drawing>
          <wp:inline distT="0" distB="0" distL="0" distR="0">
            <wp:extent cx="5274310" cy="4820920"/>
            <wp:effectExtent l="19050" t="0" r="2046" b="0"/>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noChangeArrowheads="1"/>
                    </pic:cNvPicPr>
                  </pic:nvPicPr>
                  <pic:blipFill>
                    <a:blip r:embed="rId23"/>
                    <a:srcRect/>
                    <a:stretch>
                      <a:fillRect/>
                    </a:stretch>
                  </pic:blipFill>
                  <pic:spPr>
                    <a:xfrm>
                      <a:off x="0" y="0"/>
                      <a:ext cx="5274310" cy="4820930"/>
                    </a:xfrm>
                    <a:prstGeom prst="rect">
                      <a:avLst/>
                    </a:prstGeom>
                    <a:noFill/>
                    <a:ln w="9525">
                      <a:noFill/>
                      <a:miter lim="800000"/>
                      <a:headEnd/>
                      <a:tailEnd/>
                    </a:ln>
                  </pic:spPr>
                </pic:pic>
              </a:graphicData>
            </a:graphic>
          </wp:inline>
        </w:drawing>
      </w:r>
    </w:p>
    <w:p>
      <w:pPr>
        <w:pStyle w:val="4"/>
        <w:rPr>
          <w:rFonts w:ascii="仿宋" w:hAnsi="仿宋" w:eastAsia="仿宋"/>
        </w:rPr>
      </w:pPr>
      <w:r>
        <w:rPr>
          <w:rFonts w:hint="eastAsia" w:ascii="仿宋" w:hAnsi="仿宋" w:eastAsia="仿宋"/>
        </w:rPr>
        <w:t>十三、</w:t>
      </w:r>
      <w:bookmarkEnd w:id="68"/>
      <w:r>
        <w:rPr>
          <w:rFonts w:hint="eastAsia" w:ascii="仿宋" w:hAnsi="仿宋" w:eastAsia="仿宋"/>
        </w:rPr>
        <w:t>财政拨款“三公”经费支出决算表</w:t>
      </w:r>
    </w:p>
    <w:p>
      <w:r>
        <w:drawing>
          <wp:inline distT="0" distB="0" distL="0" distR="0">
            <wp:extent cx="5609590" cy="2677795"/>
            <wp:effectExtent l="19050" t="0" r="0" b="0"/>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noChangeArrowheads="1"/>
                    </pic:cNvPicPr>
                  </pic:nvPicPr>
                  <pic:blipFill>
                    <a:blip r:embed="rId24"/>
                    <a:srcRect/>
                    <a:stretch>
                      <a:fillRect/>
                    </a:stretch>
                  </pic:blipFill>
                  <pic:spPr>
                    <a:xfrm>
                      <a:off x="0" y="0"/>
                      <a:ext cx="5609328" cy="2677636"/>
                    </a:xfrm>
                    <a:prstGeom prst="rect">
                      <a:avLst/>
                    </a:prstGeom>
                    <a:noFill/>
                    <a:ln w="9525">
                      <a:noFill/>
                      <a:miter lim="800000"/>
                      <a:headEnd/>
                      <a:tailEnd/>
                    </a:ln>
                  </pic:spPr>
                </pic:pic>
              </a:graphicData>
            </a:graphic>
          </wp:inline>
        </w:drawing>
      </w:r>
    </w:p>
    <w:sectPr>
      <w:footerReference r:id="rId3" w:type="default"/>
      <w:pgSz w:w="11906" w:h="16838"/>
      <w:pgMar w:top="2098" w:right="1474" w:bottom="1984" w:left="158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jc w:val="center"/>
        </w:pPr>
        <w:r>
          <w:fldChar w:fldCharType="begin"/>
        </w:r>
        <w:r>
          <w:instrText xml:space="preserve">PAGE   \* MERGEFORMAT</w:instrText>
        </w:r>
        <w:r>
          <w:fldChar w:fldCharType="separate"/>
        </w:r>
        <w:r>
          <w:rPr>
            <w:lang w:val="zh-CN"/>
          </w:rPr>
          <w:t>2</w:t>
        </w:r>
        <w:r>
          <w:rPr>
            <w:lang w:val="zh-CN"/>
          </w:rPr>
          <w:fldChar w:fldCharType="end"/>
        </w:r>
      </w:p>
    </w:sdtContent>
  </w:sdt>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F747C5"/>
    <w:multiLevelType w:val="singleLevel"/>
    <w:tmpl w:val="C1F747C5"/>
    <w:lvl w:ilvl="0" w:tentative="0">
      <w:start w:val="3"/>
      <w:numFmt w:val="decimal"/>
      <w:suff w:val="nothing"/>
      <w:lvlText w:val="%1．"/>
      <w:lvlJc w:val="left"/>
      <w:pPr>
        <w:ind w:left="0" w:firstLine="0"/>
      </w:p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b/>
      </w:rPr>
    </w:lvl>
  </w:abstractNum>
  <w:abstractNum w:abstractNumId="2">
    <w:nsid w:val="1272550B"/>
    <w:multiLevelType w:val="multilevel"/>
    <w:tmpl w:val="1272550B"/>
    <w:lvl w:ilvl="0" w:tentative="0">
      <w:start w:val="1"/>
      <w:numFmt w:val="japaneseCounting"/>
      <w:lvlText w:val="%1、"/>
      <w:lvlJc w:val="left"/>
      <w:pPr>
        <w:ind w:left="1287" w:hanging="720"/>
      </w:pPr>
      <w:rPr>
        <w:rFonts w:hint="default"/>
        <w:b w:val="0"/>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3">
    <w:nsid w:val="56FDFB6E"/>
    <w:multiLevelType w:val="singleLevel"/>
    <w:tmpl w:val="56FDFB6E"/>
    <w:lvl w:ilvl="0" w:tentative="0">
      <w:start w:val="2"/>
      <w:numFmt w:val="chineseCounting"/>
      <w:suff w:val="nothing"/>
      <w:lvlText w:val="（%1）"/>
      <w:lvlJc w:val="left"/>
      <w:pPr>
        <w:ind w:left="0" w:firstLine="0"/>
      </w:pPr>
    </w:lvl>
  </w:abstractNum>
  <w:num w:numId="1">
    <w:abstractNumId w:val="2"/>
  </w:num>
  <w:num w:numId="2">
    <w:abstractNumId w:val="1"/>
  </w:num>
  <w:num w:numId="3">
    <w:abstractNumId w:val="0"/>
    <w:lvlOverride w:ilvl="0">
      <w:startOverride w:val="3"/>
    </w:lvlOverride>
  </w:num>
  <w:num w:numId="4">
    <w:abstractNumId w:val="3"/>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wNDBhYmYwODMxYmNhNzY1MzM0NGI4MGExZTlkODkifQ=="/>
  </w:docVars>
  <w:rsids>
    <w:rsidRoot w:val="00F1361C"/>
    <w:rsid w:val="00000E12"/>
    <w:rsid w:val="000030F4"/>
    <w:rsid w:val="000142FB"/>
    <w:rsid w:val="000222C6"/>
    <w:rsid w:val="0002549F"/>
    <w:rsid w:val="00036C93"/>
    <w:rsid w:val="000468DB"/>
    <w:rsid w:val="00053855"/>
    <w:rsid w:val="000555B3"/>
    <w:rsid w:val="00055899"/>
    <w:rsid w:val="0006487A"/>
    <w:rsid w:val="00065F8F"/>
    <w:rsid w:val="00070A43"/>
    <w:rsid w:val="00072CEF"/>
    <w:rsid w:val="000768F2"/>
    <w:rsid w:val="00083F49"/>
    <w:rsid w:val="0008413E"/>
    <w:rsid w:val="000848BF"/>
    <w:rsid w:val="0009184B"/>
    <w:rsid w:val="00094236"/>
    <w:rsid w:val="0009477B"/>
    <w:rsid w:val="00095474"/>
    <w:rsid w:val="0009593C"/>
    <w:rsid w:val="00097322"/>
    <w:rsid w:val="000A6A92"/>
    <w:rsid w:val="000B047F"/>
    <w:rsid w:val="000B1D1B"/>
    <w:rsid w:val="000B5923"/>
    <w:rsid w:val="000B5A48"/>
    <w:rsid w:val="000B6FF3"/>
    <w:rsid w:val="000B7774"/>
    <w:rsid w:val="000C3467"/>
    <w:rsid w:val="000C3CA6"/>
    <w:rsid w:val="000C4934"/>
    <w:rsid w:val="000C4EDD"/>
    <w:rsid w:val="000C75A1"/>
    <w:rsid w:val="000D1267"/>
    <w:rsid w:val="000D1D50"/>
    <w:rsid w:val="000D5782"/>
    <w:rsid w:val="000D5C62"/>
    <w:rsid w:val="000E079E"/>
    <w:rsid w:val="000E0A0A"/>
    <w:rsid w:val="000E45D1"/>
    <w:rsid w:val="000E6613"/>
    <w:rsid w:val="000E7119"/>
    <w:rsid w:val="001042FE"/>
    <w:rsid w:val="00105926"/>
    <w:rsid w:val="0010596A"/>
    <w:rsid w:val="00113948"/>
    <w:rsid w:val="00114E9B"/>
    <w:rsid w:val="00115EF5"/>
    <w:rsid w:val="00132D29"/>
    <w:rsid w:val="001420F4"/>
    <w:rsid w:val="00142216"/>
    <w:rsid w:val="00144D6A"/>
    <w:rsid w:val="0014729F"/>
    <w:rsid w:val="00147A20"/>
    <w:rsid w:val="00154E4C"/>
    <w:rsid w:val="00157BAB"/>
    <w:rsid w:val="00157CE7"/>
    <w:rsid w:val="001654D1"/>
    <w:rsid w:val="0017028D"/>
    <w:rsid w:val="001703A0"/>
    <w:rsid w:val="00174518"/>
    <w:rsid w:val="0018106D"/>
    <w:rsid w:val="0018534C"/>
    <w:rsid w:val="001877A7"/>
    <w:rsid w:val="00191536"/>
    <w:rsid w:val="00196687"/>
    <w:rsid w:val="001B76D8"/>
    <w:rsid w:val="001B7C78"/>
    <w:rsid w:val="001C0962"/>
    <w:rsid w:val="001C48AC"/>
    <w:rsid w:val="001D5673"/>
    <w:rsid w:val="001D733E"/>
    <w:rsid w:val="001D7531"/>
    <w:rsid w:val="001E737D"/>
    <w:rsid w:val="001F0270"/>
    <w:rsid w:val="001F03D6"/>
    <w:rsid w:val="001F0592"/>
    <w:rsid w:val="001F7506"/>
    <w:rsid w:val="002006CD"/>
    <w:rsid w:val="00202B36"/>
    <w:rsid w:val="00204B7A"/>
    <w:rsid w:val="00204CDE"/>
    <w:rsid w:val="0021101A"/>
    <w:rsid w:val="00215C38"/>
    <w:rsid w:val="00216F45"/>
    <w:rsid w:val="00216F52"/>
    <w:rsid w:val="00220536"/>
    <w:rsid w:val="002225AD"/>
    <w:rsid w:val="00224A7A"/>
    <w:rsid w:val="0022527F"/>
    <w:rsid w:val="0023268C"/>
    <w:rsid w:val="00234D81"/>
    <w:rsid w:val="00235629"/>
    <w:rsid w:val="00242B0B"/>
    <w:rsid w:val="00253B71"/>
    <w:rsid w:val="002541D3"/>
    <w:rsid w:val="00260C38"/>
    <w:rsid w:val="002616C0"/>
    <w:rsid w:val="0026287B"/>
    <w:rsid w:val="00263BE5"/>
    <w:rsid w:val="00264473"/>
    <w:rsid w:val="00264EEC"/>
    <w:rsid w:val="0026519B"/>
    <w:rsid w:val="00265372"/>
    <w:rsid w:val="00265808"/>
    <w:rsid w:val="002662AA"/>
    <w:rsid w:val="00274F40"/>
    <w:rsid w:val="00280496"/>
    <w:rsid w:val="00294DC9"/>
    <w:rsid w:val="00295495"/>
    <w:rsid w:val="002A08D3"/>
    <w:rsid w:val="002A1EC6"/>
    <w:rsid w:val="002A31DE"/>
    <w:rsid w:val="002A66F7"/>
    <w:rsid w:val="002B2613"/>
    <w:rsid w:val="002B5846"/>
    <w:rsid w:val="002B6891"/>
    <w:rsid w:val="002B6BAE"/>
    <w:rsid w:val="002C4E04"/>
    <w:rsid w:val="002D0E2F"/>
    <w:rsid w:val="002D2E4C"/>
    <w:rsid w:val="002D6D05"/>
    <w:rsid w:val="002E5BFE"/>
    <w:rsid w:val="002F1818"/>
    <w:rsid w:val="002F567B"/>
    <w:rsid w:val="00306486"/>
    <w:rsid w:val="003216A9"/>
    <w:rsid w:val="00335A74"/>
    <w:rsid w:val="00343E71"/>
    <w:rsid w:val="00350810"/>
    <w:rsid w:val="00351D9E"/>
    <w:rsid w:val="0036561B"/>
    <w:rsid w:val="0037013F"/>
    <w:rsid w:val="0037092D"/>
    <w:rsid w:val="0037733F"/>
    <w:rsid w:val="00380C92"/>
    <w:rsid w:val="003977C3"/>
    <w:rsid w:val="003A41EF"/>
    <w:rsid w:val="003A484F"/>
    <w:rsid w:val="003A4883"/>
    <w:rsid w:val="003B0BE0"/>
    <w:rsid w:val="003B0C1B"/>
    <w:rsid w:val="003B688C"/>
    <w:rsid w:val="003B7777"/>
    <w:rsid w:val="003C0291"/>
    <w:rsid w:val="003C39AE"/>
    <w:rsid w:val="003C4B0A"/>
    <w:rsid w:val="003C6115"/>
    <w:rsid w:val="003C7B60"/>
    <w:rsid w:val="003D0C0F"/>
    <w:rsid w:val="003D1CA4"/>
    <w:rsid w:val="003D1FB2"/>
    <w:rsid w:val="003D3695"/>
    <w:rsid w:val="003D66DA"/>
    <w:rsid w:val="003E094F"/>
    <w:rsid w:val="003E1310"/>
    <w:rsid w:val="003E16E2"/>
    <w:rsid w:val="003E6F55"/>
    <w:rsid w:val="003F0E2F"/>
    <w:rsid w:val="003F4C29"/>
    <w:rsid w:val="00406254"/>
    <w:rsid w:val="00413961"/>
    <w:rsid w:val="00413BDF"/>
    <w:rsid w:val="004223DE"/>
    <w:rsid w:val="00431883"/>
    <w:rsid w:val="00434489"/>
    <w:rsid w:val="00437085"/>
    <w:rsid w:val="00443880"/>
    <w:rsid w:val="004464F4"/>
    <w:rsid w:val="0045482D"/>
    <w:rsid w:val="00467A6E"/>
    <w:rsid w:val="00471401"/>
    <w:rsid w:val="00472500"/>
    <w:rsid w:val="00473F31"/>
    <w:rsid w:val="00476C96"/>
    <w:rsid w:val="0048263A"/>
    <w:rsid w:val="00487E5D"/>
    <w:rsid w:val="004A025C"/>
    <w:rsid w:val="004A3EF6"/>
    <w:rsid w:val="004A6CA6"/>
    <w:rsid w:val="004A711F"/>
    <w:rsid w:val="004B199D"/>
    <w:rsid w:val="004B4690"/>
    <w:rsid w:val="004B5574"/>
    <w:rsid w:val="004D1D12"/>
    <w:rsid w:val="004D5680"/>
    <w:rsid w:val="004E0A2D"/>
    <w:rsid w:val="004E206B"/>
    <w:rsid w:val="004E6DF7"/>
    <w:rsid w:val="004F0FBD"/>
    <w:rsid w:val="0050252E"/>
    <w:rsid w:val="00505A47"/>
    <w:rsid w:val="00512FDA"/>
    <w:rsid w:val="00513107"/>
    <w:rsid w:val="0051552D"/>
    <w:rsid w:val="00520DA0"/>
    <w:rsid w:val="005269E2"/>
    <w:rsid w:val="00527DCB"/>
    <w:rsid w:val="00555220"/>
    <w:rsid w:val="00564888"/>
    <w:rsid w:val="00564D46"/>
    <w:rsid w:val="0056574B"/>
    <w:rsid w:val="005664BB"/>
    <w:rsid w:val="00566FFA"/>
    <w:rsid w:val="0057481D"/>
    <w:rsid w:val="005764D2"/>
    <w:rsid w:val="0058486E"/>
    <w:rsid w:val="00585B33"/>
    <w:rsid w:val="0059014D"/>
    <w:rsid w:val="00593C95"/>
    <w:rsid w:val="00594A2F"/>
    <w:rsid w:val="005A02C8"/>
    <w:rsid w:val="005B1B40"/>
    <w:rsid w:val="005B2BDA"/>
    <w:rsid w:val="005B393E"/>
    <w:rsid w:val="005B5C64"/>
    <w:rsid w:val="005B74CC"/>
    <w:rsid w:val="005C5337"/>
    <w:rsid w:val="005C6BD0"/>
    <w:rsid w:val="005D04AC"/>
    <w:rsid w:val="005D1C8B"/>
    <w:rsid w:val="005D468D"/>
    <w:rsid w:val="005D5CED"/>
    <w:rsid w:val="005F1A4C"/>
    <w:rsid w:val="005F2299"/>
    <w:rsid w:val="00602E59"/>
    <w:rsid w:val="00605688"/>
    <w:rsid w:val="006070AF"/>
    <w:rsid w:val="00607E6C"/>
    <w:rsid w:val="006101B1"/>
    <w:rsid w:val="006136F1"/>
    <w:rsid w:val="00614E44"/>
    <w:rsid w:val="006205E3"/>
    <w:rsid w:val="0062270A"/>
    <w:rsid w:val="00622830"/>
    <w:rsid w:val="00623DA0"/>
    <w:rsid w:val="00630AEF"/>
    <w:rsid w:val="006325F8"/>
    <w:rsid w:val="00633463"/>
    <w:rsid w:val="00634C9A"/>
    <w:rsid w:val="00636D29"/>
    <w:rsid w:val="00642FBC"/>
    <w:rsid w:val="006440E4"/>
    <w:rsid w:val="00644E07"/>
    <w:rsid w:val="00657100"/>
    <w:rsid w:val="0066343B"/>
    <w:rsid w:val="00664777"/>
    <w:rsid w:val="006748A4"/>
    <w:rsid w:val="00681A31"/>
    <w:rsid w:val="00683E73"/>
    <w:rsid w:val="00693247"/>
    <w:rsid w:val="00697FF2"/>
    <w:rsid w:val="006A076D"/>
    <w:rsid w:val="006A3141"/>
    <w:rsid w:val="006A5E34"/>
    <w:rsid w:val="006A7C6F"/>
    <w:rsid w:val="006B2422"/>
    <w:rsid w:val="006B28C8"/>
    <w:rsid w:val="006B2B9A"/>
    <w:rsid w:val="006C1937"/>
    <w:rsid w:val="006E4AE9"/>
    <w:rsid w:val="006E4D73"/>
    <w:rsid w:val="006F020C"/>
    <w:rsid w:val="007000AC"/>
    <w:rsid w:val="0070178D"/>
    <w:rsid w:val="00707284"/>
    <w:rsid w:val="007127B7"/>
    <w:rsid w:val="00713E41"/>
    <w:rsid w:val="0071798E"/>
    <w:rsid w:val="00720FE7"/>
    <w:rsid w:val="00721968"/>
    <w:rsid w:val="007416B6"/>
    <w:rsid w:val="00746F48"/>
    <w:rsid w:val="0075404D"/>
    <w:rsid w:val="007540CD"/>
    <w:rsid w:val="0076182A"/>
    <w:rsid w:val="00762B3F"/>
    <w:rsid w:val="00767B7E"/>
    <w:rsid w:val="007770C3"/>
    <w:rsid w:val="0077729B"/>
    <w:rsid w:val="00784D24"/>
    <w:rsid w:val="00785FBA"/>
    <w:rsid w:val="00786E4A"/>
    <w:rsid w:val="007875EB"/>
    <w:rsid w:val="0079426B"/>
    <w:rsid w:val="007A0898"/>
    <w:rsid w:val="007A374A"/>
    <w:rsid w:val="007A5ABD"/>
    <w:rsid w:val="007B577C"/>
    <w:rsid w:val="007B739A"/>
    <w:rsid w:val="007C6AE8"/>
    <w:rsid w:val="007D1682"/>
    <w:rsid w:val="007D312A"/>
    <w:rsid w:val="007D3F19"/>
    <w:rsid w:val="007D5D8B"/>
    <w:rsid w:val="007E183F"/>
    <w:rsid w:val="007E23B0"/>
    <w:rsid w:val="007E23E5"/>
    <w:rsid w:val="007F1884"/>
    <w:rsid w:val="007F1991"/>
    <w:rsid w:val="007F2C2F"/>
    <w:rsid w:val="007F38CB"/>
    <w:rsid w:val="007F55FC"/>
    <w:rsid w:val="007F5665"/>
    <w:rsid w:val="00800112"/>
    <w:rsid w:val="008021A8"/>
    <w:rsid w:val="008032A2"/>
    <w:rsid w:val="00811864"/>
    <w:rsid w:val="00813348"/>
    <w:rsid w:val="008253BB"/>
    <w:rsid w:val="008259BA"/>
    <w:rsid w:val="0083706E"/>
    <w:rsid w:val="008408F6"/>
    <w:rsid w:val="008423A5"/>
    <w:rsid w:val="00850625"/>
    <w:rsid w:val="00853718"/>
    <w:rsid w:val="00855221"/>
    <w:rsid w:val="00860645"/>
    <w:rsid w:val="008613EB"/>
    <w:rsid w:val="008640A3"/>
    <w:rsid w:val="00871F71"/>
    <w:rsid w:val="00872FD8"/>
    <w:rsid w:val="00875502"/>
    <w:rsid w:val="00885AF4"/>
    <w:rsid w:val="008939CD"/>
    <w:rsid w:val="008942E9"/>
    <w:rsid w:val="008A7D94"/>
    <w:rsid w:val="008B473D"/>
    <w:rsid w:val="008B768C"/>
    <w:rsid w:val="008C0620"/>
    <w:rsid w:val="008C4DB1"/>
    <w:rsid w:val="008C4EAF"/>
    <w:rsid w:val="008C5176"/>
    <w:rsid w:val="008C7FD0"/>
    <w:rsid w:val="008D3D9F"/>
    <w:rsid w:val="008D4B62"/>
    <w:rsid w:val="008E1DE7"/>
    <w:rsid w:val="008E2DA4"/>
    <w:rsid w:val="008E66D0"/>
    <w:rsid w:val="008E707C"/>
    <w:rsid w:val="008F7771"/>
    <w:rsid w:val="00900B08"/>
    <w:rsid w:val="00902155"/>
    <w:rsid w:val="00902FA3"/>
    <w:rsid w:val="009128D1"/>
    <w:rsid w:val="009217FD"/>
    <w:rsid w:val="00923564"/>
    <w:rsid w:val="0092392E"/>
    <w:rsid w:val="009315F9"/>
    <w:rsid w:val="00933499"/>
    <w:rsid w:val="0093494E"/>
    <w:rsid w:val="00935C98"/>
    <w:rsid w:val="00946945"/>
    <w:rsid w:val="00951248"/>
    <w:rsid w:val="0095152F"/>
    <w:rsid w:val="00954C49"/>
    <w:rsid w:val="00955E37"/>
    <w:rsid w:val="00960609"/>
    <w:rsid w:val="0097099F"/>
    <w:rsid w:val="00971401"/>
    <w:rsid w:val="00971997"/>
    <w:rsid w:val="00971FFC"/>
    <w:rsid w:val="00976609"/>
    <w:rsid w:val="0098627F"/>
    <w:rsid w:val="0098660A"/>
    <w:rsid w:val="009931C3"/>
    <w:rsid w:val="00993AEB"/>
    <w:rsid w:val="009A7C21"/>
    <w:rsid w:val="009B2C43"/>
    <w:rsid w:val="009B4EAE"/>
    <w:rsid w:val="009B7573"/>
    <w:rsid w:val="009C22F4"/>
    <w:rsid w:val="009C2A4B"/>
    <w:rsid w:val="009C2E98"/>
    <w:rsid w:val="009D3447"/>
    <w:rsid w:val="009D4711"/>
    <w:rsid w:val="009E1A18"/>
    <w:rsid w:val="009F1185"/>
    <w:rsid w:val="009F18CD"/>
    <w:rsid w:val="009F2A13"/>
    <w:rsid w:val="009F4F2A"/>
    <w:rsid w:val="009F51C9"/>
    <w:rsid w:val="009F7527"/>
    <w:rsid w:val="00A01320"/>
    <w:rsid w:val="00A01C58"/>
    <w:rsid w:val="00A04EB0"/>
    <w:rsid w:val="00A13CC1"/>
    <w:rsid w:val="00A150FB"/>
    <w:rsid w:val="00A16847"/>
    <w:rsid w:val="00A16EAC"/>
    <w:rsid w:val="00A2146D"/>
    <w:rsid w:val="00A23557"/>
    <w:rsid w:val="00A237D8"/>
    <w:rsid w:val="00A243FD"/>
    <w:rsid w:val="00A268C4"/>
    <w:rsid w:val="00A307CD"/>
    <w:rsid w:val="00A30FDE"/>
    <w:rsid w:val="00A331C8"/>
    <w:rsid w:val="00A40A00"/>
    <w:rsid w:val="00A4142F"/>
    <w:rsid w:val="00A422EB"/>
    <w:rsid w:val="00A45158"/>
    <w:rsid w:val="00A45BB7"/>
    <w:rsid w:val="00A538FA"/>
    <w:rsid w:val="00A56DF2"/>
    <w:rsid w:val="00A56E6E"/>
    <w:rsid w:val="00A67AB5"/>
    <w:rsid w:val="00A704F3"/>
    <w:rsid w:val="00A733B2"/>
    <w:rsid w:val="00A741C2"/>
    <w:rsid w:val="00A9134F"/>
    <w:rsid w:val="00A91760"/>
    <w:rsid w:val="00A932C3"/>
    <w:rsid w:val="00A93B00"/>
    <w:rsid w:val="00A93C21"/>
    <w:rsid w:val="00AA51AE"/>
    <w:rsid w:val="00AA7AED"/>
    <w:rsid w:val="00AB4755"/>
    <w:rsid w:val="00AB5262"/>
    <w:rsid w:val="00AB64C9"/>
    <w:rsid w:val="00AC3C6A"/>
    <w:rsid w:val="00AC5772"/>
    <w:rsid w:val="00AD2348"/>
    <w:rsid w:val="00AD5620"/>
    <w:rsid w:val="00AD656B"/>
    <w:rsid w:val="00AD6763"/>
    <w:rsid w:val="00AD7C1B"/>
    <w:rsid w:val="00AE1132"/>
    <w:rsid w:val="00AE16BA"/>
    <w:rsid w:val="00AE1EBE"/>
    <w:rsid w:val="00B013BC"/>
    <w:rsid w:val="00B015A7"/>
    <w:rsid w:val="00B03C9D"/>
    <w:rsid w:val="00B060AE"/>
    <w:rsid w:val="00B07325"/>
    <w:rsid w:val="00B10517"/>
    <w:rsid w:val="00B12037"/>
    <w:rsid w:val="00B13229"/>
    <w:rsid w:val="00B137C9"/>
    <w:rsid w:val="00B14E76"/>
    <w:rsid w:val="00B161B8"/>
    <w:rsid w:val="00B2048C"/>
    <w:rsid w:val="00B310B9"/>
    <w:rsid w:val="00B3309D"/>
    <w:rsid w:val="00B35F3F"/>
    <w:rsid w:val="00B36CBB"/>
    <w:rsid w:val="00B425E0"/>
    <w:rsid w:val="00B429CF"/>
    <w:rsid w:val="00B440AA"/>
    <w:rsid w:val="00B44B70"/>
    <w:rsid w:val="00B46856"/>
    <w:rsid w:val="00B46A42"/>
    <w:rsid w:val="00B53C56"/>
    <w:rsid w:val="00B57DAF"/>
    <w:rsid w:val="00B6127B"/>
    <w:rsid w:val="00B70DAD"/>
    <w:rsid w:val="00B753E3"/>
    <w:rsid w:val="00B77EA6"/>
    <w:rsid w:val="00B81218"/>
    <w:rsid w:val="00B81598"/>
    <w:rsid w:val="00B841F1"/>
    <w:rsid w:val="00B90A81"/>
    <w:rsid w:val="00B944D6"/>
    <w:rsid w:val="00BA0159"/>
    <w:rsid w:val="00BB4DF0"/>
    <w:rsid w:val="00BC289F"/>
    <w:rsid w:val="00BC2D50"/>
    <w:rsid w:val="00BC5361"/>
    <w:rsid w:val="00BC5460"/>
    <w:rsid w:val="00BC6B50"/>
    <w:rsid w:val="00BD0139"/>
    <w:rsid w:val="00BD0E25"/>
    <w:rsid w:val="00BD10BB"/>
    <w:rsid w:val="00BD6951"/>
    <w:rsid w:val="00BD6D63"/>
    <w:rsid w:val="00BE083A"/>
    <w:rsid w:val="00BE15D6"/>
    <w:rsid w:val="00BF338E"/>
    <w:rsid w:val="00BF5BD6"/>
    <w:rsid w:val="00C03E31"/>
    <w:rsid w:val="00C076EF"/>
    <w:rsid w:val="00C145B1"/>
    <w:rsid w:val="00C14F02"/>
    <w:rsid w:val="00C17162"/>
    <w:rsid w:val="00C203F0"/>
    <w:rsid w:val="00C273CD"/>
    <w:rsid w:val="00C320A6"/>
    <w:rsid w:val="00C33E72"/>
    <w:rsid w:val="00C354B2"/>
    <w:rsid w:val="00C35554"/>
    <w:rsid w:val="00C36AC2"/>
    <w:rsid w:val="00C42709"/>
    <w:rsid w:val="00C533CC"/>
    <w:rsid w:val="00C56022"/>
    <w:rsid w:val="00C5751C"/>
    <w:rsid w:val="00C61BFC"/>
    <w:rsid w:val="00C629F6"/>
    <w:rsid w:val="00C62B85"/>
    <w:rsid w:val="00C636BA"/>
    <w:rsid w:val="00C65438"/>
    <w:rsid w:val="00C7555F"/>
    <w:rsid w:val="00C87FD8"/>
    <w:rsid w:val="00C91381"/>
    <w:rsid w:val="00C91CBB"/>
    <w:rsid w:val="00C94A0D"/>
    <w:rsid w:val="00CA03F8"/>
    <w:rsid w:val="00CB4E70"/>
    <w:rsid w:val="00CB5E93"/>
    <w:rsid w:val="00CC09B6"/>
    <w:rsid w:val="00CC2C24"/>
    <w:rsid w:val="00CC666F"/>
    <w:rsid w:val="00CD0768"/>
    <w:rsid w:val="00CD1E3F"/>
    <w:rsid w:val="00CE44F6"/>
    <w:rsid w:val="00CE49DA"/>
    <w:rsid w:val="00CE7B61"/>
    <w:rsid w:val="00CF1504"/>
    <w:rsid w:val="00CF2FD5"/>
    <w:rsid w:val="00D00095"/>
    <w:rsid w:val="00D04894"/>
    <w:rsid w:val="00D053E5"/>
    <w:rsid w:val="00D1106A"/>
    <w:rsid w:val="00D114F0"/>
    <w:rsid w:val="00D16828"/>
    <w:rsid w:val="00D16A21"/>
    <w:rsid w:val="00D20620"/>
    <w:rsid w:val="00D219D1"/>
    <w:rsid w:val="00D254F7"/>
    <w:rsid w:val="00D26091"/>
    <w:rsid w:val="00D2685C"/>
    <w:rsid w:val="00D27874"/>
    <w:rsid w:val="00D34E7C"/>
    <w:rsid w:val="00D35489"/>
    <w:rsid w:val="00D36AFE"/>
    <w:rsid w:val="00D409F5"/>
    <w:rsid w:val="00D51276"/>
    <w:rsid w:val="00D6104B"/>
    <w:rsid w:val="00D7035F"/>
    <w:rsid w:val="00D77131"/>
    <w:rsid w:val="00D77C97"/>
    <w:rsid w:val="00DA634F"/>
    <w:rsid w:val="00DA65AC"/>
    <w:rsid w:val="00DB1913"/>
    <w:rsid w:val="00DC410D"/>
    <w:rsid w:val="00DC5A81"/>
    <w:rsid w:val="00DC68CA"/>
    <w:rsid w:val="00DC7CBA"/>
    <w:rsid w:val="00DD73B7"/>
    <w:rsid w:val="00DE112E"/>
    <w:rsid w:val="00DE228C"/>
    <w:rsid w:val="00DF28BC"/>
    <w:rsid w:val="00DF34B9"/>
    <w:rsid w:val="00DF49F1"/>
    <w:rsid w:val="00E01053"/>
    <w:rsid w:val="00E017C2"/>
    <w:rsid w:val="00E07ACF"/>
    <w:rsid w:val="00E132AE"/>
    <w:rsid w:val="00E24752"/>
    <w:rsid w:val="00E25F0F"/>
    <w:rsid w:val="00E331A1"/>
    <w:rsid w:val="00E33202"/>
    <w:rsid w:val="00E336A9"/>
    <w:rsid w:val="00E428F3"/>
    <w:rsid w:val="00E472B1"/>
    <w:rsid w:val="00E50624"/>
    <w:rsid w:val="00E5174E"/>
    <w:rsid w:val="00E557E7"/>
    <w:rsid w:val="00E568DF"/>
    <w:rsid w:val="00E64269"/>
    <w:rsid w:val="00E82267"/>
    <w:rsid w:val="00E853CE"/>
    <w:rsid w:val="00E867B6"/>
    <w:rsid w:val="00EA010F"/>
    <w:rsid w:val="00EA6AC9"/>
    <w:rsid w:val="00EB77DE"/>
    <w:rsid w:val="00EC6866"/>
    <w:rsid w:val="00ED1B63"/>
    <w:rsid w:val="00ED3C1F"/>
    <w:rsid w:val="00ED4085"/>
    <w:rsid w:val="00ED420E"/>
    <w:rsid w:val="00ED6FBE"/>
    <w:rsid w:val="00EE014C"/>
    <w:rsid w:val="00EE2F57"/>
    <w:rsid w:val="00EE50F0"/>
    <w:rsid w:val="00EF270C"/>
    <w:rsid w:val="00EF4C34"/>
    <w:rsid w:val="00EF5ADA"/>
    <w:rsid w:val="00EF77C6"/>
    <w:rsid w:val="00F05438"/>
    <w:rsid w:val="00F05D1B"/>
    <w:rsid w:val="00F1361C"/>
    <w:rsid w:val="00F156F0"/>
    <w:rsid w:val="00F160C7"/>
    <w:rsid w:val="00F2408F"/>
    <w:rsid w:val="00F240E9"/>
    <w:rsid w:val="00F36D8F"/>
    <w:rsid w:val="00F417B1"/>
    <w:rsid w:val="00F45853"/>
    <w:rsid w:val="00F50DD0"/>
    <w:rsid w:val="00F56E14"/>
    <w:rsid w:val="00F602DF"/>
    <w:rsid w:val="00F625F6"/>
    <w:rsid w:val="00F71840"/>
    <w:rsid w:val="00F71EDC"/>
    <w:rsid w:val="00F754A1"/>
    <w:rsid w:val="00F81FD9"/>
    <w:rsid w:val="00F841AA"/>
    <w:rsid w:val="00F84A94"/>
    <w:rsid w:val="00F87E96"/>
    <w:rsid w:val="00F945BB"/>
    <w:rsid w:val="00FA23E8"/>
    <w:rsid w:val="00FA300A"/>
    <w:rsid w:val="00FA5DA4"/>
    <w:rsid w:val="00FC1C88"/>
    <w:rsid w:val="00FD3CC1"/>
    <w:rsid w:val="00FE64ED"/>
    <w:rsid w:val="00FF1E02"/>
    <w:rsid w:val="00FF30B4"/>
    <w:rsid w:val="00FF726B"/>
    <w:rsid w:val="015975B8"/>
    <w:rsid w:val="02143E91"/>
    <w:rsid w:val="066E0107"/>
    <w:rsid w:val="07996F6E"/>
    <w:rsid w:val="0A2032A3"/>
    <w:rsid w:val="0F98263C"/>
    <w:rsid w:val="101860EC"/>
    <w:rsid w:val="10C055FF"/>
    <w:rsid w:val="118107EC"/>
    <w:rsid w:val="13D50BC4"/>
    <w:rsid w:val="16701DBB"/>
    <w:rsid w:val="16BB723D"/>
    <w:rsid w:val="1BE8440E"/>
    <w:rsid w:val="1CAB3B14"/>
    <w:rsid w:val="1D155CEE"/>
    <w:rsid w:val="1DA8115B"/>
    <w:rsid w:val="1FF35744"/>
    <w:rsid w:val="21D368EC"/>
    <w:rsid w:val="23860B96"/>
    <w:rsid w:val="240371BF"/>
    <w:rsid w:val="29FD04D3"/>
    <w:rsid w:val="2C8A61B5"/>
    <w:rsid w:val="2DF04E50"/>
    <w:rsid w:val="2F040D46"/>
    <w:rsid w:val="319F7F4E"/>
    <w:rsid w:val="3304709D"/>
    <w:rsid w:val="36AA5135"/>
    <w:rsid w:val="36C344B8"/>
    <w:rsid w:val="376D39B2"/>
    <w:rsid w:val="37E16F03"/>
    <w:rsid w:val="38D469F0"/>
    <w:rsid w:val="3D98207C"/>
    <w:rsid w:val="3E78745D"/>
    <w:rsid w:val="421A63FA"/>
    <w:rsid w:val="44E268DA"/>
    <w:rsid w:val="45196317"/>
    <w:rsid w:val="4A627F82"/>
    <w:rsid w:val="4B0E749A"/>
    <w:rsid w:val="4B4F25DA"/>
    <w:rsid w:val="4BE068DB"/>
    <w:rsid w:val="4D577224"/>
    <w:rsid w:val="4EAB630A"/>
    <w:rsid w:val="4ECE2238"/>
    <w:rsid w:val="537E6D0A"/>
    <w:rsid w:val="5951741C"/>
    <w:rsid w:val="5AF92295"/>
    <w:rsid w:val="5CD71FC4"/>
    <w:rsid w:val="68D45F2D"/>
    <w:rsid w:val="6C4A05C8"/>
    <w:rsid w:val="6E7E3605"/>
    <w:rsid w:val="6FF5CC65"/>
    <w:rsid w:val="715C0E4B"/>
    <w:rsid w:val="72734D90"/>
    <w:rsid w:val="73760CF3"/>
    <w:rsid w:val="73AD73D5"/>
    <w:rsid w:val="73B6EB34"/>
    <w:rsid w:val="744731E5"/>
    <w:rsid w:val="76E3355F"/>
    <w:rsid w:val="778769C8"/>
    <w:rsid w:val="79EE5BA4"/>
    <w:rsid w:val="7A894339"/>
    <w:rsid w:val="7D5738F9"/>
    <w:rsid w:val="7EEF11D3"/>
    <w:rsid w:val="7FA30C79"/>
    <w:rsid w:val="7FB7269E"/>
    <w:rsid w:val="7FC96657"/>
    <w:rsid w:val="D8D6DB89"/>
    <w:rsid w:val="DB6F4CAB"/>
    <w:rsid w:val="DF6F978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8"/>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Plain Text"/>
    <w:basedOn w:val="1"/>
    <w:link w:val="38"/>
    <w:qFormat/>
    <w:uiPriority w:val="0"/>
    <w:rPr>
      <w:rFonts w:ascii="宋体" w:hAnsi="Courier New"/>
    </w:rPr>
  </w:style>
  <w:style w:type="paragraph" w:styleId="9">
    <w:name w:val="Balloon Text"/>
    <w:basedOn w:val="1"/>
    <w:link w:val="34"/>
    <w:semiHidden/>
    <w:unhideWhenUsed/>
    <w:qFormat/>
    <w:uiPriority w:val="99"/>
    <w:rPr>
      <w:sz w:val="18"/>
      <w:szCs w:val="18"/>
    </w:rPr>
  </w:style>
  <w:style w:type="paragraph" w:styleId="10">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spacing w:line="560" w:lineRule="exact"/>
      <w:ind w:left="200" w:leftChars="200" w:hanging="200" w:hangingChars="200"/>
    </w:pPr>
    <w:rPr>
      <w:rFonts w:eastAsia="仿宋"/>
      <w:sz w:val="32"/>
      <w:szCs w:val="32"/>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Autospacing="1" w:afterAutospacing="1"/>
      <w:jc w:val="left"/>
    </w:pPr>
    <w:rPr>
      <w:rFonts w:eastAsia="仿宋_GB2312"/>
      <w:kern w:val="0"/>
      <w:sz w:val="24"/>
      <w:szCs w:val="32"/>
    </w:rPr>
  </w:style>
  <w:style w:type="paragraph" w:styleId="16">
    <w:name w:val="Body Text First Indent 2"/>
    <w:basedOn w:val="6"/>
    <w:unhideWhenUsed/>
    <w:qFormat/>
    <w:uiPriority w:val="99"/>
    <w:pPr>
      <w:ind w:firstLine="420" w:firstLineChars="200"/>
    </w:pPr>
  </w:style>
  <w:style w:type="character" w:styleId="19">
    <w:name w:val="Strong"/>
    <w:basedOn w:val="18"/>
    <w:qFormat/>
    <w:uiPriority w:val="99"/>
    <w:rPr>
      <w:b/>
    </w:rPr>
  </w:style>
  <w:style w:type="character" w:styleId="20">
    <w:name w:val="FollowedHyperlink"/>
    <w:basedOn w:val="18"/>
    <w:semiHidden/>
    <w:unhideWhenUsed/>
    <w:qFormat/>
    <w:uiPriority w:val="99"/>
    <w:rPr>
      <w:color w:val="800080"/>
      <w:u w:val="single"/>
    </w:rPr>
  </w:style>
  <w:style w:type="character" w:styleId="21">
    <w:name w:val="Hyperlink"/>
    <w:basedOn w:val="18"/>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8"/>
    <w:semiHidden/>
    <w:qFormat/>
    <w:uiPriority w:val="99"/>
    <w:rPr>
      <w:rFonts w:ascii="Times New Roman" w:hAnsi="Times New Roman"/>
      <w:sz w:val="18"/>
      <w:szCs w:val="18"/>
    </w:rPr>
  </w:style>
  <w:style w:type="character" w:customStyle="1" w:styleId="24">
    <w:name w:val="页眉 Char"/>
    <w:link w:val="11"/>
    <w:semiHidden/>
    <w:qFormat/>
    <w:locked/>
    <w:uiPriority w:val="99"/>
    <w:rPr>
      <w:sz w:val="18"/>
    </w:rPr>
  </w:style>
  <w:style w:type="character" w:customStyle="1" w:styleId="25">
    <w:name w:val="Footer Char"/>
    <w:basedOn w:val="18"/>
    <w:semiHidden/>
    <w:qFormat/>
    <w:uiPriority w:val="99"/>
    <w:rPr>
      <w:rFonts w:ascii="Times New Roman" w:hAnsi="Times New Roman"/>
      <w:sz w:val="18"/>
      <w:szCs w:val="18"/>
    </w:rPr>
  </w:style>
  <w:style w:type="character" w:customStyle="1" w:styleId="26">
    <w:name w:val="页脚 Char"/>
    <w:link w:val="10"/>
    <w:qFormat/>
    <w:locked/>
    <w:uiPriority w:val="99"/>
    <w:rPr>
      <w:sz w:val="18"/>
    </w:rPr>
  </w:style>
  <w:style w:type="character" w:customStyle="1" w:styleId="27">
    <w:name w:val="Body Text Char"/>
    <w:basedOn w:val="18"/>
    <w:semiHidden/>
    <w:qFormat/>
    <w:uiPriority w:val="99"/>
    <w:rPr>
      <w:rFonts w:ascii="Times New Roman" w:hAnsi="Times New Roman"/>
      <w:szCs w:val="24"/>
    </w:rPr>
  </w:style>
  <w:style w:type="character" w:customStyle="1" w:styleId="28">
    <w:name w:val="正文文本 Char"/>
    <w:link w:val="2"/>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8"/>
    <w:link w:val="3"/>
    <w:qFormat/>
    <w:uiPriority w:val="9"/>
    <w:rPr>
      <w:rFonts w:ascii="Times New Roman" w:hAnsi="Times New Roman"/>
      <w:b/>
      <w:bCs/>
      <w:kern w:val="44"/>
      <w:sz w:val="44"/>
      <w:szCs w:val="44"/>
    </w:rPr>
  </w:style>
  <w:style w:type="character" w:customStyle="1" w:styleId="32">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18"/>
    <w:link w:val="9"/>
    <w:semiHidden/>
    <w:qFormat/>
    <w:uiPriority w:val="99"/>
    <w:rPr>
      <w:rFonts w:ascii="Times New Roman" w:hAnsi="Times New Roman"/>
      <w:kern w:val="2"/>
      <w:sz w:val="18"/>
      <w:szCs w:val="18"/>
    </w:rPr>
  </w:style>
  <w:style w:type="character" w:customStyle="1" w:styleId="35">
    <w:name w:val="标题 3 Char"/>
    <w:basedOn w:val="18"/>
    <w:link w:val="5"/>
    <w:qFormat/>
    <w:uiPriority w:val="9"/>
    <w:rPr>
      <w:rFonts w:ascii="Times New Roman" w:hAnsi="Times New Roman"/>
      <w:b/>
      <w:bCs/>
      <w:kern w:val="2"/>
      <w:sz w:val="32"/>
      <w:szCs w:val="32"/>
    </w:rPr>
  </w:style>
  <w:style w:type="paragraph" w:customStyle="1" w:styleId="36">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color w:val="000000"/>
      <w:kern w:val="0"/>
      <w:sz w:val="28"/>
      <w:szCs w:val="21"/>
      <w:lang w:val="zh-CN"/>
    </w:rPr>
  </w:style>
  <w:style w:type="character" w:customStyle="1" w:styleId="38">
    <w:name w:val="纯文本 Char"/>
    <w:basedOn w:val="18"/>
    <w:link w:val="8"/>
    <w:qFormat/>
    <w:uiPriority w:val="0"/>
    <w:rPr>
      <w:rFonts w:ascii="宋体" w:hAnsi="Courier New" w:eastAsia="宋体" w:cs="Times New Roman"/>
      <w:kern w:val="2"/>
      <w:sz w:val="21"/>
      <w:szCs w:val="24"/>
    </w:rPr>
  </w:style>
  <w:style w:type="paragraph" w:customStyle="1" w:styleId="39">
    <w:name w:val="xl65"/>
    <w:basedOn w:val="1"/>
    <w:qFormat/>
    <w:uiPriority w:val="0"/>
    <w:pPr>
      <w:widowControl/>
      <w:spacing w:before="100" w:beforeAutospacing="1" w:after="100" w:afterAutospacing="1"/>
      <w:jc w:val="right"/>
    </w:pPr>
    <w:rPr>
      <w:rFonts w:ascii="宋体" w:hAnsi="宋体" w:cs="宋体"/>
      <w:kern w:val="0"/>
      <w:sz w:val="24"/>
    </w:rPr>
  </w:style>
  <w:style w:type="paragraph" w:customStyle="1" w:styleId="40">
    <w:name w:val="xl66"/>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xl67"/>
    <w:basedOn w:val="1"/>
    <w:qFormat/>
    <w:uiPriority w:val="0"/>
    <w:pPr>
      <w:widowControl/>
      <w:pBdr>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cs="宋体"/>
      <w:kern w:val="0"/>
      <w:sz w:val="22"/>
      <w:szCs w:val="22"/>
    </w:rPr>
  </w:style>
  <w:style w:type="paragraph" w:customStyle="1" w:styleId="42">
    <w:name w:val="xl68"/>
    <w:basedOn w:val="1"/>
    <w:qFormat/>
    <w:uiPriority w:val="0"/>
    <w:pPr>
      <w:widowControl/>
      <w:pBdr>
        <w:bottom w:val="single" w:color="000000" w:sz="4" w:space="0"/>
        <w:right w:val="single" w:color="000000" w:sz="4" w:space="0"/>
      </w:pBdr>
      <w:spacing w:before="100" w:beforeAutospacing="1" w:after="100" w:afterAutospacing="1"/>
      <w:jc w:val="right"/>
      <w:textAlignment w:val="center"/>
    </w:pPr>
    <w:rPr>
      <w:rFonts w:ascii="宋体" w:hAnsi="宋体" w:cs="宋体"/>
      <w:kern w:val="0"/>
      <w:sz w:val="22"/>
      <w:szCs w:val="22"/>
    </w:rPr>
  </w:style>
  <w:style w:type="paragraph" w:customStyle="1" w:styleId="43">
    <w:name w:val="xl69"/>
    <w:basedOn w:val="1"/>
    <w:qFormat/>
    <w:uiPriority w:val="0"/>
    <w:pPr>
      <w:widowControl/>
      <w:pBdr>
        <w:bottom w:val="single" w:color="000000" w:sz="4" w:space="0"/>
        <w:right w:val="single" w:color="000000" w:sz="4" w:space="0"/>
      </w:pBdr>
      <w:shd w:val="clear" w:color="FFFFFF" w:fill="C0C0C0"/>
      <w:spacing w:before="100" w:beforeAutospacing="1" w:after="100" w:afterAutospacing="1"/>
      <w:jc w:val="left"/>
      <w:textAlignment w:val="center"/>
    </w:pPr>
    <w:rPr>
      <w:rFonts w:ascii="宋体" w:hAnsi="宋体" w:cs="宋体"/>
      <w:kern w:val="0"/>
      <w:sz w:val="22"/>
      <w:szCs w:val="22"/>
    </w:rPr>
  </w:style>
  <w:style w:type="paragraph" w:customStyle="1" w:styleId="44">
    <w:name w:val="xl70"/>
    <w:basedOn w:val="1"/>
    <w:qFormat/>
    <w:uiPriority w:val="0"/>
    <w:pPr>
      <w:widowControl/>
      <w:pBdr>
        <w:bottom w:val="single" w:color="000000" w:sz="4" w:space="0"/>
        <w:right w:val="single" w:color="000000" w:sz="4" w:space="0"/>
      </w:pBdr>
      <w:spacing w:before="100" w:beforeAutospacing="1" w:after="100" w:afterAutospacing="1"/>
      <w:jc w:val="right"/>
      <w:textAlignment w:val="center"/>
    </w:pPr>
    <w:rPr>
      <w:rFonts w:ascii="宋体" w:hAnsi="宋体" w:cs="宋体"/>
      <w:kern w:val="0"/>
      <w:sz w:val="22"/>
      <w:szCs w:val="22"/>
    </w:rPr>
  </w:style>
  <w:style w:type="paragraph" w:customStyle="1" w:styleId="45">
    <w:name w:val="xl71"/>
    <w:basedOn w:val="1"/>
    <w:qFormat/>
    <w:uiPriority w:val="0"/>
    <w:pPr>
      <w:widowControl/>
      <w:pBdr>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cs="宋体"/>
      <w:kern w:val="0"/>
      <w:sz w:val="22"/>
      <w:szCs w:val="22"/>
    </w:rPr>
  </w:style>
  <w:style w:type="paragraph" w:customStyle="1" w:styleId="46">
    <w:name w:val="xl72"/>
    <w:basedOn w:val="1"/>
    <w:qFormat/>
    <w:uiPriority w:val="0"/>
    <w:pPr>
      <w:widowControl/>
      <w:pBdr>
        <w:left w:val="single" w:color="000000" w:sz="4" w:space="0"/>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cs="宋体"/>
      <w:kern w:val="0"/>
      <w:sz w:val="22"/>
      <w:szCs w:val="22"/>
    </w:rPr>
  </w:style>
  <w:style w:type="paragraph" w:customStyle="1" w:styleId="47">
    <w:name w:val="xl73"/>
    <w:basedOn w:val="1"/>
    <w:qFormat/>
    <w:uiPriority w:val="0"/>
    <w:pPr>
      <w:widowControl/>
      <w:pBdr>
        <w:left w:val="single" w:color="000000" w:sz="4" w:space="0"/>
        <w:bottom w:val="single" w:color="000000" w:sz="4" w:space="0"/>
        <w:right w:val="single" w:color="000000" w:sz="4" w:space="0"/>
      </w:pBdr>
      <w:shd w:val="clear" w:color="FFFFFF" w:fill="C0C0C0"/>
      <w:spacing w:before="100" w:beforeAutospacing="1" w:after="100" w:afterAutospacing="1"/>
      <w:jc w:val="left"/>
      <w:textAlignment w:val="center"/>
    </w:pPr>
    <w:rPr>
      <w:rFonts w:ascii="宋体" w:hAnsi="宋体" w:cs="宋体"/>
      <w:kern w:val="0"/>
      <w:sz w:val="22"/>
      <w:szCs w:val="22"/>
    </w:rPr>
  </w:style>
  <w:style w:type="paragraph" w:customStyle="1" w:styleId="48">
    <w:name w:val="xl74"/>
    <w:basedOn w:val="1"/>
    <w:qFormat/>
    <w:uiPriority w:val="0"/>
    <w:pPr>
      <w:widowControl/>
      <w:pBdr>
        <w:left w:val="single" w:color="000000" w:sz="4" w:space="0"/>
        <w:bottom w:val="single" w:color="000000" w:sz="4" w:space="0"/>
        <w:right w:val="single" w:color="000000" w:sz="4" w:space="0"/>
      </w:pBdr>
      <w:shd w:val="clear" w:color="FFFFFF" w:fill="C0C0C0"/>
      <w:spacing w:before="100" w:beforeAutospacing="1" w:after="100" w:afterAutospacing="1"/>
      <w:jc w:val="left"/>
      <w:textAlignment w:val="center"/>
    </w:pPr>
    <w:rPr>
      <w:rFonts w:ascii="宋体" w:hAnsi="宋体" w:cs="宋体"/>
      <w:b/>
      <w:bCs/>
      <w:kern w:val="0"/>
      <w:sz w:val="22"/>
      <w:szCs w:val="22"/>
    </w:rPr>
  </w:style>
  <w:style w:type="paragraph" w:customStyle="1" w:styleId="49">
    <w:name w:val="xl75"/>
    <w:basedOn w:val="1"/>
    <w:qFormat/>
    <w:uiPriority w:val="0"/>
    <w:pPr>
      <w:widowControl/>
      <w:pBdr>
        <w:bottom w:val="single" w:color="000000" w:sz="4" w:space="0"/>
        <w:right w:val="single" w:color="000000" w:sz="4" w:space="0"/>
      </w:pBdr>
      <w:shd w:val="clear" w:color="FFFFFF" w:fill="C0C0C0"/>
      <w:spacing w:before="100" w:beforeAutospacing="1" w:after="100" w:afterAutospacing="1"/>
      <w:jc w:val="left"/>
      <w:textAlignment w:val="center"/>
    </w:pPr>
    <w:rPr>
      <w:rFonts w:ascii="宋体" w:hAnsi="宋体" w:cs="宋体"/>
      <w:b/>
      <w:bCs/>
      <w:kern w:val="0"/>
      <w:sz w:val="22"/>
      <w:szCs w:val="22"/>
    </w:rPr>
  </w:style>
  <w:style w:type="paragraph" w:customStyle="1" w:styleId="50">
    <w:name w:val="xl76"/>
    <w:basedOn w:val="1"/>
    <w:qFormat/>
    <w:uiPriority w:val="0"/>
    <w:pPr>
      <w:widowControl/>
      <w:pBdr>
        <w:bottom w:val="single" w:color="000000" w:sz="4" w:space="0"/>
        <w:right w:val="single" w:color="000000" w:sz="4" w:space="0"/>
      </w:pBdr>
      <w:spacing w:before="100" w:beforeAutospacing="1" w:after="100" w:afterAutospacing="1"/>
      <w:jc w:val="center"/>
      <w:textAlignment w:val="center"/>
    </w:pPr>
    <w:rPr>
      <w:rFonts w:ascii="宋体" w:hAnsi="宋体" w:cs="宋体"/>
      <w:kern w:val="0"/>
      <w:sz w:val="22"/>
      <w:szCs w:val="22"/>
    </w:rPr>
  </w:style>
  <w:style w:type="paragraph" w:customStyle="1" w:styleId="51">
    <w:name w:val="xl77"/>
    <w:basedOn w:val="1"/>
    <w:qFormat/>
    <w:uiPriority w:val="0"/>
    <w:pPr>
      <w:widowControl/>
      <w:pBdr>
        <w:top w:val="single" w:color="000000" w:sz="4" w:space="0"/>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cs="宋体"/>
      <w:kern w:val="0"/>
      <w:sz w:val="22"/>
      <w:szCs w:val="22"/>
    </w:rPr>
  </w:style>
  <w:style w:type="paragraph" w:customStyle="1" w:styleId="52">
    <w:name w:val="xl78"/>
    <w:basedOn w:val="1"/>
    <w:qFormat/>
    <w:uiPriority w:val="0"/>
    <w:pPr>
      <w:widowControl/>
      <w:spacing w:before="100" w:beforeAutospacing="1" w:after="100" w:afterAutospacing="1"/>
      <w:jc w:val="left"/>
      <w:textAlignment w:val="center"/>
    </w:pPr>
    <w:rPr>
      <w:rFonts w:ascii="宋体" w:hAnsi="宋体" w:cs="宋体"/>
      <w:kern w:val="0"/>
      <w:sz w:val="22"/>
      <w:szCs w:val="22"/>
    </w:rPr>
  </w:style>
  <w:style w:type="paragraph" w:customStyle="1" w:styleId="53">
    <w:name w:val="xl79"/>
    <w:basedOn w:val="1"/>
    <w:qFormat/>
    <w:uiPriority w:val="0"/>
    <w:pPr>
      <w:widowControl/>
      <w:pBdr>
        <w:left w:val="single" w:color="000000" w:sz="4" w:space="0"/>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cs="宋体"/>
      <w:kern w:val="0"/>
      <w:sz w:val="22"/>
      <w:szCs w:val="22"/>
    </w:rPr>
  </w:style>
  <w:style w:type="paragraph" w:customStyle="1" w:styleId="54">
    <w:name w:val="xl80"/>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cs="宋体"/>
      <w:kern w:val="0"/>
      <w:sz w:val="22"/>
      <w:szCs w:val="22"/>
    </w:rPr>
  </w:style>
  <w:style w:type="paragraph" w:customStyle="1" w:styleId="55">
    <w:name w:val="xl81"/>
    <w:basedOn w:val="1"/>
    <w:qFormat/>
    <w:uiPriority w:val="0"/>
    <w:pPr>
      <w:widowControl/>
      <w:pBdr>
        <w:top w:val="single" w:color="000000" w:sz="4" w:space="0"/>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cs="宋体"/>
      <w:kern w:val="0"/>
      <w:sz w:val="22"/>
      <w:szCs w:val="22"/>
    </w:rPr>
  </w:style>
  <w:style w:type="paragraph" w:customStyle="1" w:styleId="56">
    <w:name w:val="xl82"/>
    <w:basedOn w:val="1"/>
    <w:qFormat/>
    <w:uiPriority w:val="0"/>
    <w:pPr>
      <w:widowControl/>
      <w:spacing w:before="100" w:beforeAutospacing="1" w:after="100" w:afterAutospacing="1"/>
      <w:jc w:val="center"/>
    </w:pPr>
    <w:rPr>
      <w:rFonts w:ascii="宋体" w:hAnsi="宋体" w:cs="宋体"/>
      <w:kern w:val="0"/>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customXml" Target="../customXml/item1.xml"/><Relationship Id="rId25" Type="http://schemas.openxmlformats.org/officeDocument/2006/relationships/numbering" Target="numbering.xml"/><Relationship Id="rId24" Type="http://schemas.openxmlformats.org/officeDocument/2006/relationships/image" Target="media/image14.emf"/><Relationship Id="rId23" Type="http://schemas.openxmlformats.org/officeDocument/2006/relationships/image" Target="media/image13.emf"/><Relationship Id="rId22" Type="http://schemas.openxmlformats.org/officeDocument/2006/relationships/image" Target="media/image12.emf"/><Relationship Id="rId21" Type="http://schemas.openxmlformats.org/officeDocument/2006/relationships/image" Target="media/image11.emf"/><Relationship Id="rId20" Type="http://schemas.openxmlformats.org/officeDocument/2006/relationships/image" Target="media/image10.emf"/><Relationship Id="rId2" Type="http://schemas.openxmlformats.org/officeDocument/2006/relationships/settings" Target="settings.xml"/><Relationship Id="rId19" Type="http://schemas.openxmlformats.org/officeDocument/2006/relationships/image" Target="media/image9.emf"/><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emf"/><Relationship Id="rId15" Type="http://schemas.openxmlformats.org/officeDocument/2006/relationships/image" Target="media/image5.png"/><Relationship Id="rId14" Type="http://schemas.openxmlformats.org/officeDocument/2006/relationships/image" Target="media/image4.emf"/><Relationship Id="rId13" Type="http://schemas.openxmlformats.org/officeDocument/2006/relationships/image" Target="media/image3.emf"/><Relationship Id="rId12" Type="http://schemas.openxmlformats.org/officeDocument/2006/relationships/image" Target="media/image2.emf"/><Relationship Id="rId11" Type="http://schemas.openxmlformats.org/officeDocument/2006/relationships/image" Target="media/image1.emf"/><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022&#23459;&#20256;&#37096;&#20915;&#31639;&#20844;&#24320;&#22270;&#34920;(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2022&#23459;&#20256;&#37096;&#20915;&#31639;&#20844;&#24320;&#22270;&#34920;(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2022&#23459;&#20256;&#37096;&#20915;&#31639;&#20844;&#24320;&#22270;&#34920;(2).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2022&#23459;&#20256;&#37096;&#20915;&#31639;&#20844;&#24320;&#22270;&#34920;(2).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2022&#23459;&#20256;&#37096;&#20915;&#31639;&#20844;&#24320;&#22270;&#34920;(2).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2022&#23459;&#20256;&#37096;&#20915;&#31639;&#20844;&#24320;&#22270;&#34920;(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66915515277571"/>
          <c:y val="0.0297256216466917"/>
          <c:w val="0.943308448472242"/>
          <c:h val="0.846427810981459"/>
        </c:manualLayout>
      </c:layout>
      <c:barChart>
        <c:barDir val="col"/>
        <c:grouping val="clustered"/>
        <c:varyColors val="0"/>
        <c:ser>
          <c:idx val="0"/>
          <c:order val="0"/>
          <c:tx>
            <c:strRef>
              <c:f>Sheet2!$D$4</c:f>
              <c:strCache>
                <c:ptCount val="1"/>
                <c:pt idx="0">
                  <c:v/>
                </c:pt>
              </c:strCache>
            </c:strRef>
          </c:tx>
          <c:invertIfNegative val="0"/>
          <c:dLbls>
            <c:delete val="1"/>
          </c:dLbls>
          <c:cat>
            <c:strRef>
              <c:f>Sheet2!$E$4:$G$4</c:f>
              <c:strCache>
                <c:ptCount val="3"/>
                <c:pt idx="0">
                  <c:v>2021年</c:v>
                </c:pt>
                <c:pt idx="2">
                  <c:v>2022年</c:v>
                </c:pt>
              </c:strCache>
            </c:strRef>
          </c:cat>
          <c:val>
            <c:numRef>
              <c:f>Sheet2!$E$4:$H$4</c:f>
              <c:numCache>
                <c:formatCode>General</c:formatCode>
                <c:ptCount val="4"/>
                <c:pt idx="0">
                  <c:v>0</c:v>
                </c:pt>
                <c:pt idx="2">
                  <c:v>0</c:v>
                </c:pt>
              </c:numCache>
            </c:numRef>
          </c:val>
        </c:ser>
        <c:ser>
          <c:idx val="1"/>
          <c:order val="1"/>
          <c:tx>
            <c:strRef>
              <c:f>Sheet2!$D$5</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Sheet2!$E$4:$G$4</c:f>
              <c:strCache>
                <c:ptCount val="3"/>
                <c:pt idx="0">
                  <c:v>2021年</c:v>
                </c:pt>
                <c:pt idx="2">
                  <c:v>2022年</c:v>
                </c:pt>
              </c:strCache>
            </c:strRef>
          </c:cat>
          <c:val>
            <c:numRef>
              <c:f>Sheet2!$E$5:$G$5</c:f>
              <c:numCache>
                <c:formatCode>General</c:formatCode>
                <c:ptCount val="3"/>
                <c:pt idx="0">
                  <c:v>741.39</c:v>
                </c:pt>
                <c:pt idx="2">
                  <c:v>723.459999999999</c:v>
                </c:pt>
              </c:numCache>
            </c:numRef>
          </c:val>
        </c:ser>
        <c:ser>
          <c:idx val="2"/>
          <c:order val="2"/>
          <c:tx>
            <c:strRef>
              <c:f>Sheet2!$D$6</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Sheet2!$E$4:$G$4</c:f>
              <c:strCache>
                <c:ptCount val="3"/>
                <c:pt idx="0">
                  <c:v>2021年</c:v>
                </c:pt>
                <c:pt idx="2">
                  <c:v>2022年</c:v>
                </c:pt>
              </c:strCache>
            </c:strRef>
          </c:cat>
          <c:val>
            <c:numRef>
              <c:f>Sheet2!$E$6:$H$6</c:f>
              <c:numCache>
                <c:formatCode>General</c:formatCode>
                <c:ptCount val="4"/>
                <c:pt idx="0">
                  <c:v>1286.74</c:v>
                </c:pt>
                <c:pt idx="2">
                  <c:v>739.670000000001</c:v>
                </c:pt>
              </c:numCache>
            </c:numRef>
          </c:val>
        </c:ser>
        <c:dLbls>
          <c:showLegendKey val="0"/>
          <c:showVal val="1"/>
          <c:showCatName val="0"/>
          <c:showSerName val="0"/>
          <c:showPercent val="0"/>
          <c:showBubbleSize val="0"/>
        </c:dLbls>
        <c:gapWidth val="150"/>
        <c:axId val="56288384"/>
        <c:axId val="56289920"/>
      </c:barChart>
      <c:catAx>
        <c:axId val="56288384"/>
        <c:scaling>
          <c:orientation val="minMax"/>
        </c:scaling>
        <c:delete val="0"/>
        <c:axPos val="b"/>
        <c:numFmt formatCode="@"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6289920"/>
        <c:crosses val="autoZero"/>
        <c:auto val="1"/>
        <c:lblAlgn val="ctr"/>
        <c:lblOffset val="100"/>
        <c:noMultiLvlLbl val="0"/>
      </c:catAx>
      <c:valAx>
        <c:axId val="5628992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6288384"/>
        <c:crosses val="autoZero"/>
        <c:crossBetween val="between"/>
      </c:valAx>
    </c:plotArea>
    <c:legend>
      <c:legendPos val="r"/>
      <c:layout/>
      <c:overlay val="1"/>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sz="1600" b="0" i="0" u="none" strike="noStrike" baseline="0">
                <a:solidFill>
                  <a:srgbClr val="000000"/>
                </a:solidFill>
                <a:latin typeface="宋体" panose="02010600030101010101" charset="-122"/>
                <a:ea typeface="宋体" panose="02010600030101010101" charset="-122"/>
              </a:rPr>
              <a:t>图</a:t>
            </a:r>
            <a:r>
              <a:rPr lang="en-US" altLang="zh-CN" sz="1600" b="0" i="0" u="none" strike="noStrike" baseline="0">
                <a:solidFill>
                  <a:srgbClr val="000000"/>
                </a:solidFill>
                <a:latin typeface="宋体" panose="02010600030101010101" charset="-122"/>
                <a:ea typeface="宋体" panose="02010600030101010101" charset="-122"/>
              </a:rPr>
              <a:t>2    </a:t>
            </a:r>
            <a:r>
              <a:rPr lang="zh-CN" altLang="en-US" sz="1600" b="0" i="0" u="none" strike="noStrike" baseline="0">
                <a:solidFill>
                  <a:srgbClr val="000000"/>
                </a:solidFill>
                <a:latin typeface="宋体" panose="02010600030101010101" charset="-122"/>
                <a:ea typeface="宋体" panose="02010600030101010101" charset="-122"/>
              </a:rPr>
              <a:t>收入决算结构图</a:t>
            </a:r>
            <a:endParaRPr lang="zh-CN" altLang="en-US" sz="1600" b="0" i="0" u="none" strike="noStrike" baseline="0">
              <a:solidFill>
                <a:srgbClr val="000000"/>
              </a:solidFill>
              <a:latin typeface="宋体" panose="02010600030101010101" charset="-122"/>
              <a:ea typeface="宋体" panose="02010600030101010101" charset="-122"/>
            </a:endParaRPr>
          </a:p>
        </c:rich>
      </c:tx>
      <c:layout>
        <c:manualLayout>
          <c:xMode val="edge"/>
          <c:yMode val="edge"/>
          <c:x val="0.337607286268704"/>
          <c:y val="0.033240997229917"/>
        </c:manualLayout>
      </c:layout>
      <c:overlay val="0"/>
      <c:spPr>
        <a:noFill/>
        <a:ln w="25400">
          <a:noFill/>
        </a:ln>
      </c:spPr>
    </c:title>
    <c:autoTitleDeleted val="0"/>
    <c:plotArea>
      <c:layout>
        <c:manualLayout>
          <c:layoutTarget val="inner"/>
          <c:xMode val="edge"/>
          <c:yMode val="edge"/>
          <c:x val="0.209402000703905"/>
          <c:y val="0.329640335061482"/>
          <c:w val="0.245014585857631"/>
          <c:h val="0.476454938072058"/>
        </c:manualLayout>
      </c:layout>
      <c:pieChart>
        <c:varyColors val="1"/>
        <c:ser>
          <c:idx val="0"/>
          <c:order val="0"/>
          <c:spPr>
            <a:solidFill>
              <a:srgbClr val="9999FF"/>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Lbls>
            <c:numFmt formatCode="0%" sourceLinked="0"/>
            <c:spPr>
              <a:noFill/>
              <a:ln w="25400">
                <a:noFill/>
              </a:ln>
              <a:effectLst/>
            </c:spPr>
            <c:txPr>
              <a:bodyPr rot="0" spcFirstLastPara="0" vertOverflow="ellipsis" vert="horz" wrap="square" lIns="38100" tIns="19050" rIns="38100" bIns="19050" anchor="ctr" anchorCtr="1"/>
              <a:lstStyle/>
              <a:p>
                <a:pPr>
                  <a:defRPr lang="zh-CN" sz="12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1"/>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Sheet1!$B$3:$B$8</c:f>
              <c:strCache>
                <c:ptCount val="6"/>
                <c:pt idx="0">
                  <c:v>一般公共预算财政拨款收入</c:v>
                </c:pt>
                <c:pt idx="1">
                  <c:v>政府性基金预算财政拨款收入</c:v>
                </c:pt>
                <c:pt idx="2">
                  <c:v>国有资本经营预算财政拨款收入</c:v>
                </c:pt>
                <c:pt idx="3">
                  <c:v>事业收入</c:v>
                </c:pt>
                <c:pt idx="4">
                  <c:v>附属单位上缴收入</c:v>
                </c:pt>
                <c:pt idx="5">
                  <c:v>其他收入</c:v>
                </c:pt>
              </c:strCache>
            </c:strRef>
          </c:cat>
          <c:val>
            <c:numRef>
              <c:f>Sheet1!$C$3:$C$8</c:f>
              <c:numCache>
                <c:formatCode>General</c:formatCode>
                <c:ptCount val="6"/>
                <c:pt idx="0">
                  <c:v>723.180000000001</c:v>
                </c:pt>
                <c:pt idx="1">
                  <c:v>0.28</c:v>
                </c:pt>
                <c:pt idx="2">
                  <c:v>0</c:v>
                </c:pt>
                <c:pt idx="3">
                  <c:v>0</c:v>
                </c:pt>
                <c:pt idx="4">
                  <c:v>0</c:v>
                </c:pt>
                <c:pt idx="5">
                  <c:v>0</c:v>
                </c:pt>
              </c:numCache>
            </c:numRef>
          </c:val>
        </c:ser>
        <c:ser>
          <c:idx val="1"/>
          <c:order val="1"/>
          <c:spPr>
            <a:solidFill>
              <a:srgbClr val="993366"/>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Lbls>
            <c:delete val="1"/>
          </c:dLbls>
          <c:cat>
            <c:strRef>
              <c:f>Sheet1!$B$3:$B$8</c:f>
              <c:strCache>
                <c:ptCount val="6"/>
                <c:pt idx="0">
                  <c:v>一般公共预算财政拨款收入</c:v>
                </c:pt>
                <c:pt idx="1">
                  <c:v>政府性基金预算财政拨款收入</c:v>
                </c:pt>
                <c:pt idx="2">
                  <c:v>国有资本经营预算财政拨款收入</c:v>
                </c:pt>
                <c:pt idx="3">
                  <c:v>事业收入</c:v>
                </c:pt>
                <c:pt idx="4">
                  <c:v>附属单位上缴收入</c:v>
                </c:pt>
                <c:pt idx="5">
                  <c:v>其他收入</c:v>
                </c:pt>
              </c:strCache>
            </c:strRef>
          </c:cat>
          <c:val>
            <c:numRef>
              <c:f>Sheet1!$D$3:$D$8</c:f>
              <c:numCache>
                <c:formatCode>0%</c:formatCode>
                <c:ptCount val="6"/>
                <c:pt idx="0">
                  <c:v>1</c:v>
                </c:pt>
                <c:pt idx="1">
                  <c:v>0</c:v>
                </c:pt>
                <c:pt idx="2">
                  <c:v>0</c:v>
                </c:pt>
                <c:pt idx="3">
                  <c:v>0</c:v>
                </c:pt>
                <c:pt idx="4">
                  <c:v>0</c:v>
                </c:pt>
                <c:pt idx="5">
                  <c:v>0</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658120555443393"/>
          <c:y val="0.243767603841764"/>
          <c:w val="0.330484779146198"/>
          <c:h val="0.650970401552993"/>
        </c:manualLayout>
      </c:layout>
      <c:overlay val="0"/>
      <c:spPr>
        <a:solidFill>
          <a:srgbClr val="FFFFFF"/>
        </a:solidFill>
        <a:ln w="3175">
          <a:solidFill>
            <a:srgbClr val="000000"/>
          </a:solidFill>
          <a:prstDash val="solid"/>
        </a:ln>
      </c:spPr>
      <c:txPr>
        <a:bodyPr rot="0" spcFirstLastPara="0" vertOverflow="ellipsis" vert="horz" wrap="square" anchor="ctr" anchorCtr="1"/>
        <a:lstStyle/>
        <a:p>
          <a:pPr>
            <a:defRPr lang="zh-CN" sz="11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solidFill>
    <a:ln w="3175" cap="flat" cmpd="sng" algn="ctr">
      <a:solidFill>
        <a:srgbClr val="000000"/>
      </a:solidFill>
      <a:prstDash val="solid"/>
      <a:round/>
    </a:ln>
  </c:spPr>
  <c:txPr>
    <a:bodyPr/>
    <a:lstStyle/>
    <a:p>
      <a:pPr>
        <a:defRPr lang="zh-CN" sz="12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sz="1400" b="0" i="0" u="none" strike="noStrike" baseline="0">
                <a:solidFill>
                  <a:srgbClr val="000000"/>
                </a:solidFill>
                <a:latin typeface="宋体" panose="02010600030101010101" charset="-122"/>
                <a:ea typeface="宋体" panose="02010600030101010101" charset="-122"/>
              </a:rPr>
              <a:t>图</a:t>
            </a:r>
            <a:r>
              <a:rPr lang="en-US" altLang="zh-CN" sz="1400" b="0" i="0" u="none" strike="noStrike" baseline="0">
                <a:solidFill>
                  <a:srgbClr val="000000"/>
                </a:solidFill>
                <a:latin typeface="宋体" panose="02010600030101010101" charset="-122"/>
                <a:ea typeface="宋体" panose="02010600030101010101" charset="-122"/>
              </a:rPr>
              <a:t>3    </a:t>
            </a:r>
            <a:r>
              <a:rPr lang="zh-CN" altLang="en-US" sz="1400" b="0" i="0" u="none" strike="noStrike" baseline="0">
                <a:solidFill>
                  <a:srgbClr val="000000"/>
                </a:solidFill>
                <a:latin typeface="宋体" panose="02010600030101010101" charset="-122"/>
                <a:ea typeface="宋体" panose="02010600030101010101" charset="-122"/>
              </a:rPr>
              <a:t>支出决算结构图</a:t>
            </a:r>
            <a:endParaRPr lang="zh-CN" altLang="en-US" sz="1400" b="0" i="0" u="none" strike="noStrike" baseline="0">
              <a:solidFill>
                <a:srgbClr val="000000"/>
              </a:solidFill>
              <a:latin typeface="宋体" panose="02010600030101010101" charset="-122"/>
              <a:ea typeface="宋体" panose="02010600030101010101" charset="-122"/>
            </a:endParaRPr>
          </a:p>
        </c:rich>
      </c:tx>
      <c:layout>
        <c:manualLayout>
          <c:xMode val="edge"/>
          <c:yMode val="edge"/>
          <c:x val="0.355648974840489"/>
          <c:y val="0.033240997229917"/>
        </c:manualLayout>
      </c:layout>
      <c:overlay val="0"/>
      <c:spPr>
        <a:noFill/>
        <a:ln w="25400">
          <a:noFill/>
        </a:ln>
      </c:spPr>
    </c:title>
    <c:autoTitleDeleted val="0"/>
    <c:plotArea>
      <c:layout>
        <c:manualLayout>
          <c:layoutTarget val="inner"/>
          <c:xMode val="edge"/>
          <c:yMode val="edge"/>
          <c:x val="0.262203983345296"/>
          <c:y val="0.335180508759995"/>
          <c:w val="0.232915240524812"/>
          <c:h val="0.462604503825777"/>
        </c:manualLayout>
      </c:layout>
      <c:pieChart>
        <c:varyColors val="1"/>
        <c:ser>
          <c:idx val="0"/>
          <c:order val="0"/>
          <c:spPr>
            <a:solidFill>
              <a:srgbClr val="9999FF"/>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Lbls>
            <c:numFmt formatCode="0.00%" sourceLinked="0"/>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1"/>
            <c:showVal val="1"/>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Sheet1!$B$34:$B$38</c:f>
              <c:strCache>
                <c:ptCount val="5"/>
                <c:pt idx="0">
                  <c:v>基本支出</c:v>
                </c:pt>
                <c:pt idx="1">
                  <c:v>项目支出</c:v>
                </c:pt>
                <c:pt idx="2">
                  <c:v>上缴上级支出</c:v>
                </c:pt>
                <c:pt idx="3">
                  <c:v>经营支出</c:v>
                </c:pt>
                <c:pt idx="4">
                  <c:v>对附属单位补助支出</c:v>
                </c:pt>
              </c:strCache>
            </c:strRef>
          </c:cat>
          <c:val>
            <c:numRef>
              <c:f>Sheet1!$C$34:$C$38</c:f>
              <c:numCache>
                <c:formatCode>General</c:formatCode>
                <c:ptCount val="5"/>
                <c:pt idx="0">
                  <c:v>312.87</c:v>
                </c:pt>
                <c:pt idx="1">
                  <c:v>426.8</c:v>
                </c:pt>
                <c:pt idx="2">
                  <c:v>0</c:v>
                </c:pt>
                <c:pt idx="3">
                  <c:v>0</c:v>
                </c:pt>
                <c:pt idx="4">
                  <c:v>0</c:v>
                </c:pt>
              </c:numCache>
            </c:numRef>
          </c:val>
        </c:ser>
        <c:ser>
          <c:idx val="1"/>
          <c:order val="1"/>
          <c:spPr>
            <a:solidFill>
              <a:srgbClr val="993366"/>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Lbls>
            <c:delete val="1"/>
          </c:dLbls>
          <c:cat>
            <c:strRef>
              <c:f>Sheet1!$B$34:$B$38</c:f>
              <c:strCache>
                <c:ptCount val="5"/>
                <c:pt idx="0">
                  <c:v>基本支出</c:v>
                </c:pt>
                <c:pt idx="1">
                  <c:v>项目支出</c:v>
                </c:pt>
                <c:pt idx="2">
                  <c:v>上缴上级支出</c:v>
                </c:pt>
                <c:pt idx="3">
                  <c:v>经营支出</c:v>
                </c:pt>
                <c:pt idx="4">
                  <c:v>对附属单位补助支出</c:v>
                </c:pt>
              </c:strCache>
            </c:strRef>
          </c:cat>
          <c:val>
            <c:numRef>
              <c:f>Sheet1!$D$34:$D$38</c:f>
              <c:numCache>
                <c:formatCode>0.00%</c:formatCode>
                <c:ptCount val="5"/>
                <c:pt idx="0">
                  <c:v>0.423</c:v>
                </c:pt>
                <c:pt idx="1">
                  <c:v>0.527</c:v>
                </c:pt>
                <c:pt idx="2" c:formatCode="General">
                  <c:v>0</c:v>
                </c:pt>
                <c:pt idx="3" c:formatCode="General">
                  <c:v>0</c:v>
                </c:pt>
                <c:pt idx="4" c:formatCode="General">
                  <c:v>0</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754533800429758"/>
          <c:y val="0.421053213223693"/>
          <c:w val="0.234309916281385"/>
          <c:h val="0.293629099686639"/>
        </c:manualLayout>
      </c:layout>
      <c:overlay val="0"/>
      <c:spPr>
        <a:solidFill>
          <a:srgbClr val="FFFFFF"/>
        </a:solidFill>
        <a:ln w="3175">
          <a:solidFill>
            <a:srgbClr val="000000"/>
          </a:solidFill>
          <a:prstDash val="solid"/>
        </a:ln>
      </c:spPr>
      <c:txPr>
        <a:bodyPr rot="0" spcFirstLastPara="0" vertOverflow="ellipsis" vert="horz" wrap="square" anchor="ctr" anchorCtr="1"/>
        <a:lstStyle/>
        <a:p>
          <a:pPr>
            <a:defRPr lang="zh-CN" sz="11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solidFill>
    <a:ln w="3175" cap="flat" cmpd="sng" algn="ctr">
      <a:solidFill>
        <a:srgbClr val="000000"/>
      </a:solidFill>
      <a:prstDash val="solid"/>
      <a:round/>
    </a:ln>
  </c:spPr>
  <c:txPr>
    <a:bodyPr/>
    <a:lstStyle/>
    <a:p>
      <a:pPr>
        <a:defRPr lang="zh-CN" sz="12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sz="1400" b="0" i="0" u="none" strike="noStrike" baseline="0">
                <a:solidFill>
                  <a:srgbClr val="000000"/>
                </a:solidFill>
                <a:latin typeface="宋体" panose="02010600030101010101" charset="-122"/>
                <a:ea typeface="宋体" panose="02010600030101010101" charset="-122"/>
              </a:rPr>
              <a:t>图</a:t>
            </a:r>
            <a:r>
              <a:rPr lang="en-US" altLang="zh-CN" sz="1400" b="0" i="0" u="none" strike="noStrike" baseline="0">
                <a:solidFill>
                  <a:srgbClr val="000000"/>
                </a:solidFill>
                <a:latin typeface="宋体" panose="02010600030101010101" charset="-122"/>
                <a:ea typeface="宋体" panose="02010600030101010101" charset="-122"/>
              </a:rPr>
              <a:t>5      </a:t>
            </a:r>
            <a:r>
              <a:rPr lang="zh-CN" altLang="en-US" sz="1400" b="0" i="0" u="none" strike="noStrike" baseline="0">
                <a:solidFill>
                  <a:srgbClr val="000000"/>
                </a:solidFill>
                <a:latin typeface="宋体" panose="02010600030101010101" charset="-122"/>
                <a:ea typeface="宋体" panose="02010600030101010101" charset="-122"/>
              </a:rPr>
              <a:t>一般公共预算财政拨款支出决算变动情况</a:t>
            </a:r>
            <a:endParaRPr lang="zh-CN" altLang="en-US" sz="1400" b="0" i="0" u="none" strike="noStrike" baseline="0">
              <a:solidFill>
                <a:srgbClr val="000000"/>
              </a:solidFill>
              <a:latin typeface="宋体" panose="02010600030101010101" charset="-122"/>
              <a:ea typeface="宋体" panose="02010600030101010101" charset="-122"/>
            </a:endParaRPr>
          </a:p>
        </c:rich>
      </c:tx>
      <c:layout>
        <c:manualLayout>
          <c:xMode val="edge"/>
          <c:yMode val="edge"/>
          <c:x val="0.185879113813943"/>
          <c:y val="0.033240997229917"/>
        </c:manualLayout>
      </c:layout>
      <c:overlay val="0"/>
      <c:spPr>
        <a:noFill/>
        <a:ln w="25400">
          <a:noFill/>
        </a:ln>
      </c:spPr>
    </c:title>
    <c:autoTitleDeleted val="0"/>
    <c:plotArea>
      <c:layout>
        <c:manualLayout>
          <c:layoutTarget val="inner"/>
          <c:xMode val="edge"/>
          <c:yMode val="edge"/>
          <c:x val="0.0763689298119836"/>
          <c:y val="0.202216339995699"/>
          <c:w val="0.585014820823873"/>
          <c:h val="0.667590930670733"/>
        </c:manualLayout>
      </c:layout>
      <c:barChart>
        <c:barDir val="col"/>
        <c:grouping val="clustered"/>
        <c:varyColors val="0"/>
        <c:ser>
          <c:idx val="0"/>
          <c:order val="0"/>
          <c:tx>
            <c:strRef>
              <c:f>Sheet1!$A$85</c:f>
              <c:strCache>
                <c:ptCount val="1"/>
                <c:pt idx="0">
                  <c:v>一般公共预算财政拨款支出</c:v>
                </c:pt>
              </c:strCache>
            </c:strRef>
          </c:tx>
          <c:spPr>
            <a:solidFill>
              <a:srgbClr val="9999FF"/>
            </a:solidFill>
            <a:ln w="12700">
              <a:solidFill>
                <a:srgbClr val="000000"/>
              </a:solidFill>
              <a:prstDash val="solid"/>
            </a:ln>
          </c:spPr>
          <c:invertIfNegative val="0"/>
          <c:dLbls>
            <c:spPr>
              <a:noFill/>
              <a:ln w="25400">
                <a:noFill/>
              </a:ln>
              <a:effectLst/>
            </c:spPr>
            <c:txPr>
              <a:bodyPr rot="0" spcFirstLastPara="0" vertOverflow="ellipsis" vert="horz" wrap="square" lIns="38100" tIns="19050" rIns="38100" bIns="19050" anchor="ctr" anchorCtr="1"/>
              <a:lstStyle/>
              <a:p>
                <a:pPr>
                  <a:defRPr lang="zh-CN" sz="12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Sheet1!$B$84:$C$84</c:f>
              <c:numCache>
                <c:formatCode>General</c:formatCode>
                <c:ptCount val="2"/>
                <c:pt idx="0">
                  <c:v>2021</c:v>
                </c:pt>
                <c:pt idx="1">
                  <c:v>2022</c:v>
                </c:pt>
              </c:numCache>
            </c:numRef>
          </c:cat>
          <c:val>
            <c:numRef>
              <c:f>Sheet1!$B$85:$C$85</c:f>
              <c:numCache>
                <c:formatCode>General</c:formatCode>
                <c:ptCount val="2"/>
                <c:pt idx="0">
                  <c:v>1286.39</c:v>
                </c:pt>
                <c:pt idx="1">
                  <c:v>739.39</c:v>
                </c:pt>
              </c:numCache>
            </c:numRef>
          </c:val>
        </c:ser>
        <c:dLbls>
          <c:showLegendKey val="0"/>
          <c:showVal val="1"/>
          <c:showCatName val="0"/>
          <c:showSerName val="0"/>
          <c:showPercent val="0"/>
          <c:showBubbleSize val="0"/>
        </c:dLbls>
        <c:gapWidth val="150"/>
        <c:axId val="57038336"/>
        <c:axId val="57039872"/>
      </c:barChart>
      <c:catAx>
        <c:axId val="57038336"/>
        <c:scaling>
          <c:orientation val="minMax"/>
        </c:scaling>
        <c:delete val="0"/>
        <c:axPos val="b"/>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2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57039872"/>
        <c:crosses val="autoZero"/>
        <c:auto val="1"/>
        <c:lblAlgn val="ctr"/>
        <c:lblOffset val="100"/>
        <c:tickLblSkip val="1"/>
        <c:noMultiLvlLbl val="0"/>
      </c:catAx>
      <c:valAx>
        <c:axId val="57039872"/>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2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57038336"/>
        <c:crosses val="autoZero"/>
        <c:crossBetween val="between"/>
      </c:valAx>
      <c:spPr>
        <a:solidFill>
          <a:srgbClr val="C0C0C0"/>
        </a:solidFill>
        <a:ln w="12700">
          <a:solidFill>
            <a:srgbClr val="808080"/>
          </a:solidFill>
          <a:prstDash val="solid"/>
        </a:ln>
      </c:spPr>
    </c:plotArea>
    <c:legend>
      <c:legendPos val="r"/>
      <c:layout>
        <c:manualLayout>
          <c:xMode val="edge"/>
          <c:yMode val="edge"/>
          <c:x val="0.677233883228575"/>
          <c:y val="0.506925789400979"/>
          <c:w val="0.311239344361494"/>
          <c:h val="0.0609418282548476"/>
        </c:manualLayout>
      </c:layout>
      <c:overlay val="0"/>
      <c:spPr>
        <a:solidFill>
          <a:srgbClr val="FFFFFF"/>
        </a:solidFill>
        <a:ln w="3175">
          <a:solidFill>
            <a:srgbClr val="000000"/>
          </a:solidFill>
          <a:prstDash val="solid"/>
        </a:ln>
      </c:spPr>
      <c:txPr>
        <a:bodyPr rot="0" spcFirstLastPara="0" vertOverflow="ellipsis" vert="horz" wrap="square" anchor="ctr" anchorCtr="1"/>
        <a:lstStyle/>
        <a:p>
          <a:pPr>
            <a:defRPr lang="zh-CN" sz="11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rgbClr val="FFFFFF"/>
    </a:solidFill>
    <a:ln w="3175" cap="flat" cmpd="sng" algn="ctr">
      <a:solidFill>
        <a:srgbClr val="000000"/>
      </a:solidFill>
      <a:prstDash val="solid"/>
      <a:round/>
    </a:ln>
  </c:spPr>
  <c:txPr>
    <a:bodyPr/>
    <a:lstStyle/>
    <a:p>
      <a:pPr>
        <a:defRPr lang="zh-CN" sz="12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sz="1425" b="0" i="0" u="none" strike="noStrike" baseline="0">
                <a:solidFill>
                  <a:srgbClr val="000000"/>
                </a:solidFill>
                <a:latin typeface="宋体" panose="02010600030101010101" charset="-122"/>
                <a:ea typeface="宋体" panose="02010600030101010101" charset="-122"/>
              </a:rPr>
              <a:t>图</a:t>
            </a:r>
            <a:r>
              <a:rPr lang="en-US" altLang="zh-CN" sz="1425" b="0" i="0" u="none" strike="noStrike" baseline="0">
                <a:solidFill>
                  <a:srgbClr val="000000"/>
                </a:solidFill>
                <a:latin typeface="宋体" panose="02010600030101010101" charset="-122"/>
                <a:ea typeface="宋体" panose="02010600030101010101" charset="-122"/>
              </a:rPr>
              <a:t>6    </a:t>
            </a:r>
            <a:r>
              <a:rPr lang="zh-CN" altLang="en-US" sz="1425" b="0" i="0" u="none" strike="noStrike" baseline="0">
                <a:solidFill>
                  <a:srgbClr val="000000"/>
                </a:solidFill>
                <a:latin typeface="宋体" panose="02010600030101010101" charset="-122"/>
                <a:ea typeface="宋体" panose="02010600030101010101" charset="-122"/>
              </a:rPr>
              <a:t>一般公共预算财政拨款支出决算结构</a:t>
            </a:r>
            <a:endParaRPr lang="zh-CN" altLang="en-US" sz="1425" b="0" i="0" u="none" strike="noStrike" baseline="0">
              <a:solidFill>
                <a:srgbClr val="000000"/>
              </a:solidFill>
              <a:latin typeface="宋体" panose="02010600030101010101" charset="-122"/>
              <a:ea typeface="宋体" panose="02010600030101010101" charset="-122"/>
            </a:endParaRPr>
          </a:p>
        </c:rich>
      </c:tx>
      <c:layout>
        <c:manualLayout>
          <c:xMode val="edge"/>
          <c:yMode val="edge"/>
          <c:x val="0.23562412342216"/>
          <c:y val="0.0289855072463768"/>
        </c:manualLayout>
      </c:layout>
      <c:overlay val="0"/>
      <c:spPr>
        <a:noFill/>
        <a:ln w="25400">
          <a:noFill/>
        </a:ln>
      </c:spPr>
    </c:title>
    <c:autoTitleDeleted val="0"/>
    <c:plotArea>
      <c:layout>
        <c:manualLayout>
          <c:layoutTarget val="inner"/>
          <c:xMode val="edge"/>
          <c:yMode val="edge"/>
          <c:x val="0.255259467040673"/>
          <c:y val="0.372671560946317"/>
          <c:w val="0.246844319775596"/>
          <c:h val="0.364389970703067"/>
        </c:manualLayout>
      </c:layout>
      <c:pieChart>
        <c:varyColors val="1"/>
        <c:ser>
          <c:idx val="0"/>
          <c:order val="0"/>
          <c:spPr>
            <a:solidFill>
              <a:srgbClr val="9999FF"/>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Lbls>
            <c:numFmt formatCode="0.00%" sourceLinked="0"/>
            <c:spPr>
              <a:noFill/>
              <a:ln w="25400">
                <a:noFill/>
              </a:ln>
              <a:effectLst/>
            </c:spPr>
            <c:txPr>
              <a:bodyPr rot="0" spcFirstLastPara="0" vertOverflow="ellipsis" vert="horz" wrap="square" lIns="38100" tIns="19050" rIns="38100" bIns="19050" anchor="ctr" anchorCtr="1"/>
              <a:lstStyle/>
              <a:p>
                <a:pPr>
                  <a:defRPr lang="zh-CN" sz="10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1"/>
            <c:showVal val="1"/>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Sheet1!$A$110:$A$115</c:f>
              <c:strCache>
                <c:ptCount val="5"/>
                <c:pt idx="0">
                  <c:v>一般公共服务支出</c:v>
                </c:pt>
                <c:pt idx="1">
                  <c:v>卫生健康支出</c:v>
                </c:pt>
                <c:pt idx="2">
                  <c:v>社会保障和就业支出</c:v>
                </c:pt>
                <c:pt idx="3">
                  <c:v>文化旅游体育与传媒支出</c:v>
                </c:pt>
                <c:pt idx="4">
                  <c:v>住房保障支出</c:v>
                </c:pt>
              </c:strCache>
            </c:strRef>
          </c:cat>
          <c:val>
            <c:numRef>
              <c:f>Sheet1!$B$110:$B$115</c:f>
              <c:numCache>
                <c:formatCode>General</c:formatCode>
                <c:ptCount val="6"/>
                <c:pt idx="0">
                  <c:v>583.829999999999</c:v>
                </c:pt>
                <c:pt idx="1">
                  <c:v>22.76</c:v>
                </c:pt>
                <c:pt idx="2">
                  <c:v>34.86</c:v>
                </c:pt>
                <c:pt idx="3">
                  <c:v>74.83</c:v>
                </c:pt>
                <c:pt idx="4">
                  <c:v>23.11</c:v>
                </c:pt>
              </c:numCache>
            </c:numRef>
          </c:val>
        </c:ser>
        <c:ser>
          <c:idx val="1"/>
          <c:order val="1"/>
          <c:spPr>
            <a:solidFill>
              <a:srgbClr val="993366"/>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Lbls>
            <c:delete val="1"/>
          </c:dLbls>
          <c:cat>
            <c:strRef>
              <c:f>Sheet1!$A$110:$A$115</c:f>
              <c:strCache>
                <c:ptCount val="5"/>
                <c:pt idx="0">
                  <c:v>一般公共服务支出</c:v>
                </c:pt>
                <c:pt idx="1">
                  <c:v>卫生健康支出</c:v>
                </c:pt>
                <c:pt idx="2">
                  <c:v>社会保障和就业支出</c:v>
                </c:pt>
                <c:pt idx="3">
                  <c:v>文化旅游体育与传媒支出</c:v>
                </c:pt>
                <c:pt idx="4">
                  <c:v>住房保障支出</c:v>
                </c:pt>
              </c:strCache>
            </c:strRef>
          </c:cat>
          <c:val>
            <c:numRef>
              <c:f>Sheet1!$C$110:$C$115</c:f>
              <c:numCache>
                <c:formatCode>0%</c:formatCode>
                <c:ptCount val="6"/>
                <c:pt idx="0">
                  <c:v>0.79</c:v>
                </c:pt>
                <c:pt idx="1" c:formatCode="0.00%">
                  <c:v>0.031</c:v>
                </c:pt>
                <c:pt idx="2" c:formatCode="0.00%">
                  <c:v>0.046</c:v>
                </c:pt>
                <c:pt idx="3" c:formatCode="0.00%">
                  <c:v>0.101</c:v>
                </c:pt>
                <c:pt idx="4" c:formatCode="0.00%">
                  <c:v>0.032</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753155680224405"/>
          <c:y val="0.424431511278482"/>
          <c:w val="0.23562412342216"/>
          <c:h val="0.262940393320401"/>
        </c:manualLayout>
      </c:layout>
      <c:overlay val="0"/>
      <c:spPr>
        <a:solidFill>
          <a:srgbClr val="FFFFFF"/>
        </a:solidFill>
        <a:ln w="3175">
          <a:solidFill>
            <a:srgbClr val="000000"/>
          </a:solidFill>
          <a:prstDash val="solid"/>
        </a:ln>
      </c:spPr>
      <c:txPr>
        <a:bodyPr rot="0" spcFirstLastPara="0" vertOverflow="ellipsis" vert="horz" wrap="square" anchor="ctr" anchorCtr="1"/>
        <a:lstStyle/>
        <a:p>
          <a:pPr>
            <a:defRPr lang="zh-CN" sz="11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solidFill>
    <a:ln w="3175" cap="flat" cmpd="sng" algn="ctr">
      <a:solidFill>
        <a:srgbClr val="000000"/>
      </a:solidFill>
      <a:prstDash val="solid"/>
      <a:round/>
    </a:ln>
  </c:spPr>
  <c:txPr>
    <a:bodyPr/>
    <a:lstStyle/>
    <a:p>
      <a:pPr>
        <a:defRPr lang="zh-CN" sz="12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sz="1400" b="0" i="0" u="none" strike="noStrike" baseline="0">
                <a:solidFill>
                  <a:srgbClr val="000000"/>
                </a:solidFill>
                <a:latin typeface="宋体" panose="02010600030101010101" charset="-122"/>
                <a:ea typeface="宋体" panose="02010600030101010101" charset="-122"/>
              </a:rPr>
              <a:t>图</a:t>
            </a:r>
            <a:r>
              <a:rPr lang="en-US" altLang="zh-CN" sz="1400" b="0" i="0" u="none" strike="noStrike" baseline="0">
                <a:solidFill>
                  <a:srgbClr val="000000"/>
                </a:solidFill>
                <a:latin typeface="宋体" panose="02010600030101010101" charset="-122"/>
                <a:ea typeface="宋体" panose="02010600030101010101" charset="-122"/>
              </a:rPr>
              <a:t>7   “</a:t>
            </a:r>
            <a:r>
              <a:rPr lang="zh-CN" altLang="en-US" sz="1400" b="0" i="0" u="none" strike="noStrike" baseline="0">
                <a:solidFill>
                  <a:srgbClr val="000000"/>
                </a:solidFill>
                <a:latin typeface="宋体" panose="02010600030101010101" charset="-122"/>
                <a:ea typeface="宋体" panose="02010600030101010101" charset="-122"/>
              </a:rPr>
              <a:t>三公”经费财政拨款支出结构</a:t>
            </a:r>
            <a:endParaRPr lang="zh-CN" altLang="en-US" sz="1400" b="0" i="0" u="none" strike="noStrike" baseline="0">
              <a:solidFill>
                <a:srgbClr val="000000"/>
              </a:solidFill>
              <a:latin typeface="宋体" panose="02010600030101010101" charset="-122"/>
              <a:ea typeface="宋体" panose="02010600030101010101" charset="-122"/>
            </a:endParaRPr>
          </a:p>
        </c:rich>
      </c:tx>
      <c:layout>
        <c:manualLayout>
          <c:xMode val="edge"/>
          <c:yMode val="edge"/>
          <c:x val="0.262247989894635"/>
          <c:y val="0.033240997229917"/>
        </c:manualLayout>
      </c:layout>
      <c:overlay val="0"/>
      <c:spPr>
        <a:noFill/>
        <a:ln w="25400">
          <a:noFill/>
        </a:ln>
      </c:spPr>
    </c:title>
    <c:autoTitleDeleted val="0"/>
    <c:plotArea>
      <c:layout>
        <c:manualLayout>
          <c:layoutTarget val="inner"/>
          <c:xMode val="edge"/>
          <c:yMode val="edge"/>
          <c:x val="0.244956944679947"/>
          <c:y val="0.404432679991398"/>
          <c:w val="0.168588014867964"/>
          <c:h val="0.324100161362971"/>
        </c:manualLayout>
      </c:layout>
      <c:pieChart>
        <c:varyColors val="1"/>
        <c:ser>
          <c:idx val="0"/>
          <c:order val="0"/>
          <c:spPr>
            <a:solidFill>
              <a:srgbClr val="9999FF"/>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Lbls>
            <c:numFmt formatCode="0%" sourceLinked="0"/>
            <c:spPr>
              <a:noFill/>
              <a:ln w="25400">
                <a:noFill/>
              </a:ln>
              <a:effectLst/>
            </c:spPr>
            <c:txPr>
              <a:bodyPr rot="0" spcFirstLastPara="0" vertOverflow="ellipsis" vert="horz" wrap="square" lIns="38100" tIns="19050" rIns="38100" bIns="19050" anchor="ctr" anchorCtr="1"/>
              <a:lstStyle/>
              <a:p>
                <a:pPr>
                  <a:defRPr lang="zh-CN" sz="12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1"/>
            <c:showVal val="1"/>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Sheet1!$B$140:$B$142</c:f>
              <c:strCache>
                <c:ptCount val="3"/>
                <c:pt idx="0">
                  <c:v>因公出国（境）费支出</c:v>
                </c:pt>
                <c:pt idx="1">
                  <c:v>公务用车购置及运行维护费支出</c:v>
                </c:pt>
                <c:pt idx="2">
                  <c:v>公务接待费支出</c:v>
                </c:pt>
              </c:strCache>
            </c:strRef>
          </c:cat>
          <c:val>
            <c:numRef>
              <c:f>Sheet1!$C$140:$C$142</c:f>
              <c:numCache>
                <c:formatCode>General</c:formatCode>
                <c:ptCount val="3"/>
                <c:pt idx="0">
                  <c:v>0</c:v>
                </c:pt>
                <c:pt idx="1">
                  <c:v>0</c:v>
                </c:pt>
                <c:pt idx="2">
                  <c:v>0.16</c:v>
                </c:pt>
              </c:numCache>
            </c:numRef>
          </c:val>
        </c:ser>
        <c:ser>
          <c:idx val="1"/>
          <c:order val="1"/>
          <c:spPr>
            <a:solidFill>
              <a:srgbClr val="993366"/>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Lbls>
            <c:delete val="1"/>
          </c:dLbls>
          <c:cat>
            <c:strRef>
              <c:f>Sheet1!$B$140:$B$142</c:f>
              <c:strCache>
                <c:ptCount val="3"/>
                <c:pt idx="0">
                  <c:v>因公出国（境）费支出</c:v>
                </c:pt>
                <c:pt idx="1">
                  <c:v>公务用车购置及运行维护费支出</c:v>
                </c:pt>
                <c:pt idx="2">
                  <c:v>公务接待费支出</c:v>
                </c:pt>
              </c:strCache>
            </c:strRef>
          </c:cat>
          <c:val>
            <c:numRef>
              <c:f>Sheet1!$D$140:$D$142</c:f>
              <c:numCache>
                <c:formatCode>General</c:formatCode>
                <c:ptCount val="3"/>
                <c:pt idx="0">
                  <c:v>0</c:v>
                </c:pt>
                <c:pt idx="2" c:formatCode="0%">
                  <c:v>1</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654179128185346"/>
          <c:y val="0.404432714608735"/>
          <c:w val="0.334294250682642"/>
          <c:h val="0.32687038773893"/>
        </c:manualLayout>
      </c:layout>
      <c:overlay val="0"/>
      <c:spPr>
        <a:solidFill>
          <a:srgbClr val="FFFFFF"/>
        </a:solidFill>
        <a:ln w="3175">
          <a:solidFill>
            <a:srgbClr val="000000"/>
          </a:solidFill>
          <a:prstDash val="solid"/>
        </a:ln>
      </c:spPr>
      <c:txPr>
        <a:bodyPr rot="0" spcFirstLastPara="0" vertOverflow="ellipsis" vert="horz" wrap="square" anchor="ctr" anchorCtr="1"/>
        <a:lstStyle/>
        <a:p>
          <a:pPr>
            <a:defRPr lang="zh-CN" sz="11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solidFill>
    <a:ln w="3175" cap="flat" cmpd="sng" algn="ctr">
      <a:solidFill>
        <a:srgbClr val="000000"/>
      </a:solidFill>
      <a:prstDash val="solid"/>
      <a:round/>
    </a:ln>
  </c:spPr>
  <c:txPr>
    <a:bodyPr/>
    <a:lstStyle/>
    <a:p>
      <a:pPr>
        <a:defRPr lang="zh-CN" sz="12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623747e6-ba4b-49ac-a24a-b7c29d4c85fa</errorID>
      <errorWord>受到</errorWord>
      <group>L1_Word</group>
      <groupName>字词问题</groupName>
      <ability>L2_Typo</ability>
      <abilityName>字词错误</abilityName>
      <candidateList>
        <item>收到</item>
      </candidateList>
      <explain/>
      <paraID>260F8671</paraID>
      <start>128</start>
      <end>130</end>
      <status>ignored</status>
      <modifiedWord/>
      <trackRevisions>false</trackRevisions>
    </reviewItem>
    <reviewItem>
      <errorID>1e62f3e6-42f6-431a-95b8-8455483d098d</errorID>
      <errorWord>受到</errorWord>
      <group>L1_Word</group>
      <groupName>字词问题</groupName>
      <ability>L2_Typo</ability>
      <abilityName>字词错误</abilityName>
      <candidateList>
        <item>收到</item>
      </candidateList>
      <explain/>
      <paraID>55072C8F</paraID>
      <start>92</start>
      <end>94</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0f4c7e9-9211-42c1-b98e-9c4292cdccbb}">
  <ds:schemaRefs/>
</ds:datastoreItem>
</file>

<file path=customXml/itemProps2.xml><?xml version="1.0" encoding="utf-8"?>
<ds:datastoreItem xmlns:ds="http://schemas.openxmlformats.org/officeDocument/2006/customXml" ds:itemID="{9DD6E9F0-70A8-45CB-AAE2-12F600FDCAC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57</Pages>
  <Words>4721</Words>
  <Characters>5825</Characters>
  <Lines>21</Lines>
  <Paragraphs>35</Paragraphs>
  <TotalTime>29</TotalTime>
  <ScaleCrop>false</ScaleCrop>
  <LinksUpToDate>false</LinksUpToDate>
  <CharactersWithSpaces>5850</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2023-10-11T02:25:00Z</dcterms:created>
  <dc:creator>曹颖</dc:creator>
  <cp:lastModifiedBy>听雨</cp:lastModifiedBy>
  <cp:lastPrinted>2023-10-25T07:37:00Z</cp:lastPrinted>
  <dcterms:modified xsi:type="dcterms:W3CDTF">2026-07-27T09:14:12Z</dcterms:modified>
  <dc:title>四川省***</dc:title>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41F80183969D471998282D06221DE023_13</vt:lpwstr>
  </property>
  <property fmtid="{D5CDD505-2E9C-101B-9397-08002B2CF9AE}" pid="4" name="KSOTemplateDocerSaveRecord">
    <vt:lpwstr>eyJoZGlkIjoiY2QwNDBhYmYwODMxYmNhNzY1MzM0NGI4MGExZTlkODkiLCJ1c2VySWQiOiIzODQwNTkyMjgifQ==</vt:lpwstr>
  </property>
</Properties>
</file>