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60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   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 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    </w:t>
      </w:r>
    </w:p>
    <w:p w14:paraId="3738E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p w14:paraId="1B763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79" w:leftChars="314" w:hanging="1320" w:hangingChars="300"/>
        <w:jc w:val="center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小标宋简体" w:cs="Times New Roman"/>
          <w:sz w:val="44"/>
        </w:rPr>
        <w:t>盐边县202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lang w:eastAsia="zh-CN"/>
        </w:rPr>
        <w:t>省</w:t>
      </w:r>
      <w:r>
        <w:rPr>
          <w:rFonts w:hint="eastAsia" w:ascii="Times New Roman" w:hAnsi="Times New Roman" w:eastAsia="方正小标宋简体" w:cs="Times New Roman"/>
          <w:sz w:val="44"/>
          <w:lang w:val="en-US" w:eastAsia="zh-CN"/>
        </w:rPr>
        <w:t>级</w:t>
      </w:r>
      <w:r>
        <w:rPr>
          <w:rFonts w:hint="default" w:ascii="Times New Roman" w:hAnsi="Times New Roman" w:eastAsia="方正小标宋简体" w:cs="Times New Roman"/>
          <w:sz w:val="44"/>
        </w:rPr>
        <w:t>财政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常态化帮扶资金</w:t>
      </w:r>
      <w:r>
        <w:rPr>
          <w:rFonts w:hint="eastAsia" w:ascii="Times New Roman" w:hAnsi="Times New Roman" w:eastAsia="方正小标宋简体" w:cs="Times New Roman"/>
          <w:sz w:val="44"/>
          <w:lang w:val="en-US" w:eastAsia="zh-CN"/>
        </w:rPr>
        <w:t>（后评估奖励）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分配结果</w:t>
      </w:r>
    </w:p>
    <w:p w14:paraId="3F6B312D">
      <w:pPr>
        <w:snapToGrid w:val="0"/>
        <w:jc w:val="center"/>
        <w:rPr>
          <w:rFonts w:hint="default" w:ascii="Times New Roman" w:hAnsi="Times New Roman" w:eastAsia="方正小标宋简体" w:cs="Times New Roman"/>
          <w:sz w:val="44"/>
        </w:rPr>
      </w:pPr>
    </w:p>
    <w:p w14:paraId="0C609A92">
      <w:pPr>
        <w:snapToGrid w:val="0"/>
        <w:jc w:val="right"/>
        <w:rPr>
          <w:rFonts w:hint="default" w:ascii="Times New Roman" w:hAnsi="Times New Roman" w:eastAsia="仿宋" w:cs="Times New Roman"/>
          <w:sz w:val="24"/>
          <w:szCs w:val="24"/>
        </w:rPr>
      </w:pPr>
    </w:p>
    <w:p w14:paraId="75711A75">
      <w:pPr>
        <w:snapToGrid w:val="0"/>
        <w:jc w:val="right"/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单位：万元</w:t>
      </w:r>
    </w:p>
    <w:tbl>
      <w:tblPr>
        <w:tblStyle w:val="2"/>
        <w:tblW w:w="14158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552"/>
        <w:gridCol w:w="1494"/>
        <w:gridCol w:w="967"/>
        <w:gridCol w:w="913"/>
        <w:gridCol w:w="907"/>
        <w:gridCol w:w="819"/>
        <w:gridCol w:w="924"/>
        <w:gridCol w:w="3712"/>
        <w:gridCol w:w="1074"/>
        <w:gridCol w:w="1416"/>
        <w:gridCol w:w="1380"/>
      </w:tblGrid>
      <w:tr w14:paraId="04B3F04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2EBBE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02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BA760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资金来源</w:t>
            </w:r>
          </w:p>
        </w:tc>
        <w:tc>
          <w:tcPr>
            <w:tcW w:w="3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75A37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资金分配</w:t>
            </w: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E0A8B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40C1930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80" w:hRule="atLeast"/>
        </w:trPr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E1BB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918C3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资金类型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FC535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3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0807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其中（层级）</w:t>
            </w:r>
          </w:p>
        </w:tc>
        <w:tc>
          <w:tcPr>
            <w:tcW w:w="3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443A2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F3B25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公告比例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6F4B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公告日期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B165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分配日期</w:t>
            </w:r>
          </w:p>
        </w:tc>
      </w:tr>
      <w:tr w14:paraId="5F2B1B8C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B6101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E8CCF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B47E1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B5C6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中央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6DB12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省级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268D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市级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0C3E5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t>县级</w:t>
            </w:r>
          </w:p>
        </w:tc>
        <w:tc>
          <w:tcPr>
            <w:tcW w:w="3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799E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72896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92DA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131A5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</w:tr>
      <w:tr w14:paraId="119A794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6DE3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F7D33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4"/>
                <w:lang w:val="en-US" w:eastAsia="zh-CN"/>
              </w:rPr>
              <w:t>425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BA32B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1EB4B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4"/>
                <w:lang w:val="en-US" w:eastAsia="zh-CN"/>
              </w:rPr>
              <w:t>425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2F8DA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fldChar w:fldCharType="begin"/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instrText xml:space="preserve"> = sum(F5:F17) \* MERGEFORMAT </w:instrTex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fldChar w:fldCharType="separate"/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  <w:fldChar w:fldCharType="end"/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B99BC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79C87">
            <w:pPr>
              <w:widowControl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D9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4B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70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  <w:tr w14:paraId="547C144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73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13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OLE_LINK2" w:colFirst="9" w:colLast="10"/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1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D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132.85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0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132.85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56E7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7A206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E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本项目建设依托当地优秀的地理、气候条件，做大、做强优势产业，进一步完善谷里米多冰芒果加工项目配套生产性关键设备，增加村集体经济收入，提升农产品附加值，促进经济发展。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E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F0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46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  <w:bookmarkEnd w:id="0"/>
      <w:tr w14:paraId="3A00F00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B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6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产业发展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3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161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2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161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E66C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20539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将有效补齐鲊石村芒果产业链产后处理环节的设施短板，从根本上解决分拣场地匮乏、设施简陋及“统货销售、优质不优价”等突出问题。项目正式运营后，通过精细化分级销售可实现果品溢价；同时，将直接带动周边群众就近务工，为村集体带来稳定收入，切实壮大村级集体经济实力。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8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87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D1E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  <w:tr w14:paraId="741F521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F4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4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乡村建设行动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F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2.65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28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F3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2.65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88E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D941B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9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该项目实施可有效解决农户26户98人，其中脱贫户12户57人、防止返贫致贫对象5户18人的出行问题及桑树78亩、核桃24亩、花椒146亩、玉米88亩的农产品运输问题，促进地方经济发展，巩固脱贫成效，衔接推进乡村振兴。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D3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B9E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BCE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  <w:tr w14:paraId="52BF59EC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9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D5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E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乡村建设行动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120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D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120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70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1CF3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D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该项目实施可有效解决3500亩玉米、花椒，2800 亩晚熟芒果产业运输问题，受益农户145户 586人（其中脱贫户1户4人、防止返贫致贫对象4户16 人），有效带动群众发展特色产业，促进稳定增收，有力推动乡村产业振兴，切实巩固拓展脱贫</w:t>
            </w:r>
          </w:p>
          <w:p w14:paraId="5634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攻坚成果。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FD3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3A1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12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  <w:tr w14:paraId="5CE4599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18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0D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项目管理费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C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7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7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97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954B8">
            <w:pPr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A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进一步规范项目管理及资金使用效益，提升项目质量，确保项目顺利实施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4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100%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8B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B9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2026.07.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</w:tr>
    </w:tbl>
    <w:p w14:paraId="39089144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3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2026-07-24T03:45:02Z</dcterms:created>
  <dc:creator>pc</dc:creator>
  <cp:lastModifiedBy>迷子</cp:lastModifiedBy>
  <dcterms:modified xsi:type="dcterms:W3CDTF">2026-07-24T03:45:09Z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eyJoZGlkIjoiMmI2ZmIxYTllYmIwMjZmOGEyZmJjZjNiMmNhZjkyZmUiLCJ1c2VySWQiOiI0MTA0MTA3OTUifQ==</vt:lpwstr>
  </property>
  <property fmtid="{D5CDD505-2E9C-101B-9397-08002B2CF9AE}" pid="4" name="ICV">
    <vt:lpwstr>2FD291923EC6407F8C93CC28AD4393AC_12</vt:lpwstr>
  </property>
</Properties>
</file>