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6084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3"/>
          <w:szCs w:val="33"/>
        </w:rPr>
      </w:pPr>
      <w:r>
        <w:rPr>
          <w:rFonts w:hint="default" w:ascii="Times New Roman" w:hAnsi="Times New Roman" w:eastAsia="方正黑体_GBK" w:cs="Times New Roman"/>
          <w:sz w:val="32"/>
          <w:szCs w:val="32"/>
          <w:lang w:val="en-US" w:eastAsia="zh-CN"/>
        </w:rPr>
        <w:t>附件</w:t>
      </w:r>
      <w:r>
        <w:rPr>
          <w:rFonts w:hint="default" w:ascii="Times New Roman" w:hAnsi="Times New Roman" w:eastAsia="方正黑体_GBK" w:cs="Times New Roman"/>
          <w:sz w:val="32"/>
          <w:szCs w:val="32"/>
        </w:rPr>
        <w:t>   </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3"/>
          <w:szCs w:val="33"/>
          <w:lang w:val="en-US" w:eastAsia="zh-CN"/>
        </w:rPr>
        <w:t xml:space="preserve">    </w:t>
      </w:r>
      <w:r>
        <w:rPr>
          <w:rFonts w:hint="default" w:ascii="Times New Roman" w:hAnsi="Times New Roman" w:eastAsia="方正仿宋_GBK" w:cs="Times New Roman"/>
          <w:sz w:val="33"/>
          <w:szCs w:val="33"/>
        </w:rPr>
        <w:t> </w:t>
      </w:r>
      <w:r>
        <w:rPr>
          <w:rFonts w:hint="default" w:ascii="Times New Roman" w:hAnsi="Times New Roman" w:eastAsia="方正仿宋_GBK" w:cs="Times New Roman"/>
          <w:sz w:val="33"/>
          <w:szCs w:val="33"/>
          <w:lang w:val="en-US" w:eastAsia="zh-CN"/>
        </w:rPr>
        <w:t xml:space="preserve"> </w:t>
      </w:r>
      <w:r>
        <w:rPr>
          <w:rFonts w:hint="default" w:ascii="Times New Roman" w:hAnsi="Times New Roman" w:eastAsia="方正仿宋_GBK" w:cs="Times New Roman"/>
          <w:sz w:val="33"/>
          <w:szCs w:val="33"/>
        </w:rPr>
        <w:t>    </w:t>
      </w:r>
    </w:p>
    <w:p w14:paraId="3738E82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3"/>
          <w:szCs w:val="33"/>
        </w:rPr>
      </w:pPr>
    </w:p>
    <w:p w14:paraId="1B763960">
      <w:pPr>
        <w:keepNext w:val="0"/>
        <w:keepLines w:val="0"/>
        <w:pageBreakBefore w:val="0"/>
        <w:widowControl w:val="0"/>
        <w:kinsoku/>
        <w:wordWrap/>
        <w:overflowPunct/>
        <w:topLinePunct w:val="0"/>
        <w:autoSpaceDE/>
        <w:autoSpaceDN/>
        <w:bidi w:val="0"/>
        <w:adjustRightInd/>
        <w:snapToGrid/>
        <w:spacing w:line="560" w:lineRule="exact"/>
        <w:ind w:left="1979" w:leftChars="314" w:hanging="1320" w:hangingChars="300"/>
        <w:jc w:val="center"/>
        <w:textAlignment w:val="auto"/>
        <w:rPr>
          <w:rFonts w:hint="default" w:ascii="Times New Roman" w:hAnsi="Times New Roman" w:eastAsia="方正仿宋_GBK" w:cs="Times New Roman"/>
          <w:sz w:val="33"/>
          <w:szCs w:val="33"/>
        </w:rPr>
      </w:pPr>
      <w:bookmarkStart w:id="1" w:name="_GoBack"/>
      <w:r>
        <w:rPr>
          <w:rFonts w:hint="default" w:ascii="Times New Roman" w:hAnsi="Times New Roman" w:eastAsia="方正小标宋简体" w:cs="Times New Roman"/>
          <w:sz w:val="44"/>
        </w:rPr>
        <w:t>盐边县202</w:t>
      </w:r>
      <w:r>
        <w:rPr>
          <w:rFonts w:hint="default" w:ascii="Times New Roman" w:hAnsi="Times New Roman" w:eastAsia="方正小标宋简体" w:cs="Times New Roman"/>
          <w:sz w:val="44"/>
          <w:lang w:val="en-US" w:eastAsia="zh-CN"/>
        </w:rPr>
        <w:t>6</w:t>
      </w:r>
      <w:r>
        <w:rPr>
          <w:rFonts w:hint="default" w:ascii="Times New Roman" w:hAnsi="Times New Roman" w:eastAsia="方正小标宋简体" w:cs="Times New Roman"/>
          <w:sz w:val="44"/>
        </w:rPr>
        <w:t>年</w:t>
      </w:r>
      <w:r>
        <w:rPr>
          <w:rFonts w:hint="eastAsia" w:ascii="Times New Roman" w:hAnsi="Times New Roman" w:eastAsia="方正小标宋简体" w:cs="Times New Roman"/>
          <w:sz w:val="44"/>
          <w:lang w:eastAsia="zh-CN"/>
        </w:rPr>
        <w:t>省</w:t>
      </w:r>
      <w:r>
        <w:rPr>
          <w:rFonts w:hint="eastAsia" w:ascii="Times New Roman" w:hAnsi="Times New Roman" w:eastAsia="方正小标宋简体" w:cs="Times New Roman"/>
          <w:sz w:val="44"/>
          <w:lang w:val="en-US" w:eastAsia="zh-CN"/>
        </w:rPr>
        <w:t>级</w:t>
      </w:r>
      <w:r>
        <w:rPr>
          <w:rFonts w:hint="default" w:ascii="Times New Roman" w:hAnsi="Times New Roman" w:eastAsia="方正小标宋简体" w:cs="Times New Roman"/>
          <w:sz w:val="44"/>
        </w:rPr>
        <w:t>财政</w:t>
      </w:r>
      <w:r>
        <w:rPr>
          <w:rFonts w:hint="default" w:ascii="Times New Roman" w:hAnsi="Times New Roman" w:eastAsia="方正小标宋简体" w:cs="Times New Roman"/>
          <w:sz w:val="44"/>
          <w:lang w:val="en-US" w:eastAsia="zh-CN"/>
        </w:rPr>
        <w:t>常态化帮扶资金分配结果</w:t>
      </w:r>
    </w:p>
    <w:bookmarkEnd w:id="1"/>
    <w:p w14:paraId="3F6B312D">
      <w:pPr>
        <w:snapToGrid w:val="0"/>
        <w:jc w:val="center"/>
        <w:rPr>
          <w:rFonts w:hint="default" w:ascii="Times New Roman" w:hAnsi="Times New Roman" w:eastAsia="方正小标宋简体" w:cs="Times New Roman"/>
          <w:sz w:val="44"/>
        </w:rPr>
      </w:pPr>
    </w:p>
    <w:p w14:paraId="0C609A92">
      <w:pPr>
        <w:snapToGrid w:val="0"/>
        <w:jc w:val="right"/>
        <w:rPr>
          <w:rFonts w:hint="default" w:ascii="Times New Roman" w:hAnsi="Times New Roman" w:eastAsia="仿宋" w:cs="Times New Roman"/>
          <w:sz w:val="24"/>
          <w:szCs w:val="24"/>
        </w:rPr>
      </w:pPr>
    </w:p>
    <w:p w14:paraId="75711A75">
      <w:pPr>
        <w:snapToGrid w:val="0"/>
        <w:jc w:val="righ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单位：万元</w:t>
      </w:r>
    </w:p>
    <w:tbl>
      <w:tblPr>
        <w:tblStyle w:val="2"/>
        <w:tblW w:w="14158" w:type="dxa"/>
        <w:tblInd w:w="0" w:type="dxa"/>
        <w:tblLayout w:type="fixed"/>
        <w:tblCellMar>
          <w:top w:w="15" w:type="dxa"/>
          <w:left w:w="108" w:type="dxa"/>
          <w:bottom w:w="15" w:type="dxa"/>
          <w:right w:w="108" w:type="dxa"/>
        </w:tblCellMar>
      </w:tblPr>
      <w:tblGrid>
        <w:gridCol w:w="552"/>
        <w:gridCol w:w="1494"/>
        <w:gridCol w:w="967"/>
        <w:gridCol w:w="913"/>
        <w:gridCol w:w="819"/>
        <w:gridCol w:w="907"/>
        <w:gridCol w:w="924"/>
        <w:gridCol w:w="3712"/>
        <w:gridCol w:w="1074"/>
        <w:gridCol w:w="1416"/>
        <w:gridCol w:w="1380"/>
      </w:tblGrid>
      <w:tr w14:paraId="04B3F045">
        <w:tblPrEx>
          <w:tblCellMar>
            <w:top w:w="15" w:type="dxa"/>
            <w:left w:w="108" w:type="dxa"/>
            <w:bottom w:w="15" w:type="dxa"/>
            <w:right w:w="108" w:type="dxa"/>
          </w:tblCellMar>
        </w:tblPrEx>
        <w:trPr>
          <w:trHeight w:val="375" w:hRule="atLeast"/>
        </w:trPr>
        <w:tc>
          <w:tcPr>
            <w:tcW w:w="5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122EBBE">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序号</w:t>
            </w:r>
          </w:p>
        </w:tc>
        <w:tc>
          <w:tcPr>
            <w:tcW w:w="6024" w:type="dxa"/>
            <w:gridSpan w:val="6"/>
            <w:tcBorders>
              <w:top w:val="single" w:color="000000" w:sz="4" w:space="0"/>
              <w:left w:val="single" w:color="000000" w:sz="4" w:space="0"/>
              <w:bottom w:val="single" w:color="000000" w:sz="4" w:space="0"/>
              <w:right w:val="single" w:color="000000" w:sz="4" w:space="0"/>
            </w:tcBorders>
            <w:noWrap w:val="0"/>
            <w:vAlign w:val="center"/>
          </w:tcPr>
          <w:p w14:paraId="0DABA760">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资金来源</w:t>
            </w:r>
          </w:p>
        </w:tc>
        <w:tc>
          <w:tcPr>
            <w:tcW w:w="3712" w:type="dxa"/>
            <w:vMerge w:val="restart"/>
            <w:tcBorders>
              <w:top w:val="single" w:color="000000" w:sz="4" w:space="0"/>
              <w:left w:val="single" w:color="000000" w:sz="4" w:space="0"/>
              <w:bottom w:val="single" w:color="000000" w:sz="4" w:space="0"/>
              <w:right w:val="single" w:color="000000" w:sz="4" w:space="0"/>
            </w:tcBorders>
            <w:noWrap w:val="0"/>
            <w:vAlign w:val="center"/>
          </w:tcPr>
          <w:p w14:paraId="5D975A37">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资金分配</w:t>
            </w:r>
          </w:p>
        </w:tc>
        <w:tc>
          <w:tcPr>
            <w:tcW w:w="3870" w:type="dxa"/>
            <w:gridSpan w:val="3"/>
            <w:tcBorders>
              <w:top w:val="single" w:color="000000" w:sz="4" w:space="0"/>
              <w:left w:val="single" w:color="000000" w:sz="4" w:space="0"/>
              <w:bottom w:val="single" w:color="000000" w:sz="4" w:space="0"/>
              <w:right w:val="single" w:color="000000" w:sz="4" w:space="0"/>
            </w:tcBorders>
            <w:noWrap w:val="0"/>
            <w:vAlign w:val="center"/>
          </w:tcPr>
          <w:p w14:paraId="32CE0A8B">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备注</w:t>
            </w:r>
          </w:p>
        </w:tc>
      </w:tr>
      <w:tr w14:paraId="40C1930F">
        <w:tblPrEx>
          <w:tblCellMar>
            <w:top w:w="15" w:type="dxa"/>
            <w:left w:w="108" w:type="dxa"/>
            <w:bottom w:w="15" w:type="dxa"/>
            <w:right w:w="108" w:type="dxa"/>
          </w:tblCellMar>
        </w:tblPrEx>
        <w:trPr>
          <w:trHeight w:val="380" w:hRule="atLeast"/>
        </w:trPr>
        <w:tc>
          <w:tcPr>
            <w:tcW w:w="5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54E1BB">
            <w:pPr>
              <w:widowControl/>
              <w:jc w:val="center"/>
              <w:rPr>
                <w:rFonts w:hint="default" w:ascii="Times New Roman" w:hAnsi="Times New Roman" w:eastAsia="黑体" w:cs="Times New Roman"/>
                <w:bCs/>
                <w:color w:val="000000"/>
                <w:kern w:val="0"/>
                <w:sz w:val="24"/>
              </w:rPr>
            </w:pPr>
          </w:p>
        </w:tc>
        <w:tc>
          <w:tcPr>
            <w:tcW w:w="1494" w:type="dxa"/>
            <w:vMerge w:val="restart"/>
            <w:tcBorders>
              <w:top w:val="single" w:color="000000" w:sz="4" w:space="0"/>
              <w:left w:val="single" w:color="000000" w:sz="4" w:space="0"/>
              <w:bottom w:val="single" w:color="000000" w:sz="4" w:space="0"/>
              <w:right w:val="single" w:color="000000" w:sz="4" w:space="0"/>
            </w:tcBorders>
            <w:noWrap w:val="0"/>
            <w:vAlign w:val="center"/>
          </w:tcPr>
          <w:p w14:paraId="6D8918C3">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资金类型</w:t>
            </w: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14:paraId="718FC535">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合计</w:t>
            </w:r>
          </w:p>
        </w:tc>
        <w:tc>
          <w:tcPr>
            <w:tcW w:w="3563" w:type="dxa"/>
            <w:gridSpan w:val="4"/>
            <w:tcBorders>
              <w:top w:val="single" w:color="000000" w:sz="4" w:space="0"/>
              <w:left w:val="single" w:color="000000" w:sz="4" w:space="0"/>
              <w:bottom w:val="single" w:color="000000" w:sz="4" w:space="0"/>
              <w:right w:val="single" w:color="000000" w:sz="4" w:space="0"/>
            </w:tcBorders>
            <w:noWrap w:val="0"/>
            <w:vAlign w:val="center"/>
          </w:tcPr>
          <w:p w14:paraId="2BFA0807">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其中（层级）</w:t>
            </w:r>
          </w:p>
        </w:tc>
        <w:tc>
          <w:tcPr>
            <w:tcW w:w="3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443A2">
            <w:pPr>
              <w:widowControl/>
              <w:jc w:val="center"/>
              <w:rPr>
                <w:rFonts w:hint="default" w:ascii="Times New Roman" w:hAnsi="Times New Roman" w:eastAsia="黑体" w:cs="Times New Roman"/>
                <w:bCs/>
                <w:color w:val="000000"/>
                <w:kern w:val="0"/>
                <w:sz w:val="24"/>
              </w:rPr>
            </w:pPr>
          </w:p>
        </w:tc>
        <w:tc>
          <w:tcPr>
            <w:tcW w:w="1074" w:type="dxa"/>
            <w:vMerge w:val="restart"/>
            <w:tcBorders>
              <w:top w:val="single" w:color="000000" w:sz="4" w:space="0"/>
              <w:left w:val="single" w:color="000000" w:sz="4" w:space="0"/>
              <w:bottom w:val="single" w:color="000000" w:sz="4" w:space="0"/>
              <w:right w:val="single" w:color="000000" w:sz="4" w:space="0"/>
            </w:tcBorders>
            <w:noWrap w:val="0"/>
            <w:vAlign w:val="center"/>
          </w:tcPr>
          <w:p w14:paraId="735F3B25">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公告比例</w:t>
            </w:r>
          </w:p>
        </w:tc>
        <w:tc>
          <w:tcPr>
            <w:tcW w:w="14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F766F4B">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公告日期</w:t>
            </w:r>
          </w:p>
        </w:tc>
        <w:tc>
          <w:tcPr>
            <w:tcW w:w="138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9EB165">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分配日期</w:t>
            </w:r>
          </w:p>
        </w:tc>
      </w:tr>
      <w:tr w14:paraId="5F2B1B8C">
        <w:tblPrEx>
          <w:tblCellMar>
            <w:top w:w="15" w:type="dxa"/>
            <w:left w:w="108" w:type="dxa"/>
            <w:bottom w:w="15" w:type="dxa"/>
            <w:right w:w="108" w:type="dxa"/>
          </w:tblCellMar>
        </w:tblPrEx>
        <w:trPr>
          <w:trHeight w:val="567" w:hRule="atLeast"/>
        </w:trPr>
        <w:tc>
          <w:tcPr>
            <w:tcW w:w="5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5B6101">
            <w:pPr>
              <w:widowControl/>
              <w:jc w:val="center"/>
              <w:rPr>
                <w:rFonts w:hint="default" w:ascii="Times New Roman" w:hAnsi="Times New Roman" w:eastAsia="黑体" w:cs="Times New Roman"/>
                <w:bCs/>
                <w:color w:val="000000"/>
                <w:kern w:val="0"/>
                <w:sz w:val="24"/>
              </w:rPr>
            </w:pPr>
          </w:p>
        </w:tc>
        <w:tc>
          <w:tcPr>
            <w:tcW w:w="14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CE8CCF">
            <w:pPr>
              <w:widowControl/>
              <w:jc w:val="center"/>
              <w:rPr>
                <w:rFonts w:hint="default" w:ascii="Times New Roman" w:hAnsi="Times New Roman" w:eastAsia="黑体" w:cs="Times New Roman"/>
                <w:bCs/>
                <w:color w:val="000000"/>
                <w:kern w:val="0"/>
                <w:sz w:val="24"/>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EB47E1">
            <w:pPr>
              <w:widowControl/>
              <w:jc w:val="center"/>
              <w:rPr>
                <w:rFonts w:hint="default" w:ascii="Times New Roman" w:hAnsi="Times New Roman" w:eastAsia="黑体" w:cs="Times New Roman"/>
                <w:bCs/>
                <w:color w:val="000000"/>
                <w:kern w:val="0"/>
                <w:sz w:val="24"/>
              </w:rPr>
            </w:pP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388B5C6">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中央</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BD6DB12">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省级</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FE4268D">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市级</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3730C3E5">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t>县级</w:t>
            </w:r>
          </w:p>
        </w:tc>
        <w:tc>
          <w:tcPr>
            <w:tcW w:w="3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A0799E">
            <w:pPr>
              <w:widowControl/>
              <w:jc w:val="center"/>
              <w:rPr>
                <w:rFonts w:hint="default" w:ascii="Times New Roman" w:hAnsi="Times New Roman" w:eastAsia="黑体" w:cs="Times New Roman"/>
                <w:bCs/>
                <w:color w:val="000000"/>
                <w:kern w:val="0"/>
                <w:sz w:val="24"/>
              </w:rPr>
            </w:pPr>
          </w:p>
        </w:tc>
        <w:tc>
          <w:tcPr>
            <w:tcW w:w="10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72896">
            <w:pPr>
              <w:widowControl/>
              <w:jc w:val="center"/>
              <w:rPr>
                <w:rFonts w:hint="default" w:ascii="Times New Roman" w:hAnsi="Times New Roman" w:eastAsia="黑体" w:cs="Times New Roman"/>
                <w:bCs/>
                <w:color w:val="000000"/>
                <w:kern w:val="0"/>
                <w:sz w:val="24"/>
              </w:rPr>
            </w:pPr>
          </w:p>
        </w:tc>
        <w:tc>
          <w:tcPr>
            <w:tcW w:w="14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3392DA">
            <w:pPr>
              <w:widowControl/>
              <w:jc w:val="center"/>
              <w:rPr>
                <w:rFonts w:hint="default" w:ascii="Times New Roman" w:hAnsi="Times New Roman" w:eastAsia="黑体" w:cs="Times New Roman"/>
                <w:bCs/>
                <w:color w:val="000000"/>
                <w:kern w:val="0"/>
                <w:sz w:val="24"/>
              </w:rPr>
            </w:pPr>
          </w:p>
        </w:tc>
        <w:tc>
          <w:tcPr>
            <w:tcW w:w="13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3131A5">
            <w:pPr>
              <w:widowControl/>
              <w:jc w:val="center"/>
              <w:rPr>
                <w:rFonts w:hint="default" w:ascii="Times New Roman" w:hAnsi="Times New Roman" w:eastAsia="黑体" w:cs="Times New Roman"/>
                <w:bCs/>
                <w:color w:val="000000"/>
                <w:kern w:val="0"/>
                <w:sz w:val="24"/>
              </w:rPr>
            </w:pPr>
          </w:p>
        </w:tc>
      </w:tr>
      <w:tr w14:paraId="119A7944">
        <w:tblPrEx>
          <w:tblCellMar>
            <w:top w:w="15" w:type="dxa"/>
            <w:left w:w="108" w:type="dxa"/>
            <w:bottom w:w="15" w:type="dxa"/>
            <w:right w:w="108" w:type="dxa"/>
          </w:tblCellMar>
        </w:tblPrEx>
        <w:trPr>
          <w:trHeight w:val="567" w:hRule="atLeast"/>
        </w:trPr>
        <w:tc>
          <w:tcPr>
            <w:tcW w:w="2046" w:type="dxa"/>
            <w:gridSpan w:val="2"/>
            <w:tcBorders>
              <w:top w:val="single" w:color="000000" w:sz="4" w:space="0"/>
              <w:left w:val="single" w:color="000000" w:sz="4" w:space="0"/>
              <w:bottom w:val="single" w:color="000000" w:sz="4" w:space="0"/>
              <w:right w:val="single" w:color="000000" w:sz="4" w:space="0"/>
            </w:tcBorders>
            <w:noWrap w:val="0"/>
            <w:vAlign w:val="center"/>
          </w:tcPr>
          <w:p w14:paraId="4C66DE3F">
            <w:pPr>
              <w:widowControl/>
              <w:jc w:val="center"/>
              <w:rPr>
                <w:rFonts w:hint="default" w:ascii="Times New Roman" w:hAnsi="Times New Roman" w:eastAsia="仿宋" w:cs="Times New Roman"/>
                <w:bCs/>
                <w:color w:val="000000"/>
                <w:kern w:val="0"/>
                <w:sz w:val="24"/>
              </w:rPr>
            </w:pPr>
            <w:r>
              <w:rPr>
                <w:rFonts w:hint="default" w:ascii="Times New Roman" w:hAnsi="Times New Roman" w:eastAsia="仿宋" w:cs="Times New Roman"/>
                <w:bCs/>
                <w:color w:val="000000"/>
                <w:kern w:val="0"/>
                <w:sz w:val="24"/>
              </w:rPr>
              <w:t>合计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6BF7D33">
            <w:pPr>
              <w:widowControl/>
              <w:jc w:val="center"/>
              <w:rPr>
                <w:rFonts w:hint="default" w:ascii="Times New Roman" w:hAnsi="Times New Roman" w:eastAsia="黑体" w:cs="Times New Roman"/>
                <w:bCs/>
                <w:color w:val="000000"/>
                <w:kern w:val="0"/>
                <w:sz w:val="24"/>
                <w:lang w:val="en-US" w:eastAsia="zh-CN"/>
              </w:rPr>
            </w:pPr>
            <w:r>
              <w:rPr>
                <w:rFonts w:hint="eastAsia" w:ascii="Times New Roman" w:hAnsi="Times New Roman" w:eastAsia="黑体" w:cs="Times New Roman"/>
                <w:bCs/>
                <w:color w:val="000000"/>
                <w:kern w:val="0"/>
                <w:sz w:val="24"/>
                <w:lang w:val="en-US" w:eastAsia="zh-CN"/>
              </w:rPr>
              <w:t>4345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C6BA32B">
            <w:pPr>
              <w:widowControl/>
              <w:jc w:val="center"/>
              <w:rPr>
                <w:rFonts w:hint="default" w:ascii="Times New Roman" w:hAnsi="Times New Roman" w:eastAsia="黑体" w:cs="Times New Roman"/>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FA1EB4B">
            <w:pPr>
              <w:widowControl/>
              <w:jc w:val="center"/>
              <w:rPr>
                <w:rFonts w:hint="default" w:ascii="Times New Roman" w:hAnsi="Times New Roman" w:eastAsia="黑体" w:cs="Times New Roman"/>
                <w:bCs/>
                <w:color w:val="000000"/>
                <w:kern w:val="0"/>
                <w:sz w:val="24"/>
                <w:lang w:val="en-US" w:eastAsia="zh-CN"/>
              </w:rPr>
            </w:pPr>
            <w:r>
              <w:rPr>
                <w:rFonts w:hint="eastAsia" w:ascii="Times New Roman" w:hAnsi="Times New Roman" w:eastAsia="黑体" w:cs="Times New Roman"/>
                <w:bCs/>
                <w:color w:val="000000"/>
                <w:kern w:val="0"/>
                <w:sz w:val="24"/>
                <w:lang w:val="en-US" w:eastAsia="zh-CN"/>
              </w:rPr>
              <w:t>4345</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6C2F8DA">
            <w:pPr>
              <w:widowControl/>
              <w:jc w:val="center"/>
              <w:rPr>
                <w:rFonts w:hint="default" w:ascii="Times New Roman" w:hAnsi="Times New Roman" w:eastAsia="黑体" w:cs="Times New Roman"/>
                <w:bCs/>
                <w:color w:val="000000"/>
                <w:kern w:val="0"/>
                <w:sz w:val="24"/>
              </w:rPr>
            </w:pPr>
            <w:r>
              <w:rPr>
                <w:rFonts w:hint="default" w:ascii="Times New Roman" w:hAnsi="Times New Roman" w:eastAsia="黑体" w:cs="Times New Roman"/>
                <w:bCs/>
                <w:color w:val="000000"/>
                <w:kern w:val="0"/>
                <w:sz w:val="24"/>
              </w:rPr>
              <w:fldChar w:fldCharType="begin"/>
            </w:r>
            <w:r>
              <w:rPr>
                <w:rFonts w:hint="default" w:ascii="Times New Roman" w:hAnsi="Times New Roman" w:eastAsia="黑体" w:cs="Times New Roman"/>
                <w:bCs/>
                <w:color w:val="000000"/>
                <w:kern w:val="0"/>
                <w:sz w:val="24"/>
              </w:rPr>
              <w:instrText xml:space="preserve"> = sum(F5:F17) \* MERGEFORMAT </w:instrText>
            </w:r>
            <w:r>
              <w:rPr>
                <w:rFonts w:hint="default" w:ascii="Times New Roman" w:hAnsi="Times New Roman" w:eastAsia="黑体" w:cs="Times New Roman"/>
                <w:bCs/>
                <w:color w:val="000000"/>
                <w:kern w:val="0"/>
                <w:sz w:val="24"/>
              </w:rPr>
              <w:fldChar w:fldCharType="separate"/>
            </w:r>
            <w:r>
              <w:rPr>
                <w:rFonts w:hint="default" w:ascii="Times New Roman" w:hAnsi="Times New Roman" w:eastAsia="黑体" w:cs="Times New Roman"/>
                <w:bCs/>
                <w:color w:val="000000"/>
                <w:kern w:val="0"/>
                <w:sz w:val="24"/>
              </w:rPr>
              <w:fldChar w:fldCharType="end"/>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05DB99BC">
            <w:pPr>
              <w:widowControl/>
              <w:jc w:val="center"/>
              <w:rPr>
                <w:rFonts w:hint="default" w:ascii="Times New Roman" w:hAnsi="Times New Roman" w:eastAsia="黑体" w:cs="Times New Roman"/>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6AD79C87">
            <w:pPr>
              <w:widowControl/>
              <w:jc w:val="center"/>
              <w:rPr>
                <w:rFonts w:hint="default" w:ascii="Times New Roman" w:hAnsi="Times New Roman" w:eastAsia="黑体" w:cs="Times New Roman"/>
                <w:bCs/>
                <w:color w:val="000000"/>
                <w:kern w:val="0"/>
                <w:sz w:val="24"/>
              </w:rPr>
            </w:pPr>
          </w:p>
        </w:tc>
        <w:tc>
          <w:tcPr>
            <w:tcW w:w="1074" w:type="dxa"/>
            <w:tcBorders>
              <w:top w:val="single" w:color="000000" w:sz="4" w:space="0"/>
              <w:left w:val="single" w:color="000000" w:sz="4" w:space="0"/>
              <w:bottom w:val="single" w:color="000000" w:sz="4" w:space="0"/>
              <w:right w:val="single" w:color="000000" w:sz="4" w:space="0"/>
            </w:tcBorders>
            <w:noWrap w:val="0"/>
            <w:vAlign w:val="center"/>
          </w:tcPr>
          <w:p w14:paraId="020D9F0C">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100%</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4EF4BECD">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A2706F4">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547C1447">
        <w:tblPrEx>
          <w:tblCellMar>
            <w:top w:w="15" w:type="dxa"/>
            <w:left w:w="108" w:type="dxa"/>
            <w:bottom w:w="15" w:type="dxa"/>
            <w:right w:w="108" w:type="dxa"/>
          </w:tblCellMar>
        </w:tblPrEx>
        <w:trPr>
          <w:trHeight w:val="173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72135A6">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bookmarkStart w:id="0" w:name="OLE_LINK2" w:colFirst="9" w:colLast="10"/>
            <w:r>
              <w:rPr>
                <w:rFonts w:hint="default" w:ascii="Times New Roman" w:hAnsi="Times New Roman" w:eastAsia="黑体" w:cs="Times New Roman"/>
                <w:b w:val="0"/>
                <w:bCs/>
                <w:color w:val="000000"/>
                <w:kern w:val="0"/>
                <w:sz w:val="24"/>
                <w:lang w:val="en-US" w:eastAsia="zh-CN"/>
              </w:rPr>
              <w:t>1</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2E21DD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产业发展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C5D56EA">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820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5E0E859">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6B7545B">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820</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3E56E76">
            <w:pPr>
              <w:jc w:val="center"/>
              <w:rPr>
                <w:rFonts w:hint="default" w:ascii="Times New Roman" w:hAnsi="Times New Roman" w:eastAsia="宋体" w:cs="Times New Roman"/>
                <w:b w:val="0"/>
                <w:bCs/>
                <w:i w:val="0"/>
                <w:iCs w:val="0"/>
                <w:color w:val="000000"/>
                <w:kern w:val="0"/>
                <w:sz w:val="22"/>
                <w:szCs w:val="22"/>
                <w:u w:val="none"/>
                <w:lang w:val="en-US" w:eastAsia="zh-CN" w:bidi="ar"/>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3B77A206">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07B7E5BC">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eastAsia"/>
              </w:rPr>
              <w:t>项目建成后，预计芒果总产量达25万吨，项目区农户人均收入3万元以上，新增就业岗位200余个。推广芒果绿色种植技术示范，推动区域内芒果产业发展资源、要素高度聚集，建设全产业链开发、全价值链提升的现代农业产业集群，加快构建现代化芒果产业体系，把盐边芒果产业打造成为全国芒果产业发展的标杆和巩固拓展脱贫攻坚成果同乡村振兴有效衔接的样板。</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14:paraId="20D6E7DF">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b w:val="0"/>
                <w:bCs/>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7F013E">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84683D">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bookmarkEnd w:id="0"/>
      <w:tr w14:paraId="3A00F005">
        <w:tblPrEx>
          <w:tblCellMar>
            <w:top w:w="15" w:type="dxa"/>
            <w:left w:w="108" w:type="dxa"/>
            <w:bottom w:w="15" w:type="dxa"/>
            <w:right w:w="108" w:type="dxa"/>
          </w:tblCellMar>
        </w:tblPrEx>
        <w:trPr>
          <w:trHeight w:val="49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069FB92E">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default" w:ascii="Times New Roman" w:hAnsi="Times New Roman" w:eastAsia="黑体" w:cs="Times New Roman"/>
                <w:b w:val="0"/>
                <w:bCs/>
                <w:color w:val="000000"/>
                <w:kern w:val="0"/>
                <w:sz w:val="24"/>
                <w:lang w:val="en-US" w:eastAsia="zh-CN"/>
              </w:rPr>
              <w:t>2</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0736FEA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产业发展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5E23BE54">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635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81C3157">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3825A2B">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635</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9DE66CD">
            <w:pPr>
              <w:jc w:val="center"/>
              <w:rPr>
                <w:rFonts w:hint="default" w:ascii="Times New Roman" w:hAnsi="Times New Roman" w:eastAsia="宋体" w:cs="Times New Roman"/>
                <w:b w:val="0"/>
                <w:bCs/>
                <w:i w:val="0"/>
                <w:iCs w:val="0"/>
                <w:color w:val="000000"/>
                <w:kern w:val="0"/>
                <w:sz w:val="22"/>
                <w:szCs w:val="22"/>
                <w:u w:val="none"/>
                <w:lang w:val="en-US" w:eastAsia="zh-CN" w:bidi="ar"/>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12820539">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4CF2614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2026年项目建成后，新增经济作物“三新”基地面积135余亩；全链条综合产值达220000万元，全链条综合产值年度增幅10%；链主企业年营业收入实现3000万元，链主企业年营业收入增幅10%；区域内联农带农数量380户，联农带农增收10%，为后续产业升级奠定基础。</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14:paraId="259F87ED">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b w:val="0"/>
                <w:bCs/>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87350">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D1E245">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741F5216">
        <w:tblPrEx>
          <w:tblCellMar>
            <w:top w:w="15" w:type="dxa"/>
            <w:left w:w="108" w:type="dxa"/>
            <w:bottom w:w="15" w:type="dxa"/>
            <w:right w:w="108" w:type="dxa"/>
          </w:tblCellMar>
        </w:tblPrEx>
        <w:trPr>
          <w:trHeight w:val="49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378F4B86">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3</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1A642E4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产业发展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7F0F5092">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2609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7028D94">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DCF39DF">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2609</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52688EE">
            <w:pPr>
              <w:jc w:val="center"/>
              <w:rPr>
                <w:rFonts w:hint="default" w:ascii="Times New Roman" w:hAnsi="Times New Roman" w:eastAsia="宋体" w:cs="Times New Roman"/>
                <w:b w:val="0"/>
                <w:bCs/>
                <w:i w:val="0"/>
                <w:iCs w:val="0"/>
                <w:color w:val="000000"/>
                <w:kern w:val="0"/>
                <w:sz w:val="22"/>
                <w:szCs w:val="22"/>
                <w:u w:val="none"/>
                <w:lang w:val="en-US" w:eastAsia="zh-CN" w:bidi="ar"/>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5DED941B">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73F9220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项目建成后，新增标准化桑园5000亩，新增桑椹加工生产线9000余平，新增冻库5座，改（扩）建桑椹加工生产线5条；全链条综合产值达160000万元，全链条综合产值年度增幅10%；链主企业年营业收入增幅10%；区域内联农带农数量1000余户，联农带农增收10%，为后续产业升级奠定基础。</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2D33E0">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B9E0E3">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BCEEA4">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52BF59EC">
        <w:tblPrEx>
          <w:tblCellMar>
            <w:top w:w="15" w:type="dxa"/>
            <w:left w:w="108" w:type="dxa"/>
            <w:bottom w:w="15" w:type="dxa"/>
            <w:right w:w="108" w:type="dxa"/>
          </w:tblCellMar>
        </w:tblPrEx>
        <w:trPr>
          <w:trHeight w:val="49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F3D5C0E">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4</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0ECE573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产业发展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F01498A">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19.3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60DFA08">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F92922D">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19.3</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0DF25">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4B971CF3">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56345B7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该项目实施可有效提升那片村烟叶标准化烘烤能力与生产保障水平，惠及112户430人（其中脱贫户18户62人、防止返贫致贫对象4户13人），保障2600余亩烤烟提质增效，降低烟农生产用工成本，带动群众就近务工增收，巩固拓展脱贫攻坚成果，衔接推进乡村振兴。</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D3D9B">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3A1664">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912132">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55A5D30E">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73795C5C">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5</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6AE00F3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产业发展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707D975A">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24.5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5668138">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5F99805">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24.5</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20E3E">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207437DA">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1C3BD82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项目建成后可补齐当地农产品加工短板，打造“金窝凼”农产品特色品牌，提升马铃薯、萝卜、生态畜禽等特色农产品附加值，破解村集体经济发展瓶颈，带动脱贫户（470户2340人）、防止返贫致贫对象（65户303人）及周边农户生产务工，拓宽增收渠道，巩固脱贫攻坚成果，有效衔接推进乡村振兴。</w:t>
            </w:r>
          </w:p>
          <w:p w14:paraId="2B98078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411190">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556F3C">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FD440F">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284DA332">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648F2F35">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6</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48CCC0A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乡村建设行动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0463A57">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22.83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7D5D37D">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8A7CA76">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22.83</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7826FD">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6AA5337A">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470A242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该项目实施可有效解决农户26户98人，其中脱贫户12户57人、防止返贫致贫对象5户18人的出行问题及桑树78亩、核桃24亩、花椒146亩、玉米88亩的农产品运输问题，促进地方经济发展，巩固脱贫成效，衔接推进乡村振兴。</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DBDA">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DF762E">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EDA7EE">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1A311213">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66B8D8A">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7</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28FA0885">
            <w:pPr>
              <w:keepNext w:val="0"/>
              <w:keepLines w:val="0"/>
              <w:widowControl/>
              <w:suppressLineNumbers w:val="0"/>
              <w:jc w:val="center"/>
              <w:textAlignment w:val="center"/>
              <w:rPr>
                <w:rFonts w:hint="eastAsia"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乡村建设行动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30EB6D4">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50.17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BD8F545">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642FA8B">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50.17</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9C8A3">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3428E3CD">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36CF399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该项目实施可有效解决二滩移民搬迁户70户300余人，其中：防止返贫致贫对象1户2人、脱贫户2户4出行问题及800余亩芒果运输难问题，促进地方经济发展，巩固脱贫成效，衔接推进乡村振兴。</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EEE65F">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068B4">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12F13">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78821224">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7FCCE5BA">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8</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7FDE9E44">
            <w:pPr>
              <w:keepNext w:val="0"/>
              <w:keepLines w:val="0"/>
              <w:widowControl/>
              <w:suppressLineNumbers w:val="0"/>
              <w:jc w:val="center"/>
              <w:textAlignment w:val="center"/>
              <w:rPr>
                <w:rFonts w:hint="eastAsia"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乡村建设行动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AA3F37B">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19.2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0FA6970">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B0C4DE1">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19.2</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80B38F">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387A7D01">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7B400E8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该项目实施可有效解决1户6人凉山自迁户及辖区其他农户的产业发展，其中：优质晚熟芒果650亩、马瑙红樱桃5亩、玉米25亩的农产品运输问题，促进地方经济发展，巩固脱贫成效，衔接推进乡村振兴。</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3A845">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CBF82">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354B0">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405204D7">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7E5D9FD2">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9</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4648F020">
            <w:pPr>
              <w:keepNext w:val="0"/>
              <w:keepLines w:val="0"/>
              <w:widowControl/>
              <w:suppressLineNumbers w:val="0"/>
              <w:jc w:val="center"/>
              <w:textAlignment w:val="center"/>
              <w:rPr>
                <w:rFonts w:hint="eastAsia"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乡村建设行动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57EBFF8B">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4BAA2C8">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E924406">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9</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40D54F">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3BF40D27">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5361A52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打造鹌鹑养殖示范基地，补齐基础设施短板，解决蛋品、饲料运输难问题，减少养殖成本，夯实鹌鹑养殖产业发展基础，助力村集体增收。</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972EDE">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55F01">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A51AD8">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436DB31D">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5E1AC867">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10</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1ED052D3">
            <w:pPr>
              <w:keepNext w:val="0"/>
              <w:keepLines w:val="0"/>
              <w:widowControl/>
              <w:suppressLineNumbers w:val="0"/>
              <w:jc w:val="center"/>
              <w:textAlignment w:val="center"/>
              <w:rPr>
                <w:rFonts w:hint="eastAsia"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乡村建设行动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C074974">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7E647D5">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22B45A7">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13</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A047BD">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51E9E9A6">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54493D2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解决鹌鹑产品运输问题，推动产业发展，助力群众增收致富。促进地方经济发展，巩固脱贫成效，衔接推进乡村振兴。</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E5BC">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24EA7">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93591D">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456E25A7">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65C762FC">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11</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0562F49F">
            <w:pPr>
              <w:keepNext w:val="0"/>
              <w:keepLines w:val="0"/>
              <w:widowControl/>
              <w:suppressLineNumbers w:val="0"/>
              <w:jc w:val="center"/>
              <w:textAlignment w:val="center"/>
              <w:rPr>
                <w:rFonts w:hint="eastAsia"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乡村建设行动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B941643">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27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7C5C4A4">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F002DB9">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27</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4259B7">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183DF518">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293F06E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该项目实施可有效解决太田村487户1725人，农业生产灌溉问题，其中脱贫户59户234人、防止返贫致贫对象11户30人，有效推动太田村核桃、青椒及林下中药材产业发展，促进群众增收致富，巩固脱贫成效，衔接推进乡村振兴。</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DCF622">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CF58E5">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217F18">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25987989">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0A8646D3">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12</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7EF5D740">
            <w:pPr>
              <w:keepNext w:val="0"/>
              <w:keepLines w:val="0"/>
              <w:widowControl/>
              <w:suppressLineNumbers w:val="0"/>
              <w:jc w:val="center"/>
              <w:textAlignment w:val="center"/>
              <w:rPr>
                <w:rFonts w:hint="eastAsia"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乡村建设行动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7195117A">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10.5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DA6197B">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242DADC">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10.5</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6D3043">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588F37BF">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122272F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该项目实施可解决15户57人的生产、生活出行难问题，解决700余亩土地的农产品生产、运输、销售难问题，促进地方经济发展，巩固脱贫成效，衔接推进乡村振兴。</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35A74">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540CAF">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94DDCE">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r w14:paraId="5CE45995">
        <w:tblPrEx>
          <w:tblCellMar>
            <w:top w:w="15" w:type="dxa"/>
            <w:left w:w="108" w:type="dxa"/>
            <w:bottom w:w="15" w:type="dxa"/>
            <w:right w:w="108" w:type="dxa"/>
          </w:tblCellMar>
        </w:tblPrEx>
        <w:trPr>
          <w:trHeight w:val="2180" w:hRule="atLeast"/>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58A0D891">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13</w:t>
            </w: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41DE2F55">
            <w:pPr>
              <w:keepNext w:val="0"/>
              <w:keepLines w:val="0"/>
              <w:widowControl/>
              <w:suppressLineNumbers w:val="0"/>
              <w:jc w:val="center"/>
              <w:textAlignment w:val="center"/>
              <w:rPr>
                <w:rFonts w:hint="eastAsia" w:ascii="Times New Roman" w:hAnsi="Times New Roman" w:eastAsia="宋体" w:cs="Times New Roman"/>
                <w:b w:val="0"/>
                <w:bCs/>
                <w:i w:val="0"/>
                <w:iCs w:val="0"/>
                <w:color w:val="000000"/>
                <w:kern w:val="2"/>
                <w:sz w:val="22"/>
                <w:szCs w:val="22"/>
                <w:u w:val="none"/>
                <w:lang w:val="en-US" w:eastAsia="zh-CN" w:bidi="ar-SA"/>
              </w:rPr>
            </w:pPr>
            <w:r>
              <w:rPr>
                <w:rFonts w:hint="eastAsia" w:ascii="Times New Roman" w:hAnsi="Times New Roman" w:eastAsia="宋体" w:cs="Times New Roman"/>
                <w:b w:val="0"/>
                <w:bCs/>
                <w:i w:val="0"/>
                <w:iCs w:val="0"/>
                <w:color w:val="000000"/>
                <w:kern w:val="2"/>
                <w:sz w:val="22"/>
                <w:szCs w:val="22"/>
                <w:u w:val="none"/>
                <w:lang w:val="en-US" w:eastAsia="zh-CN" w:bidi="ar-SA"/>
              </w:rPr>
              <w:t>项目管理费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3F6CAB2">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85.5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1E759BD">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6578B9F">
            <w:pPr>
              <w:keepNext w:val="0"/>
              <w:keepLines w:val="0"/>
              <w:widowControl/>
              <w:suppressLineNumbers w:val="0"/>
              <w:jc w:val="center"/>
              <w:textAlignment w:val="center"/>
              <w:rPr>
                <w:rFonts w:hint="default" w:ascii="Times New Roman" w:hAnsi="Times New Roman" w:eastAsia="黑体" w:cs="Times New Roman"/>
                <w:b w:val="0"/>
                <w:bCs/>
                <w:color w:val="000000"/>
                <w:kern w:val="0"/>
                <w:sz w:val="24"/>
                <w:lang w:val="en-US" w:eastAsia="zh-CN"/>
              </w:rPr>
            </w:pPr>
            <w:r>
              <w:rPr>
                <w:rFonts w:hint="eastAsia" w:ascii="Times New Roman" w:hAnsi="Times New Roman" w:eastAsia="黑体" w:cs="Times New Roman"/>
                <w:b w:val="0"/>
                <w:bCs/>
                <w:color w:val="000000"/>
                <w:kern w:val="0"/>
                <w:sz w:val="24"/>
                <w:lang w:val="en-US" w:eastAsia="zh-CN"/>
              </w:rPr>
              <w:t>85.5</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97D935">
            <w:pPr>
              <w:keepNext w:val="0"/>
              <w:keepLines w:val="0"/>
              <w:widowControl/>
              <w:suppressLineNumbers w:val="0"/>
              <w:jc w:val="center"/>
              <w:textAlignment w:val="center"/>
              <w:rPr>
                <w:rFonts w:hint="eastAsia" w:ascii="Times New Roman" w:hAnsi="Times New Roman" w:eastAsia="黑体" w:cs="Times New Roman"/>
                <w:b w:val="0"/>
                <w:bCs/>
                <w:color w:val="000000"/>
                <w:kern w:val="0"/>
                <w:sz w:val="24"/>
                <w:szCs w:val="24"/>
                <w:lang w:val="en-US" w:eastAsia="zh-CN" w:bidi="ar-SA"/>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3AE954B8">
            <w:pPr>
              <w:jc w:val="center"/>
              <w:rPr>
                <w:rFonts w:hint="default" w:ascii="Times New Roman" w:hAnsi="Times New Roman" w:eastAsia="黑体" w:cs="Times New Roman"/>
                <w:b w:val="0"/>
                <w:bCs/>
                <w:color w:val="000000"/>
                <w:kern w:val="0"/>
                <w:sz w:val="24"/>
              </w:rPr>
            </w:pPr>
          </w:p>
        </w:tc>
        <w:tc>
          <w:tcPr>
            <w:tcW w:w="3712" w:type="dxa"/>
            <w:tcBorders>
              <w:top w:val="single" w:color="000000" w:sz="4" w:space="0"/>
              <w:left w:val="single" w:color="000000" w:sz="4" w:space="0"/>
              <w:bottom w:val="single" w:color="000000" w:sz="4" w:space="0"/>
              <w:right w:val="single" w:color="000000" w:sz="4" w:space="0"/>
            </w:tcBorders>
            <w:noWrap w:val="0"/>
            <w:vAlign w:val="center"/>
          </w:tcPr>
          <w:p w14:paraId="458A5F8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2"/>
                <w:sz w:val="22"/>
                <w:szCs w:val="22"/>
                <w:u w:val="none"/>
                <w:lang w:val="en-US" w:eastAsia="zh-CN" w:bidi="ar-SA"/>
              </w:rPr>
            </w:pPr>
            <w:r>
              <w:rPr>
                <w:rFonts w:hint="default" w:ascii="Times New Roman" w:hAnsi="Times New Roman" w:eastAsia="宋体" w:cs="Times New Roman"/>
                <w:b w:val="0"/>
                <w:bCs/>
                <w:i w:val="0"/>
                <w:iCs w:val="0"/>
                <w:color w:val="000000"/>
                <w:kern w:val="2"/>
                <w:sz w:val="22"/>
                <w:szCs w:val="22"/>
                <w:u w:val="none"/>
                <w:lang w:val="en-US" w:eastAsia="zh-CN" w:bidi="ar-SA"/>
              </w:rPr>
              <w:t>进一步规范项目管理及资金使用效益，提升项目质量，确保项目顺利实施</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84CEFA">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cs="Times New Roman" w:eastAsiaTheme="minorEastAsia"/>
                <w:b w:val="0"/>
                <w:bCs/>
                <w:kern w:val="2"/>
                <w:sz w:val="21"/>
                <w:szCs w:val="24"/>
                <w:lang w:val="en-US" w:eastAsia="zh-CN" w:bidi="ar-SA"/>
              </w:rPr>
            </w:pPr>
            <w:r>
              <w:rPr>
                <w:rFonts w:hint="default" w:ascii="Times New Roman" w:hAnsi="Times New Roman" w:cs="Times New Roman"/>
                <w:b w:val="0"/>
                <w:bCs/>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E8B18B">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EB95C2">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Cs/>
                <w:color w:val="auto"/>
                <w:kern w:val="0"/>
                <w:sz w:val="24"/>
                <w:szCs w:val="24"/>
                <w:highlight w:val="none"/>
                <w:lang w:val="en-US" w:eastAsia="zh-CN" w:bidi="ar-SA"/>
              </w:rPr>
            </w:pPr>
            <w:r>
              <w:rPr>
                <w:rFonts w:hint="default" w:ascii="Times New Roman" w:hAnsi="Times New Roman" w:eastAsia="黑体" w:cs="Times New Roman"/>
                <w:bCs/>
                <w:color w:val="auto"/>
                <w:kern w:val="0"/>
                <w:sz w:val="24"/>
                <w:szCs w:val="24"/>
                <w:highlight w:val="none"/>
                <w:lang w:val="en-US" w:eastAsia="zh-CN" w:bidi="ar-SA"/>
              </w:rPr>
              <w:t>2026.07.</w:t>
            </w:r>
            <w:r>
              <w:rPr>
                <w:rFonts w:hint="eastAsia" w:ascii="Times New Roman" w:hAnsi="Times New Roman" w:eastAsia="黑体" w:cs="Times New Roman"/>
                <w:bCs/>
                <w:color w:val="auto"/>
                <w:kern w:val="0"/>
                <w:sz w:val="24"/>
                <w:szCs w:val="24"/>
                <w:highlight w:val="none"/>
                <w:lang w:val="en-US" w:eastAsia="zh-CN" w:bidi="ar-SA"/>
              </w:rPr>
              <w:t>2</w:t>
            </w:r>
            <w:r>
              <w:rPr>
                <w:rFonts w:hint="default" w:ascii="Times New Roman" w:hAnsi="Times New Roman" w:eastAsia="黑体" w:cs="Times New Roman"/>
                <w:bCs/>
                <w:color w:val="auto"/>
                <w:kern w:val="0"/>
                <w:sz w:val="24"/>
                <w:szCs w:val="24"/>
                <w:highlight w:val="none"/>
                <w:lang w:val="en-US" w:eastAsia="zh-CN" w:bidi="ar-SA"/>
              </w:rPr>
              <w:t>2</w:t>
            </w:r>
          </w:p>
        </w:tc>
      </w:tr>
    </w:tbl>
    <w:p w14:paraId="300500B1"/>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840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2026-07-24T03:43:20Z</dcterms:created>
  <dc:creator>pc</dc:creator>
  <cp:lastModifiedBy>迷子</cp:lastModifiedBy>
  <dcterms:modified xsi:type="dcterms:W3CDTF">2026-07-24T03:43:55Z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eyJoZGlkIjoiMmI2ZmIxYTllYmIwMjZmOGEyZmJjZjNiMmNhZjkyZmUiLCJ1c2VySWQiOiI0MTA0MTA3OTUifQ==</vt:lpwstr>
  </property>
  <property fmtid="{D5CDD505-2E9C-101B-9397-08002B2CF9AE}" pid="4" name="ICV">
    <vt:lpwstr>7233EB8C79C748BDB0467F71779602A8_12</vt:lpwstr>
  </property>
</Properties>
</file>