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49A1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盐边县财政局关于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开展</w:t>
      </w:r>
    </w:p>
    <w:p w14:paraId="06D7DE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202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年度会计监督检查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的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查前公示</w:t>
      </w:r>
    </w:p>
    <w:p w14:paraId="091B6D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210D0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为深入贯彻落实中共中央办公厅、国务院办公厅《关于进一步加强财会监督工作的意见》，落实2026年财经纪律整治工作要求，根据《中华人民共和国会计法》《中华人民共和国预算法》等法律法规，按照《四川省财政厅关于开展2026年度会计监督检查工作的通知》</w:t>
      </w:r>
      <w:r>
        <w:rPr>
          <w:rFonts w:hint="eastAsia" w:ascii="仿宋_GB2312" w:hAnsi="仿宋_GB2312" w:eastAsia="仿宋_GB2312" w:cs="仿宋_GB2312"/>
          <w:sz w:val="32"/>
          <w:szCs w:val="32"/>
        </w:rPr>
        <w:t>要求，盐边县财政局将开展202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年度会计监督检查，为做好检查工作，自觉接受社会监督，现将有关事项公示如下：</w:t>
      </w:r>
    </w:p>
    <w:p w14:paraId="080578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一、</w:t>
      </w:r>
      <w:r>
        <w:rPr>
          <w:rFonts w:hint="eastAsia" w:ascii="黑体" w:hAnsi="黑体" w:eastAsia="黑体" w:cs="黑体"/>
          <w:sz w:val="32"/>
          <w:szCs w:val="32"/>
        </w:rPr>
        <w:t>检查对象　</w:t>
      </w:r>
      <w:r>
        <w:rPr>
          <w:rFonts w:hint="eastAsia" w:ascii="仿宋_GB2312" w:hAnsi="仿宋_GB2312" w:eastAsia="仿宋_GB2312" w:cs="仿宋_GB2312"/>
          <w:sz w:val="32"/>
          <w:szCs w:val="32"/>
        </w:rPr>
        <w:t> </w:t>
      </w:r>
    </w:p>
    <w:p w14:paraId="054424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textAlignment w:val="auto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盐边县共和乡人民政府、盐边县红格国际运动康养·温泉度假区管理委员会、盐边县钒钛投资集团有限公司。</w:t>
      </w:r>
    </w:p>
    <w:p w14:paraId="474FAF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二、检查内容</w:t>
      </w:r>
      <w:r>
        <w:rPr>
          <w:rFonts w:hint="eastAsia" w:ascii="仿宋_GB2312" w:hAnsi="仿宋_GB2312" w:eastAsia="仿宋_GB2312" w:cs="仿宋_GB2312"/>
          <w:sz w:val="32"/>
          <w:szCs w:val="32"/>
        </w:rPr>
        <w:t> 　</w:t>
      </w:r>
    </w:p>
    <w:p w14:paraId="2FC430B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jc w:val="left"/>
        <w:textAlignment w:val="auto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ascii="楷体_GB2312" w:hAnsi="宋体" w:eastAsia="楷体_GB2312" w:cs="楷体_GB2312"/>
          <w:color w:val="000000"/>
          <w:kern w:val="0"/>
          <w:sz w:val="31"/>
          <w:szCs w:val="31"/>
          <w:lang w:val="en-US" w:eastAsia="zh-CN" w:bidi="ar"/>
        </w:rPr>
        <w:t>（一）</w:t>
      </w:r>
      <w:r>
        <w:rPr>
          <w:rFonts w:hint="eastAsia" w:ascii="楷体_GB2312" w:hAnsi="宋体" w:eastAsia="楷体_GB2312" w:cs="楷体_GB2312"/>
          <w:color w:val="000000"/>
          <w:kern w:val="0"/>
          <w:sz w:val="31"/>
          <w:szCs w:val="31"/>
          <w:lang w:val="en-US" w:eastAsia="zh-CN" w:bidi="ar"/>
        </w:rPr>
        <w:t>国家机关、事业单位、社会团体及其他组织</w:t>
      </w:r>
      <w:r>
        <w:rPr>
          <w:rFonts w:ascii="楷体_GB2312" w:hAnsi="宋体" w:eastAsia="楷体_GB2312" w:cs="楷体_GB2312"/>
          <w:color w:val="000000"/>
          <w:kern w:val="0"/>
          <w:sz w:val="31"/>
          <w:szCs w:val="31"/>
          <w:lang w:val="en-US" w:eastAsia="zh-CN" w:bidi="ar"/>
        </w:rPr>
        <w:t>。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重点关注《政府会计准则制度》的贯彻实施、民间非营利组织会计制度的执行、单位内部控制制度的建立和执行情况。重点检查是否依法设置会计账簿、会计资料是否真实及完整、会计核算是否符合《中华人民共和国会计法》和国家统一的会计制度的规定等情况。</w:t>
      </w:r>
    </w:p>
    <w:p w14:paraId="5EDC66F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jc w:val="left"/>
        <w:textAlignment w:val="auto"/>
        <w:rPr>
          <w:rFonts w:hint="eastAsia" w:ascii="FangSong_GB2312" w:hAnsi="FangSong_GB2312" w:eastAsia="FangSong_GB2312" w:cs="FangSong_GB2312"/>
          <w:spacing w:val="5"/>
          <w:kern w:val="2"/>
          <w:sz w:val="31"/>
          <w:szCs w:val="31"/>
          <w:lang w:val="en-US" w:eastAsia="zh-CN" w:bidi="ar-SA"/>
        </w:rPr>
      </w:pPr>
      <w:r>
        <w:rPr>
          <w:rFonts w:hint="eastAsia" w:ascii="楷体_GB2312" w:hAnsi="宋体" w:eastAsia="楷体_GB2312" w:cs="楷体_GB2312"/>
          <w:color w:val="000000"/>
          <w:kern w:val="0"/>
          <w:sz w:val="31"/>
          <w:szCs w:val="31"/>
          <w:lang w:val="en-US" w:eastAsia="zh-CN" w:bidi="ar"/>
        </w:rPr>
        <w:t>（二）公司及企业。</w:t>
      </w:r>
      <w:r>
        <w:rPr>
          <w:rFonts w:ascii="FangSong_GB2312" w:hAnsi="FangSong_GB2312" w:eastAsia="FangSong_GB2312" w:cs="FangSong_GB2312"/>
          <w:spacing w:val="5"/>
          <w:kern w:val="2"/>
          <w:sz w:val="31"/>
          <w:szCs w:val="31"/>
          <w:lang w:val="en-US" w:eastAsia="en-US" w:bidi="ar-SA"/>
        </w:rPr>
        <w:t>重点关注收入、资产减值、金融工具、</w:t>
      </w:r>
      <w:r>
        <w:rPr>
          <w:rFonts w:hint="eastAsia" w:ascii="FangSong_GB2312" w:hAnsi="FangSong_GB2312" w:eastAsia="FangSong_GB2312" w:cs="FangSong_GB2312"/>
          <w:spacing w:val="5"/>
          <w:kern w:val="2"/>
          <w:sz w:val="31"/>
          <w:szCs w:val="31"/>
          <w:lang w:val="en-US" w:eastAsia="zh-CN" w:bidi="ar-SA"/>
        </w:rPr>
        <w:t>合并财务报表等企业会计准则的执行，内部控制制度建立和执行；</w:t>
      </w:r>
      <w:r>
        <w:rPr>
          <w:rFonts w:ascii="仿宋_GB2312" w:hAnsi="仿宋_GB2312" w:eastAsia="仿宋_GB2312" w:cs="仿宋_GB2312"/>
          <w:b w:val="0"/>
          <w:bCs w:val="0"/>
          <w:color w:val="000000"/>
          <w:sz w:val="31"/>
          <w:szCs w:val="31"/>
        </w:rPr>
        <w:t>重点检查私设会计账簿、伪造或变造会计资料、编制虚假财务会计报告、隐匿或故意销毁依法应当保存的会计资料、利用虚构经济业务或第三方配合等方式实施造假等违法行为。</w:t>
      </w:r>
    </w:p>
    <w:p w14:paraId="071A79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三、检查范围</w:t>
      </w:r>
    </w:p>
    <w:p w14:paraId="7D29E5E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jc w:val="left"/>
        <w:textAlignment w:val="auto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重点检查 2025年度被检查单位执行财经法规有关情况，如有必要可追溯至以前年度和延伸至相关单位。 </w:t>
      </w:r>
    </w:p>
    <w:p w14:paraId="27F884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以上公示事项欢迎社会各界监督。</w:t>
      </w:r>
    </w:p>
    <w:p w14:paraId="23BC44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</w:t>
      </w:r>
    </w:p>
    <w:p w14:paraId="67EB2F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联系电话：（0812）8655435</w:t>
      </w:r>
    </w:p>
    <w:p w14:paraId="02BB9C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联系地址：盐边县东城街26号</w:t>
      </w:r>
    </w:p>
    <w:p w14:paraId="7C6039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邮编：617100                   </w:t>
      </w:r>
    </w:p>
    <w:p w14:paraId="7B3FD2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27776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59DD9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盐边县财政局</w:t>
      </w:r>
    </w:p>
    <w:p w14:paraId="751ACD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2026年7月24日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DD6DCE"/>
    <w:rsid w:val="18DE7F83"/>
    <w:rsid w:val="29BB4DD8"/>
    <w:rsid w:val="38436B12"/>
    <w:rsid w:val="3875790C"/>
    <w:rsid w:val="3FC26760"/>
    <w:rsid w:val="425275E9"/>
    <w:rsid w:val="4E9D4EAD"/>
    <w:rsid w:val="56EE7E2F"/>
    <w:rsid w:val="6CA83959"/>
    <w:rsid w:val="7C0C5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624</Words>
  <Characters>658</Characters>
  <Lines>0</Lines>
  <Paragraphs>0</Paragraphs>
  <TotalTime>5</TotalTime>
  <ScaleCrop>false</ScaleCrop>
  <LinksUpToDate>false</LinksUpToDate>
  <CharactersWithSpaces>729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2025-06-27T01:37:00Z</dcterms:created>
  <dc:creator>Administrator</dc:creator>
  <cp:lastModifiedBy>张婕1</cp:lastModifiedBy>
  <dcterms:modified xsi:type="dcterms:W3CDTF">2026-07-24T01:02:42Z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eyJoZGlkIjoiYTZhZDdmMWNmNmQwY2E1ZjViNjg4NWFhZDQyZGUyYTEiLCJ1c2VySWQiOiI1ODYxOTExOTgifQ==</vt:lpwstr>
  </property>
  <property fmtid="{D5CDD505-2E9C-101B-9397-08002B2CF9AE}" pid="4" name="ICV">
    <vt:lpwstr>0BEDA87BA2D74DB4A68B9DDC4CE531EE_12</vt:lpwstr>
  </property>
</Properties>
</file>