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0F811">
      <w:pPr>
        <w:ind w:firstLine="1440"/>
        <w:rPr>
          <w:rFonts w:hint="eastAsia" w:ascii="黑体" w:hAnsi="黑体" w:eastAsia="黑体"/>
          <w:color w:val="auto"/>
          <w:sz w:val="72"/>
          <w:szCs w:val="88"/>
          <w:highlight w:val="none"/>
          <w:lang w:eastAsia="zh-CN"/>
        </w:rPr>
      </w:pPr>
      <w:bookmarkStart w:id="0" w:name="_Hlk71415019"/>
      <w:bookmarkEnd w:id="0"/>
      <w:bookmarkStart w:id="1" w:name="_Hlk137564393"/>
    </w:p>
    <w:p w14:paraId="31F74489">
      <w:pPr>
        <w:adjustRightInd/>
        <w:snapToGrid/>
        <w:spacing w:line="240" w:lineRule="auto"/>
        <w:ind w:firstLine="0" w:firstLineChars="0"/>
        <w:jc w:val="center"/>
        <w:outlineLvl w:val="0"/>
        <w:rPr>
          <w:rFonts w:hint="eastAsia" w:ascii="方正小标宋_GBK" w:hAnsi="方正小标宋_GBK" w:eastAsia="方正小标宋_GBK" w:cs="方正小标宋_GBK"/>
          <w:color w:val="auto"/>
          <w:sz w:val="52"/>
          <w:szCs w:val="52"/>
          <w:highlight w:val="none"/>
        </w:rPr>
      </w:pPr>
      <w:bookmarkStart w:id="2" w:name="_Toc22282"/>
      <w:bookmarkStart w:id="3" w:name="_Toc27784"/>
      <w:bookmarkStart w:id="4" w:name="_Toc22506"/>
      <w:bookmarkStart w:id="5" w:name="_Toc11412"/>
      <w:r>
        <w:rPr>
          <w:rFonts w:hint="eastAsia" w:ascii="方正小标宋_GBK" w:hAnsi="方正小标宋_GBK" w:eastAsia="方正小标宋_GBK" w:cs="方正小标宋_GBK"/>
          <w:color w:val="auto"/>
          <w:sz w:val="52"/>
          <w:szCs w:val="52"/>
          <w:highlight w:val="none"/>
        </w:rPr>
        <w:t>盐边县国土空间总体规划</w:t>
      </w:r>
      <w:bookmarkEnd w:id="2"/>
      <w:bookmarkEnd w:id="3"/>
      <w:bookmarkEnd w:id="4"/>
      <w:bookmarkEnd w:id="5"/>
    </w:p>
    <w:p w14:paraId="6794B48C">
      <w:pPr>
        <w:adjustRightInd/>
        <w:snapToGrid/>
        <w:spacing w:line="240" w:lineRule="auto"/>
        <w:ind w:firstLine="0" w:firstLineChars="0"/>
        <w:jc w:val="center"/>
        <w:rPr>
          <w:rFonts w:ascii="方正小标宋_GBK" w:hAnsi="方正小标宋_GBK" w:eastAsia="方正小标宋_GBK" w:cs="方正小标宋_GBK"/>
          <w:color w:val="auto"/>
          <w:sz w:val="52"/>
          <w:szCs w:val="52"/>
          <w:highlight w:val="none"/>
        </w:rPr>
      </w:pPr>
      <w:r>
        <w:rPr>
          <w:rFonts w:hint="eastAsia" w:ascii="方正小标宋_GBK" w:hAnsi="方正小标宋_GBK" w:eastAsia="方正小标宋_GBK" w:cs="方正小标宋_GBK"/>
          <w:color w:val="auto"/>
          <w:sz w:val="52"/>
          <w:szCs w:val="52"/>
          <w:highlight w:val="none"/>
        </w:rPr>
        <w:t>（2021—2035年）</w:t>
      </w:r>
    </w:p>
    <w:p w14:paraId="1067A8B1">
      <w:pPr>
        <w:adjustRightInd/>
        <w:snapToGrid/>
        <w:spacing w:line="240" w:lineRule="auto"/>
        <w:ind w:firstLine="0" w:firstLineChars="0"/>
        <w:jc w:val="center"/>
        <w:rPr>
          <w:rFonts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rPr>
        <w:t xml:space="preserve">文 </w:t>
      </w:r>
      <w:r>
        <w:rPr>
          <w:rFonts w:ascii="方正小标宋_GBK" w:hAnsi="方正小标宋_GBK" w:eastAsia="方正小标宋_GBK" w:cs="方正小标宋_GBK"/>
          <w:color w:val="auto"/>
          <w:sz w:val="44"/>
          <w:szCs w:val="44"/>
          <w:highlight w:val="none"/>
        </w:rPr>
        <w:t xml:space="preserve"> </w:t>
      </w:r>
      <w:r>
        <w:rPr>
          <w:rFonts w:hint="eastAsia" w:ascii="方正小标宋_GBK" w:hAnsi="方正小标宋_GBK" w:eastAsia="方正小标宋_GBK" w:cs="方正小标宋_GBK"/>
          <w:color w:val="auto"/>
          <w:sz w:val="44"/>
          <w:szCs w:val="44"/>
          <w:highlight w:val="none"/>
        </w:rPr>
        <w:t>本</w:t>
      </w:r>
    </w:p>
    <w:p w14:paraId="46451BD1">
      <w:pPr>
        <w:widowControl/>
        <w:ind w:firstLine="0" w:firstLineChars="0"/>
        <w:jc w:val="center"/>
        <w:rPr>
          <w:rFonts w:ascii="楷体_GB2312" w:hAnsi="楷体_GB2312" w:eastAsia="楷体_GB2312" w:cs="楷体_GB2312"/>
          <w:color w:val="auto"/>
          <w:sz w:val="36"/>
          <w:szCs w:val="36"/>
          <w:highlight w:val="none"/>
        </w:rPr>
      </w:pPr>
    </w:p>
    <w:p w14:paraId="33583EB8">
      <w:pPr>
        <w:widowControl/>
        <w:ind w:firstLine="0" w:firstLineChars="0"/>
        <w:jc w:val="center"/>
        <w:rPr>
          <w:rFonts w:ascii="楷体_GB2312" w:hAnsi="楷体_GB2312" w:eastAsia="楷体_GB2312" w:cs="楷体_GB2312"/>
          <w:color w:val="auto"/>
          <w:sz w:val="36"/>
          <w:szCs w:val="36"/>
          <w:highlight w:val="none"/>
        </w:rPr>
      </w:pPr>
    </w:p>
    <w:p w14:paraId="2421D307">
      <w:pPr>
        <w:widowControl/>
        <w:ind w:firstLine="0" w:firstLineChars="0"/>
        <w:jc w:val="center"/>
        <w:rPr>
          <w:rFonts w:ascii="黑体" w:hAnsi="黑体" w:eastAsia="黑体"/>
          <w:color w:val="auto"/>
          <w:sz w:val="48"/>
          <w:szCs w:val="88"/>
          <w:highlight w:val="none"/>
        </w:rPr>
      </w:pPr>
    </w:p>
    <w:p w14:paraId="5432F285">
      <w:pPr>
        <w:widowControl/>
        <w:ind w:firstLine="0" w:firstLineChars="0"/>
        <w:jc w:val="center"/>
        <w:rPr>
          <w:rFonts w:ascii="黑体" w:hAnsi="黑体" w:eastAsia="黑体"/>
          <w:color w:val="auto"/>
          <w:sz w:val="48"/>
          <w:szCs w:val="88"/>
          <w:highlight w:val="none"/>
        </w:rPr>
      </w:pPr>
    </w:p>
    <w:p w14:paraId="5A5214D4">
      <w:pPr>
        <w:widowControl/>
        <w:ind w:firstLine="0" w:firstLineChars="0"/>
        <w:jc w:val="center"/>
        <w:rPr>
          <w:rFonts w:ascii="黑体" w:hAnsi="黑体" w:eastAsia="黑体"/>
          <w:color w:val="auto"/>
          <w:sz w:val="48"/>
          <w:szCs w:val="88"/>
          <w:highlight w:val="none"/>
        </w:rPr>
      </w:pPr>
    </w:p>
    <w:p w14:paraId="6A229068">
      <w:pPr>
        <w:widowControl/>
        <w:ind w:firstLine="0" w:firstLineChars="0"/>
        <w:jc w:val="center"/>
        <w:rPr>
          <w:rFonts w:ascii="黑体" w:hAnsi="黑体" w:eastAsia="黑体"/>
          <w:color w:val="auto"/>
          <w:sz w:val="48"/>
          <w:szCs w:val="88"/>
          <w:highlight w:val="none"/>
        </w:rPr>
      </w:pPr>
    </w:p>
    <w:p w14:paraId="6D20E86A">
      <w:pPr>
        <w:widowControl/>
        <w:ind w:firstLine="0" w:firstLineChars="0"/>
        <w:jc w:val="center"/>
        <w:rPr>
          <w:rFonts w:ascii="黑体" w:hAnsi="黑体" w:eastAsia="黑体"/>
          <w:color w:val="auto"/>
          <w:sz w:val="48"/>
          <w:szCs w:val="88"/>
          <w:highlight w:val="none"/>
        </w:rPr>
      </w:pPr>
    </w:p>
    <w:p w14:paraId="746C3051">
      <w:pPr>
        <w:widowControl/>
        <w:ind w:firstLine="0" w:firstLineChars="0"/>
        <w:jc w:val="center"/>
        <w:rPr>
          <w:rFonts w:ascii="仿宋_GB2312" w:hAnsi="黑体" w:eastAsia="仿宋_GB2312"/>
          <w:color w:val="auto"/>
          <w:szCs w:val="28"/>
          <w:highlight w:val="none"/>
        </w:rPr>
      </w:pPr>
    </w:p>
    <w:p w14:paraId="6B58971C">
      <w:pPr>
        <w:ind w:firstLine="0" w:firstLineChars="0"/>
        <w:jc w:val="center"/>
        <w:rPr>
          <w:rFonts w:ascii="楷体_GB2312" w:hAnsi="Times New Roman" w:eastAsia="楷体_GB2312" w:cs="Times New Roman"/>
          <w:color w:val="auto"/>
          <w:szCs w:val="28"/>
          <w:highlight w:val="none"/>
        </w:rPr>
      </w:pPr>
      <w:r>
        <w:rPr>
          <w:rFonts w:hint="eastAsia" w:ascii="楷体_GB2312" w:hAnsi="Times New Roman" w:eastAsia="楷体_GB2312" w:cs="Times New Roman"/>
          <w:color w:val="auto"/>
          <w:szCs w:val="28"/>
          <w:highlight w:val="none"/>
        </w:rPr>
        <w:t>盐边县人民政府</w:t>
      </w:r>
    </w:p>
    <w:p w14:paraId="3721619B">
      <w:pPr>
        <w:ind w:firstLine="0" w:firstLineChars="0"/>
        <w:jc w:val="center"/>
        <w:rPr>
          <w:rFonts w:hint="default" w:ascii="楷体_GB2312" w:hAnsi="Times New Roman" w:eastAsia="楷体_GB2312" w:cs="Times New Roman"/>
          <w:color w:val="auto"/>
          <w:szCs w:val="28"/>
          <w:highlight w:val="none"/>
          <w:lang w:val="en-US" w:eastAsia="zh-CN"/>
        </w:rPr>
      </w:pPr>
      <w:r>
        <w:rPr>
          <w:rFonts w:hint="eastAsia" w:ascii="楷体_GB2312" w:hAnsi="Times New Roman" w:eastAsia="楷体_GB2312" w:cs="Times New Roman"/>
          <w:color w:val="auto"/>
          <w:szCs w:val="28"/>
          <w:highlight w:val="none"/>
        </w:rPr>
        <w:t>202</w:t>
      </w:r>
      <w:r>
        <w:rPr>
          <w:rFonts w:hint="eastAsia" w:ascii="楷体_GB2312" w:hAnsi="Times New Roman" w:eastAsia="楷体_GB2312" w:cs="Times New Roman"/>
          <w:color w:val="auto"/>
          <w:szCs w:val="28"/>
          <w:highlight w:val="none"/>
          <w:lang w:val="en-US" w:eastAsia="zh-CN"/>
        </w:rPr>
        <w:t>5</w:t>
      </w:r>
      <w:r>
        <w:rPr>
          <w:rFonts w:hint="eastAsia" w:ascii="楷体_GB2312" w:hAnsi="Times New Roman" w:eastAsia="楷体_GB2312" w:cs="Times New Roman"/>
          <w:color w:val="auto"/>
          <w:szCs w:val="28"/>
          <w:highlight w:val="none"/>
        </w:rPr>
        <w:t>年</w:t>
      </w:r>
      <w:r>
        <w:rPr>
          <w:rFonts w:hint="eastAsia" w:ascii="楷体_GB2312" w:hAnsi="Times New Roman" w:eastAsia="楷体_GB2312" w:cs="Times New Roman"/>
          <w:color w:val="auto"/>
          <w:szCs w:val="28"/>
          <w:highlight w:val="none"/>
          <w:lang w:val="en-US" w:eastAsia="zh-CN"/>
        </w:rPr>
        <w:t>5</w:t>
      </w:r>
      <w:r>
        <w:rPr>
          <w:rFonts w:hint="eastAsia" w:ascii="楷体_GB2312" w:hAnsi="Times New Roman" w:eastAsia="楷体_GB2312" w:cs="Times New Roman"/>
          <w:color w:val="auto"/>
          <w:szCs w:val="28"/>
          <w:highlight w:val="none"/>
        </w:rPr>
        <w:t>月</w:t>
      </w:r>
    </w:p>
    <w:p w14:paraId="42068D0A">
      <w:pPr>
        <w:adjustRightInd/>
        <w:snapToGrid/>
        <w:spacing w:line="240" w:lineRule="auto"/>
        <w:ind w:firstLine="0" w:firstLineChars="0"/>
        <w:jc w:val="center"/>
        <w:rPr>
          <w:rFonts w:ascii="楷体_GB2312" w:hAnsi="楷体_GB2312" w:eastAsia="楷体_GB2312" w:cs="楷体_GB2312"/>
          <w:color w:val="auto"/>
          <w:szCs w:val="28"/>
          <w:highlight w:val="none"/>
        </w:rPr>
      </w:pPr>
    </w:p>
    <w:p w14:paraId="6D1A6E5E">
      <w:pPr>
        <w:adjustRightInd/>
        <w:snapToGrid/>
        <w:spacing w:line="240" w:lineRule="auto"/>
        <w:ind w:firstLine="0" w:firstLineChars="0"/>
        <w:jc w:val="center"/>
        <w:rPr>
          <w:rFonts w:ascii="楷体_GB2312" w:hAnsi="楷体_GB2312" w:eastAsia="楷体_GB2312" w:cs="楷体_GB2312"/>
          <w:color w:val="auto"/>
          <w:szCs w:val="28"/>
          <w:highlight w:val="none"/>
        </w:rPr>
      </w:pPr>
    </w:p>
    <w:bookmarkEnd w:id="1"/>
    <w:p w14:paraId="65DB14B4">
      <w:pPr>
        <w:spacing w:line="600" w:lineRule="exact"/>
        <w:ind w:firstLine="640"/>
        <w:rPr>
          <w:rFonts w:ascii="仿宋_GB2312" w:eastAsia="仿宋_GB2312"/>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7" w:h="16839"/>
          <w:pgMar w:top="1418" w:right="1418" w:bottom="1418" w:left="1418" w:header="851" w:footer="992" w:gutter="0"/>
          <w:pgNumType w:fmt="decimal"/>
          <w:cols w:space="425" w:num="1"/>
          <w:titlePg/>
          <w:docGrid w:type="linesAndChars" w:linePitch="326" w:charSpace="0"/>
        </w:sectPr>
      </w:pPr>
    </w:p>
    <w:sdt>
      <w:sdtPr>
        <w:rPr>
          <w:rFonts w:ascii="宋体" w:hAnsi="宋体" w:eastAsia="宋体" w:cs="宋体"/>
          <w:kern w:val="2"/>
          <w:sz w:val="21"/>
          <w:szCs w:val="22"/>
          <w:lang w:val="en-US" w:eastAsia="zh-CN" w:bidi="ar-SA"/>
        </w:rPr>
        <w:id w:val="147457969"/>
        <w15:color w:val="DBDBDB"/>
        <w:docPartObj>
          <w:docPartGallery w:val="Table of Contents"/>
          <w:docPartUnique/>
        </w:docPartObj>
      </w:sdtPr>
      <w:sdtEndPr>
        <w:rPr>
          <w:rFonts w:ascii="Calibri" w:hAnsi="Calibri" w:eastAsia="宋体" w:cs="宋体"/>
          <w:b/>
          <w:kern w:val="2"/>
          <w:sz w:val="28"/>
          <w:szCs w:val="22"/>
          <w:lang w:val="en-US" w:eastAsia="zh-CN" w:bidi="ar-SA"/>
        </w:rPr>
      </w:sdtEndPr>
      <w:sdtContent>
        <w:p w14:paraId="33F5ECC9">
          <w:pPr>
            <w:spacing w:before="0" w:beforeLines="0" w:after="0" w:afterLines="0" w:line="240" w:lineRule="auto"/>
            <w:ind w:left="0" w:leftChars="0" w:right="0" w:rightChars="0" w:firstLine="0" w:firstLineChars="0"/>
            <w:jc w:val="center"/>
          </w:pPr>
          <w:r>
            <w:rPr>
              <w:rFonts w:ascii="宋体" w:hAnsi="宋体" w:eastAsia="宋体"/>
              <w:sz w:val="21"/>
            </w:rPr>
            <w:t>目录</w:t>
          </w:r>
        </w:p>
        <w:p w14:paraId="20E07302">
          <w:pPr>
            <w:pStyle w:val="105"/>
            <w:tabs>
              <w:tab w:val="right" w:leader="dot" w:pos="8788"/>
            </w:tabs>
            <w:rPr>
              <w:b/>
            </w:rPr>
          </w:pPr>
          <w:r>
            <w:fldChar w:fldCharType="begin"/>
          </w:r>
          <w:r>
            <w:instrText xml:space="preserve">TOC \o "1-2" \h \u </w:instrText>
          </w:r>
          <w:r>
            <w:fldChar w:fldCharType="separate"/>
          </w:r>
          <w:r>
            <w:rPr>
              <w:b/>
            </w:rPr>
            <w:fldChar w:fldCharType="begin"/>
          </w:r>
          <w:r>
            <w:rPr>
              <w:b/>
            </w:rPr>
            <w:instrText xml:space="preserve"> HYPERLINK \l _Toc1970 </w:instrText>
          </w:r>
          <w:r>
            <w:rPr>
              <w:b/>
            </w:rPr>
            <w:fldChar w:fldCharType="separate"/>
          </w:r>
          <w:r>
            <w:rPr>
              <w:rFonts w:hint="eastAsia"/>
              <w:b/>
              <w:bCs/>
              <w:szCs w:val="36"/>
              <w:highlight w:val="none"/>
            </w:rPr>
            <w:t xml:space="preserve">前 </w:t>
          </w:r>
          <w:r>
            <w:rPr>
              <w:b/>
              <w:bCs/>
              <w:szCs w:val="36"/>
              <w:highlight w:val="none"/>
            </w:rPr>
            <w:t xml:space="preserve"> </w:t>
          </w:r>
          <w:r>
            <w:rPr>
              <w:rFonts w:hint="eastAsia"/>
              <w:b/>
              <w:bCs/>
              <w:szCs w:val="36"/>
              <w:highlight w:val="none"/>
            </w:rPr>
            <w:t>言</w:t>
          </w:r>
          <w:r>
            <w:rPr>
              <w:b/>
            </w:rPr>
            <w:tab/>
          </w:r>
          <w:r>
            <w:rPr>
              <w:b/>
            </w:rPr>
            <w:fldChar w:fldCharType="begin"/>
          </w:r>
          <w:r>
            <w:rPr>
              <w:b/>
            </w:rPr>
            <w:instrText xml:space="preserve"> PAGEREF _Toc1970 \h </w:instrText>
          </w:r>
          <w:r>
            <w:rPr>
              <w:b/>
            </w:rPr>
            <w:fldChar w:fldCharType="separate"/>
          </w:r>
          <w:r>
            <w:rPr>
              <w:b/>
            </w:rPr>
            <w:t>2</w:t>
          </w:r>
          <w:r>
            <w:rPr>
              <w:b/>
            </w:rPr>
            <w:fldChar w:fldCharType="end"/>
          </w:r>
          <w:r>
            <w:rPr>
              <w:b/>
            </w:rPr>
            <w:fldChar w:fldCharType="end"/>
          </w:r>
        </w:p>
        <w:p w14:paraId="7403F17E">
          <w:pPr>
            <w:pStyle w:val="105"/>
            <w:tabs>
              <w:tab w:val="right" w:leader="dot" w:pos="8788"/>
            </w:tabs>
            <w:rPr>
              <w:b/>
            </w:rPr>
          </w:pPr>
          <w:r>
            <w:rPr>
              <w:b/>
            </w:rPr>
            <w:fldChar w:fldCharType="begin"/>
          </w:r>
          <w:r>
            <w:rPr>
              <w:b/>
            </w:rPr>
            <w:instrText xml:space="preserve"> HYPERLINK \l _Toc13291 </w:instrText>
          </w:r>
          <w:r>
            <w:rPr>
              <w:b/>
            </w:rPr>
            <w:fldChar w:fldCharType="separate"/>
          </w:r>
          <w:r>
            <w:rPr>
              <w:rFonts w:hint="eastAsia"/>
              <w:b/>
              <w:bCs/>
              <w:szCs w:val="36"/>
              <w:highlight w:val="none"/>
            </w:rPr>
            <w:t>第一部分 现状与形势</w:t>
          </w:r>
          <w:r>
            <w:rPr>
              <w:b/>
            </w:rPr>
            <w:tab/>
          </w:r>
          <w:r>
            <w:rPr>
              <w:b/>
            </w:rPr>
            <w:fldChar w:fldCharType="begin"/>
          </w:r>
          <w:r>
            <w:rPr>
              <w:b/>
            </w:rPr>
            <w:instrText xml:space="preserve"> PAGEREF _Toc13291 \h </w:instrText>
          </w:r>
          <w:r>
            <w:rPr>
              <w:b/>
            </w:rPr>
            <w:fldChar w:fldCharType="separate"/>
          </w:r>
          <w:r>
            <w:rPr>
              <w:b/>
            </w:rPr>
            <w:t>3</w:t>
          </w:r>
          <w:r>
            <w:rPr>
              <w:b/>
            </w:rPr>
            <w:fldChar w:fldCharType="end"/>
          </w:r>
          <w:r>
            <w:rPr>
              <w:b/>
            </w:rPr>
            <w:fldChar w:fldCharType="end"/>
          </w:r>
        </w:p>
        <w:p w14:paraId="4FD1ACF3">
          <w:pPr>
            <w:pStyle w:val="106"/>
            <w:tabs>
              <w:tab w:val="right" w:leader="dot" w:pos="8788"/>
            </w:tabs>
          </w:pPr>
          <w:r>
            <w:fldChar w:fldCharType="begin"/>
          </w:r>
          <w:r>
            <w:instrText xml:space="preserve"> HYPERLINK \l _Toc4018 </w:instrText>
          </w:r>
          <w:r>
            <w:fldChar w:fldCharType="separate"/>
          </w:r>
          <w:r>
            <w:rPr>
              <w:rFonts w:hint="eastAsia" w:ascii="黑体" w:hAnsi="黑体" w:eastAsia="黑体"/>
              <w:bCs/>
              <w:szCs w:val="32"/>
            </w:rPr>
            <w:t xml:space="preserve">第一章 </w:t>
          </w:r>
          <w:r>
            <w:rPr>
              <w:rFonts w:hint="eastAsia" w:ascii="黑体" w:hAnsi="黑体" w:eastAsia="黑体"/>
              <w:bCs/>
              <w:szCs w:val="32"/>
              <w:highlight w:val="none"/>
            </w:rPr>
            <w:t>基础条件</w:t>
          </w:r>
          <w:r>
            <w:tab/>
          </w:r>
          <w:r>
            <w:fldChar w:fldCharType="begin"/>
          </w:r>
          <w:r>
            <w:instrText xml:space="preserve"> PAGEREF _Toc4018 \h </w:instrText>
          </w:r>
          <w:r>
            <w:fldChar w:fldCharType="separate"/>
          </w:r>
          <w:r>
            <w:t>3</w:t>
          </w:r>
          <w:r>
            <w:fldChar w:fldCharType="end"/>
          </w:r>
          <w:r>
            <w:fldChar w:fldCharType="end"/>
          </w:r>
        </w:p>
        <w:p w14:paraId="499E20D8">
          <w:pPr>
            <w:pStyle w:val="106"/>
            <w:tabs>
              <w:tab w:val="right" w:leader="dot" w:pos="8788"/>
            </w:tabs>
          </w:pPr>
          <w:r>
            <w:fldChar w:fldCharType="begin"/>
          </w:r>
          <w:r>
            <w:instrText xml:space="preserve"> HYPERLINK \l _Toc20344 </w:instrText>
          </w:r>
          <w:r>
            <w:fldChar w:fldCharType="separate"/>
          </w:r>
          <w:r>
            <w:rPr>
              <w:rFonts w:hint="eastAsia" w:ascii="黑体" w:hAnsi="黑体" w:eastAsia="黑体"/>
              <w:bCs/>
              <w:szCs w:val="32"/>
            </w:rPr>
            <w:t xml:space="preserve">第二章 </w:t>
          </w:r>
          <w:r>
            <w:rPr>
              <w:rFonts w:hint="eastAsia" w:ascii="黑体" w:hAnsi="黑体" w:eastAsia="黑体"/>
              <w:bCs/>
              <w:szCs w:val="32"/>
              <w:highlight w:val="none"/>
              <w:lang w:val="en-US" w:eastAsia="zh-CN"/>
            </w:rPr>
            <w:t>主要</w:t>
          </w:r>
          <w:r>
            <w:rPr>
              <w:rFonts w:hint="eastAsia" w:ascii="黑体" w:hAnsi="黑体" w:eastAsia="黑体"/>
              <w:bCs/>
              <w:szCs w:val="32"/>
              <w:highlight w:val="none"/>
            </w:rPr>
            <w:t>问题</w:t>
          </w:r>
          <w:r>
            <w:tab/>
          </w:r>
          <w:r>
            <w:fldChar w:fldCharType="begin"/>
          </w:r>
          <w:r>
            <w:instrText xml:space="preserve"> PAGEREF _Toc20344 \h </w:instrText>
          </w:r>
          <w:r>
            <w:fldChar w:fldCharType="separate"/>
          </w:r>
          <w:r>
            <w:t>5</w:t>
          </w:r>
          <w:r>
            <w:fldChar w:fldCharType="end"/>
          </w:r>
          <w:r>
            <w:fldChar w:fldCharType="end"/>
          </w:r>
        </w:p>
        <w:p w14:paraId="0E2DA460">
          <w:pPr>
            <w:pStyle w:val="106"/>
            <w:tabs>
              <w:tab w:val="right" w:leader="dot" w:pos="8788"/>
            </w:tabs>
          </w:pPr>
          <w:r>
            <w:fldChar w:fldCharType="begin"/>
          </w:r>
          <w:r>
            <w:instrText xml:space="preserve"> HYPERLINK \l _Toc31114 </w:instrText>
          </w:r>
          <w:r>
            <w:fldChar w:fldCharType="separate"/>
          </w:r>
          <w:r>
            <w:rPr>
              <w:rFonts w:hint="eastAsia" w:ascii="黑体" w:hAnsi="黑体" w:eastAsia="黑体"/>
              <w:bCs/>
              <w:szCs w:val="32"/>
            </w:rPr>
            <w:t xml:space="preserve">第三章 </w:t>
          </w:r>
          <w:r>
            <w:rPr>
              <w:rFonts w:hint="eastAsia" w:ascii="黑体" w:hAnsi="黑体" w:eastAsia="黑体"/>
              <w:bCs/>
              <w:szCs w:val="32"/>
              <w:highlight w:val="none"/>
            </w:rPr>
            <w:t>机遇与挑战</w:t>
          </w:r>
          <w:r>
            <w:tab/>
          </w:r>
          <w:r>
            <w:fldChar w:fldCharType="begin"/>
          </w:r>
          <w:r>
            <w:instrText xml:space="preserve"> PAGEREF _Toc31114 \h </w:instrText>
          </w:r>
          <w:r>
            <w:fldChar w:fldCharType="separate"/>
          </w:r>
          <w:r>
            <w:t>8</w:t>
          </w:r>
          <w:r>
            <w:fldChar w:fldCharType="end"/>
          </w:r>
          <w:r>
            <w:fldChar w:fldCharType="end"/>
          </w:r>
        </w:p>
        <w:p w14:paraId="3BFCC624">
          <w:pPr>
            <w:pStyle w:val="105"/>
            <w:tabs>
              <w:tab w:val="right" w:leader="dot" w:pos="8788"/>
            </w:tabs>
            <w:rPr>
              <w:b/>
            </w:rPr>
          </w:pPr>
          <w:r>
            <w:rPr>
              <w:b/>
            </w:rPr>
            <w:fldChar w:fldCharType="begin"/>
          </w:r>
          <w:r>
            <w:rPr>
              <w:b/>
            </w:rPr>
            <w:instrText xml:space="preserve"> HYPERLINK \l _Toc22291 </w:instrText>
          </w:r>
          <w:r>
            <w:rPr>
              <w:b/>
            </w:rPr>
            <w:fldChar w:fldCharType="separate"/>
          </w:r>
          <w:r>
            <w:rPr>
              <w:rFonts w:hint="eastAsia"/>
              <w:b/>
              <w:bCs/>
              <w:szCs w:val="36"/>
              <w:highlight w:val="none"/>
            </w:rPr>
            <w:t>第二部分 战略与目标</w:t>
          </w:r>
          <w:r>
            <w:rPr>
              <w:b/>
            </w:rPr>
            <w:tab/>
          </w:r>
          <w:r>
            <w:rPr>
              <w:b/>
            </w:rPr>
            <w:fldChar w:fldCharType="begin"/>
          </w:r>
          <w:r>
            <w:rPr>
              <w:b/>
            </w:rPr>
            <w:instrText xml:space="preserve"> PAGEREF _Toc22291 \h </w:instrText>
          </w:r>
          <w:r>
            <w:rPr>
              <w:b/>
            </w:rPr>
            <w:fldChar w:fldCharType="separate"/>
          </w:r>
          <w:r>
            <w:rPr>
              <w:b/>
            </w:rPr>
            <w:t>11</w:t>
          </w:r>
          <w:r>
            <w:rPr>
              <w:b/>
            </w:rPr>
            <w:fldChar w:fldCharType="end"/>
          </w:r>
          <w:r>
            <w:rPr>
              <w:b/>
            </w:rPr>
            <w:fldChar w:fldCharType="end"/>
          </w:r>
        </w:p>
        <w:p w14:paraId="755EFAC0">
          <w:pPr>
            <w:pStyle w:val="106"/>
            <w:tabs>
              <w:tab w:val="right" w:leader="dot" w:pos="8788"/>
            </w:tabs>
          </w:pPr>
          <w:r>
            <w:fldChar w:fldCharType="begin"/>
          </w:r>
          <w:r>
            <w:instrText xml:space="preserve"> HYPERLINK \l _Toc9064 </w:instrText>
          </w:r>
          <w:r>
            <w:fldChar w:fldCharType="separate"/>
          </w:r>
          <w:r>
            <w:rPr>
              <w:rFonts w:hint="eastAsia" w:ascii="黑体" w:hAnsi="黑体" w:eastAsia="黑体" w:cs="黑体"/>
              <w:bCs/>
              <w:szCs w:val="32"/>
            </w:rPr>
            <w:t xml:space="preserve">第一章 </w:t>
          </w:r>
          <w:r>
            <w:rPr>
              <w:rFonts w:hint="eastAsia" w:ascii="黑体" w:hAnsi="黑体" w:eastAsia="黑体"/>
              <w:bCs/>
              <w:szCs w:val="32"/>
              <w:highlight w:val="none"/>
            </w:rPr>
            <w:t>思路目标</w:t>
          </w:r>
          <w:r>
            <w:tab/>
          </w:r>
          <w:r>
            <w:fldChar w:fldCharType="begin"/>
          </w:r>
          <w:r>
            <w:instrText xml:space="preserve"> PAGEREF _Toc9064 \h </w:instrText>
          </w:r>
          <w:r>
            <w:fldChar w:fldCharType="separate"/>
          </w:r>
          <w:r>
            <w:t>11</w:t>
          </w:r>
          <w:r>
            <w:fldChar w:fldCharType="end"/>
          </w:r>
          <w:r>
            <w:fldChar w:fldCharType="end"/>
          </w:r>
        </w:p>
        <w:p w14:paraId="1D2E1531">
          <w:pPr>
            <w:pStyle w:val="106"/>
            <w:tabs>
              <w:tab w:val="right" w:leader="dot" w:pos="8788"/>
            </w:tabs>
          </w:pPr>
          <w:r>
            <w:fldChar w:fldCharType="begin"/>
          </w:r>
          <w:r>
            <w:instrText xml:space="preserve"> HYPERLINK \l _Toc26381 </w:instrText>
          </w:r>
          <w:r>
            <w:fldChar w:fldCharType="separate"/>
          </w:r>
          <w:r>
            <w:rPr>
              <w:rFonts w:hint="eastAsia" w:ascii="黑体" w:hAnsi="黑体" w:eastAsia="黑体" w:cs="黑体"/>
              <w:bCs/>
              <w:szCs w:val="32"/>
            </w:rPr>
            <w:t xml:space="preserve">第二章 </w:t>
          </w:r>
          <w:r>
            <w:rPr>
              <w:rFonts w:hint="eastAsia" w:ascii="黑体" w:hAnsi="黑体" w:eastAsia="黑体"/>
              <w:bCs/>
              <w:szCs w:val="32"/>
              <w:highlight w:val="none"/>
            </w:rPr>
            <w:t>空间战略</w:t>
          </w:r>
          <w:r>
            <w:tab/>
          </w:r>
          <w:r>
            <w:fldChar w:fldCharType="begin"/>
          </w:r>
          <w:r>
            <w:instrText xml:space="preserve"> PAGEREF _Toc26381 \h </w:instrText>
          </w:r>
          <w:r>
            <w:fldChar w:fldCharType="separate"/>
          </w:r>
          <w:r>
            <w:t>16</w:t>
          </w:r>
          <w:r>
            <w:fldChar w:fldCharType="end"/>
          </w:r>
          <w:r>
            <w:fldChar w:fldCharType="end"/>
          </w:r>
        </w:p>
        <w:p w14:paraId="42BD376F">
          <w:pPr>
            <w:pStyle w:val="105"/>
            <w:tabs>
              <w:tab w:val="right" w:leader="dot" w:pos="8788"/>
            </w:tabs>
            <w:rPr>
              <w:b/>
            </w:rPr>
          </w:pPr>
          <w:r>
            <w:rPr>
              <w:b/>
            </w:rPr>
            <w:fldChar w:fldCharType="begin"/>
          </w:r>
          <w:r>
            <w:rPr>
              <w:b/>
            </w:rPr>
            <w:instrText xml:space="preserve"> HYPERLINK \l _Toc23526 </w:instrText>
          </w:r>
          <w:r>
            <w:rPr>
              <w:b/>
            </w:rPr>
            <w:fldChar w:fldCharType="separate"/>
          </w:r>
          <w:r>
            <w:rPr>
              <w:rFonts w:hint="eastAsia"/>
              <w:b/>
              <w:bCs/>
              <w:szCs w:val="36"/>
              <w:highlight w:val="none"/>
            </w:rPr>
            <w:t>第三部分 县域规划</w:t>
          </w:r>
          <w:r>
            <w:rPr>
              <w:b/>
            </w:rPr>
            <w:tab/>
          </w:r>
          <w:r>
            <w:rPr>
              <w:b/>
            </w:rPr>
            <w:fldChar w:fldCharType="begin"/>
          </w:r>
          <w:r>
            <w:rPr>
              <w:b/>
            </w:rPr>
            <w:instrText xml:space="preserve"> PAGEREF _Toc23526 \h </w:instrText>
          </w:r>
          <w:r>
            <w:rPr>
              <w:b/>
            </w:rPr>
            <w:fldChar w:fldCharType="separate"/>
          </w:r>
          <w:r>
            <w:rPr>
              <w:b/>
            </w:rPr>
            <w:t>20</w:t>
          </w:r>
          <w:r>
            <w:rPr>
              <w:b/>
            </w:rPr>
            <w:fldChar w:fldCharType="end"/>
          </w:r>
          <w:r>
            <w:rPr>
              <w:b/>
            </w:rPr>
            <w:fldChar w:fldCharType="end"/>
          </w:r>
        </w:p>
        <w:p w14:paraId="611F1520">
          <w:pPr>
            <w:pStyle w:val="106"/>
            <w:tabs>
              <w:tab w:val="right" w:leader="dot" w:pos="8788"/>
            </w:tabs>
          </w:pPr>
          <w:r>
            <w:fldChar w:fldCharType="begin"/>
          </w:r>
          <w:r>
            <w:instrText xml:space="preserve"> HYPERLINK \l _Toc20723 </w:instrText>
          </w:r>
          <w:r>
            <w:fldChar w:fldCharType="separate"/>
          </w:r>
          <w:r>
            <w:rPr>
              <w:rFonts w:hint="eastAsia" w:ascii="黑体" w:hAnsi="黑体" w:eastAsia="黑体" w:cs="黑体"/>
              <w:bCs w:val="0"/>
              <w:szCs w:val="32"/>
            </w:rPr>
            <w:t xml:space="preserve">第一章 </w:t>
          </w:r>
          <w:r>
            <w:rPr>
              <w:rFonts w:hint="eastAsia" w:ascii="黑体" w:hAnsi="黑体" w:eastAsia="黑体"/>
              <w:bCs/>
              <w:szCs w:val="32"/>
              <w:highlight w:val="none"/>
            </w:rPr>
            <w:t>国土空间总体格局</w:t>
          </w:r>
          <w:r>
            <w:tab/>
          </w:r>
          <w:r>
            <w:fldChar w:fldCharType="begin"/>
          </w:r>
          <w:r>
            <w:instrText xml:space="preserve"> PAGEREF _Toc20723 \h </w:instrText>
          </w:r>
          <w:r>
            <w:fldChar w:fldCharType="separate"/>
          </w:r>
          <w:r>
            <w:t>20</w:t>
          </w:r>
          <w:r>
            <w:fldChar w:fldCharType="end"/>
          </w:r>
          <w:r>
            <w:fldChar w:fldCharType="end"/>
          </w:r>
        </w:p>
        <w:p w14:paraId="03647C4C">
          <w:pPr>
            <w:pStyle w:val="106"/>
            <w:tabs>
              <w:tab w:val="right" w:leader="dot" w:pos="8788"/>
            </w:tabs>
          </w:pPr>
          <w:r>
            <w:fldChar w:fldCharType="begin"/>
          </w:r>
          <w:r>
            <w:instrText xml:space="preserve"> HYPERLINK \l _Toc32308 </w:instrText>
          </w:r>
          <w:r>
            <w:fldChar w:fldCharType="separate"/>
          </w:r>
          <w:r>
            <w:rPr>
              <w:rFonts w:hint="eastAsia" w:ascii="黑体" w:hAnsi="黑体" w:eastAsia="黑体" w:cs="黑体"/>
              <w:bCs w:val="0"/>
              <w:szCs w:val="32"/>
            </w:rPr>
            <w:t xml:space="preserve">第二章 </w:t>
          </w:r>
          <w:r>
            <w:rPr>
              <w:rFonts w:hint="eastAsia" w:ascii="黑体" w:hAnsi="黑体" w:eastAsia="黑体"/>
              <w:bCs/>
              <w:szCs w:val="32"/>
              <w:highlight w:val="none"/>
            </w:rPr>
            <w:t>农业空间</w:t>
          </w:r>
          <w:r>
            <w:tab/>
          </w:r>
          <w:r>
            <w:fldChar w:fldCharType="begin"/>
          </w:r>
          <w:r>
            <w:instrText xml:space="preserve"> PAGEREF _Toc32308 \h </w:instrText>
          </w:r>
          <w:r>
            <w:fldChar w:fldCharType="separate"/>
          </w:r>
          <w:r>
            <w:t>24</w:t>
          </w:r>
          <w:r>
            <w:fldChar w:fldCharType="end"/>
          </w:r>
          <w:r>
            <w:fldChar w:fldCharType="end"/>
          </w:r>
        </w:p>
        <w:p w14:paraId="107D74E4">
          <w:pPr>
            <w:pStyle w:val="106"/>
            <w:tabs>
              <w:tab w:val="right" w:leader="dot" w:pos="8788"/>
            </w:tabs>
          </w:pPr>
          <w:r>
            <w:fldChar w:fldCharType="begin"/>
          </w:r>
          <w:r>
            <w:instrText xml:space="preserve"> HYPERLINK \l _Toc31657 </w:instrText>
          </w:r>
          <w:r>
            <w:fldChar w:fldCharType="separate"/>
          </w:r>
          <w:r>
            <w:rPr>
              <w:rFonts w:hint="eastAsia" w:ascii="黑体" w:hAnsi="黑体" w:eastAsia="黑体" w:cs="黑体"/>
              <w:bCs w:val="0"/>
              <w:szCs w:val="32"/>
            </w:rPr>
            <w:t xml:space="preserve">第三章 </w:t>
          </w:r>
          <w:r>
            <w:rPr>
              <w:rFonts w:hint="eastAsia" w:ascii="黑体" w:hAnsi="黑体" w:eastAsia="黑体"/>
              <w:bCs/>
              <w:szCs w:val="32"/>
              <w:highlight w:val="none"/>
            </w:rPr>
            <w:t>生态空间</w:t>
          </w:r>
          <w:r>
            <w:tab/>
          </w:r>
          <w:r>
            <w:fldChar w:fldCharType="begin"/>
          </w:r>
          <w:r>
            <w:instrText xml:space="preserve"> PAGEREF _Toc31657 \h </w:instrText>
          </w:r>
          <w:r>
            <w:fldChar w:fldCharType="separate"/>
          </w:r>
          <w:r>
            <w:t>31</w:t>
          </w:r>
          <w:r>
            <w:fldChar w:fldCharType="end"/>
          </w:r>
          <w:r>
            <w:fldChar w:fldCharType="end"/>
          </w:r>
        </w:p>
        <w:p w14:paraId="7F5C208A">
          <w:pPr>
            <w:pStyle w:val="106"/>
            <w:tabs>
              <w:tab w:val="right" w:leader="dot" w:pos="8788"/>
            </w:tabs>
          </w:pPr>
          <w:r>
            <w:fldChar w:fldCharType="begin"/>
          </w:r>
          <w:r>
            <w:instrText xml:space="preserve"> HYPERLINK \l _Toc13393 </w:instrText>
          </w:r>
          <w:r>
            <w:fldChar w:fldCharType="separate"/>
          </w:r>
          <w:r>
            <w:rPr>
              <w:rFonts w:hint="eastAsia" w:ascii="黑体" w:hAnsi="黑体" w:eastAsia="黑体" w:cs="黑体"/>
              <w:bCs w:val="0"/>
              <w:szCs w:val="32"/>
            </w:rPr>
            <w:t xml:space="preserve">第四章 </w:t>
          </w:r>
          <w:r>
            <w:rPr>
              <w:rFonts w:hint="eastAsia" w:ascii="黑体" w:hAnsi="黑体" w:eastAsia="黑体"/>
              <w:bCs/>
              <w:szCs w:val="32"/>
              <w:highlight w:val="none"/>
            </w:rPr>
            <w:t>城镇空间</w:t>
          </w:r>
          <w:r>
            <w:tab/>
          </w:r>
          <w:r>
            <w:fldChar w:fldCharType="begin"/>
          </w:r>
          <w:r>
            <w:instrText xml:space="preserve"> PAGEREF _Toc13393 \h </w:instrText>
          </w:r>
          <w:r>
            <w:fldChar w:fldCharType="separate"/>
          </w:r>
          <w:r>
            <w:t>36</w:t>
          </w:r>
          <w:r>
            <w:fldChar w:fldCharType="end"/>
          </w:r>
          <w:r>
            <w:fldChar w:fldCharType="end"/>
          </w:r>
        </w:p>
        <w:p w14:paraId="7F759FC1">
          <w:pPr>
            <w:pStyle w:val="106"/>
            <w:tabs>
              <w:tab w:val="right" w:leader="dot" w:pos="8788"/>
            </w:tabs>
          </w:pPr>
          <w:r>
            <w:fldChar w:fldCharType="begin"/>
          </w:r>
          <w:r>
            <w:instrText xml:space="preserve"> HYPERLINK \l _Toc30003 </w:instrText>
          </w:r>
          <w:r>
            <w:fldChar w:fldCharType="separate"/>
          </w:r>
          <w:r>
            <w:rPr>
              <w:rFonts w:hint="eastAsia" w:ascii="黑体" w:hAnsi="黑体" w:eastAsia="黑体" w:cs="黑体"/>
              <w:bCs w:val="0"/>
              <w:szCs w:val="32"/>
            </w:rPr>
            <w:t xml:space="preserve">第五章 </w:t>
          </w:r>
          <w:r>
            <w:rPr>
              <w:rFonts w:hint="eastAsia" w:ascii="黑体" w:hAnsi="黑体" w:eastAsia="黑体"/>
              <w:bCs/>
              <w:szCs w:val="32"/>
              <w:highlight w:val="none"/>
            </w:rPr>
            <w:t>安全底线</w:t>
          </w:r>
          <w:r>
            <w:tab/>
          </w:r>
          <w:r>
            <w:fldChar w:fldCharType="begin"/>
          </w:r>
          <w:r>
            <w:instrText xml:space="preserve"> PAGEREF _Toc30003 \h </w:instrText>
          </w:r>
          <w:r>
            <w:fldChar w:fldCharType="separate"/>
          </w:r>
          <w:r>
            <w:t>43</w:t>
          </w:r>
          <w:r>
            <w:fldChar w:fldCharType="end"/>
          </w:r>
          <w:r>
            <w:fldChar w:fldCharType="end"/>
          </w:r>
        </w:p>
        <w:p w14:paraId="206B47AD">
          <w:pPr>
            <w:pStyle w:val="106"/>
            <w:tabs>
              <w:tab w:val="right" w:leader="dot" w:pos="8788"/>
            </w:tabs>
          </w:pPr>
          <w:r>
            <w:fldChar w:fldCharType="begin"/>
          </w:r>
          <w:r>
            <w:instrText xml:space="preserve"> HYPERLINK \l _Toc14377 </w:instrText>
          </w:r>
          <w:r>
            <w:fldChar w:fldCharType="separate"/>
          </w:r>
          <w:r>
            <w:rPr>
              <w:rFonts w:hint="eastAsia" w:ascii="黑体" w:hAnsi="黑体" w:eastAsia="黑体" w:cs="黑体"/>
              <w:bCs w:val="0"/>
              <w:szCs w:val="32"/>
            </w:rPr>
            <w:t xml:space="preserve">第六章 </w:t>
          </w:r>
          <w:r>
            <w:rPr>
              <w:rFonts w:hint="eastAsia" w:ascii="黑体" w:hAnsi="黑体" w:eastAsia="黑体"/>
              <w:bCs/>
              <w:szCs w:val="32"/>
              <w:highlight w:val="none"/>
            </w:rPr>
            <w:t>支撑体系</w:t>
          </w:r>
          <w:r>
            <w:tab/>
          </w:r>
          <w:r>
            <w:fldChar w:fldCharType="begin"/>
          </w:r>
          <w:r>
            <w:instrText xml:space="preserve"> PAGEREF _Toc14377 \h </w:instrText>
          </w:r>
          <w:r>
            <w:fldChar w:fldCharType="separate"/>
          </w:r>
          <w:r>
            <w:t>54</w:t>
          </w:r>
          <w:r>
            <w:fldChar w:fldCharType="end"/>
          </w:r>
          <w:r>
            <w:fldChar w:fldCharType="end"/>
          </w:r>
        </w:p>
        <w:p w14:paraId="74CE3833">
          <w:pPr>
            <w:pStyle w:val="106"/>
            <w:tabs>
              <w:tab w:val="right" w:leader="dot" w:pos="8788"/>
            </w:tabs>
          </w:pPr>
          <w:r>
            <w:fldChar w:fldCharType="begin"/>
          </w:r>
          <w:r>
            <w:instrText xml:space="preserve"> HYPERLINK \l _Toc19425 </w:instrText>
          </w:r>
          <w:r>
            <w:fldChar w:fldCharType="separate"/>
          </w:r>
          <w:r>
            <w:rPr>
              <w:rFonts w:hint="eastAsia" w:ascii="黑体" w:hAnsi="黑体" w:eastAsia="黑体" w:cs="黑体"/>
              <w:bCs w:val="0"/>
              <w:szCs w:val="32"/>
            </w:rPr>
            <w:t xml:space="preserve">第七章 </w:t>
          </w:r>
          <w:r>
            <w:rPr>
              <w:rFonts w:hint="eastAsia" w:ascii="黑体" w:hAnsi="黑体" w:eastAsia="黑体"/>
              <w:bCs/>
              <w:szCs w:val="32"/>
              <w:highlight w:val="none"/>
            </w:rPr>
            <w:t>魅力空间</w:t>
          </w:r>
          <w:r>
            <w:tab/>
          </w:r>
          <w:r>
            <w:fldChar w:fldCharType="begin"/>
          </w:r>
          <w:r>
            <w:instrText xml:space="preserve"> PAGEREF _Toc19425 \h </w:instrText>
          </w:r>
          <w:r>
            <w:fldChar w:fldCharType="separate"/>
          </w:r>
          <w:r>
            <w:t>62</w:t>
          </w:r>
          <w:r>
            <w:fldChar w:fldCharType="end"/>
          </w:r>
          <w:r>
            <w:fldChar w:fldCharType="end"/>
          </w:r>
        </w:p>
        <w:p w14:paraId="2368B71D">
          <w:pPr>
            <w:pStyle w:val="106"/>
            <w:tabs>
              <w:tab w:val="right" w:leader="dot" w:pos="8788"/>
            </w:tabs>
          </w:pPr>
          <w:r>
            <w:fldChar w:fldCharType="begin"/>
          </w:r>
          <w:r>
            <w:instrText xml:space="preserve"> HYPERLINK \l _Toc29340 </w:instrText>
          </w:r>
          <w:r>
            <w:fldChar w:fldCharType="separate"/>
          </w:r>
          <w:r>
            <w:rPr>
              <w:rFonts w:hint="eastAsia" w:ascii="黑体" w:hAnsi="黑体" w:eastAsia="黑体" w:cs="黑体"/>
              <w:bCs w:val="0"/>
              <w:szCs w:val="32"/>
            </w:rPr>
            <w:t xml:space="preserve">第八章 </w:t>
          </w:r>
          <w:r>
            <w:rPr>
              <w:rFonts w:hint="eastAsia" w:ascii="黑体" w:hAnsi="黑体" w:eastAsia="黑体"/>
              <w:bCs/>
              <w:szCs w:val="32"/>
              <w:highlight w:val="none"/>
            </w:rPr>
            <w:t>区域协调</w:t>
          </w:r>
          <w:r>
            <w:tab/>
          </w:r>
          <w:r>
            <w:fldChar w:fldCharType="begin"/>
          </w:r>
          <w:r>
            <w:instrText xml:space="preserve"> PAGEREF _Toc29340 \h </w:instrText>
          </w:r>
          <w:r>
            <w:fldChar w:fldCharType="separate"/>
          </w:r>
          <w:r>
            <w:t>67</w:t>
          </w:r>
          <w:r>
            <w:fldChar w:fldCharType="end"/>
          </w:r>
          <w:r>
            <w:fldChar w:fldCharType="end"/>
          </w:r>
        </w:p>
        <w:p w14:paraId="1A66F639">
          <w:pPr>
            <w:pStyle w:val="105"/>
            <w:tabs>
              <w:tab w:val="right" w:leader="dot" w:pos="8788"/>
            </w:tabs>
            <w:rPr>
              <w:b/>
            </w:rPr>
          </w:pPr>
          <w:r>
            <w:rPr>
              <w:b/>
            </w:rPr>
            <w:fldChar w:fldCharType="begin"/>
          </w:r>
          <w:r>
            <w:rPr>
              <w:b/>
            </w:rPr>
            <w:instrText xml:space="preserve"> HYPERLINK \l _Toc12728 </w:instrText>
          </w:r>
          <w:r>
            <w:rPr>
              <w:b/>
            </w:rPr>
            <w:fldChar w:fldCharType="separate"/>
          </w:r>
          <w:r>
            <w:rPr>
              <w:rFonts w:hint="eastAsia"/>
              <w:b/>
              <w:bCs/>
              <w:szCs w:val="36"/>
              <w:highlight w:val="none"/>
            </w:rPr>
            <w:t>第四部分 中心城区规划</w:t>
          </w:r>
          <w:r>
            <w:rPr>
              <w:b/>
            </w:rPr>
            <w:tab/>
          </w:r>
          <w:r>
            <w:rPr>
              <w:b/>
            </w:rPr>
            <w:fldChar w:fldCharType="begin"/>
          </w:r>
          <w:r>
            <w:rPr>
              <w:b/>
            </w:rPr>
            <w:instrText xml:space="preserve"> PAGEREF _Toc12728 \h </w:instrText>
          </w:r>
          <w:r>
            <w:rPr>
              <w:b/>
            </w:rPr>
            <w:fldChar w:fldCharType="separate"/>
          </w:r>
          <w:r>
            <w:rPr>
              <w:b/>
            </w:rPr>
            <w:t>71</w:t>
          </w:r>
          <w:r>
            <w:rPr>
              <w:b/>
            </w:rPr>
            <w:fldChar w:fldCharType="end"/>
          </w:r>
          <w:r>
            <w:rPr>
              <w:b/>
            </w:rPr>
            <w:fldChar w:fldCharType="end"/>
          </w:r>
        </w:p>
        <w:p w14:paraId="78D8A0AC">
          <w:pPr>
            <w:pStyle w:val="106"/>
            <w:tabs>
              <w:tab w:val="right" w:leader="dot" w:pos="8788"/>
            </w:tabs>
          </w:pPr>
          <w:r>
            <w:fldChar w:fldCharType="begin"/>
          </w:r>
          <w:r>
            <w:instrText xml:space="preserve"> HYPERLINK \l _Toc4016 </w:instrText>
          </w:r>
          <w:r>
            <w:fldChar w:fldCharType="separate"/>
          </w:r>
          <w:r>
            <w:rPr>
              <w:rFonts w:hint="eastAsia" w:ascii="黑体" w:hAnsi="黑体" w:eastAsia="黑体" w:cstheme="majorBidi"/>
              <w:bCs/>
              <w:szCs w:val="32"/>
            </w:rPr>
            <w:t xml:space="preserve">第一章 </w:t>
          </w:r>
          <w:r>
            <w:rPr>
              <w:rFonts w:hint="eastAsia" w:ascii="黑体" w:hAnsi="黑体" w:eastAsia="黑体" w:cstheme="majorBidi"/>
              <w:bCs/>
              <w:szCs w:val="32"/>
              <w:highlight w:val="none"/>
            </w:rPr>
            <w:t>城市规模</w:t>
          </w:r>
          <w:r>
            <w:tab/>
          </w:r>
          <w:r>
            <w:fldChar w:fldCharType="begin"/>
          </w:r>
          <w:r>
            <w:instrText xml:space="preserve"> PAGEREF _Toc4016 \h </w:instrText>
          </w:r>
          <w:r>
            <w:fldChar w:fldCharType="separate"/>
          </w:r>
          <w:r>
            <w:t>71</w:t>
          </w:r>
          <w:r>
            <w:fldChar w:fldCharType="end"/>
          </w:r>
          <w:r>
            <w:fldChar w:fldCharType="end"/>
          </w:r>
        </w:p>
        <w:p w14:paraId="47C60EC8">
          <w:pPr>
            <w:pStyle w:val="106"/>
            <w:tabs>
              <w:tab w:val="right" w:leader="dot" w:pos="8788"/>
            </w:tabs>
          </w:pPr>
          <w:r>
            <w:fldChar w:fldCharType="begin"/>
          </w:r>
          <w:r>
            <w:instrText xml:space="preserve"> HYPERLINK \l _Toc17487 </w:instrText>
          </w:r>
          <w:r>
            <w:fldChar w:fldCharType="separate"/>
          </w:r>
          <w:r>
            <w:rPr>
              <w:rFonts w:hint="eastAsia" w:ascii="黑体" w:hAnsi="黑体" w:eastAsia="黑体" w:cstheme="majorBidi"/>
              <w:bCs/>
              <w:szCs w:val="32"/>
            </w:rPr>
            <w:t xml:space="preserve">第二章 </w:t>
          </w:r>
          <w:r>
            <w:rPr>
              <w:rFonts w:hint="eastAsia" w:ascii="黑体" w:hAnsi="黑体" w:eastAsia="黑体" w:cstheme="majorBidi"/>
              <w:bCs/>
              <w:szCs w:val="32"/>
              <w:highlight w:val="none"/>
            </w:rPr>
            <w:t>空间结构</w:t>
          </w:r>
          <w:r>
            <w:tab/>
          </w:r>
          <w:r>
            <w:fldChar w:fldCharType="begin"/>
          </w:r>
          <w:r>
            <w:instrText xml:space="preserve"> PAGEREF _Toc17487 \h </w:instrText>
          </w:r>
          <w:r>
            <w:fldChar w:fldCharType="separate"/>
          </w:r>
          <w:r>
            <w:t>71</w:t>
          </w:r>
          <w:r>
            <w:fldChar w:fldCharType="end"/>
          </w:r>
          <w:r>
            <w:fldChar w:fldCharType="end"/>
          </w:r>
        </w:p>
        <w:p w14:paraId="4833F3F2">
          <w:pPr>
            <w:pStyle w:val="106"/>
            <w:tabs>
              <w:tab w:val="right" w:leader="dot" w:pos="8788"/>
            </w:tabs>
          </w:pPr>
          <w:r>
            <w:fldChar w:fldCharType="begin"/>
          </w:r>
          <w:r>
            <w:instrText xml:space="preserve"> HYPERLINK \l _Toc6538 </w:instrText>
          </w:r>
          <w:r>
            <w:fldChar w:fldCharType="separate"/>
          </w:r>
          <w:r>
            <w:rPr>
              <w:rFonts w:hint="eastAsia" w:ascii="黑体" w:hAnsi="黑体" w:eastAsia="黑体" w:cstheme="majorBidi"/>
              <w:bCs/>
              <w:szCs w:val="32"/>
            </w:rPr>
            <w:t xml:space="preserve">第三章 </w:t>
          </w:r>
          <w:r>
            <w:rPr>
              <w:rFonts w:hint="eastAsia" w:ascii="黑体" w:hAnsi="黑体" w:eastAsia="黑体" w:cstheme="majorBidi"/>
              <w:bCs/>
              <w:szCs w:val="32"/>
              <w:highlight w:val="none"/>
            </w:rPr>
            <w:t>用地布局</w:t>
          </w:r>
          <w:r>
            <w:tab/>
          </w:r>
          <w:r>
            <w:fldChar w:fldCharType="begin"/>
          </w:r>
          <w:r>
            <w:instrText xml:space="preserve"> PAGEREF _Toc6538 \h </w:instrText>
          </w:r>
          <w:r>
            <w:fldChar w:fldCharType="separate"/>
          </w:r>
          <w:r>
            <w:t>72</w:t>
          </w:r>
          <w:r>
            <w:fldChar w:fldCharType="end"/>
          </w:r>
          <w:r>
            <w:fldChar w:fldCharType="end"/>
          </w:r>
        </w:p>
        <w:p w14:paraId="6B38D22E">
          <w:pPr>
            <w:pStyle w:val="106"/>
            <w:tabs>
              <w:tab w:val="right" w:leader="dot" w:pos="8788"/>
            </w:tabs>
          </w:pPr>
          <w:r>
            <w:fldChar w:fldCharType="begin"/>
          </w:r>
          <w:r>
            <w:instrText xml:space="preserve"> HYPERLINK \l _Toc25728 </w:instrText>
          </w:r>
          <w:r>
            <w:fldChar w:fldCharType="separate"/>
          </w:r>
          <w:r>
            <w:rPr>
              <w:rFonts w:hint="eastAsia" w:ascii="黑体" w:hAnsi="黑体" w:eastAsia="黑体" w:cstheme="majorBidi"/>
              <w:bCs/>
              <w:szCs w:val="32"/>
            </w:rPr>
            <w:t xml:space="preserve">第四章 </w:t>
          </w:r>
          <w:r>
            <w:rPr>
              <w:rFonts w:hint="eastAsia" w:ascii="黑体" w:hAnsi="黑体" w:eastAsia="黑体" w:cstheme="majorBidi"/>
              <w:bCs/>
              <w:szCs w:val="32"/>
              <w:highlight w:val="none"/>
            </w:rPr>
            <w:t>绿地与开敞空间</w:t>
          </w:r>
          <w:r>
            <w:tab/>
          </w:r>
          <w:r>
            <w:fldChar w:fldCharType="begin"/>
          </w:r>
          <w:r>
            <w:instrText xml:space="preserve"> PAGEREF _Toc25728 \h </w:instrText>
          </w:r>
          <w:r>
            <w:fldChar w:fldCharType="separate"/>
          </w:r>
          <w:r>
            <w:t>77</w:t>
          </w:r>
          <w:r>
            <w:fldChar w:fldCharType="end"/>
          </w:r>
          <w:r>
            <w:fldChar w:fldCharType="end"/>
          </w:r>
        </w:p>
        <w:p w14:paraId="0B6861E2">
          <w:pPr>
            <w:pStyle w:val="106"/>
            <w:tabs>
              <w:tab w:val="right" w:leader="dot" w:pos="8788"/>
            </w:tabs>
          </w:pPr>
          <w:r>
            <w:fldChar w:fldCharType="begin"/>
          </w:r>
          <w:r>
            <w:instrText xml:space="preserve"> HYPERLINK \l _Toc30680 </w:instrText>
          </w:r>
          <w:r>
            <w:fldChar w:fldCharType="separate"/>
          </w:r>
          <w:r>
            <w:rPr>
              <w:rFonts w:hint="eastAsia" w:ascii="黑体" w:hAnsi="黑体" w:eastAsia="黑体" w:cstheme="majorBidi"/>
              <w:bCs/>
              <w:szCs w:val="32"/>
            </w:rPr>
            <w:t xml:space="preserve">第五章 </w:t>
          </w:r>
          <w:r>
            <w:rPr>
              <w:rFonts w:hint="eastAsia" w:ascii="黑体" w:hAnsi="黑体" w:eastAsia="黑体" w:cstheme="majorBidi"/>
              <w:bCs/>
              <w:szCs w:val="32"/>
              <w:highlight w:val="none"/>
            </w:rPr>
            <w:t>景观风貌</w:t>
          </w:r>
          <w:r>
            <w:tab/>
          </w:r>
          <w:r>
            <w:fldChar w:fldCharType="begin"/>
          </w:r>
          <w:r>
            <w:instrText xml:space="preserve"> PAGEREF _Toc30680 \h </w:instrText>
          </w:r>
          <w:r>
            <w:fldChar w:fldCharType="separate"/>
          </w:r>
          <w:r>
            <w:t>80</w:t>
          </w:r>
          <w:r>
            <w:fldChar w:fldCharType="end"/>
          </w:r>
          <w:r>
            <w:fldChar w:fldCharType="end"/>
          </w:r>
        </w:p>
        <w:p w14:paraId="56134FC3">
          <w:pPr>
            <w:pStyle w:val="106"/>
            <w:tabs>
              <w:tab w:val="right" w:leader="dot" w:pos="8788"/>
            </w:tabs>
          </w:pPr>
          <w:r>
            <w:fldChar w:fldCharType="begin"/>
          </w:r>
          <w:r>
            <w:instrText xml:space="preserve"> HYPERLINK \l _Toc9363 </w:instrText>
          </w:r>
          <w:r>
            <w:fldChar w:fldCharType="separate"/>
          </w:r>
          <w:r>
            <w:rPr>
              <w:rFonts w:hint="eastAsia" w:ascii="黑体" w:hAnsi="黑体" w:eastAsia="黑体" w:cstheme="majorBidi"/>
              <w:bCs/>
              <w:szCs w:val="32"/>
            </w:rPr>
            <w:t xml:space="preserve">第六章 </w:t>
          </w:r>
          <w:r>
            <w:rPr>
              <w:rFonts w:hint="eastAsia" w:ascii="黑体" w:hAnsi="黑体" w:eastAsia="黑体" w:cstheme="majorBidi"/>
              <w:bCs/>
              <w:szCs w:val="32"/>
              <w:highlight w:val="none"/>
            </w:rPr>
            <w:t>地下空间</w:t>
          </w:r>
          <w:r>
            <w:tab/>
          </w:r>
          <w:r>
            <w:fldChar w:fldCharType="begin"/>
          </w:r>
          <w:r>
            <w:instrText xml:space="preserve"> PAGEREF _Toc9363 \h </w:instrText>
          </w:r>
          <w:r>
            <w:fldChar w:fldCharType="separate"/>
          </w:r>
          <w:r>
            <w:t>82</w:t>
          </w:r>
          <w:r>
            <w:fldChar w:fldCharType="end"/>
          </w:r>
          <w:r>
            <w:fldChar w:fldCharType="end"/>
          </w:r>
        </w:p>
        <w:p w14:paraId="0C4BE2C1">
          <w:pPr>
            <w:pStyle w:val="106"/>
            <w:tabs>
              <w:tab w:val="right" w:leader="dot" w:pos="8788"/>
            </w:tabs>
          </w:pPr>
          <w:r>
            <w:fldChar w:fldCharType="begin"/>
          </w:r>
          <w:r>
            <w:instrText xml:space="preserve"> HYPERLINK \l _Toc24525 </w:instrText>
          </w:r>
          <w:r>
            <w:fldChar w:fldCharType="separate"/>
          </w:r>
          <w:r>
            <w:rPr>
              <w:rFonts w:hint="eastAsia" w:ascii="黑体" w:hAnsi="黑体" w:eastAsia="黑体" w:cstheme="majorBidi"/>
              <w:bCs/>
              <w:szCs w:val="32"/>
            </w:rPr>
            <w:t xml:space="preserve">第七章 </w:t>
          </w:r>
          <w:r>
            <w:rPr>
              <w:rFonts w:hint="eastAsia" w:ascii="黑体" w:hAnsi="黑体" w:eastAsia="黑体" w:cstheme="majorBidi"/>
              <w:bCs/>
              <w:szCs w:val="32"/>
              <w:highlight w:val="none"/>
            </w:rPr>
            <w:t>交通体系</w:t>
          </w:r>
          <w:r>
            <w:tab/>
          </w:r>
          <w:r>
            <w:fldChar w:fldCharType="begin"/>
          </w:r>
          <w:r>
            <w:instrText xml:space="preserve"> PAGEREF _Toc24525 \h </w:instrText>
          </w:r>
          <w:r>
            <w:fldChar w:fldCharType="separate"/>
          </w:r>
          <w:r>
            <w:t>83</w:t>
          </w:r>
          <w:r>
            <w:fldChar w:fldCharType="end"/>
          </w:r>
          <w:r>
            <w:fldChar w:fldCharType="end"/>
          </w:r>
        </w:p>
        <w:p w14:paraId="215A3DC2">
          <w:pPr>
            <w:pStyle w:val="106"/>
            <w:tabs>
              <w:tab w:val="right" w:leader="dot" w:pos="8788"/>
            </w:tabs>
          </w:pPr>
          <w:r>
            <w:fldChar w:fldCharType="begin"/>
          </w:r>
          <w:r>
            <w:instrText xml:space="preserve"> HYPERLINK \l _Toc18638 </w:instrText>
          </w:r>
          <w:r>
            <w:fldChar w:fldCharType="separate"/>
          </w:r>
          <w:r>
            <w:rPr>
              <w:rFonts w:hint="eastAsia" w:ascii="黑体" w:hAnsi="黑体" w:eastAsia="黑体" w:cstheme="majorBidi"/>
              <w:bCs/>
              <w:szCs w:val="32"/>
            </w:rPr>
            <w:t xml:space="preserve">第八章 </w:t>
          </w:r>
          <w:r>
            <w:rPr>
              <w:rFonts w:hint="eastAsia" w:ascii="黑体" w:hAnsi="黑体" w:eastAsia="黑体" w:cstheme="majorBidi"/>
              <w:bCs/>
              <w:szCs w:val="32"/>
              <w:highlight w:val="none"/>
            </w:rPr>
            <w:t>市政设施</w:t>
          </w:r>
          <w:r>
            <w:tab/>
          </w:r>
          <w:r>
            <w:fldChar w:fldCharType="begin"/>
          </w:r>
          <w:r>
            <w:instrText xml:space="preserve"> PAGEREF _Toc18638 \h </w:instrText>
          </w:r>
          <w:r>
            <w:fldChar w:fldCharType="separate"/>
          </w:r>
          <w:r>
            <w:t>85</w:t>
          </w:r>
          <w:r>
            <w:fldChar w:fldCharType="end"/>
          </w:r>
          <w:r>
            <w:fldChar w:fldCharType="end"/>
          </w:r>
        </w:p>
        <w:p w14:paraId="50975486">
          <w:pPr>
            <w:pStyle w:val="106"/>
            <w:tabs>
              <w:tab w:val="right" w:leader="dot" w:pos="8788"/>
            </w:tabs>
          </w:pPr>
          <w:r>
            <w:fldChar w:fldCharType="begin"/>
          </w:r>
          <w:r>
            <w:instrText xml:space="preserve"> HYPERLINK \l _Toc24813 </w:instrText>
          </w:r>
          <w:r>
            <w:fldChar w:fldCharType="separate"/>
          </w:r>
          <w:r>
            <w:rPr>
              <w:rFonts w:hint="eastAsia" w:ascii="黑体" w:hAnsi="黑体" w:eastAsia="黑体" w:cstheme="majorBidi"/>
              <w:bCs/>
              <w:szCs w:val="32"/>
            </w:rPr>
            <w:t xml:space="preserve">第九章 </w:t>
          </w:r>
          <w:r>
            <w:rPr>
              <w:rFonts w:hint="eastAsia" w:ascii="黑体" w:hAnsi="黑体" w:eastAsia="黑体" w:cstheme="majorBidi"/>
              <w:bCs/>
              <w:szCs w:val="32"/>
              <w:highlight w:val="none"/>
            </w:rPr>
            <w:t>综合防灾</w:t>
          </w:r>
          <w:r>
            <w:tab/>
          </w:r>
          <w:r>
            <w:fldChar w:fldCharType="begin"/>
          </w:r>
          <w:r>
            <w:instrText xml:space="preserve"> PAGEREF _Toc24813 \h </w:instrText>
          </w:r>
          <w:r>
            <w:fldChar w:fldCharType="separate"/>
          </w:r>
          <w:r>
            <w:t>90</w:t>
          </w:r>
          <w:r>
            <w:fldChar w:fldCharType="end"/>
          </w:r>
          <w:r>
            <w:fldChar w:fldCharType="end"/>
          </w:r>
        </w:p>
        <w:p w14:paraId="025D3318">
          <w:pPr>
            <w:pStyle w:val="106"/>
            <w:tabs>
              <w:tab w:val="right" w:leader="dot" w:pos="8788"/>
            </w:tabs>
          </w:pPr>
          <w:r>
            <w:fldChar w:fldCharType="begin"/>
          </w:r>
          <w:r>
            <w:instrText xml:space="preserve"> HYPERLINK \l _Toc30104 </w:instrText>
          </w:r>
          <w:r>
            <w:fldChar w:fldCharType="separate"/>
          </w:r>
          <w:r>
            <w:rPr>
              <w:rFonts w:hint="eastAsia" w:ascii="黑体" w:hAnsi="黑体" w:eastAsia="黑体" w:cstheme="majorBidi"/>
              <w:bCs/>
              <w:szCs w:val="32"/>
            </w:rPr>
            <w:t xml:space="preserve">第十章 </w:t>
          </w:r>
          <w:r>
            <w:rPr>
              <w:rFonts w:hint="eastAsia" w:ascii="黑体" w:hAnsi="黑体" w:eastAsia="黑体" w:cstheme="majorBidi"/>
              <w:bCs/>
              <w:szCs w:val="32"/>
              <w:highlight w:val="none"/>
            </w:rPr>
            <w:t>“四线”管控</w:t>
          </w:r>
          <w:r>
            <w:tab/>
          </w:r>
          <w:r>
            <w:fldChar w:fldCharType="begin"/>
          </w:r>
          <w:r>
            <w:instrText xml:space="preserve"> PAGEREF _Toc30104 \h </w:instrText>
          </w:r>
          <w:r>
            <w:fldChar w:fldCharType="separate"/>
          </w:r>
          <w:r>
            <w:t>94</w:t>
          </w:r>
          <w:r>
            <w:fldChar w:fldCharType="end"/>
          </w:r>
          <w:r>
            <w:fldChar w:fldCharType="end"/>
          </w:r>
        </w:p>
        <w:p w14:paraId="1336FDD9">
          <w:pPr>
            <w:pStyle w:val="105"/>
            <w:tabs>
              <w:tab w:val="right" w:leader="dot" w:pos="8788"/>
            </w:tabs>
            <w:rPr>
              <w:b/>
            </w:rPr>
          </w:pPr>
          <w:r>
            <w:rPr>
              <w:b/>
            </w:rPr>
            <w:fldChar w:fldCharType="begin"/>
          </w:r>
          <w:r>
            <w:rPr>
              <w:b/>
            </w:rPr>
            <w:instrText xml:space="preserve"> HYPERLINK \l _Toc23857 </w:instrText>
          </w:r>
          <w:r>
            <w:rPr>
              <w:b/>
            </w:rPr>
            <w:fldChar w:fldCharType="separate"/>
          </w:r>
          <w:r>
            <w:rPr>
              <w:rFonts w:hint="eastAsia"/>
              <w:b/>
              <w:bCs/>
              <w:szCs w:val="36"/>
              <w:highlight w:val="none"/>
            </w:rPr>
            <w:t>第五部分 实施保障</w:t>
          </w:r>
          <w:r>
            <w:rPr>
              <w:b/>
            </w:rPr>
            <w:tab/>
          </w:r>
          <w:r>
            <w:rPr>
              <w:b/>
            </w:rPr>
            <w:fldChar w:fldCharType="begin"/>
          </w:r>
          <w:r>
            <w:rPr>
              <w:b/>
            </w:rPr>
            <w:instrText xml:space="preserve"> PAGEREF _Toc23857 \h </w:instrText>
          </w:r>
          <w:r>
            <w:rPr>
              <w:b/>
            </w:rPr>
            <w:fldChar w:fldCharType="separate"/>
          </w:r>
          <w:r>
            <w:rPr>
              <w:b/>
            </w:rPr>
            <w:t>96</w:t>
          </w:r>
          <w:r>
            <w:rPr>
              <w:b/>
            </w:rPr>
            <w:fldChar w:fldCharType="end"/>
          </w:r>
          <w:r>
            <w:rPr>
              <w:b/>
            </w:rPr>
            <w:fldChar w:fldCharType="end"/>
          </w:r>
        </w:p>
        <w:p w14:paraId="7122C6CE">
          <w:pPr>
            <w:pStyle w:val="106"/>
            <w:tabs>
              <w:tab w:val="right" w:leader="dot" w:pos="8788"/>
            </w:tabs>
          </w:pPr>
          <w:r>
            <w:fldChar w:fldCharType="begin"/>
          </w:r>
          <w:r>
            <w:instrText xml:space="preserve"> HYPERLINK \l _Toc16264 </w:instrText>
          </w:r>
          <w:r>
            <w:fldChar w:fldCharType="separate"/>
          </w:r>
          <w:r>
            <w:rPr>
              <w:rFonts w:hint="eastAsia" w:ascii="黑体" w:hAnsi="黑体" w:eastAsia="黑体"/>
              <w:bCs/>
              <w:szCs w:val="32"/>
            </w:rPr>
            <w:t xml:space="preserve">第一章 </w:t>
          </w:r>
          <w:r>
            <w:rPr>
              <w:rFonts w:hint="eastAsia" w:ascii="黑体" w:hAnsi="黑体" w:eastAsia="黑体"/>
              <w:bCs/>
              <w:szCs w:val="32"/>
              <w:highlight w:val="none"/>
            </w:rPr>
            <w:t>健全规划传导</w:t>
          </w:r>
          <w:r>
            <w:tab/>
          </w:r>
          <w:r>
            <w:fldChar w:fldCharType="begin"/>
          </w:r>
          <w:r>
            <w:instrText xml:space="preserve"> PAGEREF _Toc16264 \h </w:instrText>
          </w:r>
          <w:r>
            <w:fldChar w:fldCharType="separate"/>
          </w:r>
          <w:r>
            <w:t>96</w:t>
          </w:r>
          <w:r>
            <w:fldChar w:fldCharType="end"/>
          </w:r>
          <w:r>
            <w:fldChar w:fldCharType="end"/>
          </w:r>
        </w:p>
        <w:p w14:paraId="6EE78AEC">
          <w:pPr>
            <w:pStyle w:val="106"/>
            <w:tabs>
              <w:tab w:val="right" w:leader="dot" w:pos="8788"/>
            </w:tabs>
          </w:pPr>
          <w:r>
            <w:fldChar w:fldCharType="begin"/>
          </w:r>
          <w:r>
            <w:instrText xml:space="preserve"> HYPERLINK \l _Toc28492 </w:instrText>
          </w:r>
          <w:r>
            <w:fldChar w:fldCharType="separate"/>
          </w:r>
          <w:r>
            <w:rPr>
              <w:rFonts w:hint="eastAsia" w:ascii="黑体" w:hAnsi="黑体" w:eastAsia="黑体"/>
              <w:bCs/>
              <w:szCs w:val="32"/>
            </w:rPr>
            <w:t xml:space="preserve">第二章 </w:t>
          </w:r>
          <w:r>
            <w:rPr>
              <w:rFonts w:hint="eastAsia" w:ascii="黑体" w:hAnsi="黑体" w:eastAsia="黑体"/>
              <w:bCs/>
              <w:szCs w:val="32"/>
              <w:highlight w:val="none"/>
            </w:rPr>
            <w:t>政策机制</w:t>
          </w:r>
          <w:r>
            <w:tab/>
          </w:r>
          <w:r>
            <w:fldChar w:fldCharType="begin"/>
          </w:r>
          <w:r>
            <w:instrText xml:space="preserve"> PAGEREF _Toc28492 \h </w:instrText>
          </w:r>
          <w:r>
            <w:fldChar w:fldCharType="separate"/>
          </w:r>
          <w:r>
            <w:t>98</w:t>
          </w:r>
          <w:r>
            <w:fldChar w:fldCharType="end"/>
          </w:r>
          <w:r>
            <w:fldChar w:fldCharType="end"/>
          </w:r>
        </w:p>
        <w:p w14:paraId="1175DE62">
          <w:pPr>
            <w:pStyle w:val="106"/>
            <w:tabs>
              <w:tab w:val="right" w:leader="dot" w:pos="8788"/>
            </w:tabs>
          </w:pPr>
          <w:r>
            <w:fldChar w:fldCharType="begin"/>
          </w:r>
          <w:r>
            <w:instrText xml:space="preserve"> HYPERLINK \l _Toc13593 </w:instrText>
          </w:r>
          <w:r>
            <w:fldChar w:fldCharType="separate"/>
          </w:r>
          <w:r>
            <w:rPr>
              <w:rFonts w:hint="eastAsia" w:ascii="黑体" w:hAnsi="黑体" w:eastAsia="黑体"/>
              <w:bCs/>
              <w:szCs w:val="32"/>
            </w:rPr>
            <w:t xml:space="preserve">第三章 </w:t>
          </w:r>
          <w:r>
            <w:rPr>
              <w:rFonts w:hint="eastAsia" w:ascii="黑体" w:hAnsi="黑体" w:eastAsia="黑体"/>
              <w:bCs/>
              <w:szCs w:val="32"/>
              <w:highlight w:val="none"/>
            </w:rPr>
            <w:t>实施监督</w:t>
          </w:r>
          <w:r>
            <w:tab/>
          </w:r>
          <w:r>
            <w:fldChar w:fldCharType="begin"/>
          </w:r>
          <w:r>
            <w:instrText xml:space="preserve"> PAGEREF _Toc13593 \h </w:instrText>
          </w:r>
          <w:r>
            <w:fldChar w:fldCharType="separate"/>
          </w:r>
          <w:r>
            <w:t>101</w:t>
          </w:r>
          <w:r>
            <w:fldChar w:fldCharType="end"/>
          </w:r>
          <w:r>
            <w:fldChar w:fldCharType="end"/>
          </w:r>
        </w:p>
        <w:p w14:paraId="405656A8">
          <w:pPr>
            <w:rPr>
              <w:rFonts w:ascii="Calibri" w:hAnsi="Calibri" w:eastAsia="宋体" w:cs="宋体"/>
              <w:b/>
              <w:kern w:val="2"/>
              <w:sz w:val="28"/>
              <w:szCs w:val="22"/>
              <w:lang w:val="en-US" w:eastAsia="zh-CN" w:bidi="ar-SA"/>
            </w:rPr>
          </w:pPr>
          <w:r>
            <w:rPr>
              <w:b/>
            </w:rPr>
            <w:fldChar w:fldCharType="end"/>
          </w:r>
        </w:p>
      </w:sdtContent>
    </w:sdt>
    <w:p w14:paraId="57AB3BA6">
      <w:pPr>
        <w:pStyle w:val="2"/>
      </w:pPr>
    </w:p>
    <w:p w14:paraId="275589A8">
      <w:pPr>
        <w:ind w:firstLine="0" w:firstLineChars="0"/>
        <w:rPr>
          <w:color w:val="auto"/>
          <w:highlight w:val="none"/>
        </w:rPr>
      </w:pPr>
    </w:p>
    <w:p w14:paraId="4DBA674C">
      <w:pPr>
        <w:pStyle w:val="2"/>
        <w:sectPr>
          <w:headerReference r:id="rId11" w:type="default"/>
          <w:footerReference r:id="rId12" w:type="default"/>
          <w:pgSz w:w="11907" w:h="16839"/>
          <w:pgMar w:top="1418" w:right="1418" w:bottom="1418" w:left="1701" w:header="851" w:footer="992" w:gutter="0"/>
          <w:pgNumType w:fmt="decimal" w:start="1"/>
          <w:cols w:space="850" w:num="1"/>
          <w:docGrid w:type="linesAndChars" w:linePitch="312" w:charSpace="0"/>
        </w:sectPr>
      </w:pPr>
    </w:p>
    <w:p w14:paraId="39E705CB">
      <w:pPr>
        <w:pStyle w:val="5"/>
        <w:rPr>
          <w:b/>
          <w:bCs/>
          <w:color w:val="auto"/>
          <w:sz w:val="36"/>
          <w:szCs w:val="36"/>
          <w:highlight w:val="none"/>
        </w:rPr>
      </w:pPr>
      <w:bookmarkStart w:id="6" w:name="_Toc1970"/>
      <w:bookmarkStart w:id="7" w:name="_Toc4804"/>
      <w:r>
        <w:rPr>
          <w:rFonts w:hint="eastAsia"/>
          <w:b/>
          <w:bCs/>
          <w:color w:val="auto"/>
          <w:sz w:val="36"/>
          <w:szCs w:val="36"/>
          <w:highlight w:val="none"/>
        </w:rPr>
        <w:t xml:space="preserve">前 </w:t>
      </w:r>
      <w:r>
        <w:rPr>
          <w:b/>
          <w:bCs/>
          <w:color w:val="auto"/>
          <w:sz w:val="36"/>
          <w:szCs w:val="36"/>
          <w:highlight w:val="none"/>
        </w:rPr>
        <w:t xml:space="preserve"> </w:t>
      </w:r>
      <w:r>
        <w:rPr>
          <w:rFonts w:hint="eastAsia"/>
          <w:b/>
          <w:bCs/>
          <w:color w:val="auto"/>
          <w:sz w:val="36"/>
          <w:szCs w:val="36"/>
          <w:highlight w:val="none"/>
        </w:rPr>
        <w:t>言</w:t>
      </w:r>
      <w:bookmarkEnd w:id="6"/>
      <w:bookmarkEnd w:id="7"/>
    </w:p>
    <w:p w14:paraId="3F831D6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国土空间规划是国家空间发展的指南、可持续发展的空间蓝图，是各类开发保护建设活动的基本依据，是推进生态文明建设、建设美丽中国的关键举措，是坚持以人民为中心、实现高质量发展和高品质生活的重要手段，是保障国家战略有效实施、促进国家治理体系和治理能力现代化和中华民族伟大复兴中国梦的必然要求。</w:t>
      </w:r>
    </w:p>
    <w:p w14:paraId="7DA84556">
      <w:pPr>
        <w:spacing w:line="600" w:lineRule="exact"/>
        <w:ind w:firstLine="640"/>
        <w:rPr>
          <w:rFonts w:hint="eastAsia" w:ascii="仿宋_GB2312" w:hAnsi="Calibri" w:eastAsia="仿宋_GB2312" w:cs="宋体"/>
          <w:color w:val="auto"/>
          <w:sz w:val="32"/>
          <w:szCs w:val="32"/>
          <w:highlight w:val="none"/>
        </w:rPr>
      </w:pPr>
      <w:r>
        <w:rPr>
          <w:rFonts w:hint="eastAsia" w:ascii="仿宋_GB2312" w:eastAsia="仿宋_GB2312"/>
          <w:color w:val="auto"/>
          <w:sz w:val="32"/>
          <w:szCs w:val="32"/>
          <w:highlight w:val="none"/>
        </w:rPr>
        <w:t>按照党中央、国务院关于建立国土空间规划体系并监督实施的决策部署，盐边县于2</w:t>
      </w:r>
      <w:r>
        <w:rPr>
          <w:rFonts w:ascii="仿宋_GB2312" w:eastAsia="仿宋_GB2312"/>
          <w:color w:val="auto"/>
          <w:sz w:val="32"/>
          <w:szCs w:val="32"/>
          <w:highlight w:val="none"/>
        </w:rPr>
        <w:t>020</w:t>
      </w:r>
      <w:r>
        <w:rPr>
          <w:rFonts w:hint="eastAsia" w:ascii="仿宋_GB2312" w:eastAsia="仿宋_GB2312"/>
          <w:color w:val="auto"/>
          <w:sz w:val="32"/>
          <w:szCs w:val="32"/>
          <w:highlight w:val="none"/>
        </w:rPr>
        <w:t>年6月启动了《盐边县国土空间总体规划（2</w:t>
      </w:r>
      <w:r>
        <w:rPr>
          <w:rFonts w:ascii="仿宋_GB2312" w:eastAsia="仿宋_GB2312"/>
          <w:color w:val="auto"/>
          <w:sz w:val="32"/>
          <w:szCs w:val="32"/>
          <w:highlight w:val="none"/>
        </w:rPr>
        <w:t>021</w:t>
      </w:r>
      <w:r>
        <w:rPr>
          <w:rFonts w:hint="eastAsia" w:ascii="仿宋_GB2312" w:eastAsia="仿宋_GB2312"/>
          <w:color w:val="auto"/>
          <w:sz w:val="32"/>
          <w:szCs w:val="32"/>
          <w:highlight w:val="none"/>
        </w:rPr>
        <w:t>—</w:t>
      </w:r>
      <w:r>
        <w:rPr>
          <w:rFonts w:ascii="仿宋_GB2312" w:eastAsia="仿宋_GB2312"/>
          <w:color w:val="auto"/>
          <w:sz w:val="32"/>
          <w:szCs w:val="32"/>
          <w:highlight w:val="none"/>
        </w:rPr>
        <w:t>2035</w:t>
      </w:r>
      <w:r>
        <w:rPr>
          <w:rFonts w:hint="eastAsia" w:ascii="仿宋_GB2312" w:eastAsia="仿宋_GB2312"/>
          <w:color w:val="auto"/>
          <w:sz w:val="32"/>
          <w:szCs w:val="32"/>
          <w:highlight w:val="none"/>
        </w:rPr>
        <w:t>年）》的编制工作。规划范围为盐边县行政辖区，包括县域和中心城区两个层</w:t>
      </w:r>
      <w:r>
        <w:rPr>
          <w:rFonts w:hint="eastAsia" w:ascii="仿宋_GB2312" w:eastAsia="仿宋_GB2312"/>
          <w:color w:val="auto"/>
          <w:sz w:val="32"/>
          <w:szCs w:val="32"/>
          <w:highlight w:val="none"/>
          <w:lang w:eastAsia="zh-CN"/>
        </w:rPr>
        <w:t>次</w:t>
      </w:r>
      <w:r>
        <w:rPr>
          <w:rFonts w:hint="eastAsia" w:ascii="仿宋_GB2312" w:eastAsia="仿宋_GB2312"/>
          <w:color w:val="auto"/>
          <w:sz w:val="32"/>
          <w:szCs w:val="32"/>
          <w:highlight w:val="none"/>
        </w:rPr>
        <w:t>，规划基期为2020年，</w:t>
      </w:r>
      <w:r>
        <w:rPr>
          <w:rFonts w:hint="eastAsia" w:ascii="仿宋_GB2312" w:hAnsi="Calibri" w:eastAsia="仿宋_GB2312" w:cs="宋体"/>
          <w:color w:val="auto"/>
          <w:sz w:val="32"/>
          <w:szCs w:val="32"/>
          <w:highlight w:val="none"/>
        </w:rPr>
        <w:t>规划期限为2021—2035年，近期到2025年，远景展望到2050年</w:t>
      </w:r>
      <w:r>
        <w:rPr>
          <w:rFonts w:hint="eastAsia" w:ascii="仿宋_GB2312" w:eastAsia="仿宋_GB2312"/>
          <w:color w:val="auto"/>
          <w:sz w:val="32"/>
          <w:szCs w:val="32"/>
          <w:highlight w:val="none"/>
        </w:rPr>
        <w:t>。</w:t>
      </w:r>
    </w:p>
    <w:p w14:paraId="54B32E94">
      <w:pPr>
        <w:spacing w:line="600" w:lineRule="exact"/>
        <w:ind w:firstLine="640"/>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《盐边县国土空间总体规划（2</w:t>
      </w:r>
      <w:r>
        <w:rPr>
          <w:rFonts w:ascii="仿宋_GB2312" w:eastAsia="仿宋_GB2312"/>
          <w:color w:val="auto"/>
          <w:sz w:val="32"/>
          <w:szCs w:val="32"/>
          <w:highlight w:val="none"/>
        </w:rPr>
        <w:t>021</w:t>
      </w:r>
      <w:r>
        <w:rPr>
          <w:rFonts w:hint="eastAsia" w:ascii="仿宋_GB2312" w:eastAsia="仿宋_GB2312"/>
          <w:color w:val="auto"/>
          <w:sz w:val="32"/>
          <w:szCs w:val="32"/>
          <w:highlight w:val="none"/>
        </w:rPr>
        <w:t>—</w:t>
      </w:r>
      <w:r>
        <w:rPr>
          <w:rFonts w:ascii="仿宋_GB2312" w:eastAsia="仿宋_GB2312"/>
          <w:color w:val="auto"/>
          <w:sz w:val="32"/>
          <w:szCs w:val="32"/>
          <w:highlight w:val="none"/>
        </w:rPr>
        <w:t>2035</w:t>
      </w:r>
      <w:r>
        <w:rPr>
          <w:rFonts w:hint="eastAsia" w:ascii="仿宋_GB2312" w:eastAsia="仿宋_GB2312"/>
          <w:color w:val="auto"/>
          <w:sz w:val="32"/>
          <w:szCs w:val="32"/>
          <w:highlight w:val="none"/>
        </w:rPr>
        <w:t>年）》是《四川省国土空间规划（2</w:t>
      </w:r>
      <w:r>
        <w:rPr>
          <w:rFonts w:ascii="仿宋_GB2312" w:eastAsia="仿宋_GB2312"/>
          <w:color w:val="auto"/>
          <w:sz w:val="32"/>
          <w:szCs w:val="32"/>
          <w:highlight w:val="none"/>
        </w:rPr>
        <w:t>021</w:t>
      </w:r>
      <w:r>
        <w:rPr>
          <w:rFonts w:hint="eastAsia" w:ascii="仿宋_GB2312" w:eastAsia="仿宋_GB2312"/>
          <w:color w:val="auto"/>
          <w:sz w:val="32"/>
          <w:szCs w:val="32"/>
          <w:highlight w:val="none"/>
        </w:rPr>
        <w:t>—</w:t>
      </w:r>
      <w:r>
        <w:rPr>
          <w:rFonts w:ascii="仿宋_GB2312" w:eastAsia="仿宋_GB2312"/>
          <w:color w:val="auto"/>
          <w:sz w:val="32"/>
          <w:szCs w:val="32"/>
          <w:highlight w:val="none"/>
        </w:rPr>
        <w:t>2035</w:t>
      </w:r>
      <w:r>
        <w:rPr>
          <w:rFonts w:hint="eastAsia" w:ascii="仿宋_GB2312" w:eastAsia="仿宋_GB2312"/>
          <w:color w:val="auto"/>
          <w:sz w:val="32"/>
          <w:szCs w:val="32"/>
          <w:highlight w:val="none"/>
        </w:rPr>
        <w:t>年）》《攀枝花市国土空间总体规划（2</w:t>
      </w:r>
      <w:r>
        <w:rPr>
          <w:rFonts w:ascii="仿宋_GB2312" w:eastAsia="仿宋_GB2312"/>
          <w:color w:val="auto"/>
          <w:sz w:val="32"/>
          <w:szCs w:val="32"/>
          <w:highlight w:val="none"/>
        </w:rPr>
        <w:t>021</w:t>
      </w:r>
      <w:r>
        <w:rPr>
          <w:rFonts w:hint="eastAsia" w:ascii="仿宋_GB2312" w:eastAsia="仿宋_GB2312"/>
          <w:color w:val="auto"/>
          <w:sz w:val="32"/>
          <w:szCs w:val="32"/>
          <w:highlight w:val="none"/>
        </w:rPr>
        <w:t>—</w:t>
      </w:r>
      <w:r>
        <w:rPr>
          <w:rFonts w:ascii="仿宋_GB2312" w:eastAsia="仿宋_GB2312"/>
          <w:color w:val="auto"/>
          <w:sz w:val="32"/>
          <w:szCs w:val="32"/>
          <w:highlight w:val="none"/>
        </w:rPr>
        <w:t>2035</w:t>
      </w:r>
      <w:r>
        <w:rPr>
          <w:rFonts w:hint="eastAsia" w:ascii="仿宋_GB2312" w:eastAsia="仿宋_GB2312"/>
          <w:color w:val="auto"/>
          <w:sz w:val="32"/>
          <w:szCs w:val="32"/>
          <w:highlight w:val="none"/>
        </w:rPr>
        <w:t>年）》的深化落实，是落实</w:t>
      </w:r>
      <w:r>
        <w:rPr>
          <w:rFonts w:hint="eastAsia" w:ascii="仿宋_GB2312" w:eastAsia="仿宋_GB2312"/>
          <w:color w:val="auto"/>
          <w:sz w:val="32"/>
          <w:szCs w:val="32"/>
          <w:highlight w:val="none"/>
          <w:lang w:eastAsia="zh-CN"/>
        </w:rPr>
        <w:t>县委、县政府</w:t>
      </w:r>
      <w:r>
        <w:rPr>
          <w:rFonts w:hint="eastAsia" w:ascii="仿宋_GB2312" w:eastAsia="仿宋_GB2312"/>
          <w:color w:val="auto"/>
          <w:sz w:val="32"/>
          <w:szCs w:val="32"/>
          <w:highlight w:val="none"/>
        </w:rPr>
        <w:t>发展战略、推动新时期盐边发展的关键举措和重要抓手，是全县开展国土空间保护、开发、整治、修复等各类空间活动的总纲，是编制下辖乡镇级片区国土空间总体规划以及其他涉及空间布局的各类专项规划、详细规划的基本依据，是盐边县开展各类空间保护利用活动的法定依据。文中加下划线的内容为规划强制性内容，相关规划、建设和管理不得违背规划强制性内容。</w:t>
      </w:r>
      <w:bookmarkStart w:id="8" w:name="_Toc129168203"/>
      <w:bookmarkStart w:id="9" w:name="_Toc130471758"/>
      <w:bookmarkStart w:id="10" w:name="_Toc132447815"/>
      <w:bookmarkStart w:id="11" w:name="_Toc122513160"/>
      <w:bookmarkStart w:id="12" w:name="_Toc124195893"/>
      <w:bookmarkStart w:id="13" w:name="_Toc59998321"/>
      <w:bookmarkStart w:id="14" w:name="_Toc122513342"/>
    </w:p>
    <w:p w14:paraId="214E6475">
      <w:pPr>
        <w:spacing w:line="240" w:lineRule="auto"/>
        <w:ind w:firstLine="0"/>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br w:type="page"/>
      </w:r>
    </w:p>
    <w:p w14:paraId="3BDEE507">
      <w:pPr>
        <w:pStyle w:val="5"/>
        <w:rPr>
          <w:b/>
          <w:bCs/>
          <w:color w:val="auto"/>
          <w:sz w:val="36"/>
          <w:szCs w:val="36"/>
          <w:highlight w:val="none"/>
        </w:rPr>
      </w:pPr>
      <w:bookmarkStart w:id="15" w:name="_Toc13291"/>
      <w:bookmarkStart w:id="16" w:name="_Toc25056"/>
      <w:r>
        <w:rPr>
          <w:rFonts w:hint="eastAsia"/>
          <w:b/>
          <w:bCs/>
          <w:color w:val="auto"/>
          <w:sz w:val="36"/>
          <w:szCs w:val="36"/>
          <w:highlight w:val="none"/>
        </w:rPr>
        <w:t>第一部分 现状与形势</w:t>
      </w:r>
      <w:bookmarkEnd w:id="8"/>
      <w:bookmarkEnd w:id="9"/>
      <w:bookmarkEnd w:id="10"/>
      <w:bookmarkEnd w:id="15"/>
      <w:bookmarkEnd w:id="16"/>
    </w:p>
    <w:bookmarkEnd w:id="11"/>
    <w:bookmarkEnd w:id="12"/>
    <w:bookmarkEnd w:id="13"/>
    <w:bookmarkEnd w:id="14"/>
    <w:p w14:paraId="62288826">
      <w:pPr>
        <w:pStyle w:val="7"/>
        <w:keepNext/>
        <w:keepLines/>
        <w:numPr>
          <w:ilvl w:val="0"/>
          <w:numId w:val="6"/>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17" w:name="_Toc132447816"/>
      <w:bookmarkStart w:id="18" w:name="_Toc3805"/>
      <w:bookmarkStart w:id="19" w:name="_Toc4018"/>
      <w:r>
        <w:rPr>
          <w:rFonts w:hint="eastAsia" w:ascii="黑体" w:hAnsi="黑体" w:eastAsia="黑体"/>
          <w:bCs/>
          <w:color w:val="auto"/>
          <w:sz w:val="32"/>
          <w:szCs w:val="32"/>
          <w:highlight w:val="none"/>
        </w:rPr>
        <w:t>基础</w:t>
      </w:r>
      <w:bookmarkEnd w:id="17"/>
      <w:r>
        <w:rPr>
          <w:rFonts w:hint="eastAsia" w:ascii="黑体" w:hAnsi="黑体" w:eastAsia="黑体"/>
          <w:bCs/>
          <w:color w:val="auto"/>
          <w:sz w:val="32"/>
          <w:szCs w:val="32"/>
          <w:highlight w:val="none"/>
        </w:rPr>
        <w:t>条件</w:t>
      </w:r>
      <w:bookmarkEnd w:id="18"/>
      <w:bookmarkEnd w:id="19"/>
    </w:p>
    <w:p w14:paraId="1D35549C">
      <w:pPr>
        <w:pStyle w:val="8"/>
        <w:keepNext/>
        <w:keepLines/>
        <w:numPr>
          <w:ilvl w:val="0"/>
          <w:numId w:val="7"/>
        </w:numPr>
        <w:adjustRightInd/>
        <w:snapToGrid/>
        <w:ind w:left="0"/>
        <w:jc w:val="center"/>
        <w:rPr>
          <w:rFonts w:ascii="仿宋_GB2312" w:hAnsi="Calibri" w:eastAsia="仿宋_GB2312"/>
          <w:b/>
          <w:bCs/>
          <w:color w:val="auto"/>
          <w:highlight w:val="none"/>
        </w:rPr>
      </w:pPr>
      <w:bookmarkStart w:id="20" w:name="_Toc4900"/>
      <w:r>
        <w:rPr>
          <w:rFonts w:hint="eastAsia" w:ascii="仿宋_GB2312" w:hAnsi="Calibri" w:eastAsia="仿宋_GB2312"/>
          <w:b/>
          <w:bCs/>
          <w:color w:val="auto"/>
          <w:highlight w:val="none"/>
        </w:rPr>
        <w:t>县域基础条件</w:t>
      </w:r>
      <w:bookmarkEnd w:id="20"/>
    </w:p>
    <w:p w14:paraId="5E66C432">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区位关系</w:t>
      </w:r>
    </w:p>
    <w:p w14:paraId="39E2C03F">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盐边县位于四川省西南山地南缘，攀枝花市北部。县政府驻桐子林镇，距攀枝花市</w:t>
      </w:r>
      <w:r>
        <w:rPr>
          <w:rFonts w:hint="eastAsia" w:ascii="仿宋_GB2312" w:eastAsia="仿宋_GB2312"/>
          <w:color w:val="auto"/>
          <w:sz w:val="32"/>
          <w:szCs w:val="32"/>
          <w:highlight w:val="none"/>
          <w:lang w:val="en-US" w:eastAsia="zh-CN"/>
        </w:rPr>
        <w:t>中心城区</w:t>
      </w:r>
      <w:r>
        <w:rPr>
          <w:rFonts w:hint="eastAsia" w:ascii="仿宋_GB2312" w:eastAsia="仿宋_GB2312"/>
          <w:color w:val="auto"/>
          <w:sz w:val="32"/>
          <w:szCs w:val="32"/>
          <w:highlight w:val="none"/>
        </w:rPr>
        <w:t>1</w:t>
      </w:r>
      <w:r>
        <w:rPr>
          <w:rFonts w:ascii="仿宋_GB2312" w:eastAsia="仿宋_GB2312"/>
          <w:color w:val="auto"/>
          <w:sz w:val="32"/>
          <w:szCs w:val="32"/>
          <w:highlight w:val="none"/>
        </w:rPr>
        <w:t>7</w:t>
      </w:r>
      <w:r>
        <w:rPr>
          <w:rFonts w:hint="eastAsia" w:ascii="仿宋_GB2312" w:eastAsia="仿宋_GB2312"/>
          <w:color w:val="auto"/>
          <w:sz w:val="32"/>
          <w:szCs w:val="32"/>
          <w:highlight w:val="none"/>
          <w:lang w:val="en-US" w:eastAsia="zh-CN"/>
        </w:rPr>
        <w:t>千米</w:t>
      </w:r>
      <w:r>
        <w:rPr>
          <w:rFonts w:hint="eastAsia" w:ascii="仿宋_GB2312" w:eastAsia="仿宋_GB2312"/>
          <w:color w:val="auto"/>
          <w:sz w:val="32"/>
          <w:szCs w:val="32"/>
          <w:highlight w:val="none"/>
        </w:rPr>
        <w:t>，距米易县</w:t>
      </w:r>
      <w:r>
        <w:rPr>
          <w:rFonts w:hint="eastAsia" w:ascii="仿宋_GB2312" w:eastAsia="仿宋_GB2312"/>
          <w:color w:val="auto"/>
          <w:sz w:val="32"/>
          <w:szCs w:val="32"/>
          <w:highlight w:val="none"/>
          <w:lang w:val="en-US" w:eastAsia="zh-CN"/>
        </w:rPr>
        <w:t>县城</w:t>
      </w:r>
      <w:r>
        <w:rPr>
          <w:rFonts w:hint="eastAsia" w:ascii="仿宋_GB2312" w:eastAsia="仿宋_GB2312"/>
          <w:color w:val="auto"/>
          <w:sz w:val="32"/>
          <w:szCs w:val="32"/>
          <w:highlight w:val="none"/>
        </w:rPr>
        <w:t>3</w:t>
      </w:r>
      <w:r>
        <w:rPr>
          <w:rFonts w:ascii="仿宋_GB2312" w:eastAsia="仿宋_GB2312"/>
          <w:color w:val="auto"/>
          <w:sz w:val="32"/>
          <w:szCs w:val="32"/>
          <w:highlight w:val="none"/>
        </w:rPr>
        <w:t>5</w:t>
      </w:r>
      <w:r>
        <w:rPr>
          <w:rFonts w:hint="eastAsia" w:ascii="仿宋_GB2312" w:eastAsia="仿宋_GB2312"/>
          <w:color w:val="auto"/>
          <w:sz w:val="32"/>
          <w:szCs w:val="32"/>
          <w:highlight w:val="none"/>
          <w:lang w:eastAsia="zh-CN"/>
        </w:rPr>
        <w:t>千米</w:t>
      </w:r>
      <w:r>
        <w:rPr>
          <w:rFonts w:hint="eastAsia" w:ascii="仿宋_GB2312" w:eastAsia="仿宋_GB2312"/>
          <w:color w:val="auto"/>
          <w:sz w:val="32"/>
          <w:szCs w:val="32"/>
          <w:highlight w:val="none"/>
        </w:rPr>
        <w:t>。</w:t>
      </w:r>
    </w:p>
    <w:p w14:paraId="1468E2A0">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历史沿革</w:t>
      </w:r>
    </w:p>
    <w:p w14:paraId="10BC5EAE">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盐边县历史悠久，自周秦开始，历代王朝均在盐边设置县治， 1950年盐边解放，初期隶属西康省西昌专区。1955年随着西康省的撤销并入四川省，属四川省西昌专区。1965年，所属同德、务本、民政、银江四乡划归渡口市。1978年盐边、米易两县正式划归渡口为市辖县。1990年，原仁和区的红格、新九、新民、安宁、和爱五乡划归盐边县。1997年，盐边县城从健康镇（现渔门镇犀牛村）迁至桐子林镇。</w:t>
      </w:r>
    </w:p>
    <w:p w14:paraId="5D00CD6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地理格局</w:t>
      </w:r>
    </w:p>
    <w:p w14:paraId="34BDF6F2">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地形地貌：典型的山地峡谷地貌。</w:t>
      </w:r>
      <w:r>
        <w:rPr>
          <w:rFonts w:hint="eastAsia" w:ascii="仿宋_GB2312" w:eastAsia="仿宋_GB2312"/>
          <w:color w:val="auto"/>
          <w:sz w:val="32"/>
          <w:szCs w:val="32"/>
          <w:highlight w:val="none"/>
        </w:rPr>
        <w:t>盐边县位于川滇南构造带及滇藏“夕”字形构造中段复合部位，境内岭嵴连绵，山脉众多，山高坡陡，河谷深切，溪流交错。地势北高南低，由西北向东南缓缓倾斜，境内最高海拔4195.5米，最低海拔967米。</w:t>
      </w:r>
    </w:p>
    <w:p w14:paraId="4BFCA335">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空间形态：北大南小中狭窄。</w:t>
      </w:r>
      <w:r>
        <w:rPr>
          <w:rFonts w:hint="eastAsia" w:ascii="仿宋_GB2312" w:eastAsia="仿宋_GB2312"/>
          <w:color w:val="auto"/>
          <w:sz w:val="32"/>
          <w:szCs w:val="32"/>
          <w:highlight w:val="none"/>
        </w:rPr>
        <w:t>盐边行政</w:t>
      </w:r>
      <w:r>
        <w:rPr>
          <w:rFonts w:hint="eastAsia" w:ascii="仿宋_GB2312" w:eastAsia="仿宋_GB2312"/>
          <w:color w:val="auto"/>
          <w:sz w:val="32"/>
          <w:szCs w:val="32"/>
          <w:highlight w:val="none"/>
          <w:lang w:val="en-US" w:eastAsia="zh-CN"/>
        </w:rPr>
        <w:t>辖</w:t>
      </w:r>
      <w:r>
        <w:rPr>
          <w:rFonts w:hint="eastAsia" w:ascii="仿宋_GB2312" w:eastAsia="仿宋_GB2312"/>
          <w:color w:val="auto"/>
          <w:sz w:val="32"/>
          <w:szCs w:val="32"/>
          <w:highlight w:val="none"/>
        </w:rPr>
        <w:t>区总体呈现“花朵”</w:t>
      </w:r>
      <w:r>
        <w:rPr>
          <w:rFonts w:hint="eastAsia" w:ascii="仿宋_GB2312" w:eastAsia="仿宋_GB2312"/>
          <w:color w:val="auto"/>
          <w:sz w:val="32"/>
          <w:szCs w:val="32"/>
          <w:highlight w:val="none"/>
          <w:lang w:val="en-US" w:eastAsia="zh-CN"/>
        </w:rPr>
        <w:t>状</w:t>
      </w: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val="en-US" w:eastAsia="zh-CN"/>
        </w:rPr>
        <w:t>以雅砻江为界，</w:t>
      </w:r>
      <w:r>
        <w:rPr>
          <w:rFonts w:hint="eastAsia" w:ascii="仿宋_GB2312" w:eastAsia="仿宋_GB2312"/>
          <w:color w:val="auto"/>
          <w:sz w:val="32"/>
          <w:szCs w:val="32"/>
          <w:highlight w:val="none"/>
        </w:rPr>
        <w:t>北部地域广阔，乡镇较多，但</w:t>
      </w:r>
      <w:r>
        <w:rPr>
          <w:rFonts w:hint="eastAsia" w:ascii="仿宋_GB2312" w:eastAsia="仿宋_GB2312"/>
          <w:color w:val="auto"/>
          <w:sz w:val="32"/>
          <w:szCs w:val="32"/>
          <w:highlight w:val="none"/>
          <w:lang w:val="en-US" w:eastAsia="zh-CN"/>
        </w:rPr>
        <w:t>人口较少</w:t>
      </w:r>
      <w:r>
        <w:rPr>
          <w:rFonts w:hint="eastAsia" w:ascii="仿宋_GB2312" w:eastAsia="仿宋_GB2312"/>
          <w:color w:val="auto"/>
          <w:sz w:val="32"/>
          <w:szCs w:val="32"/>
          <w:highlight w:val="none"/>
        </w:rPr>
        <w:t>，生态脆弱，经济滞后；南部空间较小，但人口稠密，矿产丰富，经济发达。南北</w:t>
      </w:r>
      <w:r>
        <w:rPr>
          <w:rFonts w:hint="eastAsia" w:ascii="仿宋_GB2312" w:eastAsia="仿宋_GB2312"/>
          <w:color w:val="auto"/>
          <w:sz w:val="32"/>
          <w:szCs w:val="32"/>
          <w:highlight w:val="none"/>
          <w:lang w:val="en-US" w:eastAsia="zh-CN"/>
        </w:rPr>
        <w:t>区域</w:t>
      </w:r>
      <w:r>
        <w:rPr>
          <w:rFonts w:hint="eastAsia" w:ascii="仿宋_GB2312" w:eastAsia="仿宋_GB2312"/>
          <w:color w:val="auto"/>
          <w:sz w:val="32"/>
          <w:szCs w:val="32"/>
          <w:highlight w:val="none"/>
        </w:rPr>
        <w:t>仅靠中部宽度为7.5</w:t>
      </w:r>
      <w:r>
        <w:rPr>
          <w:rFonts w:hint="eastAsia" w:ascii="仿宋_GB2312" w:eastAsia="仿宋_GB2312"/>
          <w:color w:val="auto"/>
          <w:sz w:val="32"/>
          <w:szCs w:val="32"/>
          <w:highlight w:val="none"/>
          <w:lang w:eastAsia="zh-CN"/>
        </w:rPr>
        <w:t>千米</w:t>
      </w:r>
      <w:r>
        <w:rPr>
          <w:rFonts w:hint="eastAsia" w:ascii="仿宋_GB2312" w:eastAsia="仿宋_GB2312"/>
          <w:color w:val="auto"/>
          <w:sz w:val="32"/>
          <w:szCs w:val="32"/>
          <w:highlight w:val="none"/>
        </w:rPr>
        <w:t>的狭长地段（桐子林镇金河村、红果彝族乡）相连接</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沟通较为不畅</w:t>
      </w:r>
      <w:r>
        <w:rPr>
          <w:rFonts w:hint="eastAsia" w:ascii="仿宋_GB2312" w:eastAsia="仿宋_GB2312"/>
          <w:color w:val="auto"/>
          <w:sz w:val="32"/>
          <w:szCs w:val="32"/>
          <w:highlight w:val="none"/>
        </w:rPr>
        <w:t>。</w:t>
      </w:r>
    </w:p>
    <w:p w14:paraId="4C0E5214">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人口与社会经济</w:t>
      </w:r>
    </w:p>
    <w:p w14:paraId="66F19C4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盐边县属攀枝花市管辖，总面积3289.08平方千米，占攀枝花市总面积的44.</w:t>
      </w:r>
      <w:r>
        <w:rPr>
          <w:rFonts w:ascii="仿宋_GB2312" w:eastAsia="仿宋_GB2312"/>
          <w:color w:val="auto"/>
          <w:sz w:val="32"/>
          <w:szCs w:val="32"/>
          <w:highlight w:val="none"/>
        </w:rPr>
        <w:t>4</w:t>
      </w:r>
      <w:r>
        <w:rPr>
          <w:rFonts w:hint="eastAsia" w:ascii="仿宋_GB2312" w:eastAsia="仿宋_GB2312"/>
          <w:color w:val="auto"/>
          <w:sz w:val="32"/>
          <w:szCs w:val="32"/>
          <w:highlight w:val="none"/>
        </w:rPr>
        <w:t>%。行政区划调整后，辖6个镇、6个乡、88个村/社区，共居住有31个民族。2020年全县户籍总人口20.92万人，常住人口17.88万人，其中城镇人口5.74万人，城镇化率32.1</w:t>
      </w:r>
      <w:r>
        <w:rPr>
          <w:rFonts w:ascii="仿宋_GB2312" w:eastAsia="仿宋_GB2312"/>
          <w:color w:val="auto"/>
          <w:sz w:val="32"/>
          <w:szCs w:val="32"/>
          <w:highlight w:val="none"/>
        </w:rPr>
        <w:t>2</w:t>
      </w:r>
      <w:r>
        <w:rPr>
          <w:rFonts w:hint="eastAsia" w:ascii="仿宋_GB2312" w:eastAsia="仿宋_GB2312"/>
          <w:color w:val="auto"/>
          <w:sz w:val="32"/>
          <w:szCs w:val="32"/>
          <w:highlight w:val="none"/>
        </w:rPr>
        <w:t>%。2020年盐边县实现地区生产总值128.29亿元，</w:t>
      </w:r>
      <w:r>
        <w:rPr>
          <w:rFonts w:hint="eastAsia" w:ascii="仿宋_GB2312" w:eastAsia="仿宋_GB2312"/>
          <w:color w:val="auto"/>
          <w:sz w:val="32"/>
          <w:szCs w:val="32"/>
          <w:highlight w:val="none"/>
          <w:lang w:eastAsia="zh-CN"/>
        </w:rPr>
        <w:t>一二三产业</w:t>
      </w:r>
      <w:r>
        <w:rPr>
          <w:rFonts w:hint="eastAsia" w:ascii="仿宋_GB2312" w:eastAsia="仿宋_GB2312"/>
          <w:color w:val="auto"/>
          <w:sz w:val="32"/>
          <w:szCs w:val="32"/>
          <w:highlight w:val="none"/>
        </w:rPr>
        <w:t>结构比为22</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54</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24。全县工业化率</w:t>
      </w:r>
      <w:r>
        <w:rPr>
          <w:rFonts w:hint="eastAsia" w:ascii="仿宋_GB2312" w:eastAsia="仿宋_GB2312"/>
          <w:color w:val="auto"/>
          <w:sz w:val="32"/>
          <w:szCs w:val="32"/>
          <w:highlight w:val="none"/>
          <w:lang w:val="en-US" w:eastAsia="zh-CN"/>
        </w:rPr>
        <w:t>较高，</w:t>
      </w:r>
      <w:r>
        <w:rPr>
          <w:rFonts w:hint="eastAsia" w:ascii="仿宋_GB2312" w:eastAsia="仿宋_GB2312"/>
          <w:color w:val="auto"/>
          <w:sz w:val="32"/>
          <w:szCs w:val="32"/>
          <w:highlight w:val="none"/>
        </w:rPr>
        <w:t>达52.3%。</w:t>
      </w:r>
    </w:p>
    <w:p w14:paraId="1618D80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资源禀赋</w:t>
      </w:r>
    </w:p>
    <w:p w14:paraId="7E1D1A73">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资源丰富，风光秀丽。盐边县境内丰富的地表水和地下水积蓄了丰沛的水能资源，被称为“百川之县”；盐边县地处攀西聚宝盆中，矿产资源富集，其中钒钛磁铁矿储量居全国之首，是名副其实的“钒钛首县”；盐边县动植物资源丰富，有着攀枝花市“植物王国”之称。除此之外，盐边县地处“中国大香格里拉”生态圈，县域</w:t>
      </w:r>
      <w:r>
        <w:rPr>
          <w:rFonts w:ascii="仿宋_GB2312" w:eastAsia="仿宋_GB2312"/>
          <w:color w:val="auto"/>
          <w:sz w:val="32"/>
          <w:szCs w:val="32"/>
          <w:highlight w:val="none"/>
        </w:rPr>
        <w:t>范围内</w:t>
      </w:r>
      <w:r>
        <w:rPr>
          <w:rFonts w:hint="eastAsia" w:ascii="仿宋_GB2312" w:eastAsia="仿宋_GB2312"/>
          <w:color w:val="auto"/>
          <w:sz w:val="32"/>
          <w:szCs w:val="32"/>
          <w:highlight w:val="none"/>
        </w:rPr>
        <w:t>分布着红格温泉、欧方营地、二滩大坝、渔门岛、天生桥、箐河瀑布、格萨拉、柏林山等</w:t>
      </w:r>
      <w:r>
        <w:rPr>
          <w:rFonts w:hint="eastAsia" w:ascii="仿宋_GB2312" w:eastAsia="仿宋_GB2312"/>
          <w:color w:val="auto"/>
          <w:sz w:val="32"/>
          <w:szCs w:val="32"/>
          <w:highlight w:val="none"/>
          <w:lang w:val="en-US" w:eastAsia="zh-CN"/>
        </w:rPr>
        <w:t>旅游资源</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加上民族风情，历史遗迹、饮食文化等，</w:t>
      </w:r>
      <w:r>
        <w:rPr>
          <w:rFonts w:ascii="仿宋_GB2312" w:eastAsia="仿宋_GB2312"/>
          <w:color w:val="auto"/>
          <w:sz w:val="32"/>
          <w:szCs w:val="32"/>
          <w:highlight w:val="none"/>
        </w:rPr>
        <w:t>盐边旅游</w:t>
      </w:r>
      <w:r>
        <w:rPr>
          <w:rFonts w:hint="eastAsia" w:ascii="仿宋_GB2312" w:eastAsia="仿宋_GB2312"/>
          <w:color w:val="auto"/>
          <w:sz w:val="32"/>
          <w:szCs w:val="32"/>
          <w:highlight w:val="none"/>
        </w:rPr>
        <w:t>久负盛名。</w:t>
      </w:r>
    </w:p>
    <w:p w14:paraId="4050D669">
      <w:pPr>
        <w:pStyle w:val="8"/>
        <w:keepNext/>
        <w:keepLines/>
        <w:numPr>
          <w:ilvl w:val="0"/>
          <w:numId w:val="7"/>
        </w:numPr>
        <w:adjustRightInd/>
        <w:snapToGrid/>
        <w:ind w:left="0"/>
        <w:jc w:val="center"/>
        <w:rPr>
          <w:rFonts w:ascii="仿宋_GB2312" w:hAnsi="Calibri" w:eastAsia="仿宋_GB2312"/>
          <w:b/>
          <w:bCs/>
          <w:color w:val="auto"/>
          <w:highlight w:val="none"/>
        </w:rPr>
      </w:pPr>
      <w:bookmarkStart w:id="21" w:name="_Toc5640"/>
      <w:r>
        <w:rPr>
          <w:rFonts w:hint="eastAsia" w:ascii="仿宋_GB2312" w:hAnsi="Calibri" w:eastAsia="仿宋_GB2312"/>
          <w:b/>
          <w:bCs/>
          <w:color w:val="auto"/>
          <w:highlight w:val="none"/>
        </w:rPr>
        <w:t>中心城区基础条件</w:t>
      </w:r>
      <w:bookmarkEnd w:id="21"/>
    </w:p>
    <w:p w14:paraId="110DBAA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区位条件</w:t>
      </w:r>
    </w:p>
    <w:p w14:paraId="3658C90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1997年，</w:t>
      </w:r>
      <w:r>
        <w:rPr>
          <w:rFonts w:hint="eastAsia" w:ascii="仿宋_GB2312" w:eastAsia="仿宋_GB2312"/>
          <w:color w:val="auto"/>
          <w:sz w:val="32"/>
          <w:szCs w:val="32"/>
          <w:highlight w:val="none"/>
          <w:lang w:val="en-US" w:eastAsia="zh-CN"/>
        </w:rPr>
        <w:t>因</w:t>
      </w:r>
      <w:r>
        <w:rPr>
          <w:rFonts w:hint="eastAsia" w:ascii="仿宋_GB2312" w:eastAsia="仿宋_GB2312"/>
          <w:color w:val="auto"/>
          <w:sz w:val="32"/>
          <w:szCs w:val="32"/>
          <w:highlight w:val="none"/>
        </w:rPr>
        <w:t>二滩</w:t>
      </w:r>
      <w:r>
        <w:rPr>
          <w:rFonts w:hint="eastAsia" w:ascii="仿宋_GB2312" w:eastAsia="仿宋_GB2312"/>
          <w:color w:val="auto"/>
          <w:sz w:val="32"/>
          <w:szCs w:val="32"/>
          <w:highlight w:val="none"/>
          <w:lang w:val="en-US" w:eastAsia="zh-CN"/>
        </w:rPr>
        <w:t>水</w:t>
      </w:r>
      <w:r>
        <w:rPr>
          <w:rFonts w:hint="eastAsia" w:ascii="仿宋_GB2312" w:eastAsia="仿宋_GB2312"/>
          <w:color w:val="auto"/>
          <w:sz w:val="32"/>
          <w:szCs w:val="32"/>
          <w:highlight w:val="none"/>
        </w:rPr>
        <w:t>电站</w:t>
      </w:r>
      <w:r>
        <w:rPr>
          <w:rFonts w:hint="eastAsia" w:ascii="仿宋_GB2312" w:eastAsia="仿宋_GB2312"/>
          <w:color w:val="auto"/>
          <w:sz w:val="32"/>
          <w:szCs w:val="32"/>
          <w:highlight w:val="none"/>
          <w:lang w:val="en-US" w:eastAsia="zh-CN"/>
        </w:rPr>
        <w:t>建设</w:t>
      </w: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val="en-US" w:eastAsia="zh-CN"/>
        </w:rPr>
        <w:t>盐边</w:t>
      </w:r>
      <w:r>
        <w:rPr>
          <w:rFonts w:hint="eastAsia" w:ascii="仿宋_GB2312" w:eastAsia="仿宋_GB2312"/>
          <w:color w:val="auto"/>
          <w:sz w:val="32"/>
          <w:szCs w:val="32"/>
          <w:highlight w:val="none"/>
        </w:rPr>
        <w:t>县城从健康镇（今渔门镇犀牛村）迁至桐子林镇</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位于县域南部</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距离攀枝花市中心城区直线距离仅17</w:t>
      </w:r>
      <w:r>
        <w:rPr>
          <w:rFonts w:hint="eastAsia" w:ascii="仿宋_GB2312" w:eastAsia="仿宋_GB2312"/>
          <w:color w:val="auto"/>
          <w:sz w:val="32"/>
          <w:szCs w:val="32"/>
          <w:highlight w:val="none"/>
          <w:lang w:eastAsia="zh-CN"/>
        </w:rPr>
        <w:t>千米</w:t>
      </w:r>
      <w:r>
        <w:rPr>
          <w:rFonts w:hint="eastAsia" w:ascii="仿宋_GB2312" w:eastAsia="仿宋_GB2312"/>
          <w:color w:val="auto"/>
          <w:sz w:val="32"/>
          <w:szCs w:val="32"/>
          <w:highlight w:val="none"/>
        </w:rPr>
        <w:t>，距离攀枝花机场16</w:t>
      </w:r>
      <w:r>
        <w:rPr>
          <w:rFonts w:hint="eastAsia" w:ascii="仿宋_GB2312" w:eastAsia="仿宋_GB2312"/>
          <w:color w:val="auto"/>
          <w:sz w:val="32"/>
          <w:szCs w:val="32"/>
          <w:highlight w:val="none"/>
          <w:lang w:eastAsia="zh-CN"/>
        </w:rPr>
        <w:t>千米</w:t>
      </w:r>
      <w:r>
        <w:rPr>
          <w:rFonts w:hint="eastAsia" w:ascii="仿宋_GB2312" w:eastAsia="仿宋_GB2312"/>
          <w:color w:val="auto"/>
          <w:sz w:val="32"/>
          <w:szCs w:val="32"/>
          <w:highlight w:val="none"/>
        </w:rPr>
        <w:t>，距米易县城35</w:t>
      </w:r>
      <w:r>
        <w:rPr>
          <w:rFonts w:hint="eastAsia" w:ascii="仿宋_GB2312" w:eastAsia="仿宋_GB2312"/>
          <w:color w:val="auto"/>
          <w:sz w:val="32"/>
          <w:szCs w:val="32"/>
          <w:highlight w:val="none"/>
          <w:lang w:eastAsia="zh-CN"/>
        </w:rPr>
        <w:t>千米</w:t>
      </w:r>
      <w:r>
        <w:rPr>
          <w:rFonts w:hint="eastAsia" w:ascii="仿宋_GB2312" w:eastAsia="仿宋_GB2312"/>
          <w:color w:val="auto"/>
          <w:sz w:val="32"/>
          <w:szCs w:val="32"/>
          <w:highlight w:val="none"/>
        </w:rPr>
        <w:t>。</w:t>
      </w:r>
      <w:r>
        <w:rPr>
          <w:rFonts w:ascii="仿宋_GB2312" w:eastAsia="仿宋_GB2312"/>
          <w:color w:val="auto"/>
          <w:sz w:val="32"/>
          <w:szCs w:val="32"/>
          <w:highlight w:val="none"/>
        </w:rPr>
        <w:t>县城</w:t>
      </w:r>
      <w:r>
        <w:rPr>
          <w:rFonts w:hint="eastAsia" w:ascii="仿宋_GB2312" w:eastAsia="仿宋_GB2312"/>
          <w:color w:val="auto"/>
          <w:sz w:val="32"/>
          <w:szCs w:val="32"/>
          <w:highlight w:val="none"/>
        </w:rPr>
        <w:t>地理区位较优越，与攀枝花市中心城区交流密切。</w:t>
      </w:r>
    </w:p>
    <w:p w14:paraId="3A70BBD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自然地理</w:t>
      </w:r>
    </w:p>
    <w:p w14:paraId="48FBB46E">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中心城区建设在雅砻江南岸山脚台地上，台地北窄南宽，县城整体形态呈南北向带状展开。其东部倚山，西部临雅砻江，使其具有依山傍水、山势起伏明显等良好的自然景观要素。</w:t>
      </w:r>
    </w:p>
    <w:p w14:paraId="7039D8D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人口与用地条件</w:t>
      </w:r>
    </w:p>
    <w:p w14:paraId="22B6161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中心城区现状人口</w:t>
      </w:r>
      <w:r>
        <w:rPr>
          <w:rFonts w:ascii="仿宋_GB2312" w:eastAsia="仿宋_GB2312"/>
          <w:color w:val="auto"/>
          <w:sz w:val="32"/>
          <w:szCs w:val="32"/>
          <w:highlight w:val="none"/>
        </w:rPr>
        <w:t>2.3</w:t>
      </w:r>
      <w:r>
        <w:rPr>
          <w:rFonts w:hint="eastAsia" w:ascii="仿宋_GB2312" w:eastAsia="仿宋_GB2312"/>
          <w:color w:val="auto"/>
          <w:sz w:val="32"/>
          <w:szCs w:val="32"/>
          <w:highlight w:val="none"/>
        </w:rPr>
        <w:t>万人，现状城镇建设用地</w:t>
      </w:r>
      <w:r>
        <w:rPr>
          <w:rFonts w:hint="eastAsia" w:ascii="仿宋_GB2312" w:eastAsia="仿宋_GB2312"/>
          <w:color w:val="auto"/>
          <w:sz w:val="32"/>
          <w:szCs w:val="32"/>
          <w:highlight w:val="none"/>
          <w:lang w:val="en-US" w:eastAsia="zh-CN"/>
        </w:rPr>
        <w:t>面积</w:t>
      </w:r>
      <w:r>
        <w:rPr>
          <w:rFonts w:ascii="仿宋_GB2312" w:eastAsia="仿宋_GB2312"/>
          <w:color w:val="auto"/>
          <w:sz w:val="32"/>
          <w:szCs w:val="32"/>
          <w:highlight w:val="none"/>
        </w:rPr>
        <w:t>244.26</w:t>
      </w:r>
      <w:r>
        <w:rPr>
          <w:rFonts w:hint="eastAsia" w:ascii="仿宋_GB2312" w:eastAsia="仿宋_GB2312"/>
          <w:color w:val="auto"/>
          <w:sz w:val="32"/>
          <w:szCs w:val="32"/>
          <w:highlight w:val="none"/>
        </w:rPr>
        <w:t>公顷，人均城镇建设用地1</w:t>
      </w:r>
      <w:r>
        <w:rPr>
          <w:rFonts w:ascii="仿宋_GB2312" w:eastAsia="仿宋_GB2312"/>
          <w:color w:val="auto"/>
          <w:sz w:val="32"/>
          <w:szCs w:val="32"/>
          <w:highlight w:val="none"/>
        </w:rPr>
        <w:t>06.2</w:t>
      </w:r>
      <w:r>
        <w:rPr>
          <w:rFonts w:hint="eastAsia" w:ascii="仿宋_GB2312" w:eastAsia="仿宋_GB2312"/>
          <w:color w:val="auto"/>
          <w:sz w:val="32"/>
          <w:szCs w:val="32"/>
          <w:highlight w:val="none"/>
          <w:lang w:val="en-US" w:eastAsia="zh-CN"/>
        </w:rPr>
        <w:t>0</w:t>
      </w:r>
      <w:r>
        <w:rPr>
          <w:rFonts w:hint="eastAsia" w:ascii="仿宋_GB2312" w:eastAsia="仿宋_GB2312"/>
          <w:color w:val="auto"/>
          <w:sz w:val="32"/>
          <w:szCs w:val="32"/>
          <w:highlight w:val="none"/>
        </w:rPr>
        <w:t>平方米。现状用地主要为居住用地、公共管理与公共服务用地、交通运输用地、绿地与开敞空间用地等。</w:t>
      </w:r>
    </w:p>
    <w:p w14:paraId="1B537A74">
      <w:pPr>
        <w:pStyle w:val="7"/>
        <w:keepNext/>
        <w:keepLines/>
        <w:numPr>
          <w:ilvl w:val="0"/>
          <w:numId w:val="6"/>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22" w:name="_Toc20344"/>
      <w:bookmarkStart w:id="23" w:name="_Toc2534"/>
      <w:bookmarkStart w:id="24" w:name="_Toc132447817"/>
      <w:r>
        <w:rPr>
          <w:rFonts w:hint="eastAsia" w:ascii="黑体" w:hAnsi="黑体" w:eastAsia="黑体"/>
          <w:bCs/>
          <w:color w:val="auto"/>
          <w:sz w:val="32"/>
          <w:szCs w:val="32"/>
          <w:highlight w:val="none"/>
          <w:lang w:val="en-US" w:eastAsia="zh-CN"/>
        </w:rPr>
        <w:t>主要</w:t>
      </w:r>
      <w:r>
        <w:rPr>
          <w:rFonts w:hint="eastAsia" w:ascii="黑体" w:hAnsi="黑体" w:eastAsia="黑体"/>
          <w:bCs/>
          <w:color w:val="auto"/>
          <w:sz w:val="32"/>
          <w:szCs w:val="32"/>
          <w:highlight w:val="none"/>
        </w:rPr>
        <w:t>问题</w:t>
      </w:r>
      <w:bookmarkEnd w:id="22"/>
      <w:bookmarkEnd w:id="23"/>
      <w:bookmarkEnd w:id="24"/>
    </w:p>
    <w:p w14:paraId="47162A5B">
      <w:pPr>
        <w:pStyle w:val="8"/>
        <w:keepNext/>
        <w:keepLines/>
        <w:numPr>
          <w:ilvl w:val="0"/>
          <w:numId w:val="9"/>
        </w:numPr>
        <w:adjustRightInd/>
        <w:snapToGrid/>
        <w:ind w:left="0"/>
        <w:jc w:val="center"/>
        <w:rPr>
          <w:rFonts w:ascii="仿宋_GB2312" w:hAnsi="Calibri" w:eastAsia="仿宋_GB2312"/>
          <w:b/>
          <w:bCs/>
          <w:color w:val="auto"/>
          <w:highlight w:val="none"/>
        </w:rPr>
      </w:pPr>
      <w:bookmarkStart w:id="25" w:name="_Toc30109"/>
      <w:r>
        <w:rPr>
          <w:rFonts w:hint="eastAsia" w:ascii="仿宋_GB2312" w:hAnsi="Calibri" w:eastAsia="仿宋_GB2312"/>
          <w:b/>
          <w:bCs/>
          <w:color w:val="auto"/>
          <w:highlight w:val="none"/>
        </w:rPr>
        <w:t>县域</w:t>
      </w:r>
      <w:bookmarkEnd w:id="25"/>
    </w:p>
    <w:p w14:paraId="129E9D9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主要问题</w:t>
      </w:r>
    </w:p>
    <w:p w14:paraId="5ACCA1CA">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耕地破碎且质量不高，稳定耕地占比小。</w:t>
      </w:r>
      <w:r>
        <w:rPr>
          <w:rFonts w:hint="eastAsia" w:ascii="仿宋_GB2312" w:eastAsia="仿宋_GB2312"/>
          <w:color w:val="auto"/>
          <w:sz w:val="32"/>
          <w:szCs w:val="32"/>
          <w:highlight w:val="none"/>
        </w:rPr>
        <w:t>受地形影响，耕地地块破碎，县域耕地图斑分布零散。耕地平均质量等别为9等，土壤条件相对较差。耕地中长期稳定利用耕地占耕地总面积的68.68%，占比不高。</w:t>
      </w:r>
    </w:p>
    <w:p w14:paraId="106507F5">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矿山开采、坡耕地垦殖等加剧水土流失。</w:t>
      </w:r>
      <w:r>
        <w:rPr>
          <w:rFonts w:hint="eastAsia" w:ascii="仿宋_GB2312" w:eastAsia="仿宋_GB2312"/>
          <w:color w:val="auto"/>
          <w:sz w:val="32"/>
          <w:szCs w:val="32"/>
          <w:highlight w:val="none"/>
        </w:rPr>
        <w:t>盐边县地形起伏大、地势高低悬殊，县域岩石质地松软、固性差，易破碎风化，一般土层较薄，易冲刷，全年受气温、降水等自然作用强烈，易造成水土流失。县域中部红果彝族乡煤矿开采，南部新九镇、红格镇等铁矿、钒钛磁铁矿开发，造成大量的土石方开挖，对地表植被破坏较大</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中北部渔门镇、惠民镇，南部桐子林镇等大量坡耕地垦殖，由于开发条件较差、未采取相应的水土保持措施或措施不当等原因，造成的水土流失问题较为突出。</w:t>
      </w:r>
    </w:p>
    <w:p w14:paraId="18DEEDC4">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产业对城乡就业、城镇化发展支撑不强。</w:t>
      </w:r>
      <w:r>
        <w:rPr>
          <w:rFonts w:hint="eastAsia" w:ascii="仿宋_GB2312" w:eastAsia="仿宋_GB2312"/>
          <w:color w:val="auto"/>
          <w:sz w:val="32"/>
          <w:szCs w:val="32"/>
          <w:highlight w:val="none"/>
          <w:lang w:val="en-US" w:eastAsia="zh-CN"/>
        </w:rPr>
        <w:t>工业虽是盐边优势产业，但对就业支撑不强。近</w:t>
      </w:r>
      <w:r>
        <w:rPr>
          <w:rFonts w:hint="eastAsia" w:ascii="仿宋_GB2312" w:eastAsia="仿宋_GB2312"/>
          <w:color w:val="auto"/>
          <w:sz w:val="32"/>
          <w:szCs w:val="32"/>
          <w:highlight w:val="none"/>
        </w:rPr>
        <w:t>十年</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全县就业结构由54</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16</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30调整为65</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5</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30，大量就业人口仍集中从事第一产业，</w:t>
      </w:r>
      <w:r>
        <w:rPr>
          <w:rFonts w:hint="eastAsia" w:ascii="仿宋_GB2312" w:eastAsia="仿宋_GB2312"/>
          <w:color w:val="auto"/>
          <w:sz w:val="32"/>
          <w:szCs w:val="32"/>
          <w:highlight w:val="none"/>
          <w:lang w:val="en-US" w:eastAsia="zh-CN"/>
        </w:rPr>
        <w:t>第</w:t>
      </w:r>
      <w:r>
        <w:rPr>
          <w:rFonts w:hint="eastAsia" w:ascii="仿宋_GB2312" w:eastAsia="仿宋_GB2312"/>
          <w:color w:val="auto"/>
          <w:sz w:val="32"/>
          <w:szCs w:val="32"/>
          <w:highlight w:val="none"/>
        </w:rPr>
        <w:t>二</w:t>
      </w:r>
      <w:r>
        <w:rPr>
          <w:rFonts w:hint="eastAsia" w:ascii="仿宋_GB2312" w:eastAsia="仿宋_GB2312"/>
          <w:color w:val="auto"/>
          <w:sz w:val="32"/>
          <w:szCs w:val="32"/>
          <w:highlight w:val="none"/>
          <w:lang w:eastAsia="zh-CN"/>
        </w:rPr>
        <w:t>第</w:t>
      </w:r>
      <w:r>
        <w:rPr>
          <w:rFonts w:hint="eastAsia" w:ascii="仿宋_GB2312" w:eastAsia="仿宋_GB2312"/>
          <w:color w:val="auto"/>
          <w:sz w:val="32"/>
          <w:szCs w:val="32"/>
          <w:highlight w:val="none"/>
        </w:rPr>
        <w:t>三产业并未有效促进人口就业。</w:t>
      </w:r>
      <w:r>
        <w:rPr>
          <w:rFonts w:hint="eastAsia" w:ascii="仿宋_GB2312" w:eastAsia="仿宋_GB2312"/>
          <w:color w:val="auto"/>
          <w:sz w:val="32"/>
          <w:szCs w:val="32"/>
          <w:highlight w:val="none"/>
          <w:lang w:val="en-US" w:eastAsia="zh-CN"/>
        </w:rPr>
        <w:t>现状</w:t>
      </w:r>
      <w:r>
        <w:rPr>
          <w:rFonts w:hint="eastAsia" w:ascii="仿宋_GB2312" w:eastAsia="仿宋_GB2312"/>
          <w:color w:val="auto"/>
          <w:sz w:val="32"/>
          <w:szCs w:val="32"/>
          <w:highlight w:val="none"/>
        </w:rPr>
        <w:t>矿产资源开发利用产业虽在一定程度上推动了人口非农化发展，但由于相关产业布局相对远离城镇，没有带来相应的</w:t>
      </w:r>
      <w:r>
        <w:rPr>
          <w:rFonts w:hint="eastAsia" w:ascii="仿宋_GB2312" w:eastAsia="仿宋_GB2312"/>
          <w:color w:val="auto"/>
          <w:sz w:val="32"/>
          <w:szCs w:val="32"/>
          <w:highlight w:val="none"/>
          <w:lang w:val="en-US" w:eastAsia="zh-CN"/>
        </w:rPr>
        <w:t>本地</w:t>
      </w:r>
      <w:r>
        <w:rPr>
          <w:rFonts w:hint="eastAsia" w:ascii="仿宋_GB2312" w:eastAsia="仿宋_GB2312"/>
          <w:color w:val="auto"/>
          <w:sz w:val="32"/>
          <w:szCs w:val="32"/>
          <w:highlight w:val="none"/>
        </w:rPr>
        <w:t>城镇化发展，对于扩大城镇人口规模、完善城镇产业的促进作用有限。</w:t>
      </w:r>
    </w:p>
    <w:p w14:paraId="46E53BFA">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城镇化率较低，城镇辐射带动能力弱。</w:t>
      </w:r>
      <w:r>
        <w:rPr>
          <w:rFonts w:hint="eastAsia" w:ascii="仿宋_GB2312" w:eastAsia="仿宋_GB2312"/>
          <w:color w:val="auto"/>
          <w:sz w:val="32"/>
          <w:szCs w:val="32"/>
          <w:highlight w:val="none"/>
        </w:rPr>
        <w:t>盐边受二滩移民搬迁影响，客观上错失了</w:t>
      </w:r>
      <w:r>
        <w:rPr>
          <w:rFonts w:hint="eastAsia" w:ascii="仿宋_GB2312" w:eastAsia="仿宋_GB2312"/>
          <w:color w:val="auto"/>
          <w:sz w:val="32"/>
          <w:szCs w:val="32"/>
          <w:highlight w:val="none"/>
          <w:lang w:val="en-US" w:eastAsia="zh-CN"/>
        </w:rPr>
        <w:t>20</w:t>
      </w:r>
      <w:r>
        <w:rPr>
          <w:rFonts w:hint="eastAsia" w:ascii="仿宋_GB2312" w:eastAsia="仿宋_GB2312"/>
          <w:color w:val="auto"/>
          <w:sz w:val="32"/>
          <w:szCs w:val="32"/>
          <w:highlight w:val="none"/>
        </w:rPr>
        <w:t>世纪90年代全国经济大发展的机遇，以致经济发展水平不高。而现状工业发展未有效摆脱粗放式增长方式，配套服务业发展严重滞后，导致城镇化发展缺乏产业支撑，盐边县城镇化进程缓慢，2</w:t>
      </w:r>
      <w:r>
        <w:rPr>
          <w:rFonts w:ascii="仿宋_GB2312" w:eastAsia="仿宋_GB2312"/>
          <w:color w:val="auto"/>
          <w:sz w:val="32"/>
          <w:szCs w:val="32"/>
          <w:highlight w:val="none"/>
        </w:rPr>
        <w:t>020</w:t>
      </w:r>
      <w:r>
        <w:rPr>
          <w:rFonts w:hint="eastAsia" w:ascii="仿宋_GB2312" w:eastAsia="仿宋_GB2312"/>
          <w:color w:val="auto"/>
          <w:sz w:val="32"/>
          <w:szCs w:val="32"/>
          <w:highlight w:val="none"/>
        </w:rPr>
        <w:t>年城镇化率仅3</w:t>
      </w:r>
      <w:r>
        <w:rPr>
          <w:rFonts w:ascii="仿宋_GB2312" w:eastAsia="仿宋_GB2312"/>
          <w:color w:val="auto"/>
          <w:sz w:val="32"/>
          <w:szCs w:val="32"/>
          <w:highlight w:val="none"/>
        </w:rPr>
        <w:t>2.12%</w:t>
      </w:r>
      <w:r>
        <w:rPr>
          <w:rFonts w:hint="eastAsia" w:ascii="仿宋_GB2312" w:eastAsia="仿宋_GB2312"/>
          <w:color w:val="auto"/>
          <w:sz w:val="32"/>
          <w:szCs w:val="32"/>
          <w:highlight w:val="none"/>
        </w:rPr>
        <w:t>，低于攀枝花市平均水平。</w:t>
      </w:r>
    </w:p>
    <w:p w14:paraId="7F4E4A2F">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交通运输和其他市政基础设施配套较薄弱。</w:t>
      </w:r>
      <w:r>
        <w:rPr>
          <w:rFonts w:hint="eastAsia" w:ascii="仿宋_GB2312" w:eastAsia="仿宋_GB2312"/>
          <w:color w:val="auto"/>
          <w:sz w:val="32"/>
          <w:szCs w:val="32"/>
          <w:highlight w:val="none"/>
        </w:rPr>
        <w:t>干道系统不完善，现状南北通道不同程度属于或低于四级公路，道路等级低，通行能力较差。用水结构有待优化，农业用水占比大、效率低，生活和工业用水量不足10%。供水设施分散，水利基础设施待补充。天然气普及率低，中心城区及其他乡镇均未通天然气。</w:t>
      </w:r>
    </w:p>
    <w:p w14:paraId="74ACBE49">
      <w:pPr>
        <w:pStyle w:val="8"/>
        <w:keepNext/>
        <w:keepLines/>
        <w:numPr>
          <w:ilvl w:val="0"/>
          <w:numId w:val="9"/>
        </w:numPr>
        <w:adjustRightInd/>
        <w:snapToGrid/>
        <w:ind w:left="0"/>
        <w:jc w:val="center"/>
        <w:rPr>
          <w:rFonts w:ascii="仿宋_GB2312" w:hAnsi="Calibri" w:eastAsia="仿宋_GB2312"/>
          <w:b/>
          <w:bCs/>
          <w:color w:val="auto"/>
          <w:highlight w:val="none"/>
        </w:rPr>
      </w:pPr>
      <w:bookmarkStart w:id="26" w:name="_Toc26037"/>
      <w:r>
        <w:rPr>
          <w:rFonts w:hint="eastAsia" w:ascii="仿宋_GB2312" w:hAnsi="Calibri" w:eastAsia="仿宋_GB2312"/>
          <w:b/>
          <w:bCs/>
          <w:color w:val="auto"/>
          <w:highlight w:val="none"/>
        </w:rPr>
        <w:t>中心城区</w:t>
      </w:r>
      <w:bookmarkEnd w:id="26"/>
    </w:p>
    <w:p w14:paraId="3D4E663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主要问题</w:t>
      </w:r>
    </w:p>
    <w:p w14:paraId="1F5F35F5">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历史欠账遗留，城市品质不高。</w:t>
      </w:r>
      <w:r>
        <w:rPr>
          <w:rFonts w:hint="eastAsia" w:ascii="仿宋_GB2312" w:eastAsia="仿宋_GB2312"/>
          <w:color w:val="auto"/>
          <w:sz w:val="32"/>
          <w:szCs w:val="32"/>
          <w:highlight w:val="none"/>
          <w:lang w:val="en-US" w:eastAsia="zh-CN"/>
        </w:rPr>
        <w:t>盐边</w:t>
      </w:r>
      <w:r>
        <w:rPr>
          <w:rFonts w:hint="eastAsia" w:ascii="仿宋_GB2312" w:eastAsia="仿宋_GB2312"/>
          <w:color w:val="auto"/>
          <w:sz w:val="32"/>
          <w:szCs w:val="32"/>
          <w:highlight w:val="none"/>
        </w:rPr>
        <w:t>是典型的移民迁建城市，</w:t>
      </w:r>
      <w:r>
        <w:rPr>
          <w:rFonts w:hint="eastAsia" w:ascii="仿宋_GB2312" w:eastAsia="仿宋_GB2312"/>
          <w:color w:val="auto"/>
          <w:sz w:val="32"/>
          <w:szCs w:val="32"/>
          <w:highlight w:val="none"/>
          <w:lang w:val="en-US" w:eastAsia="zh-CN"/>
        </w:rPr>
        <w:t>由于</w:t>
      </w:r>
      <w:r>
        <w:rPr>
          <w:rFonts w:hint="eastAsia" w:ascii="仿宋_GB2312" w:eastAsia="仿宋_GB2312"/>
          <w:color w:val="auto"/>
          <w:sz w:val="32"/>
          <w:szCs w:val="32"/>
          <w:highlight w:val="none"/>
        </w:rPr>
        <w:t>当时忙于移民迁建和后扶工作，错过我国城镇化快速发展的黄金时期。同时限于移民迁建时期的建设</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配套标准，中心城区多以移民自建房和单位宿舍房为主，总体建筑品质偏低</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配套用地中</w:t>
      </w:r>
      <w:r>
        <w:rPr>
          <w:rFonts w:hint="eastAsia" w:ascii="仿宋_GB2312" w:eastAsia="仿宋_GB2312"/>
          <w:color w:val="auto"/>
          <w:sz w:val="32"/>
          <w:szCs w:val="32"/>
          <w:highlight w:val="none"/>
          <w:lang w:val="en-US" w:eastAsia="zh-CN"/>
        </w:rPr>
        <w:t>机关团体</w:t>
      </w:r>
      <w:r>
        <w:rPr>
          <w:rFonts w:hint="eastAsia" w:ascii="仿宋_GB2312" w:eastAsia="仿宋_GB2312"/>
          <w:color w:val="auto"/>
          <w:sz w:val="32"/>
          <w:szCs w:val="32"/>
          <w:highlight w:val="none"/>
        </w:rPr>
        <w:t>用地偏多，公共服务和商业配套设施偏少，城市开敞空间偏少</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中心城区整体建设水平和空间品质落后于周边区县。</w:t>
      </w:r>
    </w:p>
    <w:p w14:paraId="26E2AD4C">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lang w:val="en-US" w:eastAsia="zh-CN"/>
        </w:rPr>
        <w:t>吸引能力较弱</w:t>
      </w:r>
      <w:r>
        <w:rPr>
          <w:rFonts w:hint="eastAsia" w:ascii="仿宋_GB2312" w:eastAsia="仿宋_GB2312"/>
          <w:b/>
          <w:color w:val="auto"/>
          <w:sz w:val="32"/>
          <w:szCs w:val="32"/>
          <w:highlight w:val="none"/>
        </w:rPr>
        <w:t>，城市活力不足。</w:t>
      </w:r>
      <w:r>
        <w:rPr>
          <w:rFonts w:hint="eastAsia" w:ascii="仿宋_GB2312" w:eastAsia="仿宋_GB2312"/>
          <w:color w:val="auto"/>
          <w:sz w:val="32"/>
          <w:szCs w:val="32"/>
          <w:highlight w:val="none"/>
        </w:rPr>
        <w:t>受限于移民迁建标准，中心城区现状建设强度普遍偏低，导致城市用地价值体现不足，城市人口容量难以提高。同时由于县城距离攀枝花市中心城区较近，受攀枝花市中心城区虹吸效应尤为明显。据实地调查，多数盐边市民形成了白天在盐边上班，晚上</w:t>
      </w:r>
      <w:r>
        <w:rPr>
          <w:rFonts w:hint="eastAsia" w:ascii="仿宋_GB2312" w:eastAsia="仿宋_GB2312"/>
          <w:color w:val="auto"/>
          <w:sz w:val="32"/>
          <w:szCs w:val="32"/>
          <w:highlight w:val="none"/>
          <w:lang w:val="en-US" w:eastAsia="zh-CN"/>
        </w:rPr>
        <w:t>在</w:t>
      </w:r>
      <w:r>
        <w:rPr>
          <w:rFonts w:hint="eastAsia" w:ascii="仿宋_GB2312" w:eastAsia="仿宋_GB2312"/>
          <w:color w:val="auto"/>
          <w:sz w:val="32"/>
          <w:szCs w:val="32"/>
          <w:highlight w:val="none"/>
        </w:rPr>
        <w:t>攀枝花市中心城区居住的生产生活习惯，导致盐边中心城区人气不旺，</w:t>
      </w:r>
      <w:r>
        <w:rPr>
          <w:rFonts w:hint="eastAsia" w:ascii="仿宋_GB2312" w:eastAsia="仿宋_GB2312"/>
          <w:color w:val="auto"/>
          <w:sz w:val="32"/>
          <w:szCs w:val="32"/>
          <w:highlight w:val="none"/>
          <w:lang w:val="en-US" w:eastAsia="zh-CN"/>
        </w:rPr>
        <w:t>活力不足</w:t>
      </w:r>
      <w:r>
        <w:rPr>
          <w:rFonts w:hint="eastAsia" w:ascii="仿宋_GB2312" w:eastAsia="仿宋_GB2312"/>
          <w:color w:val="auto"/>
          <w:sz w:val="32"/>
          <w:szCs w:val="32"/>
          <w:highlight w:val="none"/>
        </w:rPr>
        <w:t>。</w:t>
      </w:r>
    </w:p>
    <w:p w14:paraId="33B77353">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城市规模较小，空间功能</w:t>
      </w:r>
      <w:r>
        <w:rPr>
          <w:rFonts w:hint="eastAsia" w:ascii="仿宋_GB2312" w:eastAsia="仿宋_GB2312"/>
          <w:b/>
          <w:bCs/>
          <w:color w:val="auto"/>
          <w:sz w:val="32"/>
          <w:szCs w:val="32"/>
          <w:highlight w:val="none"/>
          <w:lang w:val="en-US" w:eastAsia="zh-CN"/>
        </w:rPr>
        <w:t>混杂</w:t>
      </w:r>
      <w:r>
        <w:rPr>
          <w:rFonts w:hint="eastAsia" w:ascii="仿宋_GB2312" w:eastAsia="仿宋_GB2312"/>
          <w:b/>
          <w:bCs/>
          <w:color w:val="auto"/>
          <w:sz w:val="32"/>
          <w:szCs w:val="32"/>
          <w:highlight w:val="none"/>
        </w:rPr>
        <w:t>。</w:t>
      </w:r>
      <w:r>
        <w:rPr>
          <w:rFonts w:hint="eastAsia" w:ascii="仿宋_GB2312" w:eastAsia="仿宋_GB2312"/>
          <w:color w:val="auto"/>
          <w:sz w:val="32"/>
          <w:szCs w:val="32"/>
          <w:highlight w:val="none"/>
        </w:rPr>
        <w:t>中心城区现状建设用地规模</w:t>
      </w:r>
      <w:r>
        <w:rPr>
          <w:rFonts w:hint="eastAsia" w:ascii="仿宋_GB2312" w:eastAsia="仿宋_GB2312"/>
          <w:color w:val="auto"/>
          <w:sz w:val="32"/>
          <w:szCs w:val="32"/>
          <w:highlight w:val="none"/>
          <w:lang w:val="en-US" w:eastAsia="zh-CN"/>
        </w:rPr>
        <w:t>仅2.44</w:t>
      </w:r>
      <w:r>
        <w:rPr>
          <w:rFonts w:hint="eastAsia" w:ascii="仿宋_GB2312" w:eastAsia="仿宋_GB2312"/>
          <w:color w:val="auto"/>
          <w:sz w:val="32"/>
          <w:szCs w:val="32"/>
          <w:highlight w:val="none"/>
        </w:rPr>
        <w:t>平方千米，</w:t>
      </w:r>
      <w:r>
        <w:rPr>
          <w:rFonts w:hint="eastAsia" w:ascii="仿宋_GB2312" w:eastAsia="仿宋_GB2312"/>
          <w:color w:val="auto"/>
          <w:sz w:val="32"/>
          <w:szCs w:val="32"/>
          <w:highlight w:val="none"/>
          <w:lang w:val="en-US" w:eastAsia="zh-CN"/>
        </w:rPr>
        <w:t>规模较小。中心城区基本</w:t>
      </w:r>
      <w:r>
        <w:rPr>
          <w:rFonts w:hint="eastAsia" w:ascii="仿宋_GB2312" w:eastAsia="仿宋_GB2312"/>
          <w:color w:val="auto"/>
          <w:sz w:val="32"/>
          <w:szCs w:val="32"/>
          <w:highlight w:val="none"/>
        </w:rPr>
        <w:t>形成3个功能组团，即北部二滩</w:t>
      </w:r>
      <w:r>
        <w:rPr>
          <w:rFonts w:hint="eastAsia" w:ascii="仿宋_GB2312" w:eastAsia="仿宋_GB2312"/>
          <w:color w:val="auto"/>
          <w:sz w:val="32"/>
          <w:szCs w:val="32"/>
          <w:highlight w:val="none"/>
          <w:lang w:val="en-US" w:eastAsia="zh-CN"/>
        </w:rPr>
        <w:t>水电</w:t>
      </w:r>
      <w:r>
        <w:rPr>
          <w:rFonts w:hint="eastAsia" w:ascii="仿宋_GB2312" w:eastAsia="仿宋_GB2312"/>
          <w:color w:val="auto"/>
          <w:sz w:val="32"/>
          <w:szCs w:val="32"/>
          <w:highlight w:val="none"/>
        </w:rPr>
        <w:t>开发公司，中部城市生活区和南部城市新区。其中北部二滩</w:t>
      </w:r>
      <w:r>
        <w:rPr>
          <w:rFonts w:hint="eastAsia" w:ascii="仿宋_GB2312" w:eastAsia="仿宋_GB2312"/>
          <w:color w:val="auto"/>
          <w:sz w:val="32"/>
          <w:szCs w:val="32"/>
          <w:highlight w:val="none"/>
          <w:lang w:val="en-US" w:eastAsia="zh-CN"/>
        </w:rPr>
        <w:t>水电</w:t>
      </w:r>
      <w:r>
        <w:rPr>
          <w:rFonts w:hint="eastAsia" w:ascii="仿宋_GB2312" w:eastAsia="仿宋_GB2312"/>
          <w:color w:val="auto"/>
          <w:sz w:val="32"/>
          <w:szCs w:val="32"/>
          <w:highlight w:val="none"/>
        </w:rPr>
        <w:t>开发公司为封闭式管理，不承担城市配套功能；中部城市生活区为居民生产生活主要区域，但工业、仓储等用地</w:t>
      </w:r>
      <w:r>
        <w:rPr>
          <w:rFonts w:hint="eastAsia" w:ascii="仿宋_GB2312" w:eastAsia="仿宋_GB2312"/>
          <w:color w:val="auto"/>
          <w:sz w:val="32"/>
          <w:szCs w:val="32"/>
          <w:highlight w:val="none"/>
          <w:lang w:val="en-US" w:eastAsia="zh-CN"/>
        </w:rPr>
        <w:t>与</w:t>
      </w:r>
      <w:r>
        <w:rPr>
          <w:rFonts w:hint="eastAsia" w:ascii="仿宋_GB2312" w:eastAsia="仿宋_GB2312"/>
          <w:color w:val="auto"/>
          <w:sz w:val="32"/>
          <w:szCs w:val="32"/>
          <w:highlight w:val="none"/>
        </w:rPr>
        <w:t>居住</w:t>
      </w:r>
      <w:r>
        <w:rPr>
          <w:rFonts w:hint="eastAsia" w:ascii="仿宋_GB2312" w:eastAsia="仿宋_GB2312"/>
          <w:color w:val="auto"/>
          <w:sz w:val="32"/>
          <w:szCs w:val="32"/>
          <w:highlight w:val="none"/>
          <w:lang w:val="en-US" w:eastAsia="zh-CN"/>
        </w:rPr>
        <w:t>用地</w:t>
      </w:r>
      <w:r>
        <w:rPr>
          <w:rFonts w:hint="eastAsia" w:ascii="仿宋_GB2312" w:eastAsia="仿宋_GB2312"/>
          <w:color w:val="auto"/>
          <w:sz w:val="32"/>
          <w:szCs w:val="32"/>
          <w:highlight w:val="none"/>
        </w:rPr>
        <w:t>混杂布局，相互影响较大。南部为城市新区，</w:t>
      </w:r>
      <w:r>
        <w:rPr>
          <w:rFonts w:hint="eastAsia" w:ascii="仿宋_GB2312" w:eastAsia="仿宋_GB2312"/>
          <w:color w:val="auto"/>
          <w:sz w:val="32"/>
          <w:szCs w:val="32"/>
          <w:highlight w:val="none"/>
          <w:lang w:eastAsia="zh-CN"/>
        </w:rPr>
        <w:t>以居住用地为主</w:t>
      </w:r>
      <w:r>
        <w:rPr>
          <w:rFonts w:hint="eastAsia" w:ascii="仿宋_GB2312" w:eastAsia="仿宋_GB2312"/>
          <w:color w:val="auto"/>
          <w:sz w:val="32"/>
          <w:szCs w:val="32"/>
          <w:highlight w:val="none"/>
        </w:rPr>
        <w:t>，缺乏配套用地。</w:t>
      </w:r>
    </w:p>
    <w:p w14:paraId="6DDABAC3">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迁建历史短促，文化内涵不显。</w:t>
      </w:r>
      <w:r>
        <w:rPr>
          <w:rFonts w:hint="eastAsia" w:ascii="仿宋_GB2312" w:eastAsia="仿宋_GB2312"/>
          <w:color w:val="auto"/>
          <w:sz w:val="32"/>
          <w:szCs w:val="32"/>
          <w:highlight w:val="none"/>
        </w:rPr>
        <w:t>90年代移民迁建形成的盐边中心城区，城建历史短促</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至今</w:t>
      </w:r>
      <w:r>
        <w:rPr>
          <w:rFonts w:hint="eastAsia" w:ascii="仿宋_GB2312" w:eastAsia="仿宋_GB2312"/>
          <w:color w:val="auto"/>
          <w:sz w:val="32"/>
          <w:szCs w:val="32"/>
          <w:highlight w:val="none"/>
        </w:rPr>
        <w:t>不到三十年。移民迁建时期的建设对地域历史文化的体现相对不足，在后续的城市建设中，城市的历史文化内涵一直难以找到合适的主体内容和空间载体，因此造成中心城区目前存在历史脉络缺乏、文化归属感弱、城市风貌特色模糊等问题。</w:t>
      </w:r>
    </w:p>
    <w:p w14:paraId="6EB048FB">
      <w:pPr>
        <w:pStyle w:val="7"/>
        <w:keepNext/>
        <w:keepLines/>
        <w:numPr>
          <w:ilvl w:val="0"/>
          <w:numId w:val="6"/>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27" w:name="_Toc132447818"/>
      <w:bookmarkStart w:id="28" w:name="_Toc31114"/>
      <w:bookmarkStart w:id="29" w:name="_Toc8227"/>
      <w:r>
        <w:rPr>
          <w:rFonts w:hint="eastAsia" w:ascii="黑体" w:hAnsi="黑体" w:eastAsia="黑体"/>
          <w:bCs/>
          <w:color w:val="auto"/>
          <w:sz w:val="32"/>
          <w:szCs w:val="32"/>
          <w:highlight w:val="none"/>
        </w:rPr>
        <w:t>机遇与挑战</w:t>
      </w:r>
      <w:bookmarkEnd w:id="27"/>
      <w:bookmarkEnd w:id="28"/>
      <w:bookmarkEnd w:id="29"/>
    </w:p>
    <w:p w14:paraId="57976F3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机遇</w:t>
      </w:r>
    </w:p>
    <w:p w14:paraId="0DA20153">
      <w:pPr>
        <w:spacing w:line="600" w:lineRule="exact"/>
        <w:ind w:firstLine="641"/>
        <w:rPr>
          <w:rFonts w:ascii="仿宋_GB2312" w:eastAsia="仿宋_GB2312"/>
          <w:b/>
          <w:color w:val="auto"/>
          <w:sz w:val="32"/>
          <w:szCs w:val="32"/>
          <w:highlight w:val="none"/>
        </w:rPr>
      </w:pPr>
      <w:r>
        <w:rPr>
          <w:rFonts w:hint="eastAsia" w:ascii="仿宋_GB2312" w:eastAsia="仿宋_GB2312"/>
          <w:b/>
          <w:color w:val="auto"/>
          <w:sz w:val="32"/>
          <w:szCs w:val="32"/>
          <w:highlight w:val="none"/>
        </w:rPr>
        <w:t>“生态文明”“高质量发展”和“双碳”对盐边县生态建设与发展模式转型提出新要求。</w:t>
      </w:r>
      <w:r>
        <w:rPr>
          <w:rFonts w:hint="eastAsia" w:ascii="仿宋_GB2312" w:eastAsia="仿宋_GB2312"/>
          <w:b/>
          <w:color w:val="auto"/>
          <w:sz w:val="32"/>
          <w:szCs w:val="32"/>
          <w:highlight w:val="none"/>
          <w:lang w:eastAsia="zh-CN"/>
        </w:rPr>
        <w:t>以“</w:t>
      </w:r>
      <w:r>
        <w:rPr>
          <w:rFonts w:hint="eastAsia" w:ascii="仿宋_GB2312" w:eastAsia="仿宋_GB2312"/>
          <w:color w:val="auto"/>
          <w:sz w:val="32"/>
          <w:szCs w:val="32"/>
          <w:highlight w:val="none"/>
        </w:rPr>
        <w:t>生态文明”与“高质量发展”为核心的新发展理念，要求盐边县履行长江上游生态屏障的生态保护职责，打造山清水秀的人居环境，由“工业文明”转向“生态文明”。推进绿色低碳发展将有利于盐边县抢抓政策窗口期，进一步放大清洁能源资源优势，推动生产生活方式全面绿色转型</w:t>
      </w:r>
      <w:r>
        <w:rPr>
          <w:rFonts w:hint="eastAsia" w:ascii="仿宋_GB2312" w:eastAsia="仿宋_GB2312"/>
          <w:color w:val="auto"/>
          <w:sz w:val="32"/>
          <w:szCs w:val="32"/>
          <w:highlight w:val="none"/>
          <w:lang w:eastAsia="zh-CN"/>
        </w:rPr>
        <w:t>。</w:t>
      </w:r>
    </w:p>
    <w:p w14:paraId="28C0C608">
      <w:pPr>
        <w:spacing w:line="600" w:lineRule="exact"/>
        <w:ind w:firstLine="641"/>
        <w:rPr>
          <w:rFonts w:ascii="仿宋_GB2312" w:eastAsia="仿宋_GB2312"/>
          <w:b/>
          <w:color w:val="auto"/>
          <w:sz w:val="32"/>
          <w:szCs w:val="32"/>
          <w:highlight w:val="none"/>
        </w:rPr>
      </w:pPr>
      <w:r>
        <w:rPr>
          <w:rFonts w:hint="eastAsia" w:ascii="仿宋_GB2312" w:eastAsia="仿宋_GB2312"/>
          <w:b/>
          <w:color w:val="auto"/>
          <w:sz w:val="32"/>
          <w:szCs w:val="32"/>
          <w:highlight w:val="none"/>
        </w:rPr>
        <w:t>高质量建设共同富裕试验区，为提升国土空间利用效率创造条件。</w:t>
      </w:r>
      <w:r>
        <w:rPr>
          <w:rFonts w:hint="eastAsia" w:ascii="仿宋_GB2312" w:eastAsia="仿宋_GB2312"/>
          <w:color w:val="auto"/>
          <w:sz w:val="32"/>
          <w:szCs w:val="32"/>
          <w:highlight w:val="none"/>
        </w:rPr>
        <w:t>省委“四化同步、城乡融合、五区共兴”战略部署全面推进，攀西国家战略资源创新开发试验区、高质量发展建设共同富裕试验区等政策平台先后在攀枝花落地，攀枝花创新驱动新优势加快培育，现代产业体系发展壮大，高质量发展的牵引力、推动力、支撑力相应增强，对盐边辐射带动能力亦更加强劲，为盐边县全面提升国土空间利用效率创造了有利条件。</w:t>
      </w:r>
    </w:p>
    <w:p w14:paraId="588E0680">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红格南矿从战略储备到重点开发，具有重大战略意义。</w:t>
      </w:r>
      <w:r>
        <w:rPr>
          <w:rFonts w:hint="eastAsia" w:ascii="仿宋_GB2312" w:eastAsia="仿宋_GB2312"/>
          <w:color w:val="auto"/>
          <w:sz w:val="32"/>
          <w:szCs w:val="32"/>
          <w:highlight w:val="none"/>
        </w:rPr>
        <w:t>攀枝花是全国著名的工矿城市，是三线建设中以战备为指导思想的大规模国防、科技、工业和交通建设中的重中之重，是承担国家钢铁战略保障的重要城市，肩负国家安全重任。在《全国矿产资源规划（2021—2025年）》《四川省矿产资源总体规划（2</w:t>
      </w:r>
      <w:r>
        <w:rPr>
          <w:rFonts w:ascii="仿宋_GB2312" w:eastAsia="仿宋_GB2312"/>
          <w:color w:val="auto"/>
          <w:sz w:val="32"/>
          <w:szCs w:val="32"/>
          <w:highlight w:val="none"/>
        </w:rPr>
        <w:t>021</w:t>
      </w:r>
      <w:r>
        <w:rPr>
          <w:rFonts w:hint="eastAsia" w:ascii="仿宋_GB2312" w:eastAsia="仿宋_GB2312"/>
          <w:color w:val="auto"/>
          <w:sz w:val="32"/>
          <w:szCs w:val="32"/>
          <w:highlight w:val="none"/>
        </w:rPr>
        <w:t>—</w:t>
      </w:r>
      <w:r>
        <w:rPr>
          <w:rFonts w:ascii="仿宋_GB2312" w:eastAsia="仿宋_GB2312"/>
          <w:color w:val="auto"/>
          <w:sz w:val="32"/>
          <w:szCs w:val="32"/>
          <w:highlight w:val="none"/>
        </w:rPr>
        <w:t>2025</w:t>
      </w:r>
      <w:r>
        <w:rPr>
          <w:rFonts w:hint="eastAsia" w:ascii="仿宋_GB2312" w:eastAsia="仿宋_GB2312"/>
          <w:color w:val="auto"/>
          <w:sz w:val="32"/>
          <w:szCs w:val="32"/>
          <w:highlight w:val="none"/>
        </w:rPr>
        <w:t>年）》中将红格钒钛磁铁矿由原来的战略储备开采区调整为重点开采区，纳入国家级能源资源基地，进入有序开发阶段。红格钒钛磁铁矿的开发，正是国家应对当今世界正经历百年未有之大变局的战略考量，对保障国家矿产资源安全、国家国防安全等具有重大意义。矿产资源开发所需用地应重点保障，由此所带来的产业发展和人口集聚，也为盐边县带来了重大机遇。</w:t>
      </w:r>
    </w:p>
    <w:p w14:paraId="68320769">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经济地理格局加快重构，为盐边融入新发展格局提供支撑。</w:t>
      </w:r>
      <w:r>
        <w:rPr>
          <w:rFonts w:hint="eastAsia" w:ascii="仿宋_GB2312" w:eastAsia="仿宋_GB2312"/>
          <w:color w:val="auto"/>
          <w:sz w:val="32"/>
          <w:szCs w:val="32"/>
          <w:highlight w:val="none"/>
        </w:rPr>
        <w:t>全省基础设施建设迎来重大突破，内陆开放战略高地加速形成，特别是成昆铁路扩能改造工程和攀盐、宜攀、丽攀高速公路等建成通车，使盐边县交通格局发生历史性转变，为今后区域协同发展提供有力支撑。</w:t>
      </w:r>
    </w:p>
    <w:p w14:paraId="091BFCA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挑战</w:t>
      </w:r>
    </w:p>
    <w:p w14:paraId="0950FA72">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资源优势未能有效转化为经济优势。</w:t>
      </w:r>
      <w:r>
        <w:rPr>
          <w:rFonts w:hint="eastAsia" w:ascii="仿宋_GB2312" w:eastAsia="仿宋_GB2312"/>
          <w:color w:val="auto"/>
          <w:sz w:val="32"/>
          <w:szCs w:val="32"/>
          <w:highlight w:val="none"/>
        </w:rPr>
        <w:t>盐边钒钛资源丰富，但创新能力不够，精深加工不足，传统产能过剩，产业链纵向延展不够，资源的综合利用水平低，导致最具竞争优势的钒钛资源</w:t>
      </w:r>
      <w:r>
        <w:rPr>
          <w:rFonts w:hint="eastAsia" w:ascii="仿宋_GB2312" w:eastAsia="仿宋_GB2312"/>
          <w:color w:val="auto"/>
          <w:sz w:val="32"/>
          <w:szCs w:val="32"/>
          <w:highlight w:val="none"/>
          <w:lang w:val="en-US" w:eastAsia="zh-CN"/>
        </w:rPr>
        <w:t>未能</w:t>
      </w:r>
      <w:r>
        <w:rPr>
          <w:rFonts w:hint="eastAsia" w:ascii="仿宋_GB2312" w:eastAsia="仿宋_GB2312"/>
          <w:color w:val="auto"/>
          <w:sz w:val="32"/>
          <w:szCs w:val="32"/>
          <w:highlight w:val="none"/>
        </w:rPr>
        <w:t>充分发挥</w:t>
      </w:r>
      <w:r>
        <w:rPr>
          <w:rFonts w:hint="eastAsia" w:ascii="仿宋_GB2312" w:eastAsia="仿宋_GB2312"/>
          <w:color w:val="auto"/>
          <w:sz w:val="32"/>
          <w:szCs w:val="32"/>
          <w:highlight w:val="none"/>
          <w:lang w:val="en-US" w:eastAsia="zh-CN"/>
        </w:rPr>
        <w:t>其</w:t>
      </w:r>
      <w:r>
        <w:rPr>
          <w:rFonts w:hint="eastAsia" w:ascii="仿宋_GB2312" w:eastAsia="仿宋_GB2312"/>
          <w:color w:val="auto"/>
          <w:sz w:val="32"/>
          <w:szCs w:val="32"/>
          <w:highlight w:val="none"/>
        </w:rPr>
        <w:t>经济价值和社会效益。</w:t>
      </w:r>
      <w:r>
        <w:rPr>
          <w:rFonts w:hint="eastAsia" w:ascii="仿宋_GB2312" w:eastAsia="仿宋_GB2312"/>
          <w:color w:val="auto"/>
          <w:sz w:val="32"/>
          <w:szCs w:val="32"/>
          <w:highlight w:val="none"/>
          <w:lang w:val="en-US" w:eastAsia="zh-CN"/>
        </w:rPr>
        <w:t>盐边</w:t>
      </w:r>
      <w:r>
        <w:rPr>
          <w:rFonts w:hint="eastAsia" w:ascii="仿宋_GB2312" w:eastAsia="仿宋_GB2312"/>
          <w:color w:val="auto"/>
          <w:sz w:val="32"/>
          <w:szCs w:val="32"/>
          <w:highlight w:val="none"/>
        </w:rPr>
        <w:t>气候环境和自然生态</w:t>
      </w:r>
      <w:r>
        <w:rPr>
          <w:rFonts w:hint="eastAsia" w:ascii="仿宋_GB2312" w:eastAsia="仿宋_GB2312"/>
          <w:color w:val="auto"/>
          <w:sz w:val="32"/>
          <w:szCs w:val="32"/>
          <w:highlight w:val="none"/>
          <w:lang w:val="en-US" w:eastAsia="zh-CN"/>
        </w:rPr>
        <w:t>环境</w:t>
      </w:r>
      <w:r>
        <w:rPr>
          <w:rFonts w:hint="eastAsia" w:ascii="仿宋_GB2312" w:eastAsia="仿宋_GB2312"/>
          <w:color w:val="auto"/>
          <w:sz w:val="32"/>
          <w:szCs w:val="32"/>
          <w:highlight w:val="none"/>
        </w:rPr>
        <w:t>优质，旅游资源丰富，但</w:t>
      </w:r>
      <w:r>
        <w:rPr>
          <w:rFonts w:hint="eastAsia" w:ascii="仿宋_GB2312" w:eastAsia="仿宋_GB2312"/>
          <w:color w:val="auto"/>
          <w:sz w:val="32"/>
          <w:szCs w:val="32"/>
          <w:highlight w:val="none"/>
          <w:lang w:val="en-US" w:eastAsia="zh-CN"/>
        </w:rPr>
        <w:t>系统化</w:t>
      </w:r>
      <w:r>
        <w:rPr>
          <w:rFonts w:hint="eastAsia" w:ascii="仿宋_GB2312" w:eastAsia="仿宋_GB2312"/>
          <w:color w:val="auto"/>
          <w:sz w:val="32"/>
          <w:szCs w:val="32"/>
          <w:highlight w:val="none"/>
        </w:rPr>
        <w:t>力度不够，旅游设施及服务配套落后，定位模糊，缺乏知名度，吸引力不足，尚未把丰富的生态和阳光资源转变成经济发展动力。</w:t>
      </w:r>
    </w:p>
    <w:p w14:paraId="56E0FDE3">
      <w:pPr>
        <w:spacing w:line="600" w:lineRule="exact"/>
        <w:ind w:firstLine="641"/>
        <w:rPr>
          <w:rFonts w:hint="eastAsia" w:ascii="仿宋_GB2312" w:eastAsia="仿宋_GB2312"/>
          <w:color w:val="auto"/>
          <w:sz w:val="32"/>
          <w:szCs w:val="32"/>
          <w:highlight w:val="none"/>
        </w:rPr>
      </w:pPr>
      <w:r>
        <w:rPr>
          <w:rFonts w:hint="eastAsia" w:ascii="仿宋_GB2312" w:eastAsia="仿宋_GB2312"/>
          <w:b/>
          <w:color w:val="auto"/>
          <w:sz w:val="32"/>
          <w:szCs w:val="32"/>
          <w:highlight w:val="none"/>
        </w:rPr>
        <w:t>区域发展不平衡，共同富裕任务艰巨。</w:t>
      </w:r>
      <w:r>
        <w:rPr>
          <w:rFonts w:hint="eastAsia" w:ascii="仿宋_GB2312" w:eastAsia="仿宋_GB2312"/>
          <w:color w:val="auto"/>
          <w:sz w:val="32"/>
          <w:szCs w:val="32"/>
          <w:highlight w:val="none"/>
        </w:rPr>
        <w:t>由于地形条件及资源禀赋的差异，盐边县南北</w:t>
      </w:r>
      <w:r>
        <w:rPr>
          <w:rFonts w:hint="eastAsia" w:ascii="仿宋_GB2312" w:eastAsia="仿宋_GB2312"/>
          <w:color w:val="auto"/>
          <w:sz w:val="32"/>
          <w:szCs w:val="32"/>
          <w:highlight w:val="none"/>
          <w:lang w:val="en-US" w:eastAsia="zh-CN"/>
        </w:rPr>
        <w:t>区域</w:t>
      </w:r>
      <w:r>
        <w:rPr>
          <w:rFonts w:hint="eastAsia" w:ascii="仿宋_GB2312" w:eastAsia="仿宋_GB2312"/>
          <w:color w:val="auto"/>
          <w:sz w:val="32"/>
          <w:szCs w:val="32"/>
          <w:highlight w:val="none"/>
        </w:rPr>
        <w:t>在经济发展水平、产业结构、人口分布、城镇建设、交通联系等方面呈现出明显的不平衡。</w:t>
      </w:r>
    </w:p>
    <w:p w14:paraId="175867B2">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要素流动加快，存在人口继续外流风险。</w:t>
      </w:r>
      <w:r>
        <w:rPr>
          <w:rFonts w:hint="eastAsia" w:ascii="仿宋_GB2312" w:eastAsia="仿宋_GB2312"/>
          <w:color w:val="auto"/>
          <w:sz w:val="32"/>
          <w:szCs w:val="32"/>
          <w:highlight w:val="none"/>
        </w:rPr>
        <w:t>随着区域公铁交通干线、枢纽建设，盐边县对外交通</w:t>
      </w:r>
      <w:r>
        <w:rPr>
          <w:rFonts w:hint="eastAsia" w:ascii="仿宋_GB2312" w:eastAsia="仿宋_GB2312"/>
          <w:color w:val="auto"/>
          <w:sz w:val="32"/>
          <w:szCs w:val="32"/>
          <w:highlight w:val="none"/>
          <w:lang w:val="en-US" w:eastAsia="zh-CN"/>
        </w:rPr>
        <w:t>条件大幅改善</w:t>
      </w:r>
      <w:r>
        <w:rPr>
          <w:rFonts w:hint="eastAsia" w:ascii="仿宋_GB2312" w:eastAsia="仿宋_GB2312"/>
          <w:color w:val="auto"/>
          <w:sz w:val="32"/>
          <w:szCs w:val="32"/>
          <w:highlight w:val="none"/>
        </w:rPr>
        <w:t>，区域要素流动更加频繁，一方面能够带动产业的快速发展，加快地方经济建设，另一方面，人们出行更加便捷，在本地经济和</w:t>
      </w:r>
      <w:r>
        <w:rPr>
          <w:rFonts w:ascii="仿宋_GB2312" w:eastAsia="仿宋_GB2312"/>
          <w:color w:val="auto"/>
          <w:sz w:val="32"/>
          <w:szCs w:val="32"/>
          <w:highlight w:val="none"/>
        </w:rPr>
        <w:t>配套设施尚未达到一定水平</w:t>
      </w:r>
      <w:r>
        <w:rPr>
          <w:rFonts w:hint="eastAsia" w:ascii="仿宋_GB2312" w:eastAsia="仿宋_GB2312"/>
          <w:color w:val="auto"/>
          <w:sz w:val="32"/>
          <w:szCs w:val="32"/>
          <w:highlight w:val="none"/>
        </w:rPr>
        <w:t>前</w:t>
      </w:r>
      <w:r>
        <w:rPr>
          <w:rFonts w:ascii="仿宋_GB2312" w:eastAsia="仿宋_GB2312"/>
          <w:color w:val="auto"/>
          <w:sz w:val="32"/>
          <w:szCs w:val="32"/>
          <w:highlight w:val="none"/>
        </w:rPr>
        <w:t>，</w:t>
      </w:r>
      <w:r>
        <w:rPr>
          <w:rFonts w:hint="eastAsia" w:ascii="仿宋_GB2312" w:eastAsia="仿宋_GB2312"/>
          <w:color w:val="auto"/>
          <w:sz w:val="32"/>
          <w:szCs w:val="32"/>
          <w:highlight w:val="none"/>
        </w:rPr>
        <w:t>存在加剧人口外流的风险。</w:t>
      </w:r>
    </w:p>
    <w:p w14:paraId="1BDF886D">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br w:type="page"/>
      </w:r>
    </w:p>
    <w:p w14:paraId="14A9E7DE">
      <w:pPr>
        <w:pStyle w:val="5"/>
        <w:rPr>
          <w:b/>
          <w:bCs/>
          <w:color w:val="auto"/>
          <w:sz w:val="36"/>
          <w:szCs w:val="36"/>
          <w:highlight w:val="none"/>
        </w:rPr>
      </w:pPr>
      <w:bookmarkStart w:id="30" w:name="_Toc22291"/>
      <w:bookmarkStart w:id="31" w:name="_Toc9065"/>
      <w:bookmarkStart w:id="32" w:name="_Toc132447819"/>
      <w:r>
        <w:rPr>
          <w:rFonts w:hint="eastAsia"/>
          <w:b/>
          <w:bCs/>
          <w:color w:val="auto"/>
          <w:sz w:val="36"/>
          <w:szCs w:val="36"/>
          <w:highlight w:val="none"/>
        </w:rPr>
        <w:t>第二部分 战略与目标</w:t>
      </w:r>
      <w:bookmarkEnd w:id="30"/>
      <w:bookmarkEnd w:id="31"/>
      <w:bookmarkEnd w:id="32"/>
    </w:p>
    <w:p w14:paraId="28FF6F86">
      <w:pPr>
        <w:pStyle w:val="7"/>
        <w:keepNext/>
        <w:keepLines/>
        <w:numPr>
          <w:ilvl w:val="0"/>
          <w:numId w:val="10"/>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33" w:name="_Toc18901"/>
      <w:bookmarkStart w:id="34" w:name="_Toc132447821"/>
      <w:bookmarkStart w:id="35" w:name="_Toc9064"/>
      <w:r>
        <w:rPr>
          <w:rFonts w:hint="eastAsia" w:ascii="黑体" w:hAnsi="黑体" w:eastAsia="黑体"/>
          <w:bCs/>
          <w:color w:val="auto"/>
          <w:sz w:val="32"/>
          <w:szCs w:val="32"/>
          <w:highlight w:val="none"/>
        </w:rPr>
        <w:t>思路目标</w:t>
      </w:r>
      <w:bookmarkEnd w:id="33"/>
      <w:bookmarkEnd w:id="34"/>
      <w:bookmarkEnd w:id="35"/>
    </w:p>
    <w:p w14:paraId="1B728AA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36" w:name="_Toc122513161"/>
      <w:r>
        <w:rPr>
          <w:rFonts w:hint="eastAsia" w:ascii="仿宋_GB2312" w:hAnsi="Times New Roman" w:eastAsia="仿宋_GB2312"/>
          <w:b/>
          <w:bCs/>
          <w:color w:val="auto"/>
          <w:sz w:val="32"/>
          <w:szCs w:val="28"/>
          <w:highlight w:val="none"/>
        </w:rPr>
        <w:t>指导思想</w:t>
      </w:r>
      <w:bookmarkEnd w:id="36"/>
    </w:p>
    <w:p w14:paraId="25441282">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全面贯彻落实党的二十大精神和习近平总书记来川视察重要指示精神，统筹推进“五位一体”总体布局，协调推进“四个全面”战略布局。落实自然资源部关于空间规划体系改革的系列要求，落实省第十二次党代会，省委十二届二次、三次、四次全会精神及“四化同步、城乡融合、五区共兴”发展战略要求。紧紧围绕</w:t>
      </w:r>
      <w:r>
        <w:rPr>
          <w:rFonts w:hint="eastAsia" w:ascii="仿宋_GB2312" w:eastAsia="仿宋_GB2312"/>
          <w:color w:val="auto"/>
          <w:sz w:val="32"/>
          <w:szCs w:val="32"/>
          <w:highlight w:val="none"/>
          <w:lang w:eastAsia="zh-CN"/>
        </w:rPr>
        <w:t>省委、省政府</w:t>
      </w:r>
      <w:r>
        <w:rPr>
          <w:rFonts w:hint="eastAsia" w:ascii="仿宋_GB2312" w:eastAsia="仿宋_GB2312"/>
          <w:color w:val="auto"/>
          <w:sz w:val="32"/>
          <w:szCs w:val="32"/>
          <w:highlight w:val="none"/>
        </w:rPr>
        <w:t>对攀枝花“两区三地一门户一粮仓”的新定位和市委总体发展战略，</w:t>
      </w:r>
      <w:r>
        <w:rPr>
          <w:rFonts w:hint="eastAsia" w:ascii="仿宋_GB2312" w:eastAsia="仿宋_GB2312"/>
          <w:color w:val="auto"/>
          <w:sz w:val="32"/>
          <w:szCs w:val="32"/>
          <w:highlight w:val="none"/>
          <w:lang w:val="en-US" w:eastAsia="zh-CN"/>
        </w:rPr>
        <w:t>聚焦</w:t>
      </w:r>
      <w:r>
        <w:rPr>
          <w:rFonts w:hint="eastAsia" w:ascii="仿宋_GB2312" w:eastAsia="仿宋_GB2312"/>
          <w:color w:val="auto"/>
          <w:sz w:val="32"/>
          <w:szCs w:val="32"/>
          <w:highlight w:val="none"/>
        </w:rPr>
        <w:t>“钒钛首县、滋味盐边”，扎实推进“一区四县”发展战略。坚持以人民为中心，</w:t>
      </w:r>
      <w:r>
        <w:rPr>
          <w:rFonts w:hint="eastAsia" w:ascii="仿宋_GB2312" w:eastAsia="仿宋_GB2312"/>
          <w:color w:val="auto"/>
          <w:sz w:val="32"/>
          <w:szCs w:val="32"/>
          <w:highlight w:val="none"/>
          <w:lang w:eastAsia="zh-CN"/>
        </w:rPr>
        <w:t>统筹发展和安全</w:t>
      </w:r>
      <w:r>
        <w:rPr>
          <w:rFonts w:hint="eastAsia" w:ascii="仿宋_GB2312" w:eastAsia="仿宋_GB2312"/>
          <w:color w:val="auto"/>
          <w:sz w:val="32"/>
          <w:szCs w:val="32"/>
          <w:highlight w:val="none"/>
        </w:rPr>
        <w:t>，将“绿水青山就是金山银山”理念贯穿城市发展全过程。充分彰显生态产品价值，推动生态文明与经济社会发展相得益彰，统筹国土空间保护、开发、利用、修复，实现高质量发展、高品质生活、高效能治理相结合，探索山水人城和谐相融新实践。</w:t>
      </w:r>
    </w:p>
    <w:p w14:paraId="653B569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基本原则</w:t>
      </w:r>
    </w:p>
    <w:p w14:paraId="18FFD7F2">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坚守底线，安全发展。</w:t>
      </w:r>
      <w:r>
        <w:rPr>
          <w:rFonts w:hint="eastAsia" w:ascii="仿宋_GB2312" w:eastAsia="仿宋_GB2312"/>
          <w:color w:val="auto"/>
          <w:sz w:val="32"/>
          <w:szCs w:val="32"/>
          <w:highlight w:val="none"/>
        </w:rPr>
        <w:t>统筹划定“三区三线”，守住粮食安全和生态安全底线，坚决遏制耕地“非农化”、防止“非粮化”，助力安宁河流域打造新时代更高水平的“天府第二粮仓”。深化自然灾害风险评估工作，科学划定灾害风险区，避让和防治各类自然灾害，确保城乡人居环境安全。严格保护历史文化遗存，建立健全历史文化资源保护体系。加强对水资源和战略性能源矿产资源的管控，为落实国省发展战略、推动资源有序开发、高效利用创造条件。</w:t>
      </w:r>
    </w:p>
    <w:p w14:paraId="1D674793">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节约集约，绿色低碳。</w:t>
      </w:r>
      <w:r>
        <w:rPr>
          <w:rFonts w:hint="eastAsia" w:ascii="仿宋_GB2312" w:eastAsia="仿宋_GB2312"/>
          <w:color w:val="auto"/>
          <w:sz w:val="32"/>
          <w:szCs w:val="32"/>
          <w:highlight w:val="none"/>
        </w:rPr>
        <w:t>实施全面节约战略，</w:t>
      </w:r>
      <w:r>
        <w:rPr>
          <w:rFonts w:hint="eastAsia" w:ascii="仿宋_GB2312" w:eastAsia="仿宋_GB2312"/>
          <w:color w:val="auto"/>
          <w:sz w:val="32"/>
          <w:szCs w:val="32"/>
          <w:highlight w:val="none"/>
          <w:lang w:eastAsia="zh-CN"/>
        </w:rPr>
        <w:t>着力推动高质量发展</w:t>
      </w:r>
      <w:r>
        <w:rPr>
          <w:rFonts w:hint="eastAsia" w:ascii="仿宋_GB2312" w:eastAsia="仿宋_GB2312"/>
          <w:color w:val="auto"/>
          <w:sz w:val="32"/>
          <w:szCs w:val="32"/>
          <w:highlight w:val="none"/>
        </w:rPr>
        <w:t>，严格各类资源节约集约利用，提高资源利用效率，构建资源循环利用体系。坚定践行绿水青山就是金山银山理念，进一步树牢上游意识、强化上游担当，加强流域生态保护。加快发展方式绿色转型，严格实施资源总量和强度管控，巩固提升生态系统碳汇能力，有力有序推进碳达峰碳中和。</w:t>
      </w:r>
    </w:p>
    <w:p w14:paraId="2F189DBC">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战略引领，协同联动。</w:t>
      </w:r>
      <w:r>
        <w:rPr>
          <w:rFonts w:hint="eastAsia" w:ascii="仿宋_GB2312" w:eastAsia="仿宋_GB2312"/>
          <w:color w:val="auto"/>
          <w:sz w:val="32"/>
          <w:szCs w:val="32"/>
          <w:highlight w:val="none"/>
        </w:rPr>
        <w:t>深入实施区域协调发展战略、主体功能区战略和新型城镇化战略，抓住红格南矿开发重要机遇，以工业强县、阳光康养为发展战略，促进盐边县中心城区、新九镇、红格镇与攀枝花市中心城区一体化发展，统筹城乡，打造高能级产业生态圈和公共服务均衡共享优质生活圈。</w:t>
      </w:r>
    </w:p>
    <w:p w14:paraId="5D555FAD">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人民至上，品质提升。</w:t>
      </w:r>
      <w:r>
        <w:rPr>
          <w:rFonts w:hint="eastAsia" w:ascii="仿宋_GB2312" w:eastAsia="仿宋_GB2312"/>
          <w:color w:val="auto"/>
          <w:sz w:val="32"/>
          <w:szCs w:val="32"/>
          <w:highlight w:val="none"/>
        </w:rPr>
        <w:t>坚持以人民为中心的发展思想，强化设施配套和公共空间供给，改善城乡人居环境，构建宜居、宜业、宜乐、宜游的城乡生活服务圈。提高盐边县公共服务水平、公共空间品质和基础设施保障，促进城乡发展由外延扩张向内涵提升转变，推动形成绿色生产生活方式，不断增强人民群众的获得感、幸福感、安全感。</w:t>
      </w:r>
    </w:p>
    <w:p w14:paraId="274E6EA5">
      <w:pPr>
        <w:spacing w:line="600" w:lineRule="exact"/>
        <w:ind w:firstLine="641"/>
        <w:rPr>
          <w:rFonts w:ascii="仿宋_GB2312" w:hAnsi="宋体" w:eastAsia="仿宋_GB2312"/>
          <w:color w:val="auto"/>
          <w:sz w:val="32"/>
          <w:szCs w:val="32"/>
          <w:highlight w:val="none"/>
        </w:rPr>
      </w:pPr>
      <w:r>
        <w:rPr>
          <w:rFonts w:hint="eastAsia" w:ascii="仿宋_GB2312" w:hAnsi="宋体" w:eastAsia="仿宋_GB2312"/>
          <w:b/>
          <w:color w:val="auto"/>
          <w:sz w:val="32"/>
          <w:szCs w:val="32"/>
          <w:highlight w:val="none"/>
        </w:rPr>
        <w:t>城乡融合，统筹协调。</w:t>
      </w:r>
      <w:r>
        <w:rPr>
          <w:rFonts w:hint="eastAsia" w:ascii="仿宋_GB2312" w:hAnsi="宋体" w:eastAsia="仿宋_GB2312"/>
          <w:color w:val="auto"/>
          <w:sz w:val="32"/>
          <w:szCs w:val="32"/>
          <w:highlight w:val="none"/>
        </w:rPr>
        <w:t>统筹盐边县国土空间，实现国土空间全域覆盖、全要素管控。紧扣盐边县矿产丰富、绿色生态、阳光宜人等自然资源禀赋和发展基础，加快推进“四化同步、城乡融合”发展。实施乡村振兴战略，促进城乡要素合理流动，实现城乡基本公共服务和基础设施服务</w:t>
      </w:r>
      <w:r>
        <w:rPr>
          <w:rFonts w:hint="eastAsia" w:ascii="仿宋_GB2312" w:hAnsi="宋体" w:eastAsia="仿宋_GB2312"/>
          <w:color w:val="auto"/>
          <w:sz w:val="32"/>
          <w:szCs w:val="32"/>
          <w:highlight w:val="none"/>
          <w:lang w:val="en-US" w:eastAsia="zh-CN"/>
        </w:rPr>
        <w:t>均衡</w:t>
      </w:r>
      <w:r>
        <w:rPr>
          <w:rFonts w:hint="eastAsia" w:ascii="仿宋_GB2312" w:hAnsi="宋体" w:eastAsia="仿宋_GB2312"/>
          <w:color w:val="auto"/>
          <w:sz w:val="32"/>
          <w:szCs w:val="32"/>
          <w:highlight w:val="none"/>
        </w:rPr>
        <w:t>化</w:t>
      </w:r>
      <w:r>
        <w:rPr>
          <w:rFonts w:hint="eastAsia" w:ascii="仿宋_GB2312" w:hAnsi="宋体" w:eastAsia="仿宋_GB2312"/>
          <w:color w:val="auto"/>
          <w:sz w:val="32"/>
          <w:szCs w:val="32"/>
          <w:highlight w:val="none"/>
          <w:lang w:val="en-US" w:eastAsia="zh-CN"/>
        </w:rPr>
        <w:t>发展</w:t>
      </w:r>
      <w:r>
        <w:rPr>
          <w:rFonts w:hint="eastAsia" w:ascii="仿宋_GB2312" w:hAnsi="宋体" w:eastAsia="仿宋_GB2312"/>
          <w:color w:val="auto"/>
          <w:sz w:val="32"/>
          <w:szCs w:val="32"/>
          <w:highlight w:val="none"/>
        </w:rPr>
        <w:t>。严格控制建设用地总量和国土开发强度，提升国土空间利用质量和效益，强化中心城区集中集聚，乡村体现</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lang w:val="en-US" w:eastAsia="zh-CN"/>
        </w:rPr>
        <w:t>小规模、组团式、微田园、生态化</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，实现全域高质量发展。</w:t>
      </w:r>
    </w:p>
    <w:p w14:paraId="64F91610">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因地制宜，彰显魅力。</w:t>
      </w:r>
      <w:r>
        <w:rPr>
          <w:rFonts w:hint="eastAsia" w:ascii="仿宋_GB2312" w:eastAsia="仿宋_GB2312"/>
          <w:color w:val="auto"/>
          <w:sz w:val="32"/>
          <w:szCs w:val="32"/>
          <w:highlight w:val="none"/>
        </w:rPr>
        <w:t>尊重盐边县自然地理格局，发掘盐边县历史文化和自然景观资源禀赋，发挥比较优势，提出差异化发展战略。因地制宜强化历史人文资源的“全域全要素”保护与活化利用，延续文化基因，突出地域特点、文化特色和时代特征。</w:t>
      </w:r>
    </w:p>
    <w:p w14:paraId="3AE1FAC0">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增存并举，城市更新。</w:t>
      </w:r>
      <w:r>
        <w:rPr>
          <w:rFonts w:hint="eastAsia" w:ascii="仿宋_GB2312" w:eastAsia="仿宋_GB2312"/>
          <w:color w:val="auto"/>
          <w:sz w:val="32"/>
          <w:szCs w:val="32"/>
          <w:highlight w:val="none"/>
        </w:rPr>
        <w:t>统筹利用盐边县增量指标，注重新增建设用地优先保障重点区域和重大产业、民生项目。推进中心城区城市更新，统筹盘活存量指标，注重推进低效用地清理盘活，优先使用存量用地，促进近期建设节约集约利用。</w:t>
      </w:r>
    </w:p>
    <w:p w14:paraId="4D5B0B0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总体定位</w:t>
      </w:r>
    </w:p>
    <w:p w14:paraId="64595BD2">
      <w:pPr>
        <w:spacing w:line="600" w:lineRule="exact"/>
        <w:ind w:firstLine="640"/>
        <w:rPr>
          <w:rFonts w:hint="eastAsia" w:ascii="仿宋_GB2312" w:eastAsia="仿宋_GB2312" w:hAnsiTheme="minorEastAsia"/>
          <w:color w:val="auto"/>
          <w:sz w:val="32"/>
          <w:szCs w:val="32"/>
          <w:highlight w:val="none"/>
        </w:rPr>
      </w:pPr>
      <w:r>
        <w:rPr>
          <w:rFonts w:hint="eastAsia" w:ascii="仿宋_GB2312" w:eastAsia="仿宋_GB2312"/>
          <w:color w:val="auto"/>
          <w:sz w:val="32"/>
          <w:szCs w:val="32"/>
          <w:highlight w:val="none"/>
        </w:rPr>
        <w:t>落实四川省、攀枝花市对盐边县的相关要求，结合盐边县委十五届三次全会暨县委经济工作会议精神。对盐边县总体定位为：钒钛资源综合利用基地，现代特色农业基地，生态绿色发展区和阳光康养旅游目的地</w:t>
      </w:r>
      <w:r>
        <w:rPr>
          <w:rFonts w:ascii="仿宋_GB2312" w:eastAsia="仿宋_GB2312"/>
          <w:color w:val="auto"/>
          <w:sz w:val="32"/>
          <w:szCs w:val="32"/>
          <w:highlight w:val="none"/>
        </w:rPr>
        <w:t>。</w:t>
      </w:r>
    </w:p>
    <w:p w14:paraId="3FA8AA58">
      <w:pPr>
        <w:spacing w:line="600" w:lineRule="exact"/>
        <w:ind w:firstLine="640"/>
        <w:rPr>
          <w:rFonts w:ascii="仿宋_GB2312" w:eastAsia="仿宋_GB2312" w:hAnsiTheme="minorEastAsia"/>
          <w:color w:val="auto"/>
          <w:sz w:val="32"/>
          <w:szCs w:val="32"/>
          <w:highlight w:val="none"/>
        </w:rPr>
      </w:pPr>
      <w:r>
        <w:rPr>
          <w:rFonts w:hint="eastAsia" w:ascii="仿宋_GB2312" w:eastAsia="仿宋_GB2312" w:hAnsiTheme="minorEastAsia"/>
          <w:color w:val="auto"/>
          <w:sz w:val="32"/>
          <w:szCs w:val="32"/>
          <w:highlight w:val="none"/>
        </w:rPr>
        <w:t>中心城区城市性质：攀枝花钒钛产业发展配套服务区，攀枝花都市区重要功能组团，生态宜居的“花园县城”。</w:t>
      </w:r>
    </w:p>
    <w:p w14:paraId="7491FDE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发展目标</w:t>
      </w:r>
    </w:p>
    <w:p w14:paraId="69A76388">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规划近期至2025年，巩固全面建成小康社会成果。农业空间、生态空间和城镇空间实现有序管控，耕地保护和生态修复工作取得</w:t>
      </w:r>
      <w:r>
        <w:rPr>
          <w:rFonts w:hint="eastAsia" w:ascii="仿宋_GB2312" w:eastAsia="仿宋_GB2312"/>
          <w:color w:val="auto"/>
          <w:sz w:val="32"/>
          <w:szCs w:val="32"/>
          <w:highlight w:val="none"/>
          <w:lang w:val="en-US" w:eastAsia="zh-CN"/>
        </w:rPr>
        <w:t>显著</w:t>
      </w:r>
      <w:r>
        <w:rPr>
          <w:rFonts w:hint="eastAsia" w:ascii="仿宋_GB2312" w:eastAsia="仿宋_GB2312"/>
          <w:color w:val="auto"/>
          <w:sz w:val="32"/>
          <w:szCs w:val="32"/>
          <w:highlight w:val="none"/>
        </w:rPr>
        <w:t>成效，土地节约集约利用水平</w:t>
      </w:r>
      <w:r>
        <w:rPr>
          <w:rFonts w:hint="eastAsia" w:ascii="仿宋_GB2312" w:eastAsia="仿宋_GB2312"/>
          <w:color w:val="auto"/>
          <w:sz w:val="32"/>
          <w:szCs w:val="32"/>
          <w:highlight w:val="none"/>
          <w:lang w:val="en-US" w:eastAsia="zh-CN"/>
        </w:rPr>
        <w:t>逐步</w:t>
      </w:r>
      <w:r>
        <w:rPr>
          <w:rFonts w:hint="eastAsia" w:ascii="仿宋_GB2312" w:eastAsia="仿宋_GB2312"/>
          <w:color w:val="auto"/>
          <w:sz w:val="32"/>
          <w:szCs w:val="32"/>
          <w:highlight w:val="none"/>
        </w:rPr>
        <w:t>提高，能源消费总量得到合理控制，以钒钛为核心的现代产业体系和基础设施体系不断完善，</w:t>
      </w:r>
      <w:r>
        <w:rPr>
          <w:rFonts w:hint="eastAsia" w:ascii="仿宋_GB2312" w:eastAsia="仿宋_GB2312"/>
          <w:color w:val="auto"/>
          <w:sz w:val="32"/>
          <w:szCs w:val="32"/>
          <w:highlight w:val="none"/>
          <w:lang w:eastAsia="zh-CN"/>
        </w:rPr>
        <w:t>基本公共服务均等化</w:t>
      </w:r>
      <w:r>
        <w:rPr>
          <w:rFonts w:hint="eastAsia" w:ascii="仿宋_GB2312" w:eastAsia="仿宋_GB2312"/>
          <w:color w:val="auto"/>
          <w:sz w:val="32"/>
          <w:szCs w:val="32"/>
          <w:highlight w:val="none"/>
        </w:rPr>
        <w:t>水平明显提高，安全保障能力不断增强，人居环境质量</w:t>
      </w:r>
      <w:r>
        <w:rPr>
          <w:rFonts w:hint="eastAsia" w:ascii="仿宋_GB2312" w:eastAsia="仿宋_GB2312"/>
          <w:color w:val="auto"/>
          <w:sz w:val="32"/>
          <w:szCs w:val="32"/>
          <w:highlight w:val="none"/>
          <w:lang w:val="en-US" w:eastAsia="zh-CN"/>
        </w:rPr>
        <w:t>明显</w:t>
      </w:r>
      <w:r>
        <w:rPr>
          <w:rFonts w:hint="eastAsia" w:ascii="仿宋_GB2312" w:eastAsia="仿宋_GB2312"/>
          <w:color w:val="auto"/>
          <w:sz w:val="32"/>
          <w:szCs w:val="32"/>
          <w:highlight w:val="none"/>
        </w:rPr>
        <w:t>改善，人与自然关系日趋和谐。</w:t>
      </w:r>
    </w:p>
    <w:p w14:paraId="0604067E">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规划远期至2035年，基本实现社会主义现代化。国土空间治理体系和治理能力现代化水平显著提升，全面保障粮食安全，生态环境得到有效治理，基本稳固长江上游生态屏障区。南部片区（中心城区、新九</w:t>
      </w:r>
      <w:r>
        <w:rPr>
          <w:rFonts w:hint="eastAsia" w:ascii="仿宋_GB2312" w:eastAsia="仿宋_GB2312"/>
          <w:color w:val="auto"/>
          <w:sz w:val="32"/>
          <w:szCs w:val="32"/>
          <w:highlight w:val="none"/>
          <w:lang w:val="en-US" w:eastAsia="zh-CN"/>
        </w:rPr>
        <w:t>镇</w:t>
      </w:r>
      <w:r>
        <w:rPr>
          <w:rFonts w:hint="eastAsia" w:ascii="仿宋_GB2312" w:eastAsia="仿宋_GB2312"/>
          <w:color w:val="auto"/>
          <w:sz w:val="32"/>
          <w:szCs w:val="32"/>
          <w:highlight w:val="none"/>
        </w:rPr>
        <w:t>和红格</w:t>
      </w:r>
      <w:r>
        <w:rPr>
          <w:rFonts w:hint="eastAsia" w:ascii="仿宋_GB2312" w:eastAsia="仿宋_GB2312"/>
          <w:color w:val="auto"/>
          <w:sz w:val="32"/>
          <w:szCs w:val="32"/>
          <w:highlight w:val="none"/>
          <w:lang w:val="en-US" w:eastAsia="zh-CN"/>
        </w:rPr>
        <w:t>镇</w:t>
      </w:r>
      <w:r>
        <w:rPr>
          <w:rFonts w:hint="eastAsia" w:ascii="仿宋_GB2312" w:eastAsia="仿宋_GB2312"/>
          <w:color w:val="auto"/>
          <w:sz w:val="32"/>
          <w:szCs w:val="32"/>
          <w:highlight w:val="none"/>
        </w:rPr>
        <w:t>）与攀枝花市中心城区实现一体化发展。对外交通条件得到有效改善，带动矿产、旅游产业创新与升级，全面建成钒钛资源综合利用基地，现代特色农业基地，生态绿色发展区和阳光康养旅游目的地。</w:t>
      </w:r>
    </w:p>
    <w:p w14:paraId="04526BB0">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远景展望至2</w:t>
      </w:r>
      <w:r>
        <w:rPr>
          <w:rFonts w:ascii="仿宋_GB2312" w:eastAsia="仿宋_GB2312"/>
          <w:color w:val="auto"/>
          <w:sz w:val="32"/>
          <w:szCs w:val="32"/>
          <w:highlight w:val="none"/>
        </w:rPr>
        <w:t>050</w:t>
      </w:r>
      <w:r>
        <w:rPr>
          <w:rFonts w:hint="eastAsia" w:ascii="仿宋_GB2312" w:eastAsia="仿宋_GB2312"/>
          <w:color w:val="auto"/>
          <w:sz w:val="32"/>
          <w:szCs w:val="32"/>
          <w:highlight w:val="none"/>
        </w:rPr>
        <w:t>年，对接</w:t>
      </w:r>
      <w:r>
        <w:rPr>
          <w:rFonts w:hint="eastAsia" w:ascii="仿宋_GB2312" w:eastAsia="仿宋_GB2312"/>
          <w:color w:val="auto"/>
          <w:sz w:val="32"/>
          <w:szCs w:val="32"/>
          <w:highlight w:val="none"/>
          <w:lang w:eastAsia="zh-CN"/>
        </w:rPr>
        <w:t>“两个一百年”</w:t>
      </w:r>
      <w:r>
        <w:rPr>
          <w:rFonts w:hint="eastAsia" w:ascii="仿宋_GB2312" w:eastAsia="仿宋_GB2312"/>
          <w:color w:val="auto"/>
          <w:sz w:val="32"/>
          <w:szCs w:val="32"/>
          <w:highlight w:val="none"/>
        </w:rPr>
        <w:t>发展目标，实施</w:t>
      </w:r>
      <w:r>
        <w:rPr>
          <w:rFonts w:hint="eastAsia" w:ascii="仿宋_GB2312" w:eastAsia="仿宋_GB2312"/>
          <w:color w:val="auto"/>
          <w:sz w:val="32"/>
          <w:szCs w:val="32"/>
          <w:highlight w:val="none"/>
          <w:lang w:eastAsia="zh-CN"/>
        </w:rPr>
        <w:t>“三步走”战略</w:t>
      </w:r>
      <w:r>
        <w:rPr>
          <w:rFonts w:hint="eastAsia" w:ascii="仿宋_GB2312" w:eastAsia="仿宋_GB2312"/>
          <w:color w:val="auto"/>
          <w:sz w:val="32"/>
          <w:szCs w:val="32"/>
          <w:highlight w:val="none"/>
        </w:rPr>
        <w:t>，加快形成和谐、安全、高效、协同、美丽的盐边县国土空间，全面实现共同富裕。</w:t>
      </w:r>
    </w:p>
    <w:p w14:paraId="1F81000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37" w:name="_Toc122513186"/>
      <w:r>
        <w:rPr>
          <w:rFonts w:hint="eastAsia" w:ascii="仿宋_GB2312" w:hAnsi="Times New Roman" w:eastAsia="仿宋_GB2312"/>
          <w:b/>
          <w:bCs/>
          <w:color w:val="auto"/>
          <w:sz w:val="32"/>
          <w:szCs w:val="28"/>
          <w:highlight w:val="none"/>
        </w:rPr>
        <w:t>指标体系</w:t>
      </w:r>
    </w:p>
    <w:p w14:paraId="0B9FEB48">
      <w:pPr>
        <w:spacing w:line="600" w:lineRule="exact"/>
        <w:ind w:firstLine="640"/>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从空间底线、空间结构与效率、空间品质三个维度，落实市级规划传导指标体系，结合实际情况，</w:t>
      </w:r>
      <w:r>
        <w:rPr>
          <w:rFonts w:hint="eastAsia" w:ascii="仿宋_GB2312" w:hAnsi="宋体" w:eastAsia="仿宋_GB2312"/>
          <w:color w:val="auto"/>
          <w:sz w:val="32"/>
          <w:szCs w:val="32"/>
          <w:highlight w:val="none"/>
          <w:lang w:val="en-US" w:eastAsia="zh-CN"/>
        </w:rPr>
        <w:t>构建</w:t>
      </w:r>
      <w:r>
        <w:rPr>
          <w:rFonts w:hint="eastAsia" w:ascii="仿宋_GB2312" w:hAnsi="宋体" w:eastAsia="仿宋_GB2312"/>
          <w:color w:val="auto"/>
          <w:sz w:val="32"/>
          <w:szCs w:val="32"/>
          <w:highlight w:val="none"/>
        </w:rPr>
        <w:t>盐边县</w:t>
      </w:r>
      <w:r>
        <w:rPr>
          <w:rFonts w:hint="eastAsia" w:ascii="仿宋_GB2312" w:hAnsi="宋体" w:eastAsia="仿宋_GB2312"/>
          <w:color w:val="auto"/>
          <w:sz w:val="32"/>
          <w:szCs w:val="32"/>
          <w:highlight w:val="none"/>
          <w:lang w:val="en-US" w:eastAsia="zh-CN"/>
        </w:rPr>
        <w:t>27项</w:t>
      </w:r>
      <w:r>
        <w:rPr>
          <w:rFonts w:hint="eastAsia" w:ascii="仿宋_GB2312" w:hAnsi="宋体" w:eastAsia="仿宋_GB2312"/>
          <w:color w:val="auto"/>
          <w:sz w:val="32"/>
          <w:szCs w:val="32"/>
          <w:highlight w:val="none"/>
        </w:rPr>
        <w:t>国土空间总体规划指标体系。</w:t>
      </w:r>
    </w:p>
    <w:p w14:paraId="605DF84F">
      <w:pPr>
        <w:pStyle w:val="2"/>
        <w:ind w:left="0" w:leftChars="0" w:firstLine="0" w:firstLineChars="0"/>
      </w:pPr>
    </w:p>
    <w:tbl>
      <w:tblPr>
        <w:tblStyle w:val="35"/>
        <w:tblW w:w="5000" w:type="pct"/>
        <w:tblInd w:w="0" w:type="dxa"/>
        <w:tblLayout w:type="fixed"/>
        <w:tblCellMar>
          <w:top w:w="0" w:type="dxa"/>
          <w:left w:w="108" w:type="dxa"/>
          <w:bottom w:w="0" w:type="dxa"/>
          <w:right w:w="108" w:type="dxa"/>
        </w:tblCellMar>
      </w:tblPr>
      <w:tblGrid>
        <w:gridCol w:w="446"/>
        <w:gridCol w:w="3745"/>
        <w:gridCol w:w="1125"/>
        <w:gridCol w:w="675"/>
        <w:gridCol w:w="1065"/>
        <w:gridCol w:w="1065"/>
        <w:gridCol w:w="1165"/>
      </w:tblGrid>
      <w:tr w14:paraId="55D4DBFA">
        <w:tblPrEx>
          <w:tblCellMar>
            <w:top w:w="0" w:type="dxa"/>
            <w:left w:w="108" w:type="dxa"/>
            <w:bottom w:w="0" w:type="dxa"/>
            <w:right w:w="108" w:type="dxa"/>
          </w:tblCellMar>
        </w:tblPrEx>
        <w:trPr>
          <w:trHeight w:val="315"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82AEB">
            <w:pPr>
              <w:widowControl/>
              <w:adjustRightInd/>
              <w:snapToGrid/>
              <w:spacing w:line="240" w:lineRule="auto"/>
              <w:ind w:firstLine="0" w:firstLineChars="0"/>
              <w:jc w:val="center"/>
              <w:rPr>
                <w:rFonts w:ascii="黑体" w:hAnsi="黑体" w:eastAsia="黑体"/>
                <w:color w:val="auto"/>
                <w:kern w:val="0"/>
                <w:sz w:val="21"/>
                <w:szCs w:val="21"/>
                <w:highlight w:val="none"/>
              </w:rPr>
            </w:pPr>
            <w:r>
              <w:rPr>
                <w:rFonts w:ascii="黑体" w:hAnsi="黑体" w:eastAsia="黑体"/>
                <w:color w:val="auto"/>
                <w:kern w:val="0"/>
                <w:sz w:val="21"/>
                <w:szCs w:val="21"/>
                <w:highlight w:val="none"/>
              </w:rPr>
              <w:t>编号</w:t>
            </w:r>
          </w:p>
        </w:tc>
        <w:tc>
          <w:tcPr>
            <w:tcW w:w="20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B2F0B">
            <w:pPr>
              <w:widowControl/>
              <w:adjustRightInd/>
              <w:snapToGrid/>
              <w:spacing w:line="240" w:lineRule="auto"/>
              <w:ind w:firstLine="0" w:firstLineChars="0"/>
              <w:jc w:val="center"/>
              <w:rPr>
                <w:rFonts w:ascii="黑体" w:hAnsi="黑体" w:eastAsia="黑体"/>
                <w:color w:val="auto"/>
                <w:kern w:val="0"/>
                <w:sz w:val="21"/>
                <w:szCs w:val="21"/>
                <w:highlight w:val="none"/>
              </w:rPr>
            </w:pPr>
            <w:r>
              <w:rPr>
                <w:rFonts w:ascii="黑体" w:hAnsi="黑体" w:eastAsia="黑体"/>
                <w:color w:val="auto"/>
                <w:kern w:val="0"/>
                <w:sz w:val="21"/>
                <w:szCs w:val="21"/>
                <w:highlight w:val="none"/>
              </w:rPr>
              <w:t>指标项</w:t>
            </w:r>
          </w:p>
        </w:tc>
        <w:tc>
          <w:tcPr>
            <w:tcW w:w="60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191B5">
            <w:pPr>
              <w:widowControl/>
              <w:adjustRightInd/>
              <w:snapToGrid/>
              <w:spacing w:line="240" w:lineRule="auto"/>
              <w:ind w:firstLine="0" w:firstLineChars="0"/>
              <w:jc w:val="center"/>
              <w:rPr>
                <w:rFonts w:ascii="黑体" w:hAnsi="黑体" w:eastAsia="黑体"/>
                <w:color w:val="auto"/>
                <w:kern w:val="0"/>
                <w:sz w:val="21"/>
                <w:szCs w:val="21"/>
                <w:highlight w:val="none"/>
              </w:rPr>
            </w:pPr>
            <w:r>
              <w:rPr>
                <w:rFonts w:hint="eastAsia" w:ascii="黑体" w:hAnsi="黑体" w:eastAsia="黑体"/>
                <w:color w:val="auto"/>
                <w:kern w:val="0"/>
                <w:sz w:val="21"/>
                <w:szCs w:val="21"/>
                <w:highlight w:val="none"/>
              </w:rPr>
              <w:t>指标属性</w:t>
            </w:r>
          </w:p>
        </w:tc>
        <w:tc>
          <w:tcPr>
            <w:tcW w:w="36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6EAC">
            <w:pPr>
              <w:widowControl/>
              <w:adjustRightInd/>
              <w:snapToGrid/>
              <w:spacing w:line="240" w:lineRule="auto"/>
              <w:ind w:firstLine="0" w:firstLineChars="0"/>
              <w:jc w:val="center"/>
              <w:rPr>
                <w:rFonts w:ascii="黑体" w:hAnsi="黑体" w:eastAsia="黑体"/>
                <w:color w:val="auto"/>
                <w:kern w:val="0"/>
                <w:sz w:val="21"/>
                <w:szCs w:val="21"/>
                <w:highlight w:val="none"/>
              </w:rPr>
            </w:pPr>
            <w:r>
              <w:rPr>
                <w:rFonts w:hint="eastAsia" w:ascii="黑体" w:hAnsi="黑体" w:eastAsia="黑体"/>
                <w:color w:val="auto"/>
                <w:kern w:val="0"/>
                <w:sz w:val="21"/>
                <w:szCs w:val="21"/>
                <w:highlight w:val="none"/>
              </w:rPr>
              <w:t>指标层级</w:t>
            </w:r>
          </w:p>
        </w:tc>
        <w:tc>
          <w:tcPr>
            <w:tcW w:w="57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E52D0">
            <w:pPr>
              <w:widowControl/>
              <w:adjustRightInd/>
              <w:snapToGrid/>
              <w:spacing w:line="240" w:lineRule="auto"/>
              <w:ind w:firstLine="0" w:firstLineChars="0"/>
              <w:jc w:val="center"/>
              <w:rPr>
                <w:rFonts w:ascii="Times New Roman" w:hAnsi="Times New Roman" w:cs="Times New Roman"/>
                <w:color w:val="auto"/>
                <w:kern w:val="0"/>
                <w:sz w:val="21"/>
                <w:szCs w:val="21"/>
                <w:highlight w:val="none"/>
              </w:rPr>
            </w:pPr>
            <w:r>
              <w:rPr>
                <w:rFonts w:ascii="Times New Roman" w:hAnsi="Times New Roman" w:cs="Times New Roman"/>
                <w:color w:val="auto"/>
                <w:kern w:val="0"/>
                <w:sz w:val="21"/>
                <w:szCs w:val="21"/>
                <w:highlight w:val="none"/>
              </w:rPr>
              <w:t>2020</w:t>
            </w:r>
            <w:r>
              <w:rPr>
                <w:rFonts w:ascii="黑体" w:hAnsi="黑体" w:eastAsia="黑体" w:cs="Times New Roman"/>
                <w:color w:val="auto"/>
                <w:kern w:val="0"/>
                <w:sz w:val="21"/>
                <w:szCs w:val="21"/>
                <w:highlight w:val="none"/>
              </w:rPr>
              <w:t>年</w:t>
            </w:r>
          </w:p>
        </w:tc>
        <w:tc>
          <w:tcPr>
            <w:tcW w:w="57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21AA">
            <w:pPr>
              <w:widowControl/>
              <w:adjustRightInd/>
              <w:snapToGrid/>
              <w:spacing w:line="240" w:lineRule="auto"/>
              <w:ind w:firstLine="0" w:firstLineChars="0"/>
              <w:jc w:val="center"/>
              <w:rPr>
                <w:rFonts w:ascii="Times New Roman" w:hAnsi="Times New Roman" w:cs="Times New Roman"/>
                <w:color w:val="auto"/>
                <w:kern w:val="0"/>
                <w:sz w:val="21"/>
                <w:szCs w:val="21"/>
                <w:highlight w:val="none"/>
              </w:rPr>
            </w:pPr>
            <w:r>
              <w:rPr>
                <w:rFonts w:ascii="Times New Roman" w:hAnsi="Times New Roman" w:cs="Times New Roman"/>
                <w:color w:val="auto"/>
                <w:kern w:val="0"/>
                <w:sz w:val="21"/>
                <w:szCs w:val="21"/>
                <w:highlight w:val="none"/>
              </w:rPr>
              <w:t>2025</w:t>
            </w:r>
            <w:r>
              <w:rPr>
                <w:rFonts w:ascii="黑体" w:hAnsi="黑体" w:eastAsia="黑体" w:cs="Times New Roman"/>
                <w:color w:val="auto"/>
                <w:kern w:val="0"/>
                <w:sz w:val="21"/>
                <w:szCs w:val="21"/>
                <w:highlight w:val="none"/>
              </w:rPr>
              <w:t>年</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D2440">
            <w:pPr>
              <w:widowControl/>
              <w:adjustRightInd/>
              <w:snapToGrid/>
              <w:spacing w:line="240" w:lineRule="auto"/>
              <w:ind w:firstLine="0" w:firstLineChars="0"/>
              <w:jc w:val="center"/>
              <w:rPr>
                <w:rFonts w:ascii="Times New Roman" w:hAnsi="Times New Roman" w:cs="Times New Roman"/>
                <w:color w:val="auto"/>
                <w:kern w:val="0"/>
                <w:sz w:val="21"/>
                <w:szCs w:val="21"/>
                <w:highlight w:val="none"/>
              </w:rPr>
            </w:pPr>
            <w:r>
              <w:rPr>
                <w:rFonts w:ascii="Times New Roman" w:hAnsi="Times New Roman" w:cs="Times New Roman"/>
                <w:color w:val="auto"/>
                <w:kern w:val="0"/>
                <w:sz w:val="21"/>
                <w:szCs w:val="21"/>
                <w:highlight w:val="none"/>
              </w:rPr>
              <w:t>2035</w:t>
            </w:r>
            <w:r>
              <w:rPr>
                <w:rFonts w:ascii="黑体" w:hAnsi="黑体" w:eastAsia="黑体" w:cs="Times New Roman"/>
                <w:color w:val="auto"/>
                <w:kern w:val="0"/>
                <w:sz w:val="21"/>
                <w:szCs w:val="21"/>
                <w:highlight w:val="none"/>
              </w:rPr>
              <w:t>年</w:t>
            </w:r>
          </w:p>
        </w:tc>
      </w:tr>
      <w:tr w14:paraId="5EE849FC">
        <w:tblPrEx>
          <w:tblCellMar>
            <w:top w:w="0" w:type="dxa"/>
            <w:left w:w="108" w:type="dxa"/>
            <w:bottom w:w="0" w:type="dxa"/>
            <w:right w:w="108" w:type="dxa"/>
          </w:tblCellMar>
        </w:tblPrEx>
        <w:trPr>
          <w:trHeight w:val="312" w:hRule="atLeast"/>
        </w:trPr>
        <w:tc>
          <w:tcPr>
            <w:tcW w:w="240" w:type="pct"/>
            <w:vMerge w:val="continue"/>
            <w:tcBorders>
              <w:top w:val="single" w:color="000000" w:sz="4" w:space="0"/>
              <w:left w:val="single" w:color="000000" w:sz="4" w:space="0"/>
              <w:bottom w:val="single" w:color="000000" w:sz="4" w:space="0"/>
              <w:right w:val="single" w:color="000000" w:sz="4" w:space="0"/>
            </w:tcBorders>
            <w:vAlign w:val="center"/>
          </w:tcPr>
          <w:p w14:paraId="1BFE7056">
            <w:pPr>
              <w:widowControl/>
              <w:adjustRightInd/>
              <w:snapToGrid/>
              <w:spacing w:line="240" w:lineRule="auto"/>
              <w:ind w:firstLine="0" w:firstLineChars="0"/>
              <w:jc w:val="left"/>
              <w:rPr>
                <w:rFonts w:ascii="黑体" w:hAnsi="黑体" w:eastAsia="黑体"/>
                <w:color w:val="auto"/>
                <w:kern w:val="0"/>
                <w:sz w:val="21"/>
                <w:szCs w:val="21"/>
                <w:highlight w:val="none"/>
              </w:rPr>
            </w:pPr>
          </w:p>
        </w:tc>
        <w:tc>
          <w:tcPr>
            <w:tcW w:w="2016" w:type="pct"/>
            <w:vMerge w:val="continue"/>
            <w:tcBorders>
              <w:top w:val="single" w:color="000000" w:sz="4" w:space="0"/>
              <w:left w:val="single" w:color="000000" w:sz="4" w:space="0"/>
              <w:bottom w:val="single" w:color="000000" w:sz="4" w:space="0"/>
              <w:right w:val="single" w:color="000000" w:sz="4" w:space="0"/>
            </w:tcBorders>
            <w:vAlign w:val="center"/>
          </w:tcPr>
          <w:p w14:paraId="0A3BD7D6">
            <w:pPr>
              <w:widowControl/>
              <w:adjustRightInd/>
              <w:snapToGrid/>
              <w:spacing w:line="240" w:lineRule="auto"/>
              <w:ind w:firstLine="0" w:firstLineChars="0"/>
              <w:jc w:val="left"/>
              <w:rPr>
                <w:rFonts w:ascii="黑体" w:hAnsi="黑体" w:eastAsia="黑体"/>
                <w:color w:val="auto"/>
                <w:kern w:val="0"/>
                <w:sz w:val="21"/>
                <w:szCs w:val="21"/>
                <w:highlight w:val="none"/>
              </w:rPr>
            </w:pPr>
          </w:p>
        </w:tc>
        <w:tc>
          <w:tcPr>
            <w:tcW w:w="605" w:type="pct"/>
            <w:vMerge w:val="continue"/>
            <w:tcBorders>
              <w:top w:val="single" w:color="000000" w:sz="4" w:space="0"/>
              <w:left w:val="single" w:color="000000" w:sz="4" w:space="0"/>
              <w:bottom w:val="single" w:color="000000" w:sz="4" w:space="0"/>
              <w:right w:val="single" w:color="000000" w:sz="4" w:space="0"/>
            </w:tcBorders>
            <w:vAlign w:val="center"/>
          </w:tcPr>
          <w:p w14:paraId="4DDD6BE3">
            <w:pPr>
              <w:widowControl/>
              <w:adjustRightInd/>
              <w:snapToGrid/>
              <w:spacing w:line="240" w:lineRule="auto"/>
              <w:ind w:firstLine="0" w:firstLineChars="0"/>
              <w:jc w:val="left"/>
              <w:rPr>
                <w:rFonts w:ascii="黑体" w:hAnsi="黑体" w:eastAsia="黑体"/>
                <w:color w:val="auto"/>
                <w:kern w:val="0"/>
                <w:sz w:val="21"/>
                <w:szCs w:val="21"/>
                <w:highlight w:val="none"/>
              </w:rPr>
            </w:pPr>
          </w:p>
        </w:tc>
        <w:tc>
          <w:tcPr>
            <w:tcW w:w="363" w:type="pct"/>
            <w:vMerge w:val="continue"/>
            <w:tcBorders>
              <w:top w:val="single" w:color="000000" w:sz="4" w:space="0"/>
              <w:left w:val="single" w:color="000000" w:sz="4" w:space="0"/>
              <w:bottom w:val="single" w:color="000000" w:sz="4" w:space="0"/>
              <w:right w:val="single" w:color="000000" w:sz="4" w:space="0"/>
            </w:tcBorders>
            <w:vAlign w:val="center"/>
          </w:tcPr>
          <w:p w14:paraId="0B13EE94">
            <w:pPr>
              <w:widowControl/>
              <w:adjustRightInd/>
              <w:snapToGrid/>
              <w:spacing w:line="240" w:lineRule="auto"/>
              <w:ind w:firstLine="0" w:firstLineChars="0"/>
              <w:jc w:val="left"/>
              <w:rPr>
                <w:rFonts w:ascii="黑体" w:hAnsi="黑体" w:eastAsia="黑体"/>
                <w:color w:val="auto"/>
                <w:kern w:val="0"/>
                <w:sz w:val="21"/>
                <w:szCs w:val="21"/>
                <w:highlight w:val="none"/>
              </w:rPr>
            </w:pPr>
          </w:p>
        </w:tc>
        <w:tc>
          <w:tcPr>
            <w:tcW w:w="573" w:type="pct"/>
            <w:vMerge w:val="continue"/>
            <w:tcBorders>
              <w:top w:val="single" w:color="000000" w:sz="4" w:space="0"/>
              <w:left w:val="single" w:color="000000" w:sz="4" w:space="0"/>
              <w:bottom w:val="single" w:color="000000" w:sz="4" w:space="0"/>
              <w:right w:val="single" w:color="000000" w:sz="4" w:space="0"/>
            </w:tcBorders>
            <w:vAlign w:val="center"/>
          </w:tcPr>
          <w:p w14:paraId="4D8586CA">
            <w:pPr>
              <w:widowControl/>
              <w:adjustRightInd/>
              <w:snapToGrid/>
              <w:spacing w:line="240" w:lineRule="auto"/>
              <w:ind w:firstLine="0" w:firstLineChars="0"/>
              <w:jc w:val="left"/>
              <w:rPr>
                <w:rFonts w:ascii="Times New Roman" w:hAnsi="Times New Roman" w:cs="Times New Roman"/>
                <w:color w:val="auto"/>
                <w:kern w:val="0"/>
                <w:sz w:val="21"/>
                <w:szCs w:val="21"/>
                <w:highlight w:val="none"/>
              </w:rPr>
            </w:pPr>
          </w:p>
        </w:tc>
        <w:tc>
          <w:tcPr>
            <w:tcW w:w="573" w:type="pct"/>
            <w:vMerge w:val="continue"/>
            <w:tcBorders>
              <w:top w:val="single" w:color="000000" w:sz="4" w:space="0"/>
              <w:left w:val="single" w:color="000000" w:sz="4" w:space="0"/>
              <w:bottom w:val="single" w:color="000000" w:sz="4" w:space="0"/>
              <w:right w:val="single" w:color="000000" w:sz="4" w:space="0"/>
            </w:tcBorders>
            <w:vAlign w:val="center"/>
          </w:tcPr>
          <w:p w14:paraId="3F54F3AD">
            <w:pPr>
              <w:widowControl/>
              <w:adjustRightInd/>
              <w:snapToGrid/>
              <w:spacing w:line="240" w:lineRule="auto"/>
              <w:ind w:firstLine="0" w:firstLineChars="0"/>
              <w:jc w:val="left"/>
              <w:rPr>
                <w:rFonts w:ascii="Times New Roman" w:hAnsi="Times New Roman" w:cs="Times New Roman"/>
                <w:color w:val="auto"/>
                <w:kern w:val="0"/>
                <w:sz w:val="21"/>
                <w:szCs w:val="21"/>
                <w:highlight w:val="none"/>
              </w:rPr>
            </w:pPr>
          </w:p>
        </w:tc>
        <w:tc>
          <w:tcPr>
            <w:tcW w:w="627" w:type="pct"/>
            <w:vMerge w:val="continue"/>
            <w:tcBorders>
              <w:top w:val="single" w:color="000000" w:sz="4" w:space="0"/>
              <w:left w:val="single" w:color="000000" w:sz="4" w:space="0"/>
              <w:bottom w:val="single" w:color="000000" w:sz="4" w:space="0"/>
              <w:right w:val="single" w:color="000000" w:sz="4" w:space="0"/>
            </w:tcBorders>
            <w:vAlign w:val="center"/>
          </w:tcPr>
          <w:p w14:paraId="0904A269">
            <w:pPr>
              <w:widowControl/>
              <w:adjustRightInd/>
              <w:snapToGrid/>
              <w:spacing w:line="240" w:lineRule="auto"/>
              <w:ind w:firstLine="0" w:firstLineChars="0"/>
              <w:jc w:val="left"/>
              <w:rPr>
                <w:rFonts w:ascii="Times New Roman" w:hAnsi="Times New Roman" w:cs="Times New Roman"/>
                <w:color w:val="auto"/>
                <w:kern w:val="0"/>
                <w:sz w:val="21"/>
                <w:szCs w:val="21"/>
                <w:highlight w:val="none"/>
              </w:rPr>
            </w:pPr>
          </w:p>
        </w:tc>
      </w:tr>
      <w:tr w14:paraId="62004E15">
        <w:tblPrEx>
          <w:tblCellMar>
            <w:top w:w="0" w:type="dxa"/>
            <w:left w:w="108" w:type="dxa"/>
            <w:bottom w:w="0" w:type="dxa"/>
            <w:right w:w="108" w:type="dxa"/>
          </w:tblCellMar>
        </w:tblPrEx>
        <w:trPr>
          <w:trHeight w:val="285"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323F3">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一、空间底线</w:t>
            </w:r>
          </w:p>
        </w:tc>
      </w:tr>
      <w:tr w14:paraId="4774BF42">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2438">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AF462">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生态保护红线面积（平方千米）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A86E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E51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E3C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732.73</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930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≥732.73</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08EF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≥732.73</w:t>
            </w:r>
          </w:p>
        </w:tc>
      </w:tr>
      <w:tr w14:paraId="5F3A0496">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6B2F8">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9F125">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用水总量（亿立方米）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C846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3FD2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4DB9">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1.4967</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6FF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依据上级下达指标确定</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6FB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依据上级下达指标确定</w:t>
            </w:r>
          </w:p>
        </w:tc>
      </w:tr>
      <w:tr w14:paraId="2C3DF41C">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66EF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3</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94A11">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永久基本农田保护面积（平方千米）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9118">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FF27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AC6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154.04</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8D92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≥154.04</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1F7C8">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≥154.04</w:t>
            </w:r>
          </w:p>
        </w:tc>
      </w:tr>
      <w:tr w14:paraId="1296DEF9">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6FAD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4</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D124C">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耕地保有量（平方千米）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3F67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2460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7136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228.54</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0A7A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≥228.54</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93C5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≥228.54</w:t>
            </w:r>
          </w:p>
        </w:tc>
      </w:tr>
      <w:tr w14:paraId="42786143">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A2AE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5</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C31DD">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森林覆盖率（%）</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45D9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B7C1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0C00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64.00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1AB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依据上级下达指标确定</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2D92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依据上级下达指标确定</w:t>
            </w:r>
          </w:p>
        </w:tc>
      </w:tr>
      <w:tr w14:paraId="628AA58A">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826F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6</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7E5E">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草原综合植被盖度（%）</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D23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预期</w:t>
            </w:r>
            <w:r>
              <w:rPr>
                <w:rFonts w:ascii="仿宋_GB2312" w:hAnsi="宋体" w:eastAsia="仿宋_GB2312"/>
                <w:color w:val="auto"/>
                <w:kern w:val="0"/>
                <w:sz w:val="21"/>
                <w:szCs w:val="21"/>
                <w:highlight w:val="none"/>
              </w:rPr>
              <w:t>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C802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9E2FD">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70.00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2C23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依据上级下达指标确定</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D0EF2">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依据上级下达指标确定</w:t>
            </w:r>
          </w:p>
        </w:tc>
      </w:tr>
      <w:tr w14:paraId="08EE4803">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507E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7</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2FABA">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湿地保护率（%）</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CD4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C0EA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3C59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43.96</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7B87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≥44.00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24E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≥44.00</w:t>
            </w:r>
          </w:p>
        </w:tc>
      </w:tr>
      <w:tr w14:paraId="7AE17342">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4CA8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3190">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自然和文化遗产（处）</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DA9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69B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A0D3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27</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B58BD">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lang w:eastAsia="zh-CN"/>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val="en-US" w:eastAsia="zh-CN"/>
              </w:rPr>
              <w:t>7</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73C92">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lang w:eastAsia="zh-CN"/>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val="en-US" w:eastAsia="zh-CN"/>
              </w:rPr>
              <w:t>7</w:t>
            </w:r>
          </w:p>
        </w:tc>
      </w:tr>
      <w:tr w14:paraId="4F91FB18">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9E24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9</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5A34A">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自然保护地陆域面积占陆域国土面积比例（%）</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78C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3D612">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D08F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21.93</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0444D">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≥21.93</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D178">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≥21.93</w:t>
            </w:r>
          </w:p>
        </w:tc>
      </w:tr>
      <w:tr w14:paraId="42A359D7">
        <w:tblPrEx>
          <w:tblCellMar>
            <w:top w:w="0" w:type="dxa"/>
            <w:left w:w="108" w:type="dxa"/>
            <w:bottom w:w="0" w:type="dxa"/>
            <w:right w:w="108" w:type="dxa"/>
          </w:tblCellMar>
        </w:tblPrEx>
        <w:trPr>
          <w:trHeight w:val="54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BA7B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10</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481B5">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水域空间保有量</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BE699">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4584D">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093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80.37</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ECD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≥80.40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394E2">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≥80.40</w:t>
            </w:r>
          </w:p>
        </w:tc>
      </w:tr>
      <w:tr w14:paraId="6373ED22">
        <w:tblPrEx>
          <w:tblCellMar>
            <w:top w:w="0" w:type="dxa"/>
            <w:left w:w="108" w:type="dxa"/>
            <w:bottom w:w="0" w:type="dxa"/>
            <w:right w:w="108" w:type="dxa"/>
          </w:tblCellMar>
        </w:tblPrEx>
        <w:trPr>
          <w:trHeight w:val="79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47B8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11</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8CA5A">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城镇开发边界扩展倍数</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40042">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C2A99">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8256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2.01</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BED6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≤2.01</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CF10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≤2.01</w:t>
            </w:r>
          </w:p>
        </w:tc>
      </w:tr>
      <w:tr w14:paraId="1F475DF3">
        <w:tblPrEx>
          <w:tblCellMar>
            <w:top w:w="0" w:type="dxa"/>
            <w:left w:w="108" w:type="dxa"/>
            <w:bottom w:w="0" w:type="dxa"/>
            <w:right w:w="108" w:type="dxa"/>
          </w:tblCellMar>
        </w:tblPrEx>
        <w:trPr>
          <w:trHeight w:val="285"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A616">
            <w:pPr>
              <w:widowControl/>
              <w:adjustRightInd/>
              <w:snapToGrid/>
              <w:spacing w:line="240" w:lineRule="auto"/>
              <w:ind w:firstLine="0" w:firstLineChars="0"/>
              <w:jc w:val="left"/>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二、空间结构与效率</w:t>
            </w:r>
          </w:p>
        </w:tc>
      </w:tr>
      <w:tr w14:paraId="64DA42EC">
        <w:tblPrEx>
          <w:tblCellMar>
            <w:top w:w="0" w:type="dxa"/>
            <w:left w:w="108" w:type="dxa"/>
            <w:bottom w:w="0" w:type="dxa"/>
            <w:right w:w="108" w:type="dxa"/>
          </w:tblCellMar>
        </w:tblPrEx>
        <w:trPr>
          <w:trHeight w:val="285"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23638">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w:t>
            </w:r>
            <w:r>
              <w:rPr>
                <w:rFonts w:hint="eastAsia" w:ascii="仿宋_GB2312" w:hAnsi="宋体" w:eastAsia="仿宋_GB2312"/>
                <w:color w:val="auto"/>
                <w:kern w:val="0"/>
                <w:sz w:val="21"/>
                <w:szCs w:val="21"/>
                <w:highlight w:val="none"/>
                <w:lang w:eastAsia="zh-CN"/>
              </w:rPr>
              <w:t>2</w:t>
            </w:r>
          </w:p>
        </w:tc>
        <w:tc>
          <w:tcPr>
            <w:tcW w:w="20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BC7F">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人均城镇建设用地面积（平方米）</w:t>
            </w:r>
          </w:p>
        </w:tc>
        <w:tc>
          <w:tcPr>
            <w:tcW w:w="605" w:type="pct"/>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2D06901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E3007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97CEC0">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82.06</w:t>
            </w:r>
          </w:p>
        </w:tc>
        <w:tc>
          <w:tcPr>
            <w:tcW w:w="5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B4F7C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≤90.00</w:t>
            </w:r>
          </w:p>
        </w:tc>
        <w:tc>
          <w:tcPr>
            <w:tcW w:w="62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D001A0">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≤102.14</w:t>
            </w:r>
          </w:p>
        </w:tc>
      </w:tr>
      <w:tr w14:paraId="49C6DC1F">
        <w:tblPrEx>
          <w:tblCellMar>
            <w:top w:w="0" w:type="dxa"/>
            <w:left w:w="108" w:type="dxa"/>
            <w:bottom w:w="0" w:type="dxa"/>
            <w:right w:w="108" w:type="dxa"/>
          </w:tblCellMar>
        </w:tblPrEx>
        <w:trPr>
          <w:trHeight w:val="9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654FD">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w:t>
            </w:r>
            <w:r>
              <w:rPr>
                <w:rFonts w:hint="eastAsia" w:ascii="仿宋_GB2312" w:hAnsi="宋体" w:eastAsia="仿宋_GB2312"/>
                <w:color w:val="auto"/>
                <w:kern w:val="0"/>
                <w:sz w:val="21"/>
                <w:szCs w:val="21"/>
                <w:highlight w:val="none"/>
                <w:lang w:eastAsia="zh-CN"/>
              </w:rPr>
              <w:t>3</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6EA5B">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人均应急避难场所面积（平方米）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18D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CE2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CCB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1.10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F375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≥1.50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967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≥1.50</w:t>
            </w:r>
          </w:p>
        </w:tc>
      </w:tr>
      <w:tr w14:paraId="4D9E9A10">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3B91">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w:t>
            </w:r>
            <w:r>
              <w:rPr>
                <w:rFonts w:hint="eastAsia" w:ascii="仿宋_GB2312" w:hAnsi="宋体" w:eastAsia="仿宋_GB2312"/>
                <w:color w:val="auto"/>
                <w:kern w:val="0"/>
                <w:sz w:val="21"/>
                <w:szCs w:val="21"/>
                <w:highlight w:val="none"/>
                <w:lang w:eastAsia="zh-CN"/>
              </w:rPr>
              <w:t>4</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C5FA">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道路网密度（千米/平方千米）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62F8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3CB5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0516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7.03</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0B73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≥7.09</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CB72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≥7.17</w:t>
            </w:r>
          </w:p>
        </w:tc>
      </w:tr>
      <w:tr w14:paraId="79B340AE">
        <w:tblPrEx>
          <w:tblCellMar>
            <w:top w:w="0" w:type="dxa"/>
            <w:left w:w="108" w:type="dxa"/>
            <w:bottom w:w="0" w:type="dxa"/>
            <w:right w:w="108" w:type="dxa"/>
          </w:tblCellMar>
        </w:tblPrEx>
        <w:trPr>
          <w:trHeight w:val="130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BE76">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w:t>
            </w:r>
            <w:r>
              <w:rPr>
                <w:rFonts w:hint="eastAsia" w:ascii="仿宋_GB2312" w:hAnsi="宋体" w:eastAsia="仿宋_GB2312"/>
                <w:color w:val="auto"/>
                <w:kern w:val="0"/>
                <w:sz w:val="21"/>
                <w:szCs w:val="21"/>
                <w:highlight w:val="none"/>
                <w:lang w:eastAsia="zh-CN"/>
              </w:rPr>
              <w:t>5</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5EE3">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每万元地区生产总值水耗（立方米）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0C3F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4C4C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E500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88.84</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9368">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≤65.00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E57A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≤45.00</w:t>
            </w:r>
          </w:p>
        </w:tc>
      </w:tr>
      <w:tr w14:paraId="22B9F9D7">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3945">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w:t>
            </w:r>
            <w:r>
              <w:rPr>
                <w:rFonts w:hint="eastAsia" w:ascii="仿宋_GB2312" w:hAnsi="宋体" w:eastAsia="仿宋_GB2312"/>
                <w:color w:val="auto"/>
                <w:kern w:val="0"/>
                <w:sz w:val="21"/>
                <w:szCs w:val="21"/>
                <w:highlight w:val="none"/>
                <w:lang w:eastAsia="zh-CN"/>
              </w:rPr>
              <w:t>6</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E9C3B">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每万元地区生产总值地耗（平方米）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898C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C75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B7D4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76.00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984C2">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≤65.00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827C9">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≤50.00</w:t>
            </w:r>
          </w:p>
        </w:tc>
      </w:tr>
      <w:tr w14:paraId="75B35E43">
        <w:tblPrEx>
          <w:tblCellMar>
            <w:top w:w="0" w:type="dxa"/>
            <w:left w:w="108" w:type="dxa"/>
            <w:bottom w:w="0" w:type="dxa"/>
            <w:right w:w="108" w:type="dxa"/>
          </w:tblCellMar>
        </w:tblPrEx>
        <w:trPr>
          <w:trHeight w:val="285"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4C676">
            <w:pPr>
              <w:widowControl/>
              <w:adjustRightInd/>
              <w:snapToGrid/>
              <w:spacing w:line="240" w:lineRule="auto"/>
              <w:ind w:firstLine="0" w:firstLineChars="0"/>
              <w:jc w:val="left"/>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三、空间品质</w:t>
            </w:r>
          </w:p>
        </w:tc>
      </w:tr>
      <w:tr w14:paraId="1453082B">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7CFF">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w:t>
            </w:r>
            <w:r>
              <w:rPr>
                <w:rFonts w:hint="eastAsia" w:ascii="仿宋_GB2312" w:hAnsi="宋体" w:eastAsia="仿宋_GB2312"/>
                <w:color w:val="auto"/>
                <w:kern w:val="0"/>
                <w:sz w:val="21"/>
                <w:szCs w:val="21"/>
                <w:highlight w:val="none"/>
                <w:lang w:eastAsia="zh-CN"/>
              </w:rPr>
              <w:t>7</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15FA">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公园绿地、广场步行5分钟覆盖率（%）</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50B5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D45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294B0">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60.00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D73A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100.00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AB3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100.00</w:t>
            </w:r>
          </w:p>
        </w:tc>
      </w:tr>
      <w:tr w14:paraId="23FE564A">
        <w:tblPrEx>
          <w:tblCellMar>
            <w:top w:w="0" w:type="dxa"/>
            <w:left w:w="108" w:type="dxa"/>
            <w:bottom w:w="0" w:type="dxa"/>
            <w:right w:w="108" w:type="dxa"/>
          </w:tblCellMar>
        </w:tblPrEx>
        <w:trPr>
          <w:trHeight w:val="76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2BDFF">
            <w:pPr>
              <w:widowControl/>
              <w:adjustRightInd/>
              <w:snapToGrid/>
              <w:spacing w:line="240" w:lineRule="auto"/>
              <w:ind w:firstLine="0" w:firstLineChars="0"/>
              <w:jc w:val="center"/>
              <w:rPr>
                <w:rFonts w:hint="default"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lang w:eastAsia="zh-CN"/>
              </w:rPr>
              <w:t>1</w:t>
            </w:r>
            <w:r>
              <w:rPr>
                <w:rFonts w:hint="eastAsia" w:ascii="仿宋_GB2312" w:hAnsi="宋体" w:eastAsia="仿宋_GB2312"/>
                <w:color w:val="auto"/>
                <w:kern w:val="0"/>
                <w:sz w:val="21"/>
                <w:szCs w:val="21"/>
                <w:highlight w:val="none"/>
                <w:lang w:val="en-US" w:eastAsia="zh-CN"/>
              </w:rPr>
              <w:t>8</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61A30">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卫生、养老、教育、文化、体育等社区公共服务设施步行15分钟覆盖率（%）</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9CB7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FBB8">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8BA9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75.00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F287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≥90.00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0CE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100.00</w:t>
            </w:r>
          </w:p>
        </w:tc>
      </w:tr>
      <w:tr w14:paraId="71F19D1A">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EC1E4">
            <w:pPr>
              <w:widowControl/>
              <w:adjustRightInd/>
              <w:snapToGrid/>
              <w:spacing w:line="240" w:lineRule="auto"/>
              <w:ind w:firstLine="0" w:firstLineChars="0"/>
              <w:jc w:val="center"/>
              <w:rPr>
                <w:rFonts w:hint="default"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lang w:eastAsia="zh-CN"/>
              </w:rPr>
              <w:t>1</w:t>
            </w:r>
            <w:r>
              <w:rPr>
                <w:rFonts w:hint="eastAsia" w:ascii="仿宋_GB2312" w:hAnsi="宋体" w:eastAsia="仿宋_GB2312"/>
                <w:color w:val="auto"/>
                <w:kern w:val="0"/>
                <w:sz w:val="21"/>
                <w:szCs w:val="21"/>
                <w:highlight w:val="none"/>
                <w:lang w:val="en-US" w:eastAsia="zh-CN"/>
              </w:rPr>
              <w:t>9</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2B1D5">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城镇人均住房面积（平方米）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D6688">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0C39">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65E6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44.00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2842">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≥42.00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E408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≥40.00</w:t>
            </w:r>
          </w:p>
        </w:tc>
      </w:tr>
      <w:tr w14:paraId="78D60DE6">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7EBC2">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eastAsia="zh-CN"/>
              </w:rPr>
              <w:t>0</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5266">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养老机构护理型床位占比（%）</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FE6C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约束性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C4EA">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7A6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A3B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依据上级下达指标确定</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5E16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依据上级下达指标确定</w:t>
            </w:r>
          </w:p>
        </w:tc>
      </w:tr>
      <w:tr w14:paraId="1539C735">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8A68">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eastAsia="zh-CN"/>
              </w:rPr>
              <w:t>1</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E257A">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每千人口医疗卫生机构床位数（张）</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B412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5100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DCA1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3.55</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5BB12">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≥5.00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391D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≥8.00</w:t>
            </w:r>
          </w:p>
        </w:tc>
      </w:tr>
      <w:tr w14:paraId="688C759E">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1322">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eastAsia="zh-CN"/>
              </w:rPr>
              <w:t>2</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4EABA">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人均体育用地面积（平方米）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2E50E">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6325A">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9A4E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1.17</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30330">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≥0.78</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9F7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≥0.57</w:t>
            </w:r>
          </w:p>
        </w:tc>
      </w:tr>
      <w:tr w14:paraId="7D46B7AC">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8961F">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eastAsia="zh-CN"/>
              </w:rPr>
              <w:t>3</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03908">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人均公园绿地面积（平方米）</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A55F3">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5360D">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7802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18.2</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E579">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≥10.30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8E6A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≥8.21</w:t>
            </w:r>
          </w:p>
        </w:tc>
      </w:tr>
      <w:tr w14:paraId="5C1828A5">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78F43">
            <w:pPr>
              <w:widowControl/>
              <w:adjustRightInd/>
              <w:snapToGrid/>
              <w:spacing w:line="240" w:lineRule="auto"/>
              <w:ind w:firstLine="0" w:firstLineChars="0"/>
              <w:jc w:val="center"/>
              <w:rPr>
                <w:rFonts w:hint="eastAsia"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eastAsia="zh-CN"/>
              </w:rPr>
              <w:t>4</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E8E6C">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绿色交通出行比例（%）</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5DAD">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11B8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1EF37">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43.00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10224">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≥60.00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6A466">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≥80.00</w:t>
            </w:r>
          </w:p>
        </w:tc>
      </w:tr>
      <w:tr w14:paraId="26EE8024">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687E9">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val="en-US" w:eastAsia="zh-CN"/>
              </w:rPr>
              <w:t>5</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15851">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降雨就地消纳率（%）</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35BF">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6B77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B895D">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20.00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37E9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≥50.00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F39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≥70.00</w:t>
            </w:r>
          </w:p>
        </w:tc>
      </w:tr>
      <w:tr w14:paraId="109086D4">
        <w:tblPrEx>
          <w:tblCellMar>
            <w:top w:w="0" w:type="dxa"/>
            <w:left w:w="108" w:type="dxa"/>
            <w:bottom w:w="0" w:type="dxa"/>
            <w:right w:w="108" w:type="dxa"/>
          </w:tblCellMar>
        </w:tblPrEx>
        <w:trPr>
          <w:trHeight w:val="510"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EB17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val="en-US" w:eastAsia="zh-CN"/>
              </w:rPr>
              <w:t>6</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DABA6">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城镇生活垃圾回收利用率（%）</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8C25C">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53401">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中心城区</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BEE0">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 xml:space="preserve">27.00 </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2DC1D">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≥30.00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02679">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≥35.00</w:t>
            </w:r>
          </w:p>
        </w:tc>
      </w:tr>
      <w:tr w14:paraId="3F7DAFF6">
        <w:tblPrEx>
          <w:tblCellMar>
            <w:top w:w="0" w:type="dxa"/>
            <w:left w:w="108" w:type="dxa"/>
            <w:bottom w:w="0" w:type="dxa"/>
            <w:right w:w="108" w:type="dxa"/>
          </w:tblCellMar>
        </w:tblPrEx>
        <w:trPr>
          <w:trHeight w:val="2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5BB8D">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2</w:t>
            </w:r>
            <w:r>
              <w:rPr>
                <w:rFonts w:hint="eastAsia" w:ascii="仿宋_GB2312" w:hAnsi="宋体" w:eastAsia="仿宋_GB2312"/>
                <w:color w:val="auto"/>
                <w:kern w:val="0"/>
                <w:sz w:val="21"/>
                <w:szCs w:val="21"/>
                <w:highlight w:val="none"/>
                <w:lang w:val="en-US" w:eastAsia="zh-CN"/>
              </w:rPr>
              <w:t>7</w:t>
            </w:r>
          </w:p>
        </w:tc>
        <w:tc>
          <w:tcPr>
            <w:tcW w:w="20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2E8B9">
            <w:pPr>
              <w:widowControl/>
              <w:adjustRightInd/>
              <w:snapToGrid/>
              <w:spacing w:line="240" w:lineRule="auto"/>
              <w:ind w:firstLine="0" w:firstLineChars="0"/>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农村生活垃圾处理率（%）</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4BCB">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ascii="仿宋_GB2312" w:hAnsi="宋体" w:eastAsia="仿宋_GB2312"/>
                <w:color w:val="auto"/>
                <w:kern w:val="0"/>
                <w:sz w:val="21"/>
                <w:szCs w:val="21"/>
                <w:highlight w:val="none"/>
              </w:rPr>
              <w:t>预期性</w:t>
            </w:r>
          </w:p>
        </w:tc>
        <w:tc>
          <w:tcPr>
            <w:tcW w:w="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5CD6A">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县域</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5A51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97.25</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0FAF0">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100.00</w:t>
            </w:r>
          </w:p>
        </w:tc>
        <w:tc>
          <w:tcPr>
            <w:tcW w:w="6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9D75">
            <w:pPr>
              <w:widowControl/>
              <w:adjustRightInd/>
              <w:snapToGrid/>
              <w:spacing w:line="240" w:lineRule="auto"/>
              <w:ind w:firstLine="0" w:firstLineChars="0"/>
              <w:jc w:val="center"/>
              <w:rPr>
                <w:rFonts w:ascii="仿宋_GB2312" w:hAnsi="宋体" w:eastAsia="仿宋_GB2312"/>
                <w:color w:val="auto"/>
                <w:kern w:val="0"/>
                <w:sz w:val="21"/>
                <w:szCs w:val="21"/>
                <w:highlight w:val="none"/>
              </w:rPr>
            </w:pPr>
            <w:r>
              <w:rPr>
                <w:rFonts w:hint="eastAsia" w:ascii="仿宋_GB2312" w:hAnsi="宋体" w:eastAsia="仿宋_GB2312"/>
                <w:color w:val="auto"/>
                <w:kern w:val="0"/>
                <w:sz w:val="21"/>
                <w:szCs w:val="21"/>
                <w:highlight w:val="none"/>
              </w:rPr>
              <w:t>100.00</w:t>
            </w:r>
          </w:p>
        </w:tc>
      </w:tr>
    </w:tbl>
    <w:p w14:paraId="05EF3215"/>
    <w:bookmarkEnd w:id="37"/>
    <w:p w14:paraId="7166025B">
      <w:pPr>
        <w:pStyle w:val="7"/>
        <w:keepNext/>
        <w:keepLines/>
        <w:numPr>
          <w:ilvl w:val="0"/>
          <w:numId w:val="10"/>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38" w:name="_Toc11788"/>
      <w:bookmarkStart w:id="39" w:name="_Toc124195902"/>
      <w:bookmarkStart w:id="40" w:name="_Toc132447822"/>
      <w:bookmarkStart w:id="41" w:name="_Toc26381"/>
      <w:bookmarkStart w:id="42" w:name="_Toc122513187"/>
      <w:bookmarkStart w:id="43" w:name="_Toc122513351"/>
      <w:r>
        <w:rPr>
          <w:rFonts w:hint="eastAsia" w:ascii="黑体" w:hAnsi="黑体" w:eastAsia="黑体"/>
          <w:bCs/>
          <w:color w:val="auto"/>
          <w:sz w:val="32"/>
          <w:szCs w:val="32"/>
          <w:highlight w:val="none"/>
        </w:rPr>
        <w:t>空间战略</w:t>
      </w:r>
      <w:bookmarkEnd w:id="38"/>
      <w:bookmarkEnd w:id="39"/>
      <w:bookmarkEnd w:id="40"/>
      <w:bookmarkEnd w:id="41"/>
      <w:bookmarkEnd w:id="42"/>
      <w:bookmarkEnd w:id="43"/>
    </w:p>
    <w:p w14:paraId="3E0B90AF">
      <w:pPr>
        <w:pStyle w:val="8"/>
        <w:keepNext/>
        <w:keepLines/>
        <w:numPr>
          <w:ilvl w:val="0"/>
          <w:numId w:val="11"/>
        </w:numPr>
        <w:adjustRightInd/>
        <w:snapToGrid/>
        <w:ind w:left="0"/>
        <w:jc w:val="center"/>
        <w:rPr>
          <w:rFonts w:ascii="仿宋_GB2312" w:hAnsi="Calibri" w:eastAsia="仿宋_GB2312"/>
          <w:b/>
          <w:bCs/>
          <w:color w:val="auto"/>
          <w:highlight w:val="none"/>
        </w:rPr>
      </w:pPr>
      <w:bookmarkStart w:id="44" w:name="_Toc614"/>
      <w:r>
        <w:rPr>
          <w:rFonts w:hint="eastAsia" w:ascii="仿宋_GB2312" w:hAnsi="Calibri" w:eastAsia="仿宋_GB2312"/>
          <w:b/>
          <w:bCs/>
          <w:color w:val="auto"/>
          <w:highlight w:val="none"/>
        </w:rPr>
        <w:t>县域</w:t>
      </w:r>
      <w:bookmarkEnd w:id="44"/>
    </w:p>
    <w:p w14:paraId="2FAEE8F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强化耕地保护与农业生产，共</w:t>
      </w:r>
      <w:r>
        <w:rPr>
          <w:rFonts w:hint="eastAsia" w:ascii="仿宋_GB2312" w:hAnsi="Times New Roman" w:eastAsia="仿宋_GB2312"/>
          <w:b/>
          <w:bCs/>
          <w:color w:val="auto"/>
          <w:sz w:val="32"/>
          <w:szCs w:val="28"/>
          <w:highlight w:val="none"/>
          <w:lang w:val="en-US" w:eastAsia="zh-CN"/>
        </w:rPr>
        <w:t>育</w:t>
      </w:r>
      <w:r>
        <w:rPr>
          <w:rFonts w:hint="eastAsia" w:ascii="仿宋_GB2312" w:hAnsi="Times New Roman" w:eastAsia="仿宋_GB2312"/>
          <w:b/>
          <w:bCs/>
          <w:color w:val="auto"/>
          <w:sz w:val="32"/>
          <w:szCs w:val="28"/>
          <w:highlight w:val="none"/>
        </w:rPr>
        <w:t>“天府第二粮仓”</w:t>
      </w:r>
    </w:p>
    <w:p w14:paraId="5F007335">
      <w:pPr>
        <w:spacing w:line="600" w:lineRule="exact"/>
        <w:ind w:firstLine="640"/>
        <w:rPr>
          <w:color w:val="auto"/>
          <w:highlight w:val="none"/>
        </w:rPr>
      </w:pPr>
      <w:r>
        <w:rPr>
          <w:rFonts w:hint="eastAsia" w:ascii="仿宋_GB2312" w:hAnsi="宋体" w:eastAsia="仿宋_GB2312"/>
          <w:color w:val="auto"/>
          <w:sz w:val="32"/>
          <w:szCs w:val="32"/>
          <w:highlight w:val="none"/>
        </w:rPr>
        <w:t>坚持落实最严格的耕地保护制度，统筹耕地布局，开展土地综合整治，促进耕地增量提质。因地制宜，优化现代农业布局，按照自然地理梯度，优先选取地势较平坦地区优质耕地、长期稳定利用耕地保障粮食安全；注重特色农业发展，于坡度较缓区域布局芒果、蚕桑、枇杷等特色农业。重视高山地区农林业发展，于坡度较大区域布局核桃、青花椒等经济</w:t>
      </w:r>
      <w:r>
        <w:rPr>
          <w:rFonts w:ascii="仿宋_GB2312" w:hAnsi="宋体" w:eastAsia="仿宋_GB2312"/>
          <w:color w:val="auto"/>
          <w:sz w:val="32"/>
          <w:szCs w:val="32"/>
          <w:highlight w:val="none"/>
        </w:rPr>
        <w:t>农林作物</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lang w:val="en-US" w:eastAsia="zh-CN"/>
        </w:rPr>
        <w:t>同时</w:t>
      </w:r>
      <w:r>
        <w:rPr>
          <w:rFonts w:hint="eastAsia" w:ascii="仿宋_GB2312" w:hAnsi="宋体" w:eastAsia="仿宋_GB2312"/>
          <w:color w:val="auto"/>
          <w:sz w:val="32"/>
          <w:szCs w:val="32"/>
          <w:highlight w:val="none"/>
        </w:rPr>
        <w:t>促进畜牧业发展。最终形成符合盐边自然地理格局的立体农业发展格局，</w:t>
      </w:r>
      <w:r>
        <w:rPr>
          <w:rFonts w:hint="eastAsia" w:ascii="仿宋_GB2312" w:hAnsi="宋体" w:eastAsia="仿宋_GB2312"/>
          <w:color w:val="auto"/>
          <w:sz w:val="32"/>
          <w:szCs w:val="32"/>
          <w:highlight w:val="none"/>
          <w:lang w:val="en-US" w:eastAsia="zh-CN"/>
        </w:rPr>
        <w:t>共育</w:t>
      </w:r>
      <w:r>
        <w:rPr>
          <w:rFonts w:hint="eastAsia" w:ascii="仿宋_GB2312" w:hAnsi="宋体" w:eastAsia="仿宋_GB2312"/>
          <w:color w:val="auto"/>
          <w:sz w:val="32"/>
          <w:szCs w:val="32"/>
          <w:highlight w:val="none"/>
        </w:rPr>
        <w:t>“天府第二粮仓”。</w:t>
      </w:r>
    </w:p>
    <w:p w14:paraId="1744540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强化资源本底保护，强调绿色低碳示范</w:t>
      </w:r>
    </w:p>
    <w:p w14:paraId="708136AE">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落实</w:t>
      </w:r>
      <w:r>
        <w:rPr>
          <w:rFonts w:hint="eastAsia" w:ascii="仿宋_GB2312" w:hAnsi="宋体" w:eastAsia="仿宋_GB2312"/>
          <w:color w:val="auto"/>
          <w:sz w:val="32"/>
          <w:szCs w:val="32"/>
          <w:highlight w:val="none"/>
          <w:lang w:val="en-US" w:eastAsia="zh-CN"/>
        </w:rPr>
        <w:t>筑牢</w:t>
      </w:r>
      <w:r>
        <w:rPr>
          <w:rFonts w:hint="eastAsia" w:ascii="仿宋_GB2312" w:hAnsi="宋体" w:eastAsia="仿宋_GB2312"/>
          <w:color w:val="auto"/>
          <w:sz w:val="32"/>
          <w:szCs w:val="32"/>
          <w:highlight w:val="none"/>
        </w:rPr>
        <w:t>长江上游</w:t>
      </w:r>
      <w:r>
        <w:rPr>
          <w:rFonts w:hint="eastAsia" w:ascii="仿宋_GB2312" w:hAnsi="宋体" w:eastAsia="仿宋_GB2312"/>
          <w:color w:val="auto"/>
          <w:sz w:val="32"/>
          <w:szCs w:val="32"/>
          <w:highlight w:val="none"/>
          <w:lang w:val="en-US" w:eastAsia="zh-CN"/>
        </w:rPr>
        <w:t>重要</w:t>
      </w:r>
      <w:r>
        <w:rPr>
          <w:rFonts w:hint="eastAsia" w:ascii="仿宋_GB2312" w:hAnsi="宋体" w:eastAsia="仿宋_GB2312"/>
          <w:color w:val="auto"/>
          <w:sz w:val="32"/>
          <w:szCs w:val="32"/>
          <w:highlight w:val="none"/>
        </w:rPr>
        <w:t>生态屏障和川滇森林及生物多样性、川滇水土保持、重要森林生态功能区等国家生态功能区保护要求，强化盐边县山水林田湖草</w:t>
      </w:r>
      <w:r>
        <w:rPr>
          <w:rFonts w:hint="eastAsia" w:ascii="仿宋_GB2312" w:hAnsi="宋体" w:eastAsia="仿宋_GB2312"/>
          <w:color w:val="auto"/>
          <w:sz w:val="32"/>
          <w:szCs w:val="32"/>
          <w:highlight w:val="none"/>
          <w:lang w:val="en-US" w:eastAsia="zh-CN"/>
        </w:rPr>
        <w:t>沙</w:t>
      </w:r>
      <w:r>
        <w:rPr>
          <w:rFonts w:hint="eastAsia" w:ascii="仿宋_GB2312" w:hAnsi="宋体" w:eastAsia="仿宋_GB2312"/>
          <w:color w:val="auto"/>
          <w:sz w:val="32"/>
          <w:szCs w:val="32"/>
          <w:highlight w:val="none"/>
        </w:rPr>
        <w:t>管控，构建县域保护格局。构建以四川二滩湿地鸟类自然保护区、四川二滩国家级森林公园、四川盐边格萨拉国家级地质公园为主的自然保护地体系。加强河流、水库、湿地等生态重要地区及水土流失、石漠化、土地沙化等生态脆弱区</w:t>
      </w:r>
      <w:r>
        <w:rPr>
          <w:rFonts w:hint="eastAsia" w:ascii="仿宋_GB2312" w:hAnsi="宋体" w:eastAsia="仿宋_GB2312"/>
          <w:color w:val="auto"/>
          <w:sz w:val="32"/>
          <w:szCs w:val="32"/>
          <w:highlight w:val="none"/>
          <w:lang w:val="en-US" w:eastAsia="zh-CN"/>
        </w:rPr>
        <w:t>保护</w:t>
      </w:r>
      <w:r>
        <w:rPr>
          <w:rFonts w:hint="eastAsia" w:ascii="仿宋_GB2312" w:hAnsi="宋体" w:eastAsia="仿宋_GB2312"/>
          <w:color w:val="auto"/>
          <w:sz w:val="32"/>
          <w:szCs w:val="32"/>
          <w:highlight w:val="none"/>
        </w:rPr>
        <w:t>，</w:t>
      </w:r>
      <w:r>
        <w:rPr>
          <w:rFonts w:hint="eastAsia" w:ascii="仿宋_GB2312" w:hAnsi="宋体" w:eastAsia="仿宋_GB2312"/>
          <w:color w:val="auto"/>
          <w:sz w:val="32"/>
          <w:szCs w:val="32"/>
          <w:highlight w:val="none"/>
          <w:lang w:val="en-US" w:eastAsia="zh-CN"/>
        </w:rPr>
        <w:t>强化生物</w:t>
      </w:r>
      <w:r>
        <w:rPr>
          <w:rFonts w:hint="eastAsia" w:ascii="仿宋_GB2312" w:hAnsi="宋体" w:eastAsia="仿宋_GB2312"/>
          <w:color w:val="auto"/>
          <w:sz w:val="32"/>
          <w:szCs w:val="32"/>
          <w:highlight w:val="none"/>
        </w:rPr>
        <w:t>多样性保护。积极推进绿化隔离地区、森林公园、生态廊道、城市公园绿地等生态环境建设，重点维护金沙江、雅砻江、安宁河等重要生态廊道功能。</w:t>
      </w:r>
    </w:p>
    <w:p w14:paraId="094B4A38">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充分挖掘太阳能、风能、水能等资源优势，着力发展光电</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风电、水电产业，探索培育氢能等新兴产业，加快建设清洁能源基地。</w:t>
      </w:r>
    </w:p>
    <w:p w14:paraId="48B6E792">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积极淘汰落后产能，降低能耗水平，鼓励企业推进清洁生产、节能减排和废弃物资源化高效综合利用，为氯化钛渣、金属钛、钛材、铸造等优势产业发展腾出能耗空间。实施绿色矿山建设、废弃矿山生态修复工程协同改善大气环境、水生态环境和土壤环境，把“绿色财富”转化为持续发展的动力。</w:t>
      </w:r>
    </w:p>
    <w:p w14:paraId="788EDB2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强化融入区域合作，强调区域协同发展</w:t>
      </w:r>
    </w:p>
    <w:p w14:paraId="78BC58BA">
      <w:pPr>
        <w:spacing w:line="600" w:lineRule="exact"/>
        <w:ind w:firstLine="641"/>
        <w:rPr>
          <w:rFonts w:ascii="仿宋_GB2312" w:hAnsi="宋体" w:eastAsia="仿宋_GB2312"/>
          <w:color w:val="auto"/>
          <w:sz w:val="32"/>
          <w:szCs w:val="32"/>
          <w:highlight w:val="none"/>
        </w:rPr>
      </w:pPr>
      <w:r>
        <w:rPr>
          <w:rFonts w:hint="eastAsia" w:ascii="仿宋_GB2312" w:hAnsi="宋体" w:eastAsia="仿宋_GB2312"/>
          <w:b/>
          <w:color w:val="auto"/>
          <w:sz w:val="32"/>
          <w:szCs w:val="32"/>
          <w:highlight w:val="none"/>
        </w:rPr>
        <w:t>积极融入攀西经济区，实现区域开放与协作。</w:t>
      </w:r>
      <w:r>
        <w:rPr>
          <w:rFonts w:hint="eastAsia" w:ascii="仿宋_GB2312" w:hAnsi="宋体" w:eastAsia="仿宋_GB2312"/>
          <w:color w:val="auto"/>
          <w:sz w:val="32"/>
          <w:szCs w:val="32"/>
          <w:highlight w:val="none"/>
        </w:rPr>
        <w:t>重点协同推进长江上游生态屏障重要承载区、国家战略资源创新开发试验区、国际阳光康养旅游目的地和四川省现代农业特色基地建设。实现区域生态共保、产业共兴、交通互联和设施共建。</w:t>
      </w:r>
    </w:p>
    <w:p w14:paraId="7E58087B">
      <w:pPr>
        <w:spacing w:line="600" w:lineRule="exact"/>
        <w:ind w:firstLine="641"/>
        <w:rPr>
          <w:rFonts w:ascii="仿宋_GB2312" w:hAnsi="宋体" w:eastAsia="仿宋_GB2312"/>
          <w:color w:val="auto"/>
          <w:sz w:val="32"/>
          <w:szCs w:val="32"/>
          <w:highlight w:val="none"/>
        </w:rPr>
      </w:pPr>
      <w:r>
        <w:rPr>
          <w:rFonts w:hint="eastAsia" w:ascii="仿宋_GB2312" w:hAnsi="宋体" w:eastAsia="仿宋_GB2312"/>
          <w:b/>
          <w:color w:val="auto"/>
          <w:sz w:val="32"/>
          <w:szCs w:val="32"/>
          <w:highlight w:val="none"/>
        </w:rPr>
        <w:t>积极融入攀枝花市，共同构建“一城</w:t>
      </w:r>
      <w:r>
        <w:rPr>
          <w:rFonts w:hint="eastAsia" w:ascii="仿宋_GB2312" w:hAnsi="宋体" w:eastAsia="仿宋_GB2312"/>
          <w:b/>
          <w:color w:val="auto"/>
          <w:sz w:val="32"/>
          <w:szCs w:val="32"/>
          <w:highlight w:val="none"/>
          <w:lang w:val="en-US" w:eastAsia="zh-CN"/>
        </w:rPr>
        <w:t>一市</w:t>
      </w:r>
      <w:r>
        <w:rPr>
          <w:rFonts w:hint="eastAsia" w:ascii="仿宋_GB2312" w:hAnsi="宋体" w:eastAsia="仿宋_GB2312"/>
          <w:b/>
          <w:color w:val="auto"/>
          <w:sz w:val="32"/>
          <w:szCs w:val="32"/>
          <w:highlight w:val="none"/>
        </w:rPr>
        <w:t>一区”。</w:t>
      </w:r>
      <w:r>
        <w:rPr>
          <w:rFonts w:hint="eastAsia" w:ascii="仿宋_GB2312" w:hAnsi="宋体" w:eastAsia="仿宋_GB2312"/>
          <w:color w:val="auto"/>
          <w:sz w:val="32"/>
          <w:szCs w:val="32"/>
          <w:highlight w:val="none"/>
        </w:rPr>
        <w:t>融入“</w:t>
      </w:r>
      <w:r>
        <w:rPr>
          <w:rFonts w:ascii="仿宋_GB2312" w:hAnsi="宋体" w:eastAsia="仿宋_GB2312"/>
          <w:color w:val="auto"/>
          <w:sz w:val="32"/>
          <w:szCs w:val="32"/>
          <w:highlight w:val="none"/>
        </w:rPr>
        <w:t>一</w:t>
      </w:r>
      <w:r>
        <w:rPr>
          <w:rFonts w:hint="eastAsia" w:ascii="仿宋_GB2312" w:hAnsi="宋体" w:eastAsia="仿宋_GB2312"/>
          <w:color w:val="auto"/>
          <w:sz w:val="32"/>
          <w:szCs w:val="32"/>
          <w:highlight w:val="none"/>
        </w:rPr>
        <w:t>城”，以盐边中心城区、新九镇、红格镇为依托，承接攀枝花市中心城区功能，全面融入攀枝花都市区。融入“一区”，以盐边北部区域，全面融入市域西北生态经济区。</w:t>
      </w:r>
    </w:p>
    <w:p w14:paraId="1C378C8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强化城乡融合发展，优化县域城乡空间</w:t>
      </w:r>
    </w:p>
    <w:p w14:paraId="2C2C7C9B">
      <w:pPr>
        <w:spacing w:line="600" w:lineRule="exact"/>
        <w:ind w:firstLine="640"/>
        <w:rPr>
          <w:color w:val="auto"/>
          <w:highlight w:val="none"/>
        </w:rPr>
      </w:pPr>
      <w:r>
        <w:rPr>
          <w:rFonts w:hint="eastAsia" w:ascii="仿宋_GB2312" w:hAnsi="宋体" w:eastAsia="仿宋_GB2312"/>
          <w:color w:val="auto"/>
          <w:sz w:val="32"/>
          <w:szCs w:val="32"/>
          <w:highlight w:val="none"/>
        </w:rPr>
        <w:t>构建城乡融合发展体制机制，实现基础设施、产业发展、公共服务、管理体制、市场体制在县域范围内的一体化；主动融入攀西地区“一区两屏、两带双核”和攀枝花“一主、一副、两带”的城镇空间布局。优化调整城镇体系和城镇发展空间格局，实施“南开红格、北振渔门、做</w:t>
      </w:r>
      <w:r>
        <w:rPr>
          <w:rFonts w:hint="eastAsia" w:ascii="仿宋_GB2312" w:hAnsi="宋体" w:eastAsia="仿宋_GB2312" w:cs="宋体"/>
          <w:color w:val="auto"/>
          <w:sz w:val="32"/>
          <w:szCs w:val="32"/>
          <w:highlight w:val="none"/>
        </w:rPr>
        <w:t>靓县</w:t>
      </w:r>
      <w:r>
        <w:rPr>
          <w:rFonts w:hint="eastAsia" w:ascii="___WRD_EMBED_SUB_44" w:hAnsi="___WRD_EMBED_SUB_44" w:eastAsia="___WRD_EMBED_SUB_44" w:cs="___WRD_EMBED_SUB_44"/>
          <w:color w:val="auto"/>
          <w:sz w:val="32"/>
          <w:szCs w:val="32"/>
          <w:highlight w:val="none"/>
        </w:rPr>
        <w:t>城</w:t>
      </w:r>
      <w:r>
        <w:rPr>
          <w:rFonts w:hint="eastAsia" w:ascii="仿宋_GB2312" w:hAnsi="宋体" w:eastAsia="仿宋_GB2312"/>
          <w:color w:val="auto"/>
          <w:sz w:val="32"/>
          <w:szCs w:val="32"/>
          <w:highlight w:val="none"/>
        </w:rPr>
        <w:t>”策略。以盐边中心城区、红格镇、新九镇（</w:t>
      </w:r>
      <w:r>
        <w:rPr>
          <w:rFonts w:hint="eastAsia" w:ascii="仿宋_GB2312" w:hAnsi="宋体" w:eastAsia="仿宋_GB2312"/>
          <w:color w:val="auto"/>
          <w:sz w:val="32"/>
          <w:szCs w:val="32"/>
          <w:highlight w:val="none"/>
          <w:lang w:val="en-US" w:eastAsia="zh-CN"/>
        </w:rPr>
        <w:t>包括</w:t>
      </w:r>
      <w:r>
        <w:rPr>
          <w:rFonts w:hint="eastAsia" w:ascii="仿宋_GB2312" w:hAnsi="宋体" w:eastAsia="仿宋_GB2312"/>
          <w:color w:val="auto"/>
          <w:sz w:val="32"/>
          <w:szCs w:val="32"/>
          <w:highlight w:val="none"/>
        </w:rPr>
        <w:t>盐边钒钛产业开发区）为依托，共同构建攀枝花都市区</w:t>
      </w:r>
      <w:r>
        <w:rPr>
          <w:rFonts w:hint="eastAsia"/>
          <w:color w:val="auto"/>
          <w:highlight w:val="none"/>
        </w:rPr>
        <w:t>。</w:t>
      </w:r>
    </w:p>
    <w:p w14:paraId="75C88144">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突出增存并举，优化建设用地空间布局</w:t>
      </w:r>
    </w:p>
    <w:p w14:paraId="2F7410A9">
      <w:pPr>
        <w:spacing w:line="58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统筹安排城镇建设、产业布局和资源利用，推动城市基础设施向乡村延伸、公共服务向乡村覆盖；强化增存并举，节约集约用地，用好增量用地保</w:t>
      </w:r>
      <w:r>
        <w:rPr>
          <w:rFonts w:hint="eastAsia" w:ascii="仿宋_GB2312" w:hAnsi="宋体" w:eastAsia="仿宋_GB2312"/>
          <w:color w:val="auto"/>
          <w:sz w:val="32"/>
          <w:szCs w:val="32"/>
          <w:highlight w:val="none"/>
          <w:lang w:eastAsia="zh-CN"/>
        </w:rPr>
        <w:t>障</w:t>
      </w:r>
      <w:r>
        <w:rPr>
          <w:rFonts w:hint="eastAsia" w:ascii="仿宋_GB2312" w:hAnsi="宋体" w:eastAsia="仿宋_GB2312"/>
          <w:color w:val="auto"/>
          <w:sz w:val="32"/>
          <w:szCs w:val="32"/>
          <w:highlight w:val="none"/>
        </w:rPr>
        <w:t>重点区域，盘活低效存量用地保障近期建设，激活流量用地保障乡村建设。</w:t>
      </w:r>
    </w:p>
    <w:p w14:paraId="6A3A9818">
      <w:pPr>
        <w:pStyle w:val="8"/>
        <w:keepNext/>
        <w:keepLines/>
        <w:numPr>
          <w:ilvl w:val="0"/>
          <w:numId w:val="11"/>
        </w:numPr>
        <w:adjustRightInd/>
        <w:snapToGrid/>
        <w:ind w:left="0"/>
        <w:jc w:val="center"/>
        <w:rPr>
          <w:rFonts w:ascii="仿宋_GB2312" w:hAnsi="Calibri" w:eastAsia="仿宋_GB2312"/>
          <w:b/>
          <w:bCs/>
          <w:color w:val="auto"/>
          <w:highlight w:val="none"/>
        </w:rPr>
      </w:pPr>
      <w:bookmarkStart w:id="45" w:name="_Toc11276"/>
      <w:r>
        <w:rPr>
          <w:rFonts w:hint="eastAsia" w:ascii="仿宋_GB2312" w:hAnsi="Calibri" w:eastAsia="仿宋_GB2312"/>
          <w:b/>
          <w:bCs/>
          <w:color w:val="auto"/>
          <w:highlight w:val="none"/>
        </w:rPr>
        <w:t>中心城区</w:t>
      </w:r>
      <w:bookmarkEnd w:id="45"/>
    </w:p>
    <w:p w14:paraId="4123C6A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中心城区空间战略</w:t>
      </w:r>
    </w:p>
    <w:p w14:paraId="4B26B09B">
      <w:pPr>
        <w:spacing w:line="58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以“阳光”“生态”“文化”“气候”优势资源，实行城市功能转型。对外承接外来旅游度假康养人口，对内服务矿产资源开发产业人口，由传统的移民迁建城市向生态宜居城市转变。</w:t>
      </w:r>
    </w:p>
    <w:p w14:paraId="325FE6A9">
      <w:pPr>
        <w:spacing w:line="58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优化功能结构，强化居住、商业等生活配套功能，为中心城区向康养宜居转型服务。充分发挥成昆铁路新线盐边站对旅游人口的引流作用，强化中心城区南部组团与城区的交通和功能联系。基于</w:t>
      </w:r>
      <w:r>
        <w:rPr>
          <w:rFonts w:hint="eastAsia" w:ascii="仿宋_GB2312" w:eastAsia="仿宋_GB2312"/>
          <w:color w:val="auto"/>
          <w:sz w:val="32"/>
          <w:szCs w:val="32"/>
          <w:highlight w:val="none"/>
          <w:lang w:val="en-US" w:eastAsia="zh-CN"/>
        </w:rPr>
        <w:t>现状</w:t>
      </w:r>
      <w:r>
        <w:rPr>
          <w:rFonts w:hint="eastAsia" w:ascii="仿宋_GB2312" w:eastAsia="仿宋_GB2312"/>
          <w:color w:val="auto"/>
          <w:sz w:val="32"/>
          <w:szCs w:val="32"/>
          <w:highlight w:val="none"/>
        </w:rPr>
        <w:t>城区，大力推进城市更新，实现功能转换。深度挖潜，提升用地使用价值和效率。以“阳光山水、大笮风情、活力康养”为主题，营造具有地域特色和历史文化内涵的高品质城市景观风貌。</w:t>
      </w:r>
    </w:p>
    <w:p w14:paraId="356F1EEE">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br w:type="page"/>
      </w:r>
    </w:p>
    <w:p w14:paraId="720C928A">
      <w:pPr>
        <w:pStyle w:val="5"/>
        <w:rPr>
          <w:b/>
          <w:bCs/>
          <w:color w:val="auto"/>
          <w:sz w:val="36"/>
          <w:szCs w:val="36"/>
          <w:highlight w:val="none"/>
        </w:rPr>
      </w:pPr>
      <w:bookmarkStart w:id="46" w:name="_Toc132447823"/>
      <w:bookmarkStart w:id="47" w:name="_Toc32236"/>
      <w:bookmarkStart w:id="48" w:name="_Toc23526"/>
      <w:r>
        <w:rPr>
          <w:rFonts w:hint="eastAsia"/>
          <w:b/>
          <w:bCs/>
          <w:color w:val="auto"/>
          <w:sz w:val="36"/>
          <w:szCs w:val="36"/>
          <w:highlight w:val="none"/>
        </w:rPr>
        <w:t>第三部分 县域规划</w:t>
      </w:r>
      <w:bookmarkEnd w:id="46"/>
      <w:bookmarkEnd w:id="47"/>
      <w:bookmarkEnd w:id="48"/>
    </w:p>
    <w:p w14:paraId="6B95D4DE">
      <w:pPr>
        <w:pStyle w:val="7"/>
        <w:keepNext/>
        <w:keepLines/>
        <w:numPr>
          <w:ilvl w:val="0"/>
          <w:numId w:val="12"/>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49" w:name="_Toc4864"/>
      <w:bookmarkStart w:id="50" w:name="_Toc20723"/>
      <w:bookmarkStart w:id="51" w:name="_Toc132447824"/>
      <w:r>
        <w:rPr>
          <w:rFonts w:hint="eastAsia" w:ascii="黑体" w:hAnsi="黑体" w:eastAsia="黑体"/>
          <w:bCs/>
          <w:color w:val="auto"/>
          <w:sz w:val="32"/>
          <w:szCs w:val="32"/>
          <w:highlight w:val="none"/>
        </w:rPr>
        <w:t>国土空间总体格局</w:t>
      </w:r>
      <w:bookmarkEnd w:id="49"/>
      <w:bookmarkEnd w:id="50"/>
      <w:bookmarkEnd w:id="51"/>
    </w:p>
    <w:p w14:paraId="2D73CB8D">
      <w:pPr>
        <w:pStyle w:val="8"/>
        <w:keepNext/>
        <w:keepLines/>
        <w:numPr>
          <w:ilvl w:val="0"/>
          <w:numId w:val="13"/>
        </w:numPr>
        <w:adjustRightInd/>
        <w:snapToGrid/>
        <w:ind w:left="0"/>
        <w:jc w:val="center"/>
        <w:rPr>
          <w:rFonts w:ascii="仿宋_GB2312" w:hAnsi="Calibri" w:eastAsia="仿宋_GB2312"/>
          <w:b/>
          <w:bCs/>
          <w:color w:val="auto"/>
          <w:highlight w:val="none"/>
        </w:rPr>
      </w:pPr>
      <w:bookmarkStart w:id="52" w:name="_Toc3609"/>
      <w:r>
        <w:rPr>
          <w:rFonts w:hint="eastAsia" w:ascii="仿宋_GB2312" w:hAnsi="Calibri" w:eastAsia="仿宋_GB2312"/>
          <w:b/>
          <w:bCs/>
          <w:color w:val="auto"/>
          <w:highlight w:val="none"/>
        </w:rPr>
        <w:t>底线管控</w:t>
      </w:r>
      <w:bookmarkEnd w:id="52"/>
    </w:p>
    <w:p w14:paraId="17EA18E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耕地和永久基本农田</w:t>
      </w:r>
    </w:p>
    <w:p w14:paraId="6DC4ED5B">
      <w:pPr>
        <w:spacing w:line="600" w:lineRule="exact"/>
        <w:ind w:firstLine="640"/>
        <w:rPr>
          <w:rFonts w:hint="eastAsia" w:ascii="仿宋_GB2312" w:eastAsia="仿宋_GB2312"/>
          <w:color w:val="auto"/>
          <w:sz w:val="32"/>
          <w:szCs w:val="32"/>
          <w:highlight w:val="none"/>
          <w:u w:val="single"/>
          <w:lang w:eastAsia="zh-CN"/>
        </w:rPr>
      </w:pPr>
      <w:r>
        <w:rPr>
          <w:rFonts w:hint="eastAsia" w:ascii="仿宋_GB2312" w:eastAsia="仿宋_GB2312"/>
          <w:color w:val="auto"/>
          <w:sz w:val="32"/>
          <w:szCs w:val="32"/>
          <w:highlight w:val="none"/>
        </w:rPr>
        <w:t>严格保护质量较高、集中连片、便于耕作的优质耕地，按照划定规则和控制数，</w:t>
      </w:r>
      <w:r>
        <w:rPr>
          <w:rFonts w:hint="eastAsia" w:ascii="仿宋_GB2312" w:eastAsia="仿宋_GB2312"/>
          <w:color w:val="auto"/>
          <w:sz w:val="32"/>
          <w:szCs w:val="32"/>
          <w:highlight w:val="none"/>
          <w:lang w:val="en-US" w:eastAsia="zh-CN"/>
        </w:rPr>
        <w:t>落实</w:t>
      </w:r>
      <w:r>
        <w:rPr>
          <w:rFonts w:hint="eastAsia" w:ascii="仿宋_GB2312" w:eastAsia="仿宋_GB2312"/>
          <w:color w:val="auto"/>
          <w:sz w:val="32"/>
          <w:szCs w:val="32"/>
          <w:highlight w:val="none"/>
        </w:rPr>
        <w:t>市级下达目标，</w:t>
      </w:r>
      <w:r>
        <w:rPr>
          <w:rFonts w:hint="eastAsia" w:ascii="仿宋_GB2312" w:eastAsia="仿宋_GB2312"/>
          <w:color w:val="auto"/>
          <w:sz w:val="32"/>
          <w:szCs w:val="32"/>
          <w:highlight w:val="none"/>
          <w:u w:val="single"/>
          <w:lang w:val="en-US" w:eastAsia="zh-CN"/>
        </w:rPr>
        <w:t>划定</w:t>
      </w:r>
      <w:r>
        <w:rPr>
          <w:rFonts w:hint="eastAsia" w:ascii="仿宋_GB2312" w:eastAsia="仿宋_GB2312"/>
          <w:color w:val="auto"/>
          <w:sz w:val="32"/>
          <w:szCs w:val="32"/>
          <w:highlight w:val="none"/>
          <w:u w:val="single"/>
        </w:rPr>
        <w:t>耕地保有量228.5</w:t>
      </w:r>
      <w:r>
        <w:rPr>
          <w:rFonts w:ascii="仿宋_GB2312" w:eastAsia="仿宋_GB2312"/>
          <w:color w:val="auto"/>
          <w:sz w:val="32"/>
          <w:szCs w:val="32"/>
          <w:highlight w:val="none"/>
          <w:u w:val="single"/>
        </w:rPr>
        <w:t>4</w:t>
      </w:r>
      <w:r>
        <w:rPr>
          <w:rFonts w:hint="eastAsia" w:ascii="仿宋_GB2312" w:eastAsia="仿宋_GB2312"/>
          <w:color w:val="auto"/>
          <w:sz w:val="32"/>
          <w:szCs w:val="32"/>
          <w:highlight w:val="none"/>
          <w:u w:val="single"/>
        </w:rPr>
        <w:t>平方千米（34.28万亩），永久基本农田154.04平方千米（23.11万亩）。永久基本农田一经划定，任何单位和个人不得擅自占用或者擅自改变用途。符合国家政策允许情形下的交通、能源、水利、国防等建设项目确实无法避让永久基本农田的，必须严格论证，依法依规报批，确保永久基本农田“数量不减、质量不降、布局稳定”</w:t>
      </w:r>
      <w:r>
        <w:rPr>
          <w:rFonts w:hint="eastAsia" w:ascii="仿宋_GB2312" w:eastAsia="仿宋_GB2312"/>
          <w:color w:val="auto"/>
          <w:sz w:val="32"/>
          <w:szCs w:val="32"/>
          <w:highlight w:val="none"/>
          <w:u w:val="single"/>
          <w:lang w:eastAsia="zh-CN"/>
        </w:rPr>
        <w:t>。</w:t>
      </w:r>
    </w:p>
    <w:p w14:paraId="1822192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生态保护红线</w:t>
      </w:r>
    </w:p>
    <w:p w14:paraId="1ECB2040">
      <w:pPr>
        <w:spacing w:line="600" w:lineRule="exact"/>
        <w:ind w:firstLine="640"/>
        <w:rPr>
          <w:rFonts w:ascii="仿宋_GB2312" w:hAnsi="宋体" w:eastAsia="仿宋_GB2312"/>
          <w:color w:val="auto"/>
          <w:sz w:val="32"/>
          <w:szCs w:val="32"/>
          <w:highlight w:val="none"/>
          <w:u w:val="single"/>
        </w:rPr>
      </w:pPr>
      <w:r>
        <w:rPr>
          <w:rFonts w:hint="eastAsia" w:ascii="仿宋_GB2312" w:hAnsi="宋体" w:eastAsia="仿宋_GB2312"/>
          <w:color w:val="auto"/>
          <w:sz w:val="32"/>
          <w:szCs w:val="32"/>
          <w:highlight w:val="none"/>
          <w:u w:val="single"/>
        </w:rPr>
        <w:t>落实生态保护红线732.73平方千米。主要位于盐边县中北部，主要包括国家一级公益林、饮用水水源一级保护区以及三处自然保护地（四川二滩国家级森林公园、四川二滩湿地鸟类自然保护区、四川盐边格萨拉国家级地质公园）。生态保护红线是国土空间规划中的重要管控边界，一经划定，须严格落实生态保护红线管理要求，未经批准，严禁擅自调整。除允许的有限人为活动之外，确需占用生态保护红线的项目，按规定上报批准。</w:t>
      </w:r>
    </w:p>
    <w:p w14:paraId="19E52DB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城镇开发边界</w:t>
      </w:r>
    </w:p>
    <w:p w14:paraId="0D23D33E">
      <w:pPr>
        <w:spacing w:line="600" w:lineRule="exact"/>
        <w:ind w:firstLine="640"/>
        <w:rPr>
          <w:rFonts w:ascii="仿宋_GB2312" w:hAnsi="宋体" w:eastAsia="仿宋_GB2312"/>
          <w:color w:val="auto"/>
          <w:sz w:val="32"/>
          <w:szCs w:val="32"/>
          <w:highlight w:val="none"/>
          <w:u w:val="single"/>
        </w:rPr>
      </w:pPr>
      <w:r>
        <w:rPr>
          <w:rFonts w:hint="eastAsia" w:ascii="仿宋_GB2312" w:hAnsi="宋体" w:eastAsia="仿宋_GB2312"/>
          <w:color w:val="auto"/>
          <w:sz w:val="32"/>
          <w:szCs w:val="32"/>
          <w:highlight w:val="none"/>
        </w:rPr>
        <w:t>合理划定城镇开发边界，严控城镇建设用地总量。</w:t>
      </w:r>
      <w:r>
        <w:rPr>
          <w:rFonts w:hint="eastAsia" w:ascii="仿宋_GB2312" w:hAnsi="宋体" w:eastAsia="仿宋_GB2312"/>
          <w:color w:val="auto"/>
          <w:sz w:val="32"/>
          <w:szCs w:val="32"/>
          <w:highlight w:val="none"/>
          <w:u w:val="single"/>
        </w:rPr>
        <w:t>至2035年，全县划定城镇开发边界14.39平方千米，全部为</w:t>
      </w:r>
      <w:r>
        <w:rPr>
          <w:rFonts w:hint="eastAsia" w:ascii="仿宋_GB2312" w:hAnsi="宋体" w:eastAsia="仿宋_GB2312"/>
          <w:color w:val="auto"/>
          <w:sz w:val="32"/>
          <w:szCs w:val="32"/>
          <w:highlight w:val="none"/>
          <w:u w:val="single"/>
          <w:lang w:val="en-US" w:eastAsia="zh-CN"/>
        </w:rPr>
        <w:t>城镇</w:t>
      </w:r>
      <w:r>
        <w:rPr>
          <w:rFonts w:hint="eastAsia" w:ascii="仿宋_GB2312" w:hAnsi="宋体" w:eastAsia="仿宋_GB2312"/>
          <w:color w:val="auto"/>
          <w:sz w:val="32"/>
          <w:szCs w:val="32"/>
          <w:highlight w:val="none"/>
          <w:u w:val="single"/>
        </w:rPr>
        <w:t>集中建设区。城镇集中的开发建设活动应在</w:t>
      </w:r>
      <w:r>
        <w:rPr>
          <w:rFonts w:hint="eastAsia" w:ascii="仿宋_GB2312" w:hAnsi="宋体" w:eastAsia="仿宋_GB2312"/>
          <w:color w:val="auto"/>
          <w:sz w:val="32"/>
          <w:szCs w:val="32"/>
          <w:highlight w:val="none"/>
          <w:u w:val="single"/>
          <w:lang w:val="en-US" w:eastAsia="zh-CN"/>
        </w:rPr>
        <w:t>城镇</w:t>
      </w:r>
      <w:r>
        <w:rPr>
          <w:rFonts w:hint="eastAsia" w:ascii="仿宋_GB2312" w:hAnsi="宋体" w:eastAsia="仿宋_GB2312"/>
          <w:color w:val="auto"/>
          <w:sz w:val="32"/>
          <w:szCs w:val="32"/>
          <w:highlight w:val="none"/>
          <w:u w:val="single"/>
        </w:rPr>
        <w:t>开发边界内进行，</w:t>
      </w:r>
      <w:r>
        <w:rPr>
          <w:rFonts w:hint="eastAsia" w:ascii="仿宋_GB2312" w:hAnsi="宋体" w:eastAsia="仿宋_GB2312"/>
          <w:color w:val="auto"/>
          <w:sz w:val="32"/>
          <w:szCs w:val="32"/>
          <w:highlight w:val="none"/>
          <w:u w:val="single"/>
          <w:lang w:val="en-US" w:eastAsia="zh-CN"/>
        </w:rPr>
        <w:t>城镇</w:t>
      </w:r>
      <w:r>
        <w:rPr>
          <w:rFonts w:hint="eastAsia" w:ascii="仿宋_GB2312" w:hAnsi="宋体" w:eastAsia="仿宋_GB2312"/>
          <w:color w:val="auto"/>
          <w:sz w:val="32"/>
          <w:szCs w:val="32"/>
          <w:highlight w:val="none"/>
          <w:u w:val="single"/>
        </w:rPr>
        <w:t>集中建设区范围内实行“详细规划+规划许可”的管制方式，并强化城市绿线、蓝线、紫线和黄线等控制线的协同管控。城镇开发边界外原则上不得进行城镇集中建设，不得设立各类开发区。</w:t>
      </w:r>
    </w:p>
    <w:p w14:paraId="1E8FF3A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历史文化保护线</w:t>
      </w:r>
    </w:p>
    <w:p w14:paraId="067B15C3">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u w:val="single"/>
        </w:rPr>
        <w:t>对县域各级文物保护单位、传统村落，严格按照《中华人民共和国文物保护法》《中华人民共和国文物保护法实施条例》的规定进行保护，实行分级分类保护，划定历史文化保护范围与建设控制范围</w:t>
      </w:r>
      <w:r>
        <w:rPr>
          <w:rFonts w:hint="eastAsia" w:ascii="仿宋_GB2312" w:hAnsi="宋体" w:eastAsia="仿宋_GB2312"/>
          <w:color w:val="auto"/>
          <w:sz w:val="32"/>
          <w:szCs w:val="32"/>
          <w:highlight w:val="none"/>
          <w:u w:val="none"/>
        </w:rPr>
        <w:t>（</w:t>
      </w:r>
      <w:r>
        <w:rPr>
          <w:rFonts w:hint="eastAsia" w:ascii="仿宋_GB2312" w:hAnsi="宋体" w:eastAsia="仿宋_GB2312"/>
          <w:color w:val="auto"/>
          <w:sz w:val="32"/>
          <w:szCs w:val="32"/>
          <w:highlight w:val="none"/>
          <w:u w:val="none"/>
          <w:lang w:val="en-US" w:eastAsia="zh-CN"/>
        </w:rPr>
        <w:t>详见</w:t>
      </w:r>
      <w:r>
        <w:rPr>
          <w:rFonts w:hint="eastAsia" w:ascii="仿宋_GB2312" w:hAnsi="宋体" w:eastAsia="仿宋_GB2312"/>
          <w:color w:val="auto"/>
          <w:sz w:val="32"/>
          <w:szCs w:val="32"/>
          <w:highlight w:val="none"/>
          <w:u w:val="none"/>
        </w:rPr>
        <w:t>附表</w:t>
      </w:r>
      <w:r>
        <w:rPr>
          <w:rFonts w:ascii="仿宋_GB2312" w:hAnsi="宋体" w:eastAsia="仿宋_GB2312"/>
          <w:color w:val="auto"/>
          <w:sz w:val="32"/>
          <w:szCs w:val="32"/>
          <w:highlight w:val="none"/>
          <w:u w:val="none"/>
        </w:rPr>
        <w:t>9</w:t>
      </w:r>
      <w:r>
        <w:rPr>
          <w:rFonts w:hint="eastAsia" w:ascii="仿宋_GB2312" w:hAnsi="宋体" w:eastAsia="仿宋_GB2312"/>
          <w:color w:val="auto"/>
          <w:sz w:val="32"/>
          <w:szCs w:val="32"/>
          <w:highlight w:val="none"/>
          <w:u w:val="none"/>
        </w:rPr>
        <w:t>、10）。</w:t>
      </w:r>
    </w:p>
    <w:p w14:paraId="45A9504C">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地质灾害</w:t>
      </w:r>
      <w:r>
        <w:rPr>
          <w:rFonts w:hint="eastAsia" w:ascii="仿宋_GB2312" w:hAnsi="Times New Roman" w:eastAsia="仿宋_GB2312"/>
          <w:b/>
          <w:bCs/>
          <w:color w:val="auto"/>
          <w:sz w:val="32"/>
          <w:szCs w:val="28"/>
          <w:highlight w:val="none"/>
          <w:lang w:eastAsia="zh-CN"/>
        </w:rPr>
        <w:t>防控</w:t>
      </w:r>
      <w:r>
        <w:rPr>
          <w:rFonts w:hint="eastAsia" w:ascii="仿宋_GB2312" w:hAnsi="Times New Roman" w:eastAsia="仿宋_GB2312"/>
          <w:b/>
          <w:bCs/>
          <w:color w:val="auto"/>
          <w:sz w:val="32"/>
          <w:szCs w:val="28"/>
          <w:highlight w:val="none"/>
        </w:rPr>
        <w:t>线</w:t>
      </w:r>
    </w:p>
    <w:p w14:paraId="24692A35">
      <w:pPr>
        <w:spacing w:line="600" w:lineRule="exact"/>
        <w:ind w:firstLine="640"/>
        <w:rPr>
          <w:rFonts w:hint="default" w:ascii="仿宋_GB2312" w:hAnsi="宋体" w:eastAsia="仿宋_GB2312"/>
          <w:color w:val="auto"/>
          <w:sz w:val="32"/>
          <w:szCs w:val="32"/>
          <w:highlight w:val="none"/>
          <w:lang w:val="en-US" w:eastAsia="zh-CN"/>
        </w:rPr>
      </w:pPr>
      <w:r>
        <w:rPr>
          <w:rFonts w:hint="eastAsia" w:ascii="仿宋_GB2312" w:hAnsi="宋体" w:eastAsia="仿宋_GB2312"/>
          <w:color w:val="auto"/>
          <w:sz w:val="32"/>
          <w:szCs w:val="32"/>
          <w:highlight w:val="none"/>
        </w:rPr>
        <w:t>结合《四川省攀枝花市盐边县地质灾害风险调查评价（1</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50000）成果报告》，盐边县共计地质灾害点</w:t>
      </w:r>
      <w:r>
        <w:rPr>
          <w:rFonts w:ascii="仿宋_GB2312" w:hAnsi="宋体" w:eastAsia="仿宋_GB2312"/>
          <w:color w:val="auto"/>
          <w:sz w:val="32"/>
          <w:szCs w:val="32"/>
          <w:highlight w:val="none"/>
        </w:rPr>
        <w:t>67</w:t>
      </w:r>
      <w:r>
        <w:rPr>
          <w:rFonts w:hint="eastAsia" w:ascii="仿宋_GB2312" w:hAnsi="宋体" w:eastAsia="仿宋_GB2312"/>
          <w:color w:val="auto"/>
          <w:sz w:val="32"/>
          <w:szCs w:val="32"/>
          <w:highlight w:val="none"/>
        </w:rPr>
        <w:t>处。地质灾害主要集中于</w:t>
      </w:r>
      <w:bookmarkStart w:id="53" w:name="_Hlk148717173"/>
      <w:r>
        <w:rPr>
          <w:rFonts w:hint="eastAsia" w:ascii="仿宋_GB2312" w:hAnsi="宋体" w:eastAsia="仿宋_GB2312"/>
          <w:color w:val="auto"/>
          <w:sz w:val="32"/>
          <w:szCs w:val="32"/>
          <w:highlight w:val="none"/>
        </w:rPr>
        <w:t>共和</w:t>
      </w:r>
      <w:bookmarkEnd w:id="53"/>
      <w:r>
        <w:rPr>
          <w:rFonts w:hint="eastAsia" w:ascii="仿宋_GB2312" w:hAnsi="宋体" w:eastAsia="仿宋_GB2312"/>
          <w:color w:val="auto"/>
          <w:sz w:val="32"/>
          <w:szCs w:val="32"/>
          <w:highlight w:val="none"/>
        </w:rPr>
        <w:t>、渔门、</w:t>
      </w:r>
      <w:bookmarkStart w:id="54" w:name="_Hlk148717282"/>
      <w:r>
        <w:rPr>
          <w:rFonts w:hint="eastAsia" w:ascii="仿宋_GB2312" w:hAnsi="宋体" w:eastAsia="仿宋_GB2312"/>
          <w:color w:val="auto"/>
          <w:sz w:val="32"/>
          <w:szCs w:val="32"/>
          <w:highlight w:val="none"/>
        </w:rPr>
        <w:t>惠民</w:t>
      </w:r>
      <w:bookmarkEnd w:id="54"/>
      <w:r>
        <w:rPr>
          <w:rFonts w:hint="eastAsia" w:ascii="仿宋_GB2312" w:hAnsi="宋体" w:eastAsia="仿宋_GB2312"/>
          <w:color w:val="auto"/>
          <w:sz w:val="32"/>
          <w:szCs w:val="32"/>
          <w:highlight w:val="none"/>
        </w:rPr>
        <w:t>、国胜、永兴、红果等乡镇。</w:t>
      </w:r>
      <w:r>
        <w:rPr>
          <w:rFonts w:hint="eastAsia" w:ascii="仿宋_GB2312" w:hAnsi="宋体" w:eastAsia="仿宋_GB2312"/>
          <w:color w:val="auto"/>
          <w:sz w:val="32"/>
          <w:szCs w:val="32"/>
          <w:highlight w:val="none"/>
          <w:lang w:val="en-US" w:eastAsia="zh-CN"/>
        </w:rPr>
        <w:t>根据</w:t>
      </w:r>
      <w:r>
        <w:rPr>
          <w:rFonts w:hint="eastAsia" w:ascii="仿宋_GB2312" w:hAnsi="宋体" w:eastAsia="仿宋_GB2312"/>
          <w:color w:val="auto"/>
          <w:sz w:val="32"/>
          <w:szCs w:val="32"/>
          <w:highlight w:val="none"/>
        </w:rPr>
        <w:t>全县</w:t>
      </w:r>
      <w:r>
        <w:rPr>
          <w:rFonts w:hint="eastAsia" w:ascii="仿宋_GB2312" w:hAnsi="宋体" w:eastAsia="仿宋_GB2312"/>
          <w:color w:val="auto"/>
          <w:sz w:val="32"/>
          <w:szCs w:val="32"/>
          <w:highlight w:val="none"/>
          <w:lang w:val="en-US" w:eastAsia="zh-CN"/>
        </w:rPr>
        <w:t>地质灾害易发分区及风险分区，按照“整治、管控、防控、防范”四级要求，划定防控线，实行地质灾害分级防控。</w:t>
      </w:r>
    </w:p>
    <w:p w14:paraId="1F37E2E4">
      <w:pPr>
        <w:spacing w:line="600" w:lineRule="exact"/>
        <w:ind w:firstLine="640"/>
        <w:rPr>
          <w:rFonts w:ascii="仿宋_GB2312" w:hAnsi="宋体" w:eastAsia="仿宋_GB2312"/>
          <w:color w:val="auto"/>
          <w:sz w:val="32"/>
          <w:szCs w:val="32"/>
          <w:highlight w:val="none"/>
          <w:u w:val="single"/>
        </w:rPr>
      </w:pPr>
      <w:r>
        <w:rPr>
          <w:rFonts w:hint="eastAsia" w:ascii="仿宋_GB2312" w:hAnsi="宋体" w:eastAsia="仿宋_GB2312"/>
          <w:color w:val="auto"/>
          <w:sz w:val="32"/>
          <w:szCs w:val="32"/>
          <w:highlight w:val="none"/>
          <w:u w:val="single"/>
        </w:rPr>
        <w:t>按照《四川省自然资源厅关于将地质灾害风险调查评价成果纳入国土空间规划的通知》（川自然资发〔2022〕5号）相关要求。城镇开发边界内已建成区，中风险区落实风险管控措施，采取地质灾害综合整治措施开展治理，全力确保安全；低风险区按规定落实地质灾害防患措施，开展城镇更新建设。</w:t>
      </w:r>
    </w:p>
    <w:p w14:paraId="521958A6">
      <w:pPr>
        <w:spacing w:line="600" w:lineRule="exact"/>
        <w:ind w:firstLine="640"/>
        <w:rPr>
          <w:rFonts w:ascii="仿宋_GB2312" w:hAnsi="宋体" w:eastAsia="仿宋_GB2312"/>
          <w:color w:val="auto"/>
          <w:sz w:val="32"/>
          <w:szCs w:val="32"/>
          <w:highlight w:val="none"/>
          <w:u w:val="single"/>
        </w:rPr>
      </w:pPr>
      <w:bookmarkStart w:id="55" w:name="_Hlk149065565"/>
      <w:r>
        <w:rPr>
          <w:rFonts w:hint="eastAsia" w:ascii="仿宋_GB2312" w:hAnsi="宋体" w:eastAsia="仿宋_GB2312"/>
          <w:color w:val="auto"/>
          <w:sz w:val="32"/>
          <w:szCs w:val="32"/>
          <w:highlight w:val="none"/>
          <w:u w:val="single"/>
        </w:rPr>
        <w:t>城镇开发边界内规划建设区，尽量避让地质灾害中、高危险区，确需纳入城镇开发边界内的中、高危险区，对高危险区不得作为城镇建设规划发展方向，对中危险区按照地质灾害危险性评估结论落实相关防治措施后，方可开展城镇开发建设；对低危险区按规定落实地质灾害防患措施后方可开展城镇开发建设。</w:t>
      </w:r>
    </w:p>
    <w:bookmarkEnd w:id="55"/>
    <w:p w14:paraId="3EC52AAF">
      <w:pPr>
        <w:spacing w:line="600" w:lineRule="exact"/>
        <w:ind w:firstLine="640"/>
        <w:rPr>
          <w:rFonts w:ascii="仿宋_GB2312" w:hAnsi="宋体" w:eastAsia="仿宋_GB2312"/>
          <w:color w:val="auto"/>
          <w:sz w:val="32"/>
          <w:szCs w:val="32"/>
          <w:highlight w:val="none"/>
          <w:u w:val="single"/>
        </w:rPr>
      </w:pPr>
      <w:r>
        <w:rPr>
          <w:rFonts w:hint="eastAsia" w:ascii="仿宋_GB2312" w:hAnsi="宋体" w:eastAsia="仿宋_GB2312"/>
          <w:color w:val="auto"/>
          <w:sz w:val="32"/>
          <w:szCs w:val="32"/>
          <w:highlight w:val="none"/>
          <w:u w:val="single"/>
        </w:rPr>
        <w:t>城镇开发边界外区域，对于单独选址项目，按照国务院《地质灾害防治条例》相关要求，开展地质灾害危险性评估并配套实施相关防护工程；对于农村居民点等用地，开展地质灾害风险调查评价，避让地质灾害高危险区</w:t>
      </w:r>
      <w:bookmarkStart w:id="56" w:name="_Hlk148715723"/>
      <w:r>
        <w:rPr>
          <w:rFonts w:hint="eastAsia" w:ascii="仿宋_GB2312" w:hAnsi="宋体" w:eastAsia="仿宋_GB2312"/>
          <w:color w:val="auto"/>
          <w:sz w:val="32"/>
          <w:szCs w:val="32"/>
          <w:highlight w:val="none"/>
          <w:u w:val="single"/>
        </w:rPr>
        <w:t>。</w:t>
      </w:r>
      <w:bookmarkEnd w:id="56"/>
    </w:p>
    <w:p w14:paraId="4493ED02">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u w:val="single"/>
        </w:rPr>
        <w:t>将《四川省攀枝花市盐边县地质灾害风险调查评价（1</w:t>
      </w:r>
      <w:r>
        <w:rPr>
          <w:rFonts w:hint="eastAsia" w:ascii="仿宋_GB2312" w:hAnsi="宋体" w:eastAsia="仿宋_GB2312"/>
          <w:color w:val="auto"/>
          <w:sz w:val="32"/>
          <w:szCs w:val="32"/>
          <w:highlight w:val="none"/>
          <w:u w:val="single"/>
          <w:lang w:eastAsia="zh-CN"/>
        </w:rPr>
        <w:t>∶</w:t>
      </w:r>
      <w:r>
        <w:rPr>
          <w:rFonts w:hint="eastAsia" w:ascii="仿宋_GB2312" w:hAnsi="宋体" w:eastAsia="仿宋_GB2312"/>
          <w:color w:val="auto"/>
          <w:sz w:val="32"/>
          <w:szCs w:val="32"/>
          <w:highlight w:val="none"/>
          <w:u w:val="single"/>
        </w:rPr>
        <w:t>50000）成果报告》结论作为规划选址的前置条件，规划建设前对可能引发地质灾害的活动采取防护措施，减少高填方、高切坡等严重破坏地质环境的工程措施，减少地质灾害发生的可能性。</w:t>
      </w:r>
    </w:p>
    <w:p w14:paraId="1A146E2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57" w:name="_Hlk149040436"/>
      <w:r>
        <w:rPr>
          <w:rFonts w:hint="eastAsia" w:ascii="仿宋_GB2312" w:hAnsi="Times New Roman" w:eastAsia="仿宋_GB2312"/>
          <w:b/>
          <w:bCs/>
          <w:color w:val="auto"/>
          <w:sz w:val="32"/>
          <w:szCs w:val="28"/>
          <w:highlight w:val="none"/>
        </w:rPr>
        <w:t>洪涝风险</w:t>
      </w:r>
      <w:r>
        <w:rPr>
          <w:rFonts w:hint="eastAsia" w:ascii="仿宋_GB2312" w:hAnsi="Times New Roman" w:eastAsia="仿宋_GB2312"/>
          <w:b/>
          <w:bCs/>
          <w:color w:val="auto"/>
          <w:sz w:val="32"/>
          <w:szCs w:val="28"/>
          <w:highlight w:val="none"/>
          <w:lang w:val="en-US" w:eastAsia="zh-CN"/>
        </w:rPr>
        <w:t>控制</w:t>
      </w:r>
      <w:r>
        <w:rPr>
          <w:rFonts w:hint="eastAsia" w:ascii="仿宋_GB2312" w:hAnsi="Times New Roman" w:eastAsia="仿宋_GB2312"/>
          <w:b/>
          <w:bCs/>
          <w:color w:val="auto"/>
          <w:sz w:val="32"/>
          <w:szCs w:val="28"/>
          <w:highlight w:val="none"/>
        </w:rPr>
        <w:t>线</w:t>
      </w:r>
    </w:p>
    <w:bookmarkEnd w:id="57"/>
    <w:p w14:paraId="6B06A4D1">
      <w:pPr>
        <w:spacing w:line="600" w:lineRule="exact"/>
        <w:ind w:firstLine="640"/>
        <w:rPr>
          <w:rFonts w:hint="eastAsia" w:ascii="仿宋_GB2312" w:hAnsi="宋体" w:eastAsia="仿宋_GB2312"/>
          <w:color w:val="auto"/>
          <w:sz w:val="32"/>
          <w:szCs w:val="32"/>
          <w:highlight w:val="none"/>
          <w:u w:val="single"/>
        </w:rPr>
      </w:pPr>
      <w:bookmarkStart w:id="58" w:name="_Hlk149040463"/>
      <w:r>
        <w:rPr>
          <w:rFonts w:hint="eastAsia" w:ascii="仿宋_GB2312" w:hAnsi="宋体" w:eastAsia="仿宋_GB2312"/>
          <w:color w:val="auto"/>
          <w:sz w:val="32"/>
          <w:szCs w:val="32"/>
          <w:highlight w:val="none"/>
        </w:rPr>
        <w:t>划定县域范围内河道、水库、湿地、沟渠等洪涝风险控制线，洪涝风险控制范围为</w:t>
      </w:r>
      <w:r>
        <w:rPr>
          <w:rFonts w:ascii="仿宋_GB2312" w:hAnsi="宋体" w:eastAsia="仿宋_GB2312"/>
          <w:color w:val="auto"/>
          <w:sz w:val="32"/>
          <w:szCs w:val="32"/>
          <w:highlight w:val="none"/>
        </w:rPr>
        <w:t>66.20</w:t>
      </w:r>
      <w:r>
        <w:rPr>
          <w:rFonts w:hint="eastAsia" w:ascii="仿宋_GB2312" w:hAnsi="宋体" w:eastAsia="仿宋_GB2312"/>
          <w:color w:val="auto"/>
          <w:sz w:val="32"/>
          <w:szCs w:val="32"/>
          <w:highlight w:val="none"/>
        </w:rPr>
        <w:t>平方千米，详细边界以相关部门确定的为准。</w:t>
      </w:r>
      <w:r>
        <w:rPr>
          <w:rFonts w:hint="eastAsia" w:ascii="仿宋_GB2312" w:hAnsi="宋体" w:eastAsia="仿宋_GB2312"/>
          <w:color w:val="auto"/>
          <w:sz w:val="32"/>
          <w:szCs w:val="32"/>
          <w:highlight w:val="none"/>
          <w:u w:val="none"/>
        </w:rPr>
        <w:t>对重要雨洪行泄通道及调蓄空间进行管控，保障防洪排涝系统的完整性和通达性。</w:t>
      </w:r>
      <w:r>
        <w:rPr>
          <w:rFonts w:hint="eastAsia" w:ascii="仿宋_GB2312" w:hAnsi="宋体" w:eastAsia="仿宋_GB2312"/>
          <w:color w:val="auto"/>
          <w:sz w:val="32"/>
          <w:szCs w:val="32"/>
          <w:highlight w:val="none"/>
          <w:u w:val="single"/>
        </w:rPr>
        <w:t>洪涝风险控制线内不得建设影响行洪的各类建（构）筑物，禁止擅自填埋、占用洪涝风险控制范围开展影响雨洪行泄、调蓄功能的建设活动或从事与防洪排涝要求不符的活动。</w:t>
      </w:r>
      <w:bookmarkEnd w:id="58"/>
    </w:p>
    <w:p w14:paraId="3BB42857">
      <w:pPr>
        <w:pStyle w:val="9"/>
        <w:keepNext/>
        <w:keepLines/>
        <w:numPr>
          <w:ilvl w:val="0"/>
          <w:numId w:val="8"/>
        </w:numPr>
        <w:adjustRightInd/>
        <w:snapToGrid/>
        <w:spacing w:line="600" w:lineRule="exact"/>
        <w:ind w:left="993"/>
        <w:rPr>
          <w:rFonts w:hint="eastAsia" w:ascii="仿宋_GB2312" w:hAnsi="Times New Roman" w:eastAsia="仿宋_GB2312"/>
          <w:b/>
          <w:bCs/>
          <w:color w:val="auto"/>
          <w:sz w:val="32"/>
          <w:szCs w:val="28"/>
          <w:highlight w:val="none"/>
          <w:u w:val="none"/>
        </w:rPr>
      </w:pPr>
      <w:r>
        <w:rPr>
          <w:rFonts w:hint="eastAsia" w:ascii="仿宋_GB2312" w:hAnsi="Times New Roman" w:eastAsia="仿宋_GB2312"/>
          <w:b/>
          <w:bCs/>
          <w:color w:val="auto"/>
          <w:sz w:val="32"/>
          <w:szCs w:val="28"/>
          <w:highlight w:val="none"/>
          <w:u w:val="none"/>
          <w:lang w:val="en-US" w:eastAsia="zh-CN"/>
        </w:rPr>
        <w:t>矿产资源控制线</w:t>
      </w:r>
    </w:p>
    <w:p w14:paraId="6DE5DEE2">
      <w:pPr>
        <w:keepNext w:val="0"/>
        <w:keepLines w:val="0"/>
        <w:widowControl/>
        <w:suppressLineNumbers w:val="0"/>
        <w:spacing w:line="600" w:lineRule="exact"/>
        <w:ind w:firstLine="640"/>
        <w:jc w:val="left"/>
        <w:rPr>
          <w:rFonts w:hint="eastAsia" w:ascii="仿宋_GB2312" w:hAnsi="宋体" w:eastAsia="仿宋_GB2312"/>
          <w:color w:val="auto"/>
          <w:sz w:val="32"/>
          <w:szCs w:val="32"/>
          <w:highlight w:val="none"/>
          <w:u w:val="none"/>
        </w:rPr>
      </w:pPr>
      <w:r>
        <w:rPr>
          <w:rFonts w:hint="eastAsia" w:ascii="仿宋_GB2312" w:hAnsi="宋体" w:eastAsia="仿宋_GB2312" w:cs="宋体"/>
          <w:color w:val="auto"/>
          <w:kern w:val="2"/>
          <w:sz w:val="32"/>
          <w:szCs w:val="32"/>
          <w:highlight w:val="none"/>
          <w:u w:val="none"/>
          <w:lang w:val="en-US" w:eastAsia="zh-CN" w:bidi="ar"/>
        </w:rPr>
        <w:t>坚持生态保护优先，统筹协调矿产资源开发利用与生态保护，提高矿产资源利用水平。强化能源矿产资源开发利用强度，严格划定重点勘查区和重点开采区。根据盐边县矿产资源分布，划定3个矿产资源重点勘查区、1个矿产资源重点开采区、2个砂石土类矿产集中开采区，以及5个勘查规划区块、8个开采规划区块。加强对能源资源基地、战略性矿产资源保护区等能源矿产资源安全保障空间的引导和管控。按照《中华人民共和国矿产资源法》《四川省矿产资源管理条例》等进行管控。勘查、开采矿产资源必须遵守环境保护的法律规定，保护地质环境，防治地质灾害，加强水土保持、植被恢复和土地复垦。</w:t>
      </w:r>
    </w:p>
    <w:p w14:paraId="676A0E1D">
      <w:pPr>
        <w:pStyle w:val="8"/>
        <w:keepNext/>
        <w:keepLines/>
        <w:numPr>
          <w:ilvl w:val="0"/>
          <w:numId w:val="13"/>
        </w:numPr>
        <w:adjustRightInd/>
        <w:snapToGrid/>
        <w:ind w:left="0"/>
        <w:jc w:val="center"/>
        <w:rPr>
          <w:rFonts w:ascii="仿宋_GB2312" w:hAnsi="Calibri" w:eastAsia="仿宋_GB2312"/>
          <w:b/>
          <w:bCs/>
          <w:color w:val="auto"/>
          <w:highlight w:val="none"/>
        </w:rPr>
      </w:pPr>
      <w:bookmarkStart w:id="59" w:name="_Toc7809"/>
      <w:r>
        <w:rPr>
          <w:rFonts w:hint="eastAsia" w:ascii="仿宋_GB2312" w:hAnsi="Calibri" w:eastAsia="仿宋_GB2312"/>
          <w:b/>
          <w:bCs/>
          <w:color w:val="auto"/>
          <w:highlight w:val="none"/>
        </w:rPr>
        <w:t>国土空间总体格局</w:t>
      </w:r>
      <w:bookmarkEnd w:id="59"/>
    </w:p>
    <w:p w14:paraId="5CB2F14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总体格局</w:t>
      </w:r>
    </w:p>
    <w:p w14:paraId="45553EB3">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尊重自然地理格局、保护山水生态骨架，构建县域“一屏两廊、一城两区”的国土空间总体格局。</w:t>
      </w:r>
    </w:p>
    <w:p w14:paraId="2F2F87E3">
      <w:pPr>
        <w:spacing w:line="600" w:lineRule="exact"/>
        <w:ind w:firstLine="640"/>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一屏：北部森林及生物多样性生态屏障。</w:t>
      </w:r>
    </w:p>
    <w:p w14:paraId="4E7DFD04">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两廊：以三源河—二滩库区为依托的横向生态廊道和以雅砻江—金沙江为依托的纵向生态廊道。</w:t>
      </w:r>
    </w:p>
    <w:p w14:paraId="00522B7D">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一城：盐边县中心城区，即盐边县行政、文化和配套服务中心。</w:t>
      </w:r>
    </w:p>
    <w:p w14:paraId="091A2B0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两区：现代特色农业区、矿产和农业</w:t>
      </w:r>
      <w:r>
        <w:rPr>
          <w:rFonts w:hint="eastAsia" w:ascii="仿宋_GB2312" w:eastAsia="仿宋_GB2312"/>
          <w:color w:val="auto"/>
          <w:sz w:val="32"/>
          <w:szCs w:val="32"/>
          <w:highlight w:val="none"/>
          <w:lang w:val="en-US" w:eastAsia="zh-CN"/>
        </w:rPr>
        <w:t>协同发展</w:t>
      </w:r>
      <w:r>
        <w:rPr>
          <w:rFonts w:hint="eastAsia" w:ascii="仿宋_GB2312" w:eastAsia="仿宋_GB2312"/>
          <w:color w:val="auto"/>
          <w:sz w:val="32"/>
          <w:szCs w:val="32"/>
          <w:highlight w:val="none"/>
        </w:rPr>
        <w:t>区。</w:t>
      </w:r>
    </w:p>
    <w:p w14:paraId="31476A68">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现代特色农业区主要为安宁河以北区域，包括渔门镇、永兴镇、惠民镇、国胜乡、红果彝族乡和桐子林镇金河村。矿产和农业</w:t>
      </w:r>
      <w:r>
        <w:rPr>
          <w:rFonts w:hint="eastAsia" w:ascii="仿宋_GB2312" w:eastAsia="仿宋_GB2312"/>
          <w:color w:val="auto"/>
          <w:sz w:val="32"/>
          <w:szCs w:val="32"/>
          <w:highlight w:val="none"/>
          <w:lang w:val="en-US" w:eastAsia="zh-CN"/>
        </w:rPr>
        <w:t>协同发展</w:t>
      </w:r>
      <w:r>
        <w:rPr>
          <w:rFonts w:hint="eastAsia" w:ascii="仿宋_GB2312" w:eastAsia="仿宋_GB2312"/>
          <w:color w:val="auto"/>
          <w:sz w:val="32"/>
          <w:szCs w:val="32"/>
          <w:highlight w:val="none"/>
        </w:rPr>
        <w:t>区主要为安宁河以南区域，包括桐子林镇南部、新九镇、红格镇。</w:t>
      </w:r>
    </w:p>
    <w:p w14:paraId="68972C0F">
      <w:pPr>
        <w:pStyle w:val="7"/>
        <w:keepNext/>
        <w:keepLines/>
        <w:numPr>
          <w:ilvl w:val="0"/>
          <w:numId w:val="12"/>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60" w:name="_Toc5665"/>
      <w:bookmarkStart w:id="61" w:name="_Toc32308"/>
      <w:r>
        <w:rPr>
          <w:rFonts w:hint="eastAsia" w:ascii="黑体" w:hAnsi="黑体" w:eastAsia="黑体"/>
          <w:bCs/>
          <w:color w:val="auto"/>
          <w:sz w:val="32"/>
          <w:szCs w:val="32"/>
          <w:highlight w:val="none"/>
        </w:rPr>
        <w:t>农业空间</w:t>
      </w:r>
      <w:bookmarkEnd w:id="60"/>
      <w:bookmarkEnd w:id="61"/>
    </w:p>
    <w:p w14:paraId="08B1D3B6">
      <w:pPr>
        <w:pStyle w:val="8"/>
        <w:keepNext/>
        <w:keepLines/>
        <w:numPr>
          <w:ilvl w:val="0"/>
          <w:numId w:val="14"/>
        </w:numPr>
        <w:adjustRightInd/>
        <w:snapToGrid/>
        <w:ind w:left="0"/>
        <w:jc w:val="center"/>
        <w:rPr>
          <w:rFonts w:ascii="仿宋_GB2312" w:hAnsi="Calibri" w:eastAsia="仿宋_GB2312"/>
          <w:b/>
          <w:bCs/>
          <w:color w:val="auto"/>
          <w:highlight w:val="none"/>
        </w:rPr>
      </w:pPr>
      <w:bookmarkStart w:id="62" w:name="_Toc27369"/>
      <w:r>
        <w:rPr>
          <w:rFonts w:hint="eastAsia" w:ascii="仿宋_GB2312" w:hAnsi="Calibri" w:eastAsia="仿宋_GB2312"/>
          <w:b/>
          <w:bCs/>
          <w:color w:val="auto"/>
          <w:highlight w:val="none"/>
        </w:rPr>
        <w:t>耕地保护与恢复</w:t>
      </w:r>
      <w:bookmarkEnd w:id="62"/>
    </w:p>
    <w:p w14:paraId="72BEE6E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耕地占补平衡</w:t>
      </w:r>
    </w:p>
    <w:p w14:paraId="39D9EAA4">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严格控制新增建设用地占用耕地，特别是优质耕地。经论证确实无法避让耕地的项目，严格实施耕地占补平衡制度，做到“先补后占、占一补一、占优补优、占水田补水田”。衔接《攀枝花市盐边县永久基本农田储备区划定方案》成果，在质量较好的一般耕地中，划定</w:t>
      </w:r>
      <w:r>
        <w:rPr>
          <w:rFonts w:ascii="仿宋_GB2312" w:hAnsi="宋体" w:eastAsia="仿宋_GB2312"/>
          <w:color w:val="auto"/>
          <w:sz w:val="32"/>
          <w:szCs w:val="32"/>
          <w:highlight w:val="none"/>
        </w:rPr>
        <w:t>12.07</w:t>
      </w:r>
      <w:r>
        <w:rPr>
          <w:rFonts w:hint="eastAsia" w:ascii="仿宋_GB2312" w:hAnsi="宋体" w:eastAsia="仿宋_GB2312"/>
          <w:color w:val="auto"/>
          <w:sz w:val="32"/>
          <w:szCs w:val="32"/>
          <w:highlight w:val="none"/>
        </w:rPr>
        <w:t>平方千米</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lang w:val="en-US" w:eastAsia="zh-CN"/>
        </w:rPr>
        <w:t>1.81万亩</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作为永久基本农田储备区，主要集中在红格镇、永兴镇、惠民镇等，用于实现重大项目占用永久基本农田</w:t>
      </w:r>
      <w:r>
        <w:rPr>
          <w:rFonts w:hint="eastAsia" w:ascii="仿宋_GB2312" w:hAnsi="宋体" w:eastAsia="仿宋_GB2312"/>
          <w:color w:val="auto"/>
          <w:sz w:val="32"/>
          <w:szCs w:val="32"/>
          <w:highlight w:val="none"/>
          <w:lang w:val="en-US" w:eastAsia="zh-CN"/>
        </w:rPr>
        <w:t>的</w:t>
      </w:r>
      <w:r>
        <w:rPr>
          <w:rFonts w:hint="eastAsia" w:ascii="仿宋_GB2312" w:hAnsi="宋体" w:eastAsia="仿宋_GB2312"/>
          <w:color w:val="auto"/>
          <w:sz w:val="32"/>
          <w:szCs w:val="32"/>
          <w:highlight w:val="none"/>
        </w:rPr>
        <w:t>快速补划。</w:t>
      </w:r>
    </w:p>
    <w:p w14:paraId="28EC97F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耕地进出平衡</w:t>
      </w:r>
    </w:p>
    <w:p w14:paraId="4E6C5459">
      <w:pPr>
        <w:spacing w:line="600" w:lineRule="exact"/>
        <w:ind w:firstLine="640"/>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rPr>
        <w:t>加强耕地用途管制，严格落实耕地利用优先序，积极引导耕地主要用于粮食、油、蔬菜等农产品种植，永久基本农田重点用于粮食生产，高标准农田原则上全部用于粮食生产。除国家计划任务内的生态退耕，严格控制耕地转为林地、草地、园地、农业设施建设用地。</w:t>
      </w:r>
      <w:r>
        <w:rPr>
          <w:rFonts w:hint="eastAsia" w:eastAsia="仿宋_GB2312" w:cs="Calibri"/>
          <w:color w:val="auto"/>
          <w:sz w:val="32"/>
          <w:szCs w:val="32"/>
          <w:highlight w:val="none"/>
        </w:rPr>
        <w:t>规划期内为保障盐边芒果、蚕桑、茶叶等特色农业发展需求，将部分零星耕地转出为园地，整合优化形成连片规模园地。结合农业产业发展，将部分零星耕地转出为农业设施建设用地，合理布局农产品存储加工及高山生态养殖等农业设施。县域北部生态区域，将部分零星耕地转出为林地，从而整合优化林地空间</w:t>
      </w:r>
      <w:r>
        <w:rPr>
          <w:rFonts w:hint="eastAsia" w:eastAsia="仿宋_GB2312" w:cs="Calibri"/>
          <w:color w:val="auto"/>
          <w:sz w:val="32"/>
          <w:szCs w:val="32"/>
          <w:highlight w:val="none"/>
          <w:lang w:eastAsia="zh-CN"/>
        </w:rPr>
        <w:t>。</w:t>
      </w:r>
    </w:p>
    <w:p w14:paraId="7F56FD2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提高耕地质量</w:t>
      </w:r>
    </w:p>
    <w:p w14:paraId="10516072">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以粮食生产提质增效为核心，积极推进土地综合整治，不断改善土地利用条件，加大中低产田改造力度，提升优质耕地连片度，同步开展面源污染耕地的治理与修复工作，持续推进“旱改水”“坡改梯”综合整治工程，切实提升耕地质量。大力实施高标准农田建设工程，实施完善“田网、渠网、路网”三网配套建设，完善田间灌排、道路工程，实现农田排灌能力、土壤培肥能力、农机作业能力“三力”提升，全面提升粮食综合生产能力。坚持“向水要地”，推动引雅济安、金沙江干热河谷攀枝花灌区工程（原金沙江干热河谷攀枝花水资源配置工程）、盐边县二滩南部片区供水工程等“三结合”项目及沙坝水库、彪水岩等水库建设项目，全面优化水利基础设施布局。</w:t>
      </w:r>
    </w:p>
    <w:p w14:paraId="2A82DD3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提升耕地生态功能</w:t>
      </w:r>
    </w:p>
    <w:p w14:paraId="1B36CB0D">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color w:val="auto"/>
          <w:sz w:val="32"/>
          <w:szCs w:val="32"/>
          <w:highlight w:val="none"/>
        </w:rPr>
        <w:t>强化农田生态保育，加强耕地与周边生态系统协同保护，丰富农田生物多样性，构建健康稳定的农田生态系统。修复退化农田，改良农田生态，强化种养系统内部废弃物循环利用，降低农业生产对化肥的过度依赖，提高农田生态系统自净能力；开展耕地污染程度调查评价，加强污染耕地修复治理；因地制宜开展农业种植结构调整、退耕还林还草试点等综合修复治理。健全</w:t>
      </w:r>
      <w:r>
        <w:rPr>
          <w:rFonts w:hint="eastAsia" w:ascii="仿宋_GB2312" w:hAnsi="宋体" w:eastAsia="仿宋_GB2312"/>
          <w:bCs/>
          <w:color w:val="auto"/>
          <w:sz w:val="32"/>
          <w:szCs w:val="28"/>
          <w:highlight w:val="none"/>
        </w:rPr>
        <w:t>耕地轮作休耕制度，促进生态农业发展，对河道两岸水土流失、生态退化区域实施休耕；在安宁河流域、金沙江流域河谷地区开展稻菜轮作、稻果轮作、粮豆轮作、果蔬轮作等；其他区域因地制宜，通过改变种植品种、调整种植结构，实施耕地轮作制度。通过节水灌溉、秸秆还田、化肥农药减量化等农业高效节水减排技术，建设节水节肥型农业。</w:t>
      </w:r>
    </w:p>
    <w:p w14:paraId="4E97284F">
      <w:pPr>
        <w:pStyle w:val="8"/>
        <w:keepNext/>
        <w:keepLines/>
        <w:numPr>
          <w:ilvl w:val="0"/>
          <w:numId w:val="14"/>
        </w:numPr>
        <w:adjustRightInd/>
        <w:snapToGrid/>
        <w:ind w:left="0"/>
        <w:jc w:val="center"/>
        <w:rPr>
          <w:rFonts w:ascii="仿宋_GB2312" w:hAnsi="Calibri" w:eastAsia="仿宋_GB2312"/>
          <w:b/>
          <w:bCs/>
          <w:color w:val="auto"/>
          <w:highlight w:val="none"/>
        </w:rPr>
      </w:pPr>
      <w:bookmarkStart w:id="63" w:name="_Toc22279"/>
      <w:r>
        <w:rPr>
          <w:rFonts w:hint="eastAsia" w:ascii="仿宋_GB2312" w:hAnsi="Calibri" w:eastAsia="仿宋_GB2312"/>
          <w:b/>
          <w:bCs/>
          <w:color w:val="auto"/>
          <w:highlight w:val="none"/>
        </w:rPr>
        <w:t>农产品生产空间</w:t>
      </w:r>
      <w:bookmarkEnd w:id="63"/>
    </w:p>
    <w:p w14:paraId="0CBB973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因地制宜，构建立体农业空间布局</w:t>
      </w:r>
    </w:p>
    <w:p w14:paraId="6BA3D704">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推动安宁河流域高质量发展，强化“天府第二粮仓”建设。根据县域自然地理空间环境、耕地空间分布和耕地质量，因地制宜，构筑不同海拔、不同气候、不同特色的立体农业空间：低山平缓地区、河谷地区重点发展绿色果蔬、优质粮油产业，主要布局于红格镇、新九镇、永兴镇、惠民镇；中山起伏地区重点发展晚熟芒果、优质蚕桑、油茶产业，主要布局于桐子林镇、红果彝族乡、渔门镇；高山</w:t>
      </w:r>
      <w:r>
        <w:rPr>
          <w:rFonts w:hint="eastAsia" w:ascii="仿宋_GB2312" w:hAnsi="宋体" w:eastAsia="仿宋_GB2312"/>
          <w:bCs/>
          <w:color w:val="auto"/>
          <w:sz w:val="32"/>
          <w:szCs w:val="28"/>
          <w:highlight w:val="none"/>
          <w:lang w:eastAsia="zh-CN"/>
        </w:rPr>
        <w:t>陡坡</w:t>
      </w:r>
      <w:r>
        <w:rPr>
          <w:rFonts w:hint="eastAsia" w:ascii="仿宋_GB2312" w:hAnsi="宋体" w:eastAsia="仿宋_GB2312"/>
          <w:bCs/>
          <w:color w:val="auto"/>
          <w:sz w:val="32"/>
          <w:szCs w:val="28"/>
          <w:highlight w:val="none"/>
        </w:rPr>
        <w:t>地区重点发展核桃、青花椒等现代农林产业，主要布局于共和乡、国胜乡、温泉彝族乡；于高海拔草原、山区及水系丰富区重点发展生态畜禽养殖、渔业，主要布局于渔门镇、国胜乡、格萨拉彝族乡、红宝苗族彝族乡等。</w:t>
      </w:r>
    </w:p>
    <w:p w14:paraId="7E752A6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64" w:name="_Toc122513250"/>
      <w:r>
        <w:rPr>
          <w:rFonts w:hint="eastAsia" w:ascii="仿宋_GB2312" w:hAnsi="Times New Roman" w:eastAsia="仿宋_GB2312"/>
          <w:b/>
          <w:bCs/>
          <w:color w:val="auto"/>
          <w:sz w:val="32"/>
          <w:szCs w:val="28"/>
          <w:highlight w:val="none"/>
        </w:rPr>
        <w:t>发展五大农业主导产业</w:t>
      </w:r>
      <w:bookmarkEnd w:id="64"/>
    </w:p>
    <w:p w14:paraId="14ECB2B2">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以全国农产品地理信息标志为依托，重点发展晚熟芒果、优质蚕桑、现代林业、生态养殖、绿色蔬菜五大农业主导产业。结合传统高山青花椒、高山核桃和优质粮油等农业产业，引进花卉苗木等新兴农业产业，形成县域现代农业产业体系。</w:t>
      </w:r>
    </w:p>
    <w:p w14:paraId="526ABCB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65" w:name="_Toc122513251"/>
      <w:r>
        <w:rPr>
          <w:rFonts w:hint="eastAsia" w:ascii="仿宋_GB2312" w:hAnsi="Times New Roman" w:eastAsia="仿宋_GB2312"/>
          <w:b/>
          <w:bCs/>
          <w:color w:val="auto"/>
          <w:sz w:val="32"/>
          <w:szCs w:val="28"/>
          <w:highlight w:val="none"/>
        </w:rPr>
        <w:t>打响“攀果”品牌，建好“两个中心”</w:t>
      </w:r>
      <w:bookmarkEnd w:id="65"/>
    </w:p>
    <w:p w14:paraId="1407A683">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聚焦特色农业，以现代农业产业园区建设为载体，推动品种培优、品质提升、品牌打造和标准化生产。打造优质高效绿色品牌，重点擦亮特色晚熟芒果、优质蚕桑金字招牌，支持新“三品一标”认证。利用“互联网+”优势，积极搭建电商平台，不断拓宽外销渠道，实现“买周边卖全国”。积极发展农产品精深加工，培育和引进精深加工龙头企业，大力建设加工基地，推进市场流通体系与储运加工布局有机衔接。以红格镇、渔门镇为依托，建设区域农产品“加工中心”和“物流中心”。</w:t>
      </w:r>
    </w:p>
    <w:p w14:paraId="3BF5D37D">
      <w:pPr>
        <w:pStyle w:val="8"/>
        <w:keepNext/>
        <w:keepLines/>
        <w:numPr>
          <w:ilvl w:val="0"/>
          <w:numId w:val="14"/>
        </w:numPr>
        <w:adjustRightInd/>
        <w:snapToGrid/>
        <w:ind w:left="0"/>
        <w:jc w:val="center"/>
        <w:rPr>
          <w:rFonts w:ascii="仿宋_GB2312" w:hAnsi="Calibri" w:eastAsia="仿宋_GB2312"/>
          <w:b/>
          <w:bCs/>
          <w:color w:val="auto"/>
          <w:highlight w:val="none"/>
        </w:rPr>
      </w:pPr>
      <w:bookmarkStart w:id="66" w:name="_Toc15098"/>
      <w:r>
        <w:rPr>
          <w:rFonts w:hint="eastAsia" w:ascii="仿宋_GB2312" w:hAnsi="Calibri" w:eastAsia="仿宋_GB2312"/>
          <w:b/>
          <w:bCs/>
          <w:color w:val="auto"/>
          <w:highlight w:val="none"/>
        </w:rPr>
        <w:t>乡村振兴</w:t>
      </w:r>
      <w:bookmarkEnd w:id="66"/>
    </w:p>
    <w:p w14:paraId="124971A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67" w:name="_Toc122513267"/>
      <w:r>
        <w:rPr>
          <w:rFonts w:hint="eastAsia" w:ascii="仿宋_GB2312" w:hAnsi="Times New Roman" w:eastAsia="仿宋_GB2312"/>
          <w:b/>
          <w:bCs/>
          <w:color w:val="auto"/>
          <w:sz w:val="32"/>
          <w:szCs w:val="28"/>
          <w:highlight w:val="none"/>
        </w:rPr>
        <w:t>优化乡村发展格局</w:t>
      </w:r>
      <w:bookmarkEnd w:id="67"/>
    </w:p>
    <w:p w14:paraId="067413E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协调</w:t>
      </w:r>
      <w:r>
        <w:rPr>
          <w:rFonts w:hint="eastAsia" w:ascii="仿宋_GB2312" w:eastAsia="仿宋_GB2312"/>
          <w:color w:val="auto"/>
          <w:sz w:val="32"/>
          <w:szCs w:val="32"/>
          <w:highlight w:val="none"/>
          <w:lang w:val="en-US" w:eastAsia="zh-CN"/>
        </w:rPr>
        <w:t>农村</w:t>
      </w:r>
      <w:r>
        <w:rPr>
          <w:rFonts w:hint="eastAsia" w:ascii="仿宋_GB2312" w:eastAsia="仿宋_GB2312"/>
          <w:color w:val="auto"/>
          <w:sz w:val="32"/>
          <w:szCs w:val="32"/>
          <w:highlight w:val="none"/>
        </w:rPr>
        <w:t>建设用地布局与耕地、林地保护，在保护农田林地和生态空间的基础上，做到田园生活风光和优美生产活动相互交融，延续人和自然有机融合的乡村空间关系。</w:t>
      </w:r>
    </w:p>
    <w:p w14:paraId="46E1D6CE">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打造节约高效生产空间。</w:t>
      </w:r>
      <w:r>
        <w:rPr>
          <w:rFonts w:hint="eastAsia" w:ascii="仿宋_GB2312" w:eastAsia="仿宋_GB2312"/>
          <w:color w:val="auto"/>
          <w:sz w:val="32"/>
          <w:szCs w:val="32"/>
          <w:highlight w:val="none"/>
        </w:rPr>
        <w:t>在落实盐边县主要产业布局基础上，划定粮食种植引导区、畜牧种养引导区和特色农产品区，形成以粮油蔬菜为基础，芒果、蚕桑为主体，肉牛、肉羊为辅助，多种特色农产品为配套，林业为补充的多元产业发展布局。以农商文旅体融合发展为导向，支持脱贫地区乡村特色产业发展，以农商文旅体融合发展平台、农业科技创新平台、农村社会化服务平台为抓手，延伸产业链、提高价值链、培育创新链、优化供应链、补齐人才链，提升现代农业发展能级，促进乡村新产业、新业态发展。</w:t>
      </w:r>
    </w:p>
    <w:p w14:paraId="606D98EE">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营造生态宜居生活空间。</w:t>
      </w:r>
      <w:r>
        <w:rPr>
          <w:rFonts w:hint="eastAsia" w:ascii="仿宋_GB2312" w:eastAsia="仿宋_GB2312"/>
          <w:color w:val="auto"/>
          <w:sz w:val="32"/>
          <w:szCs w:val="32"/>
          <w:highlight w:val="none"/>
        </w:rPr>
        <w:t>落实盐边县乡村空间布局，坚持“小规模、组团式、微田园、生态化”建设模式，优化居民点规模和聚集形态。引导</w:t>
      </w:r>
      <w:r>
        <w:rPr>
          <w:rFonts w:hint="eastAsia" w:ascii="仿宋_GB2312" w:eastAsia="仿宋_GB2312"/>
          <w:color w:val="auto"/>
          <w:sz w:val="32"/>
          <w:szCs w:val="32"/>
          <w:highlight w:val="none"/>
          <w:lang w:val="en-US" w:eastAsia="zh-CN"/>
        </w:rPr>
        <w:t>农村</w:t>
      </w:r>
      <w:r>
        <w:rPr>
          <w:rFonts w:hint="eastAsia" w:ascii="仿宋_GB2312" w:eastAsia="仿宋_GB2312"/>
          <w:color w:val="auto"/>
          <w:sz w:val="32"/>
          <w:szCs w:val="32"/>
          <w:highlight w:val="none"/>
        </w:rPr>
        <w:t>建设用地向旅游轴线集镇和重要集镇集聚，控制其他集镇人口和规模，引导条件较差地区农村居民点适度收缩。</w:t>
      </w:r>
    </w:p>
    <w:p w14:paraId="3990C67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68" w:name="_Toc122513262"/>
      <w:r>
        <w:rPr>
          <w:rFonts w:hint="eastAsia" w:ascii="仿宋_GB2312" w:hAnsi="Times New Roman" w:eastAsia="仿宋_GB2312"/>
          <w:b/>
          <w:bCs/>
          <w:color w:val="auto"/>
          <w:sz w:val="32"/>
          <w:szCs w:val="28"/>
          <w:highlight w:val="none"/>
        </w:rPr>
        <w:t>坚持“两项改革”，划定乡村片区</w:t>
      </w:r>
      <w:bookmarkEnd w:id="68"/>
    </w:p>
    <w:p w14:paraId="2096E243">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充分尊重民意，体现基层诉求，优化资源配置，强化中心带动，将全县12个乡镇划分为五个乡镇级片区，分别为攀枝花市盐边县桐子林片区、攀枝花市盐边县红格片区、攀枝花市盐边县渔门片区、攀枝花市盐边县永兴片区、攀枝花市盐边县国胜片区。将88个村</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社区</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，划分为31个村级片区。</w:t>
      </w:r>
    </w:p>
    <w:p w14:paraId="533DED0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69" w:name="_Toc122513269"/>
      <w:r>
        <w:rPr>
          <w:rFonts w:hint="eastAsia" w:ascii="仿宋_GB2312" w:hAnsi="Times New Roman" w:eastAsia="仿宋_GB2312"/>
          <w:b/>
          <w:bCs/>
          <w:color w:val="auto"/>
          <w:sz w:val="32"/>
          <w:szCs w:val="28"/>
          <w:highlight w:val="none"/>
        </w:rPr>
        <w:t>顺应发展规律，分类引导建设</w:t>
      </w:r>
      <w:bookmarkEnd w:id="69"/>
    </w:p>
    <w:p w14:paraId="2F7C675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顺应乡村发展规律和演变趋势，根据自然资源禀赋、社会经济水平、产业发展特点，综合考虑建设形态、居住规模、服务功能等因素，分类</w:t>
      </w:r>
      <w:r>
        <w:rPr>
          <w:rFonts w:hint="eastAsia" w:ascii="仿宋_GB2312" w:eastAsia="仿宋_GB2312"/>
          <w:color w:val="auto"/>
          <w:sz w:val="32"/>
          <w:szCs w:val="32"/>
          <w:highlight w:val="none"/>
          <w:lang w:val="en-US" w:eastAsia="zh-CN"/>
        </w:rPr>
        <w:t>引导</w:t>
      </w:r>
      <w:r>
        <w:rPr>
          <w:rFonts w:hint="eastAsia" w:ascii="仿宋_GB2312" w:eastAsia="仿宋_GB2312"/>
          <w:color w:val="auto"/>
          <w:sz w:val="32"/>
          <w:szCs w:val="32"/>
          <w:highlight w:val="none"/>
        </w:rPr>
        <w:t>建设。</w:t>
      </w:r>
    </w:p>
    <w:p w14:paraId="7C9F9774">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集聚提升类。</w:t>
      </w:r>
      <w:r>
        <w:rPr>
          <w:rFonts w:hint="eastAsia" w:ascii="仿宋_GB2312" w:eastAsia="仿宋_GB2312"/>
          <w:color w:val="auto"/>
          <w:sz w:val="32"/>
          <w:szCs w:val="32"/>
          <w:highlight w:val="none"/>
        </w:rPr>
        <w:t>指规模较大的中心村。</w:t>
      </w:r>
      <w:r>
        <w:rPr>
          <w:rFonts w:hint="eastAsia" w:ascii="仿宋_GB2312" w:eastAsia="仿宋_GB2312"/>
          <w:color w:val="auto"/>
          <w:sz w:val="32"/>
          <w:szCs w:val="32"/>
          <w:highlight w:val="none"/>
          <w:lang w:val="en-US" w:eastAsia="zh-CN"/>
        </w:rPr>
        <w:t>该类村</w:t>
      </w:r>
      <w:r>
        <w:rPr>
          <w:rFonts w:hint="eastAsia" w:ascii="仿宋_GB2312" w:eastAsia="仿宋_GB2312"/>
          <w:color w:val="auto"/>
          <w:sz w:val="32"/>
          <w:szCs w:val="32"/>
          <w:highlight w:val="none"/>
        </w:rPr>
        <w:t>具有较大的提升价值，是乡村振兴的重点，是城乡实现良性互动、协作发展的重点空间。应抓住本土资源优势，科学确定</w:t>
      </w:r>
      <w:r>
        <w:rPr>
          <w:rFonts w:hint="eastAsia" w:ascii="仿宋_GB2312" w:eastAsia="仿宋_GB2312"/>
          <w:color w:val="auto"/>
          <w:sz w:val="32"/>
          <w:szCs w:val="32"/>
          <w:highlight w:val="none"/>
          <w:lang w:val="en-US" w:eastAsia="zh-CN"/>
        </w:rPr>
        <w:t>各村</w:t>
      </w:r>
      <w:r>
        <w:rPr>
          <w:rFonts w:hint="eastAsia" w:ascii="仿宋_GB2312" w:eastAsia="仿宋_GB2312"/>
          <w:color w:val="auto"/>
          <w:sz w:val="32"/>
          <w:szCs w:val="32"/>
          <w:highlight w:val="none"/>
        </w:rPr>
        <w:t>发展方向，在原有规模基础上有序推进改造提升，激活产业、优化环境、提振人气、增添活力，保护保留乡村风貌，建设宜居宜业的美丽</w:t>
      </w:r>
      <w:r>
        <w:rPr>
          <w:rFonts w:hint="eastAsia" w:ascii="仿宋_GB2312" w:eastAsia="仿宋_GB2312"/>
          <w:color w:val="auto"/>
          <w:sz w:val="32"/>
          <w:szCs w:val="32"/>
          <w:highlight w:val="none"/>
          <w:lang w:val="en-US" w:eastAsia="zh-CN"/>
        </w:rPr>
        <w:t>乡村</w:t>
      </w:r>
      <w:r>
        <w:rPr>
          <w:rFonts w:hint="eastAsia" w:ascii="仿宋_GB2312" w:eastAsia="仿宋_GB2312"/>
          <w:color w:val="auto"/>
          <w:sz w:val="32"/>
          <w:szCs w:val="32"/>
          <w:highlight w:val="none"/>
        </w:rPr>
        <w:t>。</w:t>
      </w:r>
    </w:p>
    <w:p w14:paraId="47AC1141">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城郊融合类。</w:t>
      </w:r>
      <w:r>
        <w:rPr>
          <w:rFonts w:hint="eastAsia" w:ascii="仿宋_GB2312" w:eastAsia="仿宋_GB2312"/>
          <w:color w:val="auto"/>
          <w:sz w:val="32"/>
          <w:szCs w:val="32"/>
          <w:highlight w:val="none"/>
        </w:rPr>
        <w:t>主要位于中心城区、红格镇、渔门镇、永兴镇、新九镇、惠民镇近郊。</w:t>
      </w:r>
      <w:r>
        <w:rPr>
          <w:rFonts w:hint="eastAsia" w:ascii="仿宋_GB2312" w:eastAsia="仿宋_GB2312"/>
          <w:color w:val="auto"/>
          <w:sz w:val="32"/>
          <w:szCs w:val="32"/>
          <w:highlight w:val="none"/>
          <w:lang w:val="en-US" w:eastAsia="zh-CN"/>
        </w:rPr>
        <w:t>该</w:t>
      </w:r>
      <w:r>
        <w:rPr>
          <w:rFonts w:hint="eastAsia" w:ascii="仿宋_GB2312" w:eastAsia="仿宋_GB2312"/>
          <w:color w:val="auto"/>
          <w:sz w:val="32"/>
          <w:szCs w:val="32"/>
          <w:highlight w:val="none"/>
        </w:rPr>
        <w:t>类</w:t>
      </w:r>
      <w:r>
        <w:rPr>
          <w:rFonts w:hint="eastAsia" w:ascii="仿宋_GB2312" w:eastAsia="仿宋_GB2312"/>
          <w:color w:val="auto"/>
          <w:sz w:val="32"/>
          <w:szCs w:val="32"/>
          <w:highlight w:val="none"/>
          <w:lang w:val="en-US" w:eastAsia="zh-CN"/>
        </w:rPr>
        <w:t>村建设</w:t>
      </w:r>
      <w:r>
        <w:rPr>
          <w:rFonts w:hint="eastAsia" w:ascii="仿宋_GB2312" w:eastAsia="仿宋_GB2312"/>
          <w:color w:val="auto"/>
          <w:sz w:val="32"/>
          <w:szCs w:val="32"/>
          <w:highlight w:val="none"/>
        </w:rPr>
        <w:t>应</w:t>
      </w:r>
      <w:r>
        <w:rPr>
          <w:rFonts w:hint="eastAsia" w:ascii="仿宋_GB2312" w:eastAsia="仿宋_GB2312"/>
          <w:color w:val="auto"/>
          <w:sz w:val="32"/>
          <w:szCs w:val="32"/>
          <w:highlight w:val="none"/>
          <w:lang w:val="en-US" w:eastAsia="zh-CN"/>
        </w:rPr>
        <w:t>按</w:t>
      </w:r>
      <w:r>
        <w:rPr>
          <w:rFonts w:hint="eastAsia" w:ascii="仿宋_GB2312" w:eastAsia="仿宋_GB2312"/>
          <w:color w:val="auto"/>
          <w:sz w:val="32"/>
          <w:szCs w:val="32"/>
          <w:highlight w:val="none"/>
        </w:rPr>
        <w:t>中、低强度开发，控制建设用地边界，严禁违法建设</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无序搭建，配套设施建设纳入城镇区域解决，鼓励发展</w:t>
      </w:r>
      <w:r>
        <w:rPr>
          <w:rFonts w:hint="eastAsia" w:ascii="仿宋_GB2312" w:eastAsia="仿宋_GB2312"/>
          <w:color w:val="auto"/>
          <w:sz w:val="32"/>
          <w:szCs w:val="32"/>
          <w:highlight w:val="none"/>
          <w:lang w:val="en-US" w:eastAsia="zh-CN"/>
        </w:rPr>
        <w:t>冷链</w:t>
      </w:r>
      <w:r>
        <w:rPr>
          <w:rFonts w:hint="eastAsia" w:ascii="仿宋_GB2312" w:eastAsia="仿宋_GB2312"/>
          <w:color w:val="auto"/>
          <w:sz w:val="32"/>
          <w:szCs w:val="32"/>
          <w:highlight w:val="none"/>
        </w:rPr>
        <w:t>物流、现代农业、</w:t>
      </w:r>
      <w:r>
        <w:rPr>
          <w:rFonts w:hint="eastAsia" w:ascii="仿宋_GB2312" w:eastAsia="仿宋_GB2312"/>
          <w:color w:val="auto"/>
          <w:sz w:val="32"/>
          <w:szCs w:val="32"/>
          <w:highlight w:val="none"/>
          <w:lang w:val="en-US" w:eastAsia="zh-CN"/>
        </w:rPr>
        <w:t>乡村旅游等产业</w:t>
      </w:r>
      <w:r>
        <w:rPr>
          <w:rFonts w:hint="eastAsia" w:ascii="仿宋_GB2312" w:eastAsia="仿宋_GB2312"/>
          <w:color w:val="auto"/>
          <w:sz w:val="32"/>
          <w:szCs w:val="32"/>
          <w:highlight w:val="none"/>
        </w:rPr>
        <w:t>。</w:t>
      </w:r>
    </w:p>
    <w:p w14:paraId="5B455788">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特色保护类。</w:t>
      </w:r>
      <w:r>
        <w:rPr>
          <w:rFonts w:hint="eastAsia" w:ascii="仿宋_GB2312" w:eastAsia="仿宋_GB2312"/>
          <w:color w:val="auto"/>
          <w:sz w:val="32"/>
          <w:szCs w:val="32"/>
          <w:highlight w:val="none"/>
        </w:rPr>
        <w:t>指传统村落、少数民族特色村等。主要包括联合村、猛粮村、古德村和昔格达村等。该类</w:t>
      </w:r>
      <w:r>
        <w:rPr>
          <w:rFonts w:hint="eastAsia" w:ascii="仿宋_GB2312" w:eastAsia="仿宋_GB2312"/>
          <w:color w:val="auto"/>
          <w:sz w:val="32"/>
          <w:szCs w:val="32"/>
          <w:highlight w:val="none"/>
          <w:lang w:val="en-US" w:eastAsia="zh-CN"/>
        </w:rPr>
        <w:t>村</w:t>
      </w:r>
      <w:r>
        <w:rPr>
          <w:rFonts w:hint="eastAsia" w:ascii="仿宋_GB2312" w:eastAsia="仿宋_GB2312"/>
          <w:color w:val="auto"/>
          <w:sz w:val="32"/>
          <w:szCs w:val="32"/>
          <w:highlight w:val="none"/>
        </w:rPr>
        <w:t>应以乡村保育和传统乡村特色保护为主，允许现状生活改善前提下的新建与改造，对少量新增建设的规模和范围、功能、强度进行详细规划评估与规范，保障地区整体风貌，严格控制工业型企业入驻，引导现状污染型企业进行外迁。</w:t>
      </w:r>
    </w:p>
    <w:p w14:paraId="0D5CC99E">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搬迁撤并类。</w:t>
      </w:r>
      <w:r>
        <w:rPr>
          <w:rFonts w:hint="eastAsia" w:ascii="仿宋_GB2312" w:eastAsia="仿宋_GB2312"/>
          <w:color w:val="auto"/>
          <w:sz w:val="32"/>
          <w:szCs w:val="32"/>
          <w:highlight w:val="none"/>
        </w:rPr>
        <w:t>指面积大部分位于生态</w:t>
      </w:r>
      <w:r>
        <w:rPr>
          <w:rFonts w:hint="eastAsia" w:ascii="仿宋_GB2312" w:eastAsia="仿宋_GB2312"/>
          <w:color w:val="auto"/>
          <w:sz w:val="32"/>
          <w:szCs w:val="32"/>
          <w:highlight w:val="none"/>
          <w:lang w:val="en-US" w:eastAsia="zh-CN"/>
        </w:rPr>
        <w:t>保护</w:t>
      </w:r>
      <w:r>
        <w:rPr>
          <w:rFonts w:hint="eastAsia" w:ascii="仿宋_GB2312" w:eastAsia="仿宋_GB2312"/>
          <w:color w:val="auto"/>
          <w:sz w:val="32"/>
          <w:szCs w:val="32"/>
          <w:highlight w:val="none"/>
        </w:rPr>
        <w:t>红线内、自然保护地核心</w:t>
      </w:r>
      <w:r>
        <w:rPr>
          <w:rFonts w:hint="eastAsia" w:ascii="仿宋_GB2312" w:eastAsia="仿宋_GB2312"/>
          <w:color w:val="auto"/>
          <w:sz w:val="32"/>
          <w:szCs w:val="32"/>
          <w:highlight w:val="none"/>
          <w:lang w:val="en-US" w:eastAsia="zh-CN"/>
        </w:rPr>
        <w:t>保护</w:t>
      </w:r>
      <w:r>
        <w:rPr>
          <w:rFonts w:hint="eastAsia" w:ascii="仿宋_GB2312" w:eastAsia="仿宋_GB2312"/>
          <w:color w:val="auto"/>
          <w:sz w:val="32"/>
          <w:szCs w:val="32"/>
          <w:highlight w:val="none"/>
        </w:rPr>
        <w:t>区的村，位于地质灾害隐患点和高、极高危险区的村，位于现状及规划工业工矿区和需要生态移民的村。该类</w:t>
      </w:r>
      <w:r>
        <w:rPr>
          <w:rFonts w:hint="eastAsia" w:ascii="仿宋_GB2312" w:eastAsia="仿宋_GB2312"/>
          <w:color w:val="auto"/>
          <w:sz w:val="32"/>
          <w:szCs w:val="32"/>
          <w:highlight w:val="none"/>
          <w:lang w:val="en-US" w:eastAsia="zh-CN"/>
        </w:rPr>
        <w:t>村</w:t>
      </w:r>
      <w:r>
        <w:rPr>
          <w:rFonts w:hint="eastAsia" w:ascii="仿宋_GB2312" w:eastAsia="仿宋_GB2312"/>
          <w:color w:val="auto"/>
          <w:sz w:val="32"/>
          <w:szCs w:val="32"/>
          <w:highlight w:val="none"/>
        </w:rPr>
        <w:t>应以生态保育为主，逐步搬迁不符合生态保育要求</w:t>
      </w:r>
      <w:r>
        <w:rPr>
          <w:rFonts w:hint="eastAsia" w:ascii="仿宋_GB2312" w:eastAsia="仿宋_GB2312"/>
          <w:color w:val="auto"/>
          <w:sz w:val="32"/>
          <w:szCs w:val="32"/>
          <w:highlight w:val="none"/>
          <w:lang w:val="en-US" w:eastAsia="zh-CN"/>
        </w:rPr>
        <w:t>的</w:t>
      </w:r>
      <w:r>
        <w:rPr>
          <w:rFonts w:hint="eastAsia" w:ascii="仿宋_GB2312" w:eastAsia="仿宋_GB2312"/>
          <w:color w:val="auto"/>
          <w:sz w:val="32"/>
          <w:szCs w:val="32"/>
          <w:highlight w:val="none"/>
        </w:rPr>
        <w:t>建设项目，禁止与生态环境保护无关的各类设施建设，鼓励与生态环境保护要求相融合的农业、旅游等生态型产业发展。原则上控制建设用地不增加。</w:t>
      </w:r>
    </w:p>
    <w:p w14:paraId="31B2990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乡村人居环境整治</w:t>
      </w:r>
    </w:p>
    <w:p w14:paraId="3170ABA7">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扎实推进农村厕所革命。</w:t>
      </w:r>
      <w:r>
        <w:rPr>
          <w:rFonts w:hint="eastAsia" w:ascii="仿宋_GB2312" w:eastAsia="仿宋_GB2312"/>
          <w:color w:val="auto"/>
          <w:sz w:val="32"/>
          <w:szCs w:val="32"/>
          <w:highlight w:val="none"/>
        </w:rPr>
        <w:t>按照基本型、提升型、舒适型三种类型因户改厕，采取三格化粪池、沼气池、集中排污等方式对粪污进行无害化处理和资源化利用。</w:t>
      </w:r>
    </w:p>
    <w:p w14:paraId="1AFCB315">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强化农村生活污水治理。</w:t>
      </w:r>
      <w:r>
        <w:rPr>
          <w:rFonts w:hint="eastAsia" w:ascii="仿宋_GB2312" w:eastAsia="仿宋_GB2312"/>
          <w:color w:val="auto"/>
          <w:sz w:val="32"/>
          <w:szCs w:val="32"/>
          <w:highlight w:val="none"/>
        </w:rPr>
        <w:t>以镇（乡）、农村居民聚居区为重点，加快农村生活污水处理及配套设施建设。对于具备截污输送条件的村，推进雨污分流改造，加快截污管网建设，接入邻近城镇污水处理厂。不具备条件的村和</w:t>
      </w:r>
      <w:r>
        <w:rPr>
          <w:rFonts w:hint="eastAsia" w:ascii="仿宋_GB2312" w:eastAsia="仿宋_GB2312"/>
          <w:color w:val="auto"/>
          <w:sz w:val="32"/>
          <w:szCs w:val="32"/>
          <w:highlight w:val="none"/>
          <w:lang w:val="en-US" w:eastAsia="zh-CN"/>
        </w:rPr>
        <w:t>散居</w:t>
      </w:r>
      <w:r>
        <w:rPr>
          <w:rFonts w:hint="eastAsia" w:ascii="仿宋_GB2312" w:eastAsia="仿宋_GB2312"/>
          <w:color w:val="auto"/>
          <w:sz w:val="32"/>
          <w:szCs w:val="32"/>
          <w:highlight w:val="none"/>
        </w:rPr>
        <w:t>居民点，采取集中与分散相结合的方式建设污水处理设施。</w:t>
      </w:r>
    </w:p>
    <w:p w14:paraId="7829BBD6">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完善农村生活垃圾治理体系。</w:t>
      </w:r>
      <w:r>
        <w:rPr>
          <w:rFonts w:hint="eastAsia" w:ascii="仿宋_GB2312" w:eastAsia="仿宋_GB2312"/>
          <w:color w:val="auto"/>
          <w:sz w:val="32"/>
          <w:szCs w:val="32"/>
          <w:highlight w:val="none"/>
        </w:rPr>
        <w:t>因地制宜确定乡村生活垃圾处理模式，合理布局垃圾集中收集点和转运设施用地，建立健全垃圾分类管理制度。</w:t>
      </w:r>
    </w:p>
    <w:p w14:paraId="2A797276">
      <w:pPr>
        <w:spacing w:line="600" w:lineRule="exact"/>
        <w:ind w:firstLine="641"/>
        <w:rPr>
          <w:rFonts w:ascii="仿宋_GB2312" w:eastAsia="仿宋_GB2312"/>
          <w:color w:val="auto"/>
          <w:sz w:val="32"/>
          <w:szCs w:val="32"/>
          <w:highlight w:val="none"/>
        </w:rPr>
      </w:pPr>
      <w:r>
        <w:rPr>
          <w:rFonts w:hint="eastAsia" w:ascii="仿宋_GB2312" w:eastAsia="仿宋_GB2312"/>
          <w:b/>
          <w:color w:val="auto"/>
          <w:sz w:val="32"/>
          <w:szCs w:val="32"/>
          <w:highlight w:val="none"/>
        </w:rPr>
        <w:t>推进畜禽粪污资源化利用。</w:t>
      </w:r>
      <w:r>
        <w:rPr>
          <w:rFonts w:hint="eastAsia" w:ascii="仿宋_GB2312" w:eastAsia="仿宋_GB2312"/>
          <w:color w:val="auto"/>
          <w:sz w:val="32"/>
          <w:szCs w:val="32"/>
          <w:highlight w:val="none"/>
        </w:rPr>
        <w:t>以现代农业园区建设为抓手，采取畜禽养殖废弃物减量化产生、无害化处理、还田利用的治理体系，推进畜禽粪污资源化利用。</w:t>
      </w:r>
    </w:p>
    <w:p w14:paraId="1FDFC52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乡村振兴用地保障</w:t>
      </w:r>
    </w:p>
    <w:p w14:paraId="2EE05120">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坚持在符合规划和土地用途管制的前提下，制定乡村集体建设用地供给主体、供给方式及权益保障制度</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保障集体经营性建设用地权益。围绕农商文旅体融合发展，细化集体经营性建设用地入市办法。鼓励农村集体经济组织及其成员盘活利用低效闲置用地，激活土地要素，保障乡村振兴用地。安排年度土地利用计划时，原则上应安排不少于5%的新增建设用地计划指标，优先保障乡村重点产业和项目用地。做好土地支持政策衔接，坚持最严格</w:t>
      </w:r>
      <w:r>
        <w:rPr>
          <w:rFonts w:hint="eastAsia" w:ascii="仿宋_GB2312" w:eastAsia="仿宋_GB2312"/>
          <w:color w:val="auto"/>
          <w:sz w:val="32"/>
          <w:szCs w:val="32"/>
          <w:highlight w:val="none"/>
          <w:lang w:val="en-US" w:eastAsia="zh-CN"/>
        </w:rPr>
        <w:t>的</w:t>
      </w:r>
      <w:r>
        <w:rPr>
          <w:rFonts w:hint="eastAsia" w:ascii="仿宋_GB2312" w:eastAsia="仿宋_GB2312"/>
          <w:color w:val="auto"/>
          <w:sz w:val="32"/>
          <w:szCs w:val="32"/>
          <w:highlight w:val="none"/>
        </w:rPr>
        <w:t>耕地保护制度，以国土空间规划为依据，新增建设用地计划指标优先保障巩固拓展脱贫攻坚成果和乡村振兴用地需要。</w:t>
      </w:r>
    </w:p>
    <w:p w14:paraId="21A3C4C1">
      <w:pPr>
        <w:pStyle w:val="7"/>
        <w:keepNext/>
        <w:keepLines/>
        <w:numPr>
          <w:ilvl w:val="0"/>
          <w:numId w:val="12"/>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70" w:name="_Toc132447826"/>
      <w:bookmarkStart w:id="71" w:name="_Toc31657"/>
      <w:bookmarkStart w:id="72" w:name="_Toc7978"/>
      <w:r>
        <w:rPr>
          <w:rFonts w:hint="eastAsia" w:ascii="黑体" w:hAnsi="黑体" w:eastAsia="黑体"/>
          <w:bCs/>
          <w:color w:val="auto"/>
          <w:sz w:val="32"/>
          <w:szCs w:val="32"/>
          <w:highlight w:val="none"/>
        </w:rPr>
        <w:t>生态空间</w:t>
      </w:r>
      <w:bookmarkEnd w:id="70"/>
      <w:bookmarkEnd w:id="71"/>
      <w:bookmarkEnd w:id="72"/>
    </w:p>
    <w:p w14:paraId="285A36BE">
      <w:pPr>
        <w:pStyle w:val="8"/>
        <w:keepNext/>
        <w:keepLines/>
        <w:numPr>
          <w:ilvl w:val="0"/>
          <w:numId w:val="15"/>
        </w:numPr>
        <w:adjustRightInd/>
        <w:snapToGrid/>
        <w:ind w:left="0"/>
        <w:jc w:val="center"/>
        <w:rPr>
          <w:rFonts w:ascii="仿宋_GB2312" w:hAnsi="Calibri" w:eastAsia="仿宋_GB2312"/>
          <w:b/>
          <w:bCs/>
          <w:color w:val="auto"/>
          <w:highlight w:val="none"/>
        </w:rPr>
      </w:pPr>
      <w:bookmarkStart w:id="73" w:name="_Toc26546"/>
      <w:r>
        <w:rPr>
          <w:rFonts w:hint="eastAsia" w:ascii="仿宋_GB2312" w:hAnsi="Calibri" w:eastAsia="仿宋_GB2312"/>
          <w:b/>
          <w:bCs/>
          <w:color w:val="auto"/>
          <w:highlight w:val="none"/>
        </w:rPr>
        <w:t>构建盐边特色生态空间</w:t>
      </w:r>
      <w:bookmarkEnd w:id="73"/>
    </w:p>
    <w:p w14:paraId="184C92F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构建“一屏、两廊、多带、多斑块”生态格局</w:t>
      </w:r>
    </w:p>
    <w:p w14:paraId="3953C358">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一屏</w:t>
      </w: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：北部森林及生物多样性生态屏障。以自然恢复为主，加强生态保育，提升区域水源涵养和生物多样性维护功能。</w:t>
      </w:r>
    </w:p>
    <w:p w14:paraId="7389A55C">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两廊</w:t>
      </w: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：雅砻江—金沙江生态廊道和三源河—二滩库区生态廊道。推进河谷生态脆弱区恢复与治理，加强两岸绿化和防护林带建设，加强流域水生态环境保护。</w:t>
      </w:r>
    </w:p>
    <w:p w14:paraId="6DFFEB84">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多带</w:t>
      </w: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：以永兴河、新坪河、红果河、巴拉河等主要河流为生态带，加强河谷地带水生态环境保护。</w:t>
      </w:r>
    </w:p>
    <w:p w14:paraId="03C92FF5">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多斑块</w:t>
      </w: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：公益林、天然林及其他生态用地集中连片区和各类自然保护地等生态斑块。加强森林人工提质改造，提高植被覆盖率和林地郁闭度。优化整合自然保护地体系，发挥</w:t>
      </w:r>
      <w:r>
        <w:rPr>
          <w:rFonts w:hint="eastAsia" w:ascii="仿宋_GB2312" w:hAnsi="宋体" w:eastAsia="仿宋_GB2312"/>
          <w:bCs/>
          <w:color w:val="auto"/>
          <w:sz w:val="32"/>
          <w:szCs w:val="28"/>
          <w:highlight w:val="none"/>
          <w:lang w:val="en-US" w:eastAsia="zh-CN"/>
        </w:rPr>
        <w:t>其</w:t>
      </w:r>
      <w:r>
        <w:rPr>
          <w:rFonts w:hint="eastAsia" w:ascii="仿宋_GB2312" w:hAnsi="宋体" w:eastAsia="仿宋_GB2312"/>
          <w:bCs/>
          <w:color w:val="auto"/>
          <w:sz w:val="32"/>
          <w:szCs w:val="28"/>
          <w:highlight w:val="none"/>
        </w:rPr>
        <w:t>守护自然生态、保育自然资源、保护生物多样性与景观多样性功能。</w:t>
      </w:r>
    </w:p>
    <w:p w14:paraId="2AA1D6E0">
      <w:pPr>
        <w:pStyle w:val="8"/>
        <w:keepNext/>
        <w:keepLines/>
        <w:numPr>
          <w:ilvl w:val="0"/>
          <w:numId w:val="15"/>
        </w:numPr>
        <w:adjustRightInd/>
        <w:snapToGrid/>
        <w:ind w:left="0"/>
        <w:jc w:val="center"/>
        <w:rPr>
          <w:rFonts w:ascii="仿宋_GB2312" w:hAnsi="Calibri" w:eastAsia="仿宋_GB2312"/>
          <w:b/>
          <w:bCs/>
          <w:color w:val="auto"/>
          <w:highlight w:val="none"/>
        </w:rPr>
      </w:pPr>
      <w:bookmarkStart w:id="74" w:name="_Toc32574"/>
      <w:r>
        <w:rPr>
          <w:rFonts w:hint="eastAsia" w:ascii="仿宋_GB2312" w:hAnsi="Calibri" w:eastAsia="仿宋_GB2312"/>
          <w:b/>
          <w:bCs/>
          <w:color w:val="auto"/>
          <w:highlight w:val="none"/>
        </w:rPr>
        <w:t>自然保护地保护</w:t>
      </w:r>
      <w:bookmarkEnd w:id="74"/>
    </w:p>
    <w:p w14:paraId="301D5F97">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75" w:name="_Toc122513281"/>
      <w:r>
        <w:rPr>
          <w:rFonts w:hint="eastAsia" w:ascii="仿宋_GB2312" w:hAnsi="Times New Roman" w:eastAsia="仿宋_GB2312"/>
          <w:b/>
          <w:bCs/>
          <w:color w:val="auto"/>
          <w:sz w:val="32"/>
          <w:szCs w:val="28"/>
          <w:highlight w:val="none"/>
        </w:rPr>
        <w:t>传导落实自然保护地</w:t>
      </w:r>
      <w:bookmarkEnd w:id="75"/>
    </w:p>
    <w:p w14:paraId="50963384">
      <w:pPr>
        <w:spacing w:line="600" w:lineRule="exact"/>
        <w:ind w:firstLine="640"/>
        <w:rPr>
          <w:rFonts w:ascii="仿宋_GB2312" w:hAnsi="宋体" w:eastAsia="仿宋_GB2312"/>
          <w:color w:val="auto"/>
          <w:sz w:val="32"/>
          <w:szCs w:val="32"/>
          <w:highlight w:val="none"/>
          <w:u w:val="single"/>
        </w:rPr>
      </w:pPr>
      <w:r>
        <w:rPr>
          <w:rFonts w:hint="eastAsia" w:ascii="仿宋_GB2312" w:hAnsi="宋体" w:eastAsia="仿宋_GB2312"/>
          <w:color w:val="auto"/>
          <w:sz w:val="32"/>
          <w:szCs w:val="32"/>
          <w:highlight w:val="none"/>
        </w:rPr>
        <w:t>传导落实四川省、攀枝花市自然保护地，建立分类科学、布局合理、保护有力、管理有效的保护体系。</w:t>
      </w:r>
      <w:r>
        <w:rPr>
          <w:rFonts w:hint="eastAsia" w:ascii="仿宋_GB2312" w:hAnsi="宋体" w:eastAsia="仿宋_GB2312"/>
          <w:color w:val="auto"/>
          <w:sz w:val="32"/>
          <w:szCs w:val="32"/>
          <w:highlight w:val="none"/>
          <w:lang w:val="en-US" w:eastAsia="zh-CN"/>
        </w:rPr>
        <w:t>落实</w:t>
      </w:r>
      <w:r>
        <w:rPr>
          <w:rFonts w:hint="eastAsia" w:ascii="仿宋_GB2312" w:hAnsi="宋体" w:eastAsia="仿宋_GB2312"/>
          <w:color w:val="auto"/>
          <w:sz w:val="32"/>
          <w:szCs w:val="32"/>
          <w:highlight w:val="none"/>
        </w:rPr>
        <w:t>四川二滩湿地鸟类自然保护区、四川二滩国家级森林公园、四川盐边格萨拉国家级地质公园</w:t>
      </w:r>
      <w:r>
        <w:rPr>
          <w:rFonts w:hint="eastAsia" w:ascii="仿宋_GB2312" w:hAnsi="宋体" w:eastAsia="仿宋_GB2312"/>
          <w:color w:val="auto"/>
          <w:sz w:val="32"/>
          <w:szCs w:val="32"/>
          <w:highlight w:val="none"/>
          <w:lang w:val="en-US" w:eastAsia="zh-CN"/>
        </w:rPr>
        <w:t>三个</w:t>
      </w:r>
      <w:r>
        <w:rPr>
          <w:rFonts w:hint="eastAsia" w:ascii="仿宋_GB2312" w:hAnsi="宋体" w:eastAsia="仿宋_GB2312"/>
          <w:color w:val="auto"/>
          <w:sz w:val="32"/>
          <w:szCs w:val="32"/>
          <w:highlight w:val="none"/>
        </w:rPr>
        <w:t>自然保护地。其中，四川二滩湿地鸟类自然保护区总面积542.73平方千米，四川二滩国家级森林公园面积107.29平方千米，四川盐边格萨拉国家级地质公园面积71.29平方千米。全县自然保护地陆域面积占陆域国土面积比例（%）为21.93%（该约束性指标应在国家正式批复自然保护地整合优化方案后进一步核实确认）。</w:t>
      </w:r>
    </w:p>
    <w:p w14:paraId="2E21050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明确自然保护地管控</w:t>
      </w:r>
    </w:p>
    <w:p w14:paraId="68DE17EE">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四川二滩湿地鸟类自然保护区按照所划定的核心保护区和一般控制区，应根据相关要求明确各区管理内容</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u w:val="single"/>
          <w:lang w:val="en-US" w:eastAsia="zh-CN"/>
        </w:rPr>
        <w:t>按照《</w:t>
      </w:r>
      <w:r>
        <w:rPr>
          <w:rFonts w:hint="eastAsia" w:ascii="仿宋_GB2312" w:hAnsi="宋体" w:eastAsia="仿宋_GB2312"/>
          <w:color w:val="auto"/>
          <w:sz w:val="32"/>
          <w:szCs w:val="32"/>
          <w:highlight w:val="none"/>
          <w:u w:val="single"/>
        </w:rPr>
        <w:t>中共中央办公厅 国务院办公厅关于建立以国家公园为主体的自然保护地体系的指导意见</w:t>
      </w:r>
      <w:r>
        <w:rPr>
          <w:rFonts w:hint="eastAsia" w:ascii="仿宋_GB2312" w:hAnsi="宋体" w:eastAsia="仿宋_GB2312"/>
          <w:color w:val="auto"/>
          <w:sz w:val="32"/>
          <w:szCs w:val="32"/>
          <w:highlight w:val="none"/>
          <w:u w:val="single"/>
          <w:lang w:val="en-US" w:eastAsia="zh-CN"/>
        </w:rPr>
        <w:t>》《</w:t>
      </w:r>
      <w:r>
        <w:rPr>
          <w:rFonts w:hint="eastAsia" w:ascii="仿宋_GB2312" w:hAnsi="宋体" w:eastAsia="仿宋_GB2312" w:cs="宋体"/>
          <w:b w:val="0"/>
          <w:bCs w:val="0"/>
          <w:i w:val="0"/>
          <w:iCs w:val="0"/>
          <w:caps w:val="0"/>
          <w:color w:val="auto"/>
          <w:spacing w:val="0"/>
          <w:sz w:val="32"/>
          <w:szCs w:val="32"/>
          <w:highlight w:val="none"/>
          <w:u w:val="single"/>
          <w:shd w:val="clear" w:fill="auto"/>
        </w:rPr>
        <w:t>自然资源部 生态环境部 国家林业和草原局关于加强生态保护红线管理的通知（试行）</w:t>
      </w:r>
      <w:r>
        <w:rPr>
          <w:rFonts w:hint="eastAsia" w:ascii="仿宋_GB2312" w:hAnsi="宋体" w:eastAsia="仿宋_GB2312"/>
          <w:color w:val="auto"/>
          <w:sz w:val="32"/>
          <w:szCs w:val="32"/>
          <w:highlight w:val="none"/>
          <w:u w:val="single"/>
          <w:lang w:val="en-US" w:eastAsia="zh-CN"/>
        </w:rPr>
        <w:t>》执行</w:t>
      </w:r>
      <w:r>
        <w:rPr>
          <w:rFonts w:hint="eastAsia" w:ascii="仿宋_GB2312" w:hAnsi="宋体" w:eastAsia="仿宋_GB2312"/>
          <w:color w:val="auto"/>
          <w:sz w:val="32"/>
          <w:szCs w:val="32"/>
          <w:highlight w:val="none"/>
          <w:u w:val="single"/>
        </w:rPr>
        <w:t>。</w:t>
      </w:r>
      <w:r>
        <w:rPr>
          <w:rFonts w:hint="eastAsia" w:ascii="仿宋_GB2312" w:hAnsi="宋体" w:eastAsia="仿宋_GB2312"/>
          <w:color w:val="auto"/>
          <w:sz w:val="32"/>
          <w:szCs w:val="32"/>
          <w:highlight w:val="none"/>
        </w:rPr>
        <w:t>四川二滩国家级森林公园、四川盐边格萨拉国家级地质公园应根据相关要求原则上按一般控制区管理，限制人为活动。</w:t>
      </w:r>
    </w:p>
    <w:p w14:paraId="6E4037F5">
      <w:pPr>
        <w:pStyle w:val="8"/>
        <w:keepNext/>
        <w:keepLines/>
        <w:numPr>
          <w:ilvl w:val="0"/>
          <w:numId w:val="15"/>
        </w:numPr>
        <w:adjustRightInd/>
        <w:snapToGrid/>
        <w:ind w:left="0"/>
        <w:jc w:val="center"/>
        <w:rPr>
          <w:rFonts w:ascii="仿宋_GB2312" w:hAnsi="Calibri" w:eastAsia="仿宋_GB2312"/>
          <w:b/>
          <w:bCs/>
          <w:color w:val="auto"/>
          <w:highlight w:val="none"/>
        </w:rPr>
      </w:pPr>
      <w:bookmarkStart w:id="76" w:name="_Toc13280"/>
      <w:r>
        <w:rPr>
          <w:rFonts w:hint="eastAsia" w:ascii="仿宋_GB2312" w:hAnsi="Calibri" w:eastAsia="仿宋_GB2312"/>
          <w:b/>
          <w:bCs/>
          <w:color w:val="auto"/>
          <w:highlight w:val="none"/>
        </w:rPr>
        <w:t>重点生态系统保护</w:t>
      </w:r>
      <w:bookmarkEnd w:id="76"/>
    </w:p>
    <w:p w14:paraId="3297D44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科学开展造林绿化，增加森林碳汇</w:t>
      </w:r>
    </w:p>
    <w:p w14:paraId="018CB89A">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开展造林绿化适宜性评估，将29.33平方千米造林绿化空间纳入国土空间规划“一张图”。推进长江防护林建设，以人工造林为主，多树种配置，巩固退耕还林还草成果，加快宜林荒山荒地造林绿化，增加森林覆盖面积。推进攀枝花干热河谷生态脆弱区和重要江河湖库造林绿化，重点在金沙江、雅砻江、三源河、永兴河、力马河、红果河等28条主要河流和饮用</w:t>
      </w:r>
      <w:r>
        <w:rPr>
          <w:rFonts w:hint="eastAsia" w:ascii="仿宋_GB2312" w:hAnsi="宋体" w:eastAsia="仿宋_GB2312"/>
          <w:bCs/>
          <w:color w:val="auto"/>
          <w:sz w:val="32"/>
          <w:szCs w:val="28"/>
          <w:highlight w:val="none"/>
          <w:lang w:val="en-US" w:eastAsia="zh-CN"/>
        </w:rPr>
        <w:t>水</w:t>
      </w:r>
      <w:r>
        <w:rPr>
          <w:rFonts w:hint="eastAsia" w:ascii="仿宋_GB2312" w:hAnsi="宋体" w:eastAsia="仿宋_GB2312"/>
          <w:bCs/>
          <w:color w:val="auto"/>
          <w:sz w:val="32"/>
          <w:szCs w:val="28"/>
          <w:highlight w:val="none"/>
        </w:rPr>
        <w:t>水源地沿岸，营造水源涵养林、水土保持林和景观林。提升林地质量，增加森林碳汇，增强生态系统生产力和生态供给能力，应对气候变化。</w:t>
      </w:r>
    </w:p>
    <w:p w14:paraId="133699FC">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严格林地用途管制</w:t>
      </w:r>
    </w:p>
    <w:p w14:paraId="344A5C22">
      <w:pPr>
        <w:spacing w:line="600" w:lineRule="exact"/>
        <w:ind w:firstLine="640"/>
        <w:rPr>
          <w:rFonts w:ascii="仿宋_GB2312" w:eastAsia="仿宋_GB2312" w:hAnsiTheme="minorEastAsia"/>
          <w:bCs/>
          <w:color w:val="auto"/>
          <w:sz w:val="32"/>
          <w:szCs w:val="28"/>
          <w:highlight w:val="none"/>
        </w:rPr>
      </w:pPr>
      <w:r>
        <w:rPr>
          <w:rFonts w:hint="eastAsia" w:ascii="仿宋_GB2312" w:eastAsia="仿宋_GB2312" w:hAnsiTheme="minorEastAsia"/>
          <w:bCs/>
          <w:color w:val="auto"/>
          <w:sz w:val="32"/>
          <w:szCs w:val="28"/>
          <w:highlight w:val="none"/>
        </w:rPr>
        <w:t>科学划分林地保护等级，按照类别划分为公益林和商品林两大体系，实行森林分类经营、分类管理体制。公益林实行“总量控制、区域稳定、动态管理、增减平衡”管理机制，商品林实施“用途管制，定额专用，分级保护，差别管理”管控机制。矿藏勘查、开采以及其他各类工程建设，应当不占或者少占林地；确需占用林地的，不得超过本行政区域林地定额指标。为避免以康养等名义开发房地产占用林地行为，不应在森林资源集中连片的林地上，组团式规划城镇住宅用地。禁止使用林地建造坟墓。</w:t>
      </w:r>
    </w:p>
    <w:p w14:paraId="1A754B3D">
      <w:pPr>
        <w:spacing w:line="600" w:lineRule="exact"/>
        <w:ind w:firstLine="640"/>
        <w:rPr>
          <w:rFonts w:ascii="仿宋_GB2312" w:eastAsia="仿宋_GB2312" w:hAnsiTheme="minorEastAsia"/>
          <w:bCs/>
          <w:color w:val="auto"/>
          <w:sz w:val="32"/>
          <w:szCs w:val="28"/>
          <w:highlight w:val="none"/>
          <w:u w:val="single"/>
        </w:rPr>
      </w:pPr>
      <w:r>
        <w:rPr>
          <w:rFonts w:hint="eastAsia" w:eastAsia="仿宋_GB2312" w:cs="Calibri"/>
          <w:bCs/>
          <w:color w:val="auto"/>
          <w:sz w:val="32"/>
          <w:szCs w:val="28"/>
          <w:highlight w:val="none"/>
          <w:u w:val="single"/>
        </w:rPr>
        <w:t>严格实行公益林分级管控要求，一级国家级公益林原则上不得开展生产经营</w:t>
      </w:r>
      <w:r>
        <w:rPr>
          <w:rFonts w:hint="eastAsia" w:ascii="仿宋_GB2312" w:hAnsi="___WRD_EMBED_SUB_45" w:eastAsia="仿宋_GB2312" w:cs="___WRD_EMBED_SUB_45"/>
          <w:bCs/>
          <w:color w:val="auto"/>
          <w:sz w:val="32"/>
          <w:szCs w:val="28"/>
          <w:highlight w:val="none"/>
          <w:u w:val="single"/>
        </w:rPr>
        <w:t>活动，严禁打枝、采脂、割漆、剥树皮、掘根等行为。国有一级国家级公益林，不得开展任何形式的生产经营活动。集体和个人所有的一级国家级公益林，以严格保护为原则，根据其生态状况需要开展抚育和更新采伐等经营活动，或适宜开展非木质资源培育利用的，应当符合相关技术规程的规定，并按程序实施。二级国家级公益林在不影响整体森林生态系统功能发挥的前提下</w:t>
      </w:r>
      <w:r>
        <w:rPr>
          <w:rFonts w:hint="eastAsia" w:ascii="仿宋_GB2312" w:eastAsia="仿宋_GB2312" w:hAnsiTheme="minorEastAsia"/>
          <w:bCs/>
          <w:color w:val="auto"/>
          <w:sz w:val="32"/>
          <w:szCs w:val="28"/>
          <w:highlight w:val="none"/>
          <w:u w:val="single"/>
        </w:rPr>
        <w:t>，可以按照相关技术规程的规定开展抚育和更新性质的采伐。在不破坏森林植被的前提下，可以合理利用其林地资源，适度开展林下种植养殖和森林游憩等非木质资源开发与利用，科学发展林下经济。</w:t>
      </w:r>
    </w:p>
    <w:p w14:paraId="3F533BC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加强天然林保护修复，提升林地质量</w:t>
      </w:r>
    </w:p>
    <w:p w14:paraId="5AC6DDF7">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重点对荒山荒地开展封山育林和造林工程，切实提高森林覆盖面积；强化天然中幼林抚育，加强退化天然林修复，着力提升森林水源涵养、水土保持和固碳释氧能力。确保天然林面积保持稳定、质量持续提高、功能稳步提升。</w:t>
      </w:r>
    </w:p>
    <w:p w14:paraId="6C2C5EB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加强古树名木保护，强化林木采伐管理</w:t>
      </w:r>
    </w:p>
    <w:p w14:paraId="45A3D3E7">
      <w:pPr>
        <w:spacing w:line="600" w:lineRule="exact"/>
        <w:ind w:firstLine="640"/>
        <w:rPr>
          <w:rFonts w:ascii="仿宋_GB2312" w:hAnsi="宋体" w:eastAsia="仿宋_GB2312"/>
          <w:bCs/>
          <w:color w:val="auto"/>
          <w:sz w:val="32"/>
          <w:szCs w:val="28"/>
          <w:highlight w:val="none"/>
          <w:u w:val="single"/>
        </w:rPr>
      </w:pPr>
      <w:r>
        <w:rPr>
          <w:rFonts w:hint="eastAsia" w:ascii="仿宋_GB2312" w:hAnsi="宋体" w:eastAsia="仿宋_GB2312"/>
          <w:bCs/>
          <w:color w:val="auto"/>
          <w:sz w:val="32"/>
          <w:szCs w:val="28"/>
          <w:highlight w:val="none"/>
        </w:rPr>
        <w:t>对登记挂牌建档的7</w:t>
      </w:r>
      <w:r>
        <w:rPr>
          <w:rFonts w:ascii="仿宋_GB2312" w:hAnsi="宋体" w:eastAsia="仿宋_GB2312"/>
          <w:bCs/>
          <w:color w:val="auto"/>
          <w:sz w:val="32"/>
          <w:szCs w:val="28"/>
          <w:highlight w:val="none"/>
        </w:rPr>
        <w:t>6</w:t>
      </w:r>
      <w:r>
        <w:rPr>
          <w:rFonts w:hint="eastAsia" w:ascii="仿宋_GB2312" w:hAnsi="宋体" w:eastAsia="仿宋_GB2312"/>
          <w:bCs/>
          <w:color w:val="auto"/>
          <w:sz w:val="32"/>
          <w:szCs w:val="28"/>
          <w:highlight w:val="none"/>
        </w:rPr>
        <w:t>棵古树名木，按照“一树一策”的要求，制定科学的日常管护方案。</w:t>
      </w:r>
      <w:r>
        <w:rPr>
          <w:rFonts w:hint="eastAsia" w:ascii="仿宋_GB2312" w:hAnsi="宋体" w:eastAsia="仿宋_GB2312"/>
          <w:bCs/>
          <w:color w:val="auto"/>
          <w:sz w:val="32"/>
          <w:szCs w:val="28"/>
          <w:highlight w:val="none"/>
          <w:u w:val="single"/>
        </w:rPr>
        <w:t>依法严厉打击擅自砍伐、移植、损害等破坏古树名木的违法行为。对破坏和非法采挖倒卖古树名木等行为，坚决依法依规从严查处；对构成犯罪的，依法追究刑事责任。</w:t>
      </w:r>
    </w:p>
    <w:p w14:paraId="5E023F8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草地资源保护利用</w:t>
      </w:r>
    </w:p>
    <w:p w14:paraId="52EDB7CD">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对水土保持功能</w:t>
      </w:r>
      <w:r>
        <w:rPr>
          <w:rFonts w:hint="eastAsia" w:ascii="仿宋_GB2312" w:hAnsi="宋体" w:eastAsia="仿宋_GB2312"/>
          <w:bCs/>
          <w:color w:val="auto"/>
          <w:sz w:val="32"/>
          <w:szCs w:val="28"/>
          <w:highlight w:val="none"/>
          <w:lang w:val="en-US" w:eastAsia="zh-CN"/>
        </w:rPr>
        <w:t>存在</w:t>
      </w:r>
      <w:r>
        <w:rPr>
          <w:rFonts w:hint="eastAsia" w:ascii="仿宋_GB2312" w:hAnsi="宋体" w:eastAsia="仿宋_GB2312"/>
          <w:bCs/>
          <w:color w:val="auto"/>
          <w:sz w:val="32"/>
          <w:szCs w:val="28"/>
          <w:highlight w:val="none"/>
        </w:rPr>
        <w:t>隐患的25度以上坡耕地有序开展退耕还林还草。推广林下养殖和种养循环模式。积极结合年度国土变更</w:t>
      </w:r>
      <w:r>
        <w:rPr>
          <w:rFonts w:hint="eastAsia" w:ascii="仿宋_GB2312" w:hAnsi="宋体" w:eastAsia="仿宋_GB2312"/>
          <w:bCs/>
          <w:color w:val="auto"/>
          <w:sz w:val="32"/>
          <w:szCs w:val="28"/>
          <w:highlight w:val="none"/>
          <w:lang w:val="en-US" w:eastAsia="zh-CN"/>
        </w:rPr>
        <w:t>调查</w:t>
      </w:r>
      <w:r>
        <w:rPr>
          <w:rFonts w:hint="eastAsia" w:ascii="仿宋_GB2312" w:hAnsi="宋体" w:eastAsia="仿宋_GB2312"/>
          <w:bCs/>
          <w:color w:val="auto"/>
          <w:sz w:val="32"/>
          <w:szCs w:val="28"/>
          <w:highlight w:val="none"/>
        </w:rPr>
        <w:t>数据，科学界定草地属性，依法确定草地范围，推进草地确权。对符合光伏产业发展用地用林用草政策和草地使用管理等法律法规、政策的区域，支持、鼓励采用“草光互补”模式发展光伏产业。</w:t>
      </w:r>
    </w:p>
    <w:p w14:paraId="0AF8CD03">
      <w:pPr>
        <w:pStyle w:val="8"/>
        <w:keepNext/>
        <w:keepLines/>
        <w:numPr>
          <w:ilvl w:val="0"/>
          <w:numId w:val="15"/>
        </w:numPr>
        <w:adjustRightInd/>
        <w:snapToGrid/>
        <w:ind w:left="0"/>
        <w:jc w:val="center"/>
        <w:rPr>
          <w:rFonts w:ascii="仿宋_GB2312" w:hAnsi="Calibri" w:eastAsia="仿宋_GB2312"/>
          <w:b/>
          <w:bCs/>
          <w:color w:val="auto"/>
          <w:highlight w:val="none"/>
        </w:rPr>
      </w:pPr>
      <w:bookmarkStart w:id="77" w:name="_Toc30747"/>
      <w:r>
        <w:rPr>
          <w:rFonts w:hint="eastAsia" w:ascii="仿宋_GB2312" w:hAnsi="Calibri" w:eastAsia="仿宋_GB2312"/>
          <w:b/>
          <w:bCs/>
          <w:color w:val="auto"/>
          <w:highlight w:val="none"/>
        </w:rPr>
        <w:t>生物多样性保护</w:t>
      </w:r>
      <w:bookmarkEnd w:id="77"/>
    </w:p>
    <w:p w14:paraId="2AE3032C">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强化生物多样性保护</w:t>
      </w:r>
    </w:p>
    <w:p w14:paraId="6A6FE5F7">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保护候鸟迁徙通道、河湖水系“蓝廊”及重要湿地等生态重要区，完善陆生野生动植物保护网络，加强保护体系建设，提高生境连通性，促进县域森林生态系统持续向好发展。保护修复水生生物生境，加强雅砻江、金沙江流域特有物种栖息地、洄游通道、产卵场等重要生境保护；加大干支流岸线、河口滩涂等生物多样性保护与恢复。加强生物多样性资源本底调查，逐步建立生物多样性基础数据库和信息平台，加强基层测报站点建设，完善生物多样性监测预警体系。</w:t>
      </w:r>
    </w:p>
    <w:p w14:paraId="3B1DDE44">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划定生物多样性维护重点区</w:t>
      </w:r>
    </w:p>
    <w:p w14:paraId="2B4D6DB4">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将四川二滩湿地鸟类自然保护区作为生物多样性维护重点区，其范围主要涉及共和乡、国胜乡、红宝苗族彝族乡、渔门镇、惠民镇、永兴镇等。该区重点推进自然保护区建设管理和廊道建设，重点加大金雕、黑颈鹤、红隼、羚羊、小熊猫等国家一二级保护动物的保护力度，防控外来物种入侵，修复和建设生物繁殖迁徙的生态廊道。维护河湖生态健康，开展常态化科研监测、科普宣教、监测巡护等工作，进一步提高自然保护区保护效能，有效改善保护区内的环境质量。</w:t>
      </w:r>
    </w:p>
    <w:p w14:paraId="206D7E77">
      <w:pPr>
        <w:pStyle w:val="8"/>
        <w:keepNext/>
        <w:keepLines/>
        <w:numPr>
          <w:ilvl w:val="0"/>
          <w:numId w:val="15"/>
        </w:numPr>
        <w:adjustRightInd/>
        <w:snapToGrid/>
        <w:ind w:left="0"/>
        <w:jc w:val="center"/>
        <w:rPr>
          <w:rFonts w:ascii="仿宋_GB2312" w:hAnsi="Calibri" w:eastAsia="仿宋_GB2312"/>
          <w:b/>
          <w:bCs/>
          <w:color w:val="auto"/>
          <w:highlight w:val="none"/>
        </w:rPr>
      </w:pPr>
      <w:bookmarkStart w:id="78" w:name="_Toc18736"/>
      <w:r>
        <w:rPr>
          <w:rFonts w:hint="eastAsia" w:ascii="仿宋_GB2312" w:hAnsi="Calibri" w:eastAsia="仿宋_GB2312"/>
          <w:b/>
          <w:bCs/>
          <w:color w:val="auto"/>
          <w:highlight w:val="none"/>
        </w:rPr>
        <w:t>生态修复</w:t>
      </w:r>
      <w:bookmarkEnd w:id="78"/>
    </w:p>
    <w:p w14:paraId="066DD08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生态修复</w:t>
      </w:r>
      <w:r>
        <w:rPr>
          <w:rFonts w:hint="eastAsia" w:ascii="仿宋_GB2312" w:hAnsi="Times New Roman" w:eastAsia="仿宋_GB2312"/>
          <w:b/>
          <w:bCs/>
          <w:color w:val="auto"/>
          <w:sz w:val="32"/>
          <w:szCs w:val="28"/>
          <w:highlight w:val="none"/>
          <w:lang w:val="en-US" w:eastAsia="zh-CN"/>
        </w:rPr>
        <w:t>总体策略</w:t>
      </w:r>
    </w:p>
    <w:p w14:paraId="538A59D3">
      <w:pPr>
        <w:spacing w:line="600" w:lineRule="exact"/>
        <w:ind w:firstLine="640"/>
        <w:rPr>
          <w:color w:val="auto"/>
          <w:highlight w:val="none"/>
        </w:rPr>
      </w:pPr>
      <w:r>
        <w:rPr>
          <w:rFonts w:hint="eastAsia" w:ascii="仿宋_GB2312" w:hAnsi="宋体" w:eastAsia="仿宋_GB2312"/>
          <w:bCs/>
          <w:color w:val="auto"/>
          <w:sz w:val="32"/>
          <w:szCs w:val="28"/>
          <w:highlight w:val="none"/>
        </w:rPr>
        <w:t>健全生态环境管控体系，推动“三线一单”落地优化。结合</w:t>
      </w:r>
      <w:r>
        <w:rPr>
          <w:rFonts w:hint="eastAsia" w:ascii="仿宋_GB2312" w:hAnsi="宋体" w:eastAsia="仿宋_GB2312"/>
          <w:bCs/>
          <w:color w:val="auto"/>
          <w:sz w:val="32"/>
          <w:szCs w:val="28"/>
          <w:highlight w:val="none"/>
          <w:lang w:eastAsia="zh-CN"/>
        </w:rPr>
        <w:t>山水林田湖草沙</w:t>
      </w:r>
      <w:r>
        <w:rPr>
          <w:rFonts w:hint="eastAsia" w:ascii="仿宋_GB2312" w:hAnsi="宋体" w:eastAsia="仿宋_GB2312"/>
          <w:bCs/>
          <w:color w:val="auto"/>
          <w:sz w:val="32"/>
          <w:szCs w:val="28"/>
          <w:highlight w:val="none"/>
        </w:rPr>
        <w:t>系统修复理念，按照自然恢复为主、人工修复为辅的原则，针对盐边县水土流失、生物多样性降低、水生态退化等区域，加强对森林、草地、河流、湿地等生态资源</w:t>
      </w:r>
      <w:r>
        <w:rPr>
          <w:rFonts w:hint="eastAsia" w:ascii="仿宋_GB2312" w:hAnsi="宋体" w:eastAsia="仿宋_GB2312"/>
          <w:bCs/>
          <w:color w:val="auto"/>
          <w:sz w:val="32"/>
          <w:szCs w:val="28"/>
          <w:highlight w:val="none"/>
          <w:lang w:val="en-US" w:eastAsia="zh-CN"/>
        </w:rPr>
        <w:t>的</w:t>
      </w:r>
      <w:r>
        <w:rPr>
          <w:rFonts w:hint="eastAsia" w:ascii="仿宋_GB2312" w:hAnsi="宋体" w:eastAsia="仿宋_GB2312"/>
          <w:bCs/>
          <w:color w:val="auto"/>
          <w:sz w:val="32"/>
          <w:szCs w:val="28"/>
          <w:highlight w:val="none"/>
        </w:rPr>
        <w:t>保护</w:t>
      </w:r>
      <w:r>
        <w:rPr>
          <w:rFonts w:hint="eastAsia" w:ascii="仿宋_GB2312" w:hAnsi="宋体" w:eastAsia="仿宋_GB2312"/>
          <w:bCs/>
          <w:color w:val="auto"/>
          <w:sz w:val="32"/>
          <w:szCs w:val="28"/>
          <w:highlight w:val="none"/>
          <w:lang w:eastAsia="zh-CN"/>
        </w:rPr>
        <w:t>，</w:t>
      </w:r>
      <w:r>
        <w:rPr>
          <w:rFonts w:hint="eastAsia" w:ascii="仿宋_GB2312" w:hAnsi="宋体" w:eastAsia="仿宋_GB2312"/>
          <w:bCs/>
          <w:color w:val="auto"/>
          <w:sz w:val="32"/>
          <w:szCs w:val="28"/>
          <w:highlight w:val="none"/>
        </w:rPr>
        <w:t>使金沙江、雅砻江、安宁河等生态廊道功能得到有效提升，森林、</w:t>
      </w:r>
      <w:r>
        <w:rPr>
          <w:rFonts w:hint="eastAsia" w:ascii="仿宋_GB2312" w:hAnsi="宋体" w:eastAsia="仿宋_GB2312"/>
          <w:bCs/>
          <w:color w:val="auto"/>
          <w:sz w:val="32"/>
          <w:szCs w:val="28"/>
          <w:highlight w:val="none"/>
          <w:lang w:val="en-US" w:eastAsia="zh-CN"/>
        </w:rPr>
        <w:t>草地、</w:t>
      </w:r>
      <w:r>
        <w:rPr>
          <w:rFonts w:hint="eastAsia" w:ascii="仿宋_GB2312" w:hAnsi="宋体" w:eastAsia="仿宋_GB2312"/>
          <w:bCs/>
          <w:color w:val="auto"/>
          <w:sz w:val="32"/>
          <w:szCs w:val="28"/>
          <w:highlight w:val="none"/>
        </w:rPr>
        <w:t>河</w:t>
      </w:r>
      <w:r>
        <w:rPr>
          <w:rFonts w:hint="eastAsia" w:ascii="仿宋_GB2312" w:hAnsi="宋体" w:eastAsia="仿宋_GB2312"/>
          <w:bCs/>
          <w:color w:val="auto"/>
          <w:sz w:val="32"/>
          <w:szCs w:val="28"/>
          <w:highlight w:val="none"/>
          <w:lang w:val="en-US" w:eastAsia="zh-CN"/>
        </w:rPr>
        <w:t>流</w:t>
      </w:r>
      <w:r>
        <w:rPr>
          <w:rFonts w:hint="eastAsia" w:ascii="仿宋_GB2312" w:hAnsi="宋体" w:eastAsia="仿宋_GB2312"/>
          <w:bCs/>
          <w:color w:val="auto"/>
          <w:sz w:val="32"/>
          <w:szCs w:val="28"/>
          <w:highlight w:val="none"/>
        </w:rPr>
        <w:t>、湿地等生态系统服务功能显著提高，重要珍稀濒危野生动植物及其栖息地得到全面保护。</w:t>
      </w:r>
    </w:p>
    <w:p w14:paraId="79EC0579">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生态修复</w:t>
      </w:r>
      <w:r>
        <w:rPr>
          <w:rFonts w:hint="eastAsia" w:ascii="仿宋_GB2312" w:hAnsi="Times New Roman" w:eastAsia="仿宋_GB2312"/>
          <w:b/>
          <w:bCs/>
          <w:color w:val="auto"/>
          <w:sz w:val="32"/>
          <w:szCs w:val="28"/>
          <w:highlight w:val="none"/>
          <w:lang w:val="en-US" w:eastAsia="zh-CN"/>
        </w:rPr>
        <w:t>重点任务</w:t>
      </w:r>
    </w:p>
    <w:p w14:paraId="68DC9E04">
      <w:pPr>
        <w:spacing w:line="600" w:lineRule="exact"/>
        <w:ind w:firstLine="641"/>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到2035年，按照山水林田湖草沙生命共同体理念，坚持节约优先、保护优先、自然恢复为主的方针，</w:t>
      </w:r>
      <w:bookmarkStart w:id="79" w:name="_Hlk146120333"/>
      <w:r>
        <w:rPr>
          <w:rFonts w:hint="eastAsia" w:ascii="仿宋_GB2312" w:hAnsi="宋体" w:eastAsia="仿宋_GB2312"/>
          <w:bCs/>
          <w:color w:val="auto"/>
          <w:sz w:val="32"/>
          <w:szCs w:val="28"/>
          <w:highlight w:val="none"/>
        </w:rPr>
        <w:t>注重自然地理单元的连续性、完整性，强化规划环境影响评价引导功能。谋划部署西北部水土保持与</w:t>
      </w:r>
      <w:r>
        <w:rPr>
          <w:rFonts w:hint="eastAsia" w:ascii="仿宋_GB2312" w:hAnsi="宋体" w:eastAsia="仿宋_GB2312"/>
          <w:bCs/>
          <w:color w:val="auto"/>
          <w:sz w:val="32"/>
          <w:szCs w:val="28"/>
          <w:highlight w:val="none"/>
          <w:lang w:eastAsia="zh-CN"/>
        </w:rPr>
        <w:t>生物多样性保护重大工程</w:t>
      </w:r>
      <w:r>
        <w:rPr>
          <w:rFonts w:hint="eastAsia" w:ascii="仿宋_GB2312" w:hAnsi="宋体" w:eastAsia="仿宋_GB2312"/>
          <w:bCs/>
          <w:color w:val="auto"/>
          <w:sz w:val="32"/>
          <w:szCs w:val="28"/>
          <w:highlight w:val="none"/>
        </w:rPr>
        <w:t>、雅砻江下游水源涵养与</w:t>
      </w:r>
      <w:r>
        <w:rPr>
          <w:rFonts w:hint="eastAsia" w:ascii="仿宋_GB2312" w:hAnsi="宋体" w:eastAsia="仿宋_GB2312"/>
          <w:bCs/>
          <w:color w:val="auto"/>
          <w:sz w:val="32"/>
          <w:szCs w:val="28"/>
          <w:highlight w:val="none"/>
          <w:lang w:eastAsia="zh-CN"/>
        </w:rPr>
        <w:t>生物多样性保护重大工程</w:t>
      </w:r>
      <w:r>
        <w:rPr>
          <w:rFonts w:hint="eastAsia" w:ascii="仿宋_GB2312" w:hAnsi="宋体" w:eastAsia="仿宋_GB2312"/>
          <w:bCs/>
          <w:color w:val="auto"/>
          <w:sz w:val="32"/>
          <w:szCs w:val="28"/>
          <w:highlight w:val="none"/>
        </w:rPr>
        <w:t>、雅砻江下游水土保持与生物多样性保护重点工程、金沙江下游水土保持与生物多样性保护重点工程、矿山生态修复重点工程、生态保护修复支撑体系建设重点工程等</w:t>
      </w:r>
      <w:r>
        <w:rPr>
          <w:rFonts w:ascii="仿宋_GB2312" w:hAnsi="宋体" w:eastAsia="仿宋_GB2312"/>
          <w:bCs/>
          <w:color w:val="auto"/>
          <w:sz w:val="32"/>
          <w:szCs w:val="28"/>
          <w:highlight w:val="none"/>
        </w:rPr>
        <w:t>6</w:t>
      </w:r>
      <w:r>
        <w:rPr>
          <w:rFonts w:hint="eastAsia" w:ascii="仿宋_GB2312" w:hAnsi="宋体" w:eastAsia="仿宋_GB2312"/>
          <w:bCs/>
          <w:color w:val="auto"/>
          <w:sz w:val="32"/>
          <w:szCs w:val="28"/>
          <w:highlight w:val="none"/>
        </w:rPr>
        <w:t>个重大工程共</w:t>
      </w:r>
      <w:r>
        <w:rPr>
          <w:rFonts w:ascii="仿宋_GB2312" w:hAnsi="宋体" w:eastAsia="仿宋_GB2312"/>
          <w:bCs/>
          <w:color w:val="auto"/>
          <w:sz w:val="32"/>
          <w:szCs w:val="28"/>
          <w:highlight w:val="none"/>
        </w:rPr>
        <w:t>36</w:t>
      </w:r>
      <w:r>
        <w:rPr>
          <w:rFonts w:hint="eastAsia" w:ascii="仿宋_GB2312" w:hAnsi="宋体" w:eastAsia="仿宋_GB2312"/>
          <w:bCs/>
          <w:color w:val="auto"/>
          <w:sz w:val="32"/>
          <w:szCs w:val="28"/>
          <w:highlight w:val="none"/>
        </w:rPr>
        <w:t>个项目。合理安排时序，协同解决区域突出生态问题，恢复受损生态系统，改善生态系统质量，增强生态碳汇能力，扎实推进生物多样性保护，严守生态保护红线，锚固生态安全格局，切实筑牢长江上游生态屏障。</w:t>
      </w:r>
    </w:p>
    <w:bookmarkEnd w:id="79"/>
    <w:p w14:paraId="0BDF2311">
      <w:pPr>
        <w:pStyle w:val="7"/>
        <w:keepNext/>
        <w:keepLines/>
        <w:numPr>
          <w:ilvl w:val="0"/>
          <w:numId w:val="12"/>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80" w:name="_Toc132447827"/>
      <w:bookmarkStart w:id="81" w:name="_Toc28688"/>
      <w:bookmarkStart w:id="82" w:name="_Toc13393"/>
      <w:r>
        <w:rPr>
          <w:rFonts w:hint="eastAsia" w:ascii="黑体" w:hAnsi="黑体" w:eastAsia="黑体"/>
          <w:bCs/>
          <w:color w:val="auto"/>
          <w:sz w:val="32"/>
          <w:szCs w:val="32"/>
          <w:highlight w:val="none"/>
        </w:rPr>
        <w:t>城镇空间</w:t>
      </w:r>
      <w:bookmarkEnd w:id="80"/>
      <w:bookmarkEnd w:id="81"/>
      <w:bookmarkEnd w:id="82"/>
    </w:p>
    <w:p w14:paraId="03E6124C">
      <w:pPr>
        <w:pStyle w:val="8"/>
        <w:keepNext/>
        <w:keepLines/>
        <w:numPr>
          <w:ilvl w:val="0"/>
          <w:numId w:val="16"/>
        </w:numPr>
        <w:adjustRightInd/>
        <w:snapToGrid/>
        <w:ind w:left="0"/>
        <w:jc w:val="center"/>
        <w:rPr>
          <w:rFonts w:ascii="仿宋_GB2312" w:hAnsi="Calibri" w:eastAsia="仿宋_GB2312"/>
          <w:b/>
          <w:bCs/>
          <w:color w:val="auto"/>
          <w:highlight w:val="none"/>
        </w:rPr>
      </w:pPr>
      <w:bookmarkStart w:id="83" w:name="_Toc4808"/>
      <w:r>
        <w:rPr>
          <w:rFonts w:hint="eastAsia" w:ascii="仿宋_GB2312" w:hAnsi="Calibri" w:eastAsia="仿宋_GB2312"/>
          <w:b/>
          <w:bCs/>
          <w:color w:val="auto"/>
          <w:highlight w:val="none"/>
        </w:rPr>
        <w:t>城镇体系</w:t>
      </w:r>
      <w:bookmarkEnd w:id="83"/>
    </w:p>
    <w:p w14:paraId="2061C527">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84" w:name="_Toc122513260"/>
      <w:r>
        <w:rPr>
          <w:rFonts w:hint="eastAsia" w:ascii="仿宋_GB2312" w:hAnsi="Times New Roman" w:eastAsia="仿宋_GB2312"/>
          <w:b/>
          <w:bCs/>
          <w:color w:val="auto"/>
          <w:sz w:val="32"/>
          <w:szCs w:val="28"/>
          <w:highlight w:val="none"/>
        </w:rPr>
        <w:t>镇村体系</w:t>
      </w:r>
      <w:bookmarkEnd w:id="84"/>
      <w:r>
        <w:rPr>
          <w:rFonts w:hint="eastAsia" w:ascii="仿宋_GB2312" w:hAnsi="Times New Roman" w:eastAsia="仿宋_GB2312"/>
          <w:b/>
          <w:bCs/>
          <w:color w:val="auto"/>
          <w:sz w:val="32"/>
          <w:szCs w:val="28"/>
          <w:highlight w:val="none"/>
        </w:rPr>
        <w:t>结构</w:t>
      </w:r>
    </w:p>
    <w:p w14:paraId="3AC3807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规划形成“中心城区—中心镇—一般镇（乡）—中心村—一般村”的五级镇村体系结构（</w:t>
      </w:r>
      <w:r>
        <w:rPr>
          <w:rFonts w:hint="eastAsia" w:ascii="仿宋_GB2312" w:eastAsia="仿宋_GB2312"/>
          <w:color w:val="auto"/>
          <w:sz w:val="32"/>
          <w:szCs w:val="32"/>
          <w:highlight w:val="none"/>
          <w:lang w:val="en-US" w:eastAsia="zh-CN"/>
        </w:rPr>
        <w:t>详见</w:t>
      </w:r>
      <w:r>
        <w:rPr>
          <w:rFonts w:hint="eastAsia" w:ascii="仿宋_GB2312" w:eastAsia="仿宋_GB2312"/>
          <w:color w:val="auto"/>
          <w:sz w:val="32"/>
          <w:szCs w:val="32"/>
          <w:highlight w:val="none"/>
        </w:rPr>
        <w:t>附表12）。</w:t>
      </w:r>
    </w:p>
    <w:p w14:paraId="15EDC94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中心城区（1个）：盐边县中心城区（桐子林镇），是全县的政治、文化和配套服务中心。</w:t>
      </w:r>
    </w:p>
    <w:p w14:paraId="0BF22FD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中心镇（4个）：红格镇、渔门镇、永兴镇、国胜乡。</w:t>
      </w:r>
    </w:p>
    <w:p w14:paraId="3F5A7DDE">
      <w:pPr>
        <w:spacing w:line="600" w:lineRule="exact"/>
        <w:ind w:firstLine="640"/>
        <w:rPr>
          <w:color w:val="auto"/>
          <w:highlight w:val="none"/>
        </w:rPr>
      </w:pPr>
      <w:r>
        <w:rPr>
          <w:rFonts w:hint="eastAsia" w:ascii="仿宋_GB2312" w:eastAsia="仿宋_GB2312"/>
          <w:color w:val="auto"/>
          <w:sz w:val="32"/>
          <w:szCs w:val="32"/>
          <w:highlight w:val="none"/>
        </w:rPr>
        <w:t>一般镇（乡）（7个）：新九镇、惠民镇、红果彝族乡、共和乡、温泉彝族乡、格萨拉彝族乡、红宝苗族彝族乡。</w:t>
      </w:r>
    </w:p>
    <w:p w14:paraId="7C3B9929">
      <w:pPr>
        <w:spacing w:line="600" w:lineRule="exact"/>
        <w:ind w:firstLine="640"/>
        <w:rPr>
          <w:color w:val="auto"/>
          <w:highlight w:val="none"/>
        </w:rPr>
      </w:pPr>
      <w:r>
        <w:rPr>
          <w:rFonts w:hint="eastAsia" w:ascii="仿宋_GB2312" w:eastAsia="仿宋_GB2312"/>
          <w:color w:val="auto"/>
          <w:sz w:val="32"/>
          <w:szCs w:val="32"/>
          <w:highlight w:val="none"/>
        </w:rPr>
        <w:t>中心村（</w:t>
      </w:r>
      <w:r>
        <w:rPr>
          <w:rFonts w:ascii="仿宋_GB2312" w:eastAsia="仿宋_GB2312"/>
          <w:color w:val="auto"/>
          <w:sz w:val="32"/>
          <w:szCs w:val="32"/>
          <w:highlight w:val="none"/>
        </w:rPr>
        <w:t>32</w:t>
      </w:r>
      <w:r>
        <w:rPr>
          <w:rFonts w:hint="eastAsia" w:ascii="仿宋_GB2312" w:eastAsia="仿宋_GB2312"/>
          <w:color w:val="auto"/>
          <w:sz w:val="32"/>
          <w:szCs w:val="32"/>
          <w:highlight w:val="none"/>
        </w:rPr>
        <w:t>个）：红格村、联合村、金沙村、新民村、金河村、花地村、新坝村、安宁村等。</w:t>
      </w:r>
    </w:p>
    <w:p w14:paraId="6CA79F2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一般村：除中心村外的其他村。</w:t>
      </w:r>
    </w:p>
    <w:p w14:paraId="75E8DE6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85" w:name="_Toc122513261"/>
      <w:r>
        <w:rPr>
          <w:rFonts w:hint="eastAsia" w:ascii="仿宋_GB2312" w:hAnsi="Times New Roman" w:eastAsia="仿宋_GB2312"/>
          <w:b/>
          <w:bCs/>
          <w:color w:val="auto"/>
          <w:sz w:val="32"/>
          <w:szCs w:val="28"/>
          <w:highlight w:val="none"/>
        </w:rPr>
        <w:t>城乡职能结构</w:t>
      </w:r>
      <w:bookmarkEnd w:id="85"/>
    </w:p>
    <w:p w14:paraId="074CDD50">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依据城镇经济发展动力及地域资源特色，将县域乡镇划分为综合服务型、旅游服务型、农业服务型、工业服务型和生态保护型等五类城镇职能。</w:t>
      </w:r>
    </w:p>
    <w:p w14:paraId="7CA651F3">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确定综合服务型乡镇2个：桐子林镇（中心城区），渔门镇；</w:t>
      </w:r>
    </w:p>
    <w:p w14:paraId="40996F8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确定旅游服务型乡镇</w:t>
      </w:r>
      <w:r>
        <w:rPr>
          <w:rFonts w:ascii="仿宋_GB2312" w:eastAsia="仿宋_GB2312"/>
          <w:color w:val="auto"/>
          <w:sz w:val="32"/>
          <w:szCs w:val="32"/>
          <w:highlight w:val="none"/>
        </w:rPr>
        <w:t>4</w:t>
      </w:r>
      <w:r>
        <w:rPr>
          <w:rFonts w:hint="eastAsia" w:ascii="仿宋_GB2312" w:eastAsia="仿宋_GB2312"/>
          <w:color w:val="auto"/>
          <w:sz w:val="32"/>
          <w:szCs w:val="32"/>
          <w:highlight w:val="none"/>
        </w:rPr>
        <w:t>个：红格镇、温泉彝族乡、国胜乡、格萨拉彝族乡；</w:t>
      </w:r>
    </w:p>
    <w:p w14:paraId="280D9F1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确定农业服务型乡镇</w:t>
      </w:r>
      <w:r>
        <w:rPr>
          <w:rFonts w:ascii="仿宋_GB2312" w:eastAsia="仿宋_GB2312"/>
          <w:color w:val="auto"/>
          <w:sz w:val="32"/>
          <w:szCs w:val="32"/>
          <w:highlight w:val="none"/>
        </w:rPr>
        <w:t>3</w:t>
      </w:r>
      <w:r>
        <w:rPr>
          <w:rFonts w:hint="eastAsia" w:ascii="仿宋_GB2312" w:eastAsia="仿宋_GB2312"/>
          <w:color w:val="auto"/>
          <w:sz w:val="32"/>
          <w:szCs w:val="32"/>
          <w:highlight w:val="none"/>
        </w:rPr>
        <w:t>个：惠民镇、永兴镇、红果彝族乡；</w:t>
      </w:r>
    </w:p>
    <w:p w14:paraId="32141C6C">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确定工业服务型乡镇1个：新九镇；</w:t>
      </w:r>
    </w:p>
    <w:p w14:paraId="25A6B56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确定生态保护型乡镇2个：红宝苗族彝族乡、共和乡。</w:t>
      </w:r>
    </w:p>
    <w:p w14:paraId="5906532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城镇化发展路径</w:t>
      </w:r>
    </w:p>
    <w:p w14:paraId="57144427">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推进以县城为重要载体的新型城镇化建设，强化县城综合服务功能，主动融入都市区建设。立足中心城区、红格镇、渔门镇等推动人口集聚。提高综合经济实力，推动人口逐渐回流；提高生活性价比，留住外来和回流劳动力；不断提高居民素质，优化区域人口结构；积极应对人口老龄化，加快养老服务体系建设；完善城镇等级体系，推动城镇协调发展；加快户籍制度改革，推动农村人口有序落户；完善社会保障体系，推进城乡公共服务</w:t>
      </w:r>
      <w:r>
        <w:rPr>
          <w:rFonts w:hint="eastAsia" w:ascii="仿宋_GB2312" w:eastAsia="仿宋_GB2312"/>
          <w:color w:val="auto"/>
          <w:sz w:val="32"/>
          <w:szCs w:val="32"/>
          <w:highlight w:val="none"/>
          <w:lang w:val="en-US" w:eastAsia="zh-CN"/>
        </w:rPr>
        <w:t>均衡</w:t>
      </w:r>
      <w:r>
        <w:rPr>
          <w:rFonts w:hint="eastAsia" w:ascii="仿宋_GB2312" w:eastAsia="仿宋_GB2312"/>
          <w:color w:val="auto"/>
          <w:sz w:val="32"/>
          <w:szCs w:val="32"/>
          <w:highlight w:val="none"/>
        </w:rPr>
        <w:t>化</w:t>
      </w:r>
      <w:r>
        <w:rPr>
          <w:rFonts w:hint="eastAsia" w:ascii="仿宋_GB2312" w:eastAsia="仿宋_GB2312"/>
          <w:color w:val="auto"/>
          <w:sz w:val="32"/>
          <w:szCs w:val="32"/>
          <w:highlight w:val="none"/>
          <w:lang w:val="en-US" w:eastAsia="zh-CN"/>
        </w:rPr>
        <w:t>发展</w:t>
      </w:r>
      <w:r>
        <w:rPr>
          <w:rFonts w:hint="eastAsia" w:ascii="仿宋_GB2312" w:eastAsia="仿宋_GB2312"/>
          <w:color w:val="auto"/>
          <w:sz w:val="32"/>
          <w:szCs w:val="32"/>
          <w:highlight w:val="none"/>
        </w:rPr>
        <w:t>。预测至2025年，盐边县产业发展初具效应，初步实现户籍人口回流引入，常住人口由现状的17.88万人增长至18万人，至2035年，盐边康养、钒钛产业发展基本稳定，考虑产业工人和康养人口，结合带眷系数，全县常住人口不低于19万人。预测至2025年，全县城镇化率达38%，至2035年，全县城镇化率达到53%。</w:t>
      </w:r>
    </w:p>
    <w:p w14:paraId="0258752D">
      <w:pPr>
        <w:pStyle w:val="8"/>
        <w:keepNext/>
        <w:keepLines/>
        <w:numPr>
          <w:ilvl w:val="0"/>
          <w:numId w:val="16"/>
        </w:numPr>
        <w:adjustRightInd/>
        <w:snapToGrid/>
        <w:ind w:left="0"/>
        <w:jc w:val="center"/>
        <w:rPr>
          <w:rFonts w:ascii="仿宋_GB2312" w:hAnsi="Calibri" w:eastAsia="仿宋_GB2312"/>
          <w:b/>
          <w:bCs/>
          <w:color w:val="auto"/>
          <w:highlight w:val="none"/>
        </w:rPr>
      </w:pPr>
      <w:bookmarkStart w:id="86" w:name="_Toc29578"/>
      <w:r>
        <w:rPr>
          <w:rFonts w:hint="eastAsia" w:ascii="仿宋_GB2312" w:hAnsi="Calibri" w:eastAsia="仿宋_GB2312"/>
          <w:b/>
          <w:bCs/>
          <w:color w:val="auto"/>
          <w:highlight w:val="none"/>
        </w:rPr>
        <w:t>产城融合发展</w:t>
      </w:r>
      <w:bookmarkEnd w:id="86"/>
    </w:p>
    <w:p w14:paraId="7C5DE67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建设钒钛创新发展基地，打造主导产业</w:t>
      </w:r>
    </w:p>
    <w:p w14:paraId="03B467E5">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以工业强县战略为牵引，聚力发展“绿色采选、清洁能源、钒钛新材料、高端耐磨铸造”四大核心主导产业，努力构建特色鲜明、优势明显、竞争力强的现代化体系。依托新九镇产业基础，打造盐边钒钛产业开发区。重点聚焦“钒钛及新材料产业、钒钛化工产业、高端耐磨铸造产业”三大产业，并加快发展“循环经济产业、</w:t>
      </w:r>
      <w:r>
        <w:rPr>
          <w:rFonts w:hint="eastAsia" w:ascii="仿宋_GB2312" w:hAnsi="宋体" w:eastAsia="仿宋_GB2312"/>
          <w:color w:val="auto"/>
          <w:sz w:val="32"/>
          <w:szCs w:val="32"/>
          <w:highlight w:val="none"/>
          <w:lang w:eastAsia="zh-CN"/>
        </w:rPr>
        <w:t>生产性服务业</w:t>
      </w:r>
      <w:r>
        <w:rPr>
          <w:rFonts w:hint="eastAsia" w:ascii="仿宋_GB2312" w:hAnsi="宋体" w:eastAsia="仿宋_GB2312"/>
          <w:color w:val="auto"/>
          <w:sz w:val="32"/>
          <w:szCs w:val="32"/>
          <w:highlight w:val="none"/>
        </w:rPr>
        <w:t>”两大配套产业，整体形成“3+2”的盐边钒钛产业开发区产业体系。</w:t>
      </w:r>
    </w:p>
    <w:p w14:paraId="37A6BA1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落实攀枝花钒钛化工园区（安宁片区）布局</w:t>
      </w:r>
    </w:p>
    <w:p w14:paraId="590F67D0">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传导落实攀枝花钒钛化工园区“一区三片”空间布局，于盐边钒钛产业开发区中布局攀枝花钒钛化工园区（安宁片区），规划面积2</w:t>
      </w:r>
      <w:r>
        <w:rPr>
          <w:rFonts w:ascii="仿宋_GB2312" w:hAnsi="宋体" w:eastAsia="仿宋_GB2312"/>
          <w:color w:val="auto"/>
          <w:sz w:val="32"/>
          <w:szCs w:val="32"/>
          <w:highlight w:val="none"/>
        </w:rPr>
        <w:t>.82</w:t>
      </w:r>
      <w:r>
        <w:rPr>
          <w:rFonts w:hint="eastAsia" w:ascii="仿宋_GB2312" w:hAnsi="宋体" w:eastAsia="仿宋_GB2312"/>
          <w:color w:val="auto"/>
          <w:sz w:val="32"/>
          <w:szCs w:val="32"/>
          <w:highlight w:val="none"/>
        </w:rPr>
        <w:t>平方千米，东至四平山、对门梁子，南至钛兴路，西至老鹰岩沟、干沟，北至菠萝果树沟、石观音沟。园区重点发展钒钛产业、绿色化工等产业。</w:t>
      </w:r>
    </w:p>
    <w:p w14:paraId="52A050FD">
      <w:pPr>
        <w:spacing w:line="600" w:lineRule="exact"/>
        <w:ind w:firstLine="640"/>
        <w:rPr>
          <w:rFonts w:ascii="仿宋_GB2312" w:hAnsi="宋体" w:eastAsia="仿宋_GB2312"/>
          <w:color w:val="auto"/>
          <w:sz w:val="32"/>
          <w:szCs w:val="32"/>
          <w:highlight w:val="none"/>
          <w:u w:val="single"/>
        </w:rPr>
      </w:pPr>
      <w:r>
        <w:rPr>
          <w:rFonts w:hint="eastAsia" w:ascii="仿宋_GB2312" w:hAnsi="宋体" w:eastAsia="仿宋_GB2312"/>
          <w:color w:val="auto"/>
          <w:sz w:val="32"/>
          <w:szCs w:val="32"/>
          <w:highlight w:val="none"/>
          <w:u w:val="single"/>
        </w:rPr>
        <w:t>化工园区应严格产业准入、安全准入、环境准入，全面贯彻和落实国家和省关于安全生产、生态环境保护各类法律法规和政策要求，应严格按照《化工园区开发建设导则》</w:t>
      </w:r>
      <w:r>
        <w:rPr>
          <w:rFonts w:hint="eastAsia" w:ascii="仿宋_GB2312" w:hAnsi="仿宋_GB2312" w:eastAsia="仿宋_GB2312" w:cs="仿宋_GB2312"/>
          <w:color w:val="auto"/>
          <w:sz w:val="32"/>
          <w:szCs w:val="32"/>
          <w:highlight w:val="none"/>
          <w:u w:val="single"/>
        </w:rPr>
        <w:t>（GB/T42078—2022）</w:t>
      </w:r>
      <w:r>
        <w:rPr>
          <w:rFonts w:hint="eastAsia" w:ascii="仿宋_GB2312" w:hAnsi="宋体" w:eastAsia="仿宋_GB2312"/>
          <w:color w:val="auto"/>
          <w:sz w:val="32"/>
          <w:szCs w:val="32"/>
          <w:highlight w:val="none"/>
          <w:u w:val="single"/>
        </w:rPr>
        <w:t>《化工园区安全风险排查治理导则（试行）》等规范标准要求进行布局规划，并开展安全、应急、消防、环保等专项规划。合理设置危险品运输通道，减少危化品运输对城市的影响，保证城市的安全运行和人民群众的生命财产安全。</w:t>
      </w:r>
    </w:p>
    <w:p w14:paraId="6D6B035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大力发展清洁能源循环经济产业</w:t>
      </w:r>
    </w:p>
    <w:p w14:paraId="289DFE33">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围绕碳达峰碳中和目标，大力发展风电、光电、氢能产业，加快建设清洁能源基地和水电消纳示范区，争创省级绿色能源</w:t>
      </w:r>
      <w:r>
        <w:rPr>
          <w:rFonts w:hint="eastAsia" w:ascii="仿宋_GB2312" w:hAnsi="宋体" w:eastAsia="仿宋_GB2312"/>
          <w:color w:val="auto"/>
          <w:sz w:val="32"/>
          <w:szCs w:val="32"/>
          <w:highlight w:val="none"/>
          <w:lang w:val="en-US" w:eastAsia="zh-CN"/>
        </w:rPr>
        <w:t>基地</w:t>
      </w:r>
      <w:r>
        <w:rPr>
          <w:rFonts w:hint="eastAsia" w:ascii="仿宋_GB2312" w:hAnsi="宋体" w:eastAsia="仿宋_GB2312"/>
          <w:color w:val="auto"/>
          <w:sz w:val="32"/>
          <w:szCs w:val="32"/>
          <w:highlight w:val="none"/>
        </w:rPr>
        <w:t>。做好太阳能光伏、风能发电项目建设。提升电力输送能力，加快变电站、输电线路、塔台建设。积极发展绿色循环经济，提高矿业资源绿色循环利用效率，鼓励企业通过技术创新和设备引进，提高开采回采率、选矿回收率、矿产综合利用率和现代化作业水平，实现钒钛磁铁矿中伴生的铬、钪、镍、钴、镓、铜等稀贵金属的产业化、规模化回收利用，形成产业贡献突出、技术装备先进、吸纳就业能力强、健康有序发展的资源综合利用产业体系。</w:t>
      </w:r>
    </w:p>
    <w:p w14:paraId="33DF455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加快构建阳光康养产业体系</w:t>
      </w:r>
    </w:p>
    <w:p w14:paraId="003AFDC4">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衔接落实《巴蜀文化旅游走廊建设规划》《四川省建设世界重要旅游目的地规划》《四川省“十四五”文化和旅游发展规划》和攀枝花市、盐边县文旅相关规划，打造高品质阳光康养旅居地</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全面融入大香格里拉区域旅游环线。按照“差异化特色康养产业发展区”功能布局，坚持突出优势、协同推进、全域发展思路，推进“康养+运动”“康养+文旅”“康养+农业”“康养+医疗”“康养+工业”深度融合发展，加快形成层次分明、布局合理、多业融合的康养产业体系，大力发展运动康养、旅游康养、居家康养、医养结合新业态，发展“康养进乡村”“康养进社区”新路径，持续打响“冬日暖阳、夏季清凉”康养品牌，着力构建“全域化布局、全龄化服务、全时段开发”的康养新格局。</w:t>
      </w:r>
    </w:p>
    <w:p w14:paraId="142F8A79">
      <w:pPr>
        <w:pStyle w:val="8"/>
        <w:keepNext/>
        <w:keepLines/>
        <w:numPr>
          <w:ilvl w:val="0"/>
          <w:numId w:val="16"/>
        </w:numPr>
        <w:adjustRightInd/>
        <w:snapToGrid/>
        <w:ind w:left="0"/>
        <w:jc w:val="center"/>
        <w:rPr>
          <w:rFonts w:ascii="仿宋_GB2312" w:hAnsi="Calibri" w:eastAsia="仿宋_GB2312"/>
          <w:b/>
          <w:bCs/>
          <w:color w:val="auto"/>
          <w:highlight w:val="none"/>
        </w:rPr>
      </w:pPr>
      <w:bookmarkStart w:id="87" w:name="_Toc2482"/>
      <w:r>
        <w:rPr>
          <w:rFonts w:hint="eastAsia" w:ascii="仿宋_GB2312" w:hAnsi="Calibri" w:eastAsia="仿宋_GB2312"/>
          <w:b/>
          <w:bCs/>
          <w:color w:val="auto"/>
          <w:highlight w:val="none"/>
        </w:rPr>
        <w:t>城乡公共服务设施配置</w:t>
      </w:r>
      <w:bookmarkEnd w:id="87"/>
    </w:p>
    <w:p w14:paraId="1C4A4D92">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明确公共服务设施布局标准，构建城乡生活圈</w:t>
      </w:r>
    </w:p>
    <w:p w14:paraId="54425715">
      <w:pPr>
        <w:spacing w:line="600" w:lineRule="exact"/>
        <w:ind w:firstLine="640"/>
        <w:rPr>
          <w:rFonts w:ascii="仿宋_GB2312" w:eastAsia="仿宋_GB2312" w:hAnsiTheme="minorEastAsia"/>
          <w:color w:val="auto"/>
          <w:sz w:val="32"/>
          <w:szCs w:val="32"/>
          <w:highlight w:val="none"/>
        </w:rPr>
      </w:pPr>
      <w:r>
        <w:rPr>
          <w:rFonts w:hint="eastAsia" w:ascii="仿宋_GB2312" w:eastAsia="仿宋_GB2312" w:hAnsiTheme="minorEastAsia"/>
          <w:color w:val="auto"/>
          <w:sz w:val="32"/>
          <w:szCs w:val="32"/>
          <w:highlight w:val="none"/>
        </w:rPr>
        <w:t>传导《攀枝花市国土空间总体规划（2021—2035年）》确定的城乡公共服务设施体系，构建“县级—乡镇级—村</w:t>
      </w:r>
      <w:r>
        <w:rPr>
          <w:rFonts w:hint="eastAsia" w:ascii="仿宋_GB2312" w:eastAsia="仿宋_GB2312" w:hAnsiTheme="minorEastAsia"/>
          <w:color w:val="auto"/>
          <w:sz w:val="32"/>
          <w:szCs w:val="32"/>
          <w:highlight w:val="none"/>
          <w:lang w:eastAsia="zh-CN"/>
        </w:rPr>
        <w:t>（</w:t>
      </w:r>
      <w:r>
        <w:rPr>
          <w:rFonts w:hint="eastAsia" w:ascii="仿宋_GB2312" w:eastAsia="仿宋_GB2312" w:hAnsiTheme="minorEastAsia"/>
          <w:color w:val="auto"/>
          <w:sz w:val="32"/>
          <w:szCs w:val="32"/>
          <w:highlight w:val="none"/>
          <w:lang w:val="en-US" w:eastAsia="zh-CN"/>
        </w:rPr>
        <w:t>社区</w:t>
      </w:r>
      <w:r>
        <w:rPr>
          <w:rFonts w:hint="eastAsia" w:ascii="仿宋_GB2312" w:eastAsia="仿宋_GB2312" w:hAnsiTheme="minorEastAsia"/>
          <w:color w:val="auto"/>
          <w:sz w:val="32"/>
          <w:szCs w:val="32"/>
          <w:highlight w:val="none"/>
          <w:lang w:eastAsia="zh-CN"/>
        </w:rPr>
        <w:t>）</w:t>
      </w:r>
      <w:r>
        <w:rPr>
          <w:rFonts w:hint="eastAsia" w:ascii="仿宋_GB2312" w:eastAsia="仿宋_GB2312" w:hAnsiTheme="minorEastAsia"/>
          <w:color w:val="auto"/>
          <w:sz w:val="32"/>
          <w:szCs w:val="32"/>
          <w:highlight w:val="none"/>
        </w:rPr>
        <w:t>级”三级公共服务设施体系，包含政务服务设施、文化设施、体育设施、教育设施、医疗卫生设施、社会福利设施和殡葬设施。不断提升公共服务精准供给能力，增强公共服务的均衡性。</w:t>
      </w:r>
    </w:p>
    <w:p w14:paraId="26973AE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分级分类确定城乡公共设施配置标准</w:t>
      </w:r>
    </w:p>
    <w:p w14:paraId="1C1DCE84">
      <w:pPr>
        <w:spacing w:line="600" w:lineRule="exact"/>
        <w:ind w:firstLine="640"/>
        <w:rPr>
          <w:rFonts w:ascii="仿宋_GB2312" w:eastAsia="仿宋_GB2312" w:hAnsiTheme="minorEastAsia"/>
          <w:color w:val="auto"/>
          <w:sz w:val="32"/>
          <w:szCs w:val="32"/>
          <w:highlight w:val="none"/>
          <w:u w:val="single"/>
        </w:rPr>
      </w:pPr>
      <w:r>
        <w:rPr>
          <w:rFonts w:hint="eastAsia" w:ascii="仿宋_GB2312" w:eastAsia="仿宋_GB2312" w:hAnsiTheme="minorEastAsia"/>
          <w:color w:val="auto"/>
          <w:sz w:val="32"/>
          <w:szCs w:val="32"/>
          <w:highlight w:val="none"/>
          <w:u w:val="single"/>
        </w:rPr>
        <w:t>根据《城市公共设施规划规范（GB50442—2015）》《社区生活圈规划技术指南（TD/T1062—2021）》《四川省村级规划编制指南》（2021年修订版）和国家、四川省、攀枝花市关于公共服务设施配置标准的相关要求，确定城乡公共设施配置标准。</w:t>
      </w:r>
    </w:p>
    <w:p w14:paraId="6E8D7C37">
      <w:pPr>
        <w:spacing w:line="600" w:lineRule="exact"/>
        <w:ind w:firstLine="640"/>
        <w:rPr>
          <w:rFonts w:ascii="仿宋_GB2312" w:eastAsia="仿宋_GB2312" w:hAnsiTheme="minorEastAsia"/>
          <w:color w:val="auto"/>
          <w:sz w:val="32"/>
          <w:szCs w:val="32"/>
          <w:highlight w:val="none"/>
        </w:rPr>
      </w:pPr>
      <w:r>
        <w:rPr>
          <w:rFonts w:hint="eastAsia" w:ascii="仿宋_GB2312" w:eastAsia="仿宋_GB2312" w:hAnsiTheme="minorEastAsia"/>
          <w:color w:val="auto"/>
          <w:sz w:val="32"/>
          <w:szCs w:val="32"/>
          <w:highlight w:val="none"/>
        </w:rPr>
        <w:t>坚持“弹性配置”的原则，根据人口规模设定最低配置标准，活化利用原有设施和闲置设施；有条件的地区可结合自身实际和经济发展适当提高配置标准。</w:t>
      </w:r>
    </w:p>
    <w:p w14:paraId="5AC9D0C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推动县域公共服务设施布局优化、品质提升</w:t>
      </w:r>
    </w:p>
    <w:p w14:paraId="567931BD">
      <w:pPr>
        <w:spacing w:line="600" w:lineRule="exact"/>
        <w:ind w:firstLine="640"/>
        <w:rPr>
          <w:rFonts w:hint="eastAsia" w:ascii="仿宋_GB2312" w:hAnsi="Calibri" w:eastAsia="仿宋_GB2312" w:cs="Calibri"/>
          <w:color w:val="auto"/>
          <w:sz w:val="32"/>
          <w:szCs w:val="32"/>
          <w:highlight w:val="none"/>
        </w:rPr>
      </w:pPr>
      <w:r>
        <w:rPr>
          <w:rFonts w:hint="eastAsia" w:ascii="仿宋_GB2312" w:eastAsia="仿宋_GB2312" w:cs="Calibri"/>
          <w:b/>
          <w:bCs/>
          <w:color w:val="auto"/>
          <w:sz w:val="32"/>
          <w:szCs w:val="32"/>
          <w:highlight w:val="none"/>
          <w:lang w:val="en-US" w:eastAsia="zh-CN"/>
        </w:rPr>
        <w:t>机关团体用地。</w:t>
      </w:r>
      <w:r>
        <w:rPr>
          <w:rFonts w:hint="eastAsia" w:ascii="仿宋_GB2312" w:hAnsi="Calibri" w:eastAsia="仿宋_GB2312" w:cs="Calibri"/>
          <w:color w:val="auto"/>
          <w:sz w:val="32"/>
          <w:szCs w:val="32"/>
          <w:highlight w:val="none"/>
        </w:rPr>
        <w:t>按照便民高效原则，优化基层政务服务资源配置，合理布局便民服务设施、派出所、法治阵地、社区服务中心等，化解政务服务供需矛盾，打通服务企业群众的通道。</w:t>
      </w:r>
    </w:p>
    <w:p w14:paraId="16DAB7D4">
      <w:pPr>
        <w:spacing w:line="600" w:lineRule="exact"/>
        <w:ind w:firstLine="640"/>
        <w:rPr>
          <w:rFonts w:eastAsia="仿宋_GB2312" w:cs="Calibri"/>
          <w:color w:val="auto"/>
          <w:sz w:val="32"/>
          <w:szCs w:val="32"/>
          <w:highlight w:val="none"/>
        </w:rPr>
      </w:pPr>
      <w:r>
        <w:rPr>
          <w:rFonts w:hint="eastAsia" w:ascii="仿宋_GB2312" w:eastAsia="仿宋_GB2312" w:cs="Calibri"/>
          <w:b/>
          <w:bCs/>
          <w:color w:val="auto"/>
          <w:sz w:val="32"/>
          <w:szCs w:val="32"/>
          <w:highlight w:val="none"/>
        </w:rPr>
        <w:t>文化设施</w:t>
      </w:r>
      <w:r>
        <w:rPr>
          <w:rFonts w:hint="eastAsia" w:ascii="仿宋_GB2312" w:eastAsia="仿宋_GB2312" w:cs="Calibri"/>
          <w:b/>
          <w:bCs/>
          <w:color w:val="auto"/>
          <w:sz w:val="32"/>
          <w:szCs w:val="32"/>
          <w:highlight w:val="none"/>
          <w:lang w:eastAsia="zh-CN"/>
        </w:rPr>
        <w:t>。</w:t>
      </w:r>
      <w:r>
        <w:rPr>
          <w:rFonts w:hint="eastAsia" w:ascii="仿宋_GB2312" w:eastAsia="仿宋_GB2312" w:cs="Calibri"/>
          <w:color w:val="auto"/>
          <w:sz w:val="32"/>
          <w:szCs w:val="32"/>
          <w:highlight w:val="none"/>
        </w:rPr>
        <w:t>建立健全县级、乡镇级和村</w:t>
      </w:r>
      <w:r>
        <w:rPr>
          <w:rFonts w:hint="eastAsia" w:ascii="仿宋_GB2312" w:eastAsia="仿宋_GB2312" w:cs="Calibri"/>
          <w:color w:val="auto"/>
          <w:sz w:val="32"/>
          <w:szCs w:val="32"/>
          <w:highlight w:val="none"/>
          <w:lang w:eastAsia="zh-CN"/>
        </w:rPr>
        <w:t>（</w:t>
      </w:r>
      <w:r>
        <w:rPr>
          <w:rFonts w:hint="eastAsia" w:ascii="仿宋_GB2312" w:eastAsia="仿宋_GB2312" w:cs="Calibri"/>
          <w:color w:val="auto"/>
          <w:sz w:val="32"/>
          <w:szCs w:val="32"/>
          <w:highlight w:val="none"/>
          <w:lang w:val="en-US" w:eastAsia="zh-CN"/>
        </w:rPr>
        <w:t>社区</w:t>
      </w:r>
      <w:r>
        <w:rPr>
          <w:rFonts w:hint="eastAsia" w:ascii="仿宋_GB2312" w:eastAsia="仿宋_GB2312" w:cs="Calibri"/>
          <w:color w:val="auto"/>
          <w:sz w:val="32"/>
          <w:szCs w:val="32"/>
          <w:highlight w:val="none"/>
          <w:lang w:eastAsia="zh-CN"/>
        </w:rPr>
        <w:t>）</w:t>
      </w:r>
      <w:r>
        <w:rPr>
          <w:rFonts w:hint="eastAsia" w:ascii="仿宋_GB2312" w:eastAsia="仿宋_GB2312" w:cs="Calibri"/>
          <w:color w:val="auto"/>
          <w:sz w:val="32"/>
          <w:szCs w:val="32"/>
          <w:highlight w:val="none"/>
        </w:rPr>
        <w:t>级三级文化设施体系。加强各级公共图书馆、展览馆、文化馆等公共文化设施建设。推动公共图书馆达到国家二级及以上标准，文化馆达到国家一级标准。各乡镇配置综合性文化服务中心，按需配置</w:t>
      </w:r>
      <w:r>
        <w:rPr>
          <w:rFonts w:hint="eastAsia" w:ascii="仿宋_GB2312" w:hAnsi="微软雅黑" w:eastAsia="仿宋_GB2312" w:cs="微软雅黑"/>
          <w:color w:val="auto"/>
          <w:sz w:val="32"/>
          <w:szCs w:val="32"/>
          <w:highlight w:val="none"/>
        </w:rPr>
        <w:t>阅</w:t>
      </w:r>
      <w:r>
        <w:rPr>
          <w:rFonts w:hint="eastAsia" w:ascii="仿宋_GB2312" w:eastAsia="仿宋_GB2312" w:cs="Calibri"/>
          <w:color w:val="auto"/>
          <w:sz w:val="32"/>
          <w:szCs w:val="32"/>
          <w:highlight w:val="none"/>
        </w:rPr>
        <w:t>览室（展示室）。</w:t>
      </w:r>
      <w:r>
        <w:rPr>
          <w:rFonts w:hint="eastAsia" w:ascii="仿宋_GB2312" w:eastAsia="仿宋_GB2312" w:cs="Calibri"/>
          <w:color w:val="auto"/>
          <w:sz w:val="32"/>
          <w:szCs w:val="32"/>
          <w:highlight w:val="none"/>
          <w:u w:val="single"/>
        </w:rPr>
        <w:t>社区按照每</w:t>
      </w:r>
      <w:r>
        <w:rPr>
          <w:rFonts w:hint="eastAsia" w:ascii="仿宋_GB2312" w:eastAsia="仿宋_GB2312" w:cs="Calibri"/>
          <w:color w:val="auto"/>
          <w:sz w:val="32"/>
          <w:szCs w:val="32"/>
          <w:highlight w:val="none"/>
          <w:u w:val="single"/>
          <w:lang w:eastAsia="zh-CN"/>
        </w:rPr>
        <w:t>1～1.5万</w:t>
      </w:r>
      <w:r>
        <w:rPr>
          <w:rFonts w:hint="eastAsia" w:ascii="仿宋_GB2312" w:eastAsia="仿宋_GB2312" w:cs="Calibri"/>
          <w:color w:val="auto"/>
          <w:sz w:val="32"/>
          <w:szCs w:val="32"/>
          <w:highlight w:val="none"/>
          <w:u w:val="single"/>
        </w:rPr>
        <w:t>人设置一处基层综合文化活动站，中心村和一般村配置文化服务（活动）室，按需配置</w:t>
      </w:r>
      <w:r>
        <w:rPr>
          <w:rFonts w:hint="eastAsia" w:ascii="仿宋_GB2312" w:hAnsi="微软雅黑" w:eastAsia="仿宋_GB2312" w:cs="微软雅黑"/>
          <w:color w:val="auto"/>
          <w:sz w:val="32"/>
          <w:szCs w:val="32"/>
          <w:highlight w:val="none"/>
          <w:u w:val="single"/>
        </w:rPr>
        <w:t>阅</w:t>
      </w:r>
      <w:r>
        <w:rPr>
          <w:rFonts w:hint="eastAsia" w:ascii="仿宋_GB2312" w:eastAsia="仿宋_GB2312" w:cs="Calibri"/>
          <w:color w:val="auto"/>
          <w:sz w:val="32"/>
          <w:szCs w:val="32"/>
          <w:highlight w:val="none"/>
          <w:u w:val="single"/>
        </w:rPr>
        <w:t>览室</w:t>
      </w:r>
      <w:r>
        <w:rPr>
          <w:rFonts w:hint="eastAsia" w:eastAsia="仿宋_GB2312" w:cs="Calibri"/>
          <w:color w:val="auto"/>
          <w:sz w:val="32"/>
          <w:szCs w:val="32"/>
          <w:highlight w:val="none"/>
          <w:u w:val="single"/>
        </w:rPr>
        <w:t>。</w:t>
      </w:r>
      <w:r>
        <w:rPr>
          <w:rFonts w:hint="eastAsia" w:ascii="仿宋_GB2312" w:eastAsia="仿宋_GB2312" w:hAnsiTheme="minorEastAsia"/>
          <w:color w:val="auto"/>
          <w:sz w:val="32"/>
          <w:szCs w:val="32"/>
          <w:highlight w:val="none"/>
        </w:rPr>
        <w:t>鼓励有条件的中心镇提高标准，建设县级文化馆分馆、县级图书馆分馆。鼓励各</w:t>
      </w:r>
      <w:r>
        <w:rPr>
          <w:rFonts w:hint="eastAsia" w:ascii="仿宋_GB2312" w:eastAsia="仿宋_GB2312" w:hAnsiTheme="minorEastAsia"/>
          <w:color w:val="auto"/>
          <w:sz w:val="32"/>
          <w:szCs w:val="32"/>
          <w:highlight w:val="none"/>
          <w:lang w:val="en-US" w:eastAsia="zh-CN"/>
        </w:rPr>
        <w:t>乡</w:t>
      </w:r>
      <w:r>
        <w:rPr>
          <w:rFonts w:hint="eastAsia" w:ascii="仿宋_GB2312" w:eastAsia="仿宋_GB2312" w:hAnsiTheme="minorEastAsia"/>
          <w:color w:val="auto"/>
          <w:sz w:val="32"/>
          <w:szCs w:val="32"/>
          <w:highlight w:val="none"/>
        </w:rPr>
        <w:t>镇根据自身历史文化、功能产业及资源禀赋，探索新兴文化功能的植入，有针对性地配建博物馆、展览馆、演出场馆等文化设施。</w:t>
      </w:r>
    </w:p>
    <w:p w14:paraId="6CAC5716">
      <w:pPr>
        <w:spacing w:line="600" w:lineRule="exact"/>
        <w:ind w:firstLine="640"/>
        <w:rPr>
          <w:rFonts w:ascii="仿宋_GB2312" w:eastAsia="仿宋_GB2312" w:hAnsiTheme="minorEastAsia"/>
          <w:color w:val="auto"/>
          <w:sz w:val="32"/>
          <w:szCs w:val="32"/>
          <w:highlight w:val="none"/>
        </w:rPr>
      </w:pPr>
      <w:r>
        <w:rPr>
          <w:rFonts w:hint="eastAsia" w:ascii="仿宋_GB2312" w:eastAsia="仿宋_GB2312" w:hAnsiTheme="minorEastAsia"/>
          <w:b/>
          <w:bCs/>
          <w:color w:val="auto"/>
          <w:sz w:val="32"/>
          <w:szCs w:val="32"/>
          <w:highlight w:val="none"/>
        </w:rPr>
        <w:t>体育设施</w:t>
      </w:r>
      <w:r>
        <w:rPr>
          <w:rFonts w:hint="eastAsia" w:ascii="仿宋_GB2312" w:eastAsia="仿宋_GB2312" w:hAnsiTheme="minorEastAsia"/>
          <w:b/>
          <w:bCs/>
          <w:color w:val="auto"/>
          <w:sz w:val="32"/>
          <w:szCs w:val="32"/>
          <w:highlight w:val="none"/>
          <w:lang w:eastAsia="zh-CN"/>
        </w:rPr>
        <w:t>。</w:t>
      </w:r>
      <w:r>
        <w:rPr>
          <w:rFonts w:hint="eastAsia" w:ascii="仿宋_GB2312" w:eastAsia="仿宋_GB2312" w:hAnsiTheme="minorEastAsia"/>
          <w:color w:val="auto"/>
          <w:sz w:val="32"/>
          <w:szCs w:val="32"/>
          <w:highlight w:val="none"/>
        </w:rPr>
        <w:t>建立县级、乡镇级和村</w:t>
      </w:r>
      <w:r>
        <w:rPr>
          <w:rFonts w:hint="eastAsia" w:ascii="仿宋_GB2312" w:eastAsia="仿宋_GB2312" w:hAnsiTheme="minorEastAsia"/>
          <w:color w:val="auto"/>
          <w:sz w:val="32"/>
          <w:szCs w:val="32"/>
          <w:highlight w:val="none"/>
          <w:lang w:eastAsia="zh-CN"/>
        </w:rPr>
        <w:t>（</w:t>
      </w:r>
      <w:r>
        <w:rPr>
          <w:rFonts w:hint="eastAsia" w:ascii="仿宋_GB2312" w:eastAsia="仿宋_GB2312" w:hAnsiTheme="minorEastAsia"/>
          <w:color w:val="auto"/>
          <w:sz w:val="32"/>
          <w:szCs w:val="32"/>
          <w:highlight w:val="none"/>
          <w:lang w:val="en-US" w:eastAsia="zh-CN"/>
        </w:rPr>
        <w:t>社区</w:t>
      </w:r>
      <w:r>
        <w:rPr>
          <w:rFonts w:hint="eastAsia" w:ascii="仿宋_GB2312" w:eastAsia="仿宋_GB2312" w:hAnsiTheme="minorEastAsia"/>
          <w:color w:val="auto"/>
          <w:sz w:val="32"/>
          <w:szCs w:val="32"/>
          <w:highlight w:val="none"/>
          <w:lang w:eastAsia="zh-CN"/>
        </w:rPr>
        <w:t>）</w:t>
      </w:r>
      <w:r>
        <w:rPr>
          <w:rFonts w:hint="eastAsia" w:ascii="仿宋_GB2312" w:eastAsia="仿宋_GB2312" w:hAnsiTheme="minorEastAsia"/>
          <w:color w:val="auto"/>
          <w:sz w:val="32"/>
          <w:szCs w:val="32"/>
          <w:highlight w:val="none"/>
        </w:rPr>
        <w:t>级三级体育设施体系，完善公共体育设施建设。</w:t>
      </w:r>
      <w:r>
        <w:rPr>
          <w:rFonts w:hint="eastAsia" w:ascii="仿宋_GB2312" w:eastAsia="仿宋_GB2312" w:hAnsiTheme="minorEastAsia"/>
          <w:color w:val="auto"/>
          <w:sz w:val="32"/>
          <w:szCs w:val="32"/>
          <w:highlight w:val="none"/>
          <w:u w:val="none"/>
        </w:rPr>
        <w:t>县级根据人口规模</w:t>
      </w:r>
      <w:r>
        <w:rPr>
          <w:rFonts w:ascii="仿宋_GB2312" w:eastAsia="仿宋_GB2312" w:hAnsiTheme="minorEastAsia"/>
          <w:color w:val="auto"/>
          <w:sz w:val="32"/>
          <w:szCs w:val="32"/>
          <w:highlight w:val="none"/>
          <w:u w:val="none"/>
        </w:rPr>
        <w:t>建设</w:t>
      </w:r>
      <w:r>
        <w:rPr>
          <w:rFonts w:hint="eastAsia" w:ascii="仿宋_GB2312" w:eastAsia="仿宋_GB2312" w:hAnsiTheme="minorEastAsia"/>
          <w:color w:val="auto"/>
          <w:sz w:val="32"/>
          <w:szCs w:val="32"/>
          <w:highlight w:val="none"/>
          <w:u w:val="none"/>
        </w:rPr>
        <w:t>1个</w:t>
      </w:r>
      <w:r>
        <w:rPr>
          <w:rFonts w:ascii="仿宋_GB2312" w:eastAsia="仿宋_GB2312" w:hAnsiTheme="minorEastAsia"/>
          <w:color w:val="auto"/>
          <w:sz w:val="32"/>
          <w:szCs w:val="32"/>
          <w:highlight w:val="none"/>
          <w:u w:val="none"/>
        </w:rPr>
        <w:t>公共体育</w:t>
      </w:r>
      <w:r>
        <w:rPr>
          <w:rFonts w:hint="eastAsia" w:ascii="仿宋_GB2312" w:eastAsia="仿宋_GB2312" w:hAnsiTheme="minorEastAsia"/>
          <w:color w:val="auto"/>
          <w:sz w:val="32"/>
          <w:szCs w:val="32"/>
          <w:highlight w:val="none"/>
          <w:u w:val="none"/>
        </w:rPr>
        <w:t>馆、1个</w:t>
      </w:r>
      <w:r>
        <w:rPr>
          <w:rFonts w:ascii="仿宋_GB2312" w:eastAsia="仿宋_GB2312" w:hAnsiTheme="minorEastAsia"/>
          <w:color w:val="auto"/>
          <w:sz w:val="32"/>
          <w:szCs w:val="32"/>
          <w:highlight w:val="none"/>
          <w:u w:val="none"/>
        </w:rPr>
        <w:t>多功能运动场、</w:t>
      </w:r>
      <w:r>
        <w:rPr>
          <w:rFonts w:hint="eastAsia" w:ascii="仿宋_GB2312" w:eastAsia="仿宋_GB2312" w:hAnsiTheme="minorEastAsia"/>
          <w:color w:val="auto"/>
          <w:sz w:val="32"/>
          <w:szCs w:val="32"/>
          <w:highlight w:val="none"/>
          <w:u w:val="none"/>
        </w:rPr>
        <w:t>1个县级全民</w:t>
      </w:r>
      <w:r>
        <w:rPr>
          <w:rFonts w:ascii="仿宋_GB2312" w:eastAsia="仿宋_GB2312" w:hAnsiTheme="minorEastAsia"/>
          <w:color w:val="auto"/>
          <w:sz w:val="32"/>
          <w:szCs w:val="32"/>
          <w:highlight w:val="none"/>
          <w:u w:val="none"/>
        </w:rPr>
        <w:t>健身中心</w:t>
      </w:r>
      <w:r>
        <w:rPr>
          <w:rFonts w:hint="eastAsia" w:ascii="仿宋_GB2312" w:eastAsia="仿宋_GB2312" w:hAnsiTheme="minorEastAsia"/>
          <w:color w:val="auto"/>
          <w:sz w:val="32"/>
          <w:szCs w:val="32"/>
          <w:highlight w:val="none"/>
          <w:u w:val="none"/>
        </w:rPr>
        <w:t>，选建</w:t>
      </w:r>
      <w:r>
        <w:rPr>
          <w:rFonts w:ascii="仿宋_GB2312" w:eastAsia="仿宋_GB2312" w:hAnsiTheme="minorEastAsia"/>
          <w:color w:val="auto"/>
          <w:sz w:val="32"/>
          <w:szCs w:val="32"/>
          <w:highlight w:val="none"/>
          <w:u w:val="none"/>
        </w:rPr>
        <w:t>游泳馆、健身广场</w:t>
      </w:r>
      <w:r>
        <w:rPr>
          <w:rFonts w:hint="eastAsia" w:ascii="仿宋_GB2312" w:eastAsia="仿宋_GB2312" w:hAnsiTheme="minorEastAsia"/>
          <w:color w:val="auto"/>
          <w:sz w:val="32"/>
          <w:szCs w:val="32"/>
          <w:highlight w:val="none"/>
          <w:u w:val="none"/>
        </w:rPr>
        <w:t>，结合道路</w:t>
      </w:r>
      <w:r>
        <w:rPr>
          <w:rFonts w:ascii="仿宋_GB2312" w:eastAsia="仿宋_GB2312" w:hAnsiTheme="minorEastAsia"/>
          <w:color w:val="auto"/>
          <w:sz w:val="32"/>
          <w:szCs w:val="32"/>
          <w:highlight w:val="none"/>
          <w:u w:val="none"/>
        </w:rPr>
        <w:t>和</w:t>
      </w:r>
      <w:r>
        <w:rPr>
          <w:rFonts w:hint="eastAsia" w:ascii="仿宋_GB2312" w:eastAsia="仿宋_GB2312" w:hAnsiTheme="minorEastAsia"/>
          <w:color w:val="auto"/>
          <w:sz w:val="32"/>
          <w:szCs w:val="32"/>
          <w:highlight w:val="none"/>
          <w:u w:val="none"/>
        </w:rPr>
        <w:t>慢行</w:t>
      </w:r>
      <w:r>
        <w:rPr>
          <w:rFonts w:ascii="仿宋_GB2312" w:eastAsia="仿宋_GB2312" w:hAnsiTheme="minorEastAsia"/>
          <w:color w:val="auto"/>
          <w:sz w:val="32"/>
          <w:szCs w:val="32"/>
          <w:highlight w:val="none"/>
          <w:u w:val="none"/>
        </w:rPr>
        <w:t>网络</w:t>
      </w:r>
      <w:r>
        <w:rPr>
          <w:rFonts w:hint="eastAsia" w:ascii="仿宋_GB2312" w:eastAsia="仿宋_GB2312" w:hAnsiTheme="minorEastAsia"/>
          <w:color w:val="auto"/>
          <w:sz w:val="32"/>
          <w:szCs w:val="32"/>
          <w:highlight w:val="none"/>
          <w:u w:val="none"/>
        </w:rPr>
        <w:t>完善</w:t>
      </w:r>
      <w:r>
        <w:rPr>
          <w:rFonts w:ascii="仿宋_GB2312" w:eastAsia="仿宋_GB2312" w:hAnsiTheme="minorEastAsia"/>
          <w:color w:val="auto"/>
          <w:sz w:val="32"/>
          <w:szCs w:val="32"/>
          <w:highlight w:val="none"/>
          <w:u w:val="none"/>
        </w:rPr>
        <w:t>健身步道</w:t>
      </w:r>
      <w:r>
        <w:rPr>
          <w:rFonts w:hint="eastAsia" w:ascii="仿宋_GB2312" w:eastAsia="仿宋_GB2312" w:hAnsiTheme="minorEastAsia"/>
          <w:color w:val="auto"/>
          <w:sz w:val="32"/>
          <w:szCs w:val="32"/>
          <w:highlight w:val="none"/>
          <w:u w:val="none"/>
        </w:rPr>
        <w:t>、</w:t>
      </w:r>
      <w:r>
        <w:rPr>
          <w:rFonts w:ascii="仿宋_GB2312" w:eastAsia="仿宋_GB2312" w:hAnsiTheme="minorEastAsia"/>
          <w:color w:val="auto"/>
          <w:sz w:val="32"/>
          <w:szCs w:val="32"/>
          <w:highlight w:val="none"/>
          <w:u w:val="none"/>
        </w:rPr>
        <w:t>骑行</w:t>
      </w:r>
      <w:r>
        <w:rPr>
          <w:rFonts w:hint="eastAsia" w:ascii="仿宋_GB2312" w:eastAsia="仿宋_GB2312" w:hAnsiTheme="minorEastAsia"/>
          <w:color w:val="auto"/>
          <w:sz w:val="32"/>
          <w:szCs w:val="32"/>
          <w:highlight w:val="none"/>
          <w:u w:val="none"/>
        </w:rPr>
        <w:t>绿道</w:t>
      </w:r>
      <w:r>
        <w:rPr>
          <w:rFonts w:ascii="仿宋_GB2312" w:eastAsia="仿宋_GB2312" w:hAnsiTheme="minorEastAsia"/>
          <w:color w:val="auto"/>
          <w:sz w:val="32"/>
          <w:szCs w:val="32"/>
          <w:highlight w:val="none"/>
          <w:u w:val="none"/>
        </w:rPr>
        <w:t>等全民健身场地及设施</w:t>
      </w:r>
      <w:r>
        <w:rPr>
          <w:rFonts w:hint="eastAsia" w:ascii="仿宋_GB2312" w:eastAsia="仿宋_GB2312" w:hAnsiTheme="minorEastAsia"/>
          <w:color w:val="auto"/>
          <w:sz w:val="32"/>
          <w:szCs w:val="32"/>
          <w:highlight w:val="none"/>
          <w:u w:val="none"/>
        </w:rPr>
        <w:t>。各乡镇新建</w:t>
      </w:r>
      <w:r>
        <w:rPr>
          <w:rFonts w:ascii="仿宋_GB2312" w:eastAsia="仿宋_GB2312" w:hAnsiTheme="minorEastAsia"/>
          <w:color w:val="auto"/>
          <w:sz w:val="32"/>
          <w:szCs w:val="32"/>
          <w:highlight w:val="none"/>
          <w:u w:val="none"/>
        </w:rPr>
        <w:t>或改扩建</w:t>
      </w:r>
      <w:r>
        <w:rPr>
          <w:rFonts w:hint="eastAsia" w:ascii="仿宋_GB2312" w:eastAsia="仿宋_GB2312" w:hAnsiTheme="minorEastAsia"/>
          <w:color w:val="auto"/>
          <w:sz w:val="32"/>
          <w:szCs w:val="32"/>
          <w:highlight w:val="none"/>
          <w:u w:val="none"/>
        </w:rPr>
        <w:t>1个全民</w:t>
      </w:r>
      <w:r>
        <w:rPr>
          <w:rFonts w:ascii="仿宋_GB2312" w:eastAsia="仿宋_GB2312" w:hAnsiTheme="minorEastAsia"/>
          <w:color w:val="auto"/>
          <w:sz w:val="32"/>
          <w:szCs w:val="32"/>
          <w:highlight w:val="none"/>
          <w:u w:val="none"/>
        </w:rPr>
        <w:t>健身中心</w:t>
      </w:r>
      <w:r>
        <w:rPr>
          <w:rFonts w:hint="eastAsia" w:ascii="仿宋_GB2312" w:eastAsia="仿宋_GB2312" w:hAnsiTheme="minorEastAsia"/>
          <w:color w:val="auto"/>
          <w:sz w:val="32"/>
          <w:szCs w:val="32"/>
          <w:highlight w:val="none"/>
          <w:u w:val="none"/>
        </w:rPr>
        <w:t>或</w:t>
      </w:r>
      <w:r>
        <w:rPr>
          <w:rFonts w:ascii="仿宋_GB2312" w:eastAsia="仿宋_GB2312" w:hAnsiTheme="minorEastAsia"/>
          <w:color w:val="auto"/>
          <w:sz w:val="32"/>
          <w:szCs w:val="32"/>
          <w:highlight w:val="none"/>
          <w:u w:val="none"/>
        </w:rPr>
        <w:t>多功能运动场，面积不低于</w:t>
      </w:r>
      <w:r>
        <w:rPr>
          <w:rFonts w:hint="eastAsia" w:ascii="仿宋_GB2312" w:eastAsia="仿宋_GB2312" w:hAnsiTheme="minorEastAsia"/>
          <w:color w:val="auto"/>
          <w:sz w:val="32"/>
          <w:szCs w:val="32"/>
          <w:highlight w:val="none"/>
          <w:u w:val="none"/>
        </w:rPr>
        <w:t>2</w:t>
      </w:r>
      <w:r>
        <w:rPr>
          <w:rFonts w:ascii="仿宋_GB2312" w:eastAsia="仿宋_GB2312" w:hAnsiTheme="minorEastAsia"/>
          <w:color w:val="auto"/>
          <w:sz w:val="32"/>
          <w:szCs w:val="32"/>
          <w:highlight w:val="none"/>
          <w:u w:val="none"/>
        </w:rPr>
        <w:t>000</w:t>
      </w:r>
      <w:r>
        <w:rPr>
          <w:rFonts w:hint="eastAsia" w:ascii="仿宋_GB2312" w:eastAsia="仿宋_GB2312" w:hAnsiTheme="minorEastAsia"/>
          <w:color w:val="auto"/>
          <w:sz w:val="32"/>
          <w:szCs w:val="32"/>
          <w:highlight w:val="none"/>
          <w:u w:val="none"/>
        </w:rPr>
        <w:t>平方米</w:t>
      </w:r>
      <w:r>
        <w:rPr>
          <w:rFonts w:ascii="仿宋_GB2312" w:eastAsia="仿宋_GB2312" w:hAnsiTheme="minorEastAsia"/>
          <w:color w:val="auto"/>
          <w:sz w:val="32"/>
          <w:szCs w:val="32"/>
          <w:highlight w:val="none"/>
          <w:u w:val="none"/>
        </w:rPr>
        <w:t>，</w:t>
      </w:r>
      <w:r>
        <w:rPr>
          <w:rFonts w:hint="eastAsia" w:ascii="仿宋_GB2312" w:eastAsia="仿宋_GB2312" w:hAnsiTheme="minorEastAsia"/>
          <w:color w:val="auto"/>
          <w:sz w:val="32"/>
          <w:szCs w:val="32"/>
          <w:highlight w:val="none"/>
          <w:u w:val="none"/>
        </w:rPr>
        <w:t>新建居住区严格落实室内人均建筑面积不低于0.1平方米或室外人均用地不低于0.3平方米的标准配建全民健身设施的要求。</w:t>
      </w:r>
      <w:r>
        <w:rPr>
          <w:rFonts w:hint="eastAsia" w:ascii="Times New Roman" w:hAnsi="Times New Roman" w:eastAsia="仿宋_GB2312"/>
          <w:color w:val="auto"/>
          <w:sz w:val="32"/>
          <w:szCs w:val="24"/>
          <w:highlight w:val="none"/>
        </w:rPr>
        <w:t>已建成居住区无全民健身场地设施的或现有场地设施未达到规划建设标准的，因地制宜配建室外综合健身场地设施。</w:t>
      </w:r>
    </w:p>
    <w:p w14:paraId="20EAFA46">
      <w:pPr>
        <w:spacing w:line="600" w:lineRule="exact"/>
        <w:ind w:firstLine="640"/>
        <w:rPr>
          <w:rFonts w:ascii="仿宋_GB2312" w:eastAsia="仿宋_GB2312" w:hAnsiTheme="minorEastAsia"/>
          <w:color w:val="auto"/>
          <w:sz w:val="32"/>
          <w:szCs w:val="32"/>
          <w:highlight w:val="none"/>
        </w:rPr>
      </w:pPr>
      <w:r>
        <w:rPr>
          <w:rFonts w:hint="eastAsia" w:ascii="Times New Roman" w:hAnsi="Times New Roman" w:eastAsia="仿宋_GB2312"/>
          <w:b/>
          <w:bCs/>
          <w:color w:val="auto"/>
          <w:sz w:val="32"/>
          <w:szCs w:val="24"/>
          <w:highlight w:val="none"/>
        </w:rPr>
        <w:t>教育设施</w:t>
      </w:r>
      <w:r>
        <w:rPr>
          <w:rFonts w:hint="eastAsia" w:ascii="Times New Roman" w:hAnsi="Times New Roman" w:eastAsia="仿宋_GB2312"/>
          <w:b/>
          <w:bCs/>
          <w:color w:val="auto"/>
          <w:sz w:val="32"/>
          <w:szCs w:val="24"/>
          <w:highlight w:val="none"/>
          <w:lang w:eastAsia="zh-CN"/>
        </w:rPr>
        <w:t>。</w:t>
      </w:r>
      <w:r>
        <w:rPr>
          <w:rFonts w:hint="eastAsia" w:ascii="仿宋_GB2312" w:eastAsia="仿宋_GB2312" w:hAnsiTheme="minorEastAsia"/>
          <w:color w:val="auto"/>
          <w:sz w:val="32"/>
          <w:szCs w:val="32"/>
          <w:highlight w:val="none"/>
          <w:u w:val="none"/>
        </w:rPr>
        <w:t>中心</w:t>
      </w:r>
      <w:r>
        <w:rPr>
          <w:rFonts w:ascii="仿宋_GB2312" w:eastAsia="仿宋_GB2312" w:hAnsiTheme="minorEastAsia"/>
          <w:color w:val="auto"/>
          <w:sz w:val="32"/>
          <w:szCs w:val="32"/>
          <w:highlight w:val="none"/>
          <w:u w:val="none"/>
        </w:rPr>
        <w:t>城区结合城市更新加强和完善学前教育、义务教育和普通高中设施布局</w:t>
      </w:r>
      <w:r>
        <w:rPr>
          <w:rFonts w:hint="eastAsia" w:ascii="仿宋_GB2312" w:eastAsia="仿宋_GB2312" w:hAnsiTheme="minorEastAsia"/>
          <w:color w:val="auto"/>
          <w:sz w:val="32"/>
          <w:szCs w:val="32"/>
          <w:highlight w:val="none"/>
          <w:u w:val="none"/>
        </w:rPr>
        <w:t>，小学服务半径原则上不大于500米；中学服务半径原则上为800～1000米；幼儿园服务半径原则上不宜大于300米。中心镇按需配置高中，中心镇和一般镇按照向镇区或片区集中原则配置一所初中，向人口集聚区配置一所小学，小学和初中可统筹设置为九年一贯制义务教育学校，按就近原则至少设置一所中心幼儿园；</w:t>
      </w:r>
      <w:r>
        <w:rPr>
          <w:rFonts w:hint="eastAsia" w:ascii="仿宋_GB2312" w:eastAsia="仿宋_GB2312" w:hAnsiTheme="minorEastAsia"/>
          <w:color w:val="auto"/>
          <w:sz w:val="32"/>
          <w:szCs w:val="32"/>
          <w:highlight w:val="none"/>
          <w:u w:val="none"/>
          <w:lang w:val="en-US" w:eastAsia="zh-CN"/>
        </w:rPr>
        <w:t>各村（社区）</w:t>
      </w:r>
      <w:r>
        <w:rPr>
          <w:rFonts w:hint="eastAsia" w:ascii="仿宋_GB2312" w:eastAsia="仿宋_GB2312" w:hAnsiTheme="minorEastAsia"/>
          <w:color w:val="auto"/>
          <w:sz w:val="32"/>
          <w:szCs w:val="32"/>
          <w:highlight w:val="none"/>
          <w:u w:val="none"/>
        </w:rPr>
        <w:t>按需配置小学和幼儿园</w:t>
      </w:r>
      <w:r>
        <w:rPr>
          <w:rFonts w:hint="eastAsia" w:ascii="仿宋_GB2312" w:eastAsia="仿宋_GB2312" w:hAnsiTheme="minorEastAsia"/>
          <w:color w:val="auto"/>
          <w:sz w:val="32"/>
          <w:szCs w:val="32"/>
          <w:highlight w:val="none"/>
          <w:u w:val="none"/>
          <w:lang w:eastAsia="zh-CN"/>
        </w:rPr>
        <w:t>，</w:t>
      </w:r>
      <w:r>
        <w:rPr>
          <w:rFonts w:hint="eastAsia" w:ascii="仿宋_GB2312" w:eastAsia="仿宋_GB2312" w:hAnsiTheme="minorEastAsia"/>
          <w:color w:val="auto"/>
          <w:sz w:val="32"/>
          <w:szCs w:val="32"/>
          <w:highlight w:val="none"/>
          <w:u w:val="none"/>
          <w:lang w:val="en-US" w:eastAsia="zh-CN"/>
        </w:rPr>
        <w:t>并可考虑</w:t>
      </w:r>
      <w:r>
        <w:rPr>
          <w:rFonts w:hint="eastAsia" w:ascii="仿宋_GB2312" w:eastAsia="仿宋_GB2312" w:hAnsiTheme="minorEastAsia"/>
          <w:color w:val="auto"/>
          <w:sz w:val="32"/>
          <w:szCs w:val="32"/>
          <w:highlight w:val="none"/>
          <w:u w:val="none"/>
        </w:rPr>
        <w:t>相邻村联合设置。</w:t>
      </w:r>
    </w:p>
    <w:p w14:paraId="7C30ABAD">
      <w:pPr>
        <w:spacing w:line="600" w:lineRule="exact"/>
        <w:ind w:firstLine="640"/>
        <w:rPr>
          <w:rFonts w:ascii="仿宋_GB2312" w:eastAsia="仿宋_GB2312" w:hAnsiTheme="minorEastAsia"/>
          <w:color w:val="auto"/>
          <w:sz w:val="32"/>
          <w:szCs w:val="32"/>
          <w:highlight w:val="none"/>
        </w:rPr>
      </w:pPr>
      <w:r>
        <w:rPr>
          <w:rFonts w:hint="eastAsia" w:ascii="Times New Roman" w:hAnsi="Times New Roman" w:eastAsia="仿宋_GB2312"/>
          <w:b/>
          <w:bCs/>
          <w:color w:val="auto"/>
          <w:sz w:val="32"/>
          <w:szCs w:val="24"/>
          <w:highlight w:val="none"/>
        </w:rPr>
        <w:t>医疗卫生设施</w:t>
      </w:r>
      <w:r>
        <w:rPr>
          <w:rFonts w:hint="eastAsia" w:ascii="Times New Roman" w:hAnsi="Times New Roman" w:eastAsia="仿宋_GB2312"/>
          <w:b/>
          <w:bCs/>
          <w:color w:val="auto"/>
          <w:sz w:val="32"/>
          <w:szCs w:val="24"/>
          <w:highlight w:val="none"/>
          <w:lang w:eastAsia="zh-CN"/>
        </w:rPr>
        <w:t>。</w:t>
      </w:r>
      <w:r>
        <w:rPr>
          <w:rFonts w:hint="eastAsia" w:ascii="仿宋_GB2312" w:eastAsia="仿宋_GB2312" w:hAnsiTheme="minorEastAsia"/>
          <w:color w:val="auto"/>
          <w:sz w:val="32"/>
          <w:szCs w:val="32"/>
          <w:highlight w:val="none"/>
        </w:rPr>
        <w:t>建立县级、乡镇级、村</w:t>
      </w:r>
      <w:r>
        <w:rPr>
          <w:rFonts w:hint="eastAsia" w:ascii="仿宋_GB2312" w:eastAsia="仿宋_GB2312" w:hAnsiTheme="minorEastAsia"/>
          <w:color w:val="auto"/>
          <w:sz w:val="32"/>
          <w:szCs w:val="32"/>
          <w:highlight w:val="none"/>
          <w:lang w:eastAsia="zh-CN"/>
        </w:rPr>
        <w:t>（</w:t>
      </w:r>
      <w:r>
        <w:rPr>
          <w:rFonts w:hint="eastAsia" w:ascii="仿宋_GB2312" w:eastAsia="仿宋_GB2312" w:hAnsiTheme="minorEastAsia"/>
          <w:color w:val="auto"/>
          <w:sz w:val="32"/>
          <w:szCs w:val="32"/>
          <w:highlight w:val="none"/>
          <w:lang w:val="en-US" w:eastAsia="zh-CN"/>
        </w:rPr>
        <w:t>社区</w:t>
      </w:r>
      <w:r>
        <w:rPr>
          <w:rFonts w:hint="eastAsia" w:ascii="仿宋_GB2312" w:eastAsia="仿宋_GB2312" w:hAnsiTheme="minorEastAsia"/>
          <w:color w:val="auto"/>
          <w:sz w:val="32"/>
          <w:szCs w:val="32"/>
          <w:highlight w:val="none"/>
          <w:lang w:eastAsia="zh-CN"/>
        </w:rPr>
        <w:t>）</w:t>
      </w:r>
      <w:r>
        <w:rPr>
          <w:rFonts w:hint="eastAsia" w:ascii="仿宋_GB2312" w:eastAsia="仿宋_GB2312" w:hAnsiTheme="minorEastAsia"/>
          <w:color w:val="auto"/>
          <w:sz w:val="32"/>
          <w:szCs w:val="32"/>
          <w:highlight w:val="none"/>
        </w:rPr>
        <w:t>级三级</w:t>
      </w:r>
      <w:r>
        <w:rPr>
          <w:rFonts w:hint="eastAsia" w:ascii="仿宋_GB2312" w:eastAsia="仿宋_GB2312" w:hAnsiTheme="minorEastAsia"/>
          <w:color w:val="auto"/>
          <w:sz w:val="32"/>
          <w:szCs w:val="32"/>
          <w:highlight w:val="none"/>
          <w:lang w:eastAsia="zh-CN"/>
        </w:rPr>
        <w:t>医疗卫生服务体系</w:t>
      </w:r>
      <w:r>
        <w:rPr>
          <w:rFonts w:hint="eastAsia" w:ascii="仿宋_GB2312" w:eastAsia="仿宋_GB2312" w:hAnsiTheme="minorEastAsia"/>
          <w:color w:val="auto"/>
          <w:sz w:val="32"/>
          <w:szCs w:val="32"/>
          <w:highlight w:val="none"/>
        </w:rPr>
        <w:t>。提升城市医疗服务能力，</w:t>
      </w:r>
      <w:r>
        <w:rPr>
          <w:rFonts w:hint="eastAsia" w:ascii="仿宋_GB2312" w:eastAsia="仿宋_GB2312" w:hAnsiTheme="minorEastAsia"/>
          <w:color w:val="auto"/>
          <w:sz w:val="32"/>
          <w:szCs w:val="32"/>
          <w:highlight w:val="none"/>
          <w:u w:val="none"/>
        </w:rPr>
        <w:t>规划设置</w:t>
      </w:r>
      <w:r>
        <w:rPr>
          <w:rFonts w:hint="eastAsia" w:ascii="仿宋_GB2312" w:eastAsia="仿宋_GB2312" w:hAnsiTheme="minorEastAsia"/>
          <w:color w:val="auto"/>
          <w:sz w:val="32"/>
          <w:szCs w:val="32"/>
          <w:highlight w:val="none"/>
          <w:u w:val="none"/>
          <w:lang w:eastAsia="zh-CN"/>
        </w:rPr>
        <w:t>2</w:t>
      </w:r>
      <w:r>
        <w:rPr>
          <w:rFonts w:hint="eastAsia" w:ascii="仿宋_GB2312" w:eastAsia="仿宋_GB2312" w:hAnsiTheme="minorEastAsia"/>
          <w:color w:val="auto"/>
          <w:sz w:val="32"/>
          <w:szCs w:val="32"/>
          <w:highlight w:val="none"/>
          <w:u w:val="none"/>
        </w:rPr>
        <w:t>个县级综合医院、1个中医类医院和1个妇幼保健机构。鼓励县级公立医院达到二级甲等水平，争创三级乙等水平。各</w:t>
      </w:r>
      <w:r>
        <w:rPr>
          <w:rFonts w:hint="eastAsia" w:ascii="仿宋_GB2312" w:eastAsia="仿宋_GB2312" w:hAnsiTheme="minorEastAsia"/>
          <w:color w:val="auto"/>
          <w:sz w:val="32"/>
          <w:szCs w:val="32"/>
          <w:highlight w:val="none"/>
          <w:u w:val="none"/>
          <w:lang w:val="en-US" w:eastAsia="zh-CN"/>
        </w:rPr>
        <w:t>乡</w:t>
      </w:r>
      <w:r>
        <w:rPr>
          <w:rFonts w:hint="eastAsia" w:ascii="仿宋_GB2312" w:eastAsia="仿宋_GB2312" w:hAnsiTheme="minorEastAsia"/>
          <w:color w:val="auto"/>
          <w:sz w:val="32"/>
          <w:szCs w:val="32"/>
          <w:highlight w:val="none"/>
          <w:u w:val="none"/>
        </w:rPr>
        <w:t>镇</w:t>
      </w:r>
      <w:r>
        <w:rPr>
          <w:rFonts w:ascii="仿宋_GB2312" w:eastAsia="仿宋_GB2312" w:hAnsiTheme="minorEastAsia"/>
          <w:color w:val="auto"/>
          <w:sz w:val="32"/>
          <w:szCs w:val="32"/>
          <w:highlight w:val="none"/>
          <w:u w:val="none"/>
        </w:rPr>
        <w:t>保留</w:t>
      </w:r>
      <w:r>
        <w:rPr>
          <w:rFonts w:hint="eastAsia" w:ascii="仿宋_GB2312" w:eastAsia="仿宋_GB2312" w:hAnsiTheme="minorEastAsia"/>
          <w:color w:val="auto"/>
          <w:sz w:val="32"/>
          <w:szCs w:val="32"/>
          <w:highlight w:val="none"/>
          <w:u w:val="none"/>
        </w:rPr>
        <w:t>1所</w:t>
      </w:r>
      <w:r>
        <w:rPr>
          <w:rFonts w:ascii="仿宋_GB2312" w:eastAsia="仿宋_GB2312" w:hAnsiTheme="minorEastAsia"/>
          <w:color w:val="auto"/>
          <w:sz w:val="32"/>
          <w:szCs w:val="32"/>
          <w:highlight w:val="none"/>
          <w:u w:val="none"/>
        </w:rPr>
        <w:t>乡镇卫生院，</w:t>
      </w:r>
      <w:r>
        <w:rPr>
          <w:rFonts w:hint="eastAsia" w:ascii="仿宋_GB2312" w:eastAsia="仿宋_GB2312" w:hAnsiTheme="minorEastAsia"/>
          <w:color w:val="auto"/>
          <w:sz w:val="32"/>
          <w:szCs w:val="32"/>
          <w:highlight w:val="none"/>
          <w:u w:val="none"/>
        </w:rPr>
        <w:t>中心镇卫生院规划提档升级为县级医疗卫生次中心。各村</w:t>
      </w:r>
      <w:r>
        <w:rPr>
          <w:rFonts w:hint="eastAsia" w:ascii="仿宋_GB2312" w:eastAsia="仿宋_GB2312" w:hAnsiTheme="minorEastAsia"/>
          <w:color w:val="auto"/>
          <w:sz w:val="32"/>
          <w:szCs w:val="32"/>
          <w:highlight w:val="none"/>
          <w:u w:val="none"/>
          <w:lang w:eastAsia="zh-CN"/>
        </w:rPr>
        <w:t>（</w:t>
      </w:r>
      <w:r>
        <w:rPr>
          <w:rFonts w:hint="eastAsia" w:ascii="仿宋_GB2312" w:eastAsia="仿宋_GB2312" w:hAnsiTheme="minorEastAsia"/>
          <w:color w:val="auto"/>
          <w:sz w:val="32"/>
          <w:szCs w:val="32"/>
          <w:highlight w:val="none"/>
          <w:u w:val="none"/>
          <w:lang w:val="en-US" w:eastAsia="zh-CN"/>
        </w:rPr>
        <w:t>社区</w:t>
      </w:r>
      <w:r>
        <w:rPr>
          <w:rFonts w:hint="eastAsia" w:ascii="仿宋_GB2312" w:eastAsia="仿宋_GB2312" w:hAnsiTheme="minorEastAsia"/>
          <w:color w:val="auto"/>
          <w:sz w:val="32"/>
          <w:szCs w:val="32"/>
          <w:highlight w:val="none"/>
          <w:u w:val="none"/>
          <w:lang w:eastAsia="zh-CN"/>
        </w:rPr>
        <w:t>）</w:t>
      </w:r>
      <w:r>
        <w:rPr>
          <w:rFonts w:hint="eastAsia" w:ascii="仿宋_GB2312" w:eastAsia="仿宋_GB2312" w:hAnsiTheme="minorEastAsia"/>
          <w:color w:val="auto"/>
          <w:sz w:val="32"/>
          <w:szCs w:val="32"/>
          <w:highlight w:val="none"/>
          <w:u w:val="none"/>
        </w:rPr>
        <w:t>设置1处标准村卫生室</w:t>
      </w:r>
      <w:r>
        <w:rPr>
          <w:rFonts w:hint="eastAsia" w:ascii="仿宋_GB2312" w:eastAsia="仿宋_GB2312" w:hAnsiTheme="minorEastAsia"/>
          <w:color w:val="auto"/>
          <w:sz w:val="32"/>
          <w:szCs w:val="32"/>
          <w:highlight w:val="none"/>
        </w:rPr>
        <w:t>。</w:t>
      </w:r>
    </w:p>
    <w:p w14:paraId="23A8959C">
      <w:pPr>
        <w:spacing w:line="600" w:lineRule="exact"/>
        <w:ind w:firstLine="640"/>
        <w:rPr>
          <w:rFonts w:ascii="仿宋_GB2312" w:eastAsia="仿宋_GB2312" w:hAnsiTheme="minorEastAsia"/>
          <w:color w:val="auto"/>
          <w:sz w:val="32"/>
          <w:szCs w:val="32"/>
          <w:highlight w:val="none"/>
        </w:rPr>
      </w:pPr>
      <w:r>
        <w:rPr>
          <w:rFonts w:hint="eastAsia" w:ascii="仿宋_GB2312" w:eastAsia="仿宋_GB2312" w:hAnsiTheme="minorEastAsia"/>
          <w:b/>
          <w:bCs/>
          <w:color w:val="auto"/>
          <w:sz w:val="32"/>
          <w:szCs w:val="32"/>
          <w:highlight w:val="none"/>
        </w:rPr>
        <w:t>社会福利设施</w:t>
      </w:r>
      <w:r>
        <w:rPr>
          <w:rFonts w:hint="eastAsia" w:ascii="仿宋_GB2312" w:eastAsia="仿宋_GB2312" w:hAnsiTheme="minorEastAsia"/>
          <w:b/>
          <w:bCs/>
          <w:color w:val="auto"/>
          <w:sz w:val="32"/>
          <w:szCs w:val="32"/>
          <w:highlight w:val="none"/>
          <w:lang w:eastAsia="zh-CN"/>
        </w:rPr>
        <w:t>。</w:t>
      </w:r>
      <w:r>
        <w:rPr>
          <w:rFonts w:hint="eastAsia" w:ascii="仿宋_GB2312" w:eastAsia="仿宋_GB2312" w:hAnsiTheme="minorEastAsia"/>
          <w:color w:val="auto"/>
          <w:sz w:val="32"/>
          <w:szCs w:val="32"/>
          <w:highlight w:val="none"/>
        </w:rPr>
        <w:t>建立完善社会福利保障制度，不断提升社会救助、社会福利、优抚安置等保障水平。构建以居家养老、社区养老、机构养老相协调，医养、康养相结合的养老服务体系。</w:t>
      </w:r>
      <w:r>
        <w:rPr>
          <w:rFonts w:ascii="仿宋_GB2312" w:eastAsia="仿宋_GB2312" w:hAnsiTheme="minorEastAsia"/>
          <w:color w:val="auto"/>
          <w:sz w:val="32"/>
          <w:szCs w:val="32"/>
          <w:highlight w:val="none"/>
          <w:u w:val="none"/>
        </w:rPr>
        <w:t>结合实际需求，</w:t>
      </w:r>
      <w:r>
        <w:rPr>
          <w:rFonts w:hint="eastAsia" w:ascii="仿宋_GB2312" w:eastAsia="仿宋_GB2312" w:hAnsiTheme="minorEastAsia"/>
          <w:color w:val="auto"/>
          <w:sz w:val="32"/>
          <w:szCs w:val="32"/>
          <w:highlight w:val="none"/>
          <w:u w:val="none"/>
        </w:rPr>
        <w:t>中心镇配置农村区域养老服务中心，各乡镇配置未成年人保护工作站，各村</w:t>
      </w:r>
      <w:r>
        <w:rPr>
          <w:rFonts w:hint="eastAsia" w:ascii="仿宋_GB2312" w:eastAsia="仿宋_GB2312" w:hAnsiTheme="minorEastAsia"/>
          <w:color w:val="auto"/>
          <w:sz w:val="32"/>
          <w:szCs w:val="32"/>
          <w:highlight w:val="none"/>
          <w:u w:val="none"/>
          <w:lang w:eastAsia="zh-CN"/>
        </w:rPr>
        <w:t>（</w:t>
      </w:r>
      <w:r>
        <w:rPr>
          <w:rFonts w:hint="eastAsia" w:ascii="仿宋_GB2312" w:eastAsia="仿宋_GB2312" w:hAnsiTheme="minorEastAsia"/>
          <w:color w:val="auto"/>
          <w:sz w:val="32"/>
          <w:szCs w:val="32"/>
          <w:highlight w:val="none"/>
          <w:u w:val="none"/>
          <w:lang w:val="en-US" w:eastAsia="zh-CN"/>
        </w:rPr>
        <w:t>社区</w:t>
      </w:r>
      <w:r>
        <w:rPr>
          <w:rFonts w:hint="eastAsia" w:ascii="仿宋_GB2312" w:eastAsia="仿宋_GB2312" w:hAnsiTheme="minorEastAsia"/>
          <w:color w:val="auto"/>
          <w:sz w:val="32"/>
          <w:szCs w:val="32"/>
          <w:highlight w:val="none"/>
          <w:u w:val="none"/>
          <w:lang w:eastAsia="zh-CN"/>
        </w:rPr>
        <w:t>）</w:t>
      </w:r>
      <w:r>
        <w:rPr>
          <w:rFonts w:hint="eastAsia" w:ascii="仿宋_GB2312" w:eastAsia="仿宋_GB2312" w:hAnsiTheme="minorEastAsia"/>
          <w:color w:val="auto"/>
          <w:sz w:val="32"/>
          <w:szCs w:val="32"/>
          <w:highlight w:val="none"/>
          <w:u w:val="none"/>
        </w:rPr>
        <w:t>利用闲置公共服务设施设置互助养老点、日间照料中心和未成年人保护点。至2035年，养老机构护理型床位占比依据上级下达指标确定。</w:t>
      </w:r>
    </w:p>
    <w:p w14:paraId="5DDEA9B3">
      <w:pPr>
        <w:spacing w:line="600" w:lineRule="exact"/>
        <w:ind w:firstLine="640"/>
        <w:rPr>
          <w:rFonts w:ascii="仿宋_GB2312" w:eastAsia="仿宋_GB2312" w:hAnsiTheme="minorEastAsia"/>
          <w:color w:val="auto"/>
          <w:sz w:val="32"/>
          <w:szCs w:val="30"/>
          <w:highlight w:val="none"/>
        </w:rPr>
      </w:pPr>
      <w:r>
        <w:rPr>
          <w:rFonts w:hint="eastAsia" w:ascii="仿宋_GB2312" w:eastAsia="仿宋_GB2312" w:hAnsiTheme="minorEastAsia"/>
          <w:b/>
          <w:bCs/>
          <w:color w:val="auto"/>
          <w:sz w:val="32"/>
          <w:szCs w:val="30"/>
          <w:highlight w:val="none"/>
        </w:rPr>
        <w:t>殡葬设施</w:t>
      </w:r>
      <w:r>
        <w:rPr>
          <w:rFonts w:hint="eastAsia" w:ascii="仿宋_GB2312" w:eastAsia="仿宋_GB2312" w:hAnsiTheme="minorEastAsia"/>
          <w:b/>
          <w:bCs/>
          <w:color w:val="auto"/>
          <w:sz w:val="32"/>
          <w:szCs w:val="30"/>
          <w:highlight w:val="none"/>
          <w:lang w:eastAsia="zh-CN"/>
        </w:rPr>
        <w:t>。</w:t>
      </w:r>
      <w:r>
        <w:rPr>
          <w:rFonts w:hint="eastAsia" w:ascii="仿宋_GB2312" w:eastAsia="仿宋_GB2312" w:hAnsiTheme="minorEastAsia"/>
          <w:color w:val="auto"/>
          <w:sz w:val="32"/>
          <w:szCs w:val="30"/>
          <w:highlight w:val="none"/>
        </w:rPr>
        <w:t>加强设施建设，优化设施布局，推动形成覆盖城乡、供给充足的殡葬服务网络。规划保留现状公墓</w:t>
      </w:r>
      <w:r>
        <w:rPr>
          <w:rFonts w:hint="eastAsia" w:ascii="仿宋_GB2312" w:eastAsia="仿宋_GB2312" w:hAnsiTheme="minorEastAsia"/>
          <w:color w:val="auto"/>
          <w:sz w:val="32"/>
          <w:szCs w:val="30"/>
          <w:highlight w:val="none"/>
          <w:lang w:eastAsia="zh-CN"/>
        </w:rPr>
        <w:t>，</w:t>
      </w:r>
      <w:r>
        <w:rPr>
          <w:rFonts w:hint="eastAsia" w:ascii="仿宋_GB2312" w:eastAsia="仿宋_GB2312" w:hAnsiTheme="minorEastAsia"/>
          <w:color w:val="auto"/>
          <w:sz w:val="32"/>
          <w:szCs w:val="30"/>
          <w:highlight w:val="none"/>
        </w:rPr>
        <w:t>各村</w:t>
      </w:r>
      <w:r>
        <w:rPr>
          <w:rFonts w:hint="eastAsia" w:ascii="仿宋_GB2312" w:eastAsia="仿宋_GB2312" w:hAnsiTheme="minorEastAsia"/>
          <w:color w:val="auto"/>
          <w:sz w:val="32"/>
          <w:szCs w:val="30"/>
          <w:highlight w:val="none"/>
          <w:lang w:eastAsia="zh-CN"/>
        </w:rPr>
        <w:t>（</w:t>
      </w:r>
      <w:r>
        <w:rPr>
          <w:rFonts w:hint="eastAsia" w:ascii="仿宋_GB2312" w:eastAsia="仿宋_GB2312" w:hAnsiTheme="minorEastAsia"/>
          <w:color w:val="auto"/>
          <w:sz w:val="32"/>
          <w:szCs w:val="30"/>
          <w:highlight w:val="none"/>
          <w:lang w:val="en-US" w:eastAsia="zh-CN"/>
        </w:rPr>
        <w:t>社区</w:t>
      </w:r>
      <w:r>
        <w:rPr>
          <w:rFonts w:hint="eastAsia" w:ascii="仿宋_GB2312" w:eastAsia="仿宋_GB2312" w:hAnsiTheme="minorEastAsia"/>
          <w:color w:val="auto"/>
          <w:sz w:val="32"/>
          <w:szCs w:val="30"/>
          <w:highlight w:val="none"/>
          <w:lang w:eastAsia="zh-CN"/>
        </w:rPr>
        <w:t>）</w:t>
      </w:r>
      <w:r>
        <w:rPr>
          <w:rFonts w:hint="eastAsia" w:ascii="仿宋_GB2312" w:eastAsia="仿宋_GB2312" w:hAnsiTheme="minorEastAsia"/>
          <w:color w:val="auto"/>
          <w:sz w:val="32"/>
          <w:szCs w:val="30"/>
          <w:highlight w:val="none"/>
        </w:rPr>
        <w:t>根据老龄人口的实际情况配建公益性墓地，若无条件的可与相邻村合设。</w:t>
      </w:r>
    </w:p>
    <w:p w14:paraId="3968E3BC">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推进城乡十五分钟社区生活圈建设</w:t>
      </w:r>
    </w:p>
    <w:p w14:paraId="28D546E8">
      <w:pPr>
        <w:spacing w:line="600" w:lineRule="exact"/>
        <w:ind w:firstLine="640"/>
        <w:rPr>
          <w:rFonts w:ascii="仿宋_GB2312" w:eastAsia="仿宋_GB2312" w:hAnsiTheme="minorEastAsia"/>
          <w:color w:val="auto"/>
          <w:sz w:val="32"/>
          <w:szCs w:val="32"/>
          <w:highlight w:val="none"/>
        </w:rPr>
      </w:pPr>
      <w:r>
        <w:rPr>
          <w:rFonts w:hint="eastAsia" w:ascii="仿宋_GB2312" w:eastAsia="仿宋_GB2312" w:hAnsiTheme="minorEastAsia"/>
          <w:color w:val="auto"/>
          <w:sz w:val="32"/>
          <w:szCs w:val="32"/>
          <w:highlight w:val="none"/>
        </w:rPr>
        <w:t>提升城市生活品质，按照步行1</w:t>
      </w:r>
      <w:r>
        <w:rPr>
          <w:rFonts w:ascii="仿宋_GB2312" w:eastAsia="仿宋_GB2312" w:hAnsiTheme="minorEastAsia"/>
          <w:color w:val="auto"/>
          <w:sz w:val="32"/>
          <w:szCs w:val="32"/>
          <w:highlight w:val="none"/>
        </w:rPr>
        <w:t>5</w:t>
      </w:r>
      <w:r>
        <w:rPr>
          <w:rFonts w:hint="eastAsia" w:ascii="仿宋_GB2312" w:eastAsia="仿宋_GB2312" w:hAnsiTheme="minorEastAsia"/>
          <w:color w:val="auto"/>
          <w:sz w:val="32"/>
          <w:szCs w:val="32"/>
          <w:highlight w:val="none"/>
        </w:rPr>
        <w:t>分钟可达的原则，划定城市“优质生活圈”。鼓励建设社区综合体，形成标志性、活力型、高品质的社区中心，统筹设立幼儿园、托育点、养老服务站、卫生服务中心、体育健身设施、微型消防站、物流配送点、文化活动室等设施。加强城乡服务设施共建共享。</w:t>
      </w:r>
    </w:p>
    <w:p w14:paraId="796CB9CB">
      <w:pPr>
        <w:spacing w:line="600" w:lineRule="exact"/>
        <w:ind w:firstLine="640"/>
        <w:rPr>
          <w:rFonts w:ascii="仿宋_GB2312" w:eastAsia="仿宋_GB2312" w:hAnsiTheme="minorEastAsia"/>
          <w:color w:val="auto"/>
          <w:sz w:val="32"/>
          <w:szCs w:val="32"/>
          <w:highlight w:val="none"/>
        </w:rPr>
      </w:pPr>
      <w:r>
        <w:rPr>
          <w:rFonts w:hint="eastAsia" w:ascii="仿宋_GB2312" w:eastAsia="仿宋_GB2312" w:hAnsiTheme="minorEastAsia"/>
          <w:color w:val="auto"/>
          <w:sz w:val="32"/>
          <w:szCs w:val="32"/>
          <w:highlight w:val="none"/>
        </w:rPr>
        <w:t>补足乡村生活短板，按照车行1</w:t>
      </w:r>
      <w:r>
        <w:rPr>
          <w:rFonts w:ascii="仿宋_GB2312" w:eastAsia="仿宋_GB2312" w:hAnsiTheme="minorEastAsia"/>
          <w:color w:val="auto"/>
          <w:sz w:val="32"/>
          <w:szCs w:val="32"/>
          <w:highlight w:val="none"/>
        </w:rPr>
        <w:t>5</w:t>
      </w:r>
      <w:r>
        <w:rPr>
          <w:rFonts w:hint="eastAsia" w:ascii="仿宋_GB2312" w:eastAsia="仿宋_GB2312" w:hAnsiTheme="minorEastAsia"/>
          <w:color w:val="auto"/>
          <w:sz w:val="32"/>
          <w:szCs w:val="32"/>
          <w:highlight w:val="none"/>
        </w:rPr>
        <w:t>分钟可达原则，构建乡村“美好生活圈”。</w:t>
      </w:r>
      <w:r>
        <w:rPr>
          <w:rFonts w:hint="eastAsia" w:ascii="仿宋_GB2312" w:eastAsia="仿宋_GB2312" w:hAnsiTheme="minorEastAsia"/>
          <w:color w:val="auto"/>
          <w:sz w:val="32"/>
          <w:szCs w:val="32"/>
          <w:highlight w:val="none"/>
          <w:lang w:val="en-US" w:eastAsia="zh-CN"/>
        </w:rPr>
        <w:t>乡村</w:t>
      </w:r>
      <w:r>
        <w:rPr>
          <w:rFonts w:hint="eastAsia" w:ascii="仿宋_GB2312" w:eastAsia="仿宋_GB2312" w:hAnsiTheme="minorEastAsia"/>
          <w:color w:val="auto"/>
          <w:sz w:val="32"/>
          <w:szCs w:val="32"/>
          <w:highlight w:val="none"/>
        </w:rPr>
        <w:t>地区公共服务设施应集中布局，功能适度混合，鼓励建设社区公共服务综合体为居民提供一站式服务。结合产业发展特征，鼓励盘活低效闲置用地，加强配套农业服务、工业信息服务、旅游服务等特色设施。</w:t>
      </w:r>
    </w:p>
    <w:p w14:paraId="599F528B">
      <w:pPr>
        <w:pStyle w:val="7"/>
        <w:keepNext/>
        <w:keepLines/>
        <w:numPr>
          <w:ilvl w:val="0"/>
          <w:numId w:val="12"/>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88" w:name="_Toc132447828"/>
      <w:bookmarkStart w:id="89" w:name="_Toc9309"/>
      <w:bookmarkStart w:id="90" w:name="_Toc30003"/>
      <w:r>
        <w:rPr>
          <w:rFonts w:hint="eastAsia" w:ascii="黑体" w:hAnsi="黑体" w:eastAsia="黑体"/>
          <w:bCs/>
          <w:color w:val="auto"/>
          <w:sz w:val="32"/>
          <w:szCs w:val="32"/>
          <w:highlight w:val="none"/>
        </w:rPr>
        <w:t>安全底线</w:t>
      </w:r>
      <w:bookmarkEnd w:id="88"/>
      <w:bookmarkEnd w:id="89"/>
      <w:bookmarkEnd w:id="90"/>
    </w:p>
    <w:p w14:paraId="3D616B9C">
      <w:pPr>
        <w:pStyle w:val="8"/>
        <w:keepNext/>
        <w:keepLines/>
        <w:numPr>
          <w:ilvl w:val="0"/>
          <w:numId w:val="17"/>
        </w:numPr>
        <w:adjustRightInd/>
        <w:snapToGrid/>
        <w:ind w:left="0"/>
        <w:jc w:val="center"/>
        <w:rPr>
          <w:rFonts w:ascii="仿宋_GB2312" w:hAnsi="Calibri" w:eastAsia="仿宋_GB2312"/>
          <w:b/>
          <w:bCs/>
          <w:color w:val="auto"/>
          <w:highlight w:val="none"/>
        </w:rPr>
      </w:pPr>
      <w:bookmarkStart w:id="91" w:name="_Toc27043"/>
      <w:r>
        <w:rPr>
          <w:rFonts w:hint="eastAsia" w:ascii="仿宋_GB2312" w:hAnsi="Calibri" w:eastAsia="仿宋_GB2312"/>
          <w:b/>
          <w:bCs/>
          <w:color w:val="auto"/>
          <w:highlight w:val="none"/>
        </w:rPr>
        <w:t>水资源安全</w:t>
      </w:r>
      <w:bookmarkEnd w:id="91"/>
    </w:p>
    <w:p w14:paraId="0516BC6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明确水资源上限，保障水资源供需平衡</w:t>
      </w:r>
    </w:p>
    <w:p w14:paraId="2DE7FD52">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落实水资源消耗总量和强度双控，强化水资源承载能力刚性约束，严格落实主要江河流域水量分配方案。加强非常规水多元、梯级和安全利用。</w:t>
      </w:r>
      <w:r>
        <w:rPr>
          <w:rFonts w:hint="eastAsia" w:ascii="仿宋_GB2312" w:hAnsi="宋体" w:eastAsia="仿宋_GB2312"/>
          <w:bCs/>
          <w:color w:val="auto"/>
          <w:sz w:val="32"/>
          <w:szCs w:val="28"/>
          <w:highlight w:val="none"/>
          <w:u w:val="single"/>
        </w:rPr>
        <w:t>至2035年，盐边县用水总量依据上级下达指标确定。</w:t>
      </w:r>
    </w:p>
    <w:p w14:paraId="619651F3">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严格落实国家、省、市最严格水资源管理制度，落实《攀枝花市主要江河流域水量分配方案》，采取措施遏制用水总量增长幅度，加强工业节水效率，保障城镇生活用水的需求，在最严格水资源利用上限范围内，实现水资源的供需平衡。</w:t>
      </w:r>
    </w:p>
    <w:p w14:paraId="5685F11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加强水资源保护，建设节水型城市</w:t>
      </w:r>
    </w:p>
    <w:p w14:paraId="049BEF27">
      <w:pPr>
        <w:spacing w:line="600" w:lineRule="exact"/>
        <w:ind w:firstLine="641"/>
        <w:rPr>
          <w:rFonts w:ascii="仿宋_GB2312" w:hAnsi="宋体" w:eastAsia="仿宋_GB2312"/>
          <w:bCs/>
          <w:color w:val="auto"/>
          <w:sz w:val="32"/>
          <w:szCs w:val="28"/>
          <w:highlight w:val="none"/>
        </w:rPr>
      </w:pPr>
      <w:r>
        <w:rPr>
          <w:rFonts w:hint="eastAsia" w:ascii="仿宋_GB2312" w:hAnsi="宋体" w:eastAsia="仿宋_GB2312"/>
          <w:b/>
          <w:color w:val="auto"/>
          <w:sz w:val="32"/>
          <w:szCs w:val="28"/>
          <w:highlight w:val="none"/>
        </w:rPr>
        <w:t>强化水资源保护措施。</w:t>
      </w:r>
      <w:r>
        <w:rPr>
          <w:rFonts w:hint="eastAsia" w:ascii="仿宋_GB2312" w:hAnsi="宋体" w:eastAsia="仿宋_GB2312"/>
          <w:bCs/>
          <w:color w:val="auto"/>
          <w:sz w:val="32"/>
          <w:szCs w:val="28"/>
          <w:highlight w:val="none"/>
        </w:rPr>
        <w:t>加强水环境管理，至2035年中心城区生活污水处理率达100%，乡镇生活污水处理率达到90%。农业面源污染治理的测土配方施肥技术推广覆盖率达到80%以上。河流生态环境保持健康发展状态，污染物入河量全部控制在水功能区纳污能力范围内，基本解决中小型水库富营养化问题，水环境呈良性发展，水功能区水质达标率达到100%。</w:t>
      </w:r>
    </w:p>
    <w:p w14:paraId="2D4EEBA0">
      <w:pPr>
        <w:spacing w:line="600" w:lineRule="exact"/>
        <w:ind w:firstLine="641"/>
        <w:rPr>
          <w:rFonts w:ascii="仿宋_GB2312" w:hAnsi="宋体" w:eastAsia="仿宋_GB2312"/>
          <w:bCs/>
          <w:color w:val="auto"/>
          <w:sz w:val="32"/>
          <w:szCs w:val="28"/>
          <w:highlight w:val="none"/>
        </w:rPr>
      </w:pPr>
      <w:r>
        <w:rPr>
          <w:rFonts w:hint="eastAsia" w:ascii="仿宋_GB2312" w:hAnsi="宋体" w:eastAsia="仿宋_GB2312"/>
          <w:b/>
          <w:color w:val="auto"/>
          <w:sz w:val="32"/>
          <w:szCs w:val="28"/>
          <w:highlight w:val="none"/>
        </w:rPr>
        <w:t>推进节水型城市建设。</w:t>
      </w:r>
      <w:r>
        <w:rPr>
          <w:rFonts w:hint="eastAsia" w:ascii="仿宋_GB2312" w:hAnsi="宋体" w:eastAsia="仿宋_GB2312"/>
          <w:bCs/>
          <w:color w:val="auto"/>
          <w:sz w:val="32"/>
          <w:szCs w:val="28"/>
          <w:highlight w:val="none"/>
        </w:rPr>
        <w:t>实施节流、开源和循环利用并举，提高农业节水灌溉技术，积极推进工业节水，加强城镇节水，狠抓城市供水管网漏损控制，公共供水管网漏损率控制在9%以内，再生水利用率力争达到15%以上。至2035年，农业灌溉用水有效利用系数提高到0.65以上。进一步推进海绵城市建设，提升雨水资源就地消纳和利用的水平，在缓解城市内涝的同时，大力开展雨水收集利用，多渠道保障城市水资源可持续供应。</w:t>
      </w:r>
    </w:p>
    <w:p w14:paraId="6E0C71F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保护调蓄空间</w:t>
      </w:r>
    </w:p>
    <w:p w14:paraId="1EB84D09">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按照《水利部关于加强河湖水域岸线空间管控的指导意见》（水河湖〔2022〕216号），因地制宜安排河湖管理保护控制带，根据已批复公布的河湖管理范围划定成果、岸线规划成果，探索向陆域延伸适当宽度，合理安排金沙江、雅砻江、安宁河等</w:t>
      </w:r>
      <w:r>
        <w:rPr>
          <w:rFonts w:ascii="仿宋_GB2312" w:hAnsi="宋体" w:eastAsia="仿宋_GB2312"/>
          <w:bCs/>
          <w:color w:val="auto"/>
          <w:sz w:val="32"/>
          <w:szCs w:val="28"/>
          <w:highlight w:val="none"/>
        </w:rPr>
        <w:t>28</w:t>
      </w:r>
      <w:r>
        <w:rPr>
          <w:rFonts w:hint="eastAsia" w:ascii="仿宋_GB2312" w:hAnsi="宋体" w:eastAsia="仿宋_GB2312"/>
          <w:bCs/>
          <w:color w:val="auto"/>
          <w:sz w:val="32"/>
          <w:szCs w:val="28"/>
          <w:highlight w:val="none"/>
        </w:rPr>
        <w:t>条河湖管理保护控制地带，强化河湖水域岸线空间管控，加强对河湖周边房地产、工矿企业、化工园区等“贴线”开发管控。强化岸线分区管理和用途管控，重要河湖规划岸线保护区、保留区比例总体达到50%以上。依法规范河湖管理范围内耕地利用，在不妨碍行洪、蓄洪和输水等功能的前提下，商自然资源部门依法依规分类处理。</w:t>
      </w:r>
    </w:p>
    <w:p w14:paraId="5CC10B26">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u w:val="single"/>
        </w:rPr>
        <w:t>禁止在金沙江、雅砻江、安宁河岸线一公里范围内新建、扩建化工园区和化工项目，禁止在金沙江岸线三公里范围内和雅砻江、安宁河岸线一公里范围内新建、改建、扩建尾矿库，有序推进金沙江、雅砻江、安宁河岸线十公里内废弃露天矿山整治。</w:t>
      </w:r>
      <w:r>
        <w:rPr>
          <w:rFonts w:hint="eastAsia" w:ascii="仿宋_GB2312" w:hAnsi="宋体" w:eastAsia="仿宋_GB2312"/>
          <w:bCs/>
          <w:color w:val="auto"/>
          <w:sz w:val="32"/>
          <w:szCs w:val="28"/>
          <w:highlight w:val="none"/>
        </w:rPr>
        <w:t>依托河湖自然形态，充分利用河湖周边地带，因地制宜建设亲水生态岸线，打造滨水生态空间、绿色游憩走廊。</w:t>
      </w:r>
    </w:p>
    <w:p w14:paraId="3CD651AC">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二滩水库、桐子林水库蓝线的划定应满足水源保护要求；其他河道滨水蓝线按照堤防工程级别确定控制带宽度。</w:t>
      </w:r>
    </w:p>
    <w:p w14:paraId="26365A75">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加强湿地资源利用管控。严格落实总量控制与限额使用、依法占用、占补平衡、生态补偿等湿地管理制度，确保县域范围内湿地面积不减少、质量不降低。</w:t>
      </w:r>
    </w:p>
    <w:p w14:paraId="2F7B9F3C">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强化水源地保护</w:t>
      </w:r>
    </w:p>
    <w:p w14:paraId="5F3E0655">
      <w:pPr>
        <w:spacing w:line="600" w:lineRule="exact"/>
        <w:ind w:firstLine="640"/>
        <w:rPr>
          <w:rFonts w:ascii="仿宋_GB2312" w:hAnsi="宋体" w:eastAsia="仿宋_GB2312"/>
          <w:bCs/>
          <w:color w:val="auto"/>
          <w:sz w:val="32"/>
          <w:szCs w:val="28"/>
          <w:highlight w:val="none"/>
          <w:u w:val="none"/>
        </w:rPr>
      </w:pPr>
      <w:r>
        <w:rPr>
          <w:rFonts w:hint="eastAsia" w:ascii="仿宋_GB2312" w:hAnsi="宋体" w:eastAsia="仿宋_GB2312"/>
          <w:bCs/>
          <w:color w:val="auto"/>
          <w:sz w:val="32"/>
          <w:szCs w:val="28"/>
          <w:highlight w:val="none"/>
          <w:u w:val="single"/>
        </w:rPr>
        <w:t>严格执行《中华人民共和国水污染防治法》《中华人民共和国饮用水源保护条例》《四川省饮用水水源保护管理条例》（2019年修正）要求，加强饮用水水源保护，保障饮用水水源安全，饮用水</w:t>
      </w:r>
      <w:r>
        <w:rPr>
          <w:rFonts w:hint="eastAsia" w:ascii="仿宋_GB2312" w:hAnsi="宋体" w:eastAsia="仿宋_GB2312"/>
          <w:bCs/>
          <w:color w:val="auto"/>
          <w:sz w:val="32"/>
          <w:szCs w:val="28"/>
          <w:highlight w:val="none"/>
          <w:u w:val="single"/>
          <w:lang w:val="en-US" w:eastAsia="zh-CN"/>
        </w:rPr>
        <w:t>水</w:t>
      </w:r>
      <w:r>
        <w:rPr>
          <w:rFonts w:hint="eastAsia" w:ascii="仿宋_GB2312" w:hAnsi="宋体" w:eastAsia="仿宋_GB2312"/>
          <w:bCs/>
          <w:color w:val="auto"/>
          <w:sz w:val="32"/>
          <w:szCs w:val="28"/>
          <w:highlight w:val="none"/>
          <w:u w:val="single"/>
        </w:rPr>
        <w:t>源地应划定一级保护区、二级保护区和准保护区，并设置隔离设施，实行封闭式管理。新建水厂和未划定保护区的水源地应按照国家现行规范《饮用水水源保护区划分技术规范》（HJ338—2018）划定</w:t>
      </w:r>
      <w:r>
        <w:rPr>
          <w:rFonts w:hint="eastAsia" w:ascii="仿宋_GB2312" w:hAnsi="宋体" w:eastAsia="仿宋_GB2312"/>
          <w:bCs/>
          <w:color w:val="auto"/>
          <w:sz w:val="32"/>
          <w:szCs w:val="28"/>
          <w:highlight w:val="none"/>
          <w:u w:val="single"/>
          <w:lang w:val="en-US" w:eastAsia="zh-CN"/>
        </w:rPr>
        <w:t>饮用水</w:t>
      </w:r>
      <w:r>
        <w:rPr>
          <w:rFonts w:hint="eastAsia" w:ascii="仿宋_GB2312" w:hAnsi="宋体" w:eastAsia="仿宋_GB2312"/>
          <w:bCs/>
          <w:color w:val="auto"/>
          <w:sz w:val="32"/>
          <w:szCs w:val="28"/>
          <w:highlight w:val="none"/>
          <w:u w:val="single"/>
        </w:rPr>
        <w:t>水源一级、二级保护区，并纳入水源地保护范围。</w:t>
      </w:r>
      <w:r>
        <w:rPr>
          <w:rFonts w:hint="eastAsia" w:ascii="仿宋_GB2312" w:hAnsi="宋体" w:eastAsia="仿宋_GB2312"/>
          <w:bCs/>
          <w:color w:val="auto"/>
          <w:sz w:val="32"/>
          <w:szCs w:val="28"/>
          <w:highlight w:val="none"/>
          <w:u w:val="none"/>
        </w:rPr>
        <w:t>确保至</w:t>
      </w:r>
      <w:r>
        <w:rPr>
          <w:rFonts w:hint="eastAsia" w:ascii="仿宋_GB2312" w:hAnsi="宋体" w:eastAsia="仿宋_GB2312"/>
          <w:bCs/>
          <w:color w:val="auto"/>
          <w:sz w:val="32"/>
          <w:szCs w:val="28"/>
          <w:highlight w:val="none"/>
          <w:u w:val="none"/>
          <w:lang w:eastAsia="zh-CN"/>
        </w:rPr>
        <w:t>2</w:t>
      </w:r>
      <w:r>
        <w:rPr>
          <w:rFonts w:hint="eastAsia" w:ascii="仿宋_GB2312" w:hAnsi="宋体" w:eastAsia="仿宋_GB2312"/>
          <w:bCs/>
          <w:color w:val="auto"/>
          <w:sz w:val="32"/>
          <w:szCs w:val="28"/>
          <w:highlight w:val="none"/>
          <w:u w:val="none"/>
          <w:lang w:val="en-US" w:eastAsia="zh-CN"/>
        </w:rPr>
        <w:t>035年</w:t>
      </w:r>
      <w:r>
        <w:rPr>
          <w:rFonts w:hint="eastAsia" w:ascii="仿宋_GB2312" w:hAnsi="宋体" w:eastAsia="仿宋_GB2312"/>
          <w:bCs/>
          <w:color w:val="auto"/>
          <w:sz w:val="32"/>
          <w:szCs w:val="28"/>
          <w:highlight w:val="none"/>
          <w:u w:val="none"/>
        </w:rPr>
        <w:t>集中式饮用水水源地水质达标率达到100%。</w:t>
      </w:r>
    </w:p>
    <w:p w14:paraId="6FA4CC0D">
      <w:pPr>
        <w:pStyle w:val="8"/>
        <w:keepNext/>
        <w:keepLines/>
        <w:numPr>
          <w:ilvl w:val="0"/>
          <w:numId w:val="17"/>
        </w:numPr>
        <w:adjustRightInd/>
        <w:snapToGrid/>
        <w:ind w:left="0"/>
        <w:jc w:val="center"/>
        <w:rPr>
          <w:rFonts w:ascii="仿宋_GB2312" w:hAnsi="Calibri" w:eastAsia="仿宋_GB2312"/>
          <w:b/>
          <w:bCs/>
          <w:color w:val="auto"/>
          <w:highlight w:val="none"/>
        </w:rPr>
      </w:pPr>
      <w:bookmarkStart w:id="92" w:name="_Toc5105"/>
      <w:r>
        <w:rPr>
          <w:rFonts w:hint="eastAsia" w:ascii="仿宋_GB2312" w:hAnsi="Calibri" w:eastAsia="仿宋_GB2312"/>
          <w:b/>
          <w:bCs/>
          <w:color w:val="auto"/>
          <w:highlight w:val="none"/>
        </w:rPr>
        <w:t>能源矿产资源安全</w:t>
      </w:r>
      <w:bookmarkEnd w:id="92"/>
    </w:p>
    <w:p w14:paraId="41BA8D34">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优化能源结构</w:t>
      </w:r>
    </w:p>
    <w:p w14:paraId="2AB3B3CF">
      <w:pPr>
        <w:spacing w:line="600" w:lineRule="exact"/>
        <w:ind w:firstLine="640"/>
        <w:rPr>
          <w:rFonts w:ascii="仿宋_GB2312" w:hAnsi="宋体" w:eastAsia="仿宋_GB2312"/>
          <w:bCs/>
          <w:color w:val="auto"/>
          <w:sz w:val="32"/>
          <w:szCs w:val="28"/>
          <w:highlight w:val="none"/>
        </w:rPr>
      </w:pPr>
      <w:r>
        <w:rPr>
          <w:rFonts w:hint="eastAsia" w:ascii="仿宋_GB2312" w:hAnsi="宋体" w:eastAsia="仿宋_GB2312"/>
          <w:bCs/>
          <w:color w:val="auto"/>
          <w:sz w:val="32"/>
          <w:szCs w:val="28"/>
          <w:highlight w:val="none"/>
        </w:rPr>
        <w:t>抢抓“双碳”经济带来的能源变革机遇，结合攀枝花市清洁能源发展，统筹推进“水风光氢储”</w:t>
      </w:r>
      <w:r>
        <w:rPr>
          <w:rFonts w:hint="eastAsia" w:ascii="仿宋_GB2312" w:hAnsi="宋体" w:eastAsia="仿宋_GB2312"/>
          <w:bCs/>
          <w:color w:val="auto"/>
          <w:sz w:val="32"/>
          <w:szCs w:val="28"/>
          <w:highlight w:val="none"/>
          <w:lang w:eastAsia="zh-CN"/>
        </w:rPr>
        <w:t>“五位一体”</w:t>
      </w:r>
      <w:r>
        <w:rPr>
          <w:rFonts w:hint="eastAsia" w:ascii="仿宋_GB2312" w:hAnsi="宋体" w:eastAsia="仿宋_GB2312"/>
          <w:bCs/>
          <w:color w:val="auto"/>
          <w:sz w:val="32"/>
          <w:szCs w:val="28"/>
          <w:highlight w:val="none"/>
        </w:rPr>
        <w:t>能源基地建设，鼓励分布式能源供应。加快推进光伏基地、风电基地、水电基地的建设，并协同攀枝花市其他区县推动储能发展，共同打造全国重要的清洁能源基地和“双碳”绿色发展示范样板。</w:t>
      </w:r>
    </w:p>
    <w:p w14:paraId="64FF7BF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矿产资源开发格局</w:t>
      </w:r>
    </w:p>
    <w:p w14:paraId="3850E89B">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县域层面，协调矿产开发和城乡建设，构建区域优势互补、勘查定位清晰、资源环境协调发展的矿业开发空间格局。推动盐边县北部铜镍矿、锰矿、铅锌矿、玄武岩及石英岩矿等</w:t>
      </w:r>
      <w:r>
        <w:rPr>
          <w:rFonts w:hint="eastAsia" w:eastAsia="仿宋_GB2312" w:cs="Calibri"/>
          <w:color w:val="auto"/>
          <w:sz w:val="32"/>
          <w:szCs w:val="32"/>
          <w:highlight w:val="none"/>
        </w:rPr>
        <w:t>矿产资源重点</w:t>
      </w:r>
      <w:r>
        <w:rPr>
          <w:rFonts w:hint="eastAsia" w:ascii="仿宋_GB2312" w:hAnsi="宋体" w:eastAsia="仿宋_GB2312"/>
          <w:color w:val="auto"/>
          <w:sz w:val="32"/>
          <w:szCs w:val="32"/>
          <w:highlight w:val="none"/>
        </w:rPr>
        <w:t>勘查，加强</w:t>
      </w:r>
      <w:r>
        <w:rPr>
          <w:rFonts w:hint="eastAsia" w:eastAsia="仿宋_GB2312" w:cs="Calibri"/>
          <w:color w:val="auto"/>
          <w:sz w:val="32"/>
          <w:szCs w:val="32"/>
          <w:highlight w:val="none"/>
        </w:rPr>
        <w:t>建筑用砂、白云岩等集中开采，</w:t>
      </w:r>
      <w:r>
        <w:rPr>
          <w:rFonts w:hint="eastAsia" w:ascii="仿宋_GB2312" w:hAnsi="宋体" w:eastAsia="仿宋_GB2312"/>
          <w:color w:val="auto"/>
          <w:sz w:val="32"/>
          <w:szCs w:val="32"/>
          <w:highlight w:val="none"/>
        </w:rPr>
        <w:t>着重提高资源保障能力，促进资源优势转化为经济优势；推动盐边</w:t>
      </w:r>
      <w:r>
        <w:rPr>
          <w:rFonts w:hint="eastAsia" w:eastAsia="仿宋_GB2312" w:cs="Calibri"/>
          <w:color w:val="auto"/>
          <w:sz w:val="32"/>
          <w:szCs w:val="32"/>
          <w:highlight w:val="none"/>
        </w:rPr>
        <w:t>县中部红果彝族乡煤矿资源开采，注重联合升级改造，促进资源开发与环境保护相协调；重点推进</w:t>
      </w:r>
      <w:r>
        <w:rPr>
          <w:rFonts w:hint="eastAsia" w:ascii="仿宋_GB2312" w:hAnsi="___WRD_EMBED_SUB_44" w:eastAsia="仿宋_GB2312" w:cs="___WRD_EMBED_SUB_44"/>
          <w:color w:val="auto"/>
          <w:sz w:val="32"/>
          <w:szCs w:val="32"/>
          <w:highlight w:val="none"/>
        </w:rPr>
        <w:t>盐边县南部</w:t>
      </w:r>
      <w:r>
        <w:rPr>
          <w:rFonts w:hint="eastAsia" w:eastAsia="仿宋_GB2312" w:cs="Calibri"/>
          <w:color w:val="auto"/>
          <w:sz w:val="32"/>
          <w:szCs w:val="32"/>
          <w:highlight w:val="none"/>
        </w:rPr>
        <w:t>新九镇、红格镇钒钛磁铁矿等重要矿产资源勘查开发，</w:t>
      </w:r>
      <w:r>
        <w:rPr>
          <w:rFonts w:hint="eastAsia" w:ascii="仿宋_GB2312" w:hAnsi="___WRD_EMBED_SUB_44" w:eastAsia="仿宋_GB2312" w:cs="___WRD_EMBED_SUB_44"/>
          <w:color w:val="auto"/>
          <w:sz w:val="32"/>
          <w:szCs w:val="32"/>
          <w:highlight w:val="none"/>
        </w:rPr>
        <w:t>同步</w:t>
      </w:r>
      <w:r>
        <w:rPr>
          <w:rFonts w:hint="eastAsia" w:ascii="仿宋_GB2312" w:hAnsi="___WRD_EMBED_SUB_44" w:eastAsia="仿宋_GB2312" w:cs="___WRD_EMBED_SUB_44"/>
          <w:color w:val="auto"/>
          <w:sz w:val="32"/>
          <w:szCs w:val="32"/>
          <w:highlight w:val="none"/>
          <w:lang w:eastAsia="zh-CN"/>
        </w:rPr>
        <w:t>促进</w:t>
      </w:r>
      <w:r>
        <w:rPr>
          <w:rFonts w:hint="eastAsia" w:ascii="仿宋_GB2312" w:hAnsi="___WRD_EMBED_SUB_44" w:eastAsia="仿宋_GB2312" w:cs="___WRD_EMBED_SUB_44"/>
          <w:color w:val="auto"/>
          <w:sz w:val="32"/>
          <w:szCs w:val="32"/>
          <w:highlight w:val="none"/>
        </w:rPr>
        <w:t>矿业转型升级，促进矿产资源开发与城镇发展相协调。严格控制矿产资源开发，禁止在永久基本农田、生态保护红线、自然保护地、饮用水水源保护区、历史文化保护线等保护范围内开发。进一步规范和提高管理水平，促进矿业开发步入节约、集约、清洁、安全的可持续发展道路。</w:t>
      </w:r>
    </w:p>
    <w:p w14:paraId="3048930D">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按照“空间划开、时序错开、急需先上、保大限小、综合利用、合理避让”的原则，统筹协调各类叠置资源的开发布局、时序、规模和结构，为矿业权审批和监督管理提供依据，为矿业权开发提供安全保障，尽量避免出现地表、地下同时开发的开采方式。</w:t>
      </w:r>
    </w:p>
    <w:p w14:paraId="55B467C1">
      <w:pPr>
        <w:pStyle w:val="9"/>
        <w:keepNext/>
        <w:keepLines/>
        <w:numPr>
          <w:ilvl w:val="0"/>
          <w:numId w:val="8"/>
        </w:numPr>
        <w:adjustRightInd/>
        <w:snapToGrid/>
        <w:spacing w:line="600" w:lineRule="exact"/>
        <w:ind w:left="993"/>
        <w:jc w:val="both"/>
        <w:rPr>
          <w:rFonts w:ascii="仿宋_GB2312" w:eastAsia="仿宋_GB2312"/>
          <w:b/>
          <w:bCs/>
          <w:color w:val="auto"/>
          <w:sz w:val="32"/>
          <w:szCs w:val="32"/>
          <w:highlight w:val="none"/>
        </w:rPr>
      </w:pPr>
      <w:r>
        <w:rPr>
          <w:rFonts w:hint="eastAsia" w:ascii="仿宋_GB2312" w:eastAsia="仿宋_GB2312"/>
          <w:b/>
          <w:bCs/>
          <w:color w:val="auto"/>
          <w:sz w:val="32"/>
          <w:szCs w:val="32"/>
          <w:highlight w:val="none"/>
        </w:rPr>
        <w:t>强化采矿用地保障，</w:t>
      </w:r>
      <w:r>
        <w:rPr>
          <w:rFonts w:hint="eastAsia" w:ascii="Calibri" w:hAnsi="Calibri" w:eastAsia="仿宋_GB2312" w:cs="Calibri"/>
          <w:b/>
          <w:bCs/>
          <w:color w:val="auto"/>
          <w:sz w:val="32"/>
          <w:szCs w:val="32"/>
          <w:highlight w:val="none"/>
        </w:rPr>
        <w:t>优化矿地布局</w:t>
      </w:r>
    </w:p>
    <w:p w14:paraId="6B64E19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根据《自然资源部关于做好采矿用地保障的通知》保障能源资源供应安全，多途径、差别化保障采矿用地合理需求。明确能源矿产资源安全底线管控要求，积极落实能源资源基地建设，符合采矿用地建设条件前提下，优先保障近期建设项目。优化矿区、尾矿库、排土场、综合渣场等用地布局，配套选</w:t>
      </w:r>
      <w:r>
        <w:rPr>
          <w:rFonts w:hint="eastAsia" w:ascii="仿宋_GB2312" w:eastAsia="仿宋_GB2312"/>
          <w:color w:val="auto"/>
          <w:sz w:val="32"/>
          <w:szCs w:val="32"/>
          <w:highlight w:val="none"/>
          <w:lang w:val="en-US" w:eastAsia="zh-CN"/>
        </w:rPr>
        <w:t>厂</w:t>
      </w:r>
      <w:r>
        <w:rPr>
          <w:rFonts w:hint="eastAsia" w:ascii="仿宋_GB2312" w:eastAsia="仿宋_GB2312"/>
          <w:color w:val="auto"/>
          <w:sz w:val="32"/>
          <w:szCs w:val="32"/>
          <w:highlight w:val="none"/>
        </w:rPr>
        <w:t>、深加工项目所需工业用地向工业园区及原有矿区建设聚集。强化矿山、尾矿库综合整治。加强尾矿库抗风险设施建设，完善尾矿库防汛排洪设施和尾矿坝排渗设施，提升尾矿库抗击特大暴雨洪水冲击与防止漫顶溃坝能力。</w:t>
      </w:r>
    </w:p>
    <w:p w14:paraId="6D9A2C0A">
      <w:pPr>
        <w:spacing w:line="600" w:lineRule="exact"/>
        <w:ind w:firstLine="640"/>
        <w:rPr>
          <w:rFonts w:ascii="仿宋_GB2312" w:hAnsi="宋体" w:eastAsia="仿宋_GB2312"/>
          <w:color w:val="auto"/>
          <w:sz w:val="32"/>
          <w:szCs w:val="32"/>
          <w:highlight w:val="none"/>
        </w:rPr>
      </w:pPr>
      <w:r>
        <w:rPr>
          <w:rFonts w:hint="eastAsia" w:ascii="仿宋_GB2312" w:eastAsia="仿宋_GB2312"/>
          <w:color w:val="auto"/>
          <w:sz w:val="32"/>
          <w:szCs w:val="32"/>
          <w:highlight w:val="none"/>
        </w:rPr>
        <w:t>鼓励矿山企业及时复垦盘活存量工矿用地，与新增建设用地相挂钩。对现状已废弃矿山及历史遗留矿山积极开展复垦工作，采矿企业将本企业依法取得的采矿用地或历史遗留废弃采矿用地复垦为可长期稳定利用耕地的，经核定报备后可用于本企业在本地区采矿项目落实占补平衡。</w:t>
      </w:r>
    </w:p>
    <w:p w14:paraId="67E33A3F">
      <w:pPr>
        <w:pStyle w:val="8"/>
        <w:keepNext/>
        <w:keepLines/>
        <w:numPr>
          <w:ilvl w:val="0"/>
          <w:numId w:val="17"/>
        </w:numPr>
        <w:adjustRightInd/>
        <w:snapToGrid/>
        <w:ind w:left="0"/>
        <w:jc w:val="center"/>
        <w:rPr>
          <w:rFonts w:ascii="仿宋_GB2312" w:hAnsi="Calibri" w:eastAsia="仿宋_GB2312"/>
          <w:b/>
          <w:bCs/>
          <w:color w:val="auto"/>
          <w:highlight w:val="none"/>
        </w:rPr>
      </w:pPr>
      <w:bookmarkStart w:id="93" w:name="_Toc14554"/>
      <w:r>
        <w:rPr>
          <w:rFonts w:hint="eastAsia" w:ascii="仿宋_GB2312" w:hAnsi="Calibri" w:eastAsia="仿宋_GB2312"/>
          <w:b/>
          <w:bCs/>
          <w:color w:val="auto"/>
          <w:highlight w:val="none"/>
        </w:rPr>
        <w:t>综合防灾体系</w:t>
      </w:r>
      <w:bookmarkEnd w:id="93"/>
    </w:p>
    <w:p w14:paraId="4D4ACB9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94" w:name="_Hlk123837932"/>
      <w:bookmarkStart w:id="95" w:name="_Hlk123837110"/>
      <w:r>
        <w:rPr>
          <w:rFonts w:hint="eastAsia" w:ascii="仿宋_GB2312" w:hAnsi="Times New Roman" w:eastAsia="仿宋_GB2312"/>
          <w:b/>
          <w:bCs/>
          <w:color w:val="auto"/>
          <w:sz w:val="32"/>
          <w:szCs w:val="28"/>
          <w:highlight w:val="none"/>
        </w:rPr>
        <w:t>完善防洪排涝体系</w:t>
      </w:r>
    </w:p>
    <w:p w14:paraId="78C11FDB">
      <w:pPr>
        <w:spacing w:line="600" w:lineRule="exact"/>
        <w:ind w:firstLine="640"/>
        <w:rPr>
          <w:rFonts w:hint="eastAsia" w:ascii="仿宋_GB2312" w:hAnsi="仿宋_GB2312" w:eastAsia="仿宋_GB2312" w:cs="仿宋_GB2312"/>
          <w:color w:val="auto"/>
          <w:sz w:val="32"/>
          <w:szCs w:val="32"/>
          <w:highlight w:val="none"/>
          <w:u w:val="none"/>
        </w:rPr>
      </w:pPr>
      <w:r>
        <w:rPr>
          <w:rFonts w:hint="eastAsia" w:ascii="仿宋_GB2312" w:hAnsi="仿宋_GB2312" w:eastAsia="仿宋_GB2312" w:cs="仿宋_GB2312"/>
          <w:color w:val="auto"/>
          <w:sz w:val="32"/>
          <w:szCs w:val="32"/>
          <w:highlight w:val="none"/>
          <w:u w:val="none"/>
        </w:rPr>
        <w:t>根据《防洪标准》（GB50201—2014），结合盐边县的实际情况，考虑人口规模与经济社会发展状况确定县域城乡防洪排涝标准。盐边县域范围内交通运输设施、水利水电工程、动力设施、通信设施、文物古迹和旅游设施等的防洪排涝标准按照现行其他相关国家标准、规范执行。</w:t>
      </w:r>
    </w:p>
    <w:p w14:paraId="5CA85824">
      <w:pPr>
        <w:pStyle w:val="6"/>
        <w:rPr>
          <w:rFonts w:hAnsi="宋体"/>
          <w:color w:val="auto"/>
          <w:highlight w:val="none"/>
        </w:rPr>
      </w:pPr>
      <w:r>
        <w:rPr>
          <w:rFonts w:hint="eastAsia"/>
          <w:color w:val="auto"/>
          <w:highlight w:val="none"/>
        </w:rPr>
        <w:t>全面推进完善流域和区域防洪减灾体系，加强防洪工程建设；加快推进重点河流治理和山洪灾害防治。</w:t>
      </w:r>
      <w:r>
        <w:rPr>
          <w:rFonts w:hint="eastAsia"/>
          <w:color w:val="auto"/>
          <w:highlight w:val="none"/>
          <w:u w:val="single"/>
        </w:rPr>
        <w:t>划定洪涝风险控制线，避免在高风险区内布置地下空间、学校、消防救援站和其他重要市政设施（高压变电站）等，洪涝风险控制线内严禁开发建设。改造并提高城镇管网排水能力。加强行洪通道的维护和管理，确保行洪排涝河道的畅通，预留超标洪水行洪空间。</w:t>
      </w:r>
    </w:p>
    <w:p w14:paraId="6382615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夯实城乡综合消防能力</w:t>
      </w:r>
    </w:p>
    <w:p w14:paraId="2185CF60">
      <w:pPr>
        <w:pStyle w:val="6"/>
        <w:rPr>
          <w:color w:val="auto"/>
          <w:highlight w:val="none"/>
        </w:rPr>
      </w:pPr>
      <w:r>
        <w:rPr>
          <w:rFonts w:hint="eastAsia"/>
          <w:color w:val="auto"/>
          <w:highlight w:val="none"/>
        </w:rPr>
        <w:t>加快推进城镇消防救援站建设，以接到出动指令5分钟内到达辖区边缘为原则布局城市消防站。未达到《城市消防站建设标准》（建标152—2</w:t>
      </w:r>
      <w:r>
        <w:rPr>
          <w:color w:val="auto"/>
          <w:highlight w:val="none"/>
        </w:rPr>
        <w:t>017</w:t>
      </w:r>
      <w:r>
        <w:rPr>
          <w:rFonts w:hint="eastAsia"/>
          <w:color w:val="auto"/>
          <w:highlight w:val="none"/>
        </w:rPr>
        <w:t>）的乡镇设乡镇消防队，乡镇消防队以接到出动指令30分钟内到达辖区边缘为原则布局。中心镇按不低于二级乡镇专职消防队的要求设置，一般镇不低于乡镇志愿消防队的要求设置，中心村设微型消防站或乡镇志愿消防队，一般村根据需要设置微型消防站。</w:t>
      </w:r>
    </w:p>
    <w:bookmarkEnd w:id="94"/>
    <w:bookmarkEnd w:id="95"/>
    <w:p w14:paraId="38464BF9">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加强森林草原防灭火能力</w:t>
      </w:r>
    </w:p>
    <w:p w14:paraId="4286BCEB">
      <w:pPr>
        <w:spacing w:line="600" w:lineRule="exact"/>
        <w:ind w:firstLine="640"/>
        <w:rPr>
          <w:rFonts w:ascii="仿宋_GB2312" w:hAnsi="宋体" w:eastAsia="仿宋_GB2312"/>
          <w:color w:val="auto"/>
          <w:sz w:val="32"/>
          <w:szCs w:val="28"/>
          <w:highlight w:val="none"/>
          <w:u w:val="none"/>
        </w:rPr>
      </w:pPr>
      <w:r>
        <w:rPr>
          <w:rFonts w:hint="eastAsia" w:ascii="仿宋_GB2312" w:hAnsi="宋体" w:eastAsia="仿宋_GB2312"/>
          <w:color w:val="auto"/>
          <w:sz w:val="32"/>
          <w:szCs w:val="28"/>
          <w:highlight w:val="none"/>
          <w:u w:val="none"/>
        </w:rPr>
        <w:t>根据《全国森林火险区划等级》（LY/T1063—2008）标准，并与《全国森林防灭火规划》《四川省森林防灭火规划》保持衔接，盐边县被列为森林火灾高危区。县域划定特别重点防火区域22处，其中包括三处自然保护地和柏林山杜鹃花海景区等4处生态敏感区</w:t>
      </w:r>
      <w:r>
        <w:rPr>
          <w:rFonts w:hint="eastAsia" w:ascii="仿宋_GB2312" w:hAnsi="宋体" w:eastAsia="仿宋_GB2312"/>
          <w:color w:val="auto"/>
          <w:sz w:val="32"/>
          <w:szCs w:val="28"/>
          <w:highlight w:val="none"/>
          <w:u w:val="none"/>
          <w:lang w:eastAsia="zh-CN"/>
        </w:rPr>
        <w:t>，</w:t>
      </w:r>
      <w:r>
        <w:rPr>
          <w:rFonts w:hint="eastAsia" w:ascii="仿宋_GB2312" w:hAnsi="宋体" w:eastAsia="仿宋_GB2312"/>
          <w:color w:val="auto"/>
          <w:sz w:val="32"/>
          <w:szCs w:val="28"/>
          <w:highlight w:val="none"/>
          <w:u w:val="none"/>
          <w:lang w:val="en-US" w:eastAsia="zh-CN"/>
        </w:rPr>
        <w:t>以及</w:t>
      </w:r>
      <w:r>
        <w:rPr>
          <w:rFonts w:hint="eastAsia" w:ascii="仿宋_GB2312" w:hAnsi="宋体" w:eastAsia="仿宋_GB2312"/>
          <w:color w:val="auto"/>
          <w:sz w:val="32"/>
          <w:szCs w:val="28"/>
          <w:highlight w:val="none"/>
          <w:u w:val="none"/>
        </w:rPr>
        <w:t>渔门镇、桐子林镇金河村等森林资源密集、火险频发区18处。</w:t>
      </w:r>
    </w:p>
    <w:p w14:paraId="0CCA6D19">
      <w:pPr>
        <w:spacing w:line="600" w:lineRule="exact"/>
        <w:ind w:firstLine="640"/>
        <w:rPr>
          <w:rFonts w:ascii="仿宋_GB2312" w:hAnsi="宋体" w:eastAsia="仿宋_GB2312"/>
          <w:color w:val="auto"/>
          <w:sz w:val="32"/>
          <w:szCs w:val="28"/>
          <w:highlight w:val="none"/>
        </w:rPr>
      </w:pPr>
      <w:r>
        <w:rPr>
          <w:rFonts w:hint="eastAsia" w:ascii="仿宋_GB2312" w:hAnsi="宋体" w:eastAsia="仿宋_GB2312"/>
          <w:color w:val="auto"/>
          <w:sz w:val="32"/>
          <w:szCs w:val="28"/>
          <w:highlight w:val="none"/>
        </w:rPr>
        <w:t>推进森林草原防灭火的预防、扑救和保障三大体系建设。完善县级防灭火指挥中心1处，新建12个乡镇级指挥分中心，按照《森林消防专业队伍建设标准》（LY/T5009—2014），规划保留盐边森林消防大队，规划组建乡镇半专业扑火队12支，群众扑火队12支。</w:t>
      </w:r>
    </w:p>
    <w:p w14:paraId="2BA29FF3">
      <w:pPr>
        <w:spacing w:line="600" w:lineRule="exact"/>
        <w:ind w:firstLine="640"/>
        <w:rPr>
          <w:rFonts w:ascii="仿宋_GB2312" w:hAnsi="宋体" w:eastAsia="仿宋_GB2312"/>
          <w:color w:val="auto"/>
          <w:sz w:val="32"/>
          <w:szCs w:val="28"/>
          <w:highlight w:val="none"/>
        </w:rPr>
      </w:pPr>
      <w:r>
        <w:rPr>
          <w:rFonts w:hint="eastAsia" w:ascii="仿宋_GB2312" w:hAnsi="宋体" w:eastAsia="仿宋_GB2312"/>
          <w:color w:val="auto"/>
          <w:sz w:val="32"/>
          <w:szCs w:val="28"/>
          <w:highlight w:val="none"/>
        </w:rPr>
        <w:t>加强防火物资储备仓库的建设及物资储备，保障防火物资供给。加强森林消防队专业机械化装备和以水灭火装备</w:t>
      </w:r>
      <w:r>
        <w:rPr>
          <w:rFonts w:hint="eastAsia" w:ascii="仿宋_GB2312" w:hAnsi="宋体" w:eastAsia="仿宋_GB2312"/>
          <w:color w:val="auto"/>
          <w:sz w:val="32"/>
          <w:szCs w:val="28"/>
          <w:highlight w:val="none"/>
          <w:lang w:val="en-US" w:eastAsia="zh-CN"/>
        </w:rPr>
        <w:t>配备</w:t>
      </w:r>
      <w:r>
        <w:rPr>
          <w:rFonts w:hint="eastAsia" w:ascii="仿宋_GB2312" w:hAnsi="宋体" w:eastAsia="仿宋_GB2312"/>
          <w:color w:val="auto"/>
          <w:sz w:val="32"/>
          <w:szCs w:val="28"/>
          <w:highlight w:val="none"/>
        </w:rPr>
        <w:t>，提高处置森林大火的能力。</w:t>
      </w:r>
    </w:p>
    <w:p w14:paraId="7E7E0542">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提高城乡抗震减灾能力</w:t>
      </w:r>
    </w:p>
    <w:p w14:paraId="10424330">
      <w:pPr>
        <w:pStyle w:val="6"/>
        <w:rPr>
          <w:color w:val="auto"/>
          <w:highlight w:val="none"/>
          <w:u w:val="single"/>
        </w:rPr>
      </w:pPr>
      <w:bookmarkStart w:id="96" w:name="_Hlk123845891"/>
      <w:r>
        <w:rPr>
          <w:color w:val="auto"/>
          <w:highlight w:val="none"/>
          <w:u w:val="single"/>
        </w:rPr>
        <w:t>根据《中国地震动参数区划图》（GB18306—2015），盐边县地震动峰值加速度为0.10g</w:t>
      </w:r>
      <w:r>
        <w:rPr>
          <w:rFonts w:hint="eastAsia" w:hAnsi="微软雅黑"/>
          <w:color w:val="auto"/>
          <w:szCs w:val="32"/>
          <w:highlight w:val="none"/>
          <w:u w:val="single"/>
          <w:shd w:val="clear" w:color="auto" w:fill="FFFFFF"/>
        </w:rPr>
        <w:t>～</w:t>
      </w:r>
      <w:r>
        <w:rPr>
          <w:color w:val="auto"/>
          <w:highlight w:val="none"/>
          <w:u w:val="single"/>
        </w:rPr>
        <w:t>0.20</w:t>
      </w:r>
      <w:r>
        <w:rPr>
          <w:rFonts w:hint="eastAsia"/>
          <w:color w:val="auto"/>
          <w:highlight w:val="none"/>
          <w:u w:val="single"/>
        </w:rPr>
        <w:t>g</w:t>
      </w:r>
      <w:r>
        <w:rPr>
          <w:color w:val="auto"/>
          <w:highlight w:val="none"/>
          <w:u w:val="single"/>
        </w:rPr>
        <w:t>，地震动</w:t>
      </w:r>
      <w:r>
        <w:rPr>
          <w:rFonts w:hint="eastAsia"/>
          <w:color w:val="auto"/>
          <w:highlight w:val="none"/>
          <w:u w:val="single"/>
        </w:rPr>
        <w:t>加速度</w:t>
      </w:r>
      <w:r>
        <w:rPr>
          <w:color w:val="auto"/>
          <w:highlight w:val="none"/>
          <w:u w:val="single"/>
        </w:rPr>
        <w:t>反应谱特征周期T＝0.45s，全县基本</w:t>
      </w:r>
      <w:r>
        <w:rPr>
          <w:rFonts w:hint="eastAsia"/>
          <w:color w:val="auto"/>
          <w:highlight w:val="none"/>
          <w:u w:val="single"/>
        </w:rPr>
        <w:t>抗震设防</w:t>
      </w:r>
      <w:r>
        <w:rPr>
          <w:color w:val="auto"/>
          <w:highlight w:val="none"/>
          <w:u w:val="single"/>
        </w:rPr>
        <w:t>烈度</w:t>
      </w:r>
      <w:r>
        <w:rPr>
          <w:rFonts w:hint="eastAsia"/>
          <w:color w:val="auto"/>
          <w:highlight w:val="none"/>
          <w:u w:val="single"/>
        </w:rPr>
        <w:t>按Ⅶ—Ⅷ度</w:t>
      </w:r>
      <w:r>
        <w:rPr>
          <w:color w:val="auto"/>
          <w:highlight w:val="none"/>
          <w:u w:val="single"/>
        </w:rPr>
        <w:t>进行设防。</w:t>
      </w:r>
    </w:p>
    <w:p w14:paraId="3AD4284F">
      <w:pPr>
        <w:pStyle w:val="6"/>
        <w:rPr>
          <w:color w:val="auto"/>
          <w:highlight w:val="none"/>
          <w:u w:val="single"/>
        </w:rPr>
      </w:pPr>
      <w:r>
        <w:rPr>
          <w:rFonts w:hint="eastAsia"/>
          <w:color w:val="auto"/>
          <w:highlight w:val="none"/>
          <w:u w:val="single"/>
        </w:rPr>
        <w:t>一般建设工程按照《中国地震动参数区划图》（</w:t>
      </w:r>
      <w:r>
        <w:rPr>
          <w:color w:val="auto"/>
          <w:highlight w:val="none"/>
          <w:u w:val="single"/>
        </w:rPr>
        <w:t>GB18306—2015</w:t>
      </w:r>
      <w:r>
        <w:rPr>
          <w:rFonts w:hint="eastAsia"/>
          <w:color w:val="auto"/>
          <w:highlight w:val="none"/>
          <w:u w:val="single"/>
        </w:rPr>
        <w:t>）进行抗震设防。学校、医院等人员密集场所按高于当地房屋建设抗震设防要求1档或不低于重点设防类的要求进行设计和施工，重大工程依据审定的地震安全性评价结果进行抗震设防</w:t>
      </w:r>
      <w:r>
        <w:rPr>
          <w:color w:val="auto"/>
          <w:highlight w:val="none"/>
          <w:u w:val="single"/>
        </w:rPr>
        <w:t>。</w:t>
      </w:r>
    </w:p>
    <w:p w14:paraId="25630B16">
      <w:pPr>
        <w:pStyle w:val="6"/>
        <w:rPr>
          <w:rFonts w:hint="eastAsia" w:hAnsi="仿宋_GB2312" w:cs="仿宋_GB2312"/>
          <w:color w:val="auto"/>
          <w:highlight w:val="none"/>
        </w:rPr>
      </w:pPr>
      <w:r>
        <w:rPr>
          <w:rFonts w:hint="eastAsia" w:ascii="仿宋_GB2312" w:hAnsi="仿宋_GB2312" w:eastAsia="仿宋_GB2312" w:cs="仿宋_GB2312"/>
          <w:color w:val="auto"/>
          <w:highlight w:val="none"/>
        </w:rPr>
        <w:t>县域存在的</w:t>
      </w:r>
      <w:bookmarkStart w:id="97" w:name="_Hlk162013232"/>
      <w:r>
        <w:rPr>
          <w:rFonts w:hint="eastAsia" w:ascii="仿宋_GB2312" w:hAnsi="仿宋_GB2312" w:eastAsia="仿宋_GB2312" w:cs="仿宋_GB2312"/>
          <w:color w:val="auto"/>
          <w:highlight w:val="none"/>
        </w:rPr>
        <w:t>全新世活动断裂带</w:t>
      </w:r>
      <w:bookmarkEnd w:id="97"/>
      <w:r>
        <w:rPr>
          <w:rFonts w:hint="eastAsia" w:ascii="仿宋_GB2312" w:hAnsi="仿宋_GB2312" w:eastAsia="仿宋_GB2312" w:cs="仿宋_GB2312"/>
          <w:color w:val="auto"/>
          <w:highlight w:val="none"/>
        </w:rPr>
        <w:t>有</w:t>
      </w:r>
      <w:bookmarkStart w:id="98" w:name="_Hlk162012590"/>
      <w:r>
        <w:rPr>
          <w:rFonts w:hint="eastAsia" w:ascii="仿宋_GB2312" w:hAnsi="仿宋_GB2312" w:eastAsia="仿宋_GB2312" w:cs="仿宋_GB2312"/>
          <w:color w:val="auto"/>
          <w:highlight w:val="none"/>
        </w:rPr>
        <w:t>昔格达断裂</w:t>
      </w:r>
      <w:bookmarkEnd w:id="98"/>
      <w:r>
        <w:rPr>
          <w:rFonts w:hint="eastAsia" w:ascii="仿宋_GB2312" w:hAnsi="仿宋_GB2312" w:eastAsia="仿宋_GB2312" w:cs="仿宋_GB2312"/>
          <w:color w:val="auto"/>
          <w:highlight w:val="none"/>
        </w:rPr>
        <w:t>、李明久断裂、桐子林断裂、西番田断裂、金河—箐河断裂</w:t>
      </w:r>
      <w:r>
        <w:rPr>
          <w:rFonts w:hint="eastAsia"/>
          <w:color w:val="auto"/>
          <w:highlight w:val="none"/>
        </w:rPr>
        <w:t>。</w:t>
      </w:r>
      <w:r>
        <w:rPr>
          <w:rFonts w:hint="eastAsia" w:hAnsi="仿宋_GB2312" w:cs="仿宋_GB2312"/>
          <w:color w:val="auto"/>
          <w:highlight w:val="none"/>
        </w:rPr>
        <w:t>根据《红格规划区地震活动断层探测报告》，对</w:t>
      </w:r>
      <w:r>
        <w:rPr>
          <w:rFonts w:hint="eastAsia" w:ascii="仿宋_GB2312" w:hAnsi="仿宋_GB2312" w:eastAsia="仿宋_GB2312" w:cs="仿宋_GB2312"/>
          <w:color w:val="auto"/>
          <w:highlight w:val="none"/>
        </w:rPr>
        <w:t>昔格达断裂涉及的昔格达村、红格村和新隆村段以断层中心线两侧各</w:t>
      </w:r>
      <w:r>
        <w:rPr>
          <w:rFonts w:hint="eastAsia" w:hAnsi="仿宋_GB2312" w:cs="仿宋_GB2312"/>
          <w:color w:val="auto"/>
          <w:highlight w:val="none"/>
        </w:rPr>
        <w:t>50米划定安全避让线；</w:t>
      </w:r>
      <w:r>
        <w:rPr>
          <w:rFonts w:hint="eastAsia" w:hAnsi="仿宋_GB2312" w:cs="仿宋_GB2312"/>
          <w:color w:val="auto"/>
          <w:highlight w:val="none"/>
          <w:lang w:eastAsia="zh-CN"/>
        </w:rPr>
        <w:t>其他</w:t>
      </w:r>
      <w:r>
        <w:rPr>
          <w:rFonts w:hint="eastAsia" w:hAnsi="仿宋_GB2312" w:cs="仿宋_GB2312"/>
          <w:color w:val="auto"/>
          <w:highlight w:val="none"/>
        </w:rPr>
        <w:t>全新世活动断</w:t>
      </w:r>
      <w:r>
        <w:rPr>
          <w:rFonts w:hint="eastAsia" w:ascii="仿宋_GB2312" w:hAnsi="仿宋_GB2312" w:eastAsia="仿宋_GB2312" w:cs="仿宋_GB2312"/>
          <w:color w:val="auto"/>
          <w:highlight w:val="none"/>
        </w:rPr>
        <w:t>裂</w:t>
      </w:r>
      <w:r>
        <w:rPr>
          <w:rFonts w:hint="eastAsia" w:hAnsi="仿宋_GB2312" w:cs="仿宋_GB2312"/>
          <w:color w:val="auto"/>
          <w:highlight w:val="none"/>
        </w:rPr>
        <w:t>，根据相关规范对不同建筑种类设置100</w:t>
      </w:r>
      <w:r>
        <w:rPr>
          <w:rFonts w:hint="eastAsia" w:hAnsi="仿宋_GB2312" w:cs="仿宋_GB2312"/>
          <w:color w:val="auto"/>
          <w:szCs w:val="32"/>
          <w:highlight w:val="none"/>
          <w:shd w:val="clear" w:color="auto" w:fill="FFFFFF"/>
        </w:rPr>
        <w:t>～</w:t>
      </w:r>
      <w:r>
        <w:rPr>
          <w:rFonts w:hint="eastAsia" w:hAnsi="仿宋_GB2312" w:cs="仿宋_GB2312"/>
          <w:color w:val="auto"/>
          <w:highlight w:val="none"/>
        </w:rPr>
        <w:t>400米的最小避让距离划定</w:t>
      </w:r>
      <w:r>
        <w:rPr>
          <w:rFonts w:hint="eastAsia" w:ascii="仿宋_GB2312" w:hAnsi="仿宋_GB2312" w:eastAsia="仿宋_GB2312" w:cs="仿宋_GB2312"/>
          <w:color w:val="auto"/>
          <w:highlight w:val="none"/>
        </w:rPr>
        <w:t>安全避让线。</w:t>
      </w:r>
      <w:r>
        <w:rPr>
          <w:rFonts w:hint="eastAsia" w:hAnsi="仿宋_GB2312" w:cs="仿宋_GB2312"/>
          <w:color w:val="auto"/>
          <w:highlight w:val="none"/>
        </w:rPr>
        <w:t>重要建筑物应对</w:t>
      </w:r>
      <w:r>
        <w:rPr>
          <w:rFonts w:hint="eastAsia" w:ascii="仿宋_GB2312" w:hAnsi="仿宋_GB2312" w:eastAsia="仿宋_GB2312" w:cs="仿宋_GB2312"/>
          <w:color w:val="auto"/>
          <w:highlight w:val="none"/>
        </w:rPr>
        <w:t>断裂带进行避让，适当提高设防标准，</w:t>
      </w:r>
      <w:bookmarkStart w:id="99" w:name="_Hlk162010943"/>
      <w:r>
        <w:rPr>
          <w:rFonts w:hint="eastAsia" w:ascii="仿宋_GB2312" w:hAnsi="仿宋_GB2312" w:eastAsia="仿宋_GB2312" w:cs="仿宋_GB2312"/>
          <w:color w:val="auto"/>
          <w:highlight w:val="none"/>
        </w:rPr>
        <w:t>避让带内</w:t>
      </w:r>
      <w:bookmarkEnd w:id="99"/>
      <w:r>
        <w:rPr>
          <w:rFonts w:hint="eastAsia" w:ascii="仿宋_GB2312" w:hAnsi="仿宋_GB2312" w:eastAsia="仿宋_GB2312" w:cs="仿宋_GB2312"/>
          <w:color w:val="auto"/>
          <w:highlight w:val="none"/>
        </w:rPr>
        <w:t>可进行丁类建筑工程建设，但不应再</w:t>
      </w:r>
      <w:r>
        <w:rPr>
          <w:rFonts w:hint="eastAsia" w:hAnsi="仿宋_GB2312" w:cs="仿宋_GB2312"/>
          <w:color w:val="auto"/>
          <w:highlight w:val="none"/>
          <w:lang w:val="en-US" w:eastAsia="zh-CN"/>
        </w:rPr>
        <w:t>新</w:t>
      </w:r>
      <w:r>
        <w:rPr>
          <w:rFonts w:hint="eastAsia" w:ascii="仿宋_GB2312" w:hAnsi="仿宋_GB2312" w:eastAsia="仿宋_GB2312" w:cs="仿宋_GB2312"/>
          <w:color w:val="auto"/>
          <w:highlight w:val="none"/>
        </w:rPr>
        <w:t>建重要构筑物，尤其不可</w:t>
      </w:r>
      <w:r>
        <w:rPr>
          <w:rFonts w:hint="eastAsia" w:hAnsi="仿宋_GB2312" w:cs="仿宋_GB2312"/>
          <w:color w:val="auto"/>
          <w:highlight w:val="none"/>
          <w:lang w:val="en-US" w:eastAsia="zh-CN"/>
        </w:rPr>
        <w:t>新</w:t>
      </w:r>
      <w:r>
        <w:rPr>
          <w:rFonts w:hint="eastAsia" w:ascii="仿宋_GB2312" w:hAnsi="仿宋_GB2312" w:eastAsia="仿宋_GB2312" w:cs="仿宋_GB2312"/>
          <w:color w:val="auto"/>
          <w:highlight w:val="none"/>
        </w:rPr>
        <w:t>建学校、医院等公共建筑。避让带内现有建</w:t>
      </w:r>
      <w:r>
        <w:rPr>
          <w:rFonts w:hint="eastAsia" w:hAnsi="仿宋_GB2312" w:cs="仿宋_GB2312"/>
          <w:color w:val="auto"/>
          <w:highlight w:val="none"/>
          <w:lang w:eastAsia="zh-CN"/>
        </w:rPr>
        <w:t>（</w:t>
      </w:r>
      <w:r>
        <w:rPr>
          <w:rFonts w:hint="eastAsia" w:hAnsi="仿宋_GB2312" w:cs="仿宋_GB2312"/>
          <w:color w:val="auto"/>
          <w:highlight w:val="none"/>
        </w:rPr>
        <w:t>构</w:t>
      </w:r>
      <w:r>
        <w:rPr>
          <w:rFonts w:hint="eastAsia" w:hAnsi="仿宋_GB2312" w:cs="仿宋_GB2312"/>
          <w:color w:val="auto"/>
          <w:highlight w:val="none"/>
          <w:lang w:eastAsia="zh-CN"/>
        </w:rPr>
        <w:t>）</w:t>
      </w:r>
      <w:r>
        <w:rPr>
          <w:rFonts w:hint="eastAsia" w:hAnsi="仿宋_GB2312" w:cs="仿宋_GB2312"/>
          <w:color w:val="auto"/>
          <w:highlight w:val="none"/>
        </w:rPr>
        <w:t>筑物可保留，待工程使用寿期届满后应拆除</w:t>
      </w:r>
      <w:r>
        <w:rPr>
          <w:rFonts w:hint="eastAsia" w:ascii="仿宋_GB2312" w:hAnsi="仿宋_GB2312" w:eastAsia="仿宋_GB2312" w:cs="仿宋_GB2312"/>
          <w:color w:val="auto"/>
          <w:highlight w:val="none"/>
        </w:rPr>
        <w:t>，置换为无人居住的户外休闲场所、绿地、耕地、林地等</w:t>
      </w:r>
      <w:r>
        <w:rPr>
          <w:rFonts w:hint="eastAsia" w:hAnsi="仿宋_GB2312" w:cs="仿宋_GB2312"/>
          <w:color w:val="auto"/>
          <w:highlight w:val="none"/>
        </w:rPr>
        <w:t>。在避让带内进行工程建设时，需要进行详细的勘探工作，进一步确定地震活断层通过的精确位置，并采取合理的避让措施，当线状工程不可避免要穿越全新世活动断层时，也应对工程穿越段做活断层专题研究工作</w:t>
      </w:r>
      <w:r>
        <w:rPr>
          <w:rFonts w:hint="eastAsia" w:hAnsi="仿宋_GB2312" w:cs="仿宋_GB2312"/>
          <w:color w:val="auto"/>
          <w:highlight w:val="none"/>
          <w:lang w:eastAsia="zh-CN"/>
        </w:rPr>
        <w:t>。</w:t>
      </w:r>
      <w:r>
        <w:rPr>
          <w:rFonts w:hint="eastAsia" w:hAnsi="仿宋_GB2312" w:cs="仿宋_GB2312"/>
          <w:color w:val="auto"/>
          <w:highlight w:val="none"/>
        </w:rPr>
        <w:t>在避让带两侧可能影响范围内实施工程项目前，应进行相关的专业勘测评估，根据探测结果和建筑抗震设防类别合理确定避让距离。</w:t>
      </w:r>
    </w:p>
    <w:bookmarkEnd w:id="96"/>
    <w:p w14:paraId="61816EA0">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00" w:name="_Hlk129898546"/>
      <w:bookmarkStart w:id="101" w:name="_Hlk124101455"/>
      <w:r>
        <w:rPr>
          <w:rFonts w:hint="eastAsia" w:ascii="仿宋_GB2312" w:hAnsi="Times New Roman" w:eastAsia="仿宋_GB2312"/>
          <w:b/>
          <w:bCs/>
          <w:color w:val="auto"/>
          <w:sz w:val="32"/>
          <w:szCs w:val="28"/>
          <w:highlight w:val="none"/>
        </w:rPr>
        <w:t>积极推动地质灾害综合防治</w:t>
      </w:r>
    </w:p>
    <w:bookmarkEnd w:id="100"/>
    <w:p w14:paraId="4037A06A">
      <w:pPr>
        <w:pStyle w:val="6"/>
        <w:rPr>
          <w:color w:val="auto"/>
          <w:highlight w:val="none"/>
        </w:rPr>
      </w:pPr>
      <w:bookmarkStart w:id="102" w:name="_Hlk129857190"/>
      <w:bookmarkStart w:id="103" w:name="_Hlk129898981"/>
      <w:r>
        <w:rPr>
          <w:rFonts w:hint="eastAsia"/>
          <w:color w:val="auto"/>
          <w:highlight w:val="none"/>
        </w:rPr>
        <w:t>健全综合地质灾害防治体系，构建地质灾害调查评价体系和避让与治理相结合的防灾体系，完善地质灾害应急响应体系，加强地质灾害危险性评估管理。</w:t>
      </w:r>
    </w:p>
    <w:p w14:paraId="10F989FF">
      <w:pPr>
        <w:pStyle w:val="6"/>
        <w:rPr>
          <w:color w:val="auto"/>
          <w:highlight w:val="none"/>
          <w:u w:val="none"/>
        </w:rPr>
      </w:pPr>
      <w:r>
        <w:rPr>
          <w:rFonts w:hint="eastAsia"/>
          <w:color w:val="auto"/>
          <w:highlight w:val="none"/>
        </w:rPr>
        <w:t>结合风险评价开展地质灾害综合防治，优先对险情重、危害大的地质灾害隐患点开展避险搬迁及工程治理，降低重大灾害风险。</w:t>
      </w:r>
      <w:r>
        <w:rPr>
          <w:rFonts w:hint="eastAsia"/>
          <w:color w:val="auto"/>
          <w:highlight w:val="none"/>
          <w:u w:val="none"/>
        </w:rPr>
        <w:t>至2035年，已查明地质灾害隐患点100%完成避险搬迁与工程治理，100%开展监测预警</w:t>
      </w:r>
      <w:bookmarkStart w:id="104" w:name="_Hlk148784946"/>
      <w:r>
        <w:rPr>
          <w:rFonts w:hint="eastAsia"/>
          <w:color w:val="auto"/>
          <w:highlight w:val="none"/>
          <w:u w:val="none"/>
        </w:rPr>
        <w:t>。</w:t>
      </w:r>
      <w:bookmarkEnd w:id="104"/>
    </w:p>
    <w:p w14:paraId="3F233B1F">
      <w:pPr>
        <w:pStyle w:val="6"/>
        <w:rPr>
          <w:color w:val="auto"/>
          <w:highlight w:val="none"/>
        </w:rPr>
      </w:pPr>
      <w:r>
        <w:rPr>
          <w:rFonts w:hint="eastAsia"/>
          <w:color w:val="auto"/>
          <w:highlight w:val="none"/>
        </w:rPr>
        <w:t>根据《</w:t>
      </w:r>
      <w:bookmarkStart w:id="105" w:name="_Hlk148785174"/>
      <w:r>
        <w:rPr>
          <w:rFonts w:hint="eastAsia"/>
          <w:color w:val="auto"/>
          <w:highlight w:val="none"/>
        </w:rPr>
        <w:t>四川省攀枝花市盐边县地质灾害风险调查评价（1</w:t>
      </w:r>
      <w:r>
        <w:rPr>
          <w:rFonts w:hint="eastAsia"/>
          <w:color w:val="auto"/>
          <w:highlight w:val="none"/>
          <w:lang w:eastAsia="zh-CN"/>
        </w:rPr>
        <w:t>∶</w:t>
      </w:r>
      <w:r>
        <w:rPr>
          <w:rFonts w:hint="eastAsia"/>
          <w:color w:val="auto"/>
          <w:highlight w:val="none"/>
        </w:rPr>
        <w:t>50000）成果报告</w:t>
      </w:r>
      <w:bookmarkEnd w:id="105"/>
      <w:r>
        <w:rPr>
          <w:rFonts w:hint="eastAsia"/>
          <w:color w:val="auto"/>
          <w:highlight w:val="none"/>
        </w:rPr>
        <w:t>》，划定现有地质灾害点的影响及安全防护范围线。</w:t>
      </w:r>
    </w:p>
    <w:p w14:paraId="5A6301E1">
      <w:pPr>
        <w:pStyle w:val="6"/>
        <w:rPr>
          <w:color w:val="auto"/>
          <w:highlight w:val="none"/>
          <w:u w:val="single"/>
        </w:rPr>
      </w:pPr>
      <w:r>
        <w:rPr>
          <w:rFonts w:hint="eastAsia"/>
          <w:color w:val="auto"/>
          <w:highlight w:val="none"/>
          <w:u w:val="single"/>
        </w:rPr>
        <w:t>按照《四川省自然资源厅关于将地质灾害风险调查评价成果纳入国土空间规划的通知》（川自然资发〔2022〕5号），城镇开发边界内已建成区，中风险区落实风险管控措施，采取地质灾害综合整治措施开展治理，全力确保安全；低风险区按规定落实地质灾害防患措施，开展城镇更新建设。城镇开发边界内规划建设区尽量避让地质灾害中、高危险区，确需纳入城镇开发边界内的中、高危险区，对高危险区不得作为城镇建设规划发展方向，对中危险区按照地质灾害危险性评估结论落实相关防治措施后，方可开展城镇开发建设；对低危险区按规定落实地质灾害防患措施后方可开展城镇开发建设。城镇开发边界外区域，对于单独选址项目，按照国务院《地质灾害防治条例》相关要求，开展地质灾害危险性评估并配套实施相关防护工程；对于农村居民点等用地，开展地质灾害风险调查评价，避让地质灾害高危险区。</w:t>
      </w:r>
    </w:p>
    <w:p w14:paraId="1A231CBB">
      <w:pPr>
        <w:spacing w:line="600" w:lineRule="exact"/>
        <w:ind w:firstLine="640"/>
        <w:rPr>
          <w:rFonts w:ascii="仿宋_GB2312" w:eastAsia="仿宋_GB2312" w:hAnsiTheme="minorEastAsia"/>
          <w:color w:val="auto"/>
          <w:sz w:val="32"/>
          <w:szCs w:val="28"/>
          <w:highlight w:val="none"/>
        </w:rPr>
      </w:pPr>
      <w:r>
        <w:rPr>
          <w:rFonts w:hint="eastAsia" w:ascii="仿宋_GB2312" w:eastAsia="仿宋_GB2312" w:hAnsiTheme="minorEastAsia"/>
          <w:color w:val="auto"/>
          <w:sz w:val="32"/>
          <w:szCs w:val="28"/>
          <w:highlight w:val="none"/>
          <w:u w:val="single"/>
        </w:rPr>
        <w:t>规划的建设用地在使用前，如地质条件与《四川省攀枝花市盐边县地质灾害风险调查评价（1</w:t>
      </w:r>
      <w:r>
        <w:rPr>
          <w:rFonts w:hint="eastAsia" w:ascii="仿宋_GB2312" w:eastAsia="仿宋_GB2312" w:hAnsiTheme="minorEastAsia"/>
          <w:color w:val="auto"/>
          <w:sz w:val="32"/>
          <w:szCs w:val="28"/>
          <w:highlight w:val="none"/>
          <w:u w:val="single"/>
          <w:lang w:eastAsia="zh-CN"/>
        </w:rPr>
        <w:t>∶</w:t>
      </w:r>
      <w:r>
        <w:rPr>
          <w:rFonts w:hint="eastAsia" w:ascii="仿宋_GB2312" w:eastAsia="仿宋_GB2312" w:hAnsiTheme="minorEastAsia"/>
          <w:color w:val="auto"/>
          <w:sz w:val="32"/>
          <w:szCs w:val="28"/>
          <w:highlight w:val="none"/>
          <w:u w:val="single"/>
        </w:rPr>
        <w:t>50000）成果报告》结论不一致或出现新的地质灾害隐患时，应再评估并消除地质灾害隐患后方可使用。</w:t>
      </w:r>
    </w:p>
    <w:bookmarkEnd w:id="102"/>
    <w:bookmarkEnd w:id="103"/>
    <w:p w14:paraId="5D966B6C">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气象灾害规划</w:t>
      </w:r>
    </w:p>
    <w:p w14:paraId="2B3DAF75">
      <w:pPr>
        <w:pStyle w:val="6"/>
        <w:ind w:firstLine="560" w:firstLineChars="175"/>
        <w:rPr>
          <w:color w:val="auto"/>
          <w:highlight w:val="none"/>
        </w:rPr>
      </w:pPr>
      <w:r>
        <w:rPr>
          <w:rFonts w:hint="eastAsia"/>
          <w:color w:val="auto"/>
          <w:highlight w:val="none"/>
        </w:rPr>
        <w:t>加强监测预警系统的建设，</w:t>
      </w:r>
      <w:r>
        <w:rPr>
          <w:rFonts w:hint="eastAsia"/>
          <w:color w:val="auto"/>
          <w:highlight w:val="none"/>
          <w:lang w:val="en-US" w:eastAsia="zh-CN"/>
        </w:rPr>
        <w:t>实现人口密集区、农业主产区和重要江河流域地面监测网络全覆盖，建成县、乡镇、村（社区）三级全覆盖的预警信息发布系统。适时修订气象灾害应急预案，</w:t>
      </w:r>
      <w:r>
        <w:rPr>
          <w:rFonts w:hint="eastAsia"/>
          <w:color w:val="auto"/>
          <w:highlight w:val="none"/>
        </w:rPr>
        <w:t>有效减轻极端气象灾害的危害。在盐边县各级国土空间规划</w:t>
      </w:r>
      <w:r>
        <w:rPr>
          <w:rFonts w:hint="eastAsia"/>
          <w:color w:val="auto"/>
          <w:highlight w:val="none"/>
          <w:lang w:val="en-US" w:eastAsia="zh-CN"/>
        </w:rPr>
        <w:t>编制</w:t>
      </w:r>
      <w:r>
        <w:rPr>
          <w:rFonts w:hint="eastAsia"/>
          <w:color w:val="auto"/>
          <w:highlight w:val="none"/>
        </w:rPr>
        <w:t>、基础设施建设、工农业生产布局和重大工程建设中，应充分考虑气候安全因素，开展气候韧性和适应性分析。</w:t>
      </w:r>
    </w:p>
    <w:p w14:paraId="31D34BF7">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加强</w:t>
      </w:r>
      <w:bookmarkStart w:id="106" w:name="_Hlk129899284"/>
      <w:r>
        <w:rPr>
          <w:rFonts w:hint="eastAsia" w:ascii="仿宋_GB2312" w:hAnsi="Times New Roman" w:eastAsia="仿宋_GB2312"/>
          <w:b/>
          <w:bCs/>
          <w:color w:val="auto"/>
          <w:sz w:val="32"/>
          <w:szCs w:val="28"/>
          <w:highlight w:val="none"/>
        </w:rPr>
        <w:t>重大危险源</w:t>
      </w:r>
      <w:bookmarkEnd w:id="106"/>
      <w:r>
        <w:rPr>
          <w:rFonts w:hint="eastAsia" w:ascii="仿宋_GB2312" w:hAnsi="Times New Roman" w:eastAsia="仿宋_GB2312"/>
          <w:b/>
          <w:bCs/>
          <w:color w:val="auto"/>
          <w:sz w:val="32"/>
          <w:szCs w:val="28"/>
          <w:highlight w:val="none"/>
        </w:rPr>
        <w:t>管控</w:t>
      </w:r>
    </w:p>
    <w:p w14:paraId="4271524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加强安全生产风险监测、预警能力建设，实现安全风险智能感知、态势评估、动态监测和分级预警。持续健全公共安全风险研判、隐患排查和安全预防控制体系，落实风险管控措施。</w:t>
      </w:r>
    </w:p>
    <w:p w14:paraId="1E8AD3ED">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易燃易爆危险品生产和储存单位应布置在城区、镇区、矿区外并远离人口聚居的安全地区，科学划定安全防护和缓冲空间，防护距离应满足相关规范要求。落实完善新建化工项目准入条件和危险化学品“禁限控”目录，持续推进不满足相关规范要求的危化品生产、储运企业和设施的升级改造或搬迁改造。强化攀枝花钒钛化工园区（安宁片区）等安全生产源头管控，开展园区安全风险评价，规范化工园区规划布局。严格落实生产经营单位准入和退出制度，实行化工园区封闭管理，明确园区“四至”范围，落实“一园一策”整治提升方案，进一步提升园区安全水平。</w:t>
      </w:r>
    </w:p>
    <w:p w14:paraId="40125EF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天然气集输管线原则上不得穿越城区、镇区、集镇、聚居点，高压输气管线保护</w:t>
      </w:r>
      <w:r>
        <w:rPr>
          <w:rFonts w:hint="eastAsia" w:ascii="仿宋_GB2312" w:eastAsia="仿宋_GB2312"/>
          <w:color w:val="auto"/>
          <w:sz w:val="32"/>
          <w:szCs w:val="32"/>
          <w:highlight w:val="none"/>
          <w:lang w:eastAsia="zh-CN"/>
        </w:rPr>
        <w:t>按照</w:t>
      </w:r>
      <w:r>
        <w:rPr>
          <w:rFonts w:hint="eastAsia" w:ascii="仿宋_GB2312" w:eastAsia="仿宋_GB2312"/>
          <w:color w:val="auto"/>
          <w:sz w:val="32"/>
          <w:szCs w:val="32"/>
          <w:highlight w:val="none"/>
        </w:rPr>
        <w:t>《中华人民共和国石油天然气管道保护法》（2010年）等相关要求执行；严格审核输气管线、集输站、燃气储配站、加油加气站等易燃易爆设施用地，减少安全隐患。</w:t>
      </w:r>
    </w:p>
    <w:p w14:paraId="4B2F312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严格按照《危险化学品生产装置和储存设施风险基准》（GB36894）、《危险化学品生产装置和储存外部安全防护距离确定方法》（GB/T37243）等国家相关标准规范，加强全县易燃易爆等重大危险源周边用地的管控，项目开发建设严格按照相关要求预留安全防护距离。加快编制涉及重大危险源的安全防灾专项规划或评估报告，依据专项规划或专项评估确定安全防控距离，制定重大危险源安全事故应急预案，提高事故应急处置能力。</w:t>
      </w:r>
    </w:p>
    <w:bookmarkEnd w:id="101"/>
    <w:p w14:paraId="710C2049">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健全公共卫生应急</w:t>
      </w:r>
      <w:r>
        <w:rPr>
          <w:rFonts w:hint="eastAsia" w:ascii="仿宋_GB2312" w:hAnsi="Times New Roman" w:eastAsia="仿宋_GB2312"/>
          <w:b/>
          <w:bCs/>
          <w:color w:val="auto"/>
          <w:sz w:val="32"/>
          <w:szCs w:val="28"/>
          <w:highlight w:val="none"/>
          <w:lang w:val="en-US" w:eastAsia="zh-CN"/>
        </w:rPr>
        <w:t>空间</w:t>
      </w:r>
      <w:r>
        <w:rPr>
          <w:rFonts w:hint="eastAsia" w:ascii="仿宋_GB2312" w:hAnsi="Times New Roman" w:eastAsia="仿宋_GB2312"/>
          <w:b/>
          <w:bCs/>
          <w:color w:val="auto"/>
          <w:sz w:val="32"/>
          <w:szCs w:val="28"/>
          <w:highlight w:val="none"/>
        </w:rPr>
        <w:t>体系</w:t>
      </w:r>
    </w:p>
    <w:p w14:paraId="65BA1AEC">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坚持“医防协同、平急结合”“全域统筹、完善网络”“规划协调，科学布局”的规划原则，统筹规划疾病预防与医疗救治应急空间，完善城乡应急空间治理网络，基层公共卫生应急空间布局以社区生活圈为基础，构建健康安全单元，形成县级、乡镇</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街道</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级、村（社区）级三级公共卫生应急空间。结合疾病预防控制应急空间，综合医院、传染病医院及基层医疗卫生机构等构建日常应急空间；结合应急定点医院、应急后备医院、其他医疗救治应急空间等医疗救治应急空间，平急结合空间，公共卫生应急保障空间构建因重大疫情启动的应急空间。</w:t>
      </w:r>
    </w:p>
    <w:p w14:paraId="6E74A5E7">
      <w:pPr>
        <w:spacing w:line="600" w:lineRule="exact"/>
        <w:ind w:firstLine="640"/>
        <w:rPr>
          <w:rFonts w:hint="eastAsia" w:ascii="仿宋_GB2312" w:eastAsia="仿宋_GB2312"/>
          <w:color w:val="auto"/>
          <w:sz w:val="32"/>
          <w:szCs w:val="32"/>
          <w:highlight w:val="none"/>
          <w:u w:val="single"/>
          <w:lang w:eastAsia="zh-CN"/>
        </w:rPr>
      </w:pPr>
      <w:r>
        <w:rPr>
          <w:rFonts w:hint="eastAsia" w:ascii="仿宋_GB2312" w:eastAsia="仿宋_GB2312"/>
          <w:color w:val="auto"/>
          <w:sz w:val="32"/>
          <w:szCs w:val="32"/>
          <w:highlight w:val="none"/>
        </w:rPr>
        <w:t>至2</w:t>
      </w:r>
      <w:r>
        <w:rPr>
          <w:rFonts w:ascii="仿宋_GB2312" w:eastAsia="仿宋_GB2312"/>
          <w:color w:val="auto"/>
          <w:sz w:val="32"/>
          <w:szCs w:val="32"/>
          <w:highlight w:val="none"/>
        </w:rPr>
        <w:t>035</w:t>
      </w:r>
      <w:r>
        <w:rPr>
          <w:rFonts w:hint="eastAsia" w:ascii="仿宋_GB2312" w:eastAsia="仿宋_GB2312"/>
          <w:color w:val="auto"/>
          <w:sz w:val="32"/>
          <w:szCs w:val="32"/>
          <w:highlight w:val="none"/>
        </w:rPr>
        <w:t>年，规划保留现状疾病预防控制中心，规划新增不少于1处平急结合设施和1处Ⅰ级平急结合场地，每个乡镇（街道）应不少于1处Ⅱ级平急结合场地，大型商圈、交通枢纽宜配置1处Ⅲ级平急结合场地，每个村（社区）应不少于1处Ⅳ级平急结合场地，服务管理人口超过2万的社区（村）应增设。平急结合设施与周边建筑应满足不小于20米的安全隔离间距。规划公共卫生应急预控用地，位于城市常年主导下风向、水源保护区下游，科学划定安全防护和缓冲空间</w:t>
      </w:r>
      <w:r>
        <w:rPr>
          <w:rFonts w:hint="eastAsia" w:ascii="仿宋_GB2312" w:eastAsia="仿宋_GB2312"/>
          <w:color w:val="auto"/>
          <w:sz w:val="32"/>
          <w:szCs w:val="32"/>
          <w:highlight w:val="none"/>
          <w:lang w:eastAsia="zh-CN"/>
        </w:rPr>
        <w:t>。</w:t>
      </w:r>
    </w:p>
    <w:p w14:paraId="51E74892">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推进应急救援、疏散通道及避难设施建设</w:t>
      </w:r>
    </w:p>
    <w:p w14:paraId="4F1132D6">
      <w:pPr>
        <w:spacing w:line="600" w:lineRule="exact"/>
        <w:ind w:firstLine="640"/>
        <w:rPr>
          <w:rFonts w:ascii="仿宋_GB2312" w:eastAsia="仿宋_GB2312"/>
          <w:color w:val="auto"/>
          <w:sz w:val="32"/>
          <w:szCs w:val="32"/>
          <w:highlight w:val="none"/>
          <w:u w:val="single"/>
        </w:rPr>
      </w:pPr>
      <w:r>
        <w:rPr>
          <w:rFonts w:hint="eastAsia" w:ascii="仿宋_GB2312" w:eastAsia="仿宋_GB2312"/>
          <w:color w:val="auto"/>
          <w:sz w:val="32"/>
          <w:szCs w:val="32"/>
          <w:highlight w:val="none"/>
          <w:u w:val="single"/>
        </w:rPr>
        <w:t>结合高速公路、快速路、国道等设置县域应急救援、疏散干道，结合国、省干道设置县域应急救援、疏散主通道。县域各城镇建成区应急救援、疏散通道结合出入通道和城镇道路系统建设。</w:t>
      </w:r>
    </w:p>
    <w:p w14:paraId="3273C462">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根据《城市综合防灾规划标准》和《四川省“十四五”应急规划》确定县域应急避难场所建设标准。</w:t>
      </w:r>
      <w:r>
        <w:rPr>
          <w:rFonts w:hint="eastAsia" w:ascii="仿宋_GB2312" w:eastAsia="仿宋_GB2312"/>
          <w:color w:val="auto"/>
          <w:sz w:val="32"/>
          <w:szCs w:val="32"/>
          <w:highlight w:val="none"/>
          <w:u w:val="single"/>
          <w:lang w:val="en-US" w:eastAsia="zh-CN"/>
        </w:rPr>
        <w:t>固定</w:t>
      </w:r>
      <w:r>
        <w:rPr>
          <w:rFonts w:hint="eastAsia" w:ascii="仿宋_GB2312" w:eastAsia="仿宋_GB2312"/>
          <w:color w:val="auto"/>
          <w:sz w:val="32"/>
          <w:szCs w:val="32"/>
          <w:highlight w:val="none"/>
          <w:u w:val="single"/>
        </w:rPr>
        <w:t>避难场所人均有效面积不小于</w:t>
      </w:r>
      <w:r>
        <w:rPr>
          <w:rFonts w:ascii="仿宋_GB2312" w:eastAsia="仿宋_GB2312"/>
          <w:color w:val="auto"/>
          <w:sz w:val="32"/>
          <w:szCs w:val="32"/>
          <w:highlight w:val="none"/>
          <w:u w:val="single"/>
        </w:rPr>
        <w:t>2</w:t>
      </w:r>
      <w:r>
        <w:rPr>
          <w:rFonts w:hint="eastAsia" w:ascii="仿宋_GB2312" w:eastAsia="仿宋_GB2312"/>
          <w:color w:val="auto"/>
          <w:sz w:val="32"/>
          <w:szCs w:val="32"/>
          <w:highlight w:val="none"/>
          <w:u w:val="single"/>
        </w:rPr>
        <w:t>平方米。</w:t>
      </w:r>
      <w:r>
        <w:rPr>
          <w:rFonts w:hint="eastAsia" w:ascii="仿宋_GB2312" w:eastAsia="仿宋_GB2312"/>
          <w:color w:val="auto"/>
          <w:sz w:val="32"/>
          <w:szCs w:val="32"/>
          <w:highlight w:val="none"/>
        </w:rPr>
        <w:t>结合广场、绿地、公园、学校、体育场馆等公共设施完善应急避难场所建设，统筹安排交通、供水、供电、环保、物资储备等设备设施。人员密集场所设置应急疏散通道，配备必要的救生避险设施。</w:t>
      </w:r>
    </w:p>
    <w:p w14:paraId="60E5BDD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加强应急救灾物资保障</w:t>
      </w:r>
    </w:p>
    <w:p w14:paraId="55C8F682">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完善以政府储备为主、社会储备为辅的救灾物资储备机制，建设</w:t>
      </w:r>
      <w:r>
        <w:rPr>
          <w:rFonts w:hint="eastAsia" w:ascii="仿宋_GB2312" w:eastAsia="仿宋_GB2312"/>
          <w:color w:val="auto"/>
          <w:sz w:val="32"/>
          <w:szCs w:val="32"/>
          <w:highlight w:val="none"/>
          <w:u w:val="none"/>
        </w:rPr>
        <w:t>县级、乡镇级、村（社区）级</w:t>
      </w:r>
      <w:r>
        <w:rPr>
          <w:rFonts w:hint="eastAsia" w:ascii="仿宋_GB2312" w:eastAsia="仿宋_GB2312"/>
          <w:color w:val="auto"/>
          <w:sz w:val="32"/>
          <w:szCs w:val="32"/>
          <w:highlight w:val="none"/>
        </w:rPr>
        <w:t>三级救灾物资储备体系，优化储备布局和方式，完善跨区域、跨部门的物资生产、储备、调拨和紧急配送机制。</w:t>
      </w:r>
    </w:p>
    <w:p w14:paraId="35D8E40E">
      <w:pPr>
        <w:pStyle w:val="7"/>
        <w:keepNext/>
        <w:keepLines/>
        <w:numPr>
          <w:ilvl w:val="0"/>
          <w:numId w:val="12"/>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107" w:name="_Toc132447829"/>
      <w:bookmarkStart w:id="108" w:name="_Toc26645"/>
      <w:bookmarkStart w:id="109" w:name="_Toc14377"/>
      <w:r>
        <w:rPr>
          <w:rFonts w:hint="eastAsia" w:ascii="黑体" w:hAnsi="黑体" w:eastAsia="黑体"/>
          <w:bCs/>
          <w:color w:val="auto"/>
          <w:sz w:val="32"/>
          <w:szCs w:val="32"/>
          <w:highlight w:val="none"/>
        </w:rPr>
        <w:t>支撑体系</w:t>
      </w:r>
      <w:bookmarkEnd w:id="107"/>
      <w:bookmarkEnd w:id="108"/>
      <w:bookmarkEnd w:id="109"/>
    </w:p>
    <w:p w14:paraId="4245EEFB">
      <w:pPr>
        <w:pStyle w:val="8"/>
        <w:keepNext/>
        <w:keepLines/>
        <w:numPr>
          <w:ilvl w:val="0"/>
          <w:numId w:val="18"/>
        </w:numPr>
        <w:adjustRightInd/>
        <w:snapToGrid/>
        <w:ind w:left="0"/>
        <w:jc w:val="center"/>
        <w:rPr>
          <w:rFonts w:ascii="仿宋_GB2312" w:hAnsi="Calibri" w:eastAsia="仿宋_GB2312"/>
          <w:b/>
          <w:bCs/>
          <w:color w:val="auto"/>
          <w:highlight w:val="none"/>
        </w:rPr>
      </w:pPr>
      <w:bookmarkStart w:id="110" w:name="_Toc9268"/>
      <w:bookmarkStart w:id="111" w:name="_Toc122513296"/>
      <w:bookmarkStart w:id="112" w:name="_Toc124195941"/>
      <w:r>
        <w:rPr>
          <w:rFonts w:hint="eastAsia" w:ascii="仿宋_GB2312" w:hAnsi="Calibri" w:eastAsia="仿宋_GB2312"/>
          <w:b/>
          <w:bCs/>
          <w:color w:val="auto"/>
          <w:highlight w:val="none"/>
        </w:rPr>
        <w:t>综合交通</w:t>
      </w:r>
      <w:bookmarkEnd w:id="110"/>
      <w:bookmarkEnd w:id="111"/>
      <w:bookmarkEnd w:id="112"/>
    </w:p>
    <w:p w14:paraId="755CA9E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13" w:name="_Toc124195942"/>
      <w:r>
        <w:rPr>
          <w:rFonts w:hint="eastAsia" w:ascii="仿宋_GB2312" w:hAnsi="Times New Roman" w:eastAsia="仿宋_GB2312"/>
          <w:b/>
          <w:bCs/>
          <w:color w:val="auto"/>
          <w:sz w:val="32"/>
          <w:szCs w:val="28"/>
          <w:highlight w:val="none"/>
        </w:rPr>
        <w:t>确定综合交通发展目标</w:t>
      </w:r>
    </w:p>
    <w:p w14:paraId="4BF09950">
      <w:pPr>
        <w:spacing w:line="600" w:lineRule="exact"/>
        <w:ind w:firstLine="640"/>
        <w:rPr>
          <w:rFonts w:ascii="仿宋_GB2312" w:eastAsia="仿宋_GB2312" w:hAnsiTheme="minorEastAsia"/>
          <w:color w:val="auto"/>
          <w:sz w:val="32"/>
          <w:szCs w:val="32"/>
          <w:highlight w:val="none"/>
        </w:rPr>
      </w:pPr>
      <w:r>
        <w:rPr>
          <w:rFonts w:hint="eastAsia" w:ascii="仿宋_GB2312" w:eastAsia="仿宋_GB2312" w:hAnsiTheme="minorEastAsia"/>
          <w:color w:val="auto"/>
          <w:sz w:val="32"/>
          <w:szCs w:val="32"/>
          <w:highlight w:val="none"/>
        </w:rPr>
        <w:t>按照“打开大通道、重构大路网；建设快速路、提升通行力；改造节点路、形成环线网”的思路，全力构建</w:t>
      </w:r>
      <w:r>
        <w:rPr>
          <w:rFonts w:ascii="仿宋_GB2312" w:hAnsi="宋体" w:eastAsia="仿宋_GB2312" w:cs="仿宋_GB2312"/>
          <w:color w:val="auto"/>
          <w:kern w:val="0"/>
          <w:sz w:val="31"/>
          <w:szCs w:val="31"/>
          <w:highlight w:val="none"/>
          <w:lang w:val="en-US" w:eastAsia="zh-CN" w:bidi="ar"/>
        </w:rPr>
        <w:t>县域</w:t>
      </w:r>
      <w:r>
        <w:rPr>
          <w:rFonts w:hint="default" w:ascii="Times New Roman" w:hAnsi="Times New Roman" w:eastAsia="宋体" w:cs="Times New Roman"/>
          <w:color w:val="auto"/>
          <w:kern w:val="0"/>
          <w:sz w:val="31"/>
          <w:szCs w:val="31"/>
          <w:highlight w:val="none"/>
          <w:lang w:val="en-US" w:eastAsia="zh-CN" w:bidi="ar"/>
        </w:rPr>
        <w:t>“369”</w:t>
      </w:r>
      <w:r>
        <w:rPr>
          <w:rFonts w:hint="eastAsia" w:ascii="仿宋_GB2312" w:hAnsi="宋体" w:eastAsia="仿宋_GB2312" w:cs="仿宋_GB2312"/>
          <w:color w:val="auto"/>
          <w:kern w:val="0"/>
          <w:sz w:val="31"/>
          <w:szCs w:val="31"/>
          <w:highlight w:val="none"/>
          <w:lang w:val="en-US" w:eastAsia="zh-CN" w:bidi="ar"/>
        </w:rPr>
        <w:t>交通圈，即</w:t>
      </w:r>
      <w:r>
        <w:rPr>
          <w:rFonts w:hint="eastAsia" w:ascii="仿宋_GB2312" w:eastAsia="仿宋_GB2312" w:hAnsiTheme="minorEastAsia"/>
          <w:color w:val="auto"/>
          <w:sz w:val="32"/>
          <w:szCs w:val="32"/>
          <w:highlight w:val="none"/>
        </w:rPr>
        <w:t>县城到市区30分钟生活圈，村组到乡镇60分钟服务圈，边远乡镇到县城90分钟工作圈。</w:t>
      </w:r>
    </w:p>
    <w:p w14:paraId="507D6EF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明确县域综合交通发展策略</w:t>
      </w:r>
    </w:p>
    <w:p w14:paraId="0B68F674">
      <w:pPr>
        <w:pStyle w:val="129"/>
        <w:ind w:firstLine="641"/>
        <w:rPr>
          <w:rFonts w:ascii="仿宋_GB2312" w:eastAsia="仿宋_GB2312" w:cs="宋体" w:hAnsiTheme="minorEastAsia"/>
          <w:color w:val="auto"/>
          <w:highlight w:val="none"/>
        </w:rPr>
      </w:pPr>
      <w:r>
        <w:rPr>
          <w:rFonts w:hint="eastAsia" w:ascii="仿宋_GB2312" w:eastAsia="仿宋_GB2312" w:cs="宋体" w:hAnsiTheme="minorEastAsia"/>
          <w:b/>
          <w:bCs/>
          <w:color w:val="auto"/>
          <w:highlight w:val="none"/>
        </w:rPr>
        <w:t>对外交通策略</w:t>
      </w:r>
      <w:r>
        <w:rPr>
          <w:rFonts w:hint="eastAsia" w:ascii="仿宋_GB2312" w:eastAsia="仿宋_GB2312" w:cs="宋体" w:hAnsiTheme="minorEastAsia"/>
          <w:color w:val="auto"/>
          <w:highlight w:val="none"/>
        </w:rPr>
        <w:t>：依托现有及在建高速公路为骨架，强化国省干线公路改造升级，提升盐边对外公共交通联系，构筑县域多层次多方式的复合通道，强化区域联系，提供多样化市民出行方式。</w:t>
      </w:r>
    </w:p>
    <w:p w14:paraId="2C81D98B">
      <w:pPr>
        <w:pStyle w:val="129"/>
        <w:ind w:firstLine="641"/>
        <w:rPr>
          <w:color w:val="auto"/>
          <w:highlight w:val="none"/>
        </w:rPr>
      </w:pPr>
      <w:r>
        <w:rPr>
          <w:rFonts w:hint="eastAsia" w:ascii="仿宋_GB2312" w:eastAsia="仿宋_GB2312" w:cs="宋体" w:hAnsiTheme="minorEastAsia"/>
          <w:b/>
          <w:bCs/>
          <w:color w:val="auto"/>
          <w:highlight w:val="none"/>
        </w:rPr>
        <w:t>县域交通策略</w:t>
      </w:r>
      <w:r>
        <w:rPr>
          <w:rFonts w:hint="eastAsia" w:ascii="仿宋_GB2312" w:eastAsia="仿宋_GB2312" w:cs="宋体" w:hAnsiTheme="minorEastAsia"/>
          <w:color w:val="auto"/>
          <w:highlight w:val="none"/>
        </w:rPr>
        <w:t>：确保二级以上公路联系中心镇，三级以上公路联系一般乡镇，形成功能层次分明、级配合理的县域公路网体系。</w:t>
      </w:r>
    </w:p>
    <w:p w14:paraId="05B6DA02">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加快构建县域铁路交通</w:t>
      </w:r>
    </w:p>
    <w:p w14:paraId="70A67742">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在现有成昆铁路、成昆铁路新线的基础上，研究</w:t>
      </w:r>
      <w:r>
        <w:rPr>
          <w:rFonts w:hint="eastAsia" w:ascii="仿宋_GB2312" w:hAnsi="仿宋_GB2312" w:eastAsia="仿宋_GB2312" w:cs="仿宋_GB2312"/>
          <w:color w:val="auto"/>
          <w:sz w:val="32"/>
          <w:szCs w:val="32"/>
          <w:highlight w:val="none"/>
        </w:rPr>
        <w:t>预留宜西攀高铁廊道，争取纳入国家规划。规划</w:t>
      </w:r>
      <w:r>
        <w:rPr>
          <w:rFonts w:hint="eastAsia" w:ascii="仿宋_GB2312" w:eastAsia="仿宋_GB2312"/>
          <w:color w:val="auto"/>
          <w:sz w:val="32"/>
          <w:szCs w:val="32"/>
          <w:highlight w:val="none"/>
        </w:rPr>
        <w:t>大理—攀枝花—昭通铁路，客货混行，按双线条件建设，补充东西向铁路设施的不足。规划红格南矿专用线衔接大理—攀枝花—昭通铁路，提升货运功能。</w:t>
      </w:r>
    </w:p>
    <w:p w14:paraId="4D2B848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根据攀枝花市域构建“一主两副”的铁路客运枢纽格局，落实成昆铁路新线的盐边站为攀枝花铁路客运枢纽副中心。规划争取大理—攀枝花—昭通铁路在盐边设站，满足矿产开发物流运输需要。</w:t>
      </w:r>
    </w:p>
    <w:p w14:paraId="31453DE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完善县域高快速路体系</w:t>
      </w:r>
    </w:p>
    <w:p w14:paraId="3F95E04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依托现状京昆高速、蓉丽高速，新建攀枝花至盐源高速公路、攀枝花绕城高速形成“两纵一横一环”的高速公路网格局。</w:t>
      </w:r>
    </w:p>
    <w:p w14:paraId="6037C955">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“两纵”：京昆高速、攀枝花至盐源高速公路。</w:t>
      </w:r>
    </w:p>
    <w:p w14:paraId="6389C89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“一横”：蓉丽高速。</w:t>
      </w:r>
    </w:p>
    <w:p w14:paraId="519B659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“一环”：攀枝花绕城高速公路。</w:t>
      </w:r>
    </w:p>
    <w:p w14:paraId="72059AC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规划远期建设攀枝花绕城北延线，南起攀枝花绕城高速，北至攀盐高速永兴枢纽互通，带动库区旅游发展。</w:t>
      </w:r>
    </w:p>
    <w:p w14:paraId="195B2BC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提升县域干线公路网络</w:t>
      </w:r>
    </w:p>
    <w:p w14:paraId="35396234">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县域范围内规划形成“六纵两横”8条干线公路，公路等级至少为公路二级。规划新建G4216连接线，联系中心城区与红格镇；新建及改造形成省道S218，连接中心城区与新九镇</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包括</w:t>
      </w:r>
      <w:r>
        <w:rPr>
          <w:rFonts w:hint="eastAsia" w:ascii="仿宋_GB2312" w:eastAsia="仿宋_GB2312"/>
          <w:color w:val="auto"/>
          <w:sz w:val="32"/>
          <w:szCs w:val="32"/>
          <w:highlight w:val="none"/>
        </w:rPr>
        <w:t>红格南矿区</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，作为主要客货运通道；改造省道S221、S564、S470</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S471</w:t>
      </w:r>
      <w:r>
        <w:rPr>
          <w:rFonts w:hint="eastAsia" w:ascii="仿宋_GB2312" w:eastAsia="仿宋_GB2312"/>
          <w:color w:val="auto"/>
          <w:sz w:val="32"/>
          <w:szCs w:val="32"/>
          <w:highlight w:val="none"/>
        </w:rPr>
        <w:t>，升级县域南北交通要道，</w:t>
      </w:r>
      <w:r>
        <w:rPr>
          <w:rFonts w:hint="eastAsia" w:ascii="仿宋_GB2312" w:eastAsia="仿宋_GB2312"/>
          <w:color w:val="auto"/>
          <w:sz w:val="32"/>
          <w:szCs w:val="32"/>
          <w:highlight w:val="none"/>
          <w:lang w:val="en-US" w:eastAsia="zh-CN"/>
        </w:rPr>
        <w:t>新建县城至新九快速路，</w:t>
      </w:r>
      <w:r>
        <w:rPr>
          <w:rFonts w:hint="eastAsia" w:ascii="仿宋_GB2312" w:eastAsia="仿宋_GB2312"/>
          <w:color w:val="auto"/>
          <w:sz w:val="32"/>
          <w:szCs w:val="32"/>
          <w:highlight w:val="none"/>
        </w:rPr>
        <w:t>共同支撑</w:t>
      </w:r>
      <w:r>
        <w:rPr>
          <w:rFonts w:hint="eastAsia" w:ascii="仿宋_GB2312" w:eastAsia="仿宋_GB2312"/>
          <w:color w:val="auto"/>
          <w:sz w:val="32"/>
          <w:szCs w:val="32"/>
          <w:highlight w:val="none"/>
          <w:lang w:val="en-US" w:eastAsia="zh-CN"/>
        </w:rPr>
        <w:t>县域</w:t>
      </w:r>
      <w:r>
        <w:rPr>
          <w:rFonts w:hint="eastAsia" w:ascii="仿宋_GB2312" w:eastAsia="仿宋_GB2312"/>
          <w:color w:val="auto"/>
          <w:sz w:val="32"/>
          <w:szCs w:val="32"/>
          <w:highlight w:val="none"/>
        </w:rPr>
        <w:t>产业发展。将国道G227盐边桐子林至雅江桥段提档升级为一级公路。</w:t>
      </w:r>
    </w:p>
    <w:p w14:paraId="306639A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“六纵”：国道G227</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省道S221、S564、S471、S218</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G4216连接线；</w:t>
      </w:r>
    </w:p>
    <w:p w14:paraId="4E7F97A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“两横”：国道G353、省道S470。</w:t>
      </w:r>
    </w:p>
    <w:p w14:paraId="15C0F8E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完善县乡公路网系统</w:t>
      </w:r>
    </w:p>
    <w:p w14:paraId="2C427AC2">
      <w:pPr>
        <w:pStyle w:val="129"/>
        <w:ind w:firstLine="641"/>
        <w:rPr>
          <w:rFonts w:ascii="仿宋_GB2312" w:hAnsi="Calibri" w:eastAsia="仿宋_GB2312" w:cs="宋体"/>
          <w:color w:val="auto"/>
          <w:highlight w:val="none"/>
        </w:rPr>
      </w:pPr>
      <w:r>
        <w:rPr>
          <w:rFonts w:hint="eastAsia" w:ascii="仿宋_GB2312" w:hAnsi="Calibri" w:eastAsia="仿宋_GB2312" w:cs="宋体"/>
          <w:b/>
          <w:bCs/>
          <w:color w:val="auto"/>
          <w:highlight w:val="none"/>
        </w:rPr>
        <w:t>县道</w:t>
      </w:r>
      <w:r>
        <w:rPr>
          <w:rFonts w:hint="eastAsia" w:ascii="仿宋_GB2312" w:hAnsi="Calibri" w:eastAsia="仿宋_GB2312" w:cs="宋体"/>
          <w:color w:val="auto"/>
          <w:highlight w:val="none"/>
        </w:rPr>
        <w:t>：镇级人民政府所在地以及重要交通节点、重要文化旅游节点、重要经济节点至少有1条县道及以上公路连接，县际主要通道和各乡镇间实现县道及以上公路连接。</w:t>
      </w:r>
    </w:p>
    <w:p w14:paraId="3C722DAD">
      <w:pPr>
        <w:spacing w:line="600" w:lineRule="exact"/>
        <w:ind w:firstLine="641"/>
        <w:rPr>
          <w:color w:val="auto"/>
          <w:highlight w:val="none"/>
        </w:rPr>
      </w:pPr>
      <w:r>
        <w:rPr>
          <w:rFonts w:hint="eastAsia" w:ascii="仿宋_GB2312" w:eastAsia="仿宋_GB2312"/>
          <w:b/>
          <w:bCs/>
          <w:color w:val="auto"/>
          <w:sz w:val="32"/>
          <w:szCs w:val="32"/>
          <w:highlight w:val="none"/>
        </w:rPr>
        <w:t>乡道</w:t>
      </w:r>
      <w:r>
        <w:rPr>
          <w:rFonts w:hint="eastAsia" w:ascii="仿宋_GB2312" w:eastAsia="仿宋_GB2312"/>
          <w:color w:val="auto"/>
          <w:sz w:val="32"/>
          <w:szCs w:val="32"/>
          <w:highlight w:val="none"/>
        </w:rPr>
        <w:t>：各村以及一般交通节点、一般文化旅游节点、一般经济节点有1条乡道及以上公路连接。</w:t>
      </w:r>
    </w:p>
    <w:p w14:paraId="01CE858C">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统筹安排航道码头</w:t>
      </w:r>
    </w:p>
    <w:p w14:paraId="1C168A77">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推动盐边县航道整治，提升金沙江航道达到三级航道标准，二滩库区达到五级航道标准。加快现状渔门客运码头、二滩客运码头、共和客运码头、长宁码头、鲊石渡口等升级改造。结合康养旅游发展规划新建桐子林旅游客运码头。</w:t>
      </w:r>
    </w:p>
    <w:p w14:paraId="2E6808B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研究落实航空布局</w:t>
      </w:r>
    </w:p>
    <w:p w14:paraId="1EC862D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依托京昆高速、蓉丽高速加强盐边与攀枝花机场联系；依托京昆高速，形成与西昌机场的快速联系。规划盐边设二类及以上通用机场，开展商用无人机测试、试飞中心等业务，发展通航产业。</w:t>
      </w:r>
    </w:p>
    <w:p w14:paraId="65BAF5F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统筹安排县域旅游交通</w:t>
      </w:r>
    </w:p>
    <w:p w14:paraId="1FD63C4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规划形成“一环一带”旅游交通路网。</w:t>
      </w:r>
    </w:p>
    <w:p w14:paraId="19FF7BBF">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一环：生态旅游环线。结合省道S221、S564线、箐温路、国红路、箐国路、渔红路等打造盐边格萨拉旅游大环线，重点串联渔门岛度假中心、箐河瀑布、四川盐边格萨拉国家级地质公园、择木龙、杜鹃花海、国胜茶园等景区景点，沿线建设驿站、观景台、停车区、露营地等配套设施，加强主题景观营造，展现路域范围内的景观风貌。</w:t>
      </w:r>
    </w:p>
    <w:p w14:paraId="720B153C">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一带：沿江、沿湖旅游风情带。依托二滩库区和沿江公路，打造水陆旅游线路，串联欧方营地、二滩大坝、四川二滩国家级森林公园等重要景区，在保证水体质量的基础上构建水岸景观与沿线旅游资源，重点开发游船、游艇水上观光等水上旅游项目。</w:t>
      </w:r>
    </w:p>
    <w:p w14:paraId="3FA844D7">
      <w:pPr>
        <w:pStyle w:val="8"/>
        <w:keepNext/>
        <w:keepLines/>
        <w:numPr>
          <w:ilvl w:val="0"/>
          <w:numId w:val="18"/>
        </w:numPr>
        <w:adjustRightInd/>
        <w:snapToGrid/>
        <w:ind w:left="0"/>
        <w:jc w:val="center"/>
        <w:rPr>
          <w:rFonts w:ascii="仿宋_GB2312" w:hAnsi="Calibri" w:eastAsia="仿宋_GB2312"/>
          <w:b/>
          <w:bCs/>
          <w:color w:val="auto"/>
          <w:highlight w:val="none"/>
        </w:rPr>
      </w:pPr>
      <w:bookmarkStart w:id="114" w:name="_Toc124195943"/>
      <w:bookmarkStart w:id="115" w:name="_Toc26451"/>
      <w:r>
        <w:rPr>
          <w:rFonts w:hint="eastAsia" w:ascii="仿宋_GB2312" w:hAnsi="Calibri" w:eastAsia="仿宋_GB2312"/>
          <w:b/>
          <w:bCs/>
          <w:color w:val="auto"/>
          <w:highlight w:val="none"/>
        </w:rPr>
        <w:t>能源设施</w:t>
      </w:r>
      <w:bookmarkEnd w:id="114"/>
      <w:bookmarkEnd w:id="115"/>
    </w:p>
    <w:p w14:paraId="0F0A2767">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完善电力能源输配设施</w:t>
      </w:r>
    </w:p>
    <w:p w14:paraId="741023E5">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优先开发利用水能、风能、太阳能、生物质能、地热能、氢能等能源，严格管控煤电建设，发展以新能源及可再生能源为主，煤电为辅的多元电力供应体系。至2035年，清洁能源发电比重达到95%以上。</w:t>
      </w:r>
    </w:p>
    <w:p w14:paraId="09CB65D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新建格萨拉500</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升压站。保留现状220</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桐子林变、220</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安宁变、220</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青龙山变（区域外），新建220</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南矿变；总装机容量为1811.5</w:t>
      </w:r>
      <w:r>
        <w:rPr>
          <w:rFonts w:hint="eastAsia" w:ascii="仿宋_GB2312" w:eastAsia="仿宋_GB2312"/>
          <w:color w:val="auto"/>
          <w:sz w:val="32"/>
          <w:szCs w:val="32"/>
          <w:highlight w:val="none"/>
          <w:lang w:eastAsia="zh-CN"/>
        </w:rPr>
        <w:t>兆伏安</w:t>
      </w:r>
      <w:r>
        <w:rPr>
          <w:rFonts w:hint="eastAsia" w:ascii="仿宋_GB2312" w:eastAsia="仿宋_GB2312"/>
          <w:color w:val="auto"/>
          <w:sz w:val="32"/>
          <w:szCs w:val="32"/>
          <w:highlight w:val="none"/>
        </w:rPr>
        <w:t>。保留红格变、城南变、箐河变、新城变、桑园变、新九变共6座110</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变电站，新建红格变1#、干塘变、矿山变共3座110</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变电站；总装机容量为1122</w:t>
      </w:r>
      <w:r>
        <w:rPr>
          <w:rFonts w:hint="eastAsia" w:ascii="仿宋_GB2312" w:eastAsia="仿宋_GB2312"/>
          <w:color w:val="auto"/>
          <w:sz w:val="32"/>
          <w:szCs w:val="32"/>
          <w:highlight w:val="none"/>
          <w:lang w:eastAsia="zh-CN"/>
        </w:rPr>
        <w:t>兆伏安</w:t>
      </w:r>
      <w:r>
        <w:rPr>
          <w:rFonts w:hint="eastAsia" w:ascii="仿宋_GB2312" w:eastAsia="仿宋_GB2312"/>
          <w:color w:val="auto"/>
          <w:sz w:val="32"/>
          <w:szCs w:val="32"/>
          <w:highlight w:val="none"/>
        </w:rPr>
        <w:t>。保留和爱变、安宁变、蚂蝗沟变、方家沟变、红坭变、共和变、河口变共</w:t>
      </w:r>
      <w:r>
        <w:rPr>
          <w:rFonts w:hint="eastAsia" w:ascii="仿宋_GB2312" w:eastAsia="仿宋_GB2312"/>
          <w:color w:val="auto"/>
          <w:sz w:val="32"/>
          <w:szCs w:val="32"/>
          <w:highlight w:val="none"/>
          <w:lang w:val="en-US" w:eastAsia="zh-CN"/>
        </w:rPr>
        <w:t>7</w:t>
      </w:r>
      <w:r>
        <w:rPr>
          <w:rFonts w:hint="eastAsia" w:ascii="仿宋_GB2312" w:eastAsia="仿宋_GB2312"/>
          <w:color w:val="auto"/>
          <w:sz w:val="32"/>
          <w:szCs w:val="32"/>
          <w:highlight w:val="none"/>
        </w:rPr>
        <w:t>座35</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变电站，扩容格萨拉变、永兴变共2座35</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变电站，新建惠民变、</w:t>
      </w:r>
      <w:r>
        <w:rPr>
          <w:rFonts w:hint="eastAsia" w:ascii="仿宋_GB2312" w:hAnsi="仿宋_GB2312" w:eastAsia="仿宋_GB2312" w:cs="仿宋_GB2312"/>
          <w:color w:val="auto"/>
          <w:sz w:val="32"/>
          <w:szCs w:val="32"/>
          <w:highlight w:val="none"/>
        </w:rPr>
        <w:t>鳡鱼变共</w:t>
      </w:r>
      <w:r>
        <w:rPr>
          <w:rFonts w:hint="eastAsia" w:ascii="仿宋_GB2312" w:eastAsia="仿宋_GB2312"/>
          <w:color w:val="auto"/>
          <w:sz w:val="32"/>
          <w:szCs w:val="32"/>
          <w:highlight w:val="none"/>
        </w:rPr>
        <w:t>2座35</w:t>
      </w:r>
      <w:r>
        <w:rPr>
          <w:rFonts w:hint="eastAsia" w:ascii="仿宋_GB2312" w:eastAsia="仿宋_GB2312"/>
          <w:color w:val="auto"/>
          <w:sz w:val="32"/>
          <w:szCs w:val="32"/>
          <w:highlight w:val="none"/>
          <w:lang w:eastAsia="zh-CN"/>
        </w:rPr>
        <w:t>千伏</w:t>
      </w:r>
      <w:r>
        <w:rPr>
          <w:rFonts w:hint="eastAsia" w:ascii="仿宋_GB2312" w:eastAsia="仿宋_GB2312"/>
          <w:color w:val="auto"/>
          <w:sz w:val="32"/>
          <w:szCs w:val="32"/>
          <w:highlight w:val="none"/>
        </w:rPr>
        <w:t>变电站；总装机容量为</w:t>
      </w:r>
      <w:r>
        <w:rPr>
          <w:rFonts w:ascii="仿宋_GB2312" w:eastAsia="仿宋_GB2312"/>
          <w:color w:val="auto"/>
          <w:sz w:val="32"/>
          <w:szCs w:val="32"/>
          <w:highlight w:val="none"/>
        </w:rPr>
        <w:t>130.1</w:t>
      </w:r>
      <w:r>
        <w:rPr>
          <w:rFonts w:hint="eastAsia" w:ascii="仿宋_GB2312" w:eastAsia="仿宋_GB2312"/>
          <w:color w:val="auto"/>
          <w:sz w:val="32"/>
          <w:szCs w:val="32"/>
          <w:highlight w:val="none"/>
          <w:lang w:eastAsia="zh-CN"/>
        </w:rPr>
        <w:t>兆伏安</w:t>
      </w:r>
      <w:r>
        <w:rPr>
          <w:rFonts w:hint="eastAsia" w:ascii="仿宋_GB2312" w:eastAsia="仿宋_GB2312"/>
          <w:color w:val="auto"/>
          <w:sz w:val="32"/>
          <w:szCs w:val="32"/>
          <w:highlight w:val="none"/>
        </w:rPr>
        <w:t>。</w:t>
      </w:r>
    </w:p>
    <w:p w14:paraId="6428900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提升燃气能源输配设施</w:t>
      </w:r>
    </w:p>
    <w:p w14:paraId="35F1CC1B">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val="en-US" w:eastAsia="zh-CN"/>
        </w:rPr>
        <w:t>盐边</w:t>
      </w:r>
      <w:r>
        <w:rPr>
          <w:rFonts w:hint="eastAsia" w:ascii="仿宋_GB2312" w:hAnsi="宋体" w:eastAsia="仿宋_GB2312"/>
          <w:color w:val="auto"/>
          <w:sz w:val="32"/>
          <w:szCs w:val="32"/>
          <w:highlight w:val="none"/>
        </w:rPr>
        <w:t>中心城区、红格镇、新九镇</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lang w:val="en-US" w:eastAsia="zh-CN"/>
        </w:rPr>
        <w:t>包括</w:t>
      </w:r>
      <w:r>
        <w:rPr>
          <w:rFonts w:hint="eastAsia" w:ascii="仿宋_GB2312" w:hAnsi="宋体" w:eastAsia="仿宋_GB2312"/>
          <w:color w:val="auto"/>
          <w:sz w:val="32"/>
          <w:szCs w:val="32"/>
          <w:highlight w:val="none"/>
        </w:rPr>
        <w:t>盐边钒钛产业开发区</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规划供应</w:t>
      </w:r>
      <w:r>
        <w:rPr>
          <w:rFonts w:hint="eastAsia" w:ascii="仿宋_GB2312" w:hAnsi="宋体" w:eastAsia="仿宋_GB2312"/>
          <w:color w:val="auto"/>
          <w:sz w:val="32"/>
          <w:szCs w:val="32"/>
          <w:highlight w:val="none"/>
          <w:lang w:val="en-US" w:eastAsia="zh-CN"/>
        </w:rPr>
        <w:t>管道</w:t>
      </w:r>
      <w:r>
        <w:rPr>
          <w:rFonts w:hint="eastAsia" w:ascii="仿宋_GB2312" w:hAnsi="宋体" w:eastAsia="仿宋_GB2312"/>
          <w:color w:val="auto"/>
          <w:sz w:val="32"/>
          <w:szCs w:val="32"/>
          <w:highlight w:val="none"/>
        </w:rPr>
        <w:t>天然气，</w:t>
      </w:r>
      <w:r>
        <w:rPr>
          <w:rFonts w:hint="eastAsia" w:ascii="仿宋_GB2312" w:hAnsi="宋体" w:eastAsia="仿宋_GB2312"/>
          <w:color w:val="auto"/>
          <w:sz w:val="32"/>
          <w:szCs w:val="32"/>
          <w:highlight w:val="none"/>
          <w:lang w:val="en-US" w:eastAsia="zh-CN"/>
        </w:rPr>
        <w:t>其他乡镇</w:t>
      </w:r>
      <w:r>
        <w:rPr>
          <w:rFonts w:hint="eastAsia" w:ascii="仿宋_GB2312" w:hAnsi="宋体" w:eastAsia="仿宋_GB2312"/>
          <w:color w:val="auto"/>
          <w:sz w:val="32"/>
          <w:szCs w:val="32"/>
          <w:highlight w:val="none"/>
        </w:rPr>
        <w:t>采用LNG经气化方式供给。农村部分区域考虑管道天然气供气，未考虑管道天然气供气的区域采用瓶装液化石油气供给或采用新能源。</w:t>
      </w:r>
    </w:p>
    <w:p w14:paraId="3E5FC815">
      <w:pPr>
        <w:pStyle w:val="135"/>
        <w:widowControl/>
        <w:spacing w:line="600" w:lineRule="exact"/>
        <w:ind w:left="0" w:firstLine="640"/>
        <w:rPr>
          <w:rFonts w:hint="eastAsia" w:ascii="仿宋_GB2312" w:hAnsi="仿宋_GB2312" w:eastAsia="仿宋_GB2312" w:cs="仿宋_GB2312"/>
          <w:color w:val="auto"/>
          <w:sz w:val="32"/>
          <w:szCs w:val="32"/>
          <w:highlight w:val="none"/>
          <w:lang w:val="en-US"/>
        </w:rPr>
      </w:pPr>
      <w:r>
        <w:rPr>
          <w:rFonts w:hint="eastAsia" w:ascii="仿宋_GB2312" w:hAnsi="仿宋_GB2312" w:eastAsia="仿宋_GB2312" w:cs="仿宋_GB2312"/>
          <w:color w:val="auto"/>
          <w:sz w:val="32"/>
          <w:szCs w:val="32"/>
          <w:highlight w:val="none"/>
          <w:lang w:eastAsia="zh-CN"/>
        </w:rPr>
        <w:t>规划新建益民、猛粮分输站</w:t>
      </w:r>
      <w:r>
        <w:rPr>
          <w:rFonts w:hint="eastAsia" w:ascii="仿宋_GB2312" w:hAnsi="仿宋_GB2312" w:eastAsia="仿宋_GB2312" w:cs="仿宋_GB2312"/>
          <w:color w:val="auto"/>
          <w:sz w:val="32"/>
          <w:szCs w:val="32"/>
          <w:highlight w:val="none"/>
          <w:lang w:val="en-US"/>
        </w:rPr>
        <w:t>2</w:t>
      </w:r>
      <w:r>
        <w:rPr>
          <w:rFonts w:hint="eastAsia" w:ascii="仿宋_GB2312" w:hAnsi="仿宋_GB2312" w:eastAsia="仿宋_GB2312" w:cs="仿宋_GB2312"/>
          <w:color w:val="auto"/>
          <w:sz w:val="32"/>
          <w:szCs w:val="32"/>
          <w:highlight w:val="none"/>
          <w:lang w:eastAsia="zh-CN"/>
        </w:rPr>
        <w:t>座，新建新九、益民、金沙江阀室</w:t>
      </w:r>
      <w:r>
        <w:rPr>
          <w:rFonts w:hint="eastAsia" w:ascii="仿宋_GB2312" w:hAnsi="仿宋_GB2312" w:eastAsia="仿宋_GB2312" w:cs="仿宋_GB2312"/>
          <w:color w:val="auto"/>
          <w:sz w:val="32"/>
          <w:szCs w:val="32"/>
          <w:highlight w:val="none"/>
          <w:lang w:val="en-US"/>
        </w:rPr>
        <w:t>3</w:t>
      </w:r>
      <w:r>
        <w:rPr>
          <w:rFonts w:hint="eastAsia" w:ascii="仿宋_GB2312" w:hAnsi="仿宋_GB2312" w:eastAsia="仿宋_GB2312" w:cs="仿宋_GB2312"/>
          <w:color w:val="auto"/>
          <w:sz w:val="32"/>
          <w:szCs w:val="32"/>
          <w:highlight w:val="none"/>
          <w:lang w:eastAsia="zh-CN"/>
        </w:rPr>
        <w:t>座。</w:t>
      </w:r>
    </w:p>
    <w:p w14:paraId="3E981CA2">
      <w:pPr>
        <w:pStyle w:val="135"/>
        <w:widowControl/>
        <w:spacing w:line="600" w:lineRule="exact"/>
        <w:ind w:left="0" w:firstLine="640"/>
        <w:rPr>
          <w:rFonts w:hint="eastAsia" w:ascii="仿宋_GB2312" w:hAnsi="仿宋_GB2312" w:eastAsia="仿宋_GB2312" w:cs="仿宋_GB2312"/>
          <w:color w:val="auto"/>
          <w:sz w:val="32"/>
          <w:szCs w:val="32"/>
          <w:highlight w:val="none"/>
          <w:lang w:val="en-US"/>
        </w:rPr>
      </w:pPr>
      <w:r>
        <w:rPr>
          <w:rFonts w:hint="eastAsia" w:ascii="仿宋_GB2312" w:hAnsi="仿宋_GB2312" w:eastAsia="仿宋_GB2312" w:cs="仿宋_GB2312"/>
          <w:color w:val="auto"/>
          <w:sz w:val="32"/>
          <w:szCs w:val="32"/>
          <w:highlight w:val="none"/>
          <w:lang w:eastAsia="zh-CN"/>
        </w:rPr>
        <w:t>规划新建中心城区、红格镇、</w:t>
      </w:r>
      <w:r>
        <w:rPr>
          <w:rFonts w:hint="eastAsia" w:ascii="仿宋_GB2312" w:hAnsi="仿宋_GB2312" w:eastAsia="仿宋_GB2312" w:cs="仿宋_GB2312"/>
          <w:color w:val="auto"/>
          <w:sz w:val="32"/>
          <w:szCs w:val="32"/>
          <w:highlight w:val="none"/>
          <w:lang w:val="en-US" w:eastAsia="zh-CN"/>
        </w:rPr>
        <w:t>盐边</w:t>
      </w:r>
      <w:r>
        <w:rPr>
          <w:rFonts w:hint="eastAsia" w:ascii="仿宋_GB2312" w:hAnsi="仿宋_GB2312" w:eastAsia="仿宋_GB2312" w:cs="仿宋_GB2312"/>
          <w:color w:val="auto"/>
          <w:sz w:val="32"/>
          <w:szCs w:val="32"/>
          <w:highlight w:val="none"/>
          <w:lang w:eastAsia="zh-CN"/>
        </w:rPr>
        <w:t>钒钛产业开发区（</w:t>
      </w:r>
      <w:r>
        <w:rPr>
          <w:rFonts w:hint="eastAsia" w:ascii="仿宋_GB2312" w:hAnsi="仿宋_GB2312" w:eastAsia="仿宋_GB2312" w:cs="仿宋_GB2312"/>
          <w:color w:val="auto"/>
          <w:sz w:val="32"/>
          <w:szCs w:val="32"/>
          <w:highlight w:val="none"/>
          <w:lang w:val="en-US" w:eastAsia="zh-CN"/>
        </w:rPr>
        <w:t>安宁工业园区</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rPr>
        <w:t>3</w:t>
      </w:r>
      <w:r>
        <w:rPr>
          <w:rFonts w:hint="eastAsia" w:ascii="仿宋_GB2312" w:hAnsi="仿宋_GB2312" w:eastAsia="仿宋_GB2312" w:cs="仿宋_GB2312"/>
          <w:color w:val="auto"/>
          <w:sz w:val="32"/>
          <w:szCs w:val="32"/>
          <w:highlight w:val="none"/>
          <w:lang w:eastAsia="zh-CN"/>
        </w:rPr>
        <w:t>座配气站。其中，中心城区配气站供气规模</w:t>
      </w:r>
      <w:r>
        <w:rPr>
          <w:rFonts w:hint="eastAsia" w:ascii="仿宋_GB2312" w:hAnsi="仿宋_GB2312" w:eastAsia="仿宋_GB2312" w:cs="仿宋_GB2312"/>
          <w:color w:val="auto"/>
          <w:sz w:val="32"/>
          <w:szCs w:val="32"/>
          <w:highlight w:val="none"/>
          <w:lang w:val="en-US"/>
        </w:rPr>
        <w:t>5</w:t>
      </w:r>
      <w:r>
        <w:rPr>
          <w:rFonts w:hint="eastAsia" w:ascii="仿宋_GB2312" w:hAnsi="仿宋_GB2312" w:eastAsia="仿宋_GB2312" w:cs="仿宋_GB2312"/>
          <w:color w:val="auto"/>
          <w:sz w:val="32"/>
          <w:szCs w:val="32"/>
          <w:highlight w:val="none"/>
          <w:lang w:eastAsia="zh-CN"/>
        </w:rPr>
        <w:t>万</w:t>
      </w:r>
      <w:r>
        <w:rPr>
          <w:rFonts w:hint="eastAsia" w:ascii="仿宋_GB2312" w:hAnsi="仿宋_GB2312" w:eastAsia="仿宋_GB2312" w:cs="仿宋_GB2312"/>
          <w:color w:val="auto"/>
          <w:sz w:val="32"/>
          <w:szCs w:val="32"/>
          <w:highlight w:val="none"/>
          <w:lang w:val="en-US" w:eastAsia="zh-CN"/>
        </w:rPr>
        <w:t>立方米/天</w:t>
      </w:r>
      <w:r>
        <w:rPr>
          <w:rFonts w:hint="eastAsia" w:ascii="仿宋_GB2312" w:hAnsi="仿宋_GB2312" w:eastAsia="仿宋_GB2312" w:cs="仿宋_GB2312"/>
          <w:color w:val="auto"/>
          <w:sz w:val="32"/>
          <w:szCs w:val="32"/>
          <w:highlight w:val="none"/>
          <w:lang w:eastAsia="zh-CN"/>
        </w:rPr>
        <w:t>；红格配气站供气规模</w:t>
      </w:r>
      <w:r>
        <w:rPr>
          <w:rFonts w:hint="eastAsia" w:ascii="仿宋_GB2312" w:hAnsi="仿宋_GB2312" w:eastAsia="仿宋_GB2312" w:cs="仿宋_GB2312"/>
          <w:color w:val="auto"/>
          <w:sz w:val="32"/>
          <w:szCs w:val="32"/>
          <w:highlight w:val="none"/>
          <w:lang w:val="en-US"/>
        </w:rPr>
        <w:t>10</w:t>
      </w:r>
      <w:r>
        <w:rPr>
          <w:rFonts w:hint="eastAsia" w:ascii="仿宋_GB2312" w:hAnsi="仿宋_GB2312" w:eastAsia="仿宋_GB2312" w:cs="仿宋_GB2312"/>
          <w:color w:val="auto"/>
          <w:sz w:val="32"/>
          <w:szCs w:val="32"/>
          <w:highlight w:val="none"/>
          <w:lang w:eastAsia="zh-CN"/>
        </w:rPr>
        <w:t>万</w:t>
      </w:r>
      <w:r>
        <w:rPr>
          <w:rFonts w:hint="eastAsia" w:ascii="仿宋_GB2312" w:hAnsi="仿宋_GB2312" w:eastAsia="仿宋_GB2312" w:cs="仿宋_GB2312"/>
          <w:color w:val="auto"/>
          <w:sz w:val="32"/>
          <w:szCs w:val="32"/>
          <w:highlight w:val="none"/>
          <w:lang w:val="en-US" w:eastAsia="zh-CN"/>
        </w:rPr>
        <w:t>立方米/天</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盐边</w:t>
      </w:r>
      <w:r>
        <w:rPr>
          <w:rFonts w:hint="eastAsia" w:ascii="仿宋_GB2312" w:hAnsi="仿宋_GB2312" w:eastAsia="仿宋_GB2312" w:cs="仿宋_GB2312"/>
          <w:color w:val="auto"/>
          <w:sz w:val="32"/>
          <w:szCs w:val="32"/>
          <w:highlight w:val="none"/>
          <w:lang w:eastAsia="zh-CN"/>
        </w:rPr>
        <w:t>钒钛产业开发区（</w:t>
      </w:r>
      <w:r>
        <w:rPr>
          <w:rFonts w:hint="eastAsia" w:ascii="仿宋_GB2312" w:hAnsi="仿宋_GB2312" w:eastAsia="仿宋_GB2312" w:cs="仿宋_GB2312"/>
          <w:color w:val="auto"/>
          <w:sz w:val="32"/>
          <w:szCs w:val="32"/>
          <w:highlight w:val="none"/>
          <w:lang w:val="en-US" w:eastAsia="zh-CN"/>
        </w:rPr>
        <w:t>安宁工业园区</w:t>
      </w:r>
      <w:r>
        <w:rPr>
          <w:rFonts w:hint="eastAsia" w:ascii="仿宋_GB2312" w:hAnsi="仿宋_GB2312" w:eastAsia="仿宋_GB2312" w:cs="仿宋_GB2312"/>
          <w:color w:val="auto"/>
          <w:sz w:val="32"/>
          <w:szCs w:val="32"/>
          <w:highlight w:val="none"/>
          <w:lang w:eastAsia="zh-CN"/>
        </w:rPr>
        <w:t>）配气站供气规模</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val="en-US"/>
        </w:rPr>
        <w:t>0</w:t>
      </w:r>
      <w:r>
        <w:rPr>
          <w:rFonts w:hint="eastAsia" w:ascii="仿宋_GB2312" w:hAnsi="仿宋_GB2312" w:eastAsia="仿宋_GB2312" w:cs="仿宋_GB2312"/>
          <w:color w:val="auto"/>
          <w:sz w:val="32"/>
          <w:szCs w:val="32"/>
          <w:highlight w:val="none"/>
          <w:lang w:eastAsia="zh-CN"/>
        </w:rPr>
        <w:t>万</w:t>
      </w:r>
      <w:r>
        <w:rPr>
          <w:rFonts w:hint="eastAsia" w:ascii="仿宋_GB2312" w:hAnsi="仿宋_GB2312" w:eastAsia="仿宋_GB2312" w:cs="仿宋_GB2312"/>
          <w:color w:val="auto"/>
          <w:sz w:val="32"/>
          <w:szCs w:val="32"/>
          <w:highlight w:val="none"/>
          <w:lang w:val="en-US" w:eastAsia="zh-CN"/>
        </w:rPr>
        <w:t>立方米/天</w:t>
      </w:r>
      <w:r>
        <w:rPr>
          <w:rFonts w:hint="eastAsia" w:ascii="仿宋_GB2312" w:hAnsi="仿宋_GB2312" w:eastAsia="仿宋_GB2312" w:cs="仿宋_GB2312"/>
          <w:color w:val="auto"/>
          <w:sz w:val="32"/>
          <w:szCs w:val="32"/>
          <w:highlight w:val="none"/>
          <w:lang w:eastAsia="zh-CN"/>
        </w:rPr>
        <w:t>。规划新建渔门镇、永兴镇</w:t>
      </w:r>
      <w:r>
        <w:rPr>
          <w:rFonts w:hint="eastAsia" w:ascii="仿宋_GB2312" w:hAnsi="仿宋_GB2312" w:eastAsia="仿宋_GB2312" w:cs="仿宋_GB2312"/>
          <w:color w:val="auto"/>
          <w:sz w:val="32"/>
          <w:szCs w:val="32"/>
          <w:highlight w:val="none"/>
          <w:lang w:val="en-US"/>
        </w:rPr>
        <w:t>LG</w:t>
      </w:r>
      <w:r>
        <w:rPr>
          <w:rFonts w:hint="eastAsia" w:ascii="仿宋_GB2312" w:hAnsi="仿宋_GB2312" w:eastAsia="仿宋_GB2312" w:cs="仿宋_GB2312"/>
          <w:color w:val="auto"/>
          <w:sz w:val="32"/>
          <w:szCs w:val="32"/>
          <w:highlight w:val="none"/>
          <w:lang w:eastAsia="zh-CN"/>
        </w:rPr>
        <w:t>气化站，供气规模分别为</w:t>
      </w:r>
      <w:r>
        <w:rPr>
          <w:rFonts w:hint="eastAsia" w:ascii="仿宋_GB2312" w:hAnsi="仿宋_GB2312" w:eastAsia="仿宋_GB2312" w:cs="仿宋_GB2312"/>
          <w:color w:val="auto"/>
          <w:sz w:val="32"/>
          <w:szCs w:val="32"/>
          <w:highlight w:val="none"/>
          <w:lang w:val="en-US"/>
        </w:rPr>
        <w:t>1</w:t>
      </w:r>
      <w:r>
        <w:rPr>
          <w:rFonts w:hint="eastAsia" w:ascii="仿宋_GB2312" w:hAnsi="仿宋_GB2312" w:eastAsia="仿宋_GB2312" w:cs="仿宋_GB2312"/>
          <w:color w:val="auto"/>
          <w:sz w:val="32"/>
          <w:szCs w:val="32"/>
          <w:highlight w:val="none"/>
          <w:lang w:eastAsia="zh-CN"/>
        </w:rPr>
        <w:t>万</w:t>
      </w:r>
      <w:r>
        <w:rPr>
          <w:rFonts w:hint="eastAsia" w:ascii="仿宋_GB2312" w:hAnsi="仿宋_GB2312" w:eastAsia="仿宋_GB2312" w:cs="仿宋_GB2312"/>
          <w:color w:val="auto"/>
          <w:sz w:val="32"/>
          <w:szCs w:val="32"/>
          <w:highlight w:val="none"/>
          <w:lang w:val="en-US" w:eastAsia="zh-CN"/>
        </w:rPr>
        <w:t>立方米/天</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rPr>
        <w:t>0.8</w:t>
      </w:r>
      <w:r>
        <w:rPr>
          <w:rFonts w:hint="eastAsia" w:ascii="仿宋_GB2312" w:hAnsi="仿宋_GB2312" w:eastAsia="仿宋_GB2312" w:cs="仿宋_GB2312"/>
          <w:color w:val="auto"/>
          <w:sz w:val="32"/>
          <w:szCs w:val="32"/>
          <w:highlight w:val="none"/>
          <w:lang w:eastAsia="zh-CN"/>
        </w:rPr>
        <w:t>万</w:t>
      </w:r>
      <w:r>
        <w:rPr>
          <w:rFonts w:hint="eastAsia" w:ascii="仿宋_GB2312" w:hAnsi="仿宋_GB2312" w:eastAsia="仿宋_GB2312" w:cs="仿宋_GB2312"/>
          <w:color w:val="auto"/>
          <w:sz w:val="32"/>
          <w:szCs w:val="32"/>
          <w:highlight w:val="none"/>
          <w:lang w:val="en-US" w:eastAsia="zh-CN"/>
        </w:rPr>
        <w:t>立方米/天</w:t>
      </w:r>
      <w:r>
        <w:rPr>
          <w:rFonts w:hint="eastAsia" w:ascii="仿宋_GB2312" w:hAnsi="仿宋_GB2312" w:eastAsia="仿宋_GB2312" w:cs="仿宋_GB2312"/>
          <w:color w:val="auto"/>
          <w:sz w:val="32"/>
          <w:szCs w:val="32"/>
          <w:highlight w:val="none"/>
          <w:lang w:eastAsia="zh-CN"/>
        </w:rPr>
        <w:t>。其他乡镇规划设置</w:t>
      </w:r>
      <w:r>
        <w:rPr>
          <w:rFonts w:hint="eastAsia" w:ascii="仿宋_GB2312" w:hAnsi="仿宋_GB2312" w:eastAsia="仿宋_GB2312" w:cs="仿宋_GB2312"/>
          <w:color w:val="auto"/>
          <w:sz w:val="32"/>
          <w:szCs w:val="32"/>
          <w:highlight w:val="none"/>
          <w:lang w:val="en-US"/>
        </w:rPr>
        <w:t>LNG</w:t>
      </w:r>
      <w:r>
        <w:rPr>
          <w:rFonts w:hint="eastAsia" w:ascii="仿宋_GB2312" w:hAnsi="仿宋_GB2312" w:eastAsia="仿宋_GB2312" w:cs="仿宋_GB2312"/>
          <w:color w:val="auto"/>
          <w:sz w:val="32"/>
          <w:szCs w:val="32"/>
          <w:highlight w:val="none"/>
          <w:lang w:eastAsia="zh-CN"/>
        </w:rPr>
        <w:t>气化站共</w:t>
      </w:r>
      <w:r>
        <w:rPr>
          <w:rFonts w:hint="eastAsia" w:ascii="仿宋_GB2312" w:hAnsi="仿宋_GB2312" w:eastAsia="仿宋_GB2312" w:cs="仿宋_GB2312"/>
          <w:color w:val="auto"/>
          <w:sz w:val="32"/>
          <w:szCs w:val="32"/>
          <w:highlight w:val="none"/>
          <w:lang w:val="en-US"/>
        </w:rPr>
        <w:t>5</w:t>
      </w:r>
      <w:r>
        <w:rPr>
          <w:rFonts w:hint="eastAsia" w:ascii="仿宋_GB2312" w:hAnsi="仿宋_GB2312" w:eastAsia="仿宋_GB2312" w:cs="仿宋_GB2312"/>
          <w:color w:val="auto"/>
          <w:sz w:val="32"/>
          <w:szCs w:val="32"/>
          <w:highlight w:val="none"/>
          <w:lang w:eastAsia="zh-CN"/>
        </w:rPr>
        <w:t>座。各乡镇均规划保留现状液化石油气供应站。</w:t>
      </w:r>
    </w:p>
    <w:p w14:paraId="085DB932">
      <w:pPr>
        <w:pStyle w:val="8"/>
        <w:keepNext/>
        <w:keepLines/>
        <w:numPr>
          <w:ilvl w:val="0"/>
          <w:numId w:val="18"/>
        </w:numPr>
        <w:adjustRightInd/>
        <w:snapToGrid/>
        <w:ind w:left="0"/>
        <w:jc w:val="center"/>
        <w:rPr>
          <w:rFonts w:ascii="仿宋_GB2312" w:hAnsi="Calibri" w:eastAsia="仿宋_GB2312"/>
          <w:b/>
          <w:bCs/>
          <w:color w:val="auto"/>
          <w:highlight w:val="none"/>
        </w:rPr>
      </w:pPr>
      <w:bookmarkStart w:id="116" w:name="_Toc30891"/>
      <w:r>
        <w:rPr>
          <w:rFonts w:hint="eastAsia" w:ascii="仿宋_GB2312" w:hAnsi="Calibri" w:eastAsia="仿宋_GB2312"/>
          <w:b/>
          <w:bCs/>
          <w:color w:val="auto"/>
          <w:highlight w:val="none"/>
        </w:rPr>
        <w:t>水利基础设施</w:t>
      </w:r>
      <w:bookmarkEnd w:id="113"/>
      <w:bookmarkEnd w:id="116"/>
    </w:p>
    <w:p w14:paraId="2F11D51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完善水利基础设施建设</w:t>
      </w:r>
    </w:p>
    <w:p w14:paraId="4EC98437">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县域水利基础设施规划以骨干水源工程为支撑，</w:t>
      </w:r>
      <w:r>
        <w:rPr>
          <w:rFonts w:hint="eastAsia" w:ascii="仿宋_GB2312" w:eastAsia="仿宋_GB2312"/>
          <w:color w:val="auto"/>
          <w:sz w:val="32"/>
          <w:szCs w:val="32"/>
          <w:highlight w:val="none"/>
          <w:lang w:eastAsia="zh-CN"/>
        </w:rPr>
        <w:t>以</w:t>
      </w:r>
      <w:r>
        <w:rPr>
          <w:rFonts w:hint="eastAsia" w:ascii="仿宋_GB2312" w:eastAsia="仿宋_GB2312"/>
          <w:color w:val="auto"/>
          <w:sz w:val="32"/>
          <w:szCs w:val="32"/>
          <w:highlight w:val="none"/>
        </w:rPr>
        <w:t>引水工程为辅助，水系治理为补充，安全饮水提升为重点，构建“蓄、引、提、供、泄、排”功能完备的现代水利基础设施网络体系，实施水资源统一调度管理，保障丰枯相济、余缺互补，提升区域水资源和水生态综合承载能力。盐边县域水利工程规划应落实市级国土空间规划要求，配合推动引雅济安工程、</w:t>
      </w:r>
      <w:r>
        <w:rPr>
          <w:rFonts w:hint="eastAsia" w:ascii="仿宋_GB2312" w:hAnsi="宋体" w:eastAsia="仿宋_GB2312"/>
          <w:color w:val="auto"/>
          <w:sz w:val="32"/>
          <w:szCs w:val="32"/>
          <w:highlight w:val="none"/>
        </w:rPr>
        <w:t>金沙江干热河谷攀枝花灌区工程</w:t>
      </w:r>
      <w:r>
        <w:rPr>
          <w:rFonts w:hint="eastAsia" w:ascii="仿宋_GB2312" w:eastAsia="仿宋_GB2312"/>
          <w:color w:val="auto"/>
          <w:sz w:val="32"/>
          <w:szCs w:val="32"/>
          <w:highlight w:val="none"/>
        </w:rPr>
        <w:t>、盐边南部水安全保障水资源配置工程、沙坝水库、彪水岩水库、高堰沟除险加固工程、永兴镇永兴河六合村段防洪治理工程、国胜乡新坪河防洪治理工程、惠民镇惠民河兴隆村段防洪治理工程、格萨拉乡响水河山洪沟治理工程、中小河流治理工程、盐边县藤桥河防洪治理工程及高堰沟灌区续建配套与节水改造项目、云川堰灌区续建配套与节水改造项目落地实施。同时启动马道子水库、羊排喜水库、红格水库及大面山提水工程和藤桥河引水工程等水利工程建设，推动集镇、农村供水改造工程，增强饮用水安全保障；推广旱山村及缺水村集雨节灌工程、“微水”工程、水库整治工程及水土保持工程。</w:t>
      </w:r>
    </w:p>
    <w:p w14:paraId="3001DC43">
      <w:pPr>
        <w:pStyle w:val="8"/>
        <w:keepNext/>
        <w:keepLines/>
        <w:numPr>
          <w:ilvl w:val="0"/>
          <w:numId w:val="18"/>
        </w:numPr>
        <w:adjustRightInd/>
        <w:snapToGrid/>
        <w:ind w:left="0"/>
        <w:jc w:val="center"/>
        <w:rPr>
          <w:rFonts w:ascii="仿宋_GB2312" w:hAnsi="Calibri" w:eastAsia="仿宋_GB2312"/>
          <w:b/>
          <w:bCs/>
          <w:color w:val="auto"/>
          <w:highlight w:val="none"/>
        </w:rPr>
      </w:pPr>
      <w:bookmarkStart w:id="117" w:name="_Toc12536"/>
      <w:bookmarkStart w:id="118" w:name="_Toc122513297"/>
      <w:bookmarkStart w:id="119" w:name="_Toc124195944"/>
      <w:r>
        <w:rPr>
          <w:rFonts w:hint="eastAsia" w:ascii="仿宋_GB2312" w:hAnsi="Calibri" w:eastAsia="仿宋_GB2312"/>
          <w:b/>
          <w:bCs/>
          <w:color w:val="auto"/>
          <w:highlight w:val="none"/>
        </w:rPr>
        <w:t>其他市政基础设施</w:t>
      </w:r>
      <w:bookmarkEnd w:id="117"/>
      <w:bookmarkEnd w:id="118"/>
      <w:bookmarkEnd w:id="119"/>
    </w:p>
    <w:p w14:paraId="10C786E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完善县域供水设施布局</w:t>
      </w:r>
    </w:p>
    <w:p w14:paraId="37810026">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推进水资源配置工程进程，大力拓展非传统水源，形成多源共济的水源格局，提升水源可靠度。中心城区以雅砻江为主水源，远期以沙坝水库为备用水源；红格镇以高堰沟水库为主水源，以沙坝水库为备用水源；盐边钒钛产业开发区工业用水以金沙江为水源，生活饮用水以盐边县二滩南部片区供水工程为水源；渔门镇以渔门镇小河沟水库为主水源，以大河沟陈家湾子河流水为备用水源；新九镇以高堰沟水库为水源。其他乡镇及乡村可结合实际情况以地表水和地下水为水源。</w:t>
      </w:r>
    </w:p>
    <w:p w14:paraId="6F101ABB">
      <w:pPr>
        <w:spacing w:line="56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盐边县域各乡镇及盐边钒钛产业开发区共规划1</w:t>
      </w:r>
      <w:r>
        <w:rPr>
          <w:rFonts w:ascii="仿宋_GB2312" w:hAnsi="宋体" w:eastAsia="仿宋_GB2312"/>
          <w:color w:val="auto"/>
          <w:sz w:val="32"/>
          <w:szCs w:val="32"/>
          <w:highlight w:val="none"/>
        </w:rPr>
        <w:t>4</w:t>
      </w:r>
      <w:r>
        <w:rPr>
          <w:rFonts w:hint="eastAsia" w:ascii="仿宋_GB2312" w:hAnsi="宋体" w:eastAsia="仿宋_GB2312"/>
          <w:color w:val="auto"/>
          <w:sz w:val="32"/>
          <w:szCs w:val="32"/>
          <w:highlight w:val="none"/>
        </w:rPr>
        <w:t>座水厂。规划保留中心城区、渔门2座水厂，规划新建新九镇水厂及盐边钒钛产业开发区工业用水水厂，规划改造盐边钒钛产业开发区现状水厂为生活饮用水水厂，规划扩建红格、永兴、国胜、红果等10座水厂。水厂总规模为9.89万</w:t>
      </w:r>
      <w:r>
        <w:rPr>
          <w:rFonts w:hint="eastAsia" w:ascii="仿宋_GB2312" w:hAnsi="宋体" w:eastAsia="仿宋_GB2312"/>
          <w:color w:val="auto"/>
          <w:sz w:val="32"/>
          <w:szCs w:val="32"/>
          <w:highlight w:val="none"/>
          <w:lang w:eastAsia="zh-CN"/>
        </w:rPr>
        <w:t>立方米/天</w:t>
      </w:r>
      <w:r>
        <w:rPr>
          <w:rFonts w:hint="eastAsia" w:ascii="仿宋_GB2312" w:hAnsi="宋体" w:eastAsia="仿宋_GB2312"/>
          <w:color w:val="auto"/>
          <w:sz w:val="32"/>
          <w:szCs w:val="32"/>
          <w:highlight w:val="none"/>
        </w:rPr>
        <w:t>。水厂厂区</w:t>
      </w:r>
      <w:r>
        <w:rPr>
          <w:rFonts w:hint="eastAsia" w:ascii="仿宋_GB2312" w:hAnsi="宋体" w:eastAsia="仿宋_GB2312"/>
          <w:color w:val="auto"/>
          <w:sz w:val="32"/>
          <w:szCs w:val="32"/>
          <w:highlight w:val="none"/>
          <w:lang w:val="en-US" w:eastAsia="zh-CN"/>
        </w:rPr>
        <w:t>用地范围外</w:t>
      </w:r>
      <w:r>
        <w:rPr>
          <w:rFonts w:hint="eastAsia" w:ascii="仿宋_GB2312" w:hAnsi="宋体" w:eastAsia="仿宋_GB2312"/>
          <w:color w:val="auto"/>
          <w:sz w:val="32"/>
          <w:szCs w:val="32"/>
          <w:highlight w:val="none"/>
        </w:rPr>
        <w:t>应设置宽度不小于10米的绿化带。</w:t>
      </w:r>
    </w:p>
    <w:p w14:paraId="6A4A30A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完善县域排水设施布局</w:t>
      </w:r>
    </w:p>
    <w:p w14:paraId="6C88E469">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u w:val="none"/>
        </w:rPr>
        <w:t>县域城镇开发边界范围内，新建区排水体制采用雨污分流制，</w:t>
      </w:r>
      <w:r>
        <w:rPr>
          <w:rFonts w:hint="eastAsia" w:ascii="仿宋_GB2312" w:hAnsi="宋体" w:eastAsia="仿宋_GB2312"/>
          <w:color w:val="auto"/>
          <w:sz w:val="32"/>
          <w:szCs w:val="32"/>
          <w:highlight w:val="none"/>
        </w:rPr>
        <w:t>老城区逐步改合流制为分流制。农村集中居民点采用分流制，污水单独收集，雨水就近排放。</w:t>
      </w:r>
    </w:p>
    <w:p w14:paraId="3F576FA3">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实施厂网河湖一体化管理的污水治理模式，推进水、泥、气同治，坚持集中和分散相结合、截污和治污相协调原则，优化布局污水处理设施。至2035年，盐边县域共规划13座污水处理厂，规划保留中心城区城西、渔门、国胜、格萨拉等6座污水处理厂，规划新建盐边钒钛产业开发区污水处理厂，规划扩建红格益民、永兴、温泉、红宝等6座污水处理厂。污水处理厂总规模为7.04万</w:t>
      </w:r>
      <w:r>
        <w:rPr>
          <w:rFonts w:hint="eastAsia" w:ascii="仿宋_GB2312" w:hAnsi="宋体" w:eastAsia="仿宋_GB2312"/>
          <w:color w:val="auto"/>
          <w:sz w:val="32"/>
          <w:szCs w:val="32"/>
          <w:highlight w:val="none"/>
          <w:lang w:eastAsia="zh-CN"/>
        </w:rPr>
        <w:t>立方米/天</w:t>
      </w:r>
      <w:r>
        <w:rPr>
          <w:rFonts w:hint="eastAsia" w:ascii="仿宋_GB2312" w:hAnsi="宋体" w:eastAsia="仿宋_GB2312"/>
          <w:color w:val="auto"/>
          <w:sz w:val="32"/>
          <w:szCs w:val="32"/>
          <w:highlight w:val="none"/>
        </w:rPr>
        <w:t>。</w:t>
      </w:r>
    </w:p>
    <w:p w14:paraId="2DE7D64B">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val="en-US" w:eastAsia="zh-CN"/>
        </w:rPr>
        <w:t>乡</w:t>
      </w:r>
      <w:r>
        <w:rPr>
          <w:rFonts w:hint="eastAsia" w:ascii="仿宋_GB2312" w:hAnsi="宋体" w:eastAsia="仿宋_GB2312"/>
          <w:color w:val="auto"/>
          <w:sz w:val="32"/>
          <w:szCs w:val="32"/>
          <w:highlight w:val="none"/>
        </w:rPr>
        <w:t>村地区结合各自出水要求、聚居区规模、自身经济条件可设置一体化污水处理设备或采用沼气池、人工湿地、庭院式污水处理设施、化粪池等处理污水，养殖场污水应经集中处理达标后排放。各污水处理厂生产过程中产生的污泥经无害化、减量化、稳定化、资源化处理后，运至攀枝花污泥处置场处理。</w:t>
      </w:r>
    </w:p>
    <w:p w14:paraId="5F3154C3">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雨水工程规划应与城镇的防洪排涝规划和低影响开发系统相结合，重视小流域治理，低洼地区可采取必要的工程治理措施。雨水系统在各分区内，尽可能依据地形采用重力流就近分散排放。</w:t>
      </w:r>
    </w:p>
    <w:p w14:paraId="0483CFA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完善县域通信设施布局</w:t>
      </w:r>
    </w:p>
    <w:p w14:paraId="10EF84A4">
      <w:pPr>
        <w:widowControl/>
        <w:spacing w:line="600" w:lineRule="exact"/>
        <w:ind w:firstLine="640"/>
        <w:jc w:val="left"/>
        <w:rPr>
          <w:rFonts w:ascii="仿宋_GB2312" w:hAnsi="宋体" w:eastAsia="仿宋_GB2312"/>
          <w:color w:val="auto"/>
          <w:kern w:val="0"/>
          <w:sz w:val="32"/>
          <w:szCs w:val="28"/>
          <w:highlight w:val="none"/>
        </w:rPr>
      </w:pPr>
      <w:r>
        <w:rPr>
          <w:rFonts w:hint="eastAsia" w:ascii="仿宋_GB2312" w:hAnsi="宋体" w:eastAsia="仿宋_GB2312"/>
          <w:color w:val="auto"/>
          <w:kern w:val="0"/>
          <w:sz w:val="32"/>
          <w:szCs w:val="28"/>
          <w:highlight w:val="none"/>
        </w:rPr>
        <w:t>加速新基建，推进新一代信息基础设施建设。鼓励多网融合，促进信息基础设施互联互通、资源共享。改造升级现有信息基础设施，持续优化互联网骨干网间互联架构，扩展互联网网间带宽容量。积极推进</w:t>
      </w:r>
      <w:r>
        <w:rPr>
          <w:rFonts w:hint="eastAsia" w:ascii="仿宋_GB2312" w:eastAsia="仿宋_GB2312" w:cs="Calibri"/>
          <w:color w:val="auto"/>
          <w:kern w:val="0"/>
          <w:sz w:val="32"/>
          <w:szCs w:val="28"/>
          <w:highlight w:val="none"/>
        </w:rPr>
        <w:t>5G</w:t>
      </w:r>
      <w:r>
        <w:rPr>
          <w:rFonts w:hint="eastAsia" w:ascii="仿宋_GB2312" w:hAnsi="宋体" w:eastAsia="仿宋_GB2312"/>
          <w:color w:val="auto"/>
          <w:kern w:val="0"/>
          <w:sz w:val="32"/>
          <w:szCs w:val="28"/>
          <w:highlight w:val="none"/>
        </w:rPr>
        <w:t>通信基站建设，打造共建共享的智慧城市体系。</w:t>
      </w:r>
    </w:p>
    <w:p w14:paraId="1544B9CF">
      <w:pPr>
        <w:widowControl/>
        <w:spacing w:line="600" w:lineRule="exact"/>
        <w:ind w:firstLine="640"/>
        <w:jc w:val="left"/>
        <w:rPr>
          <w:rFonts w:ascii="仿宋_GB2312" w:hAnsi="宋体" w:eastAsia="仿宋_GB2312"/>
          <w:color w:val="auto"/>
          <w:kern w:val="0"/>
          <w:sz w:val="32"/>
          <w:szCs w:val="28"/>
          <w:highlight w:val="none"/>
        </w:rPr>
      </w:pPr>
      <w:r>
        <w:rPr>
          <w:rFonts w:hint="eastAsia" w:ascii="仿宋_GB2312" w:hAnsi="宋体" w:eastAsia="仿宋_GB2312"/>
          <w:color w:val="auto"/>
          <w:kern w:val="0"/>
          <w:sz w:val="32"/>
          <w:szCs w:val="28"/>
          <w:highlight w:val="none"/>
        </w:rPr>
        <w:t>规划对现有电信局所进行改造扩容，并新增安宁、新九和渔门等电信支局。县域内规划设置邮政局1座</w:t>
      </w:r>
      <w:r>
        <w:rPr>
          <w:rFonts w:hint="eastAsia" w:ascii="仿宋_GB2312" w:hAnsi="宋体" w:eastAsia="仿宋_GB2312"/>
          <w:color w:val="auto"/>
          <w:kern w:val="0"/>
          <w:sz w:val="32"/>
          <w:szCs w:val="28"/>
          <w:highlight w:val="none"/>
          <w:lang w:eastAsia="zh-CN"/>
        </w:rPr>
        <w:t>、</w:t>
      </w:r>
      <w:r>
        <w:rPr>
          <w:rFonts w:hint="eastAsia" w:ascii="仿宋_GB2312" w:hAnsi="宋体" w:eastAsia="仿宋_GB2312"/>
          <w:color w:val="auto"/>
          <w:kern w:val="0"/>
          <w:sz w:val="32"/>
          <w:szCs w:val="28"/>
          <w:highlight w:val="none"/>
        </w:rPr>
        <w:t>邮政支局5座</w:t>
      </w:r>
      <w:r>
        <w:rPr>
          <w:rFonts w:hint="eastAsia" w:ascii="仿宋_GB2312" w:hAnsi="宋体" w:eastAsia="仿宋_GB2312"/>
          <w:color w:val="auto"/>
          <w:kern w:val="0"/>
          <w:sz w:val="32"/>
          <w:szCs w:val="28"/>
          <w:highlight w:val="none"/>
          <w:lang w:eastAsia="zh-CN"/>
        </w:rPr>
        <w:t>、</w:t>
      </w:r>
      <w:r>
        <w:rPr>
          <w:rFonts w:hint="eastAsia" w:ascii="仿宋_GB2312" w:hAnsi="宋体" w:eastAsia="仿宋_GB2312"/>
          <w:color w:val="auto"/>
          <w:kern w:val="0"/>
          <w:sz w:val="32"/>
          <w:szCs w:val="28"/>
          <w:highlight w:val="none"/>
        </w:rPr>
        <w:t>邮政所8座，各村新增邮政代办点。</w:t>
      </w:r>
    </w:p>
    <w:p w14:paraId="54A48437">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构建清洁高效的环卫设施系统</w:t>
      </w:r>
    </w:p>
    <w:p w14:paraId="5EB0B6FB">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补齐生活垃圾收集、转运、无害化处理设施短板，城（镇）区全面实施生活垃圾源头分类，实现垃圾分类、资源回收利用及废物处置的高效衔接，农村建立“户集、村收、镇转运、市处理”运行模式。至2035年，基本建成完善的垃圾分类、收集、转运、处置体系，县域生活垃圾无害化处理率达到100%，生活垃圾分类处理率达到90%，城镇生活垃圾回收利用率达到35%，农村生活垃圾处理率达到100%。</w:t>
      </w:r>
    </w:p>
    <w:p w14:paraId="298A5055">
      <w:pPr>
        <w:pStyle w:val="7"/>
        <w:keepNext/>
        <w:keepLines/>
        <w:numPr>
          <w:ilvl w:val="0"/>
          <w:numId w:val="12"/>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120" w:name="_Toc19425"/>
      <w:bookmarkStart w:id="121" w:name="_Toc132447830"/>
      <w:bookmarkStart w:id="122" w:name="_Toc3528"/>
      <w:r>
        <w:rPr>
          <w:rFonts w:hint="eastAsia" w:ascii="黑体" w:hAnsi="黑体" w:eastAsia="黑体"/>
          <w:bCs/>
          <w:color w:val="auto"/>
          <w:sz w:val="32"/>
          <w:szCs w:val="32"/>
          <w:highlight w:val="none"/>
        </w:rPr>
        <w:t>魅力空间</w:t>
      </w:r>
      <w:bookmarkEnd w:id="120"/>
      <w:bookmarkEnd w:id="121"/>
      <w:bookmarkEnd w:id="122"/>
    </w:p>
    <w:p w14:paraId="3B379702">
      <w:pPr>
        <w:pStyle w:val="8"/>
        <w:keepNext/>
        <w:keepLines/>
        <w:numPr>
          <w:ilvl w:val="0"/>
          <w:numId w:val="19"/>
        </w:numPr>
        <w:adjustRightInd/>
        <w:snapToGrid/>
        <w:ind w:left="0"/>
        <w:jc w:val="center"/>
        <w:rPr>
          <w:rFonts w:ascii="仿宋_GB2312" w:hAnsi="Calibri" w:eastAsia="仿宋_GB2312"/>
          <w:b/>
          <w:bCs/>
          <w:color w:val="auto"/>
          <w:highlight w:val="none"/>
        </w:rPr>
      </w:pPr>
      <w:bookmarkStart w:id="123" w:name="_Toc122513380"/>
      <w:bookmarkStart w:id="124" w:name="_Toc122513275"/>
      <w:bookmarkStart w:id="125" w:name="_Toc124195932"/>
      <w:bookmarkStart w:id="126" w:name="_Toc17955"/>
      <w:r>
        <w:rPr>
          <w:rFonts w:hint="eastAsia" w:ascii="仿宋_GB2312" w:hAnsi="Calibri" w:eastAsia="仿宋_GB2312"/>
          <w:b/>
          <w:bCs/>
          <w:color w:val="auto"/>
          <w:highlight w:val="none"/>
        </w:rPr>
        <w:t>自然和文化遗产保护</w:t>
      </w:r>
      <w:bookmarkEnd w:id="123"/>
      <w:bookmarkEnd w:id="124"/>
      <w:bookmarkEnd w:id="125"/>
      <w:bookmarkEnd w:id="126"/>
    </w:p>
    <w:p w14:paraId="790F633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27" w:name="_Toc122513276"/>
      <w:r>
        <w:rPr>
          <w:rFonts w:hint="eastAsia" w:ascii="仿宋_GB2312" w:hAnsi="Times New Roman" w:eastAsia="仿宋_GB2312"/>
          <w:b/>
          <w:bCs/>
          <w:color w:val="auto"/>
          <w:sz w:val="32"/>
          <w:szCs w:val="28"/>
          <w:highlight w:val="none"/>
        </w:rPr>
        <w:t>构建历史文化资源保护体系</w:t>
      </w:r>
      <w:bookmarkEnd w:id="127"/>
    </w:p>
    <w:p w14:paraId="1B293B5C">
      <w:pPr>
        <w:pStyle w:val="6"/>
        <w:numPr>
          <w:ilvl w:val="0"/>
          <w:numId w:val="20"/>
        </w:numPr>
        <w:ind w:firstLineChars="0"/>
        <w:rPr>
          <w:color w:val="auto"/>
          <w:highlight w:val="none"/>
        </w:rPr>
      </w:pPr>
      <w:r>
        <w:rPr>
          <w:rFonts w:hint="eastAsia"/>
          <w:color w:val="auto"/>
          <w:highlight w:val="none"/>
        </w:rPr>
        <w:t>保护目标</w:t>
      </w:r>
    </w:p>
    <w:p w14:paraId="1245375E">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以盐边历史文化、民族文化等多元文化为纽带，以名胜古迹、餐饮服饰、戏曲舞蹈、生活节日等为表现形式，塑造独具一格的城市特色文化，传承和弘扬盐边优秀的历史文化和地域文化，建设具有历史记忆和地域特色的美丽盐边。</w:t>
      </w:r>
    </w:p>
    <w:p w14:paraId="6A5B0926">
      <w:pPr>
        <w:pStyle w:val="6"/>
        <w:numPr>
          <w:ilvl w:val="0"/>
          <w:numId w:val="20"/>
        </w:numPr>
        <w:ind w:firstLineChars="0"/>
        <w:rPr>
          <w:color w:val="auto"/>
          <w:highlight w:val="none"/>
        </w:rPr>
      </w:pPr>
      <w:r>
        <w:rPr>
          <w:rFonts w:hint="eastAsia"/>
          <w:color w:val="auto"/>
          <w:highlight w:val="none"/>
        </w:rPr>
        <w:t>构建“一脉、三区、多点”的保护与展示体系</w:t>
      </w:r>
    </w:p>
    <w:p w14:paraId="01C232A0">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一脉</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：以南北主要通道，从高山到库区到城镇，串联起民族民俗、大笮文化和现代文明，将盐边文化传承发扬，一脉相连。</w:t>
      </w:r>
    </w:p>
    <w:p w14:paraId="0E621BE9">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三区</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：包括民族风情文化区、笮山若水文化区、现代时尚文化区。</w:t>
      </w:r>
    </w:p>
    <w:p w14:paraId="46CDEF36">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多点</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：盐边县域内的历史遗存、文物点等，构成重要的文化展示点。</w:t>
      </w:r>
    </w:p>
    <w:p w14:paraId="27D2F9F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28" w:name="_Toc122513277"/>
      <w:r>
        <w:rPr>
          <w:rFonts w:hint="eastAsia" w:ascii="仿宋_GB2312" w:hAnsi="Times New Roman" w:eastAsia="仿宋_GB2312"/>
          <w:b/>
          <w:bCs/>
          <w:color w:val="auto"/>
          <w:sz w:val="32"/>
          <w:szCs w:val="28"/>
          <w:highlight w:val="none"/>
        </w:rPr>
        <w:t>加强传统村落保护</w:t>
      </w:r>
      <w:bookmarkEnd w:id="128"/>
    </w:p>
    <w:p w14:paraId="24774330">
      <w:pPr>
        <w:pStyle w:val="6"/>
        <w:numPr>
          <w:ilvl w:val="0"/>
          <w:numId w:val="21"/>
        </w:numPr>
        <w:ind w:firstLineChars="0"/>
        <w:rPr>
          <w:color w:val="auto"/>
          <w:highlight w:val="none"/>
        </w:rPr>
      </w:pPr>
      <w:r>
        <w:rPr>
          <w:rFonts w:hint="eastAsia"/>
          <w:color w:val="auto"/>
          <w:highlight w:val="none"/>
        </w:rPr>
        <w:t>传统村落</w:t>
      </w:r>
    </w:p>
    <w:p w14:paraId="6B26DEF4">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落实红格镇联合村和新九镇猛粮村传统村落的保护工作。规划格萨拉彝族乡古德村申报传统村落。</w:t>
      </w:r>
    </w:p>
    <w:p w14:paraId="5D9D256A">
      <w:pPr>
        <w:pStyle w:val="6"/>
        <w:numPr>
          <w:ilvl w:val="0"/>
          <w:numId w:val="21"/>
        </w:numPr>
        <w:ind w:firstLineChars="0"/>
        <w:rPr>
          <w:color w:val="auto"/>
          <w:highlight w:val="none"/>
        </w:rPr>
      </w:pPr>
      <w:r>
        <w:rPr>
          <w:rFonts w:hint="eastAsia"/>
          <w:color w:val="auto"/>
          <w:highlight w:val="none"/>
        </w:rPr>
        <w:t>落实保护范围</w:t>
      </w:r>
    </w:p>
    <w:p w14:paraId="5FAB1F7C">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联合村：保护总面积17.78公顷。其中核心保护范围主要以传统风貌建筑与其空间相关联的建筑外轮廓线，再加其院坝空间边缘线为界，面积1.93公顷；建设控制地带北至乡道外田地边界，东、南至田地边界、西至山林边界，面积为15.85公顷。</w:t>
      </w:r>
    </w:p>
    <w:p w14:paraId="6566F5B8">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猛粮村：分别对老街、张家祠堂、李洪都宅划定保护范围，每个片区的保护范围包括核心保护范围与建设控制地带两个层次。核心保护范围主要以老街传统风貌建筑、张家祠堂、李洪都宅与其空间相关联的建筑外轮廓线，再加其院坝空间边缘线为界，面积</w:t>
      </w:r>
      <w:r>
        <w:rPr>
          <w:rFonts w:ascii="仿宋_GB2312" w:hAnsi="宋体" w:eastAsia="仿宋_GB2312"/>
          <w:color w:val="auto"/>
          <w:sz w:val="32"/>
          <w:szCs w:val="32"/>
          <w:highlight w:val="none"/>
        </w:rPr>
        <w:t>1.4</w:t>
      </w:r>
      <w:r>
        <w:rPr>
          <w:rFonts w:hint="eastAsia" w:ascii="仿宋_GB2312" w:hAnsi="宋体" w:eastAsia="仿宋_GB2312"/>
          <w:color w:val="auto"/>
          <w:sz w:val="32"/>
          <w:szCs w:val="32"/>
          <w:highlight w:val="none"/>
        </w:rPr>
        <w:t>公顷，其中老街</w:t>
      </w:r>
      <w:r>
        <w:rPr>
          <w:rFonts w:ascii="仿宋_GB2312" w:hAnsi="宋体" w:eastAsia="仿宋_GB2312"/>
          <w:color w:val="auto"/>
          <w:sz w:val="32"/>
          <w:szCs w:val="32"/>
          <w:highlight w:val="none"/>
        </w:rPr>
        <w:t>1.32</w:t>
      </w:r>
      <w:r>
        <w:rPr>
          <w:rFonts w:hint="eastAsia" w:ascii="仿宋_GB2312" w:hAnsi="宋体" w:eastAsia="仿宋_GB2312"/>
          <w:color w:val="auto"/>
          <w:sz w:val="32"/>
          <w:szCs w:val="32"/>
          <w:highlight w:val="none"/>
        </w:rPr>
        <w:t>公顷、张家祠堂</w:t>
      </w:r>
      <w:r>
        <w:rPr>
          <w:rFonts w:ascii="仿宋_GB2312" w:hAnsi="宋体" w:eastAsia="仿宋_GB2312"/>
          <w:color w:val="auto"/>
          <w:sz w:val="32"/>
          <w:szCs w:val="32"/>
          <w:highlight w:val="none"/>
        </w:rPr>
        <w:t>0.04</w:t>
      </w:r>
      <w:r>
        <w:rPr>
          <w:rFonts w:hint="eastAsia" w:ascii="仿宋_GB2312" w:hAnsi="宋体" w:eastAsia="仿宋_GB2312"/>
          <w:color w:val="auto"/>
          <w:sz w:val="32"/>
          <w:szCs w:val="32"/>
          <w:highlight w:val="none"/>
        </w:rPr>
        <w:t>公顷、李洪都宅</w:t>
      </w:r>
      <w:r>
        <w:rPr>
          <w:rFonts w:ascii="仿宋_GB2312" w:hAnsi="宋体" w:eastAsia="仿宋_GB2312"/>
          <w:color w:val="auto"/>
          <w:sz w:val="32"/>
          <w:szCs w:val="32"/>
          <w:highlight w:val="none"/>
        </w:rPr>
        <w:t>0.04</w:t>
      </w:r>
      <w:r>
        <w:rPr>
          <w:rFonts w:hint="eastAsia" w:ascii="仿宋_GB2312" w:hAnsi="宋体" w:eastAsia="仿宋_GB2312"/>
          <w:color w:val="auto"/>
          <w:sz w:val="32"/>
          <w:szCs w:val="32"/>
          <w:highlight w:val="none"/>
        </w:rPr>
        <w:t>公顷。建设控制地带以核心保护范围为依据向四向延伸，结合周边的历史要素、农田、建筑、交通路径边界划定，面积为8.47公顷，其中老街6.38公顷、张家祠堂1.03公顷、李洪都宅1.06公顷。</w:t>
      </w:r>
    </w:p>
    <w:p w14:paraId="6D3E05C0">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古德村：拟申报传统村落（</w:t>
      </w:r>
      <w:r>
        <w:rPr>
          <w:rFonts w:hint="eastAsia" w:ascii="仿宋_GB2312" w:hAnsi="宋体" w:eastAsia="仿宋_GB2312"/>
          <w:color w:val="auto"/>
          <w:sz w:val="32"/>
          <w:szCs w:val="32"/>
          <w:highlight w:val="none"/>
          <w:lang w:val="en-US" w:eastAsia="zh-CN"/>
        </w:rPr>
        <w:t>详见</w:t>
      </w:r>
      <w:r>
        <w:rPr>
          <w:rFonts w:hint="eastAsia" w:ascii="仿宋_GB2312" w:hAnsi="宋体" w:eastAsia="仿宋_GB2312"/>
          <w:color w:val="auto"/>
          <w:sz w:val="32"/>
          <w:szCs w:val="32"/>
          <w:highlight w:val="none"/>
        </w:rPr>
        <w:t>附表10）。</w:t>
      </w:r>
    </w:p>
    <w:p w14:paraId="28C3CD61">
      <w:pPr>
        <w:pStyle w:val="6"/>
        <w:numPr>
          <w:ilvl w:val="0"/>
          <w:numId w:val="21"/>
        </w:numPr>
        <w:ind w:firstLineChars="0"/>
        <w:rPr>
          <w:color w:val="auto"/>
          <w:highlight w:val="none"/>
        </w:rPr>
      </w:pPr>
      <w:r>
        <w:rPr>
          <w:rFonts w:hint="eastAsia"/>
          <w:color w:val="auto"/>
          <w:highlight w:val="none"/>
        </w:rPr>
        <w:t>保护要求</w:t>
      </w:r>
    </w:p>
    <w:p w14:paraId="4D9EBC51">
      <w:pPr>
        <w:tabs>
          <w:tab w:val="left" w:pos="720"/>
        </w:tabs>
        <w:spacing w:line="600" w:lineRule="exact"/>
        <w:ind w:firstLine="640"/>
        <w:rPr>
          <w:rFonts w:ascii="仿宋_GB2312" w:hAnsi="宋体" w:eastAsia="仿宋_GB2312"/>
          <w:color w:val="auto"/>
          <w:sz w:val="32"/>
          <w:szCs w:val="32"/>
          <w:highlight w:val="none"/>
          <w:u w:val="single"/>
        </w:rPr>
      </w:pPr>
      <w:r>
        <w:rPr>
          <w:rFonts w:hint="eastAsia" w:ascii="仿宋_GB2312" w:hAnsi="宋体" w:eastAsia="仿宋_GB2312"/>
          <w:color w:val="auto"/>
          <w:sz w:val="32"/>
          <w:szCs w:val="32"/>
          <w:highlight w:val="none"/>
          <w:u w:val="single"/>
        </w:rPr>
        <w:t>传统村落内的文保单位严格按照《中华人民共和国文物保护法》《中华人民共和国文物保护法实施条例》的规定进行保护，传统风貌建筑按照国家《历史文化名城名镇名村保护条例》《四川省传统村落保护条例》中对传统建筑保护的规定进行管理。</w:t>
      </w:r>
    </w:p>
    <w:p w14:paraId="1C2F4AF5">
      <w:pPr>
        <w:pStyle w:val="6"/>
        <w:numPr>
          <w:ilvl w:val="0"/>
          <w:numId w:val="21"/>
        </w:numPr>
        <w:ind w:firstLineChars="0"/>
        <w:rPr>
          <w:color w:val="auto"/>
          <w:highlight w:val="none"/>
        </w:rPr>
      </w:pPr>
      <w:r>
        <w:rPr>
          <w:rFonts w:hint="eastAsia"/>
          <w:color w:val="auto"/>
          <w:highlight w:val="none"/>
        </w:rPr>
        <w:t>发展引导</w:t>
      </w:r>
    </w:p>
    <w:p w14:paraId="5F00C063">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改善居住条件，提升传统建筑在建筑安全、居住舒适性等方面的水平。完善道路交通，在不改变街道空间尺度和风貌的情况下，改善村落的路网系统、交通组织及管理、停车设施、公交车站、旅游线路等硬件设施。提升人居环境，改善村落基础设施、公共服务设施及防灾设施。</w:t>
      </w:r>
    </w:p>
    <w:p w14:paraId="759DF99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29" w:name="_Toc122513278"/>
      <w:r>
        <w:rPr>
          <w:rFonts w:hint="eastAsia" w:ascii="仿宋_GB2312" w:hAnsi="Times New Roman" w:eastAsia="仿宋_GB2312"/>
          <w:b/>
          <w:bCs/>
          <w:color w:val="auto"/>
          <w:sz w:val="32"/>
          <w:szCs w:val="28"/>
          <w:highlight w:val="none"/>
        </w:rPr>
        <w:t>系统保护历史文化要素</w:t>
      </w:r>
      <w:bookmarkEnd w:id="129"/>
    </w:p>
    <w:p w14:paraId="4960263F">
      <w:pPr>
        <w:pStyle w:val="6"/>
        <w:numPr>
          <w:ilvl w:val="0"/>
          <w:numId w:val="22"/>
        </w:numPr>
        <w:ind w:firstLineChars="0"/>
        <w:rPr>
          <w:color w:val="auto"/>
          <w:highlight w:val="none"/>
        </w:rPr>
      </w:pPr>
      <w:r>
        <w:rPr>
          <w:rFonts w:hint="eastAsia"/>
          <w:color w:val="auto"/>
          <w:highlight w:val="none"/>
        </w:rPr>
        <w:t>文物保护单位的保护</w:t>
      </w:r>
    </w:p>
    <w:p w14:paraId="75373D97">
      <w:pPr>
        <w:tabs>
          <w:tab w:val="left" w:pos="720"/>
        </w:tabs>
        <w:spacing w:line="600" w:lineRule="exact"/>
        <w:ind w:firstLine="640"/>
        <w:rPr>
          <w:rFonts w:hint="eastAsia" w:ascii="仿宋_GB2312" w:hAnsi="宋体" w:eastAsia="仿宋_GB2312"/>
          <w:color w:val="auto"/>
          <w:sz w:val="32"/>
          <w:szCs w:val="32"/>
          <w:highlight w:val="none"/>
          <w:u w:val="single"/>
          <w:lang w:eastAsia="zh-CN"/>
        </w:rPr>
      </w:pPr>
      <w:r>
        <w:rPr>
          <w:rFonts w:hint="eastAsia" w:ascii="仿宋_GB2312" w:hAnsi="宋体" w:eastAsia="仿宋_GB2312"/>
          <w:color w:val="auto"/>
          <w:sz w:val="32"/>
          <w:szCs w:val="32"/>
          <w:highlight w:val="none"/>
          <w:lang w:eastAsia="zh-CN"/>
        </w:rPr>
        <w:t>按照</w:t>
      </w:r>
      <w:r>
        <w:rPr>
          <w:rFonts w:hint="eastAsia" w:ascii="仿宋_GB2312" w:hAnsi="宋体" w:eastAsia="仿宋_GB2312"/>
          <w:color w:val="auto"/>
          <w:sz w:val="32"/>
          <w:szCs w:val="32"/>
          <w:highlight w:val="none"/>
        </w:rPr>
        <w:t>《中华人民共和国文物保护法》等国家法规和地方条例，对盐边县现有文物保护单位</w:t>
      </w:r>
      <w:r>
        <w:rPr>
          <w:rFonts w:ascii="仿宋_GB2312" w:hAnsi="宋体" w:eastAsia="仿宋_GB2312"/>
          <w:color w:val="auto"/>
          <w:sz w:val="32"/>
          <w:szCs w:val="32"/>
          <w:highlight w:val="none"/>
        </w:rPr>
        <w:t>25</w:t>
      </w:r>
      <w:r>
        <w:rPr>
          <w:rFonts w:hint="eastAsia" w:ascii="仿宋_GB2312" w:hAnsi="宋体" w:eastAsia="仿宋_GB2312"/>
          <w:color w:val="auto"/>
          <w:sz w:val="32"/>
          <w:szCs w:val="32"/>
          <w:highlight w:val="none"/>
        </w:rPr>
        <w:t>处（省级2处，市级7处，县级16处）进行保护。其中耶糯井、永兴兴盐寺、二道河双龙桥、茶马古道盐边段、新九万寿宫遗址、下坝子考古遗址、原盐边县烈士陵园（水下遗址）、新坪娘子军桥、新林五一渡槽和盐边县烈士陵园等10处文物保护单位需文物管理部门加快完成保护范围的划定工作。</w:t>
      </w:r>
      <w:r>
        <w:rPr>
          <w:rFonts w:hint="eastAsia" w:ascii="仿宋_GB2312" w:hAnsi="宋体" w:eastAsia="仿宋_GB2312"/>
          <w:color w:val="auto"/>
          <w:sz w:val="32"/>
          <w:szCs w:val="32"/>
          <w:highlight w:val="none"/>
          <w:u w:val="single"/>
        </w:rPr>
        <w:t>对文物保护单位提出的保护要求应符合文物保护规划的规定。同时对文物古迹周边环境划定范围，提出控制措施</w:t>
      </w:r>
      <w:r>
        <w:rPr>
          <w:rFonts w:hint="eastAsia" w:ascii="仿宋_GB2312" w:hAnsi="宋体" w:eastAsia="仿宋_GB2312"/>
          <w:color w:val="auto"/>
          <w:sz w:val="32"/>
          <w:szCs w:val="32"/>
          <w:highlight w:val="none"/>
          <w:u w:val="none"/>
          <w:lang w:eastAsia="zh-CN"/>
        </w:rPr>
        <w:t>。</w:t>
      </w:r>
    </w:p>
    <w:p w14:paraId="72F57321">
      <w:pPr>
        <w:pStyle w:val="6"/>
        <w:numPr>
          <w:ilvl w:val="0"/>
          <w:numId w:val="22"/>
        </w:numPr>
        <w:ind w:firstLineChars="0"/>
        <w:rPr>
          <w:color w:val="auto"/>
          <w:highlight w:val="none"/>
        </w:rPr>
      </w:pPr>
      <w:r>
        <w:rPr>
          <w:rFonts w:hint="eastAsia"/>
          <w:color w:val="auto"/>
          <w:highlight w:val="none"/>
        </w:rPr>
        <w:t>历史建筑的保护</w:t>
      </w:r>
    </w:p>
    <w:p w14:paraId="2CB77ECC">
      <w:pPr>
        <w:tabs>
          <w:tab w:val="left" w:pos="720"/>
        </w:tabs>
        <w:spacing w:line="600" w:lineRule="exact"/>
        <w:ind w:firstLine="640"/>
        <w:rPr>
          <w:rFonts w:ascii="仿宋_GB2312" w:hAnsi="宋体" w:eastAsia="仿宋_GB2312"/>
          <w:color w:val="auto"/>
          <w:sz w:val="32"/>
          <w:szCs w:val="32"/>
          <w:highlight w:val="none"/>
          <w:u w:val="none"/>
        </w:rPr>
      </w:pPr>
      <w:r>
        <w:rPr>
          <w:rFonts w:hint="eastAsia" w:ascii="仿宋_GB2312" w:hAnsi="宋体" w:eastAsia="仿宋_GB2312"/>
          <w:color w:val="auto"/>
          <w:sz w:val="32"/>
          <w:szCs w:val="32"/>
          <w:highlight w:val="none"/>
          <w:u w:val="none"/>
          <w:lang w:val="en-US" w:eastAsia="zh-CN"/>
        </w:rPr>
        <w:t>按照相关要求对</w:t>
      </w:r>
      <w:r>
        <w:rPr>
          <w:rFonts w:hint="eastAsia" w:ascii="仿宋_GB2312" w:hAnsi="宋体" w:eastAsia="仿宋_GB2312"/>
          <w:color w:val="auto"/>
          <w:sz w:val="32"/>
          <w:szCs w:val="32"/>
          <w:highlight w:val="none"/>
          <w:u w:val="none"/>
        </w:rPr>
        <w:t>盐边县桐子林火车站、和爱粮站旧址、盐边县红宝苗族彝族乡择木龙村藤桥、严关文宅、严家大院、</w:t>
      </w:r>
      <w:r>
        <w:rPr>
          <w:rFonts w:hint="eastAsia" w:ascii="仿宋_GB2312" w:hAnsi="宋体" w:eastAsia="仿宋_GB2312" w:cs="宋体"/>
          <w:color w:val="auto"/>
          <w:sz w:val="32"/>
          <w:szCs w:val="32"/>
          <w:highlight w:val="none"/>
          <w:u w:val="none"/>
        </w:rPr>
        <w:t>毛正</w:t>
      </w:r>
      <w:r>
        <w:rPr>
          <w:rFonts w:hint="eastAsia" w:ascii="仿宋_GB2312" w:hAnsi="宋体" w:eastAsia="仿宋_GB2312"/>
          <w:color w:val="auto"/>
          <w:sz w:val="32"/>
          <w:szCs w:val="32"/>
          <w:highlight w:val="none"/>
          <w:u w:val="none"/>
        </w:rPr>
        <w:t>安住宅、</w:t>
      </w:r>
      <w:r>
        <w:rPr>
          <w:rFonts w:hint="eastAsia" w:ascii="仿宋_GB2312" w:hAnsi="宋体" w:eastAsia="仿宋_GB2312" w:cs="宋体"/>
          <w:color w:val="auto"/>
          <w:sz w:val="32"/>
          <w:szCs w:val="32"/>
          <w:highlight w:val="none"/>
          <w:u w:val="none"/>
        </w:rPr>
        <w:t>彭祥院和、猛粮供销社、朵格梁子舂米作坊遗址、六合李氏碉楼建筑群、封火墙、明清民居</w:t>
      </w:r>
      <w:r>
        <w:rPr>
          <w:rFonts w:hint="eastAsia" w:ascii="仿宋_GB2312" w:hAnsi="宋体" w:eastAsia="仿宋_GB2312" w:cs="宋体"/>
          <w:color w:val="auto"/>
          <w:sz w:val="32"/>
          <w:szCs w:val="32"/>
          <w:highlight w:val="none"/>
          <w:u w:val="none"/>
          <w:lang w:val="en-US" w:eastAsia="zh-CN"/>
        </w:rPr>
        <w:t>等12处历史建筑实施保护</w:t>
      </w:r>
      <w:r>
        <w:rPr>
          <w:rFonts w:hint="eastAsia" w:ascii="仿宋_GB2312" w:hAnsi="宋体" w:eastAsia="仿宋_GB2312"/>
          <w:color w:val="auto"/>
          <w:sz w:val="32"/>
          <w:szCs w:val="32"/>
          <w:highlight w:val="none"/>
          <w:u w:val="none"/>
        </w:rPr>
        <w:t>。</w:t>
      </w:r>
      <w:r>
        <w:rPr>
          <w:rFonts w:hint="eastAsia" w:ascii="仿宋_GB2312" w:hAnsi="宋体" w:eastAsia="仿宋_GB2312"/>
          <w:color w:val="auto"/>
          <w:sz w:val="32"/>
          <w:szCs w:val="32"/>
          <w:highlight w:val="none"/>
          <w:u w:val="single"/>
        </w:rPr>
        <w:t>划定历史建筑保护范围，并对历史建筑保护范围内的各项建设活动提出管控要求，历史建筑保护范围内新建、扩建、改建的建筑，应在高度、体量、立面、材料、色彩、功能等方面与历史建筑相协调，并不得影响历史建筑风貌的展示。历史建筑应保持和延续原有的使用功能；确需改变功能的，应保护和提示原有的历史文化特征，并不得危害历史建筑的安全。</w:t>
      </w:r>
    </w:p>
    <w:p w14:paraId="6E75D9C9">
      <w:pPr>
        <w:pStyle w:val="6"/>
        <w:numPr>
          <w:ilvl w:val="0"/>
          <w:numId w:val="22"/>
        </w:numPr>
        <w:ind w:firstLineChars="0"/>
        <w:rPr>
          <w:color w:val="auto"/>
          <w:highlight w:val="none"/>
        </w:rPr>
      </w:pPr>
      <w:r>
        <w:rPr>
          <w:rFonts w:hint="eastAsia"/>
          <w:color w:val="auto"/>
          <w:highlight w:val="none"/>
        </w:rPr>
        <w:t>传统风貌建筑的保护</w:t>
      </w:r>
    </w:p>
    <w:p w14:paraId="77683E8A">
      <w:pPr>
        <w:tabs>
          <w:tab w:val="left" w:pos="720"/>
        </w:tabs>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对于保护较好的传统风貌建筑要原样修整，提出维修和改善的措施。</w:t>
      </w:r>
    </w:p>
    <w:p w14:paraId="38E48722">
      <w:pPr>
        <w:pStyle w:val="6"/>
        <w:numPr>
          <w:ilvl w:val="0"/>
          <w:numId w:val="22"/>
        </w:numPr>
        <w:ind w:firstLineChars="0"/>
        <w:rPr>
          <w:color w:val="auto"/>
          <w:highlight w:val="none"/>
        </w:rPr>
      </w:pPr>
      <w:r>
        <w:rPr>
          <w:rFonts w:hint="eastAsia"/>
          <w:color w:val="auto"/>
          <w:highlight w:val="none"/>
        </w:rPr>
        <w:t>非物质文化遗产的保护</w:t>
      </w:r>
    </w:p>
    <w:p w14:paraId="0F57877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盐边县确定的非物质文化遗产保护项目共有</w:t>
      </w:r>
      <w:r>
        <w:rPr>
          <w:rFonts w:ascii="仿宋_GB2312" w:eastAsia="仿宋_GB2312"/>
          <w:color w:val="auto"/>
          <w:sz w:val="32"/>
          <w:szCs w:val="32"/>
          <w:highlight w:val="none"/>
        </w:rPr>
        <w:t>31</w:t>
      </w:r>
      <w:r>
        <w:rPr>
          <w:rFonts w:hint="eastAsia" w:ascii="仿宋_GB2312" w:eastAsia="仿宋_GB2312"/>
          <w:color w:val="auto"/>
          <w:sz w:val="32"/>
          <w:szCs w:val="32"/>
          <w:highlight w:val="none"/>
        </w:rPr>
        <w:t>项，包括“苗族斗釜歌”“苗族绷鼓仪式”“仡佬族送年节”“傈僳族婚礼”“笮山锅庄”等。恢复和保护各类非物质文化遗产的物质载体，通过组织引导举办体现地域特色的重大文化活动和节庆活动，促进非物质文化遗产的传承保护，强化非物质遗产与文化旅游的深度融合。</w:t>
      </w:r>
      <w:r>
        <w:rPr>
          <w:rFonts w:hint="eastAsia" w:ascii="仿宋_GB2312" w:eastAsia="仿宋_GB2312"/>
          <w:color w:val="auto"/>
          <w:sz w:val="32"/>
          <w:szCs w:val="32"/>
          <w:highlight w:val="none"/>
          <w:lang w:val="en-US" w:eastAsia="zh-CN"/>
        </w:rPr>
        <w:t>非物质文化遗产严格按照《</w:t>
      </w:r>
      <w:r>
        <w:rPr>
          <w:rFonts w:hint="eastAsia" w:ascii="仿宋_GB2312" w:eastAsia="仿宋_GB2312"/>
          <w:color w:val="auto"/>
          <w:sz w:val="32"/>
          <w:szCs w:val="32"/>
          <w:highlight w:val="none"/>
        </w:rPr>
        <w:t>四川省非物质文化遗产条例</w:t>
      </w:r>
      <w:r>
        <w:rPr>
          <w:rFonts w:hint="eastAsia" w:ascii="仿宋_GB2312" w:eastAsia="仿宋_GB2312"/>
          <w:color w:val="auto"/>
          <w:sz w:val="32"/>
          <w:szCs w:val="32"/>
          <w:highlight w:val="none"/>
          <w:lang w:val="en-US" w:eastAsia="zh-CN"/>
        </w:rPr>
        <w:t>》的要求进行保护。</w:t>
      </w:r>
    </w:p>
    <w:p w14:paraId="4274B4DE">
      <w:pPr>
        <w:pStyle w:val="8"/>
        <w:keepNext/>
        <w:keepLines/>
        <w:numPr>
          <w:ilvl w:val="0"/>
          <w:numId w:val="19"/>
        </w:numPr>
        <w:adjustRightInd/>
        <w:snapToGrid/>
        <w:ind w:left="0"/>
        <w:jc w:val="center"/>
        <w:rPr>
          <w:rFonts w:ascii="仿宋_GB2312" w:hAnsi="Calibri" w:eastAsia="仿宋_GB2312"/>
          <w:b/>
          <w:bCs/>
          <w:color w:val="auto"/>
          <w:highlight w:val="none"/>
        </w:rPr>
      </w:pPr>
      <w:bookmarkStart w:id="130" w:name="_Toc20706"/>
      <w:bookmarkStart w:id="131" w:name="_Toc122513383"/>
      <w:bookmarkStart w:id="132" w:name="_Toc122513285"/>
      <w:bookmarkStart w:id="133" w:name="_Toc124195935"/>
      <w:r>
        <w:rPr>
          <w:rFonts w:hint="eastAsia" w:ascii="仿宋_GB2312" w:hAnsi="Calibri" w:eastAsia="仿宋_GB2312"/>
          <w:b/>
          <w:bCs/>
          <w:color w:val="auto"/>
          <w:highlight w:val="none"/>
        </w:rPr>
        <w:t>构建县域魅力景观体系</w:t>
      </w:r>
      <w:bookmarkEnd w:id="130"/>
      <w:bookmarkEnd w:id="131"/>
      <w:bookmarkEnd w:id="132"/>
      <w:bookmarkEnd w:id="133"/>
    </w:p>
    <w:p w14:paraId="1A271E39">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34" w:name="_Toc122513286"/>
      <w:r>
        <w:rPr>
          <w:rFonts w:hint="eastAsia" w:ascii="仿宋_GB2312" w:hAnsi="Times New Roman" w:eastAsia="仿宋_GB2312"/>
          <w:b/>
          <w:bCs/>
          <w:color w:val="auto"/>
          <w:sz w:val="32"/>
          <w:szCs w:val="28"/>
          <w:highlight w:val="none"/>
        </w:rPr>
        <w:t>构建县域魅力空间格局</w:t>
      </w:r>
      <w:bookmarkEnd w:id="134"/>
    </w:p>
    <w:p w14:paraId="48E75518">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依托盐边县现有的自然景观、民俗文化、历史文化遗迹、乡村等资源，结合资源分布的集聚程度，构建“一轴、两线、三区、四镇、五村”的县域魅力空间格局。</w:t>
      </w:r>
    </w:p>
    <w:p w14:paraId="54645682">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一轴</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：连接南北的旅游发展轴线，呈“S”形状蜿蜒攀附在盐边县域内，串联格萨拉生态旅游区、渔门旅游集散综合服务点、四川二滩国家级森林公园、盐边中心城区、红格运动康养度假区等重要魅力景观节点。</w:t>
      </w:r>
    </w:p>
    <w:p w14:paraId="20DC146B">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两线</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：打造东、西两条“笮山若水”自驾游体验线路。东线：渔门一国胜一红宝一择木龙一共和一二滩。西线：渔门一惠民一永兴一温泉—格萨拉。</w:t>
      </w:r>
    </w:p>
    <w:p w14:paraId="0B2A1BF1">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三区</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：重点打造南部运动温泉度假区（红格运动康养·温泉度假区）、协同打造中部山水康养度假区（“百里画廊，水墨二滩”景区）、策划打造北部生态旅游度假区（格萨拉—柏林山景区）。</w:t>
      </w:r>
    </w:p>
    <w:p w14:paraId="2E5AE6B5">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四镇</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：大笮风情—桐子林镇，十里桃乡—红果彝族乡，百里水乡—渔门镇，星空露营基地—共和乡。</w:t>
      </w:r>
    </w:p>
    <w:p w14:paraId="0D36439A">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五村</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：芒果名村—金河村，艺术聚落—昔格达村，康养盐泉—苍蒲村，民族奇葩—古德村，国胜茶乡—热水塘村。</w:t>
      </w:r>
    </w:p>
    <w:p w14:paraId="01881B93">
      <w:pPr>
        <w:pStyle w:val="7"/>
        <w:keepNext/>
        <w:keepLines/>
        <w:numPr>
          <w:ilvl w:val="0"/>
          <w:numId w:val="12"/>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135" w:name="_Toc122513353"/>
      <w:bookmarkStart w:id="136" w:name="_Toc122513194"/>
      <w:bookmarkStart w:id="137" w:name="_Toc29856"/>
      <w:bookmarkStart w:id="138" w:name="_Toc132447831"/>
      <w:bookmarkStart w:id="139" w:name="_Toc29340"/>
      <w:bookmarkStart w:id="140" w:name="_Toc124195904"/>
      <w:r>
        <w:rPr>
          <w:rFonts w:hint="eastAsia" w:ascii="黑体" w:hAnsi="黑体" w:eastAsia="黑体"/>
          <w:bCs/>
          <w:color w:val="auto"/>
          <w:sz w:val="32"/>
          <w:szCs w:val="32"/>
          <w:highlight w:val="none"/>
        </w:rPr>
        <w:t>区域</w:t>
      </w:r>
      <w:bookmarkEnd w:id="135"/>
      <w:bookmarkEnd w:id="136"/>
      <w:r>
        <w:rPr>
          <w:rFonts w:hint="eastAsia" w:ascii="黑体" w:hAnsi="黑体" w:eastAsia="黑体"/>
          <w:bCs/>
          <w:color w:val="auto"/>
          <w:sz w:val="32"/>
          <w:szCs w:val="32"/>
          <w:highlight w:val="none"/>
        </w:rPr>
        <w:t>协调</w:t>
      </w:r>
      <w:bookmarkEnd w:id="137"/>
      <w:bookmarkEnd w:id="138"/>
      <w:bookmarkEnd w:id="139"/>
      <w:bookmarkEnd w:id="140"/>
    </w:p>
    <w:p w14:paraId="6CCC18DD">
      <w:pPr>
        <w:pStyle w:val="8"/>
        <w:keepNext/>
        <w:keepLines/>
        <w:numPr>
          <w:ilvl w:val="0"/>
          <w:numId w:val="23"/>
        </w:numPr>
        <w:adjustRightInd/>
        <w:snapToGrid/>
        <w:ind w:left="0"/>
        <w:jc w:val="center"/>
        <w:rPr>
          <w:rFonts w:ascii="仿宋_GB2312" w:hAnsi="Calibri" w:eastAsia="仿宋_GB2312"/>
          <w:b/>
          <w:bCs/>
          <w:color w:val="auto"/>
          <w:highlight w:val="none"/>
        </w:rPr>
      </w:pPr>
      <w:bookmarkStart w:id="141" w:name="_Toc24353"/>
      <w:r>
        <w:rPr>
          <w:rFonts w:hint="eastAsia" w:ascii="仿宋_GB2312" w:hAnsi="Calibri" w:eastAsia="仿宋_GB2312"/>
          <w:b/>
          <w:bCs/>
          <w:color w:val="auto"/>
          <w:highlight w:val="none"/>
        </w:rPr>
        <w:t>域外协调</w:t>
      </w:r>
      <w:bookmarkEnd w:id="141"/>
    </w:p>
    <w:p w14:paraId="4E253AF0">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42" w:name="_Toc122513195"/>
      <w:r>
        <w:rPr>
          <w:rFonts w:hint="eastAsia" w:ascii="仿宋_GB2312" w:hAnsi="Times New Roman" w:eastAsia="仿宋_GB2312"/>
          <w:b/>
          <w:bCs/>
          <w:color w:val="auto"/>
          <w:sz w:val="32"/>
          <w:szCs w:val="28"/>
          <w:highlight w:val="none"/>
        </w:rPr>
        <w:t>生态共保，共筑长江上游生态屏障</w:t>
      </w:r>
      <w:bookmarkEnd w:id="142"/>
    </w:p>
    <w:p w14:paraId="6F1D7003">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加强攀枝花北部区域生态环境联防联治，强化大气、水、土壤等领域协同治理，探索构建合作共治、责任共担、效益共享的生态保护和长效治理机制。以金沙江、雅砻江、安宁河为主要生态廊道，加强河道生态治理，与周边区县共建金沙江、雅砻江、安宁河生态廊道，共同保护长江上游水域生态安全，共同筑牢长江上游生态屏障。以</w:t>
      </w:r>
      <w:r>
        <w:rPr>
          <w:rFonts w:hint="eastAsia" w:ascii="仿宋_GB2312" w:eastAsia="仿宋_GB2312"/>
          <w:color w:val="auto"/>
          <w:sz w:val="32"/>
          <w:szCs w:val="32"/>
          <w:highlight w:val="none"/>
        </w:rPr>
        <w:t>四川二滩湿地鸟类自然保护区、四川二滩国家级森林公园、四川盐边格萨拉国家级地质公园</w:t>
      </w:r>
      <w:r>
        <w:rPr>
          <w:rFonts w:hint="eastAsia" w:ascii="仿宋_GB2312" w:hAnsi="宋体" w:eastAsia="仿宋_GB2312"/>
          <w:color w:val="auto"/>
          <w:sz w:val="32"/>
          <w:szCs w:val="32"/>
          <w:highlight w:val="none"/>
        </w:rPr>
        <w:t>为依托，加强生物多样性保护，与</w:t>
      </w:r>
      <w:r>
        <w:rPr>
          <w:rFonts w:hint="eastAsia" w:ascii="仿宋_GB2312" w:hAnsi="宋体" w:eastAsia="仿宋_GB2312"/>
          <w:color w:val="auto"/>
          <w:sz w:val="32"/>
          <w:szCs w:val="32"/>
          <w:highlight w:val="none"/>
          <w:lang w:val="en-US" w:eastAsia="zh-CN"/>
        </w:rPr>
        <w:t>米易县、</w:t>
      </w:r>
      <w:r>
        <w:rPr>
          <w:rFonts w:hint="eastAsia" w:ascii="仿宋_GB2312" w:hAnsi="宋体" w:eastAsia="仿宋_GB2312"/>
          <w:color w:val="auto"/>
          <w:sz w:val="32"/>
          <w:szCs w:val="32"/>
          <w:highlight w:val="none"/>
        </w:rPr>
        <w:t>盐源县、</w:t>
      </w:r>
      <w:r>
        <w:rPr>
          <w:rFonts w:hint="eastAsia" w:ascii="仿宋_GB2312" w:hAnsi="宋体" w:eastAsia="仿宋_GB2312"/>
          <w:color w:val="auto"/>
          <w:sz w:val="32"/>
          <w:szCs w:val="32"/>
          <w:highlight w:val="none"/>
          <w:lang w:eastAsia="zh-CN"/>
        </w:rPr>
        <w:t>木里藏族自治县</w:t>
      </w:r>
      <w:r>
        <w:rPr>
          <w:rFonts w:hint="eastAsia" w:ascii="仿宋_GB2312" w:hAnsi="宋体" w:eastAsia="仿宋_GB2312"/>
          <w:color w:val="auto"/>
          <w:sz w:val="32"/>
          <w:szCs w:val="32"/>
          <w:highlight w:val="none"/>
        </w:rPr>
        <w:t>、德昌县、西昌市共建攀西森林及生物多样性生态功能区。</w:t>
      </w:r>
    </w:p>
    <w:p w14:paraId="09B3F83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产业共兴，共谋攀西经济区产业集群</w:t>
      </w:r>
    </w:p>
    <w:p w14:paraId="52514A91">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充分挖掘县域钒钛磁铁矿资源，以工矿产业为抓手，传导落实攀枝花钒钛化工园区“一区三片”空间布局，在新九镇建设盐边钒钛产业开发区，与攀枝花钒钛创新产业发展区、米易、德昌共同形成攀西钒钛产业发展集群，在此基础上，协同攀西地区钢铁、稀土、机械制造和有色金属产业，共同建设形成攀西经济区五大产业集群。</w:t>
      </w:r>
    </w:p>
    <w:p w14:paraId="2F560C68">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强化耕地保护和粮食安全，共</w:t>
      </w:r>
      <w:r>
        <w:rPr>
          <w:rFonts w:hint="eastAsia" w:ascii="仿宋_GB2312" w:hAnsi="宋体" w:eastAsia="仿宋_GB2312"/>
          <w:color w:val="auto"/>
          <w:sz w:val="32"/>
          <w:szCs w:val="32"/>
          <w:highlight w:val="none"/>
          <w:lang w:val="en-US" w:eastAsia="zh-CN"/>
        </w:rPr>
        <w:t>育</w:t>
      </w:r>
      <w:r>
        <w:rPr>
          <w:rFonts w:hint="eastAsia" w:ascii="仿宋_GB2312" w:hAnsi="宋体" w:eastAsia="仿宋_GB2312"/>
          <w:color w:val="auto"/>
          <w:sz w:val="32"/>
          <w:szCs w:val="32"/>
          <w:highlight w:val="none"/>
        </w:rPr>
        <w:t>“天府第二粮仓”。充分发挥盐边县特色农产品优势，以发展现代农业为重点，推进跨区域产业链、创新链、供应链、价值链协作，加快农产品“两中心”建设，强化和周边市县通力合作，依托干热河谷自然气候资源，以安宁河谷为重要纽带，共同推动特色立体农业发展，共同建设安宁干热河谷产业发展带。</w:t>
      </w:r>
    </w:p>
    <w:p w14:paraId="51F0C5B3">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充分利用县域优质生态、人文资源，以四川盐边格萨拉国家级地质公园、渔门休闲康养、欧方营地、红格温泉运动康养度假区为依托，主动融入攀西阳光、康养服务体系。瞄准成渝地区康养消费群体，举办竞技赛事运动，做强运动康养产业。依托青山绿水、海拔高差、干热河谷等自然环境特点，以山地运动、水上运动、河谷运动等特色竞训办赛，吸引成渝休闲运动康养群体集聚。</w:t>
      </w:r>
    </w:p>
    <w:p w14:paraId="19032E2B">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以格萨拉生态旅游区、四川二滩国家级森林公园为重点，对标大香格里拉旅游景点建设标准，全面提升旅游酒店设施配套与服务水平，与大理、凉山、丽江、昆明等周边重点旅游城市共同打造紧密旅游圈层，推动短途旅游合作。</w:t>
      </w:r>
    </w:p>
    <w:p w14:paraId="53A197E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43" w:name="_Toc122513197"/>
      <w:r>
        <w:rPr>
          <w:rFonts w:hint="eastAsia" w:ascii="仿宋_GB2312" w:hAnsi="Times New Roman" w:eastAsia="仿宋_GB2312"/>
          <w:b/>
          <w:bCs/>
          <w:color w:val="auto"/>
          <w:sz w:val="32"/>
          <w:szCs w:val="28"/>
          <w:highlight w:val="none"/>
        </w:rPr>
        <w:t>设施共建，保障区域联系安全便捷</w:t>
      </w:r>
      <w:bookmarkEnd w:id="143"/>
    </w:p>
    <w:p w14:paraId="31B34F63">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借力攀枝花市，依托成渝地区双城经济圈南向开放区位，协调推动南北向成昆通道（宜西攀高铁）和东西向通道（大攀昭铁路）纳入上位规划，畅通重庆、成都经攀枝花至瑞丽口岸到达孟中印缅经济走廊货运线路，支撑“一带一路”深入推进，助力“成渝地区双城经济圈”提升对外开放水平。以轨道交通为引领、高速路网为重点，同时提升干道交通通达水平，</w:t>
      </w:r>
      <w:r>
        <w:rPr>
          <w:rFonts w:hint="eastAsia" w:ascii="仿宋_GB2312" w:hAnsi="宋体" w:eastAsia="仿宋_GB2312"/>
          <w:color w:val="auto"/>
          <w:sz w:val="32"/>
          <w:szCs w:val="32"/>
          <w:highlight w:val="none"/>
          <w:lang w:val="en-US" w:eastAsia="zh-CN"/>
        </w:rPr>
        <w:t>加快推进</w:t>
      </w:r>
      <w:r>
        <w:rPr>
          <w:rFonts w:hint="eastAsia" w:ascii="仿宋_GB2312" w:hAnsi="宋体" w:eastAsia="仿宋_GB2312"/>
          <w:color w:val="auto"/>
          <w:sz w:val="32"/>
          <w:szCs w:val="32"/>
          <w:highlight w:val="none"/>
        </w:rPr>
        <w:t>绕城高速、沿江高速、国道G353、G227等干道建设，加强与攀枝花</w:t>
      </w:r>
      <w:r>
        <w:rPr>
          <w:rFonts w:hint="eastAsia" w:ascii="仿宋_GB2312" w:hAnsi="宋体" w:eastAsia="仿宋_GB2312"/>
          <w:color w:val="auto"/>
          <w:sz w:val="32"/>
          <w:szCs w:val="32"/>
          <w:highlight w:val="none"/>
          <w:lang w:val="en-US" w:eastAsia="zh-CN"/>
        </w:rPr>
        <w:t>中心城区、凉山彝族自治州</w:t>
      </w:r>
      <w:r>
        <w:rPr>
          <w:rFonts w:hint="eastAsia" w:ascii="仿宋_GB2312" w:hAnsi="宋体" w:eastAsia="仿宋_GB2312"/>
          <w:color w:val="auto"/>
          <w:sz w:val="32"/>
          <w:szCs w:val="32"/>
          <w:highlight w:val="none"/>
        </w:rPr>
        <w:t>、大理、丽江的联系，共建昆明、西昌一小时经济圈。依托攀枝花市“一城一市一区”的战略格局，优先保障盐边中心城区公共服务设施、红格镇公共服务设施建设，落实攀枝花都市区教育、医疗等公共服务设施共建共享。</w:t>
      </w:r>
    </w:p>
    <w:p w14:paraId="37F837BC">
      <w:pPr>
        <w:pStyle w:val="8"/>
        <w:keepNext/>
        <w:keepLines/>
        <w:numPr>
          <w:ilvl w:val="0"/>
          <w:numId w:val="23"/>
        </w:numPr>
        <w:adjustRightInd/>
        <w:snapToGrid/>
        <w:ind w:left="0"/>
        <w:jc w:val="center"/>
        <w:rPr>
          <w:rFonts w:ascii="仿宋_GB2312" w:hAnsi="Calibri" w:eastAsia="仿宋_GB2312"/>
          <w:b/>
          <w:bCs/>
          <w:color w:val="auto"/>
          <w:highlight w:val="none"/>
        </w:rPr>
      </w:pPr>
      <w:bookmarkStart w:id="144" w:name="_Toc31073"/>
      <w:r>
        <w:rPr>
          <w:rFonts w:hint="eastAsia" w:ascii="仿宋_GB2312" w:hAnsi="Calibri" w:eastAsia="仿宋_GB2312"/>
          <w:b/>
          <w:bCs/>
          <w:color w:val="auto"/>
          <w:highlight w:val="none"/>
        </w:rPr>
        <w:t>域内协调</w:t>
      </w:r>
      <w:bookmarkEnd w:id="144"/>
    </w:p>
    <w:p w14:paraId="0C03AC7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落实县域生态屏障保护</w:t>
      </w:r>
    </w:p>
    <w:p w14:paraId="7FC8DF11">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联合桐子林镇</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渔门镇、共和乡、红宝苗族彝族乡、国胜乡、格萨拉彝族乡、红果彝族乡等共同落实三大自然保护地保护任务，强化雅砻江、二滩水库</w:t>
      </w:r>
      <w:r>
        <w:rPr>
          <w:rFonts w:ascii="仿宋_GB2312" w:hAnsi="宋体" w:eastAsia="仿宋_GB2312"/>
          <w:color w:val="auto"/>
          <w:sz w:val="32"/>
          <w:szCs w:val="32"/>
          <w:highlight w:val="none"/>
        </w:rPr>
        <w:t>水资源安全</w:t>
      </w:r>
      <w:r>
        <w:rPr>
          <w:rFonts w:hint="eastAsia" w:ascii="仿宋_GB2312" w:hAnsi="宋体" w:eastAsia="仿宋_GB2312"/>
          <w:color w:val="auto"/>
          <w:sz w:val="32"/>
          <w:szCs w:val="32"/>
          <w:highlight w:val="none"/>
        </w:rPr>
        <w:t>保护。</w:t>
      </w:r>
    </w:p>
    <w:p w14:paraId="6A72BBD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强化县域内交通联络</w:t>
      </w:r>
    </w:p>
    <w:p w14:paraId="6CE459F9">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加快</w:t>
      </w:r>
      <w:r>
        <w:rPr>
          <w:rFonts w:ascii="仿宋_GB2312" w:hAnsi="宋体" w:eastAsia="仿宋_GB2312"/>
          <w:color w:val="auto"/>
          <w:sz w:val="32"/>
          <w:szCs w:val="32"/>
          <w:highlight w:val="none"/>
        </w:rPr>
        <w:t>推进</w:t>
      </w:r>
      <w:r>
        <w:rPr>
          <w:rFonts w:hint="eastAsia" w:ascii="仿宋_GB2312" w:hAnsi="宋体" w:eastAsia="仿宋_GB2312"/>
          <w:color w:val="auto"/>
          <w:sz w:val="32"/>
          <w:szCs w:val="32"/>
          <w:highlight w:val="none"/>
        </w:rPr>
        <w:t>攀盐</w:t>
      </w:r>
      <w:r>
        <w:rPr>
          <w:rFonts w:ascii="仿宋_GB2312" w:hAnsi="宋体" w:eastAsia="仿宋_GB2312"/>
          <w:color w:val="auto"/>
          <w:sz w:val="32"/>
          <w:szCs w:val="32"/>
          <w:highlight w:val="none"/>
        </w:rPr>
        <w:t>高速建设，</w:t>
      </w:r>
      <w:r>
        <w:rPr>
          <w:rFonts w:hint="eastAsia" w:ascii="仿宋_GB2312" w:hAnsi="宋体" w:eastAsia="仿宋_GB2312"/>
          <w:color w:val="auto"/>
          <w:sz w:val="32"/>
          <w:szCs w:val="32"/>
          <w:highlight w:val="none"/>
        </w:rPr>
        <w:t>构建县域南北交通大动脉；落实省道S</w:t>
      </w:r>
      <w:r>
        <w:rPr>
          <w:rFonts w:ascii="仿宋_GB2312" w:hAnsi="宋体" w:eastAsia="仿宋_GB2312"/>
          <w:color w:val="auto"/>
          <w:sz w:val="32"/>
          <w:szCs w:val="32"/>
          <w:highlight w:val="none"/>
        </w:rPr>
        <w:t>470</w:t>
      </w:r>
      <w:r>
        <w:rPr>
          <w:rFonts w:hint="eastAsia" w:ascii="仿宋_GB2312" w:hAnsi="宋体" w:eastAsia="仿宋_GB2312"/>
          <w:color w:val="auto"/>
          <w:sz w:val="32"/>
          <w:szCs w:val="32"/>
          <w:highlight w:val="none"/>
        </w:rPr>
        <w:t>、S</w:t>
      </w:r>
      <w:r>
        <w:rPr>
          <w:rFonts w:ascii="仿宋_GB2312" w:hAnsi="宋体" w:eastAsia="仿宋_GB2312"/>
          <w:color w:val="auto"/>
          <w:sz w:val="32"/>
          <w:szCs w:val="32"/>
          <w:highlight w:val="none"/>
        </w:rPr>
        <w:t>221</w:t>
      </w:r>
      <w:r>
        <w:rPr>
          <w:rFonts w:hint="eastAsia" w:ascii="仿宋_GB2312" w:hAnsi="宋体" w:eastAsia="仿宋_GB2312"/>
          <w:color w:val="auto"/>
          <w:sz w:val="32"/>
          <w:szCs w:val="32"/>
          <w:highlight w:val="none"/>
        </w:rPr>
        <w:t>、</w:t>
      </w:r>
      <w:r>
        <w:rPr>
          <w:rFonts w:ascii="仿宋_GB2312" w:hAnsi="宋体" w:eastAsia="仿宋_GB2312"/>
          <w:color w:val="auto"/>
          <w:sz w:val="32"/>
          <w:szCs w:val="32"/>
          <w:highlight w:val="none"/>
        </w:rPr>
        <w:t>S564</w:t>
      </w:r>
      <w:r>
        <w:rPr>
          <w:rFonts w:hint="eastAsia" w:ascii="仿宋_GB2312" w:hAnsi="宋体" w:eastAsia="仿宋_GB2312"/>
          <w:color w:val="auto"/>
          <w:sz w:val="32"/>
          <w:szCs w:val="32"/>
          <w:highlight w:val="none"/>
        </w:rPr>
        <w:t>、S</w:t>
      </w:r>
      <w:r>
        <w:rPr>
          <w:rFonts w:ascii="仿宋_GB2312" w:hAnsi="宋体" w:eastAsia="仿宋_GB2312"/>
          <w:color w:val="auto"/>
          <w:sz w:val="32"/>
          <w:szCs w:val="32"/>
          <w:highlight w:val="none"/>
        </w:rPr>
        <w:t>471</w:t>
      </w:r>
      <w:r>
        <w:rPr>
          <w:rFonts w:hint="eastAsia" w:ascii="仿宋_GB2312" w:hAnsi="宋体" w:eastAsia="仿宋_GB2312"/>
          <w:color w:val="auto"/>
          <w:sz w:val="32"/>
          <w:szCs w:val="32"/>
          <w:highlight w:val="none"/>
        </w:rPr>
        <w:t>等主要道路提质改造，促进县域各乡镇互通互联，构建县域“3</w:t>
      </w:r>
      <w:r>
        <w:rPr>
          <w:rFonts w:ascii="仿宋_GB2312" w:hAnsi="宋体" w:eastAsia="仿宋_GB2312"/>
          <w:color w:val="auto"/>
          <w:sz w:val="32"/>
          <w:szCs w:val="32"/>
          <w:highlight w:val="none"/>
        </w:rPr>
        <w:t>69</w:t>
      </w:r>
      <w:r>
        <w:rPr>
          <w:rFonts w:hint="eastAsia" w:ascii="仿宋_GB2312" w:hAnsi="宋体" w:eastAsia="仿宋_GB2312"/>
          <w:color w:val="auto"/>
          <w:sz w:val="32"/>
          <w:szCs w:val="32"/>
          <w:highlight w:val="none"/>
        </w:rPr>
        <w:t>”交通圈。</w:t>
      </w:r>
    </w:p>
    <w:p w14:paraId="1FBD99A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推动全域康养发展</w:t>
      </w:r>
    </w:p>
    <w:p w14:paraId="7E91F68A">
      <w:pPr>
        <w:spacing w:line="600" w:lineRule="exact"/>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重点突出“红格一座城、二滩一湖水、北部一片山、盐边一桌菜”。</w:t>
      </w:r>
    </w:p>
    <w:p w14:paraId="7CB15E98">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聚焦温泉、运动两大主题元素，以红格运动康养·</w:t>
      </w:r>
      <w:r>
        <w:rPr>
          <w:rFonts w:hint="eastAsia" w:ascii="仿宋_GB2312" w:hAnsi="仿宋_GB2312" w:eastAsia="仿宋_GB2312" w:cs="仿宋_GB2312"/>
          <w:color w:val="auto"/>
          <w:sz w:val="32"/>
          <w:szCs w:val="32"/>
          <w:highlight w:val="none"/>
        </w:rPr>
        <w:t>温泉度假区开发为核心，加快建设“全景红格”，推动红格成为康旅融合产业示范基地。</w:t>
      </w:r>
    </w:p>
    <w:p w14:paraId="04A6735D">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科学有序开发“二滩湖”“格萨拉”“柏林山”等优质资源，积极创建天府旅游名县、名镇、名村，努力创建国家旅游示范区。</w:t>
      </w:r>
    </w:p>
    <w:p w14:paraId="216BDA8C">
      <w:pPr>
        <w:spacing w:line="600" w:lineRule="exact"/>
        <w:ind w:firstLine="640"/>
        <w:rPr>
          <w:rFonts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擦亮盐边美食文化名片，争创“中华美食名县”。厚植文化底蕴，积极融入巴蜀文化旅游走廊建设，积极举办特色节会活动，提升盐边知名度和美誉度。发展壮大乡村旅游、休闲农业，构建全域全季全业态康养度假新格局。</w:t>
      </w:r>
    </w:p>
    <w:p w14:paraId="4F2D32C8">
      <w:pPr>
        <w:pStyle w:val="5"/>
        <w:rPr>
          <w:b/>
          <w:bCs/>
          <w:color w:val="auto"/>
          <w:sz w:val="36"/>
          <w:szCs w:val="36"/>
          <w:highlight w:val="none"/>
        </w:rPr>
      </w:pPr>
      <w:r>
        <w:rPr>
          <w:rFonts w:hint="eastAsia" w:ascii="仿宋_GB2312" w:hAnsi="宋体" w:eastAsia="仿宋_GB2312"/>
          <w:color w:val="auto"/>
          <w:sz w:val="36"/>
          <w:szCs w:val="36"/>
          <w:highlight w:val="none"/>
        </w:rPr>
        <w:br w:type="page"/>
      </w:r>
      <w:bookmarkStart w:id="145" w:name="_Toc19594"/>
      <w:bookmarkStart w:id="146" w:name="_Toc12728"/>
      <w:bookmarkStart w:id="147" w:name="_Toc132447832"/>
      <w:r>
        <w:rPr>
          <w:rFonts w:hint="eastAsia"/>
          <w:b/>
          <w:bCs/>
          <w:color w:val="auto"/>
          <w:sz w:val="36"/>
          <w:szCs w:val="36"/>
          <w:highlight w:val="none"/>
        </w:rPr>
        <w:t>第四部分 中心城区规划</w:t>
      </w:r>
      <w:bookmarkEnd w:id="145"/>
      <w:bookmarkEnd w:id="146"/>
      <w:bookmarkEnd w:id="147"/>
    </w:p>
    <w:p w14:paraId="6A714883">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48" w:name="_Toc132447833"/>
      <w:bookmarkStart w:id="149" w:name="_Toc124195947"/>
      <w:bookmarkStart w:id="150" w:name="_Toc4016"/>
      <w:bookmarkStart w:id="151" w:name="_Toc8130"/>
      <w:r>
        <w:rPr>
          <w:rFonts w:hint="eastAsia" w:ascii="黑体" w:hAnsi="黑体" w:eastAsia="黑体" w:cstheme="majorBidi"/>
          <w:bCs/>
          <w:color w:val="auto"/>
          <w:sz w:val="32"/>
          <w:szCs w:val="32"/>
          <w:highlight w:val="none"/>
        </w:rPr>
        <w:t>城市规模</w:t>
      </w:r>
      <w:bookmarkEnd w:id="148"/>
      <w:bookmarkEnd w:id="149"/>
      <w:bookmarkEnd w:id="150"/>
      <w:bookmarkEnd w:id="151"/>
    </w:p>
    <w:p w14:paraId="6189B56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确定城市规模</w:t>
      </w:r>
    </w:p>
    <w:p w14:paraId="1A800334">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lang w:val="en-US" w:eastAsia="zh-CN"/>
        </w:rPr>
        <w:t>中心城区现状人口规模2.30万人，</w:t>
      </w:r>
      <w:r>
        <w:rPr>
          <w:rFonts w:hint="eastAsia" w:ascii="仿宋_GB2312" w:eastAsia="仿宋_GB2312"/>
          <w:color w:val="auto"/>
          <w:sz w:val="32"/>
          <w:szCs w:val="32"/>
          <w:highlight w:val="none"/>
        </w:rPr>
        <w:t>至2035年，中心城区人口规模为</w:t>
      </w:r>
      <w:r>
        <w:rPr>
          <w:rFonts w:ascii="仿宋_GB2312" w:eastAsia="仿宋_GB2312"/>
          <w:color w:val="auto"/>
          <w:sz w:val="32"/>
          <w:szCs w:val="32"/>
          <w:highlight w:val="none"/>
        </w:rPr>
        <w:t>3.2</w:t>
      </w:r>
      <w:r>
        <w:rPr>
          <w:rFonts w:hint="eastAsia" w:ascii="仿宋_GB2312" w:eastAsia="仿宋_GB2312"/>
          <w:color w:val="auto"/>
          <w:sz w:val="32"/>
          <w:szCs w:val="32"/>
          <w:highlight w:val="none"/>
          <w:lang w:val="en-US" w:eastAsia="zh-CN"/>
        </w:rPr>
        <w:t>0</w:t>
      </w:r>
      <w:r>
        <w:rPr>
          <w:rFonts w:hint="eastAsia" w:ascii="仿宋_GB2312" w:eastAsia="仿宋_GB2312"/>
          <w:color w:val="auto"/>
          <w:sz w:val="32"/>
          <w:szCs w:val="32"/>
          <w:highlight w:val="none"/>
        </w:rPr>
        <w:t>万人，中心城区</w:t>
      </w:r>
      <w:r>
        <w:rPr>
          <w:rFonts w:hint="eastAsia" w:ascii="仿宋_GB2312" w:eastAsia="仿宋_GB2312"/>
          <w:color w:val="auto"/>
          <w:sz w:val="32"/>
          <w:szCs w:val="32"/>
          <w:highlight w:val="none"/>
          <w:lang w:val="en-US" w:eastAsia="zh-CN"/>
        </w:rPr>
        <w:t>城镇</w:t>
      </w:r>
      <w:r>
        <w:rPr>
          <w:rFonts w:hint="eastAsia" w:ascii="仿宋_GB2312" w:eastAsia="仿宋_GB2312"/>
          <w:color w:val="auto"/>
          <w:sz w:val="32"/>
          <w:szCs w:val="32"/>
          <w:highlight w:val="none"/>
        </w:rPr>
        <w:t>开发边界面积3.12平方千米，全部为</w:t>
      </w:r>
      <w:r>
        <w:rPr>
          <w:rFonts w:hint="eastAsia" w:ascii="仿宋_GB2312" w:eastAsia="仿宋_GB2312"/>
          <w:color w:val="auto"/>
          <w:sz w:val="32"/>
          <w:szCs w:val="32"/>
          <w:highlight w:val="none"/>
          <w:lang w:val="en-US" w:eastAsia="zh-CN"/>
        </w:rPr>
        <w:t>城镇</w:t>
      </w:r>
      <w:r>
        <w:rPr>
          <w:rFonts w:hint="eastAsia" w:ascii="仿宋_GB2312" w:eastAsia="仿宋_GB2312"/>
          <w:color w:val="auto"/>
          <w:sz w:val="32"/>
          <w:szCs w:val="32"/>
          <w:highlight w:val="none"/>
        </w:rPr>
        <w:t>集中建设区。</w:t>
      </w:r>
    </w:p>
    <w:p w14:paraId="7D1004C4">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52" w:name="_Toc124195948"/>
      <w:bookmarkStart w:id="153" w:name="_Toc132447835"/>
      <w:bookmarkStart w:id="154" w:name="_Toc17487"/>
      <w:bookmarkStart w:id="155" w:name="_Toc26803"/>
      <w:r>
        <w:rPr>
          <w:rFonts w:hint="eastAsia" w:ascii="黑体" w:hAnsi="黑体" w:eastAsia="黑体" w:cstheme="majorBidi"/>
          <w:bCs/>
          <w:color w:val="auto"/>
          <w:sz w:val="32"/>
          <w:szCs w:val="32"/>
          <w:highlight w:val="none"/>
        </w:rPr>
        <w:t>空间结构</w:t>
      </w:r>
      <w:bookmarkEnd w:id="152"/>
      <w:bookmarkEnd w:id="153"/>
      <w:bookmarkEnd w:id="154"/>
      <w:bookmarkEnd w:id="155"/>
    </w:p>
    <w:p w14:paraId="031D258C">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中心城区发展方向</w:t>
      </w:r>
    </w:p>
    <w:p w14:paraId="4C299A22">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中心城区发展方向为“南拓、中优”。</w:t>
      </w:r>
    </w:p>
    <w:p w14:paraId="2FCF1D93">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南拓：依托成昆铁路新线盐边站交通枢纽优势，适度向南拓展。</w:t>
      </w:r>
    </w:p>
    <w:p w14:paraId="500202C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中优：</w:t>
      </w:r>
      <w:r>
        <w:rPr>
          <w:rFonts w:hint="eastAsia" w:ascii="仿宋_GB2312" w:eastAsia="仿宋_GB2312"/>
          <w:color w:val="auto"/>
          <w:sz w:val="32"/>
          <w:szCs w:val="32"/>
          <w:highlight w:val="none"/>
          <w:lang w:val="en-US" w:eastAsia="zh-CN"/>
        </w:rPr>
        <w:t>现状城区</w:t>
      </w:r>
      <w:r>
        <w:rPr>
          <w:rFonts w:hint="eastAsia" w:ascii="仿宋_GB2312" w:eastAsia="仿宋_GB2312"/>
          <w:color w:val="auto"/>
          <w:sz w:val="32"/>
          <w:szCs w:val="32"/>
          <w:highlight w:val="none"/>
        </w:rPr>
        <w:t>以优化空间、存量更新为主。聚焦“补短板、强弱项、提质量”，控制重要节点，更新城市空间。</w:t>
      </w:r>
    </w:p>
    <w:p w14:paraId="35CBEF6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中心城区空间结构</w:t>
      </w:r>
    </w:p>
    <w:p w14:paraId="4EA5FEC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聚焦建设“花园县城”，规划形成“三心、三轴、三组团”的功能结构。</w:t>
      </w:r>
    </w:p>
    <w:p w14:paraId="0DD7CA0D">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三心</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：依托北部七一公园、南部同缘公园形成两个城市生态绿心，依据公园城市建设理念，打造城市绿肺和活动开敞空间；依托东</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西城街</w:t>
      </w:r>
      <w:r>
        <w:rPr>
          <w:rFonts w:hint="eastAsia" w:ascii="仿宋_GB2312" w:eastAsia="仿宋_GB2312"/>
          <w:color w:val="auto"/>
          <w:sz w:val="32"/>
          <w:szCs w:val="32"/>
          <w:highlight w:val="none"/>
          <w:lang w:eastAsia="zh-CN"/>
        </w:rPr>
        <w:t>和</w:t>
      </w:r>
      <w:r>
        <w:rPr>
          <w:rFonts w:hint="eastAsia" w:ascii="仿宋_GB2312" w:eastAsia="仿宋_GB2312"/>
          <w:color w:val="auto"/>
          <w:sz w:val="32"/>
          <w:szCs w:val="32"/>
          <w:highlight w:val="none"/>
        </w:rPr>
        <w:t>盐边中心广场形成公共空间核心，完善公共配套，强化商业氛围，提升城市风貌，打造城市活力中心。</w:t>
      </w:r>
    </w:p>
    <w:p w14:paraId="2E17575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三轴</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：依托东环南路、西环南路和东、西城街形成“两纵一横”城市主轴。</w:t>
      </w:r>
    </w:p>
    <w:p w14:paraId="56C521E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三组团</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：北部产业配套组团、中部综合服务生活组团和南部高铁生态居住组团。</w:t>
      </w:r>
    </w:p>
    <w:p w14:paraId="57BCC70E">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北部产业配套组团：以二滩水电开发公司办公区为主体，是二滩水电开发的产业配套组团，具备办公、居住、培训等功能。</w:t>
      </w:r>
    </w:p>
    <w:p w14:paraId="5A4378C5">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中部综合服务生活组团：以</w:t>
      </w:r>
      <w:r>
        <w:rPr>
          <w:rFonts w:hint="eastAsia" w:ascii="仿宋_GB2312" w:eastAsia="仿宋_GB2312"/>
          <w:color w:val="auto"/>
          <w:sz w:val="32"/>
          <w:szCs w:val="32"/>
          <w:highlight w:val="none"/>
          <w:lang w:val="en-US" w:eastAsia="zh-CN"/>
        </w:rPr>
        <w:t>现状城区</w:t>
      </w:r>
      <w:r>
        <w:rPr>
          <w:rFonts w:hint="eastAsia" w:ascii="仿宋_GB2312" w:eastAsia="仿宋_GB2312"/>
          <w:color w:val="auto"/>
          <w:sz w:val="32"/>
          <w:szCs w:val="32"/>
          <w:highlight w:val="none"/>
        </w:rPr>
        <w:t>为基础，完善现有功能，推进城市有机更新，以综合服务、商贸服务、居住生活等功能为主。</w:t>
      </w:r>
    </w:p>
    <w:p w14:paraId="09C60AE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南部高铁生态居住组团：围绕成昆铁路新线盐边站，完善配套设施，建设生态居住功能区。</w:t>
      </w:r>
    </w:p>
    <w:p w14:paraId="6DBB7C44">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56" w:name="_Toc6538"/>
      <w:bookmarkStart w:id="157" w:name="_Toc132447836"/>
      <w:bookmarkStart w:id="158" w:name="_Toc3078"/>
      <w:bookmarkStart w:id="159" w:name="_Toc124195949"/>
      <w:r>
        <w:rPr>
          <w:rFonts w:hint="eastAsia" w:ascii="黑体" w:hAnsi="黑体" w:eastAsia="黑体" w:cstheme="majorBidi"/>
          <w:bCs/>
          <w:color w:val="auto"/>
          <w:sz w:val="32"/>
          <w:szCs w:val="32"/>
          <w:highlight w:val="none"/>
        </w:rPr>
        <w:t>用地布局</w:t>
      </w:r>
      <w:bookmarkEnd w:id="156"/>
      <w:bookmarkEnd w:id="157"/>
      <w:bookmarkEnd w:id="158"/>
      <w:bookmarkEnd w:id="159"/>
    </w:p>
    <w:p w14:paraId="192A63A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用地结构优化导向</w:t>
      </w:r>
    </w:p>
    <w:p w14:paraId="7F4A91D0">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中心城区内部用地结构与所承载的功能和作用相匹配，实现功能布局和用地结构的整体平衡，共同促进城市空间节约集约利用。</w:t>
      </w:r>
    </w:p>
    <w:p w14:paraId="2B5676FE">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落实发展定位和城市性质，以人民为中心，针对中心城区公共服务设施配套相对不足的阶段性问题，尽快补齐短板；优化公共服务设施配置和公园绿地配置；聚焦阳光康养，以</w:t>
      </w:r>
      <w:r>
        <w:rPr>
          <w:rFonts w:hint="eastAsia" w:ascii="仿宋_GB2312" w:eastAsia="仿宋_GB2312"/>
          <w:color w:val="auto"/>
          <w:sz w:val="32"/>
          <w:szCs w:val="32"/>
          <w:highlight w:val="none"/>
          <w:lang w:val="en-US" w:eastAsia="zh-CN"/>
        </w:rPr>
        <w:t>现状城区</w:t>
      </w:r>
      <w:r>
        <w:rPr>
          <w:rFonts w:hint="eastAsia" w:ascii="仿宋_GB2312" w:eastAsia="仿宋_GB2312"/>
          <w:color w:val="auto"/>
          <w:sz w:val="32"/>
          <w:szCs w:val="32"/>
          <w:highlight w:val="none"/>
        </w:rPr>
        <w:t>为主要空间载体，大力推进城市有机更新，提高居住品质和人口容量，建设花园县城。</w:t>
      </w:r>
    </w:p>
    <w:p w14:paraId="38EF0F7F">
      <w:pPr>
        <w:spacing w:line="600" w:lineRule="exact"/>
        <w:ind w:firstLine="640"/>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强化交通枢纽引领，依托成昆铁路新线盐边站轨道交通枢纽，引导城市向南</w:t>
      </w:r>
      <w:r>
        <w:rPr>
          <w:rFonts w:hint="eastAsia" w:ascii="仿宋_GB2312" w:eastAsia="仿宋_GB2312"/>
          <w:color w:val="auto"/>
          <w:sz w:val="32"/>
          <w:szCs w:val="32"/>
          <w:highlight w:val="none"/>
          <w:lang w:val="en-US" w:eastAsia="zh-CN"/>
        </w:rPr>
        <w:t>扩</w:t>
      </w:r>
      <w:r>
        <w:rPr>
          <w:rFonts w:hint="eastAsia" w:ascii="仿宋_GB2312" w:eastAsia="仿宋_GB2312"/>
          <w:color w:val="auto"/>
          <w:sz w:val="32"/>
          <w:szCs w:val="32"/>
          <w:highlight w:val="none"/>
        </w:rPr>
        <w:t>展，结合山水地貌空间形态，布局公共服务、生态居住等城市功能。</w:t>
      </w:r>
    </w:p>
    <w:p w14:paraId="2A1BD9A4">
      <w:pPr>
        <w:spacing w:line="600" w:lineRule="exact"/>
        <w:ind w:firstLine="640"/>
        <w:rPr>
          <w:rFonts w:hint="eastAsia" w:ascii="仿宋_GB2312" w:eastAsia="仿宋_GB2312" w:cs="宋体"/>
          <w:color w:val="auto"/>
          <w:sz w:val="32"/>
          <w:szCs w:val="32"/>
          <w:highlight w:val="none"/>
        </w:rPr>
      </w:pPr>
      <w:r>
        <w:rPr>
          <w:rFonts w:hint="eastAsia" w:ascii="仿宋_GB2312" w:hAnsi="Calibri" w:eastAsia="仿宋_GB2312" w:cs="宋体"/>
          <w:color w:val="auto"/>
          <w:sz w:val="32"/>
          <w:szCs w:val="32"/>
          <w:highlight w:val="none"/>
        </w:rPr>
        <w:t>具体地块用途、边界定位、开发建设强度、用地兼容等规划管控要求在详细规划中确定，有关强制性内容从其规定</w:t>
      </w:r>
      <w:r>
        <w:rPr>
          <w:rFonts w:hint="eastAsia" w:ascii="仿宋_GB2312" w:eastAsia="仿宋_GB2312" w:cs="宋体"/>
          <w:color w:val="auto"/>
          <w:sz w:val="32"/>
          <w:szCs w:val="32"/>
          <w:highlight w:val="none"/>
          <w:lang w:eastAsia="zh-CN"/>
        </w:rPr>
        <w:t>。</w:t>
      </w:r>
    </w:p>
    <w:p w14:paraId="0DE5D6C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优化居住用地布局</w:t>
      </w:r>
    </w:p>
    <w:p w14:paraId="53B623D3">
      <w:pPr>
        <w:spacing w:line="600" w:lineRule="exact"/>
        <w:ind w:firstLine="640"/>
        <w:rPr>
          <w:rFonts w:ascii="仿宋_GB2312" w:eastAsia="仿宋_GB2312"/>
          <w:color w:val="auto"/>
          <w:sz w:val="32"/>
          <w:highlight w:val="none"/>
        </w:rPr>
      </w:pPr>
      <w:r>
        <w:rPr>
          <w:rFonts w:hint="eastAsia" w:ascii="仿宋_GB2312" w:eastAsia="仿宋_GB2312"/>
          <w:color w:val="auto"/>
          <w:sz w:val="32"/>
          <w:highlight w:val="none"/>
        </w:rPr>
        <w:t>至2035年居住用地</w:t>
      </w:r>
      <w:r>
        <w:rPr>
          <w:rFonts w:ascii="仿宋_GB2312" w:eastAsia="仿宋_GB2312"/>
          <w:color w:val="auto"/>
          <w:sz w:val="32"/>
          <w:highlight w:val="none"/>
        </w:rPr>
        <w:t>115.</w:t>
      </w:r>
      <w:r>
        <w:rPr>
          <w:rFonts w:hint="eastAsia" w:ascii="仿宋_GB2312" w:eastAsia="仿宋_GB2312"/>
          <w:color w:val="auto"/>
          <w:sz w:val="32"/>
          <w:highlight w:val="none"/>
        </w:rPr>
        <w:t>62公顷，占城镇建设用地的</w:t>
      </w:r>
      <w:r>
        <w:rPr>
          <w:rFonts w:ascii="仿宋_GB2312" w:eastAsia="仿宋_GB2312"/>
          <w:color w:val="auto"/>
          <w:sz w:val="32"/>
          <w:highlight w:val="none"/>
        </w:rPr>
        <w:t>37.</w:t>
      </w:r>
      <w:r>
        <w:rPr>
          <w:rFonts w:hint="eastAsia" w:ascii="仿宋_GB2312" w:eastAsia="仿宋_GB2312"/>
          <w:color w:val="auto"/>
          <w:sz w:val="32"/>
          <w:highlight w:val="none"/>
        </w:rPr>
        <w:t>0</w:t>
      </w:r>
      <w:r>
        <w:rPr>
          <w:rFonts w:ascii="仿宋_GB2312" w:eastAsia="仿宋_GB2312"/>
          <w:color w:val="auto"/>
          <w:sz w:val="32"/>
          <w:highlight w:val="none"/>
        </w:rPr>
        <w:t>2</w:t>
      </w:r>
      <w:r>
        <w:rPr>
          <w:rFonts w:hint="eastAsia" w:ascii="仿宋_GB2312" w:eastAsia="仿宋_GB2312"/>
          <w:color w:val="auto"/>
          <w:sz w:val="32"/>
          <w:highlight w:val="none"/>
        </w:rPr>
        <w:t>%，人均居住用地</w:t>
      </w:r>
      <w:r>
        <w:rPr>
          <w:rFonts w:ascii="仿宋_GB2312" w:eastAsia="仿宋_GB2312"/>
          <w:color w:val="auto"/>
          <w:sz w:val="32"/>
          <w:highlight w:val="none"/>
        </w:rPr>
        <w:t>36.</w:t>
      </w:r>
      <w:r>
        <w:rPr>
          <w:rFonts w:hint="eastAsia" w:ascii="仿宋_GB2312" w:eastAsia="仿宋_GB2312"/>
          <w:color w:val="auto"/>
          <w:sz w:val="32"/>
          <w:highlight w:val="none"/>
        </w:rPr>
        <w:t>1</w:t>
      </w:r>
      <w:r>
        <w:rPr>
          <w:rFonts w:ascii="仿宋_GB2312" w:eastAsia="仿宋_GB2312"/>
          <w:color w:val="auto"/>
          <w:sz w:val="32"/>
          <w:highlight w:val="none"/>
        </w:rPr>
        <w:t>3</w:t>
      </w:r>
      <w:r>
        <w:rPr>
          <w:rFonts w:hint="eastAsia" w:ascii="仿宋_GB2312" w:eastAsia="仿宋_GB2312"/>
          <w:color w:val="auto"/>
          <w:sz w:val="32"/>
          <w:highlight w:val="none"/>
        </w:rPr>
        <w:t>平方米。</w:t>
      </w:r>
    </w:p>
    <w:p w14:paraId="5363AC4C">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引导人口沿东环路、西环路带状区域聚集，引导现有居住用地提档升级，引导居住组团与产业用地统筹布局，实现集约高效利用土地</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打造紧凑集约、优美宜居的居住空间。居住区内各类设施的用地指标应按照国家《城市居住区规划设计标准》（GB50180—2018）的要求执行。</w:t>
      </w:r>
    </w:p>
    <w:p w14:paraId="067F712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落实保障性住房供给。</w:t>
      </w:r>
      <w:r>
        <w:rPr>
          <w:rFonts w:hint="eastAsia" w:ascii="仿宋_GB2312" w:eastAsia="仿宋_GB2312"/>
          <w:color w:val="auto"/>
          <w:sz w:val="32"/>
          <w:szCs w:val="32"/>
          <w:highlight w:val="none"/>
          <w:u w:val="single"/>
        </w:rPr>
        <w:t>以低保、低收入人群住房保障为基本，以解决新市民、青年人、进城农民住房问题为重点，完善以公租房、保障性租赁住房为主体的新型住房保障体系。</w:t>
      </w:r>
      <w:r>
        <w:rPr>
          <w:rFonts w:hint="eastAsia" w:ascii="仿宋_GB2312" w:eastAsia="仿宋_GB2312"/>
          <w:color w:val="auto"/>
          <w:sz w:val="32"/>
          <w:szCs w:val="32"/>
          <w:highlight w:val="none"/>
          <w:u w:val="none"/>
        </w:rPr>
        <w:t>积极探索发展共有产权住房，形成“一个定位、两类群体、两种住房”的基本架构，更好地满足住房困难群众多元化居住需求。</w:t>
      </w:r>
      <w:r>
        <w:rPr>
          <w:rFonts w:hint="eastAsia" w:ascii="仿宋_GB2312" w:eastAsia="仿宋_GB2312"/>
          <w:color w:val="auto"/>
          <w:sz w:val="32"/>
          <w:szCs w:val="32"/>
          <w:highlight w:val="none"/>
        </w:rPr>
        <w:t>规划近期落实保租房500套。</w:t>
      </w:r>
    </w:p>
    <w:p w14:paraId="2D21C32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优化公共设施用地布局</w:t>
      </w:r>
    </w:p>
    <w:p w14:paraId="7707E722">
      <w:pPr>
        <w:spacing w:line="600" w:lineRule="exact"/>
        <w:ind w:firstLine="640"/>
        <w:rPr>
          <w:rFonts w:ascii="仿宋_GB2312" w:eastAsia="仿宋_GB2312"/>
          <w:color w:val="auto"/>
          <w:sz w:val="32"/>
          <w:highlight w:val="none"/>
        </w:rPr>
      </w:pPr>
      <w:r>
        <w:rPr>
          <w:rFonts w:hint="eastAsia" w:ascii="仿宋_GB2312" w:eastAsia="仿宋_GB2312"/>
          <w:color w:val="auto"/>
          <w:sz w:val="32"/>
          <w:highlight w:val="none"/>
        </w:rPr>
        <w:t>至2035年公共管理与公共服务设施用地29.79公顷，占城镇建设用地的</w:t>
      </w:r>
      <w:r>
        <w:rPr>
          <w:rFonts w:ascii="仿宋_GB2312" w:eastAsia="仿宋_GB2312"/>
          <w:color w:val="auto"/>
          <w:sz w:val="32"/>
          <w:highlight w:val="none"/>
        </w:rPr>
        <w:t>9.</w:t>
      </w:r>
      <w:r>
        <w:rPr>
          <w:rFonts w:hint="eastAsia" w:ascii="仿宋_GB2312" w:eastAsia="仿宋_GB2312"/>
          <w:color w:val="auto"/>
          <w:sz w:val="32"/>
          <w:highlight w:val="none"/>
        </w:rPr>
        <w:t>54%，人均公共管理与公共服务设施用地</w:t>
      </w:r>
      <w:r>
        <w:rPr>
          <w:rFonts w:ascii="仿宋_GB2312" w:eastAsia="仿宋_GB2312"/>
          <w:color w:val="auto"/>
          <w:sz w:val="32"/>
          <w:highlight w:val="none"/>
        </w:rPr>
        <w:t>9.3</w:t>
      </w:r>
      <w:r>
        <w:rPr>
          <w:rFonts w:hint="eastAsia" w:ascii="仿宋_GB2312" w:eastAsia="仿宋_GB2312"/>
          <w:color w:val="auto"/>
          <w:sz w:val="32"/>
          <w:highlight w:val="none"/>
        </w:rPr>
        <w:t>1平方米。</w:t>
      </w:r>
    </w:p>
    <w:p w14:paraId="262E3AF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分级、分类配置各类公共配套设施，形成覆盖城区、体系完整、功能完善的公共服务设施体系。构建“城市级—社区级”两级城市公共服务设施体系，完善城区基本功能，增强公共服务的均衡性和可及性，推进中心城区内部“15分钟社区生活圈”建设。</w:t>
      </w:r>
    </w:p>
    <w:p w14:paraId="454037BE">
      <w:pPr>
        <w:spacing w:line="600" w:lineRule="exact"/>
        <w:ind w:firstLine="641"/>
        <w:rPr>
          <w:rFonts w:ascii="仿宋_GB2312" w:eastAsia="仿宋_GB2312"/>
          <w:color w:val="auto"/>
          <w:sz w:val="32"/>
          <w:szCs w:val="32"/>
          <w:highlight w:val="none"/>
        </w:rPr>
      </w:pPr>
      <w:r>
        <w:rPr>
          <w:rFonts w:hint="eastAsia" w:ascii="仿宋_GB2312" w:eastAsia="仿宋_GB2312" w:hAnsiTheme="minorEastAsia"/>
          <w:b/>
          <w:bCs/>
          <w:color w:val="auto"/>
          <w:sz w:val="32"/>
          <w:szCs w:val="30"/>
          <w:highlight w:val="none"/>
        </w:rPr>
        <w:t>机关团体用地布局。</w:t>
      </w:r>
      <w:r>
        <w:rPr>
          <w:rFonts w:hint="eastAsia" w:ascii="仿宋_GB2312" w:eastAsia="仿宋_GB2312"/>
          <w:color w:val="auto"/>
          <w:sz w:val="32"/>
          <w:szCs w:val="32"/>
          <w:highlight w:val="none"/>
        </w:rPr>
        <w:t>县级机关团体用地主要布局于东环路、西环路和东城街。规划统筹部分行政职能集中布局，通过土地置换整合，腾留用地作为其他公共设施配套使用，缓解</w:t>
      </w:r>
      <w:r>
        <w:rPr>
          <w:rFonts w:hint="eastAsia" w:ascii="仿宋_GB2312" w:eastAsia="仿宋_GB2312"/>
          <w:color w:val="auto"/>
          <w:sz w:val="32"/>
          <w:szCs w:val="32"/>
          <w:highlight w:val="none"/>
          <w:lang w:val="en-US" w:eastAsia="zh-CN"/>
        </w:rPr>
        <w:t>现状城区</w:t>
      </w:r>
      <w:r>
        <w:rPr>
          <w:rFonts w:hint="eastAsia" w:ascii="仿宋_GB2312" w:eastAsia="仿宋_GB2312"/>
          <w:color w:val="auto"/>
          <w:sz w:val="32"/>
          <w:szCs w:val="32"/>
          <w:highlight w:val="none"/>
        </w:rPr>
        <w:t>用地压力。新建办公房、行政综合楼等项目，在下位规划中具体落实，</w:t>
      </w:r>
      <w:r>
        <w:rPr>
          <w:rFonts w:hint="eastAsia" w:ascii="仿宋_GB2312" w:eastAsia="仿宋_GB2312"/>
          <w:color w:val="auto"/>
          <w:sz w:val="32"/>
          <w:szCs w:val="32"/>
          <w:highlight w:val="none"/>
          <w:lang w:val="en-US" w:eastAsia="zh-CN"/>
        </w:rPr>
        <w:t>并</w:t>
      </w:r>
      <w:r>
        <w:rPr>
          <w:rFonts w:hint="eastAsia" w:ascii="仿宋_GB2312" w:eastAsia="仿宋_GB2312"/>
          <w:color w:val="auto"/>
          <w:sz w:val="32"/>
          <w:szCs w:val="32"/>
          <w:highlight w:val="none"/>
        </w:rPr>
        <w:t>严格按中央国家和省有关规定办理。至2035年机关团体用地</w:t>
      </w:r>
      <w:r>
        <w:rPr>
          <w:rFonts w:ascii="仿宋_GB2312" w:eastAsia="仿宋_GB2312"/>
          <w:color w:val="auto"/>
          <w:sz w:val="32"/>
          <w:szCs w:val="32"/>
          <w:highlight w:val="none"/>
        </w:rPr>
        <w:t>6.63</w:t>
      </w:r>
      <w:r>
        <w:rPr>
          <w:rFonts w:hint="eastAsia" w:ascii="仿宋_GB2312" w:eastAsia="仿宋_GB2312"/>
          <w:color w:val="auto"/>
          <w:sz w:val="32"/>
          <w:szCs w:val="32"/>
          <w:highlight w:val="none"/>
        </w:rPr>
        <w:t>公顷，占规划城镇建设用地</w:t>
      </w:r>
      <w:r>
        <w:rPr>
          <w:rFonts w:ascii="仿宋_GB2312" w:eastAsia="仿宋_GB2312"/>
          <w:color w:val="auto"/>
          <w:sz w:val="32"/>
          <w:szCs w:val="32"/>
          <w:highlight w:val="none"/>
        </w:rPr>
        <w:t>2.12</w:t>
      </w:r>
      <w:r>
        <w:rPr>
          <w:rFonts w:hint="eastAsia" w:ascii="仿宋_GB2312" w:eastAsia="仿宋_GB2312"/>
          <w:color w:val="auto"/>
          <w:sz w:val="32"/>
          <w:szCs w:val="32"/>
          <w:highlight w:val="none"/>
        </w:rPr>
        <w:t>%，人均机关团体用地</w:t>
      </w:r>
      <w:r>
        <w:rPr>
          <w:rFonts w:ascii="仿宋_GB2312" w:eastAsia="仿宋_GB2312"/>
          <w:color w:val="auto"/>
          <w:sz w:val="32"/>
          <w:szCs w:val="32"/>
          <w:highlight w:val="none"/>
        </w:rPr>
        <w:t>2.07</w:t>
      </w:r>
      <w:r>
        <w:rPr>
          <w:rFonts w:hint="eastAsia" w:ascii="仿宋_GB2312" w:eastAsia="仿宋_GB2312"/>
          <w:color w:val="auto"/>
          <w:sz w:val="32"/>
          <w:szCs w:val="32"/>
          <w:highlight w:val="none"/>
        </w:rPr>
        <w:t>平方米。</w:t>
      </w:r>
    </w:p>
    <w:p w14:paraId="084C8954">
      <w:pPr>
        <w:spacing w:line="600" w:lineRule="exact"/>
        <w:ind w:firstLine="641"/>
        <w:rPr>
          <w:rFonts w:ascii="仿宋_GB2312" w:eastAsia="仿宋_GB2312"/>
          <w:color w:val="auto"/>
          <w:sz w:val="32"/>
          <w:szCs w:val="32"/>
          <w:highlight w:val="none"/>
        </w:rPr>
      </w:pPr>
      <w:r>
        <w:rPr>
          <w:rFonts w:hint="eastAsia" w:ascii="仿宋_GB2312" w:eastAsia="仿宋_GB2312" w:hAnsiTheme="minorEastAsia"/>
          <w:b/>
          <w:bCs/>
          <w:color w:val="auto"/>
          <w:sz w:val="32"/>
          <w:szCs w:val="30"/>
          <w:highlight w:val="none"/>
        </w:rPr>
        <w:t>文化用地布局。</w:t>
      </w:r>
      <w:r>
        <w:rPr>
          <w:rFonts w:hint="eastAsia" w:ascii="仿宋_GB2312" w:eastAsia="仿宋_GB2312"/>
          <w:color w:val="auto"/>
          <w:sz w:val="32"/>
          <w:szCs w:val="32"/>
          <w:highlight w:val="none"/>
        </w:rPr>
        <w:t>至2035年文化用地1.</w:t>
      </w:r>
      <w:r>
        <w:rPr>
          <w:rFonts w:ascii="仿宋_GB2312" w:eastAsia="仿宋_GB2312"/>
          <w:color w:val="auto"/>
          <w:sz w:val="32"/>
          <w:szCs w:val="32"/>
          <w:highlight w:val="none"/>
        </w:rPr>
        <w:t>62</w:t>
      </w:r>
      <w:r>
        <w:rPr>
          <w:rFonts w:hint="eastAsia" w:ascii="仿宋_GB2312" w:eastAsia="仿宋_GB2312"/>
          <w:color w:val="auto"/>
          <w:sz w:val="32"/>
          <w:szCs w:val="32"/>
          <w:highlight w:val="none"/>
        </w:rPr>
        <w:t>公顷，占规划城镇建设用地0.</w:t>
      </w:r>
      <w:r>
        <w:rPr>
          <w:rFonts w:ascii="仿宋_GB2312" w:eastAsia="仿宋_GB2312"/>
          <w:color w:val="auto"/>
          <w:sz w:val="32"/>
          <w:szCs w:val="32"/>
          <w:highlight w:val="none"/>
        </w:rPr>
        <w:t>52</w:t>
      </w:r>
      <w:r>
        <w:rPr>
          <w:rFonts w:hint="eastAsia" w:ascii="仿宋_GB2312" w:eastAsia="仿宋_GB2312"/>
          <w:color w:val="auto"/>
          <w:sz w:val="32"/>
          <w:szCs w:val="32"/>
          <w:highlight w:val="none"/>
        </w:rPr>
        <w:t>%，人均文化用地</w:t>
      </w:r>
      <w:r>
        <w:rPr>
          <w:rFonts w:ascii="仿宋_GB2312" w:eastAsia="仿宋_GB2312"/>
          <w:color w:val="auto"/>
          <w:sz w:val="32"/>
          <w:szCs w:val="32"/>
          <w:highlight w:val="none"/>
        </w:rPr>
        <w:t>0.51</w:t>
      </w:r>
      <w:r>
        <w:rPr>
          <w:rFonts w:hint="eastAsia" w:ascii="仿宋_GB2312" w:eastAsia="仿宋_GB2312"/>
          <w:color w:val="auto"/>
          <w:sz w:val="32"/>
          <w:szCs w:val="32"/>
          <w:highlight w:val="none"/>
        </w:rPr>
        <w:t>平方米。主要为文化馆、图书馆等设施。</w:t>
      </w:r>
    </w:p>
    <w:p w14:paraId="32F11CB7">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教育用地布局。</w:t>
      </w:r>
      <w:r>
        <w:rPr>
          <w:rFonts w:hint="eastAsia" w:ascii="仿宋_GB2312" w:eastAsia="仿宋_GB2312"/>
          <w:color w:val="auto"/>
          <w:sz w:val="32"/>
          <w:highlight w:val="none"/>
        </w:rPr>
        <w:t>提升基础教育质量，合理配置教育资源。小学服务半径原则上为500米，中学服务半径原则上为800</w:t>
      </w:r>
      <w:r>
        <w:rPr>
          <w:rFonts w:hint="eastAsia" w:ascii="仿宋_GB2312" w:hAnsi="微软雅黑" w:eastAsia="仿宋_GB2312"/>
          <w:color w:val="auto"/>
          <w:sz w:val="32"/>
          <w:szCs w:val="32"/>
          <w:highlight w:val="none"/>
          <w:shd w:val="clear" w:color="auto" w:fill="FFFFFF"/>
        </w:rPr>
        <w:t>～</w:t>
      </w:r>
      <w:r>
        <w:rPr>
          <w:rFonts w:hint="eastAsia" w:ascii="仿宋_GB2312" w:eastAsia="仿宋_GB2312"/>
          <w:color w:val="auto"/>
          <w:sz w:val="32"/>
          <w:highlight w:val="none"/>
        </w:rPr>
        <w:t>1000米，完善幼儿园配置与布局，服务半径原则上不大于300米。</w:t>
      </w:r>
      <w:r>
        <w:rPr>
          <w:rFonts w:hint="eastAsia" w:ascii="仿宋_GB2312" w:eastAsia="仿宋_GB2312"/>
          <w:color w:val="auto"/>
          <w:sz w:val="32"/>
          <w:szCs w:val="32"/>
          <w:highlight w:val="none"/>
        </w:rPr>
        <w:t>至2035年教育用地</w:t>
      </w:r>
      <w:r>
        <w:rPr>
          <w:rFonts w:ascii="仿宋_GB2312" w:eastAsia="仿宋_GB2312"/>
          <w:color w:val="auto"/>
          <w:sz w:val="32"/>
          <w:szCs w:val="32"/>
          <w:highlight w:val="none"/>
        </w:rPr>
        <w:t>16.</w:t>
      </w:r>
      <w:r>
        <w:rPr>
          <w:rFonts w:hint="eastAsia" w:ascii="仿宋_GB2312" w:eastAsia="仿宋_GB2312"/>
          <w:color w:val="auto"/>
          <w:sz w:val="32"/>
          <w:szCs w:val="32"/>
          <w:highlight w:val="none"/>
        </w:rPr>
        <w:t>46公顷，占规划城镇建设用地5.27%，人均教育用地</w:t>
      </w:r>
      <w:r>
        <w:rPr>
          <w:rFonts w:ascii="仿宋_GB2312" w:eastAsia="仿宋_GB2312"/>
          <w:color w:val="auto"/>
          <w:sz w:val="32"/>
          <w:szCs w:val="32"/>
          <w:highlight w:val="none"/>
        </w:rPr>
        <w:t>5.</w:t>
      </w:r>
      <w:r>
        <w:rPr>
          <w:rFonts w:hint="eastAsia" w:ascii="仿宋_GB2312" w:eastAsia="仿宋_GB2312"/>
          <w:color w:val="auto"/>
          <w:sz w:val="32"/>
          <w:szCs w:val="32"/>
          <w:highlight w:val="none"/>
        </w:rPr>
        <w:t>14平方米。主要包括盐边</w:t>
      </w:r>
      <w:r>
        <w:rPr>
          <w:rFonts w:hint="eastAsia" w:ascii="仿宋_GB2312" w:eastAsia="仿宋_GB2312"/>
          <w:color w:val="auto"/>
          <w:sz w:val="32"/>
          <w:szCs w:val="32"/>
          <w:highlight w:val="none"/>
          <w:lang w:val="en-US" w:eastAsia="zh-CN"/>
        </w:rPr>
        <w:t>县</w:t>
      </w:r>
      <w:r>
        <w:rPr>
          <w:rFonts w:hint="eastAsia" w:ascii="仿宋_GB2312" w:eastAsia="仿宋_GB2312"/>
          <w:color w:val="auto"/>
          <w:sz w:val="32"/>
          <w:szCs w:val="32"/>
          <w:highlight w:val="none"/>
        </w:rPr>
        <w:t>中学</w:t>
      </w:r>
      <w:r>
        <w:rPr>
          <w:rFonts w:hint="eastAsia" w:ascii="仿宋_GB2312" w:eastAsia="仿宋_GB2312"/>
          <w:color w:val="auto"/>
          <w:sz w:val="32"/>
          <w:szCs w:val="32"/>
          <w:highlight w:val="none"/>
          <w:lang w:val="en-US" w:eastAsia="zh-CN"/>
        </w:rPr>
        <w:t>校</w:t>
      </w:r>
      <w:r>
        <w:rPr>
          <w:rFonts w:hint="eastAsia" w:ascii="仿宋_GB2312" w:eastAsia="仿宋_GB2312"/>
          <w:color w:val="auto"/>
          <w:sz w:val="32"/>
          <w:szCs w:val="32"/>
          <w:highlight w:val="none"/>
        </w:rPr>
        <w:t>、盐边县第一初级中学、盐边</w:t>
      </w:r>
      <w:r>
        <w:rPr>
          <w:rFonts w:hint="eastAsia" w:ascii="仿宋_GB2312" w:eastAsia="仿宋_GB2312"/>
          <w:color w:val="auto"/>
          <w:sz w:val="32"/>
          <w:szCs w:val="32"/>
          <w:highlight w:val="none"/>
          <w:lang w:val="en-US" w:eastAsia="zh-CN"/>
        </w:rPr>
        <w:t>县城</w:t>
      </w:r>
      <w:r>
        <w:rPr>
          <w:rFonts w:hint="eastAsia" w:ascii="仿宋_GB2312" w:eastAsia="仿宋_GB2312"/>
          <w:color w:val="auto"/>
          <w:sz w:val="32"/>
          <w:szCs w:val="32"/>
          <w:highlight w:val="none"/>
        </w:rPr>
        <w:t>第一小学、桐子林镇中心</w:t>
      </w:r>
      <w:r>
        <w:rPr>
          <w:rFonts w:hint="eastAsia" w:ascii="仿宋_GB2312" w:eastAsia="仿宋_GB2312"/>
          <w:color w:val="auto"/>
          <w:sz w:val="32"/>
          <w:szCs w:val="32"/>
          <w:highlight w:val="none"/>
          <w:lang w:val="en-US" w:eastAsia="zh-CN"/>
        </w:rPr>
        <w:t>学校</w:t>
      </w:r>
      <w:r>
        <w:rPr>
          <w:rFonts w:hint="eastAsia" w:ascii="仿宋_GB2312" w:eastAsia="仿宋_GB2312"/>
          <w:color w:val="auto"/>
          <w:sz w:val="32"/>
          <w:szCs w:val="32"/>
          <w:highlight w:val="none"/>
        </w:rPr>
        <w:t>、幼儿园等用地。</w:t>
      </w:r>
    </w:p>
    <w:p w14:paraId="0F0D7854">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体育用地布局。</w:t>
      </w:r>
      <w:r>
        <w:rPr>
          <w:rFonts w:hint="eastAsia" w:ascii="仿宋_GB2312" w:eastAsia="仿宋_GB2312"/>
          <w:color w:val="auto"/>
          <w:sz w:val="32"/>
          <w:szCs w:val="32"/>
          <w:highlight w:val="none"/>
        </w:rPr>
        <w:t>中心城区主要布局社区级体育设施，按照1</w:t>
      </w:r>
      <w:r>
        <w:rPr>
          <w:rFonts w:hint="eastAsia" w:ascii="仿宋_GB2312" w:hAnsi="微软雅黑" w:eastAsia="仿宋_GB2312"/>
          <w:color w:val="auto"/>
          <w:sz w:val="32"/>
          <w:szCs w:val="32"/>
          <w:highlight w:val="none"/>
          <w:shd w:val="clear" w:color="auto" w:fill="FFFFFF"/>
        </w:rPr>
        <w:t>～</w:t>
      </w:r>
      <w:r>
        <w:rPr>
          <w:rFonts w:hint="eastAsia" w:ascii="仿宋_GB2312" w:eastAsia="仿宋_GB2312"/>
          <w:color w:val="auto"/>
          <w:sz w:val="32"/>
          <w:szCs w:val="32"/>
          <w:highlight w:val="none"/>
        </w:rPr>
        <w:t>1.5万人设置不少于一处基层级体育设施，结合公共绿地及广场等进行布置，单处占地面积不少于200平方米，满足居民日常生活锻炼的需求。至2035年体育用地</w:t>
      </w:r>
      <w:r>
        <w:rPr>
          <w:rFonts w:ascii="仿宋_GB2312" w:eastAsia="仿宋_GB2312"/>
          <w:color w:val="auto"/>
          <w:sz w:val="32"/>
          <w:szCs w:val="32"/>
          <w:highlight w:val="none"/>
        </w:rPr>
        <w:t>1.83</w:t>
      </w:r>
      <w:r>
        <w:rPr>
          <w:rFonts w:hint="eastAsia" w:ascii="仿宋_GB2312" w:eastAsia="仿宋_GB2312"/>
          <w:color w:val="auto"/>
          <w:sz w:val="32"/>
          <w:szCs w:val="32"/>
          <w:highlight w:val="none"/>
        </w:rPr>
        <w:t>公顷，占规划城镇建设用地0.</w:t>
      </w:r>
      <w:r>
        <w:rPr>
          <w:rFonts w:ascii="仿宋_GB2312" w:eastAsia="仿宋_GB2312"/>
          <w:color w:val="auto"/>
          <w:sz w:val="32"/>
          <w:szCs w:val="32"/>
          <w:highlight w:val="none"/>
        </w:rPr>
        <w:t>59</w:t>
      </w:r>
      <w:r>
        <w:rPr>
          <w:rFonts w:hint="eastAsia" w:ascii="仿宋_GB2312" w:eastAsia="仿宋_GB2312"/>
          <w:color w:val="auto"/>
          <w:sz w:val="32"/>
          <w:szCs w:val="32"/>
          <w:highlight w:val="none"/>
        </w:rPr>
        <w:t>%，人均体育用地</w:t>
      </w:r>
      <w:r>
        <w:rPr>
          <w:rFonts w:ascii="仿宋_GB2312" w:eastAsia="仿宋_GB2312"/>
          <w:color w:val="auto"/>
          <w:sz w:val="32"/>
          <w:szCs w:val="32"/>
          <w:highlight w:val="none"/>
        </w:rPr>
        <w:t>0.57</w:t>
      </w:r>
      <w:r>
        <w:rPr>
          <w:rFonts w:hint="eastAsia" w:ascii="仿宋_GB2312" w:eastAsia="仿宋_GB2312"/>
          <w:color w:val="auto"/>
          <w:sz w:val="32"/>
          <w:szCs w:val="32"/>
          <w:highlight w:val="none"/>
        </w:rPr>
        <w:t>平方米。保留现状体育场馆，同时结合文化设施和绿地广场合设布置体育设施。</w:t>
      </w:r>
    </w:p>
    <w:p w14:paraId="24A37C2E">
      <w:pPr>
        <w:spacing w:line="600" w:lineRule="exact"/>
        <w:ind w:firstLine="641"/>
        <w:rPr>
          <w:rFonts w:ascii="仿宋_GB2312" w:eastAsia="仿宋_GB2312"/>
          <w:color w:val="auto"/>
          <w:sz w:val="32"/>
          <w:szCs w:val="32"/>
          <w:highlight w:val="none"/>
          <w:u w:val="single"/>
        </w:rPr>
      </w:pPr>
      <w:r>
        <w:rPr>
          <w:rFonts w:hint="eastAsia" w:ascii="仿宋_GB2312" w:eastAsia="仿宋_GB2312"/>
          <w:b/>
          <w:bCs/>
          <w:color w:val="auto"/>
          <w:sz w:val="32"/>
          <w:szCs w:val="32"/>
          <w:highlight w:val="none"/>
        </w:rPr>
        <w:t>医疗卫生用地布局。</w:t>
      </w:r>
      <w:r>
        <w:rPr>
          <w:rFonts w:hint="eastAsia" w:ascii="仿宋_GB2312" w:eastAsia="仿宋_GB2312"/>
          <w:color w:val="auto"/>
          <w:sz w:val="32"/>
          <w:szCs w:val="32"/>
          <w:highlight w:val="none"/>
        </w:rPr>
        <w:t>至2035年医疗卫生用地2.</w:t>
      </w:r>
      <w:r>
        <w:rPr>
          <w:rFonts w:ascii="仿宋_GB2312" w:eastAsia="仿宋_GB2312"/>
          <w:color w:val="auto"/>
          <w:sz w:val="32"/>
          <w:szCs w:val="32"/>
          <w:highlight w:val="none"/>
        </w:rPr>
        <w:t>49</w:t>
      </w:r>
      <w:r>
        <w:rPr>
          <w:rFonts w:hint="eastAsia" w:ascii="仿宋_GB2312" w:eastAsia="仿宋_GB2312"/>
          <w:color w:val="auto"/>
          <w:sz w:val="32"/>
          <w:szCs w:val="32"/>
          <w:highlight w:val="none"/>
        </w:rPr>
        <w:t>公顷，占规划城镇建设用地0.80%，人均医疗卫生用地0.78平方米。保留现状综合医院（盐边县人民医院），并进行提档升级，规划期内升级为三级乙等综合医院</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保障重大疫情救治设施建设，推动建设相对独立的传染病区，全面提升中心城区医院传染病检测和诊治能力，加强重症监护病区建设。保留盐边县妇幼保健服务中心，提升功能，完善服务质量。</w:t>
      </w:r>
      <w:r>
        <w:rPr>
          <w:rFonts w:hint="eastAsia" w:ascii="仿宋_GB2312" w:eastAsia="仿宋_GB2312"/>
          <w:color w:val="auto"/>
          <w:sz w:val="32"/>
          <w:szCs w:val="32"/>
          <w:highlight w:val="none"/>
          <w:u w:val="none"/>
        </w:rPr>
        <w:t>结合15分钟</w:t>
      </w:r>
      <w:r>
        <w:rPr>
          <w:rFonts w:hint="eastAsia" w:ascii="仿宋_GB2312" w:eastAsia="仿宋_GB2312"/>
          <w:color w:val="auto"/>
          <w:sz w:val="32"/>
          <w:szCs w:val="32"/>
          <w:highlight w:val="none"/>
          <w:u w:val="none"/>
          <w:lang w:val="en-US" w:eastAsia="zh-CN"/>
        </w:rPr>
        <w:t>社区生活</w:t>
      </w:r>
      <w:r>
        <w:rPr>
          <w:rFonts w:hint="eastAsia" w:ascii="仿宋_GB2312" w:eastAsia="仿宋_GB2312"/>
          <w:color w:val="auto"/>
          <w:sz w:val="32"/>
          <w:szCs w:val="32"/>
          <w:highlight w:val="none"/>
          <w:u w:val="none"/>
        </w:rPr>
        <w:t>圈，完善社区医疗卫生服务中心（站）建设，部分服务半径较大的区域可适当增设，社区卫生服务中心难以覆盖的区域，可合建社区卫生服务站。</w:t>
      </w:r>
    </w:p>
    <w:p w14:paraId="4851FFE4">
      <w:pPr>
        <w:spacing w:line="600" w:lineRule="exact"/>
        <w:ind w:firstLine="641"/>
        <w:rPr>
          <w:rFonts w:ascii="仿宋_GB2312" w:eastAsia="仿宋_GB2312"/>
          <w:color w:val="auto"/>
          <w:sz w:val="32"/>
          <w:highlight w:val="none"/>
          <w:u w:val="single"/>
        </w:rPr>
      </w:pPr>
      <w:r>
        <w:rPr>
          <w:rFonts w:hint="eastAsia" w:ascii="仿宋_GB2312" w:eastAsia="仿宋_GB2312"/>
          <w:b/>
          <w:bCs/>
          <w:color w:val="auto"/>
          <w:sz w:val="32"/>
          <w:szCs w:val="32"/>
          <w:highlight w:val="none"/>
        </w:rPr>
        <w:t>社会福利用地。</w:t>
      </w:r>
      <w:r>
        <w:rPr>
          <w:rFonts w:hint="eastAsia" w:ascii="仿宋_GB2312" w:eastAsia="仿宋_GB2312"/>
          <w:color w:val="auto"/>
          <w:sz w:val="32"/>
          <w:szCs w:val="32"/>
          <w:highlight w:val="none"/>
        </w:rPr>
        <w:t>规划1处社会福利用地，至2035年社会福利用地0.</w:t>
      </w:r>
      <w:r>
        <w:rPr>
          <w:rFonts w:ascii="仿宋_GB2312" w:eastAsia="仿宋_GB2312"/>
          <w:color w:val="auto"/>
          <w:sz w:val="32"/>
          <w:szCs w:val="32"/>
          <w:highlight w:val="none"/>
        </w:rPr>
        <w:t>76</w:t>
      </w:r>
      <w:r>
        <w:rPr>
          <w:rFonts w:hint="eastAsia" w:ascii="仿宋_GB2312" w:eastAsia="仿宋_GB2312"/>
          <w:color w:val="auto"/>
          <w:sz w:val="32"/>
          <w:szCs w:val="32"/>
          <w:highlight w:val="none"/>
        </w:rPr>
        <w:t>公顷，占城镇建设用地0.2</w:t>
      </w:r>
      <w:r>
        <w:rPr>
          <w:rFonts w:ascii="仿宋_GB2312" w:eastAsia="仿宋_GB2312"/>
          <w:color w:val="auto"/>
          <w:sz w:val="32"/>
          <w:szCs w:val="32"/>
          <w:highlight w:val="none"/>
        </w:rPr>
        <w:t>4</w:t>
      </w:r>
      <w:r>
        <w:rPr>
          <w:rFonts w:hint="eastAsia" w:ascii="仿宋_GB2312" w:eastAsia="仿宋_GB2312"/>
          <w:color w:val="auto"/>
          <w:sz w:val="32"/>
          <w:szCs w:val="32"/>
          <w:highlight w:val="none"/>
        </w:rPr>
        <w:t>%，人均社会福利用地</w:t>
      </w:r>
      <w:r>
        <w:rPr>
          <w:rFonts w:ascii="仿宋_GB2312" w:eastAsia="仿宋_GB2312"/>
          <w:color w:val="auto"/>
          <w:sz w:val="32"/>
          <w:szCs w:val="32"/>
          <w:highlight w:val="none"/>
        </w:rPr>
        <w:t>0.24</w:t>
      </w:r>
      <w:r>
        <w:rPr>
          <w:rFonts w:hint="eastAsia" w:ascii="仿宋_GB2312" w:eastAsia="仿宋_GB2312"/>
          <w:color w:val="auto"/>
          <w:sz w:val="32"/>
          <w:szCs w:val="32"/>
          <w:highlight w:val="none"/>
        </w:rPr>
        <w:t>平方米。</w:t>
      </w:r>
      <w:r>
        <w:rPr>
          <w:rFonts w:hint="eastAsia" w:ascii="仿宋_GB2312" w:eastAsia="仿宋_GB2312"/>
          <w:color w:val="auto"/>
          <w:sz w:val="32"/>
          <w:highlight w:val="none"/>
        </w:rPr>
        <w:t>构建居家社区机构相协调、医养康养相结合的养老服务体系。多方式扩大养老服务设施供给总量，将养老资源向经济困难、失能、失智、失独、高龄老年人倾斜。实现医养融合发展，扩大照护型服务资源。社区养老设施以500米服务半径配置，继续改造和完善救助管理站和社会福利院，完善社会救助体系。</w:t>
      </w:r>
    </w:p>
    <w:p w14:paraId="00031719">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优化商业服务业用地布局</w:t>
      </w:r>
    </w:p>
    <w:p w14:paraId="359E104F">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至2035年商业服务业用地</w:t>
      </w:r>
      <w:r>
        <w:rPr>
          <w:rFonts w:ascii="仿宋_GB2312" w:eastAsia="仿宋_GB2312"/>
          <w:color w:val="auto"/>
          <w:sz w:val="32"/>
          <w:szCs w:val="32"/>
          <w:highlight w:val="none"/>
        </w:rPr>
        <w:t>6</w:t>
      </w:r>
      <w:r>
        <w:rPr>
          <w:rFonts w:hint="eastAsia" w:ascii="仿宋_GB2312" w:eastAsia="仿宋_GB2312"/>
          <w:color w:val="auto"/>
          <w:sz w:val="32"/>
          <w:szCs w:val="32"/>
          <w:highlight w:val="none"/>
        </w:rPr>
        <w:t>5.85公顷，占城镇建设用地的</w:t>
      </w:r>
      <w:r>
        <w:rPr>
          <w:rFonts w:ascii="仿宋_GB2312" w:eastAsia="仿宋_GB2312"/>
          <w:color w:val="auto"/>
          <w:sz w:val="32"/>
          <w:szCs w:val="32"/>
          <w:highlight w:val="none"/>
        </w:rPr>
        <w:t>2</w:t>
      </w:r>
      <w:r>
        <w:rPr>
          <w:rFonts w:hint="eastAsia" w:ascii="仿宋_GB2312" w:eastAsia="仿宋_GB2312"/>
          <w:color w:val="auto"/>
          <w:sz w:val="32"/>
          <w:szCs w:val="32"/>
          <w:highlight w:val="none"/>
        </w:rPr>
        <w:t>1.08%。以东、西城街为核心，着力形成城市商业中心，对沿街老旧商业进行重新布局和整治改造，着重形成高端商业集聚区。聚焦康养度假城市功能，改造提升餐饮、旅馆用地，满足“候鸟式”康养度假人群需求。合理规划符合社区消费层次、满足社区消费需求的社区商业配套体系，加强社区便民家庭服务平台建设，引入综合社区体验配送店，发展社区个性化、定制化商业等。</w:t>
      </w:r>
    </w:p>
    <w:p w14:paraId="1EACDE8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优化工业和仓储用地布局</w:t>
      </w:r>
    </w:p>
    <w:p w14:paraId="7C208E3D">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优化调整工业用地布局。</w:t>
      </w:r>
      <w:r>
        <w:rPr>
          <w:rFonts w:hint="eastAsia" w:ascii="仿宋_GB2312" w:eastAsia="仿宋_GB2312"/>
          <w:color w:val="auto"/>
          <w:sz w:val="32"/>
          <w:szCs w:val="32"/>
          <w:highlight w:val="none"/>
        </w:rPr>
        <w:t>实施中心城区工业用地更新，引导工业向园区集中。有效促进低效工业用地盘活和功能置换。规划期内，中心城区不布局工业用地。</w:t>
      </w:r>
    </w:p>
    <w:p w14:paraId="29CD8381">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优化布局仓储用地。</w:t>
      </w:r>
      <w:r>
        <w:rPr>
          <w:rFonts w:hint="eastAsia" w:ascii="仿宋_GB2312" w:eastAsia="仿宋_GB2312"/>
          <w:color w:val="auto"/>
          <w:sz w:val="32"/>
          <w:szCs w:val="32"/>
          <w:highlight w:val="none"/>
        </w:rPr>
        <w:t>有效腾退中心城区低效仓储用地，进行功能置换，满足居住配套需要。结合成昆铁路新线盐边站布局仓储用地，满足客货运需要。至2035年，仓储用地0.83公顷，占城镇建设用地的0.2</w:t>
      </w:r>
      <w:r>
        <w:rPr>
          <w:rFonts w:hint="eastAsia" w:ascii="仿宋_GB2312" w:eastAsia="仿宋_GB2312"/>
          <w:color w:val="auto"/>
          <w:sz w:val="32"/>
          <w:szCs w:val="32"/>
          <w:highlight w:val="none"/>
          <w:lang w:eastAsia="zh-CN"/>
        </w:rPr>
        <w:t>7</w:t>
      </w:r>
      <w:r>
        <w:rPr>
          <w:rFonts w:hint="eastAsia" w:ascii="仿宋_GB2312" w:eastAsia="仿宋_GB2312"/>
          <w:color w:val="auto"/>
          <w:sz w:val="32"/>
          <w:szCs w:val="32"/>
          <w:highlight w:val="none"/>
        </w:rPr>
        <w:t>%。</w:t>
      </w:r>
    </w:p>
    <w:p w14:paraId="5B5D93B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优化特殊用地布局</w:t>
      </w:r>
    </w:p>
    <w:p w14:paraId="64CC08E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保留现状看守所，至2035年，特殊用地</w:t>
      </w:r>
      <w:r>
        <w:rPr>
          <w:rFonts w:ascii="仿宋_GB2312" w:eastAsia="仿宋_GB2312"/>
          <w:color w:val="auto"/>
          <w:sz w:val="32"/>
          <w:szCs w:val="32"/>
          <w:highlight w:val="none"/>
        </w:rPr>
        <w:t>2.41</w:t>
      </w:r>
      <w:r>
        <w:rPr>
          <w:rFonts w:hint="eastAsia" w:ascii="仿宋_GB2312" w:eastAsia="仿宋_GB2312"/>
          <w:color w:val="auto"/>
          <w:sz w:val="32"/>
          <w:szCs w:val="32"/>
          <w:highlight w:val="none"/>
        </w:rPr>
        <w:t>公顷，占城镇建设用地的</w:t>
      </w:r>
      <w:r>
        <w:rPr>
          <w:rFonts w:ascii="仿宋_GB2312" w:eastAsia="仿宋_GB2312"/>
          <w:color w:val="auto"/>
          <w:sz w:val="32"/>
          <w:szCs w:val="32"/>
          <w:highlight w:val="none"/>
        </w:rPr>
        <w:t>0.77</w:t>
      </w:r>
      <w:r>
        <w:rPr>
          <w:rFonts w:hint="eastAsia" w:ascii="仿宋_GB2312" w:eastAsia="仿宋_GB2312"/>
          <w:color w:val="auto"/>
          <w:sz w:val="32"/>
          <w:szCs w:val="32"/>
          <w:highlight w:val="none"/>
        </w:rPr>
        <w:t>%。</w:t>
      </w:r>
    </w:p>
    <w:p w14:paraId="4C813C26">
      <w:pPr>
        <w:pStyle w:val="9"/>
        <w:keepNext/>
        <w:keepLines/>
        <w:numPr>
          <w:ilvl w:val="0"/>
          <w:numId w:val="8"/>
        </w:numPr>
        <w:adjustRightInd/>
        <w:snapToGrid/>
        <w:spacing w:line="600" w:lineRule="exact"/>
        <w:ind w:left="993"/>
        <w:jc w:val="both"/>
        <w:rPr>
          <w:rFonts w:ascii="仿宋_GB2312" w:hAnsi="Times New Roman" w:eastAsia="仿宋_GB2312"/>
          <w:b/>
          <w:color w:val="auto"/>
          <w:sz w:val="32"/>
          <w:szCs w:val="28"/>
          <w:highlight w:val="none"/>
        </w:rPr>
      </w:pPr>
      <w:r>
        <w:rPr>
          <w:rFonts w:hint="eastAsia" w:ascii="仿宋_GB2312" w:hAnsi="微软雅黑" w:eastAsia="仿宋_GB2312" w:cs="微软雅黑"/>
          <w:b/>
          <w:color w:val="auto"/>
          <w:sz w:val="32"/>
          <w:szCs w:val="28"/>
          <w:highlight w:val="none"/>
        </w:rPr>
        <w:t>留白</w:t>
      </w:r>
      <w:r>
        <w:rPr>
          <w:rFonts w:hint="eastAsia" w:ascii="仿宋_GB2312" w:hAnsi="Times New Roman" w:eastAsia="仿宋_GB2312"/>
          <w:b/>
          <w:color w:val="auto"/>
          <w:sz w:val="32"/>
          <w:szCs w:val="28"/>
          <w:highlight w:val="none"/>
        </w:rPr>
        <w:t>用地布局</w:t>
      </w:r>
    </w:p>
    <w:p w14:paraId="1211A784">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至2035年，留白用地8.79公顷，占城镇建设用地的2.8</w:t>
      </w:r>
      <w:r>
        <w:rPr>
          <w:rFonts w:ascii="仿宋_GB2312" w:eastAsia="仿宋_GB2312"/>
          <w:color w:val="auto"/>
          <w:sz w:val="32"/>
          <w:szCs w:val="32"/>
          <w:highlight w:val="none"/>
        </w:rPr>
        <w:t>1</w:t>
      </w:r>
      <w:r>
        <w:rPr>
          <w:rFonts w:hint="eastAsia" w:ascii="仿宋_GB2312" w:eastAsia="仿宋_GB2312"/>
          <w:color w:val="auto"/>
          <w:sz w:val="32"/>
          <w:szCs w:val="32"/>
          <w:highlight w:val="none"/>
        </w:rPr>
        <w:t>%。</w:t>
      </w:r>
    </w:p>
    <w:p w14:paraId="64B21926">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60" w:name="_Toc5579"/>
      <w:bookmarkStart w:id="161" w:name="_Toc25728"/>
      <w:r>
        <w:rPr>
          <w:rFonts w:hint="eastAsia" w:ascii="黑体" w:hAnsi="黑体" w:eastAsia="黑体" w:cstheme="majorBidi"/>
          <w:bCs/>
          <w:color w:val="auto"/>
          <w:sz w:val="32"/>
          <w:szCs w:val="32"/>
          <w:highlight w:val="none"/>
        </w:rPr>
        <w:t>绿地与开敞空间</w:t>
      </w:r>
      <w:bookmarkEnd w:id="160"/>
      <w:bookmarkEnd w:id="161"/>
    </w:p>
    <w:p w14:paraId="026CDA7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构建绿地系统结构</w:t>
      </w:r>
    </w:p>
    <w:p w14:paraId="676F10AE">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根据城市空间结构优化调整，将城市周边自然地理空间纳入绿地与开敞空间系统，结合自然通风廊道布局城市公园、防护绿地等公共空间，与外围郊野公园呼应，以绿道串联，构建“点面结合、廊网串联”的绿地系统，规划形成“三心两园多点”的城市绿地系统结构。</w:t>
      </w:r>
    </w:p>
    <w:p w14:paraId="6A61B652">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三心</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：七一公园、月潭公园、同缘公园作为城市绿心；</w:t>
      </w:r>
    </w:p>
    <w:p w14:paraId="7E97D38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两园</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：西部橄榄坡郊野公园、东部山地运动郊野公园；</w:t>
      </w:r>
    </w:p>
    <w:p w14:paraId="36CC6A0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多点</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：结合地形、城市节点形成的街头绿地、口袋公园</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广场</w:t>
      </w:r>
      <w:r>
        <w:rPr>
          <w:rFonts w:hint="eastAsia" w:ascii="仿宋_GB2312" w:eastAsia="仿宋_GB2312"/>
          <w:color w:val="auto"/>
          <w:sz w:val="32"/>
          <w:szCs w:val="32"/>
          <w:highlight w:val="none"/>
        </w:rPr>
        <w:t>等。</w:t>
      </w:r>
    </w:p>
    <w:p w14:paraId="7A58E677">
      <w:pPr>
        <w:pStyle w:val="8"/>
        <w:keepNext/>
        <w:keepLines/>
        <w:numPr>
          <w:ilvl w:val="0"/>
          <w:numId w:val="25"/>
        </w:numPr>
        <w:adjustRightInd/>
        <w:snapToGrid/>
        <w:ind w:left="0"/>
        <w:jc w:val="center"/>
        <w:rPr>
          <w:rFonts w:ascii="仿宋_GB2312" w:hAnsi="Calibri" w:eastAsia="仿宋_GB2312"/>
          <w:b/>
          <w:bCs/>
          <w:color w:val="auto"/>
          <w:highlight w:val="none"/>
        </w:rPr>
      </w:pPr>
      <w:bookmarkStart w:id="162" w:name="_Toc4785"/>
      <w:r>
        <w:rPr>
          <w:rFonts w:hint="eastAsia" w:ascii="仿宋_GB2312" w:hAnsi="Calibri" w:eastAsia="仿宋_GB2312"/>
          <w:b/>
          <w:bCs/>
          <w:color w:val="auto"/>
          <w:highlight w:val="none"/>
        </w:rPr>
        <w:t>公园绿地</w:t>
      </w:r>
      <w:bookmarkEnd w:id="162"/>
    </w:p>
    <w:p w14:paraId="0B65862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优化公园绿地</w:t>
      </w:r>
    </w:p>
    <w:p w14:paraId="3E42408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中心城区构建“综合公园+社区公园+口袋公园”公园绿地体系，锚固城市生态本底，建设“人、城、境、业”高度和谐统一的美丽宜居</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花园县城</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w:t>
      </w:r>
    </w:p>
    <w:p w14:paraId="6CCDF350">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重点推进七一公园、月潭公园品质提升和功能完善，加速完成同缘公园建设，营造</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花园县城</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新场景，提升城市生态价值；结合居住区建设宜人的社区公园，为市民提供游憩场地和服务配套，满足居民就近开展日常休闲活动；结合城区地形地貌和城市开敞空间，加快中心城区口袋公园建设，凸显盐边地域文化特色，实现“出门见绿、300米见园”公园建设目标。</w:t>
      </w:r>
    </w:p>
    <w:p w14:paraId="38FC0A5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加强城市绿道建设，结合城市自然山水和历史文化要素，串联城市生活、工作与城乡游憩、休闲等绿地开敞空间，以游憩、健身为主，打造兼具市民绿色出行和生物迁徙等功能的慢行绿道体系。至2</w:t>
      </w:r>
      <w:r>
        <w:rPr>
          <w:rFonts w:ascii="仿宋_GB2312" w:eastAsia="仿宋_GB2312"/>
          <w:color w:val="auto"/>
          <w:sz w:val="32"/>
          <w:szCs w:val="32"/>
          <w:highlight w:val="none"/>
        </w:rPr>
        <w:t>035</w:t>
      </w:r>
      <w:r>
        <w:rPr>
          <w:rFonts w:hint="eastAsia" w:ascii="仿宋_GB2312" w:eastAsia="仿宋_GB2312"/>
          <w:color w:val="auto"/>
          <w:sz w:val="32"/>
          <w:szCs w:val="32"/>
          <w:highlight w:val="none"/>
        </w:rPr>
        <w:t>年盐边万人拥有绿道长度≥1.0</w:t>
      </w:r>
      <w:r>
        <w:rPr>
          <w:rFonts w:hint="eastAsia" w:ascii="仿宋_GB2312" w:eastAsia="仿宋_GB2312"/>
          <w:color w:val="auto"/>
          <w:sz w:val="32"/>
          <w:szCs w:val="32"/>
          <w:highlight w:val="none"/>
          <w:lang w:val="en-US" w:eastAsia="zh-CN"/>
        </w:rPr>
        <w:t>千米</w:t>
      </w:r>
      <w:r>
        <w:rPr>
          <w:rFonts w:hint="eastAsia" w:ascii="仿宋_GB2312" w:eastAsia="仿宋_GB2312"/>
          <w:color w:val="auto"/>
          <w:sz w:val="32"/>
          <w:szCs w:val="32"/>
          <w:highlight w:val="none"/>
        </w:rPr>
        <w:t>，服务半径覆盖率≥60%。</w:t>
      </w:r>
    </w:p>
    <w:p w14:paraId="4B118979">
      <w:pPr>
        <w:pStyle w:val="8"/>
        <w:keepNext/>
        <w:keepLines/>
        <w:numPr>
          <w:ilvl w:val="0"/>
          <w:numId w:val="25"/>
        </w:numPr>
        <w:adjustRightInd/>
        <w:snapToGrid/>
        <w:ind w:left="0"/>
        <w:jc w:val="center"/>
        <w:rPr>
          <w:rFonts w:ascii="仿宋_GB2312" w:hAnsi="Calibri" w:eastAsia="仿宋_GB2312"/>
          <w:b/>
          <w:bCs/>
          <w:color w:val="auto"/>
          <w:highlight w:val="none"/>
        </w:rPr>
      </w:pPr>
      <w:bookmarkStart w:id="163" w:name="_Toc11539"/>
      <w:r>
        <w:rPr>
          <w:rFonts w:hint="eastAsia" w:ascii="仿宋_GB2312" w:hAnsi="Calibri" w:eastAsia="仿宋_GB2312"/>
          <w:b/>
          <w:bCs/>
          <w:color w:val="auto"/>
          <w:highlight w:val="none"/>
        </w:rPr>
        <w:t>防护绿地</w:t>
      </w:r>
      <w:bookmarkEnd w:id="163"/>
    </w:p>
    <w:p w14:paraId="76B282B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优化防护绿地</w:t>
      </w:r>
    </w:p>
    <w:p w14:paraId="0C71FD45">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至2035年防护绿地6.64公顷，占城镇建设用地2.13%，人均规模</w:t>
      </w:r>
      <w:r>
        <w:rPr>
          <w:rFonts w:ascii="仿宋_GB2312" w:eastAsia="仿宋_GB2312"/>
          <w:color w:val="auto"/>
          <w:sz w:val="32"/>
          <w:szCs w:val="32"/>
          <w:highlight w:val="none"/>
        </w:rPr>
        <w:t>2.</w:t>
      </w:r>
      <w:r>
        <w:rPr>
          <w:rFonts w:hint="eastAsia" w:ascii="仿宋_GB2312" w:eastAsia="仿宋_GB2312"/>
          <w:color w:val="auto"/>
          <w:sz w:val="32"/>
          <w:szCs w:val="32"/>
          <w:highlight w:val="none"/>
        </w:rPr>
        <w:t>08平方米。</w:t>
      </w:r>
    </w:p>
    <w:p w14:paraId="528429AF">
      <w:pPr>
        <w:spacing w:line="600" w:lineRule="exact"/>
        <w:ind w:firstLine="640"/>
        <w:rPr>
          <w:rFonts w:ascii="仿宋_GB2312" w:eastAsia="仿宋_GB2312"/>
          <w:color w:val="auto"/>
          <w:sz w:val="32"/>
          <w:highlight w:val="none"/>
          <w:u w:val="single"/>
        </w:rPr>
      </w:pPr>
      <w:r>
        <w:rPr>
          <w:rFonts w:hint="eastAsia" w:ascii="仿宋_GB2312" w:eastAsia="仿宋_GB2312"/>
          <w:color w:val="auto"/>
          <w:sz w:val="32"/>
          <w:highlight w:val="none"/>
          <w:u w:val="single"/>
        </w:rPr>
        <w:t>铁路防护绿地：沿铁路两边各设置20米宽的防护绿地。其中城市</w:t>
      </w:r>
      <w:r>
        <w:rPr>
          <w:rFonts w:hint="eastAsia" w:ascii="仿宋_GB2312" w:eastAsia="仿宋_GB2312"/>
          <w:color w:val="auto"/>
          <w:sz w:val="32"/>
          <w:highlight w:val="none"/>
          <w:u w:val="single"/>
          <w:lang w:val="en-US" w:eastAsia="zh-CN"/>
        </w:rPr>
        <w:t>城区</w:t>
      </w:r>
      <w:r>
        <w:rPr>
          <w:rFonts w:hint="eastAsia" w:ascii="仿宋_GB2312" w:eastAsia="仿宋_GB2312"/>
          <w:color w:val="auto"/>
          <w:sz w:val="32"/>
          <w:highlight w:val="none"/>
          <w:u w:val="single"/>
        </w:rPr>
        <w:t>高速铁路两侧10米内，其他铁路两侧8米内作为铁路防护区。</w:t>
      </w:r>
    </w:p>
    <w:p w14:paraId="57323D62">
      <w:pPr>
        <w:spacing w:line="600" w:lineRule="exact"/>
        <w:ind w:firstLine="640"/>
        <w:rPr>
          <w:rFonts w:ascii="仿宋_GB2312" w:eastAsia="仿宋_GB2312"/>
          <w:color w:val="auto"/>
          <w:sz w:val="32"/>
          <w:highlight w:val="none"/>
        </w:rPr>
      </w:pPr>
      <w:r>
        <w:rPr>
          <w:rFonts w:hint="eastAsia" w:ascii="仿宋_GB2312" w:eastAsia="仿宋_GB2312"/>
          <w:color w:val="auto"/>
          <w:sz w:val="32"/>
          <w:highlight w:val="none"/>
          <w:u w:val="single"/>
        </w:rPr>
        <w:t>市政设施防护绿地：110</w:t>
      </w:r>
      <w:r>
        <w:rPr>
          <w:rFonts w:hint="eastAsia" w:ascii="仿宋_GB2312" w:eastAsia="仿宋_GB2312"/>
          <w:color w:val="auto"/>
          <w:sz w:val="32"/>
          <w:highlight w:val="none"/>
          <w:u w:val="single"/>
          <w:lang w:eastAsia="zh-CN"/>
        </w:rPr>
        <w:t>千伏</w:t>
      </w:r>
      <w:r>
        <w:rPr>
          <w:rFonts w:hint="eastAsia" w:ascii="仿宋_GB2312" w:eastAsia="仿宋_GB2312"/>
          <w:color w:val="auto"/>
          <w:sz w:val="32"/>
          <w:highlight w:val="none"/>
          <w:u w:val="single"/>
        </w:rPr>
        <w:t>高压电力线设置不小于</w:t>
      </w:r>
      <w:r>
        <w:rPr>
          <w:rFonts w:hint="eastAsia" w:ascii="仿宋_GB2312" w:eastAsia="仿宋_GB2312"/>
          <w:color w:val="auto"/>
          <w:sz w:val="32"/>
          <w:highlight w:val="none"/>
          <w:u w:val="single"/>
          <w:lang w:val="en-US" w:eastAsia="zh-CN"/>
        </w:rPr>
        <w:t>15</w:t>
      </w:r>
      <w:r>
        <w:rPr>
          <w:rFonts w:hint="eastAsia" w:ascii="仿宋_GB2312" w:eastAsia="仿宋_GB2312"/>
          <w:color w:val="auto"/>
          <w:sz w:val="32"/>
          <w:highlight w:val="none"/>
          <w:u w:val="single"/>
        </w:rPr>
        <w:t>米宽防护绿地；220</w:t>
      </w:r>
      <w:r>
        <w:rPr>
          <w:rFonts w:hint="eastAsia" w:ascii="仿宋_GB2312" w:eastAsia="仿宋_GB2312"/>
          <w:color w:val="auto"/>
          <w:sz w:val="32"/>
          <w:highlight w:val="none"/>
          <w:u w:val="single"/>
          <w:lang w:eastAsia="zh-CN"/>
        </w:rPr>
        <w:t>千伏</w:t>
      </w:r>
      <w:r>
        <w:rPr>
          <w:rFonts w:hint="eastAsia" w:ascii="仿宋_GB2312" w:eastAsia="仿宋_GB2312"/>
          <w:color w:val="auto"/>
          <w:sz w:val="32"/>
          <w:highlight w:val="none"/>
          <w:u w:val="single"/>
        </w:rPr>
        <w:t>高压电力线设置</w:t>
      </w:r>
      <w:r>
        <w:rPr>
          <w:rFonts w:hint="eastAsia" w:ascii="仿宋_GB2312" w:eastAsia="仿宋_GB2312"/>
          <w:color w:val="auto"/>
          <w:sz w:val="32"/>
          <w:highlight w:val="none"/>
          <w:u w:val="single"/>
          <w:lang w:val="en-US" w:eastAsia="zh-CN"/>
        </w:rPr>
        <w:t>不小于30</w:t>
      </w:r>
      <w:r>
        <w:rPr>
          <w:rFonts w:hint="eastAsia" w:ascii="仿宋_GB2312" w:eastAsia="仿宋_GB2312"/>
          <w:color w:val="auto"/>
          <w:sz w:val="32"/>
          <w:highlight w:val="none"/>
          <w:u w:val="single"/>
        </w:rPr>
        <w:t>米宽防护绿地；500</w:t>
      </w:r>
      <w:r>
        <w:rPr>
          <w:rFonts w:hint="eastAsia" w:ascii="仿宋_GB2312" w:eastAsia="仿宋_GB2312"/>
          <w:color w:val="auto"/>
          <w:sz w:val="32"/>
          <w:highlight w:val="none"/>
          <w:u w:val="single"/>
          <w:lang w:eastAsia="zh-CN"/>
        </w:rPr>
        <w:t>千伏</w:t>
      </w:r>
      <w:r>
        <w:rPr>
          <w:rFonts w:hint="eastAsia" w:ascii="仿宋_GB2312" w:eastAsia="仿宋_GB2312"/>
          <w:color w:val="auto"/>
          <w:sz w:val="32"/>
          <w:highlight w:val="none"/>
          <w:u w:val="single"/>
        </w:rPr>
        <w:t>高压电力线设置</w:t>
      </w:r>
      <w:r>
        <w:rPr>
          <w:rFonts w:hint="eastAsia" w:ascii="仿宋_GB2312" w:eastAsia="仿宋_GB2312"/>
          <w:color w:val="auto"/>
          <w:sz w:val="32"/>
          <w:highlight w:val="none"/>
          <w:u w:val="single"/>
          <w:lang w:val="en-US" w:eastAsia="zh-CN"/>
        </w:rPr>
        <w:t>不小于60</w:t>
      </w:r>
      <w:r>
        <w:rPr>
          <w:rFonts w:hint="eastAsia" w:ascii="仿宋_GB2312" w:eastAsia="仿宋_GB2312"/>
          <w:color w:val="auto"/>
          <w:sz w:val="32"/>
          <w:highlight w:val="none"/>
          <w:u w:val="single"/>
        </w:rPr>
        <w:t>米宽防护绿地；长输管线安全防护距离按管道中心线两侧各设50米防护绿带进行控制；高压输气干线安全防护距离按管道中心线两侧各设50米防护绿带进行控制；次高压输气干线安全防护距离按管道中心线两侧各设13.5米防护绿带控制</w:t>
      </w:r>
      <w:r>
        <w:rPr>
          <w:rFonts w:hint="eastAsia" w:ascii="仿宋_GB2312" w:eastAsia="仿宋_GB2312"/>
          <w:color w:val="auto"/>
          <w:sz w:val="32"/>
          <w:highlight w:val="none"/>
        </w:rPr>
        <w:t>；其他市政设施根据相关要求控制防护绿地宽度，确保城市生产、生活活动安全运行。</w:t>
      </w:r>
    </w:p>
    <w:p w14:paraId="2E71F1A4">
      <w:pPr>
        <w:pStyle w:val="8"/>
        <w:keepNext/>
        <w:keepLines/>
        <w:numPr>
          <w:ilvl w:val="0"/>
          <w:numId w:val="25"/>
        </w:numPr>
        <w:adjustRightInd/>
        <w:snapToGrid/>
        <w:ind w:left="0"/>
        <w:jc w:val="center"/>
        <w:rPr>
          <w:rFonts w:ascii="仿宋_GB2312" w:hAnsi="Calibri" w:eastAsia="仿宋_GB2312"/>
          <w:b/>
          <w:bCs/>
          <w:color w:val="auto"/>
          <w:highlight w:val="none"/>
        </w:rPr>
      </w:pPr>
      <w:bookmarkStart w:id="164" w:name="_Toc19362"/>
      <w:r>
        <w:rPr>
          <w:rFonts w:hint="eastAsia" w:ascii="仿宋_GB2312" w:hAnsi="Calibri" w:eastAsia="仿宋_GB2312"/>
          <w:b/>
          <w:bCs/>
          <w:color w:val="auto"/>
          <w:highlight w:val="none"/>
        </w:rPr>
        <w:t>广场规划</w:t>
      </w:r>
      <w:bookmarkEnd w:id="164"/>
    </w:p>
    <w:p w14:paraId="55C452E0">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优化广场用地</w:t>
      </w:r>
    </w:p>
    <w:p w14:paraId="7284F4B2">
      <w:pPr>
        <w:spacing w:line="600" w:lineRule="exact"/>
        <w:ind w:firstLine="640"/>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至2035年广场用地2.</w:t>
      </w:r>
      <w:r>
        <w:rPr>
          <w:rFonts w:ascii="仿宋_GB2312" w:eastAsia="仿宋_GB2312"/>
          <w:color w:val="auto"/>
          <w:sz w:val="32"/>
          <w:szCs w:val="32"/>
          <w:highlight w:val="none"/>
        </w:rPr>
        <w:t>1</w:t>
      </w:r>
      <w:r>
        <w:rPr>
          <w:rFonts w:hint="eastAsia" w:ascii="仿宋_GB2312" w:eastAsia="仿宋_GB2312"/>
          <w:color w:val="auto"/>
          <w:sz w:val="32"/>
          <w:szCs w:val="32"/>
          <w:highlight w:val="none"/>
        </w:rPr>
        <w:t>0公顷，占规划城镇建设用地的0.</w:t>
      </w:r>
      <w:r>
        <w:rPr>
          <w:rFonts w:ascii="仿宋_GB2312" w:eastAsia="仿宋_GB2312"/>
          <w:color w:val="auto"/>
          <w:sz w:val="32"/>
          <w:szCs w:val="32"/>
          <w:highlight w:val="none"/>
        </w:rPr>
        <w:t>6</w:t>
      </w:r>
      <w:r>
        <w:rPr>
          <w:rFonts w:hint="eastAsia" w:ascii="仿宋_GB2312" w:eastAsia="仿宋_GB2312"/>
          <w:color w:val="auto"/>
          <w:sz w:val="32"/>
          <w:szCs w:val="32"/>
          <w:highlight w:val="none"/>
        </w:rPr>
        <w:t>7%，人均广场用地</w:t>
      </w:r>
      <w:r>
        <w:rPr>
          <w:rFonts w:ascii="仿宋_GB2312" w:eastAsia="仿宋_GB2312"/>
          <w:color w:val="auto"/>
          <w:sz w:val="32"/>
          <w:szCs w:val="32"/>
          <w:highlight w:val="none"/>
        </w:rPr>
        <w:t>0.66</w:t>
      </w:r>
      <w:r>
        <w:rPr>
          <w:rFonts w:hint="eastAsia" w:ascii="仿宋_GB2312" w:eastAsia="仿宋_GB2312"/>
          <w:color w:val="auto"/>
          <w:sz w:val="32"/>
          <w:szCs w:val="32"/>
          <w:highlight w:val="none"/>
        </w:rPr>
        <w:t>平方米。</w:t>
      </w:r>
    </w:p>
    <w:p w14:paraId="3AB4AAC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主要包括盐边中心广场、七一公园广场等以游憩、集会、避险等为主要功能的广场。结合城市更新与低效用地整治，增加休闲游憩类的广场数量，提高服务覆盖率，改造提升商业广场氛围。</w:t>
      </w:r>
    </w:p>
    <w:p w14:paraId="41958982">
      <w:pPr>
        <w:pStyle w:val="8"/>
        <w:keepNext/>
        <w:keepLines/>
        <w:numPr>
          <w:ilvl w:val="0"/>
          <w:numId w:val="25"/>
        </w:numPr>
        <w:adjustRightInd/>
        <w:snapToGrid/>
        <w:ind w:left="0"/>
        <w:jc w:val="center"/>
        <w:rPr>
          <w:rFonts w:ascii="仿宋_GB2312" w:hAnsi="Calibri" w:eastAsia="仿宋_GB2312"/>
          <w:b/>
          <w:bCs/>
          <w:color w:val="auto"/>
          <w:highlight w:val="none"/>
        </w:rPr>
      </w:pPr>
      <w:bookmarkStart w:id="165" w:name="_Toc1027"/>
      <w:r>
        <w:rPr>
          <w:rFonts w:hint="eastAsia" w:ascii="仿宋_GB2312" w:hAnsi="Calibri" w:eastAsia="仿宋_GB2312"/>
          <w:b/>
          <w:bCs/>
          <w:color w:val="auto"/>
          <w:highlight w:val="none"/>
        </w:rPr>
        <w:t>城市通风廊道</w:t>
      </w:r>
      <w:bookmarkEnd w:id="165"/>
    </w:p>
    <w:p w14:paraId="55EA166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城市通风廊道</w:t>
      </w:r>
    </w:p>
    <w:p w14:paraId="53D017A7">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利用东城街、西城街、清河中街、东环路、西环路等城市主干路作为城市主要通风廊道。加强建筑高度、建筑间距和密度管控，避免屏风式建筑，保持廊道内空旷和弹性。以城区视线范围内</w:t>
      </w:r>
      <w:r>
        <w:rPr>
          <w:rFonts w:ascii="仿宋_GB2312" w:eastAsia="仿宋_GB2312"/>
          <w:color w:val="auto"/>
          <w:sz w:val="32"/>
          <w:szCs w:val="32"/>
          <w:highlight w:val="none"/>
        </w:rPr>
        <w:t>35</w:t>
      </w:r>
      <w:r>
        <w:rPr>
          <w:rFonts w:hint="eastAsia" w:ascii="仿宋_GB2312" w:hAnsi="微软雅黑" w:eastAsia="仿宋_GB2312"/>
          <w:color w:val="auto"/>
          <w:sz w:val="32"/>
          <w:szCs w:val="32"/>
          <w:highlight w:val="none"/>
          <w:shd w:val="clear" w:color="auto" w:fill="FFFFFF"/>
        </w:rPr>
        <w:t>～</w:t>
      </w:r>
      <w:r>
        <w:rPr>
          <w:rFonts w:ascii="仿宋_GB2312" w:eastAsia="仿宋_GB2312"/>
          <w:color w:val="auto"/>
          <w:sz w:val="32"/>
          <w:szCs w:val="32"/>
          <w:highlight w:val="none"/>
        </w:rPr>
        <w:t>80</w:t>
      </w:r>
      <w:r>
        <w:rPr>
          <w:rFonts w:hint="eastAsia" w:ascii="仿宋_GB2312" w:eastAsia="仿宋_GB2312"/>
          <w:color w:val="auto"/>
          <w:sz w:val="32"/>
          <w:szCs w:val="32"/>
          <w:highlight w:val="none"/>
        </w:rPr>
        <w:t>米及以上的山体对望方向水平10度视角范围为重点控制视廊，严格控制视廊范围内建筑高度和体量，要求视廊范围内所有建筑高度不超过被看山体视觉高度。严格保护水系、绿地等开敞空间，控制主要入风口建设增量，均衡布局相应的进风口，增加城市建设区和公共开敞空间区域的相交程度。</w:t>
      </w:r>
    </w:p>
    <w:p w14:paraId="45E0D31D">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66" w:name="_Toc30680"/>
      <w:bookmarkStart w:id="167" w:name="_Toc18211"/>
      <w:r>
        <w:rPr>
          <w:rFonts w:hint="eastAsia" w:ascii="黑体" w:hAnsi="黑体" w:eastAsia="黑体" w:cstheme="majorBidi"/>
          <w:bCs/>
          <w:color w:val="auto"/>
          <w:sz w:val="32"/>
          <w:szCs w:val="32"/>
          <w:highlight w:val="none"/>
        </w:rPr>
        <w:t>景观风貌</w:t>
      </w:r>
      <w:bookmarkEnd w:id="166"/>
      <w:bookmarkEnd w:id="167"/>
    </w:p>
    <w:p w14:paraId="4EE9B99B">
      <w:pPr>
        <w:pStyle w:val="8"/>
        <w:keepNext/>
        <w:keepLines/>
        <w:numPr>
          <w:ilvl w:val="0"/>
          <w:numId w:val="26"/>
        </w:numPr>
        <w:adjustRightInd/>
        <w:snapToGrid/>
        <w:ind w:left="0"/>
        <w:jc w:val="center"/>
        <w:rPr>
          <w:rFonts w:ascii="仿宋_GB2312" w:hAnsi="Calibri" w:eastAsia="仿宋_GB2312"/>
          <w:b/>
          <w:bCs/>
          <w:color w:val="auto"/>
          <w:highlight w:val="none"/>
        </w:rPr>
      </w:pPr>
      <w:bookmarkStart w:id="168" w:name="_Toc32684"/>
      <w:r>
        <w:rPr>
          <w:rFonts w:hint="eastAsia" w:ascii="仿宋_GB2312" w:hAnsi="Calibri" w:eastAsia="仿宋_GB2312"/>
          <w:b/>
          <w:bCs/>
          <w:color w:val="auto"/>
          <w:highlight w:val="none"/>
        </w:rPr>
        <w:t>城市更新</w:t>
      </w:r>
      <w:bookmarkEnd w:id="168"/>
    </w:p>
    <w:p w14:paraId="132A614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推动城市有机更新</w:t>
      </w:r>
    </w:p>
    <w:p w14:paraId="515819D0">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城市更新目标。</w:t>
      </w:r>
      <w:r>
        <w:rPr>
          <w:rFonts w:hint="eastAsia" w:ascii="仿宋_GB2312" w:eastAsia="仿宋_GB2312"/>
          <w:color w:val="auto"/>
          <w:sz w:val="32"/>
          <w:szCs w:val="32"/>
          <w:highlight w:val="none"/>
        </w:rPr>
        <w:t>合理确定更新方式，将城市体检作为城市更新的前提，依据城市体检结果，编制城市更新规划和年度实施计划。结合中心城区未来功能定位、发展方向，以及原有空间和人文底蕴，通过拆建、改建与整治等多种更新方式逐步实现城市有机更新，改善人居环境、优化城市功能、提升城市品质、传承历史文脉、延续特色风貌。通过对中心城区不同区域的</w:t>
      </w:r>
      <w:r>
        <w:rPr>
          <w:rFonts w:hint="eastAsia" w:ascii="仿宋_GB2312" w:eastAsia="仿宋_GB2312"/>
          <w:color w:val="auto"/>
          <w:sz w:val="32"/>
          <w:szCs w:val="32"/>
          <w:highlight w:val="none"/>
          <w:lang w:val="en-US" w:eastAsia="zh-CN"/>
        </w:rPr>
        <w:t>建筑</w:t>
      </w:r>
      <w:r>
        <w:rPr>
          <w:rFonts w:hint="eastAsia" w:ascii="仿宋_GB2312" w:eastAsia="仿宋_GB2312"/>
          <w:color w:val="auto"/>
          <w:sz w:val="32"/>
          <w:szCs w:val="32"/>
          <w:highlight w:val="none"/>
        </w:rPr>
        <w:t>年代、功能业态活力及建筑环境质量的分析判断，划定城市更新重点区域。根据不同性质、不同区域提出具体的更新措施。在实施城市更新行动中，严格落实城市更新底线管控要求，防止大拆大建。</w:t>
      </w:r>
    </w:p>
    <w:p w14:paraId="283A3360">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城市更新重点区域。</w:t>
      </w:r>
      <w:r>
        <w:rPr>
          <w:rFonts w:hint="eastAsia" w:ascii="仿宋_GB2312" w:eastAsia="仿宋_GB2312"/>
          <w:color w:val="auto"/>
          <w:sz w:val="32"/>
          <w:szCs w:val="32"/>
          <w:highlight w:val="none"/>
        </w:rPr>
        <w:t>将中心城区现状已丧失功能业态活力、建筑环境质量较差的区域，划定为城市重点更新区域。根据对现行规划的分析和现状的对比调查，将鸿森林业有限公司</w:t>
      </w:r>
      <w:r>
        <w:rPr>
          <w:rFonts w:hint="eastAsia" w:ascii="仿宋_GB2312" w:eastAsia="仿宋_GB2312"/>
          <w:color w:val="auto"/>
          <w:sz w:val="32"/>
          <w:szCs w:val="32"/>
          <w:highlight w:val="none"/>
          <w:lang w:val="en-US" w:eastAsia="zh-CN"/>
        </w:rPr>
        <w:t>用地</w:t>
      </w:r>
      <w:r>
        <w:rPr>
          <w:rFonts w:hint="eastAsia" w:ascii="仿宋_GB2312" w:eastAsia="仿宋_GB2312"/>
          <w:color w:val="auto"/>
          <w:sz w:val="32"/>
          <w:szCs w:val="32"/>
          <w:highlight w:val="none"/>
        </w:rPr>
        <w:t>、光明汽车修理厂等用地、</w:t>
      </w:r>
      <w:r>
        <w:rPr>
          <w:rFonts w:hint="eastAsia" w:ascii="仿宋_GB2312" w:eastAsia="仿宋_GB2312"/>
          <w:color w:val="auto"/>
          <w:sz w:val="32"/>
          <w:szCs w:val="32"/>
          <w:highlight w:val="none"/>
          <w:lang w:val="en-US" w:eastAsia="zh-CN"/>
        </w:rPr>
        <w:t>金谷</w:t>
      </w:r>
      <w:r>
        <w:rPr>
          <w:rFonts w:hint="eastAsia" w:ascii="仿宋_GB2312" w:eastAsia="仿宋_GB2312"/>
          <w:color w:val="auto"/>
          <w:sz w:val="32"/>
          <w:szCs w:val="32"/>
          <w:highlight w:val="none"/>
        </w:rPr>
        <w:t>煤业有限责任公司用地、月潭公园停车场用地、城区南部粮站</w:t>
      </w:r>
      <w:r>
        <w:rPr>
          <w:rFonts w:hint="eastAsia" w:ascii="仿宋_GB2312" w:eastAsia="仿宋_GB2312"/>
          <w:color w:val="auto"/>
          <w:sz w:val="32"/>
          <w:szCs w:val="32"/>
          <w:highlight w:val="none"/>
          <w:lang w:val="en-US" w:eastAsia="zh-CN"/>
        </w:rPr>
        <w:t>用地</w:t>
      </w:r>
      <w:r>
        <w:rPr>
          <w:rFonts w:hint="eastAsia" w:ascii="仿宋_GB2312" w:eastAsia="仿宋_GB2312"/>
          <w:color w:val="auto"/>
          <w:sz w:val="32"/>
          <w:szCs w:val="32"/>
          <w:highlight w:val="none"/>
        </w:rPr>
        <w:t>、盐边县烟草公司</w:t>
      </w:r>
      <w:r>
        <w:rPr>
          <w:rFonts w:hint="eastAsia" w:ascii="仿宋_GB2312" w:eastAsia="仿宋_GB2312"/>
          <w:color w:val="auto"/>
          <w:sz w:val="32"/>
          <w:szCs w:val="32"/>
          <w:highlight w:val="none"/>
          <w:lang w:val="en-US" w:eastAsia="zh-CN"/>
        </w:rPr>
        <w:t>仓储</w:t>
      </w:r>
      <w:r>
        <w:rPr>
          <w:rFonts w:hint="eastAsia" w:ascii="仿宋_GB2312" w:eastAsia="仿宋_GB2312"/>
          <w:color w:val="auto"/>
          <w:sz w:val="32"/>
          <w:szCs w:val="32"/>
          <w:highlight w:val="none"/>
        </w:rPr>
        <w:t>用地、蓉金包装制品有限责任公司用地等纳入城市更新重点区域，总面积</w:t>
      </w:r>
      <w:r>
        <w:rPr>
          <w:rFonts w:ascii="仿宋_GB2312" w:eastAsia="仿宋_GB2312"/>
          <w:color w:val="auto"/>
          <w:sz w:val="32"/>
          <w:szCs w:val="32"/>
          <w:highlight w:val="none"/>
        </w:rPr>
        <w:t>70.59</w:t>
      </w:r>
      <w:r>
        <w:rPr>
          <w:rFonts w:hint="eastAsia" w:ascii="仿宋_GB2312" w:eastAsia="仿宋_GB2312"/>
          <w:color w:val="auto"/>
          <w:sz w:val="32"/>
          <w:szCs w:val="32"/>
          <w:highlight w:val="none"/>
        </w:rPr>
        <w:t>公顷。其余区域作为城市更新一般区域。</w:t>
      </w:r>
    </w:p>
    <w:p w14:paraId="6C4A9A19">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城市更新措施。</w:t>
      </w:r>
      <w:r>
        <w:rPr>
          <w:rFonts w:hint="eastAsia" w:ascii="仿宋_GB2312" w:eastAsia="仿宋_GB2312"/>
          <w:color w:val="auto"/>
          <w:sz w:val="32"/>
          <w:szCs w:val="32"/>
          <w:highlight w:val="none"/>
        </w:rPr>
        <w:t>在盐边县中心城区城市更新重点区域内，</w:t>
      </w:r>
      <w:r>
        <w:rPr>
          <w:rFonts w:hint="eastAsia" w:ascii="仿宋_GB2312" w:eastAsia="仿宋_GB2312"/>
          <w:color w:val="auto"/>
          <w:sz w:val="32"/>
          <w:szCs w:val="32"/>
          <w:highlight w:val="none"/>
          <w:lang w:val="en-US" w:eastAsia="zh-CN"/>
        </w:rPr>
        <w:t>划分</w:t>
      </w:r>
      <w:r>
        <w:rPr>
          <w:rFonts w:hint="eastAsia" w:ascii="仿宋_GB2312" w:eastAsia="仿宋_GB2312"/>
          <w:color w:val="auto"/>
          <w:sz w:val="32"/>
          <w:szCs w:val="32"/>
          <w:highlight w:val="none"/>
        </w:rPr>
        <w:t>功能置换更新</w:t>
      </w:r>
      <w:r>
        <w:rPr>
          <w:rFonts w:hint="eastAsia" w:ascii="仿宋_GB2312" w:eastAsia="仿宋_GB2312"/>
          <w:color w:val="auto"/>
          <w:sz w:val="32"/>
          <w:szCs w:val="32"/>
          <w:highlight w:val="none"/>
          <w:lang w:val="en-US" w:eastAsia="zh-CN"/>
        </w:rPr>
        <w:t>区</w:t>
      </w:r>
      <w:r>
        <w:rPr>
          <w:rFonts w:hint="eastAsia" w:ascii="仿宋_GB2312" w:eastAsia="仿宋_GB2312"/>
          <w:color w:val="auto"/>
          <w:sz w:val="32"/>
          <w:szCs w:val="32"/>
          <w:highlight w:val="none"/>
        </w:rPr>
        <w:t>、低效利用更新</w:t>
      </w:r>
      <w:r>
        <w:rPr>
          <w:rFonts w:hint="eastAsia" w:ascii="仿宋_GB2312" w:eastAsia="仿宋_GB2312"/>
          <w:color w:val="auto"/>
          <w:sz w:val="32"/>
          <w:szCs w:val="32"/>
          <w:highlight w:val="none"/>
          <w:lang w:val="en-US" w:eastAsia="zh-CN"/>
        </w:rPr>
        <w:t>区</w:t>
      </w:r>
      <w:r>
        <w:rPr>
          <w:rFonts w:hint="eastAsia" w:ascii="仿宋_GB2312" w:eastAsia="仿宋_GB2312"/>
          <w:color w:val="auto"/>
          <w:sz w:val="32"/>
          <w:szCs w:val="32"/>
          <w:highlight w:val="none"/>
        </w:rPr>
        <w:t>与</w:t>
      </w:r>
      <w:r>
        <w:rPr>
          <w:rFonts w:hint="eastAsia" w:ascii="仿宋_GB2312" w:eastAsia="仿宋_GB2312"/>
          <w:color w:val="auto"/>
          <w:sz w:val="32"/>
          <w:szCs w:val="32"/>
          <w:highlight w:val="none"/>
          <w:lang w:val="en-US" w:eastAsia="zh-CN"/>
        </w:rPr>
        <w:t>功能提升</w:t>
      </w:r>
      <w:r>
        <w:rPr>
          <w:rFonts w:hint="eastAsia" w:ascii="仿宋_GB2312" w:eastAsia="仿宋_GB2312"/>
          <w:color w:val="auto"/>
          <w:sz w:val="32"/>
          <w:szCs w:val="32"/>
          <w:highlight w:val="none"/>
        </w:rPr>
        <w:t>更新</w:t>
      </w:r>
      <w:r>
        <w:rPr>
          <w:rFonts w:hint="eastAsia" w:ascii="仿宋_GB2312" w:eastAsia="仿宋_GB2312"/>
          <w:color w:val="auto"/>
          <w:sz w:val="32"/>
          <w:szCs w:val="32"/>
          <w:highlight w:val="none"/>
          <w:lang w:val="en-US" w:eastAsia="zh-CN"/>
        </w:rPr>
        <w:t>区</w:t>
      </w:r>
      <w:r>
        <w:rPr>
          <w:rFonts w:hint="eastAsia" w:ascii="仿宋_GB2312" w:eastAsia="仿宋_GB2312"/>
          <w:color w:val="auto"/>
          <w:sz w:val="32"/>
          <w:szCs w:val="32"/>
          <w:highlight w:val="none"/>
        </w:rPr>
        <w:t>。规划功能置换更新</w:t>
      </w:r>
      <w:r>
        <w:rPr>
          <w:rFonts w:hint="eastAsia" w:ascii="仿宋_GB2312" w:eastAsia="仿宋_GB2312"/>
          <w:color w:val="auto"/>
          <w:sz w:val="32"/>
          <w:szCs w:val="32"/>
          <w:highlight w:val="none"/>
          <w:lang w:val="en-US" w:eastAsia="zh-CN"/>
        </w:rPr>
        <w:t>区</w:t>
      </w:r>
      <w:r>
        <w:rPr>
          <w:rFonts w:hint="eastAsia" w:ascii="仿宋_GB2312" w:eastAsia="仿宋_GB2312"/>
          <w:color w:val="auto"/>
          <w:sz w:val="32"/>
          <w:szCs w:val="32"/>
          <w:highlight w:val="none"/>
        </w:rPr>
        <w:t>规模</w:t>
      </w:r>
      <w:r>
        <w:rPr>
          <w:rFonts w:ascii="仿宋_GB2312" w:eastAsia="仿宋_GB2312"/>
          <w:color w:val="auto"/>
          <w:sz w:val="32"/>
          <w:szCs w:val="32"/>
          <w:highlight w:val="none"/>
        </w:rPr>
        <w:t>29.32</w:t>
      </w:r>
      <w:r>
        <w:rPr>
          <w:rFonts w:hint="eastAsia" w:ascii="仿宋_GB2312" w:eastAsia="仿宋_GB2312"/>
          <w:color w:val="auto"/>
          <w:sz w:val="32"/>
          <w:szCs w:val="32"/>
          <w:highlight w:val="none"/>
        </w:rPr>
        <w:t>公顷。对此类更新区域，首先根据城市发展需要，改变原规划用地性质，调整原规划给定的建设控制指标，对原有设施进行拆迁后重新进行开发建设。规划低效利用更新</w:t>
      </w:r>
      <w:r>
        <w:rPr>
          <w:rFonts w:hint="eastAsia" w:ascii="仿宋_GB2312" w:eastAsia="仿宋_GB2312"/>
          <w:color w:val="auto"/>
          <w:sz w:val="32"/>
          <w:szCs w:val="32"/>
          <w:highlight w:val="none"/>
          <w:lang w:val="en-US" w:eastAsia="zh-CN"/>
        </w:rPr>
        <w:t>区</w:t>
      </w:r>
      <w:r>
        <w:rPr>
          <w:rFonts w:hint="eastAsia" w:ascii="仿宋_GB2312" w:eastAsia="仿宋_GB2312"/>
          <w:color w:val="auto"/>
          <w:sz w:val="32"/>
          <w:szCs w:val="32"/>
          <w:highlight w:val="none"/>
        </w:rPr>
        <w:t>规模</w:t>
      </w:r>
      <w:r>
        <w:rPr>
          <w:rFonts w:ascii="仿宋_GB2312" w:eastAsia="仿宋_GB2312"/>
          <w:color w:val="auto"/>
          <w:sz w:val="32"/>
          <w:szCs w:val="32"/>
          <w:highlight w:val="none"/>
        </w:rPr>
        <w:t>23.08</w:t>
      </w:r>
      <w:r>
        <w:rPr>
          <w:rFonts w:hint="eastAsia" w:ascii="仿宋_GB2312" w:eastAsia="仿宋_GB2312"/>
          <w:color w:val="auto"/>
          <w:sz w:val="32"/>
          <w:szCs w:val="32"/>
          <w:highlight w:val="none"/>
        </w:rPr>
        <w:t>公顷。对此类更新区域，在延续原规划用地性质的情况下，调整原规划给定的建设控制指标，重新进行开发建设。规划</w:t>
      </w:r>
      <w:r>
        <w:rPr>
          <w:rFonts w:hint="eastAsia" w:ascii="仿宋_GB2312" w:eastAsia="仿宋_GB2312"/>
          <w:color w:val="auto"/>
          <w:sz w:val="32"/>
          <w:szCs w:val="32"/>
          <w:highlight w:val="none"/>
          <w:lang w:val="en-US" w:eastAsia="zh-CN"/>
        </w:rPr>
        <w:t>功能提升</w:t>
      </w:r>
      <w:r>
        <w:rPr>
          <w:rFonts w:hint="eastAsia" w:ascii="仿宋_GB2312" w:eastAsia="仿宋_GB2312"/>
          <w:color w:val="auto"/>
          <w:sz w:val="32"/>
          <w:szCs w:val="32"/>
          <w:highlight w:val="none"/>
        </w:rPr>
        <w:t>更新</w:t>
      </w:r>
      <w:r>
        <w:rPr>
          <w:rFonts w:hint="eastAsia" w:ascii="仿宋_GB2312" w:eastAsia="仿宋_GB2312"/>
          <w:color w:val="auto"/>
          <w:sz w:val="32"/>
          <w:szCs w:val="32"/>
          <w:highlight w:val="none"/>
          <w:lang w:val="en-US" w:eastAsia="zh-CN"/>
        </w:rPr>
        <w:t>区</w:t>
      </w:r>
      <w:r>
        <w:rPr>
          <w:rFonts w:hint="eastAsia" w:ascii="仿宋_GB2312" w:eastAsia="仿宋_GB2312"/>
          <w:color w:val="auto"/>
          <w:sz w:val="32"/>
          <w:szCs w:val="32"/>
          <w:highlight w:val="none"/>
        </w:rPr>
        <w:t>规模18.</w:t>
      </w:r>
      <w:r>
        <w:rPr>
          <w:rFonts w:ascii="仿宋_GB2312" w:eastAsia="仿宋_GB2312"/>
          <w:color w:val="auto"/>
          <w:sz w:val="32"/>
          <w:szCs w:val="32"/>
          <w:highlight w:val="none"/>
        </w:rPr>
        <w:t>19</w:t>
      </w:r>
      <w:r>
        <w:rPr>
          <w:rFonts w:hint="eastAsia" w:ascii="仿宋_GB2312" w:eastAsia="仿宋_GB2312"/>
          <w:color w:val="auto"/>
          <w:sz w:val="32"/>
          <w:szCs w:val="32"/>
          <w:highlight w:val="none"/>
        </w:rPr>
        <w:t>公顷。对此类更新区域，延续原规划用地性质和建设控制指标，仅对区域风貌环境景观进行整治提升，局部功能进行补充完善转化。对位于城镇开发边界外但与城区关系密切的重要区域和空间节点，如盐边县烈士陵园、桐子林火车站等进行相应的功能维护和环境整治提升。</w:t>
      </w:r>
    </w:p>
    <w:p w14:paraId="49550611">
      <w:pPr>
        <w:pStyle w:val="8"/>
        <w:keepNext/>
        <w:keepLines/>
        <w:numPr>
          <w:ilvl w:val="0"/>
          <w:numId w:val="26"/>
        </w:numPr>
        <w:adjustRightInd/>
        <w:snapToGrid/>
        <w:ind w:left="0"/>
        <w:jc w:val="center"/>
        <w:rPr>
          <w:rFonts w:ascii="仿宋_GB2312" w:hAnsi="Calibri" w:eastAsia="仿宋_GB2312"/>
          <w:b/>
          <w:bCs/>
          <w:color w:val="auto"/>
          <w:highlight w:val="none"/>
        </w:rPr>
      </w:pPr>
      <w:bookmarkStart w:id="169" w:name="_Toc15428"/>
      <w:r>
        <w:rPr>
          <w:rFonts w:hint="eastAsia" w:ascii="仿宋_GB2312" w:hAnsi="Calibri" w:eastAsia="仿宋_GB2312"/>
          <w:b/>
          <w:bCs/>
          <w:color w:val="auto"/>
          <w:highlight w:val="none"/>
        </w:rPr>
        <w:t>景观风貌</w:t>
      </w:r>
      <w:bookmarkEnd w:id="169"/>
    </w:p>
    <w:p w14:paraId="10671092">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营建城市特色风貌</w:t>
      </w:r>
    </w:p>
    <w:p w14:paraId="1D60E525">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城区特色风貌定位</w:t>
      </w:r>
      <w:r>
        <w:rPr>
          <w:rFonts w:hint="eastAsia" w:ascii="仿宋_GB2312" w:eastAsia="仿宋_GB2312"/>
          <w:color w:val="auto"/>
          <w:sz w:val="32"/>
          <w:szCs w:val="32"/>
          <w:highlight w:val="none"/>
        </w:rPr>
        <w:t>。根据盐边县总体山水格局、民族特色和历史文化底蕴，结合盐边县中心城区未来功能定位和发展方向，确定城区特色风貌定位为：“阳光山水、大笮风情、活力康养”。</w:t>
      </w:r>
    </w:p>
    <w:p w14:paraId="39A24F14">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城区特色风貌策略。</w:t>
      </w:r>
      <w:r>
        <w:rPr>
          <w:rFonts w:hint="eastAsia" w:ascii="仿宋_GB2312" w:eastAsia="仿宋_GB2312"/>
          <w:color w:val="auto"/>
          <w:sz w:val="32"/>
          <w:szCs w:val="32"/>
          <w:highlight w:val="none"/>
        </w:rPr>
        <w:t>按照“南开红格、北振渔门、</w:t>
      </w:r>
      <w:r>
        <w:rPr>
          <w:rFonts w:hint="eastAsia" w:ascii="仿宋_GB2312" w:hAnsi="仿宋_GB2312" w:eastAsia="仿宋_GB2312" w:cs="仿宋_GB2312"/>
          <w:color w:val="auto"/>
          <w:sz w:val="32"/>
          <w:szCs w:val="32"/>
          <w:highlight w:val="none"/>
        </w:rPr>
        <w:t>做靓县城</w:t>
      </w:r>
      <w:r>
        <w:rPr>
          <w:rFonts w:hint="eastAsia" w:ascii="仿宋_GB2312" w:eastAsia="仿宋_GB2312"/>
          <w:color w:val="auto"/>
          <w:sz w:val="32"/>
          <w:szCs w:val="32"/>
          <w:highlight w:val="none"/>
        </w:rPr>
        <w:t>”的总体策略，通过塑造中心城区的山水景观格局补充生态旅游元素，提高中心城区的空间特色和生态品质；通过挖掘展示彝族、傈僳族、苗族等少数民族元素，彰显历史文化底蕴和地域特色；通过强化活力康养风貌主题，吸引度假观光人群，丰富康养度假体验。</w:t>
      </w:r>
    </w:p>
    <w:p w14:paraId="132F5D58">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整体风貌景观结构。</w:t>
      </w:r>
      <w:r>
        <w:rPr>
          <w:rFonts w:hint="eastAsia" w:ascii="仿宋_GB2312" w:eastAsia="仿宋_GB2312"/>
          <w:color w:val="auto"/>
          <w:sz w:val="32"/>
          <w:szCs w:val="32"/>
          <w:highlight w:val="none"/>
        </w:rPr>
        <w:t>基于城市本身与周边山水格局、城市绿地开敞空间、城市标志性景观节点三方面空间层次，形成“一轴、三区、多点”的景观结构。</w:t>
      </w:r>
    </w:p>
    <w:p w14:paraId="453167CF">
      <w:pPr>
        <w:spacing w:line="600" w:lineRule="exact"/>
        <w:ind w:firstLine="640"/>
        <w:rPr>
          <w:rFonts w:ascii="仿宋_GB2312" w:eastAsia="仿宋_GB2312"/>
          <w:bCs/>
          <w:color w:val="auto"/>
          <w:sz w:val="32"/>
          <w:szCs w:val="32"/>
          <w:highlight w:val="none"/>
        </w:rPr>
      </w:pPr>
      <w:r>
        <w:rPr>
          <w:rFonts w:hint="eastAsia" w:ascii="仿宋_GB2312" w:eastAsia="仿宋_GB2312"/>
          <w:bCs/>
          <w:color w:val="auto"/>
          <w:sz w:val="32"/>
          <w:szCs w:val="32"/>
          <w:highlight w:val="none"/>
          <w:lang w:eastAsia="zh-CN"/>
        </w:rPr>
        <w:t>“</w:t>
      </w:r>
      <w:r>
        <w:rPr>
          <w:rFonts w:hint="eastAsia" w:ascii="仿宋_GB2312" w:eastAsia="仿宋_GB2312"/>
          <w:bCs/>
          <w:color w:val="auto"/>
          <w:sz w:val="32"/>
          <w:szCs w:val="32"/>
          <w:highlight w:val="none"/>
        </w:rPr>
        <w:t>一轴</w:t>
      </w:r>
      <w:r>
        <w:rPr>
          <w:rFonts w:hint="eastAsia" w:ascii="仿宋_GB2312" w:eastAsia="仿宋_GB2312"/>
          <w:bCs/>
          <w:color w:val="auto"/>
          <w:sz w:val="32"/>
          <w:szCs w:val="32"/>
          <w:highlight w:val="none"/>
          <w:lang w:eastAsia="zh-CN"/>
        </w:rPr>
        <w:t>”</w:t>
      </w:r>
      <w:r>
        <w:rPr>
          <w:rFonts w:hint="eastAsia" w:ascii="仿宋_GB2312" w:eastAsia="仿宋_GB2312"/>
          <w:bCs/>
          <w:color w:val="auto"/>
          <w:sz w:val="32"/>
          <w:szCs w:val="32"/>
          <w:highlight w:val="none"/>
        </w:rPr>
        <w:t>：大笮文化风貌轴，以西城街、东城街为空间载体，在建筑与环境中，融入带有傈僳族、彝族传统风格的色彩元素，形成城市历史文化中心轴景观界面，体现大笮文化之根、文化之源，凸显城市历史人文形象。</w:t>
      </w:r>
    </w:p>
    <w:p w14:paraId="28696D01">
      <w:pPr>
        <w:spacing w:line="600" w:lineRule="exact"/>
        <w:ind w:firstLine="640"/>
        <w:rPr>
          <w:rFonts w:ascii="仿宋_GB2312" w:eastAsia="仿宋_GB2312"/>
          <w:bCs/>
          <w:color w:val="auto"/>
          <w:sz w:val="32"/>
          <w:szCs w:val="32"/>
          <w:highlight w:val="none"/>
        </w:rPr>
      </w:pPr>
      <w:r>
        <w:rPr>
          <w:rFonts w:hint="eastAsia" w:ascii="仿宋_GB2312" w:eastAsia="仿宋_GB2312"/>
          <w:bCs/>
          <w:color w:val="auto"/>
          <w:sz w:val="32"/>
          <w:szCs w:val="32"/>
          <w:highlight w:val="none"/>
          <w:lang w:eastAsia="zh-CN"/>
        </w:rPr>
        <w:t>“</w:t>
      </w:r>
      <w:r>
        <w:rPr>
          <w:rFonts w:hint="eastAsia" w:ascii="仿宋_GB2312" w:eastAsia="仿宋_GB2312"/>
          <w:bCs/>
          <w:color w:val="auto"/>
          <w:sz w:val="32"/>
          <w:szCs w:val="32"/>
          <w:highlight w:val="none"/>
        </w:rPr>
        <w:t>三区</w:t>
      </w:r>
      <w:r>
        <w:rPr>
          <w:rFonts w:hint="eastAsia" w:ascii="仿宋_GB2312" w:eastAsia="仿宋_GB2312"/>
          <w:bCs/>
          <w:color w:val="auto"/>
          <w:sz w:val="32"/>
          <w:szCs w:val="32"/>
          <w:highlight w:val="none"/>
          <w:lang w:eastAsia="zh-CN"/>
        </w:rPr>
        <w:t>”</w:t>
      </w:r>
      <w:r>
        <w:rPr>
          <w:rFonts w:hint="eastAsia" w:ascii="仿宋_GB2312" w:eastAsia="仿宋_GB2312"/>
          <w:bCs/>
          <w:color w:val="auto"/>
          <w:sz w:val="32"/>
          <w:szCs w:val="32"/>
          <w:highlight w:val="none"/>
        </w:rPr>
        <w:t>：北部现代办公风貌区、中部大笮文化风貌区和南部生态低碳风貌区。按照分区的功能性质、环境特征控制引导建筑与景观风貌。北部现代办公风貌区以现代办公建筑风格和现代景观风格体现高效简洁的公共机构形象；中部大笮文化风貌区以传统建筑风格色彩元素，体现地域特色，形成历史人文氛围；南部生态低碳风貌区以生态低碳科技要素体现新时代的人居环境形象。</w:t>
      </w:r>
    </w:p>
    <w:p w14:paraId="64F9B9AE">
      <w:pPr>
        <w:spacing w:line="600" w:lineRule="exact"/>
        <w:ind w:firstLine="640"/>
        <w:rPr>
          <w:rFonts w:ascii="仿宋_GB2312" w:eastAsia="仿宋_GB2312"/>
          <w:bCs/>
          <w:color w:val="auto"/>
          <w:sz w:val="32"/>
          <w:szCs w:val="32"/>
          <w:highlight w:val="none"/>
        </w:rPr>
      </w:pPr>
      <w:r>
        <w:rPr>
          <w:rFonts w:hint="eastAsia" w:ascii="仿宋_GB2312" w:eastAsia="仿宋_GB2312"/>
          <w:bCs/>
          <w:color w:val="auto"/>
          <w:sz w:val="32"/>
          <w:szCs w:val="32"/>
          <w:highlight w:val="none"/>
          <w:lang w:eastAsia="zh-CN"/>
        </w:rPr>
        <w:t>“</w:t>
      </w:r>
      <w:r>
        <w:rPr>
          <w:rFonts w:hint="eastAsia" w:ascii="仿宋_GB2312" w:eastAsia="仿宋_GB2312"/>
          <w:bCs/>
          <w:color w:val="auto"/>
          <w:sz w:val="32"/>
          <w:szCs w:val="32"/>
          <w:highlight w:val="none"/>
        </w:rPr>
        <w:t>多点</w:t>
      </w:r>
      <w:r>
        <w:rPr>
          <w:rFonts w:hint="eastAsia" w:ascii="仿宋_GB2312" w:eastAsia="仿宋_GB2312"/>
          <w:bCs/>
          <w:color w:val="auto"/>
          <w:sz w:val="32"/>
          <w:szCs w:val="32"/>
          <w:highlight w:val="none"/>
          <w:lang w:eastAsia="zh-CN"/>
        </w:rPr>
        <w:t>”</w:t>
      </w:r>
      <w:r>
        <w:rPr>
          <w:rFonts w:hint="eastAsia" w:ascii="仿宋_GB2312" w:eastAsia="仿宋_GB2312"/>
          <w:bCs/>
          <w:color w:val="auto"/>
          <w:sz w:val="32"/>
          <w:szCs w:val="32"/>
          <w:highlight w:val="none"/>
        </w:rPr>
        <w:t>：若干城市门户风貌节点和城市标志风貌节点。</w:t>
      </w:r>
    </w:p>
    <w:p w14:paraId="1A4C851A">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70" w:name="_Toc9363"/>
      <w:bookmarkStart w:id="171" w:name="_Toc20504"/>
      <w:bookmarkStart w:id="172" w:name="_Toc124195952"/>
      <w:bookmarkStart w:id="173" w:name="_Toc132447839"/>
      <w:r>
        <w:rPr>
          <w:rFonts w:hint="eastAsia" w:ascii="黑体" w:hAnsi="黑体" w:eastAsia="黑体" w:cstheme="majorBidi"/>
          <w:bCs/>
          <w:color w:val="auto"/>
          <w:sz w:val="32"/>
          <w:szCs w:val="32"/>
          <w:highlight w:val="none"/>
        </w:rPr>
        <w:t>地下空间</w:t>
      </w:r>
      <w:bookmarkEnd w:id="170"/>
      <w:bookmarkEnd w:id="171"/>
      <w:bookmarkEnd w:id="172"/>
      <w:bookmarkEnd w:id="173"/>
    </w:p>
    <w:p w14:paraId="2801E3A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构建城市地下空间体系</w:t>
      </w:r>
    </w:p>
    <w:p w14:paraId="5295C7DC">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统筹协调城市地下空间与商业、交通、市政和人防等系统关系，有效提高城市空间利用效率，完善城市结构与功能。地下空间开发遵循整体规划、综合利用、分层开发、分步实施、统筹建设的原则。结合山地地形特征，以道路下方和非道路下方0</w:t>
      </w:r>
      <w:r>
        <w:rPr>
          <w:rFonts w:hint="eastAsia" w:ascii="仿宋_GB2312" w:hAnsi="微软雅黑" w:eastAsia="仿宋_GB2312"/>
          <w:color w:val="auto"/>
          <w:sz w:val="32"/>
          <w:szCs w:val="32"/>
          <w:highlight w:val="none"/>
          <w:shd w:val="clear" w:color="auto" w:fill="FFFFFF"/>
        </w:rPr>
        <w:t>～</w:t>
      </w:r>
      <w:r>
        <w:rPr>
          <w:rFonts w:hint="eastAsia" w:ascii="仿宋_GB2312" w:eastAsia="仿宋_GB2312"/>
          <w:color w:val="auto"/>
          <w:sz w:val="32"/>
          <w:szCs w:val="32"/>
          <w:highlight w:val="none"/>
        </w:rPr>
        <w:t>15米空间划定地下空间。道路下方以市政管线、地下人行通道为主；非道路下方主要布局地上功能的延伸功能，包括商业、文化娱乐等公共活动与公共服务设施、停车库、交通枢纽设施；同时兼具人防工程、物流仓储等设施及能源储藏等公共基础设施的预留空间。</w:t>
      </w:r>
    </w:p>
    <w:p w14:paraId="40D4B64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地下空间开发区域</w:t>
      </w:r>
    </w:p>
    <w:p w14:paraId="1EAB454E">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地下空间重点利用区：包括东城街一带、七一公园、月潭公园。鼓励停车、人防设施、地下仓储等混合功能的综合开发。</w:t>
      </w:r>
    </w:p>
    <w:p w14:paraId="56ADB148">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地下空间一般利用区：主要为普通居住区和商业服务区。地下空间以配建功能为主，包括地下停车、地下市政设施。</w:t>
      </w:r>
    </w:p>
    <w:p w14:paraId="3664D8E5">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地下空间禁止建设区：指历史文化核心保护范围内及因地质等自然条件不宜进行地下开发建设的区域。盐边县中心城区暂不涉及该类区域。</w:t>
      </w:r>
    </w:p>
    <w:p w14:paraId="678DAA3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地下空间设施安排</w:t>
      </w:r>
    </w:p>
    <w:p w14:paraId="53234A65">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地下交通系统：地下停车场结合人防工程、各类建筑和广场绿地的地下空间进行建设，平时作为城市地面停车的必要补充，战时作为防空专业队车辆掩蔽或物资库等。</w:t>
      </w:r>
    </w:p>
    <w:p w14:paraId="6381691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地下防空防灾设施：利用地下空间的防灾特性、资源潜力，建设系统化、现代化的地下防灾体系，包括人防空间、储藏空间、地下避难场所等。</w:t>
      </w:r>
    </w:p>
    <w:p w14:paraId="7E713E8B">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74" w:name="_Toc132447840"/>
      <w:bookmarkStart w:id="175" w:name="_Toc124195953"/>
      <w:bookmarkStart w:id="176" w:name="_Toc24525"/>
      <w:bookmarkStart w:id="177" w:name="_Toc824"/>
      <w:bookmarkStart w:id="178" w:name="_Toc491944180"/>
      <w:r>
        <w:rPr>
          <w:rFonts w:hint="eastAsia" w:ascii="黑体" w:hAnsi="黑体" w:eastAsia="黑体" w:cstheme="majorBidi"/>
          <w:bCs/>
          <w:color w:val="auto"/>
          <w:sz w:val="32"/>
          <w:szCs w:val="32"/>
          <w:highlight w:val="none"/>
        </w:rPr>
        <w:t>交通</w:t>
      </w:r>
      <w:bookmarkEnd w:id="174"/>
      <w:bookmarkEnd w:id="175"/>
      <w:r>
        <w:rPr>
          <w:rFonts w:hint="eastAsia" w:ascii="黑体" w:hAnsi="黑体" w:eastAsia="黑体" w:cstheme="majorBidi"/>
          <w:bCs/>
          <w:color w:val="auto"/>
          <w:sz w:val="32"/>
          <w:szCs w:val="32"/>
          <w:highlight w:val="none"/>
        </w:rPr>
        <w:t>体系</w:t>
      </w:r>
      <w:bookmarkEnd w:id="176"/>
      <w:bookmarkEnd w:id="177"/>
    </w:p>
    <w:p w14:paraId="3DBFD3A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明确中心城区道路交通发展目标与策略</w:t>
      </w:r>
    </w:p>
    <w:p w14:paraId="55289D1D">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发展目标</w:t>
      </w:r>
      <w:r>
        <w:rPr>
          <w:rFonts w:hint="eastAsia" w:ascii="仿宋_GB2312" w:eastAsia="仿宋_GB2312"/>
          <w:color w:val="auto"/>
          <w:sz w:val="32"/>
          <w:szCs w:val="32"/>
          <w:highlight w:val="none"/>
        </w:rPr>
        <w:t>：构建布局合理、功能清晰、高效畅达的城市道路交通体系，实现道路交通与城市用地、空间结构有机协调，引导城市空间有序</w:t>
      </w:r>
      <w:r>
        <w:rPr>
          <w:rFonts w:hint="eastAsia" w:ascii="仿宋_GB2312" w:eastAsia="仿宋_GB2312"/>
          <w:color w:val="auto"/>
          <w:sz w:val="32"/>
          <w:szCs w:val="32"/>
          <w:highlight w:val="none"/>
          <w:lang w:val="en-US" w:eastAsia="zh-CN"/>
        </w:rPr>
        <w:t>扩</w:t>
      </w:r>
      <w:r>
        <w:rPr>
          <w:rFonts w:hint="eastAsia" w:ascii="仿宋_GB2312" w:eastAsia="仿宋_GB2312"/>
          <w:color w:val="auto"/>
          <w:sz w:val="32"/>
          <w:szCs w:val="32"/>
          <w:highlight w:val="none"/>
        </w:rPr>
        <w:t>展，支撑产业布局和城市发展。至2035年，城区内慢行出行分担率不低于40%，公交出行分担率不低于20%。</w:t>
      </w:r>
    </w:p>
    <w:p w14:paraId="0922AAA7">
      <w:pPr>
        <w:spacing w:line="600" w:lineRule="exact"/>
        <w:ind w:firstLine="641"/>
        <w:rPr>
          <w:rFonts w:ascii="仿宋_GB2312" w:eastAsia="仿宋_GB2312"/>
          <w:color w:val="auto"/>
          <w:sz w:val="32"/>
          <w:szCs w:val="32"/>
          <w:highlight w:val="none"/>
        </w:rPr>
      </w:pPr>
      <w:r>
        <w:rPr>
          <w:rFonts w:hint="eastAsia" w:ascii="仿宋_GB2312" w:eastAsia="仿宋_GB2312"/>
          <w:b/>
          <w:bCs/>
          <w:color w:val="auto"/>
          <w:sz w:val="32"/>
          <w:szCs w:val="32"/>
          <w:highlight w:val="none"/>
        </w:rPr>
        <w:t>发展策略</w:t>
      </w:r>
      <w:r>
        <w:rPr>
          <w:rFonts w:hint="eastAsia" w:ascii="仿宋_GB2312" w:eastAsia="仿宋_GB2312"/>
          <w:color w:val="auto"/>
          <w:sz w:val="32"/>
          <w:szCs w:val="32"/>
          <w:highlight w:val="none"/>
        </w:rPr>
        <w:t>：大力发展公共交通，引导绿色交通出行，构筑高效集散、畅达便捷、绿色智能的现代化综合交通运输体系，支撑与引导城市空间发展，重点落实“窄马路、密路网”的规划理念，以骨架道路为重点，以次干路、支路为支撑，以“街”“巷”为补充，打造以慢行为主导、公交优先的“绿色、畅通、便民”城市道路网新体系。</w:t>
      </w:r>
    </w:p>
    <w:p w14:paraId="1C2F28F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城区对外交通</w:t>
      </w:r>
    </w:p>
    <w:p w14:paraId="4E3721AF">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lang w:val="en-US" w:eastAsia="zh-CN"/>
        </w:rPr>
        <w:t>铁路主要依托</w:t>
      </w:r>
      <w:r>
        <w:rPr>
          <w:rFonts w:hint="eastAsia" w:ascii="仿宋_GB2312" w:eastAsia="仿宋_GB2312"/>
          <w:color w:val="auto"/>
          <w:sz w:val="32"/>
          <w:szCs w:val="32"/>
          <w:highlight w:val="none"/>
        </w:rPr>
        <w:t>现状成昆铁路</w:t>
      </w:r>
      <w:r>
        <w:rPr>
          <w:rFonts w:hint="eastAsia" w:ascii="仿宋_GB2312" w:eastAsia="仿宋_GB2312"/>
          <w:color w:val="auto"/>
          <w:sz w:val="32"/>
          <w:szCs w:val="32"/>
          <w:highlight w:val="none"/>
          <w:lang w:eastAsia="zh-CN"/>
        </w:rPr>
        <w:t>和</w:t>
      </w:r>
      <w:r>
        <w:rPr>
          <w:rFonts w:hint="eastAsia" w:ascii="仿宋_GB2312" w:eastAsia="仿宋_GB2312"/>
          <w:color w:val="auto"/>
          <w:sz w:val="32"/>
          <w:szCs w:val="32"/>
          <w:highlight w:val="none"/>
        </w:rPr>
        <w:t>成昆铁路新线</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实现对外联系</w:t>
      </w:r>
      <w:r>
        <w:rPr>
          <w:rFonts w:hint="eastAsia" w:ascii="仿宋_GB2312" w:eastAsia="仿宋_GB2312"/>
          <w:color w:val="auto"/>
          <w:sz w:val="32"/>
          <w:szCs w:val="32"/>
          <w:highlight w:val="none"/>
          <w:lang w:eastAsia="zh-CN"/>
        </w:rPr>
        <w:t>。</w:t>
      </w:r>
      <w:bookmarkStart w:id="179" w:name="_Hlk130670443"/>
      <w:r>
        <w:rPr>
          <w:rFonts w:hint="eastAsia" w:ascii="仿宋_GB2312" w:eastAsia="仿宋_GB2312"/>
          <w:color w:val="auto"/>
          <w:sz w:val="32"/>
          <w:szCs w:val="32"/>
          <w:highlight w:val="none"/>
          <w:lang w:val="en-US" w:eastAsia="zh-CN"/>
        </w:rPr>
        <w:t>高速公路主要</w:t>
      </w:r>
      <w:r>
        <w:rPr>
          <w:rFonts w:hint="eastAsia" w:ascii="仿宋_GB2312" w:eastAsia="仿宋_GB2312"/>
          <w:color w:val="auto"/>
          <w:sz w:val="32"/>
          <w:szCs w:val="32"/>
          <w:highlight w:val="none"/>
        </w:rPr>
        <w:t>依托现状</w:t>
      </w:r>
      <w:r>
        <w:rPr>
          <w:rFonts w:hint="eastAsia" w:ascii="仿宋_GB2312" w:eastAsia="仿宋_GB2312"/>
          <w:color w:val="auto"/>
          <w:sz w:val="32"/>
          <w:szCs w:val="32"/>
          <w:highlight w:val="none"/>
          <w:lang w:eastAsia="zh-CN"/>
        </w:rPr>
        <w:t>京昆高速</w:t>
      </w:r>
      <w:r>
        <w:rPr>
          <w:rFonts w:hint="eastAsia" w:ascii="仿宋_GB2312" w:eastAsia="仿宋_GB2312"/>
          <w:color w:val="auto"/>
          <w:sz w:val="32"/>
          <w:szCs w:val="32"/>
          <w:highlight w:val="none"/>
        </w:rPr>
        <w:t>，规划新增攀枝花绕城高速。城区对外公路形成“四射一纵”的结构，其中“四射”为西环南路、西环北路、东环北路、G4216连接线；“一纵”为国道G2</w:t>
      </w:r>
      <w:r>
        <w:rPr>
          <w:rFonts w:ascii="仿宋_GB2312" w:eastAsia="仿宋_GB2312"/>
          <w:color w:val="auto"/>
          <w:sz w:val="32"/>
          <w:szCs w:val="32"/>
          <w:highlight w:val="none"/>
        </w:rPr>
        <w:t>2</w:t>
      </w:r>
      <w:r>
        <w:rPr>
          <w:rFonts w:hint="eastAsia" w:ascii="仿宋_GB2312" w:eastAsia="仿宋_GB2312"/>
          <w:color w:val="auto"/>
          <w:sz w:val="32"/>
          <w:szCs w:val="32"/>
          <w:highlight w:val="none"/>
        </w:rPr>
        <w:t>7。</w:t>
      </w:r>
    </w:p>
    <w:bookmarkEnd w:id="179"/>
    <w:p w14:paraId="74BC005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城区道路网布局</w:t>
      </w:r>
    </w:p>
    <w:p w14:paraId="0B87F08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规划城区道路系统由</w:t>
      </w:r>
      <w:r>
        <w:rPr>
          <w:rFonts w:hint="eastAsia" w:eastAsia="仿宋_GB2312" w:cs="Calibri"/>
          <w:color w:val="auto"/>
          <w:sz w:val="32"/>
          <w:szCs w:val="32"/>
          <w:highlight w:val="none"/>
        </w:rPr>
        <w:t>主</w:t>
      </w:r>
      <w:r>
        <w:rPr>
          <w:rFonts w:hint="eastAsia" w:ascii="仿宋_GB2312" w:eastAsia="仿宋_GB2312"/>
          <w:color w:val="auto"/>
          <w:sz w:val="32"/>
          <w:szCs w:val="32"/>
          <w:highlight w:val="none"/>
        </w:rPr>
        <w:t>干路、次干路、支路三级组成。形成“两横两纵”的结构形式。落实“小街区规制”，加密支路网，结合城市单元形成多个功能街区，丰富支路网功能。</w:t>
      </w:r>
    </w:p>
    <w:p w14:paraId="13B6BB22">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构建城区公共交通</w:t>
      </w:r>
    </w:p>
    <w:p w14:paraId="2D55CE0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针对不同层次的公交需求，以常规公交为主体、辅助公交为补充，改善交通供需状况和结构，提高公交服务水平，增强公交吸引力。规划依托西环路和东环路作为主要的公交廊道，形成多条公交线路，满足市民绿色出行需求。发展出租车数量，完善出租车场站设施，形成更适合盐边县的公交出行方式。</w:t>
      </w:r>
    </w:p>
    <w:p w14:paraId="121A880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bookmarkStart w:id="180" w:name="_Hlk130677121"/>
      <w:r>
        <w:rPr>
          <w:rFonts w:hint="eastAsia" w:ascii="仿宋_GB2312" w:hAnsi="Times New Roman" w:eastAsia="仿宋_GB2312"/>
          <w:b/>
          <w:bCs/>
          <w:color w:val="auto"/>
          <w:sz w:val="32"/>
          <w:szCs w:val="28"/>
          <w:highlight w:val="none"/>
        </w:rPr>
        <w:t>客运场站</w:t>
      </w:r>
      <w:bookmarkEnd w:id="180"/>
      <w:r>
        <w:rPr>
          <w:rFonts w:hint="eastAsia" w:ascii="仿宋_GB2312" w:hAnsi="Times New Roman" w:eastAsia="仿宋_GB2312"/>
          <w:b/>
          <w:bCs/>
          <w:color w:val="auto"/>
          <w:sz w:val="32"/>
          <w:szCs w:val="28"/>
          <w:highlight w:val="none"/>
        </w:rPr>
        <w:t>布局</w:t>
      </w:r>
    </w:p>
    <w:p w14:paraId="23D4F884">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城区布局</w:t>
      </w:r>
      <w:bookmarkStart w:id="181" w:name="_Hlk130677193"/>
      <w:r>
        <w:rPr>
          <w:rFonts w:hint="eastAsia" w:ascii="仿宋_GB2312" w:eastAsia="仿宋_GB2312"/>
          <w:color w:val="auto"/>
          <w:sz w:val="32"/>
          <w:szCs w:val="32"/>
          <w:highlight w:val="none"/>
        </w:rPr>
        <w:t>客运场站</w:t>
      </w:r>
      <w:bookmarkEnd w:id="181"/>
      <w:r>
        <w:rPr>
          <w:rFonts w:ascii="仿宋_GB2312" w:eastAsia="仿宋_GB2312"/>
          <w:color w:val="auto"/>
          <w:sz w:val="32"/>
          <w:szCs w:val="32"/>
          <w:highlight w:val="none"/>
        </w:rPr>
        <w:t>1</w:t>
      </w:r>
      <w:r>
        <w:rPr>
          <w:rFonts w:hint="eastAsia" w:ascii="仿宋_GB2312" w:eastAsia="仿宋_GB2312"/>
          <w:color w:val="auto"/>
          <w:sz w:val="32"/>
          <w:szCs w:val="32"/>
          <w:highlight w:val="none"/>
        </w:rPr>
        <w:t>处，面积</w:t>
      </w:r>
      <w:r>
        <w:rPr>
          <w:rFonts w:ascii="仿宋_GB2312" w:eastAsia="仿宋_GB2312"/>
          <w:color w:val="auto"/>
          <w:sz w:val="32"/>
          <w:szCs w:val="32"/>
          <w:highlight w:val="none"/>
        </w:rPr>
        <w:t>1.</w:t>
      </w:r>
      <w:r>
        <w:rPr>
          <w:rFonts w:hint="eastAsia" w:ascii="仿宋_GB2312" w:eastAsia="仿宋_GB2312"/>
          <w:color w:val="auto"/>
          <w:sz w:val="32"/>
          <w:szCs w:val="32"/>
          <w:highlight w:val="none"/>
        </w:rPr>
        <w:t>83公顷，公交停保站合设。</w:t>
      </w:r>
    </w:p>
    <w:p w14:paraId="6FE9EB71">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构建城区慢行系统</w:t>
      </w:r>
    </w:p>
    <w:p w14:paraId="5D0A3FB1">
      <w:pPr>
        <w:spacing w:line="600" w:lineRule="exact"/>
        <w:ind w:firstLine="600"/>
        <w:rPr>
          <w:rFonts w:ascii="仿宋_GB2312" w:eastAsia="仿宋_GB2312"/>
          <w:color w:val="auto"/>
          <w:sz w:val="32"/>
          <w:szCs w:val="32"/>
          <w:highlight w:val="none"/>
        </w:rPr>
      </w:pPr>
      <w:r>
        <w:rPr>
          <w:rFonts w:hint="eastAsia" w:ascii="仿宋_GB2312" w:eastAsia="仿宋_GB2312"/>
          <w:color w:val="auto"/>
          <w:sz w:val="32"/>
          <w:szCs w:val="32"/>
          <w:highlight w:val="none"/>
        </w:rPr>
        <w:t>构建安全、便捷、舒适、高品质的慢行交通系统。以城市东环路、西环路为主体，结合人行道形成中心城区主要慢行廊道。利用坡道、梯道、旋转楼梯、架空桥梁等多种形式解决地形高差问题，山脊登山健身步道与人行道形成良好衔接，形成多元绿道体系，优化出行结构，提高慢行交通分担率，建设生态宜居的花园县城。</w:t>
      </w:r>
    </w:p>
    <w:p w14:paraId="5DC757B0">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发展城区智慧交通</w:t>
      </w:r>
    </w:p>
    <w:p w14:paraId="5A8AFDDF">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广泛应用交通新科技，以信息化为依托，交通体系发展环节和服务领域实现信息化，交通运输与设施运行管理实现智能化，全面提高盐边县交通规划、设计、建设、管理和服务等方面的效率和科学性。</w:t>
      </w:r>
    </w:p>
    <w:p w14:paraId="1FD2C93B">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82" w:name="_Toc31668"/>
      <w:bookmarkStart w:id="183" w:name="_Toc124195954"/>
      <w:bookmarkStart w:id="184" w:name="_Toc132447841"/>
      <w:bookmarkStart w:id="185" w:name="_Toc18638"/>
      <w:r>
        <w:rPr>
          <w:rFonts w:hint="eastAsia" w:ascii="黑体" w:hAnsi="黑体" w:eastAsia="黑体" w:cstheme="majorBidi"/>
          <w:bCs/>
          <w:color w:val="auto"/>
          <w:sz w:val="32"/>
          <w:szCs w:val="32"/>
          <w:highlight w:val="none"/>
        </w:rPr>
        <w:t>市政设施</w:t>
      </w:r>
      <w:bookmarkEnd w:id="182"/>
      <w:bookmarkEnd w:id="183"/>
      <w:bookmarkEnd w:id="184"/>
      <w:bookmarkEnd w:id="185"/>
    </w:p>
    <w:p w14:paraId="21F552EB">
      <w:pPr>
        <w:pStyle w:val="8"/>
        <w:keepNext/>
        <w:keepLines/>
        <w:numPr>
          <w:ilvl w:val="0"/>
          <w:numId w:val="27"/>
        </w:numPr>
        <w:adjustRightInd/>
        <w:snapToGrid/>
        <w:ind w:left="0"/>
        <w:jc w:val="center"/>
        <w:rPr>
          <w:rFonts w:ascii="仿宋_GB2312" w:hAnsi="Calibri" w:eastAsia="仿宋_GB2312"/>
          <w:b/>
          <w:bCs/>
          <w:color w:val="auto"/>
          <w:highlight w:val="none"/>
        </w:rPr>
      </w:pPr>
      <w:bookmarkStart w:id="186" w:name="_Toc922"/>
      <w:r>
        <w:rPr>
          <w:rFonts w:hint="eastAsia" w:ascii="仿宋_GB2312" w:hAnsi="Calibri" w:eastAsia="仿宋_GB2312"/>
          <w:b/>
          <w:bCs/>
          <w:color w:val="auto"/>
          <w:highlight w:val="none"/>
        </w:rPr>
        <w:t>给水排水设施</w:t>
      </w:r>
      <w:bookmarkEnd w:id="186"/>
    </w:p>
    <w:p w14:paraId="4D63C8D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优化供水设施</w:t>
      </w:r>
    </w:p>
    <w:p w14:paraId="020A8493">
      <w:pPr>
        <w:spacing w:line="600" w:lineRule="exact"/>
        <w:ind w:firstLine="641"/>
        <w:rPr>
          <w:rFonts w:hint="eastAsia"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中心城区现状</w:t>
      </w:r>
      <w:r>
        <w:rPr>
          <w:rFonts w:hint="eastAsia" w:ascii="仿宋_GB2312" w:hAnsi="Times New Roman" w:eastAsia="仿宋_GB2312" w:cs="Times New Roman"/>
          <w:bCs/>
          <w:color w:val="auto"/>
          <w:sz w:val="32"/>
          <w:szCs w:val="32"/>
          <w:highlight w:val="none"/>
          <w:lang w:val="en-US" w:eastAsia="zh-CN"/>
        </w:rPr>
        <w:t>以</w:t>
      </w:r>
      <w:r>
        <w:rPr>
          <w:rFonts w:hint="eastAsia" w:ascii="仿宋_GB2312" w:hAnsi="Times New Roman" w:eastAsia="仿宋_GB2312" w:cs="Times New Roman"/>
          <w:bCs/>
          <w:color w:val="auto"/>
          <w:sz w:val="32"/>
          <w:szCs w:val="32"/>
          <w:highlight w:val="none"/>
        </w:rPr>
        <w:t>雅砻江为供水水源，远期以沙坝水库作为备用水源，同时利用再生水为城市杂用水水源。</w:t>
      </w:r>
    </w:p>
    <w:p w14:paraId="466FC187">
      <w:pPr>
        <w:spacing w:line="600" w:lineRule="exact"/>
        <w:ind w:firstLine="641"/>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保留中心城区现状水厂，远期供水规模达到设计供水规模1.2万</w:t>
      </w:r>
      <w:r>
        <w:rPr>
          <w:rFonts w:hint="eastAsia" w:ascii="仿宋_GB2312" w:hAnsi="宋体" w:eastAsia="仿宋_GB2312"/>
          <w:color w:val="auto"/>
          <w:sz w:val="32"/>
          <w:szCs w:val="32"/>
          <w:highlight w:val="none"/>
          <w:lang w:eastAsia="zh-CN"/>
        </w:rPr>
        <w:t>立方米/天</w:t>
      </w:r>
      <w:r>
        <w:rPr>
          <w:rFonts w:hint="eastAsia" w:ascii="仿宋_GB2312" w:hAnsi="Times New Roman" w:eastAsia="仿宋_GB2312" w:cs="Times New Roman"/>
          <w:bCs/>
          <w:color w:val="auto"/>
          <w:sz w:val="32"/>
          <w:szCs w:val="32"/>
          <w:highlight w:val="none"/>
        </w:rPr>
        <w:t>；</w:t>
      </w:r>
      <w:r>
        <w:rPr>
          <w:rFonts w:hint="eastAsia" w:ascii="仿宋_GB2312" w:hAnsi="宋体" w:eastAsia="仿宋_GB2312"/>
          <w:color w:val="auto"/>
          <w:sz w:val="32"/>
          <w:szCs w:val="32"/>
          <w:highlight w:val="none"/>
        </w:rPr>
        <w:t>水厂厂区周围应设置宽度不小于10米的绿化带。</w:t>
      </w:r>
      <w:r>
        <w:rPr>
          <w:rFonts w:hint="eastAsia" w:ascii="仿宋_GB2312" w:hAnsi="Times New Roman" w:eastAsia="仿宋_GB2312" w:cs="Times New Roman"/>
          <w:bCs/>
          <w:color w:val="auto"/>
          <w:sz w:val="32"/>
          <w:szCs w:val="32"/>
          <w:highlight w:val="none"/>
        </w:rPr>
        <w:t>规划扩建现状1000立方米</w:t>
      </w:r>
      <w:r>
        <w:rPr>
          <w:rFonts w:hint="eastAsia" w:ascii="仿宋_GB2312" w:hAnsi="仿宋_GB2312" w:eastAsia="仿宋_GB2312" w:cs="仿宋_GB2312"/>
          <w:bCs/>
          <w:color w:val="auto"/>
          <w:sz w:val="32"/>
          <w:szCs w:val="32"/>
          <w:highlight w:val="none"/>
        </w:rPr>
        <w:t>高位水池至</w:t>
      </w:r>
      <w:r>
        <w:rPr>
          <w:rFonts w:hint="eastAsia" w:ascii="仿宋_GB2312" w:hAnsi="Times New Roman" w:eastAsia="仿宋_GB2312" w:cs="Times New Roman"/>
          <w:bCs/>
          <w:color w:val="auto"/>
          <w:sz w:val="32"/>
          <w:szCs w:val="32"/>
          <w:highlight w:val="none"/>
        </w:rPr>
        <w:t>2000立方米</w:t>
      </w:r>
      <w:r>
        <w:rPr>
          <w:rFonts w:hint="eastAsia" w:ascii="仿宋_GB2312" w:hAnsi="仿宋_GB2312" w:eastAsia="仿宋_GB2312" w:cs="仿宋_GB2312"/>
          <w:bCs/>
          <w:color w:val="auto"/>
          <w:sz w:val="32"/>
          <w:szCs w:val="32"/>
          <w:highlight w:val="none"/>
        </w:rPr>
        <w:t>，高位水池外新建给水加压泵站，规模</w:t>
      </w:r>
      <w:r>
        <w:rPr>
          <w:rFonts w:hint="eastAsia" w:ascii="仿宋_GB2312" w:hAnsi="Times New Roman" w:eastAsia="仿宋_GB2312" w:cs="Times New Roman"/>
          <w:bCs/>
          <w:color w:val="auto"/>
          <w:sz w:val="32"/>
          <w:szCs w:val="32"/>
          <w:highlight w:val="none"/>
        </w:rPr>
        <w:t>100m</w:t>
      </w:r>
      <w:r>
        <w:rPr>
          <w:rFonts w:hint="eastAsia" w:ascii="仿宋_GB2312" w:hAnsi="Times New Roman" w:eastAsia="仿宋_GB2312" w:cs="Times New Roman"/>
          <w:bCs/>
          <w:color w:val="auto"/>
          <w:sz w:val="32"/>
          <w:szCs w:val="32"/>
          <w:highlight w:val="none"/>
          <w:vertAlign w:val="superscript"/>
        </w:rPr>
        <w:t>3</w:t>
      </w:r>
      <w:r>
        <w:rPr>
          <w:rFonts w:hint="eastAsia" w:ascii="仿宋_GB2312" w:hAnsi="Times New Roman" w:eastAsia="仿宋_GB2312" w:cs="Times New Roman"/>
          <w:bCs/>
          <w:color w:val="auto"/>
          <w:sz w:val="32"/>
          <w:szCs w:val="32"/>
          <w:highlight w:val="none"/>
        </w:rPr>
        <w:t>/h，扬程为50米。</w:t>
      </w:r>
    </w:p>
    <w:p w14:paraId="775A083C">
      <w:pPr>
        <w:spacing w:line="600" w:lineRule="exact"/>
        <w:ind w:firstLine="641"/>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给水干管沿市政道路成环布置，水厂规划两条进水主管为高位水池供水，高位水池和加压泵站规划两条供水管分别与低区和高区给水环网连接。</w:t>
      </w:r>
    </w:p>
    <w:p w14:paraId="024AD8E4">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优化排水设施</w:t>
      </w:r>
    </w:p>
    <w:p w14:paraId="04FAD6D0">
      <w:pPr>
        <w:spacing w:line="600" w:lineRule="exact"/>
        <w:ind w:firstLine="640"/>
        <w:rPr>
          <w:rFonts w:ascii="仿宋_GB2312" w:hAnsi="Times New Roman" w:eastAsia="仿宋_GB2312" w:cs="Times New Roman"/>
          <w:bCs/>
          <w:color w:val="auto"/>
          <w:sz w:val="32"/>
          <w:szCs w:val="32"/>
          <w:highlight w:val="none"/>
          <w:u w:val="none"/>
        </w:rPr>
      </w:pPr>
      <w:r>
        <w:rPr>
          <w:rFonts w:hint="eastAsia" w:ascii="仿宋_GB2312" w:hAnsi="Times New Roman" w:eastAsia="仿宋_GB2312" w:cs="Times New Roman"/>
          <w:bCs/>
          <w:color w:val="auto"/>
          <w:sz w:val="32"/>
          <w:szCs w:val="32"/>
          <w:highlight w:val="none"/>
          <w:u w:val="none"/>
        </w:rPr>
        <w:t>中心城区排水体制采用雨污分流制。</w:t>
      </w:r>
    </w:p>
    <w:p w14:paraId="01661883">
      <w:pPr>
        <w:spacing w:line="600" w:lineRule="exact"/>
        <w:ind w:firstLine="640"/>
        <w:rPr>
          <w:rFonts w:ascii="仿宋_GB2312" w:hAnsi="Times New Roman" w:eastAsia="仿宋_GB2312" w:cs="Times New Roman"/>
          <w:bCs/>
          <w:color w:val="auto"/>
          <w:sz w:val="32"/>
          <w:szCs w:val="32"/>
          <w:highlight w:val="none"/>
          <w:u w:val="single"/>
        </w:rPr>
      </w:pPr>
      <w:r>
        <w:rPr>
          <w:rFonts w:hint="eastAsia" w:ascii="仿宋_GB2312" w:hAnsi="Times New Roman" w:eastAsia="仿宋_GB2312" w:cs="Times New Roman"/>
          <w:bCs/>
          <w:color w:val="auto"/>
          <w:sz w:val="32"/>
          <w:szCs w:val="32"/>
          <w:highlight w:val="none"/>
        </w:rPr>
        <w:t>中心城区保留现状城西污水处理厂，污水处理厂规模1.0万</w:t>
      </w:r>
      <w:r>
        <w:rPr>
          <w:rFonts w:hint="eastAsia" w:ascii="仿宋_GB2312" w:hAnsi="宋体" w:eastAsia="仿宋_GB2312"/>
          <w:color w:val="auto"/>
          <w:sz w:val="32"/>
          <w:szCs w:val="32"/>
          <w:highlight w:val="none"/>
          <w:lang w:eastAsia="zh-CN"/>
        </w:rPr>
        <w:t>立方米/天</w:t>
      </w:r>
      <w:r>
        <w:rPr>
          <w:rFonts w:hint="eastAsia" w:ascii="仿宋_GB2312" w:hAnsi="Times New Roman" w:eastAsia="仿宋_GB2312" w:cs="Times New Roman"/>
          <w:bCs/>
          <w:color w:val="auto"/>
          <w:sz w:val="32"/>
          <w:szCs w:val="32"/>
          <w:highlight w:val="none"/>
        </w:rPr>
        <w:t>。同时在污水处理厂北侧规划新建再生水厂，规模为3000</w:t>
      </w:r>
      <w:r>
        <w:rPr>
          <w:rFonts w:hint="eastAsia" w:ascii="仿宋_GB2312" w:hAnsi="宋体" w:eastAsia="仿宋_GB2312"/>
          <w:color w:val="auto"/>
          <w:sz w:val="32"/>
          <w:szCs w:val="32"/>
          <w:highlight w:val="none"/>
          <w:lang w:eastAsia="zh-CN"/>
        </w:rPr>
        <w:t>立方米/天</w:t>
      </w:r>
      <w:r>
        <w:rPr>
          <w:rFonts w:hint="eastAsia" w:ascii="仿宋_GB2312" w:hAnsi="Times New Roman" w:eastAsia="仿宋_GB2312" w:cs="Times New Roman"/>
          <w:bCs/>
          <w:color w:val="auto"/>
          <w:sz w:val="32"/>
          <w:szCs w:val="32"/>
          <w:highlight w:val="none"/>
        </w:rPr>
        <w:t>。污水系统结合地形分为3个排水分区，</w:t>
      </w:r>
      <w:r>
        <w:rPr>
          <w:rFonts w:hint="eastAsia" w:ascii="仿宋_GB2312" w:hAnsi="Times New Roman" w:eastAsia="仿宋_GB2312" w:cs="Times New Roman"/>
          <w:bCs/>
          <w:color w:val="auto"/>
          <w:sz w:val="32"/>
          <w:szCs w:val="32"/>
          <w:highlight w:val="none"/>
          <w:lang w:val="en-US" w:eastAsia="zh-CN"/>
        </w:rPr>
        <w:t>规划新建2座</w:t>
      </w:r>
      <w:r>
        <w:rPr>
          <w:rFonts w:hint="eastAsia" w:ascii="仿宋_GB2312" w:hAnsi="Times New Roman" w:eastAsia="仿宋_GB2312" w:cs="Times New Roman"/>
          <w:bCs/>
          <w:color w:val="auto"/>
          <w:sz w:val="32"/>
          <w:szCs w:val="32"/>
          <w:highlight w:val="none"/>
        </w:rPr>
        <w:t>污水提升泵站，</w:t>
      </w:r>
      <w:r>
        <w:rPr>
          <w:rFonts w:hint="eastAsia" w:ascii="仿宋_GB2312" w:hAnsi="Times New Roman" w:eastAsia="仿宋_GB2312" w:cs="Times New Roman"/>
          <w:bCs/>
          <w:color w:val="auto"/>
          <w:sz w:val="32"/>
          <w:szCs w:val="32"/>
          <w:highlight w:val="none"/>
          <w:lang w:val="en-US" w:eastAsia="zh-CN"/>
        </w:rPr>
        <w:t>保留2号污水泵站，规划1号污水泵站近期保留，远期废止。</w:t>
      </w:r>
      <w:r>
        <w:rPr>
          <w:rFonts w:hint="eastAsia" w:ascii="仿宋_GB2312" w:hAnsi="Times New Roman" w:eastAsia="仿宋_GB2312" w:cs="Times New Roman"/>
          <w:bCs/>
          <w:color w:val="auto"/>
          <w:sz w:val="32"/>
          <w:szCs w:val="32"/>
          <w:highlight w:val="none"/>
        </w:rPr>
        <w:t>污水管道沿道路顺坡布置，汇集至污水泵站或污水干管。</w:t>
      </w:r>
      <w:r>
        <w:rPr>
          <w:rFonts w:hint="eastAsia" w:ascii="仿宋_GB2312" w:hAnsi="Times New Roman" w:eastAsia="仿宋_GB2312" w:cs="Times New Roman"/>
          <w:bCs/>
          <w:color w:val="auto"/>
          <w:sz w:val="32"/>
          <w:szCs w:val="32"/>
          <w:highlight w:val="none"/>
          <w:u w:val="single"/>
        </w:rPr>
        <w:t>排入城市污水管网的各类污废水必须满足《污水排入城镇下水道水质标准》（GB/T31962—2015）。</w:t>
      </w:r>
      <w:r>
        <w:rPr>
          <w:rFonts w:hint="eastAsia" w:ascii="仿宋_GB2312" w:hAnsi="Times New Roman" w:eastAsia="仿宋_GB2312" w:cs="Times New Roman"/>
          <w:bCs/>
          <w:color w:val="auto"/>
          <w:sz w:val="32"/>
          <w:szCs w:val="32"/>
          <w:highlight w:val="none"/>
        </w:rPr>
        <w:t>污水处理厂卫生防护距离以项目环境影响评价为准，卫生防护距离内宜种植高大乔木，不得安排住宅、学校、医院等敏感性用途的建设用地。污水处理设施的布局应合理利用地下空间及绿化设置，消除邻避效应，提升环境品质。</w:t>
      </w:r>
    </w:p>
    <w:p w14:paraId="26E97636">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城区内一般地区雨水设计重现期取2</w:t>
      </w:r>
      <w:r>
        <w:rPr>
          <w:rFonts w:hint="eastAsia" w:ascii="仿宋_GB2312" w:hAnsi="微软雅黑" w:eastAsia="仿宋_GB2312"/>
          <w:color w:val="auto"/>
          <w:sz w:val="32"/>
          <w:szCs w:val="32"/>
          <w:highlight w:val="none"/>
          <w:shd w:val="clear" w:color="auto" w:fill="FFFFFF"/>
        </w:rPr>
        <w:t>～</w:t>
      </w:r>
      <w:r>
        <w:rPr>
          <w:rFonts w:hint="eastAsia" w:ascii="仿宋_GB2312" w:hAnsi="Times New Roman" w:eastAsia="仿宋_GB2312" w:cs="Times New Roman"/>
          <w:bCs/>
          <w:color w:val="auto"/>
          <w:sz w:val="32"/>
          <w:szCs w:val="32"/>
          <w:highlight w:val="none"/>
        </w:rPr>
        <w:t>3年，重要地区取3</w:t>
      </w:r>
      <w:r>
        <w:rPr>
          <w:rFonts w:hint="eastAsia" w:ascii="仿宋_GB2312" w:hAnsi="微软雅黑" w:eastAsia="仿宋_GB2312"/>
          <w:color w:val="auto"/>
          <w:sz w:val="32"/>
          <w:szCs w:val="32"/>
          <w:highlight w:val="none"/>
          <w:shd w:val="clear" w:color="auto" w:fill="FFFFFF"/>
        </w:rPr>
        <w:t>～</w:t>
      </w:r>
      <w:r>
        <w:rPr>
          <w:rFonts w:hint="eastAsia" w:ascii="仿宋_GB2312" w:hAnsi="Times New Roman" w:eastAsia="仿宋_GB2312" w:cs="Times New Roman"/>
          <w:bCs/>
          <w:color w:val="auto"/>
          <w:sz w:val="32"/>
          <w:szCs w:val="32"/>
          <w:highlight w:val="none"/>
        </w:rPr>
        <w:t>5年，下沉式广场取20</w:t>
      </w:r>
      <w:r>
        <w:rPr>
          <w:rFonts w:hint="eastAsia" w:ascii="仿宋_GB2312" w:hAnsi="微软雅黑" w:eastAsia="仿宋_GB2312"/>
          <w:color w:val="auto"/>
          <w:sz w:val="32"/>
          <w:szCs w:val="32"/>
          <w:highlight w:val="none"/>
          <w:shd w:val="clear" w:color="auto" w:fill="FFFFFF"/>
        </w:rPr>
        <w:t>～</w:t>
      </w:r>
      <w:r>
        <w:rPr>
          <w:rFonts w:hint="eastAsia" w:ascii="仿宋_GB2312" w:hAnsi="Times New Roman" w:eastAsia="仿宋_GB2312" w:cs="Times New Roman"/>
          <w:bCs/>
          <w:color w:val="auto"/>
          <w:sz w:val="32"/>
          <w:szCs w:val="32"/>
          <w:highlight w:val="none"/>
        </w:rPr>
        <w:t>30年，中心城区内涝设计重现期为20年。雨水排水系统应与防涝排洪系统充分衔接，确保城区不受洪水威胁和避免形成倒灌，对内涝风险高的区域，宜设置涝水行泄通道，降低城区内涝风险。雨水系统结合地形分为</w:t>
      </w:r>
      <w:r>
        <w:rPr>
          <w:rFonts w:ascii="仿宋_GB2312" w:hAnsi="Times New Roman" w:eastAsia="仿宋_GB2312" w:cs="Times New Roman"/>
          <w:bCs/>
          <w:color w:val="auto"/>
          <w:sz w:val="32"/>
          <w:szCs w:val="32"/>
          <w:highlight w:val="none"/>
        </w:rPr>
        <w:t>2</w:t>
      </w:r>
      <w:r>
        <w:rPr>
          <w:rFonts w:hint="eastAsia" w:ascii="仿宋_GB2312" w:hAnsi="Times New Roman" w:eastAsia="仿宋_GB2312" w:cs="Times New Roman"/>
          <w:bCs/>
          <w:color w:val="auto"/>
          <w:sz w:val="32"/>
          <w:szCs w:val="32"/>
          <w:highlight w:val="none"/>
        </w:rPr>
        <w:t>个排水分区，雨水管道沿道路单侧顺坡布置，就近排入河流或管渠。下穿道路和低洼地段应设独立排水系统，严禁区外雨水汇入，并确保出口安全。</w:t>
      </w:r>
    </w:p>
    <w:p w14:paraId="42FAE832">
      <w:pPr>
        <w:pStyle w:val="8"/>
        <w:keepNext/>
        <w:keepLines/>
        <w:numPr>
          <w:ilvl w:val="0"/>
          <w:numId w:val="27"/>
        </w:numPr>
        <w:adjustRightInd/>
        <w:snapToGrid/>
        <w:ind w:left="0"/>
        <w:jc w:val="center"/>
        <w:rPr>
          <w:rFonts w:ascii="仿宋_GB2312" w:hAnsi="Calibri" w:eastAsia="仿宋_GB2312"/>
          <w:b/>
          <w:bCs/>
          <w:color w:val="auto"/>
          <w:highlight w:val="none"/>
        </w:rPr>
      </w:pPr>
      <w:bookmarkStart w:id="187" w:name="_Toc25356"/>
      <w:r>
        <w:rPr>
          <w:rFonts w:hint="eastAsia" w:ascii="仿宋_GB2312" w:hAnsi="Calibri" w:eastAsia="仿宋_GB2312"/>
          <w:b/>
          <w:bCs/>
          <w:color w:val="auto"/>
          <w:highlight w:val="none"/>
        </w:rPr>
        <w:t>燃气设施</w:t>
      </w:r>
      <w:bookmarkEnd w:id="187"/>
    </w:p>
    <w:p w14:paraId="2F54ACC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优化燃气设施</w:t>
      </w:r>
    </w:p>
    <w:p w14:paraId="13388A08">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中心城区气源来自攀枝花—米易燃气长输管线，自盐边钒钛产业</w:t>
      </w:r>
      <w:r>
        <w:rPr>
          <w:rFonts w:hint="eastAsia" w:eastAsia="仿宋_GB2312" w:cs="Calibri"/>
          <w:bCs/>
          <w:color w:val="auto"/>
          <w:sz w:val="32"/>
          <w:szCs w:val="32"/>
          <w:highlight w:val="none"/>
        </w:rPr>
        <w:t>开发</w:t>
      </w:r>
      <w:r>
        <w:rPr>
          <w:rFonts w:hint="eastAsia" w:ascii="仿宋_GB2312" w:hAnsi="Times New Roman" w:eastAsia="仿宋_GB2312" w:cs="Times New Roman"/>
          <w:bCs/>
          <w:color w:val="auto"/>
          <w:sz w:val="32"/>
          <w:szCs w:val="32"/>
          <w:highlight w:val="none"/>
        </w:rPr>
        <w:t>区配气站建次高压燃气管道至盐边配气站，为中心城区供气。</w:t>
      </w:r>
    </w:p>
    <w:p w14:paraId="11F618E9">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规划在中心城区西南新建配气站，规模为5万</w:t>
      </w:r>
      <w:r>
        <w:rPr>
          <w:rFonts w:hint="eastAsia" w:ascii="仿宋_GB2312" w:hAnsi="Times New Roman" w:eastAsia="仿宋_GB2312" w:cs="Times New Roman"/>
          <w:bCs/>
          <w:color w:val="auto"/>
          <w:sz w:val="32"/>
          <w:szCs w:val="32"/>
          <w:highlight w:val="none"/>
          <w:lang w:val="en-US" w:eastAsia="zh-CN"/>
        </w:rPr>
        <w:t>立方米/天</w:t>
      </w:r>
      <w:r>
        <w:rPr>
          <w:rFonts w:hint="eastAsia" w:ascii="仿宋_GB2312" w:hAnsi="Times New Roman" w:eastAsia="仿宋_GB2312" w:cs="Times New Roman"/>
          <w:bCs/>
          <w:color w:val="auto"/>
          <w:sz w:val="32"/>
          <w:szCs w:val="32"/>
          <w:highlight w:val="none"/>
        </w:rPr>
        <w:t>。</w:t>
      </w:r>
    </w:p>
    <w:p w14:paraId="692C85FF">
      <w:pPr>
        <w:spacing w:line="600" w:lineRule="exact"/>
        <w:ind w:firstLine="640"/>
        <w:rPr>
          <w:rFonts w:ascii="仿宋_GB2312" w:hAnsi="Times New Roman" w:eastAsia="仿宋_GB2312" w:cs="Times New Roman"/>
          <w:bCs/>
          <w:color w:val="auto"/>
          <w:sz w:val="32"/>
          <w:szCs w:val="32"/>
          <w:highlight w:val="none"/>
          <w:u w:val="single"/>
        </w:rPr>
      </w:pPr>
      <w:r>
        <w:rPr>
          <w:rFonts w:hint="eastAsia" w:ascii="仿宋_GB2312" w:hAnsi="Times New Roman" w:eastAsia="仿宋_GB2312" w:cs="Times New Roman"/>
          <w:bCs/>
          <w:color w:val="auto"/>
          <w:sz w:val="32"/>
          <w:szCs w:val="32"/>
          <w:highlight w:val="none"/>
          <w:u w:val="single"/>
        </w:rPr>
        <w:t>配气站与周围居住区、相邻厂矿企业、交通线等的间距，应满足《石油天然气工程设计防火规范》（GB 50183—2004）中石油天然气站场与周围居住区、相邻厂矿企业、交通线等的防火间距要求，储气罐与站外的建、构筑物的防火间距应符合现行国家标准《建筑设计防火规范》（GB 50016—2014）</w:t>
      </w:r>
      <w:r>
        <w:rPr>
          <w:rFonts w:hint="eastAsia" w:ascii="仿宋_GB2312" w:hAnsiTheme="minorEastAsia"/>
          <w:color w:val="auto"/>
          <w:sz w:val="32"/>
          <w:szCs w:val="32"/>
          <w:highlight w:val="none"/>
          <w:u w:val="single"/>
        </w:rPr>
        <w:t>（</w:t>
      </w:r>
      <w:r>
        <w:rPr>
          <w:rFonts w:hint="eastAsia" w:ascii="仿宋_GB2312" w:hAnsi="Times New Roman" w:eastAsia="仿宋_GB2312" w:cs="Times New Roman"/>
          <w:bCs/>
          <w:color w:val="auto"/>
          <w:sz w:val="32"/>
          <w:szCs w:val="32"/>
          <w:highlight w:val="none"/>
          <w:u w:val="single"/>
        </w:rPr>
        <w:t>2018年版）中可燃气体储罐与建筑物、储罐、堆场等的防火间距相关规定要求。站内各建构筑物之间以及与站外建构筑物之间的防火间距应符合现行国家标准《建筑设计防火规范》（GB 50016—2014）</w:t>
      </w:r>
      <w:r>
        <w:rPr>
          <w:rFonts w:hint="eastAsia" w:ascii="仿宋_GB2312" w:hAnsiTheme="minorEastAsia"/>
          <w:color w:val="auto"/>
          <w:sz w:val="32"/>
          <w:szCs w:val="32"/>
          <w:highlight w:val="none"/>
          <w:u w:val="single"/>
        </w:rPr>
        <w:t>（2018</w:t>
      </w:r>
      <w:r>
        <w:rPr>
          <w:rFonts w:hint="eastAsia" w:ascii="仿宋_GB2312" w:hAnsi="Times New Roman" w:eastAsia="仿宋_GB2312" w:cs="Times New Roman"/>
          <w:bCs/>
          <w:color w:val="auto"/>
          <w:sz w:val="32"/>
          <w:szCs w:val="32"/>
          <w:highlight w:val="none"/>
          <w:u w:val="single"/>
        </w:rPr>
        <w:t>年版）的有关规定。</w:t>
      </w:r>
    </w:p>
    <w:p w14:paraId="2C150529">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燃气输配系统采用次高压、中压两级压力供气系统。盐边钒钛产业</w:t>
      </w:r>
      <w:r>
        <w:rPr>
          <w:rFonts w:hint="eastAsia" w:eastAsia="仿宋_GB2312" w:cs="Calibri"/>
          <w:bCs/>
          <w:color w:val="auto"/>
          <w:sz w:val="32"/>
          <w:szCs w:val="32"/>
          <w:highlight w:val="none"/>
        </w:rPr>
        <w:t>开发</w:t>
      </w:r>
      <w:r>
        <w:rPr>
          <w:rFonts w:hint="eastAsia" w:ascii="仿宋_GB2312" w:hAnsi="Times New Roman" w:eastAsia="仿宋_GB2312" w:cs="Times New Roman"/>
          <w:bCs/>
          <w:color w:val="auto"/>
          <w:sz w:val="32"/>
          <w:szCs w:val="32"/>
          <w:highlight w:val="none"/>
        </w:rPr>
        <w:t>区至中心城区配气站输气采用次高压管道，设计供气压力为1.6</w:t>
      </w:r>
      <w:r>
        <w:rPr>
          <w:rFonts w:hint="eastAsia" w:ascii="仿宋_GB2312" w:hAnsi="Times New Roman" w:eastAsia="仿宋_GB2312" w:cs="Times New Roman"/>
          <w:bCs/>
          <w:color w:val="auto"/>
          <w:sz w:val="32"/>
          <w:szCs w:val="32"/>
          <w:highlight w:val="none"/>
          <w:lang w:val="en-US" w:eastAsia="zh-CN"/>
        </w:rPr>
        <w:t>兆帕</w:t>
      </w:r>
      <w:r>
        <w:rPr>
          <w:rFonts w:hint="eastAsia" w:ascii="仿宋_GB2312" w:hAnsi="Times New Roman" w:eastAsia="仿宋_GB2312" w:cs="Times New Roman"/>
          <w:bCs/>
          <w:color w:val="auto"/>
          <w:sz w:val="32"/>
          <w:szCs w:val="32"/>
          <w:highlight w:val="none"/>
        </w:rPr>
        <w:t>，城区配气管网采用中压A级管网系统，设计压力为0.4</w:t>
      </w:r>
      <w:r>
        <w:rPr>
          <w:rFonts w:hint="eastAsia" w:ascii="仿宋_GB2312" w:hAnsi="Times New Roman" w:eastAsia="仿宋_GB2312" w:cs="Times New Roman"/>
          <w:bCs/>
          <w:color w:val="auto"/>
          <w:sz w:val="32"/>
          <w:szCs w:val="32"/>
          <w:highlight w:val="none"/>
          <w:lang w:val="en-US" w:eastAsia="zh-CN"/>
        </w:rPr>
        <w:t>兆帕</w:t>
      </w:r>
      <w:r>
        <w:rPr>
          <w:rFonts w:hint="eastAsia" w:ascii="仿宋_GB2312" w:hAnsi="Times New Roman" w:eastAsia="仿宋_GB2312" w:cs="Times New Roman"/>
          <w:bCs/>
          <w:color w:val="auto"/>
          <w:sz w:val="32"/>
          <w:szCs w:val="32"/>
          <w:highlight w:val="none"/>
        </w:rPr>
        <w:t>，中压管道干管沿市政道路成环布置，燃气管道与其他地下工程管线的水平及垂直净距应满足《城镇燃气设计规范》（GB 50028—2006）（2020年版）及《城市工程管线综合规划规范》（GB 50289—2016）的相关要求。</w:t>
      </w:r>
    </w:p>
    <w:p w14:paraId="4F73BE67">
      <w:pPr>
        <w:pStyle w:val="8"/>
        <w:keepNext/>
        <w:keepLines/>
        <w:numPr>
          <w:ilvl w:val="0"/>
          <w:numId w:val="27"/>
        </w:numPr>
        <w:adjustRightInd/>
        <w:snapToGrid/>
        <w:ind w:left="0"/>
        <w:jc w:val="center"/>
        <w:rPr>
          <w:rFonts w:ascii="仿宋_GB2312" w:hAnsi="Calibri" w:eastAsia="仿宋_GB2312"/>
          <w:b/>
          <w:bCs/>
          <w:color w:val="auto"/>
          <w:highlight w:val="none"/>
        </w:rPr>
      </w:pPr>
      <w:bookmarkStart w:id="188" w:name="_Toc15800"/>
      <w:r>
        <w:rPr>
          <w:rFonts w:hint="eastAsia" w:ascii="仿宋_GB2312" w:hAnsi="Calibri" w:eastAsia="仿宋_GB2312"/>
          <w:b/>
          <w:bCs/>
          <w:color w:val="auto"/>
          <w:highlight w:val="none"/>
        </w:rPr>
        <w:t>电力设施</w:t>
      </w:r>
      <w:bookmarkEnd w:id="188"/>
    </w:p>
    <w:p w14:paraId="51E93CC7">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优化电力设施</w:t>
      </w:r>
    </w:p>
    <w:p w14:paraId="6BBCB0CD">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规划保留220</w:t>
      </w:r>
      <w:r>
        <w:rPr>
          <w:rFonts w:hint="eastAsia" w:ascii="仿宋_GB2312" w:hAnsi="Times New Roman" w:eastAsia="仿宋_GB2312" w:cs="Times New Roman"/>
          <w:bCs/>
          <w:color w:val="auto"/>
          <w:sz w:val="32"/>
          <w:szCs w:val="32"/>
          <w:highlight w:val="none"/>
          <w:lang w:eastAsia="zh-CN"/>
        </w:rPr>
        <w:t>千伏</w:t>
      </w:r>
      <w:r>
        <w:rPr>
          <w:rFonts w:hint="eastAsia" w:ascii="仿宋_GB2312" w:hAnsi="Times New Roman" w:eastAsia="仿宋_GB2312" w:cs="Times New Roman"/>
          <w:bCs/>
          <w:color w:val="auto"/>
          <w:sz w:val="32"/>
          <w:szCs w:val="32"/>
          <w:highlight w:val="none"/>
        </w:rPr>
        <w:t>桐子林变电站为盐边中心城区电源，主变容量2×150</w:t>
      </w:r>
      <w:r>
        <w:rPr>
          <w:rFonts w:hint="eastAsia" w:ascii="仿宋_GB2312" w:hAnsi="Times New Roman" w:eastAsia="仿宋_GB2312" w:cs="Times New Roman"/>
          <w:bCs/>
          <w:color w:val="auto"/>
          <w:sz w:val="32"/>
          <w:szCs w:val="32"/>
          <w:highlight w:val="none"/>
          <w:lang w:eastAsia="zh-CN"/>
        </w:rPr>
        <w:t>兆伏安</w:t>
      </w:r>
      <w:r>
        <w:rPr>
          <w:rFonts w:hint="eastAsia" w:ascii="仿宋_GB2312" w:hAnsi="Times New Roman" w:eastAsia="仿宋_GB2312" w:cs="Times New Roman"/>
          <w:bCs/>
          <w:color w:val="auto"/>
          <w:sz w:val="32"/>
          <w:szCs w:val="32"/>
          <w:highlight w:val="none"/>
        </w:rPr>
        <w:t>。</w:t>
      </w:r>
    </w:p>
    <w:p w14:paraId="453D9ED7">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规划保留110</w:t>
      </w:r>
      <w:r>
        <w:rPr>
          <w:rFonts w:hint="eastAsia" w:ascii="仿宋_GB2312" w:hAnsi="Times New Roman" w:eastAsia="仿宋_GB2312" w:cs="Times New Roman"/>
          <w:bCs/>
          <w:color w:val="auto"/>
          <w:sz w:val="32"/>
          <w:szCs w:val="32"/>
          <w:highlight w:val="none"/>
          <w:lang w:eastAsia="zh-CN"/>
        </w:rPr>
        <w:t>千伏</w:t>
      </w:r>
      <w:r>
        <w:rPr>
          <w:rFonts w:hint="eastAsia" w:ascii="仿宋_GB2312" w:hAnsi="Times New Roman" w:eastAsia="仿宋_GB2312" w:cs="Times New Roman"/>
          <w:bCs/>
          <w:color w:val="auto"/>
          <w:sz w:val="32"/>
          <w:szCs w:val="32"/>
          <w:highlight w:val="none"/>
        </w:rPr>
        <w:t>新城站，主变容量为2×50</w:t>
      </w:r>
      <w:r>
        <w:rPr>
          <w:rFonts w:hint="eastAsia" w:ascii="仿宋_GB2312" w:hAnsi="Times New Roman" w:eastAsia="仿宋_GB2312" w:cs="Times New Roman"/>
          <w:bCs/>
          <w:color w:val="auto"/>
          <w:sz w:val="32"/>
          <w:szCs w:val="32"/>
          <w:highlight w:val="none"/>
          <w:lang w:eastAsia="zh-CN"/>
        </w:rPr>
        <w:t>兆伏安</w:t>
      </w:r>
      <w:r>
        <w:rPr>
          <w:rFonts w:hint="eastAsia" w:ascii="仿宋_GB2312" w:hAnsi="Times New Roman" w:eastAsia="仿宋_GB2312" w:cs="Times New Roman"/>
          <w:bCs/>
          <w:color w:val="auto"/>
          <w:sz w:val="32"/>
          <w:szCs w:val="32"/>
          <w:highlight w:val="none"/>
        </w:rPr>
        <w:t>；保留35</w:t>
      </w:r>
      <w:r>
        <w:rPr>
          <w:rFonts w:hint="eastAsia" w:ascii="仿宋_GB2312" w:hAnsi="Times New Roman" w:eastAsia="仿宋_GB2312" w:cs="Times New Roman"/>
          <w:bCs/>
          <w:color w:val="auto"/>
          <w:sz w:val="32"/>
          <w:szCs w:val="32"/>
          <w:highlight w:val="none"/>
          <w:lang w:eastAsia="zh-CN"/>
        </w:rPr>
        <w:t>千伏</w:t>
      </w:r>
      <w:r>
        <w:rPr>
          <w:rFonts w:hint="eastAsia" w:ascii="仿宋_GB2312" w:hAnsi="Times New Roman" w:eastAsia="仿宋_GB2312" w:cs="Times New Roman"/>
          <w:bCs/>
          <w:color w:val="auto"/>
          <w:sz w:val="32"/>
          <w:szCs w:val="32"/>
          <w:highlight w:val="none"/>
        </w:rPr>
        <w:t>方家沟站，主变容量为2×2.5</w:t>
      </w:r>
      <w:r>
        <w:rPr>
          <w:rFonts w:hint="eastAsia" w:ascii="仿宋_GB2312" w:hAnsi="Times New Roman" w:eastAsia="仿宋_GB2312" w:cs="Times New Roman"/>
          <w:bCs/>
          <w:color w:val="auto"/>
          <w:sz w:val="32"/>
          <w:szCs w:val="32"/>
          <w:highlight w:val="none"/>
          <w:lang w:eastAsia="zh-CN"/>
        </w:rPr>
        <w:t>兆伏安</w:t>
      </w:r>
      <w:r>
        <w:rPr>
          <w:rFonts w:hint="eastAsia" w:ascii="仿宋_GB2312" w:hAnsi="Times New Roman" w:eastAsia="仿宋_GB2312" w:cs="Times New Roman"/>
          <w:bCs/>
          <w:color w:val="auto"/>
          <w:sz w:val="32"/>
          <w:szCs w:val="32"/>
          <w:highlight w:val="none"/>
        </w:rPr>
        <w:t>。</w:t>
      </w:r>
    </w:p>
    <w:p w14:paraId="1563E86E">
      <w:pPr>
        <w:spacing w:line="600" w:lineRule="exact"/>
        <w:ind w:firstLine="640"/>
        <w:rPr>
          <w:rFonts w:hint="eastAsia" w:ascii="仿宋_GB2312" w:hAnsi="Times New Roman" w:eastAsia="仿宋_GB2312" w:cs="Times New Roman"/>
          <w:bCs/>
          <w:color w:val="auto"/>
          <w:sz w:val="32"/>
          <w:szCs w:val="32"/>
          <w:highlight w:val="none"/>
        </w:rPr>
      </w:pPr>
      <w:r>
        <w:rPr>
          <w:rFonts w:hint="eastAsia" w:ascii="仿宋_GB2312" w:eastAsia="仿宋_GB2312"/>
          <w:color w:val="auto"/>
          <w:sz w:val="32"/>
          <w:szCs w:val="32"/>
          <w:highlight w:val="none"/>
        </w:rPr>
        <w:t>高压线走廊主要沿防护绿带敷设，走廊宽度按规范标准进行预控，</w:t>
      </w:r>
      <w:r>
        <w:rPr>
          <w:rFonts w:hint="eastAsia" w:ascii="仿宋_GB2312" w:eastAsia="仿宋_GB2312"/>
          <w:color w:val="auto"/>
          <w:sz w:val="32"/>
          <w:szCs w:val="32"/>
          <w:highlight w:val="none"/>
          <w:u w:val="single"/>
        </w:rPr>
        <w:t>单回通道控制宽度220</w:t>
      </w:r>
      <w:r>
        <w:rPr>
          <w:rFonts w:hint="eastAsia" w:ascii="仿宋_GB2312" w:eastAsia="仿宋_GB2312"/>
          <w:color w:val="auto"/>
          <w:sz w:val="32"/>
          <w:szCs w:val="32"/>
          <w:highlight w:val="none"/>
          <w:u w:val="single"/>
          <w:lang w:eastAsia="zh-CN"/>
        </w:rPr>
        <w:t>千伏</w:t>
      </w:r>
      <w:r>
        <w:rPr>
          <w:rFonts w:hint="eastAsia" w:ascii="仿宋_GB2312" w:eastAsia="仿宋_GB2312"/>
          <w:color w:val="auto"/>
          <w:sz w:val="32"/>
          <w:szCs w:val="32"/>
          <w:highlight w:val="none"/>
          <w:u w:val="single"/>
        </w:rPr>
        <w:t>为3</w:t>
      </w:r>
      <w:r>
        <w:rPr>
          <w:rFonts w:ascii="仿宋_GB2312" w:eastAsia="仿宋_GB2312"/>
          <w:color w:val="auto"/>
          <w:sz w:val="32"/>
          <w:szCs w:val="32"/>
          <w:highlight w:val="none"/>
          <w:u w:val="single"/>
        </w:rPr>
        <w:t>0</w:t>
      </w:r>
      <w:r>
        <w:rPr>
          <w:rFonts w:hint="eastAsia" w:ascii="仿宋_GB2312" w:eastAsia="仿宋_GB2312" w:cs="Calibri"/>
          <w:color w:val="auto"/>
          <w:sz w:val="32"/>
          <w:szCs w:val="32"/>
          <w:highlight w:val="none"/>
          <w:u w:val="single"/>
        </w:rPr>
        <w:t>～</w:t>
      </w:r>
      <w:r>
        <w:rPr>
          <w:rFonts w:hint="eastAsia" w:ascii="仿宋_GB2312" w:eastAsia="仿宋_GB2312"/>
          <w:color w:val="auto"/>
          <w:sz w:val="32"/>
          <w:szCs w:val="32"/>
          <w:highlight w:val="none"/>
          <w:u w:val="single"/>
        </w:rPr>
        <w:t>40米、110</w:t>
      </w:r>
      <w:r>
        <w:rPr>
          <w:rFonts w:hint="eastAsia" w:ascii="仿宋_GB2312" w:eastAsia="仿宋_GB2312"/>
          <w:color w:val="auto"/>
          <w:sz w:val="32"/>
          <w:szCs w:val="32"/>
          <w:highlight w:val="none"/>
          <w:u w:val="single"/>
          <w:lang w:eastAsia="zh-CN"/>
        </w:rPr>
        <w:t>千伏</w:t>
      </w:r>
      <w:r>
        <w:rPr>
          <w:rFonts w:hint="eastAsia" w:ascii="仿宋_GB2312" w:eastAsia="仿宋_GB2312"/>
          <w:color w:val="auto"/>
          <w:sz w:val="32"/>
          <w:szCs w:val="32"/>
          <w:highlight w:val="none"/>
          <w:u w:val="single"/>
        </w:rPr>
        <w:t>为</w:t>
      </w:r>
      <w:r>
        <w:rPr>
          <w:rFonts w:hint="eastAsia" w:ascii="仿宋_GB2312" w:eastAsia="仿宋_GB2312"/>
          <w:color w:val="auto"/>
          <w:sz w:val="32"/>
          <w:szCs w:val="32"/>
          <w:highlight w:val="none"/>
          <w:u w:val="single"/>
          <w:lang w:val="en-US" w:eastAsia="zh-CN"/>
        </w:rPr>
        <w:t>15</w:t>
      </w:r>
      <w:r>
        <w:rPr>
          <w:rFonts w:hint="eastAsia" w:ascii="仿宋_GB2312" w:eastAsia="仿宋_GB2312" w:cs="Calibri"/>
          <w:color w:val="auto"/>
          <w:sz w:val="32"/>
          <w:szCs w:val="32"/>
          <w:highlight w:val="none"/>
          <w:u w:val="single"/>
        </w:rPr>
        <w:t>～</w:t>
      </w:r>
      <w:r>
        <w:rPr>
          <w:rFonts w:hint="eastAsia" w:ascii="仿宋_GB2312" w:eastAsia="仿宋_GB2312"/>
          <w:color w:val="auto"/>
          <w:sz w:val="32"/>
          <w:szCs w:val="32"/>
          <w:highlight w:val="none"/>
          <w:u w:val="single"/>
        </w:rPr>
        <w:t>25米</w:t>
      </w:r>
      <w:r>
        <w:rPr>
          <w:rFonts w:hint="eastAsia" w:ascii="仿宋_GB2312" w:eastAsia="仿宋_GB2312"/>
          <w:color w:val="auto"/>
          <w:sz w:val="32"/>
          <w:szCs w:val="32"/>
          <w:highlight w:val="none"/>
          <w:u w:val="none"/>
        </w:rPr>
        <w:t>、</w:t>
      </w:r>
      <w:r>
        <w:rPr>
          <w:rFonts w:hint="eastAsia" w:ascii="仿宋_GB2312" w:eastAsia="仿宋_GB2312"/>
          <w:color w:val="auto"/>
          <w:sz w:val="32"/>
          <w:highlight w:val="none"/>
          <w:u w:val="none"/>
        </w:rPr>
        <w:t>35</w:t>
      </w:r>
      <w:r>
        <w:rPr>
          <w:rFonts w:hint="eastAsia" w:ascii="仿宋_GB2312" w:eastAsia="仿宋_GB2312"/>
          <w:color w:val="auto"/>
          <w:sz w:val="32"/>
          <w:highlight w:val="none"/>
          <w:u w:val="none"/>
          <w:lang w:eastAsia="zh-CN"/>
        </w:rPr>
        <w:t>千伏</w:t>
      </w:r>
      <w:r>
        <w:rPr>
          <w:rFonts w:hint="eastAsia" w:ascii="仿宋_GB2312" w:eastAsia="仿宋_GB2312"/>
          <w:color w:val="auto"/>
          <w:sz w:val="32"/>
          <w:szCs w:val="32"/>
          <w:highlight w:val="none"/>
          <w:u w:val="none"/>
        </w:rPr>
        <w:t>为</w:t>
      </w:r>
      <w:r>
        <w:rPr>
          <w:rFonts w:hint="eastAsia" w:ascii="仿宋_GB2312" w:eastAsia="仿宋_GB2312"/>
          <w:color w:val="auto"/>
          <w:sz w:val="32"/>
          <w:szCs w:val="32"/>
          <w:highlight w:val="none"/>
          <w:u w:val="none"/>
          <w:lang w:val="en-US" w:eastAsia="zh-CN"/>
        </w:rPr>
        <w:t>15</w:t>
      </w:r>
      <w:r>
        <w:rPr>
          <w:rFonts w:hint="eastAsia" w:ascii="仿宋_GB2312" w:eastAsia="仿宋_GB2312" w:cs="Calibri"/>
          <w:color w:val="auto"/>
          <w:sz w:val="32"/>
          <w:szCs w:val="32"/>
          <w:highlight w:val="none"/>
          <w:u w:val="none"/>
        </w:rPr>
        <w:t>～</w:t>
      </w:r>
      <w:r>
        <w:rPr>
          <w:rFonts w:hint="eastAsia" w:ascii="仿宋_GB2312" w:eastAsia="仿宋_GB2312"/>
          <w:color w:val="auto"/>
          <w:sz w:val="32"/>
          <w:szCs w:val="32"/>
          <w:highlight w:val="none"/>
          <w:u w:val="none"/>
        </w:rPr>
        <w:t>20米。</w:t>
      </w:r>
      <w:r>
        <w:rPr>
          <w:rFonts w:hint="eastAsia" w:ascii="仿宋_GB2312" w:eastAsia="仿宋_GB2312"/>
          <w:color w:val="auto"/>
          <w:sz w:val="32"/>
          <w:szCs w:val="32"/>
          <w:highlight w:val="none"/>
        </w:rPr>
        <w:t>穿越城区、分割城镇建设用地的现状高压线，应随着城市电力设施的更新改造和城市建设的需要，逐步进行搬迁改造或下地</w:t>
      </w:r>
      <w:r>
        <w:rPr>
          <w:rFonts w:hint="eastAsia" w:ascii="仿宋_GB2312" w:eastAsia="仿宋_GB2312"/>
          <w:color w:val="auto"/>
          <w:sz w:val="32"/>
          <w:szCs w:val="32"/>
          <w:highlight w:val="none"/>
          <w:lang w:eastAsia="zh-CN"/>
        </w:rPr>
        <w:t>。</w:t>
      </w:r>
    </w:p>
    <w:p w14:paraId="0FE7B913">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中心城区10</w:t>
      </w:r>
      <w:r>
        <w:rPr>
          <w:rFonts w:hint="eastAsia" w:ascii="仿宋_GB2312" w:hAnsi="Times New Roman" w:eastAsia="仿宋_GB2312" w:cs="Times New Roman"/>
          <w:bCs/>
          <w:color w:val="auto"/>
          <w:sz w:val="32"/>
          <w:szCs w:val="32"/>
          <w:highlight w:val="none"/>
          <w:lang w:eastAsia="zh-CN"/>
        </w:rPr>
        <w:t>千伏</w:t>
      </w:r>
      <w:r>
        <w:rPr>
          <w:rFonts w:hint="eastAsia" w:ascii="仿宋_GB2312" w:hAnsi="Times New Roman" w:eastAsia="仿宋_GB2312" w:cs="Times New Roman"/>
          <w:bCs/>
          <w:color w:val="auto"/>
          <w:sz w:val="32"/>
          <w:szCs w:val="32"/>
          <w:highlight w:val="none"/>
        </w:rPr>
        <w:t>及以下电力线路均采用电力电缆埋地敷设，现状架空线随城市建设及道路改造逐步改造下地。</w:t>
      </w:r>
    </w:p>
    <w:p w14:paraId="72D3E23B">
      <w:pPr>
        <w:pStyle w:val="8"/>
        <w:keepNext/>
        <w:keepLines/>
        <w:numPr>
          <w:ilvl w:val="0"/>
          <w:numId w:val="27"/>
        </w:numPr>
        <w:adjustRightInd/>
        <w:snapToGrid/>
        <w:ind w:left="0"/>
        <w:jc w:val="center"/>
        <w:rPr>
          <w:rFonts w:ascii="仿宋_GB2312" w:hAnsi="Calibri" w:eastAsia="仿宋_GB2312"/>
          <w:b/>
          <w:bCs/>
          <w:color w:val="auto"/>
          <w:highlight w:val="none"/>
        </w:rPr>
      </w:pPr>
      <w:bookmarkStart w:id="189" w:name="_Toc26462"/>
      <w:r>
        <w:rPr>
          <w:rFonts w:hint="eastAsia" w:ascii="仿宋_GB2312" w:hAnsi="Calibri" w:eastAsia="仿宋_GB2312"/>
          <w:b/>
          <w:bCs/>
          <w:color w:val="auto"/>
          <w:highlight w:val="none"/>
        </w:rPr>
        <w:t>通信设施</w:t>
      </w:r>
      <w:bookmarkEnd w:id="189"/>
    </w:p>
    <w:p w14:paraId="0087A1B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优化通信设施</w:t>
      </w:r>
    </w:p>
    <w:p w14:paraId="0242E698">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原址扩容现状电信综合局，交换机容量为12万门，占地0.30公顷。</w:t>
      </w:r>
    </w:p>
    <w:p w14:paraId="3A23799F">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规划保留现状邮政中心局、邮政支局及邮政所，并以租赁形式增加邮政代办点。</w:t>
      </w:r>
    </w:p>
    <w:p w14:paraId="0476647A">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中心城区通信管线统一规划、统一建设、统一管理，采用排管下地敷设，现状架空线路随城市建设及道路改造逐步改造下地。</w:t>
      </w:r>
    </w:p>
    <w:p w14:paraId="1456A8C9">
      <w:pPr>
        <w:pStyle w:val="8"/>
        <w:keepNext/>
        <w:keepLines/>
        <w:numPr>
          <w:ilvl w:val="0"/>
          <w:numId w:val="27"/>
        </w:numPr>
        <w:adjustRightInd/>
        <w:snapToGrid/>
        <w:ind w:left="0"/>
        <w:jc w:val="center"/>
        <w:rPr>
          <w:rFonts w:ascii="仿宋_GB2312" w:hAnsi="Calibri" w:eastAsia="仿宋_GB2312"/>
          <w:b/>
          <w:bCs/>
          <w:color w:val="auto"/>
          <w:highlight w:val="none"/>
        </w:rPr>
      </w:pPr>
      <w:bookmarkStart w:id="190" w:name="_Toc3929"/>
      <w:r>
        <w:rPr>
          <w:rFonts w:hint="eastAsia" w:ascii="仿宋_GB2312" w:hAnsi="Calibri" w:eastAsia="仿宋_GB2312"/>
          <w:b/>
          <w:bCs/>
          <w:color w:val="auto"/>
          <w:highlight w:val="none"/>
        </w:rPr>
        <w:t>环卫设施</w:t>
      </w:r>
      <w:bookmarkEnd w:id="190"/>
    </w:p>
    <w:p w14:paraId="4CB790B9">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优化环卫设施</w:t>
      </w:r>
    </w:p>
    <w:p w14:paraId="182A5EB1">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生活垃圾转运至攀枝花市生活垃圾焚烧发电厂处置。餐厨垃圾单独收集运送至攀枝花市统一处置。建筑垃圾应</w:t>
      </w:r>
      <w:r>
        <w:rPr>
          <w:rFonts w:hint="eastAsia" w:ascii="仿宋_GB2312" w:hAnsi="Times New Roman" w:eastAsia="仿宋_GB2312" w:cs="Times New Roman"/>
          <w:bCs/>
          <w:color w:val="auto"/>
          <w:sz w:val="32"/>
          <w:szCs w:val="32"/>
          <w:highlight w:val="none"/>
          <w:lang w:val="en-US" w:eastAsia="zh-CN"/>
        </w:rPr>
        <w:t>经减量化处置后，进行</w:t>
      </w:r>
      <w:r>
        <w:rPr>
          <w:rFonts w:hint="eastAsia" w:ascii="仿宋_GB2312" w:hAnsi="Times New Roman" w:eastAsia="仿宋_GB2312" w:cs="Times New Roman"/>
          <w:bCs/>
          <w:color w:val="auto"/>
          <w:sz w:val="32"/>
          <w:szCs w:val="32"/>
          <w:highlight w:val="none"/>
        </w:rPr>
        <w:t>资源化利用</w:t>
      </w:r>
      <w:r>
        <w:rPr>
          <w:rFonts w:hint="eastAsia" w:ascii="仿宋_GB2312" w:hAnsi="Times New Roman" w:eastAsia="仿宋_GB2312" w:cs="Times New Roman"/>
          <w:bCs/>
          <w:color w:val="auto"/>
          <w:sz w:val="32"/>
          <w:szCs w:val="32"/>
          <w:highlight w:val="none"/>
          <w:lang w:eastAsia="zh-CN"/>
        </w:rPr>
        <w:t>。</w:t>
      </w:r>
      <w:r>
        <w:rPr>
          <w:rFonts w:hint="eastAsia" w:ascii="仿宋_GB2312" w:hAnsi="Times New Roman" w:eastAsia="仿宋_GB2312" w:cs="Times New Roman"/>
          <w:bCs/>
          <w:color w:val="auto"/>
          <w:sz w:val="32"/>
          <w:szCs w:val="32"/>
          <w:highlight w:val="none"/>
          <w:u w:val="single"/>
        </w:rPr>
        <w:t>医疗垃圾采用单独收集、单独运输、集中处理模式</w:t>
      </w:r>
      <w:r>
        <w:rPr>
          <w:rFonts w:hint="eastAsia" w:ascii="仿宋_GB2312" w:hAnsi="Times New Roman" w:eastAsia="仿宋_GB2312" w:cs="Times New Roman"/>
          <w:bCs/>
          <w:color w:val="auto"/>
          <w:sz w:val="32"/>
          <w:szCs w:val="32"/>
          <w:highlight w:val="none"/>
          <w:u w:val="none"/>
          <w:lang w:eastAsia="zh-CN"/>
        </w:rPr>
        <w:t>，</w:t>
      </w:r>
      <w:r>
        <w:rPr>
          <w:rFonts w:hint="eastAsia" w:ascii="仿宋_GB2312" w:hAnsi="Times New Roman" w:eastAsia="仿宋_GB2312" w:cs="Times New Roman"/>
          <w:bCs/>
          <w:color w:val="auto"/>
          <w:sz w:val="32"/>
          <w:szCs w:val="32"/>
          <w:highlight w:val="none"/>
        </w:rPr>
        <w:t>运至攀枝花市统一处理。</w:t>
      </w:r>
    </w:p>
    <w:p w14:paraId="2CCE2554">
      <w:pPr>
        <w:spacing w:line="600" w:lineRule="exact"/>
        <w:ind w:firstLine="640"/>
        <w:rPr>
          <w:rFonts w:ascii="仿宋_GB2312" w:hAnsi="Times New Roman" w:eastAsia="仿宋_GB2312" w:cs="Times New Roman"/>
          <w:bCs/>
          <w:color w:val="auto"/>
          <w:sz w:val="32"/>
          <w:szCs w:val="32"/>
          <w:highlight w:val="none"/>
          <w:u w:val="none"/>
        </w:rPr>
      </w:pPr>
      <w:r>
        <w:rPr>
          <w:rFonts w:hint="eastAsia" w:ascii="仿宋_GB2312" w:hAnsi="Times New Roman" w:eastAsia="仿宋_GB2312" w:cs="Times New Roman"/>
          <w:bCs/>
          <w:color w:val="auto"/>
          <w:sz w:val="32"/>
          <w:szCs w:val="32"/>
          <w:highlight w:val="none"/>
          <w:u w:val="none"/>
        </w:rPr>
        <w:t>城区道路两侧按规范要求设置分类收集废物箱，按服务半径不超过70米设置生活垃圾收集点，服务半径0.4</w:t>
      </w:r>
      <w:r>
        <w:rPr>
          <w:rFonts w:hint="eastAsia" w:ascii="仿宋_GB2312" w:hAnsi="微软雅黑" w:eastAsia="仿宋_GB2312"/>
          <w:color w:val="auto"/>
          <w:sz w:val="32"/>
          <w:szCs w:val="32"/>
          <w:highlight w:val="none"/>
          <w:u w:val="none"/>
          <w:shd w:val="clear" w:color="auto" w:fill="FFFFFF"/>
        </w:rPr>
        <w:t>～</w:t>
      </w:r>
      <w:r>
        <w:rPr>
          <w:rFonts w:hint="eastAsia" w:ascii="仿宋_GB2312" w:hAnsi="Times New Roman" w:eastAsia="仿宋_GB2312" w:cs="Times New Roman"/>
          <w:bCs/>
          <w:color w:val="auto"/>
          <w:sz w:val="32"/>
          <w:szCs w:val="32"/>
          <w:highlight w:val="none"/>
          <w:u w:val="none"/>
        </w:rPr>
        <w:t>2千米设置垃圾收集站。中心城区规划保留现状垃圾转运站，转运规模140吨/天。</w:t>
      </w:r>
    </w:p>
    <w:p w14:paraId="21E4B0DF">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垃圾收集站距相邻建筑外墙的间距不小于10米。垃圾转运站自用地边界与站外建筑的间距不小于10米。工业固体废物储存设施应选在工业区和居民集中区主导风向下风侧，厂界距居民集中区500米以外。</w:t>
      </w:r>
    </w:p>
    <w:p w14:paraId="6E15B446">
      <w:pPr>
        <w:spacing w:line="600" w:lineRule="exact"/>
        <w:ind w:firstLine="640"/>
        <w:rPr>
          <w:rFonts w:ascii="仿宋_GB2312" w:hAnsi="Times New Roman" w:eastAsia="仿宋_GB2312" w:cs="Times New Roman"/>
          <w:bCs/>
          <w:color w:val="auto"/>
          <w:sz w:val="32"/>
          <w:szCs w:val="32"/>
          <w:highlight w:val="none"/>
        </w:rPr>
      </w:pPr>
      <w:r>
        <w:rPr>
          <w:rFonts w:hint="eastAsia" w:ascii="仿宋_GB2312" w:hAnsi="Times New Roman" w:eastAsia="仿宋_GB2312" w:cs="Times New Roman"/>
          <w:bCs/>
          <w:color w:val="auto"/>
          <w:sz w:val="32"/>
          <w:szCs w:val="32"/>
          <w:highlight w:val="none"/>
        </w:rPr>
        <w:t>在商业街区、市场、客运交通枢纽、体育文化场馆、游乐场所、广场、大中型社会停车场、公园等人流集散场所内或附近，按流动人群需求设置公共厕所。环卫车辆规划停放于垃圾转运站内，环卫工人休息室与公共厕所合并建设。固定独立式公共厕所的外部宜进行绿化，旅游厕所的选址和建设过程中不应破坏文物古迹、自然环境、景观景点。</w:t>
      </w:r>
    </w:p>
    <w:p w14:paraId="3DA5B423">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191" w:name="_Toc29393"/>
      <w:bookmarkStart w:id="192" w:name="_Toc124195955"/>
      <w:bookmarkStart w:id="193" w:name="_Toc24813"/>
      <w:bookmarkStart w:id="194" w:name="_Toc132447842"/>
      <w:r>
        <w:rPr>
          <w:rFonts w:hint="eastAsia" w:ascii="黑体" w:hAnsi="黑体" w:eastAsia="黑体" w:cstheme="majorBidi"/>
          <w:bCs/>
          <w:color w:val="auto"/>
          <w:sz w:val="32"/>
          <w:szCs w:val="32"/>
          <w:highlight w:val="none"/>
        </w:rPr>
        <w:t>综合防灾</w:t>
      </w:r>
      <w:bookmarkEnd w:id="191"/>
      <w:bookmarkEnd w:id="192"/>
      <w:bookmarkEnd w:id="193"/>
      <w:bookmarkEnd w:id="194"/>
    </w:p>
    <w:p w14:paraId="1806BFEF">
      <w:pPr>
        <w:pStyle w:val="8"/>
        <w:keepNext/>
        <w:keepLines/>
        <w:numPr>
          <w:ilvl w:val="0"/>
          <w:numId w:val="28"/>
        </w:numPr>
        <w:adjustRightInd/>
        <w:snapToGrid/>
        <w:ind w:left="0"/>
        <w:jc w:val="center"/>
        <w:rPr>
          <w:rFonts w:ascii="仿宋_GB2312" w:hAnsi="Calibri" w:eastAsia="仿宋_GB2312"/>
          <w:b/>
          <w:bCs/>
          <w:color w:val="auto"/>
          <w:highlight w:val="none"/>
        </w:rPr>
      </w:pPr>
      <w:bookmarkStart w:id="195" w:name="_Toc6044"/>
      <w:r>
        <w:rPr>
          <w:rFonts w:hint="eastAsia" w:ascii="仿宋_GB2312" w:hAnsi="Calibri" w:eastAsia="仿宋_GB2312"/>
          <w:b/>
          <w:bCs/>
          <w:color w:val="auto"/>
          <w:highlight w:val="none"/>
        </w:rPr>
        <w:t>防洪排涝</w:t>
      </w:r>
      <w:bookmarkEnd w:id="195"/>
    </w:p>
    <w:p w14:paraId="7380A3A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防洪排涝规划</w:t>
      </w:r>
    </w:p>
    <w:p w14:paraId="768B55CC">
      <w:pPr>
        <w:spacing w:line="600" w:lineRule="exact"/>
        <w:ind w:firstLine="640"/>
        <w:rPr>
          <w:rFonts w:ascii="仿宋_GB2312" w:hAnsi="Times New Roman" w:eastAsia="仿宋_GB2312" w:cs="Times New Roman"/>
          <w:color w:val="auto"/>
          <w:sz w:val="32"/>
          <w:szCs w:val="32"/>
          <w:highlight w:val="none"/>
          <w:u w:val="single"/>
        </w:rPr>
      </w:pPr>
      <w:r>
        <w:rPr>
          <w:rFonts w:hint="eastAsia" w:ascii="仿宋_GB2312" w:hAnsi="Times New Roman" w:eastAsia="仿宋_GB2312" w:cs="Times New Roman"/>
          <w:color w:val="auto"/>
          <w:sz w:val="32"/>
          <w:szCs w:val="32"/>
          <w:highlight w:val="none"/>
          <w:u w:val="single"/>
        </w:rPr>
        <w:t>江河防洪标准：按</w:t>
      </w:r>
      <w:r>
        <w:rPr>
          <w:rFonts w:ascii="仿宋_GB2312" w:hAnsi="Times New Roman" w:eastAsia="仿宋_GB2312" w:cs="Times New Roman"/>
          <w:color w:val="auto"/>
          <w:sz w:val="32"/>
          <w:szCs w:val="32"/>
          <w:highlight w:val="none"/>
          <w:u w:val="single"/>
        </w:rPr>
        <w:t>20</w:t>
      </w:r>
      <w:r>
        <w:rPr>
          <w:rFonts w:hint="eastAsia" w:ascii="仿宋_GB2312" w:hAnsi="Times New Roman" w:eastAsia="仿宋_GB2312" w:cs="Times New Roman"/>
          <w:color w:val="auto"/>
          <w:sz w:val="32"/>
          <w:szCs w:val="32"/>
          <w:highlight w:val="none"/>
          <w:u w:val="single"/>
        </w:rPr>
        <w:t>年一遇标准设防。</w:t>
      </w:r>
    </w:p>
    <w:p w14:paraId="1A822D90">
      <w:pPr>
        <w:spacing w:line="600" w:lineRule="exact"/>
        <w:ind w:firstLine="640"/>
        <w:rPr>
          <w:rFonts w:ascii="仿宋_GB2312" w:hAnsi="Times New Roman" w:eastAsia="仿宋_GB2312" w:cs="Times New Roman"/>
          <w:color w:val="auto"/>
          <w:sz w:val="32"/>
          <w:szCs w:val="32"/>
          <w:highlight w:val="none"/>
          <w:u w:val="single"/>
        </w:rPr>
      </w:pPr>
      <w:r>
        <w:rPr>
          <w:rFonts w:hint="eastAsia" w:ascii="仿宋_GB2312" w:hAnsi="Times New Roman" w:eastAsia="仿宋_GB2312" w:cs="Times New Roman"/>
          <w:color w:val="auto"/>
          <w:sz w:val="32"/>
          <w:szCs w:val="32"/>
          <w:highlight w:val="none"/>
          <w:u w:val="single"/>
        </w:rPr>
        <w:t>山洪防治标准：按不低于10年一遇标准设防。</w:t>
      </w:r>
    </w:p>
    <w:p w14:paraId="7B91C245">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管控措施：划定河道管理范围线及洪涝风险控制线，洪涝风险控制线内严禁开发建设；加强中心城区未</w:t>
      </w:r>
      <w:bookmarkStart w:id="196" w:name="_Hlk132365015"/>
      <w:r>
        <w:rPr>
          <w:rFonts w:hint="eastAsia" w:ascii="仿宋_GB2312" w:hAnsi="Times New Roman" w:eastAsia="仿宋_GB2312" w:cs="Times New Roman"/>
          <w:color w:val="auto"/>
          <w:sz w:val="32"/>
          <w:szCs w:val="32"/>
          <w:highlight w:val="none"/>
        </w:rPr>
        <w:t>达到防洪标准的行洪通道</w:t>
      </w:r>
      <w:bookmarkEnd w:id="196"/>
      <w:r>
        <w:rPr>
          <w:rFonts w:hint="eastAsia" w:ascii="仿宋_GB2312" w:hAnsi="Times New Roman" w:eastAsia="仿宋_GB2312" w:cs="Times New Roman"/>
          <w:color w:val="auto"/>
          <w:sz w:val="32"/>
          <w:szCs w:val="32"/>
          <w:highlight w:val="none"/>
        </w:rPr>
        <w:t>的建设、整治，达到防洪标准的行洪通道的维护管理，确保行洪排涝河道的畅通，预留超标洪水行洪空间；改造并完善雨水管网，提高中心城区管网排水能力，降低内涝风险；禁止在洪涝高风险区内布置地下空间、学校、消防救援站和其他重要市政设施（高压变电站）等；健全防洪排涝应急预案、灾后抢险救灾体系，加强防洪排涝工程的合理科学调度，加快气象与水文自动测报系统建设，并与省水情信息服务系统对接，推进水利行业大数据管理平台建设；加强防洪非工程措施和防汛指挥系统建设，提高防汛调度指挥能力和防洪减灾管理水平。</w:t>
      </w:r>
    </w:p>
    <w:p w14:paraId="282D372B">
      <w:pPr>
        <w:pStyle w:val="8"/>
        <w:keepNext/>
        <w:keepLines/>
        <w:numPr>
          <w:ilvl w:val="0"/>
          <w:numId w:val="28"/>
        </w:numPr>
        <w:adjustRightInd/>
        <w:snapToGrid/>
        <w:ind w:left="0"/>
        <w:jc w:val="center"/>
        <w:rPr>
          <w:rFonts w:ascii="仿宋_GB2312" w:hAnsi="Calibri" w:eastAsia="仿宋_GB2312"/>
          <w:b/>
          <w:bCs/>
          <w:color w:val="auto"/>
          <w:highlight w:val="none"/>
        </w:rPr>
      </w:pPr>
      <w:bookmarkStart w:id="197" w:name="_Toc22353"/>
      <w:r>
        <w:rPr>
          <w:rFonts w:hint="eastAsia" w:ascii="仿宋_GB2312" w:hAnsi="Calibri" w:eastAsia="仿宋_GB2312"/>
          <w:b/>
          <w:bCs/>
          <w:color w:val="auto"/>
          <w:highlight w:val="none"/>
        </w:rPr>
        <w:t>抗震</w:t>
      </w:r>
      <w:bookmarkEnd w:id="197"/>
    </w:p>
    <w:p w14:paraId="328E6FD4">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抗震规划</w:t>
      </w:r>
    </w:p>
    <w:p w14:paraId="20E3691C">
      <w:pPr>
        <w:spacing w:line="600" w:lineRule="exact"/>
        <w:ind w:firstLine="640"/>
        <w:rPr>
          <w:rFonts w:ascii="仿宋_GB2312" w:hAnsi="Times New Roman" w:eastAsia="仿宋_GB2312" w:cs="Times New Roman"/>
          <w:color w:val="auto"/>
          <w:sz w:val="32"/>
          <w:szCs w:val="32"/>
          <w:highlight w:val="none"/>
          <w:u w:val="single"/>
        </w:rPr>
      </w:pPr>
      <w:r>
        <w:rPr>
          <w:rFonts w:hint="eastAsia" w:ascii="仿宋_GB2312" w:hAnsi="Times New Roman" w:eastAsia="仿宋_GB2312" w:cs="Times New Roman"/>
          <w:color w:val="auto"/>
          <w:sz w:val="32"/>
          <w:szCs w:val="32"/>
          <w:highlight w:val="none"/>
          <w:u w:val="single"/>
        </w:rPr>
        <w:t>根据《中国地震动参数区划图》（GB18306—2015），中心城区地震动峰值加速度为0.15g，地震动反应谱特征周期T＝0.45s，基本抗震设防烈度按Ⅶ度进行设防。</w:t>
      </w:r>
    </w:p>
    <w:p w14:paraId="7F534229">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人员密集场所及生命线工程应按照比基本设防烈度提高1度的抗震设防标准要求进行抗震设防。</w:t>
      </w:r>
    </w:p>
    <w:p w14:paraId="432C6B13">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中心城区范围内各类新建、扩建、改建的建设工程，必须达到抗震设防要求。重大建设工程和可能发生严重次生灾害的建设工程，要按照国家法律法规对其场地进行地震安全性评价，并避开抗震性能差的地段。加强旧城改造，拆除或加固危房，补充完善增加绿地、广场等开敞空间，并对疏散通道、疏散场地加强管理。</w:t>
      </w:r>
    </w:p>
    <w:p w14:paraId="42EC077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城市生命线工程安全保障规划</w:t>
      </w:r>
    </w:p>
    <w:p w14:paraId="0E5D82DB">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城市生命线工程包括供水系统、供电系统、通信系统、医疗卫生系统、粮食供应系统，其地震基本设防烈度应比城市基本设防烈度提高1度的抗震设防标准要求进行抗震设防；避免在洪涝高风险区内布置消防救援站和其他重要市政设施（高压变电站）等。</w:t>
      </w:r>
    </w:p>
    <w:p w14:paraId="083F1901">
      <w:pPr>
        <w:pStyle w:val="8"/>
        <w:keepNext/>
        <w:keepLines/>
        <w:numPr>
          <w:ilvl w:val="0"/>
          <w:numId w:val="28"/>
        </w:numPr>
        <w:adjustRightInd/>
        <w:snapToGrid/>
        <w:ind w:left="0"/>
        <w:jc w:val="center"/>
        <w:rPr>
          <w:rFonts w:ascii="仿宋_GB2312" w:hAnsi="Calibri" w:eastAsia="仿宋_GB2312"/>
          <w:b/>
          <w:bCs/>
          <w:color w:val="auto"/>
          <w:highlight w:val="none"/>
        </w:rPr>
      </w:pPr>
      <w:bookmarkStart w:id="198" w:name="_Toc31455"/>
      <w:r>
        <w:rPr>
          <w:rFonts w:hint="eastAsia" w:ascii="仿宋_GB2312" w:hAnsi="Calibri" w:eastAsia="仿宋_GB2312"/>
          <w:b/>
          <w:bCs/>
          <w:color w:val="auto"/>
          <w:highlight w:val="none"/>
        </w:rPr>
        <w:t>地质灾害防治</w:t>
      </w:r>
      <w:bookmarkEnd w:id="198"/>
    </w:p>
    <w:p w14:paraId="11A7ED0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地质灾害防治</w:t>
      </w:r>
    </w:p>
    <w:p w14:paraId="22C77A46">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按照《四川省自然资源厅关于将地质灾害风险调查评价成果纳入国土空间规划的通知》（川自然资发〔2022〕5号），盐边中心城区城镇开发边界内的已建成区位于中风险区，应落实风险管控措施，采取地质灾害综合整治措施开展治理，全力确保安全。盐边中心城区城镇开发边界内的规划建设区尽量避让地质灾害中、高危险区，确需纳入城镇开发边界内的中、高危险区，对高危险区不得作为城镇建设规划发展方向，对中危险区应按照地质灾害危险性评估结论落实相关防治措施后，方可开展城镇开发建设；对低危险区按规定落实地质灾害防患措施后方可开展城镇开发建设。</w:t>
      </w:r>
    </w:p>
    <w:p w14:paraId="6477639F">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规划的建设用地在使用前，如地质条件与《四川省攀枝花市盐边县地质灾害风险调查评价（1</w:t>
      </w:r>
      <w:r>
        <w:rPr>
          <w:rFonts w:hint="eastAsia" w:ascii="仿宋_GB2312" w:hAnsi="Times New Roman" w:eastAsia="仿宋_GB2312" w:cs="Times New Roman"/>
          <w:color w:val="auto"/>
          <w:sz w:val="32"/>
          <w:szCs w:val="32"/>
          <w:highlight w:val="none"/>
          <w:lang w:eastAsia="zh-CN"/>
        </w:rPr>
        <w:t>∶</w:t>
      </w:r>
      <w:r>
        <w:rPr>
          <w:rFonts w:hint="eastAsia" w:ascii="仿宋_GB2312" w:hAnsi="Times New Roman" w:eastAsia="仿宋_GB2312" w:cs="Times New Roman"/>
          <w:color w:val="auto"/>
          <w:sz w:val="32"/>
          <w:szCs w:val="32"/>
          <w:highlight w:val="none"/>
        </w:rPr>
        <w:t>50000）成果报告》结论不一致或出现新的地质灾害隐患时，应再评估并消除地质灾害隐患后方可使用。对中心城区内的现状高边坡、较高的挡护设施应设立监测预警系统，加强安全监测，编制安全应急预案。</w:t>
      </w:r>
    </w:p>
    <w:p w14:paraId="4E7151AA">
      <w:pPr>
        <w:pStyle w:val="8"/>
        <w:keepNext/>
        <w:keepLines/>
        <w:numPr>
          <w:ilvl w:val="0"/>
          <w:numId w:val="28"/>
        </w:numPr>
        <w:adjustRightInd/>
        <w:snapToGrid/>
        <w:ind w:left="0"/>
        <w:jc w:val="center"/>
        <w:rPr>
          <w:rFonts w:ascii="仿宋_GB2312" w:hAnsi="Calibri" w:eastAsia="仿宋_GB2312"/>
          <w:b/>
          <w:bCs/>
          <w:color w:val="auto"/>
          <w:highlight w:val="none"/>
        </w:rPr>
      </w:pPr>
      <w:bookmarkStart w:id="199" w:name="_Toc24927"/>
      <w:r>
        <w:rPr>
          <w:rFonts w:hint="eastAsia" w:ascii="仿宋_GB2312" w:hAnsi="Calibri" w:eastAsia="仿宋_GB2312"/>
          <w:b/>
          <w:bCs/>
          <w:color w:val="auto"/>
          <w:highlight w:val="none"/>
        </w:rPr>
        <w:t>消防</w:t>
      </w:r>
      <w:bookmarkEnd w:id="199"/>
    </w:p>
    <w:p w14:paraId="40F2AC34">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消防规划</w:t>
      </w:r>
    </w:p>
    <w:p w14:paraId="779AC76F">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规划中心城区设置一级普通消防站1座，并设置火警指挥中心，兼</w:t>
      </w:r>
      <w:r>
        <w:rPr>
          <w:rFonts w:hint="eastAsia" w:ascii="仿宋_GB2312" w:hAnsi="Times New Roman" w:eastAsia="仿宋_GB2312" w:cs="Times New Roman"/>
          <w:color w:val="auto"/>
          <w:sz w:val="32"/>
          <w:szCs w:val="32"/>
          <w:highlight w:val="none"/>
          <w:lang w:eastAsia="zh-CN"/>
        </w:rPr>
        <w:t>做全县</w:t>
      </w:r>
      <w:r>
        <w:rPr>
          <w:rFonts w:hint="eastAsia" w:ascii="仿宋_GB2312" w:hAnsi="Times New Roman" w:eastAsia="仿宋_GB2312" w:cs="Times New Roman"/>
          <w:color w:val="auto"/>
          <w:sz w:val="32"/>
          <w:szCs w:val="32"/>
          <w:highlight w:val="none"/>
        </w:rPr>
        <w:t>消防训练中心，用地面积0.66公顷。</w:t>
      </w:r>
    </w:p>
    <w:p w14:paraId="6D2163EA">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中心城区范围内现有的大型易燃易爆危险品工厂、仓库应限期迁出城镇集中建设区或就地改变生产、使用性质。易燃易爆设施应严格控制消防防护距离，在防护距离内不得建设有人居住的永久和临时建筑物。</w:t>
      </w:r>
    </w:p>
    <w:p w14:paraId="4659A258">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u w:val="none"/>
        </w:rPr>
        <w:t>规划以城市道路作为消防车通道，组团间有不少于2条的主要联系道路，组团内部道路要建成环状道路系统。消防通道间距不超过160米，沿街单列建筑长度大于60米时，应设置消防车通道入口，净空不小于4米×4米。</w:t>
      </w:r>
    </w:p>
    <w:p w14:paraId="3530A78A">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消防水源主要依靠中心城区给水系统，室外消防栓按120米的间距配置，服务半径不大于150米。</w:t>
      </w:r>
    </w:p>
    <w:p w14:paraId="546AC12D">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采用集中接警方式，接警中心位于盐边县消防指挥中心。</w:t>
      </w:r>
    </w:p>
    <w:p w14:paraId="64C78802">
      <w:pPr>
        <w:pStyle w:val="8"/>
        <w:keepNext/>
        <w:keepLines/>
        <w:numPr>
          <w:ilvl w:val="0"/>
          <w:numId w:val="28"/>
        </w:numPr>
        <w:adjustRightInd/>
        <w:snapToGrid/>
        <w:ind w:left="0"/>
        <w:jc w:val="center"/>
        <w:rPr>
          <w:rFonts w:ascii="仿宋_GB2312" w:hAnsi="Calibri" w:eastAsia="仿宋_GB2312"/>
          <w:b/>
          <w:bCs/>
          <w:color w:val="auto"/>
          <w:highlight w:val="none"/>
        </w:rPr>
      </w:pPr>
      <w:bookmarkStart w:id="200" w:name="_Toc9818"/>
      <w:r>
        <w:rPr>
          <w:rFonts w:hint="eastAsia" w:ascii="仿宋_GB2312" w:hAnsi="Calibri" w:eastAsia="仿宋_GB2312"/>
          <w:b/>
          <w:bCs/>
          <w:color w:val="auto"/>
          <w:highlight w:val="none"/>
        </w:rPr>
        <w:t>应急避难</w:t>
      </w:r>
      <w:bookmarkEnd w:id="200"/>
    </w:p>
    <w:p w14:paraId="2273AE3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应急通道规划</w:t>
      </w:r>
    </w:p>
    <w:p w14:paraId="3B086FAC">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以攀枝花绕城高速、国道G227、省道S218作为</w:t>
      </w:r>
      <w:bookmarkStart w:id="201" w:name="_Hlk164093908"/>
      <w:r>
        <w:rPr>
          <w:rFonts w:hint="eastAsia" w:ascii="仿宋_GB2312" w:hAnsi="Times New Roman" w:eastAsia="仿宋_GB2312" w:cs="Times New Roman"/>
          <w:color w:val="auto"/>
          <w:sz w:val="32"/>
          <w:szCs w:val="32"/>
          <w:highlight w:val="none"/>
        </w:rPr>
        <w:t>城市对外救灾干道。</w:t>
      </w:r>
      <w:bookmarkEnd w:id="201"/>
    </w:p>
    <w:p w14:paraId="0C1902CD">
      <w:pPr>
        <w:spacing w:line="600" w:lineRule="exact"/>
        <w:ind w:firstLine="640"/>
        <w:rPr>
          <w:rFonts w:ascii="仿宋_GB2312" w:hAnsi="Times New Roman" w:eastAsia="仿宋_GB2312" w:cs="Times New Roman"/>
          <w:color w:val="auto"/>
          <w:sz w:val="32"/>
          <w:szCs w:val="32"/>
          <w:highlight w:val="none"/>
        </w:rPr>
      </w:pPr>
      <w:bookmarkStart w:id="202" w:name="_Hlk164093942"/>
      <w:r>
        <w:rPr>
          <w:rFonts w:hint="eastAsia" w:ascii="仿宋_GB2312" w:hAnsi="Times New Roman" w:eastAsia="仿宋_GB2312" w:cs="Times New Roman"/>
          <w:color w:val="auto"/>
          <w:sz w:val="32"/>
          <w:szCs w:val="32"/>
          <w:highlight w:val="none"/>
        </w:rPr>
        <w:t>应形成</w:t>
      </w:r>
      <w:r>
        <w:rPr>
          <w:rFonts w:hint="eastAsia" w:ascii="Times New Roman" w:hAnsi="Times New Roman" w:eastAsia="仿宋_GB2312" w:cstheme="minorBidi"/>
          <w:color w:val="auto"/>
          <w:sz w:val="32"/>
          <w:highlight w:val="none"/>
        </w:rPr>
        <w:t>网络化、分布式的</w:t>
      </w:r>
      <w:r>
        <w:rPr>
          <w:rFonts w:hint="eastAsia" w:ascii="仿宋_GB2312" w:hAnsi="Times New Roman" w:eastAsia="仿宋_GB2312" w:cs="Times New Roman"/>
          <w:color w:val="auto"/>
          <w:sz w:val="32"/>
          <w:szCs w:val="32"/>
          <w:highlight w:val="none"/>
        </w:rPr>
        <w:t>城区疏散通道。</w:t>
      </w:r>
      <w:bookmarkEnd w:id="202"/>
      <w:r>
        <w:rPr>
          <w:rFonts w:hint="eastAsia" w:ascii="仿宋_GB2312" w:hAnsi="Times New Roman" w:eastAsia="仿宋_GB2312" w:cs="Times New Roman"/>
          <w:color w:val="auto"/>
          <w:sz w:val="32"/>
          <w:szCs w:val="32"/>
          <w:highlight w:val="none"/>
        </w:rPr>
        <w:t>城区内形成“两纵两横”的</w:t>
      </w:r>
      <w:bookmarkStart w:id="203" w:name="_Hlk164086959"/>
      <w:bookmarkStart w:id="204" w:name="_Hlk164086743"/>
      <w:r>
        <w:rPr>
          <w:rFonts w:hint="eastAsia" w:ascii="仿宋_GB2312" w:hAnsi="Times New Roman" w:eastAsia="仿宋_GB2312" w:cs="Times New Roman"/>
          <w:color w:val="auto"/>
          <w:sz w:val="32"/>
          <w:szCs w:val="32"/>
          <w:highlight w:val="none"/>
        </w:rPr>
        <w:t>疏散</w:t>
      </w:r>
      <w:bookmarkEnd w:id="203"/>
      <w:r>
        <w:rPr>
          <w:rFonts w:hint="eastAsia" w:ascii="仿宋_GB2312" w:hAnsi="Times New Roman" w:eastAsia="仿宋_GB2312" w:cs="Times New Roman"/>
          <w:color w:val="auto"/>
          <w:sz w:val="32"/>
          <w:szCs w:val="32"/>
          <w:highlight w:val="none"/>
        </w:rPr>
        <w:t>主通道</w:t>
      </w:r>
      <w:bookmarkEnd w:id="204"/>
      <w:bookmarkStart w:id="205" w:name="_Hlk164087114"/>
      <w:r>
        <w:rPr>
          <w:rFonts w:hint="eastAsia" w:ascii="仿宋_GB2312" w:hAnsi="Times New Roman" w:eastAsia="仿宋_GB2312" w:cs="Times New Roman"/>
          <w:color w:val="auto"/>
          <w:sz w:val="32"/>
          <w:szCs w:val="32"/>
          <w:highlight w:val="none"/>
        </w:rPr>
        <w:t>，疏散次通道</w:t>
      </w:r>
      <w:bookmarkEnd w:id="205"/>
      <w:r>
        <w:rPr>
          <w:rFonts w:hint="eastAsia" w:ascii="仿宋_GB2312" w:hAnsi="Times New Roman" w:eastAsia="仿宋_GB2312" w:cs="Times New Roman"/>
          <w:color w:val="auto"/>
          <w:sz w:val="32"/>
          <w:szCs w:val="32"/>
          <w:highlight w:val="none"/>
        </w:rPr>
        <w:t>依托城市次干路和支路形成。</w:t>
      </w:r>
    </w:p>
    <w:p w14:paraId="6A58FFF5">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rPr>
        <w:t>救灾干道有效宽度不应小于15米，疏散主通道有效宽度不应小于</w:t>
      </w:r>
      <w:r>
        <w:rPr>
          <w:rFonts w:ascii="仿宋_GB2312" w:hAnsi="Times New Roman" w:eastAsia="仿宋_GB2312" w:cs="Times New Roman"/>
          <w:color w:val="auto"/>
          <w:sz w:val="32"/>
          <w:szCs w:val="32"/>
          <w:highlight w:val="none"/>
        </w:rPr>
        <w:t>7</w:t>
      </w:r>
      <w:r>
        <w:rPr>
          <w:rFonts w:hint="eastAsia" w:ascii="仿宋_GB2312" w:hAnsi="Times New Roman" w:eastAsia="仿宋_GB2312" w:cs="Times New Roman"/>
          <w:color w:val="auto"/>
          <w:sz w:val="32"/>
          <w:szCs w:val="32"/>
          <w:highlight w:val="none"/>
        </w:rPr>
        <w:t>米，疏散次通道有效宽度不应小于</w:t>
      </w:r>
      <w:r>
        <w:rPr>
          <w:rFonts w:ascii="仿宋_GB2312" w:hAnsi="Times New Roman" w:eastAsia="仿宋_GB2312" w:cs="Times New Roman"/>
          <w:color w:val="auto"/>
          <w:sz w:val="32"/>
          <w:szCs w:val="32"/>
          <w:highlight w:val="none"/>
        </w:rPr>
        <w:t>4</w:t>
      </w:r>
      <w:r>
        <w:rPr>
          <w:rFonts w:hint="eastAsia" w:ascii="仿宋_GB2312" w:hAnsi="Times New Roman" w:eastAsia="仿宋_GB2312" w:cs="Times New Roman"/>
          <w:color w:val="auto"/>
          <w:sz w:val="32"/>
          <w:szCs w:val="32"/>
          <w:highlight w:val="none"/>
        </w:rPr>
        <w:t>米。跨越应急通道的各类工程设施，应保证通道净空高度不小于</w:t>
      </w:r>
      <w:r>
        <w:rPr>
          <w:rFonts w:ascii="仿宋_GB2312" w:hAnsi="Times New Roman" w:eastAsia="仿宋_GB2312" w:cs="Times New Roman"/>
          <w:color w:val="auto"/>
          <w:sz w:val="32"/>
          <w:szCs w:val="32"/>
          <w:highlight w:val="none"/>
        </w:rPr>
        <w:t>4.5</w:t>
      </w:r>
      <w:r>
        <w:rPr>
          <w:rFonts w:hint="eastAsia" w:ascii="仿宋_GB2312" w:hAnsi="Times New Roman" w:eastAsia="仿宋_GB2312" w:cs="Times New Roman"/>
          <w:color w:val="auto"/>
          <w:sz w:val="32"/>
          <w:szCs w:val="32"/>
          <w:highlight w:val="none"/>
        </w:rPr>
        <w:t>米</w:t>
      </w:r>
      <w:r>
        <w:rPr>
          <w:rFonts w:hint="eastAsia" w:ascii="仿宋_GB2312" w:hAnsi="Times New Roman" w:eastAsia="仿宋_GB2312" w:cs="Times New Roman"/>
          <w:color w:val="auto"/>
          <w:sz w:val="32"/>
          <w:szCs w:val="32"/>
          <w:highlight w:val="none"/>
          <w:lang w:eastAsia="zh-CN"/>
        </w:rPr>
        <w:t>。</w:t>
      </w:r>
    </w:p>
    <w:p w14:paraId="0EF71E87">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应急避难场所规划</w:t>
      </w:r>
    </w:p>
    <w:p w14:paraId="7C8EF372">
      <w:pPr>
        <w:spacing w:line="600" w:lineRule="exact"/>
        <w:ind w:firstLine="640"/>
        <w:rPr>
          <w:rFonts w:ascii="仿宋_GB2312" w:hAnsi="Times New Roman" w:eastAsia="仿宋_GB2312" w:cs="Times New Roman"/>
          <w:color w:val="auto"/>
          <w:sz w:val="32"/>
          <w:szCs w:val="32"/>
          <w:highlight w:val="none"/>
        </w:rPr>
      </w:pPr>
      <w:bookmarkStart w:id="206" w:name="_Hlk164093626"/>
      <w:r>
        <w:rPr>
          <w:rFonts w:hint="eastAsia" w:ascii="仿宋_GB2312" w:hAnsi="Times New Roman" w:eastAsia="仿宋_GB2312" w:cs="Times New Roman"/>
          <w:color w:val="auto"/>
          <w:sz w:val="32"/>
          <w:szCs w:val="32"/>
          <w:highlight w:val="none"/>
        </w:rPr>
        <w:t>遵循“综合规划、就近疏散、因地制宜、一所多用、平灾结合”的原则，合理布置城市应急避难场所。应结合公园绿地广场等开敞空间和体育场馆等公共设施，形成网络化、分布式的应急避难场所。</w:t>
      </w:r>
    </w:p>
    <w:bookmarkEnd w:id="206"/>
    <w:p w14:paraId="1C59D097">
      <w:pPr>
        <w:spacing w:line="600" w:lineRule="exact"/>
        <w:ind w:firstLine="640"/>
        <w:rPr>
          <w:rFonts w:ascii="仿宋_GB2312" w:hAnsi="Times New Roman" w:eastAsia="仿宋_GB2312" w:cs="Times New Roman"/>
          <w:color w:val="auto"/>
          <w:sz w:val="32"/>
          <w:szCs w:val="32"/>
          <w:highlight w:val="none"/>
          <w:u w:val="none"/>
        </w:rPr>
      </w:pPr>
      <w:r>
        <w:rPr>
          <w:rFonts w:hint="eastAsia" w:ascii="仿宋_GB2312" w:hAnsi="Times New Roman" w:eastAsia="仿宋_GB2312" w:cs="Times New Roman"/>
          <w:color w:val="auto"/>
          <w:sz w:val="32"/>
          <w:szCs w:val="32"/>
          <w:highlight w:val="none"/>
          <w:u w:val="none"/>
        </w:rPr>
        <w:t>中心城区固定</w:t>
      </w:r>
      <w:r>
        <w:rPr>
          <w:rFonts w:hint="eastAsia" w:ascii="仿宋_GB2312" w:hAnsi="Times New Roman" w:eastAsia="仿宋_GB2312" w:cs="Times New Roman"/>
          <w:color w:val="auto"/>
          <w:sz w:val="32"/>
          <w:szCs w:val="32"/>
          <w:highlight w:val="none"/>
          <w:u w:val="none"/>
          <w:lang w:val="en-US" w:eastAsia="zh-CN"/>
        </w:rPr>
        <w:t>避难</w:t>
      </w:r>
      <w:r>
        <w:rPr>
          <w:rFonts w:hint="eastAsia" w:ascii="仿宋_GB2312" w:hAnsi="Times New Roman" w:eastAsia="仿宋_GB2312" w:cs="Times New Roman"/>
          <w:color w:val="auto"/>
          <w:sz w:val="32"/>
          <w:szCs w:val="32"/>
          <w:highlight w:val="none"/>
          <w:u w:val="none"/>
        </w:rPr>
        <w:t>场所结合学校运动场地、广场、体育场、停车场等开敞空间设置，配置供水、排污、供电照明及卫生设施，中心城区规划大于0.2公顷的固定避难场所5处，总计有效避难面积4.35公顷。</w:t>
      </w:r>
    </w:p>
    <w:p w14:paraId="7DD0DAD4">
      <w:pPr>
        <w:spacing w:line="600" w:lineRule="exact"/>
        <w:ind w:firstLine="640"/>
        <w:rPr>
          <w:rFonts w:ascii="仿宋_GB2312" w:hAnsi="Times New Roman" w:eastAsia="仿宋_GB2312" w:cs="Times New Roman"/>
          <w:color w:val="auto"/>
          <w:sz w:val="32"/>
          <w:szCs w:val="32"/>
          <w:highlight w:val="none"/>
        </w:rPr>
      </w:pPr>
      <w:r>
        <w:rPr>
          <w:rFonts w:hint="eastAsia" w:ascii="仿宋_GB2312" w:hAnsi="Times New Roman" w:eastAsia="仿宋_GB2312" w:cs="Times New Roman"/>
          <w:color w:val="auto"/>
          <w:sz w:val="32"/>
          <w:szCs w:val="32"/>
          <w:highlight w:val="none"/>
          <w:lang w:val="en-US" w:eastAsia="zh-CN"/>
        </w:rPr>
        <w:t>紧急</w:t>
      </w:r>
      <w:r>
        <w:rPr>
          <w:rFonts w:hint="eastAsia" w:ascii="仿宋_GB2312" w:hAnsi="Times New Roman" w:eastAsia="仿宋_GB2312" w:cs="Times New Roman"/>
          <w:color w:val="auto"/>
          <w:sz w:val="32"/>
          <w:szCs w:val="32"/>
          <w:highlight w:val="none"/>
        </w:rPr>
        <w:t>避难场所人均有效避难面积不低于1</w:t>
      </w:r>
      <w:r>
        <w:rPr>
          <w:rFonts w:hint="eastAsia" w:ascii="仿宋_GB2312" w:hAnsi="Times New Roman" w:eastAsia="仿宋_GB2312" w:cs="Times New Roman"/>
          <w:color w:val="auto"/>
          <w:sz w:val="32"/>
          <w:szCs w:val="32"/>
          <w:highlight w:val="none"/>
          <w:lang w:val="en-US" w:eastAsia="zh-CN"/>
        </w:rPr>
        <w:t>.0</w:t>
      </w:r>
      <w:r>
        <w:rPr>
          <w:rFonts w:hint="eastAsia" w:ascii="仿宋_GB2312" w:hAnsi="Times New Roman" w:eastAsia="仿宋_GB2312" w:cs="Times New Roman"/>
          <w:color w:val="auto"/>
          <w:sz w:val="32"/>
          <w:szCs w:val="32"/>
          <w:highlight w:val="none"/>
        </w:rPr>
        <w:t>平方米，结合集中绿地、公园、街头绿地、小游园、小广场、空地等开敞空间设置，配置临时用水、排污、供电照明及临时厕所等设施，实现城区全覆盖。规划</w:t>
      </w:r>
      <w:r>
        <w:rPr>
          <w:rFonts w:hint="eastAsia" w:ascii="仿宋_GB2312" w:hAnsi="Times New Roman" w:eastAsia="仿宋_GB2312" w:cs="Times New Roman"/>
          <w:color w:val="auto"/>
          <w:sz w:val="32"/>
          <w:szCs w:val="32"/>
          <w:highlight w:val="none"/>
          <w:lang w:val="en-US" w:eastAsia="zh-CN"/>
        </w:rPr>
        <w:t>紧急</w:t>
      </w:r>
      <w:r>
        <w:rPr>
          <w:rFonts w:hint="eastAsia" w:ascii="仿宋_GB2312" w:hAnsi="Times New Roman" w:eastAsia="仿宋_GB2312" w:cs="Times New Roman"/>
          <w:color w:val="auto"/>
          <w:sz w:val="32"/>
          <w:szCs w:val="32"/>
          <w:highlight w:val="none"/>
        </w:rPr>
        <w:t>避难场所5处，有效避难面积不低于4.80公顷。分别为盐边县国防教育公园、七一公园、月潭公园、同缘公园、盐边站前广场。</w:t>
      </w:r>
    </w:p>
    <w:p w14:paraId="450D8F23">
      <w:pPr>
        <w:pStyle w:val="7"/>
        <w:keepNext/>
        <w:keepLines/>
        <w:numPr>
          <w:ilvl w:val="0"/>
          <w:numId w:val="24"/>
        </w:numPr>
        <w:adjustRightInd/>
        <w:snapToGrid/>
        <w:spacing w:before="468" w:beforeLines="150" w:after="468" w:afterLines="150" w:line="600" w:lineRule="exact"/>
        <w:ind w:left="0" w:firstLine="0" w:firstLineChars="0"/>
        <w:jc w:val="center"/>
        <w:rPr>
          <w:rFonts w:ascii="黑体" w:hAnsi="黑体" w:eastAsia="黑体" w:cstheme="majorBidi"/>
          <w:bCs/>
          <w:color w:val="auto"/>
          <w:sz w:val="32"/>
          <w:szCs w:val="32"/>
          <w:highlight w:val="none"/>
        </w:rPr>
      </w:pPr>
      <w:bookmarkStart w:id="207" w:name="_Toc30104"/>
      <w:bookmarkStart w:id="208" w:name="_Toc30744"/>
      <w:r>
        <w:rPr>
          <w:rFonts w:hint="eastAsia" w:ascii="黑体" w:hAnsi="黑体" w:eastAsia="黑体" w:cstheme="majorBidi"/>
          <w:bCs/>
          <w:color w:val="auto"/>
          <w:sz w:val="32"/>
          <w:szCs w:val="32"/>
          <w:highlight w:val="none"/>
        </w:rPr>
        <w:t>“四线”管控</w:t>
      </w:r>
      <w:bookmarkEnd w:id="207"/>
      <w:bookmarkEnd w:id="208"/>
    </w:p>
    <w:p w14:paraId="2AA1475B">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城市绿线及管制要求</w:t>
      </w:r>
    </w:p>
    <w:p w14:paraId="1501C4EC">
      <w:pPr>
        <w:spacing w:line="600" w:lineRule="exact"/>
        <w:ind w:firstLine="640"/>
        <w:rPr>
          <w:rFonts w:ascii="仿宋_GB2312" w:eastAsia="仿宋_GB2312"/>
          <w:color w:val="auto"/>
          <w:sz w:val="32"/>
          <w:highlight w:val="none"/>
          <w:u w:val="single"/>
        </w:rPr>
      </w:pPr>
      <w:r>
        <w:rPr>
          <w:rFonts w:hint="eastAsia" w:ascii="仿宋_GB2312" w:eastAsia="仿宋_GB2312"/>
          <w:color w:val="auto"/>
          <w:sz w:val="32"/>
          <w:highlight w:val="none"/>
          <w:u w:val="single"/>
        </w:rPr>
        <w:t>主要包括中心城区</w:t>
      </w:r>
      <w:r>
        <w:rPr>
          <w:rFonts w:hint="eastAsia" w:ascii="仿宋_GB2312" w:eastAsia="仿宋_GB2312"/>
          <w:color w:val="auto"/>
          <w:sz w:val="32"/>
          <w:highlight w:val="none"/>
          <w:u w:val="single"/>
          <w:lang w:val="en-US" w:eastAsia="zh-CN"/>
        </w:rPr>
        <w:t>主要</w:t>
      </w:r>
      <w:r>
        <w:rPr>
          <w:rFonts w:hint="eastAsia" w:ascii="仿宋_GB2312" w:eastAsia="仿宋_GB2312"/>
          <w:color w:val="auto"/>
          <w:sz w:val="32"/>
          <w:highlight w:val="none"/>
          <w:u w:val="single"/>
        </w:rPr>
        <w:t>公园。对影响城市组团布局的结构性生态绿地（非建设用地）参照城市绿线管理。</w:t>
      </w:r>
    </w:p>
    <w:p w14:paraId="20FA7A7A">
      <w:pPr>
        <w:spacing w:line="600" w:lineRule="exact"/>
        <w:ind w:firstLine="640"/>
        <w:rPr>
          <w:rFonts w:ascii="仿宋_GB2312" w:eastAsia="仿宋_GB2312"/>
          <w:color w:val="auto"/>
          <w:sz w:val="32"/>
          <w:highlight w:val="none"/>
          <w:u w:val="single"/>
        </w:rPr>
      </w:pPr>
      <w:r>
        <w:rPr>
          <w:rFonts w:hint="eastAsia" w:ascii="仿宋_GB2312" w:eastAsia="仿宋_GB2312"/>
          <w:color w:val="auto"/>
          <w:sz w:val="32"/>
          <w:highlight w:val="none"/>
          <w:u w:val="single"/>
        </w:rPr>
        <w:t>城市绿线内的用地，严格按照《城市绿线管理办法》进行管控，不得改作他用，不得违反法律法规、强制性标准以及批准的规划进行开发建设。因建设或者其他特殊情况，需要临时占用城市绿线内用地的，必须依法办理相关审批手续。在城市绿线范围内，不符合规划要求的建筑物、构筑物及其他设施应当限期迁出。</w:t>
      </w:r>
    </w:p>
    <w:p w14:paraId="4E4571FD">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城市黄线及管控要求</w:t>
      </w:r>
    </w:p>
    <w:p w14:paraId="561EC8F1">
      <w:pPr>
        <w:spacing w:line="600" w:lineRule="exact"/>
        <w:ind w:firstLine="640"/>
        <w:rPr>
          <w:rFonts w:ascii="仿宋_GB2312" w:eastAsia="仿宋_GB2312"/>
          <w:color w:val="auto"/>
          <w:sz w:val="32"/>
          <w:highlight w:val="none"/>
          <w:u w:val="single"/>
        </w:rPr>
      </w:pPr>
      <w:r>
        <w:rPr>
          <w:rFonts w:hint="eastAsia" w:ascii="仿宋_GB2312" w:eastAsia="仿宋_GB2312"/>
          <w:color w:val="auto"/>
          <w:sz w:val="32"/>
          <w:highlight w:val="none"/>
          <w:u w:val="single"/>
        </w:rPr>
        <w:t>主要包括城市重要公共交通设施、供水设施、供电设施、通信设施、消防设施用地的控制界线。</w:t>
      </w:r>
    </w:p>
    <w:p w14:paraId="100FC39E">
      <w:pPr>
        <w:spacing w:line="600" w:lineRule="exact"/>
        <w:ind w:firstLine="640"/>
        <w:rPr>
          <w:rFonts w:ascii="仿宋_GB2312" w:eastAsia="仿宋_GB2312"/>
          <w:color w:val="auto"/>
          <w:sz w:val="32"/>
          <w:highlight w:val="none"/>
          <w:u w:val="single"/>
        </w:rPr>
      </w:pPr>
      <w:r>
        <w:rPr>
          <w:rFonts w:hint="eastAsia" w:ascii="仿宋_GB2312" w:eastAsia="仿宋_GB2312"/>
          <w:color w:val="auto"/>
          <w:sz w:val="32"/>
          <w:highlight w:val="none"/>
          <w:u w:val="single"/>
        </w:rPr>
        <w:t>在城市黄线内新建、改建、扩建各类建筑物、构筑物、道路、管线和其他工程设施，应当符合城市黄线和国家有关技术标准、规范的要求，依法申请办理国土空间规划许可，并依据有关法律、法规办理相关手续。迁移、拆除城市黄线内城市基础设施的，应当依据有关法律、法规办理相关手续。</w:t>
      </w:r>
    </w:p>
    <w:p w14:paraId="3BE46C36">
      <w:pPr>
        <w:pStyle w:val="9"/>
        <w:keepNext/>
        <w:keepLines/>
        <w:numPr>
          <w:ilvl w:val="0"/>
          <w:numId w:val="8"/>
        </w:numPr>
        <w:adjustRightInd/>
        <w:snapToGrid/>
        <w:spacing w:line="600" w:lineRule="exact"/>
        <w:ind w:left="993"/>
        <w:jc w:val="both"/>
        <w:rPr>
          <w:rFonts w:ascii="仿宋_GB2312" w:eastAsia="仿宋_GB2312"/>
          <w:b/>
          <w:bCs/>
          <w:color w:val="auto"/>
          <w:sz w:val="32"/>
          <w:highlight w:val="none"/>
        </w:rPr>
      </w:pPr>
      <w:r>
        <w:rPr>
          <w:rFonts w:hint="eastAsia" w:ascii="仿宋_GB2312" w:eastAsia="仿宋_GB2312"/>
          <w:b/>
          <w:bCs/>
          <w:color w:val="auto"/>
          <w:sz w:val="32"/>
          <w:highlight w:val="none"/>
        </w:rPr>
        <w:t>城市蓝线及管控要求</w:t>
      </w:r>
    </w:p>
    <w:p w14:paraId="673F5105">
      <w:pPr>
        <w:spacing w:line="600" w:lineRule="exact"/>
        <w:ind w:firstLine="640"/>
        <w:rPr>
          <w:rFonts w:ascii="仿宋_GB2312" w:eastAsia="仿宋_GB2312"/>
          <w:color w:val="auto"/>
          <w:sz w:val="32"/>
          <w:highlight w:val="none"/>
        </w:rPr>
      </w:pPr>
      <w:r>
        <w:rPr>
          <w:rFonts w:hint="eastAsia" w:ascii="仿宋_GB2312" w:eastAsia="仿宋_GB2312"/>
          <w:color w:val="auto"/>
          <w:sz w:val="32"/>
          <w:highlight w:val="none"/>
        </w:rPr>
        <w:t>中心城区不涉及城市蓝线。</w:t>
      </w:r>
    </w:p>
    <w:p w14:paraId="4039A451">
      <w:pPr>
        <w:pStyle w:val="9"/>
        <w:keepNext/>
        <w:keepLines/>
        <w:numPr>
          <w:ilvl w:val="0"/>
          <w:numId w:val="8"/>
        </w:numPr>
        <w:adjustRightInd/>
        <w:snapToGrid/>
        <w:spacing w:line="600" w:lineRule="exact"/>
        <w:ind w:left="993"/>
        <w:jc w:val="both"/>
        <w:rPr>
          <w:rFonts w:ascii="仿宋_GB2312" w:eastAsia="仿宋_GB2312"/>
          <w:b/>
          <w:bCs/>
          <w:color w:val="auto"/>
          <w:sz w:val="32"/>
          <w:highlight w:val="none"/>
        </w:rPr>
      </w:pPr>
      <w:r>
        <w:rPr>
          <w:rFonts w:hint="eastAsia" w:ascii="仿宋_GB2312" w:eastAsia="仿宋_GB2312"/>
          <w:b/>
          <w:bCs/>
          <w:color w:val="auto"/>
          <w:sz w:val="32"/>
          <w:highlight w:val="none"/>
        </w:rPr>
        <w:t>城市紫线及管控要求</w:t>
      </w:r>
    </w:p>
    <w:p w14:paraId="606E014C">
      <w:pPr>
        <w:spacing w:line="600" w:lineRule="exact"/>
        <w:ind w:firstLine="640"/>
        <w:rPr>
          <w:rFonts w:ascii="仿宋_GB2312" w:eastAsia="仿宋_GB2312"/>
          <w:color w:val="auto"/>
          <w:sz w:val="32"/>
          <w:highlight w:val="none"/>
        </w:rPr>
      </w:pPr>
      <w:r>
        <w:rPr>
          <w:rFonts w:hint="eastAsia" w:ascii="仿宋_GB2312" w:eastAsia="仿宋_GB2312"/>
          <w:color w:val="auto"/>
          <w:sz w:val="32"/>
          <w:highlight w:val="none"/>
        </w:rPr>
        <w:t>中心城区不涉及城市紫线。</w:t>
      </w:r>
    </w:p>
    <w:p w14:paraId="04E9F7F2">
      <w:pPr>
        <w:widowControl/>
        <w:adjustRightInd/>
        <w:snapToGrid/>
        <w:spacing w:line="240" w:lineRule="auto"/>
        <w:ind w:firstLine="0" w:firstLineChars="0"/>
        <w:jc w:val="left"/>
        <w:rPr>
          <w:rFonts w:ascii="黑体" w:hAnsi="黑体" w:eastAsia="黑体"/>
          <w:bCs/>
          <w:color w:val="auto"/>
          <w:kern w:val="44"/>
          <w:sz w:val="36"/>
          <w:szCs w:val="44"/>
          <w:highlight w:val="none"/>
        </w:rPr>
      </w:pPr>
      <w:r>
        <w:rPr>
          <w:rFonts w:ascii="黑体" w:hAnsi="黑体" w:eastAsia="黑体"/>
          <w:bCs/>
          <w:color w:val="auto"/>
          <w:kern w:val="44"/>
          <w:sz w:val="36"/>
          <w:szCs w:val="44"/>
          <w:highlight w:val="none"/>
        </w:rPr>
        <w:br w:type="page"/>
      </w:r>
    </w:p>
    <w:p w14:paraId="5F7AFEDC">
      <w:pPr>
        <w:pStyle w:val="5"/>
        <w:rPr>
          <w:b/>
          <w:bCs/>
          <w:color w:val="auto"/>
          <w:sz w:val="36"/>
          <w:szCs w:val="36"/>
          <w:highlight w:val="none"/>
        </w:rPr>
      </w:pPr>
      <w:bookmarkStart w:id="209" w:name="_Toc23857"/>
      <w:bookmarkStart w:id="210" w:name="_Toc132447844"/>
      <w:bookmarkStart w:id="211" w:name="_Toc4613"/>
      <w:r>
        <w:rPr>
          <w:rFonts w:hint="eastAsia"/>
          <w:b/>
          <w:bCs/>
          <w:color w:val="auto"/>
          <w:sz w:val="36"/>
          <w:szCs w:val="36"/>
          <w:highlight w:val="none"/>
        </w:rPr>
        <w:t>第五部分 实施保障</w:t>
      </w:r>
      <w:bookmarkEnd w:id="209"/>
      <w:bookmarkEnd w:id="210"/>
      <w:bookmarkEnd w:id="211"/>
    </w:p>
    <w:p w14:paraId="3464ABB4">
      <w:pPr>
        <w:pStyle w:val="7"/>
        <w:keepNext/>
        <w:keepLines/>
        <w:numPr>
          <w:ilvl w:val="0"/>
          <w:numId w:val="29"/>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212" w:name="_Toc132447845"/>
      <w:bookmarkStart w:id="213" w:name="_Toc16264"/>
      <w:bookmarkStart w:id="214" w:name="_Toc20024"/>
      <w:r>
        <w:rPr>
          <w:rFonts w:hint="eastAsia" w:ascii="黑体" w:hAnsi="黑体" w:eastAsia="黑体"/>
          <w:bCs/>
          <w:color w:val="auto"/>
          <w:sz w:val="32"/>
          <w:szCs w:val="32"/>
          <w:highlight w:val="none"/>
        </w:rPr>
        <w:t>健全规划传导</w:t>
      </w:r>
      <w:bookmarkEnd w:id="212"/>
      <w:bookmarkEnd w:id="213"/>
      <w:bookmarkEnd w:id="214"/>
    </w:p>
    <w:p w14:paraId="7CB2AE56">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规划体系建设</w:t>
      </w:r>
    </w:p>
    <w:p w14:paraId="20ADC265">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完善全域覆盖、分层管理、分类指导的国土空间规划体系。统筹各级各类空间规划，构建“县—镇（乡）—村”三级国土空间规划体系。国土空间总体规划包括县级国土空间总体规划和乡镇级片区国土空间总体规划，在此之下编制实用性村规划，下级国土空间总体规划必须服从上级国土空间总体规划。</w:t>
      </w:r>
    </w:p>
    <w:p w14:paraId="2FB51764">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加快专项规划和详细规划的编制，分解落实、深化细化总体规划的目标、指标及各项管控要求，强化总体规划战略引领与刚性控制作用，确保规划内容有效传导，确保各项规划在总体要求上方向一致，在空间配置上相互协调，在时序安排上科学有序。</w:t>
      </w:r>
    </w:p>
    <w:p w14:paraId="36DC644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总体规划传导</w:t>
      </w:r>
    </w:p>
    <w:p w14:paraId="6BC772DC">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构建功能传导、格局传导、指标传导为核心的空间传导体系，向乡镇级片区国土空间总体规划传导，逐级传导落实。</w:t>
      </w:r>
    </w:p>
    <w:p w14:paraId="0D66341C">
      <w:pPr>
        <w:pStyle w:val="6"/>
        <w:numPr>
          <w:ilvl w:val="0"/>
          <w:numId w:val="30"/>
        </w:numPr>
        <w:ind w:firstLineChars="0"/>
        <w:rPr>
          <w:color w:val="auto"/>
          <w:highlight w:val="none"/>
        </w:rPr>
      </w:pPr>
      <w:r>
        <w:rPr>
          <w:rFonts w:hint="eastAsia"/>
          <w:color w:val="auto"/>
          <w:highlight w:val="none"/>
        </w:rPr>
        <w:t>功能传导</w:t>
      </w:r>
    </w:p>
    <w:p w14:paraId="1C19FAE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本规划确定的愿景目标、总体定位、空间战略等向下位规划逐级传导落实。</w:t>
      </w:r>
    </w:p>
    <w:p w14:paraId="36A69EF7">
      <w:pPr>
        <w:pStyle w:val="6"/>
        <w:numPr>
          <w:ilvl w:val="0"/>
          <w:numId w:val="30"/>
        </w:numPr>
        <w:ind w:firstLineChars="0"/>
        <w:rPr>
          <w:color w:val="auto"/>
          <w:highlight w:val="none"/>
        </w:rPr>
      </w:pPr>
      <w:r>
        <w:rPr>
          <w:rFonts w:hint="eastAsia"/>
          <w:color w:val="auto"/>
          <w:highlight w:val="none"/>
        </w:rPr>
        <w:t>格局传导</w:t>
      </w:r>
    </w:p>
    <w:p w14:paraId="6D72541B">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本规划确定的总体格局、城镇体系、魅力空间、产业格局、城乡公共服务体系、历史文化保护体系、综合交通体系、基础设施体系、综合防灾体系等向下位规划传导落实。</w:t>
      </w:r>
    </w:p>
    <w:p w14:paraId="69DE2C09">
      <w:pPr>
        <w:pStyle w:val="6"/>
        <w:numPr>
          <w:ilvl w:val="0"/>
          <w:numId w:val="30"/>
        </w:numPr>
        <w:ind w:firstLineChars="0"/>
        <w:rPr>
          <w:color w:val="auto"/>
          <w:highlight w:val="none"/>
        </w:rPr>
      </w:pPr>
      <w:r>
        <w:rPr>
          <w:rFonts w:hint="eastAsia"/>
          <w:color w:val="auto"/>
          <w:highlight w:val="none"/>
        </w:rPr>
        <w:t>底线管控</w:t>
      </w:r>
    </w:p>
    <w:p w14:paraId="5EA8AB4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本规划确定的“三区三线”规模与布局，须在乡镇级片区国土空间总体规划中严格细化落实，明确各乡镇具体划定任务，并结合本地实际情况，在国家相关底线管控要求基础上，细化管控规则。</w:t>
      </w:r>
    </w:p>
    <w:p w14:paraId="6AE2D128">
      <w:pPr>
        <w:pStyle w:val="6"/>
        <w:numPr>
          <w:ilvl w:val="0"/>
          <w:numId w:val="30"/>
        </w:numPr>
        <w:ind w:firstLineChars="0"/>
        <w:rPr>
          <w:color w:val="auto"/>
          <w:highlight w:val="none"/>
        </w:rPr>
      </w:pPr>
      <w:r>
        <w:rPr>
          <w:rFonts w:hint="eastAsia"/>
          <w:color w:val="auto"/>
          <w:highlight w:val="none"/>
        </w:rPr>
        <w:t>用途管控</w:t>
      </w:r>
    </w:p>
    <w:p w14:paraId="1470A8D7">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规划建立“功能引导—用地分类”的分级管控机制。本规划确定的主体功能区布局、规划分区、国土空间功能结构调整等用途管制要求，需按照国家相关要求，在乡镇级片区国土空间总体规划中进一步细化落实。</w:t>
      </w:r>
    </w:p>
    <w:p w14:paraId="71FDE732">
      <w:pPr>
        <w:pStyle w:val="6"/>
        <w:numPr>
          <w:ilvl w:val="0"/>
          <w:numId w:val="30"/>
        </w:numPr>
        <w:ind w:firstLineChars="0"/>
        <w:rPr>
          <w:color w:val="auto"/>
          <w:highlight w:val="none"/>
        </w:rPr>
      </w:pPr>
      <w:r>
        <w:rPr>
          <w:rFonts w:hint="eastAsia"/>
          <w:color w:val="auto"/>
          <w:highlight w:val="none"/>
        </w:rPr>
        <w:t>指标管控</w:t>
      </w:r>
    </w:p>
    <w:p w14:paraId="577D10E2">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按照县级国土空间总体规划指标分解，深化形成各乡镇的指标体系。将耕地保有量、永久基本农田保护面积、生态保护红线、城镇开发边界等各项约束性指标纳入乡镇级片区国土空间总体规划予以落实，确保各项约束性指标完成。</w:t>
      </w:r>
    </w:p>
    <w:p w14:paraId="1236CEF6">
      <w:pPr>
        <w:pStyle w:val="6"/>
        <w:numPr>
          <w:ilvl w:val="0"/>
          <w:numId w:val="30"/>
        </w:numPr>
        <w:ind w:firstLineChars="0"/>
        <w:rPr>
          <w:color w:val="auto"/>
          <w:highlight w:val="none"/>
        </w:rPr>
      </w:pPr>
      <w:r>
        <w:rPr>
          <w:rFonts w:hint="eastAsia"/>
          <w:color w:val="auto"/>
          <w:highlight w:val="none"/>
        </w:rPr>
        <w:t>清单管控</w:t>
      </w:r>
    </w:p>
    <w:p w14:paraId="0008B954">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本规划确定的历史文化资源名录、重大工程项目、自然保护地等向下位及专项规划传导。</w:t>
      </w:r>
    </w:p>
    <w:p w14:paraId="65A53F85">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专项规划传导</w:t>
      </w:r>
    </w:p>
    <w:p w14:paraId="0CAD056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明确专项规划编制清单。对能源、水利、农业、通信、市政、公共服务设施、生态环境保护等涉及空间利用的专业领域，由相关主管部门组织编制专项规划。根据自身行业发展规律，提出至2035年的行业发展目标，生成项目清单，提出空间需求，并以大地2000坐标系为基准，明确具体界线，最终叠加到国土空间规划“一张图”。</w:t>
      </w:r>
    </w:p>
    <w:p w14:paraId="7E6B2F0F">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强化对专项规划的指导约束。由相关主管部门组织编制。相关专项规划在县、镇层级编制，不同层级的专项规划可结合实际选择编制的类型和精度。相关专项规划应在国土空间总体规划的约束下编制，落实相关约束性指标，不得违背盐边县国土空间总体规划的强制性内容。经依法批准后纳入市级国土空间基础信息平台，叠加到国土空间规划“一张图”。</w:t>
      </w:r>
    </w:p>
    <w:p w14:paraId="79A0A047">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详细规划传导</w:t>
      </w:r>
    </w:p>
    <w:p w14:paraId="606ADCCF">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鉴于中心城区城市尺度和用地规模，中心城区作为</w:t>
      </w:r>
      <w:r>
        <w:rPr>
          <w:rFonts w:ascii="仿宋_GB2312" w:eastAsia="仿宋_GB2312"/>
          <w:color w:val="auto"/>
          <w:sz w:val="32"/>
          <w:szCs w:val="32"/>
          <w:highlight w:val="none"/>
        </w:rPr>
        <w:t>1</w:t>
      </w:r>
      <w:r>
        <w:rPr>
          <w:rFonts w:hint="eastAsia" w:ascii="仿宋_GB2312" w:eastAsia="仿宋_GB2312"/>
          <w:color w:val="auto"/>
          <w:sz w:val="32"/>
          <w:szCs w:val="32"/>
          <w:highlight w:val="none"/>
        </w:rPr>
        <w:t>个管控单元。对用地规模、人口、重要设施（教育设施、文化设施、体育设施、社会福利设施、公园绿地及交通与市政基础设施）进行控制，各项设施具体布局通过控制性详细规划进行落实。重大交通基础设施建设确需调整绿线的，在保证绿线的结构系统性基础上，可调整涉及总规控制单元公园绿地布局及规模。</w:t>
      </w:r>
    </w:p>
    <w:p w14:paraId="26B6F41E">
      <w:pPr>
        <w:pStyle w:val="7"/>
        <w:keepNext/>
        <w:keepLines/>
        <w:numPr>
          <w:ilvl w:val="0"/>
          <w:numId w:val="29"/>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215" w:name="_Toc132447847"/>
      <w:bookmarkStart w:id="216" w:name="_Toc5469"/>
      <w:bookmarkStart w:id="217" w:name="_Toc124195959"/>
      <w:bookmarkStart w:id="218" w:name="_Toc28492"/>
      <w:r>
        <w:rPr>
          <w:rFonts w:hint="eastAsia" w:ascii="黑体" w:hAnsi="黑体" w:eastAsia="黑体"/>
          <w:bCs/>
          <w:color w:val="auto"/>
          <w:sz w:val="32"/>
          <w:szCs w:val="32"/>
          <w:highlight w:val="none"/>
        </w:rPr>
        <w:t>政策机制</w:t>
      </w:r>
      <w:bookmarkEnd w:id="215"/>
      <w:bookmarkEnd w:id="216"/>
      <w:bookmarkEnd w:id="217"/>
      <w:bookmarkEnd w:id="218"/>
    </w:p>
    <w:p w14:paraId="432BB29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耕地保护配套政策</w:t>
      </w:r>
    </w:p>
    <w:p w14:paraId="6ED601C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落实耕地“占补平衡”“进出平衡”。全面推行耕地保护田长制，加快构建县、镇、村三级田长和网格员责任体系，强化耕地保护网格化监管。坚决</w:t>
      </w:r>
      <w:r>
        <w:rPr>
          <w:rFonts w:hint="eastAsia" w:ascii="仿宋_GB2312" w:eastAsia="仿宋_GB2312"/>
          <w:color w:val="auto"/>
          <w:sz w:val="32"/>
          <w:szCs w:val="32"/>
          <w:highlight w:val="none"/>
          <w:lang w:eastAsia="zh-CN"/>
        </w:rPr>
        <w:t>遏制耕地“非农化”、防止“非粮化”</w:t>
      </w:r>
      <w:r>
        <w:rPr>
          <w:rFonts w:hint="eastAsia" w:ascii="仿宋_GB2312" w:eastAsia="仿宋_GB2312"/>
          <w:color w:val="auto"/>
          <w:sz w:val="32"/>
          <w:szCs w:val="32"/>
          <w:highlight w:val="none"/>
        </w:rPr>
        <w:t>，严格落实永久基本农田特殊保护制度，严格耕地用途管制，对耕地转为其他农用地及农业设施建设用地实行年度“进出平衡”政策，禁止任何非法占用和使用</w:t>
      </w:r>
      <w:r>
        <w:rPr>
          <w:rFonts w:hint="eastAsia" w:ascii="仿宋_GB2312" w:eastAsia="仿宋_GB2312"/>
          <w:color w:val="auto"/>
          <w:sz w:val="32"/>
          <w:szCs w:val="32"/>
          <w:highlight w:val="none"/>
          <w:lang w:val="en-US" w:eastAsia="zh-CN"/>
        </w:rPr>
        <w:t>永久</w:t>
      </w:r>
      <w:r>
        <w:rPr>
          <w:rFonts w:hint="eastAsia" w:ascii="仿宋_GB2312" w:eastAsia="仿宋_GB2312"/>
          <w:color w:val="auto"/>
          <w:sz w:val="32"/>
          <w:szCs w:val="32"/>
          <w:highlight w:val="none"/>
        </w:rPr>
        <w:t>基本农田的行为</w:t>
      </w:r>
      <w:r>
        <w:rPr>
          <w:rFonts w:hint="eastAsia" w:ascii="仿宋_GB2312" w:eastAsia="仿宋_GB2312"/>
          <w:color w:val="auto"/>
          <w:sz w:val="32"/>
          <w:szCs w:val="32"/>
          <w:highlight w:val="none"/>
          <w:lang w:eastAsia="zh-CN"/>
        </w:rPr>
        <w:t>并且</w:t>
      </w:r>
      <w:r>
        <w:rPr>
          <w:rFonts w:hint="eastAsia" w:ascii="仿宋_GB2312" w:eastAsia="仿宋_GB2312"/>
          <w:color w:val="auto"/>
          <w:sz w:val="32"/>
          <w:szCs w:val="32"/>
          <w:highlight w:val="none"/>
        </w:rPr>
        <w:t>改变一般耕地地类。落实和完善耕地占补平衡政策，建立补充耕地立项、实施、验收、管护全程监管机制，确保补充可长期稳定利用的耕地，实现补充耕地产能与所占耕地相当。</w:t>
      </w:r>
    </w:p>
    <w:p w14:paraId="11DB2AE9">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生态保护与修复配套政策</w:t>
      </w:r>
    </w:p>
    <w:p w14:paraId="5BE0B7F2">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探索构建多元化生态保护补偿机制和生态产品价值实现机制，落实和完善生态环境损害赔偿制度。创新自然资源资产使用权制度，激励社会投资主体从事生态保护修复。基本建立天然林保护修复法律制度体系、政策保障体系、技术标准体系和监督评价体系。健全生态环境管控体系，推动“三线一单”落地优化，强化规划环境影响评价引导功能。完善绿色矿山建设支持政策。</w:t>
      </w:r>
    </w:p>
    <w:p w14:paraId="3B4F4460">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绿色低碳发展配套政策</w:t>
      </w:r>
    </w:p>
    <w:p w14:paraId="5822AC06">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支撑全国重要清洁能源基地建设，协调绿色低碳产业布局，加强“水风光氢储”</w:t>
      </w:r>
      <w:r>
        <w:rPr>
          <w:rFonts w:hint="eastAsia" w:ascii="仿宋_GB2312" w:eastAsia="仿宋_GB2312"/>
          <w:color w:val="auto"/>
          <w:sz w:val="32"/>
          <w:szCs w:val="32"/>
          <w:highlight w:val="none"/>
          <w:lang w:eastAsia="zh-CN"/>
        </w:rPr>
        <w:t>“五位一体”</w:t>
      </w:r>
      <w:r>
        <w:rPr>
          <w:rFonts w:hint="eastAsia" w:ascii="仿宋_GB2312" w:eastAsia="仿宋_GB2312"/>
          <w:color w:val="auto"/>
          <w:sz w:val="32"/>
          <w:szCs w:val="32"/>
          <w:highlight w:val="none"/>
        </w:rPr>
        <w:t>、多能互补、协调发展的新型能源体系的用地保障，加快推进地热资源勘探利用</w:t>
      </w:r>
      <w:bookmarkStart w:id="222" w:name="_GoBack"/>
      <w:bookmarkEnd w:id="222"/>
      <w:r>
        <w:rPr>
          <w:rFonts w:hint="eastAsia" w:ascii="仿宋_GB2312" w:eastAsia="仿宋_GB2312"/>
          <w:color w:val="auto"/>
          <w:sz w:val="32"/>
          <w:szCs w:val="32"/>
          <w:highlight w:val="none"/>
        </w:rPr>
        <w:t>和产业发展。制定支撑传统产业绿色化改造、产业园区循环化改造的园区更新改造政策。</w:t>
      </w:r>
    </w:p>
    <w:p w14:paraId="6E1E76FA">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存量用地整治与盘活配套政策</w:t>
      </w:r>
    </w:p>
    <w:p w14:paraId="3DF24EF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鼓励对依法登记的宅基地及公共服务设施等闲置低效农村建设用地进行复合利用，发展乡村民宿、农产品初加工、电子商务等农村产业。鼓励对乡村地区闲置、低效的国有建设用地用房按照有关规定进行再开发利用。</w:t>
      </w:r>
    </w:p>
    <w:p w14:paraId="6F8C8C08">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工矿用地供给配套政策</w:t>
      </w:r>
    </w:p>
    <w:p w14:paraId="0EA7050A">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推进工业用地供应由出让为主向租赁、出让并重转变，强化土地要素保障，降低用地成本，促进工业经济平稳增长。采矿用地鼓励使用复垦修复腾退指标办理用地手续、允许复垦修复的新增耕地用于占补平衡，解决计划指标和耕地占补平衡问题。</w:t>
      </w:r>
    </w:p>
    <w:p w14:paraId="69318B63">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镇村发展配套政策</w:t>
      </w:r>
    </w:p>
    <w:p w14:paraId="308C8C27">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推进城乡融合发展，建立健全城乡基础设施统一规划、建设、管护机制。健全城乡要素合理配置体制机制，推动城乡要素平等交换、双向流动。完善农村集体经济股权量化和收益分配机制，深化农村集体产权制度和承包地改革。持续改善农村生产生活条件，建设宜居宜业和美乡村。深入挖掘和利用乡村人文历史、自然生态资源。打造一批少数民族特色村寨和民族团结进步示范村。</w:t>
      </w:r>
    </w:p>
    <w:p w14:paraId="535903BF">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自然资源用途管制制度完善</w:t>
      </w:r>
    </w:p>
    <w:p w14:paraId="681CE259">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落实“三线”管控制度，实施全域全类型统一的国土空间用途管制，完善“空间准入、用途转用、审批许可”的用途管制管理体系，推动选址意见书、用地预审、压覆矿产资源审批、占用林地审批、地质灾害危险性评估等“多审合一”，做实空间准入，管好项目用地边界。</w:t>
      </w:r>
    </w:p>
    <w:p w14:paraId="3DD0843D">
      <w:pPr>
        <w:pStyle w:val="7"/>
        <w:keepNext/>
        <w:keepLines/>
        <w:numPr>
          <w:ilvl w:val="0"/>
          <w:numId w:val="29"/>
        </w:numPr>
        <w:adjustRightInd/>
        <w:snapToGrid/>
        <w:spacing w:before="468" w:beforeLines="150" w:after="468" w:afterLines="150" w:line="600" w:lineRule="exact"/>
        <w:ind w:left="0" w:firstLine="0" w:firstLineChars="0"/>
        <w:jc w:val="center"/>
        <w:rPr>
          <w:rFonts w:ascii="黑体" w:hAnsi="黑体" w:eastAsia="黑体"/>
          <w:bCs/>
          <w:color w:val="auto"/>
          <w:sz w:val="32"/>
          <w:szCs w:val="32"/>
          <w:highlight w:val="none"/>
        </w:rPr>
      </w:pPr>
      <w:bookmarkStart w:id="219" w:name="_Toc16286"/>
      <w:bookmarkStart w:id="220" w:name="_Toc13593"/>
      <w:bookmarkStart w:id="221" w:name="_Toc132447848"/>
      <w:r>
        <w:rPr>
          <w:rFonts w:hint="eastAsia" w:ascii="黑体" w:hAnsi="黑体" w:eastAsia="黑体"/>
          <w:bCs/>
          <w:color w:val="auto"/>
          <w:sz w:val="32"/>
          <w:szCs w:val="32"/>
          <w:highlight w:val="none"/>
        </w:rPr>
        <w:t>实施监督</w:t>
      </w:r>
      <w:bookmarkEnd w:id="219"/>
      <w:bookmarkEnd w:id="220"/>
      <w:bookmarkEnd w:id="221"/>
    </w:p>
    <w:p w14:paraId="1F44DE8E">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监测评估</w:t>
      </w:r>
    </w:p>
    <w:p w14:paraId="38792D0C">
      <w:pPr>
        <w:pStyle w:val="6"/>
        <w:numPr>
          <w:ilvl w:val="0"/>
          <w:numId w:val="31"/>
        </w:numPr>
        <w:ind w:firstLineChars="0"/>
        <w:rPr>
          <w:color w:val="auto"/>
          <w:highlight w:val="none"/>
        </w:rPr>
      </w:pPr>
      <w:r>
        <w:rPr>
          <w:rFonts w:hint="eastAsia"/>
          <w:color w:val="auto"/>
          <w:highlight w:val="none"/>
        </w:rPr>
        <w:t>建立“一张图”实施监督系统</w:t>
      </w:r>
    </w:p>
    <w:p w14:paraId="6449D461">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按照共建、共用、互联、共享的原则，以国土空间基础信息平台为基础，市县统建“一张图”实施监督系统。县级国土空间总体规划报批前通过市级系统作规划符合性审查，批复后将成果纳入市级系统。依托“一张图”实施监督系统，对国土空间开发保护建设进行动态监测。县级自然资源和规划主管部门牵头组织对下级国土空间规划执行情况进行监督。将国土空间规划审批的结果纳入“一张图”实施监督系统，逐步建立规划指标动态监督、“增存挂钩”国土空间规划动态监督等智能系统。将国土空间规划执行情况纳入自然资源执法督察内容。</w:t>
      </w:r>
    </w:p>
    <w:p w14:paraId="3219FC04">
      <w:pPr>
        <w:pStyle w:val="6"/>
        <w:numPr>
          <w:ilvl w:val="0"/>
          <w:numId w:val="31"/>
        </w:numPr>
        <w:ind w:firstLineChars="0"/>
        <w:rPr>
          <w:color w:val="auto"/>
          <w:highlight w:val="none"/>
        </w:rPr>
      </w:pPr>
      <w:r>
        <w:rPr>
          <w:rFonts w:hint="eastAsia"/>
          <w:color w:val="auto"/>
          <w:highlight w:val="none"/>
        </w:rPr>
        <w:t>建立规划评估和维护机制</w:t>
      </w:r>
    </w:p>
    <w:p w14:paraId="66E1ACAC">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建立定期体检</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评估的常态化规划实施监督机制，将国土空间规划城市体检评估结果作为编制、审批、修改规划和审计、执法、督察的重要参考。按照“一年一体检、五年一评估”要求开展城市体检评估并提出改进规划管理意见，县自然资源主管部门要适时向社会公开城市体检评估报告。</w:t>
      </w:r>
    </w:p>
    <w:p w14:paraId="2D408FA5">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建立公开透明、制度化的动态调整完善机制，根据同期城市发展规划战略安排、城市体检评估结果进行动态调整，完善实施机制、优化调整近期建设规划和年度实施计划等方式，确保规划各项内容得到落实。</w:t>
      </w:r>
    </w:p>
    <w:p w14:paraId="165569E2">
      <w:pPr>
        <w:pStyle w:val="9"/>
        <w:keepNext/>
        <w:keepLines/>
        <w:numPr>
          <w:ilvl w:val="0"/>
          <w:numId w:val="8"/>
        </w:numPr>
        <w:adjustRightInd/>
        <w:snapToGrid/>
        <w:spacing w:line="600" w:lineRule="exact"/>
        <w:ind w:left="993"/>
        <w:jc w:val="both"/>
        <w:rPr>
          <w:rFonts w:ascii="仿宋_GB2312" w:hAnsi="Times New Roman" w:eastAsia="仿宋_GB2312"/>
          <w:b/>
          <w:bCs/>
          <w:color w:val="auto"/>
          <w:sz w:val="32"/>
          <w:szCs w:val="28"/>
          <w:highlight w:val="none"/>
        </w:rPr>
      </w:pPr>
      <w:r>
        <w:rPr>
          <w:rFonts w:hint="eastAsia" w:ascii="仿宋_GB2312" w:hAnsi="Times New Roman" w:eastAsia="仿宋_GB2312"/>
          <w:b/>
          <w:bCs/>
          <w:color w:val="auto"/>
          <w:sz w:val="32"/>
          <w:szCs w:val="28"/>
          <w:highlight w:val="none"/>
        </w:rPr>
        <w:t>实施考核</w:t>
      </w:r>
    </w:p>
    <w:p w14:paraId="541E4E9D">
      <w:pPr>
        <w:spacing w:line="600" w:lineRule="exact"/>
        <w:ind w:firstLine="640"/>
        <w:rPr>
          <w:rFonts w:ascii="仿宋_GB2312" w:eastAsia="仿宋_GB2312"/>
          <w:color w:val="auto"/>
          <w:sz w:val="32"/>
          <w:szCs w:val="32"/>
          <w:highlight w:val="none"/>
        </w:rPr>
      </w:pPr>
      <w:r>
        <w:rPr>
          <w:rFonts w:hint="eastAsia" w:ascii="仿宋_GB2312" w:eastAsia="仿宋_GB2312"/>
          <w:color w:val="auto"/>
          <w:sz w:val="32"/>
          <w:szCs w:val="32"/>
          <w:highlight w:val="none"/>
        </w:rPr>
        <w:t>严格规划实施监管，建立健全规划监督、执法、问责联动机制，创新监管手段，强化信息互通、成果共享，形成人大、政协、纪检、司法、监察、审计、社会等各方监督合力。将规划实施成效纳入地方各级党委和政府及有关部门的年度绩效考评内容，考核结果作为有关领导干部年度考核、选拔任用的重要依据。建立规划实施考核制度，实行规划实施考核结果与实施主体责任、绩效挂钩的考核机制。实行规划实施的监督考核问责制度，对违反规划和落实不力、造成严重损失或重大影响的，坚决严肃查处，依法依规追究责任。</w:t>
      </w:r>
    </w:p>
    <w:p w14:paraId="22C5125F">
      <w:pPr>
        <w:widowControl/>
        <w:ind w:firstLine="0" w:firstLineChars="0"/>
        <w:jc w:val="left"/>
        <w:rPr>
          <w:rFonts w:ascii="Calibri Light" w:hAnsi="Calibri Light" w:eastAsia="黑体" w:cs="Times New Roman"/>
          <w:color w:val="auto"/>
          <w:sz w:val="20"/>
          <w:szCs w:val="20"/>
          <w:highlight w:val="none"/>
        </w:rPr>
      </w:pPr>
      <w:r>
        <w:rPr>
          <w:color w:val="auto"/>
          <w:highlight w:val="none"/>
        </w:rPr>
        <w:br w:type="page"/>
      </w:r>
    </w:p>
    <w:bookmarkEnd w:id="178"/>
    <w:p w14:paraId="55D615C4">
      <w:pPr>
        <w:ind w:firstLine="1440"/>
        <w:rPr>
          <w:rFonts w:hint="eastAsia" w:ascii="黑体" w:hAnsi="黑体" w:eastAsia="黑体"/>
          <w:color w:val="auto"/>
          <w:sz w:val="72"/>
          <w:szCs w:val="88"/>
          <w:highlight w:val="none"/>
          <w:lang w:eastAsia="zh-CN"/>
        </w:rPr>
      </w:pPr>
    </w:p>
    <w:p w14:paraId="5BBF13BB">
      <w:pPr>
        <w:adjustRightInd/>
        <w:snapToGrid/>
        <w:spacing w:line="240" w:lineRule="auto"/>
        <w:ind w:firstLine="0" w:firstLineChars="0"/>
        <w:jc w:val="center"/>
        <w:rPr>
          <w:rFonts w:hint="default" w:ascii="方正小标宋_GBK" w:hAnsi="方正小标宋_GBK" w:eastAsia="方正小标宋_GBK" w:cs="方正小标宋_GBK"/>
          <w:color w:val="auto"/>
          <w:sz w:val="52"/>
          <w:szCs w:val="52"/>
          <w:highlight w:val="none"/>
          <w:lang w:val="en-US" w:eastAsia="zh-CN"/>
        </w:rPr>
      </w:pPr>
      <w:r>
        <w:rPr>
          <w:rFonts w:hint="eastAsia" w:ascii="方正小标宋_GBK" w:hAnsi="方正小标宋_GBK" w:eastAsia="方正小标宋_GBK" w:cs="方正小标宋_GBK"/>
          <w:color w:val="auto"/>
          <w:sz w:val="52"/>
          <w:szCs w:val="52"/>
          <w:highlight w:val="none"/>
          <w:lang w:val="en-US" w:eastAsia="zh-CN"/>
        </w:rPr>
        <w:t>图纸目录</w:t>
      </w:r>
    </w:p>
    <w:p w14:paraId="7C30E762">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乡镇级行政区主体功能定位分布图</w:t>
      </w:r>
    </w:p>
    <w:p w14:paraId="489BB619">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县域国土空间总体格局规划图</w:t>
      </w:r>
    </w:p>
    <w:p w14:paraId="46AB29F8">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县域国土空间控制线规划图</w:t>
      </w:r>
    </w:p>
    <w:p w14:paraId="2B7D6CF7">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县域耕地和永久基本农田保护红线图</w:t>
      </w:r>
    </w:p>
    <w:p w14:paraId="5ECD1683">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县域生态保护红线图</w:t>
      </w:r>
    </w:p>
    <w:p w14:paraId="1B0B07F8">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县域城镇开发边界图</w:t>
      </w:r>
    </w:p>
    <w:p w14:paraId="0C39F784">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县域历史文化保护线规划图</w:t>
      </w:r>
    </w:p>
    <w:p w14:paraId="75629D54">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中心城区国土空间用地现状图</w:t>
      </w:r>
    </w:p>
    <w:p w14:paraId="14E76349">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中心城区功能结构规划图</w:t>
      </w:r>
    </w:p>
    <w:p w14:paraId="593C8019">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中心城区国土空间规划分区图</w:t>
      </w:r>
    </w:p>
    <w:p w14:paraId="72B2B67D">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中心城区公共服务设施体系规划图</w:t>
      </w:r>
    </w:p>
    <w:p w14:paraId="00B96DBB">
      <w:pPr>
        <w:numPr>
          <w:ilvl w:val="0"/>
          <w:numId w:val="32"/>
        </w:numPr>
        <w:spacing w:line="600" w:lineRule="exact"/>
        <w:ind w:left="0" w:leftChars="0" w:firstLine="560" w:firstLineChars="175"/>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中心城区道路交通规划图</w:t>
      </w:r>
    </w:p>
    <w:p w14:paraId="3FE86E29">
      <w:pPr>
        <w:spacing w:line="600" w:lineRule="exact"/>
        <w:ind w:firstLine="640"/>
        <w:rPr>
          <w:rFonts w:hint="eastAsia" w:ascii="仿宋_GB2312" w:eastAsia="仿宋_GB2312"/>
          <w:color w:val="auto"/>
          <w:sz w:val="32"/>
          <w:szCs w:val="32"/>
          <w:highlight w:val="none"/>
        </w:rPr>
      </w:pPr>
    </w:p>
    <w:p w14:paraId="189F0F32">
      <w:pPr>
        <w:widowControl/>
        <w:ind w:firstLine="0" w:firstLineChars="0"/>
        <w:jc w:val="center"/>
        <w:rPr>
          <w:rFonts w:ascii="黑体" w:hAnsi="黑体" w:eastAsia="黑体"/>
          <w:color w:val="auto"/>
          <w:sz w:val="48"/>
          <w:szCs w:val="88"/>
          <w:highlight w:val="none"/>
        </w:rPr>
      </w:pPr>
    </w:p>
    <w:p w14:paraId="1B75A4ED">
      <w:pPr>
        <w:widowControl/>
        <w:ind w:firstLine="0" w:firstLineChars="0"/>
        <w:jc w:val="center"/>
        <w:rPr>
          <w:rFonts w:ascii="仿宋_GB2312" w:hAnsi="黑体" w:eastAsia="仿宋_GB2312"/>
          <w:color w:val="auto"/>
          <w:szCs w:val="28"/>
          <w:highlight w:val="none"/>
        </w:rPr>
      </w:pPr>
    </w:p>
    <w:p w14:paraId="3F528CD1">
      <w:pPr>
        <w:adjustRightInd/>
        <w:snapToGrid/>
        <w:spacing w:line="240" w:lineRule="auto"/>
        <w:ind w:firstLine="0" w:firstLineChars="0"/>
        <w:jc w:val="center"/>
        <w:rPr>
          <w:rFonts w:ascii="楷体_GB2312" w:hAnsi="楷体_GB2312" w:eastAsia="楷体_GB2312" w:cs="楷体_GB2312"/>
          <w:color w:val="auto"/>
          <w:szCs w:val="28"/>
          <w:highlight w:val="none"/>
        </w:rPr>
      </w:pPr>
    </w:p>
    <w:p w14:paraId="36BF3E3D">
      <w:pPr>
        <w:spacing w:line="600" w:lineRule="exact"/>
        <w:ind w:firstLine="640"/>
        <w:rPr>
          <w:rFonts w:ascii="仿宋_GB2312" w:eastAsia="仿宋_GB2312"/>
          <w:color w:val="auto"/>
          <w:sz w:val="32"/>
          <w:szCs w:val="32"/>
          <w:highlight w:val="none"/>
        </w:rPr>
        <w:sectPr>
          <w:headerReference r:id="rId15" w:type="first"/>
          <w:footerReference r:id="rId18" w:type="first"/>
          <w:headerReference r:id="rId13" w:type="default"/>
          <w:footerReference r:id="rId16" w:type="default"/>
          <w:headerReference r:id="rId14" w:type="even"/>
          <w:footerReference r:id="rId17" w:type="even"/>
          <w:pgSz w:w="11907" w:h="16839"/>
          <w:pgMar w:top="1418" w:right="1418" w:bottom="1418" w:left="1418" w:header="851" w:footer="992" w:gutter="0"/>
          <w:pgNumType w:fmt="decimal"/>
          <w:cols w:space="425" w:num="1"/>
          <w:titlePg/>
          <w:docGrid w:type="linesAndChars" w:linePitch="326" w:charSpace="0"/>
        </w:sectPr>
      </w:pPr>
    </w:p>
    <w:p w14:paraId="4630BB71">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2465" cy="8134985"/>
            <wp:effectExtent l="0" t="0" r="635" b="18415"/>
            <wp:docPr id="11" name="图片 11" descr="510422盐边县03乡镇级行政区主体功能定位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10422盐边县03乡镇级行政区主体功能定位分布图"/>
                    <pic:cNvPicPr>
                      <a:picLocks noChangeAspect="1"/>
                    </pic:cNvPicPr>
                  </pic:nvPicPr>
                  <pic:blipFill>
                    <a:blip r:embed="rId22"/>
                    <a:stretch>
                      <a:fillRect/>
                    </a:stretch>
                  </pic:blipFill>
                  <pic:spPr>
                    <a:xfrm>
                      <a:off x="0" y="0"/>
                      <a:ext cx="5752465" cy="8134985"/>
                    </a:xfrm>
                    <a:prstGeom prst="rect">
                      <a:avLst/>
                    </a:prstGeom>
                  </pic:spPr>
                </pic:pic>
              </a:graphicData>
            </a:graphic>
          </wp:inline>
        </w:drawing>
      </w:r>
    </w:p>
    <w:p w14:paraId="01B44E08">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2465" cy="8134985"/>
            <wp:effectExtent l="0" t="0" r="635" b="18415"/>
            <wp:docPr id="13" name="图片 13" descr="510422盐边县12县域国土空间总体格局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10422盐边县12县域国土空间总体格局规划图"/>
                    <pic:cNvPicPr>
                      <a:picLocks noChangeAspect="1"/>
                    </pic:cNvPicPr>
                  </pic:nvPicPr>
                  <pic:blipFill>
                    <a:blip r:embed="rId23"/>
                    <a:stretch>
                      <a:fillRect/>
                    </a:stretch>
                  </pic:blipFill>
                  <pic:spPr>
                    <a:xfrm>
                      <a:off x="0" y="0"/>
                      <a:ext cx="5752465" cy="8134985"/>
                    </a:xfrm>
                    <a:prstGeom prst="rect">
                      <a:avLst/>
                    </a:prstGeom>
                  </pic:spPr>
                </pic:pic>
              </a:graphicData>
            </a:graphic>
          </wp:inline>
        </w:drawing>
      </w:r>
    </w:p>
    <w:p w14:paraId="3B7FD7E9">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4370" cy="8131810"/>
            <wp:effectExtent l="0" t="0" r="17780" b="2540"/>
            <wp:docPr id="15" name="图片 15" descr="510422盐边县14县域国土空间控制线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510422盐边县14县域国土空间控制线规划图"/>
                    <pic:cNvPicPr>
                      <a:picLocks noChangeAspect="1"/>
                    </pic:cNvPicPr>
                  </pic:nvPicPr>
                  <pic:blipFill>
                    <a:blip r:embed="rId24"/>
                    <a:stretch>
                      <a:fillRect/>
                    </a:stretch>
                  </pic:blipFill>
                  <pic:spPr>
                    <a:xfrm>
                      <a:off x="0" y="0"/>
                      <a:ext cx="5754370" cy="8131810"/>
                    </a:xfrm>
                    <a:prstGeom prst="rect">
                      <a:avLst/>
                    </a:prstGeom>
                  </pic:spPr>
                </pic:pic>
              </a:graphicData>
            </a:graphic>
          </wp:inline>
        </w:drawing>
      </w:r>
    </w:p>
    <w:p w14:paraId="691BA641">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4370" cy="8131810"/>
            <wp:effectExtent l="0" t="0" r="17780" b="2540"/>
            <wp:docPr id="16" name="图片 16" descr="510422盐边县15县域耕地和永久基本农田保护红线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510422盐边县15县域耕地和永久基本农田保护红线图"/>
                    <pic:cNvPicPr>
                      <a:picLocks noChangeAspect="1"/>
                    </pic:cNvPicPr>
                  </pic:nvPicPr>
                  <pic:blipFill>
                    <a:blip r:embed="rId25"/>
                    <a:stretch>
                      <a:fillRect/>
                    </a:stretch>
                  </pic:blipFill>
                  <pic:spPr>
                    <a:xfrm>
                      <a:off x="0" y="0"/>
                      <a:ext cx="5754370" cy="8131810"/>
                    </a:xfrm>
                    <a:prstGeom prst="rect">
                      <a:avLst/>
                    </a:prstGeom>
                  </pic:spPr>
                </pic:pic>
              </a:graphicData>
            </a:graphic>
          </wp:inline>
        </w:drawing>
      </w:r>
    </w:p>
    <w:p w14:paraId="70A2C151">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4370" cy="8131810"/>
            <wp:effectExtent l="0" t="0" r="17780" b="2540"/>
            <wp:docPr id="17" name="图片 17" descr="510422盐边县16县域生态保护红线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510422盐边县16县域生态保护红线图"/>
                    <pic:cNvPicPr>
                      <a:picLocks noChangeAspect="1"/>
                    </pic:cNvPicPr>
                  </pic:nvPicPr>
                  <pic:blipFill>
                    <a:blip r:embed="rId26"/>
                    <a:stretch>
                      <a:fillRect/>
                    </a:stretch>
                  </pic:blipFill>
                  <pic:spPr>
                    <a:xfrm>
                      <a:off x="0" y="0"/>
                      <a:ext cx="5754370" cy="8131810"/>
                    </a:xfrm>
                    <a:prstGeom prst="rect">
                      <a:avLst/>
                    </a:prstGeom>
                  </pic:spPr>
                </pic:pic>
              </a:graphicData>
            </a:graphic>
          </wp:inline>
        </w:drawing>
      </w:r>
    </w:p>
    <w:p w14:paraId="5705E85F">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4370" cy="8131810"/>
            <wp:effectExtent l="0" t="0" r="17780" b="2540"/>
            <wp:docPr id="18" name="图片 18" descr="510422盐边县17县域城镇开发边界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510422盐边县17县域城镇开发边界图"/>
                    <pic:cNvPicPr>
                      <a:picLocks noChangeAspect="1"/>
                    </pic:cNvPicPr>
                  </pic:nvPicPr>
                  <pic:blipFill>
                    <a:blip r:embed="rId27"/>
                    <a:stretch>
                      <a:fillRect/>
                    </a:stretch>
                  </pic:blipFill>
                  <pic:spPr>
                    <a:xfrm>
                      <a:off x="0" y="0"/>
                      <a:ext cx="5754370" cy="8131810"/>
                    </a:xfrm>
                    <a:prstGeom prst="rect">
                      <a:avLst/>
                    </a:prstGeom>
                  </pic:spPr>
                </pic:pic>
              </a:graphicData>
            </a:graphic>
          </wp:inline>
        </w:drawing>
      </w:r>
    </w:p>
    <w:p w14:paraId="66204161">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2465" cy="8134985"/>
            <wp:effectExtent l="0" t="0" r="635" b="18415"/>
            <wp:docPr id="21" name="图片 21" descr="510422盐边县21县域历史文化保护线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510422盐边县21县域历史文化保护线规划图"/>
                    <pic:cNvPicPr>
                      <a:picLocks noChangeAspect="1"/>
                    </pic:cNvPicPr>
                  </pic:nvPicPr>
                  <pic:blipFill>
                    <a:blip r:embed="rId28"/>
                    <a:stretch>
                      <a:fillRect/>
                    </a:stretch>
                  </pic:blipFill>
                  <pic:spPr>
                    <a:xfrm>
                      <a:off x="0" y="0"/>
                      <a:ext cx="5752465" cy="8134985"/>
                    </a:xfrm>
                    <a:prstGeom prst="rect">
                      <a:avLst/>
                    </a:prstGeom>
                  </pic:spPr>
                </pic:pic>
              </a:graphicData>
            </a:graphic>
          </wp:inline>
        </w:drawing>
      </w:r>
    </w:p>
    <w:p w14:paraId="4209DB22">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p>
    <w:p w14:paraId="3516BB09">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p>
    <w:p w14:paraId="6FBCD275">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4370" cy="8131810"/>
            <wp:effectExtent l="0" t="0" r="17780" b="2540"/>
            <wp:docPr id="25" name="图片 25" descr="510422盐边县01中心城区国土空间用地用海现状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10422盐边县01中心城区国土空间用地用海现状图"/>
                    <pic:cNvPicPr>
                      <a:picLocks noChangeAspect="1"/>
                    </pic:cNvPicPr>
                  </pic:nvPicPr>
                  <pic:blipFill>
                    <a:blip r:embed="rId29"/>
                    <a:stretch>
                      <a:fillRect/>
                    </a:stretch>
                  </pic:blipFill>
                  <pic:spPr>
                    <a:xfrm>
                      <a:off x="0" y="0"/>
                      <a:ext cx="5754370" cy="8131810"/>
                    </a:xfrm>
                    <a:prstGeom prst="rect">
                      <a:avLst/>
                    </a:prstGeom>
                  </pic:spPr>
                </pic:pic>
              </a:graphicData>
            </a:graphic>
          </wp:inline>
        </w:drawing>
      </w:r>
    </w:p>
    <w:p w14:paraId="2AA69DA9">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2465" cy="8134985"/>
            <wp:effectExtent l="0" t="0" r="635" b="18415"/>
            <wp:docPr id="27" name="图片 27" descr="510422盐边县04中心城区功能结构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510422盐边县04中心城区功能结构规划图"/>
                    <pic:cNvPicPr>
                      <a:picLocks noChangeAspect="1"/>
                    </pic:cNvPicPr>
                  </pic:nvPicPr>
                  <pic:blipFill>
                    <a:blip r:embed="rId30"/>
                    <a:stretch>
                      <a:fillRect/>
                    </a:stretch>
                  </pic:blipFill>
                  <pic:spPr>
                    <a:xfrm>
                      <a:off x="0" y="0"/>
                      <a:ext cx="5752465" cy="8134985"/>
                    </a:xfrm>
                    <a:prstGeom prst="rect">
                      <a:avLst/>
                    </a:prstGeom>
                  </pic:spPr>
                </pic:pic>
              </a:graphicData>
            </a:graphic>
          </wp:inline>
        </w:drawing>
      </w:r>
    </w:p>
    <w:p w14:paraId="76444C40">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2465" cy="8134985"/>
            <wp:effectExtent l="0" t="0" r="635" b="18415"/>
            <wp:docPr id="4" name="图片 4" descr="510422盐边县03中心城区国土空间规划分区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10422盐边县03中心城区国土空间规划分区图"/>
                    <pic:cNvPicPr>
                      <a:picLocks noChangeAspect="1"/>
                    </pic:cNvPicPr>
                  </pic:nvPicPr>
                  <pic:blipFill>
                    <a:blip r:embed="rId31"/>
                    <a:stretch>
                      <a:fillRect/>
                    </a:stretch>
                  </pic:blipFill>
                  <pic:spPr>
                    <a:xfrm>
                      <a:off x="0" y="0"/>
                      <a:ext cx="5752465" cy="8134985"/>
                    </a:xfrm>
                    <a:prstGeom prst="rect">
                      <a:avLst/>
                    </a:prstGeom>
                  </pic:spPr>
                </pic:pic>
              </a:graphicData>
            </a:graphic>
          </wp:inline>
        </w:drawing>
      </w:r>
    </w:p>
    <w:p w14:paraId="79C0EA53">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2465" cy="8134985"/>
            <wp:effectExtent l="0" t="0" r="635" b="18415"/>
            <wp:docPr id="32" name="图片 32" descr="510422盐边县10中心城区公共服务设施体系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510422盐边县10中心城区公共服务设施体系规划图"/>
                    <pic:cNvPicPr>
                      <a:picLocks noChangeAspect="1"/>
                    </pic:cNvPicPr>
                  </pic:nvPicPr>
                  <pic:blipFill>
                    <a:blip r:embed="rId32"/>
                    <a:stretch>
                      <a:fillRect/>
                    </a:stretch>
                  </pic:blipFill>
                  <pic:spPr>
                    <a:xfrm>
                      <a:off x="0" y="0"/>
                      <a:ext cx="5752465" cy="8134985"/>
                    </a:xfrm>
                    <a:prstGeom prst="rect">
                      <a:avLst/>
                    </a:prstGeom>
                  </pic:spPr>
                </pic:pic>
              </a:graphicData>
            </a:graphic>
          </wp:inline>
        </w:drawing>
      </w:r>
    </w:p>
    <w:p w14:paraId="0B9CF2F2">
      <w:pPr>
        <w:spacing w:line="240" w:lineRule="auto"/>
        <w:ind w:left="0" w:leftChars="0" w:firstLine="0" w:firstLineChars="0"/>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18"/>
          <w:szCs w:val="18"/>
          <w:highlight w:val="none"/>
          <w:lang w:val="en-US" w:eastAsia="zh-CN"/>
        </w:rPr>
        <w:drawing>
          <wp:inline distT="0" distB="0" distL="114300" distR="114300">
            <wp:extent cx="5752465" cy="8134985"/>
            <wp:effectExtent l="0" t="0" r="635" b="18415"/>
            <wp:docPr id="34" name="图片 34" descr="510422盐边县11中心城区道路交通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510422盐边县11中心城区道路交通规划图"/>
                    <pic:cNvPicPr>
                      <a:picLocks noChangeAspect="1"/>
                    </pic:cNvPicPr>
                  </pic:nvPicPr>
                  <pic:blipFill>
                    <a:blip r:embed="rId33"/>
                    <a:stretch>
                      <a:fillRect/>
                    </a:stretch>
                  </pic:blipFill>
                  <pic:spPr>
                    <a:xfrm>
                      <a:off x="0" y="0"/>
                      <a:ext cx="5752465" cy="8134985"/>
                    </a:xfrm>
                    <a:prstGeom prst="rect">
                      <a:avLst/>
                    </a:prstGeom>
                  </pic:spPr>
                </pic:pic>
              </a:graphicData>
            </a:graphic>
          </wp:inline>
        </w:drawing>
      </w:r>
    </w:p>
    <w:sectPr>
      <w:headerReference r:id="rId19" w:type="default"/>
      <w:footerReference r:id="rId20" w:type="default"/>
      <w:pgSz w:w="11906" w:h="16838"/>
      <w:pgMar w:top="1701" w:right="1418" w:bottom="1701" w:left="1418"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C654E4B-A2F0-4BF1-9206-D2A72CCBD4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E013662-5F07-4EA7-A52C-ED1625CB8F94}"/>
  </w:font>
  <w:font w:name="楷体_GB2312">
    <w:panose1 w:val="02010609030101010101"/>
    <w:charset w:val="86"/>
    <w:family w:val="modern"/>
    <w:pitch w:val="default"/>
    <w:sig w:usb0="00000001" w:usb1="080E0000" w:usb2="00000000" w:usb3="00000000" w:csb0="00040000" w:csb1="00000000"/>
    <w:embedRegular r:id="rId3" w:fontKey="{A4AE213D-5780-4309-8BF7-7546A44860D3}"/>
  </w:font>
  <w:font w:name="仿宋_GB2312">
    <w:panose1 w:val="02010609030101010101"/>
    <w:charset w:val="86"/>
    <w:family w:val="modern"/>
    <w:pitch w:val="default"/>
    <w:sig w:usb0="00000001" w:usb1="080E0000" w:usb2="00000000" w:usb3="00000000" w:csb0="00040000" w:csb1="00000000"/>
    <w:embedRegular r:id="rId4" w:fontKey="{1824F559-9D40-4F47-B37D-E547EA0959A2}"/>
  </w:font>
  <w:font w:name="Calibri Light">
    <w:panose1 w:val="020F0302020204030204"/>
    <w:charset w:val="00"/>
    <w:family w:val="swiss"/>
    <w:pitch w:val="default"/>
    <w:sig w:usb0="E4002EFF" w:usb1="C000247B" w:usb2="00000009" w:usb3="00000000" w:csb0="200001FF" w:csb1="00000000"/>
    <w:embedRegular r:id="rId5" w:fontKey="{5D321BF6-DC1F-4670-AB55-03F053882526}"/>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embedRegular r:id="rId6" w:fontKey="{EF066D8A-D9B5-4490-8C54-8CCBF1A0F462}"/>
  </w:font>
  <w:font w:name="+mn-cs">
    <w:altName w:val="AMGDT"/>
    <w:panose1 w:val="00000000000000000000"/>
    <w:charset w:val="00"/>
    <w:family w:val="roman"/>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方正小标宋_GBK">
    <w:panose1 w:val="03000509000000000000"/>
    <w:charset w:val="86"/>
    <w:family w:val="script"/>
    <w:pitch w:val="default"/>
    <w:sig w:usb0="00000001" w:usb1="080E0000" w:usb2="00000000" w:usb3="00000000" w:csb0="00040000" w:csb1="00000000"/>
    <w:embedRegular r:id="rId7" w:fontKey="{1185515E-EA40-4BEA-B9E7-6407F4A0C56F}"/>
  </w:font>
  <w:font w:name="___WRD_EMBED_SUB_44">
    <w:altName w:val="宋体"/>
    <w:panose1 w:val="02010609030101010101"/>
    <w:charset w:val="86"/>
    <w:family w:val="modern"/>
    <w:pitch w:val="default"/>
    <w:sig w:usb0="00000000" w:usb1="00000000" w:usb2="00000000" w:usb3="00000000" w:csb0="00040000" w:csb1="00000000"/>
    <w:embedRegular r:id="rId8" w:fontKey="{3595DC81-1592-42A8-9E3C-EA04B331EB6C}"/>
  </w:font>
  <w:font w:name="___WRD_EMBED_SUB_45">
    <w:altName w:val="宋体"/>
    <w:panose1 w:val="02010609030101010101"/>
    <w:charset w:val="86"/>
    <w:family w:val="modern"/>
    <w:pitch w:val="default"/>
    <w:sig w:usb0="00000000" w:usb1="00000000" w:usb2="00000000" w:usb3="00000000" w:csb0="00040000" w:csb1="00000000"/>
    <w:embedRegular r:id="rId9" w:fontKey="{6FC8906B-CCCA-4608-8EC4-DDBDBC4AAA5C}"/>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16FE3">
    <w:pPr>
      <w:pStyle w:val="23"/>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D99F0">
    <w:pPr>
      <w:pStyle w:val="2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E371D">
    <w:pPr>
      <w:pStyle w:val="23"/>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78DB40">
                          <w:pPr>
                            <w:pStyle w:val="23"/>
                            <w:ind w:firstLine="36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0B78DB40">
                    <w:pPr>
                      <w:pStyle w:val="23"/>
                      <w:ind w:firstLine="360"/>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2F499">
    <w:pPr>
      <w:pStyle w:val="23"/>
      <w:ind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603AAF">
                          <w:pPr>
                            <w:pStyle w:val="2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5F603AAF">
                    <w:pPr>
                      <w:pStyle w:val="2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31AEB">
    <w:pPr>
      <w:pStyle w:val="23"/>
      <w:ind w:firstLine="360"/>
      <w:jc w:val="center"/>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D126E1">
                          <w:pPr>
                            <w:pStyle w:val="23"/>
                            <w:ind w:firstLine="0" w:firstLineChars="0"/>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Fonts w:ascii="宋体" w:hAnsi="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CD126E1">
                    <w:pPr>
                      <w:pStyle w:val="23"/>
                      <w:ind w:firstLine="0" w:firstLineChars="0"/>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Fonts w:ascii="宋体" w:hAnsi="宋体"/>
                        <w:sz w:val="28"/>
                        <w:szCs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62459">
    <w:pPr>
      <w:pStyle w:val="2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F32A2">
    <w:pPr>
      <w:pStyle w:val="23"/>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475542">
                          <w:pPr>
                            <w:pStyle w:val="2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72475542">
                    <w:pPr>
                      <w:pStyle w:val="2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4A526B">
                          <w:pPr>
                            <w:pStyle w:val="23"/>
                            <w:ind w:firstLine="36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C4A526B">
                    <w:pPr>
                      <w:pStyle w:val="23"/>
                      <w:ind w:firstLine="360"/>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08A35">
    <w:pPr>
      <w:pStyle w:val="23"/>
      <w:ind w:firstLine="0" w:firstLineChars="0"/>
      <w:jc w:val="cente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EF3C60">
                          <w:pPr>
                            <w:pStyle w:val="23"/>
                            <w:ind w:firstLine="0" w:firstLineChars="0"/>
                            <w:jc w:val="right"/>
                          </w:pPr>
                          <w:r>
                            <w:t xml:space="preserve">— </w:t>
                          </w:r>
                          <w:r>
                            <w:fldChar w:fldCharType="begin"/>
                          </w:r>
                          <w:r>
                            <w:instrText xml:space="preserve"> PAGE  \* MERGEFORMAT </w:instrText>
                          </w:r>
                          <w:r>
                            <w:fldChar w:fldCharType="separate"/>
                          </w:r>
                          <w:r>
                            <w:t>104</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1EF3C60">
                    <w:pPr>
                      <w:pStyle w:val="23"/>
                      <w:ind w:firstLine="0" w:firstLineChars="0"/>
                      <w:jc w:val="right"/>
                    </w:pPr>
                    <w:r>
                      <w:t xml:space="preserve">— </w:t>
                    </w:r>
                    <w:r>
                      <w:fldChar w:fldCharType="begin"/>
                    </w:r>
                    <w:r>
                      <w:instrText xml:space="preserve"> PAGE  \* MERGEFORMAT </w:instrText>
                    </w:r>
                    <w:r>
                      <w:fldChar w:fldCharType="separate"/>
                    </w:r>
                    <w:r>
                      <w:t>104</w:t>
                    </w:r>
                    <w:r>
                      <w:fldChar w:fldCharType="end"/>
                    </w:r>
                    <w:r>
                      <w:t xml:space="preserve"> —</w:t>
                    </w:r>
                  </w:p>
                </w:txbxContent>
              </v:textbox>
            </v:shape>
          </w:pict>
        </mc:Fallback>
      </mc:AlternateContent>
    </w:r>
  </w:p>
  <w:p w14:paraId="76B799BD">
    <w:pPr>
      <w:pStyle w:val="23"/>
      <w:ind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6E5B2">
    <w:pPr>
      <w:pStyle w:val="24"/>
      <w:ind w:firstLine="360"/>
      <w:jc w:val="right"/>
      <w:rPr>
        <w:rFonts w:ascii="黑体" w:hAnsi="黑体" w:eastAsia="黑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9F5C3">
    <w:pPr>
      <w:pStyle w:val="2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89F72">
    <w:pPr>
      <w:pStyle w:val="24"/>
      <w:pBdr>
        <w:bottom w:val="none" w:color="auto"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0F424">
    <w:pPr>
      <w:ind w:firstLine="5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CDFB0">
    <w:pPr>
      <w:pStyle w:val="24"/>
      <w:ind w:firstLine="360"/>
      <w:jc w:val="right"/>
      <w:rPr>
        <w:rFonts w:ascii="黑体" w:hAnsi="黑体" w:eastAsia="黑体"/>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7099A">
    <w:pPr>
      <w:pStyle w:val="24"/>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9E3A6">
    <w:pPr>
      <w:pStyle w:val="24"/>
      <w:pBdr>
        <w:bottom w:val="none" w:color="auto" w:sz="0" w:space="0"/>
      </w:pBdr>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B748B">
    <w:pPr>
      <w:ind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B79FED"/>
    <w:multiLevelType w:val="multilevel"/>
    <w:tmpl w:val="E7B79FED"/>
    <w:lvl w:ilvl="0" w:tentative="0">
      <w:start w:val="1"/>
      <w:numFmt w:val="decimal"/>
      <w:suff w:val="space"/>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
    <w:nsid w:val="00000001"/>
    <w:multiLevelType w:val="multilevel"/>
    <w:tmpl w:val="00000001"/>
    <w:lvl w:ilvl="0" w:tentative="0">
      <w:start w:val="1"/>
      <w:numFmt w:val="chineseCountingThousand"/>
      <w:lvlText w:val="第%1章"/>
      <w:lvlJc w:val="left"/>
      <w:pPr>
        <w:ind w:left="1022" w:hanging="420"/>
      </w:pPr>
      <w:rPr>
        <w:rFonts w:hint="eastAsia"/>
      </w:rPr>
    </w:lvl>
    <w:lvl w:ilvl="1" w:tentative="0">
      <w:start w:val="1"/>
      <w:numFmt w:val="decimal"/>
      <w:lvlText w:val="%2."/>
      <w:lvlJc w:val="left"/>
      <w:pPr>
        <w:ind w:left="1430" w:hanging="720"/>
      </w:pPr>
      <w:rPr>
        <w:rFonts w:hint="default"/>
      </w:r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2">
    <w:nsid w:val="00000004"/>
    <w:multiLevelType w:val="multilevel"/>
    <w:tmpl w:val="00000004"/>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5"/>
    <w:multiLevelType w:val="multilevel"/>
    <w:tmpl w:val="00000005"/>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
    <w:nsid w:val="00000008"/>
    <w:multiLevelType w:val="multilevel"/>
    <w:tmpl w:val="00000008"/>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5">
    <w:nsid w:val="0000000B"/>
    <w:multiLevelType w:val="multilevel"/>
    <w:tmpl w:val="0000000B"/>
    <w:lvl w:ilvl="0" w:tentative="0">
      <w:start w:val="1"/>
      <w:numFmt w:val="chineseCountingThousand"/>
      <w:pStyle w:val="87"/>
      <w:lvlText w:val="%1"/>
      <w:lvlJc w:val="left"/>
      <w:pPr>
        <w:ind w:left="420" w:hanging="420"/>
      </w:pPr>
      <w:rPr>
        <w:i w:val="0"/>
        <w:iCs w:val="0"/>
        <w:caps w:val="0"/>
        <w:smallCaps w:val="0"/>
        <w:outline w:val="0"/>
        <w:emboss w:val="0"/>
        <w:imprint w:val="0"/>
        <w:vanish w:val="0"/>
        <w:spacing w:val="0"/>
        <w:position w:val="0"/>
        <w:u w:val="none"/>
        <w:vertAlign w:val="baseline"/>
        <w:lang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decimalEnclosedCircle"/>
      <w:lvlText w:val="%2"/>
      <w:lvlJc w:val="left"/>
      <w:pPr>
        <w:ind w:left="780" w:hanging="360"/>
      </w:pPr>
      <w:rPr>
        <w:rFonts w:hint="default" w:ascii="宋体" w:hAnsi="宋体" w:cs="+mn-cs"/>
        <w:color w:val="000000"/>
        <w:sz w:val="28"/>
      </w:rPr>
    </w:lvl>
    <w:lvl w:ilvl="2" w:tentative="0">
      <w:start w:val="1"/>
      <w:numFmt w:val="decimalEnclosedCircle"/>
      <w:lvlText w:val="%3"/>
      <w:lvlJc w:val="left"/>
      <w:pPr>
        <w:ind w:left="1200" w:hanging="360"/>
      </w:pPr>
      <w:rPr>
        <w:rFonts w:hint="default" w:ascii="宋体" w:hAnsi="宋体" w:cs="+mn-cs"/>
        <w:color w:val="000000"/>
        <w:sz w:val="36"/>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F"/>
    <w:multiLevelType w:val="multilevel"/>
    <w:tmpl w:val="0000000F"/>
    <w:lvl w:ilvl="0" w:tentative="0">
      <w:start w:val="1"/>
      <w:numFmt w:val="chineseCountingThousand"/>
      <w:pStyle w:val="33"/>
      <w:lvlText w:val="第%1章"/>
      <w:lvlJc w:val="left"/>
      <w:pPr>
        <w:ind w:left="420" w:hanging="420"/>
      </w:pPr>
      <w:rPr>
        <w:rFonts w:hint="eastAsia"/>
        <w:b w:val="0"/>
        <w:i w:val="0"/>
        <w:sz w:val="36"/>
        <w:szCs w:val="36"/>
      </w:rPr>
    </w:lvl>
    <w:lvl w:ilvl="1" w:tentative="0">
      <w:start w:val="1"/>
      <w:numFmt w:val="decimal"/>
      <w:lvlText w:val="（%2）"/>
      <w:lvlJc w:val="left"/>
      <w:pPr>
        <w:ind w:left="840" w:hanging="420"/>
      </w:pPr>
      <w:rPr>
        <w:rFonts w:hint="default" w:ascii="宋体" w:hAnsi="宋体" w:eastAsia="宋体"/>
        <w:b w:val="0"/>
        <w:i w:val="0"/>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00000010"/>
    <w:multiLevelType w:val="multilevel"/>
    <w:tmpl w:val="00000010"/>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11"/>
    <w:multiLevelType w:val="multilevel"/>
    <w:tmpl w:val="00000011"/>
    <w:lvl w:ilvl="0" w:tentative="0">
      <w:start w:val="1"/>
      <w:numFmt w:val="chineseCountingThousand"/>
      <w:pStyle w:val="98"/>
      <w:lvlText w:val="第%1部分"/>
      <w:lvlJc w:val="center"/>
      <w:pPr>
        <w:ind w:left="420" w:hanging="420"/>
      </w:pPr>
      <w:rPr>
        <w:rFonts w:hint="eastAsia"/>
      </w:rPr>
    </w:lvl>
    <w:lvl w:ilvl="1" w:tentative="0">
      <w:start w:val="1"/>
      <w:numFmt w:val="decimal"/>
      <w:pStyle w:val="99"/>
      <w:lvlText w:val="第%2章 "/>
      <w:lvlJc w:val="left"/>
      <w:pPr>
        <w:ind w:left="2263" w:hanging="420"/>
      </w:pPr>
      <w:rPr>
        <w:rFonts w:hint="eastAsia"/>
      </w:rPr>
    </w:lvl>
    <w:lvl w:ilvl="2" w:tentative="0">
      <w:start w:val="1"/>
      <w:numFmt w:val="decimal"/>
      <w:pStyle w:val="100"/>
      <w:lvlText w:val="%2.%3."/>
      <w:lvlJc w:val="right"/>
      <w:pPr>
        <w:ind w:left="1260" w:hanging="420"/>
      </w:pPr>
      <w:rPr>
        <w:b w:val="0"/>
        <w:bCs w:val="0"/>
        <w:i w:val="0"/>
        <w:iCs w:val="0"/>
        <w:caps w:val="0"/>
        <w:smallCaps w:val="0"/>
        <w:vanish w:val="0"/>
        <w:color w:val="000000"/>
        <w:spacing w:val="0"/>
        <w:position w:val="0"/>
        <w:u w:val="none"/>
        <w:vertAlign w:val="baseline"/>
      </w:rPr>
    </w:lvl>
    <w:lvl w:ilvl="3" w:tentative="0">
      <w:start w:val="1"/>
      <w:numFmt w:val="decimal"/>
      <w:pStyle w:val="101"/>
      <w:lvlText w:val="%2.%3.%4."/>
      <w:lvlJc w:val="left"/>
      <w:pPr>
        <w:ind w:left="562" w:hanging="420"/>
      </w:pPr>
      <w:rPr>
        <w:b w:val="0"/>
        <w:bCs w:val="0"/>
        <w:i w:val="0"/>
        <w:iCs w:val="0"/>
        <w:caps w:val="0"/>
        <w:smallCaps w:val="0"/>
        <w:vanish w:val="0"/>
        <w:color w:val="000000"/>
        <w:spacing w:val="0"/>
        <w:position w:val="0"/>
        <w:u w:val="none"/>
        <w:vertAlign w:val="baseline"/>
        <w:lang w:val="en-US"/>
      </w:rPr>
    </w:lvl>
    <w:lvl w:ilvl="4" w:tentative="0">
      <w:start w:val="1"/>
      <w:numFmt w:val="decimal"/>
      <w:pStyle w:val="102"/>
      <w:lvlText w:val="%2.%3.%4.%5"/>
      <w:lvlJc w:val="left"/>
      <w:pPr>
        <w:ind w:left="2100" w:hanging="420"/>
      </w:pPr>
      <w:rPr>
        <w:b w:val="0"/>
        <w:bCs w:val="0"/>
        <w:i w:val="0"/>
        <w:iCs w:val="0"/>
        <w:caps w:val="0"/>
        <w:smallCaps w:val="0"/>
        <w:vanish w:val="0"/>
        <w:color w:val="000000"/>
        <w:spacing w:val="0"/>
        <w:position w:val="0"/>
        <w:u w:val="none"/>
        <w:vertAlign w:val="baseline"/>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00000013"/>
    <w:multiLevelType w:val="multilevel"/>
    <w:tmpl w:val="00000013"/>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000014"/>
    <w:multiLevelType w:val="multilevel"/>
    <w:tmpl w:val="00000014"/>
    <w:lvl w:ilvl="0" w:tentative="0">
      <w:start w:val="1"/>
      <w:numFmt w:val="chineseCountingThousand"/>
      <w:lvlText w:val="第%1章"/>
      <w:lvlJc w:val="left"/>
      <w:pPr>
        <w:ind w:left="1022" w:hanging="420"/>
      </w:pPr>
      <w:rPr>
        <w:rFonts w:hint="eastAsia"/>
      </w:rPr>
    </w:lvl>
    <w:lvl w:ilvl="1" w:tentative="0">
      <w:start w:val="1"/>
      <w:numFmt w:val="decimal"/>
      <w:lvlText w:val="%2."/>
      <w:lvlJc w:val="left"/>
      <w:pPr>
        <w:ind w:left="1430" w:hanging="720"/>
      </w:pPr>
      <w:rPr>
        <w:rFonts w:hint="default"/>
      </w:r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11">
    <w:nsid w:val="00000021"/>
    <w:multiLevelType w:val="multilevel"/>
    <w:tmpl w:val="00000021"/>
    <w:lvl w:ilvl="0" w:tentative="0">
      <w:start w:val="1"/>
      <w:numFmt w:val="decimal"/>
      <w:suff w:val="space"/>
      <w:lvlText w:val="第%1条"/>
      <w:lvlJc w:val="left"/>
      <w:pPr>
        <w:ind w:left="703" w:hanging="420"/>
      </w:pPr>
      <w:rPr>
        <w:rFonts w:hint="eastAsia"/>
      </w:rPr>
    </w:lvl>
    <w:lvl w:ilvl="1" w:tentative="0">
      <w:start w:val="1"/>
      <w:numFmt w:val="lowerLetter"/>
      <w:lvlText w:val="%2)"/>
      <w:lvlJc w:val="left"/>
      <w:pPr>
        <w:ind w:left="1920" w:hanging="420"/>
      </w:pPr>
      <w:rPr>
        <w:rFonts w:hint="eastAsia"/>
      </w:rPr>
    </w:lvl>
    <w:lvl w:ilvl="2" w:tentative="0">
      <w:start w:val="1"/>
      <w:numFmt w:val="lowerRoman"/>
      <w:lvlText w:val="%3."/>
      <w:lvlJc w:val="right"/>
      <w:pPr>
        <w:ind w:left="2340" w:hanging="420"/>
      </w:pPr>
      <w:rPr>
        <w:rFonts w:hint="eastAsia"/>
      </w:rPr>
    </w:lvl>
    <w:lvl w:ilvl="3" w:tentative="0">
      <w:start w:val="1"/>
      <w:numFmt w:val="decimal"/>
      <w:lvlText w:val="%4."/>
      <w:lvlJc w:val="left"/>
      <w:pPr>
        <w:ind w:left="2760" w:hanging="420"/>
      </w:pPr>
      <w:rPr>
        <w:rFonts w:hint="eastAsia"/>
      </w:rPr>
    </w:lvl>
    <w:lvl w:ilvl="4" w:tentative="0">
      <w:start w:val="1"/>
      <w:numFmt w:val="lowerLetter"/>
      <w:lvlText w:val="%5)"/>
      <w:lvlJc w:val="left"/>
      <w:pPr>
        <w:ind w:left="3180" w:hanging="420"/>
      </w:pPr>
      <w:rPr>
        <w:rFonts w:hint="eastAsia"/>
      </w:rPr>
    </w:lvl>
    <w:lvl w:ilvl="5" w:tentative="0">
      <w:start w:val="1"/>
      <w:numFmt w:val="lowerRoman"/>
      <w:lvlText w:val="%6."/>
      <w:lvlJc w:val="right"/>
      <w:pPr>
        <w:ind w:left="3600" w:hanging="420"/>
      </w:pPr>
      <w:rPr>
        <w:rFonts w:hint="eastAsia"/>
      </w:rPr>
    </w:lvl>
    <w:lvl w:ilvl="6" w:tentative="0">
      <w:start w:val="1"/>
      <w:numFmt w:val="decimal"/>
      <w:lvlText w:val="%7."/>
      <w:lvlJc w:val="left"/>
      <w:pPr>
        <w:ind w:left="4020" w:hanging="420"/>
      </w:pPr>
      <w:rPr>
        <w:rFonts w:hint="eastAsia"/>
      </w:rPr>
    </w:lvl>
    <w:lvl w:ilvl="7" w:tentative="0">
      <w:start w:val="1"/>
      <w:numFmt w:val="lowerLetter"/>
      <w:lvlText w:val="%8)"/>
      <w:lvlJc w:val="left"/>
      <w:pPr>
        <w:ind w:left="4440" w:hanging="420"/>
      </w:pPr>
      <w:rPr>
        <w:rFonts w:hint="eastAsia"/>
      </w:rPr>
    </w:lvl>
    <w:lvl w:ilvl="8" w:tentative="0">
      <w:start w:val="1"/>
      <w:numFmt w:val="lowerRoman"/>
      <w:lvlText w:val="%9."/>
      <w:lvlJc w:val="right"/>
      <w:pPr>
        <w:ind w:left="4860" w:hanging="420"/>
      </w:pPr>
      <w:rPr>
        <w:rFonts w:hint="eastAsia"/>
      </w:rPr>
    </w:lvl>
  </w:abstractNum>
  <w:abstractNum w:abstractNumId="12">
    <w:nsid w:val="00000023"/>
    <w:multiLevelType w:val="multilevel"/>
    <w:tmpl w:val="00000023"/>
    <w:lvl w:ilvl="0" w:tentative="0">
      <w:start w:val="1"/>
      <w:numFmt w:val="decimal"/>
      <w:pStyle w:val="84"/>
      <w:lvlText w:val="第%1条"/>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0000024"/>
    <w:multiLevelType w:val="multilevel"/>
    <w:tmpl w:val="00000024"/>
    <w:lvl w:ilvl="0" w:tentative="0">
      <w:start w:val="1"/>
      <w:numFmt w:val="chineseCountingThousand"/>
      <w:lvlText w:val="第%1章"/>
      <w:lvlJc w:val="left"/>
      <w:pPr>
        <w:ind w:left="1022" w:hanging="420"/>
      </w:pPr>
      <w:rPr>
        <w:rFonts w:hint="eastAsia" w:ascii="黑体" w:hAnsi="黑体" w:eastAsia="黑体" w:cs="黑体"/>
        <w:sz w:val="32"/>
        <w:szCs w:val="32"/>
      </w:rPr>
    </w:lvl>
    <w:lvl w:ilvl="1" w:tentative="0">
      <w:start w:val="1"/>
      <w:numFmt w:val="decimal"/>
      <w:lvlText w:val="%2."/>
      <w:lvlJc w:val="left"/>
      <w:pPr>
        <w:ind w:left="1430" w:hanging="720"/>
      </w:pPr>
      <w:rPr>
        <w:rFonts w:hint="default"/>
      </w:r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14">
    <w:nsid w:val="00000025"/>
    <w:multiLevelType w:val="multilevel"/>
    <w:tmpl w:val="00000025"/>
    <w:lvl w:ilvl="0" w:tentative="0">
      <w:start w:val="1"/>
      <w:numFmt w:val="chineseCountingThousand"/>
      <w:lvlText w:val="第%1章"/>
      <w:lvlJc w:val="left"/>
      <w:pPr>
        <w:ind w:left="1022" w:hanging="420"/>
      </w:pPr>
      <w:rPr>
        <w:rFonts w:hint="eastAsia" w:ascii="黑体" w:hAnsi="黑体" w:eastAsia="黑体" w:cs="黑体"/>
        <w:b w:val="0"/>
        <w:bCs w:val="0"/>
        <w:sz w:val="32"/>
        <w:szCs w:val="32"/>
      </w:rPr>
    </w:lvl>
    <w:lvl w:ilvl="1" w:tentative="0">
      <w:start w:val="1"/>
      <w:numFmt w:val="decimal"/>
      <w:lvlText w:val="%2."/>
      <w:lvlJc w:val="left"/>
      <w:pPr>
        <w:ind w:left="1430" w:hanging="720"/>
      </w:pPr>
      <w:rPr>
        <w:rFonts w:hint="default"/>
      </w:r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15">
    <w:nsid w:val="00000026"/>
    <w:multiLevelType w:val="multilevel"/>
    <w:tmpl w:val="00000026"/>
    <w:lvl w:ilvl="0" w:tentative="0">
      <w:start w:val="1"/>
      <w:numFmt w:val="chineseCountingThousand"/>
      <w:lvlText w:val="第%1节"/>
      <w:lvlJc w:val="left"/>
      <w:pPr>
        <w:ind w:left="3969" w:firstLine="0"/>
      </w:pPr>
      <w:rPr>
        <w:rFonts w:hint="eastAsia" w:ascii="仿宋_GB2312" w:hAnsi="仿宋_GB2312" w:eastAsia="仿宋_GB2312" w:cs="仿宋_GB2312"/>
        <w:sz w:val="32"/>
        <w:szCs w:val="32"/>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0000028"/>
    <w:multiLevelType w:val="multilevel"/>
    <w:tmpl w:val="00000028"/>
    <w:lvl w:ilvl="0" w:tentative="0">
      <w:start w:val="1"/>
      <w:numFmt w:val="decimal"/>
      <w:lvlText w:val="%1."/>
      <w:lvlJc w:val="left"/>
      <w:pPr>
        <w:ind w:left="980" w:hanging="420"/>
      </w:pPr>
      <w:rPr>
        <w:rFonts w:hint="eastAsia" w:ascii="仿宋_GB2312" w:eastAsia="仿宋_GB2312"/>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7">
    <w:nsid w:val="00000029"/>
    <w:multiLevelType w:val="multilevel"/>
    <w:tmpl w:val="00000029"/>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000002A"/>
    <w:multiLevelType w:val="multilevel"/>
    <w:tmpl w:val="0000002A"/>
    <w:lvl w:ilvl="0" w:tentative="0">
      <w:start w:val="1"/>
      <w:numFmt w:val="decimal"/>
      <w:pStyle w:val="10"/>
      <w:lvlText w:val="%1、"/>
      <w:lvlJc w:val="left"/>
      <w:pPr>
        <w:ind w:left="982" w:hanging="420"/>
      </w:pPr>
      <w:rPr>
        <w:rFonts w:hint="eastAsia"/>
        <w:b w:val="0"/>
        <w:i w:val="0"/>
        <w:sz w:val="28"/>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19">
    <w:nsid w:val="0000002B"/>
    <w:multiLevelType w:val="multilevel"/>
    <w:tmpl w:val="0000002B"/>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0">
    <w:nsid w:val="0000002D"/>
    <w:multiLevelType w:val="multilevel"/>
    <w:tmpl w:val="0000002D"/>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00000032"/>
    <w:multiLevelType w:val="multilevel"/>
    <w:tmpl w:val="00000032"/>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00000034"/>
    <w:multiLevelType w:val="multilevel"/>
    <w:tmpl w:val="00000034"/>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04FE3F18"/>
    <w:multiLevelType w:val="multilevel"/>
    <w:tmpl w:val="04FE3F18"/>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06C6143B"/>
    <w:multiLevelType w:val="multilevel"/>
    <w:tmpl w:val="06C6143B"/>
    <w:lvl w:ilvl="0" w:tentative="0">
      <w:start w:val="1"/>
      <w:numFmt w:val="chineseCountingThousand"/>
      <w:lvlText w:val="第%1节"/>
      <w:lvlJc w:val="left"/>
      <w:pPr>
        <w:ind w:left="3969" w:firstLine="0"/>
      </w:pPr>
      <w:rPr>
        <w:rFonts w:hint="eastAsia" w:ascii="仿宋_GB2312" w:hAnsi="仿宋_GB2312" w:eastAsia="仿宋_GB2312" w:cs="仿宋_GB2312"/>
        <w:sz w:val="32"/>
        <w:szCs w:val="32"/>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0DB50EC4"/>
    <w:multiLevelType w:val="multilevel"/>
    <w:tmpl w:val="0DB50EC4"/>
    <w:lvl w:ilvl="0" w:tentative="0">
      <w:start w:val="1"/>
      <w:numFmt w:val="chineseCountingThousand"/>
      <w:lvlText w:val="第%1章"/>
      <w:lvlJc w:val="left"/>
      <w:pPr>
        <w:ind w:left="1022" w:hanging="420"/>
      </w:pPr>
      <w:rPr>
        <w:rFonts w:hint="eastAsia"/>
      </w:rPr>
    </w:lvl>
    <w:lvl w:ilvl="1" w:tentative="0">
      <w:start w:val="1"/>
      <w:numFmt w:val="decimal"/>
      <w:lvlText w:val="%2."/>
      <w:lvlJc w:val="left"/>
      <w:pPr>
        <w:ind w:left="1430" w:hanging="720"/>
      </w:pPr>
      <w:rPr>
        <w:rFonts w:hint="default"/>
      </w:r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26">
    <w:nsid w:val="18DD08B0"/>
    <w:multiLevelType w:val="multilevel"/>
    <w:tmpl w:val="18DD08B0"/>
    <w:lvl w:ilvl="0" w:tentative="0">
      <w:start w:val="1"/>
      <w:numFmt w:val="chineseCountingThousand"/>
      <w:lvlText w:val="第%1节"/>
      <w:lvlJc w:val="left"/>
      <w:pPr>
        <w:ind w:left="3969" w:firstLine="0"/>
      </w:pPr>
      <w:rPr>
        <w:rFonts w:hint="eastAsia" w:ascii="仿宋_GB2312" w:eastAsia="仿宋_GB2312"/>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FAD3B70"/>
    <w:multiLevelType w:val="singleLevel"/>
    <w:tmpl w:val="1FAD3B70"/>
    <w:lvl w:ilvl="0" w:tentative="0">
      <w:start w:val="1"/>
      <w:numFmt w:val="decimal"/>
      <w:suff w:val="space"/>
      <w:lvlText w:val="%1."/>
      <w:lvlJc w:val="left"/>
      <w:pPr>
        <w:ind w:left="0" w:leftChars="0" w:firstLine="0" w:firstLineChars="0"/>
      </w:pPr>
      <w:rPr>
        <w:rFonts w:hint="default"/>
      </w:rPr>
    </w:lvl>
  </w:abstractNum>
  <w:abstractNum w:abstractNumId="28">
    <w:nsid w:val="21FD12C2"/>
    <w:multiLevelType w:val="multilevel"/>
    <w:tmpl w:val="21FD12C2"/>
    <w:lvl w:ilvl="0" w:tentative="0">
      <w:start w:val="1"/>
      <w:numFmt w:val="chineseCountingThousand"/>
      <w:lvlText w:val="第%1节"/>
      <w:lvlJc w:val="left"/>
      <w:pPr>
        <w:ind w:left="3969" w:firstLine="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449A0B7C"/>
    <w:multiLevelType w:val="multilevel"/>
    <w:tmpl w:val="449A0B7C"/>
    <w:lvl w:ilvl="0" w:tentative="0">
      <w:start w:val="1"/>
      <w:numFmt w:val="chineseCountingThousand"/>
      <w:lvlText w:val="第%1节"/>
      <w:lvlJc w:val="left"/>
      <w:pPr>
        <w:ind w:left="3969" w:firstLine="0"/>
      </w:pPr>
      <w:rPr>
        <w:rFonts w:hint="eastAsia" w:ascii="仿宋_GB2312" w:eastAsia="仿宋_GB2312"/>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4EF43AF8"/>
    <w:multiLevelType w:val="multilevel"/>
    <w:tmpl w:val="4EF43AF8"/>
    <w:lvl w:ilvl="0" w:tentative="0">
      <w:start w:val="1"/>
      <w:numFmt w:val="chineseCountingThousand"/>
      <w:lvlText w:val="第%1节"/>
      <w:lvlJc w:val="left"/>
      <w:pPr>
        <w:ind w:left="3969" w:firstLine="0"/>
      </w:pPr>
      <w:rPr>
        <w:rFonts w:hint="eastAsia" w:ascii="仿宋_GB2312" w:eastAsia="仿宋_GB2312"/>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531E7996"/>
    <w:multiLevelType w:val="multilevel"/>
    <w:tmpl w:val="531E7996"/>
    <w:lvl w:ilvl="0" w:tentative="0">
      <w:start w:val="1"/>
      <w:numFmt w:val="chineseCountingThousand"/>
      <w:lvlText w:val="第%1节"/>
      <w:lvlJc w:val="left"/>
      <w:pPr>
        <w:ind w:left="3969" w:firstLine="0"/>
      </w:pPr>
      <w:rPr>
        <w:rFonts w:hint="eastAsia" w:ascii="仿宋_GB2312" w:eastAsia="仿宋_GB2312"/>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6"/>
  </w:num>
  <w:num w:numId="3">
    <w:abstractNumId w:val="12"/>
  </w:num>
  <w:num w:numId="4">
    <w:abstractNumId w:val="5"/>
  </w:num>
  <w:num w:numId="5">
    <w:abstractNumId w:val="8"/>
  </w:num>
  <w:num w:numId="6">
    <w:abstractNumId w:val="10"/>
  </w:num>
  <w:num w:numId="7">
    <w:abstractNumId w:val="22"/>
  </w:num>
  <w:num w:numId="8">
    <w:abstractNumId w:val="11"/>
  </w:num>
  <w:num w:numId="9">
    <w:abstractNumId w:val="9"/>
  </w:num>
  <w:num w:numId="10">
    <w:abstractNumId w:val="13"/>
  </w:num>
  <w:num w:numId="11">
    <w:abstractNumId w:val="23"/>
  </w:num>
  <w:num w:numId="12">
    <w:abstractNumId w:val="14"/>
  </w:num>
  <w:num w:numId="13">
    <w:abstractNumId w:val="24"/>
  </w:num>
  <w:num w:numId="14">
    <w:abstractNumId w:val="15"/>
  </w:num>
  <w:num w:numId="15">
    <w:abstractNumId w:val="20"/>
  </w:num>
  <w:num w:numId="16">
    <w:abstractNumId w:val="21"/>
  </w:num>
  <w:num w:numId="17">
    <w:abstractNumId w:val="7"/>
  </w:num>
  <w:num w:numId="18">
    <w:abstractNumId w:val="2"/>
  </w:num>
  <w:num w:numId="19">
    <w:abstractNumId w:val="28"/>
  </w:num>
  <w:num w:numId="20">
    <w:abstractNumId w:val="16"/>
  </w:num>
  <w:num w:numId="21">
    <w:abstractNumId w:val="4"/>
  </w:num>
  <w:num w:numId="22">
    <w:abstractNumId w:val="3"/>
  </w:num>
  <w:num w:numId="23">
    <w:abstractNumId w:val="17"/>
  </w:num>
  <w:num w:numId="24">
    <w:abstractNumId w:val="25"/>
  </w:num>
  <w:num w:numId="25">
    <w:abstractNumId w:val="29"/>
  </w:num>
  <w:num w:numId="26">
    <w:abstractNumId w:val="31"/>
  </w:num>
  <w:num w:numId="27">
    <w:abstractNumId w:val="30"/>
  </w:num>
  <w:num w:numId="28">
    <w:abstractNumId w:val="26"/>
  </w:num>
  <w:num w:numId="29">
    <w:abstractNumId w:val="1"/>
  </w:num>
  <w:num w:numId="30">
    <w:abstractNumId w:val="19"/>
  </w:num>
  <w:num w:numId="31">
    <w:abstractNumId w:val="0"/>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FiMzFmOTljMmQ3NDI5N2IzOWFjYzEzMmE5YzAyMmUifQ=="/>
  </w:docVars>
  <w:rsids>
    <w:rsidRoot w:val="00172A27"/>
    <w:rsid w:val="000003D4"/>
    <w:rsid w:val="0000091E"/>
    <w:rsid w:val="000017AD"/>
    <w:rsid w:val="00007BF6"/>
    <w:rsid w:val="000101F6"/>
    <w:rsid w:val="0001528A"/>
    <w:rsid w:val="00016407"/>
    <w:rsid w:val="0001736F"/>
    <w:rsid w:val="00017F70"/>
    <w:rsid w:val="00021DF5"/>
    <w:rsid w:val="00025BA6"/>
    <w:rsid w:val="00025D86"/>
    <w:rsid w:val="00025F08"/>
    <w:rsid w:val="0002794C"/>
    <w:rsid w:val="00031207"/>
    <w:rsid w:val="00031BD4"/>
    <w:rsid w:val="000326A0"/>
    <w:rsid w:val="00032BA6"/>
    <w:rsid w:val="00033FCE"/>
    <w:rsid w:val="00036433"/>
    <w:rsid w:val="00037845"/>
    <w:rsid w:val="000378F7"/>
    <w:rsid w:val="000422C2"/>
    <w:rsid w:val="0004272F"/>
    <w:rsid w:val="00044633"/>
    <w:rsid w:val="00047D73"/>
    <w:rsid w:val="00051C93"/>
    <w:rsid w:val="00053CA8"/>
    <w:rsid w:val="000545C8"/>
    <w:rsid w:val="000576E2"/>
    <w:rsid w:val="00060E59"/>
    <w:rsid w:val="00061E3F"/>
    <w:rsid w:val="00062673"/>
    <w:rsid w:val="00062FAB"/>
    <w:rsid w:val="00064F84"/>
    <w:rsid w:val="00067DB6"/>
    <w:rsid w:val="00073EBC"/>
    <w:rsid w:val="00076BCF"/>
    <w:rsid w:val="0008305C"/>
    <w:rsid w:val="000854A3"/>
    <w:rsid w:val="000854D1"/>
    <w:rsid w:val="00086B9A"/>
    <w:rsid w:val="00093E45"/>
    <w:rsid w:val="000942D8"/>
    <w:rsid w:val="000A0BD2"/>
    <w:rsid w:val="000A2501"/>
    <w:rsid w:val="000A34DD"/>
    <w:rsid w:val="000A3643"/>
    <w:rsid w:val="000A6A25"/>
    <w:rsid w:val="000B4334"/>
    <w:rsid w:val="000B473F"/>
    <w:rsid w:val="000B4761"/>
    <w:rsid w:val="000C1C2E"/>
    <w:rsid w:val="000C2F5C"/>
    <w:rsid w:val="000C3781"/>
    <w:rsid w:val="000C523E"/>
    <w:rsid w:val="000C5655"/>
    <w:rsid w:val="000D1694"/>
    <w:rsid w:val="000D33EF"/>
    <w:rsid w:val="000D369C"/>
    <w:rsid w:val="000E016C"/>
    <w:rsid w:val="000E4F60"/>
    <w:rsid w:val="000E7B23"/>
    <w:rsid w:val="000F1827"/>
    <w:rsid w:val="000F273A"/>
    <w:rsid w:val="000F6079"/>
    <w:rsid w:val="000F676D"/>
    <w:rsid w:val="000F7F82"/>
    <w:rsid w:val="0010173F"/>
    <w:rsid w:val="00101EFB"/>
    <w:rsid w:val="00101F79"/>
    <w:rsid w:val="00104508"/>
    <w:rsid w:val="0010551F"/>
    <w:rsid w:val="00106CC3"/>
    <w:rsid w:val="00106DD3"/>
    <w:rsid w:val="00113A00"/>
    <w:rsid w:val="00116FF1"/>
    <w:rsid w:val="001172D1"/>
    <w:rsid w:val="001174CD"/>
    <w:rsid w:val="001268C5"/>
    <w:rsid w:val="00127AF6"/>
    <w:rsid w:val="00130707"/>
    <w:rsid w:val="00130F99"/>
    <w:rsid w:val="001337C8"/>
    <w:rsid w:val="0013427E"/>
    <w:rsid w:val="00134921"/>
    <w:rsid w:val="0014081A"/>
    <w:rsid w:val="00141FA2"/>
    <w:rsid w:val="001429F4"/>
    <w:rsid w:val="00142AA0"/>
    <w:rsid w:val="00150C36"/>
    <w:rsid w:val="00153DD4"/>
    <w:rsid w:val="00157832"/>
    <w:rsid w:val="00157EBD"/>
    <w:rsid w:val="00161E02"/>
    <w:rsid w:val="0016217C"/>
    <w:rsid w:val="0016494A"/>
    <w:rsid w:val="00165E9B"/>
    <w:rsid w:val="0016683D"/>
    <w:rsid w:val="00167415"/>
    <w:rsid w:val="00172318"/>
    <w:rsid w:val="001725AB"/>
    <w:rsid w:val="00172805"/>
    <w:rsid w:val="00172996"/>
    <w:rsid w:val="00173565"/>
    <w:rsid w:val="00176E4B"/>
    <w:rsid w:val="001774D0"/>
    <w:rsid w:val="001817FA"/>
    <w:rsid w:val="00183D26"/>
    <w:rsid w:val="00190618"/>
    <w:rsid w:val="00193C08"/>
    <w:rsid w:val="001A0867"/>
    <w:rsid w:val="001A237E"/>
    <w:rsid w:val="001A4219"/>
    <w:rsid w:val="001A4377"/>
    <w:rsid w:val="001A4743"/>
    <w:rsid w:val="001A7798"/>
    <w:rsid w:val="001A7DA8"/>
    <w:rsid w:val="001B0B9B"/>
    <w:rsid w:val="001B1EC2"/>
    <w:rsid w:val="001B4A7A"/>
    <w:rsid w:val="001B64CC"/>
    <w:rsid w:val="001C0E26"/>
    <w:rsid w:val="001C3037"/>
    <w:rsid w:val="001C5C82"/>
    <w:rsid w:val="001C6E2D"/>
    <w:rsid w:val="001C7105"/>
    <w:rsid w:val="001D5145"/>
    <w:rsid w:val="001D635A"/>
    <w:rsid w:val="001D69ED"/>
    <w:rsid w:val="001E0458"/>
    <w:rsid w:val="001E0769"/>
    <w:rsid w:val="001E1799"/>
    <w:rsid w:val="001E42A6"/>
    <w:rsid w:val="001E6E08"/>
    <w:rsid w:val="001E7583"/>
    <w:rsid w:val="001E75DB"/>
    <w:rsid w:val="001F0A8D"/>
    <w:rsid w:val="001F110C"/>
    <w:rsid w:val="001F12AC"/>
    <w:rsid w:val="001F27B5"/>
    <w:rsid w:val="001F6AED"/>
    <w:rsid w:val="001F6DAE"/>
    <w:rsid w:val="0020167E"/>
    <w:rsid w:val="00203A6F"/>
    <w:rsid w:val="0020675B"/>
    <w:rsid w:val="00206A2F"/>
    <w:rsid w:val="00207A7C"/>
    <w:rsid w:val="0021102C"/>
    <w:rsid w:val="00212500"/>
    <w:rsid w:val="00214675"/>
    <w:rsid w:val="002149A1"/>
    <w:rsid w:val="002170F3"/>
    <w:rsid w:val="00220A09"/>
    <w:rsid w:val="00221195"/>
    <w:rsid w:val="00221198"/>
    <w:rsid w:val="002224BA"/>
    <w:rsid w:val="00222D65"/>
    <w:rsid w:val="00223705"/>
    <w:rsid w:val="002253D1"/>
    <w:rsid w:val="00225B8D"/>
    <w:rsid w:val="00226E93"/>
    <w:rsid w:val="002271A2"/>
    <w:rsid w:val="002302D5"/>
    <w:rsid w:val="0023140B"/>
    <w:rsid w:val="0023228C"/>
    <w:rsid w:val="00233285"/>
    <w:rsid w:val="00233A8A"/>
    <w:rsid w:val="002349AE"/>
    <w:rsid w:val="002349F8"/>
    <w:rsid w:val="00237790"/>
    <w:rsid w:val="002401A4"/>
    <w:rsid w:val="002405A3"/>
    <w:rsid w:val="0024130F"/>
    <w:rsid w:val="002447C7"/>
    <w:rsid w:val="002456AE"/>
    <w:rsid w:val="00250B3A"/>
    <w:rsid w:val="00253392"/>
    <w:rsid w:val="00254588"/>
    <w:rsid w:val="002548BF"/>
    <w:rsid w:val="002557B5"/>
    <w:rsid w:val="002603F2"/>
    <w:rsid w:val="00264087"/>
    <w:rsid w:val="00266DE7"/>
    <w:rsid w:val="00267599"/>
    <w:rsid w:val="00270496"/>
    <w:rsid w:val="00273A02"/>
    <w:rsid w:val="002755A8"/>
    <w:rsid w:val="00276093"/>
    <w:rsid w:val="00280AE9"/>
    <w:rsid w:val="00280E4A"/>
    <w:rsid w:val="00282857"/>
    <w:rsid w:val="00284CCB"/>
    <w:rsid w:val="00285924"/>
    <w:rsid w:val="002870A2"/>
    <w:rsid w:val="00287216"/>
    <w:rsid w:val="00287572"/>
    <w:rsid w:val="0029062C"/>
    <w:rsid w:val="00290C21"/>
    <w:rsid w:val="002910AA"/>
    <w:rsid w:val="002967D4"/>
    <w:rsid w:val="002A0D79"/>
    <w:rsid w:val="002A140D"/>
    <w:rsid w:val="002A20F9"/>
    <w:rsid w:val="002A5727"/>
    <w:rsid w:val="002A6D7D"/>
    <w:rsid w:val="002B0E41"/>
    <w:rsid w:val="002B15AC"/>
    <w:rsid w:val="002B1CCC"/>
    <w:rsid w:val="002C031C"/>
    <w:rsid w:val="002C22AD"/>
    <w:rsid w:val="002C22D4"/>
    <w:rsid w:val="002C24E6"/>
    <w:rsid w:val="002C2C70"/>
    <w:rsid w:val="002C4C74"/>
    <w:rsid w:val="002C5CBA"/>
    <w:rsid w:val="002C5F0E"/>
    <w:rsid w:val="002D0723"/>
    <w:rsid w:val="002D482A"/>
    <w:rsid w:val="002D66C1"/>
    <w:rsid w:val="002D7532"/>
    <w:rsid w:val="002E00CD"/>
    <w:rsid w:val="002E11B7"/>
    <w:rsid w:val="002E1844"/>
    <w:rsid w:val="002E2D8D"/>
    <w:rsid w:val="002E361C"/>
    <w:rsid w:val="002E41B9"/>
    <w:rsid w:val="002E57F9"/>
    <w:rsid w:val="002E5C29"/>
    <w:rsid w:val="002E6614"/>
    <w:rsid w:val="002F1082"/>
    <w:rsid w:val="002F168C"/>
    <w:rsid w:val="002F1AE8"/>
    <w:rsid w:val="002F3178"/>
    <w:rsid w:val="002F332B"/>
    <w:rsid w:val="002F7E56"/>
    <w:rsid w:val="003031E9"/>
    <w:rsid w:val="003048C7"/>
    <w:rsid w:val="0030498A"/>
    <w:rsid w:val="0031004F"/>
    <w:rsid w:val="003104B8"/>
    <w:rsid w:val="00314DE5"/>
    <w:rsid w:val="00317B47"/>
    <w:rsid w:val="0032076D"/>
    <w:rsid w:val="00321BAF"/>
    <w:rsid w:val="0032394D"/>
    <w:rsid w:val="00323C56"/>
    <w:rsid w:val="003242DB"/>
    <w:rsid w:val="00324672"/>
    <w:rsid w:val="00325F48"/>
    <w:rsid w:val="00326EA1"/>
    <w:rsid w:val="00330ADF"/>
    <w:rsid w:val="00332501"/>
    <w:rsid w:val="00334237"/>
    <w:rsid w:val="00334529"/>
    <w:rsid w:val="00336582"/>
    <w:rsid w:val="00336D73"/>
    <w:rsid w:val="00342836"/>
    <w:rsid w:val="0034455D"/>
    <w:rsid w:val="00345206"/>
    <w:rsid w:val="003571D5"/>
    <w:rsid w:val="0035793E"/>
    <w:rsid w:val="00357C88"/>
    <w:rsid w:val="00363E8F"/>
    <w:rsid w:val="0036539C"/>
    <w:rsid w:val="003708BA"/>
    <w:rsid w:val="00372107"/>
    <w:rsid w:val="00372518"/>
    <w:rsid w:val="003728D2"/>
    <w:rsid w:val="0037330D"/>
    <w:rsid w:val="0037381B"/>
    <w:rsid w:val="00373EB1"/>
    <w:rsid w:val="00374637"/>
    <w:rsid w:val="003746E6"/>
    <w:rsid w:val="003763FE"/>
    <w:rsid w:val="00377D73"/>
    <w:rsid w:val="0038492D"/>
    <w:rsid w:val="003905B9"/>
    <w:rsid w:val="00392299"/>
    <w:rsid w:val="00392FD7"/>
    <w:rsid w:val="00395C9B"/>
    <w:rsid w:val="003A438B"/>
    <w:rsid w:val="003A5FD2"/>
    <w:rsid w:val="003B146A"/>
    <w:rsid w:val="003B2856"/>
    <w:rsid w:val="003B5A9A"/>
    <w:rsid w:val="003C5125"/>
    <w:rsid w:val="003C7CC7"/>
    <w:rsid w:val="003D3D3C"/>
    <w:rsid w:val="003D5608"/>
    <w:rsid w:val="003D5F0F"/>
    <w:rsid w:val="003D613B"/>
    <w:rsid w:val="003E00E2"/>
    <w:rsid w:val="003E01DA"/>
    <w:rsid w:val="003E2872"/>
    <w:rsid w:val="003E3958"/>
    <w:rsid w:val="003F10F0"/>
    <w:rsid w:val="003F206E"/>
    <w:rsid w:val="003F2BB6"/>
    <w:rsid w:val="003F3271"/>
    <w:rsid w:val="003F5667"/>
    <w:rsid w:val="003F5672"/>
    <w:rsid w:val="003F5F65"/>
    <w:rsid w:val="004027B9"/>
    <w:rsid w:val="004031E0"/>
    <w:rsid w:val="00403451"/>
    <w:rsid w:val="004047D0"/>
    <w:rsid w:val="00404BBC"/>
    <w:rsid w:val="00406C84"/>
    <w:rsid w:val="004101D2"/>
    <w:rsid w:val="00412984"/>
    <w:rsid w:val="00413FF2"/>
    <w:rsid w:val="00414664"/>
    <w:rsid w:val="00414885"/>
    <w:rsid w:val="004159A9"/>
    <w:rsid w:val="00416D2B"/>
    <w:rsid w:val="0041760F"/>
    <w:rsid w:val="00417743"/>
    <w:rsid w:val="00420006"/>
    <w:rsid w:val="00420DF3"/>
    <w:rsid w:val="00421B6A"/>
    <w:rsid w:val="00424064"/>
    <w:rsid w:val="00424475"/>
    <w:rsid w:val="00424BE3"/>
    <w:rsid w:val="00425DBD"/>
    <w:rsid w:val="004267D2"/>
    <w:rsid w:val="004278FF"/>
    <w:rsid w:val="00430459"/>
    <w:rsid w:val="0043051A"/>
    <w:rsid w:val="00430F2D"/>
    <w:rsid w:val="00431F44"/>
    <w:rsid w:val="00434636"/>
    <w:rsid w:val="00435862"/>
    <w:rsid w:val="004370AF"/>
    <w:rsid w:val="0043737A"/>
    <w:rsid w:val="00440234"/>
    <w:rsid w:val="00440365"/>
    <w:rsid w:val="00441ACC"/>
    <w:rsid w:val="00441AF1"/>
    <w:rsid w:val="0044224F"/>
    <w:rsid w:val="00443A6B"/>
    <w:rsid w:val="004457B9"/>
    <w:rsid w:val="00446B56"/>
    <w:rsid w:val="00453F61"/>
    <w:rsid w:val="00454779"/>
    <w:rsid w:val="00454C45"/>
    <w:rsid w:val="00455D3F"/>
    <w:rsid w:val="00457EEA"/>
    <w:rsid w:val="004607E8"/>
    <w:rsid w:val="0046209E"/>
    <w:rsid w:val="004629D7"/>
    <w:rsid w:val="00462D3C"/>
    <w:rsid w:val="004631F6"/>
    <w:rsid w:val="00463D87"/>
    <w:rsid w:val="004653BA"/>
    <w:rsid w:val="00466050"/>
    <w:rsid w:val="00466453"/>
    <w:rsid w:val="00470302"/>
    <w:rsid w:val="00471154"/>
    <w:rsid w:val="004726BF"/>
    <w:rsid w:val="00473BD7"/>
    <w:rsid w:val="00475C7F"/>
    <w:rsid w:val="00476693"/>
    <w:rsid w:val="004813F0"/>
    <w:rsid w:val="00483DBE"/>
    <w:rsid w:val="0048445E"/>
    <w:rsid w:val="00485847"/>
    <w:rsid w:val="00485958"/>
    <w:rsid w:val="00485D1F"/>
    <w:rsid w:val="00486978"/>
    <w:rsid w:val="00486F81"/>
    <w:rsid w:val="004877DA"/>
    <w:rsid w:val="004911EF"/>
    <w:rsid w:val="00492A3A"/>
    <w:rsid w:val="00492F72"/>
    <w:rsid w:val="00493941"/>
    <w:rsid w:val="00493E3B"/>
    <w:rsid w:val="00494B48"/>
    <w:rsid w:val="004A173F"/>
    <w:rsid w:val="004A2A98"/>
    <w:rsid w:val="004A2D11"/>
    <w:rsid w:val="004A3EA4"/>
    <w:rsid w:val="004A3EE4"/>
    <w:rsid w:val="004A46E4"/>
    <w:rsid w:val="004B0400"/>
    <w:rsid w:val="004B1918"/>
    <w:rsid w:val="004B2143"/>
    <w:rsid w:val="004B31D0"/>
    <w:rsid w:val="004B5478"/>
    <w:rsid w:val="004B79CE"/>
    <w:rsid w:val="004C126A"/>
    <w:rsid w:val="004C1C7C"/>
    <w:rsid w:val="004C20EC"/>
    <w:rsid w:val="004C337C"/>
    <w:rsid w:val="004C3630"/>
    <w:rsid w:val="004C43A4"/>
    <w:rsid w:val="004C7EB2"/>
    <w:rsid w:val="004D1885"/>
    <w:rsid w:val="004D22BF"/>
    <w:rsid w:val="004D2FA0"/>
    <w:rsid w:val="004D3BB3"/>
    <w:rsid w:val="004D59B0"/>
    <w:rsid w:val="004D621C"/>
    <w:rsid w:val="004D70B8"/>
    <w:rsid w:val="004E0161"/>
    <w:rsid w:val="004E1269"/>
    <w:rsid w:val="004E1848"/>
    <w:rsid w:val="004E2EE1"/>
    <w:rsid w:val="004E2FC7"/>
    <w:rsid w:val="004E5568"/>
    <w:rsid w:val="004E6E7A"/>
    <w:rsid w:val="004F05DA"/>
    <w:rsid w:val="004F0EF6"/>
    <w:rsid w:val="004F288A"/>
    <w:rsid w:val="004F28D6"/>
    <w:rsid w:val="004F4595"/>
    <w:rsid w:val="004F6E3B"/>
    <w:rsid w:val="005003D7"/>
    <w:rsid w:val="0050052C"/>
    <w:rsid w:val="005009E9"/>
    <w:rsid w:val="005014E7"/>
    <w:rsid w:val="0050291F"/>
    <w:rsid w:val="00504342"/>
    <w:rsid w:val="00505CFB"/>
    <w:rsid w:val="00512AF8"/>
    <w:rsid w:val="00517045"/>
    <w:rsid w:val="00520019"/>
    <w:rsid w:val="00522AF3"/>
    <w:rsid w:val="0052353D"/>
    <w:rsid w:val="00523CE3"/>
    <w:rsid w:val="005258E4"/>
    <w:rsid w:val="005274CD"/>
    <w:rsid w:val="005277A5"/>
    <w:rsid w:val="00531098"/>
    <w:rsid w:val="00531F17"/>
    <w:rsid w:val="0053338C"/>
    <w:rsid w:val="005343AA"/>
    <w:rsid w:val="005356A2"/>
    <w:rsid w:val="005372F3"/>
    <w:rsid w:val="005376BC"/>
    <w:rsid w:val="00537B8A"/>
    <w:rsid w:val="00540FB4"/>
    <w:rsid w:val="00541045"/>
    <w:rsid w:val="0054109C"/>
    <w:rsid w:val="00542001"/>
    <w:rsid w:val="005446E1"/>
    <w:rsid w:val="0054602F"/>
    <w:rsid w:val="005476B6"/>
    <w:rsid w:val="00551E31"/>
    <w:rsid w:val="00555432"/>
    <w:rsid w:val="0056026A"/>
    <w:rsid w:val="00561206"/>
    <w:rsid w:val="005639E4"/>
    <w:rsid w:val="00563D2C"/>
    <w:rsid w:val="00565150"/>
    <w:rsid w:val="00567740"/>
    <w:rsid w:val="00570274"/>
    <w:rsid w:val="005730DA"/>
    <w:rsid w:val="00575084"/>
    <w:rsid w:val="0058004C"/>
    <w:rsid w:val="0058251E"/>
    <w:rsid w:val="005831B6"/>
    <w:rsid w:val="0058452C"/>
    <w:rsid w:val="0058676B"/>
    <w:rsid w:val="005906CF"/>
    <w:rsid w:val="00591D59"/>
    <w:rsid w:val="00592B61"/>
    <w:rsid w:val="00593BCB"/>
    <w:rsid w:val="005958D4"/>
    <w:rsid w:val="00595FEF"/>
    <w:rsid w:val="00597990"/>
    <w:rsid w:val="005A074C"/>
    <w:rsid w:val="005A1E17"/>
    <w:rsid w:val="005A3B92"/>
    <w:rsid w:val="005A3D84"/>
    <w:rsid w:val="005A3F4C"/>
    <w:rsid w:val="005A4580"/>
    <w:rsid w:val="005A4B8F"/>
    <w:rsid w:val="005A4F88"/>
    <w:rsid w:val="005A618D"/>
    <w:rsid w:val="005B2315"/>
    <w:rsid w:val="005B3452"/>
    <w:rsid w:val="005B5759"/>
    <w:rsid w:val="005B6453"/>
    <w:rsid w:val="005C2C48"/>
    <w:rsid w:val="005C4876"/>
    <w:rsid w:val="005C5B83"/>
    <w:rsid w:val="005C68AC"/>
    <w:rsid w:val="005D1CD3"/>
    <w:rsid w:val="005D3899"/>
    <w:rsid w:val="005D5C61"/>
    <w:rsid w:val="005D7B85"/>
    <w:rsid w:val="005E03DD"/>
    <w:rsid w:val="005E1939"/>
    <w:rsid w:val="005E1972"/>
    <w:rsid w:val="005E1F79"/>
    <w:rsid w:val="005E1F94"/>
    <w:rsid w:val="005E36C9"/>
    <w:rsid w:val="005E6802"/>
    <w:rsid w:val="005E7BAF"/>
    <w:rsid w:val="005F1737"/>
    <w:rsid w:val="005F1FFD"/>
    <w:rsid w:val="005F2B9C"/>
    <w:rsid w:val="005F5162"/>
    <w:rsid w:val="005F51B5"/>
    <w:rsid w:val="005F6C91"/>
    <w:rsid w:val="006010A5"/>
    <w:rsid w:val="006011A6"/>
    <w:rsid w:val="00607B68"/>
    <w:rsid w:val="006108A8"/>
    <w:rsid w:val="00610AF7"/>
    <w:rsid w:val="00611D4B"/>
    <w:rsid w:val="00612105"/>
    <w:rsid w:val="00612C7D"/>
    <w:rsid w:val="00616C7B"/>
    <w:rsid w:val="00620AA8"/>
    <w:rsid w:val="00620AB9"/>
    <w:rsid w:val="0062310C"/>
    <w:rsid w:val="00623958"/>
    <w:rsid w:val="00623D67"/>
    <w:rsid w:val="006248FC"/>
    <w:rsid w:val="00624B2E"/>
    <w:rsid w:val="0062708E"/>
    <w:rsid w:val="00627EE8"/>
    <w:rsid w:val="00630F15"/>
    <w:rsid w:val="00631D49"/>
    <w:rsid w:val="0063231A"/>
    <w:rsid w:val="00634A80"/>
    <w:rsid w:val="00635FD9"/>
    <w:rsid w:val="00640E22"/>
    <w:rsid w:val="00642695"/>
    <w:rsid w:val="006442D5"/>
    <w:rsid w:val="0064579F"/>
    <w:rsid w:val="006541C4"/>
    <w:rsid w:val="00654A9E"/>
    <w:rsid w:val="00655966"/>
    <w:rsid w:val="00657DFD"/>
    <w:rsid w:val="006612DF"/>
    <w:rsid w:val="00661379"/>
    <w:rsid w:val="00662C98"/>
    <w:rsid w:val="00662E8C"/>
    <w:rsid w:val="006639C3"/>
    <w:rsid w:val="0066514D"/>
    <w:rsid w:val="00667820"/>
    <w:rsid w:val="00672AA8"/>
    <w:rsid w:val="0067632E"/>
    <w:rsid w:val="00677EC9"/>
    <w:rsid w:val="006825D7"/>
    <w:rsid w:val="006856C8"/>
    <w:rsid w:val="006857D2"/>
    <w:rsid w:val="00686060"/>
    <w:rsid w:val="00686884"/>
    <w:rsid w:val="00691D39"/>
    <w:rsid w:val="00693986"/>
    <w:rsid w:val="00693EBA"/>
    <w:rsid w:val="00694822"/>
    <w:rsid w:val="00695B4D"/>
    <w:rsid w:val="0069604F"/>
    <w:rsid w:val="00697CFD"/>
    <w:rsid w:val="006A1BD7"/>
    <w:rsid w:val="006A2040"/>
    <w:rsid w:val="006A540A"/>
    <w:rsid w:val="006A5CB9"/>
    <w:rsid w:val="006A7B42"/>
    <w:rsid w:val="006B0675"/>
    <w:rsid w:val="006B109E"/>
    <w:rsid w:val="006B3D6A"/>
    <w:rsid w:val="006B4F10"/>
    <w:rsid w:val="006B53CE"/>
    <w:rsid w:val="006B7060"/>
    <w:rsid w:val="006B78C8"/>
    <w:rsid w:val="006C011B"/>
    <w:rsid w:val="006C0CAA"/>
    <w:rsid w:val="006C0D5D"/>
    <w:rsid w:val="006C5AEF"/>
    <w:rsid w:val="006D24CF"/>
    <w:rsid w:val="006D29BA"/>
    <w:rsid w:val="006D2B04"/>
    <w:rsid w:val="006D2CCE"/>
    <w:rsid w:val="006D61B3"/>
    <w:rsid w:val="006D7318"/>
    <w:rsid w:val="006D765C"/>
    <w:rsid w:val="006E00B0"/>
    <w:rsid w:val="006E0477"/>
    <w:rsid w:val="006E0FAA"/>
    <w:rsid w:val="006E3EFE"/>
    <w:rsid w:val="006E5F21"/>
    <w:rsid w:val="006E64C9"/>
    <w:rsid w:val="006E6600"/>
    <w:rsid w:val="006F1FDE"/>
    <w:rsid w:val="006F4263"/>
    <w:rsid w:val="006F4EF7"/>
    <w:rsid w:val="006F57CC"/>
    <w:rsid w:val="006F5B1B"/>
    <w:rsid w:val="006F5E35"/>
    <w:rsid w:val="006F65D4"/>
    <w:rsid w:val="00702868"/>
    <w:rsid w:val="007034BD"/>
    <w:rsid w:val="007062C0"/>
    <w:rsid w:val="007068B3"/>
    <w:rsid w:val="00710A56"/>
    <w:rsid w:val="00711185"/>
    <w:rsid w:val="00712473"/>
    <w:rsid w:val="00712773"/>
    <w:rsid w:val="007127CF"/>
    <w:rsid w:val="007205D8"/>
    <w:rsid w:val="0072106D"/>
    <w:rsid w:val="00724B70"/>
    <w:rsid w:val="00724E19"/>
    <w:rsid w:val="00727466"/>
    <w:rsid w:val="007302CD"/>
    <w:rsid w:val="00730BDB"/>
    <w:rsid w:val="00731183"/>
    <w:rsid w:val="00733519"/>
    <w:rsid w:val="00742B0A"/>
    <w:rsid w:val="0074669F"/>
    <w:rsid w:val="007479C1"/>
    <w:rsid w:val="00751D5A"/>
    <w:rsid w:val="00754E64"/>
    <w:rsid w:val="007555F4"/>
    <w:rsid w:val="00755F51"/>
    <w:rsid w:val="0076311C"/>
    <w:rsid w:val="0076409B"/>
    <w:rsid w:val="00765627"/>
    <w:rsid w:val="0077030D"/>
    <w:rsid w:val="007710B5"/>
    <w:rsid w:val="007710E3"/>
    <w:rsid w:val="00772E6E"/>
    <w:rsid w:val="00776E20"/>
    <w:rsid w:val="00777DE1"/>
    <w:rsid w:val="00781A3C"/>
    <w:rsid w:val="00783540"/>
    <w:rsid w:val="00787B6C"/>
    <w:rsid w:val="00790BEF"/>
    <w:rsid w:val="007932D1"/>
    <w:rsid w:val="00795BDA"/>
    <w:rsid w:val="0079615F"/>
    <w:rsid w:val="007A2A99"/>
    <w:rsid w:val="007A319F"/>
    <w:rsid w:val="007A33AA"/>
    <w:rsid w:val="007A534C"/>
    <w:rsid w:val="007A53D4"/>
    <w:rsid w:val="007A63C4"/>
    <w:rsid w:val="007B086E"/>
    <w:rsid w:val="007B1CE2"/>
    <w:rsid w:val="007B3013"/>
    <w:rsid w:val="007B3982"/>
    <w:rsid w:val="007B4F89"/>
    <w:rsid w:val="007B67B4"/>
    <w:rsid w:val="007C04B0"/>
    <w:rsid w:val="007C0774"/>
    <w:rsid w:val="007C094F"/>
    <w:rsid w:val="007C0986"/>
    <w:rsid w:val="007C0E61"/>
    <w:rsid w:val="007C19F1"/>
    <w:rsid w:val="007C224F"/>
    <w:rsid w:val="007C368D"/>
    <w:rsid w:val="007C5918"/>
    <w:rsid w:val="007C682F"/>
    <w:rsid w:val="007D1C73"/>
    <w:rsid w:val="007D3CB8"/>
    <w:rsid w:val="007D55B0"/>
    <w:rsid w:val="007E0B30"/>
    <w:rsid w:val="007E453B"/>
    <w:rsid w:val="007F07E6"/>
    <w:rsid w:val="007F1B91"/>
    <w:rsid w:val="007F2403"/>
    <w:rsid w:val="007F3B17"/>
    <w:rsid w:val="007F3C2D"/>
    <w:rsid w:val="007F4608"/>
    <w:rsid w:val="007F474C"/>
    <w:rsid w:val="007F537E"/>
    <w:rsid w:val="007F57F7"/>
    <w:rsid w:val="007F6B75"/>
    <w:rsid w:val="007F6C96"/>
    <w:rsid w:val="007F78C6"/>
    <w:rsid w:val="0080028B"/>
    <w:rsid w:val="00804A74"/>
    <w:rsid w:val="0080508A"/>
    <w:rsid w:val="008053E1"/>
    <w:rsid w:val="008127AB"/>
    <w:rsid w:val="00812806"/>
    <w:rsid w:val="00813799"/>
    <w:rsid w:val="00813ED6"/>
    <w:rsid w:val="00815468"/>
    <w:rsid w:val="00815E93"/>
    <w:rsid w:val="00817C06"/>
    <w:rsid w:val="0082153C"/>
    <w:rsid w:val="00827976"/>
    <w:rsid w:val="00830648"/>
    <w:rsid w:val="00832245"/>
    <w:rsid w:val="0083699E"/>
    <w:rsid w:val="00837C9C"/>
    <w:rsid w:val="00841CE1"/>
    <w:rsid w:val="00850E3B"/>
    <w:rsid w:val="00853661"/>
    <w:rsid w:val="00853A5A"/>
    <w:rsid w:val="00853B9D"/>
    <w:rsid w:val="00855C26"/>
    <w:rsid w:val="00860EBE"/>
    <w:rsid w:val="00861263"/>
    <w:rsid w:val="00861AAB"/>
    <w:rsid w:val="00862770"/>
    <w:rsid w:val="0086351F"/>
    <w:rsid w:val="008645E1"/>
    <w:rsid w:val="008668E8"/>
    <w:rsid w:val="00872FE6"/>
    <w:rsid w:val="00875C63"/>
    <w:rsid w:val="00882DFE"/>
    <w:rsid w:val="00882EBC"/>
    <w:rsid w:val="008831A2"/>
    <w:rsid w:val="008852F8"/>
    <w:rsid w:val="00886FFC"/>
    <w:rsid w:val="00892E5E"/>
    <w:rsid w:val="00893E16"/>
    <w:rsid w:val="008940C0"/>
    <w:rsid w:val="00894F94"/>
    <w:rsid w:val="00895A02"/>
    <w:rsid w:val="00896371"/>
    <w:rsid w:val="00897908"/>
    <w:rsid w:val="00897DFD"/>
    <w:rsid w:val="008A10CC"/>
    <w:rsid w:val="008A2613"/>
    <w:rsid w:val="008A367B"/>
    <w:rsid w:val="008A53D2"/>
    <w:rsid w:val="008B0B52"/>
    <w:rsid w:val="008B2F6E"/>
    <w:rsid w:val="008B3DA0"/>
    <w:rsid w:val="008B3F92"/>
    <w:rsid w:val="008B5C8E"/>
    <w:rsid w:val="008B7668"/>
    <w:rsid w:val="008C3552"/>
    <w:rsid w:val="008C3740"/>
    <w:rsid w:val="008C5E5A"/>
    <w:rsid w:val="008C6089"/>
    <w:rsid w:val="008C712E"/>
    <w:rsid w:val="008C7371"/>
    <w:rsid w:val="008C7C05"/>
    <w:rsid w:val="008D52A2"/>
    <w:rsid w:val="008D6401"/>
    <w:rsid w:val="008D715A"/>
    <w:rsid w:val="008D7D26"/>
    <w:rsid w:val="008E1619"/>
    <w:rsid w:val="008E2261"/>
    <w:rsid w:val="008E35C7"/>
    <w:rsid w:val="008E7939"/>
    <w:rsid w:val="008F0BBB"/>
    <w:rsid w:val="008F1397"/>
    <w:rsid w:val="008F16A0"/>
    <w:rsid w:val="008F75A4"/>
    <w:rsid w:val="0090216F"/>
    <w:rsid w:val="009067E5"/>
    <w:rsid w:val="009110B6"/>
    <w:rsid w:val="009113CC"/>
    <w:rsid w:val="00912B6B"/>
    <w:rsid w:val="0091348E"/>
    <w:rsid w:val="00913FFD"/>
    <w:rsid w:val="0091746D"/>
    <w:rsid w:val="00917547"/>
    <w:rsid w:val="009175FA"/>
    <w:rsid w:val="00921C7D"/>
    <w:rsid w:val="0092429C"/>
    <w:rsid w:val="009355A3"/>
    <w:rsid w:val="00935C42"/>
    <w:rsid w:val="009374D8"/>
    <w:rsid w:val="009377B1"/>
    <w:rsid w:val="00942E04"/>
    <w:rsid w:val="0094582A"/>
    <w:rsid w:val="00946264"/>
    <w:rsid w:val="009463C4"/>
    <w:rsid w:val="00947C63"/>
    <w:rsid w:val="00947E40"/>
    <w:rsid w:val="0095172A"/>
    <w:rsid w:val="00951BF2"/>
    <w:rsid w:val="00952062"/>
    <w:rsid w:val="00952D09"/>
    <w:rsid w:val="00953B08"/>
    <w:rsid w:val="009541E9"/>
    <w:rsid w:val="009562F3"/>
    <w:rsid w:val="009575C1"/>
    <w:rsid w:val="0096116B"/>
    <w:rsid w:val="00961983"/>
    <w:rsid w:val="009640FB"/>
    <w:rsid w:val="0096483D"/>
    <w:rsid w:val="00965800"/>
    <w:rsid w:val="00966745"/>
    <w:rsid w:val="00970C24"/>
    <w:rsid w:val="00971D46"/>
    <w:rsid w:val="00972A41"/>
    <w:rsid w:val="00972F06"/>
    <w:rsid w:val="0097382E"/>
    <w:rsid w:val="00973843"/>
    <w:rsid w:val="00973933"/>
    <w:rsid w:val="0097429D"/>
    <w:rsid w:val="00981D82"/>
    <w:rsid w:val="00981EC2"/>
    <w:rsid w:val="00983A43"/>
    <w:rsid w:val="00986AA6"/>
    <w:rsid w:val="00990949"/>
    <w:rsid w:val="00991753"/>
    <w:rsid w:val="00994706"/>
    <w:rsid w:val="0099680A"/>
    <w:rsid w:val="00997CE0"/>
    <w:rsid w:val="00997F8F"/>
    <w:rsid w:val="009A0423"/>
    <w:rsid w:val="009A357F"/>
    <w:rsid w:val="009A439E"/>
    <w:rsid w:val="009A61A5"/>
    <w:rsid w:val="009A6DA2"/>
    <w:rsid w:val="009B150E"/>
    <w:rsid w:val="009B2530"/>
    <w:rsid w:val="009B3B48"/>
    <w:rsid w:val="009B4427"/>
    <w:rsid w:val="009B5AFC"/>
    <w:rsid w:val="009B79B9"/>
    <w:rsid w:val="009C3AF3"/>
    <w:rsid w:val="009C3B24"/>
    <w:rsid w:val="009C452A"/>
    <w:rsid w:val="009C5706"/>
    <w:rsid w:val="009C572F"/>
    <w:rsid w:val="009C6B84"/>
    <w:rsid w:val="009C770E"/>
    <w:rsid w:val="009D066E"/>
    <w:rsid w:val="009D0893"/>
    <w:rsid w:val="009D4579"/>
    <w:rsid w:val="009D4D28"/>
    <w:rsid w:val="009D529C"/>
    <w:rsid w:val="009D5E7D"/>
    <w:rsid w:val="009D6DD9"/>
    <w:rsid w:val="009E12E3"/>
    <w:rsid w:val="009E25EF"/>
    <w:rsid w:val="009E26A0"/>
    <w:rsid w:val="009E33D7"/>
    <w:rsid w:val="009E3737"/>
    <w:rsid w:val="009E38F3"/>
    <w:rsid w:val="009E7EFD"/>
    <w:rsid w:val="009F6559"/>
    <w:rsid w:val="009F6C68"/>
    <w:rsid w:val="009F6DBB"/>
    <w:rsid w:val="009F6F26"/>
    <w:rsid w:val="009F7667"/>
    <w:rsid w:val="00A023C4"/>
    <w:rsid w:val="00A065BA"/>
    <w:rsid w:val="00A10CD5"/>
    <w:rsid w:val="00A129A0"/>
    <w:rsid w:val="00A14F58"/>
    <w:rsid w:val="00A15B3B"/>
    <w:rsid w:val="00A15C73"/>
    <w:rsid w:val="00A16061"/>
    <w:rsid w:val="00A210A4"/>
    <w:rsid w:val="00A21B34"/>
    <w:rsid w:val="00A2281E"/>
    <w:rsid w:val="00A26DCA"/>
    <w:rsid w:val="00A3180E"/>
    <w:rsid w:val="00A31B3E"/>
    <w:rsid w:val="00A33CF5"/>
    <w:rsid w:val="00A34F99"/>
    <w:rsid w:val="00A36734"/>
    <w:rsid w:val="00A40551"/>
    <w:rsid w:val="00A40659"/>
    <w:rsid w:val="00A435DF"/>
    <w:rsid w:val="00A444F0"/>
    <w:rsid w:val="00A445D6"/>
    <w:rsid w:val="00A44F93"/>
    <w:rsid w:val="00A47B94"/>
    <w:rsid w:val="00A51520"/>
    <w:rsid w:val="00A53B49"/>
    <w:rsid w:val="00A542EF"/>
    <w:rsid w:val="00A55531"/>
    <w:rsid w:val="00A558B4"/>
    <w:rsid w:val="00A5607F"/>
    <w:rsid w:val="00A57512"/>
    <w:rsid w:val="00A621AF"/>
    <w:rsid w:val="00A63701"/>
    <w:rsid w:val="00A64F3F"/>
    <w:rsid w:val="00A66225"/>
    <w:rsid w:val="00A665CC"/>
    <w:rsid w:val="00A67849"/>
    <w:rsid w:val="00A6797A"/>
    <w:rsid w:val="00A727E1"/>
    <w:rsid w:val="00A74405"/>
    <w:rsid w:val="00A77830"/>
    <w:rsid w:val="00A80217"/>
    <w:rsid w:val="00A812A0"/>
    <w:rsid w:val="00A81314"/>
    <w:rsid w:val="00A81788"/>
    <w:rsid w:val="00A81DE5"/>
    <w:rsid w:val="00A83AD0"/>
    <w:rsid w:val="00A86189"/>
    <w:rsid w:val="00A932E3"/>
    <w:rsid w:val="00A93CC3"/>
    <w:rsid w:val="00A94E07"/>
    <w:rsid w:val="00AA0BA6"/>
    <w:rsid w:val="00AA0BB5"/>
    <w:rsid w:val="00AA0CE8"/>
    <w:rsid w:val="00AA197A"/>
    <w:rsid w:val="00AA1E25"/>
    <w:rsid w:val="00AA4235"/>
    <w:rsid w:val="00AA43FA"/>
    <w:rsid w:val="00AA53D4"/>
    <w:rsid w:val="00AA578D"/>
    <w:rsid w:val="00AA5E58"/>
    <w:rsid w:val="00AA7A09"/>
    <w:rsid w:val="00AB2028"/>
    <w:rsid w:val="00AB4E0B"/>
    <w:rsid w:val="00AB50BB"/>
    <w:rsid w:val="00AB521D"/>
    <w:rsid w:val="00AB682D"/>
    <w:rsid w:val="00AB7466"/>
    <w:rsid w:val="00AC215D"/>
    <w:rsid w:val="00AC2935"/>
    <w:rsid w:val="00AC33E5"/>
    <w:rsid w:val="00AC5C7D"/>
    <w:rsid w:val="00AD2C29"/>
    <w:rsid w:val="00AD32DB"/>
    <w:rsid w:val="00AD3792"/>
    <w:rsid w:val="00AD5CCD"/>
    <w:rsid w:val="00AD7E7F"/>
    <w:rsid w:val="00AE196D"/>
    <w:rsid w:val="00AE7B00"/>
    <w:rsid w:val="00AF046B"/>
    <w:rsid w:val="00AF12D8"/>
    <w:rsid w:val="00AF2055"/>
    <w:rsid w:val="00AF2AB0"/>
    <w:rsid w:val="00AF7589"/>
    <w:rsid w:val="00AF7827"/>
    <w:rsid w:val="00AF7A48"/>
    <w:rsid w:val="00B00C04"/>
    <w:rsid w:val="00B035C3"/>
    <w:rsid w:val="00B03EEC"/>
    <w:rsid w:val="00B050E2"/>
    <w:rsid w:val="00B07C47"/>
    <w:rsid w:val="00B07C65"/>
    <w:rsid w:val="00B1281B"/>
    <w:rsid w:val="00B14E91"/>
    <w:rsid w:val="00B177C4"/>
    <w:rsid w:val="00B179D0"/>
    <w:rsid w:val="00B20FF1"/>
    <w:rsid w:val="00B21702"/>
    <w:rsid w:val="00B21933"/>
    <w:rsid w:val="00B220F0"/>
    <w:rsid w:val="00B24099"/>
    <w:rsid w:val="00B24B3B"/>
    <w:rsid w:val="00B26DC4"/>
    <w:rsid w:val="00B33B20"/>
    <w:rsid w:val="00B359C6"/>
    <w:rsid w:val="00B36199"/>
    <w:rsid w:val="00B375D0"/>
    <w:rsid w:val="00B40D92"/>
    <w:rsid w:val="00B41CA7"/>
    <w:rsid w:val="00B4218C"/>
    <w:rsid w:val="00B4458F"/>
    <w:rsid w:val="00B45A84"/>
    <w:rsid w:val="00B464A9"/>
    <w:rsid w:val="00B47597"/>
    <w:rsid w:val="00B47753"/>
    <w:rsid w:val="00B51A8D"/>
    <w:rsid w:val="00B53ECF"/>
    <w:rsid w:val="00B604BD"/>
    <w:rsid w:val="00B61493"/>
    <w:rsid w:val="00B61767"/>
    <w:rsid w:val="00B71E85"/>
    <w:rsid w:val="00B73F00"/>
    <w:rsid w:val="00B746C9"/>
    <w:rsid w:val="00B74B99"/>
    <w:rsid w:val="00B74C67"/>
    <w:rsid w:val="00B768EB"/>
    <w:rsid w:val="00B77EC0"/>
    <w:rsid w:val="00B814D6"/>
    <w:rsid w:val="00B83027"/>
    <w:rsid w:val="00B86622"/>
    <w:rsid w:val="00B90646"/>
    <w:rsid w:val="00B9169C"/>
    <w:rsid w:val="00B91EED"/>
    <w:rsid w:val="00B930A5"/>
    <w:rsid w:val="00B9453F"/>
    <w:rsid w:val="00B964A4"/>
    <w:rsid w:val="00B9656C"/>
    <w:rsid w:val="00B97933"/>
    <w:rsid w:val="00BA1443"/>
    <w:rsid w:val="00BA2B76"/>
    <w:rsid w:val="00BA3928"/>
    <w:rsid w:val="00BA46BF"/>
    <w:rsid w:val="00BA4913"/>
    <w:rsid w:val="00BA65F9"/>
    <w:rsid w:val="00BB26C0"/>
    <w:rsid w:val="00BB431F"/>
    <w:rsid w:val="00BB59A0"/>
    <w:rsid w:val="00BB7B8E"/>
    <w:rsid w:val="00BC1D48"/>
    <w:rsid w:val="00BC247B"/>
    <w:rsid w:val="00BC33F8"/>
    <w:rsid w:val="00BC3C4D"/>
    <w:rsid w:val="00BC7710"/>
    <w:rsid w:val="00BC7F2F"/>
    <w:rsid w:val="00BD0111"/>
    <w:rsid w:val="00BD0B09"/>
    <w:rsid w:val="00BD10DB"/>
    <w:rsid w:val="00BD4C22"/>
    <w:rsid w:val="00BE385F"/>
    <w:rsid w:val="00BE4298"/>
    <w:rsid w:val="00BE5482"/>
    <w:rsid w:val="00BE7CB0"/>
    <w:rsid w:val="00BF00C4"/>
    <w:rsid w:val="00BF17D4"/>
    <w:rsid w:val="00BF34FC"/>
    <w:rsid w:val="00BF47E6"/>
    <w:rsid w:val="00C01F89"/>
    <w:rsid w:val="00C04740"/>
    <w:rsid w:val="00C059DC"/>
    <w:rsid w:val="00C067D4"/>
    <w:rsid w:val="00C0763B"/>
    <w:rsid w:val="00C104B6"/>
    <w:rsid w:val="00C109DB"/>
    <w:rsid w:val="00C12CF5"/>
    <w:rsid w:val="00C16F65"/>
    <w:rsid w:val="00C22814"/>
    <w:rsid w:val="00C22828"/>
    <w:rsid w:val="00C24EE8"/>
    <w:rsid w:val="00C25088"/>
    <w:rsid w:val="00C2740E"/>
    <w:rsid w:val="00C27FFA"/>
    <w:rsid w:val="00C30A19"/>
    <w:rsid w:val="00C344BE"/>
    <w:rsid w:val="00C356EC"/>
    <w:rsid w:val="00C372E7"/>
    <w:rsid w:val="00C438EF"/>
    <w:rsid w:val="00C43B83"/>
    <w:rsid w:val="00C46A6D"/>
    <w:rsid w:val="00C51302"/>
    <w:rsid w:val="00C519A7"/>
    <w:rsid w:val="00C52176"/>
    <w:rsid w:val="00C52629"/>
    <w:rsid w:val="00C53A28"/>
    <w:rsid w:val="00C54056"/>
    <w:rsid w:val="00C56B38"/>
    <w:rsid w:val="00C57EB7"/>
    <w:rsid w:val="00C60E31"/>
    <w:rsid w:val="00C611E8"/>
    <w:rsid w:val="00C61EC8"/>
    <w:rsid w:val="00C64015"/>
    <w:rsid w:val="00C653E3"/>
    <w:rsid w:val="00C65D1D"/>
    <w:rsid w:val="00C7127B"/>
    <w:rsid w:val="00C714E4"/>
    <w:rsid w:val="00C7229B"/>
    <w:rsid w:val="00C73027"/>
    <w:rsid w:val="00C7427A"/>
    <w:rsid w:val="00C74639"/>
    <w:rsid w:val="00C75DA0"/>
    <w:rsid w:val="00C776D2"/>
    <w:rsid w:val="00C80ADC"/>
    <w:rsid w:val="00C81020"/>
    <w:rsid w:val="00C818A3"/>
    <w:rsid w:val="00C82164"/>
    <w:rsid w:val="00C83063"/>
    <w:rsid w:val="00C841C1"/>
    <w:rsid w:val="00C87851"/>
    <w:rsid w:val="00C96E73"/>
    <w:rsid w:val="00CA16C8"/>
    <w:rsid w:val="00CA26A6"/>
    <w:rsid w:val="00CA675D"/>
    <w:rsid w:val="00CB1843"/>
    <w:rsid w:val="00CB41D0"/>
    <w:rsid w:val="00CB4B33"/>
    <w:rsid w:val="00CB55C6"/>
    <w:rsid w:val="00CB5AD5"/>
    <w:rsid w:val="00CC23E6"/>
    <w:rsid w:val="00CC30F5"/>
    <w:rsid w:val="00CC3682"/>
    <w:rsid w:val="00CC3968"/>
    <w:rsid w:val="00CC4BA9"/>
    <w:rsid w:val="00CC796F"/>
    <w:rsid w:val="00CD24DB"/>
    <w:rsid w:val="00CD3CD7"/>
    <w:rsid w:val="00CD4F36"/>
    <w:rsid w:val="00CD5AE8"/>
    <w:rsid w:val="00CD7707"/>
    <w:rsid w:val="00CE027F"/>
    <w:rsid w:val="00CE19BC"/>
    <w:rsid w:val="00CE1E77"/>
    <w:rsid w:val="00CE2BCB"/>
    <w:rsid w:val="00CE35AA"/>
    <w:rsid w:val="00CE3CE1"/>
    <w:rsid w:val="00CE3E71"/>
    <w:rsid w:val="00CE5B78"/>
    <w:rsid w:val="00CE61DB"/>
    <w:rsid w:val="00CE63E5"/>
    <w:rsid w:val="00CE7039"/>
    <w:rsid w:val="00CE7BF9"/>
    <w:rsid w:val="00CF44CC"/>
    <w:rsid w:val="00CF5D0F"/>
    <w:rsid w:val="00CF65EE"/>
    <w:rsid w:val="00D007B0"/>
    <w:rsid w:val="00D05232"/>
    <w:rsid w:val="00D07C07"/>
    <w:rsid w:val="00D13B85"/>
    <w:rsid w:val="00D15F8E"/>
    <w:rsid w:val="00D16AAF"/>
    <w:rsid w:val="00D16BCB"/>
    <w:rsid w:val="00D17BFD"/>
    <w:rsid w:val="00D20296"/>
    <w:rsid w:val="00D20D85"/>
    <w:rsid w:val="00D21C73"/>
    <w:rsid w:val="00D263A8"/>
    <w:rsid w:val="00D30200"/>
    <w:rsid w:val="00D303CC"/>
    <w:rsid w:val="00D3062F"/>
    <w:rsid w:val="00D3292E"/>
    <w:rsid w:val="00D329EC"/>
    <w:rsid w:val="00D34EA0"/>
    <w:rsid w:val="00D353A9"/>
    <w:rsid w:val="00D354E6"/>
    <w:rsid w:val="00D40464"/>
    <w:rsid w:val="00D40D9A"/>
    <w:rsid w:val="00D476F7"/>
    <w:rsid w:val="00D52B9C"/>
    <w:rsid w:val="00D5711B"/>
    <w:rsid w:val="00D60B8E"/>
    <w:rsid w:val="00D62EF4"/>
    <w:rsid w:val="00D63A45"/>
    <w:rsid w:val="00D703AF"/>
    <w:rsid w:val="00D71F16"/>
    <w:rsid w:val="00D7329B"/>
    <w:rsid w:val="00D73701"/>
    <w:rsid w:val="00D75740"/>
    <w:rsid w:val="00D75804"/>
    <w:rsid w:val="00D8266C"/>
    <w:rsid w:val="00D83571"/>
    <w:rsid w:val="00D93CBF"/>
    <w:rsid w:val="00D95992"/>
    <w:rsid w:val="00D96CDD"/>
    <w:rsid w:val="00D97DA7"/>
    <w:rsid w:val="00D97E84"/>
    <w:rsid w:val="00DA0346"/>
    <w:rsid w:val="00DA57AD"/>
    <w:rsid w:val="00DA5E89"/>
    <w:rsid w:val="00DB1FDD"/>
    <w:rsid w:val="00DB2582"/>
    <w:rsid w:val="00DB2663"/>
    <w:rsid w:val="00DB375D"/>
    <w:rsid w:val="00DB3F2A"/>
    <w:rsid w:val="00DB6494"/>
    <w:rsid w:val="00DC1819"/>
    <w:rsid w:val="00DC1FD1"/>
    <w:rsid w:val="00DC4270"/>
    <w:rsid w:val="00DC51E5"/>
    <w:rsid w:val="00DC5C81"/>
    <w:rsid w:val="00DC75D7"/>
    <w:rsid w:val="00DD2EC8"/>
    <w:rsid w:val="00DD6640"/>
    <w:rsid w:val="00DD779E"/>
    <w:rsid w:val="00DE0C12"/>
    <w:rsid w:val="00DE14BE"/>
    <w:rsid w:val="00DE1CD2"/>
    <w:rsid w:val="00DE216D"/>
    <w:rsid w:val="00DE2668"/>
    <w:rsid w:val="00DE3962"/>
    <w:rsid w:val="00DE3B64"/>
    <w:rsid w:val="00DE713C"/>
    <w:rsid w:val="00DE7B22"/>
    <w:rsid w:val="00DE7FDE"/>
    <w:rsid w:val="00DF0532"/>
    <w:rsid w:val="00DF37D8"/>
    <w:rsid w:val="00DF4967"/>
    <w:rsid w:val="00E017D5"/>
    <w:rsid w:val="00E02F48"/>
    <w:rsid w:val="00E03E67"/>
    <w:rsid w:val="00E03F2A"/>
    <w:rsid w:val="00E05950"/>
    <w:rsid w:val="00E05FDA"/>
    <w:rsid w:val="00E06244"/>
    <w:rsid w:val="00E06B21"/>
    <w:rsid w:val="00E07140"/>
    <w:rsid w:val="00E076A2"/>
    <w:rsid w:val="00E10D53"/>
    <w:rsid w:val="00E13E0C"/>
    <w:rsid w:val="00E143E9"/>
    <w:rsid w:val="00E14D68"/>
    <w:rsid w:val="00E150B1"/>
    <w:rsid w:val="00E16CF5"/>
    <w:rsid w:val="00E202AF"/>
    <w:rsid w:val="00E213A7"/>
    <w:rsid w:val="00E21EFB"/>
    <w:rsid w:val="00E245AF"/>
    <w:rsid w:val="00E24D1D"/>
    <w:rsid w:val="00E25868"/>
    <w:rsid w:val="00E25C34"/>
    <w:rsid w:val="00E26B75"/>
    <w:rsid w:val="00E270D6"/>
    <w:rsid w:val="00E3265F"/>
    <w:rsid w:val="00E32BBB"/>
    <w:rsid w:val="00E33A96"/>
    <w:rsid w:val="00E33B0E"/>
    <w:rsid w:val="00E37E70"/>
    <w:rsid w:val="00E4417D"/>
    <w:rsid w:val="00E53E04"/>
    <w:rsid w:val="00E54428"/>
    <w:rsid w:val="00E54C64"/>
    <w:rsid w:val="00E55448"/>
    <w:rsid w:val="00E6049D"/>
    <w:rsid w:val="00E62620"/>
    <w:rsid w:val="00E63085"/>
    <w:rsid w:val="00E67983"/>
    <w:rsid w:val="00E67D44"/>
    <w:rsid w:val="00E7028A"/>
    <w:rsid w:val="00E735B5"/>
    <w:rsid w:val="00E76EE4"/>
    <w:rsid w:val="00E80A75"/>
    <w:rsid w:val="00E81B79"/>
    <w:rsid w:val="00E851BF"/>
    <w:rsid w:val="00E85BDD"/>
    <w:rsid w:val="00E9006F"/>
    <w:rsid w:val="00E90AA5"/>
    <w:rsid w:val="00E9168A"/>
    <w:rsid w:val="00E958AE"/>
    <w:rsid w:val="00E970A6"/>
    <w:rsid w:val="00EA4CE5"/>
    <w:rsid w:val="00EA72E7"/>
    <w:rsid w:val="00EA7893"/>
    <w:rsid w:val="00EB38A8"/>
    <w:rsid w:val="00EB4C85"/>
    <w:rsid w:val="00EB589F"/>
    <w:rsid w:val="00EB64FE"/>
    <w:rsid w:val="00EC36C8"/>
    <w:rsid w:val="00EC7223"/>
    <w:rsid w:val="00EC7B27"/>
    <w:rsid w:val="00ED3254"/>
    <w:rsid w:val="00ED3503"/>
    <w:rsid w:val="00ED3D4D"/>
    <w:rsid w:val="00EE205D"/>
    <w:rsid w:val="00EE4003"/>
    <w:rsid w:val="00EE49F2"/>
    <w:rsid w:val="00EE6377"/>
    <w:rsid w:val="00EF0E77"/>
    <w:rsid w:val="00EF22D4"/>
    <w:rsid w:val="00EF5110"/>
    <w:rsid w:val="00EF68BE"/>
    <w:rsid w:val="00EF703B"/>
    <w:rsid w:val="00EF77E3"/>
    <w:rsid w:val="00EF7B7B"/>
    <w:rsid w:val="00EF7CD9"/>
    <w:rsid w:val="00EF7F1B"/>
    <w:rsid w:val="00F0097F"/>
    <w:rsid w:val="00F00F59"/>
    <w:rsid w:val="00F017EC"/>
    <w:rsid w:val="00F03BAE"/>
    <w:rsid w:val="00F04506"/>
    <w:rsid w:val="00F0467B"/>
    <w:rsid w:val="00F0593D"/>
    <w:rsid w:val="00F072BD"/>
    <w:rsid w:val="00F130B5"/>
    <w:rsid w:val="00F14B6E"/>
    <w:rsid w:val="00F15223"/>
    <w:rsid w:val="00F17A6B"/>
    <w:rsid w:val="00F21D08"/>
    <w:rsid w:val="00F22B69"/>
    <w:rsid w:val="00F30556"/>
    <w:rsid w:val="00F30D4C"/>
    <w:rsid w:val="00F4367C"/>
    <w:rsid w:val="00F46313"/>
    <w:rsid w:val="00F5077C"/>
    <w:rsid w:val="00F51921"/>
    <w:rsid w:val="00F5458F"/>
    <w:rsid w:val="00F568FE"/>
    <w:rsid w:val="00F613C9"/>
    <w:rsid w:val="00F638C7"/>
    <w:rsid w:val="00F651C3"/>
    <w:rsid w:val="00F71414"/>
    <w:rsid w:val="00F73518"/>
    <w:rsid w:val="00F7354F"/>
    <w:rsid w:val="00F739AF"/>
    <w:rsid w:val="00F748C7"/>
    <w:rsid w:val="00F74D5F"/>
    <w:rsid w:val="00F755B9"/>
    <w:rsid w:val="00F82B31"/>
    <w:rsid w:val="00F849F6"/>
    <w:rsid w:val="00F859FB"/>
    <w:rsid w:val="00F85D7C"/>
    <w:rsid w:val="00F90BFE"/>
    <w:rsid w:val="00F95AD6"/>
    <w:rsid w:val="00F96A32"/>
    <w:rsid w:val="00FA18D2"/>
    <w:rsid w:val="00FA48D9"/>
    <w:rsid w:val="00FA69C4"/>
    <w:rsid w:val="00FA7EF6"/>
    <w:rsid w:val="00FB0BD2"/>
    <w:rsid w:val="00FB3132"/>
    <w:rsid w:val="00FB48A1"/>
    <w:rsid w:val="00FB6584"/>
    <w:rsid w:val="00FC0ACE"/>
    <w:rsid w:val="00FC16F7"/>
    <w:rsid w:val="00FC1E04"/>
    <w:rsid w:val="00FC385B"/>
    <w:rsid w:val="00FC4305"/>
    <w:rsid w:val="00FC6A54"/>
    <w:rsid w:val="00FC6A65"/>
    <w:rsid w:val="00FD34D4"/>
    <w:rsid w:val="00FD3BB6"/>
    <w:rsid w:val="00FD4B44"/>
    <w:rsid w:val="00FD50C5"/>
    <w:rsid w:val="00FE0D9B"/>
    <w:rsid w:val="00FE1875"/>
    <w:rsid w:val="00FE19F1"/>
    <w:rsid w:val="00FE3B07"/>
    <w:rsid w:val="00FE4409"/>
    <w:rsid w:val="00FF01E6"/>
    <w:rsid w:val="00FF0E76"/>
    <w:rsid w:val="00FF1FAF"/>
    <w:rsid w:val="00FF25D6"/>
    <w:rsid w:val="00FF25E9"/>
    <w:rsid w:val="00FF27D5"/>
    <w:rsid w:val="00FF2CA6"/>
    <w:rsid w:val="00FF2D98"/>
    <w:rsid w:val="00FF3B38"/>
    <w:rsid w:val="00FF5382"/>
    <w:rsid w:val="00FF54C4"/>
    <w:rsid w:val="00FF5F6C"/>
    <w:rsid w:val="00FF7586"/>
    <w:rsid w:val="0102713E"/>
    <w:rsid w:val="01253372"/>
    <w:rsid w:val="013701DC"/>
    <w:rsid w:val="01391C32"/>
    <w:rsid w:val="017B79D8"/>
    <w:rsid w:val="01821293"/>
    <w:rsid w:val="019E5E86"/>
    <w:rsid w:val="022C6982"/>
    <w:rsid w:val="023D7A95"/>
    <w:rsid w:val="024E7BCF"/>
    <w:rsid w:val="029C3B08"/>
    <w:rsid w:val="02A85C97"/>
    <w:rsid w:val="031453E6"/>
    <w:rsid w:val="03644DFB"/>
    <w:rsid w:val="03874A2A"/>
    <w:rsid w:val="038D141A"/>
    <w:rsid w:val="041E2124"/>
    <w:rsid w:val="04666AFF"/>
    <w:rsid w:val="046B6954"/>
    <w:rsid w:val="04782B2D"/>
    <w:rsid w:val="04F779A6"/>
    <w:rsid w:val="05080FE1"/>
    <w:rsid w:val="060055F2"/>
    <w:rsid w:val="06331B05"/>
    <w:rsid w:val="06D62EC4"/>
    <w:rsid w:val="073C7668"/>
    <w:rsid w:val="075A1F81"/>
    <w:rsid w:val="078F7797"/>
    <w:rsid w:val="080D7A6A"/>
    <w:rsid w:val="08732C15"/>
    <w:rsid w:val="08BA0844"/>
    <w:rsid w:val="08CE79ED"/>
    <w:rsid w:val="091B78CA"/>
    <w:rsid w:val="09D757D3"/>
    <w:rsid w:val="0A287A2F"/>
    <w:rsid w:val="0A3E1493"/>
    <w:rsid w:val="0A410AF1"/>
    <w:rsid w:val="0A4850FA"/>
    <w:rsid w:val="0A851326"/>
    <w:rsid w:val="0A904E97"/>
    <w:rsid w:val="0A9926DB"/>
    <w:rsid w:val="0AB66EF9"/>
    <w:rsid w:val="0AED509B"/>
    <w:rsid w:val="0AF40144"/>
    <w:rsid w:val="0B2E4213"/>
    <w:rsid w:val="0B8C3FEE"/>
    <w:rsid w:val="0C392FDD"/>
    <w:rsid w:val="0C970F3B"/>
    <w:rsid w:val="0CD80EB4"/>
    <w:rsid w:val="0D2B61B4"/>
    <w:rsid w:val="0D4B0060"/>
    <w:rsid w:val="0D620E01"/>
    <w:rsid w:val="0D7078E9"/>
    <w:rsid w:val="0E28100D"/>
    <w:rsid w:val="0E611762"/>
    <w:rsid w:val="0F00226D"/>
    <w:rsid w:val="0F12706E"/>
    <w:rsid w:val="0F34210E"/>
    <w:rsid w:val="0FD541B5"/>
    <w:rsid w:val="0FE630DA"/>
    <w:rsid w:val="0FEF171B"/>
    <w:rsid w:val="101240A5"/>
    <w:rsid w:val="101E4CE2"/>
    <w:rsid w:val="105F7F23"/>
    <w:rsid w:val="107439CE"/>
    <w:rsid w:val="10D206F5"/>
    <w:rsid w:val="11135E55"/>
    <w:rsid w:val="1143043B"/>
    <w:rsid w:val="11451C9E"/>
    <w:rsid w:val="115E01B0"/>
    <w:rsid w:val="122E4051"/>
    <w:rsid w:val="125657B8"/>
    <w:rsid w:val="1258312B"/>
    <w:rsid w:val="12935182"/>
    <w:rsid w:val="12A50905"/>
    <w:rsid w:val="13105C7B"/>
    <w:rsid w:val="13361AB6"/>
    <w:rsid w:val="134B3C46"/>
    <w:rsid w:val="14165332"/>
    <w:rsid w:val="14397698"/>
    <w:rsid w:val="146538C4"/>
    <w:rsid w:val="154A0493"/>
    <w:rsid w:val="15645C97"/>
    <w:rsid w:val="157B57FF"/>
    <w:rsid w:val="15EC6566"/>
    <w:rsid w:val="15EE128D"/>
    <w:rsid w:val="162301AE"/>
    <w:rsid w:val="163828D3"/>
    <w:rsid w:val="166167A3"/>
    <w:rsid w:val="16BC7326"/>
    <w:rsid w:val="16F151B8"/>
    <w:rsid w:val="16F51271"/>
    <w:rsid w:val="174169B7"/>
    <w:rsid w:val="176E561B"/>
    <w:rsid w:val="17B91F5F"/>
    <w:rsid w:val="17F91257"/>
    <w:rsid w:val="18284893"/>
    <w:rsid w:val="18486B76"/>
    <w:rsid w:val="1890115A"/>
    <w:rsid w:val="18BD4D89"/>
    <w:rsid w:val="19F90A27"/>
    <w:rsid w:val="1AC36B9D"/>
    <w:rsid w:val="1B315BE9"/>
    <w:rsid w:val="1B413F9A"/>
    <w:rsid w:val="1B97053E"/>
    <w:rsid w:val="1BD04603"/>
    <w:rsid w:val="1CE05325"/>
    <w:rsid w:val="1CE454C6"/>
    <w:rsid w:val="1CEC6169"/>
    <w:rsid w:val="1D724E0F"/>
    <w:rsid w:val="1D792B32"/>
    <w:rsid w:val="1D7C7673"/>
    <w:rsid w:val="1D9A19F3"/>
    <w:rsid w:val="1DE859FC"/>
    <w:rsid w:val="1E170C58"/>
    <w:rsid w:val="1E4B256C"/>
    <w:rsid w:val="1E5B1C03"/>
    <w:rsid w:val="1EB70653"/>
    <w:rsid w:val="1EC66EA9"/>
    <w:rsid w:val="1EE77A88"/>
    <w:rsid w:val="1EF24998"/>
    <w:rsid w:val="1F091B5E"/>
    <w:rsid w:val="1F640870"/>
    <w:rsid w:val="20113CBD"/>
    <w:rsid w:val="20321D04"/>
    <w:rsid w:val="20426283"/>
    <w:rsid w:val="204C50DF"/>
    <w:rsid w:val="20715D34"/>
    <w:rsid w:val="208539D6"/>
    <w:rsid w:val="208C5C9B"/>
    <w:rsid w:val="20A21E92"/>
    <w:rsid w:val="20B46CEA"/>
    <w:rsid w:val="21554B67"/>
    <w:rsid w:val="215B400B"/>
    <w:rsid w:val="219F594C"/>
    <w:rsid w:val="21C91B7A"/>
    <w:rsid w:val="21E538E4"/>
    <w:rsid w:val="22C37E89"/>
    <w:rsid w:val="22F32E79"/>
    <w:rsid w:val="231E28BB"/>
    <w:rsid w:val="232F76C9"/>
    <w:rsid w:val="2380612F"/>
    <w:rsid w:val="241905D1"/>
    <w:rsid w:val="245F009A"/>
    <w:rsid w:val="24722E93"/>
    <w:rsid w:val="249B102A"/>
    <w:rsid w:val="24CF5C9F"/>
    <w:rsid w:val="24D32585"/>
    <w:rsid w:val="24D52FE3"/>
    <w:rsid w:val="24DA0D94"/>
    <w:rsid w:val="24E30CCB"/>
    <w:rsid w:val="24F92A51"/>
    <w:rsid w:val="25155EEE"/>
    <w:rsid w:val="251A47DE"/>
    <w:rsid w:val="2535499E"/>
    <w:rsid w:val="257F4F8D"/>
    <w:rsid w:val="25C44A1C"/>
    <w:rsid w:val="264D28C5"/>
    <w:rsid w:val="2654026D"/>
    <w:rsid w:val="26910EDA"/>
    <w:rsid w:val="26F60B57"/>
    <w:rsid w:val="271D766E"/>
    <w:rsid w:val="281F281F"/>
    <w:rsid w:val="285222B2"/>
    <w:rsid w:val="28AF75BF"/>
    <w:rsid w:val="28D41F97"/>
    <w:rsid w:val="28ED036A"/>
    <w:rsid w:val="29150CDD"/>
    <w:rsid w:val="29184153"/>
    <w:rsid w:val="298365D8"/>
    <w:rsid w:val="298E570C"/>
    <w:rsid w:val="29CD7E74"/>
    <w:rsid w:val="29E11C7D"/>
    <w:rsid w:val="29E83D4D"/>
    <w:rsid w:val="29E91B9F"/>
    <w:rsid w:val="2A0659E6"/>
    <w:rsid w:val="2A136412"/>
    <w:rsid w:val="2A287E70"/>
    <w:rsid w:val="2A386C33"/>
    <w:rsid w:val="2A6C52BE"/>
    <w:rsid w:val="2B077839"/>
    <w:rsid w:val="2B702647"/>
    <w:rsid w:val="2BC148D0"/>
    <w:rsid w:val="2C5E2695"/>
    <w:rsid w:val="2C817F38"/>
    <w:rsid w:val="2CA5739C"/>
    <w:rsid w:val="2D1D5489"/>
    <w:rsid w:val="2D614E83"/>
    <w:rsid w:val="2D8150F4"/>
    <w:rsid w:val="2E186DE1"/>
    <w:rsid w:val="2E3B50B3"/>
    <w:rsid w:val="2E584609"/>
    <w:rsid w:val="2EA83EE7"/>
    <w:rsid w:val="2EF74361"/>
    <w:rsid w:val="2F021275"/>
    <w:rsid w:val="2F10397B"/>
    <w:rsid w:val="2F9B28CE"/>
    <w:rsid w:val="2FA20B7E"/>
    <w:rsid w:val="2FB656A4"/>
    <w:rsid w:val="2FD162AB"/>
    <w:rsid w:val="2FFF329D"/>
    <w:rsid w:val="30297377"/>
    <w:rsid w:val="309868CD"/>
    <w:rsid w:val="30C60BB4"/>
    <w:rsid w:val="30D37E45"/>
    <w:rsid w:val="30E44BE2"/>
    <w:rsid w:val="30E649FD"/>
    <w:rsid w:val="30FA1FBE"/>
    <w:rsid w:val="31244B45"/>
    <w:rsid w:val="31347FF1"/>
    <w:rsid w:val="316136A3"/>
    <w:rsid w:val="317168B1"/>
    <w:rsid w:val="31957DA1"/>
    <w:rsid w:val="32096D22"/>
    <w:rsid w:val="32301FF4"/>
    <w:rsid w:val="32330BB6"/>
    <w:rsid w:val="323D5375"/>
    <w:rsid w:val="32C4686D"/>
    <w:rsid w:val="330A52E8"/>
    <w:rsid w:val="331627E1"/>
    <w:rsid w:val="332B7BDD"/>
    <w:rsid w:val="33592681"/>
    <w:rsid w:val="33B24050"/>
    <w:rsid w:val="33CE2F6F"/>
    <w:rsid w:val="34324DB1"/>
    <w:rsid w:val="346B1763"/>
    <w:rsid w:val="348E795C"/>
    <w:rsid w:val="34BB30CA"/>
    <w:rsid w:val="356E146C"/>
    <w:rsid w:val="35A6700B"/>
    <w:rsid w:val="35EA0F24"/>
    <w:rsid w:val="360C3EC3"/>
    <w:rsid w:val="3610794D"/>
    <w:rsid w:val="361E6007"/>
    <w:rsid w:val="36203B2D"/>
    <w:rsid w:val="365473E3"/>
    <w:rsid w:val="365D3D22"/>
    <w:rsid w:val="36707211"/>
    <w:rsid w:val="36790E01"/>
    <w:rsid w:val="36C20C8E"/>
    <w:rsid w:val="370E2CE4"/>
    <w:rsid w:val="37254362"/>
    <w:rsid w:val="3738480A"/>
    <w:rsid w:val="37386C54"/>
    <w:rsid w:val="37AB7B99"/>
    <w:rsid w:val="37B14D01"/>
    <w:rsid w:val="38256954"/>
    <w:rsid w:val="385555E4"/>
    <w:rsid w:val="387939C8"/>
    <w:rsid w:val="38CA50F0"/>
    <w:rsid w:val="390F7344"/>
    <w:rsid w:val="392E2290"/>
    <w:rsid w:val="397865C9"/>
    <w:rsid w:val="39A245B6"/>
    <w:rsid w:val="39C742BF"/>
    <w:rsid w:val="3A1232A4"/>
    <w:rsid w:val="3A3B4F14"/>
    <w:rsid w:val="3A835CDA"/>
    <w:rsid w:val="3AA840F1"/>
    <w:rsid w:val="3AB6513D"/>
    <w:rsid w:val="3ACD7848"/>
    <w:rsid w:val="3C2907F8"/>
    <w:rsid w:val="3C6426EF"/>
    <w:rsid w:val="3D022610"/>
    <w:rsid w:val="3ED12CCC"/>
    <w:rsid w:val="3F115051"/>
    <w:rsid w:val="3F64093D"/>
    <w:rsid w:val="3FC2510D"/>
    <w:rsid w:val="3FEF65DB"/>
    <w:rsid w:val="405C1528"/>
    <w:rsid w:val="40913FFE"/>
    <w:rsid w:val="409A0980"/>
    <w:rsid w:val="40A91606"/>
    <w:rsid w:val="40AB66E9"/>
    <w:rsid w:val="40F51B9F"/>
    <w:rsid w:val="414144C3"/>
    <w:rsid w:val="41BD7325"/>
    <w:rsid w:val="41BF4FAE"/>
    <w:rsid w:val="41E21C82"/>
    <w:rsid w:val="41EE26C7"/>
    <w:rsid w:val="41F14F0D"/>
    <w:rsid w:val="42715CAA"/>
    <w:rsid w:val="433A3043"/>
    <w:rsid w:val="434A6D08"/>
    <w:rsid w:val="43700784"/>
    <w:rsid w:val="43777FA0"/>
    <w:rsid w:val="439F4C31"/>
    <w:rsid w:val="443A71AC"/>
    <w:rsid w:val="445F4621"/>
    <w:rsid w:val="44A67E56"/>
    <w:rsid w:val="44FE6597"/>
    <w:rsid w:val="457E4886"/>
    <w:rsid w:val="45E16709"/>
    <w:rsid w:val="45F3595C"/>
    <w:rsid w:val="461E31EE"/>
    <w:rsid w:val="46643ED8"/>
    <w:rsid w:val="46880A03"/>
    <w:rsid w:val="46A51E03"/>
    <w:rsid w:val="46B5774B"/>
    <w:rsid w:val="46E65A80"/>
    <w:rsid w:val="474D7AAF"/>
    <w:rsid w:val="474E5013"/>
    <w:rsid w:val="47BE34FE"/>
    <w:rsid w:val="47FC2970"/>
    <w:rsid w:val="48AB197C"/>
    <w:rsid w:val="48D87325"/>
    <w:rsid w:val="48FB2D28"/>
    <w:rsid w:val="490B1C7A"/>
    <w:rsid w:val="492049A3"/>
    <w:rsid w:val="495F758F"/>
    <w:rsid w:val="49F96E89"/>
    <w:rsid w:val="4A062358"/>
    <w:rsid w:val="4A515890"/>
    <w:rsid w:val="4A6D56FF"/>
    <w:rsid w:val="4A7557FA"/>
    <w:rsid w:val="4AA668FD"/>
    <w:rsid w:val="4B21790A"/>
    <w:rsid w:val="4BC0415E"/>
    <w:rsid w:val="4D4C45F0"/>
    <w:rsid w:val="4D625C76"/>
    <w:rsid w:val="4E0336C0"/>
    <w:rsid w:val="4E272BAE"/>
    <w:rsid w:val="4E511278"/>
    <w:rsid w:val="4E5B19DB"/>
    <w:rsid w:val="4EA72854"/>
    <w:rsid w:val="4EAC630A"/>
    <w:rsid w:val="4EFA2326"/>
    <w:rsid w:val="4F0B35CB"/>
    <w:rsid w:val="503B0552"/>
    <w:rsid w:val="50600046"/>
    <w:rsid w:val="51395321"/>
    <w:rsid w:val="51521A93"/>
    <w:rsid w:val="517F5754"/>
    <w:rsid w:val="51B25932"/>
    <w:rsid w:val="51F94B6E"/>
    <w:rsid w:val="52821168"/>
    <w:rsid w:val="52950FA7"/>
    <w:rsid w:val="52AD009F"/>
    <w:rsid w:val="52D87505"/>
    <w:rsid w:val="52DF15A2"/>
    <w:rsid w:val="52F6447A"/>
    <w:rsid w:val="53170305"/>
    <w:rsid w:val="531A2F2C"/>
    <w:rsid w:val="53975CD6"/>
    <w:rsid w:val="53D851AD"/>
    <w:rsid w:val="54972135"/>
    <w:rsid w:val="553B128A"/>
    <w:rsid w:val="553B3342"/>
    <w:rsid w:val="55A44331"/>
    <w:rsid w:val="55AF2CB3"/>
    <w:rsid w:val="55D81F9F"/>
    <w:rsid w:val="55E63B1B"/>
    <w:rsid w:val="55EE2EA8"/>
    <w:rsid w:val="55F731FC"/>
    <w:rsid w:val="561764B7"/>
    <w:rsid w:val="562076A2"/>
    <w:rsid w:val="56264214"/>
    <w:rsid w:val="56F23C97"/>
    <w:rsid w:val="57D84516"/>
    <w:rsid w:val="57E10B9A"/>
    <w:rsid w:val="584F75E7"/>
    <w:rsid w:val="589D39A2"/>
    <w:rsid w:val="58BB475B"/>
    <w:rsid w:val="59541AA5"/>
    <w:rsid w:val="59934492"/>
    <w:rsid w:val="59A44ABF"/>
    <w:rsid w:val="59DE1485"/>
    <w:rsid w:val="59E82142"/>
    <w:rsid w:val="59F34F42"/>
    <w:rsid w:val="5A481D44"/>
    <w:rsid w:val="5A4B40D2"/>
    <w:rsid w:val="5A9A0F50"/>
    <w:rsid w:val="5AA1498D"/>
    <w:rsid w:val="5AEF29B8"/>
    <w:rsid w:val="5AF947C9"/>
    <w:rsid w:val="5B072ED5"/>
    <w:rsid w:val="5C4B3674"/>
    <w:rsid w:val="5C7B0889"/>
    <w:rsid w:val="5D1A2E2C"/>
    <w:rsid w:val="5D410FC4"/>
    <w:rsid w:val="5D5828C3"/>
    <w:rsid w:val="5DA779D7"/>
    <w:rsid w:val="5DCB06F0"/>
    <w:rsid w:val="5E020D46"/>
    <w:rsid w:val="5E033269"/>
    <w:rsid w:val="5E563CE0"/>
    <w:rsid w:val="5E67275A"/>
    <w:rsid w:val="5E6F00BB"/>
    <w:rsid w:val="5E8619A6"/>
    <w:rsid w:val="5EAC2D9A"/>
    <w:rsid w:val="5FA278BA"/>
    <w:rsid w:val="5FF871A4"/>
    <w:rsid w:val="600862CC"/>
    <w:rsid w:val="60193851"/>
    <w:rsid w:val="605B7B40"/>
    <w:rsid w:val="60B938A7"/>
    <w:rsid w:val="60C7590D"/>
    <w:rsid w:val="612A2BB8"/>
    <w:rsid w:val="614B51D2"/>
    <w:rsid w:val="61617123"/>
    <w:rsid w:val="617126B3"/>
    <w:rsid w:val="61947672"/>
    <w:rsid w:val="61D07906"/>
    <w:rsid w:val="62686C42"/>
    <w:rsid w:val="62725D27"/>
    <w:rsid w:val="62A866D0"/>
    <w:rsid w:val="62C76F5B"/>
    <w:rsid w:val="6360128C"/>
    <w:rsid w:val="643A00F8"/>
    <w:rsid w:val="64C311B1"/>
    <w:rsid w:val="64C40339"/>
    <w:rsid w:val="64EF0100"/>
    <w:rsid w:val="6523128F"/>
    <w:rsid w:val="65976E36"/>
    <w:rsid w:val="66641F14"/>
    <w:rsid w:val="66746DA1"/>
    <w:rsid w:val="66B03550"/>
    <w:rsid w:val="66EF082E"/>
    <w:rsid w:val="679D028A"/>
    <w:rsid w:val="67D606E7"/>
    <w:rsid w:val="6827387D"/>
    <w:rsid w:val="68704562"/>
    <w:rsid w:val="68AB5F38"/>
    <w:rsid w:val="69265177"/>
    <w:rsid w:val="69667335"/>
    <w:rsid w:val="69726E8D"/>
    <w:rsid w:val="6ABA0B95"/>
    <w:rsid w:val="6B1748B1"/>
    <w:rsid w:val="6B261465"/>
    <w:rsid w:val="6B523526"/>
    <w:rsid w:val="6B8D5252"/>
    <w:rsid w:val="6B9D3206"/>
    <w:rsid w:val="6C34340D"/>
    <w:rsid w:val="6D575662"/>
    <w:rsid w:val="6D591451"/>
    <w:rsid w:val="6D5C4743"/>
    <w:rsid w:val="6D771841"/>
    <w:rsid w:val="6D927E78"/>
    <w:rsid w:val="6DBF56D9"/>
    <w:rsid w:val="6E586950"/>
    <w:rsid w:val="6EB32C40"/>
    <w:rsid w:val="6F140A2F"/>
    <w:rsid w:val="6FA7150A"/>
    <w:rsid w:val="6FCD1DC3"/>
    <w:rsid w:val="6FE31AA9"/>
    <w:rsid w:val="6FE86BE3"/>
    <w:rsid w:val="70033D6E"/>
    <w:rsid w:val="707359D8"/>
    <w:rsid w:val="70765B1C"/>
    <w:rsid w:val="70BA360D"/>
    <w:rsid w:val="70E41DAB"/>
    <w:rsid w:val="718A7AD1"/>
    <w:rsid w:val="718C365F"/>
    <w:rsid w:val="72530CBE"/>
    <w:rsid w:val="725F0F5E"/>
    <w:rsid w:val="72652C17"/>
    <w:rsid w:val="726A0111"/>
    <w:rsid w:val="729825D5"/>
    <w:rsid w:val="72A73D34"/>
    <w:rsid w:val="72B172DF"/>
    <w:rsid w:val="732E38DE"/>
    <w:rsid w:val="73517F54"/>
    <w:rsid w:val="737763A6"/>
    <w:rsid w:val="742E4E46"/>
    <w:rsid w:val="74521465"/>
    <w:rsid w:val="7467056D"/>
    <w:rsid w:val="747410B0"/>
    <w:rsid w:val="74B264A9"/>
    <w:rsid w:val="74E1368C"/>
    <w:rsid w:val="751566A1"/>
    <w:rsid w:val="7521699E"/>
    <w:rsid w:val="756D3991"/>
    <w:rsid w:val="756E3266"/>
    <w:rsid w:val="757B01E3"/>
    <w:rsid w:val="7591000A"/>
    <w:rsid w:val="75971636"/>
    <w:rsid w:val="75E62C08"/>
    <w:rsid w:val="764470F0"/>
    <w:rsid w:val="764C15DE"/>
    <w:rsid w:val="769479A3"/>
    <w:rsid w:val="76DC5027"/>
    <w:rsid w:val="76E445E8"/>
    <w:rsid w:val="779A744C"/>
    <w:rsid w:val="77C4258D"/>
    <w:rsid w:val="77EE4D16"/>
    <w:rsid w:val="77F05DB7"/>
    <w:rsid w:val="78D613A5"/>
    <w:rsid w:val="791E1480"/>
    <w:rsid w:val="7931762B"/>
    <w:rsid w:val="79B41C03"/>
    <w:rsid w:val="79CE3558"/>
    <w:rsid w:val="79DC1DB4"/>
    <w:rsid w:val="7A5B56C6"/>
    <w:rsid w:val="7AFD5078"/>
    <w:rsid w:val="7B0559F1"/>
    <w:rsid w:val="7B522E37"/>
    <w:rsid w:val="7BAC2D3A"/>
    <w:rsid w:val="7C227735"/>
    <w:rsid w:val="7CFD1AB7"/>
    <w:rsid w:val="7D041C47"/>
    <w:rsid w:val="7D1F2795"/>
    <w:rsid w:val="7D6B6AB1"/>
    <w:rsid w:val="7D762483"/>
    <w:rsid w:val="7D7E7CB6"/>
    <w:rsid w:val="7D8C697F"/>
    <w:rsid w:val="7DE76A54"/>
    <w:rsid w:val="7E042DF5"/>
    <w:rsid w:val="7E370FE0"/>
    <w:rsid w:val="7E5E6ABE"/>
    <w:rsid w:val="7E6C7093"/>
    <w:rsid w:val="7E8C0252"/>
    <w:rsid w:val="7EFD4042"/>
    <w:rsid w:val="7F61529D"/>
    <w:rsid w:val="7F721BA4"/>
    <w:rsid w:val="7F804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semiHidden="0"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napToGrid w:val="0"/>
      <w:spacing w:line="360" w:lineRule="auto"/>
      <w:ind w:firstLine="200" w:firstLineChars="200"/>
      <w:jc w:val="both"/>
    </w:pPr>
    <w:rPr>
      <w:rFonts w:ascii="Calibri" w:hAnsi="Calibri" w:eastAsia="宋体" w:cs="宋体"/>
      <w:kern w:val="2"/>
      <w:sz w:val="28"/>
      <w:szCs w:val="22"/>
      <w:lang w:val="en-US" w:eastAsia="zh-CN" w:bidi="ar-SA"/>
    </w:rPr>
  </w:style>
  <w:style w:type="paragraph" w:styleId="5">
    <w:name w:val="heading 1"/>
    <w:basedOn w:val="6"/>
    <w:next w:val="1"/>
    <w:link w:val="45"/>
    <w:autoRedefine/>
    <w:qFormat/>
    <w:uiPriority w:val="9"/>
    <w:pPr>
      <w:ind w:left="420" w:firstLine="0" w:firstLineChars="0"/>
      <w:jc w:val="center"/>
      <w:outlineLvl w:val="0"/>
    </w:pPr>
    <w:rPr>
      <w:rFonts w:ascii="黑体" w:hAnsi="黑体" w:eastAsia="黑体"/>
      <w:szCs w:val="32"/>
    </w:rPr>
  </w:style>
  <w:style w:type="paragraph" w:styleId="7">
    <w:name w:val="heading 2"/>
    <w:basedOn w:val="1"/>
    <w:next w:val="1"/>
    <w:link w:val="46"/>
    <w:autoRedefine/>
    <w:unhideWhenUsed/>
    <w:qFormat/>
    <w:uiPriority w:val="9"/>
    <w:pPr>
      <w:spacing w:line="560" w:lineRule="exact"/>
      <w:ind w:firstLine="480"/>
      <w:outlineLvl w:val="1"/>
    </w:pPr>
    <w:rPr>
      <w:rFonts w:ascii="宋体" w:hAnsi="宋体"/>
      <w:sz w:val="30"/>
      <w:szCs w:val="30"/>
    </w:rPr>
  </w:style>
  <w:style w:type="paragraph" w:styleId="8">
    <w:name w:val="heading 3"/>
    <w:basedOn w:val="7"/>
    <w:next w:val="1"/>
    <w:link w:val="47"/>
    <w:autoRedefine/>
    <w:unhideWhenUsed/>
    <w:qFormat/>
    <w:uiPriority w:val="9"/>
    <w:pPr>
      <w:spacing w:before="156" w:beforeLines="50" w:after="156" w:afterLines="50" w:line="600" w:lineRule="exact"/>
      <w:ind w:firstLine="0" w:firstLineChars="0"/>
      <w:jc w:val="left"/>
      <w:outlineLvl w:val="2"/>
    </w:pPr>
    <w:rPr>
      <w:rFonts w:ascii="楷体_GB2312" w:hAnsi="黑体" w:eastAsia="楷体_GB2312"/>
      <w:sz w:val="32"/>
      <w:szCs w:val="32"/>
    </w:rPr>
  </w:style>
  <w:style w:type="paragraph" w:styleId="9">
    <w:name w:val="heading 4"/>
    <w:basedOn w:val="1"/>
    <w:next w:val="1"/>
    <w:link w:val="43"/>
    <w:autoRedefine/>
    <w:unhideWhenUsed/>
    <w:qFormat/>
    <w:uiPriority w:val="9"/>
    <w:pPr>
      <w:spacing w:before="156" w:beforeLines="50"/>
      <w:ind w:firstLine="0" w:firstLineChars="0"/>
      <w:jc w:val="left"/>
      <w:outlineLvl w:val="3"/>
    </w:pPr>
    <w:rPr>
      <w:rFonts w:ascii="宋体" w:hAnsi="宋体" w:eastAsia="黑体"/>
      <w:sz w:val="30"/>
      <w:szCs w:val="30"/>
    </w:rPr>
  </w:style>
  <w:style w:type="paragraph" w:styleId="10">
    <w:name w:val="heading 5"/>
    <w:basedOn w:val="1"/>
    <w:next w:val="1"/>
    <w:link w:val="48"/>
    <w:autoRedefine/>
    <w:unhideWhenUsed/>
    <w:qFormat/>
    <w:uiPriority w:val="9"/>
    <w:pPr>
      <w:keepNext/>
      <w:keepLines/>
      <w:numPr>
        <w:ilvl w:val="0"/>
        <w:numId w:val="1"/>
      </w:numPr>
      <w:spacing w:line="600" w:lineRule="exact"/>
      <w:ind w:firstLine="0" w:firstLineChars="0"/>
      <w:outlineLvl w:val="4"/>
    </w:pPr>
    <w:rPr>
      <w:rFonts w:ascii="仿宋_GB2312" w:hAnsi="宋体" w:eastAsia="仿宋_GB2312"/>
      <w:bCs/>
      <w:sz w:val="32"/>
      <w:szCs w:val="28"/>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97"/>
    <w:autoRedefine/>
    <w:qFormat/>
    <w:uiPriority w:val="99"/>
    <w:pPr>
      <w:ind w:firstLine="420"/>
    </w:pPr>
  </w:style>
  <w:style w:type="paragraph" w:styleId="3">
    <w:name w:val="Body Text Indent"/>
    <w:basedOn w:val="1"/>
    <w:next w:val="4"/>
    <w:link w:val="88"/>
    <w:autoRedefine/>
    <w:qFormat/>
    <w:uiPriority w:val="99"/>
    <w:pPr>
      <w:spacing w:after="120"/>
      <w:ind w:left="420" w:leftChars="200"/>
    </w:pPr>
  </w:style>
  <w:style w:type="paragraph" w:styleId="4">
    <w:name w:val="envelope return"/>
    <w:basedOn w:val="1"/>
    <w:autoRedefine/>
    <w:qFormat/>
    <w:uiPriority w:val="0"/>
    <w:rPr>
      <w:rFonts w:ascii="Arial" w:hAnsi="Arial"/>
    </w:rPr>
  </w:style>
  <w:style w:type="paragraph" w:styleId="6">
    <w:name w:val="List Paragraph"/>
    <w:basedOn w:val="1"/>
    <w:link w:val="44"/>
    <w:autoRedefine/>
    <w:qFormat/>
    <w:uiPriority w:val="34"/>
    <w:pPr>
      <w:spacing w:line="600" w:lineRule="exact"/>
      <w:ind w:firstLine="640"/>
    </w:pPr>
    <w:rPr>
      <w:rFonts w:ascii="仿宋_GB2312" w:eastAsia="仿宋_GB2312" w:hAnsiTheme="minorEastAsia"/>
      <w:sz w:val="32"/>
      <w:szCs w:val="28"/>
    </w:rPr>
  </w:style>
  <w:style w:type="paragraph" w:styleId="11">
    <w:name w:val="toc 7"/>
    <w:basedOn w:val="1"/>
    <w:next w:val="1"/>
    <w:autoRedefine/>
    <w:qFormat/>
    <w:uiPriority w:val="39"/>
    <w:pPr>
      <w:ind w:left="1400"/>
      <w:jc w:val="left"/>
    </w:pPr>
    <w:rPr>
      <w:rFonts w:cs="Calibri"/>
      <w:sz w:val="20"/>
      <w:szCs w:val="20"/>
    </w:rPr>
  </w:style>
  <w:style w:type="paragraph" w:styleId="12">
    <w:name w:val="caption"/>
    <w:basedOn w:val="1"/>
    <w:next w:val="1"/>
    <w:autoRedefine/>
    <w:qFormat/>
    <w:uiPriority w:val="0"/>
    <w:rPr>
      <w:rFonts w:ascii="Calibri Light" w:hAnsi="Calibri Light" w:eastAsia="黑体" w:cs="Times New Roman"/>
      <w:sz w:val="20"/>
      <w:szCs w:val="20"/>
    </w:rPr>
  </w:style>
  <w:style w:type="paragraph" w:styleId="13">
    <w:name w:val="annotation text"/>
    <w:basedOn w:val="1"/>
    <w:link w:val="49"/>
    <w:autoRedefine/>
    <w:qFormat/>
    <w:uiPriority w:val="0"/>
    <w:pPr>
      <w:jc w:val="left"/>
    </w:pPr>
    <w:rPr>
      <w:rFonts w:ascii="Times New Roman" w:hAnsi="Times New Roman" w:cs="Times New Roman"/>
      <w:sz w:val="24"/>
    </w:rPr>
  </w:style>
  <w:style w:type="paragraph" w:styleId="14">
    <w:name w:val="Salutation"/>
    <w:basedOn w:val="1"/>
    <w:next w:val="1"/>
    <w:link w:val="130"/>
    <w:autoRedefine/>
    <w:unhideWhenUsed/>
    <w:qFormat/>
    <w:uiPriority w:val="99"/>
    <w:pPr>
      <w:adjustRightInd/>
      <w:snapToGrid/>
      <w:spacing w:line="240" w:lineRule="auto"/>
      <w:ind w:firstLine="0" w:firstLineChars="0"/>
    </w:pPr>
    <w:rPr>
      <w:rFonts w:asciiTheme="minorHAnsi" w:hAnsiTheme="minorHAnsi" w:eastAsiaTheme="minorEastAsia" w:cstheme="minorBidi"/>
      <w:sz w:val="21"/>
    </w:rPr>
  </w:style>
  <w:style w:type="paragraph" w:styleId="15">
    <w:name w:val="Body Text"/>
    <w:basedOn w:val="1"/>
    <w:link w:val="50"/>
    <w:autoRedefine/>
    <w:qFormat/>
    <w:uiPriority w:val="0"/>
    <w:pPr>
      <w:spacing w:after="120"/>
      <w:ind w:firstLine="0" w:firstLineChars="0"/>
    </w:pPr>
    <w:rPr>
      <w:rFonts w:ascii="Times New Roman" w:hAnsi="Times New Roman" w:cs="Times New Roman"/>
      <w:szCs w:val="24"/>
    </w:rPr>
  </w:style>
  <w:style w:type="paragraph" w:styleId="16">
    <w:name w:val="toc 5"/>
    <w:basedOn w:val="1"/>
    <w:next w:val="1"/>
    <w:autoRedefine/>
    <w:qFormat/>
    <w:uiPriority w:val="39"/>
    <w:pPr>
      <w:ind w:left="840"/>
      <w:jc w:val="left"/>
    </w:pPr>
    <w:rPr>
      <w:rFonts w:cs="Calibri"/>
      <w:sz w:val="20"/>
      <w:szCs w:val="20"/>
    </w:rPr>
  </w:style>
  <w:style w:type="paragraph" w:styleId="17">
    <w:name w:val="toc 3"/>
    <w:basedOn w:val="1"/>
    <w:next w:val="1"/>
    <w:autoRedefine/>
    <w:qFormat/>
    <w:uiPriority w:val="39"/>
    <w:pPr>
      <w:spacing w:line="560" w:lineRule="exact"/>
      <w:ind w:firstLine="300" w:firstLineChars="300"/>
      <w:jc w:val="left"/>
    </w:pPr>
    <w:rPr>
      <w:rFonts w:eastAsia="仿宋_GB2312" w:cs="Calibri"/>
      <w:sz w:val="32"/>
      <w:szCs w:val="20"/>
    </w:rPr>
  </w:style>
  <w:style w:type="paragraph" w:styleId="18">
    <w:name w:val="Plain Text"/>
    <w:basedOn w:val="1"/>
    <w:link w:val="113"/>
    <w:autoRedefine/>
    <w:qFormat/>
    <w:uiPriority w:val="0"/>
    <w:pPr>
      <w:adjustRightInd/>
      <w:snapToGrid/>
    </w:pPr>
    <w:rPr>
      <w:rFonts w:hint="eastAsia" w:ascii="宋体" w:hAnsi="Courier New" w:eastAsia="仿宋_GB2312" w:cs="Times New Roman"/>
      <w:szCs w:val="20"/>
    </w:rPr>
  </w:style>
  <w:style w:type="paragraph" w:styleId="19">
    <w:name w:val="toc 8"/>
    <w:basedOn w:val="1"/>
    <w:next w:val="1"/>
    <w:autoRedefine/>
    <w:qFormat/>
    <w:uiPriority w:val="39"/>
    <w:pPr>
      <w:ind w:left="1680"/>
      <w:jc w:val="left"/>
    </w:pPr>
    <w:rPr>
      <w:rFonts w:cs="Calibri"/>
      <w:sz w:val="20"/>
      <w:szCs w:val="20"/>
    </w:rPr>
  </w:style>
  <w:style w:type="paragraph" w:styleId="20">
    <w:name w:val="Date"/>
    <w:basedOn w:val="1"/>
    <w:next w:val="1"/>
    <w:link w:val="134"/>
    <w:autoRedefine/>
    <w:semiHidden/>
    <w:unhideWhenUsed/>
    <w:qFormat/>
    <w:uiPriority w:val="99"/>
    <w:pPr>
      <w:ind w:left="100" w:leftChars="2500"/>
    </w:pPr>
  </w:style>
  <w:style w:type="paragraph" w:styleId="21">
    <w:name w:val="Body Text Indent 2"/>
    <w:basedOn w:val="1"/>
    <w:link w:val="103"/>
    <w:autoRedefine/>
    <w:qFormat/>
    <w:uiPriority w:val="99"/>
    <w:pPr>
      <w:spacing w:after="120" w:line="480" w:lineRule="auto"/>
      <w:ind w:left="420" w:leftChars="200"/>
    </w:pPr>
  </w:style>
  <w:style w:type="paragraph" w:styleId="22">
    <w:name w:val="Balloon Text"/>
    <w:basedOn w:val="1"/>
    <w:link w:val="51"/>
    <w:autoRedefine/>
    <w:qFormat/>
    <w:uiPriority w:val="99"/>
    <w:rPr>
      <w:rFonts w:ascii="Times New Roman" w:hAnsi="Times New Roman" w:cs="Times New Roman"/>
      <w:sz w:val="18"/>
      <w:szCs w:val="18"/>
    </w:rPr>
  </w:style>
  <w:style w:type="paragraph" w:styleId="23">
    <w:name w:val="footer"/>
    <w:basedOn w:val="1"/>
    <w:link w:val="52"/>
    <w:autoRedefine/>
    <w:qFormat/>
    <w:uiPriority w:val="99"/>
    <w:pPr>
      <w:tabs>
        <w:tab w:val="center" w:pos="4153"/>
        <w:tab w:val="right" w:pos="8306"/>
      </w:tabs>
      <w:jc w:val="left"/>
    </w:pPr>
    <w:rPr>
      <w:sz w:val="18"/>
      <w:szCs w:val="18"/>
    </w:rPr>
  </w:style>
  <w:style w:type="paragraph" w:styleId="24">
    <w:name w:val="header"/>
    <w:basedOn w:val="1"/>
    <w:link w:val="53"/>
    <w:autoRedefine/>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autoRedefine/>
    <w:qFormat/>
    <w:uiPriority w:val="39"/>
    <w:pPr>
      <w:spacing w:line="560" w:lineRule="exact"/>
      <w:ind w:firstLine="0" w:firstLineChars="0"/>
      <w:jc w:val="left"/>
    </w:pPr>
    <w:rPr>
      <w:rFonts w:ascii="Calibri Light" w:hAnsi="Calibri Light" w:eastAsia="黑体" w:cs="Calibri Light"/>
      <w:b/>
      <w:bCs/>
      <w:caps/>
      <w:sz w:val="32"/>
      <w:szCs w:val="24"/>
    </w:rPr>
  </w:style>
  <w:style w:type="paragraph" w:styleId="26">
    <w:name w:val="toc 4"/>
    <w:basedOn w:val="1"/>
    <w:next w:val="1"/>
    <w:autoRedefine/>
    <w:qFormat/>
    <w:uiPriority w:val="39"/>
    <w:pPr>
      <w:ind w:left="560"/>
      <w:jc w:val="left"/>
    </w:pPr>
    <w:rPr>
      <w:rFonts w:cs="Calibri"/>
      <w:sz w:val="20"/>
      <w:szCs w:val="20"/>
    </w:rPr>
  </w:style>
  <w:style w:type="paragraph" w:styleId="27">
    <w:name w:val="toc 6"/>
    <w:basedOn w:val="1"/>
    <w:next w:val="1"/>
    <w:autoRedefine/>
    <w:qFormat/>
    <w:uiPriority w:val="39"/>
    <w:pPr>
      <w:ind w:left="1120"/>
      <w:jc w:val="left"/>
    </w:pPr>
    <w:rPr>
      <w:rFonts w:cs="Calibri"/>
      <w:sz w:val="20"/>
      <w:szCs w:val="20"/>
    </w:rPr>
  </w:style>
  <w:style w:type="paragraph" w:styleId="28">
    <w:name w:val="table of figures"/>
    <w:basedOn w:val="1"/>
    <w:next w:val="1"/>
    <w:autoRedefine/>
    <w:qFormat/>
    <w:uiPriority w:val="0"/>
    <w:pPr>
      <w:ind w:left="200" w:leftChars="200" w:hanging="200" w:hangingChars="200"/>
    </w:pPr>
  </w:style>
  <w:style w:type="paragraph" w:styleId="29">
    <w:name w:val="toc 2"/>
    <w:basedOn w:val="1"/>
    <w:next w:val="1"/>
    <w:autoRedefine/>
    <w:qFormat/>
    <w:uiPriority w:val="39"/>
    <w:pPr>
      <w:spacing w:line="560" w:lineRule="exact"/>
      <w:ind w:firstLine="150" w:firstLineChars="150"/>
      <w:jc w:val="left"/>
    </w:pPr>
    <w:rPr>
      <w:rFonts w:eastAsia="黑体" w:cs="Calibri"/>
      <w:bCs/>
      <w:sz w:val="32"/>
      <w:szCs w:val="20"/>
    </w:rPr>
  </w:style>
  <w:style w:type="paragraph" w:styleId="30">
    <w:name w:val="toc 9"/>
    <w:basedOn w:val="1"/>
    <w:next w:val="1"/>
    <w:autoRedefine/>
    <w:qFormat/>
    <w:uiPriority w:val="39"/>
    <w:pPr>
      <w:ind w:left="1960"/>
      <w:jc w:val="left"/>
    </w:pPr>
    <w:rPr>
      <w:rFonts w:cs="Calibri"/>
      <w:sz w:val="20"/>
      <w:szCs w:val="20"/>
    </w:rPr>
  </w:style>
  <w:style w:type="paragraph" w:styleId="31">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Times New Roman"/>
      <w:kern w:val="0"/>
      <w:sz w:val="24"/>
      <w:szCs w:val="24"/>
    </w:rPr>
  </w:style>
  <w:style w:type="paragraph" w:styleId="32">
    <w:name w:val="Normal (Web)"/>
    <w:basedOn w:val="1"/>
    <w:autoRedefine/>
    <w:qFormat/>
    <w:uiPriority w:val="99"/>
    <w:pPr>
      <w:widowControl/>
      <w:spacing w:before="100" w:beforeAutospacing="1" w:after="100" w:afterAutospacing="1"/>
      <w:jc w:val="left"/>
    </w:pPr>
    <w:rPr>
      <w:rFonts w:ascii="宋体" w:hAnsi="宋体"/>
      <w:kern w:val="0"/>
      <w:sz w:val="24"/>
      <w:szCs w:val="24"/>
    </w:rPr>
  </w:style>
  <w:style w:type="paragraph" w:styleId="33">
    <w:name w:val="Title"/>
    <w:basedOn w:val="1"/>
    <w:next w:val="1"/>
    <w:link w:val="54"/>
    <w:autoRedefine/>
    <w:qFormat/>
    <w:uiPriority w:val="10"/>
    <w:pPr>
      <w:numPr>
        <w:ilvl w:val="0"/>
        <w:numId w:val="2"/>
      </w:numPr>
      <w:spacing w:before="240" w:after="60"/>
      <w:ind w:firstLine="0" w:firstLineChars="0"/>
      <w:jc w:val="center"/>
      <w:outlineLvl w:val="0"/>
    </w:pPr>
    <w:rPr>
      <w:rFonts w:ascii="Calibri Light" w:hAnsi="Calibri Light"/>
      <w:b/>
      <w:bCs/>
      <w:sz w:val="32"/>
      <w:szCs w:val="32"/>
    </w:rPr>
  </w:style>
  <w:style w:type="paragraph" w:styleId="34">
    <w:name w:val="annotation subject"/>
    <w:basedOn w:val="13"/>
    <w:next w:val="13"/>
    <w:link w:val="55"/>
    <w:autoRedefine/>
    <w:qFormat/>
    <w:uiPriority w:val="99"/>
    <w:rPr>
      <w:b/>
      <w:bCs/>
    </w:rPr>
  </w:style>
  <w:style w:type="table" w:styleId="36">
    <w:name w:val="Table Grid"/>
    <w:basedOn w:val="35"/>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autoRedefine/>
    <w:qFormat/>
    <w:uiPriority w:val="22"/>
    <w:rPr>
      <w:rFonts w:eastAsia="黑体"/>
      <w:b/>
      <w:bCs/>
      <w:color w:val="000000"/>
      <w:sz w:val="24"/>
    </w:rPr>
  </w:style>
  <w:style w:type="character" w:styleId="39">
    <w:name w:val="FollowedHyperlink"/>
    <w:autoRedefine/>
    <w:qFormat/>
    <w:uiPriority w:val="99"/>
    <w:rPr>
      <w:color w:val="954F72"/>
      <w:u w:val="single"/>
    </w:rPr>
  </w:style>
  <w:style w:type="character" w:styleId="40">
    <w:name w:val="Emphasis"/>
    <w:autoRedefine/>
    <w:qFormat/>
    <w:uiPriority w:val="20"/>
    <w:rPr>
      <w:b/>
      <w:u w:val="single"/>
    </w:rPr>
  </w:style>
  <w:style w:type="character" w:styleId="41">
    <w:name w:val="Hyperlink"/>
    <w:basedOn w:val="37"/>
    <w:autoRedefine/>
    <w:qFormat/>
    <w:uiPriority w:val="99"/>
    <w:rPr>
      <w:color w:val="0563C1"/>
      <w:u w:val="single"/>
    </w:rPr>
  </w:style>
  <w:style w:type="character" w:styleId="42">
    <w:name w:val="annotation reference"/>
    <w:basedOn w:val="37"/>
    <w:autoRedefine/>
    <w:qFormat/>
    <w:uiPriority w:val="0"/>
    <w:rPr>
      <w:sz w:val="21"/>
      <w:szCs w:val="21"/>
    </w:rPr>
  </w:style>
  <w:style w:type="character" w:customStyle="1" w:styleId="43">
    <w:name w:val="标题 4 字符"/>
    <w:basedOn w:val="37"/>
    <w:link w:val="9"/>
    <w:autoRedefine/>
    <w:qFormat/>
    <w:uiPriority w:val="9"/>
    <w:rPr>
      <w:rFonts w:ascii="宋体" w:hAnsi="宋体" w:eastAsia="黑体" w:cs="宋体"/>
      <w:kern w:val="2"/>
      <w:sz w:val="30"/>
      <w:szCs w:val="30"/>
    </w:rPr>
  </w:style>
  <w:style w:type="character" w:customStyle="1" w:styleId="44">
    <w:name w:val="列表段落 字符"/>
    <w:link w:val="6"/>
    <w:autoRedefine/>
    <w:qFormat/>
    <w:uiPriority w:val="34"/>
    <w:rPr>
      <w:rFonts w:ascii="仿宋_GB2312" w:eastAsia="仿宋_GB2312" w:cs="宋体" w:hAnsiTheme="minorEastAsia"/>
      <w:kern w:val="2"/>
      <w:sz w:val="32"/>
      <w:szCs w:val="28"/>
    </w:rPr>
  </w:style>
  <w:style w:type="character" w:customStyle="1" w:styleId="45">
    <w:name w:val="标题 1 字符"/>
    <w:basedOn w:val="37"/>
    <w:link w:val="5"/>
    <w:autoRedefine/>
    <w:qFormat/>
    <w:uiPriority w:val="9"/>
    <w:rPr>
      <w:rFonts w:ascii="黑体" w:hAnsi="黑体" w:eastAsia="黑体"/>
      <w:kern w:val="2"/>
      <w:sz w:val="32"/>
      <w:szCs w:val="32"/>
    </w:rPr>
  </w:style>
  <w:style w:type="character" w:customStyle="1" w:styleId="46">
    <w:name w:val="标题 2 字符"/>
    <w:basedOn w:val="37"/>
    <w:link w:val="7"/>
    <w:autoRedefine/>
    <w:qFormat/>
    <w:uiPriority w:val="9"/>
    <w:rPr>
      <w:rFonts w:ascii="宋体" w:hAnsi="宋体"/>
      <w:sz w:val="30"/>
      <w:szCs w:val="30"/>
    </w:rPr>
  </w:style>
  <w:style w:type="character" w:customStyle="1" w:styleId="47">
    <w:name w:val="标题 3 字符"/>
    <w:basedOn w:val="37"/>
    <w:link w:val="8"/>
    <w:autoRedefine/>
    <w:qFormat/>
    <w:uiPriority w:val="9"/>
    <w:rPr>
      <w:rFonts w:ascii="楷体_GB2312" w:hAnsi="黑体" w:eastAsia="楷体_GB2312" w:cs="宋体"/>
      <w:kern w:val="2"/>
      <w:sz w:val="32"/>
      <w:szCs w:val="32"/>
    </w:rPr>
  </w:style>
  <w:style w:type="character" w:customStyle="1" w:styleId="48">
    <w:name w:val="标题 5 字符"/>
    <w:basedOn w:val="37"/>
    <w:link w:val="10"/>
    <w:autoRedefine/>
    <w:qFormat/>
    <w:uiPriority w:val="9"/>
    <w:rPr>
      <w:rFonts w:ascii="仿宋_GB2312" w:hAnsi="宋体" w:eastAsia="仿宋_GB2312" w:cs="宋体"/>
      <w:bCs/>
      <w:kern w:val="2"/>
      <w:sz w:val="32"/>
      <w:szCs w:val="28"/>
    </w:rPr>
  </w:style>
  <w:style w:type="character" w:customStyle="1" w:styleId="49">
    <w:name w:val="批注文字 字符"/>
    <w:basedOn w:val="37"/>
    <w:link w:val="13"/>
    <w:autoRedefine/>
    <w:qFormat/>
    <w:uiPriority w:val="0"/>
    <w:rPr>
      <w:rFonts w:ascii="Times New Roman" w:hAnsi="Times New Roman" w:eastAsia="宋体" w:cs="Times New Roman"/>
      <w:sz w:val="24"/>
    </w:rPr>
  </w:style>
  <w:style w:type="character" w:customStyle="1" w:styleId="50">
    <w:name w:val="正文文本 字符"/>
    <w:basedOn w:val="37"/>
    <w:link w:val="15"/>
    <w:autoRedefine/>
    <w:qFormat/>
    <w:uiPriority w:val="0"/>
    <w:rPr>
      <w:rFonts w:ascii="Times New Roman" w:hAnsi="Times New Roman" w:eastAsia="宋体" w:cs="Times New Roman"/>
      <w:szCs w:val="24"/>
    </w:rPr>
  </w:style>
  <w:style w:type="character" w:customStyle="1" w:styleId="51">
    <w:name w:val="批注框文本 字符"/>
    <w:basedOn w:val="37"/>
    <w:link w:val="22"/>
    <w:autoRedefine/>
    <w:qFormat/>
    <w:uiPriority w:val="99"/>
    <w:rPr>
      <w:rFonts w:ascii="Times New Roman" w:hAnsi="Times New Roman" w:eastAsia="宋体" w:cs="Times New Roman"/>
      <w:sz w:val="18"/>
      <w:szCs w:val="18"/>
    </w:rPr>
  </w:style>
  <w:style w:type="character" w:customStyle="1" w:styleId="52">
    <w:name w:val="页脚 字符"/>
    <w:basedOn w:val="37"/>
    <w:link w:val="23"/>
    <w:autoRedefine/>
    <w:qFormat/>
    <w:uiPriority w:val="99"/>
    <w:rPr>
      <w:sz w:val="18"/>
      <w:szCs w:val="18"/>
    </w:rPr>
  </w:style>
  <w:style w:type="character" w:customStyle="1" w:styleId="53">
    <w:name w:val="页眉 字符"/>
    <w:basedOn w:val="37"/>
    <w:link w:val="24"/>
    <w:autoRedefine/>
    <w:qFormat/>
    <w:uiPriority w:val="99"/>
    <w:rPr>
      <w:sz w:val="18"/>
      <w:szCs w:val="18"/>
    </w:rPr>
  </w:style>
  <w:style w:type="character" w:customStyle="1" w:styleId="54">
    <w:name w:val="标题 字符"/>
    <w:basedOn w:val="37"/>
    <w:link w:val="33"/>
    <w:autoRedefine/>
    <w:qFormat/>
    <w:uiPriority w:val="10"/>
    <w:rPr>
      <w:rFonts w:ascii="Calibri Light" w:hAnsi="Calibri Light" w:cs="宋体"/>
      <w:b/>
      <w:bCs/>
      <w:kern w:val="2"/>
      <w:sz w:val="32"/>
      <w:szCs w:val="32"/>
    </w:rPr>
  </w:style>
  <w:style w:type="character" w:customStyle="1" w:styleId="55">
    <w:name w:val="批注主题 字符"/>
    <w:basedOn w:val="49"/>
    <w:link w:val="34"/>
    <w:autoRedefine/>
    <w:qFormat/>
    <w:uiPriority w:val="99"/>
    <w:rPr>
      <w:rFonts w:ascii="Times New Roman" w:hAnsi="Times New Roman" w:eastAsia="宋体" w:cs="Times New Roman"/>
      <w:b/>
      <w:bCs/>
      <w:sz w:val="24"/>
    </w:rPr>
  </w:style>
  <w:style w:type="character" w:customStyle="1" w:styleId="56">
    <w:name w:val="fontstyle01"/>
    <w:basedOn w:val="37"/>
    <w:autoRedefine/>
    <w:qFormat/>
    <w:uiPriority w:val="0"/>
    <w:rPr>
      <w:rFonts w:hint="eastAsia" w:ascii="仿宋" w:hAnsi="仿宋" w:eastAsia="仿宋"/>
      <w:color w:val="000000"/>
      <w:sz w:val="28"/>
      <w:szCs w:val="28"/>
    </w:rPr>
  </w:style>
  <w:style w:type="paragraph" w:customStyle="1" w:styleId="57">
    <w:name w:val="表格样式"/>
    <w:basedOn w:val="1"/>
    <w:link w:val="58"/>
    <w:autoRedefine/>
    <w:qFormat/>
    <w:uiPriority w:val="0"/>
    <w:pPr>
      <w:spacing w:line="280" w:lineRule="exact"/>
    </w:pPr>
    <w:rPr>
      <w:rFonts w:ascii="仿宋" w:hAnsi="仿宋" w:eastAsia="仿宋" w:cs="Times New Roman"/>
      <w:sz w:val="20"/>
      <w:szCs w:val="20"/>
    </w:rPr>
  </w:style>
  <w:style w:type="character" w:customStyle="1" w:styleId="58">
    <w:name w:val="表格样式 Char"/>
    <w:link w:val="57"/>
    <w:autoRedefine/>
    <w:qFormat/>
    <w:uiPriority w:val="0"/>
    <w:rPr>
      <w:rFonts w:ascii="仿宋" w:hAnsi="仿宋" w:eastAsia="仿宋" w:cs="Times New Roman"/>
      <w:sz w:val="20"/>
      <w:szCs w:val="20"/>
    </w:rPr>
  </w:style>
  <w:style w:type="paragraph" w:customStyle="1" w:styleId="59">
    <w:name w:val="表格字体"/>
    <w:link w:val="60"/>
    <w:autoRedefine/>
    <w:qFormat/>
    <w:uiPriority w:val="0"/>
    <w:pPr>
      <w:widowControl w:val="0"/>
      <w:snapToGrid w:val="0"/>
      <w:jc w:val="center"/>
    </w:pPr>
    <w:rPr>
      <w:rFonts w:ascii="Times New Roman" w:hAnsi="Times New Roman" w:eastAsia="宋体" w:cs="Times New Roman"/>
      <w:kern w:val="2"/>
      <w:sz w:val="21"/>
      <w:szCs w:val="22"/>
      <w:lang w:val="en-US" w:eastAsia="zh-CN" w:bidi="ar-SA"/>
    </w:rPr>
  </w:style>
  <w:style w:type="character" w:customStyle="1" w:styleId="60">
    <w:name w:val="表格字体 Char"/>
    <w:link w:val="59"/>
    <w:autoRedefine/>
    <w:qFormat/>
    <w:uiPriority w:val="0"/>
    <w:rPr>
      <w:rFonts w:ascii="Times New Roman" w:hAnsi="Times New Roman" w:eastAsia="宋体" w:cs="Times New Roman"/>
    </w:rPr>
  </w:style>
  <w:style w:type="paragraph" w:styleId="61">
    <w:name w:val="No Spacing"/>
    <w:autoRedefine/>
    <w:qFormat/>
    <w:uiPriority w:val="1"/>
    <w:pPr>
      <w:widowControl w:val="0"/>
      <w:ind w:firstLine="200" w:firstLineChars="200"/>
      <w:jc w:val="both"/>
    </w:pPr>
    <w:rPr>
      <w:rFonts w:ascii="Calibri" w:hAnsi="Calibri" w:eastAsia="宋体" w:cs="Times New Roman"/>
      <w:kern w:val="2"/>
      <w:sz w:val="24"/>
      <w:szCs w:val="22"/>
      <w:lang w:val="en-US" w:eastAsia="zh-CN" w:bidi="ar-SA"/>
    </w:rPr>
  </w:style>
  <w:style w:type="paragraph" w:customStyle="1" w:styleId="62">
    <w:name w:val="TOC 标题1"/>
    <w:basedOn w:val="5"/>
    <w:next w:val="1"/>
    <w:autoRedefine/>
    <w:qFormat/>
    <w:uiPriority w:val="39"/>
    <w:pPr>
      <w:keepNext/>
      <w:keepLines/>
      <w:widowControl/>
      <w:spacing w:before="480" w:line="276" w:lineRule="auto"/>
      <w:jc w:val="left"/>
      <w:outlineLvl w:val="9"/>
    </w:pPr>
    <w:rPr>
      <w:rFonts w:ascii="Cambria" w:hAnsi="Cambria" w:eastAsia="宋体" w:cs="Times New Roman"/>
      <w:bCs/>
      <w:color w:val="365F91"/>
      <w:kern w:val="0"/>
      <w:sz w:val="28"/>
      <w:szCs w:val="28"/>
    </w:rPr>
  </w:style>
  <w:style w:type="paragraph" w:customStyle="1" w:styleId="63">
    <w:name w:val="font5"/>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64">
    <w:name w:val="font6"/>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65">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66">
    <w:name w:val="正文文本 一"/>
    <w:link w:val="67"/>
    <w:autoRedefine/>
    <w:qFormat/>
    <w:uiPriority w:val="0"/>
    <w:pPr>
      <w:widowControl w:val="0"/>
      <w:spacing w:after="50" w:afterLines="50" w:line="520" w:lineRule="exact"/>
      <w:ind w:firstLine="200" w:firstLineChars="200"/>
    </w:pPr>
    <w:rPr>
      <w:rFonts w:ascii="Times New Roman" w:hAnsi="Times New Roman" w:eastAsia="宋体" w:cs="宋体"/>
      <w:kern w:val="2"/>
      <w:sz w:val="28"/>
      <w:lang w:val="en-US" w:eastAsia="zh-CN" w:bidi="ar-SA"/>
    </w:rPr>
  </w:style>
  <w:style w:type="character" w:customStyle="1" w:styleId="67">
    <w:name w:val="正文文本 一 Char"/>
    <w:link w:val="66"/>
    <w:autoRedefine/>
    <w:qFormat/>
    <w:uiPriority w:val="0"/>
    <w:rPr>
      <w:rFonts w:ascii="Times New Roman" w:hAnsi="Times New Roman" w:eastAsia="宋体" w:cs="宋体"/>
      <w:sz w:val="28"/>
      <w:szCs w:val="20"/>
    </w:rPr>
  </w:style>
  <w:style w:type="paragraph" w:customStyle="1" w:styleId="68">
    <w:name w:val="NormalParagraphStyle"/>
    <w:basedOn w:val="1"/>
    <w:autoRedefine/>
    <w:qFormat/>
    <w:uiPriority w:val="0"/>
    <w:pPr>
      <w:autoSpaceDE w:val="0"/>
      <w:autoSpaceDN w:val="0"/>
      <w:spacing w:line="288" w:lineRule="auto"/>
      <w:textAlignment w:val="center"/>
    </w:pPr>
    <w:rPr>
      <w:rFonts w:ascii="宋体" w:hAnsi="Times New Roman"/>
      <w:color w:val="000000"/>
      <w:kern w:val="0"/>
      <w:sz w:val="24"/>
      <w:szCs w:val="24"/>
      <w:lang w:val="zh-CN"/>
    </w:rPr>
  </w:style>
  <w:style w:type="table" w:customStyle="1" w:styleId="69">
    <w:name w:val="网格型1"/>
    <w:basedOn w:val="35"/>
    <w:autoRedefine/>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0">
    <w:name w:val="网格型2"/>
    <w:basedOn w:val="35"/>
    <w:autoRedefine/>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1">
    <w:name w:val="表格"/>
    <w:basedOn w:val="1"/>
    <w:link w:val="72"/>
    <w:autoRedefine/>
    <w:qFormat/>
    <w:uiPriority w:val="0"/>
    <w:pPr>
      <w:widowControl/>
      <w:ind w:firstLine="800"/>
      <w:jc w:val="center"/>
    </w:pPr>
    <w:rPr>
      <w:rFonts w:ascii="微软雅黑" w:hAnsi="微软雅黑" w:cs="Arial"/>
      <w:bCs/>
      <w:color w:val="FFFFFF"/>
      <w:kern w:val="24"/>
      <w:sz w:val="24"/>
      <w:szCs w:val="40"/>
    </w:rPr>
  </w:style>
  <w:style w:type="character" w:customStyle="1" w:styleId="72">
    <w:name w:val="表格 字符"/>
    <w:basedOn w:val="37"/>
    <w:link w:val="71"/>
    <w:autoRedefine/>
    <w:qFormat/>
    <w:uiPriority w:val="0"/>
    <w:rPr>
      <w:rFonts w:ascii="微软雅黑" w:hAnsi="微软雅黑" w:eastAsia="宋体" w:cs="Arial"/>
      <w:bCs/>
      <w:color w:val="FFFFFF"/>
      <w:kern w:val="24"/>
      <w:sz w:val="24"/>
      <w:szCs w:val="40"/>
    </w:rPr>
  </w:style>
  <w:style w:type="table" w:customStyle="1" w:styleId="73">
    <w:name w:val="网格表 1 浅色1"/>
    <w:basedOn w:val="35"/>
    <w:autoRedefine/>
    <w:qFormat/>
    <w:uiPriority w:val="46"/>
    <w:rPr>
      <w:rFonts w:ascii="等线" w:hAnsi="等线" w:eastAsia="等线"/>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table" w:customStyle="1" w:styleId="74">
    <w:name w:val="网格表 1 浅色2"/>
    <w:basedOn w:val="35"/>
    <w:autoRedefine/>
    <w:qFormat/>
    <w:uiPriority w:val="46"/>
    <w:rPr>
      <w:rFonts w:ascii="Calibri" w:hAnsi="Calibri"/>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paragraph" w:customStyle="1" w:styleId="75">
    <w:name w:val="表"/>
    <w:basedOn w:val="1"/>
    <w:link w:val="76"/>
    <w:autoRedefine/>
    <w:qFormat/>
    <w:uiPriority w:val="0"/>
    <w:pPr>
      <w:topLinePunct/>
      <w:ind w:firstLine="0" w:firstLineChars="0"/>
      <w:jc w:val="center"/>
    </w:pPr>
    <w:rPr>
      <w:rFonts w:ascii="Times New Roman" w:hAnsi="Times New Roman" w:cs="Times New Roman"/>
      <w:kern w:val="0"/>
      <w:szCs w:val="21"/>
    </w:rPr>
  </w:style>
  <w:style w:type="character" w:customStyle="1" w:styleId="76">
    <w:name w:val="表 字符"/>
    <w:basedOn w:val="37"/>
    <w:link w:val="75"/>
    <w:autoRedefine/>
    <w:qFormat/>
    <w:uiPriority w:val="0"/>
    <w:rPr>
      <w:rFonts w:ascii="Times New Roman" w:hAnsi="Times New Roman" w:eastAsia="宋体" w:cs="Times New Roman"/>
      <w:kern w:val="0"/>
      <w:szCs w:val="21"/>
    </w:rPr>
  </w:style>
  <w:style w:type="paragraph" w:customStyle="1" w:styleId="77">
    <w:name w:val="07表格"/>
    <w:basedOn w:val="1"/>
    <w:link w:val="78"/>
    <w:autoRedefine/>
    <w:qFormat/>
    <w:uiPriority w:val="0"/>
    <w:pPr>
      <w:tabs>
        <w:tab w:val="left" w:pos="1412"/>
      </w:tabs>
      <w:ind w:firstLine="0" w:firstLineChars="0"/>
      <w:jc w:val="left"/>
    </w:pPr>
    <w:rPr>
      <w:rFonts w:ascii="等线" w:hAnsi="等线" w:eastAsia="等线" w:cs="Times New Roman"/>
      <w:color w:val="000000"/>
      <w:sz w:val="20"/>
    </w:rPr>
  </w:style>
  <w:style w:type="character" w:customStyle="1" w:styleId="78">
    <w:name w:val="07表格 字符"/>
    <w:link w:val="77"/>
    <w:autoRedefine/>
    <w:qFormat/>
    <w:uiPriority w:val="0"/>
    <w:rPr>
      <w:rFonts w:ascii="等线" w:hAnsi="等线" w:eastAsia="等线" w:cs="Times New Roman"/>
      <w:color w:val="000000"/>
      <w:sz w:val="20"/>
    </w:rPr>
  </w:style>
  <w:style w:type="paragraph" w:customStyle="1" w:styleId="79">
    <w:name w:val="Table Paragraph"/>
    <w:basedOn w:val="1"/>
    <w:autoRedefine/>
    <w:qFormat/>
    <w:uiPriority w:val="1"/>
    <w:pPr>
      <w:widowControl/>
      <w:tabs>
        <w:tab w:val="left" w:pos="1763"/>
      </w:tabs>
      <w:ind w:firstLine="0" w:firstLineChars="0"/>
      <w:jc w:val="center"/>
    </w:pPr>
    <w:rPr>
      <w:rFonts w:ascii="Times New Roman" w:hAnsi="Times New Roman"/>
      <w:spacing w:val="-12"/>
      <w:kern w:val="0"/>
      <w:sz w:val="20"/>
      <w:szCs w:val="28"/>
      <w:lang w:val="zh-CN" w:bidi="zh-CN"/>
    </w:rPr>
  </w:style>
  <w:style w:type="paragraph" w:customStyle="1" w:styleId="80">
    <w:name w:val="图片样式"/>
    <w:basedOn w:val="15"/>
    <w:link w:val="81"/>
    <w:autoRedefine/>
    <w:qFormat/>
    <w:uiPriority w:val="0"/>
    <w:pPr>
      <w:spacing w:after="0"/>
      <w:jc w:val="center"/>
    </w:pPr>
  </w:style>
  <w:style w:type="character" w:customStyle="1" w:styleId="81">
    <w:name w:val="图片样式 字符"/>
    <w:basedOn w:val="50"/>
    <w:link w:val="80"/>
    <w:autoRedefine/>
    <w:qFormat/>
    <w:uiPriority w:val="0"/>
    <w:rPr>
      <w:rFonts w:ascii="Times New Roman" w:hAnsi="Times New Roman" w:eastAsia="宋体" w:cs="Times New Roman"/>
      <w:kern w:val="2"/>
      <w:sz w:val="21"/>
      <w:szCs w:val="24"/>
    </w:rPr>
  </w:style>
  <w:style w:type="paragraph" w:customStyle="1" w:styleId="82">
    <w:name w:val="TOC 标题2"/>
    <w:basedOn w:val="5"/>
    <w:next w:val="1"/>
    <w:autoRedefine/>
    <w:qFormat/>
    <w:uiPriority w:val="39"/>
    <w:pPr>
      <w:keepNext/>
      <w:keepLines/>
      <w:widowControl/>
      <w:spacing w:before="240" w:line="259" w:lineRule="auto"/>
      <w:ind w:left="0"/>
      <w:jc w:val="left"/>
      <w:outlineLvl w:val="9"/>
    </w:pPr>
    <w:rPr>
      <w:rFonts w:ascii="Calibri Light" w:hAnsi="Calibri Light" w:eastAsia="宋体"/>
      <w:color w:val="2E74B5"/>
      <w:kern w:val="0"/>
    </w:rPr>
  </w:style>
  <w:style w:type="character" w:customStyle="1" w:styleId="83">
    <w:name w:val="未处理的提及1"/>
    <w:basedOn w:val="37"/>
    <w:autoRedefine/>
    <w:qFormat/>
    <w:uiPriority w:val="99"/>
    <w:rPr>
      <w:color w:val="605E5C"/>
      <w:shd w:val="clear" w:color="auto" w:fill="E1DFDD"/>
    </w:rPr>
  </w:style>
  <w:style w:type="paragraph" w:customStyle="1" w:styleId="84">
    <w:name w:val="标题4"/>
    <w:basedOn w:val="9"/>
    <w:next w:val="1"/>
    <w:link w:val="85"/>
    <w:autoRedefine/>
    <w:qFormat/>
    <w:uiPriority w:val="0"/>
    <w:pPr>
      <w:numPr>
        <w:ilvl w:val="0"/>
        <w:numId w:val="3"/>
      </w:numPr>
      <w:spacing w:after="156" w:afterLines="50" w:line="240" w:lineRule="auto"/>
    </w:pPr>
  </w:style>
  <w:style w:type="character" w:customStyle="1" w:styleId="85">
    <w:name w:val="标题4 Char"/>
    <w:basedOn w:val="43"/>
    <w:link w:val="84"/>
    <w:autoRedefine/>
    <w:qFormat/>
    <w:uiPriority w:val="0"/>
    <w:rPr>
      <w:rFonts w:ascii="宋体" w:hAnsi="宋体" w:eastAsia="黑体" w:cs="宋体"/>
      <w:kern w:val="2"/>
      <w:sz w:val="30"/>
      <w:szCs w:val="30"/>
    </w:rPr>
  </w:style>
  <w:style w:type="table" w:customStyle="1" w:styleId="86">
    <w:name w:val="网格型3"/>
    <w:basedOn w:val="3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7">
    <w:name w:val="标题3"/>
    <w:basedOn w:val="8"/>
    <w:autoRedefine/>
    <w:qFormat/>
    <w:uiPriority w:val="0"/>
    <w:pPr>
      <w:keepNext/>
      <w:keepLines/>
      <w:numPr>
        <w:ilvl w:val="0"/>
        <w:numId w:val="4"/>
      </w:numPr>
      <w:tabs>
        <w:tab w:val="left" w:pos="851"/>
      </w:tabs>
      <w:ind w:firstLine="0"/>
    </w:pPr>
    <w:rPr>
      <w:rFonts w:ascii="宋体" w:hAnsi="宋体" w:eastAsia="宋体"/>
      <w:b/>
      <w:bCs/>
      <w:szCs w:val="24"/>
    </w:rPr>
  </w:style>
  <w:style w:type="character" w:customStyle="1" w:styleId="88">
    <w:name w:val="正文文本缩进 字符"/>
    <w:basedOn w:val="37"/>
    <w:link w:val="3"/>
    <w:autoRedefine/>
    <w:qFormat/>
    <w:uiPriority w:val="99"/>
    <w:rPr>
      <w:kern w:val="2"/>
      <w:sz w:val="28"/>
      <w:szCs w:val="22"/>
    </w:rPr>
  </w:style>
  <w:style w:type="paragraph" w:customStyle="1" w:styleId="89">
    <w:name w:val="样式5"/>
    <w:basedOn w:val="1"/>
    <w:autoRedefine/>
    <w:qFormat/>
    <w:uiPriority w:val="0"/>
    <w:pPr>
      <w:adjustRightInd/>
      <w:snapToGrid/>
      <w:spacing w:line="600" w:lineRule="exact"/>
      <w:ind w:firstLine="0" w:firstLineChars="0"/>
      <w:jc w:val="center"/>
    </w:pPr>
    <w:rPr>
      <w:rFonts w:ascii="Times New Roman" w:hAnsi="Times New Roman" w:eastAsia="黑体" w:cs="Times New Roman"/>
      <w:color w:val="000000"/>
      <w:kern w:val="0"/>
      <w:sz w:val="24"/>
      <w:szCs w:val="24"/>
    </w:rPr>
  </w:style>
  <w:style w:type="paragraph" w:customStyle="1" w:styleId="90">
    <w:name w:val="样式7"/>
    <w:basedOn w:val="1"/>
    <w:autoRedefine/>
    <w:qFormat/>
    <w:uiPriority w:val="0"/>
    <w:pPr>
      <w:adjustRightInd/>
      <w:snapToGrid/>
      <w:spacing w:line="300" w:lineRule="exact"/>
      <w:ind w:left="-120" w:leftChars="-50" w:right="-120" w:rightChars="-50" w:firstLine="0" w:firstLineChars="0"/>
      <w:jc w:val="center"/>
    </w:pPr>
    <w:rPr>
      <w:rFonts w:ascii="Times New Roman" w:hAnsi="Times New Roman" w:cs="Times New Roman"/>
      <w:sz w:val="21"/>
      <w:szCs w:val="24"/>
    </w:rPr>
  </w:style>
  <w:style w:type="paragraph" w:customStyle="1" w:styleId="91">
    <w:name w:val="样式6"/>
    <w:basedOn w:val="1"/>
    <w:link w:val="92"/>
    <w:autoRedefine/>
    <w:qFormat/>
    <w:uiPriority w:val="0"/>
    <w:rPr>
      <w:sz w:val="24"/>
    </w:rPr>
  </w:style>
  <w:style w:type="character" w:customStyle="1" w:styleId="92">
    <w:name w:val="样式6 字符"/>
    <w:basedOn w:val="37"/>
    <w:link w:val="91"/>
    <w:autoRedefine/>
    <w:qFormat/>
    <w:uiPriority w:val="0"/>
    <w:rPr>
      <w:kern w:val="2"/>
      <w:sz w:val="24"/>
      <w:szCs w:val="22"/>
    </w:rPr>
  </w:style>
  <w:style w:type="paragraph" w:customStyle="1" w:styleId="93">
    <w:name w:val="Char Char Char Char Char Char Char"/>
    <w:basedOn w:val="1"/>
    <w:autoRedefine/>
    <w:qFormat/>
    <w:uiPriority w:val="0"/>
    <w:pPr>
      <w:adjustRightInd/>
      <w:snapToGrid/>
      <w:spacing w:before="300" w:after="300" w:line="560" w:lineRule="exact"/>
      <w:ind w:firstLine="0" w:firstLineChars="0"/>
    </w:pPr>
    <w:rPr>
      <w:rFonts w:ascii="Times New Roman" w:hAnsi="Times New Roman" w:eastAsia="黑体" w:cs="Times New Roman"/>
      <w:sz w:val="36"/>
      <w:szCs w:val="36"/>
    </w:rPr>
  </w:style>
  <w:style w:type="character" w:customStyle="1" w:styleId="94">
    <w:name w:val="样式 样式 段落内容 + (西文) Times New Roman (中文) 宋体 + 首行缩进:  2 字符 Char"/>
    <w:link w:val="95"/>
    <w:autoRedefine/>
    <w:qFormat/>
    <w:uiPriority w:val="0"/>
    <w:rPr>
      <w:rFonts w:ascii="Times New Roman" w:hAnsi="Times New Roman" w:cs="宋体"/>
      <w:kern w:val="2"/>
      <w:sz w:val="28"/>
    </w:rPr>
  </w:style>
  <w:style w:type="paragraph" w:customStyle="1" w:styleId="95">
    <w:name w:val="样式 样式 段落内容 + (西文) Times New Roman (中文) 宋体 + 首行缩进:  2 字符"/>
    <w:basedOn w:val="1"/>
    <w:link w:val="94"/>
    <w:autoRedefine/>
    <w:qFormat/>
    <w:uiPriority w:val="0"/>
    <w:pPr>
      <w:adjustRightInd/>
      <w:snapToGrid/>
      <w:spacing w:before="156" w:beforeLines="50"/>
      <w:ind w:firstLine="560"/>
    </w:pPr>
    <w:rPr>
      <w:rFonts w:ascii="Times New Roman" w:hAnsi="Times New Roman"/>
      <w:szCs w:val="20"/>
    </w:rPr>
  </w:style>
  <w:style w:type="paragraph" w:customStyle="1" w:styleId="9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97">
    <w:name w:val="正文文本首行缩进 2 字符"/>
    <w:basedOn w:val="88"/>
    <w:link w:val="2"/>
    <w:autoRedefine/>
    <w:qFormat/>
    <w:uiPriority w:val="99"/>
    <w:rPr>
      <w:kern w:val="2"/>
      <w:sz w:val="28"/>
      <w:szCs w:val="22"/>
    </w:rPr>
  </w:style>
  <w:style w:type="paragraph" w:customStyle="1" w:styleId="98">
    <w:name w:val="J1"/>
    <w:basedOn w:val="5"/>
    <w:next w:val="1"/>
    <w:autoRedefine/>
    <w:qFormat/>
    <w:uiPriority w:val="0"/>
    <w:pPr>
      <w:keepNext/>
      <w:keepLines/>
      <w:numPr>
        <w:ilvl w:val="0"/>
        <w:numId w:val="5"/>
      </w:numPr>
      <w:adjustRightInd/>
      <w:snapToGrid/>
      <w:spacing w:before="100" w:beforeAutospacing="1" w:line="960" w:lineRule="auto"/>
      <w:ind w:firstLine="0"/>
    </w:pPr>
    <w:rPr>
      <w:rFonts w:ascii="Calibri" w:hAnsi="Calibri" w:eastAsia="宋体" w:cs="Times New Roman"/>
      <w:b/>
      <w:bCs/>
      <w:kern w:val="44"/>
      <w:sz w:val="52"/>
    </w:rPr>
  </w:style>
  <w:style w:type="paragraph" w:customStyle="1" w:styleId="99">
    <w:name w:val="J2"/>
    <w:basedOn w:val="7"/>
    <w:next w:val="1"/>
    <w:autoRedefine/>
    <w:qFormat/>
    <w:uiPriority w:val="0"/>
    <w:pPr>
      <w:keepNext/>
      <w:keepLines/>
      <w:numPr>
        <w:ilvl w:val="1"/>
        <w:numId w:val="5"/>
      </w:numPr>
      <w:adjustRightInd/>
      <w:snapToGrid/>
      <w:spacing w:before="100" w:beforeAutospacing="1" w:line="720" w:lineRule="auto"/>
      <w:ind w:firstLine="0" w:firstLineChars="0"/>
      <w:jc w:val="left"/>
    </w:pPr>
    <w:rPr>
      <w:rFonts w:ascii="Cambria" w:hAnsi="Cambria" w:cs="Times New Roman"/>
      <w:b/>
      <w:bCs/>
      <w:kern w:val="0"/>
      <w:sz w:val="36"/>
      <w:szCs w:val="32"/>
    </w:rPr>
  </w:style>
  <w:style w:type="paragraph" w:customStyle="1" w:styleId="100">
    <w:name w:val="J3"/>
    <w:basedOn w:val="8"/>
    <w:next w:val="1"/>
    <w:autoRedefine/>
    <w:qFormat/>
    <w:uiPriority w:val="0"/>
    <w:pPr>
      <w:keepNext/>
      <w:keepLines/>
      <w:numPr>
        <w:ilvl w:val="2"/>
        <w:numId w:val="5"/>
      </w:numPr>
      <w:adjustRightInd/>
      <w:snapToGrid/>
      <w:spacing w:before="100" w:beforeAutospacing="1" w:after="100" w:afterAutospacing="1" w:line="480" w:lineRule="auto"/>
      <w:ind w:firstLine="0"/>
    </w:pPr>
    <w:rPr>
      <w:rFonts w:ascii="Calibri" w:hAnsi="Calibri" w:eastAsia="宋体" w:cs="Times New Roman"/>
      <w:b/>
      <w:bCs/>
      <w:kern w:val="0"/>
    </w:rPr>
  </w:style>
  <w:style w:type="paragraph" w:customStyle="1" w:styleId="101">
    <w:name w:val="J4"/>
    <w:basedOn w:val="9"/>
    <w:next w:val="1"/>
    <w:autoRedefine/>
    <w:qFormat/>
    <w:uiPriority w:val="0"/>
    <w:pPr>
      <w:keepNext/>
      <w:keepLines/>
      <w:numPr>
        <w:ilvl w:val="3"/>
        <w:numId w:val="5"/>
      </w:numPr>
      <w:adjustRightInd/>
      <w:snapToGrid/>
      <w:spacing w:before="100" w:beforeAutospacing="1" w:after="100" w:afterAutospacing="1"/>
      <w:ind w:firstLine="0"/>
      <w:jc w:val="both"/>
    </w:pPr>
    <w:rPr>
      <w:rFonts w:ascii="Cambria" w:hAnsi="Cambria" w:eastAsia="宋体" w:cs="Times New Roman"/>
      <w:b/>
      <w:bCs/>
      <w:kern w:val="0"/>
      <w:sz w:val="28"/>
      <w:szCs w:val="28"/>
    </w:rPr>
  </w:style>
  <w:style w:type="paragraph" w:customStyle="1" w:styleId="102">
    <w:name w:val="J5"/>
    <w:basedOn w:val="10"/>
    <w:next w:val="1"/>
    <w:autoRedefine/>
    <w:qFormat/>
    <w:uiPriority w:val="0"/>
    <w:pPr>
      <w:numPr>
        <w:ilvl w:val="4"/>
        <w:numId w:val="5"/>
      </w:numPr>
      <w:adjustRightInd/>
      <w:snapToGrid/>
      <w:spacing w:before="100" w:beforeAutospacing="1" w:after="100" w:afterAutospacing="1"/>
      <w:ind w:firstLine="0"/>
    </w:pPr>
    <w:rPr>
      <w:rFonts w:ascii="Calibri" w:hAnsi="Calibri" w:eastAsia="宋体" w:cs="Times New Roman"/>
      <w:b/>
      <w:color w:val="000000"/>
      <w:kern w:val="0"/>
      <w:sz w:val="24"/>
    </w:rPr>
  </w:style>
  <w:style w:type="character" w:customStyle="1" w:styleId="103">
    <w:name w:val="正文文本缩进 2 字符"/>
    <w:basedOn w:val="37"/>
    <w:link w:val="21"/>
    <w:autoRedefine/>
    <w:qFormat/>
    <w:uiPriority w:val="99"/>
    <w:rPr>
      <w:kern w:val="2"/>
      <w:sz w:val="28"/>
      <w:szCs w:val="22"/>
    </w:rPr>
  </w:style>
  <w:style w:type="table" w:customStyle="1" w:styleId="104">
    <w:name w:val="Table Normal"/>
    <w:autoRedefine/>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05">
    <w:name w:val="WPSOffice手动目录 1"/>
    <w:autoRedefine/>
    <w:qFormat/>
    <w:uiPriority w:val="0"/>
    <w:rPr>
      <w:rFonts w:ascii="Times New Roman" w:hAnsi="Times New Roman" w:eastAsia="宋体" w:cs="Times New Roman"/>
      <w:lang w:val="en-US" w:eastAsia="zh-CN" w:bidi="ar-SA"/>
    </w:rPr>
  </w:style>
  <w:style w:type="paragraph" w:customStyle="1" w:styleId="10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107">
    <w:name w:val="WPSOffice手动目录 3"/>
    <w:autoRedefine/>
    <w:qFormat/>
    <w:uiPriority w:val="0"/>
    <w:pPr>
      <w:ind w:left="400" w:leftChars="400"/>
    </w:pPr>
    <w:rPr>
      <w:rFonts w:ascii="Times New Roman" w:hAnsi="Times New Roman" w:eastAsia="宋体" w:cs="Times New Roman"/>
      <w:lang w:val="en-US" w:eastAsia="zh-CN" w:bidi="ar-SA"/>
    </w:rPr>
  </w:style>
  <w:style w:type="character" w:customStyle="1" w:styleId="108">
    <w:name w:val="font41"/>
    <w:basedOn w:val="37"/>
    <w:autoRedefine/>
    <w:qFormat/>
    <w:uiPriority w:val="0"/>
    <w:rPr>
      <w:rFonts w:hint="default" w:ascii="Arial" w:hAnsi="Arial" w:cs="Arial"/>
      <w:b/>
      <w:color w:val="144D73"/>
      <w:sz w:val="16"/>
      <w:szCs w:val="16"/>
      <w:u w:val="none"/>
    </w:rPr>
  </w:style>
  <w:style w:type="character" w:customStyle="1" w:styleId="109">
    <w:name w:val="font11"/>
    <w:basedOn w:val="37"/>
    <w:autoRedefine/>
    <w:qFormat/>
    <w:uiPriority w:val="0"/>
    <w:rPr>
      <w:rFonts w:hint="default" w:ascii="Arial" w:hAnsi="Arial" w:cs="Arial"/>
      <w:b/>
      <w:color w:val="404040"/>
      <w:sz w:val="16"/>
      <w:szCs w:val="16"/>
      <w:u w:val="none"/>
    </w:rPr>
  </w:style>
  <w:style w:type="character" w:customStyle="1" w:styleId="110">
    <w:name w:val="font21"/>
    <w:basedOn w:val="37"/>
    <w:autoRedefine/>
    <w:qFormat/>
    <w:uiPriority w:val="0"/>
    <w:rPr>
      <w:rFonts w:ascii="微软雅黑" w:hAnsi="微软雅黑" w:eastAsia="微软雅黑" w:cs="微软雅黑"/>
      <w:color w:val="000000"/>
      <w:sz w:val="16"/>
      <w:szCs w:val="16"/>
      <w:u w:val="none"/>
    </w:rPr>
  </w:style>
  <w:style w:type="character" w:customStyle="1" w:styleId="111">
    <w:name w:val="font31"/>
    <w:basedOn w:val="37"/>
    <w:autoRedefine/>
    <w:qFormat/>
    <w:uiPriority w:val="0"/>
    <w:rPr>
      <w:rFonts w:hint="eastAsia" w:ascii="仿宋" w:hAnsi="仿宋" w:eastAsia="仿宋" w:cs="仿宋"/>
      <w:color w:val="000000"/>
      <w:sz w:val="16"/>
      <w:szCs w:val="16"/>
      <w:u w:val="none"/>
    </w:rPr>
  </w:style>
  <w:style w:type="paragraph" w:customStyle="1" w:styleId="112">
    <w:name w:val="表头"/>
    <w:autoRedefine/>
    <w:qFormat/>
    <w:uiPriority w:val="0"/>
    <w:pPr>
      <w:widowControl w:val="0"/>
      <w:adjustRightInd w:val="0"/>
      <w:snapToGrid w:val="0"/>
      <w:spacing w:before="240" w:after="64" w:line="300" w:lineRule="auto"/>
      <w:jc w:val="center"/>
    </w:pPr>
    <w:rPr>
      <w:rFonts w:ascii="宋体" w:hAnsi="Times New Roman" w:eastAsia="宋体" w:cs="Times New Roman"/>
      <w:b/>
      <w:sz w:val="24"/>
      <w:lang w:val="en-US" w:eastAsia="zh-CN" w:bidi="ar-SA"/>
    </w:rPr>
  </w:style>
  <w:style w:type="character" w:customStyle="1" w:styleId="113">
    <w:name w:val="纯文本 字符"/>
    <w:basedOn w:val="37"/>
    <w:link w:val="18"/>
    <w:autoRedefine/>
    <w:qFormat/>
    <w:uiPriority w:val="0"/>
    <w:rPr>
      <w:rFonts w:ascii="宋体" w:hAnsi="Courier New" w:eastAsia="仿宋_GB2312" w:cs="Times New Roman"/>
      <w:kern w:val="2"/>
      <w:sz w:val="28"/>
    </w:rPr>
  </w:style>
  <w:style w:type="paragraph" w:customStyle="1" w:styleId="114">
    <w:name w:val="jiang"/>
    <w:basedOn w:val="1"/>
    <w:autoRedefine/>
    <w:qFormat/>
    <w:uiPriority w:val="0"/>
    <w:pPr>
      <w:adjustRightInd/>
      <w:snapToGrid/>
      <w:jc w:val="center"/>
    </w:pPr>
    <w:rPr>
      <w:rFonts w:ascii="Times New Roman" w:hAnsi="Times New Roman" w:eastAsia="仿宋_GB2312" w:cs="Times New Roman"/>
      <w:kern w:val="0"/>
      <w:szCs w:val="28"/>
    </w:rPr>
  </w:style>
  <w:style w:type="paragraph" w:customStyle="1" w:styleId="115">
    <w:name w:val="3级标题"/>
    <w:basedOn w:val="8"/>
    <w:link w:val="116"/>
    <w:autoRedefine/>
    <w:qFormat/>
    <w:uiPriority w:val="0"/>
    <w:pPr>
      <w:keepNext/>
      <w:keepLines/>
      <w:adjustRightInd/>
      <w:snapToGrid/>
      <w:spacing w:before="0"/>
    </w:pPr>
    <w:rPr>
      <w:rFonts w:ascii="Times New Roman" w:hAnsi="Times New Roman" w:eastAsia="宋体" w:cs="Times New Roman"/>
      <w:b/>
    </w:rPr>
  </w:style>
  <w:style w:type="character" w:customStyle="1" w:styleId="116">
    <w:name w:val="3级标题 Char"/>
    <w:basedOn w:val="37"/>
    <w:link w:val="115"/>
    <w:autoRedefine/>
    <w:qFormat/>
    <w:uiPriority w:val="0"/>
    <w:rPr>
      <w:rFonts w:ascii="Times New Roman" w:hAnsi="Times New Roman" w:eastAsia="宋体" w:cs="Times New Roman"/>
      <w:b/>
      <w:kern w:val="2"/>
      <w:sz w:val="30"/>
      <w:szCs w:val="30"/>
    </w:rPr>
  </w:style>
  <w:style w:type="paragraph" w:customStyle="1" w:styleId="117">
    <w:name w:val="2级标题"/>
    <w:basedOn w:val="1"/>
    <w:link w:val="118"/>
    <w:autoRedefine/>
    <w:qFormat/>
    <w:uiPriority w:val="0"/>
    <w:pPr>
      <w:keepNext/>
      <w:keepLines/>
      <w:adjustRightInd/>
      <w:snapToGrid/>
      <w:spacing w:beforeLines="50"/>
      <w:ind w:firstLine="0" w:firstLineChars="0"/>
      <w:jc w:val="left"/>
      <w:outlineLvl w:val="1"/>
    </w:pPr>
    <w:rPr>
      <w:rFonts w:ascii="Times New Roman" w:hAnsi="Times New Roman" w:cs="Times New Roman"/>
      <w:b/>
      <w:bCs/>
      <w:sz w:val="32"/>
      <w:szCs w:val="32"/>
    </w:rPr>
  </w:style>
  <w:style w:type="character" w:customStyle="1" w:styleId="118">
    <w:name w:val="2级标题 Char"/>
    <w:basedOn w:val="37"/>
    <w:link w:val="117"/>
    <w:autoRedefine/>
    <w:qFormat/>
    <w:uiPriority w:val="0"/>
    <w:rPr>
      <w:rFonts w:ascii="Times New Roman" w:hAnsi="Times New Roman" w:eastAsia="宋体" w:cs="Times New Roman"/>
      <w:b/>
      <w:bCs/>
      <w:kern w:val="2"/>
      <w:sz w:val="32"/>
      <w:szCs w:val="32"/>
    </w:rPr>
  </w:style>
  <w:style w:type="paragraph" w:customStyle="1" w:styleId="119">
    <w:name w:val="图"/>
    <w:basedOn w:val="1"/>
    <w:link w:val="120"/>
    <w:autoRedefine/>
    <w:qFormat/>
    <w:uiPriority w:val="0"/>
    <w:pPr>
      <w:adjustRightInd/>
      <w:spacing w:line="240" w:lineRule="auto"/>
      <w:ind w:firstLine="0" w:firstLineChars="0"/>
      <w:jc w:val="center"/>
    </w:pPr>
    <w:rPr>
      <w:rFonts w:ascii="Times New Roman" w:hAnsi="Times New Roman" w:cs="Times New Roman"/>
      <w:b/>
      <w:szCs w:val="30"/>
    </w:rPr>
  </w:style>
  <w:style w:type="character" w:customStyle="1" w:styleId="120">
    <w:name w:val="图 字符"/>
    <w:basedOn w:val="37"/>
    <w:link w:val="119"/>
    <w:autoRedefine/>
    <w:qFormat/>
    <w:uiPriority w:val="0"/>
    <w:rPr>
      <w:rFonts w:ascii="Times New Roman" w:hAnsi="Times New Roman" w:cs="Times New Roman"/>
      <w:b/>
      <w:kern w:val="2"/>
      <w:sz w:val="28"/>
      <w:szCs w:val="30"/>
    </w:rPr>
  </w:style>
  <w:style w:type="character" w:customStyle="1" w:styleId="121">
    <w:name w:val="未处理的提及2"/>
    <w:basedOn w:val="37"/>
    <w:autoRedefine/>
    <w:qFormat/>
    <w:uiPriority w:val="99"/>
    <w:rPr>
      <w:color w:val="605E5C"/>
      <w:shd w:val="clear" w:color="auto" w:fill="E1DFDD"/>
    </w:rPr>
  </w:style>
  <w:style w:type="paragraph" w:customStyle="1" w:styleId="122">
    <w:name w:val="msonormal"/>
    <w:basedOn w:val="1"/>
    <w:autoRedefine/>
    <w:qFormat/>
    <w:uiPriority w:val="0"/>
    <w:pPr>
      <w:widowControl/>
      <w:adjustRightInd/>
      <w:snapToGrid/>
      <w:spacing w:before="100" w:beforeAutospacing="1" w:after="100" w:afterAutospacing="1" w:line="240" w:lineRule="auto"/>
      <w:ind w:firstLine="0" w:firstLineChars="0"/>
      <w:jc w:val="left"/>
    </w:pPr>
    <w:rPr>
      <w:rFonts w:ascii="宋体" w:hAnsi="宋体"/>
      <w:kern w:val="0"/>
      <w:sz w:val="24"/>
      <w:szCs w:val="24"/>
    </w:rPr>
  </w:style>
  <w:style w:type="paragraph" w:customStyle="1" w:styleId="123">
    <w:name w:val="xl66"/>
    <w:basedOn w:val="1"/>
    <w:autoRedefine/>
    <w:qFormat/>
    <w:uiPriority w:val="0"/>
    <w:pPr>
      <w:widowControl/>
      <w:adjustRightInd/>
      <w:snapToGrid/>
      <w:spacing w:before="100" w:beforeAutospacing="1" w:after="100" w:afterAutospacing="1" w:line="240" w:lineRule="auto"/>
      <w:ind w:firstLine="0" w:firstLineChars="0"/>
      <w:jc w:val="center"/>
      <w:textAlignment w:val="center"/>
    </w:pPr>
    <w:rPr>
      <w:rFonts w:ascii="宋体" w:hAnsi="宋体"/>
      <w:kern w:val="0"/>
      <w:sz w:val="24"/>
      <w:szCs w:val="24"/>
    </w:rPr>
  </w:style>
  <w:style w:type="paragraph" w:customStyle="1" w:styleId="124">
    <w:name w:val="xl67"/>
    <w:basedOn w:val="1"/>
    <w:autoRedefine/>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center"/>
      <w:textAlignment w:val="center"/>
    </w:pPr>
    <w:rPr>
      <w:rFonts w:ascii="宋体" w:hAnsi="宋体"/>
      <w:kern w:val="0"/>
      <w:sz w:val="24"/>
      <w:szCs w:val="24"/>
    </w:rPr>
  </w:style>
  <w:style w:type="paragraph" w:customStyle="1" w:styleId="125">
    <w:name w:val="xl68"/>
    <w:basedOn w:val="1"/>
    <w:autoRedefine/>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center"/>
      <w:textAlignment w:val="center"/>
    </w:pPr>
    <w:rPr>
      <w:rFonts w:ascii="宋体" w:hAnsi="宋体"/>
      <w:kern w:val="0"/>
      <w:sz w:val="24"/>
      <w:szCs w:val="24"/>
    </w:rPr>
  </w:style>
  <w:style w:type="paragraph" w:customStyle="1" w:styleId="126">
    <w:name w:val="xl69"/>
    <w:basedOn w:val="1"/>
    <w:autoRedefine/>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center"/>
      <w:textAlignment w:val="center"/>
    </w:pPr>
    <w:rPr>
      <w:rFonts w:ascii="宋体" w:hAnsi="宋体"/>
      <w:kern w:val="0"/>
      <w:sz w:val="24"/>
      <w:szCs w:val="24"/>
    </w:rPr>
  </w:style>
  <w:style w:type="paragraph" w:customStyle="1" w:styleId="127">
    <w:name w:val="xl70"/>
    <w:basedOn w:val="1"/>
    <w:autoRedefine/>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center"/>
      <w:textAlignment w:val="center"/>
    </w:pPr>
    <w:rPr>
      <w:rFonts w:ascii="宋体" w:hAnsi="宋体"/>
      <w:kern w:val="0"/>
      <w:sz w:val="24"/>
      <w:szCs w:val="24"/>
    </w:rPr>
  </w:style>
  <w:style w:type="paragraph" w:customStyle="1" w:styleId="128">
    <w:name w:val="xl71"/>
    <w:basedOn w:val="1"/>
    <w:autoRedefine/>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center"/>
      <w:textAlignment w:val="center"/>
    </w:pPr>
    <w:rPr>
      <w:rFonts w:ascii="宋体" w:hAnsi="宋体"/>
      <w:kern w:val="0"/>
      <w:sz w:val="24"/>
      <w:szCs w:val="24"/>
    </w:rPr>
  </w:style>
  <w:style w:type="paragraph" w:customStyle="1" w:styleId="129">
    <w:name w:val="正文样式"/>
    <w:basedOn w:val="1"/>
    <w:autoRedefine/>
    <w:qFormat/>
    <w:uiPriority w:val="0"/>
    <w:pPr>
      <w:spacing w:line="600" w:lineRule="exact"/>
      <w:ind w:firstLine="640"/>
    </w:pPr>
    <w:rPr>
      <w:rFonts w:ascii="Times New Roman" w:hAnsi="Times New Roman" w:cs="Times New Roman"/>
      <w:sz w:val="32"/>
      <w:szCs w:val="32"/>
    </w:rPr>
  </w:style>
  <w:style w:type="character" w:customStyle="1" w:styleId="130">
    <w:name w:val="称呼 字符"/>
    <w:basedOn w:val="37"/>
    <w:link w:val="14"/>
    <w:autoRedefine/>
    <w:qFormat/>
    <w:uiPriority w:val="99"/>
    <w:rPr>
      <w:rFonts w:asciiTheme="minorHAnsi" w:hAnsiTheme="minorHAnsi" w:eastAsiaTheme="minorEastAsia" w:cstheme="minorBidi"/>
      <w:kern w:val="2"/>
      <w:sz w:val="21"/>
      <w:szCs w:val="22"/>
    </w:rPr>
  </w:style>
  <w:style w:type="paragraph" w:customStyle="1" w:styleId="131">
    <w:name w:val="xl63"/>
    <w:basedOn w:val="1"/>
    <w:autoRedefine/>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center"/>
      <w:textAlignment w:val="center"/>
    </w:pPr>
    <w:rPr>
      <w:rFonts w:ascii="宋体" w:hAnsi="宋体"/>
      <w:kern w:val="0"/>
      <w:sz w:val="24"/>
      <w:szCs w:val="24"/>
    </w:rPr>
  </w:style>
  <w:style w:type="paragraph" w:customStyle="1" w:styleId="132">
    <w:name w:val="xl64"/>
    <w:basedOn w:val="1"/>
    <w:autoRedefine/>
    <w:qFormat/>
    <w:uiPriority w:val="0"/>
    <w:pPr>
      <w:widowControl/>
      <w:pBdr>
        <w:top w:val="single" w:color="auto" w:sz="4" w:space="0"/>
        <w:left w:val="single" w:color="auto" w:sz="4" w:space="0"/>
        <w:bottom w:val="single" w:color="auto" w:sz="4" w:space="0"/>
        <w:right w:val="single" w:color="auto" w:sz="4" w:space="0"/>
      </w:pBdr>
      <w:adjustRightInd/>
      <w:snapToGrid/>
      <w:spacing w:before="100" w:beforeAutospacing="1" w:after="100" w:afterAutospacing="1" w:line="240" w:lineRule="auto"/>
      <w:ind w:firstLine="0" w:firstLineChars="0"/>
      <w:jc w:val="center"/>
      <w:textAlignment w:val="center"/>
    </w:pPr>
    <w:rPr>
      <w:rFonts w:ascii="宋体" w:hAnsi="宋体"/>
      <w:kern w:val="0"/>
      <w:sz w:val="24"/>
      <w:szCs w:val="24"/>
    </w:rPr>
  </w:style>
  <w:style w:type="paragraph" w:customStyle="1" w:styleId="133">
    <w:name w:val="font7"/>
    <w:basedOn w:val="1"/>
    <w:autoRedefine/>
    <w:qFormat/>
    <w:uiPriority w:val="0"/>
    <w:pPr>
      <w:widowControl/>
      <w:adjustRightInd/>
      <w:snapToGrid/>
      <w:spacing w:before="100" w:beforeAutospacing="1" w:after="100" w:afterAutospacing="1" w:line="240" w:lineRule="auto"/>
      <w:ind w:firstLine="0" w:firstLineChars="0"/>
      <w:jc w:val="left"/>
    </w:pPr>
    <w:rPr>
      <w:rFonts w:ascii="微软雅黑" w:hAnsi="微软雅黑" w:eastAsia="微软雅黑"/>
      <w:color w:val="000000"/>
      <w:kern w:val="0"/>
      <w:sz w:val="21"/>
      <w:szCs w:val="21"/>
    </w:rPr>
  </w:style>
  <w:style w:type="character" w:customStyle="1" w:styleId="134">
    <w:name w:val="日期 字符"/>
    <w:basedOn w:val="37"/>
    <w:link w:val="20"/>
    <w:autoRedefine/>
    <w:semiHidden/>
    <w:qFormat/>
    <w:uiPriority w:val="99"/>
    <w:rPr>
      <w:rFonts w:ascii="Calibri" w:hAnsi="Calibri" w:cs="宋体"/>
      <w:kern w:val="2"/>
      <w:sz w:val="28"/>
      <w:szCs w:val="22"/>
    </w:rPr>
  </w:style>
  <w:style w:type="paragraph" w:customStyle="1" w:styleId="135">
    <w:name w:val="msolistparagraph"/>
    <w:basedOn w:val="1"/>
    <w:autoRedefine/>
    <w:qFormat/>
    <w:uiPriority w:val="0"/>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pPr>
    <w:rPr>
      <w:rFonts w:hint="default" w:ascii="Calibri" w:hAnsi="Calibri" w:eastAsia="宋体" w:cs="宋体"/>
      <w:snapToGrid/>
      <w:kern w:val="2"/>
      <w:sz w:val="28"/>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4" Type="http://schemas.openxmlformats.org/officeDocument/2006/relationships/fontTable" Target="fontTable.xml"/><Relationship Id="rId53" Type="http://schemas.openxmlformats.org/officeDocument/2006/relationships/customXml" Target="../customXml/item19.xml"/><Relationship Id="rId52" Type="http://schemas.openxmlformats.org/officeDocument/2006/relationships/customXml" Target="../customXml/item18.xml"/><Relationship Id="rId51" Type="http://schemas.openxmlformats.org/officeDocument/2006/relationships/customXml" Target="../customXml/item17.xml"/><Relationship Id="rId50" Type="http://schemas.openxmlformats.org/officeDocument/2006/relationships/customXml" Target="../customXml/item16.xml"/><Relationship Id="rId5" Type="http://schemas.openxmlformats.org/officeDocument/2006/relationships/header" Target="header1.xml"/><Relationship Id="rId49" Type="http://schemas.openxmlformats.org/officeDocument/2006/relationships/customXml" Target="../customXml/item15.xml"/><Relationship Id="rId48" Type="http://schemas.openxmlformats.org/officeDocument/2006/relationships/customXml" Target="../customXml/item14.xml"/><Relationship Id="rId47" Type="http://schemas.openxmlformats.org/officeDocument/2006/relationships/customXml" Target="../customXml/item13.xml"/><Relationship Id="rId46" Type="http://schemas.openxmlformats.org/officeDocument/2006/relationships/customXml" Target="../customXml/item12.xml"/><Relationship Id="rId45" Type="http://schemas.openxmlformats.org/officeDocument/2006/relationships/customXml" Target="../customXml/item11.xml"/><Relationship Id="rId44" Type="http://schemas.openxmlformats.org/officeDocument/2006/relationships/customXml" Target="../customXml/item10.xml"/><Relationship Id="rId43" Type="http://schemas.openxmlformats.org/officeDocument/2006/relationships/customXml" Target="../customXml/item9.xml"/><Relationship Id="rId42" Type="http://schemas.openxmlformats.org/officeDocument/2006/relationships/customXml" Target="../customXml/item8.xml"/><Relationship Id="rId41" Type="http://schemas.openxmlformats.org/officeDocument/2006/relationships/customXml" Target="../customXml/item7.xml"/><Relationship Id="rId40" Type="http://schemas.openxmlformats.org/officeDocument/2006/relationships/customXml" Target="../customXml/item6.xml"/><Relationship Id="rId4" Type="http://schemas.openxmlformats.org/officeDocument/2006/relationships/endnotes" Target="endnotes.xml"/><Relationship Id="rId39" Type="http://schemas.openxmlformats.org/officeDocument/2006/relationships/customXml" Target="../customXml/item5.xml"/><Relationship Id="rId38" Type="http://schemas.openxmlformats.org/officeDocument/2006/relationships/customXml" Target="../customXml/item4.xml"/><Relationship Id="rId37" Type="http://schemas.openxmlformats.org/officeDocument/2006/relationships/customXml" Target="../customXml/item3.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2.jpeg"/><Relationship Id="rId32" Type="http://schemas.openxmlformats.org/officeDocument/2006/relationships/image" Target="media/image11.jpeg"/><Relationship Id="rId31" Type="http://schemas.openxmlformats.org/officeDocument/2006/relationships/image" Target="media/image10.jpeg"/><Relationship Id="rId30" Type="http://schemas.openxmlformats.org/officeDocument/2006/relationships/image" Target="media/image9.jpeg"/><Relationship Id="rId3" Type="http://schemas.openxmlformats.org/officeDocument/2006/relationships/footnotes" Target="footnotes.xml"/><Relationship Id="rId29" Type="http://schemas.openxmlformats.org/officeDocument/2006/relationships/image" Target="media/image8.jpeg"/><Relationship Id="rId28" Type="http://schemas.openxmlformats.org/officeDocument/2006/relationships/image" Target="media/image7.jpeg"/><Relationship Id="rId27" Type="http://schemas.openxmlformats.org/officeDocument/2006/relationships/image" Target="media/image6.jpeg"/><Relationship Id="rId26" Type="http://schemas.openxmlformats.org/officeDocument/2006/relationships/image" Target="media/image5.jpeg"/><Relationship Id="rId25" Type="http://schemas.openxmlformats.org/officeDocument/2006/relationships/image" Target="media/image4.jpeg"/><Relationship Id="rId24" Type="http://schemas.openxmlformats.org/officeDocument/2006/relationships/image" Target="media/image3.jpeg"/><Relationship Id="rId23" Type="http://schemas.openxmlformats.org/officeDocument/2006/relationships/image" Target="media/image2.jpeg"/><Relationship Id="rId22" Type="http://schemas.openxmlformats.org/officeDocument/2006/relationships/image" Target="media/image1.jpeg"/><Relationship Id="rId21" Type="http://schemas.openxmlformats.org/officeDocument/2006/relationships/theme" Target="theme/theme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mcd:customData xmlns="http://www.wps.cn/android/officeDocument/2013/mofficeCustomData" xmlns:mcd="http://www.wps.cn/android/officeDocument/2013/mofficeCustomData" version="2">
  <mcd:comments/>
</mcd:customData>
</file>

<file path=customXml/item7.xml><?xml version="1.0" encoding="utf-8"?>
<mcd:customData xmlns="http://www.wps.cn/android/officeDocument/2013/mofficeCustomData" xmlns:mcd="http://www.wps.cn/android/officeDocument/2013/mofficeCustomData" version="2">
  <mcd:comments/>
</mcd:customData>
</file>

<file path=customXml/item8.xml><?xml version="1.0" encoding="utf-8"?>
<mcd:customData xmlns="http://www.wps.cn/android/officeDocument/2013/mofficeCustomData" xmlns:mcd="http://www.wps.cn/android/officeDocument/2013/mofficeCustomData" version="2">
  <mcd:comments/>
</mcd:customData>
</file>

<file path=customXml/item9.xml><?xml version="1.0" encoding="utf-8"?>
<mcd:customData xmlns="http://www.wps.cn/android/officeDocument/2013/mofficeCustomData" xmlns:mcd="http://www.wps.cn/android/officeDocument/2013/mofficeCustomData" version="2">
  <mcd:comments/>
</mcd:customData>
</file>

<file path=customXml/item10.xml><?xml version="1.0" encoding="utf-8"?>
<mcd:customData xmlns="http://www.wps.cn/android/officeDocument/2013/mofficeCustomData" xmlns:mcd="http://www.wps.cn/android/officeDocument/2013/mofficeCustomData" version="2">
  <mcd:comments/>
</mcd:customData>
</file>

<file path=customXml/item11.xml><?xml version="1.0" encoding="utf-8"?>
<b:Sources xmlns:b="http://schemas.openxmlformats.org/officeDocument/2006/bibliography" xmlns="http://schemas.openxmlformats.org/officeDocument/2006/bibliography" SelectedStyle="\APASixthEditionOfficeOnline.xsl" StyleName="APA" Version="6"/>
</file>

<file path=customXml/item12.xml><?xml version="1.0" encoding="utf-8"?>
<mcd:customData xmlns="http://www.wps.cn/android/officeDocument/2013/mofficeCustomData" xmlns:mcd="http://www.wps.cn/android/officeDocument/2013/mofficeCustomData" version="2">
  <mcd:comments/>
</mcd:customData>
</file>

<file path=customXml/item13.xml><?xml version="1.0" encoding="utf-8"?>
<mcd:customData xmlns="http://www.wps.cn/android/officeDocument/2013/mofficeCustomData" xmlns:mcd="http://www.wps.cn/android/officeDocument/2013/mofficeCustomData" version="2">
  <mcd:comments/>
</mcd:customData>
</file>

<file path=customXml/item14.xml><?xml version="1.0" encoding="utf-8"?>
<mcd:customData xmlns="http://www.wps.cn/android/officeDocument/2013/mofficeCustomData" xmlns:mcd="http://www.wps.cn/android/officeDocument/2013/mofficeCustomData" version="2">
  <mcd:comments/>
</mcd:customData>
</file>

<file path=customXml/item15.xml><?xml version="1.0" encoding="utf-8"?>
<mcd:customData xmlns="http://www.wps.cn/android/officeDocument/2013/mofficeCustomData" xmlns:mcd="http://www.wps.cn/android/officeDocument/2013/mofficeCustomData" version="2">
  <mcd:comments/>
</mcd:customData>
</file>

<file path=customXml/item16.xml><?xml version="1.0" encoding="utf-8"?>
<mcd:customData xmlns="http://www.wps.cn/android/officeDocument/2013/mofficeCustomData" xmlns:mcd="http://www.wps.cn/android/officeDocument/2013/mofficeCustomData" version="2">
  <mcd:comments/>
</mcd:customData>
</file>

<file path=customXml/item17.xml><?xml version="1.0" encoding="utf-8"?>
<mcd:customData xmlns="http://www.wps.cn/android/officeDocument/2013/mofficeCustomData" xmlns:mcd="http://www.wps.cn/android/officeDocument/2013/mofficeCustomData" version="2">
  <mcd:comments/>
</mcd:customData>
</file>

<file path=customXml/item18.xml><?xml version="1.0" encoding="utf-8"?>
<mcd:customData xmlns="http://www.wps.cn/android/officeDocument/2013/mofficeCustomData" xmlns:mcd="http://www.wps.cn/android/officeDocument/2013/mofficeCustomData" version="2">
  <mcd:comments/>
</mcd:customData>
</file>

<file path=customXml/item19.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403951-E546-4487-A76C-E441655A8206}">
  <ds:schemaRefs/>
</ds:datastoreItem>
</file>

<file path=customXml/itemProps3.xml><?xml version="1.0" encoding="utf-8"?>
<ds:datastoreItem xmlns:ds="http://schemas.openxmlformats.org/officeDocument/2006/customXml" ds:itemID="{4635EC45-9454-4359-AF85-9C10FE5E0160}">
  <ds:schemaRefs/>
</ds:datastoreItem>
</file>

<file path=customXml/itemProps4.xml><?xml version="1.0" encoding="utf-8"?>
<ds:datastoreItem xmlns:ds="http://schemas.openxmlformats.org/officeDocument/2006/customXml" ds:itemID="{9B23442E-B1AE-45BA-865F-5A70D3B64FC1}">
  <ds:schemaRefs/>
</ds:datastoreItem>
</file>

<file path=customXml/itemProps5.xml><?xml version="1.0" encoding="utf-8"?>
<ds:datastoreItem xmlns:ds="http://schemas.openxmlformats.org/officeDocument/2006/customXml" ds:itemID="{37901167-0D11-4D73-B570-1599FF672B5D}">
  <ds:schemaRefs/>
</ds:datastoreItem>
</file>

<file path=customXml/itemProps6.xml><?xml version="1.0" encoding="utf-8"?>
<ds:datastoreItem xmlns:ds="http://schemas.openxmlformats.org/officeDocument/2006/customXml" ds:itemID="{B2A4B098-F484-42CC-920F-89676C5E1919}">
  <ds:schemaRefs/>
</ds:datastoreItem>
</file>

<file path=customXml/itemProps7.xml><?xml version="1.0" encoding="utf-8"?>
<ds:datastoreItem xmlns:ds="http://schemas.openxmlformats.org/officeDocument/2006/customXml" ds:itemID="{B7B48A3A-3C2C-4D69-8735-10EE1E484AFD}">
  <ds:schemaRefs/>
</ds:datastoreItem>
</file>

<file path=customXml/itemProps8.xml><?xml version="1.0" encoding="utf-8"?>
<ds:datastoreItem xmlns:ds="http://schemas.openxmlformats.org/officeDocument/2006/customXml" ds:itemID="{7FC62491-E084-4454-B3B2-E0C6E9A44246}">
  <ds:schemaRefs/>
</ds:datastoreItem>
</file>

<file path=customXml/itemProps9.xml><?xml version="1.0" encoding="utf-8"?>
<ds:datastoreItem xmlns:ds="http://schemas.openxmlformats.org/officeDocument/2006/customXml" ds:itemID="{78A25008-08B2-48C7-A316-DF332176E467}">
  <ds:schemaRefs/>
</ds:datastoreItem>
</file>

<file path=customXml/itemProps10.xml><?xml version="1.0" encoding="utf-8"?>
<ds:datastoreItem xmlns:ds="http://schemas.openxmlformats.org/officeDocument/2006/customXml" ds:itemID="{5D30CED5-DFF5-4010-8ABA-CFCF0614E36F}">
  <ds:schemaRefs/>
</ds:datastoreItem>
</file>

<file path=customXml/itemProps11.xml><?xml version="1.0" encoding="utf-8"?>
<ds:datastoreItem xmlns:ds="http://schemas.openxmlformats.org/officeDocument/2006/customXml" ds:itemID="{DF0B17C2-1782-4047-AA05-8942FEFE627C}">
  <ds:schemaRefs/>
</ds:datastoreItem>
</file>

<file path=customXml/itemProps12.xml><?xml version="1.0" encoding="utf-8"?>
<ds:datastoreItem xmlns:ds="http://schemas.openxmlformats.org/officeDocument/2006/customXml" ds:itemID="{FE688EF9-52E7-4E3D-A5A0-1B5EB23EF41C}">
  <ds:schemaRefs/>
</ds:datastoreItem>
</file>

<file path=customXml/itemProps13.xml><?xml version="1.0" encoding="utf-8"?>
<ds:datastoreItem xmlns:ds="http://schemas.openxmlformats.org/officeDocument/2006/customXml" ds:itemID="{B5A8665E-6D03-45F5-BF4B-6934ADE55355}">
  <ds:schemaRefs/>
</ds:datastoreItem>
</file>

<file path=customXml/itemProps14.xml><?xml version="1.0" encoding="utf-8"?>
<ds:datastoreItem xmlns:ds="http://schemas.openxmlformats.org/officeDocument/2006/customXml" ds:itemID="{C4A87EF2-627E-489E-9A77-28EE019141E7}">
  <ds:schemaRefs/>
</ds:datastoreItem>
</file>

<file path=customXml/itemProps15.xml><?xml version="1.0" encoding="utf-8"?>
<ds:datastoreItem xmlns:ds="http://schemas.openxmlformats.org/officeDocument/2006/customXml" ds:itemID="{AEC480E2-7976-41F2-B6B8-394E49D14FC1}">
  <ds:schemaRefs/>
</ds:datastoreItem>
</file>

<file path=customXml/itemProps16.xml><?xml version="1.0" encoding="utf-8"?>
<ds:datastoreItem xmlns:ds="http://schemas.openxmlformats.org/officeDocument/2006/customXml" ds:itemID="{0BBFB5D0-D81E-46ED-B671-DB8A0AE47BAE}">
  <ds:schemaRefs/>
</ds:datastoreItem>
</file>

<file path=customXml/itemProps17.xml><?xml version="1.0" encoding="utf-8"?>
<ds:datastoreItem xmlns:ds="http://schemas.openxmlformats.org/officeDocument/2006/customXml" ds:itemID="{FD9A740C-E430-44BA-AF9C-C0BA57BA810F}">
  <ds:schemaRefs/>
</ds:datastoreItem>
</file>

<file path=customXml/itemProps18.xml><?xml version="1.0" encoding="utf-8"?>
<ds:datastoreItem xmlns:ds="http://schemas.openxmlformats.org/officeDocument/2006/customXml" ds:itemID="{6F191DA6-27A3-449D-A7C2-0AD4D15A347C}">
  <ds:schemaRefs/>
</ds:datastoreItem>
</file>

<file path=customXml/itemProps19.xml><?xml version="1.0" encoding="utf-8"?>
<ds:datastoreItem xmlns:ds="http://schemas.openxmlformats.org/officeDocument/2006/customXml" ds:itemID="{64A6B845-14FA-4476-8666-51B5705688B0}">
  <ds:schemaRefs/>
</ds:datastoreItem>
</file>

<file path=docProps/app.xml><?xml version="1.0" encoding="utf-8"?>
<Properties xmlns="http://schemas.openxmlformats.org/officeDocument/2006/extended-properties" xmlns:vt="http://schemas.openxmlformats.org/officeDocument/2006/docPropsVTypes">
  <Template>Normal</Template>
  <Pages>116</Pages>
  <Words>20689</Words>
  <Characters>21392</Characters>
  <Lines>788</Lines>
  <Paragraphs>221</Paragraphs>
  <TotalTime>17</TotalTime>
  <ScaleCrop>false</ScaleCrop>
  <LinksUpToDate>false</LinksUpToDate>
  <CharactersWithSpaces>21542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2024-03-20T08:19:00Z</dcterms:created>
  <dc:creator>Gefüllt</dc:creator>
  <cp:lastModifiedBy>水木尧</cp:lastModifiedBy>
  <cp:lastPrinted>2023-12-20T07:13:00Z</cp:lastPrinted>
  <dcterms:modified xsi:type="dcterms:W3CDTF">2025-08-21T08:23:22Z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4B09584529B147F3ABDDFDB4EBDBED45_13</vt:lpwstr>
  </property>
  <property fmtid="{D5CDD505-2E9C-101B-9397-08002B2CF9AE}" pid="4" name="KSOTemplateDocerSaveRecord">
    <vt:lpwstr>eyJoZGlkIjoiYzNlZWQ1MmEyOTY0YTdlZjZiN2M4NGJmZmY4YWRmODAiLCJ1c2VySWQiOiIzNDIzNzYxMzYifQ==</vt:lpwstr>
  </property>
</Properties>
</file>