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eastAsia="方正小标宋简体"/>
          <w:sz w:val="72"/>
          <w:szCs w:val="72"/>
        </w:rPr>
      </w:pPr>
      <w:bookmarkStart w:id="1" w:name="_Toc15377193"/>
      <w:bookmarkStart w:id="2" w:name="_Toc15377425"/>
      <w:bookmarkStart w:id="3" w:name="_Toc15396597"/>
      <w:bookmarkStart w:id="4" w:name="_Toc15396475"/>
      <w:bookmarkStart w:id="5" w:name="_Toc15378441"/>
      <w:r>
        <w:rPr>
          <w:rFonts w:eastAsia="方正小标宋简体"/>
          <w:sz w:val="72"/>
          <w:szCs w:val="72"/>
        </w:rPr>
        <w:t>2021</w:t>
      </w:r>
      <w:r>
        <w:rPr>
          <w:rFonts w:hAnsi="方正小标宋简体" w:eastAsia="方正小标宋简体"/>
          <w:sz w:val="72"/>
          <w:szCs w:val="72"/>
        </w:rPr>
        <w:t>年度</w:t>
      </w:r>
      <w:bookmarkEnd w:id="1"/>
      <w:bookmarkEnd w:id="2"/>
      <w:bookmarkEnd w:id="3"/>
      <w:bookmarkEnd w:id="4"/>
      <w:bookmarkEnd w:id="5"/>
    </w:p>
    <w:p>
      <w:pPr>
        <w:adjustRightInd w:val="0"/>
        <w:snapToGrid w:val="0"/>
        <w:spacing w:line="360" w:lineRule="auto"/>
        <w:jc w:val="center"/>
        <w:outlineLvl w:val="0"/>
        <w:rPr>
          <w:rFonts w:eastAsia="方正小标宋简体"/>
          <w:sz w:val="72"/>
          <w:szCs w:val="72"/>
        </w:rPr>
      </w:pPr>
      <w:bookmarkStart w:id="6" w:name="_Toc15396598"/>
      <w:bookmarkStart w:id="7" w:name="_Toc15378442"/>
      <w:bookmarkStart w:id="8" w:name="_Toc15377194"/>
      <w:bookmarkStart w:id="9" w:name="_Toc15396476"/>
      <w:bookmarkStart w:id="10" w:name="_Toc15377426"/>
      <w:r>
        <w:rPr>
          <w:rFonts w:hAnsi="方正小标宋简体" w:eastAsia="方正小标宋简体"/>
          <w:sz w:val="72"/>
          <w:szCs w:val="72"/>
        </w:rPr>
        <w:t>盐边县</w:t>
      </w:r>
      <w:bookmarkEnd w:id="0"/>
      <w:bookmarkStart w:id="11" w:name="_Toc15306268"/>
      <w:r>
        <w:rPr>
          <w:rFonts w:hAnsi="方正小标宋简体" w:eastAsia="方正小标宋简体"/>
          <w:sz w:val="72"/>
          <w:szCs w:val="72"/>
        </w:rPr>
        <w:t>财政局（本级）单位决算</w:t>
      </w:r>
      <w:bookmarkEnd w:id="6"/>
      <w:bookmarkEnd w:id="7"/>
      <w:bookmarkEnd w:id="8"/>
      <w:bookmarkEnd w:id="9"/>
      <w:bookmarkEnd w:id="10"/>
      <w:bookmarkEnd w:id="11"/>
    </w:p>
    <w:p>
      <w:pPr>
        <w:widowControl/>
        <w:jc w:val="center"/>
        <w:rPr>
          <w:rFonts w:ascii="黑体" w:hAnsi="黑体" w:eastAsia="黑体" w:cstheme="minorBidi"/>
          <w:sz w:val="28"/>
          <w:szCs w:val="28"/>
        </w:rPr>
      </w:pPr>
      <w:r>
        <w:rPr>
          <w:rFonts w:ascii="方正小标宋简体" w:hAnsi="宋体" w:eastAsia="方正小标宋简体"/>
          <w:sz w:val="36"/>
          <w:szCs w:val="36"/>
        </w:rPr>
        <w:br w:type="page"/>
      </w:r>
      <w:r>
        <w:rPr>
          <w:rFonts w:hint="eastAsia" w:ascii="黑体" w:hAnsi="黑体" w:eastAsia="黑体"/>
          <w:sz w:val="48"/>
          <w:szCs w:val="48"/>
        </w:rPr>
        <w:t>目录</w:t>
      </w:r>
    </w:p>
    <w:p>
      <w:pPr>
        <w:pStyle w:val="11"/>
      </w:pPr>
      <w:r>
        <w:rPr>
          <w:rFonts w:hint="eastAsia"/>
        </w:rPr>
        <w:t>公开时间：2022年10月</w:t>
      </w:r>
      <w:r>
        <w:rPr>
          <w:rFonts w:hint="eastAsia"/>
          <w:lang w:val="en-US" w:eastAsia="zh-CN"/>
        </w:rPr>
        <w:t>25</w:t>
      </w:r>
      <w:r>
        <w:rPr>
          <w:rFonts w:hint="eastAsia"/>
        </w:rPr>
        <w:t>日</w:t>
      </w:r>
    </w:p>
    <w:sdt>
      <w:sdtPr>
        <w:rPr>
          <w:rFonts w:ascii="宋体" w:hAnsi="宋体"/>
          <w:kern w:val="0"/>
          <w:sz w:val="20"/>
          <w:szCs w:val="20"/>
        </w:rPr>
        <w:id w:val="147468515"/>
        <w:docPartObj>
          <w:docPartGallery w:val="Table of Contents"/>
          <w:docPartUnique/>
        </w:docPartObj>
      </w:sdtPr>
      <w:sdtEndPr>
        <w:rPr>
          <w:rFonts w:hint="eastAsia" w:ascii="仿宋_GB2312" w:hAnsi="仿宋_GB2312" w:eastAsia="仿宋_GB2312" w:cs="仿宋_GB2312"/>
          <w:kern w:val="0"/>
          <w:sz w:val="32"/>
          <w:szCs w:val="32"/>
        </w:rPr>
      </w:sdtEndPr>
      <w:sdtContent>
        <w:p>
          <w:pPr>
            <w:jc w:val="center"/>
          </w:pPr>
          <w:bookmarkStart w:id="12" w:name="_Toc15396599"/>
          <w:bookmarkStart w:id="13" w:name="_Toc15377196"/>
        </w:p>
        <w:p>
          <w:pPr>
            <w:pStyle w:val="31"/>
            <w:tabs>
              <w:tab w:val="right" w:leader="dot" w:pos="8306"/>
            </w:tabs>
            <w:spacing w:line="380" w:lineRule="exact"/>
            <w:rPr>
              <w:rFonts w:ascii="仿宋_GB2312" w:hAnsi="仿宋_GB2312" w:eastAsia="仿宋_GB2312" w:cs="仿宋_GB2312"/>
              <w:sz w:val="32"/>
              <w:szCs w:val="32"/>
            </w:rPr>
          </w:pPr>
          <w:r>
            <w:fldChar w:fldCharType="begin"/>
          </w:r>
          <w:r>
            <w:instrText xml:space="preserve"> HYPERLINK \l "_Toc32093_WPSOffice_Level1" </w:instrText>
          </w:r>
          <w:r>
            <w:fldChar w:fldCharType="separate"/>
          </w:r>
          <w:r>
            <w:rPr>
              <w:rFonts w:hint="eastAsia" w:ascii="仿宋_GB2312" w:hAnsi="仿宋_GB2312" w:eastAsia="仿宋_GB2312" w:cs="仿宋_GB2312"/>
              <w:b/>
              <w:bCs/>
              <w:sz w:val="32"/>
              <w:szCs w:val="32"/>
            </w:rPr>
            <w:t>第一部分 单位概况</w:t>
          </w:r>
          <w:r>
            <w:rPr>
              <w:rFonts w:hint="eastAsia" w:ascii="仿宋_GB2312" w:hAnsi="仿宋_GB2312" w:eastAsia="仿宋_GB2312" w:cs="仿宋_GB2312"/>
              <w:b/>
              <w:bCs/>
              <w:sz w:val="32"/>
              <w:szCs w:val="32"/>
            </w:rPr>
            <w:tab/>
          </w:r>
          <w:bookmarkStart w:id="14" w:name="_Toc32093_WPSOffice_Level1Page"/>
          <w:r>
            <w:rPr>
              <w:rFonts w:hint="eastAsia" w:ascii="仿宋_GB2312" w:hAnsi="仿宋_GB2312" w:eastAsia="仿宋_GB2312" w:cs="仿宋_GB2312"/>
              <w:b/>
              <w:bCs/>
              <w:sz w:val="32"/>
              <w:szCs w:val="32"/>
            </w:rPr>
            <w:t>3</w:t>
          </w:r>
          <w:bookmarkEnd w:id="14"/>
          <w:r>
            <w:rPr>
              <w:rFonts w:hint="eastAsia" w:ascii="仿宋_GB2312" w:hAnsi="仿宋_GB2312" w:eastAsia="仿宋_GB2312" w:cs="仿宋_GB2312"/>
              <w:b/>
              <w:bCs/>
              <w:sz w:val="32"/>
              <w:szCs w:val="32"/>
            </w:rPr>
            <w:fldChar w:fldCharType="end"/>
          </w:r>
        </w:p>
        <w:p>
          <w:pPr>
            <w:pStyle w:val="32"/>
            <w:tabs>
              <w:tab w:val="right" w:leader="dot" w:pos="8306"/>
            </w:tabs>
            <w:spacing w:line="380" w:lineRule="exact"/>
            <w:ind w:left="420"/>
            <w:rPr>
              <w:rFonts w:ascii="仿宋_GB2312" w:hAnsi="仿宋_GB2312" w:eastAsia="仿宋_GB2312" w:cs="仿宋_GB2312"/>
              <w:sz w:val="32"/>
              <w:szCs w:val="32"/>
            </w:rPr>
          </w:pPr>
          <w:r>
            <w:fldChar w:fldCharType="begin"/>
          </w:r>
          <w:r>
            <w:instrText xml:space="preserve"> HYPERLINK \l "_Toc31074_WPSOffice_Level2" </w:instrText>
          </w:r>
          <w:r>
            <w:fldChar w:fldCharType="separate"/>
          </w:r>
          <w:r>
            <w:rPr>
              <w:rFonts w:hint="eastAsia" w:ascii="仿宋_GB2312" w:hAnsi="仿宋_GB2312" w:eastAsia="仿宋_GB2312" w:cs="仿宋_GB2312"/>
              <w:sz w:val="32"/>
              <w:szCs w:val="32"/>
            </w:rPr>
            <w:t>一、 职能简介</w:t>
          </w:r>
          <w:r>
            <w:rPr>
              <w:rFonts w:hint="eastAsia" w:ascii="仿宋_GB2312" w:hAnsi="仿宋_GB2312" w:eastAsia="仿宋_GB2312" w:cs="仿宋_GB2312"/>
              <w:sz w:val="32"/>
              <w:szCs w:val="32"/>
            </w:rPr>
            <w:tab/>
          </w:r>
          <w:bookmarkStart w:id="15" w:name="_Toc31074_WPSOffice_Level2Page"/>
          <w:r>
            <w:rPr>
              <w:rFonts w:hint="eastAsia" w:ascii="仿宋_GB2312" w:hAnsi="仿宋_GB2312" w:eastAsia="仿宋_GB2312" w:cs="仿宋_GB2312"/>
              <w:sz w:val="32"/>
              <w:szCs w:val="32"/>
            </w:rPr>
            <w:t>3</w:t>
          </w:r>
          <w:bookmarkEnd w:id="15"/>
          <w:r>
            <w:rPr>
              <w:rFonts w:hint="eastAsia" w:ascii="仿宋_GB2312" w:hAnsi="仿宋_GB2312" w:eastAsia="仿宋_GB2312" w:cs="仿宋_GB2312"/>
              <w:sz w:val="32"/>
              <w:szCs w:val="32"/>
            </w:rPr>
            <w:fldChar w:fldCharType="end"/>
          </w:r>
        </w:p>
        <w:p>
          <w:pPr>
            <w:pStyle w:val="32"/>
            <w:tabs>
              <w:tab w:val="right" w:leader="dot" w:pos="8306"/>
            </w:tabs>
            <w:spacing w:line="380" w:lineRule="exact"/>
            <w:ind w:left="420"/>
            <w:rPr>
              <w:rFonts w:ascii="仿宋_GB2312" w:hAnsi="仿宋_GB2312" w:eastAsia="仿宋_GB2312" w:cs="仿宋_GB2312"/>
              <w:sz w:val="32"/>
              <w:szCs w:val="32"/>
            </w:rPr>
          </w:pPr>
          <w:r>
            <w:fldChar w:fldCharType="begin"/>
          </w:r>
          <w:r>
            <w:instrText xml:space="preserve"> HYPERLINK \l "_Toc1969_WPSOffice_Level2" </w:instrText>
          </w:r>
          <w:r>
            <w:fldChar w:fldCharType="separate"/>
          </w:r>
          <w:r>
            <w:rPr>
              <w:rFonts w:hint="eastAsia" w:ascii="仿宋_GB2312" w:hAnsi="仿宋_GB2312" w:eastAsia="仿宋_GB2312" w:cs="仿宋_GB2312"/>
              <w:sz w:val="32"/>
              <w:szCs w:val="32"/>
            </w:rPr>
            <w:t>二、2021年重点工作完成情况</w:t>
          </w:r>
          <w:r>
            <w:rPr>
              <w:rFonts w:hint="eastAsia" w:ascii="仿宋_GB2312" w:hAnsi="仿宋_GB2312" w:eastAsia="仿宋_GB2312" w:cs="仿宋_GB2312"/>
              <w:sz w:val="32"/>
              <w:szCs w:val="32"/>
            </w:rPr>
            <w:tab/>
          </w:r>
          <w:bookmarkStart w:id="16" w:name="_Toc1969_WPSOffice_Level2Page"/>
          <w:r>
            <w:rPr>
              <w:rFonts w:hint="eastAsia" w:ascii="仿宋_GB2312" w:hAnsi="仿宋_GB2312" w:eastAsia="仿宋_GB2312" w:cs="仿宋_GB2312"/>
              <w:sz w:val="32"/>
              <w:szCs w:val="32"/>
            </w:rPr>
            <w:t>8</w:t>
          </w:r>
          <w:bookmarkEnd w:id="16"/>
          <w:r>
            <w:rPr>
              <w:rFonts w:hint="eastAsia" w:ascii="仿宋_GB2312" w:hAnsi="仿宋_GB2312" w:eastAsia="仿宋_GB2312" w:cs="仿宋_GB2312"/>
              <w:sz w:val="32"/>
              <w:szCs w:val="32"/>
            </w:rPr>
            <w:fldChar w:fldCharType="end"/>
          </w:r>
        </w:p>
        <w:p>
          <w:pPr>
            <w:pStyle w:val="31"/>
            <w:tabs>
              <w:tab w:val="right" w:leader="dot" w:pos="8306"/>
            </w:tabs>
            <w:spacing w:line="380" w:lineRule="exact"/>
            <w:rPr>
              <w:rFonts w:ascii="仿宋_GB2312" w:hAnsi="仿宋_GB2312" w:eastAsia="仿宋_GB2312" w:cs="仿宋_GB2312"/>
              <w:sz w:val="32"/>
              <w:szCs w:val="32"/>
            </w:rPr>
          </w:pPr>
          <w:r>
            <w:fldChar w:fldCharType="begin"/>
          </w:r>
          <w:r>
            <w:instrText xml:space="preserve"> HYPERLINK \l "_Toc31074_WPSOffice_Level1" </w:instrText>
          </w:r>
          <w:r>
            <w:fldChar w:fldCharType="separate"/>
          </w:r>
          <w:r>
            <w:rPr>
              <w:rFonts w:hint="eastAsia" w:ascii="仿宋_GB2312" w:hAnsi="仿宋_GB2312" w:eastAsia="仿宋_GB2312" w:cs="仿宋_GB2312"/>
              <w:b/>
              <w:bCs/>
              <w:sz w:val="32"/>
              <w:szCs w:val="32"/>
            </w:rPr>
            <w:t>第二部分 2021年度单位决算情况说明</w:t>
          </w:r>
          <w:r>
            <w:rPr>
              <w:rFonts w:hint="eastAsia" w:ascii="仿宋_GB2312" w:hAnsi="仿宋_GB2312" w:eastAsia="仿宋_GB2312" w:cs="仿宋_GB2312"/>
              <w:b/>
              <w:bCs/>
              <w:sz w:val="32"/>
              <w:szCs w:val="32"/>
            </w:rPr>
            <w:tab/>
          </w:r>
          <w:bookmarkStart w:id="17" w:name="_Toc31074_WPSOffice_Level1Page"/>
          <w:r>
            <w:rPr>
              <w:rFonts w:hint="eastAsia" w:ascii="仿宋_GB2312" w:hAnsi="仿宋_GB2312" w:eastAsia="仿宋_GB2312" w:cs="仿宋_GB2312"/>
              <w:b/>
              <w:bCs/>
              <w:sz w:val="32"/>
              <w:szCs w:val="32"/>
            </w:rPr>
            <w:t>1</w:t>
          </w:r>
          <w:bookmarkEnd w:id="17"/>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fldChar w:fldCharType="end"/>
          </w:r>
        </w:p>
        <w:p>
          <w:pPr>
            <w:pStyle w:val="32"/>
            <w:tabs>
              <w:tab w:val="right" w:leader="dot" w:pos="8306"/>
            </w:tabs>
            <w:spacing w:line="380" w:lineRule="exact"/>
            <w:ind w:left="420"/>
            <w:rPr>
              <w:rFonts w:ascii="仿宋_GB2312" w:hAnsi="仿宋_GB2312" w:eastAsia="仿宋_GB2312" w:cs="仿宋_GB2312"/>
              <w:sz w:val="32"/>
              <w:szCs w:val="32"/>
            </w:rPr>
          </w:pPr>
          <w:r>
            <w:fldChar w:fldCharType="begin"/>
          </w:r>
          <w:r>
            <w:instrText xml:space="preserve"> HYPERLINK \l "_Toc22477_WPSOffice_Level2" </w:instrText>
          </w:r>
          <w:r>
            <w:fldChar w:fldCharType="separate"/>
          </w:r>
          <w:r>
            <w:rPr>
              <w:rFonts w:hint="eastAsia" w:ascii="仿宋_GB2312" w:hAnsi="仿宋_GB2312" w:eastAsia="仿宋_GB2312" w:cs="仿宋_GB2312"/>
              <w:sz w:val="32"/>
              <w:szCs w:val="32"/>
            </w:rPr>
            <w:t>一、 收入支出决算总体情况说明</w:t>
          </w:r>
          <w:r>
            <w:rPr>
              <w:rFonts w:hint="eastAsia" w:ascii="仿宋_GB2312" w:hAnsi="仿宋_GB2312" w:eastAsia="仿宋_GB2312" w:cs="仿宋_GB2312"/>
              <w:sz w:val="32"/>
              <w:szCs w:val="32"/>
            </w:rPr>
            <w:tab/>
          </w:r>
          <w:bookmarkStart w:id="18" w:name="_Toc22477_WPSOffice_Level2Page"/>
          <w:r>
            <w:rPr>
              <w:rFonts w:hint="eastAsia" w:ascii="仿宋_GB2312" w:hAnsi="仿宋_GB2312" w:eastAsia="仿宋_GB2312" w:cs="仿宋_GB2312"/>
              <w:sz w:val="32"/>
              <w:szCs w:val="32"/>
            </w:rPr>
            <w:t>1</w:t>
          </w:r>
          <w:bookmarkEnd w:id="18"/>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fldChar w:fldCharType="end"/>
          </w:r>
        </w:p>
        <w:p>
          <w:pPr>
            <w:pStyle w:val="32"/>
            <w:tabs>
              <w:tab w:val="right" w:leader="dot" w:pos="8306"/>
            </w:tabs>
            <w:spacing w:line="380" w:lineRule="exact"/>
            <w:ind w:left="420"/>
            <w:rPr>
              <w:rFonts w:ascii="仿宋_GB2312" w:hAnsi="仿宋_GB2312" w:eastAsia="仿宋_GB2312" w:cs="仿宋_GB2312"/>
              <w:sz w:val="32"/>
              <w:szCs w:val="32"/>
            </w:rPr>
          </w:pPr>
          <w:r>
            <w:fldChar w:fldCharType="begin"/>
          </w:r>
          <w:r>
            <w:instrText xml:space="preserve"> HYPERLINK \l "_Toc13074_WPSOffice_Level2" </w:instrText>
          </w:r>
          <w:r>
            <w:fldChar w:fldCharType="separate"/>
          </w:r>
          <w:r>
            <w:rPr>
              <w:rFonts w:hint="eastAsia" w:ascii="仿宋_GB2312" w:hAnsi="仿宋_GB2312" w:eastAsia="仿宋_GB2312" w:cs="仿宋_GB2312"/>
              <w:sz w:val="32"/>
              <w:szCs w:val="32"/>
            </w:rPr>
            <w:t>二、 收入决算情况说明</w:t>
          </w:r>
          <w:r>
            <w:rPr>
              <w:rFonts w:hint="eastAsia" w:ascii="仿宋_GB2312" w:hAnsi="仿宋_GB2312" w:eastAsia="仿宋_GB2312" w:cs="仿宋_GB2312"/>
              <w:sz w:val="32"/>
              <w:szCs w:val="32"/>
            </w:rPr>
            <w:tab/>
          </w:r>
          <w:bookmarkStart w:id="19" w:name="_Toc13074_WPSOffice_Level2Page"/>
          <w:r>
            <w:rPr>
              <w:rFonts w:hint="eastAsia" w:ascii="仿宋_GB2312" w:hAnsi="仿宋_GB2312" w:eastAsia="仿宋_GB2312" w:cs="仿宋_GB2312"/>
              <w:sz w:val="32"/>
              <w:szCs w:val="32"/>
            </w:rPr>
            <w:t>1</w:t>
          </w:r>
          <w:bookmarkEnd w:id="19"/>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fldChar w:fldCharType="end"/>
          </w:r>
        </w:p>
        <w:p>
          <w:pPr>
            <w:pStyle w:val="32"/>
            <w:tabs>
              <w:tab w:val="right" w:leader="dot" w:pos="8306"/>
            </w:tabs>
            <w:spacing w:line="380" w:lineRule="exact"/>
            <w:ind w:left="420"/>
            <w:rPr>
              <w:rFonts w:ascii="仿宋_GB2312" w:hAnsi="仿宋_GB2312" w:eastAsia="仿宋_GB2312" w:cs="仿宋_GB2312"/>
              <w:sz w:val="32"/>
              <w:szCs w:val="32"/>
            </w:rPr>
          </w:pPr>
          <w:r>
            <w:fldChar w:fldCharType="begin"/>
          </w:r>
          <w:r>
            <w:instrText xml:space="preserve"> HYPERLINK \l "_Toc18534_WPSOffice_Level2" </w:instrText>
          </w:r>
          <w:r>
            <w:fldChar w:fldCharType="separate"/>
          </w:r>
          <w:r>
            <w:rPr>
              <w:rFonts w:hint="eastAsia" w:ascii="仿宋_GB2312" w:hAnsi="仿宋_GB2312" w:eastAsia="仿宋_GB2312" w:cs="仿宋_GB2312"/>
              <w:sz w:val="32"/>
              <w:szCs w:val="32"/>
            </w:rPr>
            <w:t>三、 支出决算情况说明</w:t>
          </w:r>
          <w:r>
            <w:rPr>
              <w:rFonts w:hint="eastAsia" w:ascii="仿宋_GB2312" w:hAnsi="仿宋_GB2312" w:eastAsia="仿宋_GB2312" w:cs="仿宋_GB2312"/>
              <w:sz w:val="32"/>
              <w:szCs w:val="32"/>
            </w:rPr>
            <w:tab/>
          </w:r>
          <w:bookmarkStart w:id="20" w:name="_Toc18534_WPSOffice_Level2Page"/>
          <w:r>
            <w:rPr>
              <w:rFonts w:hint="eastAsia" w:ascii="仿宋_GB2312" w:hAnsi="仿宋_GB2312" w:eastAsia="仿宋_GB2312" w:cs="仿宋_GB2312"/>
              <w:sz w:val="32"/>
              <w:szCs w:val="32"/>
            </w:rPr>
            <w:t>1</w:t>
          </w:r>
          <w:bookmarkEnd w:id="20"/>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fldChar w:fldCharType="end"/>
          </w:r>
        </w:p>
        <w:p>
          <w:pPr>
            <w:pStyle w:val="32"/>
            <w:tabs>
              <w:tab w:val="right" w:leader="dot" w:pos="8306"/>
            </w:tabs>
            <w:spacing w:line="380" w:lineRule="exact"/>
            <w:ind w:left="420"/>
            <w:rPr>
              <w:rFonts w:ascii="仿宋_GB2312" w:hAnsi="仿宋_GB2312" w:eastAsia="仿宋_GB2312" w:cs="仿宋_GB2312"/>
              <w:sz w:val="32"/>
              <w:szCs w:val="32"/>
            </w:rPr>
          </w:pPr>
          <w:r>
            <w:fldChar w:fldCharType="begin"/>
          </w:r>
          <w:r>
            <w:instrText xml:space="preserve"> HYPERLINK \l "_Toc13618_WPSOffice_Level2" </w:instrText>
          </w:r>
          <w:r>
            <w:fldChar w:fldCharType="separate"/>
          </w:r>
          <w:r>
            <w:rPr>
              <w:rFonts w:hint="eastAsia" w:ascii="仿宋_GB2312" w:hAnsi="仿宋_GB2312" w:eastAsia="仿宋_GB2312" w:cs="仿宋_GB2312"/>
              <w:sz w:val="32"/>
              <w:szCs w:val="32"/>
            </w:rPr>
            <w:t>四、财政拨款收入支出决算总体情况说明</w:t>
          </w:r>
          <w:r>
            <w:rPr>
              <w:rFonts w:hint="eastAsia" w:ascii="仿宋_GB2312" w:hAnsi="仿宋_GB2312" w:eastAsia="仿宋_GB2312" w:cs="仿宋_GB2312"/>
              <w:sz w:val="32"/>
              <w:szCs w:val="32"/>
            </w:rPr>
            <w:tab/>
          </w:r>
          <w:bookmarkStart w:id="21" w:name="_Toc13618_WPSOffice_Level2Page"/>
          <w:r>
            <w:rPr>
              <w:rFonts w:hint="eastAsia" w:ascii="仿宋_GB2312" w:hAnsi="仿宋_GB2312" w:eastAsia="仿宋_GB2312" w:cs="仿宋_GB2312"/>
              <w:sz w:val="32"/>
              <w:szCs w:val="32"/>
            </w:rPr>
            <w:t>1</w:t>
          </w:r>
          <w:bookmarkEnd w:id="21"/>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fldChar w:fldCharType="end"/>
          </w:r>
        </w:p>
        <w:p>
          <w:pPr>
            <w:pStyle w:val="32"/>
            <w:tabs>
              <w:tab w:val="right" w:leader="dot" w:pos="8306"/>
            </w:tabs>
            <w:spacing w:line="380" w:lineRule="exact"/>
            <w:ind w:left="420"/>
            <w:rPr>
              <w:rFonts w:ascii="仿宋_GB2312" w:hAnsi="仿宋_GB2312" w:eastAsia="仿宋_GB2312" w:cs="仿宋_GB2312"/>
              <w:sz w:val="32"/>
              <w:szCs w:val="32"/>
            </w:rPr>
          </w:pPr>
          <w:r>
            <w:fldChar w:fldCharType="begin"/>
          </w:r>
          <w:r>
            <w:instrText xml:space="preserve"> HYPERLINK \l "_Toc16872_WPSOffice_Level2" </w:instrText>
          </w:r>
          <w:r>
            <w:fldChar w:fldCharType="separate"/>
          </w:r>
          <w:r>
            <w:rPr>
              <w:rFonts w:hint="eastAsia" w:ascii="仿宋_GB2312" w:hAnsi="仿宋_GB2312" w:eastAsia="仿宋_GB2312" w:cs="仿宋_GB2312"/>
              <w:sz w:val="32"/>
              <w:szCs w:val="32"/>
            </w:rPr>
            <w:t>五、一般公共预算财政拨款支出决算情况说明</w:t>
          </w:r>
          <w:r>
            <w:rPr>
              <w:rFonts w:hint="eastAsia" w:ascii="仿宋_GB2312" w:hAnsi="仿宋_GB2312" w:eastAsia="仿宋_GB2312" w:cs="仿宋_GB2312"/>
              <w:sz w:val="32"/>
              <w:szCs w:val="32"/>
            </w:rPr>
            <w:tab/>
          </w:r>
          <w:bookmarkStart w:id="22" w:name="_Toc16872_WPSOffice_Level2Page"/>
          <w:r>
            <w:rPr>
              <w:rFonts w:hint="eastAsia" w:ascii="仿宋_GB2312" w:hAnsi="仿宋_GB2312" w:eastAsia="仿宋_GB2312" w:cs="仿宋_GB2312"/>
              <w:sz w:val="32"/>
              <w:szCs w:val="32"/>
            </w:rPr>
            <w:t>1</w:t>
          </w:r>
          <w:bookmarkEnd w:id="22"/>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fldChar w:fldCharType="end"/>
          </w:r>
        </w:p>
        <w:p>
          <w:pPr>
            <w:pStyle w:val="32"/>
            <w:tabs>
              <w:tab w:val="right" w:leader="dot" w:pos="8306"/>
            </w:tabs>
            <w:spacing w:line="380" w:lineRule="exact"/>
            <w:ind w:left="420"/>
            <w:rPr>
              <w:rFonts w:hint="eastAsia" w:ascii="仿宋_GB2312" w:hAnsi="仿宋_GB2312" w:eastAsia="仿宋_GB2312" w:cs="仿宋_GB2312"/>
              <w:sz w:val="32"/>
              <w:szCs w:val="32"/>
              <w:lang w:val="en-US" w:eastAsia="zh-CN"/>
            </w:rPr>
          </w:pPr>
          <w:r>
            <w:fldChar w:fldCharType="begin"/>
          </w:r>
          <w:r>
            <w:instrText xml:space="preserve"> HYPERLINK \l "_Toc22058_WPSOffice_Level2" </w:instrText>
          </w:r>
          <w:r>
            <w:fldChar w:fldCharType="separate"/>
          </w:r>
          <w:r>
            <w:rPr>
              <w:rFonts w:hint="eastAsia" w:ascii="仿宋_GB2312" w:hAnsi="仿宋_GB2312" w:eastAsia="仿宋_GB2312" w:cs="仿宋_GB2312"/>
              <w:sz w:val="32"/>
              <w:szCs w:val="32"/>
            </w:rPr>
            <w:t>六、一般公共预算财政拨款基本支出决算情况说明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9</w:t>
          </w:r>
        </w:p>
        <w:p>
          <w:pPr>
            <w:pStyle w:val="32"/>
            <w:tabs>
              <w:tab w:val="right" w:leader="dot" w:pos="8306"/>
            </w:tabs>
            <w:spacing w:line="380" w:lineRule="exact"/>
            <w:ind w:left="420"/>
            <w:rPr>
              <w:rFonts w:ascii="仿宋_GB2312" w:hAnsi="仿宋_GB2312" w:eastAsia="仿宋_GB2312" w:cs="仿宋_GB2312"/>
              <w:sz w:val="32"/>
              <w:szCs w:val="32"/>
            </w:rPr>
          </w:pPr>
          <w:r>
            <w:fldChar w:fldCharType="begin"/>
          </w:r>
          <w:r>
            <w:instrText xml:space="preserve"> HYPERLINK \l "_Toc3877_WPSOffice_Level2" </w:instrText>
          </w:r>
          <w:r>
            <w:fldChar w:fldCharType="separate"/>
          </w:r>
          <w:r>
            <w:rPr>
              <w:rFonts w:hint="eastAsia" w:ascii="仿宋_GB2312" w:hAnsi="仿宋_GB2312" w:eastAsia="仿宋_GB2312" w:cs="仿宋_GB2312"/>
              <w:sz w:val="32"/>
              <w:szCs w:val="32"/>
            </w:rPr>
            <w:t>七、“三公”经费财政拨款支出决算情况说明</w:t>
          </w:r>
          <w:r>
            <w:rPr>
              <w:rFonts w:hint="eastAsia" w:ascii="仿宋_GB2312" w:hAnsi="仿宋_GB2312" w:eastAsia="仿宋_GB2312" w:cs="仿宋_GB2312"/>
              <w:sz w:val="32"/>
              <w:szCs w:val="32"/>
            </w:rPr>
            <w:tab/>
          </w:r>
          <w:bookmarkStart w:id="23" w:name="_Toc3877_WPSOffice_Level2Page"/>
          <w:r>
            <w:rPr>
              <w:rFonts w:hint="eastAsia" w:ascii="仿宋_GB2312" w:hAnsi="仿宋_GB2312" w:eastAsia="仿宋_GB2312" w:cs="仿宋_GB2312"/>
              <w:sz w:val="32"/>
              <w:szCs w:val="32"/>
            </w:rPr>
            <w:t>2</w:t>
          </w:r>
          <w:bookmarkEnd w:id="23"/>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fldChar w:fldCharType="end"/>
          </w:r>
        </w:p>
        <w:p>
          <w:pPr>
            <w:pStyle w:val="32"/>
            <w:tabs>
              <w:tab w:val="right" w:leader="dot" w:pos="8306"/>
            </w:tabs>
            <w:spacing w:line="380" w:lineRule="exact"/>
            <w:ind w:left="420"/>
            <w:rPr>
              <w:rFonts w:ascii="仿宋_GB2312" w:hAnsi="仿宋_GB2312" w:eastAsia="仿宋_GB2312" w:cs="仿宋_GB2312"/>
              <w:sz w:val="32"/>
              <w:szCs w:val="32"/>
            </w:rPr>
          </w:pPr>
          <w:r>
            <w:fldChar w:fldCharType="begin"/>
          </w:r>
          <w:r>
            <w:instrText xml:space="preserve"> HYPERLINK \l "_Toc21533_WPSOffice_Level2" </w:instrText>
          </w:r>
          <w:r>
            <w:fldChar w:fldCharType="separate"/>
          </w:r>
          <w:r>
            <w:rPr>
              <w:rFonts w:hint="eastAsia" w:ascii="仿宋_GB2312" w:hAnsi="仿宋_GB2312" w:eastAsia="仿宋_GB2312" w:cs="仿宋_GB2312"/>
              <w:sz w:val="32"/>
              <w:szCs w:val="32"/>
            </w:rPr>
            <w:t>八、政府性基金预算支出决算情况说明</w:t>
          </w:r>
          <w:r>
            <w:rPr>
              <w:rFonts w:hint="eastAsia" w:ascii="仿宋_GB2312" w:hAnsi="仿宋_GB2312" w:eastAsia="仿宋_GB2312" w:cs="仿宋_GB2312"/>
              <w:sz w:val="32"/>
              <w:szCs w:val="32"/>
            </w:rPr>
            <w:tab/>
          </w:r>
          <w:bookmarkStart w:id="24" w:name="_Toc21533_WPSOffice_Level2Page"/>
          <w:r>
            <w:rPr>
              <w:rFonts w:hint="eastAsia" w:ascii="仿宋_GB2312" w:hAnsi="仿宋_GB2312" w:eastAsia="仿宋_GB2312" w:cs="仿宋_GB2312"/>
              <w:sz w:val="32"/>
              <w:szCs w:val="32"/>
            </w:rPr>
            <w:t>2</w:t>
          </w:r>
          <w:bookmarkEnd w:id="24"/>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fldChar w:fldCharType="end"/>
          </w:r>
        </w:p>
        <w:p>
          <w:pPr>
            <w:pStyle w:val="32"/>
            <w:tabs>
              <w:tab w:val="right" w:leader="dot" w:pos="8306"/>
            </w:tabs>
            <w:spacing w:line="380" w:lineRule="exact"/>
            <w:ind w:left="420"/>
            <w:rPr>
              <w:rFonts w:ascii="仿宋_GB2312" w:hAnsi="仿宋_GB2312" w:eastAsia="仿宋_GB2312" w:cs="仿宋_GB2312"/>
              <w:sz w:val="32"/>
              <w:szCs w:val="32"/>
            </w:rPr>
          </w:pPr>
          <w:r>
            <w:fldChar w:fldCharType="begin"/>
          </w:r>
          <w:r>
            <w:instrText xml:space="preserve"> HYPERLINK \l "_Toc492_WPSOffice_Level2" </w:instrText>
          </w:r>
          <w:r>
            <w:fldChar w:fldCharType="separate"/>
          </w:r>
          <w:r>
            <w:rPr>
              <w:rFonts w:hint="eastAsia" w:ascii="仿宋_GB2312" w:hAnsi="仿宋_GB2312" w:eastAsia="仿宋_GB2312" w:cs="仿宋_GB2312"/>
              <w:sz w:val="32"/>
              <w:szCs w:val="32"/>
            </w:rPr>
            <w:t>九、 国有资本经营预算支出决算情况说明</w:t>
          </w:r>
          <w:r>
            <w:rPr>
              <w:rFonts w:hint="eastAsia" w:ascii="仿宋_GB2312" w:hAnsi="仿宋_GB2312" w:eastAsia="仿宋_GB2312" w:cs="仿宋_GB2312"/>
              <w:sz w:val="32"/>
              <w:szCs w:val="32"/>
            </w:rPr>
            <w:tab/>
          </w:r>
          <w:bookmarkStart w:id="25" w:name="_Toc492_WPSOffice_Level2Page"/>
          <w:r>
            <w:rPr>
              <w:rFonts w:hint="eastAsia" w:ascii="仿宋_GB2312" w:hAnsi="仿宋_GB2312" w:eastAsia="仿宋_GB2312" w:cs="仿宋_GB2312"/>
              <w:sz w:val="32"/>
              <w:szCs w:val="32"/>
            </w:rPr>
            <w:t>2</w:t>
          </w:r>
          <w:bookmarkEnd w:id="25"/>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fldChar w:fldCharType="end"/>
          </w:r>
        </w:p>
        <w:p>
          <w:pPr>
            <w:pStyle w:val="32"/>
            <w:tabs>
              <w:tab w:val="right" w:leader="dot" w:pos="8306"/>
            </w:tabs>
            <w:spacing w:line="380" w:lineRule="exact"/>
            <w:ind w:left="420"/>
            <w:rPr>
              <w:rFonts w:ascii="仿宋_GB2312" w:hAnsi="仿宋_GB2312" w:eastAsia="仿宋_GB2312" w:cs="仿宋_GB2312"/>
              <w:sz w:val="32"/>
              <w:szCs w:val="32"/>
            </w:rPr>
          </w:pPr>
          <w:r>
            <w:fldChar w:fldCharType="begin"/>
          </w:r>
          <w:r>
            <w:instrText xml:space="preserve"> HYPERLINK \l "_Toc23819_WPSOffice_Level2" </w:instrText>
          </w:r>
          <w:r>
            <w:fldChar w:fldCharType="separate"/>
          </w:r>
          <w:r>
            <w:rPr>
              <w:rFonts w:hint="eastAsia" w:ascii="仿宋_GB2312" w:hAnsi="仿宋_GB2312" w:eastAsia="仿宋_GB2312" w:cs="仿宋_GB2312"/>
              <w:sz w:val="32"/>
              <w:szCs w:val="32"/>
            </w:rPr>
            <w:t>十、 其他重要事项的情况说明</w:t>
          </w:r>
          <w:r>
            <w:rPr>
              <w:rFonts w:hint="eastAsia" w:ascii="仿宋_GB2312" w:hAnsi="仿宋_GB2312" w:eastAsia="仿宋_GB2312" w:cs="仿宋_GB2312"/>
              <w:sz w:val="32"/>
              <w:szCs w:val="32"/>
            </w:rPr>
            <w:tab/>
          </w:r>
          <w:bookmarkStart w:id="26" w:name="_Toc23819_WPSOffice_Level2Page"/>
          <w:r>
            <w:rPr>
              <w:rFonts w:hint="eastAsia" w:ascii="仿宋_GB2312" w:hAnsi="仿宋_GB2312" w:eastAsia="仿宋_GB2312" w:cs="仿宋_GB2312"/>
              <w:sz w:val="32"/>
              <w:szCs w:val="32"/>
            </w:rPr>
            <w:t>2</w:t>
          </w:r>
          <w:bookmarkEnd w:id="26"/>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fldChar w:fldCharType="end"/>
          </w:r>
        </w:p>
        <w:p>
          <w:pPr>
            <w:pStyle w:val="31"/>
            <w:tabs>
              <w:tab w:val="right" w:leader="dot" w:pos="8306"/>
            </w:tabs>
            <w:spacing w:line="380" w:lineRule="exact"/>
            <w:rPr>
              <w:rFonts w:ascii="仿宋_GB2312" w:hAnsi="仿宋_GB2312" w:eastAsia="仿宋_GB2312" w:cs="仿宋_GB2312"/>
              <w:sz w:val="32"/>
              <w:szCs w:val="32"/>
            </w:rPr>
          </w:pPr>
          <w:r>
            <w:fldChar w:fldCharType="begin"/>
          </w:r>
          <w:r>
            <w:instrText xml:space="preserve"> HYPERLINK \l "_Toc1969_WPSOffice_Level1" </w:instrText>
          </w:r>
          <w:r>
            <w:fldChar w:fldCharType="separate"/>
          </w:r>
          <w:r>
            <w:rPr>
              <w:rFonts w:hint="eastAsia" w:ascii="仿宋_GB2312" w:hAnsi="仿宋_GB2312" w:eastAsia="仿宋_GB2312" w:cs="仿宋_GB2312"/>
              <w:b/>
              <w:bCs/>
              <w:sz w:val="32"/>
              <w:szCs w:val="32"/>
            </w:rPr>
            <w:t>第三部分 名词解释</w:t>
          </w:r>
          <w:r>
            <w:rPr>
              <w:rFonts w:hint="eastAsia" w:ascii="仿宋_GB2312" w:hAnsi="仿宋_GB2312" w:eastAsia="仿宋_GB2312" w:cs="仿宋_GB2312"/>
              <w:b/>
              <w:bCs/>
              <w:sz w:val="32"/>
              <w:szCs w:val="32"/>
            </w:rPr>
            <w:tab/>
          </w:r>
          <w:bookmarkStart w:id="27" w:name="_Toc1969_WPSOffice_Level1Page"/>
          <w:r>
            <w:rPr>
              <w:rFonts w:hint="eastAsia" w:ascii="仿宋_GB2312" w:hAnsi="仿宋_GB2312" w:eastAsia="仿宋_GB2312" w:cs="仿宋_GB2312"/>
              <w:b/>
              <w:bCs/>
              <w:sz w:val="32"/>
              <w:szCs w:val="32"/>
            </w:rPr>
            <w:t>2</w:t>
          </w:r>
          <w:bookmarkEnd w:id="27"/>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fldChar w:fldCharType="end"/>
          </w:r>
        </w:p>
        <w:p>
          <w:pPr>
            <w:pStyle w:val="31"/>
            <w:tabs>
              <w:tab w:val="right" w:leader="dot" w:pos="8306"/>
            </w:tabs>
            <w:spacing w:line="380" w:lineRule="exact"/>
            <w:rPr>
              <w:rFonts w:ascii="仿宋_GB2312" w:hAnsi="仿宋_GB2312" w:eastAsia="仿宋_GB2312" w:cs="仿宋_GB2312"/>
              <w:sz w:val="32"/>
              <w:szCs w:val="32"/>
            </w:rPr>
          </w:pPr>
          <w:r>
            <w:fldChar w:fldCharType="begin"/>
          </w:r>
          <w:r>
            <w:instrText xml:space="preserve"> HYPERLINK \l "_Toc22477_WPSOffice_Level1" </w:instrText>
          </w:r>
          <w:r>
            <w:fldChar w:fldCharType="separate"/>
          </w:r>
          <w:r>
            <w:rPr>
              <w:rFonts w:hint="eastAsia" w:ascii="仿宋_GB2312" w:hAnsi="仿宋_GB2312" w:eastAsia="仿宋_GB2312" w:cs="仿宋_GB2312"/>
              <w:b/>
              <w:bCs/>
              <w:sz w:val="32"/>
              <w:szCs w:val="32"/>
            </w:rPr>
            <w:t>第四部分 附件</w:t>
          </w:r>
          <w:r>
            <w:rPr>
              <w:rFonts w:hint="eastAsia" w:ascii="仿宋_GB2312" w:hAnsi="仿宋_GB2312" w:eastAsia="仿宋_GB2312" w:cs="仿宋_GB2312"/>
              <w:b/>
              <w:bCs/>
              <w:sz w:val="32"/>
              <w:szCs w:val="32"/>
            </w:rPr>
            <w:tab/>
          </w:r>
          <w:bookmarkStart w:id="28" w:name="_Toc22477_WPSOffice_Level1Page"/>
          <w:r>
            <w:rPr>
              <w:rFonts w:hint="eastAsia" w:ascii="仿宋_GB2312" w:hAnsi="仿宋_GB2312" w:eastAsia="仿宋_GB2312" w:cs="仿宋_GB2312"/>
              <w:b/>
              <w:bCs/>
              <w:sz w:val="32"/>
              <w:szCs w:val="32"/>
            </w:rPr>
            <w:t>2</w:t>
          </w:r>
          <w:bookmarkEnd w:id="28"/>
          <w:r>
            <w:rPr>
              <w:rFonts w:hint="eastAsia" w:ascii="仿宋_GB2312" w:hAnsi="仿宋_GB2312" w:eastAsia="仿宋_GB2312" w:cs="仿宋_GB2312"/>
              <w:b/>
              <w:bCs/>
              <w:sz w:val="32"/>
              <w:szCs w:val="32"/>
              <w:lang w:val="en-US" w:eastAsia="zh-CN"/>
            </w:rPr>
            <w:t>8</w:t>
          </w:r>
          <w:r>
            <w:rPr>
              <w:rFonts w:hint="eastAsia" w:ascii="仿宋_GB2312" w:hAnsi="仿宋_GB2312" w:eastAsia="仿宋_GB2312" w:cs="仿宋_GB2312"/>
              <w:b/>
              <w:bCs/>
              <w:sz w:val="32"/>
              <w:szCs w:val="32"/>
            </w:rPr>
            <w:fldChar w:fldCharType="end"/>
          </w:r>
        </w:p>
        <w:p>
          <w:pPr>
            <w:pStyle w:val="31"/>
            <w:tabs>
              <w:tab w:val="right" w:leader="dot" w:pos="8306"/>
            </w:tabs>
            <w:spacing w:line="380" w:lineRule="exact"/>
            <w:rPr>
              <w:rFonts w:ascii="仿宋_GB2312" w:hAnsi="仿宋_GB2312" w:eastAsia="仿宋_GB2312" w:cs="仿宋_GB2312"/>
              <w:sz w:val="32"/>
              <w:szCs w:val="32"/>
            </w:rPr>
          </w:pPr>
          <w:r>
            <w:fldChar w:fldCharType="begin"/>
          </w:r>
          <w:r>
            <w:instrText xml:space="preserve"> HYPERLINK \l "_Toc13074_WPSOffice_Level1" </w:instrText>
          </w:r>
          <w:r>
            <w:fldChar w:fldCharType="separate"/>
          </w:r>
          <w:r>
            <w:rPr>
              <w:rFonts w:hint="eastAsia" w:ascii="仿宋_GB2312" w:hAnsi="仿宋_GB2312" w:eastAsia="仿宋_GB2312" w:cs="仿宋_GB2312"/>
              <w:b/>
              <w:bCs/>
              <w:sz w:val="32"/>
              <w:szCs w:val="32"/>
            </w:rPr>
            <w:t>第五部分 附表</w:t>
          </w:r>
          <w:r>
            <w:rPr>
              <w:rFonts w:hint="eastAsia" w:ascii="仿宋_GB2312" w:hAnsi="仿宋_GB2312" w:eastAsia="仿宋_GB2312" w:cs="仿宋_GB2312"/>
              <w:b/>
              <w:bCs/>
              <w:sz w:val="32"/>
              <w:szCs w:val="32"/>
            </w:rPr>
            <w:tab/>
          </w:r>
          <w:bookmarkStart w:id="29" w:name="_Toc13074_WPSOffice_Level1Page"/>
          <w:r>
            <w:rPr>
              <w:rFonts w:hint="eastAsia" w:ascii="仿宋_GB2312" w:hAnsi="仿宋_GB2312" w:eastAsia="仿宋_GB2312" w:cs="仿宋_GB2312"/>
              <w:b/>
              <w:bCs/>
              <w:sz w:val="32"/>
              <w:szCs w:val="32"/>
            </w:rPr>
            <w:t>3</w:t>
          </w:r>
          <w:bookmarkEnd w:id="29"/>
          <w:r>
            <w:rPr>
              <w:rFonts w:hint="eastAsia" w:ascii="仿宋_GB2312" w:hAnsi="仿宋_GB2312" w:eastAsia="仿宋_GB2312" w:cs="仿宋_GB2312"/>
              <w:b/>
              <w:bCs/>
              <w:sz w:val="32"/>
              <w:szCs w:val="32"/>
              <w:lang w:val="en-US" w:eastAsia="zh-CN"/>
            </w:rPr>
            <w:t>0</w:t>
          </w:r>
          <w:r>
            <w:rPr>
              <w:rFonts w:hint="eastAsia" w:ascii="仿宋_GB2312" w:hAnsi="仿宋_GB2312" w:eastAsia="仿宋_GB2312" w:cs="仿宋_GB2312"/>
              <w:b/>
              <w:bCs/>
              <w:sz w:val="32"/>
              <w:szCs w:val="32"/>
            </w:rPr>
            <w:fldChar w:fldCharType="end"/>
          </w:r>
        </w:p>
        <w:p>
          <w:pPr>
            <w:pStyle w:val="32"/>
            <w:tabs>
              <w:tab w:val="right" w:leader="dot" w:pos="8306"/>
            </w:tabs>
            <w:spacing w:line="380" w:lineRule="exact"/>
            <w:ind w:left="420"/>
            <w:rPr>
              <w:rFonts w:ascii="仿宋_GB2312" w:hAnsi="仿宋_GB2312" w:eastAsia="仿宋_GB2312" w:cs="仿宋_GB2312"/>
              <w:sz w:val="32"/>
              <w:szCs w:val="32"/>
            </w:rPr>
          </w:pPr>
          <w:r>
            <w:fldChar w:fldCharType="begin"/>
          </w:r>
          <w:r>
            <w:instrText xml:space="preserve"> HYPERLINK \l "_Toc9324_WPSOffice_Level2" </w:instrText>
          </w:r>
          <w:r>
            <w:fldChar w:fldCharType="separate"/>
          </w:r>
          <w:r>
            <w:rPr>
              <w:rFonts w:hint="eastAsia" w:ascii="仿宋_GB2312" w:hAnsi="仿宋_GB2312" w:eastAsia="仿宋_GB2312" w:cs="仿宋_GB2312"/>
              <w:sz w:val="32"/>
              <w:szCs w:val="32"/>
            </w:rPr>
            <w:t>一、收入支出决算总表</w:t>
          </w:r>
          <w:r>
            <w:rPr>
              <w:rFonts w:hint="eastAsia" w:ascii="仿宋_GB2312" w:hAnsi="仿宋_GB2312" w:eastAsia="仿宋_GB2312" w:cs="仿宋_GB2312"/>
              <w:sz w:val="32"/>
              <w:szCs w:val="32"/>
            </w:rPr>
            <w:tab/>
          </w:r>
          <w:bookmarkStart w:id="30" w:name="_Toc9324_WPSOffice_Level2Page"/>
          <w:r>
            <w:rPr>
              <w:rFonts w:hint="eastAsia" w:ascii="仿宋_GB2312" w:hAnsi="仿宋_GB2312" w:eastAsia="仿宋_GB2312" w:cs="仿宋_GB2312"/>
              <w:sz w:val="32"/>
              <w:szCs w:val="32"/>
            </w:rPr>
            <w:t>3</w:t>
          </w:r>
          <w:bookmarkEnd w:id="30"/>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fldChar w:fldCharType="end"/>
          </w:r>
        </w:p>
        <w:p>
          <w:pPr>
            <w:pStyle w:val="32"/>
            <w:tabs>
              <w:tab w:val="right" w:leader="dot" w:pos="8306"/>
            </w:tabs>
            <w:spacing w:line="380" w:lineRule="exact"/>
            <w:ind w:left="420"/>
            <w:rPr>
              <w:rFonts w:ascii="仿宋_GB2312" w:hAnsi="仿宋_GB2312" w:eastAsia="仿宋_GB2312" w:cs="仿宋_GB2312"/>
              <w:sz w:val="32"/>
              <w:szCs w:val="32"/>
            </w:rPr>
          </w:pPr>
          <w:r>
            <w:fldChar w:fldCharType="begin"/>
          </w:r>
          <w:r>
            <w:instrText xml:space="preserve"> HYPERLINK \l "_Toc21695_WPSOffice_Level2" </w:instrText>
          </w:r>
          <w:r>
            <w:fldChar w:fldCharType="separate"/>
          </w:r>
          <w:r>
            <w:rPr>
              <w:rFonts w:hint="eastAsia" w:ascii="仿宋_GB2312" w:hAnsi="仿宋_GB2312" w:eastAsia="仿宋_GB2312" w:cs="仿宋_GB2312"/>
              <w:sz w:val="32"/>
              <w:szCs w:val="32"/>
            </w:rPr>
            <w:t>二、收入决算表</w:t>
          </w:r>
          <w:r>
            <w:rPr>
              <w:rFonts w:hint="eastAsia" w:ascii="仿宋_GB2312" w:hAnsi="仿宋_GB2312" w:eastAsia="仿宋_GB2312" w:cs="仿宋_GB2312"/>
              <w:sz w:val="32"/>
              <w:szCs w:val="32"/>
            </w:rPr>
            <w:tab/>
          </w:r>
          <w:bookmarkStart w:id="31" w:name="_Toc21695_WPSOffice_Level2Page"/>
          <w:r>
            <w:rPr>
              <w:rFonts w:hint="eastAsia" w:ascii="仿宋_GB2312" w:hAnsi="仿宋_GB2312" w:eastAsia="仿宋_GB2312" w:cs="仿宋_GB2312"/>
              <w:sz w:val="32"/>
              <w:szCs w:val="32"/>
            </w:rPr>
            <w:t>3</w:t>
          </w:r>
          <w:bookmarkEnd w:id="31"/>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fldChar w:fldCharType="end"/>
          </w:r>
        </w:p>
        <w:p>
          <w:pPr>
            <w:pStyle w:val="32"/>
            <w:tabs>
              <w:tab w:val="right" w:leader="dot" w:pos="8306"/>
            </w:tabs>
            <w:spacing w:line="380" w:lineRule="exact"/>
            <w:ind w:left="420"/>
            <w:rPr>
              <w:rFonts w:ascii="仿宋_GB2312" w:hAnsi="仿宋_GB2312" w:eastAsia="仿宋_GB2312" w:cs="仿宋_GB2312"/>
              <w:sz w:val="32"/>
              <w:szCs w:val="32"/>
            </w:rPr>
          </w:pPr>
          <w:r>
            <w:fldChar w:fldCharType="begin"/>
          </w:r>
          <w:r>
            <w:instrText xml:space="preserve"> HYPERLINK \l "_Toc23188_WPSOffice_Level2" </w:instrText>
          </w:r>
          <w:r>
            <w:fldChar w:fldCharType="separate"/>
          </w:r>
          <w:r>
            <w:rPr>
              <w:rFonts w:hint="eastAsia" w:ascii="仿宋_GB2312" w:hAnsi="仿宋_GB2312" w:eastAsia="仿宋_GB2312" w:cs="仿宋_GB2312"/>
              <w:sz w:val="32"/>
              <w:szCs w:val="32"/>
            </w:rPr>
            <w:t>三、支出决算表</w:t>
          </w:r>
          <w:r>
            <w:rPr>
              <w:rFonts w:hint="eastAsia" w:ascii="仿宋_GB2312" w:hAnsi="仿宋_GB2312" w:eastAsia="仿宋_GB2312" w:cs="仿宋_GB2312"/>
              <w:sz w:val="32"/>
              <w:szCs w:val="32"/>
            </w:rPr>
            <w:tab/>
          </w:r>
          <w:bookmarkStart w:id="32" w:name="_Toc23188_WPSOffice_Level2Page"/>
          <w:r>
            <w:rPr>
              <w:rFonts w:hint="eastAsia" w:ascii="仿宋_GB2312" w:hAnsi="仿宋_GB2312" w:eastAsia="仿宋_GB2312" w:cs="仿宋_GB2312"/>
              <w:sz w:val="32"/>
              <w:szCs w:val="32"/>
            </w:rPr>
            <w:t>3</w:t>
          </w:r>
          <w:bookmarkEnd w:id="32"/>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fldChar w:fldCharType="end"/>
          </w:r>
        </w:p>
        <w:p>
          <w:pPr>
            <w:pStyle w:val="32"/>
            <w:tabs>
              <w:tab w:val="right" w:leader="dot" w:pos="8306"/>
            </w:tabs>
            <w:spacing w:line="380" w:lineRule="exact"/>
            <w:ind w:left="420"/>
            <w:rPr>
              <w:rFonts w:ascii="仿宋_GB2312" w:hAnsi="仿宋_GB2312" w:eastAsia="仿宋_GB2312" w:cs="仿宋_GB2312"/>
              <w:sz w:val="32"/>
              <w:szCs w:val="32"/>
            </w:rPr>
          </w:pPr>
          <w:r>
            <w:fldChar w:fldCharType="begin"/>
          </w:r>
          <w:r>
            <w:instrText xml:space="preserve"> HYPERLINK \l "_Toc12187_WPSOffice_Level2" </w:instrText>
          </w:r>
          <w:r>
            <w:fldChar w:fldCharType="separate"/>
          </w:r>
          <w:r>
            <w:rPr>
              <w:rFonts w:hint="eastAsia" w:ascii="仿宋_GB2312" w:hAnsi="仿宋_GB2312" w:eastAsia="仿宋_GB2312" w:cs="仿宋_GB2312"/>
              <w:sz w:val="32"/>
              <w:szCs w:val="32"/>
            </w:rPr>
            <w:t>四、财政拨款收入支出决算总表</w:t>
          </w:r>
          <w:r>
            <w:rPr>
              <w:rFonts w:hint="eastAsia" w:ascii="仿宋_GB2312" w:hAnsi="仿宋_GB2312" w:eastAsia="仿宋_GB2312" w:cs="仿宋_GB2312"/>
              <w:sz w:val="32"/>
              <w:szCs w:val="32"/>
            </w:rPr>
            <w:tab/>
          </w:r>
          <w:bookmarkStart w:id="33" w:name="_Toc12187_WPSOffice_Level2Page"/>
          <w:r>
            <w:rPr>
              <w:rFonts w:hint="eastAsia" w:ascii="仿宋_GB2312" w:hAnsi="仿宋_GB2312" w:eastAsia="仿宋_GB2312" w:cs="仿宋_GB2312"/>
              <w:sz w:val="32"/>
              <w:szCs w:val="32"/>
            </w:rPr>
            <w:t>3</w:t>
          </w:r>
          <w:bookmarkEnd w:id="33"/>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fldChar w:fldCharType="end"/>
          </w:r>
        </w:p>
        <w:p>
          <w:pPr>
            <w:pStyle w:val="32"/>
            <w:tabs>
              <w:tab w:val="right" w:leader="dot" w:pos="8306"/>
            </w:tabs>
            <w:spacing w:line="380" w:lineRule="exact"/>
            <w:ind w:left="420"/>
            <w:rPr>
              <w:rFonts w:ascii="仿宋_GB2312" w:hAnsi="仿宋_GB2312" w:eastAsia="仿宋_GB2312" w:cs="仿宋_GB2312"/>
              <w:sz w:val="32"/>
              <w:szCs w:val="32"/>
            </w:rPr>
          </w:pPr>
          <w:r>
            <w:fldChar w:fldCharType="begin"/>
          </w:r>
          <w:r>
            <w:instrText xml:space="preserve"> HYPERLINK \l "_Toc15395_WPSOffice_Level2" </w:instrText>
          </w:r>
          <w:r>
            <w:fldChar w:fldCharType="separate"/>
          </w:r>
          <w:r>
            <w:rPr>
              <w:rFonts w:hint="eastAsia" w:ascii="仿宋_GB2312" w:hAnsi="仿宋_GB2312" w:eastAsia="仿宋_GB2312" w:cs="仿宋_GB2312"/>
              <w:sz w:val="32"/>
              <w:szCs w:val="32"/>
            </w:rPr>
            <w:t>五、财政拨款支出决算明细表</w:t>
          </w:r>
          <w:r>
            <w:rPr>
              <w:rFonts w:hint="eastAsia" w:ascii="仿宋_GB2312" w:hAnsi="仿宋_GB2312" w:eastAsia="仿宋_GB2312" w:cs="仿宋_GB2312"/>
              <w:sz w:val="32"/>
              <w:szCs w:val="32"/>
            </w:rPr>
            <w:tab/>
          </w:r>
          <w:bookmarkStart w:id="34" w:name="_Toc15395_WPSOffice_Level2Page"/>
          <w:r>
            <w:rPr>
              <w:rFonts w:hint="eastAsia" w:ascii="仿宋_GB2312" w:hAnsi="仿宋_GB2312" w:eastAsia="仿宋_GB2312" w:cs="仿宋_GB2312"/>
              <w:sz w:val="32"/>
              <w:szCs w:val="32"/>
            </w:rPr>
            <w:t>3</w:t>
          </w:r>
          <w:bookmarkEnd w:id="34"/>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fldChar w:fldCharType="end"/>
          </w:r>
        </w:p>
        <w:p>
          <w:pPr>
            <w:pStyle w:val="32"/>
            <w:tabs>
              <w:tab w:val="right" w:leader="dot" w:pos="8306"/>
            </w:tabs>
            <w:spacing w:line="380" w:lineRule="exact"/>
            <w:ind w:left="420"/>
            <w:rPr>
              <w:rFonts w:ascii="仿宋_GB2312" w:hAnsi="仿宋_GB2312" w:eastAsia="仿宋_GB2312" w:cs="仿宋_GB2312"/>
              <w:sz w:val="32"/>
              <w:szCs w:val="32"/>
            </w:rPr>
          </w:pPr>
          <w:r>
            <w:fldChar w:fldCharType="begin"/>
          </w:r>
          <w:r>
            <w:instrText xml:space="preserve"> HYPERLINK \l "_Toc30241_WPSOffice_Level2" </w:instrText>
          </w:r>
          <w:r>
            <w:fldChar w:fldCharType="separate"/>
          </w:r>
          <w:r>
            <w:rPr>
              <w:rFonts w:hint="eastAsia" w:ascii="仿宋_GB2312" w:hAnsi="仿宋_GB2312" w:eastAsia="仿宋_GB2312" w:cs="仿宋_GB2312"/>
              <w:sz w:val="32"/>
              <w:szCs w:val="32"/>
            </w:rPr>
            <w:t>六、一般公共预算财政拨款支出决算表</w:t>
          </w:r>
          <w:r>
            <w:rPr>
              <w:rFonts w:hint="eastAsia" w:ascii="仿宋_GB2312" w:hAnsi="仿宋_GB2312" w:eastAsia="仿宋_GB2312" w:cs="仿宋_GB2312"/>
              <w:sz w:val="32"/>
              <w:szCs w:val="32"/>
            </w:rPr>
            <w:tab/>
          </w:r>
          <w:bookmarkStart w:id="35" w:name="_Toc30241_WPSOffice_Level2Page"/>
          <w:r>
            <w:rPr>
              <w:rFonts w:hint="eastAsia" w:ascii="仿宋_GB2312" w:hAnsi="仿宋_GB2312" w:eastAsia="仿宋_GB2312" w:cs="仿宋_GB2312"/>
              <w:sz w:val="32"/>
              <w:szCs w:val="32"/>
            </w:rPr>
            <w:t>3</w:t>
          </w:r>
          <w:bookmarkEnd w:id="35"/>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fldChar w:fldCharType="end"/>
          </w:r>
        </w:p>
        <w:p>
          <w:pPr>
            <w:pStyle w:val="32"/>
            <w:tabs>
              <w:tab w:val="right" w:leader="dot" w:pos="8306"/>
            </w:tabs>
            <w:spacing w:line="380" w:lineRule="exact"/>
            <w:ind w:left="420"/>
            <w:rPr>
              <w:rFonts w:ascii="仿宋_GB2312" w:hAnsi="仿宋_GB2312" w:eastAsia="仿宋_GB2312" w:cs="仿宋_GB2312"/>
              <w:sz w:val="32"/>
              <w:szCs w:val="32"/>
            </w:rPr>
          </w:pPr>
          <w:r>
            <w:fldChar w:fldCharType="begin"/>
          </w:r>
          <w:r>
            <w:instrText xml:space="preserve"> HYPERLINK \l "_Toc25108_WPSOffice_Level2" </w:instrText>
          </w:r>
          <w:r>
            <w:fldChar w:fldCharType="separate"/>
          </w:r>
          <w:r>
            <w:rPr>
              <w:rFonts w:hint="eastAsia" w:ascii="仿宋_GB2312" w:hAnsi="仿宋_GB2312" w:eastAsia="仿宋_GB2312" w:cs="仿宋_GB2312"/>
              <w:sz w:val="32"/>
              <w:szCs w:val="32"/>
            </w:rPr>
            <w:t>七、一般公共预算财政拨款支出决算明细表</w:t>
          </w:r>
          <w:r>
            <w:rPr>
              <w:rFonts w:hint="eastAsia" w:ascii="仿宋_GB2312" w:hAnsi="仿宋_GB2312" w:eastAsia="仿宋_GB2312" w:cs="仿宋_GB2312"/>
              <w:sz w:val="32"/>
              <w:szCs w:val="32"/>
            </w:rPr>
            <w:tab/>
          </w:r>
          <w:bookmarkStart w:id="36" w:name="_Toc25108_WPSOffice_Level2Page"/>
          <w:r>
            <w:rPr>
              <w:rFonts w:hint="eastAsia" w:ascii="仿宋_GB2312" w:hAnsi="仿宋_GB2312" w:eastAsia="仿宋_GB2312" w:cs="仿宋_GB2312"/>
              <w:sz w:val="32"/>
              <w:szCs w:val="32"/>
            </w:rPr>
            <w:t>3</w:t>
          </w:r>
          <w:bookmarkEnd w:id="36"/>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fldChar w:fldCharType="end"/>
          </w:r>
        </w:p>
        <w:p>
          <w:pPr>
            <w:pStyle w:val="32"/>
            <w:tabs>
              <w:tab w:val="right" w:leader="dot" w:pos="8306"/>
            </w:tabs>
            <w:spacing w:line="380" w:lineRule="exact"/>
            <w:ind w:left="420"/>
            <w:rPr>
              <w:rFonts w:ascii="仿宋_GB2312" w:hAnsi="仿宋_GB2312" w:eastAsia="仿宋_GB2312" w:cs="仿宋_GB2312"/>
              <w:sz w:val="32"/>
              <w:szCs w:val="32"/>
            </w:rPr>
          </w:pPr>
          <w:r>
            <w:fldChar w:fldCharType="begin"/>
          </w:r>
          <w:r>
            <w:instrText xml:space="preserve"> HYPERLINK \l "_Toc26212_WPSOffice_Level2" </w:instrText>
          </w:r>
          <w:r>
            <w:fldChar w:fldCharType="separate"/>
          </w:r>
          <w:r>
            <w:rPr>
              <w:rFonts w:hint="eastAsia" w:ascii="仿宋_GB2312" w:hAnsi="仿宋_GB2312" w:eastAsia="仿宋_GB2312" w:cs="仿宋_GB2312"/>
              <w:sz w:val="32"/>
              <w:szCs w:val="32"/>
            </w:rPr>
            <w:t>八、一般公共预算财政拨款基本支出决算表</w:t>
          </w:r>
          <w:r>
            <w:rPr>
              <w:rFonts w:hint="eastAsia" w:ascii="仿宋_GB2312" w:hAnsi="仿宋_GB2312" w:eastAsia="仿宋_GB2312" w:cs="仿宋_GB2312"/>
              <w:sz w:val="32"/>
              <w:szCs w:val="32"/>
            </w:rPr>
            <w:tab/>
          </w:r>
          <w:bookmarkStart w:id="37" w:name="_Toc26212_WPSOffice_Level2Page"/>
          <w:r>
            <w:rPr>
              <w:rFonts w:hint="eastAsia" w:ascii="仿宋_GB2312" w:hAnsi="仿宋_GB2312" w:eastAsia="仿宋_GB2312" w:cs="仿宋_GB2312"/>
              <w:sz w:val="32"/>
              <w:szCs w:val="32"/>
            </w:rPr>
            <w:t>3</w:t>
          </w:r>
          <w:bookmarkEnd w:id="37"/>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fldChar w:fldCharType="end"/>
          </w:r>
        </w:p>
        <w:p>
          <w:pPr>
            <w:pStyle w:val="32"/>
            <w:tabs>
              <w:tab w:val="right" w:leader="dot" w:pos="8306"/>
            </w:tabs>
            <w:spacing w:line="380" w:lineRule="exact"/>
            <w:ind w:left="420"/>
            <w:rPr>
              <w:rFonts w:ascii="仿宋_GB2312" w:hAnsi="仿宋_GB2312" w:eastAsia="仿宋_GB2312" w:cs="仿宋_GB2312"/>
              <w:sz w:val="32"/>
              <w:szCs w:val="32"/>
            </w:rPr>
          </w:pPr>
          <w:r>
            <w:fldChar w:fldCharType="begin"/>
          </w:r>
          <w:r>
            <w:instrText xml:space="preserve"> HYPERLINK \l "_Toc32553_WPSOffice_Level2" </w:instrText>
          </w:r>
          <w:r>
            <w:fldChar w:fldCharType="separate"/>
          </w:r>
          <w:r>
            <w:rPr>
              <w:rFonts w:hint="eastAsia" w:ascii="仿宋_GB2312" w:hAnsi="仿宋_GB2312" w:eastAsia="仿宋_GB2312" w:cs="仿宋_GB2312"/>
              <w:sz w:val="32"/>
              <w:szCs w:val="32"/>
            </w:rPr>
            <w:t>九、一般公共预算财政拨款项目支出决算表</w:t>
          </w:r>
          <w:r>
            <w:rPr>
              <w:rFonts w:hint="eastAsia" w:ascii="仿宋_GB2312" w:hAnsi="仿宋_GB2312" w:eastAsia="仿宋_GB2312" w:cs="仿宋_GB2312"/>
              <w:sz w:val="32"/>
              <w:szCs w:val="32"/>
            </w:rPr>
            <w:tab/>
          </w:r>
          <w:bookmarkStart w:id="38" w:name="_Toc32553_WPSOffice_Level2Page"/>
          <w:r>
            <w:rPr>
              <w:rFonts w:hint="eastAsia" w:ascii="仿宋_GB2312" w:hAnsi="仿宋_GB2312" w:eastAsia="仿宋_GB2312" w:cs="仿宋_GB2312"/>
              <w:sz w:val="32"/>
              <w:szCs w:val="32"/>
            </w:rPr>
            <w:t>3</w:t>
          </w:r>
          <w:bookmarkEnd w:id="38"/>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fldChar w:fldCharType="end"/>
          </w:r>
        </w:p>
        <w:p>
          <w:pPr>
            <w:pStyle w:val="32"/>
            <w:tabs>
              <w:tab w:val="right" w:leader="dot" w:pos="8306"/>
            </w:tabs>
            <w:spacing w:line="380" w:lineRule="exact"/>
            <w:ind w:left="420"/>
            <w:rPr>
              <w:rFonts w:ascii="仿宋_GB2312" w:hAnsi="仿宋_GB2312" w:eastAsia="仿宋_GB2312" w:cs="仿宋_GB2312"/>
              <w:sz w:val="32"/>
              <w:szCs w:val="32"/>
            </w:rPr>
          </w:pPr>
          <w:r>
            <w:fldChar w:fldCharType="begin"/>
          </w:r>
          <w:r>
            <w:instrText xml:space="preserve"> HYPERLINK \l "_Toc2354_WPSOffice_Level2" </w:instrText>
          </w:r>
          <w:r>
            <w:fldChar w:fldCharType="separate"/>
          </w:r>
          <w:r>
            <w:rPr>
              <w:rFonts w:hint="eastAsia" w:ascii="仿宋_GB2312" w:hAnsi="仿宋_GB2312" w:eastAsia="仿宋_GB2312" w:cs="仿宋_GB2312"/>
              <w:sz w:val="32"/>
              <w:szCs w:val="32"/>
            </w:rPr>
            <w:t>十、一般公共预算财政拨款“三公”经费支出决算表</w:t>
          </w:r>
          <w:r>
            <w:rPr>
              <w:rFonts w:hint="eastAsia" w:ascii="仿宋_GB2312" w:hAnsi="仿宋_GB2312" w:eastAsia="仿宋_GB2312" w:cs="仿宋_GB2312"/>
              <w:sz w:val="32"/>
              <w:szCs w:val="32"/>
            </w:rPr>
            <w:tab/>
          </w:r>
          <w:bookmarkStart w:id="39" w:name="_Toc2354_WPSOffice_Level2Page"/>
          <w:r>
            <w:rPr>
              <w:rFonts w:hint="eastAsia" w:ascii="仿宋_GB2312" w:hAnsi="仿宋_GB2312" w:eastAsia="仿宋_GB2312" w:cs="仿宋_GB2312"/>
              <w:sz w:val="32"/>
              <w:szCs w:val="32"/>
            </w:rPr>
            <w:t>3</w:t>
          </w:r>
          <w:bookmarkEnd w:id="39"/>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fldChar w:fldCharType="end"/>
          </w:r>
        </w:p>
        <w:p>
          <w:pPr>
            <w:pStyle w:val="32"/>
            <w:tabs>
              <w:tab w:val="right" w:leader="dot" w:pos="8306"/>
            </w:tabs>
            <w:spacing w:line="380" w:lineRule="exact"/>
            <w:ind w:left="420"/>
            <w:rPr>
              <w:rFonts w:ascii="仿宋_GB2312" w:hAnsi="仿宋_GB2312" w:eastAsia="仿宋_GB2312" w:cs="仿宋_GB2312"/>
              <w:sz w:val="32"/>
              <w:szCs w:val="32"/>
            </w:rPr>
          </w:pPr>
          <w:r>
            <w:fldChar w:fldCharType="begin"/>
          </w:r>
          <w:r>
            <w:instrText xml:space="preserve"> HYPERLINK \l "_Toc23998_WPSOffice_Level2" </w:instrText>
          </w:r>
          <w:r>
            <w:fldChar w:fldCharType="separate"/>
          </w:r>
          <w:r>
            <w:rPr>
              <w:rFonts w:hint="eastAsia" w:ascii="仿宋_GB2312" w:hAnsi="仿宋_GB2312" w:eastAsia="仿宋_GB2312" w:cs="仿宋_GB2312"/>
              <w:sz w:val="32"/>
              <w:szCs w:val="32"/>
            </w:rPr>
            <w:t>十一、政府性基金预算财政拨款收入支出决算表</w:t>
          </w:r>
          <w:r>
            <w:rPr>
              <w:rFonts w:hint="eastAsia" w:ascii="仿宋_GB2312" w:hAnsi="仿宋_GB2312" w:eastAsia="仿宋_GB2312" w:cs="仿宋_GB2312"/>
              <w:sz w:val="32"/>
              <w:szCs w:val="32"/>
            </w:rPr>
            <w:tab/>
          </w:r>
          <w:bookmarkStart w:id="40" w:name="_Toc23998_WPSOffice_Level2Page"/>
          <w:r>
            <w:rPr>
              <w:rFonts w:hint="eastAsia" w:ascii="仿宋_GB2312" w:hAnsi="仿宋_GB2312" w:eastAsia="仿宋_GB2312" w:cs="仿宋_GB2312"/>
              <w:sz w:val="32"/>
              <w:szCs w:val="32"/>
            </w:rPr>
            <w:t>3</w:t>
          </w:r>
          <w:bookmarkEnd w:id="40"/>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fldChar w:fldCharType="end"/>
          </w:r>
        </w:p>
        <w:p>
          <w:pPr>
            <w:pStyle w:val="32"/>
            <w:tabs>
              <w:tab w:val="right" w:leader="dot" w:pos="8306"/>
            </w:tabs>
            <w:spacing w:line="380" w:lineRule="exact"/>
            <w:ind w:left="420"/>
            <w:rPr>
              <w:rFonts w:ascii="仿宋_GB2312" w:hAnsi="仿宋_GB2312" w:eastAsia="仿宋_GB2312" w:cs="仿宋_GB2312"/>
              <w:sz w:val="32"/>
              <w:szCs w:val="32"/>
            </w:rPr>
          </w:pPr>
          <w:r>
            <w:fldChar w:fldCharType="begin"/>
          </w:r>
          <w:r>
            <w:instrText xml:space="preserve"> HYPERLINK \l "_Toc30995_WPSOffice_Level2" </w:instrText>
          </w:r>
          <w:r>
            <w:fldChar w:fldCharType="separate"/>
          </w:r>
          <w:r>
            <w:rPr>
              <w:rFonts w:hint="eastAsia" w:ascii="仿宋_GB2312" w:hAnsi="仿宋_GB2312" w:eastAsia="仿宋_GB2312" w:cs="仿宋_GB2312"/>
              <w:sz w:val="32"/>
              <w:szCs w:val="32"/>
            </w:rPr>
            <w:t>十二、政府性基金预算财政拨款“三公”经费支出决算表</w:t>
          </w:r>
          <w:r>
            <w:rPr>
              <w:rFonts w:hint="eastAsia" w:ascii="仿宋_GB2312" w:hAnsi="仿宋_GB2312" w:eastAsia="仿宋_GB2312" w:cs="仿宋_GB2312"/>
              <w:sz w:val="32"/>
              <w:szCs w:val="32"/>
            </w:rPr>
            <w:tab/>
          </w:r>
          <w:bookmarkStart w:id="41" w:name="_Toc30995_WPSOffice_Level2Page"/>
          <w:r>
            <w:rPr>
              <w:rFonts w:hint="eastAsia" w:ascii="仿宋_GB2312" w:hAnsi="仿宋_GB2312" w:eastAsia="仿宋_GB2312" w:cs="仿宋_GB2312"/>
              <w:sz w:val="32"/>
              <w:szCs w:val="32"/>
            </w:rPr>
            <w:t>3</w:t>
          </w:r>
          <w:bookmarkEnd w:id="41"/>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fldChar w:fldCharType="end"/>
          </w:r>
        </w:p>
        <w:p>
          <w:pPr>
            <w:pStyle w:val="32"/>
            <w:tabs>
              <w:tab w:val="right" w:leader="dot" w:pos="8306"/>
            </w:tabs>
            <w:spacing w:line="380" w:lineRule="exact"/>
            <w:ind w:left="420"/>
            <w:rPr>
              <w:rFonts w:ascii="仿宋_GB2312" w:hAnsi="仿宋_GB2312" w:eastAsia="仿宋_GB2312" w:cs="仿宋_GB2312"/>
              <w:sz w:val="32"/>
              <w:szCs w:val="32"/>
            </w:rPr>
          </w:pPr>
          <w:r>
            <w:fldChar w:fldCharType="begin"/>
          </w:r>
          <w:r>
            <w:instrText xml:space="preserve"> HYPERLINK \l "_Toc18774_WPSOffice_Level2" </w:instrText>
          </w:r>
          <w:r>
            <w:fldChar w:fldCharType="separate"/>
          </w:r>
          <w:r>
            <w:rPr>
              <w:rFonts w:hint="eastAsia" w:ascii="仿宋_GB2312" w:hAnsi="仿宋_GB2312" w:eastAsia="仿宋_GB2312" w:cs="仿宋_GB2312"/>
              <w:sz w:val="32"/>
              <w:szCs w:val="32"/>
            </w:rPr>
            <w:t>十三、国有资本经营预算财政拨款收入支出决算表</w:t>
          </w:r>
          <w:r>
            <w:rPr>
              <w:rFonts w:hint="eastAsia" w:ascii="仿宋_GB2312" w:hAnsi="仿宋_GB2312" w:eastAsia="仿宋_GB2312" w:cs="仿宋_GB2312"/>
              <w:sz w:val="32"/>
              <w:szCs w:val="32"/>
            </w:rPr>
            <w:tab/>
          </w:r>
          <w:bookmarkStart w:id="42" w:name="_Toc18774_WPSOffice_Level2Page"/>
          <w:r>
            <w:rPr>
              <w:rFonts w:hint="eastAsia" w:ascii="仿宋_GB2312" w:hAnsi="仿宋_GB2312" w:eastAsia="仿宋_GB2312" w:cs="仿宋_GB2312"/>
              <w:sz w:val="32"/>
              <w:szCs w:val="32"/>
            </w:rPr>
            <w:t>3</w:t>
          </w:r>
          <w:bookmarkEnd w:id="42"/>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fldChar w:fldCharType="end"/>
          </w:r>
        </w:p>
        <w:p>
          <w:pPr>
            <w:pStyle w:val="32"/>
            <w:tabs>
              <w:tab w:val="right" w:leader="dot" w:pos="8306"/>
            </w:tabs>
            <w:spacing w:line="380" w:lineRule="exact"/>
            <w:ind w:left="420"/>
            <w:rPr>
              <w:rFonts w:ascii="仿宋_GB2312" w:hAnsi="仿宋_GB2312" w:eastAsia="仿宋_GB2312" w:cs="仿宋_GB2312"/>
              <w:sz w:val="32"/>
              <w:szCs w:val="32"/>
            </w:rPr>
          </w:pPr>
          <w:r>
            <w:fldChar w:fldCharType="begin"/>
          </w:r>
          <w:r>
            <w:instrText xml:space="preserve"> HYPERLINK \l "_Toc27188_WPSOffice_Level2" </w:instrText>
          </w:r>
          <w:r>
            <w:fldChar w:fldCharType="separate"/>
          </w:r>
          <w:r>
            <w:rPr>
              <w:rFonts w:hint="eastAsia" w:ascii="仿宋_GB2312" w:hAnsi="仿宋_GB2312" w:eastAsia="仿宋_GB2312" w:cs="仿宋_GB2312"/>
              <w:sz w:val="32"/>
              <w:szCs w:val="32"/>
            </w:rPr>
            <w:t>十四、国有资本经营预算财政拨款支出决算表</w:t>
          </w:r>
          <w:r>
            <w:rPr>
              <w:rFonts w:hint="eastAsia" w:ascii="仿宋_GB2312" w:hAnsi="仿宋_GB2312" w:eastAsia="仿宋_GB2312" w:cs="仿宋_GB2312"/>
              <w:sz w:val="32"/>
              <w:szCs w:val="32"/>
            </w:rPr>
            <w:tab/>
          </w:r>
          <w:bookmarkStart w:id="43" w:name="_Toc27188_WPSOffice_Level2Page"/>
          <w:r>
            <w:rPr>
              <w:rFonts w:hint="eastAsia" w:ascii="仿宋_GB2312" w:hAnsi="仿宋_GB2312" w:eastAsia="仿宋_GB2312" w:cs="仿宋_GB2312"/>
              <w:sz w:val="32"/>
              <w:szCs w:val="32"/>
            </w:rPr>
            <w:t>3</w:t>
          </w:r>
          <w:bookmarkEnd w:id="43"/>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fldChar w:fldCharType="end"/>
          </w:r>
        </w:p>
      </w:sdtContent>
    </w:sdt>
    <w:p>
      <w:pPr>
        <w:spacing w:line="560" w:lineRule="exact"/>
        <w:jc w:val="center"/>
        <w:rPr>
          <w:rFonts w:eastAsia="黑体"/>
          <w:sz w:val="44"/>
          <w:szCs w:val="44"/>
        </w:rPr>
      </w:pPr>
      <w:bookmarkStart w:id="44" w:name="_Toc32093_WPSOffice_Level1"/>
      <w:r>
        <w:rPr>
          <w:rFonts w:eastAsia="黑体"/>
          <w:sz w:val="44"/>
          <w:szCs w:val="44"/>
        </w:rPr>
        <w:t>第一部分 单位概况</w:t>
      </w:r>
      <w:bookmarkEnd w:id="12"/>
      <w:bookmarkEnd w:id="13"/>
      <w:bookmarkEnd w:id="44"/>
    </w:p>
    <w:p>
      <w:pPr>
        <w:spacing w:line="560" w:lineRule="exact"/>
        <w:ind w:firstLine="640" w:firstLineChars="200"/>
        <w:rPr>
          <w:rFonts w:eastAsia="仿宋_GB2312"/>
          <w:sz w:val="32"/>
          <w:szCs w:val="32"/>
        </w:rPr>
      </w:pPr>
      <w:bookmarkStart w:id="45" w:name="_Toc31074_WPSOffice_Level2"/>
      <w:bookmarkStart w:id="46" w:name="_Toc15396600"/>
      <w:bookmarkStart w:id="47" w:name="_Toc15377197"/>
    </w:p>
    <w:p>
      <w:pPr>
        <w:spacing w:line="560" w:lineRule="exact"/>
        <w:ind w:firstLine="640" w:firstLineChars="200"/>
        <w:rPr>
          <w:rFonts w:eastAsia="黑体"/>
          <w:sz w:val="32"/>
          <w:szCs w:val="32"/>
        </w:rPr>
      </w:pPr>
      <w:r>
        <w:rPr>
          <w:rFonts w:eastAsia="黑体"/>
          <w:sz w:val="32"/>
          <w:szCs w:val="32"/>
        </w:rPr>
        <w:t>一、职能简介</w:t>
      </w:r>
      <w:bookmarkEnd w:id="45"/>
    </w:p>
    <w:p>
      <w:pPr>
        <w:spacing w:line="560" w:lineRule="exact"/>
        <w:ind w:firstLine="640" w:firstLineChars="200"/>
        <w:rPr>
          <w:rFonts w:eastAsia="楷体_GB2312"/>
          <w:sz w:val="32"/>
          <w:szCs w:val="32"/>
        </w:rPr>
      </w:pPr>
      <w:r>
        <w:rPr>
          <w:rFonts w:eastAsia="楷体_GB2312"/>
          <w:sz w:val="32"/>
          <w:szCs w:val="32"/>
        </w:rPr>
        <w:t>（一）主要职能。</w:t>
      </w:r>
    </w:p>
    <w:p>
      <w:pPr>
        <w:spacing w:line="560" w:lineRule="exact"/>
        <w:ind w:firstLine="640" w:firstLineChars="200"/>
        <w:rPr>
          <w:rFonts w:eastAsia="仿宋_GB2312"/>
          <w:sz w:val="32"/>
          <w:szCs w:val="32"/>
        </w:rPr>
      </w:pPr>
      <w:r>
        <w:rPr>
          <w:rFonts w:eastAsia="仿宋_GB2312"/>
          <w:sz w:val="32"/>
          <w:szCs w:val="32"/>
        </w:rPr>
        <w:t>1.拟订全县财税发展战略、规划、政策和改革方案并组织实施。分析预测宏观经济形势，参与制定各项经济政策，提出运用财税政策实施宏观调控和综合平衡社会财力的建议。拟订县与乡（镇）政府、政府与企业的分配政策，完善鼓励公益事业发展的财税政策。</w:t>
      </w:r>
    </w:p>
    <w:p>
      <w:pPr>
        <w:spacing w:line="560" w:lineRule="exact"/>
        <w:ind w:firstLine="640" w:firstLineChars="200"/>
        <w:rPr>
          <w:rFonts w:eastAsia="仿宋_GB2312"/>
          <w:sz w:val="32"/>
          <w:szCs w:val="32"/>
        </w:rPr>
      </w:pPr>
      <w:r>
        <w:rPr>
          <w:rFonts w:eastAsia="仿宋_GB2312"/>
          <w:sz w:val="32"/>
          <w:szCs w:val="32"/>
        </w:rPr>
        <w:t>2.贯彻执行财政、税收、财务、会计管理的法律法规和规章。负责组织起草地方性财政政策、规范性文件和规章制度并组织实施。按照管理权限管理全县税政事项。承办国务院关税税则委员会办公室要求县一级承担的工作。</w:t>
      </w:r>
    </w:p>
    <w:p>
      <w:pPr>
        <w:spacing w:line="560" w:lineRule="exact"/>
        <w:ind w:firstLine="640" w:firstLineChars="200"/>
        <w:rPr>
          <w:rFonts w:eastAsia="仿宋_GB2312"/>
          <w:sz w:val="32"/>
          <w:szCs w:val="32"/>
        </w:rPr>
      </w:pPr>
      <w:r>
        <w:rPr>
          <w:rFonts w:eastAsia="仿宋_GB2312"/>
          <w:sz w:val="32"/>
          <w:szCs w:val="32"/>
        </w:rPr>
        <w:t>3.负责管理各项财政收支。编制年度县级预决算草案并组织执行。组织制定经费开支标准、定额，审核批复部门（单位）年度预决算。受县政府委托，向县人大及其常委会报告财政预算、执行和决算等情况。负责政府投资基金县级财政出资的资产管理。负责县级预决算公开。负责全面实施预算绩效管理。</w:t>
      </w:r>
    </w:p>
    <w:p>
      <w:pPr>
        <w:spacing w:line="560" w:lineRule="exact"/>
        <w:ind w:firstLine="640" w:firstLineChars="200"/>
        <w:rPr>
          <w:rFonts w:eastAsia="仿宋_GB2312"/>
          <w:sz w:val="32"/>
          <w:szCs w:val="32"/>
        </w:rPr>
      </w:pPr>
      <w:r>
        <w:rPr>
          <w:rFonts w:eastAsia="仿宋_GB2312"/>
          <w:sz w:val="32"/>
          <w:szCs w:val="32"/>
        </w:rPr>
        <w:t>4.按分工负责政府非税收入管理。负责政府性基金管理，按规定管理行政事业性收费等其他非税收入。管理财政票据。贯彻执行彩票管理政策，监管彩票市场，按规定管理彩票资金。</w:t>
      </w:r>
    </w:p>
    <w:p>
      <w:pPr>
        <w:spacing w:line="560" w:lineRule="exact"/>
        <w:ind w:firstLine="640" w:firstLineChars="200"/>
        <w:rPr>
          <w:rFonts w:eastAsia="仿宋_GB2312"/>
          <w:sz w:val="32"/>
          <w:szCs w:val="32"/>
        </w:rPr>
      </w:pPr>
      <w:r>
        <w:rPr>
          <w:rFonts w:eastAsia="仿宋_GB2312"/>
          <w:sz w:val="32"/>
          <w:szCs w:val="32"/>
        </w:rPr>
        <w:t>5.组织制定全县国库管理制度、国库集中收付制度，指导和监督国库业务，开展国库现金管理工作。贯彻执行政府财务报告编制办法并组织实施。监督管理全县政府采购工作。</w:t>
      </w:r>
    </w:p>
    <w:p>
      <w:pPr>
        <w:spacing w:line="560" w:lineRule="exact"/>
        <w:ind w:firstLine="640" w:firstLineChars="200"/>
        <w:rPr>
          <w:rFonts w:eastAsia="仿宋_GB2312"/>
          <w:sz w:val="32"/>
          <w:szCs w:val="32"/>
        </w:rPr>
      </w:pPr>
      <w:r>
        <w:rPr>
          <w:rFonts w:eastAsia="仿宋_GB2312"/>
          <w:sz w:val="32"/>
          <w:szCs w:val="32"/>
        </w:rPr>
        <w:t xml:space="preserve">6.贯彻执行地方政府债务管理制度和政策，制定具体管理办法，编制地方政府债余额限额计划，统一管理政府外债，防范财政风险。                   </w:t>
      </w:r>
    </w:p>
    <w:p>
      <w:pPr>
        <w:spacing w:line="560" w:lineRule="exact"/>
        <w:ind w:firstLine="640" w:firstLineChars="200"/>
        <w:rPr>
          <w:rFonts w:eastAsia="仿宋_GB2312"/>
          <w:sz w:val="32"/>
          <w:szCs w:val="32"/>
        </w:rPr>
      </w:pPr>
      <w:r>
        <w:rPr>
          <w:rFonts w:eastAsia="仿宋_GB2312"/>
          <w:sz w:val="32"/>
          <w:szCs w:val="32"/>
        </w:rPr>
        <w:t>7.牵头编制全县国有资产管理情况报告。根据县政府授权，集中统一履行县级国有金融资本出资人职责。制定县级国有金融资本管理制度。拟订全县行政事业单位国有资产管理制度并组织实施。制定需要全县统一规定的开支标准和支出政策。负责县属国有企业监督管理。</w:t>
      </w:r>
    </w:p>
    <w:p>
      <w:pPr>
        <w:spacing w:line="560" w:lineRule="exact"/>
        <w:ind w:firstLine="640" w:firstLineChars="200"/>
        <w:rPr>
          <w:rFonts w:eastAsia="仿宋_GB2312"/>
          <w:sz w:val="32"/>
          <w:szCs w:val="32"/>
        </w:rPr>
      </w:pPr>
      <w:r>
        <w:rPr>
          <w:rFonts w:eastAsia="仿宋_GB2312"/>
          <w:sz w:val="32"/>
          <w:szCs w:val="32"/>
        </w:rPr>
        <w:t>8.负责审核并汇总编制全县国有资本经营预决算草案。制定国有资本经营预算制度和办法，收取县本级企业国有资本收益。组织实施企业财务制度，负责财政预算内行政事业单位和社会团体的非贸易外汇和财政预算内的国际收支管理。</w:t>
      </w:r>
    </w:p>
    <w:p>
      <w:pPr>
        <w:spacing w:line="560" w:lineRule="exact"/>
        <w:ind w:firstLine="640" w:firstLineChars="200"/>
        <w:rPr>
          <w:rFonts w:eastAsia="仿宋_GB2312"/>
          <w:sz w:val="32"/>
          <w:szCs w:val="32"/>
        </w:rPr>
      </w:pPr>
      <w:r>
        <w:rPr>
          <w:rFonts w:eastAsia="仿宋_GB2312"/>
          <w:sz w:val="32"/>
          <w:szCs w:val="32"/>
        </w:rPr>
        <w:t>9.负责审核并汇总编制全县社会保险基金预决算草案，会同有关部门拟订有关资金（基金）财务管理制度，承担社会保险基金财政监管工作。</w:t>
      </w:r>
    </w:p>
    <w:p>
      <w:pPr>
        <w:spacing w:line="560" w:lineRule="exact"/>
        <w:ind w:firstLine="640" w:firstLineChars="200"/>
        <w:rPr>
          <w:rFonts w:eastAsia="仿宋_GB2312"/>
          <w:sz w:val="32"/>
          <w:szCs w:val="32"/>
        </w:rPr>
      </w:pPr>
      <w:r>
        <w:rPr>
          <w:rFonts w:eastAsia="仿宋_GB2312"/>
          <w:sz w:val="32"/>
          <w:szCs w:val="32"/>
        </w:rPr>
        <w:t>10.负责办理和监督县级财政的经济发展支出、县级政府性投资项目的财政拨款，负责投资评审管理工作，参与拟订县级基建投资有关政策，制定基建财务管理制度。负责政府性投资项目竣工决算、结算管理工作。</w:t>
      </w:r>
    </w:p>
    <w:p>
      <w:pPr>
        <w:spacing w:line="560" w:lineRule="exact"/>
        <w:ind w:firstLine="640" w:firstLineChars="200"/>
        <w:rPr>
          <w:rFonts w:eastAsia="仿宋_GB2312"/>
          <w:sz w:val="32"/>
          <w:szCs w:val="32"/>
        </w:rPr>
      </w:pPr>
      <w:r>
        <w:rPr>
          <w:rFonts w:eastAsia="仿宋_GB2312"/>
          <w:sz w:val="32"/>
          <w:szCs w:val="32"/>
        </w:rPr>
        <w:t>11.管理外国政府和国际金融机构贷（赠）款项目的有关业务，参与财经领域的国际交流与合作。</w:t>
      </w:r>
    </w:p>
    <w:p>
      <w:pPr>
        <w:spacing w:line="560" w:lineRule="exact"/>
        <w:ind w:firstLine="640" w:firstLineChars="200"/>
        <w:rPr>
          <w:rFonts w:eastAsia="仿宋_GB2312"/>
          <w:sz w:val="32"/>
          <w:szCs w:val="32"/>
        </w:rPr>
      </w:pPr>
      <w:r>
        <w:rPr>
          <w:rFonts w:eastAsia="仿宋_GB2312"/>
          <w:sz w:val="32"/>
          <w:szCs w:val="32"/>
        </w:rPr>
        <w:t>12.负责管理全县会计工作，监督和规范会计行为，组织实施国家统一的会计制度，指导社会审计。依法管理资产评估有关工作。</w:t>
      </w:r>
    </w:p>
    <w:p>
      <w:pPr>
        <w:spacing w:line="560" w:lineRule="exact"/>
        <w:ind w:firstLine="640" w:firstLineChars="200"/>
        <w:rPr>
          <w:rFonts w:eastAsia="仿宋_GB2312"/>
          <w:sz w:val="32"/>
          <w:szCs w:val="32"/>
        </w:rPr>
      </w:pPr>
      <w:r>
        <w:rPr>
          <w:rFonts w:eastAsia="仿宋_GB2312"/>
          <w:sz w:val="32"/>
          <w:szCs w:val="32"/>
        </w:rPr>
        <w:t>13.拟定和执行国有资产管理的政策法规、规章制度和管理办法；负责全县行政事业单位国有资产及国有资产经营收益管理工作；组织实施行政事业单位国有资产及县属国有企业资产的清产核资和绩效评价工作；组织实施县级行政事业单位及国有企业产权界定、企业国有资产产权界定和转让工作，监缴国有资产收益；负责国有资产及县属国有企业资产的统计、分析；指导和监督行政事业单位、县属国有企业资产的产权界定、清查登记等工作；指导和监督办理执行《企业财务通则》和相关财务会计制度，参与拟定企业国有资产管理相关制度；负责所监管的经营性事业单位转企改制工作。</w:t>
      </w:r>
    </w:p>
    <w:p>
      <w:pPr>
        <w:spacing w:line="560" w:lineRule="exact"/>
        <w:ind w:firstLine="640" w:firstLineChars="200"/>
        <w:rPr>
          <w:rFonts w:eastAsia="仿宋_GB2312"/>
          <w:sz w:val="32"/>
          <w:szCs w:val="32"/>
        </w:rPr>
      </w:pPr>
      <w:r>
        <w:rPr>
          <w:rFonts w:eastAsia="仿宋_GB2312"/>
          <w:sz w:val="32"/>
          <w:szCs w:val="32"/>
        </w:rPr>
        <w:t>14.会同有关部门拟订地方金融政策措施。拟订全县金融业发展的中长期规划并组织实施；负责联系协调全县金融机构，推动地方政府与金融机构合作交流，防控金融风险、深化金融改革；会同有关部门推进地方金融业规范发展，组建、培育、壮大地方法人金融机构；统筹推进全县企业直接融资工作，统筹全市地方金融要素市场体系建设，参与全县投融资体制改革工作；负责全县小额贷款公司、融资担保公司、典当行、融资租赁公司等监管；负责地方金融机构和金融中介机构的行业管理和服务，促进金融中介服务业发展，参与拟订促进与金融业密切相关的中介服务机构发展的政策、规划并配合有关部门实施；维护地方金融秩序，牵头会同有关部门防范、化解和处置地方金融风险；牵头处置非法集资、协调配合有关部门打击其他非法金融活动；推进全县金融知识宣传普及工作。</w:t>
      </w:r>
    </w:p>
    <w:p>
      <w:pPr>
        <w:spacing w:line="560" w:lineRule="exact"/>
        <w:ind w:firstLine="640" w:firstLineChars="200"/>
        <w:rPr>
          <w:rFonts w:eastAsia="仿宋_GB2312"/>
          <w:sz w:val="32"/>
          <w:szCs w:val="32"/>
        </w:rPr>
      </w:pPr>
      <w:r>
        <w:rPr>
          <w:rFonts w:eastAsia="仿宋_GB2312"/>
          <w:sz w:val="32"/>
          <w:szCs w:val="32"/>
        </w:rPr>
        <w:t>15.负责职责范围内的安全生产和职业健康、生态环境保护、审批服务便民化等工作。</w:t>
      </w:r>
    </w:p>
    <w:p>
      <w:pPr>
        <w:spacing w:line="560" w:lineRule="exact"/>
        <w:ind w:firstLine="640" w:firstLineChars="200"/>
        <w:rPr>
          <w:rFonts w:eastAsia="仿宋_GB2312"/>
          <w:sz w:val="32"/>
          <w:szCs w:val="32"/>
        </w:rPr>
      </w:pPr>
      <w:r>
        <w:rPr>
          <w:rFonts w:eastAsia="仿宋_GB2312"/>
          <w:sz w:val="32"/>
          <w:szCs w:val="32"/>
        </w:rPr>
        <w:t>16.完成县委、县政府交办的其他任务。</w:t>
      </w:r>
    </w:p>
    <w:p>
      <w:pPr>
        <w:spacing w:line="560" w:lineRule="exact"/>
        <w:ind w:firstLine="640" w:firstLineChars="200"/>
        <w:rPr>
          <w:rFonts w:eastAsia="仿宋_GB2312"/>
          <w:sz w:val="32"/>
          <w:szCs w:val="32"/>
        </w:rPr>
      </w:pPr>
      <w:r>
        <w:rPr>
          <w:rFonts w:eastAsia="仿宋_GB2312"/>
          <w:sz w:val="32"/>
          <w:szCs w:val="32"/>
        </w:rPr>
        <w:t>17.职能转变。</w:t>
      </w:r>
    </w:p>
    <w:p>
      <w:pPr>
        <w:spacing w:line="560" w:lineRule="exact"/>
        <w:ind w:firstLine="640" w:firstLineChars="200"/>
        <w:rPr>
          <w:rFonts w:eastAsia="仿宋_GB2312"/>
          <w:sz w:val="32"/>
          <w:szCs w:val="32"/>
        </w:rPr>
      </w:pPr>
      <w:r>
        <w:rPr>
          <w:rFonts w:eastAsia="仿宋_GB2312"/>
          <w:sz w:val="32"/>
          <w:szCs w:val="32"/>
        </w:rPr>
        <w:t>（1）完善宏观调控体系，创新调控方式，构建发展规划、财政、金融等政策协调和工作协同机制，强化经济监测预测预警能力，建立健全重大问题研究和政策储备工作机制，增强宏观调控前瞻性、针对性、协同性。</w:t>
      </w:r>
    </w:p>
    <w:p>
      <w:pPr>
        <w:spacing w:line="560" w:lineRule="exact"/>
        <w:ind w:firstLine="640" w:firstLineChars="200"/>
        <w:rPr>
          <w:rFonts w:eastAsia="仿宋_GB2312"/>
          <w:sz w:val="32"/>
          <w:szCs w:val="32"/>
        </w:rPr>
      </w:pPr>
      <w:r>
        <w:rPr>
          <w:rFonts w:eastAsia="仿宋_GB2312"/>
          <w:sz w:val="32"/>
          <w:szCs w:val="32"/>
        </w:rPr>
        <w:t>（2）深化财税体制改革。加快建立现代财政制度，推进财政事权和支出责任划分改革，理顺县与乡（镇）收入划分，建立权责清晰、财力协调、区域均衡的县以下政府间财政关系。完善转移支付制度，优化转移支付分类，规范转移支付项目，增强地方统筹能力。逐步统一预算分配，全面实施绩效管理，建立全面规范透明、标准科学、约束有力的预算制度。全面推行政府性基金和行政事业性收费清单管理，完善监督制度。深化税收制度改革，健全地方税体系，逐步提高直接税比重，推动形成税法统一、税负公平、调节有度的税收制度体系。</w:t>
      </w:r>
    </w:p>
    <w:p>
      <w:pPr>
        <w:spacing w:line="560" w:lineRule="exact"/>
        <w:ind w:firstLine="640" w:firstLineChars="200"/>
        <w:rPr>
          <w:rFonts w:eastAsia="仿宋_GB2312"/>
          <w:sz w:val="32"/>
          <w:szCs w:val="32"/>
        </w:rPr>
      </w:pPr>
      <w:r>
        <w:rPr>
          <w:rFonts w:eastAsia="仿宋_GB2312"/>
          <w:sz w:val="32"/>
          <w:szCs w:val="32"/>
        </w:rPr>
        <w:t>（3）防范化解地方政府债务风险。规范举债融资机制，构建“闭环”管理体系，严控法定限额内债务风险，着力防控隐性债务风险，牢牢守住不发生系统性风险的底线。</w:t>
      </w:r>
    </w:p>
    <w:p>
      <w:pPr>
        <w:spacing w:line="560" w:lineRule="exact"/>
        <w:ind w:firstLine="640" w:firstLineChars="200"/>
        <w:rPr>
          <w:rFonts w:eastAsia="仿宋_GB2312"/>
          <w:sz w:val="32"/>
          <w:szCs w:val="32"/>
        </w:rPr>
      </w:pPr>
      <w:r>
        <w:rPr>
          <w:rFonts w:eastAsia="仿宋_GB2312"/>
          <w:sz w:val="32"/>
          <w:szCs w:val="32"/>
        </w:rPr>
        <w:t>18.有关职责分工。</w:t>
      </w:r>
    </w:p>
    <w:p>
      <w:pPr>
        <w:spacing w:line="560" w:lineRule="exact"/>
        <w:ind w:firstLine="640" w:firstLineChars="200"/>
        <w:rPr>
          <w:rFonts w:eastAsia="仿宋_GB2312"/>
          <w:sz w:val="32"/>
          <w:szCs w:val="32"/>
        </w:rPr>
      </w:pPr>
      <w:r>
        <w:rPr>
          <w:rFonts w:eastAsia="仿宋_GB2312"/>
          <w:sz w:val="32"/>
          <w:szCs w:val="32"/>
        </w:rPr>
        <w:t>（1）税政管理职责分工。县财政局负责提出税收政策建议，与县税务局共同上报和下发。参与提出关税政策建议。</w:t>
      </w:r>
    </w:p>
    <w:p>
      <w:pPr>
        <w:spacing w:line="560" w:lineRule="exact"/>
        <w:ind w:firstLine="640" w:firstLineChars="200"/>
        <w:rPr>
          <w:rFonts w:eastAsia="仿宋_GB2312"/>
          <w:sz w:val="32"/>
          <w:szCs w:val="32"/>
        </w:rPr>
      </w:pPr>
      <w:r>
        <w:rPr>
          <w:rFonts w:eastAsia="仿宋_GB2312"/>
          <w:sz w:val="32"/>
          <w:szCs w:val="32"/>
        </w:rPr>
        <w:t>（2）非税收入管理职责分工。县财政局贯彻落实非税收入国库集中收缴制度，负责非税收入账户、收缴方式、退付退库等管理。县税务局等部门按照非税收入国库集中收缴等有关规定，负责做好非税收入申报征收、会统核算、缴费检查、欠费追缴和违法处罚等工作，有关非税收入项目收缴信息与县财政局及时共享。</w:t>
      </w:r>
    </w:p>
    <w:p>
      <w:pPr>
        <w:spacing w:line="560" w:lineRule="exact"/>
        <w:ind w:firstLine="640" w:firstLineChars="200"/>
        <w:rPr>
          <w:rFonts w:eastAsia="仿宋_GB2312"/>
          <w:sz w:val="32"/>
          <w:szCs w:val="32"/>
        </w:rPr>
      </w:pPr>
      <w:r>
        <w:rPr>
          <w:rFonts w:eastAsia="仿宋_GB2312"/>
          <w:sz w:val="32"/>
          <w:szCs w:val="32"/>
        </w:rPr>
        <w:t xml:space="preserve">（3）县级行政事业单位国有资产管理职责分工。县财政局负责制定行政事业单位国有资产管理制度，并负责组织实施和监督检查。会同县政府办（县机关事务管理局）负责县级行政事业单位国有资产管理。县政府办（县机关事务管理局）负责制定县级行政事业单位国有资产管理具体制度和办法并组织实施，承担产权界定、清查登记、资产处置等工作，接受县财政局的指导和监督检查。县级行政事业单位具体承担所属事业单位及派出机构的国有资产管理工作。 </w:t>
      </w:r>
    </w:p>
    <w:p>
      <w:pPr>
        <w:spacing w:line="560" w:lineRule="exact"/>
        <w:ind w:firstLine="640" w:firstLineChars="200"/>
        <w:rPr>
          <w:rFonts w:eastAsia="仿宋_GB2312"/>
          <w:sz w:val="32"/>
          <w:szCs w:val="32"/>
        </w:rPr>
      </w:pPr>
      <w:r>
        <w:rPr>
          <w:rFonts w:eastAsia="仿宋_GB2312"/>
          <w:sz w:val="32"/>
          <w:szCs w:val="32"/>
        </w:rPr>
        <w:t>（4）各类投资基金管理职责分工。县发展改革局负责指导相关部门推动政府出资产业投资基金行业信用体系建设，配合有关部门贯彻执行促进私募股权基金发展的政策措施。县财政局负责地方国有金融资本管理工作，会同县发展改革局及县级行业部门负责财政性资金出资发起设立或参股设立的股权投资基金管理。县财政局参与指导各类投资基金规范发展。</w:t>
      </w:r>
    </w:p>
    <w:p>
      <w:pPr>
        <w:spacing w:line="560" w:lineRule="exact"/>
        <w:ind w:firstLine="640" w:firstLineChars="200"/>
        <w:rPr>
          <w:rFonts w:hint="eastAsia" w:eastAsia="楷体_GB2312"/>
          <w:sz w:val="32"/>
          <w:szCs w:val="32"/>
          <w:lang w:val="en-US" w:eastAsia="zh-CN"/>
        </w:rPr>
      </w:pPr>
      <w:bookmarkStart w:id="48" w:name="_Toc1969_WPSOffice_Level2"/>
      <w:r>
        <w:rPr>
          <w:rFonts w:hint="eastAsia" w:eastAsia="黑体"/>
          <w:sz w:val="32"/>
          <w:szCs w:val="32"/>
          <w:lang w:eastAsia="zh-CN"/>
        </w:rPr>
        <w:t>（</w:t>
      </w:r>
      <w:r>
        <w:rPr>
          <w:rFonts w:hint="eastAsia" w:eastAsia="楷体_GB2312"/>
          <w:sz w:val="32"/>
          <w:szCs w:val="32"/>
          <w:lang w:val="en-US" w:eastAsia="zh-CN"/>
        </w:rPr>
        <w:t>二</w:t>
      </w:r>
      <w:r>
        <w:rPr>
          <w:rFonts w:hint="eastAsia" w:eastAsia="楷体_GB2312"/>
          <w:sz w:val="32"/>
          <w:szCs w:val="32"/>
          <w:lang w:eastAsia="zh-CN"/>
        </w:rPr>
        <w:t>）</w:t>
      </w:r>
      <w:r>
        <w:rPr>
          <w:rFonts w:hint="eastAsia" w:eastAsia="楷体_GB2312"/>
          <w:sz w:val="32"/>
          <w:szCs w:val="32"/>
          <w:lang w:val="en-US" w:eastAsia="zh-CN"/>
        </w:rPr>
        <w:t>机构设置</w:t>
      </w:r>
    </w:p>
    <w:p>
      <w:pPr>
        <w:pStyle w:val="2"/>
        <w:ind w:firstLine="640" w:firstLineChars="200"/>
        <w:rPr>
          <w:rFonts w:ascii="Times New Roman" w:hAnsi="Times New Roman" w:eastAsia="仿宋_GB2312" w:cs="Times New Roman"/>
          <w:kern w:val="2"/>
          <w:sz w:val="32"/>
          <w:szCs w:val="32"/>
          <w:lang w:val="en-US" w:eastAsia="zh-CN" w:bidi="ar-SA"/>
        </w:rPr>
      </w:pPr>
      <w:r>
        <w:rPr>
          <w:rFonts w:ascii="Times New Roman" w:hAnsi="Times New Roman" w:eastAsia="仿宋_GB2312" w:cs="Times New Roman"/>
          <w:kern w:val="2"/>
          <w:sz w:val="32"/>
          <w:szCs w:val="32"/>
          <w:lang w:val="en-US" w:eastAsia="zh-CN" w:bidi="ar-SA"/>
        </w:rPr>
        <w:t>我局为一级行政单位，下属二级决算单位2个，参照公务员法管理的事业单位1个、其他事业单位1个。</w:t>
      </w:r>
    </w:p>
    <w:p>
      <w:pPr>
        <w:pStyle w:val="2"/>
        <w:ind w:firstLine="640" w:firstLineChars="200"/>
        <w:rPr>
          <w:rFonts w:eastAsia="黑体"/>
          <w:sz w:val="32"/>
          <w:szCs w:val="32"/>
        </w:rPr>
      </w:pPr>
      <w:r>
        <w:rPr>
          <w:rFonts w:eastAsia="黑体"/>
          <w:sz w:val="32"/>
          <w:szCs w:val="32"/>
        </w:rPr>
        <w:t>二、2021年重点工作</w:t>
      </w:r>
      <w:bookmarkEnd w:id="46"/>
      <w:bookmarkEnd w:id="47"/>
      <w:r>
        <w:rPr>
          <w:rFonts w:eastAsia="黑体"/>
          <w:sz w:val="32"/>
          <w:szCs w:val="32"/>
        </w:rPr>
        <w:t>完成情况</w:t>
      </w:r>
      <w:bookmarkEnd w:id="48"/>
    </w:p>
    <w:p>
      <w:pPr>
        <w:spacing w:line="560" w:lineRule="exact"/>
        <w:ind w:firstLine="640" w:firstLineChars="200"/>
        <w:rPr>
          <w:rFonts w:eastAsia="楷体_GB2312"/>
          <w:sz w:val="32"/>
          <w:szCs w:val="32"/>
        </w:rPr>
      </w:pPr>
      <w:r>
        <w:rPr>
          <w:rFonts w:eastAsia="楷体_GB2312"/>
          <w:sz w:val="32"/>
          <w:szCs w:val="32"/>
        </w:rPr>
        <w:t>（一）财政管理。</w:t>
      </w:r>
    </w:p>
    <w:p>
      <w:pPr>
        <w:spacing w:line="560" w:lineRule="exact"/>
        <w:ind w:firstLine="643" w:firstLineChars="200"/>
        <w:rPr>
          <w:rFonts w:eastAsia="仿宋_GB2312"/>
          <w:sz w:val="32"/>
          <w:szCs w:val="32"/>
        </w:rPr>
      </w:pPr>
      <w:r>
        <w:rPr>
          <w:rFonts w:hint="eastAsia" w:eastAsia="仿宋_GB2312"/>
          <w:b/>
          <w:sz w:val="32"/>
          <w:szCs w:val="32"/>
        </w:rPr>
        <w:t>[</w:t>
      </w:r>
      <w:r>
        <w:rPr>
          <w:rFonts w:eastAsia="仿宋_GB2312"/>
          <w:b/>
          <w:sz w:val="32"/>
          <w:szCs w:val="32"/>
        </w:rPr>
        <w:t>三抓一强</w:t>
      </w:r>
      <w:r>
        <w:rPr>
          <w:rFonts w:hint="eastAsia" w:eastAsia="仿宋_GB2312"/>
          <w:b/>
          <w:sz w:val="32"/>
          <w:szCs w:val="32"/>
        </w:rPr>
        <w:t>]</w:t>
      </w:r>
      <w:r>
        <w:rPr>
          <w:rFonts w:eastAsia="仿宋_GB2312"/>
          <w:sz w:val="32"/>
          <w:szCs w:val="32"/>
        </w:rPr>
        <w:t>强化“三抓一强”基础工作，深入剖析解读政策，充分用活用好政策，积极与省财政对接，加大对均衡性转移支付、县级基本财力保障机制奖补资金、贫困地区转移支付、重点生态功能区转移支付、债券资金等争取力度。同时，通过安排项目包装经费、及时兑现对上争取激励等措施，充分调动各部门资金争取的积极性。2021年全县共争取上级各项资金180,513万元，比2020年的153,786万元增加了26,727万元，增长17.38 %。</w:t>
      </w:r>
    </w:p>
    <w:p>
      <w:pPr>
        <w:spacing w:line="560" w:lineRule="exact"/>
        <w:ind w:firstLine="643" w:firstLineChars="200"/>
        <w:rPr>
          <w:rFonts w:eastAsia="仿宋_GB2312"/>
          <w:sz w:val="32"/>
          <w:szCs w:val="32"/>
        </w:rPr>
      </w:pPr>
      <w:r>
        <w:rPr>
          <w:rFonts w:eastAsia="仿宋_GB2312"/>
          <w:b/>
          <w:sz w:val="32"/>
          <w:szCs w:val="32"/>
        </w:rPr>
        <w:t>[三大攻坚战]打好防范化解重大风险攻坚战。</w:t>
      </w:r>
      <w:r>
        <w:rPr>
          <w:rFonts w:eastAsia="仿宋_GB2312"/>
          <w:sz w:val="32"/>
          <w:szCs w:val="32"/>
        </w:rPr>
        <w:t xml:space="preserve">积极争取债券资金，全年争取新增债券资金41,000万元，再融资债券资金16,150万元，有力支持了我县重大项目建设。健全制度机制，积极消化债务存量，政府综合债务率约81%（初步测算数据，准确数据省财政厅暂未下发）、利息支出率2.458%。偿还存量政府债务和到期地方政府债券本金16,150万元、地方政府债券利息6,793万元，偿还隐性债务本金合计10,741万元，偿还或有债务本金3,900万元，化解县本级财政暂付款9,541万元，守住了不出现系统性风险的底线。  </w:t>
      </w:r>
    </w:p>
    <w:p>
      <w:pPr>
        <w:spacing w:line="560" w:lineRule="exact"/>
        <w:ind w:firstLine="643" w:firstLineChars="200"/>
        <w:rPr>
          <w:rFonts w:eastAsia="仿宋_GB2312"/>
          <w:sz w:val="32"/>
          <w:szCs w:val="32"/>
        </w:rPr>
      </w:pPr>
      <w:r>
        <w:rPr>
          <w:rFonts w:eastAsia="仿宋_GB2312"/>
          <w:b/>
          <w:sz w:val="32"/>
          <w:szCs w:val="32"/>
        </w:rPr>
        <w:t>做好</w:t>
      </w:r>
      <w:r>
        <w:rPr>
          <w:rFonts w:hint="eastAsia" w:eastAsia="仿宋_GB2312"/>
          <w:b/>
          <w:sz w:val="32"/>
          <w:szCs w:val="32"/>
        </w:rPr>
        <w:t>巩固拓展脱贫攻坚成果同乡村振兴有效衔接</w:t>
      </w:r>
      <w:r>
        <w:rPr>
          <w:rFonts w:eastAsia="仿宋_GB2312"/>
          <w:b/>
          <w:sz w:val="32"/>
          <w:szCs w:val="32"/>
        </w:rPr>
        <w:t>。</w:t>
      </w:r>
      <w:r>
        <w:rPr>
          <w:rFonts w:eastAsia="仿宋_GB2312"/>
          <w:sz w:val="32"/>
          <w:szCs w:val="32"/>
        </w:rPr>
        <w:t>严格落实“四不摘”要求，保持财政扶贫政策总体稳定。继续加大财政投入，2021年</w:t>
      </w:r>
      <w:r>
        <w:rPr>
          <w:rFonts w:hint="eastAsia" w:eastAsia="仿宋_GB2312"/>
          <w:sz w:val="32"/>
          <w:szCs w:val="32"/>
        </w:rPr>
        <w:t>巩固拓展脱贫攻坚成果同乡村振兴有效衔接</w:t>
      </w:r>
      <w:r>
        <w:rPr>
          <w:rFonts w:eastAsia="仿宋_GB2312"/>
          <w:sz w:val="32"/>
          <w:szCs w:val="32"/>
        </w:rPr>
        <w:t>共计投入超9,989万元（其中：县级财政专项资金投入996万元），为我县</w:t>
      </w:r>
      <w:r>
        <w:rPr>
          <w:rFonts w:hint="eastAsia" w:eastAsia="仿宋_GB2312"/>
          <w:sz w:val="32"/>
          <w:szCs w:val="32"/>
        </w:rPr>
        <w:t>巩固拓展脱贫攻坚成果同乡村振兴有效衔接</w:t>
      </w:r>
      <w:r>
        <w:rPr>
          <w:rFonts w:eastAsia="仿宋_GB2312"/>
          <w:sz w:val="32"/>
          <w:szCs w:val="32"/>
        </w:rPr>
        <w:t>项目实施提供了资金保障。</w:t>
      </w:r>
    </w:p>
    <w:p>
      <w:pPr>
        <w:spacing w:line="560" w:lineRule="exact"/>
        <w:ind w:firstLine="643" w:firstLineChars="200"/>
        <w:rPr>
          <w:rFonts w:eastAsia="仿宋_GB2312"/>
          <w:sz w:val="32"/>
          <w:szCs w:val="32"/>
        </w:rPr>
      </w:pPr>
      <w:r>
        <w:rPr>
          <w:rFonts w:eastAsia="仿宋_GB2312"/>
          <w:b/>
          <w:sz w:val="32"/>
          <w:szCs w:val="32"/>
        </w:rPr>
        <w:t>打好污染防治攻坚战。</w:t>
      </w:r>
      <w:r>
        <w:rPr>
          <w:rFonts w:eastAsia="仿宋_GB2312"/>
          <w:sz w:val="32"/>
          <w:szCs w:val="32"/>
        </w:rPr>
        <w:t>加快“盐边县环境治理和城镇基础设施建设” PPP 项目建设进度，2021年已经完成投资34,025.39万元。城区生活垃圾转运站、县城污水处理厂扩能重建工程已经完工，县城老旧小区改造工程-月潭小区改造已经完成，其他项目在加紧施工中。</w:t>
      </w:r>
    </w:p>
    <w:p>
      <w:pPr>
        <w:spacing w:line="560" w:lineRule="exact"/>
        <w:ind w:firstLine="643" w:firstLineChars="200"/>
        <w:rPr>
          <w:rFonts w:eastAsia="仿宋_GB2312"/>
          <w:sz w:val="32"/>
          <w:szCs w:val="32"/>
        </w:rPr>
      </w:pPr>
      <w:r>
        <w:rPr>
          <w:rFonts w:eastAsia="仿宋_GB2312"/>
          <w:b/>
          <w:sz w:val="32"/>
          <w:szCs w:val="32"/>
        </w:rPr>
        <w:t>[乡村振兴]</w:t>
      </w:r>
      <w:r>
        <w:rPr>
          <w:rFonts w:eastAsia="仿宋_GB2312"/>
          <w:sz w:val="32"/>
          <w:szCs w:val="32"/>
        </w:rPr>
        <w:t>构建财政投入保障机制，保障财政支农投入与乡村振兴目标任务相适应。全年财政投入乡村振兴资金58,797万元，主要用于水利工程建设、高标准农田建设、现代农业“7+3”产业体系建设等。加大向上资金争取力度，争取上级农业财政专项资金29,189.84万元，其中，农业资金8,552万元、水利资金6,648万元、</w:t>
      </w:r>
      <w:bookmarkStart w:id="127" w:name="_GoBack"/>
      <w:r>
        <w:rPr>
          <w:rFonts w:hint="eastAsia" w:eastAsia="仿宋_GB2312"/>
          <w:sz w:val="32"/>
          <w:szCs w:val="32"/>
        </w:rPr>
        <w:t>巩固</w:t>
      </w:r>
      <w:bookmarkEnd w:id="127"/>
      <w:r>
        <w:rPr>
          <w:rFonts w:hint="eastAsia" w:eastAsia="仿宋_GB2312"/>
          <w:sz w:val="32"/>
          <w:szCs w:val="32"/>
        </w:rPr>
        <w:t>拓展脱贫攻坚成果同乡村振兴有效衔接</w:t>
      </w:r>
      <w:r>
        <w:rPr>
          <w:rFonts w:eastAsia="仿宋_GB2312"/>
          <w:sz w:val="32"/>
          <w:szCs w:val="32"/>
        </w:rPr>
        <w:t>资金8,104.74万元、其他资金5,885.10万元。构建财政金融联动机制，通过设立乡村振兴农业产业发展贷款风险补偿金，由合作银行按照补偿金规模10倍给予信贷支持，累计撬动银行发放农业产业贷款11,756万元。</w:t>
      </w:r>
    </w:p>
    <w:p>
      <w:pPr>
        <w:spacing w:line="560" w:lineRule="exact"/>
        <w:ind w:firstLine="643" w:firstLineChars="200"/>
        <w:rPr>
          <w:rFonts w:eastAsia="仿宋_GB2312"/>
          <w:sz w:val="32"/>
          <w:szCs w:val="32"/>
        </w:rPr>
      </w:pPr>
      <w:r>
        <w:rPr>
          <w:rFonts w:eastAsia="仿宋_GB2312"/>
          <w:b/>
          <w:sz w:val="32"/>
          <w:szCs w:val="32"/>
        </w:rPr>
        <w:t>[政府采购]</w:t>
      </w:r>
      <w:r>
        <w:rPr>
          <w:rFonts w:eastAsia="仿宋_GB2312"/>
          <w:sz w:val="32"/>
          <w:szCs w:val="32"/>
        </w:rPr>
        <w:t>2021年政府采购预算16,824万元，实际采购16,340万元，节约资金484万元，节约率2.88%。全年共组织采购165场次，成交158场次，其中：公开招标13场次，竞争性谈判11场次，询价采购15场次，竞争性磋商59场次，网上竞价67场次。</w:t>
      </w:r>
    </w:p>
    <w:p>
      <w:pPr>
        <w:spacing w:line="560" w:lineRule="exact"/>
        <w:ind w:firstLine="643" w:firstLineChars="200"/>
        <w:rPr>
          <w:rFonts w:eastAsia="仿宋_GB2312"/>
          <w:sz w:val="32"/>
          <w:szCs w:val="32"/>
        </w:rPr>
      </w:pPr>
      <w:r>
        <w:rPr>
          <w:rFonts w:eastAsia="仿宋_GB2312"/>
          <w:b/>
          <w:sz w:val="32"/>
          <w:szCs w:val="32"/>
        </w:rPr>
        <w:t>[投资评审]</w:t>
      </w:r>
      <w:r>
        <w:rPr>
          <w:rFonts w:eastAsia="仿宋_GB2312"/>
          <w:sz w:val="32"/>
          <w:szCs w:val="32"/>
        </w:rPr>
        <w:t>2021年共评审项目149个，总送审资金67,765万元，审减资金8,095万元，审定资金59,670万元，综合审减率为11.95%。</w:t>
      </w:r>
    </w:p>
    <w:p>
      <w:pPr>
        <w:spacing w:line="560" w:lineRule="exact"/>
        <w:ind w:firstLine="643" w:firstLineChars="200"/>
        <w:rPr>
          <w:rFonts w:eastAsia="仿宋_GB2312"/>
          <w:sz w:val="32"/>
          <w:szCs w:val="32"/>
        </w:rPr>
      </w:pPr>
      <w:r>
        <w:rPr>
          <w:rFonts w:eastAsia="仿宋_GB2312"/>
          <w:b/>
          <w:sz w:val="32"/>
          <w:szCs w:val="32"/>
        </w:rPr>
        <w:t>[财政监督]</w:t>
      </w:r>
      <w:r>
        <w:rPr>
          <w:rFonts w:eastAsia="仿宋_GB2312"/>
          <w:sz w:val="32"/>
          <w:szCs w:val="32"/>
        </w:rPr>
        <w:t>认真贯彻落实严肃财经纪律要求，2021年在全县先后开展了两次“排查清理两项工作”。经排查清理，全县各乡（镇）、各部门分两次共缴入财政18289.38万元（其中：上缴财政非税收入362.74万元，上缴财政代管质保金1218.07万元，上缴财政金库16708.57万元）。深入推进预决算公开工作，2021年重点对2018、2019、2020年3年共涉及438个单位预决算公开情况进行了专项检查，其中：决算公开2018年112 个、2019年110个，预算公开2019年112 个、2020年104 个。联合监督机制逐步形成，2021年向县委巡察工作小组派出10人次（第十一轮6人次、十二轮4人次）参与巡察工作，与纪委、审计局等单位联合开展严肃财经纪律专项检查参与人员21人次。四是发挥财会监督基础防线作用。配合纪检组完成2件信访调查工作，完成巡察组交办线索1件。</w:t>
      </w:r>
    </w:p>
    <w:p>
      <w:pPr>
        <w:spacing w:line="560" w:lineRule="exact"/>
        <w:ind w:firstLine="643" w:firstLineChars="200"/>
        <w:rPr>
          <w:rFonts w:eastAsia="仿宋_GB2312"/>
          <w:sz w:val="32"/>
          <w:szCs w:val="32"/>
        </w:rPr>
      </w:pPr>
      <w:r>
        <w:rPr>
          <w:rFonts w:eastAsia="仿宋_GB2312"/>
          <w:b/>
          <w:sz w:val="32"/>
          <w:szCs w:val="32"/>
        </w:rPr>
        <w:t>[财政改革]</w:t>
      </w:r>
      <w:r>
        <w:rPr>
          <w:rFonts w:eastAsia="仿宋_GB2312"/>
          <w:sz w:val="32"/>
          <w:szCs w:val="32"/>
        </w:rPr>
        <w:t>持续推动电子票据改革和非税收缴系统电子化改革，拓展新的非税征收点。稳步推进预算管理一体化系统建设工作，为财政政策提质增效提供了有效实现途径。</w:t>
      </w:r>
    </w:p>
    <w:p>
      <w:pPr>
        <w:spacing w:line="560" w:lineRule="exact"/>
        <w:ind w:firstLine="643" w:firstLineChars="200"/>
        <w:rPr>
          <w:rFonts w:eastAsia="仿宋_GB2312"/>
          <w:sz w:val="32"/>
          <w:szCs w:val="32"/>
        </w:rPr>
      </w:pPr>
      <w:r>
        <w:rPr>
          <w:rFonts w:eastAsia="仿宋_GB2312"/>
          <w:b/>
          <w:sz w:val="32"/>
          <w:szCs w:val="32"/>
        </w:rPr>
        <w:t>[盘活用好镇村公有资产]</w:t>
      </w:r>
      <w:r>
        <w:rPr>
          <w:rFonts w:eastAsia="仿宋_GB2312"/>
          <w:sz w:val="32"/>
          <w:szCs w:val="32"/>
        </w:rPr>
        <w:t>结合我县实际，制定资产清查方案，开展了闲置资产清查工作，摸清闲置资产底数及状况，建立闲置资产明细台账。采取“一事一议、一案一策”的方式，研究制定盘活方案，逐一盘活资产。盘活涉改乡镇闲置资产76宗，盘活率达到100%。</w:t>
      </w:r>
    </w:p>
    <w:p>
      <w:pPr>
        <w:spacing w:line="560" w:lineRule="exact"/>
        <w:ind w:firstLine="643" w:firstLineChars="200"/>
        <w:rPr>
          <w:rFonts w:eastAsia="仿宋_GB2312"/>
          <w:sz w:val="32"/>
          <w:szCs w:val="32"/>
        </w:rPr>
      </w:pPr>
      <w:r>
        <w:rPr>
          <w:rFonts w:eastAsia="仿宋_GB2312"/>
          <w:b/>
          <w:sz w:val="32"/>
          <w:szCs w:val="32"/>
        </w:rPr>
        <w:t>[国企改革三年行动]</w:t>
      </w:r>
      <w:r>
        <w:rPr>
          <w:rFonts w:eastAsia="仿宋_GB2312"/>
          <w:sz w:val="32"/>
          <w:szCs w:val="32"/>
        </w:rPr>
        <w:t>发挥统筹协调、指导推动作用，完成盐边县桐子林粮油食品站、盐边县自来水公司2户全民所有制企业公司制改革工作，稳慎推进攀枝花盐边国有林保护局改制工作。</w:t>
      </w:r>
    </w:p>
    <w:p>
      <w:pPr>
        <w:spacing w:line="560" w:lineRule="exact"/>
        <w:ind w:firstLine="643" w:firstLineChars="200"/>
        <w:rPr>
          <w:rFonts w:eastAsia="仿宋_GB2312"/>
          <w:sz w:val="32"/>
          <w:szCs w:val="32"/>
        </w:rPr>
      </w:pPr>
      <w:r>
        <w:rPr>
          <w:rFonts w:eastAsia="仿宋_GB2312"/>
          <w:b/>
          <w:sz w:val="32"/>
          <w:szCs w:val="32"/>
        </w:rPr>
        <w:t>[财政预决算公开]</w:t>
      </w:r>
      <w:r>
        <w:rPr>
          <w:rFonts w:eastAsia="仿宋_GB2312"/>
          <w:sz w:val="32"/>
          <w:szCs w:val="32"/>
        </w:rPr>
        <w:t>全面完成2021年政府预算、部门预算及“三公经费”预算公开和2020年政府决算、部门决算、“三公经费”决算公开工作，公开率达100%，提高了预决算透明度，自觉接受公众监督。</w:t>
      </w:r>
    </w:p>
    <w:p>
      <w:pPr>
        <w:spacing w:line="560" w:lineRule="exact"/>
        <w:ind w:firstLine="643" w:firstLineChars="200"/>
        <w:rPr>
          <w:rFonts w:eastAsia="仿宋_GB2312"/>
          <w:sz w:val="32"/>
          <w:szCs w:val="32"/>
        </w:rPr>
      </w:pPr>
      <w:r>
        <w:rPr>
          <w:rFonts w:eastAsia="仿宋_GB2312"/>
          <w:b/>
          <w:sz w:val="32"/>
          <w:szCs w:val="32"/>
        </w:rPr>
        <w:t>[盘活存量资金]</w:t>
      </w:r>
      <w:r>
        <w:rPr>
          <w:rFonts w:eastAsia="仿宋_GB2312"/>
          <w:sz w:val="32"/>
          <w:szCs w:val="32"/>
        </w:rPr>
        <w:t>加大财政存量资金清理盘活力度，2021年，全县财政盘活存量资金42,303万元，除统筹用于保基本民生、保基层运转等重点领域投入外，用于消化以前年度“暂付款”5,483万元，全年累计消化“暂付款”9,541万元。</w:t>
      </w:r>
    </w:p>
    <w:p>
      <w:pPr>
        <w:spacing w:line="560" w:lineRule="exact"/>
        <w:ind w:firstLine="643" w:firstLineChars="200"/>
        <w:rPr>
          <w:rFonts w:eastAsia="仿宋_GB2312"/>
          <w:sz w:val="32"/>
          <w:szCs w:val="32"/>
        </w:rPr>
      </w:pPr>
      <w:r>
        <w:rPr>
          <w:rFonts w:eastAsia="仿宋_GB2312"/>
          <w:b/>
          <w:sz w:val="32"/>
          <w:szCs w:val="32"/>
        </w:rPr>
        <w:t>[财政支出绩效考评]</w:t>
      </w:r>
      <w:r>
        <w:rPr>
          <w:rFonts w:eastAsia="仿宋_GB2312"/>
          <w:sz w:val="32"/>
          <w:szCs w:val="32"/>
        </w:rPr>
        <w:t>继续推进全面实施预算绩效管理，不断提升财政资金配置和使用效益。一是完善全面实施预算绩效管理工作制度。2021年印发了《盐边县委托第三方机构参与财政预算绩效管理工作暂行办法》、《关于建立预算绩效管理跟踪问效“两书一函”制度的通知》。二是加强预算绩效事中监控。监控资金额度227,329.92万元。三是组织开展部门整体支出绩效评价，全县部门整体支出自评金额260,229.9万元，其中：项目自评287个、涉及金额55,840.81万元。四是加大重点绩效评价力度，2021年对12个项目开展重点绩效评价，涉及项目资金1.42亿元，涵盖教育、卫生、民生、文化、水利等领域。</w:t>
      </w:r>
    </w:p>
    <w:p>
      <w:pPr>
        <w:spacing w:line="560" w:lineRule="exact"/>
        <w:ind w:firstLine="640" w:firstLineChars="200"/>
        <w:rPr>
          <w:rFonts w:eastAsia="楷体_GB2312"/>
          <w:sz w:val="32"/>
          <w:szCs w:val="32"/>
        </w:rPr>
      </w:pPr>
      <w:r>
        <w:rPr>
          <w:rFonts w:eastAsia="楷体_GB2312"/>
          <w:sz w:val="32"/>
          <w:szCs w:val="32"/>
        </w:rPr>
        <w:t>（二）财政收支。</w:t>
      </w:r>
    </w:p>
    <w:p>
      <w:pPr>
        <w:spacing w:line="560" w:lineRule="exact"/>
        <w:ind w:firstLine="643" w:firstLineChars="200"/>
        <w:rPr>
          <w:rFonts w:eastAsia="仿宋_GB2312"/>
          <w:sz w:val="32"/>
          <w:szCs w:val="32"/>
        </w:rPr>
      </w:pPr>
      <w:r>
        <w:rPr>
          <w:rFonts w:eastAsia="仿宋_GB2312"/>
          <w:b/>
          <w:sz w:val="32"/>
          <w:szCs w:val="32"/>
        </w:rPr>
        <w:t>[一般公共预算执行情况]</w:t>
      </w:r>
      <w:r>
        <w:rPr>
          <w:rFonts w:eastAsia="仿宋_GB2312"/>
          <w:sz w:val="32"/>
          <w:szCs w:val="32"/>
        </w:rPr>
        <w:t>2021年，一般公共预算收入完成95,294万元，为预算的100.31%，增长24.99%；一般公共预算支出完成204,873万元，为预算的99.94%，增长21.45%。</w:t>
      </w:r>
    </w:p>
    <w:p>
      <w:pPr>
        <w:spacing w:line="560" w:lineRule="exact"/>
        <w:ind w:firstLine="640" w:firstLineChars="200"/>
        <w:rPr>
          <w:rFonts w:eastAsia="仿宋_GB2312"/>
          <w:sz w:val="32"/>
          <w:szCs w:val="32"/>
        </w:rPr>
      </w:pPr>
      <w:r>
        <w:rPr>
          <w:rFonts w:eastAsia="仿宋_GB2312"/>
          <w:sz w:val="32"/>
          <w:szCs w:val="32"/>
        </w:rPr>
        <w:t>2021年一般公共预算收支平衡情况：当年收入95,294万元，上级财政返还性收入-679万元，一般性转移支付收入89,979万元，专项转移支付收入9,998万元，一般债券转贷收入25,350万元（其中：新增债券9,200万元，再融资债券16,150万元），上年结转2,135万元，动用预算稳定调节基金3,166万元，调入资金21,140万元（其中：政府性基金调入10,000万元、国有资本经营预算调入182万元、其他调入10,958万元），收入总计246,383万元。当年一般公共预算支出204,873万元（其中：县级支出182,275万元、乡镇支出22,598万元），上解上级支出10,311万元，债务还本支出16,150万元，补充预算稳定调节基4,000万元，结转下年支出11,049万元，支出总计246,383万元。实现一般公共预算收支滚动平衡。</w:t>
      </w:r>
    </w:p>
    <w:p>
      <w:pPr>
        <w:spacing w:line="560" w:lineRule="exact"/>
        <w:ind w:firstLine="643" w:firstLineChars="200"/>
        <w:rPr>
          <w:rFonts w:eastAsia="仿宋_GB2312"/>
          <w:sz w:val="32"/>
          <w:szCs w:val="32"/>
        </w:rPr>
      </w:pPr>
      <w:r>
        <w:rPr>
          <w:rFonts w:eastAsia="仿宋_GB2312"/>
          <w:b/>
          <w:sz w:val="32"/>
          <w:szCs w:val="32"/>
        </w:rPr>
        <w:t>[政府性基金预算执行情况]</w:t>
      </w:r>
      <w:r>
        <w:rPr>
          <w:rFonts w:eastAsia="仿宋_GB2312"/>
          <w:sz w:val="32"/>
          <w:szCs w:val="32"/>
        </w:rPr>
        <w:t>2021年，政府性基金收入完成65,874万元，为预算的100％，增长71.73％。政府性基金支出完成71,447万元，为预算的100％，同比增长84.56％。</w:t>
      </w:r>
    </w:p>
    <w:p>
      <w:pPr>
        <w:spacing w:line="560" w:lineRule="exact"/>
        <w:ind w:firstLine="640" w:firstLineChars="200"/>
        <w:rPr>
          <w:rFonts w:eastAsia="仿宋_GB2312"/>
          <w:sz w:val="32"/>
          <w:szCs w:val="32"/>
        </w:rPr>
      </w:pPr>
      <w:r>
        <w:rPr>
          <w:rFonts w:eastAsia="仿宋_GB2312"/>
          <w:sz w:val="32"/>
          <w:szCs w:val="32"/>
        </w:rPr>
        <w:t>2021年政府性基金收支平衡情况：当年收入65,874万元，上级补助收入5,798万元，专项债券收入31,800万元，加上年结余32万元，收入总计103,504万元。当年政府性基金支出71,447万元（其中：县级支出53,920万元、乡镇支出17,527万元），调出资金10,000万元，年终结余22,057万元，支出总计103,504万元。实现政府性基金预算收支滚动平衡。</w:t>
      </w:r>
    </w:p>
    <w:p>
      <w:pPr>
        <w:spacing w:line="560" w:lineRule="exact"/>
        <w:ind w:firstLine="643" w:firstLineChars="200"/>
        <w:rPr>
          <w:rFonts w:eastAsia="仿宋_GB2312"/>
          <w:sz w:val="32"/>
          <w:szCs w:val="32"/>
        </w:rPr>
      </w:pPr>
      <w:r>
        <w:rPr>
          <w:rFonts w:eastAsia="仿宋_GB2312"/>
          <w:b/>
          <w:sz w:val="32"/>
          <w:szCs w:val="32"/>
        </w:rPr>
        <w:t>[国有资本经营预算执行情况]</w:t>
      </w:r>
      <w:r>
        <w:rPr>
          <w:rFonts w:eastAsia="仿宋_GB2312"/>
          <w:sz w:val="32"/>
          <w:szCs w:val="32"/>
        </w:rPr>
        <w:t>2021年，国有资本经营预算收入完成182万元，为预算的100%，增长10%。</w:t>
      </w:r>
    </w:p>
    <w:p>
      <w:pPr>
        <w:spacing w:line="560" w:lineRule="exact"/>
        <w:ind w:firstLine="640" w:firstLineChars="200"/>
        <w:rPr>
          <w:rFonts w:eastAsia="仿宋_GB2312"/>
          <w:sz w:val="32"/>
          <w:szCs w:val="32"/>
        </w:rPr>
      </w:pPr>
      <w:r>
        <w:rPr>
          <w:rFonts w:eastAsia="仿宋_GB2312"/>
          <w:sz w:val="32"/>
          <w:szCs w:val="32"/>
        </w:rPr>
        <w:t>2021年国有资本经营预算收支平衡情况：当年收入总计182万元。当年支出总计182万元（其中：调出资金182万元），实现收支平衡。（备注：以上数据为财政收支快报数，尚未与省财政厅办理最终结算，数据以省财政厅结算批复为准。）</w:t>
      </w:r>
    </w:p>
    <w:p>
      <w:pPr>
        <w:spacing w:line="560" w:lineRule="exact"/>
        <w:ind w:firstLine="643" w:firstLineChars="200"/>
        <w:rPr>
          <w:rFonts w:eastAsia="仿宋_GB2312"/>
          <w:sz w:val="32"/>
          <w:szCs w:val="32"/>
        </w:rPr>
      </w:pPr>
      <w:r>
        <w:rPr>
          <w:rFonts w:eastAsia="仿宋_GB2312"/>
          <w:b/>
          <w:sz w:val="32"/>
          <w:szCs w:val="32"/>
        </w:rPr>
        <w:t>[地方政府性债务情况]</w:t>
      </w:r>
      <w:r>
        <w:rPr>
          <w:rFonts w:eastAsia="仿宋_GB2312"/>
          <w:sz w:val="32"/>
          <w:szCs w:val="32"/>
        </w:rPr>
        <w:t xml:space="preserve">2021年盐边县地方政府债务限额为225,261万元，地方政府债务余额为219,378万元。 </w:t>
      </w:r>
    </w:p>
    <w:p>
      <w:pPr>
        <w:spacing w:line="560" w:lineRule="exact"/>
        <w:ind w:firstLine="643" w:firstLineChars="200"/>
        <w:rPr>
          <w:rFonts w:eastAsia="仿宋_GB2312"/>
          <w:sz w:val="32"/>
          <w:szCs w:val="32"/>
        </w:rPr>
      </w:pPr>
      <w:r>
        <w:rPr>
          <w:rFonts w:eastAsia="仿宋_GB2312"/>
          <w:b/>
          <w:sz w:val="32"/>
          <w:szCs w:val="32"/>
        </w:rPr>
        <w:t>[重点支出]</w:t>
      </w:r>
      <w:r>
        <w:rPr>
          <w:rFonts w:eastAsia="仿宋_GB2312"/>
          <w:sz w:val="32"/>
          <w:szCs w:val="32"/>
        </w:rPr>
        <w:t>2021年，我县一般公共预算支出完成204,873万元，同口径增长21.45%，增支36185万元。当年民生支出达147,734万元,占一般公共预算支出比重达72.11%，提高1.23个百分点，民生保障更加有力。</w:t>
      </w:r>
    </w:p>
    <w:p>
      <w:pPr>
        <w:spacing w:line="560" w:lineRule="exact"/>
        <w:ind w:firstLine="640" w:firstLineChars="200"/>
        <w:rPr>
          <w:rFonts w:eastAsia="仿宋_GB2312"/>
          <w:sz w:val="32"/>
          <w:szCs w:val="32"/>
        </w:rPr>
      </w:pPr>
      <w:r>
        <w:rPr>
          <w:rFonts w:eastAsia="仿宋_GB2312"/>
          <w:sz w:val="32"/>
          <w:szCs w:val="32"/>
        </w:rPr>
        <w:t>重点支出情况：一般公共服务支出22,433万元，占一般公共预算支出10.95%。公共安全支出12,271万元，占一般公共预算支出5.99%。文化旅游体育与传媒支出2,349万元，占一般公共预算支出1.15%。教育支出35,903万元,占一般公共预算支出17.52%。社会保障和就业支出24,655万元,占一般公共预算支出12.03%。卫生健康支出26,342万元, 占一般公共预算支出12.86%。节能环保支出1,440万元，占一般公共预算支出0.7%。城乡社区支出2,101万元，占一般公共预算支出1.03%。农林水支出48,578万元,占一般公共预算支出23.71%。交通运输支出8,919万元，占一般公共预算支出4.35%。住房保障支出8,677万元，占一般公共预算支出4.24%。</w:t>
      </w:r>
      <w:bookmarkStart w:id="49" w:name="_Toc15377204"/>
      <w:bookmarkStart w:id="50" w:name="_Toc15396602"/>
      <w:bookmarkStart w:id="51" w:name="_Toc31074_WPSOffice_Level1"/>
    </w:p>
    <w:p>
      <w:pPr>
        <w:spacing w:line="560"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 xml:space="preserve">        </w:t>
      </w:r>
    </w:p>
    <w:p>
      <w:pPr>
        <w:spacing w:line="560" w:lineRule="exact"/>
        <w:jc w:val="center"/>
      </w:pPr>
      <w:r>
        <w:rPr>
          <w:rFonts w:eastAsia="黑体"/>
          <w:sz w:val="44"/>
          <w:szCs w:val="44"/>
        </w:rPr>
        <w:t>第二部分 2021年度单位决算情况说明</w:t>
      </w:r>
      <w:bookmarkEnd w:id="49"/>
      <w:bookmarkEnd w:id="50"/>
      <w:bookmarkEnd w:id="51"/>
    </w:p>
    <w:p>
      <w:pPr>
        <w:spacing w:line="580" w:lineRule="exact"/>
        <w:ind w:firstLine="640" w:firstLineChars="200"/>
        <w:rPr>
          <w:rFonts w:eastAsia="黑体"/>
          <w:sz w:val="32"/>
          <w:szCs w:val="32"/>
        </w:rPr>
      </w:pPr>
      <w:bookmarkStart w:id="52" w:name="_Toc15377205"/>
      <w:bookmarkStart w:id="53" w:name="_Toc22477_WPSOffice_Level2"/>
      <w:bookmarkStart w:id="54" w:name="_Toc15396603"/>
      <w:r>
        <w:rPr>
          <w:rFonts w:eastAsia="黑体"/>
          <w:sz w:val="32"/>
          <w:szCs w:val="32"/>
        </w:rPr>
        <w:t>一、收入支出决算总体情况说明</w:t>
      </w:r>
      <w:bookmarkEnd w:id="52"/>
      <w:bookmarkEnd w:id="53"/>
      <w:bookmarkEnd w:id="54"/>
    </w:p>
    <w:p>
      <w:pPr>
        <w:spacing w:line="580" w:lineRule="exact"/>
        <w:ind w:firstLine="640" w:firstLineChars="200"/>
        <w:rPr>
          <w:rFonts w:eastAsia="仿宋_GB2312"/>
          <w:sz w:val="32"/>
          <w:szCs w:val="32"/>
        </w:rPr>
      </w:pPr>
      <w:r>
        <w:rPr>
          <w:rFonts w:eastAsia="仿宋_GB2312"/>
          <w:sz w:val="32"/>
          <w:szCs w:val="32"/>
        </w:rPr>
        <w:t>2021年度收、支总计1586.75万元。与2020年相比，收、支总计增加560.81万元，增长54.66%。主要变动原因是办公楼维修改造等项目支出经费增加。</w:t>
      </w:r>
    </w:p>
    <w:p>
      <w:pPr>
        <w:pStyle w:val="6"/>
        <w:spacing w:before="93"/>
        <w:rPr>
          <w:rFonts w:ascii="仿宋" w:hAnsi="仿宋" w:eastAsia="仿宋"/>
          <w:sz w:val="32"/>
          <w:szCs w:val="32"/>
        </w:rPr>
      </w:pPr>
      <w:r>
        <w:drawing>
          <wp:anchor distT="0" distB="0" distL="114300" distR="114300" simplePos="0" relativeHeight="251659264" behindDoc="1" locked="0" layoutInCell="1" allowOverlap="1">
            <wp:simplePos x="0" y="0"/>
            <wp:positionH relativeFrom="column">
              <wp:posOffset>193040</wp:posOffset>
            </wp:positionH>
            <wp:positionV relativeFrom="paragraph">
              <wp:posOffset>114935</wp:posOffset>
            </wp:positionV>
            <wp:extent cx="5288915" cy="2528570"/>
            <wp:effectExtent l="4445" t="4445" r="21590" b="19685"/>
            <wp:wrapNone/>
            <wp:docPr id="223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pStyle w:val="6"/>
        <w:spacing w:before="93"/>
        <w:rPr>
          <w:rFonts w:ascii="仿宋" w:hAnsi="仿宋" w:eastAsia="仿宋"/>
          <w:sz w:val="32"/>
          <w:szCs w:val="32"/>
        </w:rPr>
      </w:pPr>
    </w:p>
    <w:p>
      <w:pPr>
        <w:pStyle w:val="6"/>
        <w:spacing w:before="93"/>
        <w:rPr>
          <w:rFonts w:ascii="仿宋" w:hAnsi="仿宋" w:eastAsia="仿宋"/>
          <w:sz w:val="32"/>
          <w:szCs w:val="32"/>
        </w:rPr>
      </w:pPr>
    </w:p>
    <w:p>
      <w:pPr>
        <w:pStyle w:val="6"/>
        <w:spacing w:before="93"/>
        <w:rPr>
          <w:rFonts w:ascii="仿宋" w:hAnsi="仿宋" w:eastAsia="仿宋"/>
          <w:sz w:val="32"/>
          <w:szCs w:val="32"/>
        </w:rPr>
      </w:pPr>
    </w:p>
    <w:p>
      <w:pPr>
        <w:pStyle w:val="6"/>
        <w:spacing w:before="93"/>
        <w:rPr>
          <w:rFonts w:ascii="仿宋" w:hAnsi="仿宋" w:eastAsia="仿宋"/>
          <w:sz w:val="32"/>
          <w:szCs w:val="32"/>
        </w:rPr>
      </w:pPr>
    </w:p>
    <w:p>
      <w:pPr>
        <w:spacing w:line="600" w:lineRule="exact"/>
        <w:ind w:firstLine="640" w:firstLineChars="200"/>
        <w:jc w:val="left"/>
        <w:rPr>
          <w:rFonts w:ascii="仿宋_GB2312" w:eastAsia="仿宋_GB2312"/>
          <w:sz w:val="32"/>
          <w:szCs w:val="32"/>
        </w:rPr>
      </w:pPr>
    </w:p>
    <w:p>
      <w:pPr>
        <w:spacing w:line="580" w:lineRule="exact"/>
        <w:rPr>
          <w:rFonts w:ascii="仿宋_GB2312" w:eastAsia="仿宋_GB2312"/>
          <w:sz w:val="32"/>
          <w:szCs w:val="32"/>
        </w:rPr>
      </w:pPr>
      <w:bookmarkStart w:id="55" w:name="_Toc13074_WPSOffice_Level2"/>
      <w:bookmarkStart w:id="56" w:name="_Toc15396604"/>
      <w:bookmarkStart w:id="57" w:name="_Toc15377206"/>
    </w:p>
    <w:p>
      <w:pPr>
        <w:spacing w:line="580" w:lineRule="exact"/>
        <w:ind w:firstLine="640" w:firstLineChars="200"/>
        <w:rPr>
          <w:rFonts w:eastAsia="黑体"/>
          <w:sz w:val="32"/>
          <w:szCs w:val="32"/>
        </w:rPr>
      </w:pPr>
      <w:r>
        <w:rPr>
          <w:rFonts w:eastAsia="黑体"/>
          <w:sz w:val="32"/>
          <w:szCs w:val="32"/>
        </w:rPr>
        <w:t>二、收入决算情况说明</w:t>
      </w:r>
      <w:bookmarkEnd w:id="55"/>
      <w:bookmarkEnd w:id="56"/>
      <w:bookmarkEnd w:id="57"/>
    </w:p>
    <w:p>
      <w:pPr>
        <w:spacing w:line="580" w:lineRule="exact"/>
        <w:ind w:firstLine="640" w:firstLineChars="200"/>
        <w:rPr>
          <w:rFonts w:eastAsia="仿宋_GB2312"/>
          <w:sz w:val="32"/>
          <w:szCs w:val="32"/>
        </w:rPr>
      </w:pPr>
      <w:r>
        <w:rPr>
          <w:rFonts w:eastAsia="仿宋_GB2312"/>
          <w:sz w:val="32"/>
          <w:szCs w:val="32"/>
        </w:rPr>
        <w:t>2021年本年收入合计1106.31万元，其中：一般公共预算财政拨款收入1106.31万元，占100%；政府性基金预算财政拨款收入0万元，占0%；国有资本经营预算财政拨款收入0万元，占0%；上级补助收入0万元，占0%；事业收入0万元，占0*%；经营收入0万元，占0%；附属单位上缴收入0万元，占0%；其他收入0万元，占0%。</w:t>
      </w:r>
    </w:p>
    <w:p>
      <w:pPr>
        <w:spacing w:line="600" w:lineRule="exact"/>
        <w:ind w:firstLine="640" w:firstLineChars="200"/>
        <w:outlineLvl w:val="1"/>
        <w:rPr>
          <w:rFonts w:ascii="仿宋" w:hAnsi="仿宋" w:eastAsia="仿宋"/>
          <w:sz w:val="32"/>
          <w:szCs w:val="32"/>
        </w:rPr>
      </w:pPr>
    </w:p>
    <w:p>
      <w:pPr>
        <w:pStyle w:val="6"/>
        <w:spacing w:before="93"/>
        <w:rPr>
          <w:rFonts w:ascii="仿宋" w:hAnsi="仿宋" w:eastAsia="仿宋"/>
          <w:sz w:val="32"/>
          <w:szCs w:val="32"/>
        </w:rPr>
      </w:pPr>
    </w:p>
    <w:p>
      <w:pPr>
        <w:pStyle w:val="6"/>
        <w:spacing w:before="93"/>
        <w:rPr>
          <w:rFonts w:ascii="仿宋" w:hAnsi="仿宋" w:eastAsia="仿宋"/>
          <w:sz w:val="32"/>
          <w:szCs w:val="32"/>
        </w:rPr>
      </w:pPr>
      <w:r>
        <w:drawing>
          <wp:inline distT="0" distB="0" distL="114300" distR="114300">
            <wp:extent cx="5269865" cy="2668270"/>
            <wp:effectExtent l="4445" t="4445" r="21590" b="13335"/>
            <wp:docPr id="223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rPr>
          <w:rFonts w:ascii="仿宋_GB2312" w:eastAsia="仿宋_GB2312"/>
          <w:sz w:val="32"/>
          <w:szCs w:val="32"/>
        </w:rPr>
      </w:pPr>
    </w:p>
    <w:p>
      <w:pPr>
        <w:spacing w:line="560" w:lineRule="exact"/>
        <w:ind w:firstLine="640" w:firstLineChars="200"/>
        <w:rPr>
          <w:rFonts w:eastAsia="黑体"/>
          <w:sz w:val="32"/>
          <w:szCs w:val="32"/>
        </w:rPr>
      </w:pPr>
      <w:bookmarkStart w:id="58" w:name="_Toc15396605"/>
      <w:bookmarkStart w:id="59" w:name="_Toc18534_WPSOffice_Level2"/>
      <w:bookmarkStart w:id="60" w:name="_Toc15377207"/>
      <w:r>
        <w:rPr>
          <w:rFonts w:eastAsia="黑体"/>
          <w:sz w:val="32"/>
          <w:szCs w:val="32"/>
        </w:rPr>
        <w:t>三、支出决算情况说明</w:t>
      </w:r>
      <w:bookmarkEnd w:id="58"/>
      <w:bookmarkEnd w:id="59"/>
      <w:bookmarkEnd w:id="60"/>
    </w:p>
    <w:p>
      <w:pPr>
        <w:spacing w:line="560" w:lineRule="exact"/>
        <w:ind w:firstLine="640" w:firstLineChars="200"/>
        <w:rPr>
          <w:rFonts w:eastAsia="仿宋"/>
        </w:rPr>
      </w:pPr>
      <w:r>
        <w:rPr>
          <w:rFonts w:eastAsia="仿宋_GB2312"/>
          <w:sz w:val="32"/>
          <w:szCs w:val="32"/>
        </w:rPr>
        <w:t>2021年本年支出合计1586.75万元，其中：基本支出708.38万元，占44.64%；项目支出8</w:t>
      </w:r>
      <w:r>
        <w:rPr>
          <w:rFonts w:hint="eastAsia" w:eastAsia="仿宋_GB2312"/>
          <w:sz w:val="32"/>
          <w:szCs w:val="32"/>
          <w:lang w:val="en-US" w:eastAsia="zh-CN"/>
        </w:rPr>
        <w:t>7</w:t>
      </w:r>
      <w:r>
        <w:rPr>
          <w:rFonts w:eastAsia="仿宋_GB2312"/>
          <w:sz w:val="32"/>
          <w:szCs w:val="32"/>
        </w:rPr>
        <w:t>8.37万元，占55.36%；上缴上级支出0万元，占0%；经营支出0万元，占0%；对附属单位补助支出0万元，占0%。</w:t>
      </w:r>
    </w:p>
    <w:p>
      <w:pPr>
        <w:pStyle w:val="6"/>
        <w:spacing w:before="93"/>
      </w:pPr>
      <w:r>
        <w:drawing>
          <wp:inline distT="0" distB="0" distL="114300" distR="114300">
            <wp:extent cx="5090160" cy="2576830"/>
            <wp:effectExtent l="4445" t="4445" r="10795" b="9525"/>
            <wp:docPr id="223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560" w:lineRule="exact"/>
        <w:ind w:firstLine="640" w:firstLineChars="200"/>
        <w:rPr>
          <w:rFonts w:eastAsia="黑体"/>
          <w:sz w:val="32"/>
          <w:szCs w:val="32"/>
        </w:rPr>
      </w:pPr>
      <w:bookmarkStart w:id="61" w:name="_Toc13618_WPSOffice_Level2"/>
      <w:bookmarkStart w:id="62" w:name="_Toc15396606"/>
      <w:bookmarkStart w:id="63" w:name="_Toc15377208"/>
      <w:r>
        <w:rPr>
          <w:rFonts w:eastAsia="黑体"/>
          <w:sz w:val="32"/>
          <w:szCs w:val="32"/>
        </w:rPr>
        <w:t>四、财政拨款收入支出决算总体情况说明</w:t>
      </w:r>
      <w:bookmarkEnd w:id="61"/>
      <w:bookmarkEnd w:id="62"/>
      <w:bookmarkEnd w:id="63"/>
    </w:p>
    <w:p>
      <w:pPr>
        <w:spacing w:line="560" w:lineRule="exact"/>
        <w:ind w:firstLine="640" w:firstLineChars="200"/>
        <w:rPr>
          <w:rFonts w:eastAsia="仿宋"/>
        </w:rPr>
      </w:pPr>
      <w:r>
        <w:rPr>
          <w:rFonts w:eastAsia="仿宋_GB2312"/>
          <w:sz w:val="32"/>
          <w:szCs w:val="32"/>
        </w:rPr>
        <w:t>2021年财政拨款收、支总计1586.75万元。与2020年相比，财政拨款收、支总计增加560.81万元，增长54.66%。主要变动原因是办公楼维修改造等项目支出经费增加。</w:t>
      </w:r>
    </w:p>
    <w:p>
      <w:pPr>
        <w:spacing w:line="600" w:lineRule="exact"/>
        <w:ind w:firstLine="640"/>
        <w:rPr>
          <w:rFonts w:eastAsia="仿宋"/>
          <w:b/>
          <w:sz w:val="32"/>
          <w:szCs w:val="32"/>
        </w:rPr>
      </w:pPr>
    </w:p>
    <w:p>
      <w:pPr>
        <w:pStyle w:val="6"/>
        <w:spacing w:before="93"/>
      </w:pPr>
      <w:r>
        <w:drawing>
          <wp:inline distT="0" distB="0" distL="114300" distR="114300">
            <wp:extent cx="5269230" cy="3124835"/>
            <wp:effectExtent l="4445" t="4445" r="22225" b="13970"/>
            <wp:docPr id="223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560" w:lineRule="exact"/>
        <w:ind w:firstLine="640" w:firstLineChars="200"/>
        <w:rPr>
          <w:rFonts w:eastAsia="黑体"/>
          <w:sz w:val="32"/>
          <w:szCs w:val="32"/>
        </w:rPr>
      </w:pPr>
      <w:bookmarkStart w:id="64" w:name="_Toc16872_WPSOffice_Level2"/>
      <w:bookmarkStart w:id="65" w:name="_Toc15396607"/>
      <w:bookmarkStart w:id="66" w:name="_Toc15377209"/>
    </w:p>
    <w:p>
      <w:pPr>
        <w:spacing w:line="560" w:lineRule="exact"/>
        <w:ind w:firstLine="640" w:firstLineChars="200"/>
        <w:rPr>
          <w:rFonts w:eastAsia="黑体"/>
          <w:sz w:val="32"/>
          <w:szCs w:val="32"/>
        </w:rPr>
      </w:pPr>
      <w:r>
        <w:rPr>
          <w:rFonts w:eastAsia="黑体"/>
          <w:sz w:val="32"/>
          <w:szCs w:val="32"/>
        </w:rPr>
        <w:t>五、一般公共预算财政拨款支出决算情况说明</w:t>
      </w:r>
      <w:bookmarkEnd w:id="64"/>
      <w:bookmarkEnd w:id="65"/>
      <w:bookmarkEnd w:id="66"/>
    </w:p>
    <w:p>
      <w:pPr>
        <w:spacing w:line="560" w:lineRule="exact"/>
        <w:ind w:firstLine="640" w:firstLineChars="200"/>
        <w:rPr>
          <w:rFonts w:eastAsia="楷体_GB2312"/>
          <w:sz w:val="32"/>
          <w:szCs w:val="32"/>
        </w:rPr>
      </w:pPr>
      <w:bookmarkStart w:id="67" w:name="_Toc15377210"/>
      <w:r>
        <w:rPr>
          <w:rFonts w:eastAsia="楷体_GB2312"/>
          <w:sz w:val="32"/>
          <w:szCs w:val="32"/>
        </w:rPr>
        <w:t>（一）一般公共预算财政拨款支出决算总体情况</w:t>
      </w:r>
      <w:bookmarkEnd w:id="67"/>
      <w:r>
        <w:rPr>
          <w:rFonts w:eastAsia="楷体_GB2312"/>
          <w:sz w:val="32"/>
          <w:szCs w:val="32"/>
        </w:rPr>
        <w:t>。</w:t>
      </w:r>
    </w:p>
    <w:p>
      <w:pPr>
        <w:spacing w:line="560" w:lineRule="exact"/>
        <w:ind w:firstLine="640" w:firstLineChars="200"/>
        <w:rPr>
          <w:rFonts w:eastAsia="仿宋_GB2312"/>
          <w:sz w:val="32"/>
          <w:szCs w:val="32"/>
        </w:rPr>
      </w:pPr>
      <w:r>
        <w:rPr>
          <w:rFonts w:eastAsia="仿宋_GB2312"/>
          <w:sz w:val="32"/>
          <w:szCs w:val="32"/>
        </w:rPr>
        <w:t>2021年一般公共预算财政拨款支出1586.75万元，占本年支出合计的100%。与2020年相比，一般公共预算财政拨款支出增加560.81万元，增长54.66%。主要变动原因是办公楼维修改造等项目支出经费增加。</w:t>
      </w: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pStyle w:val="6"/>
        <w:spacing w:before="93"/>
        <w:rPr>
          <w:rFonts w:ascii="仿宋" w:hAnsi="仿宋" w:eastAsia="仿宋"/>
          <w:sz w:val="32"/>
          <w:szCs w:val="32"/>
        </w:rPr>
      </w:pPr>
    </w:p>
    <w:p>
      <w:pPr>
        <w:pStyle w:val="6"/>
        <w:spacing w:before="93"/>
        <w:rPr>
          <w:rFonts w:ascii="仿宋" w:hAnsi="仿宋" w:eastAsia="仿宋"/>
          <w:sz w:val="32"/>
          <w:szCs w:val="32"/>
        </w:rPr>
      </w:pPr>
    </w:p>
    <w:p>
      <w:pPr>
        <w:pStyle w:val="6"/>
        <w:spacing w:before="93"/>
        <w:rPr>
          <w:rFonts w:ascii="仿宋" w:hAnsi="仿宋" w:eastAsia="仿宋"/>
          <w:sz w:val="32"/>
          <w:szCs w:val="32"/>
        </w:rPr>
      </w:pPr>
      <w:r>
        <w:drawing>
          <wp:inline distT="0" distB="0" distL="114300" distR="114300">
            <wp:extent cx="5271135" cy="3106420"/>
            <wp:effectExtent l="5080" t="4445" r="19685" b="13335"/>
            <wp:docPr id="223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3" w:firstLineChars="200"/>
        <w:outlineLvl w:val="2"/>
        <w:rPr>
          <w:rFonts w:ascii="仿宋" w:hAnsi="仿宋" w:eastAsia="仿宋"/>
          <w:b/>
          <w:sz w:val="32"/>
          <w:szCs w:val="32"/>
        </w:rPr>
      </w:pPr>
      <w:bookmarkStart w:id="68" w:name="_Toc15377211"/>
    </w:p>
    <w:p>
      <w:pPr>
        <w:spacing w:line="560" w:lineRule="exact"/>
        <w:ind w:firstLine="640" w:firstLineChars="200"/>
        <w:rPr>
          <w:rFonts w:eastAsia="楷体_GB2312"/>
          <w:sz w:val="32"/>
          <w:szCs w:val="32"/>
        </w:rPr>
      </w:pPr>
      <w:r>
        <w:rPr>
          <w:rFonts w:eastAsia="楷体_GB2312"/>
          <w:sz w:val="32"/>
          <w:szCs w:val="32"/>
        </w:rPr>
        <w:t>（二）一般公共预算财政拨款支出决算结构情况</w:t>
      </w:r>
      <w:bookmarkEnd w:id="68"/>
      <w:r>
        <w:rPr>
          <w:rFonts w:eastAsia="楷体_GB2312"/>
          <w:sz w:val="32"/>
          <w:szCs w:val="32"/>
        </w:rPr>
        <w:t>。</w:t>
      </w:r>
    </w:p>
    <w:p>
      <w:pPr>
        <w:spacing w:line="560" w:lineRule="exact"/>
        <w:ind w:firstLine="640" w:firstLineChars="200"/>
        <w:rPr>
          <w:rFonts w:eastAsia="仿宋_GB2312"/>
          <w:sz w:val="32"/>
          <w:szCs w:val="32"/>
        </w:rPr>
      </w:pPr>
      <w:r>
        <w:rPr>
          <w:rFonts w:eastAsia="仿宋_GB2312"/>
          <w:sz w:val="32"/>
          <w:szCs w:val="32"/>
        </w:rPr>
        <w:t>2021年一般公共预算财政拨款支出1586.75万元，主要用于以下方面:一般公共服务（类）支出1357.45万元，占85.55%；社会保障和就业（类）支出88.67万元，占5.59%；卫生健康支出（类）42.59万元，占2.68%；农林水支出（类）支出2.00万元，占0.13%；住房保障支出（类）60.23万元，占3.79%；其他支出（类）35.81万元，占2.26%。</w:t>
      </w:r>
    </w:p>
    <w:p>
      <w:pPr>
        <w:pStyle w:val="6"/>
        <w:spacing w:before="93"/>
        <w:rPr>
          <w:rFonts w:ascii="仿宋" w:hAnsi="仿宋" w:eastAsia="仿宋"/>
          <w:sz w:val="32"/>
          <w:szCs w:val="32"/>
        </w:rPr>
      </w:pPr>
    </w:p>
    <w:p>
      <w:pPr>
        <w:pStyle w:val="6"/>
        <w:spacing w:before="93"/>
        <w:rPr>
          <w:rFonts w:ascii="仿宋" w:hAnsi="仿宋" w:eastAsia="仿宋"/>
          <w:sz w:val="32"/>
          <w:szCs w:val="32"/>
        </w:rPr>
      </w:pPr>
      <w:r>
        <w:drawing>
          <wp:inline distT="0" distB="0" distL="114300" distR="114300">
            <wp:extent cx="5268595" cy="3237865"/>
            <wp:effectExtent l="4445" t="4445" r="22860" b="15240"/>
            <wp:docPr id="223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560" w:lineRule="exact"/>
        <w:ind w:firstLine="640" w:firstLineChars="200"/>
        <w:rPr>
          <w:rFonts w:eastAsia="楷体_GB2312"/>
          <w:sz w:val="32"/>
          <w:szCs w:val="32"/>
        </w:rPr>
      </w:pPr>
      <w:bookmarkStart w:id="69" w:name="_Toc15377212"/>
      <w:r>
        <w:rPr>
          <w:rFonts w:eastAsia="楷体_GB2312"/>
          <w:sz w:val="32"/>
          <w:szCs w:val="32"/>
        </w:rPr>
        <w:t>（三）一般公共预算财政拨款支出决算具体情况</w:t>
      </w:r>
      <w:bookmarkEnd w:id="69"/>
      <w:r>
        <w:rPr>
          <w:rFonts w:eastAsia="楷体_GB2312"/>
          <w:sz w:val="32"/>
          <w:szCs w:val="32"/>
        </w:rPr>
        <w:t>。</w:t>
      </w:r>
    </w:p>
    <w:p>
      <w:pPr>
        <w:spacing w:line="560" w:lineRule="exact"/>
        <w:ind w:firstLine="640" w:firstLineChars="200"/>
        <w:rPr>
          <w:rFonts w:eastAsia="仿宋_GB2312"/>
          <w:sz w:val="32"/>
          <w:szCs w:val="32"/>
        </w:rPr>
      </w:pPr>
      <w:bookmarkStart w:id="70" w:name="_Toc15377444"/>
      <w:bookmarkStart w:id="71" w:name="_Toc15377213"/>
      <w:bookmarkStart w:id="72" w:name="_Toc15378460"/>
      <w:r>
        <w:rPr>
          <w:rFonts w:eastAsia="仿宋_GB2312"/>
          <w:sz w:val="32"/>
          <w:szCs w:val="32"/>
        </w:rPr>
        <w:t>2021年一般公共预算支出决算数为1586.75万元，完成预算100%。其中：</w:t>
      </w:r>
      <w:bookmarkEnd w:id="70"/>
      <w:bookmarkEnd w:id="71"/>
      <w:bookmarkEnd w:id="72"/>
    </w:p>
    <w:p>
      <w:pPr>
        <w:spacing w:line="560" w:lineRule="exact"/>
        <w:ind w:firstLine="643" w:firstLineChars="200"/>
        <w:rPr>
          <w:rFonts w:eastAsia="仿宋_GB2312"/>
          <w:b/>
          <w:sz w:val="32"/>
          <w:szCs w:val="32"/>
        </w:rPr>
      </w:pPr>
      <w:r>
        <w:rPr>
          <w:rFonts w:eastAsia="仿宋_GB2312"/>
          <w:b/>
          <w:sz w:val="32"/>
          <w:szCs w:val="32"/>
        </w:rPr>
        <w:t>1.一般公共服务（类）财政事务支出（款）</w:t>
      </w:r>
    </w:p>
    <w:p>
      <w:pPr>
        <w:spacing w:line="560" w:lineRule="exact"/>
        <w:ind w:firstLine="643" w:firstLineChars="200"/>
        <w:rPr>
          <w:rFonts w:eastAsia="仿宋_GB2312"/>
          <w:sz w:val="32"/>
          <w:szCs w:val="32"/>
        </w:rPr>
      </w:pPr>
      <w:r>
        <w:rPr>
          <w:rFonts w:eastAsia="仿宋_GB2312"/>
          <w:b/>
          <w:sz w:val="32"/>
          <w:szCs w:val="32"/>
        </w:rPr>
        <w:t>①行政运行:</w:t>
      </w:r>
      <w:r>
        <w:rPr>
          <w:rFonts w:eastAsia="仿宋_GB2312"/>
          <w:sz w:val="32"/>
          <w:szCs w:val="32"/>
        </w:rPr>
        <w:t xml:space="preserve"> 支出决算为336.52万元，完成预算100%，决算数等于预算数。</w:t>
      </w:r>
    </w:p>
    <w:p>
      <w:pPr>
        <w:spacing w:line="560" w:lineRule="exact"/>
        <w:ind w:firstLine="643" w:firstLineChars="200"/>
        <w:rPr>
          <w:rFonts w:eastAsia="仿宋_GB2312"/>
          <w:sz w:val="32"/>
          <w:szCs w:val="32"/>
        </w:rPr>
      </w:pPr>
      <w:r>
        <w:rPr>
          <w:rFonts w:eastAsia="仿宋_GB2312"/>
          <w:b/>
          <w:sz w:val="32"/>
          <w:szCs w:val="32"/>
        </w:rPr>
        <w:t>②事业运行：</w:t>
      </w:r>
      <w:r>
        <w:rPr>
          <w:rFonts w:eastAsia="仿宋_GB2312"/>
          <w:sz w:val="32"/>
          <w:szCs w:val="32"/>
        </w:rPr>
        <w:t xml:space="preserve"> 支出决算为180.38万元，完成预算100%，决算数等于预算数。</w:t>
      </w:r>
    </w:p>
    <w:p>
      <w:pPr>
        <w:spacing w:line="560" w:lineRule="exact"/>
        <w:ind w:firstLine="643" w:firstLineChars="200"/>
        <w:rPr>
          <w:rFonts w:eastAsia="仿宋_GB2312"/>
          <w:sz w:val="32"/>
          <w:szCs w:val="32"/>
        </w:rPr>
      </w:pPr>
      <w:r>
        <w:rPr>
          <w:rFonts w:eastAsia="仿宋_GB2312"/>
          <w:b/>
          <w:sz w:val="32"/>
          <w:szCs w:val="32"/>
        </w:rPr>
        <w:t>③一般行政管理事务：</w:t>
      </w:r>
      <w:r>
        <w:rPr>
          <w:rFonts w:eastAsia="仿宋_GB2312"/>
          <w:sz w:val="32"/>
          <w:szCs w:val="32"/>
        </w:rPr>
        <w:t>支出决算为127.49万元，完成预算100%，决算数等于预算数。</w:t>
      </w:r>
    </w:p>
    <w:p>
      <w:pPr>
        <w:spacing w:line="560" w:lineRule="exact"/>
        <w:ind w:firstLine="643" w:firstLineChars="200"/>
        <w:rPr>
          <w:rFonts w:eastAsia="仿宋_GB2312"/>
          <w:sz w:val="32"/>
          <w:szCs w:val="32"/>
        </w:rPr>
      </w:pPr>
      <w:r>
        <w:rPr>
          <w:rFonts w:eastAsia="仿宋_GB2312"/>
          <w:b/>
          <w:sz w:val="32"/>
          <w:szCs w:val="32"/>
        </w:rPr>
        <w:t>④信息化建设：</w:t>
      </w:r>
      <w:r>
        <w:rPr>
          <w:rFonts w:eastAsia="仿宋_GB2312"/>
          <w:sz w:val="32"/>
          <w:szCs w:val="32"/>
        </w:rPr>
        <w:t>支出决算为311.48万元，完成预算100%，决算数等于预算数。</w:t>
      </w:r>
    </w:p>
    <w:p>
      <w:pPr>
        <w:spacing w:line="560" w:lineRule="exact"/>
        <w:ind w:firstLine="643" w:firstLineChars="200"/>
        <w:rPr>
          <w:rFonts w:eastAsia="仿宋_GB2312"/>
          <w:sz w:val="32"/>
          <w:szCs w:val="32"/>
        </w:rPr>
      </w:pPr>
      <w:r>
        <w:rPr>
          <w:rFonts w:eastAsia="仿宋_GB2312"/>
          <w:b/>
          <w:sz w:val="32"/>
          <w:szCs w:val="32"/>
        </w:rPr>
        <w:t>⑤财政委托业务支出：</w:t>
      </w:r>
      <w:r>
        <w:rPr>
          <w:rFonts w:eastAsia="仿宋_GB2312"/>
          <w:sz w:val="32"/>
          <w:szCs w:val="32"/>
        </w:rPr>
        <w:t>支出决算为396.36万元，完成预算100%，决算数等于预算数。</w:t>
      </w:r>
    </w:p>
    <w:p>
      <w:pPr>
        <w:spacing w:line="560" w:lineRule="exact"/>
        <w:ind w:firstLine="643" w:firstLineChars="200"/>
        <w:rPr>
          <w:rFonts w:eastAsia="仿宋_GB2312"/>
          <w:sz w:val="32"/>
          <w:szCs w:val="32"/>
        </w:rPr>
      </w:pPr>
      <w:r>
        <w:rPr>
          <w:rFonts w:eastAsia="仿宋_GB2312"/>
          <w:b/>
          <w:sz w:val="32"/>
          <w:szCs w:val="32"/>
        </w:rPr>
        <w:t>⑥其他财政事务支出：</w:t>
      </w:r>
      <w:r>
        <w:rPr>
          <w:rFonts w:eastAsia="仿宋_GB2312"/>
          <w:sz w:val="32"/>
          <w:szCs w:val="32"/>
        </w:rPr>
        <w:t>支出决算为3.23万元，完成预算100%，决算数等于预算数。</w:t>
      </w:r>
    </w:p>
    <w:p>
      <w:pPr>
        <w:spacing w:line="560" w:lineRule="exact"/>
        <w:ind w:firstLine="643" w:firstLineChars="200"/>
        <w:rPr>
          <w:rFonts w:eastAsia="仿宋_GB2312"/>
          <w:sz w:val="32"/>
          <w:szCs w:val="32"/>
        </w:rPr>
      </w:pPr>
      <w:r>
        <w:rPr>
          <w:rFonts w:eastAsia="仿宋_GB2312"/>
          <w:b/>
          <w:sz w:val="32"/>
          <w:szCs w:val="32"/>
        </w:rPr>
        <w:t>2.一般公共服务（类）统计信息事务支出（款）专项统计业务（项）：</w:t>
      </w:r>
      <w:r>
        <w:rPr>
          <w:rFonts w:eastAsia="仿宋_GB2312"/>
          <w:sz w:val="32"/>
          <w:szCs w:val="32"/>
        </w:rPr>
        <w:t>支出决算为2万元，完成预算100%，决算数等于预算数。</w:t>
      </w:r>
    </w:p>
    <w:p>
      <w:pPr>
        <w:spacing w:line="560" w:lineRule="exact"/>
        <w:ind w:firstLine="643" w:firstLineChars="200"/>
        <w:rPr>
          <w:rFonts w:eastAsia="仿宋_GB2312"/>
          <w:b/>
          <w:sz w:val="32"/>
          <w:szCs w:val="32"/>
        </w:rPr>
      </w:pPr>
      <w:r>
        <w:rPr>
          <w:rFonts w:eastAsia="仿宋_GB2312"/>
          <w:b/>
          <w:sz w:val="32"/>
          <w:szCs w:val="32"/>
        </w:rPr>
        <w:t xml:space="preserve">3.社会保障和就业（类）行政事业单位养老支出（款）  </w:t>
      </w:r>
    </w:p>
    <w:p>
      <w:pPr>
        <w:spacing w:line="560" w:lineRule="exact"/>
        <w:ind w:firstLine="643" w:firstLineChars="200"/>
        <w:rPr>
          <w:rFonts w:eastAsia="仿宋_GB2312"/>
          <w:sz w:val="32"/>
          <w:szCs w:val="32"/>
        </w:rPr>
      </w:pPr>
      <w:r>
        <w:rPr>
          <w:rFonts w:eastAsia="仿宋_GB2312"/>
          <w:b/>
          <w:sz w:val="32"/>
          <w:szCs w:val="32"/>
        </w:rPr>
        <w:t xml:space="preserve">①行政单位离退休: </w:t>
      </w:r>
      <w:r>
        <w:rPr>
          <w:rFonts w:eastAsia="仿宋_GB2312"/>
          <w:sz w:val="32"/>
          <w:szCs w:val="32"/>
        </w:rPr>
        <w:t>支出决算为40.31万元，完成预算100%，决算数等于预算数。</w:t>
      </w:r>
    </w:p>
    <w:p>
      <w:pPr>
        <w:spacing w:line="560" w:lineRule="exact"/>
        <w:ind w:firstLine="643" w:firstLineChars="200"/>
        <w:rPr>
          <w:rFonts w:eastAsia="仿宋_GB2312"/>
          <w:sz w:val="32"/>
          <w:szCs w:val="32"/>
        </w:rPr>
      </w:pPr>
      <w:r>
        <w:rPr>
          <w:rFonts w:eastAsia="仿宋_GB2312"/>
          <w:b/>
          <w:sz w:val="32"/>
          <w:szCs w:val="32"/>
        </w:rPr>
        <w:t>②机关事业单位基本养老保险缴费支出：</w:t>
      </w:r>
      <w:r>
        <w:rPr>
          <w:rFonts w:eastAsia="仿宋_GB2312"/>
          <w:sz w:val="32"/>
          <w:szCs w:val="32"/>
        </w:rPr>
        <w:t>支出决算为48.36万元，完成预算100%，决算数等于预算数。</w:t>
      </w:r>
    </w:p>
    <w:p>
      <w:pPr>
        <w:spacing w:line="560" w:lineRule="exact"/>
        <w:ind w:firstLine="643" w:firstLineChars="200"/>
        <w:rPr>
          <w:rFonts w:eastAsia="仿宋_GB2312"/>
          <w:sz w:val="32"/>
          <w:szCs w:val="32"/>
        </w:rPr>
      </w:pPr>
      <w:r>
        <w:rPr>
          <w:rFonts w:eastAsia="仿宋_GB2312"/>
          <w:b/>
          <w:sz w:val="32"/>
          <w:szCs w:val="32"/>
        </w:rPr>
        <w:t>4.住房保障支出（类）住房改革支出（款）住房公积金（项）：</w:t>
      </w:r>
      <w:r>
        <w:rPr>
          <w:rFonts w:eastAsia="仿宋_GB2312"/>
          <w:sz w:val="32"/>
          <w:szCs w:val="32"/>
        </w:rPr>
        <w:t>支出决算为60.23万元，完成预算100%，决算数等于预算数。</w:t>
      </w:r>
    </w:p>
    <w:p>
      <w:pPr>
        <w:spacing w:line="560" w:lineRule="exact"/>
        <w:ind w:firstLine="643" w:firstLineChars="200"/>
        <w:rPr>
          <w:rFonts w:eastAsia="仿宋_GB2312"/>
          <w:sz w:val="32"/>
          <w:szCs w:val="32"/>
        </w:rPr>
      </w:pPr>
      <w:r>
        <w:rPr>
          <w:rFonts w:eastAsia="仿宋_GB2312"/>
          <w:b/>
          <w:sz w:val="32"/>
          <w:szCs w:val="32"/>
        </w:rPr>
        <w:t>5.农林水支出（类）扶贫（款）其他扶贫支出（项）：</w:t>
      </w:r>
      <w:r>
        <w:rPr>
          <w:rFonts w:eastAsia="仿宋_GB2312"/>
          <w:sz w:val="32"/>
          <w:szCs w:val="32"/>
        </w:rPr>
        <w:t>支出决算为2万元，完成预算100%，决算数等于预算数。</w:t>
      </w:r>
    </w:p>
    <w:p>
      <w:pPr>
        <w:spacing w:line="560" w:lineRule="exact"/>
        <w:ind w:firstLine="643" w:firstLineChars="200"/>
        <w:rPr>
          <w:rFonts w:eastAsia="仿宋_GB2312"/>
          <w:b/>
          <w:sz w:val="32"/>
          <w:szCs w:val="32"/>
        </w:rPr>
      </w:pPr>
      <w:r>
        <w:rPr>
          <w:rFonts w:eastAsia="仿宋_GB2312"/>
          <w:b/>
          <w:sz w:val="32"/>
          <w:szCs w:val="32"/>
        </w:rPr>
        <w:t>6.卫生健康支出（类）行政事业单位医疗（款）：</w:t>
      </w:r>
    </w:p>
    <w:p>
      <w:pPr>
        <w:spacing w:line="560" w:lineRule="exact"/>
        <w:ind w:firstLine="643" w:firstLineChars="200"/>
        <w:rPr>
          <w:rFonts w:eastAsia="仿宋_GB2312"/>
          <w:sz w:val="32"/>
          <w:szCs w:val="32"/>
        </w:rPr>
      </w:pPr>
      <w:r>
        <w:rPr>
          <w:rFonts w:eastAsia="仿宋_GB2312"/>
          <w:b/>
          <w:sz w:val="32"/>
          <w:szCs w:val="32"/>
        </w:rPr>
        <w:sym w:font="Wingdings" w:char="F081"/>
      </w:r>
      <w:r>
        <w:rPr>
          <w:rFonts w:eastAsia="仿宋_GB2312"/>
          <w:b/>
          <w:sz w:val="32"/>
          <w:szCs w:val="32"/>
        </w:rPr>
        <w:t>行政单位医疗：</w:t>
      </w:r>
      <w:r>
        <w:rPr>
          <w:rFonts w:eastAsia="仿宋_GB2312"/>
          <w:sz w:val="32"/>
          <w:szCs w:val="32"/>
        </w:rPr>
        <w:t>支出决算为30.13万元，完成预算100%，决算数等于预算数。</w:t>
      </w:r>
    </w:p>
    <w:p>
      <w:pPr>
        <w:spacing w:line="560" w:lineRule="exact"/>
        <w:ind w:firstLine="643" w:firstLineChars="200"/>
        <w:rPr>
          <w:rFonts w:eastAsia="仿宋_GB2312"/>
          <w:sz w:val="32"/>
          <w:szCs w:val="32"/>
        </w:rPr>
      </w:pPr>
      <w:r>
        <w:rPr>
          <w:rFonts w:eastAsia="仿宋_GB2312"/>
          <w:b/>
          <w:sz w:val="32"/>
          <w:szCs w:val="32"/>
        </w:rPr>
        <w:sym w:font="Wingdings" w:char="F082"/>
      </w:r>
      <w:r>
        <w:rPr>
          <w:rFonts w:eastAsia="仿宋_GB2312"/>
          <w:b/>
          <w:sz w:val="32"/>
          <w:szCs w:val="32"/>
        </w:rPr>
        <w:t>事业单位医疗：</w:t>
      </w:r>
      <w:r>
        <w:rPr>
          <w:rFonts w:eastAsia="仿宋_GB2312"/>
          <w:sz w:val="32"/>
          <w:szCs w:val="32"/>
        </w:rPr>
        <w:t>支出决算为8.22万元，完成预算100%，决算数等于预算数。</w:t>
      </w:r>
    </w:p>
    <w:p>
      <w:pPr>
        <w:spacing w:line="560" w:lineRule="exact"/>
        <w:ind w:firstLine="643" w:firstLineChars="200"/>
        <w:rPr>
          <w:rFonts w:eastAsia="仿宋_GB2312"/>
          <w:sz w:val="32"/>
          <w:szCs w:val="32"/>
        </w:rPr>
      </w:pPr>
      <w:r>
        <w:rPr>
          <w:rFonts w:eastAsia="仿宋_GB2312"/>
          <w:b/>
          <w:sz w:val="32"/>
          <w:szCs w:val="32"/>
        </w:rPr>
        <w:sym w:font="Wingdings" w:char="F083"/>
      </w:r>
      <w:r>
        <w:rPr>
          <w:rFonts w:eastAsia="仿宋_GB2312"/>
          <w:b/>
          <w:sz w:val="32"/>
          <w:szCs w:val="32"/>
        </w:rPr>
        <w:t>公务员医疗补助：</w:t>
      </w:r>
      <w:r>
        <w:rPr>
          <w:rFonts w:eastAsia="仿宋_GB2312"/>
          <w:sz w:val="32"/>
          <w:szCs w:val="32"/>
        </w:rPr>
        <w:t>支出决算为4.24万元，完成预算100%，决算数等于预算数。</w:t>
      </w:r>
    </w:p>
    <w:p>
      <w:pPr>
        <w:spacing w:line="560" w:lineRule="exact"/>
        <w:ind w:firstLine="643" w:firstLineChars="200"/>
        <w:rPr>
          <w:rFonts w:eastAsia="仿宋_GB2312"/>
          <w:sz w:val="32"/>
          <w:szCs w:val="32"/>
        </w:rPr>
      </w:pPr>
      <w:r>
        <w:rPr>
          <w:rFonts w:eastAsia="仿宋_GB2312"/>
          <w:b/>
          <w:sz w:val="32"/>
          <w:szCs w:val="32"/>
        </w:rPr>
        <w:t>7.其他支出（类）其他支出（款）其他支出（项）：</w:t>
      </w:r>
      <w:r>
        <w:rPr>
          <w:rFonts w:eastAsia="仿宋_GB2312"/>
          <w:sz w:val="32"/>
          <w:szCs w:val="32"/>
        </w:rPr>
        <w:t>支出决算为35.81万元，完成预算100%，决算数等于预算数。</w:t>
      </w:r>
    </w:p>
    <w:p>
      <w:pPr>
        <w:spacing w:line="560" w:lineRule="exact"/>
        <w:ind w:firstLine="640" w:firstLineChars="200"/>
        <w:rPr>
          <w:rFonts w:ascii="黑体" w:eastAsia="黑体"/>
          <w:sz w:val="32"/>
          <w:szCs w:val="32"/>
        </w:rPr>
      </w:pPr>
      <w:bookmarkStart w:id="73" w:name="_Toc22058_WPSOffice_Level2"/>
      <w:bookmarkStart w:id="74" w:name="_Toc15377214"/>
      <w:bookmarkStart w:id="75" w:name="_Toc15396608"/>
      <w:r>
        <w:rPr>
          <w:rFonts w:hint="eastAsia" w:ascii="黑体" w:eastAsia="黑体"/>
          <w:sz w:val="32"/>
          <w:szCs w:val="32"/>
        </w:rPr>
        <w:t>六、一般公共预算财政拨款基本支出决算情况说明</w:t>
      </w:r>
      <w:bookmarkEnd w:id="73"/>
      <w:bookmarkEnd w:id="74"/>
      <w:bookmarkEnd w:id="75"/>
      <w:r>
        <w:rPr>
          <w:rFonts w:hint="eastAsia" w:ascii="黑体" w:eastAsia="黑体"/>
          <w:sz w:val="32"/>
          <w:szCs w:val="32"/>
        </w:rPr>
        <w:tab/>
      </w:r>
    </w:p>
    <w:p>
      <w:pPr>
        <w:spacing w:line="580" w:lineRule="exact"/>
        <w:ind w:firstLine="640" w:firstLineChars="200"/>
        <w:rPr>
          <w:rFonts w:eastAsia="仿宋_GB2312"/>
          <w:sz w:val="32"/>
          <w:szCs w:val="32"/>
        </w:rPr>
      </w:pPr>
      <w:r>
        <w:rPr>
          <w:rFonts w:eastAsia="仿宋_GB2312"/>
          <w:sz w:val="32"/>
          <w:szCs w:val="32"/>
        </w:rPr>
        <w:t>2021年一般公共预算财政拨款基本支出708.38万元，其中：</w:t>
      </w:r>
    </w:p>
    <w:p>
      <w:pPr>
        <w:spacing w:line="580" w:lineRule="exact"/>
        <w:ind w:firstLine="640" w:firstLineChars="200"/>
        <w:rPr>
          <w:rFonts w:eastAsia="仿宋_GB2312"/>
          <w:sz w:val="32"/>
          <w:szCs w:val="32"/>
        </w:rPr>
      </w:pPr>
      <w:r>
        <w:rPr>
          <w:rFonts w:eastAsia="仿宋_GB2312"/>
          <w:sz w:val="32"/>
          <w:szCs w:val="32"/>
        </w:rPr>
        <w:t>人员经费655.13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eastAsia="仿宋_GB2312"/>
          <w:sz w:val="32"/>
          <w:szCs w:val="32"/>
        </w:rPr>
        <w:br w:type="textWrapping"/>
      </w:r>
      <w:r>
        <w:rPr>
          <w:rFonts w:eastAsia="仿宋_GB2312"/>
          <w:sz w:val="32"/>
          <w:szCs w:val="32"/>
        </w:rPr>
        <w:t>　　公用经费53.26万元，主要包括：办公费、印刷费、水费、电费、邮电费、差旅费、维修（护）费、租赁费、会议费、培训费、劳务费、工会经费、福利费、其他交通费其他商品和服务支出、办公设备购置、专用设备购置、信息网络及软件购置更新等。</w:t>
      </w:r>
    </w:p>
    <w:p>
      <w:pPr>
        <w:spacing w:line="580" w:lineRule="exact"/>
        <w:ind w:firstLine="640" w:firstLineChars="200"/>
        <w:rPr>
          <w:rFonts w:eastAsia="黑体"/>
          <w:sz w:val="32"/>
          <w:szCs w:val="32"/>
        </w:rPr>
      </w:pPr>
      <w:bookmarkStart w:id="76" w:name="_Toc15396609"/>
      <w:bookmarkStart w:id="77" w:name="_Toc15377215"/>
      <w:bookmarkStart w:id="78" w:name="_Toc3877_WPSOffice_Level2"/>
      <w:r>
        <w:rPr>
          <w:rFonts w:eastAsia="黑体"/>
          <w:sz w:val="32"/>
          <w:szCs w:val="32"/>
        </w:rPr>
        <w:t>七、“三公”经费财政拨款支出决算情况说明</w:t>
      </w:r>
      <w:bookmarkEnd w:id="76"/>
      <w:bookmarkEnd w:id="77"/>
      <w:bookmarkEnd w:id="78"/>
    </w:p>
    <w:p>
      <w:pPr>
        <w:spacing w:line="580" w:lineRule="exact"/>
        <w:ind w:firstLine="640" w:firstLineChars="200"/>
        <w:rPr>
          <w:rFonts w:eastAsia="楷体_GB2312"/>
          <w:sz w:val="32"/>
          <w:szCs w:val="32"/>
        </w:rPr>
      </w:pPr>
      <w:bookmarkStart w:id="79" w:name="_Toc15377216"/>
      <w:r>
        <w:rPr>
          <w:rFonts w:eastAsia="楷体_GB2312"/>
          <w:sz w:val="32"/>
          <w:szCs w:val="32"/>
        </w:rPr>
        <w:t>（一）“三公”经费财政拨款支出决算总体情况说明</w:t>
      </w:r>
      <w:bookmarkEnd w:id="79"/>
      <w:r>
        <w:rPr>
          <w:rFonts w:eastAsia="楷体_GB2312"/>
          <w:sz w:val="32"/>
          <w:szCs w:val="32"/>
        </w:rPr>
        <w:t>。</w:t>
      </w:r>
    </w:p>
    <w:p>
      <w:pPr>
        <w:spacing w:line="580" w:lineRule="exact"/>
        <w:ind w:firstLine="640" w:firstLineChars="200"/>
        <w:rPr>
          <w:rFonts w:eastAsia="仿宋_GB2312"/>
          <w:sz w:val="32"/>
          <w:szCs w:val="32"/>
        </w:rPr>
      </w:pPr>
      <w:r>
        <w:rPr>
          <w:rFonts w:eastAsia="仿宋_GB2312"/>
          <w:sz w:val="32"/>
          <w:szCs w:val="32"/>
        </w:rPr>
        <w:t>2021年“三公”经费财政拨款支出决算为0万元。</w:t>
      </w:r>
    </w:p>
    <w:p>
      <w:pPr>
        <w:spacing w:line="580" w:lineRule="exact"/>
        <w:ind w:firstLine="640" w:firstLineChars="200"/>
        <w:rPr>
          <w:rFonts w:eastAsia="楷体_GB2312"/>
          <w:sz w:val="32"/>
          <w:szCs w:val="32"/>
        </w:rPr>
      </w:pPr>
      <w:bookmarkStart w:id="80" w:name="_Toc15377217"/>
      <w:r>
        <w:rPr>
          <w:rFonts w:eastAsia="楷体_GB2312"/>
          <w:sz w:val="32"/>
          <w:szCs w:val="32"/>
        </w:rPr>
        <w:t>（二）“三公”经费财政拨款支出决算具体情况说明</w:t>
      </w:r>
      <w:bookmarkEnd w:id="80"/>
      <w:r>
        <w:rPr>
          <w:rFonts w:eastAsia="楷体_GB2312"/>
          <w:sz w:val="32"/>
          <w:szCs w:val="32"/>
        </w:rPr>
        <w:t>。</w:t>
      </w:r>
    </w:p>
    <w:p>
      <w:pPr>
        <w:spacing w:line="580" w:lineRule="exact"/>
        <w:ind w:firstLine="640" w:firstLineChars="200"/>
        <w:rPr>
          <w:rFonts w:eastAsia="仿宋_GB2312"/>
          <w:sz w:val="32"/>
          <w:szCs w:val="32"/>
        </w:rPr>
      </w:pPr>
      <w:r>
        <w:rPr>
          <w:rFonts w:eastAsia="仿宋_GB2312"/>
          <w:sz w:val="32"/>
          <w:szCs w:val="32"/>
        </w:rPr>
        <w:t>2021年“三公”经费财政拨款支出决算中，因公出国（境）费支出决算0万元，占0%；公务用车购置及运行维护费支出决算0万元，占0%；公务接待费支出决算0万元，占0%。具体情况如下：</w:t>
      </w:r>
    </w:p>
    <w:p>
      <w:pPr>
        <w:pStyle w:val="6"/>
        <w:spacing w:before="93"/>
        <w:rPr>
          <w:rFonts w:ascii="仿宋" w:hAnsi="仿宋" w:eastAsia="仿宋"/>
          <w:sz w:val="32"/>
          <w:szCs w:val="32"/>
        </w:rPr>
      </w:pPr>
    </w:p>
    <w:p>
      <w:pPr>
        <w:pStyle w:val="6"/>
        <w:spacing w:before="93"/>
        <w:rPr>
          <w:b/>
          <w:sz w:val="32"/>
          <w:szCs w:val="32"/>
        </w:rPr>
      </w:pPr>
      <w:r>
        <w:drawing>
          <wp:inline distT="0" distB="0" distL="114300" distR="114300">
            <wp:extent cx="5268595" cy="2740660"/>
            <wp:effectExtent l="4445" t="4445" r="22860" b="17145"/>
            <wp:docPr id="223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560" w:lineRule="exact"/>
        <w:ind w:firstLine="640" w:firstLineChars="200"/>
        <w:rPr>
          <w:rFonts w:eastAsia="仿宋_GB2312"/>
          <w:sz w:val="32"/>
          <w:szCs w:val="32"/>
        </w:rPr>
      </w:pPr>
      <w:bookmarkStart w:id="81" w:name="_Toc15377218"/>
      <w:bookmarkStart w:id="82" w:name="_Toc15396610"/>
    </w:p>
    <w:p>
      <w:pPr>
        <w:spacing w:line="560" w:lineRule="exact"/>
        <w:ind w:firstLine="640" w:firstLineChars="200"/>
        <w:rPr>
          <w:rFonts w:eastAsia="仿宋_GB2312"/>
          <w:sz w:val="32"/>
          <w:szCs w:val="32"/>
        </w:rPr>
      </w:pPr>
      <w:r>
        <w:rPr>
          <w:rFonts w:eastAsia="仿宋_GB2312"/>
          <w:sz w:val="32"/>
          <w:szCs w:val="32"/>
        </w:rPr>
        <w:t>1.因公出国（境）经费支出0万元，完成预算0%。全年安排因公出国（境）团组0次，出国（境）0人。因公出国（境）支出决算比2020年无增减变动。主要原因是我单位2021年无因公出国（境）支出。</w:t>
      </w:r>
    </w:p>
    <w:p>
      <w:pPr>
        <w:spacing w:line="560" w:lineRule="exact"/>
        <w:ind w:firstLine="640" w:firstLineChars="200"/>
        <w:rPr>
          <w:rFonts w:eastAsia="仿宋_GB2312"/>
          <w:sz w:val="32"/>
          <w:szCs w:val="32"/>
        </w:rPr>
      </w:pPr>
      <w:r>
        <w:rPr>
          <w:rFonts w:eastAsia="仿宋_GB2312"/>
          <w:sz w:val="32"/>
          <w:szCs w:val="32"/>
        </w:rPr>
        <w:t>开支内容包括：（团组名称、出访地点、取得成效）等。</w:t>
      </w:r>
    </w:p>
    <w:p>
      <w:pPr>
        <w:spacing w:line="560" w:lineRule="exact"/>
        <w:ind w:firstLine="640" w:firstLineChars="200"/>
        <w:rPr>
          <w:rFonts w:eastAsia="仿宋_GB2312"/>
          <w:sz w:val="32"/>
          <w:szCs w:val="32"/>
        </w:rPr>
      </w:pPr>
      <w:r>
        <w:rPr>
          <w:rFonts w:eastAsia="仿宋_GB2312"/>
          <w:sz w:val="32"/>
          <w:szCs w:val="32"/>
        </w:rPr>
        <w:t>2.公务用车购置及运行维护费支出0万元,完成预算0%。公务用车购置及运行维护费支出决算比2021年无增减变动，主要原因是我单位2021年无公务用车购置及运行维护费支出。</w:t>
      </w:r>
    </w:p>
    <w:p>
      <w:pPr>
        <w:spacing w:line="560" w:lineRule="exact"/>
        <w:ind w:firstLine="640" w:firstLineChars="200"/>
        <w:rPr>
          <w:rFonts w:eastAsia="仿宋_GB2312"/>
          <w:sz w:val="32"/>
          <w:szCs w:val="32"/>
        </w:rPr>
      </w:pPr>
      <w:r>
        <w:rPr>
          <w:rFonts w:eastAsia="仿宋_GB2312"/>
          <w:sz w:val="32"/>
          <w:szCs w:val="32"/>
        </w:rPr>
        <w:t>其中：公务用车购置支出0万元。全年按规定更新购置公务用车0辆，其中：轿车0辆、金额0万元，越野车0辆、金额0万元，载客汽车0辆、金额0万元。截至2021年12月底，单位共有公务用车0辆，其中：轿车0辆、越野车0辆、载客汽车0辆。</w:t>
      </w:r>
    </w:p>
    <w:p>
      <w:pPr>
        <w:spacing w:line="560" w:lineRule="exact"/>
        <w:ind w:firstLine="640" w:firstLineChars="200"/>
        <w:rPr>
          <w:rFonts w:eastAsia="仿宋_GB2312"/>
          <w:sz w:val="32"/>
          <w:szCs w:val="32"/>
        </w:rPr>
      </w:pPr>
      <w:r>
        <w:rPr>
          <w:rFonts w:eastAsia="仿宋_GB2312"/>
          <w:sz w:val="32"/>
          <w:szCs w:val="32"/>
        </w:rPr>
        <w:t>公务用车运行维护费支出0万元。主要用于（具体工作）等所需的公务用车燃料费、维修费、过路过桥费、保险费等支出。</w:t>
      </w:r>
    </w:p>
    <w:p>
      <w:pPr>
        <w:spacing w:line="560" w:lineRule="exact"/>
        <w:ind w:firstLine="640" w:firstLineChars="200"/>
        <w:rPr>
          <w:rFonts w:eastAsia="仿宋_GB2312"/>
          <w:sz w:val="32"/>
          <w:szCs w:val="32"/>
        </w:rPr>
      </w:pPr>
      <w:r>
        <w:rPr>
          <w:rFonts w:eastAsia="仿宋_GB2312"/>
          <w:sz w:val="32"/>
          <w:szCs w:val="32"/>
        </w:rPr>
        <w:t>3.公务接待费支出0万元。公务接待费支出决算比2020年减少0.07万元，下降100%。主要原因是单位无接待支出。</w:t>
      </w:r>
    </w:p>
    <w:p>
      <w:pPr>
        <w:spacing w:line="560" w:lineRule="exact"/>
        <w:ind w:firstLine="640" w:firstLineChars="200"/>
        <w:rPr>
          <w:rFonts w:eastAsia="仿宋_GB2312"/>
          <w:sz w:val="32"/>
          <w:szCs w:val="32"/>
        </w:rPr>
      </w:pPr>
      <w:r>
        <w:rPr>
          <w:rFonts w:eastAsia="仿宋_GB2312"/>
          <w:sz w:val="32"/>
          <w:szCs w:val="32"/>
        </w:rPr>
        <w:t>国内公务接待支出0万元，主要用于执行公务、开展业务活动开支的交通费、住宿费、用餐费等。国内公务接待0批次，0人次（不包括陪同人员），共计支出0万元，主要用于（具体项目）。</w:t>
      </w:r>
    </w:p>
    <w:p>
      <w:pPr>
        <w:spacing w:line="560" w:lineRule="exact"/>
        <w:ind w:firstLine="640" w:firstLineChars="200"/>
        <w:rPr>
          <w:rFonts w:eastAsia="仿宋_GB2312"/>
          <w:sz w:val="32"/>
          <w:szCs w:val="32"/>
        </w:rPr>
      </w:pPr>
      <w:r>
        <w:rPr>
          <w:rFonts w:eastAsia="仿宋_GB2312"/>
          <w:sz w:val="32"/>
          <w:szCs w:val="32"/>
        </w:rPr>
        <w:t>外事接待支出0万元，外事接待0批次，0人，共计支出0万元，主要用于（具体项目）。</w:t>
      </w:r>
    </w:p>
    <w:p>
      <w:pPr>
        <w:spacing w:line="560" w:lineRule="exact"/>
        <w:ind w:firstLine="640" w:firstLineChars="200"/>
        <w:rPr>
          <w:rFonts w:eastAsia="黑体"/>
          <w:sz w:val="32"/>
          <w:szCs w:val="32"/>
        </w:rPr>
      </w:pPr>
      <w:bookmarkStart w:id="83" w:name="_Toc21533_WPSOffice_Level2"/>
      <w:r>
        <w:rPr>
          <w:rFonts w:eastAsia="黑体"/>
          <w:sz w:val="32"/>
          <w:szCs w:val="32"/>
        </w:rPr>
        <w:t>八、政府性基金预算支出决算情况说明</w:t>
      </w:r>
      <w:bookmarkEnd w:id="81"/>
      <w:bookmarkEnd w:id="82"/>
      <w:bookmarkEnd w:id="83"/>
    </w:p>
    <w:p>
      <w:pPr>
        <w:spacing w:line="560" w:lineRule="exact"/>
        <w:ind w:firstLine="640" w:firstLineChars="200"/>
        <w:rPr>
          <w:rFonts w:eastAsia="仿宋_GB2312"/>
          <w:sz w:val="32"/>
          <w:szCs w:val="32"/>
        </w:rPr>
      </w:pPr>
      <w:r>
        <w:rPr>
          <w:rFonts w:eastAsia="仿宋_GB2312"/>
          <w:sz w:val="32"/>
          <w:szCs w:val="32"/>
        </w:rPr>
        <w:t>2021年政府性基金预算财政拨款支出0万元。</w:t>
      </w:r>
    </w:p>
    <w:p>
      <w:pPr>
        <w:spacing w:line="560" w:lineRule="exact"/>
        <w:ind w:firstLine="640" w:firstLineChars="200"/>
        <w:rPr>
          <w:rFonts w:eastAsia="黑体"/>
          <w:sz w:val="32"/>
          <w:szCs w:val="32"/>
        </w:rPr>
      </w:pPr>
      <w:bookmarkStart w:id="84" w:name="_Toc492_WPSOffice_Level2"/>
      <w:bookmarkStart w:id="85" w:name="_Toc15396611"/>
      <w:bookmarkStart w:id="86" w:name="_Toc15377219"/>
      <w:r>
        <w:rPr>
          <w:rFonts w:eastAsia="黑体"/>
          <w:sz w:val="32"/>
          <w:szCs w:val="32"/>
        </w:rPr>
        <w:t>九、国有资本经营预算支出决算情况说明</w:t>
      </w:r>
      <w:bookmarkEnd w:id="84"/>
      <w:bookmarkEnd w:id="85"/>
      <w:bookmarkEnd w:id="86"/>
    </w:p>
    <w:p>
      <w:pPr>
        <w:spacing w:line="560" w:lineRule="exact"/>
        <w:ind w:firstLine="640" w:firstLineChars="200"/>
        <w:rPr>
          <w:rFonts w:eastAsia="仿宋_GB2312"/>
          <w:sz w:val="32"/>
          <w:szCs w:val="32"/>
        </w:rPr>
      </w:pPr>
      <w:r>
        <w:rPr>
          <w:rFonts w:eastAsia="仿宋_GB2312"/>
          <w:sz w:val="32"/>
          <w:szCs w:val="32"/>
        </w:rPr>
        <w:t>2021年国有资本经营预算财政拨款支出0万元。</w:t>
      </w:r>
    </w:p>
    <w:p>
      <w:pPr>
        <w:spacing w:line="560" w:lineRule="exact"/>
        <w:ind w:firstLine="640" w:firstLineChars="200"/>
        <w:rPr>
          <w:rFonts w:eastAsia="黑体"/>
          <w:sz w:val="32"/>
          <w:szCs w:val="32"/>
        </w:rPr>
      </w:pPr>
      <w:bookmarkStart w:id="87" w:name="_Toc15377221"/>
      <w:bookmarkStart w:id="88" w:name="_Toc23819_WPSOffice_Level2"/>
      <w:bookmarkStart w:id="89" w:name="_Toc15396612"/>
      <w:r>
        <w:rPr>
          <w:rFonts w:eastAsia="黑体"/>
          <w:sz w:val="32"/>
          <w:szCs w:val="32"/>
        </w:rPr>
        <w:t>十、其他重要事项的情况说明</w:t>
      </w:r>
      <w:bookmarkEnd w:id="87"/>
      <w:bookmarkEnd w:id="88"/>
      <w:bookmarkEnd w:id="89"/>
    </w:p>
    <w:p>
      <w:pPr>
        <w:spacing w:line="560" w:lineRule="exact"/>
        <w:ind w:firstLine="640" w:firstLineChars="200"/>
        <w:rPr>
          <w:rFonts w:eastAsia="楷体_GB2312"/>
          <w:sz w:val="32"/>
          <w:szCs w:val="32"/>
        </w:rPr>
      </w:pPr>
      <w:bookmarkStart w:id="90" w:name="_Toc15377222"/>
      <w:r>
        <w:rPr>
          <w:rFonts w:eastAsia="楷体_GB2312"/>
          <w:sz w:val="32"/>
          <w:szCs w:val="32"/>
        </w:rPr>
        <w:t>（一）机关运行经费支出情况</w:t>
      </w:r>
      <w:bookmarkEnd w:id="90"/>
      <w:r>
        <w:rPr>
          <w:rFonts w:eastAsia="楷体_GB2312"/>
          <w:sz w:val="32"/>
          <w:szCs w:val="32"/>
        </w:rPr>
        <w:t>。</w:t>
      </w:r>
    </w:p>
    <w:p>
      <w:pPr>
        <w:spacing w:line="560" w:lineRule="exact"/>
        <w:ind w:firstLine="640" w:firstLineChars="200"/>
        <w:rPr>
          <w:rFonts w:eastAsia="仿宋_GB2312"/>
          <w:sz w:val="32"/>
          <w:szCs w:val="32"/>
        </w:rPr>
      </w:pPr>
      <w:r>
        <w:rPr>
          <w:rFonts w:eastAsia="仿宋_GB2312"/>
          <w:sz w:val="32"/>
          <w:szCs w:val="32"/>
        </w:rPr>
        <w:t>2021年，盐边县财政局机关运行经费支出53.26万元，比2020年增加7.14万元，增长15.48%。主要原因是办公设备购置增加经费支出。</w:t>
      </w:r>
    </w:p>
    <w:p>
      <w:pPr>
        <w:spacing w:line="560" w:lineRule="exact"/>
        <w:ind w:firstLine="640" w:firstLineChars="200"/>
        <w:rPr>
          <w:rFonts w:eastAsia="楷体_GB2312"/>
          <w:sz w:val="32"/>
          <w:szCs w:val="32"/>
        </w:rPr>
      </w:pPr>
      <w:bookmarkStart w:id="91" w:name="_Toc15377223"/>
      <w:r>
        <w:rPr>
          <w:rFonts w:eastAsia="楷体_GB2312"/>
          <w:sz w:val="32"/>
          <w:szCs w:val="32"/>
        </w:rPr>
        <w:t>（二）政府采购支出情况</w:t>
      </w:r>
      <w:bookmarkEnd w:id="91"/>
      <w:r>
        <w:rPr>
          <w:rFonts w:eastAsia="楷体_GB2312"/>
          <w:sz w:val="32"/>
          <w:szCs w:val="32"/>
        </w:rPr>
        <w:t>。</w:t>
      </w:r>
    </w:p>
    <w:p>
      <w:pPr>
        <w:spacing w:line="560" w:lineRule="exact"/>
        <w:ind w:firstLine="640" w:firstLineChars="200"/>
        <w:rPr>
          <w:rFonts w:eastAsia="仿宋_GB2312"/>
          <w:sz w:val="32"/>
          <w:szCs w:val="32"/>
        </w:rPr>
      </w:pPr>
      <w:r>
        <w:rPr>
          <w:rFonts w:eastAsia="仿宋_GB2312"/>
          <w:sz w:val="32"/>
          <w:szCs w:val="32"/>
        </w:rPr>
        <w:t>2021年，盐边县财政局政府采购支出总额171.61万元，其中：政府采购货物支出3.99万元、政府采购工程支出94.72万元、政府采购服务支出72.90万元。主要用于办公电脑、打印机等设备购置及项目评审委托业务费用支出。授予中小企业合同金额142.71万元，占政府采购支出总额的83.16%，其中：授予小微企业合同金额142.71万元，占政府采购支出总额的83.16%。</w:t>
      </w:r>
    </w:p>
    <w:p>
      <w:pPr>
        <w:spacing w:line="560" w:lineRule="exact"/>
        <w:ind w:firstLine="640" w:firstLineChars="200"/>
        <w:rPr>
          <w:rFonts w:eastAsia="楷体_GB2312"/>
          <w:sz w:val="32"/>
          <w:szCs w:val="32"/>
        </w:rPr>
      </w:pPr>
      <w:bookmarkStart w:id="92" w:name="_Toc15377224"/>
      <w:r>
        <w:rPr>
          <w:rFonts w:eastAsia="楷体_GB2312"/>
          <w:sz w:val="32"/>
          <w:szCs w:val="32"/>
        </w:rPr>
        <w:t>（三）国有资产占有使用情况</w:t>
      </w:r>
      <w:bookmarkEnd w:id="92"/>
      <w:r>
        <w:rPr>
          <w:rFonts w:eastAsia="楷体_GB2312"/>
          <w:sz w:val="32"/>
          <w:szCs w:val="32"/>
        </w:rPr>
        <w:t>。</w:t>
      </w:r>
    </w:p>
    <w:p>
      <w:pPr>
        <w:spacing w:line="560" w:lineRule="exact"/>
        <w:ind w:firstLine="640" w:firstLineChars="200"/>
        <w:rPr>
          <w:rFonts w:eastAsia="仿宋_GB2312"/>
          <w:sz w:val="32"/>
          <w:szCs w:val="32"/>
        </w:rPr>
      </w:pPr>
      <w:r>
        <w:rPr>
          <w:rFonts w:eastAsia="仿宋_GB2312"/>
          <w:sz w:val="32"/>
          <w:szCs w:val="32"/>
        </w:rPr>
        <w:t>截至2021年12月31日，盐边县财政局共有车辆0辆，其中：部级领导干部用车0辆、一般公务用车0辆、一般执法执勤用车0辆、特种专业技术用车0辆、其他用车0辆，单价50万元以上通用设备0台（套），单价100万元以上专用设备1台（套）。</w:t>
      </w:r>
    </w:p>
    <w:p>
      <w:pPr>
        <w:spacing w:line="560" w:lineRule="exact"/>
        <w:ind w:firstLine="640" w:firstLineChars="200"/>
        <w:rPr>
          <w:rFonts w:eastAsia="楷体_GB2312"/>
          <w:sz w:val="32"/>
          <w:szCs w:val="32"/>
        </w:rPr>
      </w:pPr>
      <w:r>
        <w:rPr>
          <w:rFonts w:eastAsia="楷体_GB2312"/>
          <w:sz w:val="32"/>
          <w:szCs w:val="32"/>
        </w:rPr>
        <w:t>（四）预算绩效管理情况。</w:t>
      </w:r>
    </w:p>
    <w:p>
      <w:pPr>
        <w:spacing w:line="560" w:lineRule="exact"/>
        <w:ind w:firstLine="640" w:firstLineChars="200"/>
        <w:rPr>
          <w:rFonts w:eastAsia="仿宋_GB2312"/>
          <w:sz w:val="32"/>
          <w:szCs w:val="32"/>
        </w:rPr>
      </w:pPr>
      <w:r>
        <w:rPr>
          <w:rFonts w:eastAsia="仿宋_GB2312"/>
          <w:sz w:val="32"/>
          <w:szCs w:val="32"/>
        </w:rPr>
        <w:t>根据预算绩效管理要求，盐边县财政局在年初预算编制阶段，组织对项目开展了预算事前绩效评估，对“财政局网络及全县金财网维护”、“财政投资评审中心经费”等项目编制了绩效目标，预算执行过程中，选取“财政局网络及全县金财网维护”、“财政投资评审中心经费”等项目开展绩效监控，年终执行完毕后，对“财政局网络及全县金财网维护”、“财政投资评审中心经费”等项目开展了绩效目标完成情况自评。</w:t>
      </w:r>
    </w:p>
    <w:p>
      <w:pPr>
        <w:spacing w:line="560" w:lineRule="exact"/>
        <w:ind w:firstLine="640" w:firstLineChars="200"/>
        <w:rPr>
          <w:rFonts w:eastAsia="仿宋_GB2312"/>
          <w:sz w:val="32"/>
          <w:szCs w:val="32"/>
        </w:rPr>
      </w:pPr>
      <w:r>
        <w:rPr>
          <w:rFonts w:eastAsia="仿宋_GB2312"/>
          <w:sz w:val="32"/>
          <w:szCs w:val="32"/>
        </w:rPr>
        <w:t>2021年特定目标类部门预算项目绩效目标自评表见附件（第四部分）。</w:t>
      </w:r>
    </w:p>
    <w:p>
      <w:pPr>
        <w:widowControl/>
        <w:jc w:val="left"/>
        <w:rPr>
          <w:rFonts w:eastAsia="仿宋_GB2312"/>
          <w:b/>
          <w:sz w:val="32"/>
          <w:szCs w:val="32"/>
        </w:rPr>
      </w:pPr>
      <w:r>
        <w:rPr>
          <w:rFonts w:eastAsia="仿宋_GB2312"/>
          <w:b/>
          <w:sz w:val="32"/>
          <w:szCs w:val="32"/>
        </w:rPr>
        <w:br w:type="page"/>
      </w:r>
    </w:p>
    <w:p>
      <w:pPr>
        <w:jc w:val="center"/>
        <w:rPr>
          <w:rFonts w:eastAsia="黑体"/>
          <w:sz w:val="44"/>
          <w:szCs w:val="44"/>
        </w:rPr>
      </w:pPr>
      <w:bookmarkStart w:id="93" w:name="_Toc1969_WPSOffice_Level1"/>
      <w:bookmarkStart w:id="94" w:name="_Toc15396614"/>
      <w:bookmarkStart w:id="95" w:name="_Toc15377226"/>
      <w:r>
        <w:rPr>
          <w:rFonts w:eastAsia="黑体"/>
          <w:sz w:val="44"/>
          <w:szCs w:val="44"/>
        </w:rPr>
        <w:t>第三部分 名词解释</w:t>
      </w:r>
      <w:bookmarkEnd w:id="93"/>
    </w:p>
    <w:p>
      <w:pPr>
        <w:pStyle w:val="2"/>
      </w:pPr>
    </w:p>
    <w:p>
      <w:pPr>
        <w:spacing w:line="560" w:lineRule="exact"/>
        <w:ind w:firstLine="643" w:firstLineChars="200"/>
        <w:rPr>
          <w:rFonts w:eastAsia="仿宋_GB2312"/>
          <w:sz w:val="32"/>
          <w:szCs w:val="32"/>
        </w:rPr>
      </w:pPr>
      <w:r>
        <w:rPr>
          <w:rFonts w:eastAsia="仿宋_GB2312"/>
          <w:b/>
          <w:sz w:val="32"/>
          <w:szCs w:val="32"/>
        </w:rPr>
        <w:t>1.财政拨款收入：</w:t>
      </w:r>
      <w:r>
        <w:rPr>
          <w:rFonts w:eastAsia="仿宋_GB2312"/>
          <w:sz w:val="32"/>
          <w:szCs w:val="32"/>
        </w:rPr>
        <w:t>指单位从同级财政部门取得的财政预算资金。</w:t>
      </w:r>
    </w:p>
    <w:p>
      <w:pPr>
        <w:spacing w:line="560" w:lineRule="exact"/>
        <w:ind w:firstLine="643" w:firstLineChars="200"/>
        <w:rPr>
          <w:rFonts w:eastAsia="仿宋_GB2312"/>
          <w:sz w:val="32"/>
          <w:szCs w:val="32"/>
        </w:rPr>
      </w:pPr>
      <w:r>
        <w:rPr>
          <w:rFonts w:eastAsia="仿宋_GB2312"/>
          <w:b/>
          <w:sz w:val="32"/>
          <w:szCs w:val="32"/>
        </w:rPr>
        <w:t>2.事业收入：</w:t>
      </w:r>
      <w:r>
        <w:rPr>
          <w:rFonts w:eastAsia="仿宋_GB2312"/>
          <w:sz w:val="32"/>
          <w:szCs w:val="32"/>
        </w:rPr>
        <w:t>指事业单位开展专业业务活动及辅助活动取得的收入。如（二级预算单位事业收入情况）等。</w:t>
      </w:r>
    </w:p>
    <w:p>
      <w:pPr>
        <w:spacing w:line="560" w:lineRule="exact"/>
        <w:ind w:firstLine="643" w:firstLineChars="200"/>
        <w:rPr>
          <w:rFonts w:eastAsia="仿宋_GB2312"/>
          <w:sz w:val="32"/>
          <w:szCs w:val="32"/>
        </w:rPr>
      </w:pPr>
      <w:r>
        <w:rPr>
          <w:rFonts w:eastAsia="仿宋_GB2312"/>
          <w:b/>
          <w:sz w:val="32"/>
          <w:szCs w:val="32"/>
        </w:rPr>
        <w:t>3.经营收入：</w:t>
      </w:r>
      <w:r>
        <w:rPr>
          <w:rFonts w:eastAsia="仿宋_GB2312"/>
          <w:sz w:val="32"/>
          <w:szCs w:val="32"/>
        </w:rPr>
        <w:t>指事业单位在专业业务活动及其辅助活动之外开展非独立核算经营活动取得的收入。如（二级预算单位经营收入情况）等。</w:t>
      </w:r>
    </w:p>
    <w:p>
      <w:pPr>
        <w:spacing w:line="560" w:lineRule="exact"/>
        <w:ind w:firstLine="643" w:firstLineChars="200"/>
        <w:rPr>
          <w:rFonts w:eastAsia="仿宋_GB2312"/>
          <w:sz w:val="32"/>
          <w:szCs w:val="32"/>
        </w:rPr>
      </w:pPr>
      <w:r>
        <w:rPr>
          <w:rFonts w:eastAsia="仿宋_GB2312"/>
          <w:b/>
          <w:sz w:val="32"/>
          <w:szCs w:val="32"/>
        </w:rPr>
        <w:t>4.其他收入：</w:t>
      </w:r>
      <w:r>
        <w:rPr>
          <w:rFonts w:eastAsia="仿宋_GB2312"/>
          <w:sz w:val="32"/>
          <w:szCs w:val="32"/>
        </w:rPr>
        <w:t xml:space="preserve">指单位取得的除上述收入以外的各项收入。 </w:t>
      </w:r>
    </w:p>
    <w:p>
      <w:pPr>
        <w:spacing w:line="560" w:lineRule="exact"/>
        <w:ind w:firstLine="643" w:firstLineChars="200"/>
        <w:rPr>
          <w:rFonts w:eastAsia="仿宋_GB2312"/>
          <w:sz w:val="32"/>
          <w:szCs w:val="32"/>
        </w:rPr>
      </w:pPr>
      <w:r>
        <w:rPr>
          <w:rFonts w:eastAsia="仿宋_GB2312"/>
          <w:b/>
          <w:sz w:val="32"/>
          <w:szCs w:val="32"/>
        </w:rPr>
        <w:t>5.用事业基金弥补收支差额：</w:t>
      </w:r>
      <w:r>
        <w:rPr>
          <w:rFonts w:eastAsia="仿宋_GB2312"/>
          <w:sz w:val="32"/>
          <w:szCs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spacing w:line="560" w:lineRule="exact"/>
        <w:ind w:firstLine="643" w:firstLineChars="200"/>
        <w:rPr>
          <w:rFonts w:eastAsia="仿宋_GB2312"/>
          <w:sz w:val="32"/>
          <w:szCs w:val="32"/>
        </w:rPr>
      </w:pPr>
      <w:r>
        <w:rPr>
          <w:rFonts w:eastAsia="仿宋_GB2312"/>
          <w:b/>
          <w:sz w:val="32"/>
          <w:szCs w:val="32"/>
        </w:rPr>
        <w:t>6.年初结转和结余：</w:t>
      </w:r>
      <w:r>
        <w:rPr>
          <w:rFonts w:eastAsia="仿宋_GB2312"/>
          <w:sz w:val="32"/>
          <w:szCs w:val="32"/>
        </w:rPr>
        <w:t xml:space="preserve">指以前年度尚未完成、结转到本年按有关规定继续使用的资金。 </w:t>
      </w:r>
    </w:p>
    <w:p>
      <w:pPr>
        <w:spacing w:line="560" w:lineRule="exact"/>
        <w:ind w:firstLine="643" w:firstLineChars="200"/>
        <w:rPr>
          <w:rFonts w:eastAsia="仿宋_GB2312"/>
          <w:sz w:val="32"/>
          <w:szCs w:val="32"/>
        </w:rPr>
      </w:pPr>
      <w:r>
        <w:rPr>
          <w:rFonts w:eastAsia="仿宋_GB2312"/>
          <w:b/>
          <w:sz w:val="32"/>
          <w:szCs w:val="32"/>
        </w:rPr>
        <w:t>7.结余分配：</w:t>
      </w:r>
      <w:r>
        <w:rPr>
          <w:rFonts w:eastAsia="仿宋_GB2312"/>
          <w:sz w:val="32"/>
          <w:szCs w:val="32"/>
        </w:rPr>
        <w:t>指事业单位按照事业单位会计制度的规定从非财政补助结余中分配的事业基金和职工福利基金等。</w:t>
      </w:r>
    </w:p>
    <w:p>
      <w:pPr>
        <w:spacing w:line="560" w:lineRule="exact"/>
        <w:ind w:firstLine="643" w:firstLineChars="200"/>
        <w:rPr>
          <w:rFonts w:eastAsia="仿宋_GB2312"/>
          <w:sz w:val="32"/>
          <w:szCs w:val="32"/>
        </w:rPr>
      </w:pPr>
      <w:r>
        <w:rPr>
          <w:rFonts w:eastAsia="仿宋_GB2312"/>
          <w:b/>
          <w:sz w:val="32"/>
          <w:szCs w:val="32"/>
        </w:rPr>
        <w:t>8.年末结转和结余：</w:t>
      </w:r>
      <w:r>
        <w:rPr>
          <w:rFonts w:eastAsia="仿宋_GB2312"/>
          <w:sz w:val="32"/>
          <w:szCs w:val="32"/>
        </w:rPr>
        <w:t>指单位按有关规定结转到下年或以后年度继续使用的资金。</w:t>
      </w:r>
    </w:p>
    <w:p>
      <w:pPr>
        <w:spacing w:line="560" w:lineRule="exact"/>
        <w:ind w:firstLine="643" w:firstLineChars="200"/>
        <w:rPr>
          <w:rFonts w:eastAsia="仿宋_GB2312"/>
          <w:b/>
          <w:sz w:val="32"/>
          <w:szCs w:val="32"/>
        </w:rPr>
      </w:pPr>
      <w:r>
        <w:rPr>
          <w:rFonts w:eastAsia="仿宋_GB2312"/>
          <w:b/>
          <w:sz w:val="32"/>
          <w:szCs w:val="32"/>
        </w:rPr>
        <w:t>9.一般公共服务（类）财政事务支出（款）</w:t>
      </w:r>
    </w:p>
    <w:p>
      <w:pPr>
        <w:spacing w:line="560" w:lineRule="exact"/>
        <w:ind w:firstLine="643" w:firstLineChars="200"/>
        <w:rPr>
          <w:rFonts w:eastAsia="仿宋_GB2312"/>
          <w:sz w:val="32"/>
          <w:szCs w:val="32"/>
        </w:rPr>
      </w:pPr>
      <w:r>
        <w:rPr>
          <w:rFonts w:eastAsia="仿宋_GB2312"/>
          <w:b/>
          <w:sz w:val="32"/>
          <w:szCs w:val="32"/>
        </w:rPr>
        <w:t>①行政运行:</w:t>
      </w:r>
      <w:r>
        <w:rPr>
          <w:rFonts w:eastAsia="仿宋_GB2312"/>
          <w:sz w:val="32"/>
          <w:szCs w:val="32"/>
        </w:rPr>
        <w:t xml:space="preserve"> 指行政单位（包括实行公务员管理的事业单位）的基本支出。</w:t>
      </w:r>
    </w:p>
    <w:p>
      <w:pPr>
        <w:spacing w:line="560" w:lineRule="exact"/>
        <w:ind w:firstLine="643" w:firstLineChars="200"/>
        <w:rPr>
          <w:rFonts w:eastAsia="仿宋_GB2312"/>
          <w:sz w:val="32"/>
          <w:szCs w:val="32"/>
        </w:rPr>
      </w:pPr>
      <w:r>
        <w:rPr>
          <w:rFonts w:eastAsia="仿宋_GB2312"/>
          <w:b/>
          <w:sz w:val="32"/>
          <w:szCs w:val="32"/>
        </w:rPr>
        <w:t>②事业运行：</w:t>
      </w:r>
      <w:r>
        <w:rPr>
          <w:rFonts w:eastAsia="仿宋_GB2312"/>
          <w:sz w:val="32"/>
          <w:szCs w:val="32"/>
        </w:rPr>
        <w:t>指事业单位的基本支出。不包括行政单位（包括实行公务员管理的事业单位）后勤服务中心、医务室等附属事业单位。</w:t>
      </w:r>
    </w:p>
    <w:p>
      <w:pPr>
        <w:spacing w:line="560" w:lineRule="exact"/>
        <w:ind w:firstLine="643" w:firstLineChars="200"/>
        <w:rPr>
          <w:rFonts w:eastAsia="仿宋_GB2312"/>
          <w:sz w:val="32"/>
          <w:szCs w:val="32"/>
        </w:rPr>
      </w:pPr>
      <w:r>
        <w:rPr>
          <w:rFonts w:eastAsia="仿宋_GB2312"/>
          <w:b/>
          <w:sz w:val="32"/>
          <w:szCs w:val="32"/>
        </w:rPr>
        <w:t>③一般行政管理事务：</w:t>
      </w:r>
      <w:r>
        <w:rPr>
          <w:rFonts w:eastAsia="仿宋_GB2312"/>
          <w:sz w:val="32"/>
          <w:szCs w:val="32"/>
        </w:rPr>
        <w:t>指行政单位（包括实行公务员管理的事业单位）未单独设置项级科目的其他项目支出。</w:t>
      </w:r>
    </w:p>
    <w:p>
      <w:pPr>
        <w:spacing w:line="560" w:lineRule="exact"/>
        <w:ind w:firstLine="643" w:firstLineChars="200"/>
        <w:rPr>
          <w:rFonts w:eastAsia="仿宋_GB2312"/>
          <w:sz w:val="32"/>
          <w:szCs w:val="32"/>
        </w:rPr>
      </w:pPr>
      <w:r>
        <w:rPr>
          <w:rFonts w:eastAsia="仿宋_GB2312"/>
          <w:b/>
          <w:sz w:val="32"/>
          <w:szCs w:val="32"/>
        </w:rPr>
        <w:t>④信息化建设：</w:t>
      </w:r>
      <w:r>
        <w:rPr>
          <w:rFonts w:eastAsia="仿宋_GB2312"/>
          <w:sz w:val="32"/>
          <w:szCs w:val="32"/>
        </w:rPr>
        <w:t>指财政部门用于信息化建设方面的支出。</w:t>
      </w:r>
    </w:p>
    <w:p>
      <w:pPr>
        <w:spacing w:line="560" w:lineRule="exact"/>
        <w:ind w:firstLine="643" w:firstLineChars="200"/>
        <w:rPr>
          <w:rFonts w:eastAsia="仿宋_GB2312"/>
          <w:sz w:val="32"/>
          <w:szCs w:val="32"/>
        </w:rPr>
      </w:pPr>
      <w:r>
        <w:rPr>
          <w:rFonts w:eastAsia="仿宋_GB2312"/>
          <w:b/>
          <w:sz w:val="32"/>
          <w:szCs w:val="32"/>
        </w:rPr>
        <w:t>⑤财政委托业务支出：</w:t>
      </w:r>
      <w:r>
        <w:rPr>
          <w:rFonts w:eastAsia="仿宋_GB2312"/>
          <w:sz w:val="32"/>
          <w:szCs w:val="32"/>
        </w:rPr>
        <w:t>指财政委托评审机构进行财政投资评审和委托建设银行等机构代理业务发生的支出。</w:t>
      </w:r>
    </w:p>
    <w:p>
      <w:pPr>
        <w:spacing w:line="560" w:lineRule="exact"/>
        <w:ind w:firstLine="643" w:firstLineChars="200"/>
        <w:rPr>
          <w:rFonts w:eastAsia="仿宋_GB2312"/>
          <w:sz w:val="32"/>
          <w:szCs w:val="32"/>
        </w:rPr>
      </w:pPr>
      <w:r>
        <w:rPr>
          <w:rFonts w:eastAsia="仿宋_GB2312"/>
          <w:b/>
          <w:sz w:val="32"/>
          <w:szCs w:val="32"/>
        </w:rPr>
        <w:t>⑥其他财政事务支出：</w:t>
      </w:r>
      <w:r>
        <w:rPr>
          <w:rFonts w:eastAsia="仿宋_GB2312"/>
          <w:sz w:val="32"/>
          <w:szCs w:val="32"/>
        </w:rPr>
        <w:t>指除上述项目以外其他财政事务方面的支出。</w:t>
      </w:r>
    </w:p>
    <w:p>
      <w:pPr>
        <w:spacing w:line="560" w:lineRule="exact"/>
        <w:ind w:firstLine="643" w:firstLineChars="200"/>
        <w:rPr>
          <w:rFonts w:eastAsia="仿宋_GB2312"/>
          <w:b/>
          <w:sz w:val="32"/>
          <w:szCs w:val="32"/>
        </w:rPr>
      </w:pPr>
      <w:r>
        <w:rPr>
          <w:rFonts w:eastAsia="仿宋_GB2312"/>
          <w:b/>
          <w:sz w:val="32"/>
          <w:szCs w:val="32"/>
        </w:rPr>
        <w:t xml:space="preserve">10.社会保障和就业（类）行政事业单位养老支出（款）  </w:t>
      </w:r>
    </w:p>
    <w:p>
      <w:pPr>
        <w:spacing w:line="560" w:lineRule="exact"/>
        <w:ind w:firstLine="643" w:firstLineChars="200"/>
        <w:rPr>
          <w:rFonts w:eastAsia="仿宋_GB2312"/>
          <w:sz w:val="32"/>
          <w:szCs w:val="32"/>
        </w:rPr>
      </w:pPr>
      <w:r>
        <w:rPr>
          <w:rFonts w:eastAsia="仿宋_GB2312"/>
          <w:b/>
          <w:sz w:val="32"/>
          <w:szCs w:val="32"/>
        </w:rPr>
        <w:t>①行政单位离退休:</w:t>
      </w:r>
      <w:r>
        <w:rPr>
          <w:rFonts w:eastAsia="仿宋_GB2312"/>
          <w:sz w:val="32"/>
          <w:szCs w:val="32"/>
        </w:rPr>
        <w:t xml:space="preserve"> 指行政单位（包括实行公务员管理的事业单位）开支的离退休支出。</w:t>
      </w:r>
    </w:p>
    <w:p>
      <w:pPr>
        <w:spacing w:line="560" w:lineRule="exact"/>
        <w:ind w:firstLine="643" w:firstLineChars="200"/>
        <w:rPr>
          <w:rFonts w:eastAsia="仿宋_GB2312"/>
          <w:sz w:val="32"/>
          <w:szCs w:val="32"/>
        </w:rPr>
      </w:pPr>
      <w:r>
        <w:rPr>
          <w:rFonts w:eastAsia="仿宋_GB2312"/>
          <w:b/>
          <w:sz w:val="32"/>
          <w:szCs w:val="32"/>
        </w:rPr>
        <w:t>②机关事业单位基本养老保险缴费支出：</w:t>
      </w:r>
      <w:r>
        <w:rPr>
          <w:rFonts w:eastAsia="仿宋_GB2312"/>
          <w:sz w:val="32"/>
          <w:szCs w:val="32"/>
        </w:rPr>
        <w:t>指机关事业单位实施养老保险制度有单位缴纳的基本养老保险费支出。</w:t>
      </w:r>
    </w:p>
    <w:p>
      <w:pPr>
        <w:spacing w:line="560" w:lineRule="exact"/>
        <w:ind w:firstLine="643" w:firstLineChars="200"/>
        <w:rPr>
          <w:rFonts w:eastAsia="仿宋_GB2312"/>
          <w:sz w:val="32"/>
          <w:szCs w:val="32"/>
        </w:rPr>
      </w:pPr>
      <w:r>
        <w:rPr>
          <w:rFonts w:eastAsia="仿宋_GB2312"/>
          <w:b/>
          <w:sz w:val="32"/>
          <w:szCs w:val="32"/>
        </w:rPr>
        <w:t>11.住房保障支出（类）住房改革支出（款）住房公积金（项）：</w:t>
      </w:r>
      <w:r>
        <w:rPr>
          <w:rFonts w:eastAsia="仿宋_GB2312"/>
          <w:sz w:val="32"/>
          <w:szCs w:val="32"/>
        </w:rPr>
        <w:t>指行政事业单位按人力资源和社会保障部、财政部规定的基本工资和津贴补贴以及规定比例为职工缴纳的住房公积金。</w:t>
      </w:r>
    </w:p>
    <w:p>
      <w:pPr>
        <w:spacing w:line="560" w:lineRule="exact"/>
        <w:ind w:firstLine="643" w:firstLineChars="200"/>
        <w:rPr>
          <w:rFonts w:eastAsia="仿宋_GB2312"/>
          <w:sz w:val="32"/>
          <w:szCs w:val="32"/>
        </w:rPr>
      </w:pPr>
      <w:r>
        <w:rPr>
          <w:rFonts w:eastAsia="仿宋_GB2312"/>
          <w:b/>
          <w:sz w:val="32"/>
          <w:szCs w:val="32"/>
        </w:rPr>
        <w:t>12.农林水支出（类）农业农村（款）其他农业支出（项）:</w:t>
      </w:r>
      <w:r>
        <w:rPr>
          <w:rFonts w:eastAsia="仿宋_GB2312"/>
          <w:sz w:val="32"/>
          <w:szCs w:val="32"/>
        </w:rPr>
        <w:t>指其他项目以外用于农业方面的支出。</w:t>
      </w:r>
    </w:p>
    <w:p>
      <w:pPr>
        <w:spacing w:line="560" w:lineRule="exact"/>
        <w:ind w:firstLine="643" w:firstLineChars="200"/>
        <w:rPr>
          <w:rFonts w:eastAsia="仿宋_GB2312"/>
          <w:b/>
          <w:sz w:val="32"/>
          <w:szCs w:val="32"/>
        </w:rPr>
      </w:pPr>
      <w:r>
        <w:rPr>
          <w:rFonts w:eastAsia="仿宋_GB2312"/>
          <w:b/>
          <w:sz w:val="32"/>
          <w:szCs w:val="32"/>
        </w:rPr>
        <w:t>13.卫生健康支出（类）行政事业单位医疗（款）</w:t>
      </w:r>
    </w:p>
    <w:p>
      <w:pPr>
        <w:spacing w:line="560" w:lineRule="exact"/>
        <w:ind w:firstLine="643" w:firstLineChars="200"/>
        <w:rPr>
          <w:rFonts w:eastAsia="仿宋_GB2312"/>
          <w:sz w:val="32"/>
          <w:szCs w:val="32"/>
        </w:rPr>
      </w:pPr>
      <w:r>
        <w:rPr>
          <w:rFonts w:eastAsia="仿宋_GB2312"/>
          <w:b/>
          <w:sz w:val="32"/>
          <w:szCs w:val="32"/>
        </w:rPr>
        <w:sym w:font="Wingdings" w:char="F081"/>
      </w:r>
      <w:r>
        <w:rPr>
          <w:rFonts w:eastAsia="仿宋_GB2312"/>
          <w:b/>
          <w:sz w:val="32"/>
          <w:szCs w:val="32"/>
        </w:rPr>
        <w:t>行政单位医疗：</w:t>
      </w:r>
      <w:r>
        <w:rPr>
          <w:rFonts w:eastAsia="仿宋_GB2312"/>
          <w:sz w:val="32"/>
          <w:szCs w:val="32"/>
        </w:rPr>
        <w:t>指财政部门安排的行政单位（包括实行公务员管理的事业单位，下同）基本医疗保险缴费经费，未参加医疗保险的行政单位的公费医疗经费，按国家规定享受离休人员、红军老战士待遇人员的医疗经费。</w:t>
      </w:r>
    </w:p>
    <w:p>
      <w:pPr>
        <w:spacing w:line="560" w:lineRule="exact"/>
        <w:ind w:firstLine="643" w:firstLineChars="200"/>
        <w:rPr>
          <w:rFonts w:eastAsia="仿宋_GB2312"/>
          <w:sz w:val="32"/>
          <w:szCs w:val="32"/>
        </w:rPr>
      </w:pPr>
      <w:r>
        <w:rPr>
          <w:rFonts w:eastAsia="仿宋_GB2312"/>
          <w:b/>
          <w:sz w:val="32"/>
          <w:szCs w:val="32"/>
        </w:rPr>
        <w:sym w:font="Wingdings" w:char="F082"/>
      </w:r>
      <w:r>
        <w:rPr>
          <w:rFonts w:eastAsia="仿宋_GB2312"/>
          <w:b/>
          <w:sz w:val="32"/>
          <w:szCs w:val="32"/>
        </w:rPr>
        <w:t>事业单位医疗：</w:t>
      </w:r>
      <w:r>
        <w:rPr>
          <w:rFonts w:eastAsia="仿宋_GB2312"/>
          <w:sz w:val="32"/>
          <w:szCs w:val="32"/>
        </w:rPr>
        <w:t>指财政部门安排的事业单位基本医疗保险缴费经费，未参加医疗保险的事业单位的公费医疗经费，按国家规定享受离休人员医疗经费。</w:t>
      </w:r>
    </w:p>
    <w:p>
      <w:pPr>
        <w:spacing w:line="560" w:lineRule="exact"/>
        <w:ind w:firstLine="643" w:firstLineChars="200"/>
        <w:rPr>
          <w:rFonts w:eastAsia="仿宋_GB2312"/>
          <w:sz w:val="32"/>
          <w:szCs w:val="32"/>
        </w:rPr>
      </w:pPr>
      <w:r>
        <w:rPr>
          <w:rFonts w:eastAsia="仿宋_GB2312"/>
          <w:b/>
          <w:sz w:val="32"/>
          <w:szCs w:val="32"/>
        </w:rPr>
        <w:sym w:font="Wingdings" w:char="F083"/>
      </w:r>
      <w:r>
        <w:rPr>
          <w:rFonts w:eastAsia="仿宋_GB2312"/>
          <w:b/>
          <w:sz w:val="32"/>
          <w:szCs w:val="32"/>
        </w:rPr>
        <w:t>公务员医疗补助：</w:t>
      </w:r>
      <w:r>
        <w:rPr>
          <w:rFonts w:eastAsia="仿宋_GB2312"/>
          <w:sz w:val="32"/>
          <w:szCs w:val="32"/>
        </w:rPr>
        <w:t>指财政部门安排的公务员医疗补助经费。</w:t>
      </w:r>
    </w:p>
    <w:p>
      <w:pPr>
        <w:spacing w:line="560" w:lineRule="exact"/>
        <w:ind w:firstLine="643" w:firstLineChars="200"/>
        <w:rPr>
          <w:rFonts w:eastAsia="仿宋_GB2312"/>
          <w:sz w:val="32"/>
          <w:szCs w:val="32"/>
        </w:rPr>
      </w:pPr>
      <w:r>
        <w:rPr>
          <w:rFonts w:eastAsia="仿宋_GB2312"/>
          <w:b/>
          <w:sz w:val="32"/>
          <w:szCs w:val="32"/>
        </w:rPr>
        <w:t>14.一般公共服务（类）统计信息事务支出（款）专项统计业务（项）：</w:t>
      </w:r>
      <w:r>
        <w:rPr>
          <w:rFonts w:eastAsia="仿宋_GB2312"/>
          <w:sz w:val="32"/>
          <w:szCs w:val="32"/>
        </w:rPr>
        <w:t>指各级统计机光在日常业务之外开展专项统计工作的支出。</w:t>
      </w:r>
    </w:p>
    <w:p>
      <w:pPr>
        <w:spacing w:line="560" w:lineRule="exact"/>
        <w:ind w:firstLine="643" w:firstLineChars="200"/>
        <w:rPr>
          <w:rFonts w:eastAsia="仿宋_GB2312"/>
          <w:sz w:val="32"/>
          <w:szCs w:val="32"/>
        </w:rPr>
      </w:pPr>
      <w:r>
        <w:rPr>
          <w:rFonts w:eastAsia="仿宋_GB2312"/>
          <w:b/>
          <w:sz w:val="32"/>
          <w:szCs w:val="32"/>
        </w:rPr>
        <w:t>15.其他支出（类）其他支出（款）其他支出（项）：</w:t>
      </w:r>
      <w:r>
        <w:rPr>
          <w:rFonts w:eastAsia="仿宋_GB2312"/>
          <w:sz w:val="32"/>
          <w:szCs w:val="32"/>
        </w:rPr>
        <w:t>指除上述项目以外其他不能划分到具体功能科目中的支出项目。</w:t>
      </w:r>
    </w:p>
    <w:p>
      <w:pPr>
        <w:spacing w:line="560" w:lineRule="exact"/>
        <w:ind w:firstLine="643" w:firstLineChars="200"/>
        <w:rPr>
          <w:rFonts w:eastAsia="仿宋_GB2312"/>
          <w:sz w:val="32"/>
          <w:szCs w:val="32"/>
        </w:rPr>
      </w:pPr>
      <w:r>
        <w:rPr>
          <w:rFonts w:eastAsia="仿宋_GB2312"/>
          <w:b/>
          <w:sz w:val="32"/>
          <w:szCs w:val="32"/>
        </w:rPr>
        <w:t>16.基本支出：</w:t>
      </w:r>
      <w:r>
        <w:rPr>
          <w:rFonts w:eastAsia="仿宋_GB2312"/>
          <w:sz w:val="32"/>
          <w:szCs w:val="32"/>
        </w:rPr>
        <w:t>指为保障机构正常运转、完成日常工作任务而发生的人员支出和公用支出。</w:t>
      </w:r>
    </w:p>
    <w:p>
      <w:pPr>
        <w:spacing w:line="560" w:lineRule="exact"/>
        <w:ind w:firstLine="643" w:firstLineChars="200"/>
        <w:rPr>
          <w:rFonts w:eastAsia="仿宋_GB2312"/>
          <w:sz w:val="32"/>
          <w:szCs w:val="32"/>
        </w:rPr>
      </w:pPr>
      <w:r>
        <w:rPr>
          <w:rFonts w:eastAsia="仿宋_GB2312"/>
          <w:b/>
          <w:sz w:val="32"/>
          <w:szCs w:val="32"/>
        </w:rPr>
        <w:t>17.项目支出：</w:t>
      </w:r>
      <w:r>
        <w:rPr>
          <w:rFonts w:eastAsia="仿宋_GB2312"/>
          <w:sz w:val="32"/>
          <w:szCs w:val="32"/>
        </w:rPr>
        <w:t xml:space="preserve">指在基本支出之外为完成特定行政任务和事业发展目标所发生的支出。 </w:t>
      </w:r>
    </w:p>
    <w:p>
      <w:pPr>
        <w:spacing w:line="560" w:lineRule="exact"/>
        <w:ind w:firstLine="643" w:firstLineChars="200"/>
        <w:rPr>
          <w:rFonts w:eastAsia="仿宋_GB2312"/>
          <w:sz w:val="32"/>
          <w:szCs w:val="32"/>
        </w:rPr>
      </w:pPr>
      <w:r>
        <w:rPr>
          <w:rFonts w:eastAsia="仿宋_GB2312"/>
          <w:b/>
          <w:sz w:val="32"/>
          <w:szCs w:val="32"/>
        </w:rPr>
        <w:t>18.经营支出：</w:t>
      </w:r>
      <w:r>
        <w:rPr>
          <w:rFonts w:eastAsia="仿宋_GB2312"/>
          <w:sz w:val="32"/>
          <w:szCs w:val="32"/>
        </w:rPr>
        <w:t>指事业单位在专业业务活动及其辅助活动之外开展非独立核算经营活动发生的支出。</w:t>
      </w:r>
    </w:p>
    <w:p>
      <w:pPr>
        <w:spacing w:line="560" w:lineRule="exact"/>
        <w:ind w:firstLine="643" w:firstLineChars="200"/>
        <w:rPr>
          <w:rFonts w:eastAsia="仿宋_GB2312"/>
          <w:sz w:val="32"/>
          <w:szCs w:val="32"/>
        </w:rPr>
      </w:pPr>
      <w:r>
        <w:rPr>
          <w:rFonts w:eastAsia="仿宋_GB2312"/>
          <w:b/>
          <w:sz w:val="32"/>
          <w:szCs w:val="32"/>
        </w:rPr>
        <w:t>19.“三公”经费：</w:t>
      </w:r>
      <w:r>
        <w:rPr>
          <w:rFonts w:eastAsia="仿宋_GB2312"/>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560" w:lineRule="exact"/>
        <w:ind w:firstLine="643" w:firstLineChars="200"/>
        <w:rPr>
          <w:rFonts w:eastAsia="仿宋_GB2312"/>
          <w:sz w:val="32"/>
          <w:szCs w:val="32"/>
        </w:rPr>
      </w:pPr>
      <w:r>
        <w:rPr>
          <w:rFonts w:eastAsia="仿宋_GB2312"/>
          <w:b/>
          <w:sz w:val="32"/>
          <w:szCs w:val="32"/>
        </w:rPr>
        <w:t>20.机关运行经费：</w:t>
      </w:r>
      <w:r>
        <w:rPr>
          <w:rFonts w:eastAsia="仿宋_GB2312"/>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pStyle w:val="6"/>
        <w:spacing w:before="93"/>
        <w:rPr>
          <w:rFonts w:ascii="黑体" w:hAnsi="黑体" w:eastAsia="黑体"/>
          <w:sz w:val="44"/>
          <w:szCs w:val="44"/>
        </w:rPr>
      </w:pPr>
    </w:p>
    <w:p>
      <w:pPr>
        <w:pStyle w:val="6"/>
        <w:spacing w:before="93"/>
        <w:rPr>
          <w:rFonts w:ascii="黑体" w:hAnsi="黑体" w:eastAsia="黑体"/>
          <w:sz w:val="44"/>
          <w:szCs w:val="44"/>
        </w:rPr>
      </w:pPr>
    </w:p>
    <w:p>
      <w:pPr>
        <w:pStyle w:val="6"/>
        <w:spacing w:before="93"/>
        <w:rPr>
          <w:rFonts w:ascii="黑体" w:hAnsi="黑体" w:eastAsia="黑体"/>
          <w:sz w:val="44"/>
          <w:szCs w:val="44"/>
        </w:rPr>
      </w:pPr>
    </w:p>
    <w:p>
      <w:pPr>
        <w:pStyle w:val="6"/>
        <w:spacing w:before="93"/>
        <w:rPr>
          <w:rFonts w:ascii="黑体" w:hAnsi="黑体" w:eastAsia="黑体"/>
          <w:sz w:val="44"/>
          <w:szCs w:val="44"/>
        </w:rPr>
      </w:pPr>
    </w:p>
    <w:p>
      <w:pPr>
        <w:pStyle w:val="6"/>
        <w:spacing w:before="93"/>
        <w:rPr>
          <w:rFonts w:ascii="黑体" w:hAnsi="黑体" w:eastAsia="黑体"/>
          <w:sz w:val="44"/>
          <w:szCs w:val="44"/>
        </w:rPr>
      </w:pPr>
    </w:p>
    <w:p>
      <w:pPr>
        <w:pStyle w:val="6"/>
        <w:spacing w:before="93"/>
        <w:rPr>
          <w:rFonts w:ascii="黑体" w:hAnsi="黑体" w:eastAsia="黑体"/>
          <w:sz w:val="44"/>
          <w:szCs w:val="44"/>
        </w:rPr>
      </w:pPr>
    </w:p>
    <w:p>
      <w:pPr>
        <w:pStyle w:val="6"/>
        <w:spacing w:before="93"/>
        <w:rPr>
          <w:rFonts w:ascii="黑体" w:hAnsi="黑体" w:eastAsia="黑体"/>
          <w:sz w:val="44"/>
          <w:szCs w:val="44"/>
        </w:rPr>
      </w:pPr>
    </w:p>
    <w:p>
      <w:pPr>
        <w:pStyle w:val="6"/>
        <w:spacing w:before="93"/>
        <w:rPr>
          <w:rFonts w:ascii="黑体" w:hAnsi="黑体" w:eastAsia="黑体"/>
          <w:sz w:val="44"/>
          <w:szCs w:val="44"/>
        </w:rPr>
      </w:pPr>
    </w:p>
    <w:p>
      <w:pPr>
        <w:pStyle w:val="6"/>
        <w:spacing w:before="93"/>
        <w:rPr>
          <w:rFonts w:ascii="黑体" w:hAnsi="黑体" w:eastAsia="黑体"/>
          <w:sz w:val="44"/>
          <w:szCs w:val="44"/>
        </w:rPr>
      </w:pPr>
    </w:p>
    <w:p>
      <w:pPr>
        <w:spacing w:line="600" w:lineRule="exact"/>
        <w:jc w:val="center"/>
        <w:outlineLvl w:val="0"/>
        <w:rPr>
          <w:rFonts w:hint="eastAsia" w:ascii="黑体" w:hAnsi="黑体" w:eastAsia="黑体"/>
          <w:sz w:val="44"/>
          <w:szCs w:val="44"/>
        </w:rPr>
      </w:pPr>
      <w:bookmarkStart w:id="96" w:name="_Toc22477_WPSOffice_Level1"/>
    </w:p>
    <w:p>
      <w:pPr>
        <w:spacing w:line="600" w:lineRule="exact"/>
        <w:jc w:val="center"/>
        <w:outlineLvl w:val="0"/>
        <w:rPr>
          <w:rFonts w:hint="eastAsia" w:ascii="黑体" w:hAnsi="黑体" w:eastAsia="黑体"/>
          <w:sz w:val="44"/>
          <w:szCs w:val="44"/>
        </w:rPr>
      </w:pPr>
    </w:p>
    <w:p>
      <w:pPr>
        <w:jc w:val="center"/>
        <w:rPr>
          <w:rFonts w:eastAsia="黑体"/>
          <w:sz w:val="44"/>
          <w:szCs w:val="44"/>
        </w:rPr>
      </w:pPr>
      <w:r>
        <w:rPr>
          <w:rFonts w:eastAsia="黑体"/>
          <w:sz w:val="44"/>
          <w:szCs w:val="44"/>
        </w:rPr>
        <w:t>第四部分 附件</w:t>
      </w:r>
      <w:bookmarkEnd w:id="94"/>
      <w:bookmarkEnd w:id="96"/>
    </w:p>
    <w:tbl>
      <w:tblPr>
        <w:tblStyle w:val="13"/>
        <w:tblpPr w:leftFromText="180" w:rightFromText="180" w:vertAnchor="text" w:horzAnchor="page" w:tblpX="1494" w:tblpY="639"/>
        <w:tblOverlap w:val="never"/>
        <w:tblW w:w="9811" w:type="dxa"/>
        <w:tblInd w:w="0" w:type="dxa"/>
        <w:tblLayout w:type="fixed"/>
        <w:tblCellMar>
          <w:top w:w="0" w:type="dxa"/>
          <w:left w:w="108" w:type="dxa"/>
          <w:bottom w:w="0" w:type="dxa"/>
          <w:right w:w="108" w:type="dxa"/>
        </w:tblCellMar>
      </w:tblPr>
      <w:tblGrid>
        <w:gridCol w:w="9575"/>
        <w:gridCol w:w="236"/>
      </w:tblGrid>
      <w:tr>
        <w:trPr>
          <w:trHeight w:val="675" w:hRule="atLeast"/>
        </w:trPr>
        <w:tc>
          <w:tcPr>
            <w:tcW w:w="9575" w:type="dxa"/>
            <w:tcBorders>
              <w:top w:val="nil"/>
              <w:left w:val="nil"/>
              <w:bottom w:val="nil"/>
              <w:right w:val="nil"/>
            </w:tcBorders>
            <w:shd w:val="clear" w:color="auto" w:fill="auto"/>
            <w:vAlign w:val="center"/>
          </w:tcPr>
          <w:p>
            <w:pPr>
              <w:jc w:val="center"/>
              <w:rPr>
                <w:rFonts w:eastAsia="方正小标宋_GBK"/>
                <w:sz w:val="44"/>
                <w:szCs w:val="44"/>
              </w:rPr>
            </w:pPr>
            <w:r>
              <w:rPr>
                <w:rFonts w:eastAsia="方正小标宋_GBK"/>
                <w:sz w:val="44"/>
                <w:szCs w:val="44"/>
              </w:rPr>
              <w:t>2021年特定目标类部门预算项目绩效目标自评</w:t>
            </w:r>
          </w:p>
        </w:tc>
        <w:tc>
          <w:tcPr>
            <w:tcW w:w="236" w:type="dxa"/>
            <w:tcBorders>
              <w:top w:val="nil"/>
              <w:left w:val="nil"/>
              <w:bottom w:val="nil"/>
              <w:right w:val="nil"/>
            </w:tcBorders>
            <w:shd w:val="clear" w:color="auto" w:fill="auto"/>
            <w:vAlign w:val="center"/>
          </w:tcPr>
          <w:p/>
        </w:tc>
      </w:tr>
    </w:tbl>
    <w:p>
      <w:pPr>
        <w:spacing w:line="572" w:lineRule="exact"/>
        <w:jc w:val="left"/>
        <w:outlineLvl w:val="0"/>
        <w:rPr>
          <w:rFonts w:eastAsia="仿宋_GB2312"/>
          <w:sz w:val="32"/>
          <w:szCs w:val="32"/>
        </w:rPr>
      </w:pPr>
      <w:r>
        <w:rPr>
          <w:rFonts w:hAnsi="黑体" w:eastAsia="黑体"/>
          <w:sz w:val="32"/>
          <w:szCs w:val="32"/>
        </w:rPr>
        <w:t>附件</w:t>
      </w:r>
    </w:p>
    <w:tbl>
      <w:tblPr>
        <w:tblStyle w:val="13"/>
        <w:tblpPr w:leftFromText="180" w:rightFromText="180" w:vertAnchor="text" w:horzAnchor="page" w:tblpXSpec="center" w:tblpY="-1437"/>
        <w:tblOverlap w:val="never"/>
        <w:tblW w:w="9654" w:type="dxa"/>
        <w:jc w:val="center"/>
        <w:tblLayout w:type="fixed"/>
        <w:tblCellMar>
          <w:top w:w="0" w:type="dxa"/>
          <w:left w:w="0" w:type="dxa"/>
          <w:bottom w:w="0" w:type="dxa"/>
          <w:right w:w="0" w:type="dxa"/>
        </w:tblCellMar>
      </w:tblPr>
      <w:tblGrid>
        <w:gridCol w:w="582"/>
        <w:gridCol w:w="1175"/>
        <w:gridCol w:w="1025"/>
        <w:gridCol w:w="2392"/>
        <w:gridCol w:w="2394"/>
        <w:gridCol w:w="2086"/>
      </w:tblGrid>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 w:val="13"/>
                <w:szCs w:val="13"/>
              </w:rPr>
            </w:pPr>
            <w:bookmarkStart w:id="97" w:name="_Toc15396618"/>
            <w:r>
              <w:rPr>
                <w:rFonts w:hAnsi="宋体"/>
                <w:color w:val="000000"/>
                <w:kern w:val="0"/>
                <w:sz w:val="13"/>
                <w:szCs w:val="13"/>
              </w:rPr>
              <w:t>项目名称</w:t>
            </w:r>
          </w:p>
        </w:tc>
        <w:tc>
          <w:tcPr>
            <w:tcW w:w="687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 w:val="13"/>
                <w:szCs w:val="13"/>
              </w:rPr>
            </w:pPr>
            <w:r>
              <w:rPr>
                <w:rFonts w:hAnsi="宋体"/>
                <w:sz w:val="13"/>
                <w:szCs w:val="13"/>
              </w:rPr>
              <w:t>财政局网络及全县金财网维护项目</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 w:val="13"/>
                <w:szCs w:val="13"/>
              </w:rPr>
            </w:pPr>
            <w:r>
              <w:rPr>
                <w:rFonts w:hAnsi="宋体"/>
                <w:color w:val="000000"/>
                <w:kern w:val="0"/>
                <w:sz w:val="13"/>
                <w:szCs w:val="13"/>
              </w:rPr>
              <w:t>预算单位</w:t>
            </w:r>
          </w:p>
        </w:tc>
        <w:tc>
          <w:tcPr>
            <w:tcW w:w="687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 w:val="13"/>
                <w:szCs w:val="13"/>
              </w:rPr>
            </w:pPr>
            <w:r>
              <w:rPr>
                <w:rFonts w:hAnsi="宋体"/>
                <w:color w:val="000000"/>
                <w:sz w:val="13"/>
                <w:szCs w:val="13"/>
              </w:rPr>
              <w:t>盐边县财政局</w:t>
            </w:r>
          </w:p>
        </w:tc>
      </w:tr>
      <w:tr>
        <w:tblPrEx>
          <w:tblCellMar>
            <w:top w:w="0" w:type="dxa"/>
            <w:left w:w="0" w:type="dxa"/>
            <w:bottom w:w="0" w:type="dxa"/>
            <w:right w:w="0" w:type="dxa"/>
          </w:tblCellMar>
        </w:tblPrEx>
        <w:trPr>
          <w:trHeight w:val="276" w:hRule="atLeast"/>
          <w:jc w:val="center"/>
        </w:trPr>
        <w:tc>
          <w:tcPr>
            <w:tcW w:w="58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 w:val="13"/>
                <w:szCs w:val="13"/>
              </w:rPr>
            </w:pPr>
            <w:r>
              <w:rPr>
                <w:rFonts w:hAnsi="宋体"/>
                <w:color w:val="000000"/>
                <w:kern w:val="0"/>
                <w:sz w:val="13"/>
                <w:szCs w:val="13"/>
              </w:rPr>
              <w:t>预算执行情况</w:t>
            </w:r>
            <w:r>
              <w:rPr>
                <w:color w:val="000000"/>
                <w:kern w:val="0"/>
                <w:sz w:val="13"/>
                <w:szCs w:val="13"/>
              </w:rPr>
              <w:t>(</w:t>
            </w:r>
            <w:r>
              <w:rPr>
                <w:rFonts w:hAnsi="宋体"/>
                <w:color w:val="000000"/>
                <w:kern w:val="0"/>
                <w:sz w:val="13"/>
                <w:szCs w:val="13"/>
              </w:rPr>
              <w:t>万元</w:t>
            </w:r>
            <w:r>
              <w:rPr>
                <w:color w:val="000000"/>
                <w:kern w:val="0"/>
                <w:sz w:val="13"/>
                <w:szCs w:val="13"/>
              </w:rPr>
              <w:t>)</w:t>
            </w:r>
          </w:p>
        </w:tc>
        <w:tc>
          <w:tcPr>
            <w:tcW w:w="22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 w:val="13"/>
                <w:szCs w:val="13"/>
              </w:rPr>
            </w:pPr>
            <w:r>
              <w:rPr>
                <w:rFonts w:hAnsi="宋体"/>
                <w:color w:val="000000"/>
                <w:kern w:val="0"/>
                <w:sz w:val="13"/>
                <w:szCs w:val="13"/>
              </w:rPr>
              <w:t>预算数</w:t>
            </w:r>
            <w:r>
              <w:rPr>
                <w:color w:val="000000"/>
                <w:kern w:val="0"/>
                <w:sz w:val="13"/>
                <w:szCs w:val="13"/>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 w:val="13"/>
                <w:szCs w:val="13"/>
              </w:rPr>
            </w:pPr>
            <w:r>
              <w:rPr>
                <w:color w:val="000000"/>
                <w:sz w:val="13"/>
                <w:szCs w:val="13"/>
              </w:rPr>
              <w:t>306.68</w:t>
            </w:r>
            <w:r>
              <w:rPr>
                <w:rFonts w:hAnsi="宋体"/>
                <w:color w:val="000000"/>
                <w:sz w:val="13"/>
                <w:szCs w:val="13"/>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 w:val="13"/>
                <w:szCs w:val="13"/>
              </w:rPr>
            </w:pPr>
            <w:r>
              <w:rPr>
                <w:rFonts w:hAnsi="宋体"/>
                <w:color w:val="000000"/>
                <w:kern w:val="0"/>
                <w:sz w:val="13"/>
                <w:szCs w:val="13"/>
              </w:rPr>
              <w:t>执行数</w:t>
            </w:r>
            <w:r>
              <w:rPr>
                <w:color w:val="000000"/>
                <w:kern w:val="0"/>
                <w:sz w:val="13"/>
                <w:szCs w:val="13"/>
              </w:rPr>
              <w:t>:</w:t>
            </w:r>
          </w:p>
        </w:tc>
        <w:tc>
          <w:tcPr>
            <w:tcW w:w="20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 w:val="13"/>
                <w:szCs w:val="13"/>
              </w:rPr>
            </w:pPr>
            <w:r>
              <w:rPr>
                <w:color w:val="000000"/>
                <w:sz w:val="13"/>
                <w:szCs w:val="13"/>
              </w:rPr>
              <w:t>306.68</w:t>
            </w:r>
            <w:r>
              <w:rPr>
                <w:rFonts w:hAnsi="宋体"/>
                <w:color w:val="000000"/>
                <w:sz w:val="13"/>
                <w:szCs w:val="13"/>
              </w:rPr>
              <w:t>万元</w:t>
            </w:r>
          </w:p>
        </w:tc>
      </w:tr>
      <w:tr>
        <w:tblPrEx>
          <w:tblCellMar>
            <w:top w:w="0" w:type="dxa"/>
            <w:left w:w="0" w:type="dxa"/>
            <w:bottom w:w="0" w:type="dxa"/>
            <w:right w:w="0" w:type="dxa"/>
          </w:tblCellMar>
        </w:tblPrEx>
        <w:trPr>
          <w:trHeight w:val="276"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 w:val="13"/>
                <w:szCs w:val="13"/>
              </w:rPr>
            </w:pPr>
          </w:p>
        </w:tc>
        <w:tc>
          <w:tcPr>
            <w:tcW w:w="22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 w:val="13"/>
                <w:szCs w:val="13"/>
              </w:rPr>
            </w:pPr>
            <w:r>
              <w:rPr>
                <w:rFonts w:hAnsi="宋体"/>
                <w:color w:val="000000"/>
                <w:kern w:val="0"/>
                <w:sz w:val="13"/>
                <w:szCs w:val="13"/>
              </w:rPr>
              <w:t>其中</w:t>
            </w:r>
            <w:r>
              <w:rPr>
                <w:color w:val="000000"/>
                <w:kern w:val="0"/>
                <w:sz w:val="13"/>
                <w:szCs w:val="13"/>
              </w:rPr>
              <w:t>-</w:t>
            </w:r>
            <w:r>
              <w:rPr>
                <w:rFonts w:hAnsi="宋体"/>
                <w:color w:val="000000"/>
                <w:kern w:val="0"/>
                <w:sz w:val="13"/>
                <w:szCs w:val="13"/>
              </w:rPr>
              <w:t>财政拨款</w:t>
            </w:r>
            <w:r>
              <w:rPr>
                <w:color w:val="000000"/>
                <w:kern w:val="0"/>
                <w:sz w:val="13"/>
                <w:szCs w:val="13"/>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 w:val="13"/>
                <w:szCs w:val="13"/>
              </w:rPr>
            </w:pPr>
            <w:r>
              <w:rPr>
                <w:color w:val="000000"/>
                <w:sz w:val="13"/>
                <w:szCs w:val="13"/>
              </w:rPr>
              <w:t>306.68</w:t>
            </w:r>
            <w:r>
              <w:rPr>
                <w:rFonts w:hAnsi="宋体"/>
                <w:color w:val="000000"/>
                <w:sz w:val="13"/>
                <w:szCs w:val="13"/>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 w:val="13"/>
                <w:szCs w:val="13"/>
              </w:rPr>
            </w:pPr>
            <w:r>
              <w:rPr>
                <w:rFonts w:hAnsi="宋体"/>
                <w:color w:val="000000"/>
                <w:kern w:val="0"/>
                <w:sz w:val="13"/>
                <w:szCs w:val="13"/>
              </w:rPr>
              <w:t>其中</w:t>
            </w:r>
            <w:r>
              <w:rPr>
                <w:color w:val="000000"/>
                <w:kern w:val="0"/>
                <w:sz w:val="13"/>
                <w:szCs w:val="13"/>
              </w:rPr>
              <w:t>-</w:t>
            </w:r>
            <w:r>
              <w:rPr>
                <w:rFonts w:hAnsi="宋体"/>
                <w:color w:val="000000"/>
                <w:kern w:val="0"/>
                <w:sz w:val="13"/>
                <w:szCs w:val="13"/>
              </w:rPr>
              <w:t>财政拨款</w:t>
            </w:r>
            <w:r>
              <w:rPr>
                <w:color w:val="000000"/>
                <w:kern w:val="0"/>
                <w:sz w:val="13"/>
                <w:szCs w:val="13"/>
              </w:rPr>
              <w:t>:</w:t>
            </w:r>
          </w:p>
        </w:tc>
        <w:tc>
          <w:tcPr>
            <w:tcW w:w="20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 w:val="13"/>
                <w:szCs w:val="13"/>
              </w:rPr>
            </w:pPr>
            <w:r>
              <w:rPr>
                <w:color w:val="000000"/>
                <w:sz w:val="13"/>
                <w:szCs w:val="13"/>
              </w:rPr>
              <w:t>306.68</w:t>
            </w:r>
            <w:r>
              <w:rPr>
                <w:rFonts w:hAnsi="宋体"/>
                <w:color w:val="000000"/>
                <w:sz w:val="13"/>
                <w:szCs w:val="13"/>
              </w:rPr>
              <w:t>万元</w:t>
            </w:r>
          </w:p>
        </w:tc>
      </w:tr>
      <w:tr>
        <w:tblPrEx>
          <w:tblCellMar>
            <w:top w:w="0" w:type="dxa"/>
            <w:left w:w="0" w:type="dxa"/>
            <w:bottom w:w="0" w:type="dxa"/>
            <w:right w:w="0" w:type="dxa"/>
          </w:tblCellMar>
        </w:tblPrEx>
        <w:trPr>
          <w:trHeight w:val="701"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 w:val="13"/>
                <w:szCs w:val="13"/>
              </w:rPr>
            </w:pPr>
          </w:p>
        </w:tc>
        <w:tc>
          <w:tcPr>
            <w:tcW w:w="22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 w:val="13"/>
                <w:szCs w:val="13"/>
              </w:rPr>
            </w:pPr>
            <w:r>
              <w:rPr>
                <w:rFonts w:hAnsi="宋体"/>
                <w:color w:val="000000"/>
                <w:kern w:val="0"/>
                <w:sz w:val="13"/>
                <w:szCs w:val="13"/>
              </w:rPr>
              <w:t>其它资金</w:t>
            </w:r>
            <w:r>
              <w:rPr>
                <w:color w:val="000000"/>
                <w:kern w:val="0"/>
                <w:sz w:val="13"/>
                <w:szCs w:val="13"/>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 w:val="13"/>
                <w:szCs w:val="13"/>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 w:val="13"/>
                <w:szCs w:val="13"/>
              </w:rPr>
            </w:pPr>
            <w:r>
              <w:rPr>
                <w:rFonts w:hAnsi="宋体"/>
                <w:color w:val="000000"/>
                <w:kern w:val="0"/>
                <w:sz w:val="13"/>
                <w:szCs w:val="13"/>
              </w:rPr>
              <w:t>其它资金</w:t>
            </w:r>
            <w:r>
              <w:rPr>
                <w:color w:val="000000"/>
                <w:kern w:val="0"/>
                <w:sz w:val="13"/>
                <w:szCs w:val="13"/>
              </w:rPr>
              <w:t>:</w:t>
            </w:r>
          </w:p>
        </w:tc>
        <w:tc>
          <w:tcPr>
            <w:tcW w:w="20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 w:val="13"/>
                <w:szCs w:val="13"/>
              </w:rPr>
            </w:pPr>
          </w:p>
        </w:tc>
      </w:tr>
      <w:tr>
        <w:tblPrEx>
          <w:tblCellMar>
            <w:top w:w="0" w:type="dxa"/>
            <w:left w:w="0" w:type="dxa"/>
            <w:bottom w:w="0" w:type="dxa"/>
            <w:right w:w="0" w:type="dxa"/>
          </w:tblCellMar>
        </w:tblPrEx>
        <w:trPr>
          <w:trHeight w:val="276" w:hRule="atLeast"/>
          <w:jc w:val="center"/>
        </w:trPr>
        <w:tc>
          <w:tcPr>
            <w:tcW w:w="58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 w:val="13"/>
                <w:szCs w:val="13"/>
              </w:rPr>
            </w:pPr>
            <w:r>
              <w:rPr>
                <w:rFonts w:hAnsi="宋体"/>
                <w:color w:val="000000"/>
                <w:kern w:val="0"/>
                <w:sz w:val="13"/>
                <w:szCs w:val="13"/>
              </w:rPr>
              <w:t>年度目标完成情况</w:t>
            </w:r>
          </w:p>
        </w:tc>
        <w:tc>
          <w:tcPr>
            <w:tcW w:w="459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 w:val="13"/>
                <w:szCs w:val="13"/>
              </w:rPr>
            </w:pPr>
            <w:r>
              <w:rPr>
                <w:rFonts w:hAnsi="宋体"/>
                <w:color w:val="000000"/>
                <w:kern w:val="0"/>
                <w:sz w:val="13"/>
                <w:szCs w:val="13"/>
              </w:rPr>
              <w:t>预期目标</w:t>
            </w:r>
          </w:p>
        </w:tc>
        <w:tc>
          <w:tcPr>
            <w:tcW w:w="448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 w:val="13"/>
                <w:szCs w:val="13"/>
              </w:rPr>
            </w:pPr>
            <w:r>
              <w:rPr>
                <w:rFonts w:hAnsi="宋体"/>
                <w:color w:val="000000"/>
                <w:kern w:val="0"/>
                <w:sz w:val="13"/>
                <w:szCs w:val="13"/>
              </w:rPr>
              <w:t>实际完成目标</w:t>
            </w:r>
          </w:p>
        </w:tc>
      </w:tr>
      <w:tr>
        <w:tblPrEx>
          <w:tblCellMar>
            <w:top w:w="0" w:type="dxa"/>
            <w:left w:w="0" w:type="dxa"/>
            <w:bottom w:w="0" w:type="dxa"/>
            <w:right w:w="0" w:type="dxa"/>
          </w:tblCellMar>
        </w:tblPrEx>
        <w:trPr>
          <w:trHeight w:val="894"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 w:val="13"/>
                <w:szCs w:val="13"/>
              </w:rPr>
            </w:pPr>
          </w:p>
        </w:tc>
        <w:tc>
          <w:tcPr>
            <w:tcW w:w="459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 w:val="13"/>
                <w:szCs w:val="13"/>
              </w:rPr>
            </w:pPr>
            <w:r>
              <w:rPr>
                <w:rFonts w:hAnsi="宋体"/>
                <w:color w:val="000000"/>
                <w:sz w:val="13"/>
                <w:szCs w:val="13"/>
              </w:rPr>
              <w:t>保障金财网正常运行、保障预算股、国库股、国资办等股室软件系统正常运行，保障各业务股室资金下达支付，保障全县各单位资金使用。</w:t>
            </w:r>
          </w:p>
        </w:tc>
        <w:tc>
          <w:tcPr>
            <w:tcW w:w="448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 w:val="13"/>
                <w:szCs w:val="13"/>
              </w:rPr>
            </w:pPr>
            <w:r>
              <w:rPr>
                <w:rFonts w:hAnsi="宋体"/>
                <w:color w:val="000000"/>
                <w:sz w:val="13"/>
                <w:szCs w:val="13"/>
              </w:rPr>
              <w:t>保障金财网正常运行、保障预算股、国库股、国资办等股室软件系统正常运行，保障各业务股室资金下达支付，保障全县各单位资金使用。</w:t>
            </w:r>
          </w:p>
        </w:tc>
      </w:tr>
      <w:tr>
        <w:tblPrEx>
          <w:tblCellMar>
            <w:top w:w="0" w:type="dxa"/>
            <w:left w:w="0" w:type="dxa"/>
            <w:bottom w:w="0" w:type="dxa"/>
            <w:right w:w="0" w:type="dxa"/>
          </w:tblCellMar>
        </w:tblPrEx>
        <w:trPr>
          <w:trHeight w:val="682" w:hRule="atLeast"/>
          <w:jc w:val="center"/>
        </w:trPr>
        <w:tc>
          <w:tcPr>
            <w:tcW w:w="58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 w:val="13"/>
                <w:szCs w:val="13"/>
              </w:rPr>
            </w:pPr>
            <w:r>
              <w:rPr>
                <w:rFonts w:hAnsi="宋体"/>
                <w:color w:val="000000"/>
                <w:sz w:val="13"/>
                <w:szCs w:val="13"/>
              </w:rPr>
              <w:t>绩效指标完成情况</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 w:val="13"/>
                <w:szCs w:val="13"/>
              </w:rPr>
            </w:pPr>
            <w:r>
              <w:rPr>
                <w:rFonts w:hAnsi="宋体"/>
                <w:color w:val="000000"/>
                <w:kern w:val="0"/>
                <w:sz w:val="13"/>
                <w:szCs w:val="13"/>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 w:val="13"/>
                <w:szCs w:val="13"/>
              </w:rPr>
            </w:pPr>
            <w:r>
              <w:rPr>
                <w:rFonts w:hAnsi="宋体"/>
                <w:color w:val="000000"/>
                <w:kern w:val="0"/>
                <w:sz w:val="13"/>
                <w:szCs w:val="13"/>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 w:val="13"/>
                <w:szCs w:val="13"/>
              </w:rPr>
            </w:pPr>
            <w:r>
              <w:rPr>
                <w:rFonts w:hAnsi="宋体"/>
                <w:color w:val="000000"/>
                <w:kern w:val="0"/>
                <w:sz w:val="13"/>
                <w:szCs w:val="13"/>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 w:val="13"/>
                <w:szCs w:val="13"/>
              </w:rPr>
            </w:pPr>
            <w:r>
              <w:rPr>
                <w:rFonts w:hAnsi="宋体"/>
                <w:color w:val="000000"/>
                <w:kern w:val="0"/>
                <w:sz w:val="13"/>
                <w:szCs w:val="13"/>
              </w:rPr>
              <w:t>预期指标值</w:t>
            </w:r>
            <w:r>
              <w:rPr>
                <w:color w:val="000000"/>
                <w:kern w:val="0"/>
                <w:sz w:val="13"/>
                <w:szCs w:val="13"/>
              </w:rPr>
              <w:t>(</w:t>
            </w:r>
            <w:r>
              <w:rPr>
                <w:rFonts w:hAnsi="宋体"/>
                <w:color w:val="000000"/>
                <w:kern w:val="0"/>
                <w:sz w:val="13"/>
                <w:szCs w:val="13"/>
              </w:rPr>
              <w:t>包含数字及文字描述</w:t>
            </w:r>
            <w:r>
              <w:rPr>
                <w:color w:val="000000"/>
                <w:kern w:val="0"/>
                <w:sz w:val="13"/>
                <w:szCs w:val="13"/>
              </w:rPr>
              <w:t>)</w:t>
            </w:r>
          </w:p>
        </w:tc>
        <w:tc>
          <w:tcPr>
            <w:tcW w:w="20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 w:val="13"/>
                <w:szCs w:val="13"/>
              </w:rPr>
            </w:pPr>
            <w:r>
              <w:rPr>
                <w:rFonts w:hAnsi="宋体"/>
                <w:color w:val="000000"/>
                <w:kern w:val="0"/>
                <w:sz w:val="13"/>
                <w:szCs w:val="13"/>
              </w:rPr>
              <w:t>实际完成指标值</w:t>
            </w:r>
            <w:r>
              <w:rPr>
                <w:color w:val="000000"/>
                <w:kern w:val="0"/>
                <w:sz w:val="13"/>
                <w:szCs w:val="13"/>
              </w:rPr>
              <w:t>(</w:t>
            </w:r>
            <w:r>
              <w:rPr>
                <w:rFonts w:hAnsi="宋体"/>
                <w:color w:val="000000"/>
                <w:kern w:val="0"/>
                <w:sz w:val="13"/>
                <w:szCs w:val="13"/>
              </w:rPr>
              <w:t>包含数字及文字描述</w:t>
            </w:r>
            <w:r>
              <w:rPr>
                <w:color w:val="000000"/>
                <w:kern w:val="0"/>
                <w:sz w:val="13"/>
                <w:szCs w:val="13"/>
              </w:rPr>
              <w:t>)</w:t>
            </w:r>
          </w:p>
        </w:tc>
      </w:tr>
      <w:tr>
        <w:tblPrEx>
          <w:tblCellMar>
            <w:top w:w="0" w:type="dxa"/>
            <w:left w:w="0" w:type="dxa"/>
            <w:bottom w:w="0" w:type="dxa"/>
            <w:right w:w="0" w:type="dxa"/>
          </w:tblCellMar>
        </w:tblPrEx>
        <w:trPr>
          <w:trHeight w:val="512" w:hRule="atLeast"/>
          <w:jc w:val="center"/>
        </w:trPr>
        <w:tc>
          <w:tcPr>
            <w:tcW w:w="582"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 w:val="13"/>
                <w:szCs w:val="13"/>
              </w:rPr>
            </w:pP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 w:val="13"/>
                <w:szCs w:val="13"/>
              </w:rPr>
            </w:pPr>
            <w:r>
              <w:rPr>
                <w:rFonts w:hAnsi="宋体"/>
                <w:color w:val="000000"/>
                <w:kern w:val="0"/>
                <w:sz w:val="13"/>
                <w:szCs w:val="13"/>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 w:val="13"/>
                <w:szCs w:val="13"/>
              </w:rPr>
            </w:pPr>
            <w:r>
              <w:rPr>
                <w:rFonts w:hAnsi="宋体"/>
                <w:color w:val="000000"/>
                <w:sz w:val="13"/>
                <w:szCs w:val="13"/>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color w:val="000000"/>
                <w:sz w:val="13"/>
                <w:szCs w:val="13"/>
              </w:rPr>
            </w:pPr>
            <w:r>
              <w:rPr>
                <w:rFonts w:hAnsi="宋体"/>
                <w:color w:val="000000"/>
                <w:kern w:val="0"/>
                <w:sz w:val="13"/>
                <w:szCs w:val="13"/>
              </w:rPr>
              <w:t>金财网网络租赁费</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color w:val="000000"/>
                <w:sz w:val="13"/>
                <w:szCs w:val="13"/>
              </w:rPr>
            </w:pPr>
            <w:r>
              <w:rPr>
                <w:rFonts w:hAnsi="宋体"/>
                <w:kern w:val="0"/>
                <w:sz w:val="13"/>
                <w:szCs w:val="13"/>
              </w:rPr>
              <w:t>全县各乡镇及行政事业单位使用</w:t>
            </w:r>
          </w:p>
        </w:tc>
        <w:tc>
          <w:tcPr>
            <w:tcW w:w="20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color w:val="000000"/>
                <w:sz w:val="13"/>
                <w:szCs w:val="13"/>
              </w:rPr>
            </w:pPr>
            <w:r>
              <w:rPr>
                <w:rFonts w:hAnsi="宋体"/>
                <w:kern w:val="0"/>
                <w:sz w:val="13"/>
                <w:szCs w:val="13"/>
              </w:rPr>
              <w:t>全县各乡镇及行政事业单位使用</w:t>
            </w:r>
          </w:p>
        </w:tc>
      </w:tr>
      <w:tr>
        <w:tblPrEx>
          <w:tblCellMar>
            <w:top w:w="0" w:type="dxa"/>
            <w:left w:w="0" w:type="dxa"/>
            <w:bottom w:w="0" w:type="dxa"/>
            <w:right w:w="0" w:type="dxa"/>
          </w:tblCellMar>
        </w:tblPrEx>
        <w:trPr>
          <w:trHeight w:val="572" w:hRule="atLeast"/>
          <w:jc w:val="center"/>
        </w:trPr>
        <w:tc>
          <w:tcPr>
            <w:tcW w:w="582"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 w:val="13"/>
                <w:szCs w:val="13"/>
              </w:rPr>
            </w:pP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 w:val="13"/>
                <w:szCs w:val="13"/>
              </w:rPr>
            </w:pPr>
            <w:r>
              <w:rPr>
                <w:rFonts w:hAnsi="宋体"/>
                <w:color w:val="000000"/>
                <w:kern w:val="0"/>
                <w:sz w:val="13"/>
                <w:szCs w:val="13"/>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 w:val="13"/>
                <w:szCs w:val="13"/>
              </w:rPr>
            </w:pPr>
            <w:r>
              <w:rPr>
                <w:rFonts w:hAnsi="宋体"/>
                <w:color w:val="000000"/>
                <w:sz w:val="13"/>
                <w:szCs w:val="13"/>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color w:val="000000"/>
                <w:sz w:val="13"/>
                <w:szCs w:val="13"/>
              </w:rPr>
            </w:pPr>
            <w:r>
              <w:rPr>
                <w:rFonts w:hAnsi="宋体"/>
                <w:color w:val="000000"/>
                <w:kern w:val="0"/>
                <w:sz w:val="13"/>
                <w:szCs w:val="13"/>
              </w:rPr>
              <w:t>行政事业单位资产信息系统维护费</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color w:val="000000"/>
                <w:sz w:val="13"/>
                <w:szCs w:val="13"/>
              </w:rPr>
            </w:pPr>
            <w:r>
              <w:rPr>
                <w:rFonts w:hAnsi="宋体"/>
                <w:kern w:val="0"/>
                <w:sz w:val="13"/>
                <w:szCs w:val="13"/>
              </w:rPr>
              <w:t>全县各乡镇及行政事业单位使用</w:t>
            </w:r>
          </w:p>
        </w:tc>
        <w:tc>
          <w:tcPr>
            <w:tcW w:w="20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color w:val="000000"/>
                <w:sz w:val="13"/>
                <w:szCs w:val="13"/>
              </w:rPr>
            </w:pPr>
            <w:r>
              <w:rPr>
                <w:rFonts w:hAnsi="宋体"/>
                <w:kern w:val="0"/>
                <w:sz w:val="13"/>
                <w:szCs w:val="13"/>
              </w:rPr>
              <w:t>全县各乡镇及行政事业单位使用</w:t>
            </w:r>
          </w:p>
        </w:tc>
      </w:tr>
      <w:tr>
        <w:tblPrEx>
          <w:tblCellMar>
            <w:top w:w="0" w:type="dxa"/>
            <w:left w:w="0" w:type="dxa"/>
            <w:bottom w:w="0" w:type="dxa"/>
            <w:right w:w="0" w:type="dxa"/>
          </w:tblCellMar>
        </w:tblPrEx>
        <w:trPr>
          <w:trHeight w:val="517" w:hRule="atLeast"/>
          <w:jc w:val="center"/>
        </w:trPr>
        <w:tc>
          <w:tcPr>
            <w:tcW w:w="582"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 w:val="13"/>
                <w:szCs w:val="13"/>
              </w:rPr>
            </w:pP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 w:val="13"/>
                <w:szCs w:val="13"/>
              </w:rPr>
            </w:pPr>
            <w:r>
              <w:rPr>
                <w:rFonts w:hAnsi="宋体"/>
                <w:color w:val="000000"/>
                <w:kern w:val="0"/>
                <w:sz w:val="13"/>
                <w:szCs w:val="13"/>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 w:val="13"/>
                <w:szCs w:val="13"/>
              </w:rPr>
            </w:pPr>
            <w:r>
              <w:rPr>
                <w:rFonts w:hAnsi="宋体"/>
                <w:color w:val="000000"/>
                <w:sz w:val="13"/>
                <w:szCs w:val="13"/>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color w:val="000000"/>
                <w:sz w:val="13"/>
                <w:szCs w:val="13"/>
              </w:rPr>
            </w:pPr>
            <w:r>
              <w:rPr>
                <w:rFonts w:hAnsi="宋体"/>
                <w:color w:val="000000"/>
                <w:kern w:val="0"/>
                <w:sz w:val="13"/>
                <w:szCs w:val="13"/>
              </w:rPr>
              <w:t>部门预算软件</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color w:val="000000"/>
                <w:sz w:val="13"/>
                <w:szCs w:val="13"/>
              </w:rPr>
            </w:pPr>
            <w:r>
              <w:rPr>
                <w:rFonts w:hAnsi="宋体"/>
                <w:kern w:val="0"/>
                <w:sz w:val="13"/>
                <w:szCs w:val="13"/>
              </w:rPr>
              <w:t>全县各乡镇及行政事业单位使用</w:t>
            </w:r>
          </w:p>
        </w:tc>
        <w:tc>
          <w:tcPr>
            <w:tcW w:w="20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color w:val="000000"/>
                <w:sz w:val="13"/>
                <w:szCs w:val="13"/>
              </w:rPr>
            </w:pPr>
            <w:r>
              <w:rPr>
                <w:rFonts w:hAnsi="宋体"/>
                <w:kern w:val="0"/>
                <w:sz w:val="13"/>
                <w:szCs w:val="13"/>
              </w:rPr>
              <w:t>全县各乡镇及行政事业单位使用</w:t>
            </w:r>
          </w:p>
        </w:tc>
      </w:tr>
      <w:tr>
        <w:tblPrEx>
          <w:tblCellMar>
            <w:top w:w="0" w:type="dxa"/>
            <w:left w:w="0" w:type="dxa"/>
            <w:bottom w:w="0" w:type="dxa"/>
            <w:right w:w="0" w:type="dxa"/>
          </w:tblCellMar>
        </w:tblPrEx>
        <w:trPr>
          <w:trHeight w:val="592" w:hRule="atLeast"/>
          <w:jc w:val="center"/>
        </w:trPr>
        <w:tc>
          <w:tcPr>
            <w:tcW w:w="582"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 w:val="13"/>
                <w:szCs w:val="13"/>
              </w:rPr>
            </w:pP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kern w:val="0"/>
                <w:sz w:val="13"/>
                <w:szCs w:val="13"/>
              </w:rPr>
            </w:pPr>
            <w:r>
              <w:rPr>
                <w:rFonts w:hAnsi="宋体"/>
                <w:color w:val="000000"/>
                <w:kern w:val="0"/>
                <w:sz w:val="13"/>
                <w:szCs w:val="13"/>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 w:val="13"/>
                <w:szCs w:val="13"/>
              </w:rPr>
            </w:pPr>
            <w:r>
              <w:rPr>
                <w:rFonts w:hAnsi="宋体"/>
                <w:color w:val="000000"/>
                <w:sz w:val="13"/>
                <w:szCs w:val="13"/>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color w:val="000000"/>
                <w:sz w:val="13"/>
                <w:szCs w:val="13"/>
              </w:rPr>
            </w:pPr>
            <w:r>
              <w:rPr>
                <w:rFonts w:hAnsi="宋体"/>
                <w:color w:val="000000"/>
                <w:kern w:val="0"/>
                <w:sz w:val="13"/>
                <w:szCs w:val="13"/>
              </w:rPr>
              <w:t>政府财政指标管理系统</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color w:val="000000"/>
                <w:sz w:val="13"/>
                <w:szCs w:val="13"/>
              </w:rPr>
            </w:pPr>
            <w:r>
              <w:rPr>
                <w:rFonts w:hAnsi="宋体"/>
                <w:color w:val="000000"/>
                <w:kern w:val="0"/>
                <w:sz w:val="13"/>
                <w:szCs w:val="13"/>
              </w:rPr>
              <w:t>财政局各业务股室使用</w:t>
            </w:r>
          </w:p>
        </w:tc>
        <w:tc>
          <w:tcPr>
            <w:tcW w:w="20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color w:val="000000"/>
                <w:sz w:val="13"/>
                <w:szCs w:val="13"/>
              </w:rPr>
            </w:pPr>
            <w:r>
              <w:rPr>
                <w:rFonts w:hAnsi="宋体"/>
                <w:color w:val="000000"/>
                <w:kern w:val="0"/>
                <w:sz w:val="13"/>
                <w:szCs w:val="13"/>
              </w:rPr>
              <w:t>财政局各业务股室使用</w:t>
            </w:r>
          </w:p>
        </w:tc>
      </w:tr>
      <w:tr>
        <w:tblPrEx>
          <w:tblCellMar>
            <w:top w:w="0" w:type="dxa"/>
            <w:left w:w="0" w:type="dxa"/>
            <w:bottom w:w="0" w:type="dxa"/>
            <w:right w:w="0" w:type="dxa"/>
          </w:tblCellMar>
        </w:tblPrEx>
        <w:trPr>
          <w:trHeight w:val="499" w:hRule="atLeast"/>
          <w:jc w:val="center"/>
        </w:trPr>
        <w:tc>
          <w:tcPr>
            <w:tcW w:w="582"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 w:val="13"/>
                <w:szCs w:val="13"/>
              </w:rPr>
            </w:pP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 w:val="13"/>
                <w:szCs w:val="13"/>
              </w:rPr>
            </w:pPr>
            <w:r>
              <w:rPr>
                <w:rFonts w:hAnsi="宋体"/>
                <w:color w:val="000000"/>
                <w:kern w:val="0"/>
                <w:sz w:val="13"/>
                <w:szCs w:val="13"/>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 w:val="13"/>
                <w:szCs w:val="13"/>
              </w:rPr>
            </w:pPr>
            <w:r>
              <w:rPr>
                <w:rFonts w:hAnsi="宋体"/>
                <w:color w:val="000000"/>
                <w:sz w:val="13"/>
                <w:szCs w:val="13"/>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color w:val="000000"/>
                <w:sz w:val="13"/>
                <w:szCs w:val="13"/>
              </w:rPr>
            </w:pPr>
            <w:r>
              <w:rPr>
                <w:rFonts w:hAnsi="宋体"/>
                <w:color w:val="000000"/>
                <w:kern w:val="0"/>
                <w:sz w:val="13"/>
                <w:szCs w:val="13"/>
              </w:rPr>
              <w:t>财政局办公设备运行维护</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color w:val="000000"/>
                <w:sz w:val="13"/>
                <w:szCs w:val="13"/>
              </w:rPr>
            </w:pPr>
            <w:r>
              <w:rPr>
                <w:rFonts w:hAnsi="宋体"/>
                <w:color w:val="000000"/>
                <w:kern w:val="0"/>
                <w:sz w:val="13"/>
                <w:szCs w:val="13"/>
              </w:rPr>
              <w:t>按合同金额支付</w:t>
            </w:r>
          </w:p>
        </w:tc>
        <w:tc>
          <w:tcPr>
            <w:tcW w:w="20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color w:val="000000"/>
                <w:sz w:val="13"/>
                <w:szCs w:val="13"/>
              </w:rPr>
            </w:pPr>
            <w:r>
              <w:rPr>
                <w:rFonts w:hAnsi="宋体"/>
                <w:color w:val="000000"/>
                <w:kern w:val="0"/>
                <w:sz w:val="13"/>
                <w:szCs w:val="13"/>
              </w:rPr>
              <w:t>按合同金额支付</w:t>
            </w:r>
          </w:p>
        </w:tc>
      </w:tr>
      <w:tr>
        <w:tblPrEx>
          <w:tblCellMar>
            <w:top w:w="0" w:type="dxa"/>
            <w:left w:w="0" w:type="dxa"/>
            <w:bottom w:w="0" w:type="dxa"/>
            <w:right w:w="0" w:type="dxa"/>
          </w:tblCellMar>
        </w:tblPrEx>
        <w:trPr>
          <w:trHeight w:val="524" w:hRule="atLeast"/>
          <w:jc w:val="center"/>
        </w:trPr>
        <w:tc>
          <w:tcPr>
            <w:tcW w:w="582"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 w:val="13"/>
                <w:szCs w:val="13"/>
              </w:rPr>
            </w:pP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 w:val="13"/>
                <w:szCs w:val="13"/>
              </w:rPr>
            </w:pPr>
            <w:r>
              <w:rPr>
                <w:rFonts w:hAnsi="宋体"/>
                <w:color w:val="000000"/>
                <w:kern w:val="0"/>
                <w:sz w:val="13"/>
                <w:szCs w:val="13"/>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 w:val="13"/>
                <w:szCs w:val="13"/>
              </w:rPr>
            </w:pPr>
            <w:r>
              <w:rPr>
                <w:rFonts w:hAnsi="宋体"/>
                <w:color w:val="000000"/>
                <w:sz w:val="13"/>
                <w:szCs w:val="13"/>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color w:val="000000"/>
                <w:sz w:val="13"/>
                <w:szCs w:val="13"/>
              </w:rPr>
            </w:pPr>
            <w:r>
              <w:rPr>
                <w:rFonts w:hAnsi="宋体"/>
                <w:color w:val="000000"/>
                <w:kern w:val="0"/>
                <w:sz w:val="13"/>
                <w:szCs w:val="13"/>
              </w:rPr>
              <w:t>国库股、综合股软件维护费</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color w:val="000000"/>
                <w:sz w:val="13"/>
                <w:szCs w:val="13"/>
              </w:rPr>
            </w:pPr>
            <w:r>
              <w:rPr>
                <w:rFonts w:hAnsi="宋体"/>
                <w:color w:val="000000"/>
                <w:kern w:val="0"/>
                <w:sz w:val="13"/>
                <w:szCs w:val="13"/>
              </w:rPr>
              <w:t>国库股总会计及出纳软件、综合股非税收入收缴管理系统。</w:t>
            </w:r>
          </w:p>
        </w:tc>
        <w:tc>
          <w:tcPr>
            <w:tcW w:w="20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color w:val="000000"/>
                <w:sz w:val="13"/>
                <w:szCs w:val="13"/>
              </w:rPr>
            </w:pPr>
            <w:r>
              <w:rPr>
                <w:rFonts w:hAnsi="宋体"/>
                <w:color w:val="000000"/>
                <w:kern w:val="0"/>
                <w:sz w:val="13"/>
                <w:szCs w:val="13"/>
              </w:rPr>
              <w:t>国库股总会计及出纳软件、综合股非税收入收缴管理系统。</w:t>
            </w:r>
          </w:p>
        </w:tc>
      </w:tr>
      <w:tr>
        <w:tblPrEx>
          <w:tblCellMar>
            <w:top w:w="0" w:type="dxa"/>
            <w:left w:w="0" w:type="dxa"/>
            <w:bottom w:w="0" w:type="dxa"/>
            <w:right w:w="0" w:type="dxa"/>
          </w:tblCellMar>
        </w:tblPrEx>
        <w:trPr>
          <w:trHeight w:val="474" w:hRule="atLeast"/>
          <w:jc w:val="center"/>
        </w:trPr>
        <w:tc>
          <w:tcPr>
            <w:tcW w:w="582"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 w:val="13"/>
                <w:szCs w:val="13"/>
              </w:rPr>
            </w:pP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kern w:val="0"/>
                <w:sz w:val="13"/>
                <w:szCs w:val="13"/>
              </w:rPr>
            </w:pPr>
            <w:r>
              <w:rPr>
                <w:rFonts w:hAnsi="宋体"/>
                <w:color w:val="000000"/>
                <w:kern w:val="0"/>
                <w:sz w:val="13"/>
                <w:szCs w:val="13"/>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 w:val="13"/>
                <w:szCs w:val="13"/>
              </w:rPr>
            </w:pPr>
            <w:r>
              <w:rPr>
                <w:rFonts w:hAnsi="宋体"/>
                <w:color w:val="000000"/>
                <w:sz w:val="13"/>
                <w:szCs w:val="13"/>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color w:val="000000"/>
                <w:kern w:val="0"/>
                <w:sz w:val="13"/>
                <w:szCs w:val="13"/>
              </w:rPr>
            </w:pPr>
            <w:r>
              <w:rPr>
                <w:rFonts w:hAnsi="宋体"/>
                <w:color w:val="000000"/>
                <w:kern w:val="0"/>
                <w:sz w:val="13"/>
                <w:szCs w:val="13"/>
              </w:rPr>
              <w:t>系统、软件合格率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color w:val="000000"/>
                <w:kern w:val="0"/>
                <w:sz w:val="13"/>
                <w:szCs w:val="13"/>
              </w:rPr>
            </w:pPr>
            <w:r>
              <w:rPr>
                <w:rFonts w:hAnsi="宋体"/>
                <w:color w:val="000000"/>
                <w:kern w:val="0"/>
                <w:sz w:val="13"/>
                <w:szCs w:val="13"/>
              </w:rPr>
              <w:t>及时掌控软件运行情况</w:t>
            </w:r>
          </w:p>
        </w:tc>
        <w:tc>
          <w:tcPr>
            <w:tcW w:w="20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color w:val="000000"/>
                <w:kern w:val="0"/>
                <w:sz w:val="13"/>
                <w:szCs w:val="13"/>
              </w:rPr>
            </w:pPr>
            <w:r>
              <w:rPr>
                <w:rFonts w:hAnsi="宋体"/>
                <w:color w:val="000000"/>
                <w:kern w:val="0"/>
                <w:sz w:val="13"/>
                <w:szCs w:val="13"/>
              </w:rPr>
              <w:t>及时掌控软件运行情况</w:t>
            </w:r>
          </w:p>
        </w:tc>
      </w:tr>
      <w:tr>
        <w:tblPrEx>
          <w:tblCellMar>
            <w:top w:w="0" w:type="dxa"/>
            <w:left w:w="0" w:type="dxa"/>
            <w:bottom w:w="0" w:type="dxa"/>
            <w:right w:w="0" w:type="dxa"/>
          </w:tblCellMar>
        </w:tblPrEx>
        <w:trPr>
          <w:trHeight w:val="512" w:hRule="atLeast"/>
          <w:jc w:val="center"/>
        </w:trPr>
        <w:tc>
          <w:tcPr>
            <w:tcW w:w="582"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 w:val="13"/>
                <w:szCs w:val="13"/>
              </w:rPr>
            </w:pP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kern w:val="0"/>
                <w:sz w:val="13"/>
                <w:szCs w:val="13"/>
              </w:rPr>
            </w:pPr>
            <w:r>
              <w:rPr>
                <w:rFonts w:hAnsi="宋体"/>
                <w:color w:val="000000"/>
                <w:kern w:val="0"/>
                <w:sz w:val="13"/>
                <w:szCs w:val="13"/>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 w:val="13"/>
                <w:szCs w:val="13"/>
              </w:rPr>
            </w:pPr>
            <w:r>
              <w:rPr>
                <w:rFonts w:hAnsi="宋体"/>
                <w:color w:val="000000"/>
                <w:sz w:val="13"/>
                <w:szCs w:val="13"/>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color w:val="000000"/>
                <w:kern w:val="0"/>
                <w:sz w:val="13"/>
                <w:szCs w:val="13"/>
              </w:rPr>
            </w:pPr>
            <w:r>
              <w:rPr>
                <w:rFonts w:hAnsi="宋体"/>
                <w:color w:val="000000"/>
                <w:kern w:val="0"/>
                <w:sz w:val="13"/>
                <w:szCs w:val="13"/>
              </w:rPr>
              <w:t>保证金财网正常运行</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color w:val="000000"/>
                <w:kern w:val="0"/>
                <w:sz w:val="13"/>
                <w:szCs w:val="13"/>
              </w:rPr>
            </w:pPr>
            <w:r>
              <w:rPr>
                <w:rFonts w:hAnsi="宋体"/>
                <w:color w:val="000000"/>
                <w:kern w:val="0"/>
                <w:sz w:val="13"/>
                <w:szCs w:val="13"/>
              </w:rPr>
              <w:t>保障工作正常运转，保障金财网络运行。</w:t>
            </w:r>
          </w:p>
        </w:tc>
        <w:tc>
          <w:tcPr>
            <w:tcW w:w="20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color w:val="000000"/>
                <w:kern w:val="0"/>
                <w:sz w:val="13"/>
                <w:szCs w:val="13"/>
              </w:rPr>
            </w:pPr>
            <w:r>
              <w:rPr>
                <w:rFonts w:hAnsi="宋体"/>
                <w:color w:val="000000"/>
                <w:kern w:val="0"/>
                <w:sz w:val="13"/>
                <w:szCs w:val="13"/>
              </w:rPr>
              <w:t>保障工作正常运转，保障金财网络运行。</w:t>
            </w:r>
          </w:p>
        </w:tc>
      </w:tr>
      <w:tr>
        <w:tblPrEx>
          <w:tblCellMar>
            <w:top w:w="0" w:type="dxa"/>
            <w:left w:w="0" w:type="dxa"/>
            <w:bottom w:w="0" w:type="dxa"/>
            <w:right w:w="0" w:type="dxa"/>
          </w:tblCellMar>
        </w:tblPrEx>
        <w:trPr>
          <w:trHeight w:val="449" w:hRule="atLeast"/>
          <w:jc w:val="center"/>
        </w:trPr>
        <w:tc>
          <w:tcPr>
            <w:tcW w:w="582"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 w:val="13"/>
                <w:szCs w:val="13"/>
              </w:rPr>
            </w:pP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kern w:val="0"/>
                <w:sz w:val="13"/>
                <w:szCs w:val="13"/>
              </w:rPr>
            </w:pPr>
            <w:r>
              <w:rPr>
                <w:rFonts w:hAnsi="宋体"/>
                <w:color w:val="000000"/>
                <w:kern w:val="0"/>
                <w:sz w:val="13"/>
                <w:szCs w:val="13"/>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 w:val="13"/>
                <w:szCs w:val="13"/>
              </w:rPr>
            </w:pPr>
            <w:r>
              <w:rPr>
                <w:rFonts w:hAnsi="宋体"/>
                <w:color w:val="000000"/>
                <w:sz w:val="13"/>
                <w:szCs w:val="13"/>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color w:val="000000"/>
                <w:kern w:val="0"/>
                <w:sz w:val="13"/>
                <w:szCs w:val="13"/>
              </w:rPr>
            </w:pPr>
            <w:r>
              <w:rPr>
                <w:rFonts w:hAnsi="宋体"/>
                <w:color w:val="000000"/>
                <w:kern w:val="0"/>
                <w:sz w:val="13"/>
                <w:szCs w:val="13"/>
              </w:rPr>
              <w:t>系统维护时间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color w:val="000000"/>
                <w:kern w:val="0"/>
                <w:sz w:val="13"/>
                <w:szCs w:val="13"/>
              </w:rPr>
            </w:pPr>
            <w:r>
              <w:rPr>
                <w:color w:val="000000"/>
                <w:kern w:val="0"/>
                <w:sz w:val="13"/>
                <w:szCs w:val="13"/>
              </w:rPr>
              <w:t>2021</w:t>
            </w:r>
            <w:r>
              <w:rPr>
                <w:rFonts w:hAnsi="宋体"/>
                <w:color w:val="000000"/>
                <w:kern w:val="0"/>
                <w:sz w:val="13"/>
                <w:szCs w:val="13"/>
              </w:rPr>
              <w:t>年全年</w:t>
            </w:r>
          </w:p>
        </w:tc>
        <w:tc>
          <w:tcPr>
            <w:tcW w:w="20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color w:val="000000"/>
                <w:kern w:val="0"/>
                <w:sz w:val="13"/>
                <w:szCs w:val="13"/>
              </w:rPr>
            </w:pPr>
            <w:r>
              <w:rPr>
                <w:color w:val="000000"/>
                <w:kern w:val="0"/>
                <w:sz w:val="13"/>
                <w:szCs w:val="13"/>
              </w:rPr>
              <w:t>2021</w:t>
            </w:r>
            <w:r>
              <w:rPr>
                <w:rFonts w:hAnsi="宋体"/>
                <w:color w:val="000000"/>
                <w:kern w:val="0"/>
                <w:sz w:val="13"/>
                <w:szCs w:val="13"/>
              </w:rPr>
              <w:t>年全年</w:t>
            </w:r>
          </w:p>
        </w:tc>
      </w:tr>
      <w:tr>
        <w:tblPrEx>
          <w:tblCellMar>
            <w:top w:w="0" w:type="dxa"/>
            <w:left w:w="0" w:type="dxa"/>
            <w:bottom w:w="0" w:type="dxa"/>
            <w:right w:w="0" w:type="dxa"/>
          </w:tblCellMar>
        </w:tblPrEx>
        <w:trPr>
          <w:trHeight w:val="349" w:hRule="atLeast"/>
          <w:jc w:val="center"/>
        </w:trPr>
        <w:tc>
          <w:tcPr>
            <w:tcW w:w="582"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 w:val="13"/>
                <w:szCs w:val="13"/>
              </w:rPr>
            </w:pP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kern w:val="0"/>
                <w:sz w:val="13"/>
                <w:szCs w:val="13"/>
              </w:rPr>
            </w:pPr>
            <w:r>
              <w:rPr>
                <w:rFonts w:hAnsi="宋体"/>
                <w:color w:val="000000"/>
                <w:kern w:val="0"/>
                <w:sz w:val="13"/>
                <w:szCs w:val="13"/>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 w:val="13"/>
                <w:szCs w:val="13"/>
              </w:rPr>
            </w:pPr>
            <w:r>
              <w:rPr>
                <w:rFonts w:hAnsi="宋体"/>
                <w:color w:val="000000"/>
                <w:sz w:val="13"/>
                <w:szCs w:val="13"/>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color w:val="000000"/>
                <w:kern w:val="0"/>
                <w:sz w:val="13"/>
                <w:szCs w:val="13"/>
              </w:rPr>
            </w:pPr>
            <w:r>
              <w:rPr>
                <w:rFonts w:hAnsi="宋体"/>
                <w:color w:val="000000"/>
                <w:kern w:val="0"/>
                <w:sz w:val="13"/>
                <w:szCs w:val="13"/>
              </w:rPr>
              <w:t>按照工作计划</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color w:val="000000"/>
                <w:kern w:val="0"/>
                <w:sz w:val="13"/>
                <w:szCs w:val="13"/>
              </w:rPr>
            </w:pPr>
            <w:r>
              <w:rPr>
                <w:rFonts w:hAnsi="宋体"/>
                <w:color w:val="000000"/>
                <w:kern w:val="0"/>
                <w:sz w:val="13"/>
                <w:szCs w:val="13"/>
              </w:rPr>
              <w:t>及时解决突发故障</w:t>
            </w:r>
          </w:p>
        </w:tc>
        <w:tc>
          <w:tcPr>
            <w:tcW w:w="20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color w:val="000000"/>
                <w:kern w:val="0"/>
                <w:sz w:val="13"/>
                <w:szCs w:val="13"/>
              </w:rPr>
            </w:pPr>
            <w:r>
              <w:rPr>
                <w:rFonts w:hAnsi="宋体"/>
                <w:color w:val="000000"/>
                <w:kern w:val="0"/>
                <w:sz w:val="13"/>
                <w:szCs w:val="13"/>
              </w:rPr>
              <w:t>及时解决突发故障</w:t>
            </w:r>
          </w:p>
        </w:tc>
      </w:tr>
      <w:tr>
        <w:tblPrEx>
          <w:tblCellMar>
            <w:top w:w="0" w:type="dxa"/>
            <w:left w:w="0" w:type="dxa"/>
            <w:bottom w:w="0" w:type="dxa"/>
            <w:right w:w="0" w:type="dxa"/>
          </w:tblCellMar>
        </w:tblPrEx>
        <w:trPr>
          <w:trHeight w:val="374" w:hRule="atLeast"/>
          <w:jc w:val="center"/>
        </w:trPr>
        <w:tc>
          <w:tcPr>
            <w:tcW w:w="582"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 w:val="13"/>
                <w:szCs w:val="13"/>
              </w:rPr>
            </w:pP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kern w:val="0"/>
                <w:sz w:val="13"/>
                <w:szCs w:val="13"/>
              </w:rPr>
            </w:pPr>
            <w:r>
              <w:rPr>
                <w:rFonts w:hAnsi="宋体"/>
                <w:color w:val="000000"/>
                <w:kern w:val="0"/>
                <w:sz w:val="13"/>
                <w:szCs w:val="13"/>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 w:val="13"/>
                <w:szCs w:val="13"/>
              </w:rPr>
            </w:pPr>
            <w:r>
              <w:rPr>
                <w:rFonts w:hAnsi="宋体"/>
                <w:color w:val="000000"/>
                <w:sz w:val="13"/>
                <w:szCs w:val="13"/>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color w:val="000000"/>
                <w:kern w:val="0"/>
                <w:sz w:val="13"/>
                <w:szCs w:val="13"/>
              </w:rPr>
            </w:pPr>
            <w:r>
              <w:rPr>
                <w:rFonts w:hAnsi="宋体"/>
                <w:color w:val="000000"/>
                <w:kern w:val="0"/>
                <w:sz w:val="13"/>
                <w:szCs w:val="13"/>
              </w:rPr>
              <w:t>金财网网络租赁费及各业务股室系统维护费</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color w:val="000000"/>
                <w:kern w:val="0"/>
                <w:sz w:val="13"/>
                <w:szCs w:val="13"/>
              </w:rPr>
            </w:pPr>
            <w:r>
              <w:rPr>
                <w:rFonts w:hAnsi="宋体"/>
                <w:color w:val="000000"/>
                <w:kern w:val="0"/>
                <w:sz w:val="13"/>
                <w:szCs w:val="13"/>
              </w:rPr>
              <w:t>全年费用</w:t>
            </w:r>
            <w:r>
              <w:rPr>
                <w:color w:val="000000"/>
                <w:kern w:val="0"/>
                <w:sz w:val="13"/>
                <w:szCs w:val="13"/>
              </w:rPr>
              <w:t>306.68</w:t>
            </w:r>
            <w:r>
              <w:rPr>
                <w:rFonts w:hAnsi="宋体"/>
                <w:color w:val="000000"/>
                <w:kern w:val="0"/>
                <w:sz w:val="13"/>
                <w:szCs w:val="13"/>
              </w:rPr>
              <w:t>万元</w:t>
            </w:r>
          </w:p>
        </w:tc>
        <w:tc>
          <w:tcPr>
            <w:tcW w:w="20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color w:val="000000"/>
                <w:kern w:val="0"/>
                <w:sz w:val="13"/>
                <w:szCs w:val="13"/>
              </w:rPr>
            </w:pPr>
            <w:r>
              <w:rPr>
                <w:rFonts w:hAnsi="宋体"/>
                <w:color w:val="000000"/>
                <w:kern w:val="0"/>
                <w:sz w:val="13"/>
                <w:szCs w:val="13"/>
              </w:rPr>
              <w:t>已按合同金额支付</w:t>
            </w:r>
          </w:p>
        </w:tc>
      </w:tr>
      <w:tr>
        <w:tblPrEx>
          <w:tblCellMar>
            <w:top w:w="0" w:type="dxa"/>
            <w:left w:w="0" w:type="dxa"/>
            <w:bottom w:w="0" w:type="dxa"/>
            <w:right w:w="0" w:type="dxa"/>
          </w:tblCellMar>
        </w:tblPrEx>
        <w:trPr>
          <w:trHeight w:val="361" w:hRule="atLeast"/>
          <w:jc w:val="center"/>
        </w:trPr>
        <w:tc>
          <w:tcPr>
            <w:tcW w:w="582"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 w:val="13"/>
                <w:szCs w:val="13"/>
              </w:rPr>
            </w:pP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 w:val="13"/>
                <w:szCs w:val="13"/>
              </w:rPr>
            </w:pPr>
            <w:r>
              <w:rPr>
                <w:rFonts w:hAnsi="宋体"/>
                <w:color w:val="000000"/>
                <w:kern w:val="0"/>
                <w:sz w:val="13"/>
                <w:szCs w:val="13"/>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 w:val="13"/>
                <w:szCs w:val="13"/>
              </w:rPr>
            </w:pPr>
            <w:r>
              <w:rPr>
                <w:rFonts w:hAnsi="宋体"/>
                <w:color w:val="000000"/>
                <w:sz w:val="13"/>
                <w:szCs w:val="13"/>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130" w:firstLineChars="100"/>
              <w:jc w:val="left"/>
              <w:textAlignment w:val="center"/>
              <w:rPr>
                <w:color w:val="000000"/>
                <w:sz w:val="13"/>
                <w:szCs w:val="13"/>
              </w:rPr>
            </w:pPr>
            <w:r>
              <w:rPr>
                <w:rFonts w:hAnsi="宋体"/>
                <w:color w:val="000000"/>
                <w:kern w:val="0"/>
                <w:sz w:val="13"/>
                <w:szCs w:val="13"/>
              </w:rPr>
              <w:t>推进全县财务工作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left="210" w:leftChars="100"/>
              <w:jc w:val="left"/>
              <w:textAlignment w:val="center"/>
              <w:rPr>
                <w:color w:val="000000"/>
                <w:sz w:val="13"/>
                <w:szCs w:val="13"/>
              </w:rPr>
            </w:pPr>
            <w:r>
              <w:rPr>
                <w:rFonts w:hAnsi="宋体"/>
                <w:color w:val="000000"/>
                <w:kern w:val="0"/>
                <w:sz w:val="13"/>
                <w:szCs w:val="13"/>
              </w:rPr>
              <w:t>提高工作效率</w:t>
            </w:r>
            <w:r>
              <w:rPr>
                <w:color w:val="000000"/>
                <w:kern w:val="0"/>
                <w:sz w:val="13"/>
                <w:szCs w:val="13"/>
              </w:rPr>
              <w:t>,</w:t>
            </w:r>
            <w:r>
              <w:rPr>
                <w:rFonts w:hAnsi="宋体"/>
                <w:color w:val="000000"/>
                <w:kern w:val="0"/>
                <w:sz w:val="13"/>
                <w:szCs w:val="13"/>
              </w:rPr>
              <w:t>提高资金下达，提高各单位资金使用率。</w:t>
            </w:r>
          </w:p>
        </w:tc>
        <w:tc>
          <w:tcPr>
            <w:tcW w:w="20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 w:val="13"/>
                <w:szCs w:val="13"/>
              </w:rPr>
            </w:pPr>
            <w:r>
              <w:rPr>
                <w:rFonts w:hAnsi="宋体"/>
                <w:color w:val="000000"/>
                <w:kern w:val="0"/>
                <w:sz w:val="13"/>
                <w:szCs w:val="13"/>
              </w:rPr>
              <w:t>提高工作效率</w:t>
            </w:r>
            <w:r>
              <w:rPr>
                <w:color w:val="000000"/>
                <w:kern w:val="0"/>
                <w:sz w:val="13"/>
                <w:szCs w:val="13"/>
              </w:rPr>
              <w:t>,</w:t>
            </w:r>
            <w:r>
              <w:rPr>
                <w:rFonts w:hAnsi="宋体"/>
                <w:color w:val="000000"/>
                <w:kern w:val="0"/>
                <w:sz w:val="13"/>
                <w:szCs w:val="13"/>
              </w:rPr>
              <w:t>提高资金下达，提高各单位资金使用率。</w:t>
            </w:r>
          </w:p>
        </w:tc>
      </w:tr>
      <w:tr>
        <w:tblPrEx>
          <w:tblCellMar>
            <w:top w:w="0" w:type="dxa"/>
            <w:left w:w="0" w:type="dxa"/>
            <w:bottom w:w="0" w:type="dxa"/>
            <w:right w:w="0" w:type="dxa"/>
          </w:tblCellMar>
        </w:tblPrEx>
        <w:trPr>
          <w:trHeight w:val="822" w:hRule="atLeast"/>
          <w:jc w:val="center"/>
        </w:trPr>
        <w:tc>
          <w:tcPr>
            <w:tcW w:w="582"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 w:val="13"/>
                <w:szCs w:val="13"/>
              </w:rPr>
            </w:pP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 w:val="13"/>
                <w:szCs w:val="13"/>
              </w:rPr>
            </w:pPr>
            <w:r>
              <w:rPr>
                <w:rFonts w:hAnsi="宋体"/>
                <w:color w:val="000000"/>
                <w:kern w:val="0"/>
                <w:sz w:val="13"/>
                <w:szCs w:val="13"/>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 w:val="13"/>
                <w:szCs w:val="13"/>
              </w:rPr>
            </w:pPr>
            <w:r>
              <w:rPr>
                <w:rFonts w:hAnsi="宋体"/>
                <w:color w:val="000000"/>
                <w:sz w:val="13"/>
                <w:szCs w:val="13"/>
              </w:rPr>
              <w:t>服务对象满意度</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 w:val="13"/>
                <w:szCs w:val="13"/>
              </w:rPr>
            </w:pPr>
            <w:r>
              <w:rPr>
                <w:rFonts w:hAnsi="宋体"/>
                <w:color w:val="000000"/>
                <w:sz w:val="13"/>
                <w:szCs w:val="13"/>
              </w:rPr>
              <w:t>全县各预算单位</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 w:val="13"/>
                <w:szCs w:val="13"/>
              </w:rPr>
            </w:pPr>
            <w:r>
              <w:rPr>
                <w:color w:val="000000"/>
                <w:sz w:val="13"/>
                <w:szCs w:val="13"/>
              </w:rPr>
              <w:t>≥95%</w:t>
            </w:r>
          </w:p>
        </w:tc>
        <w:tc>
          <w:tcPr>
            <w:tcW w:w="20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 w:val="13"/>
                <w:szCs w:val="13"/>
              </w:rPr>
            </w:pPr>
            <w:r>
              <w:rPr>
                <w:color w:val="000000"/>
                <w:sz w:val="13"/>
                <w:szCs w:val="13"/>
              </w:rPr>
              <w:t>≥95%</w:t>
            </w:r>
          </w:p>
        </w:tc>
      </w:tr>
    </w:tbl>
    <w:p>
      <w:pPr>
        <w:jc w:val="center"/>
        <w:rPr>
          <w:rFonts w:eastAsia="方正小标宋_GBK"/>
          <w:b/>
          <w:sz w:val="36"/>
          <w:szCs w:val="36"/>
        </w:rPr>
      </w:pPr>
      <w:bookmarkStart w:id="98" w:name="_Toc19965_WPSOffice_Level2"/>
      <w:r>
        <w:rPr>
          <w:rFonts w:eastAsia="方正小标宋_GBK"/>
          <w:b/>
          <w:sz w:val="36"/>
          <w:szCs w:val="36"/>
        </w:rPr>
        <w:t>2021年特定目标类部门预算项目绩效目标自评</w:t>
      </w:r>
      <w:bookmarkEnd w:id="98"/>
    </w:p>
    <w:tbl>
      <w:tblPr>
        <w:tblStyle w:val="13"/>
        <w:tblpPr w:leftFromText="180" w:rightFromText="180" w:vertAnchor="text" w:horzAnchor="page" w:tblpXSpec="center" w:tblpY="169"/>
        <w:tblOverlap w:val="never"/>
        <w:tblW w:w="9087" w:type="dxa"/>
        <w:jc w:val="center"/>
        <w:tblLayout w:type="fixed"/>
        <w:tblCellMar>
          <w:top w:w="0" w:type="dxa"/>
          <w:left w:w="0" w:type="dxa"/>
          <w:bottom w:w="0" w:type="dxa"/>
          <w:right w:w="0" w:type="dxa"/>
        </w:tblCellMar>
      </w:tblPr>
      <w:tblGrid>
        <w:gridCol w:w="582"/>
        <w:gridCol w:w="1004"/>
        <w:gridCol w:w="927"/>
        <w:gridCol w:w="1859"/>
        <w:gridCol w:w="2467"/>
        <w:gridCol w:w="2248"/>
      </w:tblGrid>
      <w:tr>
        <w:tblPrEx>
          <w:tblCellMar>
            <w:top w:w="0" w:type="dxa"/>
            <w:left w:w="0" w:type="dxa"/>
            <w:bottom w:w="0" w:type="dxa"/>
            <w:right w:w="0" w:type="dxa"/>
          </w:tblCellMar>
        </w:tblPrEx>
        <w:trPr>
          <w:trHeight w:val="336" w:hRule="atLeast"/>
          <w:jc w:val="center"/>
        </w:trPr>
        <w:tc>
          <w:tcPr>
            <w:tcW w:w="251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Theme="minorEastAsia"/>
                <w:color w:val="000000"/>
                <w:szCs w:val="21"/>
              </w:rPr>
            </w:pPr>
            <w:r>
              <w:rPr>
                <w:rFonts w:hAnsiTheme="minorEastAsia" w:eastAsiaTheme="minorEastAsia"/>
                <w:color w:val="000000"/>
                <w:kern w:val="0"/>
                <w:szCs w:val="21"/>
              </w:rPr>
              <w:t>项目名称</w:t>
            </w:r>
          </w:p>
        </w:tc>
        <w:tc>
          <w:tcPr>
            <w:tcW w:w="657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Theme="minorEastAsia"/>
                <w:color w:val="000000"/>
                <w:szCs w:val="21"/>
              </w:rPr>
            </w:pPr>
            <w:r>
              <w:rPr>
                <w:rFonts w:hAnsiTheme="minorEastAsia" w:eastAsiaTheme="minorEastAsia"/>
                <w:szCs w:val="21"/>
              </w:rPr>
              <w:t>项目评审专项经费</w:t>
            </w:r>
          </w:p>
        </w:tc>
      </w:tr>
      <w:tr>
        <w:tblPrEx>
          <w:tblCellMar>
            <w:top w:w="0" w:type="dxa"/>
            <w:left w:w="0" w:type="dxa"/>
            <w:bottom w:w="0" w:type="dxa"/>
            <w:right w:w="0" w:type="dxa"/>
          </w:tblCellMar>
        </w:tblPrEx>
        <w:trPr>
          <w:trHeight w:val="336" w:hRule="atLeast"/>
          <w:jc w:val="center"/>
        </w:trPr>
        <w:tc>
          <w:tcPr>
            <w:tcW w:w="251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Theme="minorEastAsia"/>
                <w:color w:val="000000"/>
                <w:szCs w:val="21"/>
              </w:rPr>
            </w:pPr>
            <w:r>
              <w:rPr>
                <w:rFonts w:hAnsiTheme="minorEastAsia" w:eastAsiaTheme="minorEastAsia"/>
                <w:color w:val="000000"/>
                <w:kern w:val="0"/>
                <w:szCs w:val="21"/>
              </w:rPr>
              <w:t>预算单位</w:t>
            </w:r>
          </w:p>
        </w:tc>
        <w:tc>
          <w:tcPr>
            <w:tcW w:w="657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Theme="minorEastAsia"/>
                <w:color w:val="000000"/>
                <w:szCs w:val="21"/>
              </w:rPr>
            </w:pPr>
            <w:r>
              <w:rPr>
                <w:rFonts w:hAnsiTheme="minorEastAsia" w:eastAsiaTheme="minorEastAsia"/>
                <w:color w:val="000000"/>
                <w:szCs w:val="21"/>
              </w:rPr>
              <w:t>盐边县财政局</w:t>
            </w:r>
          </w:p>
        </w:tc>
      </w:tr>
      <w:tr>
        <w:tblPrEx>
          <w:tblCellMar>
            <w:top w:w="0" w:type="dxa"/>
            <w:left w:w="0" w:type="dxa"/>
            <w:bottom w:w="0" w:type="dxa"/>
            <w:right w:w="0" w:type="dxa"/>
          </w:tblCellMar>
        </w:tblPrEx>
        <w:trPr>
          <w:trHeight w:val="336" w:hRule="atLeast"/>
          <w:jc w:val="center"/>
        </w:trPr>
        <w:tc>
          <w:tcPr>
            <w:tcW w:w="58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Theme="minorEastAsia"/>
                <w:color w:val="000000"/>
                <w:szCs w:val="21"/>
              </w:rPr>
            </w:pPr>
            <w:r>
              <w:rPr>
                <w:rFonts w:hAnsiTheme="minorEastAsia" w:eastAsiaTheme="minorEastAsia"/>
                <w:color w:val="000000"/>
                <w:kern w:val="0"/>
                <w:szCs w:val="21"/>
              </w:rPr>
              <w:t>预算执行情况</w:t>
            </w:r>
            <w:r>
              <w:rPr>
                <w:rFonts w:eastAsiaTheme="minorEastAsia"/>
                <w:color w:val="000000"/>
                <w:kern w:val="0"/>
                <w:szCs w:val="21"/>
              </w:rPr>
              <w:t>(</w:t>
            </w:r>
            <w:r>
              <w:rPr>
                <w:rFonts w:hAnsiTheme="minorEastAsia" w:eastAsiaTheme="minorEastAsia"/>
                <w:color w:val="000000"/>
                <w:kern w:val="0"/>
                <w:szCs w:val="21"/>
              </w:rPr>
              <w:t>万元</w:t>
            </w:r>
            <w:r>
              <w:rPr>
                <w:rFonts w:eastAsiaTheme="minorEastAsia"/>
                <w:color w:val="000000"/>
                <w:kern w:val="0"/>
                <w:szCs w:val="21"/>
              </w:rPr>
              <w:t>)</w:t>
            </w:r>
          </w:p>
        </w:tc>
        <w:tc>
          <w:tcPr>
            <w:tcW w:w="193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Theme="minorEastAsia"/>
                <w:color w:val="000000"/>
                <w:szCs w:val="21"/>
              </w:rPr>
            </w:pPr>
            <w:r>
              <w:rPr>
                <w:rFonts w:hAnsiTheme="minorEastAsia" w:eastAsiaTheme="minorEastAsia"/>
                <w:color w:val="000000"/>
                <w:kern w:val="0"/>
                <w:szCs w:val="21"/>
              </w:rPr>
              <w:t>预算数</w:t>
            </w:r>
            <w:r>
              <w:rPr>
                <w:rFonts w:eastAsiaTheme="minorEastAsia"/>
                <w:color w:val="000000"/>
                <w:kern w:val="0"/>
                <w:szCs w:val="21"/>
              </w:rPr>
              <w:t>:</w:t>
            </w:r>
          </w:p>
        </w:tc>
        <w:tc>
          <w:tcPr>
            <w:tcW w:w="18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Theme="minorEastAsia"/>
                <w:color w:val="000000"/>
                <w:szCs w:val="21"/>
              </w:rPr>
            </w:pPr>
            <w:r>
              <w:rPr>
                <w:rFonts w:eastAsiaTheme="minorEastAsia"/>
                <w:color w:val="000000"/>
                <w:szCs w:val="21"/>
              </w:rPr>
              <w:t>396.36</w:t>
            </w:r>
            <w:r>
              <w:rPr>
                <w:rFonts w:hAnsiTheme="minorEastAsia" w:eastAsiaTheme="minorEastAsia"/>
                <w:color w:val="000000"/>
                <w:szCs w:val="21"/>
              </w:rPr>
              <w:t>万元</w:t>
            </w:r>
          </w:p>
        </w:tc>
        <w:tc>
          <w:tcPr>
            <w:tcW w:w="2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Theme="minorEastAsia"/>
                <w:color w:val="000000"/>
                <w:szCs w:val="21"/>
              </w:rPr>
            </w:pPr>
            <w:r>
              <w:rPr>
                <w:rFonts w:hAnsiTheme="minorEastAsia" w:eastAsiaTheme="minorEastAsia"/>
                <w:color w:val="000000"/>
                <w:kern w:val="0"/>
                <w:szCs w:val="21"/>
              </w:rPr>
              <w:t>执行数</w:t>
            </w:r>
            <w:r>
              <w:rPr>
                <w:rFonts w:eastAsiaTheme="minorEastAsia"/>
                <w:color w:val="000000"/>
                <w:kern w:val="0"/>
                <w:szCs w:val="21"/>
              </w:rPr>
              <w:t>:</w:t>
            </w:r>
          </w:p>
        </w:tc>
        <w:tc>
          <w:tcPr>
            <w:tcW w:w="22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Theme="minorEastAsia"/>
                <w:color w:val="000000"/>
                <w:szCs w:val="21"/>
              </w:rPr>
            </w:pPr>
            <w:r>
              <w:rPr>
                <w:rFonts w:eastAsiaTheme="minorEastAsia"/>
                <w:color w:val="000000"/>
                <w:szCs w:val="21"/>
              </w:rPr>
              <w:t>396.36</w:t>
            </w:r>
            <w:r>
              <w:rPr>
                <w:rFonts w:hAnsiTheme="minorEastAsia" w:eastAsiaTheme="minorEastAsia"/>
                <w:color w:val="000000"/>
                <w:szCs w:val="21"/>
              </w:rPr>
              <w:t>万元</w:t>
            </w:r>
          </w:p>
        </w:tc>
      </w:tr>
      <w:tr>
        <w:tblPrEx>
          <w:tblCellMar>
            <w:top w:w="0" w:type="dxa"/>
            <w:left w:w="0" w:type="dxa"/>
            <w:bottom w:w="0" w:type="dxa"/>
            <w:right w:w="0" w:type="dxa"/>
          </w:tblCellMar>
        </w:tblPrEx>
        <w:trPr>
          <w:trHeight w:val="336"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Theme="minorEastAsia"/>
                <w:color w:val="000000"/>
                <w:szCs w:val="21"/>
              </w:rPr>
            </w:pPr>
          </w:p>
        </w:tc>
        <w:tc>
          <w:tcPr>
            <w:tcW w:w="193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Theme="minorEastAsia"/>
                <w:color w:val="000000"/>
                <w:szCs w:val="21"/>
              </w:rPr>
            </w:pPr>
            <w:r>
              <w:rPr>
                <w:rFonts w:hAnsiTheme="minorEastAsia" w:eastAsiaTheme="minorEastAsia"/>
                <w:color w:val="000000"/>
                <w:kern w:val="0"/>
                <w:szCs w:val="21"/>
              </w:rPr>
              <w:t>其中</w:t>
            </w:r>
            <w:r>
              <w:rPr>
                <w:rFonts w:eastAsiaTheme="minorEastAsia"/>
                <w:color w:val="000000"/>
                <w:kern w:val="0"/>
                <w:szCs w:val="21"/>
              </w:rPr>
              <w:t>-</w:t>
            </w:r>
            <w:r>
              <w:rPr>
                <w:rFonts w:hAnsiTheme="minorEastAsia" w:eastAsiaTheme="minorEastAsia"/>
                <w:color w:val="000000"/>
                <w:kern w:val="0"/>
                <w:szCs w:val="21"/>
              </w:rPr>
              <w:t>财政拨款</w:t>
            </w:r>
            <w:r>
              <w:rPr>
                <w:rFonts w:eastAsiaTheme="minorEastAsia"/>
                <w:color w:val="000000"/>
                <w:kern w:val="0"/>
                <w:szCs w:val="21"/>
              </w:rPr>
              <w:t>:</w:t>
            </w:r>
          </w:p>
        </w:tc>
        <w:tc>
          <w:tcPr>
            <w:tcW w:w="18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Theme="minorEastAsia"/>
                <w:color w:val="000000"/>
                <w:szCs w:val="21"/>
              </w:rPr>
            </w:pPr>
            <w:r>
              <w:rPr>
                <w:rFonts w:eastAsiaTheme="minorEastAsia"/>
                <w:color w:val="000000"/>
                <w:szCs w:val="21"/>
              </w:rPr>
              <w:t>396.36</w:t>
            </w:r>
            <w:r>
              <w:rPr>
                <w:rFonts w:hAnsiTheme="minorEastAsia" w:eastAsiaTheme="minorEastAsia"/>
                <w:color w:val="000000"/>
                <w:szCs w:val="21"/>
              </w:rPr>
              <w:t>万元</w:t>
            </w:r>
          </w:p>
        </w:tc>
        <w:tc>
          <w:tcPr>
            <w:tcW w:w="2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Theme="minorEastAsia"/>
                <w:color w:val="000000"/>
                <w:szCs w:val="21"/>
              </w:rPr>
            </w:pPr>
            <w:r>
              <w:rPr>
                <w:rFonts w:hAnsiTheme="minorEastAsia" w:eastAsiaTheme="minorEastAsia"/>
                <w:color w:val="000000"/>
                <w:kern w:val="0"/>
                <w:szCs w:val="21"/>
              </w:rPr>
              <w:t>其中</w:t>
            </w:r>
            <w:r>
              <w:rPr>
                <w:rFonts w:eastAsiaTheme="minorEastAsia"/>
                <w:color w:val="000000"/>
                <w:kern w:val="0"/>
                <w:szCs w:val="21"/>
              </w:rPr>
              <w:t>-</w:t>
            </w:r>
            <w:r>
              <w:rPr>
                <w:rFonts w:hAnsiTheme="minorEastAsia" w:eastAsiaTheme="minorEastAsia"/>
                <w:color w:val="000000"/>
                <w:kern w:val="0"/>
                <w:szCs w:val="21"/>
              </w:rPr>
              <w:t>财政拨款</w:t>
            </w:r>
            <w:r>
              <w:rPr>
                <w:rFonts w:eastAsiaTheme="minorEastAsia"/>
                <w:color w:val="000000"/>
                <w:kern w:val="0"/>
                <w:szCs w:val="21"/>
              </w:rPr>
              <w:t>:</w:t>
            </w:r>
          </w:p>
        </w:tc>
        <w:tc>
          <w:tcPr>
            <w:tcW w:w="22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Theme="minorEastAsia"/>
                <w:color w:val="000000"/>
                <w:szCs w:val="21"/>
              </w:rPr>
            </w:pPr>
            <w:r>
              <w:rPr>
                <w:rFonts w:eastAsiaTheme="minorEastAsia"/>
                <w:color w:val="000000"/>
                <w:szCs w:val="21"/>
              </w:rPr>
              <w:t>396.36</w:t>
            </w:r>
            <w:r>
              <w:rPr>
                <w:rFonts w:hAnsiTheme="minorEastAsia" w:eastAsiaTheme="minorEastAsia"/>
                <w:color w:val="000000"/>
                <w:szCs w:val="21"/>
              </w:rPr>
              <w:t>万元</w:t>
            </w:r>
          </w:p>
        </w:tc>
      </w:tr>
      <w:tr>
        <w:tblPrEx>
          <w:tblCellMar>
            <w:top w:w="0" w:type="dxa"/>
            <w:left w:w="0" w:type="dxa"/>
            <w:bottom w:w="0" w:type="dxa"/>
            <w:right w:w="0" w:type="dxa"/>
          </w:tblCellMar>
        </w:tblPrEx>
        <w:trPr>
          <w:trHeight w:val="933"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Theme="minorEastAsia"/>
                <w:color w:val="000000"/>
                <w:szCs w:val="21"/>
              </w:rPr>
            </w:pPr>
          </w:p>
        </w:tc>
        <w:tc>
          <w:tcPr>
            <w:tcW w:w="193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Theme="minorEastAsia"/>
                <w:color w:val="000000"/>
                <w:szCs w:val="21"/>
              </w:rPr>
            </w:pPr>
            <w:r>
              <w:rPr>
                <w:rFonts w:hAnsiTheme="minorEastAsia" w:eastAsiaTheme="minorEastAsia"/>
                <w:color w:val="000000"/>
                <w:kern w:val="0"/>
                <w:szCs w:val="21"/>
              </w:rPr>
              <w:t>其它资金</w:t>
            </w:r>
            <w:r>
              <w:rPr>
                <w:rFonts w:eastAsiaTheme="minorEastAsia"/>
                <w:color w:val="000000"/>
                <w:kern w:val="0"/>
                <w:szCs w:val="21"/>
              </w:rPr>
              <w:t>:</w:t>
            </w:r>
          </w:p>
        </w:tc>
        <w:tc>
          <w:tcPr>
            <w:tcW w:w="18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Theme="minorEastAsia"/>
                <w:color w:val="000000"/>
                <w:szCs w:val="21"/>
              </w:rPr>
            </w:pPr>
          </w:p>
        </w:tc>
        <w:tc>
          <w:tcPr>
            <w:tcW w:w="2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Theme="minorEastAsia"/>
                <w:color w:val="000000"/>
                <w:szCs w:val="21"/>
              </w:rPr>
            </w:pPr>
            <w:r>
              <w:rPr>
                <w:rFonts w:hAnsiTheme="minorEastAsia" w:eastAsiaTheme="minorEastAsia"/>
                <w:color w:val="000000"/>
                <w:kern w:val="0"/>
                <w:szCs w:val="21"/>
              </w:rPr>
              <w:t>其它资金</w:t>
            </w:r>
            <w:r>
              <w:rPr>
                <w:rFonts w:eastAsiaTheme="minorEastAsia"/>
                <w:color w:val="000000"/>
                <w:kern w:val="0"/>
                <w:szCs w:val="21"/>
              </w:rPr>
              <w:t>:</w:t>
            </w:r>
          </w:p>
        </w:tc>
        <w:tc>
          <w:tcPr>
            <w:tcW w:w="22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Theme="minorEastAsia"/>
                <w:color w:val="000000"/>
                <w:szCs w:val="21"/>
              </w:rPr>
            </w:pPr>
          </w:p>
        </w:tc>
      </w:tr>
      <w:tr>
        <w:tblPrEx>
          <w:tblCellMar>
            <w:top w:w="0" w:type="dxa"/>
            <w:left w:w="0" w:type="dxa"/>
            <w:bottom w:w="0" w:type="dxa"/>
            <w:right w:w="0" w:type="dxa"/>
          </w:tblCellMar>
        </w:tblPrEx>
        <w:trPr>
          <w:trHeight w:val="336" w:hRule="atLeast"/>
          <w:jc w:val="center"/>
        </w:trPr>
        <w:tc>
          <w:tcPr>
            <w:tcW w:w="58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Theme="minorEastAsia"/>
                <w:color w:val="000000"/>
                <w:szCs w:val="21"/>
              </w:rPr>
            </w:pPr>
            <w:r>
              <w:rPr>
                <w:rFonts w:hAnsiTheme="minorEastAsia" w:eastAsiaTheme="minorEastAsia"/>
                <w:color w:val="000000"/>
                <w:kern w:val="0"/>
                <w:szCs w:val="21"/>
              </w:rPr>
              <w:t>年度目标完成情况</w:t>
            </w:r>
          </w:p>
        </w:tc>
        <w:tc>
          <w:tcPr>
            <w:tcW w:w="379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Theme="minorEastAsia"/>
                <w:color w:val="000000"/>
                <w:szCs w:val="21"/>
              </w:rPr>
            </w:pPr>
            <w:r>
              <w:rPr>
                <w:rFonts w:hAnsiTheme="minorEastAsia" w:eastAsiaTheme="minorEastAsia"/>
                <w:color w:val="000000"/>
                <w:kern w:val="0"/>
                <w:szCs w:val="21"/>
              </w:rPr>
              <w:t>预期目标</w:t>
            </w:r>
          </w:p>
        </w:tc>
        <w:tc>
          <w:tcPr>
            <w:tcW w:w="471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Theme="minorEastAsia"/>
                <w:color w:val="000000"/>
                <w:szCs w:val="21"/>
              </w:rPr>
            </w:pPr>
            <w:r>
              <w:rPr>
                <w:rFonts w:hAnsiTheme="minorEastAsia" w:eastAsiaTheme="minorEastAsia"/>
                <w:color w:val="000000"/>
                <w:kern w:val="0"/>
                <w:szCs w:val="21"/>
              </w:rPr>
              <w:t>实际完成目标</w:t>
            </w:r>
          </w:p>
        </w:tc>
      </w:tr>
      <w:tr>
        <w:tblPrEx>
          <w:tblCellMar>
            <w:top w:w="0" w:type="dxa"/>
            <w:left w:w="0" w:type="dxa"/>
            <w:bottom w:w="0" w:type="dxa"/>
            <w:right w:w="0" w:type="dxa"/>
          </w:tblCellMar>
        </w:tblPrEx>
        <w:trPr>
          <w:trHeight w:val="1778"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Theme="minorEastAsia"/>
                <w:color w:val="000000"/>
                <w:szCs w:val="21"/>
              </w:rPr>
            </w:pPr>
          </w:p>
        </w:tc>
        <w:tc>
          <w:tcPr>
            <w:tcW w:w="379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eastAsiaTheme="minorEastAsia"/>
                <w:szCs w:val="21"/>
              </w:rPr>
            </w:pPr>
            <w:r>
              <w:rPr>
                <w:rFonts w:hAnsiTheme="minorEastAsia" w:eastAsiaTheme="minorEastAsia"/>
                <w:szCs w:val="21"/>
              </w:rPr>
              <w:t>为相关部门审批项目预算投资招标</w:t>
            </w:r>
            <w:r>
              <w:rPr>
                <w:rFonts w:eastAsiaTheme="minorEastAsia"/>
                <w:szCs w:val="21"/>
              </w:rPr>
              <w:t>(</w:t>
            </w:r>
            <w:r>
              <w:rPr>
                <w:rFonts w:hAnsiTheme="minorEastAsia" w:eastAsiaTheme="minorEastAsia"/>
                <w:szCs w:val="21"/>
              </w:rPr>
              <w:t>比选</w:t>
            </w:r>
            <w:r>
              <w:rPr>
                <w:rFonts w:eastAsiaTheme="minorEastAsia"/>
                <w:szCs w:val="21"/>
              </w:rPr>
              <w:t>)</w:t>
            </w:r>
            <w:r>
              <w:rPr>
                <w:rFonts w:hAnsiTheme="minorEastAsia" w:eastAsiaTheme="minorEastAsia"/>
                <w:szCs w:val="21"/>
              </w:rPr>
              <w:t>提供了依据，为政府投资节约资金。</w:t>
            </w:r>
          </w:p>
          <w:p>
            <w:pPr>
              <w:widowControl/>
              <w:jc w:val="center"/>
              <w:textAlignment w:val="center"/>
              <w:rPr>
                <w:rFonts w:eastAsiaTheme="minorEastAsia"/>
                <w:color w:val="000000"/>
                <w:szCs w:val="21"/>
              </w:rPr>
            </w:pPr>
          </w:p>
        </w:tc>
        <w:tc>
          <w:tcPr>
            <w:tcW w:w="471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eastAsiaTheme="minorEastAsia"/>
                <w:szCs w:val="21"/>
              </w:rPr>
            </w:pPr>
            <w:r>
              <w:rPr>
                <w:rFonts w:hAnsiTheme="minorEastAsia" w:eastAsiaTheme="minorEastAsia"/>
                <w:szCs w:val="21"/>
              </w:rPr>
              <w:t>为相关部门审批项目预算投资招标</w:t>
            </w:r>
            <w:r>
              <w:rPr>
                <w:rFonts w:eastAsiaTheme="minorEastAsia"/>
                <w:szCs w:val="21"/>
              </w:rPr>
              <w:t>(</w:t>
            </w:r>
            <w:r>
              <w:rPr>
                <w:rFonts w:hAnsiTheme="minorEastAsia" w:eastAsiaTheme="minorEastAsia"/>
                <w:szCs w:val="21"/>
              </w:rPr>
              <w:t>比选</w:t>
            </w:r>
            <w:r>
              <w:rPr>
                <w:rFonts w:eastAsiaTheme="minorEastAsia"/>
                <w:szCs w:val="21"/>
              </w:rPr>
              <w:t>)</w:t>
            </w:r>
            <w:r>
              <w:rPr>
                <w:rFonts w:hAnsiTheme="minorEastAsia" w:eastAsiaTheme="minorEastAsia"/>
                <w:szCs w:val="21"/>
              </w:rPr>
              <w:t>提供了依据，为政府投资节约资金。</w:t>
            </w:r>
          </w:p>
          <w:p>
            <w:pPr>
              <w:widowControl/>
              <w:jc w:val="center"/>
              <w:textAlignment w:val="center"/>
              <w:rPr>
                <w:rFonts w:eastAsiaTheme="minorEastAsia"/>
                <w:color w:val="000000"/>
                <w:szCs w:val="21"/>
              </w:rPr>
            </w:pPr>
          </w:p>
        </w:tc>
      </w:tr>
      <w:tr>
        <w:tblPrEx>
          <w:tblCellMar>
            <w:top w:w="0" w:type="dxa"/>
            <w:left w:w="0" w:type="dxa"/>
            <w:bottom w:w="0" w:type="dxa"/>
            <w:right w:w="0" w:type="dxa"/>
          </w:tblCellMar>
        </w:tblPrEx>
        <w:trPr>
          <w:trHeight w:val="1064" w:hRule="atLeast"/>
          <w:jc w:val="center"/>
        </w:trPr>
        <w:tc>
          <w:tcPr>
            <w:tcW w:w="58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eastAsiaTheme="minorEastAsia"/>
                <w:color w:val="000000"/>
                <w:szCs w:val="21"/>
              </w:rPr>
            </w:pPr>
            <w:r>
              <w:rPr>
                <w:rFonts w:hAnsiTheme="minorEastAsia" w:eastAsiaTheme="minorEastAsia"/>
                <w:color w:val="000000"/>
                <w:szCs w:val="21"/>
              </w:rPr>
              <w:t>绩效指标完成情况</w:t>
            </w:r>
          </w:p>
        </w:tc>
        <w:tc>
          <w:tcPr>
            <w:tcW w:w="10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Theme="minorEastAsia"/>
                <w:color w:val="000000"/>
                <w:szCs w:val="21"/>
              </w:rPr>
            </w:pPr>
            <w:r>
              <w:rPr>
                <w:rFonts w:hAnsiTheme="minorEastAsia" w:eastAsiaTheme="minorEastAsia"/>
                <w:color w:val="000000"/>
                <w:kern w:val="0"/>
                <w:szCs w:val="21"/>
              </w:rPr>
              <w:t>一级指标</w:t>
            </w:r>
          </w:p>
        </w:tc>
        <w:tc>
          <w:tcPr>
            <w:tcW w:w="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Theme="minorEastAsia"/>
                <w:color w:val="000000"/>
                <w:szCs w:val="21"/>
              </w:rPr>
            </w:pPr>
            <w:r>
              <w:rPr>
                <w:rFonts w:hAnsiTheme="minorEastAsia" w:eastAsiaTheme="minorEastAsia"/>
                <w:color w:val="000000"/>
                <w:kern w:val="0"/>
                <w:szCs w:val="21"/>
              </w:rPr>
              <w:t>二级指标</w:t>
            </w:r>
          </w:p>
        </w:tc>
        <w:tc>
          <w:tcPr>
            <w:tcW w:w="18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Theme="minorEastAsia"/>
                <w:color w:val="000000"/>
                <w:szCs w:val="21"/>
              </w:rPr>
            </w:pPr>
            <w:r>
              <w:rPr>
                <w:rFonts w:hAnsiTheme="minorEastAsia" w:eastAsiaTheme="minorEastAsia"/>
                <w:color w:val="000000"/>
                <w:kern w:val="0"/>
                <w:szCs w:val="21"/>
              </w:rPr>
              <w:t>三级指标</w:t>
            </w:r>
          </w:p>
        </w:tc>
        <w:tc>
          <w:tcPr>
            <w:tcW w:w="2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Theme="minorEastAsia"/>
                <w:color w:val="000000"/>
                <w:szCs w:val="21"/>
              </w:rPr>
            </w:pPr>
            <w:r>
              <w:rPr>
                <w:rFonts w:hAnsiTheme="minorEastAsia" w:eastAsiaTheme="minorEastAsia"/>
                <w:color w:val="000000"/>
                <w:kern w:val="0"/>
                <w:szCs w:val="21"/>
              </w:rPr>
              <w:t>预期指标值</w:t>
            </w:r>
            <w:r>
              <w:rPr>
                <w:rFonts w:eastAsiaTheme="minorEastAsia"/>
                <w:color w:val="000000"/>
                <w:kern w:val="0"/>
                <w:szCs w:val="21"/>
              </w:rPr>
              <w:t>(</w:t>
            </w:r>
            <w:r>
              <w:rPr>
                <w:rFonts w:hAnsiTheme="minorEastAsia" w:eastAsiaTheme="minorEastAsia"/>
                <w:color w:val="000000"/>
                <w:kern w:val="0"/>
                <w:szCs w:val="21"/>
              </w:rPr>
              <w:t>包含数字及文字描述</w:t>
            </w:r>
            <w:r>
              <w:rPr>
                <w:rFonts w:eastAsiaTheme="minorEastAsia"/>
                <w:color w:val="000000"/>
                <w:kern w:val="0"/>
                <w:szCs w:val="21"/>
              </w:rPr>
              <w:t>)</w:t>
            </w:r>
          </w:p>
        </w:tc>
        <w:tc>
          <w:tcPr>
            <w:tcW w:w="22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Theme="minorEastAsia"/>
                <w:color w:val="000000"/>
                <w:szCs w:val="21"/>
              </w:rPr>
            </w:pPr>
            <w:r>
              <w:rPr>
                <w:rFonts w:hAnsiTheme="minorEastAsia" w:eastAsiaTheme="minorEastAsia"/>
                <w:color w:val="000000"/>
                <w:kern w:val="0"/>
                <w:szCs w:val="21"/>
              </w:rPr>
              <w:t>实际完成指标值</w:t>
            </w:r>
            <w:r>
              <w:rPr>
                <w:rFonts w:eastAsiaTheme="minorEastAsia"/>
                <w:color w:val="000000"/>
                <w:kern w:val="0"/>
                <w:szCs w:val="21"/>
              </w:rPr>
              <w:t>(</w:t>
            </w:r>
            <w:r>
              <w:rPr>
                <w:rFonts w:hAnsiTheme="minorEastAsia" w:eastAsiaTheme="minorEastAsia"/>
                <w:color w:val="000000"/>
                <w:kern w:val="0"/>
                <w:szCs w:val="21"/>
              </w:rPr>
              <w:t>包含数字及文字描述</w:t>
            </w:r>
            <w:r>
              <w:rPr>
                <w:rFonts w:eastAsiaTheme="minorEastAsia"/>
                <w:color w:val="000000"/>
                <w:kern w:val="0"/>
                <w:szCs w:val="21"/>
              </w:rPr>
              <w:t>)</w:t>
            </w:r>
          </w:p>
        </w:tc>
      </w:tr>
      <w:tr>
        <w:tblPrEx>
          <w:tblCellMar>
            <w:top w:w="0" w:type="dxa"/>
            <w:left w:w="0" w:type="dxa"/>
            <w:bottom w:w="0" w:type="dxa"/>
            <w:right w:w="0" w:type="dxa"/>
          </w:tblCellMar>
        </w:tblPrEx>
        <w:trPr>
          <w:trHeight w:val="547" w:hRule="atLeast"/>
          <w:jc w:val="center"/>
        </w:trPr>
        <w:tc>
          <w:tcPr>
            <w:tcW w:w="582"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eastAsiaTheme="minorEastAsia"/>
                <w:color w:val="000000"/>
                <w:szCs w:val="21"/>
              </w:rPr>
            </w:pPr>
          </w:p>
        </w:tc>
        <w:tc>
          <w:tcPr>
            <w:tcW w:w="10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Theme="minorEastAsia"/>
                <w:color w:val="000000"/>
                <w:szCs w:val="21"/>
              </w:rPr>
            </w:pPr>
            <w:r>
              <w:rPr>
                <w:rFonts w:hAnsiTheme="minorEastAsia" w:eastAsiaTheme="minorEastAsia"/>
                <w:color w:val="000000"/>
                <w:kern w:val="0"/>
                <w:szCs w:val="21"/>
              </w:rPr>
              <w:t>项目完成指标</w:t>
            </w:r>
          </w:p>
        </w:tc>
        <w:tc>
          <w:tcPr>
            <w:tcW w:w="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Theme="minorEastAsia"/>
                <w:color w:val="000000"/>
                <w:szCs w:val="21"/>
              </w:rPr>
            </w:pPr>
            <w:r>
              <w:rPr>
                <w:rFonts w:hAnsiTheme="minorEastAsia" w:eastAsiaTheme="minorEastAsia"/>
                <w:color w:val="000000"/>
                <w:szCs w:val="21"/>
              </w:rPr>
              <w:t>数量指标</w:t>
            </w:r>
          </w:p>
        </w:tc>
        <w:tc>
          <w:tcPr>
            <w:tcW w:w="18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Theme="minorEastAsia"/>
                <w:color w:val="000000"/>
                <w:szCs w:val="21"/>
              </w:rPr>
            </w:pPr>
            <w:r>
              <w:rPr>
                <w:rFonts w:hAnsiTheme="minorEastAsia" w:eastAsiaTheme="minorEastAsia"/>
                <w:szCs w:val="21"/>
              </w:rPr>
              <w:t>投资评审项目</w:t>
            </w:r>
          </w:p>
        </w:tc>
        <w:tc>
          <w:tcPr>
            <w:tcW w:w="2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Theme="minorEastAsia"/>
                <w:color w:val="000000"/>
                <w:szCs w:val="21"/>
              </w:rPr>
            </w:pPr>
            <w:r>
              <w:rPr>
                <w:rFonts w:hAnsiTheme="minorEastAsia" w:eastAsiaTheme="minorEastAsia"/>
                <w:color w:val="000000"/>
                <w:szCs w:val="21"/>
              </w:rPr>
              <w:t>≧</w:t>
            </w:r>
            <w:r>
              <w:rPr>
                <w:rFonts w:eastAsiaTheme="minorEastAsia"/>
                <w:color w:val="000000"/>
                <w:szCs w:val="21"/>
              </w:rPr>
              <w:t>100</w:t>
            </w:r>
            <w:r>
              <w:rPr>
                <w:rFonts w:hAnsiTheme="minorEastAsia" w:eastAsiaTheme="minorEastAsia"/>
                <w:color w:val="000000"/>
                <w:szCs w:val="21"/>
              </w:rPr>
              <w:t>个</w:t>
            </w:r>
          </w:p>
        </w:tc>
        <w:tc>
          <w:tcPr>
            <w:tcW w:w="22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Theme="minorEastAsia"/>
                <w:color w:val="000000"/>
                <w:szCs w:val="21"/>
              </w:rPr>
            </w:pPr>
            <w:r>
              <w:rPr>
                <w:rFonts w:eastAsiaTheme="minorEastAsia"/>
                <w:color w:val="000000"/>
                <w:szCs w:val="21"/>
              </w:rPr>
              <w:t>2021</w:t>
            </w:r>
            <w:r>
              <w:rPr>
                <w:rFonts w:hAnsiTheme="minorEastAsia" w:eastAsiaTheme="minorEastAsia"/>
                <w:color w:val="000000"/>
                <w:szCs w:val="21"/>
              </w:rPr>
              <w:t>年共评审项目</w:t>
            </w:r>
            <w:r>
              <w:rPr>
                <w:rFonts w:eastAsiaTheme="minorEastAsia"/>
                <w:color w:val="000000"/>
                <w:szCs w:val="21"/>
              </w:rPr>
              <w:t>149</w:t>
            </w:r>
            <w:r>
              <w:rPr>
                <w:rFonts w:hAnsiTheme="minorEastAsia" w:eastAsiaTheme="minorEastAsia"/>
                <w:color w:val="000000"/>
                <w:szCs w:val="21"/>
              </w:rPr>
              <w:t>个</w:t>
            </w:r>
          </w:p>
        </w:tc>
      </w:tr>
      <w:tr>
        <w:tblPrEx>
          <w:tblCellMar>
            <w:top w:w="0" w:type="dxa"/>
            <w:left w:w="0" w:type="dxa"/>
            <w:bottom w:w="0" w:type="dxa"/>
            <w:right w:w="0" w:type="dxa"/>
          </w:tblCellMar>
        </w:tblPrEx>
        <w:trPr>
          <w:trHeight w:val="528" w:hRule="atLeast"/>
          <w:jc w:val="center"/>
        </w:trPr>
        <w:tc>
          <w:tcPr>
            <w:tcW w:w="582"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eastAsiaTheme="minorEastAsia"/>
                <w:color w:val="000000"/>
                <w:szCs w:val="21"/>
              </w:rPr>
            </w:pPr>
          </w:p>
        </w:tc>
        <w:tc>
          <w:tcPr>
            <w:tcW w:w="10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Theme="minorEastAsia"/>
                <w:color w:val="000000"/>
                <w:szCs w:val="21"/>
              </w:rPr>
            </w:pPr>
            <w:r>
              <w:rPr>
                <w:rFonts w:hAnsiTheme="minorEastAsia" w:eastAsiaTheme="minorEastAsia"/>
                <w:color w:val="000000"/>
                <w:kern w:val="0"/>
                <w:szCs w:val="21"/>
              </w:rPr>
              <w:t>项目完成指标</w:t>
            </w:r>
          </w:p>
        </w:tc>
        <w:tc>
          <w:tcPr>
            <w:tcW w:w="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Theme="minorEastAsia"/>
                <w:color w:val="000000"/>
                <w:szCs w:val="21"/>
              </w:rPr>
            </w:pPr>
            <w:r>
              <w:rPr>
                <w:rFonts w:hAnsiTheme="minorEastAsia" w:eastAsiaTheme="minorEastAsia"/>
                <w:color w:val="000000"/>
                <w:szCs w:val="21"/>
              </w:rPr>
              <w:t>时效指标</w:t>
            </w:r>
          </w:p>
        </w:tc>
        <w:tc>
          <w:tcPr>
            <w:tcW w:w="18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Theme="minorEastAsia"/>
                <w:color w:val="000000"/>
                <w:szCs w:val="21"/>
              </w:rPr>
            </w:pPr>
            <w:r>
              <w:rPr>
                <w:rFonts w:hAnsiTheme="minorEastAsia" w:eastAsiaTheme="minorEastAsia"/>
                <w:color w:val="000000"/>
                <w:szCs w:val="21"/>
              </w:rPr>
              <w:t>评审时间</w:t>
            </w:r>
          </w:p>
        </w:tc>
        <w:tc>
          <w:tcPr>
            <w:tcW w:w="2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Theme="minorEastAsia"/>
                <w:color w:val="000000"/>
                <w:szCs w:val="21"/>
              </w:rPr>
            </w:pPr>
            <w:r>
              <w:rPr>
                <w:rFonts w:eastAsiaTheme="minorEastAsia"/>
                <w:color w:val="000000"/>
                <w:szCs w:val="21"/>
              </w:rPr>
              <w:t>2021</w:t>
            </w:r>
            <w:r>
              <w:rPr>
                <w:rFonts w:hAnsiTheme="minorEastAsia" w:eastAsiaTheme="minorEastAsia"/>
                <w:color w:val="000000"/>
                <w:szCs w:val="21"/>
              </w:rPr>
              <w:t>年全年</w:t>
            </w:r>
          </w:p>
        </w:tc>
        <w:tc>
          <w:tcPr>
            <w:tcW w:w="22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Theme="minorEastAsia"/>
                <w:color w:val="000000"/>
                <w:szCs w:val="21"/>
              </w:rPr>
            </w:pPr>
            <w:r>
              <w:rPr>
                <w:rFonts w:eastAsiaTheme="minorEastAsia"/>
                <w:color w:val="000000"/>
                <w:szCs w:val="21"/>
              </w:rPr>
              <w:t>2021</w:t>
            </w:r>
            <w:r>
              <w:rPr>
                <w:rFonts w:hAnsiTheme="minorEastAsia" w:eastAsiaTheme="minorEastAsia"/>
                <w:color w:val="000000"/>
                <w:szCs w:val="21"/>
              </w:rPr>
              <w:t>年全年</w:t>
            </w:r>
          </w:p>
        </w:tc>
      </w:tr>
      <w:tr>
        <w:tblPrEx>
          <w:tblCellMar>
            <w:top w:w="0" w:type="dxa"/>
            <w:left w:w="0" w:type="dxa"/>
            <w:bottom w:w="0" w:type="dxa"/>
            <w:right w:w="0" w:type="dxa"/>
          </w:tblCellMar>
        </w:tblPrEx>
        <w:trPr>
          <w:trHeight w:val="790" w:hRule="atLeast"/>
          <w:jc w:val="center"/>
        </w:trPr>
        <w:tc>
          <w:tcPr>
            <w:tcW w:w="582"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eastAsiaTheme="minorEastAsia"/>
                <w:color w:val="000000"/>
                <w:szCs w:val="21"/>
              </w:rPr>
            </w:pPr>
          </w:p>
        </w:tc>
        <w:tc>
          <w:tcPr>
            <w:tcW w:w="10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Theme="minorEastAsia"/>
                <w:color w:val="000000"/>
                <w:kern w:val="0"/>
                <w:szCs w:val="21"/>
              </w:rPr>
            </w:pPr>
            <w:r>
              <w:rPr>
                <w:rFonts w:hAnsiTheme="minorEastAsia" w:eastAsiaTheme="minorEastAsia"/>
                <w:color w:val="000000"/>
                <w:kern w:val="0"/>
                <w:szCs w:val="21"/>
              </w:rPr>
              <w:t>项目完成指标</w:t>
            </w:r>
          </w:p>
        </w:tc>
        <w:tc>
          <w:tcPr>
            <w:tcW w:w="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Theme="minorEastAsia"/>
                <w:color w:val="000000"/>
                <w:szCs w:val="21"/>
              </w:rPr>
            </w:pPr>
            <w:r>
              <w:rPr>
                <w:rFonts w:hAnsiTheme="minorEastAsia" w:eastAsiaTheme="minorEastAsia"/>
                <w:color w:val="000000"/>
                <w:szCs w:val="21"/>
              </w:rPr>
              <w:t>成本指标</w:t>
            </w:r>
          </w:p>
        </w:tc>
        <w:tc>
          <w:tcPr>
            <w:tcW w:w="18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Theme="minorEastAsia"/>
                <w:color w:val="000000"/>
                <w:szCs w:val="21"/>
              </w:rPr>
            </w:pPr>
            <w:r>
              <w:rPr>
                <w:rFonts w:hAnsiTheme="minorEastAsia" w:eastAsiaTheme="minorEastAsia"/>
                <w:color w:val="000000"/>
                <w:szCs w:val="21"/>
              </w:rPr>
              <w:t>委托中介机构评审费用</w:t>
            </w:r>
          </w:p>
        </w:tc>
        <w:tc>
          <w:tcPr>
            <w:tcW w:w="2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Theme="minorEastAsia"/>
                <w:color w:val="000000"/>
                <w:szCs w:val="21"/>
              </w:rPr>
            </w:pPr>
            <w:r>
              <w:rPr>
                <w:rFonts w:eastAsiaTheme="minorEastAsia"/>
                <w:color w:val="000000"/>
                <w:szCs w:val="21"/>
              </w:rPr>
              <w:t>396.36</w:t>
            </w:r>
            <w:r>
              <w:rPr>
                <w:rFonts w:hAnsiTheme="minorEastAsia" w:eastAsiaTheme="minorEastAsia"/>
                <w:color w:val="000000"/>
                <w:szCs w:val="21"/>
              </w:rPr>
              <w:t>万元</w:t>
            </w:r>
          </w:p>
        </w:tc>
        <w:tc>
          <w:tcPr>
            <w:tcW w:w="22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Theme="minorEastAsia"/>
                <w:color w:val="000000"/>
                <w:szCs w:val="21"/>
              </w:rPr>
            </w:pPr>
            <w:r>
              <w:rPr>
                <w:rFonts w:hAnsiTheme="minorEastAsia" w:eastAsiaTheme="minorEastAsia"/>
                <w:color w:val="000000"/>
                <w:szCs w:val="21"/>
              </w:rPr>
              <w:t>支付</w:t>
            </w:r>
            <w:r>
              <w:rPr>
                <w:rFonts w:eastAsiaTheme="minorEastAsia"/>
                <w:color w:val="000000"/>
                <w:szCs w:val="21"/>
              </w:rPr>
              <w:t>396.36</w:t>
            </w:r>
            <w:r>
              <w:rPr>
                <w:rFonts w:hAnsiTheme="minorEastAsia" w:eastAsiaTheme="minorEastAsia"/>
                <w:color w:val="000000"/>
                <w:szCs w:val="21"/>
              </w:rPr>
              <w:t>万元</w:t>
            </w:r>
          </w:p>
        </w:tc>
      </w:tr>
      <w:tr>
        <w:tblPrEx>
          <w:tblCellMar>
            <w:top w:w="0" w:type="dxa"/>
            <w:left w:w="0" w:type="dxa"/>
            <w:bottom w:w="0" w:type="dxa"/>
            <w:right w:w="0" w:type="dxa"/>
          </w:tblCellMar>
        </w:tblPrEx>
        <w:trPr>
          <w:trHeight w:val="1925" w:hRule="atLeast"/>
          <w:jc w:val="center"/>
        </w:trPr>
        <w:tc>
          <w:tcPr>
            <w:tcW w:w="582"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eastAsiaTheme="minorEastAsia"/>
                <w:color w:val="000000"/>
                <w:szCs w:val="21"/>
              </w:rPr>
            </w:pPr>
          </w:p>
        </w:tc>
        <w:tc>
          <w:tcPr>
            <w:tcW w:w="10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Theme="minorEastAsia"/>
                <w:color w:val="000000"/>
                <w:szCs w:val="21"/>
              </w:rPr>
            </w:pPr>
            <w:r>
              <w:rPr>
                <w:rFonts w:hAnsiTheme="minorEastAsia" w:eastAsiaTheme="minorEastAsia"/>
                <w:color w:val="000000"/>
                <w:kern w:val="0"/>
                <w:szCs w:val="21"/>
              </w:rPr>
              <w:t>项目完成指标</w:t>
            </w:r>
          </w:p>
        </w:tc>
        <w:tc>
          <w:tcPr>
            <w:tcW w:w="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Theme="minorEastAsia"/>
                <w:color w:val="000000"/>
                <w:szCs w:val="21"/>
              </w:rPr>
            </w:pPr>
            <w:r>
              <w:rPr>
                <w:rFonts w:hAnsiTheme="minorEastAsia" w:eastAsiaTheme="minorEastAsia"/>
                <w:color w:val="000000"/>
                <w:szCs w:val="21"/>
              </w:rPr>
              <w:t>经济效益指标</w:t>
            </w:r>
          </w:p>
        </w:tc>
        <w:tc>
          <w:tcPr>
            <w:tcW w:w="18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Theme="minorEastAsia"/>
                <w:color w:val="000000"/>
                <w:szCs w:val="21"/>
              </w:rPr>
            </w:pPr>
            <w:r>
              <w:rPr>
                <w:rFonts w:hAnsiTheme="minorEastAsia" w:eastAsiaTheme="minorEastAsia"/>
                <w:color w:val="000000"/>
                <w:szCs w:val="21"/>
              </w:rPr>
              <w:t>节约投资资金</w:t>
            </w:r>
          </w:p>
        </w:tc>
        <w:tc>
          <w:tcPr>
            <w:tcW w:w="2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Theme="minorEastAsia"/>
                <w:color w:val="000000"/>
                <w:szCs w:val="21"/>
              </w:rPr>
            </w:pPr>
            <w:r>
              <w:rPr>
                <w:rFonts w:eastAsiaTheme="minorEastAsia"/>
                <w:color w:val="000000"/>
                <w:szCs w:val="21"/>
              </w:rPr>
              <w:t>2021</w:t>
            </w:r>
            <w:r>
              <w:rPr>
                <w:rFonts w:hAnsiTheme="minorEastAsia" w:eastAsiaTheme="minorEastAsia"/>
                <w:color w:val="000000"/>
                <w:szCs w:val="21"/>
              </w:rPr>
              <w:t>年评审项目</w:t>
            </w:r>
            <w:r>
              <w:rPr>
                <w:rFonts w:eastAsiaTheme="minorEastAsia"/>
                <w:color w:val="000000"/>
                <w:szCs w:val="21"/>
              </w:rPr>
              <w:t>149</w:t>
            </w:r>
            <w:r>
              <w:rPr>
                <w:rFonts w:hAnsiTheme="minorEastAsia" w:eastAsiaTheme="minorEastAsia"/>
                <w:color w:val="000000"/>
                <w:szCs w:val="21"/>
              </w:rPr>
              <w:t>个，总送审资金</w:t>
            </w:r>
            <w:r>
              <w:rPr>
                <w:rFonts w:eastAsiaTheme="minorEastAsia"/>
                <w:color w:val="000000"/>
                <w:szCs w:val="21"/>
              </w:rPr>
              <w:t>67765</w:t>
            </w:r>
            <w:r>
              <w:rPr>
                <w:rFonts w:hAnsiTheme="minorEastAsia" w:eastAsiaTheme="minorEastAsia"/>
                <w:color w:val="000000"/>
                <w:szCs w:val="21"/>
              </w:rPr>
              <w:t>万元，审定资金</w:t>
            </w:r>
            <w:r>
              <w:rPr>
                <w:rFonts w:eastAsiaTheme="minorEastAsia"/>
                <w:color w:val="000000"/>
                <w:szCs w:val="21"/>
              </w:rPr>
              <w:t>59670</w:t>
            </w:r>
            <w:r>
              <w:rPr>
                <w:rFonts w:hAnsiTheme="minorEastAsia" w:eastAsiaTheme="minorEastAsia"/>
                <w:color w:val="000000"/>
                <w:szCs w:val="21"/>
              </w:rPr>
              <w:t>万元，审减资金</w:t>
            </w:r>
            <w:r>
              <w:rPr>
                <w:rFonts w:eastAsiaTheme="minorEastAsia"/>
                <w:color w:val="000000"/>
                <w:szCs w:val="21"/>
              </w:rPr>
              <w:t>8095</w:t>
            </w:r>
            <w:r>
              <w:rPr>
                <w:rFonts w:hAnsiTheme="minorEastAsia" w:eastAsiaTheme="minorEastAsia"/>
                <w:color w:val="000000"/>
                <w:szCs w:val="21"/>
              </w:rPr>
              <w:t>万元，综合审减率</w:t>
            </w:r>
            <w:r>
              <w:rPr>
                <w:rFonts w:eastAsiaTheme="minorEastAsia"/>
                <w:color w:val="000000"/>
                <w:szCs w:val="21"/>
              </w:rPr>
              <w:t>9.69%</w:t>
            </w:r>
          </w:p>
        </w:tc>
        <w:tc>
          <w:tcPr>
            <w:tcW w:w="22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Theme="minorEastAsia"/>
                <w:color w:val="000000"/>
                <w:szCs w:val="21"/>
              </w:rPr>
            </w:pPr>
            <w:r>
              <w:rPr>
                <w:rFonts w:eastAsiaTheme="minorEastAsia"/>
                <w:color w:val="000000"/>
                <w:szCs w:val="21"/>
              </w:rPr>
              <w:t>2021</w:t>
            </w:r>
            <w:r>
              <w:rPr>
                <w:rFonts w:hAnsiTheme="minorEastAsia" w:eastAsiaTheme="minorEastAsia"/>
                <w:color w:val="000000"/>
                <w:szCs w:val="21"/>
              </w:rPr>
              <w:t>年评审项目</w:t>
            </w:r>
            <w:r>
              <w:rPr>
                <w:rFonts w:eastAsiaTheme="minorEastAsia"/>
                <w:color w:val="000000"/>
                <w:szCs w:val="21"/>
              </w:rPr>
              <w:t>149</w:t>
            </w:r>
            <w:r>
              <w:rPr>
                <w:rFonts w:hAnsiTheme="minorEastAsia" w:eastAsiaTheme="minorEastAsia"/>
                <w:color w:val="000000"/>
                <w:szCs w:val="21"/>
              </w:rPr>
              <w:t>个，总送审资金</w:t>
            </w:r>
            <w:r>
              <w:rPr>
                <w:rFonts w:eastAsiaTheme="minorEastAsia"/>
                <w:color w:val="000000"/>
                <w:szCs w:val="21"/>
              </w:rPr>
              <w:t>67765</w:t>
            </w:r>
            <w:r>
              <w:rPr>
                <w:rFonts w:hAnsiTheme="minorEastAsia" w:eastAsiaTheme="minorEastAsia"/>
                <w:color w:val="000000"/>
                <w:szCs w:val="21"/>
              </w:rPr>
              <w:t>万元，审定资金</w:t>
            </w:r>
            <w:r>
              <w:rPr>
                <w:rFonts w:eastAsiaTheme="minorEastAsia"/>
                <w:color w:val="000000"/>
                <w:szCs w:val="21"/>
              </w:rPr>
              <w:t>59670</w:t>
            </w:r>
            <w:r>
              <w:rPr>
                <w:rFonts w:hAnsiTheme="minorEastAsia" w:eastAsiaTheme="minorEastAsia"/>
                <w:color w:val="000000"/>
                <w:szCs w:val="21"/>
              </w:rPr>
              <w:t>万元，审减资金</w:t>
            </w:r>
            <w:r>
              <w:rPr>
                <w:rFonts w:eastAsiaTheme="minorEastAsia"/>
                <w:color w:val="000000"/>
                <w:szCs w:val="21"/>
              </w:rPr>
              <w:t>8095</w:t>
            </w:r>
            <w:r>
              <w:rPr>
                <w:rFonts w:hAnsiTheme="minorEastAsia" w:eastAsiaTheme="minorEastAsia"/>
                <w:color w:val="000000"/>
                <w:szCs w:val="21"/>
              </w:rPr>
              <w:t>万元，综合审减率</w:t>
            </w:r>
            <w:r>
              <w:rPr>
                <w:rFonts w:eastAsiaTheme="minorEastAsia"/>
                <w:color w:val="000000"/>
                <w:szCs w:val="21"/>
              </w:rPr>
              <w:t>9.69%%</w:t>
            </w:r>
          </w:p>
        </w:tc>
      </w:tr>
      <w:tr>
        <w:tblPrEx>
          <w:tblCellMar>
            <w:top w:w="0" w:type="dxa"/>
            <w:left w:w="0" w:type="dxa"/>
            <w:bottom w:w="0" w:type="dxa"/>
            <w:right w:w="0" w:type="dxa"/>
          </w:tblCellMar>
        </w:tblPrEx>
        <w:trPr>
          <w:trHeight w:val="1925" w:hRule="atLeast"/>
          <w:jc w:val="center"/>
        </w:trPr>
        <w:tc>
          <w:tcPr>
            <w:tcW w:w="582" w:type="dxa"/>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eastAsiaTheme="minorEastAsia"/>
                <w:color w:val="000000"/>
                <w:szCs w:val="21"/>
              </w:rPr>
            </w:pPr>
          </w:p>
        </w:tc>
        <w:tc>
          <w:tcPr>
            <w:tcW w:w="10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Theme="minorEastAsia"/>
                <w:color w:val="000000"/>
                <w:kern w:val="0"/>
                <w:szCs w:val="21"/>
              </w:rPr>
            </w:pPr>
            <w:r>
              <w:rPr>
                <w:rFonts w:hAnsiTheme="minorEastAsia" w:eastAsiaTheme="minorEastAsia"/>
                <w:color w:val="000000"/>
                <w:kern w:val="0"/>
                <w:sz w:val="18"/>
                <w:szCs w:val="18"/>
              </w:rPr>
              <w:t>满意度指标</w:t>
            </w:r>
          </w:p>
        </w:tc>
        <w:tc>
          <w:tcPr>
            <w:tcW w:w="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Theme="minorEastAsia"/>
                <w:color w:val="000000"/>
                <w:szCs w:val="21"/>
              </w:rPr>
            </w:pPr>
            <w:r>
              <w:rPr>
                <w:rFonts w:hAnsiTheme="minorEastAsia" w:eastAsiaTheme="minorEastAsia"/>
                <w:color w:val="000000"/>
                <w:sz w:val="18"/>
                <w:szCs w:val="18"/>
              </w:rPr>
              <w:t>服务对象满意度</w:t>
            </w:r>
          </w:p>
        </w:tc>
        <w:tc>
          <w:tcPr>
            <w:tcW w:w="18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Theme="minorEastAsia"/>
                <w:color w:val="000000"/>
                <w:szCs w:val="21"/>
              </w:rPr>
            </w:pPr>
            <w:r>
              <w:rPr>
                <w:rFonts w:hAnsiTheme="minorEastAsia" w:eastAsiaTheme="minorEastAsia"/>
                <w:color w:val="000000"/>
                <w:szCs w:val="21"/>
              </w:rPr>
              <w:t>委托评审单位</w:t>
            </w:r>
          </w:p>
        </w:tc>
        <w:tc>
          <w:tcPr>
            <w:tcW w:w="2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Theme="minorEastAsia"/>
                <w:color w:val="000000"/>
                <w:szCs w:val="21"/>
              </w:rPr>
            </w:pPr>
            <w:r>
              <w:rPr>
                <w:rFonts w:hAnsiTheme="minorEastAsia" w:eastAsiaTheme="minorEastAsia"/>
                <w:color w:val="000000"/>
                <w:szCs w:val="21"/>
              </w:rPr>
              <w:t>≧</w:t>
            </w:r>
            <w:r>
              <w:rPr>
                <w:rFonts w:eastAsiaTheme="minorEastAsia"/>
                <w:color w:val="000000"/>
                <w:szCs w:val="21"/>
              </w:rPr>
              <w:t>95%</w:t>
            </w:r>
          </w:p>
        </w:tc>
        <w:tc>
          <w:tcPr>
            <w:tcW w:w="22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Theme="minorEastAsia"/>
                <w:color w:val="000000"/>
                <w:szCs w:val="21"/>
              </w:rPr>
            </w:pPr>
            <w:r>
              <w:rPr>
                <w:rFonts w:hAnsiTheme="minorEastAsia" w:eastAsiaTheme="minorEastAsia"/>
                <w:color w:val="000000"/>
                <w:szCs w:val="21"/>
              </w:rPr>
              <w:t>≧</w:t>
            </w:r>
            <w:r>
              <w:rPr>
                <w:rFonts w:eastAsiaTheme="minorEastAsia"/>
                <w:color w:val="000000"/>
                <w:szCs w:val="21"/>
              </w:rPr>
              <w:t>95%</w:t>
            </w:r>
          </w:p>
        </w:tc>
      </w:tr>
    </w:tbl>
    <w:p>
      <w:pPr>
        <w:spacing w:line="600" w:lineRule="exact"/>
        <w:jc w:val="center"/>
        <w:outlineLvl w:val="0"/>
        <w:rPr>
          <w:rFonts w:ascii="黑体" w:hAnsi="黑体" w:eastAsia="黑体"/>
          <w:sz w:val="44"/>
          <w:szCs w:val="44"/>
        </w:rPr>
      </w:pPr>
    </w:p>
    <w:p>
      <w:pPr>
        <w:spacing w:line="600" w:lineRule="exact"/>
        <w:outlineLvl w:val="0"/>
        <w:rPr>
          <w:rFonts w:ascii="黑体" w:hAnsi="黑体" w:eastAsia="黑体"/>
          <w:sz w:val="44"/>
          <w:szCs w:val="44"/>
        </w:rPr>
      </w:pPr>
    </w:p>
    <w:p>
      <w:pPr>
        <w:spacing w:line="600" w:lineRule="exact"/>
        <w:jc w:val="center"/>
        <w:outlineLvl w:val="0"/>
        <w:rPr>
          <w:rFonts w:eastAsia="仿宋"/>
        </w:rPr>
      </w:pPr>
      <w:bookmarkStart w:id="99" w:name="_Toc13074_WPSOffice_Level1"/>
      <w:r>
        <w:rPr>
          <w:rFonts w:hAnsi="黑体" w:eastAsia="黑体"/>
          <w:sz w:val="44"/>
          <w:szCs w:val="44"/>
        </w:rPr>
        <w:t>第</w:t>
      </w:r>
      <w:r>
        <w:rPr>
          <w:rStyle w:val="25"/>
          <w:rFonts w:hAnsi="黑体" w:eastAsia="黑体"/>
          <w:b w:val="0"/>
        </w:rPr>
        <w:t>五部分</w:t>
      </w:r>
      <w:r>
        <w:rPr>
          <w:rStyle w:val="25"/>
          <w:rFonts w:eastAsia="黑体"/>
          <w:b w:val="0"/>
        </w:rPr>
        <w:t xml:space="preserve"> </w:t>
      </w:r>
      <w:r>
        <w:rPr>
          <w:rStyle w:val="25"/>
          <w:rFonts w:hAnsi="黑体" w:eastAsia="黑体"/>
          <w:b w:val="0"/>
        </w:rPr>
        <w:t>附表</w:t>
      </w:r>
      <w:bookmarkEnd w:id="95"/>
      <w:bookmarkEnd w:id="97"/>
      <w:bookmarkEnd w:id="99"/>
      <w:bookmarkStart w:id="100" w:name="_Toc15396619"/>
    </w:p>
    <w:p>
      <w:pPr>
        <w:spacing w:line="680" w:lineRule="exact"/>
        <w:rPr>
          <w:rFonts w:eastAsia="仿宋_GB2312"/>
          <w:sz w:val="32"/>
          <w:szCs w:val="32"/>
        </w:rPr>
      </w:pPr>
      <w:bookmarkStart w:id="101" w:name="_Toc9324_WPSOffice_Level2"/>
    </w:p>
    <w:p>
      <w:pPr>
        <w:spacing w:line="680" w:lineRule="exact"/>
        <w:rPr>
          <w:rFonts w:eastAsia="仿宋_GB2312"/>
          <w:sz w:val="32"/>
          <w:szCs w:val="32"/>
        </w:rPr>
      </w:pPr>
      <w:r>
        <w:rPr>
          <w:rFonts w:eastAsia="仿宋_GB2312"/>
          <w:sz w:val="32"/>
          <w:szCs w:val="32"/>
        </w:rPr>
        <w:t>一、收入支出决算总表</w:t>
      </w:r>
      <w:bookmarkEnd w:id="100"/>
      <w:bookmarkEnd w:id="101"/>
    </w:p>
    <w:p>
      <w:pPr>
        <w:spacing w:line="680" w:lineRule="exact"/>
        <w:rPr>
          <w:rFonts w:eastAsia="仿宋_GB2312"/>
          <w:sz w:val="32"/>
          <w:szCs w:val="32"/>
        </w:rPr>
      </w:pPr>
      <w:bookmarkStart w:id="102" w:name="_Toc21695_WPSOffice_Level2"/>
      <w:bookmarkStart w:id="103" w:name="_Toc15396620"/>
      <w:r>
        <w:rPr>
          <w:rFonts w:eastAsia="仿宋_GB2312"/>
          <w:sz w:val="32"/>
          <w:szCs w:val="32"/>
        </w:rPr>
        <w:t>二、收入决算表</w:t>
      </w:r>
      <w:bookmarkEnd w:id="102"/>
      <w:bookmarkEnd w:id="103"/>
    </w:p>
    <w:p>
      <w:pPr>
        <w:spacing w:line="680" w:lineRule="exact"/>
        <w:rPr>
          <w:rFonts w:eastAsia="仿宋_GB2312"/>
          <w:sz w:val="32"/>
          <w:szCs w:val="32"/>
        </w:rPr>
      </w:pPr>
      <w:bookmarkStart w:id="104" w:name="_Toc15396621"/>
      <w:bookmarkStart w:id="105" w:name="_Toc23188_WPSOffice_Level2"/>
      <w:r>
        <w:rPr>
          <w:rFonts w:eastAsia="仿宋_GB2312"/>
          <w:sz w:val="32"/>
          <w:szCs w:val="32"/>
        </w:rPr>
        <w:t>三、支出决算表</w:t>
      </w:r>
      <w:bookmarkEnd w:id="104"/>
      <w:bookmarkEnd w:id="105"/>
    </w:p>
    <w:p>
      <w:pPr>
        <w:spacing w:line="680" w:lineRule="exact"/>
        <w:rPr>
          <w:rFonts w:eastAsia="仿宋_GB2312"/>
          <w:sz w:val="32"/>
          <w:szCs w:val="32"/>
        </w:rPr>
      </w:pPr>
      <w:bookmarkStart w:id="106" w:name="_Toc15396622"/>
      <w:bookmarkStart w:id="107" w:name="_Toc12187_WPSOffice_Level2"/>
      <w:r>
        <w:rPr>
          <w:rFonts w:eastAsia="仿宋_GB2312"/>
          <w:sz w:val="32"/>
          <w:szCs w:val="32"/>
        </w:rPr>
        <w:t>四、财政拨款收入支出决算总表</w:t>
      </w:r>
      <w:bookmarkEnd w:id="106"/>
      <w:bookmarkEnd w:id="107"/>
    </w:p>
    <w:p>
      <w:pPr>
        <w:spacing w:line="680" w:lineRule="exact"/>
        <w:rPr>
          <w:rFonts w:eastAsia="仿宋_GB2312"/>
          <w:sz w:val="32"/>
          <w:szCs w:val="32"/>
        </w:rPr>
      </w:pPr>
      <w:bookmarkStart w:id="108" w:name="_Toc15395_WPSOffice_Level2"/>
      <w:bookmarkStart w:id="109" w:name="_Toc15396623"/>
      <w:r>
        <w:rPr>
          <w:rFonts w:eastAsia="仿宋_GB2312"/>
          <w:sz w:val="32"/>
          <w:szCs w:val="32"/>
        </w:rPr>
        <w:t>五、财政拨款支出决算明细表</w:t>
      </w:r>
      <w:bookmarkEnd w:id="108"/>
      <w:bookmarkEnd w:id="109"/>
      <w:bookmarkStart w:id="110" w:name="_Toc15396624"/>
    </w:p>
    <w:p>
      <w:pPr>
        <w:spacing w:line="680" w:lineRule="exact"/>
        <w:rPr>
          <w:rFonts w:eastAsia="仿宋_GB2312"/>
          <w:sz w:val="32"/>
          <w:szCs w:val="32"/>
        </w:rPr>
      </w:pPr>
      <w:bookmarkStart w:id="111" w:name="_Toc30241_WPSOffice_Level2"/>
      <w:r>
        <w:rPr>
          <w:rFonts w:eastAsia="仿宋_GB2312"/>
          <w:sz w:val="32"/>
          <w:szCs w:val="32"/>
        </w:rPr>
        <w:t>六、一般公共预算财政拨款支出决算表</w:t>
      </w:r>
      <w:bookmarkEnd w:id="110"/>
      <w:bookmarkEnd w:id="111"/>
    </w:p>
    <w:p>
      <w:pPr>
        <w:spacing w:line="680" w:lineRule="exact"/>
        <w:rPr>
          <w:rFonts w:eastAsia="仿宋_GB2312"/>
          <w:sz w:val="32"/>
          <w:szCs w:val="32"/>
        </w:rPr>
      </w:pPr>
      <w:bookmarkStart w:id="112" w:name="_Toc15396625"/>
      <w:bookmarkStart w:id="113" w:name="_Toc25108_WPSOffice_Level2"/>
      <w:r>
        <w:rPr>
          <w:rFonts w:eastAsia="仿宋_GB2312"/>
          <w:sz w:val="32"/>
          <w:szCs w:val="32"/>
        </w:rPr>
        <w:t>七、一般公共预算财政拨款支出决算明细表</w:t>
      </w:r>
      <w:bookmarkEnd w:id="112"/>
      <w:bookmarkEnd w:id="113"/>
    </w:p>
    <w:p>
      <w:pPr>
        <w:spacing w:line="680" w:lineRule="exact"/>
        <w:rPr>
          <w:rFonts w:eastAsia="仿宋_GB2312"/>
          <w:sz w:val="32"/>
          <w:szCs w:val="32"/>
        </w:rPr>
      </w:pPr>
      <w:bookmarkStart w:id="114" w:name="_Toc26212_WPSOffice_Level2"/>
      <w:bookmarkStart w:id="115" w:name="_Toc15396626"/>
      <w:r>
        <w:rPr>
          <w:rFonts w:eastAsia="仿宋_GB2312"/>
          <w:sz w:val="32"/>
          <w:szCs w:val="32"/>
        </w:rPr>
        <w:t>八、一般公共预算财政拨款基本支出决算表</w:t>
      </w:r>
      <w:bookmarkEnd w:id="114"/>
      <w:bookmarkEnd w:id="115"/>
    </w:p>
    <w:p>
      <w:pPr>
        <w:spacing w:line="680" w:lineRule="exact"/>
        <w:rPr>
          <w:rFonts w:eastAsia="仿宋_GB2312"/>
          <w:sz w:val="32"/>
          <w:szCs w:val="32"/>
        </w:rPr>
      </w:pPr>
      <w:bookmarkStart w:id="116" w:name="_Toc32553_WPSOffice_Level2"/>
      <w:bookmarkStart w:id="117" w:name="_Toc15396627"/>
      <w:r>
        <w:rPr>
          <w:rFonts w:eastAsia="仿宋_GB2312"/>
          <w:sz w:val="32"/>
          <w:szCs w:val="32"/>
        </w:rPr>
        <w:t>九、一般公共预算财政拨款项目支出决算表</w:t>
      </w:r>
      <w:bookmarkEnd w:id="116"/>
      <w:bookmarkEnd w:id="117"/>
    </w:p>
    <w:p>
      <w:pPr>
        <w:spacing w:line="680" w:lineRule="exact"/>
        <w:rPr>
          <w:rFonts w:eastAsia="仿宋_GB2312"/>
          <w:sz w:val="32"/>
          <w:szCs w:val="32"/>
        </w:rPr>
      </w:pPr>
      <w:bookmarkStart w:id="118" w:name="_Toc15396628"/>
      <w:bookmarkStart w:id="119" w:name="_Toc2354_WPSOffice_Level2"/>
      <w:r>
        <w:rPr>
          <w:rFonts w:eastAsia="仿宋_GB2312"/>
          <w:sz w:val="32"/>
          <w:szCs w:val="32"/>
        </w:rPr>
        <w:t>十、一般公共预算财政拨款“三公”经费支出决算表</w:t>
      </w:r>
      <w:bookmarkEnd w:id="118"/>
      <w:bookmarkEnd w:id="119"/>
    </w:p>
    <w:p>
      <w:pPr>
        <w:spacing w:line="680" w:lineRule="exact"/>
        <w:rPr>
          <w:rFonts w:eastAsia="仿宋_GB2312"/>
          <w:sz w:val="32"/>
          <w:szCs w:val="32"/>
        </w:rPr>
      </w:pPr>
      <w:bookmarkStart w:id="120" w:name="_Toc15396629"/>
      <w:bookmarkStart w:id="121" w:name="_Toc23998_WPSOffice_Level2"/>
      <w:r>
        <w:rPr>
          <w:rFonts w:eastAsia="仿宋_GB2312"/>
          <w:sz w:val="32"/>
          <w:szCs w:val="32"/>
        </w:rPr>
        <w:t>十一、政府性基金预算财政拨款收入支出决算表</w:t>
      </w:r>
      <w:bookmarkEnd w:id="120"/>
      <w:bookmarkEnd w:id="121"/>
    </w:p>
    <w:p>
      <w:pPr>
        <w:spacing w:line="680" w:lineRule="exact"/>
        <w:rPr>
          <w:rFonts w:eastAsia="仿宋_GB2312"/>
          <w:sz w:val="32"/>
          <w:szCs w:val="32"/>
        </w:rPr>
      </w:pPr>
      <w:bookmarkStart w:id="122" w:name="_Toc30995_WPSOffice_Level2"/>
      <w:bookmarkStart w:id="123" w:name="_Toc15396630"/>
      <w:r>
        <w:rPr>
          <w:rFonts w:eastAsia="仿宋_GB2312"/>
          <w:sz w:val="32"/>
          <w:szCs w:val="32"/>
        </w:rPr>
        <w:t>十二、政府性基金预算财政拨款“三公”经费支出决算表</w:t>
      </w:r>
      <w:bookmarkEnd w:id="122"/>
      <w:bookmarkEnd w:id="123"/>
    </w:p>
    <w:p>
      <w:pPr>
        <w:spacing w:line="680" w:lineRule="exact"/>
        <w:rPr>
          <w:rFonts w:eastAsia="仿宋_GB2312"/>
          <w:sz w:val="32"/>
          <w:szCs w:val="32"/>
        </w:rPr>
      </w:pPr>
      <w:bookmarkStart w:id="124" w:name="_Toc15396631"/>
      <w:bookmarkStart w:id="125" w:name="_Toc18774_WPSOffice_Level2"/>
      <w:r>
        <w:rPr>
          <w:rFonts w:eastAsia="仿宋_GB2312"/>
          <w:sz w:val="32"/>
          <w:szCs w:val="32"/>
        </w:rPr>
        <w:t>十三、国有资本经营预算财政拨款收入支出决算表</w:t>
      </w:r>
      <w:bookmarkEnd w:id="124"/>
      <w:bookmarkEnd w:id="125"/>
    </w:p>
    <w:p>
      <w:pPr>
        <w:spacing w:line="680" w:lineRule="exact"/>
        <w:rPr>
          <w:rFonts w:eastAsia="仿宋_GB2312"/>
          <w:sz w:val="32"/>
          <w:szCs w:val="32"/>
        </w:rPr>
      </w:pPr>
      <w:bookmarkStart w:id="126" w:name="_Toc27188_WPSOffice_Level2"/>
      <w:r>
        <w:rPr>
          <w:rFonts w:eastAsia="仿宋_GB2312"/>
          <w:sz w:val="32"/>
          <w:szCs w:val="32"/>
        </w:rPr>
        <w:t>十四、国有资本经营预算财政拨款支出决算表</w:t>
      </w:r>
      <w:bookmarkEnd w:id="126"/>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184E6D9B-DAA1-4A56-843E-2EAAF972F77B}"/>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embedRegular r:id="rId2" w:fontKey="{A245BE02-4905-406F-AAEE-769B605F1C6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65BCD13E-88A6-4908-9D84-9AE36D248BFF}"/>
  </w:font>
  <w:font w:name="仿宋">
    <w:panose1 w:val="02010609060101010101"/>
    <w:charset w:val="86"/>
    <w:family w:val="modern"/>
    <w:pitch w:val="default"/>
    <w:sig w:usb0="800002BF" w:usb1="38CF7CFA" w:usb2="00000016" w:usb3="00000000" w:csb0="00040001" w:csb1="00000000"/>
    <w:embedRegular r:id="rId4" w:fontKey="{820AD052-88E4-4FB1-8AB3-F52C1C2C0120}"/>
  </w:font>
  <w:font w:name="方正小标宋简体">
    <w:panose1 w:val="02000000000000000000"/>
    <w:charset w:val="86"/>
    <w:family w:val="script"/>
    <w:pitch w:val="default"/>
    <w:sig w:usb0="A00002BF" w:usb1="184F6CFA" w:usb2="00000012" w:usb3="00000000" w:csb0="00040001" w:csb1="00000000"/>
    <w:embedRegular r:id="rId5" w:fontKey="{B28A05A2-C2A1-48C9-9931-9D934ED13A91}"/>
  </w:font>
  <w:font w:name="楷体_GB2312">
    <w:panose1 w:val="02010609030101010101"/>
    <w:charset w:val="86"/>
    <w:family w:val="modern"/>
    <w:pitch w:val="default"/>
    <w:sig w:usb0="00000001" w:usb1="080E0000" w:usb2="00000000" w:usb3="00000000" w:csb0="00040000" w:csb1="00000000"/>
    <w:embedRegular r:id="rId6" w:fontKey="{2AE1B93D-E622-4594-8A23-B6D29762ED3F}"/>
  </w:font>
  <w:font w:name="Arial">
    <w:panose1 w:val="020B0604020202020204"/>
    <w:charset w:val="00"/>
    <w:family w:val=""/>
    <w:pitch w:val="default"/>
    <w:sig w:usb0="E0002AFF" w:usb1="C0007843" w:usb2="00000009" w:usb3="00000000" w:csb0="400001FF" w:csb1="FFFF0000"/>
  </w:font>
  <w:font w:name="方正小标宋_GBK">
    <w:panose1 w:val="02000000000000000000"/>
    <w:charset w:val="86"/>
    <w:family w:val="script"/>
    <w:pitch w:val="default"/>
    <w:sig w:usb0="A00002BF" w:usb1="38CF7CFA" w:usb2="00082016" w:usb3="00000000" w:csb0="00040001" w:csb1="00000000"/>
    <w:embedRegular r:id="rId7" w:fontKey="{A7287658-72B3-4EA0-AF2A-4126A030E05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9"/>
          <w:jc w:val="center"/>
        </w:pPr>
        <w:r>
          <w:fldChar w:fldCharType="begin"/>
        </w:r>
        <w:r>
          <w:instrText xml:space="preserve">PAGE   \* MERGEFORMAT</w:instrText>
        </w:r>
        <w:r>
          <w:fldChar w:fldCharType="separate"/>
        </w:r>
        <w:r>
          <w:rPr>
            <w:lang w:val="zh-CN"/>
          </w:rPr>
          <w:t>29</w:t>
        </w:r>
        <w:r>
          <w:rPr>
            <w:lang w:val="zh-CN"/>
          </w:rP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zM4ZTMyMjMxYzZhNWY2Mjk4M2EwODJhOWQ3MTc5NGMifQ=="/>
  </w:docVars>
  <w:rsids>
    <w:rsidRoot w:val="00F1361C"/>
    <w:rsid w:val="000222C6"/>
    <w:rsid w:val="0002549F"/>
    <w:rsid w:val="000468DB"/>
    <w:rsid w:val="0006487A"/>
    <w:rsid w:val="00065F8F"/>
    <w:rsid w:val="00070A43"/>
    <w:rsid w:val="000768F2"/>
    <w:rsid w:val="00081F9C"/>
    <w:rsid w:val="0009184B"/>
    <w:rsid w:val="00094236"/>
    <w:rsid w:val="0009593C"/>
    <w:rsid w:val="00097322"/>
    <w:rsid w:val="000A0251"/>
    <w:rsid w:val="000A6A92"/>
    <w:rsid w:val="000B047F"/>
    <w:rsid w:val="000B0F08"/>
    <w:rsid w:val="000B5923"/>
    <w:rsid w:val="000B5A48"/>
    <w:rsid w:val="000B6FF3"/>
    <w:rsid w:val="000C3467"/>
    <w:rsid w:val="000C3CA6"/>
    <w:rsid w:val="000D1267"/>
    <w:rsid w:val="000D1D50"/>
    <w:rsid w:val="000D5782"/>
    <w:rsid w:val="000E6613"/>
    <w:rsid w:val="000E7119"/>
    <w:rsid w:val="001015CB"/>
    <w:rsid w:val="00103D15"/>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41295"/>
    <w:rsid w:val="00260C38"/>
    <w:rsid w:val="002616C0"/>
    <w:rsid w:val="00265372"/>
    <w:rsid w:val="002662AA"/>
    <w:rsid w:val="00280496"/>
    <w:rsid w:val="00293CA0"/>
    <w:rsid w:val="00294DC9"/>
    <w:rsid w:val="00295495"/>
    <w:rsid w:val="002A31DE"/>
    <w:rsid w:val="002B2613"/>
    <w:rsid w:val="002D6D05"/>
    <w:rsid w:val="002E1BAF"/>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F76F5"/>
    <w:rsid w:val="00406254"/>
    <w:rsid w:val="004223DE"/>
    <w:rsid w:val="00434489"/>
    <w:rsid w:val="00437085"/>
    <w:rsid w:val="00443880"/>
    <w:rsid w:val="004464F4"/>
    <w:rsid w:val="00471401"/>
    <w:rsid w:val="00473F31"/>
    <w:rsid w:val="004810EC"/>
    <w:rsid w:val="0048263A"/>
    <w:rsid w:val="004837A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A7E59"/>
    <w:rsid w:val="005B5C64"/>
    <w:rsid w:val="005C0F6A"/>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2965"/>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12E"/>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C5240"/>
    <w:rsid w:val="009D3447"/>
    <w:rsid w:val="009D4711"/>
    <w:rsid w:val="009E18F6"/>
    <w:rsid w:val="009F1185"/>
    <w:rsid w:val="009F18CD"/>
    <w:rsid w:val="009F2A13"/>
    <w:rsid w:val="009F7527"/>
    <w:rsid w:val="00A04EB0"/>
    <w:rsid w:val="00A05393"/>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1E31"/>
    <w:rsid w:val="00AB64C9"/>
    <w:rsid w:val="00AC3C6A"/>
    <w:rsid w:val="00AC420B"/>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407B"/>
    <w:rsid w:val="00C87FD8"/>
    <w:rsid w:val="00C91381"/>
    <w:rsid w:val="00C91CBB"/>
    <w:rsid w:val="00CB4E70"/>
    <w:rsid w:val="00CC09B6"/>
    <w:rsid w:val="00CC666F"/>
    <w:rsid w:val="00CD1E3F"/>
    <w:rsid w:val="00CE44F6"/>
    <w:rsid w:val="00CE49DA"/>
    <w:rsid w:val="00CE7B61"/>
    <w:rsid w:val="00D00095"/>
    <w:rsid w:val="00D114F0"/>
    <w:rsid w:val="00D20620"/>
    <w:rsid w:val="00D22CD4"/>
    <w:rsid w:val="00D254F7"/>
    <w:rsid w:val="00D26091"/>
    <w:rsid w:val="00D2685C"/>
    <w:rsid w:val="00D34E7C"/>
    <w:rsid w:val="00D35489"/>
    <w:rsid w:val="00D36AFE"/>
    <w:rsid w:val="00D37246"/>
    <w:rsid w:val="00D41E1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74827"/>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50BB"/>
    <w:rsid w:val="00F36D8F"/>
    <w:rsid w:val="00F417B1"/>
    <w:rsid w:val="00F45853"/>
    <w:rsid w:val="00F602DF"/>
    <w:rsid w:val="00F754A1"/>
    <w:rsid w:val="00F81FD9"/>
    <w:rsid w:val="00F841AA"/>
    <w:rsid w:val="00F84A94"/>
    <w:rsid w:val="00F87E96"/>
    <w:rsid w:val="00FA23E8"/>
    <w:rsid w:val="00FC22E2"/>
    <w:rsid w:val="00FD3CC1"/>
    <w:rsid w:val="00FF1E02"/>
    <w:rsid w:val="00FF30B4"/>
    <w:rsid w:val="05E95E35"/>
    <w:rsid w:val="06103DE6"/>
    <w:rsid w:val="063137CB"/>
    <w:rsid w:val="0A2032A3"/>
    <w:rsid w:val="0B8A37D8"/>
    <w:rsid w:val="0CB25A9F"/>
    <w:rsid w:val="0E7C2616"/>
    <w:rsid w:val="10C055FF"/>
    <w:rsid w:val="118107EC"/>
    <w:rsid w:val="11DD6519"/>
    <w:rsid w:val="15EE5937"/>
    <w:rsid w:val="16BB723D"/>
    <w:rsid w:val="16F45547"/>
    <w:rsid w:val="18015F3F"/>
    <w:rsid w:val="1BE8440E"/>
    <w:rsid w:val="1D155CEE"/>
    <w:rsid w:val="1F97248A"/>
    <w:rsid w:val="20F57F95"/>
    <w:rsid w:val="216E5392"/>
    <w:rsid w:val="240371BF"/>
    <w:rsid w:val="250515D2"/>
    <w:rsid w:val="25C741E6"/>
    <w:rsid w:val="26090229"/>
    <w:rsid w:val="27842671"/>
    <w:rsid w:val="29FD04D3"/>
    <w:rsid w:val="2ABE7A3E"/>
    <w:rsid w:val="2EFA178C"/>
    <w:rsid w:val="308F6160"/>
    <w:rsid w:val="30B46D73"/>
    <w:rsid w:val="319F7F4E"/>
    <w:rsid w:val="35945980"/>
    <w:rsid w:val="35C82640"/>
    <w:rsid w:val="39AE70AB"/>
    <w:rsid w:val="3C0C0783"/>
    <w:rsid w:val="3DDF43FD"/>
    <w:rsid w:val="3F9F3A96"/>
    <w:rsid w:val="477E4241"/>
    <w:rsid w:val="493C27E9"/>
    <w:rsid w:val="496F39ED"/>
    <w:rsid w:val="49FF41D3"/>
    <w:rsid w:val="4BE068DB"/>
    <w:rsid w:val="4BF6002B"/>
    <w:rsid w:val="4ECE2238"/>
    <w:rsid w:val="4F610EC3"/>
    <w:rsid w:val="5059039F"/>
    <w:rsid w:val="51DB4B86"/>
    <w:rsid w:val="53D74006"/>
    <w:rsid w:val="55333C3E"/>
    <w:rsid w:val="56E147BB"/>
    <w:rsid w:val="600956C6"/>
    <w:rsid w:val="617D4185"/>
    <w:rsid w:val="64CA39A1"/>
    <w:rsid w:val="6C4A05C8"/>
    <w:rsid w:val="70965BBD"/>
    <w:rsid w:val="72734D90"/>
    <w:rsid w:val="798634ED"/>
    <w:rsid w:val="79E7B28D"/>
    <w:rsid w:val="7CE56D09"/>
    <w:rsid w:val="7D466F15"/>
    <w:rsid w:val="7EE221B9"/>
    <w:rsid w:val="7F9F20EE"/>
    <w:rsid w:val="9E3A10E2"/>
    <w:rsid w:val="F2E1F9D4"/>
    <w:rsid w:val="F788081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99"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unhideWhenUsed/>
    <w:qFormat/>
    <w:uiPriority w:val="99"/>
  </w:style>
  <w:style w:type="paragraph" w:styleId="6">
    <w:name w:val="Body Text"/>
    <w:basedOn w:val="1"/>
    <w:link w:val="22"/>
    <w:qFormat/>
    <w:uiPriority w:val="99"/>
    <w:pPr>
      <w:spacing w:beforeLines="30"/>
    </w:pPr>
    <w:rPr>
      <w:rFonts w:ascii="仿宋_GB2312" w:eastAsia="仿宋_GB2312"/>
      <w:kern w:val="0"/>
      <w:sz w:val="30"/>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8"/>
    <w:semiHidden/>
    <w:unhideWhenUsed/>
    <w:qFormat/>
    <w:uiPriority w:val="99"/>
    <w:rPr>
      <w:sz w:val="18"/>
      <w:szCs w:val="18"/>
    </w:rPr>
  </w:style>
  <w:style w:type="paragraph" w:styleId="9">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Char"/>
    <w:link w:val="10"/>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Char"/>
    <w:link w:val="9"/>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Char"/>
    <w:link w:val="6"/>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Char"/>
    <w:basedOn w:val="14"/>
    <w:link w:val="3"/>
    <w:qFormat/>
    <w:uiPriority w:val="9"/>
    <w:rPr>
      <w:rFonts w:ascii="Times New Roman" w:hAnsi="Times New Roman"/>
      <w:b/>
      <w:bCs/>
      <w:kern w:val="44"/>
      <w:sz w:val="44"/>
      <w:szCs w:val="44"/>
    </w:rPr>
  </w:style>
  <w:style w:type="character" w:customStyle="1" w:styleId="26">
    <w:name w:val="标题 2 Char"/>
    <w:basedOn w:val="14"/>
    <w:link w:val="4"/>
    <w:qFormat/>
    <w:uiPriority w:val="9"/>
    <w:rPr>
      <w:rFonts w:asciiTheme="majorHAnsi" w:hAnsiTheme="majorHAnsi" w:eastAsiaTheme="majorEastAsia" w:cstheme="majorBidi"/>
      <w:b/>
      <w:bCs/>
      <w:kern w:val="2"/>
      <w:sz w:val="32"/>
      <w:szCs w:val="32"/>
    </w:rPr>
  </w:style>
  <w:style w:type="paragraph" w:customStyle="1" w:styleId="27">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8">
    <w:name w:val="批注框文本 Char"/>
    <w:basedOn w:val="14"/>
    <w:link w:val="8"/>
    <w:semiHidden/>
    <w:qFormat/>
    <w:uiPriority w:val="99"/>
    <w:rPr>
      <w:rFonts w:ascii="Times New Roman" w:hAnsi="Times New Roman"/>
      <w:kern w:val="2"/>
      <w:sz w:val="18"/>
      <w:szCs w:val="18"/>
    </w:rPr>
  </w:style>
  <w:style w:type="character" w:customStyle="1" w:styleId="29">
    <w:name w:val="标题 3 Char"/>
    <w:basedOn w:val="14"/>
    <w:link w:val="5"/>
    <w:qFormat/>
    <w:uiPriority w:val="9"/>
    <w:rPr>
      <w:rFonts w:ascii="Times New Roman" w:hAnsi="Times New Roman"/>
      <w:b/>
      <w:bCs/>
      <w:kern w:val="2"/>
      <w:sz w:val="32"/>
      <w:szCs w:val="32"/>
    </w:rPr>
  </w:style>
  <w:style w:type="paragraph" w:customStyle="1" w:styleId="30">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1">
    <w:name w:val="WPSOffice手动目录 1"/>
    <w:qFormat/>
    <w:uiPriority w:val="0"/>
    <w:rPr>
      <w:rFonts w:ascii="Calibri" w:hAnsi="Calibri" w:eastAsia="宋体" w:cs="Times New Roman"/>
      <w:lang w:val="en-US" w:eastAsia="zh-CN" w:bidi="ar-SA"/>
    </w:rPr>
  </w:style>
  <w:style w:type="paragraph" w:customStyle="1" w:styleId="32">
    <w:name w:val="WPSOffice手动目录 2"/>
    <w:qFormat/>
    <w:uiPriority w:val="0"/>
    <w:pPr>
      <w:ind w:left="200" w:leftChars="200"/>
    </w:pPr>
    <w:rPr>
      <w:rFonts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oleObject" Target="file:///E:\2022&#24180;\2021&#24180;&#20915;&#31639;&#20844;&#24320;\&#36130;&#25919;&#23616;\2021&#20915;&#31639;&#20844;&#24320;&#22270;&#3492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2022&#24180;\2021&#24180;&#20915;&#31639;&#20844;&#24320;\&#36130;&#25919;&#23616;\2021&#20915;&#31639;&#20844;&#24320;&#22270;&#3492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2022&#24180;\2021&#24180;&#20915;&#31639;&#20844;&#24320;\&#36130;&#25919;&#23616;\2021&#20915;&#31639;&#20844;&#24320;&#22270;&#34920;.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2022&#24180;\2021&#24180;&#20915;&#31639;&#20844;&#24320;\&#36130;&#25919;&#23616;\2021&#20915;&#31639;&#20844;&#24320;&#22270;&#34920;.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2022&#24180;\2021&#24180;&#20915;&#31639;&#20844;&#24320;\&#36130;&#25919;&#23616;\2021&#20915;&#31639;&#20844;&#24320;&#22270;&#34920;.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2022&#24180;\2021&#24180;&#20915;&#31639;&#20844;&#24320;\&#36130;&#25919;&#23616;\2021&#20915;&#31639;&#20844;&#24320;&#22270;&#34920;.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E:\2022&#24180;\2021&#24180;&#20915;&#31639;&#20844;&#24320;\&#36130;&#25919;&#23616;\2021&#20915;&#31639;&#20844;&#24320;&#22270;&#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t>图1   收入、支出决算总计变动情况</a:t>
            </a:r>
            <a:endParaRPr sz="14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endParaRPr>
          </a:p>
        </c:rich>
      </c:tx>
      <c:layout/>
      <c:overlay val="0"/>
      <c:spPr>
        <a:noFill/>
        <a:ln w="3175">
          <a:noFill/>
        </a:ln>
      </c:spPr>
    </c:title>
    <c:autoTitleDeleted val="0"/>
    <c:plotArea>
      <c:layout/>
      <c:barChart>
        <c:barDir val="col"/>
        <c:grouping val="clustered"/>
        <c:varyColors val="0"/>
        <c:ser>
          <c:idx val="0"/>
          <c:order val="0"/>
          <c:tx>
            <c:strRef>
              <c:f>[2021决算公开图表.xls]Sheet1!$A$58</c:f>
              <c:strCache>
                <c:ptCount val="1"/>
                <c:pt idx="0">
                  <c:v>收入、支出总计</c:v>
                </c:pt>
              </c:strCache>
            </c:strRef>
          </c:tx>
          <c:spPr>
            <a:solidFill>
              <a:srgbClr val="9999FF"/>
            </a:solidFill>
            <a:ln w="12700">
              <a:solidFill>
                <a:srgbClr val="000000">
                  <a:alpha val="100000"/>
                </a:srgbClr>
              </a:solidFill>
              <a:prstDash val="solid"/>
            </a:ln>
            <a:effectLst/>
          </c:spPr>
          <c:invertIfNegative val="0"/>
          <c:dLbls>
            <c:spPr>
              <a:noFill/>
              <a:ln>
                <a:noFill/>
              </a:ln>
              <a:effectLst/>
            </c:spPr>
            <c:txPr>
              <a:bodyPr rot="0" spcFirstLastPara="0" vertOverflow="ellipsis" horzOverflow="overflow" vert="horz" wrap="square" lIns="38100" tIns="19050" rIns="38100" bIns="19050"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[2020决算公开图表.xls]Sheet1!$B$58:$C$58</c:f>
              <c:numCache>
                <c:formatCode>General</c:formatCode>
                <c:ptCount val="2"/>
                <c:pt idx="0">
                  <c:v>2020</c:v>
                </c:pt>
                <c:pt idx="1">
                  <c:v>2021</c:v>
                </c:pt>
              </c:numCache>
            </c:numRef>
          </c:cat>
          <c:val>
            <c:numRef>
              <c:f>[2020决算公开图表.xls]Sheet1!$B$59:$C$59</c:f>
              <c:numCache>
                <c:formatCode>General</c:formatCode>
                <c:ptCount val="2"/>
                <c:pt idx="0">
                  <c:v>1025.94</c:v>
                </c:pt>
                <c:pt idx="1">
                  <c:v>1586.75</c:v>
                </c:pt>
              </c:numCache>
            </c:numRef>
          </c:val>
        </c:ser>
        <c:dLbls>
          <c:showLegendKey val="0"/>
          <c:showVal val="1"/>
          <c:showCatName val="0"/>
          <c:showSerName val="0"/>
          <c:showPercent val="0"/>
          <c:showBubbleSize val="0"/>
        </c:dLbls>
        <c:gapWidth val="150"/>
        <c:axId val="121575296"/>
        <c:axId val="121588736"/>
      </c:barChart>
      <c:catAx>
        <c:axId val="121575296"/>
        <c:scaling>
          <c:orientation val="minMax"/>
        </c:scaling>
        <c:delete val="0"/>
        <c:axPos val="b"/>
        <c:numFmt formatCode="General" sourceLinked="1"/>
        <c:majorTickMark val="in"/>
        <c:minorTickMark val="none"/>
        <c:tickLblPos val="nextTo"/>
        <c:spPr>
          <a:noFill/>
          <a:ln w="3175" cap="flat" cmpd="sng" algn="ctr">
            <a:solidFill>
              <a:srgbClr val="000000"/>
            </a:solidFill>
            <a:prstDash val="solid"/>
            <a:round/>
          </a:ln>
          <a:effectLst/>
        </c:spPr>
        <c:txPr>
          <a:bodyPr rot="-60000000" spcFirstLastPara="0" vertOverflow="ellipsis" horzOverflow="overflow" vert="horz" wrap="square"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crossAx val="121588736"/>
        <c:crosses val="autoZero"/>
        <c:auto val="1"/>
        <c:lblAlgn val="ctr"/>
        <c:lblOffset val="100"/>
        <c:noMultiLvlLbl val="0"/>
      </c:catAx>
      <c:valAx>
        <c:axId val="121588736"/>
        <c:scaling>
          <c:orientation val="minMax"/>
        </c:scaling>
        <c:delete val="0"/>
        <c:axPos val="l"/>
        <c:majorGridlines>
          <c:spPr>
            <a:ln w="3175" cap="flat" cmpd="sng" algn="ctr">
              <a:solidFill>
                <a:srgbClr val="000000">
                  <a:alpha val="100000"/>
                </a:srgbClr>
              </a:solidFill>
              <a:prstDash val="solid"/>
              <a:round/>
            </a:ln>
            <a:effectLst/>
          </c:spPr>
        </c:majorGridlines>
        <c:numFmt formatCode="General" sourceLinked="1"/>
        <c:majorTickMark val="in"/>
        <c:minorTickMark val="none"/>
        <c:tickLblPos val="nextTo"/>
        <c:spPr>
          <a:noFill/>
          <a:ln w="3175" cap="flat" cmpd="sng" algn="ctr">
            <a:solidFill>
              <a:srgbClr val="000000"/>
            </a:solidFill>
            <a:prstDash val="solid"/>
            <a:round/>
          </a:ln>
          <a:effectLst/>
        </c:spPr>
        <c:txPr>
          <a:bodyPr rot="-60000000" spcFirstLastPara="0" vertOverflow="ellipsis" horzOverflow="overflow" vert="horz" wrap="square"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crossAx val="121575296"/>
        <c:crosses val="autoZero"/>
        <c:crossBetween val="between"/>
      </c:valAx>
      <c:spPr>
        <a:solidFill>
          <a:srgbClr val="C0C0C0">
            <a:alpha val="100000"/>
          </a:srgbClr>
        </a:solidFill>
        <a:ln w="12700">
          <a:solidFill>
            <a:srgbClr val="808080">
              <a:alpha val="100000"/>
            </a:srgbClr>
          </a:solidFill>
          <a:prstDash val="solid"/>
        </a:ln>
        <a:effectLst/>
      </c:spPr>
    </c:plotArea>
    <c:legend>
      <c:legendPos val="r"/>
      <c:layout>
        <c:manualLayout>
          <c:xMode val="edge"/>
          <c:yMode val="edge"/>
          <c:x val="0.787681660899654"/>
          <c:y val="0.507626438319509"/>
          <c:w val="0.206228373702422"/>
          <c:h val="0.206315226117206"/>
        </c:manualLayout>
      </c:layout>
      <c:overlay val="0"/>
      <c:spPr>
        <a:solidFill>
          <a:srgbClr val="FFFFFF"/>
        </a:solidFill>
        <a:ln>
          <a:solidFill>
            <a:srgbClr val="000000"/>
          </a:solidFill>
        </a:ln>
        <a:effectLst/>
      </c:spPr>
      <c:txPr>
        <a:bodyPr rot="0" spcFirstLastPara="0" vertOverflow="ellipsis" horzOverflow="overflow" vert="horz" wrap="square"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legend>
    <c:plotVisOnly val="1"/>
    <c:dispBlanksAs val="gap"/>
    <c:showDLblsOverMax val="0"/>
  </c:chart>
  <c:spPr>
    <a:solidFill>
      <a:srgbClr val="FFFFFF"/>
    </a:solidFill>
    <a:ln w="3175" cap="flat" cmpd="sng" algn="ctr">
      <a:solidFill>
        <a:srgbClr val="000000">
          <a:alpha val="100000"/>
        </a:srgbClr>
      </a:solidFill>
      <a:prstDash val="solid"/>
      <a:round/>
    </a:ln>
    <a:effectLst/>
  </c:spPr>
  <c:txPr>
    <a:bodyPr rot="0" spcFirstLastPara="0" vertOverflow="ellipsis" horzOverflow="overflow" vert="horz" wrap="square" anchor="ctr" anchorCtr="1"/>
    <a:lstStyle/>
    <a:p>
      <a:pPr>
        <a:defRPr lang="zh-CN" sz="1200" b="0" i="0" u="none" strike="noStrike">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6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t>图2    收入决算结构图</a:t>
            </a:r>
            <a:endParaRPr sz="16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endParaRPr>
          </a:p>
        </c:rich>
      </c:tx>
      <c:layout/>
      <c:overlay val="0"/>
      <c:spPr>
        <a:noFill/>
        <a:ln w="3175">
          <a:noFill/>
        </a:ln>
      </c:spPr>
    </c:title>
    <c:autoTitleDeleted val="0"/>
    <c:plotArea>
      <c:layout/>
      <c:pieChart>
        <c:varyColors val="1"/>
        <c:ser>
          <c:idx val="0"/>
          <c:order val="0"/>
          <c:spPr>
            <a:solidFill>
              <a:srgbClr val="9999FF"/>
            </a:solidFill>
            <a:ln w="12700">
              <a:solidFill>
                <a:srgbClr val="000000">
                  <a:alpha val="100000"/>
                </a:srgbClr>
              </a:solidFill>
              <a:prstDash val="solid"/>
            </a:ln>
            <a:effectLst/>
          </c:spPr>
          <c:explosion val="0"/>
          <c:dPt>
            <c:idx val="0"/>
            <c:bubble3D val="0"/>
            <c:spPr>
              <a:solidFill>
                <a:srgbClr val="9999FF"/>
              </a:solidFill>
              <a:ln w="12700">
                <a:solidFill>
                  <a:srgbClr val="000000">
                    <a:alpha val="100000"/>
                  </a:srgbClr>
                </a:solidFill>
                <a:prstDash val="solid"/>
              </a:ln>
              <a:effectLst/>
            </c:spPr>
          </c:dPt>
          <c:dPt>
            <c:idx val="1"/>
            <c:bubble3D val="0"/>
            <c:spPr>
              <a:solidFill>
                <a:srgbClr val="993366"/>
              </a:solidFill>
              <a:ln w="12700">
                <a:solidFill>
                  <a:srgbClr val="000000">
                    <a:alpha val="100000"/>
                  </a:srgbClr>
                </a:solidFill>
                <a:prstDash val="solid"/>
              </a:ln>
              <a:effectLst/>
            </c:spPr>
          </c:dPt>
          <c:dPt>
            <c:idx val="2"/>
            <c:bubble3D val="0"/>
            <c:spPr>
              <a:solidFill>
                <a:srgbClr val="FFFFCC"/>
              </a:solidFill>
              <a:ln w="12700">
                <a:solidFill>
                  <a:srgbClr val="000000">
                    <a:alpha val="100000"/>
                  </a:srgbClr>
                </a:solidFill>
                <a:prstDash val="solid"/>
              </a:ln>
              <a:effectLst/>
            </c:spPr>
          </c:dPt>
          <c:dPt>
            <c:idx val="3"/>
            <c:bubble3D val="0"/>
            <c:spPr>
              <a:solidFill>
                <a:srgbClr val="CCFFFF"/>
              </a:solidFill>
              <a:ln w="12700">
                <a:solidFill>
                  <a:srgbClr val="000000">
                    <a:alpha val="100000"/>
                  </a:srgbClr>
                </a:solidFill>
                <a:prstDash val="solid"/>
              </a:ln>
              <a:effectLst/>
            </c:spPr>
          </c:dPt>
          <c:dPt>
            <c:idx val="4"/>
            <c:bubble3D val="0"/>
            <c:spPr>
              <a:solidFill>
                <a:srgbClr val="660066"/>
              </a:solidFill>
              <a:ln w="12700">
                <a:solidFill>
                  <a:srgbClr val="000000">
                    <a:alpha val="100000"/>
                  </a:srgbClr>
                </a:solidFill>
                <a:prstDash val="solid"/>
              </a:ln>
              <a:effectLst/>
            </c:spPr>
          </c:dPt>
          <c:dPt>
            <c:idx val="5"/>
            <c:bubble3D val="0"/>
            <c:spPr>
              <a:solidFill>
                <a:srgbClr val="FF8080"/>
              </a:solidFill>
              <a:ln w="12700">
                <a:solidFill>
                  <a:srgbClr val="000000">
                    <a:alpha val="100000"/>
                  </a:srgbClr>
                </a:solidFill>
                <a:prstDash val="solid"/>
              </a:ln>
              <a:effectLst/>
            </c:spPr>
          </c:dPt>
          <c:dLbls>
            <c:dLbl>
              <c:idx val="0"/>
              <c:layout>
                <c:manualLayout>
                  <c:x val="-0.190744187484142"/>
                  <c:y val="-0.080902099775814"/>
                </c:manualLayout>
              </c:layout>
              <c:tx>
                <c:rich>
                  <a:bodyPr rot="0" spcFirstLastPara="0" vertOverflow="ellipsis" vert="horz" wrap="square" lIns="38100" tIns="19050" rIns="38100" bIns="19050" anchor="ctr" anchorCtr="1"/>
                  <a:lstStyle/>
                  <a:p>
                    <a:pPr algn="ctr" defTabSz="914400">
                      <a:defRPr lang="zh-CN" sz="1000" b="0" i="0" u="none" strike="noStrike" kern="1200" baseline="0">
                        <a:solidFill>
                          <a:srgbClr val="000000">
                            <a:alpha val="100000"/>
                          </a:srgbClr>
                        </a:solidFill>
                        <a:latin typeface="+mn-lt"/>
                        <a:ea typeface="+mn-ea"/>
                        <a:cs typeface="+mn-cs"/>
                      </a:defRPr>
                    </a:pPr>
                    <a:r>
                      <a:rPr lang="en-US" altLang="zh-CN" sz="1200" b="0" i="0" u="none" strike="noStrike" baseline="0">
                        <a:solidFill>
                          <a:srgbClr val="FF0000"/>
                        </a:solidFill>
                        <a:latin typeface="宋体" panose="02010600030101010101" charset="-122"/>
                        <a:ea typeface="宋体" panose="02010600030101010101" charset="-122"/>
                        <a:cs typeface="宋体" panose="02010600030101010101" charset="-122"/>
                      </a:rPr>
                      <a:t>1106.31</a:t>
                    </a:r>
                    <a:r>
                      <a:rPr sz="1200" b="0" i="0" u="none" strike="noStrike" baseline="0">
                        <a:solidFill>
                          <a:srgbClr val="FF0000"/>
                        </a:solidFill>
                        <a:latin typeface="宋体" panose="02010600030101010101" charset="-122"/>
                        <a:ea typeface="宋体" panose="02010600030101010101" charset="-122"/>
                        <a:cs typeface="宋体" panose="02010600030101010101" charset="-122"/>
                      </a:rPr>
                      <a:t>, </a:t>
                    </a:r>
                    <a:r>
                      <a:rPr lang="en-US" altLang="zh-CN" sz="1200" b="0" i="0" u="none" strike="noStrike" baseline="0">
                        <a:solidFill>
                          <a:srgbClr val="FF0000"/>
                        </a:solidFill>
                        <a:latin typeface="宋体" panose="02010600030101010101" charset="-122"/>
                        <a:ea typeface="宋体" panose="02010600030101010101" charset="-122"/>
                        <a:cs typeface="宋体" panose="02010600030101010101" charset="-122"/>
                      </a:rPr>
                      <a:t>100</a:t>
                    </a:r>
                    <a:r>
                      <a:rPr sz="1200" b="0" i="0" u="none" strike="noStrike" baseline="0">
                        <a:solidFill>
                          <a:srgbClr val="FF0000"/>
                        </a:solidFill>
                        <a:latin typeface="宋体" panose="02010600030101010101" charset="-122"/>
                        <a:ea typeface="宋体" panose="02010600030101010101" charset="-122"/>
                        <a:cs typeface="宋体" panose="02010600030101010101" charset="-122"/>
                      </a:rPr>
                      <a:t>%</a:t>
                    </a:r>
                    <a:endParaRPr sz="1200" b="0" i="0" u="none" strike="noStrike" cap="none" normalizeH="0" baseline="0">
                      <a:solidFill>
                        <a:srgbClr val="000000"/>
                      </a:solidFill>
                      <a:effectLst/>
                      <a:latin typeface="宋体" panose="02010600030101010101" charset="-122"/>
                      <a:ea typeface="宋体" panose="02010600030101010101" charset="-122"/>
                      <a:cs typeface="宋体" panose="02010600030101010101" charset="-122"/>
                    </a:endParaRPr>
                  </a:p>
                </c:rich>
              </c:tx>
              <c:numFmt formatCode="0%" sourceLinked="0"/>
              <c:spPr>
                <a:noFill/>
                <a:ln>
                  <a:noFill/>
                </a:ln>
                <a:effectLst/>
              </c:spPr>
              <c:txPr>
                <a:bodyPr rot="0" spcFirstLastPara="0" vertOverflow="ellipsis" vert="horz" wrap="square" lIns="38100" tIns="19050" rIns="38100" bIns="19050" anchor="ctr" anchorCtr="1"/>
                <a:lstStyle/>
                <a:p>
                  <a:pPr algn="ctr">
                    <a:defRPr lang="zh-CN" sz="1000" b="0" i="0" u="none" strike="noStrike" kern="1200" baseline="0">
                      <a:solidFill>
                        <a:srgbClr val="000000">
                          <a:alpha val="100000"/>
                        </a:srgbClr>
                      </a:solidFill>
                      <a:latin typeface="+mn-lt"/>
                      <a:ea typeface="+mn-ea"/>
                      <a:cs typeface="+mn-cs"/>
                    </a:defRPr>
                  </a:pPr>
                </a:p>
              </c:txPr>
              <c:dLblPos val="bestFit"/>
              <c:showLegendKey val="1"/>
              <c:showVal val="1"/>
              <c:showCatName val="0"/>
              <c:showSerName val="0"/>
              <c:showPercent val="1"/>
              <c:showBubbleSize val="0"/>
              <c:extLst>
                <c:ext xmlns:c15="http://schemas.microsoft.com/office/drawing/2012/chart" uri="{CE6537A1-D6FC-4f65-9D91-7224C49458BB}">
                  <c15:layout/>
                </c:ext>
              </c:extLst>
            </c:dLbl>
            <c:dLbl>
              <c:idx val="1"/>
              <c:layout/>
              <c:tx>
                <c:rich>
                  <a:bodyPr rot="0" spcFirstLastPara="0" vertOverflow="ellipsis" vert="horz" wrap="square" lIns="38100" tIns="19050" rIns="38100" bIns="19050" anchor="ctr" anchorCtr="1"/>
                  <a:lstStyle/>
                  <a:p>
                    <a:pPr algn="ctr" defTabSz="914400">
                      <a:defRPr lang="zh-CN" sz="1000" b="0" i="0" u="none" strike="noStrike" kern="1200" baseline="0">
                        <a:solidFill>
                          <a:srgbClr val="000000">
                            <a:alpha val="100000"/>
                          </a:srgbClr>
                        </a:solidFill>
                        <a:latin typeface="+mn-lt"/>
                        <a:ea typeface="+mn-ea"/>
                        <a:cs typeface="+mn-cs"/>
                      </a:defRPr>
                    </a:pPr>
                    <a:r>
                      <a:rPr sz="1200" b="0" i="0" u="none" strike="noStrike" baseline="0">
                        <a:solidFill>
                          <a:srgbClr val="FF0000"/>
                        </a:solidFill>
                        <a:latin typeface="宋体" panose="02010600030101010101" charset="-122"/>
                        <a:ea typeface="宋体" panose="02010600030101010101" charset="-122"/>
                        <a:cs typeface="宋体" panose="02010600030101010101" charset="-122"/>
                      </a:rPr>
                      <a:t>27.08, </a:t>
                    </a:r>
                    <a:r>
                      <a:rPr lang="en-US" altLang="zh-CN" sz="1200" b="0" i="0" u="none" strike="noStrike" baseline="0">
                        <a:solidFill>
                          <a:srgbClr val="333333"/>
                        </a:solidFill>
                        <a:latin typeface="Arial" panose="020B0604020202020204" pitchFamily="7" charset="0"/>
                        <a:ea typeface="Arial" panose="020B0604020202020204" pitchFamily="7" charset="0"/>
                        <a:cs typeface="Arial" panose="020B0604020202020204" pitchFamily="7" charset="0"/>
                      </a:rPr>
                      <a:t>2.5</a:t>
                    </a:r>
                    <a:r>
                      <a:rPr sz="1200" b="0" i="0" u="none" strike="noStrike" baseline="0">
                        <a:solidFill>
                          <a:srgbClr val="FF0000"/>
                        </a:solidFill>
                        <a:latin typeface="宋体" panose="02010600030101010101" charset="-122"/>
                        <a:ea typeface="宋体" panose="02010600030101010101" charset="-122"/>
                        <a:cs typeface="宋体" panose="02010600030101010101" charset="-122"/>
                      </a:rPr>
                      <a:t>%</a:t>
                    </a:r>
                    <a:endParaRPr sz="1200" b="0" i="0" u="none" strike="noStrike" cap="none" normalizeH="0" baseline="0">
                      <a:solidFill>
                        <a:srgbClr val="000000"/>
                      </a:solidFill>
                      <a:effectLst/>
                      <a:latin typeface="宋体" panose="02010600030101010101" charset="-122"/>
                      <a:ea typeface="宋体" panose="02010600030101010101" charset="-122"/>
                      <a:cs typeface="宋体" panose="02010600030101010101" charset="-122"/>
                    </a:endParaRPr>
                  </a:p>
                </c:rich>
              </c:tx>
              <c:numFmt formatCode="0%" sourceLinked="0"/>
              <c:spPr>
                <a:noFill/>
                <a:ln>
                  <a:noFill/>
                </a:ln>
                <a:effectLst/>
              </c:spPr>
              <c:txPr>
                <a:bodyPr rot="0" spcFirstLastPara="0" vertOverflow="ellipsis" vert="horz" wrap="square" lIns="38100" tIns="19050" rIns="38100" bIns="19050" anchor="ctr" anchorCtr="1"/>
                <a:lstStyle/>
                <a:p>
                  <a:pPr algn="ctr">
                    <a:defRPr lang="zh-CN" sz="1000" b="0" i="0" u="none" strike="noStrike" kern="1200" baseline="0">
                      <a:solidFill>
                        <a:srgbClr val="000000">
                          <a:alpha val="100000"/>
                        </a:srgbClr>
                      </a:solidFill>
                      <a:latin typeface="+mn-lt"/>
                      <a:ea typeface="+mn-ea"/>
                      <a:cs typeface="+mn-cs"/>
                    </a:defRPr>
                  </a:pPr>
                </a:p>
              </c:txPr>
              <c:dLblPos val="bestFit"/>
              <c:showLegendKey val="1"/>
              <c:showVal val="1"/>
              <c:showCatName val="0"/>
              <c:showSerName val="0"/>
              <c:showPercent val="1"/>
              <c:showBubbleSize val="0"/>
              <c:extLst>
                <c:ext xmlns:c15="http://schemas.microsoft.com/office/drawing/2012/chart" uri="{CE6537A1-D6FC-4f65-9D91-7224C49458BB}"/>
              </c:extLst>
            </c:dLbl>
            <c:numFmt formatCode="0%" sourceLinked="0"/>
            <c:spPr>
              <a:noFill/>
              <a:ln>
                <a:noFill/>
              </a:ln>
              <a:effectLst/>
            </c:spPr>
            <c:txPr>
              <a:bodyPr rot="0" spcFirstLastPara="0" vertOverflow="ellipsis" horzOverflow="overflow" vert="horz" wrap="square" lIns="38100" tIns="19050" rIns="38100" bIns="19050"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dLblPos val="bestFit"/>
            <c:showLegendKey val="1"/>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[2020决算公开图表.xls]Sheet1!$B$3:$B$8</c:f>
              <c:strCache>
                <c:ptCount val="6"/>
                <c:pt idx="0">
                  <c:v>一般公共预算财政拨款收入</c:v>
                </c:pt>
                <c:pt idx="1">
                  <c:v>政府性基金预算财政拨款收入</c:v>
                </c:pt>
                <c:pt idx="2">
                  <c:v>国有资本经营预算财政拨款收入</c:v>
                </c:pt>
                <c:pt idx="3">
                  <c:v>事业收入</c:v>
                </c:pt>
                <c:pt idx="4">
                  <c:v>附属单位上缴收入</c:v>
                </c:pt>
                <c:pt idx="5">
                  <c:v>其他收入</c:v>
                </c:pt>
              </c:strCache>
            </c:strRef>
          </c:cat>
          <c:val>
            <c:numRef>
              <c:f>[2021决算公开图表.xls]Sheet1!$C$3:$C$8</c:f>
              <c:numCache>
                <c:formatCode>General</c:formatCode>
                <c:ptCount val="6"/>
                <c:pt idx="0">
                  <c:v>1106.31</c:v>
                </c:pt>
                <c:pt idx="2">
                  <c:v>0</c:v>
                </c:pt>
                <c:pt idx="3">
                  <c:v>0</c:v>
                </c:pt>
                <c:pt idx="4">
                  <c:v>0</c:v>
                </c:pt>
                <c:pt idx="5">
                  <c:v>0</c:v>
                </c:pt>
              </c:numCache>
            </c:numRef>
          </c:val>
        </c:ser>
        <c:ser>
          <c:idx val="1"/>
          <c:order val="1"/>
          <c:spPr>
            <a:solidFill>
              <a:srgbClr val="993366"/>
            </a:solidFill>
            <a:ln w="12700">
              <a:solidFill>
                <a:srgbClr val="000000"/>
              </a:solidFill>
              <a:prstDash val="solid"/>
            </a:ln>
            <a:effectLst/>
          </c:spPr>
          <c:explosion val="0"/>
          <c:dPt>
            <c:idx val="0"/>
            <c:bubble3D val="0"/>
            <c:spPr>
              <a:solidFill>
                <a:srgbClr val="9999FF"/>
              </a:solidFill>
              <a:ln w="12700">
                <a:solidFill>
                  <a:srgbClr val="000000"/>
                </a:solidFill>
                <a:prstDash val="solid"/>
              </a:ln>
              <a:effectLst/>
            </c:spPr>
          </c:dPt>
          <c:dPt>
            <c:idx val="1"/>
            <c:bubble3D val="0"/>
            <c:spPr>
              <a:solidFill>
                <a:srgbClr val="993366"/>
              </a:solidFill>
              <a:ln w="12700">
                <a:solidFill>
                  <a:srgbClr val="000000"/>
                </a:solidFill>
                <a:prstDash val="solid"/>
              </a:ln>
              <a:effectLst/>
            </c:spPr>
          </c:dPt>
          <c:dPt>
            <c:idx val="2"/>
            <c:bubble3D val="0"/>
            <c:spPr>
              <a:solidFill>
                <a:srgbClr val="FFFFCC"/>
              </a:solidFill>
              <a:ln w="12700">
                <a:solidFill>
                  <a:srgbClr val="000000"/>
                </a:solidFill>
                <a:prstDash val="solid"/>
              </a:ln>
              <a:effectLst/>
            </c:spPr>
          </c:dPt>
          <c:dPt>
            <c:idx val="3"/>
            <c:bubble3D val="0"/>
            <c:spPr>
              <a:solidFill>
                <a:srgbClr val="CCFFFF"/>
              </a:solidFill>
              <a:ln w="12700">
                <a:solidFill>
                  <a:srgbClr val="000000"/>
                </a:solidFill>
                <a:prstDash val="solid"/>
              </a:ln>
              <a:effectLst/>
            </c:spPr>
          </c:dPt>
          <c:dPt>
            <c:idx val="4"/>
            <c:bubble3D val="0"/>
            <c:spPr>
              <a:solidFill>
                <a:srgbClr val="660066"/>
              </a:solidFill>
              <a:ln w="12700">
                <a:solidFill>
                  <a:srgbClr val="000000"/>
                </a:solidFill>
                <a:prstDash val="solid"/>
              </a:ln>
              <a:effectLst/>
            </c:spPr>
          </c:dPt>
          <c:dPt>
            <c:idx val="5"/>
            <c:bubble3D val="0"/>
            <c:spPr>
              <a:solidFill>
                <a:srgbClr val="FF8080"/>
              </a:solidFill>
              <a:ln w="12700">
                <a:solidFill>
                  <a:srgbClr val="000000"/>
                </a:solidFill>
                <a:prstDash val="solid"/>
              </a:ln>
              <a:effectLst/>
            </c:spPr>
          </c:dPt>
          <c:dLbls>
            <c:delete val="1"/>
          </c:dLbls>
          <c:cat>
            <c:strRef>
              <c:f>[2020决算公开图表.xls]Sheet1!$B$3:$B$8</c:f>
              <c:strCache>
                <c:ptCount val="6"/>
                <c:pt idx="0">
                  <c:v>一般公共预算财政拨款收入</c:v>
                </c:pt>
                <c:pt idx="1">
                  <c:v>政府性基金预算财政拨款收入</c:v>
                </c:pt>
                <c:pt idx="2">
                  <c:v>国有资本经营预算财政拨款收入</c:v>
                </c:pt>
                <c:pt idx="3">
                  <c:v>事业收入</c:v>
                </c:pt>
                <c:pt idx="4">
                  <c:v>附属单位上缴收入</c:v>
                </c:pt>
                <c:pt idx="5">
                  <c:v>其他收入</c:v>
                </c:pt>
              </c:strCache>
            </c:strRef>
          </c:cat>
          <c:val>
            <c:numRef>
              <c:f>[2020决算公开图表.xls]Sheet1!$D$3:$D$8</c:f>
              <c:numCache>
                <c:formatCode>0.00%</c:formatCode>
                <c:ptCount val="6"/>
                <c:pt idx="0">
                  <c:v>1</c:v>
                </c:pt>
                <c:pt idx="2" c:formatCode="0%">
                  <c:v>0</c:v>
                </c:pt>
                <c:pt idx="3" c:formatCode="0%">
                  <c:v>0</c:v>
                </c:pt>
                <c:pt idx="4" c:formatCode="0%">
                  <c:v>0</c:v>
                </c:pt>
                <c:pt idx="5" c:formatCode="0%">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6595"/>
          <c:y val="0.23575"/>
          <c:w val="0.3345"/>
          <c:h val="0.664750000000001"/>
        </c:manualLayout>
      </c:layout>
      <c:overlay val="0"/>
      <c:spPr>
        <a:solidFill>
          <a:srgbClr val="FFFFFF"/>
        </a:solidFill>
        <a:ln>
          <a:solidFill>
            <a:srgbClr val="000000"/>
          </a:solidFill>
        </a:ln>
        <a:effectLst/>
      </c:spPr>
      <c:txPr>
        <a:bodyPr rot="0" spcFirstLastPara="0" vertOverflow="ellipsis" horzOverflow="overflow" vert="horz" wrap="square"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chart>
  <c:spPr>
    <a:solidFill>
      <a:srgbClr val="FFFFFF"/>
    </a:solidFill>
    <a:ln w="3175" cap="flat" cmpd="sng" algn="ctr">
      <a:solidFill>
        <a:srgbClr val="000000">
          <a:alpha val="100000"/>
        </a:srgbClr>
      </a:solidFill>
      <a:prstDash val="solid"/>
      <a:round/>
    </a:ln>
    <a:effectLst/>
  </c:spPr>
  <c:txPr>
    <a:bodyPr rot="0" spcFirstLastPara="0" vertOverflow="ellipsis" horzOverflow="overflow" vert="horz" wrap="square" anchor="ctr" anchorCtr="1"/>
    <a:lstStyle/>
    <a:p>
      <a:pPr>
        <a:defRPr lang="zh-CN" sz="1200" b="0" i="0" u="none" strike="noStrike">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t>图3    支出决算结构图</a:t>
            </a:r>
            <a:endParaRPr sz="14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endParaRPr>
          </a:p>
        </c:rich>
      </c:tx>
      <c:layout/>
      <c:overlay val="0"/>
      <c:spPr>
        <a:noFill/>
        <a:ln w="3175">
          <a:noFill/>
        </a:ln>
      </c:spPr>
    </c:title>
    <c:autoTitleDeleted val="0"/>
    <c:plotArea>
      <c:layout/>
      <c:pieChart>
        <c:varyColors val="1"/>
        <c:ser>
          <c:idx val="0"/>
          <c:order val="0"/>
          <c:spPr>
            <a:solidFill>
              <a:srgbClr val="9999FF"/>
            </a:solidFill>
            <a:ln w="12700">
              <a:solidFill>
                <a:srgbClr val="000000">
                  <a:alpha val="100000"/>
                </a:srgbClr>
              </a:solidFill>
              <a:prstDash val="solid"/>
            </a:ln>
            <a:effectLst/>
          </c:spPr>
          <c:explosion val="0"/>
          <c:dPt>
            <c:idx val="0"/>
            <c:bubble3D val="0"/>
            <c:spPr>
              <a:solidFill>
                <a:srgbClr val="9999FF"/>
              </a:solidFill>
              <a:ln w="12700">
                <a:solidFill>
                  <a:srgbClr val="000000">
                    <a:alpha val="100000"/>
                  </a:srgbClr>
                </a:solidFill>
                <a:prstDash val="solid"/>
              </a:ln>
              <a:effectLst/>
            </c:spPr>
          </c:dPt>
          <c:dPt>
            <c:idx val="1"/>
            <c:bubble3D val="0"/>
            <c:spPr>
              <a:solidFill>
                <a:srgbClr val="993366"/>
              </a:solidFill>
              <a:ln w="12700">
                <a:solidFill>
                  <a:srgbClr val="000000">
                    <a:alpha val="100000"/>
                  </a:srgbClr>
                </a:solidFill>
                <a:prstDash val="solid"/>
              </a:ln>
              <a:effectLst/>
            </c:spPr>
          </c:dPt>
          <c:dPt>
            <c:idx val="2"/>
            <c:bubble3D val="0"/>
            <c:spPr>
              <a:solidFill>
                <a:srgbClr val="FFFFCC"/>
              </a:solidFill>
              <a:ln w="12700">
                <a:solidFill>
                  <a:srgbClr val="000000">
                    <a:alpha val="100000"/>
                  </a:srgbClr>
                </a:solidFill>
                <a:prstDash val="solid"/>
              </a:ln>
              <a:effectLst/>
            </c:spPr>
          </c:dPt>
          <c:dPt>
            <c:idx val="3"/>
            <c:bubble3D val="0"/>
            <c:spPr>
              <a:solidFill>
                <a:srgbClr val="CCFFFF"/>
              </a:solidFill>
              <a:ln w="12700">
                <a:solidFill>
                  <a:srgbClr val="000000">
                    <a:alpha val="100000"/>
                  </a:srgbClr>
                </a:solidFill>
                <a:prstDash val="solid"/>
              </a:ln>
              <a:effectLst/>
            </c:spPr>
          </c:dPt>
          <c:dPt>
            <c:idx val="4"/>
            <c:bubble3D val="0"/>
            <c:spPr>
              <a:solidFill>
                <a:srgbClr val="660066"/>
              </a:solidFill>
              <a:ln w="12700">
                <a:solidFill>
                  <a:srgbClr val="000000">
                    <a:alpha val="100000"/>
                  </a:srgbClr>
                </a:solidFill>
                <a:prstDash val="solid"/>
              </a:ln>
              <a:effectLst/>
            </c:spPr>
          </c:dPt>
          <c:dLbls>
            <c:dLbl>
              <c:idx val="2"/>
              <c:layout>
                <c:manualLayout>
                  <c:x val="-0.103207810320781"/>
                  <c:y val="0"/>
                </c:manualLayout>
              </c:layout>
              <c:numFmt formatCode="0.00%" sourceLinked="0"/>
              <c:spPr>
                <a:noFill/>
                <a:ln>
                  <a:noFill/>
                </a:ln>
                <a:effectLst/>
              </c:spPr>
              <c:txPr>
                <a:bodyPr rot="0" spcFirstLastPara="0" vertOverflow="ellipsis" horzOverflow="overflow" vert="horz" wrap="square" lIns="38100" tIns="19050" rIns="38100" bIns="19050"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extLst>
                <c:ext xmlns:c15="http://schemas.microsoft.com/office/drawing/2012/chart" uri="{CE6537A1-D6FC-4f65-9D91-7224C49458BB}">
                  <c15:layout/>
                </c:ext>
              </c:extLst>
            </c:dLbl>
            <c:dLbl>
              <c:idx val="4"/>
              <c:layout>
                <c:manualLayout>
                  <c:x val="0.239888423988842"/>
                  <c:y val="0.166235685260436"/>
                </c:manualLayout>
              </c:layout>
              <c:numFmt formatCode="0.00%" sourceLinked="0"/>
              <c:spPr>
                <a:noFill/>
                <a:ln>
                  <a:noFill/>
                </a:ln>
                <a:effectLst/>
              </c:spPr>
              <c:txPr>
                <a:bodyPr rot="0" spcFirstLastPara="0" vertOverflow="ellipsis" horzOverflow="overflow" vert="horz" wrap="square" lIns="38100" tIns="19050" rIns="38100" bIns="19050"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horzOverflow="overflow" vert="horz" wrap="square" lIns="38100" tIns="19050" rIns="38100" bIns="19050" anchor="ctr" anchorCtr="1"/>
              <a:lstStyle/>
              <a:p>
                <a:pPr>
                  <a:defRPr lang="zh-CN" sz="10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[2021决算公开图表.xls]Sheet1!$B$34:$B$38</c:f>
              <c:strCache>
                <c:ptCount val="5"/>
                <c:pt idx="0">
                  <c:v>基本支出</c:v>
                </c:pt>
                <c:pt idx="1">
                  <c:v>项目支出</c:v>
                </c:pt>
                <c:pt idx="2">
                  <c:v>上缴上级支出</c:v>
                </c:pt>
                <c:pt idx="3">
                  <c:v>经营支出</c:v>
                </c:pt>
                <c:pt idx="4">
                  <c:v>对附属单位补助支出</c:v>
                </c:pt>
              </c:strCache>
            </c:strRef>
          </c:cat>
          <c:val>
            <c:numRef>
              <c:f>[2021决算公开图表.xls]Sheet1!$C$34:$C$38</c:f>
              <c:numCache>
                <c:formatCode>General</c:formatCode>
                <c:ptCount val="5"/>
                <c:pt idx="0">
                  <c:v>708.38</c:v>
                </c:pt>
                <c:pt idx="1">
                  <c:v>878.37</c:v>
                </c:pt>
                <c:pt idx="2">
                  <c:v>0</c:v>
                </c:pt>
                <c:pt idx="3">
                  <c:v>0</c:v>
                </c:pt>
                <c:pt idx="4">
                  <c:v>0</c:v>
                </c:pt>
              </c:numCache>
            </c:numRef>
          </c:val>
        </c:ser>
        <c:ser>
          <c:idx val="1"/>
          <c:order val="1"/>
          <c:spPr>
            <a:solidFill>
              <a:srgbClr val="993366"/>
            </a:solidFill>
            <a:ln w="12700">
              <a:solidFill>
                <a:srgbClr val="000000"/>
              </a:solidFill>
              <a:prstDash val="solid"/>
            </a:ln>
            <a:effectLst/>
          </c:spPr>
          <c:explosion val="0"/>
          <c:dPt>
            <c:idx val="0"/>
            <c:bubble3D val="0"/>
            <c:spPr>
              <a:solidFill>
                <a:srgbClr val="9999FF"/>
              </a:solidFill>
              <a:ln w="12700">
                <a:solidFill>
                  <a:srgbClr val="000000"/>
                </a:solidFill>
                <a:prstDash val="solid"/>
              </a:ln>
              <a:effectLst/>
            </c:spPr>
          </c:dPt>
          <c:dPt>
            <c:idx val="1"/>
            <c:bubble3D val="0"/>
            <c:spPr>
              <a:solidFill>
                <a:srgbClr val="993366"/>
              </a:solidFill>
              <a:ln w="12700">
                <a:solidFill>
                  <a:srgbClr val="000000"/>
                </a:solidFill>
                <a:prstDash val="solid"/>
              </a:ln>
              <a:effectLst/>
            </c:spPr>
          </c:dPt>
          <c:dPt>
            <c:idx val="2"/>
            <c:bubble3D val="0"/>
            <c:spPr>
              <a:solidFill>
                <a:srgbClr val="FFFFCC"/>
              </a:solidFill>
              <a:ln w="12700">
                <a:solidFill>
                  <a:srgbClr val="000000"/>
                </a:solidFill>
                <a:prstDash val="solid"/>
              </a:ln>
              <a:effectLst/>
            </c:spPr>
          </c:dPt>
          <c:dPt>
            <c:idx val="3"/>
            <c:bubble3D val="0"/>
            <c:spPr>
              <a:solidFill>
                <a:srgbClr val="CCFFFF"/>
              </a:solidFill>
              <a:ln w="12700">
                <a:solidFill>
                  <a:srgbClr val="000000"/>
                </a:solidFill>
                <a:prstDash val="solid"/>
              </a:ln>
              <a:effectLst/>
            </c:spPr>
          </c:dPt>
          <c:dPt>
            <c:idx val="4"/>
            <c:bubble3D val="0"/>
            <c:spPr>
              <a:solidFill>
                <a:srgbClr val="660066"/>
              </a:solidFill>
              <a:ln w="12700">
                <a:solidFill>
                  <a:srgbClr val="000000"/>
                </a:solidFill>
                <a:prstDash val="solid"/>
              </a:ln>
              <a:effectLst/>
            </c:spPr>
          </c:dPt>
          <c:dLbls>
            <c:delete val="1"/>
          </c:dLbls>
          <c:cat>
            <c:strRef>
              <c:f>[2021决算公开图表.xls]Sheet1!$B$34:$B$38</c:f>
              <c:strCache>
                <c:ptCount val="5"/>
                <c:pt idx="0">
                  <c:v>基本支出</c:v>
                </c:pt>
                <c:pt idx="1">
                  <c:v>项目支出</c:v>
                </c:pt>
                <c:pt idx="2">
                  <c:v>上缴上级支出</c:v>
                </c:pt>
                <c:pt idx="3">
                  <c:v>经营支出</c:v>
                </c:pt>
                <c:pt idx="4">
                  <c:v>对附属单位补助支出</c:v>
                </c:pt>
              </c:strCache>
            </c:strRef>
          </c:cat>
          <c:val>
            <c:numRef>
              <c:f>[2021决算公开图表.xls]Sheet1!$D$34:$D$38</c:f>
              <c:numCache>
                <c:formatCode>0.00%</c:formatCode>
                <c:ptCount val="5"/>
                <c:pt idx="0">
                  <c:v>0.4464</c:v>
                </c:pt>
                <c:pt idx="1">
                  <c:v>0.5508</c:v>
                </c:pt>
                <c:pt idx="2">
                  <c:v>0</c:v>
                </c:pt>
                <c:pt idx="3">
                  <c:v>0</c:v>
                </c:pt>
                <c:pt idx="4">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757"/>
          <c:y val="0.4175"/>
          <c:w val="0.23725"/>
          <c:h val="0.29825"/>
        </c:manualLayout>
      </c:layout>
      <c:overlay val="0"/>
      <c:spPr>
        <a:solidFill>
          <a:srgbClr val="FFFFFF"/>
        </a:solidFill>
        <a:ln>
          <a:solidFill>
            <a:srgbClr val="000000"/>
          </a:solidFill>
        </a:ln>
        <a:effectLst/>
      </c:spPr>
      <c:txPr>
        <a:bodyPr rot="0" spcFirstLastPara="0" vertOverflow="ellipsis" horzOverflow="overflow" vert="horz" wrap="square"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chart>
  <c:spPr>
    <a:solidFill>
      <a:srgbClr val="FFFFFF"/>
    </a:solidFill>
    <a:ln w="3175" cap="flat" cmpd="sng" algn="ctr">
      <a:solidFill>
        <a:srgbClr val="000000">
          <a:alpha val="100000"/>
        </a:srgbClr>
      </a:solidFill>
      <a:prstDash val="solid"/>
      <a:round/>
    </a:ln>
    <a:effectLst/>
  </c:spPr>
  <c:txPr>
    <a:bodyPr rot="0" spcFirstLastPara="0" vertOverflow="ellipsis" horzOverflow="overflow" vert="horz" wrap="square" anchor="ctr" anchorCtr="1"/>
    <a:lstStyle/>
    <a:p>
      <a:pPr>
        <a:defRPr lang="zh-CN" sz="1200" b="0" i="0" u="none" strike="noStrike">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t>图4    财政拨款收、支总计决算变动情况</a:t>
            </a:r>
            <a:endParaRPr sz="14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endParaRPr>
          </a:p>
        </c:rich>
      </c:tx>
      <c:layout/>
      <c:overlay val="0"/>
      <c:spPr>
        <a:noFill/>
        <a:ln w="3175">
          <a:noFill/>
        </a:ln>
      </c:spPr>
    </c:title>
    <c:autoTitleDeleted val="0"/>
    <c:plotArea>
      <c:layout/>
      <c:barChart>
        <c:barDir val="col"/>
        <c:grouping val="clustered"/>
        <c:varyColors val="0"/>
        <c:ser>
          <c:idx val="0"/>
          <c:order val="0"/>
          <c:tx>
            <c:strRef>
              <c:f>[2021决算公开图表.xls]Sheet1!$A$168</c:f>
              <c:strCache>
                <c:ptCount val="1"/>
                <c:pt idx="0">
                  <c:v>财政拨款收入、支出总计</c:v>
                </c:pt>
              </c:strCache>
            </c:strRef>
          </c:tx>
          <c:spPr>
            <a:solidFill>
              <a:srgbClr val="9999FF"/>
            </a:solidFill>
            <a:ln w="12700">
              <a:solidFill>
                <a:srgbClr val="000000">
                  <a:alpha val="100000"/>
                </a:srgbClr>
              </a:solidFill>
              <a:prstDash val="solid"/>
            </a:ln>
            <a:effectLst/>
          </c:spPr>
          <c:invertIfNegative val="0"/>
          <c:dLbls>
            <c:spPr>
              <a:noFill/>
              <a:ln>
                <a:noFill/>
              </a:ln>
              <a:effectLst/>
            </c:spPr>
            <c:txPr>
              <a:bodyPr rot="0" spcFirstLastPara="0" vertOverflow="ellipsis" horzOverflow="overflow" vert="horz" wrap="square" lIns="38100" tIns="19050" rIns="38100" bIns="19050"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[2021决算公开图表.xls]Sheet1!$B$167:$C$167</c:f>
              <c:strCache>
                <c:ptCount val="2"/>
                <c:pt idx="0">
                  <c:v>2020年</c:v>
                </c:pt>
                <c:pt idx="1">
                  <c:v>2021年</c:v>
                </c:pt>
              </c:strCache>
            </c:strRef>
          </c:cat>
          <c:val>
            <c:numRef>
              <c:f>[2021决算公开图表.xls]Sheet1!$B$168:$C$168</c:f>
              <c:numCache>
                <c:formatCode>General</c:formatCode>
                <c:ptCount val="2"/>
                <c:pt idx="0">
                  <c:v>1025.94</c:v>
                </c:pt>
                <c:pt idx="1">
                  <c:v>1586.75</c:v>
                </c:pt>
              </c:numCache>
            </c:numRef>
          </c:val>
        </c:ser>
        <c:dLbls>
          <c:showLegendKey val="0"/>
          <c:showVal val="1"/>
          <c:showCatName val="0"/>
          <c:showSerName val="0"/>
          <c:showPercent val="0"/>
          <c:showBubbleSize val="0"/>
        </c:dLbls>
        <c:gapWidth val="150"/>
        <c:axId val="80630528"/>
        <c:axId val="80632064"/>
      </c:barChart>
      <c:catAx>
        <c:axId val="80630528"/>
        <c:scaling>
          <c:orientation val="minMax"/>
        </c:scaling>
        <c:delete val="0"/>
        <c:axPos val="b"/>
        <c:majorTickMark val="in"/>
        <c:minorTickMark val="none"/>
        <c:tickLblPos val="nextTo"/>
        <c:spPr>
          <a:noFill/>
          <a:ln w="3175" cap="flat" cmpd="sng" algn="ctr">
            <a:solidFill>
              <a:srgbClr val="000000"/>
            </a:solidFill>
            <a:prstDash val="solid"/>
            <a:round/>
          </a:ln>
          <a:effectLst/>
        </c:spPr>
        <c:txPr>
          <a:bodyPr rot="-60000000" spcFirstLastPara="0" vertOverflow="ellipsis" horzOverflow="overflow" vert="horz" wrap="square"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crossAx val="80632064"/>
        <c:crosses val="autoZero"/>
        <c:auto val="1"/>
        <c:lblAlgn val="ctr"/>
        <c:lblOffset val="100"/>
        <c:noMultiLvlLbl val="0"/>
      </c:catAx>
      <c:valAx>
        <c:axId val="80632064"/>
        <c:scaling>
          <c:orientation val="minMax"/>
        </c:scaling>
        <c:delete val="0"/>
        <c:axPos val="l"/>
        <c:majorGridlines>
          <c:spPr>
            <a:ln w="3175" cap="flat" cmpd="sng" algn="ctr">
              <a:solidFill>
                <a:srgbClr val="000000">
                  <a:alpha val="100000"/>
                </a:srgbClr>
              </a:solidFill>
              <a:prstDash val="solid"/>
              <a:round/>
            </a:ln>
            <a:effectLst/>
          </c:spPr>
        </c:majorGridlines>
        <c:numFmt formatCode="General" sourceLinked="1"/>
        <c:majorTickMark val="in"/>
        <c:minorTickMark val="none"/>
        <c:tickLblPos val="nextTo"/>
        <c:spPr>
          <a:noFill/>
          <a:ln w="3175" cap="flat" cmpd="sng" algn="ctr">
            <a:solidFill>
              <a:srgbClr val="000000"/>
            </a:solidFill>
            <a:prstDash val="solid"/>
            <a:round/>
          </a:ln>
          <a:effectLst/>
        </c:spPr>
        <c:txPr>
          <a:bodyPr rot="-60000000" spcFirstLastPara="0" vertOverflow="ellipsis" horzOverflow="overflow" vert="horz" wrap="square"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crossAx val="80630528"/>
        <c:crosses val="autoZero"/>
        <c:crossBetween val="between"/>
      </c:valAx>
      <c:spPr>
        <a:solidFill>
          <a:srgbClr val="C0C0C0">
            <a:alpha val="100000"/>
          </a:srgbClr>
        </a:solidFill>
        <a:ln w="12700">
          <a:solidFill>
            <a:srgbClr val="808080">
              <a:alpha val="100000"/>
            </a:srgbClr>
          </a:solidFill>
          <a:prstDash val="solid"/>
        </a:ln>
        <a:effectLst/>
      </c:spPr>
    </c:plotArea>
    <c:legend>
      <c:legendPos val="r"/>
      <c:layout>
        <c:manualLayout>
          <c:xMode val="edge"/>
          <c:yMode val="edge"/>
          <c:x val="0.702458423716558"/>
          <c:y val="0.504165819955294"/>
          <c:w val="0.290792962159557"/>
          <c:h val="0.161958951432636"/>
        </c:manualLayout>
      </c:layout>
      <c:overlay val="0"/>
      <c:spPr>
        <a:solidFill>
          <a:srgbClr val="FFFFFF"/>
        </a:solidFill>
        <a:ln>
          <a:solidFill>
            <a:srgbClr val="000000"/>
          </a:solidFill>
        </a:ln>
        <a:effectLst/>
      </c:spPr>
      <c:txPr>
        <a:bodyPr rot="0" spcFirstLastPara="0" vertOverflow="ellipsis" horzOverflow="overflow" vert="horz" wrap="square"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legend>
    <c:plotVisOnly val="1"/>
    <c:dispBlanksAs val="gap"/>
    <c:showDLblsOverMax val="0"/>
  </c:chart>
  <c:spPr>
    <a:solidFill>
      <a:srgbClr val="FFFFFF"/>
    </a:solidFill>
    <a:ln w="3175" cap="flat" cmpd="sng" algn="ctr">
      <a:solidFill>
        <a:srgbClr val="000000">
          <a:alpha val="100000"/>
        </a:srgbClr>
      </a:solidFill>
      <a:prstDash val="solid"/>
      <a:round/>
    </a:ln>
    <a:effectLst/>
  </c:spPr>
  <c:txPr>
    <a:bodyPr rot="0" spcFirstLastPara="0" vertOverflow="ellipsis" horzOverflow="overflow" vert="horz" wrap="square" anchor="ctr" anchorCtr="1"/>
    <a:lstStyle/>
    <a:p>
      <a:pPr>
        <a:defRPr lang="zh-CN" sz="1200" b="0" i="0" u="none" strike="noStrike">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t>图5      一般公共预算财政拨款支出决算变动情况</a:t>
            </a:r>
            <a:endParaRPr sz="14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endParaRPr>
          </a:p>
        </c:rich>
      </c:tx>
      <c:layout/>
      <c:overlay val="0"/>
      <c:spPr>
        <a:noFill/>
        <a:ln w="3175">
          <a:noFill/>
        </a:ln>
      </c:spPr>
    </c:title>
    <c:autoTitleDeleted val="0"/>
    <c:plotArea>
      <c:layout/>
      <c:barChart>
        <c:barDir val="col"/>
        <c:grouping val="clustered"/>
        <c:varyColors val="0"/>
        <c:ser>
          <c:idx val="0"/>
          <c:order val="0"/>
          <c:tx>
            <c:strRef>
              <c:f>[2021决算公开图表.xls]Sheet1!$A$85</c:f>
              <c:strCache>
                <c:ptCount val="1"/>
                <c:pt idx="0">
                  <c:v>一般公共预算财政拨款支出</c:v>
                </c:pt>
              </c:strCache>
            </c:strRef>
          </c:tx>
          <c:spPr>
            <a:solidFill>
              <a:srgbClr val="9999FF"/>
            </a:solidFill>
            <a:ln w="12700">
              <a:solidFill>
                <a:srgbClr val="000000">
                  <a:alpha val="100000"/>
                </a:srgbClr>
              </a:solidFill>
              <a:prstDash val="solid"/>
            </a:ln>
            <a:effectLst/>
          </c:spPr>
          <c:invertIfNegative val="0"/>
          <c:dLbls>
            <c:spPr>
              <a:noFill/>
              <a:ln>
                <a:noFill/>
              </a:ln>
              <a:effectLst/>
            </c:spPr>
            <c:txPr>
              <a:bodyPr rot="0" spcFirstLastPara="0" vertOverflow="ellipsis" horzOverflow="overflow" vert="horz" wrap="square" lIns="38100" tIns="19050" rIns="38100" bIns="19050"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[2021决算公开图表.xls]Sheet1!$B$84:$C$84</c:f>
              <c:strCache>
                <c:ptCount val="2"/>
                <c:pt idx="0">
                  <c:v>2020年</c:v>
                </c:pt>
                <c:pt idx="1">
                  <c:v>2021年</c:v>
                </c:pt>
              </c:strCache>
            </c:strRef>
          </c:cat>
          <c:val>
            <c:numRef>
              <c:f>[2021决算公开图表.xls]Sheet1!$B$85:$C$85</c:f>
              <c:numCache>
                <c:formatCode>General</c:formatCode>
                <c:ptCount val="2"/>
                <c:pt idx="0">
                  <c:v>998.86</c:v>
                </c:pt>
                <c:pt idx="1">
                  <c:v>1586.75</c:v>
                </c:pt>
              </c:numCache>
            </c:numRef>
          </c:val>
        </c:ser>
        <c:dLbls>
          <c:showLegendKey val="0"/>
          <c:showVal val="1"/>
          <c:showCatName val="0"/>
          <c:showSerName val="0"/>
          <c:showPercent val="0"/>
          <c:showBubbleSize val="0"/>
        </c:dLbls>
        <c:gapWidth val="150"/>
        <c:axId val="81676544"/>
        <c:axId val="81678336"/>
      </c:barChart>
      <c:catAx>
        <c:axId val="81676544"/>
        <c:scaling>
          <c:orientation val="minMax"/>
        </c:scaling>
        <c:delete val="0"/>
        <c:axPos val="b"/>
        <c:majorTickMark val="in"/>
        <c:minorTickMark val="none"/>
        <c:tickLblPos val="nextTo"/>
        <c:spPr>
          <a:noFill/>
          <a:ln w="3175" cap="flat" cmpd="sng" algn="ctr">
            <a:solidFill>
              <a:srgbClr val="000000"/>
            </a:solidFill>
            <a:prstDash val="solid"/>
            <a:round/>
          </a:ln>
          <a:effectLst/>
        </c:spPr>
        <c:txPr>
          <a:bodyPr rot="-60000000" spcFirstLastPara="0" vertOverflow="ellipsis" horzOverflow="overflow" vert="horz" wrap="square"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crossAx val="81678336"/>
        <c:crosses val="autoZero"/>
        <c:auto val="1"/>
        <c:lblAlgn val="ctr"/>
        <c:lblOffset val="100"/>
        <c:noMultiLvlLbl val="0"/>
      </c:catAx>
      <c:valAx>
        <c:axId val="81678336"/>
        <c:scaling>
          <c:orientation val="minMax"/>
        </c:scaling>
        <c:delete val="0"/>
        <c:axPos val="l"/>
        <c:majorGridlines>
          <c:spPr>
            <a:ln w="3175" cap="flat" cmpd="sng" algn="ctr">
              <a:solidFill>
                <a:srgbClr val="000000">
                  <a:alpha val="100000"/>
                </a:srgbClr>
              </a:solidFill>
              <a:prstDash val="solid"/>
              <a:round/>
            </a:ln>
            <a:effectLst/>
          </c:spPr>
        </c:majorGridlines>
        <c:numFmt formatCode="General" sourceLinked="1"/>
        <c:majorTickMark val="in"/>
        <c:minorTickMark val="none"/>
        <c:tickLblPos val="nextTo"/>
        <c:spPr>
          <a:noFill/>
          <a:ln w="3175" cap="flat" cmpd="sng" algn="ctr">
            <a:solidFill>
              <a:srgbClr val="000000"/>
            </a:solidFill>
            <a:prstDash val="solid"/>
            <a:round/>
          </a:ln>
          <a:effectLst/>
        </c:spPr>
        <c:txPr>
          <a:bodyPr rot="-60000000" spcFirstLastPara="0" vertOverflow="ellipsis" horzOverflow="overflow" vert="horz" wrap="square"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crossAx val="81676544"/>
        <c:crosses val="autoZero"/>
        <c:crossBetween val="between"/>
      </c:valAx>
      <c:spPr>
        <a:solidFill>
          <a:srgbClr val="C0C0C0">
            <a:alpha val="100000"/>
          </a:srgbClr>
        </a:solidFill>
        <a:ln w="12700">
          <a:solidFill>
            <a:srgbClr val="808080">
              <a:alpha val="100000"/>
            </a:srgbClr>
          </a:solidFill>
          <a:prstDash val="solid"/>
        </a:ln>
        <a:effectLst/>
      </c:spPr>
    </c:plotArea>
    <c:legend>
      <c:legendPos val="r"/>
      <c:layout>
        <c:manualLayout>
          <c:xMode val="edge"/>
          <c:yMode val="edge"/>
          <c:x val="0.678713408023131"/>
          <c:y val="0.505741387918123"/>
          <c:w val="0.315263221298639"/>
          <c:h val="0.18172740888667"/>
        </c:manualLayout>
      </c:layout>
      <c:overlay val="0"/>
      <c:spPr>
        <a:solidFill>
          <a:srgbClr val="FFFFFF"/>
        </a:solidFill>
        <a:ln>
          <a:solidFill>
            <a:srgbClr val="000000"/>
          </a:solidFill>
        </a:ln>
        <a:effectLst/>
      </c:spPr>
      <c:txPr>
        <a:bodyPr rot="0" spcFirstLastPara="0" vertOverflow="ellipsis" horzOverflow="overflow" vert="horz" wrap="square"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legend>
    <c:plotVisOnly val="1"/>
    <c:dispBlanksAs val="gap"/>
    <c:showDLblsOverMax val="0"/>
  </c:chart>
  <c:spPr>
    <a:solidFill>
      <a:srgbClr val="FFFFFF"/>
    </a:solidFill>
    <a:ln w="3175" cap="flat" cmpd="sng" algn="ctr">
      <a:solidFill>
        <a:srgbClr val="000000">
          <a:alpha val="100000"/>
        </a:srgbClr>
      </a:solidFill>
      <a:prstDash val="solid"/>
      <a:round/>
    </a:ln>
    <a:effectLst/>
  </c:spPr>
  <c:txPr>
    <a:bodyPr rot="0" spcFirstLastPara="0" vertOverflow="ellipsis" horzOverflow="overflow" vert="horz" wrap="square" anchor="ctr" anchorCtr="1"/>
    <a:lstStyle/>
    <a:p>
      <a:pPr>
        <a:defRPr lang="zh-CN" sz="1200" b="0" i="0" u="none" strike="noStrike">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25"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t>图6    一般公共预算财政拨款支出决算结构</a:t>
            </a:r>
            <a:endParaRPr sz="1425"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endParaRPr>
          </a:p>
        </c:rich>
      </c:tx>
      <c:layout>
        <c:manualLayout>
          <c:xMode val="edge"/>
          <c:yMode val="edge"/>
          <c:x val="0.23925479618915"/>
          <c:y val="0.0179802217560683"/>
        </c:manualLayout>
      </c:layout>
      <c:overlay val="0"/>
      <c:spPr>
        <a:noFill/>
        <a:ln w="3175">
          <a:noFill/>
        </a:ln>
      </c:spPr>
    </c:title>
    <c:autoTitleDeleted val="0"/>
    <c:plotArea>
      <c:layout/>
      <c:pieChart>
        <c:varyColors val="1"/>
        <c:ser>
          <c:idx val="0"/>
          <c:order val="0"/>
          <c:spPr>
            <a:solidFill>
              <a:srgbClr val="9999FF"/>
            </a:solidFill>
            <a:ln w="12700">
              <a:solidFill>
                <a:srgbClr val="000000">
                  <a:alpha val="100000"/>
                </a:srgbClr>
              </a:solidFill>
              <a:prstDash val="solid"/>
            </a:ln>
            <a:effectLst/>
          </c:spPr>
          <c:explosion val="0"/>
          <c:dPt>
            <c:idx val="0"/>
            <c:bubble3D val="0"/>
            <c:spPr>
              <a:solidFill>
                <a:srgbClr val="9999FF"/>
              </a:solidFill>
              <a:ln w="12700">
                <a:solidFill>
                  <a:srgbClr val="000000">
                    <a:alpha val="100000"/>
                  </a:srgbClr>
                </a:solidFill>
                <a:prstDash val="solid"/>
              </a:ln>
              <a:effectLst/>
            </c:spPr>
          </c:dPt>
          <c:dPt>
            <c:idx val="1"/>
            <c:bubble3D val="0"/>
            <c:spPr>
              <a:solidFill>
                <a:srgbClr val="993366"/>
              </a:solidFill>
              <a:ln w="12700">
                <a:solidFill>
                  <a:srgbClr val="000000">
                    <a:alpha val="100000"/>
                  </a:srgbClr>
                </a:solidFill>
                <a:prstDash val="solid"/>
              </a:ln>
              <a:effectLst/>
            </c:spPr>
          </c:dPt>
          <c:dPt>
            <c:idx val="2"/>
            <c:bubble3D val="0"/>
            <c:spPr>
              <a:solidFill>
                <a:srgbClr val="FFFFCC"/>
              </a:solidFill>
              <a:ln w="12700">
                <a:solidFill>
                  <a:srgbClr val="000000">
                    <a:alpha val="100000"/>
                  </a:srgbClr>
                </a:solidFill>
                <a:prstDash val="solid"/>
              </a:ln>
              <a:effectLst/>
            </c:spPr>
          </c:dPt>
          <c:dPt>
            <c:idx val="3"/>
            <c:bubble3D val="0"/>
            <c:spPr>
              <a:solidFill>
                <a:srgbClr val="CCFFFF"/>
              </a:solidFill>
              <a:ln w="12700">
                <a:solidFill>
                  <a:srgbClr val="000000">
                    <a:alpha val="100000"/>
                  </a:srgbClr>
                </a:solidFill>
                <a:prstDash val="solid"/>
              </a:ln>
              <a:effectLst/>
            </c:spPr>
          </c:dPt>
          <c:dPt>
            <c:idx val="4"/>
            <c:bubble3D val="0"/>
            <c:spPr>
              <a:solidFill>
                <a:schemeClr val="accent2"/>
              </a:solidFill>
              <a:ln w="12700">
                <a:solidFill>
                  <a:srgbClr val="000000">
                    <a:alpha val="100000"/>
                  </a:srgbClr>
                </a:solidFill>
                <a:prstDash val="solid"/>
              </a:ln>
              <a:effectLst/>
            </c:spPr>
          </c:dPt>
          <c:dPt>
            <c:idx val="5"/>
            <c:bubble3D val="0"/>
            <c:spPr>
              <a:solidFill>
                <a:schemeClr val="accent6"/>
              </a:solidFill>
              <a:ln w="12700">
                <a:solidFill>
                  <a:srgbClr val="000000">
                    <a:alpha val="100000"/>
                  </a:srgbClr>
                </a:solidFill>
                <a:prstDash val="solid"/>
              </a:ln>
              <a:effectLst/>
            </c:spPr>
          </c:dPt>
          <c:dLbls>
            <c:dLbl>
              <c:idx val="1"/>
              <c:layout>
                <c:manualLayout>
                  <c:x val="-0.0139669448681477"/>
                  <c:y val="0.276482876092623"/>
                </c:manualLayout>
              </c:layout>
              <c:numFmt formatCode="0.00%" sourceLinked="0"/>
              <c:spPr>
                <a:noFill/>
                <a:ln>
                  <a:noFill/>
                </a:ln>
                <a:effectLst/>
              </c:spPr>
              <c:txPr>
                <a:bodyPr rot="0" spcFirstLastPara="0" vertOverflow="ellipsis" horzOverflow="overflow" vert="horz" wrap="square" lIns="38100" tIns="19050" rIns="38100" bIns="19050"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extLst>
                <c:ext xmlns:c15="http://schemas.microsoft.com/office/drawing/2012/chart" uri="{CE6537A1-D6FC-4f65-9D91-7224C49458BB}">
                  <c15:layout/>
                </c:ext>
              </c:extLst>
            </c:dLbl>
            <c:dLbl>
              <c:idx val="2"/>
              <c:layout>
                <c:manualLayout>
                  <c:x val="-0.0979918102709752"/>
                  <c:y val="0.112704677531711"/>
                </c:manualLayout>
              </c:layout>
              <c:numFmt formatCode="0.00%" sourceLinked="0"/>
              <c:spPr>
                <a:noFill/>
                <a:ln>
                  <a:noFill/>
                </a:ln>
                <a:effectLst/>
              </c:spPr>
              <c:txPr>
                <a:bodyPr rot="0" spcFirstLastPara="0" vertOverflow="ellipsis" horzOverflow="overflow" vert="horz" wrap="square" lIns="38100" tIns="19050" rIns="38100" bIns="19050"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extLst>
                <c:ext xmlns:c15="http://schemas.microsoft.com/office/drawing/2012/chart" uri="{CE6537A1-D6FC-4f65-9D91-7224C49458BB}">
                  <c15:layout/>
                </c:ext>
              </c:extLst>
            </c:dLbl>
            <c:dLbl>
              <c:idx val="3"/>
              <c:layout>
                <c:manualLayout>
                  <c:x val="-0.00276243093922652"/>
                  <c:y val="0.00899011087803417"/>
                </c:manualLayout>
              </c:layout>
              <c:numFmt formatCode="0.00%" sourceLinked="0"/>
              <c:spPr>
                <a:noFill/>
                <a:ln>
                  <a:noFill/>
                </a:ln>
                <a:effectLst/>
              </c:spPr>
              <c:txPr>
                <a:bodyPr rot="0" spcFirstLastPara="0" vertOverflow="ellipsis" horzOverflow="overflow" vert="horz" wrap="square" lIns="38100" tIns="19050" rIns="38100" bIns="19050"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extLst>
                <c:ext xmlns:c15="http://schemas.microsoft.com/office/drawing/2012/chart" uri="{CE6537A1-D6FC-4f65-9D91-7224C49458BB}">
                  <c15:layout/>
                </c:ext>
              </c:extLst>
            </c:dLbl>
            <c:dLbl>
              <c:idx val="4"/>
              <c:layout>
                <c:manualLayout>
                  <c:x val="0.359261922850967"/>
                  <c:y val="0.103338816891359"/>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extLst>
                <c:ext xmlns:c15="http://schemas.microsoft.com/office/drawing/2012/chart" uri="{CE6537A1-D6FC-4f65-9D91-7224C49458BB}">
                  <c15:layout/>
                </c:ext>
              </c:extLst>
            </c:dLbl>
            <c:dLbl>
              <c:idx val="5"/>
              <c:layout>
                <c:manualLayout>
                  <c:x val="0.117881630112791"/>
                  <c:y val="0.0279533137394821"/>
                </c:manualLayout>
              </c:layout>
              <c:dLblPos val="bestFit"/>
              <c:showLegendKey val="1"/>
              <c:showVal val="1"/>
              <c:showCatName val="1"/>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horzOverflow="overflow" vert="horz" wrap="square" lIns="38100" tIns="19050" rIns="38100" bIns="19050" anchor="ctr" anchorCtr="1"/>
              <a:lstStyle/>
              <a:p>
                <a:pPr>
                  <a:defRPr lang="zh-CN" sz="1025"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[2021决算公开图表.xls]Sheet1!$A$110:$A$115</c:f>
              <c:strCache>
                <c:ptCount val="6"/>
                <c:pt idx="0">
                  <c:v>一般公共服务支出</c:v>
                </c:pt>
                <c:pt idx="1">
                  <c:v>社会保障和就业支出</c:v>
                </c:pt>
                <c:pt idx="2">
                  <c:v>住房保障支出</c:v>
                </c:pt>
                <c:pt idx="3">
                  <c:v>农林水支出</c:v>
                </c:pt>
                <c:pt idx="4">
                  <c:v>卫生健康支出</c:v>
                </c:pt>
                <c:pt idx="5">
                  <c:v>其他支出</c:v>
                </c:pt>
              </c:strCache>
            </c:strRef>
          </c:cat>
          <c:val>
            <c:numRef>
              <c:f>[2021决算公开图表.xls]Sheet1!$B$110:$B$115</c:f>
              <c:numCache>
                <c:formatCode>General</c:formatCode>
                <c:ptCount val="6"/>
                <c:pt idx="0">
                  <c:v>1357.45</c:v>
                </c:pt>
                <c:pt idx="1">
                  <c:v>88.67</c:v>
                </c:pt>
                <c:pt idx="2">
                  <c:v>60.23</c:v>
                </c:pt>
                <c:pt idx="3">
                  <c:v>2</c:v>
                </c:pt>
                <c:pt idx="4">
                  <c:v>42.59</c:v>
                </c:pt>
                <c:pt idx="5">
                  <c:v>35.81</c:v>
                </c:pt>
              </c:numCache>
            </c:numRef>
          </c:val>
        </c:ser>
        <c:ser>
          <c:idx val="1"/>
          <c:order val="1"/>
          <c:spPr>
            <a:solidFill>
              <a:srgbClr val="993366"/>
            </a:solidFill>
            <a:ln w="12700">
              <a:solidFill>
                <a:srgbClr val="000000"/>
              </a:solidFill>
              <a:prstDash val="solid"/>
            </a:ln>
            <a:effectLst/>
          </c:spPr>
          <c:explosion val="0"/>
          <c:dPt>
            <c:idx val="0"/>
            <c:bubble3D val="0"/>
            <c:spPr>
              <a:solidFill>
                <a:srgbClr val="9999FF"/>
              </a:solidFill>
              <a:ln w="12700">
                <a:solidFill>
                  <a:srgbClr val="000000"/>
                </a:solidFill>
                <a:prstDash val="solid"/>
              </a:ln>
              <a:effectLst/>
            </c:spPr>
          </c:dPt>
          <c:dPt>
            <c:idx val="1"/>
            <c:bubble3D val="0"/>
            <c:spPr>
              <a:solidFill>
                <a:srgbClr val="993366"/>
              </a:solidFill>
              <a:ln w="12700">
                <a:solidFill>
                  <a:srgbClr val="000000"/>
                </a:solidFill>
                <a:prstDash val="solid"/>
              </a:ln>
              <a:effectLst/>
            </c:spPr>
          </c:dPt>
          <c:dPt>
            <c:idx val="2"/>
            <c:bubble3D val="0"/>
            <c:spPr>
              <a:solidFill>
                <a:srgbClr val="FFFFCC"/>
              </a:solidFill>
              <a:ln w="12700">
                <a:solidFill>
                  <a:srgbClr val="000000"/>
                </a:solidFill>
                <a:prstDash val="solid"/>
              </a:ln>
              <a:effectLst/>
            </c:spPr>
          </c:dPt>
          <c:dPt>
            <c:idx val="3"/>
            <c:bubble3D val="0"/>
            <c:spPr>
              <a:solidFill>
                <a:srgbClr val="CCFFFF"/>
              </a:solidFill>
              <a:ln w="12700">
                <a:solidFill>
                  <a:srgbClr val="000000"/>
                </a:solidFill>
                <a:prstDash val="solid"/>
              </a:ln>
              <a:effectLst/>
            </c:spPr>
          </c:dPt>
          <c:dPt>
            <c:idx val="4"/>
            <c:bubble3D val="0"/>
            <c:spPr>
              <a:solidFill>
                <a:srgbClr val="993366"/>
              </a:solidFill>
              <a:ln w="12700">
                <a:solidFill>
                  <a:srgbClr val="000000"/>
                </a:solidFill>
                <a:prstDash val="solid"/>
              </a:ln>
              <a:effectLst/>
            </c:spPr>
          </c:dPt>
          <c:dPt>
            <c:idx val="5"/>
            <c:bubble3D val="0"/>
            <c:spPr>
              <a:solidFill>
                <a:srgbClr val="993366"/>
              </a:solidFill>
              <a:ln w="12700">
                <a:solidFill>
                  <a:srgbClr val="000000"/>
                </a:solidFill>
                <a:prstDash val="solid"/>
              </a:ln>
              <a:effectLst/>
            </c:spPr>
          </c:dPt>
          <c:dLbls>
            <c:delete val="1"/>
          </c:dLbls>
          <c:cat>
            <c:strRef>
              <c:f>[2021决算公开图表.xls]Sheet1!$A$110:$A$115</c:f>
              <c:strCache>
                <c:ptCount val="6"/>
                <c:pt idx="0">
                  <c:v>一般公共服务支出</c:v>
                </c:pt>
                <c:pt idx="1">
                  <c:v>社会保障和就业支出</c:v>
                </c:pt>
                <c:pt idx="2">
                  <c:v>住房保障支出</c:v>
                </c:pt>
                <c:pt idx="3">
                  <c:v>农林水支出</c:v>
                </c:pt>
                <c:pt idx="4">
                  <c:v>卫生健康支出</c:v>
                </c:pt>
                <c:pt idx="5">
                  <c:v>其他支出</c:v>
                </c:pt>
              </c:strCache>
            </c:strRef>
          </c:cat>
          <c:val>
            <c:numRef>
              <c:f>[2021决算公开图表.xls]Sheet1!$C$110:$C$115</c:f>
              <c:numCache>
                <c:formatCode>0.00%</c:formatCode>
                <c:ptCount val="6"/>
                <c:pt idx="0">
                  <c:v>0.8555</c:v>
                </c:pt>
                <c:pt idx="1">
                  <c:v>0.0559</c:v>
                </c:pt>
                <c:pt idx="2">
                  <c:v>0.0379</c:v>
                </c:pt>
                <c:pt idx="3">
                  <c:v>0.0013</c:v>
                </c:pt>
                <c:pt idx="4">
                  <c:v>0.0268</c:v>
                </c:pt>
                <c:pt idx="5">
                  <c:v>0.0226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662408099313006"/>
          <c:y val="0.335359874485193"/>
          <c:w val="0.332047728094492"/>
          <c:h val="0.534810747205334"/>
        </c:manualLayout>
      </c:layout>
      <c:overlay val="0"/>
      <c:spPr>
        <a:solidFill>
          <a:srgbClr val="FFFFFF"/>
        </a:solidFill>
        <a:ln>
          <a:solidFill>
            <a:srgbClr val="000000"/>
          </a:solidFill>
        </a:ln>
        <a:effectLst/>
      </c:spPr>
      <c:txPr>
        <a:bodyPr rot="0" spcFirstLastPara="0" vertOverflow="ellipsis" horzOverflow="overflow" vert="horz" wrap="square"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chart>
  <c:spPr>
    <a:solidFill>
      <a:srgbClr val="FFFFFF"/>
    </a:solidFill>
    <a:ln w="3175" cap="flat" cmpd="sng" algn="ctr">
      <a:solidFill>
        <a:srgbClr val="000000">
          <a:alpha val="100000"/>
        </a:srgbClr>
      </a:solidFill>
      <a:prstDash val="solid"/>
      <a:round/>
    </a:ln>
    <a:effectLst/>
  </c:spPr>
  <c:txPr>
    <a:bodyPr rot="0" spcFirstLastPara="0" vertOverflow="ellipsis" horzOverflow="overflow" vert="horz" wrap="square" anchor="ctr" anchorCtr="1"/>
    <a:lstStyle/>
    <a:p>
      <a:pPr>
        <a:defRPr lang="zh-CN" sz="1200" b="0" i="0" u="none" strike="noStrike">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lgn="ctr" defTabSz="914400">
              <a:defRPr lang="zh-CN" sz="14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rPr sz="1400" b="0" i="0" u="none" strike="noStrike" baseline="0">
                <a:solidFill>
                  <a:srgbClr val="000000"/>
                </a:solidFill>
                <a:latin typeface="宋体" panose="02010600030101010101" charset="-122"/>
                <a:ea typeface="宋体" panose="02010600030101010101" charset="-122"/>
                <a:cs typeface="宋体" panose="02010600030101010101" charset="-122"/>
              </a:rPr>
              <a:t>图</a:t>
            </a:r>
            <a:r>
              <a:rPr lang="en-US" altLang="zh-CN" sz="1400" b="0" i="0" u="none" strike="noStrike" baseline="0">
                <a:solidFill>
                  <a:srgbClr val="333333"/>
                </a:solidFill>
                <a:latin typeface="Arial" panose="020B0604020202020204" pitchFamily="7" charset="0"/>
                <a:ea typeface="Arial" panose="020B0604020202020204" pitchFamily="7" charset="0"/>
                <a:cs typeface="Arial" panose="020B0604020202020204" pitchFamily="7" charset="0"/>
              </a:rPr>
              <a:t>7</a:t>
            </a:r>
            <a:r>
              <a:rPr sz="1400" b="0" i="0" u="none" strike="noStrike" baseline="0">
                <a:solidFill>
                  <a:srgbClr val="000000"/>
                </a:solidFill>
                <a:latin typeface="宋体" panose="02010600030101010101" charset="-122"/>
                <a:ea typeface="宋体" panose="02010600030101010101" charset="-122"/>
                <a:cs typeface="宋体" panose="02010600030101010101" charset="-122"/>
              </a:rPr>
              <a:t>  “三公”经费财政拨款支出结构</a:t>
            </a:r>
            <a:endParaRPr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manualLayout>
          <c:xMode val="edge"/>
          <c:yMode val="edge"/>
          <c:x val="0.267368596216539"/>
          <c:y val="0.0221606648199446"/>
        </c:manualLayout>
      </c:layout>
      <c:overlay val="0"/>
    </c:title>
    <c:autoTitleDeleted val="0"/>
    <c:plotArea>
      <c:layout/>
      <c:pieChart>
        <c:varyColors val="1"/>
        <c:ser>
          <c:idx val="0"/>
          <c:order val="0"/>
          <c:spPr>
            <a:solidFill>
              <a:srgbClr val="9999FF"/>
            </a:solidFill>
            <a:ln w="12700">
              <a:solidFill>
                <a:srgbClr val="000000">
                  <a:alpha val="100000"/>
                </a:srgbClr>
              </a:solidFill>
              <a:prstDash val="solid"/>
            </a:ln>
            <a:effectLst/>
          </c:spPr>
          <c:explosion val="0"/>
          <c:dPt>
            <c:idx val="0"/>
            <c:bubble3D val="0"/>
            <c:spPr>
              <a:solidFill>
                <a:srgbClr val="9999FF"/>
              </a:solidFill>
              <a:ln w="12700">
                <a:solidFill>
                  <a:srgbClr val="000000">
                    <a:alpha val="100000"/>
                  </a:srgbClr>
                </a:solidFill>
                <a:prstDash val="solid"/>
              </a:ln>
              <a:effectLst/>
            </c:spPr>
          </c:dPt>
          <c:dPt>
            <c:idx val="1"/>
            <c:bubble3D val="0"/>
            <c:spPr>
              <a:solidFill>
                <a:srgbClr val="993366"/>
              </a:solidFill>
              <a:ln w="12700">
                <a:solidFill>
                  <a:srgbClr val="000000">
                    <a:alpha val="100000"/>
                  </a:srgbClr>
                </a:solidFill>
                <a:prstDash val="solid"/>
              </a:ln>
              <a:effectLst/>
            </c:spPr>
          </c:dPt>
          <c:dPt>
            <c:idx val="2"/>
            <c:bubble3D val="0"/>
            <c:spPr>
              <a:solidFill>
                <a:srgbClr val="FFFFCC"/>
              </a:solidFill>
              <a:ln w="12700">
                <a:solidFill>
                  <a:srgbClr val="000000">
                    <a:alpha val="100000"/>
                  </a:srgbClr>
                </a:solidFill>
                <a:prstDash val="solid"/>
              </a:ln>
              <a:effectLst/>
            </c:spPr>
          </c:dPt>
          <c:dLbls>
            <c:dLbl>
              <c:idx val="0"/>
              <c:layout>
                <c:manualLayout>
                  <c:x val="-0.187845056318749"/>
                  <c:y val="0.317248966032466"/>
                </c:manualLayout>
              </c:layout>
              <c:dLblPos val="bestFit"/>
              <c:showLegendKey val="1"/>
              <c:showVal val="1"/>
              <c:showCatName val="1"/>
              <c:showSerName val="0"/>
              <c:showPercent val="1"/>
              <c:showBubbleSize val="0"/>
              <c:extLst>
                <c:ext xmlns:c15="http://schemas.microsoft.com/office/drawing/2012/chart" uri="{CE6537A1-D6FC-4f65-9D91-7224C49458BB}">
                  <c15:layout/>
                </c:ext>
              </c:extLst>
            </c:dLbl>
            <c:dLbl>
              <c:idx val="1"/>
              <c:layout>
                <c:manualLayout>
                  <c:x val="0.146679522719055"/>
                  <c:y val="0.205840593141753"/>
                </c:manualLayout>
              </c:layout>
              <c:dLblPos val="bestFit"/>
              <c:showLegendKey val="1"/>
              <c:showVal val="1"/>
              <c:showCatName val="1"/>
              <c:showSerName val="0"/>
              <c:showPercent val="1"/>
              <c:showBubbleSize val="0"/>
              <c:extLst>
                <c:ext xmlns:c15="http://schemas.microsoft.com/office/drawing/2012/chart" uri="{CE6537A1-D6FC-4f65-9D91-7224C49458BB}">
                  <c15:layout/>
                </c:ext>
              </c:extLst>
            </c:dLbl>
            <c:dLbl>
              <c:idx val="2"/>
              <c:layout>
                <c:manualLayout>
                  <c:x val="-0.384277824268876"/>
                  <c:y val="0.0306178337899206"/>
                </c:manualLayout>
              </c:layout>
              <c:dLblPos val="bestFit"/>
              <c:showLegendKey val="1"/>
              <c:showVal val="1"/>
              <c:showCatName val="1"/>
              <c:showSerName val="0"/>
              <c:showPercent val="1"/>
              <c:showBubbleSize val="0"/>
              <c:extLst>
                <c:ext xmlns:c15="http://schemas.microsoft.com/office/drawing/2012/chart" uri="{CE6537A1-D6FC-4f65-9D91-7224C49458BB}">
                  <c15:layout/>
                </c:ext>
              </c:extLst>
            </c:dLbl>
            <c:numFmt formatCode="0%" sourceLinked="0"/>
            <c:spPr>
              <a:noFill/>
              <a:ln>
                <a:noFill/>
              </a:ln>
              <a:effectLst/>
            </c:spPr>
            <c:txPr>
              <a:bodyPr rot="0" spcFirstLastPara="0" vertOverflow="ellipsis" horzOverflow="overflow" vert="horz" wrap="square" lIns="38100" tIns="19050" rIns="38100" bIns="19050"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[2021决算公开图表.xls]Sheet1!$B$138:$B$140</c:f>
              <c:strCache>
                <c:ptCount val="3"/>
                <c:pt idx="0">
                  <c:v>因公出国（境）费支出</c:v>
                </c:pt>
                <c:pt idx="1">
                  <c:v>公务用车购置及运行维护费支出</c:v>
                </c:pt>
                <c:pt idx="2">
                  <c:v>公务接待费支出</c:v>
                </c:pt>
              </c:strCache>
            </c:strRef>
          </c:cat>
          <c:val>
            <c:numRef>
              <c:f>[2021决算公开图表.xls]Sheet1!$C$138:$C$140</c:f>
              <c:numCache>
                <c:formatCode>General</c:formatCode>
                <c:ptCount val="3"/>
                <c:pt idx="0">
                  <c:v>0</c:v>
                </c:pt>
                <c:pt idx="2">
                  <c:v>0</c:v>
                </c:pt>
              </c:numCache>
            </c:numRef>
          </c:val>
        </c:ser>
        <c:ser>
          <c:idx val="1"/>
          <c:order val="1"/>
          <c:spPr>
            <a:solidFill>
              <a:srgbClr val="993366"/>
            </a:solidFill>
            <a:ln w="12700">
              <a:solidFill>
                <a:srgbClr val="000000"/>
              </a:solidFill>
              <a:prstDash val="solid"/>
            </a:ln>
            <a:effectLst/>
          </c:spPr>
          <c:explosion val="0"/>
          <c:dPt>
            <c:idx val="0"/>
            <c:bubble3D val="0"/>
            <c:spPr>
              <a:solidFill>
                <a:srgbClr val="9999FF"/>
              </a:solidFill>
              <a:ln w="12700">
                <a:solidFill>
                  <a:srgbClr val="000000"/>
                </a:solidFill>
                <a:prstDash val="solid"/>
              </a:ln>
              <a:effectLst/>
            </c:spPr>
          </c:dPt>
          <c:dPt>
            <c:idx val="1"/>
            <c:bubble3D val="0"/>
            <c:spPr>
              <a:solidFill>
                <a:srgbClr val="993366"/>
              </a:solidFill>
              <a:ln w="12700">
                <a:solidFill>
                  <a:srgbClr val="000000"/>
                </a:solidFill>
                <a:prstDash val="solid"/>
              </a:ln>
              <a:effectLst/>
            </c:spPr>
          </c:dPt>
          <c:dPt>
            <c:idx val="2"/>
            <c:bubble3D val="0"/>
            <c:spPr>
              <a:solidFill>
                <a:srgbClr val="FFFFCC"/>
              </a:solidFill>
              <a:ln w="12700">
                <a:solidFill>
                  <a:srgbClr val="000000"/>
                </a:solidFill>
                <a:prstDash val="solid"/>
              </a:ln>
              <a:effectLst/>
            </c:spPr>
          </c:dPt>
          <c:dLbls>
            <c:delete val="1"/>
          </c:dLbls>
          <c:cat>
            <c:strRef>
              <c:f>[2021决算公开图表.xls]Sheet1!$B$138:$B$140</c:f>
              <c:strCache>
                <c:ptCount val="3"/>
                <c:pt idx="0">
                  <c:v>因公出国（境）费支出</c:v>
                </c:pt>
                <c:pt idx="1">
                  <c:v>公务用车购置及运行维护费支出</c:v>
                </c:pt>
                <c:pt idx="2">
                  <c:v>公务接待费支出</c:v>
                </c:pt>
              </c:strCache>
            </c:strRef>
          </c:cat>
          <c:val>
            <c:numRef>
              <c:f>[2021决算公开图表.xls]Sheet1!$D$138:$D$140</c:f>
              <c:numCache>
                <c:formatCode>General</c:formatCode>
                <c:ptCount val="3"/>
                <c:pt idx="0">
                  <c:v>0</c:v>
                </c:pt>
                <c:pt idx="2" c:formatCode="0%">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655538146317946"/>
          <c:y val="0.400602409638554"/>
          <c:w val="0.338556104616126"/>
          <c:h val="0.472659870250232"/>
        </c:manualLayout>
      </c:layout>
      <c:overlay val="0"/>
      <c:spPr>
        <a:solidFill>
          <a:srgbClr val="FFFFFF"/>
        </a:solidFill>
        <a:ln>
          <a:solidFill>
            <a:srgbClr val="000000"/>
          </a:solidFill>
        </a:ln>
        <a:effectLst/>
      </c:spPr>
      <c:txPr>
        <a:bodyPr rot="0" spcFirstLastPara="0" vertOverflow="ellipsis" horzOverflow="overflow" vert="horz" wrap="square"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chart>
  <c:spPr>
    <a:solidFill>
      <a:srgbClr val="FFFFFF"/>
    </a:solidFill>
    <a:ln w="3175" cap="flat" cmpd="sng" algn="ctr">
      <a:solidFill>
        <a:srgbClr val="000000">
          <a:alpha val="100000"/>
        </a:srgbClr>
      </a:solidFill>
      <a:prstDash val="solid"/>
      <a:round/>
    </a:ln>
    <a:effectLst/>
  </c:spPr>
  <c:txPr>
    <a:bodyPr rot="0" spcFirstLastPara="0" vertOverflow="ellipsis" horzOverflow="overflow" vert="horz" wrap="square" anchor="ctr" anchorCtr="1"/>
    <a:lstStyle/>
    <a:p>
      <a:pPr>
        <a:defRPr lang="zh-CN" sz="1200" b="0" i="0" u="none" strike="noStrike">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31</Pages>
  <Words>12595</Words>
  <Characters>13980</Characters>
  <Lines>112</Lines>
  <Paragraphs>31</Paragraphs>
  <TotalTime>15</TotalTime>
  <ScaleCrop>false</ScaleCrop>
  <LinksUpToDate>false</LinksUpToDate>
  <CharactersWithSpaces>14327</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2022-10-07T01:09:00Z</dcterms:created>
  <dc:creator>曹颖</dc:creator>
  <cp:lastModifiedBy>Admin</cp:lastModifiedBy>
  <cp:lastPrinted>2022-08-06T02:23:00Z</cp:lastPrinted>
  <dcterms:modified xsi:type="dcterms:W3CDTF">2026-06-10T01:32:09Z</dcterms:modified>
  <dc:title>四川省***</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12D5C14B587A4D1EA5B61F509853B304_12</vt:lpwstr>
  </property>
</Properties>
</file>