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DD0F">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0FDFAD37">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4E59CF09">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1B27BC10">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6B8EAEB2">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174A8ABC">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340C4A7A">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p>
    <w:p w14:paraId="337959C1">
      <w:pPr>
        <w:widowControl/>
        <w:shd w:val="clear" w:color="auto" w:fill="FFFFFF"/>
        <w:spacing w:line="240" w:lineRule="auto"/>
        <w:jc w:val="center"/>
        <w:rPr>
          <w:rFonts w:hint="default" w:ascii="Times New Roman" w:hAnsi="Times New Roman" w:eastAsia="方正小标宋_GBK" w:cs="Times New Roman"/>
          <w:b/>
          <w:bCs/>
          <w:color w:val="000000"/>
          <w:sz w:val="52"/>
          <w:szCs w:val="52"/>
          <w:lang w:val="en-US" w:eastAsia="zh-CN"/>
        </w:rPr>
      </w:pPr>
      <w:r>
        <w:rPr>
          <w:rFonts w:hint="default" w:ascii="Times New Roman" w:hAnsi="Times New Roman" w:eastAsia="方正小标宋_GBK" w:cs="Times New Roman"/>
          <w:b/>
          <w:bCs/>
          <w:color w:val="000000"/>
          <w:sz w:val="52"/>
          <w:szCs w:val="52"/>
          <w:lang w:val="en-US" w:eastAsia="zh-CN"/>
        </w:rPr>
        <w:t>盐边县</w:t>
      </w:r>
      <w:r>
        <w:rPr>
          <w:rFonts w:hint="eastAsia" w:ascii="Times New Roman" w:hAnsi="Times New Roman" w:eastAsia="方正小标宋_GBK" w:cs="Times New Roman"/>
          <w:b/>
          <w:bCs/>
          <w:color w:val="000000"/>
          <w:sz w:val="52"/>
          <w:szCs w:val="52"/>
          <w:lang w:val="en-US" w:eastAsia="zh-CN"/>
        </w:rPr>
        <w:t>温泉</w:t>
      </w:r>
      <w:r>
        <w:rPr>
          <w:rFonts w:hint="default" w:ascii="Times New Roman" w:hAnsi="Times New Roman" w:eastAsia="方正小标宋_GBK" w:cs="Times New Roman"/>
          <w:b/>
          <w:bCs/>
          <w:color w:val="000000"/>
          <w:sz w:val="52"/>
          <w:szCs w:val="52"/>
          <w:lang w:val="en-US" w:eastAsia="zh-CN"/>
        </w:rPr>
        <w:t>彝族乡人民政府</w:t>
      </w:r>
    </w:p>
    <w:p w14:paraId="610DF6F4">
      <w:pPr>
        <w:widowControl/>
        <w:shd w:val="clear" w:color="auto" w:fill="FFFFFF"/>
        <w:spacing w:line="240" w:lineRule="auto"/>
        <w:jc w:val="center"/>
        <w:rPr>
          <w:rFonts w:hint="default" w:ascii="Times New Roman" w:hAnsi="Times New Roman" w:eastAsia="方正小标宋_GBK" w:cs="Times New Roman"/>
          <w:color w:val="000000"/>
          <w:sz w:val="52"/>
          <w:szCs w:val="52"/>
        </w:rPr>
      </w:pPr>
      <w:r>
        <w:rPr>
          <w:rFonts w:hint="default" w:ascii="Times New Roman" w:hAnsi="Times New Roman" w:eastAsia="方正小标宋_GBK" w:cs="Times New Roman"/>
          <w:b/>
          <w:bCs/>
          <w:color w:val="000000"/>
          <w:sz w:val="52"/>
          <w:szCs w:val="52"/>
        </w:rPr>
        <w:t>202</w:t>
      </w:r>
      <w:r>
        <w:rPr>
          <w:rFonts w:hint="eastAsia" w:ascii="Times New Roman" w:hAnsi="Times New Roman" w:eastAsia="方正小标宋_GBK" w:cs="Times New Roman"/>
          <w:b/>
          <w:bCs/>
          <w:color w:val="000000"/>
          <w:sz w:val="52"/>
          <w:szCs w:val="52"/>
          <w:lang w:val="en-US" w:eastAsia="zh-CN"/>
        </w:rPr>
        <w:t>6</w:t>
      </w:r>
      <w:r>
        <w:rPr>
          <w:rFonts w:hint="default" w:ascii="Times New Roman" w:hAnsi="Times New Roman" w:eastAsia="方正小标宋_GBK" w:cs="Times New Roman"/>
          <w:b/>
          <w:bCs/>
          <w:color w:val="000000"/>
          <w:sz w:val="52"/>
          <w:szCs w:val="52"/>
        </w:rPr>
        <w:t>年部门预算编制说明</w:t>
      </w:r>
    </w:p>
    <w:p w14:paraId="45C4D436">
      <w:pPr>
        <w:rPr>
          <w:rFonts w:hint="eastAsia" w:ascii="方正仿宋_GB2312" w:hAnsi="方正仿宋_GB2312" w:eastAsia="方正仿宋_GB2312" w:cs="方正仿宋_GB2312"/>
          <w:b w:val="0"/>
          <w:i w:val="0"/>
          <w:strike w:val="0"/>
          <w:color w:val="auto"/>
          <w:sz w:val="56"/>
          <w:szCs w:val="56"/>
          <w:u w:val="none"/>
        </w:rPr>
      </w:pPr>
    </w:p>
    <w:p w14:paraId="4C7FFAA7">
      <w:pPr>
        <w:rPr>
          <w:rFonts w:hint="eastAsia" w:ascii="方正仿宋_GB2312" w:hAnsi="方正仿宋_GB2312" w:eastAsia="方正仿宋_GB2312" w:cs="方正仿宋_GB2312"/>
          <w:b w:val="0"/>
          <w:i w:val="0"/>
          <w:strike w:val="0"/>
          <w:color w:val="auto"/>
          <w:sz w:val="56"/>
          <w:szCs w:val="56"/>
          <w:u w:val="none"/>
        </w:rPr>
      </w:pPr>
    </w:p>
    <w:p w14:paraId="13369088">
      <w:pPr>
        <w:rPr>
          <w:rFonts w:hint="eastAsia" w:ascii="方正仿宋_GB2312" w:hAnsi="方正仿宋_GB2312" w:eastAsia="方正仿宋_GB2312" w:cs="方正仿宋_GB2312"/>
          <w:b w:val="0"/>
          <w:i w:val="0"/>
          <w:strike w:val="0"/>
          <w:color w:val="auto"/>
          <w:sz w:val="56"/>
          <w:szCs w:val="56"/>
          <w:u w:val="none"/>
        </w:rPr>
      </w:pPr>
    </w:p>
    <w:p w14:paraId="1CC94AF4">
      <w:pPr>
        <w:rPr>
          <w:rFonts w:hint="eastAsia" w:ascii="方正仿宋_GB2312" w:hAnsi="方正仿宋_GB2312" w:eastAsia="方正仿宋_GB2312" w:cs="方正仿宋_GB2312"/>
          <w:b w:val="0"/>
          <w:i w:val="0"/>
          <w:strike w:val="0"/>
          <w:color w:val="auto"/>
          <w:sz w:val="56"/>
          <w:szCs w:val="56"/>
          <w:u w:val="none"/>
        </w:rPr>
      </w:pPr>
    </w:p>
    <w:p w14:paraId="201646D6">
      <w:pPr>
        <w:rPr>
          <w:rFonts w:hint="eastAsia" w:ascii="方正仿宋_GB2312" w:hAnsi="方正仿宋_GB2312" w:eastAsia="方正仿宋_GB2312" w:cs="方正仿宋_GB2312"/>
          <w:b w:val="0"/>
          <w:i w:val="0"/>
          <w:strike w:val="0"/>
          <w:color w:val="auto"/>
          <w:sz w:val="56"/>
          <w:szCs w:val="56"/>
          <w:u w:val="none"/>
        </w:rPr>
      </w:pPr>
    </w:p>
    <w:p w14:paraId="52629A43">
      <w:pPr>
        <w:rPr>
          <w:rFonts w:hint="eastAsia" w:ascii="方正仿宋_GB2312" w:hAnsi="方正仿宋_GB2312" w:eastAsia="方正仿宋_GB2312" w:cs="方正仿宋_GB2312"/>
          <w:b w:val="0"/>
          <w:i w:val="0"/>
          <w:strike w:val="0"/>
          <w:color w:val="auto"/>
          <w:sz w:val="56"/>
          <w:szCs w:val="56"/>
          <w:u w:val="none"/>
        </w:rPr>
      </w:pPr>
    </w:p>
    <w:p w14:paraId="4C2F2AEB">
      <w:pPr>
        <w:rPr>
          <w:rFonts w:hint="eastAsia" w:ascii="方正仿宋_GB2312" w:hAnsi="方正仿宋_GB2312" w:eastAsia="方正仿宋_GB2312" w:cs="方正仿宋_GB2312"/>
          <w:b w:val="0"/>
          <w:i w:val="0"/>
          <w:strike w:val="0"/>
          <w:color w:val="auto"/>
          <w:sz w:val="56"/>
          <w:szCs w:val="56"/>
          <w:u w:val="none"/>
        </w:rPr>
      </w:pPr>
    </w:p>
    <w:p w14:paraId="158BB7DD">
      <w:pPr>
        <w:rPr>
          <w:rFonts w:hint="eastAsia" w:ascii="方正仿宋_GB2312" w:hAnsi="方正仿宋_GB2312" w:eastAsia="方正仿宋_GB2312" w:cs="方正仿宋_GB2312"/>
          <w:b w:val="0"/>
          <w:i w:val="0"/>
          <w:strike w:val="0"/>
          <w:color w:val="auto"/>
          <w:sz w:val="56"/>
          <w:szCs w:val="56"/>
          <w:u w:val="none"/>
        </w:rPr>
      </w:pPr>
    </w:p>
    <w:p w14:paraId="28333C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目录</w:t>
      </w:r>
    </w:p>
    <w:p w14:paraId="19831111">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一、基本职能及主要工作…………………………………（4）（一）盐边县温泉彝族乡人民政府职能简介……………（4）（二）盐边县温泉彝族乡人民政府2026年重点工作……（5）   二、机构设置情况…………  …………………………（7）三、收支预算情况说明……………………………………（7）（一）收入预算情况………………………………………（8）（二）支出预算情况………………………………………（8）四、财政拨款收支预算情况说明…………………………（8）五、一般公共预算当年拨款情况说明……………………（9）（一）一般公共预算当年拨款规模变化情况……………（9）（二）一般公共预算当年拨款结构情况…………………（9）（三）一般公共预算当年拨款具体使用情况……………（9）六、一般公共预算基本支出情况说明……………………（13）七、“三公”经费财政拨款预算安排情况说明……………（13）（一）因公出国（境）经费………………………………（13）（二）公务接待费………………………………………（13）（三）公务用车购置及运行维护费………………………（13）八、政府性基金预算支出情况说明………………………（13）九、国有资本经营预算情况说明…………………………（15）十、其他重要事项的情况说明……………………………（15）（一）机关运行经费……………………………………（15）（二）政府采购情况……………………………………（15）（三）国有资产占有使用情况…………………………（16）（四）预算绩效情况……………………………………（16）十一、名词解释……………………………………………（16）附件：………………………………………………………（21）</w:t>
      </w:r>
    </w:p>
    <w:p w14:paraId="33D4B721">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0590279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A63FEC1">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27DF0D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510E0F9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54C0E67F">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195AC8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3247381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11197882">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5B4918D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69A1D84C">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0050A5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501550B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C295BCF">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6EFBC64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55BFA362">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74B5A48C">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08EC589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根据盐边县温泉彝族乡第十七届人民代表大会相关会议批准的盐边县温泉彝族乡2026年乡本级财政预算，盐边县温泉彝族乡人民政府批复了2026年部门预算，并对2026年部门预算公开作了明确要求。现按照《中华人民共和国预算法》和《中华人民共和国预算法实施条例》相关规定，将我单位2026年部门预算说明如下:</w:t>
      </w:r>
    </w:p>
    <w:p w14:paraId="02A15D7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一、基本职能及主要工作</w:t>
      </w:r>
    </w:p>
    <w:p w14:paraId="704EFA69">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（一）盐边县温泉彝族乡人民政府职能简介</w:t>
      </w:r>
    </w:p>
    <w:p w14:paraId="6476623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1.贯彻执行党和国家的各项方针、政策、法律、法规，以及上级行政机关和本乡党委、乡人代会的决定、决议。</w:t>
      </w:r>
    </w:p>
    <w:p w14:paraId="7623AEA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638" w:leftChars="304" w:right="0" w:rightChars="0" w:firstLine="0" w:firstLineChars="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2.制定并执行本行政区域内经济和社会发展规划、计划。3.负责乡村振兴、新农村建设和推进城乡一体化的组织和实施。</w:t>
      </w:r>
    </w:p>
    <w:p w14:paraId="1AF34A7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4.负责辖区经济、文化、教育、科学、卫生健康、民政、社会保障、民族宗教、村镇建设、司法、退役军人、扶贫、信访、安全、统计等行政管理和服务工作。</w:t>
      </w:r>
    </w:p>
    <w:p w14:paraId="3DC7D04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5.负责农业产业结构调整和“三农”服务工作。</w:t>
      </w:r>
    </w:p>
    <w:p w14:paraId="31E18AEE">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6.建立健全社会治理防控体系，开展爱国卫生、环境卫生监督检查，承担环境、资源保护等工作，促进人与自然和谐发展。</w:t>
      </w:r>
    </w:p>
    <w:p w14:paraId="3E4F9C1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7.负责应急管理、安全生产、抢险救灾等工作，保护人民群众生命财产安全。</w:t>
      </w:r>
    </w:p>
    <w:p w14:paraId="22B92BC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8.完成上级党委、政府交办的其他工作。</w:t>
      </w:r>
    </w:p>
    <w:p w14:paraId="733A580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（二）盐边县温泉彝族乡人民政府2026年重点工作</w:t>
      </w:r>
    </w:p>
    <w:p w14:paraId="1C478C09">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default" w:ascii="方正仿宋_GB2312" w:hAnsi="方正仿宋_GB2312" w:eastAsia="方正仿宋_GB2312" w:cs="方正仿宋_GB2312"/>
          <w:b w:val="0"/>
          <w:i w:val="0"/>
          <w:strike w:val="0"/>
          <w:color w:val="auto"/>
          <w:kern w:val="0"/>
          <w:sz w:val="32"/>
          <w:szCs w:val="32"/>
          <w:u w:val="none"/>
          <w:lang w:val="en-US" w:eastAsia="zh-CN" w:bidi="ar"/>
        </w:rPr>
      </w:pPr>
      <w:r>
        <w:rPr>
          <w:rFonts w:hint="default" w:ascii="方正仿宋_GB2312" w:hAnsi="方正仿宋_GB2312" w:eastAsia="方正仿宋_GB2312" w:cs="方正仿宋_GB2312"/>
          <w:b w:val="0"/>
          <w:i w:val="0"/>
          <w:strike w:val="0"/>
          <w:color w:val="auto"/>
          <w:kern w:val="0"/>
          <w:sz w:val="32"/>
          <w:szCs w:val="32"/>
          <w:u w:val="none"/>
          <w:lang w:val="en-US" w:eastAsia="zh-CN" w:bidi="ar"/>
        </w:rPr>
        <w:t>紧扣县委“一区五县、共富共兴”总体战略，聚焦共富试验区建设，以“资源转化、产业带动、民生兜底、文化赋能”为路径，主攻产业融合、项目攻坚、民生提质、治理增效，推动彝乡共同富裕建设走深走实。</w:t>
      </w:r>
    </w:p>
    <w:p w14:paraId="06C49942">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default" w:ascii="方正仿宋_GB2312" w:hAnsi="方正仿宋_GB2312" w:eastAsia="方正仿宋_GB2312" w:cs="方正仿宋_GB2312"/>
          <w:b w:val="0"/>
          <w:i w:val="0"/>
          <w:strike w:val="0"/>
          <w:color w:val="auto"/>
          <w:kern w:val="0"/>
          <w:sz w:val="32"/>
          <w:szCs w:val="32"/>
          <w:u w:val="none"/>
          <w:lang w:val="en-US" w:eastAsia="zh-CN" w:bidi="ar"/>
        </w:rPr>
      </w:pPr>
      <w:r>
        <w:rPr>
          <w:rFonts w:hint="default" w:ascii="方正仿宋_GB2312" w:hAnsi="方正仿宋_GB2312" w:eastAsia="方正仿宋_GB2312" w:cs="方正仿宋_GB2312"/>
          <w:b w:val="0"/>
          <w:i w:val="0"/>
          <w:strike w:val="0"/>
          <w:color w:val="auto"/>
          <w:kern w:val="0"/>
          <w:sz w:val="32"/>
          <w:szCs w:val="32"/>
          <w:u w:val="none"/>
          <w:lang w:val="en-US" w:eastAsia="zh-CN" w:bidi="ar"/>
        </w:rPr>
        <w:t>一是攻坚产业融合，壮大共富底盘（1-12月）。推动野趣温泉项目完成剩余30%工程，引入专业运营团队实现试运营，打造“温泉民宿+彝族餐饮+农事体验”业态，力争年接待游客3万人次。烤烟种植稳定在3350亩，新建烤房20间；中药材种植扩至1000亩，配套建设初加工车间；金窝凼电商平台年销售额突破500万元，实现行政村电商全覆盖。二是补齐设施短板，夯实发展基础（3-10月）。完成剩余行政村产业路硬化，实施道角村、那片村灌溉工程，解决产业发展“用水难、运输难”问题。持续推进城乡供水提质扩面项目，实现安全饮水全域覆盖；升级集镇配套设施，打造民族特色风貌街区。三是聚焦民生提质，增进群众福祉（1-12月）。开发公益性岗位30个，确保低收入家庭人均收入增长6%以上。在野麻地村建设村级养老服务站，覆盖200名60岁以上老人；联合县级医疗机构开展义诊6次，完成80户土坯房改造，提升住房安全保障水平。四是深化基层治理，筑牢平安根基（1-12月）。优化“一中心、十联户”机制，开展法律培训4次、“送法进群众”活动3次。升级数字治理平台，对接“多多码・笮即办”拓展产业服务功能，缩短群众诉求响应时效40%。打造2条民族文化长廊，开展文化下乡6次，厚植精神文明底蕴。</w:t>
      </w:r>
    </w:p>
    <w:p w14:paraId="090B96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聚焦项目攻坚，激活区域发展动能。全力推进道角村村部拆除重建项目落地完工，完善村级组织阵地功能。抢抓交通发展机遇，持续完善辖区农村基础设施，推进农村路网、水利设施提质升级。用好森林草原防灭火、集镇环卫保洁等专项经费，保障常态化运维工作落地。紧盯上级政策导向，持续谋划、储备、申报基础设施与产业类新项目，积极争取资金支持，放大项目带动效应。</w:t>
      </w:r>
    </w:p>
    <w:p w14:paraId="7AA23B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聚焦基层治理，营造和谐宜居环境。扎实开展村级换届选举工作，严格规范选举流程，选优配强村级班子。落实乡村治理补助、少数民族工作经费，深化民族团结进步工作，提升乡村治理精细化水平。常态化开展集镇环境卫生整治，落实环卫保洁专项工作，改善人居环境。严格落实防灾减灾、安全生产各项制度，常态化开展隐患排查、应急值守、安全劝导，筑牢防汛、防火、道路交通等安全防线，守护群众生命财产安全。</w:t>
      </w:r>
    </w:p>
    <w:p w14:paraId="11D91A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聚焦民生保障，提升公共服务水平。足额保障驻村工作队运转经费，持续发挥驻村帮扶作用。落实基本公共卫生服务经费，提升基层医疗卫生服务能力，守护群众身体健康。统筹用好村级公共服务运行经费，保障各村基础设施、公共服务设施正常运转，切实解决群众急难愁盼问题，不断提升群众幸福感与满意度。</w:t>
      </w:r>
    </w:p>
    <w:p w14:paraId="5A26FE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聚焦队伍建设，强化政务服务能力。持续加强干部队伍思想政治建设与作风建设，严格落实中央八项规定精神。坚持求真务实、担当作为，提升干部履职能力与执行效率。规范公务运行、经费管理，严控“三公”经费支出，打造廉洁、高效、务实的基层政府队伍，全面提升政务服务质效。</w:t>
      </w:r>
    </w:p>
    <w:p w14:paraId="20A38C9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二、机构设置情况</w:t>
      </w:r>
    </w:p>
    <w:p w14:paraId="59D46F5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内设机构和事业机构共计9个，其中行政单位6个，主要包括：盐边县温泉彝族乡综合办公室、盐边县温泉彝族乡党建办公室、盐边县温泉彝族乡应急办公室、盐边县温泉彝族乡社会治理和综合行政执法办公室、盐边县温泉彝族乡经济发展和社会事务办公室、盐边县温泉彝族乡财政所；参照公务员法管理的事业单位0个；公益一类事业单位3个。主要包括：盐边县温泉彝族乡便民服务中心、盐边县温泉彝族乡农业农村服务中心、盐边县温泉彝族乡村镇建设服务中心。</w:t>
      </w:r>
    </w:p>
    <w:p w14:paraId="11CE04A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三、收支预算情况说明</w:t>
      </w:r>
    </w:p>
    <w:p w14:paraId="67FAB95B">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按照综合预算的原则，温泉彝族乡人民政府所有收入和支出均纳入部门预算管理。收入包括：一般公共预算拨款收入、政府性基金预算拨款收入、国有资本经营预算拨款收入、事业收入、事业单位经营收入等；支出包括：一般公共服务支出、社会保障和就业支出、卫生健康支出、农林水支出等。温泉彝族乡人民政府2026年收支总预算1097.10万元。对比2025年预算数953.52万元，增加143.58万元</w:t>
      </w:r>
      <w:bookmarkStart w:id="0" w:name="_GoBack"/>
      <w:bookmarkEnd w:id="0"/>
      <w:r>
        <w:rPr>
          <w:rFonts w:hint="eastAsia" w:ascii="方正仿宋_GB2312" w:hAnsi="方正仿宋_GB2312" w:eastAsia="方正仿宋_GB2312" w:cs="方正仿宋_GB2312"/>
          <w:b w:val="0"/>
          <w:i w:val="0"/>
          <w:strike w:val="0"/>
          <w:color w:val="auto"/>
          <w:kern w:val="0"/>
          <w:sz w:val="32"/>
          <w:szCs w:val="32"/>
          <w:u w:val="none"/>
          <w:lang w:val="en-US" w:eastAsia="zh-CN" w:bidi="ar"/>
        </w:rPr>
        <w:t>，增幅15.06%，主要原因是上级下达森林草原防灭火、农村基础设施建设、集镇环卫、村级换届选举等多项专项经费，项目支出规模扩大。</w:t>
      </w:r>
    </w:p>
    <w:p w14:paraId="3CF7602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（一）收入预算情况</w:t>
      </w:r>
    </w:p>
    <w:p w14:paraId="2BDAAC2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温泉彝族乡人民政府2026年收入预算1097.10万元，其中：上年结转0万元，占0%；一般公共预算拨款1097.10万元，占100%；政府性基金预算拨款收入0万元，占0%；事业收入0万元，占0%。</w:t>
      </w:r>
    </w:p>
    <w:p w14:paraId="40D3853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（二）支出预算情况</w:t>
      </w:r>
    </w:p>
    <w:p w14:paraId="4A11CBB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温泉彝族乡人民政府2026年支出预算1097.10万元，其中：基本支出864.96万元，占78.84%；项目支出232.14万元，占21.16%。</w:t>
      </w:r>
    </w:p>
    <w:p w14:paraId="65BF20AB">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四、财政拨款收支预算情况说明</w:t>
      </w:r>
    </w:p>
    <w:p w14:paraId="1858706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财政拨款收支总预算1097.10万元。收入包括：本年一般公共预算拨款收入1097.10万元、本年政府性基金预算拨款收入0万元；支出包括：一般公共服务支出365.36万元、社会保障和就业支出173.47万元、卫生健康支出41.24万元、城乡社区支出14.02万元、农林水支出385.76万元、住房保障支出50.95万元、其他支出57.29万元。</w:t>
      </w:r>
    </w:p>
    <w:p w14:paraId="05B1E8FE">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五、一般公共预算当年拨款情况说明</w:t>
      </w:r>
    </w:p>
    <w:p w14:paraId="64572F4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（一）一般公共预算当年拨款规模变化情况</w:t>
      </w:r>
    </w:p>
    <w:p w14:paraId="49AE0E3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一般公共预算当年拨款1097.10万元，比2025年预算数953.52万元增加143.58万元，增幅15.06%。主要原因是新增道角村村部拆除重建、森林草原防灭火、集镇环卫保洁、村级换届选举、驻村工作等专项项目，上级专项补助经费增加。</w:t>
      </w:r>
    </w:p>
    <w:p w14:paraId="19FDCE32">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（二）一般公共预算当年拨款结构情况</w:t>
      </w:r>
    </w:p>
    <w:p w14:paraId="40A898E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支出365.36万元，占33.30%；社会保障和就业支出173.47万元，占15.81%；卫生健康支出41.24万元，占3.76%；城乡社区支出14.02万元，占1.28%；农林水支出385.76万元，占35.16%；住房保障支出50.95万元，占4.64%；其他支出57.29万元，占5.22%。</w:t>
      </w:r>
    </w:p>
    <w:p w14:paraId="72AB4A5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（三）一般公共预算当年拨款具体使用情况</w:t>
      </w:r>
    </w:p>
    <w:p w14:paraId="7303E44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一般公共服务（201类）人大事务（01款）行政运行（01项）2026年预算数为18.10万元，主要用于：人员工资、保险、奖金等支出和机构日常运行经费。</w:t>
      </w:r>
    </w:p>
    <w:p w14:paraId="31BA636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一般公共服务（201类）人大事务（01款）人大会议（04项）2026年预算数为3.25万元，主要用于：人代会议费及人大代表活动支出。</w:t>
      </w:r>
    </w:p>
    <w:p w14:paraId="5F40F0B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一般公共服务（201类）政府办公厅（室）及相关机构事务（03款）行政运行（01项）2026年预算数为180.38万元，主要用于：人员工资、保险、奖金等支出和机构日常运行经费。</w:t>
      </w:r>
    </w:p>
    <w:p w14:paraId="5CED521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一般公共服务（201类）政府办公厅（室）及相关机构事务（03款）一般行政管理事务（02项）2026年预算数为1.11万元，主要用于：乡村治理补助支出。</w:t>
      </w:r>
    </w:p>
    <w:p w14:paraId="273CFED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一般公共服务（201类）政府办公厅（室）及相关机构事务（03款）事业运行（50项）2026年预算数为55.66万元，主要用于：人员工资、保险、绩效奖金等支出和事业单位运行经费。</w:t>
      </w:r>
    </w:p>
    <w:p w14:paraId="2FF022E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一般公共服务（201类）民族事务（23款）民族工作专项（04项）2026年预算数为2.44万元，主要用于：少数民族工作经费支出。</w:t>
      </w:r>
    </w:p>
    <w:p w14:paraId="26EA85D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一般公共服务（201类）党委办公厅（室）及相关机构事务（31款）行政运行（01项）2026年预算数为104.43万元，主要用于：人员工资、保险、奖金等支出和机构日常运行经费。</w:t>
      </w:r>
    </w:p>
    <w:p w14:paraId="7EADEDA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社会保障和就业支出（208类）人力资源和社会保障管理事务（01款）社会保险经办机构（09项）2026年预算数为95.62万元，主要用于：人员工资、保险、绩效奖金支出和机构运行经费。</w:t>
      </w:r>
    </w:p>
    <w:p w14:paraId="3F2FA33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社会保障和就业支出（208类）人力资源和社会保障管理事务（01款）其他人力资源和社会保障管理事务支出（99项）2026年预算为10.50万元，主要用于：社工工资、保险等支出。</w:t>
      </w:r>
    </w:p>
    <w:p w14:paraId="76DF634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社会保障和就业支出（208类）行政事业单位养老支出（05款）行政单位离退休（01项）2026年预算数为6.66万元，主要用于：行政退休人员相关费用。</w:t>
      </w:r>
    </w:p>
    <w:p w14:paraId="177BA8B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社会保障和就业支出（208类）行政事业单位养老支出（05款）事业单位离退休（02项）2026年预算数为5.42万元，主要用于：事业退休人员相关费用。</w:t>
      </w:r>
    </w:p>
    <w:p w14:paraId="3F28798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社会保障和就业支出（208类）行政事业单位养老支出（05款）机关事业单位基本养老保险缴费支出（05项）2026年预算数为55.27万元，主要用于：职工基本养老保险单位缴费支出。</w:t>
      </w:r>
    </w:p>
    <w:p w14:paraId="1356B87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卫生健康支出（210类）公共卫生（04款）其他公共卫生支出（99项）2026年预算数为2.77万元，主要用于：基本公共卫生服务相关支出。</w:t>
      </w:r>
    </w:p>
    <w:p w14:paraId="4E04275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卫生健康支出（210类）行政事业单位医疗（11款）行政单位医疗（01项）2026年预算数为19.91万元，主要用于：行政单位职工基本医疗保险支出。</w:t>
      </w:r>
    </w:p>
    <w:p w14:paraId="2337620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卫生健康支出（210类）行政事业单位医疗（11款）事业单位医疗（02项）2026年预算数为12.78万元，主要用于：事业单位职工基本医疗保险支出。</w:t>
      </w:r>
    </w:p>
    <w:p w14:paraId="3E0DD4E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卫生健康支出（210类）行政事业单位医疗（11款）公务员医疗补助（03项）2026年预算数为2.04万元，主要用于：职工大病医疗保险补助支出。</w:t>
      </w:r>
    </w:p>
    <w:p w14:paraId="3F894B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卫生健康支出（210类）行政事业单位医疗（11款）其他行政事业单位医疗支出（99项）2026年预算数为3.74万元，主要用于：职工医疗相关其他支出。</w:t>
      </w:r>
    </w:p>
    <w:p w14:paraId="03426A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城乡社区支出（212类）城乡社区环境卫生（05款）城乡社区环境卫生（01项）2026年预算数为14.02万元，主要用于：集镇环卫清扫保洁专项支出。</w:t>
      </w:r>
    </w:p>
    <w:p w14:paraId="2F6A382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农林水支出（213类）农业农村（01款）事业运行（04项）2026年预算数为26.79万元，主要用于：农业农村服务中心人员工资、保险、绩效等支出和机构运行经费。</w:t>
      </w:r>
    </w:p>
    <w:p w14:paraId="6B12DFD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农林水支出（213类）林业草原（02款）林业草原防灾减灾（34项）2026年预算数为30万元，主要用于：森林草原防灭火专项工作支出。</w:t>
      </w:r>
    </w:p>
    <w:p w14:paraId="7D88BE9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农林水支出（213类）乡村振兴（05款）农村基础设施建设（04项）2026年预算数为108.55万元，主要用于：道角村村部拆除重建项目支出。</w:t>
      </w:r>
    </w:p>
    <w:p w14:paraId="68D2B5C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农林水支出（213类）乡村振兴（05款）其他巩固脱贫攻坚成果衔接乡村振兴支出（99项）2026年预算数为6.00万元，主要用于：驻村工作队专项经费支出。</w:t>
      </w:r>
    </w:p>
    <w:p w14:paraId="4ECA1EA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农林水支出（213类）农村综合改革（07款）对村民委员会和村党支部的补助（05项）2026年预算数为214.43万元，主要用于：村干部工资、绩效、村级组织运转、村级换届选举、省级村级公共服务等支出。</w:t>
      </w:r>
    </w:p>
    <w:p w14:paraId="38F0F16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住房保障支出（221类）住房改革支出（02款）住房公积金（01项）2026年预算数为50.95万元，主要用于：单位为职工缴纳的住房公积金支出。</w:t>
      </w:r>
    </w:p>
    <w:p w14:paraId="69EFDFB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预备费（227类）预备费2026年预算数为9.00万元，主要用于：年度预算执行中临时增加的支出。</w:t>
      </w:r>
    </w:p>
    <w:p w14:paraId="0019FD8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3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其他支出（229类）年初预留（02款）年初预留（01项）2026年预算数为57.29万元，主要用于：年度预留统筹支出。</w:t>
      </w:r>
    </w:p>
    <w:p w14:paraId="190F97B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六、一般公共预算基本支出情况说明</w:t>
      </w:r>
    </w:p>
    <w:p w14:paraId="7CF5D3F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一般公共预算基本支出864.96万元，其中：人员经费754.70万元，主要包括：基本工资124.01万元、津贴补贴84.72万元、奖金64.01万元、绩效工资78.90万元、机关事业单位基本养老保险缴费55.27万元、职工基本医疗保险缴费32.69万元、公务员医疗补助2.04万元、其他社会保障缴费1.49万元、住房公积金50.95万元、医疗费1.56万元、其他工资福利支出35.70万元、对个人和家庭的补助179.30万元。</w:t>
      </w:r>
    </w:p>
    <w:p w14:paraId="5D20AFCB">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公用经费110.26万元，主要包括：办公费35.22万元、水费1.20万元、电费1.80万元、邮电费1.20万元、差旅费9.00万元、维修（护）费0.12万元、会议费0.70万元、培训费1.12万元、公务接待费0.40万元、劳务费5.58万元、委托业务费3.72万元、工会经费7.64万元、公务用车运行维护费7.44万元、其他交通费用15.00万元、税金及附加费用6.90万元、其他商品和服务支出13.22万元。</w:t>
      </w:r>
    </w:p>
    <w:p w14:paraId="49ED886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七、“三公”经费财政拨款预算安排情况说明</w:t>
      </w:r>
    </w:p>
    <w:p w14:paraId="6E5F88F7">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三公”经费财政拨款预算数7.84万元，其中：因公出国（境）经费0万元，公务接待费0.40万元，公务用车购置及运行维护费7.44万元。2025年“三公”经费预算为5.05万元，2026年较上年增加2.79万元，主要原因是应急巡查、乡村振兴、森林草原防灭火等外勤工作增多，公务用车运行维护费用增加。</w:t>
      </w:r>
    </w:p>
    <w:p w14:paraId="5ADE37C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（一）因公出国（境）经费</w:t>
      </w:r>
    </w:p>
    <w:p w14:paraId="178F5E4E">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因公出国（境）经费预算为0万元，与2025年预算持平。根据上级外事相关安排，2026年无因公临时出国（境）团组及人员计划。</w:t>
      </w:r>
    </w:p>
    <w:p w14:paraId="2C4F84F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（二）公务接待费</w:t>
      </w:r>
    </w:p>
    <w:p w14:paraId="1A71348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2026年公务接待费预算0.40万元，较2025年0.60万元下降33.33%。严格落实公务接待管控要求，持续压减非必要公务接待，厉行勤俭节约。该经费主要用于上级督查调研、跨乡镇协作交流等合规公务接待支出。</w:t>
      </w:r>
    </w:p>
    <w:p w14:paraId="50B688D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（三）公务用车购置及运行维护费</w:t>
      </w:r>
    </w:p>
    <w:p w14:paraId="4A92BA0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2026年公务用车购置及运行维护费预算7.44万元，较2025年4.45万元有所增加。单位现有公务用车2辆，为越野车。2026年安排公务用车购置费0万元，本年度无公务用车购置计划。2026年安排公务用车运行维护费7.44万元，主要用于公务用车燃油、维修、保险、通行等支出，重点保障森林草原防灭火、安全生产、防汛巡查、乡村振兴、项目督导等一线工作开展。</w:t>
      </w:r>
    </w:p>
    <w:p w14:paraId="42D0A87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八、政府性基金预算支出情况说明</w:t>
      </w:r>
    </w:p>
    <w:p w14:paraId="1E3180A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盐边县温泉彝族乡人民政府2026年政府性基金预算支出0万元，其中：基本支出0万元，项目支出0万元。本年度无政府性基金预算收支安排。</w:t>
      </w:r>
    </w:p>
    <w:p w14:paraId="64D76B02">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九、国有资本经营预算情况说明</w:t>
      </w:r>
    </w:p>
    <w:p w14:paraId="30E8DEC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盐边县温泉彝族乡人民政府2026年国有资本经营预算支出0万元，其中：基本支出0万元，项目支出0万元。本年度无国有资本经营预算收支安排。</w:t>
      </w:r>
    </w:p>
    <w:p w14:paraId="240B6169">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十、其他重要事项的情况说明</w:t>
      </w:r>
    </w:p>
    <w:p w14:paraId="6DE51DE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（一）机关运行经费</w:t>
      </w:r>
    </w:p>
    <w:p w14:paraId="466A793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2026年，盐边县温泉彝族乡人民政府机关运行经费财政拨款预算为110.26万元，比2025年预算102.22万元增加8.04万元，增长7.86%。增长原因是辖区范围广、外勤工作、专项工作增多，办公、差旅、劳务等日常运转支出相应增加。具体经费支出为：办公费35.22万元、水费1.20万元、电费1.80万元、邮电费1.20万元、差旅费9.00万元、维修（护）费0.12万元、会议费0.70万元、培训费1.12万元、公务接待费0.40万元、劳务费5.58万元、委托业务费3.72万元、工会经费7.64万元、公务用车运行维护费7.44万元、其他交通费用15.00万元、税金及附加费用6.90万元、其他商品和服务支出13.22万元。</w:t>
      </w:r>
    </w:p>
    <w:p w14:paraId="346EC38C">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（二）政府采购情况</w:t>
      </w:r>
    </w:p>
    <w:p w14:paraId="0C4A947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2026年，盐边县温泉彝族乡人民政府安排政府采购预算0万元，其中：政府采购货物预算0万元；政府采购工程预算0万元；政府采购服务预算0万元。本年度无政府采购项目安排。</w:t>
      </w:r>
    </w:p>
    <w:p w14:paraId="1E34AA9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（三）国有资产占有使用情况</w:t>
      </w:r>
    </w:p>
    <w:p w14:paraId="5257715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截至2025年底，盐边县温泉彝族乡人民政府及所属的非独立核算单位共有车辆2辆，为越野车，执法执勤用车0辆。单位价值200万元以上大型设备0台（套）。本年度无新增大型设备、公务用车计划。</w:t>
      </w:r>
    </w:p>
    <w:p w14:paraId="3826C10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（四）预算绩效情况</w:t>
      </w:r>
    </w:p>
    <w:p w14:paraId="0269890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2026年盐边县温泉彝族乡人民政府开展绩效目标管理的项目11个，涉及预算232.14万元。所有项目均为特定目标类项目，涵盖人大事务、乡村治理、民族工作、公共卫生、城乡环卫、森林草原防灭火、农村基础设施、驻村帮扶、村级运转、换届选举等领域，全部纳入预算绩效全过程管理。</w:t>
      </w:r>
    </w:p>
    <w:p w14:paraId="59D12F10">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643" w:firstLineChars="200"/>
        <w:jc w:val="both"/>
        <w:textAlignment w:val="auto"/>
        <w:rPr>
          <w:rFonts w:hint="eastAsia" w:ascii="方正仿宋_GB2312" w:hAnsi="方正仿宋_GB2312" w:eastAsia="方正仿宋_GB2312" w:cs="方正仿宋_GB2312"/>
          <w:b/>
          <w:i w:val="0"/>
          <w:strike w:val="0"/>
          <w:color w:val="auto"/>
          <w:kern w:val="2"/>
          <w:sz w:val="32"/>
          <w:szCs w:val="32"/>
          <w:u w:val="none"/>
          <w:lang w:val="en-US" w:eastAsia="zh-CN" w:bidi="ar-SA"/>
        </w:rPr>
      </w:pPr>
      <w:r>
        <w:rPr>
          <w:rFonts w:hint="eastAsia" w:ascii="方正仿宋_GB2312" w:hAnsi="方正仿宋_GB2312" w:eastAsia="方正仿宋_GB2312" w:cs="方正仿宋_GB2312"/>
          <w:b/>
          <w:i w:val="0"/>
          <w:strike w:val="0"/>
          <w:color w:val="auto"/>
          <w:kern w:val="0"/>
          <w:sz w:val="32"/>
          <w:szCs w:val="32"/>
          <w:u w:val="none"/>
          <w:lang w:val="en-US" w:eastAsia="zh-CN" w:bidi="ar"/>
        </w:rPr>
        <w:t>十一、名词解释</w:t>
      </w:r>
    </w:p>
    <w:p w14:paraId="0519A2FC">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480" w:leftChars="0" w:right="0" w:rightChars="0" w:firstLine="640" w:firstLineChars="200"/>
        <w:jc w:val="left"/>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一般公共预算拨款收入：指财政当年拨付的一般公共预算资金。</w:t>
      </w:r>
    </w:p>
    <w:p w14:paraId="36226FDD">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一般公共服务（201类）人大事务（01款）行政运行（01项）：反映行政单位（包括实行公务员管理的事业单位）的基本支出。</w:t>
      </w:r>
    </w:p>
    <w:p w14:paraId="368008CB">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一般公共服务（201类）人大事务（01款）人大会议（04项）：反映各级人大召开人民代表大会等专门会议的支出。</w:t>
      </w:r>
    </w:p>
    <w:p w14:paraId="739A81C5">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一般公共服务（201类）政府办公厅（室）及相关机构事务（03款）行政运行（01项）：反映行政单位（包括实行公务员管理的事业单位）的基本支出。</w:t>
      </w:r>
    </w:p>
    <w:p w14:paraId="36235540">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一般公共服务（201类）政府办公厅（室）及相关机构事务（03款）一般行政管理事务（02项）：反映行政单位（包括实行公务员管理的事业单位）未单独设置项级科目的其他项目支出。</w:t>
      </w:r>
    </w:p>
    <w:p w14:paraId="096228D5">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一般公共服务（201类）政府办公厅（室）及相关机构事务（03款）事业运行（50项）：反映事业单位的基本支出，不包括行政单位（包括实行公务员管理的事业单位）后勤服务中心、医务室等附属事业单位。</w:t>
      </w:r>
    </w:p>
    <w:p w14:paraId="60D71FE3">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一般公共服务（201类）民族事务（23款）民族工作专项（04项）：反映用于民族事务管理方面的专项支出。</w:t>
      </w:r>
    </w:p>
    <w:p w14:paraId="7640BB3C">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一般公共服务（201类）党委办公厅（室）及相关机构事务（31款）行政运行（01项）：反映行政单位（包括实行公务员管理的事业单位）的基本支出。</w:t>
      </w:r>
    </w:p>
    <w:p w14:paraId="3A5B7CC2">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社会保障和就业支出（208类）人力资源和社会保障管理事务（01款）社会保险经办机构（09项）：反映社会保险经办机构开展业务工作的支出。</w:t>
      </w:r>
    </w:p>
    <w:p w14:paraId="1D1D2CC0">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社会保障和就业支出（208类）人力资源和社会保障管理事务（01款）其他人力资源和社会保障管理事务支出（99项）：反映除上述项目以外其他用于人力资源和社会保障管理事务方面的支出。</w:t>
      </w:r>
    </w:p>
    <w:p w14:paraId="570E2C9E">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社会保障和就业支出（208类）行政事业单位养老支出（05款）行政单位离退休（01项）：反映行政单位（包括实行公务员管理的事业单位）开支的离退休经费。</w:t>
      </w:r>
    </w:p>
    <w:p w14:paraId="13D97FA0">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社会保障和就业支出（208类）行政事业单位养老支出（05款）事业单位离退休（02项）：反映事业单位开支的离退休经费。</w:t>
      </w:r>
    </w:p>
    <w:p w14:paraId="1917FB66">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社会保障和就业支出（208类）行政事业单位养老支出（05款）机关事业单位基本养老保险缴费支出（05项）：反映机关事业单位实施养老保险制度由单位缴纳的基本养老保险费支出。</w:t>
      </w:r>
    </w:p>
    <w:p w14:paraId="3BC9D942">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卫生健康支出（210类）公共卫生（04款）其他公共卫生支出（99项）：反映除上述项目以外的其他用于公共卫生方面的支出。</w:t>
      </w:r>
    </w:p>
    <w:p w14:paraId="1B66D94E">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行政单位医疗（01项）：反映财政部门安排的行政单位（包括实行公务员管理的事业单位，下同）基本医疗保险缴费经费，未参加医疗保险的行政单位的公费医疗经费，按国家规定享受离休人员、红军老战士待遇人员的医疗经费。</w:t>
      </w:r>
    </w:p>
    <w:p w14:paraId="47C8431F">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事业单位医疗（02项）：反映财政部门安排的事业单位基本医疗保险缴费经费，未参加医疗保险的事业单位的公费医疗经费，按国家规定享受离休人员待遇的医疗经费。</w:t>
      </w:r>
    </w:p>
    <w:p w14:paraId="7479BA53">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卫生健康支出（210类）行政事业单位医疗（11款）公务员医疗补助（03项）：反映财政部门安排的公务员医疗补助经费。</w:t>
      </w:r>
    </w:p>
    <w:p w14:paraId="552267F2">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卫生健康支出（210类）行政事业单位医疗（11款）其他行政事业单位医疗支出（99项）：反映除上述项目以外的其他用于行政事业单位医疗方面的支出。</w:t>
      </w:r>
    </w:p>
    <w:p w14:paraId="53231106">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城乡社区支出（212类）城乡社区环境卫生（05款）城乡社区环境卫生（01项）：反映城乡社区道路清扫、垃圾清运、公厕管理、绿化养护等环境卫生相关支出。</w:t>
      </w:r>
    </w:p>
    <w:p w14:paraId="5005535E">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农林水支出（213类）农业农村（01款）事业运行（04项）：反映用于农业事业单位基本支出，事业单位设施、系统运行与资产维护等方面的支出。</w:t>
      </w:r>
    </w:p>
    <w:p w14:paraId="4E787959">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农林水支出（213类）林业草原（02款）林业草原防灾减灾（34项）：反映林业、草原防火、防虫、防灾减灾等相关支出。</w:t>
      </w:r>
    </w:p>
    <w:p w14:paraId="3AEE8801">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农林水支出（213类）乡村振兴（05款）农村基础设施建设（04项）：反映农村道路、村部、水利等基础设施建设、改造相关支出。</w:t>
      </w:r>
    </w:p>
    <w:p w14:paraId="36B14021">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农林水支出（213类）农村综合改革（07款）对村民委员会和村党支部的补助（05项）：反映各级财政对村民委员会和村党支部的补助支出，以及支持建立县级基本财力保障机制安排的村级组织运转奖补资金。</w:t>
      </w:r>
    </w:p>
    <w:p w14:paraId="3E9A1BDE">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住房保障支出（221类）住房改革支出（02款）住房公积金（01项）：反映行政事业单位按人力资源和社会保障部、财政部规定的基本工资和津贴补贴以及规定比例为职工缴纳的住房公积金。</w:t>
      </w:r>
    </w:p>
    <w:p w14:paraId="4E41DC3C">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基本支出：指为保证机构正常运转，完成日常工作任务而发生的人员支出和公用支出。</w:t>
      </w:r>
    </w:p>
    <w:p w14:paraId="190DC6FD">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项目支出：指在基本支出之外为完成特定行政任务和事业发展目标所发生的支出。</w:t>
      </w:r>
    </w:p>
    <w:p w14:paraId="5A68B3D3">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三公”经费：纳入预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新能源汽车充电费、维修费、过桥过路费、保险费、安全奖励费用等支出；公务接待费反映单位按规定开支的各类公务接待（含外宾接待）费用。</w:t>
      </w:r>
    </w:p>
    <w:p w14:paraId="358B2A52">
      <w:pPr>
        <w:keepNext w:val="0"/>
        <w:keepLines w:val="0"/>
        <w:pageBreakBefore w:val="0"/>
        <w:widowControl/>
        <w:numPr>
          <w:ilvl w:val="0"/>
          <w:numId w:val="2"/>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60" w:leftChars="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机关运行经费：为保障行政单位（包括参照公务员法管理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BFFB9BA">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right="0" w:rightChars="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p>
    <w:p w14:paraId="652EC82C">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right="0" w:rightChars="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附件：</w:t>
      </w:r>
    </w:p>
    <w:p w14:paraId="0230317C">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表1.部门收支总表</w:t>
      </w:r>
    </w:p>
    <w:p w14:paraId="3AA3DF0F">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表1-1.部门收入总表</w:t>
      </w:r>
    </w:p>
    <w:p w14:paraId="2C89E2C8">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表1-2.部门支出总表</w:t>
      </w:r>
    </w:p>
    <w:p w14:paraId="1F390E1C">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表2.财政拨款收支预算总表</w:t>
      </w:r>
    </w:p>
    <w:p w14:paraId="464AA07A">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表2-1.财政拨款支出预算表</w:t>
      </w:r>
    </w:p>
    <w:p w14:paraId="55748B5E">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表3.一般公共预算支出预算表</w:t>
      </w:r>
    </w:p>
    <w:p w14:paraId="782CAE7E">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表3-1.一般公共预算基本支出预算表</w:t>
      </w:r>
    </w:p>
    <w:p w14:paraId="47AED4B4">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表3-2.一般公共预算项目支出预算表</w:t>
      </w:r>
    </w:p>
    <w:p w14:paraId="10C869A2">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表3-3.一般公共预算“三公”经费支出预算表</w:t>
      </w:r>
    </w:p>
    <w:p w14:paraId="684A34F5">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表4.政府性基金支出预算表</w:t>
      </w:r>
    </w:p>
    <w:p w14:paraId="0344A4A6">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表4-1.政府性基金预算“三公”经费支出预算表</w:t>
      </w:r>
    </w:p>
    <w:p w14:paraId="027E90F9">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表5.国有资本经营预算支出预算表</w:t>
      </w:r>
    </w:p>
    <w:p w14:paraId="37D9EB0E">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0"/>
          <w:sz w:val="32"/>
          <w:szCs w:val="32"/>
          <w:u w:val="none"/>
          <w:lang w:val="en-US" w:eastAsia="zh-CN" w:bidi="ar"/>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表6.部门预算项目支出绩效目标表（共11张）</w:t>
      </w:r>
    </w:p>
    <w:p w14:paraId="739AFBE3">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120" w:afterAutospacing="0" w:line="560" w:lineRule="exact"/>
        <w:ind w:leftChars="200" w:right="0" w:righ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0"/>
          <w:sz w:val="32"/>
          <w:szCs w:val="32"/>
          <w:u w:val="none"/>
          <w:lang w:val="en-US" w:eastAsia="zh-CN" w:bidi="ar"/>
        </w:rPr>
        <w:t>表7.部门整体支出绩效目标表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1" w:fontKey="{CD9713C8-6DB5-4920-87C2-CB3AA245F0B4}"/>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D0A62960-259D-478E-980E-E59DC154843B}"/>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97218"/>
    <w:multiLevelType w:val="multilevel"/>
    <w:tmpl w:val="DC197218"/>
    <w:lvl w:ilvl="0" w:tentative="0">
      <w:start w:val="1"/>
      <w:numFmt w:val="decimal"/>
      <w:suff w:val="nothing"/>
      <w:lvlText w:val="%1."/>
      <w:lvlJc w:val="left"/>
      <w:pPr>
        <w:ind w:left="-120" w:hanging="360"/>
      </w:pPr>
      <w:rPr>
        <w:rFonts w:hint="default"/>
        <w:sz w:val="32"/>
        <w:szCs w:val="32"/>
      </w:rPr>
    </w:lvl>
    <w:lvl w:ilvl="1" w:tentative="0">
      <w:start w:val="1"/>
      <w:numFmt w:val="decimal"/>
      <w:lvlText w:val="%2."/>
      <w:lvlJc w:val="left"/>
      <w:pPr>
        <w:tabs>
          <w:tab w:val="left" w:pos="600"/>
        </w:tabs>
        <w:ind w:left="600" w:hanging="360"/>
      </w:pPr>
      <w:rPr>
        <w:sz w:val="24"/>
        <w:szCs w:val="24"/>
      </w:rPr>
    </w:lvl>
    <w:lvl w:ilvl="2" w:tentative="0">
      <w:start w:val="1"/>
      <w:numFmt w:val="decimal"/>
      <w:lvlText w:val="%3."/>
      <w:lvlJc w:val="left"/>
      <w:pPr>
        <w:tabs>
          <w:tab w:val="left" w:pos="1320"/>
        </w:tabs>
        <w:ind w:left="1320" w:hanging="360"/>
      </w:pPr>
      <w:rPr>
        <w:sz w:val="24"/>
        <w:szCs w:val="24"/>
      </w:rPr>
    </w:lvl>
    <w:lvl w:ilvl="3" w:tentative="0">
      <w:start w:val="1"/>
      <w:numFmt w:val="decimal"/>
      <w:lvlText w:val="%4."/>
      <w:lvlJc w:val="left"/>
      <w:pPr>
        <w:tabs>
          <w:tab w:val="left" w:pos="1677"/>
        </w:tabs>
        <w:ind w:left="2040" w:hanging="360"/>
      </w:pPr>
      <w:rPr>
        <w:sz w:val="24"/>
        <w:szCs w:val="24"/>
      </w:rPr>
    </w:lvl>
    <w:lvl w:ilvl="4" w:tentative="0">
      <w:start w:val="1"/>
      <w:numFmt w:val="decimal"/>
      <w:lvlText w:val="%5."/>
      <w:lvlJc w:val="left"/>
      <w:pPr>
        <w:tabs>
          <w:tab w:val="left" w:pos="2398"/>
        </w:tabs>
        <w:ind w:left="2760" w:hanging="360"/>
      </w:pPr>
      <w:rPr>
        <w:sz w:val="24"/>
        <w:szCs w:val="24"/>
      </w:rPr>
    </w:lvl>
    <w:lvl w:ilvl="5" w:tentative="0">
      <w:start w:val="1"/>
      <w:numFmt w:val="decimal"/>
      <w:lvlText w:val="%6."/>
      <w:lvlJc w:val="left"/>
      <w:pPr>
        <w:tabs>
          <w:tab w:val="left" w:pos="3118"/>
        </w:tabs>
        <w:ind w:left="3480" w:hanging="360"/>
      </w:pPr>
      <w:rPr>
        <w:sz w:val="24"/>
        <w:szCs w:val="24"/>
      </w:rPr>
    </w:lvl>
    <w:lvl w:ilvl="6" w:tentative="0">
      <w:start w:val="1"/>
      <w:numFmt w:val="decimal"/>
      <w:lvlText w:val="%7."/>
      <w:lvlJc w:val="left"/>
      <w:pPr>
        <w:tabs>
          <w:tab w:val="left" w:pos="3838"/>
        </w:tabs>
        <w:ind w:left="4200" w:hanging="360"/>
      </w:pPr>
      <w:rPr>
        <w:sz w:val="24"/>
        <w:szCs w:val="24"/>
      </w:rPr>
    </w:lvl>
    <w:lvl w:ilvl="7" w:tentative="0">
      <w:start w:val="1"/>
      <w:numFmt w:val="decimal"/>
      <w:lvlText w:val="%8."/>
      <w:lvlJc w:val="left"/>
      <w:pPr>
        <w:tabs>
          <w:tab w:val="left" w:pos="4558"/>
        </w:tabs>
        <w:ind w:left="4920" w:hanging="360"/>
      </w:pPr>
      <w:rPr>
        <w:sz w:val="24"/>
        <w:szCs w:val="24"/>
      </w:rPr>
    </w:lvl>
    <w:lvl w:ilvl="8" w:tentative="0">
      <w:start w:val="1"/>
      <w:numFmt w:val="decimal"/>
      <w:lvlText w:val="%9."/>
      <w:lvlJc w:val="left"/>
      <w:pPr>
        <w:tabs>
          <w:tab w:val="left" w:pos="5278"/>
        </w:tabs>
        <w:ind w:left="5640" w:hanging="360"/>
      </w:pPr>
      <w:rPr>
        <w:sz w:val="24"/>
        <w:szCs w:val="24"/>
      </w:rPr>
    </w:lvl>
  </w:abstractNum>
  <w:abstractNum w:abstractNumId="1">
    <w:nsid w:val="0E3940B7"/>
    <w:multiLevelType w:val="multilevel"/>
    <w:tmpl w:val="0E3940B7"/>
    <w:lvl w:ilvl="0" w:tentative="0">
      <w:start w:val="1"/>
      <w:numFmt w:val="decimal"/>
      <w:suff w:val="nothing"/>
      <w:lvlText w:val="%1."/>
      <w:lvlJc w:val="left"/>
      <w:pPr>
        <w:ind w:left="300" w:hanging="360"/>
      </w:pPr>
      <w:rPr>
        <w:rFonts w:hint="default"/>
        <w:sz w:val="32"/>
        <w:szCs w:val="32"/>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C1035"/>
    <w:rsid w:val="1012607A"/>
    <w:rsid w:val="170F6548"/>
    <w:rsid w:val="2C330745"/>
    <w:rsid w:val="303D79E0"/>
    <w:rsid w:val="7E87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left="420" w:leftChars="200" w:firstLine="420" w:firstLineChars="200"/>
    </w:pPr>
    <w:rPr>
      <w:rFonts w:ascii="Times New Roman" w:hAnsi="Times New Roman" w:eastAsia="宋体" w:cs="Times New Roman"/>
      <w:lang w:val="en-US" w:eastAsia="zh-CN" w:bidi="ar-SA"/>
    </w:rPr>
  </w:style>
  <w:style w:type="paragraph" w:styleId="3">
    <w:name w:val="Body Text Indent"/>
    <w:basedOn w:val="1"/>
    <w:next w:val="4"/>
    <w:qFormat/>
    <w:uiPriority w:val="0"/>
    <w:pPr>
      <w:spacing w:after="120"/>
      <w:ind w:left="420" w:leftChars="200"/>
    </w:pPr>
  </w:style>
  <w:style w:type="paragraph" w:styleId="4">
    <w:name w:val="Date"/>
    <w:next w:val="1"/>
    <w:qFormat/>
    <w:uiPriority w:val="0"/>
    <w:pPr>
      <w:widowControl w:val="0"/>
      <w:ind w:left="2500" w:leftChars="2500"/>
      <w:jc w:val="both"/>
    </w:pPr>
    <w:rPr>
      <w:rFonts w:ascii="Times New Roman" w:hAnsi="Times New Roman" w:eastAsia="仿宋_GB2312" w:cs="Times New Roman"/>
      <w:kern w:val="2"/>
      <w:sz w:val="32"/>
      <w:szCs w:val="24"/>
      <w:lang w:val="en-US" w:eastAsia="zh-CN"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8960</Words>
  <Characters>9959</Characters>
  <Lines>0</Lines>
  <Paragraphs>0</Paragraphs>
  <TotalTime>12</TotalTime>
  <ScaleCrop>false</ScaleCrop>
  <LinksUpToDate>false</LinksUpToDate>
  <CharactersWithSpaces>9964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2026-06-08T03:32:00Z</dcterms:created>
  <dc:creator>Administrator</dc:creator>
  <cp:lastModifiedBy>李发才</cp:lastModifiedBy>
  <dcterms:modified xsi:type="dcterms:W3CDTF">2026-06-08T07:24:14Z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eyJoZGlkIjoiODg1ODZjNzEwODhlMjk3YzdjOGZjYmQ1YzNhNWUwZmQiLCJ1c2VySWQiOiIyOTU0MTUxMTMifQ==</vt:lpwstr>
  </property>
  <property fmtid="{D5CDD505-2E9C-101B-9397-08002B2CF9AE}" pid="4" name="ICV">
    <vt:lpwstr>3E034BCF08934FCBB0C5999AF0BA5308_12</vt:lpwstr>
  </property>
</Properties>
</file>