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570" w:lineRule="exact"/>
        <w:jc w:val="center"/>
        <w:rPr>
          <w:rFonts w:hint="default" w:ascii="Times New Roman" w:hAnsi="Times New Roman" w:eastAsia="方正小标宋_GBK" w:cs="Times New Roman"/>
          <w:b/>
          <w:bCs/>
          <w:sz w:val="44"/>
          <w:szCs w:val="44"/>
        </w:rPr>
      </w:pPr>
      <w:bookmarkStart w:id="0" w:name="_GoBack"/>
      <w:bookmarkEnd w:id="0"/>
      <w:r>
        <w:rPr>
          <w:rFonts w:hint="default" w:ascii="Times New Roman" w:hAnsi="Times New Roman" w:eastAsia="方正小标宋_GBK" w:cs="Times New Roman"/>
          <w:b/>
          <w:bCs/>
          <w:sz w:val="44"/>
          <w:szCs w:val="44"/>
        </w:rPr>
        <w:t>第</w:t>
      </w:r>
      <w:r>
        <w:rPr>
          <w:rFonts w:hint="default" w:ascii="Times New Roman" w:hAnsi="Times New Roman" w:eastAsia="方正小标宋_GBK" w:cs="Times New Roman"/>
          <w:b/>
          <w:bCs/>
          <w:sz w:val="44"/>
          <w:szCs w:val="44"/>
          <w:lang w:val="en-US" w:eastAsia="zh-CN"/>
        </w:rPr>
        <w:t>三</w:t>
      </w:r>
      <w:r>
        <w:rPr>
          <w:rFonts w:hint="default" w:ascii="Times New Roman" w:hAnsi="Times New Roman" w:eastAsia="方正小标宋_GBK" w:cs="Times New Roman"/>
          <w:b/>
          <w:bCs/>
          <w:sz w:val="44"/>
          <w:szCs w:val="44"/>
        </w:rPr>
        <w:t>轮</w:t>
      </w:r>
      <w:r>
        <w:rPr>
          <w:rFonts w:hint="default" w:ascii="Times New Roman" w:hAnsi="Times New Roman" w:eastAsia="方正小标宋_GBK" w:cs="Times New Roman"/>
          <w:b/>
          <w:bCs/>
          <w:sz w:val="44"/>
          <w:szCs w:val="44"/>
          <w:lang w:val="en-US" w:eastAsia="zh-CN"/>
        </w:rPr>
        <w:t>省</w:t>
      </w:r>
      <w:r>
        <w:rPr>
          <w:rFonts w:hint="default" w:ascii="Times New Roman" w:hAnsi="Times New Roman" w:eastAsia="方正小标宋_GBK" w:cs="Times New Roman"/>
          <w:b/>
          <w:bCs/>
          <w:sz w:val="44"/>
          <w:szCs w:val="44"/>
        </w:rPr>
        <w:t>生态环境保护督察第</w:t>
      </w:r>
      <w:r>
        <w:rPr>
          <w:rFonts w:hint="default" w:ascii="Times New Roman" w:hAnsi="Times New Roman" w:eastAsia="方正小标宋_GBK" w:cs="Times New Roman"/>
          <w:b/>
          <w:bCs/>
          <w:sz w:val="44"/>
          <w:szCs w:val="44"/>
          <w:lang w:val="en-US" w:eastAsia="zh-CN"/>
        </w:rPr>
        <w:t>41</w:t>
      </w:r>
      <w:r>
        <w:rPr>
          <w:rFonts w:hint="default" w:ascii="Times New Roman" w:hAnsi="Times New Roman" w:eastAsia="方正小标宋_GBK" w:cs="Times New Roman"/>
          <w:b/>
          <w:bCs/>
          <w:sz w:val="44"/>
          <w:szCs w:val="44"/>
        </w:rPr>
        <w:t>项</w:t>
      </w:r>
    </w:p>
    <w:p>
      <w:pPr>
        <w:overflowPunct w:val="0"/>
        <w:topLinePunct/>
        <w:spacing w:line="570" w:lineRule="exact"/>
        <w:jc w:val="center"/>
        <w:rPr>
          <w:rFonts w:ascii="Times New Roman" w:hAnsi="Times New Roman" w:eastAsia="方正小标宋简体" w:cs="Times New Roman"/>
          <w:sz w:val="44"/>
          <w:szCs w:val="44"/>
        </w:rPr>
      </w:pPr>
      <w:r>
        <w:rPr>
          <w:rFonts w:hint="default" w:ascii="Times New Roman" w:hAnsi="Times New Roman" w:eastAsia="方正小标宋_GBK" w:cs="Times New Roman"/>
          <w:b/>
          <w:bCs/>
          <w:sz w:val="44"/>
          <w:szCs w:val="44"/>
        </w:rPr>
        <w:t>整改任务完成情况表</w:t>
      </w:r>
    </w:p>
    <w:tbl>
      <w:tblPr>
        <w:tblStyle w:val="4"/>
        <w:tblpPr w:leftFromText="180" w:rightFromText="180" w:vertAnchor="text" w:horzAnchor="page" w:tblpX="1671" w:tblpY="118"/>
        <w:tblOverlap w:val="never"/>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1864" w:hRule="atLeast"/>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kern w:val="0"/>
                <w:sz w:val="28"/>
                <w:szCs w:val="28"/>
              </w:rPr>
              <w:t>整改任务</w:t>
            </w:r>
          </w:p>
        </w:tc>
        <w:tc>
          <w:tcPr>
            <w:tcW w:w="6118" w:type="dxa"/>
            <w:tcBorders>
              <w:top w:val="single" w:color="auto" w:sz="4" w:space="0"/>
              <w:left w:val="nil"/>
              <w:bottom w:val="single" w:color="auto" w:sz="4" w:space="0"/>
              <w:right w:val="single" w:color="auto" w:sz="4" w:space="0"/>
            </w:tcBorders>
          </w:tcPr>
          <w:p>
            <w:pPr>
              <w:overflowPunct w:val="0"/>
              <w:topLinePunct/>
              <w:spacing w:line="50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第三轮四川省生态环境保护督察第四十一项整改任务：保护地存在影响饮水安全问题。部分县</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区</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对群众饮水安全重视不够，乡镇集中式饮用水水源保护区存在违法违规行为。仁和区平地镇跃进水库饮用水水源一级保护区内存在与保护无关的建筑物和农田，隔离设施多处破损。盐边县渔门镇岩郎村饮用水水源二级保护区内21家农户生活污水未妥善收集处置</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种植芒果100余亩。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1452" w:hRule="atLeast"/>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整改实施主体</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仁和区政府、盐边县政府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613" w:hRule="atLeast"/>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整改目标</w:t>
            </w:r>
          </w:p>
        </w:tc>
        <w:tc>
          <w:tcPr>
            <w:tcW w:w="6118" w:type="dxa"/>
            <w:tcBorders>
              <w:top w:val="single" w:color="auto" w:sz="4" w:space="0"/>
              <w:left w:val="nil"/>
              <w:bottom w:val="single" w:color="auto" w:sz="4" w:space="0"/>
              <w:right w:val="single" w:color="auto" w:sz="4" w:space="0"/>
            </w:tcBorders>
          </w:tcPr>
          <w:p>
            <w:pPr>
              <w:overflowPunct w:val="0"/>
              <w:topLinePunct/>
              <w:spacing w:line="5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落实饮用水水源地保护要求，确保饮用水水源地水质安全。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613" w:hRule="atLeast"/>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整改时限</w:t>
            </w:r>
          </w:p>
        </w:tc>
        <w:tc>
          <w:tcPr>
            <w:tcW w:w="6118" w:type="dxa"/>
            <w:tcBorders>
              <w:top w:val="single" w:color="auto" w:sz="4" w:space="0"/>
              <w:left w:val="nil"/>
              <w:bottom w:val="single" w:color="auto" w:sz="4" w:space="0"/>
              <w:right w:val="single" w:color="auto" w:sz="4" w:space="0"/>
            </w:tcBorders>
          </w:tcPr>
          <w:p>
            <w:pPr>
              <w:overflowPunct w:val="0"/>
              <w:topLinePunct/>
              <w:spacing w:line="5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1736" w:hRule="atLeast"/>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整改措施</w:t>
            </w:r>
          </w:p>
        </w:tc>
        <w:tc>
          <w:tcPr>
            <w:tcW w:w="6118" w:type="dxa"/>
            <w:tcBorders>
              <w:top w:val="single" w:color="auto" w:sz="4" w:space="0"/>
              <w:left w:val="nil"/>
              <w:bottom w:val="single" w:color="auto" w:sz="4" w:space="0"/>
              <w:right w:val="single" w:color="auto" w:sz="4" w:space="0"/>
            </w:tcBorders>
          </w:tcPr>
          <w:p>
            <w:pPr>
              <w:overflowPunct w:val="0"/>
              <w:topLinePunct/>
              <w:spacing w:line="50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1.2024年12月底前，完成仁和区平地镇跃进水库饮 用水水源地一级保护区内无关建筑物拆除，树立宣传 标牌，建立定期巡查机制，加强巡查检查，发现问题 及时处理；对一级保护区内隔离设施进行排查，及时修补、更换破损围栏围网。</w:t>
            </w:r>
          </w:p>
          <w:p>
            <w:pPr>
              <w:overflowPunct w:val="0"/>
              <w:topLinePunct/>
              <w:spacing w:line="50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2.2025年6月底前，完成对盐边县渔门镇岩郎村饮用 水水源地二级保护区内21家农户生活污水进行有效收集处置。对岩郎村饮用水水源地二级保护区内芒果种植户开展宣传教育，督促指导种植户科学用肥、禁止使用农药。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Ex>
        <w:trPr>
          <w:trHeight w:val="3005" w:hRule="atLeast"/>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整改主要工作</w:t>
            </w:r>
          </w:p>
          <w:p>
            <w:pPr>
              <w:overflowPunct w:val="0"/>
              <w:topLinePunct/>
              <w:spacing w:line="5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及成效</w:t>
            </w:r>
          </w:p>
        </w:tc>
        <w:tc>
          <w:tcPr>
            <w:tcW w:w="6118" w:type="dxa"/>
            <w:tcBorders>
              <w:top w:val="single" w:color="auto" w:sz="4" w:space="0"/>
              <w:left w:val="nil"/>
              <w:bottom w:val="single" w:color="auto" w:sz="4" w:space="0"/>
              <w:right w:val="single" w:color="auto" w:sz="4" w:space="0"/>
            </w:tcBorders>
          </w:tcPr>
          <w:p>
            <w:pPr>
              <w:overflowPunct w:val="0"/>
              <w:topLinePunct/>
              <w:spacing w:line="5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1.2024年3月，对破损围栏围网进行了修补、更换。2024年10月，完成跃进水库饮用水水源地一级保护区内3处无关建筑物拆除，并在大坝、库区重点部位树立公示宣传标牌，并督促水库管理单位加强巡察。</w:t>
            </w:r>
          </w:p>
          <w:p>
            <w:pPr>
              <w:overflowPunct w:val="0"/>
              <w:topLinePunct/>
              <w:spacing w:line="50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2.依托盐边县乡镇集中式饮用水水源地规范化建设项目对岩郎村饮用水水源二级保护区内21家农户生活污水进行有效收集处置，2025年6月已完成21个户用三格式化粪池建设。在渔门镇完成科学施肥培训 2场次，培训60余人次，发放配方施肥建议卡120份。在水源地保护区悬挂宣传横幅3条。指导乡镇督促种植户科学用肥、禁止使用农药。</w:t>
            </w:r>
          </w:p>
        </w:tc>
      </w:tr>
    </w:tbl>
    <w:p>
      <w:pPr>
        <w:overflowPunct w:val="0"/>
        <w:topLinePunct/>
        <w:spacing w:line="600" w:lineRule="exact"/>
        <w:jc w:val="center"/>
        <w:rPr>
          <w:rFonts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B5339"/>
    <w:rsid w:val="05493C16"/>
    <w:rsid w:val="2419027E"/>
    <w:rsid w:val="2ABB5339"/>
    <w:rsid w:val="69E577EE"/>
    <w:rsid w:val="69EA0C78"/>
    <w:rsid w:val="73501ABB"/>
    <w:rsid w:val="7FEF8E7D"/>
    <w:rsid w:val="CF7873E5"/>
    <w:rsid w:val="ECB93978"/>
    <w:rsid w:val="EDDDF517"/>
    <w:rsid w:val="FF3FB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index 8"/>
    <w:basedOn w:val="1"/>
    <w:next w:val="1"/>
    <w:semiHidden/>
    <w:qFormat/>
    <w:uiPriority w:val="99"/>
    <w:pPr>
      <w:ind w:left="2940"/>
    </w:pPr>
  </w:style>
  <w:style w:type="paragraph" w:styleId="3">
    <w:name w:val="Body Text"/>
    <w:basedOn w:val="1"/>
    <w:next w:val="2"/>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customStyle="1" w:styleId="6">
    <w:name w:val="Default"/>
    <w:basedOn w:val="1"/>
    <w:qFormat/>
    <w:uiPriority w:val="0"/>
    <w:pPr>
      <w:autoSpaceDE w:val="0"/>
      <w:autoSpaceDN w:val="0"/>
      <w:adjustRightInd w:val="0"/>
      <w:jc w:val="left"/>
    </w:pPr>
    <w:rPr>
      <w:rFonts w:cs="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1308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2026-06-01T15:54:00Z</dcterms:created>
  <dc:creator>Administrator</dc:creator>
  <cp:lastModifiedBy>尹梅</cp:lastModifiedBy>
  <dcterms:modified xsi:type="dcterms:W3CDTF">2026-06-04T01:24:13Z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CC09B2B28FE4A18C468B1E6AFB17595B_42</vt:lpwstr>
  </property>
</Properties>
</file>