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8E3B3">
      <w:pPr>
        <w:widowControl/>
        <w:shd w:val="clear" w:color="auto" w:fill="FFFFFF"/>
        <w:jc w:val="center"/>
        <w:rPr>
          <w:rFonts w:cs="宋体" w:asciiTheme="majorEastAsia" w:hAnsiTheme="majorEastAsia" w:eastAsiaTheme="majorEastAsia"/>
          <w:color w:val="333333"/>
          <w:kern w:val="0"/>
          <w:sz w:val="52"/>
          <w:szCs w:val="52"/>
        </w:rPr>
      </w:pPr>
      <w:bookmarkStart w:id="0" w:name="_Toc15396597"/>
      <w:r>
        <w:rPr>
          <w:rFonts w:hint="eastAsia" w:cs="宋体" w:asciiTheme="majorEastAsia" w:hAnsiTheme="majorEastAsia" w:eastAsiaTheme="majorEastAsia"/>
          <w:color w:val="000000"/>
          <w:kern w:val="0"/>
          <w:sz w:val="52"/>
          <w:szCs w:val="52"/>
        </w:rPr>
        <w:t>2020年度</w:t>
      </w:r>
      <w:bookmarkEnd w:id="0"/>
    </w:p>
    <w:p w14:paraId="752D2CA9">
      <w:pPr>
        <w:widowControl/>
        <w:shd w:val="clear" w:color="auto" w:fill="FFFFFF"/>
        <w:jc w:val="center"/>
        <w:rPr>
          <w:rFonts w:cs="宋体" w:asciiTheme="majorEastAsia" w:hAnsiTheme="majorEastAsia" w:eastAsiaTheme="majorEastAsia"/>
          <w:color w:val="333333"/>
          <w:kern w:val="0"/>
          <w:sz w:val="52"/>
          <w:szCs w:val="52"/>
        </w:rPr>
      </w:pPr>
      <w:bookmarkStart w:id="1" w:name="_Toc15396598"/>
      <w:r>
        <w:rPr>
          <w:rFonts w:hint="eastAsia" w:cs="宋体" w:asciiTheme="majorEastAsia" w:hAnsiTheme="majorEastAsia" w:eastAsiaTheme="majorEastAsia"/>
          <w:color w:val="000000"/>
          <w:kern w:val="0"/>
          <w:sz w:val="52"/>
          <w:szCs w:val="52"/>
        </w:rPr>
        <w:t>四川省</w:t>
      </w:r>
      <w:bookmarkEnd w:id="1"/>
      <w:bookmarkStart w:id="2" w:name="_Toc15306268"/>
      <w:r>
        <w:rPr>
          <w:rFonts w:hint="eastAsia" w:cs="宋体" w:asciiTheme="majorEastAsia" w:hAnsiTheme="majorEastAsia" w:eastAsiaTheme="majorEastAsia"/>
          <w:color w:val="000000"/>
          <w:kern w:val="0"/>
          <w:sz w:val="52"/>
          <w:szCs w:val="52"/>
        </w:rPr>
        <w:t>攀枝花市盐边县委统战部（民宗局）部门决算</w:t>
      </w:r>
      <w:bookmarkEnd w:id="2"/>
      <w:r>
        <w:rPr>
          <w:rFonts w:hint="eastAsia" w:cs="宋体" w:asciiTheme="majorEastAsia" w:hAnsiTheme="majorEastAsia" w:eastAsiaTheme="majorEastAsia"/>
          <w:color w:val="000000"/>
          <w:kern w:val="0"/>
          <w:sz w:val="52"/>
          <w:szCs w:val="52"/>
        </w:rPr>
        <w:t>编制说明</w:t>
      </w:r>
    </w:p>
    <w:p w14:paraId="5CCC40C4">
      <w:pPr>
        <w:widowControl/>
        <w:shd w:val="clear" w:color="auto" w:fill="FFFFFF"/>
        <w:jc w:val="center"/>
        <w:rPr>
          <w:rFonts w:ascii="仿宋_GB2312" w:hAnsi="黑体" w:eastAsia="仿宋_GB2312" w:cs="宋体"/>
          <w:color w:val="000000"/>
          <w:kern w:val="0"/>
          <w:sz w:val="30"/>
          <w:szCs w:val="30"/>
        </w:rPr>
      </w:pPr>
    </w:p>
    <w:p w14:paraId="723ADC2F">
      <w:pPr>
        <w:widowControl/>
        <w:shd w:val="clear" w:color="auto" w:fill="FFFFFF"/>
        <w:jc w:val="center"/>
        <w:rPr>
          <w:rFonts w:ascii="仿宋_GB2312" w:hAnsi="黑体" w:eastAsia="仿宋_GB2312" w:cs="宋体"/>
          <w:color w:val="000000"/>
          <w:kern w:val="0"/>
          <w:sz w:val="30"/>
          <w:szCs w:val="30"/>
        </w:rPr>
      </w:pPr>
    </w:p>
    <w:p w14:paraId="32831716">
      <w:pPr>
        <w:widowControl/>
        <w:shd w:val="clear" w:color="auto" w:fill="FFFFFF"/>
        <w:jc w:val="center"/>
        <w:rPr>
          <w:rFonts w:ascii="仿宋_GB2312" w:hAnsi="黑体" w:eastAsia="仿宋_GB2312" w:cs="宋体"/>
          <w:color w:val="000000"/>
          <w:kern w:val="0"/>
          <w:sz w:val="30"/>
          <w:szCs w:val="30"/>
        </w:rPr>
      </w:pPr>
    </w:p>
    <w:p w14:paraId="27AC929E">
      <w:pPr>
        <w:widowControl/>
        <w:shd w:val="clear" w:color="auto" w:fill="FFFFFF"/>
        <w:jc w:val="center"/>
        <w:rPr>
          <w:rFonts w:ascii="仿宋_GB2312" w:hAnsi="黑体" w:eastAsia="仿宋_GB2312" w:cs="宋体"/>
          <w:color w:val="000000"/>
          <w:kern w:val="0"/>
          <w:sz w:val="30"/>
          <w:szCs w:val="30"/>
        </w:rPr>
      </w:pPr>
    </w:p>
    <w:p w14:paraId="40DBE42E">
      <w:pPr>
        <w:widowControl/>
        <w:shd w:val="clear" w:color="auto" w:fill="FFFFFF"/>
        <w:jc w:val="center"/>
        <w:rPr>
          <w:rFonts w:ascii="仿宋_GB2312" w:hAnsi="黑体" w:eastAsia="仿宋_GB2312" w:cs="宋体"/>
          <w:color w:val="000000"/>
          <w:kern w:val="0"/>
          <w:sz w:val="30"/>
          <w:szCs w:val="30"/>
        </w:rPr>
      </w:pPr>
    </w:p>
    <w:p w14:paraId="50233EB2">
      <w:pPr>
        <w:widowControl/>
        <w:shd w:val="clear" w:color="auto" w:fill="FFFFFF"/>
        <w:jc w:val="center"/>
        <w:rPr>
          <w:rFonts w:ascii="仿宋_GB2312" w:hAnsi="黑体" w:eastAsia="仿宋_GB2312" w:cs="宋体"/>
          <w:color w:val="000000"/>
          <w:kern w:val="0"/>
          <w:sz w:val="30"/>
          <w:szCs w:val="30"/>
        </w:rPr>
      </w:pPr>
    </w:p>
    <w:p w14:paraId="40C35242">
      <w:pPr>
        <w:widowControl/>
        <w:shd w:val="clear" w:color="auto" w:fill="FFFFFF"/>
        <w:jc w:val="center"/>
        <w:rPr>
          <w:rFonts w:ascii="仿宋_GB2312" w:hAnsi="黑体" w:eastAsia="仿宋_GB2312" w:cs="宋体"/>
          <w:color w:val="000000"/>
          <w:kern w:val="0"/>
          <w:sz w:val="30"/>
          <w:szCs w:val="30"/>
        </w:rPr>
      </w:pPr>
    </w:p>
    <w:p w14:paraId="75753643">
      <w:pPr>
        <w:widowControl/>
        <w:shd w:val="clear" w:color="auto" w:fill="FFFFFF"/>
        <w:jc w:val="center"/>
        <w:rPr>
          <w:rFonts w:ascii="仿宋_GB2312" w:hAnsi="黑体" w:eastAsia="仿宋_GB2312" w:cs="宋体"/>
          <w:color w:val="000000"/>
          <w:kern w:val="0"/>
          <w:sz w:val="30"/>
          <w:szCs w:val="30"/>
        </w:rPr>
      </w:pPr>
    </w:p>
    <w:p w14:paraId="38F8818F">
      <w:pPr>
        <w:widowControl/>
        <w:shd w:val="clear" w:color="auto" w:fill="FFFFFF"/>
        <w:jc w:val="center"/>
        <w:rPr>
          <w:rFonts w:ascii="仿宋_GB2312" w:hAnsi="黑体" w:eastAsia="仿宋_GB2312" w:cs="宋体"/>
          <w:color w:val="000000"/>
          <w:kern w:val="0"/>
          <w:sz w:val="30"/>
          <w:szCs w:val="30"/>
        </w:rPr>
      </w:pPr>
    </w:p>
    <w:p w14:paraId="2BE4D4F2">
      <w:pPr>
        <w:widowControl/>
        <w:shd w:val="clear" w:color="auto" w:fill="FFFFFF"/>
        <w:jc w:val="center"/>
        <w:rPr>
          <w:rFonts w:ascii="仿宋_GB2312" w:hAnsi="黑体" w:eastAsia="仿宋_GB2312" w:cs="宋体"/>
          <w:color w:val="000000"/>
          <w:kern w:val="0"/>
          <w:sz w:val="30"/>
          <w:szCs w:val="30"/>
        </w:rPr>
      </w:pPr>
    </w:p>
    <w:p w14:paraId="79FA917E">
      <w:pPr>
        <w:widowControl/>
        <w:shd w:val="clear" w:color="auto" w:fill="FFFFFF"/>
        <w:jc w:val="center"/>
        <w:rPr>
          <w:rFonts w:ascii="仿宋_GB2312" w:hAnsi="黑体" w:eastAsia="仿宋_GB2312" w:cs="宋体"/>
          <w:color w:val="000000"/>
          <w:kern w:val="0"/>
          <w:sz w:val="30"/>
          <w:szCs w:val="30"/>
        </w:rPr>
      </w:pPr>
    </w:p>
    <w:p w14:paraId="49E35DFB">
      <w:pPr>
        <w:widowControl/>
        <w:shd w:val="clear" w:color="auto" w:fill="FFFFFF"/>
        <w:jc w:val="center"/>
        <w:rPr>
          <w:rFonts w:ascii="仿宋_GB2312" w:hAnsi="黑体" w:eastAsia="仿宋_GB2312" w:cs="宋体"/>
          <w:color w:val="000000"/>
          <w:kern w:val="0"/>
          <w:sz w:val="30"/>
          <w:szCs w:val="30"/>
        </w:rPr>
      </w:pPr>
    </w:p>
    <w:p w14:paraId="037FE616">
      <w:pPr>
        <w:widowControl/>
        <w:shd w:val="clear" w:color="auto" w:fill="FFFFFF"/>
        <w:jc w:val="center"/>
        <w:rPr>
          <w:rFonts w:ascii="仿宋_GB2312" w:hAnsi="黑体" w:eastAsia="仿宋_GB2312" w:cs="宋体"/>
          <w:color w:val="000000"/>
          <w:kern w:val="0"/>
          <w:sz w:val="30"/>
          <w:szCs w:val="30"/>
        </w:rPr>
      </w:pPr>
    </w:p>
    <w:p w14:paraId="074630E9">
      <w:pPr>
        <w:widowControl/>
        <w:shd w:val="clear" w:color="auto" w:fill="FFFFFF"/>
        <w:jc w:val="center"/>
        <w:rPr>
          <w:rFonts w:ascii="仿宋_GB2312" w:hAnsi="黑体" w:eastAsia="仿宋_GB2312" w:cs="宋体"/>
          <w:color w:val="000000"/>
          <w:kern w:val="0"/>
          <w:sz w:val="30"/>
          <w:szCs w:val="30"/>
        </w:rPr>
      </w:pPr>
    </w:p>
    <w:p w14:paraId="57074F21">
      <w:pPr>
        <w:widowControl/>
        <w:shd w:val="clear" w:color="auto" w:fill="FFFFFF"/>
        <w:jc w:val="center"/>
        <w:rPr>
          <w:rFonts w:ascii="仿宋_GB2312" w:hAnsi="黑体" w:eastAsia="仿宋_GB2312" w:cs="宋体"/>
          <w:color w:val="000000"/>
          <w:kern w:val="0"/>
          <w:sz w:val="30"/>
          <w:szCs w:val="30"/>
        </w:rPr>
      </w:pPr>
    </w:p>
    <w:p w14:paraId="5EE53903">
      <w:pPr>
        <w:widowControl/>
        <w:shd w:val="clear" w:color="auto" w:fill="FFFFFF"/>
        <w:jc w:val="center"/>
        <w:rPr>
          <w:rFonts w:ascii="仿宋_GB2312" w:hAnsi="黑体" w:eastAsia="仿宋_GB2312" w:cs="宋体"/>
          <w:color w:val="000000"/>
          <w:kern w:val="0"/>
          <w:sz w:val="30"/>
          <w:szCs w:val="30"/>
        </w:rPr>
      </w:pPr>
    </w:p>
    <w:p w14:paraId="2EE2BD37">
      <w:pPr>
        <w:widowControl/>
        <w:shd w:val="clear" w:color="auto" w:fill="FFFFFF"/>
        <w:jc w:val="center"/>
        <w:rPr>
          <w:rFonts w:ascii="仿宋_GB2312" w:hAnsi="黑体" w:eastAsia="仿宋_GB2312" w:cs="宋体"/>
          <w:color w:val="000000"/>
          <w:kern w:val="0"/>
          <w:sz w:val="30"/>
          <w:szCs w:val="30"/>
        </w:rPr>
      </w:pPr>
    </w:p>
    <w:p w14:paraId="44CC2184">
      <w:pPr>
        <w:widowControl/>
        <w:shd w:val="clear" w:color="auto" w:fill="FFFFFF"/>
        <w:rPr>
          <w:rFonts w:ascii="仿宋_GB2312" w:hAnsi="黑体" w:eastAsia="仿宋_GB2312" w:cs="宋体"/>
          <w:color w:val="000000"/>
          <w:kern w:val="0"/>
          <w:sz w:val="30"/>
          <w:szCs w:val="30"/>
        </w:rPr>
      </w:pPr>
    </w:p>
    <w:p w14:paraId="216A4EAA">
      <w:pPr>
        <w:widowControl/>
        <w:shd w:val="clear" w:color="auto" w:fill="FFFFFF"/>
        <w:jc w:val="center"/>
        <w:rPr>
          <w:rFonts w:ascii="仿宋_GB2312" w:hAnsi="黑体" w:eastAsia="仿宋_GB2312" w:cs="宋体"/>
          <w:color w:val="333333"/>
          <w:kern w:val="0"/>
          <w:sz w:val="30"/>
          <w:szCs w:val="30"/>
        </w:rPr>
      </w:pPr>
      <w:r>
        <w:rPr>
          <w:rFonts w:hint="eastAsia" w:ascii="仿宋_GB2312" w:hAnsi="黑体" w:eastAsia="仿宋_GB2312" w:cs="宋体"/>
          <w:color w:val="000000"/>
          <w:kern w:val="0"/>
          <w:sz w:val="30"/>
          <w:szCs w:val="30"/>
        </w:rPr>
        <w:t>目</w:t>
      </w:r>
      <w:r>
        <w:rPr>
          <w:rFonts w:hint="eastAsia" w:ascii="宋体" w:hAnsi="宋体" w:eastAsia="仿宋_GB2312" w:cs="宋体"/>
          <w:color w:val="000000"/>
          <w:kern w:val="0"/>
          <w:sz w:val="30"/>
          <w:szCs w:val="30"/>
        </w:rPr>
        <w:t> </w:t>
      </w:r>
      <w:r>
        <w:rPr>
          <w:rFonts w:hint="eastAsia" w:ascii="仿宋_GB2312" w:hAnsi="黑体" w:eastAsia="仿宋_GB2312" w:cs="宋体"/>
          <w:color w:val="000000"/>
          <w:kern w:val="0"/>
          <w:sz w:val="30"/>
          <w:szCs w:val="30"/>
        </w:rPr>
        <w:t xml:space="preserve"> 录</w:t>
      </w:r>
    </w:p>
    <w:p w14:paraId="21CCF5DD">
      <w:pPr>
        <w:pStyle w:val="17"/>
        <w:shd w:val="clear" w:color="auto" w:fill="FFFFFF"/>
        <w:spacing w:before="0" w:beforeAutospacing="0" w:after="0" w:afterAutospacing="0"/>
        <w:jc w:val="center"/>
        <w:rPr>
          <w:rFonts w:ascii="仿宋_GB2312" w:hAnsi="仿宋" w:eastAsia="仿宋_GB2312"/>
          <w:color w:val="333333"/>
          <w:sz w:val="30"/>
          <w:szCs w:val="30"/>
        </w:rPr>
      </w:pPr>
      <w:r>
        <w:rPr>
          <w:rFonts w:hint="eastAsia" w:ascii="仿宋_GB2312" w:hAnsi="仿宋" w:eastAsia="仿宋_GB2312"/>
          <w:color w:val="333333"/>
          <w:sz w:val="30"/>
          <w:szCs w:val="30"/>
        </w:rPr>
        <w:t>公开时间：2021年 10 月23 日</w:t>
      </w:r>
    </w:p>
    <w:p w14:paraId="53159B02">
      <w:pPr>
        <w:pStyle w:val="17"/>
        <w:shd w:val="clear" w:color="auto" w:fill="FFFFFF"/>
        <w:spacing w:before="0" w:beforeAutospacing="0" w:after="0" w:afterAutospacing="0"/>
        <w:rPr>
          <w:rFonts w:ascii="仿宋" w:hAnsi="仿宋" w:eastAsia="仿宋"/>
          <w:sz w:val="28"/>
          <w:szCs w:val="28"/>
        </w:rPr>
      </w:pPr>
      <w:r>
        <w:rPr>
          <w:rStyle w:val="19"/>
          <w:rFonts w:hint="eastAsia" w:ascii="仿宋_GB2312" w:hAnsi="仿宋" w:eastAsia="仿宋_GB2312"/>
          <w:sz w:val="28"/>
          <w:szCs w:val="28"/>
        </w:rPr>
        <w:t>第一部分 部门概况</w:t>
      </w:r>
      <w:r>
        <w:rPr>
          <w:rFonts w:hint="eastAsia"/>
          <w:sz w:val="28"/>
          <w:szCs w:val="28"/>
        </w:rPr>
        <w:t> </w:t>
      </w:r>
    </w:p>
    <w:p w14:paraId="1ADDF0AA">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一、基本职能及主要工作</w:t>
      </w:r>
      <w:r>
        <w:rPr>
          <w:rStyle w:val="22"/>
          <w:rFonts w:hint="eastAsia"/>
          <w:sz w:val="28"/>
          <w:szCs w:val="28"/>
        </w:rPr>
        <w:t>                                  4</w:t>
      </w:r>
    </w:p>
    <w:p w14:paraId="7263E887">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二、机构设置</w:t>
      </w:r>
      <w:r>
        <w:rPr>
          <w:rFonts w:hint="eastAsia" w:ascii="仿宋_GB2312" w:hAnsi="Times New Roman" w:eastAsia="仿宋_GB2312" w:cs="Times New Roman"/>
          <w:sz w:val="28"/>
          <w:szCs w:val="28"/>
        </w:rPr>
        <w:t>                                             14</w:t>
      </w:r>
    </w:p>
    <w:p w14:paraId="46F70539">
      <w:pPr>
        <w:pStyle w:val="17"/>
        <w:shd w:val="clear" w:color="auto" w:fill="FFFFFF"/>
        <w:spacing w:before="0" w:beforeAutospacing="0" w:after="0" w:afterAutospacing="0"/>
        <w:rPr>
          <w:rFonts w:ascii="仿宋" w:hAnsi="仿宋" w:eastAsia="仿宋"/>
          <w:sz w:val="28"/>
          <w:szCs w:val="28"/>
        </w:rPr>
      </w:pPr>
      <w:r>
        <w:rPr>
          <w:rStyle w:val="19"/>
          <w:rFonts w:hint="eastAsia" w:ascii="仿宋_GB2312" w:hAnsi="仿宋" w:eastAsia="仿宋_GB2312"/>
          <w:sz w:val="28"/>
          <w:szCs w:val="28"/>
        </w:rPr>
        <w:t>第二部分 2020年度部门决算情况说明</w:t>
      </w:r>
      <w:r>
        <w:rPr>
          <w:rFonts w:hint="eastAsia"/>
          <w:sz w:val="28"/>
          <w:szCs w:val="28"/>
        </w:rPr>
        <w:t> </w:t>
      </w:r>
    </w:p>
    <w:p w14:paraId="10C73907">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一、收入支出决算总体情况说明</w:t>
      </w:r>
      <w:r>
        <w:rPr>
          <w:rFonts w:hint="eastAsia" w:ascii="仿宋_GB2312" w:hAnsi="Times New Roman" w:eastAsia="仿宋_GB2312" w:cs="Times New Roman"/>
          <w:sz w:val="28"/>
          <w:szCs w:val="28"/>
        </w:rPr>
        <w:t>                             16</w:t>
      </w:r>
    </w:p>
    <w:p w14:paraId="7F661480">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二、收入决算情况说明</w:t>
      </w:r>
      <w:r>
        <w:rPr>
          <w:rFonts w:hint="eastAsia" w:ascii="仿宋_GB2312" w:hAnsi="Times New Roman" w:eastAsia="仿宋_GB2312" w:cs="Times New Roman"/>
          <w:sz w:val="28"/>
          <w:szCs w:val="28"/>
        </w:rPr>
        <w:t>                                     16</w:t>
      </w:r>
    </w:p>
    <w:p w14:paraId="0759B1B3">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三、支出决算情况说明</w:t>
      </w:r>
      <w:r>
        <w:rPr>
          <w:rFonts w:hint="eastAsia" w:ascii="仿宋_GB2312" w:hAnsi="Times New Roman" w:eastAsia="仿宋_GB2312" w:cs="Times New Roman"/>
          <w:sz w:val="28"/>
          <w:szCs w:val="28"/>
        </w:rPr>
        <w:t xml:space="preserve">                                     16 </w:t>
      </w:r>
    </w:p>
    <w:p w14:paraId="744494F9">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四、财政拨款收入支出决算总体情况说明                     16</w:t>
      </w:r>
      <w:r>
        <w:rPr>
          <w:rFonts w:hint="eastAsia" w:ascii="仿宋_GB2312" w:hAnsi="Times New Roman" w:eastAsia="仿宋_GB2312" w:cs="Times New Roman"/>
          <w:sz w:val="28"/>
          <w:szCs w:val="28"/>
        </w:rPr>
        <w:t> </w:t>
      </w:r>
    </w:p>
    <w:p w14:paraId="3D3645EA">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五、一般公共预算财政拨款支出决算情况说明</w:t>
      </w:r>
      <w:r>
        <w:rPr>
          <w:rFonts w:hint="eastAsia" w:ascii="仿宋_GB2312" w:hAnsi="Times New Roman" w:eastAsia="仿宋_GB2312" w:cs="Times New Roman"/>
          <w:sz w:val="28"/>
          <w:szCs w:val="28"/>
        </w:rPr>
        <w:t>                  16</w:t>
      </w:r>
    </w:p>
    <w:p w14:paraId="3E61F2DC">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 xml:space="preserve">六、一般公共预算财政拨款基本支出决算情况说明             </w:t>
      </w:r>
      <w:r>
        <w:rPr>
          <w:rFonts w:hint="eastAsia" w:ascii="仿宋_GB2312" w:hAnsi="Times New Roman" w:eastAsia="仿宋_GB2312" w:cs="Times New Roman"/>
          <w:sz w:val="28"/>
          <w:szCs w:val="28"/>
        </w:rPr>
        <w:t> 18</w:t>
      </w:r>
    </w:p>
    <w:p w14:paraId="5E7C6E33">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七、“三公”经费财政拨款支出决算情况说明                  19</w:t>
      </w:r>
    </w:p>
    <w:p w14:paraId="0BEEF963">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八、政府性基金预算支出决算情况说明</w:t>
      </w:r>
      <w:r>
        <w:rPr>
          <w:rFonts w:hint="eastAsia" w:ascii="仿宋_GB2312" w:hAnsi="Times New Roman" w:eastAsia="仿宋_GB2312" w:cs="Times New Roman"/>
          <w:sz w:val="28"/>
          <w:szCs w:val="28"/>
        </w:rPr>
        <w:t>                        20</w:t>
      </w:r>
    </w:p>
    <w:p w14:paraId="45721336">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九、 国有资本经营预算支出决算情况说明</w:t>
      </w:r>
      <w:r>
        <w:rPr>
          <w:rFonts w:hint="eastAsia" w:ascii="仿宋_GB2312" w:hAnsi="Times New Roman" w:eastAsia="仿宋_GB2312" w:cs="Times New Roman"/>
          <w:sz w:val="28"/>
          <w:szCs w:val="28"/>
        </w:rPr>
        <w:t>                     20</w:t>
      </w:r>
    </w:p>
    <w:p w14:paraId="6416C77A">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十、预算绩效情况说明                                     20</w:t>
      </w:r>
    </w:p>
    <w:p w14:paraId="3EB97086">
      <w:pPr>
        <w:pStyle w:val="20"/>
        <w:shd w:val="clear" w:color="auto" w:fill="FFFFFF"/>
        <w:spacing w:before="0" w:beforeAutospacing="0" w:after="0" w:afterAutospacing="0"/>
        <w:rPr>
          <w:rFonts w:ascii="Times New Roman" w:hAnsi="Times New Roman" w:cs="Times New Roman"/>
          <w:sz w:val="28"/>
          <w:szCs w:val="28"/>
        </w:rPr>
      </w:pPr>
      <w:r>
        <w:rPr>
          <w:rStyle w:val="21"/>
          <w:rFonts w:hint="eastAsia" w:ascii="仿宋" w:hAnsi="仿宋" w:eastAsia="仿宋" w:cs="Times New Roman"/>
          <w:sz w:val="28"/>
          <w:szCs w:val="28"/>
        </w:rPr>
        <w:t>十一、其他重要事项的情况说明</w:t>
      </w:r>
      <w:r>
        <w:rPr>
          <w:rFonts w:hint="eastAsia" w:ascii="仿宋_GB2312" w:hAnsi="Times New Roman" w:eastAsia="仿宋_GB2312" w:cs="Times New Roman"/>
          <w:sz w:val="28"/>
          <w:szCs w:val="28"/>
        </w:rPr>
        <w:t>                              24</w:t>
      </w:r>
    </w:p>
    <w:p w14:paraId="229BBFA2">
      <w:pPr>
        <w:pStyle w:val="17"/>
        <w:shd w:val="clear" w:color="auto" w:fill="FFFFFF"/>
        <w:spacing w:before="0" w:beforeAutospacing="0" w:after="0" w:afterAutospacing="0"/>
        <w:rPr>
          <w:rFonts w:ascii="仿宋" w:hAnsi="仿宋" w:eastAsia="仿宋"/>
          <w:sz w:val="28"/>
          <w:szCs w:val="28"/>
        </w:rPr>
      </w:pPr>
      <w:r>
        <w:rPr>
          <w:rStyle w:val="19"/>
          <w:rFonts w:hint="eastAsia" w:ascii="仿宋_GB2312" w:hAnsi="仿宋" w:eastAsia="仿宋_GB2312"/>
          <w:sz w:val="28"/>
          <w:szCs w:val="28"/>
        </w:rPr>
        <w:t>第三部分 名词解释</w:t>
      </w:r>
      <w:r>
        <w:rPr>
          <w:rFonts w:hint="eastAsia"/>
          <w:sz w:val="28"/>
          <w:szCs w:val="28"/>
        </w:rPr>
        <w:t>                                       25</w:t>
      </w:r>
    </w:p>
    <w:p w14:paraId="707310BA">
      <w:pPr>
        <w:pStyle w:val="17"/>
        <w:shd w:val="clear" w:color="auto" w:fill="FFFFFF"/>
        <w:spacing w:before="0" w:beforeAutospacing="0" w:after="0" w:afterAutospacing="0"/>
        <w:rPr>
          <w:rFonts w:hint="eastAsia"/>
          <w:sz w:val="28"/>
          <w:szCs w:val="28"/>
        </w:rPr>
      </w:pPr>
      <w:r>
        <w:rPr>
          <w:rStyle w:val="19"/>
          <w:rFonts w:hint="eastAsia" w:ascii="仿宋_GB2312" w:hAnsi="仿宋" w:eastAsia="仿宋_GB2312"/>
          <w:sz w:val="28"/>
          <w:szCs w:val="28"/>
        </w:rPr>
        <w:t>第四部分 附件</w:t>
      </w:r>
      <w:r>
        <w:rPr>
          <w:rFonts w:hint="eastAsia"/>
          <w:sz w:val="28"/>
          <w:szCs w:val="28"/>
        </w:rPr>
        <w:t> </w:t>
      </w:r>
    </w:p>
    <w:p w14:paraId="2B1FC678">
      <w:pPr>
        <w:pStyle w:val="17"/>
        <w:shd w:val="clear" w:color="auto" w:fill="FFFFFF"/>
        <w:spacing w:before="0" w:beforeAutospacing="0" w:after="0" w:afterAutospacing="0"/>
        <w:rPr>
          <w:rFonts w:ascii="仿宋" w:hAnsi="仿宋" w:eastAsia="仿宋"/>
          <w:sz w:val="28"/>
          <w:szCs w:val="28"/>
        </w:rPr>
      </w:pPr>
      <w:r>
        <w:rPr>
          <w:rFonts w:hint="eastAsia" w:ascii="仿宋_GB2312" w:hAnsi="黑体" w:eastAsia="仿宋_GB2312"/>
          <w:color w:val="575757"/>
          <w:sz w:val="30"/>
          <w:szCs w:val="30"/>
        </w:rPr>
        <w:t>盐边县民族宗教事务局2020年部门整体支出绩效评价报告  27</w:t>
      </w:r>
    </w:p>
    <w:p w14:paraId="7326339E">
      <w:pPr>
        <w:pStyle w:val="17"/>
        <w:shd w:val="clear" w:color="auto" w:fill="FFFFFF"/>
        <w:spacing w:before="0" w:beforeAutospacing="0" w:after="0" w:afterAutospacing="0"/>
        <w:rPr>
          <w:rFonts w:ascii="仿宋" w:hAnsi="仿宋" w:eastAsia="仿宋"/>
          <w:sz w:val="28"/>
          <w:szCs w:val="28"/>
        </w:rPr>
      </w:pPr>
      <w:r>
        <w:rPr>
          <w:rStyle w:val="19"/>
          <w:rFonts w:hint="eastAsia" w:ascii="仿宋_GB2312" w:hAnsi="仿宋" w:eastAsia="仿宋_GB2312"/>
          <w:sz w:val="28"/>
          <w:szCs w:val="28"/>
        </w:rPr>
        <w:t>第五部分 附表</w:t>
      </w:r>
      <w:r>
        <w:rPr>
          <w:rFonts w:hint="eastAsia"/>
          <w:sz w:val="28"/>
          <w:szCs w:val="28"/>
        </w:rPr>
        <w:t> </w:t>
      </w:r>
    </w:p>
    <w:p w14:paraId="556F992D">
      <w:pPr>
        <w:pStyle w:val="20"/>
        <w:numPr>
          <w:ilvl w:val="0"/>
          <w:numId w:val="1"/>
        </w:numPr>
        <w:shd w:val="clear" w:color="auto" w:fill="FFFFFF"/>
        <w:spacing w:before="0" w:beforeAutospacing="0" w:after="0" w:afterAutospacing="0"/>
        <w:rPr>
          <w:rFonts w:hint="eastAsia" w:ascii="仿宋_GB2312" w:hAnsi="Times New Roman" w:eastAsia="仿宋_GB2312" w:cs="Times New Roman"/>
          <w:sz w:val="28"/>
          <w:szCs w:val="28"/>
        </w:rPr>
      </w:pPr>
      <w:r>
        <w:rPr>
          <w:rStyle w:val="21"/>
          <w:rFonts w:hint="eastAsia" w:ascii="仿宋" w:hAnsi="仿宋" w:eastAsia="仿宋" w:cs="Times New Roman"/>
          <w:sz w:val="28"/>
          <w:szCs w:val="28"/>
        </w:rPr>
        <w:t>收入支出决算总表</w:t>
      </w:r>
      <w:r>
        <w:rPr>
          <w:rFonts w:hint="eastAsia" w:ascii="仿宋_GB2312" w:hAnsi="Times New Roman" w:eastAsia="仿宋_GB2312" w:cs="Times New Roman"/>
          <w:sz w:val="28"/>
          <w:szCs w:val="28"/>
        </w:rPr>
        <w:t>                                    32</w:t>
      </w:r>
    </w:p>
    <w:p w14:paraId="1CA32E7A">
      <w:pPr>
        <w:pStyle w:val="20"/>
        <w:shd w:val="clear" w:color="auto" w:fill="FFFFFF"/>
        <w:spacing w:before="0" w:beforeAutospacing="0" w:after="0" w:afterAutospacing="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w:t>
      </w:r>
      <w:r>
        <w:rPr>
          <w:rStyle w:val="21"/>
          <w:rFonts w:hint="eastAsia" w:ascii="仿宋" w:hAnsi="仿宋" w:eastAsia="仿宋" w:cs="Times New Roman"/>
          <w:sz w:val="28"/>
          <w:szCs w:val="28"/>
        </w:rPr>
        <w:t xml:space="preserve">收入总表                                          </w:t>
      </w:r>
      <w:r>
        <w:rPr>
          <w:rFonts w:hint="eastAsia" w:ascii="仿宋_GB2312" w:hAnsi="Times New Roman" w:eastAsia="仿宋_GB2312" w:cs="Times New Roman"/>
          <w:sz w:val="28"/>
          <w:szCs w:val="28"/>
        </w:rPr>
        <w:t> 32</w:t>
      </w:r>
    </w:p>
    <w:p w14:paraId="508D6796">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三、</w:t>
      </w:r>
      <w:r>
        <w:rPr>
          <w:rStyle w:val="21"/>
          <w:rFonts w:hint="eastAsia" w:ascii="仿宋" w:hAnsi="仿宋" w:eastAsia="仿宋" w:cs="Times New Roman"/>
          <w:sz w:val="28"/>
          <w:szCs w:val="28"/>
        </w:rPr>
        <w:t>支出总表</w:t>
      </w:r>
      <w:r>
        <w:rPr>
          <w:rFonts w:hint="eastAsia" w:ascii="仿宋_GB2312" w:hAnsi="Times New Roman" w:eastAsia="仿宋_GB2312" w:cs="Times New Roman"/>
          <w:sz w:val="28"/>
          <w:szCs w:val="28"/>
        </w:rPr>
        <w:t>                                           32</w:t>
      </w:r>
    </w:p>
    <w:p w14:paraId="13E34934">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四、</w:t>
      </w:r>
      <w:r>
        <w:rPr>
          <w:rStyle w:val="21"/>
          <w:rFonts w:hint="eastAsia" w:ascii="仿宋" w:hAnsi="仿宋" w:eastAsia="仿宋" w:cs="Times New Roman"/>
          <w:sz w:val="28"/>
          <w:szCs w:val="28"/>
        </w:rPr>
        <w:t>财政拨款收入支出决算总表</w:t>
      </w:r>
      <w:r>
        <w:rPr>
          <w:rFonts w:hint="eastAsia" w:ascii="仿宋_GB2312" w:hAnsi="Times New Roman" w:eastAsia="仿宋_GB2312" w:cs="Times New Roman"/>
          <w:sz w:val="28"/>
          <w:szCs w:val="28"/>
        </w:rPr>
        <w:t>                           32</w:t>
      </w:r>
    </w:p>
    <w:p w14:paraId="55DFD515">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五、财政拨款支出决算明细表（政府经济分类科目）         32</w:t>
      </w:r>
    </w:p>
    <w:p w14:paraId="76195485">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六、</w:t>
      </w:r>
      <w:r>
        <w:rPr>
          <w:rStyle w:val="21"/>
          <w:rFonts w:hint="eastAsia" w:ascii="仿宋" w:hAnsi="仿宋" w:eastAsia="仿宋" w:cs="Times New Roman"/>
          <w:sz w:val="28"/>
          <w:szCs w:val="28"/>
        </w:rPr>
        <w:t xml:space="preserve">一般公共预算财政拨款支出决算表                    </w:t>
      </w:r>
      <w:r>
        <w:rPr>
          <w:rFonts w:hint="eastAsia" w:ascii="仿宋_GB2312" w:hAnsi="Times New Roman" w:eastAsia="仿宋_GB2312" w:cs="Times New Roman"/>
          <w:sz w:val="28"/>
          <w:szCs w:val="28"/>
        </w:rPr>
        <w:t> 32</w:t>
      </w:r>
    </w:p>
    <w:p w14:paraId="27DA720E">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七、</w:t>
      </w:r>
      <w:r>
        <w:rPr>
          <w:rStyle w:val="21"/>
          <w:rFonts w:hint="eastAsia" w:ascii="仿宋" w:hAnsi="仿宋" w:eastAsia="仿宋" w:cs="Times New Roman"/>
          <w:sz w:val="28"/>
          <w:szCs w:val="28"/>
        </w:rPr>
        <w:t>一般公共预算财政拨款支出决算明细表</w:t>
      </w:r>
      <w:r>
        <w:rPr>
          <w:rFonts w:hint="eastAsia" w:ascii="仿宋_GB2312" w:hAnsi="Times New Roman" w:eastAsia="仿宋_GB2312" w:cs="Times New Roman"/>
          <w:sz w:val="28"/>
          <w:szCs w:val="28"/>
        </w:rPr>
        <w:t>                 32</w:t>
      </w:r>
    </w:p>
    <w:p w14:paraId="3508BC67">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八、</w:t>
      </w:r>
      <w:r>
        <w:rPr>
          <w:rStyle w:val="21"/>
          <w:rFonts w:hint="eastAsia" w:ascii="仿宋" w:hAnsi="仿宋" w:eastAsia="仿宋" w:cs="Times New Roman"/>
          <w:sz w:val="28"/>
          <w:szCs w:val="28"/>
        </w:rPr>
        <w:t>一般公共预算财政拨款基本支出决算表</w:t>
      </w:r>
      <w:r>
        <w:rPr>
          <w:rFonts w:hint="eastAsia" w:ascii="仿宋_GB2312" w:hAnsi="Times New Roman" w:eastAsia="仿宋_GB2312" w:cs="Times New Roman"/>
          <w:sz w:val="28"/>
          <w:szCs w:val="28"/>
        </w:rPr>
        <w:t>                 32</w:t>
      </w:r>
    </w:p>
    <w:p w14:paraId="604FD9D7">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九、</w:t>
      </w:r>
      <w:r>
        <w:rPr>
          <w:rStyle w:val="21"/>
          <w:rFonts w:hint="eastAsia" w:ascii="仿宋" w:hAnsi="仿宋" w:eastAsia="仿宋" w:cs="Times New Roman"/>
          <w:sz w:val="28"/>
          <w:szCs w:val="28"/>
        </w:rPr>
        <w:t>一般公共预算财政拨款项目支出决算表</w:t>
      </w:r>
      <w:r>
        <w:rPr>
          <w:rFonts w:hint="eastAsia" w:ascii="仿宋_GB2312" w:hAnsi="Times New Roman" w:eastAsia="仿宋_GB2312" w:cs="Times New Roman"/>
          <w:sz w:val="28"/>
          <w:szCs w:val="28"/>
        </w:rPr>
        <w:t>                 32</w:t>
      </w:r>
    </w:p>
    <w:p w14:paraId="1EA03426">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十、</w:t>
      </w:r>
      <w:r>
        <w:rPr>
          <w:rStyle w:val="21"/>
          <w:rFonts w:hint="eastAsia" w:ascii="仿宋" w:hAnsi="仿宋" w:eastAsia="仿宋" w:cs="Times New Roman"/>
          <w:sz w:val="28"/>
          <w:szCs w:val="28"/>
        </w:rPr>
        <w:t>一般公共预算财政拨款“三公”经费支出决算表</w:t>
      </w:r>
      <w:r>
        <w:rPr>
          <w:rFonts w:hint="eastAsia" w:ascii="仿宋_GB2312" w:hAnsi="Times New Roman" w:eastAsia="仿宋_GB2312" w:cs="Times New Roman"/>
          <w:sz w:val="28"/>
          <w:szCs w:val="28"/>
        </w:rPr>
        <w:t>         32</w:t>
      </w:r>
    </w:p>
    <w:p w14:paraId="4390FC0D">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十一、</w:t>
      </w:r>
      <w:r>
        <w:rPr>
          <w:rStyle w:val="21"/>
          <w:rFonts w:hint="eastAsia" w:ascii="仿宋" w:hAnsi="仿宋" w:eastAsia="仿宋" w:cs="Times New Roman"/>
          <w:sz w:val="28"/>
          <w:szCs w:val="28"/>
        </w:rPr>
        <w:t xml:space="preserve">政府性基金预算财政拨款收入支出决算表            </w:t>
      </w:r>
      <w:r>
        <w:rPr>
          <w:rFonts w:hint="eastAsia" w:ascii="仿宋_GB2312" w:hAnsi="Times New Roman" w:eastAsia="仿宋_GB2312" w:cs="Times New Roman"/>
          <w:sz w:val="28"/>
          <w:szCs w:val="28"/>
        </w:rPr>
        <w:t> 32</w:t>
      </w:r>
    </w:p>
    <w:p w14:paraId="0A332DCE">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十二、</w:t>
      </w:r>
      <w:r>
        <w:rPr>
          <w:rStyle w:val="21"/>
          <w:rFonts w:hint="eastAsia" w:ascii="仿宋" w:hAnsi="仿宋" w:eastAsia="仿宋" w:cs="Times New Roman"/>
          <w:sz w:val="28"/>
          <w:szCs w:val="28"/>
        </w:rPr>
        <w:t>政府性基金预算财政拨款“三公”经费支出决算表</w:t>
      </w:r>
      <w:r>
        <w:rPr>
          <w:rFonts w:hint="eastAsia" w:ascii="仿宋_GB2312" w:hAnsi="Times New Roman" w:eastAsia="仿宋_GB2312" w:cs="Times New Roman"/>
          <w:sz w:val="28"/>
          <w:szCs w:val="28"/>
        </w:rPr>
        <w:t>     32</w:t>
      </w:r>
    </w:p>
    <w:p w14:paraId="4098E189">
      <w:pPr>
        <w:pStyle w:val="20"/>
        <w:shd w:val="clear" w:color="auto" w:fill="FFFFFF"/>
        <w:spacing w:before="0" w:beforeAutospacing="0" w:after="0" w:afterAutospacing="0"/>
        <w:rPr>
          <w:rFonts w:ascii="Times New Roman" w:hAnsi="Times New Roman" w:cs="Times New Roman"/>
          <w:sz w:val="28"/>
          <w:szCs w:val="28"/>
        </w:rPr>
      </w:pPr>
      <w:r>
        <w:rPr>
          <w:rFonts w:hint="eastAsia" w:ascii="仿宋_GB2312" w:hAnsi="Times New Roman" w:eastAsia="仿宋_GB2312" w:cs="Times New Roman"/>
          <w:sz w:val="28"/>
          <w:szCs w:val="28"/>
        </w:rPr>
        <w:t>十三、</w:t>
      </w:r>
      <w:r>
        <w:rPr>
          <w:rStyle w:val="21"/>
          <w:rFonts w:hint="eastAsia" w:ascii="仿宋" w:hAnsi="仿宋" w:eastAsia="仿宋" w:cs="Times New Roman"/>
          <w:sz w:val="28"/>
          <w:szCs w:val="28"/>
        </w:rPr>
        <w:t xml:space="preserve">国有资本经营预算支出决算表                      </w:t>
      </w:r>
      <w:r>
        <w:rPr>
          <w:rFonts w:hint="eastAsia" w:ascii="仿宋_GB2312" w:hAnsi="Times New Roman" w:eastAsia="仿宋_GB2312" w:cs="Times New Roman"/>
          <w:sz w:val="28"/>
          <w:szCs w:val="28"/>
        </w:rPr>
        <w:t> 32</w:t>
      </w:r>
    </w:p>
    <w:p w14:paraId="346BA8E1">
      <w:pPr>
        <w:pStyle w:val="6"/>
        <w:shd w:val="clear" w:color="auto" w:fill="FFFFFF"/>
        <w:spacing w:before="213" w:beforeAutospacing="0" w:after="213" w:afterAutospacing="0"/>
        <w:rPr>
          <w:rFonts w:ascii="微软雅黑" w:hAnsi="微软雅黑" w:eastAsia="微软雅黑"/>
          <w:color w:val="333333"/>
          <w:sz w:val="23"/>
          <w:szCs w:val="23"/>
        </w:rPr>
      </w:pPr>
      <w:r>
        <w:rPr>
          <w:rFonts w:hint="eastAsia" w:ascii="微软雅黑" w:hAnsi="微软雅黑" w:eastAsia="微软雅黑"/>
          <w:color w:val="333333"/>
          <w:sz w:val="23"/>
          <w:szCs w:val="23"/>
        </w:rPr>
        <w:t> </w:t>
      </w:r>
    </w:p>
    <w:p w14:paraId="351A891B">
      <w:pPr>
        <w:widowControl/>
        <w:shd w:val="clear" w:color="auto" w:fill="FFFFFF"/>
        <w:jc w:val="center"/>
        <w:rPr>
          <w:rFonts w:ascii="仿宋_GB2312" w:hAnsi="仿宋" w:eastAsia="仿宋_GB2312" w:cs="宋体"/>
          <w:color w:val="333333"/>
          <w:kern w:val="0"/>
          <w:sz w:val="30"/>
          <w:szCs w:val="30"/>
        </w:rPr>
      </w:pPr>
    </w:p>
    <w:p w14:paraId="5C1F20A8">
      <w:pPr>
        <w:widowControl/>
        <w:shd w:val="clear" w:color="auto" w:fill="FFFFFF"/>
        <w:jc w:val="center"/>
        <w:rPr>
          <w:rFonts w:ascii="仿宋_GB2312" w:hAnsi="仿宋" w:eastAsia="仿宋_GB2312" w:cs="宋体"/>
          <w:color w:val="333333"/>
          <w:kern w:val="0"/>
          <w:sz w:val="30"/>
          <w:szCs w:val="30"/>
        </w:rPr>
      </w:pPr>
    </w:p>
    <w:p w14:paraId="2A70EDEB">
      <w:pPr>
        <w:widowControl/>
        <w:shd w:val="clear" w:color="auto" w:fill="FFFFFF"/>
        <w:jc w:val="center"/>
        <w:rPr>
          <w:rFonts w:ascii="仿宋_GB2312" w:hAnsi="仿宋" w:eastAsia="仿宋_GB2312" w:cs="宋体"/>
          <w:color w:val="333333"/>
          <w:kern w:val="0"/>
          <w:sz w:val="30"/>
          <w:szCs w:val="30"/>
        </w:rPr>
      </w:pPr>
    </w:p>
    <w:p w14:paraId="34413267">
      <w:pPr>
        <w:widowControl/>
        <w:shd w:val="clear" w:color="auto" w:fill="FFFFFF"/>
        <w:jc w:val="center"/>
        <w:rPr>
          <w:rFonts w:ascii="仿宋_GB2312" w:hAnsi="仿宋" w:eastAsia="仿宋_GB2312" w:cs="宋体"/>
          <w:color w:val="333333"/>
          <w:kern w:val="0"/>
          <w:sz w:val="30"/>
          <w:szCs w:val="30"/>
        </w:rPr>
      </w:pPr>
    </w:p>
    <w:p w14:paraId="6405CAB9">
      <w:pPr>
        <w:widowControl/>
        <w:shd w:val="clear" w:color="auto" w:fill="FFFFFF"/>
        <w:jc w:val="center"/>
        <w:rPr>
          <w:rFonts w:ascii="仿宋_GB2312" w:hAnsi="仿宋" w:eastAsia="仿宋_GB2312" w:cs="宋体"/>
          <w:color w:val="333333"/>
          <w:kern w:val="0"/>
          <w:sz w:val="30"/>
          <w:szCs w:val="30"/>
        </w:rPr>
      </w:pPr>
    </w:p>
    <w:p w14:paraId="124426C4">
      <w:pPr>
        <w:widowControl/>
        <w:shd w:val="clear" w:color="auto" w:fill="FFFFFF"/>
        <w:jc w:val="center"/>
        <w:rPr>
          <w:rFonts w:ascii="仿宋_GB2312" w:hAnsi="仿宋" w:eastAsia="仿宋_GB2312" w:cs="宋体"/>
          <w:color w:val="333333"/>
          <w:kern w:val="0"/>
          <w:sz w:val="30"/>
          <w:szCs w:val="30"/>
        </w:rPr>
      </w:pPr>
    </w:p>
    <w:p w14:paraId="7531BF99">
      <w:pPr>
        <w:widowControl/>
        <w:shd w:val="clear" w:color="auto" w:fill="FFFFFF"/>
        <w:jc w:val="center"/>
        <w:rPr>
          <w:rFonts w:ascii="仿宋_GB2312" w:hAnsi="仿宋" w:eastAsia="仿宋_GB2312" w:cs="宋体"/>
          <w:color w:val="333333"/>
          <w:kern w:val="0"/>
          <w:sz w:val="30"/>
          <w:szCs w:val="30"/>
        </w:rPr>
      </w:pPr>
    </w:p>
    <w:p w14:paraId="1EB9CA30">
      <w:pPr>
        <w:widowControl/>
        <w:shd w:val="clear" w:color="auto" w:fill="FFFFFF"/>
        <w:rPr>
          <w:rFonts w:ascii="仿宋_GB2312" w:hAnsi="仿宋" w:eastAsia="仿宋_GB2312" w:cs="宋体"/>
          <w:color w:val="333333"/>
          <w:kern w:val="0"/>
          <w:sz w:val="30"/>
          <w:szCs w:val="30"/>
        </w:rPr>
      </w:pPr>
    </w:p>
    <w:p w14:paraId="1F8EF12B">
      <w:pPr>
        <w:widowControl/>
        <w:shd w:val="clear" w:color="auto" w:fill="FFFFFF"/>
        <w:spacing w:before="231" w:after="231"/>
        <w:jc w:val="center"/>
        <w:rPr>
          <w:rFonts w:ascii="仿宋_GB2312" w:hAnsi="黑体" w:eastAsia="仿宋_GB2312" w:cs="宋体"/>
          <w:color w:val="333333"/>
          <w:kern w:val="0"/>
          <w:sz w:val="30"/>
          <w:szCs w:val="30"/>
        </w:rPr>
      </w:pPr>
      <w:r>
        <w:rPr>
          <w:rFonts w:hint="eastAsia" w:ascii="仿宋_GB2312" w:hAnsi="黑体" w:eastAsia="仿宋_GB2312" w:cs="宋体"/>
          <w:color w:val="333333"/>
          <w:kern w:val="0"/>
          <w:sz w:val="30"/>
          <w:szCs w:val="30"/>
        </w:rPr>
        <w:t>第一部分 部门概况</w:t>
      </w:r>
    </w:p>
    <w:p w14:paraId="3235C056">
      <w:pPr>
        <w:widowControl/>
        <w:shd w:val="clear" w:color="auto" w:fill="FFFFFF"/>
        <w:jc w:val="left"/>
        <w:rPr>
          <w:rFonts w:ascii="仿宋_GB2312" w:hAnsi="黑体" w:eastAsia="仿宋_GB2312" w:cs="宋体"/>
          <w:color w:val="333333"/>
          <w:kern w:val="0"/>
          <w:sz w:val="30"/>
          <w:szCs w:val="30"/>
        </w:rPr>
      </w:pPr>
      <w:bookmarkStart w:id="3" w:name="_Toc15396600"/>
      <w:r>
        <w:rPr>
          <w:rFonts w:hint="eastAsia" w:ascii="仿宋_GB2312" w:hAnsi="黑体" w:eastAsia="仿宋_GB2312" w:cs="宋体"/>
          <w:color w:val="000000"/>
          <w:kern w:val="0"/>
          <w:sz w:val="30"/>
          <w:szCs w:val="30"/>
        </w:rPr>
        <w:t>一、基</w:t>
      </w:r>
      <w:r>
        <w:rPr>
          <w:rFonts w:hint="eastAsia" w:ascii="仿宋_GB2312" w:hAnsi="黑体" w:eastAsia="仿宋_GB2312" w:cs="宋体"/>
          <w:color w:val="575757"/>
          <w:kern w:val="0"/>
          <w:sz w:val="30"/>
          <w:szCs w:val="30"/>
        </w:rPr>
        <w:t>本职能及主要工作</w:t>
      </w:r>
      <w:bookmarkEnd w:id="3"/>
    </w:p>
    <w:p w14:paraId="0814F340">
      <w:pPr>
        <w:widowControl/>
        <w:shd w:val="clear" w:color="auto" w:fill="FFFFFF"/>
        <w:ind w:firstLine="671"/>
        <w:jc w:val="left"/>
        <w:rPr>
          <w:rFonts w:ascii="仿宋_GB2312" w:hAnsi="宋体" w:eastAsia="仿宋_GB2312" w:cs="宋体"/>
          <w:color w:val="333333"/>
          <w:kern w:val="0"/>
          <w:sz w:val="30"/>
          <w:szCs w:val="30"/>
        </w:rPr>
      </w:pPr>
      <w:bookmarkStart w:id="4" w:name="_Toc15378445"/>
      <w:r>
        <w:rPr>
          <w:rFonts w:hint="eastAsia" w:ascii="仿宋_GB2312" w:hAnsi="宋体" w:eastAsia="仿宋_GB2312" w:cs="宋体"/>
          <w:color w:val="000000"/>
          <w:kern w:val="0"/>
          <w:sz w:val="30"/>
          <w:szCs w:val="30"/>
        </w:rPr>
        <w:t>（一）主要职能。（职能参照省政府批准的三定方案）</w:t>
      </w:r>
      <w:bookmarkEnd w:id="4"/>
    </w:p>
    <w:p w14:paraId="00605191">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盐边县委统战部（民宗局），位于盐边县桐子林镇东环北路214号，属行政机构，是</w:t>
      </w:r>
      <w:r>
        <w:rPr>
          <w:rFonts w:hint="eastAsia" w:ascii="仿宋_GB2312" w:hAnsi="宋体" w:eastAsia="仿宋_GB2312" w:cs="宋体"/>
          <w:color w:val="333333"/>
          <w:kern w:val="0"/>
          <w:sz w:val="30"/>
          <w:szCs w:val="30"/>
          <w:lang w:eastAsia="zh-CN"/>
        </w:rPr>
        <w:t>县委、县政府</w:t>
      </w:r>
      <w:r>
        <w:rPr>
          <w:rFonts w:hint="eastAsia" w:ascii="仿宋_GB2312" w:hAnsi="宋体" w:eastAsia="仿宋_GB2312" w:cs="宋体"/>
          <w:color w:val="333333"/>
          <w:kern w:val="0"/>
          <w:sz w:val="30"/>
          <w:szCs w:val="30"/>
        </w:rPr>
        <w:t>主管统一战线、民族、宗教事业的行政职能部门。</w:t>
      </w:r>
    </w:p>
    <w:p w14:paraId="6868DC14">
      <w:pPr>
        <w:widowControl/>
        <w:shd w:val="clear" w:color="auto" w:fill="FFFFFF"/>
        <w:ind w:firstLine="600" w:firstLineChars="200"/>
        <w:rPr>
          <w:rFonts w:ascii="仿宋_GB2312" w:hAnsi="宋体" w:eastAsia="仿宋_GB2312" w:cs="宋体"/>
          <w:color w:val="575757"/>
          <w:kern w:val="0"/>
          <w:sz w:val="30"/>
          <w:szCs w:val="30"/>
        </w:rPr>
      </w:pPr>
      <w:r>
        <w:rPr>
          <w:rFonts w:hint="eastAsia" w:ascii="仿宋_GB2312" w:hAnsi="宋体" w:eastAsia="仿宋_GB2312" w:cs="宋体"/>
          <w:color w:val="333333"/>
          <w:kern w:val="0"/>
          <w:sz w:val="30"/>
          <w:szCs w:val="30"/>
        </w:rPr>
        <w:t>主要工作职责</w:t>
      </w:r>
      <w:bookmarkStart w:id="5" w:name="_Toc15377199"/>
      <w:bookmarkEnd w:id="5"/>
      <w:bookmarkStart w:id="6" w:name="_Toc15378446"/>
      <w:r>
        <w:rPr>
          <w:rFonts w:hint="eastAsia" w:ascii="仿宋_GB2312" w:hAnsi="宋体" w:eastAsia="仿宋_GB2312" w:cs="宋体"/>
          <w:color w:val="333333"/>
          <w:kern w:val="0"/>
          <w:sz w:val="30"/>
          <w:szCs w:val="30"/>
          <w:lang w:eastAsia="zh-CN"/>
        </w:rPr>
        <w:t>：</w:t>
      </w:r>
    </w:p>
    <w:p w14:paraId="0A40CA49">
      <w:pPr>
        <w:widowControl/>
        <w:shd w:val="clear" w:color="auto" w:fill="FFFFFF"/>
        <w:ind w:firstLine="600" w:firstLineChars="200"/>
        <w:rPr>
          <w:rFonts w:ascii="仿宋_GB2312" w:hAnsi="宋体" w:eastAsia="仿宋_GB2312" w:cs="宋体"/>
          <w:color w:val="575757"/>
          <w:kern w:val="0"/>
          <w:sz w:val="30"/>
          <w:szCs w:val="30"/>
        </w:rPr>
      </w:pPr>
      <w:r>
        <w:rPr>
          <w:rFonts w:hint="eastAsia" w:ascii="仿宋_GB2312" w:hAnsi="宋体" w:eastAsia="仿宋_GB2312" w:cs="宋体"/>
          <w:color w:val="575757"/>
          <w:kern w:val="0"/>
          <w:sz w:val="30"/>
          <w:szCs w:val="30"/>
          <w:lang w:eastAsia="zh-CN"/>
        </w:rPr>
        <w:t>（1）</w:t>
      </w:r>
      <w:r>
        <w:rPr>
          <w:rFonts w:hint="eastAsia" w:ascii="仿宋_GB2312" w:hAnsi="宋体" w:eastAsia="仿宋_GB2312" w:cs="宋体"/>
          <w:color w:val="575757"/>
          <w:kern w:val="0"/>
          <w:sz w:val="30"/>
          <w:szCs w:val="30"/>
        </w:rP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bookmarkEnd w:id="6"/>
    </w:p>
    <w:p w14:paraId="02F873A3">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（2）</w:t>
      </w:r>
      <w:r>
        <w:rPr>
          <w:rFonts w:hint="eastAsia" w:ascii="仿宋_GB2312" w:hAnsi="宋体" w:eastAsia="仿宋_GB2312" w:cs="宋体"/>
          <w:color w:val="333333"/>
          <w:kern w:val="0"/>
          <w:sz w:val="30"/>
          <w:szCs w:val="30"/>
        </w:rPr>
        <w:t>深入调查研究，推动落实中央及省、市、县</w:t>
      </w:r>
      <w:r>
        <w:rPr>
          <w:rFonts w:hint="eastAsia" w:ascii="仿宋_GB2312" w:hAnsi="宋体" w:eastAsia="仿宋_GB2312" w:cs="宋体"/>
          <w:color w:val="333333"/>
          <w:kern w:val="0"/>
          <w:sz w:val="30"/>
          <w:szCs w:val="30"/>
          <w:lang w:eastAsia="zh-CN"/>
        </w:rPr>
        <w:t>统一</w:t>
      </w:r>
      <w:r>
        <w:rPr>
          <w:rFonts w:hint="eastAsia" w:ascii="仿宋_GB2312" w:hAnsi="宋体" w:eastAsia="仿宋_GB2312" w:cs="宋体"/>
          <w:color w:val="333333"/>
          <w:kern w:val="0"/>
          <w:sz w:val="30"/>
          <w:szCs w:val="30"/>
        </w:rPr>
        <w:t>战线工作政策和法规， 及时向县委报告统一战线工作情况并提出建议，统筹协调和指导各乡</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镇</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、部门</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单位</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统一战线工作，指导基层统战实践创新基地建设。</w:t>
      </w:r>
    </w:p>
    <w:p w14:paraId="11EAF243">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（3）</w:t>
      </w:r>
      <w:r>
        <w:rPr>
          <w:rFonts w:hint="eastAsia" w:ascii="仿宋_GB2312" w:hAnsi="宋体" w:eastAsia="仿宋_GB2312" w:cs="宋体"/>
          <w:color w:val="333333"/>
          <w:kern w:val="0"/>
          <w:sz w:val="30"/>
          <w:szCs w:val="30"/>
        </w:rPr>
        <w:t>负责发现、培养党外代表人士，制定党外干部培养规划，负责党外人士的政治安排，会同有关部门做好安排党外人士担任政府和司法机关等领导职务的工作，推动人民团体、国有企业党外干部安排工作。协助民主党派基层组织、县工商联做好干部管理工作，反映和协调解决党外代表人士工作生活中的实际困难。</w:t>
      </w:r>
    </w:p>
    <w:p w14:paraId="2C01ADEE">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（4）</w:t>
      </w:r>
      <w:r>
        <w:rPr>
          <w:rFonts w:hint="eastAsia" w:ascii="仿宋_GB2312" w:hAnsi="宋体" w:eastAsia="仿宋_GB2312" w:cs="宋体"/>
          <w:color w:val="333333"/>
          <w:kern w:val="0"/>
          <w:sz w:val="30"/>
          <w:szCs w:val="30"/>
        </w:rPr>
        <w:t>贯彻落实党的宣传工作方针，统筹推进全县统一战线宣传和意识形态工作，组织贯彻落实党中央和省、市、县委统一战线宣传工作政策和规划，统筹推进网络统战工作，打造网络统战工作平台，研判涉及统一战线的舆情并协调有关部门应对处置。</w:t>
      </w:r>
    </w:p>
    <w:p w14:paraId="2A366D7A">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（5）</w:t>
      </w:r>
      <w:r>
        <w:rPr>
          <w:rFonts w:hint="eastAsia" w:ascii="仿宋_GB2312" w:hAnsi="宋体" w:eastAsia="仿宋_GB2312" w:cs="宋体"/>
          <w:color w:val="333333"/>
          <w:kern w:val="0"/>
          <w:sz w:val="30"/>
          <w:szCs w:val="30"/>
        </w:rPr>
        <w:t>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62D1D017">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（6）</w:t>
      </w:r>
      <w:r>
        <w:rPr>
          <w:rFonts w:hint="eastAsia" w:ascii="仿宋_GB2312" w:hAnsi="宋体" w:eastAsia="仿宋_GB2312" w:cs="宋体"/>
          <w:color w:val="333333"/>
          <w:kern w:val="0"/>
          <w:sz w:val="30"/>
          <w:szCs w:val="30"/>
        </w:rPr>
        <w:t>负责联系、培养无党派代表人士和新的社会阶层人士，帮助无党派人士和</w:t>
      </w:r>
      <w:r>
        <w:rPr>
          <w:rFonts w:hint="eastAsia" w:ascii="仿宋_GB2312" w:hAnsi="宋体" w:eastAsia="仿宋_GB2312" w:cs="宋体"/>
          <w:color w:val="333333"/>
          <w:kern w:val="0"/>
          <w:sz w:val="30"/>
          <w:szCs w:val="30"/>
          <w:lang w:eastAsia="zh-CN"/>
        </w:rPr>
        <w:t>新的社会阶层人士</w:t>
      </w:r>
      <w:r>
        <w:rPr>
          <w:rFonts w:hint="eastAsia" w:ascii="仿宋_GB2312" w:hAnsi="宋体" w:eastAsia="仿宋_GB2312" w:cs="宋体"/>
          <w:color w:val="333333"/>
          <w:kern w:val="0"/>
          <w:sz w:val="30"/>
          <w:szCs w:val="30"/>
        </w:rPr>
        <w:t>加强自身建设、发挥作用。调查研究全县无党派人士和新的社</w:t>
      </w:r>
      <w:r>
        <w:rPr>
          <w:rFonts w:hint="eastAsia" w:ascii="仿宋_GB2312" w:hAnsi="宋体" w:eastAsia="仿宋_GB2312" w:cs="宋体"/>
          <w:color w:val="333333"/>
          <w:kern w:val="0"/>
          <w:sz w:val="30"/>
          <w:szCs w:val="30"/>
          <w:lang w:eastAsia="zh-CN"/>
        </w:rPr>
        <w:t>会自</w:t>
      </w:r>
      <w:r>
        <w:rPr>
          <w:rFonts w:hint="eastAsia" w:ascii="仿宋_GB2312" w:hAnsi="宋体" w:eastAsia="仿宋_GB2312" w:cs="宋体"/>
          <w:color w:val="333333"/>
          <w:kern w:val="0"/>
          <w:sz w:val="30"/>
          <w:szCs w:val="30"/>
        </w:rPr>
        <w:t>身建人士情况并提出政策建议，联系、培养无党派代表</w:t>
      </w:r>
      <w:r>
        <w:rPr>
          <w:rFonts w:hint="eastAsia" w:ascii="仿宋_GB2312" w:hAnsi="宋体" w:eastAsia="仿宋_GB2312" w:cs="宋体"/>
          <w:color w:val="333333"/>
          <w:kern w:val="0"/>
          <w:sz w:val="30"/>
          <w:szCs w:val="30"/>
          <w:lang w:eastAsia="zh-CN"/>
        </w:rPr>
        <w:t>公民</w:t>
      </w:r>
      <w:r>
        <w:rPr>
          <w:rFonts w:hint="eastAsia" w:ascii="仿宋_GB2312" w:hAnsi="宋体" w:eastAsia="仿宋_GB2312" w:cs="宋体"/>
          <w:color w:val="333333"/>
          <w:kern w:val="0"/>
          <w:sz w:val="30"/>
          <w:szCs w:val="30"/>
        </w:rPr>
        <w:t>和新的社会阶层人士，开展思想政治工作，指导学校、</w:t>
      </w:r>
      <w:r>
        <w:rPr>
          <w:rFonts w:hint="eastAsia" w:ascii="仿宋_GB2312" w:hAnsi="宋体" w:eastAsia="仿宋_GB2312" w:cs="宋体"/>
          <w:color w:val="333333"/>
          <w:kern w:val="0"/>
          <w:sz w:val="30"/>
          <w:szCs w:val="30"/>
          <w:lang w:eastAsia="zh-CN"/>
        </w:rPr>
        <w:t>国务</w:t>
      </w:r>
      <w:r>
        <w:rPr>
          <w:rFonts w:hint="eastAsia" w:ascii="仿宋_GB2312" w:hAnsi="宋体" w:eastAsia="仿宋_GB2312" w:cs="宋体"/>
          <w:color w:val="333333"/>
          <w:kern w:val="0"/>
          <w:sz w:val="30"/>
          <w:szCs w:val="30"/>
        </w:rPr>
        <w:t>院等有关单位和相关社会组织开展统战工作。</w:t>
      </w:r>
    </w:p>
    <w:p w14:paraId="5387F333">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（7）</w:t>
      </w:r>
      <w:r>
        <w:rPr>
          <w:rFonts w:hint="eastAsia" w:ascii="仿宋_GB2312" w:hAnsi="宋体" w:eastAsia="仿宋_GB2312" w:cs="宋体"/>
          <w:color w:val="333333"/>
          <w:kern w:val="0"/>
          <w:sz w:val="30"/>
          <w:szCs w:val="30"/>
        </w:rPr>
        <w:t>承担全县非公有制经济协调工作，负责全县非公有制经济代表人士工作，参与制定、推动落实鼓励支持引导非公有制经济发展的政策，调查研究全县非公有制经济人士情况并提出政策建议，了解和反映非公有制经济人士的意见，团结、服务、引导、教育非公有制经济人士，促进非公有制经济健康发展和非公有制经济人士健康成长。</w:t>
      </w:r>
    </w:p>
    <w:p w14:paraId="7B361CF9">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（8）</w:t>
      </w:r>
      <w:r>
        <w:rPr>
          <w:rFonts w:hint="eastAsia" w:ascii="仿宋_GB2312" w:hAnsi="宋体" w:eastAsia="仿宋_GB2312" w:cs="宋体"/>
          <w:color w:val="333333"/>
          <w:kern w:val="0"/>
          <w:sz w:val="30"/>
          <w:szCs w:val="30"/>
        </w:rPr>
        <w:t>统一领导港澳统战工作，牵头开展海外港澳统战工作。贯彻落实中央及省、市、县委海外统战工作政策和规划</w:t>
      </w:r>
      <w:r>
        <w:rPr>
          <w:rFonts w:hint="eastAsia" w:ascii="仿宋_GB2312" w:hAnsi="宋体" w:eastAsia="仿宋_GB2312" w:cs="宋体"/>
          <w:color w:val="333333"/>
          <w:kern w:val="0"/>
          <w:sz w:val="30"/>
          <w:szCs w:val="30"/>
          <w:lang w:eastAsia="zh-CN"/>
        </w:rPr>
        <w:t>并</w:t>
      </w:r>
      <w:r>
        <w:rPr>
          <w:rFonts w:hint="eastAsia" w:ascii="仿宋_GB2312" w:hAnsi="宋体" w:eastAsia="仿宋_GB2312" w:cs="宋体"/>
          <w:color w:val="333333"/>
          <w:kern w:val="0"/>
          <w:sz w:val="30"/>
          <w:szCs w:val="30"/>
        </w:rPr>
        <w:t>组织协调、督促检查落实。会同有关部门对香港、</w:t>
      </w:r>
      <w:r>
        <w:rPr>
          <w:rFonts w:hint="eastAsia" w:ascii="仿宋_GB2312" w:hAnsi="宋体" w:eastAsia="仿宋_GB2312" w:cs="宋体"/>
          <w:color w:val="333333"/>
          <w:kern w:val="0"/>
          <w:sz w:val="30"/>
          <w:szCs w:val="30"/>
          <w:lang w:eastAsia="zh-CN"/>
        </w:rPr>
        <w:t>澳门</w:t>
      </w:r>
      <w:r>
        <w:rPr>
          <w:rFonts w:hint="eastAsia" w:ascii="仿宋_GB2312" w:hAnsi="宋体" w:eastAsia="仿宋_GB2312" w:cs="宋体"/>
          <w:color w:val="333333"/>
          <w:kern w:val="0"/>
          <w:sz w:val="30"/>
          <w:szCs w:val="30"/>
        </w:rPr>
        <w:t>场区统一月线工作进行调查研究</w:t>
      </w:r>
      <w:r>
        <w:rPr>
          <w:rFonts w:hint="eastAsia" w:ascii="仿宋_GB2312" w:hAnsi="宋体" w:eastAsia="仿宋_GB2312" w:cs="宋体"/>
          <w:color w:val="333333"/>
          <w:kern w:val="0"/>
          <w:sz w:val="30"/>
          <w:szCs w:val="30"/>
          <w:lang w:eastAsia="zh-CN"/>
        </w:rPr>
        <w:t>并</w:t>
      </w:r>
      <w:r>
        <w:rPr>
          <w:rFonts w:hint="eastAsia" w:ascii="仿宋_GB2312" w:hAnsi="宋体" w:eastAsia="仿宋_GB2312" w:cs="宋体"/>
          <w:color w:val="333333"/>
          <w:kern w:val="0"/>
          <w:sz w:val="30"/>
          <w:szCs w:val="30"/>
        </w:rPr>
        <w:t>提出政策</w:t>
      </w:r>
      <w:r>
        <w:rPr>
          <w:rFonts w:hint="eastAsia" w:ascii="仿宋_GB2312" w:hAnsi="宋体" w:eastAsia="仿宋_GB2312" w:cs="宋体"/>
          <w:color w:val="333333"/>
          <w:kern w:val="0"/>
          <w:sz w:val="30"/>
          <w:szCs w:val="30"/>
          <w:lang w:eastAsia="zh-CN"/>
        </w:rPr>
        <w:t>建议</w:t>
      </w:r>
      <w:r>
        <w:rPr>
          <w:rFonts w:hint="eastAsia" w:ascii="仿宋_GB2312" w:hAnsi="宋体" w:eastAsia="仿宋_GB2312" w:cs="宋体"/>
          <w:color w:val="333333"/>
          <w:kern w:val="0"/>
          <w:sz w:val="30"/>
          <w:szCs w:val="30"/>
        </w:rPr>
        <w:t>，联系香港、澳门有关党派、外事管理工作。团体及代表人士。做好统一战线</w:t>
      </w:r>
    </w:p>
    <w:p w14:paraId="3458072D">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（9）</w:t>
      </w:r>
      <w:r>
        <w:rPr>
          <w:rFonts w:hint="eastAsia" w:ascii="仿宋_GB2312" w:hAnsi="宋体" w:eastAsia="仿宋_GB2312" w:cs="宋体"/>
          <w:color w:val="333333"/>
          <w:kern w:val="0"/>
          <w:sz w:val="30"/>
          <w:szCs w:val="30"/>
        </w:rPr>
        <w:t>统一管理侨务工作。贯彻落实党的侨务工作</w:t>
      </w:r>
      <w:r>
        <w:rPr>
          <w:rFonts w:hint="eastAsia" w:ascii="仿宋_GB2312" w:hAnsi="宋体" w:eastAsia="仿宋_GB2312" w:cs="宋体"/>
          <w:color w:val="333333"/>
          <w:kern w:val="0"/>
          <w:sz w:val="30"/>
          <w:szCs w:val="30"/>
          <w:lang w:eastAsia="zh-CN"/>
        </w:rPr>
        <w:t>方针法施</w:t>
      </w:r>
      <w:r>
        <w:rPr>
          <w:rFonts w:hint="eastAsia" w:ascii="仿宋_GB2312" w:hAnsi="宋体" w:eastAsia="仿宋_GB2312" w:cs="宋体"/>
          <w:color w:val="333333"/>
          <w:kern w:val="0"/>
          <w:sz w:val="30"/>
          <w:szCs w:val="30"/>
        </w:rPr>
        <w:t>，</w:t>
      </w:r>
      <w:r>
        <w:rPr>
          <w:rFonts w:hint="eastAsia" w:ascii="仿宋_GB2312" w:hAnsi="宋体" w:eastAsia="仿宋_GB2312" w:cs="宋体"/>
          <w:color w:val="333333"/>
          <w:kern w:val="0"/>
          <w:sz w:val="30"/>
          <w:szCs w:val="30"/>
          <w:lang w:eastAsia="zh-CN"/>
        </w:rPr>
        <w:t>负责</w:t>
      </w:r>
      <w:r>
        <w:rPr>
          <w:rFonts w:hint="eastAsia" w:ascii="仿宋_GB2312" w:hAnsi="宋体" w:eastAsia="仿宋_GB2312" w:cs="宋体"/>
          <w:color w:val="333333"/>
          <w:kern w:val="0"/>
          <w:sz w:val="30"/>
          <w:szCs w:val="30"/>
        </w:rPr>
        <w:t>保务工作的研究侨情和侨务</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有关部门和社会区工作情况，组织协调、督促检查落实，调查团体涉侨工作，管理侨务行政事务， 统筹协调联系海外有关侨团和代表人士，负责海外侨胞代表人士在相关统战团体的</w:t>
      </w:r>
      <w:r>
        <w:rPr>
          <w:rFonts w:hint="eastAsia" w:ascii="仿宋_GB2312" w:hAnsi="宋体" w:eastAsia="仿宋_GB2312" w:cs="宋体"/>
          <w:color w:val="333333"/>
          <w:kern w:val="0"/>
          <w:sz w:val="30"/>
          <w:szCs w:val="30"/>
          <w:lang w:eastAsia="zh-CN"/>
        </w:rPr>
        <w:t>安排</w:t>
      </w:r>
      <w:r>
        <w:rPr>
          <w:rFonts w:hint="eastAsia" w:ascii="仿宋_GB2312" w:hAnsi="宋体" w:eastAsia="仿宋_GB2312" w:cs="宋体"/>
          <w:color w:val="333333"/>
          <w:kern w:val="0"/>
          <w:sz w:val="30"/>
          <w:szCs w:val="30"/>
        </w:rPr>
        <w:t>，指</w:t>
      </w:r>
      <w:r>
        <w:rPr>
          <w:rFonts w:hint="eastAsia" w:ascii="仿宋_GB2312" w:hAnsi="宋体" w:eastAsia="仿宋_GB2312" w:cs="宋体"/>
          <w:color w:val="333333"/>
          <w:kern w:val="0"/>
          <w:sz w:val="30"/>
          <w:szCs w:val="30"/>
          <w:lang w:eastAsia="zh-CN"/>
        </w:rPr>
        <w:t>导</w:t>
      </w:r>
      <w:r>
        <w:rPr>
          <w:rFonts w:hint="eastAsia" w:ascii="仿宋_GB2312" w:hAnsi="宋体" w:eastAsia="仿宋_GB2312" w:cs="宋体"/>
          <w:color w:val="333333"/>
          <w:kern w:val="0"/>
          <w:sz w:val="30"/>
          <w:szCs w:val="30"/>
        </w:rPr>
        <w:t>推动涉侨宣传、文化交流、华文教育工作，保护华侨和侨侨拳在县内的合法权利和利益。</w:t>
      </w:r>
    </w:p>
    <w:p w14:paraId="677F327A">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（10）</w:t>
      </w:r>
      <w:r>
        <w:rPr>
          <w:rFonts w:hint="eastAsia" w:ascii="仿宋_GB2312" w:hAnsi="宋体" w:eastAsia="仿宋_GB2312" w:cs="宋体"/>
          <w:color w:val="333333"/>
          <w:kern w:val="0"/>
          <w:sz w:val="30"/>
          <w:szCs w:val="30"/>
        </w:rPr>
        <w:t>统一管理台湾事务工作。贯彻执行</w:t>
      </w:r>
      <w:r>
        <w:rPr>
          <w:rFonts w:hint="eastAsia" w:ascii="仿宋_GB2312" w:hAnsi="宋体" w:eastAsia="仿宋_GB2312" w:cs="宋体"/>
          <w:color w:val="333333"/>
          <w:kern w:val="0"/>
          <w:sz w:val="30"/>
          <w:szCs w:val="30"/>
          <w:lang w:eastAsia="zh-CN"/>
        </w:rPr>
        <w:t>党中央、国务院</w:t>
      </w:r>
      <w:r>
        <w:rPr>
          <w:rFonts w:hint="eastAsia" w:ascii="仿宋_GB2312" w:hAnsi="宋体" w:eastAsia="仿宋_GB2312" w:cs="宋体"/>
          <w:color w:val="333333"/>
          <w:kern w:val="0"/>
          <w:sz w:val="30"/>
          <w:szCs w:val="30"/>
        </w:rPr>
        <w:t>、</w:t>
      </w:r>
      <w:r>
        <w:rPr>
          <w:rFonts w:hint="eastAsia" w:ascii="仿宋_GB2312" w:hAnsi="宋体" w:eastAsia="仿宋_GB2312" w:cs="宋体"/>
          <w:color w:val="333333"/>
          <w:kern w:val="0"/>
          <w:sz w:val="30"/>
          <w:szCs w:val="30"/>
          <w:lang w:eastAsia="zh-CN"/>
        </w:rPr>
        <w:t>省委、省政府</w:t>
      </w:r>
      <w:r>
        <w:rPr>
          <w:rFonts w:hint="eastAsia" w:ascii="仿宋_GB2312" w:hAnsi="宋体" w:eastAsia="仿宋_GB2312" w:cs="宋体"/>
          <w:color w:val="333333"/>
          <w:kern w:val="0"/>
          <w:sz w:val="30"/>
          <w:szCs w:val="30"/>
        </w:rPr>
        <w:t>、</w:t>
      </w:r>
      <w:r>
        <w:rPr>
          <w:rFonts w:hint="eastAsia" w:ascii="仿宋_GB2312" w:hAnsi="宋体" w:eastAsia="仿宋_GB2312" w:cs="宋体"/>
          <w:color w:val="333333"/>
          <w:kern w:val="0"/>
          <w:sz w:val="30"/>
          <w:szCs w:val="30"/>
          <w:lang w:eastAsia="zh-CN"/>
        </w:rPr>
        <w:t>市委、市政府</w:t>
      </w:r>
      <w:r>
        <w:rPr>
          <w:rFonts w:hint="eastAsia" w:ascii="仿宋_GB2312" w:hAnsi="宋体" w:eastAsia="仿宋_GB2312" w:cs="宋体"/>
          <w:color w:val="333333"/>
          <w:kern w:val="0"/>
          <w:sz w:val="30"/>
          <w:szCs w:val="30"/>
        </w:rPr>
        <w:t>和</w:t>
      </w:r>
      <w:r>
        <w:rPr>
          <w:rFonts w:hint="eastAsia" w:ascii="仿宋_GB2312" w:hAnsi="宋体" w:eastAsia="仿宋_GB2312" w:cs="宋体"/>
          <w:color w:val="333333"/>
          <w:kern w:val="0"/>
          <w:sz w:val="30"/>
          <w:szCs w:val="30"/>
          <w:lang w:eastAsia="zh-CN"/>
        </w:rPr>
        <w:t>县委、县政府</w:t>
      </w:r>
      <w:r>
        <w:rPr>
          <w:rFonts w:hint="eastAsia" w:ascii="仿宋_GB2312" w:hAnsi="宋体" w:eastAsia="仿宋_GB2312" w:cs="宋体"/>
          <w:color w:val="333333"/>
          <w:kern w:val="0"/>
          <w:sz w:val="30"/>
          <w:szCs w:val="30"/>
        </w:rPr>
        <w:t>对台工作方针、政策，研究、</w:t>
      </w:r>
      <w:r>
        <w:rPr>
          <w:rFonts w:hint="eastAsia" w:ascii="仿宋_GB2312" w:hAnsi="宋体" w:eastAsia="仿宋_GB2312" w:cs="宋体"/>
          <w:color w:val="333333"/>
          <w:kern w:val="0"/>
          <w:sz w:val="30"/>
          <w:szCs w:val="30"/>
          <w:lang w:eastAsia="zh-CN"/>
        </w:rPr>
        <w:t>拟定</w:t>
      </w:r>
      <w:r>
        <w:rPr>
          <w:rFonts w:hint="eastAsia" w:ascii="仿宋_GB2312" w:hAnsi="宋体" w:eastAsia="仿宋_GB2312" w:cs="宋体"/>
          <w:color w:val="333333"/>
          <w:kern w:val="0"/>
          <w:sz w:val="30"/>
          <w:szCs w:val="30"/>
        </w:rPr>
        <w:t>全县对台工作计划及实施意见并组织实施，开展对台统战工作。联系台湾有关党派、团体及代表人士。指导、协调、检查乡</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镇</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县级有关部门和大企业的对台工作。负责我县对台宣传、涉台教育和对台新闻交流工作。负责台湾上层重点人物的联络工作。负责我县同台湾社会团体交流交往有关事项的准备工作。会同有关部门统筹协调和指导我县对台经贸工作和两岸文化、学术、体育、卫生等各个领域的交流与合作，以及我县与台湾人员往来、考察、研讨的有关工作。会同有关部门做好台属工作。会同有关部门处理我县涉台重大活动、突发事件和涉台事务工作。</w:t>
      </w:r>
    </w:p>
    <w:p w14:paraId="62E1BAF1">
      <w:pPr>
        <w:widowControl/>
        <w:shd w:val="clear" w:color="auto" w:fill="FFFFFF"/>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（11）</w:t>
      </w:r>
      <w:r>
        <w:rPr>
          <w:rFonts w:hint="eastAsia" w:ascii="仿宋_GB2312" w:hAnsi="宋体" w:eastAsia="仿宋_GB2312" w:cs="宋体"/>
          <w:color w:val="333333"/>
          <w:kern w:val="0"/>
          <w:sz w:val="30"/>
          <w:szCs w:val="30"/>
        </w:rPr>
        <w:t>贯彻落实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问题和特殊政策、措施，研究少数民族和民族地区教育、文化、科技、卫生、体育、计划生育、新闻出版等方面的特殊问题，提出建议并承办相应事务。参与协调民族地区科技发展、对口支援、经济技术合作、民族贸易和移民、扶贫开发等相关工作。管理“三州”开发资金和支援不发达地区发展资金</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简称“两项资金”</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，研究提出少数民族和民族地区有关专项资金的分配与使用建议。负责民族政策、法规的宣传教育工作并监督实施。会同有关部门做好涉藏涉疆工作。</w:t>
      </w:r>
    </w:p>
    <w:p w14:paraId="734CAF22">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（12）</w:t>
      </w:r>
      <w:r>
        <w:rPr>
          <w:rFonts w:hint="eastAsia" w:ascii="仿宋_GB2312" w:hAnsi="宋体" w:eastAsia="仿宋_GB2312" w:cs="宋体"/>
          <w:color w:val="333333"/>
          <w:kern w:val="0"/>
          <w:sz w:val="30"/>
          <w:szCs w:val="30"/>
        </w:rPr>
        <w:t>负责管理少数民族语言文字工作，指导少数民族古籍的搜集、整理、出版工作。组织对全县少数民族权益状况的调查研究，监督和办理少数民族权益保障事宜。负责组织协调凉山州自发迁居农民工作，督促乡</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镇</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和县级相关部门抓好凉山州自发迁居农民的扶贫、</w:t>
      </w:r>
      <w:r>
        <w:rPr>
          <w:rFonts w:hint="eastAsia" w:ascii="仿宋_GB2312" w:hAnsi="宋体" w:eastAsia="仿宋_GB2312" w:cs="宋体"/>
          <w:color w:val="333333"/>
          <w:kern w:val="0"/>
          <w:sz w:val="30"/>
          <w:szCs w:val="30"/>
          <w:lang w:eastAsia="zh-CN"/>
        </w:rPr>
        <w:t>救济</w:t>
      </w:r>
      <w:r>
        <w:rPr>
          <w:rFonts w:hint="eastAsia" w:ascii="仿宋_GB2312" w:hAnsi="宋体" w:eastAsia="仿宋_GB2312" w:cs="宋体"/>
          <w:color w:val="333333"/>
          <w:kern w:val="0"/>
          <w:sz w:val="30"/>
          <w:szCs w:val="30"/>
        </w:rPr>
        <w:t>、计生等工作。积极向省政府和省有关部门、市政府和市有关部门争取政策和专项资金，并监督检查政策和资金的落实情况。加强对自发迁居农民的教育、管理，维护自发迁居农民群体团结稳定。参与</w:t>
      </w:r>
      <w:r>
        <w:rPr>
          <w:rFonts w:hint="eastAsia" w:ascii="仿宋_GB2312" w:hAnsi="宋体" w:eastAsia="仿宋_GB2312" w:cs="宋体"/>
          <w:color w:val="333333"/>
          <w:kern w:val="0"/>
          <w:sz w:val="30"/>
          <w:szCs w:val="30"/>
          <w:lang w:eastAsia="zh-CN"/>
        </w:rPr>
        <w:t>拟定</w:t>
      </w:r>
      <w:r>
        <w:rPr>
          <w:rFonts w:hint="eastAsia" w:ascii="仿宋_GB2312" w:hAnsi="宋体" w:eastAsia="仿宋_GB2312" w:cs="宋体"/>
          <w:color w:val="333333"/>
          <w:kern w:val="0"/>
          <w:sz w:val="30"/>
          <w:szCs w:val="30"/>
        </w:rPr>
        <w:t>全县少数民族人才队伍建设规划，联系少数民族干部，协助有关部门做好少数民族干部的培养、教育和使用工作。组织和承办全县民族团结进步表彰活动。</w:t>
      </w:r>
    </w:p>
    <w:p w14:paraId="4216673C">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（13）贯彻落实</w:t>
      </w:r>
      <w:r>
        <w:rPr>
          <w:rFonts w:hint="eastAsia" w:ascii="仿宋_GB2312" w:hAnsi="宋体" w:eastAsia="仿宋_GB2312" w:cs="宋体"/>
          <w:color w:val="333333"/>
          <w:kern w:val="0"/>
          <w:sz w:val="30"/>
          <w:szCs w:val="30"/>
        </w:rPr>
        <w:t>党的宗教工作基本方针和政策，调安全国养航现技，本拉求教动内和发展地势，</w:t>
      </w:r>
      <w:r>
        <w:rPr>
          <w:rFonts w:hint="eastAsia" w:ascii="仿宋_GB2312" w:hAnsi="宋体" w:eastAsia="仿宋_GB2312" w:cs="宋体"/>
          <w:color w:val="333333"/>
          <w:kern w:val="0"/>
          <w:sz w:val="30"/>
          <w:szCs w:val="30"/>
          <w:lang w:eastAsia="zh-CN"/>
        </w:rPr>
        <w:t>提出</w:t>
      </w:r>
      <w:r>
        <w:rPr>
          <w:rFonts w:hint="eastAsia" w:ascii="仿宋_GB2312" w:hAnsi="宋体" w:eastAsia="仿宋_GB2312" w:cs="宋体"/>
          <w:color w:val="333333"/>
          <w:kern w:val="0"/>
          <w:sz w:val="30"/>
          <w:szCs w:val="30"/>
        </w:rPr>
        <w:t>处理</w:t>
      </w:r>
      <w:r>
        <w:rPr>
          <w:rFonts w:hint="eastAsia" w:ascii="仿宋_GB2312" w:hAnsi="宋体" w:eastAsia="仿宋_GB2312" w:cs="宋体"/>
          <w:color w:val="333333"/>
          <w:kern w:val="0"/>
          <w:sz w:val="30"/>
          <w:szCs w:val="30"/>
          <w:lang w:eastAsia="zh-CN"/>
        </w:rPr>
        <w:t>宗教</w:t>
      </w:r>
      <w:r>
        <w:rPr>
          <w:rFonts w:hint="eastAsia" w:ascii="仿宋_GB2312" w:hAnsi="宋体" w:eastAsia="仿宋_GB2312" w:cs="宋体"/>
          <w:color w:val="333333"/>
          <w:kern w:val="0"/>
          <w:sz w:val="30"/>
          <w:szCs w:val="30"/>
        </w:rPr>
        <w:t>领域问题的政策和建议。保护公民宗教信仰自由和正常的宗教活动，维护宗教界合法权益，抵御境外利用宗教进行渗透，引导各宗教坚持中国化方向，巩固和发展同宗教界的爱国统一战线。</w:t>
      </w:r>
      <w:r>
        <w:rPr>
          <w:rFonts w:hint="eastAsia" w:ascii="仿宋_GB2312" w:hAnsi="宋体" w:eastAsia="仿宋_GB2312" w:cs="宋体"/>
          <w:color w:val="333333"/>
          <w:kern w:val="0"/>
          <w:sz w:val="30"/>
          <w:szCs w:val="30"/>
        </w:rPr>
        <w:br w:type="textWrapping"/>
      </w:r>
      <w:r>
        <w:rPr>
          <w:rFonts w:hint="eastAsia" w:ascii="仿宋_GB2312" w:hAnsi="宋体" w:eastAsia="仿宋_GB2312" w:cs="宋体"/>
          <w:color w:val="333333"/>
          <w:kern w:val="0"/>
          <w:sz w:val="30"/>
          <w:szCs w:val="30"/>
        </w:rPr>
        <w:t xml:space="preserve">    (14</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负责对宗教</w:t>
      </w:r>
      <w:r>
        <w:rPr>
          <w:rFonts w:hint="eastAsia" w:ascii="仿宋_GB2312" w:hAnsi="宋体" w:eastAsia="仿宋_GB2312" w:cs="宋体"/>
          <w:color w:val="333333"/>
          <w:kern w:val="0"/>
          <w:sz w:val="30"/>
          <w:szCs w:val="30"/>
          <w:lang w:eastAsia="zh-CN"/>
        </w:rPr>
        <w:t>法律法规</w:t>
      </w:r>
      <w:r>
        <w:rPr>
          <w:rFonts w:hint="eastAsia" w:ascii="仿宋_GB2312" w:hAnsi="宋体" w:eastAsia="仿宋_GB2312" w:cs="宋体"/>
          <w:color w:val="333333"/>
          <w:kern w:val="0"/>
          <w:sz w:val="30"/>
          <w:szCs w:val="30"/>
        </w:rPr>
        <w:t>和政策的贯彻实施进行监督管理，引导、促进宗教在法律和政策范围内活动，防止和制止不法分子利用宗教进行非法、违法活动。办理宗教团体需由政府协调的有关事务。负责民族工作领域和宗教界对外以及对港澳台的交流与合作，参与涉及民族宗教事务的对外宣传工作。</w:t>
      </w:r>
      <w:r>
        <w:rPr>
          <w:rFonts w:hint="eastAsia" w:ascii="仿宋_GB2312" w:hAnsi="宋体" w:eastAsia="仿宋_GB2312" w:cs="宋体"/>
          <w:color w:val="333333"/>
          <w:kern w:val="0"/>
          <w:sz w:val="30"/>
          <w:szCs w:val="30"/>
        </w:rPr>
        <w:br w:type="textWrapping"/>
      </w:r>
      <w:r>
        <w:rPr>
          <w:rFonts w:hint="eastAsia" w:ascii="仿宋_GB2312" w:hAnsi="宋体" w:eastAsia="仿宋_GB2312" w:cs="宋体"/>
          <w:color w:val="333333"/>
          <w:kern w:val="0"/>
          <w:sz w:val="30"/>
          <w:szCs w:val="30"/>
        </w:rPr>
        <w:t xml:space="preserve">    (15</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受县委委托，领导县工商联党组，指导县工商联工作。领导县民族宗教局工作，管理县委侨台办工作。指导县党外知识分子联谊部、县新的社会阶层人士联谊分会等工作。做好统一战线有关单位和团体及事业单位的管理工作。</w:t>
      </w:r>
      <w:r>
        <w:rPr>
          <w:rFonts w:hint="eastAsia" w:ascii="仿宋_GB2312" w:hAnsi="宋体" w:eastAsia="仿宋_GB2312" w:cs="宋体"/>
          <w:color w:val="333333"/>
          <w:kern w:val="0"/>
          <w:sz w:val="30"/>
          <w:szCs w:val="30"/>
        </w:rPr>
        <w:br w:type="textWrapping"/>
      </w:r>
      <w:r>
        <w:rPr>
          <w:rFonts w:hint="eastAsia" w:ascii="仿宋_GB2312" w:hAnsi="宋体" w:eastAsia="仿宋_GB2312" w:cs="宋体"/>
          <w:color w:val="333333"/>
          <w:kern w:val="0"/>
          <w:sz w:val="30"/>
          <w:szCs w:val="30"/>
        </w:rPr>
        <w:t xml:space="preserve">    (16</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负责职责范围内的安全生产、生态环境保护、审批服务便民化等工作。</w:t>
      </w:r>
    </w:p>
    <w:p w14:paraId="0A037668">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（17）</w:t>
      </w:r>
      <w:r>
        <w:rPr>
          <w:rFonts w:hint="eastAsia" w:ascii="仿宋_GB2312" w:hAnsi="宋体" w:eastAsia="仿宋_GB2312" w:cs="宋体"/>
          <w:color w:val="333333"/>
          <w:kern w:val="0"/>
          <w:sz w:val="30"/>
          <w:szCs w:val="30"/>
        </w:rPr>
        <w:t>完成县委、县政府交办的其他任务。</w:t>
      </w:r>
    </w:p>
    <w:p w14:paraId="78CA906A">
      <w:pPr>
        <w:widowControl/>
        <w:shd w:val="clear" w:color="auto" w:fill="FFFFFF"/>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（二）2020年重点工作完成情况。</w:t>
      </w:r>
    </w:p>
    <w:p w14:paraId="112F6F2F">
      <w:pPr>
        <w:widowControl/>
        <w:shd w:val="clear" w:color="auto" w:fill="FFFFFF"/>
        <w:ind w:firstLine="703"/>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1.民主党派工作进一步加强。</w:t>
      </w:r>
      <w:r>
        <w:rPr>
          <w:rFonts w:hint="eastAsia" w:ascii="仿宋_GB2312" w:hAnsi="Times New Roman" w:eastAsia="仿宋_GB2312" w:cs="Times New Roman"/>
          <w:color w:val="333333"/>
          <w:kern w:val="0"/>
          <w:sz w:val="30"/>
          <w:szCs w:val="30"/>
        </w:rPr>
        <w:t>制定《盐边县2020年度民主党派基层组织和其他统战组织会议协商计划》，印发《盐边县县直部门与各民主党派基层组织、工商联（商会）和其他统战组织对口联系协商制度》，</w:t>
      </w:r>
      <w:r>
        <w:rPr>
          <w:rFonts w:hint="eastAsia" w:ascii="仿宋_GB2312" w:hAnsi="Times New Roman" w:eastAsia="仿宋_GB2312" w:cs="Times New Roman"/>
          <w:color w:val="000000"/>
          <w:kern w:val="0"/>
          <w:sz w:val="30"/>
          <w:szCs w:val="30"/>
        </w:rPr>
        <w:t>推进各民主党派基层组织、工商联（商会）和其他统战组织履行政治协商、民主监督、参政议政职能的制度化、规范化、程序化。</w:t>
      </w:r>
      <w:r>
        <w:rPr>
          <w:rFonts w:hint="eastAsia" w:ascii="仿宋_GB2312" w:hAnsi="Times New Roman" w:eastAsia="仿宋_GB2312" w:cs="Times New Roman"/>
          <w:color w:val="333333"/>
          <w:kern w:val="0"/>
          <w:sz w:val="30"/>
          <w:szCs w:val="30"/>
        </w:rPr>
        <w:t>组织召开党风廉政建设和反腐败工作暨疫情防控及复工复产、宗教工作情况通报会、调研成果汇报会等，邀请各民主党派基层组织、县工商联、县知联部、新阶汇提出意见建议、展示调研成果。组织开展2020年统一战线“五送”活动，进一步密切民主党派成员与群众之间的联系。协助民建市委为渔门初级中学“思源扬帆教育移民班”100名学生发放助学金20万元；争取致公党到共和乡中心小学校开展“致美四川</w:t>
      </w:r>
      <w:r>
        <w:rPr>
          <w:rFonts w:hint="eastAsia" w:ascii="仿宋_GB2312" w:hAnsi="宋体" w:eastAsia="宋体" w:cs="宋体"/>
          <w:color w:val="333333"/>
          <w:kern w:val="0"/>
          <w:sz w:val="30"/>
          <w:szCs w:val="30"/>
        </w:rPr>
        <w:t>•</w:t>
      </w:r>
      <w:r>
        <w:rPr>
          <w:rFonts w:hint="eastAsia" w:ascii="仿宋_GB2312" w:hAnsi="仿宋_GB2312" w:eastAsia="仿宋_GB2312" w:cs="仿宋_GB2312"/>
          <w:color w:val="333333"/>
          <w:kern w:val="0"/>
          <w:sz w:val="30"/>
          <w:szCs w:val="30"/>
        </w:rPr>
        <w:t>健康攀枝花”快乐脸盆计划活动；加强与致公党</w:t>
      </w:r>
      <w:r>
        <w:rPr>
          <w:rFonts w:hint="eastAsia" w:ascii="仿宋_GB2312" w:hAnsi="仿宋_GB2312" w:eastAsia="仿宋_GB2312" w:cs="仿宋_GB2312"/>
          <w:color w:val="333333"/>
          <w:kern w:val="0"/>
          <w:sz w:val="30"/>
          <w:szCs w:val="30"/>
          <w:lang w:eastAsia="zh-CN"/>
        </w:rPr>
        <w:t>天津滨海新区</w:t>
      </w:r>
      <w:r>
        <w:rPr>
          <w:rFonts w:hint="eastAsia" w:ascii="仿宋_GB2312" w:hAnsi="仿宋_GB2312" w:eastAsia="仿宋_GB2312" w:cs="仿宋_GB2312"/>
          <w:color w:val="333333"/>
          <w:kern w:val="0"/>
          <w:sz w:val="30"/>
          <w:szCs w:val="30"/>
        </w:rPr>
        <w:t>区委的联系，为格萨拉中心校</w:t>
      </w:r>
      <w:r>
        <w:rPr>
          <w:rFonts w:hint="eastAsia" w:ascii="仿宋_GB2312" w:hAnsi="Times New Roman" w:eastAsia="仿宋_GB2312" w:cs="Times New Roman"/>
          <w:color w:val="333333"/>
          <w:kern w:val="0"/>
          <w:sz w:val="30"/>
          <w:szCs w:val="30"/>
        </w:rPr>
        <w:t>10名贫困学生捐款1.44万元。目前，全县共有民主党派基层组织4个，成员111人，分别是民盟盐边总支44人、民进盐边支部21人、致公党盐边支部22人、九三学社盐边支社24人。</w:t>
      </w:r>
    </w:p>
    <w:p w14:paraId="04E23F9C">
      <w:pPr>
        <w:widowControl/>
        <w:shd w:val="clear" w:color="auto" w:fill="FFFFFF"/>
        <w:ind w:firstLine="703"/>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2.“两个健康”进一步发展。</w:t>
      </w:r>
      <w:r>
        <w:rPr>
          <w:rFonts w:hint="eastAsia" w:ascii="仿宋_GB2312" w:hAnsi="Times New Roman" w:eastAsia="仿宋_GB2312" w:cs="Times New Roman"/>
          <w:color w:val="333333"/>
          <w:kern w:val="0"/>
          <w:sz w:val="30"/>
          <w:szCs w:val="30"/>
        </w:rPr>
        <w:t>通过组织学习会、参加报告会、举办培训讲座等多种方式，贯彻落实习近平总书记关于非公有制经济发展的新理念新思想新战略以及省、市、县非公有制经济发展大会主要精神，全面加强对非公企业的指导和服务。认真开展领导与企业“零距离”“一对一”服务，倾听企业家的心声，积极回应企业家的诉求，为企业排忧解难，促进民营经济发展软硬环境的改善。开展促进工商联所属商会改革发展“党建”专题调研，建立商会党建联络员制度，支持会员企业加强党建工作。积极倡议全县商会、民营企业及非公经济人士开展抗疫爱心捐赠，捐款捐物累计金额达140余万元。</w:t>
      </w:r>
    </w:p>
    <w:p w14:paraId="742D8572">
      <w:pPr>
        <w:widowControl/>
        <w:shd w:val="clear" w:color="auto" w:fill="FFFFFF"/>
        <w:ind w:firstLine="703"/>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3.民族宗教工作进一步创新。一是</w:t>
      </w:r>
      <w:r>
        <w:rPr>
          <w:rFonts w:hint="eastAsia" w:ascii="仿宋_GB2312" w:hAnsi="Times New Roman" w:eastAsia="仿宋_GB2312" w:cs="Times New Roman"/>
          <w:color w:val="333333"/>
          <w:kern w:val="0"/>
          <w:sz w:val="30"/>
          <w:szCs w:val="30"/>
        </w:rPr>
        <w:t>以示范创建为引领，推动民族地区发展。以“八个示范”建设为着力点、“十进”活动为阵地</w:t>
      </w:r>
      <w:r>
        <w:rPr>
          <w:rFonts w:hint="eastAsia" w:ascii="仿宋_GB2312" w:hAnsi="Times New Roman" w:eastAsia="仿宋_GB2312" w:cs="Times New Roman"/>
          <w:color w:val="333333"/>
          <w:kern w:val="0"/>
          <w:sz w:val="30"/>
          <w:szCs w:val="30"/>
          <w:lang w:eastAsia="zh-CN"/>
        </w:rPr>
        <w:t>，以</w:t>
      </w:r>
      <w:r>
        <w:rPr>
          <w:rFonts w:hint="eastAsia" w:ascii="仿宋_GB2312" w:hAnsi="Times New Roman" w:eastAsia="仿宋_GB2312" w:cs="Times New Roman"/>
          <w:color w:val="333333"/>
          <w:kern w:val="0"/>
          <w:sz w:val="30"/>
          <w:szCs w:val="30"/>
        </w:rPr>
        <w:t>“七个”重点宣传为载体，积极培育一批新的具有地域特色、行业特色的示范建设点位。县级命名民族团结进步示范单位60个，打造示范点58个。成功创建省级民族团结进步示范县。向上争取三州开发资金、支援不发达地区发展资金等省、市两级民族资金461万元，实施项目18个，进一步增强民族地区发展后劲。积极推进民族地区婚丧喜庆事宜移风易俗工作。县级投入19万元资金，完善城市少数民族殡葬点基础设施建设。积极参与涉少数民族矛盾纠纷调解，化解和处理信访重点问题8次，推动民族领域依法治理。</w:t>
      </w:r>
      <w:r>
        <w:rPr>
          <w:rFonts w:hint="eastAsia" w:ascii="仿宋_GB2312" w:hAnsi="Times New Roman" w:eastAsia="仿宋_GB2312" w:cs="Times New Roman"/>
          <w:b/>
          <w:bCs/>
          <w:color w:val="333333"/>
          <w:kern w:val="0"/>
          <w:sz w:val="30"/>
          <w:szCs w:val="30"/>
        </w:rPr>
        <w:t>二是</w:t>
      </w:r>
      <w:r>
        <w:rPr>
          <w:rFonts w:hint="eastAsia" w:ascii="仿宋_GB2312" w:hAnsi="Times New Roman" w:eastAsia="仿宋_GB2312" w:cs="Times New Roman"/>
          <w:color w:val="333333"/>
          <w:kern w:val="0"/>
          <w:sz w:val="30"/>
          <w:szCs w:val="30"/>
        </w:rPr>
        <w:t>以问题治理为重点，营造和谐宗教环境。定期到宗教场所开展法律法规、食品安全、消防安全等专题学习培训活动，发放法律法规宣传读本（资料）1000余份，开展消防、食品、地质灾害预防等安全巡查10余次。全县非法乱建庙宇治理工作取得决定性成效，开展中央宗教工作督查整改和宗教领域突出问题治理工作，拆除乱建庙宇21处、面积2555平方米，清理宗教塑像773尊、功德箱25个，消除宗教元素转为民用房屋8处，进一步规范化管理6处。</w:t>
      </w:r>
      <w:r>
        <w:rPr>
          <w:rFonts w:hint="eastAsia" w:ascii="仿宋_GB2312" w:hAnsi="Times New Roman" w:eastAsia="仿宋_GB2312" w:cs="Times New Roman"/>
          <w:b/>
          <w:bCs/>
          <w:color w:val="333333"/>
          <w:kern w:val="0"/>
          <w:sz w:val="30"/>
          <w:szCs w:val="30"/>
        </w:rPr>
        <w:t>三是</w:t>
      </w:r>
      <w:r>
        <w:rPr>
          <w:rFonts w:hint="eastAsia" w:ascii="仿宋_GB2312" w:hAnsi="Times New Roman" w:eastAsia="仿宋_GB2312" w:cs="Times New Roman"/>
          <w:color w:val="333333"/>
          <w:kern w:val="0"/>
          <w:sz w:val="30"/>
          <w:szCs w:val="30"/>
        </w:rPr>
        <w:t>以创新举措为手段，抓实民族宗教领域中心工作。疫情期间，在各乡镇推广彝语、傈僳语、苗语等疫情防控宣传内容，率先在全市推出移风易俗“两报两禁三严”等方法，从“联”上整体谋划，注重互促双推，全县各民族地区共取消婚宴、寿宴、丧宴等大型聚餐110余起。及时安排部署全县民族宗教领域森林防灭火工作，签订《消防安全责任书》，明确森林防灭火工作责任。深入民族地区、宗教活动场所集中开展消防安全演练活动和森林防灭火知识、消防器械的使用、《</w:t>
      </w:r>
      <w:r>
        <w:rPr>
          <w:rFonts w:hint="eastAsia" w:ascii="仿宋_GB2312" w:hAnsi="Times New Roman" w:eastAsia="仿宋_GB2312" w:cs="Times New Roman"/>
          <w:color w:val="333333"/>
          <w:kern w:val="0"/>
          <w:sz w:val="30"/>
          <w:szCs w:val="30"/>
          <w:lang w:eastAsia="zh-CN"/>
        </w:rPr>
        <w:t>中华人民共和国消防法</w:t>
      </w:r>
      <w:r>
        <w:rPr>
          <w:rFonts w:hint="eastAsia" w:ascii="仿宋_GB2312" w:hAnsi="Times New Roman" w:eastAsia="仿宋_GB2312" w:cs="Times New Roman"/>
          <w:color w:val="333333"/>
          <w:kern w:val="0"/>
          <w:sz w:val="30"/>
          <w:szCs w:val="30"/>
        </w:rPr>
        <w:t>》等法律法规宣讲，发放宣传资料450份，悬挂横幅标语9条，接待咨询群众420人。</w:t>
      </w:r>
    </w:p>
    <w:p w14:paraId="13B69488">
      <w:pPr>
        <w:widowControl/>
        <w:shd w:val="clear" w:color="auto" w:fill="FFFFFF"/>
        <w:ind w:firstLine="662"/>
        <w:jc w:val="left"/>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4.党外干部队伍建设进一步加快。</w:t>
      </w:r>
      <w:r>
        <w:rPr>
          <w:rFonts w:hint="eastAsia" w:ascii="仿宋_GB2312" w:hAnsi="Times New Roman" w:eastAsia="仿宋_GB2312" w:cs="Times New Roman"/>
          <w:color w:val="333333"/>
          <w:kern w:val="0"/>
          <w:sz w:val="30"/>
          <w:szCs w:val="30"/>
        </w:rPr>
        <w:t>通过多种形式，全面了解党外干部生活、工作、思想状况，加大党外干部培养选拔力度。今年新提拔党外正科级领导干部1名，党外副科级领导干部7名。目前，县人大、政府、政协领导班子中，均配备有党外干部，其中：人大常委会副主任1人、县政府副县长1人、县政协副主席3人；政府组成部门现有8名党外正科级干部；法院、检察院领导班子中各配备了1名党外干部。现有党外县人大代表43人，占全县人大代表的31%；党外县政协委员98人，占全县政协委员的63%。</w:t>
      </w:r>
    </w:p>
    <w:p w14:paraId="3B9C78CD">
      <w:pPr>
        <w:widowControl/>
        <w:shd w:val="clear" w:color="auto" w:fill="FFFFFF"/>
        <w:ind w:firstLine="703"/>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5.新阶统战工作稳步推进。</w:t>
      </w:r>
      <w:r>
        <w:rPr>
          <w:rFonts w:hint="eastAsia" w:ascii="仿宋_GB2312" w:hAnsi="Times New Roman" w:eastAsia="仿宋_GB2312" w:cs="Times New Roman"/>
          <w:color w:val="333333"/>
          <w:kern w:val="0"/>
          <w:sz w:val="30"/>
          <w:szCs w:val="30"/>
        </w:rPr>
        <w:t>积极支持引导 “民企白领</w:t>
      </w:r>
      <w:r>
        <w:rPr>
          <w:rFonts w:hint="eastAsia" w:ascii="仿宋_GB2312" w:hAnsi="Times New Roman" w:eastAsia="仿宋_GB2312" w:cs="Times New Roman"/>
          <w:color w:val="333333"/>
          <w:kern w:val="0"/>
          <w:sz w:val="30"/>
          <w:szCs w:val="30"/>
          <w:lang w:eastAsia="zh-CN"/>
        </w:rPr>
        <w:t>。</w:t>
      </w:r>
      <w:r>
        <w:rPr>
          <w:rFonts w:hint="eastAsia" w:ascii="仿宋_GB2312" w:hAnsi="Times New Roman" w:eastAsia="仿宋_GB2312" w:cs="Times New Roman"/>
          <w:color w:val="333333"/>
          <w:kern w:val="0"/>
          <w:sz w:val="30"/>
          <w:szCs w:val="30"/>
        </w:rPr>
        <w:t>新阶汇</w:t>
      </w:r>
      <w:r>
        <w:rPr>
          <w:rFonts w:hint="eastAsia" w:ascii="仿宋_GB2312" w:hAnsi="Times New Roman" w:eastAsia="仿宋_GB2312" w:cs="Times New Roman"/>
          <w:color w:val="333333"/>
          <w:kern w:val="0"/>
          <w:sz w:val="30"/>
          <w:szCs w:val="30"/>
          <w:lang w:eastAsia="zh-CN"/>
        </w:rPr>
        <w:t>”“</w:t>
      </w:r>
      <w:r>
        <w:rPr>
          <w:rFonts w:hint="eastAsia" w:ascii="仿宋_GB2312" w:hAnsi="Times New Roman" w:eastAsia="仿宋_GB2312" w:cs="Times New Roman"/>
          <w:color w:val="333333"/>
          <w:kern w:val="0"/>
          <w:sz w:val="30"/>
          <w:szCs w:val="30"/>
        </w:rPr>
        <w:t>健康同行</w:t>
      </w:r>
      <w:r>
        <w:rPr>
          <w:rFonts w:hint="eastAsia" w:ascii="仿宋_GB2312" w:hAnsi="Times New Roman" w:eastAsia="仿宋_GB2312" w:cs="Times New Roman"/>
          <w:color w:val="333333"/>
          <w:kern w:val="0"/>
          <w:sz w:val="30"/>
          <w:szCs w:val="30"/>
          <w:lang w:eastAsia="zh-CN"/>
        </w:rPr>
        <w:t>。</w:t>
      </w:r>
      <w:r>
        <w:rPr>
          <w:rFonts w:hint="eastAsia" w:ascii="仿宋_GB2312" w:hAnsi="Times New Roman" w:eastAsia="仿宋_GB2312" w:cs="Times New Roman"/>
          <w:color w:val="333333"/>
          <w:kern w:val="0"/>
          <w:sz w:val="30"/>
          <w:szCs w:val="30"/>
        </w:rPr>
        <w:t>新阶汇</w:t>
      </w:r>
      <w:r>
        <w:rPr>
          <w:rFonts w:hint="eastAsia" w:ascii="仿宋_GB2312" w:hAnsi="Times New Roman" w:eastAsia="仿宋_GB2312" w:cs="Times New Roman"/>
          <w:color w:val="333333"/>
          <w:kern w:val="0"/>
          <w:sz w:val="30"/>
          <w:szCs w:val="30"/>
          <w:lang w:eastAsia="zh-CN"/>
        </w:rPr>
        <w:t>”“</w:t>
      </w:r>
      <w:r>
        <w:rPr>
          <w:rFonts w:hint="eastAsia" w:ascii="仿宋_GB2312" w:hAnsi="Times New Roman" w:eastAsia="仿宋_GB2312" w:cs="Times New Roman"/>
          <w:color w:val="333333"/>
          <w:kern w:val="0"/>
          <w:sz w:val="30"/>
          <w:szCs w:val="30"/>
        </w:rPr>
        <w:t>法律服务</w:t>
      </w:r>
      <w:r>
        <w:rPr>
          <w:rFonts w:hint="eastAsia" w:ascii="仿宋_GB2312" w:hAnsi="Times New Roman" w:eastAsia="仿宋_GB2312" w:cs="Times New Roman"/>
          <w:color w:val="333333"/>
          <w:kern w:val="0"/>
          <w:sz w:val="30"/>
          <w:szCs w:val="30"/>
          <w:lang w:eastAsia="zh-CN"/>
        </w:rPr>
        <w:t>。</w:t>
      </w:r>
      <w:r>
        <w:rPr>
          <w:rFonts w:hint="eastAsia" w:ascii="仿宋_GB2312" w:hAnsi="Times New Roman" w:eastAsia="仿宋_GB2312" w:cs="Times New Roman"/>
          <w:color w:val="333333"/>
          <w:kern w:val="0"/>
          <w:sz w:val="30"/>
          <w:szCs w:val="30"/>
        </w:rPr>
        <w:t>新阶汇”三个新的社会阶层人士统战组织开展活动，成立盐边县新的社会阶层人士联谊会，进一步凝聚新的社会阶层人士的智慧力量，为盐边经济社会发展献智出力。</w:t>
      </w:r>
    </w:p>
    <w:p w14:paraId="235BF107">
      <w:pPr>
        <w:widowControl/>
        <w:shd w:val="clear" w:color="auto" w:fill="FFFFFF"/>
        <w:ind w:firstLine="703"/>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6.对台侨务工作扎实推进。</w:t>
      </w:r>
      <w:r>
        <w:rPr>
          <w:rFonts w:hint="eastAsia" w:ascii="仿宋_GB2312" w:hAnsi="Times New Roman" w:eastAsia="仿宋_GB2312" w:cs="Times New Roman"/>
          <w:color w:val="333333"/>
          <w:kern w:val="0"/>
          <w:sz w:val="30"/>
          <w:szCs w:val="30"/>
        </w:rPr>
        <w:t>积极开展“服务台商大走访活动”</w:t>
      </w:r>
      <w:r>
        <w:rPr>
          <w:rFonts w:hint="eastAsia" w:ascii="仿宋_GB2312" w:hAnsi="Times New Roman" w:eastAsia="仿宋_GB2312" w:cs="Times New Roman"/>
          <w:color w:val="333333"/>
          <w:kern w:val="0"/>
          <w:sz w:val="30"/>
          <w:szCs w:val="30"/>
          <w:lang w:eastAsia="zh-CN"/>
        </w:rPr>
        <w:t>，在</w:t>
      </w:r>
      <w:r>
        <w:rPr>
          <w:rFonts w:hint="eastAsia" w:ascii="仿宋_GB2312" w:hAnsi="Times New Roman" w:eastAsia="仿宋_GB2312" w:cs="Times New Roman"/>
          <w:color w:val="333333"/>
          <w:kern w:val="0"/>
          <w:sz w:val="30"/>
          <w:szCs w:val="30"/>
        </w:rPr>
        <w:t>疫情期间深入台商企业开展走访慰问，了解企业的基本情况及生产经营中遇到的困难和问题，听取企业的主要诉求和政策建议。协调县农业农村局、县水利局等部门解决台资企业贷款难问题。协调相关单位为两岸青山公司安装400KVA变压器一个。成立盐边县归国华侨联合会，为广大侨界群众提供了施展才华、建功立业、回报家乡的舞台，搭建了汇聚广大侨智推动盐边高质量发展的工作平台，架起了盐边对外开放的又一桥梁。</w:t>
      </w:r>
    </w:p>
    <w:p w14:paraId="66D1E12A">
      <w:pPr>
        <w:widowControl/>
        <w:shd w:val="clear" w:color="auto" w:fill="FFFFFF"/>
        <w:ind w:firstLine="662"/>
        <w:rPr>
          <w:rFonts w:ascii="仿宋_GB2312" w:hAnsi="Times New Roman" w:eastAsia="仿宋_GB2312" w:cs="Times New Roman"/>
          <w:color w:val="333333"/>
          <w:kern w:val="0"/>
          <w:sz w:val="30"/>
          <w:szCs w:val="30"/>
        </w:rPr>
      </w:pPr>
      <w:bookmarkStart w:id="7" w:name="OLE_LINK1"/>
      <w:bookmarkEnd w:id="7"/>
      <w:bookmarkStart w:id="8" w:name="OLE_LINK2"/>
      <w:bookmarkEnd w:id="8"/>
      <w:r>
        <w:rPr>
          <w:rFonts w:hint="eastAsia" w:ascii="仿宋_GB2312" w:hAnsi="Times New Roman" w:eastAsia="仿宋_GB2312" w:cs="Times New Roman"/>
          <w:b/>
          <w:bCs/>
          <w:color w:val="333333"/>
          <w:kern w:val="0"/>
          <w:sz w:val="30"/>
          <w:szCs w:val="30"/>
        </w:rPr>
        <w:t>7.用心用情服务统战对象。</w:t>
      </w:r>
      <w:r>
        <w:rPr>
          <w:rFonts w:hint="eastAsia" w:ascii="仿宋_GB2312" w:hAnsi="Times New Roman" w:eastAsia="仿宋_GB2312" w:cs="Times New Roman"/>
          <w:color w:val="333333"/>
          <w:kern w:val="0"/>
          <w:sz w:val="30"/>
          <w:szCs w:val="30"/>
        </w:rPr>
        <w:t>走访慰问各民主党派基层组织、新的社会阶层代表人士、非公企业代表、宗教界人士、台企代表、困难侨眷侨属等统战对象34人，发放慰问金1.5万元；走访慰问民族地区少数民族困难群众、受灾群众、困难职工代表1000户，发放价值20万元慰问品。走访慰问攀枝花市首支驰援湖北医疗队党外人士3人。中秋国庆期间走访慰问统一战线代表人士50人。</w:t>
      </w:r>
    </w:p>
    <w:p w14:paraId="2AD6074D">
      <w:pPr>
        <w:widowControl/>
        <w:shd w:val="clear" w:color="auto" w:fill="FFFFFF"/>
        <w:ind w:firstLine="662"/>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8.团结奋斗唱响共同进步“主旋律”。</w:t>
      </w:r>
      <w:r>
        <w:rPr>
          <w:rFonts w:hint="eastAsia" w:ascii="仿宋_GB2312" w:hAnsi="Times New Roman" w:eastAsia="仿宋_GB2312" w:cs="Times New Roman"/>
          <w:color w:val="333333"/>
          <w:kern w:val="0"/>
          <w:sz w:val="30"/>
          <w:szCs w:val="30"/>
        </w:rPr>
        <w:t>充分发挥县委统一战线工作领导小组牵头协调和统战民宗主责主业作用，全力推进省级民族团结进步示范县创建，将创建工作与脱贫攻坚、乡村振兴、基层治理等重点工作有机结合，推动民族地区全面发展，铸牢中华民族共同体意识。认真贯彻中央关于加强参政党建设的意见，服务民主党派提升合作效能，推进民主党派基层组织规范化、标准化建设，指导民盟盐边总支、民进盐边支部、致公党盐边支部、九三学社盐边支社顺利完成换届工作。各民主党派、工商联、知联部、新联会调研形成的《巩固脱贫攻坚成果对接乡村振兴的思考和建议（民盟盐边总支）》《持续加强青少年心理健康教育的意见建议（民进盐边支部）》《关于加快推动盐边县基本公共卫生均等化发展的建议（致公党盐边支部）》《治理生活污水 打造生态宜居乡村的建议（九三学社盐边支社）》《关于民营企业人力资源保障情况的调研报告（县工商联）》《关于消除空壳村 加快推动盐边县农村集体经济发展的思考与建议（县知联部）》《关于发挥三社联动在社会治理中的重要重</w:t>
      </w:r>
      <w:r>
        <w:rPr>
          <w:rFonts w:hint="eastAsia" w:ascii="仿宋_GB2312" w:hAnsi="Times New Roman" w:eastAsia="仿宋_GB2312" w:cs="Times New Roman"/>
          <w:color w:val="333333"/>
          <w:kern w:val="0"/>
          <w:sz w:val="30"/>
          <w:szCs w:val="30"/>
          <w:lang w:eastAsia="zh-CN"/>
        </w:rPr>
        <w:t>要性</w:t>
      </w:r>
      <w:r>
        <w:rPr>
          <w:rFonts w:hint="eastAsia" w:ascii="仿宋_GB2312" w:hAnsi="Times New Roman" w:eastAsia="仿宋_GB2312" w:cs="Times New Roman"/>
          <w:color w:val="333333"/>
          <w:kern w:val="0"/>
          <w:sz w:val="30"/>
          <w:szCs w:val="30"/>
        </w:rPr>
        <w:t>及其建议（县新联会）》等7篇调研成果，得到</w:t>
      </w:r>
      <w:r>
        <w:rPr>
          <w:rFonts w:hint="eastAsia" w:ascii="仿宋_GB2312" w:hAnsi="Times New Roman" w:eastAsia="仿宋_GB2312" w:cs="Times New Roman"/>
          <w:color w:val="333333"/>
          <w:kern w:val="0"/>
          <w:sz w:val="30"/>
          <w:szCs w:val="30"/>
          <w:lang w:eastAsia="zh-CN"/>
        </w:rPr>
        <w:t>县委、县政府</w:t>
      </w:r>
      <w:r>
        <w:rPr>
          <w:rFonts w:hint="eastAsia" w:ascii="仿宋_GB2312" w:hAnsi="Times New Roman" w:eastAsia="仿宋_GB2312" w:cs="Times New Roman"/>
          <w:color w:val="333333"/>
          <w:kern w:val="0"/>
          <w:sz w:val="30"/>
          <w:szCs w:val="30"/>
        </w:rPr>
        <w:t>的高度肯定和认可，由县政府办公室及时跟踪督办并适时向县政府常务会议报告推动落实情况。不断拓展统战工作和统战组织覆盖面，新成立县归国华侨联合会、县新的社会阶层人士联谊会，打造红格写生基地（国际创作营）旅居党外代表人士联络联谊中心，汇聚广大统一战线成员智慧力量，助力盐边高质量发展和高效能治理。2020年，基本构建起了我县在统战工作层面的统战机制、统战组织、统战对象的大团结、大联合格局。</w:t>
      </w:r>
    </w:p>
    <w:p w14:paraId="6A2F783D">
      <w:pPr>
        <w:widowControl/>
        <w:shd w:val="clear" w:color="auto" w:fill="FFFFFF"/>
        <w:ind w:firstLine="662"/>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9.示范引领展现统战实践创新“主色调”。</w:t>
      </w:r>
      <w:r>
        <w:rPr>
          <w:rFonts w:hint="eastAsia" w:ascii="仿宋_GB2312" w:hAnsi="Times New Roman" w:eastAsia="仿宋_GB2312" w:cs="Times New Roman"/>
          <w:color w:val="333333"/>
          <w:kern w:val="0"/>
          <w:sz w:val="30"/>
          <w:szCs w:val="30"/>
        </w:rPr>
        <w:t>红格镇是首批申报的基层统战工作示范创建基地。基于红格镇统战元素多、统战工作载体多的特点，我们把统战工作融入特色小镇建设，牢牢把握新时代新使命，创新“四步工作法”，着力“五抓五立”工作格局，积极探索“嵌入式”“融合式”模式，努力践行新时代现代乡村基层统战务实创新的实践样本，推动基层统战工作真正实起来、活起来。通过红格上主慈悲堂天主教中国化方向实践创新基地建设，用社会主义核心价值观引领宗教，用中国传统文化浸润宗教，团结引领宗教界人士和信教群众</w:t>
      </w:r>
      <w:r>
        <w:rPr>
          <w:rFonts w:hint="eastAsia" w:ascii="仿宋_GB2312" w:hAnsi="Times New Roman" w:eastAsia="仿宋_GB2312" w:cs="Times New Roman"/>
          <w:color w:val="333333"/>
          <w:kern w:val="0"/>
          <w:sz w:val="30"/>
          <w:szCs w:val="30"/>
          <w:lang w:eastAsia="zh-CN"/>
        </w:rPr>
        <w:t>坚定“四个自信”、</w:t>
      </w:r>
      <w:r>
        <w:rPr>
          <w:rFonts w:hint="eastAsia" w:ascii="仿宋_GB2312" w:hAnsi="Times New Roman" w:eastAsia="仿宋_GB2312" w:cs="Times New Roman"/>
          <w:color w:val="333333"/>
          <w:kern w:val="0"/>
          <w:sz w:val="30"/>
          <w:szCs w:val="30"/>
        </w:rPr>
        <w:t>坚定不移</w:t>
      </w:r>
      <w:r>
        <w:rPr>
          <w:rFonts w:hint="eastAsia" w:ascii="仿宋_GB2312" w:hAnsi="Times New Roman" w:eastAsia="仿宋_GB2312" w:cs="Times New Roman"/>
          <w:color w:val="333333"/>
          <w:kern w:val="0"/>
          <w:sz w:val="30"/>
          <w:szCs w:val="30"/>
          <w:lang w:eastAsia="zh-CN"/>
        </w:rPr>
        <w:t>听党话、跟党走</w:t>
      </w:r>
      <w:r>
        <w:rPr>
          <w:rFonts w:hint="eastAsia" w:ascii="仿宋_GB2312" w:hAnsi="Times New Roman" w:eastAsia="仿宋_GB2312" w:cs="Times New Roman"/>
          <w:color w:val="333333"/>
          <w:kern w:val="0"/>
          <w:sz w:val="30"/>
          <w:szCs w:val="30"/>
        </w:rPr>
        <w:t>；加强宗教界代表人士培养，发挥好他们的示范带头作用；引导信教群众爱国爱教、遵规守法、正言正行，成为构建和谐社会的重要力量。2020年7月，全市县区统战工作现场会在红格召开，红格镇、红格上主慈悲堂被命名为第一批“攀枝花市县（区）统战工作创新实践基地”。</w:t>
      </w:r>
    </w:p>
    <w:p w14:paraId="4EC738BB">
      <w:pPr>
        <w:widowControl/>
        <w:shd w:val="clear" w:color="auto" w:fill="FFFFFF"/>
        <w:ind w:firstLine="602" w:firstLineChars="200"/>
        <w:jc w:val="left"/>
        <w:rPr>
          <w:rFonts w:ascii="仿宋_GB2312" w:hAnsi="黑体" w:eastAsia="仿宋_GB2312" w:cs="宋体"/>
          <w:color w:val="333333"/>
          <w:kern w:val="0"/>
          <w:sz w:val="30"/>
          <w:szCs w:val="30"/>
        </w:rPr>
      </w:pPr>
      <w:r>
        <w:rPr>
          <w:rFonts w:hint="eastAsia" w:ascii="仿宋_GB2312" w:hAnsi="黑体" w:eastAsia="仿宋_GB2312" w:cs="宋体"/>
          <w:b/>
          <w:bCs/>
          <w:color w:val="333333"/>
          <w:kern w:val="0"/>
          <w:sz w:val="30"/>
          <w:szCs w:val="30"/>
        </w:rPr>
        <w:t>10.“五强化”实现非法乱建庙宇由“乱”而“治”。</w:t>
      </w:r>
      <w:r>
        <w:rPr>
          <w:rFonts w:hint="eastAsia" w:ascii="仿宋_GB2312" w:hAnsi="黑体" w:eastAsia="仿宋_GB2312" w:cs="宋体"/>
          <w:color w:val="333333"/>
          <w:kern w:val="0"/>
          <w:sz w:val="30"/>
          <w:szCs w:val="30"/>
        </w:rPr>
        <w:t>认真贯彻落实省、市宗教工作会议精神和市委宗教工作领导小组专题会议精神，抓住新冠肺炎疫情防控时机，充分发挥“三级网络，两级责任制”的机制作用，安排部署非法乱建庙宇专项整治行动，在县委、县政府和上级部门的正确领导和各乡（镇）、相关部门的共同努力下，按照“规范管理一批，转用一批，拆除一批”的原则，强化组织领导、宣传引导、科学管理、分工合作、责任落实，出动350余人次，投入资金40万元，拆除乱建庙宇26处，拆除面积2555平方米，清理宗教塑像773尊、功德箱25个；消除宗教元素转为民用房屋8处；进一步规范化管理6处，全县40处非法乱建庙宇治理工作低调、平稳、有序，取得决定性成效。</w:t>
      </w:r>
    </w:p>
    <w:p w14:paraId="4F168DB9">
      <w:pPr>
        <w:rPr>
          <w:rFonts w:ascii="仿宋_GB2312" w:eastAsia="仿宋_GB2312"/>
          <w:b/>
          <w:sz w:val="30"/>
          <w:szCs w:val="30"/>
        </w:rPr>
      </w:pPr>
      <w:bookmarkStart w:id="9" w:name="_Toc15396602"/>
      <w:r>
        <w:rPr>
          <w:rFonts w:hint="eastAsia" w:ascii="仿宋_GB2312" w:eastAsia="仿宋_GB2312"/>
          <w:b/>
          <w:sz w:val="30"/>
          <w:szCs w:val="30"/>
        </w:rPr>
        <w:t>二、机构设置</w:t>
      </w:r>
    </w:p>
    <w:p w14:paraId="14DF9A38">
      <w:pPr>
        <w:widowControl/>
        <w:shd w:val="clear" w:color="auto" w:fill="FFFFFF"/>
        <w:jc w:val="center"/>
        <w:rPr>
          <w:rFonts w:ascii="仿宋_GB2312" w:hAnsi="黑体" w:eastAsia="仿宋_GB2312" w:cs="宋体"/>
          <w:color w:val="000000"/>
          <w:kern w:val="0"/>
          <w:sz w:val="30"/>
          <w:szCs w:val="30"/>
        </w:rPr>
      </w:pPr>
      <w:r>
        <w:rPr>
          <w:rFonts w:hint="eastAsia" w:ascii="仿宋_GB2312" w:eastAsia="仿宋_GB2312"/>
          <w:sz w:val="30"/>
          <w:szCs w:val="30"/>
        </w:rPr>
        <w:t xml:space="preserve">    根据盐边委办</w:t>
      </w:r>
      <w:r>
        <w:rPr>
          <w:rFonts w:hint="eastAsia" w:ascii="仿宋_GB2312" w:eastAsia="仿宋_GB2312"/>
          <w:sz w:val="30"/>
          <w:szCs w:val="30"/>
          <w:lang w:eastAsia="zh-CN"/>
        </w:rPr>
        <w:t>〔2019〕36号</w:t>
      </w:r>
      <w:r>
        <w:rPr>
          <w:rFonts w:hint="eastAsia" w:ascii="仿宋_GB2312" w:eastAsia="仿宋_GB2312"/>
          <w:sz w:val="30"/>
          <w:szCs w:val="30"/>
        </w:rPr>
        <w:t>文，盐边县委统战部、民宗局机关行政编制10名，工勤编制2名。在职职工10人（其中：行政7人、工勤人员2人、事业人员2人），行政退休13人，死亡抚恤2人。</w:t>
      </w:r>
    </w:p>
    <w:p w14:paraId="6FB5BABA">
      <w:pPr>
        <w:widowControl/>
        <w:shd w:val="clear" w:color="auto" w:fill="FFFFFF"/>
        <w:jc w:val="center"/>
        <w:rPr>
          <w:rFonts w:hint="eastAsia" w:ascii="仿宋_GB2312" w:hAnsi="黑体" w:eastAsia="仿宋_GB2312" w:cs="宋体"/>
          <w:color w:val="000000"/>
          <w:kern w:val="0"/>
          <w:sz w:val="30"/>
          <w:szCs w:val="30"/>
        </w:rPr>
      </w:pPr>
    </w:p>
    <w:p w14:paraId="4FA35982">
      <w:pPr>
        <w:widowControl/>
        <w:shd w:val="clear" w:color="auto" w:fill="FFFFFF"/>
        <w:jc w:val="center"/>
        <w:rPr>
          <w:rFonts w:hint="eastAsia" w:ascii="仿宋_GB2312" w:hAnsi="黑体" w:eastAsia="仿宋_GB2312" w:cs="宋体"/>
          <w:color w:val="000000"/>
          <w:kern w:val="0"/>
          <w:sz w:val="30"/>
          <w:szCs w:val="30"/>
        </w:rPr>
      </w:pPr>
    </w:p>
    <w:p w14:paraId="378DE2A0">
      <w:pPr>
        <w:widowControl/>
        <w:shd w:val="clear" w:color="auto" w:fill="FFFFFF"/>
        <w:jc w:val="center"/>
        <w:rPr>
          <w:rFonts w:hint="eastAsia" w:ascii="仿宋_GB2312" w:hAnsi="黑体" w:eastAsia="仿宋_GB2312" w:cs="宋体"/>
          <w:color w:val="000000"/>
          <w:kern w:val="0"/>
          <w:sz w:val="30"/>
          <w:szCs w:val="30"/>
        </w:rPr>
      </w:pPr>
    </w:p>
    <w:p w14:paraId="531D8757">
      <w:pPr>
        <w:widowControl/>
        <w:shd w:val="clear" w:color="auto" w:fill="FFFFFF"/>
        <w:jc w:val="center"/>
        <w:rPr>
          <w:rFonts w:hint="eastAsia" w:ascii="仿宋_GB2312" w:hAnsi="黑体" w:eastAsia="仿宋_GB2312" w:cs="宋体"/>
          <w:color w:val="000000"/>
          <w:kern w:val="0"/>
          <w:sz w:val="30"/>
          <w:szCs w:val="30"/>
        </w:rPr>
      </w:pPr>
    </w:p>
    <w:p w14:paraId="4D81647A">
      <w:pPr>
        <w:widowControl/>
        <w:shd w:val="clear" w:color="auto" w:fill="FFFFFF"/>
        <w:jc w:val="center"/>
        <w:rPr>
          <w:rFonts w:hint="eastAsia" w:ascii="仿宋_GB2312" w:hAnsi="黑体" w:eastAsia="仿宋_GB2312" w:cs="宋体"/>
          <w:color w:val="000000"/>
          <w:kern w:val="0"/>
          <w:sz w:val="30"/>
          <w:szCs w:val="30"/>
        </w:rPr>
      </w:pPr>
    </w:p>
    <w:p w14:paraId="20746838">
      <w:pPr>
        <w:widowControl/>
        <w:shd w:val="clear" w:color="auto" w:fill="FFFFFF"/>
        <w:jc w:val="center"/>
        <w:rPr>
          <w:rFonts w:hint="eastAsia" w:ascii="仿宋_GB2312" w:hAnsi="黑体" w:eastAsia="仿宋_GB2312" w:cs="宋体"/>
          <w:color w:val="000000"/>
          <w:kern w:val="0"/>
          <w:sz w:val="30"/>
          <w:szCs w:val="30"/>
        </w:rPr>
      </w:pPr>
    </w:p>
    <w:p w14:paraId="2289905F">
      <w:pPr>
        <w:widowControl/>
        <w:shd w:val="clear" w:color="auto" w:fill="FFFFFF"/>
        <w:jc w:val="center"/>
        <w:rPr>
          <w:rFonts w:hint="eastAsia" w:ascii="仿宋_GB2312" w:hAnsi="黑体" w:eastAsia="仿宋_GB2312" w:cs="宋体"/>
          <w:color w:val="000000"/>
          <w:kern w:val="0"/>
          <w:sz w:val="30"/>
          <w:szCs w:val="30"/>
        </w:rPr>
      </w:pPr>
    </w:p>
    <w:p w14:paraId="7D1D0E06">
      <w:pPr>
        <w:widowControl/>
        <w:shd w:val="clear" w:color="auto" w:fill="FFFFFF"/>
        <w:jc w:val="center"/>
        <w:rPr>
          <w:rFonts w:hint="eastAsia" w:ascii="仿宋_GB2312" w:hAnsi="黑体" w:eastAsia="仿宋_GB2312" w:cs="宋体"/>
          <w:color w:val="000000"/>
          <w:kern w:val="0"/>
          <w:sz w:val="30"/>
          <w:szCs w:val="30"/>
        </w:rPr>
      </w:pPr>
    </w:p>
    <w:p w14:paraId="3C4434C1">
      <w:pPr>
        <w:widowControl/>
        <w:shd w:val="clear" w:color="auto" w:fill="FFFFFF"/>
        <w:jc w:val="center"/>
        <w:rPr>
          <w:rFonts w:hint="eastAsia" w:ascii="仿宋_GB2312" w:hAnsi="黑体" w:eastAsia="仿宋_GB2312" w:cs="宋体"/>
          <w:color w:val="000000"/>
          <w:kern w:val="0"/>
          <w:sz w:val="30"/>
          <w:szCs w:val="30"/>
        </w:rPr>
      </w:pPr>
    </w:p>
    <w:p w14:paraId="7C1A59E6">
      <w:pPr>
        <w:widowControl/>
        <w:shd w:val="clear" w:color="auto" w:fill="FFFFFF"/>
        <w:jc w:val="center"/>
        <w:rPr>
          <w:rFonts w:hint="eastAsia" w:ascii="仿宋_GB2312" w:hAnsi="黑体" w:eastAsia="仿宋_GB2312" w:cs="宋体"/>
          <w:color w:val="000000"/>
          <w:kern w:val="0"/>
          <w:sz w:val="30"/>
          <w:szCs w:val="30"/>
        </w:rPr>
      </w:pPr>
    </w:p>
    <w:p w14:paraId="58EC6CC5">
      <w:pPr>
        <w:widowControl/>
        <w:shd w:val="clear" w:color="auto" w:fill="FFFFFF"/>
        <w:jc w:val="center"/>
        <w:rPr>
          <w:rFonts w:hint="eastAsia" w:ascii="仿宋_GB2312" w:hAnsi="黑体" w:eastAsia="仿宋_GB2312" w:cs="宋体"/>
          <w:color w:val="000000"/>
          <w:kern w:val="0"/>
          <w:sz w:val="30"/>
          <w:szCs w:val="30"/>
        </w:rPr>
      </w:pPr>
    </w:p>
    <w:p w14:paraId="7568EFF1">
      <w:pPr>
        <w:widowControl/>
        <w:shd w:val="clear" w:color="auto" w:fill="FFFFFF"/>
        <w:jc w:val="center"/>
        <w:rPr>
          <w:rFonts w:hint="eastAsia" w:ascii="仿宋_GB2312" w:hAnsi="黑体" w:eastAsia="仿宋_GB2312" w:cs="宋体"/>
          <w:color w:val="000000"/>
          <w:kern w:val="0"/>
          <w:sz w:val="30"/>
          <w:szCs w:val="30"/>
        </w:rPr>
      </w:pPr>
    </w:p>
    <w:p w14:paraId="4169865D">
      <w:pPr>
        <w:widowControl/>
        <w:shd w:val="clear" w:color="auto" w:fill="FFFFFF"/>
        <w:jc w:val="center"/>
        <w:rPr>
          <w:rFonts w:hint="eastAsia" w:ascii="仿宋_GB2312" w:hAnsi="黑体" w:eastAsia="仿宋_GB2312" w:cs="宋体"/>
          <w:color w:val="000000"/>
          <w:kern w:val="0"/>
          <w:sz w:val="30"/>
          <w:szCs w:val="30"/>
        </w:rPr>
      </w:pPr>
    </w:p>
    <w:p w14:paraId="0BBCD4AA">
      <w:pPr>
        <w:widowControl/>
        <w:shd w:val="clear" w:color="auto" w:fill="FFFFFF"/>
        <w:jc w:val="center"/>
        <w:rPr>
          <w:rFonts w:hint="eastAsia" w:ascii="仿宋_GB2312" w:hAnsi="黑体" w:eastAsia="仿宋_GB2312" w:cs="宋体"/>
          <w:color w:val="000000"/>
          <w:kern w:val="0"/>
          <w:sz w:val="30"/>
          <w:szCs w:val="30"/>
        </w:rPr>
      </w:pPr>
    </w:p>
    <w:p w14:paraId="30BAFB88">
      <w:pPr>
        <w:widowControl/>
        <w:shd w:val="clear" w:color="auto" w:fill="FFFFFF"/>
        <w:jc w:val="center"/>
        <w:rPr>
          <w:rFonts w:hint="eastAsia" w:ascii="仿宋_GB2312" w:hAnsi="黑体" w:eastAsia="仿宋_GB2312" w:cs="宋体"/>
          <w:color w:val="000000"/>
          <w:kern w:val="0"/>
          <w:sz w:val="30"/>
          <w:szCs w:val="30"/>
        </w:rPr>
      </w:pPr>
    </w:p>
    <w:p w14:paraId="4B85C609">
      <w:pPr>
        <w:widowControl/>
        <w:shd w:val="clear" w:color="auto" w:fill="FFFFFF"/>
        <w:jc w:val="center"/>
        <w:rPr>
          <w:rFonts w:hint="eastAsia" w:ascii="仿宋_GB2312" w:hAnsi="黑体" w:eastAsia="仿宋_GB2312" w:cs="宋体"/>
          <w:color w:val="000000"/>
          <w:kern w:val="0"/>
          <w:sz w:val="30"/>
          <w:szCs w:val="30"/>
        </w:rPr>
      </w:pPr>
    </w:p>
    <w:p w14:paraId="2A5F42BE">
      <w:pPr>
        <w:widowControl/>
        <w:shd w:val="clear" w:color="auto" w:fill="FFFFFF"/>
        <w:jc w:val="center"/>
        <w:rPr>
          <w:rFonts w:hint="eastAsia" w:ascii="仿宋_GB2312" w:hAnsi="黑体" w:eastAsia="仿宋_GB2312" w:cs="宋体"/>
          <w:color w:val="000000"/>
          <w:kern w:val="0"/>
          <w:sz w:val="30"/>
          <w:szCs w:val="30"/>
        </w:rPr>
      </w:pPr>
    </w:p>
    <w:p w14:paraId="72358385">
      <w:pPr>
        <w:widowControl/>
        <w:shd w:val="clear" w:color="auto" w:fill="FFFFFF"/>
        <w:jc w:val="center"/>
        <w:rPr>
          <w:rFonts w:ascii="仿宋_GB2312" w:hAnsi="黑体" w:eastAsia="仿宋_GB2312" w:cs="宋体"/>
          <w:color w:val="000000"/>
          <w:kern w:val="0"/>
          <w:sz w:val="30"/>
          <w:szCs w:val="30"/>
        </w:rPr>
      </w:pPr>
    </w:p>
    <w:p w14:paraId="56515963">
      <w:pPr>
        <w:widowControl/>
        <w:shd w:val="clear" w:color="auto" w:fill="FFFFFF"/>
        <w:jc w:val="center"/>
        <w:rPr>
          <w:rFonts w:ascii="仿宋_GB2312" w:hAnsi="黑体" w:eastAsia="仿宋_GB2312" w:cs="宋体"/>
          <w:color w:val="000000"/>
          <w:kern w:val="0"/>
          <w:sz w:val="30"/>
          <w:szCs w:val="30"/>
        </w:rPr>
      </w:pPr>
    </w:p>
    <w:p w14:paraId="4726BD01">
      <w:pPr>
        <w:widowControl/>
        <w:shd w:val="clear" w:color="auto" w:fill="FFFFFF"/>
        <w:jc w:val="center"/>
        <w:rPr>
          <w:rFonts w:ascii="仿宋_GB2312" w:hAnsi="黑体" w:eastAsia="仿宋_GB2312" w:cs="宋体"/>
          <w:color w:val="000000"/>
          <w:kern w:val="0"/>
          <w:sz w:val="30"/>
          <w:szCs w:val="30"/>
        </w:rPr>
      </w:pPr>
    </w:p>
    <w:p w14:paraId="432DD51A">
      <w:pPr>
        <w:widowControl/>
        <w:shd w:val="clear" w:color="auto" w:fill="FFFFFF"/>
        <w:jc w:val="center"/>
        <w:rPr>
          <w:rFonts w:ascii="仿宋_GB2312" w:hAnsi="黑体" w:eastAsia="仿宋_GB2312" w:cs="宋体"/>
          <w:color w:val="333333"/>
          <w:kern w:val="0"/>
          <w:sz w:val="30"/>
          <w:szCs w:val="30"/>
        </w:rPr>
      </w:pPr>
      <w:r>
        <w:rPr>
          <w:rFonts w:hint="eastAsia" w:ascii="仿宋_GB2312" w:hAnsi="黑体" w:eastAsia="仿宋_GB2312" w:cs="宋体"/>
          <w:color w:val="000000"/>
          <w:kern w:val="0"/>
          <w:sz w:val="30"/>
          <w:szCs w:val="30"/>
        </w:rPr>
        <w:t>第二部分</w:t>
      </w:r>
      <w:r>
        <w:rPr>
          <w:rFonts w:hint="eastAsia" w:ascii="宋体" w:hAnsi="宋体" w:eastAsia="仿宋_GB2312" w:cs="宋体"/>
          <w:b/>
          <w:bCs/>
          <w:color w:val="000000"/>
          <w:kern w:val="0"/>
          <w:sz w:val="30"/>
          <w:szCs w:val="30"/>
        </w:rPr>
        <w:t> </w:t>
      </w:r>
      <w:r>
        <w:rPr>
          <w:rFonts w:hint="eastAsia" w:ascii="仿宋_GB2312" w:hAnsi="黑体" w:eastAsia="仿宋_GB2312" w:cs="宋体"/>
          <w:color w:val="575757"/>
          <w:kern w:val="0"/>
          <w:sz w:val="30"/>
          <w:szCs w:val="30"/>
        </w:rPr>
        <w:t>2020年度部门决算情况说明</w:t>
      </w:r>
      <w:bookmarkEnd w:id="9"/>
    </w:p>
    <w:p w14:paraId="6289299A">
      <w:pPr>
        <w:widowControl/>
        <w:shd w:val="clear" w:color="auto" w:fill="FFFFFF"/>
        <w:ind w:firstLine="419"/>
        <w:jc w:val="left"/>
        <w:rPr>
          <w:rFonts w:ascii="仿宋_GB2312" w:hAnsi="黑体" w:eastAsia="仿宋_GB2312" w:cs="宋体"/>
          <w:color w:val="333333"/>
          <w:kern w:val="0"/>
          <w:sz w:val="30"/>
          <w:szCs w:val="30"/>
        </w:rPr>
      </w:pPr>
      <w:r>
        <w:rPr>
          <w:rFonts w:hint="eastAsia" w:ascii="仿宋_GB2312" w:hAnsi="黑体" w:eastAsia="仿宋_GB2312" w:cs="宋体"/>
          <w:color w:val="333333"/>
          <w:kern w:val="0"/>
          <w:sz w:val="30"/>
          <w:szCs w:val="30"/>
          <w:lang w:eastAsia="zh-CN"/>
        </w:rPr>
        <w:t>1.</w:t>
      </w:r>
      <w:bookmarkStart w:id="10" w:name="_Toc15396603"/>
      <w:r>
        <w:rPr>
          <w:rFonts w:hint="eastAsia" w:ascii="仿宋_GB2312" w:hAnsi="黑体" w:eastAsia="仿宋_GB2312" w:cs="宋体"/>
          <w:color w:val="000000"/>
          <w:kern w:val="0"/>
          <w:sz w:val="30"/>
          <w:szCs w:val="30"/>
        </w:rPr>
        <w:t>收</w:t>
      </w:r>
      <w:r>
        <w:rPr>
          <w:rFonts w:hint="eastAsia" w:ascii="仿宋_GB2312" w:hAnsi="黑体" w:eastAsia="仿宋_GB2312" w:cs="宋体"/>
          <w:color w:val="575757"/>
          <w:kern w:val="0"/>
          <w:sz w:val="30"/>
          <w:szCs w:val="30"/>
        </w:rPr>
        <w:t>入支出决算总体情况说明</w:t>
      </w:r>
      <w:bookmarkEnd w:id="10"/>
    </w:p>
    <w:p w14:paraId="2160DE0D">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2020年度收、支总计718.59万元/733.27万元。与2019年相比，收、支总计各增加10.7万元/22.72万元，增长1.51%/3.2%。主要变动原因是经费支出增加</w:t>
      </w:r>
    </w:p>
    <w:p w14:paraId="138D2423">
      <w:pPr>
        <w:widowControl/>
        <w:shd w:val="clear" w:color="auto" w:fill="FFFFFF"/>
        <w:ind w:firstLine="419"/>
        <w:jc w:val="left"/>
        <w:rPr>
          <w:rFonts w:ascii="仿宋_GB2312" w:hAnsi="黑体" w:eastAsia="仿宋_GB2312" w:cs="宋体"/>
          <w:color w:val="333333"/>
          <w:kern w:val="0"/>
          <w:sz w:val="30"/>
          <w:szCs w:val="30"/>
        </w:rPr>
      </w:pPr>
      <w:r>
        <w:rPr>
          <w:rFonts w:hint="eastAsia" w:ascii="仿宋_GB2312" w:hAnsi="黑体" w:eastAsia="仿宋_GB2312" w:cs="宋体"/>
          <w:color w:val="333333"/>
          <w:kern w:val="0"/>
          <w:sz w:val="30"/>
          <w:szCs w:val="30"/>
          <w:lang w:eastAsia="zh-CN"/>
        </w:rPr>
        <w:t>2.</w:t>
      </w:r>
      <w:bookmarkStart w:id="11" w:name="_Toc15396604"/>
      <w:r>
        <w:rPr>
          <w:rFonts w:hint="eastAsia" w:ascii="仿宋_GB2312" w:hAnsi="黑体" w:eastAsia="仿宋_GB2312" w:cs="宋体"/>
          <w:color w:val="000000"/>
          <w:kern w:val="0"/>
          <w:sz w:val="30"/>
          <w:szCs w:val="30"/>
        </w:rPr>
        <w:t>收</w:t>
      </w:r>
      <w:r>
        <w:rPr>
          <w:rFonts w:hint="eastAsia" w:ascii="仿宋_GB2312" w:hAnsi="黑体" w:eastAsia="仿宋_GB2312" w:cs="宋体"/>
          <w:color w:val="575757"/>
          <w:kern w:val="0"/>
          <w:sz w:val="30"/>
          <w:szCs w:val="30"/>
        </w:rPr>
        <w:t>入决算情况说明</w:t>
      </w:r>
      <w:bookmarkEnd w:id="11"/>
    </w:p>
    <w:p w14:paraId="70F963E8">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本年收入合计718.59万元，其中：一般公共预算财政拨款收入718.59万元，占100%；政府性基金预算财政拨款收入0万元，占0%；国有资本经营预算财政拨款收入0万元，占0%；事业收入0万元，占0%；经营收入0万元，占0%；附属单位上缴收入0万元，占0%；其他收入0万元，占0%。</w:t>
      </w:r>
    </w:p>
    <w:p w14:paraId="44C7A058">
      <w:pPr>
        <w:widowControl/>
        <w:shd w:val="clear" w:color="auto" w:fill="FFFFFF"/>
        <w:ind w:firstLine="419"/>
        <w:jc w:val="left"/>
        <w:rPr>
          <w:rFonts w:ascii="仿宋_GB2312" w:hAnsi="黑体" w:eastAsia="仿宋_GB2312" w:cs="宋体"/>
          <w:color w:val="333333"/>
          <w:kern w:val="0"/>
          <w:sz w:val="30"/>
          <w:szCs w:val="30"/>
        </w:rPr>
      </w:pPr>
      <w:r>
        <w:rPr>
          <w:rFonts w:hint="eastAsia" w:ascii="仿宋_GB2312" w:hAnsi="黑体" w:eastAsia="仿宋_GB2312" w:cs="宋体"/>
          <w:color w:val="333333"/>
          <w:kern w:val="0"/>
          <w:sz w:val="30"/>
          <w:szCs w:val="30"/>
          <w:lang w:eastAsia="zh-CN"/>
        </w:rPr>
        <w:t>3.</w:t>
      </w:r>
      <w:bookmarkStart w:id="12" w:name="_Toc15396605"/>
      <w:r>
        <w:rPr>
          <w:rFonts w:hint="eastAsia" w:ascii="仿宋_GB2312" w:hAnsi="黑体" w:eastAsia="仿宋_GB2312" w:cs="宋体"/>
          <w:color w:val="000000"/>
          <w:kern w:val="0"/>
          <w:sz w:val="30"/>
          <w:szCs w:val="30"/>
        </w:rPr>
        <w:t>支</w:t>
      </w:r>
      <w:r>
        <w:rPr>
          <w:rFonts w:hint="eastAsia" w:ascii="仿宋_GB2312" w:hAnsi="黑体" w:eastAsia="仿宋_GB2312" w:cs="宋体"/>
          <w:color w:val="575757"/>
          <w:kern w:val="0"/>
          <w:sz w:val="30"/>
          <w:szCs w:val="30"/>
        </w:rPr>
        <w:t>出决算情况说明</w:t>
      </w:r>
      <w:bookmarkEnd w:id="12"/>
    </w:p>
    <w:p w14:paraId="1E9B9D5D">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2020年本年支出合计563.71万元，其中：基本支出277.4万元，占49.2%；项目支出286.31万元，占50.08%；上缴上级支出0万元，占0%；经营支出0万元，占0%；对附属单位补助支出0万元，占0%。</w:t>
      </w:r>
    </w:p>
    <w:p w14:paraId="56D0CA37">
      <w:pPr>
        <w:widowControl/>
        <w:shd w:val="clear" w:color="auto" w:fill="FFFFFF"/>
        <w:ind w:firstLine="639"/>
        <w:rPr>
          <w:rFonts w:ascii="仿宋_GB2312" w:hAnsi="黑体" w:eastAsia="仿宋_GB2312" w:cs="宋体"/>
          <w:color w:val="333333"/>
          <w:kern w:val="0"/>
          <w:sz w:val="30"/>
          <w:szCs w:val="30"/>
        </w:rPr>
      </w:pPr>
      <w:bookmarkStart w:id="13" w:name="_Toc15396606"/>
      <w:r>
        <w:rPr>
          <w:rFonts w:hint="eastAsia" w:ascii="仿宋_GB2312" w:hAnsi="黑体" w:eastAsia="仿宋_GB2312" w:cs="宋体"/>
          <w:color w:val="000000"/>
          <w:kern w:val="0"/>
          <w:sz w:val="30"/>
          <w:szCs w:val="30"/>
          <w:lang w:eastAsia="zh-CN"/>
        </w:rPr>
        <w:t>4.</w:t>
      </w:r>
      <w:r>
        <w:rPr>
          <w:rFonts w:hint="eastAsia" w:ascii="仿宋_GB2312" w:hAnsi="黑体" w:eastAsia="仿宋_GB2312" w:cs="宋体"/>
          <w:color w:val="000000"/>
          <w:kern w:val="0"/>
          <w:sz w:val="30"/>
          <w:szCs w:val="30"/>
        </w:rPr>
        <w:t>财</w:t>
      </w:r>
      <w:r>
        <w:rPr>
          <w:rFonts w:hint="eastAsia" w:ascii="仿宋_GB2312" w:hAnsi="黑体" w:eastAsia="仿宋_GB2312" w:cs="宋体"/>
          <w:color w:val="575757"/>
          <w:kern w:val="0"/>
          <w:sz w:val="30"/>
          <w:szCs w:val="30"/>
        </w:rPr>
        <w:t>政拨款收入支出决算总体情况说明</w:t>
      </w:r>
      <w:bookmarkEnd w:id="13"/>
    </w:p>
    <w:p w14:paraId="28D64D10">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2020年财政拨款收、支总计718.59万元。与2019年相比，财政拨款收、支总计各增加33万元，增长4.7%。主要变动原因是经费支出增加。</w:t>
      </w:r>
    </w:p>
    <w:p w14:paraId="334E8B88">
      <w:pPr>
        <w:widowControl/>
        <w:shd w:val="clear" w:color="auto" w:fill="FFFFFF"/>
        <w:ind w:firstLine="639"/>
        <w:rPr>
          <w:rFonts w:ascii="仿宋_GB2312" w:hAnsi="黑体" w:eastAsia="仿宋_GB2312" w:cs="宋体"/>
          <w:color w:val="333333"/>
          <w:kern w:val="0"/>
          <w:sz w:val="30"/>
          <w:szCs w:val="30"/>
        </w:rPr>
      </w:pPr>
      <w:bookmarkStart w:id="14" w:name="_Toc15396607"/>
      <w:r>
        <w:rPr>
          <w:rFonts w:hint="eastAsia" w:ascii="仿宋_GB2312" w:hAnsi="黑体" w:eastAsia="仿宋_GB2312" w:cs="宋体"/>
          <w:color w:val="000000"/>
          <w:kern w:val="0"/>
          <w:sz w:val="30"/>
          <w:szCs w:val="30"/>
          <w:lang w:eastAsia="zh-CN"/>
        </w:rPr>
        <w:t>5.</w:t>
      </w:r>
      <w:r>
        <w:rPr>
          <w:rFonts w:hint="eastAsia" w:ascii="仿宋_GB2312" w:hAnsi="黑体" w:eastAsia="仿宋_GB2312" w:cs="宋体"/>
          <w:b/>
          <w:bCs/>
          <w:color w:val="000000"/>
          <w:kern w:val="0"/>
          <w:sz w:val="30"/>
          <w:szCs w:val="30"/>
        </w:rPr>
        <w:t>一</w:t>
      </w:r>
      <w:r>
        <w:rPr>
          <w:rFonts w:hint="eastAsia" w:ascii="仿宋_GB2312" w:hAnsi="黑体" w:eastAsia="仿宋_GB2312" w:cs="宋体"/>
          <w:color w:val="575757"/>
          <w:kern w:val="0"/>
          <w:sz w:val="30"/>
          <w:szCs w:val="30"/>
        </w:rPr>
        <w:t>般公共预算财政拨款支出决算情况说明</w:t>
      </w:r>
      <w:bookmarkEnd w:id="14"/>
    </w:p>
    <w:p w14:paraId="314DC6F8">
      <w:pPr>
        <w:widowControl/>
        <w:shd w:val="clear" w:color="auto" w:fill="FFFFFF"/>
        <w:ind w:firstLine="642"/>
        <w:rPr>
          <w:rFonts w:ascii="仿宋_GB2312" w:hAnsi="仿宋" w:eastAsia="仿宋_GB2312" w:cs="宋体"/>
          <w:color w:val="333333"/>
          <w:kern w:val="0"/>
          <w:sz w:val="30"/>
          <w:szCs w:val="30"/>
        </w:rPr>
      </w:pPr>
      <w:bookmarkStart w:id="15" w:name="_Toc15377210"/>
      <w:r>
        <w:rPr>
          <w:rFonts w:hint="eastAsia" w:ascii="仿宋_GB2312" w:hAnsi="仿宋" w:eastAsia="仿宋_GB2312" w:cs="宋体"/>
          <w:b/>
          <w:bCs/>
          <w:color w:val="000000"/>
          <w:kern w:val="0"/>
          <w:sz w:val="30"/>
          <w:szCs w:val="30"/>
        </w:rPr>
        <w:t>（一）一般公共预算财政拨款支出决算总体情况</w:t>
      </w:r>
      <w:bookmarkEnd w:id="15"/>
    </w:p>
    <w:p w14:paraId="6EB84E9C">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2020年一般公共预算财政拨款支出563.7万元，占本年支出合计的100%。与2019年相比，一般公共预算财政拨款增加22.71万元，增长3.2%。主要变动原因是经费支出增加</w:t>
      </w:r>
    </w:p>
    <w:p w14:paraId="38EC3A86">
      <w:pPr>
        <w:widowControl/>
        <w:shd w:val="clear" w:color="auto" w:fill="FFFFFF"/>
        <w:ind w:firstLine="642"/>
        <w:rPr>
          <w:rFonts w:ascii="仿宋_GB2312" w:hAnsi="仿宋" w:eastAsia="仿宋_GB2312" w:cs="宋体"/>
          <w:color w:val="333333"/>
          <w:kern w:val="0"/>
          <w:sz w:val="30"/>
          <w:szCs w:val="30"/>
        </w:rPr>
      </w:pPr>
      <w:bookmarkStart w:id="16" w:name="_Toc15377211"/>
      <w:r>
        <w:rPr>
          <w:rFonts w:hint="eastAsia" w:ascii="仿宋_GB2312" w:hAnsi="仿宋" w:eastAsia="仿宋_GB2312" w:cs="宋体"/>
          <w:b/>
          <w:bCs/>
          <w:color w:val="000000"/>
          <w:kern w:val="0"/>
          <w:sz w:val="30"/>
          <w:szCs w:val="30"/>
        </w:rPr>
        <w:t>（二）一般公共预算财政拨款支出决算结构情况</w:t>
      </w:r>
      <w:bookmarkEnd w:id="16"/>
    </w:p>
    <w:p w14:paraId="172E3C45">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2020年一般公共预算财政拨款支出563.7万元，主要用于以下方面</w:t>
      </w:r>
      <w:r>
        <w:rPr>
          <w:rFonts w:hint="eastAsia" w:ascii="仿宋_GB2312" w:hAnsi="仿宋" w:eastAsia="仿宋_GB2312" w:cs="宋体"/>
          <w:color w:val="000000"/>
          <w:kern w:val="0"/>
          <w:sz w:val="30"/>
          <w:szCs w:val="30"/>
          <w:lang w:eastAsia="zh-CN"/>
        </w:rPr>
        <w:t>：</w:t>
      </w:r>
      <w:r>
        <w:rPr>
          <w:rFonts w:hint="eastAsia" w:ascii="仿宋_GB2312" w:hAnsi="仿宋" w:eastAsia="仿宋_GB2312" w:cs="宋体"/>
          <w:b/>
          <w:bCs/>
          <w:color w:val="000000"/>
          <w:kern w:val="0"/>
          <w:sz w:val="30"/>
          <w:szCs w:val="30"/>
        </w:rPr>
        <w:t>一般公共服务（类）</w:t>
      </w:r>
      <w:r>
        <w:rPr>
          <w:rFonts w:hint="eastAsia" w:ascii="仿宋_GB2312" w:hAnsi="仿宋" w:eastAsia="仿宋_GB2312" w:cs="宋体"/>
          <w:color w:val="000000"/>
          <w:kern w:val="0"/>
          <w:sz w:val="30"/>
          <w:szCs w:val="30"/>
        </w:rPr>
        <w:t>支出373万元，占66.17%；</w:t>
      </w:r>
      <w:r>
        <w:rPr>
          <w:rFonts w:hint="eastAsia" w:ascii="仿宋_GB2312" w:hAnsi="仿宋" w:eastAsia="仿宋_GB2312" w:cs="宋体"/>
          <w:b/>
          <w:bCs/>
          <w:color w:val="000000"/>
          <w:kern w:val="0"/>
          <w:sz w:val="30"/>
          <w:szCs w:val="30"/>
        </w:rPr>
        <w:t>教育支出（类）</w:t>
      </w:r>
      <w:r>
        <w:rPr>
          <w:rFonts w:hint="eastAsia" w:ascii="仿宋_GB2312" w:hAnsi="仿宋" w:eastAsia="仿宋_GB2312" w:cs="宋体"/>
          <w:color w:val="000000"/>
          <w:kern w:val="0"/>
          <w:sz w:val="30"/>
          <w:szCs w:val="30"/>
        </w:rPr>
        <w:t>0万元，占0%；</w:t>
      </w:r>
      <w:r>
        <w:rPr>
          <w:rFonts w:hint="eastAsia" w:ascii="仿宋_GB2312" w:hAnsi="仿宋" w:eastAsia="仿宋_GB2312" w:cs="宋体"/>
          <w:b/>
          <w:bCs/>
          <w:color w:val="000000"/>
          <w:kern w:val="0"/>
          <w:sz w:val="30"/>
          <w:szCs w:val="30"/>
        </w:rPr>
        <w:t>科学技术（类）</w:t>
      </w:r>
      <w:r>
        <w:rPr>
          <w:rFonts w:hint="eastAsia" w:ascii="仿宋_GB2312" w:hAnsi="仿宋" w:eastAsia="仿宋_GB2312" w:cs="宋体"/>
          <w:color w:val="000000"/>
          <w:kern w:val="0"/>
          <w:sz w:val="30"/>
          <w:szCs w:val="30"/>
        </w:rPr>
        <w:t>支出0万元，占0%；</w:t>
      </w:r>
      <w:r>
        <w:rPr>
          <w:rFonts w:hint="eastAsia" w:ascii="仿宋_GB2312" w:hAnsi="仿宋" w:eastAsia="仿宋_GB2312" w:cs="宋体"/>
          <w:b/>
          <w:bCs/>
          <w:color w:val="000000"/>
          <w:kern w:val="0"/>
          <w:sz w:val="30"/>
          <w:szCs w:val="30"/>
        </w:rPr>
        <w:t>社会保障和就业（类）</w:t>
      </w:r>
      <w:r>
        <w:rPr>
          <w:rFonts w:hint="eastAsia" w:ascii="仿宋_GB2312" w:hAnsi="仿宋" w:eastAsia="仿宋_GB2312" w:cs="宋体"/>
          <w:color w:val="000000"/>
          <w:kern w:val="0"/>
          <w:sz w:val="30"/>
          <w:szCs w:val="30"/>
        </w:rPr>
        <w:t>支出37.54万元，占6.65%；医疗卫生支出1万元，占0.17%；农林水支出128.24万元，占22.74%，住房保障支出23.92万元，占4.2%。</w:t>
      </w:r>
    </w:p>
    <w:p w14:paraId="4ED5D6C3">
      <w:pPr>
        <w:widowControl/>
        <w:shd w:val="clear" w:color="auto" w:fill="FFFFFF"/>
        <w:ind w:firstLine="642"/>
        <w:rPr>
          <w:rFonts w:ascii="仿宋_GB2312" w:hAnsi="仿宋" w:eastAsia="仿宋_GB2312" w:cs="宋体"/>
          <w:color w:val="333333"/>
          <w:kern w:val="0"/>
          <w:sz w:val="30"/>
          <w:szCs w:val="30"/>
        </w:rPr>
      </w:pPr>
      <w:bookmarkStart w:id="17" w:name="_Toc15377212"/>
      <w:r>
        <w:rPr>
          <w:rFonts w:hint="eastAsia" w:ascii="仿宋_GB2312" w:hAnsi="仿宋" w:eastAsia="仿宋_GB2312" w:cs="宋体"/>
          <w:b/>
          <w:bCs/>
          <w:color w:val="000000"/>
          <w:kern w:val="0"/>
          <w:sz w:val="30"/>
          <w:szCs w:val="30"/>
        </w:rPr>
        <w:t>（三）一般公共预算财政拨款支出决算具体情况</w:t>
      </w:r>
      <w:bookmarkEnd w:id="17"/>
    </w:p>
    <w:p w14:paraId="38371BCF">
      <w:pPr>
        <w:widowControl/>
        <w:shd w:val="clear" w:color="auto" w:fill="FFFFFF"/>
        <w:ind w:firstLine="642"/>
        <w:rPr>
          <w:rFonts w:ascii="仿宋_GB2312" w:hAnsi="仿宋" w:eastAsia="仿宋_GB2312" w:cs="宋体"/>
          <w:color w:val="333333"/>
          <w:kern w:val="0"/>
          <w:sz w:val="30"/>
          <w:szCs w:val="30"/>
        </w:rPr>
      </w:pPr>
      <w:bookmarkStart w:id="18" w:name="_Toc15378460"/>
      <w:r>
        <w:rPr>
          <w:rFonts w:hint="eastAsia" w:ascii="仿宋_GB2312" w:hAnsi="仿宋" w:eastAsia="仿宋_GB2312" w:cs="宋体"/>
          <w:b/>
          <w:bCs/>
          <w:color w:val="000000"/>
          <w:kern w:val="0"/>
          <w:sz w:val="30"/>
          <w:szCs w:val="30"/>
        </w:rPr>
        <w:t>2020</w:t>
      </w:r>
      <w:r>
        <w:rPr>
          <w:rFonts w:hint="eastAsia" w:ascii="仿宋_GB2312" w:hAnsi="仿宋" w:eastAsia="仿宋_GB2312" w:cs="宋体"/>
          <w:b/>
          <w:bCs/>
          <w:color w:val="000000"/>
          <w:kern w:val="0"/>
          <w:sz w:val="30"/>
          <w:szCs w:val="30"/>
          <w:lang w:eastAsia="zh-CN"/>
        </w:rPr>
        <w:t>年一</w:t>
      </w:r>
      <w:r>
        <w:rPr>
          <w:rFonts w:hint="eastAsia" w:ascii="仿宋_GB2312" w:hAnsi="仿宋" w:eastAsia="仿宋_GB2312" w:cs="宋体"/>
          <w:b/>
          <w:bCs/>
          <w:color w:val="000000"/>
          <w:kern w:val="0"/>
          <w:sz w:val="30"/>
          <w:szCs w:val="30"/>
        </w:rPr>
        <w:t>般公共预算支出决算数为563.71</w:t>
      </w:r>
      <w:r>
        <w:rPr>
          <w:rFonts w:hint="eastAsia" w:ascii="仿宋_GB2312" w:hAnsi="仿宋" w:eastAsia="仿宋_GB2312" w:cs="宋体"/>
          <w:color w:val="000000"/>
          <w:kern w:val="0"/>
          <w:sz w:val="30"/>
          <w:szCs w:val="30"/>
        </w:rPr>
        <w:t>，</w:t>
      </w:r>
      <w:r>
        <w:rPr>
          <w:rFonts w:hint="eastAsia" w:ascii="仿宋_GB2312" w:hAnsi="仿宋" w:eastAsia="仿宋_GB2312" w:cs="宋体"/>
          <w:b/>
          <w:bCs/>
          <w:color w:val="000000"/>
          <w:kern w:val="0"/>
          <w:sz w:val="30"/>
          <w:szCs w:val="30"/>
        </w:rPr>
        <w:t>完成预算100%。其中：</w:t>
      </w:r>
      <w:bookmarkEnd w:id="18"/>
    </w:p>
    <w:p w14:paraId="492F498B">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1.一般公共服务（类）民族事务（款）</w:t>
      </w:r>
      <w:r>
        <w:rPr>
          <w:rFonts w:hint="eastAsia" w:ascii="仿宋_GB2312" w:hAnsi="仿宋" w:eastAsia="仿宋_GB2312" w:cs="宋体"/>
          <w:b/>
          <w:bCs/>
          <w:color w:val="000000"/>
          <w:kern w:val="0"/>
          <w:sz w:val="30"/>
          <w:szCs w:val="30"/>
          <w:lang w:eastAsia="zh-CN"/>
        </w:rPr>
        <w:t>：</w:t>
      </w:r>
    </w:p>
    <w:p w14:paraId="4A4363D3">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2012301</w:t>
      </w:r>
      <w:r>
        <w:rPr>
          <w:rFonts w:hint="eastAsia" w:ascii="宋体" w:hAnsi="宋体" w:eastAsia="仿宋_GB2312" w:cs="宋体"/>
          <w:color w:val="000000"/>
          <w:kern w:val="0"/>
          <w:sz w:val="30"/>
          <w:szCs w:val="30"/>
        </w:rPr>
        <w:t> </w:t>
      </w:r>
      <w:r>
        <w:rPr>
          <w:rFonts w:hint="eastAsia" w:ascii="仿宋_GB2312" w:hAnsi="仿宋" w:eastAsia="仿宋_GB2312" w:cs="宋体"/>
          <w:color w:val="000000"/>
          <w:kern w:val="0"/>
          <w:sz w:val="30"/>
          <w:szCs w:val="30"/>
        </w:rPr>
        <w:t>行政运行支出决算为133.17万元，完成预算100%</w:t>
      </w:r>
    </w:p>
    <w:p w14:paraId="6EF01C6E">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2012304</w:t>
      </w:r>
      <w:r>
        <w:rPr>
          <w:rFonts w:hint="eastAsia" w:ascii="仿宋_GB2312" w:hAnsi="仿宋" w:eastAsia="仿宋_GB2312" w:cs="宋体"/>
          <w:color w:val="000000"/>
          <w:kern w:val="0"/>
          <w:sz w:val="30"/>
          <w:szCs w:val="30"/>
        </w:rPr>
        <w:t>民族工作专项支出决算为122.32万元，完成预算100%</w:t>
      </w:r>
    </w:p>
    <w:p w14:paraId="3E5D8591">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2012350</w:t>
      </w:r>
      <w:r>
        <w:rPr>
          <w:rFonts w:hint="eastAsia" w:ascii="仿宋_GB2312" w:hAnsi="仿宋" w:eastAsia="仿宋_GB2312" w:cs="宋体"/>
          <w:color w:val="000000"/>
          <w:kern w:val="0"/>
          <w:sz w:val="30"/>
          <w:szCs w:val="30"/>
        </w:rPr>
        <w:t>事业运行支出决算为35.99万元，完成预算100%</w:t>
      </w:r>
    </w:p>
    <w:p w14:paraId="778712D8">
      <w:pPr>
        <w:widowControl/>
        <w:shd w:val="clear" w:color="auto" w:fill="FFFFFF"/>
        <w:ind w:firstLine="639"/>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w:t>
      </w:r>
      <w:r>
        <w:rPr>
          <w:rFonts w:hint="eastAsia" w:ascii="仿宋_GB2312" w:hAnsi="仿宋" w:eastAsia="仿宋_GB2312" w:cs="宋体"/>
          <w:b/>
          <w:bCs/>
          <w:color w:val="000000"/>
          <w:kern w:val="0"/>
          <w:sz w:val="30"/>
          <w:szCs w:val="30"/>
        </w:rPr>
        <w:t>一般公共服务（类）统战事务（款）：</w:t>
      </w:r>
    </w:p>
    <w:p w14:paraId="566CDD60">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2013401</w:t>
      </w:r>
      <w:r>
        <w:rPr>
          <w:rFonts w:hint="eastAsia" w:ascii="宋体" w:hAnsi="宋体" w:eastAsia="仿宋_GB2312" w:cs="宋体"/>
          <w:color w:val="000000"/>
          <w:kern w:val="0"/>
          <w:sz w:val="30"/>
          <w:szCs w:val="30"/>
        </w:rPr>
        <w:t>  </w:t>
      </w:r>
      <w:r>
        <w:rPr>
          <w:rFonts w:hint="eastAsia" w:ascii="仿宋_GB2312" w:hAnsi="仿宋" w:eastAsia="仿宋_GB2312" w:cs="宋体"/>
          <w:color w:val="000000"/>
          <w:kern w:val="0"/>
          <w:sz w:val="30"/>
          <w:szCs w:val="30"/>
        </w:rPr>
        <w:t>行政运行支出决算为46.78万元，完成预算100%</w:t>
      </w:r>
    </w:p>
    <w:p w14:paraId="572B60A0">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2013404宗教事务专项支出决算为10万元，完成预算100%</w:t>
      </w:r>
    </w:p>
    <w:p w14:paraId="574433E0">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2013499其他统战事务支出决算为24.75万元，完成预算100%</w:t>
      </w:r>
    </w:p>
    <w:p w14:paraId="40F8CC4A">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3.社会保障和就业（类）行政事业单位离退休（款）</w:t>
      </w:r>
      <w:r>
        <w:rPr>
          <w:rFonts w:hint="eastAsia" w:ascii="仿宋_GB2312" w:hAnsi="仿宋" w:eastAsia="仿宋_GB2312" w:cs="宋体"/>
          <w:b/>
          <w:bCs/>
          <w:color w:val="000000"/>
          <w:kern w:val="0"/>
          <w:sz w:val="30"/>
          <w:szCs w:val="30"/>
          <w:lang w:eastAsia="zh-CN"/>
        </w:rPr>
        <w:t>：</w:t>
      </w:r>
    </w:p>
    <w:p w14:paraId="3D42D4FA">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2080501</w:t>
      </w:r>
      <w:r>
        <w:rPr>
          <w:rFonts w:hint="eastAsia" w:ascii="仿宋_GB2312" w:hAnsi="仿宋" w:eastAsia="仿宋_GB2312" w:cs="宋体"/>
          <w:color w:val="000000"/>
          <w:kern w:val="0"/>
          <w:sz w:val="30"/>
          <w:szCs w:val="30"/>
        </w:rPr>
        <w:t>未归口管理的行政单位离退休10.25万元，完成100%</w:t>
      </w:r>
    </w:p>
    <w:p w14:paraId="5F21E769">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2080505</w:t>
      </w:r>
      <w:r>
        <w:rPr>
          <w:rFonts w:hint="eastAsia" w:ascii="仿宋_GB2312" w:hAnsi="仿宋" w:eastAsia="仿宋_GB2312" w:cs="宋体"/>
          <w:color w:val="000000"/>
          <w:kern w:val="0"/>
          <w:sz w:val="30"/>
          <w:szCs w:val="30"/>
        </w:rPr>
        <w:t>机关事业单位基本养老保险缴费支出17.89万元，完成预算100%</w:t>
      </w:r>
    </w:p>
    <w:p w14:paraId="43F8FA32">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2080506机关事业单位职业年金缴费支出9.4万元，完成预算100%</w:t>
      </w:r>
    </w:p>
    <w:p w14:paraId="373459F1">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rPr>
        <w:t>4.住房保障支出（类）住房改革支出（款）住房公积金（项）：</w:t>
      </w:r>
      <w:r>
        <w:rPr>
          <w:rFonts w:hint="eastAsia" w:ascii="仿宋_GB2312" w:hAnsi="宋体" w:eastAsia="仿宋_GB2312" w:cs="宋体"/>
          <w:color w:val="000000"/>
          <w:kern w:val="0"/>
          <w:sz w:val="30"/>
          <w:szCs w:val="30"/>
        </w:rPr>
        <w:t>支出决算为23.92万元，完成预算100%，决算数等于预算数。</w:t>
      </w:r>
    </w:p>
    <w:p w14:paraId="44A160FD">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rPr>
        <w:t>5. 卫生健康支出（类）公共卫生（款）重大公共卫生服务（项）：支出决算数1万元，</w:t>
      </w:r>
      <w:r>
        <w:rPr>
          <w:rFonts w:hint="eastAsia" w:ascii="仿宋_GB2312" w:hAnsi="宋体" w:eastAsia="仿宋_GB2312" w:cs="宋体"/>
          <w:color w:val="000000"/>
          <w:kern w:val="0"/>
          <w:sz w:val="30"/>
          <w:szCs w:val="30"/>
        </w:rPr>
        <w:t>完成预算100%，决算数等于预算数。</w:t>
      </w:r>
    </w:p>
    <w:p w14:paraId="1E2BF310">
      <w:pPr>
        <w:widowControl/>
        <w:shd w:val="clear" w:color="auto" w:fill="FFFFFF"/>
        <w:ind w:firstLine="477"/>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6.</w:t>
      </w:r>
      <w:r>
        <w:rPr>
          <w:rFonts w:hint="eastAsia" w:ascii="仿宋_GB2312" w:hAnsi="宋体" w:eastAsia="仿宋_GB2312" w:cs="宋体"/>
          <w:b/>
          <w:bCs/>
          <w:color w:val="000000"/>
          <w:kern w:val="0"/>
          <w:sz w:val="30"/>
          <w:szCs w:val="30"/>
        </w:rPr>
        <w:t>农林水支出（类）扶贫（款）其他扶贫支出（项）：支出决算数128.24万元，</w:t>
      </w:r>
      <w:r>
        <w:rPr>
          <w:rFonts w:hint="eastAsia" w:ascii="仿宋_GB2312" w:hAnsi="宋体" w:eastAsia="仿宋_GB2312" w:cs="宋体"/>
          <w:color w:val="000000"/>
          <w:kern w:val="0"/>
          <w:sz w:val="30"/>
          <w:szCs w:val="30"/>
        </w:rPr>
        <w:t>完成预算100%。</w:t>
      </w:r>
    </w:p>
    <w:p w14:paraId="6F38B2E9">
      <w:pPr>
        <w:widowControl/>
        <w:shd w:val="clear" w:color="auto" w:fill="FFFFFF"/>
        <w:rPr>
          <w:rFonts w:ascii="仿宋_GB2312" w:hAnsi="黑体" w:eastAsia="仿宋_GB2312" w:cs="宋体"/>
          <w:color w:val="333333"/>
          <w:kern w:val="0"/>
          <w:sz w:val="30"/>
          <w:szCs w:val="30"/>
        </w:rPr>
      </w:pPr>
      <w:bookmarkStart w:id="19" w:name="_Toc15396608"/>
      <w:r>
        <w:rPr>
          <w:rFonts w:hint="eastAsia" w:ascii="仿宋_GB2312" w:hAnsi="黑体" w:eastAsia="仿宋_GB2312" w:cs="宋体"/>
          <w:color w:val="000000"/>
          <w:kern w:val="0"/>
          <w:sz w:val="30"/>
          <w:szCs w:val="30"/>
          <w:lang w:eastAsia="zh-CN"/>
        </w:rPr>
        <w:t>6.</w:t>
      </w:r>
      <w:r>
        <w:rPr>
          <w:rFonts w:hint="eastAsia" w:ascii="仿宋_GB2312" w:hAnsi="黑体" w:eastAsia="仿宋_GB2312" w:cs="宋体"/>
          <w:b/>
          <w:bCs/>
          <w:color w:val="000000"/>
          <w:kern w:val="0"/>
          <w:sz w:val="30"/>
          <w:szCs w:val="30"/>
        </w:rPr>
        <w:t>一</w:t>
      </w:r>
      <w:r>
        <w:rPr>
          <w:rFonts w:hint="eastAsia" w:ascii="仿宋_GB2312" w:hAnsi="黑体" w:eastAsia="仿宋_GB2312" w:cs="宋体"/>
          <w:color w:val="575757"/>
          <w:kern w:val="0"/>
          <w:sz w:val="30"/>
          <w:szCs w:val="30"/>
        </w:rPr>
        <w:t>般公共预算财政拨款基本支出决算情况说明</w:t>
      </w:r>
      <w:bookmarkEnd w:id="19"/>
    </w:p>
    <w:p w14:paraId="4CD4788C">
      <w:pPr>
        <w:widowControl/>
        <w:shd w:val="clear" w:color="auto" w:fill="FFFFFF"/>
        <w:ind w:firstLine="644"/>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2020年一般公共预算财政拨款基本支出277.4万元，其中：</w:t>
      </w:r>
    </w:p>
    <w:p w14:paraId="41310EF5">
      <w:pPr>
        <w:widowControl/>
        <w:shd w:val="clear" w:color="auto" w:fill="FFFFFF"/>
        <w:ind w:firstLine="644"/>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人员经费252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 w:eastAsia="仿宋_GB2312" w:cs="宋体"/>
          <w:color w:val="333333"/>
          <w:kern w:val="0"/>
          <w:sz w:val="30"/>
          <w:szCs w:val="30"/>
        </w:rPr>
        <w:br w:type="textWrapping"/>
      </w:r>
      <w:r>
        <w:rPr>
          <w:rFonts w:hint="eastAsia" w:ascii="仿宋_GB2312" w:hAnsi="仿宋" w:eastAsia="仿宋_GB2312" w:cs="宋体"/>
          <w:color w:val="000000"/>
          <w:kern w:val="0"/>
          <w:sz w:val="30"/>
          <w:szCs w:val="30"/>
        </w:rPr>
        <w:t>　　公用经费25.42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FCB51A">
      <w:pPr>
        <w:widowControl/>
        <w:shd w:val="clear" w:color="auto" w:fill="FFFFFF"/>
        <w:rPr>
          <w:rFonts w:ascii="仿宋_GB2312" w:hAnsi="黑体" w:eastAsia="仿宋_GB2312" w:cs="宋体"/>
          <w:color w:val="333333"/>
          <w:kern w:val="0"/>
          <w:sz w:val="30"/>
          <w:szCs w:val="30"/>
        </w:rPr>
      </w:pPr>
      <w:bookmarkStart w:id="20" w:name="_Toc15396609"/>
      <w:r>
        <w:rPr>
          <w:rFonts w:hint="eastAsia" w:ascii="仿宋_GB2312" w:hAnsi="黑体" w:eastAsia="仿宋_GB2312" w:cs="宋体"/>
          <w:color w:val="000000"/>
          <w:kern w:val="0"/>
          <w:sz w:val="30"/>
          <w:szCs w:val="30"/>
          <w:lang w:eastAsia="zh-CN"/>
        </w:rPr>
        <w:t>7.</w:t>
      </w:r>
      <w:r>
        <w:rPr>
          <w:rFonts w:hint="eastAsia" w:ascii="仿宋_GB2312" w:hAnsi="黑体" w:eastAsia="仿宋_GB2312" w:cs="宋体"/>
          <w:b/>
          <w:bCs/>
          <w:color w:val="575757"/>
          <w:kern w:val="0"/>
          <w:sz w:val="30"/>
          <w:szCs w:val="30"/>
        </w:rPr>
        <w:t>“</w:t>
      </w:r>
      <w:r>
        <w:rPr>
          <w:rFonts w:hint="eastAsia" w:ascii="仿宋_GB2312" w:hAnsi="黑体" w:eastAsia="仿宋_GB2312" w:cs="宋体"/>
          <w:color w:val="575757"/>
          <w:kern w:val="0"/>
          <w:sz w:val="30"/>
          <w:szCs w:val="30"/>
        </w:rPr>
        <w:t>三公”经费财政拨款支出决算情况说明</w:t>
      </w:r>
      <w:bookmarkEnd w:id="20"/>
    </w:p>
    <w:p w14:paraId="71525954">
      <w:pPr>
        <w:widowControl/>
        <w:shd w:val="clear" w:color="auto" w:fill="FFFFFF"/>
        <w:ind w:firstLine="639"/>
        <w:rPr>
          <w:rFonts w:ascii="仿宋_GB2312" w:hAnsi="仿宋" w:eastAsia="仿宋_GB2312" w:cs="宋体"/>
          <w:color w:val="333333"/>
          <w:kern w:val="0"/>
          <w:sz w:val="30"/>
          <w:szCs w:val="30"/>
        </w:rPr>
      </w:pPr>
      <w:bookmarkStart w:id="21" w:name="_Toc15377216"/>
      <w:r>
        <w:rPr>
          <w:rFonts w:hint="eastAsia" w:ascii="仿宋_GB2312" w:hAnsi="仿宋" w:eastAsia="仿宋_GB2312" w:cs="宋体"/>
          <w:b/>
          <w:bCs/>
          <w:color w:val="000000"/>
          <w:kern w:val="0"/>
          <w:sz w:val="30"/>
          <w:szCs w:val="30"/>
        </w:rPr>
        <w:t>（一）“三公”经费财政拨款支出决算总体情况说明</w:t>
      </w:r>
      <w:bookmarkEnd w:id="21"/>
    </w:p>
    <w:p w14:paraId="0341A156">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2020年“三公”经费财政拨款支出决算为0万元，完成预算100%，决算数与预算数持平。</w:t>
      </w:r>
    </w:p>
    <w:p w14:paraId="65619142">
      <w:pPr>
        <w:widowControl/>
        <w:shd w:val="clear" w:color="auto" w:fill="FFFFFF"/>
        <w:ind w:firstLine="639"/>
        <w:rPr>
          <w:rFonts w:ascii="仿宋_GB2312" w:hAnsi="仿宋" w:eastAsia="仿宋_GB2312" w:cs="宋体"/>
          <w:color w:val="333333"/>
          <w:kern w:val="0"/>
          <w:sz w:val="30"/>
          <w:szCs w:val="30"/>
        </w:rPr>
      </w:pPr>
      <w:bookmarkStart w:id="22" w:name="_Toc15377217"/>
      <w:r>
        <w:rPr>
          <w:rFonts w:hint="eastAsia" w:ascii="仿宋_GB2312" w:hAnsi="仿宋" w:eastAsia="仿宋_GB2312" w:cs="宋体"/>
          <w:b/>
          <w:bCs/>
          <w:color w:val="000000"/>
          <w:kern w:val="0"/>
          <w:sz w:val="30"/>
          <w:szCs w:val="30"/>
        </w:rPr>
        <w:t>（二）“三公”经费财政拨款支出决算具体情况说明</w:t>
      </w:r>
      <w:bookmarkEnd w:id="22"/>
    </w:p>
    <w:p w14:paraId="12F71CA6">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2020年“三公”经费财政拨款支出决算中，因公出国（境）费支出决算0万元，占0%；公务用车购置及运行维护费支出决算0万元，占0%；公务接待费支出决算0万元，占100%。具体情况如下：</w:t>
      </w:r>
    </w:p>
    <w:p w14:paraId="2896361D">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rPr>
        <w:t>1.因公出国（境）经费支出</w:t>
      </w:r>
      <w:r>
        <w:rPr>
          <w:rFonts w:hint="eastAsia" w:ascii="仿宋_GB2312" w:hAnsi="宋体" w:eastAsia="仿宋_GB2312" w:cs="宋体"/>
          <w:color w:val="000000"/>
          <w:kern w:val="0"/>
          <w:sz w:val="30"/>
          <w:szCs w:val="30"/>
        </w:rPr>
        <w:t>0万元，</w:t>
      </w:r>
      <w:r>
        <w:rPr>
          <w:rFonts w:hint="eastAsia" w:ascii="仿宋_GB2312" w:hAnsi="仿宋" w:eastAsia="仿宋_GB2312" w:cs="宋体"/>
          <w:color w:val="000000"/>
          <w:kern w:val="0"/>
          <w:sz w:val="30"/>
          <w:szCs w:val="30"/>
        </w:rPr>
        <w:t>完成预算0%。</w:t>
      </w:r>
      <w:r>
        <w:rPr>
          <w:rFonts w:hint="eastAsia" w:ascii="仿宋_GB2312" w:hAnsi="宋体" w:eastAsia="仿宋_GB2312" w:cs="宋体"/>
          <w:color w:val="000000"/>
          <w:kern w:val="0"/>
          <w:sz w:val="30"/>
          <w:szCs w:val="30"/>
        </w:rPr>
        <w:t>全年安排因公出国（境）团组0次，出国（境）0人。因公出国（境）支出决算比2019年无变动，增。主要原因是我单位无因公出国（境）支出。</w:t>
      </w:r>
    </w:p>
    <w:p w14:paraId="39ADA209">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rPr>
        <w:t>2.公务用车购置及运行维护费支出</w:t>
      </w:r>
      <w:r>
        <w:rPr>
          <w:rFonts w:hint="eastAsia" w:ascii="仿宋_GB2312" w:hAnsi="宋体" w:eastAsia="仿宋_GB2312" w:cs="宋体"/>
          <w:color w:val="000000"/>
          <w:kern w:val="0"/>
          <w:sz w:val="30"/>
          <w:szCs w:val="30"/>
        </w:rPr>
        <w:t>0万元</w:t>
      </w:r>
      <w:r>
        <w:rPr>
          <w:rFonts w:hint="eastAsia" w:ascii="仿宋_GB2312" w:hAnsi="宋体" w:eastAsia="仿宋_GB2312" w:cs="宋体"/>
          <w:color w:val="000000"/>
          <w:kern w:val="0"/>
          <w:sz w:val="30"/>
          <w:szCs w:val="30"/>
          <w:lang w:eastAsia="zh-CN"/>
        </w:rPr>
        <w:t>，</w:t>
      </w:r>
      <w:r>
        <w:rPr>
          <w:rFonts w:hint="eastAsia" w:ascii="仿宋_GB2312" w:hAnsi="仿宋" w:eastAsia="仿宋_GB2312" w:cs="宋体"/>
          <w:color w:val="000000"/>
          <w:kern w:val="0"/>
          <w:sz w:val="30"/>
          <w:szCs w:val="30"/>
        </w:rPr>
        <w:t>完成预算0%。</w:t>
      </w:r>
      <w:r>
        <w:rPr>
          <w:rFonts w:hint="eastAsia" w:ascii="仿宋_GB2312" w:hAnsi="宋体" w:eastAsia="仿宋_GB2312" w:cs="宋体"/>
          <w:color w:val="000000"/>
          <w:kern w:val="0"/>
          <w:sz w:val="30"/>
          <w:szCs w:val="30"/>
        </w:rPr>
        <w:t>公务用车购置及运行维护费支出决算比2019无变动。主要原因是我单位无公务用车购置及运行维护费支出。</w:t>
      </w:r>
    </w:p>
    <w:p w14:paraId="5D55D3F4">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其中：</w:t>
      </w:r>
      <w:r>
        <w:rPr>
          <w:rFonts w:hint="eastAsia" w:ascii="仿宋_GB2312" w:hAnsi="宋体" w:eastAsia="仿宋_GB2312" w:cs="宋体"/>
          <w:b/>
          <w:bCs/>
          <w:color w:val="000000"/>
          <w:kern w:val="0"/>
          <w:sz w:val="30"/>
          <w:szCs w:val="30"/>
        </w:rPr>
        <w:t>公务用车购置支出</w:t>
      </w:r>
      <w:r>
        <w:rPr>
          <w:rFonts w:hint="eastAsia" w:ascii="仿宋_GB2312" w:hAnsi="宋体" w:eastAsia="仿宋_GB2312" w:cs="宋体"/>
          <w:color w:val="000000"/>
          <w:kern w:val="0"/>
          <w:sz w:val="30"/>
          <w:szCs w:val="30"/>
        </w:rPr>
        <w:t>0万元。全年按规定更新购置公务用车0辆，其中：轿车0辆、金额0万元，越野车0辆、金额0万元，载客汽车0辆、金额0万元，主要用于</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截至2020年12月底，单位共有公务用车0辆，其中：轿车0辆、越野车0辆、载客汽车0辆。</w:t>
      </w:r>
    </w:p>
    <w:p w14:paraId="34CA16FC">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rPr>
        <w:t>公务用车运行维护费支出</w:t>
      </w:r>
      <w:r>
        <w:rPr>
          <w:rFonts w:hint="eastAsia" w:ascii="仿宋_GB2312" w:hAnsi="宋体" w:eastAsia="仿宋_GB2312" w:cs="宋体"/>
          <w:color w:val="000000"/>
          <w:kern w:val="0"/>
          <w:sz w:val="30"/>
          <w:szCs w:val="30"/>
        </w:rPr>
        <w:t>0万元。主要用于开展工作等所需的公务用车燃料费、维修费、过路过桥费、保险费等支出。</w:t>
      </w:r>
    </w:p>
    <w:p w14:paraId="6A65E933">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rPr>
        <w:t>3.公务接待费支出</w:t>
      </w:r>
      <w:r>
        <w:rPr>
          <w:rFonts w:hint="eastAsia" w:ascii="仿宋_GB2312" w:hAnsi="宋体" w:eastAsia="仿宋_GB2312" w:cs="宋体"/>
          <w:color w:val="000000"/>
          <w:kern w:val="0"/>
          <w:sz w:val="30"/>
          <w:szCs w:val="30"/>
        </w:rPr>
        <w:t>0万元，</w:t>
      </w:r>
      <w:r>
        <w:rPr>
          <w:rFonts w:hint="eastAsia" w:ascii="仿宋_GB2312" w:hAnsi="仿宋" w:eastAsia="仿宋_GB2312" w:cs="宋体"/>
          <w:color w:val="000000"/>
          <w:kern w:val="0"/>
          <w:sz w:val="30"/>
          <w:szCs w:val="30"/>
        </w:rPr>
        <w:t>完成预算100%。</w:t>
      </w:r>
      <w:r>
        <w:rPr>
          <w:rFonts w:hint="eastAsia" w:ascii="仿宋_GB2312" w:hAnsi="宋体" w:eastAsia="仿宋_GB2312" w:cs="宋体"/>
          <w:color w:val="000000"/>
          <w:kern w:val="0"/>
          <w:sz w:val="30"/>
          <w:szCs w:val="30"/>
        </w:rPr>
        <w:t>公务接待费支出决算比2019年增加0万元，增长100%。主要原因是去年单位新组建无接待费支出，今年增加支出。</w:t>
      </w:r>
    </w:p>
    <w:p w14:paraId="05A67411">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主要用于执行公务、开展业务活动开支的交通费、住宿费、用餐费等。国内公务接待0批次，0人次（不包括陪同人员），共计支出0万元，具体内容包括：接待上级单位到我单位检查。其中：</w:t>
      </w:r>
    </w:p>
    <w:p w14:paraId="6C85A8B3">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外事接待支出</w:t>
      </w:r>
      <w:r>
        <w:rPr>
          <w:rFonts w:hint="eastAsia" w:ascii="仿宋_GB2312" w:hAnsi="仿宋" w:eastAsia="仿宋_GB2312" w:cs="宋体"/>
          <w:color w:val="000000"/>
          <w:kern w:val="0"/>
          <w:sz w:val="30"/>
          <w:szCs w:val="30"/>
        </w:rPr>
        <w:t>0万元，外事接待0批次0人，共计支出0万元，主要用于接待。</w:t>
      </w:r>
    </w:p>
    <w:p w14:paraId="2E7D3924">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其他国内公务接待支出</w:t>
      </w:r>
      <w:r>
        <w:rPr>
          <w:rFonts w:hint="eastAsia" w:ascii="仿宋_GB2312" w:hAnsi="仿宋" w:eastAsia="仿宋_GB2312" w:cs="宋体"/>
          <w:color w:val="000000"/>
          <w:kern w:val="0"/>
          <w:sz w:val="30"/>
          <w:szCs w:val="30"/>
        </w:rPr>
        <w:t>0万元。</w:t>
      </w:r>
      <w:r>
        <w:rPr>
          <w:rFonts w:ascii="仿宋_GB2312" w:hAnsi="仿宋" w:eastAsia="仿宋_GB2312" w:cs="宋体"/>
          <w:color w:val="333333"/>
          <w:kern w:val="0"/>
          <w:sz w:val="30"/>
          <w:szCs w:val="30"/>
        </w:rPr>
        <w:t xml:space="preserve"> </w:t>
      </w:r>
    </w:p>
    <w:p w14:paraId="62398B85">
      <w:pPr>
        <w:widowControl/>
        <w:shd w:val="clear" w:color="auto" w:fill="FFFFFF"/>
        <w:spacing w:before="231" w:after="231"/>
        <w:rPr>
          <w:rFonts w:ascii="仿宋_GB2312" w:hAnsi="黑体" w:eastAsia="仿宋_GB2312" w:cs="宋体"/>
          <w:color w:val="333333"/>
          <w:kern w:val="0"/>
          <w:sz w:val="30"/>
          <w:szCs w:val="30"/>
        </w:rPr>
      </w:pPr>
      <w:r>
        <w:rPr>
          <w:rFonts w:hint="eastAsia" w:ascii="仿宋_GB2312" w:hAnsi="黑体" w:eastAsia="仿宋_GB2312" w:cs="宋体"/>
          <w:color w:val="000000"/>
          <w:kern w:val="0"/>
          <w:sz w:val="30"/>
          <w:szCs w:val="30"/>
          <w:lang w:eastAsia="zh-CN"/>
        </w:rPr>
        <w:t>8.</w:t>
      </w:r>
      <w:r>
        <w:rPr>
          <w:rFonts w:hint="eastAsia" w:ascii="仿宋_GB2312" w:hAnsi="黑体" w:eastAsia="仿宋_GB2312" w:cs="宋体"/>
          <w:color w:val="575757"/>
          <w:kern w:val="0"/>
          <w:sz w:val="30"/>
          <w:szCs w:val="30"/>
        </w:rPr>
        <w:t>政府性基金预算支出决算情况说明</w:t>
      </w:r>
    </w:p>
    <w:p w14:paraId="05B06C00">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2020年政府性基金预算拨款支出0万元。</w:t>
      </w:r>
    </w:p>
    <w:p w14:paraId="363831A5">
      <w:pPr>
        <w:widowControl/>
        <w:shd w:val="clear" w:color="auto" w:fill="FFFFFF"/>
        <w:rPr>
          <w:rFonts w:ascii="仿宋_GB2312" w:hAnsi="宋体" w:eastAsia="仿宋_GB2312" w:cs="宋体"/>
          <w:color w:val="333333"/>
          <w:kern w:val="0"/>
          <w:sz w:val="30"/>
          <w:szCs w:val="30"/>
        </w:rPr>
      </w:pPr>
      <w:r>
        <w:rPr>
          <w:rFonts w:hint="eastAsia" w:ascii="仿宋_GB2312" w:hAnsi="黑体" w:eastAsia="仿宋_GB2312" w:cs="宋体"/>
          <w:color w:val="333333"/>
          <w:kern w:val="0"/>
          <w:sz w:val="30"/>
          <w:szCs w:val="30"/>
          <w:lang w:eastAsia="zh-CN"/>
        </w:rPr>
        <w:t>9.</w:t>
      </w:r>
      <w:bookmarkStart w:id="23" w:name="_Toc15396611"/>
      <w:r>
        <w:rPr>
          <w:rFonts w:hint="eastAsia" w:ascii="仿宋_GB2312" w:hAnsi="黑体" w:eastAsia="仿宋_GB2312" w:cs="宋体"/>
          <w:color w:val="575757"/>
          <w:kern w:val="0"/>
          <w:sz w:val="30"/>
          <w:szCs w:val="30"/>
        </w:rPr>
        <w:t>国有资本经营预算支出决算情况说明</w:t>
      </w:r>
      <w:bookmarkEnd w:id="23"/>
    </w:p>
    <w:p w14:paraId="0E281CD9">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2020年国有资本经营预算拨款支出0万元。</w:t>
      </w:r>
    </w:p>
    <w:p w14:paraId="5E4B1F40">
      <w:pPr>
        <w:widowControl/>
        <w:shd w:val="clear" w:color="auto" w:fill="FFFFFF"/>
        <w:jc w:val="left"/>
        <w:rPr>
          <w:rFonts w:ascii="仿宋_GB2312" w:hAnsi="黑体" w:eastAsia="仿宋_GB2312" w:cs="宋体"/>
          <w:color w:val="333333"/>
          <w:kern w:val="0"/>
          <w:sz w:val="30"/>
          <w:szCs w:val="30"/>
        </w:rPr>
      </w:pPr>
      <w:r>
        <w:rPr>
          <w:rFonts w:hint="eastAsia" w:ascii="仿宋_GB2312" w:hAnsi="黑体" w:eastAsia="仿宋_GB2312" w:cs="宋体"/>
          <w:color w:val="333333"/>
          <w:kern w:val="0"/>
          <w:sz w:val="30"/>
          <w:szCs w:val="30"/>
          <w:lang w:eastAsia="zh-CN"/>
        </w:rPr>
        <w:t>10.</w:t>
      </w:r>
      <w:r>
        <w:rPr>
          <w:rFonts w:hint="eastAsia" w:ascii="仿宋_GB2312" w:hAnsi="黑体" w:eastAsia="仿宋_GB2312" w:cs="宋体"/>
          <w:color w:val="333333"/>
          <w:kern w:val="0"/>
          <w:sz w:val="30"/>
          <w:szCs w:val="30"/>
        </w:rPr>
        <w:t>预算绩效情况说明</w:t>
      </w:r>
    </w:p>
    <w:p w14:paraId="60AB0FA7">
      <w:pPr>
        <w:widowControl/>
        <w:shd w:val="clear" w:color="auto" w:fill="FFFFFF"/>
        <w:ind w:firstLine="642"/>
        <w:rPr>
          <w:rFonts w:ascii="仿宋_GB2312" w:hAnsi="仿宋" w:eastAsia="仿宋_GB2312" w:cs="宋体"/>
          <w:color w:val="333333"/>
          <w:kern w:val="0"/>
          <w:sz w:val="30"/>
          <w:szCs w:val="30"/>
        </w:rPr>
      </w:pPr>
      <w:bookmarkStart w:id="46" w:name="_GoBack"/>
      <w:r>
        <w:rPr>
          <w:rFonts w:hint="eastAsia" w:ascii="仿宋_GB2312" w:hAnsi="仿宋" w:eastAsia="仿宋_GB2312" w:cs="宋体"/>
          <w:color w:val="333333"/>
          <w:kern w:val="0"/>
          <w:sz w:val="30"/>
          <w:szCs w:val="30"/>
        </w:rPr>
        <w:t>（</w:t>
      </w:r>
      <w:bookmarkEnd w:id="46"/>
      <w:r>
        <w:rPr>
          <w:rFonts w:hint="eastAsia" w:ascii="仿宋_GB2312" w:hAnsi="仿宋" w:eastAsia="仿宋_GB2312" w:cs="宋体"/>
          <w:color w:val="333333"/>
          <w:kern w:val="0"/>
          <w:sz w:val="30"/>
          <w:szCs w:val="30"/>
        </w:rPr>
        <w:t>1</w:t>
      </w:r>
      <w:r>
        <w:rPr>
          <w:rFonts w:hint="eastAsia" w:ascii="仿宋_GB2312" w:hAnsi="仿宋" w:eastAsia="仿宋_GB2312" w:cs="宋体"/>
          <w:b/>
          <w:bCs/>
          <w:color w:val="333333"/>
          <w:kern w:val="0"/>
          <w:sz w:val="30"/>
          <w:szCs w:val="30"/>
        </w:rPr>
        <w:t>预算绩效管理工作开展情况。</w:t>
      </w:r>
    </w:p>
    <w:p w14:paraId="59FFACD9">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根据预算绩效管理要求，本部门（单位）在年初预算编制阶段，组织对本单位、所有项目资金，对所有项目编制了绩效目标</w:t>
      </w:r>
      <w:r>
        <w:rPr>
          <w:rFonts w:hint="eastAsia" w:ascii="仿宋_GB2312" w:hAnsi="宋体" w:eastAsia="仿宋_GB2312" w:cs="宋体"/>
          <w:color w:val="333333"/>
          <w:kern w:val="0"/>
          <w:sz w:val="30"/>
          <w:szCs w:val="30"/>
          <w:lang w:eastAsia="zh-CN"/>
        </w:rPr>
        <w:t>，在</w:t>
      </w:r>
      <w:r>
        <w:rPr>
          <w:rFonts w:hint="eastAsia" w:ascii="仿宋_GB2312" w:hAnsi="宋体" w:eastAsia="仿宋_GB2312" w:cs="宋体"/>
          <w:color w:val="333333"/>
          <w:kern w:val="0"/>
          <w:sz w:val="30"/>
          <w:szCs w:val="30"/>
        </w:rPr>
        <w:t>预算执行过程中，选取项目开展绩效监控，年终执行完毕后，对1个项目开展了绩效目标完成情况梳理填报。</w:t>
      </w:r>
    </w:p>
    <w:p w14:paraId="6238DDB0">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本部门按要求对2020年部门整体支出开展绩效自评，从评价情况来看部门支出绩效指标达到了预期设定的目标值，绩效目标完成较好。本部门还自行组织了1个项目绩效评价，从评价情况来看项目完成较好，项目做到专项专用</w:t>
      </w:r>
      <w:r>
        <w:rPr>
          <w:rFonts w:hint="eastAsia" w:ascii="仿宋_GB2312" w:hAnsi="宋体" w:eastAsia="仿宋_GB2312" w:cs="宋体"/>
          <w:color w:val="333333"/>
          <w:kern w:val="0"/>
          <w:sz w:val="30"/>
          <w:szCs w:val="30"/>
          <w:lang w:eastAsia="zh-CN"/>
        </w:rPr>
        <w:t>，</w:t>
      </w:r>
      <w:r>
        <w:rPr>
          <w:rFonts w:hint="eastAsia" w:ascii="仿宋_GB2312" w:hAnsi="宋体" w:eastAsia="仿宋_GB2312" w:cs="宋体"/>
          <w:color w:val="333333"/>
          <w:kern w:val="0"/>
          <w:sz w:val="30"/>
          <w:szCs w:val="30"/>
        </w:rPr>
        <w:t>达到设定目标。</w:t>
      </w:r>
    </w:p>
    <w:p w14:paraId="390CB323">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（2</w:t>
      </w:r>
      <w:r>
        <w:rPr>
          <w:rFonts w:hint="eastAsia" w:ascii="仿宋_GB2312" w:hAnsi="仿宋" w:eastAsia="仿宋_GB2312" w:cs="宋体"/>
          <w:b/>
          <w:bCs/>
          <w:color w:val="333333"/>
          <w:kern w:val="0"/>
          <w:sz w:val="30"/>
          <w:szCs w:val="30"/>
        </w:rPr>
        <w:t>项目绩效目标完成情况。</w:t>
      </w:r>
      <w:r>
        <w:rPr>
          <w:rFonts w:hint="eastAsia" w:ascii="仿宋_GB2312" w:hAnsi="仿宋" w:eastAsia="仿宋_GB2312" w:cs="宋体"/>
          <w:color w:val="333333"/>
          <w:kern w:val="0"/>
          <w:sz w:val="30"/>
          <w:szCs w:val="30"/>
        </w:rPr>
        <w:br w:type="textWrapping"/>
      </w:r>
      <w:r>
        <w:rPr>
          <w:rFonts w:hint="eastAsia" w:ascii="仿宋_GB2312" w:hAnsi="仿宋" w:eastAsia="仿宋_GB2312" w:cs="宋体"/>
          <w:color w:val="333333"/>
          <w:kern w:val="0"/>
          <w:sz w:val="30"/>
          <w:szCs w:val="30"/>
        </w:rPr>
        <w:t>本部门在2020年度部门决算中反映“三洲项目资金”等20个项目绩效目标实际完成情况。（本单位部门项目绩效目标个数在5个以上的，选取5个项目进行公开，目标个数在5个以下的，全部进行公开，公开内容包括完成情况综述和完成情况表）列举如下。</w:t>
      </w:r>
    </w:p>
    <w:p w14:paraId="058B2D4D">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w:t>
      </w:r>
      <w:r>
        <w:rPr>
          <w:rFonts w:hint="eastAsia" w:ascii="仿宋_GB2312" w:hAnsi="宋体" w:eastAsia="仿宋_GB2312" w:cs="宋体"/>
          <w:color w:val="333333"/>
          <w:kern w:val="0"/>
          <w:sz w:val="30"/>
          <w:szCs w:val="30"/>
        </w:rPr>
        <w:t>民族团结进步创建项目经</w:t>
      </w:r>
      <w:r>
        <w:rPr>
          <w:rFonts w:hint="eastAsia" w:ascii="仿宋_GB2312" w:hAnsi="宋体" w:eastAsia="仿宋_GB2312" w:cs="宋体"/>
          <w:color w:val="333333"/>
          <w:kern w:val="0"/>
          <w:sz w:val="30"/>
          <w:szCs w:val="30"/>
          <w:lang w:eastAsia="zh-CN"/>
        </w:rPr>
        <w:t>费项</w:t>
      </w:r>
      <w:r>
        <w:rPr>
          <w:rFonts w:hint="eastAsia" w:ascii="仿宋_GB2312" w:hAnsi="宋体" w:eastAsia="仿宋_GB2312" w:cs="宋体"/>
          <w:color w:val="333333"/>
          <w:kern w:val="0"/>
          <w:sz w:val="30"/>
          <w:szCs w:val="30"/>
        </w:rPr>
        <w:t>目绩效目标完成情况综述。项目全年预算数53.80万元，执行数为53.80万元，完成预算的100%。通过项目实施，保证资金落实到位，管好、用好民创资金，确保项目资金落实到位。发现的主要问题：绩效目标设立不够明确、细化和量化。项目单位虽然设立了项目资金绩效目标，但目标还不够明确、细化和量化。下一步改进措施：加强单位预算编制工作，根据人员情况、业务开展需要，逐项做出预算计划，预算合理、不留缺口、不留空项。</w:t>
      </w:r>
    </w:p>
    <w:tbl>
      <w:tblPr>
        <w:tblStyle w:val="7"/>
        <w:tblW w:w="0" w:type="auto"/>
        <w:tblInd w:w="0" w:type="dxa"/>
        <w:shd w:val="clear" w:color="auto" w:fill="FFFFFF"/>
        <w:tblLayout w:type="autofit"/>
        <w:tblCellMar>
          <w:top w:w="0" w:type="dxa"/>
          <w:left w:w="0" w:type="dxa"/>
          <w:bottom w:w="0" w:type="dxa"/>
          <w:right w:w="0" w:type="dxa"/>
        </w:tblCellMar>
      </w:tblPr>
      <w:tblGrid>
        <w:gridCol w:w="616"/>
        <w:gridCol w:w="1076"/>
        <w:gridCol w:w="829"/>
        <w:gridCol w:w="1942"/>
        <w:gridCol w:w="1901"/>
        <w:gridCol w:w="1942"/>
      </w:tblGrid>
      <w:tr w14:paraId="5FFD3841">
        <w:tblPrEx>
          <w:shd w:val="clear" w:color="auto" w:fill="FFFFFF"/>
          <w:tblCellMar>
            <w:top w:w="0" w:type="dxa"/>
            <w:left w:w="0" w:type="dxa"/>
            <w:bottom w:w="0" w:type="dxa"/>
            <w:right w:w="0" w:type="dxa"/>
          </w:tblCellMar>
        </w:tblPrEx>
        <w:trPr>
          <w:trHeight w:val="1034" w:hRule="atLeast"/>
        </w:trPr>
        <w:tc>
          <w:tcPr>
            <w:tcW w:w="9959" w:type="dxa"/>
            <w:gridSpan w:val="6"/>
            <w:shd w:val="clear" w:color="auto" w:fill="FFFFFF"/>
            <w:vAlign w:val="center"/>
          </w:tcPr>
          <w:p w14:paraId="598CC7EC">
            <w:pPr>
              <w:widowControl/>
              <w:ind w:hanging="1421"/>
              <w:jc w:val="center"/>
              <w:rPr>
                <w:rFonts w:ascii="仿宋_GB2312" w:hAnsi="黑体" w:eastAsia="仿宋_GB2312" w:cs="宋体"/>
                <w:color w:val="333333"/>
                <w:kern w:val="0"/>
                <w:sz w:val="30"/>
                <w:szCs w:val="30"/>
              </w:rPr>
            </w:pPr>
            <w:r>
              <w:rPr>
                <w:rFonts w:hint="eastAsia" w:ascii="仿宋_GB2312" w:hAnsi="黑体" w:eastAsia="仿宋_GB2312" w:cs="宋体"/>
                <w:color w:val="000000"/>
                <w:kern w:val="0"/>
                <w:sz w:val="30"/>
                <w:szCs w:val="30"/>
              </w:rPr>
              <w:t xml:space="preserve">          项目支出绩效目标完成情况表</w:t>
            </w:r>
            <w:r>
              <w:rPr>
                <w:rFonts w:hint="eastAsia" w:ascii="仿宋_GB2312" w:hAnsi="黑体" w:eastAsia="仿宋_GB2312" w:cs="宋体"/>
                <w:color w:val="333333"/>
                <w:kern w:val="0"/>
                <w:sz w:val="30"/>
                <w:szCs w:val="30"/>
              </w:rPr>
              <w:br w:type="textWrapping"/>
            </w:r>
            <w:r>
              <w:rPr>
                <w:rFonts w:hint="eastAsia" w:ascii="仿宋_GB2312" w:hAnsi="宋体" w:eastAsia="仿宋_GB2312" w:cs="宋体"/>
                <w:color w:val="000000"/>
                <w:kern w:val="0"/>
                <w:sz w:val="30"/>
                <w:szCs w:val="30"/>
              </w:rPr>
              <w:t xml:space="preserve"> (2020 年度</w:t>
            </w:r>
            <w:r>
              <w:rPr>
                <w:rFonts w:hint="eastAsia" w:ascii="仿宋_GB2312" w:hAnsi="宋体" w:eastAsia="仿宋_GB2312" w:cs="宋体"/>
                <w:color w:val="000000"/>
                <w:kern w:val="0"/>
                <w:sz w:val="30"/>
                <w:szCs w:val="30"/>
                <w:lang w:eastAsia="zh-CN"/>
              </w:rPr>
              <w:t>）</w:t>
            </w:r>
          </w:p>
        </w:tc>
      </w:tr>
      <w:tr w14:paraId="6C6D2889">
        <w:tblPrEx>
          <w:tblCellMar>
            <w:top w:w="0" w:type="dxa"/>
            <w:left w:w="0" w:type="dxa"/>
            <w:bottom w:w="0" w:type="dxa"/>
            <w:right w:w="0" w:type="dxa"/>
          </w:tblCellMar>
        </w:tblPrEx>
        <w:trPr>
          <w:trHeight w:val="275" w:hRule="atLeast"/>
        </w:trPr>
        <w:tc>
          <w:tcPr>
            <w:tcW w:w="278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14:paraId="37B1DF67">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项目名称</w:t>
            </w:r>
          </w:p>
        </w:tc>
        <w:tc>
          <w:tcPr>
            <w:tcW w:w="7177"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14:paraId="08FA48D3">
            <w:pPr>
              <w:widowControl/>
              <w:spacing w:line="275" w:lineRule="atLeast"/>
              <w:jc w:val="center"/>
              <w:rPr>
                <w:rFonts w:ascii="仿宋_GB2312" w:hAnsi="微软雅黑" w:eastAsia="仿宋_GB2312" w:cs="宋体"/>
                <w:color w:val="333333"/>
                <w:kern w:val="0"/>
                <w:sz w:val="30"/>
                <w:szCs w:val="30"/>
              </w:rPr>
            </w:pPr>
            <w:r>
              <w:rPr>
                <w:rFonts w:hint="eastAsia" w:ascii="仿宋_GB2312" w:hAnsi="微软雅黑" w:eastAsia="仿宋_GB2312" w:cs="宋体"/>
                <w:color w:val="333333"/>
                <w:kern w:val="0"/>
                <w:sz w:val="30"/>
                <w:szCs w:val="30"/>
              </w:rPr>
              <w:t>民族进步示范创建资金</w:t>
            </w:r>
          </w:p>
        </w:tc>
      </w:tr>
      <w:tr w14:paraId="6FDEFD38">
        <w:tblPrEx>
          <w:tblCellMar>
            <w:top w:w="0" w:type="dxa"/>
            <w:left w:w="0" w:type="dxa"/>
            <w:bottom w:w="0" w:type="dxa"/>
            <w:right w:w="0" w:type="dxa"/>
          </w:tblCellMar>
        </w:tblPrEx>
        <w:trPr>
          <w:trHeight w:val="275" w:hRule="atLeast"/>
        </w:trPr>
        <w:tc>
          <w:tcPr>
            <w:tcW w:w="2781"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14:paraId="1FBF3266">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预算单位</w:t>
            </w:r>
          </w:p>
        </w:tc>
        <w:tc>
          <w:tcPr>
            <w:tcW w:w="7177"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14:paraId="6F259B9D">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盐边县民宗局</w:t>
            </w:r>
          </w:p>
        </w:tc>
      </w:tr>
      <w:tr w14:paraId="45915014">
        <w:tblPrEx>
          <w:tblCellMar>
            <w:top w:w="0" w:type="dxa"/>
            <w:left w:w="0" w:type="dxa"/>
            <w:bottom w:w="0" w:type="dxa"/>
            <w:right w:w="0" w:type="dxa"/>
          </w:tblCellMar>
        </w:tblPrEx>
        <w:trPr>
          <w:trHeight w:val="275" w:hRule="atLeast"/>
        </w:trPr>
        <w:tc>
          <w:tcPr>
            <w:tcW w:w="38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13B8BAEB">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预算执行情况</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万元</w:t>
            </w:r>
            <w:r>
              <w:rPr>
                <w:rFonts w:hint="eastAsia" w:ascii="仿宋_GB2312" w:hAnsi="宋体" w:eastAsia="仿宋_GB2312" w:cs="宋体"/>
                <w:color w:val="000000"/>
                <w:kern w:val="0"/>
                <w:sz w:val="30"/>
                <w:szCs w:val="30"/>
                <w:lang w:eastAsia="zh-CN"/>
              </w:rPr>
              <w:t>）</w:t>
            </w:r>
          </w:p>
        </w:tc>
        <w:tc>
          <w:tcPr>
            <w:tcW w:w="2392"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4537DBB1">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预算数</w:t>
            </w:r>
            <w:r>
              <w:rPr>
                <w:rFonts w:hint="eastAsia" w:ascii="仿宋_GB2312" w:hAnsi="宋体" w:eastAsia="仿宋_GB2312" w:cs="宋体"/>
                <w:color w:val="000000"/>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5D805F6">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53.80</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35A7CC">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执行数</w:t>
            </w:r>
            <w:r>
              <w:rPr>
                <w:rFonts w:hint="eastAsia" w:ascii="仿宋_GB2312" w:hAnsi="宋体" w:eastAsia="仿宋_GB2312" w:cs="宋体"/>
                <w:color w:val="000000"/>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D08F41B">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53.80</w:t>
            </w:r>
          </w:p>
        </w:tc>
      </w:tr>
      <w:tr w14:paraId="42F7E8D4">
        <w:tblPrEx>
          <w:tblCellMar>
            <w:top w:w="0" w:type="dxa"/>
            <w:left w:w="0" w:type="dxa"/>
            <w:bottom w:w="0" w:type="dxa"/>
            <w:right w:w="0" w:type="dxa"/>
          </w:tblCellMar>
        </w:tblPrEx>
        <w:trPr>
          <w:trHeight w:val="275"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2354BCC">
            <w:pPr>
              <w:widowControl/>
              <w:jc w:val="left"/>
              <w:rPr>
                <w:rFonts w:ascii="仿宋_GB2312" w:hAnsi="宋体" w:eastAsia="仿宋_GB2312" w:cs="宋体"/>
                <w:color w:val="333333"/>
                <w:kern w:val="0"/>
                <w:sz w:val="30"/>
                <w:szCs w:val="30"/>
              </w:rPr>
            </w:pPr>
          </w:p>
        </w:tc>
        <w:tc>
          <w:tcPr>
            <w:tcW w:w="2392"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6F403DA4">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其中</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财政拨款</w:t>
            </w:r>
            <w:r>
              <w:rPr>
                <w:rFonts w:hint="eastAsia" w:ascii="仿宋_GB2312" w:hAnsi="宋体" w:eastAsia="仿宋_GB2312" w:cs="宋体"/>
                <w:color w:val="000000"/>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CE8D84A">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53.80</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8F7644">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其中</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财政拨款</w:t>
            </w:r>
            <w:r>
              <w:rPr>
                <w:rFonts w:hint="eastAsia" w:ascii="仿宋_GB2312" w:hAnsi="宋体" w:eastAsia="仿宋_GB2312" w:cs="宋体"/>
                <w:color w:val="000000"/>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9DFFA3">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53.80</w:t>
            </w:r>
          </w:p>
        </w:tc>
      </w:tr>
      <w:tr w14:paraId="5F853FDE">
        <w:tblPrEx>
          <w:tblCellMar>
            <w:top w:w="0" w:type="dxa"/>
            <w:left w:w="0" w:type="dxa"/>
            <w:bottom w:w="0" w:type="dxa"/>
            <w:right w:w="0" w:type="dxa"/>
          </w:tblCellMar>
        </w:tblPrEx>
        <w:trPr>
          <w:trHeight w:val="1511"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9731E9C">
            <w:pPr>
              <w:widowControl/>
              <w:jc w:val="left"/>
              <w:rPr>
                <w:rFonts w:ascii="仿宋_GB2312" w:hAnsi="宋体" w:eastAsia="仿宋_GB2312" w:cs="宋体"/>
                <w:color w:val="333333"/>
                <w:kern w:val="0"/>
                <w:sz w:val="30"/>
                <w:szCs w:val="30"/>
              </w:rPr>
            </w:pPr>
          </w:p>
        </w:tc>
        <w:tc>
          <w:tcPr>
            <w:tcW w:w="2392"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58B4F6BA">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lang w:eastAsia="zh-CN"/>
              </w:rPr>
              <w:t>其他</w:t>
            </w:r>
            <w:r>
              <w:rPr>
                <w:rFonts w:hint="eastAsia" w:ascii="仿宋_GB2312" w:hAnsi="宋体" w:eastAsia="仿宋_GB2312" w:cs="宋体"/>
                <w:color w:val="000000"/>
                <w:kern w:val="0"/>
                <w:sz w:val="30"/>
                <w:szCs w:val="30"/>
              </w:rPr>
              <w:t>资金</w:t>
            </w:r>
            <w:r>
              <w:rPr>
                <w:rFonts w:hint="eastAsia" w:ascii="仿宋_GB2312" w:hAnsi="宋体" w:eastAsia="仿宋_GB2312" w:cs="宋体"/>
                <w:color w:val="000000"/>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05BD5A">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0</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CE2AC3">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lang w:eastAsia="zh-CN"/>
              </w:rPr>
              <w:t>其他</w:t>
            </w:r>
            <w:r>
              <w:rPr>
                <w:rFonts w:hint="eastAsia" w:ascii="仿宋_GB2312" w:hAnsi="宋体" w:eastAsia="仿宋_GB2312" w:cs="宋体"/>
                <w:color w:val="000000"/>
                <w:kern w:val="0"/>
                <w:sz w:val="30"/>
                <w:szCs w:val="30"/>
              </w:rPr>
              <w:t>资金</w:t>
            </w:r>
            <w:r>
              <w:rPr>
                <w:rFonts w:hint="eastAsia" w:ascii="仿宋_GB2312" w:hAnsi="宋体" w:eastAsia="仿宋_GB2312" w:cs="宋体"/>
                <w:color w:val="000000"/>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0A2CF35">
            <w:pPr>
              <w:widowControl/>
              <w:spacing w:before="231" w:after="231"/>
              <w:jc w:val="center"/>
              <w:rPr>
                <w:rFonts w:ascii="仿宋_GB2312" w:hAnsi="宋体" w:eastAsia="仿宋_GB2312" w:cs="宋体"/>
                <w:color w:val="333333"/>
                <w:kern w:val="0"/>
                <w:sz w:val="30"/>
                <w:szCs w:val="30"/>
              </w:rPr>
            </w:pPr>
            <w:r>
              <w:rPr>
                <w:rFonts w:hint="eastAsia" w:ascii="宋体" w:hAnsi="宋体" w:eastAsia="仿宋_GB2312" w:cs="宋体"/>
                <w:color w:val="333333"/>
                <w:kern w:val="0"/>
                <w:sz w:val="30"/>
                <w:szCs w:val="30"/>
              </w:rPr>
              <w:t> </w:t>
            </w:r>
          </w:p>
        </w:tc>
      </w:tr>
      <w:tr w14:paraId="5D2F68FD">
        <w:tblPrEx>
          <w:tblCellMar>
            <w:top w:w="0" w:type="dxa"/>
            <w:left w:w="0" w:type="dxa"/>
            <w:bottom w:w="0" w:type="dxa"/>
            <w:right w:w="0" w:type="dxa"/>
          </w:tblCellMar>
        </w:tblPrEx>
        <w:trPr>
          <w:trHeight w:val="275" w:hRule="atLeast"/>
        </w:trPr>
        <w:tc>
          <w:tcPr>
            <w:tcW w:w="38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082E41E">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年度目标完成情况</w:t>
            </w:r>
          </w:p>
        </w:tc>
        <w:tc>
          <w:tcPr>
            <w:tcW w:w="478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14:paraId="641AC706">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预期目标</w:t>
            </w:r>
          </w:p>
        </w:tc>
        <w:tc>
          <w:tcPr>
            <w:tcW w:w="47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08EEC7C6">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实际完成目标</w:t>
            </w:r>
          </w:p>
        </w:tc>
      </w:tr>
      <w:tr w14:paraId="420380E1">
        <w:tblPrEx>
          <w:tblCellMar>
            <w:top w:w="0" w:type="dxa"/>
            <w:left w:w="0" w:type="dxa"/>
            <w:bottom w:w="0" w:type="dxa"/>
            <w:right w:w="0" w:type="dxa"/>
          </w:tblCellMar>
        </w:tblPrEx>
        <w:trPr>
          <w:trHeight w:val="1158"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756579C">
            <w:pPr>
              <w:widowControl/>
              <w:jc w:val="left"/>
              <w:rPr>
                <w:rFonts w:ascii="仿宋_GB2312" w:hAnsi="宋体" w:eastAsia="仿宋_GB2312" w:cs="宋体"/>
                <w:color w:val="333333"/>
                <w:kern w:val="0"/>
                <w:sz w:val="30"/>
                <w:szCs w:val="30"/>
              </w:rPr>
            </w:pPr>
          </w:p>
        </w:tc>
        <w:tc>
          <w:tcPr>
            <w:tcW w:w="478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14:paraId="4A4C8BD9">
            <w:pPr>
              <w:widowControl/>
              <w:jc w:val="center"/>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严格贯彻落实财政资金管理制度、规范资金使用程序</w:t>
            </w:r>
          </w:p>
        </w:tc>
        <w:tc>
          <w:tcPr>
            <w:tcW w:w="47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14:paraId="32287C2E">
            <w:pPr>
              <w:widowControl/>
              <w:spacing w:before="231" w:after="231"/>
              <w:rPr>
                <w:rFonts w:ascii="仿宋_GB2312" w:hAnsi="Times New Roman" w:eastAsia="仿宋_GB2312" w:cs="Times New Roman"/>
                <w:color w:val="333333"/>
                <w:kern w:val="0"/>
                <w:sz w:val="30"/>
                <w:szCs w:val="30"/>
              </w:rPr>
            </w:pPr>
            <w:r>
              <w:rPr>
                <w:rFonts w:hint="eastAsia" w:ascii="Times New Roman" w:hAnsi="Times New Roman" w:eastAsia="仿宋_GB2312" w:cs="Times New Roman"/>
                <w:color w:val="333333"/>
                <w:kern w:val="0"/>
                <w:sz w:val="30"/>
                <w:szCs w:val="30"/>
              </w:rPr>
              <w:t> </w:t>
            </w:r>
          </w:p>
          <w:p w14:paraId="52E940A3">
            <w:pPr>
              <w:widowControl/>
              <w:ind w:firstLine="840"/>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确保项目资金及时落实到位</w:t>
            </w:r>
          </w:p>
          <w:p w14:paraId="4C286344">
            <w:pPr>
              <w:widowControl/>
              <w:spacing w:before="231" w:after="231"/>
              <w:jc w:val="center"/>
              <w:rPr>
                <w:rFonts w:ascii="仿宋_GB2312" w:hAnsi="宋体" w:eastAsia="仿宋_GB2312" w:cs="宋体"/>
                <w:color w:val="333333"/>
                <w:kern w:val="0"/>
                <w:sz w:val="30"/>
                <w:szCs w:val="30"/>
              </w:rPr>
            </w:pPr>
            <w:r>
              <w:rPr>
                <w:rFonts w:hint="eastAsia" w:ascii="宋体" w:hAnsi="宋体" w:eastAsia="仿宋_GB2312" w:cs="宋体"/>
                <w:color w:val="333333"/>
                <w:kern w:val="0"/>
                <w:sz w:val="30"/>
                <w:szCs w:val="30"/>
              </w:rPr>
              <w:t> </w:t>
            </w:r>
          </w:p>
        </w:tc>
      </w:tr>
      <w:tr w14:paraId="1633493C">
        <w:tblPrEx>
          <w:tblCellMar>
            <w:top w:w="0" w:type="dxa"/>
            <w:left w:w="0" w:type="dxa"/>
            <w:bottom w:w="0" w:type="dxa"/>
            <w:right w:w="0" w:type="dxa"/>
          </w:tblCellMar>
        </w:tblPrEx>
        <w:trPr>
          <w:trHeight w:val="1041" w:hRule="atLeast"/>
        </w:trPr>
        <w:tc>
          <w:tcPr>
            <w:tcW w:w="38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0FB6FA98">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绩效指标完成情况</w:t>
            </w:r>
          </w:p>
        </w:tc>
        <w:tc>
          <w:tcPr>
            <w:tcW w:w="13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FF76BC">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一级指标</w:t>
            </w:r>
          </w:p>
        </w:tc>
        <w:tc>
          <w:tcPr>
            <w:tcW w:w="102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BF51FBE">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二级指标</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BCFCA50">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三级指标</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5E9A91A">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预期指标值</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包含数字及文字描述</w:t>
            </w:r>
            <w:r>
              <w:rPr>
                <w:rFonts w:hint="eastAsia" w:ascii="仿宋_GB2312" w:hAnsi="宋体" w:eastAsia="仿宋_GB2312" w:cs="宋体"/>
                <w:color w:val="000000"/>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C988222">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实际完成指标值</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rPr>
              <w:t>包含数字及文字描述</w:t>
            </w:r>
            <w:r>
              <w:rPr>
                <w:rFonts w:hint="eastAsia" w:ascii="仿宋_GB2312" w:hAnsi="宋体" w:eastAsia="仿宋_GB2312" w:cs="宋体"/>
                <w:color w:val="000000"/>
                <w:kern w:val="0"/>
                <w:sz w:val="30"/>
                <w:szCs w:val="30"/>
                <w:lang w:eastAsia="zh-CN"/>
              </w:rPr>
              <w:t>）</w:t>
            </w:r>
          </w:p>
        </w:tc>
      </w:tr>
      <w:tr w14:paraId="61A97DF5">
        <w:tblPrEx>
          <w:tblCellMar>
            <w:top w:w="0" w:type="dxa"/>
            <w:left w:w="0" w:type="dxa"/>
            <w:bottom w:w="0" w:type="dxa"/>
            <w:right w:w="0" w:type="dxa"/>
          </w:tblCellMar>
        </w:tblPrEx>
        <w:trPr>
          <w:trHeight w:val="952"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57D43D9">
            <w:pPr>
              <w:widowControl/>
              <w:jc w:val="left"/>
              <w:rPr>
                <w:rFonts w:ascii="仿宋_GB2312" w:hAnsi="宋体" w:eastAsia="仿宋_GB2312" w:cs="宋体"/>
                <w:color w:val="333333"/>
                <w:kern w:val="0"/>
                <w:sz w:val="30"/>
                <w:szCs w:val="30"/>
              </w:rPr>
            </w:pPr>
          </w:p>
        </w:tc>
        <w:tc>
          <w:tcPr>
            <w:tcW w:w="13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2E5A53">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项目完成指标</w:t>
            </w:r>
          </w:p>
        </w:tc>
        <w:tc>
          <w:tcPr>
            <w:tcW w:w="102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E506BB6">
            <w:pPr>
              <w:widowControl/>
              <w:jc w:val="center"/>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质量指标</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D34560F">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做好民创资金落实的监督检查工作</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7795B0">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确保项目资金及时准确落实到位</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B834E0">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100%</w:t>
            </w:r>
          </w:p>
        </w:tc>
      </w:tr>
      <w:tr w14:paraId="78F03510">
        <w:tblPrEx>
          <w:tblCellMar>
            <w:top w:w="0" w:type="dxa"/>
            <w:left w:w="0" w:type="dxa"/>
            <w:bottom w:w="0" w:type="dxa"/>
            <w:right w:w="0" w:type="dxa"/>
          </w:tblCellMar>
        </w:tblPrEx>
        <w:trPr>
          <w:trHeight w:val="1296"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E3FBA7A">
            <w:pPr>
              <w:widowControl/>
              <w:jc w:val="left"/>
              <w:rPr>
                <w:rFonts w:ascii="仿宋_GB2312" w:hAnsi="宋体" w:eastAsia="仿宋_GB2312" w:cs="宋体"/>
                <w:color w:val="333333"/>
                <w:kern w:val="0"/>
                <w:sz w:val="30"/>
                <w:szCs w:val="30"/>
              </w:rPr>
            </w:pPr>
          </w:p>
        </w:tc>
        <w:tc>
          <w:tcPr>
            <w:tcW w:w="13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4A93BD">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项目完成指标</w:t>
            </w:r>
          </w:p>
        </w:tc>
        <w:tc>
          <w:tcPr>
            <w:tcW w:w="102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FC3ACB">
            <w:pPr>
              <w:widowControl/>
              <w:jc w:val="center"/>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时效指标</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648A854">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按工作计划推进</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413773">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2020年全年</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FAF38F">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100%</w:t>
            </w:r>
          </w:p>
        </w:tc>
      </w:tr>
      <w:tr w14:paraId="592F2DE7">
        <w:tblPrEx>
          <w:tblCellMar>
            <w:top w:w="0" w:type="dxa"/>
            <w:left w:w="0" w:type="dxa"/>
            <w:bottom w:w="0" w:type="dxa"/>
            <w:right w:w="0" w:type="dxa"/>
          </w:tblCellMar>
        </w:tblPrEx>
        <w:trPr>
          <w:trHeight w:val="1041"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7D0085E">
            <w:pPr>
              <w:widowControl/>
              <w:jc w:val="left"/>
              <w:rPr>
                <w:rFonts w:ascii="仿宋_GB2312" w:hAnsi="宋体" w:eastAsia="仿宋_GB2312" w:cs="宋体"/>
                <w:color w:val="333333"/>
                <w:kern w:val="0"/>
                <w:sz w:val="30"/>
                <w:szCs w:val="30"/>
              </w:rPr>
            </w:pPr>
          </w:p>
        </w:tc>
        <w:tc>
          <w:tcPr>
            <w:tcW w:w="13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DEA6233">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效益指标</w:t>
            </w:r>
          </w:p>
        </w:tc>
        <w:tc>
          <w:tcPr>
            <w:tcW w:w="102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F91BD3">
            <w:pPr>
              <w:widowControl/>
              <w:jc w:val="center"/>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社会效益</w:t>
            </w:r>
            <w:r>
              <w:rPr>
                <w:rFonts w:hint="eastAsia" w:ascii="仿宋_GB2312" w:hAnsi="Times New Roman" w:eastAsia="仿宋_GB2312" w:cs="Times New Roman"/>
                <w:color w:val="333333"/>
                <w:kern w:val="0"/>
                <w:sz w:val="30"/>
                <w:szCs w:val="30"/>
              </w:rPr>
              <w:br w:type="textWrapping"/>
            </w:r>
            <w:r>
              <w:rPr>
                <w:rFonts w:hint="eastAsia" w:ascii="仿宋_GB2312" w:hAnsi="Times New Roman" w:eastAsia="仿宋_GB2312" w:cs="Times New Roman"/>
                <w:b/>
                <w:bCs/>
                <w:color w:val="333333"/>
                <w:kern w:val="0"/>
                <w:sz w:val="30"/>
                <w:szCs w:val="30"/>
              </w:rPr>
              <w:t>指标</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AE1801">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保障民创各项事务的顺利开展</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A1AA65E">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保障单位正常运转</w:t>
            </w:r>
            <w:r>
              <w:rPr>
                <w:rFonts w:hint="eastAsia" w:ascii="仿宋_GB2312" w:hAnsi="Times New Roman" w:eastAsia="仿宋_GB2312" w:cs="Times New Roman"/>
                <w:color w:val="333333"/>
                <w:kern w:val="0"/>
                <w:sz w:val="30"/>
                <w:szCs w:val="30"/>
                <w:lang w:eastAsia="zh-CN"/>
              </w:rPr>
              <w:t>。</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4E9AE3B">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100%</w:t>
            </w:r>
          </w:p>
        </w:tc>
      </w:tr>
      <w:tr w14:paraId="7A2CDD58">
        <w:tblPrEx>
          <w:tblCellMar>
            <w:top w:w="0" w:type="dxa"/>
            <w:left w:w="0" w:type="dxa"/>
            <w:bottom w:w="0" w:type="dxa"/>
            <w:right w:w="0" w:type="dxa"/>
          </w:tblCellMar>
        </w:tblPrEx>
        <w:trPr>
          <w:trHeight w:val="1296"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48EFFA78">
            <w:pPr>
              <w:widowControl/>
              <w:jc w:val="left"/>
              <w:rPr>
                <w:rFonts w:ascii="仿宋_GB2312" w:hAnsi="宋体" w:eastAsia="仿宋_GB2312" w:cs="宋体"/>
                <w:color w:val="333333"/>
                <w:kern w:val="0"/>
                <w:sz w:val="30"/>
                <w:szCs w:val="30"/>
              </w:rPr>
            </w:pPr>
          </w:p>
        </w:tc>
        <w:tc>
          <w:tcPr>
            <w:tcW w:w="136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33B0E2">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满意度指标</w:t>
            </w:r>
          </w:p>
        </w:tc>
        <w:tc>
          <w:tcPr>
            <w:tcW w:w="102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E218564">
            <w:pPr>
              <w:widowControl/>
              <w:jc w:val="center"/>
              <w:rPr>
                <w:rFonts w:ascii="仿宋_GB2312" w:hAnsi="Times New Roman" w:eastAsia="仿宋_GB2312" w:cs="Times New Roman"/>
                <w:color w:val="333333"/>
                <w:kern w:val="0"/>
                <w:sz w:val="30"/>
                <w:szCs w:val="30"/>
              </w:rPr>
            </w:pPr>
            <w:r>
              <w:rPr>
                <w:rFonts w:hint="eastAsia" w:ascii="仿宋_GB2312" w:hAnsi="Times New Roman" w:eastAsia="仿宋_GB2312" w:cs="Times New Roman"/>
                <w:b/>
                <w:bCs/>
                <w:color w:val="333333"/>
                <w:kern w:val="0"/>
                <w:sz w:val="30"/>
                <w:szCs w:val="30"/>
              </w:rPr>
              <w:t>服务对象</w:t>
            </w:r>
            <w:r>
              <w:rPr>
                <w:rFonts w:hint="eastAsia" w:ascii="仿宋_GB2312" w:hAnsi="Times New Roman" w:eastAsia="仿宋_GB2312" w:cs="Times New Roman"/>
                <w:color w:val="333333"/>
                <w:kern w:val="0"/>
                <w:sz w:val="30"/>
                <w:szCs w:val="30"/>
              </w:rPr>
              <w:br w:type="textWrapping"/>
            </w:r>
            <w:r>
              <w:rPr>
                <w:rFonts w:hint="eastAsia" w:ascii="仿宋_GB2312" w:hAnsi="Times New Roman" w:eastAsia="仿宋_GB2312" w:cs="Times New Roman"/>
                <w:b/>
                <w:bCs/>
                <w:color w:val="333333"/>
                <w:kern w:val="0"/>
                <w:sz w:val="30"/>
                <w:szCs w:val="30"/>
              </w:rPr>
              <w:t>满意度指标</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0C69B41">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单位工作人员满意度</w:t>
            </w:r>
          </w:p>
        </w:tc>
        <w:tc>
          <w:tcPr>
            <w:tcW w:w="239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8E93AA">
            <w:pPr>
              <w:widowControl/>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基本满意及以上</w:t>
            </w:r>
          </w:p>
        </w:tc>
        <w:tc>
          <w:tcPr>
            <w:tcW w:w="239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CB03FCE">
            <w:pPr>
              <w:widowControl/>
              <w:jc w:val="center"/>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100%</w:t>
            </w:r>
          </w:p>
        </w:tc>
      </w:tr>
    </w:tbl>
    <w:p w14:paraId="077EB5A0">
      <w:pPr>
        <w:widowControl/>
        <w:shd w:val="clear" w:color="auto" w:fill="FFFFFF"/>
        <w:ind w:firstLine="642"/>
        <w:rPr>
          <w:rFonts w:ascii="Calibri" w:hAnsi="Calibri" w:eastAsia="仿宋_GB2312" w:cs="Calibri"/>
          <w:color w:val="333333"/>
          <w:kern w:val="0"/>
          <w:sz w:val="30"/>
          <w:szCs w:val="30"/>
        </w:rPr>
      </w:pPr>
    </w:p>
    <w:p w14:paraId="2D9D356C">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 xml:space="preserve">（3 </w:t>
      </w:r>
      <w:r>
        <w:rPr>
          <w:rFonts w:hint="eastAsia" w:ascii="仿宋_GB2312" w:hAnsi="仿宋" w:eastAsia="仿宋_GB2312" w:cs="宋体"/>
          <w:b/>
          <w:bCs/>
          <w:color w:val="333333"/>
          <w:kern w:val="0"/>
          <w:sz w:val="30"/>
          <w:szCs w:val="30"/>
        </w:rPr>
        <w:t>部门开展绩效评价结果。</w:t>
      </w:r>
    </w:p>
    <w:p w14:paraId="7B5FC5CF">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本部门按要求对2020年部门整体支出绩效评价情况开展自评，《盐边县民族宗教事务局2020年部门整体支出绩效评价报告》见附件。</w:t>
      </w:r>
    </w:p>
    <w:p w14:paraId="080D61DA">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本部门自行组织对全市性宗教团体工作经费项目开展了绩效评价，《三洲项目管理资金项目2020</w:t>
      </w:r>
      <w:r>
        <w:rPr>
          <w:rFonts w:hint="eastAsia" w:ascii="仿宋_GB2312" w:hAnsi="宋体" w:eastAsia="仿宋_GB2312" w:cs="宋体"/>
          <w:color w:val="333333"/>
          <w:kern w:val="0"/>
          <w:sz w:val="30"/>
          <w:szCs w:val="30"/>
          <w:lang w:eastAsia="zh-CN"/>
        </w:rPr>
        <w:t>年度</w:t>
      </w:r>
      <w:r>
        <w:rPr>
          <w:rFonts w:hint="eastAsia" w:ascii="仿宋_GB2312" w:hAnsi="宋体" w:eastAsia="仿宋_GB2312" w:cs="宋体"/>
          <w:color w:val="333333"/>
          <w:kern w:val="0"/>
          <w:sz w:val="30"/>
          <w:szCs w:val="30"/>
        </w:rPr>
        <w:t>绩效评价报告》见附件。 </w:t>
      </w:r>
    </w:p>
    <w:p w14:paraId="70B22384">
      <w:pPr>
        <w:widowControl/>
        <w:shd w:val="clear" w:color="auto" w:fill="FFFFFF"/>
        <w:rPr>
          <w:rFonts w:ascii="仿宋_GB2312" w:hAnsi="黑体" w:eastAsia="仿宋_GB2312" w:cs="宋体"/>
          <w:color w:val="333333"/>
          <w:kern w:val="0"/>
          <w:sz w:val="30"/>
          <w:szCs w:val="30"/>
        </w:rPr>
      </w:pPr>
      <w:bookmarkStart w:id="24" w:name="_Toc15396612"/>
      <w:r>
        <w:rPr>
          <w:rFonts w:hint="eastAsia" w:ascii="仿宋_GB2312" w:hAnsi="黑体" w:eastAsia="仿宋_GB2312" w:cs="宋体"/>
          <w:color w:val="000000"/>
          <w:kern w:val="0"/>
          <w:sz w:val="30"/>
          <w:szCs w:val="30"/>
          <w:lang w:eastAsia="zh-CN"/>
        </w:rPr>
        <w:t>11.</w:t>
      </w:r>
      <w:r>
        <w:rPr>
          <w:rFonts w:hint="eastAsia" w:ascii="仿宋_GB2312" w:hAnsi="黑体" w:eastAsia="仿宋_GB2312" w:cs="宋体"/>
          <w:color w:val="575757"/>
          <w:kern w:val="0"/>
          <w:sz w:val="30"/>
          <w:szCs w:val="30"/>
        </w:rPr>
        <w:t>其他重要事项的情况说明</w:t>
      </w:r>
      <w:bookmarkEnd w:id="24"/>
    </w:p>
    <w:p w14:paraId="08230E9F">
      <w:pPr>
        <w:widowControl/>
        <w:shd w:val="clear" w:color="auto" w:fill="FFFFFF"/>
        <w:ind w:firstLine="642"/>
        <w:rPr>
          <w:rFonts w:ascii="仿宋_GB2312" w:hAnsi="仿宋" w:eastAsia="仿宋_GB2312" w:cs="宋体"/>
          <w:color w:val="333333"/>
          <w:kern w:val="0"/>
          <w:sz w:val="30"/>
          <w:szCs w:val="30"/>
        </w:rPr>
      </w:pPr>
      <w:bookmarkStart w:id="25" w:name="_Toc15377222"/>
      <w:r>
        <w:rPr>
          <w:rFonts w:hint="eastAsia" w:ascii="仿宋_GB2312" w:hAnsi="仿宋" w:eastAsia="仿宋_GB2312" w:cs="宋体"/>
          <w:b/>
          <w:bCs/>
          <w:color w:val="000000"/>
          <w:kern w:val="0"/>
          <w:sz w:val="30"/>
          <w:szCs w:val="30"/>
        </w:rPr>
        <w:t>（一）机关运行经费支出情况</w:t>
      </w:r>
      <w:bookmarkEnd w:id="25"/>
    </w:p>
    <w:p w14:paraId="02750135">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2020年，</w:t>
      </w:r>
      <w:r>
        <w:rPr>
          <w:rFonts w:hint="eastAsia" w:ascii="仿宋_GB2312" w:hAnsi="宋体" w:eastAsia="仿宋_GB2312" w:cs="宋体"/>
          <w:color w:val="333333"/>
          <w:kern w:val="0"/>
          <w:sz w:val="30"/>
          <w:szCs w:val="30"/>
        </w:rPr>
        <w:t>盐边县民族宗教事务局</w:t>
      </w:r>
      <w:r>
        <w:rPr>
          <w:rFonts w:hint="eastAsia" w:ascii="仿宋_GB2312" w:hAnsi="宋体" w:eastAsia="仿宋_GB2312" w:cs="宋体"/>
          <w:color w:val="000000"/>
          <w:kern w:val="0"/>
          <w:sz w:val="30"/>
          <w:szCs w:val="30"/>
        </w:rPr>
        <w:t>机关运行经费支出25.4万元，比2019年增加11.72万元，增长85.67%。主要原因是经费支出增加。</w:t>
      </w:r>
    </w:p>
    <w:p w14:paraId="18B1158B">
      <w:pPr>
        <w:widowControl/>
        <w:shd w:val="clear" w:color="auto" w:fill="FFFFFF"/>
        <w:ind w:firstLine="642"/>
        <w:jc w:val="left"/>
        <w:rPr>
          <w:rFonts w:ascii="仿宋_GB2312" w:hAnsi="仿宋" w:eastAsia="仿宋_GB2312" w:cs="宋体"/>
          <w:color w:val="333333"/>
          <w:kern w:val="0"/>
          <w:sz w:val="30"/>
          <w:szCs w:val="30"/>
        </w:rPr>
      </w:pPr>
      <w:bookmarkStart w:id="26" w:name="_Toc15377223"/>
      <w:r>
        <w:rPr>
          <w:rFonts w:hint="eastAsia" w:ascii="仿宋_GB2312" w:hAnsi="仿宋" w:eastAsia="仿宋_GB2312" w:cs="宋体"/>
          <w:b/>
          <w:bCs/>
          <w:color w:val="000000"/>
          <w:kern w:val="0"/>
          <w:sz w:val="30"/>
          <w:szCs w:val="30"/>
        </w:rPr>
        <w:t>（二）政府采购支出情况</w:t>
      </w:r>
      <w:bookmarkEnd w:id="26"/>
    </w:p>
    <w:p w14:paraId="2C4FAA70">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2020年，</w:t>
      </w:r>
      <w:r>
        <w:rPr>
          <w:rFonts w:hint="eastAsia" w:ascii="仿宋_GB2312" w:hAnsi="宋体" w:eastAsia="仿宋_GB2312" w:cs="宋体"/>
          <w:color w:val="333333"/>
          <w:kern w:val="0"/>
          <w:sz w:val="30"/>
          <w:szCs w:val="30"/>
        </w:rPr>
        <w:t>盐边县民族宗教事务局</w:t>
      </w:r>
      <w:r>
        <w:rPr>
          <w:rFonts w:hint="eastAsia" w:ascii="仿宋_GB2312" w:hAnsi="宋体" w:eastAsia="仿宋_GB2312" w:cs="宋体"/>
          <w:color w:val="000000"/>
          <w:kern w:val="0"/>
          <w:sz w:val="30"/>
          <w:szCs w:val="30"/>
        </w:rPr>
        <w:t>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14:paraId="5EDB774B">
      <w:pPr>
        <w:widowControl/>
        <w:shd w:val="clear" w:color="auto" w:fill="FFFFFF"/>
        <w:ind w:firstLine="642"/>
        <w:jc w:val="left"/>
        <w:rPr>
          <w:rFonts w:ascii="仿宋_GB2312" w:hAnsi="仿宋" w:eastAsia="仿宋_GB2312" w:cs="宋体"/>
          <w:color w:val="333333"/>
          <w:kern w:val="0"/>
          <w:sz w:val="30"/>
          <w:szCs w:val="30"/>
        </w:rPr>
      </w:pPr>
      <w:bookmarkStart w:id="27" w:name="_Toc15377224"/>
      <w:r>
        <w:rPr>
          <w:rFonts w:hint="eastAsia" w:ascii="仿宋_GB2312" w:hAnsi="仿宋" w:eastAsia="仿宋_GB2312" w:cs="宋体"/>
          <w:b/>
          <w:bCs/>
          <w:color w:val="000000"/>
          <w:kern w:val="0"/>
          <w:sz w:val="30"/>
          <w:szCs w:val="30"/>
        </w:rPr>
        <w:t>（三）国有资产占有使用情况</w:t>
      </w:r>
      <w:bookmarkEnd w:id="27"/>
    </w:p>
    <w:p w14:paraId="78508BC7">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截至2020年12月31日，</w:t>
      </w:r>
      <w:r>
        <w:rPr>
          <w:rFonts w:hint="eastAsia" w:ascii="仿宋_GB2312" w:hAnsi="宋体" w:eastAsia="仿宋_GB2312" w:cs="宋体"/>
          <w:color w:val="333333"/>
          <w:kern w:val="0"/>
          <w:sz w:val="30"/>
          <w:szCs w:val="30"/>
        </w:rPr>
        <w:t>盐边县民族宗教事务局</w:t>
      </w:r>
      <w:r>
        <w:rPr>
          <w:rFonts w:hint="eastAsia" w:ascii="仿宋_GB2312" w:hAnsi="宋体" w:eastAsia="仿宋_GB2312" w:cs="宋体"/>
          <w:color w:val="000000"/>
          <w:kern w:val="0"/>
          <w:sz w:val="30"/>
          <w:szCs w:val="30"/>
        </w:rPr>
        <w:t>共有车辆0辆，其中：部级领导干部用车0辆、一般公务用车0辆、一般执法执勤用车0辆、特种专业技术用车0辆、其他用车0辆，其他用车主要是用于……单价50万元以上通用设备0台（套），单价100万元以上专用设备0台（套）。</w:t>
      </w:r>
    </w:p>
    <w:p w14:paraId="7CDF037B">
      <w:pPr>
        <w:widowControl/>
        <w:shd w:val="clear" w:color="auto" w:fill="FFFFFF"/>
        <w:rPr>
          <w:rFonts w:ascii="仿宋_GB2312" w:hAnsi="仿宋" w:eastAsia="仿宋_GB2312" w:cs="宋体"/>
          <w:b/>
          <w:bCs/>
          <w:color w:val="000000"/>
          <w:kern w:val="0"/>
          <w:sz w:val="30"/>
          <w:szCs w:val="30"/>
        </w:rPr>
      </w:pPr>
    </w:p>
    <w:p w14:paraId="65C9FD81">
      <w:pPr>
        <w:widowControl/>
        <w:shd w:val="clear" w:color="auto" w:fill="FFFFFF"/>
        <w:rPr>
          <w:rFonts w:ascii="仿宋_GB2312" w:hAnsi="黑体" w:eastAsia="仿宋_GB2312" w:cs="宋体"/>
          <w:color w:val="333333"/>
          <w:kern w:val="0"/>
          <w:sz w:val="30"/>
          <w:szCs w:val="30"/>
        </w:rPr>
      </w:pPr>
    </w:p>
    <w:p w14:paraId="756B75CB">
      <w:pPr>
        <w:widowControl/>
        <w:shd w:val="clear" w:color="auto" w:fill="FFFFFF"/>
        <w:jc w:val="center"/>
        <w:rPr>
          <w:rFonts w:ascii="仿宋_GB2312" w:hAnsi="黑体" w:eastAsia="仿宋_GB2312" w:cs="宋体"/>
          <w:b/>
          <w:color w:val="575757"/>
          <w:kern w:val="0"/>
          <w:sz w:val="30"/>
          <w:szCs w:val="30"/>
        </w:rPr>
      </w:pPr>
      <w:r>
        <w:rPr>
          <w:rFonts w:hint="eastAsia" w:ascii="仿宋_GB2312" w:hAnsi="黑体" w:eastAsia="仿宋_GB2312" w:cs="宋体"/>
          <w:b/>
          <w:color w:val="333333"/>
          <w:kern w:val="0"/>
          <w:sz w:val="30"/>
          <w:szCs w:val="30"/>
        </w:rPr>
        <w:t>第3部分</w:t>
      </w:r>
      <w:bookmarkStart w:id="28" w:name="_Toc15396613"/>
      <w:r>
        <w:rPr>
          <w:rFonts w:hint="eastAsia" w:ascii="仿宋_GB2312" w:hAnsi="黑体" w:eastAsia="仿宋_GB2312" w:cs="宋体"/>
          <w:b/>
          <w:bCs/>
          <w:color w:val="000000"/>
          <w:kern w:val="0"/>
          <w:sz w:val="30"/>
          <w:szCs w:val="30"/>
        </w:rPr>
        <w:t>名</w:t>
      </w:r>
      <w:r>
        <w:rPr>
          <w:rFonts w:hint="eastAsia" w:ascii="仿宋_GB2312" w:hAnsi="黑体" w:eastAsia="仿宋_GB2312" w:cs="宋体"/>
          <w:b/>
          <w:color w:val="575757"/>
          <w:kern w:val="0"/>
          <w:sz w:val="30"/>
          <w:szCs w:val="30"/>
        </w:rPr>
        <w:t>词解释</w:t>
      </w:r>
      <w:bookmarkEnd w:id="28"/>
    </w:p>
    <w:p w14:paraId="7D3645E0">
      <w:pPr>
        <w:widowControl/>
        <w:shd w:val="clear" w:color="auto" w:fill="FFFFFF"/>
        <w:jc w:val="center"/>
        <w:rPr>
          <w:rFonts w:ascii="仿宋_GB2312" w:hAnsi="黑体" w:eastAsia="仿宋_GB2312" w:cs="宋体"/>
          <w:b/>
          <w:color w:val="333333"/>
          <w:kern w:val="0"/>
          <w:sz w:val="30"/>
          <w:szCs w:val="30"/>
        </w:rPr>
      </w:pPr>
    </w:p>
    <w:p w14:paraId="1D8E2A0E">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1.财政拨款收入：指单位从同级财政部门取得的财政预算资金。</w:t>
      </w:r>
    </w:p>
    <w:p w14:paraId="77A18740">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2.事业收入：指事业单位开展专业业务活动及辅助活动取得的收入。如…（二级预算单位事业收入情况）等。</w:t>
      </w:r>
    </w:p>
    <w:p w14:paraId="613E65A7">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3.经营收入：指事业单位在专业业务活动及其辅助活动之外开展非独立核算经营活动取得的收入。如…（二级预算单位经营收入情况）等。</w:t>
      </w:r>
    </w:p>
    <w:p w14:paraId="3D5E25EC">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4.其他收入：指单位取得的除上述收入以外的各项收入。主要是…（收入类型）等。</w:t>
      </w:r>
    </w:p>
    <w:p w14:paraId="026448F1">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B52E9C8">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6.年初结转和结余：指以前年度尚未完成、结转到本年按有关规定继续使用的资金。</w:t>
      </w:r>
    </w:p>
    <w:p w14:paraId="4236D5A3">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7.结余分配：指事业单位按照事业单位会计制度的规定从非财政补助结余中分配的事业基金和职工福利基金等。</w:t>
      </w:r>
    </w:p>
    <w:p w14:paraId="6288B226">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lang w:eastAsia="zh-CN"/>
        </w:rPr>
        <w:t>8.</w:t>
      </w:r>
      <w:r>
        <w:rPr>
          <w:rFonts w:hint="eastAsia" w:ascii="仿宋_GB2312" w:hAnsi="宋体" w:eastAsia="仿宋_GB2312" w:cs="宋体"/>
          <w:color w:val="000000"/>
          <w:kern w:val="0"/>
          <w:sz w:val="30"/>
          <w:szCs w:val="30"/>
        </w:rPr>
        <w:t>年末结转和结余：指单位按有关规定结转到下年或以后年度继续使用的资金。</w:t>
      </w:r>
    </w:p>
    <w:p w14:paraId="2EAFECAF">
      <w:pPr>
        <w:widowControl/>
        <w:shd w:val="clear" w:color="auto" w:fill="FFFFFF"/>
        <w:spacing w:before="231" w:after="231"/>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9.基本支出：指为保障机构正常运转、完成日常工作任务而发生的人员支出和公用支出。</w:t>
      </w:r>
    </w:p>
    <w:p w14:paraId="13401D5F">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10.项目支出：指在基本支出之外为完成特定行政任务和事业发展目标所发生的支出。</w:t>
      </w:r>
    </w:p>
    <w:p w14:paraId="2E602D35">
      <w:pPr>
        <w:widowControl/>
        <w:shd w:val="clear" w:color="auto" w:fill="FFFFFF"/>
        <w:ind w:firstLine="639"/>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11.经营支出：指事业单位在专业业务活动及其辅助活动之外开展非独立核算经营活动发生的支出。</w:t>
      </w:r>
    </w:p>
    <w:p w14:paraId="6AAFF7BD">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30D2C3">
      <w:pPr>
        <w:widowControl/>
        <w:shd w:val="clear" w:color="auto" w:fill="FFFFFF"/>
        <w:ind w:firstLine="639"/>
        <w:jc w:val="left"/>
        <w:rPr>
          <w:rFonts w:ascii="仿宋_GB2312" w:hAnsi="宋体" w:eastAsia="仿宋_GB2312" w:cs="宋体"/>
          <w:color w:val="333333"/>
          <w:kern w:val="0"/>
          <w:sz w:val="30"/>
          <w:szCs w:val="30"/>
        </w:rPr>
      </w:pPr>
      <w:r>
        <w:rPr>
          <w:rFonts w:hint="eastAsia" w:ascii="仿宋_GB2312" w:hAnsi="宋体" w:eastAsia="仿宋_GB2312" w:cs="宋体"/>
          <w:color w:val="000000"/>
          <w:kern w:val="0"/>
          <w:sz w:val="30"/>
          <w:szCs w:val="30"/>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6F8B45">
      <w:pPr>
        <w:widowControl/>
        <w:shd w:val="clear" w:color="auto" w:fill="FFFFFF"/>
        <w:rPr>
          <w:rFonts w:ascii="仿宋_GB2312" w:hAnsi="仿宋" w:eastAsia="仿宋_GB2312" w:cs="宋体"/>
          <w:b/>
          <w:bCs/>
          <w:color w:val="000000"/>
          <w:kern w:val="0"/>
          <w:sz w:val="30"/>
          <w:szCs w:val="30"/>
        </w:rPr>
      </w:pPr>
      <w:bookmarkStart w:id="29" w:name="_Toc15377226"/>
      <w:bookmarkEnd w:id="29"/>
    </w:p>
    <w:p w14:paraId="0C387406">
      <w:pPr>
        <w:widowControl/>
        <w:shd w:val="clear" w:color="auto" w:fill="FFFFFF"/>
        <w:rPr>
          <w:rFonts w:ascii="仿宋_GB2312" w:hAnsi="仿宋" w:eastAsia="仿宋_GB2312" w:cs="宋体"/>
          <w:b/>
          <w:bCs/>
          <w:color w:val="000000"/>
          <w:kern w:val="0"/>
          <w:sz w:val="30"/>
          <w:szCs w:val="30"/>
        </w:rPr>
      </w:pPr>
    </w:p>
    <w:p w14:paraId="7A056B7D">
      <w:pPr>
        <w:widowControl/>
        <w:shd w:val="clear" w:color="auto" w:fill="FFFFFF"/>
        <w:rPr>
          <w:rFonts w:ascii="仿宋_GB2312" w:hAnsi="仿宋" w:eastAsia="仿宋_GB2312" w:cs="宋体"/>
          <w:b/>
          <w:bCs/>
          <w:color w:val="000000"/>
          <w:kern w:val="0"/>
          <w:sz w:val="30"/>
          <w:szCs w:val="30"/>
        </w:rPr>
      </w:pPr>
    </w:p>
    <w:p w14:paraId="6D6B8CE7">
      <w:pPr>
        <w:widowControl/>
        <w:shd w:val="clear" w:color="auto" w:fill="FFFFFF"/>
        <w:rPr>
          <w:rFonts w:ascii="仿宋_GB2312" w:hAnsi="仿宋" w:eastAsia="仿宋_GB2312" w:cs="宋体"/>
          <w:color w:val="333333"/>
          <w:kern w:val="0"/>
          <w:sz w:val="30"/>
          <w:szCs w:val="30"/>
        </w:rPr>
      </w:pPr>
    </w:p>
    <w:p w14:paraId="0F9D0B31">
      <w:pPr>
        <w:widowControl/>
        <w:shd w:val="clear" w:color="auto" w:fill="FFFFFF"/>
        <w:ind w:firstLine="642"/>
        <w:jc w:val="center"/>
        <w:rPr>
          <w:rFonts w:ascii="仿宋_GB2312" w:hAnsi="黑体" w:eastAsia="仿宋_GB2312" w:cs="宋体"/>
          <w:color w:val="333333"/>
          <w:kern w:val="0"/>
          <w:sz w:val="30"/>
          <w:szCs w:val="30"/>
        </w:rPr>
      </w:pPr>
      <w:bookmarkStart w:id="30" w:name="_Toc15396614"/>
      <w:r>
        <w:rPr>
          <w:rFonts w:hint="eastAsia" w:ascii="仿宋_GB2312" w:hAnsi="黑体" w:eastAsia="仿宋_GB2312" w:cs="宋体"/>
          <w:color w:val="000000"/>
          <w:kern w:val="0"/>
          <w:sz w:val="30"/>
          <w:szCs w:val="30"/>
        </w:rPr>
        <w:t>第</w:t>
      </w:r>
      <w:r>
        <w:rPr>
          <w:rFonts w:hint="eastAsia" w:ascii="仿宋_GB2312" w:hAnsi="黑体" w:eastAsia="仿宋_GB2312" w:cs="宋体"/>
          <w:color w:val="575757"/>
          <w:kern w:val="0"/>
          <w:sz w:val="30"/>
          <w:szCs w:val="30"/>
        </w:rPr>
        <w:t>四部分 附件</w:t>
      </w:r>
      <w:bookmarkEnd w:id="30"/>
    </w:p>
    <w:p w14:paraId="3EA68603">
      <w:pPr>
        <w:widowControl/>
        <w:shd w:val="clear" w:color="auto" w:fill="FFFFFF"/>
        <w:jc w:val="left"/>
        <w:rPr>
          <w:rFonts w:ascii="仿宋_GB2312" w:hAnsi="仿宋" w:eastAsia="仿宋_GB2312" w:cs="宋体"/>
          <w:color w:val="333333"/>
          <w:kern w:val="0"/>
          <w:sz w:val="30"/>
          <w:szCs w:val="30"/>
        </w:rPr>
      </w:pPr>
      <w:bookmarkStart w:id="31" w:name="_Toc15396615"/>
      <w:r>
        <w:rPr>
          <w:rFonts w:hint="eastAsia" w:ascii="仿宋_GB2312" w:hAnsi="仿宋" w:eastAsia="仿宋_GB2312" w:cs="宋体"/>
          <w:color w:val="575757"/>
          <w:kern w:val="0"/>
          <w:sz w:val="30"/>
          <w:szCs w:val="30"/>
        </w:rPr>
        <w:t>附件1</w:t>
      </w:r>
      <w:bookmarkEnd w:id="31"/>
    </w:p>
    <w:p w14:paraId="079B2310">
      <w:pPr>
        <w:widowControl/>
        <w:shd w:val="clear" w:color="auto" w:fill="FFFFFF"/>
        <w:jc w:val="center"/>
        <w:rPr>
          <w:rFonts w:ascii="仿宋_GB2312" w:hAnsi="黑体" w:eastAsia="仿宋_GB2312" w:cs="宋体"/>
          <w:color w:val="333333"/>
          <w:kern w:val="0"/>
          <w:sz w:val="30"/>
          <w:szCs w:val="30"/>
        </w:rPr>
      </w:pPr>
      <w:bookmarkStart w:id="32" w:name="_Toc15396616"/>
      <w:r>
        <w:rPr>
          <w:rFonts w:hint="eastAsia" w:ascii="仿宋_GB2312" w:hAnsi="黑体" w:eastAsia="仿宋_GB2312" w:cs="宋体"/>
          <w:color w:val="575757"/>
          <w:kern w:val="0"/>
          <w:sz w:val="30"/>
          <w:szCs w:val="30"/>
        </w:rPr>
        <w:t>盐边县民族宗教事务局2020年部门整体支出绩效评价报告</w:t>
      </w:r>
      <w:bookmarkEnd w:id="32"/>
    </w:p>
    <w:p w14:paraId="07F33A4A">
      <w:pPr>
        <w:widowControl/>
        <w:shd w:val="clear" w:color="auto" w:fill="FFFFFF"/>
        <w:spacing w:before="231" w:after="231"/>
        <w:ind w:firstLine="639"/>
        <w:rPr>
          <w:rFonts w:ascii="仿宋_GB2312" w:hAnsi="黑体" w:eastAsia="仿宋_GB2312" w:cs="宋体"/>
          <w:color w:val="333333"/>
          <w:kern w:val="0"/>
          <w:sz w:val="30"/>
          <w:szCs w:val="30"/>
        </w:rPr>
      </w:pPr>
      <w:r>
        <w:rPr>
          <w:rFonts w:hint="eastAsia" w:ascii="宋体" w:hAnsi="宋体" w:eastAsia="仿宋_GB2312" w:cs="宋体"/>
          <w:color w:val="333333"/>
          <w:kern w:val="0"/>
          <w:sz w:val="30"/>
          <w:szCs w:val="30"/>
        </w:rPr>
        <w:t> </w:t>
      </w:r>
      <w:r>
        <w:rPr>
          <w:rFonts w:hint="eastAsia" w:ascii="仿宋_GB2312" w:hAnsi="黑体" w:eastAsia="仿宋_GB2312" w:cs="宋体"/>
          <w:color w:val="333333"/>
          <w:kern w:val="0"/>
          <w:sz w:val="30"/>
          <w:szCs w:val="30"/>
        </w:rPr>
        <w:t>一、部门（单位）概况</w:t>
      </w:r>
    </w:p>
    <w:p w14:paraId="502092EC">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（一）机构组成。</w:t>
      </w:r>
    </w:p>
    <w:p w14:paraId="0D736714">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盐边县民族宗教事务局设5个内设机构：办公室、综合股、民族事务股（清理自发迁居农民问题及“三无”人员办公室）、经济发展股（两项资金管理办公室）、宗教股。</w:t>
      </w:r>
    </w:p>
    <w:p w14:paraId="3D1933F5">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（二）机构职能。</w:t>
      </w:r>
    </w:p>
    <w:p w14:paraId="7A6F14A6">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w:t>
      </w:r>
      <w:r>
        <w:rPr>
          <w:rFonts w:hint="eastAsia" w:ascii="仿宋_GB2312" w:hAnsi="宋体" w:eastAsia="仿宋_GB2312" w:cs="宋体"/>
          <w:color w:val="333333"/>
          <w:kern w:val="0"/>
          <w:sz w:val="30"/>
          <w:szCs w:val="30"/>
        </w:rPr>
        <w:t>贯彻执行党和政府关于民族、宗教工作的方针政策和法律法规。</w:t>
      </w:r>
    </w:p>
    <w:p w14:paraId="50E08E5A">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2.</w:t>
      </w:r>
      <w:r>
        <w:rPr>
          <w:rFonts w:hint="eastAsia" w:ascii="仿宋_GB2312" w:hAnsi="宋体" w:eastAsia="仿宋_GB2312" w:cs="宋体"/>
          <w:color w:val="333333"/>
          <w:kern w:val="0"/>
          <w:sz w:val="30"/>
          <w:szCs w:val="30"/>
        </w:rPr>
        <w:t>组织开展民族宗教理论、民族宗教政策和民族宗教工作等重大课题的调查研究，提出有关民族宗教工作的政策建议。</w:t>
      </w:r>
    </w:p>
    <w:p w14:paraId="482EE105">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3.</w:t>
      </w:r>
      <w:r>
        <w:rPr>
          <w:rFonts w:hint="eastAsia" w:ascii="仿宋_GB2312" w:hAnsi="宋体" w:eastAsia="仿宋_GB2312" w:cs="宋体"/>
          <w:color w:val="333333"/>
          <w:kern w:val="0"/>
          <w:sz w:val="30"/>
          <w:szCs w:val="30"/>
        </w:rPr>
        <w:t>推进宗教界开展爱国主义、社会主义、拥护祖国统一和民族团结的自我教育，巩固和发展各民族宗教界的爱国统一战线，促进宗教关系和谐；提出协调民族关系的工作建议，会同协调处理民族关系中的重大事项，促进各民族间的平等团结、互助合作，维护国家统一和社会稳定。</w:t>
      </w:r>
    </w:p>
    <w:p w14:paraId="5E37B244">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4.</w:t>
      </w:r>
      <w:r>
        <w:rPr>
          <w:rFonts w:hint="eastAsia" w:ascii="仿宋_GB2312" w:hAnsi="宋体" w:eastAsia="仿宋_GB2312" w:cs="宋体"/>
          <w:color w:val="333333"/>
          <w:kern w:val="0"/>
          <w:sz w:val="30"/>
          <w:szCs w:val="30"/>
        </w:rPr>
        <w:t>负责民族宗教政策、法规的宣传教育工作并监督实施。</w:t>
      </w:r>
    </w:p>
    <w:p w14:paraId="673481BB">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5.</w:t>
      </w:r>
      <w:r>
        <w:rPr>
          <w:rFonts w:hint="eastAsia" w:ascii="仿宋_GB2312" w:hAnsi="宋体" w:eastAsia="仿宋_GB2312" w:cs="宋体"/>
          <w:color w:val="333333"/>
          <w:kern w:val="0"/>
          <w:sz w:val="30"/>
          <w:szCs w:val="30"/>
        </w:rPr>
        <w:t>拟订民族地区经济社会发展规划，研究提出民族地区经济发展的有关问题并提出特殊政策建议；参与协调民族地区科技发展、对口支援、经济技术合作、民族贸易和移民、扶贫开发等相关工作；监督检查 “三州”开发资金和支援不发达地区发展资金（简称“两项资金”）管理工作，研究提出少数民族和民族地区有关专项资金的分配与使用建议。</w:t>
      </w:r>
    </w:p>
    <w:p w14:paraId="5F95948D">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6.</w:t>
      </w:r>
      <w:r>
        <w:rPr>
          <w:rFonts w:hint="eastAsia" w:ascii="仿宋_GB2312" w:hAnsi="宋体" w:eastAsia="仿宋_GB2312" w:cs="宋体"/>
          <w:color w:val="333333"/>
          <w:kern w:val="0"/>
          <w:sz w:val="30"/>
          <w:szCs w:val="30"/>
        </w:rPr>
        <w:t>研究少数民族和民族地区教育、文化、科技、卫生、体育、计划生育、新闻出版等方面的特殊问题，提出相关建议，并承办相应事务。</w:t>
      </w:r>
    </w:p>
    <w:p w14:paraId="6593F5FC">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7.</w:t>
      </w:r>
      <w:r>
        <w:rPr>
          <w:rFonts w:hint="eastAsia" w:ascii="仿宋_GB2312" w:hAnsi="宋体" w:eastAsia="仿宋_GB2312" w:cs="宋体"/>
          <w:color w:val="333333"/>
          <w:kern w:val="0"/>
          <w:sz w:val="30"/>
          <w:szCs w:val="30"/>
        </w:rPr>
        <w:t>负责管理少数民族语言文字工作，指导少数民族古籍的搜集、整理、出版工作。</w:t>
      </w:r>
    </w:p>
    <w:p w14:paraId="3DE9E498">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8.</w:t>
      </w:r>
      <w:r>
        <w:rPr>
          <w:rFonts w:hint="eastAsia" w:ascii="仿宋_GB2312" w:hAnsi="宋体" w:eastAsia="仿宋_GB2312" w:cs="宋体"/>
          <w:color w:val="333333"/>
          <w:kern w:val="0"/>
          <w:sz w:val="30"/>
          <w:szCs w:val="30"/>
        </w:rPr>
        <w:t>组织对全县少数民族权益状况的调查研究，监督和办理少数民族权益保障事宜。</w:t>
      </w:r>
    </w:p>
    <w:p w14:paraId="6C1484A8">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9.</w:t>
      </w:r>
      <w:r>
        <w:rPr>
          <w:rFonts w:hint="eastAsia" w:ascii="仿宋_GB2312" w:hAnsi="宋体" w:eastAsia="仿宋_GB2312" w:cs="宋体"/>
          <w:color w:val="333333"/>
          <w:kern w:val="0"/>
          <w:sz w:val="30"/>
          <w:szCs w:val="30"/>
        </w:rPr>
        <w:t>依法保护公民宗教信仰自由和正常的宗教活动，维护宗教界的合法权益；支持宗教团体、宗教活动场所加强自身建设和自主管理，办理宗教团体需由政府协调的有关事务。</w:t>
      </w:r>
    </w:p>
    <w:p w14:paraId="5E2B03E2">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10.</w:t>
      </w:r>
      <w:r>
        <w:rPr>
          <w:rFonts w:hint="eastAsia" w:ascii="仿宋_GB2312" w:hAnsi="宋体" w:eastAsia="仿宋_GB2312" w:cs="宋体"/>
          <w:color w:val="333333"/>
          <w:kern w:val="0"/>
          <w:sz w:val="30"/>
          <w:szCs w:val="30"/>
        </w:rPr>
        <w:t>依法履行宗教事务管理职责，指导、监督宗教团体在宪法、法律和政策规定的范围内开展工作，防止和制止不法分子利用宗教进行非法、违法活动，维护社会</w:t>
      </w:r>
      <w:r>
        <w:rPr>
          <w:rFonts w:hint="eastAsia" w:ascii="仿宋_GB2312" w:hAnsi="宋体" w:eastAsia="仿宋_GB2312" w:cs="宋体"/>
          <w:color w:val="333333"/>
          <w:kern w:val="0"/>
          <w:sz w:val="30"/>
          <w:szCs w:val="30"/>
          <w:lang w:eastAsia="zh-CN"/>
        </w:rPr>
        <w:t>稳定</w:t>
      </w:r>
      <w:r>
        <w:rPr>
          <w:rFonts w:hint="eastAsia" w:ascii="仿宋_GB2312" w:hAnsi="宋体" w:eastAsia="仿宋_GB2312" w:cs="宋体"/>
          <w:color w:val="333333"/>
          <w:kern w:val="0"/>
          <w:sz w:val="30"/>
          <w:szCs w:val="30"/>
        </w:rPr>
        <w:t>。</w:t>
      </w:r>
    </w:p>
    <w:p w14:paraId="48A0DEB6">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11.</w:t>
      </w:r>
      <w:r>
        <w:rPr>
          <w:rFonts w:hint="eastAsia" w:ascii="仿宋_GB2312" w:hAnsi="宋体" w:eastAsia="仿宋_GB2312" w:cs="宋体"/>
          <w:color w:val="333333"/>
          <w:kern w:val="0"/>
          <w:sz w:val="30"/>
          <w:szCs w:val="30"/>
        </w:rPr>
        <w:t>处理自发迁居农民问题工作。</w:t>
      </w:r>
    </w:p>
    <w:p w14:paraId="6A5A0FEF">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12.</w:t>
      </w:r>
      <w:r>
        <w:rPr>
          <w:rFonts w:hint="eastAsia" w:ascii="仿宋_GB2312" w:hAnsi="宋体" w:eastAsia="仿宋_GB2312" w:cs="宋体"/>
          <w:color w:val="333333"/>
          <w:kern w:val="0"/>
          <w:sz w:val="30"/>
          <w:szCs w:val="30"/>
        </w:rPr>
        <w:t>参与</w:t>
      </w:r>
      <w:r>
        <w:rPr>
          <w:rFonts w:hint="eastAsia" w:ascii="仿宋_GB2312" w:hAnsi="宋体" w:eastAsia="仿宋_GB2312" w:cs="宋体"/>
          <w:color w:val="333333"/>
          <w:kern w:val="0"/>
          <w:sz w:val="30"/>
          <w:szCs w:val="30"/>
          <w:lang w:eastAsia="zh-CN"/>
        </w:rPr>
        <w:t>拟定</w:t>
      </w:r>
      <w:r>
        <w:rPr>
          <w:rFonts w:hint="eastAsia" w:ascii="仿宋_GB2312" w:hAnsi="宋体" w:eastAsia="仿宋_GB2312" w:cs="宋体"/>
          <w:color w:val="333333"/>
          <w:kern w:val="0"/>
          <w:sz w:val="30"/>
          <w:szCs w:val="30"/>
        </w:rPr>
        <w:t>全县少数民族干部和人才队伍建设规划，联系少数民族干部，协助有关部门做好少数民族干部和人才的培养教育及推荐使用工作；组织和承办全县民族团结进步表扬活动。</w:t>
      </w:r>
    </w:p>
    <w:p w14:paraId="6B581701">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13.</w:t>
      </w:r>
      <w:r>
        <w:rPr>
          <w:rFonts w:hint="eastAsia" w:ascii="仿宋_GB2312" w:hAnsi="宋体" w:eastAsia="仿宋_GB2312" w:cs="宋体"/>
          <w:color w:val="333333"/>
          <w:kern w:val="0"/>
          <w:sz w:val="30"/>
          <w:szCs w:val="30"/>
        </w:rPr>
        <w:t>负责民族工作领域和宗教界对外以及对港澳台的交流与合作，参与涉及民族、宗教事务的对外宣传工作。</w:t>
      </w:r>
    </w:p>
    <w:p w14:paraId="12624594">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14.</w:t>
      </w:r>
      <w:r>
        <w:rPr>
          <w:rFonts w:hint="eastAsia" w:ascii="仿宋_GB2312" w:hAnsi="宋体" w:eastAsia="仿宋_GB2312" w:cs="宋体"/>
          <w:color w:val="333333"/>
          <w:kern w:val="0"/>
          <w:sz w:val="30"/>
          <w:szCs w:val="30"/>
        </w:rPr>
        <w:t>对本行业领域的安全生产工作实施监督管理，履行安全生产行业监督管理职责。</w:t>
      </w:r>
    </w:p>
    <w:p w14:paraId="2DF72016">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15.</w:t>
      </w:r>
      <w:r>
        <w:rPr>
          <w:rFonts w:hint="eastAsia" w:ascii="仿宋_GB2312" w:hAnsi="宋体" w:eastAsia="仿宋_GB2312" w:cs="宋体"/>
          <w:color w:val="333333"/>
          <w:kern w:val="0"/>
          <w:sz w:val="30"/>
          <w:szCs w:val="30"/>
        </w:rPr>
        <w:t>承担县政府公布的有关行政审批事项。</w:t>
      </w:r>
    </w:p>
    <w:p w14:paraId="686D02DF">
      <w:pPr>
        <w:widowControl/>
        <w:shd w:val="clear" w:color="auto" w:fill="FFFFFF"/>
        <w:ind w:firstLine="664"/>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lang w:eastAsia="zh-CN"/>
        </w:rPr>
        <w:t>16.</w:t>
      </w:r>
      <w:r>
        <w:rPr>
          <w:rFonts w:hint="eastAsia" w:ascii="仿宋_GB2312" w:hAnsi="宋体" w:eastAsia="仿宋_GB2312" w:cs="宋体"/>
          <w:color w:val="333333"/>
          <w:kern w:val="0"/>
          <w:sz w:val="30"/>
          <w:szCs w:val="30"/>
        </w:rPr>
        <w:t>承办县委、县政府交办的其他事项。</w:t>
      </w:r>
    </w:p>
    <w:p w14:paraId="529D0DCF">
      <w:pPr>
        <w:widowControl/>
        <w:shd w:val="clear" w:color="auto" w:fill="FFFFFF"/>
        <w:spacing w:before="231" w:after="231"/>
        <w:ind w:firstLine="639"/>
        <w:rPr>
          <w:rFonts w:ascii="仿宋_GB2312" w:hAnsi="仿宋" w:eastAsia="仿宋_GB2312" w:cs="宋体"/>
          <w:color w:val="333333"/>
          <w:kern w:val="0"/>
          <w:sz w:val="30"/>
          <w:szCs w:val="30"/>
        </w:rPr>
      </w:pPr>
      <w:r>
        <w:rPr>
          <w:rFonts w:hint="eastAsia" w:ascii="宋体" w:hAnsi="宋体" w:eastAsia="仿宋_GB2312" w:cs="宋体"/>
          <w:color w:val="333333"/>
          <w:kern w:val="0"/>
          <w:sz w:val="30"/>
          <w:szCs w:val="30"/>
        </w:rPr>
        <w:t> </w:t>
      </w:r>
      <w:r>
        <w:rPr>
          <w:rFonts w:hint="eastAsia" w:ascii="仿宋_GB2312" w:hAnsi="仿宋" w:eastAsia="仿宋_GB2312" w:cs="宋体"/>
          <w:color w:val="333333"/>
          <w:kern w:val="0"/>
          <w:sz w:val="30"/>
          <w:szCs w:val="30"/>
        </w:rPr>
        <w:t>（三）人员概况。</w:t>
      </w:r>
    </w:p>
    <w:p w14:paraId="1083EB61">
      <w:pPr>
        <w:widowControl/>
        <w:shd w:val="clear" w:color="auto" w:fill="FFFFFF"/>
        <w:ind w:firstLine="639"/>
        <w:jc w:val="left"/>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盐边县民族宗教事务局下属其他事业单位（盐边县民族宗教服务中心）1个。机关行政编制8名，行政工勤编制1名，事业编制3名。</w:t>
      </w:r>
    </w:p>
    <w:p w14:paraId="413E8C5B">
      <w:pPr>
        <w:widowControl/>
        <w:shd w:val="clear" w:color="auto" w:fill="FFFFFF"/>
        <w:rPr>
          <w:rFonts w:ascii="仿宋_GB2312" w:hAnsi="黑体" w:eastAsia="仿宋_GB2312" w:cs="宋体"/>
          <w:color w:val="333333"/>
          <w:kern w:val="0"/>
          <w:sz w:val="30"/>
          <w:szCs w:val="30"/>
        </w:rPr>
      </w:pPr>
      <w:r>
        <w:rPr>
          <w:rFonts w:hint="eastAsia" w:ascii="仿宋_GB2312" w:hAnsi="黑体" w:eastAsia="仿宋_GB2312" w:cs="宋体"/>
          <w:color w:val="333333"/>
          <w:kern w:val="0"/>
          <w:sz w:val="30"/>
          <w:szCs w:val="30"/>
        </w:rPr>
        <w:t>二、部门财政资金收支情况</w:t>
      </w:r>
    </w:p>
    <w:p w14:paraId="4F8FA7EC">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（一）部门财政资金收入情况。</w:t>
      </w:r>
    </w:p>
    <w:p w14:paraId="16CA37FE">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2020年度</w:t>
      </w:r>
      <w:r>
        <w:rPr>
          <w:rFonts w:hint="eastAsia" w:ascii="仿宋_GB2312" w:hAnsi="仿宋" w:eastAsia="仿宋_GB2312" w:cs="宋体"/>
          <w:color w:val="333333"/>
          <w:kern w:val="0"/>
          <w:sz w:val="30"/>
          <w:szCs w:val="30"/>
        </w:rPr>
        <w:t>财政资金收入</w:t>
      </w:r>
      <w:r>
        <w:rPr>
          <w:rFonts w:hint="eastAsia" w:ascii="仿宋_GB2312" w:hAnsi="仿宋" w:eastAsia="仿宋_GB2312" w:cs="宋体"/>
          <w:color w:val="000000"/>
          <w:kern w:val="0"/>
          <w:sz w:val="30"/>
          <w:szCs w:val="30"/>
        </w:rPr>
        <w:t>718.59万元。与2019年相比，增长4.51%。主要变动原因是经费支出增加</w:t>
      </w:r>
    </w:p>
    <w:p w14:paraId="18A80456">
      <w:pPr>
        <w:widowControl/>
        <w:shd w:val="clear" w:color="auto" w:fill="FFFFFF"/>
        <w:spacing w:before="231" w:after="231"/>
        <w:ind w:firstLine="639"/>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（二）部门财政资金支出情况。</w:t>
      </w:r>
    </w:p>
    <w:p w14:paraId="799E6475">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2020年度</w:t>
      </w:r>
      <w:r>
        <w:rPr>
          <w:rFonts w:hint="eastAsia" w:ascii="仿宋_GB2312" w:hAnsi="仿宋" w:eastAsia="仿宋_GB2312" w:cs="宋体"/>
          <w:color w:val="333333"/>
          <w:kern w:val="0"/>
          <w:sz w:val="30"/>
          <w:szCs w:val="30"/>
        </w:rPr>
        <w:t>财政资金支出</w:t>
      </w:r>
      <w:r>
        <w:rPr>
          <w:rFonts w:hint="eastAsia" w:ascii="仿宋_GB2312" w:hAnsi="仿宋" w:eastAsia="仿宋_GB2312" w:cs="宋体"/>
          <w:color w:val="000000"/>
          <w:kern w:val="0"/>
          <w:sz w:val="30"/>
          <w:szCs w:val="30"/>
        </w:rPr>
        <w:t>563.7万元。与2019年相比，减少18.99%。主要变动原因是经费支出增加</w:t>
      </w:r>
      <w:r>
        <w:rPr>
          <w:rFonts w:hint="eastAsia" w:ascii="仿宋_GB2312" w:hAnsi="仿宋" w:eastAsia="仿宋_GB2312" w:cs="宋体"/>
          <w:color w:val="000000"/>
          <w:kern w:val="0"/>
          <w:sz w:val="30"/>
          <w:szCs w:val="30"/>
          <w:lang w:eastAsia="zh-CN"/>
        </w:rPr>
        <w:t>，</w:t>
      </w:r>
      <w:r>
        <w:rPr>
          <w:rFonts w:hint="eastAsia" w:ascii="仿宋_GB2312" w:hAnsi="仿宋" w:eastAsia="仿宋_GB2312" w:cs="宋体"/>
          <w:color w:val="000000"/>
          <w:kern w:val="0"/>
          <w:sz w:val="30"/>
          <w:szCs w:val="30"/>
        </w:rPr>
        <w:t xml:space="preserve"> 主要用于以下方面</w:t>
      </w:r>
      <w:r>
        <w:rPr>
          <w:rFonts w:hint="eastAsia" w:ascii="仿宋_GB2312" w:hAnsi="仿宋" w:eastAsia="仿宋_GB2312" w:cs="宋体"/>
          <w:color w:val="000000"/>
          <w:kern w:val="0"/>
          <w:sz w:val="30"/>
          <w:szCs w:val="30"/>
          <w:lang w:eastAsia="zh-CN"/>
        </w:rPr>
        <w:t>：</w:t>
      </w:r>
      <w:r>
        <w:rPr>
          <w:rFonts w:hint="eastAsia" w:ascii="宋体" w:hAnsi="宋体" w:eastAsia="仿宋_GB2312" w:cs="宋体"/>
          <w:b/>
          <w:bCs/>
          <w:color w:val="000000"/>
          <w:kern w:val="0"/>
          <w:sz w:val="30"/>
          <w:szCs w:val="30"/>
        </w:rPr>
        <w:t> </w:t>
      </w:r>
      <w:r>
        <w:rPr>
          <w:rFonts w:hint="eastAsia" w:ascii="仿宋_GB2312" w:hAnsi="仿宋" w:eastAsia="仿宋_GB2312" w:cs="宋体"/>
          <w:b/>
          <w:bCs/>
          <w:color w:val="000000"/>
          <w:kern w:val="0"/>
          <w:sz w:val="30"/>
          <w:szCs w:val="30"/>
        </w:rPr>
        <w:t>一般公共服务（类）</w:t>
      </w:r>
      <w:r>
        <w:rPr>
          <w:rFonts w:hint="eastAsia" w:ascii="仿宋_GB2312" w:hAnsi="仿宋" w:eastAsia="仿宋_GB2312" w:cs="宋体"/>
          <w:color w:val="000000"/>
          <w:kern w:val="0"/>
          <w:sz w:val="30"/>
          <w:szCs w:val="30"/>
        </w:rPr>
        <w:t>支出373万元，占66.17%；</w:t>
      </w:r>
      <w:r>
        <w:rPr>
          <w:rFonts w:hint="eastAsia" w:ascii="仿宋_GB2312" w:hAnsi="仿宋" w:eastAsia="仿宋_GB2312" w:cs="宋体"/>
          <w:b/>
          <w:bCs/>
          <w:color w:val="000000"/>
          <w:kern w:val="0"/>
          <w:sz w:val="30"/>
          <w:szCs w:val="30"/>
        </w:rPr>
        <w:t>教育支出（类）</w:t>
      </w:r>
      <w:r>
        <w:rPr>
          <w:rFonts w:hint="eastAsia" w:ascii="仿宋_GB2312" w:hAnsi="仿宋" w:eastAsia="仿宋_GB2312" w:cs="宋体"/>
          <w:color w:val="000000"/>
          <w:kern w:val="0"/>
          <w:sz w:val="30"/>
          <w:szCs w:val="30"/>
        </w:rPr>
        <w:t>0万元，占0%；</w:t>
      </w:r>
      <w:r>
        <w:rPr>
          <w:rFonts w:hint="eastAsia" w:ascii="仿宋_GB2312" w:hAnsi="仿宋" w:eastAsia="仿宋_GB2312" w:cs="宋体"/>
          <w:b/>
          <w:bCs/>
          <w:color w:val="000000"/>
          <w:kern w:val="0"/>
          <w:sz w:val="30"/>
          <w:szCs w:val="30"/>
        </w:rPr>
        <w:t>科学技术（类）</w:t>
      </w:r>
      <w:r>
        <w:rPr>
          <w:rFonts w:hint="eastAsia" w:ascii="仿宋_GB2312" w:hAnsi="仿宋" w:eastAsia="仿宋_GB2312" w:cs="宋体"/>
          <w:color w:val="000000"/>
          <w:kern w:val="0"/>
          <w:sz w:val="30"/>
          <w:szCs w:val="30"/>
        </w:rPr>
        <w:t>支出0万元，占0%；</w:t>
      </w:r>
      <w:r>
        <w:rPr>
          <w:rFonts w:hint="eastAsia" w:ascii="仿宋_GB2312" w:hAnsi="仿宋" w:eastAsia="仿宋_GB2312" w:cs="宋体"/>
          <w:b/>
          <w:bCs/>
          <w:color w:val="000000"/>
          <w:kern w:val="0"/>
          <w:sz w:val="30"/>
          <w:szCs w:val="30"/>
        </w:rPr>
        <w:t>社会保障和就业（类）</w:t>
      </w:r>
      <w:r>
        <w:rPr>
          <w:rFonts w:hint="eastAsia" w:ascii="仿宋_GB2312" w:hAnsi="仿宋" w:eastAsia="仿宋_GB2312" w:cs="宋体"/>
          <w:color w:val="000000"/>
          <w:kern w:val="0"/>
          <w:sz w:val="30"/>
          <w:szCs w:val="30"/>
        </w:rPr>
        <w:t>支出37.54万元，占6.65%；医疗卫生支出1万元，占0.17%；农林水支出128.24万元，占22.74%，住房保障支出23.92万元，占4.2%。</w:t>
      </w:r>
    </w:p>
    <w:p w14:paraId="29C4F0A1">
      <w:pPr>
        <w:widowControl/>
        <w:shd w:val="clear" w:color="auto" w:fill="FFFFFF"/>
        <w:spacing w:before="231" w:after="231"/>
        <w:rPr>
          <w:rFonts w:ascii="仿宋_GB2312" w:hAnsi="黑体" w:eastAsia="仿宋_GB2312" w:cs="宋体"/>
          <w:color w:val="333333"/>
          <w:kern w:val="0"/>
          <w:sz w:val="30"/>
          <w:szCs w:val="30"/>
        </w:rPr>
      </w:pPr>
      <w:r>
        <w:rPr>
          <w:rFonts w:hint="eastAsia" w:ascii="仿宋_GB2312" w:hAnsi="黑体" w:eastAsia="仿宋_GB2312" w:cs="宋体"/>
          <w:color w:val="333333"/>
          <w:kern w:val="0"/>
          <w:sz w:val="30"/>
          <w:szCs w:val="30"/>
        </w:rPr>
        <w:t>三、评价结论及建议</w:t>
      </w:r>
    </w:p>
    <w:p w14:paraId="4BE99E66">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（一）评价结论</w:t>
      </w:r>
    </w:p>
    <w:p w14:paraId="0D6F5F60">
      <w:pPr>
        <w:widowControl/>
        <w:shd w:val="clear" w:color="auto" w:fill="FFFFFF"/>
        <w:ind w:firstLine="639"/>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2020年，县民宗</w:t>
      </w:r>
      <w:r>
        <w:rPr>
          <w:rFonts w:hint="eastAsia" w:ascii="仿宋_GB2312" w:hAnsi="Times New Roman" w:eastAsia="仿宋_GB2312" w:cs="Times New Roman"/>
          <w:color w:val="333333"/>
          <w:kern w:val="0"/>
          <w:sz w:val="30"/>
          <w:szCs w:val="30"/>
          <w:lang w:eastAsia="zh-CN"/>
        </w:rPr>
        <w:t>局认</w:t>
      </w:r>
      <w:r>
        <w:rPr>
          <w:rFonts w:hint="eastAsia" w:ascii="仿宋_GB2312" w:hAnsi="Times New Roman" w:eastAsia="仿宋_GB2312" w:cs="Times New Roman"/>
          <w:color w:val="333333"/>
          <w:kern w:val="0"/>
          <w:sz w:val="30"/>
          <w:szCs w:val="30"/>
        </w:rPr>
        <w:t>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14:paraId="63DB0E8E">
      <w:pPr>
        <w:widowControl/>
        <w:shd w:val="clear" w:color="auto" w:fill="FFFFFF"/>
        <w:spacing w:before="231" w:after="231"/>
        <w:ind w:firstLine="639"/>
        <w:rPr>
          <w:rFonts w:ascii="仿宋_GB2312" w:hAnsi="仿宋" w:eastAsia="仿宋_GB2312" w:cs="宋体"/>
          <w:color w:val="333333"/>
          <w:kern w:val="0"/>
          <w:sz w:val="30"/>
          <w:szCs w:val="30"/>
        </w:rPr>
      </w:pPr>
      <w:r>
        <w:rPr>
          <w:rFonts w:hint="eastAsia" w:ascii="宋体" w:hAnsi="宋体" w:eastAsia="仿宋_GB2312" w:cs="宋体"/>
          <w:color w:val="333333"/>
          <w:kern w:val="0"/>
          <w:sz w:val="30"/>
          <w:szCs w:val="30"/>
        </w:rPr>
        <w:t> </w:t>
      </w:r>
      <w:r>
        <w:rPr>
          <w:rFonts w:hint="eastAsia" w:ascii="仿宋_GB2312" w:hAnsi="仿宋" w:eastAsia="仿宋_GB2312" w:cs="宋体"/>
          <w:color w:val="333333"/>
          <w:kern w:val="0"/>
          <w:sz w:val="30"/>
          <w:szCs w:val="30"/>
        </w:rPr>
        <w:t>（二）存在问题</w:t>
      </w:r>
    </w:p>
    <w:p w14:paraId="11875D14">
      <w:pPr>
        <w:widowControl/>
        <w:shd w:val="clear" w:color="auto" w:fill="FFFFFF"/>
        <w:ind w:firstLine="626"/>
        <w:jc w:val="left"/>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lang w:eastAsia="zh-CN"/>
        </w:rPr>
        <w:t>1.</w:t>
      </w:r>
      <w:r>
        <w:rPr>
          <w:rFonts w:hint="eastAsia" w:ascii="仿宋_GB2312" w:hAnsi="仿宋" w:eastAsia="仿宋_GB2312" w:cs="宋体"/>
          <w:color w:val="333333"/>
          <w:kern w:val="0"/>
          <w:sz w:val="30"/>
          <w:szCs w:val="30"/>
        </w:rPr>
        <w:t>绩效评价指标体系还不完善。 财政支出的评价涉及多方面业务，各单位个性化项目指标体系设计存在难度，各单位绩效评价内容不够全面，多以工作总结替代绩效评价， 难以满足不同需求者对财政绩效评价需求。</w:t>
      </w:r>
    </w:p>
    <w:p w14:paraId="268D02B8">
      <w:pPr>
        <w:widowControl/>
        <w:shd w:val="clear" w:color="auto" w:fill="FFFFFF"/>
        <w:ind w:firstLine="626"/>
        <w:jc w:val="left"/>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lang w:eastAsia="zh-CN"/>
        </w:rPr>
        <w:t>2.</w:t>
      </w:r>
      <w:r>
        <w:rPr>
          <w:rFonts w:hint="eastAsia" w:ascii="仿宋_GB2312" w:hAnsi="仿宋" w:eastAsia="仿宋_GB2312" w:cs="宋体"/>
          <w:color w:val="333333"/>
          <w:kern w:val="0"/>
          <w:sz w:val="30"/>
          <w:szCs w:val="30"/>
        </w:rPr>
        <w:t>项目实施方对预算绩效评价重要性认识不够</w:t>
      </w:r>
      <w:r>
        <w:rPr>
          <w:rFonts w:hint="eastAsia" w:ascii="仿宋_GB2312" w:hAnsi="仿宋" w:eastAsia="仿宋_GB2312" w:cs="宋体"/>
          <w:color w:val="333333"/>
          <w:kern w:val="0"/>
          <w:sz w:val="30"/>
          <w:szCs w:val="30"/>
          <w:lang w:eastAsia="zh-CN"/>
        </w:rPr>
        <w:t>深入</w:t>
      </w:r>
      <w:r>
        <w:rPr>
          <w:rFonts w:hint="eastAsia" w:ascii="仿宋_GB2312" w:hAnsi="仿宋" w:eastAsia="仿宋_GB2312" w:cs="宋体"/>
          <w:color w:val="333333"/>
          <w:kern w:val="0"/>
          <w:sz w:val="30"/>
          <w:szCs w:val="30"/>
        </w:rPr>
        <w:t>，人员业务水平有待进一步提高。 由于预算绩效管理工作开展时间不长，单位项目实施者多数认为是财务的工作， 财务人员对绩效评价大多理解不充分，具体对单位业务不精通， 财务很难整合业务科室人员共同搞好绩效评价，在一定程度上影响了绩效评价工作质量。</w:t>
      </w:r>
      <w:r>
        <w:rPr>
          <w:rFonts w:hint="eastAsia" w:ascii="宋体" w:hAnsi="宋体" w:eastAsia="仿宋_GB2312" w:cs="宋体"/>
          <w:color w:val="333333"/>
          <w:kern w:val="0"/>
          <w:sz w:val="30"/>
          <w:szCs w:val="30"/>
        </w:rPr>
        <w:t> </w:t>
      </w:r>
    </w:p>
    <w:p w14:paraId="282264EA">
      <w:pPr>
        <w:widowControl/>
        <w:shd w:val="clear" w:color="auto" w:fill="FFFFFF"/>
        <w:ind w:firstLine="639"/>
        <w:rPr>
          <w:rFonts w:ascii="仿宋_GB2312" w:hAnsi="仿宋" w:eastAsia="仿宋_GB2312" w:cs="宋体"/>
          <w:color w:val="333333"/>
          <w:kern w:val="0"/>
          <w:sz w:val="30"/>
          <w:szCs w:val="30"/>
        </w:rPr>
      </w:pPr>
      <w:r>
        <w:rPr>
          <w:rFonts w:hint="eastAsia" w:ascii="仿宋_GB2312" w:hAnsi="仿宋" w:eastAsia="仿宋_GB2312" w:cs="宋体"/>
          <w:color w:val="333333"/>
          <w:kern w:val="0"/>
          <w:sz w:val="30"/>
          <w:szCs w:val="30"/>
        </w:rPr>
        <w:t>（三）改进建议</w:t>
      </w:r>
    </w:p>
    <w:p w14:paraId="4F487700">
      <w:pPr>
        <w:widowControl/>
        <w:shd w:val="clear" w:color="auto" w:fill="FFFFFF"/>
        <w:ind w:firstLine="639"/>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 1.加强单位预算编制工作，根据人员情况、业务开展需要，逐项做出预算计划，预算合理、不留缺口、不留空项。</w:t>
      </w:r>
    </w:p>
    <w:p w14:paraId="4857BFD5">
      <w:pPr>
        <w:widowControl/>
        <w:shd w:val="clear" w:color="auto" w:fill="FFFFFF"/>
        <w:ind w:firstLine="639"/>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2.加强业务培训，提高评价水平。部门整体绩效评价工作是一项长期性的工作，专业性强，工作量大，建议财政部门进一步加强开展部门领导及经办人员相关的政策、业务工作培训，组织开展部门之间、单位之间的经验交流，切实推进绩效评价工作的开展。</w:t>
      </w:r>
    </w:p>
    <w:p w14:paraId="7BFFA7AC">
      <w:pPr>
        <w:widowControl/>
        <w:shd w:val="clear" w:color="auto" w:fill="FFFFFF"/>
        <w:ind w:firstLine="639"/>
        <w:rPr>
          <w:rFonts w:ascii="仿宋_GB2312" w:hAnsi="Times New Roman" w:eastAsia="仿宋_GB2312" w:cs="Times New Roman"/>
          <w:color w:val="333333"/>
          <w:kern w:val="0"/>
          <w:sz w:val="30"/>
          <w:szCs w:val="30"/>
        </w:rPr>
      </w:pPr>
      <w:r>
        <w:rPr>
          <w:rFonts w:hint="eastAsia" w:ascii="仿宋_GB2312" w:hAnsi="Times New Roman" w:eastAsia="仿宋_GB2312" w:cs="Times New Roman"/>
          <w:color w:val="333333"/>
          <w:kern w:val="0"/>
          <w:sz w:val="30"/>
          <w:szCs w:val="30"/>
        </w:rPr>
        <w:t>3.预算财务分析常态化，定期做好预算支出财务分析，做好部门整体支出预算评价工作。</w:t>
      </w:r>
    </w:p>
    <w:p w14:paraId="5D722A4B">
      <w:pPr>
        <w:widowControl/>
        <w:shd w:val="clear" w:color="auto" w:fill="FFFFFF"/>
        <w:ind w:firstLine="639"/>
        <w:rPr>
          <w:rFonts w:ascii="仿宋_GB2312" w:hAnsi="Times New Roman" w:eastAsia="仿宋_GB2312" w:cs="Times New Roman"/>
          <w:color w:val="333333"/>
          <w:kern w:val="0"/>
          <w:sz w:val="30"/>
          <w:szCs w:val="30"/>
        </w:rPr>
      </w:pPr>
    </w:p>
    <w:p w14:paraId="17895DE2">
      <w:pPr>
        <w:widowControl/>
        <w:shd w:val="clear" w:color="auto" w:fill="FFFFFF"/>
        <w:ind w:firstLine="639"/>
        <w:rPr>
          <w:rFonts w:ascii="仿宋_GB2312" w:hAnsi="Times New Roman" w:eastAsia="仿宋_GB2312" w:cs="Times New Roman"/>
          <w:color w:val="333333"/>
          <w:kern w:val="0"/>
          <w:sz w:val="30"/>
          <w:szCs w:val="30"/>
        </w:rPr>
      </w:pPr>
    </w:p>
    <w:p w14:paraId="7D751940">
      <w:pPr>
        <w:widowControl/>
        <w:shd w:val="clear" w:color="auto" w:fill="FFFFFF"/>
        <w:ind w:firstLine="639"/>
        <w:rPr>
          <w:rFonts w:ascii="仿宋_GB2312" w:hAnsi="Times New Roman" w:eastAsia="仿宋_GB2312" w:cs="Times New Roman"/>
          <w:color w:val="333333"/>
          <w:kern w:val="0"/>
          <w:sz w:val="30"/>
          <w:szCs w:val="30"/>
        </w:rPr>
      </w:pPr>
    </w:p>
    <w:p w14:paraId="204AF4E7">
      <w:pPr>
        <w:widowControl/>
        <w:shd w:val="clear" w:color="auto" w:fill="FFFFFF"/>
        <w:ind w:firstLine="639"/>
        <w:rPr>
          <w:rFonts w:ascii="仿宋_GB2312" w:hAnsi="Times New Roman" w:eastAsia="仿宋_GB2312" w:cs="Times New Roman"/>
          <w:color w:val="333333"/>
          <w:kern w:val="0"/>
          <w:sz w:val="30"/>
          <w:szCs w:val="30"/>
        </w:rPr>
      </w:pPr>
    </w:p>
    <w:p w14:paraId="36CF68C4">
      <w:pPr>
        <w:widowControl/>
        <w:shd w:val="clear" w:color="auto" w:fill="FFFFFF"/>
        <w:ind w:firstLine="639"/>
        <w:rPr>
          <w:rFonts w:ascii="仿宋_GB2312" w:hAnsi="Times New Roman" w:eastAsia="仿宋_GB2312" w:cs="Times New Roman"/>
          <w:color w:val="333333"/>
          <w:kern w:val="0"/>
          <w:sz w:val="30"/>
          <w:szCs w:val="30"/>
        </w:rPr>
      </w:pPr>
    </w:p>
    <w:p w14:paraId="3CD0F30D">
      <w:pPr>
        <w:widowControl/>
        <w:shd w:val="clear" w:color="auto" w:fill="FFFFFF"/>
        <w:ind w:firstLine="639"/>
        <w:rPr>
          <w:rFonts w:ascii="仿宋_GB2312" w:hAnsi="Times New Roman" w:eastAsia="仿宋_GB2312" w:cs="Times New Roman"/>
          <w:color w:val="333333"/>
          <w:kern w:val="0"/>
          <w:sz w:val="30"/>
          <w:szCs w:val="30"/>
        </w:rPr>
      </w:pPr>
    </w:p>
    <w:p w14:paraId="64E7FB0D">
      <w:pPr>
        <w:widowControl/>
        <w:shd w:val="clear" w:color="auto" w:fill="FFFFFF"/>
        <w:ind w:firstLine="639"/>
        <w:rPr>
          <w:rFonts w:ascii="仿宋_GB2312" w:hAnsi="Times New Roman" w:eastAsia="仿宋_GB2312" w:cs="Times New Roman"/>
          <w:color w:val="333333"/>
          <w:kern w:val="0"/>
          <w:sz w:val="30"/>
          <w:szCs w:val="30"/>
        </w:rPr>
      </w:pPr>
    </w:p>
    <w:p w14:paraId="0CFDE751">
      <w:pPr>
        <w:widowControl/>
        <w:shd w:val="clear" w:color="auto" w:fill="FFFFFF"/>
        <w:ind w:firstLine="639"/>
        <w:rPr>
          <w:rFonts w:ascii="仿宋_GB2312" w:hAnsi="Times New Roman" w:eastAsia="仿宋_GB2312" w:cs="Times New Roman"/>
          <w:color w:val="333333"/>
          <w:kern w:val="0"/>
          <w:sz w:val="30"/>
          <w:szCs w:val="30"/>
        </w:rPr>
      </w:pPr>
    </w:p>
    <w:p w14:paraId="5A3F961C">
      <w:pPr>
        <w:widowControl/>
        <w:shd w:val="clear" w:color="auto" w:fill="FFFFFF"/>
        <w:ind w:firstLine="639"/>
        <w:rPr>
          <w:rFonts w:ascii="仿宋_GB2312" w:hAnsi="Times New Roman" w:eastAsia="仿宋_GB2312" w:cs="Times New Roman"/>
          <w:color w:val="333333"/>
          <w:kern w:val="0"/>
          <w:sz w:val="30"/>
          <w:szCs w:val="30"/>
        </w:rPr>
      </w:pPr>
    </w:p>
    <w:p w14:paraId="68BFBE01">
      <w:pPr>
        <w:widowControl/>
        <w:shd w:val="clear" w:color="auto" w:fill="FFFFFF"/>
        <w:ind w:firstLine="639"/>
        <w:rPr>
          <w:rFonts w:ascii="仿宋_GB2312" w:hAnsi="Times New Roman" w:eastAsia="仿宋_GB2312" w:cs="Times New Roman"/>
          <w:color w:val="333333"/>
          <w:kern w:val="0"/>
          <w:sz w:val="30"/>
          <w:szCs w:val="30"/>
        </w:rPr>
      </w:pPr>
    </w:p>
    <w:p w14:paraId="64176356">
      <w:pPr>
        <w:widowControl/>
        <w:shd w:val="clear" w:color="auto" w:fill="FFFFFF"/>
        <w:ind w:firstLine="639"/>
        <w:rPr>
          <w:rFonts w:ascii="仿宋_GB2312" w:hAnsi="Times New Roman" w:eastAsia="仿宋_GB2312" w:cs="Times New Roman"/>
          <w:color w:val="333333"/>
          <w:kern w:val="0"/>
          <w:sz w:val="30"/>
          <w:szCs w:val="30"/>
        </w:rPr>
      </w:pPr>
    </w:p>
    <w:p w14:paraId="5770C952">
      <w:pPr>
        <w:widowControl/>
        <w:shd w:val="clear" w:color="auto" w:fill="FFFFFF"/>
        <w:ind w:firstLine="639"/>
        <w:rPr>
          <w:rFonts w:ascii="仿宋_GB2312" w:hAnsi="Times New Roman" w:eastAsia="仿宋_GB2312" w:cs="Times New Roman"/>
          <w:color w:val="333333"/>
          <w:kern w:val="0"/>
          <w:sz w:val="30"/>
          <w:szCs w:val="30"/>
        </w:rPr>
      </w:pPr>
    </w:p>
    <w:p w14:paraId="62EC9573">
      <w:pPr>
        <w:widowControl/>
        <w:shd w:val="clear" w:color="auto" w:fill="FFFFFF"/>
        <w:jc w:val="center"/>
        <w:rPr>
          <w:rFonts w:ascii="仿宋_GB2312" w:hAnsi="黑体" w:eastAsia="仿宋_GB2312" w:cs="宋体"/>
          <w:color w:val="333333"/>
          <w:kern w:val="0"/>
          <w:sz w:val="30"/>
          <w:szCs w:val="30"/>
        </w:rPr>
      </w:pPr>
      <w:r>
        <w:rPr>
          <w:rFonts w:hint="eastAsia" w:ascii="仿宋_GB2312" w:hAnsi="黑体" w:eastAsia="仿宋_GB2312" w:cs="宋体"/>
          <w:color w:val="000000"/>
          <w:kern w:val="0"/>
          <w:sz w:val="30"/>
          <w:szCs w:val="30"/>
        </w:rPr>
        <w:t>第</w:t>
      </w:r>
      <w:r>
        <w:rPr>
          <w:rFonts w:hint="eastAsia" w:ascii="仿宋_GB2312" w:hAnsi="黑体" w:eastAsia="仿宋_GB2312" w:cs="宋体"/>
          <w:color w:val="333333"/>
          <w:kern w:val="0"/>
          <w:sz w:val="30"/>
          <w:szCs w:val="30"/>
        </w:rPr>
        <w:t>五部分 附表</w:t>
      </w:r>
    </w:p>
    <w:p w14:paraId="0FA04C4D">
      <w:pPr>
        <w:widowControl/>
        <w:shd w:val="clear" w:color="auto" w:fill="FFFFFF"/>
        <w:jc w:val="left"/>
        <w:rPr>
          <w:rFonts w:ascii="仿宋_GB2312" w:hAnsi="仿宋" w:eastAsia="仿宋_GB2312" w:cs="宋体"/>
          <w:color w:val="333333"/>
          <w:kern w:val="0"/>
          <w:sz w:val="30"/>
          <w:szCs w:val="30"/>
        </w:rPr>
      </w:pPr>
      <w:bookmarkStart w:id="33" w:name="_Toc15396619"/>
      <w:r>
        <w:rPr>
          <w:rFonts w:hint="eastAsia" w:ascii="仿宋_GB2312" w:hAnsi="仿宋" w:eastAsia="仿宋_GB2312" w:cs="宋体"/>
          <w:color w:val="000000"/>
          <w:kern w:val="0"/>
          <w:sz w:val="30"/>
          <w:szCs w:val="30"/>
        </w:rPr>
        <w:t>一、收</w:t>
      </w:r>
      <w:r>
        <w:rPr>
          <w:rFonts w:hint="eastAsia" w:ascii="仿宋_GB2312" w:hAnsi="仿宋" w:eastAsia="仿宋_GB2312" w:cs="宋体"/>
          <w:color w:val="575757"/>
          <w:kern w:val="0"/>
          <w:sz w:val="30"/>
          <w:szCs w:val="30"/>
        </w:rPr>
        <w:t>入支出决算总表</w:t>
      </w:r>
      <w:bookmarkEnd w:id="33"/>
    </w:p>
    <w:p w14:paraId="5AF7DDBA">
      <w:pPr>
        <w:widowControl/>
        <w:shd w:val="clear" w:color="auto" w:fill="FFFFFF"/>
        <w:jc w:val="left"/>
        <w:rPr>
          <w:rFonts w:ascii="仿宋_GB2312" w:hAnsi="仿宋" w:eastAsia="仿宋_GB2312" w:cs="宋体"/>
          <w:color w:val="333333"/>
          <w:kern w:val="0"/>
          <w:sz w:val="30"/>
          <w:szCs w:val="30"/>
        </w:rPr>
      </w:pPr>
      <w:bookmarkStart w:id="34" w:name="_Toc15396620"/>
      <w:r>
        <w:rPr>
          <w:rFonts w:hint="eastAsia" w:ascii="仿宋_GB2312" w:hAnsi="仿宋" w:eastAsia="仿宋_GB2312" w:cs="宋体"/>
          <w:color w:val="000000"/>
          <w:kern w:val="0"/>
          <w:sz w:val="30"/>
          <w:szCs w:val="30"/>
        </w:rPr>
        <w:t>二、收</w:t>
      </w:r>
      <w:r>
        <w:rPr>
          <w:rFonts w:hint="eastAsia" w:ascii="仿宋_GB2312" w:hAnsi="仿宋" w:eastAsia="仿宋_GB2312" w:cs="宋体"/>
          <w:color w:val="575757"/>
          <w:kern w:val="0"/>
          <w:sz w:val="30"/>
          <w:szCs w:val="30"/>
        </w:rPr>
        <w:t>入总表</w:t>
      </w:r>
      <w:bookmarkEnd w:id="34"/>
    </w:p>
    <w:p w14:paraId="41C0222F">
      <w:pPr>
        <w:widowControl/>
        <w:shd w:val="clear" w:color="auto" w:fill="FFFFFF"/>
        <w:jc w:val="left"/>
        <w:rPr>
          <w:rFonts w:ascii="仿宋_GB2312" w:hAnsi="仿宋" w:eastAsia="仿宋_GB2312" w:cs="宋体"/>
          <w:color w:val="333333"/>
          <w:kern w:val="0"/>
          <w:sz w:val="30"/>
          <w:szCs w:val="30"/>
        </w:rPr>
      </w:pPr>
      <w:bookmarkStart w:id="35" w:name="_Toc15396621"/>
      <w:r>
        <w:rPr>
          <w:rFonts w:hint="eastAsia" w:ascii="仿宋_GB2312" w:hAnsi="仿宋" w:eastAsia="仿宋_GB2312" w:cs="宋体"/>
          <w:color w:val="575757"/>
          <w:kern w:val="0"/>
          <w:sz w:val="30"/>
          <w:szCs w:val="30"/>
        </w:rPr>
        <w:t>三、</w:t>
      </w:r>
      <w:r>
        <w:rPr>
          <w:rFonts w:hint="eastAsia" w:ascii="仿宋_GB2312" w:hAnsi="仿宋" w:eastAsia="仿宋_GB2312" w:cs="宋体"/>
          <w:color w:val="000000"/>
          <w:kern w:val="0"/>
          <w:sz w:val="30"/>
          <w:szCs w:val="30"/>
        </w:rPr>
        <w:t>支</w:t>
      </w:r>
      <w:r>
        <w:rPr>
          <w:rFonts w:hint="eastAsia" w:ascii="仿宋_GB2312" w:hAnsi="仿宋" w:eastAsia="仿宋_GB2312" w:cs="宋体"/>
          <w:color w:val="575757"/>
          <w:kern w:val="0"/>
          <w:sz w:val="30"/>
          <w:szCs w:val="30"/>
        </w:rPr>
        <w:t>出总表</w:t>
      </w:r>
      <w:bookmarkEnd w:id="35"/>
    </w:p>
    <w:p w14:paraId="5CAA9CB1">
      <w:pPr>
        <w:widowControl/>
        <w:shd w:val="clear" w:color="auto" w:fill="FFFFFF"/>
        <w:jc w:val="left"/>
        <w:rPr>
          <w:rFonts w:ascii="仿宋_GB2312" w:hAnsi="仿宋" w:eastAsia="仿宋_GB2312" w:cs="宋体"/>
          <w:color w:val="333333"/>
          <w:kern w:val="0"/>
          <w:sz w:val="30"/>
          <w:szCs w:val="30"/>
        </w:rPr>
      </w:pPr>
      <w:bookmarkStart w:id="36" w:name="_Toc15396622"/>
      <w:r>
        <w:rPr>
          <w:rFonts w:hint="eastAsia" w:ascii="仿宋_GB2312" w:hAnsi="仿宋" w:eastAsia="仿宋_GB2312" w:cs="宋体"/>
          <w:color w:val="575757"/>
          <w:kern w:val="0"/>
          <w:sz w:val="30"/>
          <w:szCs w:val="30"/>
        </w:rPr>
        <w:t>四、</w:t>
      </w:r>
      <w:r>
        <w:rPr>
          <w:rFonts w:hint="eastAsia" w:ascii="仿宋_GB2312" w:hAnsi="仿宋" w:eastAsia="仿宋_GB2312" w:cs="宋体"/>
          <w:color w:val="000000"/>
          <w:kern w:val="0"/>
          <w:sz w:val="30"/>
          <w:szCs w:val="30"/>
        </w:rPr>
        <w:t>财</w:t>
      </w:r>
      <w:r>
        <w:rPr>
          <w:rFonts w:hint="eastAsia" w:ascii="仿宋_GB2312" w:hAnsi="仿宋" w:eastAsia="仿宋_GB2312" w:cs="宋体"/>
          <w:color w:val="575757"/>
          <w:kern w:val="0"/>
          <w:sz w:val="30"/>
          <w:szCs w:val="30"/>
        </w:rPr>
        <w:t>政拨款收入支出决算总表</w:t>
      </w:r>
      <w:bookmarkEnd w:id="36"/>
    </w:p>
    <w:p w14:paraId="45B42B55">
      <w:pPr>
        <w:widowControl/>
        <w:shd w:val="clear" w:color="auto" w:fill="FFFFFF"/>
        <w:jc w:val="left"/>
        <w:rPr>
          <w:rFonts w:ascii="仿宋_GB2312" w:hAnsi="仿宋" w:eastAsia="仿宋_GB2312" w:cs="宋体"/>
          <w:color w:val="333333"/>
          <w:kern w:val="0"/>
          <w:sz w:val="30"/>
          <w:szCs w:val="30"/>
        </w:rPr>
      </w:pPr>
      <w:bookmarkStart w:id="37" w:name="_Toc15396623"/>
      <w:r>
        <w:rPr>
          <w:rFonts w:hint="eastAsia" w:ascii="仿宋_GB2312" w:hAnsi="仿宋" w:eastAsia="仿宋_GB2312" w:cs="宋体"/>
          <w:color w:val="575757"/>
          <w:kern w:val="0"/>
          <w:sz w:val="30"/>
          <w:szCs w:val="30"/>
        </w:rPr>
        <w:t>五、</w:t>
      </w:r>
      <w:r>
        <w:rPr>
          <w:rFonts w:hint="eastAsia" w:ascii="仿宋_GB2312" w:hAnsi="仿宋" w:eastAsia="仿宋_GB2312" w:cs="宋体"/>
          <w:color w:val="000000"/>
          <w:kern w:val="0"/>
          <w:sz w:val="30"/>
          <w:szCs w:val="30"/>
        </w:rPr>
        <w:t>财</w:t>
      </w:r>
      <w:r>
        <w:rPr>
          <w:rFonts w:hint="eastAsia" w:ascii="仿宋_GB2312" w:hAnsi="仿宋" w:eastAsia="仿宋_GB2312" w:cs="宋体"/>
          <w:color w:val="575757"/>
          <w:kern w:val="0"/>
          <w:sz w:val="30"/>
          <w:szCs w:val="30"/>
        </w:rPr>
        <w:t>政拨款支出决算明细表（政府经济分类科目）</w:t>
      </w:r>
      <w:bookmarkEnd w:id="37"/>
    </w:p>
    <w:p w14:paraId="6F1FECF2">
      <w:pPr>
        <w:widowControl/>
        <w:shd w:val="clear" w:color="auto" w:fill="FFFFFF"/>
        <w:jc w:val="left"/>
        <w:rPr>
          <w:rFonts w:ascii="仿宋_GB2312" w:hAnsi="仿宋" w:eastAsia="仿宋_GB2312" w:cs="宋体"/>
          <w:color w:val="333333"/>
          <w:kern w:val="0"/>
          <w:sz w:val="30"/>
          <w:szCs w:val="30"/>
        </w:rPr>
      </w:pPr>
      <w:bookmarkStart w:id="38" w:name="_Toc15396624"/>
      <w:r>
        <w:rPr>
          <w:rFonts w:hint="eastAsia" w:ascii="仿宋_GB2312" w:hAnsi="仿宋" w:eastAsia="仿宋_GB2312" w:cs="宋体"/>
          <w:color w:val="575757"/>
          <w:kern w:val="0"/>
          <w:sz w:val="30"/>
          <w:szCs w:val="30"/>
        </w:rPr>
        <w:t>六、</w:t>
      </w:r>
      <w:r>
        <w:rPr>
          <w:rFonts w:hint="eastAsia" w:ascii="仿宋_GB2312" w:hAnsi="仿宋" w:eastAsia="仿宋_GB2312" w:cs="宋体"/>
          <w:color w:val="000000"/>
          <w:kern w:val="0"/>
          <w:sz w:val="30"/>
          <w:szCs w:val="30"/>
        </w:rPr>
        <w:t>一</w:t>
      </w:r>
      <w:r>
        <w:rPr>
          <w:rFonts w:hint="eastAsia" w:ascii="仿宋_GB2312" w:hAnsi="仿宋" w:eastAsia="仿宋_GB2312" w:cs="宋体"/>
          <w:color w:val="575757"/>
          <w:kern w:val="0"/>
          <w:sz w:val="30"/>
          <w:szCs w:val="30"/>
        </w:rPr>
        <w:t>般公共预算财政拨款支出决算表</w:t>
      </w:r>
      <w:bookmarkEnd w:id="38"/>
    </w:p>
    <w:p w14:paraId="32AFD847">
      <w:pPr>
        <w:widowControl/>
        <w:shd w:val="clear" w:color="auto" w:fill="FFFFFF"/>
        <w:jc w:val="left"/>
        <w:rPr>
          <w:rFonts w:ascii="仿宋_GB2312" w:hAnsi="仿宋" w:eastAsia="仿宋_GB2312" w:cs="宋体"/>
          <w:color w:val="333333"/>
          <w:kern w:val="0"/>
          <w:sz w:val="30"/>
          <w:szCs w:val="30"/>
        </w:rPr>
      </w:pPr>
      <w:bookmarkStart w:id="39" w:name="_Toc15396625"/>
      <w:r>
        <w:rPr>
          <w:rFonts w:hint="eastAsia" w:ascii="仿宋_GB2312" w:hAnsi="仿宋" w:eastAsia="仿宋_GB2312" w:cs="宋体"/>
          <w:color w:val="575757"/>
          <w:kern w:val="0"/>
          <w:sz w:val="30"/>
          <w:szCs w:val="30"/>
        </w:rPr>
        <w:t>七、</w:t>
      </w:r>
      <w:r>
        <w:rPr>
          <w:rFonts w:hint="eastAsia" w:ascii="仿宋_GB2312" w:hAnsi="仿宋" w:eastAsia="仿宋_GB2312" w:cs="宋体"/>
          <w:color w:val="000000"/>
          <w:kern w:val="0"/>
          <w:sz w:val="30"/>
          <w:szCs w:val="30"/>
        </w:rPr>
        <w:t>一</w:t>
      </w:r>
      <w:r>
        <w:rPr>
          <w:rFonts w:hint="eastAsia" w:ascii="仿宋_GB2312" w:hAnsi="仿宋" w:eastAsia="仿宋_GB2312" w:cs="宋体"/>
          <w:color w:val="575757"/>
          <w:kern w:val="0"/>
          <w:sz w:val="30"/>
          <w:szCs w:val="30"/>
        </w:rPr>
        <w:t>般公共预算财政拨款支出决算明细表</w:t>
      </w:r>
      <w:bookmarkEnd w:id="39"/>
    </w:p>
    <w:p w14:paraId="2D667B47">
      <w:pPr>
        <w:widowControl/>
        <w:shd w:val="clear" w:color="auto" w:fill="FFFFFF"/>
        <w:jc w:val="left"/>
        <w:rPr>
          <w:rFonts w:ascii="仿宋_GB2312" w:hAnsi="仿宋" w:eastAsia="仿宋_GB2312" w:cs="宋体"/>
          <w:color w:val="333333"/>
          <w:kern w:val="0"/>
          <w:sz w:val="30"/>
          <w:szCs w:val="30"/>
        </w:rPr>
      </w:pPr>
      <w:bookmarkStart w:id="40" w:name="_Toc15396626"/>
      <w:r>
        <w:rPr>
          <w:rFonts w:hint="eastAsia" w:ascii="仿宋_GB2312" w:hAnsi="仿宋" w:eastAsia="仿宋_GB2312" w:cs="宋体"/>
          <w:color w:val="575757"/>
          <w:kern w:val="0"/>
          <w:sz w:val="30"/>
          <w:szCs w:val="30"/>
        </w:rPr>
        <w:t>八、</w:t>
      </w:r>
      <w:r>
        <w:rPr>
          <w:rFonts w:hint="eastAsia" w:ascii="仿宋_GB2312" w:hAnsi="仿宋" w:eastAsia="仿宋_GB2312" w:cs="宋体"/>
          <w:color w:val="000000"/>
          <w:kern w:val="0"/>
          <w:sz w:val="30"/>
          <w:szCs w:val="30"/>
        </w:rPr>
        <w:t>一</w:t>
      </w:r>
      <w:r>
        <w:rPr>
          <w:rFonts w:hint="eastAsia" w:ascii="仿宋_GB2312" w:hAnsi="仿宋" w:eastAsia="仿宋_GB2312" w:cs="宋体"/>
          <w:color w:val="575757"/>
          <w:kern w:val="0"/>
          <w:sz w:val="30"/>
          <w:szCs w:val="30"/>
        </w:rPr>
        <w:t>般公共预算财政拨款基本支出决算表</w:t>
      </w:r>
      <w:bookmarkEnd w:id="40"/>
    </w:p>
    <w:p w14:paraId="6045E380">
      <w:pPr>
        <w:widowControl/>
        <w:shd w:val="clear" w:color="auto" w:fill="FFFFFF"/>
        <w:jc w:val="left"/>
        <w:rPr>
          <w:rFonts w:ascii="仿宋_GB2312" w:hAnsi="仿宋" w:eastAsia="仿宋_GB2312" w:cs="宋体"/>
          <w:color w:val="333333"/>
          <w:kern w:val="0"/>
          <w:sz w:val="30"/>
          <w:szCs w:val="30"/>
        </w:rPr>
      </w:pPr>
      <w:bookmarkStart w:id="41" w:name="_Toc15396627"/>
      <w:r>
        <w:rPr>
          <w:rFonts w:hint="eastAsia" w:ascii="仿宋_GB2312" w:hAnsi="仿宋" w:eastAsia="仿宋_GB2312" w:cs="宋体"/>
          <w:color w:val="575757"/>
          <w:kern w:val="0"/>
          <w:sz w:val="30"/>
          <w:szCs w:val="30"/>
        </w:rPr>
        <w:t>九、</w:t>
      </w:r>
      <w:r>
        <w:rPr>
          <w:rFonts w:hint="eastAsia" w:ascii="仿宋_GB2312" w:hAnsi="仿宋" w:eastAsia="仿宋_GB2312" w:cs="宋体"/>
          <w:color w:val="000000"/>
          <w:kern w:val="0"/>
          <w:sz w:val="30"/>
          <w:szCs w:val="30"/>
        </w:rPr>
        <w:t>一</w:t>
      </w:r>
      <w:r>
        <w:rPr>
          <w:rFonts w:hint="eastAsia" w:ascii="仿宋_GB2312" w:hAnsi="仿宋" w:eastAsia="仿宋_GB2312" w:cs="宋体"/>
          <w:color w:val="575757"/>
          <w:kern w:val="0"/>
          <w:sz w:val="30"/>
          <w:szCs w:val="30"/>
        </w:rPr>
        <w:t>般公共预算财政拨款项目支出决算表</w:t>
      </w:r>
      <w:bookmarkEnd w:id="41"/>
    </w:p>
    <w:p w14:paraId="78B0CC9E">
      <w:pPr>
        <w:widowControl/>
        <w:shd w:val="clear" w:color="auto" w:fill="FFFFFF"/>
        <w:jc w:val="left"/>
        <w:rPr>
          <w:rFonts w:ascii="仿宋_GB2312" w:hAnsi="仿宋" w:eastAsia="仿宋_GB2312" w:cs="宋体"/>
          <w:color w:val="333333"/>
          <w:kern w:val="0"/>
          <w:sz w:val="30"/>
          <w:szCs w:val="30"/>
        </w:rPr>
      </w:pPr>
      <w:bookmarkStart w:id="42" w:name="_Toc15396628"/>
      <w:r>
        <w:rPr>
          <w:rFonts w:hint="eastAsia" w:ascii="仿宋_GB2312" w:hAnsi="仿宋" w:eastAsia="仿宋_GB2312" w:cs="宋体"/>
          <w:color w:val="575757"/>
          <w:kern w:val="0"/>
          <w:sz w:val="30"/>
          <w:szCs w:val="30"/>
        </w:rPr>
        <w:t>十、</w:t>
      </w:r>
      <w:r>
        <w:rPr>
          <w:rFonts w:hint="eastAsia" w:ascii="仿宋_GB2312" w:hAnsi="仿宋" w:eastAsia="仿宋_GB2312" w:cs="宋体"/>
          <w:color w:val="000000"/>
          <w:kern w:val="0"/>
          <w:sz w:val="30"/>
          <w:szCs w:val="30"/>
        </w:rPr>
        <w:t>一</w:t>
      </w:r>
      <w:r>
        <w:rPr>
          <w:rFonts w:hint="eastAsia" w:ascii="仿宋_GB2312" w:hAnsi="仿宋" w:eastAsia="仿宋_GB2312" w:cs="宋体"/>
          <w:color w:val="575757"/>
          <w:kern w:val="0"/>
          <w:sz w:val="30"/>
          <w:szCs w:val="30"/>
        </w:rPr>
        <w:t>般公共预算财政拨款“三公”经费支出决算表</w:t>
      </w:r>
      <w:bookmarkEnd w:id="42"/>
    </w:p>
    <w:p w14:paraId="08997A30">
      <w:pPr>
        <w:widowControl/>
        <w:shd w:val="clear" w:color="auto" w:fill="FFFFFF"/>
        <w:jc w:val="left"/>
        <w:rPr>
          <w:rFonts w:ascii="仿宋_GB2312" w:hAnsi="仿宋" w:eastAsia="仿宋_GB2312" w:cs="宋体"/>
          <w:color w:val="333333"/>
          <w:kern w:val="0"/>
          <w:sz w:val="30"/>
          <w:szCs w:val="30"/>
        </w:rPr>
      </w:pPr>
      <w:bookmarkStart w:id="43" w:name="_Toc15396629"/>
      <w:r>
        <w:rPr>
          <w:rFonts w:hint="eastAsia" w:ascii="仿宋_GB2312" w:hAnsi="仿宋" w:eastAsia="仿宋_GB2312" w:cs="宋体"/>
          <w:color w:val="575757"/>
          <w:kern w:val="0"/>
          <w:sz w:val="30"/>
          <w:szCs w:val="30"/>
        </w:rPr>
        <w:t>十一、</w:t>
      </w:r>
      <w:r>
        <w:rPr>
          <w:rFonts w:hint="eastAsia" w:ascii="仿宋_GB2312" w:hAnsi="仿宋" w:eastAsia="仿宋_GB2312" w:cs="宋体"/>
          <w:color w:val="000000"/>
          <w:kern w:val="0"/>
          <w:sz w:val="30"/>
          <w:szCs w:val="30"/>
        </w:rPr>
        <w:t>政</w:t>
      </w:r>
      <w:r>
        <w:rPr>
          <w:rFonts w:hint="eastAsia" w:ascii="仿宋_GB2312" w:hAnsi="仿宋" w:eastAsia="仿宋_GB2312" w:cs="宋体"/>
          <w:color w:val="575757"/>
          <w:kern w:val="0"/>
          <w:sz w:val="30"/>
          <w:szCs w:val="30"/>
        </w:rPr>
        <w:t>府性基金预算财政拨款收入支出决算表</w:t>
      </w:r>
      <w:bookmarkEnd w:id="43"/>
    </w:p>
    <w:p w14:paraId="5FA43E55">
      <w:pPr>
        <w:widowControl/>
        <w:shd w:val="clear" w:color="auto" w:fill="FFFFFF"/>
        <w:jc w:val="left"/>
        <w:rPr>
          <w:rFonts w:ascii="仿宋_GB2312" w:hAnsi="仿宋" w:eastAsia="仿宋_GB2312" w:cs="宋体"/>
          <w:color w:val="333333"/>
          <w:kern w:val="0"/>
          <w:sz w:val="30"/>
          <w:szCs w:val="30"/>
        </w:rPr>
      </w:pPr>
      <w:bookmarkStart w:id="44" w:name="_Toc15396630"/>
      <w:r>
        <w:rPr>
          <w:rFonts w:hint="eastAsia" w:ascii="仿宋_GB2312" w:hAnsi="仿宋" w:eastAsia="仿宋_GB2312" w:cs="宋体"/>
          <w:color w:val="575757"/>
          <w:kern w:val="0"/>
          <w:sz w:val="30"/>
          <w:szCs w:val="30"/>
        </w:rPr>
        <w:t>十二、</w:t>
      </w:r>
      <w:r>
        <w:rPr>
          <w:rFonts w:hint="eastAsia" w:ascii="仿宋_GB2312" w:hAnsi="仿宋" w:eastAsia="仿宋_GB2312" w:cs="宋体"/>
          <w:color w:val="000000"/>
          <w:kern w:val="0"/>
          <w:sz w:val="30"/>
          <w:szCs w:val="30"/>
        </w:rPr>
        <w:t>政</w:t>
      </w:r>
      <w:r>
        <w:rPr>
          <w:rFonts w:hint="eastAsia" w:ascii="仿宋_GB2312" w:hAnsi="仿宋" w:eastAsia="仿宋_GB2312" w:cs="宋体"/>
          <w:color w:val="575757"/>
          <w:kern w:val="0"/>
          <w:sz w:val="30"/>
          <w:szCs w:val="30"/>
        </w:rPr>
        <w:t>府性基金预算财政拨款“三公”经费支出决算表</w:t>
      </w:r>
      <w:bookmarkEnd w:id="44"/>
    </w:p>
    <w:p w14:paraId="21C4BA5B">
      <w:pPr>
        <w:widowControl/>
        <w:shd w:val="clear" w:color="auto" w:fill="FFFFFF"/>
        <w:jc w:val="left"/>
        <w:rPr>
          <w:rFonts w:ascii="仿宋_GB2312" w:hAnsi="仿宋" w:eastAsia="仿宋_GB2312" w:cs="宋体"/>
          <w:color w:val="333333"/>
          <w:kern w:val="0"/>
          <w:sz w:val="30"/>
          <w:szCs w:val="30"/>
        </w:rPr>
      </w:pPr>
      <w:bookmarkStart w:id="45" w:name="_Toc15396631"/>
      <w:r>
        <w:rPr>
          <w:rFonts w:hint="eastAsia" w:ascii="仿宋_GB2312" w:hAnsi="仿宋" w:eastAsia="仿宋_GB2312" w:cs="宋体"/>
          <w:color w:val="575757"/>
          <w:kern w:val="0"/>
          <w:sz w:val="30"/>
          <w:szCs w:val="30"/>
        </w:rPr>
        <w:t>十三、</w:t>
      </w:r>
      <w:r>
        <w:rPr>
          <w:rFonts w:hint="eastAsia" w:ascii="仿宋_GB2312" w:hAnsi="仿宋" w:eastAsia="仿宋_GB2312" w:cs="宋体"/>
          <w:color w:val="000000"/>
          <w:kern w:val="0"/>
          <w:sz w:val="30"/>
          <w:szCs w:val="30"/>
        </w:rPr>
        <w:t>国</w:t>
      </w:r>
      <w:r>
        <w:rPr>
          <w:rFonts w:hint="eastAsia" w:ascii="仿宋_GB2312" w:hAnsi="仿宋" w:eastAsia="仿宋_GB2312" w:cs="宋体"/>
          <w:color w:val="575757"/>
          <w:kern w:val="0"/>
          <w:sz w:val="30"/>
          <w:szCs w:val="30"/>
        </w:rPr>
        <w:t>有资本经营预算支出决算表</w:t>
      </w:r>
      <w:bookmarkEnd w:id="45"/>
    </w:p>
    <w:p w14:paraId="53C12553">
      <w:pPr>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3128172"/>
      <w:docPartObj>
        <w:docPartGallery w:val="AutoText"/>
      </w:docPartObj>
    </w:sdtPr>
    <w:sdtContent>
      <w:p w14:paraId="0E5AB1C0">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14:paraId="32524DC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1208D"/>
    <w:multiLevelType w:val="multilevel"/>
    <w:tmpl w:val="467120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03F9"/>
    <w:rsid w:val="000B33E0"/>
    <w:rsid w:val="00344163"/>
    <w:rsid w:val="00525AAC"/>
    <w:rsid w:val="0057199E"/>
    <w:rsid w:val="00B003F9"/>
    <w:rsid w:val="00BB6C43"/>
    <w:rsid w:val="00D46D5B"/>
    <w:rsid w:val="00E21CF7"/>
    <w:rsid w:val="00EE1153"/>
    <w:rsid w:val="00F35C7F"/>
    <w:rsid w:val="00F6721A"/>
    <w:rsid w:val="45B8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0"/>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uiPriority w:val="99"/>
    <w:rPr>
      <w:color w:val="0000FF"/>
      <w:u w:val="single"/>
    </w:rPr>
  </w:style>
  <w:style w:type="character" w:customStyle="1" w:styleId="10">
    <w:name w:val="页眉 Char"/>
    <w:basedOn w:val="8"/>
    <w:link w:val="5"/>
    <w:semiHidden/>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p2"/>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s1"/>
    <w:basedOn w:val="8"/>
    <w:qFormat/>
    <w:uiPriority w:val="0"/>
  </w:style>
  <w:style w:type="character" w:customStyle="1" w:styleId="14">
    <w:name w:val="s2"/>
    <w:basedOn w:val="8"/>
    <w:uiPriority w:val="0"/>
  </w:style>
  <w:style w:type="paragraph" w:customStyle="1" w:styleId="15">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p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p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s3"/>
    <w:basedOn w:val="8"/>
    <w:qFormat/>
    <w:uiPriority w:val="0"/>
  </w:style>
  <w:style w:type="paragraph" w:customStyle="1" w:styleId="20">
    <w:name w:val="p7"/>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s4"/>
    <w:basedOn w:val="8"/>
    <w:qFormat/>
    <w:uiPriority w:val="0"/>
  </w:style>
  <w:style w:type="character" w:customStyle="1" w:styleId="22">
    <w:name w:val="s5"/>
    <w:basedOn w:val="8"/>
    <w:qFormat/>
    <w:uiPriority w:val="0"/>
  </w:style>
  <w:style w:type="paragraph" w:customStyle="1" w:styleId="23">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p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p1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p1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9">
    <w:name w:val="s6"/>
    <w:basedOn w:val="8"/>
    <w:uiPriority w:val="0"/>
  </w:style>
  <w:style w:type="paragraph" w:customStyle="1" w:styleId="30">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s7"/>
    <w:basedOn w:val="8"/>
    <w:uiPriority w:val="0"/>
  </w:style>
  <w:style w:type="paragraph" w:customStyle="1" w:styleId="32">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p1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p19"/>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
    <w:name w:val="s8"/>
    <w:basedOn w:val="8"/>
    <w:qFormat/>
    <w:uiPriority w:val="0"/>
  </w:style>
  <w:style w:type="character" w:customStyle="1" w:styleId="36">
    <w:name w:val="s9"/>
    <w:basedOn w:val="8"/>
    <w:qFormat/>
    <w:uiPriority w:val="0"/>
  </w:style>
  <w:style w:type="paragraph" w:customStyle="1" w:styleId="37">
    <w:name w:val="p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p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p2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0">
    <w:name w:val="s10"/>
    <w:basedOn w:val="8"/>
    <w:uiPriority w:val="0"/>
  </w:style>
  <w:style w:type="paragraph" w:customStyle="1" w:styleId="41">
    <w:name w:val="p23"/>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2">
    <w:name w:val="s11"/>
    <w:basedOn w:val="8"/>
    <w:qFormat/>
    <w:uiPriority w:val="0"/>
  </w:style>
  <w:style w:type="paragraph" w:customStyle="1" w:styleId="43">
    <w:name w:val="p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p2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p2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p29"/>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7">
    <w:name w:val="s13"/>
    <w:basedOn w:val="8"/>
    <w:uiPriority w:val="0"/>
  </w:style>
  <w:style w:type="paragraph" w:customStyle="1" w:styleId="48">
    <w:name w:val="p3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s14"/>
    <w:basedOn w:val="8"/>
    <w:qFormat/>
    <w:uiPriority w:val="0"/>
  </w:style>
  <w:style w:type="paragraph" w:customStyle="1" w:styleId="50">
    <w:name w:val="p3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p3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3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p26"/>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4">
    <w:name w:val="s15"/>
    <w:basedOn w:val="8"/>
    <w:uiPriority w:val="0"/>
  </w:style>
  <w:style w:type="paragraph" w:customStyle="1" w:styleId="55">
    <w:name w:val="p3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6">
    <w:name w:val="s16"/>
    <w:basedOn w:val="8"/>
    <w:qFormat/>
    <w:uiPriority w:val="0"/>
  </w:style>
  <w:style w:type="character" w:customStyle="1" w:styleId="57">
    <w:name w:val="s17"/>
    <w:basedOn w:val="8"/>
    <w:uiPriority w:val="0"/>
  </w:style>
  <w:style w:type="paragraph" w:customStyle="1" w:styleId="58">
    <w:name w:val="p3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
    <w:name w:val="p3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p3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p3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p4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p4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p4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p4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p4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p4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p4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
    <w:name w:val="p5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p5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p5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p54"/>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4">
    <w:name w:val="s18"/>
    <w:basedOn w:val="8"/>
    <w:qFormat/>
    <w:uiPriority w:val="0"/>
  </w:style>
  <w:style w:type="paragraph" w:customStyle="1" w:styleId="75">
    <w:name w:val="p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
    <w:name w:val="p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p5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p5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p59"/>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0">
    <w:name w:val="标题 1 Char"/>
    <w:basedOn w:val="8"/>
    <w:link w:val="2"/>
    <w:uiPriority w:val="9"/>
    <w:rPr>
      <w:b/>
      <w:bCs/>
      <w:kern w:val="44"/>
      <w:sz w:val="44"/>
      <w:szCs w:val="44"/>
    </w:rPr>
  </w:style>
  <w:style w:type="paragraph" w:customStyle="1" w:styleId="8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82">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0703-3466-4511-B0F3-52BFA8DA56AC}">
  <ds:schemaRefs/>
</ds:datastoreItem>
</file>

<file path=docProps/app.xml><?xml version="1.0" encoding="utf-8"?>
<Properties xmlns="http://schemas.openxmlformats.org/officeDocument/2006/extended-properties" xmlns:vt="http://schemas.openxmlformats.org/officeDocument/2006/docPropsVTypes">
  <Template>Normal</Template>
  <Pages>32</Pages>
  <Words>185</Words>
  <Characters>203</Characters>
  <Lines>107</Lines>
  <Paragraphs>30</Paragraphs>
  <TotalTime>33</TotalTime>
  <ScaleCrop>false</ScaleCrop>
  <LinksUpToDate>false</LinksUpToDate>
  <CharactersWithSpaces>449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2022-06-23T08:22:00Z</dcterms:created>
  <dc:creator>沙贵斌</dc:creator>
  <cp:lastModifiedBy>Owner</cp:lastModifiedBy>
  <cp:lastPrinted>2022-06-23T09:06:00Z</cp:lastPrinted>
  <dcterms:modified xsi:type="dcterms:W3CDTF">2026-04-09T09:54:10Z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eyJoZGlkIjoiZDg0NDNiYTUxOWU4N2FhYTE5YTc3OTM5YzA0NWVjYWEiLCJ1c2VySWQiOiIxMzY3NTIyMzE2In0=</vt:lpwstr>
  </property>
  <property fmtid="{D5CDD505-2E9C-101B-9397-08002B2CF9AE}" pid="3" name="KSOProductBuildVer">
    <vt:lpwstr>2052-12.1.0.21171</vt:lpwstr>
  </property>
  <property fmtid="{D5CDD505-2E9C-101B-9397-08002B2CF9AE}" pid="4" name="ICV">
    <vt:lpwstr>D7D4F1C2FEC7451BB6F47A6655BCD356_12</vt:lpwstr>
  </property>
</Properties>
</file>