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AC1F53">
      <w:pPr>
        <w:spacing w:line="600" w:lineRule="exact"/>
        <w:jc w:val="center"/>
        <w:outlineLvl w:val="0"/>
        <w:rPr>
          <w:rFonts w:ascii="方正小标宋简体" w:hAnsi="宋体" w:eastAsia="方正小标宋简体"/>
          <w:color w:val="000000"/>
          <w:sz w:val="72"/>
          <w:szCs w:val="72"/>
        </w:rPr>
      </w:pPr>
      <w:bookmarkStart w:id="0" w:name="_Toc15306267"/>
    </w:p>
    <w:p w14:paraId="6A8B38A3">
      <w:pPr>
        <w:spacing w:line="600" w:lineRule="exact"/>
        <w:jc w:val="center"/>
        <w:outlineLvl w:val="0"/>
        <w:rPr>
          <w:rFonts w:ascii="方正小标宋简体" w:hAnsi="宋体" w:eastAsia="方正小标宋简体"/>
          <w:color w:val="000000"/>
          <w:sz w:val="72"/>
          <w:szCs w:val="72"/>
        </w:rPr>
      </w:pPr>
    </w:p>
    <w:p w14:paraId="4FEB71B2">
      <w:pPr>
        <w:spacing w:line="600" w:lineRule="exact"/>
        <w:jc w:val="center"/>
        <w:outlineLvl w:val="0"/>
        <w:rPr>
          <w:rFonts w:ascii="方正小标宋简体" w:hAnsi="宋体" w:eastAsia="方正小标宋简体"/>
          <w:color w:val="000000"/>
          <w:sz w:val="72"/>
          <w:szCs w:val="72"/>
        </w:rPr>
      </w:pPr>
    </w:p>
    <w:p w14:paraId="0265BA9E">
      <w:pPr>
        <w:spacing w:line="600" w:lineRule="exact"/>
        <w:jc w:val="center"/>
        <w:outlineLvl w:val="0"/>
        <w:rPr>
          <w:rFonts w:ascii="方正小标宋简体" w:hAnsi="宋体" w:eastAsia="方正小标宋简体"/>
          <w:color w:val="000000"/>
          <w:sz w:val="72"/>
          <w:szCs w:val="72"/>
        </w:rPr>
      </w:pPr>
    </w:p>
    <w:p w14:paraId="5B7B00D2">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475"/>
      <w:bookmarkStart w:id="2" w:name="_Toc15378441"/>
      <w:bookmarkStart w:id="3" w:name="_Toc52180062"/>
      <w:bookmarkStart w:id="4" w:name="_Toc15377425"/>
      <w:bookmarkStart w:id="5" w:name="_Toc15396597"/>
      <w:bookmarkStart w:id="6" w:name="_Toc15377193"/>
      <w:r>
        <w:rPr>
          <w:rFonts w:ascii="黑体" w:hAnsi="黑体" w:eastAsia="黑体"/>
          <w:color w:val="000000"/>
          <w:sz w:val="72"/>
          <w:szCs w:val="72"/>
        </w:rPr>
        <w:t>20</w:t>
      </w:r>
      <w:r>
        <w:rPr>
          <w:rFonts w:hint="eastAsia" w:ascii="黑体" w:hAnsi="黑体" w:eastAsia="黑体"/>
          <w:color w:val="000000"/>
          <w:sz w:val="72"/>
          <w:szCs w:val="72"/>
        </w:rPr>
        <w:t>20</w:t>
      </w:r>
      <w:r>
        <w:rPr>
          <w:rFonts w:hint="eastAsia" w:ascii="方正小标宋简体" w:hAnsi="宋体" w:eastAsia="方正小标宋简体"/>
          <w:color w:val="000000"/>
          <w:sz w:val="72"/>
          <w:szCs w:val="72"/>
        </w:rPr>
        <w:t>年度</w:t>
      </w:r>
      <w:bookmarkEnd w:id="1"/>
      <w:bookmarkEnd w:id="2"/>
      <w:bookmarkEnd w:id="3"/>
      <w:bookmarkEnd w:id="4"/>
      <w:bookmarkEnd w:id="5"/>
      <w:bookmarkEnd w:id="6"/>
    </w:p>
    <w:p w14:paraId="709EB1BB">
      <w:pPr>
        <w:adjustRightInd w:val="0"/>
        <w:snapToGrid w:val="0"/>
        <w:spacing w:line="360" w:lineRule="auto"/>
        <w:jc w:val="center"/>
        <w:outlineLvl w:val="0"/>
        <w:rPr>
          <w:rFonts w:ascii="方正小标宋简体" w:hAnsi="宋体" w:eastAsia="方正小标宋简体"/>
          <w:color w:val="000000"/>
          <w:sz w:val="72"/>
          <w:szCs w:val="72"/>
        </w:rPr>
      </w:pPr>
      <w:bookmarkStart w:id="7" w:name="_Toc15378442"/>
      <w:bookmarkStart w:id="8" w:name="_Toc15377194"/>
      <w:bookmarkStart w:id="9" w:name="_Toc15396598"/>
      <w:bookmarkStart w:id="10" w:name="_Toc52180063"/>
      <w:bookmarkStart w:id="11" w:name="_Toc15377426"/>
      <w:bookmarkStart w:id="12" w:name="_Toc15396476"/>
      <w:r>
        <w:rPr>
          <w:rFonts w:hint="eastAsia" w:ascii="方正小标宋简体" w:hAnsi="宋体" w:eastAsia="方正小标宋简体"/>
          <w:color w:val="000000"/>
          <w:sz w:val="72"/>
          <w:szCs w:val="72"/>
        </w:rPr>
        <w:t>盐边县</w:t>
      </w:r>
      <w:bookmarkEnd w:id="0"/>
      <w:bookmarkStart w:id="13" w:name="_Toc15306268"/>
      <w:r>
        <w:rPr>
          <w:rFonts w:hint="eastAsia" w:ascii="方正小标宋简体" w:hAnsi="宋体" w:eastAsia="方正小标宋简体"/>
          <w:color w:val="000000"/>
          <w:sz w:val="72"/>
          <w:szCs w:val="72"/>
          <w:lang w:eastAsia="zh-CN"/>
        </w:rPr>
        <w:t>温泉彝族乡</w:t>
      </w:r>
      <w:r>
        <w:rPr>
          <w:rFonts w:hint="eastAsia" w:ascii="方正小标宋简体" w:hAnsi="宋体" w:eastAsia="方正小标宋简体"/>
          <w:color w:val="000000"/>
          <w:sz w:val="72"/>
          <w:szCs w:val="72"/>
        </w:rPr>
        <w:t>卫生院</w:t>
      </w:r>
    </w:p>
    <w:p w14:paraId="2A523EBC">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部门决算</w:t>
      </w:r>
      <w:bookmarkEnd w:id="7"/>
      <w:bookmarkEnd w:id="8"/>
      <w:bookmarkEnd w:id="9"/>
      <w:bookmarkEnd w:id="10"/>
      <w:bookmarkEnd w:id="11"/>
      <w:bookmarkEnd w:id="12"/>
      <w:bookmarkEnd w:id="13"/>
    </w:p>
    <w:p w14:paraId="693C2E30">
      <w:pPr>
        <w:adjustRightInd w:val="0"/>
        <w:snapToGrid w:val="0"/>
        <w:spacing w:line="360" w:lineRule="auto"/>
        <w:jc w:val="center"/>
        <w:outlineLvl w:val="0"/>
        <w:rPr>
          <w:rFonts w:ascii="方正小标宋简体" w:hAnsi="宋体" w:eastAsia="方正小标宋简体"/>
          <w:color w:val="000000"/>
          <w:sz w:val="52"/>
          <w:szCs w:val="52"/>
        </w:rPr>
      </w:pPr>
    </w:p>
    <w:p w14:paraId="2B59EC7D">
      <w:pPr>
        <w:widowControl/>
        <w:jc w:val="center"/>
        <w:rPr>
          <w:rFonts w:ascii="方正小标宋简体" w:hAnsi="宋体" w:eastAsia="方正小标宋简体"/>
          <w:color w:val="000000"/>
          <w:sz w:val="36"/>
          <w:szCs w:val="36"/>
        </w:rPr>
      </w:pPr>
    </w:p>
    <w:p w14:paraId="0ADBCF23">
      <w:pPr>
        <w:rPr>
          <w:rFonts w:ascii="方正小标宋简体" w:hAnsi="宋体" w:eastAsia="方正小标宋简体"/>
          <w:sz w:val="36"/>
          <w:szCs w:val="36"/>
        </w:rPr>
      </w:pPr>
    </w:p>
    <w:p w14:paraId="1575C5C4">
      <w:pPr>
        <w:rPr>
          <w:rFonts w:ascii="方正小标宋简体" w:hAnsi="宋体" w:eastAsia="方正小标宋简体"/>
          <w:sz w:val="36"/>
          <w:szCs w:val="36"/>
        </w:rPr>
      </w:pPr>
    </w:p>
    <w:p w14:paraId="26AE139D">
      <w:pPr>
        <w:rPr>
          <w:rFonts w:ascii="方正小标宋简体" w:hAnsi="宋体" w:eastAsia="方正小标宋简体"/>
          <w:sz w:val="36"/>
          <w:szCs w:val="36"/>
        </w:rPr>
      </w:pPr>
    </w:p>
    <w:p w14:paraId="70DC5B5E">
      <w:pPr>
        <w:rPr>
          <w:rFonts w:ascii="方正小标宋简体" w:hAnsi="宋体" w:eastAsia="方正小标宋简体"/>
          <w:sz w:val="36"/>
          <w:szCs w:val="36"/>
        </w:rPr>
      </w:pPr>
    </w:p>
    <w:p w14:paraId="5070A39B">
      <w:pPr>
        <w:widowControl/>
        <w:jc w:val="center"/>
        <w:rPr>
          <w:rFonts w:ascii="方正小标宋简体" w:hAnsi="宋体" w:eastAsia="方正小标宋简体"/>
          <w:sz w:val="36"/>
          <w:szCs w:val="36"/>
        </w:rPr>
      </w:pPr>
    </w:p>
    <w:p w14:paraId="6FE59138">
      <w:pPr>
        <w:widowControl/>
        <w:jc w:val="right"/>
        <w:rPr>
          <w:rFonts w:ascii="方正小标宋简体" w:hAnsi="宋体" w:eastAsia="方正小标宋简体"/>
          <w:sz w:val="36"/>
          <w:szCs w:val="36"/>
        </w:rPr>
      </w:pPr>
    </w:p>
    <w:p w14:paraId="57BC315E">
      <w:pPr>
        <w:widowControl/>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目录</w:t>
      </w:r>
    </w:p>
    <w:p w14:paraId="46A44816">
      <w:pPr>
        <w:pStyle w:val="11"/>
        <w:ind w:firstLine="1960" w:firstLineChars="700"/>
        <w:jc w:val="both"/>
      </w:pPr>
      <w:r>
        <w:rPr>
          <w:rFonts w:hint="eastAsia"/>
        </w:rPr>
        <w:t>公开时间：2021年</w:t>
      </w:r>
      <w:r>
        <w:rPr>
          <w:rFonts w:hint="eastAsia"/>
          <w:lang w:val="en-US" w:eastAsia="zh-CN"/>
        </w:rPr>
        <w:t>10</w:t>
      </w:r>
      <w:r>
        <w:rPr>
          <w:rFonts w:hint="eastAsia"/>
        </w:rPr>
        <w:t>月2</w:t>
      </w:r>
      <w:r>
        <w:rPr>
          <w:rFonts w:hint="eastAsia"/>
          <w:lang w:val="en-US" w:eastAsia="zh-CN"/>
        </w:rPr>
        <w:t>0</w:t>
      </w:r>
      <w:r>
        <w:rPr>
          <w:rFonts w:hint="eastAsia"/>
        </w:rPr>
        <w:t>日</w:t>
      </w:r>
    </w:p>
    <w:sdt>
      <w:sdtPr>
        <w:rPr>
          <w:rFonts w:ascii="Times New Roman" w:hAnsi="Times New Roman" w:eastAsia="宋体" w:cs="Times New Roman"/>
          <w:b w:val="0"/>
          <w:bCs w:val="0"/>
          <w:color w:val="auto"/>
          <w:kern w:val="2"/>
          <w:sz w:val="21"/>
          <w:szCs w:val="24"/>
          <w:lang w:val="zh-CN"/>
        </w:rPr>
        <w:id w:val="864955229"/>
        <w:docPartObj>
          <w:docPartGallery w:val="Table of Contents"/>
          <w:docPartUnique/>
        </w:docPartObj>
      </w:sdtPr>
      <w:sdtEndPr>
        <w:rPr>
          <w:rFonts w:ascii="Times New Roman" w:hAnsi="Times New Roman" w:eastAsia="宋体" w:cs="Times New Roman"/>
          <w:b w:val="0"/>
          <w:bCs w:val="0"/>
          <w:color w:val="auto"/>
          <w:kern w:val="2"/>
          <w:sz w:val="21"/>
          <w:szCs w:val="24"/>
          <w:lang w:val="en-US"/>
        </w:rPr>
      </w:sdtEndPr>
      <w:sdtContent>
        <w:p w14:paraId="79E33689">
          <w:pPr>
            <w:pStyle w:val="31"/>
            <w:spacing w:before="0" w:line="240" w:lineRule="auto"/>
          </w:pPr>
          <w:r>
            <w:fldChar w:fldCharType="begin"/>
          </w:r>
          <w:r>
            <w:instrText xml:space="preserve"> TOC \o "1-3" \h \z \u </w:instrText>
          </w:r>
          <w:r>
            <w:fldChar w:fldCharType="separate"/>
          </w:r>
        </w:p>
        <w:p w14:paraId="602FA114">
          <w:pPr>
            <w:pStyle w:val="11"/>
            <w:rPr>
              <w:rFonts w:asciiTheme="minorHAnsi" w:hAnsiTheme="minorHAnsi" w:eastAsiaTheme="minorEastAsia" w:cstheme="minorBidi"/>
              <w:sz w:val="21"/>
              <w:szCs w:val="22"/>
            </w:rPr>
          </w:pPr>
          <w:r>
            <w:fldChar w:fldCharType="begin"/>
          </w:r>
          <w:r>
            <w:instrText xml:space="preserve"> HYPERLINK \l "_Toc52180065" </w:instrText>
          </w:r>
          <w:r>
            <w:fldChar w:fldCharType="separate"/>
          </w:r>
          <w:r>
            <w:rPr>
              <w:rStyle w:val="17"/>
              <w:rFonts w:hint="eastAsia" w:ascii="黑体" w:hAnsi="黑体" w:eastAsia="黑体"/>
            </w:rPr>
            <w:t>第一部分</w:t>
          </w:r>
          <w:r>
            <w:rPr>
              <w:rStyle w:val="17"/>
              <w:rFonts w:ascii="黑体" w:hAnsi="黑体" w:eastAsia="黑体"/>
            </w:rPr>
            <w:t xml:space="preserve"> </w:t>
          </w:r>
          <w:r>
            <w:rPr>
              <w:rStyle w:val="17"/>
              <w:rFonts w:hint="eastAsia" w:ascii="黑体" w:hAnsi="黑体" w:eastAsia="黑体"/>
            </w:rPr>
            <w:t>部门概况</w:t>
          </w:r>
          <w:r>
            <w:tab/>
          </w:r>
          <w:r>
            <w:fldChar w:fldCharType="begin"/>
          </w:r>
          <w:r>
            <w:instrText xml:space="preserve"> PAGEREF _Toc52180065 \h </w:instrText>
          </w:r>
          <w:r>
            <w:fldChar w:fldCharType="separate"/>
          </w:r>
          <w:r>
            <w:t>3</w:t>
          </w:r>
          <w:r>
            <w:fldChar w:fldCharType="end"/>
          </w:r>
          <w:r>
            <w:fldChar w:fldCharType="end"/>
          </w:r>
        </w:p>
        <w:p w14:paraId="3C608E74">
          <w:pPr>
            <w:pStyle w:val="12"/>
            <w:rPr>
              <w:rFonts w:asciiTheme="minorHAnsi" w:hAnsiTheme="minorHAnsi" w:eastAsiaTheme="minorEastAsia" w:cstheme="minorBidi"/>
              <w:szCs w:val="22"/>
            </w:rPr>
          </w:pPr>
          <w:r>
            <w:fldChar w:fldCharType="begin"/>
          </w:r>
          <w:r>
            <w:instrText xml:space="preserve"> HYPERLINK \l "_Toc52180066" </w:instrText>
          </w:r>
          <w:r>
            <w:fldChar w:fldCharType="separate"/>
          </w:r>
          <w:r>
            <w:rPr>
              <w:rStyle w:val="17"/>
              <w:rFonts w:hint="eastAsia" w:ascii="黑体" w:hAnsi="黑体" w:eastAsia="黑体"/>
            </w:rPr>
            <w:t>一、基本职能及主要工作</w:t>
          </w:r>
          <w:r>
            <w:tab/>
          </w:r>
          <w:r>
            <w:fldChar w:fldCharType="begin"/>
          </w:r>
          <w:r>
            <w:instrText xml:space="preserve"> PAGEREF _Toc52180066 \h </w:instrText>
          </w:r>
          <w:r>
            <w:fldChar w:fldCharType="separate"/>
          </w:r>
          <w:r>
            <w:t>3</w:t>
          </w:r>
          <w:r>
            <w:fldChar w:fldCharType="end"/>
          </w:r>
          <w:r>
            <w:fldChar w:fldCharType="end"/>
          </w:r>
        </w:p>
        <w:p w14:paraId="36176D73">
          <w:pPr>
            <w:pStyle w:val="12"/>
            <w:rPr>
              <w:rFonts w:asciiTheme="minorHAnsi" w:hAnsiTheme="minorHAnsi" w:eastAsiaTheme="minorEastAsia" w:cstheme="minorBidi"/>
              <w:szCs w:val="22"/>
            </w:rPr>
          </w:pPr>
          <w:r>
            <w:fldChar w:fldCharType="begin"/>
          </w:r>
          <w:r>
            <w:instrText xml:space="preserve"> HYPERLINK \l "_Toc52180069" </w:instrText>
          </w:r>
          <w:r>
            <w:fldChar w:fldCharType="separate"/>
          </w:r>
          <w:r>
            <w:rPr>
              <w:rStyle w:val="17"/>
              <w:rFonts w:hint="eastAsia" w:ascii="黑体" w:eastAsia="黑体"/>
            </w:rPr>
            <w:t>二、</w:t>
          </w:r>
          <w:r>
            <w:rPr>
              <w:rStyle w:val="17"/>
              <w:rFonts w:hint="eastAsia" w:ascii="黑体" w:hAnsi="黑体" w:eastAsia="黑体"/>
            </w:rPr>
            <w:t>机构设置</w:t>
          </w:r>
          <w:r>
            <w:tab/>
          </w:r>
          <w:r>
            <w:fldChar w:fldCharType="begin"/>
          </w:r>
          <w:r>
            <w:instrText xml:space="preserve"> PAGEREF _Toc52180069 \h </w:instrText>
          </w:r>
          <w:r>
            <w:fldChar w:fldCharType="separate"/>
          </w:r>
          <w:r>
            <w:t>3</w:t>
          </w:r>
          <w:r>
            <w:fldChar w:fldCharType="end"/>
          </w:r>
          <w:r>
            <w:fldChar w:fldCharType="end"/>
          </w:r>
        </w:p>
        <w:p w14:paraId="66995110">
          <w:pPr>
            <w:pStyle w:val="11"/>
            <w:rPr>
              <w:rFonts w:asciiTheme="minorHAnsi" w:hAnsiTheme="minorHAnsi" w:eastAsiaTheme="minorEastAsia" w:cstheme="minorBidi"/>
              <w:sz w:val="21"/>
              <w:szCs w:val="22"/>
            </w:rPr>
          </w:pPr>
          <w:r>
            <w:fldChar w:fldCharType="begin"/>
          </w:r>
          <w:r>
            <w:instrText xml:space="preserve"> HYPERLINK \l "_Toc52180073" </w:instrText>
          </w:r>
          <w:r>
            <w:fldChar w:fldCharType="separate"/>
          </w:r>
          <w:r>
            <w:rPr>
              <w:rStyle w:val="17"/>
              <w:rFonts w:hint="eastAsia" w:ascii="黑体" w:hAnsi="黑体" w:eastAsia="黑体"/>
            </w:rPr>
            <w:t>第二部分</w:t>
          </w:r>
          <w:r>
            <w:rPr>
              <w:rStyle w:val="17"/>
              <w:rFonts w:ascii="黑体" w:hAnsi="黑体" w:eastAsia="黑体"/>
            </w:rPr>
            <w:t xml:space="preserve"> 20</w:t>
          </w:r>
          <w:r>
            <w:rPr>
              <w:rStyle w:val="17"/>
              <w:rFonts w:hint="eastAsia" w:ascii="黑体" w:hAnsi="黑体" w:eastAsia="黑体"/>
            </w:rPr>
            <w:t>20年度部门决算情况说明</w:t>
          </w:r>
          <w:r>
            <w:tab/>
          </w:r>
          <w:r>
            <w:fldChar w:fldCharType="begin"/>
          </w:r>
          <w:r>
            <w:instrText xml:space="preserve"> PAGEREF _Toc52180073 \h </w:instrText>
          </w:r>
          <w:r>
            <w:fldChar w:fldCharType="separate"/>
          </w:r>
          <w:r>
            <w:t>4</w:t>
          </w:r>
          <w:r>
            <w:fldChar w:fldCharType="end"/>
          </w:r>
          <w:r>
            <w:fldChar w:fldCharType="end"/>
          </w:r>
        </w:p>
        <w:p w14:paraId="66B9075F">
          <w:pPr>
            <w:pStyle w:val="12"/>
            <w:tabs>
              <w:tab w:val="left" w:pos="1260"/>
            </w:tabs>
            <w:rPr>
              <w:rFonts w:asciiTheme="minorHAnsi" w:hAnsiTheme="minorHAnsi" w:eastAsiaTheme="minorEastAsia" w:cstheme="minorBidi"/>
              <w:szCs w:val="22"/>
            </w:rPr>
          </w:pPr>
          <w:r>
            <w:fldChar w:fldCharType="begin"/>
          </w:r>
          <w:r>
            <w:instrText xml:space="preserve"> HYPERLINK \l "_Toc52180074" </w:instrText>
          </w:r>
          <w:r>
            <w:fldChar w:fldCharType="separate"/>
          </w:r>
          <w:r>
            <w:rPr>
              <w:rStyle w:val="17"/>
              <w:rFonts w:hint="eastAsia" w:ascii="黑体" w:hAnsi="黑体" w:eastAsia="黑体" w:cstheme="majorBidi"/>
              <w:bCs/>
            </w:rPr>
            <w:t>一、</w:t>
          </w:r>
          <w:r>
            <w:rPr>
              <w:rFonts w:asciiTheme="minorHAnsi" w:hAnsiTheme="minorHAnsi" w:eastAsiaTheme="minorEastAsia" w:cstheme="minorBidi"/>
              <w:szCs w:val="22"/>
            </w:rPr>
            <w:tab/>
          </w:r>
          <w:r>
            <w:rPr>
              <w:rStyle w:val="17"/>
              <w:rFonts w:hint="eastAsia" w:ascii="黑体" w:hAnsi="黑体" w:eastAsia="黑体"/>
            </w:rPr>
            <w:t>收</w:t>
          </w:r>
          <w:r>
            <w:rPr>
              <w:rStyle w:val="17"/>
              <w:rFonts w:hint="eastAsia" w:ascii="黑体" w:hAnsi="黑体" w:eastAsia="黑体" w:cstheme="majorBidi"/>
              <w:bCs/>
            </w:rPr>
            <w:t>入支出决算总体情况说明</w:t>
          </w:r>
          <w:r>
            <w:tab/>
          </w:r>
          <w:r>
            <w:fldChar w:fldCharType="begin"/>
          </w:r>
          <w:r>
            <w:instrText xml:space="preserve"> PAGEREF _Toc52180074 \h </w:instrText>
          </w:r>
          <w:r>
            <w:fldChar w:fldCharType="separate"/>
          </w:r>
          <w:r>
            <w:t>4</w:t>
          </w:r>
          <w:r>
            <w:fldChar w:fldCharType="end"/>
          </w:r>
          <w:r>
            <w:fldChar w:fldCharType="end"/>
          </w:r>
        </w:p>
        <w:p w14:paraId="7E66E7A4">
          <w:pPr>
            <w:pStyle w:val="12"/>
            <w:tabs>
              <w:tab w:val="left" w:pos="1260"/>
            </w:tabs>
            <w:rPr>
              <w:rFonts w:asciiTheme="minorHAnsi" w:hAnsiTheme="minorHAnsi" w:eastAsiaTheme="minorEastAsia" w:cstheme="minorBidi"/>
              <w:szCs w:val="22"/>
            </w:rPr>
          </w:pPr>
          <w:r>
            <w:fldChar w:fldCharType="begin"/>
          </w:r>
          <w:r>
            <w:instrText xml:space="preserve"> HYPERLINK \l "_Toc52180075" </w:instrText>
          </w:r>
          <w:r>
            <w:fldChar w:fldCharType="separate"/>
          </w:r>
          <w:r>
            <w:rPr>
              <w:rStyle w:val="17"/>
              <w:rFonts w:hint="eastAsia" w:ascii="黑体" w:hAnsi="黑体" w:eastAsia="黑体" w:cstheme="majorBidi"/>
              <w:bCs/>
            </w:rPr>
            <w:t>二、</w:t>
          </w:r>
          <w:r>
            <w:rPr>
              <w:rFonts w:asciiTheme="minorHAnsi" w:hAnsiTheme="minorHAnsi" w:eastAsiaTheme="minorEastAsia" w:cstheme="minorBidi"/>
              <w:szCs w:val="22"/>
            </w:rPr>
            <w:tab/>
          </w:r>
          <w:r>
            <w:rPr>
              <w:rStyle w:val="17"/>
              <w:rFonts w:hint="eastAsia" w:ascii="黑体" w:hAnsi="黑体" w:eastAsia="黑体"/>
            </w:rPr>
            <w:t>收</w:t>
          </w:r>
          <w:r>
            <w:rPr>
              <w:rStyle w:val="17"/>
              <w:rFonts w:hint="eastAsia" w:ascii="黑体" w:hAnsi="黑体" w:eastAsia="黑体" w:cstheme="majorBidi"/>
              <w:bCs/>
            </w:rPr>
            <w:t>入决算情况说明</w:t>
          </w:r>
          <w:r>
            <w:tab/>
          </w:r>
          <w:r>
            <w:fldChar w:fldCharType="begin"/>
          </w:r>
          <w:r>
            <w:instrText xml:space="preserve"> PAGEREF _Toc52180075 \h </w:instrText>
          </w:r>
          <w:r>
            <w:fldChar w:fldCharType="separate"/>
          </w:r>
          <w:r>
            <w:t>4</w:t>
          </w:r>
          <w:r>
            <w:fldChar w:fldCharType="end"/>
          </w:r>
          <w:r>
            <w:fldChar w:fldCharType="end"/>
          </w:r>
        </w:p>
        <w:p w14:paraId="11680FD0">
          <w:pPr>
            <w:pStyle w:val="12"/>
            <w:tabs>
              <w:tab w:val="left" w:pos="1260"/>
            </w:tabs>
            <w:rPr>
              <w:rFonts w:asciiTheme="minorHAnsi" w:hAnsiTheme="minorHAnsi" w:eastAsiaTheme="minorEastAsia" w:cstheme="minorBidi"/>
              <w:szCs w:val="22"/>
            </w:rPr>
          </w:pPr>
          <w:r>
            <w:fldChar w:fldCharType="begin"/>
          </w:r>
          <w:r>
            <w:instrText xml:space="preserve"> HYPERLINK \l "_Toc52180077" </w:instrText>
          </w:r>
          <w:r>
            <w:fldChar w:fldCharType="separate"/>
          </w:r>
          <w:r>
            <w:rPr>
              <w:rStyle w:val="17"/>
              <w:rFonts w:hint="eastAsia" w:ascii="黑体" w:hAnsi="黑体" w:eastAsia="黑体" w:cstheme="majorBidi"/>
              <w:bCs/>
            </w:rPr>
            <w:t>三、</w:t>
          </w:r>
          <w:r>
            <w:rPr>
              <w:rFonts w:asciiTheme="minorHAnsi" w:hAnsiTheme="minorHAnsi" w:eastAsiaTheme="minorEastAsia" w:cstheme="minorBidi"/>
              <w:szCs w:val="22"/>
            </w:rPr>
            <w:tab/>
          </w:r>
          <w:r>
            <w:rPr>
              <w:rStyle w:val="17"/>
              <w:rFonts w:hint="eastAsia" w:ascii="黑体" w:hAnsi="黑体" w:eastAsia="黑体"/>
            </w:rPr>
            <w:t>支</w:t>
          </w:r>
          <w:r>
            <w:rPr>
              <w:rStyle w:val="17"/>
              <w:rFonts w:hint="eastAsia" w:ascii="黑体" w:hAnsi="黑体" w:eastAsia="黑体" w:cstheme="majorBidi"/>
              <w:bCs/>
            </w:rPr>
            <w:t>出决算情况说明</w:t>
          </w:r>
          <w:r>
            <w:tab/>
          </w:r>
          <w:r>
            <w:rPr>
              <w:rFonts w:hint="eastAsia"/>
              <w:lang w:val="en-US" w:eastAsia="zh-CN"/>
            </w:rPr>
            <w:t>4</w:t>
          </w:r>
          <w:r>
            <w:rPr>
              <w:rFonts w:hint="eastAsia"/>
            </w:rPr>
            <w:fldChar w:fldCharType="end"/>
          </w:r>
        </w:p>
        <w:p w14:paraId="62DB7D41">
          <w:pPr>
            <w:pStyle w:val="12"/>
            <w:rPr>
              <w:rFonts w:asciiTheme="minorHAnsi" w:hAnsiTheme="minorHAnsi" w:eastAsiaTheme="minorEastAsia" w:cstheme="minorBidi"/>
              <w:szCs w:val="22"/>
            </w:rPr>
          </w:pPr>
          <w:r>
            <w:fldChar w:fldCharType="begin"/>
          </w:r>
          <w:r>
            <w:instrText xml:space="preserve"> HYPERLINK \l "_Toc52180079" </w:instrText>
          </w:r>
          <w:r>
            <w:fldChar w:fldCharType="separate"/>
          </w:r>
          <w:r>
            <w:rPr>
              <w:rStyle w:val="17"/>
              <w:rFonts w:hint="eastAsia" w:ascii="黑体" w:hAnsi="黑体" w:eastAsia="黑体"/>
            </w:rPr>
            <w:t>四、财</w:t>
          </w:r>
          <w:r>
            <w:rPr>
              <w:rStyle w:val="17"/>
              <w:rFonts w:hint="eastAsia" w:ascii="黑体" w:hAnsi="黑体" w:eastAsia="黑体" w:cstheme="majorBidi"/>
              <w:bCs/>
            </w:rPr>
            <w:t>政拨款收入支出决算总体情况说明</w:t>
          </w:r>
          <w:r>
            <w:tab/>
          </w:r>
          <w:r>
            <w:fldChar w:fldCharType="begin"/>
          </w:r>
          <w:r>
            <w:instrText xml:space="preserve"> PAGEREF _Toc52180079 \h </w:instrText>
          </w:r>
          <w:r>
            <w:fldChar w:fldCharType="separate"/>
          </w:r>
          <w:r>
            <w:t>5</w:t>
          </w:r>
          <w:r>
            <w:fldChar w:fldCharType="end"/>
          </w:r>
          <w:r>
            <w:fldChar w:fldCharType="end"/>
          </w:r>
        </w:p>
        <w:p w14:paraId="00CC1194">
          <w:pPr>
            <w:pStyle w:val="12"/>
            <w:rPr>
              <w:rFonts w:asciiTheme="minorHAnsi" w:hAnsiTheme="minorHAnsi" w:eastAsiaTheme="minorEastAsia" w:cstheme="minorBidi"/>
              <w:szCs w:val="22"/>
            </w:rPr>
          </w:pPr>
          <w:r>
            <w:fldChar w:fldCharType="begin"/>
          </w:r>
          <w:r>
            <w:instrText xml:space="preserve"> HYPERLINK \l "_Toc52180080" </w:instrText>
          </w:r>
          <w:r>
            <w:fldChar w:fldCharType="separate"/>
          </w:r>
          <w:r>
            <w:rPr>
              <w:rStyle w:val="17"/>
              <w:rFonts w:hint="eastAsia" w:ascii="黑体" w:hAnsi="黑体" w:eastAsia="黑体"/>
            </w:rPr>
            <w:t>五、</w:t>
          </w:r>
          <w:r>
            <w:rPr>
              <w:rStyle w:val="17"/>
              <w:rFonts w:hint="eastAsia" w:ascii="黑体" w:hAnsi="黑体" w:eastAsia="黑体"/>
              <w:b/>
            </w:rPr>
            <w:t>一</w:t>
          </w:r>
          <w:r>
            <w:rPr>
              <w:rStyle w:val="17"/>
              <w:rFonts w:hint="eastAsia" w:ascii="黑体" w:hAnsi="黑体" w:eastAsia="黑体" w:cstheme="majorBidi"/>
              <w:bCs/>
            </w:rPr>
            <w:t>般公共预算财政拨款支出决算情况说明</w:t>
          </w:r>
          <w:r>
            <w:tab/>
          </w:r>
          <w:r>
            <w:fldChar w:fldCharType="begin"/>
          </w:r>
          <w:r>
            <w:instrText xml:space="preserve"> PAGEREF _Toc52180080 \h </w:instrText>
          </w:r>
          <w:r>
            <w:fldChar w:fldCharType="separate"/>
          </w:r>
          <w:r>
            <w:t>5</w:t>
          </w:r>
          <w:r>
            <w:fldChar w:fldCharType="end"/>
          </w:r>
          <w:r>
            <w:fldChar w:fldCharType="end"/>
          </w:r>
        </w:p>
        <w:p w14:paraId="4C12150A">
          <w:pPr>
            <w:pStyle w:val="12"/>
            <w:rPr>
              <w:rFonts w:asciiTheme="minorHAnsi" w:hAnsiTheme="minorHAnsi" w:eastAsiaTheme="minorEastAsia" w:cstheme="minorBidi"/>
              <w:szCs w:val="22"/>
            </w:rPr>
          </w:pPr>
          <w:r>
            <w:fldChar w:fldCharType="begin"/>
          </w:r>
          <w:r>
            <w:instrText xml:space="preserve"> HYPERLINK \l "_Toc52180085" </w:instrText>
          </w:r>
          <w:r>
            <w:fldChar w:fldCharType="separate"/>
          </w:r>
          <w:r>
            <w:rPr>
              <w:rStyle w:val="17"/>
              <w:rFonts w:hint="eastAsia" w:ascii="黑体" w:eastAsia="黑体"/>
            </w:rPr>
            <w:t>六</w:t>
          </w:r>
          <w:r>
            <w:rPr>
              <w:rStyle w:val="17"/>
              <w:rFonts w:hint="eastAsia" w:ascii="黑体" w:eastAsia="黑体"/>
              <w:b/>
            </w:rPr>
            <w:t>、</w:t>
          </w:r>
          <w:r>
            <w:rPr>
              <w:rStyle w:val="17"/>
              <w:rFonts w:hint="eastAsia" w:ascii="黑体" w:hAnsi="黑体" w:eastAsia="黑体"/>
              <w:b/>
            </w:rPr>
            <w:t>一</w:t>
          </w:r>
          <w:r>
            <w:rPr>
              <w:rStyle w:val="17"/>
              <w:rFonts w:hint="eastAsia" w:ascii="黑体" w:hAnsi="黑体" w:eastAsia="黑体" w:cstheme="majorBidi"/>
              <w:bCs/>
            </w:rPr>
            <w:t>般公共预算财政拨款基本支出决算情况说明</w:t>
          </w:r>
          <w:r>
            <w:tab/>
          </w:r>
          <w:r>
            <w:fldChar w:fldCharType="begin"/>
          </w:r>
          <w:r>
            <w:instrText xml:space="preserve"> PAGEREF _Toc52180085 \h </w:instrText>
          </w:r>
          <w:r>
            <w:fldChar w:fldCharType="separate"/>
          </w:r>
          <w:r>
            <w:t>6</w:t>
          </w:r>
          <w:r>
            <w:fldChar w:fldCharType="end"/>
          </w:r>
          <w:r>
            <w:fldChar w:fldCharType="end"/>
          </w:r>
        </w:p>
        <w:p w14:paraId="1065928E">
          <w:pPr>
            <w:pStyle w:val="12"/>
            <w:rPr>
              <w:rFonts w:hint="eastAsia" w:eastAsia="宋体" w:asciiTheme="minorHAnsi" w:hAnsiTheme="minorHAnsi" w:cstheme="minorBidi"/>
              <w:szCs w:val="22"/>
              <w:lang w:val="en-US" w:eastAsia="zh-CN"/>
            </w:rPr>
          </w:pPr>
          <w:r>
            <w:fldChar w:fldCharType="begin"/>
          </w:r>
          <w:r>
            <w:instrText xml:space="preserve"> HYPERLINK \l "_Toc52180086" </w:instrText>
          </w:r>
          <w:r>
            <w:fldChar w:fldCharType="separate"/>
          </w:r>
          <w:r>
            <w:rPr>
              <w:rStyle w:val="17"/>
              <w:rFonts w:hint="eastAsia" w:ascii="黑体" w:eastAsia="黑体"/>
            </w:rPr>
            <w:t>七、</w:t>
          </w:r>
          <w:r>
            <w:rPr>
              <w:rStyle w:val="17"/>
              <w:rFonts w:ascii="黑体" w:hAnsi="黑体" w:eastAsia="黑体" w:cstheme="majorBidi"/>
              <w:b/>
              <w:bCs/>
            </w:rPr>
            <w:t>“</w:t>
          </w:r>
          <w:r>
            <w:rPr>
              <w:rStyle w:val="17"/>
              <w:rFonts w:hint="eastAsia" w:ascii="黑体" w:hAnsi="黑体" w:eastAsia="黑体" w:cstheme="majorBidi"/>
              <w:bCs/>
            </w:rPr>
            <w:t>三公”经费财政拨款支出决算情况说明</w:t>
          </w:r>
          <w:r>
            <w:tab/>
          </w:r>
          <w:r>
            <w:rPr>
              <w:rFonts w:hint="eastAsia"/>
              <w:lang w:val="en-US" w:eastAsia="zh-CN"/>
            </w:rPr>
            <w:t>6</w:t>
          </w:r>
          <w:r>
            <w:fldChar w:fldCharType="end"/>
          </w:r>
        </w:p>
        <w:p w14:paraId="66E9BEA6">
          <w:pPr>
            <w:pStyle w:val="12"/>
            <w:rPr>
              <w:rFonts w:hint="eastAsia" w:eastAsia="宋体" w:asciiTheme="minorHAnsi" w:hAnsiTheme="minorHAnsi" w:cstheme="minorBidi"/>
              <w:szCs w:val="22"/>
              <w:lang w:val="en-US" w:eastAsia="zh-CN"/>
            </w:rPr>
          </w:pPr>
          <w:r>
            <w:fldChar w:fldCharType="begin"/>
          </w:r>
          <w:r>
            <w:instrText xml:space="preserve"> HYPERLINK \l "_Toc52180089" </w:instrText>
          </w:r>
          <w:r>
            <w:fldChar w:fldCharType="separate"/>
          </w:r>
          <w:r>
            <w:rPr>
              <w:rStyle w:val="17"/>
              <w:rFonts w:hint="eastAsia" w:ascii="黑体" w:eastAsia="黑体"/>
            </w:rPr>
            <w:t>八、</w:t>
          </w:r>
          <w:r>
            <w:rPr>
              <w:rStyle w:val="17"/>
              <w:rFonts w:hint="eastAsia" w:ascii="黑体" w:hAnsi="黑体" w:eastAsia="黑体" w:cstheme="majorBidi"/>
              <w:bCs/>
            </w:rPr>
            <w:t>政府性基金预算支出决算情况说明</w:t>
          </w:r>
          <w:r>
            <w:tab/>
          </w:r>
          <w:r>
            <w:rPr>
              <w:rFonts w:hint="eastAsia"/>
              <w:lang w:val="en-US" w:eastAsia="zh-CN"/>
            </w:rPr>
            <w:t>8</w:t>
          </w:r>
          <w:r>
            <w:rPr>
              <w:rFonts w:hint="eastAsia"/>
            </w:rPr>
            <w:fldChar w:fldCharType="end"/>
          </w:r>
        </w:p>
        <w:p w14:paraId="722146AA">
          <w:pPr>
            <w:pStyle w:val="12"/>
            <w:rPr>
              <w:rFonts w:hint="default" w:eastAsia="宋体" w:asciiTheme="minorHAnsi" w:hAnsiTheme="minorHAnsi" w:cstheme="minorBidi"/>
              <w:szCs w:val="22"/>
              <w:lang w:val="en-US" w:eastAsia="zh-CN"/>
            </w:rPr>
          </w:pPr>
          <w:r>
            <w:fldChar w:fldCharType="begin"/>
          </w:r>
          <w:r>
            <w:instrText xml:space="preserve"> HYPERLINK \l "_Toc52180090" </w:instrText>
          </w:r>
          <w:r>
            <w:fldChar w:fldCharType="separate"/>
          </w:r>
          <w:r>
            <w:rPr>
              <w:rStyle w:val="17"/>
              <w:rFonts w:hint="eastAsia" w:ascii="黑体" w:hAnsi="黑体" w:eastAsia="黑体" w:cstheme="majorBidi"/>
              <w:bCs/>
            </w:rPr>
            <w:t>九、 国有资本经营预算支出决算情况说明</w:t>
          </w:r>
          <w:r>
            <w:tab/>
          </w:r>
          <w:r>
            <w:rPr>
              <w:rFonts w:hint="eastAsia"/>
              <w:lang w:val="en-US" w:eastAsia="zh-CN"/>
            </w:rPr>
            <w:t>8</w:t>
          </w:r>
          <w:r>
            <w:rPr>
              <w:rFonts w:hint="eastAsia"/>
            </w:rPr>
            <w:fldChar w:fldCharType="end"/>
          </w:r>
        </w:p>
        <w:p w14:paraId="7ADCC124">
          <w:pPr>
            <w:pStyle w:val="12"/>
            <w:rPr>
              <w:rFonts w:hint="eastAsia" w:eastAsia="宋体" w:asciiTheme="minorHAnsi" w:hAnsiTheme="minorHAnsi" w:cstheme="minorBidi"/>
              <w:szCs w:val="22"/>
              <w:lang w:val="en-US" w:eastAsia="zh-CN"/>
            </w:rPr>
          </w:pPr>
          <w:r>
            <w:fldChar w:fldCharType="begin"/>
          </w:r>
          <w:r>
            <w:instrText xml:space="preserve"> HYPERLINK \l "_Toc52180091" </w:instrText>
          </w:r>
          <w:r>
            <w:fldChar w:fldCharType="separate"/>
          </w:r>
          <w:r>
            <w:rPr>
              <w:rStyle w:val="17"/>
              <w:rFonts w:hint="eastAsia" w:ascii="黑体" w:hAnsi="黑体" w:eastAsia="黑体"/>
            </w:rPr>
            <w:t>十</w:t>
          </w:r>
          <w:r>
            <w:rPr>
              <w:rStyle w:val="17"/>
              <w:rFonts w:hint="eastAsia" w:ascii="黑体" w:hAnsi="黑体" w:eastAsia="黑体" w:cstheme="majorBidi"/>
              <w:b/>
              <w:bCs/>
            </w:rPr>
            <w:t>、</w:t>
          </w:r>
          <w:r>
            <w:rPr>
              <w:rStyle w:val="17"/>
              <w:rFonts w:hint="eastAsia" w:ascii="黑体" w:hAnsi="黑体" w:eastAsia="黑体" w:cstheme="majorBidi"/>
              <w:bCs/>
            </w:rPr>
            <w:t>其他重要事项的情况说明</w:t>
          </w:r>
          <w:r>
            <w:tab/>
          </w:r>
          <w:r>
            <w:rPr>
              <w:rFonts w:hint="eastAsia"/>
              <w:lang w:val="en-US" w:eastAsia="zh-CN"/>
            </w:rPr>
            <w:t>8</w:t>
          </w:r>
          <w:r>
            <w:rPr>
              <w:rFonts w:hint="eastAsia"/>
            </w:rPr>
            <w:fldChar w:fldCharType="end"/>
          </w:r>
        </w:p>
        <w:p w14:paraId="0F7A9567">
          <w:pPr>
            <w:pStyle w:val="11"/>
            <w:rPr>
              <w:rFonts w:hint="eastAsia" w:eastAsia="仿宋" w:asciiTheme="minorHAnsi" w:hAnsiTheme="minorHAnsi" w:cstheme="minorBidi"/>
              <w:sz w:val="21"/>
              <w:szCs w:val="22"/>
              <w:lang w:val="en-US" w:eastAsia="zh-CN"/>
            </w:rPr>
          </w:pPr>
          <w:r>
            <w:fldChar w:fldCharType="begin"/>
          </w:r>
          <w:r>
            <w:instrText xml:space="preserve"> HYPERLINK \l "_Toc52180096" </w:instrText>
          </w:r>
          <w:r>
            <w:fldChar w:fldCharType="separate"/>
          </w:r>
          <w:r>
            <w:rPr>
              <w:rStyle w:val="17"/>
              <w:rFonts w:hint="eastAsia" w:ascii="黑体" w:hAnsi="黑体" w:eastAsia="黑体"/>
              <w:bCs/>
              <w:kern w:val="44"/>
            </w:rPr>
            <w:t>第三部分</w:t>
          </w:r>
          <w:r>
            <w:rPr>
              <w:rStyle w:val="17"/>
              <w:rFonts w:hint="eastAsia" w:ascii="黑体" w:hAnsi="黑体" w:eastAsia="黑体"/>
            </w:rPr>
            <w:t xml:space="preserve"> 名</w:t>
          </w:r>
          <w:r>
            <w:rPr>
              <w:rStyle w:val="17"/>
              <w:rFonts w:hint="eastAsia" w:ascii="黑体" w:hAnsi="黑体" w:eastAsia="黑体"/>
              <w:bCs/>
              <w:kern w:val="44"/>
            </w:rPr>
            <w:t>词解释</w:t>
          </w:r>
          <w:r>
            <w:tab/>
          </w:r>
          <w:r>
            <w:rPr>
              <w:rFonts w:hint="eastAsia"/>
              <w:lang w:val="en-US" w:eastAsia="zh-CN"/>
            </w:rPr>
            <w:t>1</w:t>
          </w:r>
          <w:r>
            <w:fldChar w:fldCharType="end"/>
          </w:r>
          <w:r>
            <w:rPr>
              <w:rFonts w:hint="eastAsia"/>
              <w:lang w:val="en-US" w:eastAsia="zh-CN"/>
            </w:rPr>
            <w:t>8</w:t>
          </w:r>
        </w:p>
        <w:p w14:paraId="085B1001">
          <w:pPr>
            <w:pStyle w:val="11"/>
            <w:rPr>
              <w:rFonts w:hint="eastAsia"/>
              <w:lang w:val="en-US" w:eastAsia="zh-CN"/>
            </w:rPr>
          </w:pPr>
          <w:r>
            <w:fldChar w:fldCharType="begin"/>
          </w:r>
          <w:r>
            <w:instrText xml:space="preserve"> HYPERLINK \l "_Toc52180097" </w:instrText>
          </w:r>
          <w:r>
            <w:fldChar w:fldCharType="separate"/>
          </w:r>
          <w:r>
            <w:rPr>
              <w:rStyle w:val="17"/>
              <w:rFonts w:hint="eastAsia" w:ascii="黑体" w:hAnsi="黑体" w:eastAsia="黑体"/>
            </w:rPr>
            <w:t>第</w:t>
          </w:r>
          <w:r>
            <w:rPr>
              <w:rStyle w:val="17"/>
              <w:rFonts w:hint="eastAsia" w:ascii="黑体" w:hAnsi="黑体" w:eastAsia="黑体"/>
              <w:bCs/>
              <w:kern w:val="44"/>
            </w:rPr>
            <w:t>四部分</w:t>
          </w:r>
          <w:r>
            <w:rPr>
              <w:rStyle w:val="17"/>
              <w:rFonts w:ascii="黑体" w:hAnsi="黑体" w:eastAsia="黑体"/>
              <w:bCs/>
              <w:kern w:val="44"/>
            </w:rPr>
            <w:t xml:space="preserve"> </w:t>
          </w:r>
          <w:r>
            <w:rPr>
              <w:rStyle w:val="17"/>
              <w:rFonts w:hint="eastAsia" w:ascii="黑体" w:hAnsi="黑体" w:eastAsia="黑体"/>
              <w:bCs/>
              <w:kern w:val="44"/>
            </w:rPr>
            <w:t>附件</w:t>
          </w:r>
          <w:r>
            <w:tab/>
          </w:r>
          <w:r>
            <w:rPr>
              <w:rFonts w:hint="eastAsia"/>
              <w:lang w:val="en-US" w:eastAsia="zh-CN"/>
            </w:rPr>
            <w:t>2</w:t>
          </w:r>
          <w:r>
            <w:fldChar w:fldCharType="end"/>
          </w:r>
          <w:r>
            <w:rPr>
              <w:rFonts w:hint="eastAsia"/>
              <w:lang w:val="en-US" w:eastAsia="zh-CN"/>
            </w:rPr>
            <w:t>0</w:t>
          </w:r>
        </w:p>
        <w:p w14:paraId="2ADAA587">
          <w:pPr>
            <w:rPr>
              <w:rFonts w:hint="default"/>
              <w:b w:val="0"/>
              <w:bCs w:val="0"/>
              <w:lang w:val="en-US" w:eastAsia="zh-CN"/>
            </w:rPr>
          </w:pPr>
          <w:r>
            <w:rPr>
              <w:rFonts w:hint="eastAsia"/>
              <w:b w:val="0"/>
              <w:bCs w:val="0"/>
              <w:lang w:val="en-US" w:eastAsia="zh-CN"/>
            </w:rPr>
            <w:t>附件1..............................................................................................................................................20</w:t>
          </w:r>
        </w:p>
        <w:p w14:paraId="5E17C5CB">
          <w:pPr>
            <w:rPr>
              <w:rFonts w:hint="default"/>
              <w:lang w:val="en-US" w:eastAsia="zh-CN"/>
            </w:rPr>
          </w:pPr>
          <w:r>
            <w:rPr>
              <w:rFonts w:hint="eastAsia"/>
              <w:lang w:val="en-US" w:eastAsia="zh-CN"/>
            </w:rPr>
            <w:t>附件2..............................................................................................................................................23</w:t>
          </w:r>
        </w:p>
        <w:p w14:paraId="6B01F4CD">
          <w:pPr>
            <w:pStyle w:val="11"/>
            <w:rPr>
              <w:rFonts w:hint="default" w:eastAsia="仿宋" w:asciiTheme="minorHAnsi" w:hAnsiTheme="minorHAnsi" w:cstheme="minorBidi"/>
              <w:sz w:val="21"/>
              <w:szCs w:val="22"/>
              <w:lang w:val="en-US" w:eastAsia="zh-CN"/>
            </w:rPr>
          </w:pPr>
          <w:r>
            <w:fldChar w:fldCharType="begin"/>
          </w:r>
          <w:r>
            <w:instrText xml:space="preserve"> HYPERLINK \l "_Toc52180099" </w:instrText>
          </w:r>
          <w:r>
            <w:fldChar w:fldCharType="separate"/>
          </w:r>
          <w:r>
            <w:rPr>
              <w:rStyle w:val="17"/>
              <w:rFonts w:hint="eastAsia" w:ascii="黑体" w:hAnsi="黑体" w:eastAsia="黑体"/>
            </w:rPr>
            <w:t>第</w:t>
          </w:r>
          <w:r>
            <w:rPr>
              <w:rStyle w:val="17"/>
              <w:rFonts w:hint="eastAsia" w:ascii="黑体" w:hAnsi="黑体" w:eastAsia="黑体"/>
              <w:bCs/>
              <w:kern w:val="44"/>
            </w:rPr>
            <w:t>五部分</w:t>
          </w:r>
          <w:r>
            <w:rPr>
              <w:rStyle w:val="17"/>
              <w:rFonts w:ascii="黑体" w:hAnsi="黑体" w:eastAsia="黑体"/>
              <w:bCs/>
              <w:kern w:val="44"/>
            </w:rPr>
            <w:t xml:space="preserve"> </w:t>
          </w:r>
          <w:r>
            <w:rPr>
              <w:rStyle w:val="17"/>
              <w:rFonts w:hint="eastAsia" w:ascii="黑体" w:hAnsi="黑体" w:eastAsia="黑体"/>
              <w:bCs/>
              <w:kern w:val="44"/>
            </w:rPr>
            <w:t>附表</w:t>
          </w:r>
          <w:r>
            <w:tab/>
          </w:r>
          <w:r>
            <w:rPr>
              <w:rFonts w:hint="eastAsia"/>
            </w:rPr>
            <w:fldChar w:fldCharType="end"/>
          </w:r>
          <w:r>
            <w:rPr>
              <w:rFonts w:hint="eastAsia"/>
              <w:lang w:val="en-US" w:eastAsia="zh-CN"/>
            </w:rPr>
            <w:t>48</w:t>
          </w:r>
        </w:p>
        <w:p w14:paraId="3D93D603">
          <w:pPr>
            <w:pStyle w:val="12"/>
            <w:rPr>
              <w:rFonts w:hint="default" w:eastAsia="宋体" w:asciiTheme="minorHAnsi" w:hAnsiTheme="minorHAnsi" w:cstheme="minorBidi"/>
              <w:szCs w:val="22"/>
              <w:lang w:val="en-US" w:eastAsia="zh-CN"/>
            </w:rPr>
          </w:pPr>
          <w:r>
            <w:fldChar w:fldCharType="begin"/>
          </w:r>
          <w:r>
            <w:instrText xml:space="preserve"> HYPERLINK \l "_Toc52180100" </w:instrText>
          </w:r>
          <w:r>
            <w:fldChar w:fldCharType="separate"/>
          </w:r>
          <w:r>
            <w:rPr>
              <w:rStyle w:val="17"/>
              <w:rFonts w:hint="eastAsia" w:ascii="仿宋" w:hAnsi="仿宋" w:eastAsia="仿宋"/>
            </w:rPr>
            <w:t>一、收入支出决算总表</w:t>
          </w:r>
          <w:r>
            <w:tab/>
          </w:r>
          <w:r>
            <w:rPr>
              <w:rFonts w:hint="eastAsia"/>
            </w:rPr>
            <w:fldChar w:fldCharType="end"/>
          </w:r>
          <w:r>
            <w:rPr>
              <w:rFonts w:hint="eastAsia"/>
              <w:lang w:val="en-US" w:eastAsia="zh-CN"/>
            </w:rPr>
            <w:t>48</w:t>
          </w:r>
        </w:p>
        <w:p w14:paraId="24CE2934">
          <w:pPr>
            <w:pStyle w:val="12"/>
            <w:rPr>
              <w:rFonts w:hint="default" w:eastAsia="宋体" w:asciiTheme="minorHAnsi" w:hAnsiTheme="minorHAnsi" w:cstheme="minorBidi"/>
              <w:szCs w:val="22"/>
              <w:lang w:val="en-US" w:eastAsia="zh-CN"/>
            </w:rPr>
          </w:pPr>
          <w:r>
            <w:fldChar w:fldCharType="begin"/>
          </w:r>
          <w:r>
            <w:instrText xml:space="preserve"> HYPERLINK \l "_Toc52180101" </w:instrText>
          </w:r>
          <w:r>
            <w:fldChar w:fldCharType="separate"/>
          </w:r>
          <w:r>
            <w:rPr>
              <w:rStyle w:val="17"/>
              <w:rFonts w:hint="eastAsia" w:ascii="仿宋" w:hAnsi="仿宋" w:eastAsia="仿宋"/>
            </w:rPr>
            <w:t>二、收入决算表</w:t>
          </w:r>
          <w:r>
            <w:tab/>
          </w:r>
          <w:r>
            <w:rPr>
              <w:rFonts w:hint="eastAsia"/>
            </w:rPr>
            <w:fldChar w:fldCharType="end"/>
          </w:r>
          <w:r>
            <w:rPr>
              <w:rFonts w:hint="eastAsia"/>
              <w:lang w:val="en-US" w:eastAsia="zh-CN"/>
            </w:rPr>
            <w:t>48</w:t>
          </w:r>
        </w:p>
        <w:p w14:paraId="4D5FF2C5">
          <w:pPr>
            <w:pStyle w:val="12"/>
            <w:rPr>
              <w:rFonts w:hint="default" w:eastAsia="宋体" w:asciiTheme="minorHAnsi" w:hAnsiTheme="minorHAnsi" w:cstheme="minorBidi"/>
              <w:szCs w:val="22"/>
              <w:lang w:val="en-US" w:eastAsia="zh-CN"/>
            </w:rPr>
          </w:pPr>
          <w:r>
            <w:fldChar w:fldCharType="begin"/>
          </w:r>
          <w:r>
            <w:instrText xml:space="preserve"> HYPERLINK \l "_Toc52180102" </w:instrText>
          </w:r>
          <w:r>
            <w:fldChar w:fldCharType="separate"/>
          </w:r>
          <w:r>
            <w:rPr>
              <w:rStyle w:val="17"/>
              <w:rFonts w:hint="eastAsia" w:ascii="仿宋" w:hAnsi="仿宋" w:eastAsia="仿宋"/>
            </w:rPr>
            <w:t>三、支出决算表</w:t>
          </w:r>
          <w:r>
            <w:tab/>
          </w:r>
          <w:r>
            <w:rPr>
              <w:rFonts w:hint="eastAsia"/>
            </w:rPr>
            <w:fldChar w:fldCharType="end"/>
          </w:r>
          <w:r>
            <w:rPr>
              <w:rFonts w:hint="eastAsia"/>
              <w:lang w:val="en-US" w:eastAsia="zh-CN"/>
            </w:rPr>
            <w:t>48</w:t>
          </w:r>
        </w:p>
        <w:p w14:paraId="32306D15">
          <w:pPr>
            <w:pStyle w:val="12"/>
            <w:rPr>
              <w:rFonts w:hint="default" w:eastAsia="宋体" w:asciiTheme="minorHAnsi" w:hAnsiTheme="minorHAnsi" w:cstheme="minorBidi"/>
              <w:szCs w:val="22"/>
              <w:lang w:val="en-US" w:eastAsia="zh-CN"/>
            </w:rPr>
          </w:pPr>
          <w:r>
            <w:fldChar w:fldCharType="begin"/>
          </w:r>
          <w:r>
            <w:instrText xml:space="preserve"> HYPERLINK \l "_Toc52180103" </w:instrText>
          </w:r>
          <w:r>
            <w:fldChar w:fldCharType="separate"/>
          </w:r>
          <w:r>
            <w:rPr>
              <w:rStyle w:val="17"/>
              <w:rFonts w:hint="eastAsia" w:ascii="仿宋" w:hAnsi="仿宋" w:eastAsia="仿宋"/>
            </w:rPr>
            <w:t>四、财政拨款收入支出决算总表</w:t>
          </w:r>
          <w:r>
            <w:tab/>
          </w:r>
          <w:r>
            <w:rPr>
              <w:rFonts w:hint="eastAsia"/>
            </w:rPr>
            <w:fldChar w:fldCharType="end"/>
          </w:r>
          <w:r>
            <w:rPr>
              <w:rFonts w:hint="eastAsia"/>
              <w:lang w:val="en-US" w:eastAsia="zh-CN"/>
            </w:rPr>
            <w:t>48</w:t>
          </w:r>
        </w:p>
        <w:p w14:paraId="08BAC4E5">
          <w:pPr>
            <w:pStyle w:val="12"/>
            <w:rPr>
              <w:rFonts w:hint="default" w:eastAsia="宋体" w:asciiTheme="minorHAnsi" w:hAnsiTheme="minorHAnsi" w:cstheme="minorBidi"/>
              <w:szCs w:val="22"/>
              <w:lang w:val="en-US" w:eastAsia="zh-CN"/>
            </w:rPr>
          </w:pPr>
          <w:r>
            <w:fldChar w:fldCharType="begin"/>
          </w:r>
          <w:r>
            <w:instrText xml:space="preserve"> HYPERLINK \l "_Toc52180104" </w:instrText>
          </w:r>
          <w:r>
            <w:fldChar w:fldCharType="separate"/>
          </w:r>
          <w:r>
            <w:rPr>
              <w:rStyle w:val="17"/>
              <w:rFonts w:hint="eastAsia" w:ascii="仿宋" w:hAnsi="仿宋" w:eastAsia="仿宋"/>
            </w:rPr>
            <w:t>五、财政拨款支出决算明细表</w:t>
          </w:r>
          <w:r>
            <w:tab/>
          </w:r>
          <w:r>
            <w:rPr>
              <w:rFonts w:hint="eastAsia"/>
            </w:rPr>
            <w:fldChar w:fldCharType="end"/>
          </w:r>
          <w:r>
            <w:rPr>
              <w:rFonts w:hint="eastAsia"/>
              <w:lang w:val="en-US" w:eastAsia="zh-CN"/>
            </w:rPr>
            <w:t>48</w:t>
          </w:r>
        </w:p>
        <w:p w14:paraId="18F78897">
          <w:pPr>
            <w:pStyle w:val="12"/>
            <w:rPr>
              <w:rFonts w:hint="default" w:eastAsia="宋体" w:asciiTheme="minorHAnsi" w:hAnsiTheme="minorHAnsi" w:cstheme="minorBidi"/>
              <w:szCs w:val="22"/>
              <w:lang w:val="en-US" w:eastAsia="zh-CN"/>
            </w:rPr>
          </w:pPr>
          <w:r>
            <w:fldChar w:fldCharType="begin"/>
          </w:r>
          <w:r>
            <w:instrText xml:space="preserve"> HYPERLINK \l "_Toc52180105" </w:instrText>
          </w:r>
          <w:r>
            <w:fldChar w:fldCharType="separate"/>
          </w:r>
          <w:r>
            <w:rPr>
              <w:rStyle w:val="17"/>
              <w:rFonts w:hint="eastAsia" w:ascii="仿宋" w:hAnsi="仿宋" w:eastAsia="仿宋"/>
            </w:rPr>
            <w:t>六、一般公共预算财政拨款支出决算表</w:t>
          </w:r>
          <w:r>
            <w:tab/>
          </w:r>
          <w:r>
            <w:rPr>
              <w:rFonts w:hint="eastAsia"/>
            </w:rPr>
            <w:fldChar w:fldCharType="end"/>
          </w:r>
          <w:r>
            <w:rPr>
              <w:rFonts w:hint="eastAsia"/>
              <w:lang w:val="en-US" w:eastAsia="zh-CN"/>
            </w:rPr>
            <w:t>48</w:t>
          </w:r>
        </w:p>
        <w:p w14:paraId="65B19DDF">
          <w:pPr>
            <w:pStyle w:val="12"/>
            <w:rPr>
              <w:rFonts w:hint="default" w:eastAsia="宋体" w:asciiTheme="minorHAnsi" w:hAnsiTheme="minorHAnsi" w:cstheme="minorBidi"/>
              <w:szCs w:val="22"/>
              <w:lang w:val="en-US" w:eastAsia="zh-CN"/>
            </w:rPr>
          </w:pPr>
          <w:r>
            <w:fldChar w:fldCharType="begin"/>
          </w:r>
          <w:r>
            <w:instrText xml:space="preserve"> HYPERLINK \l "_Toc52180106" </w:instrText>
          </w:r>
          <w:r>
            <w:fldChar w:fldCharType="separate"/>
          </w:r>
          <w:r>
            <w:rPr>
              <w:rStyle w:val="17"/>
              <w:rFonts w:hint="eastAsia" w:ascii="仿宋" w:hAnsi="仿宋" w:eastAsia="仿宋"/>
            </w:rPr>
            <w:t>七、一般公共预算财政拨款支出决算明细表</w:t>
          </w:r>
          <w:r>
            <w:tab/>
          </w:r>
          <w:r>
            <w:rPr>
              <w:rFonts w:hint="eastAsia"/>
            </w:rPr>
            <w:fldChar w:fldCharType="end"/>
          </w:r>
          <w:r>
            <w:rPr>
              <w:rFonts w:hint="eastAsia"/>
              <w:lang w:val="en-US" w:eastAsia="zh-CN"/>
            </w:rPr>
            <w:t>48</w:t>
          </w:r>
        </w:p>
        <w:p w14:paraId="1FF743D5">
          <w:pPr>
            <w:pStyle w:val="12"/>
            <w:rPr>
              <w:rFonts w:hint="default" w:eastAsia="宋体" w:asciiTheme="minorHAnsi" w:hAnsiTheme="minorHAnsi" w:cstheme="minorBidi"/>
              <w:szCs w:val="22"/>
              <w:lang w:val="en-US" w:eastAsia="zh-CN"/>
            </w:rPr>
          </w:pPr>
          <w:r>
            <w:fldChar w:fldCharType="begin"/>
          </w:r>
          <w:r>
            <w:instrText xml:space="preserve"> HYPERLINK \l "_Toc52180107" </w:instrText>
          </w:r>
          <w:r>
            <w:fldChar w:fldCharType="separate"/>
          </w:r>
          <w:r>
            <w:rPr>
              <w:rStyle w:val="17"/>
              <w:rFonts w:hint="eastAsia" w:ascii="仿宋" w:hAnsi="仿宋" w:eastAsia="仿宋"/>
            </w:rPr>
            <w:t>八、一般公共预算财政拨款基本支出决算表</w:t>
          </w:r>
          <w:r>
            <w:tab/>
          </w:r>
          <w:r>
            <w:rPr>
              <w:rFonts w:hint="eastAsia"/>
            </w:rPr>
            <w:fldChar w:fldCharType="end"/>
          </w:r>
          <w:r>
            <w:rPr>
              <w:rFonts w:hint="eastAsia"/>
              <w:lang w:val="en-US" w:eastAsia="zh-CN"/>
            </w:rPr>
            <w:t>48</w:t>
          </w:r>
        </w:p>
        <w:p w14:paraId="60C9D506">
          <w:pPr>
            <w:pStyle w:val="12"/>
            <w:rPr>
              <w:rFonts w:hint="default" w:eastAsia="宋体" w:asciiTheme="minorHAnsi" w:hAnsiTheme="minorHAnsi" w:cstheme="minorBidi"/>
              <w:szCs w:val="22"/>
              <w:lang w:val="en-US" w:eastAsia="zh-CN"/>
            </w:rPr>
          </w:pPr>
          <w:r>
            <w:fldChar w:fldCharType="begin"/>
          </w:r>
          <w:r>
            <w:instrText xml:space="preserve"> HYPERLINK \l "_Toc52180108" </w:instrText>
          </w:r>
          <w:r>
            <w:fldChar w:fldCharType="separate"/>
          </w:r>
          <w:r>
            <w:rPr>
              <w:rStyle w:val="17"/>
              <w:rFonts w:hint="eastAsia" w:ascii="仿宋" w:hAnsi="仿宋" w:eastAsia="仿宋"/>
            </w:rPr>
            <w:t>九、一般公共预算财政拨款项目支出决算表</w:t>
          </w:r>
          <w:r>
            <w:tab/>
          </w:r>
          <w:r>
            <w:rPr>
              <w:rFonts w:hint="eastAsia"/>
            </w:rPr>
            <w:fldChar w:fldCharType="end"/>
          </w:r>
          <w:r>
            <w:rPr>
              <w:rFonts w:hint="eastAsia"/>
              <w:lang w:val="en-US" w:eastAsia="zh-CN"/>
            </w:rPr>
            <w:t>48</w:t>
          </w:r>
        </w:p>
        <w:p w14:paraId="5434B6A6">
          <w:pPr>
            <w:pStyle w:val="12"/>
            <w:rPr>
              <w:rFonts w:hint="default" w:eastAsia="宋体" w:asciiTheme="minorHAnsi" w:hAnsiTheme="minorHAnsi" w:cstheme="minorBidi"/>
              <w:szCs w:val="22"/>
              <w:lang w:val="en-US" w:eastAsia="zh-CN"/>
            </w:rPr>
          </w:pPr>
          <w:r>
            <w:fldChar w:fldCharType="begin"/>
          </w:r>
          <w:r>
            <w:instrText xml:space="preserve"> HYPERLINK \l "_Toc52180109" </w:instrText>
          </w:r>
          <w:r>
            <w:fldChar w:fldCharType="separate"/>
          </w:r>
          <w:r>
            <w:rPr>
              <w:rStyle w:val="17"/>
              <w:rFonts w:hint="eastAsia" w:ascii="仿宋" w:hAnsi="仿宋" w:eastAsia="仿宋"/>
            </w:rPr>
            <w:t>十、一般公共预算财政拨款“三公”经费支出决算表</w:t>
          </w:r>
          <w:r>
            <w:tab/>
          </w:r>
          <w:r>
            <w:rPr>
              <w:rFonts w:hint="eastAsia"/>
            </w:rPr>
            <w:fldChar w:fldCharType="end"/>
          </w:r>
          <w:r>
            <w:rPr>
              <w:rFonts w:hint="eastAsia"/>
              <w:lang w:val="en-US" w:eastAsia="zh-CN"/>
            </w:rPr>
            <w:t>48</w:t>
          </w:r>
        </w:p>
        <w:p w14:paraId="6509F087">
          <w:pPr>
            <w:pStyle w:val="12"/>
            <w:rPr>
              <w:rFonts w:hint="default" w:eastAsia="宋体" w:asciiTheme="minorHAnsi" w:hAnsiTheme="minorHAnsi" w:cstheme="minorBidi"/>
              <w:szCs w:val="22"/>
              <w:lang w:val="en-US" w:eastAsia="zh-CN"/>
            </w:rPr>
          </w:pPr>
          <w:r>
            <w:fldChar w:fldCharType="begin"/>
          </w:r>
          <w:r>
            <w:instrText xml:space="preserve"> HYPERLINK \l "_Toc52180110" </w:instrText>
          </w:r>
          <w:r>
            <w:fldChar w:fldCharType="separate"/>
          </w:r>
          <w:r>
            <w:rPr>
              <w:rStyle w:val="17"/>
              <w:rFonts w:hint="eastAsia" w:ascii="仿宋" w:hAnsi="仿宋" w:eastAsia="仿宋"/>
            </w:rPr>
            <w:t>十一、政府性基金预算财政拨款收入支出决算表</w:t>
          </w:r>
          <w:r>
            <w:tab/>
          </w:r>
          <w:r>
            <w:rPr>
              <w:rFonts w:hint="eastAsia"/>
            </w:rPr>
            <w:fldChar w:fldCharType="end"/>
          </w:r>
          <w:r>
            <w:rPr>
              <w:rFonts w:hint="eastAsia"/>
              <w:lang w:val="en-US" w:eastAsia="zh-CN"/>
            </w:rPr>
            <w:t>48</w:t>
          </w:r>
        </w:p>
        <w:p w14:paraId="666028F1">
          <w:pPr>
            <w:pStyle w:val="12"/>
            <w:rPr>
              <w:rFonts w:hint="default" w:eastAsia="宋体" w:asciiTheme="minorHAnsi" w:hAnsiTheme="minorHAnsi" w:cstheme="minorBidi"/>
              <w:szCs w:val="22"/>
              <w:lang w:val="en-US" w:eastAsia="zh-CN"/>
            </w:rPr>
          </w:pPr>
          <w:r>
            <w:fldChar w:fldCharType="begin"/>
          </w:r>
          <w:r>
            <w:instrText xml:space="preserve"> HYPERLINK \l "_Toc52180111" </w:instrText>
          </w:r>
          <w:r>
            <w:fldChar w:fldCharType="separate"/>
          </w:r>
          <w:r>
            <w:rPr>
              <w:rStyle w:val="17"/>
              <w:rFonts w:hint="eastAsia" w:ascii="仿宋" w:hAnsi="仿宋" w:eastAsia="仿宋"/>
            </w:rPr>
            <w:t>十二、政府性基金预算财政拨款“三公”经费支出决算表</w:t>
          </w:r>
          <w:r>
            <w:tab/>
          </w:r>
          <w:r>
            <w:rPr>
              <w:rFonts w:hint="eastAsia"/>
            </w:rPr>
            <w:fldChar w:fldCharType="end"/>
          </w:r>
          <w:r>
            <w:rPr>
              <w:rFonts w:hint="eastAsia"/>
              <w:lang w:val="en-US" w:eastAsia="zh-CN"/>
            </w:rPr>
            <w:t>48</w:t>
          </w:r>
        </w:p>
        <w:p w14:paraId="3C3F939C">
          <w:pPr>
            <w:pStyle w:val="12"/>
            <w:rPr>
              <w:rFonts w:hint="default" w:eastAsia="宋体"/>
              <w:lang w:val="en-US" w:eastAsia="zh-CN"/>
            </w:rPr>
          </w:pPr>
          <w:r>
            <w:fldChar w:fldCharType="begin"/>
          </w:r>
          <w:r>
            <w:instrText xml:space="preserve"> HYPERLINK \l "_Toc52180112" </w:instrText>
          </w:r>
          <w:r>
            <w:fldChar w:fldCharType="separate"/>
          </w:r>
          <w:r>
            <w:rPr>
              <w:rStyle w:val="17"/>
              <w:rFonts w:hint="eastAsia" w:ascii="仿宋" w:hAnsi="仿宋" w:eastAsia="仿宋"/>
            </w:rPr>
            <w:t>十三、国有资本经营预算</w:t>
          </w:r>
          <w:r>
            <w:rPr>
              <w:rStyle w:val="17"/>
              <w:rFonts w:hint="eastAsia" w:ascii="仿宋" w:hAnsi="仿宋" w:eastAsia="仿宋"/>
              <w:lang w:eastAsia="zh-CN"/>
            </w:rPr>
            <w:t>财政拨款收入支出决算表</w:t>
          </w:r>
          <w:r>
            <w:tab/>
          </w:r>
          <w:r>
            <w:rPr>
              <w:rFonts w:hint="eastAsia"/>
            </w:rPr>
            <w:fldChar w:fldCharType="end"/>
          </w:r>
          <w:r>
            <w:rPr>
              <w:rFonts w:hint="eastAsia"/>
              <w:lang w:val="en-US" w:eastAsia="zh-CN"/>
            </w:rPr>
            <w:t>48</w:t>
          </w:r>
        </w:p>
        <w:p w14:paraId="07B66CA0">
          <w:pPr>
            <w:rPr>
              <w:rFonts w:hint="eastAsia" w:ascii="仿宋" w:hAnsi="仿宋" w:eastAsia="仿宋"/>
              <w:bCs/>
              <w:kern w:val="44"/>
              <w:sz w:val="24"/>
              <w:lang w:eastAsia="zh-CN"/>
            </w:rPr>
          </w:pPr>
          <w:r>
            <w:rPr>
              <w:rFonts w:hint="eastAsia"/>
              <w:lang w:val="en-US" w:eastAsia="zh-CN"/>
            </w:rPr>
            <w:t xml:space="preserve">    </w:t>
          </w:r>
          <w:r>
            <w:rPr>
              <w:rStyle w:val="17"/>
              <w:rFonts w:hint="eastAsia" w:ascii="仿宋" w:hAnsi="仿宋" w:eastAsia="仿宋"/>
            </w:rPr>
            <w:t>十</w:t>
          </w:r>
          <w:r>
            <w:rPr>
              <w:rStyle w:val="17"/>
              <w:rFonts w:hint="eastAsia" w:ascii="仿宋" w:hAnsi="仿宋" w:eastAsia="仿宋"/>
              <w:lang w:eastAsia="zh-CN"/>
            </w:rPr>
            <w:t>四</w:t>
          </w:r>
          <w:r>
            <w:rPr>
              <w:rStyle w:val="17"/>
              <w:rFonts w:hint="eastAsia" w:ascii="仿宋" w:hAnsi="仿宋" w:eastAsia="仿宋"/>
            </w:rPr>
            <w:t>、国有资本经营预算</w:t>
          </w:r>
          <w:r>
            <w:rPr>
              <w:rStyle w:val="17"/>
              <w:rFonts w:hint="eastAsia" w:ascii="仿宋" w:hAnsi="仿宋" w:eastAsia="仿宋"/>
              <w:lang w:eastAsia="zh-CN"/>
            </w:rPr>
            <w:t>财政拨款支出决算表</w:t>
          </w:r>
          <w:r>
            <w:tab/>
          </w:r>
          <w:r>
            <w:tab/>
          </w:r>
          <w:r>
            <w:tab/>
          </w:r>
          <w:r>
            <w:tab/>
          </w:r>
          <w:r>
            <w:tab/>
          </w:r>
          <w:r>
            <w:tab/>
          </w:r>
          <w:r>
            <w:tab/>
          </w:r>
          <w:r>
            <w:rPr>
              <w:rFonts w:hint="eastAsia"/>
              <w:lang w:val="en-US" w:eastAsia="zh-CN"/>
            </w:rPr>
            <w:t xml:space="preserve">     </w:t>
          </w:r>
          <w:r>
            <w:fldChar w:fldCharType="end"/>
          </w:r>
          <w:r>
            <w:rPr>
              <w:rFonts w:hint="eastAsia"/>
              <w:lang w:val="en-US" w:eastAsia="zh-CN"/>
            </w:rPr>
            <w:t>48</w:t>
          </w:r>
          <w:bookmarkStart w:id="14" w:name="_Toc15396599"/>
          <w:bookmarkStart w:id="15" w:name="_Toc15377196"/>
        </w:p>
      </w:sdtContent>
    </w:sdt>
    <w:p w14:paraId="67F2AC30">
      <w:pPr>
        <w:pStyle w:val="2"/>
        <w:jc w:val="center"/>
        <w:rPr>
          <w:rStyle w:val="26"/>
          <w:rFonts w:ascii="黑体" w:hAnsi="黑体" w:eastAsia="黑体"/>
          <w:b/>
          <w:bCs w:val="0"/>
        </w:rPr>
      </w:pPr>
      <w:bookmarkStart w:id="16" w:name="_Toc52180065"/>
      <w:r>
        <w:rPr>
          <w:rFonts w:hint="eastAsia" w:ascii="黑体" w:hAnsi="黑体" w:eastAsia="黑体"/>
          <w:b w:val="0"/>
        </w:rPr>
        <w:t xml:space="preserve">第一部分 </w:t>
      </w:r>
      <w:r>
        <w:rPr>
          <w:rStyle w:val="26"/>
          <w:rFonts w:hint="eastAsia" w:ascii="黑体" w:hAnsi="黑体" w:eastAsia="黑体"/>
          <w:b w:val="0"/>
          <w:bCs w:val="0"/>
        </w:rPr>
        <w:t>部门概况</w:t>
      </w:r>
      <w:bookmarkEnd w:id="14"/>
      <w:bookmarkEnd w:id="15"/>
      <w:bookmarkEnd w:id="16"/>
    </w:p>
    <w:p w14:paraId="72E19FBB">
      <w:pPr>
        <w:pStyle w:val="3"/>
        <w:ind w:firstLine="640" w:firstLineChars="200"/>
        <w:rPr>
          <w:rStyle w:val="27"/>
          <w:rFonts w:hint="eastAsia" w:ascii="黑体" w:hAnsi="黑体" w:eastAsia="黑体"/>
          <w:b w:val="0"/>
          <w:bCs w:val="0"/>
        </w:rPr>
      </w:pPr>
      <w:bookmarkStart w:id="17" w:name="_Toc15396600"/>
      <w:bookmarkStart w:id="18" w:name="_Toc15377197"/>
      <w:bookmarkStart w:id="19" w:name="_Toc52180066"/>
      <w:r>
        <w:rPr>
          <w:rFonts w:hint="eastAsia" w:ascii="黑体" w:hAnsi="黑体" w:eastAsia="黑体"/>
          <w:b w:val="0"/>
          <w:color w:val="000000"/>
        </w:rPr>
        <w:t>一、基</w:t>
      </w:r>
      <w:r>
        <w:rPr>
          <w:rStyle w:val="27"/>
          <w:rFonts w:hint="eastAsia" w:ascii="黑体" w:hAnsi="黑体" w:eastAsia="黑体"/>
          <w:b w:val="0"/>
          <w:bCs w:val="0"/>
        </w:rPr>
        <w:t>本职能及主要工作</w:t>
      </w:r>
      <w:bookmarkEnd w:id="17"/>
      <w:bookmarkEnd w:id="18"/>
      <w:bookmarkEnd w:id="19"/>
      <w:bookmarkStart w:id="20" w:name="_Toc15378445"/>
      <w:bookmarkStart w:id="21" w:name="_Toc52180067"/>
      <w:bookmarkStart w:id="22" w:name="_Toc15377198"/>
    </w:p>
    <w:p w14:paraId="5D9349D0">
      <w:pPr>
        <w:pStyle w:val="3"/>
        <w:ind w:firstLine="643" w:firstLineChars="200"/>
        <w:rPr>
          <w:rFonts w:ascii="仿宋" w:hAnsi="仿宋" w:eastAsia="仿宋"/>
          <w:bCs/>
          <w:color w:val="000000"/>
          <w:sz w:val="32"/>
          <w:szCs w:val="32"/>
        </w:rPr>
      </w:pPr>
      <w:r>
        <w:rPr>
          <w:rFonts w:hint="eastAsia" w:ascii="仿宋" w:hAnsi="仿宋" w:eastAsia="仿宋"/>
          <w:bCs/>
          <w:color w:val="000000"/>
          <w:sz w:val="32"/>
          <w:szCs w:val="32"/>
        </w:rPr>
        <w:t>（一）主要职能</w:t>
      </w:r>
      <w:bookmarkEnd w:id="20"/>
      <w:bookmarkEnd w:id="21"/>
      <w:bookmarkEnd w:id="22"/>
      <w:r>
        <w:rPr>
          <w:rFonts w:hint="eastAsia" w:ascii="仿宋" w:hAnsi="仿宋" w:eastAsia="仿宋"/>
          <w:bCs/>
          <w:color w:val="000000"/>
          <w:sz w:val="32"/>
          <w:szCs w:val="32"/>
        </w:rPr>
        <w:t>。</w:t>
      </w:r>
    </w:p>
    <w:p w14:paraId="1415199A">
      <w:pPr>
        <w:ind w:firstLine="640" w:firstLineChars="200"/>
        <w:jc w:val="left"/>
        <w:rPr>
          <w:rFonts w:hint="eastAsia" w:ascii="仿宋" w:hAnsi="仿宋" w:eastAsia="仿宋" w:cs="仿宋"/>
          <w:sz w:val="32"/>
          <w:szCs w:val="32"/>
        </w:rPr>
      </w:pPr>
      <w:bookmarkStart w:id="23" w:name="_Toc15377199"/>
      <w:bookmarkStart w:id="24" w:name="_Toc15378446"/>
      <w:bookmarkStart w:id="25" w:name="_Toc52180068"/>
      <w:r>
        <w:rPr>
          <w:rFonts w:hint="eastAsia" w:ascii="仿宋" w:hAnsi="仿宋" w:eastAsia="仿宋" w:cs="仿宋"/>
          <w:sz w:val="32"/>
          <w:szCs w:val="32"/>
        </w:rPr>
        <w:t xml:space="preserve">盐边县温泉彝族乡卫生院属于财政拨款事业单位，担负着全乡7千余人口的基本医疗、基本公共卫生、预防、保健等医疗服务。 </w:t>
      </w:r>
    </w:p>
    <w:p w14:paraId="34B4D0DD">
      <w:pPr>
        <w:pStyle w:val="5"/>
        <w:adjustRightInd w:val="0"/>
        <w:snapToGrid w:val="0"/>
        <w:spacing w:before="93" w:line="600" w:lineRule="exact"/>
        <w:ind w:firstLine="640" w:firstLineChars="200"/>
        <w:outlineLvl w:val="2"/>
        <w:rPr>
          <w:rFonts w:ascii="仿宋" w:hAnsi="仿宋" w:eastAsia="仿宋"/>
          <w:bCs/>
          <w:color w:val="000000"/>
          <w:sz w:val="32"/>
          <w:szCs w:val="32"/>
        </w:rPr>
      </w:pPr>
      <w:r>
        <w:rPr>
          <w:rFonts w:hint="eastAsia" w:ascii="仿宋" w:hAnsi="仿宋" w:eastAsia="仿宋"/>
          <w:bCs/>
          <w:color w:val="000000"/>
          <w:sz w:val="32"/>
          <w:szCs w:val="32"/>
        </w:rPr>
        <w:t>（二）2020年重点工作完成情况。</w:t>
      </w:r>
      <w:bookmarkEnd w:id="23"/>
      <w:bookmarkEnd w:id="24"/>
      <w:bookmarkEnd w:id="25"/>
    </w:p>
    <w:p w14:paraId="1D31DD11">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hAnsi="仿宋_GB2312"/>
          <w:sz w:val="32"/>
          <w:szCs w:val="32"/>
        </w:rPr>
        <w:t>2020年本院全院职工和</w:t>
      </w:r>
      <w:r>
        <w:rPr>
          <w:rFonts w:hint="eastAsia" w:hAnsi="仿宋_GB2312"/>
          <w:sz w:val="32"/>
          <w:szCs w:val="32"/>
          <w:lang w:val="en-US" w:eastAsia="zh-CN"/>
        </w:rPr>
        <w:t>7</w:t>
      </w:r>
      <w:r>
        <w:rPr>
          <w:rFonts w:hint="eastAsia" w:hAnsi="仿宋_GB2312"/>
          <w:sz w:val="32"/>
          <w:szCs w:val="32"/>
        </w:rPr>
        <w:t>个村村卫生室的主要任务：基本医疗、基本公共卫生服务、预防、保健、计划生育服务，完成全民健康体检任务。</w:t>
      </w:r>
    </w:p>
    <w:p w14:paraId="554C4DBF">
      <w:pPr>
        <w:pStyle w:val="3"/>
        <w:ind w:firstLine="640" w:firstLineChars="200"/>
        <w:rPr>
          <w:rStyle w:val="27"/>
          <w:b w:val="0"/>
          <w:bCs w:val="0"/>
        </w:rPr>
      </w:pPr>
      <w:bookmarkStart w:id="26" w:name="_Toc52180069"/>
      <w:bookmarkStart w:id="27" w:name="_Toc15396601"/>
      <w:bookmarkStart w:id="28" w:name="_Toc15377200"/>
      <w:r>
        <w:rPr>
          <w:rFonts w:hint="eastAsia" w:ascii="黑体" w:eastAsia="黑体"/>
          <w:b w:val="0"/>
          <w:color w:val="000000"/>
        </w:rPr>
        <w:t>二、</w:t>
      </w:r>
      <w:r>
        <w:rPr>
          <w:rFonts w:hint="eastAsia" w:ascii="黑体" w:hAnsi="黑体" w:eastAsia="黑体"/>
          <w:b w:val="0"/>
          <w:color w:val="000000"/>
        </w:rPr>
        <w:t>机</w:t>
      </w:r>
      <w:r>
        <w:rPr>
          <w:rStyle w:val="27"/>
          <w:rFonts w:hint="eastAsia" w:ascii="黑体" w:hAnsi="黑体" w:eastAsia="黑体"/>
          <w:b w:val="0"/>
          <w:bCs w:val="0"/>
        </w:rPr>
        <w:t>构设置</w:t>
      </w:r>
      <w:bookmarkEnd w:id="26"/>
      <w:bookmarkEnd w:id="27"/>
      <w:bookmarkEnd w:id="28"/>
    </w:p>
    <w:p w14:paraId="69802060">
      <w:pPr>
        <w:ind w:firstLine="640" w:firstLineChars="200"/>
        <w:rPr>
          <w:rFonts w:ascii="仿宋_GB2312" w:hAnsi="仿宋" w:eastAsia="仿宋_GB2312" w:cs="仿宋"/>
          <w:sz w:val="32"/>
          <w:lang w:val="zh-CN"/>
        </w:rPr>
      </w:pPr>
      <w:r>
        <w:rPr>
          <w:rFonts w:hint="eastAsia" w:ascii="仿宋_GB2312" w:hAnsi="仿宋" w:eastAsia="仿宋_GB2312" w:cs="仿宋"/>
          <w:sz w:val="32"/>
          <w:lang w:val="zh-CN"/>
        </w:rPr>
        <w:t>盐边县温泉彝族乡卫生院</w:t>
      </w:r>
      <w:r>
        <w:rPr>
          <w:rFonts w:hint="eastAsia" w:ascii="仿宋_GB2312" w:eastAsia="仿宋_GB2312" w:cs="仿宋_GB2312"/>
          <w:sz w:val="32"/>
        </w:rPr>
        <w:t>是政府举办的公益性事业单位,</w:t>
      </w:r>
      <w:r>
        <w:rPr>
          <w:rFonts w:hint="eastAsia" w:ascii="仿宋_GB2312" w:hAnsi="仿宋" w:eastAsia="仿宋_GB2312"/>
          <w:sz w:val="32"/>
          <w:szCs w:val="32"/>
        </w:rPr>
        <w:t>下属二级单位0个，其中行政单位0个，参照公务员法管理的事业单位</w:t>
      </w:r>
      <w:r>
        <w:rPr>
          <w:rFonts w:hint="eastAsia" w:ascii="仿宋_GB2312" w:hAnsi="仿宋" w:eastAsia="仿宋_GB2312"/>
          <w:bCs/>
          <w:sz w:val="32"/>
          <w:szCs w:val="32"/>
        </w:rPr>
        <w:t>0</w:t>
      </w:r>
      <w:r>
        <w:rPr>
          <w:rFonts w:hint="eastAsia" w:ascii="仿宋_GB2312" w:hAnsi="仿宋" w:eastAsia="仿宋_GB2312"/>
          <w:sz w:val="32"/>
          <w:szCs w:val="32"/>
        </w:rPr>
        <w:t>个，其他事业单位0个。</w:t>
      </w:r>
      <w:r>
        <w:rPr>
          <w:rFonts w:hint="eastAsia" w:ascii="仿宋_GB2312" w:hAnsi="仿宋" w:eastAsia="仿宋_GB2312" w:cs="仿宋"/>
          <w:sz w:val="32"/>
          <w:lang w:val="zh-CN"/>
        </w:rPr>
        <w:t>所辖村卫生室</w:t>
      </w:r>
      <w:r>
        <w:rPr>
          <w:rFonts w:hint="eastAsia" w:ascii="仿宋_GB2312" w:hAnsi="仿宋" w:eastAsia="仿宋_GB2312" w:cs="仿宋"/>
          <w:sz w:val="32"/>
          <w:lang w:val="en-US" w:eastAsia="zh-CN"/>
        </w:rPr>
        <w:t>7</w:t>
      </w:r>
      <w:r>
        <w:rPr>
          <w:rFonts w:hint="eastAsia" w:ascii="仿宋_GB2312" w:hAnsi="仿宋" w:eastAsia="仿宋_GB2312" w:cs="仿宋"/>
          <w:sz w:val="32"/>
          <w:lang w:val="zh-CN"/>
        </w:rPr>
        <w:t>个，其中非营利性的</w:t>
      </w:r>
      <w:r>
        <w:rPr>
          <w:rFonts w:hint="eastAsia" w:ascii="仿宋_GB2312" w:hAnsi="仿宋" w:eastAsia="仿宋_GB2312" w:cs="仿宋"/>
          <w:sz w:val="32"/>
          <w:lang w:val="en-US" w:eastAsia="zh-CN"/>
        </w:rPr>
        <w:t>7</w:t>
      </w:r>
      <w:r>
        <w:rPr>
          <w:rFonts w:hint="eastAsia" w:ascii="仿宋_GB2312" w:hAnsi="仿宋" w:eastAsia="仿宋_GB2312" w:cs="仿宋"/>
          <w:sz w:val="32"/>
          <w:lang w:val="zh-CN"/>
        </w:rPr>
        <w:t>个。</w:t>
      </w:r>
    </w:p>
    <w:p w14:paraId="23D7CED7">
      <w:pPr>
        <w:ind w:firstLine="640" w:firstLineChars="200"/>
        <w:rPr>
          <w:rFonts w:ascii="仿宋_GB2312" w:hAnsi="仿宋" w:eastAsia="仿宋_GB2312" w:cs="仿宋"/>
          <w:sz w:val="32"/>
          <w:lang w:val="zh-CN"/>
        </w:rPr>
      </w:pPr>
    </w:p>
    <w:p w14:paraId="4D972BD4">
      <w:pPr>
        <w:ind w:firstLine="800" w:firstLineChars="250"/>
        <w:rPr>
          <w:rFonts w:ascii="仿宋_GB2312" w:hAnsi="仿宋" w:eastAsia="仿宋_GB2312"/>
          <w:color w:val="000000"/>
          <w:kern w:val="0"/>
          <w:sz w:val="32"/>
          <w:szCs w:val="32"/>
        </w:rPr>
      </w:pPr>
      <w:r>
        <w:rPr>
          <w:rFonts w:hint="eastAsia" w:hAnsi="仿宋"/>
          <w:color w:val="000000"/>
          <w:sz w:val="32"/>
          <w:szCs w:val="32"/>
        </w:rPr>
        <w:br w:type="page"/>
      </w:r>
    </w:p>
    <w:p w14:paraId="62A1B9F8">
      <w:pPr>
        <w:pStyle w:val="2"/>
        <w:ind w:right="440"/>
        <w:jc w:val="right"/>
      </w:pPr>
      <w:bookmarkStart w:id="29" w:name="_Toc15377204"/>
      <w:bookmarkStart w:id="30" w:name="_Toc15396602"/>
      <w:bookmarkStart w:id="31" w:name="_Toc52180073"/>
      <w:r>
        <w:rPr>
          <w:rFonts w:hint="eastAsia" w:ascii="黑体" w:hAnsi="黑体" w:eastAsia="黑体"/>
          <w:b w:val="0"/>
          <w:color w:val="000000"/>
        </w:rPr>
        <w:t>第二部分</w:t>
      </w:r>
      <w:r>
        <w:rPr>
          <w:rFonts w:hint="eastAsia" w:ascii="黑体" w:hAnsi="黑体" w:eastAsia="黑体"/>
          <w:color w:val="000000"/>
        </w:rPr>
        <w:t xml:space="preserve"> </w:t>
      </w:r>
      <w:r>
        <w:rPr>
          <w:rStyle w:val="26"/>
          <w:rFonts w:hint="eastAsia" w:ascii="黑体" w:hAnsi="黑体" w:eastAsia="黑体"/>
          <w:b w:val="0"/>
          <w:bCs w:val="0"/>
        </w:rPr>
        <w:t>2020年度部门决算情况说明</w:t>
      </w:r>
      <w:bookmarkEnd w:id="29"/>
      <w:bookmarkEnd w:id="30"/>
      <w:bookmarkEnd w:id="31"/>
    </w:p>
    <w:p w14:paraId="38D2C964">
      <w:pPr>
        <w:pStyle w:val="25"/>
        <w:numPr>
          <w:ilvl w:val="0"/>
          <w:numId w:val="1"/>
        </w:numPr>
        <w:spacing w:line="600" w:lineRule="exact"/>
        <w:ind w:firstLineChars="0"/>
        <w:outlineLvl w:val="1"/>
        <w:rPr>
          <w:rStyle w:val="27"/>
          <w:rFonts w:ascii="黑体" w:hAnsi="黑体" w:eastAsia="黑体"/>
          <w:b w:val="0"/>
        </w:rPr>
      </w:pPr>
      <w:bookmarkStart w:id="32" w:name="_Toc52180074"/>
      <w:bookmarkStart w:id="33" w:name="_Toc15377205"/>
      <w:bookmarkStart w:id="34" w:name="_Toc15396603"/>
      <w:r>
        <w:rPr>
          <w:rFonts w:hint="eastAsia" w:ascii="黑体" w:hAnsi="黑体" w:eastAsia="黑体"/>
          <w:color w:val="000000"/>
          <w:sz w:val="32"/>
          <w:szCs w:val="32"/>
        </w:rPr>
        <w:t>收</w:t>
      </w:r>
      <w:r>
        <w:rPr>
          <w:rStyle w:val="27"/>
          <w:rFonts w:hint="eastAsia" w:ascii="黑体" w:hAnsi="黑体" w:eastAsia="黑体"/>
          <w:b w:val="0"/>
        </w:rPr>
        <w:t>入支出决算总体情况说明</w:t>
      </w:r>
      <w:bookmarkEnd w:id="32"/>
      <w:bookmarkEnd w:id="33"/>
      <w:bookmarkEnd w:id="34"/>
    </w:p>
    <w:p w14:paraId="77AF9EF7">
      <w:pPr>
        <w:spacing w:line="600" w:lineRule="exact"/>
        <w:ind w:firstLine="640" w:firstLineChars="200"/>
        <w:rPr>
          <w:rFonts w:ascii="仿宋_GB2312" w:hAnsi="仿宋_GB2312" w:eastAsia="仿宋_GB2312"/>
          <w:sz w:val="32"/>
          <w:szCs w:val="32"/>
        </w:rPr>
      </w:pPr>
      <w:r>
        <w:rPr>
          <w:rFonts w:hint="eastAsia" w:ascii="仿宋" w:hAnsi="仿宋" w:eastAsia="仿宋"/>
          <w:color w:val="000000"/>
          <w:sz w:val="32"/>
          <w:szCs w:val="32"/>
        </w:rPr>
        <w:t>2020年度收、支总计</w:t>
      </w:r>
      <w:r>
        <w:rPr>
          <w:rFonts w:hint="eastAsia" w:ascii="仿宋" w:hAnsi="仿宋" w:eastAsia="仿宋"/>
          <w:color w:val="000000"/>
          <w:sz w:val="32"/>
          <w:szCs w:val="32"/>
          <w:lang w:val="en-US" w:eastAsia="zh-CN"/>
        </w:rPr>
        <w:t>439.98</w:t>
      </w:r>
      <w:r>
        <w:rPr>
          <w:rFonts w:hint="eastAsia" w:ascii="仿宋" w:hAnsi="仿宋" w:eastAsia="仿宋"/>
          <w:color w:val="000000"/>
          <w:sz w:val="32"/>
          <w:szCs w:val="32"/>
        </w:rPr>
        <w:t>万元。与2019年相比，收、支总计各减少</w:t>
      </w:r>
      <w:r>
        <w:rPr>
          <w:rFonts w:hint="eastAsia" w:ascii="仿宋" w:hAnsi="仿宋" w:eastAsia="仿宋"/>
          <w:color w:val="000000"/>
          <w:sz w:val="32"/>
          <w:szCs w:val="32"/>
          <w:lang w:val="en-US" w:eastAsia="zh-CN"/>
        </w:rPr>
        <w:t>7.08</w:t>
      </w:r>
      <w:r>
        <w:rPr>
          <w:rFonts w:hint="eastAsia" w:ascii="仿宋" w:hAnsi="仿宋" w:eastAsia="仿宋"/>
          <w:color w:val="000000"/>
          <w:sz w:val="32"/>
          <w:szCs w:val="32"/>
        </w:rPr>
        <w:t>万元和</w:t>
      </w:r>
      <w:r>
        <w:rPr>
          <w:rFonts w:hint="eastAsia" w:ascii="仿宋" w:hAnsi="仿宋" w:eastAsia="仿宋"/>
          <w:color w:val="000000"/>
          <w:sz w:val="32"/>
          <w:szCs w:val="32"/>
          <w:lang w:val="en-US" w:eastAsia="zh-CN"/>
        </w:rPr>
        <w:t>9.34</w:t>
      </w:r>
      <w:r>
        <w:rPr>
          <w:rFonts w:hint="eastAsia" w:ascii="仿宋" w:hAnsi="仿宋" w:eastAsia="仿宋"/>
          <w:color w:val="000000"/>
          <w:sz w:val="32"/>
          <w:szCs w:val="32"/>
        </w:rPr>
        <w:t>万元，减少</w:t>
      </w:r>
      <w:r>
        <w:rPr>
          <w:rFonts w:hint="eastAsia" w:ascii="仿宋" w:hAnsi="仿宋" w:eastAsia="仿宋"/>
          <w:color w:val="000000"/>
          <w:sz w:val="32"/>
          <w:szCs w:val="32"/>
          <w:lang w:val="en-US" w:eastAsia="zh-CN"/>
        </w:rPr>
        <w:t xml:space="preserve">3.02 </w:t>
      </w:r>
      <w:r>
        <w:rPr>
          <w:rFonts w:ascii="仿宋" w:hAnsi="仿宋" w:eastAsia="仿宋"/>
          <w:color w:val="000000"/>
          <w:sz w:val="32"/>
          <w:szCs w:val="32"/>
        </w:rPr>
        <w:t>%</w:t>
      </w:r>
      <w:r>
        <w:rPr>
          <w:rFonts w:hint="eastAsia" w:ascii="仿宋" w:hAnsi="仿宋" w:eastAsia="仿宋"/>
          <w:color w:val="000000"/>
          <w:sz w:val="32"/>
          <w:szCs w:val="32"/>
        </w:rPr>
        <w:t>和</w:t>
      </w:r>
      <w:r>
        <w:rPr>
          <w:rFonts w:hint="eastAsia" w:ascii="仿宋" w:hAnsi="仿宋" w:eastAsia="仿宋"/>
          <w:color w:val="000000"/>
          <w:sz w:val="32"/>
          <w:szCs w:val="32"/>
          <w:lang w:val="en-US" w:eastAsia="zh-CN"/>
        </w:rPr>
        <w:t xml:space="preserve"> 4.2 </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_GB2312" w:hAnsi="仿宋_GB2312" w:eastAsia="仿宋_GB2312"/>
          <w:sz w:val="32"/>
          <w:szCs w:val="32"/>
        </w:rPr>
        <w:t>:</w:t>
      </w:r>
    </w:p>
    <w:p w14:paraId="4CA3D227">
      <w:pPr>
        <w:spacing w:line="60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1、医疗收入减少。</w:t>
      </w:r>
    </w:p>
    <w:p w14:paraId="4A10DC5F">
      <w:pPr>
        <w:spacing w:line="600" w:lineRule="exact"/>
        <w:ind w:firstLine="640" w:firstLineChars="200"/>
        <w:rPr>
          <w:rFonts w:hint="eastAsia" w:ascii="仿宋_GB2312" w:hAnsi="仿宋_GB2312" w:eastAsia="仿宋_GB2312"/>
          <w:sz w:val="32"/>
          <w:szCs w:val="32"/>
        </w:rPr>
      </w:pPr>
      <w:r>
        <w:rPr>
          <w:rFonts w:hint="eastAsia" w:ascii="仿宋" w:hAnsi="仿宋" w:eastAsia="仿宋"/>
          <w:color w:val="000000"/>
          <w:sz w:val="32"/>
          <w:szCs w:val="32"/>
        </w:rPr>
        <w:t>2、</w:t>
      </w:r>
      <w:r>
        <w:rPr>
          <w:rFonts w:hint="eastAsia" w:ascii="仿宋_GB2312" w:hAnsi="仿宋_GB2312" w:eastAsia="仿宋_GB2312"/>
          <w:sz w:val="32"/>
          <w:szCs w:val="32"/>
        </w:rPr>
        <w:t>在职人员减少</w:t>
      </w:r>
      <w:r>
        <w:rPr>
          <w:rFonts w:hint="eastAsia" w:ascii="仿宋_GB2312" w:hAnsi="仿宋_GB2312" w:eastAsia="仿宋_GB2312"/>
          <w:sz w:val="32"/>
          <w:szCs w:val="32"/>
          <w:lang w:val="en-US" w:eastAsia="zh-CN"/>
        </w:rPr>
        <w:t>2</w:t>
      </w:r>
      <w:r>
        <w:rPr>
          <w:rFonts w:hint="eastAsia" w:ascii="仿宋_GB2312" w:hAnsi="仿宋_GB2312" w:eastAsia="仿宋_GB2312"/>
          <w:sz w:val="32"/>
          <w:szCs w:val="32"/>
        </w:rPr>
        <w:t>人。</w:t>
      </w:r>
    </w:p>
    <w:p w14:paraId="5EB38DDA">
      <w:pPr>
        <w:spacing w:line="600" w:lineRule="exact"/>
        <w:ind w:firstLine="640" w:firstLineChars="200"/>
        <w:rPr>
          <w:rFonts w:ascii="仿宋_GB2312" w:eastAsia="仿宋_GB2312"/>
          <w:color w:val="000000"/>
          <w:sz w:val="32"/>
          <w:szCs w:val="32"/>
        </w:rPr>
      </w:pPr>
      <w:r>
        <w:rPr>
          <w:rFonts w:hint="eastAsia" w:ascii="仿宋_GB2312" w:hAnsi="仿宋_GB2312" w:eastAsia="仿宋_GB2312"/>
          <w:sz w:val="32"/>
          <w:szCs w:val="32"/>
        </w:rPr>
        <w:t>3、医院各类开支减少。</w:t>
      </w:r>
    </w:p>
    <w:p w14:paraId="171A078D">
      <w:pPr>
        <w:pStyle w:val="25"/>
        <w:numPr>
          <w:ilvl w:val="0"/>
          <w:numId w:val="1"/>
        </w:numPr>
        <w:spacing w:line="600" w:lineRule="exact"/>
        <w:ind w:firstLineChars="0"/>
        <w:outlineLvl w:val="1"/>
        <w:rPr>
          <w:rStyle w:val="27"/>
          <w:rFonts w:ascii="黑体" w:hAnsi="黑体" w:eastAsia="黑体"/>
          <w:b w:val="0"/>
        </w:rPr>
      </w:pPr>
      <w:bookmarkStart w:id="35" w:name="_Toc52180075"/>
      <w:bookmarkStart w:id="36" w:name="_Toc15396604"/>
      <w:bookmarkStart w:id="37" w:name="_Toc15377206"/>
      <w:r>
        <w:rPr>
          <w:rFonts w:hint="eastAsia" w:ascii="黑体" w:hAnsi="黑体" w:eastAsia="黑体"/>
          <w:color w:val="000000"/>
          <w:sz w:val="32"/>
          <w:szCs w:val="32"/>
        </w:rPr>
        <w:t>收</w:t>
      </w:r>
      <w:r>
        <w:rPr>
          <w:rStyle w:val="27"/>
          <w:rFonts w:hint="eastAsia" w:ascii="黑体" w:hAnsi="黑体" w:eastAsia="黑体"/>
          <w:b w:val="0"/>
        </w:rPr>
        <w:t>入决算情况说明</w:t>
      </w:r>
      <w:bookmarkEnd w:id="35"/>
      <w:bookmarkEnd w:id="36"/>
      <w:bookmarkEnd w:id="37"/>
    </w:p>
    <w:p w14:paraId="5CBD29FD">
      <w:pPr>
        <w:spacing w:line="600" w:lineRule="exact"/>
        <w:ind w:firstLine="640" w:firstLineChars="200"/>
        <w:outlineLvl w:val="1"/>
        <w:rPr>
          <w:rFonts w:ascii="仿宋_GB2312" w:eastAsia="仿宋_GB2312"/>
          <w:color w:val="FF0000"/>
          <w:sz w:val="32"/>
          <w:szCs w:val="32"/>
        </w:rPr>
      </w:pPr>
      <w:bookmarkStart w:id="38" w:name="_Toc52180076"/>
      <w:r>
        <w:rPr>
          <w:rFonts w:ascii="仿宋" w:hAnsi="仿宋" w:eastAsia="仿宋"/>
          <w:color w:val="000000"/>
          <w:sz w:val="32"/>
          <w:szCs w:val="32"/>
        </w:rPr>
        <w:t>20</w:t>
      </w:r>
      <w:r>
        <w:rPr>
          <w:rFonts w:hint="eastAsia" w:ascii="仿宋" w:hAnsi="仿宋" w:eastAsia="仿宋"/>
          <w:color w:val="000000"/>
          <w:sz w:val="32"/>
          <w:szCs w:val="32"/>
        </w:rPr>
        <w:t>20年本年收入合计</w:t>
      </w:r>
      <w:r>
        <w:rPr>
          <w:rFonts w:hint="eastAsia" w:ascii="仿宋" w:hAnsi="仿宋" w:eastAsia="仿宋"/>
          <w:color w:val="000000"/>
          <w:sz w:val="32"/>
          <w:szCs w:val="32"/>
          <w:lang w:val="en-US" w:eastAsia="zh-CN"/>
        </w:rPr>
        <w:t>227.06</w:t>
      </w:r>
      <w:r>
        <w:rPr>
          <w:rFonts w:hint="eastAsia" w:ascii="仿宋" w:hAnsi="仿宋" w:eastAsia="仿宋"/>
          <w:color w:val="000000"/>
          <w:sz w:val="32"/>
          <w:szCs w:val="32"/>
        </w:rPr>
        <w:t>万元，其中：一般公共预算财政拨款收入</w:t>
      </w:r>
      <w:r>
        <w:rPr>
          <w:rFonts w:hint="eastAsia" w:ascii="仿宋_GB2312" w:hAnsi="宋体" w:eastAsia="仿宋_GB2312"/>
          <w:sz w:val="32"/>
          <w:szCs w:val="32"/>
          <w:lang w:val="en-US" w:eastAsia="zh-CN"/>
        </w:rPr>
        <w:t>191.27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84.24</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0.16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0.07</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14:textFill>
            <w14:solidFill>
              <w14:schemeClr w14:val="tx1"/>
            </w14:solidFill>
          </w14:textFill>
        </w:rPr>
        <w:t>上级补助收入0</w:t>
      </w:r>
      <w:r>
        <w:rPr>
          <w:rFonts w:hint="eastAsia" w:ascii="仿宋" w:hAnsi="仿宋" w:eastAsia="仿宋"/>
          <w:color w:val="000000"/>
          <w:sz w:val="32"/>
          <w:szCs w:val="32"/>
        </w:rPr>
        <w:t>万元，占0</w:t>
      </w:r>
      <w:r>
        <w:rPr>
          <w:rFonts w:ascii="仿宋" w:hAnsi="仿宋" w:eastAsia="仿宋"/>
          <w:color w:val="000000"/>
          <w:sz w:val="32"/>
          <w:szCs w:val="32"/>
        </w:rPr>
        <w:t>%</w:t>
      </w:r>
      <w:r>
        <w:rPr>
          <w:rFonts w:hint="eastAsia" w:ascii="仿宋" w:hAnsi="仿宋" w:eastAsia="仿宋"/>
          <w:color w:val="000000"/>
          <w:sz w:val="32"/>
          <w:szCs w:val="32"/>
        </w:rPr>
        <w:t>；事业收入0万元，占0</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35.79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15.76</w:t>
      </w:r>
      <w:r>
        <w:rPr>
          <w:rFonts w:ascii="仿宋" w:hAnsi="仿宋" w:eastAsia="仿宋"/>
          <w:color w:val="000000"/>
          <w:sz w:val="32"/>
          <w:szCs w:val="32"/>
        </w:rPr>
        <w:t>%</w:t>
      </w:r>
      <w:r>
        <w:rPr>
          <w:rFonts w:hint="eastAsia" w:ascii="仿宋" w:hAnsi="仿宋" w:eastAsia="仿宋"/>
          <w:color w:val="000000"/>
          <w:sz w:val="32"/>
          <w:szCs w:val="32"/>
        </w:rPr>
        <w:t>。</w:t>
      </w:r>
      <w:bookmarkEnd w:id="38"/>
    </w:p>
    <w:p w14:paraId="30C0821F">
      <w:pPr>
        <w:pStyle w:val="25"/>
        <w:numPr>
          <w:ilvl w:val="0"/>
          <w:numId w:val="1"/>
        </w:numPr>
        <w:spacing w:line="600" w:lineRule="exact"/>
        <w:ind w:firstLineChars="0"/>
        <w:outlineLvl w:val="1"/>
        <w:rPr>
          <w:rStyle w:val="27"/>
          <w:rFonts w:ascii="黑体" w:hAnsi="黑体" w:eastAsia="黑体"/>
          <w:b w:val="0"/>
        </w:rPr>
      </w:pPr>
      <w:bookmarkStart w:id="39" w:name="_Toc15377207"/>
      <w:bookmarkStart w:id="40" w:name="_Toc15396605"/>
      <w:bookmarkStart w:id="41" w:name="_Toc52180077"/>
      <w:r>
        <w:rPr>
          <w:rFonts w:hint="eastAsia" w:ascii="黑体" w:hAnsi="黑体" w:eastAsia="黑体"/>
          <w:color w:val="000000"/>
          <w:sz w:val="32"/>
          <w:szCs w:val="32"/>
        </w:rPr>
        <w:t>支</w:t>
      </w:r>
      <w:r>
        <w:rPr>
          <w:rStyle w:val="27"/>
          <w:rFonts w:hint="eastAsia" w:ascii="黑体" w:hAnsi="黑体" w:eastAsia="黑体"/>
          <w:b w:val="0"/>
        </w:rPr>
        <w:t>出决算情况说明</w:t>
      </w:r>
      <w:bookmarkEnd w:id="39"/>
      <w:bookmarkEnd w:id="40"/>
      <w:bookmarkEnd w:id="41"/>
    </w:p>
    <w:p w14:paraId="33E4DAC8">
      <w:pPr>
        <w:spacing w:line="600" w:lineRule="exact"/>
        <w:ind w:firstLine="640" w:firstLineChars="200"/>
        <w:outlineLvl w:val="1"/>
        <w:rPr>
          <w:rFonts w:ascii="仿宋_GB2312" w:eastAsia="仿宋_GB2312"/>
          <w:color w:val="FF0000"/>
          <w:sz w:val="32"/>
          <w:szCs w:val="32"/>
        </w:rPr>
      </w:pPr>
      <w:bookmarkStart w:id="42" w:name="_Toc52180078"/>
      <w:r>
        <w:rPr>
          <w:rFonts w:ascii="仿宋" w:hAnsi="仿宋" w:eastAsia="仿宋"/>
          <w:color w:val="000000"/>
          <w:sz w:val="32"/>
          <w:szCs w:val="32"/>
        </w:rPr>
        <w:t>20</w:t>
      </w:r>
      <w:r>
        <w:rPr>
          <w:rFonts w:hint="eastAsia" w:ascii="仿宋" w:hAnsi="仿宋" w:eastAsia="仿宋"/>
          <w:color w:val="000000"/>
          <w:sz w:val="32"/>
          <w:szCs w:val="32"/>
        </w:rPr>
        <w:t>20年本年支出合计</w:t>
      </w:r>
      <w:r>
        <w:rPr>
          <w:rFonts w:hint="eastAsia" w:ascii="仿宋" w:hAnsi="仿宋" w:eastAsia="仿宋"/>
          <w:color w:val="000000"/>
          <w:sz w:val="32"/>
          <w:szCs w:val="32"/>
          <w:lang w:val="en-US" w:eastAsia="zh-CN"/>
        </w:rPr>
        <w:t>212.92</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127.58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59.91</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85.34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40.08</w:t>
      </w:r>
      <w:r>
        <w:rPr>
          <w:rFonts w:ascii="仿宋" w:hAnsi="仿宋" w:eastAsia="仿宋"/>
          <w:color w:val="000000"/>
          <w:sz w:val="32"/>
          <w:szCs w:val="32"/>
        </w:rPr>
        <w:t>%</w:t>
      </w:r>
      <w:r>
        <w:rPr>
          <w:rFonts w:hint="eastAsia" w:ascii="仿宋" w:hAnsi="仿宋" w:eastAsia="仿宋"/>
          <w:color w:val="000000"/>
          <w:sz w:val="32"/>
          <w:szCs w:val="32"/>
        </w:rPr>
        <w:t>；上缴上级支出0万元，占0</w:t>
      </w:r>
      <w:r>
        <w:rPr>
          <w:rFonts w:ascii="仿宋" w:hAnsi="仿宋" w:eastAsia="仿宋"/>
          <w:color w:val="000000"/>
          <w:sz w:val="32"/>
          <w:szCs w:val="32"/>
        </w:rPr>
        <w:t>%</w:t>
      </w:r>
      <w:r>
        <w:rPr>
          <w:rFonts w:hint="eastAsia" w:ascii="仿宋" w:hAnsi="仿宋" w:eastAsia="仿宋"/>
          <w:color w:val="000000"/>
          <w:sz w:val="32"/>
          <w:szCs w:val="32"/>
        </w:rPr>
        <w:t>；经营支出0万元，占0</w:t>
      </w:r>
      <w:r>
        <w:rPr>
          <w:rFonts w:ascii="仿宋" w:hAnsi="仿宋" w:eastAsia="仿宋"/>
          <w:color w:val="000000"/>
          <w:sz w:val="32"/>
          <w:szCs w:val="32"/>
        </w:rPr>
        <w:t>%</w:t>
      </w:r>
      <w:r>
        <w:rPr>
          <w:rFonts w:hint="eastAsia" w:ascii="仿宋" w:hAnsi="仿宋" w:eastAsia="仿宋"/>
          <w:color w:val="000000"/>
          <w:sz w:val="32"/>
          <w:szCs w:val="32"/>
        </w:rPr>
        <w:t>；对附属单位补助支出0万元，占0</w:t>
      </w:r>
      <w:r>
        <w:rPr>
          <w:rFonts w:ascii="仿宋" w:hAnsi="仿宋" w:eastAsia="仿宋"/>
          <w:color w:val="000000"/>
          <w:sz w:val="32"/>
          <w:szCs w:val="32"/>
        </w:rPr>
        <w:t>%</w:t>
      </w:r>
      <w:r>
        <w:rPr>
          <w:rFonts w:hint="eastAsia" w:ascii="仿宋" w:hAnsi="仿宋" w:eastAsia="仿宋"/>
          <w:color w:val="000000"/>
          <w:sz w:val="32"/>
          <w:szCs w:val="32"/>
        </w:rPr>
        <w:t>。</w:t>
      </w:r>
      <w:bookmarkEnd w:id="42"/>
    </w:p>
    <w:p w14:paraId="0042F07A">
      <w:pPr>
        <w:spacing w:line="600" w:lineRule="exact"/>
        <w:ind w:firstLine="640" w:firstLineChars="200"/>
        <w:outlineLvl w:val="1"/>
        <w:rPr>
          <w:rFonts w:hint="eastAsia" w:ascii="黑体" w:hAnsi="黑体" w:eastAsia="黑体"/>
          <w:color w:val="000000"/>
          <w:sz w:val="32"/>
          <w:szCs w:val="32"/>
        </w:rPr>
      </w:pPr>
      <w:bookmarkStart w:id="43" w:name="_Toc15396606"/>
      <w:bookmarkStart w:id="44" w:name="_Toc15377208"/>
      <w:bookmarkStart w:id="45" w:name="_Toc52180079"/>
    </w:p>
    <w:p w14:paraId="36474413">
      <w:pPr>
        <w:spacing w:line="600" w:lineRule="exact"/>
        <w:ind w:firstLine="640" w:firstLineChars="200"/>
        <w:outlineLvl w:val="1"/>
        <w:rPr>
          <w:rFonts w:hint="eastAsia" w:ascii="黑体" w:hAnsi="黑体" w:eastAsia="黑体"/>
          <w:color w:val="000000"/>
          <w:sz w:val="32"/>
          <w:szCs w:val="32"/>
        </w:rPr>
      </w:pPr>
    </w:p>
    <w:p w14:paraId="1015E94D">
      <w:pPr>
        <w:spacing w:line="600" w:lineRule="exact"/>
        <w:ind w:firstLine="640" w:firstLineChars="200"/>
        <w:outlineLvl w:val="1"/>
        <w:rPr>
          <w:rStyle w:val="27"/>
          <w:rFonts w:ascii="黑体" w:hAnsi="黑体" w:eastAsia="黑体"/>
          <w:b w:val="0"/>
        </w:rPr>
      </w:pPr>
      <w:r>
        <w:rPr>
          <w:rFonts w:hint="eastAsia" w:ascii="黑体" w:hAnsi="黑体" w:eastAsia="黑体"/>
          <w:color w:val="000000"/>
          <w:sz w:val="32"/>
          <w:szCs w:val="32"/>
        </w:rPr>
        <w:t>四、财</w:t>
      </w:r>
      <w:r>
        <w:rPr>
          <w:rStyle w:val="27"/>
          <w:rFonts w:hint="eastAsia" w:ascii="黑体" w:hAnsi="黑体" w:eastAsia="黑体"/>
          <w:b w:val="0"/>
        </w:rPr>
        <w:t>政拨款收入支出决算总体情况说明</w:t>
      </w:r>
      <w:bookmarkEnd w:id="43"/>
      <w:bookmarkEnd w:id="44"/>
      <w:bookmarkEnd w:id="45"/>
    </w:p>
    <w:p w14:paraId="23303538">
      <w:pPr>
        <w:spacing w:line="600" w:lineRule="exact"/>
        <w:ind w:firstLine="640"/>
        <w:rPr>
          <w:rFonts w:ascii="仿宋" w:hAnsi="仿宋" w:eastAsia="仿宋"/>
          <w:b/>
          <w:color w:val="00B050"/>
          <w:sz w:val="32"/>
          <w:szCs w:val="32"/>
        </w:rPr>
      </w:pPr>
      <w:r>
        <w:rPr>
          <w:rFonts w:ascii="仿宋" w:hAnsi="仿宋" w:eastAsia="仿宋"/>
          <w:color w:val="000000"/>
          <w:sz w:val="32"/>
          <w:szCs w:val="32"/>
        </w:rPr>
        <w:t>20</w:t>
      </w:r>
      <w:r>
        <w:rPr>
          <w:rFonts w:hint="eastAsia" w:ascii="仿宋" w:hAnsi="仿宋" w:eastAsia="仿宋"/>
          <w:color w:val="000000"/>
          <w:sz w:val="32"/>
          <w:szCs w:val="32"/>
        </w:rPr>
        <w:t>20年财政拨款收、支总计</w:t>
      </w:r>
      <w:r>
        <w:rPr>
          <w:rFonts w:hint="eastAsia" w:ascii="仿宋" w:hAnsi="仿宋" w:eastAsia="仿宋"/>
          <w:color w:val="000000"/>
          <w:sz w:val="32"/>
          <w:szCs w:val="32"/>
          <w:lang w:val="en-US" w:eastAsia="zh-CN"/>
        </w:rPr>
        <w:t>383.95</w:t>
      </w:r>
      <w:r>
        <w:rPr>
          <w:rFonts w:hint="eastAsia" w:ascii="仿宋" w:hAnsi="仿宋" w:eastAsia="仿宋"/>
          <w:color w:val="000000"/>
          <w:sz w:val="32"/>
          <w:szCs w:val="32"/>
        </w:rPr>
        <w:t>万元。与</w:t>
      </w: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年相比，财政拨款收</w:t>
      </w:r>
      <w:r>
        <w:rPr>
          <w:rFonts w:hint="eastAsia" w:ascii="仿宋" w:hAnsi="仿宋" w:eastAsia="仿宋"/>
          <w:color w:val="000000"/>
          <w:sz w:val="32"/>
          <w:szCs w:val="32"/>
          <w:lang w:val="en-US" w:eastAsia="zh-CN"/>
        </w:rPr>
        <w:t>入增加4.65</w:t>
      </w:r>
      <w:r>
        <w:rPr>
          <w:rFonts w:hint="eastAsia" w:ascii="仿宋" w:hAnsi="仿宋" w:eastAsia="仿宋"/>
          <w:color w:val="000000"/>
          <w:sz w:val="32"/>
          <w:szCs w:val="32"/>
        </w:rPr>
        <w:t>万</w:t>
      </w:r>
      <w:r>
        <w:rPr>
          <w:rFonts w:hint="eastAsia" w:ascii="仿宋" w:hAnsi="仿宋" w:eastAsia="仿宋"/>
          <w:color w:val="000000"/>
          <w:sz w:val="32"/>
          <w:szCs w:val="32"/>
          <w:lang w:eastAsia="zh-CN"/>
        </w:rPr>
        <w:t>元，</w:t>
      </w:r>
      <w:r>
        <w:rPr>
          <w:rFonts w:hint="eastAsia" w:ascii="仿宋" w:hAnsi="仿宋" w:eastAsia="仿宋"/>
          <w:color w:val="000000"/>
          <w:sz w:val="32"/>
          <w:szCs w:val="32"/>
          <w:lang w:val="en-US" w:eastAsia="zh-CN"/>
        </w:rPr>
        <w:t>增加了2.49%</w:t>
      </w:r>
      <w:r>
        <w:rPr>
          <w:rFonts w:hint="eastAsia" w:ascii="仿宋" w:hAnsi="仿宋" w:eastAsia="仿宋"/>
          <w:color w:val="000000"/>
          <w:sz w:val="32"/>
          <w:szCs w:val="32"/>
        </w:rPr>
        <w:t>、支</w:t>
      </w:r>
      <w:r>
        <w:rPr>
          <w:rFonts w:hint="eastAsia" w:ascii="仿宋" w:hAnsi="仿宋" w:eastAsia="仿宋"/>
          <w:color w:val="000000"/>
          <w:sz w:val="32"/>
          <w:szCs w:val="32"/>
          <w:lang w:val="en-US" w:eastAsia="zh-CN"/>
        </w:rPr>
        <w:t>出</w:t>
      </w:r>
      <w:r>
        <w:rPr>
          <w:rFonts w:hint="eastAsia" w:ascii="仿宋" w:hAnsi="仿宋" w:eastAsia="仿宋"/>
          <w:color w:val="000000"/>
          <w:sz w:val="32"/>
          <w:szCs w:val="32"/>
        </w:rPr>
        <w:t>总计</w:t>
      </w:r>
      <w:r>
        <w:rPr>
          <w:rFonts w:hint="eastAsia" w:ascii="仿宋" w:hAnsi="仿宋" w:eastAsia="仿宋"/>
          <w:color w:val="000000"/>
          <w:sz w:val="32"/>
          <w:szCs w:val="32"/>
          <w:lang w:val="en-US" w:eastAsia="zh-CN"/>
        </w:rPr>
        <w:t>增加9.41</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5.13%，</w:t>
      </w:r>
      <w:r>
        <w:rPr>
          <w:rFonts w:hint="eastAsia" w:ascii="仿宋" w:hAnsi="仿宋" w:eastAsia="仿宋"/>
          <w:color w:val="000000"/>
          <w:sz w:val="32"/>
          <w:szCs w:val="32"/>
          <w:lang w:eastAsia="zh-CN"/>
        </w:rPr>
        <w:t>增加的</w:t>
      </w:r>
      <w:r>
        <w:rPr>
          <w:rFonts w:hint="eastAsia" w:ascii="仿宋" w:hAnsi="仿宋" w:eastAsia="仿宋"/>
          <w:color w:val="000000"/>
          <w:sz w:val="32"/>
          <w:szCs w:val="32"/>
        </w:rPr>
        <w:t>主要变动原因是</w:t>
      </w:r>
      <w:r>
        <w:rPr>
          <w:rFonts w:hint="eastAsia" w:ascii="仿宋_GB2312" w:hAnsi="仿宋_GB2312" w:eastAsia="仿宋_GB2312"/>
          <w:sz w:val="32"/>
          <w:szCs w:val="32"/>
          <w:lang w:val="en-US" w:eastAsia="zh-CN"/>
        </w:rPr>
        <w:t>2020年公共卫生经费人均费用提高，增加疫情防控经费等</w:t>
      </w:r>
      <w:r>
        <w:rPr>
          <w:rFonts w:hint="eastAsia" w:ascii="仿宋_GB2312" w:hAnsi="仿宋_GB2312" w:eastAsia="仿宋_GB2312"/>
          <w:sz w:val="32"/>
          <w:szCs w:val="32"/>
        </w:rPr>
        <w:t>。</w:t>
      </w:r>
    </w:p>
    <w:p w14:paraId="33A034B5">
      <w:pPr>
        <w:spacing w:line="600" w:lineRule="exact"/>
        <w:ind w:firstLine="640" w:firstLineChars="200"/>
        <w:outlineLvl w:val="1"/>
        <w:rPr>
          <w:rStyle w:val="27"/>
          <w:rFonts w:ascii="黑体" w:hAnsi="黑体" w:eastAsia="黑体"/>
          <w:b w:val="0"/>
        </w:rPr>
      </w:pPr>
      <w:bookmarkStart w:id="46" w:name="_Toc15377209"/>
      <w:bookmarkStart w:id="47" w:name="_Toc52180080"/>
      <w:bookmarkStart w:id="48"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7"/>
          <w:rFonts w:hint="eastAsia" w:ascii="黑体" w:hAnsi="黑体" w:eastAsia="黑体"/>
          <w:b w:val="0"/>
        </w:rPr>
        <w:t>般公共预算财政拨款支出决算情况说明</w:t>
      </w:r>
      <w:bookmarkEnd w:id="46"/>
      <w:bookmarkEnd w:id="47"/>
      <w:bookmarkEnd w:id="48"/>
    </w:p>
    <w:p w14:paraId="3EEB172F">
      <w:pPr>
        <w:spacing w:line="600" w:lineRule="exact"/>
        <w:ind w:firstLine="643" w:firstLineChars="200"/>
        <w:outlineLvl w:val="2"/>
        <w:rPr>
          <w:rFonts w:ascii="仿宋" w:hAnsi="仿宋" w:eastAsia="仿宋"/>
          <w:b/>
          <w:color w:val="000000"/>
          <w:sz w:val="32"/>
          <w:szCs w:val="32"/>
        </w:rPr>
      </w:pPr>
      <w:bookmarkStart w:id="49" w:name="_Toc15377210"/>
      <w:bookmarkStart w:id="50" w:name="_Toc52180081"/>
      <w:r>
        <w:rPr>
          <w:rFonts w:hint="eastAsia" w:ascii="仿宋" w:hAnsi="仿宋" w:eastAsia="仿宋"/>
          <w:b/>
          <w:color w:val="000000"/>
          <w:sz w:val="32"/>
          <w:szCs w:val="32"/>
        </w:rPr>
        <w:t>（一）一般公共预算财政拨款支出决算总体情况</w:t>
      </w:r>
      <w:bookmarkEnd w:id="49"/>
      <w:bookmarkEnd w:id="50"/>
    </w:p>
    <w:p w14:paraId="6219E814">
      <w:pPr>
        <w:spacing w:line="600" w:lineRule="exact"/>
        <w:ind w:firstLine="640"/>
        <w:rPr>
          <w:rFonts w:ascii="仿宋" w:hAnsi="仿宋" w:eastAsia="仿宋"/>
          <w:color w:val="000000" w:themeColor="text1"/>
          <w:sz w:val="32"/>
          <w:szCs w:val="32"/>
          <w14:textFill>
            <w14:solidFill>
              <w14:schemeClr w14:val="tx1"/>
            </w14:solidFill>
          </w14:textFill>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192.53</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90.49</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年相比，一般公共预算财政拨款增加</w:t>
      </w:r>
      <w:r>
        <w:rPr>
          <w:rFonts w:hint="eastAsia" w:ascii="仿宋" w:hAnsi="仿宋" w:eastAsia="仿宋"/>
          <w:color w:val="000000"/>
          <w:sz w:val="32"/>
          <w:szCs w:val="32"/>
          <w:lang w:val="en-US" w:eastAsia="zh-CN"/>
        </w:rPr>
        <w:t>9.25</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5.04</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sz w:val="32"/>
          <w:szCs w:val="32"/>
          <w:lang w:eastAsia="zh-CN"/>
        </w:rPr>
        <w:t>增加的</w:t>
      </w:r>
      <w:r>
        <w:rPr>
          <w:rFonts w:hint="eastAsia" w:ascii="仿宋" w:hAnsi="仿宋" w:eastAsia="仿宋"/>
          <w:color w:val="000000"/>
          <w:sz w:val="32"/>
          <w:szCs w:val="32"/>
        </w:rPr>
        <w:t>主要变动原因是</w:t>
      </w:r>
      <w:r>
        <w:rPr>
          <w:rFonts w:hint="eastAsia" w:ascii="仿宋_GB2312" w:hAnsi="仿宋_GB2312" w:eastAsia="仿宋_GB2312"/>
          <w:sz w:val="32"/>
          <w:szCs w:val="32"/>
          <w:lang w:val="en-US" w:eastAsia="zh-CN"/>
        </w:rPr>
        <w:t>2020年公共卫生经费人均费用提高，增加疫情防控经费等</w:t>
      </w:r>
      <w:r>
        <w:rPr>
          <w:rFonts w:hint="eastAsia" w:ascii="仿宋_GB2312" w:hAnsi="仿宋_GB2312" w:eastAsia="仿宋_GB2312"/>
          <w:sz w:val="32"/>
          <w:szCs w:val="32"/>
        </w:rPr>
        <w:t>。</w:t>
      </w:r>
    </w:p>
    <w:p w14:paraId="22BDECDC">
      <w:pPr>
        <w:spacing w:line="600" w:lineRule="exact"/>
        <w:ind w:firstLine="643" w:firstLineChars="200"/>
        <w:outlineLvl w:val="2"/>
        <w:rPr>
          <w:rFonts w:ascii="仿宋" w:hAnsi="仿宋" w:eastAsia="仿宋"/>
          <w:b/>
          <w:color w:val="000000"/>
          <w:sz w:val="32"/>
          <w:szCs w:val="32"/>
        </w:rPr>
      </w:pPr>
      <w:bookmarkStart w:id="51" w:name="_Toc15377211"/>
      <w:bookmarkStart w:id="52" w:name="_Toc52180082"/>
      <w:r>
        <w:rPr>
          <w:rFonts w:hint="eastAsia" w:ascii="仿宋" w:hAnsi="仿宋" w:eastAsia="仿宋"/>
          <w:b/>
          <w:color w:val="000000"/>
          <w:sz w:val="32"/>
          <w:szCs w:val="32"/>
        </w:rPr>
        <w:t>（二）一般公共预算财政拨款支出决算结构情况</w:t>
      </w:r>
      <w:bookmarkEnd w:id="51"/>
      <w:bookmarkEnd w:id="52"/>
    </w:p>
    <w:p w14:paraId="3949F851">
      <w:pPr>
        <w:spacing w:line="600" w:lineRule="exact"/>
        <w:ind w:firstLine="64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年一般公共预算财</w:t>
      </w:r>
      <w:r>
        <w:rPr>
          <w:rFonts w:hint="eastAsia" w:ascii="仿宋" w:hAnsi="仿宋" w:eastAsia="仿宋"/>
          <w:color w:val="000000" w:themeColor="text1"/>
          <w:sz w:val="32"/>
          <w:szCs w:val="32"/>
          <w14:textFill>
            <w14:solidFill>
              <w14:schemeClr w14:val="tx1"/>
            </w14:solidFill>
          </w14:textFill>
        </w:rPr>
        <w:t>政拨款支出</w:t>
      </w:r>
      <w:r>
        <w:rPr>
          <w:rFonts w:hint="eastAsia" w:ascii="仿宋" w:hAnsi="仿宋" w:eastAsia="仿宋"/>
          <w:color w:val="000000"/>
          <w:sz w:val="32"/>
          <w:szCs w:val="32"/>
          <w:lang w:val="en-US" w:eastAsia="zh-CN"/>
        </w:rPr>
        <w:t>192.53</w:t>
      </w:r>
      <w:r>
        <w:rPr>
          <w:rFonts w:hint="eastAsia" w:ascii="仿宋" w:hAnsi="仿宋" w:eastAsia="仿宋"/>
          <w:color w:val="000000" w:themeColor="text1"/>
          <w:sz w:val="32"/>
          <w:szCs w:val="32"/>
          <w14:textFill>
            <w14:solidFill>
              <w14:schemeClr w14:val="tx1"/>
            </w14:solidFill>
          </w14:textFill>
        </w:rPr>
        <w:t>万元，主要用于以下方面</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社会保障和就业（类）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12.78</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6.63</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卫生健康支出</w:t>
      </w:r>
      <w:r>
        <w:rPr>
          <w:rFonts w:hint="eastAsia" w:ascii="仿宋" w:hAnsi="仿宋" w:eastAsia="仿宋"/>
          <w:color w:val="000000" w:themeColor="text1"/>
          <w:sz w:val="32"/>
          <w:szCs w:val="32"/>
          <w:lang w:val="en-US" w:eastAsia="zh-CN"/>
          <w14:textFill>
            <w14:solidFill>
              <w14:schemeClr w14:val="tx1"/>
            </w14:solidFill>
          </w14:textFill>
        </w:rPr>
        <w:t>162.18</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84.24</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；住房保障支出</w:t>
      </w:r>
      <w:r>
        <w:rPr>
          <w:rFonts w:hint="eastAsia" w:ascii="仿宋" w:hAnsi="仿宋" w:eastAsia="仿宋"/>
          <w:color w:val="000000" w:themeColor="text1"/>
          <w:sz w:val="32"/>
          <w:szCs w:val="32"/>
          <w:lang w:val="en-US" w:eastAsia="zh-CN"/>
          <w14:textFill>
            <w14:solidFill>
              <w14:schemeClr w14:val="tx1"/>
            </w14:solidFill>
          </w14:textFill>
        </w:rPr>
        <w:t>17.57</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9.13</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；其他支出</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占</w:t>
      </w:r>
      <w:r>
        <w:rPr>
          <w:rFonts w:hint="eastAsia" w:ascii="仿宋" w:hAnsi="仿宋" w:eastAsia="仿宋"/>
          <w:color w:val="000000" w:themeColor="text1"/>
          <w:sz w:val="32"/>
          <w:szCs w:val="32"/>
          <w:lang w:val="en-US" w:eastAsia="zh-CN"/>
          <w14:textFill>
            <w14:solidFill>
              <w14:schemeClr w14:val="tx1"/>
            </w14:solidFill>
          </w14:textFill>
        </w:rPr>
        <w:t>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p>
    <w:p w14:paraId="075D0A59">
      <w:pPr>
        <w:spacing w:line="600" w:lineRule="exact"/>
        <w:ind w:firstLine="643" w:firstLineChars="200"/>
        <w:outlineLvl w:val="2"/>
        <w:rPr>
          <w:rFonts w:ascii="仿宋" w:hAnsi="仿宋" w:eastAsia="仿宋"/>
          <w:b/>
          <w:color w:val="000000"/>
          <w:sz w:val="32"/>
          <w:szCs w:val="32"/>
        </w:rPr>
      </w:pPr>
      <w:bookmarkStart w:id="53" w:name="_Toc52180083"/>
      <w:bookmarkStart w:id="54" w:name="_Toc15377212"/>
      <w:r>
        <w:rPr>
          <w:rFonts w:hint="eastAsia" w:ascii="仿宋" w:hAnsi="仿宋" w:eastAsia="仿宋"/>
          <w:b/>
          <w:color w:val="000000"/>
          <w:sz w:val="32"/>
          <w:szCs w:val="32"/>
        </w:rPr>
        <w:t>（三）一般公共预算财政拨款支出决算具体情况</w:t>
      </w:r>
      <w:bookmarkEnd w:id="53"/>
      <w:bookmarkEnd w:id="54"/>
    </w:p>
    <w:p w14:paraId="3E2EF5E8">
      <w:pPr>
        <w:spacing w:line="600" w:lineRule="exact"/>
        <w:ind w:firstLine="643" w:firstLineChars="200"/>
        <w:outlineLvl w:val="2"/>
        <w:rPr>
          <w:rFonts w:ascii="仿宋" w:hAnsi="仿宋" w:eastAsia="仿宋"/>
          <w:color w:val="FF0000"/>
          <w:sz w:val="32"/>
          <w:szCs w:val="32"/>
        </w:rPr>
      </w:pPr>
      <w:bookmarkStart w:id="55" w:name="_Toc15377444"/>
      <w:bookmarkStart w:id="56" w:name="_Toc52180084"/>
      <w:bookmarkStart w:id="57" w:name="_Toc15377213"/>
      <w:bookmarkStart w:id="58" w:name="_Toc15378460"/>
      <w:r>
        <w:rPr>
          <w:rFonts w:hint="eastAsia" w:ascii="仿宋" w:hAnsi="仿宋" w:eastAsia="仿宋"/>
          <w:b/>
          <w:color w:val="000000" w:themeColor="text1"/>
          <w:sz w:val="32"/>
          <w:szCs w:val="32"/>
          <w14:textFill>
            <w14:solidFill>
              <w14:schemeClr w14:val="tx1"/>
            </w14:solidFill>
          </w14:textFill>
        </w:rPr>
        <w:t>20</w:t>
      </w:r>
      <w:r>
        <w:rPr>
          <w:rFonts w:hint="eastAsia" w:ascii="仿宋" w:hAnsi="仿宋" w:eastAsia="仿宋"/>
          <w:b/>
          <w:color w:val="000000" w:themeColor="text1"/>
          <w:sz w:val="32"/>
          <w:szCs w:val="32"/>
          <w:lang w:val="en-US" w:eastAsia="zh-CN"/>
          <w14:textFill>
            <w14:solidFill>
              <w14:schemeClr w14:val="tx1"/>
            </w14:solidFill>
          </w14:textFill>
        </w:rPr>
        <w:t>20</w:t>
      </w:r>
      <w:r>
        <w:rPr>
          <w:rFonts w:hint="eastAsia" w:ascii="仿宋" w:hAnsi="仿宋" w:eastAsia="仿宋"/>
          <w:b/>
          <w:color w:val="000000" w:themeColor="text1"/>
          <w:sz w:val="32"/>
          <w:szCs w:val="32"/>
          <w14:textFill>
            <w14:solidFill>
              <w14:schemeClr w14:val="tx1"/>
            </w14:solidFill>
          </w14:textFill>
        </w:rPr>
        <w:t>年</w:t>
      </w:r>
      <w:r>
        <w:rPr>
          <w:rFonts w:hint="eastAsia" w:ascii="仿宋" w:hAnsi="仿宋" w:eastAsia="仿宋"/>
          <w:b/>
          <w:color w:val="000000"/>
          <w:sz w:val="32"/>
          <w:szCs w:val="32"/>
        </w:rPr>
        <w:t>一</w:t>
      </w:r>
      <w:r>
        <w:rPr>
          <w:rFonts w:hint="eastAsia" w:ascii="仿宋" w:hAnsi="仿宋" w:eastAsia="仿宋"/>
          <w:b/>
          <w:color w:val="000000" w:themeColor="text1"/>
          <w:sz w:val="32"/>
          <w:szCs w:val="32"/>
          <w14:textFill>
            <w14:solidFill>
              <w14:schemeClr w14:val="tx1"/>
            </w14:solidFill>
          </w14:textFill>
        </w:rPr>
        <w:t>般公共预算支出决算数为</w:t>
      </w:r>
      <w:r>
        <w:rPr>
          <w:rFonts w:hint="eastAsia" w:ascii="仿宋" w:hAnsi="仿宋" w:eastAsia="仿宋"/>
          <w:b/>
          <w:color w:val="000000" w:themeColor="text1"/>
          <w:sz w:val="32"/>
          <w:szCs w:val="32"/>
          <w:lang w:val="en-US" w:eastAsia="zh-CN"/>
          <w14:textFill>
            <w14:solidFill>
              <w14:schemeClr w14:val="tx1"/>
            </w14:solidFill>
          </w14:textFill>
        </w:rPr>
        <w:t>192.53</w:t>
      </w:r>
      <w:r>
        <w:rPr>
          <w:rFonts w:hint="eastAsia" w:ascii="仿宋" w:hAnsi="仿宋" w:eastAsia="仿宋"/>
          <w:b/>
          <w:color w:val="000000" w:themeColor="text1"/>
          <w:sz w:val="32"/>
          <w:szCs w:val="32"/>
          <w14:textFill>
            <w14:solidFill>
              <w14:schemeClr w14:val="tx1"/>
            </w14:solidFill>
          </w14:textFill>
        </w:rPr>
        <w:t>万元</w:t>
      </w:r>
      <w:r>
        <w:rPr>
          <w:rFonts w:hint="eastAsia" w:ascii="仿宋" w:hAnsi="仿宋" w:eastAsia="仿宋"/>
          <w:color w:val="000000" w:themeColor="text1"/>
          <w:sz w:val="32"/>
          <w:szCs w:val="32"/>
          <w14:textFill>
            <w14:solidFill>
              <w14:schemeClr w14:val="tx1"/>
            </w14:solidFill>
          </w14:textFill>
        </w:rPr>
        <w:t>，</w:t>
      </w:r>
      <w:r>
        <w:rPr>
          <w:rStyle w:val="16"/>
          <w:rFonts w:hint="eastAsia" w:ascii="仿宋" w:hAnsi="仿宋" w:eastAsia="仿宋"/>
          <w:bCs/>
          <w:color w:val="000000" w:themeColor="text1"/>
          <w:sz w:val="32"/>
          <w:szCs w:val="32"/>
          <w14:textFill>
            <w14:solidFill>
              <w14:schemeClr w14:val="tx1"/>
            </w14:solidFill>
          </w14:textFill>
        </w:rPr>
        <w:t>完成</w:t>
      </w:r>
      <w:r>
        <w:rPr>
          <w:rStyle w:val="16"/>
          <w:rFonts w:hint="eastAsia" w:ascii="仿宋" w:hAnsi="仿宋" w:eastAsia="仿宋"/>
          <w:bCs/>
          <w:color w:val="000000"/>
          <w:sz w:val="32"/>
          <w:szCs w:val="32"/>
        </w:rPr>
        <w:t>预算</w:t>
      </w:r>
      <w:r>
        <w:rPr>
          <w:rStyle w:val="16"/>
          <w:rFonts w:hint="eastAsia" w:ascii="仿宋" w:hAnsi="仿宋" w:eastAsia="仿宋"/>
          <w:bCs/>
          <w:color w:val="000000"/>
          <w:sz w:val="32"/>
          <w:szCs w:val="32"/>
          <w:lang w:val="en-US" w:eastAsia="zh-CN"/>
        </w:rPr>
        <w:t>100</w:t>
      </w:r>
      <w:r>
        <w:rPr>
          <w:rStyle w:val="16"/>
          <w:rFonts w:ascii="仿宋" w:hAnsi="仿宋" w:eastAsia="仿宋"/>
          <w:bCs/>
          <w:color w:val="000000"/>
          <w:sz w:val="32"/>
          <w:szCs w:val="32"/>
        </w:rPr>
        <w:t>%</w:t>
      </w:r>
      <w:r>
        <w:rPr>
          <w:rStyle w:val="16"/>
          <w:rFonts w:hint="eastAsia" w:ascii="仿宋" w:hAnsi="仿宋" w:eastAsia="仿宋"/>
          <w:bCs/>
          <w:color w:val="000000"/>
          <w:sz w:val="32"/>
          <w:szCs w:val="32"/>
        </w:rPr>
        <w:t>。其中：</w:t>
      </w:r>
      <w:bookmarkEnd w:id="55"/>
      <w:bookmarkEnd w:id="56"/>
      <w:bookmarkEnd w:id="57"/>
      <w:bookmarkEnd w:id="58"/>
    </w:p>
    <w:p w14:paraId="39411FB7">
      <w:pPr>
        <w:spacing w:line="600" w:lineRule="exact"/>
        <w:ind w:firstLine="643" w:firstLineChars="200"/>
        <w:rPr>
          <w:rFonts w:hint="eastAsia" w:ascii="仿宋" w:hAnsi="仿宋" w:eastAsia="仿宋"/>
          <w:b/>
          <w:color w:val="000000"/>
          <w:sz w:val="32"/>
          <w:szCs w:val="32"/>
          <w:lang w:val="en-US" w:eastAsia="zh-CN"/>
        </w:rPr>
      </w:pPr>
      <w:r>
        <w:rPr>
          <w:rStyle w:val="16"/>
          <w:rFonts w:hint="eastAsia" w:ascii="仿宋" w:hAnsi="仿宋" w:eastAsia="仿宋"/>
          <w:bCs/>
          <w:color w:val="000000"/>
          <w:sz w:val="32"/>
          <w:szCs w:val="32"/>
          <w:lang w:val="en-US" w:eastAsia="zh-CN"/>
        </w:rPr>
        <w:t>1</w:t>
      </w:r>
      <w:r>
        <w:rPr>
          <w:rStyle w:val="16"/>
          <w:rFonts w:ascii="仿宋" w:hAnsi="仿宋" w:eastAsia="仿宋"/>
          <w:bCs/>
          <w:color w:val="000000"/>
          <w:sz w:val="32"/>
          <w:szCs w:val="32"/>
        </w:rPr>
        <w:t>.</w:t>
      </w:r>
      <w:r>
        <w:rPr>
          <w:rStyle w:val="16"/>
          <w:rFonts w:hint="eastAsia" w:ascii="仿宋" w:hAnsi="仿宋" w:eastAsia="仿宋"/>
          <w:bCs/>
          <w:color w:val="000000"/>
          <w:sz w:val="32"/>
          <w:szCs w:val="32"/>
        </w:rPr>
        <w:t>社会保障和就业（类）行政事业单位养老支出（款）机关事业单位基本养老保险缴费支出（项）</w:t>
      </w:r>
      <w:r>
        <w:rPr>
          <w:rStyle w:val="16"/>
          <w:rFonts w:ascii="仿宋" w:hAnsi="仿宋" w:eastAsia="仿宋"/>
          <w:bCs/>
          <w:color w:val="000000"/>
          <w:sz w:val="32"/>
          <w:szCs w:val="32"/>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12.78</w:t>
      </w:r>
      <w:r>
        <w:rPr>
          <w:rStyle w:val="16"/>
          <w:rFonts w:hint="eastAsia" w:ascii="仿宋" w:hAnsi="仿宋" w:eastAsia="仿宋"/>
          <w:b w:val="0"/>
          <w:bCs/>
          <w:color w:val="000000"/>
          <w:sz w:val="32"/>
          <w:szCs w:val="32"/>
        </w:rPr>
        <w:t>万元，完成预算100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lang w:eastAsia="zh-CN"/>
        </w:rPr>
        <w:t>。</w:t>
      </w:r>
    </w:p>
    <w:p w14:paraId="25703F23">
      <w:pPr>
        <w:spacing w:line="600" w:lineRule="exact"/>
        <w:ind w:firstLine="643" w:firstLineChars="200"/>
        <w:rPr>
          <w:rFonts w:ascii="仿宋" w:hAnsi="仿宋" w:eastAsia="仿宋"/>
          <w:b/>
          <w:color w:val="000000"/>
          <w:sz w:val="32"/>
          <w:szCs w:val="32"/>
        </w:rPr>
      </w:pPr>
      <w:r>
        <w:rPr>
          <w:rStyle w:val="16"/>
          <w:rFonts w:hint="eastAsia" w:ascii="仿宋" w:hAnsi="仿宋" w:eastAsia="仿宋"/>
          <w:bCs/>
          <w:color w:val="000000"/>
          <w:sz w:val="32"/>
          <w:szCs w:val="32"/>
          <w:lang w:val="en-US" w:eastAsia="zh-CN"/>
        </w:rPr>
        <w:t>2</w:t>
      </w:r>
      <w:r>
        <w:rPr>
          <w:rStyle w:val="16"/>
          <w:rFonts w:ascii="仿宋" w:hAnsi="仿宋" w:eastAsia="仿宋"/>
          <w:bCs/>
          <w:color w:val="000000"/>
          <w:sz w:val="32"/>
          <w:szCs w:val="32"/>
        </w:rPr>
        <w:t>.</w:t>
      </w:r>
      <w:r>
        <w:rPr>
          <w:rFonts w:hint="eastAsia" w:ascii="仿宋" w:hAnsi="仿宋" w:eastAsia="仿宋"/>
          <w:b/>
          <w:bCs/>
          <w:color w:val="000000" w:themeColor="text1"/>
          <w:sz w:val="32"/>
          <w:szCs w:val="32"/>
          <w14:textFill>
            <w14:solidFill>
              <w14:schemeClr w14:val="tx1"/>
            </w14:solidFill>
          </w14:textFill>
        </w:rPr>
        <w:t>卫生健康</w:t>
      </w:r>
      <w:r>
        <w:rPr>
          <w:rStyle w:val="16"/>
          <w:rFonts w:hint="eastAsia" w:ascii="仿宋" w:hAnsi="仿宋" w:eastAsia="仿宋"/>
          <w:bCs/>
          <w:color w:val="000000"/>
          <w:sz w:val="32"/>
          <w:szCs w:val="32"/>
        </w:rPr>
        <w:t>（类）基层医疗卫生机构（款）乡镇卫生院（项）</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162.18</w:t>
      </w:r>
      <w:r>
        <w:rPr>
          <w:rStyle w:val="16"/>
          <w:rFonts w:hint="eastAsia" w:ascii="仿宋" w:hAnsi="仿宋" w:eastAsia="仿宋"/>
          <w:b w:val="0"/>
          <w:bCs/>
          <w:color w:val="000000"/>
          <w:sz w:val="32"/>
          <w:szCs w:val="32"/>
        </w:rPr>
        <w:t>万元，完成预算100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14:paraId="78CC81EC">
      <w:pPr>
        <w:spacing w:line="600" w:lineRule="exact"/>
        <w:ind w:firstLine="643" w:firstLineChars="200"/>
        <w:rPr>
          <w:rFonts w:ascii="仿宋" w:hAnsi="仿宋" w:eastAsia="仿宋"/>
          <w:b/>
          <w:color w:val="000000"/>
          <w:sz w:val="32"/>
          <w:szCs w:val="32"/>
        </w:rPr>
      </w:pPr>
      <w:r>
        <w:rPr>
          <w:rStyle w:val="16"/>
          <w:rFonts w:hint="eastAsia" w:ascii="仿宋" w:hAnsi="仿宋" w:eastAsia="仿宋"/>
          <w:bCs/>
          <w:color w:val="000000"/>
          <w:sz w:val="32"/>
          <w:szCs w:val="32"/>
          <w:lang w:val="en-US" w:eastAsia="zh-CN"/>
        </w:rPr>
        <w:t>3</w:t>
      </w:r>
      <w:r>
        <w:rPr>
          <w:rStyle w:val="16"/>
          <w:rFonts w:hint="eastAsia" w:ascii="仿宋" w:hAnsi="仿宋" w:eastAsia="仿宋"/>
          <w:bCs/>
          <w:color w:val="000000"/>
          <w:sz w:val="32"/>
          <w:szCs w:val="32"/>
        </w:rPr>
        <w:t>.住房保障支出（类）住房改革支出（款）住房公积金（项）：</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17.57</w:t>
      </w:r>
      <w:r>
        <w:rPr>
          <w:rStyle w:val="16"/>
          <w:rFonts w:hint="eastAsia" w:ascii="仿宋" w:hAnsi="仿宋" w:eastAsia="仿宋"/>
          <w:b w:val="0"/>
          <w:bCs/>
          <w:color w:val="000000"/>
          <w:sz w:val="32"/>
          <w:szCs w:val="32"/>
        </w:rPr>
        <w:t>万元，完成预算100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14:paraId="0C2AB2F1">
      <w:pPr>
        <w:tabs>
          <w:tab w:val="right" w:pos="8306"/>
        </w:tabs>
        <w:spacing w:line="600" w:lineRule="exact"/>
        <w:ind w:firstLine="640" w:firstLineChars="200"/>
        <w:outlineLvl w:val="1"/>
        <w:rPr>
          <w:rStyle w:val="27"/>
        </w:rPr>
      </w:pPr>
      <w:bookmarkStart w:id="59" w:name="_Toc52180085"/>
      <w:bookmarkStart w:id="60" w:name="_Toc15377214"/>
      <w:bookmarkStart w:id="61"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7"/>
          <w:rFonts w:hint="eastAsia" w:ascii="黑体" w:hAnsi="黑体" w:eastAsia="黑体"/>
          <w:b w:val="0"/>
        </w:rPr>
        <w:t>般公共预算财政拨款基本支出决算情况说明</w:t>
      </w:r>
      <w:bookmarkEnd w:id="59"/>
      <w:bookmarkEnd w:id="60"/>
      <w:bookmarkEnd w:id="61"/>
      <w:r>
        <w:rPr>
          <w:rStyle w:val="27"/>
          <w:rFonts w:ascii="黑体" w:hAnsi="黑体" w:eastAsia="黑体"/>
          <w:b w:val="0"/>
        </w:rPr>
        <w:tab/>
      </w:r>
    </w:p>
    <w:p w14:paraId="6E70BA77">
      <w:pPr>
        <w:spacing w:line="600" w:lineRule="exact"/>
        <w:ind w:firstLine="645"/>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113.97</w:t>
      </w:r>
      <w:r>
        <w:rPr>
          <w:rFonts w:hint="eastAsia" w:ascii="仿宋" w:hAnsi="仿宋" w:eastAsia="仿宋"/>
          <w:color w:val="000000"/>
          <w:sz w:val="32"/>
          <w:szCs w:val="32"/>
        </w:rPr>
        <w:t>万元，其中：</w:t>
      </w:r>
    </w:p>
    <w:p w14:paraId="53299536">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113.97</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028F53F3">
      <w:pPr>
        <w:spacing w:line="600" w:lineRule="exact"/>
        <w:ind w:firstLine="640"/>
        <w:outlineLvl w:val="1"/>
        <w:rPr>
          <w:rStyle w:val="27"/>
          <w:rFonts w:ascii="黑体" w:hAnsi="黑体" w:eastAsia="黑体"/>
          <w:b w:val="0"/>
        </w:rPr>
      </w:pPr>
      <w:bookmarkStart w:id="62" w:name="_Toc15396609"/>
      <w:bookmarkStart w:id="63" w:name="_Toc15377215"/>
      <w:bookmarkStart w:id="64" w:name="_Toc52180086"/>
      <w:r>
        <w:rPr>
          <w:rFonts w:hint="eastAsia" w:ascii="黑体" w:eastAsia="黑体"/>
          <w:color w:val="000000"/>
          <w:sz w:val="32"/>
          <w:szCs w:val="32"/>
        </w:rPr>
        <w:t>七、</w:t>
      </w:r>
      <w:r>
        <w:rPr>
          <w:rStyle w:val="27"/>
          <w:rFonts w:hint="eastAsia" w:ascii="黑体" w:hAnsi="黑体" w:eastAsia="黑体"/>
        </w:rPr>
        <w:t>“</w:t>
      </w:r>
      <w:r>
        <w:rPr>
          <w:rStyle w:val="27"/>
          <w:rFonts w:hint="eastAsia" w:ascii="黑体" w:hAnsi="黑体" w:eastAsia="黑体"/>
          <w:b w:val="0"/>
        </w:rPr>
        <w:t>三公”经费财政拨款支出决算情况说明</w:t>
      </w:r>
      <w:bookmarkEnd w:id="62"/>
      <w:bookmarkEnd w:id="63"/>
      <w:bookmarkEnd w:id="64"/>
    </w:p>
    <w:p w14:paraId="2234CAE3">
      <w:pPr>
        <w:spacing w:line="600" w:lineRule="exact"/>
        <w:ind w:firstLine="640"/>
        <w:outlineLvl w:val="2"/>
        <w:rPr>
          <w:rFonts w:ascii="仿宋" w:hAnsi="仿宋" w:eastAsia="仿宋"/>
          <w:b/>
          <w:color w:val="000000"/>
          <w:sz w:val="32"/>
          <w:szCs w:val="32"/>
        </w:rPr>
      </w:pPr>
      <w:bookmarkStart w:id="65" w:name="_Toc52180087"/>
      <w:bookmarkStart w:id="66" w:name="_Toc15377216"/>
      <w:r>
        <w:rPr>
          <w:rFonts w:hint="eastAsia" w:ascii="仿宋" w:hAnsi="仿宋" w:eastAsia="仿宋"/>
          <w:b/>
          <w:color w:val="000000"/>
          <w:sz w:val="32"/>
          <w:szCs w:val="32"/>
        </w:rPr>
        <w:t>（一）“三公”经费财政拨款支出决算总体情况说明</w:t>
      </w:r>
      <w:bookmarkEnd w:id="65"/>
      <w:bookmarkEnd w:id="66"/>
    </w:p>
    <w:p w14:paraId="0D9EF2FA">
      <w:pPr>
        <w:spacing w:line="600" w:lineRule="exact"/>
        <w:ind w:firstLine="64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年“三公”经费财政拨款支出决算为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w:t>
      </w:r>
    </w:p>
    <w:p w14:paraId="164F7938">
      <w:pPr>
        <w:spacing w:line="600" w:lineRule="exact"/>
        <w:ind w:firstLine="640"/>
        <w:outlineLvl w:val="2"/>
        <w:rPr>
          <w:rFonts w:ascii="仿宋" w:hAnsi="仿宋" w:eastAsia="仿宋"/>
          <w:b/>
          <w:color w:val="000000"/>
          <w:sz w:val="32"/>
          <w:szCs w:val="32"/>
        </w:rPr>
      </w:pPr>
      <w:bookmarkStart w:id="67" w:name="_Toc15377217"/>
      <w:bookmarkStart w:id="68" w:name="_Toc52180088"/>
      <w:r>
        <w:rPr>
          <w:rFonts w:hint="eastAsia" w:ascii="仿宋" w:hAnsi="仿宋" w:eastAsia="仿宋"/>
          <w:b/>
          <w:color w:val="000000"/>
          <w:sz w:val="32"/>
          <w:szCs w:val="32"/>
        </w:rPr>
        <w:t>（二）“三公”经费财政拨款支出决算具体情况说明</w:t>
      </w:r>
      <w:bookmarkEnd w:id="67"/>
      <w:bookmarkEnd w:id="68"/>
    </w:p>
    <w:p w14:paraId="3AEAC1C9">
      <w:pPr>
        <w:spacing w:line="600" w:lineRule="exact"/>
        <w:ind w:firstLine="64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万元，占100</w:t>
      </w:r>
      <w:r>
        <w:rPr>
          <w:rFonts w:ascii="仿宋" w:hAnsi="仿宋" w:eastAsia="仿宋"/>
          <w:color w:val="000000"/>
          <w:sz w:val="32"/>
          <w:szCs w:val="32"/>
        </w:rPr>
        <w:t>%</w:t>
      </w:r>
      <w:r>
        <w:rPr>
          <w:rFonts w:hint="eastAsia" w:ascii="仿宋" w:hAnsi="仿宋" w:eastAsia="仿宋"/>
          <w:color w:val="000000"/>
          <w:sz w:val="32"/>
          <w:szCs w:val="32"/>
        </w:rPr>
        <w:t>；公务接待费支出决算0万元，占0</w:t>
      </w:r>
      <w:r>
        <w:rPr>
          <w:rFonts w:ascii="仿宋" w:hAnsi="仿宋" w:eastAsia="仿宋"/>
          <w:color w:val="000000"/>
          <w:sz w:val="32"/>
          <w:szCs w:val="32"/>
        </w:rPr>
        <w:t>%</w:t>
      </w:r>
      <w:r>
        <w:rPr>
          <w:rFonts w:hint="eastAsia" w:ascii="仿宋" w:hAnsi="仿宋" w:eastAsia="仿宋"/>
          <w:color w:val="000000"/>
          <w:sz w:val="32"/>
          <w:szCs w:val="32"/>
        </w:rPr>
        <w:t>。具体情况如下：</w:t>
      </w:r>
    </w:p>
    <w:p w14:paraId="0BA99E13">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16"/>
          <w:rFonts w:hint="eastAsia" w:ascii="仿宋" w:hAnsi="仿宋" w:eastAsia="仿宋"/>
          <w:b w:val="0"/>
          <w:bCs/>
          <w:color w:val="000000"/>
          <w:sz w:val="32"/>
          <w:szCs w:val="32"/>
        </w:rPr>
        <w:t>完成预算0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全年安排因公出国（境）团组0次，出国（境）0人。因公出国（境）支出决算与</w:t>
      </w: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年持平。</w:t>
      </w:r>
    </w:p>
    <w:p w14:paraId="5F9C34E5">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开支内容包括：无（团组名称、出访地点、取得成效）</w:t>
      </w:r>
    </w:p>
    <w:p w14:paraId="6776216F">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6"/>
          <w:rFonts w:hint="eastAsia" w:ascii="仿宋" w:hAnsi="仿宋" w:eastAsia="仿宋"/>
          <w:b w:val="0"/>
          <w:bCs/>
          <w:color w:val="000000"/>
          <w:sz w:val="32"/>
          <w:szCs w:val="32"/>
        </w:rPr>
        <w:t>完成预算</w:t>
      </w:r>
      <w:r>
        <w:rPr>
          <w:rStyle w:val="16"/>
          <w:rFonts w:hint="eastAsia" w:ascii="仿宋" w:hAnsi="仿宋" w:eastAsia="仿宋"/>
          <w:b w:val="0"/>
          <w:bCs/>
          <w:color w:val="000000"/>
          <w:sz w:val="32"/>
          <w:szCs w:val="32"/>
          <w:lang w:val="en-US" w:eastAsia="zh-CN"/>
        </w:rPr>
        <w:t>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减少</w:t>
      </w:r>
      <w:r>
        <w:rPr>
          <w:rFonts w:hint="eastAsia" w:ascii="仿宋_GB2312" w:eastAsia="仿宋_GB2312"/>
          <w:color w:val="000000"/>
          <w:sz w:val="32"/>
          <w:szCs w:val="32"/>
          <w:lang w:val="en-US" w:eastAsia="zh-CN"/>
        </w:rPr>
        <w:t>0.33</w:t>
      </w:r>
      <w:r>
        <w:rPr>
          <w:rFonts w:hint="eastAsia" w:ascii="仿宋_GB2312" w:eastAsia="仿宋_GB2312"/>
          <w:color w:val="000000"/>
          <w:sz w:val="32"/>
          <w:szCs w:val="32"/>
        </w:rPr>
        <w:t>万元。主要原因</w:t>
      </w:r>
      <w:r>
        <w:rPr>
          <w:rFonts w:hint="eastAsia" w:ascii="仿宋_GB2312" w:eastAsia="仿宋_GB2312"/>
          <w:color w:val="000000"/>
          <w:sz w:val="32"/>
          <w:szCs w:val="32"/>
          <w:lang w:val="en-US" w:eastAsia="zh-CN"/>
        </w:rPr>
        <w:t>2020年由于救护车报损未使用</w:t>
      </w:r>
      <w:r>
        <w:rPr>
          <w:rFonts w:hint="eastAsia" w:ascii="仿宋" w:hAnsi="仿宋" w:eastAsia="仿宋"/>
          <w:color w:val="000000"/>
          <w:sz w:val="32"/>
          <w:szCs w:val="32"/>
        </w:rPr>
        <w:t>。</w:t>
      </w:r>
    </w:p>
    <w:p w14:paraId="53714798">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0万元。全年按规定更新购置公务用车0辆，金额0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辆，其中：主要领导干部用车0辆、机要通信用车0辆、应急保障用车0辆、 执法执勤用车0辆、其他用车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p>
    <w:p w14:paraId="6E4E8560">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万元。主要用于紧急救护、下村体检、运送医疗废物等所需的公务用车燃料费、维修费、过路过桥费、保险费等支出。</w:t>
      </w:r>
    </w:p>
    <w:p w14:paraId="09D41FC6">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0万元，</w:t>
      </w:r>
      <w:r>
        <w:rPr>
          <w:rStyle w:val="16"/>
          <w:rFonts w:hint="eastAsia" w:ascii="仿宋" w:hAnsi="仿宋" w:eastAsia="仿宋"/>
          <w:b w:val="0"/>
          <w:bCs/>
          <w:color w:val="000000"/>
          <w:sz w:val="32"/>
          <w:szCs w:val="32"/>
        </w:rPr>
        <w:t>完成预算0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w:t>
      </w:r>
      <w:r>
        <w:rPr>
          <w:rFonts w:hint="eastAsia" w:ascii="仿宋_GB2312" w:eastAsia="仿宋_GB2312"/>
          <w:color w:val="000000"/>
          <w:sz w:val="32"/>
          <w:szCs w:val="32"/>
          <w:lang w:val="en-US" w:eastAsia="zh-CN"/>
        </w:rPr>
        <w:t>19</w:t>
      </w:r>
      <w:r>
        <w:rPr>
          <w:rFonts w:hint="eastAsia" w:ascii="仿宋_GB2312" w:eastAsia="仿宋_GB2312"/>
          <w:color w:val="000000"/>
          <w:sz w:val="32"/>
          <w:szCs w:val="32"/>
        </w:rPr>
        <w:t>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。主要原因是无，其中：</w:t>
      </w:r>
    </w:p>
    <w:p w14:paraId="65BBE686">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rPr>
        <w:t>0</w:t>
      </w:r>
      <w:r>
        <w:rPr>
          <w:rFonts w:hint="eastAsia" w:ascii="仿宋_GB2312" w:eastAsia="仿宋_GB2312"/>
          <w:color w:val="000000"/>
          <w:sz w:val="32"/>
          <w:szCs w:val="32"/>
        </w:rPr>
        <w:t>万元，主要用于无接待(执行公务、开展业务活动开支的交通费、住宿费、用餐费等)。国内公务接待0批次，0人次（不包括陪同人员），共计支出0万元，具体内容包括：无（接待具体项目、金额）。</w:t>
      </w:r>
    </w:p>
    <w:p w14:paraId="03F12F93">
      <w:pPr>
        <w:spacing w:line="600" w:lineRule="exact"/>
        <w:ind w:firstLine="643" w:firstLineChars="200"/>
        <w:rPr>
          <w:rFonts w:ascii="黑体" w:eastAsia="黑体"/>
          <w:color w:val="000000"/>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14:textFill>
            <w14:solidFill>
              <w14:schemeClr w14:val="tx1"/>
            </w14:solidFill>
          </w14:textFill>
        </w:rPr>
        <w:t>，外事接待0批次，0人，共计支出0万元，主要用于接待无（具体项目）</w:t>
      </w:r>
      <w:bookmarkStart w:id="69" w:name="_Toc15396610"/>
      <w:bookmarkStart w:id="70" w:name="_Toc15377218"/>
    </w:p>
    <w:p w14:paraId="4F740A45">
      <w:pPr>
        <w:spacing w:line="600" w:lineRule="exact"/>
        <w:ind w:firstLine="640"/>
        <w:outlineLvl w:val="1"/>
        <w:rPr>
          <w:rStyle w:val="27"/>
          <w:rFonts w:ascii="黑体" w:hAnsi="黑体" w:eastAsia="黑体"/>
        </w:rPr>
      </w:pPr>
      <w:bookmarkStart w:id="71" w:name="_Toc52180089"/>
      <w:r>
        <w:rPr>
          <w:rFonts w:hint="eastAsia" w:ascii="黑体" w:eastAsia="黑体"/>
          <w:color w:val="000000"/>
          <w:sz w:val="32"/>
          <w:szCs w:val="32"/>
        </w:rPr>
        <w:t>八、</w:t>
      </w:r>
      <w:r>
        <w:rPr>
          <w:rStyle w:val="27"/>
          <w:rFonts w:hint="eastAsia" w:ascii="黑体" w:hAnsi="黑体" w:eastAsia="黑体"/>
          <w:b w:val="0"/>
        </w:rPr>
        <w:t>政府性基金预算支出决算情况说明</w:t>
      </w:r>
      <w:bookmarkEnd w:id="69"/>
      <w:bookmarkEnd w:id="70"/>
      <w:bookmarkEnd w:id="71"/>
    </w:p>
    <w:p w14:paraId="1CBBE66F">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2020年政府性基金预算拨款支出</w:t>
      </w:r>
      <w:r>
        <w:rPr>
          <w:rFonts w:hint="eastAsia" w:ascii="仿宋_GB2312" w:eastAsia="仿宋_GB2312"/>
          <w:color w:val="000000"/>
          <w:sz w:val="32"/>
          <w:szCs w:val="32"/>
          <w:lang w:val="en-US" w:eastAsia="zh-CN"/>
        </w:rPr>
        <w:t>0.16</w:t>
      </w:r>
      <w:r>
        <w:rPr>
          <w:rFonts w:hint="eastAsia" w:ascii="仿宋_GB2312" w:eastAsia="仿宋_GB2312"/>
          <w:color w:val="000000"/>
          <w:sz w:val="32"/>
          <w:szCs w:val="32"/>
        </w:rPr>
        <w:t>万元。</w:t>
      </w:r>
    </w:p>
    <w:p w14:paraId="5A57F1FD">
      <w:pPr>
        <w:numPr>
          <w:ilvl w:val="0"/>
          <w:numId w:val="2"/>
        </w:numPr>
        <w:spacing w:line="600" w:lineRule="exact"/>
        <w:ind w:firstLine="640"/>
        <w:outlineLvl w:val="1"/>
        <w:rPr>
          <w:rStyle w:val="27"/>
          <w:rFonts w:ascii="黑体" w:hAnsi="黑体" w:eastAsia="黑体"/>
          <w:b w:val="0"/>
        </w:rPr>
      </w:pPr>
      <w:bookmarkStart w:id="72" w:name="_Toc15377219"/>
      <w:bookmarkStart w:id="73" w:name="_Toc52180090"/>
      <w:bookmarkStart w:id="74" w:name="_Toc15396611"/>
      <w:r>
        <w:rPr>
          <w:rStyle w:val="27"/>
          <w:rFonts w:hint="eastAsia" w:ascii="黑体" w:hAnsi="黑体" w:eastAsia="黑体"/>
          <w:b w:val="0"/>
        </w:rPr>
        <w:t>国有资本经营预算支出决算情况说明</w:t>
      </w:r>
      <w:bookmarkEnd w:id="72"/>
      <w:bookmarkEnd w:id="73"/>
      <w:bookmarkEnd w:id="74"/>
    </w:p>
    <w:p w14:paraId="37785B0E">
      <w:pPr>
        <w:spacing w:line="600" w:lineRule="exact"/>
        <w:ind w:firstLine="640"/>
        <w:rPr>
          <w:rFonts w:ascii="方正小标宋简体" w:hAnsi="方正小标宋简体" w:eastAsia="方正小标宋简体" w:cs="方正小标宋简体"/>
          <w:sz w:val="44"/>
          <w:szCs w:val="44"/>
        </w:rPr>
      </w:pPr>
      <w:r>
        <w:rPr>
          <w:rFonts w:hint="eastAsia" w:ascii="仿宋_GB2312" w:eastAsia="仿宋_GB2312"/>
          <w:color w:val="000000"/>
          <w:sz w:val="32"/>
          <w:szCs w:val="32"/>
        </w:rPr>
        <w:t>2020年国有资本经营预算拨款支出0万元。</w:t>
      </w:r>
    </w:p>
    <w:p w14:paraId="3ADB6819">
      <w:pPr>
        <w:spacing w:line="600" w:lineRule="exact"/>
        <w:ind w:firstLine="800" w:firstLineChars="250"/>
        <w:outlineLvl w:val="1"/>
        <w:rPr>
          <w:rStyle w:val="27"/>
          <w:rFonts w:ascii="黑体" w:hAnsi="黑体" w:eastAsia="黑体"/>
        </w:rPr>
      </w:pPr>
      <w:bookmarkStart w:id="75" w:name="_Toc15396612"/>
      <w:bookmarkStart w:id="76" w:name="_Toc15377221"/>
      <w:bookmarkStart w:id="77" w:name="_Toc52180091"/>
      <w:r>
        <w:rPr>
          <w:rFonts w:hint="eastAsia" w:ascii="黑体" w:hAnsi="黑体" w:eastAsia="黑体"/>
          <w:color w:val="000000"/>
          <w:sz w:val="32"/>
          <w:szCs w:val="32"/>
        </w:rPr>
        <w:t>十</w:t>
      </w:r>
      <w:r>
        <w:rPr>
          <w:rStyle w:val="27"/>
          <w:rFonts w:hint="eastAsia" w:ascii="黑体" w:hAnsi="黑体" w:eastAsia="黑体"/>
        </w:rPr>
        <w:t>、</w:t>
      </w:r>
      <w:r>
        <w:rPr>
          <w:rStyle w:val="27"/>
          <w:rFonts w:hint="eastAsia" w:ascii="黑体" w:hAnsi="黑体" w:eastAsia="黑体"/>
          <w:b w:val="0"/>
        </w:rPr>
        <w:t>其他重要事项的情况说明</w:t>
      </w:r>
      <w:bookmarkEnd w:id="75"/>
      <w:bookmarkEnd w:id="76"/>
      <w:bookmarkEnd w:id="77"/>
    </w:p>
    <w:p w14:paraId="5F4B7550">
      <w:pPr>
        <w:spacing w:line="600" w:lineRule="exact"/>
        <w:ind w:firstLine="643" w:firstLineChars="200"/>
        <w:outlineLvl w:val="2"/>
        <w:rPr>
          <w:rFonts w:ascii="仿宋" w:hAnsi="仿宋" w:eastAsia="仿宋"/>
          <w:color w:val="000000"/>
          <w:sz w:val="32"/>
          <w:szCs w:val="32"/>
        </w:rPr>
      </w:pPr>
      <w:bookmarkStart w:id="78" w:name="_Toc52180092"/>
      <w:bookmarkStart w:id="79" w:name="_Toc15377222"/>
      <w:r>
        <w:rPr>
          <w:rFonts w:hint="eastAsia" w:ascii="仿宋" w:hAnsi="仿宋" w:eastAsia="仿宋"/>
          <w:b/>
          <w:color w:val="000000"/>
          <w:sz w:val="32"/>
          <w:szCs w:val="32"/>
        </w:rPr>
        <w:t>（一）机关运行经费支出情况</w:t>
      </w:r>
      <w:bookmarkEnd w:id="78"/>
      <w:bookmarkEnd w:id="79"/>
    </w:p>
    <w:p w14:paraId="136F3912">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年，盐边县</w:t>
      </w:r>
      <w:r>
        <w:rPr>
          <w:rFonts w:hint="eastAsia" w:ascii="仿宋_GB2312" w:eastAsia="仿宋_GB2312"/>
          <w:color w:val="000000"/>
          <w:sz w:val="32"/>
          <w:szCs w:val="32"/>
          <w:lang w:eastAsia="zh-CN"/>
        </w:rPr>
        <w:t>温泉彝族乡</w:t>
      </w:r>
      <w:r>
        <w:rPr>
          <w:rFonts w:hint="eastAsia" w:ascii="仿宋_GB2312" w:eastAsia="仿宋_GB2312"/>
          <w:color w:val="000000"/>
          <w:sz w:val="32"/>
          <w:szCs w:val="32"/>
        </w:rPr>
        <w:t>卫生院运行经费支出0万元，与</w:t>
      </w: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年决算数持平。</w:t>
      </w:r>
    </w:p>
    <w:p w14:paraId="251C7D53">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80" w:name="_Toc52180093"/>
      <w:bookmarkStart w:id="81" w:name="_Toc15377223"/>
      <w:r>
        <w:rPr>
          <w:rFonts w:hint="eastAsia" w:ascii="仿宋" w:hAnsi="仿宋" w:eastAsia="仿宋"/>
          <w:b/>
          <w:color w:val="000000"/>
          <w:sz w:val="32"/>
          <w:szCs w:val="32"/>
        </w:rPr>
        <w:t>（二）政府采购支出情况</w:t>
      </w:r>
      <w:bookmarkEnd w:id="80"/>
      <w:bookmarkEnd w:id="81"/>
    </w:p>
    <w:p w14:paraId="695BB7C9">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年，盐边县</w:t>
      </w:r>
      <w:r>
        <w:rPr>
          <w:rFonts w:hint="eastAsia" w:ascii="仿宋_GB2312" w:eastAsia="仿宋_GB2312"/>
          <w:color w:val="000000"/>
          <w:sz w:val="32"/>
          <w:szCs w:val="32"/>
          <w:lang w:eastAsia="zh-CN"/>
        </w:rPr>
        <w:t>温泉彝族乡</w:t>
      </w:r>
      <w:r>
        <w:rPr>
          <w:rFonts w:hint="eastAsia" w:ascii="仿宋_GB2312" w:eastAsia="仿宋_GB2312"/>
          <w:color w:val="000000"/>
          <w:sz w:val="32"/>
          <w:szCs w:val="32"/>
        </w:rPr>
        <w:t>卫生院政府采购支出总额0万元，其中：政府采购货物支出0万元、政府采购工程支出0万元、政府采购服务支出0万元。授予中小企业合同金额0万元，占政府采购支出总额的0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，其中：授予小微企业合同金额0万元，占政府采购支出总额的0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w:t>
      </w:r>
    </w:p>
    <w:p w14:paraId="531C8058">
      <w:pPr>
        <w:autoSpaceDE w:val="0"/>
        <w:autoSpaceDN w:val="0"/>
        <w:adjustRightInd w:val="0"/>
        <w:spacing w:line="600" w:lineRule="exact"/>
        <w:ind w:firstLine="643" w:firstLineChars="200"/>
        <w:jc w:val="left"/>
        <w:outlineLvl w:val="2"/>
        <w:rPr>
          <w:rFonts w:hint="eastAsia" w:ascii="仿宋" w:hAnsi="仿宋" w:eastAsia="仿宋"/>
          <w:b/>
          <w:color w:val="000000"/>
          <w:sz w:val="32"/>
          <w:szCs w:val="32"/>
        </w:rPr>
      </w:pPr>
      <w:bookmarkStart w:id="82" w:name="_Toc52180094"/>
      <w:bookmarkStart w:id="83" w:name="_Toc15377224"/>
    </w:p>
    <w:p w14:paraId="34BC6FEE">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（三）国有资产占有使用情况</w:t>
      </w:r>
      <w:bookmarkEnd w:id="82"/>
      <w:bookmarkEnd w:id="83"/>
    </w:p>
    <w:p w14:paraId="12E0DF7D">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截至2020年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日，盐边县</w:t>
      </w:r>
      <w:r>
        <w:rPr>
          <w:rFonts w:hint="eastAsia" w:ascii="仿宋_GB2312" w:eastAsia="仿宋_GB2312"/>
          <w:color w:val="000000"/>
          <w:sz w:val="32"/>
          <w:szCs w:val="32"/>
          <w:lang w:eastAsia="zh-CN"/>
        </w:rPr>
        <w:t>温泉彝族乡</w:t>
      </w:r>
      <w:r>
        <w:rPr>
          <w:rFonts w:hint="eastAsia" w:ascii="仿宋_GB2312" w:eastAsia="仿宋_GB2312"/>
          <w:color w:val="000000"/>
          <w:sz w:val="32"/>
          <w:szCs w:val="32"/>
        </w:rPr>
        <w:t>卫生院共有车辆</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辆，其中：主要领导干部用车0辆、机要通信用车0辆、应急保障用车0辆、其他用车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themeColor="text1"/>
          <w:sz w:val="32"/>
          <w:szCs w:val="32"/>
          <w14:textFill>
            <w14:solidFill>
              <w14:schemeClr w14:val="tx1"/>
            </w14:solidFill>
          </w14:textFill>
        </w:rPr>
        <w:t>单价</w:t>
      </w:r>
      <w:r>
        <w:rPr>
          <w:rFonts w:ascii="仿宋_GB2312" w:eastAsia="仿宋_GB2312"/>
          <w:color w:val="000000" w:themeColor="text1"/>
          <w:sz w:val="32"/>
          <w:szCs w:val="32"/>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万元以上通用设备</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台（套），单价</w:t>
      </w:r>
      <w:r>
        <w:rPr>
          <w:rFonts w:ascii="仿宋_GB2312" w:eastAsia="仿宋_GB2312"/>
          <w:color w:val="000000" w:themeColor="text1"/>
          <w:sz w:val="32"/>
          <w:szCs w:val="32"/>
          <w14:textFill>
            <w14:solidFill>
              <w14:schemeClr w14:val="tx1"/>
            </w14:solidFill>
          </w14:textFill>
        </w:rPr>
        <w:t>100</w:t>
      </w:r>
      <w:r>
        <w:rPr>
          <w:rFonts w:hint="eastAsia" w:ascii="仿宋_GB2312" w:eastAsia="仿宋_GB2312"/>
          <w:color w:val="000000"/>
          <w:sz w:val="32"/>
          <w:szCs w:val="32"/>
        </w:rPr>
        <w:t>万元以上专用设备0台（套）。</w:t>
      </w:r>
    </w:p>
    <w:p w14:paraId="16D866D3">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84" w:name="_Toc52180095"/>
      <w:r>
        <w:rPr>
          <w:rFonts w:hint="eastAsia" w:ascii="仿宋" w:hAnsi="仿宋" w:eastAsia="仿宋"/>
          <w:b/>
          <w:color w:val="000000"/>
          <w:sz w:val="32"/>
          <w:szCs w:val="32"/>
        </w:rPr>
        <w:t>（四）预算绩效管理情况。</w:t>
      </w:r>
      <w:bookmarkEnd w:id="84"/>
    </w:p>
    <w:p w14:paraId="44F17841">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根据预算绩效管理要求，本部门（单位）在年初预算编制阶段，组织对基本公共卫生服务项目（项目名称）开展了预算事前绩效评估，对</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个项目开展了绩效目标完成情况自评。</w:t>
      </w:r>
    </w:p>
    <w:p w14:paraId="135BBCB3">
      <w:pPr>
        <w:spacing w:line="580" w:lineRule="exact"/>
        <w:ind w:firstLine="640" w:firstLineChars="200"/>
        <w:rPr>
          <w:rFonts w:ascii="仿宋_GB2312" w:hAnsi="仿宋" w:eastAsia="仿宋_GB2312"/>
          <w:sz w:val="32"/>
          <w:szCs w:val="32"/>
        </w:rPr>
      </w:pPr>
      <w:r>
        <w:rPr>
          <w:rFonts w:hint="eastAsia" w:ascii="仿宋_GB2312" w:hAnsi="仿宋_GB2312" w:eastAsia="仿宋_GB2312" w:cs="仿宋_GB2312"/>
          <w:sz w:val="32"/>
          <w:szCs w:val="32"/>
        </w:rPr>
        <w:t>本部门按要求对2020年部门整体支出开展绩效自评，从评价情况来看</w:t>
      </w:r>
      <w:r>
        <w:rPr>
          <w:rFonts w:hint="eastAsia" w:ascii="仿宋_GB2312" w:hAnsi="仿宋" w:eastAsia="仿宋_GB2312" w:cs="仿宋_GB2312"/>
          <w:sz w:val="32"/>
          <w:szCs w:val="32"/>
        </w:rPr>
        <w:t>基本公共卫生服务项目绩效管理取得新成效，</w:t>
      </w:r>
      <w:r>
        <w:rPr>
          <w:rFonts w:hint="eastAsia" w:ascii="仿宋_GB2312" w:hAnsi="仿宋" w:eastAsia="仿宋_GB2312"/>
          <w:sz w:val="32"/>
          <w:szCs w:val="32"/>
        </w:rPr>
        <w:t>在肯定成绩的同时，我们也要保持清醒的头脑，深刻认识到工作中存在的问题与不足，基本公共卫生服务项目绩效管理工作存在问题还有许多不足，尤其是资金的使用还需要更好与上级部门沟通，杜绝一些不合理的开支。二是有些在改革创新方面观念还没完全转变。三是各部门的工作执行力还有待提高。四是部分专科发展动力不够，部分医务人员苦干精神、钻研精神还不强。</w:t>
      </w:r>
      <w:r>
        <w:rPr>
          <w:rFonts w:hint="eastAsia" w:ascii="仿宋_GB2312" w:hAnsi="仿宋_GB2312" w:eastAsia="仿宋_GB2312" w:cs="仿宋_GB2312"/>
          <w:sz w:val="32"/>
          <w:szCs w:val="32"/>
        </w:rPr>
        <w:t>本部门还自行组织了</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个项目支出绩效评价，从评价情况来看评价情况来看完成率达到100%。</w:t>
      </w:r>
    </w:p>
    <w:p w14:paraId="51116B7D">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1.项目绩效目标完成情况。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本部门在2020年度部门决算中反映“卫生健康</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“住房保障</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“社会保障与就业”等</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个项目绩效目标实际完成情况。</w:t>
      </w:r>
    </w:p>
    <w:p w14:paraId="3BF7B762">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（1）卫生健康项目绩效目标完成情况综述。项目全年预算数</w:t>
      </w:r>
      <w:r>
        <w:rPr>
          <w:rFonts w:hint="eastAsia" w:ascii="仿宋_GB2312" w:hAnsi="仿宋_GB2312" w:eastAsia="仿宋_GB2312" w:cs="仿宋_GB2312"/>
          <w:sz w:val="32"/>
          <w:szCs w:val="32"/>
          <w:lang w:val="en-US" w:eastAsia="zh-CN"/>
        </w:rPr>
        <w:t>108.69</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108.69</w:t>
      </w:r>
      <w:r>
        <w:rPr>
          <w:rFonts w:hint="eastAsia" w:ascii="仿宋_GB2312" w:hAnsi="仿宋_GB2312" w:eastAsia="仿宋_GB2312" w:cs="仿宋_GB2312"/>
          <w:sz w:val="32"/>
          <w:szCs w:val="32"/>
        </w:rPr>
        <w:t>万元，完成预算的100%。通过项目实施，保障了医疗卫生与计划生育项目的有效实施。</w:t>
      </w:r>
    </w:p>
    <w:p w14:paraId="13D8376C">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（2）住房保障项目绩效目标完成情况综述。项目全年预算数</w:t>
      </w:r>
      <w:r>
        <w:rPr>
          <w:rFonts w:hint="eastAsia" w:ascii="仿宋_GB2312" w:hAnsi="仿宋_GB2312" w:eastAsia="仿宋_GB2312" w:cs="仿宋_GB2312"/>
          <w:sz w:val="32"/>
          <w:szCs w:val="32"/>
          <w:lang w:val="en-US" w:eastAsia="zh-CN"/>
        </w:rPr>
        <w:t>10.88</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10.88</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%。通过项目实施，提高了住房保障。</w:t>
      </w:r>
    </w:p>
    <w:p w14:paraId="22C7E8E6">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（3）社会保障与就业项目绩效目标完成情况综述。项目全年预算数</w:t>
      </w:r>
      <w:r>
        <w:rPr>
          <w:rFonts w:hint="eastAsia" w:ascii="仿宋_GB2312" w:hAnsi="仿宋_GB2312" w:eastAsia="仿宋_GB2312" w:cs="仿宋_GB2312"/>
          <w:sz w:val="32"/>
          <w:szCs w:val="32"/>
          <w:lang w:val="en-US" w:eastAsia="zh-CN"/>
        </w:rPr>
        <w:t>10.95</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10.95</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%。通过项目实施，促进了社会保障与就业项目的发展。</w:t>
      </w:r>
    </w:p>
    <w:p w14:paraId="49437C4B">
      <w:pPr>
        <w:spacing w:line="580" w:lineRule="exact"/>
        <w:ind w:firstLine="640" w:firstLineChars="200"/>
        <w:rPr>
          <w:rFonts w:hint="eastAsia" w:ascii="仿宋_GB2312" w:hAnsi="仿宋_GB2312" w:eastAsia="仿宋_GB2312" w:cs="仿宋_GB2312"/>
          <w:sz w:val="32"/>
          <w:szCs w:val="32"/>
        </w:rPr>
      </w:pPr>
    </w:p>
    <w:p w14:paraId="0F35A0D6">
      <w:pPr>
        <w:spacing w:line="580" w:lineRule="exact"/>
        <w:ind w:firstLine="640" w:firstLineChars="200"/>
        <w:rPr>
          <w:rFonts w:hint="eastAsia" w:ascii="仿宋_GB2312" w:hAnsi="仿宋_GB2312" w:eastAsia="仿宋_GB2312" w:cs="仿宋_GB2312"/>
          <w:sz w:val="32"/>
          <w:szCs w:val="32"/>
        </w:rPr>
      </w:pPr>
    </w:p>
    <w:p w14:paraId="403FB88D">
      <w:pPr>
        <w:spacing w:line="580" w:lineRule="exact"/>
        <w:rPr>
          <w:rFonts w:hint="eastAsia" w:ascii="仿宋_GB2312" w:hAnsi="仿宋_GB2312" w:eastAsia="仿宋_GB2312" w:cs="仿宋_GB2312"/>
          <w:sz w:val="32"/>
          <w:szCs w:val="32"/>
        </w:rPr>
      </w:pPr>
    </w:p>
    <w:p w14:paraId="085C7E18">
      <w:pPr>
        <w:spacing w:line="580" w:lineRule="exact"/>
        <w:rPr>
          <w:rFonts w:hint="eastAsia" w:ascii="仿宋_GB2312" w:hAnsi="仿宋_GB2312" w:eastAsia="仿宋_GB2312" w:cs="仿宋_GB2312"/>
          <w:sz w:val="32"/>
          <w:szCs w:val="32"/>
        </w:rPr>
      </w:pPr>
    </w:p>
    <w:p w14:paraId="2F2C8F05">
      <w:pPr>
        <w:spacing w:line="580" w:lineRule="exact"/>
        <w:ind w:firstLine="640" w:firstLineChars="200"/>
        <w:rPr>
          <w:rFonts w:hint="eastAsia" w:ascii="仿宋_GB2312" w:hAnsi="仿宋_GB2312" w:eastAsia="仿宋_GB2312" w:cs="仿宋_GB2312"/>
          <w:sz w:val="32"/>
          <w:szCs w:val="32"/>
        </w:rPr>
      </w:pPr>
    </w:p>
    <w:p w14:paraId="3F327940">
      <w:pPr>
        <w:spacing w:line="580" w:lineRule="exact"/>
        <w:ind w:firstLine="640" w:firstLineChars="200"/>
        <w:rPr>
          <w:rFonts w:hint="eastAsia" w:ascii="仿宋_GB2312" w:hAnsi="仿宋_GB2312" w:eastAsia="仿宋_GB2312" w:cs="仿宋_GB2312"/>
          <w:sz w:val="32"/>
          <w:szCs w:val="32"/>
        </w:rPr>
      </w:pPr>
    </w:p>
    <w:p w14:paraId="4CFB8C48">
      <w:pPr>
        <w:spacing w:line="580" w:lineRule="exact"/>
        <w:rPr>
          <w:rFonts w:hint="eastAsia" w:ascii="仿宋_GB2312" w:hAnsi="仿宋_GB2312" w:eastAsia="仿宋_GB2312" w:cs="仿宋_GB2312"/>
          <w:sz w:val="32"/>
          <w:szCs w:val="32"/>
        </w:rPr>
      </w:pPr>
    </w:p>
    <w:p w14:paraId="0DC7E2EC">
      <w:pPr>
        <w:spacing w:line="580" w:lineRule="exact"/>
        <w:rPr>
          <w:rFonts w:hint="eastAsia" w:ascii="仿宋_GB2312" w:hAnsi="仿宋_GB2312" w:eastAsia="仿宋_GB2312" w:cs="仿宋_GB2312"/>
          <w:sz w:val="32"/>
          <w:szCs w:val="32"/>
        </w:rPr>
      </w:pPr>
    </w:p>
    <w:p w14:paraId="398F3A8F">
      <w:pPr>
        <w:spacing w:line="580" w:lineRule="exact"/>
        <w:rPr>
          <w:rFonts w:hint="eastAsia" w:ascii="仿宋_GB2312" w:hAnsi="仿宋_GB2312" w:eastAsia="仿宋_GB2312" w:cs="仿宋_GB2312"/>
          <w:sz w:val="32"/>
          <w:szCs w:val="32"/>
        </w:rPr>
      </w:pPr>
    </w:p>
    <w:p w14:paraId="4EF2ABE9">
      <w:pPr>
        <w:spacing w:line="580" w:lineRule="exact"/>
        <w:rPr>
          <w:rFonts w:hint="eastAsia" w:ascii="仿宋_GB2312" w:hAnsi="仿宋_GB2312" w:eastAsia="仿宋_GB2312" w:cs="仿宋_GB2312"/>
          <w:sz w:val="32"/>
          <w:szCs w:val="32"/>
        </w:rPr>
      </w:pPr>
    </w:p>
    <w:p w14:paraId="51D44022">
      <w:pPr>
        <w:spacing w:line="580" w:lineRule="exact"/>
        <w:rPr>
          <w:rFonts w:hint="eastAsia" w:ascii="仿宋_GB2312" w:hAnsi="仿宋_GB2312" w:eastAsia="仿宋_GB2312" w:cs="仿宋_GB2312"/>
          <w:sz w:val="32"/>
          <w:szCs w:val="32"/>
        </w:rPr>
      </w:pPr>
    </w:p>
    <w:tbl>
      <w:tblPr>
        <w:tblStyle w:val="14"/>
        <w:tblpPr w:leftFromText="180" w:rightFromText="180" w:vertAnchor="text" w:horzAnchor="page" w:tblpX="967" w:tblpY="1007"/>
        <w:tblOverlap w:val="never"/>
        <w:tblW w:w="9960" w:type="dxa"/>
        <w:jc w:val="center"/>
        <w:tblLayout w:type="fixed"/>
        <w:tblCellMar>
          <w:top w:w="0" w:type="dxa"/>
          <w:left w:w="0" w:type="dxa"/>
          <w:bottom w:w="0" w:type="dxa"/>
          <w:right w:w="0" w:type="dxa"/>
        </w:tblCellMar>
      </w:tblPr>
      <w:tblGrid>
        <w:gridCol w:w="390"/>
        <w:gridCol w:w="1512"/>
        <w:gridCol w:w="1056"/>
        <w:gridCol w:w="2370"/>
        <w:gridCol w:w="1974"/>
        <w:gridCol w:w="2658"/>
      </w:tblGrid>
      <w:tr w14:paraId="4C063C87">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16DBCBDF">
            <w:pPr>
              <w:widowControl/>
              <w:ind w:left="3598" w:leftChars="1197" w:hanging="1084" w:hangingChars="300"/>
              <w:jc w:val="both"/>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lang w:val="en-US" w:eastAsia="zh-CN"/>
              </w:rPr>
              <w:t>1</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(2020年度)</w:t>
            </w:r>
          </w:p>
        </w:tc>
      </w:tr>
      <w:tr w14:paraId="1B9619E9">
        <w:tblPrEx>
          <w:tblCellMar>
            <w:top w:w="0" w:type="dxa"/>
            <w:left w:w="0" w:type="dxa"/>
            <w:bottom w:w="0" w:type="dxa"/>
            <w:right w:w="0" w:type="dxa"/>
          </w:tblCellMar>
        </w:tblPrEx>
        <w:trPr>
          <w:trHeight w:val="276" w:hRule="atLeast"/>
          <w:jc w:val="center"/>
        </w:trPr>
        <w:tc>
          <w:tcPr>
            <w:tcW w:w="295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A7E53A">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00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A5BE73">
            <w:pPr>
              <w:widowControl/>
              <w:jc w:val="center"/>
              <w:textAlignment w:val="center"/>
              <w:rPr>
                <w:rFonts w:ascii="宋体" w:hAnsi="宋体" w:cs="宋体"/>
                <w:color w:val="000000"/>
                <w:sz w:val="24"/>
              </w:rPr>
            </w:pPr>
            <w:r>
              <w:rPr>
                <w:rFonts w:hint="eastAsia" w:ascii="宋体" w:hAnsi="宋体" w:cs="宋体"/>
                <w:color w:val="000000"/>
                <w:sz w:val="24"/>
              </w:rPr>
              <w:t>公共卫生专用经费</w:t>
            </w:r>
          </w:p>
        </w:tc>
      </w:tr>
      <w:tr w14:paraId="166EA94E">
        <w:tblPrEx>
          <w:tblCellMar>
            <w:top w:w="0" w:type="dxa"/>
            <w:left w:w="0" w:type="dxa"/>
            <w:bottom w:w="0" w:type="dxa"/>
            <w:right w:w="0" w:type="dxa"/>
          </w:tblCellMar>
        </w:tblPrEx>
        <w:trPr>
          <w:trHeight w:val="276" w:hRule="atLeast"/>
          <w:jc w:val="center"/>
        </w:trPr>
        <w:tc>
          <w:tcPr>
            <w:tcW w:w="295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DB4830">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00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9CF1C6">
            <w:pPr>
              <w:widowControl/>
              <w:jc w:val="center"/>
              <w:textAlignment w:val="center"/>
              <w:rPr>
                <w:rFonts w:ascii="宋体" w:hAnsi="宋体" w:cs="宋体"/>
                <w:color w:val="000000"/>
                <w:sz w:val="24"/>
              </w:rPr>
            </w:pPr>
            <w:r>
              <w:rPr>
                <w:rFonts w:hint="eastAsia" w:ascii="宋体" w:hAnsi="宋体" w:cs="宋体"/>
                <w:color w:val="000000"/>
                <w:sz w:val="24"/>
              </w:rPr>
              <w:t>盐边县</w:t>
            </w:r>
            <w:r>
              <w:rPr>
                <w:rFonts w:hint="eastAsia" w:ascii="宋体" w:hAnsi="宋体" w:cs="宋体"/>
                <w:color w:val="000000"/>
                <w:sz w:val="24"/>
                <w:lang w:eastAsia="zh-CN"/>
              </w:rPr>
              <w:t>温泉彝族乡卫生院</w:t>
            </w:r>
          </w:p>
        </w:tc>
      </w:tr>
      <w:tr w14:paraId="426BC602">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0F43FE">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56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F26C07">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A7FAD0">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45.99</w:t>
            </w: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A2DA6C">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2CF508">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45.99</w:t>
            </w:r>
          </w:p>
        </w:tc>
      </w:tr>
      <w:tr w14:paraId="61BEFA04">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F26382">
            <w:pPr>
              <w:jc w:val="center"/>
              <w:rPr>
                <w:rFonts w:ascii="宋体" w:hAnsi="宋体" w:cs="宋体"/>
                <w:color w:val="000000"/>
                <w:sz w:val="24"/>
              </w:rPr>
            </w:pPr>
          </w:p>
        </w:tc>
        <w:tc>
          <w:tcPr>
            <w:tcW w:w="256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731D11">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ADBED7">
            <w:pPr>
              <w:widowControl/>
              <w:jc w:val="center"/>
              <w:textAlignment w:val="center"/>
              <w:rPr>
                <w:rFonts w:ascii="宋体" w:hAnsi="宋体" w:cs="宋体"/>
                <w:color w:val="000000"/>
                <w:sz w:val="24"/>
              </w:rPr>
            </w:pP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DB9223">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831394">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45.99</w:t>
            </w:r>
          </w:p>
        </w:tc>
      </w:tr>
      <w:tr w14:paraId="0167724D">
        <w:tblPrEx>
          <w:tblCellMar>
            <w:top w:w="0" w:type="dxa"/>
            <w:left w:w="0" w:type="dxa"/>
            <w:bottom w:w="0" w:type="dxa"/>
            <w:right w:w="0" w:type="dxa"/>
          </w:tblCellMar>
        </w:tblPrEx>
        <w:trPr>
          <w:trHeight w:val="90"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1CE07A">
            <w:pPr>
              <w:jc w:val="center"/>
              <w:rPr>
                <w:rFonts w:ascii="宋体" w:hAnsi="宋体" w:cs="宋体"/>
                <w:color w:val="000000"/>
                <w:sz w:val="24"/>
              </w:rPr>
            </w:pPr>
          </w:p>
        </w:tc>
        <w:tc>
          <w:tcPr>
            <w:tcW w:w="256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8F1C86">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48D869">
            <w:pPr>
              <w:widowControl/>
              <w:jc w:val="center"/>
              <w:textAlignment w:val="center"/>
              <w:rPr>
                <w:rFonts w:ascii="宋体" w:hAnsi="宋体" w:cs="宋体"/>
                <w:color w:val="000000"/>
                <w:sz w:val="24"/>
              </w:rPr>
            </w:pPr>
            <w:r>
              <w:rPr>
                <w:rFonts w:hint="eastAsia" w:ascii="宋体" w:hAnsi="宋体" w:cs="宋体"/>
                <w:color w:val="000000"/>
                <w:sz w:val="24"/>
              </w:rPr>
              <w:t>0</w:t>
            </w: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EC288C">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FC2D24">
            <w:pPr>
              <w:jc w:val="center"/>
              <w:rPr>
                <w:rFonts w:ascii="宋体" w:hAnsi="宋体" w:cs="宋体"/>
                <w:color w:val="000000"/>
                <w:sz w:val="24"/>
              </w:rPr>
            </w:pPr>
            <w:r>
              <w:rPr>
                <w:rFonts w:hint="eastAsia" w:ascii="宋体" w:hAnsi="宋体" w:cs="宋体"/>
                <w:color w:val="000000"/>
                <w:sz w:val="24"/>
              </w:rPr>
              <w:t>0</w:t>
            </w:r>
          </w:p>
        </w:tc>
      </w:tr>
      <w:tr w14:paraId="481B2E4A">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5DDC85">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93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CAAEC9">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63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6D0C4D">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6F8AECD8">
        <w:tblPrEx>
          <w:tblCellMar>
            <w:top w:w="0" w:type="dxa"/>
            <w:left w:w="0" w:type="dxa"/>
            <w:bottom w:w="0" w:type="dxa"/>
            <w:right w:w="0" w:type="dxa"/>
          </w:tblCellMar>
        </w:tblPrEx>
        <w:trPr>
          <w:trHeight w:val="1984"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CA77DC">
            <w:pPr>
              <w:jc w:val="center"/>
              <w:rPr>
                <w:rFonts w:ascii="宋体" w:hAnsi="宋体" w:cs="宋体"/>
                <w:color w:val="000000"/>
                <w:sz w:val="24"/>
              </w:rPr>
            </w:pPr>
          </w:p>
        </w:tc>
        <w:tc>
          <w:tcPr>
            <w:tcW w:w="493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35E33B">
            <w:pPr>
              <w:widowControl/>
              <w:jc w:val="center"/>
              <w:textAlignment w:val="center"/>
              <w:rPr>
                <w:rFonts w:ascii="宋体" w:hAnsi="宋体" w:cs="宋体"/>
                <w:color w:val="000000"/>
                <w:sz w:val="24"/>
              </w:rPr>
            </w:pPr>
            <w:r>
              <w:rPr>
                <w:rFonts w:hint="eastAsia" w:ascii="宋体" w:hAnsi="宋体" w:cs="宋体"/>
                <w:color w:val="000000"/>
                <w:sz w:val="24"/>
              </w:rPr>
              <w:t xml:space="preserve">免费向城乡居民提供基本公共卫生服务。 </w:t>
            </w:r>
          </w:p>
        </w:tc>
        <w:tc>
          <w:tcPr>
            <w:tcW w:w="463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2C6173">
            <w:pPr>
              <w:widowControl/>
              <w:jc w:val="center"/>
              <w:textAlignment w:val="center"/>
              <w:rPr>
                <w:rFonts w:ascii="宋体" w:hAnsi="宋体" w:cs="宋体"/>
                <w:color w:val="000000"/>
                <w:sz w:val="24"/>
              </w:rPr>
            </w:pPr>
            <w:r>
              <w:rPr>
                <w:rFonts w:hint="eastAsia" w:ascii="宋体" w:hAnsi="宋体" w:cs="宋体"/>
                <w:color w:val="000000"/>
                <w:sz w:val="24"/>
              </w:rPr>
              <w:t>面向全乡</w:t>
            </w:r>
            <w:r>
              <w:rPr>
                <w:rFonts w:hint="eastAsia" w:ascii="宋体" w:hAnsi="宋体" w:cs="宋体"/>
                <w:color w:val="000000"/>
                <w:sz w:val="24"/>
                <w:lang w:val="en-US" w:eastAsia="zh-CN"/>
              </w:rPr>
              <w:t>12578人</w:t>
            </w:r>
            <w:r>
              <w:rPr>
                <w:rFonts w:hint="eastAsia" w:ascii="宋体" w:hAnsi="宋体" w:cs="宋体"/>
                <w:color w:val="000000"/>
                <w:sz w:val="24"/>
              </w:rPr>
              <w:t xml:space="preserve">城乡居民免费提供健康档案管理、健康教育、慢性病管理等基本公共卫生服务。 </w:t>
            </w:r>
          </w:p>
        </w:tc>
      </w:tr>
      <w:tr w14:paraId="3B9CC865">
        <w:tblPrEx>
          <w:tblCellMar>
            <w:top w:w="0" w:type="dxa"/>
            <w:left w:w="0" w:type="dxa"/>
            <w:bottom w:w="0" w:type="dxa"/>
            <w:right w:w="0" w:type="dxa"/>
          </w:tblCellMar>
        </w:tblPrEx>
        <w:trPr>
          <w:trHeight w:val="90"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6A7721F3">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5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6DF069">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D8EA6B">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CC58A0">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6BC1B8">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71EE90">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14:paraId="537342C4">
        <w:tblPrEx>
          <w:tblCellMar>
            <w:top w:w="0" w:type="dxa"/>
            <w:left w:w="0" w:type="dxa"/>
            <w:bottom w:w="0" w:type="dxa"/>
            <w:right w:w="0" w:type="dxa"/>
          </w:tblCellMar>
        </w:tblPrEx>
        <w:trPr>
          <w:trHeight w:val="81"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07E14924">
            <w:pPr>
              <w:widowControl/>
              <w:jc w:val="center"/>
              <w:textAlignment w:val="center"/>
              <w:rPr>
                <w:rFonts w:ascii="宋体" w:hAnsi="宋体" w:cs="宋体"/>
                <w:color w:val="000000"/>
                <w:sz w:val="24"/>
              </w:rPr>
            </w:pPr>
          </w:p>
        </w:tc>
        <w:tc>
          <w:tcPr>
            <w:tcW w:w="151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1181E9F">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56"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7BC7778B">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10C7D4">
            <w:pPr>
              <w:keepNext w:val="0"/>
              <w:keepLines w:val="0"/>
              <w:widowControl/>
              <w:suppressLineNumbers w:val="0"/>
              <w:jc w:val="left"/>
              <w:textAlignment w:val="center"/>
              <w:rPr>
                <w:rFonts w:ascii="宋体" w:hAnsi="宋体" w:cs="宋体"/>
                <w:color w:val="000000"/>
                <w:sz w:val="24"/>
              </w:rPr>
            </w:pPr>
            <w:r>
              <w:rPr>
                <w:rFonts w:hint="eastAsia" w:ascii="宋体" w:hAnsi="宋体" w:eastAsia="宋体" w:cs="宋体"/>
                <w:i w:val="0"/>
                <w:iCs w:val="0"/>
                <w:color w:val="000000"/>
                <w:kern w:val="0"/>
                <w:sz w:val="20"/>
                <w:szCs w:val="20"/>
                <w:u w:val="none"/>
                <w:lang w:val="en-US" w:eastAsia="zh-CN" w:bidi="ar"/>
              </w:rPr>
              <w:t>指标1：居民健康档案管理。</w:t>
            </w: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CA4D00">
            <w:pPr>
              <w:keepNext w:val="0"/>
              <w:keepLines w:val="0"/>
              <w:widowControl/>
              <w:suppressLineNumbers w:val="0"/>
              <w:jc w:val="left"/>
              <w:textAlignment w:val="center"/>
              <w:rPr>
                <w:rFonts w:cs="宋体" w:asciiTheme="minorEastAsia" w:hAnsiTheme="minorEastAsia" w:eastAsiaTheme="minorEastAsia"/>
                <w:color w:val="000000"/>
                <w:sz w:val="24"/>
              </w:rPr>
            </w:pPr>
            <w:r>
              <w:rPr>
                <w:rFonts w:hint="eastAsia" w:ascii="宋体" w:hAnsi="宋体" w:eastAsia="宋体" w:cs="宋体"/>
                <w:i w:val="0"/>
                <w:iCs w:val="0"/>
                <w:color w:val="000000"/>
                <w:kern w:val="0"/>
                <w:sz w:val="20"/>
                <w:szCs w:val="20"/>
                <w:u w:val="none"/>
                <w:lang w:val="en-US" w:eastAsia="zh-CN" w:bidi="ar"/>
              </w:rPr>
              <w:t>居民健康档案管理率≥93%</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bl>
            <w:tblPr>
              <w:tblStyle w:val="14"/>
              <w:tblW w:w="1981"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81"/>
            </w:tblGrid>
            <w:tr w14:paraId="3B804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6B19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居民健康档案管理率≥94.6%</w:t>
                  </w:r>
                </w:p>
              </w:tc>
            </w:tr>
          </w:tbl>
          <w:p w14:paraId="2D48F3A4">
            <w:pPr>
              <w:keepNext w:val="0"/>
              <w:keepLines w:val="0"/>
              <w:widowControl/>
              <w:suppressLineNumbers w:val="0"/>
              <w:jc w:val="right"/>
              <w:textAlignment w:val="center"/>
              <w:rPr>
                <w:rFonts w:ascii="宋体" w:hAnsi="宋体" w:cs="宋体"/>
                <w:color w:val="000000"/>
                <w:sz w:val="24"/>
              </w:rPr>
            </w:pPr>
          </w:p>
        </w:tc>
      </w:tr>
      <w:tr w14:paraId="6B471D87">
        <w:tblPrEx>
          <w:tblCellMar>
            <w:top w:w="0" w:type="dxa"/>
            <w:left w:w="0" w:type="dxa"/>
            <w:bottom w:w="0" w:type="dxa"/>
            <w:right w:w="0" w:type="dxa"/>
          </w:tblCellMar>
        </w:tblPrEx>
        <w:trPr>
          <w:trHeight w:val="81"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37DBA699">
            <w:pPr>
              <w:widowControl/>
              <w:jc w:val="center"/>
              <w:textAlignment w:val="center"/>
            </w:pPr>
          </w:p>
        </w:tc>
        <w:tc>
          <w:tcPr>
            <w:tcW w:w="1512" w:type="dxa"/>
            <w:vMerge w:val="continue"/>
            <w:tcBorders>
              <w:left w:val="single" w:color="000000" w:sz="4" w:space="0"/>
              <w:right w:val="single" w:color="000000" w:sz="4" w:space="0"/>
            </w:tcBorders>
            <w:tcMar>
              <w:top w:w="15" w:type="dxa"/>
              <w:left w:w="15" w:type="dxa"/>
              <w:right w:w="15" w:type="dxa"/>
            </w:tcMar>
            <w:vAlign w:val="center"/>
          </w:tcPr>
          <w:p w14:paraId="3A60DE23">
            <w:pPr>
              <w:widowControl/>
              <w:jc w:val="center"/>
              <w:textAlignment w:val="center"/>
            </w:pPr>
          </w:p>
        </w:tc>
        <w:tc>
          <w:tcPr>
            <w:tcW w:w="1056" w:type="dxa"/>
            <w:vMerge w:val="continue"/>
            <w:tcBorders>
              <w:left w:val="single" w:color="000000" w:sz="4" w:space="0"/>
              <w:right w:val="single" w:color="000000" w:sz="4" w:space="0"/>
            </w:tcBorders>
            <w:tcMar>
              <w:top w:w="15" w:type="dxa"/>
              <w:left w:w="15" w:type="dxa"/>
              <w:right w:w="15" w:type="dxa"/>
            </w:tcMar>
            <w:vAlign w:val="center"/>
          </w:tcPr>
          <w:p w14:paraId="681D38F2">
            <w:pPr>
              <w:widowControl/>
              <w:jc w:val="center"/>
              <w:textAlignment w:val="center"/>
            </w:pP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62F860">
            <w:pPr>
              <w:keepNext w:val="0"/>
              <w:keepLines w:val="0"/>
              <w:widowControl/>
              <w:suppressLineNumbers w:val="0"/>
              <w:jc w:val="left"/>
              <w:textAlignment w:val="center"/>
              <w:rPr>
                <w:rFonts w:hint="eastAsia" w:ascii="宋体" w:hAnsi="宋体" w:cs="宋体"/>
                <w:color w:val="000000"/>
                <w:sz w:val="24"/>
              </w:rPr>
            </w:pPr>
            <w:r>
              <w:rPr>
                <w:rFonts w:hint="eastAsia" w:ascii="宋体" w:hAnsi="宋体" w:eastAsia="宋体" w:cs="宋体"/>
                <w:i w:val="0"/>
                <w:iCs w:val="0"/>
                <w:color w:val="000000"/>
                <w:kern w:val="0"/>
                <w:sz w:val="20"/>
                <w:szCs w:val="20"/>
                <w:u w:val="none"/>
                <w:lang w:val="en-US" w:eastAsia="zh-CN" w:bidi="ar"/>
              </w:rPr>
              <w:t>指标2：预防接种。</w:t>
            </w: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FE9038">
            <w:pPr>
              <w:keepNext w:val="0"/>
              <w:keepLines w:val="0"/>
              <w:widowControl/>
              <w:suppressLineNumbers w:val="0"/>
              <w:jc w:val="left"/>
              <w:textAlignment w:val="center"/>
              <w:rPr>
                <w:rFonts w:hint="eastAsia" w:ascii="宋体" w:hAnsi="宋体" w:cs="宋体"/>
                <w:color w:val="000000"/>
                <w:sz w:val="24"/>
              </w:rPr>
            </w:pPr>
            <w:r>
              <w:rPr>
                <w:rFonts w:hint="eastAsia" w:ascii="宋体" w:hAnsi="宋体" w:eastAsia="宋体" w:cs="宋体"/>
                <w:i w:val="0"/>
                <w:iCs w:val="0"/>
                <w:color w:val="000000"/>
                <w:kern w:val="0"/>
                <w:sz w:val="20"/>
                <w:szCs w:val="20"/>
                <w:u w:val="none"/>
                <w:lang w:val="en-US" w:eastAsia="zh-CN" w:bidi="ar"/>
              </w:rPr>
              <w:t>预防接种率≥90%</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D9E0DB">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预防接种率≥97.95%</w:t>
            </w:r>
          </w:p>
        </w:tc>
      </w:tr>
      <w:tr w14:paraId="75B7299D">
        <w:tblPrEx>
          <w:tblCellMar>
            <w:top w:w="0" w:type="dxa"/>
            <w:left w:w="0" w:type="dxa"/>
            <w:bottom w:w="0" w:type="dxa"/>
            <w:right w:w="0" w:type="dxa"/>
          </w:tblCellMar>
        </w:tblPrEx>
        <w:trPr>
          <w:trHeight w:val="921"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74EB2EB">
            <w:pPr>
              <w:widowControl/>
              <w:jc w:val="center"/>
              <w:textAlignment w:val="center"/>
              <w:rPr>
                <w:rFonts w:hint="eastAsia" w:ascii="宋体" w:hAnsi="宋体" w:cs="宋体"/>
                <w:color w:val="000000"/>
                <w:sz w:val="24"/>
              </w:rPr>
            </w:pPr>
          </w:p>
        </w:tc>
        <w:tc>
          <w:tcPr>
            <w:tcW w:w="1512" w:type="dxa"/>
            <w:vMerge w:val="continue"/>
            <w:tcBorders>
              <w:left w:val="single" w:color="000000" w:sz="4" w:space="0"/>
              <w:right w:val="single" w:color="000000" w:sz="4" w:space="0"/>
            </w:tcBorders>
            <w:tcMar>
              <w:top w:w="15" w:type="dxa"/>
              <w:left w:w="15" w:type="dxa"/>
              <w:right w:w="15" w:type="dxa"/>
            </w:tcMar>
            <w:vAlign w:val="center"/>
          </w:tcPr>
          <w:p w14:paraId="26FC4A75">
            <w:pPr>
              <w:widowControl/>
              <w:jc w:val="center"/>
              <w:textAlignment w:val="center"/>
              <w:rPr>
                <w:rFonts w:hint="eastAsia" w:ascii="宋体" w:hAnsi="宋体" w:cs="宋体"/>
                <w:color w:val="000000"/>
                <w:sz w:val="24"/>
              </w:rPr>
            </w:pPr>
          </w:p>
        </w:tc>
        <w:tc>
          <w:tcPr>
            <w:tcW w:w="1056" w:type="dxa"/>
            <w:vMerge w:val="continue"/>
            <w:tcBorders>
              <w:left w:val="single" w:color="000000" w:sz="4" w:space="0"/>
              <w:right w:val="single" w:color="000000" w:sz="4" w:space="0"/>
            </w:tcBorders>
            <w:tcMar>
              <w:top w:w="15" w:type="dxa"/>
              <w:left w:w="15" w:type="dxa"/>
              <w:right w:w="15" w:type="dxa"/>
            </w:tcMar>
            <w:vAlign w:val="center"/>
          </w:tcPr>
          <w:p w14:paraId="1630CA97">
            <w:pPr>
              <w:widowControl/>
              <w:jc w:val="center"/>
              <w:textAlignment w:val="center"/>
              <w:rPr>
                <w:rFonts w:hint="eastAsia" w:ascii="宋体" w:hAnsi="宋体" w:cs="宋体"/>
                <w:color w:val="000000"/>
                <w:sz w:val="24"/>
              </w:rPr>
            </w:pP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365F0A">
            <w:pPr>
              <w:keepNext w:val="0"/>
              <w:keepLines w:val="0"/>
              <w:widowControl/>
              <w:suppressLineNumbers w:val="0"/>
              <w:jc w:val="left"/>
              <w:textAlignment w:val="center"/>
              <w:rPr>
                <w:rFonts w:hint="eastAsia" w:ascii="宋体" w:hAnsi="宋体" w:cs="宋体"/>
                <w:color w:val="000000"/>
                <w:sz w:val="24"/>
              </w:rPr>
            </w:pPr>
            <w:r>
              <w:rPr>
                <w:rFonts w:hint="eastAsia" w:ascii="宋体" w:hAnsi="宋体" w:eastAsia="宋体" w:cs="宋体"/>
                <w:i w:val="0"/>
                <w:iCs w:val="0"/>
                <w:color w:val="000000"/>
                <w:kern w:val="0"/>
                <w:sz w:val="20"/>
                <w:szCs w:val="20"/>
                <w:u w:val="none"/>
                <w:lang w:val="en-US" w:eastAsia="zh-CN" w:bidi="ar"/>
              </w:rPr>
              <w:t>指标3：0-6岁儿童健康管理。</w:t>
            </w: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51D8B3">
            <w:pPr>
              <w:keepNext w:val="0"/>
              <w:keepLines w:val="0"/>
              <w:widowControl/>
              <w:suppressLineNumbers w:val="0"/>
              <w:jc w:val="left"/>
              <w:textAlignment w:val="center"/>
              <w:rPr>
                <w:rFonts w:hint="eastAsia" w:ascii="宋体" w:hAnsi="宋体" w:cs="宋体"/>
                <w:color w:val="000000"/>
                <w:sz w:val="24"/>
              </w:rPr>
            </w:pPr>
            <w:r>
              <w:rPr>
                <w:rFonts w:hint="eastAsia" w:ascii="宋体" w:hAnsi="宋体" w:eastAsia="宋体" w:cs="宋体"/>
                <w:i w:val="0"/>
                <w:iCs w:val="0"/>
                <w:color w:val="000000"/>
                <w:kern w:val="0"/>
                <w:sz w:val="20"/>
                <w:szCs w:val="20"/>
                <w:u w:val="none"/>
                <w:lang w:val="en-US" w:eastAsia="zh-CN" w:bidi="ar"/>
              </w:rPr>
              <w:t>新生儿访视率、儿童健康管理率≥85％</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bl>
            <w:tblPr>
              <w:tblStyle w:val="14"/>
              <w:tblW w:w="3962"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81"/>
              <w:gridCol w:w="1981"/>
            </w:tblGrid>
            <w:tr w14:paraId="0BAF3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0161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新生儿访视率96.88%、儿童健康管理率90.04％</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D2DDE">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bl>
          <w:p w14:paraId="0776AB84">
            <w:pPr>
              <w:keepNext w:val="0"/>
              <w:keepLines w:val="0"/>
              <w:widowControl/>
              <w:suppressLineNumbers w:val="0"/>
              <w:jc w:val="right"/>
              <w:textAlignment w:val="center"/>
              <w:rPr>
                <w:rFonts w:hint="eastAsia" w:ascii="宋体" w:hAnsi="宋体" w:cs="宋体"/>
                <w:color w:val="000000"/>
                <w:sz w:val="24"/>
              </w:rPr>
            </w:pPr>
          </w:p>
        </w:tc>
      </w:tr>
      <w:tr w14:paraId="34397191">
        <w:tblPrEx>
          <w:tblCellMar>
            <w:top w:w="0" w:type="dxa"/>
            <w:left w:w="0" w:type="dxa"/>
            <w:bottom w:w="0" w:type="dxa"/>
            <w:right w:w="0" w:type="dxa"/>
          </w:tblCellMar>
        </w:tblPrEx>
        <w:trPr>
          <w:trHeight w:val="81"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62DDC0C8">
            <w:pPr>
              <w:widowControl/>
              <w:jc w:val="center"/>
              <w:textAlignment w:val="center"/>
              <w:rPr>
                <w:rFonts w:hint="eastAsia" w:ascii="宋体" w:hAnsi="宋体" w:cs="宋体"/>
                <w:color w:val="000000"/>
                <w:sz w:val="24"/>
              </w:rPr>
            </w:pPr>
          </w:p>
        </w:tc>
        <w:tc>
          <w:tcPr>
            <w:tcW w:w="1512" w:type="dxa"/>
            <w:vMerge w:val="continue"/>
            <w:tcBorders>
              <w:left w:val="single" w:color="000000" w:sz="4" w:space="0"/>
              <w:right w:val="single" w:color="000000" w:sz="4" w:space="0"/>
            </w:tcBorders>
            <w:tcMar>
              <w:top w:w="15" w:type="dxa"/>
              <w:left w:w="15" w:type="dxa"/>
              <w:right w:w="15" w:type="dxa"/>
            </w:tcMar>
            <w:vAlign w:val="center"/>
          </w:tcPr>
          <w:p w14:paraId="187581F8">
            <w:pPr>
              <w:widowControl/>
              <w:jc w:val="center"/>
              <w:textAlignment w:val="center"/>
              <w:rPr>
                <w:rFonts w:hint="eastAsia" w:ascii="宋体" w:hAnsi="宋体" w:cs="宋体"/>
                <w:color w:val="000000"/>
                <w:sz w:val="24"/>
              </w:rPr>
            </w:pPr>
          </w:p>
        </w:tc>
        <w:tc>
          <w:tcPr>
            <w:tcW w:w="1056" w:type="dxa"/>
            <w:vMerge w:val="continue"/>
            <w:tcBorders>
              <w:left w:val="single" w:color="000000" w:sz="4" w:space="0"/>
              <w:right w:val="single" w:color="000000" w:sz="4" w:space="0"/>
            </w:tcBorders>
            <w:tcMar>
              <w:top w:w="15" w:type="dxa"/>
              <w:left w:w="15" w:type="dxa"/>
              <w:right w:w="15" w:type="dxa"/>
            </w:tcMar>
            <w:vAlign w:val="center"/>
          </w:tcPr>
          <w:p w14:paraId="7732C401">
            <w:pPr>
              <w:widowControl/>
              <w:jc w:val="center"/>
              <w:textAlignment w:val="center"/>
              <w:rPr>
                <w:rFonts w:hint="eastAsia" w:ascii="宋体" w:hAnsi="宋体" w:cs="宋体"/>
                <w:color w:val="000000"/>
                <w:sz w:val="24"/>
              </w:rPr>
            </w:pP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FE7178">
            <w:pPr>
              <w:keepNext w:val="0"/>
              <w:keepLines w:val="0"/>
              <w:widowControl/>
              <w:suppressLineNumbers w:val="0"/>
              <w:jc w:val="left"/>
              <w:textAlignment w:val="center"/>
              <w:rPr>
                <w:rFonts w:hint="eastAsia" w:ascii="宋体" w:hAnsi="宋体" w:cs="宋体"/>
                <w:color w:val="000000"/>
                <w:sz w:val="24"/>
              </w:rPr>
            </w:pPr>
            <w:r>
              <w:rPr>
                <w:rFonts w:hint="eastAsia" w:ascii="宋体" w:hAnsi="宋体" w:eastAsia="宋体" w:cs="宋体"/>
                <w:i w:val="0"/>
                <w:iCs w:val="0"/>
                <w:color w:val="000000"/>
                <w:kern w:val="0"/>
                <w:sz w:val="20"/>
                <w:szCs w:val="20"/>
                <w:u w:val="none"/>
                <w:lang w:val="en-US" w:eastAsia="zh-CN" w:bidi="ar"/>
              </w:rPr>
              <w:t>指标4：孕产妇健康管理。</w:t>
            </w: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D8A13E">
            <w:pPr>
              <w:keepNext w:val="0"/>
              <w:keepLines w:val="0"/>
              <w:widowControl/>
              <w:suppressLineNumbers w:val="0"/>
              <w:jc w:val="left"/>
              <w:textAlignment w:val="center"/>
              <w:rPr>
                <w:rFonts w:hint="eastAsia" w:ascii="宋体" w:hAnsi="宋体" w:cs="宋体"/>
                <w:color w:val="000000"/>
                <w:sz w:val="24"/>
              </w:rPr>
            </w:pPr>
            <w:r>
              <w:rPr>
                <w:rFonts w:hint="eastAsia" w:ascii="宋体" w:hAnsi="宋体" w:eastAsia="宋体" w:cs="宋体"/>
                <w:i w:val="0"/>
                <w:iCs w:val="0"/>
                <w:color w:val="000000"/>
                <w:kern w:val="0"/>
                <w:sz w:val="20"/>
                <w:szCs w:val="20"/>
                <w:u w:val="none"/>
                <w:lang w:val="en-US" w:eastAsia="zh-CN" w:bidi="ar"/>
              </w:rPr>
              <w:t>早孕建册率、产后访视率≥85％</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29EB15">
            <w:pPr>
              <w:keepNext w:val="0"/>
              <w:keepLines w:val="0"/>
              <w:widowControl/>
              <w:suppressLineNumbers w:val="0"/>
              <w:jc w:val="left"/>
              <w:textAlignment w:val="center"/>
              <w:rPr>
                <w:rFonts w:hint="eastAsia" w:ascii="宋体" w:hAnsi="宋体" w:cs="宋体"/>
                <w:color w:val="000000"/>
                <w:sz w:val="24"/>
              </w:rPr>
            </w:pPr>
            <w:r>
              <w:rPr>
                <w:rFonts w:hint="eastAsia" w:ascii="宋体" w:hAnsi="宋体" w:eastAsia="宋体" w:cs="宋体"/>
                <w:i w:val="0"/>
                <w:iCs w:val="0"/>
                <w:color w:val="000000"/>
                <w:kern w:val="0"/>
                <w:sz w:val="20"/>
                <w:szCs w:val="20"/>
                <w:u w:val="none"/>
                <w:lang w:val="en-US" w:eastAsia="zh-CN" w:bidi="ar"/>
              </w:rPr>
              <w:t>早孕建册率≥67.19％、产后访视率≥96.88％</w:t>
            </w:r>
          </w:p>
        </w:tc>
      </w:tr>
      <w:tr w14:paraId="1A50DD34">
        <w:tblPrEx>
          <w:tblCellMar>
            <w:top w:w="0" w:type="dxa"/>
            <w:left w:w="0" w:type="dxa"/>
            <w:bottom w:w="0" w:type="dxa"/>
            <w:right w:w="0" w:type="dxa"/>
          </w:tblCellMar>
        </w:tblPrEx>
        <w:trPr>
          <w:trHeight w:val="589"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7B347F44">
            <w:pPr>
              <w:widowControl/>
              <w:jc w:val="center"/>
              <w:textAlignment w:val="center"/>
              <w:rPr>
                <w:rFonts w:hint="eastAsia" w:ascii="宋体" w:hAnsi="宋体" w:cs="宋体"/>
                <w:color w:val="000000"/>
                <w:sz w:val="24"/>
              </w:rPr>
            </w:pPr>
          </w:p>
        </w:tc>
        <w:tc>
          <w:tcPr>
            <w:tcW w:w="1512" w:type="dxa"/>
            <w:vMerge w:val="continue"/>
            <w:tcBorders>
              <w:left w:val="single" w:color="000000" w:sz="4" w:space="0"/>
              <w:right w:val="single" w:color="000000" w:sz="4" w:space="0"/>
            </w:tcBorders>
            <w:tcMar>
              <w:top w:w="15" w:type="dxa"/>
              <w:left w:w="15" w:type="dxa"/>
              <w:right w:w="15" w:type="dxa"/>
            </w:tcMar>
            <w:vAlign w:val="center"/>
          </w:tcPr>
          <w:p w14:paraId="622F5BFB">
            <w:pPr>
              <w:widowControl/>
              <w:jc w:val="center"/>
              <w:textAlignment w:val="center"/>
              <w:rPr>
                <w:rFonts w:hint="eastAsia" w:ascii="宋体" w:hAnsi="宋体" w:cs="宋体"/>
                <w:color w:val="000000"/>
                <w:sz w:val="24"/>
              </w:rPr>
            </w:pPr>
          </w:p>
        </w:tc>
        <w:tc>
          <w:tcPr>
            <w:tcW w:w="1056" w:type="dxa"/>
            <w:vMerge w:val="continue"/>
            <w:tcBorders>
              <w:left w:val="single" w:color="000000" w:sz="4" w:space="0"/>
              <w:right w:val="single" w:color="000000" w:sz="4" w:space="0"/>
            </w:tcBorders>
            <w:tcMar>
              <w:top w:w="15" w:type="dxa"/>
              <w:left w:w="15" w:type="dxa"/>
              <w:right w:w="15" w:type="dxa"/>
            </w:tcMar>
            <w:vAlign w:val="center"/>
          </w:tcPr>
          <w:p w14:paraId="19D93577">
            <w:pPr>
              <w:widowControl/>
              <w:jc w:val="center"/>
              <w:textAlignment w:val="center"/>
              <w:rPr>
                <w:rFonts w:hint="eastAsia" w:ascii="宋体" w:hAnsi="宋体" w:cs="宋体"/>
                <w:color w:val="000000"/>
                <w:sz w:val="24"/>
              </w:rPr>
            </w:pP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DD4620">
            <w:pPr>
              <w:keepNext w:val="0"/>
              <w:keepLines w:val="0"/>
              <w:widowControl/>
              <w:suppressLineNumbers w:val="0"/>
              <w:jc w:val="left"/>
              <w:textAlignment w:val="center"/>
              <w:rPr>
                <w:rFonts w:hint="eastAsia" w:ascii="宋体" w:hAnsi="宋体" w:cs="宋体"/>
                <w:color w:val="000000"/>
                <w:sz w:val="24"/>
              </w:rPr>
            </w:pPr>
            <w:r>
              <w:rPr>
                <w:rFonts w:hint="eastAsia" w:ascii="宋体" w:hAnsi="宋体" w:eastAsia="宋体" w:cs="宋体"/>
                <w:i w:val="0"/>
                <w:iCs w:val="0"/>
                <w:color w:val="000000"/>
                <w:kern w:val="0"/>
                <w:sz w:val="20"/>
                <w:szCs w:val="20"/>
                <w:u w:val="none"/>
                <w:lang w:val="en-US" w:eastAsia="zh-CN" w:bidi="ar"/>
              </w:rPr>
              <w:t>指标5：老年人健康管理。</w:t>
            </w: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77531E">
            <w:pPr>
              <w:keepNext w:val="0"/>
              <w:keepLines w:val="0"/>
              <w:widowControl/>
              <w:suppressLineNumbers w:val="0"/>
              <w:jc w:val="left"/>
              <w:textAlignment w:val="center"/>
              <w:rPr>
                <w:rFonts w:hint="eastAsia" w:ascii="宋体" w:hAnsi="宋体" w:cs="宋体"/>
                <w:color w:val="000000"/>
                <w:sz w:val="24"/>
              </w:rPr>
            </w:pPr>
            <w:r>
              <w:rPr>
                <w:rFonts w:hint="eastAsia" w:ascii="宋体" w:hAnsi="宋体" w:eastAsia="宋体" w:cs="宋体"/>
                <w:i w:val="0"/>
                <w:iCs w:val="0"/>
                <w:color w:val="000000"/>
                <w:kern w:val="0"/>
                <w:sz w:val="20"/>
                <w:szCs w:val="20"/>
                <w:u w:val="none"/>
                <w:lang w:val="en-US" w:eastAsia="zh-CN" w:bidi="ar"/>
              </w:rPr>
              <w:t>老年人健康管理率≥70%</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869163">
            <w:pPr>
              <w:keepNext w:val="0"/>
              <w:keepLines w:val="0"/>
              <w:widowControl/>
              <w:suppressLineNumbers w:val="0"/>
              <w:jc w:val="left"/>
              <w:textAlignment w:val="center"/>
              <w:rPr>
                <w:rFonts w:hint="eastAsia" w:ascii="宋体" w:hAnsi="宋体" w:cs="宋体"/>
                <w:color w:val="000000"/>
                <w:sz w:val="24"/>
              </w:rPr>
            </w:pPr>
            <w:r>
              <w:rPr>
                <w:rFonts w:hint="eastAsia" w:ascii="宋体" w:hAnsi="宋体" w:eastAsia="宋体" w:cs="宋体"/>
                <w:i w:val="0"/>
                <w:iCs w:val="0"/>
                <w:color w:val="000000"/>
                <w:kern w:val="0"/>
                <w:sz w:val="20"/>
                <w:szCs w:val="20"/>
                <w:u w:val="none"/>
                <w:lang w:val="en-US" w:eastAsia="zh-CN" w:bidi="ar"/>
              </w:rPr>
              <w:t>老年人健康管理率≥68.7%</w:t>
            </w:r>
          </w:p>
        </w:tc>
      </w:tr>
      <w:tr w14:paraId="2CF0C2CC">
        <w:tblPrEx>
          <w:tblCellMar>
            <w:top w:w="0" w:type="dxa"/>
            <w:left w:w="0" w:type="dxa"/>
            <w:bottom w:w="0" w:type="dxa"/>
            <w:right w:w="0" w:type="dxa"/>
          </w:tblCellMar>
        </w:tblPrEx>
        <w:trPr>
          <w:trHeight w:val="81"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72F90ACD">
            <w:pPr>
              <w:widowControl/>
              <w:jc w:val="center"/>
              <w:textAlignment w:val="center"/>
              <w:rPr>
                <w:rFonts w:hint="eastAsia" w:ascii="宋体" w:hAnsi="宋体" w:cs="宋体"/>
                <w:color w:val="000000"/>
                <w:sz w:val="24"/>
              </w:rPr>
            </w:pPr>
          </w:p>
        </w:tc>
        <w:tc>
          <w:tcPr>
            <w:tcW w:w="1512" w:type="dxa"/>
            <w:vMerge w:val="continue"/>
            <w:tcBorders>
              <w:left w:val="single" w:color="000000" w:sz="4" w:space="0"/>
              <w:right w:val="single" w:color="000000" w:sz="4" w:space="0"/>
            </w:tcBorders>
            <w:tcMar>
              <w:top w:w="15" w:type="dxa"/>
              <w:left w:w="15" w:type="dxa"/>
              <w:right w:w="15" w:type="dxa"/>
            </w:tcMar>
            <w:vAlign w:val="center"/>
          </w:tcPr>
          <w:p w14:paraId="58A1A80E">
            <w:pPr>
              <w:widowControl/>
              <w:jc w:val="center"/>
              <w:textAlignment w:val="center"/>
              <w:rPr>
                <w:rFonts w:hint="eastAsia" w:ascii="宋体" w:hAnsi="宋体" w:cs="宋体"/>
                <w:color w:val="000000"/>
                <w:sz w:val="24"/>
              </w:rPr>
            </w:pPr>
          </w:p>
        </w:tc>
        <w:tc>
          <w:tcPr>
            <w:tcW w:w="1056" w:type="dxa"/>
            <w:vMerge w:val="continue"/>
            <w:tcBorders>
              <w:left w:val="single" w:color="000000" w:sz="4" w:space="0"/>
              <w:right w:val="single" w:color="000000" w:sz="4" w:space="0"/>
            </w:tcBorders>
            <w:tcMar>
              <w:top w:w="15" w:type="dxa"/>
              <w:left w:w="15" w:type="dxa"/>
              <w:right w:w="15" w:type="dxa"/>
            </w:tcMar>
            <w:vAlign w:val="center"/>
          </w:tcPr>
          <w:p w14:paraId="58BC4122">
            <w:pPr>
              <w:widowControl/>
              <w:jc w:val="center"/>
              <w:textAlignment w:val="center"/>
              <w:rPr>
                <w:rFonts w:hint="eastAsia" w:ascii="宋体" w:hAnsi="宋体" w:cs="宋体"/>
                <w:color w:val="000000"/>
                <w:sz w:val="24"/>
              </w:rPr>
            </w:pP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D5786C">
            <w:pPr>
              <w:keepNext w:val="0"/>
              <w:keepLines w:val="0"/>
              <w:widowControl/>
              <w:suppressLineNumbers w:val="0"/>
              <w:jc w:val="left"/>
              <w:textAlignment w:val="center"/>
              <w:rPr>
                <w:rFonts w:hint="eastAsia" w:ascii="宋体" w:hAnsi="宋体" w:cs="宋体"/>
                <w:color w:val="000000"/>
                <w:sz w:val="24"/>
              </w:rPr>
            </w:pPr>
            <w:r>
              <w:rPr>
                <w:rFonts w:hint="eastAsia" w:ascii="宋体" w:hAnsi="宋体" w:eastAsia="宋体" w:cs="宋体"/>
                <w:i w:val="0"/>
                <w:iCs w:val="0"/>
                <w:color w:val="000000"/>
                <w:kern w:val="0"/>
                <w:sz w:val="20"/>
                <w:szCs w:val="20"/>
                <w:u w:val="none"/>
                <w:lang w:val="en-US" w:eastAsia="zh-CN" w:bidi="ar"/>
              </w:rPr>
              <w:t>指标6：慢性病管理。</w:t>
            </w: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E8DBD6">
            <w:pPr>
              <w:keepNext w:val="0"/>
              <w:keepLines w:val="0"/>
              <w:widowControl/>
              <w:suppressLineNumbers w:val="0"/>
              <w:jc w:val="left"/>
              <w:textAlignment w:val="center"/>
              <w:rPr>
                <w:rFonts w:hint="eastAsia" w:ascii="宋体" w:hAnsi="宋体" w:cs="宋体"/>
                <w:color w:val="000000"/>
                <w:sz w:val="24"/>
              </w:rPr>
            </w:pPr>
            <w:r>
              <w:rPr>
                <w:rFonts w:hint="eastAsia" w:ascii="宋体" w:hAnsi="宋体" w:eastAsia="宋体" w:cs="宋体"/>
                <w:i w:val="0"/>
                <w:iCs w:val="0"/>
                <w:color w:val="000000"/>
                <w:kern w:val="0"/>
                <w:sz w:val="20"/>
                <w:szCs w:val="20"/>
                <w:u w:val="none"/>
                <w:lang w:val="en-US" w:eastAsia="zh-CN" w:bidi="ar"/>
              </w:rPr>
              <w:t>高血压患者规范管理率≥70%，糖尿病规范管理率≥60%。</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6B758B">
            <w:pPr>
              <w:keepNext w:val="0"/>
              <w:keepLines w:val="0"/>
              <w:widowControl/>
              <w:suppressLineNumbers w:val="0"/>
              <w:jc w:val="right"/>
              <w:textAlignment w:val="center"/>
              <w:rPr>
                <w:rFonts w:hint="eastAsia" w:ascii="宋体" w:hAnsi="宋体" w:cs="宋体"/>
                <w:color w:val="000000"/>
                <w:sz w:val="24"/>
              </w:rPr>
            </w:pPr>
            <w:r>
              <w:rPr>
                <w:rFonts w:hint="eastAsia" w:ascii="宋体" w:hAnsi="宋体" w:eastAsia="宋体" w:cs="宋体"/>
                <w:i w:val="0"/>
                <w:iCs w:val="0"/>
                <w:color w:val="000000"/>
                <w:kern w:val="0"/>
                <w:sz w:val="20"/>
                <w:szCs w:val="20"/>
                <w:u w:val="none"/>
                <w:lang w:val="en-US" w:eastAsia="zh-CN" w:bidi="ar"/>
              </w:rPr>
              <w:t>高血压患者规范管理率87.5%，糖尿病规范管理率≥85.15%。</w:t>
            </w:r>
          </w:p>
        </w:tc>
      </w:tr>
      <w:tr w14:paraId="7441CA3A">
        <w:tblPrEx>
          <w:tblCellMar>
            <w:top w:w="0" w:type="dxa"/>
            <w:left w:w="0" w:type="dxa"/>
            <w:bottom w:w="0" w:type="dxa"/>
            <w:right w:w="0" w:type="dxa"/>
          </w:tblCellMar>
        </w:tblPrEx>
        <w:trPr>
          <w:trHeight w:val="81"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1405ED92">
            <w:pPr>
              <w:widowControl/>
              <w:jc w:val="center"/>
              <w:textAlignment w:val="center"/>
              <w:rPr>
                <w:rFonts w:hint="eastAsia" w:ascii="宋体" w:hAnsi="宋体" w:cs="宋体"/>
                <w:color w:val="000000"/>
                <w:sz w:val="24"/>
              </w:rPr>
            </w:pPr>
          </w:p>
        </w:tc>
        <w:tc>
          <w:tcPr>
            <w:tcW w:w="1512" w:type="dxa"/>
            <w:vMerge w:val="continue"/>
            <w:tcBorders>
              <w:left w:val="single" w:color="000000" w:sz="4" w:space="0"/>
              <w:right w:val="single" w:color="000000" w:sz="4" w:space="0"/>
            </w:tcBorders>
            <w:tcMar>
              <w:top w:w="15" w:type="dxa"/>
              <w:left w:w="15" w:type="dxa"/>
              <w:right w:w="15" w:type="dxa"/>
            </w:tcMar>
            <w:vAlign w:val="center"/>
          </w:tcPr>
          <w:p w14:paraId="3732A152">
            <w:pPr>
              <w:widowControl/>
              <w:jc w:val="center"/>
              <w:textAlignment w:val="center"/>
              <w:rPr>
                <w:rFonts w:hint="eastAsia" w:ascii="宋体" w:hAnsi="宋体" w:cs="宋体"/>
                <w:color w:val="000000"/>
                <w:sz w:val="24"/>
              </w:rPr>
            </w:pPr>
          </w:p>
        </w:tc>
        <w:tc>
          <w:tcPr>
            <w:tcW w:w="1056" w:type="dxa"/>
            <w:vMerge w:val="continue"/>
            <w:tcBorders>
              <w:left w:val="single" w:color="000000" w:sz="4" w:space="0"/>
              <w:right w:val="single" w:color="000000" w:sz="4" w:space="0"/>
            </w:tcBorders>
            <w:tcMar>
              <w:top w:w="15" w:type="dxa"/>
              <w:left w:w="15" w:type="dxa"/>
              <w:right w:w="15" w:type="dxa"/>
            </w:tcMar>
            <w:vAlign w:val="center"/>
          </w:tcPr>
          <w:p w14:paraId="07CB5053">
            <w:pPr>
              <w:widowControl/>
              <w:jc w:val="center"/>
              <w:textAlignment w:val="center"/>
              <w:rPr>
                <w:rFonts w:hint="eastAsia" w:ascii="宋体" w:hAnsi="宋体" w:cs="宋体"/>
                <w:color w:val="000000"/>
                <w:sz w:val="24"/>
              </w:rPr>
            </w:pP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0386DB">
            <w:pPr>
              <w:keepNext w:val="0"/>
              <w:keepLines w:val="0"/>
              <w:widowControl/>
              <w:suppressLineNumbers w:val="0"/>
              <w:jc w:val="left"/>
              <w:textAlignment w:val="center"/>
              <w:rPr>
                <w:rFonts w:hint="eastAsia" w:ascii="宋体" w:hAnsi="宋体" w:cs="宋体"/>
                <w:color w:val="000000"/>
                <w:sz w:val="24"/>
              </w:rPr>
            </w:pPr>
            <w:r>
              <w:rPr>
                <w:rFonts w:hint="eastAsia" w:ascii="宋体" w:hAnsi="宋体" w:eastAsia="宋体" w:cs="宋体"/>
                <w:i w:val="0"/>
                <w:iCs w:val="0"/>
                <w:color w:val="000000"/>
                <w:kern w:val="0"/>
                <w:sz w:val="20"/>
                <w:szCs w:val="20"/>
                <w:u w:val="none"/>
                <w:lang w:val="en-US" w:eastAsia="zh-CN" w:bidi="ar"/>
              </w:rPr>
              <w:t>指标7：严重精神障碍患者管理。</w:t>
            </w: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8AFC59">
            <w:pPr>
              <w:keepNext w:val="0"/>
              <w:keepLines w:val="0"/>
              <w:widowControl/>
              <w:suppressLineNumbers w:val="0"/>
              <w:jc w:val="left"/>
              <w:textAlignment w:val="center"/>
              <w:rPr>
                <w:rFonts w:hint="eastAsia" w:ascii="宋体" w:hAnsi="宋体" w:cs="宋体"/>
                <w:color w:val="000000"/>
                <w:sz w:val="24"/>
              </w:rPr>
            </w:pPr>
            <w:r>
              <w:rPr>
                <w:rFonts w:hint="eastAsia" w:ascii="宋体" w:hAnsi="宋体" w:eastAsia="宋体" w:cs="宋体"/>
                <w:i w:val="0"/>
                <w:iCs w:val="0"/>
                <w:color w:val="000000"/>
                <w:kern w:val="0"/>
                <w:sz w:val="20"/>
                <w:szCs w:val="20"/>
                <w:u w:val="none"/>
                <w:lang w:val="en-US" w:eastAsia="zh-CN" w:bidi="ar"/>
              </w:rPr>
              <w:t>严重精神障碍患者规范化管理率≥85%。</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6E4FE2">
            <w:pPr>
              <w:keepNext w:val="0"/>
              <w:keepLines w:val="0"/>
              <w:widowControl/>
              <w:suppressLineNumbers w:val="0"/>
              <w:jc w:val="right"/>
              <w:textAlignment w:val="center"/>
              <w:rPr>
                <w:rFonts w:hint="eastAsia" w:ascii="宋体" w:hAnsi="宋体" w:cs="宋体"/>
                <w:color w:val="000000"/>
                <w:sz w:val="24"/>
              </w:rPr>
            </w:pPr>
            <w:r>
              <w:rPr>
                <w:rFonts w:hint="eastAsia" w:ascii="宋体" w:hAnsi="宋体" w:eastAsia="宋体" w:cs="宋体"/>
                <w:i w:val="0"/>
                <w:iCs w:val="0"/>
                <w:color w:val="000000"/>
                <w:kern w:val="0"/>
                <w:sz w:val="20"/>
                <w:szCs w:val="20"/>
                <w:u w:val="none"/>
                <w:lang w:val="en-US" w:eastAsia="zh-CN" w:bidi="ar"/>
              </w:rPr>
              <w:t>严重精神障碍患者规范化管理率为≥98.18%</w:t>
            </w:r>
          </w:p>
        </w:tc>
      </w:tr>
      <w:tr w14:paraId="7DB357B6">
        <w:tblPrEx>
          <w:tblCellMar>
            <w:top w:w="0" w:type="dxa"/>
            <w:left w:w="0" w:type="dxa"/>
            <w:bottom w:w="0" w:type="dxa"/>
            <w:right w:w="0" w:type="dxa"/>
          </w:tblCellMar>
        </w:tblPrEx>
        <w:trPr>
          <w:trHeight w:val="81"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1CC5BE50">
            <w:pPr>
              <w:widowControl/>
              <w:jc w:val="center"/>
              <w:textAlignment w:val="center"/>
              <w:rPr>
                <w:rFonts w:hint="eastAsia" w:ascii="宋体" w:hAnsi="宋体" w:cs="宋体"/>
                <w:color w:val="000000"/>
                <w:sz w:val="24"/>
              </w:rPr>
            </w:pPr>
          </w:p>
        </w:tc>
        <w:tc>
          <w:tcPr>
            <w:tcW w:w="1512" w:type="dxa"/>
            <w:vMerge w:val="continue"/>
            <w:tcBorders>
              <w:left w:val="single" w:color="000000" w:sz="4" w:space="0"/>
              <w:right w:val="single" w:color="000000" w:sz="4" w:space="0"/>
            </w:tcBorders>
            <w:tcMar>
              <w:top w:w="15" w:type="dxa"/>
              <w:left w:w="15" w:type="dxa"/>
              <w:right w:w="15" w:type="dxa"/>
            </w:tcMar>
            <w:vAlign w:val="center"/>
          </w:tcPr>
          <w:p w14:paraId="5AC88557">
            <w:pPr>
              <w:widowControl/>
              <w:jc w:val="center"/>
              <w:textAlignment w:val="center"/>
              <w:rPr>
                <w:rFonts w:hint="eastAsia" w:ascii="宋体" w:hAnsi="宋体" w:cs="宋体"/>
                <w:color w:val="000000"/>
                <w:sz w:val="24"/>
              </w:rPr>
            </w:pPr>
          </w:p>
        </w:tc>
        <w:tc>
          <w:tcPr>
            <w:tcW w:w="1056" w:type="dxa"/>
            <w:vMerge w:val="continue"/>
            <w:tcBorders>
              <w:left w:val="single" w:color="000000" w:sz="4" w:space="0"/>
              <w:right w:val="single" w:color="000000" w:sz="4" w:space="0"/>
            </w:tcBorders>
            <w:tcMar>
              <w:top w:w="15" w:type="dxa"/>
              <w:left w:w="15" w:type="dxa"/>
              <w:right w:w="15" w:type="dxa"/>
            </w:tcMar>
            <w:vAlign w:val="center"/>
          </w:tcPr>
          <w:p w14:paraId="6955EED2">
            <w:pPr>
              <w:widowControl/>
              <w:jc w:val="center"/>
              <w:textAlignment w:val="center"/>
              <w:rPr>
                <w:rFonts w:hint="eastAsia" w:ascii="宋体" w:hAnsi="宋体" w:cs="宋体"/>
                <w:color w:val="000000"/>
                <w:sz w:val="24"/>
              </w:rPr>
            </w:pP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F8A95C">
            <w:pPr>
              <w:keepNext w:val="0"/>
              <w:keepLines w:val="0"/>
              <w:widowControl/>
              <w:suppressLineNumbers w:val="0"/>
              <w:jc w:val="left"/>
              <w:textAlignment w:val="center"/>
              <w:rPr>
                <w:rFonts w:hint="eastAsia" w:ascii="宋体" w:hAnsi="宋体" w:cs="宋体"/>
                <w:color w:val="000000"/>
                <w:sz w:val="24"/>
              </w:rPr>
            </w:pPr>
            <w:r>
              <w:rPr>
                <w:rFonts w:hint="eastAsia" w:ascii="宋体" w:hAnsi="宋体" w:eastAsia="宋体" w:cs="宋体"/>
                <w:i w:val="0"/>
                <w:iCs w:val="0"/>
                <w:color w:val="000000"/>
                <w:kern w:val="0"/>
                <w:sz w:val="20"/>
                <w:szCs w:val="20"/>
                <w:u w:val="none"/>
                <w:lang w:val="en-US" w:eastAsia="zh-CN" w:bidi="ar"/>
              </w:rPr>
              <w:t>指标8：肺结核患者健康管理。</w:t>
            </w: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462330">
            <w:pPr>
              <w:keepNext w:val="0"/>
              <w:keepLines w:val="0"/>
              <w:widowControl/>
              <w:suppressLineNumbers w:val="0"/>
              <w:jc w:val="left"/>
              <w:textAlignment w:val="center"/>
              <w:rPr>
                <w:rFonts w:hint="eastAsia" w:ascii="宋体" w:hAnsi="宋体" w:cs="宋体"/>
                <w:color w:val="000000"/>
                <w:sz w:val="24"/>
              </w:rPr>
            </w:pPr>
            <w:r>
              <w:rPr>
                <w:rFonts w:hint="eastAsia" w:ascii="宋体" w:hAnsi="宋体" w:eastAsia="宋体" w:cs="宋体"/>
                <w:i w:val="0"/>
                <w:iCs w:val="0"/>
                <w:color w:val="000000"/>
                <w:kern w:val="0"/>
                <w:sz w:val="20"/>
                <w:szCs w:val="20"/>
                <w:u w:val="none"/>
                <w:lang w:val="en-US" w:eastAsia="zh-CN" w:bidi="ar"/>
              </w:rPr>
              <w:t>各级定点医疗机构确诊并通知基层医疗卫生机构管理的肺结核患者管理率≥90%。</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E0AED8">
            <w:pPr>
              <w:keepNext w:val="0"/>
              <w:keepLines w:val="0"/>
              <w:widowControl/>
              <w:suppressLineNumbers w:val="0"/>
              <w:jc w:val="right"/>
              <w:textAlignment w:val="center"/>
              <w:rPr>
                <w:rFonts w:hint="eastAsia" w:ascii="宋体" w:hAnsi="宋体" w:cs="宋体"/>
                <w:color w:val="000000"/>
                <w:sz w:val="24"/>
              </w:rPr>
            </w:pPr>
            <w:r>
              <w:rPr>
                <w:rFonts w:hint="eastAsia" w:ascii="宋体" w:hAnsi="宋体" w:eastAsia="宋体" w:cs="宋体"/>
                <w:i w:val="0"/>
                <w:iCs w:val="0"/>
                <w:color w:val="000000"/>
                <w:kern w:val="0"/>
                <w:sz w:val="20"/>
                <w:szCs w:val="20"/>
                <w:u w:val="none"/>
                <w:lang w:val="en-US" w:eastAsia="zh-CN" w:bidi="ar"/>
              </w:rPr>
              <w:t>管理率为≥100%</w:t>
            </w:r>
          </w:p>
        </w:tc>
      </w:tr>
      <w:tr w14:paraId="33ED2B88">
        <w:tblPrEx>
          <w:tblCellMar>
            <w:top w:w="0" w:type="dxa"/>
            <w:left w:w="0" w:type="dxa"/>
            <w:bottom w:w="0" w:type="dxa"/>
            <w:right w:w="0" w:type="dxa"/>
          </w:tblCellMar>
        </w:tblPrEx>
        <w:trPr>
          <w:trHeight w:val="81"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3D36AE8">
            <w:pPr>
              <w:widowControl/>
              <w:jc w:val="center"/>
              <w:textAlignment w:val="center"/>
              <w:rPr>
                <w:rFonts w:hint="eastAsia" w:ascii="宋体" w:hAnsi="宋体" w:cs="宋体"/>
                <w:color w:val="000000"/>
                <w:sz w:val="24"/>
              </w:rPr>
            </w:pPr>
          </w:p>
        </w:tc>
        <w:tc>
          <w:tcPr>
            <w:tcW w:w="1512" w:type="dxa"/>
            <w:vMerge w:val="continue"/>
            <w:tcBorders>
              <w:left w:val="single" w:color="000000" w:sz="4" w:space="0"/>
              <w:right w:val="single" w:color="000000" w:sz="4" w:space="0"/>
            </w:tcBorders>
            <w:tcMar>
              <w:top w:w="15" w:type="dxa"/>
              <w:left w:w="15" w:type="dxa"/>
              <w:right w:w="15" w:type="dxa"/>
            </w:tcMar>
            <w:vAlign w:val="center"/>
          </w:tcPr>
          <w:p w14:paraId="1505B9B4">
            <w:pPr>
              <w:widowControl/>
              <w:jc w:val="center"/>
              <w:textAlignment w:val="center"/>
              <w:rPr>
                <w:rFonts w:hint="eastAsia" w:ascii="宋体" w:hAnsi="宋体" w:cs="宋体"/>
                <w:color w:val="000000"/>
                <w:sz w:val="24"/>
              </w:rPr>
            </w:pPr>
          </w:p>
        </w:tc>
        <w:tc>
          <w:tcPr>
            <w:tcW w:w="1056" w:type="dxa"/>
            <w:vMerge w:val="continue"/>
            <w:tcBorders>
              <w:left w:val="single" w:color="000000" w:sz="4" w:space="0"/>
              <w:right w:val="single" w:color="000000" w:sz="4" w:space="0"/>
            </w:tcBorders>
            <w:tcMar>
              <w:top w:w="15" w:type="dxa"/>
              <w:left w:w="15" w:type="dxa"/>
              <w:right w:w="15" w:type="dxa"/>
            </w:tcMar>
            <w:vAlign w:val="center"/>
          </w:tcPr>
          <w:p w14:paraId="55B1F354">
            <w:pPr>
              <w:widowControl/>
              <w:jc w:val="center"/>
              <w:textAlignment w:val="center"/>
              <w:rPr>
                <w:rFonts w:hint="eastAsia" w:ascii="宋体" w:hAnsi="宋体" w:cs="宋体"/>
                <w:color w:val="000000"/>
                <w:sz w:val="24"/>
              </w:rPr>
            </w:pP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1A829A">
            <w:pPr>
              <w:keepNext w:val="0"/>
              <w:keepLines w:val="0"/>
              <w:widowControl/>
              <w:suppressLineNumbers w:val="0"/>
              <w:jc w:val="left"/>
              <w:textAlignment w:val="center"/>
              <w:rPr>
                <w:rFonts w:hint="eastAsia" w:ascii="宋体" w:hAnsi="宋体" w:cs="宋体"/>
                <w:color w:val="000000"/>
                <w:sz w:val="24"/>
              </w:rPr>
            </w:pPr>
            <w:r>
              <w:rPr>
                <w:rFonts w:hint="eastAsia" w:ascii="宋体" w:hAnsi="宋体" w:eastAsia="宋体" w:cs="宋体"/>
                <w:i w:val="0"/>
                <w:iCs w:val="0"/>
                <w:color w:val="000000"/>
                <w:kern w:val="0"/>
                <w:sz w:val="20"/>
                <w:szCs w:val="20"/>
                <w:u w:val="none"/>
                <w:lang w:val="en-US" w:eastAsia="zh-CN" w:bidi="ar"/>
              </w:rPr>
              <w:t>指标9：中医药健康管理率。</w:t>
            </w: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DE7E4E">
            <w:pPr>
              <w:keepNext w:val="0"/>
              <w:keepLines w:val="0"/>
              <w:widowControl/>
              <w:suppressLineNumbers w:val="0"/>
              <w:jc w:val="left"/>
              <w:textAlignment w:val="center"/>
              <w:rPr>
                <w:rFonts w:hint="eastAsia" w:ascii="宋体" w:hAnsi="宋体" w:cs="宋体"/>
                <w:color w:val="000000"/>
                <w:sz w:val="24"/>
              </w:rPr>
            </w:pPr>
            <w:r>
              <w:rPr>
                <w:rFonts w:hint="eastAsia" w:ascii="宋体" w:hAnsi="宋体" w:eastAsia="宋体" w:cs="宋体"/>
                <w:i w:val="0"/>
                <w:iCs w:val="0"/>
                <w:color w:val="000000"/>
                <w:kern w:val="0"/>
                <w:sz w:val="20"/>
                <w:szCs w:val="20"/>
                <w:u w:val="none"/>
                <w:lang w:val="en-US" w:eastAsia="zh-CN" w:bidi="ar"/>
              </w:rPr>
              <w:t>以县为单位，老年人中医药健康管理率≥45%，儿童中医药健康管理率≥85%。</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378557">
            <w:pPr>
              <w:keepNext w:val="0"/>
              <w:keepLines w:val="0"/>
              <w:widowControl/>
              <w:suppressLineNumbers w:val="0"/>
              <w:jc w:val="right"/>
              <w:textAlignment w:val="center"/>
              <w:rPr>
                <w:rFonts w:hint="eastAsia" w:ascii="宋体" w:hAnsi="宋体" w:cs="宋体"/>
                <w:color w:val="000000"/>
                <w:sz w:val="24"/>
              </w:rPr>
            </w:pPr>
            <w:r>
              <w:rPr>
                <w:rFonts w:hint="eastAsia" w:ascii="宋体" w:hAnsi="宋体" w:eastAsia="宋体" w:cs="宋体"/>
                <w:i w:val="0"/>
                <w:iCs w:val="0"/>
                <w:color w:val="000000"/>
                <w:kern w:val="0"/>
                <w:sz w:val="20"/>
                <w:szCs w:val="20"/>
                <w:u w:val="none"/>
                <w:lang w:val="en-US" w:eastAsia="zh-CN" w:bidi="ar"/>
              </w:rPr>
              <w:t>老年人中医药健康管理率≥61.88%，儿童中医药健康管理率≥89.44%。</w:t>
            </w:r>
          </w:p>
        </w:tc>
      </w:tr>
      <w:tr w14:paraId="6BF19F6A">
        <w:tblPrEx>
          <w:tblCellMar>
            <w:top w:w="0" w:type="dxa"/>
            <w:left w:w="0" w:type="dxa"/>
            <w:bottom w:w="0" w:type="dxa"/>
            <w:right w:w="0" w:type="dxa"/>
          </w:tblCellMar>
        </w:tblPrEx>
        <w:trPr>
          <w:trHeight w:val="81"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1F5CEE2B">
            <w:pPr>
              <w:widowControl/>
              <w:jc w:val="center"/>
              <w:textAlignment w:val="center"/>
              <w:rPr>
                <w:rFonts w:hint="eastAsia" w:ascii="宋体" w:hAnsi="宋体" w:cs="宋体"/>
                <w:color w:val="000000"/>
                <w:sz w:val="24"/>
              </w:rPr>
            </w:pPr>
          </w:p>
        </w:tc>
        <w:tc>
          <w:tcPr>
            <w:tcW w:w="1512" w:type="dxa"/>
            <w:vMerge w:val="continue"/>
            <w:tcBorders>
              <w:left w:val="single" w:color="000000" w:sz="4" w:space="0"/>
              <w:right w:val="single" w:color="000000" w:sz="4" w:space="0"/>
            </w:tcBorders>
            <w:tcMar>
              <w:top w:w="15" w:type="dxa"/>
              <w:left w:w="15" w:type="dxa"/>
              <w:right w:w="15" w:type="dxa"/>
            </w:tcMar>
            <w:vAlign w:val="center"/>
          </w:tcPr>
          <w:p w14:paraId="07C080EC">
            <w:pPr>
              <w:widowControl/>
              <w:jc w:val="center"/>
              <w:textAlignment w:val="center"/>
              <w:rPr>
                <w:rFonts w:hint="eastAsia" w:ascii="宋体" w:hAnsi="宋体" w:cs="宋体"/>
                <w:color w:val="000000"/>
                <w:sz w:val="24"/>
              </w:rPr>
            </w:pPr>
          </w:p>
        </w:tc>
        <w:tc>
          <w:tcPr>
            <w:tcW w:w="1056" w:type="dxa"/>
            <w:vMerge w:val="continue"/>
            <w:tcBorders>
              <w:left w:val="single" w:color="000000" w:sz="4" w:space="0"/>
              <w:right w:val="single" w:color="000000" w:sz="4" w:space="0"/>
            </w:tcBorders>
            <w:tcMar>
              <w:top w:w="15" w:type="dxa"/>
              <w:left w:w="15" w:type="dxa"/>
              <w:right w:w="15" w:type="dxa"/>
            </w:tcMar>
            <w:vAlign w:val="center"/>
          </w:tcPr>
          <w:p w14:paraId="594A3B58">
            <w:pPr>
              <w:widowControl/>
              <w:jc w:val="center"/>
              <w:textAlignment w:val="center"/>
              <w:rPr>
                <w:rFonts w:hint="eastAsia" w:ascii="宋体" w:hAnsi="宋体" w:cs="宋体"/>
                <w:color w:val="000000"/>
                <w:sz w:val="24"/>
              </w:rPr>
            </w:pP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178D7F">
            <w:pPr>
              <w:keepNext w:val="0"/>
              <w:keepLines w:val="0"/>
              <w:widowControl/>
              <w:suppressLineNumbers w:val="0"/>
              <w:jc w:val="left"/>
              <w:textAlignment w:val="center"/>
              <w:rPr>
                <w:rFonts w:hint="eastAsia" w:ascii="宋体" w:hAnsi="宋体" w:cs="宋体"/>
                <w:color w:val="000000"/>
                <w:sz w:val="24"/>
              </w:rPr>
            </w:pPr>
            <w:r>
              <w:rPr>
                <w:rFonts w:hint="eastAsia" w:ascii="宋体" w:hAnsi="宋体" w:eastAsia="宋体" w:cs="宋体"/>
                <w:i w:val="0"/>
                <w:iCs w:val="0"/>
                <w:color w:val="000000"/>
                <w:kern w:val="0"/>
                <w:sz w:val="20"/>
                <w:szCs w:val="20"/>
                <w:u w:val="none"/>
                <w:lang w:val="en-US" w:eastAsia="zh-CN" w:bidi="ar"/>
              </w:rPr>
              <w:t>指标10：传染病及突发公共卫生事件报告和处理服务。</w:t>
            </w: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9D83F2">
            <w:pPr>
              <w:keepNext w:val="0"/>
              <w:keepLines w:val="0"/>
              <w:widowControl/>
              <w:suppressLineNumbers w:val="0"/>
              <w:jc w:val="left"/>
              <w:textAlignment w:val="center"/>
              <w:rPr>
                <w:rFonts w:hint="eastAsia" w:ascii="宋体" w:hAnsi="宋体" w:cs="宋体"/>
                <w:color w:val="000000"/>
                <w:sz w:val="24"/>
              </w:rPr>
            </w:pPr>
            <w:r>
              <w:rPr>
                <w:rFonts w:hint="eastAsia" w:ascii="宋体" w:hAnsi="宋体" w:eastAsia="宋体" w:cs="宋体"/>
                <w:i w:val="0"/>
                <w:iCs w:val="0"/>
                <w:color w:val="000000"/>
                <w:kern w:val="0"/>
                <w:sz w:val="20"/>
                <w:szCs w:val="20"/>
                <w:u w:val="none"/>
                <w:lang w:val="en-US" w:eastAsia="zh-CN" w:bidi="ar"/>
              </w:rPr>
              <w:t>报告率分别≥100%</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F329FD">
            <w:pPr>
              <w:keepNext w:val="0"/>
              <w:keepLines w:val="0"/>
              <w:widowControl/>
              <w:suppressLineNumbers w:val="0"/>
              <w:jc w:val="right"/>
              <w:textAlignment w:val="center"/>
              <w:rPr>
                <w:rFonts w:hint="eastAsia" w:ascii="宋体" w:hAnsi="宋体" w:cs="宋体"/>
                <w:color w:val="000000"/>
                <w:sz w:val="24"/>
              </w:rPr>
            </w:pPr>
            <w:r>
              <w:rPr>
                <w:rFonts w:hint="eastAsia" w:ascii="宋体" w:hAnsi="宋体" w:eastAsia="宋体" w:cs="宋体"/>
                <w:i w:val="0"/>
                <w:iCs w:val="0"/>
                <w:color w:val="000000"/>
                <w:kern w:val="0"/>
                <w:sz w:val="20"/>
                <w:szCs w:val="20"/>
                <w:u w:val="none"/>
                <w:lang w:val="en-US" w:eastAsia="zh-CN" w:bidi="ar"/>
              </w:rPr>
              <w:t>100%</w:t>
            </w:r>
          </w:p>
        </w:tc>
      </w:tr>
      <w:tr w14:paraId="486804A6">
        <w:tblPrEx>
          <w:tblCellMar>
            <w:top w:w="0" w:type="dxa"/>
            <w:left w:w="0" w:type="dxa"/>
            <w:bottom w:w="0" w:type="dxa"/>
            <w:right w:w="0" w:type="dxa"/>
          </w:tblCellMar>
        </w:tblPrEx>
        <w:trPr>
          <w:trHeight w:val="604"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64BB3D92">
            <w:pPr>
              <w:widowControl/>
              <w:jc w:val="center"/>
              <w:textAlignment w:val="center"/>
              <w:rPr>
                <w:rFonts w:hint="eastAsia" w:ascii="宋体" w:hAnsi="宋体" w:cs="宋体"/>
                <w:color w:val="000000"/>
                <w:sz w:val="24"/>
              </w:rPr>
            </w:pPr>
          </w:p>
        </w:tc>
        <w:tc>
          <w:tcPr>
            <w:tcW w:w="1512" w:type="dxa"/>
            <w:vMerge w:val="continue"/>
            <w:tcBorders>
              <w:left w:val="single" w:color="000000" w:sz="4" w:space="0"/>
              <w:right w:val="single" w:color="000000" w:sz="4" w:space="0"/>
            </w:tcBorders>
            <w:tcMar>
              <w:top w:w="15" w:type="dxa"/>
              <w:left w:w="15" w:type="dxa"/>
              <w:right w:w="15" w:type="dxa"/>
            </w:tcMar>
            <w:vAlign w:val="center"/>
          </w:tcPr>
          <w:p w14:paraId="12C7F9D5">
            <w:pPr>
              <w:widowControl/>
              <w:jc w:val="center"/>
              <w:textAlignment w:val="center"/>
              <w:rPr>
                <w:rFonts w:hint="eastAsia" w:ascii="宋体" w:hAnsi="宋体" w:cs="宋体"/>
                <w:color w:val="000000"/>
                <w:sz w:val="24"/>
              </w:rPr>
            </w:pPr>
          </w:p>
        </w:tc>
        <w:tc>
          <w:tcPr>
            <w:tcW w:w="1056" w:type="dxa"/>
            <w:vMerge w:val="continue"/>
            <w:tcBorders>
              <w:left w:val="single" w:color="000000" w:sz="4" w:space="0"/>
              <w:right w:val="single" w:color="000000" w:sz="4" w:space="0"/>
            </w:tcBorders>
            <w:tcMar>
              <w:top w:w="15" w:type="dxa"/>
              <w:left w:w="15" w:type="dxa"/>
              <w:right w:w="15" w:type="dxa"/>
            </w:tcMar>
            <w:vAlign w:val="center"/>
          </w:tcPr>
          <w:p w14:paraId="11FC064A">
            <w:pPr>
              <w:widowControl/>
              <w:jc w:val="center"/>
              <w:textAlignment w:val="center"/>
              <w:rPr>
                <w:rFonts w:hint="eastAsia" w:ascii="宋体" w:hAnsi="宋体" w:cs="宋体"/>
                <w:color w:val="000000"/>
                <w:sz w:val="24"/>
              </w:rPr>
            </w:pP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64101F">
            <w:pPr>
              <w:keepNext w:val="0"/>
              <w:keepLines w:val="0"/>
              <w:widowControl/>
              <w:suppressLineNumbers w:val="0"/>
              <w:jc w:val="left"/>
              <w:textAlignment w:val="center"/>
              <w:rPr>
                <w:rFonts w:hint="eastAsia" w:ascii="宋体" w:hAnsi="宋体" w:cs="宋体"/>
                <w:color w:val="000000"/>
                <w:sz w:val="24"/>
              </w:rPr>
            </w:pPr>
            <w:r>
              <w:rPr>
                <w:rFonts w:hint="eastAsia" w:ascii="宋体" w:hAnsi="宋体" w:eastAsia="宋体" w:cs="宋体"/>
                <w:i w:val="0"/>
                <w:iCs w:val="0"/>
                <w:color w:val="000000"/>
                <w:kern w:val="0"/>
                <w:sz w:val="20"/>
                <w:szCs w:val="20"/>
                <w:u w:val="none"/>
                <w:lang w:val="en-US" w:eastAsia="zh-CN" w:bidi="ar"/>
              </w:rPr>
              <w:t>指标11：卫生计生监督协管服务。</w:t>
            </w: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DCC99A">
            <w:pPr>
              <w:keepNext w:val="0"/>
              <w:keepLines w:val="0"/>
              <w:widowControl/>
              <w:suppressLineNumbers w:val="0"/>
              <w:jc w:val="left"/>
              <w:textAlignment w:val="center"/>
              <w:rPr>
                <w:rFonts w:hint="eastAsia" w:ascii="宋体" w:hAnsi="宋体" w:cs="宋体"/>
                <w:color w:val="000000"/>
                <w:sz w:val="24"/>
              </w:rPr>
            </w:pPr>
            <w:r>
              <w:rPr>
                <w:rFonts w:hint="eastAsia" w:ascii="宋体" w:hAnsi="宋体" w:eastAsia="宋体" w:cs="宋体"/>
                <w:i w:val="0"/>
                <w:iCs w:val="0"/>
                <w:color w:val="000000"/>
                <w:kern w:val="0"/>
                <w:sz w:val="20"/>
                <w:szCs w:val="20"/>
                <w:u w:val="none"/>
                <w:lang w:val="en-US" w:eastAsia="zh-CN" w:bidi="ar"/>
              </w:rPr>
              <w:t>卫生监督协管信息报告率≥95%</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7671DD">
            <w:pPr>
              <w:keepNext w:val="0"/>
              <w:keepLines w:val="0"/>
              <w:widowControl/>
              <w:suppressLineNumbers w:val="0"/>
              <w:jc w:val="right"/>
              <w:textAlignment w:val="center"/>
              <w:rPr>
                <w:rFonts w:hint="eastAsia" w:ascii="宋体" w:hAnsi="宋体" w:cs="宋体"/>
                <w:color w:val="000000"/>
                <w:sz w:val="24"/>
              </w:rPr>
            </w:pPr>
            <w:r>
              <w:rPr>
                <w:rFonts w:hint="eastAsia" w:ascii="宋体" w:hAnsi="宋体" w:eastAsia="宋体" w:cs="宋体"/>
                <w:i w:val="0"/>
                <w:iCs w:val="0"/>
                <w:color w:val="000000"/>
                <w:kern w:val="0"/>
                <w:sz w:val="20"/>
                <w:szCs w:val="20"/>
                <w:u w:val="none"/>
                <w:lang w:val="en-US" w:eastAsia="zh-CN" w:bidi="ar"/>
              </w:rPr>
              <w:t>100%</w:t>
            </w:r>
          </w:p>
        </w:tc>
      </w:tr>
      <w:tr w14:paraId="42CA4BA1">
        <w:tblPrEx>
          <w:tblCellMar>
            <w:top w:w="0" w:type="dxa"/>
            <w:left w:w="0" w:type="dxa"/>
            <w:bottom w:w="0" w:type="dxa"/>
            <w:right w:w="0" w:type="dxa"/>
          </w:tblCellMar>
        </w:tblPrEx>
        <w:trPr>
          <w:trHeight w:val="544"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0D31D2CF">
            <w:pPr>
              <w:widowControl/>
              <w:jc w:val="center"/>
              <w:textAlignment w:val="center"/>
              <w:rPr>
                <w:rFonts w:hint="eastAsia" w:ascii="宋体" w:hAnsi="宋体" w:cs="宋体"/>
                <w:color w:val="000000"/>
                <w:sz w:val="24"/>
              </w:rPr>
            </w:pPr>
          </w:p>
        </w:tc>
        <w:tc>
          <w:tcPr>
            <w:tcW w:w="1512"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7413C0E5">
            <w:pPr>
              <w:widowControl/>
              <w:jc w:val="center"/>
              <w:textAlignment w:val="center"/>
              <w:rPr>
                <w:rFonts w:hint="eastAsia" w:ascii="宋体" w:hAnsi="宋体" w:cs="宋体"/>
                <w:color w:val="000000"/>
                <w:sz w:val="24"/>
              </w:rPr>
            </w:pPr>
          </w:p>
        </w:tc>
        <w:tc>
          <w:tcPr>
            <w:tcW w:w="1056"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390A767B">
            <w:pPr>
              <w:widowControl/>
              <w:jc w:val="center"/>
              <w:textAlignment w:val="center"/>
              <w:rPr>
                <w:rFonts w:hint="eastAsia" w:ascii="宋体" w:hAnsi="宋体" w:cs="宋体"/>
                <w:color w:val="000000"/>
                <w:sz w:val="24"/>
              </w:rPr>
            </w:pP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18CB89">
            <w:pPr>
              <w:keepNext w:val="0"/>
              <w:keepLines w:val="0"/>
              <w:widowControl/>
              <w:suppressLineNumbers w:val="0"/>
              <w:jc w:val="left"/>
              <w:textAlignment w:val="center"/>
              <w:rPr>
                <w:rFonts w:hint="eastAsia" w:ascii="宋体" w:hAnsi="宋体" w:cs="宋体"/>
                <w:color w:val="000000"/>
                <w:sz w:val="24"/>
              </w:rPr>
            </w:pPr>
            <w:r>
              <w:rPr>
                <w:rFonts w:hint="eastAsia" w:ascii="宋体" w:hAnsi="宋体" w:eastAsia="宋体" w:cs="宋体"/>
                <w:i w:val="0"/>
                <w:iCs w:val="0"/>
                <w:color w:val="000000"/>
                <w:kern w:val="0"/>
                <w:sz w:val="20"/>
                <w:szCs w:val="20"/>
                <w:u w:val="none"/>
                <w:lang w:val="en-US" w:eastAsia="zh-CN" w:bidi="ar"/>
              </w:rPr>
              <w:t>指标12：健康教育宣传。</w:t>
            </w: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BEAAE8">
            <w:pPr>
              <w:keepNext w:val="0"/>
              <w:keepLines w:val="0"/>
              <w:widowControl/>
              <w:suppressLineNumbers w:val="0"/>
              <w:jc w:val="left"/>
              <w:textAlignment w:val="center"/>
              <w:rPr>
                <w:rFonts w:hint="eastAsia" w:ascii="宋体" w:hAnsi="宋体" w:cs="宋体"/>
                <w:color w:val="000000"/>
                <w:sz w:val="24"/>
              </w:rPr>
            </w:pPr>
            <w:r>
              <w:rPr>
                <w:rFonts w:hint="eastAsia" w:ascii="宋体" w:hAnsi="宋体" w:eastAsia="宋体" w:cs="宋体"/>
                <w:i w:val="0"/>
                <w:iCs w:val="0"/>
                <w:color w:val="000000"/>
                <w:kern w:val="0"/>
                <w:sz w:val="20"/>
                <w:szCs w:val="20"/>
                <w:u w:val="none"/>
                <w:lang w:val="en-US" w:eastAsia="zh-CN" w:bidi="ar"/>
              </w:rPr>
              <w:t>以县为单位，群众的知晓率达到90%以上。</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01598B">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92.79%</w:t>
            </w:r>
          </w:p>
        </w:tc>
      </w:tr>
      <w:tr w14:paraId="110B5BCA">
        <w:tblPrEx>
          <w:tblCellMar>
            <w:top w:w="0" w:type="dxa"/>
            <w:left w:w="0" w:type="dxa"/>
            <w:bottom w:w="0" w:type="dxa"/>
            <w:right w:w="0" w:type="dxa"/>
          </w:tblCellMar>
        </w:tblPrEx>
        <w:trPr>
          <w:trHeight w:val="886"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628799A5">
            <w:pPr>
              <w:widowControl/>
              <w:jc w:val="center"/>
              <w:textAlignment w:val="center"/>
              <w:rPr>
                <w:rFonts w:ascii="宋体" w:hAnsi="宋体" w:cs="宋体"/>
                <w:color w:val="000000"/>
                <w:sz w:val="24"/>
              </w:rPr>
            </w:pPr>
          </w:p>
        </w:tc>
        <w:tc>
          <w:tcPr>
            <w:tcW w:w="151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7B9EDAC9">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56"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55A2992E">
            <w:pPr>
              <w:widowControl/>
              <w:jc w:val="center"/>
              <w:textAlignment w:val="center"/>
              <w:rPr>
                <w:rFonts w:ascii="宋体" w:hAnsi="宋体" w:cs="宋体"/>
                <w:color w:val="000000"/>
                <w:sz w:val="24"/>
              </w:rPr>
            </w:pPr>
            <w:r>
              <w:rPr>
                <w:rFonts w:hint="eastAsia" w:ascii="宋体" w:cs="宋体"/>
                <w:color w:val="000000"/>
                <w:sz w:val="24"/>
              </w:rPr>
              <w:t>质量指标</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0CC998">
            <w:pPr>
              <w:keepNext w:val="0"/>
              <w:keepLines w:val="0"/>
              <w:widowControl/>
              <w:suppressLineNumbers w:val="0"/>
              <w:jc w:val="left"/>
              <w:textAlignment w:val="center"/>
              <w:rPr>
                <w:rFonts w:ascii="宋体" w:hAnsi="宋体" w:cs="宋体"/>
                <w:color w:val="000000"/>
                <w:sz w:val="24"/>
              </w:rPr>
            </w:pPr>
            <w:r>
              <w:rPr>
                <w:rFonts w:hint="eastAsia" w:ascii="宋体" w:hAnsi="宋体" w:eastAsia="宋体" w:cs="宋体"/>
                <w:i w:val="0"/>
                <w:iCs w:val="0"/>
                <w:color w:val="000000"/>
                <w:kern w:val="0"/>
                <w:sz w:val="20"/>
                <w:szCs w:val="20"/>
                <w:u w:val="none"/>
                <w:lang w:val="en-US" w:eastAsia="zh-CN" w:bidi="ar"/>
              </w:rPr>
              <w:t>指标1：慢性病管理。</w:t>
            </w: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DC9F24">
            <w:pPr>
              <w:keepNext w:val="0"/>
              <w:keepLines w:val="0"/>
              <w:widowControl/>
              <w:suppressLineNumbers w:val="0"/>
              <w:jc w:val="left"/>
              <w:textAlignment w:val="center"/>
              <w:rPr>
                <w:rFonts w:ascii="宋体" w:hAnsi="宋体" w:cs="宋体"/>
                <w:color w:val="000000"/>
                <w:sz w:val="24"/>
              </w:rPr>
            </w:pPr>
            <w:r>
              <w:rPr>
                <w:rFonts w:hint="eastAsia" w:ascii="宋体" w:hAnsi="宋体" w:eastAsia="宋体" w:cs="宋体"/>
                <w:i w:val="0"/>
                <w:iCs w:val="0"/>
                <w:color w:val="000000"/>
                <w:kern w:val="0"/>
                <w:sz w:val="20"/>
                <w:szCs w:val="20"/>
                <w:u w:val="none"/>
                <w:lang w:val="en-US" w:eastAsia="zh-CN" w:bidi="ar"/>
              </w:rPr>
              <w:t>高血压患者规范管理率≥70%；糖尿病规范管理率≥60%。</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3EC241">
            <w:pPr>
              <w:keepNext w:val="0"/>
              <w:keepLines w:val="0"/>
              <w:widowControl/>
              <w:suppressLineNumbers w:val="0"/>
              <w:jc w:val="left"/>
              <w:textAlignment w:val="center"/>
              <w:rPr>
                <w:rFonts w:ascii="宋体" w:hAnsi="宋体" w:cs="宋体"/>
                <w:color w:val="000000"/>
                <w:sz w:val="24"/>
              </w:rPr>
            </w:pPr>
            <w:r>
              <w:rPr>
                <w:rFonts w:hint="eastAsia" w:ascii="宋体" w:hAnsi="宋体" w:eastAsia="宋体" w:cs="宋体"/>
                <w:i w:val="0"/>
                <w:iCs w:val="0"/>
                <w:color w:val="000000"/>
                <w:kern w:val="0"/>
                <w:sz w:val="20"/>
                <w:szCs w:val="20"/>
                <w:u w:val="none"/>
                <w:lang w:val="en-US" w:eastAsia="zh-CN" w:bidi="ar"/>
              </w:rPr>
              <w:t>高血压患者规范管理率≥87.5%，糖尿病规范管理率≥85.15%。</w:t>
            </w:r>
          </w:p>
        </w:tc>
      </w:tr>
      <w:tr w14:paraId="0BC6B919">
        <w:tblPrEx>
          <w:tblCellMar>
            <w:top w:w="0" w:type="dxa"/>
            <w:left w:w="0" w:type="dxa"/>
            <w:bottom w:w="0" w:type="dxa"/>
            <w:right w:w="0" w:type="dxa"/>
          </w:tblCellMar>
        </w:tblPrEx>
        <w:trPr>
          <w:trHeight w:val="3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2886C559">
            <w:pPr>
              <w:widowControl/>
              <w:jc w:val="center"/>
              <w:textAlignment w:val="center"/>
            </w:pPr>
          </w:p>
        </w:tc>
        <w:tc>
          <w:tcPr>
            <w:tcW w:w="1512" w:type="dxa"/>
            <w:vMerge w:val="continue"/>
            <w:tcBorders>
              <w:left w:val="single" w:color="000000" w:sz="4" w:space="0"/>
              <w:right w:val="single" w:color="000000" w:sz="4" w:space="0"/>
            </w:tcBorders>
            <w:tcMar>
              <w:top w:w="15" w:type="dxa"/>
              <w:left w:w="15" w:type="dxa"/>
              <w:right w:w="15" w:type="dxa"/>
            </w:tcMar>
            <w:vAlign w:val="center"/>
          </w:tcPr>
          <w:p w14:paraId="73A7869E">
            <w:pPr>
              <w:widowControl/>
              <w:jc w:val="center"/>
              <w:textAlignment w:val="center"/>
            </w:pPr>
          </w:p>
        </w:tc>
        <w:tc>
          <w:tcPr>
            <w:tcW w:w="1056" w:type="dxa"/>
            <w:vMerge w:val="continue"/>
            <w:tcBorders>
              <w:left w:val="single" w:color="000000" w:sz="4" w:space="0"/>
              <w:right w:val="single" w:color="000000" w:sz="4" w:space="0"/>
            </w:tcBorders>
            <w:tcMar>
              <w:top w:w="15" w:type="dxa"/>
              <w:left w:w="15" w:type="dxa"/>
              <w:right w:w="15" w:type="dxa"/>
            </w:tcMar>
            <w:vAlign w:val="center"/>
          </w:tcPr>
          <w:p w14:paraId="12EB757B">
            <w:pPr>
              <w:widowControl/>
              <w:jc w:val="center"/>
              <w:textAlignment w:val="center"/>
            </w:pP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768C00">
            <w:pPr>
              <w:keepNext w:val="0"/>
              <w:keepLines w:val="0"/>
              <w:widowControl/>
              <w:suppressLineNumbers w:val="0"/>
              <w:jc w:val="left"/>
              <w:textAlignment w:val="center"/>
              <w:rPr>
                <w:rFonts w:hint="eastAsia" w:ascii="宋体" w:cs="宋体"/>
                <w:color w:val="000000"/>
                <w:sz w:val="24"/>
              </w:rPr>
            </w:pPr>
            <w:r>
              <w:rPr>
                <w:rFonts w:hint="eastAsia" w:ascii="宋体" w:hAnsi="宋体" w:eastAsia="宋体" w:cs="宋体"/>
                <w:i w:val="0"/>
                <w:iCs w:val="0"/>
                <w:color w:val="000000"/>
                <w:kern w:val="0"/>
                <w:sz w:val="20"/>
                <w:szCs w:val="20"/>
                <w:u w:val="none"/>
                <w:lang w:val="en-US" w:eastAsia="zh-CN" w:bidi="ar"/>
              </w:rPr>
              <w:t>指标2：严重精神障碍患者管理。</w:t>
            </w: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E48762">
            <w:pPr>
              <w:keepNext w:val="0"/>
              <w:keepLines w:val="0"/>
              <w:widowControl/>
              <w:suppressLineNumbers w:val="0"/>
              <w:jc w:val="left"/>
              <w:textAlignment w:val="center"/>
              <w:rPr>
                <w:rFonts w:hint="eastAsia" w:ascii="宋体" w:cs="宋体"/>
                <w:color w:val="000000"/>
                <w:sz w:val="24"/>
              </w:rPr>
            </w:pPr>
            <w:r>
              <w:rPr>
                <w:rFonts w:hint="eastAsia" w:ascii="宋体" w:hAnsi="宋体" w:eastAsia="宋体" w:cs="宋体"/>
                <w:i w:val="0"/>
                <w:iCs w:val="0"/>
                <w:color w:val="000000"/>
                <w:kern w:val="0"/>
                <w:sz w:val="20"/>
                <w:szCs w:val="20"/>
                <w:u w:val="none"/>
                <w:lang w:val="en-US" w:eastAsia="zh-CN" w:bidi="ar"/>
              </w:rPr>
              <w:t>严重精神障碍患者规范化管理率≥85%。</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7F1088">
            <w:pPr>
              <w:keepNext w:val="0"/>
              <w:keepLines w:val="0"/>
              <w:widowControl/>
              <w:suppressLineNumbers w:val="0"/>
              <w:jc w:val="left"/>
              <w:textAlignment w:val="center"/>
              <w:rPr>
                <w:rFonts w:hint="eastAsia" w:ascii="宋体" w:cs="宋体"/>
                <w:color w:val="000000"/>
                <w:sz w:val="24"/>
              </w:rPr>
            </w:pPr>
            <w:r>
              <w:rPr>
                <w:rFonts w:hint="eastAsia" w:ascii="宋体" w:hAnsi="宋体" w:eastAsia="宋体" w:cs="宋体"/>
                <w:i w:val="0"/>
                <w:iCs w:val="0"/>
                <w:color w:val="000000"/>
                <w:kern w:val="0"/>
                <w:sz w:val="20"/>
                <w:szCs w:val="20"/>
                <w:u w:val="none"/>
                <w:lang w:val="en-US" w:eastAsia="zh-CN" w:bidi="ar"/>
              </w:rPr>
              <w:t>严重精神障碍患者规范化管理率为≥98.18%</w:t>
            </w:r>
          </w:p>
        </w:tc>
      </w:tr>
      <w:tr w14:paraId="28390E77">
        <w:tblPrEx>
          <w:tblCellMar>
            <w:top w:w="0" w:type="dxa"/>
            <w:left w:w="0" w:type="dxa"/>
            <w:bottom w:w="0" w:type="dxa"/>
            <w:right w:w="0" w:type="dxa"/>
          </w:tblCellMar>
        </w:tblPrEx>
        <w:trPr>
          <w:trHeight w:val="3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2C473D57">
            <w:pPr>
              <w:widowControl/>
              <w:jc w:val="center"/>
              <w:textAlignment w:val="center"/>
              <w:rPr>
                <w:rFonts w:hint="eastAsia" w:ascii="宋体" w:cs="宋体"/>
                <w:color w:val="000000"/>
                <w:sz w:val="24"/>
              </w:rPr>
            </w:pPr>
          </w:p>
        </w:tc>
        <w:tc>
          <w:tcPr>
            <w:tcW w:w="1512"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7141C33B">
            <w:pPr>
              <w:widowControl/>
              <w:jc w:val="center"/>
              <w:textAlignment w:val="center"/>
              <w:rPr>
                <w:rFonts w:hint="eastAsia" w:ascii="宋体" w:cs="宋体"/>
                <w:color w:val="000000"/>
                <w:sz w:val="24"/>
              </w:rPr>
            </w:pPr>
          </w:p>
        </w:tc>
        <w:tc>
          <w:tcPr>
            <w:tcW w:w="1056"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5FD361BE">
            <w:pPr>
              <w:widowControl/>
              <w:jc w:val="center"/>
              <w:textAlignment w:val="center"/>
              <w:rPr>
                <w:rFonts w:hint="eastAsia" w:ascii="宋体" w:cs="宋体"/>
                <w:color w:val="000000"/>
                <w:sz w:val="24"/>
              </w:rPr>
            </w:pP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521493">
            <w:pPr>
              <w:keepNext w:val="0"/>
              <w:keepLines w:val="0"/>
              <w:widowControl/>
              <w:suppressLineNumbers w:val="0"/>
              <w:jc w:val="left"/>
              <w:textAlignment w:val="center"/>
              <w:rPr>
                <w:rFonts w:hint="eastAsia" w:ascii="宋体" w:cs="宋体"/>
                <w:color w:val="000000"/>
                <w:sz w:val="24"/>
              </w:rPr>
            </w:pPr>
            <w:r>
              <w:rPr>
                <w:rFonts w:hint="eastAsia" w:ascii="宋体" w:hAnsi="宋体" w:eastAsia="宋体" w:cs="宋体"/>
                <w:i w:val="0"/>
                <w:iCs w:val="0"/>
                <w:color w:val="000000"/>
                <w:kern w:val="0"/>
                <w:sz w:val="20"/>
                <w:szCs w:val="20"/>
                <w:u w:val="none"/>
                <w:lang w:val="en-US" w:eastAsia="zh-CN" w:bidi="ar"/>
              </w:rPr>
              <w:t>指标3：肺结核患者健康管理。</w:t>
            </w: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423D66">
            <w:pPr>
              <w:keepNext w:val="0"/>
              <w:keepLines w:val="0"/>
              <w:widowControl/>
              <w:suppressLineNumbers w:val="0"/>
              <w:jc w:val="left"/>
              <w:textAlignment w:val="center"/>
              <w:rPr>
                <w:rFonts w:hint="eastAsia" w:ascii="宋体" w:cs="宋体"/>
                <w:color w:val="000000"/>
                <w:sz w:val="24"/>
              </w:rPr>
            </w:pPr>
            <w:r>
              <w:rPr>
                <w:rFonts w:hint="eastAsia" w:ascii="宋体" w:hAnsi="宋体" w:eastAsia="宋体" w:cs="宋体"/>
                <w:i w:val="0"/>
                <w:iCs w:val="0"/>
                <w:color w:val="000000"/>
                <w:kern w:val="0"/>
                <w:sz w:val="20"/>
                <w:szCs w:val="20"/>
                <w:u w:val="none"/>
                <w:lang w:val="en-US" w:eastAsia="zh-CN" w:bidi="ar"/>
              </w:rPr>
              <w:t>各级定点医疗机构确诊并通知基层医疗卫生机构管理的肺结核患者管理率≥90%。</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76048D">
            <w:pPr>
              <w:keepNext w:val="0"/>
              <w:keepLines w:val="0"/>
              <w:widowControl/>
              <w:suppressLineNumbers w:val="0"/>
              <w:jc w:val="left"/>
              <w:textAlignment w:val="center"/>
              <w:rPr>
                <w:rFonts w:hint="eastAsia" w:ascii="宋体" w:cs="宋体"/>
                <w:color w:val="000000"/>
                <w:sz w:val="24"/>
              </w:rPr>
            </w:pPr>
            <w:r>
              <w:rPr>
                <w:rFonts w:hint="eastAsia" w:ascii="宋体" w:hAnsi="宋体" w:eastAsia="宋体" w:cs="宋体"/>
                <w:i w:val="0"/>
                <w:iCs w:val="0"/>
                <w:color w:val="000000"/>
                <w:kern w:val="0"/>
                <w:sz w:val="20"/>
                <w:szCs w:val="20"/>
                <w:u w:val="none"/>
                <w:lang w:val="en-US" w:eastAsia="zh-CN" w:bidi="ar"/>
              </w:rPr>
              <w:t>管理率为≥100%</w:t>
            </w:r>
          </w:p>
        </w:tc>
      </w:tr>
      <w:tr w14:paraId="7FC45D4F">
        <w:tblPrEx>
          <w:tblCellMar>
            <w:top w:w="0" w:type="dxa"/>
            <w:left w:w="0" w:type="dxa"/>
            <w:bottom w:w="0" w:type="dxa"/>
            <w:right w:w="0" w:type="dxa"/>
          </w:tblCellMar>
        </w:tblPrEx>
        <w:trPr>
          <w:trHeight w:val="355"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327CF7A1">
            <w:pPr>
              <w:widowControl/>
              <w:jc w:val="center"/>
              <w:textAlignment w:val="center"/>
              <w:rPr>
                <w:rFonts w:ascii="宋体" w:hAnsi="宋体" w:cs="宋体"/>
                <w:color w:val="000000"/>
                <w:sz w:val="24"/>
              </w:rPr>
            </w:pPr>
          </w:p>
        </w:tc>
        <w:tc>
          <w:tcPr>
            <w:tcW w:w="151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45D661C9">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56"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99C8CAB">
            <w:pPr>
              <w:widowControl/>
              <w:jc w:val="center"/>
              <w:textAlignment w:val="center"/>
              <w:rPr>
                <w:rFonts w:ascii="宋体" w:hAnsi="宋体" w:cs="宋体"/>
                <w:color w:val="000000"/>
                <w:sz w:val="24"/>
              </w:rPr>
            </w:pPr>
            <w:r>
              <w:rPr>
                <w:rFonts w:hint="eastAsia" w:ascii="宋体" w:cs="宋体"/>
                <w:color w:val="000000"/>
                <w:sz w:val="24"/>
              </w:rPr>
              <w:t>时效指标</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C709D3">
            <w:pPr>
              <w:keepNext w:val="0"/>
              <w:keepLines w:val="0"/>
              <w:widowControl/>
              <w:suppressLineNumbers w:val="0"/>
              <w:jc w:val="left"/>
              <w:textAlignment w:val="center"/>
              <w:rPr>
                <w:rFonts w:ascii="宋体" w:hAnsi="宋体" w:cs="宋体"/>
                <w:color w:val="000000"/>
                <w:sz w:val="24"/>
              </w:rPr>
            </w:pPr>
            <w:r>
              <w:rPr>
                <w:rFonts w:hint="eastAsia" w:ascii="宋体" w:hAnsi="宋体" w:eastAsia="宋体" w:cs="宋体"/>
                <w:i w:val="0"/>
                <w:iCs w:val="0"/>
                <w:color w:val="000000"/>
                <w:kern w:val="0"/>
                <w:sz w:val="20"/>
                <w:szCs w:val="20"/>
                <w:u w:val="none"/>
                <w:lang w:val="en-US" w:eastAsia="zh-CN" w:bidi="ar"/>
              </w:rPr>
              <w:t>指标1：项目资金按要求及时拨付。</w:t>
            </w: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AE0215">
            <w:pPr>
              <w:keepNext w:val="0"/>
              <w:keepLines w:val="0"/>
              <w:widowControl/>
              <w:suppressLineNumbers w:val="0"/>
              <w:jc w:val="left"/>
              <w:textAlignment w:val="center"/>
              <w:rPr>
                <w:rFonts w:ascii="宋体" w:hAnsi="宋体" w:cs="宋体"/>
                <w:color w:val="000000"/>
                <w:sz w:val="24"/>
              </w:rPr>
            </w:pPr>
            <w:r>
              <w:rPr>
                <w:rFonts w:hint="eastAsia" w:ascii="宋体" w:hAnsi="宋体" w:eastAsia="宋体" w:cs="宋体"/>
                <w:i w:val="0"/>
                <w:iCs w:val="0"/>
                <w:color w:val="000000"/>
                <w:kern w:val="0"/>
                <w:sz w:val="20"/>
                <w:szCs w:val="20"/>
                <w:u w:val="none"/>
                <w:lang w:val="en-US" w:eastAsia="zh-CN" w:bidi="ar"/>
              </w:rPr>
              <w:t>在收到资金30日内完成拨付，6月30日前拨付进度达到31.26%，2021年4月30日前拨付进度达到100%。</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D53A75">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2020年6月份预拨村卫生室14.72万，2021年6月拨10.69万</w:t>
            </w:r>
          </w:p>
        </w:tc>
      </w:tr>
      <w:tr w14:paraId="2353FAF0">
        <w:tblPrEx>
          <w:tblCellMar>
            <w:top w:w="0" w:type="dxa"/>
            <w:left w:w="0" w:type="dxa"/>
            <w:bottom w:w="0" w:type="dxa"/>
            <w:right w:w="0" w:type="dxa"/>
          </w:tblCellMar>
        </w:tblPrEx>
        <w:trPr>
          <w:trHeight w:val="121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29930723">
            <w:pPr>
              <w:widowControl/>
              <w:jc w:val="center"/>
              <w:textAlignment w:val="center"/>
            </w:pPr>
          </w:p>
        </w:tc>
        <w:tc>
          <w:tcPr>
            <w:tcW w:w="1512" w:type="dxa"/>
            <w:vMerge w:val="continue"/>
            <w:tcBorders>
              <w:left w:val="single" w:color="000000" w:sz="4" w:space="0"/>
              <w:right w:val="single" w:color="000000" w:sz="4" w:space="0"/>
            </w:tcBorders>
            <w:tcMar>
              <w:top w:w="15" w:type="dxa"/>
              <w:left w:w="15" w:type="dxa"/>
              <w:right w:w="15" w:type="dxa"/>
            </w:tcMar>
            <w:vAlign w:val="center"/>
          </w:tcPr>
          <w:p w14:paraId="765B5E7F">
            <w:pPr>
              <w:widowControl/>
              <w:jc w:val="center"/>
              <w:textAlignment w:val="center"/>
            </w:pPr>
          </w:p>
        </w:tc>
        <w:tc>
          <w:tcPr>
            <w:tcW w:w="1056" w:type="dxa"/>
            <w:vMerge w:val="continue"/>
            <w:tcBorders>
              <w:left w:val="single" w:color="000000" w:sz="4" w:space="0"/>
              <w:right w:val="single" w:color="000000" w:sz="4" w:space="0"/>
            </w:tcBorders>
            <w:tcMar>
              <w:top w:w="15" w:type="dxa"/>
              <w:left w:w="15" w:type="dxa"/>
              <w:right w:w="15" w:type="dxa"/>
            </w:tcMar>
            <w:vAlign w:val="center"/>
          </w:tcPr>
          <w:p w14:paraId="5D6B766B">
            <w:pPr>
              <w:widowControl/>
              <w:jc w:val="center"/>
              <w:textAlignment w:val="center"/>
            </w:pP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65943C">
            <w:pPr>
              <w:keepNext w:val="0"/>
              <w:keepLines w:val="0"/>
              <w:widowControl/>
              <w:suppressLineNumbers w:val="0"/>
              <w:jc w:val="left"/>
              <w:textAlignment w:val="center"/>
              <w:rPr>
                <w:rFonts w:hint="eastAsia" w:ascii="宋体" w:cs="宋体"/>
                <w:color w:val="000000"/>
                <w:sz w:val="24"/>
              </w:rPr>
            </w:pPr>
            <w:r>
              <w:rPr>
                <w:rFonts w:hint="eastAsia" w:ascii="宋体" w:hAnsi="宋体" w:eastAsia="宋体" w:cs="宋体"/>
                <w:i w:val="0"/>
                <w:iCs w:val="0"/>
                <w:color w:val="000000"/>
                <w:kern w:val="0"/>
                <w:sz w:val="20"/>
                <w:szCs w:val="20"/>
                <w:u w:val="none"/>
                <w:lang w:val="en-US" w:eastAsia="zh-CN" w:bidi="ar"/>
              </w:rPr>
              <w:t>指标2：按时完成半年、年终绩效考核，开展绩效评价。</w:t>
            </w: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C770D8">
            <w:pPr>
              <w:keepNext w:val="0"/>
              <w:keepLines w:val="0"/>
              <w:widowControl/>
              <w:suppressLineNumbers w:val="0"/>
              <w:jc w:val="left"/>
              <w:textAlignment w:val="center"/>
              <w:rPr>
                <w:rFonts w:hint="eastAsia" w:ascii="宋体" w:cs="宋体"/>
                <w:color w:val="000000"/>
                <w:sz w:val="24"/>
              </w:rPr>
            </w:pPr>
            <w:r>
              <w:rPr>
                <w:rFonts w:hint="eastAsia" w:ascii="宋体" w:hAnsi="宋体" w:eastAsia="宋体" w:cs="宋体"/>
                <w:i w:val="0"/>
                <w:iCs w:val="0"/>
                <w:color w:val="000000"/>
                <w:kern w:val="0"/>
                <w:sz w:val="20"/>
                <w:szCs w:val="20"/>
                <w:u w:val="none"/>
                <w:lang w:val="en-US" w:eastAsia="zh-CN" w:bidi="ar"/>
              </w:rPr>
              <w:t>完成半年、年终绩效考核</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E47B8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6月1-15日，开展村卫生室半年考核。</w:t>
            </w:r>
          </w:p>
          <w:p w14:paraId="3D6ADB47">
            <w:pPr>
              <w:keepNext w:val="0"/>
              <w:keepLines w:val="0"/>
              <w:widowControl/>
              <w:suppressLineNumbers w:val="0"/>
              <w:jc w:val="left"/>
              <w:textAlignment w:val="center"/>
              <w:rPr>
                <w:rFonts w:hint="eastAsia" w:ascii="宋体" w:cs="宋体"/>
                <w:color w:val="000000"/>
                <w:sz w:val="24"/>
              </w:rPr>
            </w:pPr>
            <w:r>
              <w:rPr>
                <w:rFonts w:hint="eastAsia" w:ascii="宋体" w:hAnsi="宋体" w:eastAsia="宋体" w:cs="宋体"/>
                <w:i w:val="0"/>
                <w:iCs w:val="0"/>
                <w:color w:val="000000"/>
                <w:kern w:val="0"/>
                <w:sz w:val="20"/>
                <w:szCs w:val="20"/>
                <w:u w:val="none"/>
                <w:lang w:val="en-US" w:eastAsia="zh-CN" w:bidi="ar"/>
              </w:rPr>
              <w:t>12月12-28日，开展村卫生室年终考核。</w:t>
            </w:r>
          </w:p>
        </w:tc>
      </w:tr>
      <w:tr w14:paraId="09B8B638">
        <w:tblPrEx>
          <w:tblCellMar>
            <w:top w:w="0" w:type="dxa"/>
            <w:left w:w="0" w:type="dxa"/>
            <w:bottom w:w="0" w:type="dxa"/>
            <w:right w:w="0" w:type="dxa"/>
          </w:tblCellMar>
        </w:tblPrEx>
        <w:trPr>
          <w:trHeight w:val="355"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2BA60A9D">
            <w:pPr>
              <w:widowControl/>
              <w:jc w:val="center"/>
              <w:textAlignment w:val="center"/>
              <w:rPr>
                <w:rFonts w:hint="eastAsia" w:ascii="宋体" w:cs="宋体"/>
                <w:color w:val="000000"/>
                <w:sz w:val="24"/>
              </w:rPr>
            </w:pPr>
          </w:p>
        </w:tc>
        <w:tc>
          <w:tcPr>
            <w:tcW w:w="1512"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1A3BCA26">
            <w:pPr>
              <w:widowControl/>
              <w:jc w:val="center"/>
              <w:textAlignment w:val="center"/>
              <w:rPr>
                <w:rFonts w:hint="eastAsia" w:ascii="宋体" w:cs="宋体"/>
                <w:color w:val="000000"/>
                <w:sz w:val="24"/>
              </w:rPr>
            </w:pPr>
          </w:p>
        </w:tc>
        <w:tc>
          <w:tcPr>
            <w:tcW w:w="1056"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76CF72B6">
            <w:pPr>
              <w:widowControl/>
              <w:jc w:val="center"/>
              <w:textAlignment w:val="center"/>
              <w:rPr>
                <w:rFonts w:hint="eastAsia" w:ascii="宋体" w:cs="宋体"/>
                <w:color w:val="000000"/>
                <w:sz w:val="24"/>
              </w:rPr>
            </w:pP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6FC307">
            <w:pPr>
              <w:keepNext w:val="0"/>
              <w:keepLines w:val="0"/>
              <w:widowControl/>
              <w:suppressLineNumbers w:val="0"/>
              <w:jc w:val="left"/>
              <w:textAlignment w:val="center"/>
              <w:rPr>
                <w:rFonts w:hint="eastAsia" w:ascii="宋体" w:cs="宋体"/>
                <w:color w:val="000000"/>
                <w:sz w:val="24"/>
              </w:rPr>
            </w:pPr>
            <w:r>
              <w:rPr>
                <w:rFonts w:hint="eastAsia" w:ascii="宋体" w:hAnsi="宋体" w:eastAsia="宋体" w:cs="宋体"/>
                <w:i w:val="0"/>
                <w:iCs w:val="0"/>
                <w:color w:val="000000"/>
                <w:kern w:val="0"/>
                <w:sz w:val="20"/>
                <w:szCs w:val="20"/>
                <w:u w:val="none"/>
                <w:lang w:val="en-US" w:eastAsia="zh-CN" w:bidi="ar"/>
              </w:rPr>
              <w:t>指标3：基本公共卫生服务项目按月推进完成。</w:t>
            </w: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00F9EA">
            <w:pPr>
              <w:keepNext w:val="0"/>
              <w:keepLines w:val="0"/>
              <w:widowControl/>
              <w:suppressLineNumbers w:val="0"/>
              <w:jc w:val="left"/>
              <w:textAlignment w:val="center"/>
              <w:rPr>
                <w:rFonts w:hint="eastAsia" w:ascii="宋体" w:cs="宋体"/>
                <w:color w:val="000000"/>
                <w:sz w:val="24"/>
              </w:rPr>
            </w:pPr>
            <w:r>
              <w:rPr>
                <w:rFonts w:hint="eastAsia" w:ascii="宋体" w:hAnsi="宋体" w:eastAsia="宋体" w:cs="宋体"/>
                <w:i w:val="0"/>
                <w:iCs w:val="0"/>
                <w:color w:val="000000"/>
                <w:kern w:val="0"/>
                <w:sz w:val="20"/>
                <w:szCs w:val="20"/>
                <w:u w:val="none"/>
                <w:lang w:val="en-US" w:eastAsia="zh-CN" w:bidi="ar"/>
              </w:rPr>
              <w:t>以基本公共卫生月报表进度为准。</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00157A">
            <w:pPr>
              <w:keepNext w:val="0"/>
              <w:keepLines w:val="0"/>
              <w:widowControl/>
              <w:suppressLineNumbers w:val="0"/>
              <w:jc w:val="both"/>
              <w:textAlignment w:val="center"/>
              <w:rPr>
                <w:rFonts w:hint="eastAsia" w:ascii="宋体" w:cs="宋体"/>
                <w:color w:val="000000"/>
                <w:sz w:val="24"/>
              </w:rPr>
            </w:pPr>
            <w:r>
              <w:rPr>
                <w:rFonts w:hint="eastAsia" w:ascii="宋体" w:hAnsi="宋体" w:eastAsia="宋体" w:cs="宋体"/>
                <w:i w:val="0"/>
                <w:iCs w:val="0"/>
                <w:color w:val="000000"/>
                <w:kern w:val="0"/>
                <w:sz w:val="20"/>
                <w:szCs w:val="20"/>
                <w:u w:val="none"/>
                <w:lang w:val="en-US" w:eastAsia="zh-CN" w:bidi="ar"/>
              </w:rPr>
              <w:t>按时报送，按月推进</w:t>
            </w:r>
          </w:p>
        </w:tc>
      </w:tr>
      <w:tr w14:paraId="58EACACE">
        <w:tblPrEx>
          <w:tblCellMar>
            <w:top w:w="0" w:type="dxa"/>
            <w:left w:w="0" w:type="dxa"/>
            <w:bottom w:w="0" w:type="dxa"/>
            <w:right w:w="0" w:type="dxa"/>
          </w:tblCellMar>
        </w:tblPrEx>
        <w:trPr>
          <w:trHeight w:val="90"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E0CF019">
            <w:pPr>
              <w:widowControl/>
              <w:jc w:val="center"/>
              <w:textAlignment w:val="center"/>
              <w:rPr>
                <w:rFonts w:ascii="宋体" w:hAnsi="宋体" w:cs="宋体"/>
                <w:color w:val="000000"/>
                <w:sz w:val="24"/>
              </w:rPr>
            </w:pPr>
          </w:p>
        </w:tc>
        <w:tc>
          <w:tcPr>
            <w:tcW w:w="15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60F9D0">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3EDA6C">
            <w:pPr>
              <w:widowControl/>
              <w:jc w:val="center"/>
              <w:textAlignment w:val="center"/>
              <w:rPr>
                <w:rFonts w:ascii="宋体" w:hAnsi="宋体" w:cs="宋体"/>
                <w:color w:val="000000"/>
                <w:sz w:val="24"/>
              </w:rPr>
            </w:pPr>
            <w:r>
              <w:rPr>
                <w:rFonts w:hint="eastAsia" w:ascii="宋体" w:cs="宋体"/>
                <w:color w:val="000000"/>
                <w:sz w:val="24"/>
              </w:rPr>
              <w:t>成本指标</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470A1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按基本公共卫生项目进行分摊投资</w:t>
            </w: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2FA57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45.99</w:t>
            </w:r>
            <w:r>
              <w:rPr>
                <w:rFonts w:hint="eastAsia" w:ascii="宋体" w:hAnsi="宋体" w:eastAsia="宋体" w:cs="宋体"/>
                <w:i w:val="0"/>
                <w:iCs w:val="0"/>
                <w:color w:val="000000"/>
                <w:kern w:val="0"/>
                <w:sz w:val="20"/>
                <w:szCs w:val="20"/>
                <w:u w:val="none"/>
                <w:lang w:val="en-US" w:eastAsia="zh-CN" w:bidi="ar"/>
              </w:rPr>
              <w:t>万元</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F6DD3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45.99</w:t>
            </w:r>
            <w:r>
              <w:rPr>
                <w:rFonts w:hint="eastAsia" w:ascii="宋体" w:hAnsi="宋体" w:eastAsia="宋体" w:cs="宋体"/>
                <w:i w:val="0"/>
                <w:iCs w:val="0"/>
                <w:color w:val="000000"/>
                <w:kern w:val="0"/>
                <w:sz w:val="20"/>
                <w:szCs w:val="20"/>
                <w:u w:val="none"/>
                <w:lang w:val="en-US" w:eastAsia="zh-CN" w:bidi="ar"/>
              </w:rPr>
              <w:t>万元</w:t>
            </w:r>
          </w:p>
        </w:tc>
      </w:tr>
      <w:tr w14:paraId="32F75D26">
        <w:tblPrEx>
          <w:tblCellMar>
            <w:top w:w="0" w:type="dxa"/>
            <w:left w:w="0" w:type="dxa"/>
            <w:bottom w:w="0" w:type="dxa"/>
            <w:right w:w="0" w:type="dxa"/>
          </w:tblCellMar>
        </w:tblPrEx>
        <w:trPr>
          <w:trHeight w:val="62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01E016D">
            <w:pPr>
              <w:widowControl/>
              <w:jc w:val="center"/>
              <w:textAlignment w:val="center"/>
              <w:rPr>
                <w:rFonts w:ascii="宋体" w:hAnsi="宋体" w:cs="宋体"/>
                <w:color w:val="000000"/>
                <w:sz w:val="24"/>
              </w:rPr>
            </w:pPr>
          </w:p>
        </w:tc>
        <w:tc>
          <w:tcPr>
            <w:tcW w:w="15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3E4A41">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5FB940">
            <w:pPr>
              <w:widowControl/>
              <w:jc w:val="center"/>
              <w:textAlignment w:val="center"/>
              <w:rPr>
                <w:rFonts w:ascii="宋体" w:hAnsi="宋体" w:cs="宋体"/>
                <w:color w:val="000000"/>
                <w:sz w:val="24"/>
              </w:rPr>
            </w:pPr>
            <w:r>
              <w:rPr>
                <w:rFonts w:hint="eastAsia" w:ascii="宋体" w:cs="宋体"/>
                <w:color w:val="000000"/>
                <w:sz w:val="24"/>
              </w:rPr>
              <w:t>经济效益指标</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30DC8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免费服务</w:t>
            </w: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4C348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严格按文件执行</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27EAA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完成</w:t>
            </w:r>
          </w:p>
        </w:tc>
      </w:tr>
      <w:tr w14:paraId="4EAF9DD8">
        <w:tblPrEx>
          <w:tblCellMar>
            <w:top w:w="0" w:type="dxa"/>
            <w:left w:w="0" w:type="dxa"/>
            <w:bottom w:w="0" w:type="dxa"/>
            <w:right w:w="0" w:type="dxa"/>
          </w:tblCellMar>
        </w:tblPrEx>
        <w:trPr>
          <w:trHeight w:val="759"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7739B6AE">
            <w:pPr>
              <w:widowControl/>
              <w:jc w:val="center"/>
              <w:textAlignment w:val="center"/>
              <w:rPr>
                <w:rFonts w:ascii="宋体" w:hAnsi="宋体" w:cs="宋体"/>
                <w:color w:val="000000"/>
                <w:sz w:val="24"/>
              </w:rPr>
            </w:pPr>
          </w:p>
        </w:tc>
        <w:tc>
          <w:tcPr>
            <w:tcW w:w="15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35D225">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D09F0A">
            <w:pPr>
              <w:widowControl/>
              <w:jc w:val="center"/>
              <w:textAlignment w:val="center"/>
              <w:rPr>
                <w:rFonts w:ascii="宋体" w:hAnsi="宋体" w:cs="宋体"/>
                <w:color w:val="000000"/>
                <w:sz w:val="24"/>
              </w:rPr>
            </w:pPr>
            <w:r>
              <w:rPr>
                <w:rFonts w:hint="eastAsia" w:ascii="宋体" w:cs="宋体"/>
                <w:color w:val="000000"/>
                <w:sz w:val="24"/>
              </w:rPr>
              <w:t>社会效益指标</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4B8B0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免费为</w:t>
            </w:r>
            <w:r>
              <w:rPr>
                <w:rFonts w:hint="eastAsia" w:ascii="宋体" w:hAnsi="宋体" w:cs="宋体"/>
                <w:i w:val="0"/>
                <w:iCs w:val="0"/>
                <w:color w:val="000000"/>
                <w:kern w:val="0"/>
                <w:sz w:val="20"/>
                <w:szCs w:val="20"/>
                <w:u w:val="none"/>
                <w:lang w:val="en-US" w:eastAsia="zh-CN" w:bidi="ar"/>
              </w:rPr>
              <w:t>6660</w:t>
            </w:r>
            <w:r>
              <w:rPr>
                <w:rFonts w:hint="eastAsia" w:ascii="宋体" w:hAnsi="宋体" w:eastAsia="宋体" w:cs="宋体"/>
                <w:i w:val="0"/>
                <w:iCs w:val="0"/>
                <w:color w:val="000000"/>
                <w:kern w:val="0"/>
                <w:sz w:val="20"/>
                <w:szCs w:val="20"/>
                <w:u w:val="none"/>
                <w:lang w:val="en-US" w:eastAsia="zh-CN" w:bidi="ar"/>
              </w:rPr>
              <w:t>人提供公共卫生服务</w:t>
            </w: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7A56F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完成</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2E694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完成</w:t>
            </w:r>
          </w:p>
        </w:tc>
      </w:tr>
      <w:tr w14:paraId="3E5ADDE1">
        <w:tblPrEx>
          <w:tblCellMar>
            <w:top w:w="0" w:type="dxa"/>
            <w:left w:w="0" w:type="dxa"/>
            <w:bottom w:w="0" w:type="dxa"/>
            <w:right w:w="0" w:type="dxa"/>
          </w:tblCellMar>
        </w:tblPrEx>
        <w:trPr>
          <w:trHeight w:val="635"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6355439C">
            <w:pPr>
              <w:widowControl/>
              <w:jc w:val="center"/>
              <w:textAlignment w:val="center"/>
              <w:rPr>
                <w:rFonts w:ascii="宋体" w:hAnsi="宋体" w:cs="宋体"/>
                <w:color w:val="000000"/>
                <w:sz w:val="24"/>
              </w:rPr>
            </w:pPr>
          </w:p>
        </w:tc>
        <w:tc>
          <w:tcPr>
            <w:tcW w:w="15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F04F21">
            <w:pPr>
              <w:widowControl/>
              <w:jc w:val="center"/>
              <w:textAlignment w:val="center"/>
              <w:rPr>
                <w:rFonts w:ascii="宋体" w:hAnsi="宋体" w:cs="宋体"/>
                <w:color w:val="000000"/>
                <w:kern w:val="0"/>
                <w:sz w:val="24"/>
              </w:rPr>
            </w:pPr>
            <w:r>
              <w:rPr>
                <w:rFonts w:hint="eastAsia" w:ascii="宋体" w:hAnsi="宋体" w:cs="宋体"/>
                <w:color w:val="000000"/>
                <w:kern w:val="0"/>
                <w:sz w:val="24"/>
              </w:rPr>
              <w:t>效益指标</w:t>
            </w:r>
          </w:p>
        </w:tc>
        <w:tc>
          <w:tcPr>
            <w:tcW w:w="10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506D0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cs="宋体"/>
                <w:color w:val="000000"/>
                <w:sz w:val="24"/>
                <w:lang w:val="en-US" w:eastAsia="zh-CN"/>
              </w:rPr>
              <w:t>生态效益指标</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EF0D9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进一步提高我乡村民健康水平</w:t>
            </w: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2FFCD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完成</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FC32C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完成</w:t>
            </w:r>
          </w:p>
        </w:tc>
      </w:tr>
      <w:tr w14:paraId="5096F727">
        <w:tblPrEx>
          <w:tblCellMar>
            <w:top w:w="0" w:type="dxa"/>
            <w:left w:w="0" w:type="dxa"/>
            <w:bottom w:w="0" w:type="dxa"/>
            <w:right w:w="0" w:type="dxa"/>
          </w:tblCellMar>
        </w:tblPrEx>
        <w:trPr>
          <w:trHeight w:val="630"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103738EC">
            <w:pPr>
              <w:widowControl/>
              <w:jc w:val="center"/>
              <w:textAlignment w:val="center"/>
              <w:rPr>
                <w:rFonts w:ascii="宋体" w:hAnsi="宋体" w:cs="宋体"/>
                <w:color w:val="000000"/>
                <w:sz w:val="24"/>
              </w:rPr>
            </w:pPr>
          </w:p>
        </w:tc>
        <w:tc>
          <w:tcPr>
            <w:tcW w:w="15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EEBE10">
            <w:pPr>
              <w:widowControl/>
              <w:jc w:val="center"/>
              <w:textAlignment w:val="center"/>
              <w:rPr>
                <w:rFonts w:ascii="宋体" w:hAnsi="宋体" w:cs="宋体"/>
                <w:color w:val="000000"/>
                <w:kern w:val="0"/>
                <w:sz w:val="24"/>
              </w:rPr>
            </w:pPr>
            <w:r>
              <w:rPr>
                <w:rFonts w:hint="eastAsia" w:ascii="宋体" w:hAnsi="宋体" w:cs="宋体"/>
                <w:color w:val="000000"/>
                <w:kern w:val="0"/>
                <w:sz w:val="24"/>
              </w:rPr>
              <w:t>效益指标</w:t>
            </w:r>
          </w:p>
        </w:tc>
        <w:tc>
          <w:tcPr>
            <w:tcW w:w="10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F19D8C">
            <w:pPr>
              <w:widowControl/>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可持续影响指标</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4BEB8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提高村民健康质量</w:t>
            </w: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F3DE6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完成</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4A90C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完成</w:t>
            </w:r>
          </w:p>
        </w:tc>
      </w:tr>
      <w:tr w14:paraId="4A480F34">
        <w:tblPrEx>
          <w:tblCellMar>
            <w:top w:w="0" w:type="dxa"/>
            <w:left w:w="0" w:type="dxa"/>
            <w:bottom w:w="0" w:type="dxa"/>
            <w:right w:w="0" w:type="dxa"/>
          </w:tblCellMar>
        </w:tblPrEx>
        <w:trPr>
          <w:trHeight w:val="355"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1C81D07F">
            <w:pPr>
              <w:widowControl/>
              <w:jc w:val="center"/>
              <w:textAlignment w:val="center"/>
              <w:rPr>
                <w:rFonts w:ascii="宋体" w:hAnsi="宋体" w:cs="宋体"/>
                <w:color w:val="000000"/>
                <w:sz w:val="24"/>
              </w:rPr>
            </w:pPr>
          </w:p>
        </w:tc>
        <w:tc>
          <w:tcPr>
            <w:tcW w:w="151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7F7665F">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56"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55CE47A6">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lang w:val="en-US" w:eastAsia="zh-CN"/>
              </w:rPr>
              <w:t>服务对象满意度指标</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5F4A70">
            <w:pPr>
              <w:keepNext w:val="0"/>
              <w:keepLines w:val="0"/>
              <w:widowControl/>
              <w:suppressLineNumbers w:val="0"/>
              <w:jc w:val="left"/>
              <w:textAlignment w:val="center"/>
              <w:rPr>
                <w:rFonts w:ascii="宋体" w:hAnsi="宋体" w:cs="宋体"/>
                <w:color w:val="000000"/>
                <w:sz w:val="24"/>
              </w:rPr>
            </w:pPr>
            <w:r>
              <w:rPr>
                <w:rFonts w:hint="eastAsia" w:ascii="宋体" w:hAnsi="宋体" w:eastAsia="宋体" w:cs="宋体"/>
                <w:i w:val="0"/>
                <w:iCs w:val="0"/>
                <w:color w:val="000000"/>
                <w:kern w:val="0"/>
                <w:sz w:val="20"/>
                <w:szCs w:val="20"/>
                <w:u w:val="none"/>
                <w:lang w:val="en-US" w:eastAsia="zh-CN" w:bidi="ar"/>
              </w:rPr>
              <w:t>指标1：重点人群满意度。</w:t>
            </w: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DA438B">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0"/>
                <w:szCs w:val="20"/>
                <w:u w:val="none"/>
                <w:lang w:val="en-US" w:eastAsia="zh-CN" w:bidi="ar"/>
              </w:rPr>
              <w:t>≥90</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669FD0">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0"/>
                <w:szCs w:val="20"/>
                <w:u w:val="none"/>
                <w:lang w:val="en-US" w:eastAsia="zh-CN" w:bidi="ar"/>
              </w:rPr>
              <w:t>99.20%</w:t>
            </w:r>
          </w:p>
        </w:tc>
      </w:tr>
      <w:tr w14:paraId="467B1FE7">
        <w:tblPrEx>
          <w:tblCellMar>
            <w:top w:w="0" w:type="dxa"/>
            <w:left w:w="0" w:type="dxa"/>
            <w:bottom w:w="0" w:type="dxa"/>
            <w:right w:w="0" w:type="dxa"/>
          </w:tblCellMar>
        </w:tblPrEx>
        <w:trPr>
          <w:trHeight w:val="355"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7AAC09DF">
            <w:pPr>
              <w:widowControl/>
              <w:jc w:val="center"/>
              <w:textAlignment w:val="center"/>
            </w:pPr>
          </w:p>
        </w:tc>
        <w:tc>
          <w:tcPr>
            <w:tcW w:w="1512" w:type="dxa"/>
            <w:vMerge w:val="continue"/>
            <w:tcBorders>
              <w:left w:val="single" w:color="000000" w:sz="4" w:space="0"/>
              <w:right w:val="single" w:color="000000" w:sz="4" w:space="0"/>
            </w:tcBorders>
            <w:tcMar>
              <w:top w:w="15" w:type="dxa"/>
              <w:left w:w="15" w:type="dxa"/>
              <w:right w:w="15" w:type="dxa"/>
            </w:tcMar>
            <w:vAlign w:val="center"/>
          </w:tcPr>
          <w:p w14:paraId="1F599878">
            <w:pPr>
              <w:widowControl/>
              <w:jc w:val="center"/>
              <w:textAlignment w:val="center"/>
            </w:pPr>
          </w:p>
        </w:tc>
        <w:tc>
          <w:tcPr>
            <w:tcW w:w="1056" w:type="dxa"/>
            <w:vMerge w:val="continue"/>
            <w:tcBorders>
              <w:left w:val="single" w:color="000000" w:sz="4" w:space="0"/>
              <w:right w:val="single" w:color="000000" w:sz="4" w:space="0"/>
            </w:tcBorders>
            <w:tcMar>
              <w:top w:w="15" w:type="dxa"/>
              <w:left w:w="15" w:type="dxa"/>
              <w:right w:w="15" w:type="dxa"/>
            </w:tcMar>
            <w:vAlign w:val="center"/>
          </w:tcPr>
          <w:p w14:paraId="4D6E12CC">
            <w:pPr>
              <w:widowControl/>
              <w:jc w:val="center"/>
              <w:textAlignment w:val="center"/>
            </w:pP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10C799">
            <w:pPr>
              <w:keepNext w:val="0"/>
              <w:keepLines w:val="0"/>
              <w:widowControl/>
              <w:suppressLineNumbers w:val="0"/>
              <w:jc w:val="left"/>
              <w:textAlignment w:val="center"/>
              <w:rPr>
                <w:rFonts w:hint="eastAsia" w:ascii="宋体" w:cs="宋体"/>
                <w:color w:val="000000"/>
                <w:sz w:val="24"/>
              </w:rPr>
            </w:pPr>
            <w:r>
              <w:rPr>
                <w:rFonts w:hint="eastAsia" w:ascii="宋体" w:hAnsi="宋体" w:eastAsia="宋体" w:cs="宋体"/>
                <w:i w:val="0"/>
                <w:iCs w:val="0"/>
                <w:color w:val="000000"/>
                <w:kern w:val="0"/>
                <w:sz w:val="20"/>
                <w:szCs w:val="20"/>
                <w:u w:val="none"/>
                <w:lang w:val="en-US" w:eastAsia="zh-CN" w:bidi="ar"/>
              </w:rPr>
              <w:t>指标2：群众参与率。</w:t>
            </w: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8F5F07">
            <w:pPr>
              <w:keepNext w:val="0"/>
              <w:keepLines w:val="0"/>
              <w:widowControl/>
              <w:suppressLineNumbers w:val="0"/>
              <w:jc w:val="center"/>
              <w:textAlignment w:val="center"/>
              <w:rPr>
                <w:rFonts w:hint="eastAsia" w:ascii="宋体" w:cs="宋体"/>
                <w:color w:val="000000"/>
                <w:sz w:val="24"/>
              </w:rPr>
            </w:pPr>
            <w:r>
              <w:rPr>
                <w:rFonts w:hint="eastAsia" w:ascii="宋体" w:hAnsi="宋体" w:eastAsia="宋体" w:cs="宋体"/>
                <w:i w:val="0"/>
                <w:iCs w:val="0"/>
                <w:color w:val="000000"/>
                <w:kern w:val="0"/>
                <w:sz w:val="20"/>
                <w:szCs w:val="20"/>
                <w:u w:val="none"/>
                <w:lang w:val="en-US" w:eastAsia="zh-CN" w:bidi="ar"/>
              </w:rPr>
              <w:t>≥95</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FE03BA">
            <w:pPr>
              <w:keepNext w:val="0"/>
              <w:keepLines w:val="0"/>
              <w:widowControl/>
              <w:suppressLineNumbers w:val="0"/>
              <w:jc w:val="center"/>
              <w:textAlignment w:val="center"/>
              <w:rPr>
                <w:rFonts w:hint="eastAsia" w:ascii="宋体" w:cs="宋体"/>
                <w:color w:val="000000"/>
                <w:sz w:val="24"/>
              </w:rPr>
            </w:pPr>
            <w:r>
              <w:rPr>
                <w:rFonts w:hint="eastAsia" w:ascii="宋体" w:hAnsi="宋体" w:eastAsia="宋体" w:cs="宋体"/>
                <w:i w:val="0"/>
                <w:iCs w:val="0"/>
                <w:color w:val="000000"/>
                <w:kern w:val="0"/>
                <w:sz w:val="20"/>
                <w:szCs w:val="20"/>
                <w:u w:val="none"/>
                <w:lang w:val="en-US" w:eastAsia="zh-CN" w:bidi="ar"/>
              </w:rPr>
              <w:t>92.30%</w:t>
            </w:r>
          </w:p>
        </w:tc>
      </w:tr>
      <w:tr w14:paraId="14CEE703">
        <w:tblPrEx>
          <w:tblCellMar>
            <w:top w:w="0" w:type="dxa"/>
            <w:left w:w="0" w:type="dxa"/>
            <w:bottom w:w="0" w:type="dxa"/>
            <w:right w:w="0" w:type="dxa"/>
          </w:tblCellMar>
        </w:tblPrEx>
        <w:trPr>
          <w:trHeight w:val="355"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6EC77267">
            <w:pPr>
              <w:widowControl/>
              <w:jc w:val="center"/>
              <w:textAlignment w:val="center"/>
              <w:rPr>
                <w:rFonts w:hint="eastAsia" w:ascii="宋体" w:cs="宋体"/>
                <w:color w:val="000000"/>
                <w:sz w:val="24"/>
              </w:rPr>
            </w:pPr>
          </w:p>
        </w:tc>
        <w:tc>
          <w:tcPr>
            <w:tcW w:w="1512"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15AD289D">
            <w:pPr>
              <w:widowControl/>
              <w:jc w:val="center"/>
              <w:textAlignment w:val="center"/>
              <w:rPr>
                <w:rFonts w:hint="eastAsia" w:ascii="宋体" w:cs="宋体"/>
                <w:color w:val="000000"/>
                <w:sz w:val="24"/>
              </w:rPr>
            </w:pPr>
          </w:p>
        </w:tc>
        <w:tc>
          <w:tcPr>
            <w:tcW w:w="1056"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49DF5CCF">
            <w:pPr>
              <w:widowControl/>
              <w:jc w:val="center"/>
              <w:textAlignment w:val="center"/>
              <w:rPr>
                <w:rFonts w:hint="eastAsia" w:ascii="宋体" w:cs="宋体"/>
                <w:color w:val="000000"/>
                <w:sz w:val="24"/>
              </w:rPr>
            </w:pP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024DEB">
            <w:pPr>
              <w:keepNext w:val="0"/>
              <w:keepLines w:val="0"/>
              <w:widowControl/>
              <w:suppressLineNumbers w:val="0"/>
              <w:jc w:val="left"/>
              <w:textAlignment w:val="center"/>
              <w:rPr>
                <w:rFonts w:hint="eastAsia" w:ascii="宋体" w:cs="宋体"/>
                <w:color w:val="000000"/>
                <w:sz w:val="24"/>
              </w:rPr>
            </w:pPr>
            <w:r>
              <w:rPr>
                <w:rFonts w:hint="eastAsia" w:ascii="宋体" w:hAnsi="宋体" w:eastAsia="宋体" w:cs="宋体"/>
                <w:i w:val="0"/>
                <w:iCs w:val="0"/>
                <w:color w:val="000000"/>
                <w:kern w:val="0"/>
                <w:sz w:val="20"/>
                <w:szCs w:val="20"/>
                <w:u w:val="none"/>
                <w:lang w:val="en-US" w:eastAsia="zh-CN" w:bidi="ar"/>
              </w:rPr>
              <w:t>指标3：群众知晓率。</w:t>
            </w: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4AA64B">
            <w:pPr>
              <w:keepNext w:val="0"/>
              <w:keepLines w:val="0"/>
              <w:widowControl/>
              <w:suppressLineNumbers w:val="0"/>
              <w:jc w:val="center"/>
              <w:textAlignment w:val="center"/>
              <w:rPr>
                <w:rFonts w:hint="eastAsia" w:ascii="宋体" w:cs="宋体"/>
                <w:color w:val="000000"/>
                <w:sz w:val="24"/>
              </w:rPr>
            </w:pPr>
            <w:r>
              <w:rPr>
                <w:rFonts w:hint="eastAsia" w:ascii="宋体" w:hAnsi="宋体" w:eastAsia="宋体" w:cs="宋体"/>
                <w:i w:val="0"/>
                <w:iCs w:val="0"/>
                <w:color w:val="000000"/>
                <w:kern w:val="0"/>
                <w:sz w:val="20"/>
                <w:szCs w:val="20"/>
                <w:u w:val="none"/>
                <w:lang w:val="en-US" w:eastAsia="zh-CN" w:bidi="ar"/>
              </w:rPr>
              <w:t>≥95</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21B0BB">
            <w:pPr>
              <w:keepNext w:val="0"/>
              <w:keepLines w:val="0"/>
              <w:widowControl/>
              <w:suppressLineNumbers w:val="0"/>
              <w:jc w:val="center"/>
              <w:textAlignment w:val="center"/>
              <w:rPr>
                <w:rFonts w:hint="eastAsia" w:ascii="宋体" w:cs="宋体"/>
                <w:color w:val="000000"/>
                <w:sz w:val="24"/>
              </w:rPr>
            </w:pPr>
            <w:r>
              <w:rPr>
                <w:rFonts w:hint="eastAsia" w:ascii="宋体" w:hAnsi="宋体" w:eastAsia="宋体" w:cs="宋体"/>
                <w:i w:val="0"/>
                <w:iCs w:val="0"/>
                <w:color w:val="000000"/>
                <w:kern w:val="0"/>
                <w:sz w:val="20"/>
                <w:szCs w:val="20"/>
                <w:u w:val="none"/>
                <w:lang w:val="en-US" w:eastAsia="zh-CN" w:bidi="ar"/>
              </w:rPr>
              <w:t>92.30%</w:t>
            </w:r>
          </w:p>
        </w:tc>
      </w:tr>
      <w:tr w14:paraId="1476522C">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323A4DE3">
            <w:pPr>
              <w:widowControl/>
              <w:ind w:left="3598" w:leftChars="1197" w:hanging="1084" w:hangingChars="300"/>
              <w:jc w:val="both"/>
              <w:textAlignment w:val="center"/>
              <w:rPr>
                <w:rFonts w:hint="eastAsia" w:ascii="宋体" w:hAnsi="宋体" w:cs="宋体"/>
                <w:b/>
                <w:bCs/>
                <w:color w:val="000000"/>
                <w:kern w:val="0"/>
                <w:sz w:val="36"/>
                <w:szCs w:val="36"/>
              </w:rPr>
            </w:pPr>
          </w:p>
          <w:p w14:paraId="6F654A14">
            <w:pPr>
              <w:widowControl/>
              <w:ind w:left="3598" w:leftChars="1197" w:hanging="1084" w:hangingChars="300"/>
              <w:jc w:val="both"/>
              <w:textAlignment w:val="center"/>
              <w:rPr>
                <w:rFonts w:hint="eastAsia" w:ascii="宋体" w:hAnsi="宋体" w:cs="宋体"/>
                <w:b/>
                <w:bCs/>
                <w:color w:val="000000"/>
                <w:kern w:val="0"/>
                <w:sz w:val="36"/>
                <w:szCs w:val="36"/>
              </w:rPr>
            </w:pPr>
          </w:p>
          <w:p w14:paraId="37A497CA">
            <w:pPr>
              <w:widowControl/>
              <w:ind w:left="3598" w:leftChars="1197" w:hanging="1084" w:hangingChars="300"/>
              <w:jc w:val="both"/>
              <w:textAlignment w:val="center"/>
              <w:rPr>
                <w:rFonts w:hint="eastAsia" w:ascii="宋体" w:hAnsi="宋体" w:cs="宋体"/>
                <w:b/>
                <w:bCs/>
                <w:color w:val="000000"/>
                <w:kern w:val="0"/>
                <w:sz w:val="36"/>
                <w:szCs w:val="36"/>
              </w:rPr>
            </w:pPr>
          </w:p>
          <w:p w14:paraId="00A28EF5">
            <w:pPr>
              <w:widowControl/>
              <w:ind w:left="3598" w:leftChars="1197" w:hanging="1084" w:hangingChars="300"/>
              <w:jc w:val="both"/>
              <w:textAlignment w:val="center"/>
              <w:rPr>
                <w:rFonts w:hint="eastAsia" w:ascii="宋体" w:hAnsi="宋体" w:cs="宋体"/>
                <w:b/>
                <w:bCs/>
                <w:color w:val="000000"/>
                <w:kern w:val="0"/>
                <w:sz w:val="36"/>
                <w:szCs w:val="36"/>
              </w:rPr>
            </w:pPr>
          </w:p>
          <w:p w14:paraId="37CC42FE">
            <w:pPr>
              <w:widowControl/>
              <w:ind w:left="3598" w:leftChars="1197" w:hanging="1084" w:hangingChars="300"/>
              <w:jc w:val="both"/>
              <w:textAlignment w:val="center"/>
              <w:rPr>
                <w:rFonts w:hint="eastAsia" w:ascii="宋体" w:hAnsi="宋体" w:cs="宋体"/>
                <w:b/>
                <w:bCs/>
                <w:color w:val="000000"/>
                <w:kern w:val="0"/>
                <w:sz w:val="36"/>
                <w:szCs w:val="36"/>
              </w:rPr>
            </w:pPr>
          </w:p>
          <w:p w14:paraId="1569A974">
            <w:pPr>
              <w:widowControl/>
              <w:ind w:left="3598" w:leftChars="1197" w:hanging="1084" w:hangingChars="300"/>
              <w:jc w:val="both"/>
              <w:textAlignment w:val="center"/>
              <w:rPr>
                <w:rFonts w:hint="eastAsia" w:ascii="宋体" w:hAnsi="宋体" w:cs="宋体"/>
                <w:b/>
                <w:bCs/>
                <w:color w:val="000000"/>
                <w:kern w:val="0"/>
                <w:sz w:val="36"/>
                <w:szCs w:val="36"/>
              </w:rPr>
            </w:pPr>
          </w:p>
          <w:p w14:paraId="44607853">
            <w:pPr>
              <w:widowControl/>
              <w:ind w:left="3598" w:leftChars="1197" w:hanging="1084" w:hangingChars="300"/>
              <w:jc w:val="both"/>
              <w:textAlignment w:val="center"/>
              <w:rPr>
                <w:rFonts w:hint="eastAsia" w:ascii="宋体" w:hAnsi="宋体" w:cs="宋体"/>
                <w:b/>
                <w:bCs/>
                <w:color w:val="000000"/>
                <w:kern w:val="0"/>
                <w:sz w:val="36"/>
                <w:szCs w:val="36"/>
              </w:rPr>
            </w:pPr>
          </w:p>
          <w:p w14:paraId="19917320">
            <w:pPr>
              <w:widowControl/>
              <w:ind w:left="3598" w:leftChars="1197" w:hanging="1084" w:hangingChars="300"/>
              <w:jc w:val="both"/>
              <w:textAlignment w:val="center"/>
              <w:rPr>
                <w:rFonts w:hint="eastAsia" w:ascii="宋体" w:hAnsi="宋体" w:cs="宋体"/>
                <w:b/>
                <w:bCs/>
                <w:color w:val="000000"/>
                <w:kern w:val="0"/>
                <w:sz w:val="36"/>
                <w:szCs w:val="36"/>
              </w:rPr>
            </w:pPr>
          </w:p>
          <w:p w14:paraId="661731A1">
            <w:pPr>
              <w:widowControl/>
              <w:ind w:left="3598" w:leftChars="1197" w:hanging="1084" w:hangingChars="300"/>
              <w:jc w:val="both"/>
              <w:textAlignment w:val="center"/>
              <w:rPr>
                <w:rFonts w:hint="eastAsia" w:ascii="宋体" w:hAnsi="宋体" w:cs="宋体"/>
                <w:b/>
                <w:bCs/>
                <w:color w:val="000000"/>
                <w:kern w:val="0"/>
                <w:sz w:val="36"/>
                <w:szCs w:val="36"/>
              </w:rPr>
            </w:pPr>
          </w:p>
          <w:p w14:paraId="3CE770E4">
            <w:pPr>
              <w:widowControl/>
              <w:ind w:left="3598" w:leftChars="1197" w:hanging="1084" w:hangingChars="300"/>
              <w:jc w:val="both"/>
              <w:textAlignment w:val="center"/>
              <w:rPr>
                <w:rFonts w:hint="eastAsia" w:ascii="宋体" w:hAnsi="宋体" w:cs="宋体"/>
                <w:b/>
                <w:bCs/>
                <w:color w:val="000000"/>
                <w:kern w:val="0"/>
                <w:sz w:val="36"/>
                <w:szCs w:val="36"/>
              </w:rPr>
            </w:pPr>
          </w:p>
          <w:p w14:paraId="41FB6CC5">
            <w:pPr>
              <w:widowControl/>
              <w:ind w:left="3598" w:leftChars="1197" w:hanging="1084" w:hangingChars="300"/>
              <w:jc w:val="both"/>
              <w:textAlignment w:val="center"/>
              <w:rPr>
                <w:rFonts w:hint="eastAsia" w:ascii="宋体" w:hAnsi="宋体" w:cs="宋体"/>
                <w:b/>
                <w:bCs/>
                <w:color w:val="000000"/>
                <w:kern w:val="0"/>
                <w:sz w:val="36"/>
                <w:szCs w:val="36"/>
              </w:rPr>
            </w:pPr>
          </w:p>
          <w:p w14:paraId="59296412">
            <w:pPr>
              <w:widowControl/>
              <w:ind w:left="3598" w:leftChars="1197" w:hanging="1084" w:hangingChars="300"/>
              <w:jc w:val="both"/>
              <w:textAlignment w:val="center"/>
              <w:rPr>
                <w:rFonts w:hint="eastAsia" w:ascii="宋体" w:hAnsi="宋体" w:cs="宋体"/>
                <w:b/>
                <w:bCs/>
                <w:color w:val="000000"/>
                <w:kern w:val="0"/>
                <w:sz w:val="36"/>
                <w:szCs w:val="36"/>
              </w:rPr>
            </w:pPr>
          </w:p>
          <w:p w14:paraId="6036E6CE">
            <w:pPr>
              <w:widowControl/>
              <w:ind w:left="3598" w:leftChars="1197" w:hanging="1084" w:hangingChars="300"/>
              <w:jc w:val="both"/>
              <w:textAlignment w:val="center"/>
              <w:rPr>
                <w:rFonts w:hint="eastAsia" w:ascii="宋体" w:hAnsi="宋体" w:cs="宋体"/>
                <w:b/>
                <w:bCs/>
                <w:color w:val="000000"/>
                <w:kern w:val="0"/>
                <w:sz w:val="36"/>
                <w:szCs w:val="36"/>
              </w:rPr>
            </w:pPr>
          </w:p>
          <w:p w14:paraId="7C37B3A3">
            <w:pPr>
              <w:widowControl/>
              <w:ind w:left="3598" w:leftChars="1197" w:hanging="1084" w:hangingChars="300"/>
              <w:jc w:val="both"/>
              <w:textAlignment w:val="center"/>
              <w:rPr>
                <w:rFonts w:hint="eastAsia" w:ascii="宋体" w:hAnsi="宋体" w:cs="宋体"/>
                <w:b/>
                <w:bCs/>
                <w:color w:val="000000"/>
                <w:kern w:val="0"/>
                <w:sz w:val="36"/>
                <w:szCs w:val="36"/>
              </w:rPr>
            </w:pPr>
          </w:p>
          <w:p w14:paraId="50E177E8">
            <w:pPr>
              <w:widowControl/>
              <w:ind w:left="3598" w:leftChars="1197" w:hanging="1084" w:hangingChars="300"/>
              <w:jc w:val="both"/>
              <w:textAlignment w:val="center"/>
              <w:rPr>
                <w:rFonts w:hint="eastAsia" w:ascii="宋体" w:hAnsi="宋体" w:cs="宋体"/>
                <w:b/>
                <w:bCs/>
                <w:color w:val="000000"/>
                <w:kern w:val="0"/>
                <w:sz w:val="36"/>
                <w:szCs w:val="36"/>
              </w:rPr>
            </w:pPr>
          </w:p>
          <w:p w14:paraId="04059CE0">
            <w:pPr>
              <w:widowControl/>
              <w:ind w:left="3598" w:leftChars="1197" w:hanging="1084" w:hangingChars="300"/>
              <w:jc w:val="both"/>
              <w:textAlignment w:val="center"/>
              <w:rPr>
                <w:rFonts w:hint="eastAsia" w:ascii="宋体" w:hAnsi="宋体" w:cs="宋体"/>
                <w:b/>
                <w:bCs/>
                <w:color w:val="000000"/>
                <w:kern w:val="0"/>
                <w:sz w:val="36"/>
                <w:szCs w:val="36"/>
              </w:rPr>
            </w:pPr>
          </w:p>
          <w:p w14:paraId="60939CA8">
            <w:pPr>
              <w:widowControl/>
              <w:ind w:left="3598" w:leftChars="1197" w:hanging="1084" w:hangingChars="300"/>
              <w:jc w:val="both"/>
              <w:textAlignment w:val="center"/>
              <w:rPr>
                <w:rFonts w:hint="eastAsia" w:ascii="宋体" w:hAnsi="宋体" w:cs="宋体"/>
                <w:b/>
                <w:bCs/>
                <w:color w:val="000000"/>
                <w:kern w:val="0"/>
                <w:sz w:val="36"/>
                <w:szCs w:val="36"/>
              </w:rPr>
            </w:pPr>
          </w:p>
          <w:p w14:paraId="36F299A9">
            <w:pPr>
              <w:widowControl/>
              <w:ind w:left="3598" w:leftChars="1197" w:hanging="1084" w:hangingChars="300"/>
              <w:jc w:val="both"/>
              <w:textAlignment w:val="center"/>
              <w:rPr>
                <w:rFonts w:hint="eastAsia" w:ascii="宋体" w:hAnsi="宋体" w:cs="宋体"/>
                <w:b/>
                <w:bCs/>
                <w:color w:val="000000"/>
                <w:kern w:val="0"/>
                <w:sz w:val="36"/>
                <w:szCs w:val="36"/>
              </w:rPr>
            </w:pPr>
          </w:p>
          <w:p w14:paraId="1B9B38A6">
            <w:pPr>
              <w:widowControl/>
              <w:ind w:left="3598" w:leftChars="1197" w:hanging="1084" w:hangingChars="300"/>
              <w:jc w:val="both"/>
              <w:textAlignment w:val="center"/>
              <w:rPr>
                <w:rFonts w:hint="eastAsia" w:ascii="宋体" w:hAnsi="宋体" w:cs="宋体"/>
                <w:b/>
                <w:bCs/>
                <w:color w:val="000000"/>
                <w:kern w:val="0"/>
                <w:sz w:val="36"/>
                <w:szCs w:val="36"/>
              </w:rPr>
            </w:pPr>
          </w:p>
          <w:p w14:paraId="69DE6782">
            <w:pPr>
              <w:widowControl/>
              <w:ind w:left="3598" w:leftChars="1197" w:hanging="1084" w:hangingChars="300"/>
              <w:jc w:val="both"/>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lang w:val="en-US" w:eastAsia="zh-CN"/>
              </w:rPr>
              <w:t>2</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(2020年度)</w:t>
            </w:r>
          </w:p>
        </w:tc>
      </w:tr>
      <w:tr w14:paraId="67ECB63D">
        <w:tblPrEx>
          <w:tblCellMar>
            <w:top w:w="0" w:type="dxa"/>
            <w:left w:w="0" w:type="dxa"/>
            <w:bottom w:w="0" w:type="dxa"/>
            <w:right w:w="0" w:type="dxa"/>
          </w:tblCellMar>
        </w:tblPrEx>
        <w:trPr>
          <w:trHeight w:val="276" w:hRule="atLeast"/>
          <w:jc w:val="center"/>
        </w:trPr>
        <w:tc>
          <w:tcPr>
            <w:tcW w:w="295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018C7D">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00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058718">
            <w:pPr>
              <w:widowControl/>
              <w:jc w:val="center"/>
              <w:textAlignment w:val="center"/>
              <w:rPr>
                <w:rFonts w:ascii="宋体" w:hAnsi="宋体" w:cs="宋体"/>
                <w:color w:val="000000"/>
                <w:sz w:val="24"/>
              </w:rPr>
            </w:pPr>
            <w:r>
              <w:rPr>
                <w:rFonts w:hint="eastAsia" w:ascii="宋体" w:hAnsi="宋体" w:cs="宋体"/>
                <w:color w:val="000000"/>
                <w:sz w:val="24"/>
              </w:rPr>
              <w:t>医疗卫生机构事业发展资金</w:t>
            </w:r>
          </w:p>
        </w:tc>
      </w:tr>
      <w:tr w14:paraId="4D811136">
        <w:tblPrEx>
          <w:tblCellMar>
            <w:top w:w="0" w:type="dxa"/>
            <w:left w:w="0" w:type="dxa"/>
            <w:bottom w:w="0" w:type="dxa"/>
            <w:right w:w="0" w:type="dxa"/>
          </w:tblCellMar>
        </w:tblPrEx>
        <w:trPr>
          <w:trHeight w:val="276" w:hRule="atLeast"/>
          <w:jc w:val="center"/>
        </w:trPr>
        <w:tc>
          <w:tcPr>
            <w:tcW w:w="295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832F09">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00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AFCFC2">
            <w:pPr>
              <w:widowControl/>
              <w:jc w:val="center"/>
              <w:textAlignment w:val="center"/>
              <w:rPr>
                <w:rFonts w:ascii="宋体" w:hAnsi="宋体" w:cs="宋体"/>
                <w:color w:val="000000"/>
                <w:sz w:val="24"/>
              </w:rPr>
            </w:pPr>
            <w:r>
              <w:rPr>
                <w:rFonts w:hint="eastAsia" w:ascii="宋体" w:hAnsi="宋体" w:cs="宋体"/>
                <w:color w:val="000000"/>
                <w:sz w:val="24"/>
              </w:rPr>
              <w:t>盐边县</w:t>
            </w:r>
            <w:r>
              <w:rPr>
                <w:rFonts w:hint="eastAsia" w:ascii="宋体" w:hAnsi="宋体" w:cs="宋体"/>
                <w:color w:val="000000"/>
                <w:sz w:val="24"/>
                <w:lang w:eastAsia="zh-CN"/>
              </w:rPr>
              <w:t>温泉彝族乡卫生院</w:t>
            </w:r>
          </w:p>
        </w:tc>
      </w:tr>
      <w:tr w14:paraId="5A76E152">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8DCD8D">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56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1A7A62">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A2D9CD">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10.88</w:t>
            </w: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041353">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6442BC">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10.88</w:t>
            </w:r>
          </w:p>
        </w:tc>
      </w:tr>
      <w:tr w14:paraId="5FC00AA6">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BAD7FA">
            <w:pPr>
              <w:jc w:val="center"/>
              <w:rPr>
                <w:rFonts w:ascii="宋体" w:hAnsi="宋体" w:cs="宋体"/>
                <w:color w:val="000000"/>
                <w:sz w:val="24"/>
              </w:rPr>
            </w:pPr>
          </w:p>
        </w:tc>
        <w:tc>
          <w:tcPr>
            <w:tcW w:w="256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5DAC98">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D6929E">
            <w:pPr>
              <w:widowControl/>
              <w:jc w:val="center"/>
              <w:textAlignment w:val="center"/>
              <w:rPr>
                <w:rFonts w:ascii="宋体" w:hAnsi="宋体" w:cs="宋体"/>
                <w:color w:val="000000"/>
                <w:sz w:val="24"/>
              </w:rPr>
            </w:pP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AD2849">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6B639A">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10.88</w:t>
            </w:r>
          </w:p>
        </w:tc>
      </w:tr>
      <w:tr w14:paraId="3D434835">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586920">
            <w:pPr>
              <w:jc w:val="center"/>
              <w:rPr>
                <w:rFonts w:ascii="宋体" w:hAnsi="宋体" w:cs="宋体"/>
                <w:color w:val="000000"/>
                <w:sz w:val="24"/>
              </w:rPr>
            </w:pPr>
          </w:p>
        </w:tc>
        <w:tc>
          <w:tcPr>
            <w:tcW w:w="256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D13BC9">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571C5E">
            <w:pPr>
              <w:widowControl/>
              <w:jc w:val="center"/>
              <w:textAlignment w:val="center"/>
              <w:rPr>
                <w:rFonts w:ascii="宋体" w:hAnsi="宋体" w:cs="宋体"/>
                <w:color w:val="000000"/>
                <w:sz w:val="24"/>
              </w:rPr>
            </w:pPr>
            <w:r>
              <w:rPr>
                <w:rFonts w:hint="eastAsia" w:ascii="宋体" w:hAnsi="宋体" w:cs="宋体"/>
                <w:color w:val="000000"/>
                <w:sz w:val="24"/>
              </w:rPr>
              <w:t>0</w:t>
            </w: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AF14C4">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14D3EE">
            <w:pPr>
              <w:jc w:val="center"/>
              <w:rPr>
                <w:rFonts w:ascii="宋体" w:hAnsi="宋体" w:cs="宋体"/>
                <w:color w:val="000000"/>
                <w:sz w:val="24"/>
              </w:rPr>
            </w:pPr>
            <w:r>
              <w:rPr>
                <w:rFonts w:hint="eastAsia" w:ascii="宋体" w:hAnsi="宋体" w:cs="宋体"/>
                <w:color w:val="000000"/>
                <w:sz w:val="24"/>
              </w:rPr>
              <w:t>0</w:t>
            </w:r>
          </w:p>
        </w:tc>
      </w:tr>
      <w:tr w14:paraId="717AC189">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D21985">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93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6AEE00">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63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EE8080">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36B0E55D">
        <w:tblPrEx>
          <w:tblCellMar>
            <w:top w:w="0" w:type="dxa"/>
            <w:left w:w="0" w:type="dxa"/>
            <w:bottom w:w="0" w:type="dxa"/>
            <w:right w:w="0" w:type="dxa"/>
          </w:tblCellMar>
        </w:tblPrEx>
        <w:trPr>
          <w:trHeight w:val="211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BDBE6E">
            <w:pPr>
              <w:jc w:val="center"/>
              <w:rPr>
                <w:rFonts w:ascii="宋体" w:hAnsi="宋体" w:cs="宋体"/>
                <w:color w:val="000000"/>
                <w:sz w:val="24"/>
              </w:rPr>
            </w:pPr>
          </w:p>
        </w:tc>
        <w:tc>
          <w:tcPr>
            <w:tcW w:w="493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C01554">
            <w:pPr>
              <w:widowControl/>
              <w:jc w:val="center"/>
              <w:textAlignment w:val="center"/>
              <w:rPr>
                <w:rFonts w:ascii="宋体" w:hAnsi="宋体" w:cs="宋体"/>
                <w:color w:val="000000"/>
                <w:sz w:val="24"/>
              </w:rPr>
            </w:pPr>
            <w:r>
              <w:rPr>
                <w:rFonts w:hint="eastAsia" w:ascii="宋体" w:hAnsi="宋体" w:cs="宋体"/>
                <w:color w:val="000000"/>
                <w:sz w:val="24"/>
              </w:rPr>
              <w:t>1、加强和规范本卫生院收支预算管理、合理控制成本、提高管理水平、提升资源使用效益、促进医疗机构持续健康发展；2、实行全面预算管理制度、强化预算约束、保障本医疗机构正常运转。</w:t>
            </w:r>
          </w:p>
        </w:tc>
        <w:tc>
          <w:tcPr>
            <w:tcW w:w="463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AE09F1">
            <w:pPr>
              <w:widowControl/>
              <w:jc w:val="center"/>
              <w:textAlignment w:val="center"/>
              <w:rPr>
                <w:rFonts w:ascii="宋体" w:hAnsi="宋体" w:cs="宋体"/>
                <w:color w:val="000000"/>
                <w:sz w:val="24"/>
              </w:rPr>
            </w:pPr>
            <w:r>
              <w:rPr>
                <w:rFonts w:hint="eastAsia" w:ascii="宋体" w:hAnsi="宋体" w:cs="宋体"/>
                <w:color w:val="000000"/>
                <w:sz w:val="24"/>
              </w:rPr>
              <w:t>本乡镇1家卫生院全部纳入，并按时上缴事业收入纳入财政预算管理，资金上缴率100%。强化预算约束，增加财政收入，提升资金管理水平；财政及时拨付，确保医疗机构正常运转。医疗机构资金规范使用率100%。</w:t>
            </w:r>
          </w:p>
        </w:tc>
      </w:tr>
      <w:tr w14:paraId="48D059ED">
        <w:tblPrEx>
          <w:tblCellMar>
            <w:top w:w="0" w:type="dxa"/>
            <w:left w:w="0" w:type="dxa"/>
            <w:bottom w:w="0" w:type="dxa"/>
            <w:right w:w="0" w:type="dxa"/>
          </w:tblCellMar>
        </w:tblPrEx>
        <w:trPr>
          <w:trHeight w:val="667"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34CA43E5">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5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21F85D">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5B556C">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3DFEDF">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CA6D1C">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5C942D">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14:paraId="4399D1CB">
        <w:tblPrEx>
          <w:tblCellMar>
            <w:top w:w="0" w:type="dxa"/>
            <w:left w:w="0" w:type="dxa"/>
            <w:bottom w:w="0" w:type="dxa"/>
            <w:right w:w="0" w:type="dxa"/>
          </w:tblCellMar>
        </w:tblPrEx>
        <w:trPr>
          <w:trHeight w:val="479"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276A8F02">
            <w:pPr>
              <w:widowControl/>
              <w:jc w:val="center"/>
              <w:textAlignment w:val="center"/>
              <w:rPr>
                <w:rFonts w:ascii="宋体" w:hAnsi="宋体" w:cs="宋体"/>
                <w:color w:val="000000"/>
                <w:sz w:val="24"/>
              </w:rPr>
            </w:pPr>
          </w:p>
        </w:tc>
        <w:tc>
          <w:tcPr>
            <w:tcW w:w="15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6D9D44">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37F104">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D34490">
            <w:pPr>
              <w:widowControl/>
              <w:jc w:val="center"/>
              <w:textAlignment w:val="center"/>
              <w:rPr>
                <w:rFonts w:ascii="宋体" w:hAnsi="宋体" w:cs="宋体"/>
                <w:color w:val="000000"/>
                <w:sz w:val="24"/>
              </w:rPr>
            </w:pPr>
            <w:r>
              <w:rPr>
                <w:rFonts w:hint="eastAsia" w:ascii="宋体" w:hAnsi="宋体" w:cs="宋体"/>
                <w:color w:val="000000"/>
                <w:sz w:val="24"/>
              </w:rPr>
              <w:t>乡镇卫生院</w:t>
            </w: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2CA70B">
            <w:pPr>
              <w:widowControl/>
              <w:jc w:val="center"/>
              <w:textAlignment w:val="center"/>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1家</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4868B8">
            <w:pPr>
              <w:widowControl/>
              <w:jc w:val="center"/>
              <w:textAlignment w:val="center"/>
              <w:rPr>
                <w:rFonts w:ascii="宋体" w:hAnsi="宋体" w:cs="宋体"/>
                <w:color w:val="000000"/>
                <w:sz w:val="24"/>
              </w:rPr>
            </w:pPr>
            <w:r>
              <w:rPr>
                <w:rFonts w:hint="eastAsia" w:ascii="宋体" w:hAnsi="宋体" w:cs="宋体"/>
                <w:color w:val="000000"/>
                <w:sz w:val="24"/>
              </w:rPr>
              <w:t>100%</w:t>
            </w:r>
          </w:p>
        </w:tc>
      </w:tr>
      <w:tr w14:paraId="6896B10F">
        <w:tblPrEx>
          <w:tblCellMar>
            <w:top w:w="0" w:type="dxa"/>
            <w:left w:w="0" w:type="dxa"/>
            <w:bottom w:w="0" w:type="dxa"/>
            <w:right w:w="0" w:type="dxa"/>
          </w:tblCellMar>
        </w:tblPrEx>
        <w:trPr>
          <w:trHeight w:val="478"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223876F4">
            <w:pPr>
              <w:widowControl/>
              <w:jc w:val="center"/>
              <w:textAlignment w:val="center"/>
              <w:rPr>
                <w:rFonts w:ascii="宋体" w:hAnsi="宋体" w:cs="宋体"/>
                <w:color w:val="000000"/>
                <w:sz w:val="24"/>
              </w:rPr>
            </w:pPr>
          </w:p>
        </w:tc>
        <w:tc>
          <w:tcPr>
            <w:tcW w:w="151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238FFC9E">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56"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49437AD5">
            <w:pPr>
              <w:widowControl/>
              <w:jc w:val="center"/>
              <w:textAlignment w:val="center"/>
              <w:rPr>
                <w:rFonts w:ascii="宋体" w:hAnsi="宋体" w:cs="宋体"/>
                <w:color w:val="000000"/>
                <w:sz w:val="24"/>
              </w:rPr>
            </w:pPr>
            <w:r>
              <w:rPr>
                <w:rFonts w:hint="eastAsia" w:ascii="宋体" w:cs="宋体"/>
                <w:color w:val="000000"/>
                <w:sz w:val="24"/>
              </w:rPr>
              <w:t>质量指标</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61776C">
            <w:pPr>
              <w:keepNext w:val="0"/>
              <w:keepLines w:val="0"/>
              <w:widowControl/>
              <w:suppressLineNumbers w:val="0"/>
              <w:jc w:val="left"/>
              <w:textAlignment w:val="center"/>
              <w:rPr>
                <w:rFonts w:hint="default" w:ascii="宋体" w:hAnsi="宋体" w:eastAsia="宋体" w:cs="宋体"/>
                <w:color w:val="000000"/>
                <w:sz w:val="24"/>
                <w:lang w:val="en-US" w:eastAsia="zh-CN"/>
              </w:rPr>
            </w:pPr>
            <w:r>
              <w:rPr>
                <w:rFonts w:hint="eastAsia" w:ascii="宋体" w:hAnsi="宋体" w:eastAsia="宋体" w:cs="宋体"/>
                <w:i w:val="0"/>
                <w:iCs w:val="0"/>
                <w:color w:val="000000"/>
                <w:kern w:val="0"/>
                <w:sz w:val="24"/>
                <w:szCs w:val="24"/>
                <w:u w:val="none"/>
                <w:lang w:val="en-US" w:eastAsia="zh-CN" w:bidi="ar"/>
              </w:rPr>
              <w:t xml:space="preserve"> 指标1：收入上缴率</w:t>
            </w: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D9CA93">
            <w:pPr>
              <w:widowControl/>
              <w:jc w:val="center"/>
              <w:textAlignment w:val="center"/>
              <w:rPr>
                <w:rFonts w:ascii="宋体" w:hAnsi="宋体" w:cs="宋体"/>
                <w:color w:val="000000"/>
                <w:sz w:val="24"/>
              </w:rPr>
            </w:pPr>
            <w:r>
              <w:rPr>
                <w:rFonts w:hint="eastAsia" w:ascii="宋体" w:hAnsi="宋体" w:cs="宋体"/>
                <w:color w:val="000000"/>
                <w:sz w:val="24"/>
              </w:rPr>
              <w:t>100%</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793A0C">
            <w:pPr>
              <w:widowControl/>
              <w:jc w:val="center"/>
              <w:textAlignment w:val="center"/>
              <w:rPr>
                <w:rFonts w:ascii="宋体" w:hAnsi="宋体" w:cs="宋体"/>
                <w:color w:val="000000"/>
                <w:sz w:val="24"/>
              </w:rPr>
            </w:pPr>
            <w:r>
              <w:rPr>
                <w:rFonts w:hint="eastAsia" w:ascii="宋体" w:hAnsi="宋体" w:cs="宋体"/>
                <w:color w:val="000000"/>
                <w:sz w:val="24"/>
              </w:rPr>
              <w:t>100%</w:t>
            </w:r>
          </w:p>
        </w:tc>
      </w:tr>
      <w:tr w14:paraId="3A629BA9">
        <w:tblPrEx>
          <w:tblCellMar>
            <w:top w:w="0" w:type="dxa"/>
            <w:left w:w="0" w:type="dxa"/>
            <w:bottom w:w="0" w:type="dxa"/>
            <w:right w:w="0" w:type="dxa"/>
          </w:tblCellMar>
        </w:tblPrEx>
        <w:trPr>
          <w:trHeight w:val="448"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0FA83351">
            <w:pPr>
              <w:widowControl/>
              <w:jc w:val="center"/>
              <w:textAlignment w:val="center"/>
            </w:pPr>
          </w:p>
        </w:tc>
        <w:tc>
          <w:tcPr>
            <w:tcW w:w="1512"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5744468A">
            <w:pPr>
              <w:widowControl/>
              <w:jc w:val="center"/>
              <w:textAlignment w:val="center"/>
            </w:pPr>
          </w:p>
        </w:tc>
        <w:tc>
          <w:tcPr>
            <w:tcW w:w="1056"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04E1D366">
            <w:pPr>
              <w:widowControl/>
              <w:jc w:val="center"/>
              <w:textAlignment w:val="center"/>
            </w:pP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2F2014">
            <w:pPr>
              <w:keepNext w:val="0"/>
              <w:keepLines w:val="0"/>
              <w:widowControl/>
              <w:suppressLineNumbers w:val="0"/>
              <w:jc w:val="left"/>
              <w:textAlignment w:val="center"/>
              <w:rPr>
                <w:rFonts w:hint="default" w:ascii="宋体" w:hAnsi="宋体" w:eastAsia="宋体" w:cs="宋体"/>
                <w:color w:val="000000"/>
                <w:sz w:val="24"/>
                <w:lang w:val="en-US" w:eastAsia="zh-CN"/>
              </w:rPr>
            </w:pPr>
            <w:r>
              <w:rPr>
                <w:rFonts w:hint="eastAsia" w:ascii="宋体" w:hAnsi="宋体" w:eastAsia="宋体" w:cs="宋体"/>
                <w:i w:val="0"/>
                <w:iCs w:val="0"/>
                <w:color w:val="000000"/>
                <w:kern w:val="0"/>
                <w:sz w:val="24"/>
                <w:szCs w:val="24"/>
                <w:u w:val="none"/>
                <w:lang w:val="en-US" w:eastAsia="zh-CN" w:bidi="ar"/>
              </w:rPr>
              <w:t xml:space="preserve"> 指标2：规范使用率</w:t>
            </w: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B48361">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rPr>
              <w:t>100%</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50C837">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rPr>
              <w:t>100%</w:t>
            </w:r>
          </w:p>
        </w:tc>
      </w:tr>
      <w:tr w14:paraId="29CA2D70">
        <w:tblPrEx>
          <w:tblCellMar>
            <w:top w:w="0" w:type="dxa"/>
            <w:left w:w="0" w:type="dxa"/>
            <w:bottom w:w="0" w:type="dxa"/>
            <w:right w:w="0" w:type="dxa"/>
          </w:tblCellMar>
        </w:tblPrEx>
        <w:trPr>
          <w:trHeight w:val="48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20950AFA">
            <w:pPr>
              <w:widowControl/>
              <w:jc w:val="center"/>
              <w:textAlignment w:val="center"/>
              <w:rPr>
                <w:rFonts w:ascii="宋体" w:hAnsi="宋体" w:cs="宋体"/>
                <w:color w:val="000000"/>
                <w:sz w:val="24"/>
              </w:rPr>
            </w:pPr>
          </w:p>
        </w:tc>
        <w:tc>
          <w:tcPr>
            <w:tcW w:w="151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56B3A159">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56"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63309050">
            <w:pPr>
              <w:widowControl/>
              <w:jc w:val="center"/>
              <w:textAlignment w:val="center"/>
              <w:rPr>
                <w:rFonts w:ascii="宋体" w:hAnsi="宋体" w:cs="宋体"/>
                <w:color w:val="000000"/>
                <w:sz w:val="24"/>
              </w:rPr>
            </w:pPr>
            <w:r>
              <w:rPr>
                <w:rFonts w:hint="eastAsia" w:ascii="宋体" w:cs="宋体"/>
                <w:color w:val="000000"/>
                <w:sz w:val="24"/>
              </w:rPr>
              <w:t>时效指标</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E6D51D">
            <w:pPr>
              <w:keepNext w:val="0"/>
              <w:keepLines w:val="0"/>
              <w:widowControl/>
              <w:suppressLineNumbers w:val="0"/>
              <w:jc w:val="left"/>
              <w:textAlignment w:val="center"/>
              <w:rPr>
                <w:rFonts w:hint="eastAsia" w:ascii="宋体" w:hAnsi="宋体" w:cs="宋体"/>
                <w:color w:val="000000"/>
                <w:sz w:val="24"/>
                <w:lang w:val="en-US" w:eastAsia="zh-CN"/>
              </w:rPr>
            </w:pPr>
            <w:r>
              <w:rPr>
                <w:rFonts w:hint="eastAsia" w:ascii="宋体" w:hAnsi="宋体" w:eastAsia="宋体" w:cs="宋体"/>
                <w:i w:val="0"/>
                <w:iCs w:val="0"/>
                <w:color w:val="000000"/>
                <w:kern w:val="0"/>
                <w:sz w:val="24"/>
                <w:szCs w:val="24"/>
                <w:u w:val="none"/>
                <w:lang w:val="en-US" w:eastAsia="zh-CN" w:bidi="ar"/>
              </w:rPr>
              <w:t xml:space="preserve"> 指标1：项目完成时间</w:t>
            </w: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433C7F">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年度内按时完成</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ECD00F">
            <w:pPr>
              <w:widowControl/>
              <w:jc w:val="center"/>
              <w:textAlignment w:val="center"/>
              <w:rPr>
                <w:rFonts w:ascii="宋体" w:hAnsi="宋体" w:cs="宋体"/>
                <w:color w:val="000000"/>
                <w:sz w:val="24"/>
              </w:rPr>
            </w:pPr>
            <w:r>
              <w:rPr>
                <w:rFonts w:hint="eastAsia" w:ascii="宋体" w:hAnsi="宋体" w:cs="宋体"/>
                <w:color w:val="000000"/>
                <w:sz w:val="24"/>
              </w:rPr>
              <w:t>100%</w:t>
            </w:r>
          </w:p>
        </w:tc>
      </w:tr>
      <w:tr w14:paraId="7D7D52D1">
        <w:tblPrEx>
          <w:tblCellMar>
            <w:top w:w="0" w:type="dxa"/>
            <w:left w:w="0" w:type="dxa"/>
            <w:bottom w:w="0" w:type="dxa"/>
            <w:right w:w="0" w:type="dxa"/>
          </w:tblCellMar>
        </w:tblPrEx>
        <w:trPr>
          <w:trHeight w:val="368"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6C9B3AE6">
            <w:pPr>
              <w:widowControl/>
              <w:jc w:val="center"/>
              <w:textAlignment w:val="center"/>
            </w:pPr>
          </w:p>
        </w:tc>
        <w:tc>
          <w:tcPr>
            <w:tcW w:w="1512"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74CB9C9D">
            <w:pPr>
              <w:widowControl/>
              <w:jc w:val="center"/>
              <w:textAlignment w:val="center"/>
            </w:pPr>
          </w:p>
        </w:tc>
        <w:tc>
          <w:tcPr>
            <w:tcW w:w="1056"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41FE1BF7">
            <w:pPr>
              <w:widowControl/>
              <w:jc w:val="center"/>
              <w:textAlignment w:val="center"/>
            </w:pP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9C6B51">
            <w:pPr>
              <w:keepNext w:val="0"/>
              <w:keepLines w:val="0"/>
              <w:widowControl/>
              <w:suppressLineNumbers w:val="0"/>
              <w:jc w:val="left"/>
              <w:textAlignment w:val="center"/>
              <w:rPr>
                <w:rFonts w:hint="default" w:ascii="宋体" w:hAnsi="宋体" w:cs="宋体"/>
                <w:color w:val="000000"/>
                <w:sz w:val="24"/>
                <w:lang w:val="en-US" w:eastAsia="zh-CN"/>
              </w:rPr>
            </w:pPr>
            <w:r>
              <w:rPr>
                <w:rFonts w:hint="eastAsia" w:ascii="宋体" w:hAnsi="宋体" w:eastAsia="宋体" w:cs="宋体"/>
                <w:i w:val="0"/>
                <w:iCs w:val="0"/>
                <w:color w:val="000000"/>
                <w:kern w:val="0"/>
                <w:sz w:val="24"/>
                <w:szCs w:val="24"/>
                <w:u w:val="none"/>
                <w:lang w:val="en-US" w:eastAsia="zh-CN" w:bidi="ar"/>
              </w:rPr>
              <w:t xml:space="preserve"> 指标2：上缴时间</w:t>
            </w: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D27988">
            <w:pPr>
              <w:widowControl/>
              <w:jc w:val="center"/>
              <w:textAlignment w:val="center"/>
              <w:rPr>
                <w:rFonts w:hint="eastAsia" w:ascii="宋体" w:hAnsi="宋体" w:cs="宋体"/>
                <w:color w:val="000000"/>
                <w:sz w:val="24"/>
                <w:lang w:val="en-US" w:eastAsia="zh-CN"/>
              </w:rPr>
            </w:pPr>
            <w:r>
              <w:rPr>
                <w:rFonts w:hint="eastAsia" w:ascii="宋体" w:hAnsi="宋体" w:cs="宋体"/>
                <w:color w:val="000000"/>
                <w:sz w:val="24"/>
                <w:lang w:eastAsia="zh-CN"/>
              </w:rPr>
              <w:t>适时上缴</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9E70B4">
            <w:pPr>
              <w:widowControl/>
              <w:jc w:val="center"/>
              <w:textAlignment w:val="center"/>
              <w:rPr>
                <w:rFonts w:hint="eastAsia" w:ascii="宋体" w:hAnsi="宋体" w:cs="宋体"/>
                <w:color w:val="000000"/>
                <w:sz w:val="24"/>
                <w:lang w:val="en-US" w:eastAsia="zh-CN"/>
              </w:rPr>
            </w:pPr>
            <w:r>
              <w:rPr>
                <w:rFonts w:hint="eastAsia" w:ascii="宋体" w:hAnsi="宋体" w:cs="宋体"/>
                <w:color w:val="000000"/>
                <w:sz w:val="24"/>
              </w:rPr>
              <w:t>100%</w:t>
            </w:r>
          </w:p>
        </w:tc>
      </w:tr>
      <w:tr w14:paraId="54860973">
        <w:tblPrEx>
          <w:tblCellMar>
            <w:top w:w="0" w:type="dxa"/>
            <w:left w:w="0" w:type="dxa"/>
            <w:bottom w:w="0" w:type="dxa"/>
            <w:right w:w="0" w:type="dxa"/>
          </w:tblCellMar>
        </w:tblPrEx>
        <w:trPr>
          <w:trHeight w:val="589"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3F6FE86F">
            <w:pPr>
              <w:widowControl/>
              <w:jc w:val="center"/>
              <w:textAlignment w:val="center"/>
              <w:rPr>
                <w:rFonts w:ascii="宋体" w:hAnsi="宋体" w:cs="宋体"/>
                <w:color w:val="000000"/>
                <w:sz w:val="24"/>
              </w:rPr>
            </w:pPr>
          </w:p>
        </w:tc>
        <w:tc>
          <w:tcPr>
            <w:tcW w:w="151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2351E27E">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56"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128BE00A">
            <w:pPr>
              <w:widowControl/>
              <w:jc w:val="center"/>
              <w:textAlignment w:val="center"/>
              <w:rPr>
                <w:rFonts w:ascii="宋体" w:hAnsi="宋体" w:cs="宋体"/>
                <w:color w:val="000000"/>
                <w:sz w:val="24"/>
              </w:rPr>
            </w:pPr>
            <w:r>
              <w:rPr>
                <w:rFonts w:hint="eastAsia" w:ascii="宋体" w:cs="宋体"/>
                <w:color w:val="000000"/>
                <w:sz w:val="24"/>
              </w:rPr>
              <w:t>成本指标</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51CAF3">
            <w:pPr>
              <w:keepNext w:val="0"/>
              <w:keepLines w:val="0"/>
              <w:widowControl/>
              <w:suppressLineNumbers w:val="0"/>
              <w:jc w:val="left"/>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 xml:space="preserve"> 指标1：经费总额</w:t>
            </w: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392DDE">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控制在预算范围内</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9F0BD8">
            <w:pPr>
              <w:widowControl/>
              <w:jc w:val="center"/>
              <w:textAlignment w:val="center"/>
              <w:rPr>
                <w:rFonts w:ascii="宋体" w:hAnsi="宋体" w:cs="宋体"/>
                <w:color w:val="000000"/>
                <w:sz w:val="24"/>
              </w:rPr>
            </w:pPr>
            <w:r>
              <w:rPr>
                <w:rFonts w:hint="eastAsia" w:ascii="宋体" w:hAnsi="宋体" w:cs="宋体"/>
                <w:color w:val="000000"/>
                <w:sz w:val="24"/>
              </w:rPr>
              <w:t>100%</w:t>
            </w:r>
          </w:p>
        </w:tc>
      </w:tr>
      <w:tr w14:paraId="22AE8F0C">
        <w:tblPrEx>
          <w:tblCellMar>
            <w:top w:w="0" w:type="dxa"/>
            <w:left w:w="0" w:type="dxa"/>
            <w:bottom w:w="0" w:type="dxa"/>
            <w:right w:w="0" w:type="dxa"/>
          </w:tblCellMar>
        </w:tblPrEx>
        <w:trPr>
          <w:trHeight w:val="21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1686EDA1">
            <w:pPr>
              <w:widowControl/>
              <w:jc w:val="center"/>
              <w:textAlignment w:val="center"/>
            </w:pPr>
          </w:p>
        </w:tc>
        <w:tc>
          <w:tcPr>
            <w:tcW w:w="1512" w:type="dxa"/>
            <w:vMerge w:val="continue"/>
            <w:tcBorders>
              <w:left w:val="single" w:color="000000" w:sz="4" w:space="0"/>
              <w:right w:val="single" w:color="000000" w:sz="4" w:space="0"/>
            </w:tcBorders>
            <w:tcMar>
              <w:top w:w="15" w:type="dxa"/>
              <w:left w:w="15" w:type="dxa"/>
              <w:right w:w="15" w:type="dxa"/>
            </w:tcMar>
            <w:vAlign w:val="center"/>
          </w:tcPr>
          <w:p w14:paraId="393E0A43">
            <w:pPr>
              <w:widowControl/>
              <w:jc w:val="center"/>
              <w:textAlignment w:val="center"/>
            </w:pPr>
          </w:p>
        </w:tc>
        <w:tc>
          <w:tcPr>
            <w:tcW w:w="1056" w:type="dxa"/>
            <w:vMerge w:val="continue"/>
            <w:tcBorders>
              <w:left w:val="single" w:color="000000" w:sz="4" w:space="0"/>
              <w:right w:val="single" w:color="000000" w:sz="4" w:space="0"/>
            </w:tcBorders>
            <w:tcMar>
              <w:top w:w="15" w:type="dxa"/>
              <w:left w:w="15" w:type="dxa"/>
              <w:right w:w="15" w:type="dxa"/>
            </w:tcMar>
            <w:vAlign w:val="center"/>
          </w:tcPr>
          <w:p w14:paraId="71CE6726">
            <w:pPr>
              <w:widowControl/>
              <w:jc w:val="center"/>
              <w:textAlignment w:val="center"/>
            </w:pP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F85F2E">
            <w:pPr>
              <w:keepNext w:val="0"/>
              <w:keepLines w:val="0"/>
              <w:widowControl/>
              <w:suppressLineNumbers w:val="0"/>
              <w:jc w:val="left"/>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 xml:space="preserve"> 指标2：设备购置</w:t>
            </w: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B93407">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按实际支付</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54911D">
            <w:pPr>
              <w:widowControl/>
              <w:jc w:val="center"/>
              <w:textAlignment w:val="center"/>
              <w:rPr>
                <w:rFonts w:ascii="宋体" w:hAnsi="宋体" w:cs="宋体"/>
                <w:color w:val="000000"/>
                <w:sz w:val="24"/>
              </w:rPr>
            </w:pPr>
            <w:r>
              <w:rPr>
                <w:rFonts w:hint="eastAsia" w:ascii="宋体" w:hAnsi="宋体" w:cs="宋体"/>
                <w:color w:val="000000"/>
                <w:sz w:val="24"/>
              </w:rPr>
              <w:t>100%</w:t>
            </w:r>
          </w:p>
        </w:tc>
      </w:tr>
      <w:tr w14:paraId="41863F63">
        <w:tblPrEx>
          <w:tblCellMar>
            <w:top w:w="0" w:type="dxa"/>
            <w:left w:w="0" w:type="dxa"/>
            <w:bottom w:w="0" w:type="dxa"/>
            <w:right w:w="0" w:type="dxa"/>
          </w:tblCellMar>
        </w:tblPrEx>
        <w:trPr>
          <w:trHeight w:val="21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1C365782">
            <w:pPr>
              <w:widowControl/>
              <w:jc w:val="center"/>
              <w:textAlignment w:val="center"/>
              <w:rPr>
                <w:rFonts w:ascii="宋体" w:hAnsi="宋体" w:cs="宋体"/>
                <w:color w:val="000000"/>
                <w:sz w:val="24"/>
              </w:rPr>
            </w:pPr>
          </w:p>
        </w:tc>
        <w:tc>
          <w:tcPr>
            <w:tcW w:w="1512" w:type="dxa"/>
            <w:vMerge w:val="continue"/>
            <w:tcBorders>
              <w:left w:val="single" w:color="000000" w:sz="4" w:space="0"/>
              <w:right w:val="single" w:color="000000" w:sz="4" w:space="0"/>
            </w:tcBorders>
            <w:tcMar>
              <w:top w:w="15" w:type="dxa"/>
              <w:left w:w="15" w:type="dxa"/>
              <w:right w:w="15" w:type="dxa"/>
            </w:tcMar>
            <w:vAlign w:val="center"/>
          </w:tcPr>
          <w:p w14:paraId="758738C1">
            <w:pPr>
              <w:widowControl/>
              <w:jc w:val="center"/>
              <w:textAlignment w:val="center"/>
              <w:rPr>
                <w:rFonts w:ascii="宋体" w:hAnsi="宋体" w:cs="宋体"/>
                <w:color w:val="000000"/>
                <w:sz w:val="24"/>
              </w:rPr>
            </w:pPr>
          </w:p>
        </w:tc>
        <w:tc>
          <w:tcPr>
            <w:tcW w:w="1056" w:type="dxa"/>
            <w:vMerge w:val="continue"/>
            <w:tcBorders>
              <w:left w:val="single" w:color="000000" w:sz="4" w:space="0"/>
              <w:right w:val="single" w:color="000000" w:sz="4" w:space="0"/>
            </w:tcBorders>
            <w:tcMar>
              <w:top w:w="15" w:type="dxa"/>
              <w:left w:w="15" w:type="dxa"/>
              <w:right w:w="15" w:type="dxa"/>
            </w:tcMar>
            <w:vAlign w:val="center"/>
          </w:tcPr>
          <w:p w14:paraId="16BC8242">
            <w:pPr>
              <w:widowControl/>
              <w:jc w:val="center"/>
              <w:textAlignment w:val="center"/>
              <w:rPr>
                <w:rFonts w:ascii="宋体" w:hAnsi="宋体" w:cs="宋体"/>
                <w:color w:val="000000"/>
                <w:sz w:val="24"/>
              </w:rPr>
            </w:pP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A7CC5A">
            <w:pPr>
              <w:keepNext w:val="0"/>
              <w:keepLines w:val="0"/>
              <w:widowControl/>
              <w:suppressLineNumbers w:val="0"/>
              <w:jc w:val="left"/>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 xml:space="preserve"> 指标3：药品采购</w:t>
            </w: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E2C02F">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控制在收入内</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B3DDFB">
            <w:pPr>
              <w:widowControl/>
              <w:jc w:val="center"/>
              <w:textAlignment w:val="center"/>
              <w:rPr>
                <w:rFonts w:ascii="宋体" w:hAnsi="宋体" w:cs="宋体"/>
                <w:color w:val="000000"/>
                <w:sz w:val="24"/>
              </w:rPr>
            </w:pPr>
            <w:r>
              <w:rPr>
                <w:rFonts w:hint="eastAsia" w:ascii="宋体" w:hAnsi="宋体" w:cs="宋体"/>
                <w:color w:val="000000"/>
                <w:sz w:val="24"/>
              </w:rPr>
              <w:t>100%</w:t>
            </w:r>
          </w:p>
        </w:tc>
      </w:tr>
      <w:tr w14:paraId="18559F34">
        <w:tblPrEx>
          <w:tblCellMar>
            <w:top w:w="0" w:type="dxa"/>
            <w:left w:w="0" w:type="dxa"/>
            <w:bottom w:w="0" w:type="dxa"/>
            <w:right w:w="0" w:type="dxa"/>
          </w:tblCellMar>
        </w:tblPrEx>
        <w:trPr>
          <w:trHeight w:val="559"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304C99A1">
            <w:pPr>
              <w:widowControl/>
              <w:jc w:val="center"/>
              <w:textAlignment w:val="center"/>
              <w:rPr>
                <w:rFonts w:ascii="宋体" w:hAnsi="宋体" w:cs="宋体"/>
                <w:color w:val="000000"/>
                <w:sz w:val="24"/>
              </w:rPr>
            </w:pPr>
          </w:p>
        </w:tc>
        <w:tc>
          <w:tcPr>
            <w:tcW w:w="1512" w:type="dxa"/>
            <w:vMerge w:val="continue"/>
            <w:tcBorders>
              <w:left w:val="single" w:color="000000" w:sz="4" w:space="0"/>
              <w:right w:val="single" w:color="000000" w:sz="4" w:space="0"/>
            </w:tcBorders>
            <w:tcMar>
              <w:top w:w="15" w:type="dxa"/>
              <w:left w:w="15" w:type="dxa"/>
              <w:right w:w="15" w:type="dxa"/>
            </w:tcMar>
            <w:vAlign w:val="center"/>
          </w:tcPr>
          <w:p w14:paraId="27D0023B">
            <w:pPr>
              <w:widowControl/>
              <w:jc w:val="center"/>
              <w:textAlignment w:val="center"/>
              <w:rPr>
                <w:rFonts w:ascii="宋体" w:hAnsi="宋体" w:cs="宋体"/>
                <w:color w:val="000000"/>
                <w:sz w:val="24"/>
              </w:rPr>
            </w:pPr>
          </w:p>
        </w:tc>
        <w:tc>
          <w:tcPr>
            <w:tcW w:w="1056" w:type="dxa"/>
            <w:vMerge w:val="continue"/>
            <w:tcBorders>
              <w:left w:val="single" w:color="000000" w:sz="4" w:space="0"/>
              <w:right w:val="single" w:color="000000" w:sz="4" w:space="0"/>
            </w:tcBorders>
            <w:tcMar>
              <w:top w:w="15" w:type="dxa"/>
              <w:left w:w="15" w:type="dxa"/>
              <w:right w:w="15" w:type="dxa"/>
            </w:tcMar>
            <w:vAlign w:val="center"/>
          </w:tcPr>
          <w:p w14:paraId="11F37BB4">
            <w:pPr>
              <w:widowControl/>
              <w:jc w:val="center"/>
              <w:textAlignment w:val="center"/>
              <w:rPr>
                <w:rFonts w:ascii="宋体" w:hAnsi="宋体" w:cs="宋体"/>
                <w:color w:val="000000"/>
                <w:sz w:val="24"/>
              </w:rPr>
            </w:pP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5B9FA7">
            <w:pPr>
              <w:keepNext w:val="0"/>
              <w:keepLines w:val="0"/>
              <w:widowControl/>
              <w:suppressLineNumbers w:val="0"/>
              <w:jc w:val="left"/>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 xml:space="preserve"> 指标4：人员经费</w:t>
            </w: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78DC1A">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控制在预算标准内</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5FFDE1">
            <w:pPr>
              <w:widowControl/>
              <w:jc w:val="center"/>
              <w:textAlignment w:val="center"/>
              <w:rPr>
                <w:rFonts w:ascii="宋体" w:hAnsi="宋体" w:cs="宋体"/>
                <w:color w:val="000000"/>
                <w:sz w:val="24"/>
              </w:rPr>
            </w:pPr>
            <w:r>
              <w:rPr>
                <w:rFonts w:hint="eastAsia" w:ascii="宋体" w:hAnsi="宋体" w:cs="宋体"/>
                <w:color w:val="000000"/>
                <w:sz w:val="24"/>
              </w:rPr>
              <w:t>100%</w:t>
            </w:r>
          </w:p>
        </w:tc>
      </w:tr>
      <w:tr w14:paraId="62806E55">
        <w:tblPrEx>
          <w:tblCellMar>
            <w:top w:w="0" w:type="dxa"/>
            <w:left w:w="0" w:type="dxa"/>
            <w:bottom w:w="0" w:type="dxa"/>
            <w:right w:w="0" w:type="dxa"/>
          </w:tblCellMar>
        </w:tblPrEx>
        <w:trPr>
          <w:trHeight w:val="21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179D32F3">
            <w:pPr>
              <w:widowControl/>
              <w:jc w:val="center"/>
              <w:textAlignment w:val="center"/>
              <w:rPr>
                <w:rFonts w:ascii="宋体" w:hAnsi="宋体" w:cs="宋体"/>
                <w:color w:val="000000"/>
                <w:sz w:val="24"/>
              </w:rPr>
            </w:pPr>
          </w:p>
        </w:tc>
        <w:tc>
          <w:tcPr>
            <w:tcW w:w="1512"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3F1E1432">
            <w:pPr>
              <w:widowControl/>
              <w:jc w:val="center"/>
              <w:textAlignment w:val="center"/>
              <w:rPr>
                <w:rFonts w:ascii="宋体" w:hAnsi="宋体" w:cs="宋体"/>
                <w:color w:val="000000"/>
                <w:sz w:val="24"/>
              </w:rPr>
            </w:pPr>
          </w:p>
        </w:tc>
        <w:tc>
          <w:tcPr>
            <w:tcW w:w="1056"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467109EB">
            <w:pPr>
              <w:widowControl/>
              <w:jc w:val="center"/>
              <w:textAlignment w:val="center"/>
              <w:rPr>
                <w:rFonts w:ascii="宋体" w:hAnsi="宋体" w:cs="宋体"/>
                <w:color w:val="000000"/>
                <w:sz w:val="24"/>
              </w:rPr>
            </w:pP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46E3C7">
            <w:pPr>
              <w:keepNext w:val="0"/>
              <w:keepLines w:val="0"/>
              <w:widowControl/>
              <w:suppressLineNumbers w:val="0"/>
              <w:jc w:val="left"/>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 xml:space="preserve"> 指标5：公用经费</w:t>
            </w: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43A71D">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控制在预算范围内</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D4CCFB">
            <w:pPr>
              <w:widowControl/>
              <w:jc w:val="center"/>
              <w:textAlignment w:val="center"/>
              <w:rPr>
                <w:rFonts w:ascii="宋体" w:hAnsi="宋体" w:cs="宋体"/>
                <w:color w:val="000000"/>
                <w:sz w:val="24"/>
              </w:rPr>
            </w:pPr>
            <w:r>
              <w:rPr>
                <w:rFonts w:hint="eastAsia" w:ascii="宋体" w:hAnsi="宋体" w:cs="宋体"/>
                <w:color w:val="000000"/>
                <w:sz w:val="24"/>
              </w:rPr>
              <w:t>100%</w:t>
            </w:r>
          </w:p>
        </w:tc>
      </w:tr>
      <w:tr w14:paraId="22DAAFA3">
        <w:tblPrEx>
          <w:tblCellMar>
            <w:top w:w="0" w:type="dxa"/>
            <w:left w:w="0" w:type="dxa"/>
            <w:bottom w:w="0" w:type="dxa"/>
            <w:right w:w="0" w:type="dxa"/>
          </w:tblCellMar>
        </w:tblPrEx>
        <w:trPr>
          <w:trHeight w:val="355"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78E47CE6">
            <w:pPr>
              <w:widowControl/>
              <w:jc w:val="center"/>
              <w:textAlignment w:val="center"/>
              <w:rPr>
                <w:rFonts w:ascii="宋体" w:hAnsi="宋体" w:cs="宋体"/>
                <w:color w:val="000000"/>
                <w:sz w:val="24"/>
              </w:rPr>
            </w:pPr>
          </w:p>
        </w:tc>
        <w:tc>
          <w:tcPr>
            <w:tcW w:w="151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32DD921">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56"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7EE2673C">
            <w:pPr>
              <w:widowControl/>
              <w:jc w:val="center"/>
              <w:textAlignment w:val="center"/>
              <w:rPr>
                <w:rFonts w:ascii="宋体" w:hAnsi="宋体" w:cs="宋体"/>
                <w:color w:val="000000"/>
                <w:sz w:val="24"/>
              </w:rPr>
            </w:pPr>
            <w:r>
              <w:rPr>
                <w:rFonts w:hint="eastAsia" w:ascii="宋体" w:cs="宋体"/>
                <w:color w:val="000000"/>
                <w:sz w:val="24"/>
              </w:rPr>
              <w:t>经济效益指标</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0CA275">
            <w:pPr>
              <w:keepNext w:val="0"/>
              <w:keepLines w:val="0"/>
              <w:widowControl/>
              <w:suppressLineNumbers w:val="0"/>
              <w:jc w:val="left"/>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 xml:space="preserve"> 指标1：财政收入</w:t>
            </w: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5A436A">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有所提高</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4E848E">
            <w:pPr>
              <w:widowControl/>
              <w:jc w:val="center"/>
              <w:textAlignment w:val="center"/>
              <w:rPr>
                <w:rFonts w:ascii="宋体" w:hAnsi="宋体" w:cs="宋体"/>
                <w:color w:val="000000"/>
                <w:sz w:val="24"/>
              </w:rPr>
            </w:pPr>
            <w:r>
              <w:rPr>
                <w:rFonts w:hint="eastAsia" w:ascii="宋体" w:hAnsi="宋体" w:cs="宋体"/>
                <w:color w:val="000000"/>
                <w:sz w:val="24"/>
              </w:rPr>
              <w:t>100%</w:t>
            </w:r>
          </w:p>
        </w:tc>
      </w:tr>
      <w:tr w14:paraId="3AF5DB58">
        <w:tblPrEx>
          <w:tblCellMar>
            <w:top w:w="0" w:type="dxa"/>
            <w:left w:w="0" w:type="dxa"/>
            <w:bottom w:w="0" w:type="dxa"/>
            <w:right w:w="0" w:type="dxa"/>
          </w:tblCellMar>
        </w:tblPrEx>
        <w:trPr>
          <w:trHeight w:val="355"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2721711C">
            <w:pPr>
              <w:widowControl/>
              <w:jc w:val="center"/>
              <w:textAlignment w:val="center"/>
            </w:pPr>
          </w:p>
        </w:tc>
        <w:tc>
          <w:tcPr>
            <w:tcW w:w="1512" w:type="dxa"/>
            <w:vMerge w:val="continue"/>
            <w:tcBorders>
              <w:left w:val="single" w:color="000000" w:sz="4" w:space="0"/>
              <w:right w:val="single" w:color="000000" w:sz="4" w:space="0"/>
            </w:tcBorders>
            <w:tcMar>
              <w:top w:w="15" w:type="dxa"/>
              <w:left w:w="15" w:type="dxa"/>
              <w:right w:w="15" w:type="dxa"/>
            </w:tcMar>
            <w:vAlign w:val="center"/>
          </w:tcPr>
          <w:p w14:paraId="1B6C2E04">
            <w:pPr>
              <w:widowControl/>
              <w:jc w:val="center"/>
              <w:textAlignment w:val="center"/>
            </w:pPr>
          </w:p>
        </w:tc>
        <w:tc>
          <w:tcPr>
            <w:tcW w:w="1056" w:type="dxa"/>
            <w:vMerge w:val="continue"/>
            <w:tcBorders>
              <w:left w:val="single" w:color="000000" w:sz="4" w:space="0"/>
              <w:right w:val="single" w:color="000000" w:sz="4" w:space="0"/>
            </w:tcBorders>
            <w:tcMar>
              <w:top w:w="15" w:type="dxa"/>
              <w:left w:w="15" w:type="dxa"/>
              <w:right w:w="15" w:type="dxa"/>
            </w:tcMar>
            <w:vAlign w:val="center"/>
          </w:tcPr>
          <w:p w14:paraId="70C8134B">
            <w:pPr>
              <w:widowControl/>
              <w:jc w:val="center"/>
              <w:textAlignment w:val="center"/>
            </w:pP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AAA8E2">
            <w:pPr>
              <w:keepNext w:val="0"/>
              <w:keepLines w:val="0"/>
              <w:widowControl/>
              <w:suppressLineNumbers w:val="0"/>
              <w:jc w:val="left"/>
              <w:textAlignment w:val="center"/>
              <w:rPr>
                <w:rFonts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 指标2：人员就业 </w:t>
            </w: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15B796">
            <w:pPr>
              <w:keepNext w:val="0"/>
              <w:keepLines w:val="0"/>
              <w:widowControl/>
              <w:suppressLineNumbers w:val="0"/>
              <w:jc w:val="center"/>
              <w:textAlignment w:val="center"/>
              <w:rPr>
                <w:rFonts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得到保障</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182F81">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100%</w:t>
            </w:r>
          </w:p>
        </w:tc>
      </w:tr>
      <w:tr w14:paraId="2DBFCC27">
        <w:tblPrEx>
          <w:tblCellMar>
            <w:top w:w="0" w:type="dxa"/>
            <w:left w:w="0" w:type="dxa"/>
            <w:bottom w:w="0" w:type="dxa"/>
            <w:right w:w="0" w:type="dxa"/>
          </w:tblCellMar>
        </w:tblPrEx>
        <w:trPr>
          <w:trHeight w:val="355"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3DF54F83">
            <w:pPr>
              <w:widowControl/>
              <w:jc w:val="center"/>
              <w:textAlignment w:val="center"/>
              <w:rPr>
                <w:rFonts w:ascii="宋体" w:hAnsi="宋体" w:cs="宋体"/>
                <w:color w:val="000000"/>
                <w:sz w:val="24"/>
              </w:rPr>
            </w:pPr>
          </w:p>
        </w:tc>
        <w:tc>
          <w:tcPr>
            <w:tcW w:w="1512"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16855A77">
            <w:pPr>
              <w:widowControl/>
              <w:jc w:val="center"/>
              <w:textAlignment w:val="center"/>
              <w:rPr>
                <w:rFonts w:ascii="宋体" w:hAnsi="宋体" w:cs="宋体"/>
                <w:color w:val="000000"/>
                <w:sz w:val="24"/>
              </w:rPr>
            </w:pPr>
          </w:p>
        </w:tc>
        <w:tc>
          <w:tcPr>
            <w:tcW w:w="1056"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56871465">
            <w:pPr>
              <w:widowControl/>
              <w:jc w:val="center"/>
              <w:textAlignment w:val="center"/>
              <w:rPr>
                <w:rFonts w:ascii="宋体" w:hAnsi="宋体" w:cs="宋体"/>
                <w:color w:val="000000"/>
                <w:sz w:val="24"/>
              </w:rPr>
            </w:pP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235B94">
            <w:pPr>
              <w:keepNext w:val="0"/>
              <w:keepLines w:val="0"/>
              <w:widowControl/>
              <w:suppressLineNumbers w:val="0"/>
              <w:jc w:val="left"/>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 xml:space="preserve"> 指标3：相关产业发展</w:t>
            </w: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66E6D0">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得到带动</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043898">
            <w:pPr>
              <w:widowControl/>
              <w:jc w:val="center"/>
              <w:textAlignment w:val="center"/>
              <w:rPr>
                <w:rFonts w:ascii="宋体" w:hAnsi="宋体" w:cs="宋体"/>
                <w:color w:val="000000"/>
                <w:sz w:val="24"/>
              </w:rPr>
            </w:pPr>
            <w:r>
              <w:rPr>
                <w:rFonts w:hint="eastAsia" w:ascii="宋体" w:hAnsi="宋体" w:cs="宋体"/>
                <w:color w:val="000000"/>
                <w:sz w:val="24"/>
              </w:rPr>
              <w:t>100%</w:t>
            </w:r>
          </w:p>
        </w:tc>
      </w:tr>
      <w:tr w14:paraId="186B8E61">
        <w:tblPrEx>
          <w:tblCellMar>
            <w:top w:w="0" w:type="dxa"/>
            <w:left w:w="0" w:type="dxa"/>
            <w:bottom w:w="0" w:type="dxa"/>
            <w:right w:w="0" w:type="dxa"/>
          </w:tblCellMar>
        </w:tblPrEx>
        <w:trPr>
          <w:trHeight w:val="529"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6C4E7EEB">
            <w:pPr>
              <w:widowControl/>
              <w:jc w:val="center"/>
              <w:textAlignment w:val="center"/>
              <w:rPr>
                <w:rFonts w:ascii="宋体" w:hAnsi="宋体" w:cs="宋体"/>
                <w:color w:val="000000"/>
                <w:sz w:val="24"/>
              </w:rPr>
            </w:pPr>
          </w:p>
        </w:tc>
        <w:tc>
          <w:tcPr>
            <w:tcW w:w="151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3E31E7EB">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56"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48D00DB2">
            <w:pPr>
              <w:widowControl/>
              <w:jc w:val="center"/>
              <w:textAlignment w:val="center"/>
              <w:rPr>
                <w:rFonts w:ascii="宋体" w:hAnsi="宋体" w:cs="宋体"/>
                <w:color w:val="000000"/>
                <w:sz w:val="24"/>
              </w:rPr>
            </w:pPr>
            <w:r>
              <w:rPr>
                <w:rFonts w:hint="eastAsia" w:ascii="宋体" w:cs="宋体"/>
                <w:color w:val="000000"/>
                <w:sz w:val="24"/>
              </w:rPr>
              <w:t>社会效益指标</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4DA028">
            <w:pPr>
              <w:keepNext w:val="0"/>
              <w:keepLines w:val="0"/>
              <w:widowControl/>
              <w:suppressLineNumbers w:val="0"/>
              <w:jc w:val="left"/>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 xml:space="preserve"> 指标1：群众生活和就医环境 </w:t>
            </w: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AAA881">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持续改进</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02A697">
            <w:pPr>
              <w:widowControl/>
              <w:jc w:val="center"/>
              <w:textAlignment w:val="center"/>
              <w:rPr>
                <w:rFonts w:ascii="宋体" w:hAnsi="宋体" w:cs="宋体"/>
                <w:color w:val="000000"/>
                <w:sz w:val="24"/>
              </w:rPr>
            </w:pPr>
            <w:r>
              <w:rPr>
                <w:rFonts w:hint="eastAsia" w:ascii="宋体" w:hAnsi="宋体" w:cs="宋体"/>
                <w:color w:val="000000"/>
                <w:sz w:val="24"/>
              </w:rPr>
              <w:t>100%</w:t>
            </w:r>
          </w:p>
        </w:tc>
      </w:tr>
      <w:tr w14:paraId="328B399B">
        <w:tblPrEx>
          <w:tblCellMar>
            <w:top w:w="0" w:type="dxa"/>
            <w:left w:w="0" w:type="dxa"/>
            <w:bottom w:w="0" w:type="dxa"/>
            <w:right w:w="0" w:type="dxa"/>
          </w:tblCellMar>
        </w:tblPrEx>
        <w:trPr>
          <w:trHeight w:val="559"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8772B9B">
            <w:pPr>
              <w:widowControl/>
              <w:jc w:val="center"/>
              <w:textAlignment w:val="center"/>
            </w:pPr>
          </w:p>
        </w:tc>
        <w:tc>
          <w:tcPr>
            <w:tcW w:w="1512" w:type="dxa"/>
            <w:vMerge w:val="continue"/>
            <w:tcBorders>
              <w:left w:val="single" w:color="000000" w:sz="4" w:space="0"/>
              <w:right w:val="single" w:color="000000" w:sz="4" w:space="0"/>
            </w:tcBorders>
            <w:tcMar>
              <w:top w:w="15" w:type="dxa"/>
              <w:left w:w="15" w:type="dxa"/>
              <w:right w:w="15" w:type="dxa"/>
            </w:tcMar>
            <w:vAlign w:val="center"/>
          </w:tcPr>
          <w:p w14:paraId="61C2E83E">
            <w:pPr>
              <w:widowControl/>
              <w:jc w:val="center"/>
              <w:textAlignment w:val="center"/>
            </w:pPr>
          </w:p>
        </w:tc>
        <w:tc>
          <w:tcPr>
            <w:tcW w:w="1056" w:type="dxa"/>
            <w:vMerge w:val="continue"/>
            <w:tcBorders>
              <w:left w:val="single" w:color="000000" w:sz="4" w:space="0"/>
              <w:right w:val="single" w:color="000000" w:sz="4" w:space="0"/>
            </w:tcBorders>
            <w:tcMar>
              <w:top w:w="15" w:type="dxa"/>
              <w:left w:w="15" w:type="dxa"/>
              <w:right w:w="15" w:type="dxa"/>
            </w:tcMar>
            <w:vAlign w:val="center"/>
          </w:tcPr>
          <w:p w14:paraId="116C49A9">
            <w:pPr>
              <w:widowControl/>
              <w:jc w:val="center"/>
              <w:textAlignment w:val="center"/>
            </w:pP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85035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指标2：城乡居民基本公共卫生服务差距 </w:t>
            </w: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05DE0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不断缩小</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492B10">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color w:val="000000"/>
                <w:sz w:val="24"/>
              </w:rPr>
              <w:t>100%</w:t>
            </w:r>
          </w:p>
        </w:tc>
      </w:tr>
      <w:tr w14:paraId="4E465F64">
        <w:tblPrEx>
          <w:tblCellMar>
            <w:top w:w="0" w:type="dxa"/>
            <w:left w:w="0" w:type="dxa"/>
            <w:bottom w:w="0" w:type="dxa"/>
            <w:right w:w="0" w:type="dxa"/>
          </w:tblCellMar>
        </w:tblPrEx>
        <w:trPr>
          <w:trHeight w:val="596"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0B28112">
            <w:pPr>
              <w:widowControl/>
              <w:jc w:val="center"/>
              <w:textAlignment w:val="center"/>
              <w:rPr>
                <w:rFonts w:ascii="宋体" w:hAnsi="宋体" w:cs="宋体"/>
                <w:color w:val="000000"/>
                <w:sz w:val="24"/>
              </w:rPr>
            </w:pPr>
          </w:p>
        </w:tc>
        <w:tc>
          <w:tcPr>
            <w:tcW w:w="151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5D48CB13">
            <w:pPr>
              <w:widowControl/>
              <w:jc w:val="center"/>
              <w:textAlignment w:val="center"/>
              <w:rPr>
                <w:rFonts w:ascii="宋体" w:hAnsi="宋体" w:cs="宋体"/>
                <w:color w:val="000000"/>
                <w:kern w:val="0"/>
                <w:sz w:val="24"/>
              </w:rPr>
            </w:pPr>
            <w:r>
              <w:rPr>
                <w:rFonts w:hint="eastAsia" w:ascii="宋体" w:hAnsi="宋体" w:cs="宋体"/>
                <w:color w:val="000000"/>
                <w:kern w:val="0"/>
                <w:sz w:val="24"/>
              </w:rPr>
              <w:t>效益指标</w:t>
            </w:r>
          </w:p>
        </w:tc>
        <w:tc>
          <w:tcPr>
            <w:tcW w:w="1056"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2906B9D6">
            <w:pPr>
              <w:widowControl/>
              <w:jc w:val="center"/>
              <w:textAlignment w:val="center"/>
              <w:rPr>
                <w:rFonts w:ascii="宋体" w:cs="宋体"/>
                <w:color w:val="000000"/>
                <w:sz w:val="24"/>
              </w:rPr>
            </w:pPr>
            <w:r>
              <w:rPr>
                <w:rFonts w:hint="eastAsia" w:ascii="宋体" w:cs="宋体"/>
                <w:color w:val="000000"/>
                <w:sz w:val="24"/>
              </w:rPr>
              <w:t>可持续影响指标</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1DC508">
            <w:pPr>
              <w:keepNext w:val="0"/>
              <w:keepLines w:val="0"/>
              <w:widowControl/>
              <w:suppressLineNumbers w:val="0"/>
              <w:jc w:val="left"/>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 xml:space="preserve"> 指标1：基本公共卫生服务水平 </w:t>
            </w: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4A0FFD">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有所提高</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87D734">
            <w:pPr>
              <w:widowControl/>
              <w:jc w:val="center"/>
              <w:textAlignment w:val="center"/>
              <w:rPr>
                <w:rFonts w:ascii="宋体" w:hAnsi="宋体" w:cs="宋体"/>
                <w:color w:val="000000"/>
                <w:sz w:val="24"/>
              </w:rPr>
            </w:pPr>
            <w:r>
              <w:rPr>
                <w:rFonts w:hint="eastAsia" w:ascii="宋体" w:hAnsi="宋体" w:cs="宋体"/>
                <w:color w:val="000000"/>
                <w:sz w:val="24"/>
              </w:rPr>
              <w:t>100%</w:t>
            </w:r>
          </w:p>
        </w:tc>
      </w:tr>
      <w:tr w14:paraId="1797893B">
        <w:tblPrEx>
          <w:tblCellMar>
            <w:top w:w="0" w:type="dxa"/>
            <w:left w:w="0" w:type="dxa"/>
            <w:bottom w:w="0" w:type="dxa"/>
            <w:right w:w="0" w:type="dxa"/>
          </w:tblCellMar>
        </w:tblPrEx>
        <w:trPr>
          <w:trHeight w:val="561"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0AEDF279">
            <w:pPr>
              <w:widowControl/>
              <w:jc w:val="both"/>
              <w:textAlignment w:val="center"/>
            </w:pPr>
          </w:p>
        </w:tc>
        <w:tc>
          <w:tcPr>
            <w:tcW w:w="1512"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6D884989">
            <w:pPr>
              <w:widowControl/>
              <w:jc w:val="both"/>
              <w:textAlignment w:val="center"/>
            </w:pPr>
          </w:p>
        </w:tc>
        <w:tc>
          <w:tcPr>
            <w:tcW w:w="1056"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53534ADB">
            <w:pPr>
              <w:widowControl/>
              <w:jc w:val="both"/>
              <w:textAlignment w:val="center"/>
            </w:pP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8962B3">
            <w:pPr>
              <w:keepNext w:val="0"/>
              <w:keepLines w:val="0"/>
              <w:widowControl/>
              <w:suppressLineNumbers w:val="0"/>
              <w:jc w:val="left"/>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 xml:space="preserve"> 指标2：医务人员技术</w:t>
            </w: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941FCE">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有所提高</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6B6046">
            <w:pPr>
              <w:widowControl/>
              <w:jc w:val="center"/>
              <w:textAlignment w:val="center"/>
              <w:rPr>
                <w:rFonts w:ascii="宋体" w:hAnsi="宋体" w:cs="宋体"/>
                <w:color w:val="000000"/>
                <w:sz w:val="24"/>
              </w:rPr>
            </w:pPr>
            <w:r>
              <w:rPr>
                <w:rFonts w:hint="eastAsia" w:ascii="宋体" w:hAnsi="宋体" w:cs="宋体"/>
                <w:color w:val="000000"/>
                <w:sz w:val="24"/>
              </w:rPr>
              <w:t>100%</w:t>
            </w:r>
          </w:p>
        </w:tc>
      </w:tr>
      <w:tr w14:paraId="4621A916">
        <w:tblPrEx>
          <w:tblCellMar>
            <w:top w:w="0" w:type="dxa"/>
            <w:left w:w="0" w:type="dxa"/>
            <w:bottom w:w="0" w:type="dxa"/>
            <w:right w:w="0" w:type="dxa"/>
          </w:tblCellMar>
        </w:tblPrEx>
        <w:trPr>
          <w:trHeight w:val="931"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0444CEBB">
            <w:pPr>
              <w:widowControl/>
              <w:jc w:val="center"/>
              <w:textAlignment w:val="center"/>
              <w:rPr>
                <w:rFonts w:ascii="宋体" w:hAnsi="宋体" w:cs="宋体"/>
                <w:color w:val="000000"/>
                <w:sz w:val="24"/>
              </w:rPr>
            </w:pPr>
          </w:p>
        </w:tc>
        <w:tc>
          <w:tcPr>
            <w:tcW w:w="15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2A5E56">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0FFC39">
            <w:pPr>
              <w:widowControl/>
              <w:jc w:val="center"/>
              <w:textAlignment w:val="center"/>
              <w:rPr>
                <w:rFonts w:ascii="宋体" w:hAnsi="宋体" w:cs="宋体"/>
                <w:color w:val="000000"/>
                <w:sz w:val="24"/>
              </w:rPr>
            </w:pPr>
            <w:r>
              <w:rPr>
                <w:rFonts w:hint="eastAsia" w:ascii="宋体" w:cs="宋体"/>
                <w:color w:val="000000"/>
                <w:sz w:val="24"/>
              </w:rPr>
              <w:t>服务对象满意度指标</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ACE4D6">
            <w:pPr>
              <w:keepNext w:val="0"/>
              <w:keepLines w:val="0"/>
              <w:widowControl/>
              <w:suppressLineNumbers w:val="0"/>
              <w:jc w:val="left"/>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 xml:space="preserve"> 指标1：服务对象满意度</w:t>
            </w:r>
          </w:p>
        </w:tc>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CCDB90">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≧95%</w:t>
            </w:r>
          </w:p>
        </w:tc>
        <w:tc>
          <w:tcPr>
            <w:tcW w:w="2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4079F8">
            <w:pPr>
              <w:widowControl/>
              <w:jc w:val="center"/>
              <w:textAlignment w:val="center"/>
              <w:rPr>
                <w:rFonts w:ascii="宋体" w:hAnsi="宋体" w:cs="宋体"/>
                <w:color w:val="000000"/>
                <w:sz w:val="24"/>
              </w:rPr>
            </w:pPr>
            <w:r>
              <w:rPr>
                <w:rFonts w:hint="eastAsia" w:ascii="宋体" w:hAnsi="宋体" w:cs="宋体"/>
                <w:color w:val="000000"/>
                <w:sz w:val="24"/>
              </w:rPr>
              <w:t>100%</w:t>
            </w:r>
          </w:p>
        </w:tc>
      </w:tr>
    </w:tbl>
    <w:p w14:paraId="550FB280">
      <w:pPr>
        <w:spacing w:line="580" w:lineRule="exact"/>
        <w:ind w:firstLine="640" w:firstLineChars="200"/>
        <w:rPr>
          <w:rFonts w:hint="eastAsia" w:ascii="楷体_GB2312" w:hAnsi="楷体_GB2312" w:eastAsia="楷体_GB2312" w:cs="楷体_GB2312"/>
          <w:sz w:val="32"/>
          <w:szCs w:val="32"/>
        </w:rPr>
      </w:pPr>
    </w:p>
    <w:p w14:paraId="0396582E">
      <w:pPr>
        <w:spacing w:line="580" w:lineRule="exact"/>
        <w:ind w:firstLine="640" w:firstLineChars="200"/>
        <w:rPr>
          <w:rFonts w:hint="eastAsia" w:ascii="楷体_GB2312" w:hAnsi="楷体_GB2312" w:eastAsia="楷体_GB2312" w:cs="楷体_GB2312"/>
          <w:sz w:val="32"/>
          <w:szCs w:val="32"/>
        </w:rPr>
      </w:pPr>
    </w:p>
    <w:p w14:paraId="28883F67">
      <w:pPr>
        <w:spacing w:line="580" w:lineRule="exact"/>
        <w:ind w:firstLine="640" w:firstLineChars="200"/>
        <w:rPr>
          <w:rFonts w:hint="eastAsia" w:ascii="楷体_GB2312" w:hAnsi="楷体_GB2312" w:eastAsia="楷体_GB2312" w:cs="楷体_GB2312"/>
          <w:sz w:val="32"/>
          <w:szCs w:val="32"/>
        </w:rPr>
      </w:pPr>
    </w:p>
    <w:p w14:paraId="47AE96B4">
      <w:pPr>
        <w:spacing w:line="580" w:lineRule="exact"/>
        <w:ind w:firstLine="640" w:firstLineChars="200"/>
        <w:rPr>
          <w:rFonts w:hint="eastAsia" w:ascii="楷体_GB2312" w:hAnsi="楷体_GB2312" w:eastAsia="楷体_GB2312" w:cs="楷体_GB2312"/>
          <w:sz w:val="32"/>
          <w:szCs w:val="32"/>
        </w:rPr>
      </w:pPr>
    </w:p>
    <w:p w14:paraId="6FCDD18F">
      <w:pPr>
        <w:spacing w:line="580" w:lineRule="exact"/>
        <w:ind w:firstLine="640" w:firstLineChars="200"/>
        <w:rPr>
          <w:rFonts w:hint="eastAsia" w:ascii="楷体_GB2312" w:hAnsi="楷体_GB2312" w:eastAsia="楷体_GB2312" w:cs="楷体_GB2312"/>
          <w:sz w:val="32"/>
          <w:szCs w:val="32"/>
        </w:rPr>
      </w:pPr>
    </w:p>
    <w:p w14:paraId="725D881B">
      <w:pPr>
        <w:spacing w:line="580" w:lineRule="exact"/>
        <w:ind w:firstLine="640" w:firstLineChars="200"/>
        <w:rPr>
          <w:rFonts w:hint="eastAsia" w:ascii="楷体_GB2312" w:hAnsi="楷体_GB2312" w:eastAsia="楷体_GB2312" w:cs="楷体_GB2312"/>
          <w:sz w:val="32"/>
          <w:szCs w:val="32"/>
        </w:rPr>
      </w:pPr>
    </w:p>
    <w:p w14:paraId="7DBD33BC">
      <w:pPr>
        <w:spacing w:line="580" w:lineRule="exact"/>
        <w:ind w:firstLine="640" w:firstLineChars="200"/>
        <w:rPr>
          <w:rFonts w:hint="eastAsia" w:ascii="楷体_GB2312" w:hAnsi="楷体_GB2312" w:eastAsia="楷体_GB2312" w:cs="楷体_GB2312"/>
          <w:sz w:val="32"/>
          <w:szCs w:val="32"/>
        </w:rPr>
      </w:pPr>
    </w:p>
    <w:p w14:paraId="5AC3DF97">
      <w:pPr>
        <w:spacing w:line="580" w:lineRule="exact"/>
        <w:ind w:firstLine="640" w:firstLineChars="200"/>
        <w:rPr>
          <w:rFonts w:hint="eastAsia" w:ascii="楷体_GB2312" w:hAnsi="楷体_GB2312" w:eastAsia="楷体_GB2312" w:cs="楷体_GB2312"/>
          <w:sz w:val="32"/>
          <w:szCs w:val="32"/>
        </w:rPr>
      </w:pPr>
    </w:p>
    <w:p w14:paraId="4D03E5EE">
      <w:pPr>
        <w:spacing w:line="580" w:lineRule="exact"/>
        <w:ind w:firstLine="640" w:firstLineChars="200"/>
        <w:rPr>
          <w:rFonts w:hint="eastAsia" w:ascii="楷体_GB2312" w:hAnsi="楷体_GB2312" w:eastAsia="楷体_GB2312" w:cs="楷体_GB2312"/>
          <w:sz w:val="32"/>
          <w:szCs w:val="32"/>
        </w:rPr>
      </w:pPr>
    </w:p>
    <w:p w14:paraId="60032D58">
      <w:pPr>
        <w:spacing w:line="580" w:lineRule="exact"/>
        <w:ind w:firstLine="640" w:firstLineChars="200"/>
        <w:rPr>
          <w:rFonts w:hint="eastAsia" w:ascii="楷体_GB2312" w:hAnsi="楷体_GB2312" w:eastAsia="楷体_GB2312" w:cs="楷体_GB2312"/>
          <w:sz w:val="32"/>
          <w:szCs w:val="32"/>
        </w:rPr>
      </w:pPr>
    </w:p>
    <w:p w14:paraId="5F19159A">
      <w:pPr>
        <w:spacing w:line="580" w:lineRule="exact"/>
        <w:ind w:firstLine="640" w:firstLineChars="200"/>
        <w:rPr>
          <w:rFonts w:hint="eastAsia" w:ascii="楷体_GB2312" w:hAnsi="楷体_GB2312" w:eastAsia="楷体_GB2312" w:cs="楷体_GB2312"/>
          <w:sz w:val="32"/>
          <w:szCs w:val="32"/>
        </w:rPr>
      </w:pPr>
    </w:p>
    <w:p w14:paraId="06808727">
      <w:pPr>
        <w:spacing w:line="580" w:lineRule="exact"/>
        <w:ind w:firstLine="640" w:firstLineChars="200"/>
        <w:rPr>
          <w:rFonts w:hint="eastAsia" w:ascii="楷体_GB2312" w:hAnsi="楷体_GB2312" w:eastAsia="楷体_GB2312" w:cs="楷体_GB2312"/>
          <w:sz w:val="32"/>
          <w:szCs w:val="32"/>
        </w:rPr>
      </w:pPr>
    </w:p>
    <w:p w14:paraId="6E112032">
      <w:pPr>
        <w:spacing w:line="580" w:lineRule="exact"/>
        <w:ind w:firstLine="640" w:firstLineChars="200"/>
        <w:rPr>
          <w:rFonts w:hint="eastAsia" w:ascii="楷体_GB2312" w:hAnsi="楷体_GB2312" w:eastAsia="楷体_GB2312" w:cs="楷体_GB2312"/>
          <w:sz w:val="32"/>
          <w:szCs w:val="32"/>
        </w:rPr>
      </w:pPr>
    </w:p>
    <w:p w14:paraId="74619FF7">
      <w:pPr>
        <w:spacing w:line="580" w:lineRule="exact"/>
        <w:ind w:firstLine="640" w:firstLineChars="200"/>
        <w:rPr>
          <w:rFonts w:hint="eastAsia" w:ascii="楷体_GB2312" w:hAnsi="楷体_GB2312" w:eastAsia="楷体_GB2312" w:cs="楷体_GB2312"/>
          <w:sz w:val="32"/>
          <w:szCs w:val="32"/>
        </w:rPr>
      </w:pPr>
    </w:p>
    <w:p w14:paraId="0D264F2F">
      <w:pPr>
        <w:spacing w:line="580" w:lineRule="exact"/>
        <w:ind w:firstLine="640" w:firstLineChars="200"/>
        <w:rPr>
          <w:rFonts w:hint="eastAsia" w:ascii="楷体_GB2312" w:hAnsi="楷体_GB2312" w:eastAsia="楷体_GB2312" w:cs="楷体_GB2312"/>
          <w:sz w:val="32"/>
          <w:szCs w:val="32"/>
        </w:rPr>
      </w:pPr>
    </w:p>
    <w:p w14:paraId="75E9DAD4">
      <w:pPr>
        <w:spacing w:line="580" w:lineRule="exact"/>
        <w:ind w:firstLine="640" w:firstLineChars="200"/>
        <w:rPr>
          <w:rFonts w:hint="eastAsia" w:ascii="楷体_GB2312" w:hAnsi="楷体_GB2312" w:eastAsia="楷体_GB2312" w:cs="楷体_GB2312"/>
          <w:sz w:val="32"/>
          <w:szCs w:val="32"/>
        </w:rPr>
      </w:pPr>
    </w:p>
    <w:tbl>
      <w:tblPr>
        <w:tblStyle w:val="14"/>
        <w:tblpPr w:leftFromText="180" w:rightFromText="180" w:vertAnchor="text" w:horzAnchor="page" w:tblpX="967" w:tblpY="1007"/>
        <w:tblOverlap w:val="never"/>
        <w:tblW w:w="10047" w:type="dxa"/>
        <w:jc w:val="center"/>
        <w:tblLayout w:type="fixed"/>
        <w:tblCellMar>
          <w:top w:w="0" w:type="dxa"/>
          <w:left w:w="0" w:type="dxa"/>
          <w:bottom w:w="0" w:type="dxa"/>
          <w:right w:w="0" w:type="dxa"/>
        </w:tblCellMar>
      </w:tblPr>
      <w:tblGrid>
        <w:gridCol w:w="390"/>
        <w:gridCol w:w="1367"/>
        <w:gridCol w:w="1025"/>
        <w:gridCol w:w="2393"/>
        <w:gridCol w:w="2393"/>
        <w:gridCol w:w="2479"/>
      </w:tblGrid>
      <w:tr w14:paraId="4F1CCE1D">
        <w:tblPrEx>
          <w:tblCellMar>
            <w:top w:w="0" w:type="dxa"/>
            <w:left w:w="0" w:type="dxa"/>
            <w:bottom w:w="0" w:type="dxa"/>
            <w:right w:w="0" w:type="dxa"/>
          </w:tblCellMar>
        </w:tblPrEx>
        <w:trPr>
          <w:trHeight w:val="1158" w:hRule="atLeast"/>
          <w:jc w:val="center"/>
        </w:trPr>
        <w:tc>
          <w:tcPr>
            <w:tcW w:w="10047" w:type="dxa"/>
            <w:gridSpan w:val="6"/>
            <w:tcBorders>
              <w:top w:val="nil"/>
              <w:left w:val="nil"/>
              <w:bottom w:val="nil"/>
              <w:right w:val="nil"/>
            </w:tcBorders>
            <w:tcMar>
              <w:top w:w="15" w:type="dxa"/>
              <w:left w:w="15" w:type="dxa"/>
              <w:right w:w="15" w:type="dxa"/>
            </w:tcMar>
            <w:vAlign w:val="center"/>
          </w:tcPr>
          <w:p w14:paraId="6FB10FF1">
            <w:pPr>
              <w:widowControl/>
              <w:ind w:left="3598" w:leftChars="1197" w:hanging="1084" w:hangingChars="300"/>
              <w:jc w:val="both"/>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lang w:val="en-US" w:eastAsia="zh-CN"/>
              </w:rPr>
              <w:t>3</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(2020年度)</w:t>
            </w:r>
          </w:p>
        </w:tc>
      </w:tr>
      <w:tr w14:paraId="7EB8EA29">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61498D">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26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5A37AB">
            <w:pPr>
              <w:widowControl/>
              <w:jc w:val="center"/>
              <w:textAlignment w:val="center"/>
              <w:rPr>
                <w:rFonts w:ascii="宋体" w:hAnsi="宋体" w:cs="宋体"/>
                <w:color w:val="000000"/>
                <w:sz w:val="24"/>
              </w:rPr>
            </w:pPr>
            <w:r>
              <w:rPr>
                <w:rFonts w:hint="eastAsia" w:ascii="宋体" w:hAnsi="宋体" w:cs="宋体"/>
                <w:color w:val="000000"/>
                <w:sz w:val="24"/>
              </w:rPr>
              <w:t>基本药物项目资金</w:t>
            </w:r>
          </w:p>
        </w:tc>
      </w:tr>
      <w:tr w14:paraId="3AE8E8A8">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8012E9">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26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0D38B9">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盐边县</w:t>
            </w:r>
            <w:r>
              <w:rPr>
                <w:rFonts w:hint="eastAsia" w:ascii="宋体" w:hAnsi="宋体" w:cs="宋体"/>
                <w:color w:val="000000"/>
                <w:sz w:val="24"/>
                <w:lang w:eastAsia="zh-CN"/>
              </w:rPr>
              <w:t>温泉彝族乡卫生院</w:t>
            </w:r>
          </w:p>
        </w:tc>
      </w:tr>
      <w:tr w14:paraId="6243FB30">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F36CFC">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92A2C1">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3FB891">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18.07</w:t>
            </w:r>
          </w:p>
        </w:tc>
        <w:tc>
          <w:tcPr>
            <w:tcW w:w="2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7FC22C">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E8503B">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18.07</w:t>
            </w:r>
          </w:p>
        </w:tc>
      </w:tr>
      <w:tr w14:paraId="7657F975">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7A7C13">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868C4B">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55B8A5">
            <w:pPr>
              <w:widowControl/>
              <w:jc w:val="center"/>
              <w:textAlignment w:val="center"/>
              <w:rPr>
                <w:rFonts w:ascii="宋体" w:hAnsi="宋体" w:cs="宋体"/>
                <w:color w:val="000000"/>
                <w:sz w:val="24"/>
              </w:rPr>
            </w:pPr>
          </w:p>
        </w:tc>
        <w:tc>
          <w:tcPr>
            <w:tcW w:w="2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4F6EEF">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6FED4D">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18.07</w:t>
            </w:r>
          </w:p>
        </w:tc>
      </w:tr>
      <w:tr w14:paraId="655DCDDA">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3C9759">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D3575C">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04084A">
            <w:pPr>
              <w:widowControl/>
              <w:jc w:val="center"/>
              <w:textAlignment w:val="center"/>
              <w:rPr>
                <w:rFonts w:ascii="宋体" w:hAnsi="宋体" w:cs="宋体"/>
                <w:color w:val="000000"/>
                <w:sz w:val="24"/>
              </w:rPr>
            </w:pPr>
            <w:r>
              <w:rPr>
                <w:rFonts w:hint="eastAsia" w:ascii="宋体" w:hAnsi="宋体" w:cs="宋体"/>
                <w:color w:val="000000"/>
                <w:sz w:val="24"/>
              </w:rPr>
              <w:t>0</w:t>
            </w:r>
          </w:p>
        </w:tc>
        <w:tc>
          <w:tcPr>
            <w:tcW w:w="2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9C553D">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9C618C">
            <w:pPr>
              <w:jc w:val="center"/>
              <w:rPr>
                <w:rFonts w:ascii="宋体" w:hAnsi="宋体" w:cs="宋体"/>
                <w:color w:val="000000"/>
                <w:sz w:val="24"/>
              </w:rPr>
            </w:pPr>
            <w:r>
              <w:rPr>
                <w:rFonts w:hint="eastAsia" w:ascii="宋体" w:hAnsi="宋体" w:cs="宋体"/>
                <w:color w:val="000000"/>
                <w:sz w:val="24"/>
              </w:rPr>
              <w:t>0</w:t>
            </w:r>
          </w:p>
        </w:tc>
      </w:tr>
      <w:tr w14:paraId="34F29384">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C0AE64">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72FF64">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87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8CE668">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19D5E8B0">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D43530">
            <w:pPr>
              <w:jc w:val="center"/>
              <w:rPr>
                <w:rFonts w:ascii="宋体" w:hAnsi="宋体" w:cs="宋体"/>
                <w:color w:val="000000"/>
                <w:sz w:val="24"/>
              </w:rPr>
            </w:pPr>
          </w:p>
        </w:tc>
        <w:tc>
          <w:tcPr>
            <w:tcW w:w="478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76B7EF">
            <w:pPr>
              <w:widowControl/>
              <w:jc w:val="center"/>
              <w:textAlignment w:val="center"/>
              <w:rPr>
                <w:rFonts w:ascii="宋体" w:hAnsi="宋体" w:cs="宋体"/>
                <w:color w:val="000000"/>
                <w:sz w:val="24"/>
              </w:rPr>
            </w:pPr>
            <w:r>
              <w:rPr>
                <w:rFonts w:hint="eastAsia" w:ascii="宋体" w:hAnsi="宋体" w:cs="宋体"/>
                <w:color w:val="000000"/>
                <w:sz w:val="24"/>
              </w:rPr>
              <w:t xml:space="preserve">保证所有政府办基层医疗卫生机构实施国家基本药物制度，推进综合改革顺利进行。对实施国家基本药物制度的村卫生室给予补助，支持国家基本药物制度在村卫生室顺利实施。 </w:t>
            </w:r>
          </w:p>
        </w:tc>
        <w:tc>
          <w:tcPr>
            <w:tcW w:w="487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1968C4">
            <w:pPr>
              <w:widowControl/>
              <w:jc w:val="center"/>
              <w:textAlignment w:val="center"/>
              <w:rPr>
                <w:rFonts w:ascii="宋体" w:hAnsi="宋体" w:cs="宋体"/>
                <w:color w:val="000000"/>
                <w:sz w:val="24"/>
              </w:rPr>
            </w:pPr>
            <w:r>
              <w:rPr>
                <w:rFonts w:hint="eastAsia" w:ascii="宋体" w:hAnsi="宋体" w:cs="宋体"/>
                <w:color w:val="000000"/>
                <w:sz w:val="24"/>
              </w:rPr>
              <w:t>根据《财政厅省卫生健康委 省医疗保障局 省中医药管理局关于印发基本公共卫生服务等4项补助资金管理办法的通知》（川财社[2019] 76号） 《财政厅 省卫生健康委关于提前下达2020年基本药物制度中央和省级补助资金的通知》川财社〔2019〕139号 《财政厅 省卫生健康委关于下达2020年卫生健康中央和省级补助资金（第二批）的通知》川财社〔2020〕80号等文件要求，加强国家基本药物制度补助资金管理，提高资金使用效益，确保国家基本药物制度的有效实施，推进基层医疗卫生机构综合改革，转变医疗卫生服务模式，有效控制不合理医疗费用，增强城乡居民就诊看病的“获得感”，鼓励基层医疗机构抓实基本医疗服务。2020年基层医疗卫生机构和村卫生室全面实施了国家基本药物制度，依据考核方案给予了资金补助，基本药物制度在我县落地落实。</w:t>
            </w:r>
          </w:p>
        </w:tc>
      </w:tr>
      <w:tr w14:paraId="791108FD">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66DEBD53">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AC9D3F">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79844F">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C1888C">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63A408">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91A398">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14:paraId="6871C1BD">
        <w:tblPrEx>
          <w:tblCellMar>
            <w:top w:w="0" w:type="dxa"/>
            <w:left w:w="0" w:type="dxa"/>
            <w:bottom w:w="0" w:type="dxa"/>
            <w:right w:w="0" w:type="dxa"/>
          </w:tblCellMar>
        </w:tblPrEx>
        <w:trPr>
          <w:trHeight w:val="489"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0DEDCCE3">
            <w:pPr>
              <w:widowControl/>
              <w:jc w:val="center"/>
              <w:textAlignment w:val="center"/>
              <w:rPr>
                <w:rFonts w:ascii="宋体" w:hAnsi="宋体" w:cs="宋体"/>
                <w:color w:val="000000"/>
                <w:sz w:val="24"/>
              </w:rPr>
            </w:pPr>
          </w:p>
        </w:tc>
        <w:tc>
          <w:tcPr>
            <w:tcW w:w="136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114ADA27">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72BD1522">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14:paraId="5D5FF881">
            <w:pPr>
              <w:keepNext w:val="0"/>
              <w:keepLines w:val="0"/>
              <w:widowControl/>
              <w:suppressLineNumbers w:val="0"/>
              <w:jc w:val="left"/>
              <w:textAlignment w:val="top"/>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 xml:space="preserve"> 指标1：政府办基层医疗卫生机构实施国家基本药物制度覆盖率</w:t>
            </w:r>
          </w:p>
        </w:tc>
        <w:tc>
          <w:tcPr>
            <w:tcW w:w="2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03E31D">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r>
              <w:rPr>
                <w:rFonts w:hint="eastAsia" w:ascii="宋体" w:hAnsi="宋体" w:eastAsia="宋体" w:cs="宋体"/>
                <w:i w:val="0"/>
                <w:iCs w:val="0"/>
                <w:color w:val="000000"/>
                <w:kern w:val="0"/>
                <w:sz w:val="24"/>
                <w:szCs w:val="24"/>
                <w:u w:val="none"/>
                <w:lang w:val="en-US" w:eastAsia="zh-CN" w:bidi="ar"/>
              </w:rPr>
              <w:t>100%</w:t>
            </w:r>
          </w:p>
        </w:tc>
        <w:tc>
          <w:tcPr>
            <w:tcW w:w="2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1DE85A">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100%</w:t>
            </w:r>
          </w:p>
        </w:tc>
      </w:tr>
      <w:tr w14:paraId="74AA8D87">
        <w:tblPrEx>
          <w:tblCellMar>
            <w:top w:w="0" w:type="dxa"/>
            <w:left w:w="0" w:type="dxa"/>
            <w:bottom w:w="0" w:type="dxa"/>
            <w:right w:w="0" w:type="dxa"/>
          </w:tblCellMar>
        </w:tblPrEx>
        <w:trPr>
          <w:trHeight w:val="489"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2336C84">
            <w:pPr>
              <w:widowControl/>
              <w:jc w:val="center"/>
              <w:textAlignment w:val="center"/>
            </w:pPr>
          </w:p>
        </w:tc>
        <w:tc>
          <w:tcPr>
            <w:tcW w:w="1367"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259F713F">
            <w:pPr>
              <w:widowControl/>
              <w:jc w:val="center"/>
              <w:textAlignment w:val="center"/>
            </w:pPr>
          </w:p>
        </w:tc>
        <w:tc>
          <w:tcPr>
            <w:tcW w:w="1025"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1BAE7A9C">
            <w:pPr>
              <w:widowControl/>
              <w:jc w:val="center"/>
              <w:textAlignment w:val="center"/>
            </w:pPr>
          </w:p>
        </w:tc>
        <w:tc>
          <w:tcPr>
            <w:tcW w:w="2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14:paraId="227B5A9E">
            <w:pPr>
              <w:keepNext w:val="0"/>
              <w:keepLines w:val="0"/>
              <w:widowControl/>
              <w:suppressLineNumbers w:val="0"/>
              <w:jc w:val="left"/>
              <w:textAlignment w:val="top"/>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 xml:space="preserve"> 指标2：村卫生室实施国家基本药物制度覆盖率</w:t>
            </w:r>
          </w:p>
        </w:tc>
        <w:tc>
          <w:tcPr>
            <w:tcW w:w="2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8AF70B">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100%</w:t>
            </w:r>
          </w:p>
        </w:tc>
        <w:tc>
          <w:tcPr>
            <w:tcW w:w="2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203723">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100%</w:t>
            </w:r>
          </w:p>
        </w:tc>
      </w:tr>
      <w:tr w14:paraId="45E82ADE">
        <w:tblPrEx>
          <w:tblCellMar>
            <w:top w:w="0" w:type="dxa"/>
            <w:left w:w="0" w:type="dxa"/>
            <w:bottom w:w="0" w:type="dxa"/>
            <w:right w:w="0" w:type="dxa"/>
          </w:tblCellMar>
        </w:tblPrEx>
        <w:trPr>
          <w:trHeight w:val="34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39C3B2A4">
            <w:pPr>
              <w:widowControl/>
              <w:jc w:val="center"/>
              <w:textAlignment w:val="center"/>
              <w:rPr>
                <w:rFonts w:ascii="宋体" w:hAnsi="宋体" w:cs="宋体"/>
                <w:color w:val="000000"/>
                <w:sz w:val="24"/>
              </w:rPr>
            </w:pPr>
          </w:p>
        </w:tc>
        <w:tc>
          <w:tcPr>
            <w:tcW w:w="136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25DFC73">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090D4E1">
            <w:pPr>
              <w:widowControl/>
              <w:jc w:val="center"/>
              <w:textAlignment w:val="center"/>
              <w:rPr>
                <w:rFonts w:ascii="宋体" w:hAnsi="宋体" w:cs="宋体"/>
                <w:color w:val="000000"/>
                <w:sz w:val="24"/>
              </w:rPr>
            </w:pPr>
            <w:r>
              <w:rPr>
                <w:rFonts w:hint="eastAsia" w:ascii="宋体" w:cs="宋体"/>
                <w:color w:val="000000"/>
                <w:sz w:val="24"/>
              </w:rPr>
              <w:t>社会效益指标</w:t>
            </w:r>
          </w:p>
        </w:tc>
        <w:tc>
          <w:tcPr>
            <w:tcW w:w="2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14:paraId="58A33A5E">
            <w:pPr>
              <w:keepNext w:val="0"/>
              <w:keepLines w:val="0"/>
              <w:widowControl/>
              <w:suppressLineNumbers w:val="0"/>
              <w:jc w:val="left"/>
              <w:textAlignment w:val="top"/>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 xml:space="preserve"> 指标1：卫生院收入</w:t>
            </w:r>
          </w:p>
        </w:tc>
        <w:tc>
          <w:tcPr>
            <w:tcW w:w="2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14F6CA">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保持稳定</w:t>
            </w:r>
          </w:p>
        </w:tc>
        <w:tc>
          <w:tcPr>
            <w:tcW w:w="2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CE15CB">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下降</w:t>
            </w:r>
          </w:p>
        </w:tc>
      </w:tr>
      <w:tr w14:paraId="1658FE24">
        <w:tblPrEx>
          <w:tblCellMar>
            <w:top w:w="0" w:type="dxa"/>
            <w:left w:w="0" w:type="dxa"/>
            <w:bottom w:w="0" w:type="dxa"/>
            <w:right w:w="0" w:type="dxa"/>
          </w:tblCellMar>
        </w:tblPrEx>
        <w:trPr>
          <w:trHeight w:val="34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0BC01215">
            <w:pPr>
              <w:widowControl/>
              <w:jc w:val="center"/>
              <w:textAlignment w:val="center"/>
            </w:pPr>
          </w:p>
        </w:tc>
        <w:tc>
          <w:tcPr>
            <w:tcW w:w="1367" w:type="dxa"/>
            <w:vMerge w:val="continue"/>
            <w:tcBorders>
              <w:left w:val="single" w:color="000000" w:sz="4" w:space="0"/>
              <w:right w:val="single" w:color="000000" w:sz="4" w:space="0"/>
            </w:tcBorders>
            <w:tcMar>
              <w:top w:w="15" w:type="dxa"/>
              <w:left w:w="15" w:type="dxa"/>
              <w:right w:w="15" w:type="dxa"/>
            </w:tcMar>
            <w:vAlign w:val="center"/>
          </w:tcPr>
          <w:p w14:paraId="39093424">
            <w:pPr>
              <w:widowControl/>
              <w:jc w:val="center"/>
              <w:textAlignment w:val="center"/>
            </w:pPr>
          </w:p>
        </w:tc>
        <w:tc>
          <w:tcPr>
            <w:tcW w:w="1025" w:type="dxa"/>
            <w:vMerge w:val="continue"/>
            <w:tcBorders>
              <w:left w:val="single" w:color="000000" w:sz="4" w:space="0"/>
              <w:right w:val="single" w:color="000000" w:sz="4" w:space="0"/>
            </w:tcBorders>
            <w:tcMar>
              <w:top w:w="15" w:type="dxa"/>
              <w:left w:w="15" w:type="dxa"/>
              <w:right w:w="15" w:type="dxa"/>
            </w:tcMar>
            <w:vAlign w:val="center"/>
          </w:tcPr>
          <w:p w14:paraId="69F32DC1">
            <w:pPr>
              <w:widowControl/>
              <w:jc w:val="center"/>
              <w:textAlignment w:val="center"/>
            </w:pPr>
          </w:p>
        </w:tc>
        <w:tc>
          <w:tcPr>
            <w:tcW w:w="2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14:paraId="15511259">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指标2：村卫生室收入</w:t>
            </w:r>
          </w:p>
        </w:tc>
        <w:tc>
          <w:tcPr>
            <w:tcW w:w="2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A7C6C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保持稳定</w:t>
            </w:r>
          </w:p>
        </w:tc>
        <w:tc>
          <w:tcPr>
            <w:tcW w:w="2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5306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下降</w:t>
            </w:r>
          </w:p>
        </w:tc>
      </w:tr>
      <w:tr w14:paraId="79B62770">
        <w:tblPrEx>
          <w:tblCellMar>
            <w:top w:w="0" w:type="dxa"/>
            <w:left w:w="0" w:type="dxa"/>
            <w:bottom w:w="0" w:type="dxa"/>
            <w:right w:w="0" w:type="dxa"/>
          </w:tblCellMar>
        </w:tblPrEx>
        <w:trPr>
          <w:trHeight w:val="661"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6CDF3279">
            <w:pPr>
              <w:widowControl/>
              <w:jc w:val="center"/>
              <w:textAlignment w:val="center"/>
              <w:rPr>
                <w:rFonts w:ascii="宋体" w:hAnsi="宋体" w:cs="宋体"/>
                <w:color w:val="000000"/>
                <w:sz w:val="24"/>
              </w:rPr>
            </w:pPr>
          </w:p>
        </w:tc>
        <w:tc>
          <w:tcPr>
            <w:tcW w:w="136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E15C8F2">
            <w:pPr>
              <w:widowControl/>
              <w:jc w:val="center"/>
              <w:textAlignment w:val="center"/>
              <w:rPr>
                <w:rFonts w:ascii="宋体" w:hAnsi="宋体" w:cs="宋体"/>
                <w:color w:val="000000"/>
                <w:kern w:val="0"/>
                <w:sz w:val="24"/>
              </w:rPr>
            </w:pPr>
            <w:r>
              <w:rPr>
                <w:rFonts w:hint="eastAsia" w:ascii="宋体" w:hAnsi="宋体" w:cs="宋体"/>
                <w:color w:val="000000"/>
                <w:kern w:val="0"/>
                <w:sz w:val="24"/>
              </w:rPr>
              <w:t>效益指标</w:t>
            </w:r>
          </w:p>
        </w:tc>
        <w:tc>
          <w:tcPr>
            <w:tcW w:w="1025"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13A26EE">
            <w:pPr>
              <w:widowControl/>
              <w:jc w:val="center"/>
              <w:textAlignment w:val="center"/>
              <w:rPr>
                <w:rFonts w:ascii="宋体" w:cs="宋体"/>
                <w:color w:val="000000"/>
                <w:sz w:val="24"/>
              </w:rPr>
            </w:pPr>
            <w:r>
              <w:rPr>
                <w:rFonts w:hint="eastAsia" w:ascii="宋体" w:cs="宋体"/>
                <w:color w:val="000000"/>
                <w:sz w:val="24"/>
              </w:rPr>
              <w:t>可持续影响指标</w:t>
            </w:r>
          </w:p>
        </w:tc>
        <w:tc>
          <w:tcPr>
            <w:tcW w:w="2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14:paraId="2DB00506">
            <w:pPr>
              <w:keepNext w:val="0"/>
              <w:keepLines w:val="0"/>
              <w:widowControl/>
              <w:suppressLineNumbers w:val="0"/>
              <w:jc w:val="left"/>
              <w:textAlignment w:val="top"/>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 xml:space="preserve"> 指标1：国家基本药物制度在基层医疗机构持续实施</w:t>
            </w:r>
          </w:p>
        </w:tc>
        <w:tc>
          <w:tcPr>
            <w:tcW w:w="2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F88AEA">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中长期</w:t>
            </w:r>
          </w:p>
        </w:tc>
        <w:tc>
          <w:tcPr>
            <w:tcW w:w="2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085E4C">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中长期</w:t>
            </w:r>
          </w:p>
        </w:tc>
      </w:tr>
      <w:tr w14:paraId="4A10EE57">
        <w:tblPrEx>
          <w:tblCellMar>
            <w:top w:w="0" w:type="dxa"/>
            <w:left w:w="0" w:type="dxa"/>
            <w:bottom w:w="0" w:type="dxa"/>
            <w:right w:w="0" w:type="dxa"/>
          </w:tblCellMar>
        </w:tblPrEx>
        <w:trPr>
          <w:trHeight w:val="661"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19BC5A76">
            <w:pPr>
              <w:widowControl/>
              <w:jc w:val="both"/>
              <w:textAlignment w:val="center"/>
            </w:pPr>
          </w:p>
        </w:tc>
        <w:tc>
          <w:tcPr>
            <w:tcW w:w="1367"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708F1268">
            <w:pPr>
              <w:widowControl/>
              <w:jc w:val="both"/>
              <w:textAlignment w:val="center"/>
            </w:pPr>
          </w:p>
        </w:tc>
        <w:tc>
          <w:tcPr>
            <w:tcW w:w="1025"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58EBABD2">
            <w:pPr>
              <w:widowControl/>
              <w:jc w:val="both"/>
              <w:textAlignment w:val="center"/>
            </w:pPr>
          </w:p>
        </w:tc>
        <w:tc>
          <w:tcPr>
            <w:tcW w:w="2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14:paraId="0CB7408B">
            <w:pPr>
              <w:keepNext w:val="0"/>
              <w:keepLines w:val="0"/>
              <w:widowControl/>
              <w:suppressLineNumbers w:val="0"/>
              <w:jc w:val="left"/>
              <w:textAlignment w:val="top"/>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 xml:space="preserve"> 指标2：国家基本药物制度在村卫生室持续实施</w:t>
            </w:r>
          </w:p>
        </w:tc>
        <w:tc>
          <w:tcPr>
            <w:tcW w:w="2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B05B76">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中长期</w:t>
            </w:r>
          </w:p>
        </w:tc>
        <w:tc>
          <w:tcPr>
            <w:tcW w:w="2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AD2227">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中长期</w:t>
            </w:r>
          </w:p>
        </w:tc>
      </w:tr>
      <w:tr w14:paraId="6D11C67B">
        <w:tblPrEx>
          <w:tblCellMar>
            <w:top w:w="0" w:type="dxa"/>
            <w:left w:w="0" w:type="dxa"/>
            <w:bottom w:w="0" w:type="dxa"/>
            <w:right w:w="0" w:type="dxa"/>
          </w:tblCellMar>
        </w:tblPrEx>
        <w:trPr>
          <w:trHeight w:val="537"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1DE111BF">
            <w:pPr>
              <w:widowControl/>
              <w:jc w:val="center"/>
              <w:textAlignment w:val="center"/>
              <w:rPr>
                <w:rFonts w:ascii="宋体" w:hAnsi="宋体" w:cs="宋体"/>
                <w:color w:val="000000"/>
                <w:sz w:val="24"/>
              </w:rPr>
            </w:pPr>
          </w:p>
        </w:tc>
        <w:tc>
          <w:tcPr>
            <w:tcW w:w="136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6DD2D521">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3E6900BB">
            <w:pPr>
              <w:widowControl/>
              <w:jc w:val="center"/>
              <w:textAlignment w:val="center"/>
              <w:rPr>
                <w:rFonts w:ascii="宋体" w:hAnsi="宋体" w:cs="宋体"/>
                <w:color w:val="000000"/>
                <w:sz w:val="24"/>
              </w:rPr>
            </w:pPr>
            <w:r>
              <w:rPr>
                <w:rFonts w:hint="eastAsia" w:ascii="宋体" w:cs="宋体"/>
                <w:color w:val="000000"/>
                <w:sz w:val="24"/>
              </w:rPr>
              <w:t>服务对象满意度指标</w:t>
            </w:r>
          </w:p>
        </w:tc>
        <w:tc>
          <w:tcPr>
            <w:tcW w:w="2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14:paraId="7F209BD6">
            <w:pPr>
              <w:keepNext w:val="0"/>
              <w:keepLines w:val="0"/>
              <w:widowControl/>
              <w:suppressLineNumbers w:val="0"/>
              <w:jc w:val="left"/>
              <w:textAlignment w:val="top"/>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 xml:space="preserve"> 指标1：群众满意度</w:t>
            </w:r>
          </w:p>
        </w:tc>
        <w:tc>
          <w:tcPr>
            <w:tcW w:w="2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A91D59">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100%</w:t>
            </w:r>
          </w:p>
        </w:tc>
        <w:tc>
          <w:tcPr>
            <w:tcW w:w="2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CB0C63">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100%</w:t>
            </w:r>
          </w:p>
        </w:tc>
      </w:tr>
      <w:tr w14:paraId="186A5FB6">
        <w:tblPrEx>
          <w:tblCellMar>
            <w:top w:w="0" w:type="dxa"/>
            <w:left w:w="0" w:type="dxa"/>
            <w:bottom w:w="0" w:type="dxa"/>
            <w:right w:w="0" w:type="dxa"/>
          </w:tblCellMar>
        </w:tblPrEx>
        <w:trPr>
          <w:trHeight w:val="537"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0B0501DF">
            <w:pPr>
              <w:widowControl/>
              <w:jc w:val="center"/>
              <w:textAlignment w:val="center"/>
            </w:pPr>
          </w:p>
        </w:tc>
        <w:tc>
          <w:tcPr>
            <w:tcW w:w="1367"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37087E3F">
            <w:pPr>
              <w:widowControl/>
              <w:jc w:val="center"/>
              <w:textAlignment w:val="center"/>
            </w:pPr>
          </w:p>
        </w:tc>
        <w:tc>
          <w:tcPr>
            <w:tcW w:w="1025"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30D14518">
            <w:pPr>
              <w:widowControl/>
              <w:jc w:val="center"/>
              <w:textAlignment w:val="center"/>
            </w:pPr>
          </w:p>
        </w:tc>
        <w:tc>
          <w:tcPr>
            <w:tcW w:w="2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14:paraId="35AA1955">
            <w:pPr>
              <w:keepNext w:val="0"/>
              <w:keepLines w:val="0"/>
              <w:widowControl/>
              <w:suppressLineNumbers w:val="0"/>
              <w:jc w:val="left"/>
              <w:textAlignment w:val="top"/>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 xml:space="preserve"> 指标2：群众知晓率</w:t>
            </w:r>
          </w:p>
        </w:tc>
        <w:tc>
          <w:tcPr>
            <w:tcW w:w="2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E1CB44">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100%</w:t>
            </w:r>
          </w:p>
        </w:tc>
        <w:tc>
          <w:tcPr>
            <w:tcW w:w="2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4F3126">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100%</w:t>
            </w:r>
          </w:p>
        </w:tc>
      </w:tr>
    </w:tbl>
    <w:p w14:paraId="68CEEDAC">
      <w:pPr>
        <w:spacing w:line="580" w:lineRule="exact"/>
        <w:rPr>
          <w:rFonts w:hint="eastAsia" w:ascii="楷体_GB2312" w:hAnsi="楷体_GB2312" w:eastAsia="楷体_GB2312" w:cs="楷体_GB2312"/>
          <w:sz w:val="32"/>
          <w:szCs w:val="32"/>
        </w:rPr>
      </w:pPr>
    </w:p>
    <w:p w14:paraId="30E18C11">
      <w:pPr>
        <w:spacing w:line="580" w:lineRule="exact"/>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14:paraId="1B23E750">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本部门按要求对2020年部门整体支出绩效评价情况开展自评，《盐边县</w:t>
      </w:r>
      <w:r>
        <w:rPr>
          <w:rFonts w:hint="eastAsia" w:ascii="仿宋_GB2312" w:hAnsi="仿宋_GB2312" w:eastAsia="仿宋_GB2312" w:cs="仿宋_GB2312"/>
          <w:sz w:val="32"/>
          <w:szCs w:val="32"/>
          <w:lang w:eastAsia="zh-CN"/>
        </w:rPr>
        <w:t>温泉彝族乡</w:t>
      </w:r>
      <w:r>
        <w:rPr>
          <w:rFonts w:hint="eastAsia" w:ascii="仿宋_GB2312" w:hAnsi="仿宋_GB2312" w:eastAsia="仿宋_GB2312" w:cs="仿宋_GB2312"/>
          <w:sz w:val="32"/>
          <w:szCs w:val="32"/>
        </w:rPr>
        <w:t>卫生院部门2020年部门整体支出绩效评价报告》见附件（附件1）。</w:t>
      </w:r>
    </w:p>
    <w:p w14:paraId="3EEB1654">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本部门自行组织对基本公共卫生服务项目开展了绩效评价，《盐边县</w:t>
      </w:r>
      <w:r>
        <w:rPr>
          <w:rFonts w:hint="eastAsia" w:ascii="仿宋_GB2312" w:hAnsi="仿宋_GB2312" w:eastAsia="仿宋_GB2312" w:cs="仿宋_GB2312"/>
          <w:sz w:val="32"/>
          <w:szCs w:val="32"/>
          <w:lang w:eastAsia="zh-CN"/>
        </w:rPr>
        <w:t>温泉彝族乡</w:t>
      </w:r>
      <w:r>
        <w:rPr>
          <w:rFonts w:hint="eastAsia" w:ascii="仿宋_GB2312" w:hAnsi="仿宋_GB2312" w:eastAsia="仿宋_GB2312" w:cs="仿宋_GB2312"/>
          <w:sz w:val="32"/>
          <w:szCs w:val="32"/>
        </w:rPr>
        <w:t>卫生院基本公共卫生服务项目2020年绩效评价报告》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《盐边县</w:t>
      </w:r>
      <w:r>
        <w:rPr>
          <w:rFonts w:hint="eastAsia" w:ascii="仿宋_GB2312" w:hAnsi="仿宋_GB2312" w:eastAsia="仿宋_GB2312" w:cs="仿宋_GB2312"/>
          <w:sz w:val="32"/>
          <w:szCs w:val="32"/>
          <w:lang w:eastAsia="zh-CN"/>
        </w:rPr>
        <w:t>温泉彝族乡</w:t>
      </w:r>
      <w:r>
        <w:rPr>
          <w:rFonts w:hint="eastAsia" w:ascii="仿宋_GB2312" w:hAnsi="仿宋_GB2312" w:eastAsia="仿宋_GB2312" w:cs="仿宋_GB2312"/>
          <w:sz w:val="32"/>
          <w:szCs w:val="32"/>
        </w:rPr>
        <w:t>卫生院</w:t>
      </w:r>
      <w:r>
        <w:rPr>
          <w:rFonts w:hint="eastAsia" w:ascii="仿宋_GB2312" w:hAnsi="仿宋_GB2312" w:eastAsia="仿宋_GB2312" w:cs="仿宋_GB2312"/>
          <w:sz w:val="32"/>
          <w:szCs w:val="32"/>
          <w:lang w:eastAsia="zh-CN"/>
        </w:rPr>
        <w:t>事业发展资金</w:t>
      </w:r>
      <w:r>
        <w:rPr>
          <w:rFonts w:hint="eastAsia" w:ascii="仿宋_GB2312" w:hAnsi="仿宋_GB2312" w:eastAsia="仿宋_GB2312" w:cs="仿宋_GB2312"/>
          <w:sz w:val="32"/>
          <w:szCs w:val="32"/>
        </w:rPr>
        <w:t>2020年绩效评价报告》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《盐边县</w:t>
      </w:r>
      <w:r>
        <w:rPr>
          <w:rFonts w:hint="eastAsia" w:ascii="仿宋_GB2312" w:hAnsi="仿宋_GB2312" w:eastAsia="仿宋_GB2312" w:cs="仿宋_GB2312"/>
          <w:sz w:val="32"/>
          <w:szCs w:val="32"/>
          <w:lang w:eastAsia="zh-CN"/>
        </w:rPr>
        <w:t>温泉彝族乡</w:t>
      </w:r>
      <w:r>
        <w:rPr>
          <w:rFonts w:hint="eastAsia" w:ascii="仿宋_GB2312" w:hAnsi="仿宋_GB2312" w:eastAsia="仿宋_GB2312" w:cs="仿宋_GB2312"/>
          <w:sz w:val="32"/>
          <w:szCs w:val="32"/>
        </w:rPr>
        <w:t>卫生院</w:t>
      </w:r>
      <w:r>
        <w:rPr>
          <w:rFonts w:hint="eastAsia" w:ascii="仿宋_GB2312" w:hAnsi="仿宋_GB2312" w:eastAsia="仿宋_GB2312" w:cs="仿宋_GB2312"/>
          <w:sz w:val="32"/>
          <w:szCs w:val="32"/>
          <w:lang w:eastAsia="zh-CN"/>
        </w:rPr>
        <w:t>基本药物资金</w:t>
      </w:r>
      <w:r>
        <w:rPr>
          <w:rFonts w:hint="eastAsia" w:ascii="仿宋_GB2312" w:hAnsi="仿宋_GB2312" w:eastAsia="仿宋_GB2312" w:cs="仿宋_GB2312"/>
          <w:sz w:val="32"/>
          <w:szCs w:val="32"/>
        </w:rPr>
        <w:t>2020年绩效评价报告》见附件（附件2）。（非涉密部门均需公开部门整体支出评价报告，部门自行组织的绩效评价情况根据部门实际公开）</w:t>
      </w:r>
    </w:p>
    <w:p w14:paraId="28C2AD91">
      <w:pPr>
        <w:widowControl/>
        <w:jc w:val="left"/>
        <w:rPr>
          <w:rFonts w:ascii="仿宋_GB2312" w:eastAsia="仿宋_GB2312"/>
          <w:b/>
          <w:color w:val="000000"/>
          <w:sz w:val="32"/>
          <w:szCs w:val="32"/>
        </w:rPr>
      </w:pPr>
      <w:r>
        <w:rPr>
          <w:rFonts w:ascii="仿宋_GB2312" w:eastAsia="仿宋_GB2312"/>
          <w:b/>
          <w:color w:val="000000"/>
          <w:sz w:val="32"/>
          <w:szCs w:val="32"/>
        </w:rPr>
        <w:br w:type="page"/>
      </w:r>
    </w:p>
    <w:p w14:paraId="0C932BDC">
      <w:pPr>
        <w:numPr>
          <w:ilvl w:val="0"/>
          <w:numId w:val="3"/>
        </w:numPr>
        <w:spacing w:line="600" w:lineRule="exact"/>
        <w:ind w:firstLine="660" w:firstLineChars="150"/>
        <w:jc w:val="center"/>
        <w:outlineLvl w:val="0"/>
        <w:rPr>
          <w:rStyle w:val="26"/>
          <w:rFonts w:ascii="黑体" w:hAnsi="黑体" w:eastAsia="黑体"/>
          <w:b w:val="0"/>
        </w:rPr>
      </w:pPr>
      <w:bookmarkStart w:id="85" w:name="_Toc15396613"/>
      <w:bookmarkStart w:id="86" w:name="_Toc15377225"/>
      <w:bookmarkStart w:id="87" w:name="_Toc52180096"/>
      <w:r>
        <w:rPr>
          <w:rFonts w:hint="eastAsia" w:ascii="黑体" w:hAnsi="黑体" w:eastAsia="黑体"/>
          <w:color w:val="000000"/>
          <w:sz w:val="44"/>
          <w:szCs w:val="44"/>
        </w:rPr>
        <w:t>名</w:t>
      </w:r>
      <w:r>
        <w:rPr>
          <w:rStyle w:val="26"/>
          <w:rFonts w:hint="eastAsia" w:ascii="黑体" w:hAnsi="黑体" w:eastAsia="黑体"/>
          <w:b w:val="0"/>
        </w:rPr>
        <w:t>词解释</w:t>
      </w:r>
      <w:bookmarkEnd w:id="85"/>
      <w:bookmarkEnd w:id="86"/>
      <w:bookmarkEnd w:id="87"/>
    </w:p>
    <w:p w14:paraId="5D6222F6">
      <w:pPr>
        <w:spacing w:line="600" w:lineRule="exact"/>
        <w:jc w:val="left"/>
        <w:rPr>
          <w:rFonts w:ascii="宋体"/>
          <w:b/>
          <w:color w:val="000000"/>
          <w:sz w:val="44"/>
          <w:szCs w:val="44"/>
        </w:rPr>
      </w:pPr>
    </w:p>
    <w:p w14:paraId="7AAD2F1A">
      <w:pPr>
        <w:pStyle w:val="24"/>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12405E57">
      <w:pPr>
        <w:pStyle w:val="24"/>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14:paraId="55E97757">
      <w:pPr>
        <w:pStyle w:val="24"/>
        <w:spacing w:line="560" w:lineRule="exact"/>
        <w:ind w:firstLine="640" w:firstLineChars="200"/>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14:paraId="08EA368B">
      <w:pPr>
        <w:pStyle w:val="24"/>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r>
        <w:rPr>
          <w:rFonts w:ascii="仿宋_GB2312" w:eastAsia="仿宋_GB2312"/>
          <w:sz w:val="32"/>
          <w:szCs w:val="32"/>
        </w:rPr>
        <w:t xml:space="preserve"> </w:t>
      </w:r>
    </w:p>
    <w:p w14:paraId="286188D3">
      <w:pPr>
        <w:pStyle w:val="24"/>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14:paraId="5CBA3DEC">
      <w:pPr>
        <w:pStyle w:val="24"/>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14:paraId="62E99BBD">
      <w:pPr>
        <w:pStyle w:val="24"/>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14:paraId="3718B79F">
      <w:pPr>
        <w:pStyle w:val="24"/>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14:paraId="6167C1A7">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9</w:t>
      </w:r>
      <w:r>
        <w:rPr>
          <w:rFonts w:ascii="仿宋_GB2312" w:eastAsia="仿宋_GB2312"/>
          <w:color w:val="000000"/>
          <w:sz w:val="32"/>
          <w:szCs w:val="32"/>
        </w:rPr>
        <w:t>.</w:t>
      </w:r>
      <w:r>
        <w:rPr>
          <w:rFonts w:hint="eastAsia" w:ascii="仿宋_GB2312" w:eastAsia="仿宋_GB2312"/>
          <w:color w:val="000000"/>
          <w:sz w:val="32"/>
          <w:szCs w:val="32"/>
        </w:rPr>
        <w:t>社会保障和就业：指</w:t>
      </w:r>
      <w:r>
        <w:rPr>
          <w:rFonts w:hint="eastAsia" w:ascii="仿宋_GB2312" w:eastAsia="仿宋_GB2312"/>
          <w:color w:val="000000"/>
          <w:sz w:val="32"/>
          <w:szCs w:val="32"/>
          <w:lang w:eastAsia="zh-CN"/>
        </w:rPr>
        <w:t>各类保险</w:t>
      </w:r>
      <w:r>
        <w:rPr>
          <w:rFonts w:hint="eastAsia" w:ascii="仿宋_GB2312" w:eastAsia="仿宋_GB2312"/>
          <w:color w:val="000000"/>
          <w:sz w:val="32"/>
          <w:szCs w:val="32"/>
        </w:rPr>
        <w:t>。</w:t>
      </w:r>
    </w:p>
    <w:p w14:paraId="6D76D42A">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医疗卫生与计划生育：指</w:t>
      </w:r>
      <w:r>
        <w:rPr>
          <w:rFonts w:hint="eastAsia" w:ascii="仿宋_GB2312" w:eastAsia="仿宋_GB2312"/>
          <w:color w:val="000000"/>
          <w:sz w:val="32"/>
          <w:szCs w:val="32"/>
          <w:lang w:eastAsia="zh-CN"/>
        </w:rPr>
        <w:t>工资及医疗收入</w:t>
      </w:r>
      <w:r>
        <w:rPr>
          <w:rFonts w:hint="eastAsia" w:ascii="仿宋_GB2312" w:eastAsia="仿宋_GB2312"/>
          <w:color w:val="000000"/>
          <w:sz w:val="32"/>
          <w:szCs w:val="32"/>
        </w:rPr>
        <w:t>。</w:t>
      </w:r>
    </w:p>
    <w:p w14:paraId="5D787009">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11</w:t>
      </w:r>
      <w:r>
        <w:rPr>
          <w:rFonts w:ascii="仿宋_GB2312" w:eastAsia="仿宋_GB2312"/>
          <w:color w:val="000000"/>
          <w:sz w:val="32"/>
          <w:szCs w:val="32"/>
        </w:rPr>
        <w:t>.</w:t>
      </w:r>
      <w:r>
        <w:rPr>
          <w:rFonts w:hint="eastAsia" w:ascii="仿宋_GB2312" w:eastAsia="仿宋_GB2312"/>
          <w:color w:val="000000"/>
          <w:sz w:val="32"/>
          <w:szCs w:val="32"/>
        </w:rPr>
        <w:t>住房保障：</w:t>
      </w:r>
      <w:r>
        <w:rPr>
          <w:rFonts w:hint="eastAsia" w:ascii="仿宋_GB2312" w:eastAsia="仿宋_GB2312"/>
          <w:color w:val="000000"/>
          <w:sz w:val="32"/>
          <w:szCs w:val="32"/>
          <w:lang w:eastAsia="zh-CN"/>
        </w:rPr>
        <w:t>指住房公积金</w:t>
      </w:r>
      <w:r>
        <w:rPr>
          <w:rFonts w:hint="eastAsia" w:ascii="仿宋_GB2312" w:eastAsia="仿宋_GB2312"/>
          <w:color w:val="000000"/>
          <w:sz w:val="32"/>
          <w:szCs w:val="32"/>
        </w:rPr>
        <w:t>。</w:t>
      </w:r>
    </w:p>
    <w:p w14:paraId="14E930D1">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12</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14:paraId="3E3C1178">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13</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14:paraId="454AA0F6">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14</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14:paraId="3097CC80">
      <w:pPr>
        <w:pStyle w:val="24"/>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15</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9634D16">
      <w:pPr>
        <w:pStyle w:val="24"/>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16</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869EAD1">
      <w:pPr>
        <w:pStyle w:val="24"/>
        <w:spacing w:line="560" w:lineRule="exact"/>
        <w:ind w:firstLine="640" w:firstLineChars="200"/>
        <w:rPr>
          <w:rFonts w:ascii="仿宋_GB2312" w:eastAsia="仿宋_GB2312"/>
          <w:sz w:val="32"/>
          <w:szCs w:val="32"/>
        </w:rPr>
      </w:pPr>
    </w:p>
    <w:p w14:paraId="01D2C67C">
      <w:pPr>
        <w:pStyle w:val="24"/>
        <w:spacing w:line="560" w:lineRule="exact"/>
        <w:ind w:firstLine="640" w:firstLineChars="200"/>
        <w:rPr>
          <w:rFonts w:ascii="仿宋_GB2312" w:eastAsia="仿宋_GB2312" w:cs="黑体"/>
          <w:sz w:val="32"/>
          <w:szCs w:val="32"/>
        </w:rPr>
      </w:pPr>
    </w:p>
    <w:p w14:paraId="7BE968B3">
      <w:pPr>
        <w:spacing w:line="600" w:lineRule="exact"/>
        <w:jc w:val="center"/>
        <w:outlineLvl w:val="0"/>
        <w:rPr>
          <w:rFonts w:hint="eastAsia" w:ascii="黑体" w:hAnsi="黑体" w:eastAsia="黑体"/>
          <w:color w:val="000000"/>
          <w:sz w:val="44"/>
          <w:szCs w:val="44"/>
        </w:rPr>
      </w:pPr>
      <w:bookmarkStart w:id="88" w:name="_Toc15396614"/>
      <w:bookmarkStart w:id="89" w:name="_Toc52180097"/>
      <w:bookmarkStart w:id="90" w:name="_Toc15377226"/>
    </w:p>
    <w:p w14:paraId="11B6B0BE">
      <w:pPr>
        <w:spacing w:line="600" w:lineRule="exact"/>
        <w:jc w:val="center"/>
        <w:outlineLvl w:val="0"/>
        <w:rPr>
          <w:rFonts w:hint="eastAsia" w:ascii="黑体" w:hAnsi="黑体" w:eastAsia="黑体"/>
          <w:color w:val="000000"/>
          <w:sz w:val="44"/>
          <w:szCs w:val="44"/>
        </w:rPr>
      </w:pPr>
    </w:p>
    <w:p w14:paraId="5D4FD400">
      <w:pPr>
        <w:spacing w:line="600" w:lineRule="exact"/>
        <w:jc w:val="both"/>
        <w:outlineLvl w:val="0"/>
        <w:rPr>
          <w:rFonts w:hint="eastAsia" w:ascii="黑体" w:hAnsi="黑体" w:eastAsia="黑体"/>
          <w:color w:val="000000"/>
          <w:sz w:val="44"/>
          <w:szCs w:val="44"/>
        </w:rPr>
      </w:pPr>
    </w:p>
    <w:p w14:paraId="024D6243">
      <w:pPr>
        <w:spacing w:line="600" w:lineRule="exact"/>
        <w:jc w:val="center"/>
        <w:outlineLvl w:val="0"/>
        <w:rPr>
          <w:rStyle w:val="26"/>
          <w:rFonts w:ascii="黑体" w:hAnsi="黑体" w:eastAsia="黑体"/>
          <w:b w:val="0"/>
        </w:rPr>
      </w:pPr>
      <w:r>
        <w:rPr>
          <w:rFonts w:hint="eastAsia" w:ascii="黑体" w:hAnsi="黑体" w:eastAsia="黑体"/>
          <w:color w:val="000000"/>
          <w:sz w:val="44"/>
          <w:szCs w:val="44"/>
        </w:rPr>
        <w:t>第</w:t>
      </w:r>
      <w:r>
        <w:rPr>
          <w:rStyle w:val="26"/>
          <w:rFonts w:hint="eastAsia" w:ascii="黑体" w:hAnsi="黑体" w:eastAsia="黑体"/>
          <w:b w:val="0"/>
        </w:rPr>
        <w:t>四部分 附件</w:t>
      </w:r>
      <w:bookmarkEnd w:id="88"/>
      <w:bookmarkEnd w:id="89"/>
    </w:p>
    <w:p w14:paraId="7F4DEF7A">
      <w:pPr>
        <w:spacing w:line="600" w:lineRule="exact"/>
        <w:jc w:val="left"/>
        <w:outlineLvl w:val="0"/>
        <w:rPr>
          <w:rFonts w:ascii="方正小标宋简体" w:hAnsi="方正小标宋简体" w:eastAsia="方正小标宋简体" w:cs="方正小标宋简体"/>
          <w:sz w:val="32"/>
          <w:szCs w:val="32"/>
        </w:rPr>
      </w:pPr>
      <w:bookmarkStart w:id="91" w:name="_Toc52180098"/>
      <w:r>
        <w:rPr>
          <w:rFonts w:hint="eastAsia" w:ascii="黑体" w:hAnsi="黑体" w:eastAsia="黑体" w:cs="黑体"/>
          <w:sz w:val="32"/>
          <w:szCs w:val="32"/>
        </w:rPr>
        <w:t>附件1</w:t>
      </w:r>
      <w:bookmarkEnd w:id="91"/>
    </w:p>
    <w:p w14:paraId="1B649C26">
      <w:pPr>
        <w:spacing w:line="580" w:lineRule="exact"/>
        <w:jc w:val="center"/>
        <w:rPr>
          <w:rFonts w:ascii="方正小标宋简体" w:hAnsi="方正小标宋简体" w:eastAsia="方正小标宋简体" w:cs="方正小标宋简体"/>
          <w:sz w:val="44"/>
          <w:szCs w:val="44"/>
        </w:rPr>
      </w:pPr>
    </w:p>
    <w:p w14:paraId="3320571F">
      <w:pPr>
        <w:spacing w:line="0" w:lineRule="atLeast"/>
        <w:jc w:val="center"/>
        <w:rPr>
          <w:rFonts w:ascii="方正小标宋_GBK" w:hAnsi="宋体" w:eastAsia="方正小标宋_GBK"/>
          <w:b/>
          <w:color w:val="000000"/>
          <w:kern w:val="0"/>
          <w:sz w:val="38"/>
          <w:szCs w:val="38"/>
        </w:rPr>
      </w:pPr>
      <w:r>
        <w:rPr>
          <w:rFonts w:hint="eastAsia" w:ascii="方正小标宋_GBK" w:hAnsi="宋体" w:eastAsia="方正小标宋_GBK"/>
          <w:b/>
          <w:color w:val="000000"/>
          <w:kern w:val="0"/>
          <w:sz w:val="38"/>
          <w:szCs w:val="38"/>
        </w:rPr>
        <w:t>盐边县</w:t>
      </w:r>
      <w:r>
        <w:rPr>
          <w:rFonts w:hint="eastAsia" w:ascii="方正小标宋_GBK" w:hAnsi="宋体" w:eastAsia="方正小标宋_GBK"/>
          <w:b/>
          <w:color w:val="000000"/>
          <w:kern w:val="0"/>
          <w:sz w:val="38"/>
          <w:szCs w:val="38"/>
          <w:lang w:eastAsia="zh-CN"/>
        </w:rPr>
        <w:t>温泉彝族乡</w:t>
      </w:r>
      <w:r>
        <w:rPr>
          <w:rFonts w:hint="eastAsia" w:ascii="方正小标宋_GBK" w:hAnsi="宋体" w:eastAsia="方正小标宋_GBK"/>
          <w:b/>
          <w:color w:val="000000"/>
          <w:kern w:val="0"/>
          <w:sz w:val="38"/>
          <w:szCs w:val="38"/>
        </w:rPr>
        <w:t>卫生院</w:t>
      </w:r>
    </w:p>
    <w:p w14:paraId="06478A47">
      <w:pPr>
        <w:spacing w:line="0" w:lineRule="atLeast"/>
        <w:jc w:val="center"/>
        <w:rPr>
          <w:rFonts w:ascii="方正小标宋_GBK" w:hAnsi="宋体" w:eastAsia="方正小标宋_GBK"/>
          <w:b/>
          <w:color w:val="000000"/>
          <w:kern w:val="0"/>
          <w:sz w:val="38"/>
          <w:szCs w:val="38"/>
          <w:lang w:val="zh-CN"/>
        </w:rPr>
      </w:pPr>
      <w:r>
        <w:rPr>
          <w:rFonts w:hint="eastAsia" w:ascii="方正小标宋_GBK" w:hAnsi="宋体" w:eastAsia="方正小标宋_GBK"/>
          <w:b/>
          <w:color w:val="000000"/>
          <w:kern w:val="0"/>
          <w:sz w:val="38"/>
          <w:szCs w:val="38"/>
        </w:rPr>
        <w:t>2020年部门</w:t>
      </w:r>
      <w:r>
        <w:rPr>
          <w:rFonts w:hint="eastAsia" w:ascii="方正小标宋_GBK" w:eastAsia="方正小标宋_GBK"/>
          <w:b/>
          <w:sz w:val="38"/>
          <w:szCs w:val="38"/>
        </w:rPr>
        <w:t>预算</w:t>
      </w:r>
      <w:r>
        <w:rPr>
          <w:rFonts w:hint="eastAsia" w:ascii="方正小标宋_GBK" w:hAnsi="宋体" w:eastAsia="方正小标宋_GBK"/>
          <w:b/>
          <w:color w:val="000000"/>
          <w:kern w:val="0"/>
          <w:sz w:val="38"/>
          <w:szCs w:val="38"/>
          <w:lang w:val="zh-CN"/>
        </w:rPr>
        <w:t>整体支出绩效自我评价</w:t>
      </w:r>
    </w:p>
    <w:p w14:paraId="2E07F736">
      <w:pPr>
        <w:spacing w:line="0" w:lineRule="atLeast"/>
        <w:jc w:val="center"/>
        <w:rPr>
          <w:rFonts w:ascii="方正小标宋简体" w:hAnsi="宋体" w:eastAsia="方正小标宋简体"/>
          <w:color w:val="000000"/>
          <w:kern w:val="0"/>
          <w:sz w:val="40"/>
          <w:szCs w:val="44"/>
          <w:lang w:val="zh-CN"/>
        </w:rPr>
      </w:pPr>
      <w:r>
        <w:rPr>
          <w:rFonts w:hint="eastAsia" w:ascii="方正小标宋_GBK" w:hAnsi="宋体" w:eastAsia="方正小标宋_GBK"/>
          <w:b/>
          <w:color w:val="000000"/>
          <w:kern w:val="0"/>
          <w:sz w:val="38"/>
          <w:szCs w:val="38"/>
          <w:lang w:val="zh-CN"/>
        </w:rPr>
        <w:t>报告</w:t>
      </w:r>
    </w:p>
    <w:p w14:paraId="5AE682D6">
      <w:pPr>
        <w:widowControl/>
        <w:adjustRightInd w:val="0"/>
        <w:snapToGrid w:val="0"/>
        <w:spacing w:line="570" w:lineRule="exact"/>
        <w:ind w:firstLine="480" w:firstLineChars="200"/>
        <w:contextualSpacing/>
        <w:jc w:val="left"/>
        <w:rPr>
          <w:rFonts w:ascii="黑体" w:hAnsi="宋体" w:eastAsia="黑体" w:cs="宋体"/>
          <w:color w:val="000000"/>
          <w:kern w:val="0"/>
          <w:sz w:val="24"/>
          <w:szCs w:val="32"/>
          <w:shd w:val="clear" w:color="auto" w:fill="FFFFFF"/>
        </w:rPr>
      </w:pPr>
    </w:p>
    <w:p w14:paraId="2111ECF2">
      <w:pPr>
        <w:widowControl/>
        <w:adjustRightInd w:val="0"/>
        <w:snapToGrid w:val="0"/>
        <w:spacing w:line="57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14:paraId="3D1A1FAB">
      <w:pPr>
        <w:widowControl/>
        <w:adjustRightInd w:val="0"/>
        <w:snapToGrid w:val="0"/>
        <w:spacing w:line="570" w:lineRule="exact"/>
        <w:ind w:firstLine="643" w:firstLineChars="200"/>
        <w:contextualSpacing/>
        <w:jc w:val="left"/>
        <w:rPr>
          <w:rFonts w:ascii="楷体_GB2312" w:hAnsi="宋体" w:eastAsia="楷体_GB2312" w:cs="宋体"/>
          <w:b/>
          <w:color w:val="000000"/>
          <w:kern w:val="0"/>
          <w:sz w:val="32"/>
          <w:szCs w:val="32"/>
          <w:shd w:val="clear" w:color="auto" w:fill="FFFFFF"/>
          <w:lang w:val="zh-CN"/>
        </w:rPr>
      </w:pPr>
      <w:r>
        <w:rPr>
          <w:rFonts w:hint="eastAsia" w:ascii="楷体_GB2312" w:hAnsi="宋体" w:eastAsia="楷体_GB2312" w:cs="宋体"/>
          <w:b/>
          <w:color w:val="000000"/>
          <w:kern w:val="0"/>
          <w:sz w:val="32"/>
          <w:szCs w:val="32"/>
          <w:shd w:val="clear" w:color="auto" w:fill="FFFFFF"/>
          <w:lang w:val="zh-CN"/>
        </w:rPr>
        <w:t>（一）机构组成</w:t>
      </w:r>
    </w:p>
    <w:p w14:paraId="360E3673">
      <w:pPr>
        <w:pStyle w:val="5"/>
        <w:adjustRightInd w:val="0"/>
        <w:spacing w:beforeLines="0" w:line="570" w:lineRule="exact"/>
        <w:ind w:firstLine="640" w:firstLineChars="200"/>
        <w:rPr>
          <w:rFonts w:ascii="仿宋" w:hAnsi="仿宋" w:eastAsia="仿宋" w:cs="仿宋"/>
          <w:sz w:val="32"/>
          <w:lang w:val="zh-CN"/>
        </w:rPr>
      </w:pPr>
      <w:r>
        <w:rPr>
          <w:rFonts w:hint="eastAsia" w:ascii="仿宋" w:hAnsi="仿宋" w:eastAsia="仿宋" w:cs="仿宋"/>
          <w:sz w:val="32"/>
          <w:lang w:val="zh-CN"/>
        </w:rPr>
        <w:t>盐边县温泉彝族乡卫生院</w:t>
      </w:r>
      <w:r>
        <w:rPr>
          <w:rFonts w:hint="eastAsia" w:cs="仿宋_GB2312"/>
          <w:sz w:val="32"/>
        </w:rPr>
        <w:t>是由政府举办的公益性事业单位,</w:t>
      </w:r>
      <w:r>
        <w:rPr>
          <w:rFonts w:hint="eastAsia" w:ascii="仿宋" w:hAnsi="仿宋" w:eastAsia="仿宋" w:cs="仿宋"/>
          <w:sz w:val="32"/>
          <w:lang w:val="zh-CN"/>
        </w:rPr>
        <w:t>所辖村卫生室</w:t>
      </w:r>
      <w:r>
        <w:rPr>
          <w:rFonts w:hint="eastAsia" w:ascii="仿宋" w:hAnsi="仿宋" w:eastAsia="仿宋" w:cs="仿宋"/>
          <w:sz w:val="32"/>
          <w:lang w:val="en-US" w:eastAsia="zh-CN"/>
        </w:rPr>
        <w:t>7</w:t>
      </w:r>
      <w:r>
        <w:rPr>
          <w:rFonts w:hint="eastAsia" w:ascii="仿宋" w:hAnsi="仿宋" w:eastAsia="仿宋" w:cs="仿宋"/>
          <w:sz w:val="32"/>
          <w:lang w:val="zh-CN"/>
        </w:rPr>
        <w:t>个，其中非营利性的</w:t>
      </w:r>
      <w:r>
        <w:rPr>
          <w:rFonts w:hint="eastAsia" w:ascii="仿宋" w:hAnsi="仿宋" w:eastAsia="仿宋" w:cs="仿宋"/>
          <w:sz w:val="32"/>
          <w:lang w:val="en-US" w:eastAsia="zh-CN"/>
        </w:rPr>
        <w:t>0</w:t>
      </w:r>
      <w:r>
        <w:rPr>
          <w:rFonts w:hint="eastAsia" w:ascii="仿宋" w:hAnsi="仿宋" w:eastAsia="仿宋" w:cs="仿宋"/>
          <w:sz w:val="32"/>
          <w:lang w:val="zh-CN"/>
        </w:rPr>
        <w:t>个。</w:t>
      </w:r>
    </w:p>
    <w:p w14:paraId="18BD479D">
      <w:pPr>
        <w:widowControl/>
        <w:adjustRightInd w:val="0"/>
        <w:snapToGrid w:val="0"/>
        <w:spacing w:line="570" w:lineRule="exact"/>
        <w:ind w:firstLine="643" w:firstLineChars="200"/>
        <w:contextualSpacing/>
        <w:jc w:val="left"/>
        <w:rPr>
          <w:rFonts w:ascii="楷体_GB2312" w:hAnsi="宋体" w:eastAsia="楷体_GB2312" w:cs="宋体"/>
          <w:b/>
          <w:color w:val="000000"/>
          <w:kern w:val="0"/>
          <w:sz w:val="32"/>
          <w:szCs w:val="32"/>
          <w:shd w:val="clear" w:color="auto" w:fill="FFFFFF"/>
          <w:lang w:val="zh-CN"/>
        </w:rPr>
      </w:pPr>
      <w:r>
        <w:rPr>
          <w:rFonts w:hint="eastAsia" w:ascii="楷体_GB2312" w:hAnsi="宋体" w:eastAsia="楷体_GB2312" w:cs="宋体"/>
          <w:b/>
          <w:color w:val="000000"/>
          <w:kern w:val="0"/>
          <w:sz w:val="32"/>
          <w:szCs w:val="32"/>
          <w:shd w:val="clear" w:color="auto" w:fill="FFFFFF"/>
          <w:lang w:val="zh-CN"/>
        </w:rPr>
        <w:t>（二）机构职能</w:t>
      </w:r>
    </w:p>
    <w:p w14:paraId="2E1A8336">
      <w:pPr>
        <w:widowControl/>
        <w:adjustRightInd w:val="0"/>
        <w:snapToGrid w:val="0"/>
        <w:spacing w:line="570" w:lineRule="exact"/>
        <w:ind w:firstLine="640" w:firstLineChars="200"/>
        <w:jc w:val="left"/>
        <w:rPr>
          <w:rFonts w:ascii="仿宋_GB2312" w:hAnsi="宋体" w:eastAsia="仿宋_GB2312" w:cs="仿宋_GB2312"/>
          <w:color w:val="000000"/>
          <w:kern w:val="0"/>
          <w:sz w:val="32"/>
          <w:szCs w:val="32"/>
          <w:shd w:val="clear" w:color="auto" w:fill="FFFFFF"/>
        </w:rPr>
      </w:pPr>
      <w:r>
        <w:rPr>
          <w:rFonts w:hint="eastAsia" w:ascii="仿宋_GB2312" w:hAnsi="宋体" w:eastAsia="仿宋_GB2312" w:cs="仿宋_GB2312"/>
          <w:color w:val="000000"/>
          <w:kern w:val="0"/>
          <w:sz w:val="32"/>
          <w:szCs w:val="32"/>
          <w:shd w:val="clear" w:color="auto" w:fill="FFFFFF"/>
        </w:rPr>
        <w:t>盐边县</w:t>
      </w:r>
      <w:r>
        <w:rPr>
          <w:rFonts w:hint="eastAsia" w:ascii="仿宋_GB2312" w:hAnsi="宋体" w:eastAsia="仿宋_GB2312" w:cs="仿宋_GB2312"/>
          <w:color w:val="000000"/>
          <w:kern w:val="0"/>
          <w:sz w:val="32"/>
          <w:szCs w:val="32"/>
          <w:shd w:val="clear" w:color="auto" w:fill="FFFFFF"/>
          <w:lang w:eastAsia="zh-CN"/>
        </w:rPr>
        <w:t>温泉彝族乡</w:t>
      </w:r>
      <w:r>
        <w:rPr>
          <w:rFonts w:hint="eastAsia" w:ascii="仿宋_GB2312" w:hAnsi="宋体" w:eastAsia="仿宋_GB2312" w:cs="仿宋_GB2312"/>
          <w:color w:val="000000"/>
          <w:kern w:val="0"/>
          <w:sz w:val="32"/>
          <w:szCs w:val="32"/>
          <w:shd w:val="clear" w:color="auto" w:fill="FFFFFF"/>
        </w:rPr>
        <w:t>卫生院</w:t>
      </w:r>
      <w:r>
        <w:rPr>
          <w:rFonts w:hint="eastAsia" w:ascii="仿宋_GB2312" w:eastAsia="仿宋_GB2312" w:cs="仿宋_GB2312"/>
          <w:sz w:val="32"/>
        </w:rPr>
        <w:t>是盐边县城镇职工、城乡居民医疗保险定点医疗机构，</w:t>
      </w:r>
      <w:r>
        <w:rPr>
          <w:rFonts w:hint="eastAsia" w:ascii="仿宋_GB2312" w:hAnsi="宋体" w:eastAsia="仿宋_GB2312" w:cs="仿宋_GB2312"/>
          <w:sz w:val="32"/>
        </w:rPr>
        <w:t>承担着全乡</w:t>
      </w:r>
      <w:r>
        <w:rPr>
          <w:rFonts w:hint="eastAsia" w:hAnsi="仿宋_GB2312" w:eastAsia="仿宋_GB2312"/>
          <w:sz w:val="32"/>
          <w:szCs w:val="32"/>
          <w:lang w:val="en-US" w:eastAsia="zh-CN"/>
        </w:rPr>
        <w:t>7千余</w:t>
      </w:r>
      <w:r>
        <w:rPr>
          <w:rFonts w:hint="eastAsia" w:hAnsi="仿宋_GB2312"/>
          <w:sz w:val="32"/>
          <w:szCs w:val="32"/>
        </w:rPr>
        <w:t>常住</w:t>
      </w:r>
      <w:r>
        <w:rPr>
          <w:rFonts w:hint="eastAsia" w:ascii="仿宋_GB2312" w:hAnsi="仿宋_GB2312" w:eastAsia="仿宋_GB2312"/>
          <w:sz w:val="32"/>
          <w:szCs w:val="32"/>
        </w:rPr>
        <w:t>人口的基本医疗、基本公共卫生、预防保健等医疗工作</w:t>
      </w:r>
      <w:r>
        <w:rPr>
          <w:rFonts w:hint="eastAsia" w:ascii="仿宋_GB2312" w:hAnsi="宋体" w:eastAsia="仿宋_GB2312" w:cs="仿宋_GB2312"/>
          <w:sz w:val="32"/>
        </w:rPr>
        <w:t>任务。</w:t>
      </w:r>
      <w:r>
        <w:rPr>
          <w:rFonts w:hint="eastAsia" w:ascii="仿宋" w:hAnsi="仿宋" w:eastAsia="仿宋" w:cs="仿宋"/>
          <w:color w:val="000000"/>
          <w:sz w:val="32"/>
          <w:szCs w:val="32"/>
        </w:rPr>
        <w:t>并对辖区村卫生室进行业务指导和会诊工作。</w:t>
      </w:r>
    </w:p>
    <w:p w14:paraId="02516836">
      <w:pPr>
        <w:widowControl/>
        <w:adjustRightInd w:val="0"/>
        <w:snapToGrid w:val="0"/>
        <w:spacing w:line="570" w:lineRule="exact"/>
        <w:ind w:firstLine="643" w:firstLineChars="200"/>
        <w:contextualSpacing/>
        <w:jc w:val="left"/>
        <w:rPr>
          <w:rFonts w:ascii="楷体_GB2312" w:hAnsi="宋体" w:eastAsia="楷体_GB2312" w:cs="宋体"/>
          <w:b/>
          <w:color w:val="000000"/>
          <w:kern w:val="0"/>
          <w:sz w:val="32"/>
          <w:szCs w:val="32"/>
          <w:shd w:val="clear" w:color="auto" w:fill="FFFFFF"/>
          <w:lang w:val="zh-CN"/>
        </w:rPr>
      </w:pPr>
      <w:r>
        <w:rPr>
          <w:rFonts w:hint="eastAsia" w:ascii="楷体_GB2312" w:hAnsi="宋体" w:eastAsia="楷体_GB2312" w:cs="宋体"/>
          <w:b/>
          <w:color w:val="000000"/>
          <w:kern w:val="0"/>
          <w:sz w:val="32"/>
          <w:szCs w:val="32"/>
          <w:shd w:val="clear" w:color="auto" w:fill="FFFFFF"/>
          <w:lang w:val="zh-CN"/>
        </w:rPr>
        <w:t>（三）人员概况</w:t>
      </w:r>
    </w:p>
    <w:p w14:paraId="7C3DD62F">
      <w:pPr>
        <w:spacing w:line="57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本院单位编制人数</w:t>
      </w: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rPr>
        <w:t>人，实有在编在职职工数</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人（借调县医院</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人，借调</w:t>
      </w:r>
      <w:r>
        <w:rPr>
          <w:rFonts w:hint="eastAsia" w:ascii="仿宋" w:hAnsi="仿宋" w:eastAsia="仿宋" w:cs="仿宋"/>
          <w:color w:val="000000"/>
          <w:sz w:val="32"/>
          <w:szCs w:val="32"/>
          <w:lang w:val="en-US" w:eastAsia="zh-CN"/>
        </w:rPr>
        <w:t>社区1</w:t>
      </w:r>
      <w:r>
        <w:rPr>
          <w:rFonts w:hint="eastAsia" w:ascii="仿宋" w:hAnsi="仿宋" w:eastAsia="仿宋" w:cs="仿宋"/>
          <w:color w:val="000000"/>
          <w:sz w:val="32"/>
          <w:szCs w:val="32"/>
        </w:rPr>
        <w:t>人，退休人员人</w:t>
      </w:r>
      <w:r>
        <w:rPr>
          <w:rFonts w:hint="eastAsia" w:ascii="仿宋" w:hAnsi="仿宋" w:eastAsia="仿宋" w:cs="仿宋"/>
          <w:color w:val="000000"/>
          <w:sz w:val="32"/>
          <w:szCs w:val="32"/>
          <w:lang w:val="en-US" w:eastAsia="zh-CN"/>
        </w:rPr>
        <w:t>0人，</w:t>
      </w:r>
      <w:r>
        <w:rPr>
          <w:rFonts w:hint="eastAsia" w:ascii="仿宋" w:hAnsi="仿宋" w:eastAsia="仿宋" w:cs="仿宋"/>
          <w:color w:val="000000"/>
          <w:sz w:val="32"/>
          <w:szCs w:val="32"/>
        </w:rPr>
        <w:t>临聘人员</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人。现有</w:t>
      </w:r>
      <w:r>
        <w:rPr>
          <w:rFonts w:hint="eastAsia" w:ascii="仿宋" w:hAnsi="仿宋" w:eastAsia="仿宋" w:cs="仿宋"/>
          <w:color w:val="000000"/>
          <w:sz w:val="32"/>
          <w:szCs w:val="32"/>
          <w:lang w:val="en-US" w:eastAsia="zh-CN"/>
        </w:rPr>
        <w:t>副高0人，</w:t>
      </w:r>
      <w:r>
        <w:rPr>
          <w:rFonts w:hint="eastAsia" w:ascii="仿宋" w:hAnsi="仿宋" w:eastAsia="仿宋" w:cs="仿宋"/>
          <w:color w:val="000000"/>
          <w:sz w:val="32"/>
          <w:szCs w:val="32"/>
        </w:rPr>
        <w:t>主治医师</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人，执业医师</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人，执业（助理）医师</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人，注册护士</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人，主管技师</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人</w:t>
      </w:r>
      <w:r>
        <w:rPr>
          <w:rFonts w:hint="eastAsia" w:ascii="仿宋" w:hAnsi="仿宋" w:eastAsia="仿宋" w:cs="仿宋"/>
          <w:kern w:val="0"/>
          <w:sz w:val="32"/>
          <w:szCs w:val="32"/>
        </w:rPr>
        <w:t>，</w:t>
      </w:r>
      <w:r>
        <w:rPr>
          <w:rFonts w:hint="eastAsia" w:ascii="仿宋" w:hAnsi="仿宋" w:eastAsia="仿宋" w:cs="仿宋"/>
          <w:color w:val="000000"/>
          <w:sz w:val="32"/>
          <w:szCs w:val="32"/>
        </w:rPr>
        <w:t>其余人员无职称。</w:t>
      </w:r>
    </w:p>
    <w:p w14:paraId="4928D8E9">
      <w:pPr>
        <w:spacing w:line="570" w:lineRule="exact"/>
        <w:ind w:firstLine="640" w:firstLineChars="200"/>
        <w:jc w:val="left"/>
        <w:rPr>
          <w:rFonts w:hint="eastAsia" w:ascii="仿宋" w:hAnsi="仿宋" w:eastAsia="仿宋" w:cs="仿宋"/>
          <w:color w:val="000000"/>
          <w:sz w:val="32"/>
          <w:szCs w:val="32"/>
          <w:lang w:val="zh-CN"/>
        </w:rPr>
      </w:pPr>
    </w:p>
    <w:p w14:paraId="35E0A0AE">
      <w:pPr>
        <w:widowControl/>
        <w:adjustRightInd w:val="0"/>
        <w:snapToGrid w:val="0"/>
        <w:spacing w:line="57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14:paraId="312EDB09">
      <w:pPr>
        <w:widowControl/>
        <w:adjustRightInd w:val="0"/>
        <w:snapToGrid w:val="0"/>
        <w:spacing w:line="570" w:lineRule="exact"/>
        <w:ind w:firstLine="643" w:firstLineChars="200"/>
        <w:contextualSpacing/>
        <w:jc w:val="left"/>
        <w:rPr>
          <w:rFonts w:ascii="楷体_GB2312" w:hAnsi="宋体" w:eastAsia="楷体_GB2312" w:cs="宋体"/>
          <w:b/>
          <w:color w:val="000000"/>
          <w:kern w:val="0"/>
          <w:sz w:val="32"/>
          <w:szCs w:val="32"/>
          <w:shd w:val="clear" w:color="auto" w:fill="FFFFFF"/>
          <w:lang w:val="zh-CN"/>
        </w:rPr>
      </w:pPr>
      <w:r>
        <w:rPr>
          <w:rFonts w:hint="eastAsia" w:ascii="楷体_GB2312" w:hAnsi="宋体" w:eastAsia="楷体_GB2312" w:cs="宋体"/>
          <w:b/>
          <w:color w:val="000000"/>
          <w:kern w:val="0"/>
          <w:sz w:val="32"/>
          <w:szCs w:val="32"/>
          <w:shd w:val="clear" w:color="auto" w:fill="FFFFFF"/>
          <w:lang w:val="zh-CN"/>
        </w:rPr>
        <w:t>（一）部门财政资金收入情况</w:t>
      </w:r>
    </w:p>
    <w:p w14:paraId="1515555D">
      <w:pPr>
        <w:widowControl/>
        <w:adjustRightInd w:val="0"/>
        <w:snapToGrid w:val="0"/>
        <w:spacing w:line="57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仿宋_GB2312" w:eastAsia="仿宋_GB2312"/>
          <w:sz w:val="32"/>
          <w:szCs w:val="32"/>
        </w:rPr>
        <w:t>20</w:t>
      </w:r>
      <w:r>
        <w:rPr>
          <w:rFonts w:hint="eastAsia" w:ascii="仿宋_GB2312" w:hAnsi="仿宋_GB2312" w:eastAsia="仿宋_GB2312"/>
          <w:sz w:val="32"/>
          <w:szCs w:val="32"/>
          <w:lang w:val="en-US" w:eastAsia="zh-CN"/>
        </w:rPr>
        <w:t>20</w:t>
      </w:r>
      <w:r>
        <w:rPr>
          <w:rFonts w:hint="eastAsia" w:ascii="仿宋_GB2312" w:hAnsi="仿宋_GB2312" w:eastAsia="仿宋_GB2312"/>
          <w:sz w:val="32"/>
          <w:szCs w:val="32"/>
        </w:rPr>
        <w:t>年决算总收入</w:t>
      </w:r>
      <w:r>
        <w:rPr>
          <w:rFonts w:hint="eastAsia" w:ascii="仿宋_GB2312" w:hAnsi="仿宋_GB2312" w:eastAsia="仿宋_GB2312"/>
          <w:sz w:val="32"/>
          <w:szCs w:val="32"/>
          <w:lang w:val="en-US" w:eastAsia="zh-CN"/>
        </w:rPr>
        <w:t>227.06</w:t>
      </w:r>
      <w:r>
        <w:rPr>
          <w:rFonts w:hint="eastAsia" w:ascii="仿宋_GB2312" w:hAnsi="仿宋_GB2312" w:eastAsia="仿宋_GB2312"/>
          <w:sz w:val="32"/>
          <w:szCs w:val="32"/>
        </w:rPr>
        <w:t>万元，超额完成年初预算数。</w:t>
      </w:r>
      <w:r>
        <w:rPr>
          <w:rFonts w:hint="eastAsia" w:eastAsia="仿宋_GB2312"/>
          <w:sz w:val="32"/>
          <w:szCs w:val="32"/>
        </w:rPr>
        <w:t>其中：财政拨款收入</w:t>
      </w:r>
      <w:r>
        <w:rPr>
          <w:rFonts w:hint="eastAsia" w:eastAsia="仿宋_GB2312"/>
          <w:sz w:val="32"/>
          <w:szCs w:val="32"/>
          <w:lang w:val="en-US" w:eastAsia="zh-CN"/>
        </w:rPr>
        <w:t>191.11</w:t>
      </w:r>
      <w:r>
        <w:rPr>
          <w:rFonts w:hint="eastAsia" w:eastAsia="仿宋_GB2312"/>
          <w:sz w:val="32"/>
          <w:szCs w:val="32"/>
        </w:rPr>
        <w:t>万元，事业收入</w:t>
      </w:r>
      <w:r>
        <w:rPr>
          <w:rFonts w:hint="eastAsia" w:eastAsia="仿宋_GB2312"/>
          <w:sz w:val="32"/>
          <w:szCs w:val="32"/>
          <w:lang w:val="en-US" w:eastAsia="zh-CN"/>
        </w:rPr>
        <w:t>0</w:t>
      </w:r>
      <w:r>
        <w:rPr>
          <w:rFonts w:hint="eastAsia" w:eastAsia="仿宋_GB2312"/>
          <w:sz w:val="32"/>
          <w:szCs w:val="32"/>
        </w:rPr>
        <w:t>万元，其他收入</w:t>
      </w:r>
      <w:r>
        <w:rPr>
          <w:rFonts w:hint="eastAsia" w:eastAsia="仿宋_GB2312"/>
          <w:sz w:val="32"/>
          <w:szCs w:val="32"/>
          <w:lang w:val="en-US" w:eastAsia="zh-CN"/>
        </w:rPr>
        <w:t>35.79</w:t>
      </w:r>
      <w:r>
        <w:rPr>
          <w:rFonts w:hint="eastAsia" w:eastAsia="仿宋_GB2312"/>
          <w:sz w:val="32"/>
          <w:szCs w:val="32"/>
        </w:rPr>
        <w:t>万元。</w:t>
      </w:r>
    </w:p>
    <w:p w14:paraId="7439D734">
      <w:pPr>
        <w:widowControl/>
        <w:adjustRightInd w:val="0"/>
        <w:snapToGrid w:val="0"/>
        <w:spacing w:line="570" w:lineRule="exact"/>
        <w:ind w:firstLine="643" w:firstLineChars="200"/>
        <w:contextualSpacing/>
        <w:jc w:val="left"/>
        <w:rPr>
          <w:rFonts w:ascii="楷体_GB2312" w:hAnsi="宋体" w:eastAsia="楷体_GB2312" w:cs="宋体"/>
          <w:b/>
          <w:color w:val="000000"/>
          <w:kern w:val="0"/>
          <w:sz w:val="32"/>
          <w:szCs w:val="32"/>
          <w:shd w:val="clear" w:color="auto" w:fill="FFFFFF"/>
          <w:lang w:val="zh-CN"/>
        </w:rPr>
      </w:pPr>
      <w:r>
        <w:rPr>
          <w:rFonts w:hint="eastAsia" w:ascii="楷体_GB2312" w:hAnsi="宋体" w:eastAsia="楷体_GB2312" w:cs="宋体"/>
          <w:b/>
          <w:color w:val="000000"/>
          <w:kern w:val="0"/>
          <w:sz w:val="32"/>
          <w:szCs w:val="32"/>
          <w:shd w:val="clear" w:color="auto" w:fill="FFFFFF"/>
          <w:lang w:val="zh-CN"/>
        </w:rPr>
        <w:t>（二）部门财政资金支出情况</w:t>
      </w:r>
    </w:p>
    <w:p w14:paraId="153284E8">
      <w:pPr>
        <w:pStyle w:val="7"/>
        <w:spacing w:line="570" w:lineRule="exact"/>
        <w:ind w:firstLine="640" w:firstLineChars="200"/>
        <w:jc w:val="left"/>
        <w:rPr>
          <w:rFonts w:ascii="仿宋_GB2312" w:hAnsi="宋体" w:eastAsia="仿宋_GB2312" w:cs="宋体"/>
          <w:color w:val="000000"/>
          <w:kern w:val="0"/>
          <w:sz w:val="32"/>
          <w:szCs w:val="32"/>
          <w:shd w:val="clear" w:color="auto" w:fill="FFFFFF"/>
          <w:lang w:val="zh-CN"/>
        </w:rPr>
      </w:pPr>
      <w:r>
        <w:rPr>
          <w:rFonts w:hint="eastAsia" w:ascii="Times New Roman" w:hAnsi="Times New Roman" w:eastAsia="仿宋_GB2312"/>
          <w:sz w:val="32"/>
          <w:szCs w:val="32"/>
        </w:rPr>
        <w:t>决算总支出</w:t>
      </w:r>
      <w:r>
        <w:rPr>
          <w:rFonts w:hint="eastAsia" w:ascii="仿宋" w:hAnsi="仿宋" w:eastAsia="仿宋"/>
          <w:color w:val="000000"/>
          <w:sz w:val="32"/>
          <w:szCs w:val="32"/>
          <w:lang w:val="en-US" w:eastAsia="zh-CN"/>
        </w:rPr>
        <w:t>212.92</w:t>
      </w:r>
      <w:r>
        <w:rPr>
          <w:rFonts w:hint="eastAsia" w:ascii="Times New Roman" w:hAnsi="Times New Roman" w:eastAsia="仿宋_GB2312"/>
          <w:sz w:val="32"/>
          <w:szCs w:val="32"/>
        </w:rPr>
        <w:t>万元，</w:t>
      </w:r>
      <w:r>
        <w:rPr>
          <w:rFonts w:hint="eastAsia" w:ascii="仿宋" w:hAnsi="仿宋" w:eastAsia="仿宋"/>
          <w:color w:val="000000"/>
          <w:sz w:val="32"/>
          <w:szCs w:val="32"/>
        </w:rPr>
        <w:t>其中：卫生健康支出</w:t>
      </w:r>
      <w:r>
        <w:rPr>
          <w:rFonts w:hint="eastAsia" w:ascii="仿宋" w:hAnsi="仿宋" w:eastAsia="仿宋"/>
          <w:color w:val="000000"/>
          <w:sz w:val="32"/>
          <w:szCs w:val="32"/>
          <w:lang w:val="en-US" w:eastAsia="zh-CN"/>
        </w:rPr>
        <w:t>182.41</w:t>
      </w:r>
      <w:r>
        <w:rPr>
          <w:rFonts w:hint="eastAsia" w:ascii="仿宋" w:hAnsi="仿宋" w:eastAsia="仿宋"/>
          <w:color w:val="000000"/>
          <w:sz w:val="32"/>
          <w:szCs w:val="32"/>
        </w:rPr>
        <w:t>万元，社会保障和就业支出</w:t>
      </w:r>
      <w:r>
        <w:rPr>
          <w:rFonts w:hint="eastAsia" w:ascii="仿宋_GB2312" w:hAnsi="仿宋" w:eastAsia="仿宋_GB2312"/>
          <w:color w:val="000000"/>
          <w:sz w:val="32"/>
          <w:szCs w:val="32"/>
          <w:lang w:val="en-US" w:eastAsia="zh-CN"/>
        </w:rPr>
        <w:t>12.78</w:t>
      </w:r>
      <w:r>
        <w:rPr>
          <w:rFonts w:hint="eastAsia" w:ascii="仿宋" w:hAnsi="仿宋" w:eastAsia="仿宋"/>
          <w:color w:val="000000"/>
          <w:sz w:val="32"/>
          <w:szCs w:val="32"/>
        </w:rPr>
        <w:t>万元，住房保障支出</w:t>
      </w:r>
      <w:r>
        <w:rPr>
          <w:rFonts w:hint="eastAsia" w:ascii="仿宋" w:hAnsi="仿宋" w:eastAsia="仿宋"/>
          <w:color w:val="000000"/>
          <w:sz w:val="32"/>
          <w:szCs w:val="32"/>
          <w:lang w:val="en-US" w:eastAsia="zh-CN"/>
        </w:rPr>
        <w:t>17.57</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，其他支出</w:t>
      </w:r>
      <w:r>
        <w:rPr>
          <w:rFonts w:hint="eastAsia" w:ascii="仿宋" w:hAnsi="仿宋" w:eastAsia="仿宋"/>
          <w:color w:val="000000"/>
          <w:sz w:val="32"/>
          <w:szCs w:val="32"/>
          <w:lang w:val="en-US" w:eastAsia="zh-CN"/>
        </w:rPr>
        <w:t>0万元</w:t>
      </w:r>
      <w:r>
        <w:rPr>
          <w:rFonts w:hint="eastAsia" w:ascii="仿宋" w:hAnsi="仿宋" w:eastAsia="仿宋"/>
          <w:color w:val="000000"/>
          <w:sz w:val="32"/>
          <w:szCs w:val="32"/>
        </w:rPr>
        <w:t>。</w:t>
      </w:r>
    </w:p>
    <w:p w14:paraId="4AA743D8">
      <w:pPr>
        <w:widowControl/>
        <w:adjustRightInd w:val="0"/>
        <w:snapToGrid w:val="0"/>
        <w:spacing w:line="57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14:paraId="16568F88">
      <w:pPr>
        <w:widowControl/>
        <w:adjustRightInd w:val="0"/>
        <w:snapToGrid w:val="0"/>
        <w:spacing w:line="57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p>
    <w:p w14:paraId="31A7EC29">
      <w:pPr>
        <w:widowControl/>
        <w:adjustRightInd w:val="0"/>
        <w:snapToGrid w:val="0"/>
        <w:spacing w:line="57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包括部门绩效目标制定、目标实现、预算编制准确、支出控制、预算动态调整、执行进度、预算完成情况和违规记录等情况。</w:t>
      </w:r>
    </w:p>
    <w:p w14:paraId="57C3D82A">
      <w:pPr>
        <w:widowControl/>
        <w:adjustRightInd w:val="0"/>
        <w:snapToGrid w:val="0"/>
        <w:spacing w:line="57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（二）结果应用情况。</w:t>
      </w:r>
    </w:p>
    <w:p w14:paraId="359E81A0">
      <w:pPr>
        <w:widowControl/>
        <w:adjustRightInd w:val="0"/>
        <w:snapToGrid w:val="0"/>
        <w:spacing w:line="57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包括绩效自评公开、评价结果整改和应用结果反馈等情况。</w:t>
      </w:r>
    </w:p>
    <w:p w14:paraId="390E855C">
      <w:pPr>
        <w:widowControl/>
        <w:adjustRightInd w:val="0"/>
        <w:snapToGrid w:val="0"/>
        <w:spacing w:line="57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14:paraId="0D64218F">
      <w:pPr>
        <w:widowControl/>
        <w:adjustRightInd w:val="0"/>
        <w:snapToGrid w:val="0"/>
        <w:spacing w:line="57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（一）评价结论。</w:t>
      </w:r>
    </w:p>
    <w:p w14:paraId="3232DFC8">
      <w:pPr>
        <w:widowControl/>
        <w:adjustRightInd w:val="0"/>
        <w:snapToGrid w:val="0"/>
        <w:spacing w:line="57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eastAsia="仿宋_GB2312"/>
          <w:sz w:val="32"/>
          <w:szCs w:val="32"/>
        </w:rPr>
        <w:t>从整体情况来看，我院高度重视财政资金的支出绩效，资金从预算、执行、验收、支付等流程层层把关，严格按照预算执行，涉及“三重一大”的均需通过院务会，严格把控</w:t>
      </w:r>
      <w:r>
        <w:rPr>
          <w:rFonts w:hint="eastAsia" w:eastAsia="仿宋_GB2312"/>
          <w:sz w:val="32"/>
          <w:szCs w:val="32"/>
          <w:lang w:eastAsia="zh-CN"/>
        </w:rPr>
        <w:t>“三公”经费</w:t>
      </w:r>
      <w:r>
        <w:rPr>
          <w:rFonts w:hint="eastAsia" w:eastAsia="仿宋_GB2312"/>
          <w:sz w:val="32"/>
          <w:szCs w:val="32"/>
        </w:rPr>
        <w:t>的支出。所有的专项资金依据相应的资金管理办法切实做到专款专用，无截留、无挪用等现象。</w:t>
      </w:r>
    </w:p>
    <w:p w14:paraId="26C95F89">
      <w:pPr>
        <w:widowControl/>
        <w:adjustRightInd w:val="0"/>
        <w:snapToGrid w:val="0"/>
        <w:spacing w:line="57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（二）存在问题。</w:t>
      </w:r>
    </w:p>
    <w:p w14:paraId="4637D97C">
      <w:pPr>
        <w:spacing w:line="570" w:lineRule="exact"/>
        <w:ind w:firstLine="640" w:firstLineChars="200"/>
        <w:jc w:val="left"/>
        <w:rPr>
          <w:rFonts w:eastAsia="仿宋_GB2312"/>
          <w:sz w:val="32"/>
          <w:szCs w:val="32"/>
        </w:rPr>
      </w:pPr>
      <w:r>
        <w:rPr>
          <w:rFonts w:hint="eastAsia" w:eastAsia="仿宋_GB2312"/>
          <w:sz w:val="32"/>
          <w:szCs w:val="32"/>
        </w:rPr>
        <w:t>偏离绩效目标的原因是：医院的公用经费支出需根据当年实际发生业务量确定，预算时无法准确预测。药品采购等因市场价格的变动也会导致实际发生与预算产生偏差。</w:t>
      </w:r>
    </w:p>
    <w:p w14:paraId="5450F182">
      <w:pPr>
        <w:widowControl/>
        <w:adjustRightInd w:val="0"/>
        <w:snapToGrid w:val="0"/>
        <w:spacing w:line="57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（三）改进建议。</w:t>
      </w:r>
    </w:p>
    <w:p w14:paraId="4A5F3A53">
      <w:pPr>
        <w:widowControl/>
        <w:adjustRightInd w:val="0"/>
        <w:snapToGrid w:val="0"/>
        <w:spacing w:line="57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eastAsia="仿宋_GB2312"/>
          <w:sz w:val="32"/>
          <w:szCs w:val="32"/>
        </w:rPr>
        <w:t>进一步完善历史发生数据的统计，将其进行分析，为预算提供更为准确的数据资料。</w:t>
      </w:r>
    </w:p>
    <w:p w14:paraId="5F897BC8">
      <w:pPr>
        <w:spacing w:line="580" w:lineRule="exact"/>
        <w:ind w:firstLine="640" w:firstLineChars="200"/>
        <w:rPr>
          <w:rFonts w:ascii="仿宋_GB2312" w:hAnsi="仿宋_GB2312" w:eastAsia="仿宋_GB2312" w:cs="仿宋_GB2312"/>
          <w:sz w:val="32"/>
          <w:szCs w:val="32"/>
        </w:rPr>
      </w:pPr>
    </w:p>
    <w:p w14:paraId="19926611">
      <w:pPr>
        <w:spacing w:line="0" w:lineRule="atLeast"/>
        <w:rPr>
          <w:rFonts w:hint="eastAsia" w:ascii="黑体" w:hAnsi="黑体" w:eastAsia="黑体" w:cs="黑体"/>
          <w:sz w:val="32"/>
          <w:szCs w:val="32"/>
        </w:rPr>
      </w:pPr>
    </w:p>
    <w:p w14:paraId="3511D207">
      <w:pPr>
        <w:spacing w:line="0" w:lineRule="atLeast"/>
        <w:rPr>
          <w:rFonts w:hint="eastAsia" w:ascii="黑体" w:hAnsi="黑体" w:eastAsia="黑体" w:cs="黑体"/>
          <w:sz w:val="32"/>
          <w:szCs w:val="32"/>
        </w:rPr>
      </w:pPr>
    </w:p>
    <w:p w14:paraId="5B5909B8">
      <w:pPr>
        <w:spacing w:line="0" w:lineRule="atLeast"/>
        <w:rPr>
          <w:rFonts w:hint="eastAsia" w:ascii="黑体" w:hAnsi="黑体" w:eastAsia="黑体" w:cs="黑体"/>
          <w:sz w:val="32"/>
          <w:szCs w:val="32"/>
        </w:rPr>
      </w:pPr>
    </w:p>
    <w:p w14:paraId="78671F18">
      <w:pPr>
        <w:spacing w:line="0" w:lineRule="atLeast"/>
        <w:rPr>
          <w:rFonts w:hint="eastAsia" w:ascii="黑体" w:hAnsi="黑体" w:eastAsia="黑体" w:cs="黑体"/>
          <w:sz w:val="32"/>
          <w:szCs w:val="32"/>
        </w:rPr>
      </w:pPr>
    </w:p>
    <w:p w14:paraId="3B1E9199">
      <w:pPr>
        <w:spacing w:line="0" w:lineRule="atLeast"/>
        <w:rPr>
          <w:rFonts w:hint="eastAsia" w:ascii="黑体" w:hAnsi="黑体" w:eastAsia="黑体" w:cs="黑体"/>
          <w:sz w:val="32"/>
          <w:szCs w:val="32"/>
        </w:rPr>
      </w:pPr>
    </w:p>
    <w:p w14:paraId="3EE9E09D">
      <w:pPr>
        <w:spacing w:line="0" w:lineRule="atLeast"/>
        <w:rPr>
          <w:rFonts w:hint="eastAsia" w:ascii="黑体" w:hAnsi="黑体" w:eastAsia="黑体" w:cs="黑体"/>
          <w:sz w:val="32"/>
          <w:szCs w:val="32"/>
        </w:rPr>
      </w:pPr>
    </w:p>
    <w:p w14:paraId="3AE2455F">
      <w:pPr>
        <w:spacing w:line="0" w:lineRule="atLeast"/>
        <w:rPr>
          <w:rFonts w:hint="eastAsia" w:ascii="黑体" w:hAnsi="黑体" w:eastAsia="黑体" w:cs="黑体"/>
          <w:sz w:val="32"/>
          <w:szCs w:val="32"/>
        </w:rPr>
      </w:pPr>
    </w:p>
    <w:p w14:paraId="6E27DBA6">
      <w:pPr>
        <w:spacing w:line="0" w:lineRule="atLeast"/>
        <w:rPr>
          <w:rFonts w:hint="eastAsia" w:ascii="黑体" w:hAnsi="黑体" w:eastAsia="黑体" w:cs="黑体"/>
          <w:sz w:val="32"/>
          <w:szCs w:val="32"/>
        </w:rPr>
      </w:pPr>
    </w:p>
    <w:p w14:paraId="13B3FD1E">
      <w:pPr>
        <w:spacing w:line="0" w:lineRule="atLeast"/>
        <w:rPr>
          <w:rFonts w:hint="eastAsia" w:ascii="黑体" w:hAnsi="黑体" w:eastAsia="黑体" w:cs="黑体"/>
          <w:sz w:val="32"/>
          <w:szCs w:val="32"/>
        </w:rPr>
      </w:pPr>
    </w:p>
    <w:p w14:paraId="712A0B21">
      <w:pPr>
        <w:spacing w:line="0" w:lineRule="atLeast"/>
        <w:rPr>
          <w:rFonts w:hint="eastAsia" w:ascii="黑体" w:hAnsi="黑体" w:eastAsia="黑体" w:cs="黑体"/>
          <w:sz w:val="32"/>
          <w:szCs w:val="32"/>
        </w:rPr>
      </w:pPr>
    </w:p>
    <w:p w14:paraId="41AF284C">
      <w:pPr>
        <w:spacing w:line="0" w:lineRule="atLeast"/>
        <w:rPr>
          <w:rFonts w:hint="eastAsia" w:ascii="黑体" w:hAnsi="黑体" w:eastAsia="黑体" w:cs="黑体"/>
          <w:sz w:val="32"/>
          <w:szCs w:val="32"/>
        </w:rPr>
      </w:pPr>
    </w:p>
    <w:p w14:paraId="55B997A6">
      <w:pPr>
        <w:spacing w:line="0" w:lineRule="atLeast"/>
        <w:rPr>
          <w:rFonts w:hint="eastAsia" w:ascii="黑体" w:hAnsi="黑体" w:eastAsia="黑体" w:cs="黑体"/>
          <w:sz w:val="32"/>
          <w:szCs w:val="32"/>
        </w:rPr>
      </w:pPr>
    </w:p>
    <w:p w14:paraId="2EACB66A">
      <w:pPr>
        <w:spacing w:line="0" w:lineRule="atLeast"/>
        <w:rPr>
          <w:rFonts w:hint="eastAsia" w:ascii="黑体" w:hAnsi="黑体" w:eastAsia="黑体" w:cs="黑体"/>
          <w:sz w:val="32"/>
          <w:szCs w:val="32"/>
        </w:rPr>
      </w:pPr>
    </w:p>
    <w:p w14:paraId="0F1BA5CA">
      <w:pPr>
        <w:spacing w:line="0" w:lineRule="atLeast"/>
        <w:rPr>
          <w:rFonts w:hint="eastAsia" w:ascii="黑体" w:hAnsi="黑体" w:eastAsia="黑体" w:cs="黑体"/>
          <w:sz w:val="32"/>
          <w:szCs w:val="32"/>
        </w:rPr>
      </w:pPr>
    </w:p>
    <w:p w14:paraId="7B18A4CD">
      <w:pPr>
        <w:spacing w:line="0" w:lineRule="atLeast"/>
        <w:rPr>
          <w:rFonts w:hint="eastAsia" w:ascii="黑体" w:hAnsi="黑体" w:eastAsia="黑体" w:cs="黑体"/>
          <w:sz w:val="32"/>
          <w:szCs w:val="32"/>
        </w:rPr>
      </w:pPr>
    </w:p>
    <w:p w14:paraId="69889F6E">
      <w:pPr>
        <w:spacing w:line="0" w:lineRule="atLeast"/>
        <w:rPr>
          <w:rFonts w:hint="eastAsia" w:ascii="黑体" w:hAnsi="黑体" w:eastAsia="黑体" w:cs="黑体"/>
          <w:sz w:val="32"/>
          <w:szCs w:val="32"/>
        </w:rPr>
      </w:pPr>
    </w:p>
    <w:p w14:paraId="10EFD14D">
      <w:pPr>
        <w:spacing w:line="0" w:lineRule="atLeast"/>
        <w:rPr>
          <w:rFonts w:hint="eastAsia" w:ascii="黑体" w:hAnsi="黑体" w:eastAsia="黑体" w:cs="黑体"/>
          <w:sz w:val="32"/>
          <w:szCs w:val="32"/>
        </w:rPr>
      </w:pPr>
    </w:p>
    <w:p w14:paraId="690C6CBF">
      <w:pPr>
        <w:spacing w:line="0" w:lineRule="atLeast"/>
        <w:rPr>
          <w:rFonts w:hint="eastAsia" w:ascii="黑体" w:hAnsi="黑体" w:eastAsia="黑体" w:cs="黑体"/>
          <w:sz w:val="32"/>
          <w:szCs w:val="32"/>
        </w:rPr>
      </w:pPr>
    </w:p>
    <w:p w14:paraId="1301BF85">
      <w:pPr>
        <w:spacing w:line="0" w:lineRule="atLeast"/>
        <w:rPr>
          <w:rFonts w:hint="eastAsia" w:ascii="黑体" w:hAnsi="黑体" w:eastAsia="黑体" w:cs="黑体"/>
          <w:sz w:val="32"/>
          <w:szCs w:val="32"/>
        </w:rPr>
      </w:pPr>
    </w:p>
    <w:p w14:paraId="041E6FBE">
      <w:pPr>
        <w:spacing w:line="0" w:lineRule="atLeast"/>
        <w:rPr>
          <w:rFonts w:hint="eastAsia" w:ascii="黑体" w:hAnsi="黑体" w:eastAsia="黑体" w:cs="黑体"/>
          <w:sz w:val="32"/>
          <w:szCs w:val="32"/>
        </w:rPr>
      </w:pPr>
    </w:p>
    <w:p w14:paraId="5FD9E7B5">
      <w:pPr>
        <w:spacing w:line="0" w:lineRule="atLeast"/>
        <w:rPr>
          <w:rFonts w:hint="eastAsia" w:ascii="黑体" w:hAnsi="黑体" w:eastAsia="黑体" w:cs="黑体"/>
          <w:sz w:val="32"/>
          <w:szCs w:val="32"/>
        </w:rPr>
      </w:pPr>
    </w:p>
    <w:p w14:paraId="14201945">
      <w:pPr>
        <w:spacing w:line="0" w:lineRule="atLeast"/>
        <w:rPr>
          <w:rFonts w:hint="eastAsia" w:ascii="黑体" w:hAnsi="黑体" w:eastAsia="黑体" w:cs="黑体"/>
          <w:sz w:val="32"/>
          <w:szCs w:val="32"/>
        </w:rPr>
      </w:pPr>
    </w:p>
    <w:p w14:paraId="6FDF1CBC">
      <w:pPr>
        <w:spacing w:line="0" w:lineRule="atLeast"/>
        <w:rPr>
          <w:rFonts w:hint="eastAsia" w:ascii="黑体" w:hAnsi="黑体" w:eastAsia="黑体" w:cs="黑体"/>
          <w:sz w:val="32"/>
          <w:szCs w:val="32"/>
        </w:rPr>
      </w:pPr>
    </w:p>
    <w:p w14:paraId="3EBDEDBC">
      <w:pPr>
        <w:spacing w:line="0" w:lineRule="atLeast"/>
        <w:rPr>
          <w:rFonts w:ascii="方正小标宋_GBK" w:hAnsi="仿宋_GB2312" w:eastAsia="方正小标宋_GBK" w:cs="仿宋_GB2312"/>
          <w:b/>
          <w:sz w:val="38"/>
          <w:szCs w:val="38"/>
        </w:rPr>
      </w:pPr>
      <w:r>
        <w:rPr>
          <w:rFonts w:hint="eastAsia" w:ascii="黑体" w:hAnsi="黑体" w:eastAsia="黑体" w:cs="黑体"/>
          <w:sz w:val="32"/>
          <w:szCs w:val="32"/>
        </w:rPr>
        <w:t>附件2</w:t>
      </w:r>
    </w:p>
    <w:p w14:paraId="7CDE5523">
      <w:pPr>
        <w:spacing w:line="0" w:lineRule="atLeast"/>
        <w:jc w:val="center"/>
        <w:rPr>
          <w:rFonts w:ascii="方正小标宋_GBK" w:hAnsi="宋体" w:eastAsia="方正小标宋_GBK"/>
          <w:b/>
          <w:color w:val="000000"/>
          <w:kern w:val="0"/>
          <w:sz w:val="38"/>
          <w:szCs w:val="38"/>
        </w:rPr>
      </w:pPr>
      <w:r>
        <w:rPr>
          <w:rFonts w:hint="eastAsia" w:ascii="方正小标宋_GBK" w:hAnsi="宋体" w:eastAsia="方正小标宋_GBK"/>
          <w:b/>
          <w:color w:val="000000"/>
          <w:kern w:val="0"/>
          <w:sz w:val="38"/>
          <w:szCs w:val="38"/>
        </w:rPr>
        <w:t>盐边县</w:t>
      </w:r>
      <w:r>
        <w:rPr>
          <w:rFonts w:hint="eastAsia" w:ascii="方正小标宋_GBK" w:hAnsi="宋体" w:eastAsia="方正小标宋_GBK"/>
          <w:b/>
          <w:color w:val="000000"/>
          <w:kern w:val="0"/>
          <w:sz w:val="38"/>
          <w:szCs w:val="38"/>
          <w:lang w:eastAsia="zh-CN"/>
        </w:rPr>
        <w:t>温泉彝族乡</w:t>
      </w:r>
      <w:r>
        <w:rPr>
          <w:rFonts w:hint="eastAsia" w:ascii="方正小标宋_GBK" w:hAnsi="宋体" w:eastAsia="方正小标宋_GBK"/>
          <w:b/>
          <w:color w:val="000000"/>
          <w:kern w:val="0"/>
          <w:sz w:val="38"/>
          <w:szCs w:val="38"/>
        </w:rPr>
        <w:t>卫生院</w:t>
      </w:r>
    </w:p>
    <w:p w14:paraId="623542A3">
      <w:pPr>
        <w:spacing w:line="0" w:lineRule="atLeast"/>
        <w:jc w:val="center"/>
        <w:rPr>
          <w:rFonts w:ascii="方正小标宋_GBK" w:hAnsi="宋体" w:eastAsia="方正小标宋_GBK"/>
          <w:b/>
          <w:color w:val="000000"/>
          <w:kern w:val="0"/>
          <w:sz w:val="38"/>
          <w:szCs w:val="38"/>
          <w:lang w:val="zh-CN"/>
        </w:rPr>
      </w:pPr>
      <w:r>
        <w:rPr>
          <w:rFonts w:hint="eastAsia" w:ascii="方正小标宋_GBK" w:hAnsi="宋体" w:eastAsia="方正小标宋_GBK" w:cs="方正小标宋简体"/>
          <w:b/>
          <w:color w:val="000000"/>
          <w:kern w:val="0"/>
          <w:sz w:val="38"/>
          <w:szCs w:val="38"/>
        </w:rPr>
        <w:t>基本公共卫生服务</w:t>
      </w:r>
      <w:r>
        <w:rPr>
          <w:rFonts w:hint="eastAsia" w:ascii="方正小标宋_GBK" w:hAnsi="宋体" w:eastAsia="方正小标宋_GBK"/>
          <w:b/>
          <w:color w:val="000000"/>
          <w:kern w:val="0"/>
          <w:sz w:val="38"/>
          <w:szCs w:val="38"/>
          <w:lang w:val="zh-CN"/>
        </w:rPr>
        <w:t>项目</w:t>
      </w:r>
      <w:r>
        <w:rPr>
          <w:rFonts w:hint="eastAsia" w:ascii="方正小标宋_GBK" w:hAnsi="宋体" w:eastAsia="方正小标宋_GBK"/>
          <w:b/>
          <w:color w:val="000000"/>
          <w:kern w:val="0"/>
          <w:sz w:val="38"/>
          <w:szCs w:val="38"/>
        </w:rPr>
        <w:t>2020年</w:t>
      </w:r>
      <w:r>
        <w:rPr>
          <w:rFonts w:hint="eastAsia" w:ascii="方正小标宋_GBK" w:hAnsi="宋体" w:eastAsia="方正小标宋_GBK"/>
          <w:b/>
          <w:color w:val="000000"/>
          <w:kern w:val="0"/>
          <w:sz w:val="38"/>
          <w:szCs w:val="38"/>
          <w:lang w:val="zh-CN"/>
        </w:rPr>
        <w:t>绩效</w:t>
      </w:r>
    </w:p>
    <w:p w14:paraId="20F59041">
      <w:pPr>
        <w:spacing w:line="0" w:lineRule="atLeast"/>
        <w:jc w:val="center"/>
        <w:rPr>
          <w:rFonts w:ascii="宋体" w:hAnsi="宋体"/>
          <w:sz w:val="32"/>
          <w:szCs w:val="32"/>
          <w:lang w:val="zh-CN"/>
        </w:rPr>
      </w:pPr>
      <w:r>
        <w:rPr>
          <w:rFonts w:hint="eastAsia" w:ascii="方正小标宋_GBK" w:hAnsi="宋体" w:eastAsia="方正小标宋_GBK"/>
          <w:b/>
          <w:color w:val="000000"/>
          <w:kern w:val="0"/>
          <w:sz w:val="38"/>
          <w:szCs w:val="38"/>
          <w:lang w:val="zh-CN"/>
        </w:rPr>
        <w:t>评价报告</w:t>
      </w:r>
    </w:p>
    <w:p w14:paraId="69DFD686">
      <w:pPr>
        <w:spacing w:line="56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一、项目概况</w:t>
      </w:r>
    </w:p>
    <w:p w14:paraId="1170CBE3">
      <w:pPr>
        <w:spacing w:line="560" w:lineRule="exact"/>
        <w:ind w:firstLine="643" w:firstLineChars="200"/>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（一）项目基本情况。</w:t>
      </w:r>
    </w:p>
    <w:p w14:paraId="74A49258">
      <w:pPr>
        <w:spacing w:line="56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1.说明项目主管部门（单位）在该项目管理中的职能。</w:t>
      </w:r>
    </w:p>
    <w:p w14:paraId="30079F53">
      <w:pPr>
        <w:ind w:firstLine="640" w:firstLineChars="200"/>
        <w:outlineLvl w:val="0"/>
        <w:rPr>
          <w:rFonts w:hint="eastAsia" w:ascii="仿宋" w:hAnsi="仿宋" w:eastAsia="仿宋" w:cs="仿宋"/>
          <w:color w:val="000000"/>
          <w:sz w:val="32"/>
          <w:szCs w:val="32"/>
          <w:lang w:val="zh-CN"/>
        </w:rPr>
      </w:pPr>
      <w:r>
        <w:rPr>
          <w:rFonts w:hint="eastAsia" w:ascii="仿宋" w:hAnsi="仿宋" w:eastAsia="仿宋" w:cs="仿宋"/>
          <w:color w:val="000000"/>
          <w:sz w:val="32"/>
          <w:szCs w:val="32"/>
          <w:lang w:val="zh-CN"/>
        </w:rPr>
        <w:t>本院负责制定基本公共卫生服务项目实施方案、考核细则、拟定项目计划和目标、成立项目技术指导小组、组织人员培训、技术指导、检查督导、绩效考核和全乡居民健康管理。</w:t>
      </w:r>
    </w:p>
    <w:p w14:paraId="0DA42C86">
      <w:pPr>
        <w:spacing w:line="56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2.项目立项、资金申报的依据。</w:t>
      </w:r>
    </w:p>
    <w:p w14:paraId="4EC38A51">
      <w:pPr>
        <w:ind w:firstLine="640" w:firstLineChars="200"/>
        <w:outlineLvl w:val="0"/>
        <w:rPr>
          <w:rFonts w:hint="eastAsia" w:ascii="仿宋" w:hAnsi="仿宋" w:eastAsia="仿宋" w:cs="仿宋"/>
          <w:color w:val="000000"/>
          <w:kern w:val="0"/>
          <w:sz w:val="32"/>
          <w:szCs w:val="32"/>
        </w:rPr>
      </w:pPr>
      <w:r>
        <w:rPr>
          <w:rFonts w:hint="eastAsia" w:ascii="仿宋" w:hAnsi="仿宋" w:eastAsia="仿宋" w:cs="仿宋"/>
          <w:color w:val="000000"/>
          <w:sz w:val="32"/>
          <w:szCs w:val="32"/>
          <w:lang w:val="zh-CN"/>
        </w:rPr>
        <w:t>依据《国家基本公共卫生服务项目规范（第三版）》、《四川省基本公共卫生服务项目管理手册》、《</w:t>
      </w:r>
      <w:r>
        <w:rPr>
          <w:rFonts w:hint="eastAsia" w:ascii="仿宋" w:hAnsi="仿宋" w:eastAsia="仿宋" w:cs="仿宋"/>
          <w:color w:val="000000"/>
          <w:sz w:val="32"/>
          <w:szCs w:val="32"/>
          <w:lang w:val="zh-CN" w:eastAsia="zh-CN"/>
        </w:rPr>
        <w:t>盐边县20</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lang w:val="zh-CN" w:eastAsia="zh-CN"/>
        </w:rPr>
        <w:t>年基本公共卫生服务项目实施方案</w:t>
      </w:r>
      <w:r>
        <w:rPr>
          <w:rFonts w:hint="eastAsia" w:ascii="仿宋" w:hAnsi="仿宋" w:eastAsia="仿宋" w:cs="仿宋"/>
          <w:color w:val="000000"/>
          <w:sz w:val="32"/>
          <w:szCs w:val="32"/>
          <w:lang w:val="zh-CN"/>
        </w:rPr>
        <w:t>》（</w:t>
      </w:r>
      <w:r>
        <w:rPr>
          <w:rFonts w:hint="eastAsia" w:ascii="仿宋" w:hAnsi="仿宋" w:eastAsia="仿宋" w:cs="仿宋"/>
          <w:color w:val="000000"/>
          <w:sz w:val="32"/>
          <w:szCs w:val="32"/>
          <w:lang w:val="zh-CN" w:eastAsia="zh-CN"/>
        </w:rPr>
        <w:t>盐边卫发〔20</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lang w:val="zh-CN" w:eastAsia="zh-CN"/>
        </w:rPr>
        <w:t>〕</w:t>
      </w:r>
      <w:r>
        <w:rPr>
          <w:rFonts w:hint="eastAsia" w:ascii="仿宋" w:hAnsi="仿宋" w:eastAsia="仿宋" w:cs="仿宋"/>
          <w:color w:val="000000"/>
          <w:sz w:val="32"/>
          <w:szCs w:val="32"/>
          <w:lang w:val="en-US" w:eastAsia="zh-CN"/>
        </w:rPr>
        <w:t>151</w:t>
      </w:r>
      <w:r>
        <w:rPr>
          <w:rFonts w:hint="eastAsia" w:ascii="仿宋" w:hAnsi="仿宋" w:eastAsia="仿宋" w:cs="仿宋"/>
          <w:color w:val="000000"/>
          <w:sz w:val="32"/>
          <w:szCs w:val="32"/>
          <w:lang w:val="zh-CN" w:eastAsia="zh-CN"/>
        </w:rPr>
        <w:t>号</w:t>
      </w:r>
      <w:r>
        <w:rPr>
          <w:rFonts w:hint="eastAsia" w:ascii="仿宋" w:hAnsi="仿宋" w:eastAsia="仿宋" w:cs="仿宋"/>
          <w:color w:val="000000"/>
          <w:sz w:val="32"/>
          <w:szCs w:val="32"/>
          <w:lang w:val="zh-CN"/>
        </w:rPr>
        <w:t>）。</w:t>
      </w:r>
    </w:p>
    <w:p w14:paraId="5FDC4AD1">
      <w:pPr>
        <w:spacing w:line="56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3.资金管理办法制定情况，资金支持具体项目的条件、范围与支持方式概况。</w:t>
      </w:r>
    </w:p>
    <w:p w14:paraId="34374822">
      <w:pPr>
        <w:ind w:firstLine="640" w:firstLineChars="200"/>
        <w:outlineLvl w:val="0"/>
        <w:rPr>
          <w:rFonts w:hint="eastAsia" w:ascii="仿宋" w:hAnsi="仿宋" w:eastAsia="仿宋" w:cs="仿宋"/>
          <w:color w:val="000000"/>
          <w:sz w:val="32"/>
          <w:szCs w:val="32"/>
          <w:lang w:val="zh-CN"/>
        </w:rPr>
      </w:pPr>
      <w:r>
        <w:rPr>
          <w:rFonts w:hint="eastAsia" w:ascii="仿宋" w:hAnsi="仿宋" w:eastAsia="仿宋" w:cs="仿宋"/>
          <w:color w:val="000000"/>
          <w:sz w:val="32"/>
          <w:szCs w:val="32"/>
          <w:lang w:val="zh-CN"/>
        </w:rPr>
        <w:t>《四川省基本公共卫生服务项目成本核算指导意见》、《四川省基本公共卫生服务项目补助资金管理办法》、《财政厅</w:t>
      </w:r>
      <w:r>
        <w:rPr>
          <w:rFonts w:hint="eastAsia" w:ascii="仿宋" w:hAnsi="仿宋" w:eastAsia="仿宋" w:cs="仿宋"/>
          <w:color w:val="000000"/>
          <w:sz w:val="32"/>
          <w:szCs w:val="32"/>
          <w:lang w:val="en-US" w:eastAsia="zh-CN"/>
        </w:rPr>
        <w:t xml:space="preserve"> 省卫生健康委 省医疗保障局 省中医药管理局关于印发基本公共卫生服务等4项补助资金管理办法的通知</w:t>
      </w:r>
      <w:r>
        <w:rPr>
          <w:rFonts w:hint="eastAsia" w:ascii="仿宋" w:hAnsi="仿宋" w:eastAsia="仿宋" w:cs="仿宋"/>
          <w:color w:val="000000"/>
          <w:sz w:val="32"/>
          <w:szCs w:val="32"/>
          <w:lang w:val="zh-CN"/>
        </w:rPr>
        <w:t>》（川财社〔</w:t>
      </w:r>
      <w:r>
        <w:rPr>
          <w:rFonts w:hint="eastAsia" w:ascii="仿宋" w:hAnsi="仿宋" w:eastAsia="仿宋" w:cs="仿宋"/>
          <w:color w:val="000000"/>
          <w:sz w:val="32"/>
          <w:szCs w:val="32"/>
          <w:lang w:val="en-US" w:eastAsia="zh-CN"/>
        </w:rPr>
        <w:t>2019</w:t>
      </w:r>
      <w:r>
        <w:rPr>
          <w:rFonts w:hint="eastAsia" w:ascii="仿宋" w:hAnsi="仿宋" w:eastAsia="仿宋" w:cs="仿宋"/>
          <w:color w:val="000000"/>
          <w:sz w:val="32"/>
          <w:szCs w:val="32"/>
          <w:lang w:val="zh-CN"/>
        </w:rPr>
        <w:t>〕</w:t>
      </w:r>
      <w:r>
        <w:rPr>
          <w:rFonts w:hint="eastAsia" w:ascii="仿宋" w:hAnsi="仿宋" w:eastAsia="仿宋" w:cs="仿宋"/>
          <w:color w:val="000000"/>
          <w:sz w:val="32"/>
          <w:szCs w:val="32"/>
          <w:lang w:val="en-US" w:eastAsia="zh-CN"/>
        </w:rPr>
        <w:t>76号</w:t>
      </w:r>
      <w:r>
        <w:rPr>
          <w:rFonts w:hint="eastAsia" w:ascii="仿宋" w:hAnsi="仿宋" w:eastAsia="仿宋" w:cs="仿宋"/>
          <w:color w:val="000000"/>
          <w:sz w:val="32"/>
          <w:szCs w:val="32"/>
          <w:lang w:val="zh-CN"/>
        </w:rPr>
        <w:t>）等文件精神，印发</w:t>
      </w:r>
      <w:r>
        <w:rPr>
          <w:rFonts w:hint="eastAsia" w:ascii="仿宋" w:hAnsi="仿宋" w:eastAsia="仿宋" w:cs="仿宋"/>
          <w:color w:val="000000"/>
          <w:kern w:val="0"/>
          <w:sz w:val="32"/>
          <w:szCs w:val="32"/>
          <w:lang w:eastAsia="zh-CN"/>
        </w:rPr>
        <w:t>《盐边县卫生健康局关于印发盐边县20</w:t>
      </w:r>
      <w:r>
        <w:rPr>
          <w:rFonts w:hint="eastAsia" w:ascii="仿宋" w:hAnsi="仿宋" w:eastAsia="仿宋" w:cs="仿宋"/>
          <w:color w:val="000000"/>
          <w:kern w:val="0"/>
          <w:sz w:val="32"/>
          <w:szCs w:val="32"/>
          <w:lang w:val="en-US" w:eastAsia="zh-CN"/>
        </w:rPr>
        <w:t>20</w:t>
      </w:r>
      <w:r>
        <w:rPr>
          <w:rFonts w:hint="eastAsia" w:ascii="仿宋" w:hAnsi="仿宋" w:eastAsia="仿宋" w:cs="仿宋"/>
          <w:color w:val="000000"/>
          <w:kern w:val="0"/>
          <w:sz w:val="32"/>
          <w:szCs w:val="32"/>
          <w:lang w:eastAsia="zh-CN"/>
        </w:rPr>
        <w:t>年度基本公共卫生服务项目绩效考核方案的通知》（盐边卫发〔20</w:t>
      </w:r>
      <w:r>
        <w:rPr>
          <w:rFonts w:hint="eastAsia" w:ascii="仿宋" w:hAnsi="仿宋" w:eastAsia="仿宋" w:cs="仿宋"/>
          <w:color w:val="000000"/>
          <w:kern w:val="0"/>
          <w:sz w:val="32"/>
          <w:szCs w:val="32"/>
          <w:lang w:val="en-US" w:eastAsia="zh-CN"/>
        </w:rPr>
        <w:t>20</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172</w:t>
      </w:r>
      <w:r>
        <w:rPr>
          <w:rFonts w:hint="eastAsia" w:ascii="仿宋" w:hAnsi="仿宋" w:eastAsia="仿宋" w:cs="仿宋"/>
          <w:color w:val="000000"/>
          <w:kern w:val="0"/>
          <w:sz w:val="32"/>
          <w:szCs w:val="32"/>
          <w:lang w:eastAsia="zh-CN"/>
        </w:rPr>
        <w:t>号）文件，</w:t>
      </w:r>
      <w:r>
        <w:rPr>
          <w:rFonts w:hint="eastAsia" w:ascii="仿宋" w:hAnsi="仿宋" w:eastAsia="仿宋" w:cs="仿宋"/>
          <w:color w:val="000000"/>
          <w:sz w:val="32"/>
          <w:szCs w:val="32"/>
          <w:lang w:val="zh-CN"/>
        </w:rPr>
        <w:t>对村卫生站进行绩效考核，根据考核结果对村卫生室承担基本公共卫生服务内容按照总经费的</w:t>
      </w:r>
      <w:r>
        <w:rPr>
          <w:rFonts w:hint="eastAsia" w:ascii="仿宋" w:hAnsi="仿宋" w:eastAsia="仿宋" w:cs="仿宋"/>
          <w:color w:val="000000"/>
          <w:sz w:val="32"/>
          <w:szCs w:val="32"/>
          <w:lang w:val="en-US" w:eastAsia="zh-CN"/>
        </w:rPr>
        <w:t>40%</w:t>
      </w:r>
      <w:r>
        <w:rPr>
          <w:rFonts w:hint="eastAsia" w:ascii="仿宋" w:hAnsi="仿宋" w:eastAsia="仿宋" w:cs="仿宋"/>
          <w:color w:val="000000"/>
          <w:sz w:val="32"/>
          <w:szCs w:val="32"/>
          <w:lang w:val="zh-CN"/>
        </w:rPr>
        <w:t>进行补助。</w:t>
      </w:r>
    </w:p>
    <w:p w14:paraId="48CA678C">
      <w:pPr>
        <w:spacing w:line="56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4.资金分配的原则及考虑因素。</w:t>
      </w:r>
    </w:p>
    <w:p w14:paraId="253B9518">
      <w:pPr>
        <w:ind w:firstLine="640" w:firstLineChars="200"/>
        <w:outlineLvl w:val="0"/>
        <w:rPr>
          <w:rFonts w:hint="eastAsia" w:ascii="仿宋" w:hAnsi="仿宋" w:eastAsia="仿宋" w:cs="仿宋"/>
          <w:b w:val="0"/>
          <w:bCs w:val="0"/>
          <w:color w:val="000000"/>
          <w:sz w:val="32"/>
          <w:szCs w:val="32"/>
          <w:lang w:eastAsia="zh-CN"/>
        </w:rPr>
      </w:pPr>
      <w:r>
        <w:rPr>
          <w:rFonts w:hint="eastAsia" w:ascii="仿宋" w:hAnsi="仿宋" w:eastAsia="仿宋" w:cs="仿宋"/>
          <w:color w:val="000000"/>
          <w:sz w:val="32"/>
          <w:szCs w:val="32"/>
          <w:lang w:val="zh-CN"/>
        </w:rPr>
        <w:t>按照</w:t>
      </w:r>
      <w:r>
        <w:rPr>
          <w:rFonts w:hint="eastAsia" w:ascii="仿宋" w:hAnsi="仿宋" w:eastAsia="仿宋" w:cs="仿宋"/>
          <w:color w:val="000000"/>
          <w:kern w:val="0"/>
          <w:sz w:val="32"/>
          <w:szCs w:val="32"/>
          <w:lang w:eastAsia="zh-CN"/>
        </w:rPr>
        <w:t>盐边县卫生健康局关于印发</w:t>
      </w:r>
      <w:r>
        <w:rPr>
          <w:rFonts w:hint="eastAsia" w:ascii="仿宋" w:hAnsi="仿宋" w:eastAsia="仿宋" w:cs="仿宋"/>
          <w:color w:val="000000"/>
          <w:sz w:val="32"/>
          <w:szCs w:val="32"/>
          <w:lang w:val="zh-CN"/>
        </w:rPr>
        <w:t>《</w:t>
      </w:r>
      <w:r>
        <w:rPr>
          <w:rFonts w:hint="eastAsia" w:ascii="仿宋" w:hAnsi="仿宋" w:eastAsia="仿宋" w:cs="仿宋"/>
          <w:color w:val="000000"/>
          <w:kern w:val="0"/>
          <w:sz w:val="32"/>
          <w:szCs w:val="32"/>
          <w:lang w:eastAsia="zh-CN"/>
        </w:rPr>
        <w:t>盐边县20</w:t>
      </w:r>
      <w:r>
        <w:rPr>
          <w:rFonts w:hint="eastAsia" w:ascii="仿宋" w:hAnsi="仿宋" w:eastAsia="仿宋" w:cs="仿宋"/>
          <w:color w:val="000000"/>
          <w:kern w:val="0"/>
          <w:sz w:val="32"/>
          <w:szCs w:val="32"/>
          <w:lang w:val="en-US" w:eastAsia="zh-CN"/>
        </w:rPr>
        <w:t>20</w:t>
      </w:r>
      <w:r>
        <w:rPr>
          <w:rFonts w:hint="eastAsia" w:ascii="仿宋" w:hAnsi="仿宋" w:eastAsia="仿宋" w:cs="仿宋"/>
          <w:color w:val="000000"/>
          <w:kern w:val="0"/>
          <w:sz w:val="32"/>
          <w:szCs w:val="32"/>
          <w:lang w:eastAsia="zh-CN"/>
        </w:rPr>
        <w:t>年度基本公共卫生服务项目绩效考核方案的通知》（盐边卫发〔20</w:t>
      </w:r>
      <w:r>
        <w:rPr>
          <w:rFonts w:hint="eastAsia" w:ascii="仿宋" w:hAnsi="仿宋" w:eastAsia="仿宋" w:cs="仿宋"/>
          <w:color w:val="000000"/>
          <w:kern w:val="0"/>
          <w:sz w:val="32"/>
          <w:szCs w:val="32"/>
          <w:lang w:val="en-US" w:eastAsia="zh-CN"/>
        </w:rPr>
        <w:t>20</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172</w:t>
      </w:r>
      <w:r>
        <w:rPr>
          <w:rFonts w:hint="eastAsia" w:ascii="仿宋" w:hAnsi="仿宋" w:eastAsia="仿宋" w:cs="仿宋"/>
          <w:color w:val="000000"/>
          <w:kern w:val="0"/>
          <w:sz w:val="32"/>
          <w:szCs w:val="32"/>
          <w:lang w:eastAsia="zh-CN"/>
        </w:rPr>
        <w:t>号）</w:t>
      </w:r>
      <w:r>
        <w:rPr>
          <w:rFonts w:hint="eastAsia" w:ascii="仿宋" w:hAnsi="仿宋" w:eastAsia="仿宋" w:cs="仿宋"/>
          <w:color w:val="000000"/>
          <w:sz w:val="32"/>
          <w:szCs w:val="32"/>
          <w:lang w:val="zh-CN"/>
        </w:rPr>
        <w:t>要求，按照完成数量、质量、满意度等综合考虑，不单以完成数量进行拨付。</w:t>
      </w:r>
      <w:r>
        <w:rPr>
          <w:rFonts w:hint="eastAsia" w:ascii="仿宋" w:hAnsi="仿宋" w:eastAsia="仿宋" w:cs="仿宋"/>
          <w:b w:val="0"/>
          <w:bCs w:val="0"/>
          <w:color w:val="000000"/>
          <w:sz w:val="32"/>
          <w:szCs w:val="32"/>
          <w:lang w:eastAsia="zh-CN"/>
        </w:rPr>
        <w:t>基本公共卫生服务项目资金按照卫计局要求</w:t>
      </w:r>
      <w:r>
        <w:rPr>
          <w:rFonts w:hint="eastAsia" w:ascii="仿宋" w:hAnsi="仿宋" w:eastAsia="仿宋" w:cs="仿宋"/>
          <w:b w:val="0"/>
          <w:bCs w:val="0"/>
          <w:color w:val="000000"/>
          <w:sz w:val="32"/>
          <w:szCs w:val="32"/>
          <w:lang w:val="en-US" w:eastAsia="zh-CN"/>
        </w:rPr>
        <w:t>，在半年拨付40%经费的预拨，在年终考核后30天之内拨付总经费的40%，项目资金全部按照相关规定使用，本院无截留、挤占、挪用的情况发生。</w:t>
      </w:r>
    </w:p>
    <w:p w14:paraId="0AFCC454">
      <w:pPr>
        <w:spacing w:line="560" w:lineRule="exact"/>
        <w:ind w:firstLine="643" w:firstLineChars="200"/>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（二）项目绩效目标。</w:t>
      </w:r>
    </w:p>
    <w:p w14:paraId="49628270">
      <w:pPr>
        <w:spacing w:line="56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1.项目主要内容。</w:t>
      </w:r>
    </w:p>
    <w:p w14:paraId="7A25E16C">
      <w:pPr>
        <w:spacing w:line="560" w:lineRule="exact"/>
        <w:ind w:firstLine="640" w:firstLineChars="200"/>
        <w:rPr>
          <w:rFonts w:hint="eastAsia" w:ascii="仿宋" w:hAnsi="仿宋" w:eastAsia="仿宋" w:cs="仿宋"/>
          <w:sz w:val="32"/>
          <w:szCs w:val="32"/>
        </w:rPr>
      </w:pPr>
      <w:r>
        <w:rPr>
          <w:rFonts w:hint="eastAsia" w:ascii="仿宋" w:hAnsi="仿宋" w:eastAsia="仿宋" w:cs="仿宋"/>
          <w:color w:val="000000"/>
          <w:sz w:val="32"/>
          <w:szCs w:val="32"/>
          <w:lang w:val="en-US" w:eastAsia="zh-CN"/>
        </w:rPr>
        <w:t>国家基本公共卫生服务服务项目分别为居民健康档案、健康教育、0-6岁儿童健康管理、预防接种、孕产妇健康管理、老年人健康管理、慢性病管理、严重精神障碍患者管理、肺结核患者健康管理、中医药健康管理、传染病及突发公共卫生事件报告和处理服务、卫生计生监督协管服务、等12项的工作。</w:t>
      </w:r>
    </w:p>
    <w:p w14:paraId="2051531C">
      <w:pPr>
        <w:spacing w:line="56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2.项目应实现的具体绩效目标，包括目标的量化、细化情况以及项目实施进度计划等。</w:t>
      </w:r>
    </w:p>
    <w:p w14:paraId="667D24C9">
      <w:pPr>
        <w:keepNext w:val="0"/>
        <w:keepLines w:val="0"/>
        <w:pageBreakBefore w:val="0"/>
        <w:widowControl w:val="0"/>
        <w:numPr>
          <w:ilvl w:val="0"/>
          <w:numId w:val="0"/>
        </w:numPr>
        <w:kinsoku/>
        <w:wordWrap/>
        <w:overflowPunct/>
        <w:topLinePunct w:val="0"/>
        <w:autoSpaceDE/>
        <w:autoSpaceDN/>
        <w:bidi w:val="0"/>
        <w:adjustRightInd/>
        <w:spacing w:line="570" w:lineRule="exact"/>
        <w:ind w:right="0" w:rightChars="0" w:firstLine="66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(一）居民健康档案管理</w:t>
      </w:r>
    </w:p>
    <w:p w14:paraId="14F414C4">
      <w:pPr>
        <w:keepNext w:val="0"/>
        <w:keepLines w:val="0"/>
        <w:pageBreakBefore w:val="0"/>
        <w:widowControl w:val="0"/>
        <w:numPr>
          <w:ilvl w:val="0"/>
          <w:numId w:val="0"/>
        </w:numPr>
        <w:kinsoku/>
        <w:wordWrap/>
        <w:overflowPunct/>
        <w:topLinePunct w:val="0"/>
        <w:autoSpaceDE/>
        <w:autoSpaceDN/>
        <w:bidi w:val="0"/>
        <w:adjustRightInd/>
        <w:spacing w:line="570" w:lineRule="exact"/>
        <w:ind w:right="0" w:rightChars="0" w:firstLine="66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截止9月30日全乡已建立健康档案</w:t>
      </w:r>
      <w:r>
        <w:rPr>
          <w:rFonts w:hint="eastAsia" w:ascii="仿宋" w:hAnsi="仿宋" w:eastAsia="仿宋" w:cs="仿宋"/>
          <w:sz w:val="32"/>
          <w:szCs w:val="32"/>
          <w:lang w:val="en-US" w:eastAsia="zh-CN"/>
        </w:rPr>
        <w:t>6660</w:t>
      </w:r>
      <w:r>
        <w:rPr>
          <w:rFonts w:hint="eastAsia" w:ascii="仿宋" w:hAnsi="仿宋" w:eastAsia="仿宋" w:cs="仿宋"/>
          <w:sz w:val="32"/>
          <w:szCs w:val="32"/>
          <w:lang w:eastAsia="zh-CN"/>
        </w:rPr>
        <w:t>人，其中高血压患者档案</w:t>
      </w:r>
      <w:r>
        <w:rPr>
          <w:rFonts w:hint="eastAsia" w:ascii="仿宋" w:hAnsi="仿宋" w:eastAsia="仿宋" w:cs="仿宋"/>
          <w:sz w:val="32"/>
          <w:szCs w:val="32"/>
          <w:lang w:val="en-US" w:eastAsia="zh-CN"/>
        </w:rPr>
        <w:t>310</w:t>
      </w:r>
      <w:r>
        <w:rPr>
          <w:rFonts w:hint="eastAsia" w:ascii="仿宋" w:hAnsi="仿宋" w:eastAsia="仿宋" w:cs="仿宋"/>
          <w:sz w:val="32"/>
          <w:szCs w:val="32"/>
          <w:lang w:eastAsia="zh-CN"/>
        </w:rPr>
        <w:t>份，2型糖尿病患者档案</w:t>
      </w:r>
      <w:r>
        <w:rPr>
          <w:rFonts w:hint="eastAsia" w:ascii="仿宋" w:hAnsi="仿宋" w:eastAsia="仿宋" w:cs="仿宋"/>
          <w:sz w:val="32"/>
          <w:szCs w:val="32"/>
          <w:lang w:val="en-US" w:eastAsia="zh-CN"/>
        </w:rPr>
        <w:t>98</w:t>
      </w:r>
      <w:r>
        <w:rPr>
          <w:rFonts w:hint="eastAsia" w:ascii="仿宋" w:hAnsi="仿宋" w:eastAsia="仿宋" w:cs="仿宋"/>
          <w:sz w:val="32"/>
          <w:szCs w:val="32"/>
          <w:lang w:eastAsia="zh-CN"/>
        </w:rPr>
        <w:t>份，65岁以上老年人档案</w:t>
      </w:r>
      <w:r>
        <w:rPr>
          <w:rFonts w:hint="eastAsia" w:ascii="仿宋" w:hAnsi="仿宋" w:eastAsia="仿宋" w:cs="仿宋"/>
          <w:sz w:val="32"/>
          <w:szCs w:val="32"/>
          <w:lang w:val="en-US" w:eastAsia="zh-CN"/>
        </w:rPr>
        <w:t>560</w:t>
      </w:r>
      <w:r>
        <w:rPr>
          <w:rFonts w:hint="eastAsia" w:ascii="仿宋" w:hAnsi="仿宋" w:eastAsia="仿宋" w:cs="仿宋"/>
          <w:sz w:val="32"/>
          <w:szCs w:val="32"/>
          <w:lang w:eastAsia="zh-CN"/>
        </w:rPr>
        <w:t>份，0—6岁儿童健康管理档案</w:t>
      </w:r>
      <w:r>
        <w:rPr>
          <w:rFonts w:hint="eastAsia" w:ascii="仿宋" w:hAnsi="仿宋" w:eastAsia="仿宋" w:cs="仿宋"/>
          <w:sz w:val="32"/>
          <w:szCs w:val="32"/>
          <w:lang w:val="en-US" w:eastAsia="zh-CN"/>
        </w:rPr>
        <w:t>593</w:t>
      </w:r>
      <w:r>
        <w:rPr>
          <w:rFonts w:hint="eastAsia" w:ascii="仿宋" w:hAnsi="仿宋" w:eastAsia="仿宋" w:cs="仿宋"/>
          <w:sz w:val="32"/>
          <w:szCs w:val="32"/>
          <w:lang w:eastAsia="zh-CN"/>
        </w:rPr>
        <w:t>份，孕产妇健康档案</w:t>
      </w:r>
      <w:r>
        <w:rPr>
          <w:rFonts w:hint="eastAsia" w:ascii="仿宋" w:hAnsi="仿宋" w:eastAsia="仿宋" w:cs="仿宋"/>
          <w:sz w:val="32"/>
          <w:szCs w:val="32"/>
          <w:lang w:val="en-US" w:eastAsia="zh-CN"/>
        </w:rPr>
        <w:t>45</w:t>
      </w:r>
      <w:r>
        <w:rPr>
          <w:rFonts w:hint="eastAsia" w:ascii="仿宋" w:hAnsi="仿宋" w:eastAsia="仿宋" w:cs="仿宋"/>
          <w:sz w:val="32"/>
          <w:szCs w:val="32"/>
          <w:lang w:eastAsia="zh-CN"/>
        </w:rPr>
        <w:t>份,严重精神障碍患者管理档案</w:t>
      </w:r>
      <w:r>
        <w:rPr>
          <w:rFonts w:hint="eastAsia" w:ascii="仿宋" w:hAnsi="仿宋" w:eastAsia="仿宋" w:cs="仿宋"/>
          <w:sz w:val="32"/>
          <w:szCs w:val="32"/>
          <w:lang w:val="en-US" w:eastAsia="zh-CN"/>
        </w:rPr>
        <w:t>31</w:t>
      </w:r>
      <w:r>
        <w:rPr>
          <w:rFonts w:hint="eastAsia" w:ascii="仿宋" w:hAnsi="仿宋" w:eastAsia="仿宋" w:cs="仿宋"/>
          <w:sz w:val="32"/>
          <w:szCs w:val="32"/>
          <w:lang w:eastAsia="zh-CN"/>
        </w:rPr>
        <w:t>份。</w:t>
      </w:r>
    </w:p>
    <w:p w14:paraId="1A03CBAB">
      <w:pPr>
        <w:keepNext w:val="0"/>
        <w:keepLines w:val="0"/>
        <w:pageBreakBefore w:val="0"/>
        <w:widowControl w:val="0"/>
        <w:numPr>
          <w:ilvl w:val="0"/>
          <w:numId w:val="0"/>
        </w:numPr>
        <w:kinsoku/>
        <w:wordWrap/>
        <w:overflowPunct/>
        <w:topLinePunct w:val="0"/>
        <w:autoSpaceDE/>
        <w:autoSpaceDN/>
        <w:bidi w:val="0"/>
        <w:adjustRightInd/>
        <w:spacing w:line="570" w:lineRule="exact"/>
        <w:ind w:right="0" w:rightChars="0"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（二）健康教育</w:t>
      </w:r>
    </w:p>
    <w:p w14:paraId="5FE15157">
      <w:pPr>
        <w:keepNext w:val="0"/>
        <w:keepLines w:val="0"/>
        <w:pageBreakBefore w:val="0"/>
        <w:widowControl w:val="0"/>
        <w:numPr>
          <w:ilvl w:val="0"/>
          <w:numId w:val="0"/>
        </w:numPr>
        <w:kinsoku/>
        <w:wordWrap/>
        <w:overflowPunct/>
        <w:topLinePunct w:val="0"/>
        <w:autoSpaceDE/>
        <w:autoSpaceDN/>
        <w:bidi w:val="0"/>
        <w:adjustRightInd/>
        <w:spacing w:line="570" w:lineRule="exact"/>
        <w:ind w:right="0" w:rightChars="0" w:firstLine="66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我院通过印刷宣传资料，每月开展健康教育知识讲座，播放健康教育影像等形式对辖区居民进行了健康普及。35岁以上人群做高血压、糖尿病筛查</w:t>
      </w:r>
      <w:r>
        <w:rPr>
          <w:rFonts w:hint="eastAsia" w:ascii="仿宋" w:hAnsi="仿宋" w:eastAsia="仿宋" w:cs="仿宋"/>
          <w:sz w:val="32"/>
          <w:szCs w:val="32"/>
          <w:lang w:val="en-US" w:eastAsia="zh-CN"/>
        </w:rPr>
        <w:t>283</w:t>
      </w:r>
      <w:r>
        <w:rPr>
          <w:rFonts w:hint="eastAsia" w:ascii="仿宋" w:hAnsi="仿宋" w:eastAsia="仿宋" w:cs="仿宋"/>
          <w:sz w:val="32"/>
          <w:szCs w:val="32"/>
          <w:lang w:eastAsia="zh-CN"/>
        </w:rPr>
        <w:t>人次，公共卫生健康教育宣传发放</w:t>
      </w:r>
      <w:r>
        <w:rPr>
          <w:rFonts w:hint="eastAsia" w:ascii="仿宋" w:hAnsi="仿宋" w:eastAsia="仿宋" w:cs="仿宋"/>
          <w:sz w:val="32"/>
          <w:szCs w:val="32"/>
          <w:lang w:val="en-US" w:eastAsia="zh-CN"/>
        </w:rPr>
        <w:t>30</w:t>
      </w:r>
      <w:r>
        <w:rPr>
          <w:rFonts w:hint="eastAsia" w:ascii="仿宋" w:hAnsi="仿宋" w:eastAsia="仿宋" w:cs="仿宋"/>
          <w:sz w:val="32"/>
          <w:szCs w:val="32"/>
          <w:lang w:eastAsia="zh-CN"/>
        </w:rPr>
        <w:t>种、宣传册</w:t>
      </w:r>
      <w:r>
        <w:rPr>
          <w:rFonts w:hint="eastAsia" w:ascii="仿宋" w:hAnsi="仿宋" w:eastAsia="仿宋" w:cs="仿宋"/>
          <w:sz w:val="32"/>
          <w:szCs w:val="32"/>
          <w:lang w:val="en-US" w:eastAsia="zh-CN"/>
        </w:rPr>
        <w:t>2040</w:t>
      </w:r>
      <w:r>
        <w:rPr>
          <w:rFonts w:hint="eastAsia" w:ascii="仿宋" w:hAnsi="仿宋" w:eastAsia="仿宋" w:cs="仿宋"/>
          <w:sz w:val="32"/>
          <w:szCs w:val="32"/>
          <w:lang w:eastAsia="zh-CN"/>
        </w:rPr>
        <w:t>余册，中医药内容6种、</w:t>
      </w:r>
      <w:r>
        <w:rPr>
          <w:rFonts w:hint="eastAsia" w:ascii="仿宋" w:hAnsi="仿宋" w:eastAsia="仿宋" w:cs="仿宋"/>
          <w:sz w:val="32"/>
          <w:szCs w:val="32"/>
          <w:lang w:val="en-US" w:eastAsia="zh-CN"/>
        </w:rPr>
        <w:t>300</w:t>
      </w:r>
      <w:r>
        <w:rPr>
          <w:rFonts w:hint="eastAsia" w:ascii="仿宋" w:hAnsi="仿宋" w:eastAsia="仿宋" w:cs="仿宋"/>
          <w:sz w:val="32"/>
          <w:szCs w:val="32"/>
          <w:lang w:eastAsia="zh-CN"/>
        </w:rPr>
        <w:t>份。高血压随访</w:t>
      </w:r>
      <w:r>
        <w:rPr>
          <w:rFonts w:hint="eastAsia" w:ascii="仿宋" w:hAnsi="仿宋" w:eastAsia="仿宋" w:cs="仿宋"/>
          <w:sz w:val="32"/>
          <w:szCs w:val="32"/>
          <w:lang w:val="en-US" w:eastAsia="zh-CN"/>
        </w:rPr>
        <w:t>1260</w:t>
      </w:r>
      <w:r>
        <w:rPr>
          <w:rFonts w:hint="eastAsia" w:ascii="仿宋" w:hAnsi="仿宋" w:eastAsia="仿宋" w:cs="仿宋"/>
          <w:sz w:val="32"/>
          <w:szCs w:val="32"/>
          <w:lang w:eastAsia="zh-CN"/>
        </w:rPr>
        <w:t>人次，糖尿病免费随访</w:t>
      </w:r>
      <w:r>
        <w:rPr>
          <w:rFonts w:hint="eastAsia" w:ascii="仿宋" w:hAnsi="仿宋" w:eastAsia="仿宋" w:cs="仿宋"/>
          <w:sz w:val="32"/>
          <w:szCs w:val="32"/>
          <w:lang w:val="en-US" w:eastAsia="zh-CN"/>
        </w:rPr>
        <w:t>350</w:t>
      </w:r>
      <w:r>
        <w:rPr>
          <w:rFonts w:hint="eastAsia" w:ascii="仿宋" w:hAnsi="仿宋" w:eastAsia="仿宋" w:cs="仿宋"/>
          <w:sz w:val="32"/>
          <w:szCs w:val="32"/>
          <w:lang w:eastAsia="zh-CN"/>
        </w:rPr>
        <w:t>人次，</w:t>
      </w:r>
    </w:p>
    <w:p w14:paraId="17A05B7A">
      <w:pPr>
        <w:keepNext w:val="0"/>
        <w:keepLines w:val="0"/>
        <w:pageBreakBefore w:val="0"/>
        <w:widowControl w:val="0"/>
        <w:numPr>
          <w:ilvl w:val="0"/>
          <w:numId w:val="0"/>
        </w:numPr>
        <w:kinsoku/>
        <w:wordWrap/>
        <w:overflowPunct/>
        <w:topLinePunct w:val="0"/>
        <w:autoSpaceDE/>
        <w:autoSpaceDN/>
        <w:bidi w:val="0"/>
        <w:adjustRightInd/>
        <w:spacing w:line="570" w:lineRule="exact"/>
        <w:ind w:right="0" w:rightChars="0" w:firstLine="66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（三）老年人、慢病健康管理</w:t>
      </w:r>
    </w:p>
    <w:p w14:paraId="75E383A2">
      <w:pPr>
        <w:keepNext w:val="0"/>
        <w:keepLines w:val="0"/>
        <w:pageBreakBefore w:val="0"/>
        <w:widowControl w:val="0"/>
        <w:numPr>
          <w:ilvl w:val="0"/>
          <w:numId w:val="0"/>
        </w:numPr>
        <w:kinsoku/>
        <w:wordWrap/>
        <w:overflowPunct/>
        <w:topLinePunct w:val="0"/>
        <w:autoSpaceDE/>
        <w:autoSpaceDN/>
        <w:bidi w:val="0"/>
        <w:adjustRightInd/>
        <w:spacing w:line="570" w:lineRule="exact"/>
        <w:ind w:right="0" w:rightChars="0"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老年人体检人数</w:t>
      </w:r>
      <w:r>
        <w:rPr>
          <w:rFonts w:hint="eastAsia" w:ascii="仿宋" w:hAnsi="仿宋" w:eastAsia="仿宋" w:cs="仿宋"/>
          <w:sz w:val="32"/>
          <w:szCs w:val="32"/>
          <w:lang w:val="en-US" w:eastAsia="zh-CN"/>
        </w:rPr>
        <w:t>336</w:t>
      </w:r>
      <w:r>
        <w:rPr>
          <w:rFonts w:hint="eastAsia" w:ascii="仿宋" w:hAnsi="仿宋" w:eastAsia="仿宋" w:cs="仿宋"/>
          <w:sz w:val="32"/>
          <w:szCs w:val="32"/>
          <w:lang w:eastAsia="zh-CN"/>
        </w:rPr>
        <w:t>人。体检率为</w:t>
      </w:r>
      <w:r>
        <w:rPr>
          <w:rFonts w:hint="eastAsia" w:ascii="仿宋" w:hAnsi="仿宋" w:eastAsia="仿宋" w:cs="仿宋"/>
          <w:sz w:val="32"/>
          <w:szCs w:val="32"/>
          <w:lang w:val="en-US" w:eastAsia="zh-CN"/>
        </w:rPr>
        <w:t>55</w:t>
      </w:r>
      <w:r>
        <w:rPr>
          <w:rFonts w:hint="eastAsia" w:ascii="仿宋" w:hAnsi="仿宋" w:eastAsia="仿宋" w:cs="仿宋"/>
          <w:sz w:val="32"/>
          <w:szCs w:val="32"/>
          <w:lang w:eastAsia="zh-CN"/>
        </w:rPr>
        <w:t>%，规范管理率为</w:t>
      </w:r>
      <w:r>
        <w:rPr>
          <w:rFonts w:hint="eastAsia" w:ascii="仿宋" w:hAnsi="仿宋" w:eastAsia="仿宋" w:cs="仿宋"/>
          <w:sz w:val="32"/>
          <w:szCs w:val="32"/>
          <w:lang w:val="en-US" w:eastAsia="zh-CN"/>
        </w:rPr>
        <w:t>55</w:t>
      </w:r>
      <w:r>
        <w:rPr>
          <w:rFonts w:hint="eastAsia" w:ascii="仿宋" w:hAnsi="仿宋" w:eastAsia="仿宋" w:cs="仿宋"/>
          <w:sz w:val="32"/>
          <w:szCs w:val="32"/>
          <w:lang w:eastAsia="zh-CN"/>
        </w:rPr>
        <w:t>%，接受中医药管理</w:t>
      </w:r>
      <w:r>
        <w:rPr>
          <w:rFonts w:hint="eastAsia" w:ascii="仿宋" w:hAnsi="仿宋" w:eastAsia="仿宋" w:cs="仿宋"/>
          <w:sz w:val="32"/>
          <w:szCs w:val="32"/>
          <w:lang w:val="en-US" w:eastAsia="zh-CN"/>
        </w:rPr>
        <w:t>560</w:t>
      </w:r>
      <w:r>
        <w:rPr>
          <w:rFonts w:hint="eastAsia" w:ascii="仿宋" w:hAnsi="仿宋" w:eastAsia="仿宋" w:cs="仿宋"/>
          <w:sz w:val="32"/>
          <w:szCs w:val="32"/>
          <w:lang w:eastAsia="zh-CN"/>
        </w:rPr>
        <w:t>人，管理率</w:t>
      </w:r>
      <w:r>
        <w:rPr>
          <w:rFonts w:hint="eastAsia" w:ascii="仿宋" w:hAnsi="仿宋" w:eastAsia="仿宋" w:cs="仿宋"/>
          <w:sz w:val="32"/>
          <w:szCs w:val="32"/>
          <w:lang w:val="en-US" w:eastAsia="zh-CN"/>
        </w:rPr>
        <w:t>55</w:t>
      </w:r>
      <w:r>
        <w:rPr>
          <w:rFonts w:hint="eastAsia" w:ascii="仿宋" w:hAnsi="仿宋" w:eastAsia="仿宋" w:cs="仿宋"/>
          <w:sz w:val="32"/>
          <w:szCs w:val="32"/>
          <w:lang w:eastAsia="zh-CN"/>
        </w:rPr>
        <w:t>%。高血压</w:t>
      </w:r>
      <w:r>
        <w:rPr>
          <w:rFonts w:hint="eastAsia" w:ascii="仿宋" w:hAnsi="仿宋" w:eastAsia="仿宋" w:cs="仿宋"/>
          <w:sz w:val="32"/>
          <w:szCs w:val="32"/>
          <w:lang w:val="en-US" w:eastAsia="zh-CN"/>
        </w:rPr>
        <w:t>310</w:t>
      </w:r>
      <w:r>
        <w:rPr>
          <w:rFonts w:hint="eastAsia" w:ascii="仿宋" w:hAnsi="仿宋" w:eastAsia="仿宋" w:cs="仿宋"/>
          <w:sz w:val="32"/>
          <w:szCs w:val="32"/>
          <w:lang w:eastAsia="zh-CN"/>
        </w:rPr>
        <w:t>人，高血压管理率为</w:t>
      </w:r>
      <w:r>
        <w:rPr>
          <w:rFonts w:hint="eastAsia" w:ascii="仿宋" w:hAnsi="仿宋" w:eastAsia="仿宋" w:cs="仿宋"/>
          <w:sz w:val="32"/>
          <w:szCs w:val="32"/>
          <w:lang w:val="en-US" w:eastAsia="zh-CN"/>
        </w:rPr>
        <w:t>80</w:t>
      </w:r>
      <w:r>
        <w:rPr>
          <w:rFonts w:hint="eastAsia" w:ascii="仿宋" w:hAnsi="仿宋" w:eastAsia="仿宋" w:cs="仿宋"/>
          <w:sz w:val="32"/>
          <w:szCs w:val="32"/>
          <w:lang w:eastAsia="zh-CN"/>
        </w:rPr>
        <w:t>%，规范管理率为</w:t>
      </w:r>
      <w:r>
        <w:rPr>
          <w:rFonts w:hint="eastAsia" w:ascii="仿宋" w:hAnsi="仿宋" w:eastAsia="仿宋" w:cs="仿宋"/>
          <w:sz w:val="32"/>
          <w:szCs w:val="32"/>
          <w:lang w:val="en-US" w:eastAsia="zh-CN"/>
        </w:rPr>
        <w:t>80</w:t>
      </w:r>
      <w:r>
        <w:rPr>
          <w:rFonts w:hint="eastAsia" w:ascii="仿宋" w:hAnsi="仿宋" w:eastAsia="仿宋" w:cs="仿宋"/>
          <w:sz w:val="32"/>
          <w:szCs w:val="32"/>
          <w:lang w:eastAsia="zh-CN"/>
        </w:rPr>
        <w:t>%，2型糖尿病</w:t>
      </w:r>
      <w:r>
        <w:rPr>
          <w:rFonts w:hint="eastAsia" w:ascii="仿宋" w:hAnsi="仿宋" w:eastAsia="仿宋" w:cs="仿宋"/>
          <w:sz w:val="32"/>
          <w:szCs w:val="32"/>
          <w:lang w:val="en-US" w:eastAsia="zh-CN"/>
        </w:rPr>
        <w:t>98</w:t>
      </w:r>
      <w:r>
        <w:rPr>
          <w:rFonts w:hint="eastAsia" w:ascii="仿宋" w:hAnsi="仿宋" w:eastAsia="仿宋" w:cs="仿宋"/>
          <w:sz w:val="32"/>
          <w:szCs w:val="32"/>
          <w:lang w:eastAsia="zh-CN"/>
        </w:rPr>
        <w:t>人，2型糖尿病患者管理率为</w:t>
      </w:r>
      <w:r>
        <w:rPr>
          <w:rFonts w:hint="eastAsia" w:ascii="仿宋" w:hAnsi="仿宋" w:eastAsia="仿宋" w:cs="仿宋"/>
          <w:sz w:val="32"/>
          <w:szCs w:val="32"/>
          <w:lang w:val="en-US" w:eastAsia="zh-CN"/>
        </w:rPr>
        <w:t>96</w:t>
      </w:r>
      <w:r>
        <w:rPr>
          <w:rFonts w:hint="eastAsia" w:ascii="仿宋" w:hAnsi="仿宋" w:eastAsia="仿宋" w:cs="仿宋"/>
          <w:sz w:val="32"/>
          <w:szCs w:val="32"/>
          <w:lang w:eastAsia="zh-CN"/>
        </w:rPr>
        <w:t>%，规范管理率为</w:t>
      </w:r>
      <w:r>
        <w:rPr>
          <w:rFonts w:hint="eastAsia" w:ascii="仿宋" w:hAnsi="仿宋" w:eastAsia="仿宋" w:cs="仿宋"/>
          <w:sz w:val="32"/>
          <w:szCs w:val="32"/>
          <w:lang w:val="en-US" w:eastAsia="zh-CN"/>
        </w:rPr>
        <w:t>98</w:t>
      </w:r>
      <w:r>
        <w:rPr>
          <w:rFonts w:hint="eastAsia" w:ascii="仿宋" w:hAnsi="仿宋" w:eastAsia="仿宋" w:cs="仿宋"/>
          <w:sz w:val="32"/>
          <w:szCs w:val="32"/>
          <w:lang w:eastAsia="zh-CN"/>
        </w:rPr>
        <w:t>%，严重精神障碍</w:t>
      </w:r>
      <w:r>
        <w:rPr>
          <w:rFonts w:hint="eastAsia" w:ascii="仿宋" w:hAnsi="仿宋" w:eastAsia="仿宋" w:cs="仿宋"/>
          <w:sz w:val="32"/>
          <w:szCs w:val="32"/>
          <w:lang w:val="en-US" w:eastAsia="zh-CN"/>
        </w:rPr>
        <w:t>31</w:t>
      </w:r>
      <w:r>
        <w:rPr>
          <w:rFonts w:hint="eastAsia" w:ascii="仿宋" w:hAnsi="仿宋" w:eastAsia="仿宋" w:cs="仿宋"/>
          <w:sz w:val="32"/>
          <w:szCs w:val="32"/>
          <w:lang w:eastAsia="zh-CN"/>
        </w:rPr>
        <w:t>人。严重精神障碍检出率为4.3% ，管理率为98%，规范管理率为70%。</w:t>
      </w:r>
    </w:p>
    <w:p w14:paraId="48373E35">
      <w:pPr>
        <w:keepNext w:val="0"/>
        <w:keepLines w:val="0"/>
        <w:pageBreakBefore w:val="0"/>
        <w:widowControl w:val="0"/>
        <w:numPr>
          <w:ilvl w:val="0"/>
          <w:numId w:val="0"/>
        </w:numPr>
        <w:kinsoku/>
        <w:wordWrap/>
        <w:overflowPunct/>
        <w:topLinePunct w:val="0"/>
        <w:autoSpaceDE/>
        <w:autoSpaceDN/>
        <w:bidi w:val="0"/>
        <w:adjustRightInd/>
        <w:spacing w:line="570" w:lineRule="exact"/>
        <w:ind w:right="0" w:rightChars="0" w:firstLine="66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（四）免疫规划</w:t>
      </w:r>
    </w:p>
    <w:p w14:paraId="38011EC9">
      <w:pPr>
        <w:keepNext w:val="0"/>
        <w:keepLines w:val="0"/>
        <w:pageBreakBefore w:val="0"/>
        <w:widowControl w:val="0"/>
        <w:numPr>
          <w:ilvl w:val="0"/>
          <w:numId w:val="0"/>
        </w:numPr>
        <w:kinsoku/>
        <w:wordWrap/>
        <w:overflowPunct/>
        <w:topLinePunct w:val="0"/>
        <w:autoSpaceDE/>
        <w:autoSpaceDN/>
        <w:bidi w:val="0"/>
        <w:adjustRightInd/>
        <w:spacing w:line="570" w:lineRule="exact"/>
        <w:ind w:right="0" w:rightChars="0" w:firstLine="66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我院免费接种乙肝疫苗、卡介苗、脊灰疫苗、百白破疫苗、麻疹疫苗（麻风、麻腮风）、甲肝疫苗、流脑疫苗、乙脑疫苗、白破二联等国家免疫规划疫苗，未发现及报告预防接种中的疑似异常反应，对辖区内计划免疫疫苗预防疾病进行主动监测，截止9月无病发生。</w:t>
      </w:r>
    </w:p>
    <w:p w14:paraId="1ACFEC57">
      <w:pPr>
        <w:spacing w:line="590" w:lineRule="exact"/>
        <w:ind w:firstLine="640"/>
        <w:jc w:val="both"/>
        <w:rPr>
          <w:rFonts w:hint="eastAsia" w:ascii="仿宋" w:hAnsi="仿宋" w:eastAsia="仿宋" w:cs="仿宋"/>
          <w:sz w:val="32"/>
          <w:szCs w:val="32"/>
        </w:rPr>
      </w:pPr>
      <w:r>
        <w:rPr>
          <w:rFonts w:hint="eastAsia" w:ascii="仿宋" w:hAnsi="仿宋" w:eastAsia="仿宋" w:cs="仿宋"/>
          <w:b w:val="0"/>
          <w:bCs w:val="0"/>
          <w:color w:val="auto"/>
          <w:sz w:val="32"/>
          <w:szCs w:val="32"/>
          <w:shd w:val="clear" w:color="auto" w:fill="auto"/>
          <w:lang w:eastAsia="zh-CN"/>
        </w:rPr>
        <w:t>（</w:t>
      </w:r>
      <w:r>
        <w:rPr>
          <w:rFonts w:hint="eastAsia" w:ascii="仿宋" w:hAnsi="仿宋" w:eastAsia="仿宋" w:cs="仿宋"/>
          <w:b w:val="0"/>
          <w:bCs w:val="0"/>
          <w:color w:val="auto"/>
          <w:sz w:val="32"/>
          <w:szCs w:val="32"/>
          <w:shd w:val="clear" w:color="auto" w:fill="auto"/>
          <w:lang w:val="en-US" w:eastAsia="zh-CN"/>
        </w:rPr>
        <w:t>1</w:t>
      </w:r>
      <w:r>
        <w:rPr>
          <w:rFonts w:hint="eastAsia" w:ascii="仿宋" w:hAnsi="仿宋" w:eastAsia="仿宋" w:cs="仿宋"/>
          <w:b w:val="0"/>
          <w:bCs w:val="0"/>
          <w:color w:val="auto"/>
          <w:sz w:val="32"/>
          <w:szCs w:val="32"/>
          <w:shd w:val="clear" w:color="auto" w:fill="auto"/>
          <w:lang w:eastAsia="zh-CN"/>
        </w:rPr>
        <w:t>）</w:t>
      </w:r>
      <w:r>
        <w:rPr>
          <w:rFonts w:hint="eastAsia" w:ascii="仿宋" w:hAnsi="仿宋" w:eastAsia="仿宋" w:cs="仿宋"/>
          <w:b w:val="0"/>
          <w:bCs w:val="0"/>
          <w:color w:val="auto"/>
          <w:sz w:val="32"/>
          <w:szCs w:val="32"/>
          <w:shd w:val="clear" w:color="auto" w:fill="auto"/>
        </w:rPr>
        <w:t>孕产妇和0-6岁儿童：</w:t>
      </w:r>
      <w:r>
        <w:rPr>
          <w:rFonts w:hint="eastAsia" w:ascii="仿宋" w:hAnsi="仿宋" w:eastAsia="仿宋" w:cs="仿宋"/>
          <w:kern w:val="0"/>
          <w:sz w:val="32"/>
          <w:szCs w:val="32"/>
          <w:lang w:bidi="ar"/>
        </w:rPr>
        <w:t>提高系统管理质量，住院分娩率达100%，实行了高危转诊制度，提高了产科质量。切实降低了孕产妇和新生儿死亡率，全年产妇总数达 45人，新法接生45人，活产45人。本院检出乙肝表抗阳性孕妇1人，本院分娩乙肝表抗阳性产妇0人，乙肝表抗阳性母亲所生婴儿0人（活产 0人）；产后访视45人，</w:t>
      </w:r>
      <w:r>
        <w:rPr>
          <w:rFonts w:hint="eastAsia" w:ascii="仿宋" w:hAnsi="仿宋" w:eastAsia="仿宋" w:cs="仿宋"/>
          <w:sz w:val="32"/>
          <w:szCs w:val="32"/>
        </w:rPr>
        <w:t>访视</w:t>
      </w:r>
      <w:r>
        <w:rPr>
          <w:rFonts w:hint="eastAsia" w:ascii="仿宋" w:hAnsi="仿宋" w:eastAsia="仿宋" w:cs="仿宋"/>
          <w:kern w:val="0"/>
          <w:sz w:val="32"/>
          <w:szCs w:val="32"/>
          <w:lang w:bidi="ar"/>
        </w:rPr>
        <w:t>率100</w:t>
      </w:r>
      <w:r>
        <w:rPr>
          <w:rFonts w:hint="eastAsia" w:ascii="仿宋" w:hAnsi="仿宋" w:eastAsia="仿宋" w:cs="仿宋"/>
          <w:sz w:val="32"/>
          <w:szCs w:val="32"/>
        </w:rPr>
        <w:t>%</w:t>
      </w:r>
      <w:r>
        <w:rPr>
          <w:rFonts w:hint="eastAsia" w:ascii="仿宋" w:hAnsi="仿宋" w:eastAsia="仿宋" w:cs="仿宋"/>
          <w:kern w:val="0"/>
          <w:sz w:val="32"/>
          <w:szCs w:val="32"/>
          <w:lang w:bidi="ar"/>
        </w:rPr>
        <w:t>其中住院分娩活产 45人，非住院分娩0人，无孕产妇死亡，无新生儿破伤风发生。</w:t>
      </w:r>
      <w:r>
        <w:rPr>
          <w:rFonts w:hint="eastAsia" w:ascii="仿宋" w:hAnsi="仿宋" w:eastAsia="仿宋" w:cs="仿宋"/>
          <w:sz w:val="32"/>
          <w:szCs w:val="32"/>
        </w:rPr>
        <w:t>接受1次新生儿访视45人，新生儿访视</w:t>
      </w:r>
      <w:r>
        <w:rPr>
          <w:rFonts w:hint="eastAsia" w:ascii="仿宋" w:hAnsi="仿宋" w:eastAsia="仿宋" w:cs="仿宋"/>
          <w:kern w:val="0"/>
          <w:sz w:val="32"/>
          <w:szCs w:val="32"/>
          <w:lang w:bidi="ar"/>
        </w:rPr>
        <w:t>率100</w:t>
      </w:r>
      <w:r>
        <w:rPr>
          <w:rFonts w:hint="eastAsia" w:ascii="仿宋" w:hAnsi="仿宋" w:eastAsia="仿宋" w:cs="仿宋"/>
          <w:sz w:val="32"/>
          <w:szCs w:val="32"/>
        </w:rPr>
        <w:t>%.新生儿死亡0人。做好辖区内0——6岁儿童登记，0-6岁儿童总数 593人，接受1次及以上随访的0-6岁儿童数593人。管理达到80%。辖区内应管理0-36个月儿童320人，接受中医药管理服务儿童210人。管理达到65.62%。</w:t>
      </w:r>
    </w:p>
    <w:p w14:paraId="375F86D9">
      <w:pPr>
        <w:keepNext w:val="0"/>
        <w:keepLines w:val="0"/>
        <w:pageBreakBefore w:val="0"/>
        <w:widowControl w:val="0"/>
        <w:numPr>
          <w:ilvl w:val="0"/>
          <w:numId w:val="0"/>
        </w:numPr>
        <w:kinsoku/>
        <w:wordWrap/>
        <w:overflowPunct/>
        <w:topLinePunct w:val="0"/>
        <w:autoSpaceDE/>
        <w:autoSpaceDN/>
        <w:bidi w:val="0"/>
        <w:adjustRightInd/>
        <w:spacing w:line="570" w:lineRule="exact"/>
        <w:ind w:right="0" w:rightChars="0"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（2）疫苗接种后异常反应发生率为0人。</w:t>
      </w:r>
    </w:p>
    <w:p w14:paraId="46025B9A">
      <w:pPr>
        <w:keepNext w:val="0"/>
        <w:keepLines w:val="0"/>
        <w:pageBreakBefore w:val="0"/>
        <w:widowControl w:val="0"/>
        <w:numPr>
          <w:ilvl w:val="0"/>
          <w:numId w:val="0"/>
        </w:numPr>
        <w:kinsoku/>
        <w:wordWrap/>
        <w:overflowPunct/>
        <w:topLinePunct w:val="0"/>
        <w:autoSpaceDE/>
        <w:autoSpaceDN/>
        <w:bidi w:val="0"/>
        <w:adjustRightInd/>
        <w:spacing w:line="570" w:lineRule="exact"/>
        <w:ind w:right="0" w:rightChars="0" w:firstLine="660"/>
        <w:jc w:val="left"/>
        <w:textAlignment w:val="auto"/>
        <w:rPr>
          <w:rFonts w:hint="eastAsia" w:ascii="仿宋" w:hAnsi="仿宋" w:eastAsia="仿宋" w:cs="仿宋"/>
          <w:b w:val="0"/>
          <w:bCs w:val="0"/>
          <w:color w:val="auto"/>
          <w:sz w:val="32"/>
          <w:szCs w:val="32"/>
        </w:rPr>
      </w:pPr>
      <w:r>
        <w:rPr>
          <w:rFonts w:hint="eastAsia" w:ascii="仿宋" w:hAnsi="仿宋" w:eastAsia="仿宋" w:cs="仿宋"/>
          <w:sz w:val="32"/>
          <w:szCs w:val="32"/>
          <w:lang w:eastAsia="zh-CN"/>
        </w:rPr>
        <w:t>（3）无接种事故发生，无脊灰发生。</w:t>
      </w:r>
    </w:p>
    <w:p w14:paraId="026EFF2E">
      <w:pPr>
        <w:keepNext w:val="0"/>
        <w:keepLines w:val="0"/>
        <w:pageBreakBefore w:val="0"/>
        <w:widowControl w:val="0"/>
        <w:numPr>
          <w:ilvl w:val="0"/>
          <w:numId w:val="0"/>
        </w:numPr>
        <w:kinsoku/>
        <w:wordWrap/>
        <w:overflowPunct/>
        <w:topLinePunct w:val="0"/>
        <w:autoSpaceDE/>
        <w:autoSpaceDN/>
        <w:bidi w:val="0"/>
        <w:adjustRightInd/>
        <w:spacing w:line="570" w:lineRule="exact"/>
        <w:ind w:right="0" w:rightChars="0" w:firstLine="660"/>
        <w:jc w:val="lef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color w:val="auto"/>
          <w:sz w:val="32"/>
          <w:szCs w:val="32"/>
        </w:rPr>
        <w:t>卫生计生监督协管：</w:t>
      </w:r>
      <w:r>
        <w:rPr>
          <w:rFonts w:hint="eastAsia" w:ascii="仿宋" w:hAnsi="仿宋" w:eastAsia="仿宋" w:cs="仿宋"/>
          <w:b w:val="0"/>
          <w:bCs w:val="0"/>
          <w:sz w:val="32"/>
          <w:szCs w:val="32"/>
        </w:rPr>
        <w:t>发现的事件或线索次数</w:t>
      </w: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个，报告</w:t>
      </w: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个，信息报告率为100%，协助开展的食源性疾病、饮用水卫生安全、学校卫生、非法行医和非法采供血、计划生育实地巡查次数为</w:t>
      </w:r>
      <w:r>
        <w:rPr>
          <w:rFonts w:hint="eastAsia" w:ascii="仿宋" w:hAnsi="仿宋" w:eastAsia="仿宋" w:cs="仿宋"/>
          <w:b w:val="0"/>
          <w:bCs w:val="0"/>
          <w:sz w:val="32"/>
          <w:szCs w:val="32"/>
          <w:lang w:val="en-US" w:eastAsia="zh-CN"/>
        </w:rPr>
        <w:t>60</w:t>
      </w:r>
      <w:r>
        <w:rPr>
          <w:rFonts w:hint="eastAsia" w:ascii="仿宋" w:hAnsi="仿宋" w:eastAsia="仿宋" w:cs="仿宋"/>
          <w:b w:val="0"/>
          <w:bCs w:val="0"/>
          <w:sz w:val="32"/>
          <w:szCs w:val="32"/>
        </w:rPr>
        <w:t>次</w:t>
      </w:r>
      <w:r>
        <w:rPr>
          <w:rFonts w:hint="eastAsia" w:ascii="仿宋" w:hAnsi="仿宋" w:eastAsia="仿宋" w:cs="仿宋"/>
          <w:b w:val="0"/>
          <w:bCs w:val="0"/>
          <w:sz w:val="32"/>
          <w:szCs w:val="32"/>
          <w:lang w:eastAsia="zh-CN"/>
        </w:rPr>
        <w:t>；</w:t>
      </w:r>
    </w:p>
    <w:p w14:paraId="17E84347">
      <w:pPr>
        <w:keepNext w:val="0"/>
        <w:keepLines w:val="0"/>
        <w:pageBreakBefore w:val="0"/>
        <w:widowControl w:val="0"/>
        <w:numPr>
          <w:ilvl w:val="0"/>
          <w:numId w:val="0"/>
        </w:numPr>
        <w:kinsoku/>
        <w:wordWrap/>
        <w:overflowPunct/>
        <w:topLinePunct w:val="0"/>
        <w:autoSpaceDE/>
        <w:autoSpaceDN/>
        <w:bidi w:val="0"/>
        <w:adjustRightInd/>
        <w:spacing w:line="570" w:lineRule="exact"/>
        <w:ind w:right="0" w:rightChars="0" w:firstLine="66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rPr>
        <w:t>传染病及突发公共卫生事件管理：登记传染病数</w:t>
      </w: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例，网络报告</w:t>
      </w: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例，报告率为100%，报告传染病病例数</w:t>
      </w: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例，报告及时</w:t>
      </w: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例，传染病疫情报告及时率为100%</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 xml:space="preserve"> </w:t>
      </w:r>
    </w:p>
    <w:p w14:paraId="4036A51E">
      <w:pPr>
        <w:keepNext w:val="0"/>
        <w:keepLines w:val="0"/>
        <w:pageBreakBefore w:val="0"/>
        <w:widowControl w:val="0"/>
        <w:numPr>
          <w:ilvl w:val="0"/>
          <w:numId w:val="0"/>
        </w:numPr>
        <w:kinsoku/>
        <w:wordWrap/>
        <w:overflowPunct/>
        <w:topLinePunct w:val="0"/>
        <w:autoSpaceDE/>
        <w:autoSpaceDN/>
        <w:bidi w:val="0"/>
        <w:adjustRightInd/>
        <w:spacing w:line="570" w:lineRule="exact"/>
        <w:ind w:right="0" w:rightChars="0" w:firstLine="660"/>
        <w:jc w:val="lef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肺结核健康管理：辖区同期内经上级定点医疗机构确诊并通知基层医疗卫生机构管理的肺结核患者人数为</w:t>
      </w:r>
      <w:r>
        <w:rPr>
          <w:rFonts w:hint="eastAsia" w:ascii="仿宋" w:hAnsi="仿宋" w:eastAsia="仿宋" w:cs="仿宋"/>
          <w:b w:val="0"/>
          <w:bCs w:val="0"/>
          <w:sz w:val="32"/>
          <w:szCs w:val="32"/>
          <w:lang w:val="en-US" w:eastAsia="zh-CN"/>
        </w:rPr>
        <w:t>10</w:t>
      </w:r>
      <w:r>
        <w:rPr>
          <w:rFonts w:hint="eastAsia" w:ascii="仿宋" w:hAnsi="仿宋" w:eastAsia="仿宋" w:cs="仿宋"/>
          <w:b w:val="0"/>
          <w:bCs w:val="0"/>
          <w:sz w:val="32"/>
          <w:szCs w:val="32"/>
        </w:rPr>
        <w:t>人，已管理</w:t>
      </w:r>
      <w:r>
        <w:rPr>
          <w:rFonts w:hint="eastAsia" w:ascii="仿宋" w:hAnsi="仿宋" w:eastAsia="仿宋" w:cs="仿宋"/>
          <w:b w:val="0"/>
          <w:bCs w:val="0"/>
          <w:sz w:val="32"/>
          <w:szCs w:val="32"/>
          <w:lang w:val="en-US" w:eastAsia="zh-CN"/>
        </w:rPr>
        <w:t>10</w:t>
      </w:r>
      <w:r>
        <w:rPr>
          <w:rFonts w:hint="eastAsia" w:ascii="仿宋" w:hAnsi="仿宋" w:eastAsia="仿宋" w:cs="仿宋"/>
          <w:b w:val="0"/>
          <w:bCs w:val="0"/>
          <w:sz w:val="32"/>
          <w:szCs w:val="32"/>
        </w:rPr>
        <w:t>人，管理率为</w:t>
      </w:r>
      <w:r>
        <w:rPr>
          <w:rFonts w:hint="eastAsia" w:ascii="仿宋" w:hAnsi="仿宋" w:eastAsia="仿宋" w:cs="仿宋"/>
          <w:b w:val="0"/>
          <w:bCs w:val="0"/>
          <w:sz w:val="32"/>
          <w:szCs w:val="32"/>
          <w:lang w:val="en-US" w:eastAsia="zh-CN"/>
        </w:rPr>
        <w:t>100</w:t>
      </w: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按照要求规则服药的肺结核患者人数</w:t>
      </w:r>
      <w:r>
        <w:rPr>
          <w:rFonts w:hint="eastAsia" w:ascii="仿宋" w:hAnsi="仿宋" w:eastAsia="仿宋" w:cs="仿宋"/>
          <w:b w:val="0"/>
          <w:bCs w:val="0"/>
          <w:sz w:val="32"/>
          <w:szCs w:val="32"/>
          <w:lang w:val="en-US" w:eastAsia="zh-CN"/>
        </w:rPr>
        <w:t>10</w:t>
      </w:r>
      <w:r>
        <w:rPr>
          <w:rFonts w:hint="eastAsia" w:ascii="仿宋" w:hAnsi="仿宋" w:eastAsia="仿宋" w:cs="仿宋"/>
          <w:b w:val="0"/>
          <w:bCs w:val="0"/>
          <w:sz w:val="32"/>
          <w:szCs w:val="32"/>
        </w:rPr>
        <w:t>人，规则服药率为100%</w:t>
      </w:r>
      <w:r>
        <w:rPr>
          <w:rFonts w:hint="eastAsia" w:ascii="仿宋" w:hAnsi="仿宋" w:eastAsia="仿宋" w:cs="仿宋"/>
          <w:b w:val="0"/>
          <w:bCs w:val="0"/>
          <w:sz w:val="32"/>
          <w:szCs w:val="32"/>
          <w:lang w:eastAsia="zh-CN"/>
        </w:rPr>
        <w:t>；</w:t>
      </w:r>
    </w:p>
    <w:p w14:paraId="5B1F4738">
      <w:pPr>
        <w:keepNext w:val="0"/>
        <w:keepLines w:val="0"/>
        <w:pageBreakBefore w:val="0"/>
        <w:widowControl w:val="0"/>
        <w:numPr>
          <w:ilvl w:val="0"/>
          <w:numId w:val="0"/>
        </w:numPr>
        <w:kinsoku/>
        <w:wordWrap/>
        <w:overflowPunct/>
        <w:topLinePunct w:val="0"/>
        <w:autoSpaceDE/>
        <w:autoSpaceDN/>
        <w:bidi w:val="0"/>
        <w:adjustRightInd/>
        <w:spacing w:line="570" w:lineRule="exact"/>
        <w:ind w:right="0" w:rightChars="0" w:firstLine="640" w:firstLineChars="200"/>
        <w:jc w:val="left"/>
        <w:textAlignment w:val="auto"/>
        <w:rPr>
          <w:rFonts w:hint="eastAsia" w:ascii="仿宋" w:hAnsi="仿宋" w:eastAsia="仿宋" w:cs="仿宋"/>
          <w:b w:val="0"/>
          <w:bCs w:val="0"/>
          <w:sz w:val="32"/>
          <w:szCs w:val="32"/>
          <w:lang w:eastAsia="zh-CN"/>
        </w:rPr>
      </w:pPr>
    </w:p>
    <w:p w14:paraId="50E31BEB">
      <w:pPr>
        <w:keepNext w:val="0"/>
        <w:keepLines w:val="0"/>
        <w:pageBreakBefore w:val="0"/>
        <w:widowControl w:val="0"/>
        <w:numPr>
          <w:ilvl w:val="0"/>
          <w:numId w:val="0"/>
        </w:numPr>
        <w:kinsoku/>
        <w:wordWrap/>
        <w:overflowPunct/>
        <w:topLinePunct w:val="0"/>
        <w:autoSpaceDE/>
        <w:autoSpaceDN/>
        <w:bidi w:val="0"/>
        <w:adjustRightInd/>
        <w:spacing w:line="570" w:lineRule="exact"/>
        <w:ind w:right="0" w:rightChars="0" w:firstLine="640" w:firstLineChars="200"/>
        <w:jc w:val="lef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2、生物制品管理及冷链运转</w:t>
      </w:r>
    </w:p>
    <w:p w14:paraId="581DCE72">
      <w:pPr>
        <w:keepNext w:val="0"/>
        <w:keepLines w:val="0"/>
        <w:pageBreakBefore w:val="0"/>
        <w:widowControl w:val="0"/>
        <w:numPr>
          <w:ilvl w:val="0"/>
          <w:numId w:val="0"/>
        </w:numPr>
        <w:kinsoku/>
        <w:wordWrap/>
        <w:overflowPunct/>
        <w:topLinePunct w:val="0"/>
        <w:autoSpaceDE/>
        <w:autoSpaceDN/>
        <w:bidi w:val="0"/>
        <w:adjustRightInd/>
        <w:spacing w:line="570" w:lineRule="exact"/>
        <w:ind w:right="0" w:rightChars="0" w:firstLine="660"/>
        <w:jc w:val="left"/>
        <w:textAlignment w:val="auto"/>
        <w:rPr>
          <w:rFonts w:hint="eastAsia" w:ascii="仿宋" w:hAnsi="仿宋" w:eastAsia="仿宋" w:cs="仿宋"/>
          <w:sz w:val="32"/>
          <w:szCs w:val="32"/>
          <w:lang w:eastAsia="zh-CN"/>
        </w:rPr>
      </w:pPr>
      <w:r>
        <w:rPr>
          <w:rFonts w:hint="eastAsia" w:ascii="仿宋" w:hAnsi="仿宋" w:eastAsia="仿宋" w:cs="仿宋"/>
          <w:b w:val="0"/>
          <w:bCs w:val="0"/>
          <w:sz w:val="32"/>
          <w:szCs w:val="32"/>
          <w:lang w:eastAsia="zh-CN"/>
        </w:rPr>
        <w:t>我院按上级要求坚持疫苗主渠道进货，按要求正确存放管理，认真填写出入库登记，疫苗使用的数量与接种人次数相吻合，每月对疫苗及注射器进行自查，发现过期、破损疫苗按要求处理。严格执行安全注射管理制度，</w:t>
      </w:r>
      <w:r>
        <w:rPr>
          <w:rFonts w:hint="eastAsia" w:ascii="仿宋" w:hAnsi="仿宋" w:eastAsia="仿宋" w:cs="仿宋"/>
          <w:sz w:val="32"/>
          <w:szCs w:val="32"/>
          <w:lang w:eastAsia="zh-CN"/>
        </w:rPr>
        <w:t>冰箱温度保证在规定范围内，认真登记冰箱温度记录，定期除霜，保证疫苗贮存质量。</w:t>
      </w:r>
    </w:p>
    <w:p w14:paraId="62A08615">
      <w:pPr>
        <w:keepNext w:val="0"/>
        <w:keepLines w:val="0"/>
        <w:pageBreakBefore w:val="0"/>
        <w:widowControl w:val="0"/>
        <w:numPr>
          <w:ilvl w:val="0"/>
          <w:numId w:val="0"/>
        </w:numPr>
        <w:kinsoku/>
        <w:wordWrap/>
        <w:overflowPunct/>
        <w:topLinePunct w:val="0"/>
        <w:autoSpaceDE/>
        <w:autoSpaceDN/>
        <w:bidi w:val="0"/>
        <w:adjustRightInd/>
        <w:spacing w:line="570" w:lineRule="exact"/>
        <w:ind w:right="0" w:rightChars="0" w:firstLine="960" w:firstLineChars="3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3、档案及信息统计管理工作</w:t>
      </w:r>
    </w:p>
    <w:p w14:paraId="3098251C">
      <w:pPr>
        <w:keepNext w:val="0"/>
        <w:keepLines w:val="0"/>
        <w:pageBreakBefore w:val="0"/>
        <w:widowControl w:val="0"/>
        <w:numPr>
          <w:ilvl w:val="0"/>
          <w:numId w:val="0"/>
        </w:numPr>
        <w:kinsoku/>
        <w:wordWrap/>
        <w:overflowPunct/>
        <w:topLinePunct w:val="0"/>
        <w:autoSpaceDE/>
        <w:autoSpaceDN/>
        <w:bidi w:val="0"/>
        <w:adjustRightInd/>
        <w:spacing w:line="570" w:lineRule="exact"/>
        <w:ind w:right="0" w:rightChars="0" w:firstLine="66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（1）对上级印发的免疫规划相关文件、通知及各种资料认真做好收发登记。掌握免疫规划所有基础资料，分类存放归档。</w:t>
      </w:r>
    </w:p>
    <w:p w14:paraId="6B9CBA92">
      <w:pPr>
        <w:keepNext w:val="0"/>
        <w:keepLines w:val="0"/>
        <w:pageBreakBefore w:val="0"/>
        <w:widowControl w:val="0"/>
        <w:numPr>
          <w:ilvl w:val="0"/>
          <w:numId w:val="0"/>
        </w:numPr>
        <w:kinsoku/>
        <w:wordWrap/>
        <w:overflowPunct/>
        <w:topLinePunct w:val="0"/>
        <w:autoSpaceDE/>
        <w:autoSpaceDN/>
        <w:bidi w:val="0"/>
        <w:adjustRightInd/>
        <w:spacing w:line="570" w:lineRule="exact"/>
        <w:ind w:right="0" w:rightChars="0" w:firstLine="66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（2）正确使用儿童预防接种信息客户端，及时录入疫苗领取情况及儿童预防接种情况，并上传国家平台 。</w:t>
      </w:r>
    </w:p>
    <w:p w14:paraId="5C23F2A0">
      <w:pPr>
        <w:keepNext w:val="0"/>
        <w:keepLines w:val="0"/>
        <w:pageBreakBefore w:val="0"/>
        <w:widowControl w:val="0"/>
        <w:numPr>
          <w:ilvl w:val="0"/>
          <w:numId w:val="0"/>
        </w:numPr>
        <w:kinsoku/>
        <w:wordWrap/>
        <w:overflowPunct/>
        <w:topLinePunct w:val="0"/>
        <w:autoSpaceDE/>
        <w:autoSpaceDN/>
        <w:bidi w:val="0"/>
        <w:adjustRightInd/>
        <w:spacing w:line="570" w:lineRule="exact"/>
        <w:ind w:right="0" w:rightChars="0" w:firstLine="66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（五）传染病及突发公共卫生事件报告和处理</w:t>
      </w:r>
    </w:p>
    <w:p w14:paraId="2EEC6C70">
      <w:pPr>
        <w:keepNext w:val="0"/>
        <w:keepLines w:val="0"/>
        <w:pageBreakBefore w:val="0"/>
        <w:widowControl w:val="0"/>
        <w:numPr>
          <w:ilvl w:val="0"/>
          <w:numId w:val="0"/>
        </w:numPr>
        <w:kinsoku/>
        <w:wordWrap/>
        <w:overflowPunct/>
        <w:topLinePunct w:val="0"/>
        <w:autoSpaceDE/>
        <w:autoSpaceDN/>
        <w:bidi w:val="0"/>
        <w:adjustRightInd/>
        <w:spacing w:line="570" w:lineRule="exact"/>
        <w:ind w:right="0" w:rightChars="0" w:firstLine="66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依据《传染病防治法》《传染病信息报告管理规范》以及传染病报告与处理规范要求，建立健全了传染病报告管理制度。</w:t>
      </w:r>
    </w:p>
    <w:p w14:paraId="12C11702">
      <w:pPr>
        <w:keepNext w:val="0"/>
        <w:keepLines w:val="0"/>
        <w:pageBreakBefore w:val="0"/>
        <w:widowControl w:val="0"/>
        <w:numPr>
          <w:ilvl w:val="0"/>
          <w:numId w:val="0"/>
        </w:numPr>
        <w:kinsoku/>
        <w:wordWrap/>
        <w:overflowPunct/>
        <w:topLinePunct w:val="0"/>
        <w:autoSpaceDE/>
        <w:autoSpaceDN/>
        <w:bidi w:val="0"/>
        <w:adjustRightInd/>
        <w:spacing w:line="570" w:lineRule="exact"/>
        <w:ind w:right="0" w:rightChars="0" w:firstLine="66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1、定期对单位人员进行传染病防治知识、技能的培训；采取多种形式的宣传教育。</w:t>
      </w:r>
    </w:p>
    <w:p w14:paraId="77DB5EFD">
      <w:pPr>
        <w:keepNext w:val="0"/>
        <w:keepLines w:val="0"/>
        <w:pageBreakBefore w:val="0"/>
        <w:widowControl w:val="0"/>
        <w:numPr>
          <w:ilvl w:val="0"/>
          <w:numId w:val="0"/>
        </w:numPr>
        <w:kinsoku/>
        <w:wordWrap/>
        <w:overflowPunct/>
        <w:topLinePunct w:val="0"/>
        <w:autoSpaceDE/>
        <w:autoSpaceDN/>
        <w:bidi w:val="0"/>
        <w:adjustRightInd/>
        <w:spacing w:line="570" w:lineRule="exact"/>
        <w:ind w:right="0" w:rightChars="0" w:firstLine="66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2、传染病登记传染病病例有</w:t>
      </w:r>
      <w:r>
        <w:rPr>
          <w:rFonts w:hint="eastAsia" w:ascii="仿宋" w:hAnsi="仿宋" w:eastAsia="仿宋" w:cs="仿宋"/>
          <w:sz w:val="32"/>
          <w:szCs w:val="32"/>
          <w:lang w:val="en-US" w:eastAsia="zh-CN"/>
        </w:rPr>
        <w:t>0</w:t>
      </w:r>
      <w:r>
        <w:rPr>
          <w:rFonts w:hint="eastAsia" w:ascii="仿宋" w:hAnsi="仿宋" w:eastAsia="仿宋" w:cs="仿宋"/>
          <w:sz w:val="32"/>
          <w:szCs w:val="32"/>
          <w:lang w:eastAsia="zh-CN"/>
        </w:rPr>
        <w:t>例，网络报告</w:t>
      </w:r>
      <w:r>
        <w:rPr>
          <w:rFonts w:hint="eastAsia" w:ascii="仿宋" w:hAnsi="仿宋" w:eastAsia="仿宋" w:cs="仿宋"/>
          <w:sz w:val="32"/>
          <w:szCs w:val="32"/>
          <w:lang w:val="en-US" w:eastAsia="zh-CN"/>
        </w:rPr>
        <w:t>0</w:t>
      </w:r>
      <w:r>
        <w:rPr>
          <w:rFonts w:hint="eastAsia" w:ascii="仿宋" w:hAnsi="仿宋" w:eastAsia="仿宋" w:cs="仿宋"/>
          <w:sz w:val="32"/>
          <w:szCs w:val="32"/>
          <w:lang w:eastAsia="zh-CN"/>
        </w:rPr>
        <w:t>例传染病已报，无传染病漏报。突发公共卫生事件无。</w:t>
      </w:r>
    </w:p>
    <w:p w14:paraId="00B97AFB">
      <w:pPr>
        <w:keepNext w:val="0"/>
        <w:keepLines w:val="0"/>
        <w:pageBreakBefore w:val="0"/>
        <w:widowControl w:val="0"/>
        <w:numPr>
          <w:ilvl w:val="0"/>
          <w:numId w:val="0"/>
        </w:numPr>
        <w:kinsoku/>
        <w:wordWrap/>
        <w:overflowPunct/>
        <w:topLinePunct w:val="0"/>
        <w:autoSpaceDE/>
        <w:autoSpaceDN/>
        <w:bidi w:val="0"/>
        <w:adjustRightInd/>
        <w:spacing w:line="570" w:lineRule="exact"/>
        <w:ind w:right="0" w:righ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 xml:space="preserve"> </w:t>
      </w:r>
      <w:r>
        <w:rPr>
          <w:rFonts w:hint="eastAsia" w:ascii="仿宋" w:hAnsi="仿宋" w:eastAsia="仿宋" w:cs="仿宋"/>
          <w:b/>
          <w:bCs/>
          <w:sz w:val="32"/>
          <w:szCs w:val="32"/>
        </w:rPr>
        <w:t>3.分析评价申报内容是否与实际相符，申报目标是否合理可行。</w:t>
      </w:r>
    </w:p>
    <w:p w14:paraId="12D33A5B">
      <w:pPr>
        <w:autoSpaceDE w:val="0"/>
        <w:autoSpaceDN w:val="0"/>
        <w:adjustRightInd w:val="0"/>
        <w:spacing w:line="56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eastAsia="zh-CN"/>
        </w:rPr>
        <w:t>按照省、市印发的基本公共卫生服务项目实施方案要求，制定符合我乡的项目实施方案，分解细化目标任务，确保了目标任务全面完成。</w:t>
      </w:r>
    </w:p>
    <w:p w14:paraId="1C5BC122">
      <w:pPr>
        <w:spacing w:line="560" w:lineRule="exact"/>
        <w:ind w:firstLine="643" w:firstLineChars="200"/>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（三）项目自评步骤及方法。</w:t>
      </w:r>
    </w:p>
    <w:p w14:paraId="5A991ED2">
      <w:pPr>
        <w:ind w:firstLine="643" w:firstLineChars="200"/>
        <w:rPr>
          <w:rFonts w:hint="eastAsia" w:ascii="仿宋" w:hAnsi="仿宋" w:eastAsia="仿宋" w:cs="仿宋"/>
          <w:color w:val="000000"/>
          <w:sz w:val="32"/>
          <w:szCs w:val="32"/>
        </w:rPr>
      </w:pPr>
      <w:r>
        <w:rPr>
          <w:rFonts w:hint="eastAsia" w:ascii="仿宋" w:hAnsi="仿宋" w:eastAsia="仿宋" w:cs="仿宋"/>
          <w:b/>
          <w:bCs/>
          <w:color w:val="000000"/>
          <w:sz w:val="32"/>
          <w:szCs w:val="32"/>
          <w:lang w:val="en-US" w:eastAsia="zh-CN"/>
        </w:rPr>
        <w:t>1.</w:t>
      </w:r>
      <w:r>
        <w:rPr>
          <w:rFonts w:hint="eastAsia" w:ascii="仿宋" w:hAnsi="仿宋" w:eastAsia="仿宋" w:cs="仿宋"/>
          <w:b w:val="0"/>
          <w:bCs w:val="0"/>
          <w:color w:val="000000"/>
          <w:sz w:val="32"/>
          <w:szCs w:val="32"/>
          <w:lang w:val="en-US" w:eastAsia="zh-CN"/>
        </w:rPr>
        <w:t>本院</w:t>
      </w:r>
      <w:r>
        <w:rPr>
          <w:rFonts w:hint="eastAsia" w:ascii="仿宋" w:hAnsi="仿宋" w:eastAsia="仿宋" w:cs="仿宋"/>
          <w:color w:val="000000"/>
          <w:sz w:val="32"/>
          <w:szCs w:val="32"/>
          <w:lang w:eastAsia="zh-CN"/>
        </w:rPr>
        <w:t>按照中央、省、市要求，认真核对每一笔项目资金，并造册管理，每年派本机构财务人员到上级部门进行财经纪律上的培训，保障项目专款专用。</w:t>
      </w:r>
    </w:p>
    <w:p w14:paraId="3CA5386B">
      <w:pPr>
        <w:numPr>
          <w:ilvl w:val="0"/>
          <w:numId w:val="0"/>
        </w:numPr>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 xml:space="preserve">   </w:t>
      </w:r>
      <w:r>
        <w:rPr>
          <w:rFonts w:hint="eastAsia" w:ascii="仿宋" w:hAnsi="仿宋" w:eastAsia="仿宋" w:cs="仿宋"/>
          <w:b/>
          <w:bCs/>
          <w:color w:val="000000"/>
          <w:sz w:val="32"/>
          <w:szCs w:val="32"/>
          <w:lang w:val="en-US" w:eastAsia="zh-CN"/>
        </w:rPr>
        <w:t xml:space="preserve"> 2.</w:t>
      </w:r>
      <w:r>
        <w:rPr>
          <w:rFonts w:hint="eastAsia" w:ascii="仿宋" w:hAnsi="仿宋" w:eastAsia="仿宋" w:cs="仿宋"/>
          <w:color w:val="000000"/>
          <w:sz w:val="32"/>
          <w:szCs w:val="32"/>
          <w:lang w:val="en-US" w:eastAsia="zh-CN"/>
        </w:rPr>
        <w:t>本院对每笔项目经费的支出都做出了相应要求，并上院内职工会及支部会会议讨论通过，有会议纪要作为支撑。</w:t>
      </w:r>
    </w:p>
    <w:p w14:paraId="7BA7B5D7">
      <w:pPr>
        <w:ind w:firstLine="643" w:firstLineChars="200"/>
        <w:rPr>
          <w:rFonts w:hint="eastAsia" w:ascii="仿宋" w:hAnsi="仿宋" w:eastAsia="仿宋" w:cs="仿宋"/>
          <w:color w:val="000000"/>
          <w:spacing w:val="-2"/>
          <w:sz w:val="32"/>
          <w:szCs w:val="32"/>
        </w:rPr>
      </w:pPr>
      <w:r>
        <w:rPr>
          <w:rFonts w:hint="eastAsia" w:ascii="仿宋" w:hAnsi="仿宋" w:eastAsia="仿宋" w:cs="仿宋"/>
          <w:b/>
          <w:bCs/>
          <w:color w:val="000000"/>
          <w:sz w:val="32"/>
          <w:szCs w:val="32"/>
          <w:lang w:val="en-US" w:eastAsia="zh-CN"/>
        </w:rPr>
        <w:t>3.</w:t>
      </w:r>
      <w:r>
        <w:rPr>
          <w:rFonts w:hint="eastAsia" w:ascii="仿宋" w:hAnsi="仿宋" w:eastAsia="仿宋" w:cs="仿宋"/>
          <w:color w:val="000000"/>
          <w:sz w:val="32"/>
          <w:szCs w:val="32"/>
          <w:lang w:val="en-US" w:eastAsia="zh-CN"/>
        </w:rPr>
        <w:t>2020年，按照《盐边县2020年基本公共卫生服务项目绩效考核方案》文件要求，</w:t>
      </w:r>
      <w:r>
        <w:rPr>
          <w:rFonts w:hint="eastAsia" w:ascii="仿宋" w:hAnsi="仿宋" w:eastAsia="仿宋" w:cs="仿宋"/>
          <w:color w:val="000000"/>
          <w:spacing w:val="-2"/>
          <w:sz w:val="32"/>
          <w:szCs w:val="32"/>
        </w:rPr>
        <w:t>坚持兼顾公平、多劳多得、优劳优得的原则。细化考核方案，</w:t>
      </w:r>
      <w:r>
        <w:rPr>
          <w:rFonts w:hint="eastAsia" w:ascii="仿宋" w:hAnsi="仿宋" w:eastAsia="仿宋" w:cs="仿宋"/>
          <w:color w:val="000000"/>
          <w:sz w:val="32"/>
          <w:szCs w:val="32"/>
        </w:rPr>
        <w:t>差异化服务、差异化考核，</w:t>
      </w:r>
      <w:r>
        <w:rPr>
          <w:rFonts w:hint="eastAsia" w:ascii="仿宋" w:hAnsi="仿宋" w:eastAsia="仿宋" w:cs="仿宋"/>
          <w:color w:val="000000"/>
          <w:spacing w:val="-2"/>
          <w:sz w:val="32"/>
          <w:szCs w:val="32"/>
        </w:rPr>
        <w:t>充分发挥考核的激励引导作用，促使</w:t>
      </w:r>
      <w:r>
        <w:rPr>
          <w:rFonts w:hint="eastAsia" w:ascii="仿宋" w:hAnsi="仿宋" w:eastAsia="仿宋" w:cs="仿宋"/>
          <w:color w:val="000000"/>
          <w:spacing w:val="-2"/>
          <w:sz w:val="32"/>
          <w:szCs w:val="32"/>
          <w:lang w:eastAsia="zh-CN"/>
        </w:rPr>
        <w:t>本</w:t>
      </w:r>
      <w:r>
        <w:rPr>
          <w:rFonts w:hint="eastAsia" w:ascii="仿宋" w:hAnsi="仿宋" w:eastAsia="仿宋" w:cs="仿宋"/>
          <w:color w:val="000000"/>
          <w:spacing w:val="-2"/>
          <w:sz w:val="32"/>
          <w:szCs w:val="32"/>
        </w:rPr>
        <w:t>机构严格按规范、保质量地开展基本公共卫生服务工作。</w:t>
      </w:r>
    </w:p>
    <w:p w14:paraId="49FB1C37">
      <w:pPr>
        <w:spacing w:line="56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二、项目资金申报及使用情况</w:t>
      </w:r>
    </w:p>
    <w:p w14:paraId="1F72FB00">
      <w:pPr>
        <w:spacing w:line="560" w:lineRule="exact"/>
        <w:ind w:firstLine="643" w:firstLineChars="200"/>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（一）项目资金申报及批复情况。</w:t>
      </w:r>
    </w:p>
    <w:p w14:paraId="63D74912">
      <w:pPr>
        <w:autoSpaceDE w:val="0"/>
        <w:autoSpaceDN w:val="0"/>
        <w:adjustRightInd w:val="0"/>
        <w:spacing w:line="56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eastAsia="zh-CN"/>
        </w:rPr>
        <w:t>基本公共卫生</w:t>
      </w:r>
      <w:r>
        <w:rPr>
          <w:rFonts w:hint="eastAsia" w:ascii="仿宋" w:hAnsi="仿宋" w:eastAsia="仿宋" w:cs="仿宋"/>
          <w:color w:val="000000"/>
          <w:kern w:val="0"/>
          <w:sz w:val="32"/>
          <w:szCs w:val="32"/>
        </w:rPr>
        <w:t>项目资金</w:t>
      </w:r>
      <w:r>
        <w:rPr>
          <w:rFonts w:hint="eastAsia" w:ascii="仿宋" w:hAnsi="仿宋" w:eastAsia="仿宋" w:cs="仿宋"/>
          <w:color w:val="000000"/>
          <w:kern w:val="0"/>
          <w:sz w:val="32"/>
          <w:szCs w:val="32"/>
          <w:lang w:eastAsia="zh-CN"/>
        </w:rPr>
        <w:t>由县卫生健康局组织</w:t>
      </w:r>
      <w:r>
        <w:rPr>
          <w:rFonts w:hint="eastAsia" w:ascii="仿宋" w:hAnsi="仿宋" w:eastAsia="仿宋" w:cs="仿宋"/>
          <w:color w:val="000000"/>
          <w:kern w:val="0"/>
          <w:sz w:val="32"/>
          <w:szCs w:val="32"/>
        </w:rPr>
        <w:t>申报、</w:t>
      </w:r>
      <w:r>
        <w:rPr>
          <w:rFonts w:hint="eastAsia" w:ascii="仿宋" w:hAnsi="仿宋" w:eastAsia="仿宋" w:cs="仿宋"/>
          <w:color w:val="000000"/>
          <w:kern w:val="0"/>
          <w:sz w:val="32"/>
          <w:szCs w:val="32"/>
          <w:lang w:eastAsia="zh-CN"/>
        </w:rPr>
        <w:t>县财政根据实际情况予以</w:t>
      </w:r>
      <w:r>
        <w:rPr>
          <w:rFonts w:hint="eastAsia" w:ascii="仿宋" w:hAnsi="仿宋" w:eastAsia="仿宋" w:cs="仿宋"/>
          <w:color w:val="000000"/>
          <w:kern w:val="0"/>
          <w:sz w:val="32"/>
          <w:szCs w:val="32"/>
        </w:rPr>
        <w:t>批复及</w:t>
      </w:r>
      <w:r>
        <w:rPr>
          <w:rFonts w:hint="eastAsia" w:ascii="仿宋" w:hAnsi="仿宋" w:eastAsia="仿宋" w:cs="仿宋"/>
          <w:color w:val="000000"/>
          <w:kern w:val="0"/>
          <w:sz w:val="32"/>
          <w:szCs w:val="32"/>
          <w:lang w:eastAsia="zh-CN"/>
        </w:rPr>
        <w:t>进行</w:t>
      </w:r>
      <w:r>
        <w:rPr>
          <w:rFonts w:hint="eastAsia" w:ascii="仿宋" w:hAnsi="仿宋" w:eastAsia="仿宋" w:cs="仿宋"/>
          <w:color w:val="000000"/>
          <w:kern w:val="0"/>
          <w:sz w:val="32"/>
          <w:szCs w:val="32"/>
        </w:rPr>
        <w:t>预算调整。</w:t>
      </w:r>
    </w:p>
    <w:p w14:paraId="02A64D29">
      <w:pPr>
        <w:spacing w:line="560" w:lineRule="exact"/>
        <w:ind w:firstLine="643" w:firstLineChars="200"/>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（二）资金计划、到位及使用情况。</w:t>
      </w:r>
    </w:p>
    <w:p w14:paraId="5C858308">
      <w:pPr>
        <w:spacing w:line="56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1.资金计划。</w:t>
      </w:r>
    </w:p>
    <w:p w14:paraId="0B241DE6">
      <w:pPr>
        <w:spacing w:line="560" w:lineRule="exact"/>
        <w:ind w:firstLine="640" w:firstLineChars="200"/>
        <w:rPr>
          <w:rFonts w:hint="eastAsia" w:ascii="仿宋" w:hAnsi="仿宋" w:eastAsia="仿宋" w:cs="仿宋"/>
          <w:color w:val="FF0000"/>
          <w:sz w:val="32"/>
          <w:szCs w:val="32"/>
        </w:rPr>
      </w:pPr>
      <w:r>
        <w:rPr>
          <w:rFonts w:hint="eastAsia" w:ascii="仿宋" w:hAnsi="仿宋" w:eastAsia="仿宋" w:cs="仿宋"/>
          <w:color w:val="000000"/>
          <w:sz w:val="32"/>
          <w:szCs w:val="32"/>
          <w:lang w:val="en-US" w:eastAsia="zh-CN"/>
        </w:rPr>
        <w:t>2020年按照国家、省、县国家基本公共卫生服务项目实施方案要求，2020年基本公共卫生服务项目人均补助经费为65元，中央、省、县级财政资金共计45.99万元。所有资金全部到位并下拨40%到各项目执行村卫生室。基本公共卫生服务项目资金用于开展基本公共卫生服务项目12大项，本院将加强对资金监管，确保专款专用，严禁截留和挪用。</w:t>
      </w:r>
    </w:p>
    <w:p w14:paraId="041F5733">
      <w:pPr>
        <w:spacing w:line="560" w:lineRule="exact"/>
        <w:ind w:firstLine="643" w:firstLineChars="200"/>
        <w:rPr>
          <w:rFonts w:hint="eastAsia" w:ascii="仿宋" w:hAnsi="仿宋" w:eastAsia="仿宋" w:cs="仿宋"/>
          <w:color w:val="auto"/>
          <w:sz w:val="32"/>
          <w:szCs w:val="32"/>
        </w:rPr>
      </w:pPr>
      <w:r>
        <w:rPr>
          <w:rFonts w:hint="eastAsia" w:ascii="仿宋" w:hAnsi="仿宋" w:eastAsia="仿宋" w:cs="仿宋"/>
          <w:b/>
          <w:color w:val="auto"/>
          <w:sz w:val="32"/>
          <w:szCs w:val="32"/>
        </w:rPr>
        <w:t>2.资金到位</w:t>
      </w:r>
      <w:r>
        <w:rPr>
          <w:rFonts w:hint="eastAsia" w:ascii="仿宋" w:hAnsi="仿宋" w:eastAsia="仿宋" w:cs="仿宋"/>
          <w:color w:val="auto"/>
          <w:sz w:val="32"/>
          <w:szCs w:val="32"/>
        </w:rPr>
        <w:t>。</w:t>
      </w:r>
    </w:p>
    <w:p w14:paraId="6A0D1878">
      <w:pPr>
        <w:keepNext w:val="0"/>
        <w:keepLines w:val="0"/>
        <w:pageBreakBefore w:val="0"/>
        <w:widowControl/>
        <w:numPr>
          <w:ilvl w:val="0"/>
          <w:numId w:val="0"/>
        </w:numPr>
        <w:kinsoku/>
        <w:overflowPunct/>
        <w:topLinePunct w:val="0"/>
        <w:autoSpaceDE/>
        <w:bidi w:val="0"/>
        <w:adjustRightInd/>
        <w:snapToGrid/>
        <w:spacing w:line="560" w:lineRule="exact"/>
        <w:ind w:firstLine="640" w:firstLineChars="200"/>
        <w:jc w:val="left"/>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2020年基本公共卫生经费按照全县人均65元/人为标准，为7070万常住人口提供12项基本公共卫生服务。合计到位资金45.9862万元。具体如下：</w:t>
      </w:r>
    </w:p>
    <w:p w14:paraId="3D43B18B">
      <w:pPr>
        <w:spacing w:line="56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（1）县级下达：</w:t>
      </w:r>
    </w:p>
    <w:p w14:paraId="3A471A48">
      <w:pPr>
        <w:spacing w:line="56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（1）县级下达：</w:t>
      </w:r>
    </w:p>
    <w:p w14:paraId="11368596">
      <w:pPr>
        <w:spacing w:line="56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于2020年4月15日印发《关于提前下达2020年基本公共卫生服务中央和省级补助资金的通知》（川财社〔2019〕145号），下达项目资金28.0020万元。</w:t>
      </w:r>
    </w:p>
    <w:p w14:paraId="67946399">
      <w:pPr>
        <w:spacing w:line="56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于2020年2月23日印发《关于下达2020年基本公共卫生服务中央和省级补助资金（第二批）的通知》（川财社〔2020〕8号），下达项目资金3.4240万元。</w:t>
      </w:r>
    </w:p>
    <w:p w14:paraId="72FB519A">
      <w:pPr>
        <w:spacing w:line="56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于2020年8月28日印发《关于下达2020年基本公共卫生服务中央和省级补助资金的通知》</w:t>
      </w:r>
      <w:bookmarkStart w:id="120" w:name="_GoBack"/>
      <w:bookmarkEnd w:id="120"/>
      <w:r>
        <w:rPr>
          <w:rFonts w:hint="eastAsia" w:ascii="仿宋" w:hAnsi="仿宋" w:eastAsia="仿宋" w:cs="仿宋"/>
          <w:color w:val="000000"/>
          <w:sz w:val="32"/>
          <w:szCs w:val="32"/>
          <w:lang w:val="en-US" w:eastAsia="zh-CN"/>
        </w:rPr>
        <w:t>（川财社〔2019〕145号），下达项目资金5.6470万元。</w:t>
      </w:r>
    </w:p>
    <w:p w14:paraId="0C42F5B0">
      <w:pPr>
        <w:spacing w:line="56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于2020年12月3日印发《盐边县财政局关于下达2020年基本公共卫生服务中央和县级补助结算资金的通知》（盐财资行〔2020〕398号），下达中央和县级补助结算经费8.9132万元。</w:t>
      </w:r>
    </w:p>
    <w:p w14:paraId="463BCEE9">
      <w:pPr>
        <w:spacing w:line="560" w:lineRule="exact"/>
        <w:ind w:firstLine="643" w:firstLineChars="200"/>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3.资金使用。</w:t>
      </w:r>
    </w:p>
    <w:p w14:paraId="54B0E718">
      <w:pPr>
        <w:spacing w:line="56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项目资金拨付情况:2020年2月转收新冠肺炎疫情防控经费3.4240万元，2020年4月转收公共卫生第一批资金28.0020万元，2020年9月转收公共卫生第三批5.6470万元。县级绩效考核后12月转收第四批公共卫生资金8.9132万元，累计转收45.9862万元。专项资金使用执行率为100%。</w:t>
      </w:r>
    </w:p>
    <w:p w14:paraId="4DFD74F6">
      <w:pPr>
        <w:spacing w:line="56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 （2）项目资金使用情况:截止2020年12月31日，全县基本公共卫生项目经费开支：人员经费242819.52元，耗材及公用经费支出32986.12元，村医经费182396.00元，合计458201.64元，使用比例100%。</w:t>
      </w:r>
    </w:p>
    <w:p w14:paraId="570364A3">
      <w:pPr>
        <w:spacing w:line="560" w:lineRule="exact"/>
        <w:ind w:firstLine="643" w:firstLineChars="200"/>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（三）项目财务管理情况。</w:t>
      </w:r>
    </w:p>
    <w:p w14:paraId="5830AF3B">
      <w:pPr>
        <w:spacing w:line="56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本单位各项目实施财务管理制度健全，严格执行财务管理制度，及时账务处理，规范会计核算，及时完成财务年报、卫生统计年报等。</w:t>
      </w:r>
    </w:p>
    <w:p w14:paraId="3A1B64DD">
      <w:pPr>
        <w:spacing w:line="560" w:lineRule="exact"/>
        <w:ind w:firstLine="643" w:firstLineChars="200"/>
        <w:rPr>
          <w:rFonts w:hint="eastAsia" w:ascii="仿宋" w:hAnsi="仿宋" w:eastAsia="仿宋" w:cs="仿宋"/>
          <w:b/>
          <w:bCs/>
          <w:sz w:val="32"/>
          <w:szCs w:val="32"/>
        </w:rPr>
      </w:pPr>
      <w:r>
        <w:rPr>
          <w:rFonts w:hint="eastAsia" w:ascii="方正黑体_GBK" w:hAnsi="方正黑体_GBK" w:eastAsia="方正黑体_GBK" w:cs="方正黑体_GBK"/>
          <w:b/>
          <w:bCs/>
          <w:sz w:val="32"/>
          <w:szCs w:val="32"/>
        </w:rPr>
        <w:t>三、项目实施及管理情况</w:t>
      </w:r>
    </w:p>
    <w:p w14:paraId="5742C8EB">
      <w:pPr>
        <w:spacing w:line="560" w:lineRule="exact"/>
        <w:ind w:firstLine="643" w:firstLineChars="200"/>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（一）项目组织架构及实施流程。</w:t>
      </w:r>
    </w:p>
    <w:p w14:paraId="37176F7D">
      <w:pPr>
        <w:autoSpaceDE w:val="0"/>
        <w:autoSpaceDN w:val="0"/>
        <w:adjustRightInd w:val="0"/>
        <w:spacing w:line="560" w:lineRule="exact"/>
        <w:ind w:firstLine="640" w:firstLineChars="200"/>
        <w:jc w:val="left"/>
        <w:rPr>
          <w:rFonts w:hint="eastAsia" w:ascii="仿宋" w:hAnsi="仿宋" w:eastAsia="仿宋" w:cs="仿宋"/>
          <w:color w:val="FF0000"/>
          <w:sz w:val="32"/>
          <w:szCs w:val="32"/>
          <w:lang w:val="en-US" w:eastAsia="zh-CN"/>
        </w:rPr>
      </w:pPr>
      <w:r>
        <w:rPr>
          <w:rFonts w:hint="eastAsia" w:ascii="仿宋" w:hAnsi="仿宋" w:eastAsia="仿宋" w:cs="仿宋"/>
          <w:color w:val="auto"/>
          <w:sz w:val="32"/>
          <w:szCs w:val="32"/>
          <w:lang w:val="en-US" w:eastAsia="zh-CN"/>
        </w:rPr>
        <w:t>2020年基本公共卫生服务项目时间是从2020年1月-12月，按照上级要求进行，建立辖区居民健康档案；做好预防接种工作；对重点人群进行每年一次的年度体检，对慢性病、重精、肺结核病等患者进行随访服务，对0-6岁儿童进行成长发育指导，加强对老年人和0-3岁儿童家长进行中医体质辨识指导；做好辖区健康教育宣传咨询和健康教育讲座，做好医疗卫生机构健康素养促进活动；对有避孕意向的妇女发放避孕药具；做好</w:t>
      </w:r>
      <w:r>
        <w:rPr>
          <w:rFonts w:hint="eastAsia" w:ascii="仿宋" w:hAnsi="仿宋" w:eastAsia="仿宋" w:cs="仿宋"/>
          <w:color w:val="auto"/>
          <w:sz w:val="32"/>
          <w:szCs w:val="32"/>
        </w:rPr>
        <w:t>传染病、突发公共卫生事件报告</w:t>
      </w:r>
      <w:r>
        <w:rPr>
          <w:rFonts w:hint="eastAsia" w:ascii="仿宋" w:hAnsi="仿宋" w:eastAsia="仿宋" w:cs="仿宋"/>
          <w:color w:val="auto"/>
          <w:sz w:val="32"/>
          <w:szCs w:val="32"/>
          <w:lang w:eastAsia="zh-CN"/>
        </w:rPr>
        <w:t>；做好卫生计生监督协管巡查工作</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FF0000"/>
          <w:sz w:val="32"/>
          <w:szCs w:val="32"/>
          <w:lang w:val="en-US" w:eastAsia="zh-CN"/>
        </w:rPr>
        <w:t xml:space="preserve"> </w:t>
      </w:r>
    </w:p>
    <w:p w14:paraId="770C0633">
      <w:pPr>
        <w:spacing w:line="560" w:lineRule="exact"/>
        <w:ind w:firstLine="643" w:firstLineChars="200"/>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（二）项目管理情况。</w:t>
      </w:r>
    </w:p>
    <w:p w14:paraId="61E768DD">
      <w:pPr>
        <w:keepNext w:val="0"/>
        <w:keepLines w:val="0"/>
        <w:pageBreakBefore w:val="0"/>
        <w:widowControl w:val="0"/>
        <w:kinsoku/>
        <w:wordWrap/>
        <w:overflowPunct/>
        <w:topLinePunct w:val="0"/>
        <w:autoSpaceDE/>
        <w:autoSpaceDN/>
        <w:bidi w:val="0"/>
        <w:adjustRightInd/>
        <w:snapToGrid/>
        <w:spacing w:line="570" w:lineRule="exact"/>
        <w:ind w:right="0" w:rightChars="0" w:firstLine="640"/>
        <w:jc w:val="both"/>
        <w:textAlignment w:val="auto"/>
        <w:outlineLvl w:val="9"/>
        <w:rPr>
          <w:rFonts w:hint="eastAsia" w:ascii="仿宋" w:hAnsi="仿宋" w:eastAsia="仿宋" w:cs="仿宋"/>
          <w:color w:val="FF0000"/>
          <w:sz w:val="32"/>
          <w:szCs w:val="32"/>
        </w:rPr>
      </w:pPr>
      <w:r>
        <w:rPr>
          <w:rFonts w:hint="eastAsia" w:ascii="仿宋" w:hAnsi="仿宋" w:eastAsia="仿宋" w:cs="仿宋"/>
          <w:b/>
          <w:bCs/>
          <w:color w:val="auto"/>
          <w:sz w:val="32"/>
          <w:szCs w:val="32"/>
          <w:lang w:eastAsia="zh-CN"/>
        </w:rPr>
        <w:t>一是</w:t>
      </w:r>
      <w:r>
        <w:rPr>
          <w:rFonts w:hint="eastAsia" w:ascii="仿宋" w:hAnsi="仿宋" w:eastAsia="仿宋" w:cs="仿宋"/>
          <w:color w:val="auto"/>
          <w:sz w:val="32"/>
          <w:szCs w:val="32"/>
        </w:rPr>
        <w:t>认真开展</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5.19世界家庭医生日</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基本公共卫生服务项目</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宣传活动。按照国家和省统一安排部署</w:t>
      </w:r>
      <w:r>
        <w:rPr>
          <w:rFonts w:hint="eastAsia" w:ascii="仿宋" w:hAnsi="仿宋" w:eastAsia="仿宋" w:cs="仿宋"/>
          <w:color w:val="auto"/>
          <w:sz w:val="32"/>
          <w:szCs w:val="32"/>
          <w:lang w:eastAsia="zh-CN"/>
        </w:rPr>
        <w:t>，各医疗卫生机构添措施、想办法开展</w:t>
      </w:r>
      <w:r>
        <w:rPr>
          <w:rFonts w:hint="eastAsia" w:ascii="仿宋" w:hAnsi="仿宋" w:eastAsia="仿宋" w:cs="仿宋"/>
          <w:color w:val="auto"/>
          <w:sz w:val="32"/>
          <w:szCs w:val="32"/>
        </w:rPr>
        <w:t>项目宣传活动，继续深入开展</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三减三健</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七进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活动宣传，提高群众知晓率和感受度，促进居民养成健康的生活方式</w:t>
      </w:r>
      <w:r>
        <w:rPr>
          <w:rFonts w:hint="eastAsia" w:ascii="仿宋" w:hAnsi="仿宋" w:eastAsia="仿宋" w:cs="仿宋"/>
          <w:color w:val="auto"/>
          <w:sz w:val="32"/>
          <w:szCs w:val="32"/>
          <w:lang w:eastAsia="zh-CN"/>
        </w:rPr>
        <w:t>；</w:t>
      </w:r>
      <w:r>
        <w:rPr>
          <w:rFonts w:hint="eastAsia" w:ascii="仿宋" w:hAnsi="仿宋" w:eastAsia="仿宋" w:cs="仿宋"/>
          <w:b/>
          <w:bCs/>
          <w:color w:val="auto"/>
          <w:sz w:val="32"/>
          <w:szCs w:val="32"/>
          <w:lang w:eastAsia="zh-CN"/>
        </w:rPr>
        <w:t>二是</w:t>
      </w:r>
      <w:r>
        <w:rPr>
          <w:rFonts w:hint="eastAsia" w:ascii="仿宋" w:hAnsi="仿宋" w:eastAsia="仿宋" w:cs="仿宋"/>
          <w:color w:val="auto"/>
          <w:sz w:val="32"/>
          <w:szCs w:val="32"/>
        </w:rPr>
        <w:t>多形式开展健康教育宣传。</w:t>
      </w:r>
      <w:r>
        <w:rPr>
          <w:rFonts w:hint="eastAsia" w:ascii="仿宋" w:hAnsi="仿宋" w:eastAsia="仿宋" w:cs="仿宋"/>
          <w:color w:val="auto"/>
          <w:sz w:val="32"/>
          <w:szCs w:val="32"/>
          <w:lang w:eastAsia="zh-CN"/>
        </w:rPr>
        <w:t>采取网络、</w:t>
      </w:r>
      <w:r>
        <w:rPr>
          <w:rFonts w:hint="eastAsia" w:ascii="仿宋" w:hAnsi="仿宋" w:eastAsia="仿宋" w:cs="仿宋"/>
          <w:color w:val="auto"/>
          <w:sz w:val="32"/>
          <w:szCs w:val="32"/>
          <w:lang w:val="en-US" w:eastAsia="zh-CN"/>
        </w:rPr>
        <w:t>QQ、微信、</w:t>
      </w:r>
      <w:r>
        <w:rPr>
          <w:rFonts w:hint="eastAsia" w:ascii="仿宋" w:hAnsi="仿宋" w:eastAsia="仿宋" w:cs="仿宋"/>
          <w:color w:val="auto"/>
          <w:sz w:val="32"/>
          <w:szCs w:val="32"/>
        </w:rPr>
        <w:t>展板、宣传折页、宣传标语等群众喜闻乐见的传统宣传方式，形成多渠道、多层次、多语境的宣传态势，为项目实施营造良好氛围，形成强大合力。以</w:t>
      </w:r>
      <w:r>
        <w:rPr>
          <w:rFonts w:hint="eastAsia" w:ascii="仿宋" w:hAnsi="仿宋" w:eastAsia="仿宋" w:cs="仿宋"/>
          <w:color w:val="auto"/>
          <w:sz w:val="32"/>
          <w:szCs w:val="32"/>
          <w:lang w:eastAsia="zh-CN"/>
        </w:rPr>
        <w:t>基层医疗卫生机构</w:t>
      </w:r>
      <w:r>
        <w:rPr>
          <w:rFonts w:hint="eastAsia" w:ascii="仿宋" w:hAnsi="仿宋" w:eastAsia="仿宋" w:cs="仿宋"/>
          <w:color w:val="auto"/>
          <w:sz w:val="32"/>
          <w:szCs w:val="32"/>
        </w:rPr>
        <w:t>为单位，发放《中国公民健康素养66条》宣传绘图，基本公共卫生服务项目宣传资料，提高群众对基本公共卫生服务项目的参与积极性和自身健康意识</w:t>
      </w:r>
      <w:r>
        <w:rPr>
          <w:rFonts w:hint="eastAsia" w:ascii="仿宋" w:hAnsi="仿宋" w:eastAsia="仿宋" w:cs="仿宋"/>
          <w:color w:val="auto"/>
          <w:sz w:val="32"/>
          <w:szCs w:val="32"/>
          <w:lang w:eastAsia="zh-CN"/>
        </w:rPr>
        <w:t>；</w:t>
      </w:r>
      <w:r>
        <w:rPr>
          <w:rFonts w:hint="eastAsia" w:ascii="仿宋" w:hAnsi="仿宋" w:eastAsia="仿宋" w:cs="仿宋"/>
          <w:b/>
          <w:bCs/>
          <w:color w:val="auto"/>
          <w:sz w:val="32"/>
          <w:szCs w:val="32"/>
          <w:lang w:eastAsia="zh-CN"/>
        </w:rPr>
        <w:t>三是</w:t>
      </w:r>
      <w:r>
        <w:rPr>
          <w:rFonts w:hint="eastAsia" w:ascii="仿宋" w:hAnsi="仿宋" w:eastAsia="仿宋" w:cs="仿宋"/>
          <w:color w:val="auto"/>
          <w:sz w:val="32"/>
          <w:szCs w:val="32"/>
        </w:rPr>
        <w:t>抓好信息公开。基层医疗卫生机构在辖区和机构内显著位置公示项目免费政策、服务项目、机构地址、电话号码等内容。将广播、</w:t>
      </w:r>
      <w:r>
        <w:rPr>
          <w:rFonts w:hint="eastAsia" w:ascii="仿宋" w:hAnsi="仿宋" w:eastAsia="仿宋" w:cs="仿宋"/>
          <w:color w:val="auto"/>
          <w:sz w:val="32"/>
          <w:szCs w:val="32"/>
          <w:lang w:val="en-US" w:eastAsia="zh-CN"/>
        </w:rPr>
        <w:t>QQ、</w:t>
      </w:r>
      <w:r>
        <w:rPr>
          <w:rFonts w:hint="eastAsia" w:ascii="仿宋" w:hAnsi="仿宋" w:eastAsia="仿宋" w:cs="仿宋"/>
          <w:color w:val="auto"/>
          <w:sz w:val="32"/>
          <w:szCs w:val="32"/>
        </w:rPr>
        <w:t>微信、官方微博等新闻媒体和传统的宣传栏、壁报、宣传折页等形式相结合，多渠道，多途径地将机构基本情况、基本公共卫生服务内容、服务信息、反馈信息和提醒信息等及时全面传递给服务对象</w:t>
      </w:r>
      <w:r>
        <w:rPr>
          <w:rFonts w:hint="eastAsia" w:ascii="仿宋" w:hAnsi="仿宋" w:eastAsia="仿宋" w:cs="仿宋"/>
          <w:color w:val="auto"/>
          <w:sz w:val="32"/>
          <w:szCs w:val="32"/>
          <w:lang w:eastAsia="zh-CN"/>
        </w:rPr>
        <w:t>；四是</w:t>
      </w:r>
      <w:r>
        <w:rPr>
          <w:rFonts w:hint="eastAsia" w:ascii="仿宋" w:hAnsi="仿宋" w:eastAsia="仿宋" w:cs="仿宋"/>
          <w:color w:val="auto"/>
          <w:sz w:val="32"/>
          <w:szCs w:val="32"/>
        </w:rPr>
        <w:t>加强信息报送。各</w:t>
      </w:r>
      <w:r>
        <w:rPr>
          <w:rFonts w:hint="eastAsia" w:ascii="仿宋" w:hAnsi="仿宋" w:eastAsia="仿宋" w:cs="仿宋"/>
          <w:color w:val="auto"/>
          <w:sz w:val="32"/>
          <w:szCs w:val="32"/>
          <w:lang w:eastAsia="zh-CN"/>
        </w:rPr>
        <w:t>医疗卫生机构</w:t>
      </w:r>
      <w:r>
        <w:rPr>
          <w:rFonts w:hint="eastAsia" w:ascii="仿宋" w:hAnsi="仿宋" w:eastAsia="仿宋" w:cs="仿宋"/>
          <w:color w:val="auto"/>
          <w:sz w:val="32"/>
          <w:szCs w:val="32"/>
        </w:rPr>
        <w:t>及时总结上报基本公共卫生服务工作完成情况，创新性做法和典型经验等信息。及时总结提炼宣传活动经验、特色亮点，挖掘基本公共卫生服务工作中的先进个人和感人事迹进行深入报道，深化对国家基本公共卫生服务项目的宣传，提高群众的知晓率和认可度。</w:t>
      </w:r>
    </w:p>
    <w:p w14:paraId="151507FE">
      <w:pPr>
        <w:spacing w:line="560" w:lineRule="exact"/>
        <w:ind w:firstLine="643" w:firstLineChars="200"/>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（三）项目监管情况。</w:t>
      </w:r>
    </w:p>
    <w:p w14:paraId="6F380155">
      <w:pPr>
        <w:keepNext w:val="0"/>
        <w:keepLines w:val="0"/>
        <w:pageBreakBefore w:val="0"/>
        <w:widowControl w:val="0"/>
        <w:kinsoku/>
        <w:wordWrap/>
        <w:overflowPunct/>
        <w:topLinePunct w:val="0"/>
        <w:autoSpaceDE/>
        <w:autoSpaceDN/>
        <w:bidi w:val="0"/>
        <w:adjustRightInd/>
        <w:snapToGrid/>
        <w:spacing w:line="570" w:lineRule="exact"/>
        <w:ind w:right="0" w:rightChars="0" w:firstLine="660"/>
        <w:jc w:val="both"/>
        <w:textAlignment w:val="auto"/>
        <w:outlineLvl w:val="9"/>
        <w:rPr>
          <w:rFonts w:hint="eastAsia" w:ascii="仿宋" w:hAnsi="仿宋" w:eastAsia="仿宋" w:cs="仿宋"/>
          <w:color w:val="FF0000"/>
          <w:sz w:val="32"/>
          <w:szCs w:val="32"/>
          <w:lang w:val="en-US" w:eastAsia="zh-CN"/>
        </w:rPr>
      </w:pPr>
      <w:r>
        <w:rPr>
          <w:rFonts w:hint="eastAsia" w:ascii="仿宋" w:hAnsi="仿宋" w:eastAsia="仿宋" w:cs="仿宋"/>
          <w:color w:val="auto"/>
          <w:sz w:val="32"/>
          <w:szCs w:val="32"/>
          <w:lang w:eastAsia="zh-CN"/>
        </w:rPr>
        <w:t>本单位将</w:t>
      </w:r>
      <w:r>
        <w:rPr>
          <w:rFonts w:hint="eastAsia" w:ascii="仿宋" w:hAnsi="仿宋" w:eastAsia="仿宋" w:cs="仿宋"/>
          <w:color w:val="auto"/>
          <w:sz w:val="32"/>
          <w:szCs w:val="32"/>
        </w:rPr>
        <w:t>加强基本公共卫生服务项目技术指导和督导，强化重点任务项目落地落实，2020年6月</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日—6月30日</w:t>
      </w:r>
      <w:r>
        <w:rPr>
          <w:rFonts w:hint="eastAsia" w:ascii="仿宋" w:hAnsi="仿宋" w:eastAsia="仿宋" w:cs="仿宋"/>
          <w:color w:val="auto"/>
          <w:sz w:val="32"/>
          <w:szCs w:val="32"/>
          <w:lang w:val="en-US" w:eastAsia="zh-CN"/>
        </w:rPr>
        <w:t>，对全乡村卫生室2020年度基本公共卫生服务项目进行了半年绩</w:t>
      </w:r>
      <w:r>
        <w:rPr>
          <w:rFonts w:hint="eastAsia" w:ascii="仿宋" w:hAnsi="仿宋" w:eastAsia="仿宋" w:cs="仿宋"/>
          <w:color w:val="auto"/>
          <w:sz w:val="32"/>
          <w:szCs w:val="32"/>
          <w:lang w:eastAsia="zh-CN"/>
        </w:rPr>
        <w:t>效</w:t>
      </w:r>
      <w:r>
        <w:rPr>
          <w:rFonts w:hint="eastAsia" w:ascii="仿宋" w:hAnsi="仿宋" w:eastAsia="仿宋" w:cs="仿宋"/>
          <w:color w:val="auto"/>
          <w:sz w:val="32"/>
          <w:szCs w:val="32"/>
        </w:rPr>
        <w:t>考核</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总共考核了11个村卫生室。</w:t>
      </w:r>
      <w:r>
        <w:rPr>
          <w:rFonts w:hint="eastAsia" w:ascii="仿宋" w:hAnsi="仿宋" w:eastAsia="仿宋" w:cs="仿宋"/>
          <w:bCs/>
          <w:color w:val="auto"/>
          <w:sz w:val="32"/>
          <w:szCs w:val="32"/>
          <w:lang w:eastAsia="zh-CN"/>
        </w:rPr>
        <w:t>；</w:t>
      </w:r>
      <w:r>
        <w:rPr>
          <w:rFonts w:hint="eastAsia" w:ascii="仿宋" w:hAnsi="仿宋" w:eastAsia="仿宋" w:cs="仿宋"/>
          <w:color w:val="auto"/>
          <w:sz w:val="32"/>
          <w:szCs w:val="32"/>
          <w:lang w:val="en-US" w:eastAsia="zh-CN"/>
        </w:rPr>
        <w:t>2020年12月1日—12月20日，对全乡村卫生室2020年度基本公共卫生服务项目进行了年终绩</w:t>
      </w:r>
      <w:r>
        <w:rPr>
          <w:rFonts w:hint="eastAsia" w:ascii="仿宋" w:hAnsi="仿宋" w:eastAsia="仿宋" w:cs="仿宋"/>
          <w:color w:val="auto"/>
          <w:sz w:val="32"/>
          <w:szCs w:val="32"/>
          <w:lang w:eastAsia="zh-CN"/>
        </w:rPr>
        <w:t>效</w:t>
      </w:r>
      <w:r>
        <w:rPr>
          <w:rFonts w:hint="eastAsia" w:ascii="仿宋" w:hAnsi="仿宋" w:eastAsia="仿宋" w:cs="仿宋"/>
          <w:color w:val="auto"/>
          <w:sz w:val="32"/>
          <w:szCs w:val="32"/>
        </w:rPr>
        <w:t>考核</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总共考核了11个村卫生</w:t>
      </w:r>
      <w:r>
        <w:rPr>
          <w:rFonts w:hint="eastAsia" w:ascii="仿宋" w:hAnsi="仿宋" w:eastAsia="仿宋" w:cs="仿宋"/>
          <w:bCs/>
          <w:color w:val="auto"/>
          <w:sz w:val="32"/>
          <w:szCs w:val="32"/>
        </w:rPr>
        <w:t>室</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现场考核采取查阅资料、问卷调查、现场核实真实性等方式进行</w:t>
      </w:r>
      <w:r>
        <w:rPr>
          <w:rFonts w:hint="eastAsia" w:ascii="仿宋" w:hAnsi="仿宋" w:eastAsia="仿宋" w:cs="仿宋"/>
          <w:bCs/>
          <w:color w:val="auto"/>
          <w:sz w:val="32"/>
          <w:szCs w:val="32"/>
          <w:lang w:eastAsia="zh-CN"/>
        </w:rPr>
        <w:t>，同时，</w:t>
      </w:r>
      <w:r>
        <w:rPr>
          <w:rFonts w:hint="eastAsia" w:ascii="仿宋" w:hAnsi="仿宋" w:eastAsia="仿宋" w:cs="仿宋"/>
          <w:color w:val="auto"/>
          <w:sz w:val="32"/>
          <w:szCs w:val="32"/>
          <w:lang w:val="en-US" w:eastAsia="zh-CN"/>
        </w:rPr>
        <w:t>每季度完成一次对所有卫生室的督导\指导工作。本院要强化对村卫生室的全面绩效考核，严肃处理弄虚作假情况，严格实行评价结果与资金拨付挂钩。</w:t>
      </w:r>
    </w:p>
    <w:p w14:paraId="435E0743">
      <w:pPr>
        <w:spacing w:line="56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四、项目绩效情况</w:t>
      </w:r>
      <w:r>
        <w:rPr>
          <w:rFonts w:hint="eastAsia" w:ascii="方正黑体_GBK" w:hAnsi="方正黑体_GBK" w:eastAsia="方正黑体_GBK" w:cs="方正黑体_GBK"/>
          <w:sz w:val="32"/>
          <w:szCs w:val="32"/>
        </w:rPr>
        <w:tab/>
      </w:r>
    </w:p>
    <w:p w14:paraId="3FE96E7E">
      <w:pPr>
        <w:spacing w:line="560" w:lineRule="exact"/>
        <w:ind w:firstLine="643" w:firstLineChars="200"/>
        <w:rPr>
          <w:rFonts w:hint="eastAsia" w:ascii="仿宋" w:hAnsi="仿宋" w:eastAsia="仿宋" w:cs="仿宋"/>
          <w:b/>
          <w:bCs/>
          <w:sz w:val="32"/>
          <w:szCs w:val="32"/>
        </w:rPr>
      </w:pPr>
      <w:r>
        <w:rPr>
          <w:rFonts w:hint="eastAsia" w:ascii="方正楷体_GBK" w:hAnsi="方正楷体_GBK" w:eastAsia="方正楷体_GBK" w:cs="方正楷体_GBK"/>
          <w:b/>
          <w:bCs/>
          <w:sz w:val="32"/>
          <w:szCs w:val="32"/>
        </w:rPr>
        <w:t>（一）项目完成情况。</w:t>
      </w:r>
    </w:p>
    <w:p w14:paraId="2F4E856E">
      <w:pPr>
        <w:keepNext w:val="0"/>
        <w:keepLines w:val="0"/>
        <w:pageBreakBefore w:val="0"/>
        <w:widowControl w:val="0"/>
        <w:numPr>
          <w:ilvl w:val="0"/>
          <w:numId w:val="0"/>
        </w:numPr>
        <w:kinsoku/>
        <w:wordWrap/>
        <w:overflowPunct/>
        <w:topLinePunct w:val="0"/>
        <w:autoSpaceDE/>
        <w:autoSpaceDN/>
        <w:bidi w:val="0"/>
        <w:adjustRightInd/>
        <w:spacing w:line="570" w:lineRule="exact"/>
        <w:ind w:right="0" w:rightChars="0" w:firstLine="660"/>
        <w:jc w:val="both"/>
        <w:textAlignment w:val="auto"/>
        <w:rPr>
          <w:rFonts w:hint="eastAsia" w:ascii="仿宋" w:hAnsi="仿宋" w:eastAsia="仿宋" w:cs="仿宋"/>
          <w:sz w:val="32"/>
          <w:szCs w:val="32"/>
        </w:rPr>
      </w:pPr>
      <w:r>
        <w:rPr>
          <w:rFonts w:hint="eastAsia" w:ascii="仿宋" w:hAnsi="仿宋" w:eastAsia="仿宋" w:cs="仿宋"/>
          <w:sz w:val="32"/>
          <w:szCs w:val="32"/>
        </w:rPr>
        <w:t>居民电子健康档案建档率</w:t>
      </w:r>
      <w:r>
        <w:rPr>
          <w:rFonts w:hint="eastAsia" w:ascii="仿宋" w:hAnsi="仿宋" w:eastAsia="仿宋" w:cs="仿宋"/>
          <w:sz w:val="32"/>
          <w:szCs w:val="32"/>
          <w:lang w:val="en-US" w:eastAsia="zh-CN"/>
        </w:rPr>
        <w:t>93</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目前辖区65岁以上老年人</w:t>
      </w:r>
      <w:r>
        <w:rPr>
          <w:rFonts w:hint="eastAsia" w:ascii="仿宋" w:hAnsi="仿宋" w:eastAsia="仿宋" w:cs="仿宋"/>
          <w:sz w:val="32"/>
          <w:szCs w:val="32"/>
          <w:lang w:val="en-US" w:eastAsia="zh-CN"/>
        </w:rPr>
        <w:t>560</w:t>
      </w:r>
      <w:r>
        <w:rPr>
          <w:rFonts w:hint="eastAsia" w:ascii="仿宋" w:hAnsi="仿宋" w:eastAsia="仿宋" w:cs="仿宋"/>
          <w:sz w:val="32"/>
          <w:szCs w:val="32"/>
        </w:rPr>
        <w:t>人，接受健康管理人数为</w:t>
      </w:r>
      <w:r>
        <w:rPr>
          <w:rFonts w:hint="eastAsia" w:ascii="仿宋" w:hAnsi="仿宋" w:eastAsia="仿宋" w:cs="仿宋"/>
          <w:sz w:val="32"/>
          <w:szCs w:val="32"/>
          <w:lang w:val="en-US" w:eastAsia="zh-CN"/>
        </w:rPr>
        <w:t>336</w:t>
      </w:r>
      <w:r>
        <w:rPr>
          <w:rFonts w:hint="eastAsia" w:ascii="仿宋" w:hAnsi="仿宋" w:eastAsia="仿宋" w:cs="仿宋"/>
          <w:sz w:val="32"/>
          <w:szCs w:val="32"/>
        </w:rPr>
        <w:t>人，老年人健康管理为</w:t>
      </w:r>
      <w:r>
        <w:rPr>
          <w:rFonts w:hint="eastAsia" w:ascii="仿宋" w:hAnsi="仿宋" w:eastAsia="仿宋" w:cs="仿宋"/>
          <w:sz w:val="32"/>
          <w:szCs w:val="32"/>
          <w:lang w:val="en-US" w:eastAsia="zh-CN"/>
        </w:rPr>
        <w:t>55</w:t>
      </w:r>
      <w:r>
        <w:rPr>
          <w:rFonts w:hint="eastAsia" w:ascii="仿宋" w:hAnsi="仿宋" w:eastAsia="仿宋" w:cs="仿宋"/>
          <w:sz w:val="32"/>
          <w:szCs w:val="32"/>
        </w:rPr>
        <w:t>%，老年人中医药健康服务</w:t>
      </w:r>
      <w:r>
        <w:rPr>
          <w:rFonts w:hint="eastAsia" w:ascii="仿宋" w:hAnsi="仿宋" w:eastAsia="仿宋" w:cs="仿宋"/>
          <w:sz w:val="32"/>
          <w:szCs w:val="32"/>
          <w:lang w:val="en-US" w:eastAsia="zh-CN"/>
        </w:rPr>
        <w:t>336</w:t>
      </w:r>
      <w:r>
        <w:rPr>
          <w:rFonts w:hint="eastAsia" w:ascii="仿宋" w:hAnsi="仿宋" w:eastAsia="仿宋" w:cs="仿宋"/>
          <w:sz w:val="32"/>
          <w:szCs w:val="32"/>
        </w:rPr>
        <w:t>人，老年人中医药健康管理率为</w:t>
      </w:r>
      <w:r>
        <w:rPr>
          <w:rFonts w:hint="eastAsia" w:ascii="仿宋" w:hAnsi="仿宋" w:eastAsia="仿宋" w:cs="仿宋"/>
          <w:sz w:val="32"/>
          <w:szCs w:val="32"/>
          <w:lang w:val="en-US" w:eastAsia="zh-CN"/>
        </w:rPr>
        <w:t>55</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b w:val="0"/>
          <w:bCs w:val="0"/>
          <w:color w:val="auto"/>
          <w:sz w:val="32"/>
          <w:szCs w:val="32"/>
          <w:shd w:val="clear" w:color="auto" w:fill="auto"/>
        </w:rPr>
        <w:t>孕产妇和0-6岁儿童：</w:t>
      </w:r>
      <w:r>
        <w:rPr>
          <w:rFonts w:hint="eastAsia" w:ascii="仿宋" w:hAnsi="仿宋" w:eastAsia="仿宋" w:cs="仿宋"/>
          <w:kern w:val="0"/>
          <w:sz w:val="32"/>
          <w:szCs w:val="32"/>
          <w:lang w:bidi="ar"/>
        </w:rPr>
        <w:t>提高系统管理质量，住院分娩率达100%，实行了高危转诊制度，提高了产科质量。切实降低了孕产妇和新生儿死亡率，全年产妇总数达 45人，新法接生45人，活产45人。本院检出乙肝表抗阳性孕妇1人，本院分娩乙肝表抗阳性产妇0人，乙肝表抗阳性母亲所生婴儿0人（活产 0人）；产后访视45人，</w:t>
      </w:r>
      <w:r>
        <w:rPr>
          <w:rFonts w:hint="eastAsia" w:ascii="仿宋" w:hAnsi="仿宋" w:eastAsia="仿宋" w:cs="仿宋"/>
          <w:sz w:val="32"/>
          <w:szCs w:val="32"/>
        </w:rPr>
        <w:t>访视</w:t>
      </w:r>
      <w:r>
        <w:rPr>
          <w:rFonts w:hint="eastAsia" w:ascii="仿宋" w:hAnsi="仿宋" w:eastAsia="仿宋" w:cs="仿宋"/>
          <w:kern w:val="0"/>
          <w:sz w:val="32"/>
          <w:szCs w:val="32"/>
          <w:lang w:bidi="ar"/>
        </w:rPr>
        <w:t>率100</w:t>
      </w:r>
      <w:r>
        <w:rPr>
          <w:rFonts w:hint="eastAsia" w:ascii="仿宋" w:hAnsi="仿宋" w:eastAsia="仿宋" w:cs="仿宋"/>
          <w:sz w:val="32"/>
          <w:szCs w:val="32"/>
        </w:rPr>
        <w:t>%</w:t>
      </w:r>
      <w:r>
        <w:rPr>
          <w:rFonts w:hint="eastAsia" w:ascii="仿宋" w:hAnsi="仿宋" w:eastAsia="仿宋" w:cs="仿宋"/>
          <w:kern w:val="0"/>
          <w:sz w:val="32"/>
          <w:szCs w:val="32"/>
          <w:lang w:bidi="ar"/>
        </w:rPr>
        <w:t>其中住院分娩活产 45人，非住院分娩0人，无孕产妇死亡，无新生儿破伤风发生。</w:t>
      </w:r>
      <w:r>
        <w:rPr>
          <w:rFonts w:hint="eastAsia" w:ascii="仿宋" w:hAnsi="仿宋" w:eastAsia="仿宋" w:cs="仿宋"/>
          <w:sz w:val="32"/>
          <w:szCs w:val="32"/>
        </w:rPr>
        <w:t>接受1次新生儿访视45人，新生儿访视</w:t>
      </w:r>
      <w:r>
        <w:rPr>
          <w:rFonts w:hint="eastAsia" w:ascii="仿宋" w:hAnsi="仿宋" w:eastAsia="仿宋" w:cs="仿宋"/>
          <w:kern w:val="0"/>
          <w:sz w:val="32"/>
          <w:szCs w:val="32"/>
          <w:lang w:bidi="ar"/>
        </w:rPr>
        <w:t>率100</w:t>
      </w:r>
      <w:r>
        <w:rPr>
          <w:rFonts w:hint="eastAsia" w:ascii="仿宋" w:hAnsi="仿宋" w:eastAsia="仿宋" w:cs="仿宋"/>
          <w:sz w:val="32"/>
          <w:szCs w:val="32"/>
        </w:rPr>
        <w:t>%.新生儿死亡0人。做好辖区内0——6岁儿童登记，0-6岁儿童总数 593人，接受1次及以上随访的0-6岁儿童数593人。管理达到80%。辖区内应管理0-36个月儿童320人，接受中医药管理服务儿童210人。管理达到65.62%。</w:t>
      </w:r>
    </w:p>
    <w:p w14:paraId="41B2C3F8">
      <w:pPr>
        <w:keepNext w:val="0"/>
        <w:keepLines w:val="0"/>
        <w:pageBreakBefore w:val="0"/>
        <w:widowControl w:val="0"/>
        <w:numPr>
          <w:ilvl w:val="0"/>
          <w:numId w:val="0"/>
        </w:numPr>
        <w:kinsoku/>
        <w:wordWrap/>
        <w:overflowPunct/>
        <w:topLinePunct w:val="0"/>
        <w:autoSpaceDE/>
        <w:autoSpaceDN/>
        <w:bidi w:val="0"/>
        <w:adjustRightInd/>
        <w:spacing w:line="570" w:lineRule="exact"/>
        <w:ind w:right="0" w:rightChars="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color w:val="auto"/>
          <w:sz w:val="32"/>
          <w:szCs w:val="32"/>
        </w:rPr>
        <w:t>慢性病管理：</w:t>
      </w:r>
      <w:r>
        <w:rPr>
          <w:rFonts w:hint="eastAsia" w:ascii="仿宋" w:hAnsi="仿宋" w:eastAsia="仿宋" w:cs="仿宋"/>
          <w:sz w:val="32"/>
          <w:szCs w:val="32"/>
        </w:rPr>
        <w:t>已管理高血压患者</w:t>
      </w:r>
      <w:r>
        <w:rPr>
          <w:rFonts w:hint="eastAsia" w:ascii="仿宋" w:hAnsi="仿宋" w:eastAsia="仿宋" w:cs="仿宋"/>
          <w:sz w:val="32"/>
          <w:szCs w:val="32"/>
          <w:lang w:val="en-US" w:eastAsia="zh-CN"/>
        </w:rPr>
        <w:t>310</w:t>
      </w:r>
      <w:r>
        <w:rPr>
          <w:rFonts w:hint="eastAsia" w:ascii="仿宋" w:hAnsi="仿宋" w:eastAsia="仿宋" w:cs="仿宋"/>
          <w:sz w:val="32"/>
          <w:szCs w:val="32"/>
        </w:rPr>
        <w:t>人，健康管理人数为</w:t>
      </w:r>
      <w:r>
        <w:rPr>
          <w:rFonts w:hint="eastAsia" w:ascii="仿宋" w:hAnsi="仿宋" w:eastAsia="仿宋" w:cs="仿宋"/>
          <w:sz w:val="32"/>
          <w:szCs w:val="32"/>
          <w:lang w:val="en-US" w:eastAsia="zh-CN"/>
        </w:rPr>
        <w:t>310</w:t>
      </w:r>
      <w:r>
        <w:rPr>
          <w:rFonts w:hint="eastAsia" w:ascii="仿宋" w:hAnsi="仿宋" w:eastAsia="仿宋" w:cs="仿宋"/>
          <w:sz w:val="32"/>
          <w:szCs w:val="32"/>
        </w:rPr>
        <w:t>人，规范管理率为</w:t>
      </w:r>
      <w:r>
        <w:rPr>
          <w:rFonts w:hint="eastAsia" w:ascii="仿宋" w:hAnsi="仿宋" w:eastAsia="仿宋" w:cs="仿宋"/>
          <w:sz w:val="32"/>
          <w:szCs w:val="32"/>
          <w:lang w:val="en-US" w:eastAsia="zh-CN"/>
        </w:rPr>
        <w:t>80</w:t>
      </w:r>
      <w:r>
        <w:rPr>
          <w:rFonts w:hint="eastAsia" w:ascii="仿宋" w:hAnsi="仿宋" w:eastAsia="仿宋" w:cs="仿宋"/>
          <w:sz w:val="32"/>
          <w:szCs w:val="32"/>
        </w:rPr>
        <w:t>%，血压达标人数为</w:t>
      </w:r>
      <w:r>
        <w:rPr>
          <w:rFonts w:hint="eastAsia" w:ascii="仿宋" w:hAnsi="仿宋" w:eastAsia="仿宋" w:cs="仿宋"/>
          <w:sz w:val="32"/>
          <w:szCs w:val="32"/>
          <w:lang w:val="en-US" w:eastAsia="zh-CN"/>
        </w:rPr>
        <w:t>310</w:t>
      </w:r>
      <w:r>
        <w:rPr>
          <w:rFonts w:hint="eastAsia" w:ascii="仿宋" w:hAnsi="仿宋" w:eastAsia="仿宋" w:cs="仿宋"/>
          <w:sz w:val="32"/>
          <w:szCs w:val="32"/>
        </w:rPr>
        <w:t>人，血压控制率为</w:t>
      </w:r>
      <w:r>
        <w:rPr>
          <w:rFonts w:hint="eastAsia" w:ascii="仿宋" w:hAnsi="仿宋" w:eastAsia="仿宋" w:cs="仿宋"/>
          <w:sz w:val="32"/>
          <w:szCs w:val="32"/>
          <w:lang w:val="en-US" w:eastAsia="zh-CN"/>
        </w:rPr>
        <w:t>80</w:t>
      </w:r>
      <w:r>
        <w:rPr>
          <w:rFonts w:hint="eastAsia" w:ascii="仿宋" w:hAnsi="仿宋" w:eastAsia="仿宋" w:cs="仿宋"/>
          <w:sz w:val="32"/>
          <w:szCs w:val="32"/>
        </w:rPr>
        <w:t>%；已管理2型糖尿病患者</w:t>
      </w:r>
      <w:r>
        <w:rPr>
          <w:rFonts w:hint="eastAsia" w:ascii="仿宋" w:hAnsi="仿宋" w:eastAsia="仿宋" w:cs="仿宋"/>
          <w:sz w:val="32"/>
          <w:szCs w:val="32"/>
          <w:lang w:val="en-US" w:eastAsia="zh-CN"/>
        </w:rPr>
        <w:t>98</w:t>
      </w:r>
      <w:r>
        <w:rPr>
          <w:rFonts w:hint="eastAsia" w:ascii="仿宋" w:hAnsi="仿宋" w:eastAsia="仿宋" w:cs="仿宋"/>
          <w:sz w:val="32"/>
          <w:szCs w:val="32"/>
        </w:rPr>
        <w:t>人，健康管理人数为</w:t>
      </w:r>
      <w:r>
        <w:rPr>
          <w:rFonts w:hint="eastAsia" w:ascii="仿宋" w:hAnsi="仿宋" w:eastAsia="仿宋" w:cs="仿宋"/>
          <w:sz w:val="32"/>
          <w:szCs w:val="32"/>
          <w:lang w:val="en-US" w:eastAsia="zh-CN"/>
        </w:rPr>
        <w:t>98</w:t>
      </w:r>
      <w:r>
        <w:rPr>
          <w:rFonts w:hint="eastAsia" w:ascii="仿宋" w:hAnsi="仿宋" w:eastAsia="仿宋" w:cs="仿宋"/>
          <w:sz w:val="32"/>
          <w:szCs w:val="32"/>
        </w:rPr>
        <w:t>人，规范管理率为</w:t>
      </w:r>
      <w:r>
        <w:rPr>
          <w:rFonts w:hint="eastAsia" w:ascii="仿宋" w:hAnsi="仿宋" w:eastAsia="仿宋" w:cs="仿宋"/>
          <w:sz w:val="32"/>
          <w:szCs w:val="32"/>
          <w:lang w:val="en-US" w:eastAsia="zh-CN"/>
        </w:rPr>
        <w:t>96</w:t>
      </w:r>
      <w:r>
        <w:rPr>
          <w:rFonts w:hint="eastAsia" w:ascii="仿宋" w:hAnsi="仿宋" w:eastAsia="仿宋" w:cs="仿宋"/>
          <w:sz w:val="32"/>
          <w:szCs w:val="32"/>
        </w:rPr>
        <w:t>%，血糖达标人数为</w:t>
      </w:r>
      <w:r>
        <w:rPr>
          <w:rFonts w:hint="eastAsia" w:ascii="仿宋" w:hAnsi="仿宋" w:eastAsia="仿宋" w:cs="仿宋"/>
          <w:sz w:val="32"/>
          <w:szCs w:val="32"/>
          <w:lang w:val="en-US" w:eastAsia="zh-CN"/>
        </w:rPr>
        <w:t>98</w:t>
      </w:r>
      <w:r>
        <w:rPr>
          <w:rFonts w:hint="eastAsia" w:ascii="仿宋" w:hAnsi="仿宋" w:eastAsia="仿宋" w:cs="仿宋"/>
          <w:sz w:val="32"/>
          <w:szCs w:val="32"/>
        </w:rPr>
        <w:t>人，血糖控制率为</w:t>
      </w:r>
      <w:r>
        <w:rPr>
          <w:rFonts w:hint="eastAsia" w:ascii="仿宋" w:hAnsi="仿宋" w:eastAsia="仿宋" w:cs="仿宋"/>
          <w:sz w:val="32"/>
          <w:szCs w:val="32"/>
          <w:lang w:val="en-US" w:eastAsia="zh-CN"/>
        </w:rPr>
        <w:t>70</w:t>
      </w:r>
      <w:r>
        <w:rPr>
          <w:rFonts w:hint="eastAsia" w:ascii="仿宋" w:hAnsi="仿宋" w:eastAsia="仿宋" w:cs="仿宋"/>
          <w:sz w:val="32"/>
          <w:szCs w:val="32"/>
        </w:rPr>
        <w:t>%</w:t>
      </w:r>
      <w:r>
        <w:rPr>
          <w:rFonts w:hint="eastAsia" w:ascii="仿宋" w:hAnsi="仿宋" w:eastAsia="仿宋" w:cs="仿宋"/>
          <w:sz w:val="32"/>
          <w:szCs w:val="32"/>
          <w:lang w:val="en-US" w:eastAsia="zh-CN"/>
        </w:rPr>
        <w:t>。</w:t>
      </w:r>
      <w:r>
        <w:rPr>
          <w:rFonts w:hint="eastAsia" w:ascii="仿宋" w:hAnsi="仿宋" w:eastAsia="仿宋" w:cs="仿宋"/>
          <w:b w:val="0"/>
          <w:bCs w:val="0"/>
          <w:sz w:val="32"/>
          <w:szCs w:val="32"/>
        </w:rPr>
        <w:t>健康教育</w:t>
      </w:r>
      <w:r>
        <w:rPr>
          <w:rFonts w:hint="eastAsia" w:ascii="仿宋" w:hAnsi="仿宋" w:eastAsia="仿宋" w:cs="仿宋"/>
          <w:b/>
          <w:bCs/>
          <w:sz w:val="32"/>
          <w:szCs w:val="32"/>
        </w:rPr>
        <w:t>：</w:t>
      </w:r>
      <w:r>
        <w:rPr>
          <w:rFonts w:hint="eastAsia" w:ascii="仿宋" w:hAnsi="仿宋" w:eastAsia="仿宋" w:cs="仿宋"/>
          <w:sz w:val="32"/>
          <w:szCs w:val="32"/>
        </w:rPr>
        <w:t>发放健康教育宣传资料</w:t>
      </w:r>
      <w:r>
        <w:rPr>
          <w:rFonts w:hint="eastAsia" w:ascii="仿宋" w:hAnsi="仿宋" w:eastAsia="仿宋" w:cs="仿宋"/>
          <w:sz w:val="32"/>
          <w:szCs w:val="32"/>
          <w:lang w:val="en-US" w:eastAsia="zh-CN"/>
        </w:rPr>
        <w:t>50</w:t>
      </w:r>
      <w:r>
        <w:rPr>
          <w:rFonts w:hint="eastAsia" w:ascii="仿宋" w:hAnsi="仿宋" w:eastAsia="仿宋" w:cs="仿宋"/>
          <w:sz w:val="32"/>
          <w:szCs w:val="32"/>
        </w:rPr>
        <w:t>种</w:t>
      </w:r>
      <w:r>
        <w:rPr>
          <w:rFonts w:hint="eastAsia" w:ascii="仿宋" w:hAnsi="仿宋" w:eastAsia="仿宋" w:cs="仿宋"/>
          <w:sz w:val="32"/>
          <w:szCs w:val="32"/>
          <w:lang w:val="en-US" w:eastAsia="zh-CN"/>
        </w:rPr>
        <w:t>1200余</w:t>
      </w:r>
      <w:r>
        <w:rPr>
          <w:rFonts w:hint="eastAsia" w:ascii="仿宋" w:hAnsi="仿宋" w:eastAsia="仿宋" w:cs="仿宋"/>
          <w:sz w:val="32"/>
          <w:szCs w:val="32"/>
        </w:rPr>
        <w:t>份，播放健康教育影像</w:t>
      </w:r>
      <w:r>
        <w:rPr>
          <w:rFonts w:hint="eastAsia" w:ascii="仿宋" w:hAnsi="仿宋" w:eastAsia="仿宋" w:cs="仿宋"/>
          <w:sz w:val="32"/>
          <w:szCs w:val="32"/>
          <w:lang w:val="en-US" w:eastAsia="zh-CN"/>
        </w:rPr>
        <w:t>32</w:t>
      </w:r>
      <w:r>
        <w:rPr>
          <w:rFonts w:hint="eastAsia" w:ascii="仿宋" w:hAnsi="仿宋" w:eastAsia="仿宋" w:cs="仿宋"/>
          <w:sz w:val="32"/>
          <w:szCs w:val="32"/>
        </w:rPr>
        <w:t>种</w:t>
      </w:r>
      <w:r>
        <w:rPr>
          <w:rFonts w:hint="eastAsia" w:ascii="仿宋" w:hAnsi="仿宋" w:eastAsia="仿宋" w:cs="仿宋"/>
          <w:sz w:val="32"/>
          <w:szCs w:val="32"/>
          <w:lang w:val="en-US" w:eastAsia="zh-CN"/>
        </w:rPr>
        <w:t>58</w:t>
      </w:r>
      <w:r>
        <w:rPr>
          <w:rFonts w:hint="eastAsia" w:ascii="仿宋" w:hAnsi="仿宋" w:eastAsia="仿宋" w:cs="仿宋"/>
          <w:sz w:val="32"/>
          <w:szCs w:val="32"/>
        </w:rPr>
        <w:t>小时，宣传栏更新次数</w:t>
      </w:r>
      <w:r>
        <w:rPr>
          <w:rFonts w:hint="eastAsia" w:ascii="仿宋" w:hAnsi="仿宋" w:eastAsia="仿宋" w:cs="仿宋"/>
          <w:sz w:val="32"/>
          <w:szCs w:val="32"/>
          <w:lang w:val="en-US" w:eastAsia="zh-CN"/>
        </w:rPr>
        <w:t>12</w:t>
      </w:r>
      <w:r>
        <w:rPr>
          <w:rFonts w:hint="eastAsia" w:ascii="仿宋" w:hAnsi="仿宋" w:eastAsia="仿宋" w:cs="仿宋"/>
          <w:sz w:val="32"/>
          <w:szCs w:val="32"/>
        </w:rPr>
        <w:t>次</w:t>
      </w:r>
      <w:r>
        <w:rPr>
          <w:rFonts w:hint="eastAsia" w:ascii="仿宋" w:hAnsi="仿宋" w:eastAsia="仿宋" w:cs="仿宋"/>
          <w:sz w:val="32"/>
          <w:szCs w:val="32"/>
          <w:lang w:eastAsia="zh-CN"/>
        </w:rPr>
        <w:t>。</w:t>
      </w:r>
      <w:r>
        <w:rPr>
          <w:rFonts w:hint="eastAsia" w:ascii="仿宋" w:hAnsi="仿宋" w:eastAsia="仿宋" w:cs="仿宋"/>
          <w:b w:val="0"/>
          <w:bCs w:val="0"/>
          <w:sz w:val="32"/>
          <w:szCs w:val="32"/>
        </w:rPr>
        <w:t>预防接种：应建立预防接种证</w:t>
      </w:r>
      <w:r>
        <w:rPr>
          <w:rFonts w:hint="eastAsia" w:ascii="仿宋" w:hAnsi="仿宋" w:eastAsia="仿宋" w:cs="仿宋"/>
          <w:b w:val="0"/>
          <w:bCs w:val="0"/>
          <w:sz w:val="32"/>
          <w:szCs w:val="32"/>
          <w:lang w:val="en-US" w:eastAsia="zh-CN"/>
        </w:rPr>
        <w:t>87</w:t>
      </w:r>
      <w:r>
        <w:rPr>
          <w:rFonts w:hint="eastAsia" w:ascii="仿宋" w:hAnsi="仿宋" w:eastAsia="仿宋" w:cs="仿宋"/>
          <w:b w:val="0"/>
          <w:bCs w:val="0"/>
          <w:sz w:val="32"/>
          <w:szCs w:val="32"/>
        </w:rPr>
        <w:t>人，实际建立</w:t>
      </w:r>
      <w:r>
        <w:rPr>
          <w:rFonts w:hint="eastAsia" w:ascii="仿宋" w:hAnsi="仿宋" w:eastAsia="仿宋" w:cs="仿宋"/>
          <w:b w:val="0"/>
          <w:bCs w:val="0"/>
          <w:sz w:val="32"/>
          <w:szCs w:val="32"/>
          <w:lang w:val="en-US" w:eastAsia="zh-CN"/>
        </w:rPr>
        <w:t>87</w:t>
      </w:r>
      <w:r>
        <w:rPr>
          <w:rFonts w:hint="eastAsia" w:ascii="仿宋" w:hAnsi="仿宋" w:eastAsia="仿宋" w:cs="仿宋"/>
          <w:b w:val="0"/>
          <w:bCs w:val="0"/>
          <w:sz w:val="32"/>
          <w:szCs w:val="32"/>
        </w:rPr>
        <w:t>人，建证率为</w:t>
      </w:r>
      <w:r>
        <w:rPr>
          <w:rFonts w:hint="eastAsia" w:ascii="仿宋" w:hAnsi="仿宋" w:eastAsia="仿宋" w:cs="仿宋"/>
          <w:b w:val="0"/>
          <w:bCs w:val="0"/>
          <w:sz w:val="32"/>
          <w:szCs w:val="32"/>
          <w:lang w:val="en-US" w:eastAsia="zh-CN"/>
        </w:rPr>
        <w:t>100</w:t>
      </w: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严重精神障碍患者：报告患病率为</w:t>
      </w:r>
      <w:r>
        <w:rPr>
          <w:rFonts w:hint="eastAsia" w:ascii="仿宋" w:hAnsi="仿宋" w:eastAsia="仿宋" w:cs="仿宋"/>
          <w:b w:val="0"/>
          <w:bCs w:val="0"/>
          <w:sz w:val="32"/>
          <w:szCs w:val="32"/>
          <w:lang w:val="en-US" w:eastAsia="zh-CN"/>
        </w:rPr>
        <w:t>4.3</w:t>
      </w: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管理</w:t>
      </w:r>
      <w:r>
        <w:rPr>
          <w:rFonts w:hint="eastAsia" w:ascii="仿宋" w:hAnsi="仿宋" w:eastAsia="仿宋" w:cs="仿宋"/>
          <w:b w:val="0"/>
          <w:bCs w:val="0"/>
          <w:sz w:val="32"/>
          <w:szCs w:val="32"/>
          <w:lang w:val="en-US" w:eastAsia="zh-CN"/>
        </w:rPr>
        <w:t>31人，管理率为100%，</w:t>
      </w:r>
      <w:r>
        <w:rPr>
          <w:rFonts w:hint="eastAsia" w:ascii="仿宋" w:hAnsi="仿宋" w:eastAsia="仿宋" w:cs="仿宋"/>
          <w:b w:val="0"/>
          <w:bCs w:val="0"/>
          <w:sz w:val="32"/>
          <w:szCs w:val="32"/>
        </w:rPr>
        <w:t>规范管理</w:t>
      </w:r>
      <w:r>
        <w:rPr>
          <w:rFonts w:hint="eastAsia" w:ascii="仿宋" w:hAnsi="仿宋" w:eastAsia="仿宋" w:cs="仿宋"/>
          <w:b w:val="0"/>
          <w:bCs w:val="0"/>
          <w:sz w:val="32"/>
          <w:szCs w:val="32"/>
          <w:lang w:val="en-US" w:eastAsia="zh-CN"/>
        </w:rPr>
        <w:t>31</w:t>
      </w:r>
      <w:r>
        <w:rPr>
          <w:rFonts w:hint="eastAsia" w:ascii="仿宋" w:hAnsi="仿宋" w:eastAsia="仿宋" w:cs="仿宋"/>
          <w:b w:val="0"/>
          <w:bCs w:val="0"/>
          <w:sz w:val="32"/>
          <w:szCs w:val="32"/>
        </w:rPr>
        <w:t>人，规范管理率为</w:t>
      </w:r>
      <w:r>
        <w:rPr>
          <w:rFonts w:hint="eastAsia" w:ascii="仿宋" w:hAnsi="仿宋" w:eastAsia="仿宋" w:cs="仿宋"/>
          <w:b w:val="0"/>
          <w:bCs w:val="0"/>
          <w:sz w:val="32"/>
          <w:szCs w:val="32"/>
          <w:lang w:val="en-US" w:eastAsia="zh-CN"/>
        </w:rPr>
        <w:t>90</w:t>
      </w:r>
      <w:r>
        <w:rPr>
          <w:rFonts w:hint="eastAsia" w:ascii="仿宋" w:hAnsi="仿宋" w:eastAsia="仿宋" w:cs="仿宋"/>
          <w:b w:val="0"/>
          <w:bCs w:val="0"/>
          <w:sz w:val="32"/>
          <w:szCs w:val="32"/>
        </w:rPr>
        <w:t>%，面访</w:t>
      </w:r>
      <w:r>
        <w:rPr>
          <w:rFonts w:hint="eastAsia" w:ascii="仿宋" w:hAnsi="仿宋" w:eastAsia="仿宋" w:cs="仿宋"/>
          <w:b w:val="0"/>
          <w:bCs w:val="0"/>
          <w:sz w:val="32"/>
          <w:szCs w:val="32"/>
          <w:lang w:val="en-US" w:eastAsia="zh-CN"/>
        </w:rPr>
        <w:t>31</w:t>
      </w:r>
      <w:r>
        <w:rPr>
          <w:rFonts w:hint="eastAsia" w:ascii="仿宋" w:hAnsi="仿宋" w:eastAsia="仿宋" w:cs="仿宋"/>
          <w:b w:val="0"/>
          <w:bCs w:val="0"/>
          <w:sz w:val="32"/>
          <w:szCs w:val="32"/>
        </w:rPr>
        <w:t>人，面访率为</w:t>
      </w:r>
      <w:r>
        <w:rPr>
          <w:rFonts w:hint="eastAsia" w:ascii="仿宋" w:hAnsi="仿宋" w:eastAsia="仿宋" w:cs="仿宋"/>
          <w:b w:val="0"/>
          <w:bCs w:val="0"/>
          <w:sz w:val="32"/>
          <w:szCs w:val="32"/>
          <w:lang w:val="en-US" w:eastAsia="zh-CN"/>
        </w:rPr>
        <w:t>100</w:t>
      </w:r>
      <w:r>
        <w:rPr>
          <w:rFonts w:hint="eastAsia" w:ascii="仿宋" w:hAnsi="仿宋" w:eastAsia="仿宋" w:cs="仿宋"/>
          <w:b w:val="0"/>
          <w:bCs w:val="0"/>
          <w:sz w:val="32"/>
          <w:szCs w:val="32"/>
        </w:rPr>
        <w:t>%，服药人数</w:t>
      </w:r>
      <w:r>
        <w:rPr>
          <w:rFonts w:hint="eastAsia" w:ascii="仿宋" w:hAnsi="仿宋" w:eastAsia="仿宋" w:cs="仿宋"/>
          <w:b w:val="0"/>
          <w:bCs w:val="0"/>
          <w:sz w:val="32"/>
          <w:szCs w:val="32"/>
          <w:lang w:val="en-US" w:eastAsia="zh-CN"/>
        </w:rPr>
        <w:t>21</w:t>
      </w:r>
      <w:r>
        <w:rPr>
          <w:rFonts w:hint="eastAsia" w:ascii="仿宋" w:hAnsi="仿宋" w:eastAsia="仿宋" w:cs="仿宋"/>
          <w:b w:val="0"/>
          <w:bCs w:val="0"/>
          <w:sz w:val="32"/>
          <w:szCs w:val="32"/>
        </w:rPr>
        <w:t>人，规律服药</w:t>
      </w:r>
      <w:r>
        <w:rPr>
          <w:rFonts w:hint="eastAsia" w:ascii="仿宋" w:hAnsi="仿宋" w:eastAsia="仿宋" w:cs="仿宋"/>
          <w:b w:val="0"/>
          <w:bCs w:val="0"/>
          <w:sz w:val="32"/>
          <w:szCs w:val="32"/>
          <w:lang w:val="en-US" w:eastAsia="zh-CN"/>
        </w:rPr>
        <w:t>21</w:t>
      </w:r>
      <w:r>
        <w:rPr>
          <w:rFonts w:hint="eastAsia" w:ascii="仿宋" w:hAnsi="仿宋" w:eastAsia="仿宋" w:cs="仿宋"/>
          <w:b w:val="0"/>
          <w:bCs w:val="0"/>
          <w:sz w:val="32"/>
          <w:szCs w:val="32"/>
        </w:rPr>
        <w:t>人，</w:t>
      </w:r>
      <w:r>
        <w:rPr>
          <w:rFonts w:hint="eastAsia" w:ascii="仿宋" w:hAnsi="仿宋" w:eastAsia="仿宋" w:cs="仿宋"/>
          <w:b w:val="0"/>
          <w:bCs w:val="0"/>
          <w:sz w:val="32"/>
          <w:szCs w:val="32"/>
          <w:lang w:eastAsia="zh-CN"/>
        </w:rPr>
        <w:t>服药率为</w:t>
      </w:r>
      <w:r>
        <w:rPr>
          <w:rFonts w:hint="eastAsia" w:ascii="仿宋" w:hAnsi="仿宋" w:eastAsia="仿宋" w:cs="仿宋"/>
          <w:b w:val="0"/>
          <w:bCs w:val="0"/>
          <w:sz w:val="32"/>
          <w:szCs w:val="32"/>
          <w:lang w:val="en-US" w:eastAsia="zh-CN"/>
        </w:rPr>
        <w:t>67.7%，</w:t>
      </w:r>
      <w:r>
        <w:rPr>
          <w:rFonts w:hint="eastAsia" w:ascii="仿宋" w:hAnsi="仿宋" w:eastAsia="仿宋" w:cs="仿宋"/>
          <w:b w:val="0"/>
          <w:bCs w:val="0"/>
          <w:sz w:val="32"/>
          <w:szCs w:val="32"/>
        </w:rPr>
        <w:t>规律服药率为</w:t>
      </w:r>
      <w:r>
        <w:rPr>
          <w:rFonts w:hint="eastAsia" w:ascii="仿宋" w:hAnsi="仿宋" w:eastAsia="仿宋" w:cs="仿宋"/>
          <w:b w:val="0"/>
          <w:bCs w:val="0"/>
          <w:sz w:val="32"/>
          <w:szCs w:val="32"/>
          <w:lang w:val="en-US" w:eastAsia="zh-CN"/>
        </w:rPr>
        <w:t>67.7</w:t>
      </w: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w:t>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rPr>
        <w:t>卫生计生监督协管：</w:t>
      </w:r>
      <w:r>
        <w:rPr>
          <w:rFonts w:hint="eastAsia" w:ascii="仿宋" w:hAnsi="仿宋" w:eastAsia="仿宋" w:cs="仿宋"/>
          <w:b w:val="0"/>
          <w:bCs w:val="0"/>
          <w:sz w:val="32"/>
          <w:szCs w:val="32"/>
        </w:rPr>
        <w:t>发现的事件或线索次数</w:t>
      </w: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个，报告</w:t>
      </w: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个，信息报告率为100%，协助开展的食源性疾病、饮用水卫生安全、学校卫生、非法行医和非法采供血、计划生育实地巡查次数为</w:t>
      </w:r>
      <w:r>
        <w:rPr>
          <w:rFonts w:hint="eastAsia" w:ascii="仿宋" w:hAnsi="仿宋" w:eastAsia="仿宋" w:cs="仿宋"/>
          <w:b w:val="0"/>
          <w:bCs w:val="0"/>
          <w:sz w:val="32"/>
          <w:szCs w:val="32"/>
          <w:lang w:val="en-US" w:eastAsia="zh-CN"/>
        </w:rPr>
        <w:t>60</w:t>
      </w:r>
      <w:r>
        <w:rPr>
          <w:rFonts w:hint="eastAsia" w:ascii="仿宋" w:hAnsi="仿宋" w:eastAsia="仿宋" w:cs="仿宋"/>
          <w:b w:val="0"/>
          <w:bCs w:val="0"/>
          <w:sz w:val="32"/>
          <w:szCs w:val="32"/>
        </w:rPr>
        <w:t>次</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传染病及突发公共卫生事件管理：登记传染病数</w:t>
      </w: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例，网络报告</w:t>
      </w: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例，报告率为100%，报告传染病病例数</w:t>
      </w: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例，报告及时</w:t>
      </w: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例，传染病疫情报告及时率为100%</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肺结核健康管理：辖区同期内经上级定点医疗机构确诊并通知基层医疗卫生机构管理的肺结核患者人数为</w:t>
      </w:r>
      <w:r>
        <w:rPr>
          <w:rFonts w:hint="eastAsia" w:ascii="仿宋" w:hAnsi="仿宋" w:eastAsia="仿宋" w:cs="仿宋"/>
          <w:b w:val="0"/>
          <w:bCs w:val="0"/>
          <w:sz w:val="32"/>
          <w:szCs w:val="32"/>
          <w:lang w:val="en-US" w:eastAsia="zh-CN"/>
        </w:rPr>
        <w:t>10</w:t>
      </w:r>
      <w:r>
        <w:rPr>
          <w:rFonts w:hint="eastAsia" w:ascii="仿宋" w:hAnsi="仿宋" w:eastAsia="仿宋" w:cs="仿宋"/>
          <w:b w:val="0"/>
          <w:bCs w:val="0"/>
          <w:sz w:val="32"/>
          <w:szCs w:val="32"/>
        </w:rPr>
        <w:t>人，已管理</w:t>
      </w:r>
      <w:r>
        <w:rPr>
          <w:rFonts w:hint="eastAsia" w:ascii="仿宋" w:hAnsi="仿宋" w:eastAsia="仿宋" w:cs="仿宋"/>
          <w:b w:val="0"/>
          <w:bCs w:val="0"/>
          <w:sz w:val="32"/>
          <w:szCs w:val="32"/>
          <w:lang w:val="en-US" w:eastAsia="zh-CN"/>
        </w:rPr>
        <w:t>10</w:t>
      </w:r>
      <w:r>
        <w:rPr>
          <w:rFonts w:hint="eastAsia" w:ascii="仿宋" w:hAnsi="仿宋" w:eastAsia="仿宋" w:cs="仿宋"/>
          <w:b w:val="0"/>
          <w:bCs w:val="0"/>
          <w:sz w:val="32"/>
          <w:szCs w:val="32"/>
        </w:rPr>
        <w:t>人，管理率为</w:t>
      </w:r>
      <w:r>
        <w:rPr>
          <w:rFonts w:hint="eastAsia" w:ascii="仿宋" w:hAnsi="仿宋" w:eastAsia="仿宋" w:cs="仿宋"/>
          <w:b w:val="0"/>
          <w:bCs w:val="0"/>
          <w:sz w:val="32"/>
          <w:szCs w:val="32"/>
          <w:lang w:val="en-US" w:eastAsia="zh-CN"/>
        </w:rPr>
        <w:t>100</w:t>
      </w: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按照要求规则服药的肺结核患者人数</w:t>
      </w:r>
      <w:r>
        <w:rPr>
          <w:rFonts w:hint="eastAsia" w:ascii="仿宋" w:hAnsi="仿宋" w:eastAsia="仿宋" w:cs="仿宋"/>
          <w:b w:val="0"/>
          <w:bCs w:val="0"/>
          <w:sz w:val="32"/>
          <w:szCs w:val="32"/>
          <w:lang w:val="en-US" w:eastAsia="zh-CN"/>
        </w:rPr>
        <w:t>10</w:t>
      </w:r>
      <w:r>
        <w:rPr>
          <w:rFonts w:hint="eastAsia" w:ascii="仿宋" w:hAnsi="仿宋" w:eastAsia="仿宋" w:cs="仿宋"/>
          <w:b w:val="0"/>
          <w:bCs w:val="0"/>
          <w:sz w:val="32"/>
          <w:szCs w:val="32"/>
        </w:rPr>
        <w:t>人，规则服药率为100%</w:t>
      </w:r>
      <w:r>
        <w:rPr>
          <w:rFonts w:hint="eastAsia" w:ascii="仿宋" w:hAnsi="仿宋" w:eastAsia="仿宋" w:cs="仿宋"/>
          <w:b w:val="0"/>
          <w:bCs w:val="0"/>
          <w:sz w:val="32"/>
          <w:szCs w:val="32"/>
          <w:lang w:eastAsia="zh-CN"/>
        </w:rPr>
        <w:t>；</w:t>
      </w:r>
    </w:p>
    <w:p w14:paraId="05821644">
      <w:pPr>
        <w:spacing w:line="560" w:lineRule="exact"/>
        <w:ind w:firstLine="643" w:firstLineChars="200"/>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（二）项目效益情况。</w:t>
      </w:r>
    </w:p>
    <w:p w14:paraId="371A340C">
      <w:pPr>
        <w:spacing w:line="600" w:lineRule="exact"/>
        <w:ind w:firstLine="640" w:firstLineChars="200"/>
        <w:rPr>
          <w:rFonts w:hint="eastAsia" w:ascii="仿宋" w:hAnsi="仿宋" w:eastAsia="仿宋" w:cs="仿宋"/>
          <w:b/>
          <w:color w:val="000000"/>
          <w:sz w:val="32"/>
          <w:szCs w:val="32"/>
        </w:rPr>
      </w:pPr>
      <w:r>
        <w:rPr>
          <w:rFonts w:hint="eastAsia" w:ascii="仿宋" w:hAnsi="仿宋" w:eastAsia="仿宋" w:cs="仿宋"/>
          <w:color w:val="000000"/>
          <w:sz w:val="32"/>
          <w:szCs w:val="32"/>
          <w:lang w:eastAsia="zh-CN"/>
        </w:rPr>
        <w:t>盐边县温泉彝族乡卫生院和村卫生室</w:t>
      </w:r>
      <w:r>
        <w:rPr>
          <w:rFonts w:hint="eastAsia" w:ascii="仿宋" w:hAnsi="仿宋" w:eastAsia="仿宋" w:cs="仿宋"/>
          <w:color w:val="000000"/>
          <w:sz w:val="32"/>
          <w:szCs w:val="32"/>
        </w:rPr>
        <w:t>认真组织开展“国家基本公共卫生服务项目宣传月”活动。按照省、市卫生</w:t>
      </w:r>
      <w:r>
        <w:rPr>
          <w:rFonts w:hint="eastAsia" w:ascii="仿宋" w:hAnsi="仿宋" w:eastAsia="仿宋" w:cs="仿宋"/>
          <w:color w:val="000000"/>
          <w:sz w:val="32"/>
          <w:szCs w:val="32"/>
          <w:lang w:eastAsia="zh-CN"/>
        </w:rPr>
        <w:t>健康</w:t>
      </w:r>
      <w:r>
        <w:rPr>
          <w:rFonts w:hint="eastAsia" w:ascii="仿宋" w:hAnsi="仿宋" w:eastAsia="仿宋" w:cs="仿宋"/>
          <w:color w:val="000000"/>
          <w:sz w:val="32"/>
          <w:szCs w:val="32"/>
        </w:rPr>
        <w:t>委的统一部署，开展好“世界家庭医生日”、“国家基本公共卫生宣传月活动”。大力宣传“三减三健”（减盐、减油、减糖，健康体重、健康骨骼、健康口腔），促进居民养成健康的生活方式。推动项目“七进”活动（进社区、进农村、进学校、进机关、进企业、进寺庙、进家庭）。利用电视、广播、网络、微信、报刊、展板、宣传折页、宣传标语等传统媒体和新兴媒介，以群众喜闻乐见的方式加大宣传力度，为项目实施营造良好舆论氛围。配合宣传活动，向居民发放控盐勺、腰围尺、控油壶等实用的健康干预工具，并指导居民使用，提高群众对基本公共卫生服务项目的参与积极性。基层医疗卫生机构在辖区和机构内显著位置公示项目免费政策、服务项目等内容。采用广播、电视、手机短信、微信公众平台等新闻媒体将机构情况、基本公共卫生服务内容、服务信息、反馈信息和提醒信息等及时全面传递给服务对象。</w:t>
      </w:r>
    </w:p>
    <w:p w14:paraId="7F6EB261">
      <w:pPr>
        <w:spacing w:line="56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五、评价结论及建议</w:t>
      </w:r>
    </w:p>
    <w:p w14:paraId="7D8CD4D2">
      <w:pPr>
        <w:spacing w:line="560" w:lineRule="exact"/>
        <w:ind w:firstLine="643" w:firstLineChars="200"/>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（一）评价结论。</w:t>
      </w:r>
    </w:p>
    <w:p w14:paraId="68AAC9B3">
      <w:pPr>
        <w:pStyle w:val="7"/>
        <w:numPr>
          <w:ilvl w:val="0"/>
          <w:numId w:val="0"/>
        </w:numPr>
        <w:spacing w:line="600" w:lineRule="exact"/>
        <w:jc w:val="left"/>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 xml:space="preserve">    2020年基本公共卫生服务能力得到提升，基本公共卫生服务项目得到有序进行，老百姓获得感不断增强，群众满意度在逐年提高。人民群众健康意识进一步得到增强，使人人享受到基本公共卫生服务带来的健康实惠。项目总体指标完成较好，均能完成评价指标，达到预期值。</w:t>
      </w:r>
    </w:p>
    <w:p w14:paraId="06FE0207">
      <w:pPr>
        <w:spacing w:line="560" w:lineRule="exact"/>
        <w:ind w:firstLine="643" w:firstLineChars="200"/>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（二）存在的问题。</w:t>
      </w:r>
    </w:p>
    <w:p w14:paraId="2D8619C8">
      <w:pPr>
        <w:spacing w:line="56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b w:val="0"/>
          <w:bCs w:val="0"/>
          <w:sz w:val="32"/>
          <w:szCs w:val="32"/>
          <w:lang w:val="en-US" w:eastAsia="zh-CN"/>
        </w:rPr>
        <w:t>1.</w:t>
      </w:r>
      <w:r>
        <w:rPr>
          <w:rFonts w:hint="eastAsia" w:ascii="仿宋" w:hAnsi="仿宋" w:eastAsia="仿宋" w:cs="仿宋"/>
          <w:color w:val="000000"/>
          <w:sz w:val="32"/>
          <w:szCs w:val="32"/>
          <w:lang w:val="en-US" w:eastAsia="zh-CN"/>
        </w:rPr>
        <w:t>资金下拨迟缓。项目资金由中央、省、县三级构成</w:t>
      </w:r>
      <w:r>
        <w:rPr>
          <w:rFonts w:hint="eastAsia" w:ascii="仿宋" w:hAnsi="仿宋" w:eastAsia="仿宋" w:cs="仿宋"/>
          <w:b w:val="0"/>
          <w:bCs w:val="0"/>
          <w:color w:val="000000"/>
          <w:sz w:val="32"/>
          <w:szCs w:val="32"/>
          <w:lang w:val="en-US" w:eastAsia="zh-CN"/>
        </w:rPr>
        <w:t>，</w:t>
      </w:r>
      <w:r>
        <w:rPr>
          <w:rFonts w:hint="eastAsia" w:ascii="仿宋" w:hAnsi="仿宋" w:eastAsia="仿宋" w:cs="仿宋"/>
          <w:color w:val="000000"/>
          <w:sz w:val="32"/>
          <w:szCs w:val="32"/>
          <w:lang w:val="en-US" w:eastAsia="zh-CN"/>
        </w:rPr>
        <w:t>拨付到村卫生室不及时，没有发挥专项资金的高效率作用，不利于项目的实施。</w:t>
      </w:r>
      <w:r>
        <w:rPr>
          <w:rFonts w:hint="eastAsia" w:ascii="仿宋" w:hAnsi="仿宋" w:eastAsia="仿宋" w:cs="仿宋"/>
          <w:color w:val="000000"/>
          <w:sz w:val="32"/>
          <w:szCs w:val="32"/>
          <w:lang w:val="en-US" w:eastAsia="zh-CN"/>
        </w:rPr>
        <w:br w:type="textWrapping"/>
      </w:r>
      <w:r>
        <w:rPr>
          <w:rFonts w:hint="eastAsia" w:ascii="仿宋" w:hAnsi="仿宋" w:eastAsia="仿宋" w:cs="仿宋"/>
          <w:color w:val="000000"/>
          <w:sz w:val="32"/>
          <w:szCs w:val="32"/>
          <w:lang w:val="en-US" w:eastAsia="zh-CN"/>
        </w:rPr>
        <w:t xml:space="preserve">    2.资金拨付需和绩效考核挂钩，基本公共卫生服务项目绩效考核工作量大，信息化程度薄弱，多数考核数据需人工提取，导致考核时间长。</w:t>
      </w:r>
    </w:p>
    <w:p w14:paraId="4D5A479E">
      <w:pPr>
        <w:spacing w:line="560" w:lineRule="exact"/>
        <w:ind w:firstLine="643" w:firstLineChars="200"/>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（三）相关建议。</w:t>
      </w:r>
    </w:p>
    <w:p w14:paraId="149586F5">
      <w:pPr>
        <w:spacing w:line="60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1.加强基层信息化建设投入，特别是基层医疗卫生机构基本公共卫生服务项目和基本医疗信息的有效整合，促进项目实施的监督管理。</w:t>
      </w:r>
      <w:r>
        <w:rPr>
          <w:rFonts w:hint="eastAsia" w:ascii="仿宋" w:hAnsi="仿宋" w:eastAsia="仿宋" w:cs="仿宋"/>
          <w:color w:val="000000"/>
          <w:sz w:val="32"/>
          <w:szCs w:val="32"/>
          <w:lang w:val="en-US" w:eastAsia="zh-CN"/>
        </w:rPr>
        <w:br w:type="textWrapping"/>
      </w:r>
      <w:r>
        <w:rPr>
          <w:rFonts w:hint="eastAsia" w:ascii="仿宋" w:hAnsi="仿宋" w:eastAsia="仿宋" w:cs="仿宋"/>
          <w:color w:val="000000"/>
          <w:sz w:val="32"/>
          <w:szCs w:val="32"/>
          <w:lang w:val="en-US" w:eastAsia="zh-CN"/>
        </w:rPr>
        <w:t xml:space="preserve">    2.加快建立健全工作机制，强化工作职责，加强对项目资金的管理，及时分析汇总存在问题，采取有效措施，确保项目工作全面有序健康发展。</w:t>
      </w:r>
      <w:bookmarkStart w:id="92" w:name="_Toc15396618"/>
      <w:bookmarkStart w:id="93" w:name="_Toc52180099"/>
    </w:p>
    <w:p w14:paraId="4595B8E8">
      <w:pPr>
        <w:spacing w:line="600" w:lineRule="exact"/>
        <w:ind w:firstLine="640" w:firstLineChars="200"/>
        <w:rPr>
          <w:rFonts w:hint="eastAsia" w:ascii="仿宋" w:hAnsi="仿宋" w:eastAsia="仿宋" w:cs="仿宋"/>
          <w:color w:val="000000"/>
          <w:sz w:val="32"/>
          <w:szCs w:val="32"/>
          <w:lang w:val="en-US" w:eastAsia="zh-CN"/>
        </w:rPr>
      </w:pPr>
    </w:p>
    <w:p w14:paraId="59772175">
      <w:pPr>
        <w:spacing w:line="600" w:lineRule="exact"/>
        <w:ind w:firstLine="640" w:firstLineChars="200"/>
        <w:rPr>
          <w:rFonts w:hint="eastAsia" w:ascii="仿宋" w:hAnsi="仿宋" w:eastAsia="仿宋" w:cs="仿宋"/>
          <w:color w:val="000000"/>
          <w:sz w:val="32"/>
          <w:szCs w:val="32"/>
          <w:lang w:val="en-US" w:eastAsia="zh-CN"/>
        </w:rPr>
      </w:pPr>
    </w:p>
    <w:p w14:paraId="0015E2ED">
      <w:pPr>
        <w:spacing w:line="0" w:lineRule="atLeast"/>
        <w:jc w:val="center"/>
        <w:rPr>
          <w:rFonts w:hint="eastAsia" w:ascii="方正小标宋_GBK" w:hAnsi="宋体" w:eastAsia="方正小标宋_GBK" w:cs="方正小标宋简体"/>
          <w:b/>
          <w:color w:val="000000"/>
          <w:kern w:val="0"/>
          <w:sz w:val="38"/>
          <w:szCs w:val="38"/>
          <w:lang w:eastAsia="zh-CN"/>
        </w:rPr>
      </w:pPr>
      <w:r>
        <w:rPr>
          <w:rFonts w:hint="eastAsia" w:ascii="方正小标宋_GBK" w:hAnsi="宋体" w:eastAsia="方正小标宋_GBK"/>
          <w:b/>
          <w:color w:val="000000"/>
          <w:kern w:val="0"/>
          <w:sz w:val="38"/>
          <w:szCs w:val="38"/>
        </w:rPr>
        <w:t>盐边县</w:t>
      </w:r>
      <w:r>
        <w:rPr>
          <w:rFonts w:hint="eastAsia" w:ascii="方正小标宋_GBK" w:hAnsi="宋体" w:eastAsia="方正小标宋_GBK"/>
          <w:b/>
          <w:color w:val="000000"/>
          <w:kern w:val="0"/>
          <w:sz w:val="38"/>
          <w:szCs w:val="38"/>
          <w:lang w:eastAsia="zh-CN"/>
        </w:rPr>
        <w:t>温泉彝族乡</w:t>
      </w:r>
      <w:r>
        <w:rPr>
          <w:rFonts w:hint="eastAsia" w:ascii="方正小标宋_GBK" w:hAnsi="宋体" w:eastAsia="方正小标宋_GBK"/>
          <w:b/>
          <w:color w:val="000000"/>
          <w:kern w:val="0"/>
          <w:sz w:val="38"/>
          <w:szCs w:val="38"/>
        </w:rPr>
        <w:t>卫生院</w:t>
      </w:r>
      <w:r>
        <w:rPr>
          <w:rFonts w:hint="eastAsia" w:ascii="方正小标宋_GBK" w:hAnsi="宋体" w:eastAsia="方正小标宋_GBK" w:cs="方正小标宋简体"/>
          <w:b/>
          <w:color w:val="000000"/>
          <w:kern w:val="0"/>
          <w:sz w:val="38"/>
          <w:szCs w:val="38"/>
          <w:lang w:eastAsia="zh-CN"/>
        </w:rPr>
        <w:t>事业发展资金</w:t>
      </w:r>
    </w:p>
    <w:p w14:paraId="128A1915">
      <w:pPr>
        <w:spacing w:line="0" w:lineRule="atLeast"/>
        <w:jc w:val="center"/>
        <w:rPr>
          <w:rFonts w:ascii="方正小标宋_GBK" w:hAnsi="宋体" w:eastAsia="方正小标宋_GBK"/>
          <w:b/>
          <w:color w:val="000000"/>
          <w:kern w:val="0"/>
          <w:sz w:val="38"/>
          <w:szCs w:val="38"/>
          <w:lang w:val="zh-CN"/>
        </w:rPr>
      </w:pPr>
      <w:r>
        <w:rPr>
          <w:rFonts w:hint="eastAsia" w:ascii="方正小标宋_GBK" w:hAnsi="宋体" w:eastAsia="方正小标宋_GBK"/>
          <w:b/>
          <w:color w:val="000000"/>
          <w:kern w:val="0"/>
          <w:sz w:val="38"/>
          <w:szCs w:val="38"/>
        </w:rPr>
        <w:t>2020年</w:t>
      </w:r>
      <w:r>
        <w:rPr>
          <w:rFonts w:hint="eastAsia" w:ascii="方正小标宋_GBK" w:hAnsi="宋体" w:eastAsia="方正小标宋_GBK"/>
          <w:b/>
          <w:color w:val="000000"/>
          <w:kern w:val="0"/>
          <w:sz w:val="38"/>
          <w:szCs w:val="38"/>
          <w:lang w:val="zh-CN"/>
        </w:rPr>
        <w:t>绩效评价报告</w:t>
      </w:r>
    </w:p>
    <w:p w14:paraId="6C9292BC">
      <w:pPr>
        <w:spacing w:line="600" w:lineRule="exact"/>
        <w:jc w:val="center"/>
        <w:outlineLvl w:val="0"/>
        <w:rPr>
          <w:rFonts w:hint="eastAsia" w:ascii="黑体" w:hAnsi="黑体" w:eastAsia="黑体"/>
          <w:color w:val="000000"/>
          <w:sz w:val="44"/>
          <w:szCs w:val="44"/>
        </w:rPr>
      </w:pPr>
    </w:p>
    <w:p w14:paraId="357330E7">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一、项目概况</w:t>
      </w:r>
    </w:p>
    <w:p w14:paraId="25E6FD27">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（一）项目基本情况。</w:t>
      </w:r>
    </w:p>
    <w:p w14:paraId="5690BA87">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1.说明项目主管部门（单位）在该项目管理中的职能。</w:t>
      </w:r>
    </w:p>
    <w:p w14:paraId="074198AA">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主管部门盐边县卫生健康局在项目管理中主要承担监管及资金拨付计划申报及审核职责。</w:t>
      </w:r>
    </w:p>
    <w:p w14:paraId="65BD7A35">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2.项目立项、资金申报的依据。</w:t>
      </w:r>
    </w:p>
    <w:p w14:paraId="365B85C8">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该项目资金依据为：</w:t>
      </w:r>
      <w:r>
        <w:rPr>
          <w:rFonts w:hint="eastAsia" w:ascii="仿宋" w:hAnsi="仿宋" w:eastAsia="仿宋" w:cs="仿宋"/>
          <w:sz w:val="32"/>
          <w:szCs w:val="32"/>
        </w:rPr>
        <w:t>《中华人民共和国预算法》《财政部国家卫生计生委国家中医药局关于加强公立医院财务和预算管理的指导意见》（财社〔2015〕263号）</w:t>
      </w:r>
      <w:r>
        <w:rPr>
          <w:rFonts w:hint="eastAsia" w:ascii="仿宋" w:hAnsi="仿宋" w:eastAsia="仿宋" w:cs="仿宋"/>
          <w:sz w:val="32"/>
          <w:szCs w:val="32"/>
          <w:lang w:eastAsia="zh-CN"/>
        </w:rPr>
        <w:t>。</w:t>
      </w:r>
    </w:p>
    <w:p w14:paraId="1D0C1257">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3.资金管理办法制定情况，资金支持具体项目的条件、范围与支持方式概况。</w:t>
      </w:r>
    </w:p>
    <w:p w14:paraId="5DB5AEE0">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sz w:val="32"/>
          <w:szCs w:val="32"/>
          <w:lang w:eastAsia="zh-CN"/>
        </w:rPr>
        <w:t>按照</w:t>
      </w:r>
      <w:r>
        <w:rPr>
          <w:rFonts w:hint="eastAsia" w:ascii="仿宋" w:hAnsi="仿宋" w:eastAsia="仿宋" w:cs="仿宋"/>
          <w:sz w:val="32"/>
          <w:szCs w:val="32"/>
        </w:rPr>
        <w:t>县财政局《关于将全县医疗卫生机构事业收支纳入财政预算管理的通知》（盐边财政〔2020〕101号）</w:t>
      </w:r>
      <w:r>
        <w:rPr>
          <w:rFonts w:hint="eastAsia" w:ascii="仿宋" w:hAnsi="仿宋" w:eastAsia="仿宋" w:cs="仿宋"/>
          <w:sz w:val="32"/>
          <w:szCs w:val="32"/>
          <w:lang w:eastAsia="zh-CN"/>
        </w:rPr>
        <w:t>及《</w:t>
      </w:r>
      <w:r>
        <w:rPr>
          <w:rFonts w:hint="eastAsia" w:ascii="仿宋" w:hAnsi="仿宋" w:eastAsia="仿宋" w:cs="仿宋"/>
          <w:color w:val="000000"/>
          <w:kern w:val="0"/>
          <w:sz w:val="32"/>
          <w:szCs w:val="32"/>
          <w:lang w:val="en-US" w:eastAsia="zh-CN" w:bidi="ar"/>
        </w:rPr>
        <w:t>盐边县医疗事业收支纳入财政预算管理操作流程</w:t>
      </w:r>
      <w:r>
        <w:rPr>
          <w:rFonts w:hint="eastAsia" w:ascii="仿宋" w:hAnsi="仿宋" w:eastAsia="仿宋" w:cs="仿宋"/>
          <w:sz w:val="32"/>
          <w:szCs w:val="32"/>
          <w:lang w:eastAsia="zh-CN"/>
        </w:rPr>
        <w:t>》要求，</w:t>
      </w:r>
      <w:r>
        <w:rPr>
          <w:rFonts w:hint="eastAsia" w:ascii="仿宋" w:hAnsi="仿宋" w:eastAsia="仿宋" w:cs="仿宋"/>
          <w:color w:val="000000"/>
          <w:kern w:val="0"/>
          <w:sz w:val="32"/>
          <w:szCs w:val="32"/>
          <w:lang w:val="en-US" w:eastAsia="zh-CN" w:bidi="ar"/>
        </w:rPr>
        <w:t>医疗机构适时将收到的事业收入资金直接划拨至县财政局金库（特殊大额资金可临时增加资金划拨次数）。县财政局通过财政管理信息系统（即大平台系统）将收到的医疗机构事业收入资金下达、划拨至各医疗机构。</w:t>
      </w:r>
    </w:p>
    <w:p w14:paraId="6E16022C">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4.资金分配的原则及考虑因素。</w:t>
      </w:r>
    </w:p>
    <w:p w14:paraId="50939E07">
      <w:pPr>
        <w:pStyle w:val="5"/>
        <w:spacing w:line="590" w:lineRule="exact"/>
        <w:ind w:firstLine="640" w:firstLineChars="200"/>
        <w:rPr>
          <w:rFonts w:hint="eastAsia" w:ascii="仿宋" w:hAnsi="仿宋" w:eastAsia="仿宋" w:cs="仿宋"/>
          <w:color w:val="000000"/>
          <w:kern w:val="0"/>
          <w:sz w:val="32"/>
          <w:szCs w:val="32"/>
          <w:lang w:val="en-US" w:eastAsia="zh-CN" w:bidi="ar"/>
        </w:rPr>
      </w:pPr>
      <w:r>
        <w:rPr>
          <w:rFonts w:hint="eastAsia" w:ascii="仿宋" w:hAnsi="仿宋" w:eastAsia="仿宋" w:cs="仿宋"/>
          <w:sz w:val="32"/>
          <w:szCs w:val="32"/>
        </w:rPr>
        <w:t>为规范全县医疗卫生机构收支预算管理，</w:t>
      </w:r>
      <w:r>
        <w:rPr>
          <w:rFonts w:hint="eastAsia" w:ascii="仿宋" w:hAnsi="仿宋" w:eastAsia="仿宋" w:cs="仿宋"/>
          <w:color w:val="000000"/>
          <w:kern w:val="0"/>
          <w:sz w:val="32"/>
          <w:szCs w:val="32"/>
          <w:lang w:val="en-US" w:eastAsia="zh-CN" w:bidi="ar"/>
        </w:rPr>
        <w:t>结合各医疗机构上年度事业收入情况测算，</w:t>
      </w:r>
      <w:r>
        <w:rPr>
          <w:rFonts w:hint="eastAsia" w:ascii="仿宋" w:hAnsi="仿宋" w:eastAsia="仿宋" w:cs="仿宋"/>
          <w:kern w:val="2"/>
          <w:sz w:val="32"/>
          <w:szCs w:val="32"/>
        </w:rPr>
        <w:t>按照“以收定支”的原则</w:t>
      </w:r>
      <w:r>
        <w:rPr>
          <w:rFonts w:hint="eastAsia" w:ascii="仿宋" w:hAnsi="仿宋" w:eastAsia="仿宋" w:cs="仿宋"/>
          <w:kern w:val="2"/>
          <w:sz w:val="32"/>
          <w:szCs w:val="32"/>
          <w:lang w:eastAsia="zh-CN"/>
        </w:rPr>
        <w:t>，</w:t>
      </w:r>
      <w:r>
        <w:rPr>
          <w:rFonts w:hint="eastAsia" w:ascii="仿宋" w:hAnsi="仿宋" w:eastAsia="仿宋" w:cs="仿宋"/>
          <w:color w:val="000000"/>
          <w:kern w:val="0"/>
          <w:sz w:val="32"/>
          <w:szCs w:val="32"/>
          <w:lang w:val="en-US" w:eastAsia="zh-CN" w:bidi="ar"/>
        </w:rPr>
        <w:t>分配下达各单位各单位医疗收入上缴预算数。</w:t>
      </w:r>
      <w:r>
        <w:rPr>
          <w:rFonts w:hint="eastAsia" w:ascii="仿宋" w:hAnsi="仿宋" w:eastAsia="仿宋" w:cs="仿宋"/>
          <w:sz w:val="32"/>
          <w:szCs w:val="32"/>
        </w:rPr>
        <w:t>在保障医疗卫生机构正常运转，不大幅增加医疗卫生机构工作量的基础上，</w:t>
      </w:r>
      <w:r>
        <w:rPr>
          <w:rFonts w:hint="eastAsia" w:ascii="仿宋" w:hAnsi="仿宋" w:eastAsia="仿宋" w:cs="仿宋"/>
          <w:sz w:val="32"/>
          <w:szCs w:val="32"/>
          <w:lang w:eastAsia="zh-CN"/>
        </w:rPr>
        <w:t>各医疗机构</w:t>
      </w:r>
      <w:r>
        <w:rPr>
          <w:rFonts w:hint="eastAsia" w:ascii="仿宋" w:hAnsi="仿宋" w:eastAsia="仿宋" w:cs="仿宋"/>
          <w:sz w:val="32"/>
          <w:szCs w:val="32"/>
        </w:rPr>
        <w:t>医疗事业收入和支出全部纳入县级财政预算收支管理。</w:t>
      </w:r>
    </w:p>
    <w:p w14:paraId="69E67AE6">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（二）项目绩效目标。</w:t>
      </w:r>
    </w:p>
    <w:p w14:paraId="0A713338">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1.项目主要内容。</w:t>
      </w:r>
      <w:r>
        <w:rPr>
          <w:rFonts w:hint="eastAsia" w:ascii="仿宋" w:hAnsi="仿宋" w:eastAsia="仿宋" w:cs="仿宋"/>
          <w:sz w:val="32"/>
          <w:szCs w:val="32"/>
          <w:lang w:eastAsia="zh-CN"/>
        </w:rPr>
        <w:t>医疗机构</w:t>
      </w:r>
      <w:r>
        <w:rPr>
          <w:rFonts w:hint="eastAsia" w:ascii="仿宋" w:hAnsi="仿宋" w:eastAsia="仿宋" w:cs="仿宋"/>
          <w:color w:val="000000"/>
          <w:kern w:val="0"/>
          <w:sz w:val="32"/>
          <w:szCs w:val="32"/>
          <w:lang w:val="en-US" w:eastAsia="zh-CN" w:bidi="ar"/>
        </w:rPr>
        <w:t>医疗事业收入和支出全部纳入县级财政预算收支管理</w:t>
      </w:r>
      <w:r>
        <w:rPr>
          <w:rFonts w:hint="eastAsia" w:ascii="仿宋" w:hAnsi="仿宋" w:eastAsia="仿宋" w:cs="仿宋"/>
          <w:sz w:val="32"/>
          <w:szCs w:val="32"/>
          <w:lang w:eastAsia="zh-CN"/>
        </w:rPr>
        <w:t>。</w:t>
      </w:r>
    </w:p>
    <w:p w14:paraId="3A4D52DF">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2.项目应实现的具体绩效目标，包括目标的量化、细化情况以及项目实施进度计划等。</w:t>
      </w:r>
    </w:p>
    <w:p w14:paraId="40E08CE8">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eastAsia="zh-CN"/>
        </w:rPr>
        <w:t>本乡镇</w:t>
      </w:r>
      <w:r>
        <w:rPr>
          <w:rFonts w:hint="eastAsia" w:ascii="仿宋" w:hAnsi="仿宋" w:eastAsia="仿宋" w:cs="仿宋"/>
          <w:sz w:val="32"/>
          <w:szCs w:val="32"/>
          <w:lang w:val="en-US" w:eastAsia="zh-CN"/>
        </w:rPr>
        <w:t>1家</w:t>
      </w:r>
      <w:r>
        <w:rPr>
          <w:rFonts w:hint="eastAsia" w:ascii="仿宋" w:hAnsi="仿宋" w:eastAsia="仿宋" w:cs="仿宋"/>
          <w:sz w:val="32"/>
          <w:szCs w:val="32"/>
          <w:lang w:eastAsia="zh-CN"/>
        </w:rPr>
        <w:t>卫生院根据实际情况，适时将医疗收入全部上缴国库，在年底前全部完成</w:t>
      </w:r>
      <w:r>
        <w:rPr>
          <w:rFonts w:hint="eastAsia" w:ascii="仿宋" w:hAnsi="仿宋" w:eastAsia="仿宋" w:cs="仿宋"/>
          <w:sz w:val="32"/>
          <w:szCs w:val="32"/>
          <w:lang w:val="en-US" w:eastAsia="zh-CN"/>
        </w:rPr>
        <w:t>上缴。</w:t>
      </w:r>
    </w:p>
    <w:p w14:paraId="15F9EBC8">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3.分析评价申报内容是否与实际相符，申报目标是否合理可行。</w:t>
      </w:r>
    </w:p>
    <w:p w14:paraId="67B20959">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申报内容与实际相符，申报目标合理可行。</w:t>
      </w:r>
    </w:p>
    <w:p w14:paraId="61CC728B">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(三)项目自评步骤及方法。</w:t>
      </w:r>
    </w:p>
    <w:p w14:paraId="4345B913">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为了做好绩效评价工作，规范和加强专项资金管理，切</w:t>
      </w:r>
    </w:p>
    <w:p w14:paraId="3194C538">
      <w:pPr>
        <w:spacing w:line="560" w:lineRule="exact"/>
        <w:rPr>
          <w:rFonts w:hint="eastAsia" w:ascii="仿宋" w:hAnsi="仿宋" w:eastAsia="仿宋" w:cs="仿宋"/>
          <w:sz w:val="32"/>
          <w:szCs w:val="32"/>
        </w:rPr>
      </w:pPr>
      <w:r>
        <w:rPr>
          <w:rFonts w:hint="eastAsia" w:ascii="仿宋" w:hAnsi="仿宋" w:eastAsia="仿宋" w:cs="仿宋"/>
          <w:sz w:val="32"/>
          <w:szCs w:val="32"/>
        </w:rPr>
        <w:t>实提高专项资金的使用绩效和管理水平，</w:t>
      </w:r>
      <w:r>
        <w:rPr>
          <w:rFonts w:hint="eastAsia" w:ascii="仿宋" w:hAnsi="仿宋" w:eastAsia="仿宋" w:cs="仿宋"/>
          <w:sz w:val="32"/>
          <w:szCs w:val="32"/>
          <w:lang w:eastAsia="zh-CN"/>
        </w:rPr>
        <w:t>格萨拉卫生院</w:t>
      </w:r>
      <w:r>
        <w:rPr>
          <w:rFonts w:hint="eastAsia" w:ascii="仿宋" w:hAnsi="仿宋" w:eastAsia="仿宋" w:cs="仿宋"/>
          <w:sz w:val="32"/>
          <w:szCs w:val="32"/>
        </w:rPr>
        <w:t>成立了绩效评价管理工作领导小组，按照项目单位自评和主管部门评价相结合的方式，对</w:t>
      </w:r>
      <w:r>
        <w:rPr>
          <w:rFonts w:hint="eastAsia" w:ascii="仿宋" w:hAnsi="仿宋" w:eastAsia="仿宋" w:cs="仿宋"/>
          <w:sz w:val="32"/>
          <w:szCs w:val="32"/>
          <w:lang w:eastAsia="zh-CN"/>
        </w:rPr>
        <w:t>格萨拉卫生院</w:t>
      </w:r>
      <w:r>
        <w:rPr>
          <w:rFonts w:hint="eastAsia" w:ascii="仿宋" w:hAnsi="仿宋" w:eastAsia="仿宋" w:cs="仿宋"/>
          <w:sz w:val="32"/>
          <w:szCs w:val="32"/>
        </w:rPr>
        <w:t>2020年度专项资金开展了绩效评价工作</w:t>
      </w:r>
      <w:r>
        <w:rPr>
          <w:rFonts w:hint="eastAsia" w:ascii="仿宋" w:hAnsi="仿宋" w:eastAsia="仿宋" w:cs="仿宋"/>
          <w:sz w:val="32"/>
          <w:szCs w:val="32"/>
          <w:lang w:eastAsia="zh-CN"/>
        </w:rPr>
        <w:t>，</w:t>
      </w:r>
      <w:r>
        <w:rPr>
          <w:rFonts w:hint="eastAsia" w:ascii="仿宋" w:hAnsi="仿宋" w:eastAsia="仿宋" w:cs="仿宋"/>
          <w:sz w:val="32"/>
          <w:szCs w:val="32"/>
        </w:rPr>
        <w:t>一是通过核对医疗事业收入确定上缴金额；二是组织财务人员核对上缴事业发展收入；三是通过同上级主管部门核对确认返回上缴的事业收入，四是返回的事业发展基金用于该项目的支出工作，并监督执行及绩效考核。</w:t>
      </w:r>
    </w:p>
    <w:p w14:paraId="7E65FB9A">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二、项目资金申报及使用情况</w:t>
      </w:r>
    </w:p>
    <w:p w14:paraId="55E4D8D0">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（一）项目资金申报及批复情况。</w:t>
      </w:r>
    </w:p>
    <w:p w14:paraId="75561B3C">
      <w:pPr>
        <w:spacing w:line="560" w:lineRule="exact"/>
        <w:ind w:firstLine="640" w:firstLineChars="200"/>
        <w:rPr>
          <w:rFonts w:hint="eastAsia" w:ascii="仿宋" w:hAnsi="仿宋" w:eastAsia="仿宋" w:cs="仿宋"/>
          <w:sz w:val="32"/>
          <w:szCs w:val="32"/>
        </w:rPr>
      </w:pPr>
      <w:r>
        <w:rPr>
          <w:rFonts w:hint="eastAsia" w:ascii="仿宋" w:hAnsi="仿宋" w:eastAsia="仿宋" w:cs="仿宋"/>
          <w:kern w:val="2"/>
          <w:sz w:val="32"/>
          <w:szCs w:val="32"/>
        </w:rPr>
        <w:t>根据《盐边县财政局关于将全县医疗卫生机构事业收支纳入财政预算管理的通知》（盐边财政〔2020〕101号）文件要求，经</w:t>
      </w:r>
      <w:r>
        <w:rPr>
          <w:rFonts w:hint="eastAsia" w:ascii="仿宋" w:hAnsi="仿宋" w:eastAsia="仿宋" w:cs="仿宋"/>
          <w:kern w:val="2"/>
          <w:sz w:val="32"/>
          <w:szCs w:val="32"/>
          <w:lang w:eastAsia="zh-CN"/>
        </w:rPr>
        <w:t>县卫生健康</w:t>
      </w:r>
      <w:r>
        <w:rPr>
          <w:rFonts w:hint="eastAsia" w:ascii="仿宋" w:hAnsi="仿宋" w:eastAsia="仿宋" w:cs="仿宋"/>
          <w:kern w:val="2"/>
          <w:sz w:val="32"/>
          <w:szCs w:val="32"/>
        </w:rPr>
        <w:t>局测算，</w:t>
      </w:r>
      <w:r>
        <w:rPr>
          <w:rFonts w:hint="eastAsia" w:ascii="仿宋" w:hAnsi="仿宋" w:eastAsia="仿宋" w:cs="仿宋"/>
          <w:kern w:val="2"/>
          <w:sz w:val="32"/>
          <w:szCs w:val="32"/>
          <w:lang w:eastAsia="zh-CN"/>
        </w:rPr>
        <w:t>报经县政府18届第124次常务会议和县委1</w:t>
      </w:r>
      <w:r>
        <w:rPr>
          <w:rFonts w:hint="eastAsia" w:ascii="仿宋" w:hAnsi="仿宋" w:eastAsia="仿宋" w:cs="仿宋"/>
          <w:kern w:val="2"/>
          <w:sz w:val="32"/>
          <w:szCs w:val="32"/>
          <w:lang w:val="en-US" w:eastAsia="zh-CN"/>
        </w:rPr>
        <w:t>4</w:t>
      </w:r>
      <w:r>
        <w:rPr>
          <w:rFonts w:hint="eastAsia" w:ascii="仿宋" w:hAnsi="仿宋" w:eastAsia="仿宋" w:cs="仿宋"/>
          <w:kern w:val="2"/>
          <w:sz w:val="32"/>
          <w:szCs w:val="32"/>
          <w:lang w:eastAsia="zh-CN"/>
        </w:rPr>
        <w:t>届第</w:t>
      </w:r>
      <w:r>
        <w:rPr>
          <w:rFonts w:hint="eastAsia" w:ascii="仿宋" w:hAnsi="仿宋" w:eastAsia="仿宋" w:cs="仿宋"/>
          <w:kern w:val="2"/>
          <w:sz w:val="32"/>
          <w:szCs w:val="32"/>
          <w:lang w:val="en-US" w:eastAsia="zh-CN"/>
        </w:rPr>
        <w:t>159</w:t>
      </w:r>
      <w:r>
        <w:rPr>
          <w:rFonts w:hint="eastAsia" w:ascii="仿宋" w:hAnsi="仿宋" w:eastAsia="仿宋" w:cs="仿宋"/>
          <w:kern w:val="2"/>
          <w:sz w:val="32"/>
          <w:szCs w:val="32"/>
          <w:lang w:eastAsia="zh-CN"/>
        </w:rPr>
        <w:t>次常委会议研究同意，由县财政通过</w:t>
      </w:r>
      <w:r>
        <w:rPr>
          <w:rFonts w:hint="eastAsia" w:ascii="仿宋" w:hAnsi="仿宋" w:eastAsia="仿宋" w:cs="仿宋"/>
          <w:color w:val="000000"/>
          <w:kern w:val="0"/>
          <w:sz w:val="32"/>
          <w:szCs w:val="32"/>
          <w:lang w:val="en-US" w:eastAsia="zh-CN" w:bidi="ar"/>
        </w:rPr>
        <w:t>财政管理信息系统（即大平台系统）下达预算。</w:t>
      </w:r>
    </w:p>
    <w:p w14:paraId="66971E8B">
      <w:pPr>
        <w:spacing w:line="560" w:lineRule="exact"/>
        <w:ind w:firstLine="640" w:firstLineChars="200"/>
        <w:rPr>
          <w:rFonts w:hint="eastAsia" w:ascii="仿宋" w:hAnsi="仿宋" w:eastAsia="仿宋" w:cs="仿宋"/>
          <w:b/>
          <w:sz w:val="32"/>
          <w:szCs w:val="32"/>
        </w:rPr>
      </w:pPr>
      <w:r>
        <w:rPr>
          <w:rFonts w:hint="eastAsia" w:ascii="仿宋" w:hAnsi="仿宋" w:eastAsia="仿宋" w:cs="仿宋"/>
          <w:sz w:val="32"/>
          <w:szCs w:val="32"/>
        </w:rPr>
        <w:t>（二）资金计划、到位及使用情况</w:t>
      </w:r>
    </w:p>
    <w:p w14:paraId="4D62E740">
      <w:pPr>
        <w:spacing w:line="56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1.资金计划。</w:t>
      </w:r>
    </w:p>
    <w:p w14:paraId="6D7535C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sz w:val="32"/>
          <w:szCs w:val="32"/>
        </w:rPr>
      </w:pPr>
      <w:r>
        <w:rPr>
          <w:rFonts w:hint="eastAsia" w:ascii="仿宋" w:hAnsi="仿宋" w:eastAsia="仿宋" w:cs="仿宋"/>
          <w:b w:val="0"/>
          <w:bCs/>
          <w:sz w:val="32"/>
          <w:szCs w:val="32"/>
          <w:lang w:val="en-US" w:eastAsia="zh-CN"/>
        </w:rPr>
        <w:t>2020年</w:t>
      </w:r>
      <w:r>
        <w:rPr>
          <w:rFonts w:hint="eastAsia" w:ascii="仿宋" w:hAnsi="仿宋" w:eastAsia="仿宋" w:cs="仿宋"/>
          <w:b w:val="0"/>
          <w:bCs/>
          <w:sz w:val="32"/>
          <w:szCs w:val="32"/>
          <w:lang w:eastAsia="zh-CN"/>
        </w:rPr>
        <w:t>共计收到县财政转回事业发展基金</w:t>
      </w:r>
      <w:r>
        <w:rPr>
          <w:rFonts w:hint="eastAsia" w:ascii="仿宋" w:hAnsi="仿宋" w:eastAsia="仿宋" w:cs="仿宋"/>
          <w:sz w:val="32"/>
          <w:szCs w:val="32"/>
        </w:rPr>
        <w:t>资金</w:t>
      </w:r>
      <w:r>
        <w:rPr>
          <w:rFonts w:hint="eastAsia" w:ascii="仿宋" w:hAnsi="仿宋" w:eastAsia="仿宋" w:cs="仿宋"/>
          <w:sz w:val="32"/>
          <w:szCs w:val="32"/>
          <w:lang w:val="en-US" w:eastAsia="zh-CN"/>
        </w:rPr>
        <w:t>10.88</w:t>
      </w:r>
      <w:r>
        <w:rPr>
          <w:rFonts w:hint="eastAsia" w:ascii="仿宋" w:hAnsi="仿宋" w:eastAsia="仿宋" w:cs="仿宋"/>
          <w:sz w:val="32"/>
          <w:szCs w:val="32"/>
        </w:rPr>
        <w:t>万元。</w:t>
      </w:r>
    </w:p>
    <w:p w14:paraId="27C32630">
      <w:pPr>
        <w:numPr>
          <w:ilvl w:val="0"/>
          <w:numId w:val="0"/>
        </w:numPr>
        <w:spacing w:line="560" w:lineRule="exact"/>
        <w:ind w:firstLine="643" w:firstLineChars="200"/>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2.</w:t>
      </w:r>
      <w:r>
        <w:rPr>
          <w:rFonts w:hint="eastAsia" w:ascii="仿宋" w:hAnsi="仿宋" w:eastAsia="仿宋" w:cs="仿宋"/>
          <w:b/>
          <w:sz w:val="32"/>
          <w:szCs w:val="32"/>
        </w:rPr>
        <w:t>资金到位。</w:t>
      </w:r>
    </w:p>
    <w:p w14:paraId="160B88D5">
      <w:pPr>
        <w:spacing w:line="560" w:lineRule="exact"/>
        <w:ind w:firstLine="640" w:firstLineChars="200"/>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县财政局通过财政管理信息系统（即大平台系统）将收到的医疗机构事业收入资金下达，2020年温泉卫生院共计收到事业发展金10.88元。</w:t>
      </w:r>
    </w:p>
    <w:p w14:paraId="3AA37E43">
      <w:pPr>
        <w:numPr>
          <w:ilvl w:val="0"/>
          <w:numId w:val="0"/>
        </w:numPr>
        <w:spacing w:line="56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lang w:val="en-US" w:eastAsia="zh-CN"/>
        </w:rPr>
        <w:t>3.</w:t>
      </w:r>
      <w:r>
        <w:rPr>
          <w:rFonts w:hint="eastAsia" w:ascii="仿宋" w:hAnsi="仿宋" w:eastAsia="仿宋" w:cs="仿宋"/>
          <w:b/>
          <w:sz w:val="32"/>
          <w:szCs w:val="32"/>
        </w:rPr>
        <w:t>资金使用。</w:t>
      </w:r>
    </w:p>
    <w:p w14:paraId="739F688D">
      <w:pPr>
        <w:spacing w:line="56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该项目资金</w:t>
      </w:r>
      <w:r>
        <w:rPr>
          <w:rFonts w:hint="eastAsia" w:ascii="仿宋" w:hAnsi="仿宋" w:eastAsia="仿宋" w:cs="仿宋"/>
          <w:sz w:val="32"/>
          <w:szCs w:val="32"/>
          <w:lang w:eastAsia="zh-CN"/>
        </w:rPr>
        <w:t>通过财政信息管理平台，在医疗机构上缴后及时拨付回本单位共计</w:t>
      </w:r>
      <w:r>
        <w:rPr>
          <w:rFonts w:hint="eastAsia" w:ascii="仿宋" w:hAnsi="仿宋" w:eastAsia="仿宋" w:cs="仿宋"/>
          <w:sz w:val="32"/>
          <w:szCs w:val="32"/>
          <w:lang w:val="en-US" w:eastAsia="zh-CN"/>
        </w:rPr>
        <w:t>10.88万元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2020年共支出10.88元。</w:t>
      </w:r>
    </w:p>
    <w:p w14:paraId="7CC67094">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（三）项目财务管理情况。</w:t>
      </w:r>
    </w:p>
    <w:p w14:paraId="0E943F1E">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该</w:t>
      </w:r>
      <w:r>
        <w:rPr>
          <w:rFonts w:hint="eastAsia" w:ascii="仿宋" w:hAnsi="仿宋" w:eastAsia="仿宋" w:cs="仿宋"/>
          <w:sz w:val="32"/>
          <w:szCs w:val="32"/>
        </w:rPr>
        <w:t>项目实施</w:t>
      </w:r>
      <w:r>
        <w:rPr>
          <w:rFonts w:hint="eastAsia" w:ascii="仿宋" w:hAnsi="仿宋" w:eastAsia="仿宋" w:cs="仿宋"/>
          <w:sz w:val="32"/>
          <w:szCs w:val="32"/>
          <w:lang w:eastAsia="zh-CN"/>
        </w:rPr>
        <w:t>本</w:t>
      </w:r>
      <w:r>
        <w:rPr>
          <w:rFonts w:hint="eastAsia" w:ascii="仿宋" w:hAnsi="仿宋" w:eastAsia="仿宋" w:cs="仿宋"/>
          <w:sz w:val="32"/>
          <w:szCs w:val="32"/>
        </w:rPr>
        <w:t>单位严格执行财务管理制度</w:t>
      </w:r>
      <w:r>
        <w:rPr>
          <w:rFonts w:hint="eastAsia" w:ascii="仿宋" w:hAnsi="仿宋" w:eastAsia="仿宋" w:cs="仿宋"/>
          <w:sz w:val="32"/>
          <w:szCs w:val="32"/>
          <w:lang w:eastAsia="zh-CN"/>
        </w:rPr>
        <w:t>及操作流程，及时上缴事业收入，</w:t>
      </w:r>
      <w:r>
        <w:rPr>
          <w:rFonts w:hint="eastAsia" w:ascii="仿宋" w:hAnsi="仿宋" w:eastAsia="仿宋" w:cs="仿宋"/>
          <w:sz w:val="32"/>
          <w:szCs w:val="32"/>
        </w:rPr>
        <w:t>财务管理制度健全，账务处理及时，会计核算规范。</w:t>
      </w:r>
    </w:p>
    <w:p w14:paraId="69B1C8C7">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三、项目实施及管理情况</w:t>
      </w:r>
    </w:p>
    <w:p w14:paraId="48F18A3A">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（一）项目组织架构及实施流程。</w:t>
      </w:r>
    </w:p>
    <w:p w14:paraId="55225DDE">
      <w:pPr>
        <w:keepNext w:val="0"/>
        <w:keepLines w:val="0"/>
        <w:widowControl/>
        <w:suppressLineNumbers w:val="0"/>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该项目由县卫生健康局组织，各医疗机构</w:t>
      </w:r>
      <w:r>
        <w:rPr>
          <w:rFonts w:hint="eastAsia" w:ascii="仿宋" w:hAnsi="仿宋" w:eastAsia="仿宋" w:cs="仿宋"/>
          <w:kern w:val="2"/>
          <w:sz w:val="32"/>
          <w:szCs w:val="32"/>
        </w:rPr>
        <w:t>按照“以收定支”的原则</w:t>
      </w:r>
      <w:r>
        <w:rPr>
          <w:rFonts w:hint="eastAsia" w:ascii="仿宋" w:hAnsi="仿宋" w:eastAsia="仿宋" w:cs="仿宋"/>
          <w:sz w:val="32"/>
          <w:szCs w:val="32"/>
          <w:lang w:eastAsia="zh-CN"/>
        </w:rPr>
        <w:t>，根据</w:t>
      </w:r>
      <w:r>
        <w:rPr>
          <w:rFonts w:hint="eastAsia" w:ascii="仿宋" w:hAnsi="仿宋" w:eastAsia="仿宋" w:cs="仿宋"/>
          <w:sz w:val="32"/>
          <w:szCs w:val="32"/>
        </w:rPr>
        <w:t>县财政局《关于将全县医疗卫生机构事业收支纳入财政预算管理的通知》（盐边财政〔2020〕101号）</w:t>
      </w:r>
      <w:r>
        <w:rPr>
          <w:rFonts w:hint="eastAsia" w:ascii="仿宋" w:hAnsi="仿宋" w:eastAsia="仿宋" w:cs="仿宋"/>
          <w:sz w:val="32"/>
          <w:szCs w:val="32"/>
          <w:lang w:eastAsia="zh-CN"/>
        </w:rPr>
        <w:t>及《</w:t>
      </w:r>
      <w:r>
        <w:rPr>
          <w:rFonts w:hint="eastAsia" w:ascii="仿宋" w:hAnsi="仿宋" w:eastAsia="仿宋" w:cs="仿宋"/>
          <w:color w:val="000000"/>
          <w:kern w:val="0"/>
          <w:sz w:val="32"/>
          <w:szCs w:val="32"/>
          <w:lang w:val="en-US" w:eastAsia="zh-CN" w:bidi="ar"/>
        </w:rPr>
        <w:t>盐边县医疗事业收支纳入财政预算管理操作流程</w:t>
      </w:r>
      <w:r>
        <w:rPr>
          <w:rFonts w:hint="eastAsia" w:ascii="仿宋" w:hAnsi="仿宋" w:eastAsia="仿宋" w:cs="仿宋"/>
          <w:sz w:val="32"/>
          <w:szCs w:val="32"/>
          <w:lang w:eastAsia="zh-CN"/>
        </w:rPr>
        <w:t>》要求，</w:t>
      </w:r>
      <w:r>
        <w:rPr>
          <w:rFonts w:hint="eastAsia" w:ascii="仿宋" w:hAnsi="仿宋" w:eastAsia="仿宋" w:cs="仿宋"/>
          <w:color w:val="000000"/>
          <w:kern w:val="0"/>
          <w:sz w:val="32"/>
          <w:szCs w:val="32"/>
          <w:lang w:val="en-US" w:eastAsia="zh-CN" w:bidi="ar"/>
        </w:rPr>
        <w:t>适时将收到的事业收入资金直接划拨至县财政局金库。县财政局通过财政管理信息系统（即大平台系统）将收到的医疗机构事业收入资金下达、划拨至本医疗机构。</w:t>
      </w:r>
    </w:p>
    <w:p w14:paraId="3FC11B4E">
      <w:pPr>
        <w:numPr>
          <w:ilvl w:val="0"/>
          <w:numId w:val="4"/>
        </w:numPr>
        <w:spacing w:line="560" w:lineRule="exact"/>
        <w:ind w:left="200" w:leftChars="0" w:firstLine="640" w:firstLineChars="0"/>
        <w:rPr>
          <w:rFonts w:hint="eastAsia" w:ascii="仿宋" w:hAnsi="仿宋" w:eastAsia="仿宋" w:cs="仿宋"/>
          <w:sz w:val="32"/>
          <w:szCs w:val="32"/>
        </w:rPr>
      </w:pPr>
      <w:r>
        <w:rPr>
          <w:rFonts w:hint="eastAsia" w:ascii="仿宋" w:hAnsi="仿宋" w:eastAsia="仿宋" w:cs="仿宋"/>
          <w:sz w:val="32"/>
          <w:szCs w:val="32"/>
        </w:rPr>
        <w:t>项目管理情况。</w:t>
      </w:r>
    </w:p>
    <w:p w14:paraId="636EBAF5">
      <w:pPr>
        <w:numPr>
          <w:ilvl w:val="0"/>
          <w:numId w:val="0"/>
        </w:numPr>
        <w:spacing w:line="560" w:lineRule="exact"/>
        <w:ind w:firstLine="640" w:firstLineChars="200"/>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本院能按照医疗事业收支财政预算管理要求，及时上缴收入到国库，并按照相关要求合规合理使用资金</w:t>
      </w:r>
      <w:r>
        <w:rPr>
          <w:rFonts w:hint="eastAsia" w:ascii="仿宋" w:hAnsi="仿宋" w:eastAsia="仿宋" w:cs="仿宋"/>
          <w:sz w:val="32"/>
          <w:szCs w:val="32"/>
        </w:rPr>
        <w:t>。</w:t>
      </w:r>
    </w:p>
    <w:p w14:paraId="6BC1E470">
      <w:pPr>
        <w:numPr>
          <w:ilvl w:val="0"/>
          <w:numId w:val="4"/>
        </w:numPr>
        <w:spacing w:line="560" w:lineRule="exact"/>
        <w:ind w:left="200" w:leftChars="0" w:firstLine="640" w:firstLineChars="0"/>
        <w:rPr>
          <w:rFonts w:hint="eastAsia" w:ascii="仿宋" w:hAnsi="仿宋" w:eastAsia="仿宋" w:cs="仿宋"/>
          <w:sz w:val="32"/>
          <w:szCs w:val="32"/>
        </w:rPr>
      </w:pPr>
      <w:r>
        <w:rPr>
          <w:rFonts w:hint="eastAsia" w:ascii="仿宋" w:hAnsi="仿宋" w:eastAsia="仿宋" w:cs="仿宋"/>
          <w:sz w:val="32"/>
          <w:szCs w:val="32"/>
        </w:rPr>
        <w:t>项目监管情况。</w:t>
      </w:r>
    </w:p>
    <w:p w14:paraId="6DF40827">
      <w:pPr>
        <w:numPr>
          <w:ilvl w:val="0"/>
          <w:numId w:val="0"/>
        </w:numPr>
        <w:spacing w:line="560" w:lineRule="exact"/>
        <w:ind w:leftChars="0"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格萨拉中心卫生院</w:t>
      </w:r>
      <w:r>
        <w:rPr>
          <w:rFonts w:hint="eastAsia" w:ascii="仿宋" w:hAnsi="仿宋" w:eastAsia="仿宋" w:cs="仿宋"/>
          <w:sz w:val="32"/>
          <w:szCs w:val="32"/>
        </w:rPr>
        <w:t>为加强项目管理</w:t>
      </w:r>
      <w:r>
        <w:rPr>
          <w:rFonts w:hint="eastAsia" w:ascii="仿宋" w:hAnsi="仿宋" w:eastAsia="仿宋" w:cs="仿宋"/>
          <w:sz w:val="32"/>
          <w:szCs w:val="32"/>
          <w:lang w:eastAsia="zh-CN"/>
        </w:rPr>
        <w:t>，确定专人负责医疗机构事业发展金缴入、申报计划及支付</w:t>
      </w:r>
      <w:r>
        <w:rPr>
          <w:rFonts w:hint="eastAsia" w:ascii="仿宋" w:hAnsi="仿宋" w:eastAsia="仿宋" w:cs="仿宋"/>
          <w:sz w:val="32"/>
          <w:szCs w:val="32"/>
        </w:rPr>
        <w:t>等</w:t>
      </w:r>
      <w:r>
        <w:rPr>
          <w:rFonts w:hint="eastAsia" w:ascii="仿宋" w:hAnsi="仿宋" w:eastAsia="仿宋" w:cs="仿宋"/>
          <w:sz w:val="32"/>
          <w:szCs w:val="32"/>
          <w:lang w:eastAsia="zh-CN"/>
        </w:rPr>
        <w:t>工作，确保该项目资金及时上缴和支出，达到资金使用绩效</w:t>
      </w:r>
      <w:r>
        <w:rPr>
          <w:rFonts w:hint="eastAsia" w:ascii="仿宋" w:hAnsi="仿宋" w:eastAsia="仿宋" w:cs="仿宋"/>
          <w:sz w:val="32"/>
          <w:szCs w:val="32"/>
        </w:rPr>
        <w:t>。</w:t>
      </w:r>
    </w:p>
    <w:p w14:paraId="5671FC8F">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四、项目绩效情况</w:t>
      </w:r>
      <w:r>
        <w:rPr>
          <w:rFonts w:hint="eastAsia" w:ascii="仿宋" w:hAnsi="仿宋" w:eastAsia="仿宋" w:cs="仿宋"/>
          <w:sz w:val="32"/>
          <w:szCs w:val="32"/>
        </w:rPr>
        <w:tab/>
      </w:r>
    </w:p>
    <w:p w14:paraId="43A94CDC">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（一）项目完成情况。</w:t>
      </w:r>
    </w:p>
    <w:p w14:paraId="1B51B39C">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eastAsia="zh-CN"/>
        </w:rPr>
        <w:t>县财政计划下达该</w:t>
      </w:r>
      <w:r>
        <w:rPr>
          <w:rFonts w:hint="eastAsia" w:ascii="仿宋" w:hAnsi="仿宋" w:eastAsia="仿宋" w:cs="仿宋"/>
          <w:sz w:val="32"/>
          <w:szCs w:val="32"/>
        </w:rPr>
        <w:t>项目</w:t>
      </w:r>
      <w:r>
        <w:rPr>
          <w:rFonts w:hint="eastAsia" w:ascii="仿宋" w:hAnsi="仿宋" w:eastAsia="仿宋" w:cs="仿宋"/>
          <w:sz w:val="32"/>
          <w:szCs w:val="32"/>
          <w:lang w:eastAsia="zh-CN"/>
        </w:rPr>
        <w:t>资金</w:t>
      </w:r>
      <w:r>
        <w:rPr>
          <w:rFonts w:hint="eastAsia" w:ascii="仿宋" w:hAnsi="仿宋" w:eastAsia="仿宋" w:cs="仿宋"/>
          <w:b w:val="0"/>
          <w:bCs/>
          <w:sz w:val="32"/>
          <w:szCs w:val="32"/>
          <w:lang w:val="en-US" w:eastAsia="zh-CN"/>
        </w:rPr>
        <w:t>10.88</w:t>
      </w:r>
      <w:r>
        <w:rPr>
          <w:rFonts w:hint="eastAsia" w:ascii="仿宋" w:hAnsi="仿宋" w:eastAsia="仿宋" w:cs="仿宋"/>
          <w:b w:val="0"/>
          <w:bCs/>
          <w:sz w:val="32"/>
          <w:szCs w:val="32"/>
          <w:lang w:eastAsia="zh-CN"/>
        </w:rPr>
        <w:t>万元，</w:t>
      </w:r>
      <w:r>
        <w:rPr>
          <w:rFonts w:hint="eastAsia" w:ascii="仿宋" w:hAnsi="仿宋" w:eastAsia="仿宋" w:cs="仿宋"/>
          <w:sz w:val="32"/>
          <w:szCs w:val="32"/>
          <w:lang w:eastAsia="zh-CN"/>
        </w:rPr>
        <w:t>完成支付</w:t>
      </w:r>
      <w:r>
        <w:rPr>
          <w:rFonts w:hint="eastAsia" w:ascii="仿宋" w:hAnsi="仿宋" w:eastAsia="仿宋" w:cs="仿宋"/>
          <w:sz w:val="32"/>
          <w:szCs w:val="32"/>
          <w:lang w:val="en-US" w:eastAsia="zh-CN"/>
        </w:rPr>
        <w:t>10.88万元</w:t>
      </w:r>
      <w:r>
        <w:rPr>
          <w:rFonts w:hint="eastAsia" w:ascii="仿宋" w:hAnsi="仿宋" w:eastAsia="仿宋" w:cs="仿宋"/>
          <w:sz w:val="32"/>
          <w:szCs w:val="32"/>
          <w:lang w:eastAsia="zh-CN"/>
        </w:rPr>
        <w:t>，支出在预算范围内</w:t>
      </w:r>
      <w:r>
        <w:rPr>
          <w:rFonts w:hint="eastAsia" w:ascii="仿宋" w:hAnsi="仿宋" w:eastAsia="仿宋" w:cs="仿宋"/>
          <w:sz w:val="32"/>
          <w:szCs w:val="32"/>
          <w:lang w:val="en-US" w:eastAsia="zh-CN"/>
        </w:rPr>
        <w:t>。因年初未做事业发展基金预算，本单位的发展基金均属于追加预算。</w:t>
      </w:r>
    </w:p>
    <w:p w14:paraId="31BF0B69">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（二）项目效益情况。</w:t>
      </w:r>
    </w:p>
    <w:p w14:paraId="01F13C4C">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该</w:t>
      </w:r>
      <w:r>
        <w:rPr>
          <w:rFonts w:hint="eastAsia" w:ascii="仿宋" w:hAnsi="仿宋" w:eastAsia="仿宋" w:cs="仿宋"/>
          <w:sz w:val="32"/>
          <w:szCs w:val="32"/>
        </w:rPr>
        <w:t>项目</w:t>
      </w:r>
      <w:r>
        <w:rPr>
          <w:rFonts w:hint="eastAsia" w:ascii="仿宋" w:hAnsi="仿宋" w:eastAsia="仿宋" w:cs="仿宋"/>
          <w:sz w:val="32"/>
          <w:szCs w:val="32"/>
          <w:lang w:eastAsia="zh-CN"/>
        </w:rPr>
        <w:t>的实施，增加财政收入</w:t>
      </w:r>
      <w:r>
        <w:rPr>
          <w:rFonts w:hint="eastAsia" w:ascii="仿宋" w:hAnsi="仿宋" w:eastAsia="仿宋" w:cs="仿宋"/>
          <w:sz w:val="32"/>
          <w:szCs w:val="32"/>
          <w:lang w:val="en-US" w:eastAsia="zh-CN"/>
        </w:rPr>
        <w:t>10.88万元，</w:t>
      </w:r>
      <w:r>
        <w:rPr>
          <w:rFonts w:hint="eastAsia" w:ascii="仿宋" w:hAnsi="仿宋" w:eastAsia="仿宋" w:cs="仿宋"/>
          <w:sz w:val="32"/>
          <w:szCs w:val="32"/>
          <w:lang w:eastAsia="zh-CN"/>
        </w:rPr>
        <w:t>保证了本卫生院的正常运转，医疗服务水平不断提高，解决广大群众就近就医，</w:t>
      </w:r>
      <w:r>
        <w:rPr>
          <w:rFonts w:hint="eastAsia" w:ascii="仿宋" w:hAnsi="仿宋" w:eastAsia="仿宋" w:cs="仿宋"/>
          <w:sz w:val="32"/>
          <w:szCs w:val="32"/>
        </w:rPr>
        <w:t>服务对象满意度</w:t>
      </w:r>
      <w:r>
        <w:rPr>
          <w:rFonts w:hint="eastAsia" w:ascii="仿宋" w:hAnsi="仿宋" w:eastAsia="仿宋" w:cs="仿宋"/>
          <w:sz w:val="32"/>
          <w:szCs w:val="32"/>
          <w:lang w:eastAsia="zh-CN"/>
        </w:rPr>
        <w:t>不断提升。</w:t>
      </w:r>
    </w:p>
    <w:p w14:paraId="5A7CCE47">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五、评价结论及建议</w:t>
      </w:r>
    </w:p>
    <w:p w14:paraId="1D3627A2">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（一）评价结论。</w:t>
      </w:r>
    </w:p>
    <w:p w14:paraId="05C114B2">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该项目在乡镇卫生院是首次开展，本院能及时按照流程相关要求上缴事业收入，保证了医疗机构的正常运转，基本实现了绩效目标</w:t>
      </w:r>
      <w:r>
        <w:rPr>
          <w:rFonts w:hint="eastAsia" w:ascii="仿宋" w:hAnsi="仿宋" w:eastAsia="仿宋" w:cs="仿宋"/>
          <w:sz w:val="32"/>
          <w:szCs w:val="32"/>
        </w:rPr>
        <w:t>。</w:t>
      </w:r>
    </w:p>
    <w:p w14:paraId="7BC35BC9">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（二）存在的问题。</w:t>
      </w:r>
    </w:p>
    <w:p w14:paraId="2EF99EC7">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本卫生院</w:t>
      </w:r>
      <w:r>
        <w:rPr>
          <w:rFonts w:hint="eastAsia" w:ascii="仿宋" w:hAnsi="仿宋" w:eastAsia="仿宋" w:cs="仿宋"/>
          <w:sz w:val="32"/>
          <w:szCs w:val="32"/>
        </w:rPr>
        <w:t>管理人员缺乏预算管理意识</w:t>
      </w:r>
      <w:r>
        <w:rPr>
          <w:rFonts w:hint="eastAsia" w:ascii="仿宋" w:hAnsi="仿宋" w:eastAsia="仿宋" w:cs="仿宋"/>
          <w:sz w:val="32"/>
          <w:szCs w:val="32"/>
          <w:lang w:eastAsia="zh-CN"/>
        </w:rPr>
        <w:t>。</w:t>
      </w:r>
      <w:r>
        <w:rPr>
          <w:rFonts w:hint="eastAsia" w:ascii="仿宋" w:hAnsi="仿宋" w:eastAsia="仿宋" w:cs="仿宋"/>
          <w:sz w:val="32"/>
          <w:szCs w:val="32"/>
        </w:rPr>
        <w:t>对预算管理工作不够重视，没有充分意识到预算管理对于医疗机构综合管理工作的重大作用。</w:t>
      </w:r>
    </w:p>
    <w:p w14:paraId="7EA71E2E">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本卫生院</w:t>
      </w:r>
      <w:r>
        <w:rPr>
          <w:rFonts w:hint="eastAsia" w:ascii="仿宋" w:hAnsi="仿宋" w:eastAsia="仿宋" w:cs="仿宋"/>
          <w:sz w:val="32"/>
          <w:szCs w:val="32"/>
        </w:rPr>
        <w:t>管理水平有限。</w:t>
      </w:r>
      <w:r>
        <w:rPr>
          <w:rFonts w:hint="eastAsia" w:ascii="仿宋" w:hAnsi="仿宋" w:eastAsia="仿宋" w:cs="仿宋"/>
          <w:sz w:val="32"/>
          <w:szCs w:val="32"/>
          <w:lang w:eastAsia="zh-CN"/>
        </w:rPr>
        <w:t>财务人员专业水平不足，工作人员均为兼职，工作任务繁重，</w:t>
      </w:r>
      <w:r>
        <w:rPr>
          <w:rFonts w:hint="eastAsia" w:ascii="仿宋" w:hAnsi="仿宋" w:eastAsia="仿宋" w:cs="仿宋"/>
          <w:sz w:val="32"/>
          <w:szCs w:val="32"/>
        </w:rPr>
        <w:t>没有精力对</w:t>
      </w:r>
      <w:r>
        <w:rPr>
          <w:rFonts w:hint="eastAsia" w:ascii="仿宋" w:hAnsi="仿宋" w:eastAsia="仿宋" w:cs="仿宋"/>
          <w:sz w:val="32"/>
          <w:szCs w:val="32"/>
          <w:lang w:eastAsia="zh-CN"/>
        </w:rPr>
        <w:t>财务</w:t>
      </w:r>
      <w:r>
        <w:rPr>
          <w:rFonts w:hint="eastAsia" w:ascii="仿宋" w:hAnsi="仿宋" w:eastAsia="仿宋" w:cs="仿宋"/>
          <w:sz w:val="32"/>
          <w:szCs w:val="32"/>
        </w:rPr>
        <w:t>预算管理工作进行</w:t>
      </w:r>
      <w:r>
        <w:rPr>
          <w:rFonts w:hint="eastAsia" w:ascii="仿宋" w:hAnsi="仿宋" w:eastAsia="仿宋" w:cs="仿宋"/>
          <w:sz w:val="32"/>
          <w:szCs w:val="32"/>
          <w:lang w:eastAsia="zh-CN"/>
        </w:rPr>
        <w:t>深入学习研究</w:t>
      </w:r>
      <w:r>
        <w:rPr>
          <w:rFonts w:hint="eastAsia" w:ascii="仿宋" w:hAnsi="仿宋" w:eastAsia="仿宋" w:cs="仿宋"/>
          <w:sz w:val="32"/>
          <w:szCs w:val="32"/>
        </w:rPr>
        <w:t>。</w:t>
      </w:r>
    </w:p>
    <w:p w14:paraId="365B2125">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（三）相关建议。</w:t>
      </w:r>
    </w:p>
    <w:p w14:paraId="3DBD3AB3">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1.希望加大基层乡镇卫生院财务管理人员及工作人员培训力度和范围，强化管理人员及工作人员预算管理意识和提高财务管理人员财务知识水平。</w:t>
      </w:r>
    </w:p>
    <w:p w14:paraId="357B1099">
      <w:pPr>
        <w:spacing w:line="560" w:lineRule="exact"/>
        <w:ind w:firstLine="640" w:firstLineChars="200"/>
        <w:rPr>
          <w:rFonts w:hint="eastAsia" w:ascii="黑体" w:hAnsi="黑体" w:eastAsia="黑体"/>
          <w:color w:val="000000"/>
          <w:sz w:val="44"/>
          <w:szCs w:val="44"/>
        </w:rPr>
      </w:pPr>
      <w:r>
        <w:rPr>
          <w:rFonts w:hint="eastAsia" w:ascii="仿宋" w:hAnsi="仿宋" w:eastAsia="仿宋" w:cs="仿宋"/>
          <w:sz w:val="32"/>
          <w:szCs w:val="32"/>
          <w:lang w:val="en-US" w:eastAsia="zh-CN"/>
        </w:rPr>
        <w:t>2.建立健全相关制度，加强对乡镇卫生院督导指导，及时纠正存在的困难和问题。</w:t>
      </w:r>
    </w:p>
    <w:p w14:paraId="6090302C">
      <w:pPr>
        <w:spacing w:line="600" w:lineRule="exact"/>
        <w:jc w:val="center"/>
        <w:outlineLvl w:val="0"/>
        <w:rPr>
          <w:rFonts w:hint="eastAsia" w:ascii="黑体" w:hAnsi="黑体" w:eastAsia="黑体"/>
          <w:color w:val="000000"/>
          <w:sz w:val="44"/>
          <w:szCs w:val="44"/>
        </w:rPr>
      </w:pPr>
    </w:p>
    <w:p w14:paraId="12214B07">
      <w:pPr>
        <w:spacing w:line="0" w:lineRule="atLeast"/>
        <w:jc w:val="center"/>
        <w:rPr>
          <w:rFonts w:hint="eastAsia" w:ascii="方正小标宋_GBK" w:hAnsi="宋体" w:eastAsia="方正小标宋_GBK"/>
          <w:b/>
          <w:color w:val="000000"/>
          <w:kern w:val="0"/>
          <w:sz w:val="38"/>
          <w:szCs w:val="38"/>
        </w:rPr>
      </w:pPr>
    </w:p>
    <w:p w14:paraId="0E2298AD">
      <w:pPr>
        <w:spacing w:line="0" w:lineRule="atLeast"/>
        <w:jc w:val="center"/>
        <w:rPr>
          <w:rFonts w:hint="eastAsia" w:ascii="方正小标宋_GBK" w:hAnsi="宋体" w:eastAsia="方正小标宋_GBK"/>
          <w:b/>
          <w:color w:val="000000"/>
          <w:kern w:val="0"/>
          <w:sz w:val="38"/>
          <w:szCs w:val="38"/>
        </w:rPr>
      </w:pPr>
    </w:p>
    <w:p w14:paraId="5E497E18">
      <w:pPr>
        <w:spacing w:line="0" w:lineRule="atLeast"/>
        <w:jc w:val="center"/>
        <w:rPr>
          <w:rFonts w:hint="eastAsia" w:ascii="方正小标宋_GBK" w:hAnsi="宋体" w:eastAsia="方正小标宋_GBK"/>
          <w:b/>
          <w:color w:val="000000"/>
          <w:kern w:val="0"/>
          <w:sz w:val="38"/>
          <w:szCs w:val="38"/>
        </w:rPr>
      </w:pPr>
    </w:p>
    <w:p w14:paraId="723B5641">
      <w:pPr>
        <w:spacing w:line="0" w:lineRule="atLeast"/>
        <w:jc w:val="both"/>
        <w:rPr>
          <w:rFonts w:hint="eastAsia" w:ascii="方正小标宋_GBK" w:hAnsi="宋体" w:eastAsia="方正小标宋_GBK"/>
          <w:b/>
          <w:color w:val="000000"/>
          <w:kern w:val="0"/>
          <w:sz w:val="38"/>
          <w:szCs w:val="38"/>
        </w:rPr>
      </w:pPr>
    </w:p>
    <w:p w14:paraId="31CF09A4">
      <w:pPr>
        <w:spacing w:line="0" w:lineRule="atLeast"/>
        <w:jc w:val="center"/>
        <w:rPr>
          <w:rFonts w:hint="eastAsia" w:ascii="方正小标宋_GBK" w:hAnsi="宋体" w:eastAsia="方正小标宋_GBK" w:cs="方正小标宋简体"/>
          <w:b/>
          <w:color w:val="000000"/>
          <w:kern w:val="0"/>
          <w:sz w:val="38"/>
          <w:szCs w:val="38"/>
          <w:lang w:eastAsia="zh-CN"/>
        </w:rPr>
      </w:pPr>
      <w:r>
        <w:rPr>
          <w:rFonts w:hint="eastAsia" w:ascii="方正小标宋_GBK" w:hAnsi="宋体" w:eastAsia="方正小标宋_GBK"/>
          <w:b/>
          <w:color w:val="000000"/>
          <w:kern w:val="0"/>
          <w:sz w:val="38"/>
          <w:szCs w:val="38"/>
        </w:rPr>
        <w:t>盐边县</w:t>
      </w:r>
      <w:r>
        <w:rPr>
          <w:rFonts w:hint="eastAsia" w:ascii="方正小标宋_GBK" w:hAnsi="宋体" w:eastAsia="方正小标宋_GBK"/>
          <w:b/>
          <w:color w:val="000000"/>
          <w:kern w:val="0"/>
          <w:sz w:val="38"/>
          <w:szCs w:val="38"/>
          <w:lang w:eastAsia="zh-CN"/>
        </w:rPr>
        <w:t>温泉彝族乡</w:t>
      </w:r>
      <w:r>
        <w:rPr>
          <w:rFonts w:hint="eastAsia" w:ascii="方正小标宋_GBK" w:hAnsi="宋体" w:eastAsia="方正小标宋_GBK"/>
          <w:b/>
          <w:color w:val="000000"/>
          <w:kern w:val="0"/>
          <w:sz w:val="38"/>
          <w:szCs w:val="38"/>
        </w:rPr>
        <w:t>卫生院</w:t>
      </w:r>
      <w:r>
        <w:rPr>
          <w:rFonts w:hint="eastAsia" w:ascii="方正小标宋_GBK" w:hAnsi="宋体" w:eastAsia="方正小标宋_GBK" w:cs="方正小标宋简体"/>
          <w:b/>
          <w:color w:val="000000"/>
          <w:kern w:val="0"/>
          <w:sz w:val="38"/>
          <w:szCs w:val="38"/>
          <w:lang w:eastAsia="zh-CN"/>
        </w:rPr>
        <w:t>基本药物资金</w:t>
      </w:r>
    </w:p>
    <w:p w14:paraId="193B1F20">
      <w:pPr>
        <w:spacing w:line="0" w:lineRule="atLeast"/>
        <w:jc w:val="center"/>
        <w:rPr>
          <w:rFonts w:ascii="方正小标宋_GBK" w:hAnsi="宋体" w:eastAsia="方正小标宋_GBK"/>
          <w:b/>
          <w:color w:val="000000"/>
          <w:kern w:val="0"/>
          <w:sz w:val="38"/>
          <w:szCs w:val="38"/>
          <w:lang w:val="zh-CN"/>
        </w:rPr>
      </w:pPr>
      <w:r>
        <w:rPr>
          <w:rFonts w:hint="eastAsia" w:ascii="方正小标宋_GBK" w:hAnsi="宋体" w:eastAsia="方正小标宋_GBK"/>
          <w:b/>
          <w:color w:val="000000"/>
          <w:kern w:val="0"/>
          <w:sz w:val="38"/>
          <w:szCs w:val="38"/>
        </w:rPr>
        <w:t>2020年</w:t>
      </w:r>
      <w:r>
        <w:rPr>
          <w:rFonts w:hint="eastAsia" w:ascii="方正小标宋_GBK" w:hAnsi="宋体" w:eastAsia="方正小标宋_GBK"/>
          <w:b/>
          <w:color w:val="000000"/>
          <w:kern w:val="0"/>
          <w:sz w:val="38"/>
          <w:szCs w:val="38"/>
          <w:lang w:val="zh-CN"/>
        </w:rPr>
        <w:t>绩效评价报告</w:t>
      </w:r>
    </w:p>
    <w:p w14:paraId="13EDDAF0">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一、项目概况</w:t>
      </w:r>
    </w:p>
    <w:p w14:paraId="00C7FAE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（一）项目基本情况。</w:t>
      </w:r>
    </w:p>
    <w:p w14:paraId="737388D6">
      <w:pPr>
        <w:keepNext w:val="0"/>
        <w:keepLines w:val="0"/>
        <w:pageBreakBefore w:val="0"/>
        <w:widowControl w:val="0"/>
        <w:kinsoku/>
        <w:wordWrap/>
        <w:overflowPunct/>
        <w:topLinePunct w:val="0"/>
        <w:autoSpaceDE/>
        <w:autoSpaceDN/>
        <w:bidi w:val="0"/>
        <w:adjustRightInd/>
        <w:snapToGrid/>
        <w:spacing w:line="540" w:lineRule="exact"/>
        <w:ind w:left="525" w:leftChars="250" w:firstLine="160" w:firstLineChars="50"/>
        <w:textAlignment w:val="auto"/>
        <w:rPr>
          <w:rFonts w:hint="eastAsia" w:ascii="仿宋" w:hAnsi="仿宋" w:eastAsia="仿宋" w:cs="仿宋"/>
          <w:sz w:val="32"/>
          <w:szCs w:val="32"/>
        </w:rPr>
      </w:pPr>
      <w:r>
        <w:rPr>
          <w:rFonts w:hint="eastAsia" w:ascii="仿宋" w:hAnsi="仿宋" w:eastAsia="仿宋" w:cs="仿宋"/>
          <w:sz w:val="32"/>
          <w:szCs w:val="32"/>
        </w:rPr>
        <w:t>1.说明项目主管部门（单位）在该项目管理中的职能。</w:t>
      </w:r>
    </w:p>
    <w:p w14:paraId="3271A3A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本院</w:t>
      </w:r>
      <w:r>
        <w:rPr>
          <w:rFonts w:hint="eastAsia" w:ascii="仿宋" w:hAnsi="仿宋" w:eastAsia="仿宋" w:cs="仿宋"/>
          <w:sz w:val="32"/>
          <w:szCs w:val="32"/>
        </w:rPr>
        <w:t>及时将中央和省级转移支付资金下达至项目执行</w:t>
      </w:r>
      <w:r>
        <w:rPr>
          <w:rFonts w:hint="eastAsia" w:ascii="仿宋" w:hAnsi="仿宋" w:eastAsia="仿宋" w:cs="仿宋"/>
          <w:sz w:val="32"/>
          <w:szCs w:val="32"/>
          <w:lang w:eastAsia="zh-CN"/>
        </w:rPr>
        <w:t>村卫生室</w:t>
      </w:r>
      <w:r>
        <w:rPr>
          <w:rFonts w:hint="eastAsia" w:ascii="仿宋" w:hAnsi="仿宋" w:eastAsia="仿宋" w:cs="仿宋"/>
          <w:sz w:val="32"/>
          <w:szCs w:val="32"/>
        </w:rPr>
        <w:t>，具体组织实施监督和绩效评价。</w:t>
      </w:r>
    </w:p>
    <w:p w14:paraId="3FBDBD5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2.项目立项、资金申报的依据。</w:t>
      </w:r>
    </w:p>
    <w:p w14:paraId="11DE16A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加强和规范中央和省级财政支持医疗卫生机构</w:t>
      </w:r>
      <w:r>
        <w:rPr>
          <w:rFonts w:hint="eastAsia" w:ascii="仿宋" w:hAnsi="仿宋" w:eastAsia="仿宋" w:cs="仿宋"/>
          <w:sz w:val="32"/>
          <w:szCs w:val="32"/>
          <w:lang w:eastAsia="zh-CN"/>
        </w:rPr>
        <w:t>及村卫生室</w:t>
      </w:r>
      <w:r>
        <w:rPr>
          <w:rFonts w:hint="eastAsia" w:ascii="仿宋" w:hAnsi="仿宋" w:eastAsia="仿宋" w:cs="仿宋"/>
          <w:sz w:val="32"/>
          <w:szCs w:val="32"/>
        </w:rPr>
        <w:t>实施国家基本药物制度补助资金的分配</w:t>
      </w:r>
      <w:r>
        <w:rPr>
          <w:rFonts w:hint="eastAsia" w:ascii="仿宋" w:hAnsi="仿宋" w:eastAsia="仿宋" w:cs="仿宋"/>
          <w:sz w:val="32"/>
          <w:szCs w:val="32"/>
          <w:lang w:eastAsia="zh-CN"/>
        </w:rPr>
        <w:t>、</w:t>
      </w:r>
      <w:r>
        <w:rPr>
          <w:rFonts w:hint="eastAsia" w:ascii="仿宋" w:hAnsi="仿宋" w:eastAsia="仿宋" w:cs="仿宋"/>
          <w:sz w:val="32"/>
          <w:szCs w:val="32"/>
        </w:rPr>
        <w:t>使用和管理,根据《中华人民共和国预算法》《财政部国家卫生健康委基本药物制度补助资金管理办法》《中共四川省委四川省人民政府关于全面预算绩效管理的实施意见》《四川省人民政府关于改革完善省对下转移支付制度的意见》《四川省国家基本药物制度实施意见》《关于建立健全基层医疗卫生机构补偿机制的意见》《四川省人民政府办公厅关于印发四川省基本公共服务领域省与市县共同财政事权和支出责任划分改革方案的通知》等有关法律法规和政策文件。</w:t>
      </w:r>
    </w:p>
    <w:p w14:paraId="639625F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3.资金管理办法制定情况，资金支持具体项目的条件、范围与支持方式概况。</w:t>
      </w:r>
    </w:p>
    <w:p w14:paraId="04995F7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四川省基本药物制度补助资金管理办法》，中央和省级财政通过共同财政事权转移支付方式安排,用于支持基层医疗卫生机构实施国家基本药物制度、推进基层医疗卫生机构综合改革。政府办社区卫生服务中心(站)和乡镇卫生院，转移支付资金主要用于弥补核定收支后的经常性收支差额补助、推进基层医疗卫生机构综合改革等符合政府卫生投入政策规定的支出;对在实施基本药物制度的村卫生室，转移支付资金主要用于乡村医生的收入补助。</w:t>
      </w:r>
    </w:p>
    <w:p w14:paraId="00670CD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bCs/>
          <w:sz w:val="32"/>
          <w:szCs w:val="32"/>
        </w:rPr>
      </w:pPr>
      <w:r>
        <w:rPr>
          <w:rFonts w:hint="eastAsia" w:ascii="仿宋" w:hAnsi="仿宋" w:eastAsia="仿宋" w:cs="仿宋"/>
          <w:b w:val="0"/>
          <w:bCs w:val="0"/>
          <w:sz w:val="32"/>
          <w:szCs w:val="32"/>
        </w:rPr>
        <w:t>4.资金分配的原则及考虑因素。</w:t>
      </w:r>
    </w:p>
    <w:p w14:paraId="54D5842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（1）原则。</w:t>
      </w:r>
    </w:p>
    <w:p w14:paraId="4C4F6DD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合理规划，科学论证。按照医改工作总体要求及相关规划，合理确定转移支付资金使用方向，并对转移支付资金支持项目的必要性、可行性等进行科学论证。</w:t>
      </w:r>
    </w:p>
    <w:p w14:paraId="23520E9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强化管理，注重实效。加强对转移支付资金分配、使用过程管理，规范各个环节的管理要求，明确相关主体的权利责任，保障转移支付资金安全、高效使用。</w:t>
      </w:r>
    </w:p>
    <w:p w14:paraId="530D4EB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讲求绩效，量效挂钩。转移支付资金实施全过程预算绩效管理，建立绩效评价结果与资金分配挂钩机制，提高转移支付资金使用效益。</w:t>
      </w:r>
    </w:p>
    <w:p w14:paraId="0BE9400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（2）因素。</w:t>
      </w:r>
    </w:p>
    <w:p w14:paraId="14B0171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对村卫生室执行每个定额5000元的补助和基本药物购进量占比进行分配至乡镇卫生院，由</w:t>
      </w:r>
      <w:r>
        <w:rPr>
          <w:rFonts w:hint="eastAsia" w:ascii="仿宋" w:hAnsi="仿宋" w:eastAsia="仿宋" w:cs="仿宋"/>
          <w:sz w:val="32"/>
          <w:szCs w:val="32"/>
          <w:lang w:eastAsia="zh-CN"/>
        </w:rPr>
        <w:t>本院</w:t>
      </w:r>
      <w:r>
        <w:rPr>
          <w:rFonts w:hint="eastAsia" w:ascii="仿宋" w:hAnsi="仿宋" w:eastAsia="仿宋" w:cs="仿宋"/>
          <w:sz w:val="32"/>
          <w:szCs w:val="32"/>
        </w:rPr>
        <w:t>通过绩效考核进行二次分配。</w:t>
      </w:r>
    </w:p>
    <w:p w14:paraId="7A77A33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（二）项目绩效目标。</w:t>
      </w:r>
    </w:p>
    <w:p w14:paraId="333F22C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1.项目主要内容。</w:t>
      </w:r>
    </w:p>
    <w:p w14:paraId="168E924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对</w:t>
      </w:r>
      <w:r>
        <w:rPr>
          <w:rFonts w:hint="eastAsia" w:ascii="仿宋" w:hAnsi="仿宋" w:eastAsia="仿宋" w:cs="仿宋"/>
          <w:sz w:val="32"/>
          <w:szCs w:val="32"/>
        </w:rPr>
        <w:t>实施国家基本药物制度的村卫生室给予补助，支持国家基本药物制度在村卫生室顺利实施</w:t>
      </w:r>
      <w:r>
        <w:rPr>
          <w:rFonts w:hint="eastAsia" w:ascii="仿宋" w:hAnsi="仿宋" w:eastAsia="仿宋" w:cs="仿宋"/>
          <w:sz w:val="32"/>
          <w:szCs w:val="32"/>
          <w:lang w:eastAsia="zh-CN"/>
        </w:rPr>
        <w:t>，</w:t>
      </w:r>
      <w:r>
        <w:rPr>
          <w:rFonts w:hint="eastAsia" w:ascii="仿宋" w:hAnsi="仿宋" w:eastAsia="仿宋" w:cs="仿宋"/>
          <w:sz w:val="32"/>
          <w:szCs w:val="32"/>
        </w:rPr>
        <w:t>推进综合改革顺利进行</w:t>
      </w:r>
      <w:r>
        <w:rPr>
          <w:rFonts w:hint="eastAsia" w:ascii="仿宋" w:hAnsi="仿宋" w:eastAsia="仿宋" w:cs="仿宋"/>
          <w:sz w:val="32"/>
          <w:szCs w:val="32"/>
          <w:lang w:eastAsia="zh-CN"/>
        </w:rPr>
        <w:t>。</w:t>
      </w:r>
    </w:p>
    <w:p w14:paraId="34FE6E7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2.项目应实现的具体绩效目标，包括目标的量化、细化情况以及项目实施进度计划等。</w:t>
      </w:r>
    </w:p>
    <w:p w14:paraId="45AC389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根据《财政厅省卫生健康委省医疗保障局省中医药管理局关于印发基本公共卫生服务等4项补助资金管理办法的通知》（川财社[2019] 76号）《财政厅省卫生健康委关于提前下达2020年基本药物制度中央和省级补助资金的通知》川财社〔2019〕139号 《财政厅省卫生健康委关于下达2020年卫生健康中央和省级补助资金（第二批）的通知》川财社〔2020〕80号等文件要求，加强国家基本药物制度补助资金管理，提高资金使用效益，确保国家基本药物制度的有效实施，推进</w:t>
      </w:r>
      <w:r>
        <w:rPr>
          <w:rFonts w:hint="eastAsia" w:ascii="仿宋" w:hAnsi="仿宋" w:eastAsia="仿宋" w:cs="仿宋"/>
          <w:sz w:val="32"/>
          <w:szCs w:val="32"/>
          <w:lang w:eastAsia="zh-CN"/>
        </w:rPr>
        <w:t>本</w:t>
      </w:r>
      <w:r>
        <w:rPr>
          <w:rFonts w:hint="eastAsia" w:ascii="仿宋" w:hAnsi="仿宋" w:eastAsia="仿宋" w:cs="仿宋"/>
          <w:sz w:val="32"/>
          <w:szCs w:val="32"/>
        </w:rPr>
        <w:t>医疗卫生机构综合改革，转变医疗卫生服务模式，有效控制不合理医疗费用，增强城乡居民就诊看病的“获得感”，鼓励</w:t>
      </w:r>
      <w:r>
        <w:rPr>
          <w:rFonts w:hint="eastAsia" w:ascii="仿宋" w:hAnsi="仿宋" w:eastAsia="仿宋" w:cs="仿宋"/>
          <w:sz w:val="32"/>
          <w:szCs w:val="32"/>
          <w:lang w:eastAsia="zh-CN"/>
        </w:rPr>
        <w:t>本机构人员</w:t>
      </w:r>
      <w:r>
        <w:rPr>
          <w:rFonts w:hint="eastAsia" w:ascii="仿宋" w:hAnsi="仿宋" w:eastAsia="仿宋" w:cs="仿宋"/>
          <w:sz w:val="32"/>
          <w:szCs w:val="32"/>
        </w:rPr>
        <w:t>抓实基本医疗服务。2020年</w:t>
      </w:r>
      <w:r>
        <w:rPr>
          <w:rFonts w:hint="eastAsia" w:ascii="仿宋" w:hAnsi="仿宋" w:eastAsia="仿宋" w:cs="仿宋"/>
          <w:sz w:val="32"/>
          <w:szCs w:val="32"/>
          <w:lang w:eastAsia="zh-CN"/>
        </w:rPr>
        <w:t>本</w:t>
      </w:r>
      <w:r>
        <w:rPr>
          <w:rFonts w:hint="eastAsia" w:ascii="仿宋" w:hAnsi="仿宋" w:eastAsia="仿宋" w:cs="仿宋"/>
          <w:sz w:val="32"/>
          <w:szCs w:val="32"/>
        </w:rPr>
        <w:t>医疗卫生机构和村卫生室全面实施了国家基本药物制度，依据考核方案给予</w:t>
      </w:r>
      <w:r>
        <w:rPr>
          <w:rFonts w:hint="eastAsia" w:ascii="仿宋" w:hAnsi="仿宋" w:eastAsia="仿宋" w:cs="仿宋"/>
          <w:sz w:val="32"/>
          <w:szCs w:val="32"/>
          <w:lang w:eastAsia="zh-CN"/>
        </w:rPr>
        <w:t>村卫生室</w:t>
      </w:r>
      <w:r>
        <w:rPr>
          <w:rFonts w:hint="eastAsia" w:ascii="仿宋" w:hAnsi="仿宋" w:eastAsia="仿宋" w:cs="仿宋"/>
          <w:sz w:val="32"/>
          <w:szCs w:val="32"/>
        </w:rPr>
        <w:t>资金补助，基本药物制度在我</w:t>
      </w:r>
      <w:r>
        <w:rPr>
          <w:rFonts w:hint="eastAsia" w:ascii="仿宋" w:hAnsi="仿宋" w:eastAsia="仿宋" w:cs="仿宋"/>
          <w:sz w:val="32"/>
          <w:szCs w:val="32"/>
          <w:lang w:eastAsia="zh-CN"/>
        </w:rPr>
        <w:t>乡</w:t>
      </w:r>
      <w:r>
        <w:rPr>
          <w:rFonts w:hint="eastAsia" w:ascii="仿宋" w:hAnsi="仿宋" w:eastAsia="仿宋" w:cs="仿宋"/>
          <w:sz w:val="32"/>
          <w:szCs w:val="32"/>
        </w:rPr>
        <w:t>落地落实。</w:t>
      </w:r>
    </w:p>
    <w:p w14:paraId="34563B8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3.分析评价申报内容是否与实际相符，申报目标是否合理可行。根据开展基本药物指导工作情况分析。申报内容是与实际相符，申报目标是合理可行的。</w:t>
      </w:r>
    </w:p>
    <w:p w14:paraId="2EACD39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（三）项目自评步骤及方法。</w:t>
      </w:r>
    </w:p>
    <w:p w14:paraId="25CF1AD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说明项目绩效自评采用的组织实施步骤及方法。</w:t>
      </w:r>
    </w:p>
    <w:p w14:paraId="6306354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组织相关人员开展基本药物制度绩效评价，一是通过现场查看了解村卫生室执行基本药物“零”加价、提高群众满意度评价效益；</w:t>
      </w:r>
      <w:r>
        <w:rPr>
          <w:rFonts w:hint="eastAsia" w:ascii="仿宋" w:hAnsi="仿宋" w:eastAsia="仿宋" w:cs="仿宋"/>
          <w:sz w:val="32"/>
          <w:szCs w:val="32"/>
          <w:lang w:eastAsia="zh-CN"/>
        </w:rPr>
        <w:t>二</w:t>
      </w:r>
      <w:r>
        <w:rPr>
          <w:rFonts w:hint="eastAsia" w:ascii="仿宋" w:hAnsi="仿宋" w:eastAsia="仿宋" w:cs="仿宋"/>
          <w:sz w:val="32"/>
          <w:szCs w:val="32"/>
        </w:rPr>
        <w:t>是通过乡村一体化管理由乡镇卫生院代采购村卫生室的基本药物，并监督执行及绩效考核。</w:t>
      </w:r>
    </w:p>
    <w:p w14:paraId="174FE3F3">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二、项目资金申报及使用情况</w:t>
      </w:r>
    </w:p>
    <w:p w14:paraId="578454B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1.资金计划。</w:t>
      </w:r>
    </w:p>
    <w:p w14:paraId="611B722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1.资金计划。</w:t>
      </w:r>
    </w:p>
    <w:p w14:paraId="6B3B4D6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b w:val="0"/>
          <w:bCs/>
          <w:sz w:val="32"/>
          <w:szCs w:val="32"/>
          <w:lang w:eastAsia="zh-CN"/>
        </w:rPr>
        <w:t>共计收到县级</w:t>
      </w:r>
      <w:r>
        <w:rPr>
          <w:rFonts w:hint="eastAsia" w:ascii="仿宋" w:hAnsi="仿宋" w:eastAsia="仿宋" w:cs="仿宋"/>
          <w:sz w:val="32"/>
          <w:szCs w:val="32"/>
        </w:rPr>
        <w:t>基本药物补助资金</w:t>
      </w:r>
      <w:r>
        <w:rPr>
          <w:rFonts w:hint="eastAsia" w:ascii="仿宋" w:hAnsi="仿宋" w:eastAsia="仿宋" w:cs="仿宋"/>
          <w:sz w:val="32"/>
          <w:szCs w:val="32"/>
          <w:lang w:val="en-US" w:eastAsia="zh-CN"/>
        </w:rPr>
        <w:t>18.07</w:t>
      </w:r>
      <w:r>
        <w:rPr>
          <w:rFonts w:hint="eastAsia" w:ascii="仿宋" w:hAnsi="仿宋" w:eastAsia="仿宋" w:cs="仿宋"/>
          <w:sz w:val="32"/>
          <w:szCs w:val="32"/>
        </w:rPr>
        <w:t>万元。</w:t>
      </w:r>
    </w:p>
    <w:p w14:paraId="39BECEF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2.</w:t>
      </w:r>
      <w:r>
        <w:rPr>
          <w:rFonts w:hint="eastAsia" w:ascii="仿宋" w:hAnsi="仿宋" w:eastAsia="仿宋" w:cs="仿宋"/>
          <w:b w:val="0"/>
          <w:bCs/>
          <w:sz w:val="32"/>
          <w:szCs w:val="32"/>
        </w:rPr>
        <w:t>资金到位。</w:t>
      </w:r>
    </w:p>
    <w:p w14:paraId="0C523BC6">
      <w:pPr>
        <w:keepNext w:val="0"/>
        <w:keepLines w:val="0"/>
        <w:widowControl/>
        <w:suppressLineNumbers w:val="0"/>
        <w:ind w:firstLine="960" w:firstLineChars="300"/>
        <w:jc w:val="both"/>
        <w:rPr>
          <w:rFonts w:hint="eastAsia" w:ascii="仿宋" w:hAnsi="仿宋" w:eastAsia="仿宋" w:cs="仿宋"/>
          <w:color w:val="000000"/>
          <w:kern w:val="0"/>
          <w:sz w:val="32"/>
          <w:szCs w:val="32"/>
          <w:lang w:val="en-US" w:eastAsia="zh-CN" w:bidi="ar"/>
        </w:rPr>
      </w:pPr>
      <w:r>
        <w:rPr>
          <w:rFonts w:hint="eastAsia" w:ascii="仿宋" w:hAnsi="仿宋" w:eastAsia="仿宋" w:cs="仿宋"/>
          <w:sz w:val="32"/>
          <w:szCs w:val="32"/>
          <w:shd w:val="clear" w:color="auto" w:fill="FFFFFF"/>
          <w:lang w:val="en-US" w:eastAsia="zh-CN"/>
        </w:rPr>
        <w:t>2020年8月7日</w:t>
      </w:r>
      <w:r>
        <w:rPr>
          <w:rFonts w:hint="eastAsia" w:ascii="仿宋" w:hAnsi="仿宋" w:eastAsia="仿宋" w:cs="仿宋"/>
          <w:color w:val="000000"/>
          <w:kern w:val="0"/>
          <w:sz w:val="32"/>
          <w:szCs w:val="32"/>
          <w:lang w:val="en-US" w:eastAsia="zh-CN" w:bidi="ar"/>
        </w:rPr>
        <w:t>《省财政厅省卫健委关于提前下达 2020 年基本药物制 度中央和省级补助资金的通知》（川财〔2019〕139 号）， 根据各单位药品采购情况，第一批基药补助本机构48099.5元、村卫生室22821元，合计70920.5元。</w:t>
      </w:r>
    </w:p>
    <w:p w14:paraId="1B1AE99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2020年12月3日《省财政厅省卫健委关于提前下达 2020 年基本药物制度中央和省级补助资金的通知》（川财社2019〕139 号）和《关于下达 2020 年卫生健康中央和省级补助资金（第二批）的通知》（川财社〔2020〕80 号），第二批基药补助本机构88486.32元、村卫生室21259.54元，合计109745.86元。本年合计基本药物经费180666.36元。        </w:t>
      </w:r>
    </w:p>
    <w:p w14:paraId="1445170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3.资金使用。</w:t>
      </w:r>
    </w:p>
    <w:p w14:paraId="650F4F35">
      <w:pPr>
        <w:pStyle w:val="25"/>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2020年基本药物补助资金</w:t>
      </w:r>
      <w:r>
        <w:rPr>
          <w:rFonts w:hint="eastAsia" w:ascii="仿宋" w:hAnsi="仿宋" w:eastAsia="仿宋" w:cs="仿宋"/>
          <w:color w:val="000000"/>
          <w:sz w:val="32"/>
          <w:szCs w:val="32"/>
          <w:shd w:val="clear" w:color="auto" w:fill="FFFFFF"/>
          <w:lang w:val="en-US" w:eastAsia="zh-CN"/>
        </w:rPr>
        <w:t>18.07</w:t>
      </w:r>
      <w:r>
        <w:rPr>
          <w:rFonts w:hint="eastAsia" w:ascii="仿宋" w:hAnsi="仿宋" w:eastAsia="仿宋" w:cs="仿宋"/>
          <w:color w:val="000000"/>
          <w:sz w:val="32"/>
          <w:szCs w:val="32"/>
          <w:shd w:val="clear" w:color="auto" w:fill="FFFFFF"/>
        </w:rPr>
        <w:t>万元</w:t>
      </w:r>
      <w:r>
        <w:rPr>
          <w:rFonts w:hint="eastAsia" w:ascii="仿宋" w:hAnsi="仿宋" w:eastAsia="仿宋" w:cs="仿宋"/>
          <w:color w:val="000000"/>
          <w:sz w:val="32"/>
          <w:szCs w:val="32"/>
          <w:shd w:val="clear" w:color="auto" w:fill="FFFFFF"/>
          <w:lang w:eastAsia="zh-CN"/>
        </w:rPr>
        <w:t>中的</w:t>
      </w:r>
      <w:r>
        <w:rPr>
          <w:rFonts w:hint="eastAsia" w:ascii="仿宋" w:hAnsi="仿宋" w:eastAsia="仿宋" w:cs="仿宋"/>
          <w:color w:val="000000"/>
          <w:sz w:val="32"/>
          <w:szCs w:val="32"/>
          <w:shd w:val="clear" w:color="auto" w:fill="FFFFFF"/>
          <w:lang w:val="en-US" w:eastAsia="zh-CN"/>
        </w:rPr>
        <w:t>4.38万元</w:t>
      </w:r>
      <w:r>
        <w:rPr>
          <w:rFonts w:hint="eastAsia" w:ascii="仿宋" w:hAnsi="仿宋" w:eastAsia="仿宋" w:cs="仿宋"/>
          <w:color w:val="000000"/>
          <w:sz w:val="32"/>
          <w:szCs w:val="32"/>
          <w:shd w:val="clear" w:color="auto" w:fill="FFFFFF"/>
        </w:rPr>
        <w:t>，按照客观公正，民主公开，分级考核，合理规划，科学论证，强化管理，注重实效，讲求绩效，量效挂钩的原则加强国家基本药物制度补助资金管理，提高资金使用效益，确保国家基本药物制度的有效实施，推进</w:t>
      </w:r>
      <w:r>
        <w:rPr>
          <w:rFonts w:hint="eastAsia" w:ascii="仿宋" w:hAnsi="仿宋" w:eastAsia="仿宋" w:cs="仿宋"/>
          <w:color w:val="000000"/>
          <w:sz w:val="32"/>
          <w:szCs w:val="32"/>
          <w:shd w:val="clear" w:color="auto" w:fill="FFFFFF"/>
          <w:lang w:eastAsia="zh-CN"/>
        </w:rPr>
        <w:t>本</w:t>
      </w:r>
      <w:r>
        <w:rPr>
          <w:rFonts w:hint="eastAsia" w:ascii="仿宋" w:hAnsi="仿宋" w:eastAsia="仿宋" w:cs="仿宋"/>
          <w:color w:val="000000"/>
          <w:sz w:val="32"/>
          <w:szCs w:val="32"/>
          <w:shd w:val="clear" w:color="auto" w:fill="FFFFFF"/>
        </w:rPr>
        <w:t>医疗卫生机构综合改革，转变医疗卫生服务模式，有效控制不合理医疗费用，增强城乡居民就诊看病的“获得感”，鼓励基层医疗机构抓实基本医疗服务。制定《盐边县</w:t>
      </w:r>
      <w:r>
        <w:rPr>
          <w:rFonts w:hint="eastAsia" w:ascii="仿宋" w:hAnsi="仿宋" w:eastAsia="仿宋" w:cs="仿宋"/>
          <w:color w:val="000000"/>
          <w:sz w:val="32"/>
          <w:szCs w:val="32"/>
          <w:shd w:val="clear" w:color="auto" w:fill="FFFFFF"/>
          <w:lang w:eastAsia="zh-CN"/>
        </w:rPr>
        <w:t>格萨拉中心卫生院</w:t>
      </w:r>
      <w:r>
        <w:rPr>
          <w:rFonts w:hint="eastAsia" w:ascii="仿宋" w:hAnsi="仿宋" w:eastAsia="仿宋" w:cs="仿宋"/>
          <w:color w:val="000000"/>
          <w:sz w:val="32"/>
          <w:szCs w:val="32"/>
          <w:shd w:val="clear" w:color="auto" w:fill="FFFFFF"/>
        </w:rPr>
        <w:t>2020年</w:t>
      </w:r>
      <w:r>
        <w:rPr>
          <w:rFonts w:hint="eastAsia" w:ascii="仿宋" w:hAnsi="仿宋" w:eastAsia="仿宋" w:cs="仿宋"/>
          <w:color w:val="000000"/>
          <w:sz w:val="32"/>
          <w:szCs w:val="32"/>
          <w:shd w:val="clear" w:color="auto" w:fill="FFFFFF"/>
          <w:lang w:eastAsia="zh-CN"/>
        </w:rPr>
        <w:t>村卫生室</w:t>
      </w:r>
      <w:r>
        <w:rPr>
          <w:rFonts w:hint="eastAsia" w:ascii="仿宋" w:hAnsi="仿宋" w:eastAsia="仿宋" w:cs="仿宋"/>
          <w:color w:val="000000"/>
          <w:sz w:val="32"/>
          <w:szCs w:val="32"/>
          <w:shd w:val="clear" w:color="auto" w:fill="FFFFFF"/>
        </w:rPr>
        <w:t>实施国家基本药物制度资金考核分配方案》，科学分配补助资金给村卫生室。</w:t>
      </w:r>
    </w:p>
    <w:p w14:paraId="0601939C">
      <w:pPr>
        <w:pStyle w:val="25"/>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方正楷体_GBK" w:hAnsi="方正楷体_GBK" w:eastAsia="方正楷体_GBK" w:cs="方正楷体_GBK"/>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（三）项目财务管理情况。</w:t>
      </w:r>
    </w:p>
    <w:p w14:paraId="740E241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lang w:eastAsia="zh-CN"/>
        </w:rPr>
        <w:t>我院</w:t>
      </w:r>
      <w:r>
        <w:rPr>
          <w:rFonts w:hint="eastAsia" w:ascii="仿宋" w:hAnsi="仿宋" w:eastAsia="仿宋" w:cs="仿宋"/>
          <w:color w:val="000000"/>
          <w:sz w:val="32"/>
          <w:szCs w:val="32"/>
          <w:shd w:val="clear" w:color="auto" w:fill="FFFFFF"/>
        </w:rPr>
        <w:t>严格按照全面实施预算绩效管理的要求，强化绩效目标管理，做好本地区补助资金监督检查和绩效评价工作，并加强结果应用，确保提高补助资金配置效率和使用效益。县卫生健康部门负责项目业务指导和管理，会同县财政部门建立健全绩效评价机制，并对项目执行情况开展每年一次的绩效评价。</w:t>
      </w:r>
    </w:p>
    <w:p w14:paraId="5A284D58">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三、项目实施及管理情况</w:t>
      </w:r>
    </w:p>
    <w:p w14:paraId="6E30235C">
      <w:pPr>
        <w:pStyle w:val="25"/>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方正楷体_GBK" w:hAnsi="方正楷体_GBK" w:eastAsia="方正楷体_GBK" w:cs="方正楷体_GBK"/>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（一）项目组织架构及实施流程。</w:t>
      </w:r>
    </w:p>
    <w:p w14:paraId="02DC09DB">
      <w:pPr>
        <w:keepNext w:val="0"/>
        <w:keepLines w:val="0"/>
        <w:pageBreakBefore w:val="0"/>
        <w:widowControl w:val="0"/>
        <w:kinsoku/>
        <w:wordWrap/>
        <w:overflowPunct/>
        <w:topLinePunct w:val="0"/>
        <w:autoSpaceDE/>
        <w:autoSpaceDN/>
        <w:bidi w:val="0"/>
        <w:adjustRightInd/>
        <w:snapToGrid/>
        <w:spacing w:line="540" w:lineRule="exact"/>
        <w:ind w:firstLine="800" w:firstLineChars="250"/>
        <w:textAlignment w:val="auto"/>
        <w:rPr>
          <w:rFonts w:hint="eastAsia" w:ascii="仿宋" w:hAnsi="仿宋" w:eastAsia="仿宋" w:cs="仿宋"/>
          <w:sz w:val="32"/>
          <w:szCs w:val="32"/>
          <w:lang w:eastAsia="zh-CN"/>
        </w:rPr>
      </w:pPr>
      <w:r>
        <w:rPr>
          <w:rFonts w:hint="eastAsia" w:ascii="仿宋" w:hAnsi="仿宋" w:eastAsia="仿宋" w:cs="仿宋"/>
          <w:sz w:val="32"/>
          <w:szCs w:val="32"/>
        </w:rPr>
        <w:t>通过上述分配原则和因素，由</w:t>
      </w:r>
      <w:r>
        <w:rPr>
          <w:rFonts w:hint="eastAsia" w:ascii="仿宋" w:hAnsi="仿宋" w:eastAsia="仿宋" w:cs="仿宋"/>
          <w:sz w:val="32"/>
          <w:szCs w:val="32"/>
          <w:lang w:eastAsia="zh-CN"/>
        </w:rPr>
        <w:t>卫生院支部委员会</w:t>
      </w:r>
      <w:r>
        <w:rPr>
          <w:rFonts w:hint="eastAsia" w:ascii="仿宋" w:hAnsi="仿宋" w:eastAsia="仿宋" w:cs="仿宋"/>
          <w:sz w:val="32"/>
          <w:szCs w:val="32"/>
        </w:rPr>
        <w:t>研究决定后分配项目资金给</w:t>
      </w:r>
      <w:r>
        <w:rPr>
          <w:rFonts w:hint="eastAsia" w:ascii="仿宋" w:hAnsi="仿宋" w:eastAsia="仿宋" w:cs="仿宋"/>
          <w:sz w:val="32"/>
          <w:szCs w:val="32"/>
          <w:lang w:eastAsia="zh-CN"/>
        </w:rPr>
        <w:t>村卫生室</w:t>
      </w:r>
      <w:r>
        <w:rPr>
          <w:rFonts w:hint="eastAsia" w:ascii="仿宋" w:hAnsi="仿宋" w:eastAsia="仿宋" w:cs="仿宋"/>
          <w:sz w:val="32"/>
          <w:szCs w:val="32"/>
        </w:rPr>
        <w:t>组织实施。</w:t>
      </w:r>
    </w:p>
    <w:p w14:paraId="23847D67">
      <w:pPr>
        <w:pStyle w:val="25"/>
        <w:keepNext w:val="0"/>
        <w:keepLines w:val="0"/>
        <w:pageBreakBefore w:val="0"/>
        <w:widowControl w:val="0"/>
        <w:numPr>
          <w:ilvl w:val="0"/>
          <w:numId w:val="0"/>
        </w:numPr>
        <w:kinsoku/>
        <w:wordWrap/>
        <w:overflowPunct/>
        <w:topLinePunct w:val="0"/>
        <w:autoSpaceDE/>
        <w:autoSpaceDN/>
        <w:bidi w:val="0"/>
        <w:adjustRightInd/>
        <w:snapToGrid/>
        <w:spacing w:line="540" w:lineRule="exact"/>
        <w:ind w:left="640" w:leftChars="0"/>
        <w:textAlignment w:val="auto"/>
        <w:rPr>
          <w:rFonts w:hint="eastAsia" w:ascii="方正楷体_GBK" w:hAnsi="方正楷体_GBK" w:eastAsia="方正楷体_GBK" w:cs="方正楷体_GBK"/>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（二）项目管理情况。</w:t>
      </w:r>
    </w:p>
    <w:p w14:paraId="59D3FDA2">
      <w:pPr>
        <w:keepNext w:val="0"/>
        <w:keepLines w:val="0"/>
        <w:pageBreakBefore w:val="0"/>
        <w:widowControl w:val="0"/>
        <w:kinsoku/>
        <w:wordWrap/>
        <w:overflowPunct/>
        <w:topLinePunct w:val="0"/>
        <w:autoSpaceDE/>
        <w:autoSpaceDN/>
        <w:bidi w:val="0"/>
        <w:adjustRightInd/>
        <w:snapToGrid/>
        <w:spacing w:line="54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根据《财政厅省卫生健康委省医疗保障局 省中医药管理局关于印发基本公共卫生服务等4项补助资金管理办法的通知》川财社[2019] 76号中《四川省基本药物制度补助资金管理办法》严格执行项目管理。</w:t>
      </w:r>
    </w:p>
    <w:p w14:paraId="1F0A6D70">
      <w:pPr>
        <w:pStyle w:val="25"/>
        <w:keepNext w:val="0"/>
        <w:keepLines w:val="0"/>
        <w:pageBreakBefore w:val="0"/>
        <w:widowControl w:val="0"/>
        <w:numPr>
          <w:ilvl w:val="0"/>
          <w:numId w:val="0"/>
        </w:numPr>
        <w:kinsoku/>
        <w:wordWrap/>
        <w:overflowPunct/>
        <w:topLinePunct w:val="0"/>
        <w:autoSpaceDE/>
        <w:autoSpaceDN/>
        <w:bidi w:val="0"/>
        <w:adjustRightInd/>
        <w:snapToGrid/>
        <w:spacing w:line="540" w:lineRule="exact"/>
        <w:ind w:left="640" w:leftChars="0"/>
        <w:textAlignment w:val="auto"/>
        <w:rPr>
          <w:rFonts w:hint="eastAsia" w:ascii="仿宋" w:hAnsi="仿宋" w:eastAsia="仿宋" w:cs="仿宋"/>
          <w:sz w:val="32"/>
          <w:szCs w:val="32"/>
        </w:rPr>
      </w:pPr>
      <w:r>
        <w:rPr>
          <w:rFonts w:hint="eastAsia" w:ascii="方正楷体_GBK" w:hAnsi="方正楷体_GBK" w:eastAsia="方正楷体_GBK" w:cs="方正楷体_GBK"/>
          <w:kern w:val="2"/>
          <w:sz w:val="32"/>
          <w:szCs w:val="32"/>
          <w:lang w:val="en-US" w:eastAsia="zh-CN" w:bidi="ar-SA"/>
        </w:rPr>
        <w:t>（三）项目监管情况。</w:t>
      </w:r>
    </w:p>
    <w:p w14:paraId="6C417DF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本院</w:t>
      </w:r>
      <w:r>
        <w:rPr>
          <w:rFonts w:hint="eastAsia" w:ascii="仿宋" w:hAnsi="仿宋" w:eastAsia="仿宋" w:cs="仿宋"/>
          <w:sz w:val="32"/>
          <w:szCs w:val="32"/>
        </w:rPr>
        <w:t>应按照全面实施预算绩效管理的要求，强化绩效目标管理，补助资金监督检查和绩效评价工作，并加强结果应用，确保提高补助资金配置效率和使用效益。负责项目业务指导和管理，建立健全绩效评价机制，并对项目执行情况开展绩效评价。绩效评价原则上每年一次，根据需要对基本药物制度政策落实、资金分配和使用等进行绩效评价和监督检查,并将评价检查结果与补助资金分配挂钩。绩效评价和重点绩效评价结果将作为完善相关补助政策和以后年度预算申请、安排和对下分配的重要参考依据。工作人员在资金分配、监督等管理工作中，存在滥用职权、玩忽职守、徇私舞弊等违法违纪行为的，依照《中华人民共和国公务员法》《中华人民共和国监察法》《财政违法行为处罚处分条例》等国家有关规定追究相应责任;涉嫌犯罪的，依法移送司法机关处理。</w:t>
      </w:r>
    </w:p>
    <w:p w14:paraId="354705B1">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四、项目绩效情况</w:t>
      </w:r>
      <w:r>
        <w:rPr>
          <w:rFonts w:hint="eastAsia" w:ascii="方正黑体_GBK" w:hAnsi="方正黑体_GBK" w:eastAsia="方正黑体_GBK" w:cs="方正黑体_GBK"/>
          <w:b/>
          <w:bCs/>
          <w:sz w:val="32"/>
          <w:szCs w:val="32"/>
        </w:rPr>
        <w:tab/>
      </w:r>
    </w:p>
    <w:p w14:paraId="35D52B4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（一）项目完成情况。</w:t>
      </w:r>
    </w:p>
    <w:p w14:paraId="731F0E72">
      <w:pPr>
        <w:spacing w:line="580" w:lineRule="exact"/>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lang w:eastAsia="zh-CN"/>
        </w:rPr>
        <w:t>温泉卫生院</w:t>
      </w:r>
      <w:r>
        <w:rPr>
          <w:rFonts w:hint="eastAsia" w:ascii="仿宋" w:hAnsi="仿宋" w:eastAsia="仿宋" w:cs="仿宋"/>
          <w:color w:val="000000"/>
          <w:sz w:val="32"/>
          <w:szCs w:val="32"/>
          <w:shd w:val="clear" w:color="auto" w:fill="FFFFFF"/>
        </w:rPr>
        <w:t>2020年采购基本药物并执行零加价的药品</w:t>
      </w:r>
      <w:r>
        <w:rPr>
          <w:rFonts w:hint="eastAsia" w:ascii="仿宋" w:hAnsi="仿宋" w:eastAsia="仿宋" w:cs="仿宋"/>
          <w:color w:val="000000"/>
          <w:sz w:val="32"/>
          <w:szCs w:val="32"/>
          <w:shd w:val="clear" w:color="auto" w:fill="FFFFFF"/>
          <w:lang w:val="en-US" w:eastAsia="zh-CN"/>
        </w:rPr>
        <w:t>31.05</w:t>
      </w:r>
      <w:r>
        <w:rPr>
          <w:rFonts w:hint="eastAsia" w:ascii="仿宋" w:hAnsi="仿宋" w:eastAsia="仿宋" w:cs="仿宋"/>
          <w:color w:val="000000"/>
          <w:sz w:val="32"/>
          <w:szCs w:val="32"/>
          <w:shd w:val="clear" w:color="auto" w:fill="FFFFFF"/>
        </w:rPr>
        <w:t>万元，100%政府办基层医疗卫生机构实施国家基本药物制度；村卫生室执行基本药物制度</w:t>
      </w:r>
      <w:r>
        <w:rPr>
          <w:rFonts w:hint="eastAsia" w:ascii="仿宋" w:hAnsi="仿宋" w:eastAsia="仿宋" w:cs="仿宋"/>
          <w:color w:val="000000"/>
          <w:sz w:val="32"/>
          <w:szCs w:val="32"/>
          <w:shd w:val="clear" w:color="auto" w:fill="FFFFFF"/>
          <w:lang w:val="en-US" w:eastAsia="zh-CN"/>
        </w:rPr>
        <w:t>7</w:t>
      </w:r>
      <w:r>
        <w:rPr>
          <w:rFonts w:hint="eastAsia" w:ascii="仿宋" w:hAnsi="仿宋" w:eastAsia="仿宋" w:cs="仿宋"/>
          <w:color w:val="000000"/>
          <w:sz w:val="32"/>
          <w:szCs w:val="32"/>
          <w:shd w:val="clear" w:color="auto" w:fill="FFFFFF"/>
        </w:rPr>
        <w:t>家，2020年采购基本药物并执行零加价的药品</w:t>
      </w:r>
      <w:r>
        <w:rPr>
          <w:rFonts w:hint="eastAsia" w:ascii="仿宋" w:hAnsi="仿宋" w:eastAsia="仿宋" w:cs="仿宋"/>
          <w:color w:val="000000"/>
          <w:sz w:val="32"/>
          <w:szCs w:val="32"/>
          <w:shd w:val="clear" w:color="auto" w:fill="FFFFFF"/>
          <w:lang w:val="en-US" w:eastAsia="zh-CN"/>
        </w:rPr>
        <w:t>1.1</w:t>
      </w:r>
      <w:r>
        <w:rPr>
          <w:rFonts w:hint="eastAsia" w:ascii="仿宋" w:hAnsi="仿宋" w:eastAsia="仿宋" w:cs="仿宋"/>
          <w:color w:val="000000"/>
          <w:sz w:val="32"/>
          <w:szCs w:val="32"/>
          <w:shd w:val="clear" w:color="auto" w:fill="FFFFFF"/>
        </w:rPr>
        <w:t>万元，村卫生室实施国家基本药物制度覆盖率</w:t>
      </w:r>
      <w:r>
        <w:rPr>
          <w:rFonts w:hint="eastAsia" w:ascii="仿宋" w:hAnsi="仿宋" w:eastAsia="仿宋" w:cs="仿宋"/>
          <w:color w:val="000000"/>
          <w:sz w:val="32"/>
          <w:szCs w:val="32"/>
          <w:shd w:val="clear" w:color="auto" w:fill="FFFFFF"/>
          <w:lang w:val="en-US" w:eastAsia="zh-CN"/>
        </w:rPr>
        <w:t>50</w:t>
      </w:r>
      <w:r>
        <w:rPr>
          <w:rFonts w:hint="eastAsia"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lang w:eastAsia="zh-CN"/>
        </w:rPr>
        <w:t>村卫生室基本药物由本院</w:t>
      </w:r>
      <w:r>
        <w:rPr>
          <w:rFonts w:hint="eastAsia" w:ascii="仿宋" w:hAnsi="仿宋" w:eastAsia="仿宋" w:cs="仿宋"/>
          <w:color w:val="000000"/>
          <w:sz w:val="32"/>
          <w:szCs w:val="32"/>
          <w:shd w:val="clear" w:color="auto" w:fill="FFFFFF"/>
        </w:rPr>
        <w:t>考核</w:t>
      </w:r>
      <w:r>
        <w:rPr>
          <w:rFonts w:hint="eastAsia" w:ascii="仿宋" w:hAnsi="仿宋" w:eastAsia="仿宋" w:cs="仿宋"/>
          <w:color w:val="000000"/>
          <w:sz w:val="32"/>
          <w:szCs w:val="32"/>
          <w:shd w:val="clear" w:color="auto" w:fill="FFFFFF"/>
          <w:lang w:eastAsia="zh-CN"/>
        </w:rPr>
        <w:t>后按照考核方案</w:t>
      </w:r>
      <w:r>
        <w:rPr>
          <w:rFonts w:hint="eastAsia" w:ascii="仿宋" w:hAnsi="仿宋" w:eastAsia="仿宋" w:cs="仿宋"/>
          <w:color w:val="000000"/>
          <w:sz w:val="32"/>
          <w:szCs w:val="32"/>
          <w:shd w:val="clear" w:color="auto" w:fill="FFFFFF"/>
        </w:rPr>
        <w:t>发放。</w:t>
      </w:r>
    </w:p>
    <w:p w14:paraId="3BEF304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（二）项目效益情况。</w:t>
      </w:r>
    </w:p>
    <w:p w14:paraId="6D91C8C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通过执行基本药物制度，对乡村医生的药品采购、艰苦因素等进行综合考虑后发放补助，乡村医生的收入保持稳定，在精准扶贫工作中发挥着积极作用；执行基本药物制度补助资金用于支持基层医疗卫生机构实施国家基本药物制度、推进基层医疗卫生机构综合改革，提升人民群众的获得感，在一段时间内（中长期）国家基本药物制度将在基层持续实施。</w:t>
      </w:r>
    </w:p>
    <w:p w14:paraId="565E6083">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五、评价结论及建议</w:t>
      </w:r>
    </w:p>
    <w:p w14:paraId="4F2DBBB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（一）评价结论。</w:t>
      </w:r>
    </w:p>
    <w:p w14:paraId="6772C7D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2020年基本药物补助资金项目在卫生健康局的统筹安排下，在财政部门的支持下</w:t>
      </w:r>
      <w:r>
        <w:rPr>
          <w:rFonts w:hint="eastAsia" w:ascii="仿宋" w:hAnsi="仿宋" w:eastAsia="仿宋" w:cs="仿宋"/>
          <w:sz w:val="32"/>
          <w:szCs w:val="32"/>
          <w:lang w:eastAsia="zh-CN"/>
        </w:rPr>
        <w:t>，本院医务人员</w:t>
      </w:r>
      <w:r>
        <w:rPr>
          <w:rFonts w:hint="eastAsia" w:ascii="仿宋" w:hAnsi="仿宋" w:eastAsia="仿宋" w:cs="仿宋"/>
          <w:sz w:val="32"/>
          <w:szCs w:val="32"/>
        </w:rPr>
        <w:t>共同努力下达到支持基层医疗卫生机构实施国家基本药物制度的目的。</w:t>
      </w:r>
      <w:r>
        <w:rPr>
          <w:rFonts w:hint="eastAsia" w:ascii="仿宋" w:hAnsi="仿宋" w:eastAsia="仿宋" w:cs="仿宋"/>
          <w:sz w:val="32"/>
          <w:szCs w:val="32"/>
          <w:lang w:eastAsia="zh-CN"/>
        </w:rPr>
        <w:t>本医疗机构</w:t>
      </w:r>
      <w:r>
        <w:rPr>
          <w:rFonts w:hint="eastAsia" w:ascii="仿宋" w:hAnsi="仿宋" w:eastAsia="仿宋" w:cs="仿宋"/>
          <w:sz w:val="32"/>
          <w:szCs w:val="32"/>
        </w:rPr>
        <w:t>弥补核定收支后的经常性收支差额补助、推进基层医疗卫生机构综合改革等符合政府卫生投入政策落地见效。实施基本药物制度的村卫生室，乡村医生的收入补助得到提高。</w:t>
      </w:r>
      <w:r>
        <w:rPr>
          <w:rFonts w:hint="eastAsia" w:ascii="仿宋" w:hAnsi="仿宋" w:eastAsia="仿宋" w:cs="仿宋"/>
          <w:sz w:val="32"/>
          <w:szCs w:val="32"/>
          <w:lang w:eastAsia="zh-CN"/>
        </w:rPr>
        <w:t>本</w:t>
      </w:r>
      <w:r>
        <w:rPr>
          <w:rFonts w:hint="eastAsia" w:ascii="仿宋" w:hAnsi="仿宋" w:eastAsia="仿宋" w:cs="仿宋"/>
          <w:sz w:val="32"/>
          <w:szCs w:val="32"/>
        </w:rPr>
        <w:t>医疗机构的就医环境、服务能力、服务流程进一步改善。基层医疗机构医防结合能力得到加强，抗击疫情哨点作用发挥越来越明显。</w:t>
      </w:r>
    </w:p>
    <w:p w14:paraId="70F650D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（二）存在的问题。</w:t>
      </w:r>
    </w:p>
    <w:p w14:paraId="6508A0A3">
      <w:pPr>
        <w:spacing w:line="580" w:lineRule="exact"/>
        <w:ind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1.由于我</w:t>
      </w:r>
      <w:r>
        <w:rPr>
          <w:rFonts w:hint="eastAsia" w:ascii="仿宋" w:hAnsi="仿宋" w:eastAsia="仿宋" w:cs="仿宋"/>
          <w:sz w:val="32"/>
          <w:szCs w:val="32"/>
          <w:shd w:val="clear" w:color="auto" w:fill="FFFFFF"/>
          <w:lang w:eastAsia="zh-CN"/>
        </w:rPr>
        <w:t>疫情原因，乡卫生院跟村卫生室病人减少严重</w:t>
      </w:r>
      <w:r>
        <w:rPr>
          <w:rFonts w:hint="eastAsia" w:ascii="仿宋" w:hAnsi="仿宋" w:eastAsia="仿宋" w:cs="仿宋"/>
          <w:sz w:val="32"/>
          <w:szCs w:val="32"/>
          <w:shd w:val="clear" w:color="auto" w:fill="FFFFFF"/>
        </w:rPr>
        <w:t>，</w:t>
      </w:r>
      <w:r>
        <w:rPr>
          <w:rFonts w:hint="eastAsia" w:ascii="仿宋" w:hAnsi="仿宋" w:eastAsia="仿宋" w:cs="仿宋"/>
          <w:sz w:val="32"/>
          <w:szCs w:val="32"/>
          <w:shd w:val="clear" w:color="auto" w:fill="FFFFFF"/>
          <w:lang w:eastAsia="zh-CN"/>
        </w:rPr>
        <w:t>医院跟卫生室收入减少，医保限制药品也太多，</w:t>
      </w:r>
      <w:r>
        <w:rPr>
          <w:rFonts w:hint="eastAsia" w:ascii="仿宋" w:hAnsi="仿宋" w:eastAsia="仿宋" w:cs="仿宋"/>
          <w:sz w:val="32"/>
          <w:szCs w:val="32"/>
          <w:shd w:val="clear" w:color="auto" w:fill="FFFFFF"/>
        </w:rPr>
        <w:t>导致</w:t>
      </w:r>
      <w:r>
        <w:rPr>
          <w:rFonts w:hint="eastAsia" w:ascii="仿宋" w:hAnsi="仿宋" w:eastAsia="仿宋" w:cs="仿宋"/>
          <w:sz w:val="32"/>
          <w:szCs w:val="32"/>
          <w:shd w:val="clear" w:color="auto" w:fill="FFFFFF"/>
          <w:lang w:eastAsia="zh-CN"/>
        </w:rPr>
        <w:t>村医</w:t>
      </w:r>
      <w:r>
        <w:rPr>
          <w:rFonts w:hint="eastAsia" w:ascii="仿宋" w:hAnsi="仿宋" w:eastAsia="仿宋" w:cs="仿宋"/>
          <w:sz w:val="32"/>
          <w:szCs w:val="32"/>
          <w:shd w:val="clear" w:color="auto" w:fill="FFFFFF"/>
        </w:rPr>
        <w:t>积极性不高，落实基本药物制度不到位。</w:t>
      </w:r>
    </w:p>
    <w:p w14:paraId="3D94981C">
      <w:pPr>
        <w:spacing w:line="580" w:lineRule="exact"/>
        <w:ind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2.</w:t>
      </w:r>
      <w:r>
        <w:rPr>
          <w:rFonts w:hint="eastAsia" w:ascii="仿宋" w:hAnsi="仿宋" w:eastAsia="仿宋" w:cs="仿宋"/>
          <w:sz w:val="32"/>
          <w:szCs w:val="32"/>
          <w:shd w:val="clear" w:color="auto" w:fill="FFFFFF"/>
          <w:lang w:eastAsia="zh-CN"/>
        </w:rPr>
        <w:t>卫生院的</w:t>
      </w:r>
      <w:r>
        <w:rPr>
          <w:rFonts w:hint="eastAsia" w:ascii="仿宋" w:hAnsi="仿宋" w:eastAsia="仿宋" w:cs="仿宋"/>
          <w:sz w:val="32"/>
          <w:szCs w:val="32"/>
          <w:shd w:val="clear" w:color="auto" w:fill="FFFFFF"/>
        </w:rPr>
        <w:t>基本药物挂网采购价格普遍较高，药店和社会办医在药品销售上站一定的优势，人民群众对政府举办的基层医疗机构药品价格产生质疑。</w:t>
      </w:r>
    </w:p>
    <w:p w14:paraId="3528888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（三）相关建议。</w:t>
      </w:r>
    </w:p>
    <w:p w14:paraId="11DB3D25">
      <w:pPr>
        <w:spacing w:line="580" w:lineRule="exact"/>
        <w:ind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下一步我</w:t>
      </w:r>
      <w:r>
        <w:rPr>
          <w:rFonts w:hint="eastAsia" w:ascii="仿宋" w:hAnsi="仿宋" w:eastAsia="仿宋" w:cs="仿宋"/>
          <w:sz w:val="32"/>
          <w:szCs w:val="32"/>
          <w:shd w:val="clear" w:color="auto" w:fill="FFFFFF"/>
          <w:lang w:eastAsia="zh-CN"/>
        </w:rPr>
        <w:t>院</w:t>
      </w:r>
      <w:r>
        <w:rPr>
          <w:rFonts w:hint="eastAsia" w:ascii="仿宋" w:hAnsi="仿宋" w:eastAsia="仿宋" w:cs="仿宋"/>
          <w:sz w:val="32"/>
          <w:szCs w:val="32"/>
          <w:shd w:val="clear" w:color="auto" w:fill="FFFFFF"/>
        </w:rPr>
        <w:t>将充分结合自身的情况，</w:t>
      </w:r>
      <w:r>
        <w:rPr>
          <w:rFonts w:hint="eastAsia" w:ascii="仿宋" w:hAnsi="仿宋" w:eastAsia="仿宋" w:cs="仿宋"/>
          <w:b w:val="0"/>
          <w:bCs/>
          <w:sz w:val="32"/>
          <w:szCs w:val="32"/>
          <w:shd w:val="clear" w:color="auto" w:fill="FFFFFF"/>
        </w:rPr>
        <w:t>一是</w:t>
      </w:r>
      <w:r>
        <w:rPr>
          <w:rFonts w:hint="eastAsia" w:ascii="仿宋" w:hAnsi="仿宋" w:eastAsia="仿宋" w:cs="仿宋"/>
          <w:sz w:val="32"/>
          <w:szCs w:val="32"/>
          <w:shd w:val="clear" w:color="auto" w:fill="FFFFFF"/>
        </w:rPr>
        <w:t>强弱项，补短板，积极争取政府的支持，科学设置村卫生室，形成稳定的村卫生室+稳定的村医收入，确保人民群众能就近就医，为乡村振兴提高良好的农村医疗环境；</w:t>
      </w:r>
      <w:r>
        <w:rPr>
          <w:rFonts w:hint="eastAsia" w:ascii="仿宋" w:hAnsi="仿宋" w:eastAsia="仿宋" w:cs="仿宋"/>
          <w:b w:val="0"/>
          <w:bCs/>
          <w:sz w:val="32"/>
          <w:szCs w:val="32"/>
          <w:shd w:val="clear" w:color="auto" w:fill="FFFFFF"/>
        </w:rPr>
        <w:t>二是</w:t>
      </w:r>
      <w:r>
        <w:rPr>
          <w:rFonts w:hint="eastAsia" w:ascii="仿宋" w:hAnsi="仿宋" w:eastAsia="仿宋" w:cs="仿宋"/>
          <w:sz w:val="32"/>
          <w:szCs w:val="32"/>
          <w:shd w:val="clear" w:color="auto" w:fill="FFFFFF"/>
        </w:rPr>
        <w:t>充分利用我县县域紧密型医共体试点县的契机，科学谋划，统筹考虑，在医共体政策体系更加完善，保障机制更加健全，建成目标明确、权责清晰、分工协作、有效运行的整合型医疗卫生体系上将基本药物制度在基层医疗机构落地落实，彻底解除以药补医机制，力促</w:t>
      </w:r>
      <w:r>
        <w:rPr>
          <w:rFonts w:hint="eastAsia" w:ascii="仿宋" w:hAnsi="仿宋" w:eastAsia="仿宋" w:cs="仿宋"/>
          <w:sz w:val="32"/>
          <w:szCs w:val="32"/>
          <w:shd w:val="clear" w:color="auto" w:fill="FFFFFF"/>
          <w:lang w:eastAsia="zh-CN"/>
        </w:rPr>
        <w:t>本机构</w:t>
      </w:r>
      <w:r>
        <w:rPr>
          <w:rFonts w:hint="eastAsia" w:ascii="仿宋" w:hAnsi="仿宋" w:eastAsia="仿宋" w:cs="仿宋"/>
          <w:sz w:val="32"/>
          <w:szCs w:val="32"/>
          <w:shd w:val="clear" w:color="auto" w:fill="FFFFFF"/>
        </w:rPr>
        <w:t>门（急）诊人次和住院人次占比较前一年度提升5 个百分点，</w:t>
      </w:r>
      <w:r>
        <w:rPr>
          <w:rFonts w:hint="eastAsia" w:ascii="仿宋" w:hAnsi="仿宋" w:eastAsia="仿宋" w:cs="仿宋"/>
          <w:sz w:val="32"/>
          <w:szCs w:val="32"/>
          <w:shd w:val="clear" w:color="auto" w:fill="FFFFFF"/>
          <w:lang w:eastAsia="zh-CN"/>
        </w:rPr>
        <w:t>本机构</w:t>
      </w:r>
      <w:r>
        <w:rPr>
          <w:rFonts w:hint="eastAsia" w:ascii="仿宋" w:hAnsi="仿宋" w:eastAsia="仿宋" w:cs="仿宋"/>
          <w:sz w:val="32"/>
          <w:szCs w:val="32"/>
          <w:shd w:val="clear" w:color="auto" w:fill="FFFFFF"/>
        </w:rPr>
        <w:t>开展技术、项目的能力不断增加，基本实现“大病不出县、小病不出乡（镇）”。</w:t>
      </w:r>
    </w:p>
    <w:p w14:paraId="40E4943B">
      <w:pPr>
        <w:spacing w:line="580" w:lineRule="exact"/>
        <w:ind w:firstLine="640" w:firstLineChars="200"/>
        <w:rPr>
          <w:rFonts w:hint="eastAsia" w:ascii="仿宋" w:hAnsi="仿宋" w:eastAsia="仿宋" w:cs="仿宋"/>
          <w:sz w:val="32"/>
          <w:szCs w:val="32"/>
          <w:shd w:val="clear" w:color="auto" w:fill="FFFFFF"/>
        </w:rPr>
      </w:pPr>
    </w:p>
    <w:p w14:paraId="137EC0CC">
      <w:pPr>
        <w:spacing w:line="580" w:lineRule="exact"/>
        <w:ind w:firstLine="640" w:firstLineChars="200"/>
        <w:rPr>
          <w:rFonts w:hint="eastAsia" w:ascii="仿宋" w:hAnsi="仿宋" w:eastAsia="仿宋" w:cs="仿宋"/>
          <w:sz w:val="32"/>
          <w:szCs w:val="32"/>
          <w:shd w:val="clear" w:color="auto" w:fill="FFFFFF"/>
        </w:rPr>
      </w:pPr>
    </w:p>
    <w:p w14:paraId="3DAD18A0">
      <w:pPr>
        <w:spacing w:line="580" w:lineRule="exact"/>
        <w:ind w:firstLine="640" w:firstLineChars="200"/>
        <w:rPr>
          <w:rFonts w:hint="eastAsia" w:ascii="仿宋" w:hAnsi="仿宋" w:eastAsia="仿宋" w:cs="仿宋"/>
          <w:sz w:val="32"/>
          <w:szCs w:val="32"/>
          <w:shd w:val="clear" w:color="auto" w:fill="FFFFFF"/>
        </w:rPr>
      </w:pPr>
    </w:p>
    <w:p w14:paraId="4121CEDD">
      <w:pPr>
        <w:spacing w:line="580" w:lineRule="exact"/>
        <w:ind w:firstLine="640" w:firstLineChars="200"/>
        <w:rPr>
          <w:rFonts w:hint="eastAsia" w:ascii="仿宋" w:hAnsi="仿宋" w:eastAsia="仿宋" w:cs="仿宋"/>
          <w:sz w:val="32"/>
          <w:szCs w:val="32"/>
          <w:shd w:val="clear" w:color="auto" w:fill="FFFFFF"/>
        </w:rPr>
      </w:pPr>
    </w:p>
    <w:p w14:paraId="4D035B85">
      <w:pPr>
        <w:spacing w:line="580" w:lineRule="exact"/>
        <w:ind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br w:type="textWrapping"/>
      </w:r>
    </w:p>
    <w:p w14:paraId="2BCFB4D8">
      <w:pPr>
        <w:spacing w:line="580" w:lineRule="exact"/>
        <w:ind w:firstLine="640" w:firstLineChars="200"/>
        <w:rPr>
          <w:rFonts w:hint="eastAsia" w:ascii="仿宋" w:hAnsi="仿宋" w:eastAsia="仿宋" w:cs="仿宋"/>
          <w:sz w:val="32"/>
          <w:szCs w:val="32"/>
          <w:shd w:val="clear" w:color="auto" w:fill="FFFFFF"/>
        </w:rPr>
      </w:pPr>
    </w:p>
    <w:p w14:paraId="6108456F">
      <w:pPr>
        <w:spacing w:line="600" w:lineRule="exact"/>
        <w:ind w:firstLine="3080" w:firstLineChars="700"/>
        <w:jc w:val="both"/>
        <w:outlineLvl w:val="0"/>
        <w:rPr>
          <w:rFonts w:hint="eastAsia" w:ascii="黑体" w:hAnsi="黑体" w:eastAsia="黑体"/>
          <w:color w:val="000000"/>
          <w:sz w:val="44"/>
          <w:szCs w:val="44"/>
        </w:rPr>
      </w:pPr>
    </w:p>
    <w:p w14:paraId="316B3850">
      <w:pPr>
        <w:spacing w:line="600" w:lineRule="exact"/>
        <w:ind w:firstLine="3080" w:firstLineChars="700"/>
        <w:jc w:val="both"/>
        <w:outlineLvl w:val="0"/>
        <w:rPr>
          <w:rStyle w:val="26"/>
          <w:rFonts w:ascii="黑体" w:hAnsi="黑体" w:eastAsia="黑体"/>
          <w:b w:val="0"/>
        </w:rPr>
      </w:pPr>
      <w:r>
        <w:rPr>
          <w:rFonts w:hint="eastAsia" w:ascii="黑体" w:hAnsi="黑体" w:eastAsia="黑体"/>
          <w:color w:val="000000"/>
          <w:sz w:val="44"/>
          <w:szCs w:val="44"/>
        </w:rPr>
        <w:t>第</w:t>
      </w:r>
      <w:r>
        <w:rPr>
          <w:rStyle w:val="26"/>
          <w:rFonts w:hint="eastAsia" w:ascii="黑体" w:hAnsi="黑体" w:eastAsia="黑体"/>
          <w:b w:val="0"/>
        </w:rPr>
        <w:t>五部分 附表</w:t>
      </w:r>
      <w:bookmarkEnd w:id="90"/>
      <w:bookmarkEnd w:id="92"/>
      <w:bookmarkEnd w:id="93"/>
    </w:p>
    <w:p w14:paraId="33B0669F">
      <w:pPr>
        <w:pStyle w:val="3"/>
        <w:rPr>
          <w:rFonts w:ascii="仿宋" w:hAnsi="仿宋" w:eastAsia="仿宋"/>
          <w:color w:val="000000"/>
        </w:rPr>
      </w:pPr>
      <w:bookmarkStart w:id="94" w:name="_Toc52180100"/>
      <w:bookmarkStart w:id="95" w:name="_Toc15396619"/>
      <w:r>
        <w:rPr>
          <w:rFonts w:hint="eastAsia" w:ascii="仿宋" w:hAnsi="仿宋" w:eastAsia="仿宋"/>
          <w:b w:val="0"/>
          <w:color w:val="000000"/>
        </w:rPr>
        <w:t>一、收</w:t>
      </w:r>
      <w:r>
        <w:rPr>
          <w:rStyle w:val="27"/>
          <w:rFonts w:hint="eastAsia" w:ascii="仿宋" w:hAnsi="仿宋" w:eastAsia="仿宋"/>
          <w:b w:val="0"/>
          <w:bCs w:val="0"/>
        </w:rPr>
        <w:t>入支出决算总表</w:t>
      </w:r>
      <w:bookmarkEnd w:id="94"/>
      <w:bookmarkEnd w:id="95"/>
    </w:p>
    <w:p w14:paraId="3B707C31">
      <w:pPr>
        <w:pStyle w:val="3"/>
        <w:rPr>
          <w:rFonts w:ascii="仿宋" w:hAnsi="仿宋" w:eastAsia="仿宋"/>
          <w:color w:val="000000"/>
        </w:rPr>
      </w:pPr>
      <w:bookmarkStart w:id="96" w:name="_Toc52180101"/>
      <w:bookmarkStart w:id="97" w:name="_Toc15396620"/>
      <w:r>
        <w:rPr>
          <w:rFonts w:hint="eastAsia" w:ascii="仿宋" w:hAnsi="仿宋" w:eastAsia="仿宋"/>
          <w:b w:val="0"/>
          <w:color w:val="000000"/>
        </w:rPr>
        <w:t>二、收</w:t>
      </w:r>
      <w:r>
        <w:rPr>
          <w:rStyle w:val="27"/>
          <w:rFonts w:hint="eastAsia" w:ascii="仿宋" w:hAnsi="仿宋" w:eastAsia="仿宋"/>
          <w:b w:val="0"/>
          <w:bCs w:val="0"/>
        </w:rPr>
        <w:t>入决算表</w:t>
      </w:r>
      <w:bookmarkEnd w:id="96"/>
      <w:bookmarkEnd w:id="97"/>
    </w:p>
    <w:p w14:paraId="2C32130D">
      <w:pPr>
        <w:pStyle w:val="3"/>
        <w:rPr>
          <w:rFonts w:ascii="仿宋" w:hAnsi="仿宋" w:eastAsia="仿宋"/>
          <w:color w:val="000000"/>
        </w:rPr>
      </w:pPr>
      <w:bookmarkStart w:id="98" w:name="_Toc52180102"/>
      <w:bookmarkStart w:id="99" w:name="_Toc15396621"/>
      <w:r>
        <w:rPr>
          <w:rStyle w:val="27"/>
          <w:rFonts w:hint="eastAsia" w:ascii="仿宋" w:hAnsi="仿宋" w:eastAsia="仿宋"/>
          <w:b w:val="0"/>
          <w:bCs w:val="0"/>
        </w:rPr>
        <w:t>三、</w:t>
      </w:r>
      <w:r>
        <w:rPr>
          <w:rFonts w:hint="eastAsia" w:ascii="仿宋" w:hAnsi="仿宋" w:eastAsia="仿宋"/>
          <w:b w:val="0"/>
          <w:color w:val="000000"/>
        </w:rPr>
        <w:t>支</w:t>
      </w:r>
      <w:r>
        <w:rPr>
          <w:rStyle w:val="27"/>
          <w:rFonts w:hint="eastAsia" w:ascii="仿宋" w:hAnsi="仿宋" w:eastAsia="仿宋"/>
          <w:b w:val="0"/>
          <w:bCs w:val="0"/>
        </w:rPr>
        <w:t>出决算表</w:t>
      </w:r>
      <w:bookmarkEnd w:id="98"/>
      <w:bookmarkEnd w:id="99"/>
    </w:p>
    <w:p w14:paraId="6B53F2A9">
      <w:pPr>
        <w:pStyle w:val="3"/>
        <w:rPr>
          <w:rFonts w:ascii="仿宋" w:hAnsi="仿宋" w:eastAsia="仿宋"/>
          <w:b w:val="0"/>
          <w:color w:val="000000"/>
        </w:rPr>
      </w:pPr>
      <w:bookmarkStart w:id="100" w:name="_Toc52180103"/>
      <w:bookmarkStart w:id="101" w:name="_Toc15396622"/>
      <w:r>
        <w:rPr>
          <w:rStyle w:val="27"/>
          <w:rFonts w:hint="eastAsia" w:ascii="仿宋" w:hAnsi="仿宋" w:eastAsia="仿宋"/>
          <w:b w:val="0"/>
          <w:bCs w:val="0"/>
        </w:rPr>
        <w:t>四、</w:t>
      </w:r>
      <w:r>
        <w:rPr>
          <w:rFonts w:hint="eastAsia" w:ascii="仿宋" w:hAnsi="仿宋" w:eastAsia="仿宋"/>
          <w:b w:val="0"/>
          <w:color w:val="000000"/>
        </w:rPr>
        <w:t>财</w:t>
      </w:r>
      <w:r>
        <w:rPr>
          <w:rStyle w:val="27"/>
          <w:rFonts w:hint="eastAsia" w:ascii="仿宋" w:hAnsi="仿宋" w:eastAsia="仿宋"/>
          <w:b w:val="0"/>
          <w:bCs w:val="0"/>
        </w:rPr>
        <w:t>政拨款收入支出决算总表</w:t>
      </w:r>
      <w:bookmarkEnd w:id="100"/>
      <w:bookmarkEnd w:id="101"/>
    </w:p>
    <w:p w14:paraId="699131A5">
      <w:pPr>
        <w:pStyle w:val="3"/>
        <w:rPr>
          <w:rStyle w:val="27"/>
          <w:rFonts w:ascii="仿宋" w:hAnsi="仿宋" w:eastAsia="仿宋"/>
          <w:b w:val="0"/>
          <w:bCs w:val="0"/>
        </w:rPr>
      </w:pPr>
      <w:bookmarkStart w:id="102" w:name="_Toc15396623"/>
      <w:bookmarkStart w:id="103" w:name="_Toc52180104"/>
      <w:r>
        <w:rPr>
          <w:rStyle w:val="27"/>
          <w:rFonts w:hint="eastAsia" w:ascii="仿宋" w:hAnsi="仿宋" w:eastAsia="仿宋"/>
          <w:b w:val="0"/>
          <w:bCs w:val="0"/>
        </w:rPr>
        <w:t>五、</w:t>
      </w:r>
      <w:r>
        <w:rPr>
          <w:rFonts w:hint="eastAsia" w:ascii="仿宋" w:hAnsi="仿宋" w:eastAsia="仿宋"/>
          <w:b w:val="0"/>
          <w:color w:val="000000"/>
        </w:rPr>
        <w:t>财</w:t>
      </w:r>
      <w:r>
        <w:rPr>
          <w:rStyle w:val="27"/>
          <w:rFonts w:hint="eastAsia" w:ascii="仿宋" w:hAnsi="仿宋" w:eastAsia="仿宋"/>
          <w:b w:val="0"/>
          <w:bCs w:val="0"/>
        </w:rPr>
        <w:t>政拨款支出决算明细表</w:t>
      </w:r>
      <w:bookmarkEnd w:id="102"/>
      <w:bookmarkEnd w:id="103"/>
      <w:bookmarkStart w:id="104" w:name="_Toc15396624"/>
    </w:p>
    <w:p w14:paraId="7E51D209">
      <w:pPr>
        <w:pStyle w:val="3"/>
        <w:rPr>
          <w:rFonts w:ascii="仿宋" w:hAnsi="仿宋" w:eastAsia="仿宋"/>
          <w:color w:val="000000"/>
        </w:rPr>
      </w:pPr>
      <w:bookmarkStart w:id="105" w:name="_Toc52180105"/>
      <w:r>
        <w:rPr>
          <w:rStyle w:val="27"/>
          <w:rFonts w:hint="eastAsia" w:ascii="仿宋" w:hAnsi="仿宋" w:eastAsia="仿宋"/>
          <w:b w:val="0"/>
          <w:bCs w:val="0"/>
        </w:rPr>
        <w:t>六、</w:t>
      </w:r>
      <w:r>
        <w:rPr>
          <w:rFonts w:hint="eastAsia" w:ascii="仿宋" w:hAnsi="仿宋" w:eastAsia="仿宋"/>
          <w:b w:val="0"/>
          <w:color w:val="000000"/>
        </w:rPr>
        <w:t>一</w:t>
      </w:r>
      <w:r>
        <w:rPr>
          <w:rStyle w:val="27"/>
          <w:rFonts w:hint="eastAsia" w:ascii="仿宋" w:hAnsi="仿宋" w:eastAsia="仿宋"/>
          <w:b w:val="0"/>
          <w:bCs w:val="0"/>
        </w:rPr>
        <w:t>般公共预算财政拨款支出决算表</w:t>
      </w:r>
      <w:bookmarkEnd w:id="104"/>
      <w:bookmarkEnd w:id="105"/>
    </w:p>
    <w:p w14:paraId="49E38072">
      <w:pPr>
        <w:pStyle w:val="3"/>
        <w:rPr>
          <w:rFonts w:ascii="仿宋" w:hAnsi="仿宋" w:eastAsia="仿宋"/>
          <w:color w:val="000000"/>
        </w:rPr>
      </w:pPr>
      <w:bookmarkStart w:id="106" w:name="_Toc52180106"/>
      <w:bookmarkStart w:id="107" w:name="_Toc15396625"/>
      <w:r>
        <w:rPr>
          <w:rStyle w:val="27"/>
          <w:rFonts w:hint="eastAsia" w:ascii="仿宋" w:hAnsi="仿宋" w:eastAsia="仿宋"/>
          <w:b w:val="0"/>
          <w:bCs w:val="0"/>
        </w:rPr>
        <w:t>七、</w:t>
      </w:r>
      <w:r>
        <w:rPr>
          <w:rFonts w:hint="eastAsia" w:ascii="仿宋" w:hAnsi="仿宋" w:eastAsia="仿宋"/>
          <w:b w:val="0"/>
          <w:color w:val="000000"/>
        </w:rPr>
        <w:t>一</w:t>
      </w:r>
      <w:r>
        <w:rPr>
          <w:rStyle w:val="27"/>
          <w:rFonts w:hint="eastAsia" w:ascii="仿宋" w:hAnsi="仿宋" w:eastAsia="仿宋"/>
          <w:b w:val="0"/>
          <w:bCs w:val="0"/>
        </w:rPr>
        <w:t>般公共预算财政拨款支出决算明细表</w:t>
      </w:r>
      <w:bookmarkEnd w:id="106"/>
      <w:bookmarkEnd w:id="107"/>
    </w:p>
    <w:p w14:paraId="09AF6746">
      <w:pPr>
        <w:pStyle w:val="3"/>
        <w:rPr>
          <w:rFonts w:ascii="仿宋" w:hAnsi="仿宋" w:eastAsia="仿宋"/>
          <w:color w:val="000000"/>
        </w:rPr>
      </w:pPr>
      <w:bookmarkStart w:id="108" w:name="_Toc15396626"/>
      <w:bookmarkStart w:id="109" w:name="_Toc52180107"/>
      <w:r>
        <w:rPr>
          <w:rStyle w:val="27"/>
          <w:rFonts w:hint="eastAsia" w:ascii="仿宋" w:hAnsi="仿宋" w:eastAsia="仿宋"/>
          <w:b w:val="0"/>
          <w:bCs w:val="0"/>
        </w:rPr>
        <w:t>八、</w:t>
      </w:r>
      <w:r>
        <w:rPr>
          <w:rFonts w:hint="eastAsia" w:ascii="仿宋" w:hAnsi="仿宋" w:eastAsia="仿宋"/>
          <w:b w:val="0"/>
          <w:color w:val="000000"/>
        </w:rPr>
        <w:t>一</w:t>
      </w:r>
      <w:r>
        <w:rPr>
          <w:rStyle w:val="27"/>
          <w:rFonts w:hint="eastAsia" w:ascii="仿宋" w:hAnsi="仿宋" w:eastAsia="仿宋"/>
          <w:b w:val="0"/>
          <w:bCs w:val="0"/>
        </w:rPr>
        <w:t>般公共预算财政拨款基本支出决算表</w:t>
      </w:r>
      <w:bookmarkEnd w:id="108"/>
      <w:bookmarkEnd w:id="109"/>
    </w:p>
    <w:p w14:paraId="5729FCC8">
      <w:pPr>
        <w:pStyle w:val="3"/>
        <w:rPr>
          <w:rFonts w:ascii="仿宋" w:hAnsi="仿宋" w:eastAsia="仿宋"/>
          <w:color w:val="000000"/>
        </w:rPr>
      </w:pPr>
      <w:bookmarkStart w:id="110" w:name="_Toc52180108"/>
      <w:bookmarkStart w:id="111" w:name="_Toc15396627"/>
      <w:r>
        <w:rPr>
          <w:rStyle w:val="27"/>
          <w:rFonts w:hint="eastAsia" w:ascii="仿宋" w:hAnsi="仿宋" w:eastAsia="仿宋"/>
          <w:b w:val="0"/>
          <w:bCs w:val="0"/>
        </w:rPr>
        <w:t>九、</w:t>
      </w:r>
      <w:r>
        <w:rPr>
          <w:rFonts w:hint="eastAsia" w:ascii="仿宋" w:hAnsi="仿宋" w:eastAsia="仿宋"/>
          <w:b w:val="0"/>
          <w:color w:val="000000"/>
        </w:rPr>
        <w:t>一</w:t>
      </w:r>
      <w:r>
        <w:rPr>
          <w:rStyle w:val="27"/>
          <w:rFonts w:hint="eastAsia" w:ascii="仿宋" w:hAnsi="仿宋" w:eastAsia="仿宋"/>
          <w:b w:val="0"/>
          <w:bCs w:val="0"/>
        </w:rPr>
        <w:t>般公共预算财政拨款项目支出决算表</w:t>
      </w:r>
      <w:bookmarkEnd w:id="110"/>
      <w:bookmarkEnd w:id="111"/>
    </w:p>
    <w:p w14:paraId="38B01820">
      <w:pPr>
        <w:pStyle w:val="3"/>
        <w:rPr>
          <w:rFonts w:ascii="仿宋" w:hAnsi="仿宋" w:eastAsia="仿宋"/>
          <w:color w:val="000000"/>
        </w:rPr>
      </w:pPr>
      <w:bookmarkStart w:id="112" w:name="_Toc15396628"/>
      <w:bookmarkStart w:id="113" w:name="_Toc52180109"/>
      <w:r>
        <w:rPr>
          <w:rStyle w:val="27"/>
          <w:rFonts w:hint="eastAsia" w:ascii="仿宋" w:hAnsi="仿宋" w:eastAsia="仿宋"/>
          <w:b w:val="0"/>
          <w:bCs w:val="0"/>
        </w:rPr>
        <w:t>十、</w:t>
      </w:r>
      <w:r>
        <w:rPr>
          <w:rFonts w:hint="eastAsia" w:ascii="仿宋" w:hAnsi="仿宋" w:eastAsia="仿宋"/>
          <w:b w:val="0"/>
          <w:color w:val="000000"/>
        </w:rPr>
        <w:t>一</w:t>
      </w:r>
      <w:r>
        <w:rPr>
          <w:rStyle w:val="27"/>
          <w:rFonts w:hint="eastAsia" w:ascii="仿宋" w:hAnsi="仿宋" w:eastAsia="仿宋"/>
          <w:b w:val="0"/>
          <w:bCs w:val="0"/>
        </w:rPr>
        <w:t>般公共预算财政拨款“三公”经费支出决算表</w:t>
      </w:r>
      <w:bookmarkEnd w:id="112"/>
      <w:bookmarkEnd w:id="113"/>
    </w:p>
    <w:p w14:paraId="25946232">
      <w:pPr>
        <w:pStyle w:val="3"/>
        <w:rPr>
          <w:rFonts w:ascii="仿宋" w:hAnsi="仿宋" w:eastAsia="仿宋"/>
          <w:color w:val="000000"/>
        </w:rPr>
      </w:pPr>
      <w:bookmarkStart w:id="114" w:name="_Toc52180110"/>
      <w:bookmarkStart w:id="115" w:name="_Toc15396629"/>
      <w:r>
        <w:rPr>
          <w:rStyle w:val="27"/>
          <w:rFonts w:hint="eastAsia" w:ascii="仿宋" w:hAnsi="仿宋" w:eastAsia="仿宋"/>
          <w:b w:val="0"/>
          <w:bCs w:val="0"/>
        </w:rPr>
        <w:t>十一、</w:t>
      </w:r>
      <w:r>
        <w:rPr>
          <w:rFonts w:hint="eastAsia" w:ascii="仿宋" w:hAnsi="仿宋" w:eastAsia="仿宋"/>
          <w:b w:val="0"/>
          <w:color w:val="000000"/>
        </w:rPr>
        <w:t>政</w:t>
      </w:r>
      <w:r>
        <w:rPr>
          <w:rStyle w:val="27"/>
          <w:rFonts w:hint="eastAsia" w:ascii="仿宋" w:hAnsi="仿宋" w:eastAsia="仿宋"/>
          <w:b w:val="0"/>
          <w:bCs w:val="0"/>
        </w:rPr>
        <w:t>府性基金预算财政拨款收入支出决算表</w:t>
      </w:r>
      <w:bookmarkEnd w:id="114"/>
      <w:bookmarkEnd w:id="115"/>
    </w:p>
    <w:p w14:paraId="7D9C4ACC">
      <w:pPr>
        <w:pStyle w:val="3"/>
        <w:rPr>
          <w:rStyle w:val="27"/>
          <w:rFonts w:hint="eastAsia" w:ascii="仿宋" w:hAnsi="仿宋" w:eastAsia="仿宋"/>
          <w:b w:val="0"/>
          <w:bCs w:val="0"/>
        </w:rPr>
      </w:pPr>
      <w:bookmarkStart w:id="116" w:name="_Toc15396630"/>
      <w:bookmarkStart w:id="117" w:name="_Toc52180111"/>
      <w:r>
        <w:rPr>
          <w:rStyle w:val="27"/>
          <w:rFonts w:hint="eastAsia" w:ascii="仿宋" w:hAnsi="仿宋" w:eastAsia="仿宋"/>
          <w:b w:val="0"/>
          <w:bCs w:val="0"/>
        </w:rPr>
        <w:t>十二、</w:t>
      </w:r>
      <w:r>
        <w:rPr>
          <w:rFonts w:hint="eastAsia" w:ascii="仿宋" w:hAnsi="仿宋" w:eastAsia="仿宋"/>
          <w:b w:val="0"/>
          <w:color w:val="000000"/>
        </w:rPr>
        <w:t>政</w:t>
      </w:r>
      <w:r>
        <w:rPr>
          <w:rStyle w:val="27"/>
          <w:rFonts w:hint="eastAsia" w:ascii="仿宋" w:hAnsi="仿宋" w:eastAsia="仿宋"/>
          <w:b w:val="0"/>
          <w:bCs w:val="0"/>
        </w:rPr>
        <w:t>府性基金预算财政拨款“三公”经费支出决算表</w:t>
      </w:r>
      <w:bookmarkEnd w:id="116"/>
      <w:bookmarkEnd w:id="117"/>
      <w:bookmarkStart w:id="118" w:name="_Toc52180112"/>
      <w:bookmarkStart w:id="119" w:name="_Toc15396631"/>
    </w:p>
    <w:p w14:paraId="50B6EB5E">
      <w:pPr>
        <w:pStyle w:val="3"/>
        <w:rPr>
          <w:rStyle w:val="27"/>
          <w:rFonts w:hint="eastAsia" w:ascii="仿宋" w:hAnsi="仿宋" w:eastAsia="仿宋"/>
          <w:b w:val="0"/>
          <w:bCs w:val="0"/>
          <w:lang w:eastAsia="zh-CN"/>
        </w:rPr>
      </w:pPr>
      <w:r>
        <w:rPr>
          <w:rStyle w:val="27"/>
          <w:rFonts w:hint="eastAsia" w:ascii="仿宋" w:hAnsi="仿宋" w:eastAsia="仿宋"/>
          <w:b w:val="0"/>
          <w:bCs w:val="0"/>
        </w:rPr>
        <w:t>十三、</w:t>
      </w:r>
      <w:bookmarkEnd w:id="118"/>
      <w:bookmarkEnd w:id="119"/>
      <w:r>
        <w:rPr>
          <w:rFonts w:hint="eastAsia" w:ascii="仿宋" w:hAnsi="仿宋" w:eastAsia="仿宋"/>
          <w:b w:val="0"/>
          <w:color w:val="000000"/>
          <w:lang w:eastAsia="zh-CN"/>
        </w:rPr>
        <w:t>国有资本经营预算财政拨款收入支出决算表</w:t>
      </w:r>
    </w:p>
    <w:p w14:paraId="0F730F10">
      <w:pPr>
        <w:rPr>
          <w:rFonts w:hint="eastAsia" w:eastAsia="仿宋"/>
          <w:lang w:eastAsia="zh-CN"/>
        </w:rPr>
      </w:pPr>
      <w:r>
        <w:rPr>
          <w:rStyle w:val="27"/>
          <w:rFonts w:hint="eastAsia" w:ascii="仿宋" w:hAnsi="仿宋" w:eastAsia="仿宋"/>
          <w:b w:val="0"/>
          <w:bCs w:val="0"/>
          <w:lang w:eastAsia="zh-CN"/>
        </w:rPr>
        <w:t>十四、国有资本经营预算财政拨款支出决算表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2DB1FB9C">
        <w:pPr>
          <w:pStyle w:val="9"/>
          <w:jc w:val="center"/>
        </w:pPr>
        <w:r>
          <w:fldChar w:fldCharType="begin"/>
        </w:r>
        <w:r>
          <w:instrText xml:space="preserve">PAGE   \* MERGEFORMAT</w:instrText>
        </w:r>
        <w:r>
          <w:fldChar w:fldCharType="separate"/>
        </w:r>
        <w:r>
          <w:rPr>
            <w:lang w:val="zh-CN"/>
          </w:rPr>
          <w:t>8</w:t>
        </w:r>
        <w:r>
          <w:rPr>
            <w:lang w:val="zh-CN"/>
          </w:rPr>
          <w:fldChar w:fldCharType="end"/>
        </w:r>
      </w:p>
    </w:sdtContent>
  </w:sdt>
  <w:p w14:paraId="345567B3">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7077C">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DD5228A7"/>
    <w:multiLevelType w:val="singleLevel"/>
    <w:tmpl w:val="DD5228A7"/>
    <w:lvl w:ilvl="0" w:tentative="0">
      <w:start w:val="2"/>
      <w:numFmt w:val="chineseCounting"/>
      <w:suff w:val="nothing"/>
      <w:lvlText w:val="（%1）"/>
      <w:lvlJc w:val="left"/>
      <w:pPr>
        <w:ind w:left="200"/>
      </w:pPr>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yNTc0OWRlYzVkNTRlNTQ0OTEzMDAzOWQ2ZTE1ZTkifQ=="/>
  </w:docVars>
  <w:rsids>
    <w:rsidRoot w:val="00F1361C"/>
    <w:rsid w:val="00010359"/>
    <w:rsid w:val="00014B99"/>
    <w:rsid w:val="000222C6"/>
    <w:rsid w:val="0002549F"/>
    <w:rsid w:val="00033BA1"/>
    <w:rsid w:val="000468DB"/>
    <w:rsid w:val="00052C86"/>
    <w:rsid w:val="0006487A"/>
    <w:rsid w:val="00065F8F"/>
    <w:rsid w:val="00070A43"/>
    <w:rsid w:val="00070E44"/>
    <w:rsid w:val="000768F2"/>
    <w:rsid w:val="0009184B"/>
    <w:rsid w:val="00094236"/>
    <w:rsid w:val="0009593C"/>
    <w:rsid w:val="000970B3"/>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3458D"/>
    <w:rsid w:val="00142216"/>
    <w:rsid w:val="00144D6A"/>
    <w:rsid w:val="0014729F"/>
    <w:rsid w:val="001578F8"/>
    <w:rsid w:val="00157BAB"/>
    <w:rsid w:val="001654D1"/>
    <w:rsid w:val="00174518"/>
    <w:rsid w:val="0018106D"/>
    <w:rsid w:val="001864F8"/>
    <w:rsid w:val="001877A7"/>
    <w:rsid w:val="00191536"/>
    <w:rsid w:val="00196687"/>
    <w:rsid w:val="001B6C70"/>
    <w:rsid w:val="001C0962"/>
    <w:rsid w:val="001D46C7"/>
    <w:rsid w:val="001D49D0"/>
    <w:rsid w:val="001D737A"/>
    <w:rsid w:val="001D7531"/>
    <w:rsid w:val="001E737D"/>
    <w:rsid w:val="001F0592"/>
    <w:rsid w:val="001F4DC1"/>
    <w:rsid w:val="001F7506"/>
    <w:rsid w:val="002006CD"/>
    <w:rsid w:val="00202B36"/>
    <w:rsid w:val="00204B7A"/>
    <w:rsid w:val="00204CDE"/>
    <w:rsid w:val="0021101A"/>
    <w:rsid w:val="00211E59"/>
    <w:rsid w:val="00215EC9"/>
    <w:rsid w:val="00220536"/>
    <w:rsid w:val="002340BC"/>
    <w:rsid w:val="00235629"/>
    <w:rsid w:val="00260C38"/>
    <w:rsid w:val="002616C0"/>
    <w:rsid w:val="00265372"/>
    <w:rsid w:val="002662AA"/>
    <w:rsid w:val="0027318D"/>
    <w:rsid w:val="00280496"/>
    <w:rsid w:val="002820FF"/>
    <w:rsid w:val="00286C24"/>
    <w:rsid w:val="00294DC9"/>
    <w:rsid w:val="00295495"/>
    <w:rsid w:val="002A31DE"/>
    <w:rsid w:val="002B2613"/>
    <w:rsid w:val="002B7A56"/>
    <w:rsid w:val="002D19B0"/>
    <w:rsid w:val="002D3FB0"/>
    <w:rsid w:val="002D6D05"/>
    <w:rsid w:val="002F1818"/>
    <w:rsid w:val="002F567B"/>
    <w:rsid w:val="00301029"/>
    <w:rsid w:val="003216A9"/>
    <w:rsid w:val="00335A74"/>
    <w:rsid w:val="00353438"/>
    <w:rsid w:val="0036561B"/>
    <w:rsid w:val="0037013F"/>
    <w:rsid w:val="00380C92"/>
    <w:rsid w:val="003971EF"/>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243EE"/>
    <w:rsid w:val="00434489"/>
    <w:rsid w:val="00437085"/>
    <w:rsid w:val="00443880"/>
    <w:rsid w:val="004464F4"/>
    <w:rsid w:val="004504F5"/>
    <w:rsid w:val="00465BCE"/>
    <w:rsid w:val="00465F60"/>
    <w:rsid w:val="00471401"/>
    <w:rsid w:val="00473F31"/>
    <w:rsid w:val="00474981"/>
    <w:rsid w:val="0048263A"/>
    <w:rsid w:val="00485143"/>
    <w:rsid w:val="00487E5D"/>
    <w:rsid w:val="004A711F"/>
    <w:rsid w:val="004B199D"/>
    <w:rsid w:val="004B3EA5"/>
    <w:rsid w:val="004B4690"/>
    <w:rsid w:val="004D084E"/>
    <w:rsid w:val="004E0A2D"/>
    <w:rsid w:val="004E206B"/>
    <w:rsid w:val="004E6DF7"/>
    <w:rsid w:val="004F0FBD"/>
    <w:rsid w:val="004F403E"/>
    <w:rsid w:val="004F5CA0"/>
    <w:rsid w:val="00505A47"/>
    <w:rsid w:val="00512FDA"/>
    <w:rsid w:val="00520DA0"/>
    <w:rsid w:val="00523B10"/>
    <w:rsid w:val="00543733"/>
    <w:rsid w:val="00547404"/>
    <w:rsid w:val="005664BB"/>
    <w:rsid w:val="00566FFA"/>
    <w:rsid w:val="0057481D"/>
    <w:rsid w:val="00574A4D"/>
    <w:rsid w:val="00575F0B"/>
    <w:rsid w:val="00575F60"/>
    <w:rsid w:val="0058486E"/>
    <w:rsid w:val="00585B33"/>
    <w:rsid w:val="0059014D"/>
    <w:rsid w:val="005A352A"/>
    <w:rsid w:val="005B5C64"/>
    <w:rsid w:val="005B6C7B"/>
    <w:rsid w:val="005C191C"/>
    <w:rsid w:val="005C6BD0"/>
    <w:rsid w:val="005C6C4C"/>
    <w:rsid w:val="005C7938"/>
    <w:rsid w:val="005D1C8B"/>
    <w:rsid w:val="005D282F"/>
    <w:rsid w:val="005D468D"/>
    <w:rsid w:val="005D5CED"/>
    <w:rsid w:val="005E10BE"/>
    <w:rsid w:val="005F1A17"/>
    <w:rsid w:val="005F1A4C"/>
    <w:rsid w:val="005F3515"/>
    <w:rsid w:val="005F4A69"/>
    <w:rsid w:val="00605688"/>
    <w:rsid w:val="006070AF"/>
    <w:rsid w:val="00607E6C"/>
    <w:rsid w:val="006101B1"/>
    <w:rsid w:val="00614E44"/>
    <w:rsid w:val="0062270A"/>
    <w:rsid w:val="00622830"/>
    <w:rsid w:val="00623A5B"/>
    <w:rsid w:val="00623DA0"/>
    <w:rsid w:val="00630AEF"/>
    <w:rsid w:val="006325F8"/>
    <w:rsid w:val="00633463"/>
    <w:rsid w:val="00634C9A"/>
    <w:rsid w:val="0064103D"/>
    <w:rsid w:val="006440E4"/>
    <w:rsid w:val="006624FA"/>
    <w:rsid w:val="0066343B"/>
    <w:rsid w:val="00664777"/>
    <w:rsid w:val="006748A4"/>
    <w:rsid w:val="00681A31"/>
    <w:rsid w:val="00683E73"/>
    <w:rsid w:val="006A3141"/>
    <w:rsid w:val="006A3261"/>
    <w:rsid w:val="006A5E34"/>
    <w:rsid w:val="006B2422"/>
    <w:rsid w:val="006B2B9A"/>
    <w:rsid w:val="006C1937"/>
    <w:rsid w:val="006F020C"/>
    <w:rsid w:val="006F2798"/>
    <w:rsid w:val="0070545A"/>
    <w:rsid w:val="00706DDF"/>
    <w:rsid w:val="007127B7"/>
    <w:rsid w:val="0071798E"/>
    <w:rsid w:val="00727533"/>
    <w:rsid w:val="007416B6"/>
    <w:rsid w:val="00746F48"/>
    <w:rsid w:val="0075404D"/>
    <w:rsid w:val="00760556"/>
    <w:rsid w:val="0076182A"/>
    <w:rsid w:val="00767B7E"/>
    <w:rsid w:val="00774152"/>
    <w:rsid w:val="007770C3"/>
    <w:rsid w:val="00784D24"/>
    <w:rsid w:val="00785FBA"/>
    <w:rsid w:val="00786E4A"/>
    <w:rsid w:val="007875EB"/>
    <w:rsid w:val="0079426B"/>
    <w:rsid w:val="007A1B2E"/>
    <w:rsid w:val="007D1682"/>
    <w:rsid w:val="007D312A"/>
    <w:rsid w:val="007D3F19"/>
    <w:rsid w:val="007D769B"/>
    <w:rsid w:val="007E23B0"/>
    <w:rsid w:val="007E5342"/>
    <w:rsid w:val="007F1991"/>
    <w:rsid w:val="007F2C2F"/>
    <w:rsid w:val="007F55FC"/>
    <w:rsid w:val="007F5665"/>
    <w:rsid w:val="007F63AF"/>
    <w:rsid w:val="00800112"/>
    <w:rsid w:val="00813348"/>
    <w:rsid w:val="008253BB"/>
    <w:rsid w:val="00833962"/>
    <w:rsid w:val="0083706E"/>
    <w:rsid w:val="00837275"/>
    <w:rsid w:val="008408F6"/>
    <w:rsid w:val="008423A5"/>
    <w:rsid w:val="00850625"/>
    <w:rsid w:val="00853718"/>
    <w:rsid w:val="00855221"/>
    <w:rsid w:val="00860645"/>
    <w:rsid w:val="00871F71"/>
    <w:rsid w:val="00872FD8"/>
    <w:rsid w:val="00873E67"/>
    <w:rsid w:val="00880CDF"/>
    <w:rsid w:val="00885AF4"/>
    <w:rsid w:val="00886964"/>
    <w:rsid w:val="008939CD"/>
    <w:rsid w:val="008B768C"/>
    <w:rsid w:val="008C4DB1"/>
    <w:rsid w:val="008C4EAF"/>
    <w:rsid w:val="008C5176"/>
    <w:rsid w:val="008C7FD0"/>
    <w:rsid w:val="008D1E84"/>
    <w:rsid w:val="008D59B1"/>
    <w:rsid w:val="008E1DE7"/>
    <w:rsid w:val="008E707C"/>
    <w:rsid w:val="00900B08"/>
    <w:rsid w:val="00902155"/>
    <w:rsid w:val="00902FA3"/>
    <w:rsid w:val="00923564"/>
    <w:rsid w:val="0092392E"/>
    <w:rsid w:val="00925988"/>
    <w:rsid w:val="009315F9"/>
    <w:rsid w:val="00933499"/>
    <w:rsid w:val="00935C98"/>
    <w:rsid w:val="00937D69"/>
    <w:rsid w:val="00946945"/>
    <w:rsid w:val="00951248"/>
    <w:rsid w:val="0095152F"/>
    <w:rsid w:val="00954C49"/>
    <w:rsid w:val="00955E37"/>
    <w:rsid w:val="0097099F"/>
    <w:rsid w:val="00971997"/>
    <w:rsid w:val="00971FFC"/>
    <w:rsid w:val="0098660A"/>
    <w:rsid w:val="00992298"/>
    <w:rsid w:val="009931C3"/>
    <w:rsid w:val="00995A35"/>
    <w:rsid w:val="009B2C43"/>
    <w:rsid w:val="009B4EAE"/>
    <w:rsid w:val="009B7573"/>
    <w:rsid w:val="009B7B1A"/>
    <w:rsid w:val="009C22F4"/>
    <w:rsid w:val="009C2E98"/>
    <w:rsid w:val="009C37FB"/>
    <w:rsid w:val="009D3447"/>
    <w:rsid w:val="009D4711"/>
    <w:rsid w:val="009F1185"/>
    <w:rsid w:val="009F18CD"/>
    <w:rsid w:val="009F2A13"/>
    <w:rsid w:val="009F7527"/>
    <w:rsid w:val="00A036C2"/>
    <w:rsid w:val="00A039ED"/>
    <w:rsid w:val="00A04EB0"/>
    <w:rsid w:val="00A13CC1"/>
    <w:rsid w:val="00A16847"/>
    <w:rsid w:val="00A237D8"/>
    <w:rsid w:val="00A268C4"/>
    <w:rsid w:val="00A272FC"/>
    <w:rsid w:val="00A307CD"/>
    <w:rsid w:val="00A331C8"/>
    <w:rsid w:val="00A35117"/>
    <w:rsid w:val="00A40A00"/>
    <w:rsid w:val="00A4142F"/>
    <w:rsid w:val="00A422EB"/>
    <w:rsid w:val="00A4347B"/>
    <w:rsid w:val="00A45BB7"/>
    <w:rsid w:val="00A56DF2"/>
    <w:rsid w:val="00A56E6E"/>
    <w:rsid w:val="00A61E20"/>
    <w:rsid w:val="00A67AB5"/>
    <w:rsid w:val="00A733B2"/>
    <w:rsid w:val="00A741C2"/>
    <w:rsid w:val="00A91760"/>
    <w:rsid w:val="00A93B00"/>
    <w:rsid w:val="00A93C21"/>
    <w:rsid w:val="00AA2485"/>
    <w:rsid w:val="00AB64C9"/>
    <w:rsid w:val="00AC3C6A"/>
    <w:rsid w:val="00AD0F83"/>
    <w:rsid w:val="00AD5620"/>
    <w:rsid w:val="00AD656B"/>
    <w:rsid w:val="00AD7C1B"/>
    <w:rsid w:val="00AE16BA"/>
    <w:rsid w:val="00AE1EBE"/>
    <w:rsid w:val="00AE55B8"/>
    <w:rsid w:val="00B03C9D"/>
    <w:rsid w:val="00B060AE"/>
    <w:rsid w:val="00B10517"/>
    <w:rsid w:val="00B14E76"/>
    <w:rsid w:val="00B161B8"/>
    <w:rsid w:val="00B2048C"/>
    <w:rsid w:val="00B310B9"/>
    <w:rsid w:val="00B315CF"/>
    <w:rsid w:val="00B35F3F"/>
    <w:rsid w:val="00B36CBB"/>
    <w:rsid w:val="00B425E0"/>
    <w:rsid w:val="00B440AA"/>
    <w:rsid w:val="00B44B70"/>
    <w:rsid w:val="00B51873"/>
    <w:rsid w:val="00B53C56"/>
    <w:rsid w:val="00B56B9E"/>
    <w:rsid w:val="00B57DAF"/>
    <w:rsid w:val="00B65A37"/>
    <w:rsid w:val="00B77EA6"/>
    <w:rsid w:val="00B81598"/>
    <w:rsid w:val="00B841F1"/>
    <w:rsid w:val="00B84FD1"/>
    <w:rsid w:val="00B944D6"/>
    <w:rsid w:val="00BB4DF0"/>
    <w:rsid w:val="00BC289F"/>
    <w:rsid w:val="00BC2D50"/>
    <w:rsid w:val="00BC5361"/>
    <w:rsid w:val="00BC5460"/>
    <w:rsid w:val="00BC6B50"/>
    <w:rsid w:val="00BD0E25"/>
    <w:rsid w:val="00BD6CFC"/>
    <w:rsid w:val="00BE1426"/>
    <w:rsid w:val="00BF14D4"/>
    <w:rsid w:val="00BF5BD6"/>
    <w:rsid w:val="00C03E31"/>
    <w:rsid w:val="00C30E69"/>
    <w:rsid w:val="00C31528"/>
    <w:rsid w:val="00C33E72"/>
    <w:rsid w:val="00C354B2"/>
    <w:rsid w:val="00C35554"/>
    <w:rsid w:val="00C42709"/>
    <w:rsid w:val="00C533CC"/>
    <w:rsid w:val="00C540F8"/>
    <w:rsid w:val="00C5751C"/>
    <w:rsid w:val="00C57899"/>
    <w:rsid w:val="00C61BFC"/>
    <w:rsid w:val="00C62B85"/>
    <w:rsid w:val="00C65438"/>
    <w:rsid w:val="00C91CBB"/>
    <w:rsid w:val="00C94E8B"/>
    <w:rsid w:val="00CA111C"/>
    <w:rsid w:val="00CB4E70"/>
    <w:rsid w:val="00CC09B6"/>
    <w:rsid w:val="00CC666F"/>
    <w:rsid w:val="00CD1E3F"/>
    <w:rsid w:val="00CE44F6"/>
    <w:rsid w:val="00CE49DA"/>
    <w:rsid w:val="00CE7B61"/>
    <w:rsid w:val="00D00095"/>
    <w:rsid w:val="00D01D91"/>
    <w:rsid w:val="00D114F0"/>
    <w:rsid w:val="00D20620"/>
    <w:rsid w:val="00D2086D"/>
    <w:rsid w:val="00D23975"/>
    <w:rsid w:val="00D254F7"/>
    <w:rsid w:val="00D26091"/>
    <w:rsid w:val="00D2685C"/>
    <w:rsid w:val="00D34E7C"/>
    <w:rsid w:val="00D35489"/>
    <w:rsid w:val="00D36AFE"/>
    <w:rsid w:val="00D407C3"/>
    <w:rsid w:val="00D51276"/>
    <w:rsid w:val="00D530D2"/>
    <w:rsid w:val="00D54F93"/>
    <w:rsid w:val="00D65C80"/>
    <w:rsid w:val="00D7035F"/>
    <w:rsid w:val="00D85C0A"/>
    <w:rsid w:val="00D868F1"/>
    <w:rsid w:val="00D92060"/>
    <w:rsid w:val="00D931CC"/>
    <w:rsid w:val="00DA634F"/>
    <w:rsid w:val="00DA65AC"/>
    <w:rsid w:val="00DB1913"/>
    <w:rsid w:val="00DB57DE"/>
    <w:rsid w:val="00DC410D"/>
    <w:rsid w:val="00DC5A81"/>
    <w:rsid w:val="00DC68CA"/>
    <w:rsid w:val="00DC7CBA"/>
    <w:rsid w:val="00DD6E34"/>
    <w:rsid w:val="00DD73B7"/>
    <w:rsid w:val="00DF28BC"/>
    <w:rsid w:val="00DF34B9"/>
    <w:rsid w:val="00E01053"/>
    <w:rsid w:val="00E03E54"/>
    <w:rsid w:val="00E07ACF"/>
    <w:rsid w:val="00E331A1"/>
    <w:rsid w:val="00E33202"/>
    <w:rsid w:val="00E336A9"/>
    <w:rsid w:val="00E42F8F"/>
    <w:rsid w:val="00E472B1"/>
    <w:rsid w:val="00E50624"/>
    <w:rsid w:val="00E568DF"/>
    <w:rsid w:val="00E64269"/>
    <w:rsid w:val="00E66797"/>
    <w:rsid w:val="00E702DB"/>
    <w:rsid w:val="00E71898"/>
    <w:rsid w:val="00E82267"/>
    <w:rsid w:val="00E8483C"/>
    <w:rsid w:val="00E853CE"/>
    <w:rsid w:val="00E867B6"/>
    <w:rsid w:val="00E87F08"/>
    <w:rsid w:val="00EA010F"/>
    <w:rsid w:val="00EC463E"/>
    <w:rsid w:val="00EC67F6"/>
    <w:rsid w:val="00ED1B63"/>
    <w:rsid w:val="00ED3C1F"/>
    <w:rsid w:val="00ED4085"/>
    <w:rsid w:val="00ED420E"/>
    <w:rsid w:val="00ED6FBE"/>
    <w:rsid w:val="00EE2F57"/>
    <w:rsid w:val="00EE59D2"/>
    <w:rsid w:val="00EF00A7"/>
    <w:rsid w:val="00EF4C34"/>
    <w:rsid w:val="00EF77C6"/>
    <w:rsid w:val="00F05438"/>
    <w:rsid w:val="00F1066A"/>
    <w:rsid w:val="00F1361C"/>
    <w:rsid w:val="00F156F0"/>
    <w:rsid w:val="00F160C7"/>
    <w:rsid w:val="00F2408F"/>
    <w:rsid w:val="00F240E9"/>
    <w:rsid w:val="00F36D8F"/>
    <w:rsid w:val="00F417B1"/>
    <w:rsid w:val="00F45853"/>
    <w:rsid w:val="00F602DF"/>
    <w:rsid w:val="00F6482F"/>
    <w:rsid w:val="00F754A1"/>
    <w:rsid w:val="00F814AA"/>
    <w:rsid w:val="00F81FD9"/>
    <w:rsid w:val="00F841AA"/>
    <w:rsid w:val="00F84A94"/>
    <w:rsid w:val="00F87E96"/>
    <w:rsid w:val="00FA23E8"/>
    <w:rsid w:val="00FD3CC1"/>
    <w:rsid w:val="00FE5F3E"/>
    <w:rsid w:val="00FF160F"/>
    <w:rsid w:val="00FF1E02"/>
    <w:rsid w:val="00FF30B4"/>
    <w:rsid w:val="00FF5503"/>
    <w:rsid w:val="025C6BE2"/>
    <w:rsid w:val="03373246"/>
    <w:rsid w:val="05A34CCE"/>
    <w:rsid w:val="0602340D"/>
    <w:rsid w:val="061175D4"/>
    <w:rsid w:val="064C68BB"/>
    <w:rsid w:val="06957AEC"/>
    <w:rsid w:val="06D914DD"/>
    <w:rsid w:val="07337B69"/>
    <w:rsid w:val="07EB49A3"/>
    <w:rsid w:val="08464D33"/>
    <w:rsid w:val="08FE1CC4"/>
    <w:rsid w:val="0995609A"/>
    <w:rsid w:val="09B0739A"/>
    <w:rsid w:val="0B6C207D"/>
    <w:rsid w:val="0B9B7FB7"/>
    <w:rsid w:val="0BF422BF"/>
    <w:rsid w:val="0C5B5BC0"/>
    <w:rsid w:val="0C77642F"/>
    <w:rsid w:val="0D1C65C3"/>
    <w:rsid w:val="0D3150C5"/>
    <w:rsid w:val="0D657D47"/>
    <w:rsid w:val="0E6F4351"/>
    <w:rsid w:val="0EF36F04"/>
    <w:rsid w:val="0F790400"/>
    <w:rsid w:val="10BA3D7B"/>
    <w:rsid w:val="10C055FF"/>
    <w:rsid w:val="10C8042E"/>
    <w:rsid w:val="10EF2C77"/>
    <w:rsid w:val="111239E5"/>
    <w:rsid w:val="1122342A"/>
    <w:rsid w:val="119B2F73"/>
    <w:rsid w:val="120E7CFB"/>
    <w:rsid w:val="12511563"/>
    <w:rsid w:val="128D492C"/>
    <w:rsid w:val="12D96F9A"/>
    <w:rsid w:val="13A61C79"/>
    <w:rsid w:val="140110FC"/>
    <w:rsid w:val="140908D1"/>
    <w:rsid w:val="158D60AE"/>
    <w:rsid w:val="15FC54F1"/>
    <w:rsid w:val="16BB723D"/>
    <w:rsid w:val="195968B5"/>
    <w:rsid w:val="1A9A1604"/>
    <w:rsid w:val="1AF91AB7"/>
    <w:rsid w:val="1BA46ADA"/>
    <w:rsid w:val="1BD21602"/>
    <w:rsid w:val="1BD3415A"/>
    <w:rsid w:val="1BFC2F3F"/>
    <w:rsid w:val="1C1D4A21"/>
    <w:rsid w:val="1DC00253"/>
    <w:rsid w:val="1E1229D7"/>
    <w:rsid w:val="1F4B7147"/>
    <w:rsid w:val="20186946"/>
    <w:rsid w:val="204608D3"/>
    <w:rsid w:val="205249F0"/>
    <w:rsid w:val="2258010A"/>
    <w:rsid w:val="237F78A5"/>
    <w:rsid w:val="240371BF"/>
    <w:rsid w:val="2404767E"/>
    <w:rsid w:val="24053BFD"/>
    <w:rsid w:val="24E760F0"/>
    <w:rsid w:val="25943F53"/>
    <w:rsid w:val="25EE2740"/>
    <w:rsid w:val="2661689B"/>
    <w:rsid w:val="289C0894"/>
    <w:rsid w:val="292B7707"/>
    <w:rsid w:val="29D56391"/>
    <w:rsid w:val="29E67293"/>
    <w:rsid w:val="29FD04D3"/>
    <w:rsid w:val="2B095C60"/>
    <w:rsid w:val="2C6D5A4A"/>
    <w:rsid w:val="2CC811D6"/>
    <w:rsid w:val="2DB54999"/>
    <w:rsid w:val="2EFD340E"/>
    <w:rsid w:val="2F630252"/>
    <w:rsid w:val="30287FC9"/>
    <w:rsid w:val="307F15ED"/>
    <w:rsid w:val="30893BB4"/>
    <w:rsid w:val="30A273D2"/>
    <w:rsid w:val="30A549F8"/>
    <w:rsid w:val="31345227"/>
    <w:rsid w:val="31731625"/>
    <w:rsid w:val="319F7F4E"/>
    <w:rsid w:val="31A9487F"/>
    <w:rsid w:val="326A6619"/>
    <w:rsid w:val="33A3029E"/>
    <w:rsid w:val="3541044E"/>
    <w:rsid w:val="36AD34E6"/>
    <w:rsid w:val="379245B6"/>
    <w:rsid w:val="380606B5"/>
    <w:rsid w:val="381B71A5"/>
    <w:rsid w:val="39154C57"/>
    <w:rsid w:val="39430A3A"/>
    <w:rsid w:val="395C0DBC"/>
    <w:rsid w:val="3A8C4EDC"/>
    <w:rsid w:val="3B5120A2"/>
    <w:rsid w:val="3B670A30"/>
    <w:rsid w:val="3BF858F5"/>
    <w:rsid w:val="3C1B370B"/>
    <w:rsid w:val="3C8F2ECE"/>
    <w:rsid w:val="3C91576E"/>
    <w:rsid w:val="3CCF691F"/>
    <w:rsid w:val="3CD83D4A"/>
    <w:rsid w:val="3D033887"/>
    <w:rsid w:val="3D2B2E11"/>
    <w:rsid w:val="3DD01ECA"/>
    <w:rsid w:val="3F1A6950"/>
    <w:rsid w:val="3FEF6DF1"/>
    <w:rsid w:val="40536038"/>
    <w:rsid w:val="40D376C6"/>
    <w:rsid w:val="41094738"/>
    <w:rsid w:val="41C07121"/>
    <w:rsid w:val="424548BB"/>
    <w:rsid w:val="425A1E50"/>
    <w:rsid w:val="42716A82"/>
    <w:rsid w:val="432A7C98"/>
    <w:rsid w:val="4339243A"/>
    <w:rsid w:val="43C1754B"/>
    <w:rsid w:val="43D46755"/>
    <w:rsid w:val="45400A6C"/>
    <w:rsid w:val="454D60E6"/>
    <w:rsid w:val="45C17059"/>
    <w:rsid w:val="475C0ACC"/>
    <w:rsid w:val="47AC3472"/>
    <w:rsid w:val="47C1483F"/>
    <w:rsid w:val="480153BF"/>
    <w:rsid w:val="486D30A5"/>
    <w:rsid w:val="497A3672"/>
    <w:rsid w:val="49C41FD9"/>
    <w:rsid w:val="49D86CD8"/>
    <w:rsid w:val="49E10F5B"/>
    <w:rsid w:val="4CE5178A"/>
    <w:rsid w:val="4D144F07"/>
    <w:rsid w:val="4DFF0F23"/>
    <w:rsid w:val="4ECE2238"/>
    <w:rsid w:val="4F676A63"/>
    <w:rsid w:val="4FCF726B"/>
    <w:rsid w:val="4FE32468"/>
    <w:rsid w:val="513676AC"/>
    <w:rsid w:val="51A14D64"/>
    <w:rsid w:val="521D016A"/>
    <w:rsid w:val="522A2BB7"/>
    <w:rsid w:val="53194F8B"/>
    <w:rsid w:val="53231B45"/>
    <w:rsid w:val="542D7792"/>
    <w:rsid w:val="543472FD"/>
    <w:rsid w:val="553B0411"/>
    <w:rsid w:val="559F4014"/>
    <w:rsid w:val="564E161B"/>
    <w:rsid w:val="56C604A9"/>
    <w:rsid w:val="573C6483"/>
    <w:rsid w:val="579C29C5"/>
    <w:rsid w:val="58BB71E4"/>
    <w:rsid w:val="58C353BB"/>
    <w:rsid w:val="58E06771"/>
    <w:rsid w:val="58EA562E"/>
    <w:rsid w:val="59D8233D"/>
    <w:rsid w:val="5B5C5C20"/>
    <w:rsid w:val="5BA01991"/>
    <w:rsid w:val="5BC64C43"/>
    <w:rsid w:val="5BC97140"/>
    <w:rsid w:val="5C2B0FA2"/>
    <w:rsid w:val="5C83495A"/>
    <w:rsid w:val="5CC36C60"/>
    <w:rsid w:val="5CE71348"/>
    <w:rsid w:val="5CF34F67"/>
    <w:rsid w:val="5DC1650B"/>
    <w:rsid w:val="5DE93677"/>
    <w:rsid w:val="5F766090"/>
    <w:rsid w:val="60C856D0"/>
    <w:rsid w:val="617A2CAA"/>
    <w:rsid w:val="63566DA6"/>
    <w:rsid w:val="64B50BD0"/>
    <w:rsid w:val="64CA5746"/>
    <w:rsid w:val="658E065E"/>
    <w:rsid w:val="659F7726"/>
    <w:rsid w:val="65A25325"/>
    <w:rsid w:val="673364E7"/>
    <w:rsid w:val="678348AA"/>
    <w:rsid w:val="679A48D7"/>
    <w:rsid w:val="67C81484"/>
    <w:rsid w:val="67F868B1"/>
    <w:rsid w:val="68473867"/>
    <w:rsid w:val="685170D4"/>
    <w:rsid w:val="68761959"/>
    <w:rsid w:val="6A8B0CBA"/>
    <w:rsid w:val="6B6A3F73"/>
    <w:rsid w:val="6BE64EA1"/>
    <w:rsid w:val="6C184C88"/>
    <w:rsid w:val="6D156AD3"/>
    <w:rsid w:val="6DAD2BD6"/>
    <w:rsid w:val="6E4C750A"/>
    <w:rsid w:val="6EBC53D5"/>
    <w:rsid w:val="6ECD4178"/>
    <w:rsid w:val="6FDE638F"/>
    <w:rsid w:val="6FF3F65B"/>
    <w:rsid w:val="704C4ED3"/>
    <w:rsid w:val="7085449A"/>
    <w:rsid w:val="721025AA"/>
    <w:rsid w:val="72335E12"/>
    <w:rsid w:val="72734D90"/>
    <w:rsid w:val="72CD230D"/>
    <w:rsid w:val="741718FE"/>
    <w:rsid w:val="74981B8F"/>
    <w:rsid w:val="75197616"/>
    <w:rsid w:val="758B36EB"/>
    <w:rsid w:val="75EE0BC4"/>
    <w:rsid w:val="76041DF7"/>
    <w:rsid w:val="76067646"/>
    <w:rsid w:val="767D5B77"/>
    <w:rsid w:val="76D02D10"/>
    <w:rsid w:val="76EF5084"/>
    <w:rsid w:val="77D808F0"/>
    <w:rsid w:val="77F03B11"/>
    <w:rsid w:val="78286BFF"/>
    <w:rsid w:val="78591585"/>
    <w:rsid w:val="78C327A6"/>
    <w:rsid w:val="78E26BFC"/>
    <w:rsid w:val="79A80807"/>
    <w:rsid w:val="79C536E3"/>
    <w:rsid w:val="7A6F3D08"/>
    <w:rsid w:val="7B3543B4"/>
    <w:rsid w:val="7C567036"/>
    <w:rsid w:val="7C693757"/>
    <w:rsid w:val="7CFB3351"/>
    <w:rsid w:val="7D5D41CD"/>
    <w:rsid w:val="7DCB3096"/>
    <w:rsid w:val="7DE7142C"/>
    <w:rsid w:val="7DEC1237"/>
    <w:rsid w:val="7E963E99"/>
    <w:rsid w:val="7F783797"/>
    <w:rsid w:val="7FA145E6"/>
    <w:rsid w:val="7FEB60C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3"/>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Plain Text"/>
    <w:basedOn w:val="1"/>
    <w:link w:val="32"/>
    <w:unhideWhenUsed/>
    <w:qFormat/>
    <w:uiPriority w:val="0"/>
    <w:rPr>
      <w:rFonts w:ascii="宋体" w:hAnsi="Courier New"/>
    </w:rPr>
  </w:style>
  <w:style w:type="paragraph" w:styleId="8">
    <w:name w:val="Balloon Text"/>
    <w:basedOn w:val="1"/>
    <w:link w:val="29"/>
    <w:semiHidden/>
    <w:unhideWhenUsed/>
    <w:qFormat/>
    <w:uiPriority w:val="99"/>
    <w:rPr>
      <w:sz w:val="18"/>
      <w:szCs w:val="18"/>
    </w:rPr>
  </w:style>
  <w:style w:type="paragraph" w:styleId="9">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6">
    <w:name w:val="Strong"/>
    <w:basedOn w:val="15"/>
    <w:qFormat/>
    <w:uiPriority w:val="22"/>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Char"/>
    <w:link w:val="10"/>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Char"/>
    <w:link w:val="9"/>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Char"/>
    <w:link w:val="5"/>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Char"/>
    <w:basedOn w:val="15"/>
    <w:link w:val="2"/>
    <w:qFormat/>
    <w:uiPriority w:val="9"/>
    <w:rPr>
      <w:rFonts w:ascii="Times New Roman" w:hAnsi="Times New Roman"/>
      <w:b/>
      <w:bCs/>
      <w:kern w:val="44"/>
      <w:sz w:val="44"/>
      <w:szCs w:val="44"/>
    </w:rPr>
  </w:style>
  <w:style w:type="character" w:customStyle="1" w:styleId="27">
    <w:name w:val="标题 2 Char"/>
    <w:basedOn w:val="15"/>
    <w:link w:val="3"/>
    <w:qFormat/>
    <w:uiPriority w:val="9"/>
    <w:rPr>
      <w:rFonts w:asciiTheme="majorHAnsi" w:hAnsiTheme="majorHAnsi" w:eastAsiaTheme="majorEastAsia" w:cstheme="majorBidi"/>
      <w:b/>
      <w:bCs/>
      <w:kern w:val="2"/>
      <w:sz w:val="32"/>
      <w:szCs w:val="32"/>
    </w:rPr>
  </w:style>
  <w:style w:type="paragraph" w:customStyle="1" w:styleId="28">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Char"/>
    <w:basedOn w:val="15"/>
    <w:link w:val="8"/>
    <w:semiHidden/>
    <w:qFormat/>
    <w:uiPriority w:val="99"/>
    <w:rPr>
      <w:rFonts w:ascii="Times New Roman" w:hAnsi="Times New Roman"/>
      <w:kern w:val="2"/>
      <w:sz w:val="18"/>
      <w:szCs w:val="18"/>
    </w:rPr>
  </w:style>
  <w:style w:type="character" w:customStyle="1" w:styleId="30">
    <w:name w:val="标题 3 Char"/>
    <w:basedOn w:val="15"/>
    <w:link w:val="4"/>
    <w:qFormat/>
    <w:uiPriority w:val="9"/>
    <w:rPr>
      <w:rFonts w:ascii="Times New Roman" w:hAnsi="Times New Roman"/>
      <w:b/>
      <w:bCs/>
      <w:kern w:val="2"/>
      <w:sz w:val="32"/>
      <w:szCs w:val="32"/>
    </w:rPr>
  </w:style>
  <w:style w:type="paragraph" w:customStyle="1" w:styleId="31">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纯文本 Char"/>
    <w:basedOn w:val="15"/>
    <w:link w:val="7"/>
    <w:qFormat/>
    <w:uiPriority w:val="0"/>
    <w:rPr>
      <w:rFonts w:ascii="宋体" w:hAnsi="Courier New"/>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B491F-17CD-45AD-B718-F34CC979E823}">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48</Pages>
  <Words>526</Words>
  <Characters>842</Characters>
  <Lines>28</Lines>
  <Paragraphs>30</Paragraphs>
  <TotalTime>48</TotalTime>
  <ScaleCrop>false</ScaleCrop>
  <LinksUpToDate>false</LinksUpToDate>
  <CharactersWithSpaces>977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2020-10-27T12:37:00Z</dcterms:created>
  <dc:creator>曹颖</dc:creator>
  <cp:lastModifiedBy>孙克玉</cp:lastModifiedBy>
  <cp:lastPrinted>2020-07-23T10:58:00Z</cp:lastPrinted>
  <dcterms:modified xsi:type="dcterms:W3CDTF">2026-04-07T07:38:13Z</dcterms:modified>
  <dc:title>四川省***</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BFEBACA3B7444F70BE508EBE7051A22E_13</vt:lpwstr>
  </property>
  <property fmtid="{D5CDD505-2E9C-101B-9397-08002B2CF9AE}" pid="4" name="KSOTemplateDocerSaveRecord">
    <vt:lpwstr>eyJoZGlkIjoiZmRjYWZhOTQyZTJlOTljNDY1MjM2NjNlZDYwYmZkN2QiLCJ1c2VySWQiOiI0NjE4NzE1NTkifQ==</vt:lpwstr>
  </property>
</Properties>
</file>