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F14A2">
      <w:pPr>
        <w:spacing w:line="600" w:lineRule="exact"/>
        <w:jc w:val="center"/>
        <w:outlineLvl w:val="0"/>
        <w:rPr>
          <w:rFonts w:eastAsia="方正小标宋简体"/>
          <w:sz w:val="72"/>
          <w:szCs w:val="72"/>
        </w:rPr>
      </w:pPr>
      <w:bookmarkStart w:id="0" w:name="_Toc15396475"/>
      <w:bookmarkStart w:id="1" w:name="_Toc15377425"/>
      <w:bookmarkStart w:id="2" w:name="_Toc15396597"/>
      <w:bookmarkStart w:id="3" w:name="_Toc15378441"/>
      <w:bookmarkStart w:id="4" w:name="_Toc15377193"/>
      <w:bookmarkStart w:id="5" w:name="_Toc15306267"/>
    </w:p>
    <w:p w14:paraId="26D85082">
      <w:pPr>
        <w:spacing w:line="600" w:lineRule="exact"/>
        <w:jc w:val="center"/>
        <w:outlineLvl w:val="0"/>
        <w:rPr>
          <w:rFonts w:eastAsia="方正小标宋简体"/>
          <w:sz w:val="72"/>
          <w:szCs w:val="72"/>
        </w:rPr>
      </w:pPr>
    </w:p>
    <w:p w14:paraId="6FB15977">
      <w:pPr>
        <w:spacing w:line="600" w:lineRule="exact"/>
        <w:jc w:val="center"/>
        <w:outlineLvl w:val="0"/>
        <w:rPr>
          <w:rFonts w:eastAsia="方正小标宋简体"/>
          <w:sz w:val="72"/>
          <w:szCs w:val="72"/>
        </w:rPr>
      </w:pPr>
    </w:p>
    <w:p w14:paraId="375D7D3B">
      <w:pPr>
        <w:adjustRightInd w:val="0"/>
        <w:snapToGrid w:val="0"/>
        <w:spacing w:line="360" w:lineRule="auto"/>
        <w:jc w:val="center"/>
        <w:outlineLvl w:val="0"/>
        <w:rPr>
          <w:rFonts w:eastAsia="方正小标宋简体"/>
          <w:sz w:val="72"/>
          <w:szCs w:val="72"/>
        </w:rPr>
      </w:pPr>
      <w:r>
        <w:rPr>
          <w:rFonts w:eastAsia="方正小标宋简体"/>
          <w:sz w:val="72"/>
          <w:szCs w:val="72"/>
        </w:rPr>
        <w:t>2022年度</w:t>
      </w:r>
      <w:bookmarkEnd w:id="0"/>
      <w:bookmarkEnd w:id="1"/>
      <w:bookmarkEnd w:id="2"/>
      <w:bookmarkEnd w:id="3"/>
      <w:bookmarkEnd w:id="4"/>
    </w:p>
    <w:p w14:paraId="657C0469">
      <w:pPr>
        <w:adjustRightInd w:val="0"/>
        <w:snapToGrid w:val="0"/>
        <w:spacing w:line="360" w:lineRule="auto"/>
        <w:jc w:val="center"/>
        <w:outlineLvl w:val="0"/>
        <w:rPr>
          <w:rFonts w:eastAsia="方正小标宋简体"/>
          <w:sz w:val="72"/>
          <w:szCs w:val="72"/>
        </w:rPr>
      </w:pPr>
      <w:bookmarkStart w:id="6" w:name="_Toc15378442"/>
      <w:bookmarkStart w:id="7" w:name="_Toc15396598"/>
      <w:bookmarkStart w:id="8" w:name="_Toc15396476"/>
      <w:bookmarkStart w:id="9" w:name="_Toc15377426"/>
      <w:bookmarkStart w:id="10" w:name="_Toc15377194"/>
      <w:r>
        <w:rPr>
          <w:rFonts w:eastAsia="方正小标宋简体"/>
          <w:sz w:val="72"/>
          <w:szCs w:val="72"/>
        </w:rPr>
        <w:t>四川省</w:t>
      </w:r>
      <w:bookmarkEnd w:id="5"/>
      <w:bookmarkStart w:id="11" w:name="_Toc15306268"/>
      <w:r>
        <w:rPr>
          <w:rFonts w:eastAsia="方正小标宋简体"/>
          <w:sz w:val="72"/>
          <w:szCs w:val="72"/>
        </w:rPr>
        <w:t>盐边县市场监督</w:t>
      </w:r>
    </w:p>
    <w:p w14:paraId="32712176">
      <w:pPr>
        <w:adjustRightInd w:val="0"/>
        <w:snapToGrid w:val="0"/>
        <w:spacing w:line="360" w:lineRule="auto"/>
        <w:jc w:val="center"/>
        <w:outlineLvl w:val="0"/>
        <w:rPr>
          <w:rFonts w:eastAsia="方正小标宋简体"/>
          <w:sz w:val="72"/>
          <w:szCs w:val="72"/>
        </w:rPr>
      </w:pPr>
      <w:r>
        <w:rPr>
          <w:rFonts w:eastAsia="方正小标宋简体"/>
          <w:sz w:val="72"/>
          <w:szCs w:val="72"/>
        </w:rPr>
        <w:t>管理局部门决算</w:t>
      </w:r>
      <w:bookmarkEnd w:id="6"/>
      <w:bookmarkEnd w:id="7"/>
      <w:bookmarkEnd w:id="8"/>
      <w:bookmarkEnd w:id="9"/>
      <w:bookmarkEnd w:id="10"/>
      <w:bookmarkEnd w:id="11"/>
    </w:p>
    <w:p w14:paraId="67573C04">
      <w:pPr>
        <w:widowControl/>
        <w:jc w:val="center"/>
        <w:rPr>
          <w:rFonts w:eastAsia="黑体"/>
          <w:sz w:val="48"/>
          <w:szCs w:val="48"/>
        </w:rPr>
      </w:pPr>
      <w:r>
        <w:rPr>
          <w:rFonts w:eastAsia="方正小标宋简体"/>
          <w:sz w:val="36"/>
          <w:szCs w:val="36"/>
        </w:rPr>
        <w:br w:type="page"/>
      </w:r>
      <w:r>
        <w:rPr>
          <w:rFonts w:eastAsia="黑体"/>
          <w:sz w:val="48"/>
          <w:szCs w:val="48"/>
        </w:rPr>
        <w:t>目录</w:t>
      </w:r>
    </w:p>
    <w:p w14:paraId="267D0520">
      <w:pPr>
        <w:widowControl/>
        <w:jc w:val="center"/>
        <w:rPr>
          <w:rFonts w:eastAsia="黑体"/>
          <w:sz w:val="28"/>
          <w:szCs w:val="28"/>
        </w:rPr>
      </w:pPr>
    </w:p>
    <w:p w14:paraId="3522A2B3">
      <w:pPr>
        <w:pStyle w:val="11"/>
        <w:rPr>
          <w:rFonts w:ascii="Times New Roman" w:hAnsi="Times New Roman"/>
        </w:rPr>
      </w:pPr>
      <w:r>
        <w:rPr>
          <w:rFonts w:ascii="Times New Roman" w:hAnsi="Times New Roman"/>
        </w:rPr>
        <w:t>公开时间：2023年10月26日</w:t>
      </w:r>
    </w:p>
    <w:p w14:paraId="232457CB"/>
    <w:p w14:paraId="63A54DC6">
      <w:pPr>
        <w:pStyle w:val="11"/>
        <w:adjustRightInd w:val="0"/>
        <w:snapToGrid w:val="0"/>
        <w:spacing w:before="0" w:line="440" w:lineRule="exact"/>
        <w:jc w:val="left"/>
        <w:rPr>
          <w:rFonts w:ascii="Times New Roman" w:hAnsi="Times New Roman"/>
          <w:sz w:val="24"/>
          <w:szCs w:val="24"/>
        </w:rPr>
      </w:pPr>
      <w:r>
        <w:rPr>
          <w:rFonts w:ascii="Times New Roman" w:hAnsi="Times New Roman"/>
          <w:sz w:val="24"/>
        </w:rPr>
        <w:t>第一部分部门概况</w:t>
      </w:r>
      <w:r>
        <w:rPr>
          <w:rFonts w:ascii="Times New Roman" w:hAnsi="Times New Roman"/>
        </w:rPr>
        <w:ptab w:relativeTo="margin" w:alignment="right" w:leader="dot"/>
      </w:r>
      <w:r>
        <w:rPr>
          <w:rFonts w:ascii="Times New Roman" w:hAnsi="Times New Roman"/>
        </w:rPr>
        <w:t>1</w:t>
      </w:r>
    </w:p>
    <w:p w14:paraId="740CC2B2">
      <w:pPr>
        <w:pStyle w:val="12"/>
        <w:adjustRightInd w:val="0"/>
        <w:snapToGrid w:val="0"/>
        <w:spacing w:line="440" w:lineRule="exact"/>
        <w:jc w:val="left"/>
        <w:rPr>
          <w:sz w:val="24"/>
        </w:rPr>
      </w:pPr>
      <w:r>
        <w:rPr>
          <w:sz w:val="24"/>
        </w:rPr>
        <w:t>一、部门职责</w:t>
      </w:r>
      <w:r>
        <w:ptab w:relativeTo="margin" w:alignment="right" w:leader="dot"/>
      </w:r>
      <w:r>
        <w:rPr>
          <w:rFonts w:hint="eastAsia"/>
          <w:sz w:val="24"/>
        </w:rPr>
        <w:t>1</w:t>
      </w:r>
    </w:p>
    <w:p w14:paraId="41E84306">
      <w:pPr>
        <w:pStyle w:val="12"/>
        <w:adjustRightInd w:val="0"/>
        <w:snapToGrid w:val="0"/>
        <w:spacing w:line="440" w:lineRule="exact"/>
        <w:jc w:val="left"/>
        <w:rPr>
          <w:sz w:val="24"/>
        </w:rPr>
      </w:pPr>
      <w:r>
        <w:rPr>
          <w:sz w:val="24"/>
        </w:rPr>
        <w:t>二、机构设置</w:t>
      </w:r>
      <w:r>
        <w:ptab w:relativeTo="margin" w:alignment="right" w:leader="dot"/>
      </w:r>
      <w:r>
        <w:rPr>
          <w:rFonts w:hint="eastAsia"/>
          <w:sz w:val="24"/>
        </w:rPr>
        <w:t>4</w:t>
      </w:r>
    </w:p>
    <w:p w14:paraId="07763A54">
      <w:pPr>
        <w:pStyle w:val="11"/>
        <w:adjustRightInd w:val="0"/>
        <w:snapToGrid w:val="0"/>
        <w:spacing w:before="0" w:line="440" w:lineRule="exact"/>
        <w:jc w:val="left"/>
        <w:rPr>
          <w:rFonts w:ascii="Times New Roman" w:hAnsi="Times New Roman"/>
          <w:sz w:val="24"/>
          <w:szCs w:val="24"/>
        </w:rPr>
      </w:pPr>
      <w:r>
        <w:rPr>
          <w:rFonts w:ascii="Times New Roman" w:hAnsi="Times New Roman"/>
          <w:sz w:val="24"/>
        </w:rPr>
        <w:t>第二部分 2022年度部门决算情况说明</w:t>
      </w:r>
      <w:r>
        <w:rPr>
          <w:rFonts w:ascii="Times New Roman" w:hAnsi="Times New Roman"/>
        </w:rPr>
        <w:ptab w:relativeTo="margin" w:alignment="right" w:leader="dot"/>
      </w:r>
      <w:r>
        <w:rPr>
          <w:rFonts w:hint="eastAsia" w:ascii="Times New Roman" w:hAnsi="Times New Roman"/>
          <w:sz w:val="24"/>
        </w:rPr>
        <w:t>5</w:t>
      </w:r>
    </w:p>
    <w:p w14:paraId="35D9A742">
      <w:pPr>
        <w:pStyle w:val="12"/>
        <w:adjustRightInd w:val="0"/>
        <w:snapToGrid w:val="0"/>
        <w:spacing w:line="440" w:lineRule="exact"/>
        <w:jc w:val="left"/>
        <w:rPr>
          <w:sz w:val="24"/>
        </w:rPr>
      </w:pPr>
      <w:r>
        <w:rPr>
          <w:sz w:val="24"/>
        </w:rPr>
        <w:t>一、收入支出决算总体情况说明</w:t>
      </w:r>
      <w:r>
        <w:ptab w:relativeTo="margin" w:alignment="right" w:leader="dot"/>
      </w:r>
      <w:r>
        <w:rPr>
          <w:rFonts w:hint="eastAsia"/>
          <w:sz w:val="24"/>
        </w:rPr>
        <w:t>5</w:t>
      </w:r>
    </w:p>
    <w:p w14:paraId="1A0EB898">
      <w:pPr>
        <w:pStyle w:val="12"/>
        <w:adjustRightInd w:val="0"/>
        <w:snapToGrid w:val="0"/>
        <w:spacing w:line="440" w:lineRule="exact"/>
        <w:jc w:val="left"/>
        <w:rPr>
          <w:sz w:val="24"/>
        </w:rPr>
      </w:pPr>
      <w:r>
        <w:rPr>
          <w:sz w:val="24"/>
        </w:rPr>
        <w:t>二、收入决算情况说明</w:t>
      </w:r>
      <w:r>
        <w:ptab w:relativeTo="margin" w:alignment="right" w:leader="dot"/>
      </w:r>
      <w:r>
        <w:rPr>
          <w:rFonts w:hint="eastAsia"/>
          <w:sz w:val="24"/>
        </w:rPr>
        <w:t>5</w:t>
      </w:r>
    </w:p>
    <w:p w14:paraId="204732E0">
      <w:pPr>
        <w:pStyle w:val="12"/>
        <w:adjustRightInd w:val="0"/>
        <w:snapToGrid w:val="0"/>
        <w:spacing w:line="440" w:lineRule="exact"/>
        <w:jc w:val="left"/>
        <w:rPr>
          <w:sz w:val="24"/>
        </w:rPr>
      </w:pPr>
      <w:r>
        <w:rPr>
          <w:sz w:val="24"/>
        </w:rPr>
        <w:t>三、支出决算情况说明</w:t>
      </w:r>
      <w:r>
        <w:ptab w:relativeTo="margin" w:alignment="right" w:leader="dot"/>
      </w:r>
      <w:r>
        <w:rPr>
          <w:rFonts w:hint="eastAsia"/>
          <w:sz w:val="24"/>
        </w:rPr>
        <w:t>6</w:t>
      </w:r>
    </w:p>
    <w:p w14:paraId="3956465C">
      <w:pPr>
        <w:pStyle w:val="12"/>
        <w:adjustRightInd w:val="0"/>
        <w:snapToGrid w:val="0"/>
        <w:spacing w:line="440" w:lineRule="exact"/>
        <w:jc w:val="left"/>
        <w:rPr>
          <w:sz w:val="24"/>
        </w:rPr>
      </w:pPr>
      <w:r>
        <w:rPr>
          <w:sz w:val="24"/>
        </w:rPr>
        <w:t>四、财政拨款收入支出决算总体情况说明</w:t>
      </w:r>
      <w:r>
        <w:ptab w:relativeTo="margin" w:alignment="right" w:leader="dot"/>
      </w:r>
      <w:r>
        <w:rPr>
          <w:rFonts w:hint="eastAsia"/>
          <w:sz w:val="24"/>
        </w:rPr>
        <w:t>7</w:t>
      </w:r>
    </w:p>
    <w:p w14:paraId="1C62C992">
      <w:pPr>
        <w:pStyle w:val="12"/>
        <w:adjustRightInd w:val="0"/>
        <w:snapToGrid w:val="0"/>
        <w:spacing w:line="440" w:lineRule="exact"/>
        <w:jc w:val="left"/>
        <w:rPr>
          <w:sz w:val="24"/>
        </w:rPr>
      </w:pPr>
      <w:r>
        <w:rPr>
          <w:sz w:val="24"/>
        </w:rPr>
        <w:t>五、一般公共预算财政拨款支出决算情况说明</w:t>
      </w:r>
      <w:r>
        <w:ptab w:relativeTo="margin" w:alignment="right" w:leader="dot"/>
      </w:r>
      <w:r>
        <w:rPr>
          <w:rFonts w:hint="eastAsia"/>
          <w:sz w:val="24"/>
        </w:rPr>
        <w:t>8</w:t>
      </w:r>
    </w:p>
    <w:p w14:paraId="4D0F31CB">
      <w:pPr>
        <w:pStyle w:val="12"/>
        <w:adjustRightInd w:val="0"/>
        <w:snapToGrid w:val="0"/>
        <w:spacing w:line="440" w:lineRule="exact"/>
        <w:jc w:val="left"/>
        <w:rPr>
          <w:sz w:val="24"/>
        </w:rPr>
      </w:pPr>
      <w:r>
        <w:rPr>
          <w:sz w:val="24"/>
        </w:rPr>
        <w:t>六、一般公共预算财政拨款基本支出决算情况说明</w:t>
      </w:r>
      <w:r>
        <w:ptab w:relativeTo="margin" w:alignment="right" w:leader="dot"/>
      </w:r>
      <w:r>
        <w:rPr>
          <w:sz w:val="24"/>
        </w:rPr>
        <w:t>1</w:t>
      </w:r>
      <w:r>
        <w:rPr>
          <w:rFonts w:hint="eastAsia"/>
          <w:sz w:val="24"/>
        </w:rPr>
        <w:t>1</w:t>
      </w:r>
    </w:p>
    <w:p w14:paraId="6388E5CA">
      <w:pPr>
        <w:pStyle w:val="12"/>
        <w:adjustRightInd w:val="0"/>
        <w:snapToGrid w:val="0"/>
        <w:spacing w:line="440" w:lineRule="exact"/>
        <w:jc w:val="left"/>
        <w:rPr>
          <w:sz w:val="24"/>
        </w:rPr>
      </w:pPr>
      <w:r>
        <w:rPr>
          <w:sz w:val="24"/>
        </w:rPr>
        <w:t>七、财政拨款“三公”经费支出决算情况说明</w:t>
      </w:r>
      <w:r>
        <w:ptab w:relativeTo="margin" w:alignment="right" w:leader="dot"/>
      </w:r>
      <w:r>
        <w:rPr>
          <w:rFonts w:hint="eastAsia"/>
          <w:sz w:val="24"/>
        </w:rPr>
        <w:t>12</w:t>
      </w:r>
    </w:p>
    <w:p w14:paraId="708C2BE1">
      <w:pPr>
        <w:pStyle w:val="12"/>
        <w:adjustRightInd w:val="0"/>
        <w:snapToGrid w:val="0"/>
        <w:spacing w:line="440" w:lineRule="exact"/>
        <w:jc w:val="left"/>
        <w:rPr>
          <w:sz w:val="24"/>
        </w:rPr>
      </w:pPr>
      <w:r>
        <w:rPr>
          <w:sz w:val="24"/>
        </w:rPr>
        <w:t>八、政府性基金预算支出决算情况说明</w:t>
      </w:r>
      <w:r>
        <w:ptab w:relativeTo="margin" w:alignment="right" w:leader="dot"/>
      </w:r>
      <w:r>
        <w:rPr>
          <w:rFonts w:hint="eastAsia"/>
          <w:sz w:val="24"/>
        </w:rPr>
        <w:t>14</w:t>
      </w:r>
    </w:p>
    <w:p w14:paraId="2F965335">
      <w:pPr>
        <w:pStyle w:val="12"/>
        <w:adjustRightInd w:val="0"/>
        <w:snapToGrid w:val="0"/>
        <w:spacing w:line="440" w:lineRule="exact"/>
        <w:ind w:leftChars="0"/>
        <w:jc w:val="left"/>
        <w:rPr>
          <w:sz w:val="24"/>
        </w:rPr>
      </w:pPr>
      <w:r>
        <w:rPr>
          <w:rFonts w:eastAsiaTheme="minorEastAsia"/>
          <w:sz w:val="24"/>
        </w:rPr>
        <w:t>九、国有资本经营预算支出决算情况说明</w:t>
      </w:r>
      <w:r>
        <w:ptab w:relativeTo="margin" w:alignment="right" w:leader="dot"/>
      </w:r>
      <w:r>
        <w:rPr>
          <w:rFonts w:hint="eastAsia" w:eastAsiaTheme="minorEastAsia"/>
          <w:sz w:val="24"/>
        </w:rPr>
        <w:t>14</w:t>
      </w:r>
    </w:p>
    <w:p w14:paraId="2DB60EDF">
      <w:pPr>
        <w:adjustRightInd w:val="0"/>
        <w:snapToGrid w:val="0"/>
        <w:spacing w:line="440" w:lineRule="exact"/>
        <w:ind w:firstLine="420" w:firstLineChars="175"/>
        <w:jc w:val="left"/>
        <w:rPr>
          <w:sz w:val="24"/>
        </w:rPr>
      </w:pPr>
      <w:r>
        <w:rPr>
          <w:rStyle w:val="17"/>
          <w:rFonts w:eastAsiaTheme="minorEastAsia"/>
          <w:color w:val="auto"/>
          <w:sz w:val="24"/>
          <w:u w:val="none"/>
        </w:rPr>
        <w:t>十、</w:t>
      </w:r>
      <w:r>
        <w:rPr>
          <w:rFonts w:eastAsiaTheme="minorEastAsia"/>
          <w:sz w:val="24"/>
        </w:rPr>
        <w:t>其他重要事项的情况说明</w:t>
      </w:r>
      <w:r>
        <w:ptab w:relativeTo="margin" w:alignment="right" w:leader="dot"/>
      </w:r>
      <w:r>
        <w:rPr>
          <w:rFonts w:hint="eastAsia" w:eastAsiaTheme="minorEastAsia"/>
          <w:sz w:val="24"/>
        </w:rPr>
        <w:t>14</w:t>
      </w:r>
    </w:p>
    <w:p w14:paraId="119EEA3C">
      <w:pPr>
        <w:pStyle w:val="11"/>
        <w:adjustRightInd w:val="0"/>
        <w:snapToGrid w:val="0"/>
        <w:spacing w:before="0" w:line="440" w:lineRule="exact"/>
        <w:jc w:val="left"/>
        <w:rPr>
          <w:rFonts w:ascii="Times New Roman" w:hAnsi="Times New Roman"/>
          <w:sz w:val="24"/>
          <w:szCs w:val="24"/>
        </w:rPr>
      </w:pPr>
      <w:r>
        <w:rPr>
          <w:rFonts w:ascii="Times New Roman" w:hAnsi="Times New Roman"/>
          <w:sz w:val="24"/>
        </w:rPr>
        <w:t>第三部分名词解释</w:t>
      </w:r>
      <w:r>
        <w:rPr>
          <w:rFonts w:ascii="Times New Roman" w:hAnsi="Times New Roman"/>
        </w:rPr>
        <w:ptab w:relativeTo="margin" w:alignment="right" w:leader="dot"/>
      </w:r>
      <w:r>
        <w:rPr>
          <w:rFonts w:hint="eastAsia" w:ascii="Times New Roman" w:hAnsi="Times New Roman"/>
          <w:sz w:val="24"/>
        </w:rPr>
        <w:t>16</w:t>
      </w:r>
    </w:p>
    <w:p w14:paraId="71EB56DB">
      <w:pPr>
        <w:pStyle w:val="11"/>
        <w:adjustRightInd w:val="0"/>
        <w:snapToGrid w:val="0"/>
        <w:spacing w:before="0" w:line="440" w:lineRule="exact"/>
        <w:jc w:val="left"/>
        <w:rPr>
          <w:rFonts w:ascii="Times New Roman" w:hAnsi="Times New Roman"/>
          <w:sz w:val="24"/>
          <w:szCs w:val="24"/>
        </w:rPr>
      </w:pPr>
      <w:r>
        <w:rPr>
          <w:rFonts w:ascii="Times New Roman" w:hAnsi="Times New Roman"/>
          <w:sz w:val="24"/>
        </w:rPr>
        <w:t>第四部分附件</w:t>
      </w:r>
      <w:r>
        <w:rPr>
          <w:rFonts w:ascii="Times New Roman" w:hAnsi="Times New Roman"/>
        </w:rPr>
        <w:ptab w:relativeTo="margin" w:alignment="right" w:leader="dot"/>
      </w:r>
      <w:r>
        <w:rPr>
          <w:rFonts w:ascii="Times New Roman" w:hAnsi="Times New Roman"/>
          <w:sz w:val="24"/>
        </w:rPr>
        <w:t>2</w:t>
      </w:r>
      <w:r>
        <w:rPr>
          <w:rFonts w:hint="eastAsia" w:ascii="Times New Roman" w:hAnsi="Times New Roman"/>
          <w:sz w:val="24"/>
        </w:rPr>
        <w:t>0</w:t>
      </w:r>
    </w:p>
    <w:p w14:paraId="263312F3">
      <w:pPr>
        <w:pStyle w:val="11"/>
        <w:adjustRightInd w:val="0"/>
        <w:snapToGrid w:val="0"/>
        <w:spacing w:before="0" w:line="440" w:lineRule="exact"/>
        <w:jc w:val="left"/>
        <w:rPr>
          <w:rFonts w:ascii="Times New Roman" w:hAnsi="Times New Roman"/>
          <w:sz w:val="24"/>
          <w:szCs w:val="24"/>
        </w:rPr>
      </w:pPr>
      <w:r>
        <w:rPr>
          <w:rFonts w:ascii="Times New Roman" w:hAnsi="Times New Roman"/>
          <w:sz w:val="24"/>
        </w:rPr>
        <w:t>第五部分附表</w:t>
      </w:r>
      <w:r>
        <w:rPr>
          <w:rFonts w:ascii="Times New Roman" w:hAnsi="Times New Roman"/>
        </w:rPr>
        <w:ptab w:relativeTo="margin" w:alignment="right" w:leader="dot"/>
      </w:r>
      <w:r>
        <w:rPr>
          <w:rFonts w:hint="eastAsia" w:ascii="Times New Roman" w:hAnsi="Times New Roman"/>
          <w:sz w:val="24"/>
        </w:rPr>
        <w:t>34</w:t>
      </w:r>
    </w:p>
    <w:p w14:paraId="52CBF007">
      <w:pPr>
        <w:pStyle w:val="12"/>
        <w:adjustRightInd w:val="0"/>
        <w:snapToGrid w:val="0"/>
        <w:spacing w:line="440" w:lineRule="exact"/>
        <w:jc w:val="left"/>
        <w:rPr>
          <w:sz w:val="24"/>
        </w:rPr>
      </w:pPr>
      <w:r>
        <w:rPr>
          <w:sz w:val="24"/>
        </w:rPr>
        <w:t>一、收入支出决算总表</w:t>
      </w:r>
      <w:r>
        <w:ptab w:relativeTo="margin" w:alignment="right" w:leader="dot"/>
      </w:r>
      <w:r>
        <w:rPr>
          <w:rFonts w:hint="eastAsia"/>
          <w:sz w:val="24"/>
        </w:rPr>
        <w:t>35</w:t>
      </w:r>
    </w:p>
    <w:p w14:paraId="5D38F3E3">
      <w:pPr>
        <w:pStyle w:val="12"/>
        <w:adjustRightInd w:val="0"/>
        <w:snapToGrid w:val="0"/>
        <w:spacing w:line="440" w:lineRule="exact"/>
        <w:jc w:val="left"/>
        <w:rPr>
          <w:sz w:val="24"/>
        </w:rPr>
      </w:pPr>
      <w:r>
        <w:rPr>
          <w:sz w:val="24"/>
        </w:rPr>
        <w:t>二、收入决算表</w:t>
      </w:r>
      <w:r>
        <w:ptab w:relativeTo="margin" w:alignment="right" w:leader="dot"/>
      </w:r>
      <w:r>
        <w:rPr>
          <w:rFonts w:hint="eastAsia"/>
          <w:sz w:val="24"/>
        </w:rPr>
        <w:t>36</w:t>
      </w:r>
    </w:p>
    <w:p w14:paraId="2C4B6B04">
      <w:pPr>
        <w:pStyle w:val="12"/>
        <w:adjustRightInd w:val="0"/>
        <w:snapToGrid w:val="0"/>
        <w:spacing w:line="440" w:lineRule="exact"/>
        <w:jc w:val="left"/>
        <w:rPr>
          <w:sz w:val="24"/>
        </w:rPr>
      </w:pPr>
      <w:r>
        <w:rPr>
          <w:sz w:val="24"/>
        </w:rPr>
        <w:t>三、支出决算表</w:t>
      </w:r>
      <w:r>
        <w:ptab w:relativeTo="margin" w:alignment="right" w:leader="dot"/>
      </w:r>
      <w:r>
        <w:rPr>
          <w:rFonts w:hint="eastAsia"/>
          <w:sz w:val="24"/>
        </w:rPr>
        <w:t>37</w:t>
      </w:r>
    </w:p>
    <w:p w14:paraId="4DADDF51">
      <w:pPr>
        <w:pStyle w:val="12"/>
        <w:adjustRightInd w:val="0"/>
        <w:snapToGrid w:val="0"/>
        <w:spacing w:line="440" w:lineRule="exact"/>
        <w:jc w:val="left"/>
        <w:rPr>
          <w:sz w:val="24"/>
        </w:rPr>
      </w:pPr>
      <w:r>
        <w:rPr>
          <w:sz w:val="24"/>
        </w:rPr>
        <w:t>四、财政拨款收入支出决算总表</w:t>
      </w:r>
      <w:r>
        <w:ptab w:relativeTo="margin" w:alignment="right" w:leader="dot"/>
      </w:r>
      <w:r>
        <w:rPr>
          <w:rFonts w:hint="eastAsia"/>
          <w:sz w:val="24"/>
        </w:rPr>
        <w:t>38</w:t>
      </w:r>
    </w:p>
    <w:p w14:paraId="32F1235D">
      <w:pPr>
        <w:pStyle w:val="12"/>
        <w:adjustRightInd w:val="0"/>
        <w:snapToGrid w:val="0"/>
        <w:spacing w:line="440" w:lineRule="exact"/>
        <w:jc w:val="left"/>
        <w:rPr>
          <w:sz w:val="24"/>
        </w:rPr>
      </w:pPr>
      <w:r>
        <w:rPr>
          <w:sz w:val="24"/>
        </w:rPr>
        <w:t>五、财政拨款支出决算明细表</w:t>
      </w:r>
      <w:r>
        <w:ptab w:relativeTo="margin" w:alignment="right" w:leader="dot"/>
      </w:r>
      <w:r>
        <w:rPr>
          <w:rFonts w:hint="eastAsia"/>
          <w:sz w:val="24"/>
        </w:rPr>
        <w:t>39</w:t>
      </w:r>
    </w:p>
    <w:p w14:paraId="5315B7F7">
      <w:pPr>
        <w:pStyle w:val="12"/>
        <w:adjustRightInd w:val="0"/>
        <w:snapToGrid w:val="0"/>
        <w:spacing w:line="440" w:lineRule="exact"/>
        <w:jc w:val="left"/>
        <w:rPr>
          <w:sz w:val="24"/>
        </w:rPr>
      </w:pPr>
      <w:r>
        <w:rPr>
          <w:sz w:val="24"/>
        </w:rPr>
        <w:t>六、一般公共预算财政拨款支出决算表</w:t>
      </w:r>
      <w:r>
        <w:ptab w:relativeTo="margin" w:alignment="right" w:leader="dot"/>
      </w:r>
      <w:r>
        <w:rPr>
          <w:rFonts w:hint="eastAsia"/>
          <w:sz w:val="24"/>
        </w:rPr>
        <w:t>42</w:t>
      </w:r>
    </w:p>
    <w:p w14:paraId="0335D67F">
      <w:pPr>
        <w:pStyle w:val="12"/>
        <w:adjustRightInd w:val="0"/>
        <w:snapToGrid w:val="0"/>
        <w:spacing w:line="440" w:lineRule="exact"/>
        <w:jc w:val="left"/>
        <w:rPr>
          <w:sz w:val="24"/>
        </w:rPr>
      </w:pPr>
      <w:r>
        <w:rPr>
          <w:sz w:val="24"/>
        </w:rPr>
        <w:t>七、一般公共预算财政拨款支出决算明细表</w:t>
      </w:r>
      <w:r>
        <w:ptab w:relativeTo="margin" w:alignment="right" w:leader="dot"/>
      </w:r>
      <w:r>
        <w:rPr>
          <w:rFonts w:hint="eastAsia"/>
          <w:sz w:val="24"/>
        </w:rPr>
        <w:t>43</w:t>
      </w:r>
    </w:p>
    <w:p w14:paraId="6CE6F749">
      <w:pPr>
        <w:pStyle w:val="12"/>
        <w:adjustRightInd w:val="0"/>
        <w:snapToGrid w:val="0"/>
        <w:spacing w:line="440" w:lineRule="exact"/>
        <w:jc w:val="left"/>
        <w:rPr>
          <w:sz w:val="24"/>
        </w:rPr>
      </w:pPr>
      <w:r>
        <w:rPr>
          <w:sz w:val="24"/>
        </w:rPr>
        <w:t>八、一般公共预算财政拨款基本支出决算明细表</w:t>
      </w:r>
      <w:r>
        <w:ptab w:relativeTo="margin" w:alignment="right" w:leader="dot"/>
      </w:r>
      <w:r>
        <w:rPr>
          <w:rFonts w:hint="eastAsia"/>
          <w:sz w:val="24"/>
        </w:rPr>
        <w:t>50</w:t>
      </w:r>
    </w:p>
    <w:p w14:paraId="1D317854">
      <w:pPr>
        <w:pStyle w:val="12"/>
        <w:adjustRightInd w:val="0"/>
        <w:snapToGrid w:val="0"/>
        <w:spacing w:line="440" w:lineRule="exact"/>
        <w:jc w:val="left"/>
        <w:rPr>
          <w:sz w:val="24"/>
        </w:rPr>
      </w:pPr>
      <w:r>
        <w:rPr>
          <w:sz w:val="24"/>
        </w:rPr>
        <w:t>九、一般公共预算财政拨款项目支出决算表</w:t>
      </w:r>
      <w:r>
        <w:ptab w:relativeTo="margin" w:alignment="right" w:leader="dot"/>
      </w:r>
      <w:r>
        <w:rPr>
          <w:rFonts w:hint="eastAsia"/>
          <w:sz w:val="24"/>
        </w:rPr>
        <w:t>51</w:t>
      </w:r>
    </w:p>
    <w:p w14:paraId="74C1C322">
      <w:pPr>
        <w:pStyle w:val="12"/>
        <w:adjustRightInd w:val="0"/>
        <w:snapToGrid w:val="0"/>
        <w:spacing w:line="440" w:lineRule="exact"/>
        <w:jc w:val="left"/>
        <w:rPr>
          <w:sz w:val="24"/>
        </w:rPr>
      </w:pPr>
      <w:r>
        <w:rPr>
          <w:sz w:val="24"/>
        </w:rPr>
        <w:t>十、政府性基金预算财政拨款收入支出决算表</w:t>
      </w:r>
      <w:r>
        <w:ptab w:relativeTo="margin" w:alignment="right" w:leader="dot"/>
      </w:r>
      <w:r>
        <w:rPr>
          <w:rFonts w:hint="eastAsia"/>
          <w:sz w:val="24"/>
        </w:rPr>
        <w:t>52</w:t>
      </w:r>
    </w:p>
    <w:p w14:paraId="41B4162A">
      <w:pPr>
        <w:pStyle w:val="12"/>
        <w:adjustRightInd w:val="0"/>
        <w:snapToGrid w:val="0"/>
        <w:spacing w:line="440" w:lineRule="exact"/>
        <w:jc w:val="left"/>
        <w:rPr>
          <w:sz w:val="24"/>
        </w:rPr>
      </w:pPr>
      <w:r>
        <w:rPr>
          <w:sz w:val="24"/>
        </w:rPr>
        <w:t>十一、国有资本经营预算财政拨款收入支出决算表</w:t>
      </w:r>
      <w:r>
        <w:ptab w:relativeTo="margin" w:alignment="right" w:leader="dot"/>
      </w:r>
      <w:r>
        <w:rPr>
          <w:rFonts w:hint="eastAsia"/>
          <w:sz w:val="24"/>
        </w:rPr>
        <w:t>53</w:t>
      </w:r>
    </w:p>
    <w:p w14:paraId="58139DB3">
      <w:pPr>
        <w:pStyle w:val="12"/>
        <w:adjustRightInd w:val="0"/>
        <w:snapToGrid w:val="0"/>
        <w:spacing w:line="440" w:lineRule="exact"/>
        <w:jc w:val="left"/>
        <w:rPr>
          <w:sz w:val="24"/>
        </w:rPr>
      </w:pPr>
      <w:r>
        <w:rPr>
          <w:sz w:val="24"/>
        </w:rPr>
        <w:t>十二、国有资本经营预算财政拨款支出决算表</w:t>
      </w:r>
      <w:r>
        <w:ptab w:relativeTo="margin" w:alignment="right" w:leader="dot"/>
      </w:r>
      <w:r>
        <w:rPr>
          <w:rFonts w:hint="eastAsia"/>
          <w:sz w:val="24"/>
        </w:rPr>
        <w:t>54</w:t>
      </w:r>
    </w:p>
    <w:p w14:paraId="716158D4">
      <w:pPr>
        <w:pStyle w:val="12"/>
        <w:adjustRightInd w:val="0"/>
        <w:snapToGrid w:val="0"/>
        <w:spacing w:line="440" w:lineRule="exact"/>
        <w:jc w:val="left"/>
        <w:rPr>
          <w:sz w:val="24"/>
        </w:rPr>
      </w:pPr>
      <w:r>
        <w:rPr>
          <w:sz w:val="24"/>
        </w:rPr>
        <w:t>十三、财政拨款“三公”经费支出决算表</w:t>
      </w:r>
      <w:r>
        <w:ptab w:relativeTo="margin" w:alignment="right" w:leader="dot"/>
      </w:r>
      <w:r>
        <w:rPr>
          <w:rFonts w:hint="eastAsia"/>
          <w:sz w:val="24"/>
        </w:rPr>
        <w:t>55</w:t>
      </w:r>
    </w:p>
    <w:p w14:paraId="3DAC1936">
      <w:pPr>
        <w:pStyle w:val="3"/>
        <w:jc w:val="center"/>
        <w:rPr>
          <w:rFonts w:eastAsia="黑体"/>
          <w:b w:val="0"/>
        </w:rPr>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bookmarkStart w:id="12" w:name="_Toc15396599"/>
      <w:bookmarkStart w:id="13" w:name="_Toc15377196"/>
    </w:p>
    <w:p w14:paraId="64FB9E34">
      <w:pPr>
        <w:pStyle w:val="3"/>
        <w:jc w:val="center"/>
        <w:rPr>
          <w:rStyle w:val="19"/>
          <w:rFonts w:eastAsia="黑体"/>
          <w:b/>
          <w:bCs w:val="0"/>
        </w:rPr>
      </w:pPr>
      <w:r>
        <w:rPr>
          <w:rFonts w:eastAsia="黑体"/>
          <w:b w:val="0"/>
        </w:rPr>
        <w:t xml:space="preserve">第一部分 </w:t>
      </w:r>
      <w:r>
        <w:rPr>
          <w:rStyle w:val="19"/>
          <w:rFonts w:eastAsia="黑体"/>
          <w:b w:val="0"/>
          <w:bCs w:val="0"/>
        </w:rPr>
        <w:t>部门概况</w:t>
      </w:r>
      <w:bookmarkEnd w:id="12"/>
      <w:bookmarkEnd w:id="13"/>
    </w:p>
    <w:p w14:paraId="34744B7C">
      <w:pPr>
        <w:widowControl/>
        <w:jc w:val="left"/>
        <w:rPr>
          <w:rFonts w:eastAsia="黑体"/>
          <w:sz w:val="32"/>
          <w:szCs w:val="32"/>
        </w:rPr>
      </w:pPr>
    </w:p>
    <w:p w14:paraId="1FCF110D">
      <w:pPr>
        <w:pStyle w:val="4"/>
        <w:numPr>
          <w:ilvl w:val="0"/>
          <w:numId w:val="1"/>
        </w:numPr>
        <w:rPr>
          <w:rFonts w:ascii="Times New Roman" w:hAnsi="Times New Roman" w:eastAsia="黑体" w:cs="Times New Roman"/>
          <w:b w:val="0"/>
        </w:rPr>
      </w:pPr>
      <w:r>
        <w:rPr>
          <w:rFonts w:ascii="Times New Roman" w:hAnsi="Times New Roman" w:eastAsia="黑体" w:cs="Times New Roman"/>
          <w:b w:val="0"/>
        </w:rPr>
        <w:t>部门职责</w:t>
      </w:r>
    </w:p>
    <w:p w14:paraId="4C9E5021">
      <w:pPr>
        <w:ind w:firstLine="640" w:firstLineChars="200"/>
        <w:rPr>
          <w:rFonts w:eastAsia="仿宋"/>
          <w:sz w:val="32"/>
          <w:szCs w:val="32"/>
        </w:rPr>
      </w:pPr>
      <w:r>
        <w:rPr>
          <w:rFonts w:eastAsia="仿宋"/>
          <w:sz w:val="32"/>
          <w:szCs w:val="32"/>
        </w:rPr>
        <w:t>（一）负责全县市场综合监督管理。起草市场监督管理有关规章草案、规范性文件。组织实施质量强县、食品安全、标准化和知识产权战略，拟订并组织实施有关规划，规范和维护市场秩序，营造诚实守信、公平竞争的市场环境。</w:t>
      </w:r>
    </w:p>
    <w:p w14:paraId="7B17E8D5">
      <w:pPr>
        <w:ind w:firstLine="640" w:firstLineChars="200"/>
        <w:rPr>
          <w:rFonts w:eastAsia="仿宋"/>
          <w:sz w:val="32"/>
          <w:szCs w:val="32"/>
        </w:rPr>
      </w:pPr>
      <w:r>
        <w:rPr>
          <w:rFonts w:eastAsia="仿宋"/>
          <w:sz w:val="32"/>
          <w:szCs w:val="32"/>
        </w:rPr>
        <w:t>（二）负责全县市场主体统一登记注册。负责指导全县各类企业、农民专业合作社和从事经营活动的单位、个体工商户以及外国（地区）企业、常驻代表机构等市场主体的登记注册和监督管理工作。建立市场主体信息公示和共享机制，依法公示和共享有关信息，加强信用监管，推动市场主体信用体系建设。配合协助党委组织部门开展小微企业、个体工商户、专业市场的党建工作。</w:t>
      </w:r>
    </w:p>
    <w:p w14:paraId="7D39E6C5">
      <w:pPr>
        <w:ind w:firstLine="640" w:firstLineChars="200"/>
        <w:rPr>
          <w:rFonts w:eastAsia="仿宋"/>
          <w:sz w:val="32"/>
          <w:szCs w:val="32"/>
        </w:rPr>
      </w:pPr>
      <w:r>
        <w:rPr>
          <w:rFonts w:eastAsia="仿宋"/>
          <w:sz w:val="32"/>
          <w:szCs w:val="32"/>
        </w:rPr>
        <w:t>（三）负责市场监管领域综合行政执法工作。</w:t>
      </w:r>
    </w:p>
    <w:p w14:paraId="547980A5">
      <w:pPr>
        <w:ind w:firstLine="640" w:firstLineChars="200"/>
        <w:rPr>
          <w:rFonts w:eastAsia="仿宋"/>
          <w:sz w:val="32"/>
          <w:szCs w:val="32"/>
        </w:rPr>
      </w:pPr>
      <w:r>
        <w:rPr>
          <w:rFonts w:eastAsia="仿宋"/>
          <w:sz w:val="32"/>
          <w:szCs w:val="32"/>
        </w:rPr>
        <w:t>（四）负责监督管理全县市场秩序。依法监督管理市场交易、网络商品交易及有关服务的行为。协助开展有关反垄断调查工作。组织指导查处价格收费违法违规、不正当竞争、违法直销、传销、侵犯商标专利知识产权和制售假冒伪劣行为。依法实施合同、拍卖行为的监督管理。开展动产抵押物登记。指导广告业的发展，监督管理广告活动。依法查处无照生产经营和相关无证生产经营行为。组织指导消费环境建设，指导县保护消费者权益委员会开展消费维权工作。</w:t>
      </w:r>
    </w:p>
    <w:p w14:paraId="3DCC8B00">
      <w:pPr>
        <w:ind w:firstLine="640" w:firstLineChars="200"/>
        <w:rPr>
          <w:rFonts w:eastAsia="仿宋"/>
          <w:sz w:val="32"/>
          <w:szCs w:val="32"/>
        </w:rPr>
      </w:pPr>
      <w:r>
        <w:rPr>
          <w:rFonts w:eastAsia="仿宋"/>
          <w:sz w:val="32"/>
          <w:szCs w:val="32"/>
        </w:rPr>
        <w:t>（五）负责全县宏观质量管理。拟订并组织实施质量发展的制度措施。统筹全县质量基础设施建设与应用。会同有关部门组织实施重大工程设备质量监理制度，组织重大产品质量事故调查，贯彻实施缺陷产品召回制度，监督管理产品防伪工作。</w:t>
      </w:r>
    </w:p>
    <w:p w14:paraId="7BF4A546">
      <w:pPr>
        <w:ind w:firstLine="640" w:firstLineChars="200"/>
        <w:rPr>
          <w:rFonts w:eastAsia="仿宋"/>
          <w:sz w:val="32"/>
          <w:szCs w:val="32"/>
        </w:rPr>
      </w:pPr>
      <w:r>
        <w:rPr>
          <w:rFonts w:eastAsia="仿宋"/>
          <w:sz w:val="32"/>
          <w:szCs w:val="32"/>
        </w:rPr>
        <w:t>（六）负责全县产品质量安全监督管理。负责产品质量监督抽查和风险监控工作，组织实施质量分级制度、质量安全追溯制度。负责工业产品生产许可证管理。负责纤维质量监督工作。</w:t>
      </w:r>
    </w:p>
    <w:p w14:paraId="673AF145">
      <w:pPr>
        <w:ind w:firstLine="640" w:firstLineChars="200"/>
        <w:rPr>
          <w:rFonts w:eastAsia="仿宋"/>
          <w:sz w:val="32"/>
          <w:szCs w:val="32"/>
        </w:rPr>
      </w:pPr>
      <w:r>
        <w:rPr>
          <w:rFonts w:eastAsia="仿宋"/>
          <w:sz w:val="32"/>
          <w:szCs w:val="32"/>
        </w:rPr>
        <w:t>（七）负责全县特种设备安全监督管理。综合管理特种设备安全监察、监督工作，监督检查高耗能特种设备节能标准和锅炉产品环境保护标准的执行情况。</w:t>
      </w:r>
    </w:p>
    <w:p w14:paraId="57F0085E">
      <w:pPr>
        <w:ind w:firstLine="640" w:firstLineChars="200"/>
        <w:rPr>
          <w:rFonts w:eastAsia="仿宋"/>
          <w:sz w:val="32"/>
          <w:szCs w:val="32"/>
        </w:rPr>
      </w:pPr>
      <w:r>
        <w:rPr>
          <w:rFonts w:eastAsia="仿宋"/>
          <w:sz w:val="32"/>
          <w:szCs w:val="32"/>
        </w:rPr>
        <w:t>（八）负责全县食品安全监督管理综合协调。统筹指导全县食品安全工作。负责食品安全应急体系建设，组织指导重大食品安全事件应急处置和调查处理工作。落实食品安全重要信息直报制度。承担县食品安全委员会日常工作。</w:t>
      </w:r>
    </w:p>
    <w:p w14:paraId="4FCF8EF3">
      <w:pPr>
        <w:ind w:firstLine="640" w:firstLineChars="200"/>
        <w:rPr>
          <w:rFonts w:eastAsia="仿宋"/>
          <w:sz w:val="32"/>
          <w:szCs w:val="32"/>
        </w:rPr>
      </w:pPr>
      <w:r>
        <w:rPr>
          <w:rFonts w:eastAsia="仿宋"/>
          <w:sz w:val="32"/>
          <w:szCs w:val="32"/>
        </w:rPr>
        <w:t>（九）负责全县食品安全监督管理。建立覆盖食品生产、流通、消费全过程的监督检查制度和隐患排查治理机制并组织实施，防范区域性、系统性食品安全风险。推动建立食品生产经营者落实主体责任的机制，健全食品安全追溯体系。指导督促食品生产经营企业的相关安全生产工作。组织开展食品安全监督抽检、风险监测、核查处置和风险预警、风险交流工作。组织实施特殊食品监督管理。</w:t>
      </w:r>
    </w:p>
    <w:p w14:paraId="60AE6694">
      <w:pPr>
        <w:ind w:firstLine="640" w:firstLineChars="200"/>
        <w:rPr>
          <w:rFonts w:eastAsia="仿宋"/>
          <w:sz w:val="32"/>
          <w:szCs w:val="32"/>
        </w:rPr>
      </w:pPr>
      <w:r>
        <w:rPr>
          <w:rFonts w:eastAsia="仿宋"/>
          <w:sz w:val="32"/>
          <w:szCs w:val="32"/>
        </w:rPr>
        <w:t>（十）负责药品、化妆品和医疗器械的质量管理、风险管理、安全监督和安全应急管理。承担全县药品零售、医疗器械经营的检查和处罚，以及化妆品经营和药品、医疗器械使用环节质量的安全监测、检查和处罚。参与市市场监管局组织的监督检查。监督实施问题产品召回和处置工作。参与执业药师注册及相关工作。</w:t>
      </w:r>
    </w:p>
    <w:p w14:paraId="18908016">
      <w:pPr>
        <w:ind w:firstLine="640" w:firstLineChars="200"/>
        <w:rPr>
          <w:rFonts w:eastAsia="仿宋"/>
          <w:sz w:val="32"/>
          <w:szCs w:val="32"/>
        </w:rPr>
      </w:pPr>
      <w:r>
        <w:rPr>
          <w:rFonts w:eastAsia="仿宋"/>
          <w:sz w:val="32"/>
          <w:szCs w:val="32"/>
        </w:rPr>
        <w:t>（十一）负责统一管理全县计量工作。推行法定计量单位，执行国家计量制度，管理计量器具及量值传递和比对工作。规范、监督商品量和计量行为。</w:t>
      </w:r>
    </w:p>
    <w:p w14:paraId="5F96D26B">
      <w:pPr>
        <w:ind w:firstLine="640" w:firstLineChars="200"/>
        <w:rPr>
          <w:rFonts w:eastAsia="仿宋"/>
          <w:sz w:val="32"/>
          <w:szCs w:val="32"/>
        </w:rPr>
      </w:pPr>
      <w:r>
        <w:rPr>
          <w:rFonts w:eastAsia="仿宋"/>
          <w:sz w:val="32"/>
          <w:szCs w:val="32"/>
        </w:rPr>
        <w:t>（十二）负责统一管理全县标准化工作。依法承担地方标准立项、编号和发布等工作。协调指导团体标准制定工作。推行企业标准自我声明公开。依法对标准制定和实施情况开展监督。</w:t>
      </w:r>
    </w:p>
    <w:p w14:paraId="2DD30F36">
      <w:pPr>
        <w:ind w:firstLine="640" w:firstLineChars="200"/>
        <w:rPr>
          <w:rFonts w:eastAsia="仿宋"/>
          <w:sz w:val="32"/>
          <w:szCs w:val="32"/>
        </w:rPr>
      </w:pPr>
      <w:r>
        <w:rPr>
          <w:rFonts w:eastAsia="仿宋"/>
          <w:sz w:val="32"/>
          <w:szCs w:val="32"/>
        </w:rPr>
        <w:t>（十三）负责统一管理全县检验检测工作。规范检验检测市场，完善检验检测体系，指导协调检验检测行业发展。</w:t>
      </w:r>
    </w:p>
    <w:p w14:paraId="437A0EDA">
      <w:pPr>
        <w:ind w:firstLine="640" w:firstLineChars="200"/>
        <w:rPr>
          <w:rFonts w:eastAsia="仿宋"/>
          <w:sz w:val="32"/>
          <w:szCs w:val="32"/>
        </w:rPr>
      </w:pPr>
      <w:r>
        <w:rPr>
          <w:rFonts w:eastAsia="仿宋"/>
          <w:sz w:val="32"/>
          <w:szCs w:val="32"/>
        </w:rPr>
        <w:t>（十四）负责统一管理认证认可工作。监督管理认证认可和合格评定工作。</w:t>
      </w:r>
    </w:p>
    <w:p w14:paraId="5A25181B">
      <w:pPr>
        <w:ind w:firstLine="640" w:firstLineChars="200"/>
        <w:rPr>
          <w:rFonts w:eastAsia="仿宋"/>
          <w:sz w:val="32"/>
          <w:szCs w:val="32"/>
        </w:rPr>
      </w:pPr>
      <w:r>
        <w:rPr>
          <w:rFonts w:eastAsia="仿宋"/>
          <w:sz w:val="32"/>
          <w:szCs w:val="32"/>
        </w:rPr>
        <w:t>（十五）负责全县知识产权战略、规划的制定，负责知识产权保护、管理，指导知识产权创造、运用和服务促进工作，负责商标、专利执法工作。</w:t>
      </w:r>
    </w:p>
    <w:p w14:paraId="12D523CE">
      <w:pPr>
        <w:ind w:firstLine="640" w:firstLineChars="200"/>
        <w:rPr>
          <w:rFonts w:eastAsia="仿宋"/>
          <w:sz w:val="32"/>
          <w:szCs w:val="32"/>
        </w:rPr>
      </w:pPr>
      <w:r>
        <w:rPr>
          <w:rFonts w:eastAsia="仿宋"/>
          <w:sz w:val="32"/>
          <w:szCs w:val="32"/>
        </w:rPr>
        <w:t>（十六）负责市场监督管理科技和信息化建设。</w:t>
      </w:r>
    </w:p>
    <w:p w14:paraId="3045782F">
      <w:pPr>
        <w:ind w:firstLine="640" w:firstLineChars="200"/>
        <w:rPr>
          <w:rFonts w:eastAsia="仿宋"/>
          <w:sz w:val="32"/>
          <w:szCs w:val="32"/>
        </w:rPr>
      </w:pPr>
      <w:r>
        <w:rPr>
          <w:rFonts w:eastAsia="仿宋"/>
          <w:sz w:val="32"/>
          <w:szCs w:val="32"/>
        </w:rPr>
        <w:t>（十七）负责职责范围内的安全生产和职业健康、生态环境保护、审批服务便民化等工作。</w:t>
      </w:r>
    </w:p>
    <w:p w14:paraId="3F4BF354">
      <w:pPr>
        <w:ind w:firstLine="640" w:firstLineChars="200"/>
        <w:rPr>
          <w:rFonts w:eastAsia="仿宋"/>
          <w:sz w:val="32"/>
          <w:szCs w:val="32"/>
        </w:rPr>
      </w:pPr>
      <w:r>
        <w:rPr>
          <w:rFonts w:eastAsia="仿宋"/>
          <w:sz w:val="32"/>
          <w:szCs w:val="32"/>
        </w:rPr>
        <w:t>（十八）完成县委、县政府交办的其他任务。</w:t>
      </w:r>
    </w:p>
    <w:p w14:paraId="48CBA71B">
      <w:pPr>
        <w:pStyle w:val="4"/>
        <w:rPr>
          <w:rStyle w:val="20"/>
          <w:rFonts w:ascii="Times New Roman" w:hAnsi="Times New Roman" w:cs="Times New Roman"/>
          <w:b w:val="0"/>
          <w:bCs w:val="0"/>
        </w:rPr>
      </w:pPr>
      <w:bookmarkStart w:id="14" w:name="_Toc15377200"/>
      <w:bookmarkStart w:id="15" w:name="_Toc15396601"/>
      <w:r>
        <w:rPr>
          <w:rFonts w:ascii="Times New Roman" w:hAnsi="Times New Roman" w:eastAsia="黑体" w:cs="Times New Roman"/>
          <w:b w:val="0"/>
        </w:rPr>
        <w:t>二、机</w:t>
      </w:r>
      <w:r>
        <w:rPr>
          <w:rStyle w:val="20"/>
          <w:rFonts w:ascii="Times New Roman" w:hAnsi="Times New Roman" w:eastAsia="黑体" w:cs="Times New Roman"/>
          <w:b w:val="0"/>
          <w:bCs w:val="0"/>
        </w:rPr>
        <w:t>构设置</w:t>
      </w:r>
      <w:bookmarkEnd w:id="14"/>
      <w:bookmarkEnd w:id="15"/>
    </w:p>
    <w:p w14:paraId="6B1F31D3">
      <w:pPr>
        <w:widowControl/>
        <w:ind w:firstLine="640" w:firstLineChars="200"/>
        <w:jc w:val="left"/>
        <w:rPr>
          <w:rFonts w:eastAsia="仿宋"/>
          <w:kern w:val="0"/>
          <w:sz w:val="32"/>
          <w:szCs w:val="32"/>
        </w:rPr>
      </w:pPr>
      <w:r>
        <w:rPr>
          <w:rFonts w:eastAsia="仿宋"/>
          <w:sz w:val="32"/>
          <w:szCs w:val="32"/>
        </w:rPr>
        <w:t>盐边县市场监督管理局下属二级预算单位0个，其中行政单位0个，参照公务员法管理的事业单位</w:t>
      </w:r>
      <w:r>
        <w:rPr>
          <w:rFonts w:eastAsia="仿宋"/>
          <w:bCs/>
          <w:sz w:val="32"/>
          <w:szCs w:val="32"/>
        </w:rPr>
        <w:t>0</w:t>
      </w:r>
      <w:r>
        <w:rPr>
          <w:rFonts w:eastAsia="仿宋"/>
          <w:sz w:val="32"/>
          <w:szCs w:val="32"/>
        </w:rPr>
        <w:t xml:space="preserve">个，其他事业单位0个。    </w:t>
      </w:r>
      <w:r>
        <w:rPr>
          <w:rFonts w:eastAsia="仿宋"/>
          <w:sz w:val="32"/>
          <w:szCs w:val="32"/>
        </w:rPr>
        <w:br w:type="page"/>
      </w:r>
    </w:p>
    <w:p w14:paraId="167BCA19">
      <w:pPr>
        <w:pStyle w:val="3"/>
        <w:ind w:right="440"/>
        <w:jc w:val="center"/>
        <w:rPr>
          <w:rStyle w:val="19"/>
          <w:rFonts w:eastAsia="黑体"/>
          <w:b w:val="0"/>
          <w:bCs/>
        </w:rPr>
      </w:pPr>
      <w:bookmarkStart w:id="16" w:name="_Toc15396602"/>
      <w:bookmarkStart w:id="17" w:name="_Toc15377204"/>
      <w:r>
        <w:rPr>
          <w:rFonts w:eastAsia="黑体"/>
          <w:b w:val="0"/>
        </w:rPr>
        <w:t>第二部分 2022年度</w:t>
      </w:r>
      <w:r>
        <w:rPr>
          <w:rStyle w:val="19"/>
          <w:rFonts w:eastAsia="黑体"/>
          <w:b w:val="0"/>
          <w:bCs/>
        </w:rPr>
        <w:t>部门决算情况说明</w:t>
      </w:r>
      <w:bookmarkEnd w:id="16"/>
      <w:bookmarkEnd w:id="17"/>
    </w:p>
    <w:p w14:paraId="0AFC8CED"/>
    <w:p w14:paraId="7753805D">
      <w:pPr>
        <w:pStyle w:val="30"/>
        <w:numPr>
          <w:ilvl w:val="0"/>
          <w:numId w:val="2"/>
        </w:numPr>
        <w:spacing w:line="600" w:lineRule="exact"/>
        <w:ind w:firstLineChars="0"/>
        <w:outlineLvl w:val="1"/>
        <w:rPr>
          <w:rStyle w:val="20"/>
          <w:rFonts w:ascii="Times New Roman" w:hAnsi="Times New Roman" w:eastAsia="黑体" w:cs="Times New Roman"/>
          <w:b w:val="0"/>
        </w:rPr>
      </w:pPr>
      <w:bookmarkStart w:id="18" w:name="_Toc15377205"/>
      <w:bookmarkStart w:id="19" w:name="_Toc15396603"/>
      <w:r>
        <w:rPr>
          <w:rFonts w:eastAsia="黑体"/>
          <w:sz w:val="32"/>
          <w:szCs w:val="32"/>
        </w:rPr>
        <w:t>收</w:t>
      </w:r>
      <w:r>
        <w:rPr>
          <w:rStyle w:val="20"/>
          <w:rFonts w:ascii="Times New Roman" w:hAnsi="Times New Roman" w:eastAsia="黑体" w:cs="Times New Roman"/>
          <w:b w:val="0"/>
        </w:rPr>
        <w:t>入支出决算总体情况说明</w:t>
      </w:r>
      <w:bookmarkEnd w:id="18"/>
      <w:bookmarkEnd w:id="19"/>
    </w:p>
    <w:p w14:paraId="7569F9C0">
      <w:pPr>
        <w:spacing w:line="600" w:lineRule="exact"/>
        <w:ind w:firstLine="640" w:firstLineChars="200"/>
        <w:rPr>
          <w:rFonts w:eastAsia="仿宋"/>
          <w:sz w:val="32"/>
          <w:szCs w:val="32"/>
        </w:rPr>
      </w:pPr>
      <w:r>
        <w:rPr>
          <w:rFonts w:eastAsia="仿宋"/>
          <w:sz w:val="32"/>
          <w:szCs w:val="32"/>
        </w:rPr>
        <w:t>2022年度收、支总计1840.85万元。与2021年相比，收、支总计各增加120.45万元，增长7%。主要变动原因是调入人员和新招录人员。</w:t>
      </w:r>
    </w:p>
    <w:p w14:paraId="5E39819F">
      <w:pPr>
        <w:spacing w:line="600" w:lineRule="exact"/>
        <w:ind w:firstLine="640" w:firstLineChars="200"/>
        <w:rPr>
          <w:rFonts w:eastAsia="仿宋"/>
          <w:sz w:val="32"/>
          <w:szCs w:val="32"/>
        </w:rPr>
      </w:pPr>
      <w:r>
        <w:rPr>
          <w:rFonts w:eastAsia="仿宋"/>
          <w:sz w:val="32"/>
          <w:szCs w:val="32"/>
        </w:rPr>
        <w:t>（图1：收、支决算总计变动情况图）（柱状图）</w:t>
      </w:r>
    </w:p>
    <w:p w14:paraId="298E321D">
      <w:pPr>
        <w:pStyle w:val="2"/>
        <w:spacing w:before="93"/>
        <w:rPr>
          <w:rFonts w:ascii="Times New Roman"/>
        </w:rPr>
      </w:pPr>
      <w:r>
        <w:rPr>
          <w:rFonts w:ascii="Times New Roman"/>
          <w:sz w:val="32"/>
          <w:szCs w:val="32"/>
        </w:rPr>
        <w:drawing>
          <wp:inline distT="0" distB="0" distL="0" distR="0">
            <wp:extent cx="5581650" cy="13906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F6C7CC">
      <w:pPr>
        <w:spacing w:line="600" w:lineRule="exact"/>
        <w:jc w:val="left"/>
        <w:rPr>
          <w:rFonts w:eastAsia="仿宋_GB2312"/>
          <w:sz w:val="32"/>
          <w:szCs w:val="32"/>
        </w:rPr>
      </w:pPr>
    </w:p>
    <w:p w14:paraId="6677E3D3">
      <w:pPr>
        <w:pStyle w:val="30"/>
        <w:numPr>
          <w:ilvl w:val="0"/>
          <w:numId w:val="2"/>
        </w:numPr>
        <w:spacing w:line="600" w:lineRule="exact"/>
        <w:ind w:firstLineChars="0"/>
        <w:outlineLvl w:val="1"/>
        <w:rPr>
          <w:rStyle w:val="20"/>
          <w:rFonts w:ascii="Times New Roman" w:hAnsi="Times New Roman" w:eastAsia="黑体" w:cs="Times New Roman"/>
          <w:b w:val="0"/>
        </w:rPr>
      </w:pPr>
      <w:bookmarkStart w:id="20" w:name="_Toc15396604"/>
      <w:bookmarkStart w:id="21" w:name="_Toc15377206"/>
      <w:r>
        <w:rPr>
          <w:rFonts w:eastAsia="黑体"/>
          <w:sz w:val="32"/>
          <w:szCs w:val="32"/>
        </w:rPr>
        <w:t>收</w:t>
      </w:r>
      <w:r>
        <w:rPr>
          <w:rStyle w:val="20"/>
          <w:rFonts w:ascii="Times New Roman" w:hAnsi="Times New Roman" w:eastAsia="黑体" w:cs="Times New Roman"/>
          <w:b w:val="0"/>
        </w:rPr>
        <w:t>入决算情况说明</w:t>
      </w:r>
      <w:bookmarkEnd w:id="20"/>
      <w:bookmarkEnd w:id="21"/>
    </w:p>
    <w:p w14:paraId="701B24AD">
      <w:pPr>
        <w:spacing w:line="600" w:lineRule="exact"/>
        <w:ind w:firstLine="640" w:firstLineChars="200"/>
        <w:outlineLvl w:val="1"/>
        <w:rPr>
          <w:rFonts w:eastAsia="仿宋"/>
          <w:sz w:val="32"/>
          <w:szCs w:val="32"/>
        </w:rPr>
      </w:pPr>
      <w:r>
        <w:rPr>
          <w:rFonts w:eastAsia="仿宋"/>
          <w:sz w:val="32"/>
          <w:szCs w:val="32"/>
        </w:rPr>
        <w:t>2022年本年收入合计1840.85万元，其中：一般公共预算财政拨款收入</w:t>
      </w:r>
      <w:r>
        <w:rPr>
          <w:rFonts w:eastAsia="仿宋_GB2312"/>
          <w:color w:val="000000"/>
          <w:sz w:val="32"/>
          <w:szCs w:val="32"/>
          <w:lang w:val="zh-CN"/>
        </w:rPr>
        <w:t>1840.85</w:t>
      </w:r>
      <w:r>
        <w:rPr>
          <w:rFonts w:eastAsia="仿宋"/>
          <w:sz w:val="32"/>
          <w:szCs w:val="32"/>
        </w:rPr>
        <w:t>万元，占100%；政府性基金预算财政拨款收入0万元，占0%；上级补助收入0万元，占0%；其他收入0万元，占0%。</w:t>
      </w:r>
    </w:p>
    <w:p w14:paraId="5770204B">
      <w:pPr>
        <w:spacing w:line="600" w:lineRule="exact"/>
        <w:ind w:firstLine="640" w:firstLineChars="200"/>
        <w:rPr>
          <w:rFonts w:eastAsia="仿宋"/>
          <w:sz w:val="32"/>
          <w:szCs w:val="32"/>
        </w:rPr>
      </w:pPr>
      <w:r>
        <w:rPr>
          <w:rFonts w:eastAsia="仿宋"/>
          <w:sz w:val="32"/>
          <w:szCs w:val="32"/>
        </w:rPr>
        <w:t>（图2：收入决算结构图）（饼状图）</w:t>
      </w:r>
    </w:p>
    <w:p w14:paraId="0A0FFF70">
      <w:pPr>
        <w:pStyle w:val="2"/>
        <w:spacing w:before="93"/>
        <w:rPr>
          <w:rFonts w:ascii="Times New Roman"/>
        </w:rPr>
      </w:pPr>
    </w:p>
    <w:p w14:paraId="397821BF">
      <w:pPr>
        <w:pStyle w:val="2"/>
        <w:spacing w:before="93"/>
        <w:rPr>
          <w:rFonts w:ascii="Times New Roman"/>
        </w:rPr>
      </w:pPr>
    </w:p>
    <w:p w14:paraId="77617AF8">
      <w:pPr>
        <w:pStyle w:val="2"/>
        <w:spacing w:before="93"/>
        <w:rPr>
          <w:rFonts w:ascii="Times New Roman"/>
        </w:rPr>
      </w:pPr>
      <w:r>
        <w:rPr>
          <w:rFonts w:ascii="Times New Roman"/>
        </w:rPr>
        <w:drawing>
          <wp:inline distT="0" distB="0" distL="114300" distR="114300">
            <wp:extent cx="5080000" cy="3810000"/>
            <wp:effectExtent l="4445" t="4445" r="5715" b="1079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B1885F">
      <w:pPr>
        <w:spacing w:line="600" w:lineRule="exact"/>
        <w:ind w:firstLine="640" w:firstLineChars="200"/>
        <w:rPr>
          <w:rFonts w:eastAsia="仿宋_GB2312"/>
          <w:sz w:val="32"/>
          <w:szCs w:val="32"/>
        </w:rPr>
      </w:pPr>
    </w:p>
    <w:p w14:paraId="4A40C258">
      <w:pPr>
        <w:pStyle w:val="30"/>
        <w:numPr>
          <w:ilvl w:val="0"/>
          <w:numId w:val="2"/>
        </w:numPr>
        <w:spacing w:line="600" w:lineRule="exact"/>
        <w:ind w:firstLineChars="0"/>
        <w:outlineLvl w:val="1"/>
        <w:rPr>
          <w:rStyle w:val="20"/>
          <w:rFonts w:ascii="Times New Roman" w:hAnsi="Times New Roman" w:eastAsia="黑体" w:cs="Times New Roman"/>
          <w:b w:val="0"/>
        </w:rPr>
      </w:pPr>
      <w:bookmarkStart w:id="22" w:name="_Toc15396605"/>
      <w:bookmarkStart w:id="23" w:name="_Toc15377207"/>
      <w:r>
        <w:rPr>
          <w:rFonts w:eastAsia="黑体"/>
          <w:sz w:val="32"/>
          <w:szCs w:val="32"/>
        </w:rPr>
        <w:t>支</w:t>
      </w:r>
      <w:r>
        <w:rPr>
          <w:rStyle w:val="20"/>
          <w:rFonts w:ascii="Times New Roman" w:hAnsi="Times New Roman" w:eastAsia="黑体" w:cs="Times New Roman"/>
          <w:b w:val="0"/>
        </w:rPr>
        <w:t>出决算情况说明</w:t>
      </w:r>
      <w:bookmarkEnd w:id="22"/>
      <w:bookmarkEnd w:id="23"/>
    </w:p>
    <w:p w14:paraId="2DDCAE6E">
      <w:pPr>
        <w:spacing w:line="600" w:lineRule="exact"/>
        <w:ind w:firstLine="640" w:firstLineChars="200"/>
        <w:outlineLvl w:val="1"/>
        <w:rPr>
          <w:rFonts w:eastAsia="仿宋"/>
          <w:sz w:val="32"/>
          <w:szCs w:val="32"/>
        </w:rPr>
      </w:pPr>
      <w:r>
        <w:rPr>
          <w:rFonts w:eastAsia="仿宋"/>
          <w:sz w:val="32"/>
          <w:szCs w:val="32"/>
        </w:rPr>
        <w:t>2022年本年支出合计</w:t>
      </w:r>
      <w:r>
        <w:rPr>
          <w:rFonts w:eastAsia="仿宋_GB2312"/>
          <w:color w:val="000000"/>
          <w:sz w:val="32"/>
          <w:szCs w:val="32"/>
          <w:lang w:val="zh-CN"/>
        </w:rPr>
        <w:t>1840.85</w:t>
      </w:r>
      <w:r>
        <w:rPr>
          <w:rFonts w:eastAsia="仿宋"/>
          <w:sz w:val="32"/>
          <w:szCs w:val="32"/>
        </w:rPr>
        <w:t>万元，其中：基本支出</w:t>
      </w:r>
      <w:r>
        <w:rPr>
          <w:rFonts w:eastAsia="仿宋_GB2312"/>
          <w:color w:val="000000"/>
          <w:sz w:val="32"/>
          <w:szCs w:val="32"/>
          <w:lang w:val="zh-CN"/>
        </w:rPr>
        <w:t>1714.31</w:t>
      </w:r>
      <w:r>
        <w:rPr>
          <w:rFonts w:eastAsia="仿宋"/>
          <w:sz w:val="32"/>
          <w:szCs w:val="32"/>
        </w:rPr>
        <w:t>万元，占</w:t>
      </w:r>
      <w:r>
        <w:rPr>
          <w:rFonts w:eastAsia="仿宋_GB2312"/>
          <w:color w:val="000000"/>
          <w:sz w:val="32"/>
          <w:szCs w:val="32"/>
          <w:lang w:val="zh-CN"/>
        </w:rPr>
        <w:t>93.1</w:t>
      </w:r>
      <w:r>
        <w:rPr>
          <w:rFonts w:eastAsia="仿宋"/>
          <w:sz w:val="32"/>
          <w:szCs w:val="32"/>
        </w:rPr>
        <w:t xml:space="preserve"> %；项目支出</w:t>
      </w:r>
      <w:r>
        <w:rPr>
          <w:rFonts w:eastAsia="仿宋_GB2312"/>
          <w:color w:val="000000"/>
          <w:sz w:val="32"/>
          <w:szCs w:val="32"/>
          <w:lang w:val="zh-CN"/>
        </w:rPr>
        <w:t>126.54</w:t>
      </w:r>
      <w:r>
        <w:rPr>
          <w:rFonts w:eastAsia="仿宋"/>
          <w:sz w:val="32"/>
          <w:szCs w:val="32"/>
        </w:rPr>
        <w:t>万元，占</w:t>
      </w:r>
      <w:r>
        <w:rPr>
          <w:rFonts w:eastAsia="仿宋_GB2312"/>
          <w:color w:val="000000"/>
          <w:sz w:val="32"/>
          <w:szCs w:val="32"/>
          <w:lang w:val="zh-CN"/>
        </w:rPr>
        <w:t>6.9</w:t>
      </w:r>
      <w:r>
        <w:rPr>
          <w:rFonts w:eastAsia="仿宋"/>
          <w:sz w:val="32"/>
          <w:szCs w:val="32"/>
        </w:rPr>
        <w:t xml:space="preserve"> %；。</w:t>
      </w:r>
    </w:p>
    <w:p w14:paraId="2A96196E">
      <w:pPr>
        <w:spacing w:line="600" w:lineRule="exact"/>
        <w:ind w:firstLine="640" w:firstLineChars="200"/>
        <w:rPr>
          <w:rFonts w:eastAsia="仿宋"/>
          <w:sz w:val="32"/>
          <w:szCs w:val="32"/>
        </w:rPr>
      </w:pPr>
      <w:r>
        <w:rPr>
          <w:rFonts w:eastAsia="仿宋"/>
          <w:sz w:val="32"/>
          <w:szCs w:val="32"/>
        </w:rPr>
        <w:t>（图3：支出决算结构图）（饼状图）</w:t>
      </w:r>
    </w:p>
    <w:p w14:paraId="7E22024C">
      <w:pPr>
        <w:pStyle w:val="2"/>
        <w:spacing w:before="93"/>
        <w:rPr>
          <w:rFonts w:ascii="Times New Roman"/>
        </w:rPr>
      </w:pPr>
      <w:r>
        <w:rPr>
          <w:rFonts w:ascii="Times New Roman"/>
        </w:rPr>
        <w:drawing>
          <wp:inline distT="0" distB="0" distL="114300" distR="114300">
            <wp:extent cx="5080000" cy="3810000"/>
            <wp:effectExtent l="4445" t="4445" r="5715" b="1079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62B201">
      <w:pPr>
        <w:spacing w:line="600" w:lineRule="exact"/>
        <w:ind w:firstLine="640" w:firstLineChars="200"/>
        <w:outlineLvl w:val="1"/>
        <w:rPr>
          <w:rFonts w:eastAsia="黑体"/>
          <w:sz w:val="32"/>
          <w:szCs w:val="32"/>
        </w:rPr>
      </w:pPr>
      <w:bookmarkStart w:id="24" w:name="_Toc15377208"/>
      <w:bookmarkStart w:id="25" w:name="_Toc15396606"/>
    </w:p>
    <w:p w14:paraId="4A3264D2">
      <w:pPr>
        <w:spacing w:line="600" w:lineRule="exact"/>
        <w:ind w:firstLine="640" w:firstLineChars="200"/>
        <w:outlineLvl w:val="1"/>
        <w:rPr>
          <w:rStyle w:val="20"/>
          <w:rFonts w:ascii="Times New Roman" w:hAnsi="Times New Roman" w:eastAsia="黑体" w:cs="Times New Roman"/>
          <w:b w:val="0"/>
        </w:rPr>
      </w:pPr>
      <w:r>
        <w:rPr>
          <w:rFonts w:eastAsia="黑体"/>
          <w:sz w:val="32"/>
          <w:szCs w:val="32"/>
        </w:rPr>
        <w:t>四、财</w:t>
      </w:r>
      <w:r>
        <w:rPr>
          <w:rStyle w:val="20"/>
          <w:rFonts w:ascii="Times New Roman" w:hAnsi="Times New Roman" w:eastAsia="黑体" w:cs="Times New Roman"/>
          <w:b w:val="0"/>
        </w:rPr>
        <w:t>政拨款收入支出决算总体情况说明</w:t>
      </w:r>
      <w:bookmarkEnd w:id="24"/>
      <w:bookmarkEnd w:id="25"/>
    </w:p>
    <w:p w14:paraId="1543DA98">
      <w:pPr>
        <w:spacing w:line="600" w:lineRule="exact"/>
        <w:ind w:firstLine="640"/>
        <w:rPr>
          <w:rFonts w:eastAsia="仿宋"/>
          <w:sz w:val="32"/>
          <w:szCs w:val="32"/>
        </w:rPr>
      </w:pPr>
      <w:r>
        <w:rPr>
          <w:rFonts w:eastAsia="仿宋"/>
          <w:sz w:val="32"/>
          <w:szCs w:val="32"/>
        </w:rPr>
        <w:t>2022年财政拨款收、支总计</w:t>
      </w:r>
      <w:r>
        <w:rPr>
          <w:rFonts w:eastAsia="仿宋_GB2312"/>
          <w:color w:val="000000"/>
          <w:sz w:val="32"/>
          <w:szCs w:val="32"/>
          <w:lang w:val="zh-CN"/>
        </w:rPr>
        <w:t>1840.85</w:t>
      </w:r>
      <w:r>
        <w:rPr>
          <w:rFonts w:eastAsia="仿宋"/>
          <w:sz w:val="32"/>
          <w:szCs w:val="32"/>
        </w:rPr>
        <w:t>万元。与2021年相比，财政拨款收、支总计各增加</w:t>
      </w:r>
      <w:r>
        <w:rPr>
          <w:rFonts w:eastAsia="仿宋_GB2312"/>
          <w:color w:val="000000"/>
          <w:sz w:val="32"/>
          <w:szCs w:val="32"/>
          <w:lang w:val="zh-CN"/>
        </w:rPr>
        <w:t>141.17</w:t>
      </w:r>
      <w:r>
        <w:rPr>
          <w:rFonts w:eastAsia="仿宋"/>
          <w:sz w:val="32"/>
          <w:szCs w:val="32"/>
        </w:rPr>
        <w:t>万元，增长8.3%。主要变动原因是调入人员和新招录人员。</w:t>
      </w:r>
    </w:p>
    <w:p w14:paraId="5483F421">
      <w:pPr>
        <w:spacing w:line="600" w:lineRule="exact"/>
        <w:ind w:firstLine="640" w:firstLineChars="200"/>
        <w:rPr>
          <w:rFonts w:eastAsia="仿宋"/>
          <w:sz w:val="32"/>
          <w:szCs w:val="32"/>
        </w:rPr>
      </w:pPr>
      <w:r>
        <w:rPr>
          <w:rFonts w:eastAsia="仿宋"/>
          <w:sz w:val="32"/>
          <w:szCs w:val="32"/>
        </w:rPr>
        <w:t>（图4：财政拨款收、支决算总计变动情况）（柱状图）</w:t>
      </w:r>
    </w:p>
    <w:p w14:paraId="06278156">
      <w:pPr>
        <w:pStyle w:val="2"/>
        <w:spacing w:before="93"/>
        <w:rPr>
          <w:rFonts w:ascii="Times New Roman"/>
        </w:rPr>
      </w:pPr>
      <w:r>
        <w:rPr>
          <w:rFonts w:ascii="Times New Roman"/>
          <w:sz w:val="32"/>
          <w:szCs w:val="32"/>
        </w:rPr>
        <w:drawing>
          <wp:inline distT="0" distB="0" distL="0" distR="0">
            <wp:extent cx="5591175" cy="139065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65A75B">
      <w:pPr>
        <w:pStyle w:val="2"/>
        <w:spacing w:before="93"/>
        <w:rPr>
          <w:rFonts w:ascii="Times New Roman"/>
        </w:rPr>
      </w:pPr>
    </w:p>
    <w:p w14:paraId="1BA8F996">
      <w:pPr>
        <w:pStyle w:val="2"/>
        <w:spacing w:before="93"/>
        <w:rPr>
          <w:rFonts w:ascii="Times New Roman"/>
        </w:rPr>
      </w:pPr>
    </w:p>
    <w:p w14:paraId="7A1D65C4">
      <w:pPr>
        <w:spacing w:line="600" w:lineRule="exact"/>
        <w:ind w:firstLine="640" w:firstLineChars="200"/>
        <w:outlineLvl w:val="1"/>
        <w:rPr>
          <w:rStyle w:val="20"/>
          <w:rFonts w:ascii="Times New Roman" w:hAnsi="Times New Roman" w:eastAsia="黑体" w:cs="Times New Roman"/>
          <w:b w:val="0"/>
        </w:rPr>
      </w:pPr>
      <w:bookmarkStart w:id="26" w:name="_Toc15396607"/>
      <w:bookmarkStart w:id="27" w:name="_Toc15377209"/>
      <w:r>
        <w:rPr>
          <w:rFonts w:eastAsia="黑体"/>
          <w:sz w:val="32"/>
          <w:szCs w:val="32"/>
        </w:rPr>
        <w:t>五、</w:t>
      </w:r>
      <w:r>
        <w:rPr>
          <w:rFonts w:eastAsia="黑体"/>
          <w:b/>
          <w:sz w:val="32"/>
          <w:szCs w:val="32"/>
        </w:rPr>
        <w:t>一</w:t>
      </w:r>
      <w:r>
        <w:rPr>
          <w:rStyle w:val="20"/>
          <w:rFonts w:ascii="Times New Roman" w:hAnsi="Times New Roman" w:eastAsia="黑体" w:cs="Times New Roman"/>
          <w:b w:val="0"/>
        </w:rPr>
        <w:t>般公共预算财政拨款支出决算情况说明</w:t>
      </w:r>
      <w:bookmarkEnd w:id="26"/>
      <w:bookmarkEnd w:id="27"/>
    </w:p>
    <w:p w14:paraId="49BE6D8A">
      <w:pPr>
        <w:spacing w:line="600" w:lineRule="exact"/>
        <w:ind w:firstLine="643" w:firstLineChars="200"/>
        <w:outlineLvl w:val="2"/>
        <w:rPr>
          <w:rFonts w:eastAsia="仿宋"/>
          <w:b/>
          <w:sz w:val="32"/>
          <w:szCs w:val="32"/>
        </w:rPr>
      </w:pPr>
      <w:bookmarkStart w:id="28" w:name="_Toc15377210"/>
      <w:r>
        <w:rPr>
          <w:rFonts w:eastAsia="仿宋"/>
          <w:b/>
          <w:sz w:val="32"/>
          <w:szCs w:val="32"/>
        </w:rPr>
        <w:t>（一）一般公共预算财政拨款支出决算总体情况</w:t>
      </w:r>
      <w:bookmarkEnd w:id="28"/>
    </w:p>
    <w:p w14:paraId="5A293AC6">
      <w:pPr>
        <w:spacing w:line="600" w:lineRule="exact"/>
        <w:ind w:firstLine="640" w:firstLineChars="200"/>
        <w:rPr>
          <w:rFonts w:eastAsia="仿宋"/>
          <w:sz w:val="32"/>
          <w:szCs w:val="32"/>
        </w:rPr>
      </w:pPr>
      <w:r>
        <w:rPr>
          <w:rFonts w:eastAsia="仿宋"/>
          <w:sz w:val="32"/>
          <w:szCs w:val="32"/>
        </w:rPr>
        <w:t>2022年一般公共预算财政拨款支出</w:t>
      </w:r>
      <w:r>
        <w:rPr>
          <w:rFonts w:eastAsia="仿宋_GB2312"/>
          <w:color w:val="000000"/>
          <w:sz w:val="32"/>
          <w:szCs w:val="32"/>
          <w:lang w:val="zh-CN"/>
        </w:rPr>
        <w:t>1840.85</w:t>
      </w:r>
      <w:r>
        <w:rPr>
          <w:rFonts w:eastAsia="仿宋"/>
          <w:sz w:val="32"/>
          <w:szCs w:val="32"/>
        </w:rPr>
        <w:t>万元，占本年支出合计的100%。与2021年相比，一般公共预算财政拨款支出增加</w:t>
      </w:r>
      <w:r>
        <w:rPr>
          <w:rFonts w:eastAsia="仿宋_GB2312"/>
          <w:color w:val="000000"/>
          <w:sz w:val="32"/>
          <w:szCs w:val="32"/>
          <w:lang w:val="zh-CN"/>
        </w:rPr>
        <w:t>141.17</w:t>
      </w:r>
      <w:r>
        <w:rPr>
          <w:rFonts w:eastAsia="仿宋"/>
          <w:sz w:val="32"/>
          <w:szCs w:val="32"/>
        </w:rPr>
        <w:t>万元，增长8.3%。主要变动原因是调入人员和新招录人员。</w:t>
      </w:r>
    </w:p>
    <w:p w14:paraId="23B794B8">
      <w:pPr>
        <w:spacing w:line="600" w:lineRule="exact"/>
        <w:ind w:firstLine="640" w:firstLineChars="200"/>
        <w:rPr>
          <w:rFonts w:eastAsia="仿宋"/>
          <w:sz w:val="32"/>
          <w:szCs w:val="32"/>
        </w:rPr>
      </w:pPr>
      <w:r>
        <w:rPr>
          <w:rFonts w:eastAsia="仿宋"/>
          <w:sz w:val="32"/>
          <w:szCs w:val="32"/>
        </w:rPr>
        <w:t>（图5：一般公共预算财政拨款支出决算变动情况）（柱状图）</w:t>
      </w:r>
    </w:p>
    <w:p w14:paraId="3286DC45">
      <w:pPr>
        <w:pStyle w:val="2"/>
        <w:spacing w:before="93"/>
        <w:rPr>
          <w:rFonts w:ascii="Times New Roman"/>
        </w:rPr>
      </w:pPr>
      <w:r>
        <w:rPr>
          <w:rFonts w:ascii="Times New Roman"/>
          <w:sz w:val="32"/>
          <w:szCs w:val="32"/>
        </w:rPr>
        <w:drawing>
          <wp:inline distT="0" distB="0" distL="0" distR="0">
            <wp:extent cx="5133975" cy="13906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EB8775">
      <w:pPr>
        <w:pStyle w:val="2"/>
        <w:spacing w:before="93"/>
        <w:rPr>
          <w:rFonts w:ascii="Times New Roman"/>
        </w:rPr>
      </w:pPr>
    </w:p>
    <w:p w14:paraId="09841BFB">
      <w:pPr>
        <w:spacing w:line="600" w:lineRule="exact"/>
        <w:ind w:firstLine="643" w:firstLineChars="200"/>
        <w:outlineLvl w:val="2"/>
        <w:rPr>
          <w:rFonts w:eastAsia="仿宋"/>
          <w:b/>
          <w:sz w:val="32"/>
          <w:szCs w:val="32"/>
        </w:rPr>
      </w:pPr>
      <w:bookmarkStart w:id="29" w:name="_Toc15377211"/>
      <w:r>
        <w:rPr>
          <w:rFonts w:eastAsia="仿宋"/>
          <w:b/>
          <w:sz w:val="32"/>
          <w:szCs w:val="32"/>
        </w:rPr>
        <w:t>（二）一般公共预算财政拨款支出决算结构情况</w:t>
      </w:r>
      <w:bookmarkEnd w:id="29"/>
    </w:p>
    <w:p w14:paraId="1AEB06A3">
      <w:pPr>
        <w:spacing w:line="600" w:lineRule="exact"/>
        <w:ind w:firstLine="640"/>
        <w:rPr>
          <w:rFonts w:eastAsia="仿宋"/>
          <w:sz w:val="32"/>
          <w:szCs w:val="32"/>
        </w:rPr>
      </w:pPr>
      <w:r>
        <w:rPr>
          <w:rFonts w:eastAsia="仿宋"/>
          <w:sz w:val="32"/>
          <w:szCs w:val="32"/>
        </w:rPr>
        <w:t>2022年一般公共预算财政拨款支出</w:t>
      </w:r>
      <w:r>
        <w:rPr>
          <w:rFonts w:eastAsia="仿宋_GB2312"/>
          <w:color w:val="000000"/>
          <w:sz w:val="32"/>
          <w:szCs w:val="32"/>
          <w:lang w:val="zh-CN"/>
        </w:rPr>
        <w:t>1840.85</w:t>
      </w:r>
      <w:r>
        <w:rPr>
          <w:rFonts w:eastAsia="仿宋"/>
          <w:sz w:val="32"/>
          <w:szCs w:val="32"/>
        </w:rPr>
        <w:t>万元，主要用于以下方面:一般公共服务支出1339.53万元，占72.8 %；社会保障和就业支出228.49万元，占12.4%；卫生健康支出149.35万元，占8.1%；</w:t>
      </w:r>
      <w:r>
        <w:rPr>
          <w:rFonts w:eastAsia="仿宋_GB2312"/>
          <w:color w:val="000000"/>
          <w:sz w:val="32"/>
          <w:szCs w:val="32"/>
          <w:lang w:val="zh-CN"/>
        </w:rPr>
        <w:t>住房保障支出123.47万元，占6.7%</w:t>
      </w:r>
      <w:r>
        <w:rPr>
          <w:rFonts w:eastAsia="仿宋"/>
          <w:sz w:val="32"/>
          <w:szCs w:val="32"/>
        </w:rPr>
        <w:t>。</w:t>
      </w:r>
    </w:p>
    <w:p w14:paraId="043BEE65">
      <w:pPr>
        <w:spacing w:line="600" w:lineRule="exact"/>
        <w:ind w:firstLine="640" w:firstLineChars="200"/>
        <w:rPr>
          <w:rFonts w:eastAsia="仿宋"/>
          <w:sz w:val="32"/>
          <w:szCs w:val="32"/>
        </w:rPr>
      </w:pPr>
      <w:r>
        <w:rPr>
          <w:rFonts w:eastAsia="仿宋"/>
          <w:sz w:val="32"/>
          <w:szCs w:val="32"/>
        </w:rPr>
        <w:t>（图6：一般公共预算财政拨款支出决算结构）（饼状图）</w:t>
      </w:r>
    </w:p>
    <w:p w14:paraId="33A31026">
      <w:pPr>
        <w:pStyle w:val="2"/>
        <w:spacing w:before="93"/>
        <w:rPr>
          <w:rFonts w:ascii="Times New Roman"/>
        </w:rPr>
      </w:pPr>
      <w:r>
        <w:rPr>
          <w:rFonts w:ascii="Times New Roman"/>
        </w:rPr>
        <w:drawing>
          <wp:inline distT="0" distB="0" distL="114300" distR="114300">
            <wp:extent cx="5080000" cy="3810000"/>
            <wp:effectExtent l="4445" t="4445" r="5715" b="1079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5B4894">
      <w:pPr>
        <w:pStyle w:val="2"/>
        <w:spacing w:before="93"/>
        <w:rPr>
          <w:rFonts w:ascii="Times New Roman"/>
        </w:rPr>
      </w:pPr>
    </w:p>
    <w:p w14:paraId="54A4F7DE">
      <w:pPr>
        <w:spacing w:line="600" w:lineRule="exact"/>
        <w:ind w:firstLine="643" w:firstLineChars="200"/>
        <w:outlineLvl w:val="2"/>
        <w:rPr>
          <w:rFonts w:eastAsia="仿宋"/>
          <w:b/>
          <w:sz w:val="32"/>
          <w:szCs w:val="32"/>
        </w:rPr>
      </w:pPr>
      <w:bookmarkStart w:id="30" w:name="_Toc15377212"/>
      <w:r>
        <w:rPr>
          <w:rFonts w:eastAsia="仿宋"/>
          <w:b/>
          <w:sz w:val="32"/>
          <w:szCs w:val="32"/>
        </w:rPr>
        <w:t>（三）一般公共预算财政拨款支出决算具体情况</w:t>
      </w:r>
      <w:bookmarkEnd w:id="30"/>
    </w:p>
    <w:p w14:paraId="6B68BA8B">
      <w:pPr>
        <w:spacing w:line="600" w:lineRule="exact"/>
        <w:ind w:firstLine="643" w:firstLineChars="200"/>
        <w:outlineLvl w:val="2"/>
        <w:rPr>
          <w:rStyle w:val="16"/>
          <w:rFonts w:eastAsia="仿宋"/>
          <w:bCs/>
          <w:sz w:val="32"/>
          <w:szCs w:val="32"/>
        </w:rPr>
      </w:pPr>
      <w:bookmarkStart w:id="31" w:name="_Toc15377213"/>
      <w:bookmarkStart w:id="32" w:name="_Toc15377444"/>
      <w:bookmarkStart w:id="33" w:name="_Toc15378460"/>
      <w:r>
        <w:rPr>
          <w:rFonts w:eastAsia="仿宋"/>
          <w:b/>
          <w:sz w:val="32"/>
          <w:szCs w:val="32"/>
        </w:rPr>
        <w:t>2022年</w:t>
      </w:r>
      <w:bookmarkEnd w:id="31"/>
      <w:bookmarkEnd w:id="32"/>
      <w:bookmarkEnd w:id="33"/>
      <w:r>
        <w:rPr>
          <w:rFonts w:eastAsia="仿宋"/>
          <w:b/>
          <w:sz w:val="32"/>
          <w:szCs w:val="32"/>
        </w:rPr>
        <w:t>一般公共预算支出决算数为</w:t>
      </w:r>
      <w:r>
        <w:rPr>
          <w:rFonts w:eastAsia="仿宋_GB2312"/>
          <w:color w:val="000000"/>
          <w:sz w:val="32"/>
          <w:szCs w:val="32"/>
          <w:lang w:val="zh-CN"/>
        </w:rPr>
        <w:t>1840.85万元</w:t>
      </w:r>
      <w:r>
        <w:rPr>
          <w:rFonts w:eastAsia="仿宋"/>
          <w:sz w:val="32"/>
          <w:szCs w:val="32"/>
        </w:rPr>
        <w:t>，</w:t>
      </w:r>
      <w:r>
        <w:rPr>
          <w:rStyle w:val="16"/>
          <w:rFonts w:eastAsia="仿宋"/>
          <w:bCs/>
          <w:sz w:val="32"/>
          <w:szCs w:val="32"/>
        </w:rPr>
        <w:t>完成预算100%。其中：</w:t>
      </w:r>
    </w:p>
    <w:p w14:paraId="7CE12523">
      <w:pPr>
        <w:spacing w:line="600" w:lineRule="exact"/>
        <w:ind w:firstLine="643" w:firstLineChars="200"/>
        <w:rPr>
          <w:rFonts w:eastAsia="仿宋"/>
          <w:bCs/>
          <w:sz w:val="32"/>
          <w:szCs w:val="32"/>
        </w:rPr>
      </w:pPr>
      <w:r>
        <w:rPr>
          <w:rFonts w:eastAsia="仿宋"/>
          <w:b/>
          <w:bCs/>
          <w:sz w:val="32"/>
          <w:szCs w:val="32"/>
        </w:rPr>
        <w:t>1.一般公共服务（类）市场监督管理事务（款）行政运行（项）:</w:t>
      </w:r>
      <w:r>
        <w:rPr>
          <w:rFonts w:eastAsia="仿宋"/>
          <w:bCs/>
          <w:sz w:val="32"/>
          <w:szCs w:val="32"/>
        </w:rPr>
        <w:t>支出决算为1130.35万元，完成预算100%。</w:t>
      </w:r>
    </w:p>
    <w:p w14:paraId="606741F4">
      <w:pPr>
        <w:spacing w:line="600" w:lineRule="exact"/>
        <w:ind w:firstLine="643" w:firstLineChars="200"/>
        <w:rPr>
          <w:rFonts w:eastAsia="仿宋"/>
          <w:b/>
          <w:sz w:val="32"/>
          <w:szCs w:val="32"/>
        </w:rPr>
      </w:pPr>
      <w:r>
        <w:rPr>
          <w:rFonts w:eastAsia="仿宋"/>
          <w:b/>
          <w:bCs/>
          <w:sz w:val="32"/>
          <w:szCs w:val="32"/>
        </w:rPr>
        <w:t>2.一般公共服务（类）市场监督管理事务（款）一般行政管理事务（项）:</w:t>
      </w:r>
      <w:r>
        <w:rPr>
          <w:rFonts w:eastAsia="仿宋"/>
          <w:bCs/>
          <w:sz w:val="32"/>
          <w:szCs w:val="32"/>
        </w:rPr>
        <w:t>支出决算为24.68万元，完成预算100%。</w:t>
      </w:r>
    </w:p>
    <w:p w14:paraId="7ABDB611">
      <w:pPr>
        <w:spacing w:line="600" w:lineRule="exact"/>
        <w:ind w:firstLine="643" w:firstLineChars="200"/>
        <w:rPr>
          <w:rFonts w:eastAsia="仿宋"/>
          <w:b/>
          <w:sz w:val="32"/>
          <w:szCs w:val="32"/>
        </w:rPr>
      </w:pPr>
      <w:r>
        <w:rPr>
          <w:rFonts w:eastAsia="仿宋"/>
          <w:b/>
          <w:bCs/>
          <w:sz w:val="32"/>
          <w:szCs w:val="32"/>
        </w:rPr>
        <w:t>3.一般公共服务（类）市场监督管理事务（款）药品事务（项）:</w:t>
      </w:r>
      <w:r>
        <w:rPr>
          <w:rFonts w:eastAsia="仿宋"/>
          <w:bCs/>
          <w:sz w:val="32"/>
          <w:szCs w:val="32"/>
        </w:rPr>
        <w:t>支出决算为6万元，完成预算100%。</w:t>
      </w:r>
    </w:p>
    <w:p w14:paraId="4724E574">
      <w:pPr>
        <w:spacing w:line="600" w:lineRule="exact"/>
        <w:ind w:firstLine="643" w:firstLineChars="200"/>
        <w:rPr>
          <w:rFonts w:eastAsia="仿宋"/>
          <w:b/>
          <w:sz w:val="32"/>
          <w:szCs w:val="32"/>
        </w:rPr>
      </w:pPr>
      <w:r>
        <w:rPr>
          <w:rFonts w:eastAsia="仿宋"/>
          <w:b/>
          <w:bCs/>
          <w:sz w:val="32"/>
          <w:szCs w:val="32"/>
        </w:rPr>
        <w:t>4.一般公共服务（类）市场监督管理事务（款）食品安全监管（项）:</w:t>
      </w:r>
      <w:r>
        <w:rPr>
          <w:rFonts w:eastAsia="仿宋"/>
          <w:bCs/>
          <w:sz w:val="32"/>
          <w:szCs w:val="32"/>
        </w:rPr>
        <w:t>支出决算为58.46万元，完成预算100%。</w:t>
      </w:r>
    </w:p>
    <w:p w14:paraId="19756804">
      <w:pPr>
        <w:spacing w:line="600" w:lineRule="exact"/>
        <w:ind w:firstLine="643" w:firstLineChars="200"/>
        <w:rPr>
          <w:rFonts w:eastAsia="仿宋"/>
          <w:b/>
          <w:sz w:val="32"/>
          <w:szCs w:val="32"/>
        </w:rPr>
      </w:pPr>
      <w:r>
        <w:rPr>
          <w:rFonts w:eastAsia="仿宋"/>
          <w:b/>
          <w:bCs/>
          <w:sz w:val="32"/>
          <w:szCs w:val="32"/>
        </w:rPr>
        <w:t>5.一般公共服务（类）市场监督管理事务（款）事业运行（项）:</w:t>
      </w:r>
      <w:r>
        <w:rPr>
          <w:rFonts w:eastAsia="仿宋"/>
          <w:bCs/>
          <w:sz w:val="32"/>
          <w:szCs w:val="32"/>
        </w:rPr>
        <w:t>支出决算为110.04万元，完成预算100%。</w:t>
      </w:r>
    </w:p>
    <w:p w14:paraId="293AE4E1">
      <w:pPr>
        <w:spacing w:line="600" w:lineRule="exact"/>
        <w:ind w:firstLine="643" w:firstLineChars="200"/>
        <w:rPr>
          <w:rFonts w:eastAsia="仿宋"/>
          <w:b/>
          <w:sz w:val="32"/>
          <w:szCs w:val="32"/>
        </w:rPr>
      </w:pPr>
      <w:r>
        <w:rPr>
          <w:rFonts w:eastAsia="仿宋"/>
          <w:b/>
          <w:bCs/>
          <w:sz w:val="32"/>
          <w:szCs w:val="32"/>
        </w:rPr>
        <w:t>6.一般公共服务（类）市场监督管理事务（款）其他市场监督管理事务（项）:</w:t>
      </w:r>
      <w:r>
        <w:rPr>
          <w:rFonts w:eastAsia="仿宋"/>
          <w:bCs/>
          <w:sz w:val="32"/>
          <w:szCs w:val="32"/>
        </w:rPr>
        <w:t>支出决算为10万元，完成预算100%。</w:t>
      </w:r>
    </w:p>
    <w:p w14:paraId="0BEA93C7">
      <w:pPr>
        <w:spacing w:line="600" w:lineRule="exact"/>
        <w:ind w:firstLine="643" w:firstLineChars="200"/>
        <w:rPr>
          <w:rFonts w:eastAsia="仿宋"/>
          <w:bCs/>
          <w:sz w:val="32"/>
          <w:szCs w:val="32"/>
        </w:rPr>
      </w:pPr>
      <w:r>
        <w:rPr>
          <w:rFonts w:eastAsia="仿宋"/>
          <w:b/>
          <w:bCs/>
          <w:sz w:val="32"/>
          <w:szCs w:val="32"/>
        </w:rPr>
        <w:t>7.社会保障和就业（类）行政事业单位养老（款）行政单位离退休（项）:</w:t>
      </w:r>
      <w:r>
        <w:rPr>
          <w:rFonts w:eastAsia="仿宋"/>
          <w:bCs/>
          <w:sz w:val="32"/>
          <w:szCs w:val="32"/>
        </w:rPr>
        <w:t>支出决算为82.92万元，完成预算100%。</w:t>
      </w:r>
    </w:p>
    <w:p w14:paraId="3ED8DA1E">
      <w:pPr>
        <w:spacing w:line="600" w:lineRule="exact"/>
        <w:ind w:firstLine="643" w:firstLineChars="200"/>
        <w:rPr>
          <w:rFonts w:eastAsia="仿宋"/>
          <w:sz w:val="32"/>
          <w:szCs w:val="32"/>
        </w:rPr>
      </w:pPr>
      <w:r>
        <w:rPr>
          <w:rFonts w:eastAsia="仿宋"/>
          <w:b/>
          <w:bCs/>
          <w:sz w:val="32"/>
          <w:szCs w:val="32"/>
        </w:rPr>
        <w:t>8.社会保障和就业（类）行政事业单位养老（款）事业单位离退休（项）:</w:t>
      </w:r>
      <w:r>
        <w:rPr>
          <w:rFonts w:eastAsia="仿宋"/>
          <w:bCs/>
          <w:sz w:val="32"/>
          <w:szCs w:val="32"/>
        </w:rPr>
        <w:t>支出决算为9.64万元，完成预算100%。</w:t>
      </w:r>
    </w:p>
    <w:p w14:paraId="6E54541C">
      <w:pPr>
        <w:spacing w:line="600" w:lineRule="exact"/>
        <w:ind w:firstLine="643" w:firstLineChars="200"/>
        <w:rPr>
          <w:rFonts w:eastAsia="仿宋"/>
          <w:sz w:val="32"/>
          <w:szCs w:val="32"/>
        </w:rPr>
      </w:pPr>
      <w:r>
        <w:rPr>
          <w:rFonts w:eastAsia="仿宋"/>
          <w:b/>
          <w:bCs/>
          <w:sz w:val="32"/>
          <w:szCs w:val="32"/>
        </w:rPr>
        <w:t>9.社会保障和就业（类）行政事业单位养老（款）机关事业单位基本养老保险缴费支出（项）:</w:t>
      </w:r>
      <w:r>
        <w:rPr>
          <w:rFonts w:eastAsia="仿宋"/>
          <w:bCs/>
          <w:sz w:val="32"/>
          <w:szCs w:val="32"/>
        </w:rPr>
        <w:t>支出决算为110.14万元，完成预算100%。</w:t>
      </w:r>
    </w:p>
    <w:p w14:paraId="31A244D9">
      <w:pPr>
        <w:spacing w:line="600" w:lineRule="exact"/>
        <w:ind w:firstLine="643" w:firstLineChars="200"/>
        <w:rPr>
          <w:rFonts w:eastAsia="仿宋"/>
          <w:sz w:val="32"/>
          <w:szCs w:val="32"/>
        </w:rPr>
      </w:pPr>
      <w:r>
        <w:rPr>
          <w:rFonts w:eastAsia="仿宋"/>
          <w:b/>
          <w:bCs/>
          <w:sz w:val="32"/>
          <w:szCs w:val="32"/>
        </w:rPr>
        <w:t>10.社会保障和就业（类）行政事业单位养老（款）机关事业单位职业年金缴费支出（项）:</w:t>
      </w:r>
      <w:r>
        <w:rPr>
          <w:rFonts w:eastAsia="仿宋"/>
          <w:bCs/>
          <w:sz w:val="32"/>
          <w:szCs w:val="32"/>
        </w:rPr>
        <w:t>支出决算为20.1万元，完成预算100%。</w:t>
      </w:r>
    </w:p>
    <w:p w14:paraId="27FF930E">
      <w:pPr>
        <w:spacing w:line="600" w:lineRule="exact"/>
        <w:ind w:firstLine="643" w:firstLineChars="200"/>
        <w:rPr>
          <w:rFonts w:eastAsia="仿宋"/>
          <w:sz w:val="32"/>
          <w:szCs w:val="32"/>
        </w:rPr>
      </w:pPr>
      <w:r>
        <w:rPr>
          <w:rFonts w:eastAsia="仿宋"/>
          <w:b/>
          <w:bCs/>
          <w:sz w:val="32"/>
          <w:szCs w:val="32"/>
        </w:rPr>
        <w:t>11.社会保障和就业（类）抚恤（款）死亡抚恤（项）:</w:t>
      </w:r>
      <w:r>
        <w:rPr>
          <w:rFonts w:eastAsia="仿宋"/>
          <w:bCs/>
          <w:sz w:val="32"/>
          <w:szCs w:val="32"/>
        </w:rPr>
        <w:t>支出决算为0.78万元，完成预算100%。</w:t>
      </w:r>
    </w:p>
    <w:p w14:paraId="26BBF42A">
      <w:pPr>
        <w:spacing w:line="600" w:lineRule="exact"/>
        <w:ind w:firstLine="643" w:firstLineChars="200"/>
        <w:rPr>
          <w:rFonts w:eastAsia="仿宋"/>
          <w:b/>
          <w:sz w:val="32"/>
          <w:szCs w:val="32"/>
        </w:rPr>
      </w:pPr>
      <w:r>
        <w:rPr>
          <w:rFonts w:eastAsia="仿宋"/>
          <w:b/>
          <w:bCs/>
          <w:sz w:val="32"/>
          <w:szCs w:val="32"/>
        </w:rPr>
        <w:t>12.社会保障和就业（类）抚恤（款）伤残抚恤（项）:</w:t>
      </w:r>
      <w:r>
        <w:rPr>
          <w:rFonts w:eastAsia="仿宋"/>
          <w:bCs/>
          <w:sz w:val="32"/>
          <w:szCs w:val="32"/>
        </w:rPr>
        <w:t>支出决算为4.91万元，完成预算100%。</w:t>
      </w:r>
    </w:p>
    <w:p w14:paraId="4B33E497">
      <w:pPr>
        <w:spacing w:line="600" w:lineRule="exact"/>
        <w:ind w:firstLine="643" w:firstLineChars="200"/>
        <w:rPr>
          <w:rFonts w:eastAsia="仿宋"/>
          <w:bCs/>
          <w:sz w:val="32"/>
          <w:szCs w:val="32"/>
        </w:rPr>
      </w:pPr>
      <w:r>
        <w:rPr>
          <w:rFonts w:eastAsia="仿宋"/>
          <w:b/>
          <w:bCs/>
          <w:sz w:val="32"/>
          <w:szCs w:val="32"/>
        </w:rPr>
        <w:t>13.卫生健康（类）公共卫生（款）重大公共卫生服务（项）:</w:t>
      </w:r>
      <w:r>
        <w:rPr>
          <w:rFonts w:eastAsia="仿宋"/>
          <w:bCs/>
          <w:sz w:val="32"/>
          <w:szCs w:val="32"/>
        </w:rPr>
        <w:t>支出决算为27.4万元，完成预算100%。</w:t>
      </w:r>
    </w:p>
    <w:p w14:paraId="3797992B">
      <w:pPr>
        <w:spacing w:line="600" w:lineRule="exact"/>
        <w:ind w:firstLine="643" w:firstLineChars="200"/>
        <w:rPr>
          <w:rFonts w:eastAsia="仿宋"/>
          <w:bCs/>
          <w:sz w:val="32"/>
          <w:szCs w:val="32"/>
        </w:rPr>
      </w:pPr>
      <w:r>
        <w:rPr>
          <w:rFonts w:eastAsia="仿宋"/>
          <w:b/>
          <w:bCs/>
          <w:sz w:val="32"/>
          <w:szCs w:val="32"/>
        </w:rPr>
        <w:t>14.卫生健康（类）行政事业单位医疗（款）行政单位医疗（项）:</w:t>
      </w:r>
      <w:r>
        <w:rPr>
          <w:rFonts w:eastAsia="仿宋"/>
          <w:bCs/>
          <w:sz w:val="32"/>
          <w:szCs w:val="32"/>
        </w:rPr>
        <w:t>支出决算为68.44万元，完成预算100%。</w:t>
      </w:r>
    </w:p>
    <w:p w14:paraId="322F2931">
      <w:pPr>
        <w:spacing w:before="72" w:after="120"/>
        <w:rPr>
          <w:rFonts w:eastAsia="仿宋"/>
          <w:bCs/>
          <w:sz w:val="32"/>
          <w:szCs w:val="32"/>
        </w:rPr>
      </w:pPr>
      <w:r>
        <w:t xml:space="preserve">    </w:t>
      </w:r>
      <w:r>
        <w:rPr>
          <w:rFonts w:eastAsia="仿宋"/>
          <w:b/>
          <w:bCs/>
          <w:sz w:val="32"/>
          <w:szCs w:val="32"/>
        </w:rPr>
        <w:t>15.卫生健康（类）行政事业单位医疗（款）事业单位医疗（项）:</w:t>
      </w:r>
      <w:r>
        <w:rPr>
          <w:rFonts w:eastAsia="仿宋"/>
          <w:bCs/>
          <w:sz w:val="32"/>
          <w:szCs w:val="32"/>
        </w:rPr>
        <w:t>支出决算为7.28万元，完成预算100%。</w:t>
      </w:r>
    </w:p>
    <w:p w14:paraId="11EE4A5A">
      <w:pPr>
        <w:spacing w:before="72" w:after="120"/>
        <w:ind w:firstLine="643" w:firstLineChars="200"/>
        <w:rPr>
          <w:rFonts w:eastAsia="仿宋"/>
          <w:bCs/>
          <w:sz w:val="32"/>
          <w:szCs w:val="32"/>
        </w:rPr>
      </w:pPr>
      <w:r>
        <w:rPr>
          <w:rFonts w:eastAsia="仿宋"/>
          <w:b/>
          <w:bCs/>
          <w:sz w:val="32"/>
          <w:szCs w:val="32"/>
        </w:rPr>
        <w:t>16.卫生健康（类）行政事业单位医疗（款）公务员医疗补助（项）:</w:t>
      </w:r>
      <w:r>
        <w:rPr>
          <w:rFonts w:eastAsia="仿宋"/>
          <w:bCs/>
          <w:sz w:val="32"/>
          <w:szCs w:val="32"/>
        </w:rPr>
        <w:t>支出决算为42.52万元，完成预算100%。</w:t>
      </w:r>
    </w:p>
    <w:p w14:paraId="2BFEBF7A">
      <w:pPr>
        <w:spacing w:before="72" w:after="120"/>
        <w:ind w:firstLine="643" w:firstLineChars="200"/>
      </w:pPr>
      <w:r>
        <w:rPr>
          <w:rFonts w:eastAsia="仿宋"/>
          <w:b/>
          <w:bCs/>
          <w:sz w:val="32"/>
          <w:szCs w:val="32"/>
        </w:rPr>
        <w:t>17.卫生健康（类）行政事业单位医疗（款）其他行政事业单位医疗支出（项）:</w:t>
      </w:r>
      <w:r>
        <w:rPr>
          <w:rFonts w:eastAsia="仿宋"/>
          <w:bCs/>
          <w:sz w:val="32"/>
          <w:szCs w:val="32"/>
        </w:rPr>
        <w:t>支出决算为3.71万元，完成预算100%。</w:t>
      </w:r>
    </w:p>
    <w:p w14:paraId="466F9C76">
      <w:pPr>
        <w:spacing w:before="72" w:after="120"/>
        <w:ind w:firstLine="643" w:firstLineChars="200"/>
      </w:pPr>
      <w:r>
        <w:rPr>
          <w:rFonts w:eastAsia="仿宋"/>
          <w:b/>
          <w:bCs/>
          <w:sz w:val="32"/>
          <w:szCs w:val="32"/>
        </w:rPr>
        <w:t>18.</w:t>
      </w:r>
      <w:r>
        <w:t xml:space="preserve"> </w:t>
      </w:r>
      <w:r>
        <w:rPr>
          <w:rFonts w:eastAsia="仿宋"/>
          <w:b/>
          <w:bCs/>
          <w:sz w:val="32"/>
          <w:szCs w:val="32"/>
        </w:rPr>
        <w:t>住房保障（类）住房改革（款）住房公积金（项）:</w:t>
      </w:r>
      <w:r>
        <w:rPr>
          <w:rFonts w:eastAsia="仿宋"/>
          <w:bCs/>
          <w:sz w:val="32"/>
          <w:szCs w:val="32"/>
        </w:rPr>
        <w:t>支出决算为123.47万元，完成预算100%。</w:t>
      </w:r>
    </w:p>
    <w:p w14:paraId="6E5834C2">
      <w:pPr>
        <w:spacing w:line="600" w:lineRule="exact"/>
        <w:ind w:firstLine="640"/>
        <w:rPr>
          <w:rFonts w:eastAsia="仿宋"/>
          <w:b/>
          <w:sz w:val="32"/>
          <w:szCs w:val="32"/>
        </w:rPr>
      </w:pPr>
    </w:p>
    <w:p w14:paraId="7C91DDD6">
      <w:pPr>
        <w:tabs>
          <w:tab w:val="right" w:pos="8306"/>
        </w:tabs>
        <w:spacing w:line="600" w:lineRule="exact"/>
        <w:ind w:firstLine="640"/>
        <w:outlineLvl w:val="1"/>
        <w:rPr>
          <w:rStyle w:val="20"/>
          <w:rFonts w:ascii="Times New Roman" w:hAnsi="Times New Roman" w:cs="Times New Roman"/>
        </w:rPr>
      </w:pPr>
      <w:bookmarkStart w:id="34" w:name="_Toc15396608"/>
      <w:bookmarkStart w:id="35" w:name="_Toc15377214"/>
      <w:r>
        <w:rPr>
          <w:rFonts w:eastAsia="黑体"/>
          <w:sz w:val="32"/>
          <w:szCs w:val="32"/>
        </w:rPr>
        <w:t>六</w:t>
      </w:r>
      <w:r>
        <w:rPr>
          <w:rFonts w:eastAsia="黑体"/>
          <w:b/>
          <w:sz w:val="32"/>
          <w:szCs w:val="32"/>
        </w:rPr>
        <w:t>、一</w:t>
      </w:r>
      <w:r>
        <w:rPr>
          <w:rStyle w:val="20"/>
          <w:rFonts w:ascii="Times New Roman" w:hAnsi="Times New Roman" w:eastAsia="黑体" w:cs="Times New Roman"/>
          <w:b w:val="0"/>
        </w:rPr>
        <w:t>般公共预算财政拨款基本支出决算情况说明</w:t>
      </w:r>
      <w:bookmarkEnd w:id="34"/>
      <w:bookmarkEnd w:id="35"/>
      <w:r>
        <w:rPr>
          <w:rStyle w:val="20"/>
          <w:rFonts w:ascii="Times New Roman" w:hAnsi="Times New Roman" w:eastAsia="黑体" w:cs="Times New Roman"/>
          <w:b w:val="0"/>
        </w:rPr>
        <w:tab/>
      </w:r>
    </w:p>
    <w:p w14:paraId="3BC82C74">
      <w:pPr>
        <w:spacing w:line="600" w:lineRule="exact"/>
        <w:ind w:firstLine="645"/>
        <w:rPr>
          <w:rFonts w:eastAsia="仿宋"/>
          <w:sz w:val="32"/>
          <w:szCs w:val="32"/>
        </w:rPr>
      </w:pPr>
      <w:r>
        <w:rPr>
          <w:rFonts w:eastAsia="仿宋"/>
          <w:sz w:val="32"/>
          <w:szCs w:val="32"/>
        </w:rPr>
        <w:t>2022年一般公共预算财政拨款基本支出1714.31万元，其中：</w:t>
      </w:r>
    </w:p>
    <w:p w14:paraId="56E84BD3">
      <w:pPr>
        <w:spacing w:line="600" w:lineRule="exact"/>
        <w:ind w:firstLine="645"/>
        <w:rPr>
          <w:rFonts w:eastAsia="仿宋"/>
          <w:sz w:val="32"/>
          <w:szCs w:val="32"/>
        </w:rPr>
      </w:pPr>
      <w:r>
        <w:rPr>
          <w:rFonts w:eastAsia="仿宋"/>
          <w:sz w:val="32"/>
          <w:szCs w:val="32"/>
        </w:rPr>
        <w:t>人员经费</w:t>
      </w:r>
      <w:r>
        <w:rPr>
          <w:rFonts w:eastAsia="仿宋_GB2312"/>
          <w:color w:val="000000"/>
          <w:sz w:val="32"/>
          <w:szCs w:val="32"/>
          <w:lang w:val="zh-CN"/>
        </w:rPr>
        <w:t>1581.34</w:t>
      </w:r>
      <w:r>
        <w:rPr>
          <w:rFonts w:eastAsia="仿宋"/>
          <w:sz w:val="32"/>
          <w:szCs w:val="32"/>
        </w:rPr>
        <w:t>万元，主要包括：基本工资、津贴补贴、奖金、绩效工资、机关事业单位基本养老保险缴费、职业年金缴费、职工基本医疗保险缴费、公务员医疗补助缴费、其他社会保障缴费、住房公积金、医疗费、其他工资福利支出、离休费、抚恤金、生活补助、医疗费补助、奖励金等。</w:t>
      </w:r>
      <w:r>
        <w:rPr>
          <w:rFonts w:eastAsia="仿宋"/>
          <w:sz w:val="32"/>
          <w:szCs w:val="32"/>
        </w:rPr>
        <w:br w:type="textWrapping"/>
      </w:r>
      <w:r>
        <w:rPr>
          <w:rFonts w:eastAsia="仿宋"/>
          <w:sz w:val="32"/>
          <w:szCs w:val="32"/>
        </w:rPr>
        <w:t>　　公用经费</w:t>
      </w:r>
      <w:r>
        <w:rPr>
          <w:rFonts w:eastAsia="仿宋_GB2312"/>
          <w:color w:val="000000"/>
          <w:sz w:val="32"/>
          <w:szCs w:val="32"/>
          <w:lang w:val="zh-CN"/>
        </w:rPr>
        <w:t>132.97</w:t>
      </w:r>
      <w:r>
        <w:rPr>
          <w:rFonts w:eastAsia="仿宋"/>
          <w:sz w:val="32"/>
          <w:szCs w:val="32"/>
        </w:rPr>
        <w:t>万元，主要包括：办公费、印刷费、水费、电费、邮电费、差旅费、维修（护）费、租赁费、培训费、公务接待费、劳务费、委托业务费、工会经费、福利费、公务用车运行维护费、其他交通费用、其他商品和服务支出、办公设备购置等。</w:t>
      </w:r>
    </w:p>
    <w:p w14:paraId="16B1DE4C">
      <w:pPr>
        <w:spacing w:line="600" w:lineRule="exact"/>
        <w:rPr>
          <w:rFonts w:eastAsia="仿宋"/>
          <w:b/>
          <w:sz w:val="32"/>
          <w:szCs w:val="32"/>
        </w:rPr>
      </w:pPr>
    </w:p>
    <w:p w14:paraId="7E4AC2F9">
      <w:pPr>
        <w:spacing w:line="600" w:lineRule="exact"/>
        <w:ind w:firstLine="640"/>
        <w:outlineLvl w:val="1"/>
        <w:rPr>
          <w:rStyle w:val="20"/>
          <w:rFonts w:ascii="Times New Roman" w:hAnsi="Times New Roman" w:eastAsia="黑体" w:cs="Times New Roman"/>
          <w:b w:val="0"/>
        </w:rPr>
      </w:pPr>
      <w:bookmarkStart w:id="36" w:name="_Toc15377215"/>
      <w:bookmarkStart w:id="37" w:name="_Toc15396609"/>
      <w:r>
        <w:rPr>
          <w:rFonts w:eastAsia="黑体"/>
          <w:sz w:val="32"/>
          <w:szCs w:val="32"/>
        </w:rPr>
        <w:t>七、</w:t>
      </w:r>
      <w:r>
        <w:rPr>
          <w:rStyle w:val="20"/>
          <w:rFonts w:ascii="Times New Roman" w:hAnsi="Times New Roman" w:eastAsia="黑体" w:cs="Times New Roman"/>
          <w:b w:val="0"/>
        </w:rPr>
        <w:t>财政拨款</w:t>
      </w:r>
      <w:r>
        <w:rPr>
          <w:rStyle w:val="20"/>
          <w:rFonts w:ascii="Times New Roman" w:hAnsi="Times New Roman" w:eastAsia="黑体" w:cs="Times New Roman"/>
        </w:rPr>
        <w:t>“</w:t>
      </w:r>
      <w:r>
        <w:rPr>
          <w:rStyle w:val="20"/>
          <w:rFonts w:ascii="Times New Roman" w:hAnsi="Times New Roman" w:eastAsia="黑体" w:cs="Times New Roman"/>
          <w:b w:val="0"/>
        </w:rPr>
        <w:t>三公”经费支出决算情况说明</w:t>
      </w:r>
      <w:bookmarkEnd w:id="36"/>
      <w:bookmarkEnd w:id="37"/>
    </w:p>
    <w:p w14:paraId="5FBE65F3">
      <w:pPr>
        <w:spacing w:line="600" w:lineRule="exact"/>
        <w:ind w:firstLine="640"/>
        <w:outlineLvl w:val="2"/>
        <w:rPr>
          <w:rFonts w:eastAsia="仿宋"/>
          <w:b/>
          <w:sz w:val="32"/>
          <w:szCs w:val="32"/>
        </w:rPr>
      </w:pPr>
      <w:bookmarkStart w:id="38" w:name="_Toc15377216"/>
      <w:r>
        <w:rPr>
          <w:rFonts w:eastAsia="仿宋"/>
          <w:b/>
          <w:sz w:val="32"/>
          <w:szCs w:val="32"/>
        </w:rPr>
        <w:t>（一）“三公”经费财政拨款支出决算总体情况说明</w:t>
      </w:r>
      <w:bookmarkEnd w:id="38"/>
    </w:p>
    <w:p w14:paraId="69ABFAD6">
      <w:pPr>
        <w:spacing w:line="600" w:lineRule="exact"/>
        <w:ind w:firstLine="640"/>
        <w:rPr>
          <w:rFonts w:eastAsia="仿宋"/>
          <w:sz w:val="32"/>
          <w:szCs w:val="32"/>
        </w:rPr>
      </w:pPr>
      <w:r>
        <w:rPr>
          <w:rFonts w:eastAsia="仿宋"/>
          <w:sz w:val="32"/>
          <w:szCs w:val="32"/>
        </w:rPr>
        <w:t>2022年“三公”经费财政拨款支出决算为</w:t>
      </w:r>
      <w:r>
        <w:rPr>
          <w:rFonts w:eastAsia="仿宋_GB2312"/>
          <w:color w:val="000000"/>
          <w:sz w:val="32"/>
          <w:szCs w:val="32"/>
          <w:lang w:val="zh-CN"/>
        </w:rPr>
        <w:t>1.03</w:t>
      </w:r>
      <w:r>
        <w:rPr>
          <w:rFonts w:eastAsia="仿宋"/>
          <w:sz w:val="32"/>
          <w:szCs w:val="32"/>
        </w:rPr>
        <w:t>万元，完成预算100%，较上年减少</w:t>
      </w:r>
      <w:r>
        <w:rPr>
          <w:rFonts w:eastAsia="仿宋_GB2312"/>
          <w:color w:val="000000"/>
          <w:sz w:val="32"/>
          <w:szCs w:val="32"/>
          <w:lang w:val="zh-CN"/>
        </w:rPr>
        <w:t>1.14</w:t>
      </w:r>
      <w:r>
        <w:rPr>
          <w:rFonts w:eastAsia="仿宋"/>
          <w:sz w:val="32"/>
          <w:szCs w:val="32"/>
        </w:rPr>
        <w:t>万元，下降</w:t>
      </w:r>
      <w:r>
        <w:rPr>
          <w:rFonts w:eastAsia="仿宋_GB2312"/>
          <w:color w:val="000000"/>
          <w:sz w:val="32"/>
          <w:szCs w:val="32"/>
          <w:lang w:val="zh-CN"/>
        </w:rPr>
        <w:t>52.5</w:t>
      </w:r>
      <w:r>
        <w:rPr>
          <w:rFonts w:eastAsia="仿宋"/>
          <w:sz w:val="32"/>
          <w:szCs w:val="32"/>
        </w:rPr>
        <w:t>%。决算数与预算数持平的主要原因是我局</w:t>
      </w:r>
      <w:r>
        <w:rPr>
          <w:rFonts w:eastAsia="仿宋_GB2312"/>
          <w:sz w:val="32"/>
          <w:szCs w:val="32"/>
        </w:rPr>
        <w:t>认真贯彻落实</w:t>
      </w:r>
      <w:r>
        <w:rPr>
          <w:rFonts w:hint="eastAsia" w:eastAsia="仿宋_GB2312"/>
          <w:sz w:val="32"/>
          <w:szCs w:val="32"/>
          <w:lang w:eastAsia="zh-CN"/>
        </w:rPr>
        <w:t>中央</w:t>
      </w:r>
      <w:r>
        <w:rPr>
          <w:rFonts w:eastAsia="仿宋_GB2312"/>
          <w:sz w:val="32"/>
          <w:szCs w:val="32"/>
        </w:rPr>
        <w:t>八项规定要求，厉行节约、严格控制支出</w:t>
      </w:r>
      <w:r>
        <w:rPr>
          <w:rFonts w:eastAsia="仿宋"/>
          <w:sz w:val="32"/>
          <w:szCs w:val="32"/>
        </w:rPr>
        <w:t>。</w:t>
      </w:r>
    </w:p>
    <w:p w14:paraId="1177BE9C">
      <w:pPr>
        <w:spacing w:line="600" w:lineRule="exact"/>
        <w:ind w:firstLine="640"/>
        <w:outlineLvl w:val="2"/>
        <w:rPr>
          <w:rFonts w:eastAsia="仿宋"/>
          <w:b/>
          <w:sz w:val="32"/>
          <w:szCs w:val="32"/>
        </w:rPr>
      </w:pPr>
      <w:bookmarkStart w:id="39" w:name="_Toc15377217"/>
      <w:r>
        <w:rPr>
          <w:rFonts w:eastAsia="仿宋"/>
          <w:b/>
          <w:sz w:val="32"/>
          <w:szCs w:val="32"/>
        </w:rPr>
        <w:t>（二）“三公”经费财政拨款支出决算具体情况说明</w:t>
      </w:r>
      <w:bookmarkEnd w:id="39"/>
    </w:p>
    <w:p w14:paraId="45DA7CFD">
      <w:pPr>
        <w:spacing w:line="600" w:lineRule="exact"/>
        <w:ind w:firstLine="640"/>
        <w:rPr>
          <w:rFonts w:eastAsia="仿宋"/>
          <w:sz w:val="32"/>
          <w:szCs w:val="32"/>
        </w:rPr>
      </w:pPr>
      <w:r>
        <w:rPr>
          <w:rFonts w:eastAsia="仿宋"/>
          <w:sz w:val="32"/>
          <w:szCs w:val="32"/>
        </w:rPr>
        <w:t>2022年“三公”经费财政拨款支出决算中，因公出国（境）费支出决算0万元，占0%；公务用车购置及运行维护费支出决算1万元，占97.1%；公务接待费支出决算0.03万元，占2.9%。具体情况如下：</w:t>
      </w:r>
    </w:p>
    <w:p w14:paraId="2F420608">
      <w:pPr>
        <w:spacing w:line="600" w:lineRule="exact"/>
        <w:ind w:firstLine="640"/>
        <w:rPr>
          <w:rFonts w:eastAsia="仿宋"/>
          <w:sz w:val="32"/>
          <w:szCs w:val="32"/>
        </w:rPr>
      </w:pPr>
      <w:r>
        <w:rPr>
          <w:rFonts w:eastAsia="仿宋"/>
          <w:sz w:val="32"/>
          <w:szCs w:val="32"/>
        </w:rPr>
        <w:t>（图7：“三公”经费财政拨款支出结构）（饼状图）</w:t>
      </w:r>
    </w:p>
    <w:p w14:paraId="5B630074">
      <w:pPr>
        <w:pStyle w:val="2"/>
        <w:spacing w:before="93"/>
        <w:rPr>
          <w:rFonts w:ascii="Times New Roman"/>
        </w:rPr>
      </w:pPr>
      <w:r>
        <w:rPr>
          <w:rFonts w:ascii="Times New Roman"/>
        </w:rPr>
        <w:drawing>
          <wp:inline distT="0" distB="0" distL="114300" distR="114300">
            <wp:extent cx="5080000" cy="3810000"/>
            <wp:effectExtent l="4445" t="4445" r="5715" b="1079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BBBB2D">
      <w:pPr>
        <w:pStyle w:val="2"/>
        <w:spacing w:before="93"/>
        <w:rPr>
          <w:rFonts w:ascii="Times New Roman"/>
        </w:rPr>
      </w:pPr>
    </w:p>
    <w:p w14:paraId="52D4F579">
      <w:pPr>
        <w:spacing w:line="600" w:lineRule="exact"/>
        <w:ind w:firstLine="640"/>
        <w:rPr>
          <w:rFonts w:eastAsia="仿宋_GB2312"/>
          <w:sz w:val="32"/>
          <w:szCs w:val="32"/>
        </w:rPr>
      </w:pPr>
      <w:r>
        <w:rPr>
          <w:rFonts w:eastAsia="仿宋_GB2312"/>
          <w:b/>
          <w:sz w:val="32"/>
          <w:szCs w:val="32"/>
        </w:rPr>
        <w:t>1.因公出国（境）经费</w:t>
      </w:r>
      <w:r>
        <w:rPr>
          <w:rFonts w:eastAsia="仿宋_GB2312"/>
          <w:sz w:val="32"/>
          <w:szCs w:val="32"/>
        </w:rPr>
        <w:t>0万元，</w:t>
      </w:r>
      <w:r>
        <w:rPr>
          <w:rStyle w:val="16"/>
          <w:rFonts w:eastAsia="仿宋"/>
          <w:bCs/>
          <w:sz w:val="32"/>
          <w:szCs w:val="32"/>
        </w:rPr>
        <w:t>完成预算0%。</w:t>
      </w:r>
      <w:r>
        <w:rPr>
          <w:rFonts w:eastAsia="仿宋_GB2312"/>
          <w:sz w:val="32"/>
          <w:szCs w:val="32"/>
        </w:rPr>
        <w:t>全年安排因公出国（境）团组0次，出国（境）0人。因公出国（境）支出决算比2021年增加0万元，增长0%。</w:t>
      </w:r>
    </w:p>
    <w:p w14:paraId="4C0B8773">
      <w:pPr>
        <w:spacing w:line="600" w:lineRule="exact"/>
        <w:ind w:firstLine="640"/>
        <w:rPr>
          <w:rFonts w:eastAsia="仿宋_GB2312"/>
          <w:b/>
          <w:sz w:val="32"/>
          <w:szCs w:val="32"/>
        </w:rPr>
      </w:pPr>
      <w:r>
        <w:rPr>
          <w:rFonts w:eastAsia="仿宋_GB2312"/>
          <w:b/>
          <w:sz w:val="32"/>
          <w:szCs w:val="32"/>
        </w:rPr>
        <w:t>2.公务用车购置及运行维护费支出</w:t>
      </w:r>
      <w:r>
        <w:rPr>
          <w:rFonts w:eastAsia="仿宋_GB2312"/>
          <w:sz w:val="32"/>
          <w:szCs w:val="32"/>
        </w:rPr>
        <w:t>1万元,</w:t>
      </w:r>
      <w:r>
        <w:rPr>
          <w:rStyle w:val="16"/>
          <w:rFonts w:eastAsia="仿宋"/>
          <w:b w:val="0"/>
          <w:bCs/>
          <w:sz w:val="32"/>
          <w:szCs w:val="32"/>
        </w:rPr>
        <w:t>完成预算100%。</w:t>
      </w:r>
      <w:r>
        <w:rPr>
          <w:rFonts w:eastAsia="仿宋_GB2312"/>
          <w:sz w:val="32"/>
          <w:szCs w:val="32"/>
        </w:rPr>
        <w:t>公务用车购置及运行维护费支出决算比2021年减少1.11万元，下降52%。主要原因是</w:t>
      </w:r>
      <w:r>
        <w:rPr>
          <w:rFonts w:eastAsia="仿宋"/>
          <w:sz w:val="32"/>
          <w:szCs w:val="32"/>
        </w:rPr>
        <w:t>我局</w:t>
      </w:r>
      <w:r>
        <w:rPr>
          <w:rFonts w:eastAsia="仿宋_GB2312"/>
          <w:sz w:val="32"/>
          <w:szCs w:val="32"/>
        </w:rPr>
        <w:t>认真贯彻落实</w:t>
      </w:r>
      <w:r>
        <w:rPr>
          <w:rFonts w:hint="eastAsia" w:eastAsia="仿宋_GB2312"/>
          <w:sz w:val="32"/>
          <w:szCs w:val="32"/>
          <w:lang w:eastAsia="zh-CN"/>
        </w:rPr>
        <w:t>中央</w:t>
      </w:r>
      <w:r>
        <w:rPr>
          <w:rFonts w:eastAsia="仿宋_GB2312"/>
          <w:sz w:val="32"/>
          <w:szCs w:val="32"/>
        </w:rPr>
        <w:t>八项规定要求，厉行节约、严格控制支出。</w:t>
      </w:r>
    </w:p>
    <w:p w14:paraId="25A929B9">
      <w:pPr>
        <w:spacing w:line="600" w:lineRule="exact"/>
        <w:ind w:firstLine="640" w:firstLineChars="200"/>
        <w:rPr>
          <w:rFonts w:eastAsia="仿宋_GB2312"/>
          <w:b/>
          <w:sz w:val="32"/>
          <w:szCs w:val="32"/>
        </w:rPr>
      </w:pPr>
      <w:r>
        <w:rPr>
          <w:rFonts w:eastAsia="仿宋_GB2312"/>
          <w:sz w:val="32"/>
          <w:szCs w:val="32"/>
        </w:rPr>
        <w:t>其中：</w:t>
      </w:r>
      <w:r>
        <w:rPr>
          <w:rFonts w:eastAsia="仿宋_GB2312"/>
          <w:b/>
          <w:sz w:val="32"/>
          <w:szCs w:val="32"/>
        </w:rPr>
        <w:t>公务用车购置支出</w:t>
      </w:r>
      <w:r>
        <w:rPr>
          <w:rFonts w:eastAsia="仿宋_GB2312"/>
          <w:sz w:val="32"/>
          <w:szCs w:val="32"/>
        </w:rPr>
        <w:t>0万元。全年按规定更新购置公务用车0辆，其中：轿车0辆、金额0万元，越野车0辆、金额0万元，载客汽车0辆、金额0万元。截至2022年12月底，单位共有公务用车7辆，其中：轿车6辆、越野车1辆、载客汽车0辆。</w:t>
      </w:r>
    </w:p>
    <w:p w14:paraId="271334D5">
      <w:pPr>
        <w:spacing w:line="600" w:lineRule="exact"/>
        <w:ind w:firstLine="640"/>
        <w:rPr>
          <w:rFonts w:eastAsia="仿宋_GB2312"/>
          <w:sz w:val="32"/>
          <w:szCs w:val="32"/>
        </w:rPr>
      </w:pPr>
      <w:r>
        <w:rPr>
          <w:rFonts w:eastAsia="仿宋_GB2312"/>
          <w:b/>
          <w:sz w:val="32"/>
          <w:szCs w:val="32"/>
        </w:rPr>
        <w:t>公务用车运行维护费支出</w:t>
      </w:r>
      <w:r>
        <w:rPr>
          <w:rFonts w:eastAsia="仿宋_GB2312"/>
          <w:sz w:val="32"/>
          <w:szCs w:val="32"/>
        </w:rPr>
        <w:t>1万元。主要用于市场监管、食品监管、药品监管等所需的公务用车燃料费、维修费、过路过桥费、保险费等支出。</w:t>
      </w:r>
    </w:p>
    <w:p w14:paraId="78F14FA3">
      <w:pPr>
        <w:spacing w:line="600" w:lineRule="exact"/>
        <w:ind w:firstLine="640"/>
        <w:rPr>
          <w:rFonts w:eastAsia="仿宋_GB2312"/>
          <w:sz w:val="32"/>
          <w:szCs w:val="32"/>
        </w:rPr>
      </w:pPr>
      <w:r>
        <w:rPr>
          <w:rFonts w:eastAsia="仿宋_GB2312"/>
          <w:b/>
          <w:sz w:val="32"/>
          <w:szCs w:val="32"/>
        </w:rPr>
        <w:t>3.公务接待费支出</w:t>
      </w:r>
      <w:r>
        <w:rPr>
          <w:rFonts w:eastAsia="仿宋_GB2312"/>
          <w:sz w:val="32"/>
          <w:szCs w:val="32"/>
        </w:rPr>
        <w:t>0.03万元，</w:t>
      </w:r>
      <w:r>
        <w:rPr>
          <w:rStyle w:val="16"/>
          <w:rFonts w:eastAsia="仿宋"/>
          <w:bCs/>
          <w:sz w:val="32"/>
          <w:szCs w:val="32"/>
        </w:rPr>
        <w:t>完成预算100%。</w:t>
      </w:r>
      <w:r>
        <w:rPr>
          <w:rFonts w:eastAsia="仿宋_GB2312"/>
          <w:sz w:val="32"/>
          <w:szCs w:val="32"/>
        </w:rPr>
        <w:t>公务接待费支出决算比2021年减少0.03万元，下降50%。主要原因是2022年公务接待较少。其中：</w:t>
      </w:r>
    </w:p>
    <w:p w14:paraId="45235C37">
      <w:pPr>
        <w:spacing w:line="600" w:lineRule="exact"/>
        <w:ind w:firstLine="640"/>
        <w:rPr>
          <w:rFonts w:eastAsia="仿宋_GB2312"/>
          <w:sz w:val="32"/>
          <w:szCs w:val="32"/>
        </w:rPr>
      </w:pPr>
      <w:r>
        <w:rPr>
          <w:rFonts w:eastAsia="仿宋"/>
          <w:b/>
          <w:sz w:val="32"/>
          <w:szCs w:val="32"/>
        </w:rPr>
        <w:t>国内公务接待支出</w:t>
      </w:r>
      <w:r>
        <w:rPr>
          <w:rFonts w:eastAsia="仿宋"/>
          <w:sz w:val="32"/>
          <w:szCs w:val="32"/>
        </w:rPr>
        <w:t>0.03</w:t>
      </w:r>
      <w:r>
        <w:rPr>
          <w:rFonts w:eastAsia="仿宋_GB2312"/>
          <w:sz w:val="32"/>
          <w:szCs w:val="32"/>
        </w:rPr>
        <w:t>万元，主要用于用餐费。国内公务接待1批次，4人次（不包括陪同人员），共计支出0.03万元，具体内容包括：接待地理标志调研组0.03万元。</w:t>
      </w:r>
    </w:p>
    <w:p w14:paraId="64B975BE">
      <w:pPr>
        <w:spacing w:line="600" w:lineRule="exact"/>
        <w:ind w:firstLine="643" w:firstLineChars="200"/>
        <w:rPr>
          <w:rFonts w:eastAsia="黑体"/>
          <w:sz w:val="32"/>
          <w:szCs w:val="32"/>
        </w:rPr>
      </w:pPr>
      <w:r>
        <w:rPr>
          <w:rFonts w:eastAsia="仿宋"/>
          <w:b/>
          <w:sz w:val="32"/>
          <w:szCs w:val="32"/>
        </w:rPr>
        <w:t>外事接待支出</w:t>
      </w:r>
      <w:bookmarkStart w:id="40" w:name="_Toc15377218"/>
      <w:bookmarkStart w:id="41" w:name="_Toc15396610"/>
      <w:r>
        <w:rPr>
          <w:rFonts w:eastAsia="仿宋"/>
          <w:sz w:val="32"/>
          <w:szCs w:val="32"/>
        </w:rPr>
        <w:t>0</w:t>
      </w:r>
      <w:r>
        <w:rPr>
          <w:rFonts w:eastAsia="仿宋_GB2312"/>
          <w:sz w:val="32"/>
          <w:szCs w:val="32"/>
        </w:rPr>
        <w:t>万元。外事接待0批次，0人次（不包括陪同人员），共计支出0万元。</w:t>
      </w:r>
    </w:p>
    <w:p w14:paraId="7ED0E35D">
      <w:pPr>
        <w:spacing w:line="600" w:lineRule="exact"/>
        <w:ind w:firstLine="640"/>
        <w:outlineLvl w:val="1"/>
        <w:rPr>
          <w:rStyle w:val="20"/>
          <w:rFonts w:ascii="Times New Roman" w:hAnsi="Times New Roman" w:eastAsia="黑体" w:cs="Times New Roman"/>
        </w:rPr>
      </w:pPr>
      <w:r>
        <w:rPr>
          <w:rFonts w:eastAsia="黑体"/>
          <w:sz w:val="32"/>
          <w:szCs w:val="32"/>
        </w:rPr>
        <w:t>八、</w:t>
      </w:r>
      <w:r>
        <w:rPr>
          <w:rStyle w:val="20"/>
          <w:rFonts w:ascii="Times New Roman" w:hAnsi="Times New Roman" w:eastAsia="黑体" w:cs="Times New Roman"/>
          <w:b w:val="0"/>
        </w:rPr>
        <w:t>政府性基金预算支出决算情况说明</w:t>
      </w:r>
      <w:bookmarkEnd w:id="40"/>
      <w:bookmarkEnd w:id="41"/>
    </w:p>
    <w:p w14:paraId="4AA180DD">
      <w:pPr>
        <w:spacing w:line="600" w:lineRule="exact"/>
        <w:ind w:firstLine="640"/>
        <w:rPr>
          <w:rFonts w:eastAsia="仿宋_GB2312"/>
          <w:sz w:val="32"/>
          <w:szCs w:val="32"/>
        </w:rPr>
      </w:pPr>
      <w:r>
        <w:rPr>
          <w:rFonts w:eastAsia="仿宋_GB2312"/>
          <w:sz w:val="32"/>
          <w:szCs w:val="32"/>
        </w:rPr>
        <w:t>2022年政府性基金预算财政拨款支出0万元。</w:t>
      </w:r>
    </w:p>
    <w:p w14:paraId="72B62362">
      <w:pPr>
        <w:spacing w:line="600" w:lineRule="exact"/>
        <w:ind w:firstLine="640"/>
        <w:rPr>
          <w:rFonts w:eastAsia="仿宋_GB2312"/>
          <w:sz w:val="32"/>
          <w:szCs w:val="32"/>
        </w:rPr>
      </w:pPr>
    </w:p>
    <w:p w14:paraId="15842D26">
      <w:pPr>
        <w:numPr>
          <w:ilvl w:val="0"/>
          <w:numId w:val="3"/>
        </w:numPr>
        <w:spacing w:line="600" w:lineRule="exact"/>
        <w:ind w:firstLine="640"/>
        <w:outlineLvl w:val="1"/>
        <w:rPr>
          <w:rStyle w:val="20"/>
          <w:rFonts w:ascii="Times New Roman" w:hAnsi="Times New Roman" w:eastAsia="黑体" w:cs="Times New Roman"/>
          <w:b w:val="0"/>
        </w:rPr>
      </w:pPr>
      <w:bookmarkStart w:id="42" w:name="_Toc15396611"/>
      <w:bookmarkStart w:id="43" w:name="_Toc15377219"/>
      <w:r>
        <w:rPr>
          <w:rStyle w:val="20"/>
          <w:rFonts w:ascii="Times New Roman" w:hAnsi="Times New Roman" w:eastAsia="黑体" w:cs="Times New Roman"/>
          <w:b w:val="0"/>
        </w:rPr>
        <w:t>国有资本经营预算支出决算情况说明</w:t>
      </w:r>
      <w:bookmarkEnd w:id="42"/>
      <w:bookmarkEnd w:id="43"/>
    </w:p>
    <w:p w14:paraId="77C23881">
      <w:pPr>
        <w:spacing w:line="600" w:lineRule="exact"/>
        <w:ind w:firstLine="640"/>
        <w:rPr>
          <w:rFonts w:eastAsia="仿宋_GB2312"/>
          <w:sz w:val="32"/>
          <w:szCs w:val="32"/>
        </w:rPr>
      </w:pPr>
      <w:r>
        <w:rPr>
          <w:rFonts w:eastAsia="仿宋_GB2312"/>
          <w:sz w:val="32"/>
          <w:szCs w:val="32"/>
        </w:rPr>
        <w:t>2022年国有资本经营预算财政拨款支出0万元。</w:t>
      </w:r>
    </w:p>
    <w:p w14:paraId="4A99CF79">
      <w:pPr>
        <w:spacing w:line="580" w:lineRule="exact"/>
        <w:jc w:val="center"/>
        <w:rPr>
          <w:rFonts w:eastAsia="方正小标宋简体"/>
          <w:sz w:val="44"/>
          <w:szCs w:val="44"/>
        </w:rPr>
      </w:pPr>
    </w:p>
    <w:p w14:paraId="19273F53">
      <w:pPr>
        <w:numPr>
          <w:ilvl w:val="0"/>
          <w:numId w:val="3"/>
        </w:numPr>
        <w:spacing w:line="600" w:lineRule="exact"/>
        <w:ind w:firstLine="640"/>
        <w:outlineLvl w:val="1"/>
        <w:rPr>
          <w:rStyle w:val="20"/>
          <w:rFonts w:ascii="Times New Roman" w:hAnsi="Times New Roman" w:eastAsia="黑体" w:cs="Times New Roman"/>
          <w:b w:val="0"/>
        </w:rPr>
      </w:pPr>
      <w:bookmarkStart w:id="44" w:name="_Toc15396612"/>
      <w:bookmarkStart w:id="45" w:name="_Toc15377221"/>
      <w:r>
        <w:rPr>
          <w:rStyle w:val="20"/>
          <w:rFonts w:ascii="Times New Roman" w:hAnsi="Times New Roman" w:eastAsia="黑体" w:cs="Times New Roman"/>
          <w:b w:val="0"/>
        </w:rPr>
        <w:t>其他重要事项的情况说明</w:t>
      </w:r>
      <w:bookmarkEnd w:id="44"/>
      <w:bookmarkEnd w:id="45"/>
    </w:p>
    <w:p w14:paraId="1096F344">
      <w:pPr>
        <w:spacing w:line="600" w:lineRule="exact"/>
        <w:ind w:firstLine="643" w:firstLineChars="200"/>
        <w:outlineLvl w:val="2"/>
        <w:rPr>
          <w:rFonts w:eastAsia="仿宋"/>
          <w:sz w:val="32"/>
          <w:szCs w:val="32"/>
        </w:rPr>
      </w:pPr>
      <w:bookmarkStart w:id="46" w:name="_Toc15377222"/>
      <w:r>
        <w:rPr>
          <w:rFonts w:eastAsia="仿宋"/>
          <w:b/>
          <w:sz w:val="32"/>
          <w:szCs w:val="32"/>
        </w:rPr>
        <w:t>（一）机关运行经费支出情况</w:t>
      </w:r>
      <w:bookmarkEnd w:id="46"/>
    </w:p>
    <w:p w14:paraId="1BF7ED29">
      <w:pPr>
        <w:spacing w:line="600" w:lineRule="exact"/>
        <w:ind w:firstLine="640" w:firstLineChars="200"/>
        <w:rPr>
          <w:rFonts w:eastAsia="仿宋_GB2312"/>
          <w:sz w:val="32"/>
          <w:szCs w:val="32"/>
        </w:rPr>
      </w:pPr>
      <w:r>
        <w:rPr>
          <w:rFonts w:eastAsia="仿宋_GB2312"/>
          <w:sz w:val="32"/>
          <w:szCs w:val="32"/>
        </w:rPr>
        <w:t>2022年，</w:t>
      </w:r>
      <w:r>
        <w:rPr>
          <w:rFonts w:eastAsia="仿宋_GB2312"/>
          <w:color w:val="000000"/>
          <w:sz w:val="32"/>
          <w:szCs w:val="32"/>
          <w:lang w:val="zh-CN"/>
        </w:rPr>
        <w:t>盐边县市场监督管理局机</w:t>
      </w:r>
      <w:r>
        <w:rPr>
          <w:rFonts w:eastAsia="仿宋_GB2312"/>
          <w:sz w:val="32"/>
          <w:szCs w:val="32"/>
        </w:rPr>
        <w:t>关运行经费支出</w:t>
      </w:r>
      <w:r>
        <w:rPr>
          <w:rFonts w:eastAsia="仿宋_GB2312"/>
          <w:color w:val="000000"/>
          <w:sz w:val="32"/>
          <w:szCs w:val="32"/>
          <w:lang w:val="zh-CN"/>
        </w:rPr>
        <w:t>132.97</w:t>
      </w:r>
      <w:r>
        <w:rPr>
          <w:rFonts w:eastAsia="仿宋_GB2312"/>
          <w:sz w:val="32"/>
          <w:szCs w:val="32"/>
        </w:rPr>
        <w:t>万元，比2021年减少</w:t>
      </w:r>
      <w:r>
        <w:rPr>
          <w:rFonts w:eastAsia="仿宋_GB2312"/>
          <w:color w:val="000000"/>
          <w:sz w:val="32"/>
          <w:szCs w:val="32"/>
          <w:lang w:val="zh-CN"/>
        </w:rPr>
        <w:t>10.23</w:t>
      </w:r>
      <w:r>
        <w:rPr>
          <w:rFonts w:eastAsia="仿宋_GB2312"/>
          <w:sz w:val="32"/>
          <w:szCs w:val="32"/>
        </w:rPr>
        <w:t>万元，下降</w:t>
      </w:r>
      <w:r>
        <w:rPr>
          <w:rFonts w:eastAsia="仿宋_GB2312"/>
          <w:color w:val="000000"/>
          <w:sz w:val="32"/>
          <w:szCs w:val="32"/>
          <w:lang w:val="zh-CN"/>
        </w:rPr>
        <w:t>7.1</w:t>
      </w:r>
      <w:r>
        <w:rPr>
          <w:rFonts w:eastAsia="仿宋_GB2312"/>
          <w:sz w:val="32"/>
          <w:szCs w:val="32"/>
        </w:rPr>
        <w:t>%。主要原因是响应过苦日子的号召，减少支出。</w:t>
      </w:r>
    </w:p>
    <w:p w14:paraId="1A28A507">
      <w:pPr>
        <w:autoSpaceDE w:val="0"/>
        <w:autoSpaceDN w:val="0"/>
        <w:adjustRightInd w:val="0"/>
        <w:spacing w:line="600" w:lineRule="exact"/>
        <w:ind w:firstLine="643" w:firstLineChars="200"/>
        <w:jc w:val="left"/>
        <w:outlineLvl w:val="2"/>
        <w:rPr>
          <w:rFonts w:eastAsia="仿宋"/>
          <w:b/>
          <w:sz w:val="32"/>
          <w:szCs w:val="32"/>
        </w:rPr>
      </w:pPr>
      <w:bookmarkStart w:id="47" w:name="_Toc15377223"/>
      <w:r>
        <w:rPr>
          <w:rFonts w:eastAsia="仿宋"/>
          <w:b/>
          <w:sz w:val="32"/>
          <w:szCs w:val="32"/>
        </w:rPr>
        <w:t>（二）政府采购支出情况</w:t>
      </w:r>
      <w:bookmarkEnd w:id="47"/>
    </w:p>
    <w:p w14:paraId="29E01FEA">
      <w:pPr>
        <w:spacing w:line="600" w:lineRule="exact"/>
        <w:ind w:firstLine="640" w:firstLineChars="200"/>
        <w:rPr>
          <w:rFonts w:eastAsia="仿宋_GB2312"/>
          <w:sz w:val="32"/>
          <w:szCs w:val="32"/>
        </w:rPr>
      </w:pPr>
      <w:r>
        <w:rPr>
          <w:rFonts w:eastAsia="仿宋_GB2312"/>
          <w:sz w:val="32"/>
          <w:szCs w:val="32"/>
        </w:rPr>
        <w:t>2022年，</w:t>
      </w:r>
      <w:r>
        <w:rPr>
          <w:rFonts w:eastAsia="仿宋_GB2312"/>
          <w:color w:val="000000"/>
          <w:sz w:val="32"/>
          <w:szCs w:val="32"/>
          <w:lang w:val="zh-CN"/>
        </w:rPr>
        <w:t>盐边县市场监督管理局</w:t>
      </w:r>
      <w:r>
        <w:rPr>
          <w:rFonts w:eastAsia="仿宋_GB2312"/>
          <w:sz w:val="32"/>
          <w:szCs w:val="32"/>
        </w:rPr>
        <w:t>政府采购支出总额0万元，其中：政府采购货物支出0万元、政府采购工程支出0万元、政府采购服务支出0万元。授予中小企业合同金额0万元，占政府采购支出总额的0%，其中：授予小微企业合同金额0万元，占政府采购支出总额的0%。</w:t>
      </w:r>
    </w:p>
    <w:p w14:paraId="038B467B">
      <w:pPr>
        <w:autoSpaceDE w:val="0"/>
        <w:autoSpaceDN w:val="0"/>
        <w:adjustRightInd w:val="0"/>
        <w:spacing w:line="600" w:lineRule="exact"/>
        <w:ind w:firstLine="643" w:firstLineChars="200"/>
        <w:jc w:val="left"/>
        <w:outlineLvl w:val="2"/>
        <w:rPr>
          <w:rFonts w:eastAsia="仿宋"/>
          <w:b/>
          <w:sz w:val="32"/>
          <w:szCs w:val="32"/>
        </w:rPr>
      </w:pPr>
      <w:bookmarkStart w:id="48" w:name="_Toc15377224"/>
      <w:r>
        <w:rPr>
          <w:rFonts w:eastAsia="仿宋"/>
          <w:b/>
          <w:sz w:val="32"/>
          <w:szCs w:val="32"/>
        </w:rPr>
        <w:t>（三）国有资产占有使用情况</w:t>
      </w:r>
      <w:bookmarkEnd w:id="48"/>
    </w:p>
    <w:p w14:paraId="166AEED4">
      <w:pPr>
        <w:autoSpaceDE w:val="0"/>
        <w:autoSpaceDN w:val="0"/>
        <w:adjustRightInd w:val="0"/>
        <w:spacing w:line="600" w:lineRule="exact"/>
        <w:ind w:firstLine="640" w:firstLineChars="200"/>
        <w:jc w:val="left"/>
        <w:rPr>
          <w:rFonts w:eastAsia="仿宋"/>
          <w:b/>
          <w:sz w:val="32"/>
          <w:szCs w:val="32"/>
        </w:rPr>
      </w:pPr>
      <w:r>
        <w:rPr>
          <w:rFonts w:eastAsia="仿宋_GB2312"/>
          <w:sz w:val="32"/>
          <w:szCs w:val="32"/>
        </w:rPr>
        <w:t>截至2022年12月31日，</w:t>
      </w:r>
      <w:r>
        <w:rPr>
          <w:rFonts w:eastAsia="仿宋_GB2312"/>
          <w:color w:val="000000"/>
          <w:sz w:val="32"/>
          <w:szCs w:val="32"/>
          <w:lang w:val="zh-CN"/>
        </w:rPr>
        <w:t>盐边县市场监督管理局</w:t>
      </w:r>
      <w:r>
        <w:rPr>
          <w:rFonts w:eastAsia="仿宋_GB2312"/>
          <w:sz w:val="32"/>
          <w:szCs w:val="32"/>
        </w:rPr>
        <w:t>共有车辆7辆，其中：主要领导干部用车0辆、机要通信用车0辆、应急保障用车0辆、</w:t>
      </w:r>
      <w:r>
        <w:rPr>
          <w:rFonts w:eastAsia="仿宋_GB2312"/>
          <w:color w:val="000000"/>
          <w:sz w:val="32"/>
          <w:szCs w:val="32"/>
          <w:lang w:val="zh-CN"/>
        </w:rPr>
        <w:t>执法执勤用车6辆、特种专业技术用车1辆、</w:t>
      </w:r>
      <w:r>
        <w:rPr>
          <w:rFonts w:eastAsia="仿宋_GB2312"/>
          <w:sz w:val="32"/>
          <w:szCs w:val="32"/>
        </w:rPr>
        <w:t>其他用车0辆。单价100万元以上专用设备0台（套）。</w:t>
      </w:r>
    </w:p>
    <w:p w14:paraId="40373B00">
      <w:pPr>
        <w:autoSpaceDE w:val="0"/>
        <w:autoSpaceDN w:val="0"/>
        <w:adjustRightInd w:val="0"/>
        <w:spacing w:line="600" w:lineRule="exact"/>
        <w:ind w:firstLine="643" w:firstLineChars="200"/>
        <w:jc w:val="left"/>
        <w:outlineLvl w:val="2"/>
        <w:rPr>
          <w:rFonts w:eastAsia="仿宋"/>
          <w:b/>
          <w:sz w:val="32"/>
          <w:szCs w:val="32"/>
        </w:rPr>
      </w:pPr>
      <w:r>
        <w:rPr>
          <w:rFonts w:eastAsia="仿宋"/>
          <w:b/>
          <w:sz w:val="32"/>
          <w:szCs w:val="32"/>
        </w:rPr>
        <w:t>（四）预算绩效管理情况</w:t>
      </w:r>
    </w:p>
    <w:p w14:paraId="1967F612">
      <w:pPr>
        <w:widowControl/>
        <w:ind w:firstLine="640" w:firstLineChars="200"/>
        <w:jc w:val="left"/>
        <w:rPr>
          <w:rFonts w:eastAsia="仿宋_GB2312"/>
          <w:sz w:val="32"/>
          <w:szCs w:val="32"/>
        </w:rPr>
      </w:pPr>
      <w:r>
        <w:rPr>
          <w:rFonts w:eastAsia="仿宋_GB2312"/>
          <w:sz w:val="32"/>
          <w:szCs w:val="32"/>
        </w:rPr>
        <w:t>根据预算绩效管理要求，本部门在2022年度预算编制阶段，组织对药品监督抽检项目、食品及食用农产品抽检项目、进口冷链食品集中监管仓运行费用项目、农贸市场疫情防控项目、市场监督管理专项资金等39个项目开展了预算事前绩效评估，对39个项目编制了绩效目标，预算执行过程中，选取39个项目开展绩效监控。</w:t>
      </w:r>
    </w:p>
    <w:p w14:paraId="00E40DD3">
      <w:pPr>
        <w:widowControl/>
        <w:ind w:firstLine="640" w:firstLineChars="200"/>
        <w:jc w:val="left"/>
        <w:rPr>
          <w:rFonts w:eastAsia="仿宋_GB2312"/>
          <w:b/>
          <w:sz w:val="32"/>
          <w:szCs w:val="32"/>
        </w:rPr>
      </w:pPr>
      <w:r>
        <w:rPr>
          <w:rFonts w:eastAsia="仿宋_GB2312"/>
          <w:sz w:val="32"/>
          <w:szCs w:val="32"/>
        </w:rPr>
        <w:t>组织对2022年度部门所有预算资金全面开展绩效自评，形成</w:t>
      </w:r>
      <w:r>
        <w:rPr>
          <w:rFonts w:eastAsia="仿宋_GB2312"/>
          <w:color w:val="000000"/>
          <w:sz w:val="32"/>
          <w:szCs w:val="32"/>
          <w:lang w:val="zh-CN"/>
        </w:rPr>
        <w:t>盐边县市场监督管理局</w:t>
      </w:r>
      <w:r>
        <w:rPr>
          <w:rFonts w:eastAsia="仿宋_GB2312"/>
          <w:sz w:val="32"/>
          <w:szCs w:val="32"/>
        </w:rPr>
        <w:t>部门整体（含部门预算项目）绩效自评报告、药品监督抽检项目、食品及食用农产品抽检项目、进口冷链食品集中监管仓运行费用项目、农贸市场疫情防控项目、市场监督管理专项资金等专项预算项目绩效自评报告，其中，</w:t>
      </w:r>
      <w:r>
        <w:rPr>
          <w:rFonts w:eastAsia="仿宋_GB2312"/>
          <w:color w:val="000000"/>
          <w:sz w:val="32"/>
          <w:szCs w:val="32"/>
          <w:lang w:val="zh-CN"/>
        </w:rPr>
        <w:t>盐边县市场监督管理局</w:t>
      </w:r>
      <w:r>
        <w:rPr>
          <w:rFonts w:eastAsia="仿宋_GB2312"/>
          <w:sz w:val="32"/>
          <w:szCs w:val="32"/>
        </w:rPr>
        <w:t>部门整体（含部门预算项目）绩效自评得分为100分，绩效自评综述：我局以绩效目标实现为导向，进一步加强制度建设，提升自评质量，预算绩效管理取得新成效；药品监督抽检项目、食品及食用农产品抽检项目、进口冷链食品集中监管仓运行费用项目、农贸市场疫情防控项目、市场监督管理专项资金等专项预算项目绩效自评得分为100分，绩效自评综述：绩效考核目标任务层层分解落实，加强重点工作督查，对重点工作加强日常监管，开展专项督查及建立健全绩效问责机制，充分体现财政资金使用主体责任。绩效自评报告详见附件。</w:t>
      </w:r>
      <w:r>
        <w:rPr>
          <w:rFonts w:eastAsia="仿宋_GB2312"/>
          <w:b/>
          <w:sz w:val="32"/>
          <w:szCs w:val="32"/>
        </w:rPr>
        <w:br w:type="page"/>
      </w:r>
    </w:p>
    <w:p w14:paraId="563C62CF">
      <w:pPr>
        <w:numPr>
          <w:ilvl w:val="0"/>
          <w:numId w:val="4"/>
        </w:numPr>
        <w:spacing w:line="600" w:lineRule="exact"/>
        <w:ind w:firstLine="660" w:firstLineChars="150"/>
        <w:jc w:val="center"/>
        <w:outlineLvl w:val="0"/>
        <w:rPr>
          <w:rStyle w:val="19"/>
          <w:rFonts w:eastAsia="黑体"/>
          <w:b w:val="0"/>
        </w:rPr>
      </w:pPr>
      <w:bookmarkStart w:id="49" w:name="_Toc15396613"/>
      <w:bookmarkStart w:id="50" w:name="_Toc15377225"/>
      <w:r>
        <w:rPr>
          <w:rFonts w:eastAsia="黑体"/>
          <w:sz w:val="44"/>
          <w:szCs w:val="44"/>
        </w:rPr>
        <w:t>名</w:t>
      </w:r>
      <w:r>
        <w:rPr>
          <w:rStyle w:val="19"/>
          <w:rFonts w:eastAsia="黑体"/>
          <w:b w:val="0"/>
        </w:rPr>
        <w:t>词解释</w:t>
      </w:r>
      <w:bookmarkEnd w:id="49"/>
      <w:bookmarkEnd w:id="50"/>
    </w:p>
    <w:p w14:paraId="0B834C13">
      <w:pPr>
        <w:spacing w:line="600" w:lineRule="exact"/>
        <w:jc w:val="left"/>
        <w:rPr>
          <w:b/>
          <w:sz w:val="44"/>
          <w:szCs w:val="44"/>
        </w:rPr>
      </w:pPr>
    </w:p>
    <w:p w14:paraId="7062F592">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1.财政拨款收入：指单位从同级财政部门取得的财政预算资金。</w:t>
      </w:r>
    </w:p>
    <w:p w14:paraId="37CD5509">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2.事业收入：指事业单位开展专业业务活动及辅助活动取得的收入。</w:t>
      </w:r>
    </w:p>
    <w:p w14:paraId="66433144">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3.经营收入：指事业单位在专业业务活动及其辅助活动之外开展非独立核算经营活动取得的收入。</w:t>
      </w:r>
    </w:p>
    <w:p w14:paraId="5C3026F4">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4.其他收入：指单位取得的除上述收入以外的各项收入。</w:t>
      </w:r>
    </w:p>
    <w:p w14:paraId="078B5CD6">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5.使用非财政拨款结余：指事业单位使用以前年度积累的非财政拨款结余弥补当年收支差额的金额。</w:t>
      </w:r>
    </w:p>
    <w:p w14:paraId="69D36359">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6.年初结转和结余：指以前年度尚未完成、结转到本年按有关规定继续使用的资金。</w:t>
      </w:r>
    </w:p>
    <w:p w14:paraId="0CA2EBF3">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7.结余分配：指事业单位按照会计制度规定缴纳的所得税、提取的专用结余以及转入非财政拨款结余的金额等。</w:t>
      </w:r>
    </w:p>
    <w:p w14:paraId="48F316E6">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8.年末结转和结余：指单位按有关规定结转到下年或以后年度继续使用的资金。</w:t>
      </w:r>
    </w:p>
    <w:p w14:paraId="59896D93">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9.一般公共服务（类）市场监督管理事务（款）行政运行（项）:反映行政单位（包括实行公务员管理的事业单位）的基本支出。</w:t>
      </w:r>
    </w:p>
    <w:p w14:paraId="336D94B3">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10.一般公共服务（类）市场监督管理事务（款）一般行政管理事务（项）: 反映行政单位（包括实行公务员管理的事业单位）未单独设置项级科目的其他项目支出。</w:t>
      </w:r>
    </w:p>
    <w:p w14:paraId="42C8D2F9">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11.一般公共服务（类）市场监督管理事务（款）药品事务（项）:反映用于药品（含中药、民族药）监督管理方面的支出。</w:t>
      </w:r>
    </w:p>
    <w:p w14:paraId="5698767E">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12.一般公共服务（类）市场监督管理事务（款）食品安全监管（项）:反映食品安全等专项工作支出。</w:t>
      </w:r>
    </w:p>
    <w:p w14:paraId="058C52AD">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13.一般公共服务（类）市场监督管理事务（款）事业运行（项）:反映事业单位的基本支出，不包括行政单位（包括实行公务员管理的事业单位）后勤服务中心、医务室等附属事业单位。</w:t>
      </w:r>
    </w:p>
    <w:p w14:paraId="1C5D3B0F">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14.一般公共服务（类）市场监督管理事务（款）其他市场监督管理事务（项）:反映用于除上述项目以外其他市场监督管理事务方面的支出。</w:t>
      </w:r>
    </w:p>
    <w:p w14:paraId="78CFC3A2">
      <w:pPr>
        <w:spacing w:line="600" w:lineRule="exact"/>
        <w:ind w:firstLine="640" w:firstLineChars="200"/>
        <w:rPr>
          <w:rFonts w:eastAsia="仿宋_GB2312"/>
          <w:kern w:val="0"/>
          <w:sz w:val="32"/>
          <w:szCs w:val="32"/>
        </w:rPr>
      </w:pPr>
      <w:r>
        <w:rPr>
          <w:rFonts w:eastAsia="仿宋_GB2312"/>
          <w:kern w:val="0"/>
          <w:sz w:val="32"/>
          <w:szCs w:val="32"/>
        </w:rPr>
        <w:t>15.社会保障和就业（类）行政事业单位养老（款）行政单位离退休（项）: 反映</w:t>
      </w:r>
      <w:r>
        <w:rPr>
          <w:rFonts w:eastAsia="仿宋_GB2312"/>
          <w:sz w:val="32"/>
          <w:szCs w:val="32"/>
        </w:rPr>
        <w:t>行政单位（包括实行公务员管理的事业单位）开支的离退休经费。</w:t>
      </w:r>
    </w:p>
    <w:p w14:paraId="4A1C4EE0">
      <w:pPr>
        <w:spacing w:line="600" w:lineRule="exact"/>
        <w:ind w:firstLine="640" w:firstLineChars="200"/>
        <w:rPr>
          <w:rFonts w:eastAsia="仿宋_GB2312"/>
          <w:kern w:val="0"/>
          <w:sz w:val="32"/>
          <w:szCs w:val="32"/>
        </w:rPr>
      </w:pPr>
      <w:r>
        <w:rPr>
          <w:rFonts w:eastAsia="仿宋_GB2312"/>
          <w:kern w:val="0"/>
          <w:sz w:val="32"/>
          <w:szCs w:val="32"/>
        </w:rPr>
        <w:t>16.社会保障和就业（类）行政事业单位养老（款）事业单位离退休（项）: 反映事业单位开支的离退休经费。</w:t>
      </w:r>
    </w:p>
    <w:p w14:paraId="02DB4FE2">
      <w:pPr>
        <w:spacing w:line="600" w:lineRule="exact"/>
        <w:ind w:firstLine="640" w:firstLineChars="200"/>
        <w:rPr>
          <w:rFonts w:eastAsia="仿宋_GB2312"/>
          <w:kern w:val="0"/>
          <w:sz w:val="32"/>
          <w:szCs w:val="32"/>
        </w:rPr>
      </w:pPr>
      <w:r>
        <w:rPr>
          <w:rFonts w:eastAsia="仿宋_GB2312"/>
          <w:kern w:val="0"/>
          <w:sz w:val="32"/>
          <w:szCs w:val="32"/>
        </w:rPr>
        <w:t>17.社会保障和就业（类）行政事业单位养老（款）机关事业单位基本养老保险缴费支出（项）:反映机关事业单位实施养老保险制度由单位缴纳的基本养老保险费支出。</w:t>
      </w:r>
    </w:p>
    <w:p w14:paraId="6C288F24">
      <w:pPr>
        <w:spacing w:line="600" w:lineRule="exact"/>
        <w:ind w:firstLine="640" w:firstLineChars="200"/>
        <w:rPr>
          <w:rFonts w:eastAsia="仿宋_GB2312"/>
          <w:kern w:val="0"/>
          <w:sz w:val="32"/>
          <w:szCs w:val="32"/>
        </w:rPr>
      </w:pPr>
      <w:r>
        <w:rPr>
          <w:rFonts w:eastAsia="仿宋_GB2312"/>
          <w:kern w:val="0"/>
          <w:sz w:val="32"/>
          <w:szCs w:val="32"/>
        </w:rPr>
        <w:t>18.社会保障和就业（类）行政事业单位养老（款）机关事业单位职业年金缴费支出（项）:反映机关事业单位实施养老保险制度由单位实际缴纳的职业年金支出。</w:t>
      </w:r>
    </w:p>
    <w:p w14:paraId="7207B70F">
      <w:pPr>
        <w:spacing w:line="600" w:lineRule="exact"/>
        <w:ind w:firstLine="640" w:firstLineChars="200"/>
        <w:rPr>
          <w:rFonts w:eastAsia="仿宋_GB2312"/>
          <w:kern w:val="0"/>
          <w:sz w:val="32"/>
          <w:szCs w:val="32"/>
        </w:rPr>
      </w:pPr>
      <w:r>
        <w:rPr>
          <w:rFonts w:eastAsia="仿宋_GB2312"/>
          <w:kern w:val="0"/>
          <w:sz w:val="32"/>
          <w:szCs w:val="32"/>
        </w:rPr>
        <w:t>19.社会保障和就业（类）抚恤（款）死亡抚恤（项）:反映按规定用于烈士和牺牲、病故人员家属的一次性和定期抚恤金、丧葬补助费以及烈士褒扬金。</w:t>
      </w:r>
    </w:p>
    <w:p w14:paraId="50CE405D">
      <w:pPr>
        <w:spacing w:line="600" w:lineRule="exact"/>
        <w:ind w:firstLine="640" w:firstLineChars="200"/>
        <w:rPr>
          <w:rFonts w:eastAsia="仿宋_GB2312"/>
          <w:kern w:val="0"/>
          <w:sz w:val="32"/>
          <w:szCs w:val="32"/>
        </w:rPr>
      </w:pPr>
      <w:r>
        <w:rPr>
          <w:rFonts w:eastAsia="仿宋_GB2312"/>
          <w:kern w:val="0"/>
          <w:sz w:val="32"/>
          <w:szCs w:val="32"/>
        </w:rPr>
        <w:t xml:space="preserve">20.社会保障和就业（类）抚恤（款）伤残抚恤（项）:反映按规定用于伤残人员的抚恤金和按规定开支的各种伤残补助费。 </w:t>
      </w:r>
    </w:p>
    <w:p w14:paraId="55C1DD89">
      <w:pPr>
        <w:spacing w:line="600" w:lineRule="exact"/>
        <w:ind w:firstLine="640" w:firstLineChars="200"/>
        <w:rPr>
          <w:rFonts w:eastAsia="仿宋_GB2312"/>
          <w:kern w:val="0"/>
          <w:sz w:val="32"/>
          <w:szCs w:val="32"/>
        </w:rPr>
      </w:pPr>
      <w:r>
        <w:rPr>
          <w:rFonts w:eastAsia="仿宋_GB2312"/>
          <w:kern w:val="0"/>
          <w:sz w:val="32"/>
          <w:szCs w:val="32"/>
        </w:rPr>
        <w:t>21.卫生健康（类）公共卫生（款）重大公共卫生服务（项）: 反映重大疾病、重大传染病预防控制等重大公共卫生服务项目支出。</w:t>
      </w:r>
    </w:p>
    <w:p w14:paraId="59A7D623">
      <w:pPr>
        <w:spacing w:line="600" w:lineRule="exact"/>
        <w:ind w:firstLine="640" w:firstLineChars="200"/>
        <w:rPr>
          <w:rFonts w:eastAsia="仿宋_GB2312"/>
          <w:kern w:val="0"/>
          <w:sz w:val="32"/>
          <w:szCs w:val="32"/>
        </w:rPr>
      </w:pPr>
      <w:r>
        <w:rPr>
          <w:rFonts w:eastAsia="仿宋_GB2312"/>
          <w:kern w:val="0"/>
          <w:sz w:val="32"/>
          <w:szCs w:val="32"/>
        </w:rPr>
        <w:t>22.卫生健康（类）行政事业单位医疗（款）行政单位医疗（项）:反映财政部门安排的行政单位</w:t>
      </w:r>
      <w:r>
        <w:rPr>
          <w:rFonts w:eastAsia="仿宋_GB2312"/>
          <w:sz w:val="32"/>
          <w:szCs w:val="32"/>
        </w:rPr>
        <w:t>（包括实行公务员管理的事业单位）基本医疗保险缴费经费，未参加医疗保险的行政单位的公费医疗经费，按国家规定享受离休人员、红军老战士待遇人员的医疗经费。</w:t>
      </w:r>
    </w:p>
    <w:p w14:paraId="07196450">
      <w:pPr>
        <w:pStyle w:val="2"/>
        <w:spacing w:before="93"/>
        <w:rPr>
          <w:rFonts w:ascii="Times New Roman"/>
          <w:sz w:val="32"/>
          <w:szCs w:val="32"/>
        </w:rPr>
      </w:pPr>
      <w:r>
        <w:rPr>
          <w:rFonts w:ascii="Times New Roman"/>
          <w:sz w:val="32"/>
          <w:szCs w:val="32"/>
        </w:rPr>
        <w:t xml:space="preserve">    23.卫生健康（类）行政事业单位医疗（款）事业单位医疗（项）:反映财政部门安排的事业单位基本医疗保险缴费经费，未参加医疗保险的事业单位的公费医疗经费，按国家规定享受离休人员待遇的医疗经费。</w:t>
      </w:r>
    </w:p>
    <w:p w14:paraId="58023622">
      <w:pPr>
        <w:pStyle w:val="2"/>
        <w:spacing w:before="93"/>
        <w:ind w:firstLine="640" w:firstLineChars="200"/>
        <w:rPr>
          <w:rFonts w:ascii="Times New Roman"/>
          <w:sz w:val="32"/>
          <w:szCs w:val="32"/>
        </w:rPr>
      </w:pPr>
      <w:r>
        <w:rPr>
          <w:rFonts w:ascii="Times New Roman"/>
          <w:sz w:val="32"/>
          <w:szCs w:val="32"/>
        </w:rPr>
        <w:t>24.卫生健康（类）行政事业单位医疗（款）公务员医疗补助（项）:反映财政部门安排的公务员医疗补助经费。</w:t>
      </w:r>
    </w:p>
    <w:p w14:paraId="688DE862">
      <w:pPr>
        <w:pStyle w:val="2"/>
        <w:spacing w:before="93"/>
        <w:ind w:firstLine="640" w:firstLineChars="200"/>
        <w:rPr>
          <w:rFonts w:ascii="Times New Roman"/>
          <w:sz w:val="32"/>
          <w:szCs w:val="32"/>
        </w:rPr>
      </w:pPr>
      <w:r>
        <w:rPr>
          <w:rFonts w:ascii="Times New Roman"/>
          <w:sz w:val="32"/>
          <w:szCs w:val="32"/>
        </w:rPr>
        <w:t>25.卫生健康（类）行政事业单位医疗（款）其他行政事业单位医疗支出（项）: 反映除上述项目以外的其他用于行政事业单位医疗方面的支出。</w:t>
      </w:r>
    </w:p>
    <w:p w14:paraId="014A42DC">
      <w:pPr>
        <w:ind w:firstLine="640" w:firstLineChars="200"/>
        <w:rPr>
          <w:rFonts w:eastAsia="仿宋_GB2312"/>
          <w:kern w:val="0"/>
          <w:sz w:val="32"/>
          <w:szCs w:val="32"/>
        </w:rPr>
      </w:pPr>
      <w:r>
        <w:rPr>
          <w:rFonts w:eastAsia="仿宋_GB2312"/>
          <w:kern w:val="0"/>
          <w:sz w:val="32"/>
          <w:szCs w:val="32"/>
        </w:rPr>
        <w:t>26. 住房保障（类）住房改革（款）住房公积金（项）:反映行政事业单位按人力资源和社会保障部、财政部规定的基本工资和津贴以及规定比例为职工缴纳的住房公积金。</w:t>
      </w:r>
    </w:p>
    <w:p w14:paraId="54D1A5C0">
      <w:pPr>
        <w:ind w:firstLine="640" w:firstLineChars="200"/>
        <w:rPr>
          <w:rFonts w:eastAsia="仿宋_GB2312"/>
          <w:sz w:val="32"/>
          <w:szCs w:val="32"/>
        </w:rPr>
      </w:pPr>
      <w:r>
        <w:rPr>
          <w:rFonts w:eastAsia="仿宋_GB2312"/>
          <w:sz w:val="32"/>
          <w:szCs w:val="32"/>
        </w:rPr>
        <w:t>27.基本支出：指为保障机构正常运转、完成日常工作任务而发生的人员支出和公用支出。</w:t>
      </w:r>
    </w:p>
    <w:p w14:paraId="3431169E">
      <w:pPr>
        <w:ind w:firstLine="640" w:firstLineChars="200"/>
        <w:rPr>
          <w:rFonts w:eastAsia="仿宋_GB2312"/>
          <w:sz w:val="32"/>
          <w:szCs w:val="32"/>
        </w:rPr>
      </w:pPr>
      <w:r>
        <w:rPr>
          <w:rFonts w:eastAsia="仿宋_GB2312"/>
          <w:sz w:val="32"/>
          <w:szCs w:val="32"/>
        </w:rPr>
        <w:t>28.项目支出：指在基本支出之外为完成特定行政任务和事业发展目标所发生的支出。</w:t>
      </w:r>
    </w:p>
    <w:p w14:paraId="6268EECA">
      <w:pPr>
        <w:ind w:firstLine="640" w:firstLineChars="200"/>
        <w:rPr>
          <w:rFonts w:eastAsia="仿宋_GB2312"/>
          <w:sz w:val="32"/>
          <w:szCs w:val="32"/>
        </w:rPr>
      </w:pPr>
      <w:r>
        <w:rPr>
          <w:rFonts w:eastAsia="仿宋_GB2312"/>
          <w:sz w:val="32"/>
          <w:szCs w:val="32"/>
        </w:rPr>
        <w:t>29.经营支出：指事业单位在专业业务活动及其辅助活动之外开展非独立核算经营活动发生的支出。</w:t>
      </w:r>
    </w:p>
    <w:p w14:paraId="65C8D030">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30.“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按规定保留的公务用车燃料费、维修费、过桥过路费、保险费、安全奖励费用等支出；公务接待费反映单位按规定开支的各类公务接待（含外宾接待）支出。</w:t>
      </w:r>
    </w:p>
    <w:p w14:paraId="20075C91">
      <w:pPr>
        <w:pStyle w:val="29"/>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98F369F">
      <w:pPr>
        <w:spacing w:line="600" w:lineRule="exact"/>
        <w:jc w:val="center"/>
        <w:outlineLvl w:val="0"/>
        <w:rPr>
          <w:rStyle w:val="19"/>
          <w:rFonts w:eastAsia="黑体"/>
          <w:b w:val="0"/>
        </w:rPr>
      </w:pPr>
      <w:bookmarkStart w:id="51" w:name="_Toc15377226"/>
      <w:r>
        <w:rPr>
          <w:b/>
          <w:sz w:val="44"/>
          <w:szCs w:val="44"/>
        </w:rPr>
        <w:br w:type="page"/>
      </w:r>
      <w:bookmarkStart w:id="52" w:name="_Toc15396614"/>
      <w:r>
        <w:rPr>
          <w:rFonts w:eastAsia="黑体"/>
          <w:sz w:val="44"/>
          <w:szCs w:val="44"/>
        </w:rPr>
        <w:t>第</w:t>
      </w:r>
      <w:r>
        <w:rPr>
          <w:rStyle w:val="19"/>
          <w:rFonts w:eastAsia="黑体"/>
          <w:b w:val="0"/>
        </w:rPr>
        <w:t>四部分 附件</w:t>
      </w:r>
      <w:bookmarkEnd w:id="52"/>
    </w:p>
    <w:p w14:paraId="56AB8CD7">
      <w:pPr>
        <w:widowControl/>
        <w:spacing w:line="560" w:lineRule="exact"/>
        <w:contextualSpacing/>
        <w:rPr>
          <w:b/>
          <w:sz w:val="32"/>
          <w:szCs w:val="32"/>
          <w:shd w:val="clear" w:color="auto" w:fill="FFFFFF"/>
        </w:rPr>
      </w:pPr>
      <w:r>
        <w:rPr>
          <w:b/>
          <w:sz w:val="32"/>
          <w:szCs w:val="32"/>
          <w:shd w:val="clear" w:color="auto" w:fill="FFFFFF"/>
        </w:rPr>
        <w:t>附件1</w:t>
      </w:r>
    </w:p>
    <w:p w14:paraId="38F99CEE">
      <w:pPr>
        <w:widowControl/>
        <w:spacing w:line="560" w:lineRule="exact"/>
        <w:contextualSpacing/>
        <w:jc w:val="center"/>
        <w:rPr>
          <w:b/>
          <w:color w:val="000000" w:themeColor="text1"/>
          <w:sz w:val="32"/>
          <w:szCs w:val="32"/>
          <w:shd w:val="clear" w:color="auto" w:fill="FFFFFF"/>
          <w14:textFill>
            <w14:solidFill>
              <w14:schemeClr w14:val="tx1"/>
            </w14:solidFill>
          </w14:textFill>
        </w:rPr>
      </w:pPr>
      <w:r>
        <w:rPr>
          <w:b/>
          <w:color w:val="000000" w:themeColor="text1"/>
          <w:sz w:val="32"/>
          <w:szCs w:val="32"/>
          <w:shd w:val="clear" w:color="auto" w:fill="FFFFFF"/>
          <w14:textFill>
            <w14:solidFill>
              <w14:schemeClr w14:val="tx1"/>
            </w14:solidFill>
          </w14:textFill>
        </w:rPr>
        <w:t>2022年部门整体绩效评价报告</w:t>
      </w:r>
    </w:p>
    <w:p w14:paraId="1915A0A7">
      <w:pPr>
        <w:widowControl/>
        <w:adjustRightInd w:val="0"/>
        <w:snapToGrid w:val="0"/>
        <w:spacing w:line="560" w:lineRule="exact"/>
        <w:ind w:firstLine="640" w:firstLineChars="200"/>
        <w:contextualSpacing/>
        <w:jc w:val="left"/>
        <w:rPr>
          <w:rFonts w:eastAsia="黑体"/>
          <w:kern w:val="0"/>
          <w:sz w:val="32"/>
          <w:szCs w:val="32"/>
          <w:shd w:val="clear" w:color="auto" w:fill="FFFFFF"/>
        </w:rPr>
      </w:pPr>
    </w:p>
    <w:p w14:paraId="793422F3">
      <w:pPr>
        <w:widowControl/>
        <w:numPr>
          <w:ilvl w:val="0"/>
          <w:numId w:val="5"/>
        </w:numPr>
        <w:adjustRightInd w:val="0"/>
        <w:snapToGrid w:val="0"/>
        <w:spacing w:line="560" w:lineRule="exact"/>
        <w:ind w:firstLine="640" w:firstLineChars="200"/>
        <w:contextualSpacing/>
        <w:jc w:val="left"/>
        <w:rPr>
          <w:rFonts w:eastAsia="黑体"/>
          <w:kern w:val="0"/>
          <w:sz w:val="32"/>
          <w:szCs w:val="32"/>
          <w:shd w:val="clear" w:color="auto" w:fill="FFFFFF"/>
          <w:lang w:val="zh-CN"/>
        </w:rPr>
      </w:pPr>
      <w:r>
        <w:rPr>
          <w:rFonts w:eastAsia="黑体"/>
          <w:kern w:val="0"/>
          <w:sz w:val="32"/>
          <w:szCs w:val="32"/>
          <w:shd w:val="clear" w:color="auto" w:fill="FFFFFF"/>
          <w:lang w:val="zh-CN"/>
        </w:rPr>
        <w:t>部门（单位）基本情况</w:t>
      </w:r>
    </w:p>
    <w:p w14:paraId="10E46BE2">
      <w:pPr>
        <w:pStyle w:val="30"/>
        <w:widowControl/>
        <w:numPr>
          <w:ilvl w:val="0"/>
          <w:numId w:val="6"/>
        </w:numPr>
        <w:adjustRightInd w:val="0"/>
        <w:snapToGrid w:val="0"/>
        <w:spacing w:line="560" w:lineRule="exact"/>
        <w:ind w:firstLineChars="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机构组成。</w:t>
      </w:r>
    </w:p>
    <w:p w14:paraId="286837FE">
      <w:pPr>
        <w:widowControl/>
        <w:ind w:firstLine="600" w:firstLineChars="200"/>
        <w:jc w:val="left"/>
        <w:rPr>
          <w:rFonts w:eastAsia="仿宋_GB2312"/>
          <w:kern w:val="0"/>
          <w:sz w:val="30"/>
          <w:lang w:val="zh-CN"/>
        </w:rPr>
      </w:pPr>
      <w:r>
        <w:rPr>
          <w:rFonts w:eastAsia="仿宋_GB2312"/>
          <w:kern w:val="0"/>
          <w:sz w:val="30"/>
          <w:lang w:val="zh-CN"/>
        </w:rPr>
        <w:t>我局下设内设机构如下：办公室、政策法规股、行政审批与信用监督管理股、交易秩序监督管理股、消保股、食品安全协调股、食品安全监督管理股、药械化监督股、知识产权股、质量发展与认证认可股、特种设备安全监察股、行政执法监督股12个内设机构；桐子林市场监管所、红格市场监管所、渔门市场监管所、格萨拉市场监管所、永兴市场监管所、红果市场监管所、国胜市场监管所、惠民市场监管所8个派出机构。</w:t>
      </w:r>
    </w:p>
    <w:p w14:paraId="7461BAAB">
      <w:pPr>
        <w:pStyle w:val="30"/>
        <w:widowControl/>
        <w:numPr>
          <w:ilvl w:val="0"/>
          <w:numId w:val="6"/>
        </w:numPr>
        <w:adjustRightInd w:val="0"/>
        <w:snapToGrid w:val="0"/>
        <w:spacing w:line="560" w:lineRule="exact"/>
        <w:ind w:firstLineChars="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机构职能和人员概况。</w:t>
      </w:r>
    </w:p>
    <w:p w14:paraId="5F865437">
      <w:pPr>
        <w:pStyle w:val="2"/>
        <w:spacing w:beforeLines="0"/>
        <w:ind w:firstLine="600" w:firstLineChars="200"/>
        <w:rPr>
          <w:rFonts w:ascii="Times New Roman"/>
          <w:lang w:val="zh-CN"/>
        </w:rPr>
      </w:pPr>
      <w:r>
        <w:rPr>
          <w:rFonts w:ascii="Times New Roman"/>
        </w:rPr>
        <w:t>1.</w:t>
      </w:r>
      <w:r>
        <w:rPr>
          <w:rFonts w:ascii="Times New Roman"/>
          <w:lang w:val="zh-CN"/>
        </w:rPr>
        <w:t>负责全县市场综合监督管理。起草市场监督管理有关规章草案、规范性文件。组织实施质量强县、食品安全、标准化和知识产权战略，拟订并组织实施有关规划，规范和维护市场秩序，营造诚实守信、公平竞争的市场环境。</w:t>
      </w:r>
    </w:p>
    <w:p w14:paraId="6A3AB6F4">
      <w:pPr>
        <w:pStyle w:val="2"/>
        <w:spacing w:beforeLines="0"/>
        <w:ind w:firstLine="600" w:firstLineChars="200"/>
        <w:rPr>
          <w:rFonts w:ascii="Times New Roman"/>
          <w:lang w:val="zh-CN"/>
        </w:rPr>
      </w:pPr>
      <w:r>
        <w:rPr>
          <w:rFonts w:ascii="Times New Roman"/>
        </w:rPr>
        <w:t>2.</w:t>
      </w:r>
      <w:r>
        <w:rPr>
          <w:rFonts w:ascii="Times New Roman"/>
          <w:lang w:val="zh-CN"/>
        </w:rPr>
        <w:t>负责全县市场主体统一登记注册。负责指导全县各类企业、农民专业合作社和从事经营活动的单位、个体工商户以及外国（地区）企业、常驻代表机构等市场主体的登记注册和监督管理工作。建立市场主体信息公示和共享机制，依法公示和共享有关信息，加强信用监管，推动市场主体信用体系建设。配合协助党委组织部门开展小微企业、个体工商户、专业市场的党建工作。</w:t>
      </w:r>
    </w:p>
    <w:p w14:paraId="07EA1450">
      <w:pPr>
        <w:pStyle w:val="2"/>
        <w:spacing w:beforeLines="0"/>
        <w:ind w:firstLine="600" w:firstLineChars="200"/>
        <w:rPr>
          <w:rFonts w:ascii="Times New Roman"/>
          <w:lang w:val="zh-CN"/>
        </w:rPr>
      </w:pPr>
      <w:r>
        <w:rPr>
          <w:rFonts w:ascii="Times New Roman"/>
          <w:lang w:val="zh-CN"/>
        </w:rPr>
        <w:t>3</w:t>
      </w:r>
      <w:r>
        <w:rPr>
          <w:rFonts w:ascii="Times New Roman"/>
        </w:rPr>
        <w:t>.</w:t>
      </w:r>
      <w:r>
        <w:rPr>
          <w:rFonts w:ascii="Times New Roman"/>
          <w:lang w:val="zh-CN"/>
        </w:rPr>
        <w:t>负责市场监管领域综合行政执法工作。</w:t>
      </w:r>
    </w:p>
    <w:p w14:paraId="78DB9DFB">
      <w:pPr>
        <w:pStyle w:val="2"/>
        <w:spacing w:beforeLines="0"/>
        <w:ind w:firstLine="600" w:firstLineChars="200"/>
        <w:rPr>
          <w:rFonts w:ascii="Times New Roman"/>
          <w:lang w:val="zh-CN"/>
        </w:rPr>
      </w:pPr>
      <w:r>
        <w:rPr>
          <w:rFonts w:ascii="Times New Roman"/>
          <w:lang w:val="zh-CN"/>
        </w:rPr>
        <w:t>4</w:t>
      </w:r>
      <w:r>
        <w:rPr>
          <w:rFonts w:ascii="Times New Roman"/>
        </w:rPr>
        <w:t>.</w:t>
      </w:r>
      <w:r>
        <w:rPr>
          <w:rFonts w:ascii="Times New Roman"/>
          <w:lang w:val="zh-CN"/>
        </w:rPr>
        <w:t>负责监督管理全县市场秩序。依法监督管理市场交易、网络商品交易及有关服务的行为。协助开展有关反垄断调查工作。组织指导查处价格收费违法违规、不正当竞争、违法直销、传销、侵犯商标专利知识产权和制售假冒伪劣行为。依法实施合同、拍卖行为的监督管理。开展动产抵押物登记。指导广告业的发展，监督管理广告活动。依法查处无照生产经营和相关无证生产经营行为。组织指导消费环境建设，指导县保护消费者权益委员会开展消费维权工作。</w:t>
      </w:r>
    </w:p>
    <w:p w14:paraId="57DA7668">
      <w:pPr>
        <w:pStyle w:val="2"/>
        <w:spacing w:beforeLines="0"/>
        <w:ind w:firstLine="600" w:firstLineChars="200"/>
        <w:rPr>
          <w:rFonts w:ascii="Times New Roman"/>
          <w:lang w:val="zh-CN"/>
        </w:rPr>
      </w:pPr>
      <w:r>
        <w:rPr>
          <w:rFonts w:ascii="Times New Roman"/>
          <w:lang w:val="zh-CN"/>
        </w:rPr>
        <w:t>5</w:t>
      </w:r>
      <w:r>
        <w:rPr>
          <w:rFonts w:ascii="Times New Roman"/>
        </w:rPr>
        <w:t>.</w:t>
      </w:r>
      <w:r>
        <w:rPr>
          <w:rFonts w:ascii="Times New Roman"/>
          <w:lang w:val="zh-CN"/>
        </w:rPr>
        <w:t>负责全县宏观质量管理。拟订并组织实施质量发展的制度措施。统筹全县质量基础设施建设与应用。会同有关部门组织实施重大工程设备质量监理制度，组织重大产品质量事故调查，贯彻实施缺陷产品召回制度，监督管理产品防伪工作。</w:t>
      </w:r>
    </w:p>
    <w:p w14:paraId="707778C8">
      <w:pPr>
        <w:pStyle w:val="2"/>
        <w:spacing w:beforeLines="0"/>
        <w:ind w:firstLine="600" w:firstLineChars="200"/>
        <w:rPr>
          <w:rFonts w:ascii="Times New Roman"/>
          <w:lang w:val="zh-CN"/>
        </w:rPr>
      </w:pPr>
      <w:r>
        <w:rPr>
          <w:rFonts w:ascii="Times New Roman"/>
        </w:rPr>
        <w:t>6.</w:t>
      </w:r>
      <w:r>
        <w:rPr>
          <w:rFonts w:ascii="Times New Roman"/>
          <w:lang w:val="zh-CN"/>
        </w:rPr>
        <w:t>负责全县产品质量安全监督管理。负责产品质量监督抽查和风险监控工作，组织实施质量分级制度、质量安全追溯制度。负责工业产品生产许可证管理。负责纤维质量监督工作。</w:t>
      </w:r>
    </w:p>
    <w:p w14:paraId="4731BDF5">
      <w:pPr>
        <w:pStyle w:val="2"/>
        <w:spacing w:beforeLines="0"/>
        <w:ind w:firstLine="600" w:firstLineChars="200"/>
        <w:rPr>
          <w:rFonts w:ascii="Times New Roman"/>
          <w:lang w:val="zh-CN"/>
        </w:rPr>
      </w:pPr>
      <w:r>
        <w:rPr>
          <w:rFonts w:ascii="Times New Roman"/>
          <w:lang w:val="zh-CN"/>
        </w:rPr>
        <w:t>7</w:t>
      </w:r>
      <w:r>
        <w:rPr>
          <w:rFonts w:ascii="Times New Roman"/>
        </w:rPr>
        <w:t>.</w:t>
      </w:r>
      <w:r>
        <w:rPr>
          <w:rFonts w:ascii="Times New Roman"/>
          <w:lang w:val="zh-CN"/>
        </w:rPr>
        <w:t>负责全县特种设备安全监督管理。综合管理特种设备安全监察、监督工作，监督检查高耗能特种设备节能标准和锅炉产品环境保护标准的执行情况。</w:t>
      </w:r>
    </w:p>
    <w:p w14:paraId="7076EA20">
      <w:pPr>
        <w:pStyle w:val="2"/>
        <w:spacing w:beforeLines="0"/>
        <w:ind w:firstLine="600" w:firstLineChars="200"/>
        <w:rPr>
          <w:rFonts w:ascii="Times New Roman"/>
          <w:lang w:val="zh-CN"/>
        </w:rPr>
      </w:pPr>
      <w:r>
        <w:rPr>
          <w:rFonts w:ascii="Times New Roman"/>
          <w:lang w:val="zh-CN"/>
        </w:rPr>
        <w:t>8</w:t>
      </w:r>
      <w:r>
        <w:rPr>
          <w:rFonts w:ascii="Times New Roman"/>
        </w:rPr>
        <w:t>.</w:t>
      </w:r>
      <w:r>
        <w:rPr>
          <w:rFonts w:ascii="Times New Roman"/>
          <w:lang w:val="zh-CN"/>
        </w:rPr>
        <w:t>负责全县食品安全监督管理综合协调。统筹指导全县食品安全工作。负责食品安全应急体系建设，组织指导重大食品安全事件应急处置和调查处理工作。落实食品安全重要信息直报制度。承担县食品安全委员会日常工作。</w:t>
      </w:r>
    </w:p>
    <w:p w14:paraId="726ABF78">
      <w:pPr>
        <w:pStyle w:val="2"/>
        <w:spacing w:beforeLines="0"/>
        <w:ind w:firstLine="600" w:firstLineChars="200"/>
        <w:rPr>
          <w:rFonts w:ascii="Times New Roman"/>
          <w:lang w:val="zh-CN"/>
        </w:rPr>
      </w:pPr>
      <w:r>
        <w:rPr>
          <w:rFonts w:ascii="Times New Roman"/>
          <w:lang w:val="zh-CN"/>
        </w:rPr>
        <w:t>9</w:t>
      </w:r>
      <w:r>
        <w:rPr>
          <w:rFonts w:ascii="Times New Roman"/>
        </w:rPr>
        <w:t>.</w:t>
      </w:r>
      <w:r>
        <w:rPr>
          <w:rFonts w:ascii="Times New Roman"/>
          <w:lang w:val="zh-CN"/>
        </w:rPr>
        <w:t>负责全县食品安全监督管理。建立覆盖食品生产、流通、消费全过程的监督检查制度和隐患排查治理机制并组织实施，防范区域性、系统性食品安全风险。推动建立食品生产经营者落实主体责任的机制，健全食品安全追溯体系。指导督促食品生产经营企业的相关安全生产工作。组织开展食品安全监督抽检、风险监测、核查处置和风险预警、风险交流工作。组织实施特殊食品监督管理。</w:t>
      </w:r>
    </w:p>
    <w:p w14:paraId="1362EA81">
      <w:pPr>
        <w:pStyle w:val="2"/>
        <w:spacing w:beforeLines="0"/>
        <w:ind w:firstLine="600" w:firstLineChars="200"/>
        <w:rPr>
          <w:rFonts w:ascii="Times New Roman"/>
          <w:lang w:val="zh-CN"/>
        </w:rPr>
      </w:pPr>
      <w:r>
        <w:rPr>
          <w:rFonts w:ascii="Times New Roman"/>
          <w:lang w:val="zh-CN"/>
        </w:rPr>
        <w:t>10</w:t>
      </w:r>
      <w:r>
        <w:rPr>
          <w:rFonts w:ascii="Times New Roman"/>
        </w:rPr>
        <w:t>.</w:t>
      </w:r>
      <w:r>
        <w:rPr>
          <w:rFonts w:ascii="Times New Roman"/>
          <w:lang w:val="zh-CN"/>
        </w:rPr>
        <w:t>负责药品、化妆品和医疗器械的质量管理、风险管理、安全监督和安全应急管理。承担全县药品零售、医疗器械经营的检查和处罚，以及化妆品经营和药品、医疗器械使用环节质量的安全监测、检查和处罚。参与市市场监管局组织的监督检查。监督实施问题产品召回和处置工作。参与执业药师注册及相关工作。</w:t>
      </w:r>
    </w:p>
    <w:p w14:paraId="7664BF17">
      <w:pPr>
        <w:pStyle w:val="2"/>
        <w:spacing w:beforeLines="0"/>
        <w:ind w:firstLine="600" w:firstLineChars="200"/>
        <w:rPr>
          <w:rFonts w:ascii="Times New Roman"/>
          <w:lang w:val="zh-CN"/>
        </w:rPr>
      </w:pPr>
      <w:r>
        <w:rPr>
          <w:rFonts w:ascii="Times New Roman"/>
          <w:lang w:val="zh-CN"/>
        </w:rPr>
        <w:t>11</w:t>
      </w:r>
      <w:r>
        <w:rPr>
          <w:rFonts w:ascii="Times New Roman"/>
        </w:rPr>
        <w:t>.</w:t>
      </w:r>
      <w:r>
        <w:rPr>
          <w:rFonts w:ascii="Times New Roman"/>
          <w:lang w:val="zh-CN"/>
        </w:rPr>
        <w:t>负责统一管理全县计量工作。推行法定计量单位，执行国家计量制度，管理计量器具及量值传递和比对工作。规范、监督商品量和计量行为。</w:t>
      </w:r>
    </w:p>
    <w:p w14:paraId="3A1733FB">
      <w:pPr>
        <w:pStyle w:val="2"/>
        <w:spacing w:beforeLines="0"/>
        <w:ind w:firstLine="600" w:firstLineChars="200"/>
        <w:rPr>
          <w:rFonts w:ascii="Times New Roman"/>
          <w:lang w:val="zh-CN"/>
        </w:rPr>
      </w:pPr>
      <w:r>
        <w:rPr>
          <w:rFonts w:ascii="Times New Roman"/>
          <w:lang w:val="zh-CN"/>
        </w:rPr>
        <w:t>12</w:t>
      </w:r>
      <w:r>
        <w:rPr>
          <w:rFonts w:ascii="Times New Roman"/>
        </w:rPr>
        <w:t>.</w:t>
      </w:r>
      <w:r>
        <w:rPr>
          <w:rFonts w:ascii="Times New Roman"/>
          <w:lang w:val="zh-CN"/>
        </w:rPr>
        <w:t>负责统一管理全县标准化工作。依法承担地方标准立项、编号和发布等工作。协调指导团体标准制定工作。推行企业标准自我声明公开。依法对标准制定和实施情况开展监督。</w:t>
      </w:r>
    </w:p>
    <w:p w14:paraId="0B72EEF8">
      <w:pPr>
        <w:pStyle w:val="2"/>
        <w:spacing w:beforeLines="0"/>
        <w:ind w:firstLine="600" w:firstLineChars="200"/>
        <w:rPr>
          <w:rFonts w:ascii="Times New Roman"/>
          <w:lang w:val="zh-CN"/>
        </w:rPr>
      </w:pPr>
      <w:r>
        <w:rPr>
          <w:rFonts w:ascii="Times New Roman"/>
          <w:lang w:val="zh-CN"/>
        </w:rPr>
        <w:t>13</w:t>
      </w:r>
      <w:r>
        <w:rPr>
          <w:rFonts w:ascii="Times New Roman"/>
        </w:rPr>
        <w:t>.</w:t>
      </w:r>
      <w:r>
        <w:rPr>
          <w:rFonts w:ascii="Times New Roman"/>
          <w:lang w:val="zh-CN"/>
        </w:rPr>
        <w:t>负责统一管理全县检验检测工作。规范检验检测市场，完善检验检测体系，指导协调检验检测行业发展。</w:t>
      </w:r>
    </w:p>
    <w:p w14:paraId="3FD39BBD">
      <w:pPr>
        <w:pStyle w:val="2"/>
        <w:spacing w:beforeLines="0"/>
        <w:ind w:firstLine="600" w:firstLineChars="200"/>
        <w:rPr>
          <w:rFonts w:ascii="Times New Roman"/>
          <w:lang w:val="zh-CN"/>
        </w:rPr>
      </w:pPr>
      <w:r>
        <w:rPr>
          <w:rFonts w:ascii="Times New Roman"/>
          <w:lang w:val="zh-CN"/>
        </w:rPr>
        <w:t>14</w:t>
      </w:r>
      <w:r>
        <w:rPr>
          <w:rFonts w:ascii="Times New Roman"/>
        </w:rPr>
        <w:t>.</w:t>
      </w:r>
      <w:r>
        <w:rPr>
          <w:rFonts w:ascii="Times New Roman"/>
          <w:lang w:val="zh-CN"/>
        </w:rPr>
        <w:t>负责统一管理认证认可工作。监督管理认证认可和合格评定工作。</w:t>
      </w:r>
    </w:p>
    <w:p w14:paraId="2795F55F">
      <w:pPr>
        <w:pStyle w:val="2"/>
        <w:spacing w:beforeLines="0"/>
        <w:ind w:firstLine="600" w:firstLineChars="200"/>
        <w:rPr>
          <w:rFonts w:ascii="Times New Roman"/>
          <w:lang w:val="zh-CN"/>
        </w:rPr>
      </w:pPr>
      <w:r>
        <w:rPr>
          <w:rFonts w:ascii="Times New Roman"/>
          <w:lang w:val="zh-CN"/>
        </w:rPr>
        <w:t>15</w:t>
      </w:r>
      <w:r>
        <w:rPr>
          <w:rFonts w:ascii="Times New Roman"/>
        </w:rPr>
        <w:t>.</w:t>
      </w:r>
      <w:r>
        <w:rPr>
          <w:rFonts w:ascii="Times New Roman"/>
          <w:lang w:val="zh-CN"/>
        </w:rPr>
        <w:t>负责全县知识产权战略、规划的制定，负责知识产权保护、管理，指导知识产权创造、运用和服务促进工作，负责商标、专利执法工作。</w:t>
      </w:r>
    </w:p>
    <w:p w14:paraId="2922A111">
      <w:pPr>
        <w:pStyle w:val="2"/>
        <w:spacing w:beforeLines="0"/>
        <w:ind w:firstLine="600" w:firstLineChars="200"/>
        <w:rPr>
          <w:rFonts w:ascii="Times New Roman"/>
          <w:lang w:val="zh-CN"/>
        </w:rPr>
      </w:pPr>
      <w:r>
        <w:rPr>
          <w:rFonts w:ascii="Times New Roman"/>
          <w:lang w:val="zh-CN"/>
        </w:rPr>
        <w:t>16</w:t>
      </w:r>
      <w:r>
        <w:rPr>
          <w:rFonts w:ascii="Times New Roman"/>
        </w:rPr>
        <w:t>.</w:t>
      </w:r>
      <w:r>
        <w:rPr>
          <w:rFonts w:ascii="Times New Roman"/>
          <w:lang w:val="zh-CN"/>
        </w:rPr>
        <w:t>负责市场监督管理科技和信息化建设。</w:t>
      </w:r>
    </w:p>
    <w:p w14:paraId="06AE63CD">
      <w:pPr>
        <w:pStyle w:val="2"/>
        <w:spacing w:beforeLines="0"/>
        <w:ind w:firstLine="600" w:firstLineChars="200"/>
        <w:rPr>
          <w:rFonts w:ascii="Times New Roman"/>
          <w:lang w:val="zh-CN"/>
        </w:rPr>
      </w:pPr>
      <w:r>
        <w:rPr>
          <w:rFonts w:ascii="Times New Roman"/>
          <w:lang w:val="zh-CN"/>
        </w:rPr>
        <w:t>17</w:t>
      </w:r>
      <w:r>
        <w:rPr>
          <w:rFonts w:ascii="Times New Roman"/>
        </w:rPr>
        <w:t>.</w:t>
      </w:r>
      <w:r>
        <w:rPr>
          <w:rFonts w:ascii="Times New Roman"/>
          <w:lang w:val="zh-CN"/>
        </w:rPr>
        <w:t>负责职责范围内的安全生产和职业健康、生态环境保护、审批服务便民化等工作。</w:t>
      </w:r>
    </w:p>
    <w:p w14:paraId="50D6A224">
      <w:pPr>
        <w:pStyle w:val="2"/>
        <w:spacing w:beforeLines="0"/>
        <w:ind w:firstLine="600" w:firstLineChars="200"/>
        <w:rPr>
          <w:rFonts w:ascii="Times New Roman"/>
          <w:lang w:val="zh-CN"/>
        </w:rPr>
      </w:pPr>
      <w:r>
        <w:rPr>
          <w:rFonts w:ascii="Times New Roman"/>
          <w:lang w:val="zh-CN"/>
        </w:rPr>
        <w:t>18</w:t>
      </w:r>
      <w:r>
        <w:rPr>
          <w:rFonts w:ascii="Times New Roman"/>
        </w:rPr>
        <w:t>.</w:t>
      </w:r>
      <w:r>
        <w:rPr>
          <w:rFonts w:ascii="Times New Roman"/>
          <w:lang w:val="zh-CN"/>
        </w:rPr>
        <w:t>完成县委、县政府交办的其他任务。</w:t>
      </w:r>
    </w:p>
    <w:p w14:paraId="44E6DE5A">
      <w:pPr>
        <w:pStyle w:val="2"/>
        <w:spacing w:beforeLines="0"/>
        <w:ind w:firstLine="600" w:firstLineChars="200"/>
        <w:rPr>
          <w:rFonts w:ascii="Times New Roman"/>
          <w:lang w:val="zh-CN"/>
        </w:rPr>
      </w:pPr>
      <w:r>
        <w:rPr>
          <w:rFonts w:ascii="Times New Roman"/>
          <w:lang w:val="zh-CN"/>
        </w:rPr>
        <w:t>截止2022年期末，全局实有8</w:t>
      </w:r>
      <w:r>
        <w:rPr>
          <w:rFonts w:ascii="Times New Roman"/>
        </w:rPr>
        <w:t>1</w:t>
      </w:r>
      <w:r>
        <w:rPr>
          <w:rFonts w:ascii="Times New Roman"/>
          <w:lang w:val="zh-CN"/>
        </w:rPr>
        <w:t>人，其中：行政（含行政工勤）编制73人，事业（含事业工勤）编制8人。</w:t>
      </w:r>
    </w:p>
    <w:p w14:paraId="38F24A8F">
      <w:pPr>
        <w:pStyle w:val="30"/>
        <w:widowControl/>
        <w:numPr>
          <w:ilvl w:val="0"/>
          <w:numId w:val="6"/>
        </w:numPr>
        <w:adjustRightInd w:val="0"/>
        <w:snapToGrid w:val="0"/>
        <w:spacing w:line="560" w:lineRule="exact"/>
        <w:ind w:left="0" w:firstLine="643"/>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年度主要工作任务。</w:t>
      </w:r>
    </w:p>
    <w:p w14:paraId="2A8BD20E">
      <w:pPr>
        <w:adjustRightInd w:val="0"/>
        <w:ind w:firstLine="600" w:firstLineChars="200"/>
        <w:rPr>
          <w:rFonts w:eastAsia="仿宋_GB2312"/>
          <w:kern w:val="0"/>
          <w:sz w:val="30"/>
          <w:lang w:val="zh-CN"/>
        </w:rPr>
      </w:pPr>
      <w:r>
        <w:rPr>
          <w:rFonts w:eastAsia="仿宋_GB2312"/>
          <w:kern w:val="0"/>
          <w:sz w:val="30"/>
          <w:lang w:val="zh-CN"/>
        </w:rPr>
        <w:t>1.深化改革，推动营商环境优化发展紧贴职能，2.助力“滋味盐边”，3.快速发展落实责任，守牢四条“安全底线”4.综合整治，确保市场环境公平有序5.畅通渠道，助推放心舒心消费环境6.建设狠抓落实，推动创城工作有序开展。</w:t>
      </w:r>
    </w:p>
    <w:p w14:paraId="6BA63010">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（四）部门整体支出绩效目标。</w:t>
      </w:r>
    </w:p>
    <w:p w14:paraId="43BE195F">
      <w:pPr>
        <w:pStyle w:val="2"/>
        <w:spacing w:beforeLines="0"/>
        <w:ind w:firstLine="600" w:firstLineChars="200"/>
        <w:rPr>
          <w:rFonts w:ascii="Times New Roman"/>
          <w:lang w:val="zh-CN"/>
        </w:rPr>
      </w:pPr>
      <w:r>
        <w:rPr>
          <w:rFonts w:ascii="Times New Roman"/>
          <w:lang w:val="zh-CN"/>
        </w:rPr>
        <w:t>总体完成年初预算目标。</w:t>
      </w:r>
    </w:p>
    <w:p w14:paraId="1250B568">
      <w:pPr>
        <w:widowControl/>
        <w:adjustRightInd w:val="0"/>
        <w:snapToGrid w:val="0"/>
        <w:spacing w:line="560" w:lineRule="exact"/>
        <w:ind w:firstLine="640" w:firstLineChars="200"/>
        <w:contextualSpacing/>
        <w:jc w:val="left"/>
        <w:rPr>
          <w:rFonts w:eastAsia="黑体"/>
          <w:kern w:val="0"/>
          <w:sz w:val="32"/>
          <w:szCs w:val="32"/>
          <w:shd w:val="clear" w:color="auto" w:fill="FFFFFF"/>
        </w:rPr>
      </w:pPr>
      <w:r>
        <w:rPr>
          <w:rFonts w:eastAsia="黑体"/>
          <w:kern w:val="0"/>
          <w:sz w:val="32"/>
          <w:szCs w:val="32"/>
          <w:shd w:val="clear" w:color="auto" w:fill="FFFFFF"/>
        </w:rPr>
        <w:t>二、部门资金收支情况</w:t>
      </w:r>
    </w:p>
    <w:p w14:paraId="0822FD2F">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（一）部门总体收支情况。</w:t>
      </w:r>
    </w:p>
    <w:p w14:paraId="2652B65E">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1.部门总体收入情况</w:t>
      </w:r>
    </w:p>
    <w:p w14:paraId="0422CAC0">
      <w:pPr>
        <w:pStyle w:val="2"/>
        <w:spacing w:before="93"/>
        <w:ind w:firstLine="640" w:firstLineChars="200"/>
        <w:rPr>
          <w:rFonts w:ascii="Times New Roman"/>
        </w:rPr>
      </w:pPr>
      <w:r>
        <w:rPr>
          <w:rFonts w:ascii="Times New Roman" w:eastAsia="仿宋"/>
          <w:sz w:val="32"/>
          <w:szCs w:val="32"/>
        </w:rPr>
        <w:t>2022年本年收入合计1840.85万元，其中：一般公共预算财政拨款收入</w:t>
      </w:r>
      <w:r>
        <w:rPr>
          <w:rFonts w:ascii="Times New Roman"/>
          <w:color w:val="000000"/>
          <w:sz w:val="32"/>
          <w:szCs w:val="32"/>
          <w:lang w:val="zh-CN"/>
        </w:rPr>
        <w:t>1840.85</w:t>
      </w:r>
      <w:r>
        <w:rPr>
          <w:rFonts w:ascii="Times New Roman" w:eastAsia="仿宋"/>
          <w:sz w:val="32"/>
          <w:szCs w:val="32"/>
        </w:rPr>
        <w:t>万元，占100%。</w:t>
      </w:r>
    </w:p>
    <w:p w14:paraId="07A54FCE">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2.部门总体支出情况</w:t>
      </w:r>
    </w:p>
    <w:p w14:paraId="20597F5C">
      <w:pPr>
        <w:pStyle w:val="2"/>
        <w:spacing w:before="93"/>
        <w:ind w:firstLine="640" w:firstLineChars="200"/>
        <w:rPr>
          <w:rFonts w:ascii="Times New Roman"/>
        </w:rPr>
      </w:pPr>
      <w:r>
        <w:rPr>
          <w:rFonts w:ascii="Times New Roman" w:eastAsia="仿宋"/>
          <w:sz w:val="32"/>
          <w:szCs w:val="32"/>
        </w:rPr>
        <w:t>2022年本年支出合计</w:t>
      </w:r>
      <w:r>
        <w:rPr>
          <w:rFonts w:ascii="Times New Roman"/>
          <w:color w:val="000000"/>
          <w:sz w:val="32"/>
          <w:szCs w:val="32"/>
          <w:lang w:val="zh-CN"/>
        </w:rPr>
        <w:t>1840.85</w:t>
      </w:r>
      <w:r>
        <w:rPr>
          <w:rFonts w:ascii="Times New Roman" w:eastAsia="仿宋"/>
          <w:sz w:val="32"/>
          <w:szCs w:val="32"/>
        </w:rPr>
        <w:t>万元，其中：基本支出</w:t>
      </w:r>
      <w:r>
        <w:rPr>
          <w:rFonts w:ascii="Times New Roman"/>
          <w:color w:val="000000"/>
          <w:sz w:val="32"/>
          <w:szCs w:val="32"/>
          <w:lang w:val="zh-CN"/>
        </w:rPr>
        <w:t>1714.31</w:t>
      </w:r>
      <w:r>
        <w:rPr>
          <w:rFonts w:ascii="Times New Roman" w:eastAsia="仿宋"/>
          <w:sz w:val="32"/>
          <w:szCs w:val="32"/>
        </w:rPr>
        <w:t>万元，占</w:t>
      </w:r>
      <w:r>
        <w:rPr>
          <w:rFonts w:ascii="Times New Roman"/>
          <w:color w:val="000000"/>
          <w:sz w:val="32"/>
          <w:szCs w:val="32"/>
          <w:lang w:val="zh-CN"/>
        </w:rPr>
        <w:t>93.1</w:t>
      </w:r>
      <w:r>
        <w:rPr>
          <w:rFonts w:ascii="Times New Roman" w:eastAsia="仿宋"/>
          <w:sz w:val="32"/>
          <w:szCs w:val="32"/>
        </w:rPr>
        <w:t>%；项目支出</w:t>
      </w:r>
      <w:r>
        <w:rPr>
          <w:rFonts w:ascii="Times New Roman"/>
          <w:color w:val="000000"/>
          <w:sz w:val="32"/>
          <w:szCs w:val="32"/>
          <w:lang w:val="zh-CN"/>
        </w:rPr>
        <w:t>126.54</w:t>
      </w:r>
      <w:r>
        <w:rPr>
          <w:rFonts w:ascii="Times New Roman" w:eastAsia="仿宋"/>
          <w:sz w:val="32"/>
          <w:szCs w:val="32"/>
        </w:rPr>
        <w:t>万元，占</w:t>
      </w:r>
      <w:r>
        <w:rPr>
          <w:rFonts w:ascii="Times New Roman"/>
          <w:color w:val="000000"/>
          <w:sz w:val="32"/>
          <w:szCs w:val="32"/>
          <w:lang w:val="zh-CN"/>
        </w:rPr>
        <w:t>6.9</w:t>
      </w:r>
      <w:r>
        <w:rPr>
          <w:rFonts w:ascii="Times New Roman" w:eastAsia="仿宋"/>
          <w:sz w:val="32"/>
          <w:szCs w:val="32"/>
        </w:rPr>
        <w:t xml:space="preserve"> %。</w:t>
      </w:r>
    </w:p>
    <w:p w14:paraId="3BA3AC25">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3.部门总体结转结余情况</w:t>
      </w:r>
    </w:p>
    <w:p w14:paraId="1C2F9745">
      <w:pPr>
        <w:pStyle w:val="2"/>
        <w:spacing w:before="93"/>
        <w:ind w:firstLine="600" w:firstLineChars="200"/>
        <w:rPr>
          <w:rFonts w:ascii="Times New Roman"/>
        </w:rPr>
      </w:pPr>
      <w:r>
        <w:rPr>
          <w:rFonts w:ascii="Times New Roman"/>
        </w:rPr>
        <w:t>2022年无结转结余。</w:t>
      </w:r>
    </w:p>
    <w:p w14:paraId="0DDB3242">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（二）部门财政拨款收支情况。</w:t>
      </w:r>
    </w:p>
    <w:p w14:paraId="48CA7EF0">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1.部门财政拨款收入情况</w:t>
      </w:r>
    </w:p>
    <w:p w14:paraId="45D63E34">
      <w:pPr>
        <w:pStyle w:val="2"/>
        <w:spacing w:before="93"/>
        <w:ind w:firstLine="640" w:firstLineChars="200"/>
        <w:rPr>
          <w:rFonts w:ascii="Times New Roman"/>
        </w:rPr>
      </w:pPr>
      <w:r>
        <w:rPr>
          <w:rFonts w:ascii="Times New Roman" w:eastAsia="仿宋"/>
          <w:sz w:val="32"/>
          <w:szCs w:val="32"/>
        </w:rPr>
        <w:t>2022年本年收入合计1840.85万元，其中：一般公共预算财政拨款收入</w:t>
      </w:r>
      <w:r>
        <w:rPr>
          <w:rFonts w:ascii="Times New Roman"/>
          <w:color w:val="000000"/>
          <w:sz w:val="32"/>
          <w:szCs w:val="32"/>
          <w:lang w:val="zh-CN"/>
        </w:rPr>
        <w:t>1840.85</w:t>
      </w:r>
      <w:r>
        <w:rPr>
          <w:rFonts w:ascii="Times New Roman" w:eastAsia="仿宋"/>
          <w:sz w:val="32"/>
          <w:szCs w:val="32"/>
        </w:rPr>
        <w:t>万元，占100%。</w:t>
      </w:r>
    </w:p>
    <w:p w14:paraId="3EDB06FC">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2.部门财政拨款支出情况</w:t>
      </w:r>
    </w:p>
    <w:p w14:paraId="3A42DB2B">
      <w:pPr>
        <w:pStyle w:val="2"/>
        <w:spacing w:before="93"/>
        <w:ind w:firstLine="640" w:firstLineChars="200"/>
        <w:rPr>
          <w:rFonts w:ascii="Times New Roman"/>
        </w:rPr>
      </w:pPr>
      <w:r>
        <w:rPr>
          <w:rFonts w:ascii="Times New Roman" w:eastAsia="仿宋"/>
          <w:sz w:val="32"/>
          <w:szCs w:val="32"/>
        </w:rPr>
        <w:t>2022年本年支出合计</w:t>
      </w:r>
      <w:r>
        <w:rPr>
          <w:rFonts w:ascii="Times New Roman"/>
          <w:color w:val="000000"/>
          <w:sz w:val="32"/>
          <w:szCs w:val="32"/>
          <w:lang w:val="zh-CN"/>
        </w:rPr>
        <w:t>1840.85</w:t>
      </w:r>
      <w:r>
        <w:rPr>
          <w:rFonts w:ascii="Times New Roman" w:eastAsia="仿宋"/>
          <w:sz w:val="32"/>
          <w:szCs w:val="32"/>
        </w:rPr>
        <w:t>万元，其中：基本支出</w:t>
      </w:r>
      <w:r>
        <w:rPr>
          <w:rFonts w:ascii="Times New Roman"/>
          <w:color w:val="000000"/>
          <w:sz w:val="32"/>
          <w:szCs w:val="32"/>
          <w:lang w:val="zh-CN"/>
        </w:rPr>
        <w:t>1714.31</w:t>
      </w:r>
      <w:r>
        <w:rPr>
          <w:rFonts w:ascii="Times New Roman" w:eastAsia="仿宋"/>
          <w:sz w:val="32"/>
          <w:szCs w:val="32"/>
        </w:rPr>
        <w:t>万元，占</w:t>
      </w:r>
      <w:r>
        <w:rPr>
          <w:rFonts w:ascii="Times New Roman"/>
          <w:color w:val="000000"/>
          <w:sz w:val="32"/>
          <w:szCs w:val="32"/>
          <w:lang w:val="zh-CN"/>
        </w:rPr>
        <w:t>93.1</w:t>
      </w:r>
      <w:r>
        <w:rPr>
          <w:rFonts w:ascii="Times New Roman" w:eastAsia="仿宋"/>
          <w:sz w:val="32"/>
          <w:szCs w:val="32"/>
        </w:rPr>
        <w:t xml:space="preserve"> %；项目支出</w:t>
      </w:r>
      <w:r>
        <w:rPr>
          <w:rFonts w:ascii="Times New Roman"/>
          <w:color w:val="000000"/>
          <w:sz w:val="32"/>
          <w:szCs w:val="32"/>
          <w:lang w:val="zh-CN"/>
        </w:rPr>
        <w:t>126.54</w:t>
      </w:r>
      <w:r>
        <w:rPr>
          <w:rFonts w:ascii="Times New Roman" w:eastAsia="仿宋"/>
          <w:sz w:val="32"/>
          <w:szCs w:val="32"/>
        </w:rPr>
        <w:t>万元，占</w:t>
      </w:r>
      <w:r>
        <w:rPr>
          <w:rFonts w:ascii="Times New Roman"/>
          <w:color w:val="000000"/>
          <w:sz w:val="32"/>
          <w:szCs w:val="32"/>
          <w:lang w:val="zh-CN"/>
        </w:rPr>
        <w:t>6.9</w:t>
      </w:r>
      <w:r>
        <w:rPr>
          <w:rFonts w:ascii="Times New Roman" w:eastAsia="仿宋"/>
          <w:sz w:val="32"/>
          <w:szCs w:val="32"/>
        </w:rPr>
        <w:t xml:space="preserve"> %。</w:t>
      </w:r>
    </w:p>
    <w:p w14:paraId="594FDFFF">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3.部门财政拨款结转结余情况</w:t>
      </w:r>
    </w:p>
    <w:p w14:paraId="0674E9EE">
      <w:pPr>
        <w:pStyle w:val="2"/>
        <w:spacing w:before="93"/>
        <w:ind w:firstLine="600" w:firstLineChars="200"/>
        <w:rPr>
          <w:rFonts w:ascii="Times New Roman"/>
        </w:rPr>
      </w:pPr>
      <w:r>
        <w:rPr>
          <w:rFonts w:ascii="Times New Roman"/>
        </w:rPr>
        <w:t>2022年无结转结余。</w:t>
      </w:r>
    </w:p>
    <w:p w14:paraId="3EA38F56">
      <w:pPr>
        <w:widowControl/>
        <w:adjustRightInd w:val="0"/>
        <w:snapToGrid w:val="0"/>
        <w:spacing w:line="560" w:lineRule="exact"/>
        <w:ind w:firstLine="640" w:firstLineChars="200"/>
        <w:contextualSpacing/>
        <w:jc w:val="left"/>
        <w:rPr>
          <w:rFonts w:eastAsia="黑体"/>
          <w:kern w:val="0"/>
          <w:sz w:val="32"/>
          <w:szCs w:val="32"/>
          <w:shd w:val="clear" w:color="auto" w:fill="FFFFFF"/>
        </w:rPr>
      </w:pPr>
      <w:r>
        <w:rPr>
          <w:rFonts w:eastAsia="黑体"/>
          <w:kern w:val="0"/>
          <w:sz w:val="32"/>
          <w:szCs w:val="32"/>
          <w:shd w:val="clear" w:color="auto" w:fill="FFFFFF"/>
        </w:rPr>
        <w:t>三、部门整体绩效分析</w:t>
      </w:r>
    </w:p>
    <w:p w14:paraId="44D0AF6B">
      <w:pPr>
        <w:widowControl/>
        <w:adjustRightInd w:val="0"/>
        <w:snapToGrid w:val="0"/>
        <w:spacing w:line="560" w:lineRule="exact"/>
        <w:ind w:firstLine="643" w:firstLineChars="200"/>
        <w:contextualSpacing/>
        <w:jc w:val="left"/>
        <w:rPr>
          <w:rFonts w:eastAsia="仿宋_GB2312"/>
          <w:kern w:val="0"/>
          <w:sz w:val="32"/>
          <w:szCs w:val="32"/>
          <w:shd w:val="clear" w:color="auto" w:fill="FFFFFF"/>
          <w:lang w:val="zh-CN"/>
        </w:rPr>
      </w:pPr>
      <w:r>
        <w:rPr>
          <w:rFonts w:eastAsia="楷体_GB2312"/>
          <w:b/>
          <w:bCs/>
          <w:kern w:val="0"/>
          <w:sz w:val="32"/>
          <w:szCs w:val="32"/>
          <w:shd w:val="clear" w:color="auto" w:fill="FFFFFF"/>
          <w:lang w:val="zh-CN"/>
        </w:rPr>
        <w:t>（一）部门预算项目绩效分析。</w:t>
      </w:r>
    </w:p>
    <w:p w14:paraId="7221BE75">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1.人员类项目绩效分析</w:t>
      </w:r>
    </w:p>
    <w:p w14:paraId="361FE2DA">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（1）目标制定。</w:t>
      </w:r>
    </w:p>
    <w:p w14:paraId="23DACEEA">
      <w:pPr>
        <w:pStyle w:val="2"/>
        <w:spacing w:before="93"/>
        <w:ind w:firstLine="600" w:firstLineChars="200"/>
        <w:rPr>
          <w:rFonts w:ascii="Times New Roman"/>
          <w:lang w:val="zh-CN"/>
        </w:rPr>
      </w:pPr>
      <w:r>
        <w:rPr>
          <w:rFonts w:ascii="Times New Roman"/>
          <w:lang w:val="zh-CN"/>
        </w:rPr>
        <w:t>盐边县市场监督管理局按要求编报了部门预算项目绩效目标。根据部门整体支出绩效目标自评和项目支出绩效目标自评情况，盐边县市场监督管理局绩效目标编制科学合理、要素完整。</w:t>
      </w:r>
    </w:p>
    <w:p w14:paraId="6E87001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（2）目标实现</w:t>
      </w:r>
    </w:p>
    <w:p w14:paraId="6AE1CE0F">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人员类支出：基本工资3559006元、津贴补贴3102375元、奖金3291707.17元、绩效工资550283.74元、机关事业单位基本养老保险1101375.68元、职业年金201019.59元、职工基本医疗保险757249.53元、公务员医疗补助455919元、其他社会保障缴费23341.17、住房公积金1234737元、医疗费6400元、其他工资福利支出521442元，目标完成率为100%。</w:t>
      </w:r>
    </w:p>
    <w:p w14:paraId="71A07457">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（3）支出控制</w:t>
      </w:r>
    </w:p>
    <w:p w14:paraId="1EFA7528">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2022年部门人员类经费和年初预算偏差度在10%以内。</w:t>
      </w:r>
    </w:p>
    <w:p w14:paraId="6FFBBF35">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（4）及时处置</w:t>
      </w:r>
    </w:p>
    <w:p w14:paraId="2F8313B5">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盐边县市场监督管理局财政拨款绩效监控调整取消额为0元，预算结余注销额为0元。</w:t>
      </w:r>
    </w:p>
    <w:p w14:paraId="35A0D4C0">
      <w:pPr>
        <w:widowControl/>
        <w:tabs>
          <w:tab w:val="center" w:pos="4473"/>
        </w:tabs>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（5）执行进度</w:t>
      </w:r>
      <w:r>
        <w:rPr>
          <w:rFonts w:eastAsia="仿宋_GB2312"/>
          <w:kern w:val="0"/>
          <w:sz w:val="32"/>
          <w:szCs w:val="32"/>
          <w:shd w:val="clear" w:color="auto" w:fill="FFFFFF"/>
          <w:lang w:val="zh-CN"/>
        </w:rPr>
        <w:tab/>
      </w:r>
    </w:p>
    <w:p w14:paraId="5AA96994">
      <w:pPr>
        <w:pStyle w:val="2"/>
        <w:spacing w:before="93"/>
        <w:ind w:firstLine="600" w:firstLineChars="200"/>
        <w:rPr>
          <w:rFonts w:ascii="Times New Roman"/>
          <w:lang w:val="zh-CN"/>
        </w:rPr>
      </w:pPr>
      <w:r>
        <w:rPr>
          <w:rFonts w:ascii="Times New Roman"/>
          <w:lang w:val="zh-CN"/>
        </w:rPr>
        <w:t>2022年支出均达到绩效评价要求的进度。</w:t>
      </w:r>
    </w:p>
    <w:p w14:paraId="4A76275E">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（6）预算完成情况</w:t>
      </w:r>
    </w:p>
    <w:p w14:paraId="0B072520">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2022年年底预算实际支付进度为100%。</w:t>
      </w:r>
    </w:p>
    <w:p w14:paraId="127DB60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（7）资金结余率（低效无效率）</w:t>
      </w:r>
    </w:p>
    <w:p w14:paraId="1094D0C9">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2022年盐边县市场监督管理局资金结余率为0。</w:t>
      </w:r>
    </w:p>
    <w:p w14:paraId="38A4473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（8）违规记录</w:t>
      </w:r>
    </w:p>
    <w:p w14:paraId="0879988E">
      <w:pPr>
        <w:pStyle w:val="2"/>
        <w:spacing w:before="93"/>
        <w:ind w:firstLine="600" w:firstLineChars="200"/>
        <w:rPr>
          <w:rFonts w:ascii="Times New Roman"/>
          <w:lang w:val="zh-CN"/>
        </w:rPr>
      </w:pPr>
      <w:r>
        <w:rPr>
          <w:rFonts w:ascii="Times New Roman"/>
          <w:lang w:val="zh-CN"/>
        </w:rPr>
        <w:t>2022年无违规记录。</w:t>
      </w:r>
    </w:p>
    <w:p w14:paraId="71F2DAFF">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2.运转类项目绩效分析</w:t>
      </w:r>
    </w:p>
    <w:p w14:paraId="70267169">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（1）目标制定。</w:t>
      </w:r>
    </w:p>
    <w:p w14:paraId="3226BE2A">
      <w:pPr>
        <w:pStyle w:val="2"/>
        <w:spacing w:before="93"/>
        <w:ind w:firstLine="600" w:firstLineChars="200"/>
        <w:rPr>
          <w:rFonts w:ascii="Times New Roman"/>
          <w:lang w:val="zh-CN"/>
        </w:rPr>
      </w:pPr>
      <w:r>
        <w:rPr>
          <w:rFonts w:ascii="Times New Roman"/>
          <w:lang w:val="zh-CN"/>
        </w:rPr>
        <w:t>盐边县市场监督管理局按要求编报了部门预算项目绩效目标。根据部门整体支出绩效目标自评和项目支出绩效目标自评情况，盐边县市场监督管理局绩效目标编制科学合理、要素完整。</w:t>
      </w:r>
    </w:p>
    <w:p w14:paraId="0F3F6A00">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（2）目标实现</w:t>
      </w:r>
    </w:p>
    <w:p w14:paraId="4D79EE0E">
      <w:pPr>
        <w:pStyle w:val="2"/>
        <w:spacing w:before="93"/>
        <w:ind w:firstLine="600" w:firstLineChars="200"/>
        <w:rPr>
          <w:rFonts w:ascii="Times New Roman"/>
          <w:sz w:val="32"/>
          <w:szCs w:val="32"/>
          <w:shd w:val="clear" w:color="auto" w:fill="FFFFFF"/>
          <w:lang w:val="zh-CN"/>
        </w:rPr>
      </w:pPr>
      <w:r>
        <w:rPr>
          <w:rFonts w:ascii="Times New Roman"/>
        </w:rPr>
        <w:t>运转类支出：办公费103894.39元、印刷费5160元、水费28852.55元、电费27072.86元、邮电费9300元、差旅费185177.87元、维修（护）费50630元、租赁费1013.04元、培训费5520元、公务员接待费300元、劳务费50550元、委托业务费37800元、工会经费134709元、福利费94817.88元、公务用车运行维护费10000元、其他交通费496450元、其他商品和服务支出54460.99元，</w:t>
      </w:r>
      <w:r>
        <w:rPr>
          <w:rFonts w:ascii="Times New Roman"/>
          <w:sz w:val="32"/>
          <w:szCs w:val="32"/>
          <w:shd w:val="clear" w:color="auto" w:fill="FFFFFF"/>
          <w:lang w:val="zh-CN"/>
        </w:rPr>
        <w:t>目标完成率为100%。</w:t>
      </w:r>
    </w:p>
    <w:p w14:paraId="6A1AEE1D">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（3）支出控制</w:t>
      </w:r>
    </w:p>
    <w:p w14:paraId="60B83783">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2022年部门运转类经费和年初预算偏差度在10%以内。</w:t>
      </w:r>
    </w:p>
    <w:p w14:paraId="7A4A4F8B">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（4）及时处置</w:t>
      </w:r>
    </w:p>
    <w:p w14:paraId="3C12A5B4">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盐边县市场监督管理局财政拨款绩效监控调整取消额为0元，预算结余注销额为0元。</w:t>
      </w:r>
    </w:p>
    <w:p w14:paraId="26556566">
      <w:pPr>
        <w:widowControl/>
        <w:tabs>
          <w:tab w:val="center" w:pos="4473"/>
        </w:tabs>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（5）执行进度</w:t>
      </w:r>
      <w:r>
        <w:rPr>
          <w:rFonts w:eastAsia="仿宋_GB2312"/>
          <w:kern w:val="0"/>
          <w:sz w:val="32"/>
          <w:szCs w:val="32"/>
          <w:shd w:val="clear" w:color="auto" w:fill="FFFFFF"/>
          <w:lang w:val="zh-CN"/>
        </w:rPr>
        <w:tab/>
      </w:r>
    </w:p>
    <w:p w14:paraId="55AE432A">
      <w:pPr>
        <w:pStyle w:val="2"/>
        <w:spacing w:before="93"/>
        <w:ind w:firstLine="600" w:firstLineChars="200"/>
        <w:rPr>
          <w:rFonts w:ascii="Times New Roman"/>
          <w:lang w:val="zh-CN"/>
        </w:rPr>
      </w:pPr>
      <w:r>
        <w:rPr>
          <w:rFonts w:ascii="Times New Roman"/>
          <w:lang w:val="zh-CN"/>
        </w:rPr>
        <w:t>2022年支出均达到绩效评价要求的进度。</w:t>
      </w:r>
    </w:p>
    <w:p w14:paraId="385C8D47">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（6）预算完成情况</w:t>
      </w:r>
    </w:p>
    <w:p w14:paraId="063E4B10">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2022年年底预算实际支付进度为100%</w:t>
      </w:r>
    </w:p>
    <w:p w14:paraId="49BBC536">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（7）资金结余率（低效无效率）</w:t>
      </w:r>
    </w:p>
    <w:p w14:paraId="34B39095">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2022年盐边县市场监督管理局资金结余率为0。</w:t>
      </w:r>
    </w:p>
    <w:p w14:paraId="2FDF4F9A">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（8）违规记录</w:t>
      </w:r>
    </w:p>
    <w:p w14:paraId="71A4027E">
      <w:pPr>
        <w:pStyle w:val="2"/>
        <w:spacing w:before="93"/>
        <w:ind w:firstLine="600" w:firstLineChars="200"/>
        <w:rPr>
          <w:rFonts w:ascii="Times New Roman"/>
          <w:lang w:val="zh-CN"/>
        </w:rPr>
      </w:pPr>
      <w:r>
        <w:rPr>
          <w:rFonts w:ascii="Times New Roman"/>
          <w:lang w:val="zh-CN"/>
        </w:rPr>
        <w:t>2022年无违规记录。</w:t>
      </w:r>
    </w:p>
    <w:p w14:paraId="45CDCA23">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3.特定目标类项目绩效分析</w:t>
      </w:r>
    </w:p>
    <w:p w14:paraId="4B0DAE0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（1）目标制定。</w:t>
      </w:r>
    </w:p>
    <w:p w14:paraId="36CE58AE">
      <w:pPr>
        <w:pStyle w:val="2"/>
        <w:spacing w:before="93"/>
        <w:ind w:firstLine="600" w:firstLineChars="200"/>
        <w:rPr>
          <w:rFonts w:ascii="Times New Roman"/>
          <w:lang w:val="zh-CN"/>
        </w:rPr>
      </w:pPr>
      <w:r>
        <w:rPr>
          <w:rFonts w:ascii="Times New Roman"/>
          <w:lang w:val="zh-CN"/>
        </w:rPr>
        <w:t>盐边县市场监督管理局按要求编报了部门预算项目绩效目标。根据部门整体支出绩效目标自评和项目支出绩效目标自评情况，盐边县市场监督管理局绩效目标编制科学合理、要素完整。</w:t>
      </w:r>
    </w:p>
    <w:p w14:paraId="4F6DF86B">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（2）目标实现</w:t>
      </w:r>
    </w:p>
    <w:p w14:paraId="0E7E268E">
      <w:pPr>
        <w:pStyle w:val="2"/>
        <w:spacing w:before="93"/>
        <w:ind w:firstLine="640" w:firstLineChars="200"/>
        <w:rPr>
          <w:rFonts w:ascii="Times New Roman"/>
          <w:lang w:val="zh-CN"/>
        </w:rPr>
      </w:pPr>
      <w:r>
        <w:rPr>
          <w:rFonts w:ascii="Times New Roman"/>
          <w:color w:val="000000" w:themeColor="text1"/>
          <w:sz w:val="32"/>
          <w:szCs w:val="32"/>
          <w:shd w:val="clear" w:color="auto" w:fill="FFFFFF"/>
          <w14:textFill>
            <w14:solidFill>
              <w14:schemeClr w14:val="tx1"/>
            </w14:solidFill>
          </w14:textFill>
        </w:rPr>
        <w:t>特定目标类项目支出：办公费17850元、印刷费40010元、邮电费103147.37元、差旅费76339.13元、租赁费156200元、劳务费230400元、委托业务费501200元、其他商品和服务支出140239.57元，</w:t>
      </w:r>
      <w:r>
        <w:rPr>
          <w:rFonts w:ascii="Times New Roman"/>
          <w:sz w:val="32"/>
          <w:szCs w:val="32"/>
          <w:shd w:val="clear" w:color="auto" w:fill="FFFFFF"/>
          <w:lang w:val="zh-CN"/>
        </w:rPr>
        <w:t>目标完成率为100%。</w:t>
      </w:r>
    </w:p>
    <w:p w14:paraId="1A721A7C">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（3）支出控制</w:t>
      </w:r>
    </w:p>
    <w:p w14:paraId="232C777F">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2022年部门特定项目类经费和年初预算偏差度在10%以内。</w:t>
      </w:r>
    </w:p>
    <w:p w14:paraId="6810238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（4）及时处置</w:t>
      </w:r>
    </w:p>
    <w:p w14:paraId="16C14781">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盐边县市场监督管理局财政拨款绩效监控调整取消额为0元，预算结余注销额为0元。</w:t>
      </w:r>
    </w:p>
    <w:p w14:paraId="3A699D7A">
      <w:pPr>
        <w:widowControl/>
        <w:tabs>
          <w:tab w:val="center" w:pos="4473"/>
        </w:tabs>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（5）执行进度</w:t>
      </w:r>
      <w:r>
        <w:rPr>
          <w:rFonts w:eastAsia="仿宋_GB2312"/>
          <w:kern w:val="0"/>
          <w:sz w:val="32"/>
          <w:szCs w:val="32"/>
          <w:shd w:val="clear" w:color="auto" w:fill="FFFFFF"/>
          <w:lang w:val="zh-CN"/>
        </w:rPr>
        <w:tab/>
      </w:r>
    </w:p>
    <w:p w14:paraId="44140DED">
      <w:pPr>
        <w:pStyle w:val="2"/>
        <w:spacing w:before="93"/>
        <w:ind w:firstLine="600" w:firstLineChars="200"/>
        <w:rPr>
          <w:rFonts w:ascii="Times New Roman"/>
          <w:lang w:val="zh-CN"/>
        </w:rPr>
      </w:pPr>
      <w:r>
        <w:rPr>
          <w:rFonts w:ascii="Times New Roman"/>
          <w:lang w:val="zh-CN"/>
        </w:rPr>
        <w:t>2022年支出均达到绩效评价要求的进度。</w:t>
      </w:r>
    </w:p>
    <w:p w14:paraId="0EE280DC">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（6）预算完成情况</w:t>
      </w:r>
    </w:p>
    <w:p w14:paraId="1024044A">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2022年年底预算实际支付进度为100%</w:t>
      </w:r>
    </w:p>
    <w:p w14:paraId="64A17185">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（7）资金结余率（低效无效率）</w:t>
      </w:r>
    </w:p>
    <w:p w14:paraId="7F67A505">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2022年盐边县市场监督管理局资金结余率为0。</w:t>
      </w:r>
    </w:p>
    <w:p w14:paraId="5275914B">
      <w:pPr>
        <w:widowControl/>
        <w:adjustRightInd w:val="0"/>
        <w:snapToGrid w:val="0"/>
        <w:spacing w:line="560"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（8）违规记录</w:t>
      </w:r>
    </w:p>
    <w:p w14:paraId="71829C05">
      <w:pPr>
        <w:pStyle w:val="2"/>
        <w:spacing w:before="93"/>
        <w:ind w:firstLine="600" w:firstLineChars="200"/>
        <w:rPr>
          <w:rFonts w:ascii="Times New Roman"/>
          <w:lang w:val="zh-CN"/>
        </w:rPr>
      </w:pPr>
      <w:r>
        <w:rPr>
          <w:rFonts w:ascii="Times New Roman"/>
          <w:lang w:val="zh-CN"/>
        </w:rPr>
        <w:t>2022年无违规记录。</w:t>
      </w:r>
    </w:p>
    <w:p w14:paraId="422A20DB">
      <w:pPr>
        <w:widowControl/>
        <w:adjustRightInd w:val="0"/>
        <w:snapToGrid w:val="0"/>
        <w:spacing w:line="560" w:lineRule="exact"/>
        <w:ind w:firstLine="643"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（二）部门整体履职绩效分析。</w:t>
      </w:r>
    </w:p>
    <w:p w14:paraId="0E06E370">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2022年年底盐边县市场监督管理局完成了年初制定的绩效目标。</w:t>
      </w:r>
    </w:p>
    <w:p w14:paraId="3321AFF1">
      <w:pPr>
        <w:widowControl/>
        <w:adjustRightInd w:val="0"/>
        <w:snapToGrid w:val="0"/>
        <w:spacing w:line="560" w:lineRule="exact"/>
        <w:ind w:firstLine="643"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（三）结果应用情况。</w:t>
      </w:r>
    </w:p>
    <w:p w14:paraId="730F6AFF">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int="eastAsia"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内部应用</w:t>
      </w:r>
    </w:p>
    <w:p w14:paraId="4AF80E92">
      <w:pPr>
        <w:pStyle w:val="2"/>
        <w:spacing w:before="93"/>
        <w:rPr>
          <w:rFonts w:ascii="Times New Roman"/>
          <w:lang w:val="zh-CN"/>
        </w:rPr>
      </w:pPr>
      <w:r>
        <w:rPr>
          <w:rFonts w:ascii="Times New Roman"/>
          <w:lang w:val="zh-CN"/>
        </w:rPr>
        <w:t xml:space="preserve">    盐边县市场监督管理局建立“预算编制有目标、预算执行有监控、预算完成有评价、评价结果有反馈、反馈结果有应用”的全过程预算绩效管理机制。</w:t>
      </w:r>
    </w:p>
    <w:p w14:paraId="30D32A02">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2.自评公开</w:t>
      </w:r>
    </w:p>
    <w:p w14:paraId="7F4F54B7">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盐边县市场监督管理局按照县财政局要求，将部门整体绩效自评情况随同部门决算一并向社会公开。</w:t>
      </w:r>
    </w:p>
    <w:p w14:paraId="03D3DC3C">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3.问题整改</w:t>
      </w:r>
    </w:p>
    <w:p w14:paraId="2A0B2CD8">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盐边县市场监督管理局对绩效目标核查、绩效监控核查和重点绩效评价提出的问题进行认真整改，将绩效管理结果应用于完善单位制度，改进管理等方面。</w:t>
      </w:r>
    </w:p>
    <w:p w14:paraId="0121CEF8">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4.应用反馈等情况</w:t>
      </w:r>
    </w:p>
    <w:p w14:paraId="5EB4CCD8">
      <w:pPr>
        <w:pStyle w:val="2"/>
        <w:spacing w:before="93"/>
        <w:ind w:firstLine="600" w:firstLineChars="200"/>
        <w:rPr>
          <w:rFonts w:ascii="Times New Roman"/>
          <w:lang w:val="zh-CN"/>
        </w:rPr>
      </w:pPr>
      <w:r>
        <w:rPr>
          <w:rFonts w:ascii="Times New Roman"/>
          <w:lang w:val="zh-CN"/>
        </w:rPr>
        <w:t>盐边县市场监督管理局按照县财政局要求，及时报告了部门反馈应用绩效结果情况。</w:t>
      </w:r>
    </w:p>
    <w:p w14:paraId="6305D720">
      <w:pPr>
        <w:widowControl/>
        <w:numPr>
          <w:ilvl w:val="0"/>
          <w:numId w:val="7"/>
        </w:numPr>
        <w:adjustRightInd w:val="0"/>
        <w:snapToGrid w:val="0"/>
        <w:spacing w:line="560" w:lineRule="exact"/>
        <w:ind w:firstLine="643"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自评质量。</w:t>
      </w:r>
    </w:p>
    <w:p w14:paraId="2DA4245D">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本单位严格按照预算编制相关文件的要求，认真贯彻执行《中华人民共和国预算法》，结合县委、县政府安排部署和办公室2022年工作要点，抓好机关支出预算结构的优化和调整。严格控制一般性支出，细化“三公”经费预算管理，继续按照“零增长”的原则编制“三公”经费预算，科学、真实、准确、全面地反映部门收支情况。在预算执行过程中，一是严格按照年度预算安排及国库管理制度有关规定，基本支出按序时进度支付，项目支出围绕绩效目标，按规定程序及时支付。二是严格执行中央八项规定精神、《党政机关厉行节约反对浪费条例》等若干规定，从严从紧控制“三公”经费、会议费、培训费等一般性支出，认真执行公务卡强制结算。</w:t>
      </w:r>
    </w:p>
    <w:p w14:paraId="37DF3749">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认真开展部门绩效评价工作。从整体上看，2022年度，我局资金管理规范，政策执行有力，有效发挥了财政资金的使用效率。绩效目标基本达成，服务对象满意度达100%，并取得了良好的社会效益。部门整体支出自评准确情况为100%。</w:t>
      </w:r>
    </w:p>
    <w:p w14:paraId="240AC477">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四、评价结论及建议</w:t>
      </w:r>
    </w:p>
    <w:p w14:paraId="2E6E45B8">
      <w:pPr>
        <w:pStyle w:val="30"/>
        <w:widowControl/>
        <w:numPr>
          <w:ilvl w:val="0"/>
          <w:numId w:val="8"/>
        </w:numPr>
        <w:adjustRightInd w:val="0"/>
        <w:snapToGrid w:val="0"/>
        <w:spacing w:line="560" w:lineRule="exact"/>
        <w:ind w:firstLineChars="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评价结论。</w:t>
      </w:r>
    </w:p>
    <w:p w14:paraId="4129954A">
      <w:pPr>
        <w:pStyle w:val="2"/>
        <w:snapToGrid w:val="0"/>
        <w:spacing w:beforeLines="0" w:line="560" w:lineRule="exact"/>
        <w:ind w:firstLine="640" w:firstLineChars="200"/>
        <w:contextualSpacing/>
        <w:rPr>
          <w:rFonts w:ascii="Times New Roman"/>
          <w:color w:val="000000" w:themeColor="text1"/>
          <w:sz w:val="32"/>
          <w:szCs w:val="32"/>
          <w:shd w:val="clear" w:color="auto" w:fill="FFFFFF"/>
          <w14:textFill>
            <w14:solidFill>
              <w14:schemeClr w14:val="tx1"/>
            </w14:solidFill>
          </w14:textFill>
        </w:rPr>
      </w:pPr>
      <w:r>
        <w:rPr>
          <w:rFonts w:ascii="Times New Roman"/>
          <w:color w:val="000000" w:themeColor="text1"/>
          <w:sz w:val="32"/>
          <w:szCs w:val="32"/>
          <w:shd w:val="clear" w:color="auto" w:fill="FFFFFF"/>
          <w14:textFill>
            <w14:solidFill>
              <w14:schemeClr w14:val="tx1"/>
            </w14:solidFill>
          </w14:textFill>
        </w:rPr>
        <w:t>2022年，</w:t>
      </w:r>
      <w:r>
        <w:rPr>
          <w:rFonts w:hint="eastAsia" w:ascii="Times New Roman"/>
          <w:color w:val="000000" w:themeColor="text1"/>
          <w:sz w:val="32"/>
          <w:szCs w:val="32"/>
          <w:shd w:val="clear" w:color="auto" w:fill="FFFFFF"/>
          <w14:textFill>
            <w14:solidFill>
              <w14:schemeClr w14:val="tx1"/>
            </w14:solidFill>
          </w14:textFill>
        </w:rPr>
        <w:t>盐边县市场监督管理局</w:t>
      </w:r>
      <w:r>
        <w:rPr>
          <w:rFonts w:ascii="Times New Roman"/>
          <w:color w:val="000000" w:themeColor="text1"/>
          <w:sz w:val="32"/>
          <w:szCs w:val="32"/>
          <w:shd w:val="clear" w:color="auto" w:fill="FFFFFF"/>
          <w14:textFill>
            <w14:solidFill>
              <w14:schemeClr w14:val="tx1"/>
            </w14:solidFill>
          </w14:textFill>
        </w:rPr>
        <w:t>财政资金的使用本着量入为出的原则，合理使用财政资金，保人员支出，保重点工作急需的支出，在县委的坚强领导下，坚持以习近平新时代中国特色社会主义思想为指导，深入</w:t>
      </w:r>
      <w:bookmarkStart w:id="67" w:name="_GoBack"/>
      <w:bookmarkEnd w:id="67"/>
      <w:r>
        <w:rPr>
          <w:rFonts w:ascii="Times New Roman"/>
          <w:color w:val="000000" w:themeColor="text1"/>
          <w:sz w:val="32"/>
          <w:szCs w:val="32"/>
          <w:shd w:val="clear" w:color="auto" w:fill="FFFFFF"/>
          <w14:textFill>
            <w14:solidFill>
              <w14:schemeClr w14:val="tx1"/>
            </w14:solidFill>
          </w14:textFill>
        </w:rPr>
        <w:t>贯彻落实党的十九届五中、六中全会精神，认真学习贯彻省委十一届九次、十次全会精神，全面贯彻市第七次党代会、市委七届二次全会精神，坚持围绕中心、服务大局、担当作为，坚持一流形象、一流服务、一流保障，坚持极端负责、极致追求、极限挑战，紧紧围绕县委中心工作，全力推动党中央大政方针、省委决策部署和市委工作要求落地落实，保证了机关工作的优质规范高效运转。</w:t>
      </w:r>
    </w:p>
    <w:p w14:paraId="3C03AFB1">
      <w:pPr>
        <w:pStyle w:val="30"/>
        <w:widowControl/>
        <w:numPr>
          <w:ilvl w:val="0"/>
          <w:numId w:val="8"/>
        </w:numPr>
        <w:adjustRightInd w:val="0"/>
        <w:snapToGrid w:val="0"/>
        <w:spacing w:line="560" w:lineRule="exact"/>
        <w:ind w:firstLineChars="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存在问题。</w:t>
      </w:r>
    </w:p>
    <w:p w14:paraId="596ECBBD">
      <w:pPr>
        <w:widowControl/>
        <w:adjustRightInd w:val="0"/>
        <w:snapToGrid w:val="0"/>
        <w:spacing w:line="560"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1.绩效目标编制中的绩效指标还有待进一步细化和量化。</w:t>
      </w:r>
    </w:p>
    <w:p w14:paraId="5C90E59A">
      <w:pPr>
        <w:widowControl/>
        <w:adjustRightInd w:val="0"/>
        <w:snapToGrid w:val="0"/>
        <w:spacing w:line="560"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2.预算编制和执行存在差异。由于工作安排原因，存在预算执行进度不均衡，项目资金使用“前松后紧”。</w:t>
      </w:r>
    </w:p>
    <w:p w14:paraId="252E41D7">
      <w:pPr>
        <w:widowControl/>
        <w:adjustRightInd w:val="0"/>
        <w:snapToGrid w:val="0"/>
        <w:spacing w:line="560" w:lineRule="exact"/>
        <w:ind w:firstLine="643"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eastAsia="楷体_GB2312"/>
          <w:b/>
          <w:bCs/>
          <w:color w:val="000000" w:themeColor="text1"/>
          <w:kern w:val="0"/>
          <w:sz w:val="32"/>
          <w:szCs w:val="32"/>
          <w:shd w:val="clear" w:color="auto" w:fill="FFFFFF"/>
          <w:lang w:val="zh-CN"/>
          <w14:textFill>
            <w14:solidFill>
              <w14:schemeClr w14:val="tx1"/>
            </w14:solidFill>
          </w14:textFill>
        </w:rPr>
        <w:t>（三）改进建议。</w:t>
      </w:r>
    </w:p>
    <w:p w14:paraId="6471C2DA">
      <w:pPr>
        <w:pStyle w:val="2"/>
        <w:spacing w:beforeLines="0" w:line="560" w:lineRule="exact"/>
        <w:ind w:firstLine="600" w:firstLineChars="200"/>
        <w:rPr>
          <w:rFonts w:ascii="Times New Roman"/>
          <w:lang w:val="zh-CN"/>
        </w:rPr>
      </w:pPr>
      <w:r>
        <w:rPr>
          <w:rFonts w:ascii="Times New Roman"/>
          <w:lang w:val="zh-CN"/>
        </w:rPr>
        <w:t>提高预算管理水平，提高预算执行进度。加强项目前</w:t>
      </w:r>
    </w:p>
    <w:p w14:paraId="5301CC5F">
      <w:pPr>
        <w:pStyle w:val="2"/>
        <w:spacing w:beforeLines="0" w:line="560" w:lineRule="exact"/>
        <w:rPr>
          <w:rFonts w:ascii="Times New Roman"/>
          <w:lang w:val="zh-CN"/>
        </w:rPr>
      </w:pPr>
      <w:r>
        <w:rPr>
          <w:rFonts w:ascii="Times New Roman"/>
          <w:lang w:val="zh-CN"/>
        </w:rPr>
        <w:t>期论证和准备工作，充分了解预算需求，合理安排支出结构，</w:t>
      </w:r>
    </w:p>
    <w:p w14:paraId="3D6D68B3">
      <w:pPr>
        <w:pStyle w:val="2"/>
        <w:spacing w:beforeLines="0" w:line="560" w:lineRule="exact"/>
        <w:rPr>
          <w:rFonts w:ascii="Times New Roman"/>
          <w:lang w:val="zh-CN"/>
        </w:rPr>
      </w:pPr>
      <w:r>
        <w:rPr>
          <w:rFonts w:ascii="Times New Roman"/>
          <w:lang w:val="zh-CN"/>
        </w:rPr>
        <w:t>提高预算编制的准确度。同时，积极运用绩效监控结果指导</w:t>
      </w:r>
    </w:p>
    <w:p w14:paraId="1FB1B61C">
      <w:pPr>
        <w:pStyle w:val="2"/>
        <w:spacing w:beforeLines="0" w:line="560" w:lineRule="exact"/>
        <w:rPr>
          <w:rFonts w:ascii="Times New Roman"/>
          <w:lang w:val="zh-CN"/>
        </w:rPr>
      </w:pPr>
      <w:r>
        <w:rPr>
          <w:rFonts w:ascii="Times New Roman"/>
          <w:lang w:val="zh-CN"/>
        </w:rPr>
        <w:t>预算调整，提高预算编制与预算执行的一致性，强化预算精</w:t>
      </w:r>
    </w:p>
    <w:p w14:paraId="0C270E78">
      <w:pPr>
        <w:pStyle w:val="2"/>
        <w:spacing w:beforeLines="0" w:line="560" w:lineRule="exact"/>
        <w:rPr>
          <w:rFonts w:ascii="Times New Roman"/>
          <w:lang w:val="zh-CN"/>
        </w:rPr>
      </w:pPr>
      <w:r>
        <w:rPr>
          <w:rFonts w:ascii="Times New Roman"/>
          <w:lang w:val="zh-CN"/>
        </w:rPr>
        <w:t>细化管理水平。</w:t>
      </w:r>
    </w:p>
    <w:p w14:paraId="004F55A5">
      <w:pPr>
        <w:pStyle w:val="2"/>
        <w:spacing w:before="93"/>
        <w:rPr>
          <w:rFonts w:ascii="Times New Roman"/>
          <w:sz w:val="32"/>
          <w:szCs w:val="32"/>
          <w:shd w:val="clear" w:color="auto" w:fill="FFFFFF"/>
          <w:lang w:val="zh-CN"/>
        </w:rPr>
      </w:pPr>
    </w:p>
    <w:p w14:paraId="1F03120A">
      <w:pPr>
        <w:pStyle w:val="2"/>
        <w:spacing w:before="93"/>
        <w:rPr>
          <w:rFonts w:ascii="Times New Roman"/>
          <w:sz w:val="32"/>
          <w:szCs w:val="32"/>
        </w:rPr>
      </w:pPr>
      <w:r>
        <w:rPr>
          <w:rFonts w:ascii="Times New Roman"/>
          <w:sz w:val="32"/>
          <w:szCs w:val="32"/>
          <w:shd w:val="clear" w:color="auto" w:fill="FFFFFF"/>
          <w:lang w:val="zh-CN"/>
        </w:rPr>
        <w:t>附件</w:t>
      </w:r>
      <w:r>
        <w:rPr>
          <w:rFonts w:ascii="Times New Roman"/>
          <w:sz w:val="32"/>
          <w:szCs w:val="32"/>
          <w:shd w:val="clear" w:color="auto" w:fill="FFFFFF"/>
        </w:rPr>
        <w:t>2</w:t>
      </w:r>
    </w:p>
    <w:p w14:paraId="04ACF73F">
      <w:pPr>
        <w:pStyle w:val="33"/>
        <w:spacing w:line="578" w:lineRule="exact"/>
        <w:jc w:val="center"/>
        <w:rPr>
          <w:rFonts w:ascii="Times New Roman" w:hAnsi="Times New Roman" w:eastAsia="方正小标宋简体"/>
          <w:color w:val="FF0000"/>
          <w:kern w:val="2"/>
          <w:sz w:val="32"/>
          <w:szCs w:val="32"/>
          <w:lang w:val="en-US"/>
        </w:rPr>
      </w:pPr>
      <w:r>
        <w:rPr>
          <w:rFonts w:ascii="Times New Roman" w:hAnsi="Times New Roman" w:eastAsia="方正小标宋简体"/>
          <w:color w:val="000000" w:themeColor="text1"/>
          <w:kern w:val="2"/>
          <w:sz w:val="32"/>
          <w:szCs w:val="32"/>
          <w:lang w:val="en-US"/>
          <w14:textFill>
            <w14:solidFill>
              <w14:schemeClr w14:val="tx1"/>
            </w14:solidFill>
          </w14:textFill>
        </w:rPr>
        <w:t>2022年药品监督抽检专项资金预算项目绩效自评报告</w:t>
      </w:r>
    </w:p>
    <w:p w14:paraId="5A186BEC">
      <w:pPr>
        <w:pStyle w:val="33"/>
        <w:spacing w:line="578" w:lineRule="exact"/>
        <w:ind w:firstLine="640"/>
        <w:jc w:val="center"/>
        <w:rPr>
          <w:rFonts w:ascii="Times New Roman" w:hAnsi="Times New Roman"/>
          <w:color w:val="auto"/>
          <w:kern w:val="2"/>
          <w:sz w:val="32"/>
          <w:szCs w:val="32"/>
        </w:rPr>
      </w:pPr>
    </w:p>
    <w:p w14:paraId="0CB29A5C">
      <w:pPr>
        <w:adjustRightInd w:val="0"/>
        <w:snapToGrid w:val="0"/>
        <w:spacing w:line="578" w:lineRule="exact"/>
        <w:ind w:firstLine="720"/>
        <w:rPr>
          <w:rFonts w:eastAsia="黑体"/>
          <w:sz w:val="32"/>
          <w:szCs w:val="32"/>
          <w:lang w:val="zh-CN"/>
        </w:rPr>
      </w:pPr>
      <w:r>
        <w:rPr>
          <w:rFonts w:eastAsia="黑体"/>
          <w:sz w:val="32"/>
          <w:szCs w:val="32"/>
        </w:rPr>
        <w:t>一、</w:t>
      </w:r>
      <w:r>
        <w:rPr>
          <w:rFonts w:eastAsia="黑体"/>
          <w:sz w:val="32"/>
          <w:szCs w:val="32"/>
          <w:lang w:val="zh-CN"/>
        </w:rPr>
        <w:t>项目概况</w:t>
      </w:r>
    </w:p>
    <w:p w14:paraId="7D733CCF">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（一）项目基本情况。</w:t>
      </w:r>
    </w:p>
    <w:p w14:paraId="6F3C7EE8">
      <w:pPr>
        <w:pStyle w:val="2"/>
        <w:spacing w:before="93"/>
        <w:ind w:firstLine="600" w:firstLineChars="200"/>
        <w:rPr>
          <w:rFonts w:ascii="Times New Roman"/>
          <w:lang w:val="zh-CN"/>
        </w:rPr>
      </w:pPr>
      <w:r>
        <w:rPr>
          <w:rFonts w:ascii="Times New Roman"/>
          <w:lang w:val="zh-CN"/>
        </w:rPr>
        <w:t>为加强药品监管，保证药品的安全有效性，保护消费者的合法权益，净化市场环境。按《盐边县市场监督管理局职能配置、内设机构和人员编制规定》（盐边委办〔2019〕24号）“（十）负责药品、化妆品和医疗器械的质量管理、风险管理、安全监督和安全应急管理。承担全县药品零售、医疗器械经营的检查和处罚，以及化妆品经营和药品、医疗器械使用环节质量的安全监测、检查和处罚。参与市市场监管局组织的监督检查。监督实施问题产品召回和处置工作。参与执业药师注册及相关工作。”根据《中华人民共和国药品管理法》第一百条第一款“药品监督管理部门根据监督管理的需要，可以对药品质量进行抽查检验。抽查检验应当按照规定抽样，并不得收取任何费用；抽样应当购买样品。所需费用按照国务院规定列支。”</w:t>
      </w:r>
    </w:p>
    <w:p w14:paraId="5863F4E9">
      <w:pPr>
        <w:adjustRightInd w:val="0"/>
        <w:snapToGrid w:val="0"/>
        <w:spacing w:line="578" w:lineRule="exact"/>
        <w:ind w:firstLine="720"/>
        <w:rPr>
          <w:rFonts w:eastAsia="楷体_GB2312"/>
          <w:b/>
          <w:sz w:val="32"/>
          <w:szCs w:val="32"/>
          <w:lang w:val="zh-CN"/>
        </w:rPr>
      </w:pPr>
      <w:r>
        <w:rPr>
          <w:rFonts w:eastAsia="楷体_GB2312"/>
          <w:b/>
          <w:sz w:val="32"/>
          <w:szCs w:val="32"/>
          <w:lang w:val="zh-CN"/>
        </w:rPr>
        <w:t>（二）项目绩效目标。</w:t>
      </w:r>
    </w:p>
    <w:p w14:paraId="06278D28">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根据2020、2021年市局下达区域性药品抽检任务数均为20批次，预计2022年度区域性药品抽检任务数暂为20批次，抽检费用为3000元/批次，合计6万元。</w:t>
      </w:r>
    </w:p>
    <w:p w14:paraId="10165229">
      <w:pPr>
        <w:pStyle w:val="2"/>
        <w:spacing w:before="93"/>
        <w:ind w:firstLine="600" w:firstLineChars="200"/>
        <w:rPr>
          <w:rFonts w:ascii="Times New Roman"/>
          <w:lang w:val="zh-CN"/>
        </w:rPr>
      </w:pPr>
      <w:r>
        <w:rPr>
          <w:rFonts w:ascii="Times New Roman"/>
          <w:lang w:val="zh-CN"/>
        </w:rPr>
        <w:t>2022年预计完成药品监督抽检20个批次。质量指标：扩大抽样的覆盖面，增强监管抽检的威力，原则上一个经营使用单位仅抽一批次样品；中药饮片抽样批次应占抽样总批次的15%（±5%）。社会效益指标：力争区域性、系统性药品安全事件发生率为0。时效指标：8月30日前完成药品抽样，12月31日前完成检验。</w:t>
      </w:r>
      <w:r>
        <w:rPr>
          <w:rFonts w:ascii="Times New Roman"/>
          <w:lang w:val="zh-CN"/>
        </w:rPr>
        <w:tab/>
      </w:r>
    </w:p>
    <w:p w14:paraId="2B6A58AA">
      <w:pPr>
        <w:adjustRightInd w:val="0"/>
        <w:snapToGrid w:val="0"/>
        <w:spacing w:line="578" w:lineRule="exact"/>
        <w:ind w:firstLine="720"/>
        <w:rPr>
          <w:rFonts w:eastAsia="楷体_GB2312"/>
          <w:b/>
          <w:sz w:val="32"/>
          <w:szCs w:val="32"/>
          <w:lang w:val="zh-CN"/>
        </w:rPr>
      </w:pPr>
      <w:r>
        <w:rPr>
          <w:rFonts w:eastAsia="楷体_GB2312"/>
          <w:b/>
          <w:sz w:val="32"/>
          <w:szCs w:val="32"/>
          <w:lang w:val="zh-CN"/>
        </w:rPr>
        <w:t>（三）项目自评步骤及方法。</w:t>
      </w:r>
    </w:p>
    <w:p w14:paraId="2BC4905D">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1.确定自评目的；2.收集项目相关信息；3.评估项目进度；4.评估项目质量；5.评估项目风险；6.制定改进计划；7.跟踪实施；8.总结评估。</w:t>
      </w:r>
    </w:p>
    <w:p w14:paraId="7D73DBBA">
      <w:pPr>
        <w:adjustRightInd w:val="0"/>
        <w:snapToGrid w:val="0"/>
        <w:spacing w:line="578" w:lineRule="exact"/>
        <w:ind w:firstLine="720"/>
        <w:rPr>
          <w:rFonts w:eastAsia="黑体"/>
          <w:sz w:val="32"/>
          <w:szCs w:val="32"/>
        </w:rPr>
      </w:pPr>
      <w:r>
        <w:rPr>
          <w:rFonts w:eastAsia="黑体"/>
          <w:sz w:val="32"/>
          <w:szCs w:val="32"/>
        </w:rPr>
        <w:t>二、项目资金申报及使用情况</w:t>
      </w:r>
    </w:p>
    <w:p w14:paraId="25330059">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（一）项目资金申报及批复情况。</w:t>
      </w:r>
    </w:p>
    <w:p w14:paraId="1B4E2533">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2022年年初申报6万元，经财政局批复后的预算为6万元，无预算调整等情况。</w:t>
      </w:r>
    </w:p>
    <w:p w14:paraId="6C0FF71C">
      <w:pPr>
        <w:adjustRightInd w:val="0"/>
        <w:snapToGrid w:val="0"/>
        <w:spacing w:line="578" w:lineRule="exact"/>
        <w:ind w:firstLine="720"/>
        <w:rPr>
          <w:sz w:val="32"/>
          <w:szCs w:val="32"/>
          <w:lang w:val="zh-CN"/>
        </w:rPr>
      </w:pPr>
      <w:r>
        <w:rPr>
          <w:rFonts w:eastAsia="楷体_GB2312"/>
          <w:b/>
          <w:sz w:val="32"/>
          <w:szCs w:val="32"/>
          <w:lang w:val="zh-CN"/>
        </w:rPr>
        <w:t>（二）资金计划、到位及使用情况（可用表格形式反映）。</w:t>
      </w:r>
    </w:p>
    <w:p w14:paraId="0CBE7712">
      <w:pPr>
        <w:widowControl/>
        <w:adjustRightInd w:val="0"/>
        <w:snapToGrid w:val="0"/>
        <w:spacing w:line="578"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kern w:val="0"/>
          <w:sz w:val="32"/>
          <w:szCs w:val="32"/>
          <w:shd w:val="clear" w:color="auto" w:fill="FFFFFF"/>
          <w:lang w:val="zh-CN"/>
        </w:rPr>
        <w:t>1</w:t>
      </w:r>
      <w:r>
        <w:rPr>
          <w:rFonts w:eastAsia="仿宋_GB2312"/>
          <w:color w:val="000000" w:themeColor="text1"/>
          <w:kern w:val="0"/>
          <w:sz w:val="32"/>
          <w:szCs w:val="32"/>
          <w:shd w:val="clear" w:color="auto" w:fill="FFFFFF"/>
          <w:lang w:val="zh-CN"/>
          <w14:textFill>
            <w14:solidFill>
              <w14:schemeClr w14:val="tx1"/>
            </w14:solidFill>
          </w14:textFill>
        </w:rPr>
        <w:t>．资金计划。</w:t>
      </w:r>
    </w:p>
    <w:p w14:paraId="0E37B4AA">
      <w:pPr>
        <w:pStyle w:val="2"/>
        <w:spacing w:before="93"/>
        <w:ind w:firstLine="600" w:firstLineChars="200"/>
        <w:rPr>
          <w:rFonts w:ascii="Times New Roman"/>
          <w:lang w:val="zh-CN"/>
        </w:rPr>
      </w:pPr>
      <w:r>
        <w:rPr>
          <w:rFonts w:ascii="Times New Roman"/>
          <w:lang w:val="zh-CN"/>
        </w:rPr>
        <w:t>该项目的资金全部由县财政保障。</w:t>
      </w:r>
    </w:p>
    <w:p w14:paraId="63A356BB">
      <w:pPr>
        <w:widowControl/>
        <w:adjustRightInd w:val="0"/>
        <w:snapToGrid w:val="0"/>
        <w:spacing w:line="578"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2．资金到位。</w:t>
      </w:r>
    </w:p>
    <w:p w14:paraId="4B6925D2">
      <w:pPr>
        <w:widowControl/>
        <w:adjustRightInd w:val="0"/>
        <w:snapToGrid w:val="0"/>
        <w:spacing w:line="578"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该项目的资金经县财政审核后到账及时，能保障药品抽检项目的及时开展。</w:t>
      </w:r>
    </w:p>
    <w:p w14:paraId="5158BFF2">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3．资金使用。</w:t>
      </w:r>
    </w:p>
    <w:p w14:paraId="57D8E017">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截止12月31日为止项目资金已经全部使用完毕。6万全部用于药品抽检项目，项目完成时先由工作人员审核资料是否完整、正确，再交由领导审核，资金支付全部是对公转账，严禁现金支付，流程符合规定。</w:t>
      </w:r>
    </w:p>
    <w:p w14:paraId="73193AD1">
      <w:pPr>
        <w:adjustRightInd w:val="0"/>
        <w:snapToGrid w:val="0"/>
        <w:spacing w:line="578" w:lineRule="exact"/>
        <w:ind w:firstLine="720"/>
        <w:rPr>
          <w:rFonts w:eastAsia="楷体_GB2312"/>
          <w:b/>
          <w:sz w:val="32"/>
          <w:szCs w:val="32"/>
          <w:lang w:val="zh-CN"/>
        </w:rPr>
      </w:pPr>
      <w:r>
        <w:rPr>
          <w:rFonts w:eastAsia="楷体_GB2312"/>
          <w:b/>
          <w:sz w:val="32"/>
          <w:szCs w:val="32"/>
          <w:lang w:val="zh-CN"/>
        </w:rPr>
        <w:t>（三）项目财务管理情况。</w:t>
      </w:r>
    </w:p>
    <w:p w14:paraId="518D7B93">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项目实施时单位财务管理制度健全，严格执行财务管理制度，账务处理及时，会计核算规范。</w:t>
      </w:r>
    </w:p>
    <w:p w14:paraId="15AED706">
      <w:pPr>
        <w:adjustRightInd w:val="0"/>
        <w:snapToGrid w:val="0"/>
        <w:spacing w:line="578" w:lineRule="exact"/>
        <w:ind w:firstLine="720"/>
        <w:rPr>
          <w:rFonts w:eastAsia="黑体"/>
          <w:sz w:val="32"/>
          <w:szCs w:val="32"/>
        </w:rPr>
      </w:pPr>
      <w:r>
        <w:rPr>
          <w:rFonts w:eastAsia="黑体"/>
          <w:sz w:val="32"/>
          <w:szCs w:val="32"/>
        </w:rPr>
        <w:t>三、项目实施及管理情况</w:t>
      </w:r>
    </w:p>
    <w:p w14:paraId="087D14F3">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结合项目组织实施管理办法，重点围绕以下内容进行分析评价，并对自评中发现的问题分析说明。</w:t>
      </w:r>
    </w:p>
    <w:p w14:paraId="14A5A8FC">
      <w:pPr>
        <w:pStyle w:val="30"/>
        <w:numPr>
          <w:ilvl w:val="0"/>
          <w:numId w:val="9"/>
        </w:numPr>
        <w:adjustRightInd w:val="0"/>
        <w:snapToGrid w:val="0"/>
        <w:spacing w:line="578" w:lineRule="exact"/>
        <w:ind w:firstLineChars="0"/>
        <w:rPr>
          <w:rFonts w:eastAsia="楷体_GB2312"/>
          <w:b/>
          <w:sz w:val="32"/>
          <w:szCs w:val="32"/>
          <w:lang w:val="zh-CN"/>
        </w:rPr>
      </w:pPr>
      <w:r>
        <w:rPr>
          <w:rFonts w:eastAsia="楷体_GB2312"/>
          <w:b/>
          <w:sz w:val="32"/>
          <w:szCs w:val="32"/>
          <w:lang w:val="zh-CN"/>
        </w:rPr>
        <w:t>项目组织架构及实施流程。</w:t>
      </w:r>
    </w:p>
    <w:p w14:paraId="38DAB92E">
      <w:pPr>
        <w:pStyle w:val="2"/>
        <w:spacing w:before="93"/>
        <w:ind w:firstLine="600" w:firstLineChars="200"/>
        <w:rPr>
          <w:rFonts w:ascii="Times New Roman"/>
          <w:lang w:val="zh-CN"/>
        </w:rPr>
      </w:pPr>
      <w:r>
        <w:rPr>
          <w:rFonts w:ascii="Times New Roman"/>
          <w:lang w:val="zh-CN"/>
        </w:rPr>
        <w:t>根据工作情况综合考虑，经党组会审议进行预算项目申报，资金使用按照财务管理制度执行。</w:t>
      </w:r>
    </w:p>
    <w:p w14:paraId="0A24259E">
      <w:pPr>
        <w:pStyle w:val="30"/>
        <w:numPr>
          <w:ilvl w:val="0"/>
          <w:numId w:val="9"/>
        </w:numPr>
        <w:adjustRightInd w:val="0"/>
        <w:snapToGrid w:val="0"/>
        <w:spacing w:line="578" w:lineRule="exact"/>
        <w:ind w:firstLineChars="0"/>
        <w:rPr>
          <w:rFonts w:eastAsia="楷体_GB2312"/>
          <w:b/>
          <w:sz w:val="32"/>
          <w:szCs w:val="32"/>
          <w:lang w:val="zh-CN"/>
        </w:rPr>
      </w:pPr>
      <w:r>
        <w:rPr>
          <w:rFonts w:eastAsia="楷体_GB2312"/>
          <w:b/>
          <w:sz w:val="32"/>
          <w:szCs w:val="32"/>
          <w:lang w:val="zh-CN"/>
        </w:rPr>
        <w:t>项目管理情况。</w:t>
      </w:r>
    </w:p>
    <w:p w14:paraId="7C581D24">
      <w:pPr>
        <w:adjustRightInd w:val="0"/>
        <w:snapToGrid w:val="0"/>
        <w:spacing w:line="578" w:lineRule="exact"/>
        <w:ind w:left="720"/>
        <w:rPr>
          <w:rFonts w:eastAsia="仿宋_GB2312"/>
          <w:kern w:val="0"/>
          <w:sz w:val="32"/>
          <w:szCs w:val="32"/>
          <w:shd w:val="clear" w:color="auto" w:fill="FFFFFF"/>
          <w:lang w:val="zh-CN"/>
        </w:rPr>
      </w:pPr>
      <w:r>
        <w:rPr>
          <w:rFonts w:eastAsia="仿宋_GB2312"/>
          <w:kern w:val="0"/>
          <w:sz w:val="32"/>
          <w:szCs w:val="32"/>
          <w:shd w:val="clear" w:color="auto" w:fill="FFFFFF"/>
          <w:lang w:val="zh-CN"/>
        </w:rPr>
        <w:t>按合同约定及时支付。</w:t>
      </w:r>
    </w:p>
    <w:p w14:paraId="4946EF8B">
      <w:pPr>
        <w:pStyle w:val="30"/>
        <w:numPr>
          <w:ilvl w:val="0"/>
          <w:numId w:val="9"/>
        </w:numPr>
        <w:adjustRightInd w:val="0"/>
        <w:snapToGrid w:val="0"/>
        <w:spacing w:line="578" w:lineRule="exact"/>
        <w:ind w:firstLineChars="0"/>
        <w:rPr>
          <w:rFonts w:eastAsia="楷体_GB2312"/>
          <w:b/>
          <w:sz w:val="32"/>
          <w:szCs w:val="32"/>
          <w:lang w:val="zh-CN"/>
        </w:rPr>
      </w:pPr>
      <w:r>
        <w:rPr>
          <w:rFonts w:eastAsia="楷体_GB2312"/>
          <w:b/>
          <w:sz w:val="32"/>
          <w:szCs w:val="32"/>
          <w:lang w:val="zh-CN"/>
        </w:rPr>
        <w:t>项目监管情况。</w:t>
      </w:r>
    </w:p>
    <w:p w14:paraId="52239F99">
      <w:pPr>
        <w:adjustRightInd w:val="0"/>
        <w:snapToGrid w:val="0"/>
        <w:spacing w:line="578" w:lineRule="exact"/>
        <w:ind w:firstLine="640" w:firstLineChars="200"/>
        <w:rPr>
          <w:rFonts w:eastAsia="仿宋_GB2312"/>
          <w:kern w:val="0"/>
          <w:sz w:val="32"/>
          <w:szCs w:val="32"/>
          <w:shd w:val="clear" w:color="auto" w:fill="FFFFFF"/>
          <w:lang w:val="zh-CN"/>
        </w:rPr>
      </w:pPr>
      <w:r>
        <w:rPr>
          <w:rFonts w:eastAsia="仿宋_GB2312"/>
          <w:kern w:val="0"/>
          <w:sz w:val="32"/>
          <w:szCs w:val="32"/>
          <w:shd w:val="clear" w:color="auto" w:fill="FFFFFF"/>
          <w:lang w:val="zh-CN"/>
        </w:rPr>
        <w:t>每月与业务股室沟通，了解项目进度，使项目能按时按量在规定的时间完成；项目完成时，及时验收付款。</w:t>
      </w:r>
    </w:p>
    <w:p w14:paraId="3F40CE0C">
      <w:pPr>
        <w:adjustRightInd w:val="0"/>
        <w:snapToGrid w:val="0"/>
        <w:spacing w:line="578" w:lineRule="exact"/>
        <w:ind w:firstLine="720"/>
        <w:rPr>
          <w:sz w:val="32"/>
          <w:szCs w:val="32"/>
          <w:lang w:val="zh-CN"/>
        </w:rPr>
      </w:pPr>
      <w:r>
        <w:rPr>
          <w:rFonts w:eastAsia="黑体"/>
          <w:sz w:val="32"/>
          <w:szCs w:val="32"/>
        </w:rPr>
        <w:t>四、项目绩效情况</w:t>
      </w:r>
      <w:r>
        <w:rPr>
          <w:sz w:val="32"/>
          <w:szCs w:val="32"/>
          <w:lang w:val="zh-CN"/>
        </w:rPr>
        <w:tab/>
      </w:r>
    </w:p>
    <w:p w14:paraId="292BC172">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（一）项目完成情况。</w:t>
      </w:r>
    </w:p>
    <w:p w14:paraId="0987E41A">
      <w:pPr>
        <w:widowControl/>
        <w:adjustRightInd w:val="0"/>
        <w:snapToGrid w:val="0"/>
        <w:spacing w:line="578" w:lineRule="exact"/>
        <w:ind w:firstLine="640" w:firstLineChars="200"/>
        <w:contextualSpacing/>
        <w:rPr>
          <w:rFonts w:eastAsia="仿宋_GB2312"/>
          <w:kern w:val="0"/>
          <w:sz w:val="32"/>
          <w:szCs w:val="32"/>
          <w:shd w:val="clear" w:color="auto" w:fill="FFFFFF"/>
        </w:rPr>
      </w:pPr>
      <w:r>
        <w:rPr>
          <w:rFonts w:eastAsia="仿宋_GB2312"/>
          <w:kern w:val="0"/>
          <w:sz w:val="32"/>
          <w:szCs w:val="32"/>
          <w:shd w:val="clear" w:color="auto" w:fill="FFFFFF"/>
        </w:rPr>
        <w:t>2022年度区域性药品抽检数为20批次，抽检费用为3000元/批次，已全部完成。</w:t>
      </w:r>
    </w:p>
    <w:p w14:paraId="464609E3">
      <w:pPr>
        <w:adjustRightInd w:val="0"/>
        <w:snapToGrid w:val="0"/>
        <w:spacing w:line="578" w:lineRule="exact"/>
        <w:ind w:firstLine="720"/>
        <w:rPr>
          <w:rFonts w:eastAsia="楷体_GB2312"/>
          <w:b/>
          <w:sz w:val="32"/>
          <w:szCs w:val="32"/>
          <w:lang w:val="zh-CN"/>
        </w:rPr>
      </w:pPr>
      <w:r>
        <w:rPr>
          <w:rFonts w:eastAsia="楷体_GB2312"/>
          <w:b/>
          <w:sz w:val="32"/>
          <w:szCs w:val="32"/>
          <w:lang w:val="zh-CN"/>
        </w:rPr>
        <w:t>（二）项目效益情况。</w:t>
      </w:r>
    </w:p>
    <w:p w14:paraId="7C5103C5">
      <w:pPr>
        <w:widowControl/>
        <w:adjustRightInd w:val="0"/>
        <w:snapToGrid w:val="0"/>
        <w:spacing w:line="578" w:lineRule="exact"/>
        <w:ind w:firstLine="640" w:firstLineChars="200"/>
        <w:contextualSpacing/>
        <w:rPr>
          <w:rFonts w:eastAsia="仿宋_GB2312"/>
          <w:kern w:val="0"/>
          <w:sz w:val="32"/>
          <w:szCs w:val="32"/>
          <w:shd w:val="clear" w:color="auto" w:fill="FFFFFF"/>
          <w:lang w:val="zh-CN"/>
        </w:rPr>
      </w:pPr>
      <w:r>
        <w:rPr>
          <w:rFonts w:eastAsia="仿宋_GB2312"/>
          <w:kern w:val="0"/>
          <w:sz w:val="32"/>
          <w:szCs w:val="32"/>
          <w:shd w:val="clear" w:color="auto" w:fill="FFFFFF"/>
        </w:rPr>
        <w:t>抽检成本控制在预算范围内，确保了区域性、系统性药品安全事件发生率为0，保障人民用药安全，提高人民满意度</w:t>
      </w:r>
      <w:r>
        <w:rPr>
          <w:rFonts w:eastAsia="仿宋_GB2312"/>
          <w:kern w:val="0"/>
          <w:sz w:val="32"/>
          <w:szCs w:val="32"/>
          <w:shd w:val="clear" w:color="auto" w:fill="FFFFFF"/>
          <w:lang w:val="zh-CN"/>
        </w:rPr>
        <w:t>。</w:t>
      </w:r>
    </w:p>
    <w:p w14:paraId="2E22EA28">
      <w:pPr>
        <w:adjustRightInd w:val="0"/>
        <w:snapToGrid w:val="0"/>
        <w:spacing w:line="578" w:lineRule="exact"/>
        <w:ind w:firstLine="720"/>
        <w:rPr>
          <w:rFonts w:eastAsia="黑体"/>
          <w:sz w:val="32"/>
          <w:szCs w:val="32"/>
        </w:rPr>
      </w:pPr>
      <w:r>
        <w:rPr>
          <w:rFonts w:eastAsia="黑体"/>
          <w:sz w:val="32"/>
          <w:szCs w:val="32"/>
        </w:rPr>
        <w:t>五、评价结论及建议</w:t>
      </w:r>
    </w:p>
    <w:p w14:paraId="5B26945A">
      <w:pPr>
        <w:adjustRightInd w:val="0"/>
        <w:snapToGrid w:val="0"/>
        <w:spacing w:line="578" w:lineRule="exact"/>
        <w:ind w:firstLine="720"/>
        <w:rPr>
          <w:rFonts w:eastAsia="楷体_GB2312"/>
          <w:b/>
          <w:sz w:val="32"/>
          <w:szCs w:val="32"/>
          <w:lang w:val="zh-CN"/>
        </w:rPr>
      </w:pPr>
      <w:r>
        <w:rPr>
          <w:rFonts w:eastAsia="楷体_GB2312"/>
          <w:b/>
          <w:sz w:val="32"/>
          <w:szCs w:val="32"/>
          <w:lang w:val="zh-CN"/>
        </w:rPr>
        <w:t>（一）评价结论。</w:t>
      </w:r>
    </w:p>
    <w:p w14:paraId="3C7F4F08">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通过药品监督抽检进一步掌握我县药品质量安全情况，及时发现药品风险，努力防范区域性、系统性药品安全风险，保障人民用药安全，同时为药品上市后评价工作做好数据支撑。</w:t>
      </w:r>
    </w:p>
    <w:p w14:paraId="70F60DF2">
      <w:pPr>
        <w:adjustRightInd w:val="0"/>
        <w:snapToGrid w:val="0"/>
        <w:spacing w:line="578" w:lineRule="exact"/>
        <w:ind w:firstLine="720"/>
        <w:rPr>
          <w:rFonts w:eastAsia="楷体_GB2312"/>
          <w:b/>
          <w:sz w:val="32"/>
          <w:szCs w:val="32"/>
          <w:lang w:val="zh-CN"/>
        </w:rPr>
      </w:pPr>
      <w:r>
        <w:rPr>
          <w:rFonts w:eastAsia="楷体_GB2312"/>
          <w:b/>
          <w:sz w:val="32"/>
          <w:szCs w:val="32"/>
          <w:lang w:val="zh-CN"/>
        </w:rPr>
        <w:t>（二）存在的问题。</w:t>
      </w:r>
    </w:p>
    <w:p w14:paraId="2B863252">
      <w:pPr>
        <w:widowControl/>
        <w:adjustRightInd w:val="0"/>
        <w:snapToGrid w:val="0"/>
        <w:spacing w:line="578"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lang w:val="zh-CN"/>
        </w:rPr>
        <w:t>无</w:t>
      </w:r>
    </w:p>
    <w:p w14:paraId="4C4842C1">
      <w:pPr>
        <w:adjustRightInd w:val="0"/>
        <w:snapToGrid w:val="0"/>
        <w:spacing w:line="578" w:lineRule="exact"/>
        <w:ind w:firstLine="720"/>
        <w:rPr>
          <w:rFonts w:eastAsia="楷体_GB2312"/>
          <w:b/>
          <w:sz w:val="32"/>
          <w:szCs w:val="32"/>
          <w:lang w:val="zh-CN"/>
        </w:rPr>
      </w:pPr>
      <w:r>
        <w:rPr>
          <w:rFonts w:eastAsia="楷体_GB2312"/>
          <w:b/>
          <w:sz w:val="32"/>
          <w:szCs w:val="32"/>
          <w:lang w:val="zh-CN"/>
        </w:rPr>
        <w:t>（三）相关建议。</w:t>
      </w:r>
    </w:p>
    <w:p w14:paraId="2A8B4752">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无</w:t>
      </w:r>
    </w:p>
    <w:p w14:paraId="3FD26F70">
      <w:pPr>
        <w:rPr>
          <w:rStyle w:val="19"/>
          <w:rFonts w:eastAsia="黑体"/>
          <w:b w:val="0"/>
        </w:rPr>
      </w:pPr>
      <w:r>
        <w:rPr>
          <w:rFonts w:eastAsia="仿宋_GB2312"/>
          <w:kern w:val="0"/>
          <w:sz w:val="32"/>
          <w:szCs w:val="32"/>
          <w:shd w:val="clear" w:color="auto" w:fill="FFFFFF"/>
          <w:lang w:val="zh-CN"/>
        </w:rPr>
        <w:br w:type="page"/>
      </w:r>
    </w:p>
    <w:p w14:paraId="45EA622D">
      <w:pPr>
        <w:spacing w:line="600" w:lineRule="exact"/>
        <w:jc w:val="center"/>
        <w:outlineLvl w:val="0"/>
        <w:rPr>
          <w:rFonts w:eastAsia="仿宋"/>
        </w:rPr>
      </w:pPr>
      <w:bookmarkStart w:id="53" w:name="_Toc15396618"/>
      <w:r>
        <w:rPr>
          <w:rFonts w:eastAsia="黑体"/>
          <w:sz w:val="44"/>
          <w:szCs w:val="44"/>
        </w:rPr>
        <w:t>第</w:t>
      </w:r>
      <w:r>
        <w:rPr>
          <w:rStyle w:val="19"/>
          <w:rFonts w:eastAsia="黑体"/>
          <w:b w:val="0"/>
        </w:rPr>
        <w:t>五部分 附表</w:t>
      </w:r>
      <w:bookmarkEnd w:id="51"/>
      <w:bookmarkEnd w:id="53"/>
      <w:bookmarkStart w:id="54" w:name="_Toc15396619"/>
    </w:p>
    <w:p w14:paraId="5A789384">
      <w:pPr>
        <w:pStyle w:val="4"/>
        <w:rPr>
          <w:rFonts w:ascii="Times New Roman" w:hAnsi="Times New Roman" w:eastAsia="仿宋" w:cs="Times New Roman"/>
        </w:rPr>
      </w:pPr>
      <w:r>
        <w:rPr>
          <w:rFonts w:ascii="Times New Roman" w:hAnsi="Times New Roman" w:eastAsia="仿宋" w:cs="Times New Roman"/>
          <w:b w:val="0"/>
        </w:rPr>
        <w:t>一、收</w:t>
      </w:r>
      <w:r>
        <w:rPr>
          <w:rStyle w:val="20"/>
          <w:rFonts w:ascii="Times New Roman" w:hAnsi="Times New Roman" w:eastAsia="仿宋" w:cs="Times New Roman"/>
          <w:b w:val="0"/>
          <w:bCs w:val="0"/>
        </w:rPr>
        <w:t>入支出决算总表</w:t>
      </w:r>
      <w:bookmarkEnd w:id="54"/>
    </w:p>
    <w:p w14:paraId="5CB70693">
      <w:pPr>
        <w:pStyle w:val="4"/>
        <w:rPr>
          <w:rFonts w:ascii="Times New Roman" w:hAnsi="Times New Roman" w:eastAsia="仿宋" w:cs="Times New Roman"/>
        </w:rPr>
      </w:pPr>
      <w:bookmarkStart w:id="55" w:name="_Toc15396620"/>
      <w:r>
        <w:rPr>
          <w:rFonts w:ascii="Times New Roman" w:hAnsi="Times New Roman" w:eastAsia="仿宋" w:cs="Times New Roman"/>
          <w:b w:val="0"/>
        </w:rPr>
        <w:t>二、收</w:t>
      </w:r>
      <w:r>
        <w:rPr>
          <w:rStyle w:val="20"/>
          <w:rFonts w:ascii="Times New Roman" w:hAnsi="Times New Roman" w:eastAsia="仿宋" w:cs="Times New Roman"/>
          <w:b w:val="0"/>
          <w:bCs w:val="0"/>
        </w:rPr>
        <w:t>入决算表</w:t>
      </w:r>
      <w:bookmarkEnd w:id="55"/>
    </w:p>
    <w:p w14:paraId="05BE794A">
      <w:pPr>
        <w:pStyle w:val="4"/>
        <w:rPr>
          <w:rFonts w:ascii="Times New Roman" w:hAnsi="Times New Roman" w:eastAsia="仿宋" w:cs="Times New Roman"/>
        </w:rPr>
      </w:pPr>
      <w:bookmarkStart w:id="56" w:name="_Toc15396621"/>
      <w:r>
        <w:rPr>
          <w:rStyle w:val="20"/>
          <w:rFonts w:ascii="Times New Roman" w:hAnsi="Times New Roman" w:eastAsia="仿宋" w:cs="Times New Roman"/>
          <w:b w:val="0"/>
          <w:bCs w:val="0"/>
        </w:rPr>
        <w:t>三、</w:t>
      </w:r>
      <w:r>
        <w:rPr>
          <w:rFonts w:ascii="Times New Roman" w:hAnsi="Times New Roman" w:eastAsia="仿宋" w:cs="Times New Roman"/>
          <w:b w:val="0"/>
        </w:rPr>
        <w:t>支</w:t>
      </w:r>
      <w:r>
        <w:rPr>
          <w:rStyle w:val="20"/>
          <w:rFonts w:ascii="Times New Roman" w:hAnsi="Times New Roman" w:eastAsia="仿宋" w:cs="Times New Roman"/>
          <w:b w:val="0"/>
          <w:bCs w:val="0"/>
        </w:rPr>
        <w:t>出决算表</w:t>
      </w:r>
      <w:bookmarkEnd w:id="56"/>
    </w:p>
    <w:p w14:paraId="34C0BA6E">
      <w:pPr>
        <w:pStyle w:val="4"/>
        <w:rPr>
          <w:rFonts w:ascii="Times New Roman" w:hAnsi="Times New Roman" w:eastAsia="仿宋" w:cs="Times New Roman"/>
          <w:b w:val="0"/>
        </w:rPr>
      </w:pPr>
      <w:bookmarkStart w:id="57" w:name="_Toc15396622"/>
      <w:r>
        <w:rPr>
          <w:rStyle w:val="20"/>
          <w:rFonts w:ascii="Times New Roman" w:hAnsi="Times New Roman" w:eastAsia="仿宋" w:cs="Times New Roman"/>
          <w:b w:val="0"/>
          <w:bCs w:val="0"/>
        </w:rPr>
        <w:t>四、</w:t>
      </w:r>
      <w:r>
        <w:rPr>
          <w:rFonts w:ascii="Times New Roman" w:hAnsi="Times New Roman" w:eastAsia="仿宋" w:cs="Times New Roman"/>
          <w:b w:val="0"/>
        </w:rPr>
        <w:t>财</w:t>
      </w:r>
      <w:r>
        <w:rPr>
          <w:rStyle w:val="20"/>
          <w:rFonts w:ascii="Times New Roman" w:hAnsi="Times New Roman" w:eastAsia="仿宋" w:cs="Times New Roman"/>
          <w:b w:val="0"/>
          <w:bCs w:val="0"/>
        </w:rPr>
        <w:t>政拨款收入支出决算总表</w:t>
      </w:r>
      <w:bookmarkEnd w:id="57"/>
    </w:p>
    <w:p w14:paraId="116A207F">
      <w:pPr>
        <w:pStyle w:val="4"/>
        <w:rPr>
          <w:rStyle w:val="20"/>
          <w:rFonts w:ascii="Times New Roman" w:hAnsi="Times New Roman" w:eastAsia="仿宋" w:cs="Times New Roman"/>
          <w:b w:val="0"/>
          <w:bCs w:val="0"/>
        </w:rPr>
      </w:pPr>
      <w:bookmarkStart w:id="58" w:name="_Toc15396623"/>
      <w:r>
        <w:rPr>
          <w:rStyle w:val="20"/>
          <w:rFonts w:ascii="Times New Roman" w:hAnsi="Times New Roman" w:eastAsia="仿宋" w:cs="Times New Roman"/>
          <w:b w:val="0"/>
          <w:bCs w:val="0"/>
        </w:rPr>
        <w:t>五、</w:t>
      </w:r>
      <w:r>
        <w:rPr>
          <w:rFonts w:ascii="Times New Roman" w:hAnsi="Times New Roman" w:eastAsia="仿宋" w:cs="Times New Roman"/>
          <w:b w:val="0"/>
        </w:rPr>
        <w:t>财</w:t>
      </w:r>
      <w:r>
        <w:rPr>
          <w:rStyle w:val="20"/>
          <w:rFonts w:ascii="Times New Roman" w:hAnsi="Times New Roman" w:eastAsia="仿宋" w:cs="Times New Roman"/>
          <w:b w:val="0"/>
          <w:bCs w:val="0"/>
        </w:rPr>
        <w:t>政拨款支出决算明细表</w:t>
      </w:r>
      <w:bookmarkEnd w:id="58"/>
      <w:bookmarkStart w:id="59" w:name="_Toc15396624"/>
    </w:p>
    <w:p w14:paraId="78D9BB5C">
      <w:pPr>
        <w:pStyle w:val="4"/>
        <w:rPr>
          <w:rFonts w:ascii="Times New Roman" w:hAnsi="Times New Roman" w:eastAsia="仿宋" w:cs="Times New Roman"/>
        </w:rPr>
      </w:pPr>
      <w:r>
        <w:rPr>
          <w:rStyle w:val="20"/>
          <w:rFonts w:ascii="Times New Roman" w:hAnsi="Times New Roman" w:eastAsia="仿宋" w:cs="Times New Roman"/>
          <w:b w:val="0"/>
          <w:bCs w:val="0"/>
        </w:rPr>
        <w:t>六、</w:t>
      </w:r>
      <w:r>
        <w:rPr>
          <w:rFonts w:ascii="Times New Roman" w:hAnsi="Times New Roman" w:eastAsia="仿宋" w:cs="Times New Roman"/>
          <w:b w:val="0"/>
        </w:rPr>
        <w:t>一</w:t>
      </w:r>
      <w:r>
        <w:rPr>
          <w:rStyle w:val="20"/>
          <w:rFonts w:ascii="Times New Roman" w:hAnsi="Times New Roman" w:eastAsia="仿宋" w:cs="Times New Roman"/>
          <w:b w:val="0"/>
          <w:bCs w:val="0"/>
        </w:rPr>
        <w:t>般公共预算财政拨款支出决算表</w:t>
      </w:r>
      <w:bookmarkEnd w:id="59"/>
    </w:p>
    <w:p w14:paraId="7B235E9E">
      <w:pPr>
        <w:pStyle w:val="4"/>
        <w:rPr>
          <w:rFonts w:ascii="Times New Roman" w:hAnsi="Times New Roman" w:eastAsia="仿宋" w:cs="Times New Roman"/>
        </w:rPr>
      </w:pPr>
      <w:bookmarkStart w:id="60" w:name="_Toc15396625"/>
      <w:r>
        <w:rPr>
          <w:rStyle w:val="20"/>
          <w:rFonts w:ascii="Times New Roman" w:hAnsi="Times New Roman" w:eastAsia="仿宋" w:cs="Times New Roman"/>
          <w:b w:val="0"/>
          <w:bCs w:val="0"/>
        </w:rPr>
        <w:t>七、</w:t>
      </w:r>
      <w:r>
        <w:rPr>
          <w:rFonts w:ascii="Times New Roman" w:hAnsi="Times New Roman" w:eastAsia="仿宋" w:cs="Times New Roman"/>
          <w:b w:val="0"/>
        </w:rPr>
        <w:t>一</w:t>
      </w:r>
      <w:r>
        <w:rPr>
          <w:rStyle w:val="20"/>
          <w:rFonts w:ascii="Times New Roman" w:hAnsi="Times New Roman" w:eastAsia="仿宋" w:cs="Times New Roman"/>
          <w:b w:val="0"/>
          <w:bCs w:val="0"/>
        </w:rPr>
        <w:t>般公共预算财政拨款支出决算明细表</w:t>
      </w:r>
      <w:bookmarkEnd w:id="60"/>
    </w:p>
    <w:p w14:paraId="2558B6C3">
      <w:pPr>
        <w:pStyle w:val="4"/>
        <w:rPr>
          <w:rFonts w:ascii="Times New Roman" w:hAnsi="Times New Roman" w:eastAsia="仿宋" w:cs="Times New Roman"/>
        </w:rPr>
      </w:pPr>
      <w:bookmarkStart w:id="61" w:name="_Toc15396626"/>
      <w:r>
        <w:rPr>
          <w:rStyle w:val="20"/>
          <w:rFonts w:ascii="Times New Roman" w:hAnsi="Times New Roman" w:eastAsia="仿宋" w:cs="Times New Roman"/>
          <w:b w:val="0"/>
          <w:bCs w:val="0"/>
        </w:rPr>
        <w:t>八、</w:t>
      </w:r>
      <w:r>
        <w:rPr>
          <w:rFonts w:ascii="Times New Roman" w:hAnsi="Times New Roman" w:eastAsia="仿宋" w:cs="Times New Roman"/>
          <w:b w:val="0"/>
        </w:rPr>
        <w:t>一</w:t>
      </w:r>
      <w:r>
        <w:rPr>
          <w:rStyle w:val="20"/>
          <w:rFonts w:ascii="Times New Roman" w:hAnsi="Times New Roman" w:eastAsia="仿宋" w:cs="Times New Roman"/>
          <w:b w:val="0"/>
          <w:bCs w:val="0"/>
        </w:rPr>
        <w:t>般公共预算财政拨款基本支出决算表</w:t>
      </w:r>
      <w:bookmarkEnd w:id="61"/>
    </w:p>
    <w:p w14:paraId="1DD160F1">
      <w:pPr>
        <w:pStyle w:val="4"/>
        <w:rPr>
          <w:rFonts w:ascii="Times New Roman" w:hAnsi="Times New Roman" w:eastAsia="仿宋" w:cs="Times New Roman"/>
        </w:rPr>
      </w:pPr>
      <w:bookmarkStart w:id="62" w:name="_Toc15396627"/>
      <w:r>
        <w:rPr>
          <w:rStyle w:val="20"/>
          <w:rFonts w:ascii="Times New Roman" w:hAnsi="Times New Roman" w:eastAsia="仿宋" w:cs="Times New Roman"/>
          <w:b w:val="0"/>
          <w:bCs w:val="0"/>
        </w:rPr>
        <w:t>九、</w:t>
      </w:r>
      <w:r>
        <w:rPr>
          <w:rFonts w:ascii="Times New Roman" w:hAnsi="Times New Roman" w:eastAsia="仿宋" w:cs="Times New Roman"/>
          <w:b w:val="0"/>
        </w:rPr>
        <w:t>一</w:t>
      </w:r>
      <w:r>
        <w:rPr>
          <w:rStyle w:val="20"/>
          <w:rFonts w:ascii="Times New Roman" w:hAnsi="Times New Roman" w:eastAsia="仿宋" w:cs="Times New Roman"/>
          <w:b w:val="0"/>
          <w:bCs w:val="0"/>
        </w:rPr>
        <w:t>般公共预算财政拨款项目支出决算表</w:t>
      </w:r>
      <w:bookmarkEnd w:id="62"/>
    </w:p>
    <w:p w14:paraId="6286DEA3">
      <w:pPr>
        <w:pStyle w:val="4"/>
        <w:rPr>
          <w:rFonts w:ascii="Times New Roman" w:hAnsi="Times New Roman" w:eastAsia="仿宋" w:cs="Times New Roman"/>
        </w:rPr>
      </w:pPr>
      <w:bookmarkStart w:id="63" w:name="_Toc15396628"/>
      <w:r>
        <w:rPr>
          <w:rStyle w:val="20"/>
          <w:rFonts w:ascii="Times New Roman" w:hAnsi="Times New Roman" w:eastAsia="仿宋" w:cs="Times New Roman"/>
          <w:b w:val="0"/>
          <w:bCs w:val="0"/>
        </w:rPr>
        <w:t>十、</w:t>
      </w:r>
      <w:bookmarkEnd w:id="63"/>
      <w:r>
        <w:rPr>
          <w:rFonts w:ascii="Times New Roman" w:hAnsi="Times New Roman" w:eastAsia="仿宋" w:cs="Times New Roman"/>
          <w:b w:val="0"/>
        </w:rPr>
        <w:t>政</w:t>
      </w:r>
      <w:r>
        <w:rPr>
          <w:rStyle w:val="20"/>
          <w:rFonts w:ascii="Times New Roman" w:hAnsi="Times New Roman" w:eastAsia="仿宋" w:cs="Times New Roman"/>
          <w:b w:val="0"/>
          <w:bCs w:val="0"/>
        </w:rPr>
        <w:t>府性基金预算财政拨款收入支出决算表</w:t>
      </w:r>
    </w:p>
    <w:p w14:paraId="47949E0F">
      <w:pPr>
        <w:pStyle w:val="4"/>
        <w:rPr>
          <w:rFonts w:ascii="Times New Roman" w:hAnsi="Times New Roman" w:eastAsia="仿宋" w:cs="Times New Roman"/>
        </w:rPr>
      </w:pPr>
      <w:bookmarkStart w:id="64" w:name="_Toc15396629"/>
      <w:r>
        <w:rPr>
          <w:rStyle w:val="20"/>
          <w:rFonts w:ascii="Times New Roman" w:hAnsi="Times New Roman" w:eastAsia="仿宋" w:cs="Times New Roman"/>
          <w:b w:val="0"/>
          <w:bCs w:val="0"/>
        </w:rPr>
        <w:t>十一、</w:t>
      </w:r>
      <w:bookmarkEnd w:id="64"/>
      <w:r>
        <w:rPr>
          <w:rFonts w:ascii="Times New Roman" w:hAnsi="Times New Roman" w:eastAsia="仿宋" w:cs="Times New Roman"/>
          <w:b w:val="0"/>
        </w:rPr>
        <w:t>国</w:t>
      </w:r>
      <w:r>
        <w:rPr>
          <w:rStyle w:val="20"/>
          <w:rFonts w:ascii="Times New Roman" w:hAnsi="Times New Roman" w:eastAsia="仿宋" w:cs="Times New Roman"/>
          <w:b w:val="0"/>
          <w:bCs w:val="0"/>
        </w:rPr>
        <w:t>有资本经营预算财政拨款收入支出决算表</w:t>
      </w:r>
    </w:p>
    <w:p w14:paraId="2037E921">
      <w:pPr>
        <w:pStyle w:val="4"/>
        <w:rPr>
          <w:rFonts w:ascii="Times New Roman" w:hAnsi="Times New Roman" w:eastAsia="仿宋" w:cs="Times New Roman"/>
        </w:rPr>
      </w:pPr>
      <w:bookmarkStart w:id="65" w:name="_Toc15396630"/>
      <w:r>
        <w:rPr>
          <w:rStyle w:val="20"/>
          <w:rFonts w:ascii="Times New Roman" w:hAnsi="Times New Roman" w:eastAsia="仿宋" w:cs="Times New Roman"/>
          <w:b w:val="0"/>
          <w:bCs w:val="0"/>
        </w:rPr>
        <w:t>十二、</w:t>
      </w:r>
      <w:bookmarkEnd w:id="65"/>
      <w:r>
        <w:rPr>
          <w:rStyle w:val="20"/>
          <w:rFonts w:ascii="Times New Roman" w:hAnsi="Times New Roman" w:eastAsia="仿宋" w:cs="Times New Roman"/>
          <w:b w:val="0"/>
          <w:bCs w:val="0"/>
        </w:rPr>
        <w:t>国有资本经营预算财政拨款支出决算表</w:t>
      </w:r>
    </w:p>
    <w:p w14:paraId="5EEA343B">
      <w:pPr>
        <w:pStyle w:val="4"/>
        <w:rPr>
          <w:rStyle w:val="20"/>
          <w:rFonts w:ascii="Times New Roman" w:hAnsi="Times New Roman" w:eastAsia="仿宋" w:cs="Times New Roman"/>
          <w:b w:val="0"/>
          <w:bCs w:val="0"/>
        </w:rPr>
      </w:pPr>
      <w:bookmarkStart w:id="66" w:name="_Toc15396631"/>
      <w:r>
        <w:rPr>
          <w:rStyle w:val="20"/>
          <w:rFonts w:ascii="Times New Roman" w:hAnsi="Times New Roman" w:eastAsia="仿宋" w:cs="Times New Roman"/>
          <w:b w:val="0"/>
          <w:bCs w:val="0"/>
        </w:rPr>
        <w:t>十三、</w:t>
      </w:r>
      <w:bookmarkEnd w:id="66"/>
      <w:r>
        <w:rPr>
          <w:rStyle w:val="20"/>
          <w:rFonts w:ascii="Times New Roman" w:hAnsi="Times New Roman" w:eastAsia="仿宋" w:cs="Times New Roman"/>
          <w:b w:val="0"/>
          <w:bCs w:val="0"/>
        </w:rPr>
        <w:t>财政拨款“三公”经费支出决算表</w:t>
      </w:r>
    </w:p>
    <w:p w14:paraId="21C3BDFC"/>
    <w:p w14:paraId="3D68568F">
      <w:pPr>
        <w:widowControl/>
        <w:rPr>
          <w:color w:val="000000"/>
          <w:kern w:val="0"/>
          <w:sz w:val="30"/>
          <w:szCs w:val="30"/>
        </w:rPr>
        <w:sectPr>
          <w:footerReference r:id="rId7" w:type="first"/>
          <w:footerReference r:id="rId6" w:type="default"/>
          <w:pgSz w:w="11906" w:h="16838"/>
          <w:pgMar w:top="1440" w:right="1800" w:bottom="1440" w:left="1800" w:header="851" w:footer="992" w:gutter="0"/>
          <w:pgNumType w:start="1"/>
          <w:cols w:space="425" w:num="1"/>
          <w:titlePg/>
          <w:docGrid w:type="lines" w:linePitch="312" w:charSpace="0"/>
        </w:sectPr>
      </w:pPr>
    </w:p>
    <w:p w14:paraId="3C904307">
      <w:pPr>
        <w:pStyle w:val="2"/>
        <w:spacing w:before="93"/>
        <w:jc w:val="center"/>
        <w:rPr>
          <w:rFonts w:ascii="Times New Roman" w:eastAsia="宋体"/>
          <w:color w:val="000000"/>
          <w:szCs w:val="30"/>
          <w:lang w:bidi="ar"/>
        </w:rPr>
      </w:pPr>
      <w:r>
        <w:rPr>
          <w:rFonts w:ascii="Times New Roman"/>
        </w:rPr>
        <w:drawing>
          <wp:anchor distT="0" distB="0" distL="114300" distR="114300" simplePos="0" relativeHeight="251659264" behindDoc="0" locked="0" layoutInCell="1" allowOverlap="1">
            <wp:simplePos x="0" y="0"/>
            <wp:positionH relativeFrom="column">
              <wp:posOffset>-253365</wp:posOffset>
            </wp:positionH>
            <wp:positionV relativeFrom="paragraph">
              <wp:posOffset>421640</wp:posOffset>
            </wp:positionV>
            <wp:extent cx="9309100" cy="5565140"/>
            <wp:effectExtent l="0" t="0" r="6350" b="165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9309100" cy="5565140"/>
                    </a:xfrm>
                    <a:prstGeom prst="rect">
                      <a:avLst/>
                    </a:prstGeom>
                    <a:noFill/>
                    <a:ln>
                      <a:noFill/>
                    </a:ln>
                  </pic:spPr>
                </pic:pic>
              </a:graphicData>
            </a:graphic>
          </wp:anchor>
        </w:drawing>
      </w:r>
      <w:r>
        <w:rPr>
          <w:rFonts w:ascii="Times New Roman" w:eastAsia="宋体"/>
          <w:color w:val="000000"/>
          <w:szCs w:val="30"/>
          <w:lang w:bidi="ar"/>
        </w:rPr>
        <w:t>收入支出决算总表</w:t>
      </w:r>
    </w:p>
    <w:p w14:paraId="4453A684">
      <w:pPr>
        <w:rPr>
          <w:color w:val="000000"/>
          <w:kern w:val="0"/>
          <w:sz w:val="20"/>
          <w:szCs w:val="20"/>
          <w:lang w:bidi="ar"/>
        </w:rPr>
      </w:pPr>
      <w:r>
        <w:rPr>
          <w:color w:val="000000"/>
          <w:kern w:val="0"/>
          <w:sz w:val="20"/>
          <w:szCs w:val="20"/>
          <w:lang w:bidi="ar"/>
        </w:rPr>
        <w:br w:type="page"/>
      </w:r>
    </w:p>
    <w:p w14:paraId="29F3D32B">
      <w:pPr>
        <w:jc w:val="center"/>
        <w:rPr>
          <w:color w:val="000000"/>
          <w:kern w:val="0"/>
          <w:sz w:val="30"/>
          <w:szCs w:val="30"/>
          <w:lang w:bidi="ar"/>
        </w:rPr>
      </w:pPr>
      <w:r>
        <w:rPr>
          <w:color w:val="000000"/>
          <w:kern w:val="0"/>
          <w:sz w:val="30"/>
          <w:szCs w:val="30"/>
          <w:lang w:bidi="ar"/>
        </w:rPr>
        <w:t>收入决算表</w:t>
      </w:r>
    </w:p>
    <w:p w14:paraId="2AA07561">
      <w:pPr>
        <w:pStyle w:val="2"/>
        <w:spacing w:before="93"/>
        <w:rPr>
          <w:rFonts w:ascii="Times New Roman"/>
        </w:rPr>
      </w:pPr>
      <w:r>
        <w:rPr>
          <w:rFonts w:ascii="Times New Roman"/>
        </w:rPr>
        <w:drawing>
          <wp:inline distT="0" distB="0" distL="114300" distR="114300">
            <wp:extent cx="8856345" cy="4892675"/>
            <wp:effectExtent l="0" t="0" r="190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8856345" cy="4892675"/>
                    </a:xfrm>
                    <a:prstGeom prst="rect">
                      <a:avLst/>
                    </a:prstGeom>
                    <a:noFill/>
                    <a:ln>
                      <a:noFill/>
                    </a:ln>
                  </pic:spPr>
                </pic:pic>
              </a:graphicData>
            </a:graphic>
          </wp:inline>
        </w:drawing>
      </w:r>
    </w:p>
    <w:p w14:paraId="199EAD28">
      <w:pPr>
        <w:rPr>
          <w:color w:val="000000"/>
          <w:kern w:val="0"/>
          <w:sz w:val="20"/>
          <w:szCs w:val="20"/>
          <w:lang w:bidi="ar"/>
        </w:rPr>
      </w:pPr>
      <w:r>
        <w:rPr>
          <w:color w:val="000000"/>
          <w:kern w:val="0"/>
          <w:sz w:val="20"/>
          <w:szCs w:val="20"/>
          <w:lang w:bidi="ar"/>
        </w:rPr>
        <w:br w:type="page"/>
      </w:r>
    </w:p>
    <w:p w14:paraId="6C30F19B">
      <w:pPr>
        <w:jc w:val="center"/>
        <w:rPr>
          <w:color w:val="000000"/>
          <w:kern w:val="0"/>
          <w:sz w:val="30"/>
          <w:szCs w:val="30"/>
          <w:lang w:bidi="ar"/>
        </w:rPr>
      </w:pPr>
      <w:r>
        <w:drawing>
          <wp:anchor distT="0" distB="0" distL="114300" distR="114300" simplePos="0" relativeHeight="251660288" behindDoc="0" locked="0" layoutInCell="1" allowOverlap="1">
            <wp:simplePos x="0" y="0"/>
            <wp:positionH relativeFrom="column">
              <wp:posOffset>-21590</wp:posOffset>
            </wp:positionH>
            <wp:positionV relativeFrom="paragraph">
              <wp:posOffset>357505</wp:posOffset>
            </wp:positionV>
            <wp:extent cx="8858885" cy="5454650"/>
            <wp:effectExtent l="0" t="0" r="18415" b="1270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8"/>
                    <a:stretch>
                      <a:fillRect/>
                    </a:stretch>
                  </pic:blipFill>
                  <pic:spPr>
                    <a:xfrm>
                      <a:off x="0" y="0"/>
                      <a:ext cx="8858885" cy="5454650"/>
                    </a:xfrm>
                    <a:prstGeom prst="rect">
                      <a:avLst/>
                    </a:prstGeom>
                    <a:noFill/>
                    <a:ln>
                      <a:noFill/>
                    </a:ln>
                  </pic:spPr>
                </pic:pic>
              </a:graphicData>
            </a:graphic>
          </wp:anchor>
        </w:drawing>
      </w:r>
      <w:r>
        <w:rPr>
          <w:color w:val="000000"/>
          <w:kern w:val="0"/>
          <w:sz w:val="30"/>
          <w:szCs w:val="30"/>
          <w:lang w:bidi="ar"/>
        </w:rPr>
        <w:t>支出决算表</w:t>
      </w:r>
    </w:p>
    <w:p w14:paraId="5ACC0FAB">
      <w:pPr>
        <w:jc w:val="center"/>
        <w:rPr>
          <w:color w:val="000000"/>
          <w:kern w:val="0"/>
          <w:sz w:val="30"/>
          <w:szCs w:val="30"/>
          <w:lang w:bidi="ar"/>
        </w:rPr>
      </w:pPr>
      <w:r>
        <w:rPr>
          <w:color w:val="000000"/>
          <w:kern w:val="0"/>
          <w:sz w:val="20"/>
          <w:szCs w:val="20"/>
          <w:lang w:bidi="ar"/>
        </w:rPr>
        <w:br w:type="page"/>
      </w:r>
      <w:r>
        <w:drawing>
          <wp:anchor distT="0" distB="0" distL="114300" distR="114300" simplePos="0" relativeHeight="251661312" behindDoc="0" locked="0" layoutInCell="1" allowOverlap="1">
            <wp:simplePos x="0" y="0"/>
            <wp:positionH relativeFrom="column">
              <wp:posOffset>52705</wp:posOffset>
            </wp:positionH>
            <wp:positionV relativeFrom="paragraph">
              <wp:posOffset>326390</wp:posOffset>
            </wp:positionV>
            <wp:extent cx="8861425" cy="5587365"/>
            <wp:effectExtent l="0" t="0" r="15875" b="1333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9"/>
                    <a:stretch>
                      <a:fillRect/>
                    </a:stretch>
                  </pic:blipFill>
                  <pic:spPr>
                    <a:xfrm>
                      <a:off x="0" y="0"/>
                      <a:ext cx="8861425" cy="5587365"/>
                    </a:xfrm>
                    <a:prstGeom prst="rect">
                      <a:avLst/>
                    </a:prstGeom>
                    <a:noFill/>
                    <a:ln>
                      <a:noFill/>
                    </a:ln>
                  </pic:spPr>
                </pic:pic>
              </a:graphicData>
            </a:graphic>
          </wp:anchor>
        </w:drawing>
      </w:r>
      <w:r>
        <w:rPr>
          <w:color w:val="000000"/>
          <w:kern w:val="0"/>
          <w:sz w:val="30"/>
          <w:szCs w:val="30"/>
          <w:lang w:bidi="ar"/>
        </w:rPr>
        <w:t>财政拨款收入支出决算总表</w:t>
      </w:r>
    </w:p>
    <w:p w14:paraId="335C3882">
      <w:pPr>
        <w:jc w:val="center"/>
        <w:rPr>
          <w:color w:val="000000"/>
          <w:kern w:val="0"/>
          <w:sz w:val="20"/>
          <w:szCs w:val="20"/>
          <w:lang w:bidi="ar"/>
        </w:rPr>
      </w:pPr>
      <w:r>
        <w:rPr>
          <w:color w:val="000000"/>
          <w:kern w:val="0"/>
          <w:sz w:val="20"/>
          <w:szCs w:val="20"/>
          <w:lang w:bidi="ar"/>
        </w:rPr>
        <w:br w:type="page"/>
      </w:r>
    </w:p>
    <w:p w14:paraId="0C2BBA25">
      <w:pPr>
        <w:jc w:val="center"/>
        <w:rPr>
          <w:color w:val="000000"/>
          <w:kern w:val="0"/>
          <w:sz w:val="30"/>
          <w:szCs w:val="30"/>
          <w:lang w:bidi="ar"/>
        </w:rPr>
      </w:pPr>
      <w:r>
        <w:drawing>
          <wp:anchor distT="0" distB="0" distL="114300" distR="114300" simplePos="0" relativeHeight="251662336" behindDoc="0" locked="0" layoutInCell="1" allowOverlap="1">
            <wp:simplePos x="0" y="0"/>
            <wp:positionH relativeFrom="column">
              <wp:posOffset>-147955</wp:posOffset>
            </wp:positionH>
            <wp:positionV relativeFrom="paragraph">
              <wp:posOffset>303530</wp:posOffset>
            </wp:positionV>
            <wp:extent cx="9042400" cy="5447665"/>
            <wp:effectExtent l="0" t="0" r="6350" b="63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9042400" cy="5447665"/>
                    </a:xfrm>
                    <a:prstGeom prst="rect">
                      <a:avLst/>
                    </a:prstGeom>
                    <a:noFill/>
                    <a:ln>
                      <a:noFill/>
                    </a:ln>
                  </pic:spPr>
                </pic:pic>
              </a:graphicData>
            </a:graphic>
          </wp:anchor>
        </w:drawing>
      </w:r>
      <w:r>
        <w:rPr>
          <w:color w:val="000000"/>
          <w:kern w:val="0"/>
          <w:sz w:val="30"/>
          <w:szCs w:val="30"/>
          <w:lang w:bidi="ar"/>
        </w:rPr>
        <w:t>财政拨款支出决算明细表</w:t>
      </w:r>
    </w:p>
    <w:p w14:paraId="3BE25D94">
      <w:pPr>
        <w:jc w:val="center"/>
        <w:rPr>
          <w:color w:val="000000"/>
          <w:kern w:val="0"/>
          <w:sz w:val="30"/>
          <w:szCs w:val="30"/>
          <w:lang w:bidi="ar"/>
        </w:rPr>
      </w:pPr>
      <w:r>
        <w:br w:type="page"/>
      </w:r>
      <w:r>
        <w:drawing>
          <wp:anchor distT="0" distB="0" distL="114300" distR="114300" simplePos="0" relativeHeight="251663360" behindDoc="0" locked="0" layoutInCell="1" allowOverlap="1">
            <wp:simplePos x="0" y="0"/>
            <wp:positionH relativeFrom="column">
              <wp:posOffset>-93980</wp:posOffset>
            </wp:positionH>
            <wp:positionV relativeFrom="paragraph">
              <wp:posOffset>298450</wp:posOffset>
            </wp:positionV>
            <wp:extent cx="8999855" cy="5670550"/>
            <wp:effectExtent l="0" t="0" r="10795" b="635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1"/>
                    <a:stretch>
                      <a:fillRect/>
                    </a:stretch>
                  </pic:blipFill>
                  <pic:spPr>
                    <a:xfrm>
                      <a:off x="0" y="0"/>
                      <a:ext cx="8999855" cy="5670550"/>
                    </a:xfrm>
                    <a:prstGeom prst="rect">
                      <a:avLst/>
                    </a:prstGeom>
                    <a:noFill/>
                    <a:ln>
                      <a:noFill/>
                    </a:ln>
                  </pic:spPr>
                </pic:pic>
              </a:graphicData>
            </a:graphic>
          </wp:anchor>
        </w:drawing>
      </w:r>
      <w:r>
        <w:t xml:space="preserve">                                          </w:t>
      </w:r>
      <w:r>
        <w:rPr>
          <w:color w:val="000000"/>
          <w:kern w:val="0"/>
          <w:sz w:val="30"/>
          <w:szCs w:val="30"/>
          <w:lang w:bidi="ar"/>
        </w:rPr>
        <w:t xml:space="preserve">财政拨款支出决算明细表                                </w:t>
      </w:r>
      <w:r>
        <w:rPr>
          <w:color w:val="000000"/>
          <w:kern w:val="0"/>
          <w:sz w:val="13"/>
          <w:szCs w:val="13"/>
          <w:lang w:bidi="ar"/>
        </w:rPr>
        <w:t>公开05表</w:t>
      </w:r>
    </w:p>
    <w:p w14:paraId="37E762B3">
      <w:pPr>
        <w:jc w:val="center"/>
        <w:rPr>
          <w:color w:val="000000"/>
          <w:kern w:val="0"/>
          <w:sz w:val="30"/>
          <w:szCs w:val="30"/>
          <w:lang w:bidi="ar"/>
        </w:rPr>
      </w:pPr>
      <w:r>
        <w:br w:type="page"/>
      </w:r>
    </w:p>
    <w:p w14:paraId="406E05BE">
      <w:pPr>
        <w:jc w:val="center"/>
        <w:rPr>
          <w:color w:val="000000"/>
          <w:kern w:val="0"/>
          <w:sz w:val="30"/>
          <w:szCs w:val="30"/>
          <w:lang w:bidi="ar"/>
        </w:rPr>
      </w:pPr>
      <w:r>
        <w:rPr>
          <w:color w:val="000000"/>
          <w:kern w:val="0"/>
          <w:sz w:val="30"/>
          <w:szCs w:val="30"/>
          <w:lang w:bidi="ar"/>
        </w:rPr>
        <w:t xml:space="preserve">                          财政拨款支出决算明细表                                 </w:t>
      </w:r>
      <w:r>
        <w:rPr>
          <w:color w:val="000000"/>
          <w:kern w:val="0"/>
          <w:sz w:val="13"/>
          <w:szCs w:val="13"/>
          <w:lang w:bidi="ar"/>
        </w:rPr>
        <w:t>公开05表</w:t>
      </w:r>
    </w:p>
    <w:p w14:paraId="2DC70816">
      <w:pPr>
        <w:pStyle w:val="2"/>
        <w:spacing w:before="93"/>
        <w:rPr>
          <w:rFonts w:ascii="Times New Roman"/>
        </w:rPr>
      </w:pPr>
      <w:r>
        <w:rPr>
          <w:rFonts w:ascii="Times New Roman"/>
        </w:rPr>
        <w:drawing>
          <wp:inline distT="0" distB="0" distL="114300" distR="114300">
            <wp:extent cx="8852535" cy="2729230"/>
            <wp:effectExtent l="0" t="0" r="5715" b="139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2"/>
                    <a:stretch>
                      <a:fillRect/>
                    </a:stretch>
                  </pic:blipFill>
                  <pic:spPr>
                    <a:xfrm>
                      <a:off x="0" y="0"/>
                      <a:ext cx="8852535" cy="2729230"/>
                    </a:xfrm>
                    <a:prstGeom prst="rect">
                      <a:avLst/>
                    </a:prstGeom>
                    <a:noFill/>
                    <a:ln>
                      <a:noFill/>
                    </a:ln>
                  </pic:spPr>
                </pic:pic>
              </a:graphicData>
            </a:graphic>
          </wp:inline>
        </w:drawing>
      </w:r>
    </w:p>
    <w:p w14:paraId="373827B4">
      <w:pPr>
        <w:rPr>
          <w:color w:val="000000"/>
          <w:kern w:val="0"/>
          <w:sz w:val="30"/>
          <w:szCs w:val="30"/>
          <w:lang w:bidi="ar"/>
        </w:rPr>
        <w:sectPr>
          <w:footerReference r:id="rId9" w:type="first"/>
          <w:footerReference r:id="rId8" w:type="default"/>
          <w:pgSz w:w="16838" w:h="11906" w:orient="landscape"/>
          <w:pgMar w:top="1417" w:right="1440" w:bottom="1417" w:left="1440" w:header="624" w:footer="567" w:gutter="0"/>
          <w:cols w:space="425" w:num="1"/>
          <w:titlePg/>
          <w:docGrid w:type="linesAndChars" w:linePitch="312" w:charSpace="0"/>
        </w:sectPr>
      </w:pPr>
      <w:r>
        <w:rPr>
          <w:color w:val="000000"/>
          <w:kern w:val="0"/>
          <w:sz w:val="30"/>
          <w:szCs w:val="30"/>
          <w:lang w:bidi="ar"/>
        </w:rPr>
        <w:br w:type="page"/>
      </w:r>
    </w:p>
    <w:p w14:paraId="0AB74B72">
      <w:pPr>
        <w:jc w:val="center"/>
        <w:rPr>
          <w:color w:val="000000"/>
          <w:kern w:val="0"/>
          <w:sz w:val="30"/>
          <w:szCs w:val="30"/>
          <w:lang w:bidi="ar"/>
        </w:rPr>
      </w:pPr>
      <w:r>
        <w:rPr>
          <w:color w:val="000000"/>
          <w:kern w:val="0"/>
          <w:sz w:val="30"/>
          <w:szCs w:val="30"/>
          <w:lang w:bidi="ar"/>
        </w:rPr>
        <w:t>一般公共预算财政拨款支出决算表</w:t>
      </w:r>
    </w:p>
    <w:p w14:paraId="4C7687AB">
      <w:pPr>
        <w:pStyle w:val="2"/>
        <w:spacing w:before="93"/>
        <w:rPr>
          <w:rFonts w:ascii="Times New Roman" w:eastAsia="宋体"/>
          <w:color w:val="000000"/>
          <w:szCs w:val="30"/>
          <w:lang w:bidi="ar"/>
        </w:rPr>
      </w:pPr>
      <w:r>
        <w:rPr>
          <w:rFonts w:ascii="Times New Roman"/>
        </w:rPr>
        <w:drawing>
          <wp:inline distT="0" distB="0" distL="114300" distR="114300">
            <wp:extent cx="5918200" cy="5878830"/>
            <wp:effectExtent l="0" t="0" r="6350" b="762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3"/>
                    <a:stretch>
                      <a:fillRect/>
                    </a:stretch>
                  </pic:blipFill>
                  <pic:spPr>
                    <a:xfrm>
                      <a:off x="0" y="0"/>
                      <a:ext cx="5918200" cy="5878830"/>
                    </a:xfrm>
                    <a:prstGeom prst="rect">
                      <a:avLst/>
                    </a:prstGeom>
                    <a:noFill/>
                    <a:ln>
                      <a:noFill/>
                    </a:ln>
                  </pic:spPr>
                </pic:pic>
              </a:graphicData>
            </a:graphic>
          </wp:inline>
        </w:drawing>
      </w:r>
    </w:p>
    <w:p w14:paraId="5A9440F7">
      <w:pPr>
        <w:pStyle w:val="2"/>
        <w:spacing w:before="93"/>
        <w:rPr>
          <w:rFonts w:ascii="Times New Roman" w:eastAsia="宋体"/>
          <w:color w:val="000000"/>
          <w:szCs w:val="30"/>
          <w:lang w:bidi="ar"/>
        </w:rPr>
        <w:sectPr>
          <w:footerReference r:id="rId11" w:type="first"/>
          <w:footerReference r:id="rId10" w:type="default"/>
          <w:pgSz w:w="11906" w:h="16838"/>
          <w:pgMar w:top="1440" w:right="1417" w:bottom="1440" w:left="1417" w:header="851" w:footer="992" w:gutter="0"/>
          <w:cols w:space="425" w:num="1"/>
          <w:titlePg/>
          <w:docGrid w:type="linesAndChars" w:linePitch="312" w:charSpace="0"/>
        </w:sectPr>
      </w:pPr>
    </w:p>
    <w:p w14:paraId="05064477">
      <w:pPr>
        <w:jc w:val="center"/>
        <w:rPr>
          <w:color w:val="000000"/>
          <w:kern w:val="0"/>
          <w:sz w:val="30"/>
          <w:szCs w:val="30"/>
          <w:lang w:bidi="ar"/>
        </w:rPr>
      </w:pPr>
      <w:r>
        <w:drawing>
          <wp:anchor distT="0" distB="0" distL="114300" distR="114300" simplePos="0" relativeHeight="251664384" behindDoc="0" locked="0" layoutInCell="1" allowOverlap="1">
            <wp:simplePos x="0" y="0"/>
            <wp:positionH relativeFrom="column">
              <wp:posOffset>-254000</wp:posOffset>
            </wp:positionH>
            <wp:positionV relativeFrom="paragraph">
              <wp:posOffset>356235</wp:posOffset>
            </wp:positionV>
            <wp:extent cx="9358630" cy="5456555"/>
            <wp:effectExtent l="0" t="0" r="13970" b="1079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4"/>
                    <a:stretch>
                      <a:fillRect/>
                    </a:stretch>
                  </pic:blipFill>
                  <pic:spPr>
                    <a:xfrm>
                      <a:off x="0" y="0"/>
                      <a:ext cx="9358630" cy="5456555"/>
                    </a:xfrm>
                    <a:prstGeom prst="rect">
                      <a:avLst/>
                    </a:prstGeom>
                    <a:noFill/>
                    <a:ln>
                      <a:noFill/>
                    </a:ln>
                  </pic:spPr>
                </pic:pic>
              </a:graphicData>
            </a:graphic>
          </wp:anchor>
        </w:drawing>
      </w:r>
      <w:r>
        <w:rPr>
          <w:color w:val="000000"/>
          <w:kern w:val="0"/>
          <w:sz w:val="30"/>
          <w:szCs w:val="30"/>
          <w:lang w:bidi="ar"/>
        </w:rPr>
        <w:t>一般公共预算财政拨款支出决算明细表</w:t>
      </w:r>
    </w:p>
    <w:p w14:paraId="0F6E112A">
      <w:pPr>
        <w:jc w:val="center"/>
        <w:rPr>
          <w:color w:val="000000"/>
          <w:kern w:val="0"/>
          <w:sz w:val="13"/>
          <w:szCs w:val="13"/>
          <w:lang w:bidi="ar"/>
        </w:rPr>
      </w:pPr>
      <w:r>
        <w:rPr>
          <w:color w:val="000000"/>
          <w:kern w:val="0"/>
          <w:sz w:val="30"/>
          <w:szCs w:val="30"/>
          <w:lang w:bidi="ar"/>
        </w:rPr>
        <w:br w:type="page"/>
      </w:r>
      <w:r>
        <w:rPr>
          <w:color w:val="000000"/>
          <w:kern w:val="0"/>
          <w:sz w:val="30"/>
          <w:szCs w:val="30"/>
          <w:lang w:bidi="ar"/>
        </w:rPr>
        <w:t xml:space="preserve">                         一般公共预算财政拨款支出决算明细表                        </w:t>
      </w:r>
      <w:r>
        <w:rPr>
          <w:color w:val="000000"/>
          <w:kern w:val="0"/>
          <w:sz w:val="13"/>
          <w:szCs w:val="13"/>
          <w:lang w:bidi="ar"/>
        </w:rPr>
        <w:t>公开07表</w:t>
      </w:r>
    </w:p>
    <w:p w14:paraId="4C904C4B">
      <w:pPr>
        <w:rPr>
          <w:color w:val="000000"/>
          <w:kern w:val="0"/>
          <w:sz w:val="30"/>
          <w:szCs w:val="30"/>
          <w:lang w:bidi="ar"/>
        </w:rPr>
      </w:pPr>
      <w:r>
        <w:drawing>
          <wp:inline distT="0" distB="0" distL="114300" distR="114300">
            <wp:extent cx="9064625" cy="4829810"/>
            <wp:effectExtent l="0" t="0" r="3175" b="889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5"/>
                    <a:stretch>
                      <a:fillRect/>
                    </a:stretch>
                  </pic:blipFill>
                  <pic:spPr>
                    <a:xfrm>
                      <a:off x="0" y="0"/>
                      <a:ext cx="9064625" cy="4829810"/>
                    </a:xfrm>
                    <a:prstGeom prst="rect">
                      <a:avLst/>
                    </a:prstGeom>
                    <a:noFill/>
                    <a:ln>
                      <a:noFill/>
                    </a:ln>
                  </pic:spPr>
                </pic:pic>
              </a:graphicData>
            </a:graphic>
          </wp:inline>
        </w:drawing>
      </w:r>
      <w:r>
        <w:rPr>
          <w:color w:val="000000"/>
          <w:kern w:val="0"/>
          <w:sz w:val="30"/>
          <w:szCs w:val="30"/>
          <w:lang w:bidi="ar"/>
        </w:rPr>
        <w:br w:type="page"/>
      </w:r>
    </w:p>
    <w:p w14:paraId="3E3CD463">
      <w:pPr>
        <w:jc w:val="center"/>
        <w:rPr>
          <w:color w:val="000000"/>
          <w:kern w:val="0"/>
          <w:sz w:val="30"/>
          <w:szCs w:val="30"/>
          <w:lang w:bidi="ar"/>
        </w:rPr>
      </w:pPr>
      <w:r>
        <w:rPr>
          <w:color w:val="000000"/>
          <w:kern w:val="0"/>
          <w:sz w:val="30"/>
          <w:szCs w:val="30"/>
          <w:lang w:bidi="ar"/>
        </w:rPr>
        <w:t xml:space="preserve">                           一般公共预算财政拨款支出决算明细表                           </w:t>
      </w:r>
      <w:r>
        <w:rPr>
          <w:color w:val="000000"/>
          <w:kern w:val="0"/>
          <w:sz w:val="13"/>
          <w:szCs w:val="13"/>
          <w:lang w:bidi="ar"/>
        </w:rPr>
        <w:t>公开07表</w:t>
      </w:r>
    </w:p>
    <w:p w14:paraId="28059CF6">
      <w:r>
        <w:drawing>
          <wp:inline distT="0" distB="0" distL="114300" distR="114300">
            <wp:extent cx="9182735" cy="4968875"/>
            <wp:effectExtent l="0" t="0" r="18415" b="317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6"/>
                    <a:stretch>
                      <a:fillRect/>
                    </a:stretch>
                  </pic:blipFill>
                  <pic:spPr>
                    <a:xfrm>
                      <a:off x="0" y="0"/>
                      <a:ext cx="9182735" cy="4968875"/>
                    </a:xfrm>
                    <a:prstGeom prst="rect">
                      <a:avLst/>
                    </a:prstGeom>
                    <a:noFill/>
                    <a:ln>
                      <a:noFill/>
                    </a:ln>
                  </pic:spPr>
                </pic:pic>
              </a:graphicData>
            </a:graphic>
          </wp:inline>
        </w:drawing>
      </w:r>
    </w:p>
    <w:p w14:paraId="02DF0A7F">
      <w:pPr>
        <w:jc w:val="center"/>
      </w:pPr>
      <w:r>
        <w:br w:type="page"/>
      </w:r>
    </w:p>
    <w:p w14:paraId="5D2C9C61">
      <w:pPr>
        <w:jc w:val="center"/>
        <w:rPr>
          <w:color w:val="000000"/>
          <w:kern w:val="0"/>
          <w:sz w:val="30"/>
          <w:szCs w:val="30"/>
          <w:lang w:bidi="ar"/>
        </w:rPr>
      </w:pPr>
      <w:r>
        <w:rPr>
          <w:color w:val="000000"/>
          <w:kern w:val="0"/>
          <w:sz w:val="30"/>
          <w:szCs w:val="30"/>
          <w:lang w:bidi="ar"/>
        </w:rPr>
        <w:t xml:space="preserve">                       一般公共预算财政拨款支出决算明细表                              </w:t>
      </w:r>
      <w:r>
        <w:rPr>
          <w:color w:val="000000"/>
          <w:kern w:val="0"/>
          <w:sz w:val="13"/>
          <w:szCs w:val="13"/>
          <w:lang w:bidi="ar"/>
        </w:rPr>
        <w:t>公开07表</w:t>
      </w:r>
    </w:p>
    <w:p w14:paraId="2E89916E">
      <w:pPr>
        <w:rPr>
          <w:color w:val="000000"/>
          <w:kern w:val="0"/>
          <w:sz w:val="30"/>
          <w:szCs w:val="30"/>
          <w:lang w:bidi="ar"/>
        </w:rPr>
      </w:pPr>
      <w:r>
        <w:drawing>
          <wp:inline distT="0" distB="0" distL="114300" distR="114300">
            <wp:extent cx="9115425" cy="4901565"/>
            <wp:effectExtent l="0" t="0" r="9525" b="1333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7"/>
                    <a:stretch>
                      <a:fillRect/>
                    </a:stretch>
                  </pic:blipFill>
                  <pic:spPr>
                    <a:xfrm>
                      <a:off x="0" y="0"/>
                      <a:ext cx="9115425" cy="4901565"/>
                    </a:xfrm>
                    <a:prstGeom prst="rect">
                      <a:avLst/>
                    </a:prstGeom>
                    <a:noFill/>
                    <a:ln>
                      <a:noFill/>
                    </a:ln>
                  </pic:spPr>
                </pic:pic>
              </a:graphicData>
            </a:graphic>
          </wp:inline>
        </w:drawing>
      </w:r>
    </w:p>
    <w:p w14:paraId="136E1641">
      <w:r>
        <w:br w:type="page"/>
      </w:r>
    </w:p>
    <w:p w14:paraId="1D3E6273">
      <w:pPr>
        <w:jc w:val="center"/>
        <w:rPr>
          <w:color w:val="000000"/>
          <w:kern w:val="0"/>
          <w:sz w:val="30"/>
          <w:szCs w:val="30"/>
          <w:lang w:bidi="ar"/>
        </w:rPr>
      </w:pPr>
      <w:r>
        <w:rPr>
          <w:color w:val="000000"/>
          <w:kern w:val="0"/>
          <w:sz w:val="30"/>
          <w:szCs w:val="30"/>
          <w:lang w:bidi="ar"/>
        </w:rPr>
        <w:t xml:space="preserve">                               一般公共预算财政拨款支出决算明细表                      </w:t>
      </w:r>
      <w:r>
        <w:rPr>
          <w:color w:val="000000"/>
          <w:kern w:val="0"/>
          <w:sz w:val="13"/>
          <w:szCs w:val="13"/>
          <w:lang w:bidi="ar"/>
        </w:rPr>
        <w:t>公开07表</w:t>
      </w:r>
    </w:p>
    <w:p w14:paraId="230F670C">
      <w:r>
        <w:drawing>
          <wp:inline distT="0" distB="0" distL="114300" distR="114300">
            <wp:extent cx="9087485" cy="4702810"/>
            <wp:effectExtent l="0" t="0" r="18415" b="254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8"/>
                    <a:stretch>
                      <a:fillRect/>
                    </a:stretch>
                  </pic:blipFill>
                  <pic:spPr>
                    <a:xfrm>
                      <a:off x="0" y="0"/>
                      <a:ext cx="9087485" cy="4702810"/>
                    </a:xfrm>
                    <a:prstGeom prst="rect">
                      <a:avLst/>
                    </a:prstGeom>
                    <a:noFill/>
                    <a:ln>
                      <a:noFill/>
                    </a:ln>
                  </pic:spPr>
                </pic:pic>
              </a:graphicData>
            </a:graphic>
          </wp:inline>
        </w:drawing>
      </w:r>
    </w:p>
    <w:p w14:paraId="09365C42">
      <w:r>
        <w:br w:type="page"/>
      </w:r>
    </w:p>
    <w:p w14:paraId="0609BA60">
      <w:pPr>
        <w:jc w:val="center"/>
        <w:rPr>
          <w:color w:val="000000"/>
          <w:kern w:val="0"/>
          <w:sz w:val="30"/>
          <w:szCs w:val="30"/>
          <w:lang w:bidi="ar"/>
        </w:rPr>
      </w:pPr>
      <w:r>
        <w:rPr>
          <w:color w:val="000000"/>
          <w:kern w:val="0"/>
          <w:sz w:val="30"/>
          <w:szCs w:val="30"/>
          <w:lang w:bidi="ar"/>
        </w:rPr>
        <w:t xml:space="preserve">                                一般公共预算财政拨款支出决算明细表                      </w:t>
      </w:r>
      <w:r>
        <w:rPr>
          <w:color w:val="000000"/>
          <w:kern w:val="0"/>
          <w:sz w:val="13"/>
          <w:szCs w:val="13"/>
          <w:lang w:bidi="ar"/>
        </w:rPr>
        <w:t>公开07表</w:t>
      </w:r>
    </w:p>
    <w:p w14:paraId="181A9124">
      <w:pPr>
        <w:pStyle w:val="2"/>
        <w:spacing w:before="93"/>
        <w:rPr>
          <w:rFonts w:ascii="Times New Roman"/>
        </w:rPr>
      </w:pPr>
      <w:r>
        <w:rPr>
          <w:rFonts w:ascii="Times New Roman"/>
        </w:rPr>
        <w:drawing>
          <wp:inline distT="0" distB="0" distL="114300" distR="114300">
            <wp:extent cx="9184005" cy="4789805"/>
            <wp:effectExtent l="0" t="0" r="17145" b="1079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9"/>
                    <a:stretch>
                      <a:fillRect/>
                    </a:stretch>
                  </pic:blipFill>
                  <pic:spPr>
                    <a:xfrm>
                      <a:off x="0" y="0"/>
                      <a:ext cx="9184005" cy="4789805"/>
                    </a:xfrm>
                    <a:prstGeom prst="rect">
                      <a:avLst/>
                    </a:prstGeom>
                    <a:noFill/>
                    <a:ln>
                      <a:noFill/>
                    </a:ln>
                  </pic:spPr>
                </pic:pic>
              </a:graphicData>
            </a:graphic>
          </wp:inline>
        </w:drawing>
      </w:r>
    </w:p>
    <w:p w14:paraId="789C7A3D">
      <w:r>
        <w:br w:type="page"/>
      </w:r>
    </w:p>
    <w:p w14:paraId="2B58A70B">
      <w:pPr>
        <w:jc w:val="center"/>
        <w:rPr>
          <w:color w:val="000000"/>
          <w:kern w:val="0"/>
          <w:sz w:val="30"/>
          <w:szCs w:val="30"/>
          <w:lang w:bidi="ar"/>
        </w:rPr>
      </w:pPr>
      <w:r>
        <w:rPr>
          <w:color w:val="000000"/>
          <w:kern w:val="0"/>
          <w:sz w:val="30"/>
          <w:szCs w:val="30"/>
          <w:lang w:bidi="ar"/>
        </w:rPr>
        <w:t xml:space="preserve">                              一般公共预算财政拨款支出决算明细表                       </w:t>
      </w:r>
      <w:r>
        <w:rPr>
          <w:color w:val="000000"/>
          <w:kern w:val="0"/>
          <w:sz w:val="13"/>
          <w:szCs w:val="13"/>
          <w:lang w:bidi="ar"/>
        </w:rPr>
        <w:t>公开07表</w:t>
      </w:r>
    </w:p>
    <w:p w14:paraId="2707F262">
      <w:r>
        <w:drawing>
          <wp:inline distT="0" distB="0" distL="114300" distR="114300">
            <wp:extent cx="9260840" cy="4677410"/>
            <wp:effectExtent l="0" t="0" r="16510" b="889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0"/>
                    <a:stretch>
                      <a:fillRect/>
                    </a:stretch>
                  </pic:blipFill>
                  <pic:spPr>
                    <a:xfrm>
                      <a:off x="0" y="0"/>
                      <a:ext cx="9260840" cy="4677410"/>
                    </a:xfrm>
                    <a:prstGeom prst="rect">
                      <a:avLst/>
                    </a:prstGeom>
                    <a:noFill/>
                    <a:ln>
                      <a:noFill/>
                    </a:ln>
                  </pic:spPr>
                </pic:pic>
              </a:graphicData>
            </a:graphic>
          </wp:inline>
        </w:drawing>
      </w:r>
    </w:p>
    <w:p w14:paraId="259F4A8F">
      <w:pPr>
        <w:pStyle w:val="2"/>
        <w:spacing w:before="93"/>
        <w:rPr>
          <w:rFonts w:ascii="Times New Roman"/>
        </w:rPr>
      </w:pPr>
    </w:p>
    <w:p w14:paraId="17DF5166">
      <w:pPr>
        <w:jc w:val="center"/>
      </w:pPr>
      <w:r>
        <w:br w:type="page"/>
      </w:r>
      <w:r>
        <w:rPr>
          <w:color w:val="000000"/>
          <w:kern w:val="0"/>
          <w:sz w:val="30"/>
          <w:szCs w:val="30"/>
          <w:lang w:bidi="ar"/>
        </w:rPr>
        <w:t>一般公共预算财政拨款基本支出决算明细表</w:t>
      </w:r>
    </w:p>
    <w:p w14:paraId="47B74819">
      <w:pPr>
        <w:pStyle w:val="2"/>
        <w:spacing w:before="93"/>
        <w:rPr>
          <w:rFonts w:ascii="Times New Roman"/>
        </w:rPr>
      </w:pPr>
      <w:r>
        <w:rPr>
          <w:rFonts w:ascii="Times New Roman"/>
        </w:rPr>
        <w:drawing>
          <wp:anchor distT="0" distB="0" distL="114300" distR="114300" simplePos="0" relativeHeight="251665408" behindDoc="0" locked="0" layoutInCell="1" allowOverlap="1">
            <wp:simplePos x="0" y="0"/>
            <wp:positionH relativeFrom="column">
              <wp:posOffset>-391795</wp:posOffset>
            </wp:positionH>
            <wp:positionV relativeFrom="paragraph">
              <wp:posOffset>13335</wp:posOffset>
            </wp:positionV>
            <wp:extent cx="9479280" cy="5117465"/>
            <wp:effectExtent l="0" t="0" r="7620" b="6985"/>
            <wp:wrapNone/>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41"/>
                    <a:stretch>
                      <a:fillRect/>
                    </a:stretch>
                  </pic:blipFill>
                  <pic:spPr>
                    <a:xfrm>
                      <a:off x="0" y="0"/>
                      <a:ext cx="9479280" cy="5117465"/>
                    </a:xfrm>
                    <a:prstGeom prst="rect">
                      <a:avLst/>
                    </a:prstGeom>
                    <a:noFill/>
                    <a:ln>
                      <a:noFill/>
                    </a:ln>
                  </pic:spPr>
                </pic:pic>
              </a:graphicData>
            </a:graphic>
          </wp:anchor>
        </w:drawing>
      </w:r>
    </w:p>
    <w:p w14:paraId="675F74E5">
      <w:pPr>
        <w:pStyle w:val="2"/>
        <w:spacing w:before="93"/>
        <w:rPr>
          <w:rFonts w:ascii="Times New Roman"/>
        </w:rPr>
      </w:pPr>
    </w:p>
    <w:p w14:paraId="26B3710F">
      <w:pPr>
        <w:pStyle w:val="2"/>
        <w:spacing w:before="93"/>
        <w:rPr>
          <w:rFonts w:ascii="Times New Roman"/>
        </w:rPr>
      </w:pPr>
    </w:p>
    <w:p w14:paraId="45968DF8">
      <w:pPr>
        <w:rPr>
          <w:color w:val="000000"/>
          <w:kern w:val="0"/>
          <w:sz w:val="20"/>
          <w:szCs w:val="20"/>
          <w:lang w:bidi="ar"/>
        </w:rPr>
        <w:sectPr>
          <w:footerReference r:id="rId13" w:type="first"/>
          <w:footerReference r:id="rId12" w:type="default"/>
          <w:pgSz w:w="16838" w:h="11906" w:orient="landscape"/>
          <w:pgMar w:top="1417" w:right="1440" w:bottom="1417" w:left="1440" w:header="851" w:footer="992" w:gutter="0"/>
          <w:cols w:space="425" w:num="1"/>
          <w:titlePg/>
          <w:docGrid w:type="linesAndChars" w:linePitch="312" w:charSpace="0"/>
        </w:sectPr>
      </w:pPr>
      <w:r>
        <w:rPr>
          <w:color w:val="000000"/>
          <w:kern w:val="0"/>
          <w:sz w:val="20"/>
          <w:szCs w:val="20"/>
          <w:lang w:bidi="ar"/>
        </w:rPr>
        <w:br w:type="page"/>
      </w:r>
    </w:p>
    <w:p w14:paraId="70DE75DF">
      <w:pPr>
        <w:jc w:val="center"/>
        <w:rPr>
          <w:color w:val="000000"/>
          <w:kern w:val="0"/>
          <w:sz w:val="20"/>
          <w:szCs w:val="20"/>
          <w:lang w:bidi="ar"/>
        </w:rPr>
      </w:pPr>
      <w:r>
        <w:rPr>
          <w:color w:val="000000"/>
          <w:kern w:val="0"/>
          <w:sz w:val="30"/>
          <w:szCs w:val="30"/>
          <w:lang w:bidi="ar"/>
        </w:rPr>
        <w:t>一般公共预算财政拨款项目支出决算表</w:t>
      </w:r>
    </w:p>
    <w:p w14:paraId="6AEBBE16">
      <w:pPr>
        <w:pStyle w:val="2"/>
        <w:spacing w:before="93"/>
        <w:rPr>
          <w:rFonts w:ascii="Times New Roman"/>
        </w:rPr>
      </w:pPr>
      <w:r>
        <w:rPr>
          <w:rFonts w:ascii="Times New Roman"/>
        </w:rPr>
        <w:drawing>
          <wp:inline distT="0" distB="0" distL="114300" distR="114300">
            <wp:extent cx="5756910" cy="2689860"/>
            <wp:effectExtent l="0" t="0" r="15240" b="1524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2"/>
                    <a:stretch>
                      <a:fillRect/>
                    </a:stretch>
                  </pic:blipFill>
                  <pic:spPr>
                    <a:xfrm>
                      <a:off x="0" y="0"/>
                      <a:ext cx="5756910" cy="2689860"/>
                    </a:xfrm>
                    <a:prstGeom prst="rect">
                      <a:avLst/>
                    </a:prstGeom>
                    <a:noFill/>
                    <a:ln>
                      <a:noFill/>
                    </a:ln>
                  </pic:spPr>
                </pic:pic>
              </a:graphicData>
            </a:graphic>
          </wp:inline>
        </w:drawing>
      </w:r>
    </w:p>
    <w:p w14:paraId="03B4569F">
      <w:pPr>
        <w:jc w:val="center"/>
        <w:rPr>
          <w:color w:val="000000"/>
          <w:kern w:val="0"/>
          <w:sz w:val="30"/>
          <w:szCs w:val="30"/>
          <w:lang w:bidi="ar"/>
        </w:rPr>
        <w:sectPr>
          <w:footerReference r:id="rId15" w:type="first"/>
          <w:footerReference r:id="rId14" w:type="default"/>
          <w:pgSz w:w="11906" w:h="16838"/>
          <w:pgMar w:top="1440" w:right="1417" w:bottom="1440" w:left="1417" w:header="851" w:footer="992" w:gutter="0"/>
          <w:cols w:space="425" w:num="1"/>
          <w:titlePg/>
          <w:docGrid w:type="linesAndChars" w:linePitch="312" w:charSpace="0"/>
        </w:sectPr>
      </w:pPr>
    </w:p>
    <w:p w14:paraId="65C29A99">
      <w:pPr>
        <w:jc w:val="center"/>
        <w:rPr>
          <w:color w:val="000000"/>
          <w:kern w:val="0"/>
          <w:sz w:val="30"/>
          <w:szCs w:val="30"/>
          <w:lang w:bidi="ar"/>
        </w:rPr>
      </w:pPr>
      <w:r>
        <w:rPr>
          <w:color w:val="000000"/>
          <w:kern w:val="0"/>
          <w:sz w:val="30"/>
          <w:szCs w:val="30"/>
          <w:lang w:bidi="ar"/>
        </w:rPr>
        <w:t>政府性基金预算财政拨款收入支出决算表</w:t>
      </w:r>
    </w:p>
    <w:p w14:paraId="0BD1AC46">
      <w:pPr>
        <w:rPr>
          <w:color w:val="000000"/>
          <w:kern w:val="0"/>
          <w:sz w:val="30"/>
          <w:szCs w:val="30"/>
          <w:lang w:bidi="ar"/>
        </w:rPr>
      </w:pPr>
      <w:r>
        <w:drawing>
          <wp:inline distT="0" distB="0" distL="114300" distR="114300">
            <wp:extent cx="8858885" cy="2548890"/>
            <wp:effectExtent l="0" t="0" r="10795" b="1143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3"/>
                    <a:stretch>
                      <a:fillRect/>
                    </a:stretch>
                  </pic:blipFill>
                  <pic:spPr>
                    <a:xfrm>
                      <a:off x="0" y="0"/>
                      <a:ext cx="8858885" cy="2548890"/>
                    </a:xfrm>
                    <a:prstGeom prst="rect">
                      <a:avLst/>
                    </a:prstGeom>
                    <a:noFill/>
                    <a:ln>
                      <a:noFill/>
                    </a:ln>
                  </pic:spPr>
                </pic:pic>
              </a:graphicData>
            </a:graphic>
          </wp:inline>
        </w:drawing>
      </w:r>
    </w:p>
    <w:p w14:paraId="0A334402">
      <w:r>
        <w:br w:type="page"/>
      </w:r>
    </w:p>
    <w:p w14:paraId="0985D2F0">
      <w:pPr>
        <w:jc w:val="center"/>
        <w:rPr>
          <w:color w:val="000000"/>
          <w:kern w:val="0"/>
          <w:sz w:val="30"/>
          <w:szCs w:val="30"/>
          <w:lang w:bidi="ar"/>
        </w:rPr>
      </w:pPr>
      <w:r>
        <w:rPr>
          <w:color w:val="000000"/>
          <w:kern w:val="0"/>
          <w:sz w:val="30"/>
          <w:szCs w:val="30"/>
          <w:lang w:bidi="ar"/>
        </w:rPr>
        <w:t>国有资本经营预算财政拨款收入支出决算表</w:t>
      </w:r>
    </w:p>
    <w:p w14:paraId="33B134F6">
      <w:pPr>
        <w:jc w:val="center"/>
        <w:rPr>
          <w:color w:val="000000"/>
          <w:kern w:val="0"/>
          <w:sz w:val="30"/>
          <w:szCs w:val="30"/>
          <w:lang w:bidi="ar"/>
        </w:rPr>
      </w:pPr>
      <w:r>
        <w:drawing>
          <wp:inline distT="0" distB="0" distL="114300" distR="114300">
            <wp:extent cx="7680960" cy="3185160"/>
            <wp:effectExtent l="0" t="0" r="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4"/>
                    <a:stretch>
                      <a:fillRect/>
                    </a:stretch>
                  </pic:blipFill>
                  <pic:spPr>
                    <a:xfrm>
                      <a:off x="0" y="0"/>
                      <a:ext cx="7680960" cy="3185160"/>
                    </a:xfrm>
                    <a:prstGeom prst="rect">
                      <a:avLst/>
                    </a:prstGeom>
                    <a:noFill/>
                    <a:ln>
                      <a:noFill/>
                    </a:ln>
                  </pic:spPr>
                </pic:pic>
              </a:graphicData>
            </a:graphic>
          </wp:inline>
        </w:drawing>
      </w:r>
      <w:r>
        <w:rPr>
          <w:color w:val="000000"/>
          <w:kern w:val="0"/>
          <w:sz w:val="30"/>
          <w:szCs w:val="30"/>
          <w:lang w:bidi="ar"/>
        </w:rPr>
        <w:br w:type="page"/>
      </w:r>
      <w:r>
        <w:rPr>
          <w:color w:val="000000"/>
          <w:kern w:val="0"/>
          <w:sz w:val="30"/>
          <w:szCs w:val="30"/>
          <w:lang w:bidi="ar"/>
        </w:rPr>
        <w:t>国有资本经营预算财政拨款支出决算表</w:t>
      </w:r>
    </w:p>
    <w:p w14:paraId="742FE7DA">
      <w:pPr>
        <w:jc w:val="center"/>
      </w:pPr>
      <w:r>
        <w:drawing>
          <wp:inline distT="0" distB="0" distL="114300" distR="114300">
            <wp:extent cx="6507480" cy="2819400"/>
            <wp:effectExtent l="0" t="0" r="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45"/>
                    <a:stretch>
                      <a:fillRect/>
                    </a:stretch>
                  </pic:blipFill>
                  <pic:spPr>
                    <a:xfrm>
                      <a:off x="0" y="0"/>
                      <a:ext cx="6507480" cy="2819400"/>
                    </a:xfrm>
                    <a:prstGeom prst="rect">
                      <a:avLst/>
                    </a:prstGeom>
                    <a:noFill/>
                    <a:ln>
                      <a:noFill/>
                    </a:ln>
                  </pic:spPr>
                </pic:pic>
              </a:graphicData>
            </a:graphic>
          </wp:inline>
        </w:drawing>
      </w:r>
      <w:r>
        <w:br w:type="page"/>
      </w:r>
    </w:p>
    <w:p w14:paraId="5A982FE2">
      <w:pPr>
        <w:jc w:val="center"/>
      </w:pPr>
      <w:r>
        <w:rPr>
          <w:color w:val="000000"/>
          <w:kern w:val="0"/>
          <w:sz w:val="30"/>
          <w:szCs w:val="30"/>
          <w:lang w:bidi="ar"/>
        </w:rPr>
        <w:t>财政拨款“三公”经费支出决算表</w:t>
      </w:r>
    </w:p>
    <w:p w14:paraId="079D34ED">
      <w:pPr>
        <w:pStyle w:val="2"/>
        <w:spacing w:before="93"/>
        <w:rPr>
          <w:rFonts w:ascii="Times New Roman"/>
        </w:rPr>
      </w:pPr>
      <w:r>
        <w:rPr>
          <w:rFonts w:ascii="Times New Roman"/>
        </w:rPr>
        <w:drawing>
          <wp:inline distT="0" distB="0" distL="114300" distR="114300">
            <wp:extent cx="9114790" cy="1600835"/>
            <wp:effectExtent l="0" t="0" r="10160" b="18415"/>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46"/>
                    <a:stretch>
                      <a:fillRect/>
                    </a:stretch>
                  </pic:blipFill>
                  <pic:spPr>
                    <a:xfrm>
                      <a:off x="0" y="0"/>
                      <a:ext cx="9114790" cy="1600835"/>
                    </a:xfrm>
                    <a:prstGeom prst="rect">
                      <a:avLst/>
                    </a:prstGeom>
                    <a:noFill/>
                    <a:ln>
                      <a:noFill/>
                    </a:ln>
                  </pic:spPr>
                </pic:pic>
              </a:graphicData>
            </a:graphic>
          </wp:inline>
        </w:drawing>
      </w:r>
    </w:p>
    <w:p w14:paraId="7691A803">
      <w:pPr>
        <w:pStyle w:val="2"/>
        <w:spacing w:before="93"/>
        <w:rPr>
          <w:rFonts w:ascii="Times New Roman"/>
        </w:rPr>
      </w:pPr>
    </w:p>
    <w:p w14:paraId="3B5FA600">
      <w:pPr>
        <w:pStyle w:val="2"/>
        <w:spacing w:before="93"/>
        <w:rPr>
          <w:rFonts w:ascii="Times New Roman" w:eastAsia="宋体"/>
          <w:color w:val="000000"/>
          <w:sz w:val="20"/>
          <w:szCs w:val="20"/>
          <w:lang w:bidi="ar"/>
        </w:rPr>
      </w:pPr>
    </w:p>
    <w:sectPr>
      <w:footerReference r:id="rId17" w:type="first"/>
      <w:footerReference r:id="rId16" w:type="default"/>
      <w:pgSz w:w="16838" w:h="11906" w:orient="landscape"/>
      <w:pgMar w:top="1417" w:right="1440" w:bottom="1417" w:left="1440"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FreeSerif">
    <w:panose1 w:val="02020603050405020304"/>
    <w:charset w:val="00"/>
    <w:family w:val="auto"/>
    <w:pitch w:val="default"/>
    <w:sig w:usb0="E59FAFFF" w:usb1="C200FDFF" w:usb2="43501B29" w:usb3="04000043" w:csb0="600101FF" w:csb1="FFFF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Arial">
    <w:altName w:val="Times New Roman"/>
    <w:panose1 w:val="020B0604020202020204"/>
    <w:charset w:val="00"/>
    <w:family w:val="swiss"/>
    <w:pitch w:val="default"/>
    <w:sig w:usb0="00000000" w:usb1="00000000" w:usb2="00000009" w:usb3="00000000" w:csb0="000001FF"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FB8D0">
    <w:pPr>
      <w:pStyle w:val="9"/>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467F4A96">
                              <w:pPr>
                                <w:pStyle w:val="9"/>
                                <w:jc w:val="center"/>
                              </w:pPr>
                            </w:p>
                          </w:sdtContent>
                        </w:sdt>
                        <w:p w14:paraId="77728752">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sdt>
                    <w:sdtPr>
                      <w:id w:val="-1"/>
                    </w:sdtPr>
                    <w:sdtContent>
                      <w:p w14:paraId="467F4A96">
                        <w:pPr>
                          <w:pStyle w:val="9"/>
                          <w:jc w:val="center"/>
                        </w:pPr>
                      </w:p>
                    </w:sdtContent>
                  </w:sdt>
                  <w:p w14:paraId="77728752">
                    <w:pPr>
                      <w:pStyle w:val="2"/>
                      <w:spacing w:before="72"/>
                    </w:pPr>
                  </w:p>
                </w:txbxContent>
              </v:textbox>
            </v:shape>
          </w:pict>
        </mc:Fallback>
      </mc:AlternateContent>
    </w:r>
  </w:p>
  <w:p w14:paraId="5B8B3EEC">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6B0E">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54EBB">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FA54EBB">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5261">
    <w:pPr>
      <w:pStyle w:val="9"/>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7797959"/>
                          </w:sdtPr>
                          <w:sdtContent>
                            <w:p w14:paraId="176DE487">
                              <w:pPr>
                                <w:pStyle w:val="9"/>
                                <w:jc w:val="center"/>
                              </w:pPr>
                              <w:r>
                                <w:fldChar w:fldCharType="begin"/>
                              </w:r>
                              <w:r>
                                <w:instrText xml:space="preserve">PAGE   \* MERGEFORMAT</w:instrText>
                              </w:r>
                              <w:r>
                                <w:fldChar w:fldCharType="separate"/>
                              </w:r>
                              <w:r>
                                <w:rPr>
                                  <w:lang w:val="zh-CN"/>
                                </w:rPr>
                                <w:t>2</w:t>
                              </w:r>
                              <w:r>
                                <w:fldChar w:fldCharType="end"/>
                              </w:r>
                            </w:p>
                          </w:sdtContent>
                        </w:sdt>
                        <w:p w14:paraId="2D3CC6FE">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sdt>
                    <w:sdtPr>
                      <w:id w:val="157797959"/>
                    </w:sdtPr>
                    <w:sdtContent>
                      <w:p w14:paraId="176DE487">
                        <w:pPr>
                          <w:pStyle w:val="9"/>
                          <w:jc w:val="center"/>
                        </w:pPr>
                        <w:r>
                          <w:fldChar w:fldCharType="begin"/>
                        </w:r>
                        <w:r>
                          <w:instrText xml:space="preserve">PAGE   \* MERGEFORMAT</w:instrText>
                        </w:r>
                        <w:r>
                          <w:fldChar w:fldCharType="separate"/>
                        </w:r>
                        <w:r>
                          <w:rPr>
                            <w:lang w:val="zh-CN"/>
                          </w:rPr>
                          <w:t>2</w:t>
                        </w:r>
                        <w:r>
                          <w:fldChar w:fldCharType="end"/>
                        </w:r>
                      </w:p>
                    </w:sdtContent>
                  </w:sdt>
                  <w:p w14:paraId="2D3CC6FE">
                    <w:pPr>
                      <w:pStyle w:val="2"/>
                      <w:spacing w:before="72"/>
                    </w:pPr>
                  </w:p>
                </w:txbxContent>
              </v:textbox>
            </v:shape>
          </w:pict>
        </mc:Fallback>
      </mc:AlternateContent>
    </w:r>
  </w:p>
  <w:p w14:paraId="28E5905A">
    <w:pPr>
      <w:pStyle w:val="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BD14F">
    <w:pPr>
      <w:pStyle w:val="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488B1">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82488B1">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8CBD4">
    <w:pPr>
      <w:pStyle w:val="9"/>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420100"/>
                          </w:sdtPr>
                          <w:sdtContent>
                            <w:p w14:paraId="1D547ABC">
                              <w:pPr>
                                <w:pStyle w:val="9"/>
                                <w:jc w:val="center"/>
                              </w:pPr>
                              <w:r>
                                <w:fldChar w:fldCharType="begin"/>
                              </w:r>
                              <w:r>
                                <w:instrText xml:space="preserve">PAGE   \* MERGEFORMAT</w:instrText>
                              </w:r>
                              <w:r>
                                <w:fldChar w:fldCharType="separate"/>
                              </w:r>
                              <w:r>
                                <w:rPr>
                                  <w:lang w:val="zh-CN"/>
                                </w:rPr>
                                <w:t>55</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sdt>
                    <w:sdtPr>
                      <w:id w:val="212420100"/>
                    </w:sdtPr>
                    <w:sdtContent>
                      <w:p w14:paraId="1D547ABC">
                        <w:pPr>
                          <w:pStyle w:val="9"/>
                          <w:jc w:val="center"/>
                        </w:pPr>
                        <w:r>
                          <w:fldChar w:fldCharType="begin"/>
                        </w:r>
                        <w:r>
                          <w:instrText xml:space="preserve">PAGE   \* MERGEFORMAT</w:instrText>
                        </w:r>
                        <w:r>
                          <w:fldChar w:fldCharType="separate"/>
                        </w:r>
                        <w:r>
                          <w:rPr>
                            <w:lang w:val="zh-CN"/>
                          </w:rPr>
                          <w:t>55</w:t>
                        </w:r>
                        <w:r>
                          <w:fldChar w:fldCharType="end"/>
                        </w:r>
                      </w:p>
                    </w:sdtContent>
                  </w:sdt>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FEBA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7B8A2">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5DA7B8A2">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BDB8">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654B8">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BD654B8">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B8536">
    <w:pPr>
      <w:pStyle w:val="9"/>
      <w:jc w:val="both"/>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B5BAF">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14B5BAF">
                    <w:pPr>
                      <w:pStyle w:val="9"/>
                    </w:pPr>
                    <w:r>
                      <w:fldChar w:fldCharType="begin"/>
                    </w:r>
                    <w:r>
                      <w:instrText xml:space="preserve"> PAGE  \* MERGEFORMAT </w:instrText>
                    </w:r>
                    <w:r>
                      <w:fldChar w:fldCharType="separate"/>
                    </w:r>
                    <w:r>
                      <w:t>29</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76728423"/>
                          </w:sdtPr>
                          <w:sdtContent>
                            <w:p w14:paraId="5ED594C4">
                              <w:pPr>
                                <w:pStyle w:val="9"/>
                                <w:jc w:val="center"/>
                              </w:pPr>
                            </w:p>
                          </w:sdtContent>
                        </w:sdt>
                        <w:p w14:paraId="7AFCA44C">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sdt>
                    <w:sdtPr>
                      <w:id w:val="676728423"/>
                    </w:sdtPr>
                    <w:sdtContent>
                      <w:p w14:paraId="5ED594C4">
                        <w:pPr>
                          <w:pStyle w:val="9"/>
                          <w:jc w:val="center"/>
                        </w:pPr>
                      </w:p>
                    </w:sdtContent>
                  </w:sdt>
                  <w:p w14:paraId="7AFCA44C">
                    <w:pPr>
                      <w:pStyle w:val="2"/>
                      <w:spacing w:before="72"/>
                    </w:pPr>
                  </w:p>
                </w:txbxContent>
              </v:textbox>
            </v:shape>
          </w:pict>
        </mc:Fallback>
      </mc:AlternateContent>
    </w:r>
  </w:p>
  <w:p w14:paraId="0D292160">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BF2FD">
    <w:pPr>
      <w:pStyle w:val="9"/>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0A042">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6860A042">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066BA">
    <w:pPr>
      <w:pStyle w:val="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6994609"/>
                          </w:sdtPr>
                          <w:sdtContent>
                            <w:p w14:paraId="4B4EBAD8">
                              <w:pPr>
                                <w:pStyle w:val="9"/>
                                <w:jc w:val="center"/>
                              </w:pPr>
                              <w:r>
                                <w:fldChar w:fldCharType="begin"/>
                              </w:r>
                              <w:r>
                                <w:instrText xml:space="preserve">PAGE   \* MERGEFORMAT</w:instrText>
                              </w:r>
                              <w:r>
                                <w:fldChar w:fldCharType="separate"/>
                              </w:r>
                              <w:r>
                                <w:rPr>
                                  <w:lang w:val="zh-CN"/>
                                </w:rPr>
                                <w:t>37</w:t>
                              </w:r>
                              <w:r>
                                <w:fldChar w:fldCharType="end"/>
                              </w:r>
                            </w:p>
                          </w:sdtContent>
                        </w:sdt>
                        <w:p w14:paraId="0A0575AC">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sdt>
                    <w:sdtPr>
                      <w:id w:val="1926994609"/>
                    </w:sdtPr>
                    <w:sdtContent>
                      <w:p w14:paraId="4B4EBAD8">
                        <w:pPr>
                          <w:pStyle w:val="9"/>
                          <w:jc w:val="center"/>
                        </w:pPr>
                        <w:r>
                          <w:fldChar w:fldCharType="begin"/>
                        </w:r>
                        <w:r>
                          <w:instrText xml:space="preserve">PAGE   \* MERGEFORMAT</w:instrText>
                        </w:r>
                        <w:r>
                          <w:fldChar w:fldCharType="separate"/>
                        </w:r>
                        <w:r>
                          <w:rPr>
                            <w:lang w:val="zh-CN"/>
                          </w:rPr>
                          <w:t>37</w:t>
                        </w:r>
                        <w:r>
                          <w:fldChar w:fldCharType="end"/>
                        </w:r>
                      </w:p>
                    </w:sdtContent>
                  </w:sdt>
                  <w:p w14:paraId="0A0575AC">
                    <w:pPr>
                      <w:pStyle w:val="2"/>
                      <w:spacing w:before="72"/>
                    </w:pPr>
                  </w:p>
                </w:txbxContent>
              </v:textbox>
            </v:shape>
          </w:pict>
        </mc:Fallback>
      </mc:AlternateContent>
    </w:r>
  </w:p>
  <w:p w14:paraId="3C9DD1F6">
    <w:pPr>
      <w:pStyle w:val="9"/>
      <w:tabs>
        <w:tab w:val="left" w:pos="7572"/>
        <w:tab w:val="clear" w:pos="4153"/>
      </w:tabs>
    </w:pP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F8360">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7BD01">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B97BD01">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11C1">
    <w:pPr>
      <w:pStyle w:val="9"/>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71095304"/>
                          </w:sdtPr>
                          <w:sdtContent>
                            <w:p w14:paraId="076A8DF0">
                              <w:pPr>
                                <w:pStyle w:val="9"/>
                                <w:jc w:val="center"/>
                              </w:pPr>
                              <w:r>
                                <w:fldChar w:fldCharType="begin"/>
                              </w:r>
                              <w:r>
                                <w:instrText xml:space="preserve">PAGE   \* MERGEFORMAT</w:instrText>
                              </w:r>
                              <w:r>
                                <w:fldChar w:fldCharType="separate"/>
                              </w:r>
                              <w:r>
                                <w:rPr>
                                  <w:lang w:val="zh-CN"/>
                                </w:rPr>
                                <w:t>2</w:t>
                              </w:r>
                              <w:r>
                                <w:fldChar w:fldCharType="end"/>
                              </w:r>
                            </w:p>
                          </w:sdtContent>
                        </w:sdt>
                        <w:p w14:paraId="3975635F">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671095304"/>
                    </w:sdtPr>
                    <w:sdtContent>
                      <w:p w14:paraId="076A8DF0">
                        <w:pPr>
                          <w:pStyle w:val="9"/>
                          <w:jc w:val="center"/>
                        </w:pPr>
                        <w:r>
                          <w:fldChar w:fldCharType="begin"/>
                        </w:r>
                        <w:r>
                          <w:instrText xml:space="preserve">PAGE   \* MERGEFORMAT</w:instrText>
                        </w:r>
                        <w:r>
                          <w:fldChar w:fldCharType="separate"/>
                        </w:r>
                        <w:r>
                          <w:rPr>
                            <w:lang w:val="zh-CN"/>
                          </w:rPr>
                          <w:t>2</w:t>
                        </w:r>
                        <w:r>
                          <w:fldChar w:fldCharType="end"/>
                        </w:r>
                      </w:p>
                    </w:sdtContent>
                  </w:sdt>
                  <w:p w14:paraId="3975635F">
                    <w:pPr>
                      <w:pStyle w:val="2"/>
                      <w:spacing w:before="72"/>
                    </w:pPr>
                  </w:p>
                </w:txbxContent>
              </v:textbox>
            </v:shape>
          </w:pict>
        </mc:Fallback>
      </mc:AlternateContent>
    </w:r>
  </w:p>
  <w:p w14:paraId="142A9D7E">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406E0">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E277D">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E0E277D">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4C9C">
    <w:pPr>
      <w:pStyle w:val="9"/>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3234242"/>
                          </w:sdtPr>
                          <w:sdtContent>
                            <w:p w14:paraId="3AFCEC82">
                              <w:pPr>
                                <w:pStyle w:val="9"/>
                                <w:jc w:val="center"/>
                              </w:pPr>
                              <w:r>
                                <w:fldChar w:fldCharType="begin"/>
                              </w:r>
                              <w:r>
                                <w:instrText xml:space="preserve">PAGE   \* MERGEFORMAT</w:instrText>
                              </w:r>
                              <w:r>
                                <w:fldChar w:fldCharType="separate"/>
                              </w:r>
                              <w:r>
                                <w:rPr>
                                  <w:lang w:val="zh-CN"/>
                                </w:rPr>
                                <w:t>50</w:t>
                              </w:r>
                              <w:r>
                                <w:fldChar w:fldCharType="end"/>
                              </w:r>
                            </w:p>
                          </w:sdtContent>
                        </w:sdt>
                        <w:p w14:paraId="7D2CC4E6">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sdt>
                    <w:sdtPr>
                      <w:id w:val="1143234242"/>
                    </w:sdtPr>
                    <w:sdtContent>
                      <w:p w14:paraId="3AFCEC82">
                        <w:pPr>
                          <w:pStyle w:val="9"/>
                          <w:jc w:val="center"/>
                        </w:pPr>
                        <w:r>
                          <w:fldChar w:fldCharType="begin"/>
                        </w:r>
                        <w:r>
                          <w:instrText xml:space="preserve">PAGE   \* MERGEFORMAT</w:instrText>
                        </w:r>
                        <w:r>
                          <w:fldChar w:fldCharType="separate"/>
                        </w:r>
                        <w:r>
                          <w:rPr>
                            <w:lang w:val="zh-CN"/>
                          </w:rPr>
                          <w:t>50</w:t>
                        </w:r>
                        <w:r>
                          <w:fldChar w:fldCharType="end"/>
                        </w:r>
                      </w:p>
                    </w:sdtContent>
                  </w:sdt>
                  <w:p w14:paraId="7D2CC4E6">
                    <w:pPr>
                      <w:pStyle w:val="2"/>
                      <w:spacing w:before="72"/>
                    </w:pPr>
                  </w:p>
                </w:txbxContent>
              </v:textbox>
            </v:shape>
          </w:pict>
        </mc:Fallback>
      </mc:AlternateContent>
    </w:r>
  </w:p>
  <w:p w14:paraId="014EAC7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31E05">
    <w:pPr>
      <w:pStyle w:val="1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EBEF323"/>
    <w:multiLevelType w:val="singleLevel"/>
    <w:tmpl w:val="DEBEF323"/>
    <w:lvl w:ilvl="0" w:tentative="0">
      <w:start w:val="4"/>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FFF674BC"/>
    <w:multiLevelType w:val="singleLevel"/>
    <w:tmpl w:val="FFF674BC"/>
    <w:lvl w:ilvl="0" w:tentative="0">
      <w:start w:val="1"/>
      <w:numFmt w:val="chineseCounting"/>
      <w:suff w:val="nothing"/>
      <w:lvlText w:val="%1、"/>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24C1379D"/>
    <w:multiLevelType w:val="multilevel"/>
    <w:tmpl w:val="24C1379D"/>
    <w:lvl w:ilvl="0" w:tentative="0">
      <w:start w:val="1"/>
      <w:numFmt w:val="japaneseCounting"/>
      <w:lvlText w:val="（%1）"/>
      <w:lvlJc w:val="left"/>
      <w:pPr>
        <w:ind w:left="1648" w:hanging="1005"/>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6">
    <w:nsid w:val="29974FC3"/>
    <w:multiLevelType w:val="multilevel"/>
    <w:tmpl w:val="29974FC3"/>
    <w:lvl w:ilvl="0" w:tentative="0">
      <w:start w:val="1"/>
      <w:numFmt w:val="japaneseCounting"/>
      <w:lvlText w:val="（%1）"/>
      <w:lvlJc w:val="left"/>
      <w:pPr>
        <w:ind w:left="1725" w:hanging="100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7">
    <w:nsid w:val="51F604CC"/>
    <w:multiLevelType w:val="multilevel"/>
    <w:tmpl w:val="51F604CC"/>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1554BA4"/>
    <w:multiLevelType w:val="multilevel"/>
    <w:tmpl w:val="61554BA4"/>
    <w:lvl w:ilvl="0" w:tentative="0">
      <w:start w:val="1"/>
      <w:numFmt w:val="japaneseCounting"/>
      <w:lvlText w:val="（%1）"/>
      <w:lvlJc w:val="left"/>
      <w:pPr>
        <w:ind w:left="1648" w:hanging="1005"/>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7"/>
  </w:num>
  <w:num w:numId="2">
    <w:abstractNumId w:val="4"/>
  </w:num>
  <w:num w:numId="3">
    <w:abstractNumId w:val="0"/>
  </w:num>
  <w:num w:numId="4">
    <w:abstractNumId w:val="2"/>
  </w:num>
  <w:num w:numId="5">
    <w:abstractNumId w:val="3"/>
  </w:num>
  <w:num w:numId="6">
    <w:abstractNumId w:val="5"/>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wMmEwYTBmNGMxNDk4Nzc3NmYyNGJhMDVlMTNkNjEifQ=="/>
  </w:docVars>
  <w:rsids>
    <w:rsidRoot w:val="00F1361C"/>
    <w:rsid w:val="000142FB"/>
    <w:rsid w:val="000222C6"/>
    <w:rsid w:val="0002549F"/>
    <w:rsid w:val="000468DB"/>
    <w:rsid w:val="0006487A"/>
    <w:rsid w:val="00065F8F"/>
    <w:rsid w:val="00066609"/>
    <w:rsid w:val="00070A43"/>
    <w:rsid w:val="000768F2"/>
    <w:rsid w:val="0009184B"/>
    <w:rsid w:val="00094236"/>
    <w:rsid w:val="0009593C"/>
    <w:rsid w:val="00097322"/>
    <w:rsid w:val="000A6A92"/>
    <w:rsid w:val="000B047F"/>
    <w:rsid w:val="000B1D1B"/>
    <w:rsid w:val="000B5923"/>
    <w:rsid w:val="000B5A48"/>
    <w:rsid w:val="000B6FF3"/>
    <w:rsid w:val="000B7774"/>
    <w:rsid w:val="000C0729"/>
    <w:rsid w:val="000C3467"/>
    <w:rsid w:val="000C3CA6"/>
    <w:rsid w:val="000D1267"/>
    <w:rsid w:val="000D1D50"/>
    <w:rsid w:val="000D5782"/>
    <w:rsid w:val="000D6E7C"/>
    <w:rsid w:val="000E2688"/>
    <w:rsid w:val="000E4264"/>
    <w:rsid w:val="000E6613"/>
    <w:rsid w:val="000E7119"/>
    <w:rsid w:val="000F5286"/>
    <w:rsid w:val="00114E9B"/>
    <w:rsid w:val="00115EF5"/>
    <w:rsid w:val="00142216"/>
    <w:rsid w:val="00144D6A"/>
    <w:rsid w:val="0014729F"/>
    <w:rsid w:val="00157BAB"/>
    <w:rsid w:val="001654D1"/>
    <w:rsid w:val="00166B29"/>
    <w:rsid w:val="00174518"/>
    <w:rsid w:val="0018106D"/>
    <w:rsid w:val="001877A7"/>
    <w:rsid w:val="00191536"/>
    <w:rsid w:val="00196687"/>
    <w:rsid w:val="001A4BD2"/>
    <w:rsid w:val="001C0962"/>
    <w:rsid w:val="001D4B81"/>
    <w:rsid w:val="001D7531"/>
    <w:rsid w:val="001E737D"/>
    <w:rsid w:val="001F0592"/>
    <w:rsid w:val="001F7506"/>
    <w:rsid w:val="002006CD"/>
    <w:rsid w:val="00202B36"/>
    <w:rsid w:val="00204B7A"/>
    <w:rsid w:val="00204CDE"/>
    <w:rsid w:val="0021101A"/>
    <w:rsid w:val="00220536"/>
    <w:rsid w:val="0022527F"/>
    <w:rsid w:val="00235629"/>
    <w:rsid w:val="002609D9"/>
    <w:rsid w:val="00260C38"/>
    <w:rsid w:val="002616C0"/>
    <w:rsid w:val="00265372"/>
    <w:rsid w:val="002662AA"/>
    <w:rsid w:val="00280496"/>
    <w:rsid w:val="00294DC9"/>
    <w:rsid w:val="00295495"/>
    <w:rsid w:val="002A31DE"/>
    <w:rsid w:val="002A66F7"/>
    <w:rsid w:val="002B2613"/>
    <w:rsid w:val="002C50E6"/>
    <w:rsid w:val="002D6D05"/>
    <w:rsid w:val="002E449F"/>
    <w:rsid w:val="002E7002"/>
    <w:rsid w:val="002F1818"/>
    <w:rsid w:val="002F55A9"/>
    <w:rsid w:val="002F567B"/>
    <w:rsid w:val="003216A9"/>
    <w:rsid w:val="00335A74"/>
    <w:rsid w:val="00336E52"/>
    <w:rsid w:val="0036561B"/>
    <w:rsid w:val="0037013F"/>
    <w:rsid w:val="00380C92"/>
    <w:rsid w:val="003A484F"/>
    <w:rsid w:val="003A4883"/>
    <w:rsid w:val="003B0BE0"/>
    <w:rsid w:val="003B0C1B"/>
    <w:rsid w:val="003B688C"/>
    <w:rsid w:val="003C0291"/>
    <w:rsid w:val="003C39AE"/>
    <w:rsid w:val="003C4B0A"/>
    <w:rsid w:val="003C6115"/>
    <w:rsid w:val="003C7B60"/>
    <w:rsid w:val="003D0C0F"/>
    <w:rsid w:val="003D1FB2"/>
    <w:rsid w:val="003D66DA"/>
    <w:rsid w:val="003E1310"/>
    <w:rsid w:val="003E6F55"/>
    <w:rsid w:val="00405EEF"/>
    <w:rsid w:val="00406254"/>
    <w:rsid w:val="004223DE"/>
    <w:rsid w:val="00434489"/>
    <w:rsid w:val="00437085"/>
    <w:rsid w:val="00443880"/>
    <w:rsid w:val="004464F4"/>
    <w:rsid w:val="00471401"/>
    <w:rsid w:val="00473F31"/>
    <w:rsid w:val="0047601E"/>
    <w:rsid w:val="0048263A"/>
    <w:rsid w:val="00487E5D"/>
    <w:rsid w:val="004A711F"/>
    <w:rsid w:val="004B199D"/>
    <w:rsid w:val="004B4690"/>
    <w:rsid w:val="004E0A2D"/>
    <w:rsid w:val="004E206B"/>
    <w:rsid w:val="004E6DF7"/>
    <w:rsid w:val="004F0FBD"/>
    <w:rsid w:val="00505A47"/>
    <w:rsid w:val="00512FDA"/>
    <w:rsid w:val="00520DA0"/>
    <w:rsid w:val="00532D01"/>
    <w:rsid w:val="00542BD0"/>
    <w:rsid w:val="005664BB"/>
    <w:rsid w:val="00566FFA"/>
    <w:rsid w:val="0057481D"/>
    <w:rsid w:val="0058486E"/>
    <w:rsid w:val="00585B33"/>
    <w:rsid w:val="0059014D"/>
    <w:rsid w:val="005B5C64"/>
    <w:rsid w:val="005C5337"/>
    <w:rsid w:val="005C6BD0"/>
    <w:rsid w:val="005C7EFA"/>
    <w:rsid w:val="005D1C8B"/>
    <w:rsid w:val="005D468D"/>
    <w:rsid w:val="005D5CED"/>
    <w:rsid w:val="005F1A4C"/>
    <w:rsid w:val="005F4BA3"/>
    <w:rsid w:val="00605688"/>
    <w:rsid w:val="006070AF"/>
    <w:rsid w:val="00607E6C"/>
    <w:rsid w:val="006101B1"/>
    <w:rsid w:val="00614470"/>
    <w:rsid w:val="00614E44"/>
    <w:rsid w:val="0062270A"/>
    <w:rsid w:val="00622830"/>
    <w:rsid w:val="00623DA0"/>
    <w:rsid w:val="00630AEF"/>
    <w:rsid w:val="006325F8"/>
    <w:rsid w:val="00633463"/>
    <w:rsid w:val="00634C9A"/>
    <w:rsid w:val="00642FBC"/>
    <w:rsid w:val="006440E4"/>
    <w:rsid w:val="00645613"/>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540CD"/>
    <w:rsid w:val="0076182A"/>
    <w:rsid w:val="00767B7E"/>
    <w:rsid w:val="007770C3"/>
    <w:rsid w:val="00784D24"/>
    <w:rsid w:val="00785FBA"/>
    <w:rsid w:val="00786E4A"/>
    <w:rsid w:val="007875EB"/>
    <w:rsid w:val="0079426B"/>
    <w:rsid w:val="007C3299"/>
    <w:rsid w:val="007D1682"/>
    <w:rsid w:val="007D312A"/>
    <w:rsid w:val="007D3F19"/>
    <w:rsid w:val="007E23B0"/>
    <w:rsid w:val="007E23E5"/>
    <w:rsid w:val="007F1991"/>
    <w:rsid w:val="007F2C2F"/>
    <w:rsid w:val="007F55FC"/>
    <w:rsid w:val="007F5665"/>
    <w:rsid w:val="00800112"/>
    <w:rsid w:val="00813348"/>
    <w:rsid w:val="008253BB"/>
    <w:rsid w:val="00834D1B"/>
    <w:rsid w:val="0083706E"/>
    <w:rsid w:val="008408F6"/>
    <w:rsid w:val="008423A5"/>
    <w:rsid w:val="00850625"/>
    <w:rsid w:val="00851B13"/>
    <w:rsid w:val="00853718"/>
    <w:rsid w:val="00855221"/>
    <w:rsid w:val="00860645"/>
    <w:rsid w:val="00871F71"/>
    <w:rsid w:val="00872FD8"/>
    <w:rsid w:val="008815AF"/>
    <w:rsid w:val="00881901"/>
    <w:rsid w:val="00885AF4"/>
    <w:rsid w:val="008939CD"/>
    <w:rsid w:val="008B768C"/>
    <w:rsid w:val="008C4DB1"/>
    <w:rsid w:val="008C4EAF"/>
    <w:rsid w:val="008C5176"/>
    <w:rsid w:val="008C7FD0"/>
    <w:rsid w:val="008D7E52"/>
    <w:rsid w:val="008E1DE7"/>
    <w:rsid w:val="008E707C"/>
    <w:rsid w:val="008F7771"/>
    <w:rsid w:val="00900B08"/>
    <w:rsid w:val="00902155"/>
    <w:rsid w:val="00902FA3"/>
    <w:rsid w:val="00916808"/>
    <w:rsid w:val="00923564"/>
    <w:rsid w:val="0092392E"/>
    <w:rsid w:val="009315F9"/>
    <w:rsid w:val="00933499"/>
    <w:rsid w:val="00935C98"/>
    <w:rsid w:val="00946945"/>
    <w:rsid w:val="00951248"/>
    <w:rsid w:val="0095152F"/>
    <w:rsid w:val="00954C49"/>
    <w:rsid w:val="00955E37"/>
    <w:rsid w:val="0097099F"/>
    <w:rsid w:val="00970FC0"/>
    <w:rsid w:val="00971997"/>
    <w:rsid w:val="00971FFC"/>
    <w:rsid w:val="0098660A"/>
    <w:rsid w:val="009931C3"/>
    <w:rsid w:val="009B2C43"/>
    <w:rsid w:val="009B4EAE"/>
    <w:rsid w:val="009B7573"/>
    <w:rsid w:val="009C22F4"/>
    <w:rsid w:val="009C2A4B"/>
    <w:rsid w:val="009C2E98"/>
    <w:rsid w:val="009D3447"/>
    <w:rsid w:val="009D4711"/>
    <w:rsid w:val="009E72D4"/>
    <w:rsid w:val="009F1185"/>
    <w:rsid w:val="009F18CD"/>
    <w:rsid w:val="009F2A13"/>
    <w:rsid w:val="009F4920"/>
    <w:rsid w:val="009F7527"/>
    <w:rsid w:val="00A04EB0"/>
    <w:rsid w:val="00A13CC1"/>
    <w:rsid w:val="00A16847"/>
    <w:rsid w:val="00A237D8"/>
    <w:rsid w:val="00A2583D"/>
    <w:rsid w:val="00A268C4"/>
    <w:rsid w:val="00A307CD"/>
    <w:rsid w:val="00A331C8"/>
    <w:rsid w:val="00A40A00"/>
    <w:rsid w:val="00A4142F"/>
    <w:rsid w:val="00A422EB"/>
    <w:rsid w:val="00A45BB7"/>
    <w:rsid w:val="00A538FA"/>
    <w:rsid w:val="00A56DF2"/>
    <w:rsid w:val="00A56E6E"/>
    <w:rsid w:val="00A67AB5"/>
    <w:rsid w:val="00A733B2"/>
    <w:rsid w:val="00A741C2"/>
    <w:rsid w:val="00A9134F"/>
    <w:rsid w:val="00A91760"/>
    <w:rsid w:val="00A93B00"/>
    <w:rsid w:val="00A93C21"/>
    <w:rsid w:val="00A957A7"/>
    <w:rsid w:val="00AB64C9"/>
    <w:rsid w:val="00AC3C6A"/>
    <w:rsid w:val="00AD5620"/>
    <w:rsid w:val="00AD656B"/>
    <w:rsid w:val="00AD6763"/>
    <w:rsid w:val="00AD7C1B"/>
    <w:rsid w:val="00AE16BA"/>
    <w:rsid w:val="00AE1EBE"/>
    <w:rsid w:val="00B03C9D"/>
    <w:rsid w:val="00B04204"/>
    <w:rsid w:val="00B060AE"/>
    <w:rsid w:val="00B10517"/>
    <w:rsid w:val="00B14E76"/>
    <w:rsid w:val="00B161B8"/>
    <w:rsid w:val="00B2048C"/>
    <w:rsid w:val="00B310B9"/>
    <w:rsid w:val="00B35F3F"/>
    <w:rsid w:val="00B36CBB"/>
    <w:rsid w:val="00B425E0"/>
    <w:rsid w:val="00B440AA"/>
    <w:rsid w:val="00B44B70"/>
    <w:rsid w:val="00B53C56"/>
    <w:rsid w:val="00B57CED"/>
    <w:rsid w:val="00B57DAF"/>
    <w:rsid w:val="00B6127B"/>
    <w:rsid w:val="00B77EA6"/>
    <w:rsid w:val="00B81598"/>
    <w:rsid w:val="00B841F1"/>
    <w:rsid w:val="00B90A81"/>
    <w:rsid w:val="00B944D6"/>
    <w:rsid w:val="00BB37E8"/>
    <w:rsid w:val="00BB4DF0"/>
    <w:rsid w:val="00BC289F"/>
    <w:rsid w:val="00BC2D50"/>
    <w:rsid w:val="00BC5361"/>
    <w:rsid w:val="00BC5460"/>
    <w:rsid w:val="00BC6B50"/>
    <w:rsid w:val="00BD0E25"/>
    <w:rsid w:val="00BE083A"/>
    <w:rsid w:val="00BE2F1D"/>
    <w:rsid w:val="00BF5BD6"/>
    <w:rsid w:val="00C01E2D"/>
    <w:rsid w:val="00C03E31"/>
    <w:rsid w:val="00C33E72"/>
    <w:rsid w:val="00C354B2"/>
    <w:rsid w:val="00C35554"/>
    <w:rsid w:val="00C42709"/>
    <w:rsid w:val="00C533CC"/>
    <w:rsid w:val="00C5751C"/>
    <w:rsid w:val="00C61BFC"/>
    <w:rsid w:val="00C62B85"/>
    <w:rsid w:val="00C65438"/>
    <w:rsid w:val="00C87FD8"/>
    <w:rsid w:val="00C91381"/>
    <w:rsid w:val="00C91CBB"/>
    <w:rsid w:val="00CB483F"/>
    <w:rsid w:val="00CB4E70"/>
    <w:rsid w:val="00CB7188"/>
    <w:rsid w:val="00CC09B6"/>
    <w:rsid w:val="00CC666F"/>
    <w:rsid w:val="00CD1E3F"/>
    <w:rsid w:val="00CE44F6"/>
    <w:rsid w:val="00CE49DA"/>
    <w:rsid w:val="00CE7B61"/>
    <w:rsid w:val="00CF2FD5"/>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1F33"/>
    <w:rsid w:val="00DD73B7"/>
    <w:rsid w:val="00DE26CE"/>
    <w:rsid w:val="00DF28BC"/>
    <w:rsid w:val="00DF34B9"/>
    <w:rsid w:val="00DF49F1"/>
    <w:rsid w:val="00E01053"/>
    <w:rsid w:val="00E07ACF"/>
    <w:rsid w:val="00E331A1"/>
    <w:rsid w:val="00E33202"/>
    <w:rsid w:val="00E336A9"/>
    <w:rsid w:val="00E472B1"/>
    <w:rsid w:val="00E50624"/>
    <w:rsid w:val="00E51061"/>
    <w:rsid w:val="00E5174E"/>
    <w:rsid w:val="00E56818"/>
    <w:rsid w:val="00E568DF"/>
    <w:rsid w:val="00E63035"/>
    <w:rsid w:val="00E64269"/>
    <w:rsid w:val="00E749CA"/>
    <w:rsid w:val="00E82267"/>
    <w:rsid w:val="00E853CE"/>
    <w:rsid w:val="00E867B6"/>
    <w:rsid w:val="00EA010F"/>
    <w:rsid w:val="00ED1B63"/>
    <w:rsid w:val="00ED3C1F"/>
    <w:rsid w:val="00ED4085"/>
    <w:rsid w:val="00ED420E"/>
    <w:rsid w:val="00ED6FBE"/>
    <w:rsid w:val="00EE2F57"/>
    <w:rsid w:val="00EF4C34"/>
    <w:rsid w:val="00EF77C6"/>
    <w:rsid w:val="00F05438"/>
    <w:rsid w:val="00F05D1B"/>
    <w:rsid w:val="00F1361C"/>
    <w:rsid w:val="00F156F0"/>
    <w:rsid w:val="00F160C7"/>
    <w:rsid w:val="00F2408F"/>
    <w:rsid w:val="00F240E9"/>
    <w:rsid w:val="00F36D8F"/>
    <w:rsid w:val="00F417B1"/>
    <w:rsid w:val="00F45853"/>
    <w:rsid w:val="00F602DF"/>
    <w:rsid w:val="00F64D8B"/>
    <w:rsid w:val="00F754A1"/>
    <w:rsid w:val="00F81FD9"/>
    <w:rsid w:val="00F841AA"/>
    <w:rsid w:val="00F84A94"/>
    <w:rsid w:val="00F87E96"/>
    <w:rsid w:val="00FA23E8"/>
    <w:rsid w:val="00FB4246"/>
    <w:rsid w:val="00FC608A"/>
    <w:rsid w:val="00FD3CC1"/>
    <w:rsid w:val="00FE15E8"/>
    <w:rsid w:val="00FF1E02"/>
    <w:rsid w:val="00FF30B4"/>
    <w:rsid w:val="015975B8"/>
    <w:rsid w:val="02143E91"/>
    <w:rsid w:val="066E0107"/>
    <w:rsid w:val="07996F6E"/>
    <w:rsid w:val="0A2032A3"/>
    <w:rsid w:val="0F98263C"/>
    <w:rsid w:val="101860EC"/>
    <w:rsid w:val="10C055FF"/>
    <w:rsid w:val="118107EC"/>
    <w:rsid w:val="13D50BC4"/>
    <w:rsid w:val="16BB723D"/>
    <w:rsid w:val="19A21410"/>
    <w:rsid w:val="1BE8440E"/>
    <w:rsid w:val="1D155CEE"/>
    <w:rsid w:val="1FF35744"/>
    <w:rsid w:val="23860B96"/>
    <w:rsid w:val="240371BF"/>
    <w:rsid w:val="29FD04D3"/>
    <w:rsid w:val="2BAC5846"/>
    <w:rsid w:val="2C8A61B5"/>
    <w:rsid w:val="2DF04E50"/>
    <w:rsid w:val="2F040D46"/>
    <w:rsid w:val="311DC0D6"/>
    <w:rsid w:val="319F7F4E"/>
    <w:rsid w:val="32DD0106"/>
    <w:rsid w:val="3304709D"/>
    <w:rsid w:val="36AA5135"/>
    <w:rsid w:val="36EEA479"/>
    <w:rsid w:val="376D39B2"/>
    <w:rsid w:val="37E16F03"/>
    <w:rsid w:val="38D469F0"/>
    <w:rsid w:val="3A634FB7"/>
    <w:rsid w:val="3D98207C"/>
    <w:rsid w:val="3DEF0768"/>
    <w:rsid w:val="3E78745D"/>
    <w:rsid w:val="44A41DCD"/>
    <w:rsid w:val="44E268DA"/>
    <w:rsid w:val="4A627F82"/>
    <w:rsid w:val="4B0E749A"/>
    <w:rsid w:val="4B4F25DA"/>
    <w:rsid w:val="4BE068DB"/>
    <w:rsid w:val="4D577224"/>
    <w:rsid w:val="4EAB630A"/>
    <w:rsid w:val="4ECE2238"/>
    <w:rsid w:val="537E6D0A"/>
    <w:rsid w:val="5AF92295"/>
    <w:rsid w:val="5CD71FC4"/>
    <w:rsid w:val="62B569F7"/>
    <w:rsid w:val="63B6716F"/>
    <w:rsid w:val="63F71920"/>
    <w:rsid w:val="67DD2A4B"/>
    <w:rsid w:val="6C4A05C8"/>
    <w:rsid w:val="6E7E3605"/>
    <w:rsid w:val="6F8B4897"/>
    <w:rsid w:val="6FF5CC65"/>
    <w:rsid w:val="6FFB61A5"/>
    <w:rsid w:val="6FFF6026"/>
    <w:rsid w:val="715C0E4B"/>
    <w:rsid w:val="72734D90"/>
    <w:rsid w:val="73AD73D5"/>
    <w:rsid w:val="73B6EB34"/>
    <w:rsid w:val="744731E5"/>
    <w:rsid w:val="76E3355F"/>
    <w:rsid w:val="778769C8"/>
    <w:rsid w:val="79034A66"/>
    <w:rsid w:val="79EE5BA4"/>
    <w:rsid w:val="7A894339"/>
    <w:rsid w:val="7CFF9300"/>
    <w:rsid w:val="7EEF11D3"/>
    <w:rsid w:val="7EF350D8"/>
    <w:rsid w:val="7F77A2E0"/>
    <w:rsid w:val="7FA30C79"/>
    <w:rsid w:val="7FB7269E"/>
    <w:rsid w:val="7FC96657"/>
    <w:rsid w:val="7FDF78BE"/>
    <w:rsid w:val="A7FFC722"/>
    <w:rsid w:val="AFDD18C0"/>
    <w:rsid w:val="BADF2FF9"/>
    <w:rsid w:val="BF2E6BC5"/>
    <w:rsid w:val="C4DFABEE"/>
    <w:rsid w:val="D8D6DB89"/>
    <w:rsid w:val="DB6F4CAB"/>
    <w:rsid w:val="DF6F9789"/>
    <w:rsid w:val="EDDBD37F"/>
    <w:rsid w:val="F7B71D55"/>
    <w:rsid w:val="F8DF3359"/>
    <w:rsid w:val="F97E99C0"/>
    <w:rsid w:val="FCDB50A5"/>
    <w:rsid w:val="FE7B39E2"/>
    <w:rsid w:val="FF6F75C8"/>
    <w:rsid w:val="FFAF36C0"/>
    <w:rsid w:val="FFBB3E7A"/>
    <w:rsid w:val="FFF62163"/>
    <w:rsid w:val="FFFF129C"/>
    <w:rsid w:val="FFFF460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w:basedOn w:val="1"/>
    <w:link w:val="18"/>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22"/>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正文文本 Char"/>
    <w:link w:val="2"/>
    <w:qFormat/>
    <w:locked/>
    <w:uiPriority w:val="99"/>
    <w:rPr>
      <w:rFonts w:ascii="仿宋_GB2312" w:hAnsi="Times New Roman" w:eastAsia="仿宋_GB2312"/>
      <w:sz w:val="24"/>
    </w:rPr>
  </w:style>
  <w:style w:type="character" w:customStyle="1" w:styleId="19">
    <w:name w:val="标题 1 Char"/>
    <w:basedOn w:val="15"/>
    <w:link w:val="3"/>
    <w:qFormat/>
    <w:uiPriority w:val="9"/>
    <w:rPr>
      <w:rFonts w:ascii="Times New Roman" w:hAnsi="Times New Roman"/>
      <w:b/>
      <w:bCs/>
      <w:kern w:val="44"/>
      <w:sz w:val="44"/>
      <w:szCs w:val="44"/>
    </w:rPr>
  </w:style>
  <w:style w:type="character" w:customStyle="1" w:styleId="20">
    <w:name w:val="标题 2 Char"/>
    <w:basedOn w:val="15"/>
    <w:link w:val="4"/>
    <w:qFormat/>
    <w:uiPriority w:val="9"/>
    <w:rPr>
      <w:rFonts w:asciiTheme="majorHAnsi" w:hAnsiTheme="majorHAnsi" w:eastAsiaTheme="majorEastAsia" w:cstheme="majorBidi"/>
      <w:b/>
      <w:bCs/>
      <w:kern w:val="2"/>
      <w:sz w:val="32"/>
      <w:szCs w:val="32"/>
    </w:rPr>
  </w:style>
  <w:style w:type="character" w:customStyle="1" w:styleId="21">
    <w:name w:val="标题 3 Char"/>
    <w:basedOn w:val="15"/>
    <w:link w:val="5"/>
    <w:qFormat/>
    <w:uiPriority w:val="9"/>
    <w:rPr>
      <w:rFonts w:ascii="Times New Roman" w:hAnsi="Times New Roman"/>
      <w:b/>
      <w:bCs/>
      <w:kern w:val="2"/>
      <w:sz w:val="32"/>
      <w:szCs w:val="32"/>
    </w:rPr>
  </w:style>
  <w:style w:type="character" w:customStyle="1" w:styleId="22">
    <w:name w:val="批注框文本 Char"/>
    <w:basedOn w:val="15"/>
    <w:link w:val="8"/>
    <w:semiHidden/>
    <w:qFormat/>
    <w:uiPriority w:val="99"/>
    <w:rPr>
      <w:rFonts w:ascii="Times New Roman" w:hAnsi="Times New Roman"/>
      <w:kern w:val="2"/>
      <w:sz w:val="18"/>
      <w:szCs w:val="18"/>
    </w:rPr>
  </w:style>
  <w:style w:type="character" w:customStyle="1" w:styleId="23">
    <w:name w:val="页脚 Char"/>
    <w:link w:val="9"/>
    <w:qFormat/>
    <w:locked/>
    <w:uiPriority w:val="99"/>
    <w:rPr>
      <w:sz w:val="18"/>
    </w:rPr>
  </w:style>
  <w:style w:type="character" w:customStyle="1" w:styleId="24">
    <w:name w:val="页眉 Char"/>
    <w:link w:val="10"/>
    <w:semiHidden/>
    <w:qFormat/>
    <w:locked/>
    <w:uiPriority w:val="99"/>
    <w:rPr>
      <w:sz w:val="18"/>
    </w:rPr>
  </w:style>
  <w:style w:type="paragraph" w:customStyle="1" w:styleId="25">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6">
    <w:name w:val="Header Char"/>
    <w:basedOn w:val="15"/>
    <w:semiHidden/>
    <w:qFormat/>
    <w:uiPriority w:val="99"/>
    <w:rPr>
      <w:rFonts w:ascii="Times New Roman" w:hAnsi="Times New Roman"/>
      <w:sz w:val="18"/>
      <w:szCs w:val="18"/>
    </w:rPr>
  </w:style>
  <w:style w:type="character" w:customStyle="1" w:styleId="27">
    <w:name w:val="Footer Char"/>
    <w:basedOn w:val="15"/>
    <w:semiHidden/>
    <w:qFormat/>
    <w:uiPriority w:val="99"/>
    <w:rPr>
      <w:rFonts w:ascii="Times New Roman" w:hAnsi="Times New Roman"/>
      <w:sz w:val="18"/>
      <w:szCs w:val="18"/>
    </w:rPr>
  </w:style>
  <w:style w:type="character" w:customStyle="1" w:styleId="28">
    <w:name w:val="Body Text Char"/>
    <w:basedOn w:val="15"/>
    <w:semiHidden/>
    <w:qFormat/>
    <w:uiPriority w:val="99"/>
    <w:rPr>
      <w:rFonts w:ascii="Times New Roman" w:hAnsi="Times New Roman"/>
      <w:szCs w:val="24"/>
    </w:rPr>
  </w:style>
  <w:style w:type="paragraph" w:customStyle="1" w:styleId="2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qFormat/>
    <w:uiPriority w:val="34"/>
    <w:pPr>
      <w:ind w:firstLine="420" w:firstLineChars="200"/>
    </w:p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theme" Target="theme/theme1.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917854718262"/>
          <c:y val="0"/>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收、支决算总计变动情况图</c:v>
                </c:pt>
              </c:strCache>
            </c:strRef>
          </c:tx>
          <c:invertIfNegative val="0"/>
          <c:dLbls>
            <c:delete val="1"/>
          </c:dLbls>
          <c:cat>
            <c:strRef>
              <c:f>Sheet1!$A$2:$A$5</c:f>
              <c:strCache>
                <c:ptCount val="2"/>
                <c:pt idx="0">
                  <c:v>2021年</c:v>
                </c:pt>
                <c:pt idx="1">
                  <c:v>2022年</c:v>
                </c:pt>
              </c:strCache>
            </c:strRef>
          </c:cat>
          <c:val>
            <c:numRef>
              <c:f>Sheet1!$B$2:$B$5</c:f>
              <c:numCache>
                <c:formatCode>General</c:formatCode>
                <c:ptCount val="4"/>
                <c:pt idx="0">
                  <c:v>1720.41</c:v>
                </c:pt>
                <c:pt idx="1">
                  <c:v>1840.85</c:v>
                </c:pt>
              </c:numCache>
            </c:numRef>
          </c:val>
        </c:ser>
        <c:dLbls>
          <c:showLegendKey val="0"/>
          <c:showVal val="0"/>
          <c:showCatName val="0"/>
          <c:showSerName val="0"/>
          <c:showPercent val="0"/>
          <c:showBubbleSize val="0"/>
        </c:dLbls>
        <c:gapWidth val="150"/>
        <c:axId val="173387776"/>
        <c:axId val="173389312"/>
      </c:barChart>
      <c:catAx>
        <c:axId val="1733877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389312"/>
        <c:crosses val="autoZero"/>
        <c:auto val="1"/>
        <c:lblAlgn val="ctr"/>
        <c:lblOffset val="100"/>
        <c:noMultiLvlLbl val="0"/>
      </c:catAx>
      <c:valAx>
        <c:axId val="1733893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38777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3fb2daa-b792-42cf-abce-bf15f2236564}"/>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本年收入</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一般公共预算财政拨款收入</c:v>
                </c:pt>
                <c:pt idx="1">
                  <c:v>政府性基金预算财政拨款收入</c:v>
                </c:pt>
                <c:pt idx="2">
                  <c:v>上级补助收入</c:v>
                </c:pt>
                <c:pt idx="3">
                  <c:v>其他收入</c:v>
                </c:pt>
              </c:strCache>
            </c:strRef>
          </c:cat>
          <c:val>
            <c:numRef>
              <c:f>Sheet1!$B$2:$B$5</c:f>
              <c:numCache>
                <c:formatCode>General</c:formatCode>
                <c:ptCount val="4"/>
                <c:pt idx="0">
                  <c:v>1840.85</c:v>
                </c:pt>
                <c:pt idx="1">
                  <c:v>0</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b97d6bf-78b4-48eb-a507-f8e25162c28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本年支出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Sheet1!$A$2:$A$3</c:f>
              <c:strCache>
                <c:ptCount val="2"/>
                <c:pt idx="0">
                  <c:v>基本支出</c:v>
                </c:pt>
                <c:pt idx="1">
                  <c:v>项目支出</c:v>
                </c:pt>
              </c:strCache>
            </c:strRef>
          </c:cat>
          <c:val>
            <c:numRef>
              <c:f>Sheet1!$B$2:$B$3</c:f>
              <c:numCache>
                <c:formatCode>General</c:formatCode>
                <c:ptCount val="2"/>
                <c:pt idx="0">
                  <c:v>1714.31</c:v>
                </c:pt>
                <c:pt idx="1">
                  <c:v>126.54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6a73c67-1e5b-48f3-b828-95012bd2f00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917854718262"/>
          <c:y val="0"/>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财政拨款收、支决算总计变动情况</c:v>
                </c:pt>
              </c:strCache>
            </c:strRef>
          </c:tx>
          <c:invertIfNegative val="0"/>
          <c:dLbls>
            <c:delete val="1"/>
          </c:dLbls>
          <c:cat>
            <c:strRef>
              <c:f>Sheet1!$A$2:$A$5</c:f>
              <c:strCache>
                <c:ptCount val="2"/>
                <c:pt idx="0">
                  <c:v>2021年</c:v>
                </c:pt>
                <c:pt idx="1">
                  <c:v>2022年</c:v>
                </c:pt>
              </c:strCache>
            </c:strRef>
          </c:cat>
          <c:val>
            <c:numRef>
              <c:f>Sheet1!$B$2:$B$5</c:f>
              <c:numCache>
                <c:formatCode>General</c:formatCode>
                <c:ptCount val="4"/>
                <c:pt idx="0">
                  <c:v>1699.68</c:v>
                </c:pt>
                <c:pt idx="1">
                  <c:v>1840.85</c:v>
                </c:pt>
              </c:numCache>
            </c:numRef>
          </c:val>
        </c:ser>
        <c:dLbls>
          <c:showLegendKey val="0"/>
          <c:showVal val="0"/>
          <c:showCatName val="0"/>
          <c:showSerName val="0"/>
          <c:showPercent val="0"/>
          <c:showBubbleSize val="0"/>
        </c:dLbls>
        <c:gapWidth val="150"/>
        <c:axId val="183714560"/>
        <c:axId val="183716096"/>
      </c:barChart>
      <c:catAx>
        <c:axId val="1837145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3716096"/>
        <c:crosses val="autoZero"/>
        <c:auto val="1"/>
        <c:lblAlgn val="ctr"/>
        <c:lblOffset val="100"/>
        <c:noMultiLvlLbl val="0"/>
      </c:catAx>
      <c:valAx>
        <c:axId val="1837160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371456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104901d-3064-4bb2-a73a-b4609f9e5638}"/>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917854718262"/>
          <c:y val="0"/>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一般公共预算财政拨款支出决算变动情况</c:v>
                </c:pt>
              </c:strCache>
            </c:strRef>
          </c:tx>
          <c:invertIfNegative val="0"/>
          <c:dLbls>
            <c:delete val="1"/>
          </c:dLbls>
          <c:cat>
            <c:strRef>
              <c:f>Sheet1!$A$2:$A$5</c:f>
              <c:strCache>
                <c:ptCount val="2"/>
                <c:pt idx="0">
                  <c:v>2021年</c:v>
                </c:pt>
                <c:pt idx="1">
                  <c:v>2022年</c:v>
                </c:pt>
              </c:strCache>
            </c:strRef>
          </c:cat>
          <c:val>
            <c:numRef>
              <c:f>Sheet1!$B$2:$B$5</c:f>
              <c:numCache>
                <c:formatCode>General</c:formatCode>
                <c:ptCount val="4"/>
                <c:pt idx="0">
                  <c:v>1699.68</c:v>
                </c:pt>
                <c:pt idx="1">
                  <c:v>1840.85</c:v>
                </c:pt>
              </c:numCache>
            </c:numRef>
          </c:val>
        </c:ser>
        <c:dLbls>
          <c:showLegendKey val="0"/>
          <c:showVal val="0"/>
          <c:showCatName val="0"/>
          <c:showSerName val="0"/>
          <c:showPercent val="0"/>
          <c:showBubbleSize val="0"/>
        </c:dLbls>
        <c:gapWidth val="150"/>
        <c:axId val="184305920"/>
        <c:axId val="184307712"/>
      </c:barChart>
      <c:catAx>
        <c:axId val="18430592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4307712"/>
        <c:crosses val="autoZero"/>
        <c:auto val="1"/>
        <c:lblAlgn val="ctr"/>
        <c:lblOffset val="100"/>
        <c:noMultiLvlLbl val="0"/>
      </c:catAx>
      <c:valAx>
        <c:axId val="1843077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430592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d6fb184-7c9d-4075-a8aa-5ae9bb73c9c0}"/>
      </c:ext>
    </c:extLst>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1339.53</c:v>
                </c:pt>
                <c:pt idx="1">
                  <c:v>228.49</c:v>
                </c:pt>
                <c:pt idx="2">
                  <c:v>149.35</c:v>
                </c:pt>
                <c:pt idx="3">
                  <c:v>123.47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e17b7e6-4c1a-4de6-815d-e792a7d7601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Sheet1!$A$2:$A$4</c:f>
              <c:strCache>
                <c:ptCount val="3"/>
                <c:pt idx="0">
                  <c:v>因公出国（境）费支出</c:v>
                </c:pt>
                <c:pt idx="1">
                  <c:v>公务用车购置及运行维护费支出</c:v>
                </c:pt>
                <c:pt idx="2">
                  <c:v>公务接待费支出</c:v>
                </c:pt>
              </c:strCache>
            </c:strRef>
          </c:cat>
          <c:val>
            <c:numRef>
              <c:f>Sheet1!$B$2:$B$4</c:f>
              <c:numCache>
                <c:formatCode>General</c:formatCode>
                <c:ptCount val="3"/>
                <c:pt idx="0">
                  <c:v>0</c:v>
                </c:pt>
                <c:pt idx="1">
                  <c:v>1</c:v>
                </c:pt>
                <c:pt idx="2">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7061e3-9508-4795-972e-5a903adfe8c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58</Pages>
  <Words>2384</Words>
  <Characters>13590</Characters>
  <Lines>113</Lines>
  <Paragraphs>31</Paragraphs>
  <TotalTime>25</TotalTime>
  <ScaleCrop>false</ScaleCrop>
  <LinksUpToDate>false</LinksUpToDate>
  <CharactersWithSpaces>15943</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2023-10-25T15:20:00Z</dcterms:created>
  <dc:creator>曹颖</dc:creator>
  <cp:lastModifiedBy>县市场监管局</cp:lastModifiedBy>
  <cp:lastPrinted>2023-08-01T10:35:00Z</cp:lastPrinted>
  <dcterms:modified xsi:type="dcterms:W3CDTF">2026-04-03T09:32:43Z</dcterms:modified>
  <dc:title>四川省***</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FB38E095A8374B9C86EC1CEA077B6831_12</vt:lpwstr>
  </property>
</Properties>
</file>