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56158">
      <w:pPr>
        <w:rPr>
          <w:rFonts w:hint="eastAsia" w:ascii="Times New Roman" w:hAnsi="Times New Roman" w:eastAsia="方正仿宋_GBK" w:cs="方正仿宋_GBK"/>
          <w:color w:val="auto"/>
          <w:sz w:val="32"/>
          <w:szCs w:val="32"/>
        </w:rPr>
      </w:pPr>
    </w:p>
    <w:p w14:paraId="3024A0F7">
      <w:pPr>
        <w:rPr>
          <w:rFonts w:hint="eastAsia" w:ascii="Times New Roman" w:hAnsi="Times New Roman" w:eastAsia="方正仿宋_GBK" w:cs="方正仿宋_GBK"/>
          <w:color w:val="auto"/>
          <w:sz w:val="32"/>
          <w:szCs w:val="32"/>
        </w:rPr>
      </w:pPr>
    </w:p>
    <w:p w14:paraId="1AB45F22">
      <w:pPr>
        <w:rPr>
          <w:rFonts w:hint="eastAsia" w:ascii="Times New Roman" w:hAnsi="Times New Roman" w:eastAsia="方正仿宋_GBK" w:cs="方正仿宋_GBK"/>
          <w:color w:val="auto"/>
          <w:sz w:val="32"/>
          <w:szCs w:val="32"/>
        </w:rPr>
      </w:pPr>
    </w:p>
    <w:p w14:paraId="47FF13E9">
      <w:pPr>
        <w:rPr>
          <w:rFonts w:hint="eastAsia" w:ascii="Times New Roman" w:hAnsi="Times New Roman" w:eastAsia="方正仿宋_GBK" w:cs="方正仿宋_GBK"/>
          <w:color w:val="auto"/>
          <w:sz w:val="32"/>
          <w:szCs w:val="32"/>
        </w:rPr>
      </w:pPr>
    </w:p>
    <w:p w14:paraId="3C44C8C9">
      <w:pPr>
        <w:rPr>
          <w:rFonts w:hint="eastAsia" w:ascii="Times New Roman" w:hAnsi="Times New Roman" w:eastAsia="方正仿宋_GBK" w:cs="方正仿宋_GBK"/>
          <w:color w:val="auto"/>
          <w:sz w:val="32"/>
          <w:szCs w:val="32"/>
        </w:rPr>
      </w:pPr>
    </w:p>
    <w:p w14:paraId="358782F6">
      <w:pPr>
        <w:rPr>
          <w:rFonts w:hint="eastAsia" w:ascii="Times New Roman" w:hAnsi="Times New Roman" w:eastAsia="方正仿宋_GBK" w:cs="方正仿宋_GBK"/>
          <w:color w:val="auto"/>
          <w:sz w:val="32"/>
          <w:szCs w:val="32"/>
        </w:rPr>
      </w:pPr>
    </w:p>
    <w:p w14:paraId="2BF4AB38">
      <w:pPr>
        <w:rPr>
          <w:rFonts w:hint="eastAsia" w:ascii="Times New Roman" w:hAnsi="Times New Roman" w:eastAsia="方正仿宋_GBK" w:cs="方正仿宋_GBK"/>
          <w:color w:val="auto"/>
          <w:sz w:val="32"/>
          <w:szCs w:val="32"/>
        </w:rPr>
      </w:pPr>
    </w:p>
    <w:p w14:paraId="759B9C5B">
      <w:pPr>
        <w:rPr>
          <w:rFonts w:hint="eastAsia" w:ascii="Times New Roman" w:hAnsi="Times New Roman" w:eastAsia="方正仿宋_GBK" w:cs="方正仿宋_GBK"/>
          <w:color w:val="auto"/>
          <w:sz w:val="32"/>
          <w:szCs w:val="32"/>
        </w:rPr>
      </w:pPr>
    </w:p>
    <w:p w14:paraId="41413294">
      <w:pPr>
        <w:rPr>
          <w:rFonts w:hint="eastAsia" w:ascii="Times New Roman" w:hAnsi="Times New Roman" w:eastAsia="方正仿宋_GBK" w:cs="方正仿宋_GBK"/>
          <w:color w:val="auto"/>
          <w:sz w:val="32"/>
          <w:szCs w:val="32"/>
        </w:rPr>
      </w:pPr>
    </w:p>
    <w:p w14:paraId="679FEAB3">
      <w:pPr>
        <w:spacing w:line="0" w:lineRule="atLeast"/>
        <w:jc w:val="center"/>
        <w:rPr>
          <w:rFonts w:hint="eastAsia" w:ascii="Times New Roman" w:hAnsi="Times New Roman" w:eastAsia="方正小标宋_GBK" w:cs="方正小标宋_GBK"/>
          <w:b/>
          <w:bCs/>
          <w:color w:val="auto"/>
          <w:sz w:val="44"/>
          <w:szCs w:val="44"/>
        </w:rPr>
      </w:pPr>
      <w:r>
        <w:rPr>
          <w:rFonts w:hint="eastAsia" w:ascii="Times New Roman" w:hAnsi="Times New Roman" w:eastAsia="方正小标宋_GBK" w:cs="方正小标宋_GBK"/>
          <w:b/>
          <w:bCs/>
          <w:color w:val="auto"/>
          <w:sz w:val="44"/>
          <w:szCs w:val="44"/>
        </w:rPr>
        <w:t>盐边县医疗保障局</w:t>
      </w:r>
    </w:p>
    <w:p w14:paraId="475496EC">
      <w:pPr>
        <w:spacing w:line="0" w:lineRule="atLeast"/>
        <w:jc w:val="center"/>
        <w:rPr>
          <w:rFonts w:hint="eastAsia" w:ascii="Times New Roman" w:hAnsi="Times New Roman" w:eastAsia="方正小标宋_GBK" w:cs="方正小标宋_GBK"/>
          <w:b/>
          <w:bCs/>
          <w:color w:val="auto"/>
          <w:sz w:val="44"/>
          <w:szCs w:val="44"/>
        </w:rPr>
      </w:pPr>
      <w:r>
        <w:rPr>
          <w:rFonts w:hint="eastAsia" w:ascii="Times New Roman" w:hAnsi="Times New Roman" w:eastAsia="方正小标宋_GBK" w:cs="方正小标宋_GBK"/>
          <w:b/>
          <w:bCs/>
          <w:color w:val="auto"/>
          <w:sz w:val="44"/>
          <w:szCs w:val="44"/>
        </w:rPr>
        <w:t>2025年部门预算编制说明</w:t>
      </w:r>
    </w:p>
    <w:p w14:paraId="220CAAA3">
      <w:pPr>
        <w:rPr>
          <w:rFonts w:hint="eastAsia" w:ascii="Times New Roman" w:hAnsi="Times New Roman" w:eastAsia="方正仿宋_GBK" w:cs="方正仿宋_GBK"/>
          <w:color w:val="auto"/>
          <w:sz w:val="32"/>
          <w:szCs w:val="32"/>
        </w:rPr>
      </w:pPr>
    </w:p>
    <w:p w14:paraId="7D60711C">
      <w:pPr>
        <w:rPr>
          <w:rFonts w:hint="eastAsia" w:ascii="Times New Roman" w:hAnsi="Times New Roman" w:eastAsia="方正仿宋_GBK" w:cs="方正仿宋_GBK"/>
          <w:color w:val="auto"/>
          <w:sz w:val="32"/>
          <w:szCs w:val="32"/>
        </w:rPr>
      </w:pPr>
    </w:p>
    <w:p w14:paraId="223CEA26">
      <w:pPr>
        <w:rPr>
          <w:rFonts w:hint="eastAsia" w:ascii="Times New Roman" w:hAnsi="Times New Roman" w:eastAsia="方正仿宋_GBK" w:cs="方正仿宋_GBK"/>
          <w:color w:val="auto"/>
          <w:sz w:val="32"/>
          <w:szCs w:val="32"/>
        </w:rPr>
      </w:pPr>
    </w:p>
    <w:p w14:paraId="4B964F02">
      <w:pPr>
        <w:rPr>
          <w:rFonts w:hint="eastAsia" w:ascii="Times New Roman" w:hAnsi="Times New Roman" w:eastAsia="方正仿宋_GBK" w:cs="方正仿宋_GBK"/>
          <w:color w:val="auto"/>
          <w:sz w:val="32"/>
          <w:szCs w:val="32"/>
        </w:rPr>
      </w:pPr>
    </w:p>
    <w:p w14:paraId="499B8569">
      <w:pPr>
        <w:rPr>
          <w:rFonts w:hint="eastAsia" w:ascii="Times New Roman" w:hAnsi="Times New Roman" w:eastAsia="方正仿宋_GBK" w:cs="方正仿宋_GBK"/>
          <w:color w:val="auto"/>
          <w:sz w:val="32"/>
          <w:szCs w:val="32"/>
        </w:rPr>
      </w:pPr>
    </w:p>
    <w:p w14:paraId="7725994E">
      <w:pPr>
        <w:rPr>
          <w:rFonts w:hint="eastAsia" w:ascii="Times New Roman" w:hAnsi="Times New Roman" w:eastAsia="方正仿宋_GBK" w:cs="方正仿宋_GBK"/>
          <w:color w:val="auto"/>
          <w:sz w:val="32"/>
          <w:szCs w:val="32"/>
        </w:rPr>
      </w:pPr>
    </w:p>
    <w:p w14:paraId="69101845">
      <w:pPr>
        <w:rPr>
          <w:rFonts w:hint="eastAsia" w:ascii="Times New Roman" w:hAnsi="Times New Roman" w:eastAsia="方正仿宋_GBK" w:cs="方正仿宋_GBK"/>
          <w:color w:val="auto"/>
          <w:sz w:val="32"/>
          <w:szCs w:val="32"/>
        </w:rPr>
      </w:pPr>
    </w:p>
    <w:p w14:paraId="59A610FC">
      <w:pPr>
        <w:rPr>
          <w:rFonts w:hint="eastAsia" w:ascii="Times New Roman" w:hAnsi="Times New Roman" w:eastAsia="方正仿宋_GBK" w:cs="方正仿宋_GBK"/>
          <w:color w:val="auto"/>
          <w:sz w:val="32"/>
          <w:szCs w:val="32"/>
        </w:rPr>
      </w:pPr>
    </w:p>
    <w:p w14:paraId="4DB41688">
      <w:pPr>
        <w:rPr>
          <w:rFonts w:hint="eastAsia" w:ascii="Times New Roman" w:hAnsi="Times New Roman" w:eastAsia="方正仿宋_GBK" w:cs="方正仿宋_GBK"/>
          <w:color w:val="auto"/>
          <w:sz w:val="32"/>
          <w:szCs w:val="32"/>
        </w:rPr>
      </w:pPr>
    </w:p>
    <w:p w14:paraId="2ABBCD1C">
      <w:pPr>
        <w:spacing w:line="0" w:lineRule="atLeast"/>
        <w:jc w:val="center"/>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目录</w:t>
      </w:r>
    </w:p>
    <w:p w14:paraId="62D78578">
      <w:pPr>
        <w:rPr>
          <w:rFonts w:hint="eastAsia" w:ascii="Times New Roman" w:hAnsi="Times New Roman" w:eastAsia="方正仿宋_GBK" w:cs="方正仿宋_GBK"/>
          <w:color w:val="auto"/>
          <w:sz w:val="32"/>
          <w:szCs w:val="32"/>
        </w:rPr>
      </w:pPr>
    </w:p>
    <w:p w14:paraId="0B330F82">
      <w:pPr>
        <w:tabs>
          <w:tab w:val="center" w:leader="dot" w:pos="8820"/>
        </w:tabs>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color w:val="auto"/>
          <w:sz w:val="32"/>
          <w:szCs w:val="32"/>
        </w:rPr>
        <w:t>一、基本职能及主要工作</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（4）</w:t>
      </w:r>
    </w:p>
    <w:p w14:paraId="0BF2B0B2">
      <w:pPr>
        <w:tabs>
          <w:tab w:val="center" w:leader="dot" w:pos="8820"/>
        </w:tabs>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（一）县医保局职能简介</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（4）</w:t>
      </w:r>
    </w:p>
    <w:p w14:paraId="522F7112">
      <w:pPr>
        <w:tabs>
          <w:tab w:val="center" w:leader="dot" w:pos="8820"/>
        </w:tabs>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（二）县医保局2025年重点工作</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6</w:t>
      </w:r>
      <w:r>
        <w:rPr>
          <w:rFonts w:hint="eastAsia" w:ascii="Times New Roman" w:hAnsi="Times New Roman" w:eastAsia="方正仿宋_GBK" w:cs="方正仿宋_GBK"/>
          <w:color w:val="auto"/>
          <w:sz w:val="32"/>
          <w:szCs w:val="32"/>
        </w:rPr>
        <w:t>）</w:t>
      </w:r>
    </w:p>
    <w:p w14:paraId="151BA8CA">
      <w:pPr>
        <w:tabs>
          <w:tab w:val="center" w:leader="dot" w:pos="8820"/>
        </w:tabs>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color w:val="auto"/>
          <w:sz w:val="32"/>
          <w:szCs w:val="32"/>
        </w:rPr>
        <w:t>二、机构设置情况</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7</w:t>
      </w:r>
      <w:r>
        <w:rPr>
          <w:rFonts w:hint="eastAsia" w:ascii="Times New Roman" w:hAnsi="Times New Roman" w:eastAsia="方正仿宋_GBK" w:cs="方正仿宋_GBK"/>
          <w:color w:val="auto"/>
          <w:sz w:val="32"/>
          <w:szCs w:val="32"/>
        </w:rPr>
        <w:t>）</w:t>
      </w:r>
    </w:p>
    <w:p w14:paraId="6EFB4B50">
      <w:pPr>
        <w:tabs>
          <w:tab w:val="center" w:leader="dot" w:pos="8820"/>
        </w:tabs>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color w:val="auto"/>
          <w:sz w:val="32"/>
          <w:szCs w:val="32"/>
        </w:rPr>
        <w:t>三、收支预算情况说明</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8</w:t>
      </w:r>
      <w:r>
        <w:rPr>
          <w:rFonts w:hint="eastAsia" w:ascii="Times New Roman" w:hAnsi="Times New Roman" w:eastAsia="方正仿宋_GBK" w:cs="方正仿宋_GBK"/>
          <w:color w:val="auto"/>
          <w:sz w:val="32"/>
          <w:szCs w:val="32"/>
        </w:rPr>
        <w:t>）</w:t>
      </w:r>
    </w:p>
    <w:p w14:paraId="276BC1DF">
      <w:pPr>
        <w:tabs>
          <w:tab w:val="center" w:leader="dot" w:pos="8820"/>
        </w:tabs>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（一）收入预算情况</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8</w:t>
      </w:r>
      <w:r>
        <w:rPr>
          <w:rFonts w:hint="eastAsia" w:ascii="Times New Roman" w:hAnsi="Times New Roman" w:eastAsia="方正仿宋_GBK" w:cs="方正仿宋_GBK"/>
          <w:color w:val="auto"/>
          <w:sz w:val="32"/>
          <w:szCs w:val="32"/>
        </w:rPr>
        <w:t>）</w:t>
      </w:r>
    </w:p>
    <w:p w14:paraId="318CB858">
      <w:pPr>
        <w:tabs>
          <w:tab w:val="center" w:leader="dot" w:pos="8820"/>
        </w:tabs>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（二）支出预算情况</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8</w:t>
      </w:r>
      <w:r>
        <w:rPr>
          <w:rFonts w:hint="eastAsia" w:ascii="Times New Roman" w:hAnsi="Times New Roman" w:eastAsia="方正仿宋_GBK" w:cs="方正仿宋_GBK"/>
          <w:color w:val="auto"/>
          <w:sz w:val="32"/>
          <w:szCs w:val="32"/>
        </w:rPr>
        <w:t>）</w:t>
      </w:r>
    </w:p>
    <w:p w14:paraId="37E4EAB0">
      <w:pPr>
        <w:tabs>
          <w:tab w:val="center" w:leader="dot" w:pos="8820"/>
        </w:tabs>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color w:val="auto"/>
          <w:sz w:val="32"/>
          <w:szCs w:val="32"/>
        </w:rPr>
        <w:t>四、财政拨款收支预算情况说明</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8</w:t>
      </w:r>
      <w:r>
        <w:rPr>
          <w:rFonts w:hint="eastAsia" w:ascii="Times New Roman" w:hAnsi="Times New Roman" w:eastAsia="方正仿宋_GBK" w:cs="方正仿宋_GBK"/>
          <w:color w:val="auto"/>
          <w:sz w:val="32"/>
          <w:szCs w:val="32"/>
        </w:rPr>
        <w:t>）</w:t>
      </w:r>
    </w:p>
    <w:p w14:paraId="6EBDF447">
      <w:pPr>
        <w:tabs>
          <w:tab w:val="center" w:leader="dot" w:pos="8820"/>
        </w:tabs>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color w:val="auto"/>
          <w:sz w:val="32"/>
          <w:szCs w:val="32"/>
        </w:rPr>
        <w:t>五、一般公共预算当年拨款情况说明</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8</w:t>
      </w:r>
      <w:r>
        <w:rPr>
          <w:rFonts w:hint="eastAsia" w:ascii="Times New Roman" w:hAnsi="Times New Roman" w:eastAsia="方正仿宋_GBK" w:cs="方正仿宋_GBK"/>
          <w:color w:val="auto"/>
          <w:sz w:val="32"/>
          <w:szCs w:val="32"/>
        </w:rPr>
        <w:t>）</w:t>
      </w:r>
    </w:p>
    <w:p w14:paraId="51B02666">
      <w:pPr>
        <w:tabs>
          <w:tab w:val="center" w:leader="dot" w:pos="8820"/>
        </w:tabs>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（一）一般公共预算当年拨款规模变化情况</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9</w:t>
      </w:r>
      <w:r>
        <w:rPr>
          <w:rFonts w:hint="eastAsia" w:ascii="Times New Roman" w:hAnsi="Times New Roman" w:eastAsia="方正仿宋_GBK" w:cs="方正仿宋_GBK"/>
          <w:color w:val="auto"/>
          <w:sz w:val="32"/>
          <w:szCs w:val="32"/>
        </w:rPr>
        <w:t>）</w:t>
      </w:r>
    </w:p>
    <w:p w14:paraId="09B0BE67">
      <w:pPr>
        <w:tabs>
          <w:tab w:val="center" w:leader="dot" w:pos="8820"/>
        </w:tabs>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（二）一般公共预算当年拨款结构情况</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9</w:t>
      </w:r>
      <w:r>
        <w:rPr>
          <w:rFonts w:hint="eastAsia" w:ascii="Times New Roman" w:hAnsi="Times New Roman" w:eastAsia="方正仿宋_GBK" w:cs="方正仿宋_GBK"/>
          <w:color w:val="auto"/>
          <w:sz w:val="32"/>
          <w:szCs w:val="32"/>
        </w:rPr>
        <w:t>）</w:t>
      </w:r>
    </w:p>
    <w:p w14:paraId="3C7E0986">
      <w:pPr>
        <w:tabs>
          <w:tab w:val="center" w:leader="dot" w:pos="8820"/>
        </w:tabs>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（三）一般公共预算当年拨款具体使用情况</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9</w:t>
      </w:r>
      <w:r>
        <w:rPr>
          <w:rFonts w:hint="eastAsia" w:ascii="Times New Roman" w:hAnsi="Times New Roman" w:eastAsia="方正仿宋_GBK" w:cs="方正仿宋_GBK"/>
          <w:color w:val="auto"/>
          <w:sz w:val="32"/>
          <w:szCs w:val="32"/>
        </w:rPr>
        <w:t>）</w:t>
      </w:r>
    </w:p>
    <w:p w14:paraId="0B1D4172">
      <w:pPr>
        <w:tabs>
          <w:tab w:val="center" w:leader="dot" w:pos="8820"/>
        </w:tabs>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color w:val="auto"/>
          <w:sz w:val="32"/>
          <w:szCs w:val="32"/>
        </w:rPr>
        <w:t>六、一般公共预算基本支出情况说明</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1</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w:t>
      </w:r>
    </w:p>
    <w:p w14:paraId="790691D9">
      <w:pPr>
        <w:tabs>
          <w:tab w:val="center" w:leader="dot" w:pos="8820"/>
        </w:tabs>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color w:val="auto"/>
          <w:sz w:val="32"/>
          <w:szCs w:val="32"/>
        </w:rPr>
        <w:t>七、“三公”经费财政拨款预算安排情况说明</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1</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w:t>
      </w:r>
    </w:p>
    <w:p w14:paraId="55DABCB5">
      <w:pPr>
        <w:tabs>
          <w:tab w:val="center" w:leader="dot" w:pos="8820"/>
        </w:tabs>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（一）因公出国（境）经费</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1</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w:t>
      </w:r>
    </w:p>
    <w:p w14:paraId="1F3CC44C">
      <w:pPr>
        <w:tabs>
          <w:tab w:val="center" w:leader="dot" w:pos="8820"/>
        </w:tabs>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（二）公务接待费</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1</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w:t>
      </w:r>
    </w:p>
    <w:p w14:paraId="401B1B2C">
      <w:pPr>
        <w:tabs>
          <w:tab w:val="center" w:leader="dot" w:pos="8820"/>
        </w:tabs>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（三）公务用车购置及运行维护费</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CN"/>
        </w:rPr>
        <w:t>1</w:t>
      </w:r>
      <w:r>
        <w:rPr>
          <w:rFonts w:hint="eastAsia" w:ascii="Times New Roman" w:hAnsi="Times New Roman" w:eastAsia="方正仿宋_GBK" w:cs="方正仿宋_GBK"/>
          <w:color w:val="auto"/>
          <w:sz w:val="32"/>
          <w:szCs w:val="32"/>
          <w:lang w:val="en-US" w:eastAsia="zh-CN"/>
        </w:rPr>
        <w:t>2）</w:t>
      </w:r>
    </w:p>
    <w:p w14:paraId="2C4D0A09">
      <w:pPr>
        <w:tabs>
          <w:tab w:val="center" w:leader="dot" w:pos="8820"/>
        </w:tabs>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color w:val="auto"/>
          <w:sz w:val="32"/>
          <w:szCs w:val="32"/>
        </w:rPr>
        <w:t>八、政府性基金预算支出情况说明</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1</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w:t>
      </w:r>
    </w:p>
    <w:p w14:paraId="09B51345">
      <w:pPr>
        <w:tabs>
          <w:tab w:val="center" w:leader="dot" w:pos="8820"/>
        </w:tabs>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color w:val="auto"/>
          <w:sz w:val="32"/>
          <w:szCs w:val="32"/>
        </w:rPr>
        <w:t>九、国有资本经营预算情况说明</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1</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w:t>
      </w:r>
    </w:p>
    <w:p w14:paraId="10FB4B00">
      <w:pPr>
        <w:tabs>
          <w:tab w:val="center" w:leader="dot" w:pos="8820"/>
        </w:tabs>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color w:val="auto"/>
          <w:sz w:val="32"/>
          <w:szCs w:val="32"/>
        </w:rPr>
        <w:t>十、其他重要事项的情况说明</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1</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w:t>
      </w:r>
    </w:p>
    <w:p w14:paraId="10E48753">
      <w:pPr>
        <w:tabs>
          <w:tab w:val="center" w:leader="dot" w:pos="8820"/>
        </w:tabs>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（一）机关运行经费</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1</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w:t>
      </w:r>
    </w:p>
    <w:p w14:paraId="3032265A">
      <w:pPr>
        <w:tabs>
          <w:tab w:val="center" w:leader="dot" w:pos="8820"/>
        </w:tabs>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（二）政府采购情况</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1</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w:t>
      </w:r>
    </w:p>
    <w:p w14:paraId="73A01A18">
      <w:pPr>
        <w:tabs>
          <w:tab w:val="center" w:leader="dot" w:pos="8820"/>
        </w:tabs>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（三）国有资产占有使用情况</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1</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w:t>
      </w:r>
    </w:p>
    <w:p w14:paraId="70BADDBE">
      <w:pPr>
        <w:tabs>
          <w:tab w:val="center" w:leader="dot" w:pos="8820"/>
        </w:tabs>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（四）预算绩效情况</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1</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w:t>
      </w:r>
    </w:p>
    <w:p w14:paraId="3EF5F517">
      <w:pPr>
        <w:tabs>
          <w:tab w:val="center" w:leader="dot" w:pos="8820"/>
        </w:tabs>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color w:val="auto"/>
          <w:sz w:val="32"/>
          <w:szCs w:val="32"/>
        </w:rPr>
        <w:t>十一、名词解释</w:t>
      </w:r>
      <w:r>
        <w:rPr>
          <w:rFonts w:hint="eastAsia" w:ascii="Times New Roman" w:hAnsi="Times New Roman" w:eastAsia="方正仿宋_GBK" w:cs="方正仿宋_GBK"/>
          <w:color w:val="auto"/>
          <w:sz w:val="32"/>
          <w:szCs w:val="32"/>
        </w:rPr>
        <w:t> </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1</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w:t>
      </w:r>
    </w:p>
    <w:p w14:paraId="527E7AA7">
      <w:pPr>
        <w:tabs>
          <w:tab w:val="center" w:leader="dot" w:pos="8820"/>
        </w:tabs>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color w:val="auto"/>
          <w:sz w:val="32"/>
          <w:szCs w:val="32"/>
        </w:rPr>
        <w:t>附件</w:t>
      </w:r>
      <w:r>
        <w:rPr>
          <w:rFonts w:hint="eastAsia" w:ascii="Times New Roman" w:hAnsi="Times New Roman" w:eastAsia="方正仿宋_GBK" w:cs="方正仿宋_GBK"/>
          <w:color w:val="auto"/>
          <w:sz w:val="32"/>
          <w:szCs w:val="32"/>
          <w:lang w:val="en-US" w:eastAsia="zh-CN"/>
        </w:rPr>
        <w:tab/>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1</w:t>
      </w:r>
      <w:r>
        <w:rPr>
          <w:rFonts w:hint="eastAsia" w:ascii="Times New Roman" w:hAnsi="Times New Roman" w:eastAsia="方正仿宋_GBK" w:cs="方正仿宋_GBK"/>
          <w:color w:val="auto"/>
          <w:sz w:val="32"/>
          <w:szCs w:val="32"/>
          <w:lang w:val="en-US" w:eastAsia="zh-CN"/>
        </w:rPr>
        <w:t>7</w:t>
      </w:r>
      <w:r>
        <w:rPr>
          <w:rFonts w:hint="eastAsia" w:ascii="Times New Roman" w:hAnsi="Times New Roman" w:eastAsia="方正仿宋_GBK" w:cs="方正仿宋_GBK"/>
          <w:color w:val="auto"/>
          <w:sz w:val="32"/>
          <w:szCs w:val="32"/>
        </w:rPr>
        <w:t>）</w:t>
      </w:r>
    </w:p>
    <w:p w14:paraId="4067910A">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w:t>
      </w:r>
    </w:p>
    <w:p w14:paraId="3413427C">
      <w:pPr>
        <w:ind w:firstLine="640" w:firstLineChars="200"/>
        <w:rPr>
          <w:rFonts w:hint="eastAsia" w:ascii="Times New Roman" w:hAnsi="Times New Roman" w:eastAsia="方正仿宋_GBK" w:cs="方正仿宋_GBK"/>
          <w:color w:val="auto"/>
          <w:sz w:val="32"/>
          <w:szCs w:val="32"/>
        </w:rPr>
      </w:pPr>
    </w:p>
    <w:p w14:paraId="079C148B">
      <w:pPr>
        <w:ind w:firstLine="640" w:firstLineChars="200"/>
        <w:rPr>
          <w:rFonts w:hint="eastAsia" w:ascii="Times New Roman" w:hAnsi="Times New Roman" w:eastAsia="方正仿宋_GBK" w:cs="方正仿宋_GBK"/>
          <w:color w:val="auto"/>
          <w:sz w:val="32"/>
          <w:szCs w:val="32"/>
        </w:rPr>
      </w:pPr>
    </w:p>
    <w:p w14:paraId="52A4ADB0">
      <w:pPr>
        <w:ind w:firstLine="640" w:firstLineChars="200"/>
        <w:rPr>
          <w:rFonts w:hint="eastAsia" w:ascii="Times New Roman" w:hAnsi="Times New Roman" w:eastAsia="方正仿宋_GBK" w:cs="方正仿宋_GBK"/>
          <w:color w:val="auto"/>
          <w:sz w:val="32"/>
          <w:szCs w:val="32"/>
        </w:rPr>
      </w:pPr>
    </w:p>
    <w:p w14:paraId="15C5C078">
      <w:pPr>
        <w:ind w:firstLine="640" w:firstLineChars="200"/>
        <w:rPr>
          <w:rFonts w:hint="eastAsia" w:ascii="Times New Roman" w:hAnsi="Times New Roman" w:eastAsia="方正仿宋_GBK" w:cs="方正仿宋_GBK"/>
          <w:color w:val="auto"/>
          <w:sz w:val="32"/>
          <w:szCs w:val="32"/>
        </w:rPr>
      </w:pPr>
    </w:p>
    <w:p w14:paraId="758D110A">
      <w:pPr>
        <w:ind w:firstLine="640" w:firstLineChars="200"/>
        <w:rPr>
          <w:rFonts w:hint="eastAsia" w:ascii="Times New Roman" w:hAnsi="Times New Roman" w:eastAsia="方正仿宋_GBK" w:cs="方正仿宋_GBK"/>
          <w:color w:val="auto"/>
          <w:sz w:val="32"/>
          <w:szCs w:val="32"/>
        </w:rPr>
      </w:pPr>
    </w:p>
    <w:p w14:paraId="5FD2D01D">
      <w:pPr>
        <w:ind w:firstLine="640" w:firstLineChars="200"/>
        <w:rPr>
          <w:rFonts w:hint="eastAsia" w:ascii="Times New Roman" w:hAnsi="Times New Roman" w:eastAsia="方正仿宋_GBK" w:cs="方正仿宋_GBK"/>
          <w:color w:val="auto"/>
          <w:sz w:val="32"/>
          <w:szCs w:val="32"/>
        </w:rPr>
      </w:pPr>
    </w:p>
    <w:p w14:paraId="5B2452EE">
      <w:pPr>
        <w:ind w:firstLine="640" w:firstLineChars="200"/>
        <w:rPr>
          <w:rFonts w:hint="eastAsia" w:ascii="Times New Roman" w:hAnsi="Times New Roman" w:eastAsia="方正仿宋_GBK" w:cs="方正仿宋_GBK"/>
          <w:color w:val="auto"/>
          <w:sz w:val="32"/>
          <w:szCs w:val="32"/>
        </w:rPr>
      </w:pPr>
    </w:p>
    <w:p w14:paraId="425AA704">
      <w:pPr>
        <w:ind w:firstLine="640" w:firstLineChars="200"/>
        <w:rPr>
          <w:rFonts w:hint="eastAsia" w:ascii="Times New Roman" w:hAnsi="Times New Roman" w:eastAsia="方正仿宋_GBK" w:cs="方正仿宋_GBK"/>
          <w:color w:val="auto"/>
          <w:sz w:val="32"/>
          <w:szCs w:val="32"/>
        </w:rPr>
      </w:pPr>
    </w:p>
    <w:p w14:paraId="08FB5FEA">
      <w:pPr>
        <w:ind w:firstLine="640" w:firstLineChars="200"/>
        <w:rPr>
          <w:rFonts w:hint="eastAsia" w:ascii="Times New Roman" w:hAnsi="Times New Roman" w:eastAsia="方正仿宋_GBK" w:cs="方正仿宋_GBK"/>
          <w:color w:val="auto"/>
          <w:sz w:val="32"/>
          <w:szCs w:val="32"/>
        </w:rPr>
      </w:pPr>
    </w:p>
    <w:p w14:paraId="61F86030">
      <w:pPr>
        <w:ind w:firstLine="640" w:firstLineChars="200"/>
        <w:rPr>
          <w:rFonts w:hint="eastAsia" w:ascii="Times New Roman" w:hAnsi="Times New Roman" w:eastAsia="方正仿宋_GBK" w:cs="方正仿宋_GBK"/>
          <w:color w:val="auto"/>
          <w:sz w:val="32"/>
          <w:szCs w:val="32"/>
        </w:rPr>
      </w:pPr>
    </w:p>
    <w:p w14:paraId="70FFF0D4">
      <w:pPr>
        <w:ind w:firstLine="640" w:firstLineChars="200"/>
        <w:rPr>
          <w:rFonts w:hint="eastAsia" w:ascii="Times New Roman" w:hAnsi="Times New Roman" w:eastAsia="方正仿宋_GBK" w:cs="方正仿宋_GBK"/>
          <w:color w:val="auto"/>
          <w:sz w:val="32"/>
          <w:szCs w:val="32"/>
        </w:rPr>
      </w:pPr>
    </w:p>
    <w:p w14:paraId="1E579E07">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根据盐边县第十九届人民代表大会第五次会议批准的盐边县2025年县本级财政预算，2025年7月10日盐边县财政局批复了2025年县级部门预算，并对2025年部门预算公开作了明确要求。现按照《中华人民共和国预算法》和《中华人民共和国预算法实施条例》相关规定，将我单位2025年部门预算说明如下。</w:t>
      </w:r>
    </w:p>
    <w:p w14:paraId="5D8890D6">
      <w:pPr>
        <w:ind w:firstLine="640" w:firstLineChars="20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一、基本职能及主要工作</w:t>
      </w:r>
    </w:p>
    <w:p w14:paraId="307732F0">
      <w:pPr>
        <w:ind w:firstLine="643" w:firstLineChars="200"/>
        <w:rPr>
          <w:rFonts w:hint="eastAsia" w:ascii="Times New Roman" w:hAnsi="Times New Roman" w:eastAsia="方正楷体_GBK" w:cs="方正楷体_GBK"/>
          <w:b/>
          <w:bCs/>
          <w:color w:val="auto"/>
          <w:sz w:val="32"/>
          <w:szCs w:val="32"/>
        </w:rPr>
      </w:pPr>
      <w:r>
        <w:rPr>
          <w:rFonts w:hint="eastAsia" w:ascii="Times New Roman" w:hAnsi="Times New Roman" w:eastAsia="方正楷体_GBK" w:cs="方正楷体_GBK"/>
          <w:b/>
          <w:bCs/>
          <w:color w:val="auto"/>
          <w:sz w:val="32"/>
          <w:szCs w:val="32"/>
        </w:rPr>
        <w:t>（一）县医保局职能简介</w:t>
      </w:r>
    </w:p>
    <w:p w14:paraId="27898B97">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1.贯彻执行医疗保险、生育保险、医疗救助等医疗保障的法律、法规、规章。拟订全县医疗保障事业发展规划，并组织实施和监督检查。</w:t>
      </w:r>
    </w:p>
    <w:p w14:paraId="29291267">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2.组织拟订并实施医疗保障基金监督管理制度，建立健全医疗保障基金安全防控机制，监督强化全县医疗保障基金运行管理。</w:t>
      </w:r>
    </w:p>
    <w:p w14:paraId="490EE644">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3.实施医疗保障筹资和待遇政策，完善全县医疗保障筹资标准动态调整机制，统筹城乡医疗保障待遇标准，建立健全与筹资水平相适应的待遇调整机制。贯彻执行长期护理保险制度改革政策。</w:t>
      </w:r>
    </w:p>
    <w:p w14:paraId="28928D3C">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4.组织实施全省城乡统一的药品、医用耗材、医疗服务项目、医疗服务设施等医疗保障目录和支付标准，根据授权在医疗保障目录准入谈判规则下进行目录增补和支付标准的调整。</w:t>
      </w:r>
    </w:p>
    <w:p w14:paraId="1EEEDD44">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5.参与拟订并组织实施全县统一的药品、医用耗材价格和医疗服务项目、医疗服务设施收费等政策，建立医保支付医药服务价格合理确定和动态调整机制，推动建立市场主导的社会医药服务价格形成机制，建立价格信息监测和信息发布制度。</w:t>
      </w:r>
    </w:p>
    <w:p w14:paraId="3AB91AAD">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6.贯彻执行全省药品、医用耗材的招标采购政策并监督实施，根据省、市安排部署，参与全省药品、医用耗材招标采购平台建设，承担并完成相关工作任务。</w:t>
      </w:r>
    </w:p>
    <w:p w14:paraId="5332A4F5">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7.推进医疗保障基金支付方式改革，参与市级制定基金支付管理办法并组织实施。执行医疗保障信用评价体系和信息披露制度，监督管理纳入医疗保障范围内的医疗服务行为和医疗费用，依法查处医疗保障领域违法违规行为。</w:t>
      </w:r>
    </w:p>
    <w:p w14:paraId="23CA6580">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8.负责全县医疗保障业务经办管理和公共服务体系建设。组织实施异地就医管理和费用结算政策。贯彻执行医疗保障关系转移接续政策。指导和监督管理全县医保经办服务工作。开展医疗保障领域对外合作交流。</w:t>
      </w:r>
    </w:p>
    <w:p w14:paraId="761C5FCC">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9.参与拟订市级医疗保障信息化建设规划和信息化建设。组织开展医疗保障大数据管理和应用。</w:t>
      </w:r>
    </w:p>
    <w:p w14:paraId="59520F14">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10.组织拟订县本级离休干部、六级以上革命伤残军人的医疗保障政策和副厅级以上干部、县级干部、高级知识分子的医疗照顾政策。</w:t>
      </w:r>
    </w:p>
    <w:p w14:paraId="34EA2AD4">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11.负责职责范围内的安全生产和职业健康、生态环境保护、审批服务便民化等工作。</w:t>
      </w:r>
    </w:p>
    <w:p w14:paraId="0B3D67DC">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12.完成县委、县政府交办的其他任务。</w:t>
      </w:r>
    </w:p>
    <w:p w14:paraId="512340BF">
      <w:pPr>
        <w:ind w:firstLine="643" w:firstLineChars="200"/>
        <w:rPr>
          <w:rFonts w:hint="eastAsia" w:ascii="Times New Roman" w:hAnsi="Times New Roman" w:eastAsia="方正楷体_GBK" w:cs="方正楷体_GBK"/>
          <w:b/>
          <w:bCs/>
          <w:color w:val="auto"/>
          <w:sz w:val="32"/>
          <w:szCs w:val="32"/>
        </w:rPr>
      </w:pPr>
      <w:r>
        <w:rPr>
          <w:rFonts w:hint="eastAsia" w:ascii="Times New Roman" w:hAnsi="Times New Roman" w:eastAsia="方正楷体_GBK" w:cs="方正楷体_GBK"/>
          <w:b/>
          <w:bCs/>
          <w:color w:val="auto"/>
          <w:sz w:val="32"/>
          <w:szCs w:val="32"/>
        </w:rPr>
        <w:t>（二）县医保局2025年重点工作</w:t>
      </w:r>
    </w:p>
    <w:p w14:paraId="2C901E70">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1.持续开展党风政风行风建设。健全党建、党风廉政建设、意识形态、行风建设工作机制，定期开展研究、总结、分析研判，抓好党员干部职工教育培训。</w:t>
      </w:r>
    </w:p>
    <w:p w14:paraId="495AA66D">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2.全力推进城乡居民参保扩面。持续推进2025年度城乡居民参保，按照应保尽保原则，推动各类人群全面参保，巩固提高参保率。</w:t>
      </w:r>
    </w:p>
    <w:p w14:paraId="5FE2D911">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不断加强基金监管。继续通过多种手段严惩医疗费用重复报销、虚假报销、医保卡套现以及第三方责任事故纳入医保报销等违法违规行为，加强定点医药机构协议管理、信用评价，规范开展行政执法；定期对医疗救助资金报销流程及惠民惠农财政补贴资金“一卡通”平台发放情况进行检查，杜绝贪污侵占、截留挪用、虚报冒领、私存私分、克扣索要、超范围超标准发放、未及时足额发放补贴资金、“一卡通”卡折管理不规范等问题。</w:t>
      </w:r>
    </w:p>
    <w:p w14:paraId="240D0A56">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4.分层分类开展培训。提升我局基金监管人员业务能力，做好定点医药机构政策培训和业务指导。督促各定点医药机构强化规范化培训和警示教育，规范医疗服务行为，提高医保定点医药机构行业自律意识和医务人员守法意识，提升医保基金使用效率。</w:t>
      </w:r>
    </w:p>
    <w:p w14:paraId="1B2525D4">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5.做好医保经办服务工作。做好门诊住院报销、门诊慢特病、“两病”经办服务，抓好异地就医直接结算、药械采购、医药服务价格调整等各项工作落实，提升全县参保群众医保电子凭证激活率、定点医药机构医保电子凭证结算率，提高参保群众就医满意度。</w:t>
      </w:r>
    </w:p>
    <w:p w14:paraId="3CCF7CC7">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6.持续推进各项改革落地落实。扩大定点医药机构门诊共济统筹报销覆盖面，推进电子处方流转等落地落实；有序做好基本医疗保险省级统筹前期准备、过渡衔接、落地落实系列工作；持续推动医共体建设，加强基层医疗服务能力，积极向上争取医共体总额付费额度。</w:t>
      </w:r>
    </w:p>
    <w:p w14:paraId="49FFA4B7">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7.持续推进村卫生室医保定点。配合县卫生健康局加快提升村卫生室医保定点覆盖面，将符合条件的村卫生室及时纳入医保定点，做好医保政策、医保结算系统使用和网络安全知识培训和监督管理，切实满足群众就近享受医保待遇需求。</w:t>
      </w:r>
    </w:p>
    <w:p w14:paraId="71118121">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8.全力推进县委、县政府安排的各项任务。紧紧围绕县委、县政府中心工作，结合医保职能职责，强化相关部门的沟通协作，加强工作力量的统筹协调，全面完成森林草原防灭火、深化改革、法治政府建设、民族团结、信访维稳、共同富裕试验区建设等工作任务，充分发挥医疗保障围绕中心、服务大局的重要作用。</w:t>
      </w:r>
    </w:p>
    <w:p w14:paraId="0C0732BC">
      <w:pPr>
        <w:ind w:firstLine="640" w:firstLineChars="20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二、机构设置情况</w:t>
      </w:r>
    </w:p>
    <w:p w14:paraId="739682E7">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县医保局下属非独立核算单位1个，其中参照公务员法管理的事业单位1个。主要包括：盐边县医疗保障事务中心。</w:t>
      </w:r>
    </w:p>
    <w:p w14:paraId="6B2D5BEA">
      <w:pPr>
        <w:ind w:firstLine="640" w:firstLineChars="20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三、收支预算情况说明</w:t>
      </w:r>
    </w:p>
    <w:p w14:paraId="22424F7C">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按照综合预算的原则，县医保局所有收入和支出均纳入部门预算管理。收入包括：一般公共预算拨款收入；支出包括：</w:t>
      </w:r>
      <w:r>
        <w:rPr>
          <w:rFonts w:hint="eastAsia" w:ascii="Times New Roman" w:hAnsi="Times New Roman" w:eastAsia="方正仿宋_GBK" w:cs="方正仿宋_GBK"/>
          <w:color w:val="auto"/>
          <w:sz w:val="32"/>
          <w:szCs w:val="32"/>
          <w:u w:val="none"/>
        </w:rPr>
        <w:t>社会保障和就业支出</w:t>
      </w:r>
      <w:r>
        <w:rPr>
          <w:rFonts w:hint="eastAsia" w:ascii="Times New Roman" w:hAnsi="Times New Roman" w:eastAsia="方正仿宋_GBK" w:cs="方正仿宋_GBK"/>
          <w:color w:val="auto"/>
          <w:sz w:val="32"/>
          <w:szCs w:val="32"/>
          <w:u w:val="none"/>
          <w:lang w:eastAsia="zh-CN"/>
        </w:rPr>
        <w:t>、卫生健康支出、住房保障支出</w:t>
      </w:r>
      <w:r>
        <w:rPr>
          <w:rFonts w:hint="eastAsia" w:ascii="Times New Roman" w:hAnsi="Times New Roman" w:eastAsia="方正仿宋_GBK" w:cs="方正仿宋_GBK"/>
          <w:color w:val="auto"/>
          <w:sz w:val="32"/>
          <w:szCs w:val="32"/>
          <w:u w:val="none"/>
        </w:rPr>
        <w:t>。</w:t>
      </w:r>
      <w:r>
        <w:rPr>
          <w:rFonts w:hint="eastAsia" w:ascii="Times New Roman" w:hAnsi="Times New Roman" w:eastAsia="方正仿宋_GBK" w:cs="方正仿宋_GBK"/>
          <w:color w:val="auto"/>
          <w:sz w:val="32"/>
          <w:szCs w:val="32"/>
        </w:rPr>
        <w:t>县医保局2025年收支总预算1588.63万元。比2024年预算</w:t>
      </w:r>
      <w:bookmarkStart w:id="0" w:name="_GoBack"/>
      <w:bookmarkEnd w:id="0"/>
      <w:r>
        <w:rPr>
          <w:rFonts w:hint="eastAsia" w:ascii="Times New Roman" w:hAnsi="Times New Roman" w:eastAsia="方正仿宋_GBK" w:cs="方正仿宋_GBK"/>
          <w:color w:val="auto"/>
          <w:sz w:val="32"/>
          <w:szCs w:val="32"/>
        </w:rPr>
        <w:t>数增加22.09万元，主要是县级财政对城乡居民基本医疗保险基金的补助项目资金增加。</w:t>
      </w:r>
    </w:p>
    <w:p w14:paraId="39B7BDB1">
      <w:pPr>
        <w:ind w:firstLine="643" w:firstLineChars="200"/>
        <w:rPr>
          <w:rFonts w:hint="eastAsia" w:ascii="Times New Roman" w:hAnsi="Times New Roman" w:eastAsia="方正楷体_GBK" w:cs="方正楷体_GBK"/>
          <w:b/>
          <w:bCs/>
          <w:color w:val="auto"/>
          <w:sz w:val="32"/>
          <w:szCs w:val="32"/>
        </w:rPr>
      </w:pPr>
      <w:r>
        <w:rPr>
          <w:rFonts w:hint="eastAsia" w:ascii="Times New Roman" w:hAnsi="Times New Roman" w:eastAsia="方正楷体_GBK" w:cs="方正楷体_GBK"/>
          <w:b/>
          <w:bCs/>
          <w:color w:val="auto"/>
          <w:sz w:val="32"/>
          <w:szCs w:val="32"/>
        </w:rPr>
        <w:t>（一）收入预算情况</w:t>
      </w:r>
    </w:p>
    <w:p w14:paraId="7FF4B03D">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县医保局2025</w:t>
      </w:r>
      <w:r>
        <w:rPr>
          <w:rFonts w:hint="eastAsia" w:ascii="Times New Roman" w:hAnsi="Times New Roman" w:eastAsia="方正仿宋_GBK" w:cs="方正仿宋_GBK"/>
          <w:color w:val="auto"/>
          <w:sz w:val="32"/>
          <w:szCs w:val="32"/>
          <w:lang w:eastAsia="zh-CN"/>
        </w:rPr>
        <w:t>年</w:t>
      </w:r>
      <w:r>
        <w:rPr>
          <w:rFonts w:hint="eastAsia" w:ascii="Times New Roman" w:hAnsi="Times New Roman" w:eastAsia="方正仿宋_GBK" w:cs="方正仿宋_GBK"/>
          <w:color w:val="auto"/>
          <w:sz w:val="32"/>
          <w:szCs w:val="32"/>
        </w:rPr>
        <w:t>收入预算1588.63万元，其中：一般公共预算拨款收入1588.63万元，占100%。</w:t>
      </w:r>
    </w:p>
    <w:p w14:paraId="10E36DA4">
      <w:pPr>
        <w:ind w:firstLine="643" w:firstLineChars="200"/>
        <w:rPr>
          <w:rFonts w:hint="eastAsia" w:ascii="Times New Roman" w:hAnsi="Times New Roman" w:eastAsia="方正楷体_GBK" w:cs="方正楷体_GBK"/>
          <w:b/>
          <w:bCs/>
          <w:color w:val="auto"/>
          <w:sz w:val="32"/>
          <w:szCs w:val="32"/>
        </w:rPr>
      </w:pPr>
      <w:r>
        <w:rPr>
          <w:rFonts w:hint="eastAsia" w:ascii="Times New Roman" w:hAnsi="Times New Roman" w:eastAsia="方正楷体_GBK" w:cs="方正楷体_GBK"/>
          <w:b/>
          <w:bCs/>
          <w:color w:val="auto"/>
          <w:sz w:val="32"/>
          <w:szCs w:val="32"/>
        </w:rPr>
        <w:t>（二）支出预算情况</w:t>
      </w:r>
    </w:p>
    <w:p w14:paraId="4E2BECD8">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县医保局2025年支出预算1588.63万元，其中：基本支出337.53万元，占21.25%；项目支出1251.1万元，占78.75%。</w:t>
      </w:r>
    </w:p>
    <w:p w14:paraId="784E949A">
      <w:pPr>
        <w:ind w:firstLine="640" w:firstLineChars="20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四、财政拨款收支预算情况说明</w:t>
      </w:r>
    </w:p>
    <w:p w14:paraId="17BAE315">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县医保局2025年财政拨款收支总预算1588.63万元。收入包括：本年一般公共预算拨款收入1588.63万元；支出包括：社会保障和就业支出35.21万元，卫生健康支出1526.94万元，住房保障支出26.48万元。</w:t>
      </w:r>
    </w:p>
    <w:p w14:paraId="49E2F655">
      <w:pPr>
        <w:ind w:firstLine="640" w:firstLineChars="20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五、一般公共预算当年拨款情况说明</w:t>
      </w:r>
    </w:p>
    <w:p w14:paraId="5B1338EC">
      <w:pPr>
        <w:ind w:firstLine="643" w:firstLineChars="200"/>
        <w:rPr>
          <w:rFonts w:hint="eastAsia" w:ascii="Times New Roman" w:hAnsi="Times New Roman" w:eastAsia="方正楷体_GBK" w:cs="方正楷体_GBK"/>
          <w:b/>
          <w:bCs/>
          <w:color w:val="auto"/>
          <w:sz w:val="32"/>
          <w:szCs w:val="32"/>
        </w:rPr>
      </w:pPr>
      <w:r>
        <w:rPr>
          <w:rFonts w:hint="eastAsia" w:ascii="Times New Roman" w:hAnsi="Times New Roman" w:eastAsia="方正楷体_GBK" w:cs="方正楷体_GBK"/>
          <w:b/>
          <w:bCs/>
          <w:color w:val="auto"/>
          <w:sz w:val="32"/>
          <w:szCs w:val="32"/>
        </w:rPr>
        <w:t>（一）一般公共预算当年拨款规模变化情况</w:t>
      </w:r>
    </w:p>
    <w:p w14:paraId="28E91A7C">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县医保局2025年一般公共预算当年拨款1588.63万元，比2024年预算数增加22.09万元，主要是县级财政对城乡居民基本医疗保险基金的补助项目资金增加。</w:t>
      </w:r>
    </w:p>
    <w:p w14:paraId="07D9BB51">
      <w:pPr>
        <w:ind w:firstLine="643" w:firstLineChars="200"/>
        <w:rPr>
          <w:rFonts w:hint="eastAsia" w:ascii="Times New Roman" w:hAnsi="Times New Roman" w:eastAsia="方正楷体_GBK" w:cs="方正楷体_GBK"/>
          <w:b/>
          <w:bCs/>
          <w:color w:val="auto"/>
          <w:sz w:val="32"/>
          <w:szCs w:val="32"/>
        </w:rPr>
      </w:pPr>
      <w:r>
        <w:rPr>
          <w:rFonts w:hint="eastAsia" w:ascii="Times New Roman" w:hAnsi="Times New Roman" w:eastAsia="方正楷体_GBK" w:cs="方正楷体_GBK"/>
          <w:b/>
          <w:bCs/>
          <w:color w:val="auto"/>
          <w:sz w:val="32"/>
          <w:szCs w:val="32"/>
        </w:rPr>
        <w:t>（二）一般公共预算当年拨款结构情况</w:t>
      </w:r>
    </w:p>
    <w:p w14:paraId="06AEF306">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社会保障和就业支出</w:t>
      </w:r>
      <w:r>
        <w:rPr>
          <w:rFonts w:hint="eastAsia" w:ascii="Times New Roman" w:hAnsi="Times New Roman" w:eastAsia="方正仿宋_GBK" w:cs="方正仿宋_GBK"/>
          <w:color w:val="auto"/>
          <w:sz w:val="32"/>
          <w:szCs w:val="32"/>
          <w:lang w:val="en-US" w:eastAsia="zh-CN"/>
        </w:rPr>
        <w:t>35.21</w:t>
      </w:r>
      <w:r>
        <w:rPr>
          <w:rFonts w:hint="eastAsia" w:ascii="Times New Roman" w:hAnsi="Times New Roman" w:eastAsia="方正仿宋_GBK" w:cs="方正仿宋_GBK"/>
          <w:color w:val="auto"/>
          <w:sz w:val="32"/>
          <w:szCs w:val="32"/>
        </w:rPr>
        <w:t>万元，占</w:t>
      </w:r>
      <w:r>
        <w:rPr>
          <w:rFonts w:hint="eastAsia" w:ascii="Times New Roman" w:hAnsi="Times New Roman" w:eastAsia="方正仿宋_GBK" w:cs="方正仿宋_GBK"/>
          <w:color w:val="auto"/>
          <w:sz w:val="32"/>
          <w:szCs w:val="32"/>
          <w:lang w:val="en-US" w:eastAsia="zh-CN"/>
        </w:rPr>
        <w:t>2.22</w:t>
      </w:r>
      <w:r>
        <w:rPr>
          <w:rFonts w:hint="eastAsia" w:ascii="Times New Roman" w:hAnsi="Times New Roman" w:eastAsia="方正仿宋_GBK" w:cs="方正仿宋_GBK"/>
          <w:color w:val="auto"/>
          <w:sz w:val="32"/>
          <w:szCs w:val="32"/>
        </w:rPr>
        <w:t>%；卫生健康支出</w:t>
      </w:r>
      <w:r>
        <w:rPr>
          <w:rFonts w:hint="eastAsia" w:ascii="Times New Roman" w:hAnsi="Times New Roman" w:eastAsia="方正仿宋_GBK" w:cs="方正仿宋_GBK"/>
          <w:color w:val="auto"/>
          <w:sz w:val="32"/>
          <w:szCs w:val="32"/>
          <w:lang w:val="en-US" w:eastAsia="zh-CN"/>
        </w:rPr>
        <w:t>1526.94</w:t>
      </w:r>
      <w:r>
        <w:rPr>
          <w:rFonts w:hint="eastAsia" w:ascii="Times New Roman" w:hAnsi="Times New Roman" w:eastAsia="方正仿宋_GBK" w:cs="方正仿宋_GBK"/>
          <w:color w:val="auto"/>
          <w:sz w:val="32"/>
          <w:szCs w:val="32"/>
        </w:rPr>
        <w:t>万元，占</w:t>
      </w:r>
      <w:r>
        <w:rPr>
          <w:rFonts w:hint="eastAsia" w:ascii="Times New Roman" w:hAnsi="Times New Roman" w:eastAsia="方正仿宋_GBK" w:cs="方正仿宋_GBK"/>
          <w:color w:val="auto"/>
          <w:sz w:val="32"/>
          <w:szCs w:val="32"/>
          <w:lang w:val="en-US" w:eastAsia="zh-CN"/>
        </w:rPr>
        <w:t>96.12</w:t>
      </w:r>
      <w:r>
        <w:rPr>
          <w:rFonts w:hint="eastAsia" w:ascii="Times New Roman" w:hAnsi="Times New Roman" w:eastAsia="方正仿宋_GBK" w:cs="方正仿宋_GBK"/>
          <w:color w:val="auto"/>
          <w:sz w:val="32"/>
          <w:szCs w:val="32"/>
        </w:rPr>
        <w:t>%；住房保障支出</w:t>
      </w:r>
      <w:r>
        <w:rPr>
          <w:rFonts w:hint="eastAsia" w:ascii="Times New Roman" w:hAnsi="Times New Roman" w:eastAsia="方正仿宋_GBK" w:cs="方正仿宋_GBK"/>
          <w:color w:val="auto"/>
          <w:sz w:val="32"/>
          <w:szCs w:val="32"/>
          <w:lang w:val="en-US" w:eastAsia="zh-CN"/>
        </w:rPr>
        <w:t>26.48</w:t>
      </w:r>
      <w:r>
        <w:rPr>
          <w:rFonts w:hint="eastAsia" w:ascii="Times New Roman" w:hAnsi="Times New Roman" w:eastAsia="方正仿宋_GBK" w:cs="方正仿宋_GBK"/>
          <w:color w:val="auto"/>
          <w:sz w:val="32"/>
          <w:szCs w:val="32"/>
        </w:rPr>
        <w:t>万元</w:t>
      </w:r>
      <w:r>
        <w:rPr>
          <w:rFonts w:hint="eastAsia" w:ascii="Times New Roman" w:hAnsi="Times New Roman" w:eastAsia="方正仿宋_GBK" w:cs="方正仿宋_GBK"/>
          <w:color w:val="auto"/>
          <w:sz w:val="32"/>
          <w:szCs w:val="32"/>
          <w:lang w:eastAsia="zh-CN"/>
        </w:rPr>
        <w:t>，占</w:t>
      </w:r>
      <w:r>
        <w:rPr>
          <w:rFonts w:hint="eastAsia" w:ascii="Times New Roman" w:hAnsi="Times New Roman" w:eastAsia="方正仿宋_GBK" w:cs="方正仿宋_GBK"/>
          <w:color w:val="auto"/>
          <w:sz w:val="32"/>
          <w:szCs w:val="32"/>
          <w:lang w:val="en-US" w:eastAsia="zh-CN"/>
        </w:rPr>
        <w:t>1.66%。</w:t>
      </w:r>
      <w:r>
        <w:rPr>
          <w:rFonts w:hint="eastAsia" w:ascii="Times New Roman" w:hAnsi="Times New Roman" w:eastAsia="方正仿宋_GBK" w:cs="方正仿宋_GBK"/>
          <w:color w:val="auto"/>
          <w:sz w:val="32"/>
          <w:szCs w:val="32"/>
        </w:rPr>
        <w:t>。</w:t>
      </w:r>
    </w:p>
    <w:p w14:paraId="1804B9E3">
      <w:pPr>
        <w:ind w:firstLine="643" w:firstLineChars="200"/>
        <w:rPr>
          <w:rFonts w:hint="eastAsia" w:ascii="Times New Roman" w:hAnsi="Times New Roman" w:eastAsia="方正楷体_GBK" w:cs="方正楷体_GBK"/>
          <w:b/>
          <w:bCs/>
          <w:color w:val="auto"/>
          <w:sz w:val="32"/>
          <w:szCs w:val="32"/>
        </w:rPr>
      </w:pPr>
      <w:r>
        <w:rPr>
          <w:rFonts w:hint="eastAsia" w:ascii="Times New Roman" w:hAnsi="Times New Roman" w:eastAsia="方正楷体_GBK" w:cs="方正楷体_GBK"/>
          <w:b/>
          <w:bCs/>
          <w:color w:val="auto"/>
          <w:sz w:val="32"/>
          <w:szCs w:val="32"/>
        </w:rPr>
        <w:t>（三）一般公共预算当年拨款具体使用情况</w:t>
      </w:r>
    </w:p>
    <w:p w14:paraId="1710BF3B">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社会保障和就业支出（208类）行政事业单位养老支出（05款）行政单位离退休（01项）2025年预算数为3.05万元，主要用于：支付退休人员公务员医疗补助缴费、补充医保个人账户及公用经费，保障退休人员相关待遇。</w:t>
      </w:r>
    </w:p>
    <w:p w14:paraId="64EF9F8D">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2.社会保障和就业支出（208类）行政事业单位养老支出（05款）机关事业单位基本养老保险缴费支出（05项）2025年预算数为32.16万元，主要用于：支付职工单位部分养老保险缴费，保障职工养老保险费用按时缴纳。</w:t>
      </w:r>
    </w:p>
    <w:p w14:paraId="082172A6">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3.卫生健康支出（210类）行政事业单位医疗（11款）行政单位医疗（01项）2025年预算数为17.37万元，主要用于：支付职工单位部分医疗保险缴费，保障职工医疗保险费用按时缴纳。</w:t>
      </w:r>
    </w:p>
    <w:p w14:paraId="7EBA9E25">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4.卫生健康支出（210类）行政事业单位医疗（11款）公务员医疗补助（03项）2025年预算数为2.04万元，主要用于：支付职工公务员医疗补助保险，保障职工公务员医疗补助保险费用按时缴纳。</w:t>
      </w:r>
    </w:p>
    <w:p w14:paraId="7196A704">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5.卫生健康支出（210类）行政事业单位医疗（11款）其他行政事业单位医疗支出（99项）2025年预算数为9.02万元，主要用于：补充职工个人医疗账户，保障职工医疗待遇。</w:t>
      </w:r>
    </w:p>
    <w:p w14:paraId="274CFE48">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6.卫生健康支出（210类）财政对基本医疗保险基金的补助（12款）财政对城乡居民基本医疗保险基金的补助（02项）2025年预算数为930.00万元，主要用于：补助我县城乡居民参加城乡居民医疗保险，保障参保群众正常享受城乡居民医疗保险待遇。</w:t>
      </w:r>
    </w:p>
    <w:p w14:paraId="49176FE5">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7.卫生健康支出（210类）医疗救助（13款）城乡医疗救助（01项）2025年预算数为300.00万元，主要用于：资助我县困难群众参加城乡居民医疗保险，报销纳入医疗救助对象的医疗费用，减轻其医疗负担。</w:t>
      </w:r>
    </w:p>
    <w:p w14:paraId="2A29EFDF">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8.卫生健康支出（210类）医疗保障管理事务（15款）行政运行（01项）2025年预算数为247.40万元，主要用于：支付职工工资，单位日常工作运行费用等，以确保单位正常运行。</w:t>
      </w:r>
    </w:p>
    <w:p w14:paraId="042ECF17">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9.卫生健康支出（210类）医疗保障管理事务（15款）医疗保障政策管理（05项）2025年预算数为0.20万元，主要用于：对欺诈骗保举报行为进行奖励，激发群众同管共治意识，保障医保基金安全。</w:t>
      </w:r>
    </w:p>
    <w:p w14:paraId="53C35854">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10.卫生健康支出（210类）医疗保障管理事务（15款）其他医疗保障管理事务支出（99项）2025年预算数为20.90万元，主要用于：支付退休干部医疗补助、离休干部医疗费、正县级领导干部医疗补助、村卫生室医疗保障业务系统网络通信费，保障各个项目正常开展。</w:t>
      </w:r>
    </w:p>
    <w:p w14:paraId="58AA1E9E">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11.住房保障支出（221类）住房改革支出（02款）住房公积金（01项）2025年预算数为26.48万元，主要用于：支付在职职工单位部分公积金，保障职工公积金正常缴纳。</w:t>
      </w:r>
    </w:p>
    <w:p w14:paraId="725E5D29">
      <w:pPr>
        <w:ind w:firstLine="640" w:firstLineChars="20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六、一般公共预算基本支出情况说明</w:t>
      </w:r>
    </w:p>
    <w:p w14:paraId="529D9EF6">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县医保局2025年一般公共预算基本支出337.53万元，其中：</w:t>
      </w:r>
    </w:p>
    <w:p w14:paraId="10D7F38C">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人员经费302.53万元，主要包括：基本工资、津贴补贴、奖金、机关事业单位基本养老保险缴费、职工基本医疗保险缴费、公务员医疗补助缴费、其他社会保障缴费、住房公积金、医疗费补助、奖励金。</w:t>
      </w:r>
    </w:p>
    <w:p w14:paraId="32E105DF">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公用经费35.00万元，主要包括：办公费、印刷费、水费、电费、邮电费、差旅费、维修（护）费、培训费、公务接待费、劳务费、工会经费、福利费、其他交通费用、其他商品和服务支出。</w:t>
      </w:r>
    </w:p>
    <w:p w14:paraId="1468E20A">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color w:val="auto"/>
          <w:sz w:val="32"/>
          <w:szCs w:val="32"/>
        </w:rPr>
        <w:t>七、“三公”经费财政拨款预算安排情况说明</w:t>
      </w:r>
    </w:p>
    <w:p w14:paraId="280D03F7">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县医保局2025年“三公”经费财政拨款预算数0.18万元，其中：因公出国（境）经费0万元，公务接待费0.18万元，公务用车购置及运行维护费0万元。</w:t>
      </w:r>
    </w:p>
    <w:p w14:paraId="33E98192">
      <w:pPr>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（一）因公出国（境）经费与2024年预算持平。</w:t>
      </w:r>
      <w:r>
        <w:rPr>
          <w:rFonts w:hint="eastAsia" w:ascii="Times New Roman" w:hAnsi="Times New Roman" w:eastAsia="方正仿宋_GBK" w:cs="方正仿宋_GBK"/>
          <w:color w:val="auto"/>
          <w:sz w:val="32"/>
          <w:szCs w:val="32"/>
        </w:rPr>
        <w:t>主要原因是我单位无出国（境）经费预算。</w:t>
      </w:r>
    </w:p>
    <w:p w14:paraId="3135D96F">
      <w:pPr>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（二）公务接待费较2024年预算下降10%。</w:t>
      </w:r>
      <w:r>
        <w:rPr>
          <w:rFonts w:hint="eastAsia" w:ascii="Times New Roman" w:hAnsi="Times New Roman" w:eastAsia="方正仿宋_GBK" w:cs="方正仿宋_GBK"/>
          <w:color w:val="auto"/>
          <w:sz w:val="32"/>
          <w:szCs w:val="32"/>
        </w:rPr>
        <w:t>主要原因是预算严格遵循“厉行节约、只减不增”的原则。</w:t>
      </w:r>
    </w:p>
    <w:p w14:paraId="0C9BE6D9">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2025年公务接待费计划用于开展医疗保障相关工作接待事宜。</w:t>
      </w:r>
    </w:p>
    <w:p w14:paraId="0342627D">
      <w:pPr>
        <w:ind w:firstLine="643" w:firstLineChars="200"/>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b/>
          <w:bCs/>
          <w:color w:val="auto"/>
          <w:sz w:val="32"/>
          <w:szCs w:val="32"/>
        </w:rPr>
        <w:t>（三）公务用车购置及运行维护费与2024年预算持平。</w:t>
      </w:r>
      <w:r>
        <w:rPr>
          <w:rFonts w:hint="eastAsia" w:ascii="Times New Roman" w:hAnsi="Times New Roman" w:eastAsia="方正仿宋_GBK" w:cs="方正仿宋_GBK"/>
          <w:color w:val="auto"/>
          <w:sz w:val="32"/>
          <w:szCs w:val="32"/>
        </w:rPr>
        <w:t>主要原因是我单位无公务用车购置及运行维护费预算。</w:t>
      </w:r>
    </w:p>
    <w:p w14:paraId="39D2089C">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单位现有公务用车0辆，其中：轿车（含7座以下商务车、城市越野车）0辆，7座以上19座（含19座）以下客车0辆，越野车0辆，货车及19座以上客车0辆，摩托车0辆。</w:t>
      </w:r>
    </w:p>
    <w:p w14:paraId="22FB44EE">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2025年安排公务用车购置费0万元，购置公务用车0辆，其中：轿车（含7座以下商务车、城市越野车）0辆，7座以上19座（含19座）以下客车0辆，越野车0辆，货车及19座以上客车0辆，摩托车0辆。</w:t>
      </w:r>
    </w:p>
    <w:p w14:paraId="6BF6939F">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2025年安排公务用车运行维护费0万元。</w:t>
      </w:r>
    </w:p>
    <w:p w14:paraId="67F45C73">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color w:val="auto"/>
          <w:sz w:val="32"/>
          <w:szCs w:val="32"/>
        </w:rPr>
        <w:t>八、政府性基金预算支出情况说明</w:t>
      </w:r>
    </w:p>
    <w:p w14:paraId="76436FE6">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县医保局2025年没有使用政府性基金预算拨款安排的支出。</w:t>
      </w:r>
    </w:p>
    <w:p w14:paraId="3D417A4B">
      <w:pPr>
        <w:ind w:firstLine="640" w:firstLineChars="20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九、国有资本经营预算情况说明</w:t>
      </w:r>
    </w:p>
    <w:p w14:paraId="7C867F30">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县医保局2025年没有使用国有资本经营预算拨款安排的支出。</w:t>
      </w:r>
    </w:p>
    <w:p w14:paraId="634A1FCB">
      <w:pPr>
        <w:ind w:firstLine="640" w:firstLineChars="20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十、其他重要事项的情况说明</w:t>
      </w:r>
    </w:p>
    <w:p w14:paraId="2E17AE6F">
      <w:pPr>
        <w:ind w:firstLine="643" w:firstLineChars="200"/>
        <w:rPr>
          <w:rFonts w:hint="eastAsia" w:ascii="Times New Roman" w:hAnsi="Times New Roman" w:eastAsia="方正楷体_GBK" w:cs="方正楷体_GBK"/>
          <w:b/>
          <w:bCs/>
          <w:color w:val="auto"/>
          <w:sz w:val="32"/>
          <w:szCs w:val="32"/>
        </w:rPr>
      </w:pPr>
      <w:r>
        <w:rPr>
          <w:rFonts w:hint="eastAsia" w:ascii="Times New Roman" w:hAnsi="Times New Roman" w:eastAsia="方正楷体_GBK" w:cs="方正楷体_GBK"/>
          <w:b/>
          <w:bCs/>
          <w:color w:val="auto"/>
          <w:sz w:val="32"/>
          <w:szCs w:val="32"/>
        </w:rPr>
        <w:t>（一）机关运行经费</w:t>
      </w:r>
    </w:p>
    <w:p w14:paraId="15191215">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2025年，县医保局以及下属盐边县医疗保障事务中心1家参公管理事业单位的机关运行经费财政拨款预算为35.00万元，比2024年预算减少1.62万元，下降4.42%。</w:t>
      </w:r>
    </w:p>
    <w:p w14:paraId="426D6417">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具体经费支出为：办公费3.25万元，印刷费0.35万元，水费0.59万元，电费0.76万元，邮电费0.68万元，差旅费5.1万</w:t>
      </w:r>
    </w:p>
    <w:p w14:paraId="0936AC0D">
      <w:pPr>
        <w:ind w:firstLine="0" w:firstLineChars="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元，维修（护）费0.62万元，培训费1.2万元，公务接待费0.18万元，劳务费0.2万元，工会经费4.41万元，福利费2.08万元，其他交通费用14.94万元，其他商品和服务支出0.64万元。</w:t>
      </w:r>
    </w:p>
    <w:p w14:paraId="5FF9241D">
      <w:pPr>
        <w:ind w:firstLine="643" w:firstLineChars="200"/>
        <w:rPr>
          <w:rFonts w:hint="eastAsia" w:ascii="Times New Roman" w:hAnsi="Times New Roman" w:eastAsia="方正楷体_GBK" w:cs="方正楷体_GBK"/>
          <w:b/>
          <w:bCs/>
          <w:color w:val="auto"/>
          <w:sz w:val="32"/>
          <w:szCs w:val="32"/>
        </w:rPr>
      </w:pPr>
      <w:r>
        <w:rPr>
          <w:rFonts w:hint="eastAsia" w:ascii="Times New Roman" w:hAnsi="Times New Roman" w:eastAsia="方正楷体_GBK" w:cs="方正楷体_GBK"/>
          <w:b/>
          <w:bCs/>
          <w:color w:val="auto"/>
          <w:sz w:val="32"/>
          <w:szCs w:val="32"/>
        </w:rPr>
        <w:t>（二）政府采购情况</w:t>
      </w:r>
    </w:p>
    <w:p w14:paraId="120AA585">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2025年，县医保局安排政府采购预算0万元，其中：政府采购货物预算0万元；政府采购工程预算0万元；政府采购服务预算0万元。</w:t>
      </w:r>
    </w:p>
    <w:p w14:paraId="3266C9EB">
      <w:pPr>
        <w:ind w:firstLine="643" w:firstLineChars="200"/>
        <w:rPr>
          <w:rFonts w:hint="eastAsia" w:ascii="Times New Roman" w:hAnsi="Times New Roman" w:eastAsia="方正楷体_GBK" w:cs="方正楷体_GBK"/>
          <w:b/>
          <w:bCs/>
          <w:color w:val="auto"/>
          <w:sz w:val="32"/>
          <w:szCs w:val="32"/>
        </w:rPr>
      </w:pPr>
      <w:r>
        <w:rPr>
          <w:rFonts w:hint="eastAsia" w:ascii="Times New Roman" w:hAnsi="Times New Roman" w:eastAsia="方正楷体_GBK" w:cs="方正楷体_GBK"/>
          <w:b/>
          <w:bCs/>
          <w:color w:val="auto"/>
          <w:sz w:val="32"/>
          <w:szCs w:val="32"/>
        </w:rPr>
        <w:t>（三）国有资产占有使用情况</w:t>
      </w:r>
    </w:p>
    <w:p w14:paraId="3577AC24">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截至2024年底，县医保局所属的非独立核算单位共有车辆0辆，其中，执法执勤用车0辆。单位价值200万元以上大型设备0台（套）。</w:t>
      </w:r>
    </w:p>
    <w:p w14:paraId="30441641">
      <w:pPr>
        <w:ind w:firstLine="643" w:firstLineChars="200"/>
        <w:rPr>
          <w:rFonts w:hint="eastAsia" w:ascii="Times New Roman" w:hAnsi="Times New Roman" w:eastAsia="方正楷体_GBK" w:cs="方正楷体_GBK"/>
          <w:b/>
          <w:bCs/>
          <w:color w:val="auto"/>
          <w:sz w:val="32"/>
          <w:szCs w:val="32"/>
        </w:rPr>
      </w:pPr>
      <w:r>
        <w:rPr>
          <w:rFonts w:hint="eastAsia" w:ascii="Times New Roman" w:hAnsi="Times New Roman" w:eastAsia="方正楷体_GBK" w:cs="方正楷体_GBK"/>
          <w:b/>
          <w:bCs/>
          <w:color w:val="auto"/>
          <w:sz w:val="32"/>
          <w:szCs w:val="32"/>
        </w:rPr>
        <w:t>（四）预算绩效情况</w:t>
      </w:r>
    </w:p>
    <w:p w14:paraId="37851043">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2025年县医保局开展绩效目标管理的项目7个，涉及预算1251.1万元。其中：人员类项目0个，涉及预算0万元；运转类项目0个，涉及预算0万元；特定目标类项目7个，涉及预算1251.1万元。</w:t>
      </w:r>
    </w:p>
    <w:p w14:paraId="2EFB5A99">
      <w:pPr>
        <w:ind w:firstLine="640" w:firstLineChars="200"/>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十一、名词解释</w:t>
      </w:r>
    </w:p>
    <w:p w14:paraId="25490DA8">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1.一般公共预算拨款收入：指财政当年拨付的一般公共预算资金。</w:t>
      </w:r>
    </w:p>
    <w:p w14:paraId="64AB5E2D">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2.社会保障和就业支出（208类）行政事业单位养老支出（05）款行政单位离退休（01项）：指行政单位（包括实行公务员管理的事业单位）开支的离退休经费。</w:t>
      </w:r>
    </w:p>
    <w:p w14:paraId="1EAAC98B">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3.社会保障和就业支出（208类）行政事业单位养老支出（05款）机关事业单位基本养老保险缴费支出（05项）：指机关事业单位实施养老保险制度由单位缴纳的基本养老保险费支出。</w:t>
      </w:r>
    </w:p>
    <w:p w14:paraId="75E13D97">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4.卫生健康支出（210类）行政事业单位医疗（11款）行政单位医疗（01项）：指财政部门安排的行政单位（包括实行公务员管理的事业单位）基本医疗保险缴费经费，未参加医疗保险的行政单位的公费医疗经费，按国家规定享受离休人员、红军老战士待遇人员的医疗经费。</w:t>
      </w:r>
    </w:p>
    <w:p w14:paraId="74620F33">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5.卫生健康支出（210类）行政事业单位医疗（11款）公务员医疗补助（03项）：指财政部门安排的公务员医疗补助经费。</w:t>
      </w:r>
    </w:p>
    <w:p w14:paraId="47AA861F">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6.卫生健康支出（210类）行政事业单位医疗（11款）其他行政事业单位医疗支出（99项）：指其他用于行政事业单位医疗方面的支出。</w:t>
      </w:r>
    </w:p>
    <w:p w14:paraId="1EA8796E">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7.卫生健康支出（210类）财政对基本医疗保险基金的补助</w:t>
      </w:r>
    </w:p>
    <w:p w14:paraId="0BC4E280">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（12款）财政对城乡居民基本医疗保险基金的补助（02项）：指财政对城乡居民基本医疗保险基金的补助支出。</w:t>
      </w:r>
    </w:p>
    <w:p w14:paraId="37E74E85">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8.卫生健康支出（210类）医疗救助（13款）城乡医疗救助（01项）：指财政用于城乡困难群众医疗救助的支出。</w:t>
      </w:r>
    </w:p>
    <w:p w14:paraId="53018043">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9.卫生健康支出（210类）医疗保障管理事务（15款）行政运行（01项）：指行政单位（包括实行公务员管理的事业单位）的基本支出。</w:t>
      </w:r>
    </w:p>
    <w:p w14:paraId="64ADB9DF">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10.卫生健康支出（210类）医疗保障管理事务（15款）医疗保障政策管理（05项）：指医疗保障待遇管理、医药服务管理、医药价格和招标采购管理、医疗保障基金监管等支出。</w:t>
      </w:r>
    </w:p>
    <w:p w14:paraId="70A2F66C">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11.卫生健康支出（210类）医疗保障管理事务（15款）其他医疗保障管理事务支出（99项）：指其他用于医疗保障管理事务方面的支出。</w:t>
      </w:r>
    </w:p>
    <w:p w14:paraId="69D2969D">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12.住房保障支出（221类）住房改革支出（02款）住房公积金（01项）：指行政事业单位按人力资源和社会保障部、财政部规定的基本工资和津贴补贴以及规定比例为职工缴纳的住房公积金。</w:t>
      </w:r>
    </w:p>
    <w:p w14:paraId="4E5E6206">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13.基本支出：指为保证机构正常运转，完成日常工作任务而发生的人员支出和公用支出。</w:t>
      </w:r>
    </w:p>
    <w:p w14:paraId="5930A1B3">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14.项目支出：指在基本支出之外为完成特定行政任务和事业发展目标所发生的支出。</w:t>
      </w:r>
    </w:p>
    <w:p w14:paraId="32BE439C">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15.“三公”经费：纳入预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新能源汽车充电费、维修费、过桥过路费、保险费、安全奖励费用等支出；公务接待费反映单位按规定开支的各类公务接待（含外宾接待）费用。</w:t>
      </w:r>
    </w:p>
    <w:p w14:paraId="5B761B53">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16.机关运行经费：为保障行政单位（包括参照公务员法管理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7646C5E9">
      <w:pPr>
        <w:ind w:firstLine="640" w:firstLineChars="200"/>
        <w:rPr>
          <w:rFonts w:hint="eastAsia" w:ascii="Times New Roman" w:hAnsi="Times New Roman" w:eastAsia="方正仿宋_GBK" w:cs="方正仿宋_GBK"/>
          <w:color w:val="auto"/>
          <w:sz w:val="32"/>
          <w:szCs w:val="32"/>
        </w:rPr>
      </w:pPr>
    </w:p>
    <w:p w14:paraId="54B21849">
      <w:pPr>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附件：表1.部门收支总表</w:t>
      </w:r>
    </w:p>
    <w:p w14:paraId="60187A7B">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表1-1.部门收入总表</w:t>
      </w:r>
    </w:p>
    <w:p w14:paraId="1CB2A0B2">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表1-2.部门支出总表</w:t>
      </w:r>
    </w:p>
    <w:p w14:paraId="70B16896">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表2.财政拨款收支预算总表</w:t>
      </w:r>
    </w:p>
    <w:p w14:paraId="47BEC2DE">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表2-1.财政拨款支出预算表</w:t>
      </w:r>
    </w:p>
    <w:p w14:paraId="64C05D40">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表3.一般公共预算支出预算表</w:t>
      </w:r>
    </w:p>
    <w:p w14:paraId="213DFE0E">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表3-1.一般公共预算基本支出预算表</w:t>
      </w:r>
    </w:p>
    <w:p w14:paraId="54328C18">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表3-2.一般公共预算项目支出预算表</w:t>
      </w:r>
    </w:p>
    <w:p w14:paraId="14468903">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表3-3.一般公共预算“三公”经费支出预算表</w:t>
      </w:r>
    </w:p>
    <w:p w14:paraId="438B202B">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表4.政府性基金支出预算表</w:t>
      </w:r>
    </w:p>
    <w:p w14:paraId="53EB6217">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表4-1.政府性基金预算“三公”经费支出预算表</w:t>
      </w:r>
    </w:p>
    <w:p w14:paraId="7B97224A">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表5.国有资本经营预算支出预算表</w:t>
      </w:r>
    </w:p>
    <w:p w14:paraId="4E4A0D29">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表6.部门预算项目支出绩效目标表</w:t>
      </w:r>
    </w:p>
    <w:p w14:paraId="3B11F793">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表6-1.部门预算项目支出绩效目标表</w:t>
      </w:r>
    </w:p>
    <w:p w14:paraId="48E90883">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表6-2.部门预算项目支出绩效目标表</w:t>
      </w:r>
    </w:p>
    <w:p w14:paraId="3205FEE1">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表6-3.部门预算项目支出绩效目标表</w:t>
      </w:r>
    </w:p>
    <w:p w14:paraId="7A6EDBBE">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表6-4.部门预算项目支出绩效目标表</w:t>
      </w:r>
    </w:p>
    <w:p w14:paraId="713F8CC1">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表6-5.部门预算项目支出绩效目标表</w:t>
      </w:r>
    </w:p>
    <w:p w14:paraId="04265869">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表6-6.部门预算项目支出绩效目标表</w:t>
      </w:r>
    </w:p>
    <w:p w14:paraId="096545BF">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表6-7.部门预算项目支出绩效目标表</w:t>
      </w:r>
    </w:p>
    <w:p w14:paraId="7F860254">
      <w:pPr>
        <w:ind w:firstLine="1600" w:firstLineChars="5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表7.部门整体支出绩效目标表</w:t>
      </w:r>
    </w:p>
    <w:p w14:paraId="5EED2264">
      <w:pPr>
        <w:rPr>
          <w:rFonts w:ascii="Times New Roman" w:hAnsi="Times New Roman"/>
          <w:color w:val="auto"/>
        </w:rPr>
      </w:pPr>
    </w:p>
    <w:sectPr>
      <w:footerReference r:id="rId3" w:type="default"/>
      <w:pgSz w:w="11906" w:h="16838"/>
      <w:pgMar w:top="2098" w:right="1474" w:bottom="1984" w:left="1587" w:header="907" w:footer="164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789D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D32B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DD32B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trackRevisions w:val="1"/>
  <w:documentProtection w:enforcement="0"/>
  <w:defaultTabStop w:val="64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86ED5"/>
    <w:rsid w:val="20A943A5"/>
    <w:rsid w:val="27986ED5"/>
    <w:rsid w:val="417E3421"/>
    <w:rsid w:val="4B6A6D42"/>
    <w:rsid w:val="4F074718"/>
    <w:rsid w:val="522D0FE9"/>
    <w:rsid w:val="74196D88"/>
    <w:rsid w:val="7CA06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6493</Words>
  <Characters>7078</Characters>
  <Lines>0</Lines>
  <Paragraphs>0</Paragraphs>
  <TotalTime>3</TotalTime>
  <ScaleCrop>false</ScaleCrop>
  <LinksUpToDate>false</LinksUpToDate>
  <CharactersWithSpaces>7106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2025-07-23T02:27:00Z</dcterms:created>
  <dc:creator>张泽莉</dc:creator>
  <cp:lastModifiedBy>苏长兰</cp:lastModifiedBy>
  <dcterms:modified xsi:type="dcterms:W3CDTF">2026-02-25T03:01:22Z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FB7FD0F3AB794B4CAF2386976D4C9924_13</vt:lpwstr>
  </property>
  <property fmtid="{D5CDD505-2E9C-101B-9397-08002B2CF9AE}" pid="4" name="KSOTemplateDocerSaveRecord">
    <vt:lpwstr>eyJoZGlkIjoiNThkNzliNjBlMWE5Njc0Y2M3NGVjMjA4MmMxYWQ5MzgiLCJ1c2VySWQiOiI2OTMyNDE0NDMifQ==</vt:lpwstr>
  </property>
</Properties>
</file>