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17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18D9C25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12C6B97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2ABA25E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22BD66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6055C94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16CC034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1E19AC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51870E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17DDC7B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盐边县经济合作和商务局</w:t>
      </w:r>
    </w:p>
    <w:p w14:paraId="788920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2026年部门预算编制说明</w:t>
      </w:r>
    </w:p>
    <w:p w14:paraId="67B6E730">
      <w:pPr>
        <w:rPr>
          <w:rFonts w:hint="eastAsia"/>
        </w:rPr>
      </w:pPr>
    </w:p>
    <w:p w14:paraId="33C9ECA4">
      <w:pPr>
        <w:rPr>
          <w:rFonts w:hint="eastAsia"/>
        </w:rPr>
      </w:pPr>
    </w:p>
    <w:p w14:paraId="6CDDFF59">
      <w:pPr>
        <w:rPr>
          <w:rFonts w:hint="eastAsia"/>
        </w:rPr>
      </w:pPr>
    </w:p>
    <w:p w14:paraId="0B2BBBC5">
      <w:pPr>
        <w:rPr>
          <w:rFonts w:hint="eastAsia"/>
        </w:rPr>
      </w:pPr>
    </w:p>
    <w:p w14:paraId="720DC8E2">
      <w:pPr>
        <w:rPr>
          <w:rFonts w:hint="eastAsia"/>
        </w:rPr>
      </w:pPr>
    </w:p>
    <w:p w14:paraId="4F35BBEA">
      <w:pPr>
        <w:rPr>
          <w:rFonts w:hint="eastAsia"/>
        </w:rPr>
      </w:pPr>
    </w:p>
    <w:p w14:paraId="2C817DBD">
      <w:pPr>
        <w:rPr>
          <w:rFonts w:hint="eastAsia"/>
        </w:rPr>
      </w:pPr>
    </w:p>
    <w:p w14:paraId="1041A6D7">
      <w:pPr>
        <w:rPr>
          <w:rFonts w:hint="eastAsia"/>
        </w:rPr>
      </w:pPr>
    </w:p>
    <w:p w14:paraId="4697AADA">
      <w:pPr>
        <w:rPr>
          <w:rFonts w:hint="eastAsia"/>
        </w:rPr>
      </w:pPr>
    </w:p>
    <w:p w14:paraId="75F86C1E">
      <w:pPr>
        <w:rPr>
          <w:rFonts w:hint="eastAsia"/>
        </w:rPr>
      </w:pPr>
    </w:p>
    <w:p w14:paraId="2C2B30AB">
      <w:pPr>
        <w:rPr>
          <w:rFonts w:hint="eastAsia"/>
        </w:rPr>
      </w:pPr>
    </w:p>
    <w:p w14:paraId="1E3E7CC3">
      <w:pPr>
        <w:rPr>
          <w:rFonts w:hint="eastAsia"/>
        </w:rPr>
      </w:pPr>
    </w:p>
    <w:p w14:paraId="213396B8">
      <w:pPr>
        <w:rPr>
          <w:rFonts w:hint="eastAsia"/>
        </w:rPr>
      </w:pPr>
    </w:p>
    <w:p w14:paraId="5A6863F9">
      <w:pPr>
        <w:rPr>
          <w:rFonts w:hint="eastAsia"/>
        </w:rPr>
      </w:pPr>
    </w:p>
    <w:p w14:paraId="676C179A">
      <w:pPr>
        <w:rPr>
          <w:rFonts w:hint="eastAsia"/>
        </w:rPr>
      </w:pPr>
    </w:p>
    <w:p w14:paraId="58A421C5">
      <w:pPr>
        <w:rPr>
          <w:rFonts w:hint="eastAsia"/>
        </w:rPr>
      </w:pPr>
    </w:p>
    <w:p w14:paraId="736D60F3">
      <w:pPr>
        <w:rPr>
          <w:rFonts w:hint="eastAsia"/>
        </w:rPr>
      </w:pPr>
    </w:p>
    <w:p w14:paraId="2B67A788">
      <w:pPr>
        <w:rPr>
          <w:rFonts w:hint="eastAsia"/>
        </w:rPr>
      </w:pPr>
    </w:p>
    <w:p w14:paraId="0C0A2DA1">
      <w:pPr>
        <w:rPr>
          <w:rFonts w:hint="eastAsia"/>
        </w:rPr>
      </w:pPr>
    </w:p>
    <w:p w14:paraId="29A614F0">
      <w:pPr>
        <w:rPr>
          <w:rFonts w:hint="eastAsia"/>
        </w:rPr>
      </w:pPr>
    </w:p>
    <w:p w14:paraId="0A445377">
      <w:pPr>
        <w:rPr>
          <w:rFonts w:hint="eastAsia"/>
        </w:rPr>
      </w:pPr>
    </w:p>
    <w:p w14:paraId="25AC8891">
      <w:pPr>
        <w:rPr>
          <w:rFonts w:hint="eastAsia"/>
        </w:rPr>
      </w:pPr>
    </w:p>
    <w:p w14:paraId="50D43336">
      <w:pPr>
        <w:widowControl/>
        <w:shd w:val="clear" w:color="auto" w:fill="FFFFFF"/>
        <w:spacing w:line="240" w:lineRule="auto"/>
        <w:jc w:val="center"/>
        <w:rPr>
          <w:rFonts w:hint="eastAsia" w:ascii="Times New Roman" w:hAnsi="Times New Roman" w:eastAsia="方正小标宋_GBK" w:cs="Times New Roman"/>
          <w:b/>
          <w:bCs/>
          <w:sz w:val="44"/>
          <w:szCs w:val="44"/>
        </w:rPr>
        <w:sectPr>
          <w:pgSz w:w="11906" w:h="16838"/>
          <w:pgMar w:top="1440" w:right="1800" w:bottom="1440" w:left="1800" w:header="851" w:footer="992" w:gutter="0"/>
          <w:pgNumType w:fmt="decimal"/>
          <w:cols w:space="425" w:num="1"/>
          <w:docGrid w:type="lines" w:linePitch="312" w:charSpace="0"/>
        </w:sectPr>
      </w:pPr>
    </w:p>
    <w:p w14:paraId="6A3E24BA">
      <w:pPr>
        <w:widowControl/>
        <w:shd w:val="clear" w:color="auto" w:fill="FFFFFF"/>
        <w:spacing w:line="240" w:lineRule="auto"/>
        <w:jc w:val="center"/>
        <w:rPr>
          <w:rFonts w:hint="eastAsia"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rPr>
        <w:t>目录</w:t>
      </w:r>
    </w:p>
    <w:p w14:paraId="1240D7EA">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一、基本职能及主要工作…………………………………（1）</w:t>
      </w:r>
    </w:p>
    <w:p w14:paraId="24330E48">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（一）县经合商务局职能简介……………………………（</w:t>
      </w:r>
      <w:r>
        <w:rPr>
          <w:rFonts w:hint="eastAsia" w:ascii="Times New Roman" w:hAnsi="Times New Roman" w:eastAsia="方正楷体_GBK" w:cs="Times New Roman"/>
          <w:b w:val="0"/>
          <w:bCs/>
          <w:kern w:val="2"/>
          <w:sz w:val="32"/>
          <w:szCs w:val="32"/>
          <w:lang w:val="en-US" w:eastAsia="zh-CN" w:bidi="ar-SA"/>
        </w:rPr>
        <w:t>1</w:t>
      </w:r>
      <w:r>
        <w:rPr>
          <w:rFonts w:hint="eastAsia" w:ascii="Times New Roman" w:hAnsi="Times New Roman" w:eastAsia="方正楷体_GBK" w:cs="Times New Roman"/>
          <w:b/>
          <w:kern w:val="2"/>
          <w:sz w:val="32"/>
          <w:szCs w:val="32"/>
          <w:lang w:val="en-US" w:eastAsia="zh-CN" w:bidi="ar-SA"/>
        </w:rPr>
        <w:t>）</w:t>
      </w:r>
    </w:p>
    <w:p w14:paraId="72AEBBCC">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（二）县经合商务局2026年重点工作……………………</w:t>
      </w:r>
      <w:r>
        <w:rPr>
          <w:rFonts w:hint="eastAsia" w:ascii="Times New Roman" w:hAnsi="Times New Roman" w:eastAsia="方正楷体_GBK" w:cs="Times New Roman"/>
          <w:b/>
          <w:bCs w:val="0"/>
          <w:kern w:val="2"/>
          <w:sz w:val="32"/>
          <w:szCs w:val="32"/>
          <w:lang w:val="en-US" w:eastAsia="zh-CN" w:bidi="ar-SA"/>
        </w:rPr>
        <w:t>（</w:t>
      </w:r>
      <w:r>
        <w:rPr>
          <w:rFonts w:hint="eastAsia" w:ascii="Times New Roman" w:hAnsi="Times New Roman" w:eastAsia="方正楷体_GBK" w:cs="Times New Roman"/>
          <w:b w:val="0"/>
          <w:bCs/>
          <w:kern w:val="2"/>
          <w:sz w:val="32"/>
          <w:szCs w:val="32"/>
          <w:lang w:val="en-US" w:eastAsia="zh-CN" w:bidi="ar-SA"/>
        </w:rPr>
        <w:t>3</w:t>
      </w:r>
      <w:r>
        <w:rPr>
          <w:rFonts w:hint="eastAsia" w:ascii="Times New Roman" w:hAnsi="Times New Roman" w:eastAsia="方正楷体_GBK" w:cs="Times New Roman"/>
          <w:b/>
          <w:bCs w:val="0"/>
          <w:kern w:val="2"/>
          <w:sz w:val="32"/>
          <w:szCs w:val="32"/>
          <w:lang w:val="en-US" w:eastAsia="zh-CN" w:bidi="ar-SA"/>
        </w:rPr>
        <w:t>）</w:t>
      </w:r>
    </w:p>
    <w:p w14:paraId="4F72524E">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二、机构设置情况…………………………………………（4）</w:t>
      </w:r>
    </w:p>
    <w:p w14:paraId="331169BF">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三、收支预算情况说明 ……………………………………（4）</w:t>
      </w:r>
    </w:p>
    <w:p w14:paraId="64564CE5">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（一）收入预算情况………………………………………（</w:t>
      </w:r>
      <w:r>
        <w:rPr>
          <w:rFonts w:hint="eastAsia" w:ascii="Times New Roman" w:hAnsi="Times New Roman" w:eastAsia="方正楷体_GBK" w:cs="Times New Roman"/>
          <w:b w:val="0"/>
          <w:bCs/>
          <w:kern w:val="2"/>
          <w:sz w:val="32"/>
          <w:szCs w:val="32"/>
          <w:lang w:val="en-US" w:eastAsia="zh-CN" w:bidi="ar-SA"/>
        </w:rPr>
        <w:t>5</w:t>
      </w:r>
      <w:r>
        <w:rPr>
          <w:rFonts w:hint="eastAsia" w:ascii="Times New Roman" w:hAnsi="Times New Roman" w:eastAsia="方正楷体_GBK" w:cs="Times New Roman"/>
          <w:b/>
          <w:kern w:val="2"/>
          <w:sz w:val="32"/>
          <w:szCs w:val="32"/>
          <w:lang w:val="en-US" w:eastAsia="zh-CN" w:bidi="ar-SA"/>
        </w:rPr>
        <w:t>）</w:t>
      </w:r>
    </w:p>
    <w:p w14:paraId="34B05C9D">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（二）支出预算情况………………………………………（</w:t>
      </w:r>
      <w:r>
        <w:rPr>
          <w:rFonts w:hint="eastAsia" w:ascii="Times New Roman" w:hAnsi="Times New Roman" w:eastAsia="方正楷体_GBK" w:cs="Times New Roman"/>
          <w:b w:val="0"/>
          <w:bCs/>
          <w:kern w:val="2"/>
          <w:sz w:val="32"/>
          <w:szCs w:val="32"/>
          <w:lang w:val="en-US" w:eastAsia="zh-CN" w:bidi="ar-SA"/>
        </w:rPr>
        <w:t>5</w:t>
      </w:r>
      <w:r>
        <w:rPr>
          <w:rFonts w:hint="eastAsia" w:ascii="Times New Roman" w:hAnsi="Times New Roman" w:eastAsia="方正楷体_GBK" w:cs="Times New Roman"/>
          <w:b/>
          <w:kern w:val="2"/>
          <w:sz w:val="32"/>
          <w:szCs w:val="32"/>
          <w:lang w:val="en-US" w:eastAsia="zh-CN" w:bidi="ar-SA"/>
        </w:rPr>
        <w:t>）</w:t>
      </w:r>
    </w:p>
    <w:p w14:paraId="2CD0D37E">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四、财政拨款收支预算情况说明…………………………（5）</w:t>
      </w:r>
    </w:p>
    <w:p w14:paraId="68976FA0">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五、一般公共预算当年拨款情况说明……………………（5）</w:t>
      </w:r>
    </w:p>
    <w:p w14:paraId="6253EEC0">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（一）一般公共预算当年拨款规模变化情况……………（</w:t>
      </w:r>
      <w:r>
        <w:rPr>
          <w:rFonts w:hint="eastAsia" w:ascii="Times New Roman" w:hAnsi="Times New Roman" w:eastAsia="方正楷体_GBK" w:cs="Times New Roman"/>
          <w:b w:val="0"/>
          <w:bCs/>
          <w:kern w:val="2"/>
          <w:sz w:val="32"/>
          <w:szCs w:val="32"/>
          <w:lang w:val="en-US" w:eastAsia="zh-CN" w:bidi="ar-SA"/>
        </w:rPr>
        <w:t>5</w:t>
      </w:r>
      <w:r>
        <w:rPr>
          <w:rFonts w:hint="eastAsia" w:ascii="Times New Roman" w:hAnsi="Times New Roman" w:eastAsia="方正楷体_GBK" w:cs="Times New Roman"/>
          <w:b/>
          <w:kern w:val="2"/>
          <w:sz w:val="32"/>
          <w:szCs w:val="32"/>
          <w:lang w:val="en-US" w:eastAsia="zh-CN" w:bidi="ar-SA"/>
        </w:rPr>
        <w:t>）</w:t>
      </w:r>
    </w:p>
    <w:p w14:paraId="53481719">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（二）一般公共预算当年拨款结构情况…………………（</w:t>
      </w:r>
      <w:r>
        <w:rPr>
          <w:rFonts w:hint="eastAsia" w:ascii="Times New Roman" w:hAnsi="Times New Roman" w:eastAsia="方正楷体_GBK" w:cs="Times New Roman"/>
          <w:b w:val="0"/>
          <w:bCs/>
          <w:kern w:val="2"/>
          <w:sz w:val="32"/>
          <w:szCs w:val="32"/>
          <w:lang w:val="en-US" w:eastAsia="zh-CN" w:bidi="ar-SA"/>
        </w:rPr>
        <w:t>5</w:t>
      </w:r>
      <w:r>
        <w:rPr>
          <w:rFonts w:hint="eastAsia" w:ascii="Times New Roman" w:hAnsi="Times New Roman" w:eastAsia="方正楷体_GBK" w:cs="Times New Roman"/>
          <w:b/>
          <w:kern w:val="2"/>
          <w:sz w:val="32"/>
          <w:szCs w:val="32"/>
          <w:lang w:val="en-US" w:eastAsia="zh-CN" w:bidi="ar-SA"/>
        </w:rPr>
        <w:t>）</w:t>
      </w:r>
    </w:p>
    <w:p w14:paraId="7C44E134">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（三）一般公共预算当年拨款具体使用情况……………（</w:t>
      </w:r>
      <w:r>
        <w:rPr>
          <w:rFonts w:hint="eastAsia" w:ascii="Times New Roman" w:hAnsi="Times New Roman" w:eastAsia="方正楷体_GBK" w:cs="Times New Roman"/>
          <w:b w:val="0"/>
          <w:bCs/>
          <w:kern w:val="2"/>
          <w:sz w:val="32"/>
          <w:szCs w:val="32"/>
          <w:lang w:val="en-US" w:eastAsia="zh-CN" w:bidi="ar-SA"/>
        </w:rPr>
        <w:t>6</w:t>
      </w:r>
      <w:r>
        <w:rPr>
          <w:rFonts w:hint="eastAsia" w:ascii="Times New Roman" w:hAnsi="Times New Roman" w:eastAsia="方正楷体_GBK" w:cs="Times New Roman"/>
          <w:b/>
          <w:kern w:val="2"/>
          <w:sz w:val="32"/>
          <w:szCs w:val="32"/>
          <w:lang w:val="en-US" w:eastAsia="zh-CN" w:bidi="ar-SA"/>
        </w:rPr>
        <w:t>）</w:t>
      </w:r>
    </w:p>
    <w:p w14:paraId="7D1FFA8E">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六、一般公共预算基本支出情况说明……………………（7）七、“三公”经费财政拨款预算安排情况说明……………（7）</w:t>
      </w:r>
    </w:p>
    <w:p w14:paraId="4C0DB17B">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（一）因公出国（境）经费………………………………（</w:t>
      </w:r>
      <w:r>
        <w:rPr>
          <w:rFonts w:hint="eastAsia" w:ascii="Times New Roman" w:hAnsi="Times New Roman" w:eastAsia="方正楷体_GBK" w:cs="Times New Roman"/>
          <w:b w:val="0"/>
          <w:bCs/>
          <w:kern w:val="2"/>
          <w:sz w:val="32"/>
          <w:szCs w:val="32"/>
          <w:lang w:val="en-US" w:eastAsia="zh-CN" w:bidi="ar-SA"/>
        </w:rPr>
        <w:t>8</w:t>
      </w:r>
      <w:r>
        <w:rPr>
          <w:rFonts w:hint="eastAsia" w:ascii="Times New Roman" w:hAnsi="Times New Roman" w:eastAsia="方正楷体_GBK" w:cs="Times New Roman"/>
          <w:b/>
          <w:kern w:val="2"/>
          <w:sz w:val="32"/>
          <w:szCs w:val="32"/>
          <w:lang w:val="en-US" w:eastAsia="zh-CN" w:bidi="ar-SA"/>
        </w:rPr>
        <w:t>）</w:t>
      </w:r>
    </w:p>
    <w:p w14:paraId="77F6D13A">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（二）公务接待费…………………………………………（</w:t>
      </w:r>
      <w:r>
        <w:rPr>
          <w:rFonts w:hint="eastAsia" w:ascii="Times New Roman" w:hAnsi="Times New Roman" w:eastAsia="方正楷体_GBK" w:cs="Times New Roman"/>
          <w:b w:val="0"/>
          <w:bCs/>
          <w:kern w:val="2"/>
          <w:sz w:val="32"/>
          <w:szCs w:val="32"/>
          <w:lang w:val="en-US" w:eastAsia="zh-CN" w:bidi="ar-SA"/>
        </w:rPr>
        <w:t>8</w:t>
      </w:r>
      <w:r>
        <w:rPr>
          <w:rFonts w:hint="eastAsia" w:ascii="Times New Roman" w:hAnsi="Times New Roman" w:eastAsia="方正楷体_GBK" w:cs="Times New Roman"/>
          <w:b/>
          <w:kern w:val="2"/>
          <w:sz w:val="32"/>
          <w:szCs w:val="32"/>
          <w:lang w:val="en-US" w:eastAsia="zh-CN" w:bidi="ar-SA"/>
        </w:rPr>
        <w:t>）</w:t>
      </w:r>
    </w:p>
    <w:p w14:paraId="7C1351E1">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（三）公务用车购置及运行维护费………………………（</w:t>
      </w:r>
      <w:r>
        <w:rPr>
          <w:rFonts w:hint="eastAsia" w:ascii="Times New Roman" w:hAnsi="Times New Roman" w:eastAsia="方正楷体_GBK" w:cs="Times New Roman"/>
          <w:b w:val="0"/>
          <w:bCs/>
          <w:kern w:val="2"/>
          <w:sz w:val="32"/>
          <w:szCs w:val="32"/>
          <w:lang w:val="en-US" w:eastAsia="zh-CN" w:bidi="ar-SA"/>
        </w:rPr>
        <w:t>8</w:t>
      </w:r>
      <w:r>
        <w:rPr>
          <w:rFonts w:hint="eastAsia" w:ascii="Times New Roman" w:hAnsi="Times New Roman" w:eastAsia="方正楷体_GBK" w:cs="Times New Roman"/>
          <w:b/>
          <w:kern w:val="2"/>
          <w:sz w:val="32"/>
          <w:szCs w:val="32"/>
          <w:lang w:val="en-US" w:eastAsia="zh-CN" w:bidi="ar-SA"/>
        </w:rPr>
        <w:t>）</w:t>
      </w:r>
    </w:p>
    <w:p w14:paraId="26BD2582">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八、政府性基金预算支出情况说明………………………（9）</w:t>
      </w:r>
    </w:p>
    <w:p w14:paraId="63E73A60">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九、国有资本经营预算情况说明…………………………（9）</w:t>
      </w:r>
    </w:p>
    <w:p w14:paraId="0811FC94">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十、其他重要事项的情况说明……………………………（9）</w:t>
      </w:r>
    </w:p>
    <w:p w14:paraId="47A20BC0">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6564020">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（一）机关运行经费……………………………………（</w:t>
      </w:r>
      <w:r>
        <w:rPr>
          <w:rFonts w:hint="eastAsia" w:ascii="Times New Roman" w:hAnsi="Times New Roman" w:eastAsia="方正楷体_GBK" w:cs="Times New Roman"/>
          <w:b w:val="0"/>
          <w:bCs/>
          <w:kern w:val="2"/>
          <w:sz w:val="32"/>
          <w:szCs w:val="32"/>
          <w:lang w:val="en-US" w:eastAsia="zh-CN" w:bidi="ar-SA"/>
        </w:rPr>
        <w:t>9</w:t>
      </w:r>
      <w:r>
        <w:rPr>
          <w:rFonts w:hint="eastAsia" w:ascii="Times New Roman" w:hAnsi="Times New Roman" w:eastAsia="方正楷体_GBK" w:cs="Times New Roman"/>
          <w:b/>
          <w:kern w:val="2"/>
          <w:sz w:val="32"/>
          <w:szCs w:val="32"/>
          <w:lang w:val="en-US" w:eastAsia="zh-CN" w:bidi="ar-SA"/>
        </w:rPr>
        <w:t>）</w:t>
      </w:r>
    </w:p>
    <w:p w14:paraId="5DEBF6F9">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（二）政府采购情况……………………………………（</w:t>
      </w:r>
      <w:r>
        <w:rPr>
          <w:rFonts w:hint="eastAsia" w:ascii="Times New Roman" w:hAnsi="Times New Roman" w:eastAsia="方正楷体_GBK" w:cs="Times New Roman"/>
          <w:b w:val="0"/>
          <w:bCs/>
          <w:kern w:val="2"/>
          <w:sz w:val="32"/>
          <w:szCs w:val="32"/>
          <w:lang w:val="en-US" w:eastAsia="zh-CN" w:bidi="ar-SA"/>
        </w:rPr>
        <w:t>9</w:t>
      </w:r>
      <w:r>
        <w:rPr>
          <w:rFonts w:hint="eastAsia" w:ascii="Times New Roman" w:hAnsi="Times New Roman" w:eastAsia="方正楷体_GBK" w:cs="Times New Roman"/>
          <w:b/>
          <w:kern w:val="2"/>
          <w:sz w:val="32"/>
          <w:szCs w:val="32"/>
          <w:lang w:val="en-US" w:eastAsia="zh-CN" w:bidi="ar-SA"/>
        </w:rPr>
        <w:t>）</w:t>
      </w:r>
    </w:p>
    <w:p w14:paraId="6AA3E6CA">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（三）国有资产占有使用情况…………………………（</w:t>
      </w:r>
      <w:r>
        <w:rPr>
          <w:rFonts w:hint="eastAsia" w:ascii="Times New Roman" w:hAnsi="Times New Roman" w:eastAsia="方正楷体_GBK" w:cs="Times New Roman"/>
          <w:b w:val="0"/>
          <w:bCs/>
          <w:kern w:val="2"/>
          <w:sz w:val="32"/>
          <w:szCs w:val="32"/>
          <w:lang w:val="en-US" w:eastAsia="zh-CN" w:bidi="ar-SA"/>
        </w:rPr>
        <w:t>9</w:t>
      </w:r>
      <w:r>
        <w:rPr>
          <w:rFonts w:hint="eastAsia" w:ascii="Times New Roman" w:hAnsi="Times New Roman" w:eastAsia="方正楷体_GBK" w:cs="Times New Roman"/>
          <w:b/>
          <w:kern w:val="2"/>
          <w:sz w:val="32"/>
          <w:szCs w:val="32"/>
          <w:lang w:val="en-US" w:eastAsia="zh-CN" w:bidi="ar-SA"/>
        </w:rPr>
        <w:t>）</w:t>
      </w:r>
    </w:p>
    <w:p w14:paraId="2F3206D0">
      <w:pPr>
        <w:widowControl/>
        <w:shd w:val="clear" w:color="auto" w:fill="FFFFFF"/>
        <w:spacing w:line="240" w:lineRule="auto"/>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（四）预算绩效情况……………………………………（</w:t>
      </w:r>
      <w:r>
        <w:rPr>
          <w:rFonts w:hint="eastAsia" w:ascii="Times New Roman" w:hAnsi="Times New Roman" w:eastAsia="方正楷体_GBK" w:cs="Times New Roman"/>
          <w:b w:val="0"/>
          <w:bCs/>
          <w:kern w:val="2"/>
          <w:sz w:val="32"/>
          <w:szCs w:val="32"/>
          <w:lang w:val="en-US" w:eastAsia="zh-CN" w:bidi="ar-SA"/>
        </w:rPr>
        <w:t>10</w:t>
      </w:r>
      <w:r>
        <w:rPr>
          <w:rFonts w:hint="eastAsia" w:ascii="Times New Roman" w:hAnsi="Times New Roman" w:eastAsia="方正楷体_GBK" w:cs="Times New Roman"/>
          <w:b/>
          <w:kern w:val="2"/>
          <w:sz w:val="32"/>
          <w:szCs w:val="32"/>
          <w:lang w:val="en-US" w:eastAsia="zh-CN" w:bidi="ar-SA"/>
        </w:rPr>
        <w:t>）</w:t>
      </w:r>
    </w:p>
    <w:p w14:paraId="26397C7F">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十一、名词解释 ……………………………………………（10）</w:t>
      </w:r>
    </w:p>
    <w:p w14:paraId="1E8ACEB4">
      <w:pPr>
        <w:widowControl/>
        <w:shd w:val="clear" w:color="auto" w:fill="FFFFFF"/>
        <w:spacing w:line="240" w:lineRule="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附件：………………………………………………………（13）</w:t>
      </w:r>
    </w:p>
    <w:p w14:paraId="386E2D70">
      <w:pPr>
        <w:rPr>
          <w:rFonts w:hint="eastAsia"/>
        </w:rPr>
      </w:pPr>
      <w:r>
        <w:rPr>
          <w:rFonts w:hint="eastAsia"/>
        </w:rPr>
        <w:t xml:space="preserve">   </w:t>
      </w:r>
    </w:p>
    <w:p w14:paraId="61EFF02C">
      <w:pPr>
        <w:rPr>
          <w:rFonts w:hint="eastAsia"/>
        </w:rPr>
      </w:pPr>
    </w:p>
    <w:p w14:paraId="54E583AE">
      <w:pPr>
        <w:rPr>
          <w:rFonts w:hint="eastAsia"/>
        </w:rPr>
      </w:pPr>
    </w:p>
    <w:p w14:paraId="7CDFEE51">
      <w:pPr>
        <w:rPr>
          <w:rFonts w:hint="eastAsia"/>
        </w:rPr>
      </w:pPr>
    </w:p>
    <w:p w14:paraId="520F6048">
      <w:pPr>
        <w:rPr>
          <w:rFonts w:hint="eastAsia"/>
        </w:rPr>
      </w:pPr>
    </w:p>
    <w:p w14:paraId="071573AE">
      <w:pPr>
        <w:rPr>
          <w:rFonts w:hint="eastAsia"/>
        </w:rPr>
      </w:pPr>
    </w:p>
    <w:p w14:paraId="52DDD52D">
      <w:pPr>
        <w:rPr>
          <w:rFonts w:hint="eastAsia"/>
        </w:rPr>
      </w:pPr>
    </w:p>
    <w:p w14:paraId="6736A94D">
      <w:pPr>
        <w:rPr>
          <w:rFonts w:hint="eastAsia"/>
        </w:rPr>
      </w:pPr>
    </w:p>
    <w:p w14:paraId="2D1A3DA4">
      <w:pPr>
        <w:rPr>
          <w:rFonts w:hint="eastAsia"/>
        </w:rPr>
      </w:pPr>
    </w:p>
    <w:p w14:paraId="00E12E59">
      <w:pPr>
        <w:rPr>
          <w:rFonts w:hint="eastAsia"/>
        </w:rPr>
      </w:pPr>
    </w:p>
    <w:p w14:paraId="364EBDD8">
      <w:pPr>
        <w:rPr>
          <w:rFonts w:hint="eastAsia"/>
        </w:rPr>
      </w:pPr>
    </w:p>
    <w:p w14:paraId="3673D7F3">
      <w:pPr>
        <w:rPr>
          <w:rFonts w:hint="eastAsia"/>
        </w:rPr>
      </w:pPr>
    </w:p>
    <w:p w14:paraId="3AED3C52">
      <w:pPr>
        <w:rPr>
          <w:rFonts w:hint="eastAsia"/>
        </w:rPr>
      </w:pPr>
    </w:p>
    <w:p w14:paraId="5E55DA6F">
      <w:pPr>
        <w:rPr>
          <w:rFonts w:hint="eastAsia"/>
        </w:rPr>
      </w:pPr>
    </w:p>
    <w:p w14:paraId="5630320C">
      <w:pPr>
        <w:rPr>
          <w:rFonts w:hint="eastAsia"/>
        </w:rPr>
      </w:pPr>
    </w:p>
    <w:p w14:paraId="3240F02C">
      <w:pPr>
        <w:rPr>
          <w:rFonts w:hint="eastAsia"/>
        </w:rPr>
      </w:pPr>
    </w:p>
    <w:p w14:paraId="59AE5AE6">
      <w:pPr>
        <w:rPr>
          <w:rFonts w:hint="eastAsia"/>
        </w:rPr>
      </w:pPr>
    </w:p>
    <w:p w14:paraId="56DD1709">
      <w:pPr>
        <w:rPr>
          <w:rFonts w:hint="eastAsia"/>
        </w:rPr>
      </w:pPr>
    </w:p>
    <w:p w14:paraId="03E618CE">
      <w:pPr>
        <w:rPr>
          <w:rFonts w:hint="eastAsia"/>
        </w:rPr>
      </w:pPr>
    </w:p>
    <w:p w14:paraId="55C0C6BE">
      <w:pPr>
        <w:rPr>
          <w:rFonts w:hint="eastAsia"/>
        </w:rPr>
      </w:pPr>
    </w:p>
    <w:p w14:paraId="4E6D34AF">
      <w:pPr>
        <w:rPr>
          <w:rFonts w:hint="eastAsia"/>
        </w:rPr>
      </w:pPr>
    </w:p>
    <w:p w14:paraId="69BAFFDC">
      <w:pPr>
        <w:rPr>
          <w:rFonts w:hint="eastAsia"/>
        </w:rPr>
      </w:pPr>
    </w:p>
    <w:p w14:paraId="4738BAC4">
      <w:pPr>
        <w:rPr>
          <w:rFonts w:hint="eastAsia"/>
        </w:rPr>
      </w:pPr>
    </w:p>
    <w:p w14:paraId="3132B0BF">
      <w:pPr>
        <w:rPr>
          <w:rFonts w:hint="eastAsia"/>
        </w:rPr>
      </w:pPr>
    </w:p>
    <w:p w14:paraId="20BB8ED3">
      <w:pPr>
        <w:rPr>
          <w:rFonts w:hint="eastAsia"/>
        </w:rPr>
      </w:pPr>
    </w:p>
    <w:p w14:paraId="72C45CEA">
      <w:pPr>
        <w:rPr>
          <w:rFonts w:hint="eastAsia"/>
        </w:rPr>
      </w:pPr>
    </w:p>
    <w:p w14:paraId="3BD2A966">
      <w:pPr>
        <w:rPr>
          <w:rFonts w:hint="eastAsia"/>
        </w:rPr>
      </w:pPr>
    </w:p>
    <w:p w14:paraId="396C64F0">
      <w:pPr>
        <w:rPr>
          <w:rFonts w:hint="eastAsia"/>
        </w:rPr>
      </w:pPr>
    </w:p>
    <w:p w14:paraId="56DBA92D">
      <w:pPr>
        <w:rPr>
          <w:rFonts w:hint="eastAsia"/>
        </w:rPr>
      </w:pPr>
    </w:p>
    <w:p w14:paraId="43177F60">
      <w:pPr>
        <w:rPr>
          <w:rFonts w:hint="eastAsia"/>
        </w:rPr>
      </w:pPr>
    </w:p>
    <w:p w14:paraId="1A67ED33">
      <w:pPr>
        <w:rPr>
          <w:rFonts w:hint="eastAsia"/>
        </w:rPr>
      </w:pPr>
    </w:p>
    <w:p w14:paraId="7714D84C">
      <w:pPr>
        <w:rPr>
          <w:rFonts w:hint="eastAsia"/>
        </w:rPr>
      </w:pPr>
    </w:p>
    <w:p w14:paraId="75D1BC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C871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盐边县第十九届人民代表大会第六次会议批准的盐边县2026年县本级财政预算，2026年2月11日盐边县财政局批复了2026年县级部门预算，并对2026年部门预算公开作了明确要求。现按照《中华人民共和国预算法》和《中华人民共和国预算法实施条例》相关规定，将我单位2026年部门预算说明如下：</w:t>
      </w:r>
    </w:p>
    <w:p w14:paraId="4BA69005">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一、基本职能及主要工作</w:t>
      </w:r>
    </w:p>
    <w:p w14:paraId="68E930C5">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（一）县经合商务局职能简介</w:t>
      </w:r>
    </w:p>
    <w:p w14:paraId="7C65E85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仿宋_GBK" w:cs="Times New Roman"/>
          <w:sz w:val="32"/>
          <w:szCs w:val="32"/>
          <w:lang w:val="en-US" w:eastAsia="zh-CN"/>
        </w:rPr>
        <w:t>负责制定全县招商引资年度目标任务、招商引资统计、指标运行分析；负责统筹、协调、指导全县对外开放、招商引资和经济合作工作；负责组织完成市、县政府下达的招商引资目标任务，督查督办重大招商引资项目；负责全县招商引资重大活动策划和组织；负责组织开展招商项目的收集（策划）、筛选、包装、储备工作，会同有关部门做好招商引资投资指南、多媒体宣传片、项目册、网页等对外宣传资料的编纂、整理、制作等工作；统筹协调全县重大产业招商项目的考察、接待、洽谈和行政审批代办服务工作；推动全县博览、会展发展促进工作。拟订全县博览、会展发展规划和相关政策。指导和监督管理以盐边县名义举办的各种商贸交易会、展览会和展销会等活动；承担县委、县政府交办的博览、会展活动；参与拟定全县服务业发展工作计划和政策措施并组织实施。汇总分析全县服务业运行发展情况，提出解决问题的意见建议。推进服务业重大项目建设。贯彻执行国内贸易市场监管法律法规，履行市场综合治理和监管职责，开展商贸领域行政执法，规范市场交易行为；承担组织整顿和规范市场经济秩序相关工作，拟订规范市场运行和流通秩序的政策措施。牵头消除地区封锁、打破行业垄断，规范商贸企业交易行为。推进商务诚信建设，规范商业信用支付行为。贯彻落实国家、省和市市场体系建设方针政策，拟订健全规范市场体系建设的政策措施。统筹推进区域城乡市场协调发展，负责城市商业网点规划，指导商业体系建设和社区商业发展，组织实施农村市场体系建设。拟订大宗产品批发市场规划，推进流通标准化建设。按照规定对汽车流通行业进行监督管理，负责老旧汽车报废更新管理；负责全县社会消费品零售市场运行和商品供求状况监测分析。负责组织重要消费品市场调控。负责重要商品流通管理及行业协调，承担“菜篮子”商品供应、茧丝绸流通等协调工作。拟订现代流通方式发展规划及政策。承担商贸服务业（含餐饮业、住宿业）行业管理。按照规定对拍卖、直销和旧货流通行业等进行监督管理。指导流通领域节能减排和再生资源回收管理工作。统筹商务流通与消费促进工作。贯彻落实电子商务的法律法规和方针政策，推动全县电子商务服务体系建设，优化电子商务发展环境，参与制定全县电子商务发展规划和年度计划，提出促进电子商务发展的政策建议。指导电子商务公共服务平台建设，建立完善电子商务培训、统计和评价体系。推进电子商务与产业融合，培育重点电子商务园区、基地和企业，支持中小电子商务企业发展。推进电子商务进农村、进企业、进社区，指导全县电子商务示范工程建设。发展平台经济、共享经济等数字经济新业态新模式。贯彻执行国家对外贸易、服务贸易和对外经济合作方针政策。指导协调全县进出口工作、外商投资企业进出口工作，负责加工贸易管理和服务。指导全县国际服务贸易，促进服务贸易出口，管理技术贸易工作。组织企业开展境外贸易和国内涉外贸易促进活动。依法指导、管理和监督全县对外承包工程、对外劳务合作等对外经济合作业务。承担全县商务行政审批、备案工作，办理行政审批和公共服务事项。负责职责范围内的安全生产和职业健康、生态环境保护、审批服务便民化等工作；负责县投资促进工作委员会办公室的日常工作；承办县政府交办的其他事项。</w:t>
      </w:r>
    </w:p>
    <w:p w14:paraId="55F238A9">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（二）县经合商务局2026年重点工作</w:t>
      </w:r>
    </w:p>
    <w:p w14:paraId="0013A3F7">
      <w:pPr>
        <w:pStyle w:val="4"/>
        <w:keepNext w:val="0"/>
        <w:keepLines w:val="0"/>
        <w:pageBreakBefore w:val="0"/>
        <w:widowControl/>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pPr>
      <w:r>
        <w:rPr>
          <w:rFonts w:hint="default" w:ascii="Times New Roman" w:hAnsi="Times New Roman" w:eastAsia="方正楷体_GBK" w:cs="Times New Roman"/>
          <w:b/>
          <w:bCs/>
          <w:color w:val="000000" w:themeColor="text1"/>
          <w:sz w:val="32"/>
          <w:szCs w:val="20"/>
          <w:lang w:val="en-US" w:eastAsia="zh-CN"/>
          <w14:textFill>
            <w14:solidFill>
              <w14:schemeClr w14:val="tx1"/>
            </w14:solidFill>
          </w14:textFill>
        </w:rPr>
        <w:t>1.</w:t>
      </w:r>
      <w:r>
        <w:rPr>
          <w:rFonts w:hint="eastAsia" w:ascii="方正楷体_GBK" w:hAnsi="方正楷体_GBK" w:eastAsia="方正楷体_GBK" w:cs="方正楷体_GBK"/>
          <w:b/>
          <w:bCs/>
          <w:color w:val="000000" w:themeColor="text1"/>
          <w:sz w:val="32"/>
          <w:szCs w:val="20"/>
          <w:lang w:eastAsia="zh-CN"/>
          <w14:textFill>
            <w14:solidFill>
              <w14:schemeClr w14:val="tx1"/>
            </w14:solidFill>
          </w14:textFill>
        </w:rPr>
        <w:t>聚焦精准招商，壮大产业集群。</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围绕钒钛新材料、清洁能源、高端制造、阳光康养等主导产业，策划包装重点项目20个。</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积极</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赴外招商活动80余次，</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预计开展招商</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投资推介会2场，力争新签约亿元以上项目</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个，招商引资实际到位资金增长5%以上。</w:t>
      </w:r>
    </w:p>
    <w:p w14:paraId="4E7D8EB7">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pPr>
      <w:r>
        <w:rPr>
          <w:rFonts w:hint="eastAsia" w:ascii="Times New Roman" w:hAnsi="Times New Roman" w:eastAsia="方正楷体_GBK" w:cs="Times New Roman"/>
          <w:b/>
          <w:bCs/>
          <w:color w:val="000000" w:themeColor="text1"/>
          <w:sz w:val="32"/>
          <w:szCs w:val="20"/>
          <w:lang w:val="en-US" w:eastAsia="zh-CN"/>
          <w14:textFill>
            <w14:solidFill>
              <w14:schemeClr w14:val="tx1"/>
            </w14:solidFill>
          </w14:textFill>
        </w:rPr>
        <w:t>2.</w:t>
      </w:r>
      <w:r>
        <w:rPr>
          <w:rFonts w:hint="default" w:ascii="Times New Roman" w:hAnsi="Times New Roman" w:eastAsia="方正楷体_GBK" w:cs="Times New Roman"/>
          <w:b/>
          <w:bCs/>
          <w:color w:val="000000" w:themeColor="text1"/>
          <w:sz w:val="32"/>
          <w:szCs w:val="20"/>
          <w:lang w:val="en-US" w:eastAsia="zh-CN"/>
          <w14:textFill>
            <w14:solidFill>
              <w14:schemeClr w14:val="tx1"/>
            </w14:solidFill>
          </w14:textFill>
        </w:rPr>
        <w:t>激活消费潜力，升级商贸业态</w:t>
      </w:r>
      <w:r>
        <w:rPr>
          <w:rFonts w:hint="eastAsia" w:ascii="Times New Roman" w:hAnsi="Times New Roman" w:eastAsia="方正楷体_GBK" w:cs="Times New Roman"/>
          <w:b/>
          <w:bCs/>
          <w:color w:val="000000" w:themeColor="text1"/>
          <w:sz w:val="32"/>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推动电商产业创新发展，升级京东乡村振兴示范园功能，培育本土电商龙头企业</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家</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，推动入园企业开设20家以上京东特色店铺</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。拓展“多多码·笮即办”平台服务场景，新增入驻商户</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200</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家，力争交易额突破</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亿元。加快推进农贸市场提档升级，新建城乡冷链物流节点</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个，</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完成农产品批发市场建设3</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个</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完善县乡村三级物流体系。培育夜间经济、康养消费等新热点，举办特色消费促进活动</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场以上，推动服务业高质量发展。</w:t>
      </w:r>
    </w:p>
    <w:p w14:paraId="23776543">
      <w:pPr>
        <w:pStyle w:val="4"/>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pPr>
      <w:r>
        <w:rPr>
          <w:rFonts w:hint="eastAsia" w:ascii="Times New Roman" w:hAnsi="Times New Roman" w:eastAsia="方正楷体_GBK" w:cs="Times New Roman"/>
          <w:b/>
          <w:bCs/>
          <w:color w:val="000000" w:themeColor="text1"/>
          <w:sz w:val="32"/>
          <w:szCs w:val="20"/>
          <w:lang w:val="en-US" w:eastAsia="zh-CN"/>
          <w14:textFill>
            <w14:solidFill>
              <w14:schemeClr w14:val="tx1"/>
            </w14:solidFill>
          </w14:textFill>
        </w:rPr>
        <w:t>3.</w:t>
      </w:r>
      <w:r>
        <w:rPr>
          <w:rFonts w:hint="default" w:ascii="Times New Roman" w:hAnsi="Times New Roman" w:eastAsia="方正楷体_GBK" w:cs="Times New Roman"/>
          <w:b/>
          <w:bCs/>
          <w:color w:val="000000" w:themeColor="text1"/>
          <w:sz w:val="32"/>
          <w:szCs w:val="20"/>
          <w:lang w:val="en-US" w:eastAsia="zh-CN"/>
          <w14:textFill>
            <w14:solidFill>
              <w14:schemeClr w14:val="tx1"/>
            </w14:solidFill>
          </w14:textFill>
        </w:rPr>
        <w:t>深化</w:t>
      </w:r>
      <w:r>
        <w:rPr>
          <w:rFonts w:hint="eastAsia" w:ascii="Times New Roman" w:hAnsi="Times New Roman" w:eastAsia="方正楷体_GBK" w:cs="Times New Roman"/>
          <w:b/>
          <w:bCs/>
          <w:color w:val="000000" w:themeColor="text1"/>
          <w:sz w:val="32"/>
          <w:szCs w:val="20"/>
          <w:lang w:val="en-US" w:eastAsia="zh-CN"/>
          <w14:textFill>
            <w14:solidFill>
              <w14:schemeClr w14:val="tx1"/>
            </w14:solidFill>
          </w14:textFill>
        </w:rPr>
        <w:t>党的</w:t>
      </w:r>
      <w:r>
        <w:rPr>
          <w:rFonts w:hint="default" w:ascii="Times New Roman" w:hAnsi="Times New Roman" w:eastAsia="方正楷体_GBK" w:cs="Times New Roman"/>
          <w:b/>
          <w:bCs/>
          <w:color w:val="000000" w:themeColor="text1"/>
          <w:sz w:val="32"/>
          <w:szCs w:val="20"/>
          <w:lang w:val="en-US" w:eastAsia="zh-CN"/>
          <w14:textFill>
            <w14:solidFill>
              <w14:schemeClr w14:val="tx1"/>
            </w14:solidFill>
          </w14:textFill>
        </w:rPr>
        <w:t>建设，激发组织活力</w:t>
      </w:r>
      <w:r>
        <w:rPr>
          <w:rFonts w:hint="eastAsia" w:ascii="Times New Roman" w:hAnsi="Times New Roman" w:eastAsia="方正楷体_GBK" w:cs="Times New Roman"/>
          <w:b/>
          <w:bCs/>
          <w:color w:val="000000" w:themeColor="text1"/>
          <w:sz w:val="32"/>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聚焦政治引领，定期开展党组理论学习中心组学习、主题党日活动、党风廉政教育</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推动意识形态工作与业务同谋划、同部署、同落实。</w:t>
      </w:r>
      <w:r>
        <w:rPr>
          <w:rFonts w:hint="eastAsia" w:ascii="Times New Roman" w:hAnsi="Times New Roman" w:eastAsia="仿宋_GB2312" w:cs="Times New Roman"/>
          <w:color w:val="000000" w:themeColor="text1"/>
          <w:sz w:val="32"/>
          <w:szCs w:val="20"/>
          <w:lang w:val="en-US" w:eastAsia="zh-CN"/>
          <w14:textFill>
            <w14:solidFill>
              <w14:schemeClr w14:val="tx1"/>
            </w14:solidFill>
          </w14:textFill>
        </w:rPr>
        <w:t>夯实人才队伍，预计发展党员1名。</w:t>
      </w:r>
    </w:p>
    <w:p w14:paraId="3B95FFF6">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二、机构设置情况</w:t>
      </w:r>
    </w:p>
    <w:p w14:paraId="571DCF9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盐边县经济合作和商务局下属非独立核算单位2个，其中行政单位0个，参照公务员法管理的事业单位0个，其他事业单位2个。主要包括：盐边县投资促进中心、盐边县现代服务业发展促进中心。</w:t>
      </w:r>
    </w:p>
    <w:p w14:paraId="48DAADE0">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三、收支预算情况说明</w:t>
      </w:r>
    </w:p>
    <w:p w14:paraId="7E139E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综合预算的原则，县经合商务局所有收入和支出均纳入部门预算管理。收入包括：一般公共预算财政拨款收入1222.36万元；支出包括：一般公共服务支出1118.58万元、社会保障和就业支出41.47万元、卫生健康支出26.05万元、住房保障支出36.26万元。比2025年预算数增加6.52万元，增加原因是本年度人员增加，预算经费增加。</w:t>
      </w:r>
    </w:p>
    <w:p w14:paraId="7581DBC0">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（一）收入预算情况</w:t>
      </w:r>
    </w:p>
    <w:p w14:paraId="5B8B62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县经合商务局2026收入预算1222.36万元，其中：一般公共预算财政拨款收入1222.36万元，占100%。</w:t>
      </w:r>
    </w:p>
    <w:p w14:paraId="5A435236">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（二）支出预算情况</w:t>
      </w:r>
    </w:p>
    <w:p w14:paraId="4A0CD1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县经合商务局2026年支出预算1222.36万元，其中：基本支出422.36万元，占34.6%；项目支出800万元，占65.4%。</w:t>
      </w:r>
    </w:p>
    <w:p w14:paraId="3A244BC5">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四、财政拨款收支预算情况说明</w:t>
      </w:r>
    </w:p>
    <w:p w14:paraId="79C42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经合商务局2026年财政拨款收支总预算1222.36万元。收入包括：本年一般公共预算财政拨款收入1222.36万元；支出包括：一般公共服务支出1118.58万元、社会保障和就业支出41.47万元、卫生健康支出26.05万元、住房保障支出36.26万元。</w:t>
      </w:r>
    </w:p>
    <w:p w14:paraId="7E7885DD">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五、一般公共预算当年拨款情况说明</w:t>
      </w:r>
    </w:p>
    <w:p w14:paraId="00876709">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（一）一般公共预算当年拨款规模变化情况</w:t>
      </w:r>
    </w:p>
    <w:p w14:paraId="69D8C7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县经合商务局2026年一般公共预算当年拨款1222.36万元，比2025年预算数增加6.52万元，增加原因是本年度人员增加，预算经费增加。</w:t>
      </w:r>
    </w:p>
    <w:p w14:paraId="4333DE7A">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（二）一般公共预算当年拨款结构情况</w:t>
      </w:r>
    </w:p>
    <w:p w14:paraId="513CB8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一般公共服务支出1118.58万元，占91.5%；社会保障和就业支出41.47万元，占3.4%；卫生健康支出26.05万元，占2.3%；住房保障支出36.26万元，占3%。</w:t>
      </w:r>
    </w:p>
    <w:p w14:paraId="421574F7">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（三）一般公共预算当年拨款具体使用情况</w:t>
      </w:r>
    </w:p>
    <w:p w14:paraId="1A61819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1.一般公共服务（201类）商贸事务（13款）行政运行（01项）2026年预算数为70.64万元，主要用于行政人员工资、差旅、办公费用等。</w:t>
      </w:r>
    </w:p>
    <w:p w14:paraId="281DD61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2.一般公共服务（201类）商贸事务（13款）招商引资（08项）2026年预算数为800万元，主要用于全县经济合作和商务工作正常开展，保障来盐企业洽谈及省市博览会需求，优化营商环境。</w:t>
      </w:r>
    </w:p>
    <w:p w14:paraId="5ECF986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3.一般公共服务（201类）商贸事务（13款）事业运行（50项）2026年预算数为247.94万元，主要用于事业人员工资、差旅、办公费用等。</w:t>
      </w:r>
    </w:p>
    <w:p w14:paraId="1FCCA6B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4.社会保障和就业支出（208类）行政事业单位养老支出（05款）机关事业单位基本养老保险缴费支出（05项）2026年预算数为41.47万元，主要用于养老保险单位缴费支出。</w:t>
      </w:r>
    </w:p>
    <w:p w14:paraId="27B27E5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5.卫生健康支出（210类）行政事业单位医疗（11款）行政单位医疗（01项）2026年预算数5.08万元，主要用于行政人员医疗保险及社会保障缴费。</w:t>
      </w:r>
    </w:p>
    <w:p w14:paraId="086635E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6.卫生健康支出（210类）行政事业单位医疗（11款）事业单位医疗（02项）2026年预算数18.21万元，主要用于事业人员医疗保险及社会保障缴费。</w:t>
      </w:r>
    </w:p>
    <w:p w14:paraId="21333E3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7.卫生健康支出（210类）行政事业单位医疗（11款）公务员医疗补助（03项）2026年预算数0.48万元，主要用于公务员医疗补助缴费。</w:t>
      </w:r>
    </w:p>
    <w:p w14:paraId="38FDA3E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8.卫生健康支出（210类）行政事业单位医疗（11款）其他行政事业单位医疗支出（99项）2026年预算数2.28万元，主要用于其他行政事业单位医疗方面的支出。</w:t>
      </w:r>
    </w:p>
    <w:p w14:paraId="220CCBE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9.住房保障支出（221类）住房改革支出（02款）住房公积金（01项）2026年预算数为36.26万元，主要用于缴纳职工住房公积金等支出。</w:t>
      </w:r>
    </w:p>
    <w:p w14:paraId="6C0546D4">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六、一般公共预算基本支出情况说明</w:t>
      </w:r>
    </w:p>
    <w:p w14:paraId="16E1FF17">
      <w:pPr>
        <w:pStyle w:val="4"/>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经合商务局2026年一般公共预算基本支出422.36万元，其中：人员经费389.42万元；主要包括：基本工资377.04万元、津贴补贴37.65万元、奖金16.96万元、绩效工资122.95万元、机关事业单位基本养老保险缴费41.47万元、职工基本医疗保险缴费23.29万元、公务员医疗补助缴费0.48万元、其他社会补助缴费1.74万元、住房公积金36.26万元、医疗费2.28万元、医疗费补助12.31万元、奖励金0.07万元。公用经费32.94万元，主要包括：办公费7.77万元、水费0.81万元、电费1.04万元、邮电费0.92万元、差旅费6.9万元、维修（护）费0.27万元、会议费1.6万元、培训费1.02万元、公务接待费0.1万元、工会经费5.92万元、公务用车运行维护费1万元、其他交通费用3.6万元。</w:t>
      </w:r>
    </w:p>
    <w:p w14:paraId="454C1D77">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七、“三公”经费财政拨款预算安排情况说明</w:t>
      </w:r>
    </w:p>
    <w:p w14:paraId="6A4FF8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县经合商务局2026年“三公”经费财政拨款预算数31.27万元，其中：因公出国（境）经费0万元，公务接待费21.9万元，公务用车购置及运行维护费9.37万元。</w:t>
      </w:r>
    </w:p>
    <w:p w14:paraId="45BF0B19">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kern w:val="2"/>
          <w:sz w:val="32"/>
          <w:szCs w:val="32"/>
          <w:lang w:val="en-US" w:eastAsia="zh-CN" w:bidi="ar-SA"/>
        </w:rPr>
        <w:t>（一）因公出国（境）经费与2025年预算持平。</w:t>
      </w:r>
      <w:r>
        <w:rPr>
          <w:rFonts w:hint="eastAsia" w:ascii="Times New Roman" w:hAnsi="Times New Roman" w:eastAsia="方正仿宋_GBK" w:cs="Times New Roman"/>
          <w:sz w:val="32"/>
          <w:szCs w:val="32"/>
          <w:lang w:val="en-US" w:eastAsia="zh-CN"/>
        </w:rPr>
        <w:t>主要原因是2026年未安排因公临时出国（境）。</w:t>
      </w:r>
    </w:p>
    <w:p w14:paraId="59D4F339">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（二）公务接待费较2026年预算增长24.4%。</w:t>
      </w:r>
      <w:r>
        <w:rPr>
          <w:rFonts w:hint="eastAsia" w:ascii="Times New Roman" w:hAnsi="Times New Roman" w:eastAsia="方正仿宋_GBK" w:cs="Times New Roman"/>
          <w:b w:val="0"/>
          <w:bCs w:val="0"/>
          <w:kern w:val="2"/>
          <w:sz w:val="32"/>
          <w:szCs w:val="32"/>
          <w:lang w:val="en-US" w:eastAsia="zh-CN" w:bidi="ar-SA"/>
        </w:rPr>
        <w:t>主要</w:t>
      </w:r>
      <w:r>
        <w:rPr>
          <w:rFonts w:hint="eastAsia" w:ascii="Times New Roman" w:hAnsi="Times New Roman" w:eastAsia="方正仿宋_GBK" w:cs="Times New Roman"/>
          <w:sz w:val="32"/>
          <w:szCs w:val="32"/>
          <w:lang w:val="en-US" w:eastAsia="zh-CN"/>
        </w:rPr>
        <w:t>原因是，今年将</w:t>
      </w:r>
      <w:r>
        <w:rPr>
          <w:rFonts w:hint="default" w:ascii="Times New Roman" w:hAnsi="Times New Roman" w:eastAsia="仿宋_GB2312" w:cs="Times New Roman"/>
          <w:color w:val="000000" w:themeColor="text1"/>
          <w:sz w:val="32"/>
          <w:szCs w:val="20"/>
          <w:lang w:val="en-US" w:eastAsia="zh-CN"/>
          <w14:textFill>
            <w14:solidFill>
              <w14:schemeClr w14:val="tx1"/>
            </w14:solidFill>
          </w14:textFill>
        </w:rPr>
        <w:t>围绕钒钛新材料、清洁能源、高端制造、阳光康养等主导产业</w:t>
      </w:r>
      <w:r>
        <w:rPr>
          <w:rFonts w:hint="eastAsia" w:ascii="Times New Roman" w:hAnsi="Times New Roman" w:eastAsia="方正仿宋_GBK" w:cs="Times New Roman"/>
          <w:sz w:val="32"/>
          <w:szCs w:val="32"/>
          <w:lang w:val="en-US" w:eastAsia="zh-CN"/>
        </w:rPr>
        <w:t>，提升县域经济发展，预期来盐企业考察将增加。2026年公务接待费计划用于企业接待餐叙费用。</w:t>
      </w:r>
    </w:p>
    <w:p w14:paraId="522212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（三）公务用车购置及运行维护费较2025年下降45.2%。</w:t>
      </w:r>
      <w:r>
        <w:rPr>
          <w:rFonts w:hint="eastAsia" w:ascii="Times New Roman" w:hAnsi="Times New Roman" w:eastAsia="方正仿宋_GBK" w:cs="Times New Roman"/>
          <w:kern w:val="2"/>
          <w:sz w:val="32"/>
          <w:szCs w:val="32"/>
          <w:lang w:val="en-US" w:eastAsia="zh-CN" w:bidi="ar-SA"/>
        </w:rPr>
        <w:t>主要原因是节约公务用车运行维护开支。</w:t>
      </w:r>
    </w:p>
    <w:p w14:paraId="6292DE7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单位现有公务用车1辆，</w:t>
      </w:r>
      <w:r>
        <w:rPr>
          <w:rFonts w:hint="eastAsia" w:ascii="Times New Roman" w:hAnsi="Times New Roman" w:eastAsia="方正仿宋_GBK" w:cs="Times New Roman"/>
          <w:sz w:val="32"/>
          <w:szCs w:val="32"/>
          <w:lang w:val="en-US" w:eastAsia="zh-CN"/>
        </w:rPr>
        <w:t>其中：轿车（含7座以下商务车、城市越野车）0辆，7座以上19座（含19座）以下客车0辆，越野车1辆，货车及19座以上客车0辆，摩托车0辆。</w:t>
      </w:r>
    </w:p>
    <w:p w14:paraId="1B1F92C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2026年安排公务用车购置费0万元，购置公务用车0辆，其中：轿车（含7座以下商务车、城市越野车）0辆，7座以上19座（含19座）以下客车0辆，越野车0辆，货车及19座以上客车0辆，摩托车0辆。</w:t>
      </w:r>
    </w:p>
    <w:p w14:paraId="4E4F15E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2026年安排公务用车运行维护费9.37万元，</w:t>
      </w:r>
      <w:r>
        <w:rPr>
          <w:rFonts w:hint="eastAsia" w:ascii="Times New Roman" w:hAnsi="Times New Roman" w:eastAsia="方正仿宋_GBK" w:cs="Times New Roman"/>
          <w:sz w:val="32"/>
          <w:szCs w:val="32"/>
          <w:lang w:val="en-US" w:eastAsia="zh-CN"/>
        </w:rPr>
        <w:t>用于1辆公务用车燃油、维修、车辆通行及保险等方面支出，主要保障招商引资及商务活动等工作开展。</w:t>
      </w:r>
    </w:p>
    <w:p w14:paraId="367B112A">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八、政府性基金预算支出情况说明</w:t>
      </w:r>
    </w:p>
    <w:p w14:paraId="1757E26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县经合商务局2026年没有使用政府性基金预算拨款安排的支出。</w:t>
      </w:r>
    </w:p>
    <w:p w14:paraId="3FC9FD2B">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九、国有资本经营预算情况说明</w:t>
      </w:r>
    </w:p>
    <w:p w14:paraId="60DAE81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县经合商务局2026年没有使用国有资本经营预算拨款安排的支出。</w:t>
      </w:r>
    </w:p>
    <w:p w14:paraId="3042220E">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十、其他重要事项的情况说明</w:t>
      </w:r>
    </w:p>
    <w:p w14:paraId="346B52EB">
      <w:pPr>
        <w:pStyle w:val="4"/>
        <w:ind w:firstLine="643" w:firstLineChars="200"/>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（一）机关运行经费</w:t>
      </w:r>
    </w:p>
    <w:p w14:paraId="25D824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2026年，县经合商务局机关运行经费财政拨款预算为32.94万元，比2025年预算增加0.47万元，增长1.4%。</w:t>
      </w:r>
    </w:p>
    <w:p w14:paraId="21009A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具体经费支出为：</w:t>
      </w:r>
      <w:r>
        <w:rPr>
          <w:rFonts w:hint="eastAsia" w:ascii="Times New Roman" w:hAnsi="Times New Roman" w:eastAsia="方正仿宋_GBK" w:cs="Times New Roman"/>
          <w:sz w:val="32"/>
          <w:szCs w:val="32"/>
          <w:lang w:val="en-US" w:eastAsia="zh-CN"/>
        </w:rPr>
        <w:t>办公费7.77万元、水费0.81万元、电费1.04万元、邮电费0.92万元、差旅费6.9万元、维修（护）费0.27万元、会议费1.6万元、培训费1.02万元、公务接待费0.1万元、工会经费5.92万元、公务用车运行维护费1万元、其他交通费用3.6万元</w:t>
      </w:r>
    </w:p>
    <w:p w14:paraId="70AA46AC">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（二）政府采购情况</w:t>
      </w:r>
    </w:p>
    <w:p w14:paraId="0AB4D8D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2026年，县经合商务局安排政府采购预算0万元，其中：政府采购货物预算0万元；政府采购工程预算0万元；政府采购服务预算0万元。</w:t>
      </w:r>
    </w:p>
    <w:p w14:paraId="7996501D">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（三）国有资产占有使用情况</w:t>
      </w:r>
    </w:p>
    <w:p w14:paraId="5DA3BEF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截至2025年底，县经合商务局及所属的非独立核算单位共有车辆1辆，其中，执法执勤用车0辆（若没有的请填写0辆）。单位价值200万元以上大型设备0台（套）。</w:t>
      </w:r>
    </w:p>
    <w:p w14:paraId="07238F50">
      <w:pPr>
        <w:pStyle w:val="4"/>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方正楷体_GBK" w:cs="Times New Roman"/>
          <w:b/>
          <w:sz w:val="32"/>
          <w:szCs w:val="32"/>
          <w:lang w:val="en-US" w:eastAsia="zh-CN"/>
        </w:rPr>
      </w:pPr>
      <w:r>
        <w:rPr>
          <w:rFonts w:hint="eastAsia" w:ascii="Times New Roman" w:hAnsi="Times New Roman" w:eastAsia="方正楷体_GBK" w:cs="Times New Roman"/>
          <w:b/>
          <w:sz w:val="32"/>
          <w:szCs w:val="32"/>
          <w:lang w:val="en-US" w:eastAsia="zh-CN"/>
        </w:rPr>
        <w:t>（四）预算绩效情况</w:t>
      </w:r>
    </w:p>
    <w:p w14:paraId="1C959A8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2026年县经合商务局开展绩效目标管理的项目1个，涉及预算800万元。其中：人员类项目0个，涉及预算0万元；运转类项目0个，涉及预算0万元；特定目标类项目1个，涉及预算800万元。</w:t>
      </w:r>
    </w:p>
    <w:p w14:paraId="2BED44CE">
      <w:pPr>
        <w:pStyle w:val="4"/>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十一、名词解释</w:t>
      </w:r>
    </w:p>
    <w:p w14:paraId="2D74DFF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1.一般公共预算财政拨款收入：指财政当年拨付的一般公共预算资金。</w:t>
      </w:r>
    </w:p>
    <w:p w14:paraId="44CA74B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一般公共服务（201类）商贸事务（13款）行政运行（01项）：反映行政单位（包括实行公务员管理的事业单位）的基本支出。</w:t>
      </w:r>
    </w:p>
    <w:p w14:paraId="688D757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3.一般公共服务（201类）商贸事务（13款）招商引资（08项）：反映用于招商引资、优化经济环境等方面的支出。</w:t>
      </w:r>
    </w:p>
    <w:p w14:paraId="087E4E0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 一般公共服务（201类）商贸事务（13款）事业运行（50项）：反映事业单位的基本支出，不包括行政单位（包括实行公务员管理的事业单位）后勤服务中心、医务室等附属事业单位。</w:t>
      </w:r>
    </w:p>
    <w:p w14:paraId="5E8E4FE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5.社会保障和就业支出（208类）行政事业单位养老支出（05款）机关事业单位基本养老保险缴费支出（05项）：反映机关事业单位实施养老保险制度由单位缴纳的基本养老保险费支出。</w:t>
      </w:r>
    </w:p>
    <w:p w14:paraId="4E98087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卫生健康支出（210类）行政事业单位医疗（11款）行政单位医疗（01项）：反映财政部门安排的行政单位（包括实行公务员管理的事业单位，下同）基本医疗保险缴费，未参加医疗保险的行政单位的公费医疗经费，按国家规定享受离休人员、红军老战士待遇人员的医疗经费。</w:t>
      </w:r>
    </w:p>
    <w:p w14:paraId="20F08F3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卫生健康支出（210类）行政事业单位医疗（11款）事业单位医疗（02项）：反映财政部门安排的事业单位基本医疗保险缴费经费，未参加医疗保险的事业单位的公费医疗经费，按国家规定享受离休人员待遇的医疗经费。</w:t>
      </w:r>
    </w:p>
    <w:p w14:paraId="3D7A848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8.卫生健康支出（210类）行政事业单位医疗（11款）公务员医疗补助（03项）：反映财政部门安排的公务员医疗补助经费。</w:t>
      </w:r>
    </w:p>
    <w:p w14:paraId="52CD1B3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9.卫生健康支出（210类）行政事业单位医疗（11款）其他行政事业单位医疗支出（99项）：反映除上述项目以外的其他用于行政事业单位医疗方面的支出。</w:t>
      </w:r>
    </w:p>
    <w:p w14:paraId="71E4B42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10.住房保障支出（221类）住房改革支出（02款）住房公积金（01项）：反映行政事业单位按照人力资源和社会保障部、财政部规定的基本工资和津贴补贴以及规定比例为职工缴纳的住房公积金。</w:t>
      </w:r>
    </w:p>
    <w:p w14:paraId="2335D82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11.基本支出：指为保证机构正常运转，完成日常工作任务而发生的人员支出和公用支出。</w:t>
      </w:r>
    </w:p>
    <w:p w14:paraId="5CC383E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12.项目支出：指在基本支出之外为完成特定行政任务和事业发展目标所发生的支出。</w:t>
      </w:r>
    </w:p>
    <w:p w14:paraId="555C5A6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三公”经费：纳入预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新能源汽车充电费、维修费、过桥过路费、保险费、安全奖励费用等支出；公务接待费反映单位按规定开支的各类公务接待（含外宾接待）费用。</w:t>
      </w:r>
    </w:p>
    <w:p w14:paraId="476F09A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14.机关运行经费：为保障行政单位（包括参照公务员法管理事业单位）运行用于购买货物和服务的各项资金，包括办公及印刷费、邮电费、差旅费、会议费、日常维修费、专用材料及一般设备购置费、办公</w:t>
      </w:r>
      <w:bookmarkStart w:id="0" w:name="_GoBack"/>
      <w:bookmarkEnd w:id="0"/>
      <w:r>
        <w:rPr>
          <w:rFonts w:hint="eastAsia" w:ascii="Times New Roman" w:hAnsi="Times New Roman" w:eastAsia="方正仿宋_GBK" w:cs="Times New Roman"/>
          <w:sz w:val="32"/>
          <w:szCs w:val="32"/>
          <w:lang w:val="en-US" w:eastAsia="zh-CN"/>
        </w:rPr>
        <w:t>用房水电费、办公用房物业管理费、公务用车运行维护费以及其他费用。</w:t>
      </w:r>
    </w:p>
    <w:p w14:paraId="08934737">
      <w:pPr>
        <w:rPr>
          <w:rFonts w:hint="eastAsia"/>
        </w:rPr>
      </w:pPr>
    </w:p>
    <w:p w14:paraId="64B8C545">
      <w:pPr>
        <w:rPr>
          <w:rFonts w:hint="eastAsia"/>
        </w:rPr>
      </w:pPr>
    </w:p>
    <w:p w14:paraId="066CDE5E">
      <w:pPr>
        <w:rPr>
          <w:rFonts w:hint="eastAsia"/>
        </w:rPr>
      </w:pPr>
    </w:p>
    <w:p w14:paraId="27361EFD">
      <w:pPr>
        <w:rPr>
          <w:rFonts w:hint="eastAsia"/>
        </w:rPr>
      </w:pPr>
    </w:p>
    <w:p w14:paraId="5E368F71">
      <w:pPr>
        <w:rPr>
          <w:rFonts w:hint="eastAsia"/>
        </w:rPr>
      </w:pPr>
    </w:p>
    <w:p w14:paraId="44A63797">
      <w:pPr>
        <w:rPr>
          <w:rFonts w:hint="eastAsia"/>
        </w:rPr>
      </w:pPr>
    </w:p>
    <w:p w14:paraId="51549951">
      <w:pPr>
        <w:rPr>
          <w:rFonts w:hint="eastAsia"/>
        </w:rPr>
      </w:pPr>
    </w:p>
    <w:p w14:paraId="31E7B0FC">
      <w:pPr>
        <w:rPr>
          <w:rFonts w:hint="eastAsia"/>
        </w:rPr>
      </w:pPr>
    </w:p>
    <w:p w14:paraId="71201A5F">
      <w:pPr>
        <w:rPr>
          <w:rFonts w:hint="eastAsia"/>
        </w:rPr>
      </w:pPr>
    </w:p>
    <w:p w14:paraId="7E769975">
      <w:pPr>
        <w:rPr>
          <w:rFonts w:hint="eastAsia"/>
        </w:rPr>
      </w:pPr>
    </w:p>
    <w:p w14:paraId="5E287DDC">
      <w:pPr>
        <w:rPr>
          <w:rFonts w:hint="eastAsia"/>
        </w:rPr>
      </w:pPr>
    </w:p>
    <w:p w14:paraId="194D5E40">
      <w:pPr>
        <w:rPr>
          <w:rFonts w:hint="eastAsia"/>
        </w:rPr>
      </w:pPr>
    </w:p>
    <w:p w14:paraId="742890A4">
      <w:pPr>
        <w:rPr>
          <w:rFonts w:hint="eastAsia"/>
        </w:rPr>
      </w:pPr>
    </w:p>
    <w:p w14:paraId="1893D03F">
      <w:pPr>
        <w:rPr>
          <w:rFonts w:hint="eastAsia"/>
        </w:rPr>
      </w:pPr>
    </w:p>
    <w:p w14:paraId="5150CBAE">
      <w:pPr>
        <w:rPr>
          <w:rFonts w:hint="eastAsia"/>
        </w:rPr>
      </w:pPr>
    </w:p>
    <w:p w14:paraId="4615D697">
      <w:pPr>
        <w:rPr>
          <w:rFonts w:hint="eastAsia"/>
        </w:rPr>
      </w:pPr>
    </w:p>
    <w:p w14:paraId="474FA0E5">
      <w:pPr>
        <w:pStyle w:val="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附件：</w:t>
      </w:r>
      <w:r>
        <w:rPr>
          <w:rFonts w:hint="eastAsia" w:ascii="Times New Roman" w:hAnsi="Times New Roman" w:eastAsia="方正仿宋_GBK" w:cs="Times New Roman"/>
          <w:sz w:val="32"/>
          <w:szCs w:val="32"/>
          <w:lang w:val="en-US" w:eastAsia="zh-CN"/>
        </w:rPr>
        <w:t>表1.部门收支总表</w:t>
      </w:r>
    </w:p>
    <w:p w14:paraId="04DAFDED">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表1-1.部门收入总表</w:t>
      </w:r>
    </w:p>
    <w:p w14:paraId="6343680E">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表1-2.部门支出总表</w:t>
      </w:r>
    </w:p>
    <w:p w14:paraId="733348A5">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表2.财政拨款收支预算总表</w:t>
      </w:r>
    </w:p>
    <w:p w14:paraId="6C1FD240">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表2-1.财政拨款支出预算表</w:t>
      </w:r>
    </w:p>
    <w:p w14:paraId="38F8E3BE">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表3.一般公共预算支出预算表</w:t>
      </w:r>
    </w:p>
    <w:p w14:paraId="3C94359C">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表3-1.一般公共预算基本支出预算表</w:t>
      </w:r>
    </w:p>
    <w:p w14:paraId="7F0BB34C">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表3-2.一般公共预算项目支出预算表</w:t>
      </w:r>
    </w:p>
    <w:p w14:paraId="1FAF7C2A">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表3-3.一般公共预算“三公”经费支出预算表</w:t>
      </w:r>
    </w:p>
    <w:p w14:paraId="76D4297D">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表4.政府性基金支出预算表</w:t>
      </w:r>
    </w:p>
    <w:p w14:paraId="5E12AC25">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表4-1.政府性基金预算“三公”经费支出预算表</w:t>
      </w:r>
    </w:p>
    <w:p w14:paraId="7105FC33">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表5.国有资本经营预算支出预算表</w:t>
      </w:r>
    </w:p>
    <w:p w14:paraId="56240250">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表6.部门预算项目绩效目标表</w:t>
      </w:r>
    </w:p>
    <w:p w14:paraId="7FEDC8BA">
      <w:pPr>
        <w:pStyle w:val="4"/>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Times New Roman" w:hAnsi="Times New Roman" w:eastAsia="方正黑体_GBK" w:cs="Times New Roman"/>
          <w:b w:val="0"/>
          <w:bCs w:val="0"/>
          <w:sz w:val="32"/>
          <w:szCs w:val="32"/>
          <w:lang w:val="en-US" w:eastAsia="zh-CN"/>
        </w:rPr>
      </w:pPr>
      <w:r>
        <w:rPr>
          <w:rFonts w:hint="eastAsia" w:ascii="Times New Roman" w:hAnsi="Times New Roman" w:eastAsia="方正仿宋_GBK" w:cs="Times New Roman"/>
          <w:sz w:val="32"/>
          <w:szCs w:val="32"/>
          <w:lang w:val="en-US" w:eastAsia="zh-CN"/>
        </w:rPr>
        <w:t>表7.部门整体支出绩效目标表</w:t>
      </w:r>
    </w:p>
    <w:p w14:paraId="4FEE8CD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Times New Roman"/>
          <w:sz w:val="32"/>
          <w:szCs w:val="32"/>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BF9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8DC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78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C8EAA">
                          <w:pPr>
                            <w:pStyle w:val="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8C8EAA">
                    <w:pPr>
                      <w:pStyle w:val="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35F1E"/>
    <w:rsid w:val="419B0BFD"/>
    <w:rsid w:val="44EF7E62"/>
    <w:rsid w:val="45350C77"/>
    <w:rsid w:val="469C4E86"/>
    <w:rsid w:val="54EB0E66"/>
    <w:rsid w:val="5DF57D10"/>
    <w:rsid w:val="69861FA8"/>
    <w:rsid w:val="69C9534E"/>
    <w:rsid w:val="7F8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eastAsia="仿宋"/>
      <w:sz w:val="32"/>
    </w:rPr>
  </w:style>
  <w:style w:type="paragraph" w:styleId="3">
    <w:name w:val="Body Text Indent"/>
    <w:basedOn w:val="1"/>
    <w:qFormat/>
    <w:uiPriority w:val="0"/>
    <w:pPr>
      <w:ind w:firstLine="570"/>
    </w:pPr>
    <w:rPr>
      <w:rFonts w:ascii="宋体"/>
      <w:sz w:val="28"/>
    </w:rPr>
  </w:style>
  <w:style w:type="paragraph" w:styleId="4">
    <w:name w:val="Body Text"/>
    <w:basedOn w:val="1"/>
    <w:qFormat/>
    <w:uiPriority w:val="0"/>
    <w:rPr>
      <w:rFonts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1bf61-f790-4d57-ad79-602929c6ba4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6427</Words>
  <Characters>7010</Characters>
  <Lines>0</Lines>
  <Paragraphs>0</Paragraphs>
  <TotalTime>6</TotalTime>
  <ScaleCrop>false</ScaleCrop>
  <LinksUpToDate>false</LinksUpToDate>
  <CharactersWithSpaces>7017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2026-02-09T00:50:00Z</dcterms:created>
  <dc:creator>HUAWEI</dc:creator>
  <cp:lastModifiedBy>‍‍‍‍‍‍‍‍‍‍‍‍</cp:lastModifiedBy>
  <dcterms:modified xsi:type="dcterms:W3CDTF">2026-02-25T08:15:10Z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eyJoZGlkIjoiYTIxYTg5MjhjZjQ0MzhmYjg5MDdkOWJlYzM1ZjQ4MjgiLCJ1c2VySWQiOiIyODE5OTMyMzIifQ==</vt:lpwstr>
  </property>
  <property fmtid="{D5CDD505-2E9C-101B-9397-08002B2CF9AE}" pid="4" name="ICV">
    <vt:lpwstr>DD0909054FC0438A8CF8C57A0185A30F_12</vt:lpwstr>
  </property>
</Properties>
</file>