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5E665">
      <w:pPr>
        <w:spacing w:line="600" w:lineRule="exact"/>
        <w:jc w:val="center"/>
        <w:outlineLvl w:val="0"/>
        <w:rPr>
          <w:rFonts w:ascii="方正小标宋简体" w:hAnsi="宋体" w:eastAsia="方正小标宋简体"/>
          <w:sz w:val="72"/>
          <w:szCs w:val="72"/>
        </w:rPr>
      </w:pPr>
      <w:bookmarkStart w:id="0" w:name="_Toc15378441"/>
      <w:bookmarkStart w:id="1" w:name="_Toc15377193"/>
      <w:bookmarkStart w:id="2" w:name="_Toc15377425"/>
      <w:bookmarkStart w:id="3" w:name="_Toc15396597"/>
      <w:bookmarkStart w:id="4" w:name="_Toc15396475"/>
      <w:bookmarkStart w:id="5" w:name="_Toc15306267"/>
    </w:p>
    <w:p w14:paraId="3A6A9EE5">
      <w:pPr>
        <w:spacing w:line="600" w:lineRule="exact"/>
        <w:jc w:val="center"/>
        <w:outlineLvl w:val="0"/>
        <w:rPr>
          <w:rFonts w:ascii="方正小标宋简体" w:hAnsi="宋体" w:eastAsia="方正小标宋简体"/>
          <w:sz w:val="72"/>
          <w:szCs w:val="72"/>
        </w:rPr>
      </w:pPr>
    </w:p>
    <w:p w14:paraId="5A695123">
      <w:pPr>
        <w:spacing w:line="600" w:lineRule="exact"/>
        <w:jc w:val="center"/>
        <w:outlineLvl w:val="0"/>
        <w:rPr>
          <w:rFonts w:ascii="方正小标宋简体" w:hAnsi="宋体" w:eastAsia="方正小标宋简体"/>
          <w:sz w:val="72"/>
          <w:szCs w:val="72"/>
        </w:rPr>
      </w:pPr>
    </w:p>
    <w:p w14:paraId="2D2414C0">
      <w:pPr>
        <w:spacing w:line="600" w:lineRule="exact"/>
        <w:jc w:val="center"/>
        <w:outlineLvl w:val="0"/>
        <w:rPr>
          <w:rFonts w:ascii="方正小标宋简体" w:hAnsi="宋体" w:eastAsia="方正小标宋简体"/>
          <w:sz w:val="72"/>
          <w:szCs w:val="72"/>
        </w:rPr>
      </w:pPr>
    </w:p>
    <w:p w14:paraId="0C5270A3">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ascii="方正小标宋简体" w:hAnsi="方正小标宋简体" w:eastAsia="方正小标宋简体" w:cs="方正小标宋简体"/>
          <w:sz w:val="72"/>
          <w:szCs w:val="72"/>
        </w:rPr>
        <w:t>2021</w:t>
      </w:r>
      <w:r>
        <w:rPr>
          <w:rFonts w:hint="eastAsia" w:ascii="方正小标宋简体" w:hAnsi="方正小标宋简体" w:eastAsia="方正小标宋简体" w:cs="方正小标宋简体"/>
          <w:sz w:val="72"/>
          <w:szCs w:val="72"/>
        </w:rPr>
        <w:t>年度</w:t>
      </w:r>
      <w:bookmarkEnd w:id="0"/>
      <w:bookmarkEnd w:id="1"/>
      <w:bookmarkEnd w:id="2"/>
      <w:bookmarkEnd w:id="3"/>
      <w:bookmarkEnd w:id="4"/>
    </w:p>
    <w:bookmarkEnd w:id="5"/>
    <w:p w14:paraId="28CED686">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77194"/>
      <w:bookmarkStart w:id="7" w:name="_Toc15377426"/>
      <w:bookmarkStart w:id="8" w:name="_Toc15378442"/>
      <w:bookmarkStart w:id="9" w:name="_Toc15396598"/>
      <w:bookmarkStart w:id="10" w:name="_Toc15396476"/>
      <w:bookmarkStart w:id="11" w:name="_Toc15306268"/>
      <w:r>
        <w:rPr>
          <w:rFonts w:hint="eastAsia" w:ascii="方正小标宋简体" w:hAnsi="方正小标宋简体" w:eastAsia="方正小标宋简体" w:cs="方正小标宋简体"/>
          <w:sz w:val="72"/>
          <w:szCs w:val="72"/>
        </w:rPr>
        <w:t>盐边县信访局部门决算</w:t>
      </w:r>
      <w:bookmarkEnd w:id="6"/>
      <w:bookmarkEnd w:id="7"/>
      <w:bookmarkEnd w:id="8"/>
      <w:bookmarkEnd w:id="9"/>
      <w:bookmarkEnd w:id="10"/>
      <w:bookmarkEnd w:id="11"/>
    </w:p>
    <w:p w14:paraId="42A241B6">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14:paraId="5FDA41CA">
      <w:pPr>
        <w:widowControl/>
        <w:jc w:val="center"/>
        <w:rPr>
          <w:rFonts w:ascii="黑体" w:hAnsi="黑体" w:eastAsia="黑体"/>
          <w:sz w:val="28"/>
          <w:szCs w:val="28"/>
        </w:rPr>
      </w:pPr>
    </w:p>
    <w:p w14:paraId="64E6D3B1">
      <w:pPr>
        <w:pStyle w:val="10"/>
      </w:pPr>
      <w:r>
        <w:rPr>
          <w:rFonts w:hint="eastAsia"/>
        </w:rPr>
        <w:t>公开时间：</w:t>
      </w:r>
      <w:r>
        <w:t>2022</w:t>
      </w:r>
      <w:r>
        <w:rPr>
          <w:rFonts w:hint="eastAsia"/>
        </w:rPr>
        <w:t>年</w:t>
      </w:r>
      <w:r>
        <w:t>10</w:t>
      </w:r>
      <w:r>
        <w:rPr>
          <w:rFonts w:hint="eastAsia"/>
        </w:rPr>
        <w:t>月</w:t>
      </w:r>
      <w:r>
        <w:t>20</w:t>
      </w:r>
      <w:r>
        <w:rPr>
          <w:rFonts w:hint="eastAsia"/>
        </w:rPr>
        <w:t>日</w:t>
      </w:r>
    </w:p>
    <w:p w14:paraId="1FA8D249"/>
    <w:p w14:paraId="5C9F9558">
      <w:pPr>
        <w:pStyle w:val="10"/>
        <w:adjustRightInd w:val="0"/>
        <w:snapToGrid w:val="0"/>
        <w:spacing w:before="0" w:line="440" w:lineRule="exact"/>
        <w:jc w:val="left"/>
        <w:rPr>
          <w:sz w:val="24"/>
          <w:szCs w:val="24"/>
        </w:rPr>
      </w:pPr>
      <w:r>
        <w:rPr>
          <w:rFonts w:hint="eastAsia"/>
          <w:sz w:val="24"/>
        </w:rPr>
        <w:t>第一部分部门概况</w:t>
      </w:r>
      <w:r>
        <w:rPr>
          <w:sz w:val="24"/>
        </w:rPr>
        <w:t>…………………………………………………………………</w:t>
      </w:r>
      <w:r>
        <w:rPr>
          <w:rFonts w:hint="eastAsia"/>
          <w:sz w:val="24"/>
        </w:rPr>
        <w:t>4</w:t>
      </w:r>
    </w:p>
    <w:p w14:paraId="2842FDC4">
      <w:pPr>
        <w:pStyle w:val="11"/>
        <w:adjustRightInd w:val="0"/>
        <w:snapToGrid w:val="0"/>
        <w:spacing w:line="440" w:lineRule="exact"/>
        <w:jc w:val="left"/>
        <w:rPr>
          <w:rFonts w:ascii="仿宋" w:hAnsi="仿宋" w:eastAsia="仿宋"/>
          <w:sz w:val="24"/>
        </w:rPr>
      </w:pPr>
      <w:r>
        <w:rPr>
          <w:rFonts w:hint="eastAsia"/>
          <w:sz w:val="24"/>
        </w:rPr>
        <w:t>一、基本职能及主要工作</w:t>
      </w:r>
      <w:r>
        <w:rPr>
          <w:sz w:val="24"/>
        </w:rPr>
        <w:t>……………………………………………………</w:t>
      </w:r>
      <w:r>
        <w:rPr>
          <w:rFonts w:hint="eastAsia"/>
          <w:sz w:val="24"/>
        </w:rPr>
        <w:t>.4</w:t>
      </w:r>
    </w:p>
    <w:p w14:paraId="60337B87">
      <w:pPr>
        <w:pStyle w:val="11"/>
        <w:adjustRightInd w:val="0"/>
        <w:snapToGrid w:val="0"/>
        <w:spacing w:line="440" w:lineRule="exact"/>
        <w:jc w:val="left"/>
        <w:rPr>
          <w:rFonts w:ascii="仿宋" w:hAnsi="仿宋" w:eastAsia="仿宋"/>
          <w:sz w:val="24"/>
        </w:rPr>
      </w:pPr>
      <w:r>
        <w:rPr>
          <w:rFonts w:hint="eastAsia"/>
          <w:sz w:val="24"/>
        </w:rPr>
        <w:t>二、机构设置</w:t>
      </w:r>
      <w:r>
        <w:rPr>
          <w:sz w:val="24"/>
        </w:rPr>
        <w:t>………………………………………………………</w:t>
      </w:r>
      <w:r>
        <w:rPr>
          <w:rFonts w:hint="eastAsia"/>
          <w:sz w:val="24"/>
        </w:rPr>
        <w:t>...</w:t>
      </w:r>
      <w:r>
        <w:rPr>
          <w:sz w:val="24"/>
        </w:rPr>
        <w:t>………</w:t>
      </w:r>
      <w:r>
        <w:rPr>
          <w:rFonts w:hint="eastAsia"/>
          <w:sz w:val="24"/>
        </w:rPr>
        <w:t>..6</w:t>
      </w:r>
    </w:p>
    <w:p w14:paraId="702A6C95">
      <w:pPr>
        <w:pStyle w:val="10"/>
        <w:adjustRightInd w:val="0"/>
        <w:snapToGrid w:val="0"/>
        <w:spacing w:before="0" w:line="440" w:lineRule="exact"/>
        <w:jc w:val="left"/>
        <w:rPr>
          <w:sz w:val="24"/>
          <w:szCs w:val="24"/>
        </w:rPr>
      </w:pPr>
      <w:r>
        <w:rPr>
          <w:rFonts w:hint="eastAsia"/>
          <w:sz w:val="24"/>
        </w:rPr>
        <w:t>第二部分</w:t>
      </w:r>
      <w:r>
        <w:rPr>
          <w:sz w:val="24"/>
        </w:rPr>
        <w:t xml:space="preserve"> 2021</w:t>
      </w:r>
      <w:r>
        <w:rPr>
          <w:rFonts w:hint="eastAsia"/>
          <w:sz w:val="24"/>
        </w:rPr>
        <w:t>年度部门决算情况说明</w:t>
      </w:r>
      <w:r>
        <w:rPr>
          <w:sz w:val="24"/>
        </w:rPr>
        <w:t>…………………………………………</w:t>
      </w:r>
      <w:r>
        <w:rPr>
          <w:rFonts w:hint="eastAsia"/>
          <w:sz w:val="24"/>
        </w:rPr>
        <w:t>7</w:t>
      </w:r>
    </w:p>
    <w:p w14:paraId="17D760CD">
      <w:pPr>
        <w:pStyle w:val="11"/>
        <w:adjustRightInd w:val="0"/>
        <w:snapToGrid w:val="0"/>
        <w:spacing w:line="440" w:lineRule="exact"/>
        <w:jc w:val="left"/>
        <w:rPr>
          <w:rFonts w:ascii="仿宋" w:hAnsi="仿宋" w:eastAsia="仿宋"/>
          <w:sz w:val="24"/>
        </w:rPr>
      </w:pPr>
      <w:r>
        <w:rPr>
          <w:rFonts w:hint="eastAsia"/>
          <w:sz w:val="24"/>
        </w:rPr>
        <w:t>一、收入支出决算总体情况说明</w:t>
      </w:r>
      <w:r>
        <w:rPr>
          <w:sz w:val="24"/>
        </w:rPr>
        <w:t>……………………………………………</w:t>
      </w:r>
      <w:r>
        <w:rPr>
          <w:rFonts w:hint="eastAsia"/>
          <w:sz w:val="24"/>
        </w:rPr>
        <w:t>7</w:t>
      </w:r>
    </w:p>
    <w:p w14:paraId="5C23AA76">
      <w:pPr>
        <w:pStyle w:val="11"/>
        <w:adjustRightInd w:val="0"/>
        <w:snapToGrid w:val="0"/>
        <w:spacing w:line="440" w:lineRule="exact"/>
        <w:jc w:val="left"/>
        <w:rPr>
          <w:rFonts w:ascii="仿宋" w:hAnsi="仿宋" w:eastAsia="仿宋"/>
          <w:sz w:val="24"/>
        </w:rPr>
      </w:pPr>
      <w:r>
        <w:rPr>
          <w:rFonts w:hint="eastAsia"/>
          <w:sz w:val="24"/>
        </w:rPr>
        <w:t>二、收入决算情况说明</w:t>
      </w:r>
      <w:r>
        <w:rPr>
          <w:sz w:val="24"/>
        </w:rPr>
        <w:t>………………………………………………………</w:t>
      </w:r>
      <w:r>
        <w:rPr>
          <w:rFonts w:hint="eastAsia"/>
          <w:sz w:val="24"/>
        </w:rPr>
        <w:t>.7</w:t>
      </w:r>
    </w:p>
    <w:p w14:paraId="078FAB42">
      <w:pPr>
        <w:pStyle w:val="11"/>
        <w:adjustRightInd w:val="0"/>
        <w:snapToGrid w:val="0"/>
        <w:spacing w:line="440" w:lineRule="exact"/>
        <w:jc w:val="left"/>
        <w:rPr>
          <w:rFonts w:ascii="仿宋" w:hAnsi="仿宋" w:eastAsia="仿宋"/>
          <w:sz w:val="24"/>
        </w:rPr>
      </w:pPr>
      <w:r>
        <w:rPr>
          <w:rFonts w:hint="eastAsia"/>
          <w:sz w:val="24"/>
        </w:rPr>
        <w:t>三、支出决算情况说明</w:t>
      </w:r>
      <w:r>
        <w:rPr>
          <w:sz w:val="24"/>
        </w:rPr>
        <w:t>………………………………………………………</w:t>
      </w:r>
      <w:r>
        <w:rPr>
          <w:rFonts w:hint="eastAsia"/>
          <w:sz w:val="24"/>
        </w:rPr>
        <w:t>.8</w:t>
      </w:r>
    </w:p>
    <w:p w14:paraId="7F9DD47E">
      <w:pPr>
        <w:pStyle w:val="11"/>
        <w:adjustRightInd w:val="0"/>
        <w:snapToGrid w:val="0"/>
        <w:spacing w:line="440" w:lineRule="exact"/>
        <w:jc w:val="left"/>
        <w:rPr>
          <w:rFonts w:ascii="仿宋" w:hAnsi="仿宋" w:eastAsia="仿宋"/>
          <w:sz w:val="24"/>
        </w:rPr>
      </w:pPr>
      <w:r>
        <w:rPr>
          <w:rFonts w:hint="eastAsia"/>
          <w:sz w:val="24"/>
        </w:rPr>
        <w:t>四、财政拨款收入支出决算总体情况说明</w:t>
      </w:r>
      <w:r>
        <w:rPr>
          <w:sz w:val="24"/>
        </w:rPr>
        <w:t>…………………………………</w:t>
      </w:r>
      <w:r>
        <w:rPr>
          <w:rFonts w:hint="eastAsia"/>
          <w:sz w:val="24"/>
        </w:rPr>
        <w:t>9</w:t>
      </w:r>
    </w:p>
    <w:p w14:paraId="5638B122">
      <w:pPr>
        <w:pStyle w:val="11"/>
        <w:adjustRightInd w:val="0"/>
        <w:snapToGrid w:val="0"/>
        <w:spacing w:line="440" w:lineRule="exact"/>
        <w:jc w:val="left"/>
        <w:rPr>
          <w:rFonts w:ascii="仿宋" w:hAnsi="仿宋" w:eastAsia="仿宋"/>
          <w:sz w:val="24"/>
        </w:rPr>
      </w:pPr>
      <w:r>
        <w:rPr>
          <w:rFonts w:hint="eastAsia"/>
          <w:sz w:val="24"/>
        </w:rPr>
        <w:t>五、一般公共预算财政拨款支出决算情况说明</w:t>
      </w:r>
      <w:r>
        <w:rPr>
          <w:sz w:val="24"/>
        </w:rPr>
        <w:t>……………………………</w:t>
      </w:r>
      <w:r>
        <w:rPr>
          <w:rFonts w:hint="eastAsia"/>
          <w:sz w:val="24"/>
        </w:rPr>
        <w:t>10</w:t>
      </w:r>
    </w:p>
    <w:p w14:paraId="73AA0831">
      <w:pPr>
        <w:pStyle w:val="11"/>
        <w:adjustRightInd w:val="0"/>
        <w:snapToGrid w:val="0"/>
        <w:spacing w:line="440" w:lineRule="exact"/>
        <w:jc w:val="left"/>
        <w:rPr>
          <w:rFonts w:ascii="仿宋" w:hAnsi="仿宋" w:eastAsia="仿宋"/>
          <w:sz w:val="24"/>
        </w:rPr>
      </w:pPr>
      <w:r>
        <w:rPr>
          <w:rFonts w:hint="eastAsia"/>
          <w:sz w:val="24"/>
        </w:rPr>
        <w:t>六、一般公共预算财政拨款基本支出决算情况说明</w:t>
      </w:r>
      <w:r>
        <w:rPr>
          <w:sz w:val="24"/>
        </w:rPr>
        <w:t>………………………</w:t>
      </w:r>
      <w:r>
        <w:rPr>
          <w:rFonts w:hint="eastAsia"/>
          <w:sz w:val="24"/>
        </w:rPr>
        <w:t>12</w:t>
      </w:r>
    </w:p>
    <w:p w14:paraId="5AADAA22">
      <w:pPr>
        <w:pStyle w:val="11"/>
        <w:adjustRightInd w:val="0"/>
        <w:snapToGrid w:val="0"/>
        <w:spacing w:line="440" w:lineRule="exact"/>
        <w:jc w:val="left"/>
        <w:rPr>
          <w:rFonts w:ascii="仿宋" w:hAnsi="仿宋" w:eastAsia="仿宋"/>
          <w:sz w:val="24"/>
        </w:rPr>
      </w:pPr>
      <w:r>
        <w:rPr>
          <w:rFonts w:hint="eastAsia"/>
          <w:sz w:val="24"/>
        </w:rPr>
        <w:t>七、“三公”经费财政拨款支出决算情况说明</w:t>
      </w:r>
      <w:r>
        <w:rPr>
          <w:sz w:val="24"/>
        </w:rPr>
        <w:t>………………………</w:t>
      </w:r>
      <w:r>
        <w:rPr>
          <w:rFonts w:hint="eastAsia"/>
          <w:sz w:val="24"/>
        </w:rPr>
        <w:t>..</w:t>
      </w:r>
      <w:r>
        <w:rPr>
          <w:sz w:val="24"/>
        </w:rPr>
        <w:t>……</w:t>
      </w:r>
      <w:r>
        <w:rPr>
          <w:rFonts w:hint="eastAsia"/>
          <w:sz w:val="24"/>
        </w:rPr>
        <w:t>13</w:t>
      </w:r>
    </w:p>
    <w:p w14:paraId="0F75EB26">
      <w:pPr>
        <w:pStyle w:val="11"/>
        <w:adjustRightInd w:val="0"/>
        <w:snapToGrid w:val="0"/>
        <w:spacing w:line="440" w:lineRule="exact"/>
        <w:jc w:val="left"/>
        <w:rPr>
          <w:rFonts w:ascii="仿宋" w:hAnsi="仿宋" w:eastAsia="仿宋"/>
          <w:sz w:val="24"/>
        </w:rPr>
      </w:pPr>
      <w:r>
        <w:rPr>
          <w:rFonts w:hint="eastAsia"/>
          <w:sz w:val="24"/>
        </w:rPr>
        <w:t>八、政府性基金预算支出决算情况说明</w:t>
      </w:r>
      <w:r>
        <w:rPr>
          <w:sz w:val="24"/>
        </w:rPr>
        <w:t>…………………………………</w:t>
      </w:r>
      <w:r>
        <w:rPr>
          <w:rFonts w:hint="eastAsia"/>
          <w:sz w:val="24"/>
        </w:rPr>
        <w:t>....15</w:t>
      </w:r>
    </w:p>
    <w:p w14:paraId="6FDB3E82">
      <w:pPr>
        <w:pStyle w:val="11"/>
        <w:adjustRightInd w:val="0"/>
        <w:snapToGrid w:val="0"/>
        <w:spacing w:line="440" w:lineRule="exact"/>
        <w:ind w:leftChars="0"/>
        <w:jc w:val="left"/>
        <w:rPr>
          <w:rFonts w:ascii="宋体" w:cs="宋体"/>
          <w:sz w:val="24"/>
        </w:rPr>
      </w:pPr>
      <w:r>
        <w:rPr>
          <w:rFonts w:hint="eastAsia" w:ascii="宋体" w:hAnsi="宋体" w:cs="宋体"/>
          <w:sz w:val="24"/>
        </w:rPr>
        <w:t>九、国有资本经营预算支出决算情况说明</w:t>
      </w:r>
      <w:r>
        <w:rPr>
          <w:rFonts w:ascii="宋体" w:hAnsi="宋体" w:cs="宋体"/>
          <w:sz w:val="24"/>
        </w:rPr>
        <w:t>…………………………………</w:t>
      </w:r>
      <w:r>
        <w:rPr>
          <w:rFonts w:hint="eastAsia" w:ascii="宋体" w:hAnsi="宋体" w:cs="宋体"/>
          <w:sz w:val="24"/>
        </w:rPr>
        <w:t>15</w:t>
      </w:r>
    </w:p>
    <w:p w14:paraId="5BC0006D">
      <w:pPr>
        <w:adjustRightInd w:val="0"/>
        <w:snapToGrid w:val="0"/>
        <w:spacing w:line="440" w:lineRule="exact"/>
        <w:ind w:firstLine="420" w:firstLineChars="175"/>
        <w:jc w:val="left"/>
        <w:rPr>
          <w:rFonts w:ascii="宋体" w:cs="宋体"/>
          <w:sz w:val="24"/>
        </w:rPr>
      </w:pPr>
      <w:r>
        <w:rPr>
          <w:rStyle w:val="16"/>
          <w:rFonts w:hint="eastAsia" w:ascii="宋体" w:hAnsi="宋体" w:cs="宋体"/>
          <w:color w:val="auto"/>
          <w:sz w:val="24"/>
          <w:u w:val="none"/>
        </w:rPr>
        <w:t>十、</w:t>
      </w:r>
      <w:r>
        <w:rPr>
          <w:rFonts w:hint="eastAsia" w:ascii="宋体" w:hAnsi="宋体" w:cs="宋体"/>
          <w:sz w:val="24"/>
        </w:rPr>
        <w:t>其他重要事项的情况说明</w:t>
      </w:r>
      <w:r>
        <w:rPr>
          <w:rFonts w:ascii="宋体" w:cs="宋体"/>
          <w:sz w:val="24"/>
        </w:rPr>
        <w:tab/>
      </w:r>
      <w:r>
        <w:rPr>
          <w:rFonts w:ascii="宋体" w:cs="宋体"/>
          <w:sz w:val="24"/>
        </w:rPr>
        <w:t>…………………………………………</w:t>
      </w:r>
      <w:r>
        <w:rPr>
          <w:rFonts w:hint="eastAsia" w:ascii="宋体" w:cs="宋体"/>
          <w:sz w:val="24"/>
        </w:rPr>
        <w:t>..15</w:t>
      </w:r>
    </w:p>
    <w:p w14:paraId="07D584BF">
      <w:pPr>
        <w:pStyle w:val="10"/>
        <w:adjustRightInd w:val="0"/>
        <w:snapToGrid w:val="0"/>
        <w:spacing w:before="0" w:line="440" w:lineRule="exact"/>
        <w:jc w:val="left"/>
        <w:rPr>
          <w:sz w:val="24"/>
          <w:szCs w:val="24"/>
        </w:rPr>
      </w:pPr>
      <w:r>
        <w:rPr>
          <w:rFonts w:hint="eastAsia"/>
          <w:sz w:val="24"/>
        </w:rPr>
        <w:t>第三部分名词解释</w:t>
      </w:r>
      <w:r>
        <w:rPr>
          <w:sz w:val="24"/>
        </w:rPr>
        <w:t>…………………………………………………………………</w:t>
      </w:r>
      <w:r>
        <w:rPr>
          <w:rFonts w:hint="eastAsia"/>
          <w:sz w:val="24"/>
        </w:rPr>
        <w:t>17</w:t>
      </w:r>
    </w:p>
    <w:p w14:paraId="1CFE135E">
      <w:pPr>
        <w:pStyle w:val="10"/>
        <w:adjustRightInd w:val="0"/>
        <w:snapToGrid w:val="0"/>
        <w:spacing w:before="0" w:line="440" w:lineRule="exact"/>
        <w:jc w:val="left"/>
        <w:rPr>
          <w:sz w:val="24"/>
          <w:szCs w:val="24"/>
        </w:rPr>
      </w:pPr>
      <w:r>
        <w:rPr>
          <w:rFonts w:hint="eastAsia"/>
          <w:sz w:val="24"/>
        </w:rPr>
        <w:t>第四部分附件</w:t>
      </w:r>
      <w:r>
        <w:rPr>
          <w:sz w:val="24"/>
        </w:rPr>
        <w:t>………………………………………………………………………</w:t>
      </w:r>
      <w:r>
        <w:rPr>
          <w:rFonts w:hint="eastAsia"/>
          <w:sz w:val="24"/>
        </w:rPr>
        <w:t>20</w:t>
      </w:r>
    </w:p>
    <w:p w14:paraId="5FA0A706">
      <w:pPr>
        <w:pStyle w:val="10"/>
        <w:adjustRightInd w:val="0"/>
        <w:snapToGrid w:val="0"/>
        <w:spacing w:before="0" w:line="440" w:lineRule="exact"/>
        <w:jc w:val="left"/>
        <w:rPr>
          <w:sz w:val="24"/>
        </w:rPr>
      </w:pPr>
      <w:r>
        <w:rPr>
          <w:rFonts w:hint="eastAsia"/>
          <w:sz w:val="24"/>
        </w:rPr>
        <w:t>第五部分附表</w:t>
      </w:r>
      <w:r>
        <w:rPr>
          <w:sz w:val="24"/>
        </w:rPr>
        <w:t>………………………………………………………………………</w:t>
      </w:r>
      <w:r>
        <w:rPr>
          <w:rFonts w:hint="eastAsia"/>
          <w:sz w:val="24"/>
        </w:rPr>
        <w:t>33</w:t>
      </w:r>
    </w:p>
    <w:p w14:paraId="55614E39">
      <w:pPr>
        <w:pStyle w:val="11"/>
        <w:adjustRightInd w:val="0"/>
        <w:snapToGrid w:val="0"/>
        <w:spacing w:line="440" w:lineRule="exact"/>
        <w:jc w:val="left"/>
        <w:rPr>
          <w:rFonts w:ascii="仿宋" w:hAnsi="仿宋" w:eastAsia="仿宋"/>
          <w:sz w:val="24"/>
        </w:rPr>
      </w:pPr>
      <w:r>
        <w:rPr>
          <w:rFonts w:hint="eastAsia" w:ascii="仿宋" w:hAnsi="仿宋" w:eastAsia="仿宋"/>
          <w:sz w:val="24"/>
        </w:rPr>
        <w:t>一、</w:t>
      </w:r>
      <w:r>
        <w:rPr>
          <w:rFonts w:hint="eastAsia"/>
          <w:sz w:val="24"/>
        </w:rPr>
        <w:t>收入支出决算总表</w:t>
      </w:r>
    </w:p>
    <w:p w14:paraId="7404F61B">
      <w:pPr>
        <w:pStyle w:val="11"/>
        <w:adjustRightInd w:val="0"/>
        <w:snapToGrid w:val="0"/>
        <w:spacing w:line="440" w:lineRule="exact"/>
        <w:jc w:val="left"/>
        <w:rPr>
          <w:rFonts w:ascii="宋体" w:cs="宋体"/>
          <w:sz w:val="24"/>
        </w:rPr>
      </w:pPr>
      <w:r>
        <w:rPr>
          <w:rFonts w:hint="eastAsia" w:ascii="宋体" w:hAnsi="宋体" w:cs="宋体"/>
          <w:sz w:val="24"/>
        </w:rPr>
        <w:t>二、收入决算表</w:t>
      </w:r>
    </w:p>
    <w:p w14:paraId="154B56F2">
      <w:pPr>
        <w:pStyle w:val="11"/>
        <w:adjustRightInd w:val="0"/>
        <w:snapToGrid w:val="0"/>
        <w:spacing w:line="440" w:lineRule="exact"/>
        <w:jc w:val="left"/>
        <w:rPr>
          <w:rFonts w:ascii="宋体" w:cs="宋体"/>
          <w:sz w:val="24"/>
        </w:rPr>
      </w:pPr>
      <w:r>
        <w:rPr>
          <w:rFonts w:hint="eastAsia" w:ascii="宋体" w:hAnsi="宋体" w:cs="宋体"/>
          <w:sz w:val="24"/>
        </w:rPr>
        <w:t>三、支出决算表</w:t>
      </w:r>
    </w:p>
    <w:p w14:paraId="6D57F8A1">
      <w:pPr>
        <w:pStyle w:val="11"/>
        <w:adjustRightInd w:val="0"/>
        <w:snapToGrid w:val="0"/>
        <w:spacing w:line="440" w:lineRule="exact"/>
        <w:jc w:val="left"/>
        <w:rPr>
          <w:rFonts w:ascii="宋体" w:cs="宋体"/>
          <w:sz w:val="24"/>
        </w:rPr>
      </w:pPr>
      <w:r>
        <w:rPr>
          <w:rFonts w:hint="eastAsia" w:ascii="宋体" w:hAnsi="宋体" w:cs="宋体"/>
          <w:sz w:val="24"/>
        </w:rPr>
        <w:t>四、财政拨款收入支出决算总表</w:t>
      </w:r>
    </w:p>
    <w:p w14:paraId="5D578186">
      <w:pPr>
        <w:pStyle w:val="11"/>
        <w:adjustRightInd w:val="0"/>
        <w:snapToGrid w:val="0"/>
        <w:spacing w:line="440" w:lineRule="exact"/>
        <w:jc w:val="left"/>
        <w:rPr>
          <w:rFonts w:ascii="宋体" w:cs="宋体"/>
          <w:sz w:val="24"/>
        </w:rPr>
      </w:pPr>
      <w:r>
        <w:rPr>
          <w:rFonts w:hint="eastAsia" w:ascii="宋体" w:hAnsi="宋体" w:cs="宋体"/>
          <w:sz w:val="24"/>
        </w:rPr>
        <w:t>五、财政拨款支出决算明细表</w:t>
      </w:r>
    </w:p>
    <w:p w14:paraId="487EAADA">
      <w:pPr>
        <w:pStyle w:val="11"/>
        <w:adjustRightInd w:val="0"/>
        <w:snapToGrid w:val="0"/>
        <w:spacing w:line="440" w:lineRule="exact"/>
        <w:jc w:val="left"/>
        <w:rPr>
          <w:rFonts w:ascii="宋体" w:cs="宋体"/>
          <w:sz w:val="24"/>
        </w:rPr>
      </w:pPr>
      <w:r>
        <w:rPr>
          <w:rFonts w:hint="eastAsia" w:ascii="宋体" w:hAnsi="宋体" w:cs="宋体"/>
          <w:sz w:val="24"/>
        </w:rPr>
        <w:t>六、一般公共预算财政拨款支出决算表</w:t>
      </w:r>
    </w:p>
    <w:p w14:paraId="68E96FD3">
      <w:pPr>
        <w:pStyle w:val="11"/>
        <w:adjustRightInd w:val="0"/>
        <w:snapToGrid w:val="0"/>
        <w:spacing w:line="440" w:lineRule="exact"/>
        <w:jc w:val="left"/>
        <w:rPr>
          <w:rFonts w:ascii="宋体" w:cs="宋体"/>
          <w:sz w:val="24"/>
        </w:rPr>
      </w:pPr>
      <w:r>
        <w:rPr>
          <w:rFonts w:hint="eastAsia" w:ascii="宋体" w:hAnsi="宋体" w:cs="宋体"/>
          <w:sz w:val="24"/>
        </w:rPr>
        <w:t>七、一般公共预算财政拨款支出决算明细表</w:t>
      </w:r>
    </w:p>
    <w:p w14:paraId="4361576F">
      <w:pPr>
        <w:pStyle w:val="11"/>
        <w:adjustRightInd w:val="0"/>
        <w:snapToGrid w:val="0"/>
        <w:spacing w:line="440" w:lineRule="exact"/>
        <w:jc w:val="left"/>
        <w:rPr>
          <w:rFonts w:ascii="宋体" w:cs="宋体"/>
          <w:sz w:val="24"/>
        </w:rPr>
      </w:pPr>
      <w:r>
        <w:rPr>
          <w:rFonts w:hint="eastAsia" w:ascii="宋体" w:hAnsi="宋体" w:cs="宋体"/>
          <w:sz w:val="24"/>
        </w:rPr>
        <w:t>八、一般公共预算财政拨款基本支出决算表</w:t>
      </w:r>
    </w:p>
    <w:p w14:paraId="3AB4EF05">
      <w:pPr>
        <w:pStyle w:val="11"/>
        <w:adjustRightInd w:val="0"/>
        <w:snapToGrid w:val="0"/>
        <w:spacing w:line="440" w:lineRule="exact"/>
        <w:jc w:val="left"/>
        <w:rPr>
          <w:rFonts w:ascii="宋体" w:cs="宋体"/>
          <w:sz w:val="24"/>
        </w:rPr>
      </w:pPr>
      <w:r>
        <w:rPr>
          <w:rFonts w:hint="eastAsia" w:ascii="宋体" w:hAnsi="宋体" w:cs="宋体"/>
          <w:sz w:val="24"/>
        </w:rPr>
        <w:t>九、一般公共预算财政拨款项目支出决算表</w:t>
      </w:r>
    </w:p>
    <w:p w14:paraId="22BA1EE0">
      <w:pPr>
        <w:pStyle w:val="11"/>
        <w:adjustRightInd w:val="0"/>
        <w:snapToGrid w:val="0"/>
        <w:spacing w:line="440" w:lineRule="exact"/>
        <w:jc w:val="left"/>
        <w:rPr>
          <w:rFonts w:ascii="宋体" w:cs="宋体"/>
          <w:sz w:val="24"/>
        </w:rPr>
      </w:pPr>
      <w:r>
        <w:rPr>
          <w:rFonts w:hint="eastAsia" w:ascii="宋体" w:hAnsi="宋体" w:cs="宋体"/>
          <w:sz w:val="24"/>
        </w:rPr>
        <w:t>十、一般公共预算财政拨款“三公”经费支出决算表</w:t>
      </w:r>
    </w:p>
    <w:p w14:paraId="276F760E">
      <w:pPr>
        <w:pStyle w:val="11"/>
        <w:adjustRightInd w:val="0"/>
        <w:snapToGrid w:val="0"/>
        <w:spacing w:line="440" w:lineRule="exact"/>
        <w:jc w:val="left"/>
        <w:rPr>
          <w:rFonts w:ascii="宋体" w:cs="宋体"/>
          <w:sz w:val="24"/>
        </w:rPr>
      </w:pPr>
      <w:r>
        <w:rPr>
          <w:rFonts w:hint="eastAsia" w:ascii="宋体" w:hAnsi="宋体" w:cs="宋体"/>
          <w:sz w:val="24"/>
        </w:rPr>
        <w:t>十一、政府性基金预算财政拨款收入支出决算表</w:t>
      </w:r>
    </w:p>
    <w:p w14:paraId="3F3AB73A">
      <w:pPr>
        <w:pStyle w:val="11"/>
        <w:adjustRightInd w:val="0"/>
        <w:snapToGrid w:val="0"/>
        <w:spacing w:line="440" w:lineRule="exact"/>
        <w:jc w:val="left"/>
        <w:rPr>
          <w:rFonts w:ascii="宋体" w:cs="宋体"/>
          <w:sz w:val="24"/>
        </w:rPr>
      </w:pPr>
      <w:r>
        <w:rPr>
          <w:rFonts w:hint="eastAsia" w:ascii="宋体" w:hAnsi="宋体" w:cs="宋体"/>
          <w:sz w:val="24"/>
        </w:rPr>
        <w:t>十二、政府性基金预算财政拨款“三公”经费支出决算表</w:t>
      </w:r>
    </w:p>
    <w:p w14:paraId="29BFF019">
      <w:pPr>
        <w:pStyle w:val="11"/>
        <w:adjustRightInd w:val="0"/>
        <w:snapToGrid w:val="0"/>
        <w:spacing w:line="440" w:lineRule="exact"/>
        <w:jc w:val="left"/>
        <w:rPr>
          <w:rFonts w:ascii="宋体" w:cs="宋体"/>
          <w:sz w:val="24"/>
        </w:rPr>
      </w:pPr>
      <w:r>
        <w:rPr>
          <w:rFonts w:hint="eastAsia" w:ascii="宋体" w:hAnsi="宋体" w:cs="宋体"/>
          <w:sz w:val="24"/>
        </w:rPr>
        <w:t>十三、国有资本经营预算财政拨款收入支出决算表</w:t>
      </w:r>
    </w:p>
    <w:p w14:paraId="0AB4A951">
      <w:pPr>
        <w:pStyle w:val="11"/>
        <w:adjustRightInd w:val="0"/>
        <w:snapToGrid w:val="0"/>
        <w:spacing w:line="440" w:lineRule="exact"/>
        <w:jc w:val="left"/>
        <w:rPr>
          <w:rFonts w:ascii="宋体" w:cs="宋体"/>
          <w:sz w:val="24"/>
        </w:rPr>
      </w:pPr>
      <w:r>
        <w:rPr>
          <w:rFonts w:hint="eastAsia" w:ascii="宋体" w:hAnsi="宋体" w:cs="宋体"/>
          <w:sz w:val="24"/>
        </w:rPr>
        <w:t>十四、国有资本经营预算财政拨款支出决算表</w:t>
      </w:r>
    </w:p>
    <w:p w14:paraId="42EBB3FF">
      <w:pPr>
        <w:widowControl/>
        <w:adjustRightInd w:val="0"/>
        <w:snapToGrid w:val="0"/>
        <w:spacing w:line="440" w:lineRule="exact"/>
        <w:ind w:firstLine="1320" w:firstLineChars="550"/>
        <w:jc w:val="left"/>
        <w:rPr>
          <w:rFonts w:ascii="仿宋" w:hAnsi="仿宋" w:eastAsia="仿宋"/>
          <w:sz w:val="24"/>
        </w:rPr>
      </w:pPr>
      <w:r>
        <w:rPr>
          <w:rFonts w:ascii="仿宋" w:hAnsi="仿宋" w:eastAsia="仿宋"/>
          <w:sz w:val="24"/>
        </w:rPr>
        <w:t>(</w:t>
      </w:r>
      <w:r>
        <w:rPr>
          <w:rFonts w:hint="eastAsia" w:ascii="仿宋" w:hAnsi="仿宋" w:eastAsia="仿宋"/>
          <w:sz w:val="24"/>
        </w:rPr>
        <w:t>注：请部门根据实际注明页码</w:t>
      </w:r>
      <w:r>
        <w:rPr>
          <w:rFonts w:ascii="仿宋" w:hAnsi="仿宋" w:eastAsia="仿宋"/>
          <w:sz w:val="24"/>
        </w:rPr>
        <w:t>)</w:t>
      </w:r>
    </w:p>
    <w:p w14:paraId="254C4072">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14:paraId="2CB3F63E">
      <w:pPr>
        <w:pStyle w:val="3"/>
        <w:jc w:val="center"/>
        <w:rPr>
          <w:rStyle w:val="17"/>
          <w:rFonts w:ascii="方正小标宋_GBK" w:hAnsi="黑体" w:eastAsia="方正小标宋_GBK"/>
          <w:b/>
          <w:bCs w:val="0"/>
        </w:rPr>
      </w:pPr>
      <w:r>
        <w:rPr>
          <w:rFonts w:hint="eastAsia" w:ascii="方正小标宋_GBK" w:hAnsi="黑体" w:eastAsia="方正小标宋_GBK"/>
          <w:b w:val="0"/>
        </w:rPr>
        <w:t xml:space="preserve">第一部分 </w:t>
      </w:r>
      <w:r>
        <w:rPr>
          <w:rStyle w:val="17"/>
          <w:rFonts w:hint="eastAsia" w:ascii="方正小标宋_GBK" w:hAnsi="黑体" w:eastAsia="方正小标宋_GBK"/>
          <w:b w:val="0"/>
          <w:bCs w:val="0"/>
        </w:rPr>
        <w:t>部门概况</w:t>
      </w:r>
      <w:bookmarkEnd w:id="12"/>
      <w:bookmarkEnd w:id="13"/>
    </w:p>
    <w:p w14:paraId="3F938684">
      <w:pPr>
        <w:widowControl/>
        <w:spacing w:line="560" w:lineRule="exact"/>
        <w:jc w:val="left"/>
        <w:rPr>
          <w:rFonts w:ascii="黑体" w:eastAsia="黑体"/>
          <w:sz w:val="32"/>
          <w:szCs w:val="32"/>
        </w:rPr>
      </w:pPr>
    </w:p>
    <w:p w14:paraId="240D991C">
      <w:pPr>
        <w:pStyle w:val="4"/>
        <w:spacing w:before="0" w:after="0" w:line="560" w:lineRule="exact"/>
        <w:rPr>
          <w:rStyle w:val="18"/>
          <w:rFonts w:ascii="仿宋" w:hAnsi="仿宋" w:eastAsia="仿宋"/>
          <w:b w:val="0"/>
          <w:bCs w:val="0"/>
        </w:rPr>
      </w:pPr>
      <w:bookmarkStart w:id="14" w:name="_Toc15396600"/>
      <w:bookmarkStart w:id="15" w:name="_Toc15377197"/>
      <w:r>
        <w:rPr>
          <w:rFonts w:hint="eastAsia" w:ascii="黑体" w:hAnsi="黑体" w:eastAsia="黑体"/>
          <w:b w:val="0"/>
        </w:rPr>
        <w:t>一、基</w:t>
      </w:r>
      <w:r>
        <w:rPr>
          <w:rStyle w:val="18"/>
          <w:rFonts w:hint="eastAsia" w:ascii="黑体" w:hAnsi="黑体" w:eastAsia="黑体"/>
          <w:b w:val="0"/>
          <w:bCs w:val="0"/>
        </w:rPr>
        <w:t>本职能及主要工作</w:t>
      </w:r>
      <w:bookmarkEnd w:id="14"/>
      <w:bookmarkEnd w:id="15"/>
    </w:p>
    <w:p w14:paraId="319A83E5">
      <w:pPr>
        <w:pStyle w:val="2"/>
        <w:adjustRightInd w:val="0"/>
        <w:snapToGrid w:val="0"/>
        <w:spacing w:beforeLines="0" w:line="560" w:lineRule="exact"/>
        <w:ind w:firstLine="672" w:firstLineChars="210"/>
        <w:outlineLvl w:val="2"/>
        <w:rPr>
          <w:rFonts w:hAnsi="仿宋"/>
          <w:bCs/>
          <w:sz w:val="32"/>
          <w:szCs w:val="32"/>
        </w:rPr>
      </w:pPr>
      <w:bookmarkStart w:id="16" w:name="_Toc15377198"/>
      <w:bookmarkStart w:id="17" w:name="_Toc15378445"/>
      <w:r>
        <w:rPr>
          <w:rFonts w:hint="eastAsia" w:ascii="楷体" w:hAnsi="楷体" w:eastAsia="楷体"/>
          <w:bCs/>
          <w:sz w:val="32"/>
          <w:szCs w:val="32"/>
        </w:rPr>
        <w:t>（一）主要职能。</w:t>
      </w:r>
      <w:r>
        <w:rPr>
          <w:rFonts w:hint="eastAsia" w:hAnsi="仿宋"/>
          <w:bCs/>
          <w:sz w:val="32"/>
          <w:szCs w:val="32"/>
        </w:rPr>
        <w:t>（职能参照省政府批准的三定方案）</w:t>
      </w:r>
      <w:bookmarkEnd w:id="16"/>
      <w:bookmarkEnd w:id="17"/>
    </w:p>
    <w:p w14:paraId="3F07FF7E">
      <w:pPr>
        <w:widowControl/>
        <w:shd w:val="clear" w:color="auto" w:fill="FFFFFF"/>
        <w:tabs>
          <w:tab w:val="left" w:pos="312"/>
        </w:tabs>
        <w:spacing w:line="560" w:lineRule="exact"/>
        <w:ind w:firstLine="640"/>
        <w:rPr>
          <w:rFonts w:ascii="仿宋_GB2312" w:eastAsia="仿宋_GB2312"/>
          <w:sz w:val="32"/>
          <w:szCs w:val="32"/>
        </w:rPr>
      </w:pPr>
      <w:r>
        <w:rPr>
          <w:rStyle w:val="15"/>
          <w:rFonts w:hint="eastAsia" w:ascii="仿宋_GB2312" w:hAnsi="仿宋_GB2312" w:eastAsia="仿宋_GB2312" w:cs="仿宋_GB2312"/>
          <w:b w:val="0"/>
          <w:bCs/>
          <w:sz w:val="32"/>
          <w:szCs w:val="32"/>
          <w:shd w:val="clear" w:color="auto" w:fill="FFFFFF"/>
        </w:rPr>
        <w:t>信访局</w:t>
      </w:r>
      <w:r>
        <w:rPr>
          <w:rFonts w:hint="eastAsia" w:ascii="仿宋_GB2312" w:eastAsia="仿宋_GB2312"/>
          <w:kern w:val="0"/>
          <w:sz w:val="32"/>
          <w:szCs w:val="32"/>
          <w:shd w:val="clear" w:color="auto" w:fill="FFFFFF"/>
          <w:lang w:val="zh-CN"/>
        </w:rPr>
        <w:t>属县政府派出机构，主要职责和职能是处理群众来信，接待群众来访；宣传党和政府群众工作的各项方针、政策、法律、法规；收集社情民意，综合分析群众意见、建议和对突出问题的反映，及时向县委、县政府领导反映；承办、督促县委、县政府领导同志交办的信访事项；排查县内矛盾纠纷，落实化解责任；协调处理跨县、区、部门的重要信访事项，协调处理群众集体到市委、市政府的上访事项及赴省进京非正常上访的相关事项；指导、协调县级部门和乡（镇）党政机关的群众（信访）工作；检查、协调、指导乡（镇）、县级部门的群众工作，对县级部门和乡（镇）党政机关的群众（信访）工作进行目标管理考核，配合协助相关部门及乡（镇）开展群众思想政治工作。承办县委、县政府和省、市政府群众（信访）工作局批办、交办的其他事项。</w:t>
      </w:r>
      <w:r>
        <w:rPr>
          <w:rFonts w:hint="eastAsia" w:ascii="仿宋_GB2312" w:eastAsia="仿宋_GB2312"/>
          <w:kern w:val="0"/>
          <w:sz w:val="32"/>
          <w:szCs w:val="32"/>
          <w:shd w:val="clear" w:color="auto" w:fill="FFFFFF"/>
        </w:rPr>
        <w:t xml:space="preserve">      具体的职能职责为:</w:t>
      </w:r>
      <w:r>
        <w:rPr>
          <w:rFonts w:hint="eastAsia" w:ascii="仿宋_GB2312" w:eastAsia="仿宋_GB2312"/>
          <w:kern w:val="0"/>
          <w:sz w:val="32"/>
          <w:szCs w:val="32"/>
          <w:shd w:val="clear" w:color="auto" w:fill="FFFFFF"/>
          <w:lang w:val="zh-CN"/>
        </w:rPr>
        <w:t>综合股(政策法规股)。负责机关人事、保密、文电、目标管理、财务、会务、宣传、政务公开、政务接待、档案、机要、资产管理、后勤保障、应急、安全保卫等工作。承担机关党建、党风廉政和反腐败建设、群团和文化建设等工作。组织协调、督促检查机关政务、业务等工作。总结推广信访工作经验,组织开展全县信访工作业务指导、教育培训工作。负责机关退休人员管理服务工作。承担县信访工作联席会议办公室日常工作。承担本部门规范性文件合法性审查、备案和清理</w:t>
      </w:r>
      <w:r>
        <w:rPr>
          <w:rFonts w:hint="eastAsia" w:ascii="仿宋_GB2312" w:eastAsia="仿宋_GB2312"/>
          <w:kern w:val="0"/>
          <w:sz w:val="32"/>
          <w:szCs w:val="32"/>
          <w:shd w:val="clear" w:color="auto" w:fill="FFFFFF"/>
        </w:rPr>
        <w:t>;</w:t>
      </w:r>
      <w:r>
        <w:rPr>
          <w:rFonts w:hint="eastAsia" w:ascii="仿宋_GB2312" w:eastAsia="仿宋_GB2312"/>
          <w:kern w:val="0"/>
          <w:sz w:val="32"/>
          <w:szCs w:val="32"/>
          <w:shd w:val="clear" w:color="auto" w:fill="FFFFFF"/>
          <w:lang w:val="zh-CN"/>
        </w:rPr>
        <w:t>业务股负责办理网上投诉信访事项。综合分析网上信访情况,提出工作建议。承担全县信访信息系统、四川省网上信访信息系统、各级党政领导信箱、人民网地方领导人留言、县信访局门户网站等应用系统的建设、运行、维护工作。承担网上信访相关业务的推广应用培训工作。办理上级转办交办的来信事项和群众给县委、县政府领导来信。承担社情民意的汇集分析工作,提出工作建议。承担县政府信访事项复查委员会办公室日常工作</w:t>
      </w:r>
      <w:r>
        <w:rPr>
          <w:rFonts w:hint="eastAsia" w:ascii="仿宋_GB2312" w:eastAsia="仿宋_GB2312"/>
          <w:kern w:val="0"/>
          <w:sz w:val="32"/>
          <w:szCs w:val="32"/>
          <w:shd w:val="clear" w:color="auto" w:fill="FFFFFF"/>
        </w:rPr>
        <w:t>,</w:t>
      </w:r>
      <w:r>
        <w:rPr>
          <w:rFonts w:hint="eastAsia" w:ascii="仿宋_GB2312" w:eastAsia="仿宋_GB2312"/>
          <w:kern w:val="0"/>
          <w:sz w:val="32"/>
          <w:szCs w:val="32"/>
          <w:shd w:val="clear" w:color="auto" w:fill="FFFFFF"/>
          <w:lang w:val="zh-CN"/>
        </w:rPr>
        <w:t>负责接待群众到县委、县政府来访,综合分析来访情况提出工作建议。承办上级转办、交办来访事项,协助县领导开展接访下访工作。负责重大活动、重要会议等敏感时段的值班值守工作。组织协调进京赴省到市到县非接待场所有关人员</w:t>
      </w:r>
      <w:r>
        <w:rPr>
          <w:rFonts w:hint="eastAsia" w:ascii="仿宋_GB2312" w:eastAsia="仿宋_GB2312"/>
          <w:sz w:val="32"/>
          <w:szCs w:val="32"/>
        </w:rPr>
        <w:t>接访劝返协调处理工作。</w:t>
      </w:r>
    </w:p>
    <w:p w14:paraId="3CE80DD6">
      <w:pPr>
        <w:spacing w:line="560" w:lineRule="exact"/>
        <w:ind w:firstLine="640" w:firstLineChars="200"/>
        <w:rPr>
          <w:rFonts w:ascii="楷体" w:hAnsi="楷体" w:eastAsia="楷体"/>
          <w:bCs/>
          <w:kern w:val="0"/>
          <w:sz w:val="32"/>
          <w:szCs w:val="32"/>
        </w:rPr>
      </w:pPr>
      <w:bookmarkStart w:id="18" w:name="_Toc15378446"/>
      <w:bookmarkStart w:id="19" w:name="_Toc15377199"/>
      <w:r>
        <w:rPr>
          <w:rFonts w:hint="eastAsia" w:ascii="楷体" w:hAnsi="楷体" w:eastAsia="楷体"/>
          <w:bCs/>
          <w:kern w:val="0"/>
          <w:sz w:val="32"/>
          <w:szCs w:val="32"/>
        </w:rPr>
        <w:t>（二）</w:t>
      </w:r>
      <w:r>
        <w:rPr>
          <w:rFonts w:ascii="楷体" w:hAnsi="楷体" w:eastAsia="楷体"/>
          <w:bCs/>
          <w:kern w:val="0"/>
          <w:sz w:val="32"/>
          <w:szCs w:val="32"/>
        </w:rPr>
        <w:t>2021</w:t>
      </w:r>
      <w:r>
        <w:rPr>
          <w:rFonts w:hint="eastAsia" w:ascii="楷体" w:hAnsi="楷体" w:eastAsia="楷体"/>
          <w:bCs/>
          <w:kern w:val="0"/>
          <w:sz w:val="32"/>
          <w:szCs w:val="32"/>
        </w:rPr>
        <w:t>年重点工作完成情况。</w:t>
      </w:r>
      <w:bookmarkEnd w:id="18"/>
      <w:bookmarkEnd w:id="19"/>
    </w:p>
    <w:p w14:paraId="64593416">
      <w:pPr>
        <w:spacing w:line="560" w:lineRule="exact"/>
        <w:ind w:firstLine="640" w:firstLineChars="200"/>
        <w:rPr>
          <w:rFonts w:ascii="仿宋_GB2312" w:eastAsia="仿宋_GB2312"/>
          <w:kern w:val="0"/>
          <w:sz w:val="32"/>
          <w:szCs w:val="32"/>
          <w:shd w:val="clear" w:color="auto" w:fill="FFFFFF"/>
          <w:lang w:val="zh-CN"/>
        </w:rPr>
      </w:pPr>
      <w:r>
        <w:rPr>
          <w:rFonts w:hint="eastAsia" w:ascii="仿宋_GB2312" w:eastAsia="仿宋_GB2312"/>
          <w:kern w:val="0"/>
          <w:sz w:val="32"/>
          <w:szCs w:val="32"/>
          <w:shd w:val="clear" w:color="auto" w:fill="FFFFFF"/>
          <w:lang w:val="zh-CN"/>
        </w:rPr>
        <w:t>认真贯彻落实中央、省、市、县委决策部署，加强对口督导指导，主动服务全县工作大局。高度关注生态环境保护、乡村振兴、扫黑除恶等方面的信访问题，进一步畅通信访渠道，着力化解信访积案，扎实开展信访工作，圆满完成了“建党100周年”等重大敏感时期信访稳定任务，有力维护了社会稳定大局。信访业务工作完成较好2021年，县信访局共接接待群众来访273批1395人次，同比批次下降10.7%、人次下降22.6%；办理群众网上信访420件，同比上升13.2%； 2021年，在县委、县政府高度重视和在各级各部门的共同努力下， 贯彻落实信访工作责任制，认真做好中国共产党成立100周年、十九届六中全会、市第十一次党代会和县第十五次党代会等特殊敏感时段的信访稳定工作；抓初信初访信访事项办理，努力提高信访事项“三率”水平；切实做好疫情防控期间信访事项办理，依法维护正常的信访秩序；抓源头预防和疏导化解，有效助推信访积案化解；扎实做好第二轮中央、省生态环境保护督察期间市环督办交办信访案件；协助政法队伍教育整顿工作，做好信访案件办理；继续做好县扫黑办转办案件的办理；落实全面从严治党和反腐败工作以及扎实推进全县其它中心工作。</w:t>
      </w:r>
    </w:p>
    <w:p w14:paraId="4B521935">
      <w:pPr>
        <w:pStyle w:val="4"/>
        <w:spacing w:before="0" w:after="0" w:line="560" w:lineRule="exact"/>
        <w:rPr>
          <w:rStyle w:val="18"/>
          <w:b w:val="0"/>
          <w:bCs w:val="0"/>
        </w:rPr>
      </w:pPr>
      <w:bookmarkStart w:id="20" w:name="_Toc15396601"/>
      <w:bookmarkStart w:id="21" w:name="_Toc15377200"/>
      <w:r>
        <w:rPr>
          <w:rFonts w:hint="eastAsia" w:ascii="黑体" w:eastAsia="黑体"/>
          <w:b w:val="0"/>
        </w:rPr>
        <w:t>二、</w:t>
      </w:r>
      <w:r>
        <w:rPr>
          <w:rFonts w:hint="eastAsia" w:ascii="黑体" w:hAnsi="黑体" w:eastAsia="黑体"/>
          <w:b w:val="0"/>
        </w:rPr>
        <w:t>机</w:t>
      </w:r>
      <w:r>
        <w:rPr>
          <w:rStyle w:val="18"/>
          <w:rFonts w:hint="eastAsia" w:ascii="黑体" w:hAnsi="黑体" w:eastAsia="黑体"/>
          <w:b w:val="0"/>
          <w:bCs w:val="0"/>
        </w:rPr>
        <w:t>构设置</w:t>
      </w:r>
      <w:bookmarkEnd w:id="20"/>
      <w:bookmarkEnd w:id="21"/>
    </w:p>
    <w:p w14:paraId="0092EB1C">
      <w:pPr>
        <w:spacing w:line="560" w:lineRule="exact"/>
        <w:ind w:firstLine="800" w:firstLineChars="250"/>
        <w:rPr>
          <w:rFonts w:ascii="仿宋_GB2312" w:eastAsia="仿宋_GB2312"/>
          <w:kern w:val="0"/>
          <w:sz w:val="32"/>
          <w:szCs w:val="32"/>
          <w:shd w:val="clear" w:color="auto" w:fill="FFFFFF"/>
          <w:lang w:val="zh-CN"/>
        </w:rPr>
      </w:pPr>
      <w:r>
        <w:rPr>
          <w:rFonts w:hint="eastAsia" w:ascii="仿宋_GB2312" w:eastAsia="仿宋_GB2312"/>
          <w:kern w:val="0"/>
          <w:sz w:val="32"/>
          <w:szCs w:val="32"/>
          <w:shd w:val="clear" w:color="auto" w:fill="FFFFFF"/>
          <w:lang w:val="zh-CN"/>
        </w:rPr>
        <w:t>盐边县信访局下属二级单位</w:t>
      </w:r>
      <w:r>
        <w:rPr>
          <w:rFonts w:ascii="仿宋_GB2312" w:eastAsia="仿宋_GB2312"/>
          <w:kern w:val="0"/>
          <w:sz w:val="32"/>
          <w:szCs w:val="32"/>
          <w:shd w:val="clear" w:color="auto" w:fill="FFFFFF"/>
          <w:lang w:val="zh-CN"/>
        </w:rPr>
        <w:t>1</w:t>
      </w:r>
      <w:r>
        <w:rPr>
          <w:rFonts w:hint="eastAsia" w:ascii="仿宋_GB2312" w:eastAsia="仿宋_GB2312"/>
          <w:kern w:val="0"/>
          <w:sz w:val="32"/>
          <w:szCs w:val="32"/>
          <w:shd w:val="clear" w:color="auto" w:fill="FFFFFF"/>
          <w:lang w:val="zh-CN"/>
        </w:rPr>
        <w:t>个，其中行政单位</w:t>
      </w:r>
      <w:r>
        <w:rPr>
          <w:rFonts w:ascii="仿宋_GB2312" w:eastAsia="仿宋_GB2312"/>
          <w:kern w:val="0"/>
          <w:sz w:val="32"/>
          <w:szCs w:val="32"/>
          <w:shd w:val="clear" w:color="auto" w:fill="FFFFFF"/>
          <w:lang w:val="zh-CN"/>
        </w:rPr>
        <w:t>1</w:t>
      </w:r>
      <w:r>
        <w:rPr>
          <w:rFonts w:hint="eastAsia" w:ascii="仿宋_GB2312" w:eastAsia="仿宋_GB2312"/>
          <w:kern w:val="0"/>
          <w:sz w:val="32"/>
          <w:szCs w:val="32"/>
          <w:shd w:val="clear" w:color="auto" w:fill="FFFFFF"/>
          <w:lang w:val="zh-CN"/>
        </w:rPr>
        <w:t>个，参照公务员法管理的事业单位</w:t>
      </w:r>
      <w:r>
        <w:rPr>
          <w:rFonts w:ascii="仿宋_GB2312" w:eastAsia="仿宋_GB2312"/>
          <w:kern w:val="0"/>
          <w:sz w:val="32"/>
          <w:szCs w:val="32"/>
          <w:shd w:val="clear" w:color="auto" w:fill="FFFFFF"/>
          <w:lang w:val="zh-CN"/>
        </w:rPr>
        <w:t>0</w:t>
      </w:r>
      <w:r>
        <w:rPr>
          <w:rFonts w:hint="eastAsia" w:ascii="仿宋_GB2312" w:eastAsia="仿宋_GB2312"/>
          <w:kern w:val="0"/>
          <w:sz w:val="32"/>
          <w:szCs w:val="32"/>
          <w:shd w:val="clear" w:color="auto" w:fill="FFFFFF"/>
          <w:lang w:val="zh-CN"/>
        </w:rPr>
        <w:t>个，其他事业单位</w:t>
      </w:r>
      <w:r>
        <w:rPr>
          <w:rFonts w:ascii="仿宋_GB2312" w:eastAsia="仿宋_GB2312"/>
          <w:kern w:val="0"/>
          <w:sz w:val="32"/>
          <w:szCs w:val="32"/>
          <w:shd w:val="clear" w:color="auto" w:fill="FFFFFF"/>
          <w:lang w:val="zh-CN"/>
        </w:rPr>
        <w:t>1</w:t>
      </w:r>
      <w:r>
        <w:rPr>
          <w:rFonts w:hint="eastAsia" w:ascii="仿宋_GB2312" w:eastAsia="仿宋_GB2312"/>
          <w:kern w:val="0"/>
          <w:sz w:val="32"/>
          <w:szCs w:val="32"/>
          <w:shd w:val="clear" w:color="auto" w:fill="FFFFFF"/>
          <w:lang w:val="zh-CN"/>
        </w:rPr>
        <w:t>个</w:t>
      </w:r>
      <w:r>
        <w:rPr>
          <w:rFonts w:ascii="仿宋_GB2312" w:eastAsia="仿宋_GB2312"/>
          <w:kern w:val="0"/>
          <w:sz w:val="32"/>
          <w:szCs w:val="32"/>
          <w:shd w:val="clear" w:color="auto" w:fill="FFFFFF"/>
          <w:lang w:val="zh-CN"/>
        </w:rPr>
        <w:t>(</w:t>
      </w:r>
      <w:r>
        <w:rPr>
          <w:rFonts w:hint="eastAsia" w:ascii="仿宋_GB2312" w:eastAsia="仿宋_GB2312"/>
          <w:kern w:val="0"/>
          <w:sz w:val="32"/>
          <w:szCs w:val="32"/>
          <w:shd w:val="clear" w:color="auto" w:fill="FFFFFF"/>
          <w:lang w:val="zh-CN"/>
        </w:rPr>
        <w:t>盐边县群众工作中心未单独核算）。</w:t>
      </w:r>
    </w:p>
    <w:p w14:paraId="2E0355AC">
      <w:pPr>
        <w:widowControl/>
        <w:spacing w:line="560" w:lineRule="exact"/>
        <w:jc w:val="left"/>
        <w:rPr>
          <w:rFonts w:ascii="仿宋" w:hAnsi="仿宋" w:eastAsia="仿宋"/>
          <w:kern w:val="0"/>
          <w:sz w:val="32"/>
          <w:szCs w:val="32"/>
        </w:rPr>
      </w:pPr>
      <w:r>
        <w:rPr>
          <w:rFonts w:ascii="仿宋" w:hAnsi="仿宋" w:eastAsia="仿宋"/>
          <w:sz w:val="32"/>
          <w:szCs w:val="32"/>
        </w:rPr>
        <w:br w:type="page"/>
      </w:r>
    </w:p>
    <w:p w14:paraId="4A2285EC">
      <w:pPr>
        <w:pStyle w:val="3"/>
        <w:spacing w:before="0" w:after="0" w:line="560" w:lineRule="exact"/>
        <w:ind w:right="440"/>
        <w:jc w:val="center"/>
        <w:rPr>
          <w:rStyle w:val="17"/>
          <w:rFonts w:ascii="方正小标宋_GBK" w:hAnsi="黑体" w:eastAsia="方正小标宋_GBK"/>
          <w:b w:val="0"/>
          <w:bCs/>
        </w:rPr>
      </w:pPr>
      <w:bookmarkStart w:id="22" w:name="_Toc15396602"/>
      <w:bookmarkStart w:id="23" w:name="_Toc15377204"/>
      <w:r>
        <w:rPr>
          <w:rFonts w:hint="eastAsia" w:ascii="方正小标宋_GBK" w:hAnsi="黑体" w:eastAsia="方正小标宋_GBK"/>
          <w:b w:val="0"/>
        </w:rPr>
        <w:t>第二部分 2021年度</w:t>
      </w:r>
      <w:r>
        <w:rPr>
          <w:rStyle w:val="17"/>
          <w:rFonts w:hint="eastAsia" w:ascii="方正小标宋_GBK" w:hAnsi="黑体" w:eastAsia="方正小标宋_GBK"/>
          <w:b w:val="0"/>
          <w:bCs/>
        </w:rPr>
        <w:t>部门决算情况说明</w:t>
      </w:r>
      <w:bookmarkEnd w:id="22"/>
      <w:bookmarkEnd w:id="23"/>
    </w:p>
    <w:p w14:paraId="36281557">
      <w:pPr>
        <w:spacing w:line="560" w:lineRule="exact"/>
      </w:pPr>
    </w:p>
    <w:p w14:paraId="64B0A0B6">
      <w:pPr>
        <w:pStyle w:val="28"/>
        <w:numPr>
          <w:ilvl w:val="0"/>
          <w:numId w:val="1"/>
        </w:numPr>
        <w:spacing w:line="560" w:lineRule="exact"/>
        <w:ind w:firstLineChars="0"/>
        <w:outlineLvl w:val="1"/>
        <w:rPr>
          <w:rStyle w:val="18"/>
          <w:rFonts w:ascii="黑体" w:hAnsi="黑体" w:eastAsia="黑体"/>
          <w:b w:val="0"/>
        </w:rPr>
      </w:pPr>
      <w:bookmarkStart w:id="24" w:name="_Toc15377205"/>
      <w:bookmarkStart w:id="25" w:name="_Toc15396603"/>
      <w:r>
        <w:rPr>
          <w:rFonts w:hint="eastAsia" w:ascii="黑体" w:hAnsi="黑体" w:eastAsia="黑体"/>
          <w:sz w:val="32"/>
          <w:szCs w:val="32"/>
        </w:rPr>
        <w:t>收</w:t>
      </w:r>
      <w:r>
        <w:rPr>
          <w:rStyle w:val="18"/>
          <w:rFonts w:hint="eastAsia" w:ascii="黑体" w:hAnsi="黑体" w:eastAsia="黑体"/>
          <w:b w:val="0"/>
        </w:rPr>
        <w:t>入支出决算总体情况说明</w:t>
      </w:r>
      <w:bookmarkEnd w:id="24"/>
      <w:bookmarkEnd w:id="25"/>
    </w:p>
    <w:p w14:paraId="4263482E">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2021年度收、支总计323.72万元。与2020年相比，收、支总计增加33.49万元，增长11.54%。主要变动原因是正常增加。</w:t>
      </w:r>
    </w:p>
    <w:p w14:paraId="5AD934EE">
      <w:pPr>
        <w:spacing w:line="600" w:lineRule="exact"/>
        <w:ind w:firstLine="420" w:firstLineChars="200"/>
        <w:rPr>
          <w:rFonts w:ascii="仿宋" w:hAnsi="仿宋" w:eastAsia="仿宋"/>
          <w:sz w:val="32"/>
          <w:szCs w:val="32"/>
        </w:rPr>
      </w:pPr>
      <w:r>
        <w:rPr>
          <w:rFonts w:hint="eastAsia"/>
        </w:rPr>
        <w:t>（图</w:t>
      </w:r>
      <w:r>
        <w:t>1</w:t>
      </w:r>
      <w:r>
        <w:rPr>
          <w:rFonts w:hint="eastAsia"/>
        </w:rPr>
        <w:t>：收、支决算总计变动情况图）（柱状图）</w:t>
      </w:r>
    </w:p>
    <w:p w14:paraId="2C8E3459">
      <w:pPr>
        <w:pStyle w:val="2"/>
        <w:spacing w:before="93"/>
      </w:pPr>
      <w:r>
        <w:pict>
          <v:shape id="_x0000_i1025" o:spt="75" type="#_x0000_t75" style="height:230.9pt;width:414.5pt;" filled="f" o:preferrelative="t" stroked="f" coordsize="21600,21600">
            <v:path/>
            <v:fill on="f" focussize="0,0"/>
            <v:stroke on="f" joinstyle="miter"/>
            <v:imagedata r:id="rId6" o:title=""/>
            <o:lock v:ext="edit" aspectratio="t"/>
            <w10:wrap type="none"/>
            <w10:anchorlock/>
          </v:shape>
        </w:pict>
      </w:r>
    </w:p>
    <w:p w14:paraId="72686B40">
      <w:pPr>
        <w:pStyle w:val="28"/>
        <w:numPr>
          <w:ilvl w:val="0"/>
          <w:numId w:val="1"/>
        </w:numPr>
        <w:spacing w:line="560" w:lineRule="exact"/>
        <w:ind w:firstLineChars="0"/>
        <w:outlineLvl w:val="1"/>
        <w:rPr>
          <w:rStyle w:val="18"/>
          <w:rFonts w:ascii="黑体" w:hAnsi="黑体" w:eastAsia="黑体"/>
          <w:b w:val="0"/>
        </w:rPr>
      </w:pPr>
      <w:bookmarkStart w:id="26" w:name="_Toc15377206"/>
      <w:bookmarkStart w:id="27" w:name="_Toc15396604"/>
      <w:r>
        <w:rPr>
          <w:rFonts w:hint="eastAsia" w:ascii="黑体" w:hAnsi="黑体" w:eastAsia="黑体"/>
          <w:sz w:val="32"/>
          <w:szCs w:val="32"/>
        </w:rPr>
        <w:t>收</w:t>
      </w:r>
      <w:r>
        <w:rPr>
          <w:rStyle w:val="18"/>
          <w:rFonts w:hint="eastAsia" w:ascii="黑体" w:hAnsi="黑体" w:eastAsia="黑体"/>
          <w:b w:val="0"/>
        </w:rPr>
        <w:t>入决算情况说明</w:t>
      </w:r>
      <w:bookmarkEnd w:id="26"/>
      <w:bookmarkEnd w:id="27"/>
    </w:p>
    <w:p w14:paraId="3DD56FB9">
      <w:pPr>
        <w:spacing w:line="560" w:lineRule="exact"/>
        <w:ind w:firstLine="640" w:firstLineChars="200"/>
        <w:rPr>
          <w:rFonts w:ascii="仿宋_GB2312" w:hAnsi="仿宋" w:eastAsia="仿宋_GB2312"/>
          <w:sz w:val="32"/>
          <w:szCs w:val="32"/>
        </w:rPr>
      </w:pPr>
      <w:r>
        <w:rPr>
          <w:rFonts w:ascii="仿宋_GB2312" w:hAnsi="仿宋" w:eastAsia="仿宋_GB2312"/>
          <w:sz w:val="32"/>
          <w:szCs w:val="32"/>
        </w:rPr>
        <w:t>2021</w:t>
      </w:r>
      <w:r>
        <w:rPr>
          <w:rFonts w:hint="eastAsia" w:ascii="仿宋_GB2312" w:hAnsi="仿宋" w:eastAsia="仿宋_GB2312"/>
          <w:sz w:val="32"/>
          <w:szCs w:val="32"/>
        </w:rPr>
        <w:t>年本年收入合计</w:t>
      </w:r>
      <w:r>
        <w:rPr>
          <w:rFonts w:ascii="仿宋_GB2312" w:hAnsi="仿宋" w:eastAsia="仿宋_GB2312"/>
          <w:sz w:val="32"/>
          <w:szCs w:val="32"/>
        </w:rPr>
        <w:t>277.19</w:t>
      </w:r>
      <w:r>
        <w:rPr>
          <w:rFonts w:hint="eastAsia" w:ascii="仿宋_GB2312" w:hAnsi="仿宋" w:eastAsia="仿宋_GB2312"/>
          <w:sz w:val="32"/>
          <w:szCs w:val="32"/>
        </w:rPr>
        <w:t>万元，其中：一般公共预算财政拨款收入</w:t>
      </w:r>
      <w:r>
        <w:rPr>
          <w:rFonts w:ascii="仿宋_GB2312" w:hAnsi="仿宋" w:eastAsia="仿宋_GB2312"/>
          <w:sz w:val="32"/>
          <w:szCs w:val="32"/>
        </w:rPr>
        <w:t>277.19</w:t>
      </w:r>
      <w:r>
        <w:rPr>
          <w:rFonts w:hint="eastAsia" w:ascii="仿宋_GB2312" w:hAnsi="仿宋" w:eastAsia="仿宋_GB2312"/>
          <w:sz w:val="32"/>
          <w:szCs w:val="32"/>
        </w:rPr>
        <w:t>万元，占</w:t>
      </w:r>
      <w:r>
        <w:rPr>
          <w:rFonts w:ascii="仿宋_GB2312" w:hAnsi="仿宋" w:eastAsia="仿宋_GB2312"/>
          <w:sz w:val="32"/>
          <w:szCs w:val="32"/>
        </w:rPr>
        <w:t>100%</w:t>
      </w:r>
      <w:r>
        <w:rPr>
          <w:rFonts w:hint="eastAsia" w:ascii="仿宋_GB2312" w:hAnsi="仿宋" w:eastAsia="仿宋_GB2312"/>
          <w:sz w:val="32"/>
          <w:szCs w:val="32"/>
        </w:rPr>
        <w:t>；政府性基金预算财政拨款收入</w:t>
      </w:r>
      <w:r>
        <w:rPr>
          <w:rFonts w:ascii="仿宋_GB2312" w:hAnsi="仿宋" w:eastAsia="仿宋_GB2312"/>
          <w:sz w:val="32"/>
          <w:szCs w:val="32"/>
        </w:rPr>
        <w:t>0</w:t>
      </w:r>
      <w:r>
        <w:rPr>
          <w:rFonts w:hint="eastAsia" w:ascii="仿宋_GB2312" w:hAnsi="仿宋" w:eastAsia="仿宋_GB2312"/>
          <w:sz w:val="32"/>
          <w:szCs w:val="32"/>
        </w:rPr>
        <w:t>万元，占</w:t>
      </w:r>
      <w:r>
        <w:rPr>
          <w:rFonts w:ascii="仿宋_GB2312" w:hAnsi="仿宋" w:eastAsia="仿宋_GB2312"/>
          <w:sz w:val="32"/>
          <w:szCs w:val="32"/>
        </w:rPr>
        <w:t>0%</w:t>
      </w:r>
      <w:r>
        <w:rPr>
          <w:rFonts w:hint="eastAsia" w:ascii="仿宋_GB2312" w:hAnsi="仿宋" w:eastAsia="仿宋_GB2312"/>
          <w:sz w:val="32"/>
          <w:szCs w:val="32"/>
        </w:rPr>
        <w:t>；国有资本经营预算财政拨款收入</w:t>
      </w:r>
      <w:r>
        <w:rPr>
          <w:rFonts w:ascii="仿宋_GB2312" w:hAnsi="仿宋" w:eastAsia="仿宋_GB2312"/>
          <w:sz w:val="32"/>
          <w:szCs w:val="32"/>
        </w:rPr>
        <w:t>0</w:t>
      </w:r>
      <w:r>
        <w:rPr>
          <w:rFonts w:hint="eastAsia" w:ascii="仿宋_GB2312" w:hAnsi="仿宋" w:eastAsia="仿宋_GB2312"/>
          <w:sz w:val="32"/>
          <w:szCs w:val="32"/>
        </w:rPr>
        <w:t>万元，占</w:t>
      </w:r>
      <w:r>
        <w:rPr>
          <w:rFonts w:ascii="仿宋_GB2312" w:hAnsi="仿宋" w:eastAsia="仿宋_GB2312"/>
          <w:sz w:val="32"/>
          <w:szCs w:val="32"/>
        </w:rPr>
        <w:t>0%</w:t>
      </w:r>
      <w:r>
        <w:rPr>
          <w:rFonts w:hint="eastAsia" w:ascii="仿宋_GB2312" w:hAnsi="仿宋" w:eastAsia="仿宋_GB2312"/>
          <w:sz w:val="32"/>
          <w:szCs w:val="32"/>
        </w:rPr>
        <w:t>；上级补助收入</w:t>
      </w:r>
      <w:r>
        <w:rPr>
          <w:rFonts w:ascii="仿宋_GB2312" w:hAnsi="仿宋" w:eastAsia="仿宋_GB2312"/>
          <w:sz w:val="32"/>
          <w:szCs w:val="32"/>
        </w:rPr>
        <w:t>0</w:t>
      </w:r>
      <w:r>
        <w:rPr>
          <w:rFonts w:hint="eastAsia" w:ascii="仿宋_GB2312" w:hAnsi="仿宋" w:eastAsia="仿宋_GB2312"/>
          <w:sz w:val="32"/>
          <w:szCs w:val="32"/>
        </w:rPr>
        <w:t>万元，占</w:t>
      </w:r>
      <w:r>
        <w:rPr>
          <w:rFonts w:ascii="仿宋_GB2312" w:hAnsi="仿宋" w:eastAsia="仿宋_GB2312"/>
          <w:sz w:val="32"/>
          <w:szCs w:val="32"/>
        </w:rPr>
        <w:t>0%</w:t>
      </w:r>
      <w:r>
        <w:rPr>
          <w:rFonts w:hint="eastAsia" w:ascii="仿宋_GB2312" w:hAnsi="仿宋" w:eastAsia="仿宋_GB2312"/>
          <w:sz w:val="32"/>
          <w:szCs w:val="32"/>
        </w:rPr>
        <w:t>；事业收入</w:t>
      </w:r>
      <w:r>
        <w:rPr>
          <w:rFonts w:ascii="仿宋_GB2312" w:hAnsi="仿宋" w:eastAsia="仿宋_GB2312"/>
          <w:sz w:val="32"/>
          <w:szCs w:val="32"/>
        </w:rPr>
        <w:t>0</w:t>
      </w:r>
      <w:r>
        <w:rPr>
          <w:rFonts w:hint="eastAsia" w:ascii="仿宋_GB2312" w:hAnsi="仿宋" w:eastAsia="仿宋_GB2312"/>
          <w:sz w:val="32"/>
          <w:szCs w:val="32"/>
        </w:rPr>
        <w:t>万元，占</w:t>
      </w:r>
      <w:r>
        <w:rPr>
          <w:rFonts w:ascii="仿宋_GB2312" w:hAnsi="仿宋" w:eastAsia="仿宋_GB2312"/>
          <w:sz w:val="32"/>
          <w:szCs w:val="32"/>
        </w:rPr>
        <w:t>0%</w:t>
      </w:r>
      <w:r>
        <w:rPr>
          <w:rFonts w:hint="eastAsia" w:ascii="仿宋_GB2312" w:hAnsi="仿宋" w:eastAsia="仿宋_GB2312"/>
          <w:sz w:val="32"/>
          <w:szCs w:val="32"/>
        </w:rPr>
        <w:t>；经营收入</w:t>
      </w:r>
      <w:r>
        <w:rPr>
          <w:rFonts w:ascii="仿宋_GB2312" w:hAnsi="仿宋" w:eastAsia="仿宋_GB2312"/>
          <w:sz w:val="32"/>
          <w:szCs w:val="32"/>
        </w:rPr>
        <w:t>0</w:t>
      </w:r>
      <w:r>
        <w:rPr>
          <w:rFonts w:hint="eastAsia" w:ascii="仿宋_GB2312" w:hAnsi="仿宋" w:eastAsia="仿宋_GB2312"/>
          <w:sz w:val="32"/>
          <w:szCs w:val="32"/>
        </w:rPr>
        <w:t>万元，占</w:t>
      </w:r>
      <w:r>
        <w:rPr>
          <w:rFonts w:ascii="仿宋_GB2312" w:hAnsi="仿宋" w:eastAsia="仿宋_GB2312"/>
          <w:sz w:val="32"/>
          <w:szCs w:val="32"/>
        </w:rPr>
        <w:t>0%</w:t>
      </w:r>
      <w:r>
        <w:rPr>
          <w:rFonts w:hint="eastAsia" w:ascii="仿宋_GB2312" w:hAnsi="仿宋" w:eastAsia="仿宋_GB2312"/>
          <w:sz w:val="32"/>
          <w:szCs w:val="32"/>
        </w:rPr>
        <w:t>；附属单位上缴收入</w:t>
      </w:r>
      <w:r>
        <w:rPr>
          <w:rFonts w:ascii="仿宋_GB2312" w:hAnsi="仿宋" w:eastAsia="仿宋_GB2312"/>
          <w:sz w:val="32"/>
          <w:szCs w:val="32"/>
        </w:rPr>
        <w:t>0</w:t>
      </w:r>
      <w:r>
        <w:rPr>
          <w:rFonts w:hint="eastAsia" w:ascii="仿宋_GB2312" w:hAnsi="仿宋" w:eastAsia="仿宋_GB2312"/>
          <w:sz w:val="32"/>
          <w:szCs w:val="32"/>
        </w:rPr>
        <w:t>万元，占</w:t>
      </w:r>
      <w:r>
        <w:rPr>
          <w:rFonts w:ascii="仿宋_GB2312" w:hAnsi="仿宋" w:eastAsia="仿宋_GB2312"/>
          <w:sz w:val="32"/>
          <w:szCs w:val="32"/>
        </w:rPr>
        <w:t>0%</w:t>
      </w:r>
      <w:r>
        <w:rPr>
          <w:rFonts w:hint="eastAsia" w:ascii="仿宋_GB2312" w:hAnsi="仿宋" w:eastAsia="仿宋_GB2312"/>
          <w:sz w:val="32"/>
          <w:szCs w:val="32"/>
        </w:rPr>
        <w:t>；其他收入</w:t>
      </w:r>
      <w:r>
        <w:rPr>
          <w:rFonts w:ascii="仿宋_GB2312" w:hAnsi="仿宋" w:eastAsia="仿宋_GB2312"/>
          <w:sz w:val="32"/>
          <w:szCs w:val="32"/>
        </w:rPr>
        <w:t>0</w:t>
      </w:r>
      <w:r>
        <w:rPr>
          <w:rFonts w:hint="eastAsia" w:ascii="仿宋_GB2312" w:hAnsi="仿宋" w:eastAsia="仿宋_GB2312"/>
          <w:sz w:val="32"/>
          <w:szCs w:val="32"/>
        </w:rPr>
        <w:t>万元，占</w:t>
      </w:r>
      <w:r>
        <w:rPr>
          <w:rFonts w:ascii="仿宋_GB2312" w:hAnsi="仿宋" w:eastAsia="仿宋_GB2312"/>
          <w:sz w:val="32"/>
          <w:szCs w:val="32"/>
        </w:rPr>
        <w:t>0%</w:t>
      </w:r>
      <w:r>
        <w:rPr>
          <w:rFonts w:hint="eastAsia" w:ascii="仿宋_GB2312" w:hAnsi="仿宋" w:eastAsia="仿宋_GB2312"/>
          <w:sz w:val="32"/>
          <w:szCs w:val="32"/>
        </w:rPr>
        <w:t>。</w:t>
      </w:r>
    </w:p>
    <w:p w14:paraId="19BBD026">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（注：数据来源于财决</w:t>
      </w:r>
      <w:r>
        <w:rPr>
          <w:rFonts w:ascii="仿宋_GB2312" w:hAnsi="仿宋" w:eastAsia="仿宋_GB2312"/>
          <w:sz w:val="32"/>
          <w:szCs w:val="32"/>
        </w:rPr>
        <w:t>01</w:t>
      </w:r>
      <w:r>
        <w:rPr>
          <w:rFonts w:hint="eastAsia" w:ascii="仿宋_GB2312" w:hAnsi="仿宋" w:eastAsia="仿宋_GB2312"/>
          <w:sz w:val="32"/>
          <w:szCs w:val="32"/>
        </w:rPr>
        <w:t>表，仅罗列本部门涉及的收入。）</w:t>
      </w:r>
    </w:p>
    <w:p w14:paraId="12730E37">
      <w:pPr>
        <w:spacing w:line="560" w:lineRule="exact"/>
        <w:ind w:firstLine="640" w:firstLineChars="20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2</w:t>
      </w:r>
      <w:r>
        <w:rPr>
          <w:rFonts w:hint="eastAsia" w:ascii="仿宋" w:hAnsi="仿宋" w:eastAsia="仿宋"/>
          <w:sz w:val="32"/>
          <w:szCs w:val="32"/>
        </w:rPr>
        <w:t>：收入决算结构图）（饼状图）</w:t>
      </w:r>
    </w:p>
    <w:p w14:paraId="7B806198">
      <w:pPr>
        <w:pStyle w:val="2"/>
        <w:spacing w:before="93"/>
      </w:pPr>
      <w:r>
        <w:pict>
          <v:shape id="_x0000_i1026" o:spt="75" type="#_x0000_t75" style="height:193.3pt;width:412.55pt;" filled="f" o:preferrelative="t" stroked="f" coordsize="21600,21600">
            <v:path/>
            <v:fill on="f" focussize="0,0"/>
            <v:stroke on="f" joinstyle="miter"/>
            <v:imagedata r:id="rId7" o:title=""/>
            <o:lock v:ext="edit" aspectratio="t"/>
            <w10:wrap type="none"/>
            <w10:anchorlock/>
          </v:shape>
        </w:pict>
      </w:r>
    </w:p>
    <w:p w14:paraId="72E70B69">
      <w:pPr>
        <w:pStyle w:val="2"/>
        <w:spacing w:before="93"/>
      </w:pPr>
    </w:p>
    <w:p w14:paraId="70F79375">
      <w:pPr>
        <w:pStyle w:val="28"/>
        <w:numPr>
          <w:ilvl w:val="0"/>
          <w:numId w:val="1"/>
        </w:numPr>
        <w:spacing w:line="560" w:lineRule="exact"/>
        <w:ind w:firstLineChars="0"/>
        <w:outlineLvl w:val="1"/>
        <w:rPr>
          <w:rStyle w:val="18"/>
          <w:rFonts w:ascii="黑体" w:hAnsi="黑体" w:eastAsia="黑体"/>
          <w:b w:val="0"/>
        </w:rPr>
      </w:pPr>
      <w:bookmarkStart w:id="28" w:name="_Toc15396605"/>
      <w:bookmarkStart w:id="29" w:name="_Toc15377207"/>
      <w:r>
        <w:rPr>
          <w:rFonts w:hint="eastAsia" w:ascii="黑体" w:hAnsi="黑体" w:eastAsia="黑体"/>
          <w:sz w:val="32"/>
          <w:szCs w:val="32"/>
        </w:rPr>
        <w:t>支</w:t>
      </w:r>
      <w:r>
        <w:rPr>
          <w:rStyle w:val="18"/>
          <w:rFonts w:hint="eastAsia" w:ascii="黑体" w:hAnsi="黑体" w:eastAsia="黑体"/>
          <w:b w:val="0"/>
        </w:rPr>
        <w:t>出决算情况说明</w:t>
      </w:r>
      <w:bookmarkEnd w:id="28"/>
      <w:bookmarkEnd w:id="29"/>
    </w:p>
    <w:p w14:paraId="3DFA0B02">
      <w:pPr>
        <w:spacing w:line="560" w:lineRule="exact"/>
        <w:ind w:firstLine="640" w:firstLineChars="200"/>
        <w:outlineLvl w:val="1"/>
        <w:rPr>
          <w:rFonts w:ascii="仿宋_GB2312" w:hAnsi="仿宋" w:eastAsia="仿宋_GB2312"/>
          <w:sz w:val="32"/>
          <w:szCs w:val="32"/>
        </w:rPr>
      </w:pPr>
      <w:r>
        <w:rPr>
          <w:rFonts w:hint="eastAsia" w:ascii="仿宋_GB2312" w:hAnsi="仿宋" w:eastAsia="仿宋_GB2312"/>
          <w:sz w:val="32"/>
          <w:szCs w:val="32"/>
        </w:rPr>
        <w:t>2021年本年支出合计323.72万元，其中：基本支出204.28万元，占73.70%；项目支出119.44万元，占26.3%；上缴上级支出0万元，占0%；经营支出0万元，占0%；对附属单位补助支出0万元，占0%。</w:t>
      </w:r>
    </w:p>
    <w:p w14:paraId="37F0D63A">
      <w:pPr>
        <w:spacing w:line="560" w:lineRule="exact"/>
        <w:ind w:firstLine="643" w:firstLineChars="200"/>
        <w:outlineLvl w:val="1"/>
        <w:rPr>
          <w:rFonts w:ascii="仿宋_GB2312" w:hAnsi="仿宋" w:eastAsia="仿宋_GB2312"/>
          <w:b/>
          <w:sz w:val="32"/>
          <w:szCs w:val="32"/>
        </w:rPr>
      </w:pPr>
      <w:r>
        <w:rPr>
          <w:rFonts w:hint="eastAsia" w:ascii="仿宋_GB2312" w:hAnsi="仿宋" w:eastAsia="仿宋_GB2312"/>
          <w:b/>
          <w:sz w:val="32"/>
          <w:szCs w:val="32"/>
        </w:rPr>
        <w:t>（注：数据来源于财决04表，仅罗列本部门涉及的支出。）</w:t>
      </w:r>
    </w:p>
    <w:p w14:paraId="6F49CC21">
      <w:pPr>
        <w:spacing w:line="560" w:lineRule="exact"/>
        <w:ind w:firstLine="640" w:firstLineChars="200"/>
        <w:rPr>
          <w:rFonts w:ascii="仿宋" w:hAnsi="仿宋" w:eastAsia="仿宋"/>
          <w:sz w:val="32"/>
          <w:szCs w:val="32"/>
        </w:rPr>
      </w:pPr>
    </w:p>
    <w:p w14:paraId="51091577">
      <w:pPr>
        <w:spacing w:line="560" w:lineRule="exact"/>
        <w:ind w:firstLine="640" w:firstLineChars="200"/>
        <w:rPr>
          <w:rFonts w:ascii="仿宋" w:hAnsi="仿宋" w:eastAsia="仿宋"/>
          <w:sz w:val="32"/>
          <w:szCs w:val="32"/>
        </w:rPr>
      </w:pPr>
    </w:p>
    <w:p w14:paraId="346125E7">
      <w:pPr>
        <w:spacing w:line="560" w:lineRule="exact"/>
        <w:ind w:firstLine="640" w:firstLineChars="200"/>
        <w:rPr>
          <w:rFonts w:ascii="仿宋" w:hAnsi="仿宋" w:eastAsia="仿宋"/>
          <w:sz w:val="32"/>
          <w:szCs w:val="32"/>
        </w:rPr>
      </w:pPr>
    </w:p>
    <w:p w14:paraId="079CF39E">
      <w:pPr>
        <w:spacing w:line="560" w:lineRule="exact"/>
        <w:ind w:firstLine="640" w:firstLineChars="200"/>
        <w:rPr>
          <w:rFonts w:ascii="仿宋" w:hAnsi="仿宋" w:eastAsia="仿宋"/>
          <w:sz w:val="32"/>
          <w:szCs w:val="32"/>
        </w:rPr>
      </w:pPr>
    </w:p>
    <w:p w14:paraId="40BA84E6">
      <w:pPr>
        <w:spacing w:line="560" w:lineRule="exact"/>
        <w:ind w:firstLine="640" w:firstLineChars="200"/>
        <w:rPr>
          <w:rFonts w:ascii="仿宋" w:hAnsi="仿宋" w:eastAsia="仿宋"/>
          <w:sz w:val="32"/>
          <w:szCs w:val="32"/>
        </w:rPr>
      </w:pPr>
    </w:p>
    <w:p w14:paraId="7A14E7BB">
      <w:pPr>
        <w:spacing w:line="560" w:lineRule="exact"/>
        <w:ind w:firstLine="640" w:firstLineChars="200"/>
        <w:rPr>
          <w:rFonts w:ascii="仿宋" w:hAnsi="仿宋" w:eastAsia="仿宋"/>
          <w:sz w:val="32"/>
          <w:szCs w:val="32"/>
        </w:rPr>
      </w:pPr>
    </w:p>
    <w:p w14:paraId="15BF309B">
      <w:pPr>
        <w:pStyle w:val="2"/>
        <w:spacing w:before="93"/>
      </w:pPr>
    </w:p>
    <w:p w14:paraId="63E58A2C">
      <w:pPr>
        <w:spacing w:line="560" w:lineRule="exact"/>
        <w:ind w:firstLine="640" w:firstLineChars="20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3</w:t>
      </w:r>
      <w:r>
        <w:rPr>
          <w:rFonts w:hint="eastAsia" w:ascii="仿宋" w:hAnsi="仿宋" w:eastAsia="仿宋"/>
          <w:sz w:val="32"/>
          <w:szCs w:val="32"/>
        </w:rPr>
        <w:t>：支出决算结构图）（饼状图）</w:t>
      </w:r>
    </w:p>
    <w:p w14:paraId="7319DC81">
      <w:pPr>
        <w:pStyle w:val="2"/>
        <w:spacing w:before="93"/>
      </w:pPr>
      <w:r>
        <w:pict>
          <v:shape id="_x0000_i1027" o:spt="75" type="#_x0000_t75" style="height:246.5pt;width:413.2pt;" filled="f" o:preferrelative="t" stroked="f" coordsize="21600,21600">
            <v:path/>
            <v:fill on="f" focussize="0,0"/>
            <v:stroke on="f" joinstyle="miter"/>
            <v:imagedata r:id="rId8" o:title=""/>
            <o:lock v:ext="edit" aspectratio="t"/>
            <w10:wrap type="none"/>
            <w10:anchorlock/>
          </v:shape>
        </w:pict>
      </w:r>
    </w:p>
    <w:p w14:paraId="469D2B94">
      <w:pPr>
        <w:pStyle w:val="2"/>
        <w:spacing w:before="93"/>
      </w:pPr>
    </w:p>
    <w:p w14:paraId="7F9F6092">
      <w:pPr>
        <w:spacing w:line="560" w:lineRule="exact"/>
        <w:ind w:firstLine="640" w:firstLineChars="200"/>
        <w:outlineLvl w:val="1"/>
        <w:rPr>
          <w:rStyle w:val="18"/>
          <w:rFonts w:ascii="黑体" w:hAnsi="黑体" w:eastAsia="黑体"/>
          <w:b w:val="0"/>
        </w:rPr>
      </w:pPr>
      <w:bookmarkStart w:id="30" w:name="_Toc15396606"/>
      <w:bookmarkStart w:id="31" w:name="_Toc15377208"/>
      <w:r>
        <w:rPr>
          <w:rFonts w:hint="eastAsia" w:ascii="黑体" w:hAnsi="黑体" w:eastAsia="黑体"/>
          <w:sz w:val="32"/>
          <w:szCs w:val="32"/>
        </w:rPr>
        <w:t>四、财</w:t>
      </w:r>
      <w:r>
        <w:rPr>
          <w:rStyle w:val="18"/>
          <w:rFonts w:hint="eastAsia" w:ascii="黑体" w:hAnsi="黑体" w:eastAsia="黑体"/>
          <w:b w:val="0"/>
        </w:rPr>
        <w:t>政拨款收入支出决算总体情况说明</w:t>
      </w:r>
      <w:bookmarkEnd w:id="30"/>
      <w:bookmarkEnd w:id="31"/>
    </w:p>
    <w:p w14:paraId="3B603449">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2021年财政拨款收、支总计323.72万元。与2020年相比，财政拨款收、支总计增加33.49万元，增长11.54%。主要变动原因是正常增加。</w:t>
      </w:r>
    </w:p>
    <w:p w14:paraId="34DF7C14">
      <w:pPr>
        <w:spacing w:line="56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（注：数据来源于财决01-1表）</w:t>
      </w:r>
    </w:p>
    <w:p w14:paraId="4AAC95BF">
      <w:pPr>
        <w:spacing w:line="560" w:lineRule="exact"/>
        <w:ind w:firstLine="425" w:firstLineChars="133"/>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4</w:t>
      </w:r>
      <w:r>
        <w:rPr>
          <w:rFonts w:hint="eastAsia" w:ascii="仿宋" w:hAnsi="仿宋" w:eastAsia="仿宋"/>
          <w:sz w:val="32"/>
          <w:szCs w:val="32"/>
        </w:rPr>
        <w:t>：财政拨款收、支决算总计变动情况）（柱状图）</w:t>
      </w:r>
    </w:p>
    <w:p w14:paraId="44D40D4A">
      <w:pPr>
        <w:pStyle w:val="2"/>
        <w:spacing w:before="93"/>
      </w:pPr>
      <w:r>
        <w:pict>
          <v:shape id="_x0000_i1028" o:spt="75" type="#_x0000_t75" style="height:200.45pt;width:414.5pt;" filled="f" o:preferrelative="t" stroked="f" coordsize="21600,21600">
            <v:path/>
            <v:fill on="f" focussize="0,0"/>
            <v:stroke on="f" joinstyle="miter"/>
            <v:imagedata r:id="rId6" o:title=""/>
            <o:lock v:ext="edit" aspectratio="t"/>
            <w10:wrap type="none"/>
            <w10:anchorlock/>
          </v:shape>
        </w:pict>
      </w:r>
    </w:p>
    <w:p w14:paraId="3FD203E3">
      <w:pPr>
        <w:spacing w:line="600" w:lineRule="exact"/>
        <w:ind w:firstLine="640" w:firstLineChars="200"/>
        <w:outlineLvl w:val="1"/>
        <w:rPr>
          <w:rStyle w:val="18"/>
          <w:rFonts w:ascii="黑体" w:hAnsi="黑体" w:eastAsia="黑体"/>
          <w:b w:val="0"/>
        </w:rPr>
      </w:pPr>
      <w:bookmarkStart w:id="32" w:name="_Toc15396607"/>
      <w:bookmarkStart w:id="33" w:name="_Toc15377209"/>
      <w:r>
        <w:rPr>
          <w:rFonts w:hint="eastAsia" w:ascii="黑体" w:hAnsi="黑体" w:eastAsia="黑体"/>
          <w:sz w:val="32"/>
          <w:szCs w:val="32"/>
        </w:rPr>
        <w:t>五、</w:t>
      </w:r>
      <w:r>
        <w:rPr>
          <w:rFonts w:hint="eastAsia" w:ascii="黑体" w:hAnsi="黑体" w:eastAsia="黑体"/>
          <w:b/>
          <w:sz w:val="32"/>
          <w:szCs w:val="32"/>
        </w:rPr>
        <w:t>一</w:t>
      </w:r>
      <w:r>
        <w:rPr>
          <w:rStyle w:val="18"/>
          <w:rFonts w:hint="eastAsia" w:ascii="黑体" w:hAnsi="黑体" w:eastAsia="黑体"/>
          <w:b w:val="0"/>
        </w:rPr>
        <w:t>般公共预算财政拨款支出决算情况说明</w:t>
      </w:r>
      <w:bookmarkEnd w:id="32"/>
      <w:bookmarkEnd w:id="33"/>
    </w:p>
    <w:p w14:paraId="2BC1D4B1">
      <w:pPr>
        <w:spacing w:line="560" w:lineRule="exact"/>
        <w:ind w:firstLine="640" w:firstLineChars="200"/>
        <w:outlineLvl w:val="2"/>
        <w:rPr>
          <w:rFonts w:ascii="楷体" w:hAnsi="楷体" w:eastAsia="楷体"/>
          <w:sz w:val="32"/>
          <w:szCs w:val="32"/>
        </w:rPr>
      </w:pPr>
      <w:bookmarkStart w:id="34" w:name="_Toc15377210"/>
      <w:r>
        <w:rPr>
          <w:rFonts w:hint="eastAsia" w:ascii="楷体" w:hAnsi="楷体" w:eastAsia="楷体"/>
          <w:sz w:val="32"/>
          <w:szCs w:val="32"/>
        </w:rPr>
        <w:t>（一）一般公共预算财政拨款支出决算总体情况</w:t>
      </w:r>
      <w:bookmarkEnd w:id="34"/>
    </w:p>
    <w:p w14:paraId="007D8130">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2021年一般公共预算财政拨款支出323.72万元，占本年支出合计的100%。与2020年相比，一般公共预算财政拨款支出增加33.49万元，增长11.54%。主要变动原因是正常增加。</w:t>
      </w:r>
    </w:p>
    <w:p w14:paraId="03F5A824">
      <w:pPr>
        <w:spacing w:line="600" w:lineRule="exact"/>
        <w:ind w:firstLine="640" w:firstLineChars="200"/>
        <w:rPr>
          <w:rFonts w:ascii="仿宋_GB2312" w:hAnsi="仿宋" w:eastAsia="仿宋_GB2312"/>
          <w:sz w:val="32"/>
          <w:szCs w:val="32"/>
        </w:rPr>
      </w:pPr>
      <w:r>
        <w:rPr>
          <w:rFonts w:hint="eastAsia" w:ascii="仿宋_GB2312" w:eastAsia="仿宋_GB2312"/>
          <w:sz w:val="32"/>
          <w:szCs w:val="32"/>
        </w:rPr>
        <w:t>（图5：一般公共预算财政拨款支出决算变动情况）（柱状图）</w:t>
      </w:r>
    </w:p>
    <w:p w14:paraId="13D65DA2">
      <w:pPr>
        <w:pStyle w:val="2"/>
        <w:spacing w:before="93"/>
      </w:pPr>
      <w:r>
        <w:pict>
          <v:shape id="_x0000_i1029" o:spt="75" type="#_x0000_t75" style="height:230.9pt;width:414.5pt;" filled="f" o:preferrelative="t" stroked="f" coordsize="21600,21600">
            <v:path/>
            <v:fill on="f" focussize="0,0"/>
            <v:stroke on="f" joinstyle="miter"/>
            <v:imagedata r:id="rId6" o:title=""/>
            <o:lock v:ext="edit" aspectratio="t"/>
            <w10:wrap type="none"/>
            <w10:anchorlock/>
          </v:shape>
        </w:pict>
      </w:r>
    </w:p>
    <w:p w14:paraId="61E7F0E2">
      <w:pPr>
        <w:spacing w:line="560" w:lineRule="exact"/>
        <w:ind w:firstLine="640" w:firstLineChars="200"/>
        <w:outlineLvl w:val="2"/>
        <w:rPr>
          <w:rFonts w:ascii="楷体" w:hAnsi="楷体" w:eastAsia="楷体"/>
          <w:sz w:val="32"/>
          <w:szCs w:val="32"/>
        </w:rPr>
      </w:pPr>
      <w:bookmarkStart w:id="35" w:name="_Toc15377211"/>
      <w:r>
        <w:rPr>
          <w:rFonts w:hint="eastAsia" w:ascii="楷体" w:hAnsi="楷体" w:eastAsia="楷体"/>
          <w:sz w:val="32"/>
          <w:szCs w:val="32"/>
        </w:rPr>
        <w:t>（二）一般公共预算财政拨款支出决算结构情况</w:t>
      </w:r>
      <w:bookmarkEnd w:id="35"/>
    </w:p>
    <w:p w14:paraId="5BE8E0B7">
      <w:pPr>
        <w:spacing w:line="560" w:lineRule="exact"/>
        <w:ind w:firstLine="640"/>
        <w:rPr>
          <w:rFonts w:ascii="仿宋_GB2312" w:hAnsi="仿宋" w:eastAsia="仿宋_GB2312"/>
          <w:sz w:val="32"/>
          <w:szCs w:val="32"/>
        </w:rPr>
      </w:pPr>
      <w:r>
        <w:rPr>
          <w:rFonts w:hint="eastAsia" w:ascii="仿宋_GB2312" w:hAnsi="仿宋" w:eastAsia="仿宋_GB2312"/>
          <w:sz w:val="32"/>
          <w:szCs w:val="32"/>
        </w:rPr>
        <w:t>2021年一般公共预算财政拨款支出323.72万元，主要用于以下方面:</w:t>
      </w:r>
      <w:r>
        <w:rPr>
          <w:rFonts w:hint="eastAsia" w:ascii="仿宋_GB2312" w:hAnsi="仿宋" w:eastAsia="仿宋_GB2312"/>
          <w:b/>
          <w:sz w:val="32"/>
          <w:szCs w:val="32"/>
        </w:rPr>
        <w:t>一般公共服务（类）</w:t>
      </w:r>
      <w:r>
        <w:rPr>
          <w:rFonts w:hint="eastAsia" w:ascii="仿宋_GB2312" w:hAnsi="仿宋" w:eastAsia="仿宋_GB2312"/>
          <w:sz w:val="32"/>
          <w:szCs w:val="32"/>
        </w:rPr>
        <w:t>支出273.91万元，占84.62%；</w:t>
      </w:r>
      <w:r>
        <w:rPr>
          <w:rFonts w:hint="eastAsia" w:ascii="仿宋_GB2312" w:hAnsi="仿宋" w:eastAsia="仿宋_GB2312"/>
          <w:b/>
          <w:sz w:val="32"/>
          <w:szCs w:val="32"/>
        </w:rPr>
        <w:t>社会保障和就业（类）</w:t>
      </w:r>
      <w:r>
        <w:rPr>
          <w:rFonts w:hint="eastAsia" w:ascii="仿宋_GB2312" w:hAnsi="仿宋" w:eastAsia="仿宋_GB2312"/>
          <w:sz w:val="32"/>
          <w:szCs w:val="32"/>
        </w:rPr>
        <w:t>支出17.13万元，占5.29%；</w:t>
      </w:r>
      <w:r>
        <w:rPr>
          <w:rFonts w:hint="eastAsia" w:ascii="仿宋_GB2312" w:hAnsi="仿宋" w:eastAsia="仿宋_GB2312"/>
          <w:b/>
          <w:bCs/>
          <w:sz w:val="32"/>
          <w:szCs w:val="32"/>
        </w:rPr>
        <w:t>卫生健康支出</w:t>
      </w:r>
      <w:r>
        <w:rPr>
          <w:rFonts w:hint="eastAsia" w:ascii="仿宋_GB2312" w:hAnsi="仿宋" w:eastAsia="仿宋_GB2312"/>
          <w:sz w:val="32"/>
          <w:szCs w:val="32"/>
        </w:rPr>
        <w:t>11.23万元，占3.49%；住房保障支出18.46万元，占5.7%；住房保障支出3万元，占0.90%；。</w:t>
      </w:r>
    </w:p>
    <w:p w14:paraId="2AF39000">
      <w:pPr>
        <w:spacing w:line="600" w:lineRule="exact"/>
        <w:ind w:firstLine="640"/>
        <w:rPr>
          <w:rFonts w:ascii="仿宋_GB2312" w:hAnsi="仿宋" w:eastAsia="仿宋_GB2312"/>
          <w:b/>
          <w:sz w:val="32"/>
          <w:szCs w:val="32"/>
        </w:rPr>
      </w:pPr>
      <w:r>
        <w:rPr>
          <w:rFonts w:hint="eastAsia" w:ascii="仿宋_GB2312" w:hAnsi="仿宋" w:eastAsia="仿宋_GB2312"/>
          <w:b/>
          <w:sz w:val="32"/>
          <w:szCs w:val="32"/>
        </w:rPr>
        <w:t>（注：数据来源于财决01-1表，仅罗列本部门涉及的全部功能分类科目，至类级。）</w:t>
      </w:r>
    </w:p>
    <w:p w14:paraId="0F97F408">
      <w:pPr>
        <w:spacing w:line="600" w:lineRule="exact"/>
        <w:rPr>
          <w:rFonts w:ascii="仿宋_GB2312" w:hAnsi="仿宋" w:eastAsia="仿宋_GB2312"/>
          <w:sz w:val="32"/>
          <w:szCs w:val="32"/>
        </w:rPr>
      </w:pPr>
      <w:r>
        <w:rPr>
          <w:rFonts w:hint="eastAsia" w:ascii="仿宋_GB2312" w:eastAsia="仿宋_GB2312"/>
          <w:sz w:val="32"/>
          <w:szCs w:val="32"/>
        </w:rPr>
        <w:t>（图6：一般公共预算财政拨款支出决算结构）（饼状图）</w:t>
      </w:r>
    </w:p>
    <w:p w14:paraId="49A5DF88">
      <w:pPr>
        <w:pStyle w:val="2"/>
        <w:spacing w:before="93"/>
      </w:pPr>
      <w:r>
        <w:pict>
          <v:shape id="_x0000_i1030" o:spt="75" type="#_x0000_t75" style="height:201.75pt;width:413.85pt;" filled="f" o:preferrelative="t" stroked="f" coordsize="21600,21600">
            <v:path/>
            <v:fill on="f" focussize="0,0"/>
            <v:stroke on="f" joinstyle="miter"/>
            <v:imagedata r:id="rId9" o:title=""/>
            <o:lock v:ext="edit" aspectratio="t"/>
            <w10:wrap type="none"/>
            <w10:anchorlock/>
          </v:shape>
        </w:pict>
      </w:r>
    </w:p>
    <w:p w14:paraId="4777D8F0">
      <w:pPr>
        <w:spacing w:line="560" w:lineRule="exact"/>
        <w:ind w:firstLine="480" w:firstLineChars="150"/>
        <w:outlineLvl w:val="2"/>
        <w:rPr>
          <w:rFonts w:ascii="楷体" w:hAnsi="楷体" w:eastAsia="楷体"/>
          <w:sz w:val="32"/>
          <w:szCs w:val="32"/>
        </w:rPr>
      </w:pPr>
      <w:bookmarkStart w:id="36" w:name="_Toc15377212"/>
      <w:r>
        <w:rPr>
          <w:rFonts w:hint="eastAsia" w:ascii="楷体" w:hAnsi="楷体" w:eastAsia="楷体"/>
          <w:sz w:val="32"/>
          <w:szCs w:val="32"/>
        </w:rPr>
        <w:t>（三）一般公共预算财政拨款支出决算具体情况</w:t>
      </w:r>
      <w:bookmarkEnd w:id="36"/>
    </w:p>
    <w:p w14:paraId="23B12BA0">
      <w:pPr>
        <w:spacing w:line="560" w:lineRule="exact"/>
        <w:ind w:firstLine="643" w:firstLineChars="200"/>
        <w:outlineLvl w:val="2"/>
        <w:rPr>
          <w:rFonts w:ascii="仿宋_GB2312" w:hAnsi="仿宋" w:eastAsia="仿宋_GB2312"/>
          <w:sz w:val="32"/>
          <w:szCs w:val="32"/>
        </w:rPr>
      </w:pPr>
      <w:bookmarkStart w:id="37" w:name="_Toc15378460"/>
      <w:bookmarkStart w:id="38" w:name="_Toc15377444"/>
      <w:bookmarkStart w:id="39" w:name="_Toc15377213"/>
      <w:r>
        <w:rPr>
          <w:rFonts w:hint="eastAsia" w:ascii="仿宋_GB2312" w:hAnsi="仿宋" w:eastAsia="仿宋_GB2312"/>
          <w:b/>
          <w:sz w:val="32"/>
          <w:szCs w:val="32"/>
        </w:rPr>
        <w:t>2021年一般公共预算支出决算数为323.72万元</w:t>
      </w:r>
      <w:r>
        <w:rPr>
          <w:rFonts w:hint="eastAsia" w:ascii="仿宋_GB2312" w:hAnsi="仿宋" w:eastAsia="仿宋_GB2312"/>
          <w:sz w:val="32"/>
          <w:szCs w:val="32"/>
        </w:rPr>
        <w:t>，</w:t>
      </w:r>
      <w:r>
        <w:rPr>
          <w:rStyle w:val="15"/>
          <w:rFonts w:hint="eastAsia" w:ascii="仿宋_GB2312" w:hAnsi="仿宋" w:eastAsia="仿宋_GB2312"/>
          <w:bCs/>
          <w:sz w:val="32"/>
          <w:szCs w:val="32"/>
        </w:rPr>
        <w:t>完成预算100%。其中：</w:t>
      </w:r>
      <w:bookmarkEnd w:id="37"/>
      <w:bookmarkEnd w:id="38"/>
      <w:bookmarkEnd w:id="39"/>
    </w:p>
    <w:p w14:paraId="40331379">
      <w:pPr>
        <w:spacing w:line="560" w:lineRule="exact"/>
        <w:ind w:firstLine="643" w:firstLineChars="200"/>
        <w:rPr>
          <w:rStyle w:val="15"/>
          <w:rFonts w:ascii="仿宋_GB2312" w:hAnsi="仿宋" w:eastAsia="仿宋_GB2312"/>
          <w:b w:val="0"/>
          <w:bCs/>
          <w:sz w:val="32"/>
          <w:szCs w:val="32"/>
        </w:rPr>
      </w:pPr>
      <w:r>
        <w:rPr>
          <w:rStyle w:val="15"/>
          <w:rFonts w:hint="eastAsia" w:ascii="仿宋_GB2312" w:hAnsi="仿宋" w:eastAsia="仿宋_GB2312"/>
          <w:bCs/>
          <w:sz w:val="32"/>
          <w:szCs w:val="32"/>
        </w:rPr>
        <w:t>1.一般公共服务（类）政府办公厅（室）及相关机构事务（款）行政运行（项）:</w:t>
      </w:r>
      <w:r>
        <w:rPr>
          <w:rStyle w:val="15"/>
          <w:rFonts w:hint="eastAsia" w:ascii="仿宋_GB2312" w:hAnsi="仿宋" w:eastAsia="仿宋_GB2312"/>
          <w:b w:val="0"/>
          <w:bCs/>
          <w:sz w:val="32"/>
          <w:szCs w:val="32"/>
        </w:rPr>
        <w:t>支出决算为52.06万元，完成预算100%，决算数等于预算数。</w:t>
      </w:r>
    </w:p>
    <w:p w14:paraId="2EFAD1B0">
      <w:pPr>
        <w:pStyle w:val="2"/>
        <w:spacing w:beforeLines="0" w:line="560" w:lineRule="exact"/>
        <w:ind w:firstLine="790" w:firstLineChars="246"/>
        <w:rPr>
          <w:rStyle w:val="15"/>
          <w:b w:val="0"/>
        </w:rPr>
      </w:pPr>
      <w:r>
        <w:rPr>
          <w:rStyle w:val="15"/>
          <w:rFonts w:hint="eastAsia" w:hAnsi="仿宋"/>
          <w:bCs/>
          <w:sz w:val="32"/>
          <w:szCs w:val="32"/>
        </w:rPr>
        <w:t>一般公共服务（类）政府办公厅（室）及相关机构事务（款）信访事务（项）:</w:t>
      </w:r>
      <w:r>
        <w:rPr>
          <w:rStyle w:val="15"/>
          <w:rFonts w:hint="eastAsia" w:hAnsi="仿宋"/>
          <w:b w:val="0"/>
          <w:bCs/>
          <w:sz w:val="32"/>
          <w:szCs w:val="32"/>
        </w:rPr>
        <w:t>支出决算为114.3万元，完成预算100%，决算数等于预算数。</w:t>
      </w:r>
    </w:p>
    <w:p w14:paraId="452B5449">
      <w:pPr>
        <w:pStyle w:val="2"/>
        <w:spacing w:beforeLines="0" w:line="560" w:lineRule="exact"/>
        <w:ind w:firstLine="790" w:firstLineChars="246"/>
      </w:pPr>
      <w:r>
        <w:rPr>
          <w:rStyle w:val="15"/>
          <w:rFonts w:hint="eastAsia" w:hAnsi="仿宋"/>
          <w:bCs/>
          <w:sz w:val="32"/>
          <w:szCs w:val="32"/>
        </w:rPr>
        <w:t>一般公共服务（类）政府办公厅（室）及相关机构事务（款）事业运行（项）:</w:t>
      </w:r>
      <w:r>
        <w:rPr>
          <w:rStyle w:val="15"/>
          <w:rFonts w:hint="eastAsia" w:hAnsi="仿宋"/>
          <w:b w:val="0"/>
          <w:bCs/>
          <w:sz w:val="32"/>
          <w:szCs w:val="32"/>
        </w:rPr>
        <w:t>支出决算为105.41万元，完成预算100%，决算数等于预算数。</w:t>
      </w:r>
    </w:p>
    <w:p w14:paraId="745630A2">
      <w:pPr>
        <w:pStyle w:val="2"/>
        <w:spacing w:beforeLines="0" w:line="560" w:lineRule="exact"/>
        <w:ind w:firstLine="790" w:firstLineChars="246"/>
      </w:pPr>
      <w:r>
        <w:rPr>
          <w:rStyle w:val="15"/>
          <w:rFonts w:hint="eastAsia" w:hAnsi="仿宋"/>
          <w:bCs/>
          <w:sz w:val="32"/>
          <w:szCs w:val="32"/>
        </w:rPr>
        <w:t>一般公共服务（类）政府办公厅（室）及相关机构事务（款）其他政府办公厅（室）及相关机构事务支出（项）:</w:t>
      </w:r>
      <w:r>
        <w:rPr>
          <w:rStyle w:val="15"/>
          <w:rFonts w:hint="eastAsia" w:hAnsi="仿宋"/>
          <w:b w:val="0"/>
          <w:bCs/>
          <w:sz w:val="32"/>
          <w:szCs w:val="32"/>
        </w:rPr>
        <w:t>支出决算为2.14万元，完成预算100%，决算数等于预算数</w:t>
      </w:r>
    </w:p>
    <w:p w14:paraId="1704ECF7">
      <w:pPr>
        <w:spacing w:line="560" w:lineRule="exact"/>
        <w:ind w:firstLine="643" w:firstLineChars="200"/>
        <w:rPr>
          <w:rStyle w:val="15"/>
          <w:rFonts w:ascii="仿宋_GB2312" w:hAnsi="仿宋" w:eastAsia="仿宋_GB2312"/>
          <w:b w:val="0"/>
          <w:bCs/>
          <w:sz w:val="32"/>
          <w:szCs w:val="32"/>
        </w:rPr>
      </w:pPr>
      <w:r>
        <w:rPr>
          <w:rStyle w:val="15"/>
          <w:rFonts w:hint="eastAsia" w:ascii="仿宋_GB2312" w:hAnsi="仿宋" w:eastAsia="仿宋_GB2312"/>
          <w:bCs/>
          <w:sz w:val="32"/>
          <w:szCs w:val="32"/>
        </w:rPr>
        <w:t>2.社会保障和就业（类）行政事业单位养老支出（款）机关事业单位基本养老保险缴费支出（项）:</w:t>
      </w:r>
      <w:r>
        <w:rPr>
          <w:rStyle w:val="15"/>
          <w:rFonts w:hint="eastAsia" w:ascii="仿宋_GB2312" w:hAnsi="仿宋" w:eastAsia="仿宋_GB2312"/>
          <w:b w:val="0"/>
          <w:bCs/>
          <w:sz w:val="32"/>
          <w:szCs w:val="32"/>
        </w:rPr>
        <w:t>支出决算为15.26万元，完成预算100%，决算数等于预算数。</w:t>
      </w:r>
    </w:p>
    <w:p w14:paraId="1DFEE0B8">
      <w:pPr>
        <w:pStyle w:val="2"/>
        <w:spacing w:beforeLines="0" w:line="560" w:lineRule="exact"/>
        <w:ind w:firstLine="630" w:firstLineChars="196"/>
      </w:pPr>
      <w:r>
        <w:rPr>
          <w:rStyle w:val="15"/>
          <w:rFonts w:hint="eastAsia" w:hAnsi="仿宋"/>
          <w:bCs/>
          <w:sz w:val="32"/>
          <w:szCs w:val="32"/>
        </w:rPr>
        <w:t>社会保障和就业（类）抚恤（款）  伤残抚恤（项）:</w:t>
      </w:r>
      <w:r>
        <w:rPr>
          <w:rStyle w:val="15"/>
          <w:rFonts w:hint="eastAsia" w:hAnsi="仿宋"/>
          <w:b w:val="0"/>
          <w:bCs/>
          <w:sz w:val="32"/>
          <w:szCs w:val="32"/>
        </w:rPr>
        <w:t>支出决算为1.87万元，完成预算100%，决算数等于预算数。</w:t>
      </w:r>
    </w:p>
    <w:p w14:paraId="1AA27FA1">
      <w:pPr>
        <w:spacing w:line="560" w:lineRule="exact"/>
        <w:ind w:firstLine="643" w:firstLineChars="200"/>
        <w:rPr>
          <w:rFonts w:ascii="仿宋_GB2312" w:hAnsi="仿宋" w:eastAsia="仿宋_GB2312"/>
          <w:b/>
          <w:sz w:val="32"/>
          <w:szCs w:val="32"/>
        </w:rPr>
      </w:pPr>
      <w:r>
        <w:rPr>
          <w:rStyle w:val="15"/>
          <w:rFonts w:hint="eastAsia" w:ascii="仿宋_GB2312" w:hAnsi="仿宋" w:eastAsia="仿宋_GB2312"/>
          <w:bCs/>
          <w:sz w:val="32"/>
          <w:szCs w:val="32"/>
        </w:rPr>
        <w:t>3.</w:t>
      </w:r>
      <w:r>
        <w:rPr>
          <w:rFonts w:hint="eastAsia" w:ascii="仿宋_GB2312" w:hAnsi="仿宋" w:eastAsia="仿宋_GB2312"/>
          <w:b/>
          <w:bCs/>
          <w:sz w:val="32"/>
          <w:szCs w:val="32"/>
        </w:rPr>
        <w:t>卫生健康</w:t>
      </w:r>
      <w:r>
        <w:rPr>
          <w:rStyle w:val="15"/>
          <w:rFonts w:hint="eastAsia" w:ascii="仿宋_GB2312" w:hAnsi="仿宋" w:eastAsia="仿宋_GB2312"/>
          <w:bCs/>
          <w:sz w:val="32"/>
          <w:szCs w:val="32"/>
        </w:rPr>
        <w:t>（类）行政事业单位医疗（款）行政单位医疗（项）:</w:t>
      </w:r>
      <w:r>
        <w:rPr>
          <w:rStyle w:val="15"/>
          <w:rFonts w:hint="eastAsia" w:ascii="仿宋_GB2312" w:hAnsi="仿宋" w:eastAsia="仿宋_GB2312"/>
          <w:b w:val="0"/>
          <w:bCs/>
          <w:sz w:val="32"/>
          <w:szCs w:val="32"/>
        </w:rPr>
        <w:t>支出决算为3.17万元，完成预算100%，决算数等于预算数。</w:t>
      </w:r>
    </w:p>
    <w:p w14:paraId="3779645F">
      <w:pPr>
        <w:spacing w:line="560" w:lineRule="exact"/>
        <w:ind w:firstLine="643" w:firstLineChars="200"/>
        <w:rPr>
          <w:rStyle w:val="15"/>
          <w:rFonts w:ascii="仿宋_GB2312" w:hAnsi="仿宋" w:eastAsia="仿宋_GB2312"/>
          <w:b w:val="0"/>
          <w:bCs/>
          <w:sz w:val="32"/>
          <w:szCs w:val="32"/>
        </w:rPr>
      </w:pPr>
      <w:r>
        <w:rPr>
          <w:rFonts w:hint="eastAsia" w:ascii="仿宋_GB2312" w:hAnsi="仿宋" w:eastAsia="仿宋_GB2312"/>
          <w:b/>
          <w:bCs/>
          <w:sz w:val="32"/>
          <w:szCs w:val="32"/>
        </w:rPr>
        <w:t>卫生健康</w:t>
      </w:r>
      <w:r>
        <w:rPr>
          <w:rStyle w:val="15"/>
          <w:rFonts w:hint="eastAsia" w:ascii="仿宋_GB2312" w:hAnsi="仿宋" w:eastAsia="仿宋_GB2312"/>
          <w:bCs/>
          <w:sz w:val="32"/>
          <w:szCs w:val="32"/>
        </w:rPr>
        <w:t>（类）行政事业单位医疗（款）事业单位医疗（项）:</w:t>
      </w:r>
      <w:r>
        <w:rPr>
          <w:rStyle w:val="15"/>
          <w:rFonts w:hint="eastAsia" w:ascii="仿宋_GB2312" w:hAnsi="仿宋" w:eastAsia="仿宋_GB2312"/>
          <w:b w:val="0"/>
          <w:bCs/>
          <w:sz w:val="32"/>
          <w:szCs w:val="32"/>
        </w:rPr>
        <w:t>支出决算为7.14万元，完成预算100%，决算数等于预算数。</w:t>
      </w:r>
    </w:p>
    <w:p w14:paraId="7ABD27B2">
      <w:pPr>
        <w:spacing w:line="560" w:lineRule="exact"/>
        <w:ind w:firstLine="643" w:firstLineChars="200"/>
        <w:rPr>
          <w:rStyle w:val="15"/>
          <w:rFonts w:ascii="仿宋_GB2312" w:hAnsi="仿宋" w:eastAsia="仿宋_GB2312"/>
          <w:b w:val="0"/>
          <w:bCs/>
          <w:sz w:val="32"/>
          <w:szCs w:val="32"/>
        </w:rPr>
      </w:pPr>
      <w:r>
        <w:rPr>
          <w:rFonts w:hint="eastAsia" w:ascii="仿宋_GB2312" w:hAnsi="仿宋" w:eastAsia="仿宋_GB2312"/>
          <w:b/>
          <w:bCs/>
          <w:sz w:val="32"/>
          <w:szCs w:val="32"/>
        </w:rPr>
        <w:t>卫生健康</w:t>
      </w:r>
      <w:r>
        <w:rPr>
          <w:rStyle w:val="15"/>
          <w:rFonts w:hint="eastAsia" w:ascii="仿宋_GB2312" w:hAnsi="仿宋" w:eastAsia="仿宋_GB2312"/>
          <w:bCs/>
          <w:sz w:val="32"/>
          <w:szCs w:val="32"/>
        </w:rPr>
        <w:t>（类）行政事业单位医疗（款）公务员医疗补助（项）:</w:t>
      </w:r>
      <w:r>
        <w:rPr>
          <w:rStyle w:val="15"/>
          <w:rFonts w:hint="eastAsia" w:ascii="仿宋_GB2312" w:hAnsi="仿宋" w:eastAsia="仿宋_GB2312"/>
          <w:b w:val="0"/>
          <w:bCs/>
          <w:sz w:val="32"/>
          <w:szCs w:val="32"/>
        </w:rPr>
        <w:t>支出决算为0.91万元，完成预算100%，决算数等于预算数。</w:t>
      </w:r>
    </w:p>
    <w:p w14:paraId="1DA4A8C8">
      <w:pPr>
        <w:spacing w:line="560" w:lineRule="exact"/>
        <w:ind w:firstLine="420" w:firstLineChars="200"/>
        <w:rPr>
          <w:rStyle w:val="15"/>
          <w:rFonts w:ascii="仿宋_GB2312" w:hAnsi="仿宋" w:eastAsia="仿宋_GB2312"/>
          <w:b w:val="0"/>
          <w:bCs/>
          <w:sz w:val="32"/>
          <w:szCs w:val="32"/>
        </w:rPr>
      </w:pPr>
      <w:r>
        <w:rPr>
          <w:rFonts w:hint="eastAsia" w:ascii="仿宋_GB2312" w:eastAsia="仿宋_GB2312"/>
        </w:rPr>
        <w:t xml:space="preserve">    </w:t>
      </w:r>
      <w:r>
        <w:rPr>
          <w:rFonts w:hint="eastAsia" w:ascii="仿宋_GB2312" w:hAnsi="仿宋" w:eastAsia="仿宋_GB2312"/>
          <w:sz w:val="32"/>
          <w:szCs w:val="32"/>
        </w:rPr>
        <w:t xml:space="preserve"> 4.</w:t>
      </w:r>
      <w:r>
        <w:rPr>
          <w:rFonts w:hint="eastAsia" w:ascii="仿宋_GB2312" w:hAnsi="仿宋" w:eastAsia="仿宋_GB2312"/>
          <w:b/>
          <w:bCs/>
          <w:sz w:val="32"/>
          <w:szCs w:val="32"/>
        </w:rPr>
        <w:t>住房保障支出</w:t>
      </w:r>
      <w:r>
        <w:rPr>
          <w:rStyle w:val="15"/>
          <w:rFonts w:hint="eastAsia" w:ascii="仿宋_GB2312" w:hAnsi="仿宋" w:eastAsia="仿宋_GB2312"/>
          <w:bCs/>
          <w:sz w:val="32"/>
          <w:szCs w:val="32"/>
        </w:rPr>
        <w:t>（类）住房改革支出（款）住房公积金（项）:</w:t>
      </w:r>
      <w:r>
        <w:rPr>
          <w:rStyle w:val="15"/>
          <w:rFonts w:hint="eastAsia" w:ascii="仿宋_GB2312" w:hAnsi="仿宋" w:eastAsia="仿宋_GB2312"/>
          <w:b w:val="0"/>
          <w:bCs/>
          <w:sz w:val="32"/>
          <w:szCs w:val="32"/>
        </w:rPr>
        <w:t>支出决算为18.46万元，完成预算100%，决算数等于预算数。</w:t>
      </w:r>
    </w:p>
    <w:p w14:paraId="18FA06FF">
      <w:pPr>
        <w:spacing w:line="560" w:lineRule="exact"/>
        <w:ind w:firstLine="640" w:firstLineChars="200"/>
        <w:rPr>
          <w:rStyle w:val="15"/>
          <w:rFonts w:ascii="仿宋_GB2312" w:hAnsi="仿宋" w:eastAsia="仿宋_GB2312"/>
          <w:b w:val="0"/>
          <w:bCs/>
          <w:sz w:val="32"/>
          <w:szCs w:val="32"/>
        </w:rPr>
      </w:pPr>
      <w:r>
        <w:rPr>
          <w:rFonts w:hint="eastAsia" w:ascii="仿宋_GB2312" w:hAnsi="仿宋" w:eastAsia="仿宋_GB2312"/>
          <w:sz w:val="32"/>
          <w:szCs w:val="32"/>
        </w:rPr>
        <w:t>5.</w:t>
      </w:r>
      <w:r>
        <w:rPr>
          <w:rFonts w:hint="eastAsia" w:ascii="仿宋_GB2312" w:hAnsi="仿宋" w:eastAsia="仿宋_GB2312"/>
          <w:b/>
          <w:bCs/>
          <w:sz w:val="32"/>
          <w:szCs w:val="32"/>
        </w:rPr>
        <w:t>其他支出</w:t>
      </w:r>
      <w:r>
        <w:rPr>
          <w:rStyle w:val="15"/>
          <w:rFonts w:hint="eastAsia" w:ascii="仿宋_GB2312" w:hAnsi="仿宋" w:eastAsia="仿宋_GB2312"/>
          <w:bCs/>
          <w:sz w:val="32"/>
          <w:szCs w:val="32"/>
        </w:rPr>
        <w:t>（类）其他支出（款）其他支出（项）:</w:t>
      </w:r>
      <w:r>
        <w:rPr>
          <w:rStyle w:val="15"/>
          <w:rFonts w:hint="eastAsia" w:ascii="仿宋_GB2312" w:hAnsi="仿宋" w:eastAsia="仿宋_GB2312"/>
          <w:b w:val="0"/>
          <w:bCs/>
          <w:sz w:val="32"/>
          <w:szCs w:val="32"/>
        </w:rPr>
        <w:t>支出决算为18.46万元，完成预算100%，决算数等于预算数。</w:t>
      </w:r>
    </w:p>
    <w:p w14:paraId="6EA35469">
      <w:pPr>
        <w:spacing w:line="56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注：数据来源于财决01-1表和财决08表，仅罗列本部门涉及的全部功能分类科目，至项级。上述“预算”口径为调整预算数。增减变动原因为决算数&lt;项级&gt;和调整预算数&lt;项级&gt;比较，与预算数持平可以不写原因。）</w:t>
      </w:r>
    </w:p>
    <w:p w14:paraId="3856BEFE">
      <w:pPr>
        <w:tabs>
          <w:tab w:val="right" w:pos="8306"/>
        </w:tabs>
        <w:spacing w:line="560" w:lineRule="exact"/>
        <w:ind w:firstLine="640"/>
        <w:outlineLvl w:val="1"/>
        <w:rPr>
          <w:rStyle w:val="18"/>
        </w:rPr>
      </w:pPr>
      <w:bookmarkStart w:id="40" w:name="_Toc15396608"/>
      <w:bookmarkStart w:id="41"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18"/>
          <w:rFonts w:hint="eastAsia" w:ascii="黑体" w:hAnsi="黑体" w:eastAsia="黑体"/>
          <w:b w:val="0"/>
        </w:rPr>
        <w:t>般公共预算财政拨款基本支出决算情况说明</w:t>
      </w:r>
      <w:bookmarkEnd w:id="40"/>
      <w:bookmarkEnd w:id="41"/>
      <w:r>
        <w:rPr>
          <w:rStyle w:val="18"/>
          <w:rFonts w:ascii="黑体" w:hAnsi="黑体" w:eastAsia="黑体"/>
          <w:b w:val="0"/>
        </w:rPr>
        <w:tab/>
      </w:r>
    </w:p>
    <w:p w14:paraId="6C6E716A">
      <w:pPr>
        <w:spacing w:line="560" w:lineRule="exact"/>
        <w:ind w:firstLine="645"/>
        <w:rPr>
          <w:rFonts w:ascii="仿宋_GB2312" w:hAnsi="仿宋" w:eastAsia="仿宋_GB2312"/>
          <w:sz w:val="32"/>
          <w:szCs w:val="32"/>
        </w:rPr>
      </w:pPr>
      <w:r>
        <w:rPr>
          <w:rFonts w:hint="eastAsia" w:ascii="仿宋_GB2312" w:hAnsi="仿宋" w:eastAsia="仿宋_GB2312"/>
          <w:sz w:val="32"/>
          <w:szCs w:val="32"/>
        </w:rPr>
        <w:t>2021年一般公共预算财政拨款基本支出204.28万元，其中：</w:t>
      </w:r>
    </w:p>
    <w:p w14:paraId="2F52DD03">
      <w:pPr>
        <w:spacing w:line="560" w:lineRule="exact"/>
        <w:ind w:firstLine="645"/>
        <w:rPr>
          <w:rFonts w:ascii="仿宋_GB2312" w:hAnsi="仿宋" w:eastAsia="仿宋_GB2312"/>
          <w:sz w:val="32"/>
          <w:szCs w:val="32"/>
        </w:rPr>
      </w:pPr>
      <w:r>
        <w:rPr>
          <w:rFonts w:hint="eastAsia" w:ascii="仿宋_GB2312" w:hAnsi="仿宋" w:eastAsia="仿宋_GB2312"/>
          <w:sz w:val="32"/>
          <w:szCs w:val="32"/>
        </w:rPr>
        <w:t>人员经费188.8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仿宋_GB2312" w:hAnsi="仿宋" w:eastAsia="仿宋_GB2312"/>
          <w:sz w:val="32"/>
          <w:szCs w:val="32"/>
        </w:rPr>
        <w:br w:type="textWrapping"/>
      </w:r>
      <w:r>
        <w:rPr>
          <w:rFonts w:hint="eastAsia" w:ascii="仿宋_GB2312" w:hAnsi="仿宋" w:eastAsia="仿宋_GB2312"/>
          <w:sz w:val="32"/>
          <w:szCs w:val="32"/>
        </w:rPr>
        <w:t>　　公用经费15.48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69B4A58C">
      <w:pPr>
        <w:spacing w:line="560" w:lineRule="exact"/>
        <w:ind w:firstLine="645"/>
        <w:rPr>
          <w:rFonts w:ascii="仿宋_GB2312" w:hAnsi="仿宋" w:eastAsia="仿宋_GB2312"/>
          <w:b/>
          <w:sz w:val="32"/>
          <w:szCs w:val="32"/>
        </w:rPr>
      </w:pPr>
      <w:r>
        <w:rPr>
          <w:rFonts w:hint="eastAsia" w:ascii="仿宋_GB2312" w:hAnsi="仿宋" w:eastAsia="仿宋_GB2312"/>
          <w:b/>
          <w:sz w:val="32"/>
          <w:szCs w:val="32"/>
        </w:rPr>
        <w:t>（注：数据来源于财决07表和财决08-1表，仅罗列本部门实际支出涉及的经济分类科目。）</w:t>
      </w:r>
    </w:p>
    <w:p w14:paraId="5B7A5698">
      <w:pPr>
        <w:spacing w:line="560" w:lineRule="exact"/>
        <w:ind w:firstLine="640"/>
        <w:outlineLvl w:val="1"/>
        <w:rPr>
          <w:rStyle w:val="18"/>
          <w:rFonts w:ascii="黑体" w:hAnsi="黑体" w:eastAsia="黑体"/>
          <w:b w:val="0"/>
        </w:rPr>
      </w:pPr>
      <w:bookmarkStart w:id="42" w:name="_Toc15396609"/>
      <w:bookmarkStart w:id="43" w:name="_Toc15377215"/>
      <w:r>
        <w:rPr>
          <w:rFonts w:hint="eastAsia" w:ascii="黑体" w:eastAsia="黑体"/>
          <w:sz w:val="32"/>
          <w:szCs w:val="32"/>
        </w:rPr>
        <w:t>七、</w:t>
      </w:r>
      <w:r>
        <w:rPr>
          <w:rStyle w:val="18"/>
          <w:rFonts w:hint="eastAsia" w:ascii="黑体" w:hAnsi="黑体" w:eastAsia="黑体"/>
        </w:rPr>
        <w:t>“</w:t>
      </w:r>
      <w:r>
        <w:rPr>
          <w:rStyle w:val="18"/>
          <w:rFonts w:hint="eastAsia" w:ascii="黑体" w:hAnsi="黑体" w:eastAsia="黑体"/>
          <w:b w:val="0"/>
        </w:rPr>
        <w:t>三公”经费财政拨款支出决算情况说明</w:t>
      </w:r>
      <w:bookmarkEnd w:id="42"/>
      <w:bookmarkEnd w:id="43"/>
    </w:p>
    <w:p w14:paraId="1FCB9F66">
      <w:pPr>
        <w:spacing w:line="560" w:lineRule="exact"/>
        <w:ind w:firstLine="640"/>
        <w:outlineLvl w:val="2"/>
        <w:rPr>
          <w:rFonts w:ascii="仿宋_GB2312" w:hAnsi="仿宋" w:eastAsia="仿宋_GB2312"/>
          <w:b/>
          <w:sz w:val="32"/>
          <w:szCs w:val="32"/>
        </w:rPr>
      </w:pPr>
      <w:bookmarkStart w:id="44" w:name="_Toc15377216"/>
      <w:r>
        <w:rPr>
          <w:rFonts w:hint="eastAsia" w:ascii="仿宋_GB2312" w:hAnsi="仿宋" w:eastAsia="仿宋_GB2312"/>
          <w:b/>
          <w:sz w:val="32"/>
          <w:szCs w:val="32"/>
        </w:rPr>
        <w:t>（一）“三公”经费财政拨款支出决算总体情况说明</w:t>
      </w:r>
      <w:bookmarkEnd w:id="44"/>
    </w:p>
    <w:p w14:paraId="27517147">
      <w:pPr>
        <w:spacing w:line="560" w:lineRule="exact"/>
        <w:ind w:firstLine="640"/>
        <w:rPr>
          <w:rFonts w:ascii="仿宋_GB2312" w:hAnsi="仿宋" w:eastAsia="仿宋_GB2312"/>
          <w:sz w:val="32"/>
          <w:szCs w:val="32"/>
        </w:rPr>
      </w:pPr>
      <w:r>
        <w:rPr>
          <w:rFonts w:hint="eastAsia" w:ascii="仿宋_GB2312" w:hAnsi="仿宋" w:eastAsia="仿宋_GB2312"/>
          <w:sz w:val="32"/>
          <w:szCs w:val="32"/>
        </w:rPr>
        <w:t>2021年“三公”经费财政拨款支出决算为0.14万元，完成预算100%，决算数小于预算数的主要原因是压减支出。</w:t>
      </w:r>
    </w:p>
    <w:p w14:paraId="7777605E">
      <w:pPr>
        <w:spacing w:line="560" w:lineRule="exact"/>
        <w:ind w:firstLine="640"/>
        <w:rPr>
          <w:rFonts w:ascii="仿宋_GB2312" w:hAnsi="仿宋" w:eastAsia="仿宋_GB2312"/>
          <w:b/>
          <w:sz w:val="32"/>
          <w:szCs w:val="32"/>
        </w:rPr>
      </w:pPr>
      <w:r>
        <w:rPr>
          <w:rFonts w:hint="eastAsia" w:ascii="仿宋_GB2312" w:hAnsi="仿宋" w:eastAsia="仿宋_GB2312"/>
          <w:b/>
          <w:sz w:val="32"/>
          <w:szCs w:val="32"/>
        </w:rPr>
        <w:t>（注：上述“预算”口径为调整预算数。）</w:t>
      </w:r>
    </w:p>
    <w:p w14:paraId="6D272469">
      <w:pPr>
        <w:spacing w:line="560" w:lineRule="exact"/>
        <w:ind w:firstLine="640"/>
        <w:outlineLvl w:val="2"/>
        <w:rPr>
          <w:rFonts w:ascii="仿宋_GB2312" w:hAnsi="仿宋" w:eastAsia="仿宋_GB2312"/>
          <w:b/>
          <w:sz w:val="32"/>
          <w:szCs w:val="32"/>
        </w:rPr>
      </w:pPr>
      <w:bookmarkStart w:id="45" w:name="_Toc15377217"/>
      <w:r>
        <w:rPr>
          <w:rFonts w:hint="eastAsia" w:ascii="仿宋_GB2312" w:hAnsi="仿宋" w:eastAsia="仿宋_GB2312"/>
          <w:b/>
          <w:sz w:val="32"/>
          <w:szCs w:val="32"/>
        </w:rPr>
        <w:t>（二）“三公”经费财政拨款支出决算具体情况说明</w:t>
      </w:r>
      <w:bookmarkEnd w:id="45"/>
    </w:p>
    <w:p w14:paraId="0C9DCADC">
      <w:pPr>
        <w:spacing w:line="560" w:lineRule="exact"/>
        <w:ind w:firstLine="640"/>
        <w:rPr>
          <w:rFonts w:ascii="仿宋_GB2312" w:hAnsi="仿宋" w:eastAsia="仿宋_GB2312"/>
          <w:sz w:val="32"/>
          <w:szCs w:val="32"/>
        </w:rPr>
      </w:pPr>
      <w:r>
        <w:rPr>
          <w:rFonts w:hint="eastAsia" w:ascii="仿宋_GB2312" w:hAnsi="仿宋" w:eastAsia="仿宋_GB2312"/>
          <w:sz w:val="32"/>
          <w:szCs w:val="32"/>
        </w:rPr>
        <w:t>2021年“三公”经费财政拨款支出决算中，因公出国（境）费支出决算0万元，占0%；公务用车购置及运行维护费支出决算0万元，占0%；公务接待费支出决算0.14万元，占100%。具体情况如下：</w:t>
      </w:r>
    </w:p>
    <w:p w14:paraId="26202094">
      <w:pPr>
        <w:spacing w:line="600" w:lineRule="exact"/>
        <w:ind w:firstLine="640" w:firstLineChars="200"/>
        <w:rPr>
          <w:rFonts w:ascii="仿宋_GB2312" w:eastAsia="仿宋_GB2312"/>
          <w:sz w:val="32"/>
          <w:szCs w:val="32"/>
        </w:rPr>
      </w:pPr>
      <w:r>
        <w:rPr>
          <w:rFonts w:hint="eastAsia" w:ascii="仿宋_GB2312" w:eastAsia="仿宋_GB2312"/>
          <w:sz w:val="32"/>
          <w:szCs w:val="32"/>
        </w:rPr>
        <w:t>（图7：“三公”经费财政拨款支出结构）（饼状图）</w:t>
      </w:r>
    </w:p>
    <w:p w14:paraId="78A2381D">
      <w:pPr>
        <w:pStyle w:val="2"/>
        <w:spacing w:before="93"/>
      </w:pPr>
      <w:r>
        <w:pict>
          <v:shape id="_x0000_i1031" o:spt="75" type="#_x0000_t75" style="height:221.85pt;width:417.1pt;" filled="f" o:preferrelative="t" stroked="f" coordsize="21600,21600">
            <v:path/>
            <v:fill on="f" focussize="0,0"/>
            <v:stroke on="f" joinstyle="miter"/>
            <v:imagedata r:id="rId10" o:title=""/>
            <o:lock v:ext="edit" aspectratio="t"/>
            <w10:wrap type="none"/>
            <w10:anchorlock/>
          </v:shape>
        </w:pict>
      </w:r>
    </w:p>
    <w:p w14:paraId="6A7EAD76">
      <w:pPr>
        <w:spacing w:line="560" w:lineRule="exact"/>
        <w:ind w:firstLine="640"/>
        <w:rPr>
          <w:rFonts w:ascii="仿宋_GB2312" w:eastAsia="仿宋_GB2312"/>
          <w:b/>
          <w:sz w:val="32"/>
          <w:szCs w:val="32"/>
        </w:rPr>
      </w:pPr>
      <w:r>
        <w:rPr>
          <w:rFonts w:hint="eastAsia" w:ascii="仿宋_GB2312" w:eastAsia="仿宋_GB2312"/>
          <w:b/>
          <w:sz w:val="32"/>
          <w:szCs w:val="32"/>
        </w:rPr>
        <w:t>1.因公出国（境）经费支出</w:t>
      </w:r>
      <w:r>
        <w:rPr>
          <w:rFonts w:hint="eastAsia" w:ascii="仿宋_GB2312" w:eastAsia="仿宋_GB2312"/>
          <w:sz w:val="32"/>
          <w:szCs w:val="32"/>
        </w:rPr>
        <w:t>0万元，</w:t>
      </w:r>
      <w:r>
        <w:rPr>
          <w:rStyle w:val="15"/>
          <w:rFonts w:hint="eastAsia" w:ascii="仿宋_GB2312" w:hAnsi="仿宋" w:eastAsia="仿宋_GB2312"/>
          <w:b w:val="0"/>
          <w:bCs/>
          <w:sz w:val="32"/>
          <w:szCs w:val="32"/>
        </w:rPr>
        <w:t>完成预算0%。</w:t>
      </w:r>
      <w:r>
        <w:rPr>
          <w:rFonts w:hint="eastAsia" w:ascii="仿宋_GB2312" w:eastAsia="仿宋_GB2312"/>
          <w:sz w:val="32"/>
          <w:szCs w:val="32"/>
        </w:rPr>
        <w:t>全年安排因公出国（境）团组0次，出国（境）0人。因公出国（境）支出决算比2020年增加/减少0万元，增长/下降0%。主要原因。</w:t>
      </w:r>
    </w:p>
    <w:p w14:paraId="15DADFDD">
      <w:pPr>
        <w:spacing w:line="560" w:lineRule="exact"/>
        <w:ind w:firstLine="640"/>
        <w:rPr>
          <w:rFonts w:ascii="仿宋_GB2312" w:eastAsia="仿宋_GB2312"/>
          <w:sz w:val="32"/>
          <w:szCs w:val="32"/>
        </w:rPr>
      </w:pPr>
      <w:r>
        <w:rPr>
          <w:rFonts w:hint="eastAsia" w:ascii="仿宋_GB2312" w:eastAsia="仿宋_GB2312"/>
          <w:sz w:val="32"/>
          <w:szCs w:val="32"/>
        </w:rPr>
        <w:t>开支内容包括：（团组名称、出访地点、取得成效）等。</w:t>
      </w:r>
    </w:p>
    <w:p w14:paraId="09C4E212">
      <w:pPr>
        <w:spacing w:line="560" w:lineRule="exact"/>
        <w:ind w:firstLine="640"/>
        <w:rPr>
          <w:rFonts w:ascii="仿宋_GB2312" w:eastAsia="仿宋_GB2312"/>
          <w:b/>
          <w:sz w:val="32"/>
          <w:szCs w:val="32"/>
        </w:rPr>
      </w:pPr>
      <w:r>
        <w:rPr>
          <w:rFonts w:hint="eastAsia" w:ascii="仿宋_GB2312" w:eastAsia="仿宋_GB2312"/>
          <w:b/>
          <w:sz w:val="32"/>
          <w:szCs w:val="32"/>
        </w:rPr>
        <w:t>2.公务用车购置及运行维护费支出</w:t>
      </w:r>
      <w:r>
        <w:rPr>
          <w:rFonts w:hint="eastAsia" w:ascii="仿宋_GB2312" w:eastAsia="仿宋_GB2312"/>
          <w:sz w:val="32"/>
          <w:szCs w:val="32"/>
        </w:rPr>
        <w:t>0万元,</w:t>
      </w:r>
      <w:r>
        <w:rPr>
          <w:rStyle w:val="15"/>
          <w:rFonts w:hint="eastAsia" w:ascii="仿宋_GB2312" w:hAnsi="仿宋" w:eastAsia="仿宋_GB2312"/>
          <w:b w:val="0"/>
          <w:bCs/>
          <w:sz w:val="32"/>
          <w:szCs w:val="32"/>
        </w:rPr>
        <w:t>完成预算0%。</w:t>
      </w:r>
      <w:r>
        <w:rPr>
          <w:rFonts w:hint="eastAsia" w:ascii="仿宋_GB2312" w:eastAsia="仿宋_GB2312"/>
          <w:sz w:val="32"/>
          <w:szCs w:val="32"/>
        </w:rPr>
        <w:t>公务用车购置及运行维护费支出决算比2020年增加/减少0万元，增长/下降0%。主要原因是。</w:t>
      </w:r>
    </w:p>
    <w:p w14:paraId="2146E742">
      <w:pPr>
        <w:spacing w:line="56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rPr>
        <w:t>0万元。全年按规定更新购置公务用车0辆，其中：轿车0辆、金额0万元，越野车0辆、金额0万元，载客汽车0辆、金额0万元，主要用于。截至2021年12月底，单位共有公务用车0辆，其中：轿车0辆、越野车0辆、载客汽车0辆。</w:t>
      </w:r>
    </w:p>
    <w:p w14:paraId="7C2197FC">
      <w:pPr>
        <w:spacing w:line="56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rPr>
        <w:t>0万元。主要用于（具体工作）等所需的公务用车燃料费、维修费、过路过桥费、保险费等支出。</w:t>
      </w:r>
    </w:p>
    <w:p w14:paraId="1676A7A2">
      <w:pPr>
        <w:spacing w:line="560" w:lineRule="exact"/>
        <w:ind w:firstLine="640"/>
        <w:rPr>
          <w:rFonts w:ascii="仿宋_GB2312" w:eastAsia="仿宋_GB2312"/>
          <w:sz w:val="32"/>
          <w:szCs w:val="32"/>
        </w:rPr>
      </w:pPr>
      <w:r>
        <w:rPr>
          <w:rFonts w:hint="eastAsia" w:ascii="仿宋_GB2312" w:eastAsia="仿宋_GB2312"/>
          <w:b/>
          <w:sz w:val="32"/>
          <w:szCs w:val="32"/>
        </w:rPr>
        <w:t>3.公务接待费支出</w:t>
      </w:r>
      <w:r>
        <w:rPr>
          <w:rFonts w:hint="eastAsia" w:ascii="仿宋_GB2312" w:eastAsia="仿宋_GB2312"/>
          <w:sz w:val="32"/>
          <w:szCs w:val="32"/>
        </w:rPr>
        <w:t>0.14万元，</w:t>
      </w:r>
      <w:r>
        <w:rPr>
          <w:rStyle w:val="15"/>
          <w:rFonts w:hint="eastAsia" w:ascii="仿宋_GB2312" w:hAnsi="仿宋" w:eastAsia="仿宋_GB2312"/>
          <w:b w:val="0"/>
          <w:bCs/>
          <w:sz w:val="32"/>
          <w:szCs w:val="32"/>
        </w:rPr>
        <w:t>完成预算100%。</w:t>
      </w:r>
      <w:r>
        <w:rPr>
          <w:rFonts w:hint="eastAsia" w:ascii="仿宋_GB2312" w:eastAsia="仿宋_GB2312"/>
          <w:sz w:val="32"/>
          <w:szCs w:val="32"/>
        </w:rPr>
        <w:t>公务接待费支出决算比2020年增加0.08万元，增长130.51%。主要原因是正常增加。其中：</w:t>
      </w:r>
    </w:p>
    <w:p w14:paraId="38CAE44A">
      <w:pPr>
        <w:spacing w:line="560" w:lineRule="exact"/>
        <w:ind w:firstLine="640"/>
        <w:rPr>
          <w:rFonts w:ascii="仿宋_GB2312" w:eastAsia="仿宋_GB2312"/>
          <w:sz w:val="32"/>
          <w:szCs w:val="32"/>
        </w:rPr>
      </w:pPr>
      <w:r>
        <w:rPr>
          <w:rFonts w:hint="eastAsia" w:ascii="仿宋_GB2312" w:hAnsi="仿宋" w:eastAsia="仿宋_GB2312"/>
          <w:b/>
          <w:sz w:val="32"/>
          <w:szCs w:val="32"/>
        </w:rPr>
        <w:t>国内公务接待支出</w:t>
      </w:r>
      <w:r>
        <w:rPr>
          <w:rFonts w:hint="eastAsia" w:ascii="仿宋_GB2312" w:hAnsi="仿宋" w:eastAsia="仿宋_GB2312"/>
          <w:sz w:val="32"/>
          <w:szCs w:val="32"/>
        </w:rPr>
        <w:t>0.14</w:t>
      </w:r>
      <w:r>
        <w:rPr>
          <w:rFonts w:hint="eastAsia" w:ascii="仿宋_GB2312" w:eastAsia="仿宋_GB2312"/>
          <w:sz w:val="32"/>
          <w:szCs w:val="32"/>
        </w:rPr>
        <w:t>万元，主要用于开展业务活动开支的餐费。国内公务接待1批次，19人次（不包括陪同人员），共计支出0.14万元，具体内容包括：2021年11月3日，米易县政法委等相关部门到盐边交流信访事项依法分类处理事项，开支金额0.14万元。</w:t>
      </w:r>
    </w:p>
    <w:p w14:paraId="5D2FEC56">
      <w:pPr>
        <w:spacing w:line="560" w:lineRule="exact"/>
        <w:ind w:firstLine="643" w:firstLineChars="200"/>
        <w:rPr>
          <w:rFonts w:ascii="仿宋_GB2312" w:eastAsia="仿宋_GB2312"/>
          <w:sz w:val="32"/>
          <w:szCs w:val="32"/>
        </w:rPr>
      </w:pPr>
      <w:r>
        <w:rPr>
          <w:rFonts w:hint="eastAsia" w:ascii="仿宋_GB2312" w:hAnsi="仿宋" w:eastAsia="仿宋_GB2312"/>
          <w:b/>
          <w:sz w:val="32"/>
          <w:szCs w:val="32"/>
        </w:rPr>
        <w:t>外事接待支出</w:t>
      </w:r>
      <w:r>
        <w:rPr>
          <w:rFonts w:hint="eastAsia" w:ascii="仿宋_GB2312" w:hAnsi="仿宋" w:eastAsia="仿宋_GB2312"/>
          <w:sz w:val="32"/>
          <w:szCs w:val="32"/>
        </w:rPr>
        <w:t>0</w:t>
      </w:r>
      <w:r>
        <w:rPr>
          <w:rFonts w:hint="eastAsia" w:ascii="仿宋_GB2312" w:eastAsia="仿宋_GB2312"/>
          <w:sz w:val="32"/>
          <w:szCs w:val="32"/>
        </w:rPr>
        <w:t>万元，外事接待0批次，0人，共计支出0万元，主要用于接待（具体项目）。</w:t>
      </w:r>
    </w:p>
    <w:p w14:paraId="74DBBCE8">
      <w:pPr>
        <w:spacing w:line="560" w:lineRule="exact"/>
        <w:ind w:firstLine="640"/>
        <w:outlineLvl w:val="1"/>
        <w:rPr>
          <w:rStyle w:val="18"/>
          <w:rFonts w:ascii="黑体" w:hAnsi="黑体" w:eastAsia="黑体"/>
        </w:rPr>
      </w:pPr>
      <w:bookmarkStart w:id="46" w:name="_Toc15396610"/>
      <w:bookmarkStart w:id="47" w:name="_Toc15377218"/>
      <w:r>
        <w:rPr>
          <w:rFonts w:hint="eastAsia" w:ascii="黑体" w:eastAsia="黑体"/>
          <w:sz w:val="32"/>
          <w:szCs w:val="32"/>
        </w:rPr>
        <w:t>八、</w:t>
      </w:r>
      <w:r>
        <w:rPr>
          <w:rStyle w:val="18"/>
          <w:rFonts w:hint="eastAsia" w:ascii="黑体" w:hAnsi="黑体" w:eastAsia="黑体"/>
          <w:b w:val="0"/>
        </w:rPr>
        <w:t>政府性基金预算支出决算情况说明</w:t>
      </w:r>
      <w:bookmarkEnd w:id="46"/>
      <w:bookmarkEnd w:id="47"/>
    </w:p>
    <w:p w14:paraId="3941CFC1">
      <w:pPr>
        <w:spacing w:line="560" w:lineRule="exact"/>
        <w:ind w:firstLine="640"/>
        <w:rPr>
          <w:rFonts w:ascii="仿宋_GB2312" w:eastAsia="仿宋_GB2312"/>
          <w:sz w:val="32"/>
          <w:szCs w:val="32"/>
        </w:rPr>
      </w:pPr>
      <w:r>
        <w:rPr>
          <w:rFonts w:ascii="仿宋_GB2312" w:eastAsia="仿宋_GB2312"/>
          <w:sz w:val="32"/>
          <w:szCs w:val="32"/>
        </w:rPr>
        <w:t>2021</w:t>
      </w:r>
      <w:r>
        <w:rPr>
          <w:rFonts w:hint="eastAsia" w:ascii="仿宋_GB2312" w:eastAsia="仿宋_GB2312"/>
          <w:sz w:val="32"/>
          <w:szCs w:val="32"/>
        </w:rPr>
        <w:t>年政府性基金预算财政拨款支出</w:t>
      </w:r>
      <w:r>
        <w:rPr>
          <w:rFonts w:ascii="仿宋_GB2312" w:eastAsia="仿宋_GB2312"/>
          <w:sz w:val="32"/>
          <w:szCs w:val="32"/>
        </w:rPr>
        <w:t>0</w:t>
      </w:r>
      <w:r>
        <w:rPr>
          <w:rFonts w:hint="eastAsia" w:ascii="仿宋_GB2312" w:eastAsia="仿宋_GB2312"/>
          <w:sz w:val="32"/>
          <w:szCs w:val="32"/>
        </w:rPr>
        <w:t>万元。</w:t>
      </w:r>
    </w:p>
    <w:p w14:paraId="06ABFBD0">
      <w:pPr>
        <w:numPr>
          <w:ilvl w:val="0"/>
          <w:numId w:val="2"/>
        </w:numPr>
        <w:spacing w:line="560" w:lineRule="exact"/>
        <w:ind w:firstLine="640"/>
        <w:outlineLvl w:val="1"/>
        <w:rPr>
          <w:rStyle w:val="18"/>
          <w:rFonts w:ascii="黑体" w:hAnsi="黑体" w:eastAsia="黑体"/>
          <w:b w:val="0"/>
        </w:rPr>
      </w:pPr>
      <w:bookmarkStart w:id="48" w:name="_Toc15377219"/>
      <w:bookmarkStart w:id="49" w:name="_Toc15396611"/>
      <w:r>
        <w:rPr>
          <w:rStyle w:val="18"/>
          <w:rFonts w:hint="eastAsia" w:ascii="黑体" w:hAnsi="黑体" w:eastAsia="黑体"/>
          <w:b w:val="0"/>
        </w:rPr>
        <w:t>国有资本经营预算支出决算情况说明</w:t>
      </w:r>
      <w:bookmarkEnd w:id="48"/>
      <w:bookmarkEnd w:id="49"/>
    </w:p>
    <w:p w14:paraId="5F78D682">
      <w:pPr>
        <w:spacing w:line="560" w:lineRule="exact"/>
        <w:ind w:firstLine="640"/>
        <w:rPr>
          <w:rFonts w:ascii="仿宋_GB2312" w:eastAsia="仿宋_GB2312"/>
          <w:sz w:val="32"/>
          <w:szCs w:val="32"/>
        </w:rPr>
      </w:pPr>
      <w:r>
        <w:rPr>
          <w:rFonts w:ascii="仿宋_GB2312" w:eastAsia="仿宋_GB2312"/>
          <w:sz w:val="32"/>
          <w:szCs w:val="32"/>
        </w:rPr>
        <w:t>2021</w:t>
      </w:r>
      <w:r>
        <w:rPr>
          <w:rFonts w:hint="eastAsia" w:ascii="仿宋_GB2312" w:eastAsia="仿宋_GB2312"/>
          <w:sz w:val="32"/>
          <w:szCs w:val="32"/>
        </w:rPr>
        <w:t>年国有资本经营预算财政拨款支出</w:t>
      </w:r>
      <w:r>
        <w:rPr>
          <w:rFonts w:ascii="仿宋_GB2312" w:eastAsia="仿宋_GB2312"/>
          <w:sz w:val="32"/>
          <w:szCs w:val="32"/>
        </w:rPr>
        <w:t>0</w:t>
      </w:r>
      <w:r>
        <w:rPr>
          <w:rFonts w:hint="eastAsia" w:ascii="仿宋_GB2312" w:eastAsia="仿宋_GB2312"/>
          <w:sz w:val="32"/>
          <w:szCs w:val="32"/>
        </w:rPr>
        <w:t>万元。</w:t>
      </w:r>
    </w:p>
    <w:p w14:paraId="5B052399">
      <w:pPr>
        <w:numPr>
          <w:ilvl w:val="0"/>
          <w:numId w:val="2"/>
        </w:numPr>
        <w:spacing w:line="560" w:lineRule="exact"/>
        <w:ind w:firstLine="640"/>
        <w:outlineLvl w:val="1"/>
        <w:rPr>
          <w:rStyle w:val="18"/>
          <w:rFonts w:ascii="黑体" w:hAnsi="黑体" w:eastAsia="黑体"/>
          <w:b w:val="0"/>
        </w:rPr>
      </w:pPr>
      <w:bookmarkStart w:id="50" w:name="_Toc15377221"/>
      <w:bookmarkStart w:id="51" w:name="_Toc15396612"/>
      <w:r>
        <w:rPr>
          <w:rStyle w:val="18"/>
          <w:rFonts w:hint="eastAsia" w:ascii="黑体" w:hAnsi="黑体" w:eastAsia="黑体"/>
          <w:b w:val="0"/>
        </w:rPr>
        <w:t>其他重要事项的情况说明</w:t>
      </w:r>
      <w:bookmarkEnd w:id="50"/>
      <w:bookmarkEnd w:id="51"/>
    </w:p>
    <w:p w14:paraId="65F2E482">
      <w:pPr>
        <w:spacing w:line="560" w:lineRule="exact"/>
        <w:ind w:firstLine="640" w:firstLineChars="200"/>
        <w:outlineLvl w:val="2"/>
        <w:rPr>
          <w:rFonts w:ascii="楷体" w:hAnsi="楷体" w:eastAsia="楷体"/>
          <w:sz w:val="32"/>
          <w:szCs w:val="32"/>
        </w:rPr>
      </w:pPr>
      <w:bookmarkStart w:id="52" w:name="_Toc15377222"/>
      <w:r>
        <w:rPr>
          <w:rFonts w:hint="eastAsia" w:ascii="楷体" w:hAnsi="楷体" w:eastAsia="楷体"/>
          <w:sz w:val="32"/>
          <w:szCs w:val="32"/>
        </w:rPr>
        <w:t>（一）机关运行经费支出情况</w:t>
      </w:r>
      <w:bookmarkEnd w:id="52"/>
    </w:p>
    <w:p w14:paraId="622A5542">
      <w:pPr>
        <w:spacing w:line="560" w:lineRule="exact"/>
        <w:ind w:firstLine="640" w:firstLineChars="200"/>
        <w:rPr>
          <w:rFonts w:ascii="仿宋_GB2312" w:eastAsia="仿宋_GB2312"/>
          <w:sz w:val="32"/>
          <w:szCs w:val="32"/>
        </w:rPr>
      </w:pPr>
      <w:r>
        <w:rPr>
          <w:rFonts w:ascii="仿宋_GB2312" w:eastAsia="仿宋_GB2312"/>
          <w:sz w:val="32"/>
          <w:szCs w:val="32"/>
        </w:rPr>
        <w:t>2021</w:t>
      </w:r>
      <w:r>
        <w:rPr>
          <w:rFonts w:hint="eastAsia" w:ascii="仿宋_GB2312" w:eastAsia="仿宋_GB2312"/>
          <w:sz w:val="32"/>
          <w:szCs w:val="32"/>
        </w:rPr>
        <w:t>年，盐边县信访局机关运行经费支出</w:t>
      </w:r>
      <w:r>
        <w:rPr>
          <w:rFonts w:ascii="仿宋_GB2312" w:eastAsia="仿宋_GB2312"/>
          <w:sz w:val="32"/>
          <w:szCs w:val="32"/>
        </w:rPr>
        <w:t>15.48</w:t>
      </w:r>
      <w:r>
        <w:rPr>
          <w:rFonts w:hint="eastAsia" w:ascii="仿宋_GB2312" w:eastAsia="仿宋_GB2312"/>
          <w:sz w:val="32"/>
          <w:szCs w:val="32"/>
        </w:rPr>
        <w:t>万元，比</w:t>
      </w:r>
      <w:r>
        <w:rPr>
          <w:rFonts w:ascii="仿宋_GB2312" w:eastAsia="仿宋_GB2312"/>
          <w:sz w:val="32"/>
          <w:szCs w:val="32"/>
        </w:rPr>
        <w:t>2020</w:t>
      </w:r>
      <w:r>
        <w:rPr>
          <w:rFonts w:hint="eastAsia" w:ascii="仿宋_GB2312" w:eastAsia="仿宋_GB2312"/>
          <w:sz w:val="32"/>
          <w:szCs w:val="32"/>
        </w:rPr>
        <w:t>年增加</w:t>
      </w:r>
      <w:r>
        <w:rPr>
          <w:rFonts w:ascii="仿宋_GB2312" w:eastAsia="仿宋_GB2312"/>
          <w:sz w:val="32"/>
          <w:szCs w:val="32"/>
        </w:rPr>
        <w:t>3.10</w:t>
      </w:r>
      <w:r>
        <w:rPr>
          <w:rFonts w:hint="eastAsia" w:ascii="仿宋_GB2312" w:eastAsia="仿宋_GB2312"/>
          <w:sz w:val="32"/>
          <w:szCs w:val="32"/>
        </w:rPr>
        <w:t>万元，增长</w:t>
      </w:r>
      <w:r>
        <w:rPr>
          <w:rFonts w:ascii="仿宋_GB2312" w:eastAsia="仿宋_GB2312"/>
          <w:sz w:val="32"/>
          <w:szCs w:val="32"/>
        </w:rPr>
        <w:t>25.11%</w:t>
      </w:r>
      <w:r>
        <w:rPr>
          <w:rFonts w:hint="eastAsia" w:ascii="仿宋_GB2312" w:eastAsia="仿宋_GB2312"/>
          <w:sz w:val="32"/>
          <w:szCs w:val="32"/>
        </w:rPr>
        <w:t>。主要原因是正常增减。</w:t>
      </w:r>
    </w:p>
    <w:p w14:paraId="774A3848">
      <w:pPr>
        <w:spacing w:line="560" w:lineRule="exact"/>
        <w:ind w:firstLine="640" w:firstLineChars="200"/>
        <w:rPr>
          <w:rFonts w:ascii="仿宋_GB2312" w:eastAsia="仿宋_GB2312"/>
          <w:sz w:val="32"/>
          <w:szCs w:val="32"/>
        </w:rPr>
      </w:pPr>
      <w:r>
        <w:rPr>
          <w:rFonts w:hint="eastAsia" w:ascii="仿宋_GB2312" w:eastAsia="仿宋_GB2312"/>
          <w:sz w:val="32"/>
          <w:szCs w:val="32"/>
        </w:rPr>
        <w:t>（注：数据来源于财决附</w:t>
      </w:r>
      <w:r>
        <w:rPr>
          <w:rFonts w:ascii="仿宋_GB2312" w:eastAsia="仿宋_GB2312"/>
          <w:sz w:val="32"/>
          <w:szCs w:val="32"/>
        </w:rPr>
        <w:t>03</w:t>
      </w:r>
      <w:r>
        <w:rPr>
          <w:rFonts w:hint="eastAsia" w:ascii="仿宋_GB2312" w:eastAsia="仿宋_GB2312"/>
          <w:sz w:val="32"/>
          <w:szCs w:val="32"/>
        </w:rPr>
        <w:t>表）</w:t>
      </w:r>
    </w:p>
    <w:p w14:paraId="7B68BD94">
      <w:pPr>
        <w:spacing w:line="560" w:lineRule="exact"/>
        <w:ind w:firstLine="640" w:firstLineChars="200"/>
        <w:outlineLvl w:val="2"/>
        <w:rPr>
          <w:rFonts w:ascii="楷体" w:hAnsi="楷体" w:eastAsia="楷体"/>
          <w:sz w:val="32"/>
          <w:szCs w:val="32"/>
        </w:rPr>
      </w:pPr>
      <w:bookmarkStart w:id="53" w:name="_Toc15377223"/>
      <w:r>
        <w:rPr>
          <w:rFonts w:hint="eastAsia" w:ascii="楷体" w:hAnsi="楷体" w:eastAsia="楷体"/>
          <w:sz w:val="32"/>
          <w:szCs w:val="32"/>
        </w:rPr>
        <w:t>（二）政府采购支出情况</w:t>
      </w:r>
      <w:bookmarkEnd w:id="53"/>
    </w:p>
    <w:p w14:paraId="3E2D007A">
      <w:pPr>
        <w:spacing w:line="560" w:lineRule="exact"/>
        <w:ind w:firstLine="640" w:firstLineChars="200"/>
        <w:rPr>
          <w:rFonts w:ascii="仿宋_GB2312" w:eastAsia="仿宋_GB2312"/>
          <w:sz w:val="32"/>
          <w:szCs w:val="32"/>
        </w:rPr>
      </w:pPr>
      <w:r>
        <w:rPr>
          <w:rFonts w:hint="eastAsia" w:ascii="仿宋_GB2312" w:eastAsia="仿宋_GB2312"/>
          <w:sz w:val="32"/>
          <w:szCs w:val="32"/>
        </w:rPr>
        <w:t>2021年，盐边县信访局政府采购支出总额0万元，其中：政府采购货物支出0万元、政府采购工程支出0万元、政府采购服务支出0万元。主要用于（具体工作）。授予中小企业合同金额0万元，占政府采购支出总额的0%，其中：授予小微企业合同金额0万元，占政府采购支出总额的0%。</w:t>
      </w:r>
    </w:p>
    <w:p w14:paraId="7E2A9A7B">
      <w:pPr>
        <w:spacing w:line="56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（注：数据来源于财决附03表）</w:t>
      </w:r>
    </w:p>
    <w:p w14:paraId="1C19BB11">
      <w:pPr>
        <w:autoSpaceDE w:val="0"/>
        <w:autoSpaceDN w:val="0"/>
        <w:adjustRightInd w:val="0"/>
        <w:spacing w:line="560" w:lineRule="exact"/>
        <w:ind w:firstLine="640" w:firstLineChars="200"/>
        <w:jc w:val="left"/>
        <w:outlineLvl w:val="2"/>
        <w:rPr>
          <w:rFonts w:ascii="楷体" w:hAnsi="楷体" w:eastAsia="楷体"/>
          <w:sz w:val="32"/>
          <w:szCs w:val="32"/>
        </w:rPr>
      </w:pPr>
      <w:bookmarkStart w:id="54" w:name="_Toc15377224"/>
      <w:r>
        <w:rPr>
          <w:rFonts w:hint="eastAsia" w:ascii="楷体" w:hAnsi="楷体" w:eastAsia="楷体"/>
          <w:sz w:val="32"/>
          <w:szCs w:val="32"/>
        </w:rPr>
        <w:t>（三）国有资产占有使用情况</w:t>
      </w:r>
      <w:bookmarkEnd w:id="54"/>
    </w:p>
    <w:p w14:paraId="0C22DF0E">
      <w:pPr>
        <w:autoSpaceDE w:val="0"/>
        <w:autoSpaceDN w:val="0"/>
        <w:adjustRightInd w:val="0"/>
        <w:spacing w:line="560" w:lineRule="exact"/>
        <w:ind w:firstLine="640" w:firstLineChars="200"/>
        <w:jc w:val="left"/>
        <w:rPr>
          <w:rFonts w:ascii="仿宋_GB2312" w:eastAsia="仿宋_GB2312"/>
          <w:sz w:val="32"/>
          <w:szCs w:val="32"/>
        </w:rPr>
      </w:pPr>
      <w:r>
        <w:rPr>
          <w:rFonts w:hint="eastAsia" w:ascii="仿宋_GB2312" w:eastAsia="仿宋_GB2312"/>
          <w:sz w:val="32"/>
          <w:szCs w:val="32"/>
        </w:rPr>
        <w:t>截至2021年12月31日，盐边县信访局共有车辆0辆，其中：主要领导干部用车0辆、机要通信用车0辆、应急保障用车0辆、其他用车0辆其他用车主要是用于单价50万元以上通用设备0台（套），单价100万元以上专用设备0台（套）。</w:t>
      </w:r>
    </w:p>
    <w:p w14:paraId="422EDC84">
      <w:pPr>
        <w:autoSpaceDE w:val="0"/>
        <w:autoSpaceDN w:val="0"/>
        <w:adjustRightInd w:val="0"/>
        <w:spacing w:line="560" w:lineRule="exact"/>
        <w:ind w:firstLine="643" w:firstLineChars="200"/>
        <w:jc w:val="left"/>
        <w:rPr>
          <w:rFonts w:ascii="仿宋_GB2312" w:hAnsi="仿宋" w:eastAsia="仿宋_GB2312"/>
          <w:b/>
          <w:sz w:val="32"/>
          <w:szCs w:val="32"/>
        </w:rPr>
      </w:pPr>
      <w:r>
        <w:rPr>
          <w:rFonts w:hint="eastAsia" w:ascii="仿宋_GB2312" w:hAnsi="仿宋" w:eastAsia="仿宋_GB2312"/>
          <w:b/>
          <w:sz w:val="32"/>
          <w:szCs w:val="32"/>
        </w:rPr>
        <w:t>（注：数据来源于财决附03表，按部门决算报表填报数据罗列车辆情况。）</w:t>
      </w:r>
    </w:p>
    <w:p w14:paraId="2808734E">
      <w:pPr>
        <w:autoSpaceDE w:val="0"/>
        <w:autoSpaceDN w:val="0"/>
        <w:adjustRightInd w:val="0"/>
        <w:spacing w:line="560" w:lineRule="exact"/>
        <w:ind w:firstLine="640" w:firstLineChars="200"/>
        <w:jc w:val="left"/>
        <w:outlineLvl w:val="2"/>
        <w:rPr>
          <w:rFonts w:ascii="楷体" w:hAnsi="楷体" w:eastAsia="楷体"/>
          <w:sz w:val="32"/>
          <w:szCs w:val="32"/>
        </w:rPr>
      </w:pPr>
      <w:r>
        <w:rPr>
          <w:rFonts w:hint="eastAsia" w:ascii="楷体" w:hAnsi="楷体" w:eastAsia="楷体"/>
          <w:sz w:val="32"/>
          <w:szCs w:val="32"/>
        </w:rPr>
        <w:t>（四）预算绩效管理情况</w:t>
      </w:r>
    </w:p>
    <w:p w14:paraId="252E283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年度预算编制阶段，组织对</w:t>
      </w:r>
      <w:r>
        <w:rPr>
          <w:rFonts w:hint="eastAsia" w:ascii="仿宋_GB2312" w:eastAsia="仿宋_GB2312"/>
          <w:sz w:val="32"/>
          <w:szCs w:val="32"/>
        </w:rPr>
        <w:t>信访业务经费</w:t>
      </w:r>
      <w:r>
        <w:rPr>
          <w:rFonts w:hint="eastAsia" w:ascii="仿宋_GB2312" w:hAnsi="仿宋_GB2312" w:eastAsia="仿宋_GB2312" w:cs="仿宋_GB2312"/>
          <w:sz w:val="32"/>
          <w:szCs w:val="32"/>
        </w:rPr>
        <w:t>项目（项目名称）等</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个项目开展了预算事前绩效评估，对</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个项目编制了绩效目标，预算执行过程中，选取</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个项目开展绩效监控，年终执行完毕后，对</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个项目开展了绩效自评。同时，本部门对</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年部门整体开展绩效自评，《</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年盐边县信访局部门整体绩效评价报告》见附件（第四部分）。</w:t>
      </w:r>
    </w:p>
    <w:p w14:paraId="0408E5E6">
      <w:pPr>
        <w:widowControl/>
        <w:spacing w:line="560" w:lineRule="exact"/>
        <w:jc w:val="left"/>
        <w:rPr>
          <w:rFonts w:ascii="仿宋_GB2312" w:eastAsia="仿宋_GB2312"/>
          <w:b/>
          <w:sz w:val="32"/>
          <w:szCs w:val="32"/>
        </w:rPr>
      </w:pPr>
      <w:r>
        <w:rPr>
          <w:rFonts w:ascii="仿宋_GB2312" w:eastAsia="仿宋_GB2312"/>
          <w:b/>
          <w:sz w:val="32"/>
          <w:szCs w:val="32"/>
        </w:rPr>
        <w:br w:type="page"/>
      </w:r>
    </w:p>
    <w:p w14:paraId="1617C293">
      <w:pPr>
        <w:numPr>
          <w:ilvl w:val="0"/>
          <w:numId w:val="3"/>
        </w:numPr>
        <w:spacing w:line="600" w:lineRule="exact"/>
        <w:ind w:firstLine="660" w:firstLineChars="150"/>
        <w:jc w:val="center"/>
        <w:outlineLvl w:val="0"/>
        <w:rPr>
          <w:rStyle w:val="17"/>
          <w:rFonts w:ascii="黑体" w:hAnsi="黑体" w:eastAsia="黑体"/>
          <w:b w:val="0"/>
        </w:rPr>
      </w:pPr>
      <w:bookmarkStart w:id="55" w:name="_Toc15377225"/>
      <w:bookmarkStart w:id="56" w:name="_Toc15396613"/>
      <w:r>
        <w:rPr>
          <w:rFonts w:hint="eastAsia" w:ascii="黑体" w:hAnsi="黑体" w:eastAsia="黑体"/>
          <w:sz w:val="44"/>
          <w:szCs w:val="44"/>
        </w:rPr>
        <w:t>名</w:t>
      </w:r>
      <w:r>
        <w:rPr>
          <w:rStyle w:val="17"/>
          <w:rFonts w:hint="eastAsia" w:ascii="黑体" w:hAnsi="黑体" w:eastAsia="黑体"/>
          <w:b w:val="0"/>
        </w:rPr>
        <w:t>词解释</w:t>
      </w:r>
      <w:bookmarkEnd w:id="55"/>
      <w:bookmarkEnd w:id="56"/>
    </w:p>
    <w:p w14:paraId="71E64418">
      <w:pPr>
        <w:spacing w:line="600" w:lineRule="exact"/>
        <w:jc w:val="left"/>
        <w:rPr>
          <w:rFonts w:ascii="宋体"/>
          <w:b/>
          <w:sz w:val="44"/>
          <w:szCs w:val="44"/>
        </w:rPr>
      </w:pPr>
    </w:p>
    <w:p w14:paraId="17F08D11">
      <w:pPr>
        <w:pStyle w:val="27"/>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1.财政拨款收入：指单位从同级财政部门取得的财政预算资金。</w:t>
      </w:r>
    </w:p>
    <w:p w14:paraId="047E6F7B">
      <w:pPr>
        <w:pStyle w:val="27"/>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2.事业收入：指事业单位开展专业业务活动及辅助活动取得的收入。如…（二级预算单位事业收入情况）等。</w:t>
      </w:r>
    </w:p>
    <w:p w14:paraId="2746D793">
      <w:pPr>
        <w:pStyle w:val="27"/>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3.经营收入：指事业单位在专业业务活动及其辅助活动之外开展非独立核算经营活动取得的收入。如…（二级预算单位经营收入情况）等。</w:t>
      </w:r>
    </w:p>
    <w:p w14:paraId="314CB667">
      <w:pPr>
        <w:pStyle w:val="27"/>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4.其他收入：指单位取得的除上述收入以外的各项收入。主要是…（收入类型）等。</w:t>
      </w:r>
    </w:p>
    <w:p w14:paraId="14E0D06C">
      <w:pPr>
        <w:pStyle w:val="27"/>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5.使用非财政拨款结余：指事业单位使用以前年度积累的非财政拨款结余弥补当年收支差额的金额。</w:t>
      </w:r>
    </w:p>
    <w:p w14:paraId="177E0D29">
      <w:pPr>
        <w:pStyle w:val="27"/>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6.年初结转和结余：指以前年度尚未完成、结转到本年按有关规定继续使用的资金。</w:t>
      </w:r>
    </w:p>
    <w:p w14:paraId="40DDFE85">
      <w:pPr>
        <w:pStyle w:val="27"/>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7.结余分配：指事业单位按照会计制度规定缴纳的所得税、提取的专用结余以及转入非财政拨款结余的金额等。</w:t>
      </w:r>
    </w:p>
    <w:p w14:paraId="75534AAD">
      <w:pPr>
        <w:pStyle w:val="27"/>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8、年末结转和结余：指单位按有关规定结转到下年或以后年度继续使用的资金。</w:t>
      </w:r>
    </w:p>
    <w:p w14:paraId="191B89EC">
      <w:pPr>
        <w:spacing w:line="560" w:lineRule="exact"/>
        <w:ind w:firstLine="640" w:firstLineChars="200"/>
        <w:rPr>
          <w:rFonts w:ascii="仿宋_GB2312" w:eastAsia="仿宋_GB2312"/>
          <w:sz w:val="32"/>
          <w:szCs w:val="32"/>
        </w:rPr>
      </w:pPr>
      <w:r>
        <w:rPr>
          <w:rFonts w:hint="eastAsia" w:ascii="仿宋_GB2312" w:eastAsia="仿宋_GB2312"/>
          <w:sz w:val="32"/>
          <w:szCs w:val="32"/>
        </w:rPr>
        <w:t>9.一般公共服务（类）…（款）…（项）：指……。</w:t>
      </w:r>
    </w:p>
    <w:p w14:paraId="7CA76849">
      <w:pPr>
        <w:spacing w:line="560" w:lineRule="exact"/>
        <w:ind w:firstLine="640" w:firstLineChars="200"/>
        <w:rPr>
          <w:rFonts w:ascii="仿宋_GB2312" w:eastAsia="仿宋_GB2312"/>
          <w:sz w:val="32"/>
          <w:szCs w:val="32"/>
        </w:rPr>
      </w:pPr>
      <w:r>
        <w:rPr>
          <w:rFonts w:hint="eastAsia" w:ascii="仿宋_GB2312" w:eastAsia="仿宋_GB2312"/>
          <w:sz w:val="32"/>
          <w:szCs w:val="32"/>
        </w:rPr>
        <w:t>10.外交（类）…（款）…（项）：指……。</w:t>
      </w:r>
    </w:p>
    <w:p w14:paraId="7A706357">
      <w:pPr>
        <w:spacing w:line="560" w:lineRule="exact"/>
        <w:ind w:firstLine="640" w:firstLineChars="200"/>
        <w:rPr>
          <w:rFonts w:ascii="仿宋_GB2312" w:eastAsia="仿宋_GB2312"/>
          <w:sz w:val="32"/>
          <w:szCs w:val="32"/>
        </w:rPr>
      </w:pPr>
      <w:r>
        <w:rPr>
          <w:rFonts w:hint="eastAsia" w:ascii="仿宋_GB2312" w:eastAsia="仿宋_GB2312"/>
          <w:sz w:val="32"/>
          <w:szCs w:val="32"/>
        </w:rPr>
        <w:t>11.公共安全（类）…（款）…（项）：指……。</w:t>
      </w:r>
    </w:p>
    <w:p w14:paraId="0E69B0E8">
      <w:pPr>
        <w:spacing w:line="560" w:lineRule="exact"/>
        <w:ind w:firstLine="640" w:firstLineChars="200"/>
        <w:rPr>
          <w:rFonts w:ascii="仿宋_GB2312" w:eastAsia="仿宋_GB2312"/>
          <w:sz w:val="32"/>
          <w:szCs w:val="32"/>
        </w:rPr>
      </w:pPr>
      <w:r>
        <w:rPr>
          <w:rFonts w:hint="eastAsia" w:ascii="仿宋_GB2312" w:eastAsia="仿宋_GB2312"/>
          <w:sz w:val="32"/>
          <w:szCs w:val="32"/>
        </w:rPr>
        <w:t>12.教育（类）…（款）…（项）：指……。</w:t>
      </w:r>
    </w:p>
    <w:p w14:paraId="3B8AE91F">
      <w:pPr>
        <w:spacing w:line="560" w:lineRule="exact"/>
        <w:ind w:firstLine="640" w:firstLineChars="200"/>
        <w:rPr>
          <w:rFonts w:ascii="仿宋_GB2312" w:eastAsia="仿宋_GB2312"/>
          <w:sz w:val="32"/>
          <w:szCs w:val="32"/>
        </w:rPr>
      </w:pPr>
      <w:r>
        <w:rPr>
          <w:rFonts w:hint="eastAsia" w:ascii="仿宋_GB2312" w:eastAsia="仿宋_GB2312"/>
          <w:sz w:val="32"/>
          <w:szCs w:val="32"/>
        </w:rPr>
        <w:t>13.科学技术（类）…（款）…（项）：指……。</w:t>
      </w:r>
    </w:p>
    <w:p w14:paraId="2F44DD14">
      <w:pPr>
        <w:spacing w:line="560" w:lineRule="exact"/>
        <w:ind w:firstLine="640" w:firstLineChars="200"/>
        <w:rPr>
          <w:rFonts w:ascii="仿宋_GB2312" w:eastAsia="仿宋_GB2312"/>
          <w:sz w:val="32"/>
          <w:szCs w:val="32"/>
        </w:rPr>
      </w:pPr>
      <w:r>
        <w:rPr>
          <w:rFonts w:hint="eastAsia" w:ascii="仿宋_GB2312" w:eastAsia="仿宋_GB2312"/>
          <w:sz w:val="32"/>
          <w:szCs w:val="32"/>
        </w:rPr>
        <w:t>14.文化体育与传媒（类）…（款）…（项）：指……。</w:t>
      </w:r>
    </w:p>
    <w:p w14:paraId="0251F593">
      <w:pPr>
        <w:spacing w:line="560" w:lineRule="exact"/>
        <w:ind w:firstLine="640" w:firstLineChars="200"/>
        <w:rPr>
          <w:rFonts w:ascii="仿宋_GB2312" w:eastAsia="仿宋_GB2312"/>
          <w:sz w:val="32"/>
          <w:szCs w:val="32"/>
        </w:rPr>
      </w:pPr>
      <w:r>
        <w:rPr>
          <w:rFonts w:hint="eastAsia" w:ascii="仿宋_GB2312" w:eastAsia="仿宋_GB2312"/>
          <w:sz w:val="32"/>
          <w:szCs w:val="32"/>
        </w:rPr>
        <w:t>15.社会保障和就业（类）…（款）…（项）：指……。</w:t>
      </w:r>
    </w:p>
    <w:p w14:paraId="410B086B">
      <w:pPr>
        <w:spacing w:line="560" w:lineRule="exact"/>
        <w:ind w:firstLine="640" w:firstLineChars="200"/>
        <w:rPr>
          <w:rFonts w:ascii="仿宋_GB2312" w:eastAsia="仿宋_GB2312"/>
          <w:sz w:val="32"/>
          <w:szCs w:val="32"/>
        </w:rPr>
      </w:pPr>
      <w:r>
        <w:rPr>
          <w:rFonts w:hint="eastAsia" w:ascii="仿宋_GB2312" w:eastAsia="仿宋_GB2312"/>
          <w:sz w:val="32"/>
          <w:szCs w:val="32"/>
        </w:rPr>
        <w:t>16.医疗卫生与计划生育（类）…（款）…（项）：指……。</w:t>
      </w:r>
    </w:p>
    <w:p w14:paraId="7B72B7C4">
      <w:pPr>
        <w:spacing w:line="560" w:lineRule="exact"/>
        <w:ind w:firstLine="640" w:firstLineChars="200"/>
        <w:rPr>
          <w:rFonts w:ascii="仿宋_GB2312" w:eastAsia="仿宋_GB2312"/>
          <w:sz w:val="32"/>
          <w:szCs w:val="32"/>
        </w:rPr>
      </w:pPr>
      <w:r>
        <w:rPr>
          <w:rFonts w:hint="eastAsia" w:ascii="仿宋_GB2312" w:eastAsia="仿宋_GB2312"/>
          <w:sz w:val="32"/>
          <w:szCs w:val="32"/>
        </w:rPr>
        <w:t>17.节能环保（类）…（款）…（项）：指……。</w:t>
      </w:r>
    </w:p>
    <w:p w14:paraId="7501174A">
      <w:pPr>
        <w:spacing w:line="560" w:lineRule="exact"/>
        <w:ind w:firstLine="640" w:firstLineChars="200"/>
        <w:rPr>
          <w:rFonts w:ascii="仿宋_GB2312" w:eastAsia="仿宋_GB2312"/>
          <w:sz w:val="32"/>
          <w:szCs w:val="32"/>
        </w:rPr>
      </w:pPr>
      <w:r>
        <w:rPr>
          <w:rFonts w:hint="eastAsia" w:ascii="仿宋_GB2312" w:eastAsia="仿宋_GB2312"/>
          <w:sz w:val="32"/>
          <w:szCs w:val="32"/>
        </w:rPr>
        <w:t>18.城乡社区（类）…（款）…（项）：指……。</w:t>
      </w:r>
    </w:p>
    <w:p w14:paraId="3607250F">
      <w:pPr>
        <w:spacing w:line="560" w:lineRule="exact"/>
        <w:ind w:firstLine="640" w:firstLineChars="200"/>
        <w:rPr>
          <w:rFonts w:ascii="仿宋_GB2312" w:eastAsia="仿宋_GB2312"/>
          <w:sz w:val="32"/>
          <w:szCs w:val="32"/>
        </w:rPr>
      </w:pPr>
      <w:r>
        <w:rPr>
          <w:rFonts w:hint="eastAsia" w:ascii="仿宋_GB2312" w:eastAsia="仿宋_GB2312"/>
          <w:sz w:val="32"/>
          <w:szCs w:val="32"/>
        </w:rPr>
        <w:t>19.农林水（类）…（款）…（项）：指……。</w:t>
      </w:r>
    </w:p>
    <w:p w14:paraId="3C69D33F">
      <w:pPr>
        <w:spacing w:line="560" w:lineRule="exact"/>
        <w:ind w:firstLine="640" w:firstLineChars="200"/>
        <w:rPr>
          <w:rFonts w:ascii="仿宋_GB2312" w:eastAsia="仿宋_GB2312"/>
          <w:sz w:val="32"/>
          <w:szCs w:val="32"/>
        </w:rPr>
      </w:pPr>
      <w:r>
        <w:rPr>
          <w:rFonts w:hint="eastAsia" w:ascii="仿宋_GB2312" w:eastAsia="仿宋_GB2312"/>
          <w:sz w:val="32"/>
          <w:szCs w:val="32"/>
        </w:rPr>
        <w:t>20.交通运输（类）…（款）…（项）：指……。</w:t>
      </w:r>
    </w:p>
    <w:p w14:paraId="487F8668">
      <w:pPr>
        <w:spacing w:line="560" w:lineRule="exact"/>
        <w:ind w:firstLine="640" w:firstLineChars="200"/>
        <w:rPr>
          <w:rFonts w:ascii="仿宋_GB2312" w:eastAsia="仿宋_GB2312"/>
          <w:sz w:val="32"/>
          <w:szCs w:val="32"/>
        </w:rPr>
      </w:pPr>
      <w:r>
        <w:rPr>
          <w:rFonts w:hint="eastAsia" w:ascii="仿宋_GB2312" w:eastAsia="仿宋_GB2312"/>
          <w:sz w:val="32"/>
          <w:szCs w:val="32"/>
        </w:rPr>
        <w:t>21.资源勘探信息等（类）…（款）…（项）：指……。</w:t>
      </w:r>
    </w:p>
    <w:p w14:paraId="3DF0B3D7">
      <w:pPr>
        <w:spacing w:line="560" w:lineRule="exact"/>
        <w:ind w:firstLine="640" w:firstLineChars="200"/>
        <w:rPr>
          <w:rFonts w:ascii="仿宋_GB2312" w:eastAsia="仿宋_GB2312"/>
          <w:sz w:val="32"/>
          <w:szCs w:val="32"/>
        </w:rPr>
      </w:pPr>
      <w:r>
        <w:rPr>
          <w:rFonts w:hint="eastAsia" w:ascii="仿宋_GB2312" w:eastAsia="仿宋_GB2312"/>
          <w:sz w:val="32"/>
          <w:szCs w:val="32"/>
        </w:rPr>
        <w:t>22.商业服务业（类）…（款）…（项）：指……。</w:t>
      </w:r>
    </w:p>
    <w:p w14:paraId="55562F81">
      <w:pPr>
        <w:spacing w:line="560" w:lineRule="exact"/>
        <w:ind w:firstLine="640" w:firstLineChars="200"/>
        <w:rPr>
          <w:rFonts w:ascii="仿宋_GB2312" w:eastAsia="仿宋_GB2312"/>
          <w:sz w:val="32"/>
          <w:szCs w:val="32"/>
        </w:rPr>
      </w:pPr>
      <w:r>
        <w:rPr>
          <w:rFonts w:hint="eastAsia" w:ascii="仿宋_GB2312" w:eastAsia="仿宋_GB2312"/>
          <w:sz w:val="32"/>
          <w:szCs w:val="32"/>
        </w:rPr>
        <w:t>23.金融（类）…（款）…（项）：指……。</w:t>
      </w:r>
    </w:p>
    <w:p w14:paraId="3322D6F0">
      <w:pPr>
        <w:spacing w:line="560" w:lineRule="exact"/>
        <w:ind w:firstLine="640" w:firstLineChars="200"/>
        <w:rPr>
          <w:rFonts w:ascii="仿宋_GB2312" w:eastAsia="仿宋_GB2312"/>
          <w:sz w:val="32"/>
          <w:szCs w:val="32"/>
        </w:rPr>
      </w:pPr>
      <w:r>
        <w:rPr>
          <w:rFonts w:hint="eastAsia" w:ascii="仿宋_GB2312" w:eastAsia="仿宋_GB2312"/>
          <w:sz w:val="32"/>
          <w:szCs w:val="32"/>
        </w:rPr>
        <w:t>24.国土海洋气象等（类）…（款）…（项）：指……。</w:t>
      </w:r>
    </w:p>
    <w:p w14:paraId="3DFB1EE4">
      <w:pPr>
        <w:spacing w:line="560" w:lineRule="exact"/>
        <w:ind w:firstLine="640" w:firstLineChars="200"/>
        <w:rPr>
          <w:rFonts w:ascii="仿宋_GB2312" w:eastAsia="仿宋_GB2312"/>
          <w:sz w:val="32"/>
          <w:szCs w:val="32"/>
        </w:rPr>
      </w:pPr>
      <w:r>
        <w:rPr>
          <w:rFonts w:hint="eastAsia" w:ascii="仿宋_GB2312" w:eastAsia="仿宋_GB2312"/>
          <w:sz w:val="32"/>
          <w:szCs w:val="32"/>
        </w:rPr>
        <w:t>25.住房保障（类）…（款）…（项）：指……。</w:t>
      </w:r>
    </w:p>
    <w:p w14:paraId="6E92BC88">
      <w:pPr>
        <w:spacing w:line="560" w:lineRule="exact"/>
        <w:ind w:firstLine="640" w:firstLineChars="200"/>
        <w:rPr>
          <w:rFonts w:ascii="仿宋_GB2312" w:eastAsia="仿宋_GB2312"/>
          <w:sz w:val="32"/>
          <w:szCs w:val="32"/>
        </w:rPr>
      </w:pPr>
      <w:r>
        <w:rPr>
          <w:rFonts w:hint="eastAsia" w:ascii="仿宋_GB2312" w:eastAsia="仿宋_GB2312"/>
          <w:sz w:val="32"/>
          <w:szCs w:val="32"/>
        </w:rPr>
        <w:t>26.粮油物资储备（类）…（款）…（项）：指……。</w:t>
      </w:r>
    </w:p>
    <w:p w14:paraId="2D9DF15A">
      <w:pPr>
        <w:spacing w:line="560" w:lineRule="exact"/>
        <w:ind w:firstLine="640" w:firstLineChars="200"/>
        <w:rPr>
          <w:rFonts w:ascii="仿宋_GB2312" w:eastAsia="仿宋_GB2312"/>
          <w:sz w:val="32"/>
          <w:szCs w:val="32"/>
        </w:rPr>
      </w:pPr>
      <w:r>
        <w:rPr>
          <w:rFonts w:hint="eastAsia" w:ascii="仿宋_GB2312" w:eastAsia="仿宋_GB2312"/>
          <w:sz w:val="32"/>
          <w:szCs w:val="32"/>
        </w:rPr>
        <w:t>……</w:t>
      </w:r>
    </w:p>
    <w:p w14:paraId="382A08FF">
      <w:pPr>
        <w:spacing w:line="560" w:lineRule="exact"/>
        <w:ind w:firstLine="640" w:firstLineChars="200"/>
        <w:rPr>
          <w:rFonts w:ascii="仿宋_GB2312" w:eastAsia="仿宋_GB2312"/>
          <w:sz w:val="32"/>
          <w:szCs w:val="32"/>
        </w:rPr>
      </w:pPr>
      <w:r>
        <w:rPr>
          <w:rFonts w:hint="eastAsia" w:ascii="仿宋_GB2312" w:eastAsia="仿宋_GB2312"/>
          <w:sz w:val="32"/>
          <w:szCs w:val="32"/>
        </w:rPr>
        <w:t>……</w:t>
      </w:r>
    </w:p>
    <w:p w14:paraId="634A0534">
      <w:pPr>
        <w:spacing w:line="560" w:lineRule="exact"/>
        <w:ind w:firstLine="640" w:firstLineChars="200"/>
        <w:rPr>
          <w:rFonts w:ascii="仿宋_GB2312" w:eastAsia="仿宋_GB2312"/>
          <w:sz w:val="32"/>
          <w:szCs w:val="32"/>
        </w:rPr>
      </w:pPr>
      <w:r>
        <w:rPr>
          <w:rFonts w:hint="eastAsia" w:ascii="仿宋_GB2312" w:eastAsia="仿宋_GB2312"/>
          <w:sz w:val="32"/>
          <w:szCs w:val="32"/>
        </w:rPr>
        <w:t>……</w:t>
      </w:r>
    </w:p>
    <w:p w14:paraId="3365CE04">
      <w:pPr>
        <w:spacing w:line="560" w:lineRule="exact"/>
        <w:ind w:firstLine="640"/>
        <w:rPr>
          <w:rFonts w:ascii="仿宋_GB2312" w:hAnsi="仿宋" w:eastAsia="仿宋_GB2312"/>
          <w:b/>
          <w:sz w:val="32"/>
          <w:szCs w:val="32"/>
        </w:rPr>
      </w:pPr>
      <w:r>
        <w:rPr>
          <w:rFonts w:hint="eastAsia" w:ascii="仿宋_GB2312" w:hAnsi="仿宋" w:eastAsia="仿宋_GB2312"/>
          <w:b/>
          <w:sz w:val="32"/>
          <w:szCs w:val="32"/>
        </w:rPr>
        <w:t>（解释本部门决算报表中涉及的全部功能分类科目至项级，不涉及的科目请自行删除。请参照《2021年政府收支分类科目》增减内容。）</w:t>
      </w:r>
    </w:p>
    <w:p w14:paraId="405C649F">
      <w:pPr>
        <w:spacing w:line="560" w:lineRule="exact"/>
        <w:ind w:firstLine="640" w:firstLineChars="200"/>
        <w:rPr>
          <w:rFonts w:ascii="仿宋_GB2312" w:eastAsia="仿宋_GB2312"/>
          <w:sz w:val="32"/>
          <w:szCs w:val="32"/>
        </w:rPr>
      </w:pPr>
      <w:r>
        <w:rPr>
          <w:rFonts w:hint="eastAsia" w:ascii="仿宋_GB2312" w:eastAsia="仿宋_GB2312"/>
          <w:sz w:val="32"/>
          <w:szCs w:val="32"/>
        </w:rPr>
        <w:t>27.基本支出：指为保障机构正常运转、完成日常工作任务而发生的人员支出和公用支出。</w:t>
      </w:r>
    </w:p>
    <w:p w14:paraId="4647D138">
      <w:pPr>
        <w:spacing w:line="560" w:lineRule="exact"/>
        <w:ind w:firstLine="640" w:firstLineChars="200"/>
        <w:rPr>
          <w:rFonts w:ascii="仿宋_GB2312" w:eastAsia="仿宋_GB2312"/>
          <w:sz w:val="32"/>
          <w:szCs w:val="32"/>
        </w:rPr>
      </w:pPr>
      <w:r>
        <w:rPr>
          <w:rFonts w:hint="eastAsia" w:ascii="仿宋_GB2312" w:eastAsia="仿宋_GB2312"/>
          <w:sz w:val="32"/>
          <w:szCs w:val="32"/>
        </w:rPr>
        <w:t>28.项目支出：指在基本支出之外为完成特定行政任务和事业发展目标所发生的支出。</w:t>
      </w:r>
    </w:p>
    <w:p w14:paraId="2327DF66">
      <w:pPr>
        <w:spacing w:line="560" w:lineRule="exact"/>
        <w:ind w:firstLine="640" w:firstLineChars="200"/>
        <w:rPr>
          <w:rFonts w:ascii="仿宋_GB2312" w:eastAsia="仿宋_GB2312"/>
          <w:sz w:val="32"/>
          <w:szCs w:val="32"/>
        </w:rPr>
      </w:pPr>
      <w:r>
        <w:rPr>
          <w:rFonts w:hint="eastAsia" w:ascii="仿宋_GB2312" w:eastAsia="仿宋_GB2312"/>
          <w:sz w:val="32"/>
          <w:szCs w:val="32"/>
        </w:rPr>
        <w:t>29.经营支出：指事业单位在专业业务活动及其辅助活动之外开展非独立核算经营活动发生的支出。</w:t>
      </w:r>
    </w:p>
    <w:p w14:paraId="4E62298D">
      <w:pPr>
        <w:pStyle w:val="27"/>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30.“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1AB6E142">
      <w:pPr>
        <w:pStyle w:val="27"/>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31.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CA37E94">
      <w:pPr>
        <w:pStyle w:val="27"/>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32.……。</w:t>
      </w:r>
    </w:p>
    <w:p w14:paraId="7A861E6E">
      <w:pPr>
        <w:pStyle w:val="27"/>
        <w:spacing w:line="560" w:lineRule="exact"/>
        <w:ind w:firstLine="640" w:firstLineChars="200"/>
        <w:rPr>
          <w:rFonts w:ascii="仿宋_GB2312" w:eastAsia="仿宋_GB2312" w:cs="黑体"/>
          <w:color w:val="auto"/>
          <w:sz w:val="32"/>
          <w:szCs w:val="32"/>
        </w:rPr>
      </w:pPr>
    </w:p>
    <w:p w14:paraId="5B0EC632">
      <w:pPr>
        <w:spacing w:line="56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（名词解释部分请根据各部门实际列支情况罗列，并根据本部门职责职能增减名词解释内容。）</w:t>
      </w:r>
    </w:p>
    <w:p w14:paraId="57BDC0E1">
      <w:pPr>
        <w:spacing w:line="560" w:lineRule="exact"/>
        <w:jc w:val="center"/>
        <w:outlineLvl w:val="0"/>
        <w:rPr>
          <w:rStyle w:val="17"/>
          <w:rFonts w:ascii="黑体" w:hAnsi="黑体" w:eastAsia="黑体"/>
          <w:b w:val="0"/>
        </w:rPr>
      </w:pPr>
      <w:bookmarkStart w:id="57" w:name="_Toc15377226"/>
      <w:r>
        <w:rPr>
          <w:rFonts w:hint="eastAsia" w:ascii="仿宋_GB2312" w:eastAsia="仿宋_GB2312"/>
          <w:b/>
          <w:sz w:val="44"/>
          <w:szCs w:val="44"/>
        </w:rPr>
        <w:br w:type="page"/>
      </w:r>
      <w:bookmarkStart w:id="58" w:name="_Toc15396614"/>
      <w:r>
        <w:rPr>
          <w:rFonts w:hint="eastAsia" w:ascii="黑体" w:hAnsi="黑体" w:eastAsia="黑体"/>
          <w:sz w:val="44"/>
          <w:szCs w:val="44"/>
        </w:rPr>
        <w:t>第</w:t>
      </w:r>
      <w:r>
        <w:rPr>
          <w:rStyle w:val="17"/>
          <w:rFonts w:hint="eastAsia" w:ascii="黑体" w:hAnsi="黑体" w:eastAsia="黑体"/>
          <w:b w:val="0"/>
        </w:rPr>
        <w:t>四部分</w:t>
      </w:r>
      <w:r>
        <w:rPr>
          <w:rStyle w:val="17"/>
          <w:rFonts w:ascii="黑体" w:hAnsi="黑体" w:eastAsia="黑体"/>
          <w:b w:val="0"/>
        </w:rPr>
        <w:t xml:space="preserve"> </w:t>
      </w:r>
      <w:r>
        <w:rPr>
          <w:rStyle w:val="17"/>
          <w:rFonts w:hint="eastAsia" w:ascii="黑体" w:hAnsi="黑体" w:eastAsia="黑体"/>
          <w:b w:val="0"/>
        </w:rPr>
        <w:t>附件</w:t>
      </w:r>
      <w:bookmarkEnd w:id="58"/>
    </w:p>
    <w:p w14:paraId="350EFD6B">
      <w:pPr>
        <w:spacing w:line="572" w:lineRule="exact"/>
        <w:jc w:val="left"/>
        <w:outlineLvl w:val="0"/>
        <w:rPr>
          <w:rFonts w:ascii="方正小标宋简体" w:hAnsi="方正小标宋简体" w:eastAsia="方正小标宋简体" w:cs="方正小标宋简体"/>
          <w:sz w:val="44"/>
          <w:szCs w:val="44"/>
        </w:rPr>
      </w:pPr>
      <w:r>
        <w:rPr>
          <w:rFonts w:hint="eastAsia" w:ascii="黑体" w:hAnsi="黑体" w:eastAsia="黑体" w:cs="黑体"/>
          <w:sz w:val="32"/>
          <w:szCs w:val="32"/>
        </w:rPr>
        <w:t>附件</w:t>
      </w:r>
    </w:p>
    <w:p w14:paraId="559EBADA">
      <w:pPr>
        <w:spacing w:line="640" w:lineRule="exact"/>
        <w:jc w:val="center"/>
        <w:rPr>
          <w:rFonts w:eastAsia="方正小标宋_GBK"/>
          <w:sz w:val="44"/>
          <w:szCs w:val="44"/>
        </w:rPr>
      </w:pPr>
      <w:r>
        <w:rPr>
          <w:rFonts w:ascii="方正小标宋简体" w:hAnsi="宋体" w:eastAsia="方正小标宋简体"/>
          <w:kern w:val="0"/>
          <w:sz w:val="40"/>
          <w:szCs w:val="44"/>
        </w:rPr>
        <w:t>2021</w:t>
      </w:r>
      <w:r>
        <w:rPr>
          <w:rFonts w:hint="eastAsia" w:ascii="方正小标宋简体" w:hAnsi="宋体" w:eastAsia="方正小标宋简体"/>
          <w:kern w:val="0"/>
          <w:sz w:val="40"/>
          <w:szCs w:val="44"/>
        </w:rPr>
        <w:t>年</w:t>
      </w:r>
      <w:r>
        <w:rPr>
          <w:rFonts w:hint="eastAsia" w:ascii="方正小标宋_GBK" w:hAnsi="方正小标宋简体" w:eastAsia="方正小标宋_GBK" w:cs="方正小标宋简体"/>
          <w:sz w:val="44"/>
          <w:szCs w:val="44"/>
        </w:rPr>
        <w:t>盐边县信访局</w:t>
      </w:r>
    </w:p>
    <w:p w14:paraId="243E43E2">
      <w:pPr>
        <w:spacing w:line="572" w:lineRule="exact"/>
        <w:jc w:val="center"/>
        <w:rPr>
          <w:rFonts w:ascii="方正小标宋简体" w:hAnsi="宋体" w:eastAsia="方正小标宋简体"/>
          <w:kern w:val="0"/>
          <w:sz w:val="40"/>
          <w:szCs w:val="44"/>
          <w:lang w:val="zh-CN"/>
        </w:rPr>
      </w:pPr>
      <w:r>
        <w:rPr>
          <w:rFonts w:hint="eastAsia" w:ascii="方正小标宋简体" w:hAnsi="宋体" w:eastAsia="方正小标宋简体"/>
          <w:kern w:val="0"/>
          <w:sz w:val="40"/>
          <w:szCs w:val="44"/>
        </w:rPr>
        <w:t>部门整体绩效评价报告</w:t>
      </w:r>
    </w:p>
    <w:p w14:paraId="53784D61">
      <w:pPr>
        <w:widowControl/>
        <w:spacing w:line="572" w:lineRule="exact"/>
        <w:ind w:firstLine="640" w:firstLineChars="200"/>
        <w:contextualSpacing/>
        <w:jc w:val="center"/>
        <w:rPr>
          <w:rFonts w:ascii="仿宋_GB2312" w:hAnsi="宋体" w:eastAsia="仿宋_GB2312"/>
          <w:sz w:val="32"/>
          <w:szCs w:val="32"/>
          <w:shd w:val="clear" w:color="auto" w:fill="FFFFFF"/>
        </w:rPr>
      </w:pPr>
    </w:p>
    <w:p w14:paraId="0F953742">
      <w:pPr>
        <w:widowControl/>
        <w:adjustRightInd w:val="0"/>
        <w:snapToGrid w:val="0"/>
        <w:spacing w:line="560" w:lineRule="exact"/>
        <w:ind w:firstLine="640" w:firstLineChars="200"/>
        <w:contextualSpacing/>
        <w:jc w:val="left"/>
        <w:rPr>
          <w:rFonts w:ascii="黑体" w:hAnsi="宋体" w:eastAsia="黑体" w:cs="宋体"/>
          <w:kern w:val="0"/>
          <w:sz w:val="32"/>
          <w:szCs w:val="32"/>
          <w:shd w:val="clear" w:color="auto" w:fill="FFFFFF"/>
          <w:lang w:val="zh-CN"/>
        </w:rPr>
      </w:pPr>
      <w:r>
        <w:rPr>
          <w:rFonts w:hint="eastAsia" w:ascii="黑体" w:hAnsi="宋体" w:eastAsia="黑体" w:cs="宋体"/>
          <w:kern w:val="0"/>
          <w:sz w:val="32"/>
          <w:szCs w:val="32"/>
          <w:shd w:val="clear" w:color="auto" w:fill="FFFFFF"/>
        </w:rPr>
        <w:t>一、</w:t>
      </w:r>
      <w:r>
        <w:rPr>
          <w:rFonts w:hint="eastAsia" w:ascii="黑体" w:hAnsi="宋体" w:eastAsia="黑体" w:cs="宋体"/>
          <w:kern w:val="0"/>
          <w:sz w:val="32"/>
          <w:szCs w:val="32"/>
          <w:shd w:val="clear" w:color="auto" w:fill="FFFFFF"/>
          <w:lang w:val="zh-CN"/>
        </w:rPr>
        <w:t>部门（单位）概况</w:t>
      </w:r>
    </w:p>
    <w:p w14:paraId="64B6C969">
      <w:pPr>
        <w:widowControl/>
        <w:adjustRightInd w:val="0"/>
        <w:snapToGrid w:val="0"/>
        <w:spacing w:line="560" w:lineRule="exact"/>
        <w:ind w:firstLine="640" w:firstLineChars="200"/>
        <w:contextualSpacing/>
        <w:jc w:val="left"/>
        <w:rPr>
          <w:rFonts w:ascii="楷体" w:hAnsi="楷体" w:eastAsia="楷体" w:cs="宋体"/>
          <w:kern w:val="0"/>
          <w:sz w:val="32"/>
          <w:szCs w:val="32"/>
          <w:shd w:val="clear" w:color="auto" w:fill="FFFFFF"/>
          <w:lang w:val="zh-CN"/>
        </w:rPr>
      </w:pPr>
      <w:r>
        <w:rPr>
          <w:rFonts w:hint="eastAsia" w:ascii="楷体" w:hAnsi="楷体" w:eastAsia="楷体" w:cs="宋体"/>
          <w:kern w:val="0"/>
          <w:sz w:val="32"/>
          <w:szCs w:val="32"/>
          <w:shd w:val="clear" w:color="auto" w:fill="FFFFFF"/>
          <w:lang w:val="zh-CN"/>
        </w:rPr>
        <w:t>（一）机构组成</w:t>
      </w:r>
    </w:p>
    <w:p w14:paraId="3D848262">
      <w:pPr>
        <w:widowControl/>
        <w:adjustRightInd w:val="0"/>
        <w:snapToGrid w:val="0"/>
        <w:spacing w:line="560" w:lineRule="exact"/>
        <w:ind w:firstLine="640" w:firstLineChars="200"/>
        <w:jc w:val="left"/>
        <w:rPr>
          <w:rFonts w:ascii="仿宋_GB2312" w:eastAsia="仿宋_GB2312"/>
          <w:kern w:val="0"/>
          <w:sz w:val="32"/>
          <w:szCs w:val="32"/>
          <w:shd w:val="clear" w:color="auto" w:fill="FFFFFF"/>
          <w:lang w:val="zh-CN"/>
        </w:rPr>
      </w:pPr>
      <w:r>
        <w:rPr>
          <w:rFonts w:hint="eastAsia" w:ascii="仿宋_GB2312" w:eastAsia="仿宋_GB2312"/>
          <w:kern w:val="0"/>
          <w:sz w:val="32"/>
          <w:szCs w:val="32"/>
          <w:shd w:val="clear" w:color="auto" w:fill="FFFFFF"/>
          <w:lang w:val="zh-CN"/>
        </w:rPr>
        <w:t>信访局下设一室二股，即办公室</w:t>
      </w:r>
      <w:r>
        <w:rPr>
          <w:rFonts w:ascii="仿宋_GB2312" w:eastAsia="仿宋_GB2312"/>
          <w:kern w:val="0"/>
          <w:sz w:val="32"/>
          <w:szCs w:val="32"/>
          <w:shd w:val="clear" w:color="auto" w:fill="FFFFFF"/>
        </w:rPr>
        <w:t>(</w:t>
      </w:r>
      <w:r>
        <w:rPr>
          <w:rFonts w:hint="eastAsia" w:ascii="仿宋_GB2312" w:eastAsia="仿宋_GB2312"/>
          <w:kern w:val="0"/>
          <w:sz w:val="32"/>
          <w:szCs w:val="32"/>
          <w:shd w:val="clear" w:color="auto" w:fill="FFFFFF"/>
        </w:rPr>
        <w:t>综合股）</w:t>
      </w:r>
      <w:r>
        <w:rPr>
          <w:rFonts w:hint="eastAsia" w:ascii="仿宋_GB2312" w:eastAsia="仿宋_GB2312"/>
          <w:kern w:val="0"/>
          <w:sz w:val="32"/>
          <w:szCs w:val="32"/>
          <w:shd w:val="clear" w:color="auto" w:fill="FFFFFF"/>
          <w:lang w:val="zh-CN"/>
        </w:rPr>
        <w:t>、来访和督查督办股、网信办理股三个内设机构。下设盐边县群众工作中心（未单独核算），是财政全额拨款事业单位。</w:t>
      </w:r>
    </w:p>
    <w:p w14:paraId="74430A2B">
      <w:pPr>
        <w:widowControl/>
        <w:adjustRightInd w:val="0"/>
        <w:snapToGrid w:val="0"/>
        <w:spacing w:line="560" w:lineRule="exact"/>
        <w:ind w:firstLine="640" w:firstLineChars="200"/>
        <w:contextualSpacing/>
        <w:jc w:val="left"/>
        <w:rPr>
          <w:rFonts w:ascii="楷体" w:hAnsi="楷体" w:eastAsia="楷体" w:cs="宋体"/>
          <w:kern w:val="0"/>
          <w:sz w:val="32"/>
          <w:szCs w:val="32"/>
          <w:shd w:val="clear" w:color="auto" w:fill="FFFFFF"/>
          <w:lang w:val="zh-CN"/>
        </w:rPr>
      </w:pPr>
      <w:r>
        <w:rPr>
          <w:rFonts w:hint="eastAsia" w:ascii="楷体" w:hAnsi="楷体" w:eastAsia="楷体" w:cs="宋体"/>
          <w:kern w:val="0"/>
          <w:sz w:val="32"/>
          <w:szCs w:val="32"/>
          <w:shd w:val="clear" w:color="auto" w:fill="FFFFFF"/>
          <w:lang w:val="zh-CN"/>
        </w:rPr>
        <w:t>（二）机构职能</w:t>
      </w:r>
    </w:p>
    <w:p w14:paraId="13ABACD4">
      <w:pPr>
        <w:widowControl/>
        <w:shd w:val="clear" w:color="auto" w:fill="FFFFFF"/>
        <w:tabs>
          <w:tab w:val="left" w:pos="312"/>
        </w:tabs>
        <w:spacing w:line="560" w:lineRule="exact"/>
        <w:ind w:firstLine="640"/>
        <w:rPr>
          <w:rFonts w:ascii="仿宋_GB2312" w:eastAsia="仿宋_GB2312"/>
          <w:sz w:val="32"/>
          <w:szCs w:val="32"/>
        </w:rPr>
      </w:pPr>
      <w:r>
        <w:rPr>
          <w:rStyle w:val="15"/>
          <w:rFonts w:hint="eastAsia" w:ascii="仿宋_GB2312" w:hAnsi="仿宋_GB2312" w:eastAsia="仿宋_GB2312" w:cs="仿宋_GB2312"/>
          <w:b w:val="0"/>
          <w:bCs/>
          <w:sz w:val="32"/>
          <w:szCs w:val="32"/>
          <w:shd w:val="clear" w:color="auto" w:fill="FFFFFF"/>
        </w:rPr>
        <w:t>信访局</w:t>
      </w:r>
      <w:r>
        <w:rPr>
          <w:rFonts w:hint="eastAsia" w:ascii="仿宋_GB2312" w:eastAsia="仿宋_GB2312"/>
          <w:kern w:val="0"/>
          <w:sz w:val="32"/>
          <w:szCs w:val="32"/>
          <w:shd w:val="clear" w:color="auto" w:fill="FFFFFF"/>
          <w:lang w:val="zh-CN"/>
        </w:rPr>
        <w:t>属县政府派出机构，主要职责和职能是处理群众来信，接待群众来访；宣传党和政府群众工作的各项方针、政策、法律、法规；收集社情民意，综合分析群众意见、建议和对突出问题的反映，及时向县委、县政府领导反映；承办、督促县委、县政府领导同志交办的信访事项；排查县内矛盾纠纷，落实化解责任；协调处理跨县、区、部门的重要信访事项，协调处理群众集体到市委、市政府的上访事项及赴省进京非正常上访的相关事项；指导、协调县级部门和乡（镇）党政机关的群众（信访）工作；检查、协调、指导乡（镇）、县级部门的群众工作，对县级部门和乡（镇）党政机关的群众（信访）工作进行目标管理考核，配合协助相关部门及乡（镇）开展群众思想政治工作。承办县委、县政府和省、市政府群众（信访）工作局批办、交办的其他事项。</w:t>
      </w:r>
      <w:r>
        <w:rPr>
          <w:rFonts w:ascii="仿宋_GB2312" w:eastAsia="仿宋_GB2312"/>
          <w:kern w:val="0"/>
          <w:sz w:val="32"/>
          <w:szCs w:val="32"/>
          <w:shd w:val="clear" w:color="auto" w:fill="FFFFFF"/>
        </w:rPr>
        <w:t xml:space="preserve">      </w:t>
      </w:r>
      <w:r>
        <w:rPr>
          <w:rFonts w:hint="eastAsia" w:ascii="仿宋_GB2312" w:eastAsia="仿宋_GB2312"/>
          <w:kern w:val="0"/>
          <w:sz w:val="32"/>
          <w:szCs w:val="32"/>
          <w:shd w:val="clear" w:color="auto" w:fill="FFFFFF"/>
        </w:rPr>
        <w:t>具体的职能职责为</w:t>
      </w:r>
      <w:r>
        <w:rPr>
          <w:rFonts w:ascii="仿宋_GB2312" w:eastAsia="仿宋_GB2312"/>
          <w:kern w:val="0"/>
          <w:sz w:val="32"/>
          <w:szCs w:val="32"/>
          <w:shd w:val="clear" w:color="auto" w:fill="FFFFFF"/>
        </w:rPr>
        <w:t>:</w:t>
      </w:r>
      <w:r>
        <w:rPr>
          <w:rFonts w:hint="eastAsia" w:ascii="仿宋_GB2312" w:eastAsia="仿宋_GB2312"/>
          <w:kern w:val="0"/>
          <w:sz w:val="32"/>
          <w:szCs w:val="32"/>
          <w:shd w:val="clear" w:color="auto" w:fill="FFFFFF"/>
          <w:lang w:val="zh-CN"/>
        </w:rPr>
        <w:t>综合股</w:t>
      </w:r>
      <w:r>
        <w:rPr>
          <w:rFonts w:ascii="仿宋_GB2312" w:eastAsia="仿宋_GB2312"/>
          <w:kern w:val="0"/>
          <w:sz w:val="32"/>
          <w:szCs w:val="32"/>
          <w:shd w:val="clear" w:color="auto" w:fill="FFFFFF"/>
          <w:lang w:val="zh-CN"/>
        </w:rPr>
        <w:t>(</w:t>
      </w:r>
      <w:r>
        <w:rPr>
          <w:rFonts w:hint="eastAsia" w:ascii="仿宋_GB2312" w:eastAsia="仿宋_GB2312"/>
          <w:kern w:val="0"/>
          <w:sz w:val="32"/>
          <w:szCs w:val="32"/>
          <w:shd w:val="clear" w:color="auto" w:fill="FFFFFF"/>
          <w:lang w:val="zh-CN"/>
        </w:rPr>
        <w:t>政策法规股</w:t>
      </w:r>
      <w:r>
        <w:rPr>
          <w:rFonts w:ascii="仿宋_GB2312" w:eastAsia="仿宋_GB2312"/>
          <w:kern w:val="0"/>
          <w:sz w:val="32"/>
          <w:szCs w:val="32"/>
          <w:shd w:val="clear" w:color="auto" w:fill="FFFFFF"/>
          <w:lang w:val="zh-CN"/>
        </w:rPr>
        <w:t>)</w:t>
      </w:r>
      <w:r>
        <w:rPr>
          <w:rFonts w:hint="eastAsia" w:ascii="仿宋_GB2312" w:eastAsia="仿宋_GB2312"/>
          <w:kern w:val="0"/>
          <w:sz w:val="32"/>
          <w:szCs w:val="32"/>
          <w:shd w:val="clear" w:color="auto" w:fill="FFFFFF"/>
          <w:lang w:val="zh-CN"/>
        </w:rPr>
        <w:t>。负责机关人事、保密、文电、目标管理、财务、会务、宣传、政务公开、政务接待、档案、机要、资产管理、后勤保障、应急、安全保卫等工作。承担机关党建、党风廉政和反腐败建设、群团和文化建设等工作。组织协调、督促检查机关政务、业务等工作。总结推广信访工作经验</w:t>
      </w:r>
      <w:r>
        <w:rPr>
          <w:rFonts w:ascii="仿宋_GB2312" w:eastAsia="仿宋_GB2312"/>
          <w:kern w:val="0"/>
          <w:sz w:val="32"/>
          <w:szCs w:val="32"/>
          <w:shd w:val="clear" w:color="auto" w:fill="FFFFFF"/>
          <w:lang w:val="zh-CN"/>
        </w:rPr>
        <w:t>,</w:t>
      </w:r>
      <w:r>
        <w:rPr>
          <w:rFonts w:hint="eastAsia" w:ascii="仿宋_GB2312" w:eastAsia="仿宋_GB2312"/>
          <w:kern w:val="0"/>
          <w:sz w:val="32"/>
          <w:szCs w:val="32"/>
          <w:shd w:val="clear" w:color="auto" w:fill="FFFFFF"/>
          <w:lang w:val="zh-CN"/>
        </w:rPr>
        <w:t>组织开展全县信访工作业务指导、教育培训工作。负责机关退休人员管理服务工作。承担县信访工作联席会议办公室日常工作。承担本部门规范性文件合法性审查、备案和清理</w:t>
      </w:r>
      <w:r>
        <w:rPr>
          <w:rFonts w:ascii="仿宋_GB2312" w:eastAsia="仿宋_GB2312"/>
          <w:kern w:val="0"/>
          <w:sz w:val="32"/>
          <w:szCs w:val="32"/>
          <w:shd w:val="clear" w:color="auto" w:fill="FFFFFF"/>
        </w:rPr>
        <w:t>;</w:t>
      </w:r>
      <w:r>
        <w:rPr>
          <w:rFonts w:hint="eastAsia" w:ascii="仿宋_GB2312" w:eastAsia="仿宋_GB2312"/>
          <w:kern w:val="0"/>
          <w:sz w:val="32"/>
          <w:szCs w:val="32"/>
          <w:shd w:val="clear" w:color="auto" w:fill="FFFFFF"/>
          <w:lang w:val="zh-CN"/>
        </w:rPr>
        <w:t>业务股负责办理网上投诉信访事项。综合分析网上信访情况</w:t>
      </w:r>
      <w:r>
        <w:rPr>
          <w:rFonts w:ascii="仿宋_GB2312" w:eastAsia="仿宋_GB2312"/>
          <w:kern w:val="0"/>
          <w:sz w:val="32"/>
          <w:szCs w:val="32"/>
          <w:shd w:val="clear" w:color="auto" w:fill="FFFFFF"/>
          <w:lang w:val="zh-CN"/>
        </w:rPr>
        <w:t>,</w:t>
      </w:r>
      <w:r>
        <w:rPr>
          <w:rFonts w:hint="eastAsia" w:ascii="仿宋_GB2312" w:eastAsia="仿宋_GB2312"/>
          <w:kern w:val="0"/>
          <w:sz w:val="32"/>
          <w:szCs w:val="32"/>
          <w:shd w:val="clear" w:color="auto" w:fill="FFFFFF"/>
          <w:lang w:val="zh-CN"/>
        </w:rPr>
        <w:t>提出工作建议。承担全县信访信息系统、四川省网上信访信息系统、各级党政领导信箱、人民网地方领导人留言、县信访局门户网站等应用系统的建设、运行、维护工作。承担网上信访相关业务的推广应用培训工作。办理上级转办交办的来信事项和群众给县委、县政府领导来信。承担社情民意的汇集分析工作</w:t>
      </w:r>
      <w:r>
        <w:rPr>
          <w:rFonts w:ascii="仿宋_GB2312" w:eastAsia="仿宋_GB2312"/>
          <w:kern w:val="0"/>
          <w:sz w:val="32"/>
          <w:szCs w:val="32"/>
          <w:shd w:val="clear" w:color="auto" w:fill="FFFFFF"/>
          <w:lang w:val="zh-CN"/>
        </w:rPr>
        <w:t>,</w:t>
      </w:r>
      <w:r>
        <w:rPr>
          <w:rFonts w:hint="eastAsia" w:ascii="仿宋_GB2312" w:eastAsia="仿宋_GB2312"/>
          <w:kern w:val="0"/>
          <w:sz w:val="32"/>
          <w:szCs w:val="32"/>
          <w:shd w:val="clear" w:color="auto" w:fill="FFFFFF"/>
          <w:lang w:val="zh-CN"/>
        </w:rPr>
        <w:t>提出工作建议。承担县政府信访事项复查委员会办公室日常工作</w:t>
      </w:r>
      <w:r>
        <w:rPr>
          <w:rFonts w:ascii="仿宋_GB2312" w:eastAsia="仿宋_GB2312"/>
          <w:kern w:val="0"/>
          <w:sz w:val="32"/>
          <w:szCs w:val="32"/>
          <w:shd w:val="clear" w:color="auto" w:fill="FFFFFF"/>
        </w:rPr>
        <w:t>,</w:t>
      </w:r>
      <w:r>
        <w:rPr>
          <w:rFonts w:hint="eastAsia" w:ascii="仿宋_GB2312" w:eastAsia="仿宋_GB2312"/>
          <w:kern w:val="0"/>
          <w:sz w:val="32"/>
          <w:szCs w:val="32"/>
          <w:shd w:val="clear" w:color="auto" w:fill="FFFFFF"/>
          <w:lang w:val="zh-CN"/>
        </w:rPr>
        <w:t>负责接待群众到县委、县政府来访</w:t>
      </w:r>
      <w:r>
        <w:rPr>
          <w:rFonts w:ascii="仿宋_GB2312" w:eastAsia="仿宋_GB2312"/>
          <w:kern w:val="0"/>
          <w:sz w:val="32"/>
          <w:szCs w:val="32"/>
          <w:shd w:val="clear" w:color="auto" w:fill="FFFFFF"/>
          <w:lang w:val="zh-CN"/>
        </w:rPr>
        <w:t>,</w:t>
      </w:r>
      <w:r>
        <w:rPr>
          <w:rFonts w:hint="eastAsia" w:ascii="仿宋_GB2312" w:eastAsia="仿宋_GB2312"/>
          <w:kern w:val="0"/>
          <w:sz w:val="32"/>
          <w:szCs w:val="32"/>
          <w:shd w:val="clear" w:color="auto" w:fill="FFFFFF"/>
          <w:lang w:val="zh-CN"/>
        </w:rPr>
        <w:t>综合分析来访情况提出工作建议。承办上级转办、交办来访事项</w:t>
      </w:r>
      <w:r>
        <w:rPr>
          <w:rFonts w:ascii="仿宋_GB2312" w:eastAsia="仿宋_GB2312"/>
          <w:kern w:val="0"/>
          <w:sz w:val="32"/>
          <w:szCs w:val="32"/>
          <w:shd w:val="clear" w:color="auto" w:fill="FFFFFF"/>
          <w:lang w:val="zh-CN"/>
        </w:rPr>
        <w:t>,</w:t>
      </w:r>
      <w:r>
        <w:rPr>
          <w:rFonts w:hint="eastAsia" w:ascii="仿宋_GB2312" w:eastAsia="仿宋_GB2312"/>
          <w:kern w:val="0"/>
          <w:sz w:val="32"/>
          <w:szCs w:val="32"/>
          <w:shd w:val="clear" w:color="auto" w:fill="FFFFFF"/>
          <w:lang w:val="zh-CN"/>
        </w:rPr>
        <w:t>协助县领导开展接访下访工作。负责重大活动、重要会议等敏感时段的值班值守工作。组织协调进京赴省到市到县非接待场所有关人员</w:t>
      </w:r>
      <w:r>
        <w:rPr>
          <w:rFonts w:hint="eastAsia" w:ascii="仿宋_GB2312" w:eastAsia="仿宋_GB2312"/>
          <w:sz w:val="32"/>
          <w:szCs w:val="32"/>
        </w:rPr>
        <w:t>接访劝返协调处理工作。</w:t>
      </w:r>
    </w:p>
    <w:p w14:paraId="59F69B7B">
      <w:pPr>
        <w:widowControl/>
        <w:adjustRightInd w:val="0"/>
        <w:snapToGrid w:val="0"/>
        <w:spacing w:line="560" w:lineRule="exact"/>
        <w:ind w:firstLine="640" w:firstLineChars="200"/>
        <w:contextualSpacing/>
        <w:jc w:val="left"/>
        <w:rPr>
          <w:rFonts w:ascii="楷体" w:hAnsi="楷体" w:eastAsia="楷体" w:cs="宋体"/>
          <w:kern w:val="0"/>
          <w:sz w:val="32"/>
          <w:szCs w:val="32"/>
          <w:shd w:val="clear" w:color="auto" w:fill="FFFFFF"/>
          <w:lang w:val="zh-CN"/>
        </w:rPr>
      </w:pPr>
      <w:r>
        <w:rPr>
          <w:rFonts w:hint="eastAsia" w:ascii="楷体" w:hAnsi="楷体" w:eastAsia="楷体" w:cs="宋体"/>
          <w:kern w:val="0"/>
          <w:sz w:val="32"/>
          <w:szCs w:val="32"/>
          <w:shd w:val="clear" w:color="auto" w:fill="FFFFFF"/>
          <w:lang w:val="zh-CN"/>
        </w:rPr>
        <w:t>（三）人员概况</w:t>
      </w:r>
    </w:p>
    <w:p w14:paraId="63F8C7F0">
      <w:pPr>
        <w:widowControl/>
        <w:adjustRightInd w:val="0"/>
        <w:snapToGrid w:val="0"/>
        <w:spacing w:line="560" w:lineRule="exact"/>
        <w:ind w:firstLine="640" w:firstLineChars="200"/>
        <w:jc w:val="left"/>
        <w:rPr>
          <w:rFonts w:ascii="仿宋_GB2312" w:eastAsia="仿宋_GB2312"/>
          <w:kern w:val="0"/>
          <w:sz w:val="32"/>
          <w:szCs w:val="32"/>
          <w:shd w:val="clear" w:color="auto" w:fill="FFFFFF"/>
          <w:lang w:val="zh-CN"/>
        </w:rPr>
      </w:pPr>
      <w:r>
        <w:rPr>
          <w:rFonts w:hint="eastAsia" w:ascii="仿宋_GB2312" w:eastAsia="仿宋_GB2312"/>
          <w:kern w:val="0"/>
          <w:sz w:val="32"/>
          <w:szCs w:val="32"/>
          <w:shd w:val="clear" w:color="auto" w:fill="FFFFFF"/>
          <w:lang w:val="zh-CN"/>
        </w:rPr>
        <w:t>信访局行政编制人数为</w:t>
      </w:r>
      <w:r>
        <w:rPr>
          <w:rFonts w:ascii="仿宋_GB2312" w:eastAsia="仿宋_GB2312"/>
          <w:kern w:val="0"/>
          <w:sz w:val="32"/>
          <w:szCs w:val="32"/>
          <w:shd w:val="clear" w:color="auto" w:fill="FFFFFF"/>
          <w:lang w:val="zh-CN"/>
        </w:rPr>
        <w:t>3</w:t>
      </w:r>
      <w:r>
        <w:rPr>
          <w:rFonts w:hint="eastAsia" w:ascii="仿宋_GB2312" w:eastAsia="仿宋_GB2312"/>
          <w:kern w:val="0"/>
          <w:sz w:val="32"/>
          <w:szCs w:val="32"/>
          <w:shd w:val="clear" w:color="auto" w:fill="FFFFFF"/>
          <w:lang w:val="zh-CN"/>
        </w:rPr>
        <w:t>人，现有在职行政人员</w:t>
      </w:r>
      <w:r>
        <w:rPr>
          <w:rFonts w:ascii="仿宋_GB2312" w:eastAsia="仿宋_GB2312"/>
          <w:kern w:val="0"/>
          <w:sz w:val="32"/>
          <w:szCs w:val="32"/>
          <w:shd w:val="clear" w:color="auto" w:fill="FFFFFF"/>
        </w:rPr>
        <w:t>3</w:t>
      </w:r>
      <w:r>
        <w:rPr>
          <w:rFonts w:hint="eastAsia" w:ascii="仿宋_GB2312" w:eastAsia="仿宋_GB2312"/>
          <w:kern w:val="0"/>
          <w:sz w:val="32"/>
          <w:szCs w:val="32"/>
          <w:shd w:val="clear" w:color="auto" w:fill="FFFFFF"/>
          <w:lang w:val="zh-CN"/>
        </w:rPr>
        <w:t>人，群众服务中心事业编制人数为</w:t>
      </w:r>
      <w:r>
        <w:rPr>
          <w:rFonts w:ascii="仿宋_GB2312" w:eastAsia="仿宋_GB2312"/>
          <w:kern w:val="0"/>
          <w:sz w:val="32"/>
          <w:szCs w:val="32"/>
          <w:shd w:val="clear" w:color="auto" w:fill="FFFFFF"/>
        </w:rPr>
        <w:t>8</w:t>
      </w:r>
      <w:r>
        <w:rPr>
          <w:rFonts w:hint="eastAsia" w:ascii="仿宋_GB2312" w:eastAsia="仿宋_GB2312"/>
          <w:kern w:val="0"/>
          <w:sz w:val="32"/>
          <w:szCs w:val="32"/>
          <w:shd w:val="clear" w:color="auto" w:fill="FFFFFF"/>
          <w:lang w:val="zh-CN"/>
        </w:rPr>
        <w:t>人，现有在职事业人员8人。</w:t>
      </w:r>
    </w:p>
    <w:p w14:paraId="713DBE25">
      <w:pPr>
        <w:widowControl/>
        <w:adjustRightInd w:val="0"/>
        <w:snapToGrid w:val="0"/>
        <w:spacing w:line="560"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二、部门财政资金收支情况</w:t>
      </w:r>
    </w:p>
    <w:p w14:paraId="3D30ACD5">
      <w:pPr>
        <w:widowControl/>
        <w:adjustRightInd w:val="0"/>
        <w:snapToGrid w:val="0"/>
        <w:spacing w:line="560" w:lineRule="exact"/>
        <w:ind w:firstLine="640" w:firstLineChars="200"/>
        <w:contextualSpacing/>
        <w:jc w:val="left"/>
        <w:rPr>
          <w:rFonts w:ascii="楷体" w:hAnsi="楷体" w:eastAsia="楷体" w:cs="宋体"/>
          <w:kern w:val="0"/>
          <w:sz w:val="32"/>
          <w:szCs w:val="32"/>
          <w:shd w:val="clear" w:color="auto" w:fill="FFFFFF"/>
          <w:lang w:val="zh-CN"/>
        </w:rPr>
      </w:pPr>
      <w:r>
        <w:rPr>
          <w:rFonts w:hint="eastAsia" w:ascii="楷体" w:hAnsi="楷体" w:eastAsia="楷体" w:cs="宋体"/>
          <w:kern w:val="0"/>
          <w:sz w:val="32"/>
          <w:szCs w:val="32"/>
          <w:shd w:val="clear" w:color="auto" w:fill="FFFFFF"/>
          <w:lang w:val="zh-CN"/>
        </w:rPr>
        <w:t>（一）部门财政资金收入情况</w:t>
      </w:r>
    </w:p>
    <w:p w14:paraId="124974B4">
      <w:pPr>
        <w:pStyle w:val="12"/>
        <w:widowControl/>
        <w:shd w:val="clear" w:color="auto" w:fill="FFFFFF"/>
        <w:spacing w:before="0" w:beforeAutospacing="0" w:after="0" w:afterAutospacing="0" w:line="560" w:lineRule="exact"/>
        <w:ind w:firstLine="640"/>
        <w:rPr>
          <w:rFonts w:ascii="仿宋_GB2312" w:hAnsi="微软雅黑" w:eastAsia="仿宋_GB2312" w:cs="微软雅黑"/>
          <w:sz w:val="32"/>
          <w:szCs w:val="32"/>
        </w:rPr>
      </w:pPr>
      <w:r>
        <w:rPr>
          <w:rFonts w:hint="eastAsia" w:ascii="仿宋_GB2312" w:eastAsia="仿宋_GB2312"/>
          <w:sz w:val="32"/>
          <w:szCs w:val="32"/>
          <w:shd w:val="clear" w:color="auto" w:fill="FFFFFF"/>
        </w:rPr>
        <w:t>按照综合预算，信访局所有收入和支出均纳入部门预算管理。</w:t>
      </w:r>
      <w:r>
        <w:rPr>
          <w:rFonts w:ascii="仿宋_GB2312" w:hAnsi="微软雅黑" w:eastAsia="仿宋_GB2312" w:cs="微软雅黑"/>
          <w:sz w:val="32"/>
          <w:szCs w:val="32"/>
          <w:shd w:val="clear" w:color="auto" w:fill="FFFFFF"/>
        </w:rPr>
        <w:t>2021</w:t>
      </w:r>
      <w:r>
        <w:rPr>
          <w:rFonts w:hint="eastAsia" w:ascii="仿宋_GB2312" w:eastAsia="仿宋_GB2312"/>
          <w:sz w:val="32"/>
          <w:szCs w:val="32"/>
          <w:shd w:val="clear" w:color="auto" w:fill="FFFFFF"/>
        </w:rPr>
        <w:t>年财政收入</w:t>
      </w:r>
      <w:r>
        <w:rPr>
          <w:rFonts w:ascii="仿宋_GB2312" w:eastAsia="仿宋_GB2312"/>
          <w:sz w:val="32"/>
          <w:szCs w:val="32"/>
          <w:shd w:val="clear" w:color="auto" w:fill="FFFFFF"/>
        </w:rPr>
        <w:t>323.72</w:t>
      </w:r>
      <w:r>
        <w:rPr>
          <w:rFonts w:hint="eastAsia" w:ascii="仿宋_GB2312" w:eastAsia="仿宋_GB2312"/>
          <w:sz w:val="32"/>
          <w:szCs w:val="32"/>
          <w:shd w:val="clear" w:color="auto" w:fill="FFFFFF"/>
        </w:rPr>
        <w:t>万元其中：本年收入</w:t>
      </w:r>
      <w:r>
        <w:rPr>
          <w:rFonts w:ascii="仿宋_GB2312" w:eastAsia="仿宋_GB2312"/>
          <w:sz w:val="32"/>
          <w:szCs w:val="32"/>
          <w:shd w:val="clear" w:color="auto" w:fill="FFFFFF"/>
        </w:rPr>
        <w:t>277.19</w:t>
      </w:r>
      <w:r>
        <w:rPr>
          <w:rFonts w:hint="eastAsia" w:ascii="仿宋_GB2312" w:eastAsia="仿宋_GB2312"/>
          <w:sz w:val="32"/>
          <w:szCs w:val="32"/>
          <w:shd w:val="clear" w:color="auto" w:fill="FFFFFF"/>
        </w:rPr>
        <w:t>万元，年初预算安排</w:t>
      </w:r>
      <w:r>
        <w:rPr>
          <w:rFonts w:ascii="仿宋_GB2312" w:eastAsia="仿宋_GB2312"/>
          <w:sz w:val="32"/>
          <w:szCs w:val="32"/>
          <w:shd w:val="clear" w:color="auto" w:fill="FFFFFF"/>
        </w:rPr>
        <w:t xml:space="preserve">214.45  </w:t>
      </w:r>
      <w:r>
        <w:rPr>
          <w:rFonts w:hint="eastAsia" w:ascii="仿宋_GB2312" w:eastAsia="仿宋_GB2312"/>
          <w:sz w:val="32"/>
          <w:szCs w:val="32"/>
          <w:shd w:val="clear" w:color="auto" w:fill="FFFFFF"/>
        </w:rPr>
        <w:t>万元。</w:t>
      </w:r>
      <w:r>
        <w:rPr>
          <w:rFonts w:ascii="仿宋_GB2312" w:hAnsi="微软雅黑" w:eastAsia="仿宋_GB2312" w:cs="微软雅黑"/>
          <w:sz w:val="32"/>
          <w:szCs w:val="32"/>
          <w:shd w:val="clear" w:color="auto" w:fill="FFFFFF"/>
        </w:rPr>
        <w:t>2021</w:t>
      </w:r>
      <w:r>
        <w:rPr>
          <w:rFonts w:hint="eastAsia" w:ascii="仿宋_GB2312" w:eastAsia="仿宋_GB2312"/>
          <w:sz w:val="32"/>
          <w:szCs w:val="32"/>
          <w:shd w:val="clear" w:color="auto" w:fill="FFFFFF"/>
        </w:rPr>
        <w:t>年基本收入</w:t>
      </w:r>
      <w:r>
        <w:rPr>
          <w:rFonts w:ascii="仿宋_GB2312" w:eastAsia="仿宋_GB2312"/>
          <w:sz w:val="32"/>
          <w:szCs w:val="32"/>
          <w:shd w:val="clear" w:color="auto" w:fill="FFFFFF"/>
        </w:rPr>
        <w:t>204.28</w:t>
      </w:r>
      <w:r>
        <w:rPr>
          <w:rFonts w:hint="eastAsia" w:ascii="仿宋_GB2312" w:eastAsia="仿宋_GB2312"/>
          <w:sz w:val="32"/>
          <w:szCs w:val="32"/>
          <w:shd w:val="clear" w:color="auto" w:fill="FFFFFF"/>
        </w:rPr>
        <w:t>万元，其中人员经费收入</w:t>
      </w:r>
      <w:r>
        <w:rPr>
          <w:rFonts w:ascii="仿宋_GB2312" w:eastAsia="仿宋_GB2312"/>
          <w:sz w:val="32"/>
          <w:szCs w:val="32"/>
          <w:shd w:val="clear" w:color="auto" w:fill="FFFFFF"/>
        </w:rPr>
        <w:t>188.80</w:t>
      </w:r>
      <w:r>
        <w:rPr>
          <w:rFonts w:hint="eastAsia" w:ascii="仿宋_GB2312" w:eastAsia="仿宋_GB2312"/>
          <w:sz w:val="32"/>
          <w:szCs w:val="32"/>
          <w:shd w:val="clear" w:color="auto" w:fill="FFFFFF"/>
        </w:rPr>
        <w:t>万元，公用经费收入</w:t>
      </w:r>
      <w:r>
        <w:rPr>
          <w:rFonts w:ascii="仿宋_GB2312" w:eastAsia="仿宋_GB2312"/>
          <w:sz w:val="32"/>
          <w:szCs w:val="32"/>
          <w:shd w:val="clear" w:color="auto" w:fill="FFFFFF"/>
        </w:rPr>
        <w:t>15.48</w:t>
      </w:r>
      <w:r>
        <w:rPr>
          <w:rFonts w:hint="eastAsia" w:ascii="仿宋_GB2312" w:eastAsia="仿宋_GB2312"/>
          <w:sz w:val="32"/>
          <w:szCs w:val="32"/>
          <w:shd w:val="clear" w:color="auto" w:fill="FFFFFF"/>
        </w:rPr>
        <w:t>万元；项目收入</w:t>
      </w:r>
      <w:r>
        <w:rPr>
          <w:rFonts w:ascii="仿宋_GB2312" w:eastAsia="仿宋_GB2312"/>
          <w:sz w:val="32"/>
          <w:szCs w:val="32"/>
          <w:shd w:val="clear" w:color="auto" w:fill="FFFFFF"/>
        </w:rPr>
        <w:t xml:space="preserve"> 72.91 </w:t>
      </w:r>
      <w:r>
        <w:rPr>
          <w:rFonts w:hint="eastAsia" w:ascii="仿宋_GB2312" w:eastAsia="仿宋_GB2312"/>
          <w:sz w:val="32"/>
          <w:szCs w:val="32"/>
          <w:shd w:val="clear" w:color="auto" w:fill="FFFFFF"/>
        </w:rPr>
        <w:t>万元。</w:t>
      </w:r>
    </w:p>
    <w:p w14:paraId="0878A858">
      <w:pPr>
        <w:widowControl/>
        <w:adjustRightInd w:val="0"/>
        <w:snapToGrid w:val="0"/>
        <w:spacing w:line="560" w:lineRule="exact"/>
        <w:ind w:firstLine="640" w:firstLineChars="200"/>
        <w:contextualSpacing/>
        <w:jc w:val="left"/>
        <w:rPr>
          <w:rFonts w:ascii="楷体" w:hAnsi="楷体" w:eastAsia="楷体" w:cs="宋体"/>
          <w:kern w:val="0"/>
          <w:sz w:val="32"/>
          <w:szCs w:val="32"/>
          <w:shd w:val="clear" w:color="auto" w:fill="FFFFFF"/>
          <w:lang w:val="zh-CN"/>
        </w:rPr>
      </w:pPr>
      <w:r>
        <w:rPr>
          <w:rFonts w:hint="eastAsia" w:ascii="楷体" w:hAnsi="楷体" w:eastAsia="楷体" w:cs="宋体"/>
          <w:kern w:val="0"/>
          <w:sz w:val="32"/>
          <w:szCs w:val="32"/>
          <w:shd w:val="clear" w:color="auto" w:fill="FFFFFF"/>
          <w:lang w:val="zh-CN"/>
        </w:rPr>
        <w:t>（二）部门财政资金支出情况</w:t>
      </w:r>
    </w:p>
    <w:p w14:paraId="554A023D">
      <w:pPr>
        <w:pStyle w:val="12"/>
        <w:widowControl/>
        <w:shd w:val="clear" w:color="auto" w:fill="FFFFFF"/>
        <w:spacing w:before="0" w:beforeAutospacing="0" w:after="0" w:afterAutospacing="0" w:line="560" w:lineRule="exact"/>
        <w:ind w:firstLine="640"/>
        <w:rPr>
          <w:rFonts w:ascii="仿宋_GB2312" w:hAnsi="微软雅黑" w:eastAsia="仿宋_GB2312" w:cs="微软雅黑"/>
          <w:sz w:val="32"/>
          <w:szCs w:val="32"/>
        </w:rPr>
      </w:pPr>
      <w:r>
        <w:rPr>
          <w:rFonts w:hint="eastAsia" w:ascii="仿宋_GB2312" w:eastAsia="仿宋_GB2312"/>
          <w:sz w:val="32"/>
          <w:szCs w:val="32"/>
          <w:shd w:val="clear" w:color="auto" w:fill="FFFFFF"/>
        </w:rPr>
        <w:t>严格按照预算执行。在收到财政下达的各类款项后，按照资金的用途使用，支出总额控制在预算总额以内，按照预算执行进度及时支付。</w:t>
      </w:r>
      <w:r>
        <w:rPr>
          <w:rFonts w:ascii="仿宋_GB2312" w:hAnsi="微软雅黑" w:eastAsia="仿宋_GB2312" w:cs="微软雅黑"/>
          <w:sz w:val="32"/>
          <w:szCs w:val="32"/>
          <w:shd w:val="clear" w:color="auto" w:fill="FFFFFF"/>
        </w:rPr>
        <w:t>2021</w:t>
      </w:r>
      <w:r>
        <w:rPr>
          <w:rFonts w:hint="eastAsia" w:ascii="仿宋_GB2312" w:eastAsia="仿宋_GB2312"/>
          <w:sz w:val="32"/>
          <w:szCs w:val="32"/>
          <w:shd w:val="clear" w:color="auto" w:fill="FFFFFF"/>
        </w:rPr>
        <w:t>年财政支出共</w:t>
      </w:r>
      <w:r>
        <w:rPr>
          <w:rFonts w:ascii="仿宋_GB2312" w:eastAsia="仿宋_GB2312"/>
          <w:sz w:val="32"/>
          <w:szCs w:val="32"/>
          <w:shd w:val="clear" w:color="auto" w:fill="FFFFFF"/>
        </w:rPr>
        <w:t>323.72</w:t>
      </w:r>
      <w:r>
        <w:rPr>
          <w:rFonts w:hint="eastAsia" w:ascii="仿宋_GB2312" w:eastAsia="仿宋_GB2312"/>
          <w:sz w:val="32"/>
          <w:szCs w:val="32"/>
          <w:shd w:val="clear" w:color="auto" w:fill="FFFFFF"/>
        </w:rPr>
        <w:t>万元。</w:t>
      </w:r>
      <w:r>
        <w:rPr>
          <w:rFonts w:ascii="仿宋_GB2312" w:hAnsi="微软雅黑" w:eastAsia="仿宋_GB2312" w:cs="微软雅黑"/>
          <w:sz w:val="32"/>
          <w:szCs w:val="32"/>
          <w:shd w:val="clear" w:color="auto" w:fill="FFFFFF"/>
        </w:rPr>
        <w:t>2021</w:t>
      </w:r>
      <w:r>
        <w:rPr>
          <w:rFonts w:hint="eastAsia" w:ascii="仿宋_GB2312" w:eastAsia="仿宋_GB2312"/>
          <w:sz w:val="32"/>
          <w:szCs w:val="32"/>
          <w:shd w:val="clear" w:color="auto" w:fill="FFFFFF"/>
        </w:rPr>
        <w:t>年基本支出</w:t>
      </w:r>
      <w:r>
        <w:rPr>
          <w:rFonts w:ascii="仿宋_GB2312" w:eastAsia="仿宋_GB2312"/>
          <w:sz w:val="32"/>
          <w:szCs w:val="32"/>
          <w:shd w:val="clear" w:color="auto" w:fill="FFFFFF"/>
        </w:rPr>
        <w:t>204.28</w:t>
      </w:r>
      <w:r>
        <w:rPr>
          <w:rFonts w:hint="eastAsia" w:ascii="仿宋_GB2312" w:eastAsia="仿宋_GB2312"/>
          <w:sz w:val="32"/>
          <w:szCs w:val="32"/>
          <w:shd w:val="clear" w:color="auto" w:fill="FFFFFF"/>
        </w:rPr>
        <w:t>万元，其中人员经费支出</w:t>
      </w:r>
      <w:r>
        <w:rPr>
          <w:rFonts w:ascii="仿宋_GB2312" w:eastAsia="仿宋_GB2312"/>
          <w:sz w:val="32"/>
          <w:szCs w:val="32"/>
          <w:shd w:val="clear" w:color="auto" w:fill="FFFFFF"/>
        </w:rPr>
        <w:t xml:space="preserve"> 188.80 </w:t>
      </w:r>
      <w:r>
        <w:rPr>
          <w:rFonts w:hint="eastAsia" w:ascii="仿宋_GB2312" w:eastAsia="仿宋_GB2312"/>
          <w:sz w:val="32"/>
          <w:szCs w:val="32"/>
          <w:shd w:val="clear" w:color="auto" w:fill="FFFFFF"/>
        </w:rPr>
        <w:t>万元，公用经费支出</w:t>
      </w:r>
      <w:r>
        <w:rPr>
          <w:rFonts w:ascii="仿宋_GB2312" w:eastAsia="仿宋_GB2312"/>
          <w:sz w:val="32"/>
          <w:szCs w:val="32"/>
          <w:shd w:val="clear" w:color="auto" w:fill="FFFFFF"/>
        </w:rPr>
        <w:t xml:space="preserve"> 15.48 </w:t>
      </w:r>
      <w:r>
        <w:rPr>
          <w:rFonts w:hint="eastAsia" w:ascii="仿宋_GB2312" w:eastAsia="仿宋_GB2312"/>
          <w:sz w:val="32"/>
          <w:szCs w:val="32"/>
          <w:shd w:val="clear" w:color="auto" w:fill="FFFFFF"/>
        </w:rPr>
        <w:t>万元；项目支出</w:t>
      </w:r>
      <w:r>
        <w:rPr>
          <w:rFonts w:ascii="仿宋_GB2312" w:eastAsia="仿宋_GB2312"/>
          <w:sz w:val="32"/>
          <w:szCs w:val="32"/>
          <w:shd w:val="clear" w:color="auto" w:fill="FFFFFF"/>
        </w:rPr>
        <w:t xml:space="preserve">119.44 </w:t>
      </w:r>
      <w:r>
        <w:rPr>
          <w:rFonts w:hint="eastAsia" w:ascii="仿宋_GB2312" w:eastAsia="仿宋_GB2312"/>
          <w:sz w:val="32"/>
          <w:szCs w:val="32"/>
          <w:shd w:val="clear" w:color="auto" w:fill="FFFFFF"/>
        </w:rPr>
        <w:t>万元。人员支出是用于保障信访局机关、下属事业单位等机构正常运转的日常支出，主要包括基本工资、津贴补贴、住房公积金和社会保险缴费等支出。日常公用经费支出主要包括办公费、水费、电费、邮电费、印刷费、差旅费、维修（护）费、劳务费等支出。</w:t>
      </w:r>
    </w:p>
    <w:p w14:paraId="0FC31AF0">
      <w:pPr>
        <w:widowControl/>
        <w:adjustRightInd w:val="0"/>
        <w:snapToGrid w:val="0"/>
        <w:spacing w:line="560"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三、部门整体预算绩效管理情况（涉及有专项预算的部门，专项预算项目自评报告作为附件报送；特定目标类部门预算项目绩效目标自评表作为附表报送）</w:t>
      </w:r>
    </w:p>
    <w:p w14:paraId="13E126EC">
      <w:pPr>
        <w:widowControl/>
        <w:adjustRightInd w:val="0"/>
        <w:snapToGrid w:val="0"/>
        <w:spacing w:line="560" w:lineRule="exact"/>
        <w:ind w:firstLine="640" w:firstLineChars="200"/>
        <w:contextualSpacing/>
        <w:jc w:val="left"/>
        <w:rPr>
          <w:rFonts w:ascii="楷体" w:hAnsi="楷体" w:eastAsia="楷体" w:cs="宋体"/>
          <w:kern w:val="0"/>
          <w:sz w:val="32"/>
          <w:szCs w:val="32"/>
          <w:shd w:val="clear" w:color="auto" w:fill="FFFFFF"/>
          <w:lang w:val="zh-CN"/>
        </w:rPr>
      </w:pPr>
      <w:r>
        <w:rPr>
          <w:rFonts w:hint="eastAsia" w:ascii="楷体" w:hAnsi="楷体" w:eastAsia="楷体" w:cs="宋体"/>
          <w:kern w:val="0"/>
          <w:sz w:val="32"/>
          <w:szCs w:val="32"/>
          <w:shd w:val="clear" w:color="auto" w:fill="FFFFFF"/>
          <w:lang w:val="zh-CN"/>
        </w:rPr>
        <w:t>（一）部门预算项目绩效管理</w:t>
      </w:r>
    </w:p>
    <w:p w14:paraId="688ED8A9">
      <w:pPr>
        <w:pStyle w:val="12"/>
        <w:widowControl/>
        <w:shd w:val="clear" w:color="auto" w:fill="FFFFFF"/>
        <w:spacing w:before="0" w:beforeAutospacing="0" w:after="0" w:afterAutospacing="0" w:line="560" w:lineRule="exact"/>
        <w:ind w:firstLine="640"/>
        <w:rPr>
          <w:rFonts w:ascii="方正仿宋_GBK" w:hAnsi="微软雅黑" w:eastAsia="方正仿宋_GBK" w:cs="微软雅黑"/>
          <w:b/>
          <w:sz w:val="27"/>
          <w:szCs w:val="27"/>
        </w:rPr>
      </w:pPr>
      <w:r>
        <w:rPr>
          <w:rFonts w:ascii="方正仿宋_GBK" w:hAnsi="微软雅黑" w:eastAsia="方正仿宋_GBK" w:cs="微软雅黑"/>
          <w:b/>
          <w:sz w:val="32"/>
          <w:szCs w:val="32"/>
          <w:shd w:val="clear" w:color="auto" w:fill="FFFFFF"/>
        </w:rPr>
        <w:t>1.</w:t>
      </w:r>
      <w:r>
        <w:rPr>
          <w:rFonts w:hint="eastAsia" w:ascii="方正仿宋_GBK" w:hAnsi="仿宋_GB2312" w:eastAsia="方正仿宋_GBK" w:cs="仿宋_GB2312"/>
          <w:b/>
          <w:sz w:val="32"/>
          <w:szCs w:val="32"/>
          <w:shd w:val="clear" w:color="auto" w:fill="FFFFFF"/>
        </w:rPr>
        <w:t>总体绩效</w:t>
      </w:r>
    </w:p>
    <w:p w14:paraId="736F8D2A">
      <w:pPr>
        <w:pStyle w:val="12"/>
        <w:widowControl/>
        <w:shd w:val="clear" w:color="auto" w:fill="FFFFFF"/>
        <w:spacing w:before="0" w:beforeAutospacing="0" w:after="0" w:afterAutospacing="0" w:line="560" w:lineRule="exact"/>
        <w:ind w:firstLine="640"/>
        <w:rPr>
          <w:rFonts w:ascii="仿宋_GB2312" w:eastAsia="仿宋_GB2312"/>
          <w:sz w:val="32"/>
          <w:szCs w:val="32"/>
          <w:shd w:val="clear" w:color="auto" w:fill="FFFFFF"/>
        </w:rPr>
      </w:pPr>
      <w:r>
        <w:rPr>
          <w:rFonts w:ascii="仿宋_GB2312" w:hAnsi="微软雅黑" w:eastAsia="仿宋_GB2312" w:cs="微软雅黑"/>
          <w:sz w:val="32"/>
          <w:szCs w:val="32"/>
          <w:shd w:val="clear" w:color="auto" w:fill="FFFFFF"/>
        </w:rPr>
        <w:t>2021</w:t>
      </w:r>
      <w:r>
        <w:rPr>
          <w:rFonts w:hint="eastAsia" w:ascii="仿宋_GB2312" w:eastAsia="仿宋_GB2312"/>
          <w:sz w:val="32"/>
          <w:szCs w:val="32"/>
          <w:shd w:val="clear" w:color="auto" w:fill="FFFFFF"/>
        </w:rPr>
        <w:t>年总体目标是：在县委县政府的领导下，按照职能职责按时完成上级部门下达的各项任务。保证财政资金安全，按时发放职工工资，节约办公，保障机构正常运行；有序推进其他各项业务工作，服务群众。信访项目经费总体目标是：切实维护辖区社会和谐安定，妥善处理好各类信访案件，推动信访积案有效化解，减少积案存量；畅通信访渠道、规范信访秩序，妥善解决群众合理诉求，促进问题解决，维护社会稳定。</w:t>
      </w:r>
    </w:p>
    <w:p w14:paraId="673A36DB">
      <w:pPr>
        <w:pStyle w:val="12"/>
        <w:widowControl/>
        <w:shd w:val="clear" w:color="auto" w:fill="FFFFFF"/>
        <w:spacing w:before="0" w:beforeAutospacing="0" w:after="0" w:afterAutospacing="0" w:line="560" w:lineRule="exact"/>
        <w:ind w:firstLine="640"/>
        <w:rPr>
          <w:rFonts w:ascii="方正仿宋_GBK" w:hAnsi="仿宋_GB2312" w:eastAsia="方正仿宋_GBK" w:cs="仿宋_GB2312"/>
          <w:b/>
          <w:sz w:val="32"/>
          <w:szCs w:val="32"/>
          <w:shd w:val="clear" w:color="auto" w:fill="FFFFFF"/>
        </w:rPr>
      </w:pPr>
      <w:r>
        <w:rPr>
          <w:rFonts w:ascii="方正仿宋_GBK" w:hAnsi="仿宋_GB2312" w:eastAsia="方正仿宋_GBK" w:cs="仿宋_GB2312"/>
          <w:b/>
          <w:sz w:val="32"/>
          <w:szCs w:val="32"/>
          <w:shd w:val="clear" w:color="auto" w:fill="FFFFFF"/>
        </w:rPr>
        <w:t>2.</w:t>
      </w:r>
      <w:r>
        <w:rPr>
          <w:rFonts w:hint="eastAsia" w:ascii="方正仿宋_GBK" w:hAnsi="仿宋_GB2312" w:eastAsia="方正仿宋_GBK" w:cs="仿宋_GB2312"/>
          <w:b/>
          <w:sz w:val="32"/>
          <w:szCs w:val="32"/>
          <w:shd w:val="clear" w:color="auto" w:fill="FFFFFF"/>
        </w:rPr>
        <w:t>主要目标绩效完成情况</w:t>
      </w:r>
    </w:p>
    <w:p w14:paraId="3589D4CB">
      <w:pPr>
        <w:snapToGrid w:val="0"/>
        <w:spacing w:line="560" w:lineRule="exact"/>
        <w:ind w:firstLine="640" w:firstLineChars="200"/>
        <w:rPr>
          <w:rFonts w:ascii="仿宋_GB2312" w:hAnsi="仿宋" w:eastAsia="仿宋_GB2312"/>
          <w:color w:val="000000"/>
          <w:sz w:val="32"/>
          <w:szCs w:val="32"/>
        </w:rPr>
      </w:pPr>
      <w:r>
        <w:rPr>
          <w:rFonts w:eastAsia="仿宋_GB2312"/>
          <w:color w:val="000000"/>
          <w:sz w:val="32"/>
          <w:szCs w:val="32"/>
        </w:rPr>
        <w:t>2021</w:t>
      </w:r>
      <w:r>
        <w:rPr>
          <w:rFonts w:hint="eastAsia" w:eastAsia="仿宋_GB2312"/>
          <w:color w:val="000000"/>
          <w:sz w:val="32"/>
          <w:szCs w:val="32"/>
        </w:rPr>
        <w:t>年度全年资金拨付和使用均按计划进度完成，全年经费的拨付和使用均及时、合理，</w:t>
      </w:r>
      <w:r>
        <w:rPr>
          <w:rFonts w:hint="eastAsia" w:ascii="仿宋_GB2312" w:hAnsi="仿宋" w:eastAsia="仿宋_GB2312"/>
          <w:color w:val="000000"/>
          <w:sz w:val="32"/>
          <w:szCs w:val="32"/>
        </w:rPr>
        <w:t>按照项目资金管理办法实行专款专用，</w:t>
      </w:r>
      <w:r>
        <w:rPr>
          <w:rFonts w:hint="eastAsia" w:eastAsia="仿宋_GB2312"/>
          <w:color w:val="000000"/>
          <w:sz w:val="32"/>
          <w:szCs w:val="32"/>
        </w:rPr>
        <w:t>未发生因经费影响工作的情况。</w:t>
      </w:r>
      <w:r>
        <w:rPr>
          <w:rFonts w:hint="eastAsia" w:ascii="仿宋_GB2312" w:hAnsi="仿宋" w:eastAsia="仿宋_GB2312"/>
          <w:color w:val="000000"/>
          <w:sz w:val="32"/>
          <w:szCs w:val="32"/>
        </w:rPr>
        <w:t>坚决执行国家有关法律、法规和财务规章制度，厉行节约，制止奢侈浪费，量入为出，保证重点，兼顾一般，严格专款专用，防止了截留、挤占、挪用等问题发生，确保资金安全、规范、有效使用。</w:t>
      </w:r>
    </w:p>
    <w:p w14:paraId="6FE16364">
      <w:pPr>
        <w:snapToGrid w:val="0"/>
        <w:spacing w:line="560" w:lineRule="exact"/>
        <w:ind w:firstLine="643" w:firstLineChars="200"/>
        <w:rPr>
          <w:rFonts w:eastAsia="仿宋_GB2312"/>
          <w:b/>
          <w:bCs/>
          <w:color w:val="000000"/>
          <w:sz w:val="32"/>
          <w:szCs w:val="32"/>
        </w:rPr>
      </w:pPr>
      <w:r>
        <w:rPr>
          <w:rFonts w:hint="eastAsia" w:eastAsia="仿宋_GB2312"/>
          <w:b/>
          <w:bCs/>
          <w:color w:val="000000"/>
          <w:sz w:val="32"/>
          <w:szCs w:val="32"/>
        </w:rPr>
        <w:t>（</w:t>
      </w:r>
      <w:r>
        <w:rPr>
          <w:rFonts w:eastAsia="仿宋_GB2312"/>
          <w:b/>
          <w:bCs/>
          <w:color w:val="000000"/>
          <w:sz w:val="32"/>
          <w:szCs w:val="32"/>
        </w:rPr>
        <w:t>1</w:t>
      </w:r>
      <w:r>
        <w:rPr>
          <w:rFonts w:hint="eastAsia" w:eastAsia="仿宋_GB2312"/>
          <w:b/>
          <w:bCs/>
          <w:color w:val="000000"/>
          <w:sz w:val="32"/>
          <w:szCs w:val="32"/>
        </w:rPr>
        <w:t>）人员类</w:t>
      </w:r>
    </w:p>
    <w:p w14:paraId="75651401">
      <w:pPr>
        <w:snapToGrid w:val="0"/>
        <w:spacing w:line="560" w:lineRule="exact"/>
        <w:ind w:firstLine="640" w:firstLineChars="200"/>
        <w:rPr>
          <w:rFonts w:ascii="仿宋_GB2312" w:hAnsi="仿宋" w:eastAsia="仿宋_GB2312"/>
          <w:color w:val="000000"/>
          <w:sz w:val="32"/>
          <w:szCs w:val="32"/>
        </w:rPr>
      </w:pPr>
      <w:r>
        <w:rPr>
          <w:rFonts w:ascii="仿宋_GB2312" w:hAnsi="仿宋" w:eastAsia="仿宋_GB2312"/>
          <w:color w:val="000000"/>
          <w:sz w:val="32"/>
          <w:szCs w:val="32"/>
        </w:rPr>
        <w:t>2021</w:t>
      </w:r>
      <w:r>
        <w:rPr>
          <w:rFonts w:hint="eastAsia" w:ascii="仿宋_GB2312" w:hAnsi="仿宋" w:eastAsia="仿宋_GB2312"/>
          <w:color w:val="000000"/>
          <w:sz w:val="32"/>
          <w:szCs w:val="32"/>
        </w:rPr>
        <w:t>年度</w:t>
      </w:r>
      <w:r>
        <w:rPr>
          <w:rFonts w:ascii="仿宋_GB2312" w:hAnsi="仿宋" w:eastAsia="仿宋_GB2312"/>
          <w:color w:val="000000"/>
          <w:sz w:val="32"/>
          <w:szCs w:val="32"/>
        </w:rPr>
        <w:t>,</w:t>
      </w:r>
      <w:r>
        <w:rPr>
          <w:rFonts w:hint="eastAsia" w:ascii="仿宋_GB2312" w:hAnsi="仿宋" w:eastAsia="仿宋_GB2312"/>
          <w:color w:val="000000"/>
          <w:sz w:val="32"/>
          <w:szCs w:val="32"/>
        </w:rPr>
        <w:t>使用一般公共预算财政拨款安排的职工工资支出、住房公积金支出等基本支出保障有力，未将工资福利支出等大平台指标挪作</w:t>
      </w:r>
      <w:r>
        <w:rPr>
          <w:rFonts w:hint="eastAsia" w:ascii="仿宋_GB2312" w:hAnsi="仿宋" w:eastAsia="仿宋_GB2312"/>
          <w:color w:val="000000"/>
          <w:sz w:val="32"/>
          <w:szCs w:val="32"/>
          <w:lang w:val="en-US" w:eastAsia="zh-CN"/>
        </w:rPr>
        <w:t>他</w:t>
      </w:r>
      <w:r>
        <w:rPr>
          <w:rFonts w:hint="eastAsia" w:ascii="仿宋_GB2312" w:hAnsi="仿宋" w:eastAsia="仿宋_GB2312"/>
          <w:color w:val="000000"/>
          <w:sz w:val="32"/>
          <w:szCs w:val="32"/>
        </w:rPr>
        <w:t>用，确保全年平稳保障职工工资支出，维持基本行政运转。</w:t>
      </w:r>
    </w:p>
    <w:p w14:paraId="2F6A9692">
      <w:pPr>
        <w:snapToGrid w:val="0"/>
        <w:spacing w:line="560" w:lineRule="exact"/>
        <w:ind w:firstLine="640" w:firstLineChars="200"/>
        <w:rPr>
          <w:rFonts w:eastAsia="仿宋_GB2312"/>
          <w:color w:val="000000"/>
          <w:sz w:val="32"/>
          <w:szCs w:val="32"/>
        </w:rPr>
      </w:pPr>
      <w:r>
        <w:rPr>
          <w:rFonts w:hint="eastAsia" w:ascii="仿宋_GB2312" w:hAnsi="仿宋" w:eastAsia="仿宋_GB2312"/>
          <w:color w:val="000000"/>
          <w:sz w:val="32"/>
          <w:szCs w:val="32"/>
        </w:rPr>
        <w:t>人员经费支出</w:t>
      </w:r>
      <w:r>
        <w:rPr>
          <w:rFonts w:ascii="仿宋_GB2312" w:eastAsia="仿宋_GB2312"/>
          <w:sz w:val="32"/>
          <w:szCs w:val="32"/>
          <w:shd w:val="clear" w:color="auto" w:fill="FFFFFF"/>
        </w:rPr>
        <w:t>188.80</w:t>
      </w:r>
      <w:r>
        <w:rPr>
          <w:rFonts w:hint="eastAsia" w:ascii="仿宋_GB2312" w:hAnsi="仿宋" w:eastAsia="仿宋_GB2312"/>
          <w:color w:val="000000"/>
          <w:sz w:val="32"/>
          <w:szCs w:val="32"/>
        </w:rPr>
        <w:t>万元，主要用于职工工资及福利待遇支出，</w:t>
      </w:r>
      <w:r>
        <w:rPr>
          <w:rFonts w:hint="eastAsia" w:eastAsia="仿宋_GB2312"/>
          <w:color w:val="000000"/>
          <w:sz w:val="32"/>
          <w:szCs w:val="32"/>
        </w:rPr>
        <w:t>干部职工工资及对个人和家庭补助支出足额按月及时进行拨付，预算执行率</w:t>
      </w:r>
      <w:r>
        <w:rPr>
          <w:rFonts w:eastAsia="仿宋_GB2312"/>
          <w:color w:val="000000"/>
          <w:sz w:val="32"/>
          <w:szCs w:val="32"/>
        </w:rPr>
        <w:t>100%</w:t>
      </w:r>
      <w:r>
        <w:rPr>
          <w:rFonts w:hint="eastAsia" w:eastAsia="仿宋_GB2312"/>
          <w:color w:val="000000"/>
          <w:sz w:val="32"/>
          <w:szCs w:val="32"/>
        </w:rPr>
        <w:t>。</w:t>
      </w:r>
    </w:p>
    <w:p w14:paraId="562167B9">
      <w:pPr>
        <w:snapToGrid w:val="0"/>
        <w:spacing w:line="560" w:lineRule="exact"/>
        <w:ind w:firstLine="643" w:firstLineChars="200"/>
        <w:rPr>
          <w:rFonts w:eastAsia="仿宋_GB2312"/>
          <w:b/>
          <w:bCs/>
          <w:color w:val="000000"/>
          <w:sz w:val="32"/>
          <w:szCs w:val="32"/>
        </w:rPr>
      </w:pPr>
      <w:r>
        <w:rPr>
          <w:rFonts w:hint="eastAsia" w:eastAsia="仿宋_GB2312"/>
          <w:b/>
          <w:bCs/>
          <w:color w:val="000000"/>
          <w:sz w:val="32"/>
          <w:szCs w:val="32"/>
        </w:rPr>
        <w:t>（</w:t>
      </w:r>
      <w:r>
        <w:rPr>
          <w:rFonts w:eastAsia="仿宋_GB2312"/>
          <w:b/>
          <w:bCs/>
          <w:color w:val="000000"/>
          <w:sz w:val="32"/>
          <w:szCs w:val="32"/>
        </w:rPr>
        <w:t>2</w:t>
      </w:r>
      <w:r>
        <w:rPr>
          <w:rFonts w:hint="eastAsia" w:eastAsia="仿宋_GB2312"/>
          <w:b/>
          <w:bCs/>
          <w:color w:val="000000"/>
          <w:sz w:val="32"/>
          <w:szCs w:val="32"/>
        </w:rPr>
        <w:t>）运转类</w:t>
      </w:r>
    </w:p>
    <w:p w14:paraId="09F6D31C">
      <w:pPr>
        <w:snapToGrid w:val="0"/>
        <w:spacing w:line="560" w:lineRule="exact"/>
        <w:ind w:firstLine="640" w:firstLineChars="200"/>
        <w:rPr>
          <w:rFonts w:ascii="仿宋_GB2312" w:hAnsi="仿宋" w:eastAsia="仿宋_GB2312"/>
          <w:color w:val="000000"/>
          <w:sz w:val="32"/>
          <w:szCs w:val="32"/>
        </w:rPr>
      </w:pPr>
      <w:r>
        <w:rPr>
          <w:rFonts w:ascii="仿宋_GB2312" w:hAnsi="仿宋" w:eastAsia="仿宋_GB2312"/>
          <w:color w:val="000000"/>
          <w:sz w:val="32"/>
          <w:szCs w:val="32"/>
        </w:rPr>
        <w:t>2021</w:t>
      </w:r>
      <w:r>
        <w:rPr>
          <w:rFonts w:hint="eastAsia" w:ascii="仿宋_GB2312" w:hAnsi="仿宋" w:eastAsia="仿宋_GB2312"/>
          <w:color w:val="000000"/>
          <w:sz w:val="32"/>
          <w:szCs w:val="32"/>
        </w:rPr>
        <w:t>年度</w:t>
      </w:r>
      <w:r>
        <w:rPr>
          <w:rFonts w:ascii="仿宋_GB2312" w:hAnsi="仿宋" w:eastAsia="仿宋_GB2312"/>
          <w:color w:val="000000"/>
          <w:sz w:val="32"/>
          <w:szCs w:val="32"/>
        </w:rPr>
        <w:t>,</w:t>
      </w:r>
      <w:r>
        <w:rPr>
          <w:rFonts w:hint="eastAsia" w:ascii="仿宋_GB2312" w:hAnsi="仿宋" w:eastAsia="仿宋_GB2312"/>
          <w:color w:val="000000"/>
          <w:sz w:val="32"/>
          <w:szCs w:val="32"/>
        </w:rPr>
        <w:t>在履行一般行政管理职能、维持机关日常运转而开支的机关运行经费呈下降趋势，全局厉行节约，杜绝各类非必要业务培训及差旅费支出；办公设备维护、耗材选购均货比三家，注重性价比，通过采取多种措施，切实严控各类公用经费支出。</w:t>
      </w:r>
    </w:p>
    <w:p w14:paraId="66CD7A48">
      <w:pPr>
        <w:snapToGrid w:val="0"/>
        <w:spacing w:line="560" w:lineRule="exact"/>
        <w:ind w:firstLine="640" w:firstLineChars="200"/>
        <w:rPr>
          <w:rFonts w:eastAsia="仿宋_GB2312"/>
          <w:color w:val="000000"/>
          <w:sz w:val="32"/>
          <w:szCs w:val="32"/>
        </w:rPr>
      </w:pPr>
      <w:r>
        <w:rPr>
          <w:rFonts w:hint="eastAsia" w:ascii="仿宋_GB2312" w:hAnsi="仿宋" w:eastAsia="仿宋_GB2312"/>
          <w:color w:val="000000"/>
          <w:sz w:val="32"/>
          <w:szCs w:val="32"/>
        </w:rPr>
        <w:t>公用经费支出</w:t>
      </w:r>
      <w:r>
        <w:rPr>
          <w:rFonts w:ascii="仿宋_GB2312" w:eastAsia="仿宋_GB2312"/>
          <w:sz w:val="32"/>
          <w:szCs w:val="32"/>
          <w:shd w:val="clear" w:color="auto" w:fill="FFFFFF"/>
        </w:rPr>
        <w:t xml:space="preserve">15.48 </w:t>
      </w:r>
      <w:r>
        <w:rPr>
          <w:rFonts w:hint="eastAsia" w:ascii="仿宋_GB2312" w:hAnsi="仿宋" w:eastAsia="仿宋_GB2312"/>
          <w:color w:val="000000"/>
          <w:sz w:val="32"/>
          <w:szCs w:val="32"/>
        </w:rPr>
        <w:t>万元，主要用于办公费、印刷费、水电费、车辆运行及维护费、差旅费、维修（护）费等日常公用经费，严格按照资金用途申报、使用资金，均已足额按时支付，有力保障了各项业务的顺利开展，预算执行率</w:t>
      </w:r>
      <w:r>
        <w:rPr>
          <w:rFonts w:ascii="仿宋_GB2312" w:hAnsi="仿宋" w:eastAsia="仿宋_GB2312"/>
          <w:color w:val="000000"/>
          <w:sz w:val="32"/>
          <w:szCs w:val="32"/>
        </w:rPr>
        <w:t>100%</w:t>
      </w:r>
      <w:r>
        <w:rPr>
          <w:rFonts w:hint="eastAsia" w:ascii="仿宋_GB2312" w:hAnsi="仿宋" w:eastAsia="仿宋_GB2312"/>
          <w:color w:val="000000"/>
          <w:sz w:val="32"/>
          <w:szCs w:val="32"/>
        </w:rPr>
        <w:t>。</w:t>
      </w:r>
    </w:p>
    <w:p w14:paraId="338323CA">
      <w:pPr>
        <w:widowControl/>
        <w:adjustRightInd w:val="0"/>
        <w:snapToGrid w:val="0"/>
        <w:spacing w:line="560" w:lineRule="exact"/>
        <w:ind w:firstLine="643" w:firstLineChars="200"/>
        <w:contextualSpacing/>
        <w:jc w:val="left"/>
        <w:rPr>
          <w:rFonts w:eastAsia="仿宋_GB2312"/>
          <w:b/>
          <w:bCs/>
          <w:color w:val="000000"/>
          <w:sz w:val="32"/>
          <w:szCs w:val="32"/>
        </w:rPr>
      </w:pPr>
      <w:r>
        <w:rPr>
          <w:rFonts w:hint="eastAsia" w:eastAsia="仿宋_GB2312"/>
          <w:b/>
          <w:bCs/>
          <w:color w:val="000000"/>
          <w:sz w:val="32"/>
          <w:szCs w:val="32"/>
        </w:rPr>
        <w:t>（</w:t>
      </w:r>
      <w:r>
        <w:rPr>
          <w:rFonts w:eastAsia="仿宋_GB2312"/>
          <w:b/>
          <w:bCs/>
          <w:color w:val="000000"/>
          <w:sz w:val="32"/>
          <w:szCs w:val="32"/>
        </w:rPr>
        <w:t>3</w:t>
      </w:r>
      <w:r>
        <w:rPr>
          <w:rFonts w:hint="eastAsia" w:eastAsia="仿宋_GB2312"/>
          <w:b/>
          <w:bCs/>
          <w:color w:val="000000"/>
          <w:sz w:val="32"/>
          <w:szCs w:val="32"/>
        </w:rPr>
        <w:t>）特定目标类</w:t>
      </w:r>
    </w:p>
    <w:p w14:paraId="376CE4A9">
      <w:pPr>
        <w:widowControl/>
        <w:adjustRightInd w:val="0"/>
        <w:snapToGrid w:val="0"/>
        <w:spacing w:line="560" w:lineRule="exact"/>
        <w:ind w:firstLine="640" w:firstLineChars="200"/>
        <w:contextualSpacing/>
        <w:jc w:val="left"/>
        <w:rPr>
          <w:rFonts w:ascii="仿宋_GB2312" w:hAnsi="仿宋" w:eastAsia="仿宋_GB2312"/>
          <w:color w:val="000000"/>
          <w:sz w:val="32"/>
          <w:szCs w:val="32"/>
        </w:rPr>
      </w:pPr>
      <w:r>
        <w:rPr>
          <w:rFonts w:eastAsia="仿宋_GB2312"/>
          <w:color w:val="000000"/>
          <w:sz w:val="32"/>
          <w:szCs w:val="32"/>
        </w:rPr>
        <w:t>2021</w:t>
      </w:r>
      <w:r>
        <w:rPr>
          <w:rFonts w:hint="eastAsia" w:eastAsia="仿宋_GB2312"/>
          <w:color w:val="000000"/>
          <w:sz w:val="32"/>
          <w:szCs w:val="32"/>
        </w:rPr>
        <w:t>年</w:t>
      </w:r>
      <w:r>
        <w:rPr>
          <w:rFonts w:hint="eastAsia" w:ascii="仿宋_GB2312" w:hAnsi="仿宋" w:eastAsia="仿宋_GB2312"/>
          <w:color w:val="000000"/>
          <w:sz w:val="32"/>
          <w:szCs w:val="32"/>
        </w:rPr>
        <w:t>项目支出</w:t>
      </w:r>
      <w:r>
        <w:rPr>
          <w:rFonts w:ascii="仿宋_GB2312" w:eastAsia="仿宋_GB2312"/>
          <w:sz w:val="32"/>
          <w:szCs w:val="32"/>
          <w:shd w:val="clear" w:color="auto" w:fill="FFFFFF"/>
        </w:rPr>
        <w:t>119.44</w:t>
      </w:r>
      <w:r>
        <w:rPr>
          <w:rFonts w:hint="eastAsia" w:ascii="仿宋_GB2312" w:hAnsi="仿宋" w:eastAsia="仿宋_GB2312"/>
          <w:color w:val="000000"/>
          <w:sz w:val="32"/>
          <w:szCs w:val="32"/>
        </w:rPr>
        <w:t>万元，主要用于信访业务的办理，预算执行率</w:t>
      </w:r>
      <w:r>
        <w:rPr>
          <w:rFonts w:ascii="仿宋_GB2312" w:hAnsi="仿宋" w:eastAsia="仿宋_GB2312"/>
          <w:color w:val="000000"/>
          <w:sz w:val="32"/>
          <w:szCs w:val="32"/>
        </w:rPr>
        <w:t>100%</w:t>
      </w:r>
      <w:r>
        <w:rPr>
          <w:rFonts w:hint="eastAsia" w:ascii="仿宋_GB2312" w:hAnsi="仿宋" w:eastAsia="仿宋_GB2312"/>
          <w:color w:val="000000"/>
          <w:sz w:val="32"/>
          <w:szCs w:val="32"/>
        </w:rPr>
        <w:t>。</w:t>
      </w:r>
    </w:p>
    <w:p w14:paraId="08F22CEF">
      <w:pPr>
        <w:widowControl/>
        <w:adjustRightInd w:val="0"/>
        <w:snapToGrid w:val="0"/>
        <w:spacing w:line="560" w:lineRule="exact"/>
        <w:ind w:firstLine="640" w:firstLineChars="200"/>
        <w:contextualSpacing/>
        <w:jc w:val="left"/>
        <w:rPr>
          <w:rFonts w:ascii="仿宋_GB2312" w:eastAsia="仿宋_GB2312"/>
          <w:color w:val="000000"/>
          <w:sz w:val="32"/>
          <w:szCs w:val="32"/>
        </w:rPr>
      </w:pPr>
      <w:r>
        <w:rPr>
          <w:rFonts w:hint="eastAsia" w:ascii="楷体" w:hAnsi="楷体" w:eastAsia="楷体"/>
          <w:color w:val="000000"/>
          <w:sz w:val="32"/>
          <w:szCs w:val="32"/>
        </w:rPr>
        <w:t>（二）结果应用情况</w:t>
      </w:r>
    </w:p>
    <w:p w14:paraId="1B11A5E6">
      <w:pPr>
        <w:widowControl/>
        <w:adjustRightInd w:val="0"/>
        <w:snapToGrid w:val="0"/>
        <w:spacing w:line="560" w:lineRule="exact"/>
        <w:ind w:firstLine="640" w:firstLineChars="200"/>
        <w:contextualSpacing/>
        <w:jc w:val="left"/>
        <w:rPr>
          <w:rFonts w:eastAsia="仿宋_GB2312"/>
          <w:sz w:val="32"/>
          <w:szCs w:val="32"/>
        </w:rPr>
      </w:pPr>
      <w:r>
        <w:rPr>
          <w:rFonts w:eastAsia="仿宋_GB2312"/>
          <w:sz w:val="32"/>
          <w:szCs w:val="32"/>
        </w:rPr>
        <w:t>1.</w:t>
      </w:r>
      <w:r>
        <w:rPr>
          <w:rFonts w:hint="eastAsia" w:eastAsia="仿宋_GB2312"/>
          <w:sz w:val="32"/>
          <w:szCs w:val="32"/>
        </w:rPr>
        <w:t>完善绩效评价体系，加强监督检查和考核工作。进一步探索完善项目绩效评价指标体系、研究、关注绩效管理与实践发展的新思路、新动向，进一步完善项目绩效指标体系，增强绩效评价结果的可比性、可信度。加强对绩效管理工作的跟踪督查，做到绩效管理有依据、按程序、有奖惩，实现绩效管理的规范化、常态化。</w:t>
      </w:r>
    </w:p>
    <w:p w14:paraId="0120CF0D">
      <w:pPr>
        <w:snapToGrid w:val="0"/>
        <w:spacing w:line="560" w:lineRule="exact"/>
        <w:ind w:firstLine="640" w:firstLineChars="200"/>
        <w:rPr>
          <w:rFonts w:ascii="仿宋_GB2312" w:hAnsi="仿宋" w:eastAsia="仿宋_GB2312"/>
          <w:sz w:val="32"/>
          <w:szCs w:val="32"/>
        </w:rPr>
      </w:pPr>
      <w:r>
        <w:rPr>
          <w:rFonts w:ascii="仿宋_GB2312" w:hAnsi="仿宋" w:eastAsia="仿宋_GB2312"/>
          <w:sz w:val="32"/>
          <w:szCs w:val="32"/>
        </w:rPr>
        <w:t>2.2021</w:t>
      </w:r>
      <w:r>
        <w:rPr>
          <w:rFonts w:hint="eastAsia" w:ascii="仿宋_GB2312" w:hAnsi="仿宋" w:eastAsia="仿宋_GB2312"/>
          <w:sz w:val="32"/>
          <w:szCs w:val="32"/>
        </w:rPr>
        <w:t>年，本部门年初部门预算、年终部门决算、年初部门预算绩效目标申报表等信息均在信息公开截止时间内通过盐边县公众信息网向社会公开。</w:t>
      </w:r>
    </w:p>
    <w:p w14:paraId="41607432">
      <w:pPr>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为深入贯彻落实《中共四川省委四川省人民政府关于全面实施预算绩效管理的实施意见》（川委发【</w:t>
      </w:r>
      <w:r>
        <w:rPr>
          <w:rFonts w:ascii="仿宋_GB2312" w:hAnsi="仿宋" w:eastAsia="仿宋_GB2312"/>
          <w:sz w:val="32"/>
          <w:szCs w:val="32"/>
        </w:rPr>
        <w:t>2019</w:t>
      </w:r>
      <w:r>
        <w:rPr>
          <w:rFonts w:hint="eastAsia" w:ascii="仿宋_GB2312" w:hAnsi="仿宋" w:eastAsia="仿宋_GB2312"/>
          <w:sz w:val="32"/>
          <w:szCs w:val="32"/>
        </w:rPr>
        <w:t>】</w:t>
      </w:r>
      <w:r>
        <w:rPr>
          <w:rFonts w:ascii="仿宋_GB2312" w:hAnsi="仿宋" w:eastAsia="仿宋_GB2312"/>
          <w:sz w:val="32"/>
          <w:szCs w:val="32"/>
        </w:rPr>
        <w:t>8</w:t>
      </w:r>
      <w:r>
        <w:rPr>
          <w:rFonts w:hint="eastAsia" w:ascii="仿宋_GB2312" w:hAnsi="仿宋" w:eastAsia="仿宋_GB2312"/>
          <w:sz w:val="32"/>
          <w:szCs w:val="32"/>
        </w:rPr>
        <w:t>号）文件精神，进一步深化事后绩效评价工作，不断提高部门预算整体绩效目标管理水平，按盐边财绩〔</w:t>
      </w:r>
      <w:r>
        <w:rPr>
          <w:rFonts w:ascii="仿宋_GB2312" w:hAnsi="仿宋" w:eastAsia="仿宋_GB2312"/>
          <w:sz w:val="32"/>
          <w:szCs w:val="32"/>
        </w:rPr>
        <w:t>2022</w:t>
      </w:r>
      <w:r>
        <w:rPr>
          <w:rFonts w:hint="eastAsia" w:ascii="仿宋_GB2312" w:hAnsi="仿宋" w:eastAsia="仿宋_GB2312"/>
          <w:sz w:val="32"/>
          <w:szCs w:val="32"/>
        </w:rPr>
        <w:t>〕</w:t>
      </w:r>
      <w:r>
        <w:rPr>
          <w:rFonts w:ascii="仿宋_GB2312" w:hAnsi="仿宋" w:eastAsia="仿宋_GB2312"/>
          <w:sz w:val="32"/>
          <w:szCs w:val="32"/>
        </w:rPr>
        <w:t>3</w:t>
      </w:r>
      <w:r>
        <w:rPr>
          <w:rFonts w:hint="eastAsia" w:ascii="仿宋_GB2312" w:hAnsi="仿宋" w:eastAsia="仿宋_GB2312"/>
          <w:sz w:val="32"/>
          <w:szCs w:val="32"/>
        </w:rPr>
        <w:t>号《盐边县财政局关于开展</w:t>
      </w:r>
      <w:r>
        <w:rPr>
          <w:rFonts w:ascii="仿宋_GB2312" w:hAnsi="仿宋" w:eastAsia="仿宋_GB2312"/>
          <w:sz w:val="32"/>
          <w:szCs w:val="32"/>
        </w:rPr>
        <w:t>2021</w:t>
      </w:r>
      <w:r>
        <w:rPr>
          <w:rFonts w:hint="eastAsia" w:ascii="仿宋_GB2312" w:hAnsi="仿宋" w:eastAsia="仿宋_GB2312"/>
          <w:sz w:val="32"/>
          <w:szCs w:val="32"/>
        </w:rPr>
        <w:t>年度部门预算整体及项目支出绩效自评工作的通知》要求，于</w:t>
      </w:r>
      <w:r>
        <w:rPr>
          <w:rFonts w:ascii="仿宋_GB2312" w:hAnsi="仿宋" w:eastAsia="仿宋_GB2312"/>
          <w:sz w:val="32"/>
          <w:szCs w:val="32"/>
        </w:rPr>
        <w:t>2022</w:t>
      </w:r>
      <w:r>
        <w:rPr>
          <w:rFonts w:hint="eastAsia" w:ascii="仿宋_GB2312" w:hAnsi="仿宋" w:eastAsia="仿宋_GB2312"/>
          <w:sz w:val="32"/>
          <w:szCs w:val="32"/>
        </w:rPr>
        <w:t>年</w:t>
      </w:r>
      <w:r>
        <w:rPr>
          <w:rFonts w:ascii="仿宋_GB2312" w:hAnsi="仿宋" w:eastAsia="仿宋_GB2312"/>
          <w:sz w:val="32"/>
          <w:szCs w:val="32"/>
        </w:rPr>
        <w:t>5</w:t>
      </w:r>
      <w:r>
        <w:rPr>
          <w:rFonts w:hint="eastAsia" w:ascii="仿宋_GB2312" w:hAnsi="仿宋" w:eastAsia="仿宋_GB2312"/>
          <w:sz w:val="32"/>
          <w:szCs w:val="32"/>
        </w:rPr>
        <w:t>月将《盐边县信访局</w:t>
      </w:r>
      <w:r>
        <w:rPr>
          <w:rFonts w:ascii="仿宋_GB2312" w:hAnsi="仿宋" w:eastAsia="仿宋_GB2312"/>
          <w:sz w:val="32"/>
          <w:szCs w:val="32"/>
        </w:rPr>
        <w:t>2021</w:t>
      </w:r>
      <w:r>
        <w:rPr>
          <w:rFonts w:hint="eastAsia" w:ascii="仿宋_GB2312" w:hAnsi="仿宋" w:eastAsia="仿宋_GB2312"/>
          <w:sz w:val="32"/>
          <w:szCs w:val="32"/>
        </w:rPr>
        <w:t>年部门预算整体绩效自评表》和《盐边县信访局</w:t>
      </w:r>
      <w:r>
        <w:rPr>
          <w:rFonts w:ascii="仿宋_GB2312" w:hAnsi="仿宋" w:eastAsia="仿宋_GB2312"/>
          <w:sz w:val="32"/>
          <w:szCs w:val="32"/>
        </w:rPr>
        <w:t>2021</w:t>
      </w:r>
      <w:r>
        <w:rPr>
          <w:rFonts w:hint="eastAsia" w:ascii="仿宋_GB2312" w:hAnsi="仿宋" w:eastAsia="仿宋_GB2312"/>
          <w:sz w:val="32"/>
          <w:szCs w:val="32"/>
        </w:rPr>
        <w:t>年部门整体支出绩效评价报告》在“盐边县公众信息网”财政信息板块下的“财政绩效评价信息专栏”进行公开公示。</w:t>
      </w:r>
    </w:p>
    <w:p w14:paraId="0F158CF7">
      <w:pPr>
        <w:snapToGrid w:val="0"/>
        <w:spacing w:line="560" w:lineRule="exact"/>
        <w:ind w:firstLine="640" w:firstLineChars="200"/>
        <w:rPr>
          <w:rFonts w:ascii="仿宋_GB2312" w:hAnsi="仿宋" w:eastAsia="仿宋_GB2312"/>
          <w:sz w:val="32"/>
          <w:szCs w:val="32"/>
        </w:rPr>
      </w:pPr>
      <w:r>
        <w:rPr>
          <w:rFonts w:ascii="仿宋_GB2312" w:hAnsi="仿宋" w:eastAsia="仿宋_GB2312"/>
          <w:sz w:val="32"/>
          <w:szCs w:val="32"/>
        </w:rPr>
        <w:t>3.</w:t>
      </w:r>
      <w:r>
        <w:rPr>
          <w:rFonts w:hint="eastAsia" w:ascii="仿宋_GB2312" w:hAnsi="仿宋" w:eastAsia="仿宋_GB2312"/>
          <w:sz w:val="32"/>
          <w:szCs w:val="32"/>
        </w:rPr>
        <w:t>绩效评价结果将作为以后年度项目立项和经费支持的重要依据。</w:t>
      </w:r>
    </w:p>
    <w:p w14:paraId="58160EB4">
      <w:pPr>
        <w:widowControl/>
        <w:numPr>
          <w:ilvl w:val="0"/>
          <w:numId w:val="4"/>
        </w:numPr>
        <w:adjustRightInd w:val="0"/>
        <w:snapToGrid w:val="0"/>
        <w:spacing w:line="560" w:lineRule="exact"/>
        <w:ind w:firstLine="640" w:firstLineChars="200"/>
        <w:contextualSpacing/>
        <w:jc w:val="left"/>
        <w:rPr>
          <w:rFonts w:ascii="楷体" w:hAnsi="楷体" w:eastAsia="楷体" w:cs="宋体"/>
          <w:kern w:val="0"/>
          <w:sz w:val="32"/>
          <w:szCs w:val="32"/>
          <w:shd w:val="clear" w:color="auto" w:fill="FFFFFF"/>
          <w:lang w:val="zh-CN"/>
        </w:rPr>
      </w:pPr>
      <w:r>
        <w:rPr>
          <w:rFonts w:hint="eastAsia" w:ascii="楷体" w:hAnsi="楷体" w:eastAsia="楷体" w:cs="宋体"/>
          <w:kern w:val="0"/>
          <w:sz w:val="32"/>
          <w:szCs w:val="32"/>
          <w:shd w:val="clear" w:color="auto" w:fill="FFFFFF"/>
          <w:lang w:val="zh-CN"/>
        </w:rPr>
        <w:t>自评质量</w:t>
      </w:r>
    </w:p>
    <w:p w14:paraId="592D6B4F">
      <w:pPr>
        <w:widowControl/>
        <w:spacing w:line="560" w:lineRule="exact"/>
        <w:ind w:firstLine="640" w:firstLineChars="200"/>
        <w:jc w:val="left"/>
        <w:rPr>
          <w:rFonts w:eastAsia="仿宋_GB2312"/>
          <w:b/>
          <w:bCs/>
          <w:color w:val="000000"/>
          <w:sz w:val="32"/>
          <w:szCs w:val="32"/>
        </w:rPr>
      </w:pPr>
      <w:r>
        <w:rPr>
          <w:rFonts w:ascii="仿宋_GB2312" w:hAnsi="宋体" w:eastAsia="仿宋_GB2312" w:cs="宋体"/>
          <w:kern w:val="0"/>
          <w:sz w:val="32"/>
          <w:szCs w:val="32"/>
          <w:shd w:val="clear" w:color="auto" w:fill="FFFFFF"/>
        </w:rPr>
        <w:t xml:space="preserve"> </w:t>
      </w:r>
      <w:r>
        <w:rPr>
          <w:rFonts w:ascii="仿宋_GB2312" w:hAnsi="仿宋" w:eastAsia="仿宋_GB2312"/>
          <w:color w:val="000000"/>
          <w:sz w:val="32"/>
          <w:szCs w:val="32"/>
        </w:rPr>
        <w:t>2021</w:t>
      </w:r>
      <w:r>
        <w:rPr>
          <w:rFonts w:hint="eastAsia" w:ascii="仿宋_GB2312" w:hAnsi="仿宋" w:eastAsia="仿宋_GB2312"/>
          <w:color w:val="000000"/>
          <w:sz w:val="32"/>
          <w:szCs w:val="32"/>
        </w:rPr>
        <w:t>年部门支出绩效评价等级为</w:t>
      </w:r>
      <w:r>
        <w:rPr>
          <w:rFonts w:ascii="仿宋_GB2312" w:hAnsi="仿宋" w:eastAsia="仿宋_GB2312"/>
          <w:color w:val="000000"/>
          <w:sz w:val="32"/>
          <w:szCs w:val="32"/>
        </w:rPr>
        <w:t>"</w:t>
      </w:r>
      <w:r>
        <w:rPr>
          <w:rFonts w:hint="eastAsia" w:ascii="仿宋_GB2312" w:hAnsi="仿宋" w:eastAsia="仿宋_GB2312"/>
          <w:color w:val="000000"/>
          <w:sz w:val="32"/>
          <w:szCs w:val="32"/>
        </w:rPr>
        <w:t>良好</w:t>
      </w:r>
      <w:r>
        <w:rPr>
          <w:rFonts w:ascii="仿宋_GB2312" w:hAnsi="仿宋" w:eastAsia="仿宋_GB2312"/>
          <w:color w:val="000000"/>
          <w:sz w:val="32"/>
          <w:szCs w:val="32"/>
        </w:rPr>
        <w:t>"</w:t>
      </w:r>
      <w:r>
        <w:rPr>
          <w:rFonts w:hint="eastAsia" w:ascii="仿宋_GB2312" w:hAnsi="仿宋" w:eastAsia="仿宋_GB2312"/>
          <w:color w:val="000000"/>
          <w:sz w:val="32"/>
          <w:szCs w:val="32"/>
        </w:rPr>
        <w:t>。</w:t>
      </w:r>
    </w:p>
    <w:p w14:paraId="139E9D9A">
      <w:pPr>
        <w:widowControl/>
        <w:adjustRightInd w:val="0"/>
        <w:snapToGrid w:val="0"/>
        <w:spacing w:line="560"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四、评价结论及建议</w:t>
      </w:r>
    </w:p>
    <w:p w14:paraId="773AE97A">
      <w:pPr>
        <w:pStyle w:val="12"/>
        <w:widowControl/>
        <w:shd w:val="clear" w:color="auto" w:fill="FFFFFF"/>
        <w:spacing w:before="0" w:beforeAutospacing="0" w:after="0" w:afterAutospacing="0" w:line="560" w:lineRule="exact"/>
        <w:ind w:firstLine="643"/>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信访局在预算编制、执行和支出绩效方面都严格按照规定执行，合理安排支出，部门预算编制规范、准确，各项经费足额纳入预算安排，确保了部门正常运转和专项工作的顺利开展，积极开通诉求表达新渠道，进一步畅通和拓宽了群众诉求表达渠道，推进及时就地解决信访问题，信访秩序进一步好转，较好的完成了年初绩效目标任务。</w:t>
      </w:r>
    </w:p>
    <w:p w14:paraId="3E3BD305">
      <w:pPr>
        <w:widowControl/>
        <w:spacing w:line="560" w:lineRule="exact"/>
        <w:ind w:firstLine="640" w:firstLineChars="200"/>
        <w:jc w:val="left"/>
        <w:rPr>
          <w:rFonts w:eastAsia="仿宋_GB2312"/>
          <w:b/>
          <w:bCs/>
          <w:color w:val="000000"/>
          <w:sz w:val="32"/>
          <w:szCs w:val="32"/>
        </w:rPr>
      </w:pPr>
      <w:r>
        <w:rPr>
          <w:rFonts w:hint="eastAsia" w:ascii="仿宋_GB2312" w:hAnsi="仿宋" w:eastAsia="仿宋_GB2312"/>
          <w:color w:val="000000"/>
          <w:sz w:val="32"/>
          <w:szCs w:val="32"/>
        </w:rPr>
        <w:t>综上所述</w:t>
      </w:r>
      <w:r>
        <w:rPr>
          <w:rFonts w:ascii="仿宋_GB2312" w:hAnsi="仿宋" w:eastAsia="仿宋_GB2312"/>
          <w:color w:val="000000"/>
          <w:sz w:val="32"/>
          <w:szCs w:val="32"/>
        </w:rPr>
        <w:t>,</w:t>
      </w:r>
      <w:r>
        <w:rPr>
          <w:rFonts w:hint="eastAsia" w:ascii="仿宋_GB2312" w:hAnsi="仿宋" w:eastAsia="仿宋_GB2312"/>
          <w:color w:val="000000"/>
          <w:sz w:val="32"/>
          <w:szCs w:val="32"/>
        </w:rPr>
        <w:t>依据得分情况</w:t>
      </w:r>
      <w:r>
        <w:rPr>
          <w:rFonts w:ascii="仿宋_GB2312" w:hAnsi="仿宋" w:eastAsia="仿宋_GB2312"/>
          <w:color w:val="000000"/>
          <w:sz w:val="32"/>
          <w:szCs w:val="32"/>
        </w:rPr>
        <w:t>,</w:t>
      </w:r>
      <w:r>
        <w:rPr>
          <w:rFonts w:hint="eastAsia" w:ascii="仿宋_GB2312" w:hAnsi="仿宋" w:eastAsia="仿宋_GB2312"/>
          <w:color w:val="000000"/>
          <w:sz w:val="32"/>
          <w:szCs w:val="32"/>
        </w:rPr>
        <w:t>本单位</w:t>
      </w:r>
      <w:r>
        <w:rPr>
          <w:rFonts w:ascii="仿宋_GB2312" w:hAnsi="仿宋" w:eastAsia="仿宋_GB2312"/>
          <w:color w:val="000000"/>
          <w:sz w:val="32"/>
          <w:szCs w:val="32"/>
        </w:rPr>
        <w:t>2021</w:t>
      </w:r>
      <w:r>
        <w:rPr>
          <w:rFonts w:hint="eastAsia" w:ascii="仿宋_GB2312" w:hAnsi="仿宋" w:eastAsia="仿宋_GB2312"/>
          <w:color w:val="000000"/>
          <w:sz w:val="32"/>
          <w:szCs w:val="32"/>
        </w:rPr>
        <w:t>年部门支出绩效评价等级为</w:t>
      </w:r>
      <w:r>
        <w:rPr>
          <w:rFonts w:ascii="仿宋_GB2312" w:hAnsi="仿宋" w:eastAsia="仿宋_GB2312"/>
          <w:color w:val="000000"/>
          <w:sz w:val="32"/>
          <w:szCs w:val="32"/>
        </w:rPr>
        <w:t>"</w:t>
      </w:r>
      <w:r>
        <w:rPr>
          <w:rFonts w:hint="eastAsia" w:ascii="仿宋_GB2312" w:hAnsi="仿宋" w:eastAsia="仿宋_GB2312"/>
          <w:color w:val="000000"/>
          <w:sz w:val="32"/>
          <w:szCs w:val="32"/>
        </w:rPr>
        <w:t>良好</w:t>
      </w:r>
      <w:r>
        <w:rPr>
          <w:rFonts w:ascii="仿宋_GB2312" w:hAnsi="仿宋" w:eastAsia="仿宋_GB2312"/>
          <w:color w:val="000000"/>
          <w:sz w:val="32"/>
          <w:szCs w:val="32"/>
        </w:rPr>
        <w:t>"</w:t>
      </w:r>
      <w:r>
        <w:rPr>
          <w:rFonts w:hint="eastAsia" w:ascii="仿宋_GB2312" w:hAnsi="仿宋" w:eastAsia="仿宋_GB2312"/>
          <w:color w:val="000000"/>
          <w:sz w:val="32"/>
          <w:szCs w:val="32"/>
        </w:rPr>
        <w:t>。</w:t>
      </w:r>
    </w:p>
    <w:p w14:paraId="2675B956">
      <w:pPr>
        <w:widowControl/>
        <w:adjustRightInd w:val="0"/>
        <w:snapToGrid w:val="0"/>
        <w:spacing w:line="560" w:lineRule="exact"/>
        <w:ind w:firstLine="640" w:firstLineChars="200"/>
        <w:contextualSpacing/>
        <w:jc w:val="left"/>
        <w:rPr>
          <w:rFonts w:ascii="仿宋_GB2312" w:eastAsia="仿宋_GB2312"/>
          <w:color w:val="000000"/>
          <w:sz w:val="32"/>
          <w:szCs w:val="32"/>
        </w:rPr>
      </w:pPr>
      <w:r>
        <w:rPr>
          <w:rFonts w:hint="eastAsia" w:ascii="仿宋_GB2312" w:eastAsia="仿宋_GB2312"/>
          <w:color w:val="000000"/>
          <w:sz w:val="32"/>
          <w:szCs w:val="32"/>
        </w:rPr>
        <w:t>存在问题：</w:t>
      </w:r>
      <w:r>
        <w:rPr>
          <w:rFonts w:hint="eastAsia" w:ascii="仿宋_GB2312" w:hAnsi="仿宋" w:eastAsia="仿宋_GB2312"/>
          <w:color w:val="000000"/>
          <w:sz w:val="32"/>
          <w:szCs w:val="32"/>
        </w:rPr>
        <w:t>内部控制制度不够健全，风险意识不强。在建立健全内控制度过程中，虽然基本明确了相关业务岗位的有关风险等级和风险防控措施，但目前领会认识深度不够，存在平铺式理解，尚局限于内控制度实践，没有提升到全局“一盘棋”的高度。</w:t>
      </w:r>
      <w:r>
        <w:rPr>
          <w:rFonts w:ascii="仿宋_GB2312" w:hAnsi="仿宋" w:eastAsia="仿宋_GB2312"/>
          <w:color w:val="000000"/>
          <w:sz w:val="32"/>
          <w:szCs w:val="32"/>
        </w:rPr>
        <w:t xml:space="preserve">  </w:t>
      </w:r>
    </w:p>
    <w:p w14:paraId="00F7CED7">
      <w:pPr>
        <w:widowControl/>
        <w:adjustRightInd w:val="0"/>
        <w:snapToGrid w:val="0"/>
        <w:spacing w:line="560" w:lineRule="exact"/>
        <w:ind w:firstLine="640" w:firstLineChars="200"/>
        <w:contextualSpacing/>
        <w:jc w:val="left"/>
        <w:rPr>
          <w:rFonts w:ascii="仿宋_GB2312" w:eastAsia="仿宋_GB2312"/>
          <w:color w:val="000000"/>
          <w:sz w:val="32"/>
          <w:szCs w:val="32"/>
        </w:rPr>
      </w:pPr>
      <w:r>
        <w:rPr>
          <w:rFonts w:hint="eastAsia" w:ascii="仿宋_GB2312" w:eastAsia="仿宋_GB2312"/>
          <w:color w:val="000000"/>
          <w:sz w:val="32"/>
          <w:szCs w:val="32"/>
        </w:rPr>
        <w:t>改进措施：</w:t>
      </w:r>
      <w:r>
        <w:rPr>
          <w:rFonts w:hint="eastAsia" w:ascii="仿宋_GB2312" w:hAnsi="仿宋_GB2312" w:eastAsia="仿宋_GB2312" w:cs="仿宋_GB2312"/>
          <w:sz w:val="32"/>
          <w:szCs w:val="32"/>
          <w:shd w:val="clear" w:color="auto" w:fill="FFFFFF"/>
        </w:rPr>
        <w:t>我局将加强财务管理制度，严格财务审核，规范财务行为，提高预算编制精确度，进一步规范管理。</w:t>
      </w:r>
    </w:p>
    <w:p w14:paraId="26E08C3C">
      <w:pPr>
        <w:pStyle w:val="2"/>
        <w:spacing w:beforeLines="0" w:line="560" w:lineRule="exact"/>
        <w:rPr>
          <w:rFonts w:hAnsi="宋体" w:cs="宋体"/>
          <w:sz w:val="32"/>
          <w:szCs w:val="32"/>
          <w:shd w:val="clear" w:color="auto" w:fill="FFFFFF"/>
          <w:lang w:val="zh-CN"/>
        </w:rPr>
      </w:pPr>
    </w:p>
    <w:p w14:paraId="0E288C94">
      <w:pPr>
        <w:pStyle w:val="2"/>
        <w:spacing w:before="93"/>
        <w:rPr>
          <w:rFonts w:hAnsi="宋体" w:cs="宋体"/>
          <w:sz w:val="32"/>
          <w:szCs w:val="32"/>
          <w:shd w:val="clear" w:color="auto" w:fill="FFFFFF"/>
          <w:lang w:val="zh-CN"/>
        </w:rPr>
      </w:pPr>
    </w:p>
    <w:p w14:paraId="4A8E258E">
      <w:pPr>
        <w:pStyle w:val="2"/>
        <w:spacing w:before="93"/>
        <w:rPr>
          <w:rFonts w:hAnsi="宋体" w:cs="宋体"/>
          <w:sz w:val="32"/>
          <w:szCs w:val="32"/>
          <w:shd w:val="clear" w:color="auto" w:fill="FFFFFF"/>
          <w:lang w:val="zh-CN"/>
        </w:rPr>
      </w:pPr>
    </w:p>
    <w:p w14:paraId="3FDA0117">
      <w:pPr>
        <w:pStyle w:val="2"/>
        <w:spacing w:before="93"/>
        <w:rPr>
          <w:rFonts w:hAnsi="宋体" w:cs="宋体"/>
          <w:sz w:val="32"/>
          <w:szCs w:val="32"/>
          <w:shd w:val="clear" w:color="auto" w:fill="FFFFFF"/>
          <w:lang w:val="zh-CN"/>
        </w:rPr>
      </w:pPr>
    </w:p>
    <w:p w14:paraId="71E0C9C8">
      <w:pPr>
        <w:pStyle w:val="2"/>
        <w:spacing w:before="93"/>
        <w:rPr>
          <w:rFonts w:hAnsi="宋体" w:cs="宋体"/>
          <w:sz w:val="32"/>
          <w:szCs w:val="32"/>
          <w:shd w:val="clear" w:color="auto" w:fill="FFFFFF"/>
          <w:lang w:val="zh-CN"/>
        </w:rPr>
      </w:pPr>
    </w:p>
    <w:p w14:paraId="419DDBD5">
      <w:pPr>
        <w:pStyle w:val="2"/>
        <w:spacing w:before="93"/>
        <w:rPr>
          <w:rFonts w:hAnsi="宋体" w:cs="宋体"/>
          <w:sz w:val="32"/>
          <w:szCs w:val="32"/>
          <w:shd w:val="clear" w:color="auto" w:fill="FFFFFF"/>
          <w:lang w:val="zh-CN"/>
        </w:rPr>
      </w:pPr>
    </w:p>
    <w:p w14:paraId="3B3270F8">
      <w:pPr>
        <w:pStyle w:val="2"/>
        <w:spacing w:before="93"/>
        <w:rPr>
          <w:rFonts w:hAnsi="宋体" w:cs="宋体"/>
          <w:sz w:val="32"/>
          <w:szCs w:val="32"/>
          <w:shd w:val="clear" w:color="auto" w:fill="FFFFFF"/>
          <w:lang w:val="zh-CN"/>
        </w:rPr>
      </w:pPr>
    </w:p>
    <w:p w14:paraId="0B2B7475">
      <w:pPr>
        <w:pStyle w:val="2"/>
        <w:spacing w:before="93"/>
        <w:rPr>
          <w:rFonts w:hAnsi="宋体" w:cs="宋体"/>
          <w:sz w:val="32"/>
          <w:szCs w:val="32"/>
          <w:shd w:val="clear" w:color="auto" w:fill="FFFFFF"/>
          <w:lang w:val="zh-CN"/>
        </w:rPr>
      </w:pPr>
    </w:p>
    <w:p w14:paraId="0724AD8B">
      <w:pPr>
        <w:pStyle w:val="2"/>
        <w:spacing w:before="93"/>
        <w:rPr>
          <w:rFonts w:hAnsi="宋体" w:cs="宋体"/>
          <w:sz w:val="32"/>
          <w:szCs w:val="32"/>
          <w:shd w:val="clear" w:color="auto" w:fill="FFFFFF"/>
          <w:lang w:val="zh-CN"/>
        </w:rPr>
      </w:pPr>
    </w:p>
    <w:p w14:paraId="3433893C">
      <w:pPr>
        <w:pStyle w:val="2"/>
        <w:spacing w:before="93"/>
        <w:rPr>
          <w:rFonts w:hAnsi="宋体" w:cs="宋体"/>
          <w:sz w:val="32"/>
          <w:szCs w:val="32"/>
          <w:shd w:val="clear" w:color="auto" w:fill="FFFFFF"/>
          <w:lang w:val="zh-CN"/>
        </w:rPr>
      </w:pPr>
    </w:p>
    <w:p w14:paraId="3DBDE9DF">
      <w:pPr>
        <w:pStyle w:val="2"/>
        <w:spacing w:before="93"/>
        <w:rPr>
          <w:rFonts w:hAnsi="宋体" w:cs="宋体"/>
          <w:sz w:val="32"/>
          <w:szCs w:val="32"/>
          <w:shd w:val="clear" w:color="auto" w:fill="FFFFFF"/>
          <w:lang w:val="zh-CN"/>
        </w:rPr>
      </w:pPr>
    </w:p>
    <w:p w14:paraId="49A4AF62">
      <w:pPr>
        <w:pStyle w:val="2"/>
        <w:spacing w:before="93"/>
        <w:rPr>
          <w:rFonts w:hAnsi="宋体" w:cs="宋体"/>
          <w:sz w:val="32"/>
          <w:szCs w:val="32"/>
          <w:shd w:val="clear" w:color="auto" w:fill="FFFFFF"/>
          <w:lang w:val="zh-CN"/>
        </w:rPr>
      </w:pPr>
    </w:p>
    <w:p w14:paraId="292947DB">
      <w:pPr>
        <w:pStyle w:val="2"/>
        <w:spacing w:before="93"/>
        <w:rPr>
          <w:rFonts w:hAnsi="宋体" w:cs="宋体"/>
          <w:sz w:val="32"/>
          <w:szCs w:val="32"/>
          <w:shd w:val="clear" w:color="auto" w:fill="FFFFFF"/>
          <w:lang w:val="zh-CN"/>
        </w:rPr>
      </w:pPr>
    </w:p>
    <w:p w14:paraId="0B6CFBD8">
      <w:pPr>
        <w:pStyle w:val="2"/>
        <w:spacing w:before="93"/>
        <w:rPr>
          <w:rFonts w:hAnsi="宋体" w:cs="宋体"/>
          <w:sz w:val="32"/>
          <w:szCs w:val="32"/>
          <w:shd w:val="clear" w:color="auto" w:fill="FFFFFF"/>
          <w:lang w:val="zh-CN"/>
        </w:rPr>
      </w:pPr>
    </w:p>
    <w:p w14:paraId="7CF048C6">
      <w:pPr>
        <w:pStyle w:val="2"/>
        <w:spacing w:before="93"/>
        <w:rPr>
          <w:rFonts w:hAnsi="宋体" w:cs="宋体"/>
          <w:sz w:val="32"/>
          <w:szCs w:val="32"/>
          <w:shd w:val="clear" w:color="auto" w:fill="FFFFFF"/>
          <w:lang w:val="zh-CN"/>
        </w:rPr>
      </w:pPr>
    </w:p>
    <w:p w14:paraId="0559ED43">
      <w:pPr>
        <w:pStyle w:val="2"/>
        <w:spacing w:before="93"/>
        <w:rPr>
          <w:rFonts w:hAnsi="宋体" w:cs="宋体"/>
          <w:sz w:val="32"/>
          <w:szCs w:val="32"/>
          <w:shd w:val="clear" w:color="auto" w:fill="FFFFFF"/>
          <w:lang w:val="zh-CN"/>
        </w:rPr>
      </w:pPr>
    </w:p>
    <w:p w14:paraId="5EB8526B">
      <w:pPr>
        <w:pStyle w:val="2"/>
        <w:spacing w:before="93"/>
        <w:rPr>
          <w:lang w:val="zh-CN"/>
        </w:rPr>
      </w:pPr>
      <w:r>
        <w:rPr>
          <w:rFonts w:hint="eastAsia" w:hAnsi="宋体" w:cs="宋体"/>
          <w:sz w:val="32"/>
          <w:szCs w:val="32"/>
          <w:shd w:val="clear" w:color="auto" w:fill="FFFFFF"/>
          <w:lang w:val="zh-CN"/>
        </w:rPr>
        <w:t>附件</w:t>
      </w:r>
    </w:p>
    <w:p w14:paraId="53E66AE5">
      <w:pPr>
        <w:spacing w:line="600" w:lineRule="exact"/>
        <w:jc w:val="center"/>
        <w:rPr>
          <w:rFonts w:ascii="方正小标宋简体" w:hAnsi="方正小标宋简体" w:eastAsia="方正小标宋简体" w:cs="方正小标宋简体"/>
          <w:sz w:val="40"/>
          <w:szCs w:val="40"/>
          <w:lang w:val="zh-CN"/>
        </w:rPr>
      </w:pPr>
      <w:r>
        <w:rPr>
          <w:rFonts w:ascii="方正小标宋简体" w:hAnsi="方正小标宋简体" w:eastAsia="方正小标宋简体" w:cs="方正小标宋简体"/>
          <w:sz w:val="40"/>
          <w:szCs w:val="40"/>
        </w:rPr>
        <w:t>2021</w:t>
      </w:r>
      <w:r>
        <w:rPr>
          <w:rFonts w:hint="eastAsia" w:ascii="方正小标宋简体" w:hAnsi="方正小标宋简体" w:eastAsia="方正小标宋简体" w:cs="方正小标宋简体"/>
          <w:sz w:val="40"/>
          <w:szCs w:val="40"/>
        </w:rPr>
        <w:t>年</w:t>
      </w:r>
      <w:r>
        <w:rPr>
          <w:rFonts w:hint="eastAsia" w:ascii="方正小标宋简体" w:hAnsi="方正小标宋简体" w:eastAsia="方正小标宋简体" w:cs="方正小标宋简体"/>
          <w:sz w:val="40"/>
          <w:szCs w:val="40"/>
          <w:lang w:val="zh-CN"/>
        </w:rPr>
        <w:t>专项预算项目支出绩效自评报告</w:t>
      </w:r>
    </w:p>
    <w:p w14:paraId="50609E31">
      <w:pPr>
        <w:spacing w:line="600" w:lineRule="exact"/>
        <w:ind w:firstLine="883"/>
        <w:jc w:val="center"/>
        <w:rPr>
          <w:rFonts w:ascii="仿宋_GB2312" w:hAnsi="宋体" w:eastAsia="仿宋_GB2312"/>
          <w:sz w:val="32"/>
          <w:szCs w:val="32"/>
          <w:lang w:val="zh-CN"/>
        </w:rPr>
      </w:pPr>
      <w:r>
        <w:rPr>
          <w:rFonts w:hint="eastAsia" w:ascii="仿宋_GB2312" w:hAnsi="宋体" w:eastAsia="仿宋_GB2312"/>
          <w:sz w:val="32"/>
          <w:szCs w:val="32"/>
          <w:lang w:val="zh-CN"/>
        </w:rPr>
        <w:t>（</w:t>
      </w:r>
      <w:r>
        <w:rPr>
          <w:rFonts w:hint="eastAsia" w:eastAsia="方正楷体_GBK"/>
          <w:b/>
          <w:sz w:val="32"/>
          <w:szCs w:val="32"/>
        </w:rPr>
        <w:t>盐边县信访局信访业务经费项目</w:t>
      </w:r>
      <w:r>
        <w:rPr>
          <w:rFonts w:hint="eastAsia" w:ascii="仿宋_GB2312" w:hAnsi="宋体" w:eastAsia="仿宋_GB2312"/>
          <w:sz w:val="32"/>
          <w:szCs w:val="32"/>
          <w:lang w:val="zh-CN"/>
        </w:rPr>
        <w:t>）</w:t>
      </w:r>
    </w:p>
    <w:p w14:paraId="5798B126">
      <w:pPr>
        <w:spacing w:line="600" w:lineRule="exact"/>
        <w:ind w:firstLine="640"/>
        <w:jc w:val="center"/>
        <w:rPr>
          <w:rFonts w:ascii="宋体"/>
          <w:sz w:val="32"/>
          <w:szCs w:val="32"/>
          <w:lang w:val="zh-CN"/>
        </w:rPr>
      </w:pPr>
    </w:p>
    <w:p w14:paraId="14ABE5B2">
      <w:pPr>
        <w:adjustRightInd w:val="0"/>
        <w:snapToGrid w:val="0"/>
        <w:spacing w:line="56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14:paraId="20A73EBA">
      <w:pPr>
        <w:adjustRightInd w:val="0"/>
        <w:snapToGrid w:val="0"/>
        <w:spacing w:line="560" w:lineRule="exact"/>
        <w:ind w:firstLine="720"/>
        <w:rPr>
          <w:rFonts w:ascii="楷体" w:hAnsi="楷体" w:eastAsia="楷体"/>
          <w:sz w:val="32"/>
          <w:szCs w:val="32"/>
          <w:lang w:val="zh-CN"/>
        </w:rPr>
      </w:pPr>
      <w:r>
        <w:rPr>
          <w:rFonts w:hint="eastAsia" w:ascii="楷体" w:hAnsi="楷体" w:eastAsia="楷体"/>
          <w:sz w:val="32"/>
          <w:szCs w:val="32"/>
          <w:lang w:val="zh-CN"/>
        </w:rPr>
        <w:t>（一）项目基本情况</w:t>
      </w:r>
    </w:p>
    <w:p w14:paraId="1F6F0A21">
      <w:pPr>
        <w:adjustRightInd w:val="0"/>
        <w:snapToGrid w:val="0"/>
        <w:spacing w:line="560" w:lineRule="exact"/>
        <w:ind w:firstLine="720"/>
        <w:rPr>
          <w:rFonts w:ascii="仿宋_GB2312" w:hAnsi="宋体" w:eastAsia="仿宋_GB2312"/>
          <w:b/>
          <w:sz w:val="32"/>
          <w:szCs w:val="32"/>
          <w:lang w:val="zh-CN"/>
        </w:rPr>
      </w:pPr>
      <w:r>
        <w:rPr>
          <w:rFonts w:hint="eastAsia" w:ascii="仿宋_GB2312" w:hAnsi="宋体" w:eastAsia="仿宋_GB2312"/>
          <w:b/>
          <w:sz w:val="32"/>
          <w:szCs w:val="32"/>
          <w:lang w:val="zh-CN"/>
        </w:rPr>
        <w:t>1．说明项目主管部门（单位）在该项目管理中的职能。</w:t>
      </w:r>
      <w:r>
        <w:rPr>
          <w:rFonts w:hint="eastAsia" w:ascii="仿宋_GB2312" w:hAnsi="仿宋" w:eastAsia="仿宋_GB2312"/>
          <w:kern w:val="0"/>
          <w:sz w:val="32"/>
          <w:szCs w:val="32"/>
          <w:shd w:val="clear" w:color="auto" w:fill="FFFFFF"/>
        </w:rPr>
        <w:t>县信访局</w:t>
      </w:r>
      <w:r>
        <w:rPr>
          <w:rFonts w:hint="eastAsia" w:ascii="仿宋_GB2312" w:hAnsi="仿宋" w:eastAsia="仿宋_GB2312"/>
          <w:kern w:val="0"/>
          <w:sz w:val="32"/>
          <w:szCs w:val="32"/>
          <w:shd w:val="clear" w:color="auto" w:fill="FFFFFF"/>
          <w:lang w:val="zh-CN"/>
        </w:rPr>
        <w:t>承担县信访工作联席会议办公室日常工作。承担本部门规范性文件合法性审查、备案和清理</w:t>
      </w:r>
      <w:r>
        <w:rPr>
          <w:rFonts w:hint="eastAsia" w:ascii="仿宋_GB2312" w:hAnsi="仿宋" w:eastAsia="仿宋_GB2312"/>
          <w:kern w:val="0"/>
          <w:sz w:val="32"/>
          <w:szCs w:val="32"/>
          <w:shd w:val="clear" w:color="auto" w:fill="FFFFFF"/>
        </w:rPr>
        <w:t>;</w:t>
      </w:r>
      <w:r>
        <w:rPr>
          <w:rFonts w:hint="eastAsia" w:ascii="仿宋_GB2312" w:hAnsi="仿宋" w:eastAsia="仿宋_GB2312"/>
          <w:kern w:val="0"/>
          <w:sz w:val="32"/>
          <w:szCs w:val="32"/>
          <w:shd w:val="clear" w:color="auto" w:fill="FFFFFF"/>
          <w:lang w:val="zh-CN"/>
        </w:rPr>
        <w:t>负责办理网上投诉信访事项。综合分析网上信访情况,提出工作建议。承担全县信访信息系统、四川省网上信访信息系统、各级党政领导信箱、人民网地方领导人留言、县信访局门户网站等应用系统的建设、运行、维护工作。承担网上信访相关业务的推广应用培训工作。办理上级转办交办的来信事项和群众给县委、县政府领导来信。承担社情民意的汇集分析工作,提出工作建议。承担县政府信访事项复查委员会办公室日常工作</w:t>
      </w:r>
      <w:r>
        <w:rPr>
          <w:rFonts w:hint="eastAsia" w:ascii="仿宋_GB2312" w:hAnsi="仿宋" w:eastAsia="仿宋_GB2312"/>
          <w:kern w:val="0"/>
          <w:sz w:val="32"/>
          <w:szCs w:val="32"/>
          <w:shd w:val="clear" w:color="auto" w:fill="FFFFFF"/>
        </w:rPr>
        <w:t>,</w:t>
      </w:r>
      <w:r>
        <w:rPr>
          <w:rFonts w:hint="eastAsia" w:ascii="仿宋_GB2312" w:hAnsi="仿宋" w:eastAsia="仿宋_GB2312"/>
          <w:kern w:val="0"/>
          <w:sz w:val="32"/>
          <w:szCs w:val="32"/>
          <w:shd w:val="clear" w:color="auto" w:fill="FFFFFF"/>
          <w:lang w:val="zh-CN"/>
        </w:rPr>
        <w:t>负责接待群众到县委、县政府来访,综合分析来访情况提出工作建议。承办上级转办、交办来访事项,协助县领导开展接访下访工作。负责重大活动、重要会议等敏感时段的值班值守工作。组织协调进京赴省到市到县非接待场所有关人员</w:t>
      </w:r>
      <w:r>
        <w:rPr>
          <w:rFonts w:hint="eastAsia" w:ascii="仿宋_GB2312" w:hAnsi="仿宋" w:eastAsia="仿宋_GB2312"/>
          <w:sz w:val="32"/>
          <w:szCs w:val="32"/>
        </w:rPr>
        <w:t>接访劝返协调处理工作。</w:t>
      </w:r>
    </w:p>
    <w:p w14:paraId="7664B5A5">
      <w:pPr>
        <w:adjustRightInd w:val="0"/>
        <w:snapToGrid w:val="0"/>
        <w:spacing w:line="560" w:lineRule="exact"/>
        <w:ind w:firstLine="720"/>
        <w:rPr>
          <w:rFonts w:ascii="仿宋_GB2312" w:hAnsi="宋体" w:eastAsia="仿宋_GB2312"/>
          <w:b/>
          <w:sz w:val="32"/>
          <w:szCs w:val="32"/>
          <w:lang w:val="zh-CN"/>
        </w:rPr>
      </w:pPr>
      <w:r>
        <w:rPr>
          <w:rFonts w:hint="eastAsia" w:ascii="仿宋_GB2312" w:hAnsi="宋体" w:eastAsia="仿宋_GB2312"/>
          <w:b/>
          <w:sz w:val="32"/>
          <w:szCs w:val="32"/>
          <w:lang w:val="zh-CN"/>
        </w:rPr>
        <w:t>2．项目立项、资金申报的依据。</w:t>
      </w:r>
      <w:r>
        <w:rPr>
          <w:rFonts w:hint="eastAsia" w:ascii="仿宋_GB2312" w:eastAsia="仿宋_GB2312"/>
          <w:sz w:val="32"/>
          <w:szCs w:val="32"/>
        </w:rPr>
        <w:t>根据信访工作需要，信访局</w:t>
      </w:r>
      <w:r>
        <w:rPr>
          <w:rFonts w:hint="eastAsia" w:ascii="仿宋_GB2312" w:eastAsia="仿宋_GB2312"/>
          <w:kern w:val="0"/>
          <w:sz w:val="32"/>
          <w:szCs w:val="32"/>
          <w:shd w:val="clear" w:color="auto" w:fill="FFFFFF"/>
          <w:lang w:val="zh-CN"/>
        </w:rPr>
        <w:t>承办上级转办、交办来访事项,协助县领导开展接访下访工作。负责重大活动、重要会议等敏感时段的值班值守工作。组织协调进京赴省到市到县非接待场所有关人员</w:t>
      </w:r>
      <w:r>
        <w:rPr>
          <w:rFonts w:hint="eastAsia" w:ascii="仿宋_GB2312" w:eastAsia="仿宋_GB2312"/>
          <w:sz w:val="32"/>
          <w:szCs w:val="32"/>
        </w:rPr>
        <w:t>接访劝返协调处理工作。做好群众来信来访、网络投诉等基础信访业务工作，按规定及时办理各类信访案件，加强信访法治化建设，提高信访事项“三率”，巩固“两降两升”；开展矛盾纠纷排查和信访积案化解，做好群众到县到市到省进京上访的劝返处置、特殊敏感时期的信访维稳工作，全力维护全县社会和谐稳定。 对诉求合理的信访积案逐步化解，对生活困难的信访人给予帮扶救助，对诉求无理的信访人进行教育疏导稳控，防止发生越级访、集体访、非访和极端恶性事件。</w:t>
      </w:r>
    </w:p>
    <w:p w14:paraId="2348FD12">
      <w:pPr>
        <w:adjustRightInd w:val="0"/>
        <w:snapToGrid w:val="0"/>
        <w:spacing w:line="560" w:lineRule="exact"/>
        <w:ind w:firstLine="720"/>
        <w:rPr>
          <w:rFonts w:ascii="仿宋_GB2312" w:hAnsi="宋体" w:eastAsia="仿宋_GB2312"/>
          <w:sz w:val="32"/>
          <w:szCs w:val="32"/>
          <w:lang w:val="zh-CN"/>
        </w:rPr>
      </w:pPr>
      <w:r>
        <w:rPr>
          <w:rFonts w:hint="eastAsia" w:ascii="仿宋_GB2312" w:hAnsi="宋体" w:eastAsia="仿宋_GB2312"/>
          <w:b/>
          <w:sz w:val="32"/>
          <w:szCs w:val="32"/>
          <w:lang w:val="zh-CN"/>
        </w:rPr>
        <w:t>3．资金管理办法制定情况，资金支持具体项目的条件、范围与支持方式概况。</w:t>
      </w:r>
      <w:r>
        <w:rPr>
          <w:rFonts w:hint="eastAsia" w:ascii="仿宋_GB2312" w:hAnsi="仿宋" w:eastAsia="仿宋_GB2312"/>
          <w:sz w:val="32"/>
          <w:szCs w:val="32"/>
        </w:rPr>
        <w:t>重点用于一些无责任主体信访案件等诉求合理但无相应政策规定的、生活确有困难的信访人，根据习</w:t>
      </w:r>
      <w:r>
        <w:rPr>
          <w:rFonts w:hint="eastAsia" w:ascii="仿宋_GB2312" w:hAnsi="仿宋" w:eastAsia="仿宋_GB2312"/>
          <w:sz w:val="32"/>
          <w:szCs w:val="32"/>
          <w:lang w:val="en-US" w:eastAsia="zh-CN"/>
        </w:rPr>
        <w:t>近平</w:t>
      </w:r>
      <w:bookmarkStart w:id="73" w:name="_GoBack"/>
      <w:bookmarkEnd w:id="73"/>
      <w:r>
        <w:rPr>
          <w:rFonts w:hint="eastAsia" w:ascii="仿宋_GB2312" w:hAnsi="仿宋" w:eastAsia="仿宋_GB2312"/>
          <w:sz w:val="32"/>
          <w:szCs w:val="32"/>
        </w:rPr>
        <w:t>总书记“三到位一处理”的要求，本着实事求是、解决问题的原则，给予适当救助，做到解决、帮扶到位。将特殊疑难信访积案及时主动化解，信访人息诉罢访、案结事了。</w:t>
      </w:r>
    </w:p>
    <w:p w14:paraId="56213657">
      <w:pPr>
        <w:adjustRightInd w:val="0"/>
        <w:snapToGrid w:val="0"/>
        <w:spacing w:line="560" w:lineRule="exact"/>
        <w:ind w:firstLine="720"/>
        <w:rPr>
          <w:rFonts w:ascii="仿宋_GB2312" w:hAnsi="宋体" w:eastAsia="仿宋_GB2312"/>
          <w:sz w:val="32"/>
          <w:szCs w:val="32"/>
          <w:lang w:val="zh-CN"/>
        </w:rPr>
      </w:pPr>
      <w:r>
        <w:rPr>
          <w:rFonts w:hint="eastAsia" w:ascii="仿宋_GB2312" w:hAnsi="宋体" w:eastAsia="仿宋_GB2312"/>
          <w:b/>
          <w:sz w:val="32"/>
          <w:szCs w:val="32"/>
          <w:lang w:val="zh-CN"/>
        </w:rPr>
        <w:t>4．资金分配的原则及考虑因素。</w:t>
      </w:r>
      <w:r>
        <w:rPr>
          <w:rFonts w:hint="eastAsia" w:ascii="仿宋_GB2312" w:eastAsia="仿宋_GB2312"/>
          <w:sz w:val="32"/>
          <w:szCs w:val="32"/>
        </w:rPr>
        <w:t>根据各乡镇、部门涉及的信访事项按照信访积案较多的乡镇重点支持，资金使用按照财务管理制度执行，重点资金使用中坚持责任部门提出申请，信访局经局务会研究提出具体方案后报请上级分管领导审批再支出的管理方式。重点关注长期未化解的特殊疑难信访案件，中央、省市督查督办信访案件。</w:t>
      </w:r>
    </w:p>
    <w:p w14:paraId="768DE5C2">
      <w:pPr>
        <w:adjustRightInd w:val="0"/>
        <w:snapToGrid w:val="0"/>
        <w:spacing w:line="560" w:lineRule="exact"/>
        <w:ind w:firstLine="720"/>
        <w:rPr>
          <w:rFonts w:ascii="楷体" w:hAnsi="楷体" w:eastAsia="楷体"/>
          <w:sz w:val="32"/>
          <w:szCs w:val="32"/>
          <w:lang w:val="zh-CN"/>
        </w:rPr>
      </w:pPr>
      <w:r>
        <w:rPr>
          <w:rFonts w:hint="eastAsia" w:ascii="楷体" w:hAnsi="楷体" w:eastAsia="楷体"/>
          <w:sz w:val="32"/>
          <w:szCs w:val="32"/>
          <w:lang w:val="zh-CN"/>
        </w:rPr>
        <w:t>（二）项目绩效目标</w:t>
      </w:r>
    </w:p>
    <w:p w14:paraId="4FAD20D4">
      <w:pPr>
        <w:adjustRightInd w:val="0"/>
        <w:snapToGrid w:val="0"/>
        <w:spacing w:line="560" w:lineRule="exact"/>
        <w:ind w:firstLine="720"/>
        <w:rPr>
          <w:rFonts w:ascii="仿宋_GB2312" w:hAnsi="宋体" w:eastAsia="仿宋_GB2312"/>
          <w:sz w:val="32"/>
          <w:szCs w:val="32"/>
          <w:lang w:val="zh-CN"/>
        </w:rPr>
      </w:pPr>
      <w:r>
        <w:rPr>
          <w:rFonts w:ascii="仿宋_GB2312" w:hAnsi="宋体" w:eastAsia="仿宋_GB2312"/>
          <w:sz w:val="32"/>
          <w:szCs w:val="32"/>
          <w:lang w:val="zh-CN"/>
        </w:rPr>
        <w:t>1</w:t>
      </w:r>
      <w:r>
        <w:rPr>
          <w:rFonts w:hint="eastAsia" w:ascii="仿宋_GB2312" w:hAnsi="宋体" w:eastAsia="仿宋_GB2312"/>
          <w:sz w:val="32"/>
          <w:szCs w:val="32"/>
          <w:lang w:val="zh-CN"/>
        </w:rPr>
        <w:t>．项目主要内容。</w:t>
      </w:r>
      <w:r>
        <w:rPr>
          <w:rFonts w:hint="eastAsia" w:ascii="仿宋_GB2312" w:eastAsia="仿宋_GB2312"/>
          <w:sz w:val="32"/>
          <w:szCs w:val="32"/>
        </w:rPr>
        <w:t>做好群众来信来访、网络投诉等基础信访业务工作，按规定及时办理各类信访案件，加强信访法治化建设，提高信访事项“三率”，巩固“两降两升”；开展矛盾纠纷排查和信访积案化解，做好群众到县到市到省进京上访的劝返处置</w:t>
      </w:r>
      <w:r>
        <w:rPr>
          <w:rFonts w:hint="eastAsia" w:ascii="仿宋_GB2312" w:eastAsia="仿宋_GB2312"/>
          <w:sz w:val="32"/>
          <w:szCs w:val="32"/>
          <w:lang w:val="en-US" w:eastAsia="zh-CN"/>
        </w:rPr>
        <w:t>和</w:t>
      </w:r>
      <w:r>
        <w:rPr>
          <w:rFonts w:hint="eastAsia" w:ascii="仿宋_GB2312" w:eastAsia="仿宋_GB2312"/>
          <w:sz w:val="32"/>
          <w:szCs w:val="32"/>
        </w:rPr>
        <w:t>特殊敏感时期的信访维稳工作，全力维护全县社会和谐稳定。</w:t>
      </w:r>
      <w:r>
        <w:rPr>
          <w:rFonts w:ascii="仿宋_GB2312" w:eastAsia="仿宋_GB2312"/>
          <w:sz w:val="32"/>
          <w:szCs w:val="32"/>
        </w:rPr>
        <w:t xml:space="preserve"> </w:t>
      </w:r>
      <w:r>
        <w:rPr>
          <w:rFonts w:hint="eastAsia" w:ascii="仿宋_GB2312" w:eastAsia="仿宋_GB2312"/>
          <w:sz w:val="32"/>
          <w:szCs w:val="32"/>
        </w:rPr>
        <w:t>对诉求合理的信访积案逐步化解，对生活困难的信访人给予帮扶救助，对诉求无理的信访人进行教育疏导稳控，防止发生越级访、集体访、非访和极端恶性事件。</w:t>
      </w:r>
    </w:p>
    <w:p w14:paraId="35AA3788">
      <w:pPr>
        <w:tabs>
          <w:tab w:val="left" w:pos="312"/>
        </w:tabs>
        <w:spacing w:line="560" w:lineRule="exact"/>
        <w:ind w:left="640"/>
        <w:rPr>
          <w:rFonts w:ascii="仿宋_GB2312" w:eastAsia="仿宋_GB2312"/>
          <w:sz w:val="32"/>
          <w:szCs w:val="32"/>
        </w:rPr>
      </w:pPr>
      <w:r>
        <w:rPr>
          <w:rFonts w:ascii="仿宋_GB2312" w:eastAsia="仿宋_GB2312"/>
          <w:b/>
          <w:sz w:val="32"/>
          <w:szCs w:val="32"/>
        </w:rPr>
        <w:t>2.</w:t>
      </w:r>
      <w:r>
        <w:rPr>
          <w:rFonts w:hint="eastAsia" w:ascii="仿宋_GB2312" w:eastAsia="仿宋_GB2312"/>
          <w:sz w:val="32"/>
          <w:szCs w:val="32"/>
        </w:rPr>
        <w:t>项目应实现的具体绩效目标为预计</w:t>
      </w:r>
      <w:r>
        <w:rPr>
          <w:rFonts w:ascii="仿宋_GB2312" w:eastAsia="仿宋_GB2312"/>
          <w:sz w:val="32"/>
          <w:szCs w:val="32"/>
        </w:rPr>
        <w:t>2021</w:t>
      </w:r>
      <w:r>
        <w:rPr>
          <w:rFonts w:hint="eastAsia" w:ascii="仿宋_GB2312" w:eastAsia="仿宋_GB2312"/>
          <w:sz w:val="32"/>
          <w:szCs w:val="32"/>
        </w:rPr>
        <w:t>年上访人次</w:t>
      </w:r>
    </w:p>
    <w:p w14:paraId="6F02FB05">
      <w:pPr>
        <w:tabs>
          <w:tab w:val="left" w:pos="312"/>
        </w:tabs>
        <w:spacing w:line="560" w:lineRule="exact"/>
        <w:rPr>
          <w:rFonts w:ascii="仿宋_GB2312" w:eastAsia="仿宋_GB2312"/>
          <w:sz w:val="32"/>
          <w:szCs w:val="32"/>
        </w:rPr>
      </w:pPr>
      <w:r>
        <w:rPr>
          <w:rFonts w:ascii="仿宋_GB2312" w:eastAsia="仿宋_GB2312"/>
          <w:sz w:val="32"/>
          <w:szCs w:val="32"/>
        </w:rPr>
        <w:t>2000</w:t>
      </w:r>
      <w:r>
        <w:rPr>
          <w:rFonts w:hint="eastAsia" w:ascii="仿宋_GB2312" w:eastAsia="仿宋_GB2312"/>
          <w:sz w:val="32"/>
          <w:szCs w:val="32"/>
        </w:rPr>
        <w:t>人，批次</w:t>
      </w:r>
      <w:r>
        <w:rPr>
          <w:rFonts w:ascii="仿宋_GB2312" w:eastAsia="仿宋_GB2312"/>
          <w:sz w:val="32"/>
          <w:szCs w:val="32"/>
        </w:rPr>
        <w:t>400</w:t>
      </w:r>
      <w:r>
        <w:rPr>
          <w:rFonts w:hint="eastAsia" w:ascii="仿宋_GB2312" w:eastAsia="仿宋_GB2312"/>
          <w:sz w:val="32"/>
          <w:szCs w:val="32"/>
        </w:rPr>
        <w:t>，化解特殊疑难信访积案</w:t>
      </w:r>
      <w:r>
        <w:rPr>
          <w:rFonts w:ascii="仿宋_GB2312" w:eastAsia="仿宋_GB2312"/>
          <w:sz w:val="32"/>
          <w:szCs w:val="32"/>
        </w:rPr>
        <w:t>4</w:t>
      </w:r>
      <w:r>
        <w:rPr>
          <w:rFonts w:hint="eastAsia" w:ascii="仿宋_GB2312" w:eastAsia="仿宋_GB2312"/>
          <w:sz w:val="32"/>
          <w:szCs w:val="32"/>
        </w:rPr>
        <w:t>件，息诉罢访，当年完成，在九月进行年度计划执行情况汇总，根据汇总情况调整资金安排，年末按时完成目标任务。</w:t>
      </w:r>
    </w:p>
    <w:p w14:paraId="18300D9E">
      <w:pPr>
        <w:adjustRightInd w:val="0"/>
        <w:snapToGrid w:val="0"/>
        <w:spacing w:line="560" w:lineRule="exact"/>
        <w:ind w:firstLine="720"/>
        <w:rPr>
          <w:rFonts w:ascii="仿宋_GB2312" w:hAnsi="宋体" w:eastAsia="仿宋_GB2312"/>
          <w:sz w:val="32"/>
          <w:szCs w:val="32"/>
          <w:lang w:val="zh-CN"/>
        </w:rPr>
      </w:pPr>
      <w:r>
        <w:rPr>
          <w:rFonts w:ascii="仿宋_GB2312" w:hAnsi="宋体" w:eastAsia="仿宋_GB2312"/>
          <w:sz w:val="32"/>
          <w:szCs w:val="32"/>
          <w:lang w:val="zh-CN"/>
        </w:rPr>
        <w:t>3</w:t>
      </w:r>
      <w:r>
        <w:rPr>
          <w:rFonts w:hint="eastAsia" w:ascii="仿宋_GB2312" w:hAnsi="宋体" w:eastAsia="仿宋_GB2312"/>
          <w:sz w:val="32"/>
          <w:szCs w:val="32"/>
          <w:lang w:val="zh-CN"/>
        </w:rPr>
        <w:t>．</w:t>
      </w:r>
      <w:r>
        <w:rPr>
          <w:rFonts w:hint="eastAsia" w:ascii="仿宋_GB2312" w:eastAsia="仿宋_GB2312"/>
          <w:sz w:val="32"/>
          <w:szCs w:val="32"/>
        </w:rPr>
        <w:t>申报内容与工作年度计划相符，申报目标合理可行。</w:t>
      </w:r>
    </w:p>
    <w:p w14:paraId="101A9468">
      <w:pPr>
        <w:adjustRightInd w:val="0"/>
        <w:snapToGrid w:val="0"/>
        <w:spacing w:line="560" w:lineRule="exact"/>
        <w:ind w:firstLine="480" w:firstLineChars="150"/>
        <w:rPr>
          <w:rFonts w:ascii="楷体" w:hAnsi="楷体" w:eastAsia="楷体"/>
          <w:b/>
          <w:sz w:val="32"/>
          <w:szCs w:val="32"/>
          <w:lang w:val="zh-CN"/>
        </w:rPr>
      </w:pPr>
      <w:r>
        <w:rPr>
          <w:rFonts w:hint="eastAsia" w:ascii="楷体" w:hAnsi="楷体" w:eastAsia="楷体"/>
          <w:sz w:val="32"/>
          <w:szCs w:val="32"/>
          <w:lang w:val="zh-CN"/>
        </w:rPr>
        <w:t>（三）项目自评步骤及方法。</w:t>
      </w:r>
      <w:r>
        <w:rPr>
          <w:rFonts w:hint="eastAsia" w:ascii="仿宋_GB2312" w:eastAsia="仿宋_GB2312"/>
          <w:sz w:val="32"/>
          <w:szCs w:val="32"/>
        </w:rPr>
        <w:t>由项目负责人根据项目绩效申报指标逐个核对、比对，是否完成申报指标，计算完成率。</w:t>
      </w:r>
    </w:p>
    <w:p w14:paraId="7582F672">
      <w:pPr>
        <w:adjustRightInd w:val="0"/>
        <w:snapToGrid w:val="0"/>
        <w:spacing w:line="560" w:lineRule="exact"/>
        <w:ind w:firstLine="720"/>
        <w:rPr>
          <w:rFonts w:ascii="黑体" w:hAnsi="宋体" w:eastAsia="黑体"/>
          <w:sz w:val="32"/>
          <w:szCs w:val="32"/>
        </w:rPr>
      </w:pPr>
      <w:r>
        <w:rPr>
          <w:rFonts w:hint="eastAsia" w:ascii="黑体" w:hAnsi="宋体" w:eastAsia="黑体"/>
          <w:sz w:val="32"/>
          <w:szCs w:val="32"/>
        </w:rPr>
        <w:t>二、项目资金申报及使用情况</w:t>
      </w:r>
    </w:p>
    <w:p w14:paraId="0830700B">
      <w:pPr>
        <w:adjustRightInd w:val="0"/>
        <w:snapToGrid w:val="0"/>
        <w:spacing w:line="560" w:lineRule="exact"/>
        <w:ind w:firstLine="720"/>
        <w:rPr>
          <w:rFonts w:ascii="楷体" w:hAnsi="楷体" w:eastAsia="楷体"/>
          <w:sz w:val="32"/>
          <w:szCs w:val="32"/>
          <w:lang w:val="zh-CN"/>
        </w:rPr>
      </w:pPr>
      <w:r>
        <w:rPr>
          <w:rFonts w:hint="eastAsia" w:ascii="楷体" w:hAnsi="楷体" w:eastAsia="楷体"/>
          <w:sz w:val="32"/>
          <w:szCs w:val="32"/>
          <w:lang w:val="zh-CN"/>
        </w:rPr>
        <w:t>（一）项目资金申报及批复情况</w:t>
      </w:r>
    </w:p>
    <w:p w14:paraId="3FB248BD">
      <w:pPr>
        <w:spacing w:line="560" w:lineRule="exact"/>
        <w:ind w:firstLine="640" w:firstLineChars="200"/>
        <w:rPr>
          <w:rFonts w:ascii="仿宋_GB2312" w:eastAsia="仿宋_GB2312"/>
          <w:sz w:val="32"/>
          <w:szCs w:val="32"/>
        </w:rPr>
      </w:pPr>
      <w:r>
        <w:rPr>
          <w:rFonts w:hint="eastAsia" w:ascii="仿宋_GB2312" w:eastAsia="仿宋_GB2312"/>
          <w:sz w:val="32"/>
          <w:szCs w:val="32"/>
        </w:rPr>
        <w:t>该项目资金在年初预算时纳入预算申报，盐财资行</w:t>
      </w:r>
      <w:r>
        <w:rPr>
          <w:rFonts w:hint="eastAsia" w:ascii="仿宋_GB2312" w:hAnsi="宋体" w:eastAsia="仿宋_GB2312"/>
          <w:sz w:val="32"/>
          <w:szCs w:val="32"/>
        </w:rPr>
        <w:t>〔</w:t>
      </w:r>
      <w:r>
        <w:rPr>
          <w:rFonts w:ascii="仿宋_GB2312" w:eastAsia="仿宋_GB2312"/>
          <w:sz w:val="32"/>
          <w:szCs w:val="32"/>
        </w:rPr>
        <w:t>2021</w:t>
      </w:r>
      <w:r>
        <w:rPr>
          <w:rFonts w:hint="eastAsia" w:ascii="仿宋_GB2312" w:hAnsi="宋体" w:eastAsia="仿宋_GB2312"/>
          <w:sz w:val="32"/>
          <w:szCs w:val="32"/>
        </w:rPr>
        <w:t>〕</w:t>
      </w:r>
      <w:r>
        <w:rPr>
          <w:rFonts w:ascii="仿宋_GB2312" w:eastAsia="仿宋_GB2312"/>
          <w:sz w:val="32"/>
          <w:szCs w:val="32"/>
        </w:rPr>
        <w:t>174</w:t>
      </w:r>
      <w:r>
        <w:rPr>
          <w:rFonts w:hint="eastAsia" w:ascii="仿宋_GB2312" w:eastAsia="仿宋_GB2312"/>
          <w:sz w:val="32"/>
          <w:szCs w:val="32"/>
        </w:rPr>
        <w:t>号、盐财资行</w:t>
      </w:r>
      <w:r>
        <w:rPr>
          <w:rFonts w:hint="eastAsia" w:ascii="仿宋_GB2312" w:hAnsi="宋体" w:eastAsia="仿宋_GB2312"/>
          <w:sz w:val="32"/>
          <w:szCs w:val="32"/>
        </w:rPr>
        <w:t>〔</w:t>
      </w:r>
      <w:r>
        <w:rPr>
          <w:rFonts w:ascii="仿宋_GB2312" w:eastAsia="仿宋_GB2312"/>
          <w:sz w:val="32"/>
          <w:szCs w:val="32"/>
        </w:rPr>
        <w:t>2021</w:t>
      </w:r>
      <w:r>
        <w:rPr>
          <w:rFonts w:hint="eastAsia" w:ascii="仿宋_GB2312" w:hAnsi="宋体" w:eastAsia="仿宋_GB2312"/>
          <w:sz w:val="32"/>
          <w:szCs w:val="32"/>
        </w:rPr>
        <w:t>〕</w:t>
      </w:r>
      <w:r>
        <w:rPr>
          <w:rFonts w:ascii="仿宋_GB2312" w:eastAsia="仿宋_GB2312"/>
          <w:sz w:val="32"/>
          <w:szCs w:val="32"/>
        </w:rPr>
        <w:t>444</w:t>
      </w:r>
      <w:r>
        <w:rPr>
          <w:rFonts w:hint="eastAsia" w:ascii="仿宋_GB2312" w:eastAsia="仿宋_GB2312"/>
          <w:sz w:val="32"/>
          <w:szCs w:val="32"/>
        </w:rPr>
        <w:t>号批复，用于信访工作专项经费。年末调整支出项目按规定报送财政审批。</w:t>
      </w:r>
    </w:p>
    <w:p w14:paraId="08E6F311">
      <w:pPr>
        <w:adjustRightInd w:val="0"/>
        <w:snapToGrid w:val="0"/>
        <w:spacing w:line="560" w:lineRule="exact"/>
        <w:ind w:left="525" w:leftChars="250" w:firstLine="160" w:firstLineChars="50"/>
        <w:rPr>
          <w:rFonts w:ascii="楷体" w:hAnsi="楷体" w:eastAsia="楷体"/>
          <w:sz w:val="32"/>
          <w:szCs w:val="32"/>
          <w:lang w:val="zh-CN"/>
        </w:rPr>
      </w:pPr>
      <w:r>
        <w:rPr>
          <w:rFonts w:hint="eastAsia" w:ascii="楷体" w:hAnsi="楷体" w:eastAsia="楷体"/>
          <w:sz w:val="32"/>
          <w:szCs w:val="32"/>
          <w:lang w:val="zh-CN"/>
        </w:rPr>
        <w:t>（二）资金计划、到位及使用情况（可用表格形式反映）</w:t>
      </w:r>
    </w:p>
    <w:p w14:paraId="3FF2964D">
      <w:pPr>
        <w:adjustRightInd w:val="0"/>
        <w:snapToGrid w:val="0"/>
        <w:spacing w:line="560" w:lineRule="exact"/>
        <w:ind w:left="525" w:leftChars="250" w:firstLine="160" w:firstLineChars="50"/>
        <w:rPr>
          <w:rFonts w:ascii="楷体_GB2312" w:hAnsi="宋体" w:eastAsia="楷体_GB2312"/>
          <w:sz w:val="32"/>
          <w:szCs w:val="32"/>
          <w:lang w:val="zh-CN"/>
        </w:rPr>
      </w:pPr>
      <w:r>
        <w:rPr>
          <w:rFonts w:ascii="楷体_GB2312" w:hAnsi="宋体" w:eastAsia="楷体_GB2312"/>
          <w:sz w:val="32"/>
          <w:szCs w:val="32"/>
          <w:lang w:val="zh-CN"/>
        </w:rPr>
        <w:t>1</w:t>
      </w:r>
      <w:r>
        <w:rPr>
          <w:rFonts w:hint="eastAsia" w:ascii="楷体_GB2312" w:hAnsi="宋体" w:eastAsia="楷体_GB2312"/>
          <w:sz w:val="32"/>
          <w:szCs w:val="32"/>
          <w:lang w:val="zh-CN"/>
        </w:rPr>
        <w:t>．资金计划。</w:t>
      </w:r>
      <w:r>
        <w:rPr>
          <w:rFonts w:hint="eastAsia" w:ascii="楷体_GB2312" w:eastAsia="楷体_GB2312"/>
          <w:sz w:val="32"/>
          <w:szCs w:val="32"/>
        </w:rPr>
        <w:t>该项目为县级财政资金</w:t>
      </w:r>
    </w:p>
    <w:p w14:paraId="130915B3">
      <w:pPr>
        <w:adjustRightInd w:val="0"/>
        <w:snapToGrid w:val="0"/>
        <w:spacing w:line="560" w:lineRule="exact"/>
        <w:ind w:firstLine="720"/>
        <w:rPr>
          <w:rFonts w:ascii="楷体_GB2312" w:hAnsi="宋体" w:eastAsia="楷体_GB2312"/>
          <w:sz w:val="32"/>
          <w:szCs w:val="32"/>
          <w:lang w:val="zh-CN"/>
        </w:rPr>
      </w:pPr>
      <w:r>
        <w:rPr>
          <w:rFonts w:ascii="楷体_GB2312" w:hAnsi="宋体" w:eastAsia="楷体_GB2312"/>
          <w:sz w:val="32"/>
          <w:szCs w:val="32"/>
          <w:lang w:val="zh-CN"/>
        </w:rPr>
        <w:t>2</w:t>
      </w:r>
      <w:r>
        <w:rPr>
          <w:rFonts w:hint="eastAsia" w:ascii="楷体_GB2312" w:hAnsi="宋体" w:eastAsia="楷体_GB2312"/>
          <w:sz w:val="32"/>
          <w:szCs w:val="32"/>
          <w:lang w:val="zh-CN"/>
        </w:rPr>
        <w:t>．资金到位。</w:t>
      </w:r>
      <w:r>
        <w:rPr>
          <w:rFonts w:hint="eastAsia" w:ascii="楷体_GB2312" w:eastAsia="楷体_GB2312"/>
          <w:sz w:val="32"/>
          <w:szCs w:val="32"/>
        </w:rPr>
        <w:t>及时、足额到位</w:t>
      </w:r>
    </w:p>
    <w:p w14:paraId="751EC3A3">
      <w:pPr>
        <w:spacing w:line="560" w:lineRule="exact"/>
        <w:ind w:firstLine="640" w:firstLineChars="200"/>
        <w:rPr>
          <w:rFonts w:ascii="楷体_GB2312" w:eastAsia="楷体_GB2312"/>
          <w:sz w:val="32"/>
          <w:szCs w:val="32"/>
        </w:rPr>
      </w:pPr>
      <w:r>
        <w:rPr>
          <w:rFonts w:ascii="楷体_GB2312" w:hAnsi="宋体" w:eastAsia="楷体_GB2312"/>
          <w:sz w:val="32"/>
          <w:szCs w:val="32"/>
          <w:lang w:val="zh-CN"/>
        </w:rPr>
        <w:t>3</w:t>
      </w:r>
      <w:r>
        <w:rPr>
          <w:rFonts w:hint="eastAsia" w:ascii="楷体_GB2312" w:hAnsi="宋体" w:eastAsia="楷体_GB2312"/>
          <w:sz w:val="32"/>
          <w:szCs w:val="32"/>
          <w:lang w:val="zh-CN"/>
        </w:rPr>
        <w:t>．资金使用。</w:t>
      </w:r>
      <w:r>
        <w:rPr>
          <w:rFonts w:hint="eastAsia" w:ascii="楷体_GB2312" w:eastAsia="楷体_GB2312"/>
          <w:sz w:val="32"/>
          <w:szCs w:val="32"/>
        </w:rPr>
        <w:t>下达项目预算后及时报告单位向业务部门反馈，根据工作实际及时安排项目资金支出，涉及重点资金使用坚持责任部门提出申请，信访局经局务会研究提出具体方案后报请上级分管领导审批再支出的管理方式。项目资金支出时，对责任部门进行资金使用规范提醒，明确管理责任，督促责任部门依法依规使用资金。业务部门对资金使用的具体情况主动获取反馈，对化解信访案件进行资料收集，了解项目实施的绩效情况。</w:t>
      </w:r>
    </w:p>
    <w:p w14:paraId="76F08379">
      <w:pPr>
        <w:adjustRightInd w:val="0"/>
        <w:snapToGrid w:val="0"/>
        <w:spacing w:line="560" w:lineRule="exact"/>
        <w:ind w:firstLine="720"/>
        <w:rPr>
          <w:rFonts w:ascii="楷体" w:hAnsi="楷体" w:eastAsia="楷体"/>
          <w:sz w:val="32"/>
          <w:szCs w:val="32"/>
          <w:lang w:val="zh-CN"/>
        </w:rPr>
      </w:pPr>
      <w:r>
        <w:rPr>
          <w:rFonts w:hint="eastAsia" w:ascii="楷体" w:hAnsi="楷体" w:eastAsia="楷体"/>
          <w:sz w:val="32"/>
          <w:szCs w:val="32"/>
          <w:lang w:val="zh-CN"/>
        </w:rPr>
        <w:t>（三）项目财务管理情况</w:t>
      </w:r>
    </w:p>
    <w:p w14:paraId="169A8A1F">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项目实施单位财务管理制度健全，严格执行财务管理制度，账务处理及时，会计核算规范。</w:t>
      </w:r>
    </w:p>
    <w:p w14:paraId="05E62C5A">
      <w:pPr>
        <w:adjustRightInd w:val="0"/>
        <w:snapToGrid w:val="0"/>
        <w:spacing w:line="560" w:lineRule="exact"/>
        <w:ind w:firstLine="720"/>
        <w:rPr>
          <w:rFonts w:ascii="黑体" w:hAnsi="宋体" w:eastAsia="黑体"/>
          <w:sz w:val="32"/>
          <w:szCs w:val="32"/>
        </w:rPr>
      </w:pPr>
      <w:r>
        <w:rPr>
          <w:rFonts w:hint="eastAsia" w:ascii="黑体" w:hAnsi="宋体" w:eastAsia="黑体"/>
          <w:sz w:val="32"/>
          <w:szCs w:val="32"/>
        </w:rPr>
        <w:t>三、项目实施及管理情况</w:t>
      </w:r>
    </w:p>
    <w:p w14:paraId="2DACDB11">
      <w:pPr>
        <w:adjustRightInd w:val="0"/>
        <w:snapToGrid w:val="0"/>
        <w:spacing w:line="560" w:lineRule="exact"/>
        <w:ind w:firstLine="720"/>
        <w:rPr>
          <w:rFonts w:ascii="楷体_GB2312" w:hAnsi="宋体" w:eastAsia="楷体_GB2312"/>
          <w:b/>
          <w:sz w:val="32"/>
          <w:szCs w:val="32"/>
          <w:lang w:val="zh-CN"/>
        </w:rPr>
      </w:pPr>
      <w:r>
        <w:rPr>
          <w:rFonts w:hint="eastAsia" w:ascii="楷体" w:hAnsi="楷体" w:eastAsia="楷体"/>
          <w:sz w:val="32"/>
          <w:szCs w:val="32"/>
          <w:lang w:val="zh-CN"/>
        </w:rPr>
        <w:t>（一）项目组织架构及实施流程。</w:t>
      </w:r>
      <w:r>
        <w:rPr>
          <w:rFonts w:hint="eastAsia" w:ascii="方正仿宋_GBK" w:eastAsia="方正仿宋_GBK"/>
          <w:sz w:val="32"/>
          <w:szCs w:val="32"/>
        </w:rPr>
        <w:t>县信访局根据全县信访工作情况综合考虑，由信访局经党组会审议进行预算项目申报，根据各乡镇、部门涉及的信访事项按照信访积案较多的乡镇重点支持，资金使用按照财务管理制度执行，资金支付形式为直接支付和授权支付，严禁现金支出。重点资金使用中坚持责任部门提出申请，信访局经局务会研究提出具体方案后报请上级分管领导审批再支出的管理方式。重点关注长期未化解的特殊疑难信访案件，中央、省市督查督办信访案件。</w:t>
      </w:r>
    </w:p>
    <w:p w14:paraId="191B1598">
      <w:pPr>
        <w:adjustRightInd w:val="0"/>
        <w:snapToGrid w:val="0"/>
        <w:spacing w:line="560" w:lineRule="exact"/>
        <w:ind w:firstLine="720"/>
        <w:rPr>
          <w:rFonts w:ascii="仿宋_GB2312" w:hAnsi="宋体" w:eastAsia="仿宋_GB2312"/>
          <w:sz w:val="32"/>
          <w:szCs w:val="32"/>
          <w:lang w:val="zh-CN"/>
        </w:rPr>
      </w:pPr>
      <w:r>
        <w:rPr>
          <w:rFonts w:hint="eastAsia" w:ascii="楷体" w:hAnsi="楷体" w:eastAsia="楷体"/>
          <w:sz w:val="32"/>
          <w:szCs w:val="32"/>
          <w:lang w:val="zh-CN"/>
        </w:rPr>
        <w:t>（二）项目管理情况。</w:t>
      </w:r>
      <w:r>
        <w:rPr>
          <w:rFonts w:hint="eastAsia" w:ascii="仿宋_GB2312" w:hAnsi="宋体" w:eastAsia="仿宋_GB2312"/>
          <w:sz w:val="32"/>
          <w:szCs w:val="32"/>
          <w:lang w:val="zh-CN"/>
        </w:rPr>
        <w:t>结合项目特点，总体评价各项目实施单位执行相关法律法规及项目管理制度等情况，如招投标、政府采购、项目公示制等相关规定。</w:t>
      </w:r>
    </w:p>
    <w:p w14:paraId="528233BC">
      <w:pPr>
        <w:adjustRightInd w:val="0"/>
        <w:snapToGrid w:val="0"/>
        <w:spacing w:line="560" w:lineRule="exact"/>
        <w:ind w:firstLine="720"/>
        <w:rPr>
          <w:rFonts w:ascii="仿宋_GB2312" w:hAnsi="宋体" w:eastAsia="仿宋_GB2312"/>
          <w:sz w:val="32"/>
          <w:szCs w:val="32"/>
          <w:lang w:val="zh-CN"/>
        </w:rPr>
      </w:pPr>
      <w:r>
        <w:rPr>
          <w:rFonts w:hint="eastAsia" w:ascii="楷体" w:hAnsi="楷体" w:eastAsia="楷体"/>
          <w:sz w:val="32"/>
          <w:szCs w:val="32"/>
          <w:lang w:val="zh-CN"/>
        </w:rPr>
        <w:t>（三）项目监管情况。</w:t>
      </w:r>
      <w:r>
        <w:rPr>
          <w:rFonts w:hint="eastAsia" w:ascii="仿宋_GB2312" w:hAnsi="宋体" w:eastAsia="仿宋_GB2312"/>
          <w:sz w:val="32"/>
          <w:szCs w:val="32"/>
          <w:lang w:val="zh-CN"/>
        </w:rPr>
        <w:t>说明项目主管部门为加强项目管理所采取的监管手段、监管程序、监管工作开展情况及实现的效果等。</w:t>
      </w:r>
    </w:p>
    <w:p w14:paraId="6D74988D">
      <w:pPr>
        <w:adjustRightInd w:val="0"/>
        <w:snapToGrid w:val="0"/>
        <w:spacing w:line="560" w:lineRule="exact"/>
        <w:ind w:firstLine="720"/>
        <w:rPr>
          <w:rFonts w:ascii="仿宋_GB2312" w:hAnsi="宋体" w:eastAsia="仿宋_GB2312"/>
          <w:sz w:val="32"/>
          <w:szCs w:val="32"/>
          <w:lang w:val="zh-CN"/>
        </w:rPr>
      </w:pPr>
      <w:r>
        <w:rPr>
          <w:rFonts w:hint="eastAsia" w:ascii="黑体" w:hAnsi="宋体" w:eastAsia="黑体"/>
          <w:sz w:val="32"/>
          <w:szCs w:val="32"/>
        </w:rPr>
        <w:t>四、项目绩效情况</w:t>
      </w:r>
      <w:r>
        <w:rPr>
          <w:rFonts w:ascii="仿宋_GB2312" w:hAnsi="宋体" w:eastAsia="仿宋_GB2312"/>
          <w:sz w:val="32"/>
          <w:szCs w:val="32"/>
          <w:lang w:val="zh-CN"/>
        </w:rPr>
        <w:tab/>
      </w:r>
    </w:p>
    <w:p w14:paraId="2DAD8024">
      <w:pPr>
        <w:adjustRightInd w:val="0"/>
        <w:snapToGrid w:val="0"/>
        <w:spacing w:line="560" w:lineRule="exact"/>
        <w:ind w:firstLine="720"/>
        <w:rPr>
          <w:rFonts w:ascii="楷体" w:hAnsi="楷体" w:eastAsia="楷体"/>
          <w:sz w:val="32"/>
          <w:szCs w:val="32"/>
          <w:lang w:val="zh-CN"/>
        </w:rPr>
      </w:pPr>
      <w:r>
        <w:rPr>
          <w:rFonts w:hint="eastAsia" w:ascii="楷体" w:hAnsi="楷体" w:eastAsia="楷体"/>
          <w:sz w:val="32"/>
          <w:szCs w:val="32"/>
          <w:lang w:val="zh-CN"/>
        </w:rPr>
        <w:t>（一）项目完成情况</w:t>
      </w:r>
    </w:p>
    <w:p w14:paraId="4F22EA0C">
      <w:pPr>
        <w:adjustRightInd w:val="0"/>
        <w:snapToGrid w:val="0"/>
        <w:spacing w:line="560" w:lineRule="exact"/>
        <w:ind w:firstLine="720"/>
        <w:rPr>
          <w:rFonts w:ascii="楷体_GB2312" w:hAnsi="宋体" w:eastAsia="楷体_GB2312"/>
          <w:b/>
          <w:sz w:val="32"/>
          <w:szCs w:val="32"/>
          <w:lang w:val="zh-CN"/>
        </w:rPr>
      </w:pPr>
      <w:r>
        <w:rPr>
          <w:rFonts w:hint="eastAsia" w:ascii="仿宋_GB2312" w:hAnsi="宋体" w:eastAsia="仿宋_GB2312"/>
          <w:sz w:val="32"/>
          <w:szCs w:val="32"/>
          <w:lang w:val="zh-CN"/>
        </w:rPr>
        <w:t>包括项目完成数量、质量、时效、成本等情况，资金结余情况，违规记录等，对照项目计划完成目标，对截止评价时点的任务量完成、质量标准、进度计划、成本控制目标的实现程度进行评价，并进行分析说明。</w:t>
      </w:r>
    </w:p>
    <w:p w14:paraId="534A10A7">
      <w:pPr>
        <w:adjustRightInd w:val="0"/>
        <w:snapToGrid w:val="0"/>
        <w:spacing w:line="560" w:lineRule="exact"/>
        <w:ind w:firstLine="720"/>
        <w:rPr>
          <w:rFonts w:ascii="楷体" w:hAnsi="楷体" w:eastAsia="楷体"/>
          <w:sz w:val="32"/>
          <w:szCs w:val="32"/>
          <w:lang w:val="zh-CN"/>
        </w:rPr>
      </w:pPr>
      <w:r>
        <w:rPr>
          <w:rFonts w:hint="eastAsia" w:ascii="楷体" w:hAnsi="楷体" w:eastAsia="楷体"/>
          <w:sz w:val="32"/>
          <w:szCs w:val="32"/>
          <w:lang w:val="zh-CN"/>
        </w:rPr>
        <w:t>（二）项目效益情况</w:t>
      </w:r>
    </w:p>
    <w:p w14:paraId="141D96C6">
      <w:pPr>
        <w:adjustRightInd w:val="0"/>
        <w:snapToGrid w:val="0"/>
        <w:spacing w:line="56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从项目经济效益、社会效益、生态效益、可持续效益以及服务对象满意度等方面对项目效益进行全面分析评价。</w:t>
      </w:r>
    </w:p>
    <w:p w14:paraId="175290CF">
      <w:pPr>
        <w:adjustRightInd w:val="0"/>
        <w:snapToGrid w:val="0"/>
        <w:spacing w:line="560" w:lineRule="exact"/>
        <w:ind w:firstLine="720"/>
        <w:rPr>
          <w:rFonts w:ascii="黑体" w:hAnsi="宋体" w:eastAsia="黑体"/>
          <w:sz w:val="32"/>
          <w:szCs w:val="32"/>
        </w:rPr>
      </w:pPr>
      <w:r>
        <w:rPr>
          <w:rFonts w:hint="eastAsia" w:ascii="黑体" w:hAnsi="宋体" w:eastAsia="黑体"/>
          <w:sz w:val="32"/>
          <w:szCs w:val="32"/>
        </w:rPr>
        <w:t>五、评价结论及建议</w:t>
      </w:r>
    </w:p>
    <w:p w14:paraId="14A42F9B">
      <w:pPr>
        <w:adjustRightInd w:val="0"/>
        <w:snapToGrid w:val="0"/>
        <w:spacing w:line="560" w:lineRule="exact"/>
        <w:ind w:firstLine="720"/>
        <w:rPr>
          <w:rFonts w:ascii="楷体" w:hAnsi="楷体" w:eastAsia="楷体"/>
          <w:sz w:val="32"/>
          <w:szCs w:val="32"/>
          <w:lang w:val="zh-CN"/>
        </w:rPr>
      </w:pPr>
      <w:r>
        <w:rPr>
          <w:rFonts w:hint="eastAsia" w:ascii="楷体" w:hAnsi="楷体" w:eastAsia="楷体"/>
          <w:sz w:val="32"/>
          <w:szCs w:val="32"/>
          <w:lang w:val="zh-CN"/>
        </w:rPr>
        <w:t>（一）评价结论</w:t>
      </w:r>
    </w:p>
    <w:p w14:paraId="20E268C8">
      <w:pPr>
        <w:adjustRightInd w:val="0"/>
        <w:snapToGrid w:val="0"/>
        <w:spacing w:line="560" w:lineRule="exact"/>
        <w:ind w:firstLine="640" w:firstLineChars="200"/>
        <w:rPr>
          <w:rFonts w:ascii="仿宋_GB2312" w:hAnsi="宋体" w:eastAsia="仿宋_GB2312"/>
          <w:sz w:val="32"/>
          <w:szCs w:val="32"/>
          <w:bdr w:val="single" w:color="auto" w:sz="4" w:space="0"/>
          <w:lang w:val="zh-CN"/>
        </w:rPr>
      </w:pPr>
      <w:r>
        <w:rPr>
          <w:rFonts w:hint="eastAsia" w:ascii="仿宋_GB2312" w:hAnsi="宋体" w:eastAsia="仿宋_GB2312"/>
          <w:sz w:val="32"/>
          <w:szCs w:val="32"/>
          <w:lang w:val="zh-CN"/>
        </w:rPr>
        <w:t>结合项目自身特点、评价重点及管理办法等要求，围绕专项项目支出绩效评价指标体系对项目进行总体评价。</w:t>
      </w:r>
    </w:p>
    <w:p w14:paraId="1A9491E8">
      <w:pPr>
        <w:adjustRightInd w:val="0"/>
        <w:snapToGrid w:val="0"/>
        <w:spacing w:line="560" w:lineRule="exact"/>
        <w:ind w:firstLine="720"/>
        <w:rPr>
          <w:rFonts w:ascii="楷体" w:hAnsi="楷体" w:eastAsia="楷体"/>
          <w:sz w:val="32"/>
          <w:szCs w:val="32"/>
          <w:lang w:val="zh-CN"/>
        </w:rPr>
      </w:pPr>
      <w:r>
        <w:rPr>
          <w:rFonts w:hint="eastAsia" w:ascii="楷体" w:hAnsi="楷体" w:eastAsia="楷体"/>
          <w:sz w:val="32"/>
          <w:szCs w:val="32"/>
          <w:lang w:val="zh-CN"/>
        </w:rPr>
        <w:t>（二）存在的问题</w:t>
      </w:r>
    </w:p>
    <w:p w14:paraId="6EC4EACC">
      <w:pPr>
        <w:adjustRightInd w:val="0"/>
        <w:snapToGrid w:val="0"/>
        <w:spacing w:line="56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结合自评情况，分析存在的问题及原因。</w:t>
      </w:r>
      <w:r>
        <w:rPr>
          <w:rFonts w:ascii="仿宋_GB2312" w:hAnsi="宋体" w:eastAsia="仿宋_GB2312"/>
          <w:sz w:val="32"/>
          <w:szCs w:val="32"/>
          <w:lang w:val="zh-CN"/>
        </w:rPr>
        <w:tab/>
      </w:r>
    </w:p>
    <w:p w14:paraId="491B4894">
      <w:pPr>
        <w:adjustRightInd w:val="0"/>
        <w:snapToGrid w:val="0"/>
        <w:spacing w:line="560" w:lineRule="exact"/>
        <w:ind w:firstLine="720"/>
        <w:rPr>
          <w:rFonts w:ascii="楷体" w:hAnsi="楷体" w:eastAsia="楷体"/>
          <w:sz w:val="32"/>
          <w:szCs w:val="32"/>
          <w:lang w:val="zh-CN"/>
        </w:rPr>
      </w:pPr>
      <w:r>
        <w:rPr>
          <w:rFonts w:hint="eastAsia" w:ascii="楷体" w:hAnsi="楷体" w:eastAsia="楷体"/>
          <w:sz w:val="32"/>
          <w:szCs w:val="32"/>
          <w:lang w:val="zh-CN"/>
        </w:rPr>
        <w:t>（三）相关建议</w:t>
      </w:r>
    </w:p>
    <w:p w14:paraId="64C78C08">
      <w:pPr>
        <w:adjustRightInd w:val="0"/>
        <w:snapToGrid w:val="0"/>
        <w:spacing w:line="56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针对项目自评中发现的问题，提出下一步改进完善的意见及有关政策性建议。</w:t>
      </w:r>
    </w:p>
    <w:p w14:paraId="550C3589">
      <w:pPr>
        <w:pStyle w:val="2"/>
        <w:spacing w:beforeLines="0" w:line="560" w:lineRule="exact"/>
        <w:rPr>
          <w:lang w:val="zh-CN"/>
        </w:rPr>
      </w:pPr>
    </w:p>
    <w:p w14:paraId="08E88C2C">
      <w:pPr>
        <w:pStyle w:val="2"/>
        <w:spacing w:beforeLines="0" w:line="560" w:lineRule="exact"/>
        <w:rPr>
          <w:lang w:val="zh-CN"/>
        </w:rPr>
      </w:pPr>
    </w:p>
    <w:p w14:paraId="4B5CEEBC">
      <w:pPr>
        <w:pStyle w:val="2"/>
        <w:spacing w:beforeLines="0" w:line="560" w:lineRule="exact"/>
        <w:rPr>
          <w:lang w:val="zh-CN"/>
        </w:rPr>
      </w:pPr>
    </w:p>
    <w:tbl>
      <w:tblPr>
        <w:tblStyle w:val="13"/>
        <w:tblpPr w:leftFromText="180" w:rightFromText="180" w:vertAnchor="text" w:horzAnchor="page" w:tblpX="1281" w:tblpY="660"/>
        <w:tblOverlap w:val="never"/>
        <w:tblW w:w="9811" w:type="dxa"/>
        <w:tblInd w:w="0" w:type="dxa"/>
        <w:tblLayout w:type="fixed"/>
        <w:tblCellMar>
          <w:top w:w="0" w:type="dxa"/>
          <w:left w:w="108" w:type="dxa"/>
          <w:bottom w:w="0" w:type="dxa"/>
          <w:right w:w="108" w:type="dxa"/>
        </w:tblCellMar>
      </w:tblPr>
      <w:tblGrid>
        <w:gridCol w:w="1976"/>
        <w:gridCol w:w="1142"/>
        <w:gridCol w:w="1635"/>
        <w:gridCol w:w="1189"/>
        <w:gridCol w:w="1224"/>
        <w:gridCol w:w="2409"/>
        <w:gridCol w:w="236"/>
      </w:tblGrid>
      <w:tr w14:paraId="17111CC8">
        <w:tblPrEx>
          <w:tblCellMar>
            <w:top w:w="0" w:type="dxa"/>
            <w:left w:w="108" w:type="dxa"/>
            <w:bottom w:w="0" w:type="dxa"/>
            <w:right w:w="108" w:type="dxa"/>
          </w:tblCellMar>
        </w:tblPrEx>
        <w:trPr>
          <w:trHeight w:val="675" w:hRule="atLeast"/>
        </w:trPr>
        <w:tc>
          <w:tcPr>
            <w:tcW w:w="9575" w:type="dxa"/>
            <w:gridSpan w:val="6"/>
            <w:tcBorders>
              <w:top w:val="nil"/>
              <w:left w:val="nil"/>
              <w:bottom w:val="nil"/>
              <w:right w:val="nil"/>
            </w:tcBorders>
            <w:vAlign w:val="center"/>
          </w:tcPr>
          <w:p w14:paraId="5B6B5F66">
            <w:pPr>
              <w:widowControl/>
              <w:textAlignment w:val="center"/>
              <w:rPr>
                <w:rFonts w:ascii="宋体" w:cs="宋体"/>
                <w:b/>
                <w:sz w:val="32"/>
                <w:szCs w:val="32"/>
              </w:rPr>
            </w:pPr>
            <w:r>
              <w:rPr>
                <w:rFonts w:ascii="宋体" w:hAnsi="宋体" w:cs="宋体"/>
                <w:b/>
                <w:sz w:val="32"/>
                <w:szCs w:val="32"/>
              </w:rPr>
              <w:t>2021</w:t>
            </w:r>
            <w:r>
              <w:rPr>
                <w:rFonts w:hint="eastAsia" w:ascii="宋体" w:hAnsi="宋体" w:cs="宋体"/>
                <w:b/>
                <w:sz w:val="32"/>
                <w:szCs w:val="32"/>
              </w:rPr>
              <w:t>年</w:t>
            </w:r>
            <w:r>
              <w:rPr>
                <w:rFonts w:ascii="宋体" w:hAnsi="宋体" w:cs="宋体"/>
                <w:b/>
                <w:sz w:val="32"/>
                <w:szCs w:val="32"/>
              </w:rPr>
              <w:t>100</w:t>
            </w:r>
            <w:r>
              <w:rPr>
                <w:rFonts w:hint="eastAsia" w:ascii="宋体" w:hAnsi="宋体" w:cs="宋体"/>
                <w:b/>
                <w:sz w:val="32"/>
                <w:szCs w:val="32"/>
              </w:rPr>
              <w:t>万元以上（含）特定目标类部门预算项目绩效目标自评</w:t>
            </w:r>
          </w:p>
        </w:tc>
        <w:tc>
          <w:tcPr>
            <w:tcW w:w="236" w:type="dxa"/>
            <w:tcBorders>
              <w:top w:val="nil"/>
              <w:left w:val="nil"/>
              <w:bottom w:val="nil"/>
              <w:right w:val="nil"/>
            </w:tcBorders>
            <w:vAlign w:val="center"/>
          </w:tcPr>
          <w:p w14:paraId="58F0A1A3">
            <w:pPr>
              <w:widowControl/>
              <w:jc w:val="center"/>
              <w:textAlignment w:val="center"/>
              <w:rPr>
                <w:rFonts w:ascii="宋体" w:cs="宋体"/>
                <w:b/>
                <w:kern w:val="0"/>
                <w:sz w:val="32"/>
                <w:szCs w:val="32"/>
              </w:rPr>
            </w:pPr>
          </w:p>
        </w:tc>
      </w:tr>
      <w:tr w14:paraId="47A12CBC">
        <w:tblPrEx>
          <w:tblCellMar>
            <w:top w:w="0" w:type="dxa"/>
            <w:left w:w="108" w:type="dxa"/>
            <w:bottom w:w="0" w:type="dxa"/>
            <w:right w:w="108" w:type="dxa"/>
          </w:tblCellMar>
        </w:tblPrEx>
        <w:trPr>
          <w:gridAfter w:val="1"/>
          <w:wAfter w:w="236" w:type="dxa"/>
          <w:trHeight w:val="254" w:hRule="atLeast"/>
        </w:trPr>
        <w:tc>
          <w:tcPr>
            <w:tcW w:w="3118" w:type="dxa"/>
            <w:gridSpan w:val="2"/>
            <w:tcBorders>
              <w:top w:val="single" w:color="000000" w:sz="4" w:space="0"/>
              <w:left w:val="single" w:color="000000" w:sz="4" w:space="0"/>
              <w:bottom w:val="single" w:color="000000" w:sz="4" w:space="0"/>
              <w:right w:val="single" w:color="000000" w:sz="4" w:space="0"/>
            </w:tcBorders>
            <w:vAlign w:val="center"/>
          </w:tcPr>
          <w:p w14:paraId="2B3FE17E">
            <w:pPr>
              <w:widowControl/>
              <w:spacing w:line="320" w:lineRule="exact"/>
              <w:jc w:val="center"/>
              <w:textAlignment w:val="center"/>
              <w:rPr>
                <w:rFonts w:ascii="宋体" w:cs="宋体"/>
                <w:sz w:val="24"/>
              </w:rPr>
            </w:pPr>
            <w:r>
              <w:rPr>
                <w:rFonts w:hint="eastAsia" w:ascii="宋体" w:hAnsi="宋体" w:cs="宋体"/>
                <w:kern w:val="0"/>
                <w:sz w:val="24"/>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vAlign w:val="center"/>
          </w:tcPr>
          <w:p w14:paraId="09ABFDD5">
            <w:pPr>
              <w:widowControl/>
              <w:spacing w:line="320" w:lineRule="exact"/>
              <w:textAlignment w:val="center"/>
              <w:rPr>
                <w:rFonts w:ascii="宋体" w:cs="宋体"/>
                <w:sz w:val="24"/>
              </w:rPr>
            </w:pPr>
          </w:p>
        </w:tc>
        <w:tc>
          <w:tcPr>
            <w:tcW w:w="1224" w:type="dxa"/>
            <w:tcBorders>
              <w:top w:val="single" w:color="000000" w:sz="4" w:space="0"/>
              <w:left w:val="single" w:color="000000" w:sz="4" w:space="0"/>
              <w:bottom w:val="single" w:color="000000" w:sz="4" w:space="0"/>
              <w:right w:val="single" w:color="000000" w:sz="4" w:space="0"/>
            </w:tcBorders>
            <w:vAlign w:val="center"/>
          </w:tcPr>
          <w:p w14:paraId="6A72302F">
            <w:pPr>
              <w:widowControl/>
              <w:spacing w:line="320" w:lineRule="exact"/>
              <w:jc w:val="center"/>
              <w:textAlignment w:val="center"/>
              <w:rPr>
                <w:rFonts w:ascii="宋体" w:cs="宋体"/>
                <w:sz w:val="24"/>
              </w:rPr>
            </w:pPr>
            <w:r>
              <w:rPr>
                <w:rFonts w:hint="eastAsia" w:ascii="宋体" w:hAnsi="宋体" w:cs="宋体"/>
                <w:kern w:val="0"/>
                <w:sz w:val="24"/>
              </w:rPr>
              <w:t>实施单位</w:t>
            </w:r>
          </w:p>
        </w:tc>
        <w:tc>
          <w:tcPr>
            <w:tcW w:w="2409" w:type="dxa"/>
            <w:tcBorders>
              <w:top w:val="single" w:color="000000" w:sz="4" w:space="0"/>
              <w:left w:val="single" w:color="000000" w:sz="4" w:space="0"/>
              <w:bottom w:val="single" w:color="000000" w:sz="4" w:space="0"/>
              <w:right w:val="single" w:color="000000" w:sz="4" w:space="0"/>
            </w:tcBorders>
            <w:vAlign w:val="center"/>
          </w:tcPr>
          <w:p w14:paraId="42987EF2">
            <w:pPr>
              <w:widowControl/>
              <w:spacing w:line="320" w:lineRule="exact"/>
              <w:jc w:val="center"/>
              <w:textAlignment w:val="center"/>
              <w:rPr>
                <w:rFonts w:ascii="宋体" w:cs="宋体"/>
                <w:sz w:val="24"/>
              </w:rPr>
            </w:pPr>
          </w:p>
        </w:tc>
      </w:tr>
      <w:tr w14:paraId="160F7065">
        <w:tblPrEx>
          <w:tblCellMar>
            <w:top w:w="0" w:type="dxa"/>
            <w:left w:w="108" w:type="dxa"/>
            <w:bottom w:w="0" w:type="dxa"/>
            <w:right w:w="108" w:type="dxa"/>
          </w:tblCellMar>
        </w:tblPrEx>
        <w:trPr>
          <w:gridAfter w:val="1"/>
          <w:wAfter w:w="236" w:type="dxa"/>
          <w:trHeight w:val="341" w:hRule="atLeast"/>
        </w:trPr>
        <w:tc>
          <w:tcPr>
            <w:tcW w:w="3118" w:type="dxa"/>
            <w:gridSpan w:val="2"/>
            <w:vMerge w:val="restart"/>
            <w:tcBorders>
              <w:top w:val="single" w:color="000000" w:sz="4" w:space="0"/>
              <w:left w:val="single" w:color="000000" w:sz="4" w:space="0"/>
              <w:bottom w:val="single" w:color="000000" w:sz="4" w:space="0"/>
              <w:right w:val="single" w:color="000000" w:sz="4" w:space="0"/>
            </w:tcBorders>
            <w:vAlign w:val="center"/>
          </w:tcPr>
          <w:p w14:paraId="17595901">
            <w:pPr>
              <w:widowControl/>
              <w:spacing w:line="320" w:lineRule="exact"/>
              <w:jc w:val="center"/>
              <w:textAlignment w:val="center"/>
              <w:rPr>
                <w:rFonts w:ascii="宋体" w:cs="宋体"/>
                <w:sz w:val="24"/>
              </w:rPr>
            </w:pPr>
            <w:r>
              <w:rPr>
                <w:rFonts w:hint="eastAsia" w:ascii="宋体" w:hAnsi="宋体" w:cs="宋体"/>
                <w:kern w:val="0"/>
                <w:sz w:val="24"/>
              </w:rPr>
              <w:t>项目预算</w:t>
            </w:r>
            <w:r>
              <w:rPr>
                <w:rFonts w:ascii="宋体" w:cs="宋体"/>
                <w:kern w:val="0"/>
                <w:sz w:val="24"/>
              </w:rPr>
              <w:br w:type="textWrapping"/>
            </w:r>
            <w:r>
              <w:rPr>
                <w:rFonts w:hint="eastAsia" w:ascii="宋体" w:hAnsi="宋体" w:cs="宋体"/>
                <w:kern w:val="0"/>
                <w:sz w:val="24"/>
              </w:rPr>
              <w:t>执行情况</w:t>
            </w:r>
            <w:r>
              <w:rPr>
                <w:rFonts w:ascii="宋体" w:cs="宋体"/>
                <w:kern w:val="0"/>
                <w:sz w:val="24"/>
              </w:rPr>
              <w:br w:type="textWrapping"/>
            </w:r>
            <w:r>
              <w:rPr>
                <w:rFonts w:hint="eastAsia" w:ascii="宋体" w:hAnsi="宋体" w:cs="宋体"/>
                <w:kern w:val="0"/>
                <w:sz w:val="24"/>
              </w:rPr>
              <w:t>（万元）</w:t>
            </w:r>
          </w:p>
        </w:tc>
        <w:tc>
          <w:tcPr>
            <w:tcW w:w="1635" w:type="dxa"/>
            <w:tcBorders>
              <w:top w:val="single" w:color="000000" w:sz="4" w:space="0"/>
              <w:left w:val="single" w:color="000000" w:sz="4" w:space="0"/>
              <w:bottom w:val="single" w:color="000000" w:sz="4" w:space="0"/>
              <w:right w:val="single" w:color="000000" w:sz="4" w:space="0"/>
            </w:tcBorders>
            <w:vAlign w:val="center"/>
          </w:tcPr>
          <w:p w14:paraId="78D490BA">
            <w:pPr>
              <w:widowControl/>
              <w:spacing w:line="320" w:lineRule="exact"/>
              <w:jc w:val="left"/>
              <w:textAlignment w:val="center"/>
              <w:rPr>
                <w:rFonts w:ascii="宋体" w:cs="宋体"/>
                <w:sz w:val="24"/>
              </w:rPr>
            </w:pPr>
            <w:r>
              <w:rPr>
                <w:rFonts w:ascii="宋体" w:hAnsi="宋体" w:cs="宋体"/>
                <w:kern w:val="0"/>
                <w:sz w:val="24"/>
              </w:rPr>
              <w:t xml:space="preserve"> </w:t>
            </w:r>
            <w:r>
              <w:rPr>
                <w:rFonts w:hint="eastAsia" w:ascii="宋体" w:hAnsi="宋体" w:cs="宋体"/>
                <w:kern w:val="0"/>
                <w:sz w:val="24"/>
              </w:rPr>
              <w:t>预算数：</w:t>
            </w:r>
          </w:p>
        </w:tc>
        <w:tc>
          <w:tcPr>
            <w:tcW w:w="1189" w:type="dxa"/>
            <w:tcBorders>
              <w:top w:val="single" w:color="000000" w:sz="4" w:space="0"/>
              <w:left w:val="single" w:color="000000" w:sz="4" w:space="0"/>
              <w:bottom w:val="single" w:color="000000" w:sz="4" w:space="0"/>
              <w:right w:val="single" w:color="000000" w:sz="4" w:space="0"/>
            </w:tcBorders>
            <w:vAlign w:val="center"/>
          </w:tcPr>
          <w:p w14:paraId="734D2421">
            <w:pPr>
              <w:widowControl/>
              <w:spacing w:line="320" w:lineRule="exact"/>
              <w:jc w:val="left"/>
              <w:textAlignment w:val="center"/>
              <w:rPr>
                <w:rFonts w:ascii="宋体" w:cs="宋体"/>
                <w:sz w:val="24"/>
              </w:rPr>
            </w:pPr>
          </w:p>
        </w:tc>
        <w:tc>
          <w:tcPr>
            <w:tcW w:w="1224" w:type="dxa"/>
            <w:tcBorders>
              <w:top w:val="single" w:color="000000" w:sz="4" w:space="0"/>
              <w:left w:val="single" w:color="000000" w:sz="4" w:space="0"/>
              <w:bottom w:val="single" w:color="000000" w:sz="4" w:space="0"/>
              <w:right w:val="single" w:color="000000" w:sz="4" w:space="0"/>
            </w:tcBorders>
            <w:vAlign w:val="center"/>
          </w:tcPr>
          <w:p w14:paraId="5BFC0620">
            <w:pPr>
              <w:widowControl/>
              <w:spacing w:line="320" w:lineRule="exact"/>
              <w:jc w:val="left"/>
              <w:textAlignment w:val="center"/>
              <w:rPr>
                <w:rFonts w:ascii="宋体" w:cs="宋体"/>
                <w:sz w:val="24"/>
              </w:rPr>
            </w:pPr>
            <w:r>
              <w:rPr>
                <w:rFonts w:ascii="宋体" w:hAnsi="宋体" w:cs="宋体"/>
                <w:kern w:val="0"/>
                <w:sz w:val="24"/>
              </w:rPr>
              <w:t xml:space="preserve"> </w:t>
            </w:r>
            <w:r>
              <w:rPr>
                <w:rFonts w:hint="eastAsia" w:ascii="宋体" w:hAnsi="宋体" w:cs="宋体"/>
                <w:kern w:val="0"/>
                <w:sz w:val="24"/>
              </w:rPr>
              <w:t>执行数：</w:t>
            </w:r>
          </w:p>
        </w:tc>
        <w:tc>
          <w:tcPr>
            <w:tcW w:w="2409" w:type="dxa"/>
            <w:tcBorders>
              <w:top w:val="single" w:color="000000" w:sz="4" w:space="0"/>
              <w:left w:val="single" w:color="000000" w:sz="4" w:space="0"/>
              <w:bottom w:val="single" w:color="000000" w:sz="4" w:space="0"/>
              <w:right w:val="single" w:color="000000" w:sz="4" w:space="0"/>
            </w:tcBorders>
            <w:vAlign w:val="center"/>
          </w:tcPr>
          <w:p w14:paraId="5F87B222">
            <w:pPr>
              <w:widowControl/>
              <w:spacing w:line="320" w:lineRule="exact"/>
              <w:jc w:val="right"/>
              <w:textAlignment w:val="center"/>
              <w:rPr>
                <w:rFonts w:ascii="宋体" w:cs="宋体"/>
                <w:sz w:val="24"/>
              </w:rPr>
            </w:pPr>
          </w:p>
        </w:tc>
      </w:tr>
      <w:tr w14:paraId="17302FAB">
        <w:tblPrEx>
          <w:tblCellMar>
            <w:top w:w="0" w:type="dxa"/>
            <w:left w:w="108" w:type="dxa"/>
            <w:bottom w:w="0" w:type="dxa"/>
            <w:right w:w="108" w:type="dxa"/>
          </w:tblCellMar>
        </w:tblPrEx>
        <w:trPr>
          <w:gridAfter w:val="1"/>
          <w:wAfter w:w="236" w:type="dxa"/>
          <w:trHeight w:val="555" w:hRule="atLeast"/>
        </w:trPr>
        <w:tc>
          <w:tcPr>
            <w:tcW w:w="3118"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7E8E40C">
            <w:pPr>
              <w:spacing w:line="320" w:lineRule="exact"/>
              <w:jc w:val="center"/>
              <w:rPr>
                <w:rFonts w:ascii="宋体" w:cs="宋体"/>
                <w:sz w:val="24"/>
              </w:rPr>
            </w:pPr>
          </w:p>
        </w:tc>
        <w:tc>
          <w:tcPr>
            <w:tcW w:w="1635" w:type="dxa"/>
            <w:tcBorders>
              <w:top w:val="single" w:color="000000" w:sz="4" w:space="0"/>
              <w:left w:val="single" w:color="000000" w:sz="4" w:space="0"/>
              <w:bottom w:val="single" w:color="000000" w:sz="4" w:space="0"/>
              <w:right w:val="single" w:color="000000" w:sz="4" w:space="0"/>
            </w:tcBorders>
            <w:vAlign w:val="center"/>
          </w:tcPr>
          <w:p w14:paraId="0223AABD">
            <w:pPr>
              <w:widowControl/>
              <w:spacing w:line="320" w:lineRule="exact"/>
              <w:jc w:val="left"/>
              <w:textAlignment w:val="center"/>
              <w:rPr>
                <w:rFonts w:ascii="宋体" w:cs="宋体"/>
                <w:kern w:val="0"/>
                <w:sz w:val="24"/>
              </w:rPr>
            </w:pPr>
            <w:r>
              <w:rPr>
                <w:rFonts w:hint="eastAsia" w:ascii="宋体" w:hAnsi="宋体" w:cs="宋体"/>
                <w:kern w:val="0"/>
                <w:sz w:val="24"/>
              </w:rPr>
              <w:t>其中：</w:t>
            </w:r>
          </w:p>
          <w:p w14:paraId="263260D3">
            <w:pPr>
              <w:widowControl/>
              <w:spacing w:line="320" w:lineRule="exact"/>
              <w:jc w:val="left"/>
              <w:textAlignment w:val="center"/>
              <w:rPr>
                <w:rFonts w:ascii="宋体" w:cs="宋体"/>
                <w:sz w:val="24"/>
              </w:rPr>
            </w:pPr>
            <w:r>
              <w:rPr>
                <w:rFonts w:hint="eastAsia" w:ascii="宋体" w:hAnsi="宋体" w:cs="宋体"/>
                <w:kern w:val="0"/>
                <w:sz w:val="24"/>
              </w:rPr>
              <w:t>财政拨款</w:t>
            </w:r>
          </w:p>
        </w:tc>
        <w:tc>
          <w:tcPr>
            <w:tcW w:w="1189" w:type="dxa"/>
            <w:tcBorders>
              <w:top w:val="single" w:color="000000" w:sz="4" w:space="0"/>
              <w:left w:val="single" w:color="000000" w:sz="4" w:space="0"/>
              <w:bottom w:val="single" w:color="000000" w:sz="4" w:space="0"/>
              <w:right w:val="single" w:color="000000" w:sz="4" w:space="0"/>
            </w:tcBorders>
            <w:vAlign w:val="center"/>
          </w:tcPr>
          <w:p w14:paraId="3B2E6968">
            <w:pPr>
              <w:widowControl/>
              <w:spacing w:line="320" w:lineRule="exact"/>
              <w:jc w:val="left"/>
              <w:textAlignment w:val="center"/>
              <w:rPr>
                <w:rFonts w:ascii="宋体" w:cs="宋体"/>
                <w:sz w:val="24"/>
              </w:rPr>
            </w:pPr>
          </w:p>
        </w:tc>
        <w:tc>
          <w:tcPr>
            <w:tcW w:w="1224" w:type="dxa"/>
            <w:tcBorders>
              <w:top w:val="single" w:color="000000" w:sz="4" w:space="0"/>
              <w:left w:val="single" w:color="000000" w:sz="4" w:space="0"/>
              <w:bottom w:val="single" w:color="000000" w:sz="4" w:space="0"/>
              <w:right w:val="single" w:color="000000" w:sz="4" w:space="0"/>
            </w:tcBorders>
            <w:vAlign w:val="center"/>
          </w:tcPr>
          <w:p w14:paraId="6C38EF62">
            <w:pPr>
              <w:widowControl/>
              <w:spacing w:line="320" w:lineRule="exact"/>
              <w:jc w:val="left"/>
              <w:textAlignment w:val="center"/>
              <w:rPr>
                <w:rFonts w:ascii="宋体" w:cs="宋体"/>
                <w:kern w:val="0"/>
                <w:sz w:val="24"/>
              </w:rPr>
            </w:pPr>
            <w:r>
              <w:rPr>
                <w:rFonts w:hint="eastAsia" w:ascii="宋体" w:hAnsi="宋体" w:cs="宋体"/>
                <w:kern w:val="0"/>
                <w:sz w:val="24"/>
              </w:rPr>
              <w:t>其中：</w:t>
            </w:r>
          </w:p>
          <w:p w14:paraId="6CF87528">
            <w:pPr>
              <w:widowControl/>
              <w:spacing w:line="320" w:lineRule="exact"/>
              <w:jc w:val="left"/>
              <w:textAlignment w:val="center"/>
              <w:rPr>
                <w:rFonts w:ascii="宋体" w:cs="宋体"/>
                <w:sz w:val="24"/>
              </w:rPr>
            </w:pPr>
            <w:r>
              <w:rPr>
                <w:rFonts w:hint="eastAsia" w:ascii="宋体" w:hAnsi="宋体" w:cs="宋体"/>
                <w:kern w:val="0"/>
                <w:sz w:val="24"/>
              </w:rPr>
              <w:t>财政拨款</w:t>
            </w:r>
          </w:p>
        </w:tc>
        <w:tc>
          <w:tcPr>
            <w:tcW w:w="2409" w:type="dxa"/>
            <w:tcBorders>
              <w:top w:val="single" w:color="000000" w:sz="4" w:space="0"/>
              <w:left w:val="single" w:color="000000" w:sz="4" w:space="0"/>
              <w:bottom w:val="single" w:color="000000" w:sz="4" w:space="0"/>
              <w:right w:val="single" w:color="000000" w:sz="4" w:space="0"/>
            </w:tcBorders>
            <w:vAlign w:val="center"/>
          </w:tcPr>
          <w:p w14:paraId="77B49734">
            <w:pPr>
              <w:widowControl/>
              <w:spacing w:line="320" w:lineRule="exact"/>
              <w:textAlignment w:val="center"/>
              <w:rPr>
                <w:rFonts w:ascii="宋体" w:cs="宋体"/>
                <w:sz w:val="24"/>
              </w:rPr>
            </w:pPr>
          </w:p>
        </w:tc>
      </w:tr>
      <w:tr w14:paraId="1E2A7589">
        <w:tblPrEx>
          <w:tblCellMar>
            <w:top w:w="0" w:type="dxa"/>
            <w:left w:w="108" w:type="dxa"/>
            <w:bottom w:w="0" w:type="dxa"/>
            <w:right w:w="108" w:type="dxa"/>
          </w:tblCellMar>
        </w:tblPrEx>
        <w:trPr>
          <w:gridAfter w:val="1"/>
          <w:wAfter w:w="236" w:type="dxa"/>
          <w:trHeight w:val="341" w:hRule="atLeast"/>
        </w:trPr>
        <w:tc>
          <w:tcPr>
            <w:tcW w:w="3118"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415DF5C">
            <w:pPr>
              <w:spacing w:line="320" w:lineRule="exact"/>
              <w:jc w:val="center"/>
              <w:rPr>
                <w:rFonts w:ascii="宋体" w:cs="宋体"/>
                <w:sz w:val="24"/>
              </w:rPr>
            </w:pPr>
          </w:p>
        </w:tc>
        <w:tc>
          <w:tcPr>
            <w:tcW w:w="1635" w:type="dxa"/>
            <w:tcBorders>
              <w:top w:val="single" w:color="000000" w:sz="4" w:space="0"/>
              <w:left w:val="single" w:color="000000" w:sz="4" w:space="0"/>
              <w:bottom w:val="single" w:color="000000" w:sz="4" w:space="0"/>
              <w:right w:val="single" w:color="000000" w:sz="4" w:space="0"/>
            </w:tcBorders>
            <w:vAlign w:val="center"/>
          </w:tcPr>
          <w:p w14:paraId="3D60A70A">
            <w:pPr>
              <w:widowControl/>
              <w:spacing w:line="320" w:lineRule="exact"/>
              <w:jc w:val="left"/>
              <w:textAlignment w:val="center"/>
              <w:rPr>
                <w:rFonts w:ascii="宋体" w:cs="宋体"/>
                <w:sz w:val="24"/>
              </w:rPr>
            </w:pPr>
            <w:r>
              <w:rPr>
                <w:rFonts w:hint="eastAsia" w:ascii="宋体" w:hAnsi="宋体" w:cs="宋体"/>
                <w:kern w:val="0"/>
                <w:sz w:val="24"/>
              </w:rPr>
              <w:t>其他资金</w:t>
            </w:r>
          </w:p>
        </w:tc>
        <w:tc>
          <w:tcPr>
            <w:tcW w:w="1189" w:type="dxa"/>
            <w:tcBorders>
              <w:top w:val="single" w:color="000000" w:sz="4" w:space="0"/>
              <w:left w:val="single" w:color="000000" w:sz="4" w:space="0"/>
              <w:bottom w:val="single" w:color="000000" w:sz="4" w:space="0"/>
              <w:right w:val="single" w:color="000000" w:sz="4" w:space="0"/>
            </w:tcBorders>
            <w:vAlign w:val="center"/>
          </w:tcPr>
          <w:p w14:paraId="029F40A4">
            <w:pPr>
              <w:widowControl/>
              <w:spacing w:line="320" w:lineRule="exact"/>
              <w:jc w:val="left"/>
              <w:textAlignment w:val="center"/>
              <w:rPr>
                <w:rFonts w:ascii="宋体" w:cs="宋体"/>
                <w:sz w:val="24"/>
              </w:rPr>
            </w:pPr>
          </w:p>
        </w:tc>
        <w:tc>
          <w:tcPr>
            <w:tcW w:w="1224" w:type="dxa"/>
            <w:tcBorders>
              <w:top w:val="single" w:color="000000" w:sz="4" w:space="0"/>
              <w:left w:val="single" w:color="000000" w:sz="4" w:space="0"/>
              <w:bottom w:val="single" w:color="000000" w:sz="4" w:space="0"/>
              <w:right w:val="single" w:color="000000" w:sz="4" w:space="0"/>
            </w:tcBorders>
            <w:vAlign w:val="center"/>
          </w:tcPr>
          <w:p w14:paraId="5A0B465F">
            <w:pPr>
              <w:widowControl/>
              <w:spacing w:line="320" w:lineRule="exact"/>
              <w:jc w:val="left"/>
              <w:textAlignment w:val="center"/>
              <w:rPr>
                <w:rFonts w:ascii="宋体" w:cs="宋体"/>
                <w:sz w:val="24"/>
              </w:rPr>
            </w:pPr>
            <w:r>
              <w:rPr>
                <w:rFonts w:hint="eastAsia" w:ascii="宋体" w:hAnsi="宋体" w:cs="宋体"/>
                <w:kern w:val="0"/>
                <w:sz w:val="24"/>
              </w:rPr>
              <w:t>其他资金</w:t>
            </w:r>
          </w:p>
        </w:tc>
        <w:tc>
          <w:tcPr>
            <w:tcW w:w="2409" w:type="dxa"/>
            <w:tcBorders>
              <w:top w:val="single" w:color="000000" w:sz="4" w:space="0"/>
              <w:left w:val="single" w:color="000000" w:sz="4" w:space="0"/>
              <w:bottom w:val="single" w:color="000000" w:sz="4" w:space="0"/>
              <w:right w:val="single" w:color="000000" w:sz="4" w:space="0"/>
            </w:tcBorders>
            <w:vAlign w:val="center"/>
          </w:tcPr>
          <w:p w14:paraId="2C070C00">
            <w:pPr>
              <w:widowControl/>
              <w:spacing w:line="320" w:lineRule="exact"/>
              <w:jc w:val="center"/>
              <w:textAlignment w:val="center"/>
              <w:rPr>
                <w:rFonts w:ascii="宋体" w:cs="宋体"/>
                <w:sz w:val="24"/>
              </w:rPr>
            </w:pPr>
          </w:p>
        </w:tc>
      </w:tr>
      <w:tr w14:paraId="41D50962">
        <w:tblPrEx>
          <w:tblCellMar>
            <w:top w:w="0" w:type="dxa"/>
            <w:left w:w="108" w:type="dxa"/>
            <w:bottom w:w="0" w:type="dxa"/>
            <w:right w:w="108" w:type="dxa"/>
          </w:tblCellMar>
        </w:tblPrEx>
        <w:trPr>
          <w:gridAfter w:val="1"/>
          <w:wAfter w:w="236" w:type="dxa"/>
          <w:trHeight w:val="217" w:hRule="atLeast"/>
        </w:trPr>
        <w:tc>
          <w:tcPr>
            <w:tcW w:w="1976" w:type="dxa"/>
            <w:vMerge w:val="restart"/>
            <w:tcBorders>
              <w:top w:val="single" w:color="000000" w:sz="4" w:space="0"/>
              <w:left w:val="single" w:color="000000" w:sz="4" w:space="0"/>
              <w:bottom w:val="single" w:color="000000" w:sz="4" w:space="0"/>
              <w:right w:val="single" w:color="000000" w:sz="4" w:space="0"/>
            </w:tcBorders>
            <w:vAlign w:val="center"/>
          </w:tcPr>
          <w:p w14:paraId="45D0D9E8">
            <w:pPr>
              <w:widowControl/>
              <w:spacing w:line="320" w:lineRule="exact"/>
              <w:jc w:val="center"/>
              <w:textAlignment w:val="center"/>
              <w:rPr>
                <w:rFonts w:ascii="宋体" w:cs="宋体"/>
                <w:kern w:val="0"/>
                <w:sz w:val="24"/>
              </w:rPr>
            </w:pPr>
            <w:r>
              <w:rPr>
                <w:rFonts w:hint="eastAsia" w:ascii="宋体" w:hAnsi="宋体" w:cs="宋体"/>
                <w:kern w:val="0"/>
                <w:sz w:val="24"/>
              </w:rPr>
              <w:t>年度总体目标</w:t>
            </w:r>
          </w:p>
          <w:p w14:paraId="3AF90ED1">
            <w:pPr>
              <w:widowControl/>
              <w:spacing w:line="320" w:lineRule="exact"/>
              <w:jc w:val="center"/>
              <w:textAlignment w:val="center"/>
              <w:rPr>
                <w:rFonts w:ascii="宋体" w:cs="宋体"/>
                <w:sz w:val="24"/>
              </w:rPr>
            </w:pPr>
            <w:r>
              <w:rPr>
                <w:rFonts w:hint="eastAsia" w:ascii="宋体" w:hAnsi="宋体" w:cs="宋体"/>
                <w:kern w:val="0"/>
                <w:sz w:val="24"/>
              </w:rPr>
              <w:t>完成情况</w:t>
            </w:r>
          </w:p>
        </w:tc>
        <w:tc>
          <w:tcPr>
            <w:tcW w:w="3966" w:type="dxa"/>
            <w:gridSpan w:val="3"/>
            <w:tcBorders>
              <w:top w:val="single" w:color="000000" w:sz="4" w:space="0"/>
              <w:left w:val="single" w:color="000000" w:sz="4" w:space="0"/>
              <w:bottom w:val="single" w:color="000000" w:sz="4" w:space="0"/>
              <w:right w:val="single" w:color="000000" w:sz="4" w:space="0"/>
            </w:tcBorders>
            <w:vAlign w:val="center"/>
          </w:tcPr>
          <w:p w14:paraId="67C1E7C4">
            <w:pPr>
              <w:widowControl/>
              <w:spacing w:line="320" w:lineRule="exact"/>
              <w:jc w:val="center"/>
              <w:textAlignment w:val="center"/>
              <w:rPr>
                <w:rFonts w:ascii="宋体" w:cs="宋体"/>
                <w:sz w:val="24"/>
              </w:rPr>
            </w:pPr>
            <w:r>
              <w:rPr>
                <w:rFonts w:hint="eastAsia" w:ascii="宋体" w:hAnsi="宋体" w:cs="宋体"/>
                <w:kern w:val="0"/>
                <w:sz w:val="24"/>
              </w:rPr>
              <w:t>预期目标</w:t>
            </w:r>
          </w:p>
        </w:tc>
        <w:tc>
          <w:tcPr>
            <w:tcW w:w="3633" w:type="dxa"/>
            <w:gridSpan w:val="2"/>
            <w:tcBorders>
              <w:top w:val="single" w:color="000000" w:sz="4" w:space="0"/>
              <w:left w:val="single" w:color="000000" w:sz="4" w:space="0"/>
              <w:bottom w:val="single" w:color="000000" w:sz="4" w:space="0"/>
              <w:right w:val="single" w:color="000000" w:sz="4" w:space="0"/>
            </w:tcBorders>
            <w:vAlign w:val="center"/>
          </w:tcPr>
          <w:p w14:paraId="75DC57A9">
            <w:pPr>
              <w:widowControl/>
              <w:spacing w:line="320" w:lineRule="exact"/>
              <w:jc w:val="center"/>
              <w:textAlignment w:val="center"/>
              <w:rPr>
                <w:rFonts w:ascii="宋体" w:cs="宋体"/>
                <w:sz w:val="24"/>
              </w:rPr>
            </w:pPr>
            <w:r>
              <w:rPr>
                <w:rFonts w:hint="eastAsia" w:ascii="宋体" w:hAnsi="宋体" w:cs="宋体"/>
                <w:kern w:val="0"/>
                <w:sz w:val="24"/>
              </w:rPr>
              <w:t>目标实际完成情况</w:t>
            </w:r>
          </w:p>
        </w:tc>
      </w:tr>
      <w:tr w14:paraId="281BE678">
        <w:tblPrEx>
          <w:tblCellMar>
            <w:top w:w="0" w:type="dxa"/>
            <w:left w:w="108" w:type="dxa"/>
            <w:bottom w:w="0" w:type="dxa"/>
            <w:right w:w="108" w:type="dxa"/>
          </w:tblCellMar>
        </w:tblPrEx>
        <w:trPr>
          <w:gridAfter w:val="1"/>
          <w:wAfter w:w="236" w:type="dxa"/>
          <w:trHeight w:val="797" w:hRule="atLeast"/>
        </w:trPr>
        <w:tc>
          <w:tcPr>
            <w:tcW w:w="1976" w:type="dxa"/>
            <w:vMerge w:val="continue"/>
            <w:tcBorders>
              <w:top w:val="single" w:color="000000" w:sz="4" w:space="0"/>
              <w:left w:val="single" w:color="000000" w:sz="4" w:space="0"/>
              <w:bottom w:val="single" w:color="000000" w:sz="4" w:space="0"/>
              <w:right w:val="single" w:color="000000" w:sz="4" w:space="0"/>
            </w:tcBorders>
            <w:vAlign w:val="center"/>
          </w:tcPr>
          <w:p w14:paraId="5B2ECE08">
            <w:pPr>
              <w:spacing w:line="320" w:lineRule="exact"/>
              <w:jc w:val="center"/>
              <w:rPr>
                <w:rFonts w:ascii="宋体" w:cs="宋体"/>
                <w:sz w:val="24"/>
              </w:rPr>
            </w:pPr>
          </w:p>
        </w:tc>
        <w:tc>
          <w:tcPr>
            <w:tcW w:w="3966" w:type="dxa"/>
            <w:gridSpan w:val="3"/>
            <w:tcBorders>
              <w:top w:val="single" w:color="000000" w:sz="4" w:space="0"/>
              <w:left w:val="single" w:color="000000" w:sz="4" w:space="0"/>
              <w:bottom w:val="single" w:color="000000" w:sz="4" w:space="0"/>
              <w:right w:val="single" w:color="000000" w:sz="4" w:space="0"/>
            </w:tcBorders>
          </w:tcPr>
          <w:p w14:paraId="0C275CEC">
            <w:pPr>
              <w:widowControl/>
              <w:spacing w:line="320" w:lineRule="exact"/>
              <w:jc w:val="left"/>
              <w:textAlignment w:val="top"/>
              <w:rPr>
                <w:rFonts w:ascii="宋体" w:cs="宋体"/>
                <w:sz w:val="24"/>
              </w:rPr>
            </w:pPr>
          </w:p>
        </w:tc>
        <w:tc>
          <w:tcPr>
            <w:tcW w:w="3633" w:type="dxa"/>
            <w:gridSpan w:val="2"/>
            <w:tcBorders>
              <w:top w:val="single" w:color="000000" w:sz="4" w:space="0"/>
              <w:left w:val="single" w:color="000000" w:sz="4" w:space="0"/>
              <w:bottom w:val="single" w:color="000000" w:sz="4" w:space="0"/>
              <w:right w:val="single" w:color="000000" w:sz="4" w:space="0"/>
            </w:tcBorders>
          </w:tcPr>
          <w:p w14:paraId="65EA10BA">
            <w:pPr>
              <w:widowControl/>
              <w:spacing w:line="320" w:lineRule="exact"/>
              <w:jc w:val="left"/>
              <w:textAlignment w:val="top"/>
              <w:rPr>
                <w:rFonts w:ascii="宋体" w:cs="宋体"/>
                <w:sz w:val="24"/>
              </w:rPr>
            </w:pPr>
          </w:p>
        </w:tc>
      </w:tr>
      <w:tr w14:paraId="5976DBBC">
        <w:tblPrEx>
          <w:tblCellMar>
            <w:top w:w="0" w:type="dxa"/>
            <w:left w:w="108" w:type="dxa"/>
            <w:bottom w:w="0" w:type="dxa"/>
            <w:right w:w="108" w:type="dxa"/>
          </w:tblCellMar>
        </w:tblPrEx>
        <w:trPr>
          <w:gridAfter w:val="1"/>
          <w:wAfter w:w="236" w:type="dxa"/>
          <w:trHeight w:val="693" w:hRule="atLeast"/>
        </w:trPr>
        <w:tc>
          <w:tcPr>
            <w:tcW w:w="1976" w:type="dxa"/>
            <w:vMerge w:val="restart"/>
            <w:tcBorders>
              <w:top w:val="single" w:color="000000" w:sz="4" w:space="0"/>
              <w:left w:val="single" w:color="000000" w:sz="4" w:space="0"/>
              <w:right w:val="single" w:color="000000" w:sz="4" w:space="0"/>
            </w:tcBorders>
            <w:vAlign w:val="center"/>
          </w:tcPr>
          <w:p w14:paraId="2C9ED464">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年度绩效指标完成情况</w:t>
            </w:r>
          </w:p>
        </w:tc>
        <w:tc>
          <w:tcPr>
            <w:tcW w:w="1142" w:type="dxa"/>
            <w:tcBorders>
              <w:top w:val="single" w:color="000000" w:sz="4" w:space="0"/>
              <w:left w:val="nil"/>
              <w:bottom w:val="single" w:color="000000" w:sz="4" w:space="0"/>
              <w:right w:val="single" w:color="000000" w:sz="4" w:space="0"/>
            </w:tcBorders>
            <w:vAlign w:val="center"/>
          </w:tcPr>
          <w:p w14:paraId="62F456CF">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一级</w:t>
            </w:r>
          </w:p>
          <w:p w14:paraId="63BF8FCA">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635" w:type="dxa"/>
            <w:tcBorders>
              <w:top w:val="single" w:color="000000" w:sz="4" w:space="0"/>
              <w:left w:val="single" w:color="000000" w:sz="4" w:space="0"/>
              <w:bottom w:val="single" w:color="000000" w:sz="4" w:space="0"/>
              <w:right w:val="single" w:color="000000" w:sz="4" w:space="0"/>
            </w:tcBorders>
            <w:vAlign w:val="center"/>
          </w:tcPr>
          <w:p w14:paraId="4F0862A2">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二级</w:t>
            </w:r>
          </w:p>
          <w:p w14:paraId="43F4AE9E">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189" w:type="dxa"/>
            <w:tcBorders>
              <w:top w:val="single" w:color="000000" w:sz="4" w:space="0"/>
              <w:left w:val="single" w:color="000000" w:sz="4" w:space="0"/>
              <w:bottom w:val="single" w:color="000000" w:sz="4" w:space="0"/>
              <w:right w:val="single" w:color="000000" w:sz="4" w:space="0"/>
            </w:tcBorders>
            <w:vAlign w:val="center"/>
          </w:tcPr>
          <w:p w14:paraId="01D4D36A">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三级</w:t>
            </w:r>
          </w:p>
          <w:p w14:paraId="2B99FD10">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224" w:type="dxa"/>
            <w:tcBorders>
              <w:top w:val="single" w:color="000000" w:sz="4" w:space="0"/>
              <w:left w:val="single" w:color="000000" w:sz="4" w:space="0"/>
              <w:bottom w:val="single" w:color="000000" w:sz="4" w:space="0"/>
              <w:right w:val="single" w:color="000000" w:sz="4" w:space="0"/>
            </w:tcBorders>
            <w:vAlign w:val="center"/>
          </w:tcPr>
          <w:p w14:paraId="09507AD3">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预期指标值</w:t>
            </w:r>
          </w:p>
        </w:tc>
        <w:tc>
          <w:tcPr>
            <w:tcW w:w="2409" w:type="dxa"/>
            <w:tcBorders>
              <w:top w:val="single" w:color="000000" w:sz="4" w:space="0"/>
              <w:left w:val="single" w:color="000000" w:sz="4" w:space="0"/>
              <w:bottom w:val="single" w:color="000000" w:sz="4" w:space="0"/>
              <w:right w:val="single" w:color="000000" w:sz="4" w:space="0"/>
            </w:tcBorders>
            <w:vAlign w:val="center"/>
          </w:tcPr>
          <w:p w14:paraId="349B6C6F">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实际完成指标值</w:t>
            </w:r>
          </w:p>
        </w:tc>
      </w:tr>
      <w:tr w14:paraId="52A1056E">
        <w:tblPrEx>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vAlign w:val="center"/>
          </w:tcPr>
          <w:p w14:paraId="6CE15641">
            <w:pPr>
              <w:spacing w:line="320" w:lineRule="exact"/>
              <w:jc w:val="center"/>
              <w:rPr>
                <w:rFonts w:ascii="仿宋_GB2312" w:hAnsi="仿宋_GB2312" w:eastAsia="仿宋_GB2312" w:cs="仿宋_GB2312"/>
                <w:sz w:val="28"/>
                <w:szCs w:val="28"/>
              </w:rPr>
            </w:pPr>
          </w:p>
        </w:tc>
        <w:tc>
          <w:tcPr>
            <w:tcW w:w="1142" w:type="dxa"/>
            <w:vMerge w:val="restart"/>
            <w:tcBorders>
              <w:top w:val="single" w:color="000000" w:sz="4" w:space="0"/>
              <w:left w:val="single" w:color="000000" w:sz="4" w:space="0"/>
              <w:bottom w:val="single" w:color="000000" w:sz="4" w:space="0"/>
              <w:right w:val="single" w:color="000000" w:sz="4" w:space="0"/>
            </w:tcBorders>
            <w:vAlign w:val="center"/>
          </w:tcPr>
          <w:p w14:paraId="116034C5">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完成</w:t>
            </w:r>
          </w:p>
          <w:p w14:paraId="1B62CBA2">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635" w:type="dxa"/>
            <w:tcBorders>
              <w:top w:val="single" w:color="000000" w:sz="4" w:space="0"/>
              <w:left w:val="single" w:color="000000" w:sz="4" w:space="0"/>
              <w:bottom w:val="single" w:color="000000" w:sz="4" w:space="0"/>
              <w:right w:val="single" w:color="000000" w:sz="4" w:space="0"/>
            </w:tcBorders>
            <w:vAlign w:val="bottom"/>
          </w:tcPr>
          <w:p w14:paraId="05BB4BFB">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数量指标</w:t>
            </w:r>
          </w:p>
        </w:tc>
        <w:tc>
          <w:tcPr>
            <w:tcW w:w="1189" w:type="dxa"/>
            <w:tcBorders>
              <w:top w:val="single" w:color="000000" w:sz="4" w:space="0"/>
              <w:left w:val="single" w:color="000000" w:sz="4" w:space="0"/>
              <w:bottom w:val="single" w:color="000000" w:sz="4" w:space="0"/>
              <w:right w:val="single" w:color="000000" w:sz="4" w:space="0"/>
            </w:tcBorders>
            <w:vAlign w:val="bottom"/>
          </w:tcPr>
          <w:p w14:paraId="1A233258">
            <w:pPr>
              <w:widowControl/>
              <w:spacing w:line="320" w:lineRule="exact"/>
              <w:jc w:val="center"/>
              <w:textAlignment w:val="bottom"/>
              <w:rPr>
                <w:rFonts w:ascii="仿宋_GB2312" w:hAnsi="仿宋_GB2312" w:eastAsia="仿宋_GB2312" w:cs="仿宋_GB2312"/>
                <w:sz w:val="28"/>
                <w:szCs w:val="28"/>
              </w:rPr>
            </w:pPr>
          </w:p>
        </w:tc>
        <w:tc>
          <w:tcPr>
            <w:tcW w:w="1224" w:type="dxa"/>
            <w:tcBorders>
              <w:top w:val="single" w:color="000000" w:sz="4" w:space="0"/>
              <w:left w:val="single" w:color="000000" w:sz="4" w:space="0"/>
              <w:bottom w:val="single" w:color="000000" w:sz="4" w:space="0"/>
              <w:right w:val="single" w:color="000000" w:sz="4" w:space="0"/>
            </w:tcBorders>
            <w:vAlign w:val="bottom"/>
          </w:tcPr>
          <w:p w14:paraId="01BC3743">
            <w:pPr>
              <w:widowControl/>
              <w:spacing w:line="320" w:lineRule="exact"/>
              <w:jc w:val="center"/>
              <w:textAlignment w:val="bottom"/>
              <w:rPr>
                <w:rFonts w:ascii="仿宋_GB2312" w:hAnsi="仿宋_GB2312" w:eastAsia="仿宋_GB2312" w:cs="仿宋_GB2312"/>
                <w:sz w:val="28"/>
                <w:szCs w:val="28"/>
              </w:rPr>
            </w:pPr>
          </w:p>
        </w:tc>
        <w:tc>
          <w:tcPr>
            <w:tcW w:w="2409" w:type="dxa"/>
            <w:tcBorders>
              <w:top w:val="single" w:color="000000" w:sz="4" w:space="0"/>
              <w:left w:val="single" w:color="000000" w:sz="4" w:space="0"/>
              <w:bottom w:val="single" w:color="000000" w:sz="4" w:space="0"/>
              <w:right w:val="single" w:color="000000" w:sz="4" w:space="0"/>
            </w:tcBorders>
            <w:vAlign w:val="bottom"/>
          </w:tcPr>
          <w:p w14:paraId="1D6FF056">
            <w:pPr>
              <w:widowControl/>
              <w:spacing w:line="320" w:lineRule="exact"/>
              <w:jc w:val="center"/>
              <w:textAlignment w:val="bottom"/>
              <w:rPr>
                <w:rFonts w:ascii="仿宋_GB2312" w:hAnsi="仿宋_GB2312" w:eastAsia="仿宋_GB2312" w:cs="仿宋_GB2312"/>
                <w:sz w:val="28"/>
                <w:szCs w:val="28"/>
              </w:rPr>
            </w:pPr>
          </w:p>
        </w:tc>
      </w:tr>
      <w:tr w14:paraId="6D8DA8DC">
        <w:tblPrEx>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vAlign w:val="center"/>
          </w:tcPr>
          <w:p w14:paraId="4F1DD7BB">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vAlign w:val="bottom"/>
          </w:tcPr>
          <w:p w14:paraId="2BBC9A81">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vAlign w:val="bottom"/>
          </w:tcPr>
          <w:p w14:paraId="3C43FE6F">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质量指标</w:t>
            </w:r>
          </w:p>
        </w:tc>
        <w:tc>
          <w:tcPr>
            <w:tcW w:w="1189" w:type="dxa"/>
            <w:tcBorders>
              <w:top w:val="single" w:color="000000" w:sz="4" w:space="0"/>
              <w:left w:val="single" w:color="000000" w:sz="4" w:space="0"/>
              <w:bottom w:val="single" w:color="000000" w:sz="4" w:space="0"/>
              <w:right w:val="single" w:color="000000" w:sz="4" w:space="0"/>
            </w:tcBorders>
            <w:vAlign w:val="bottom"/>
          </w:tcPr>
          <w:p w14:paraId="7F8A9B28">
            <w:pPr>
              <w:widowControl/>
              <w:spacing w:line="320" w:lineRule="exact"/>
              <w:jc w:val="center"/>
              <w:textAlignment w:val="bottom"/>
              <w:rPr>
                <w:rFonts w:ascii="仿宋_GB2312" w:hAnsi="仿宋_GB2312" w:eastAsia="仿宋_GB2312" w:cs="仿宋_GB2312"/>
                <w:sz w:val="28"/>
                <w:szCs w:val="28"/>
              </w:rPr>
            </w:pPr>
          </w:p>
        </w:tc>
        <w:tc>
          <w:tcPr>
            <w:tcW w:w="1224" w:type="dxa"/>
            <w:tcBorders>
              <w:top w:val="single" w:color="000000" w:sz="4" w:space="0"/>
              <w:left w:val="single" w:color="000000" w:sz="4" w:space="0"/>
              <w:bottom w:val="single" w:color="000000" w:sz="4" w:space="0"/>
              <w:right w:val="single" w:color="000000" w:sz="4" w:space="0"/>
            </w:tcBorders>
            <w:vAlign w:val="bottom"/>
          </w:tcPr>
          <w:p w14:paraId="61CC8AEE">
            <w:pPr>
              <w:widowControl/>
              <w:spacing w:line="320" w:lineRule="exact"/>
              <w:jc w:val="center"/>
              <w:textAlignment w:val="bottom"/>
              <w:rPr>
                <w:rFonts w:ascii="仿宋_GB2312" w:hAnsi="仿宋_GB2312" w:eastAsia="仿宋_GB2312" w:cs="仿宋_GB2312"/>
                <w:sz w:val="28"/>
                <w:szCs w:val="28"/>
              </w:rPr>
            </w:pPr>
          </w:p>
        </w:tc>
        <w:tc>
          <w:tcPr>
            <w:tcW w:w="2409" w:type="dxa"/>
            <w:tcBorders>
              <w:top w:val="single" w:color="000000" w:sz="4" w:space="0"/>
              <w:left w:val="single" w:color="000000" w:sz="4" w:space="0"/>
              <w:bottom w:val="single" w:color="000000" w:sz="4" w:space="0"/>
              <w:right w:val="single" w:color="000000" w:sz="4" w:space="0"/>
            </w:tcBorders>
            <w:vAlign w:val="bottom"/>
          </w:tcPr>
          <w:p w14:paraId="321FB90C">
            <w:pPr>
              <w:widowControl/>
              <w:spacing w:line="320" w:lineRule="exact"/>
              <w:jc w:val="center"/>
              <w:textAlignment w:val="bottom"/>
              <w:rPr>
                <w:rFonts w:ascii="仿宋_GB2312" w:hAnsi="仿宋_GB2312" w:eastAsia="仿宋_GB2312" w:cs="仿宋_GB2312"/>
                <w:sz w:val="28"/>
                <w:szCs w:val="28"/>
              </w:rPr>
            </w:pPr>
          </w:p>
        </w:tc>
      </w:tr>
      <w:tr w14:paraId="2112F225">
        <w:tblPrEx>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vAlign w:val="center"/>
          </w:tcPr>
          <w:p w14:paraId="0D350E00">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vAlign w:val="bottom"/>
          </w:tcPr>
          <w:p w14:paraId="59EBA7AC">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vAlign w:val="bottom"/>
          </w:tcPr>
          <w:p w14:paraId="26097EC9">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时效指标</w:t>
            </w:r>
          </w:p>
        </w:tc>
        <w:tc>
          <w:tcPr>
            <w:tcW w:w="1189" w:type="dxa"/>
            <w:tcBorders>
              <w:top w:val="single" w:color="000000" w:sz="4" w:space="0"/>
              <w:left w:val="single" w:color="000000" w:sz="4" w:space="0"/>
              <w:bottom w:val="single" w:color="000000" w:sz="4" w:space="0"/>
              <w:right w:val="single" w:color="000000" w:sz="4" w:space="0"/>
            </w:tcBorders>
            <w:vAlign w:val="bottom"/>
          </w:tcPr>
          <w:p w14:paraId="10CA90A7">
            <w:pPr>
              <w:widowControl/>
              <w:spacing w:line="320" w:lineRule="exact"/>
              <w:jc w:val="center"/>
              <w:textAlignment w:val="bottom"/>
              <w:rPr>
                <w:rFonts w:ascii="仿宋_GB2312" w:hAnsi="仿宋_GB2312" w:eastAsia="仿宋_GB2312" w:cs="仿宋_GB2312"/>
                <w:sz w:val="28"/>
                <w:szCs w:val="28"/>
              </w:rPr>
            </w:pPr>
          </w:p>
        </w:tc>
        <w:tc>
          <w:tcPr>
            <w:tcW w:w="1224" w:type="dxa"/>
            <w:tcBorders>
              <w:top w:val="single" w:color="000000" w:sz="4" w:space="0"/>
              <w:left w:val="single" w:color="000000" w:sz="4" w:space="0"/>
              <w:bottom w:val="single" w:color="000000" w:sz="4" w:space="0"/>
              <w:right w:val="single" w:color="000000" w:sz="4" w:space="0"/>
            </w:tcBorders>
            <w:vAlign w:val="bottom"/>
          </w:tcPr>
          <w:p w14:paraId="0FEEB77C">
            <w:pPr>
              <w:widowControl/>
              <w:spacing w:line="320" w:lineRule="exact"/>
              <w:jc w:val="center"/>
              <w:textAlignment w:val="bottom"/>
              <w:rPr>
                <w:rFonts w:ascii="仿宋_GB2312" w:hAnsi="仿宋_GB2312" w:eastAsia="仿宋_GB2312" w:cs="仿宋_GB2312"/>
                <w:sz w:val="28"/>
                <w:szCs w:val="28"/>
              </w:rPr>
            </w:pPr>
          </w:p>
        </w:tc>
        <w:tc>
          <w:tcPr>
            <w:tcW w:w="2409" w:type="dxa"/>
            <w:tcBorders>
              <w:top w:val="single" w:color="000000" w:sz="4" w:space="0"/>
              <w:left w:val="single" w:color="000000" w:sz="4" w:space="0"/>
              <w:bottom w:val="single" w:color="000000" w:sz="4" w:space="0"/>
              <w:right w:val="single" w:color="000000" w:sz="4" w:space="0"/>
            </w:tcBorders>
            <w:vAlign w:val="bottom"/>
          </w:tcPr>
          <w:p w14:paraId="055274CA">
            <w:pPr>
              <w:widowControl/>
              <w:spacing w:line="320" w:lineRule="exact"/>
              <w:jc w:val="center"/>
              <w:textAlignment w:val="bottom"/>
              <w:rPr>
                <w:rFonts w:ascii="仿宋_GB2312" w:hAnsi="仿宋_GB2312" w:eastAsia="仿宋_GB2312" w:cs="仿宋_GB2312"/>
                <w:sz w:val="28"/>
                <w:szCs w:val="28"/>
              </w:rPr>
            </w:pPr>
          </w:p>
        </w:tc>
      </w:tr>
      <w:tr w14:paraId="3B86F14B">
        <w:tblPrEx>
          <w:tblCellMar>
            <w:top w:w="0" w:type="dxa"/>
            <w:left w:w="108" w:type="dxa"/>
            <w:bottom w:w="0" w:type="dxa"/>
            <w:right w:w="108" w:type="dxa"/>
          </w:tblCellMar>
        </w:tblPrEx>
        <w:trPr>
          <w:gridAfter w:val="1"/>
          <w:wAfter w:w="236" w:type="dxa"/>
          <w:trHeight w:val="480" w:hRule="atLeast"/>
        </w:trPr>
        <w:tc>
          <w:tcPr>
            <w:tcW w:w="1976" w:type="dxa"/>
            <w:vMerge w:val="continue"/>
            <w:tcBorders>
              <w:left w:val="single" w:color="000000" w:sz="4" w:space="0"/>
              <w:right w:val="single" w:color="000000" w:sz="4" w:space="0"/>
            </w:tcBorders>
            <w:vAlign w:val="center"/>
          </w:tcPr>
          <w:p w14:paraId="1559F3CA">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vAlign w:val="bottom"/>
          </w:tcPr>
          <w:p w14:paraId="0B8AAF91">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vAlign w:val="bottom"/>
          </w:tcPr>
          <w:p w14:paraId="59839379">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成本指标</w:t>
            </w:r>
          </w:p>
        </w:tc>
        <w:tc>
          <w:tcPr>
            <w:tcW w:w="1189" w:type="dxa"/>
            <w:tcBorders>
              <w:top w:val="single" w:color="000000" w:sz="4" w:space="0"/>
              <w:left w:val="single" w:color="000000" w:sz="4" w:space="0"/>
              <w:bottom w:val="single" w:color="000000" w:sz="4" w:space="0"/>
              <w:right w:val="single" w:color="000000" w:sz="4" w:space="0"/>
            </w:tcBorders>
            <w:vAlign w:val="bottom"/>
          </w:tcPr>
          <w:p w14:paraId="3A105450">
            <w:pPr>
              <w:widowControl/>
              <w:spacing w:line="320" w:lineRule="exact"/>
              <w:jc w:val="center"/>
              <w:textAlignment w:val="bottom"/>
              <w:rPr>
                <w:rFonts w:ascii="仿宋_GB2312" w:hAnsi="仿宋_GB2312" w:eastAsia="仿宋_GB2312" w:cs="仿宋_GB2312"/>
                <w:sz w:val="28"/>
                <w:szCs w:val="28"/>
              </w:rPr>
            </w:pPr>
          </w:p>
        </w:tc>
        <w:tc>
          <w:tcPr>
            <w:tcW w:w="1224" w:type="dxa"/>
            <w:tcBorders>
              <w:top w:val="single" w:color="000000" w:sz="4" w:space="0"/>
              <w:left w:val="single" w:color="000000" w:sz="4" w:space="0"/>
              <w:bottom w:val="single" w:color="000000" w:sz="4" w:space="0"/>
              <w:right w:val="single" w:color="000000" w:sz="4" w:space="0"/>
            </w:tcBorders>
            <w:vAlign w:val="bottom"/>
          </w:tcPr>
          <w:p w14:paraId="7B73927F">
            <w:pPr>
              <w:widowControl/>
              <w:spacing w:line="320" w:lineRule="exact"/>
              <w:jc w:val="center"/>
              <w:textAlignment w:val="bottom"/>
              <w:rPr>
                <w:rFonts w:ascii="仿宋_GB2312" w:hAnsi="仿宋_GB2312" w:eastAsia="仿宋_GB2312" w:cs="仿宋_GB2312"/>
                <w:sz w:val="28"/>
                <w:szCs w:val="28"/>
              </w:rPr>
            </w:pPr>
          </w:p>
        </w:tc>
        <w:tc>
          <w:tcPr>
            <w:tcW w:w="2409" w:type="dxa"/>
            <w:tcBorders>
              <w:top w:val="single" w:color="000000" w:sz="4" w:space="0"/>
              <w:left w:val="single" w:color="000000" w:sz="4" w:space="0"/>
              <w:bottom w:val="single" w:color="000000" w:sz="4" w:space="0"/>
              <w:right w:val="single" w:color="000000" w:sz="4" w:space="0"/>
            </w:tcBorders>
            <w:vAlign w:val="bottom"/>
          </w:tcPr>
          <w:p w14:paraId="2BAAA83B">
            <w:pPr>
              <w:widowControl/>
              <w:spacing w:line="320" w:lineRule="exact"/>
              <w:jc w:val="center"/>
              <w:textAlignment w:val="bottom"/>
              <w:rPr>
                <w:rFonts w:ascii="仿宋_GB2312" w:hAnsi="仿宋_GB2312" w:eastAsia="仿宋_GB2312" w:cs="仿宋_GB2312"/>
                <w:sz w:val="28"/>
                <w:szCs w:val="28"/>
              </w:rPr>
            </w:pPr>
          </w:p>
        </w:tc>
      </w:tr>
      <w:tr w14:paraId="38628751">
        <w:tblPrEx>
          <w:tblCellMar>
            <w:top w:w="0" w:type="dxa"/>
            <w:left w:w="108" w:type="dxa"/>
            <w:bottom w:w="0" w:type="dxa"/>
            <w:right w:w="108" w:type="dxa"/>
          </w:tblCellMar>
        </w:tblPrEx>
        <w:trPr>
          <w:gridAfter w:val="1"/>
          <w:wAfter w:w="236" w:type="dxa"/>
          <w:trHeight w:val="480" w:hRule="atLeast"/>
        </w:trPr>
        <w:tc>
          <w:tcPr>
            <w:tcW w:w="1976" w:type="dxa"/>
            <w:vMerge w:val="continue"/>
            <w:tcBorders>
              <w:left w:val="single" w:color="000000" w:sz="4" w:space="0"/>
              <w:right w:val="single" w:color="000000" w:sz="4" w:space="0"/>
            </w:tcBorders>
            <w:vAlign w:val="center"/>
          </w:tcPr>
          <w:p w14:paraId="2576DC21">
            <w:pPr>
              <w:spacing w:line="320" w:lineRule="exact"/>
              <w:jc w:val="center"/>
              <w:rPr>
                <w:rFonts w:ascii="仿宋_GB2312" w:hAnsi="仿宋_GB2312" w:eastAsia="仿宋_GB2312" w:cs="仿宋_GB2312"/>
                <w:sz w:val="28"/>
                <w:szCs w:val="28"/>
              </w:rPr>
            </w:pPr>
          </w:p>
        </w:tc>
        <w:tc>
          <w:tcPr>
            <w:tcW w:w="1142" w:type="dxa"/>
            <w:vMerge w:val="restart"/>
            <w:tcBorders>
              <w:top w:val="single" w:color="000000" w:sz="4" w:space="0"/>
              <w:left w:val="single" w:color="000000" w:sz="4" w:space="0"/>
              <w:bottom w:val="single" w:color="000000" w:sz="4" w:space="0"/>
              <w:right w:val="single" w:color="000000" w:sz="4" w:space="0"/>
            </w:tcBorders>
            <w:vAlign w:val="center"/>
          </w:tcPr>
          <w:p w14:paraId="27A02B67">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效益</w:t>
            </w:r>
            <w:r>
              <w:rPr>
                <w:rFonts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指标</w:t>
            </w:r>
          </w:p>
        </w:tc>
        <w:tc>
          <w:tcPr>
            <w:tcW w:w="1635" w:type="dxa"/>
            <w:tcBorders>
              <w:top w:val="single" w:color="000000" w:sz="4" w:space="0"/>
              <w:left w:val="single" w:color="000000" w:sz="4" w:space="0"/>
              <w:bottom w:val="single" w:color="000000" w:sz="4" w:space="0"/>
              <w:right w:val="single" w:color="000000" w:sz="4" w:space="0"/>
            </w:tcBorders>
            <w:vAlign w:val="bottom"/>
          </w:tcPr>
          <w:p w14:paraId="2AE475A9">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经济效益</w:t>
            </w:r>
            <w:r>
              <w:rPr>
                <w:rFonts w:ascii="仿宋_GB2312" w:hAnsi="仿宋_GB2312" w:eastAsia="仿宋_GB2312" w:cs="仿宋_GB2312"/>
                <w:kern w:val="0"/>
                <w:sz w:val="28"/>
                <w:szCs w:val="28"/>
              </w:rPr>
              <w:t xml:space="preserve">  </w:t>
            </w:r>
            <w:r>
              <w:rPr>
                <w:rFonts w:hint="eastAsia" w:ascii="仿宋_GB2312" w:hAnsi="仿宋_GB2312" w:eastAsia="仿宋_GB2312" w:cs="仿宋_GB2312"/>
                <w:kern w:val="0"/>
                <w:sz w:val="28"/>
                <w:szCs w:val="28"/>
              </w:rPr>
              <w:t>指标</w:t>
            </w:r>
          </w:p>
        </w:tc>
        <w:tc>
          <w:tcPr>
            <w:tcW w:w="1189" w:type="dxa"/>
            <w:tcBorders>
              <w:top w:val="single" w:color="000000" w:sz="4" w:space="0"/>
              <w:left w:val="single" w:color="000000" w:sz="4" w:space="0"/>
              <w:bottom w:val="single" w:color="000000" w:sz="4" w:space="0"/>
              <w:right w:val="single" w:color="000000" w:sz="4" w:space="0"/>
            </w:tcBorders>
            <w:vAlign w:val="bottom"/>
          </w:tcPr>
          <w:p w14:paraId="5B56B050">
            <w:pPr>
              <w:widowControl/>
              <w:spacing w:line="320" w:lineRule="exact"/>
              <w:jc w:val="center"/>
              <w:textAlignment w:val="bottom"/>
              <w:rPr>
                <w:rFonts w:ascii="仿宋_GB2312" w:hAnsi="仿宋_GB2312" w:eastAsia="仿宋_GB2312" w:cs="仿宋_GB2312"/>
                <w:sz w:val="28"/>
                <w:szCs w:val="28"/>
              </w:rPr>
            </w:pPr>
          </w:p>
        </w:tc>
        <w:tc>
          <w:tcPr>
            <w:tcW w:w="1224" w:type="dxa"/>
            <w:tcBorders>
              <w:top w:val="single" w:color="000000" w:sz="4" w:space="0"/>
              <w:left w:val="single" w:color="000000" w:sz="4" w:space="0"/>
              <w:bottom w:val="single" w:color="000000" w:sz="4" w:space="0"/>
              <w:right w:val="single" w:color="000000" w:sz="4" w:space="0"/>
            </w:tcBorders>
            <w:vAlign w:val="bottom"/>
          </w:tcPr>
          <w:p w14:paraId="10846DEB">
            <w:pPr>
              <w:widowControl/>
              <w:spacing w:line="320" w:lineRule="exact"/>
              <w:jc w:val="center"/>
              <w:textAlignment w:val="bottom"/>
              <w:rPr>
                <w:rFonts w:ascii="仿宋_GB2312" w:hAnsi="仿宋_GB2312" w:eastAsia="仿宋_GB2312" w:cs="仿宋_GB2312"/>
                <w:sz w:val="28"/>
                <w:szCs w:val="28"/>
              </w:rPr>
            </w:pPr>
          </w:p>
        </w:tc>
        <w:tc>
          <w:tcPr>
            <w:tcW w:w="2409" w:type="dxa"/>
            <w:tcBorders>
              <w:top w:val="single" w:color="000000" w:sz="4" w:space="0"/>
              <w:left w:val="single" w:color="000000" w:sz="4" w:space="0"/>
              <w:bottom w:val="single" w:color="000000" w:sz="4" w:space="0"/>
              <w:right w:val="single" w:color="000000" w:sz="4" w:space="0"/>
            </w:tcBorders>
            <w:vAlign w:val="bottom"/>
          </w:tcPr>
          <w:p w14:paraId="4C8F775D">
            <w:pPr>
              <w:widowControl/>
              <w:spacing w:line="320" w:lineRule="exact"/>
              <w:jc w:val="center"/>
              <w:textAlignment w:val="bottom"/>
              <w:rPr>
                <w:rFonts w:ascii="仿宋_GB2312" w:hAnsi="仿宋_GB2312" w:eastAsia="仿宋_GB2312" w:cs="仿宋_GB2312"/>
                <w:sz w:val="28"/>
                <w:szCs w:val="28"/>
              </w:rPr>
            </w:pPr>
          </w:p>
        </w:tc>
      </w:tr>
      <w:tr w14:paraId="3A456691">
        <w:tblPrEx>
          <w:tblCellMar>
            <w:top w:w="0" w:type="dxa"/>
            <w:left w:w="108" w:type="dxa"/>
            <w:bottom w:w="0" w:type="dxa"/>
            <w:right w:w="108" w:type="dxa"/>
          </w:tblCellMar>
        </w:tblPrEx>
        <w:trPr>
          <w:gridAfter w:val="1"/>
          <w:wAfter w:w="236" w:type="dxa"/>
          <w:trHeight w:val="480" w:hRule="atLeast"/>
        </w:trPr>
        <w:tc>
          <w:tcPr>
            <w:tcW w:w="1976" w:type="dxa"/>
            <w:vMerge w:val="continue"/>
            <w:tcBorders>
              <w:left w:val="single" w:color="000000" w:sz="4" w:space="0"/>
              <w:right w:val="single" w:color="000000" w:sz="4" w:space="0"/>
            </w:tcBorders>
            <w:vAlign w:val="center"/>
          </w:tcPr>
          <w:p w14:paraId="11DD1B0E">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vAlign w:val="bottom"/>
          </w:tcPr>
          <w:p w14:paraId="3A85AA47">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vAlign w:val="bottom"/>
          </w:tcPr>
          <w:p w14:paraId="3270AD15">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社会效益</w:t>
            </w:r>
            <w:r>
              <w:rPr>
                <w:rFonts w:ascii="仿宋_GB2312" w:hAnsi="仿宋_GB2312" w:eastAsia="仿宋_GB2312" w:cs="仿宋_GB2312"/>
                <w:kern w:val="0"/>
                <w:sz w:val="28"/>
                <w:szCs w:val="28"/>
              </w:rPr>
              <w:t xml:space="preserve">  </w:t>
            </w:r>
            <w:r>
              <w:rPr>
                <w:rFonts w:hint="eastAsia" w:ascii="仿宋_GB2312" w:hAnsi="仿宋_GB2312" w:eastAsia="仿宋_GB2312" w:cs="仿宋_GB2312"/>
                <w:kern w:val="0"/>
                <w:sz w:val="28"/>
                <w:szCs w:val="28"/>
              </w:rPr>
              <w:t>指标</w:t>
            </w:r>
          </w:p>
        </w:tc>
        <w:tc>
          <w:tcPr>
            <w:tcW w:w="1189" w:type="dxa"/>
            <w:tcBorders>
              <w:top w:val="single" w:color="000000" w:sz="4" w:space="0"/>
              <w:left w:val="single" w:color="000000" w:sz="4" w:space="0"/>
              <w:bottom w:val="single" w:color="000000" w:sz="4" w:space="0"/>
              <w:right w:val="single" w:color="000000" w:sz="4" w:space="0"/>
            </w:tcBorders>
            <w:vAlign w:val="bottom"/>
          </w:tcPr>
          <w:p w14:paraId="05A3C115">
            <w:pPr>
              <w:widowControl/>
              <w:spacing w:line="320" w:lineRule="exact"/>
              <w:jc w:val="center"/>
              <w:textAlignment w:val="bottom"/>
              <w:rPr>
                <w:rFonts w:ascii="仿宋_GB2312" w:hAnsi="仿宋_GB2312" w:eastAsia="仿宋_GB2312" w:cs="仿宋_GB2312"/>
                <w:sz w:val="28"/>
                <w:szCs w:val="28"/>
              </w:rPr>
            </w:pPr>
          </w:p>
        </w:tc>
        <w:tc>
          <w:tcPr>
            <w:tcW w:w="1224" w:type="dxa"/>
            <w:tcBorders>
              <w:top w:val="single" w:color="000000" w:sz="4" w:space="0"/>
              <w:left w:val="single" w:color="000000" w:sz="4" w:space="0"/>
              <w:bottom w:val="single" w:color="000000" w:sz="4" w:space="0"/>
              <w:right w:val="single" w:color="000000" w:sz="4" w:space="0"/>
            </w:tcBorders>
            <w:vAlign w:val="bottom"/>
          </w:tcPr>
          <w:p w14:paraId="5CD0AD67">
            <w:pPr>
              <w:widowControl/>
              <w:spacing w:line="320" w:lineRule="exact"/>
              <w:jc w:val="center"/>
              <w:textAlignment w:val="bottom"/>
              <w:rPr>
                <w:rFonts w:ascii="仿宋_GB2312" w:hAnsi="仿宋_GB2312" w:eastAsia="仿宋_GB2312" w:cs="仿宋_GB2312"/>
                <w:sz w:val="28"/>
                <w:szCs w:val="28"/>
              </w:rPr>
            </w:pPr>
          </w:p>
        </w:tc>
        <w:tc>
          <w:tcPr>
            <w:tcW w:w="2409" w:type="dxa"/>
            <w:tcBorders>
              <w:top w:val="single" w:color="000000" w:sz="4" w:space="0"/>
              <w:left w:val="single" w:color="000000" w:sz="4" w:space="0"/>
              <w:bottom w:val="single" w:color="000000" w:sz="4" w:space="0"/>
              <w:right w:val="single" w:color="000000" w:sz="4" w:space="0"/>
            </w:tcBorders>
            <w:vAlign w:val="bottom"/>
          </w:tcPr>
          <w:p w14:paraId="6DCFE46D">
            <w:pPr>
              <w:widowControl/>
              <w:spacing w:line="320" w:lineRule="exact"/>
              <w:jc w:val="center"/>
              <w:textAlignment w:val="bottom"/>
              <w:rPr>
                <w:rFonts w:ascii="仿宋_GB2312" w:hAnsi="仿宋_GB2312" w:eastAsia="仿宋_GB2312" w:cs="仿宋_GB2312"/>
                <w:sz w:val="28"/>
                <w:szCs w:val="28"/>
              </w:rPr>
            </w:pPr>
          </w:p>
        </w:tc>
      </w:tr>
      <w:tr w14:paraId="124C1DC9">
        <w:tblPrEx>
          <w:tblCellMar>
            <w:top w:w="0" w:type="dxa"/>
            <w:left w:w="108" w:type="dxa"/>
            <w:bottom w:w="0" w:type="dxa"/>
            <w:right w:w="108" w:type="dxa"/>
          </w:tblCellMar>
        </w:tblPrEx>
        <w:trPr>
          <w:gridAfter w:val="1"/>
          <w:wAfter w:w="236" w:type="dxa"/>
          <w:trHeight w:val="577" w:hRule="atLeast"/>
        </w:trPr>
        <w:tc>
          <w:tcPr>
            <w:tcW w:w="1976" w:type="dxa"/>
            <w:vMerge w:val="continue"/>
            <w:tcBorders>
              <w:left w:val="single" w:color="000000" w:sz="4" w:space="0"/>
              <w:right w:val="single" w:color="000000" w:sz="4" w:space="0"/>
            </w:tcBorders>
            <w:vAlign w:val="center"/>
          </w:tcPr>
          <w:p w14:paraId="4C06E7A8">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vAlign w:val="bottom"/>
          </w:tcPr>
          <w:p w14:paraId="7922E97D">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vAlign w:val="bottom"/>
          </w:tcPr>
          <w:p w14:paraId="664EBC73">
            <w:pPr>
              <w:widowControl/>
              <w:spacing w:line="320" w:lineRule="exact"/>
              <w:ind w:left="463" w:leftChars="87" w:hanging="280" w:hangingChars="100"/>
              <w:jc w:val="left"/>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生态效益</w:t>
            </w:r>
            <w:r>
              <w:rPr>
                <w:rFonts w:ascii="仿宋_GB2312" w:hAnsi="仿宋_GB2312" w:eastAsia="仿宋_GB2312" w:cs="仿宋_GB2312"/>
                <w:kern w:val="0"/>
                <w:sz w:val="28"/>
                <w:szCs w:val="28"/>
              </w:rPr>
              <w:t xml:space="preserve">  </w:t>
            </w:r>
            <w:r>
              <w:rPr>
                <w:rFonts w:hint="eastAsia" w:ascii="仿宋_GB2312" w:hAnsi="仿宋_GB2312" w:eastAsia="仿宋_GB2312" w:cs="仿宋_GB2312"/>
                <w:kern w:val="0"/>
                <w:sz w:val="28"/>
                <w:szCs w:val="28"/>
              </w:rPr>
              <w:t>指标</w:t>
            </w:r>
          </w:p>
        </w:tc>
        <w:tc>
          <w:tcPr>
            <w:tcW w:w="1189" w:type="dxa"/>
            <w:tcBorders>
              <w:top w:val="single" w:color="000000" w:sz="4" w:space="0"/>
              <w:left w:val="single" w:color="000000" w:sz="4" w:space="0"/>
              <w:bottom w:val="single" w:color="000000" w:sz="4" w:space="0"/>
              <w:right w:val="single" w:color="000000" w:sz="4" w:space="0"/>
            </w:tcBorders>
            <w:vAlign w:val="bottom"/>
          </w:tcPr>
          <w:p w14:paraId="53B7F265">
            <w:pPr>
              <w:widowControl/>
              <w:spacing w:line="320" w:lineRule="exact"/>
              <w:jc w:val="center"/>
              <w:textAlignment w:val="bottom"/>
              <w:rPr>
                <w:rFonts w:ascii="仿宋_GB2312" w:hAnsi="仿宋_GB2312" w:eastAsia="仿宋_GB2312" w:cs="仿宋_GB2312"/>
                <w:sz w:val="28"/>
                <w:szCs w:val="28"/>
              </w:rPr>
            </w:pPr>
          </w:p>
        </w:tc>
        <w:tc>
          <w:tcPr>
            <w:tcW w:w="1224" w:type="dxa"/>
            <w:tcBorders>
              <w:top w:val="single" w:color="000000" w:sz="4" w:space="0"/>
              <w:left w:val="single" w:color="000000" w:sz="4" w:space="0"/>
              <w:bottom w:val="single" w:color="000000" w:sz="4" w:space="0"/>
              <w:right w:val="single" w:color="000000" w:sz="4" w:space="0"/>
            </w:tcBorders>
            <w:vAlign w:val="bottom"/>
          </w:tcPr>
          <w:p w14:paraId="15A4D40C">
            <w:pPr>
              <w:widowControl/>
              <w:spacing w:line="320" w:lineRule="exact"/>
              <w:jc w:val="center"/>
              <w:textAlignment w:val="bottom"/>
              <w:rPr>
                <w:rFonts w:ascii="仿宋_GB2312" w:hAnsi="仿宋_GB2312" w:eastAsia="仿宋_GB2312" w:cs="仿宋_GB2312"/>
                <w:sz w:val="28"/>
                <w:szCs w:val="28"/>
              </w:rPr>
            </w:pPr>
          </w:p>
        </w:tc>
        <w:tc>
          <w:tcPr>
            <w:tcW w:w="2409" w:type="dxa"/>
            <w:tcBorders>
              <w:top w:val="single" w:color="000000" w:sz="4" w:space="0"/>
              <w:left w:val="single" w:color="000000" w:sz="4" w:space="0"/>
              <w:bottom w:val="single" w:color="000000" w:sz="4" w:space="0"/>
              <w:right w:val="single" w:color="000000" w:sz="4" w:space="0"/>
            </w:tcBorders>
            <w:vAlign w:val="bottom"/>
          </w:tcPr>
          <w:p w14:paraId="148D5259">
            <w:pPr>
              <w:widowControl/>
              <w:spacing w:line="320" w:lineRule="exact"/>
              <w:jc w:val="center"/>
              <w:textAlignment w:val="bottom"/>
              <w:rPr>
                <w:rFonts w:ascii="仿宋_GB2312" w:hAnsi="仿宋_GB2312" w:eastAsia="仿宋_GB2312" w:cs="仿宋_GB2312"/>
                <w:sz w:val="28"/>
                <w:szCs w:val="28"/>
              </w:rPr>
            </w:pPr>
          </w:p>
        </w:tc>
      </w:tr>
      <w:tr w14:paraId="75986C9D">
        <w:tblPrEx>
          <w:tblCellMar>
            <w:top w:w="0" w:type="dxa"/>
            <w:left w:w="108" w:type="dxa"/>
            <w:bottom w:w="0" w:type="dxa"/>
            <w:right w:w="108" w:type="dxa"/>
          </w:tblCellMar>
        </w:tblPrEx>
        <w:trPr>
          <w:gridAfter w:val="1"/>
          <w:wAfter w:w="236" w:type="dxa"/>
          <w:trHeight w:val="480" w:hRule="atLeast"/>
        </w:trPr>
        <w:tc>
          <w:tcPr>
            <w:tcW w:w="1976" w:type="dxa"/>
            <w:vMerge w:val="continue"/>
            <w:tcBorders>
              <w:left w:val="single" w:color="000000" w:sz="4" w:space="0"/>
              <w:right w:val="single" w:color="000000" w:sz="4" w:space="0"/>
            </w:tcBorders>
            <w:vAlign w:val="center"/>
          </w:tcPr>
          <w:p w14:paraId="21F4F130">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vAlign w:val="bottom"/>
          </w:tcPr>
          <w:p w14:paraId="79131FE3">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vAlign w:val="bottom"/>
          </w:tcPr>
          <w:p w14:paraId="06F307CD">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可持续影响</w:t>
            </w:r>
            <w:r>
              <w:rPr>
                <w:rFonts w:ascii="仿宋_GB2312" w:hAnsi="仿宋_GB2312" w:eastAsia="仿宋_GB2312" w:cs="仿宋_GB2312"/>
                <w:kern w:val="0"/>
                <w:sz w:val="28"/>
                <w:szCs w:val="28"/>
              </w:rPr>
              <w:t xml:space="preserve"> </w:t>
            </w:r>
            <w:r>
              <w:rPr>
                <w:rFonts w:hint="eastAsia" w:ascii="仿宋_GB2312" w:hAnsi="仿宋_GB2312" w:eastAsia="仿宋_GB2312" w:cs="仿宋_GB2312"/>
                <w:kern w:val="0"/>
                <w:sz w:val="28"/>
                <w:szCs w:val="28"/>
              </w:rPr>
              <w:t>指标</w:t>
            </w:r>
          </w:p>
        </w:tc>
        <w:tc>
          <w:tcPr>
            <w:tcW w:w="1189" w:type="dxa"/>
            <w:tcBorders>
              <w:top w:val="single" w:color="000000" w:sz="4" w:space="0"/>
              <w:left w:val="single" w:color="000000" w:sz="4" w:space="0"/>
              <w:bottom w:val="single" w:color="000000" w:sz="4" w:space="0"/>
              <w:right w:val="single" w:color="000000" w:sz="4" w:space="0"/>
            </w:tcBorders>
            <w:vAlign w:val="bottom"/>
          </w:tcPr>
          <w:p w14:paraId="668EF7F3">
            <w:pPr>
              <w:widowControl/>
              <w:spacing w:line="320" w:lineRule="exact"/>
              <w:jc w:val="center"/>
              <w:textAlignment w:val="bottom"/>
              <w:rPr>
                <w:rFonts w:ascii="仿宋_GB2312" w:hAnsi="仿宋_GB2312" w:eastAsia="仿宋_GB2312" w:cs="仿宋_GB2312"/>
                <w:sz w:val="28"/>
                <w:szCs w:val="28"/>
              </w:rPr>
            </w:pPr>
          </w:p>
        </w:tc>
        <w:tc>
          <w:tcPr>
            <w:tcW w:w="1224" w:type="dxa"/>
            <w:tcBorders>
              <w:top w:val="single" w:color="000000" w:sz="4" w:space="0"/>
              <w:left w:val="single" w:color="000000" w:sz="4" w:space="0"/>
              <w:bottom w:val="single" w:color="000000" w:sz="4" w:space="0"/>
              <w:right w:val="single" w:color="000000" w:sz="4" w:space="0"/>
            </w:tcBorders>
            <w:vAlign w:val="bottom"/>
          </w:tcPr>
          <w:p w14:paraId="3C7196F9">
            <w:pPr>
              <w:widowControl/>
              <w:spacing w:line="320" w:lineRule="exact"/>
              <w:jc w:val="center"/>
              <w:textAlignment w:val="bottom"/>
              <w:rPr>
                <w:rFonts w:ascii="仿宋_GB2312" w:hAnsi="仿宋_GB2312" w:eastAsia="仿宋_GB2312" w:cs="仿宋_GB2312"/>
                <w:sz w:val="28"/>
                <w:szCs w:val="28"/>
              </w:rPr>
            </w:pPr>
          </w:p>
        </w:tc>
        <w:tc>
          <w:tcPr>
            <w:tcW w:w="2409" w:type="dxa"/>
            <w:tcBorders>
              <w:top w:val="single" w:color="000000" w:sz="4" w:space="0"/>
              <w:left w:val="single" w:color="000000" w:sz="4" w:space="0"/>
              <w:bottom w:val="single" w:color="000000" w:sz="4" w:space="0"/>
              <w:right w:val="single" w:color="000000" w:sz="4" w:space="0"/>
            </w:tcBorders>
            <w:vAlign w:val="bottom"/>
          </w:tcPr>
          <w:p w14:paraId="288C9A8E">
            <w:pPr>
              <w:widowControl/>
              <w:spacing w:line="320" w:lineRule="exact"/>
              <w:jc w:val="center"/>
              <w:textAlignment w:val="bottom"/>
              <w:rPr>
                <w:rFonts w:ascii="仿宋_GB2312" w:hAnsi="仿宋_GB2312" w:eastAsia="仿宋_GB2312" w:cs="仿宋_GB2312"/>
                <w:sz w:val="28"/>
                <w:szCs w:val="28"/>
              </w:rPr>
            </w:pPr>
          </w:p>
        </w:tc>
      </w:tr>
      <w:tr w14:paraId="1C66A0ED">
        <w:tblPrEx>
          <w:tblCellMar>
            <w:top w:w="0" w:type="dxa"/>
            <w:left w:w="108" w:type="dxa"/>
            <w:bottom w:w="0" w:type="dxa"/>
            <w:right w:w="108" w:type="dxa"/>
          </w:tblCellMar>
        </w:tblPrEx>
        <w:trPr>
          <w:gridAfter w:val="1"/>
          <w:wAfter w:w="236" w:type="dxa"/>
          <w:trHeight w:val="530" w:hRule="atLeast"/>
        </w:trPr>
        <w:tc>
          <w:tcPr>
            <w:tcW w:w="1976" w:type="dxa"/>
            <w:vMerge w:val="continue"/>
            <w:tcBorders>
              <w:left w:val="single" w:color="000000" w:sz="4" w:space="0"/>
              <w:bottom w:val="single" w:color="000000" w:sz="4" w:space="0"/>
              <w:right w:val="single" w:color="000000" w:sz="4" w:space="0"/>
            </w:tcBorders>
            <w:vAlign w:val="center"/>
          </w:tcPr>
          <w:p w14:paraId="0727151C">
            <w:pPr>
              <w:spacing w:line="320" w:lineRule="exact"/>
              <w:jc w:val="center"/>
              <w:rPr>
                <w:rFonts w:ascii="仿宋_GB2312" w:hAnsi="仿宋_GB2312" w:eastAsia="仿宋_GB2312" w:cs="仿宋_GB2312"/>
                <w:sz w:val="28"/>
                <w:szCs w:val="28"/>
              </w:rPr>
            </w:pPr>
          </w:p>
        </w:tc>
        <w:tc>
          <w:tcPr>
            <w:tcW w:w="1142" w:type="dxa"/>
            <w:tcBorders>
              <w:top w:val="single" w:color="000000" w:sz="4" w:space="0"/>
              <w:left w:val="single" w:color="000000" w:sz="4" w:space="0"/>
              <w:bottom w:val="single" w:color="000000" w:sz="4" w:space="0"/>
              <w:right w:val="single" w:color="000000" w:sz="4" w:space="0"/>
            </w:tcBorders>
            <w:vAlign w:val="bottom"/>
          </w:tcPr>
          <w:p w14:paraId="6BEFDB77">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满意</w:t>
            </w:r>
            <w:r>
              <w:rPr>
                <w:rFonts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度指标</w:t>
            </w:r>
          </w:p>
        </w:tc>
        <w:tc>
          <w:tcPr>
            <w:tcW w:w="1635" w:type="dxa"/>
            <w:tcBorders>
              <w:top w:val="single" w:color="000000" w:sz="4" w:space="0"/>
              <w:left w:val="single" w:color="000000" w:sz="4" w:space="0"/>
              <w:bottom w:val="single" w:color="000000" w:sz="4" w:space="0"/>
              <w:right w:val="single" w:color="000000" w:sz="4" w:space="0"/>
            </w:tcBorders>
            <w:vAlign w:val="bottom"/>
          </w:tcPr>
          <w:p w14:paraId="041949C4">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满意度</w:t>
            </w:r>
          </w:p>
          <w:p w14:paraId="6A2614EA">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189" w:type="dxa"/>
            <w:tcBorders>
              <w:top w:val="single" w:color="000000" w:sz="4" w:space="0"/>
              <w:left w:val="single" w:color="000000" w:sz="4" w:space="0"/>
              <w:bottom w:val="single" w:color="000000" w:sz="4" w:space="0"/>
              <w:right w:val="single" w:color="000000" w:sz="4" w:space="0"/>
            </w:tcBorders>
            <w:vAlign w:val="bottom"/>
          </w:tcPr>
          <w:p w14:paraId="3DDE0AA2">
            <w:pPr>
              <w:widowControl/>
              <w:spacing w:line="320" w:lineRule="exact"/>
              <w:jc w:val="center"/>
              <w:textAlignment w:val="bottom"/>
              <w:rPr>
                <w:rFonts w:ascii="仿宋_GB2312" w:hAnsi="仿宋_GB2312" w:eastAsia="仿宋_GB2312" w:cs="仿宋_GB2312"/>
                <w:sz w:val="28"/>
                <w:szCs w:val="28"/>
              </w:rPr>
            </w:pPr>
          </w:p>
        </w:tc>
        <w:tc>
          <w:tcPr>
            <w:tcW w:w="1224" w:type="dxa"/>
            <w:tcBorders>
              <w:top w:val="single" w:color="000000" w:sz="4" w:space="0"/>
              <w:left w:val="single" w:color="000000" w:sz="4" w:space="0"/>
              <w:bottom w:val="single" w:color="000000" w:sz="4" w:space="0"/>
              <w:right w:val="single" w:color="000000" w:sz="4" w:space="0"/>
            </w:tcBorders>
            <w:vAlign w:val="bottom"/>
          </w:tcPr>
          <w:p w14:paraId="7114D49B">
            <w:pPr>
              <w:widowControl/>
              <w:spacing w:line="320" w:lineRule="exact"/>
              <w:jc w:val="center"/>
              <w:textAlignment w:val="bottom"/>
              <w:rPr>
                <w:rFonts w:ascii="仿宋_GB2312" w:hAnsi="仿宋_GB2312" w:eastAsia="仿宋_GB2312" w:cs="仿宋_GB2312"/>
                <w:sz w:val="28"/>
                <w:szCs w:val="28"/>
              </w:rPr>
            </w:pPr>
          </w:p>
        </w:tc>
        <w:tc>
          <w:tcPr>
            <w:tcW w:w="2409" w:type="dxa"/>
            <w:tcBorders>
              <w:top w:val="single" w:color="000000" w:sz="4" w:space="0"/>
              <w:left w:val="single" w:color="000000" w:sz="4" w:space="0"/>
              <w:bottom w:val="single" w:color="000000" w:sz="4" w:space="0"/>
              <w:right w:val="single" w:color="000000" w:sz="4" w:space="0"/>
            </w:tcBorders>
            <w:vAlign w:val="bottom"/>
          </w:tcPr>
          <w:p w14:paraId="3DD58800">
            <w:pPr>
              <w:widowControl/>
              <w:spacing w:line="320" w:lineRule="exact"/>
              <w:jc w:val="center"/>
              <w:textAlignment w:val="bottom"/>
              <w:rPr>
                <w:rFonts w:ascii="仿宋_GB2312" w:hAnsi="仿宋_GB2312" w:eastAsia="仿宋_GB2312" w:cs="仿宋_GB2312"/>
                <w:sz w:val="28"/>
                <w:szCs w:val="28"/>
              </w:rPr>
            </w:pPr>
          </w:p>
        </w:tc>
      </w:tr>
    </w:tbl>
    <w:p w14:paraId="1B1BC3A8">
      <w:pPr>
        <w:widowControl/>
        <w:adjustRightInd w:val="0"/>
        <w:snapToGrid w:val="0"/>
        <w:spacing w:line="580" w:lineRule="exact"/>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附表：</w:t>
      </w:r>
    </w:p>
    <w:p w14:paraId="13C20DD3">
      <w:pPr>
        <w:widowControl/>
        <w:adjustRightInd w:val="0"/>
        <w:snapToGrid w:val="0"/>
        <w:spacing w:line="580" w:lineRule="exact"/>
        <w:contextualSpacing/>
        <w:jc w:val="left"/>
      </w:pPr>
      <w:r>
        <w:rPr>
          <w:rFonts w:hint="eastAsia" w:ascii="仿宋_GB2312" w:hAnsi="宋体" w:eastAsia="仿宋_GB2312" w:cs="宋体"/>
          <w:kern w:val="0"/>
          <w:sz w:val="32"/>
          <w:szCs w:val="32"/>
          <w:shd w:val="clear" w:color="auto" w:fill="FFFFFF"/>
        </w:rPr>
        <w:t>（注：有两个及以上</w:t>
      </w:r>
      <w:r>
        <w:rPr>
          <w:rFonts w:ascii="仿宋_GB2312" w:hAnsi="宋体" w:eastAsia="仿宋_GB2312" w:cs="宋体"/>
          <w:kern w:val="0"/>
          <w:sz w:val="32"/>
          <w:szCs w:val="32"/>
          <w:shd w:val="clear" w:color="auto" w:fill="FFFFFF"/>
        </w:rPr>
        <w:t>100</w:t>
      </w:r>
      <w:r>
        <w:rPr>
          <w:rFonts w:hint="eastAsia" w:ascii="仿宋_GB2312" w:hAnsi="宋体" w:eastAsia="仿宋_GB2312" w:cs="宋体"/>
          <w:kern w:val="0"/>
          <w:sz w:val="32"/>
          <w:szCs w:val="32"/>
          <w:shd w:val="clear" w:color="auto" w:fill="FFFFFF"/>
        </w:rPr>
        <w:t>万元以上（含）特定目标类部门预算项目的，需分别开展绩效目标自评并填写附表）</w:t>
      </w:r>
    </w:p>
    <w:p w14:paraId="3C91B9FA">
      <w:pPr>
        <w:spacing w:line="580" w:lineRule="exact"/>
        <w:rPr>
          <w:rStyle w:val="17"/>
          <w:rFonts w:ascii="黑体" w:hAnsi="黑体" w:eastAsia="黑体"/>
          <w:b w:val="0"/>
        </w:rPr>
      </w:pPr>
    </w:p>
    <w:p w14:paraId="1593C683">
      <w:pPr>
        <w:widowControl/>
        <w:jc w:val="left"/>
        <w:rPr>
          <w:rStyle w:val="17"/>
          <w:rFonts w:ascii="黑体" w:hAnsi="黑体" w:eastAsia="黑体"/>
          <w:b w:val="0"/>
        </w:rPr>
      </w:pPr>
      <w:r>
        <w:rPr>
          <w:rStyle w:val="17"/>
          <w:rFonts w:ascii="黑体" w:hAnsi="黑体" w:eastAsia="黑体"/>
          <w:b w:val="0"/>
        </w:rPr>
        <w:br w:type="page"/>
      </w:r>
    </w:p>
    <w:p w14:paraId="12741EF5">
      <w:pPr>
        <w:spacing w:line="600" w:lineRule="exact"/>
        <w:jc w:val="center"/>
        <w:outlineLvl w:val="0"/>
        <w:rPr>
          <w:rFonts w:ascii="仿宋" w:hAnsi="仿宋" w:eastAsia="仿宋"/>
        </w:rPr>
      </w:pPr>
      <w:bookmarkStart w:id="59" w:name="_Toc15396618"/>
      <w:r>
        <w:rPr>
          <w:rFonts w:hint="eastAsia" w:ascii="黑体" w:hAnsi="黑体" w:eastAsia="黑体"/>
          <w:sz w:val="44"/>
          <w:szCs w:val="44"/>
        </w:rPr>
        <w:t>第</w:t>
      </w:r>
      <w:r>
        <w:rPr>
          <w:rStyle w:val="17"/>
          <w:rFonts w:hint="eastAsia" w:ascii="黑体" w:hAnsi="黑体" w:eastAsia="黑体"/>
          <w:b w:val="0"/>
        </w:rPr>
        <w:t>五部分</w:t>
      </w:r>
      <w:r>
        <w:rPr>
          <w:rStyle w:val="17"/>
          <w:rFonts w:ascii="黑体" w:hAnsi="黑体" w:eastAsia="黑体"/>
          <w:b w:val="0"/>
        </w:rPr>
        <w:t xml:space="preserve"> </w:t>
      </w:r>
      <w:r>
        <w:rPr>
          <w:rStyle w:val="17"/>
          <w:rFonts w:hint="eastAsia" w:ascii="黑体" w:hAnsi="黑体" w:eastAsia="黑体"/>
          <w:b w:val="0"/>
        </w:rPr>
        <w:t>附表</w:t>
      </w:r>
      <w:bookmarkEnd w:id="57"/>
      <w:bookmarkEnd w:id="59"/>
      <w:bookmarkStart w:id="60" w:name="_Toc15396619"/>
    </w:p>
    <w:p w14:paraId="0A624D6C">
      <w:pPr>
        <w:pStyle w:val="4"/>
        <w:rPr>
          <w:rFonts w:ascii="仿宋_GB2312" w:hAnsi="仿宋" w:eastAsia="仿宋_GB2312"/>
        </w:rPr>
      </w:pPr>
      <w:r>
        <w:rPr>
          <w:rFonts w:hint="eastAsia" w:ascii="仿宋_GB2312" w:hAnsi="仿宋" w:eastAsia="仿宋_GB2312"/>
          <w:b w:val="0"/>
        </w:rPr>
        <w:t>一、收</w:t>
      </w:r>
      <w:r>
        <w:rPr>
          <w:rStyle w:val="18"/>
          <w:rFonts w:hint="eastAsia" w:ascii="仿宋_GB2312" w:hAnsi="仿宋" w:eastAsia="仿宋_GB2312"/>
          <w:b w:val="0"/>
          <w:bCs w:val="0"/>
        </w:rPr>
        <w:t>入支出决算总表</w:t>
      </w:r>
      <w:bookmarkEnd w:id="60"/>
    </w:p>
    <w:p w14:paraId="4A738158">
      <w:pPr>
        <w:pStyle w:val="4"/>
        <w:rPr>
          <w:rFonts w:ascii="仿宋_GB2312" w:hAnsi="仿宋" w:eastAsia="仿宋_GB2312"/>
        </w:rPr>
      </w:pPr>
      <w:bookmarkStart w:id="61" w:name="_Toc15396620"/>
      <w:r>
        <w:rPr>
          <w:rFonts w:hint="eastAsia" w:ascii="仿宋_GB2312" w:hAnsi="仿宋" w:eastAsia="仿宋_GB2312"/>
          <w:b w:val="0"/>
        </w:rPr>
        <w:t>二、收</w:t>
      </w:r>
      <w:r>
        <w:rPr>
          <w:rStyle w:val="18"/>
          <w:rFonts w:hint="eastAsia" w:ascii="仿宋_GB2312" w:hAnsi="仿宋" w:eastAsia="仿宋_GB2312"/>
          <w:b w:val="0"/>
          <w:bCs w:val="0"/>
        </w:rPr>
        <w:t>入决算表</w:t>
      </w:r>
      <w:bookmarkEnd w:id="61"/>
    </w:p>
    <w:p w14:paraId="18843134">
      <w:pPr>
        <w:pStyle w:val="4"/>
        <w:rPr>
          <w:rFonts w:ascii="仿宋_GB2312" w:hAnsi="仿宋" w:eastAsia="仿宋_GB2312"/>
        </w:rPr>
      </w:pPr>
      <w:bookmarkStart w:id="62" w:name="_Toc15396621"/>
      <w:r>
        <w:rPr>
          <w:rStyle w:val="18"/>
          <w:rFonts w:hint="eastAsia" w:ascii="仿宋_GB2312" w:hAnsi="仿宋" w:eastAsia="仿宋_GB2312"/>
          <w:b w:val="0"/>
          <w:bCs w:val="0"/>
        </w:rPr>
        <w:t>三、</w:t>
      </w:r>
      <w:r>
        <w:rPr>
          <w:rFonts w:hint="eastAsia" w:ascii="仿宋_GB2312" w:hAnsi="仿宋" w:eastAsia="仿宋_GB2312"/>
          <w:b w:val="0"/>
        </w:rPr>
        <w:t>支</w:t>
      </w:r>
      <w:r>
        <w:rPr>
          <w:rStyle w:val="18"/>
          <w:rFonts w:hint="eastAsia" w:ascii="仿宋_GB2312" w:hAnsi="仿宋" w:eastAsia="仿宋_GB2312"/>
          <w:b w:val="0"/>
          <w:bCs w:val="0"/>
        </w:rPr>
        <w:t>出决算表</w:t>
      </w:r>
      <w:bookmarkEnd w:id="62"/>
    </w:p>
    <w:p w14:paraId="7B5BC56A">
      <w:pPr>
        <w:pStyle w:val="4"/>
        <w:rPr>
          <w:rFonts w:ascii="仿宋_GB2312" w:hAnsi="仿宋" w:eastAsia="仿宋_GB2312"/>
          <w:b w:val="0"/>
        </w:rPr>
      </w:pPr>
      <w:bookmarkStart w:id="63" w:name="_Toc15396622"/>
      <w:r>
        <w:rPr>
          <w:rStyle w:val="18"/>
          <w:rFonts w:hint="eastAsia" w:ascii="仿宋_GB2312" w:hAnsi="仿宋" w:eastAsia="仿宋_GB2312"/>
          <w:b w:val="0"/>
          <w:bCs w:val="0"/>
        </w:rPr>
        <w:t>四、</w:t>
      </w:r>
      <w:r>
        <w:rPr>
          <w:rFonts w:hint="eastAsia" w:ascii="仿宋_GB2312" w:hAnsi="仿宋" w:eastAsia="仿宋_GB2312"/>
          <w:b w:val="0"/>
        </w:rPr>
        <w:t>财</w:t>
      </w:r>
      <w:r>
        <w:rPr>
          <w:rStyle w:val="18"/>
          <w:rFonts w:hint="eastAsia" w:ascii="仿宋_GB2312" w:hAnsi="仿宋" w:eastAsia="仿宋_GB2312"/>
          <w:b w:val="0"/>
          <w:bCs w:val="0"/>
        </w:rPr>
        <w:t>政拨款收入支出决算总表</w:t>
      </w:r>
      <w:bookmarkEnd w:id="63"/>
    </w:p>
    <w:p w14:paraId="47EA5E20">
      <w:pPr>
        <w:pStyle w:val="4"/>
        <w:rPr>
          <w:rStyle w:val="18"/>
          <w:rFonts w:ascii="仿宋_GB2312" w:hAnsi="仿宋" w:eastAsia="仿宋_GB2312"/>
          <w:b w:val="0"/>
          <w:bCs w:val="0"/>
        </w:rPr>
      </w:pPr>
      <w:bookmarkStart w:id="64" w:name="_Toc15396623"/>
      <w:r>
        <w:rPr>
          <w:rStyle w:val="18"/>
          <w:rFonts w:hint="eastAsia" w:ascii="仿宋_GB2312" w:hAnsi="仿宋" w:eastAsia="仿宋_GB2312"/>
          <w:b w:val="0"/>
          <w:bCs w:val="0"/>
        </w:rPr>
        <w:t>五、</w:t>
      </w:r>
      <w:r>
        <w:rPr>
          <w:rFonts w:hint="eastAsia" w:ascii="仿宋_GB2312" w:hAnsi="仿宋" w:eastAsia="仿宋_GB2312"/>
          <w:b w:val="0"/>
        </w:rPr>
        <w:t>财</w:t>
      </w:r>
      <w:r>
        <w:rPr>
          <w:rStyle w:val="18"/>
          <w:rFonts w:hint="eastAsia" w:ascii="仿宋_GB2312" w:hAnsi="仿宋" w:eastAsia="仿宋_GB2312"/>
          <w:b w:val="0"/>
          <w:bCs w:val="0"/>
        </w:rPr>
        <w:t>政拨款支出决算明细表</w:t>
      </w:r>
      <w:bookmarkEnd w:id="64"/>
      <w:bookmarkStart w:id="65" w:name="_Toc15396624"/>
    </w:p>
    <w:p w14:paraId="74F3D594">
      <w:pPr>
        <w:pStyle w:val="4"/>
        <w:rPr>
          <w:rFonts w:ascii="仿宋_GB2312" w:hAnsi="仿宋" w:eastAsia="仿宋_GB2312"/>
        </w:rPr>
      </w:pPr>
      <w:r>
        <w:rPr>
          <w:rStyle w:val="18"/>
          <w:rFonts w:hint="eastAsia" w:ascii="仿宋_GB2312" w:hAnsi="仿宋" w:eastAsia="仿宋_GB2312"/>
          <w:b w:val="0"/>
          <w:bCs w:val="0"/>
        </w:rPr>
        <w:t>六、</w:t>
      </w:r>
      <w:r>
        <w:rPr>
          <w:rFonts w:hint="eastAsia" w:ascii="仿宋_GB2312" w:hAnsi="仿宋" w:eastAsia="仿宋_GB2312"/>
          <w:b w:val="0"/>
        </w:rPr>
        <w:t>一</w:t>
      </w:r>
      <w:r>
        <w:rPr>
          <w:rStyle w:val="18"/>
          <w:rFonts w:hint="eastAsia" w:ascii="仿宋_GB2312" w:hAnsi="仿宋" w:eastAsia="仿宋_GB2312"/>
          <w:b w:val="0"/>
          <w:bCs w:val="0"/>
        </w:rPr>
        <w:t>般公共预算财政拨款支出决算表</w:t>
      </w:r>
      <w:bookmarkEnd w:id="65"/>
    </w:p>
    <w:p w14:paraId="6EA12AE9">
      <w:pPr>
        <w:pStyle w:val="4"/>
        <w:rPr>
          <w:rFonts w:ascii="仿宋_GB2312" w:hAnsi="仿宋" w:eastAsia="仿宋_GB2312"/>
        </w:rPr>
      </w:pPr>
      <w:bookmarkStart w:id="66" w:name="_Toc15396625"/>
      <w:r>
        <w:rPr>
          <w:rStyle w:val="18"/>
          <w:rFonts w:hint="eastAsia" w:ascii="仿宋_GB2312" w:hAnsi="仿宋" w:eastAsia="仿宋_GB2312"/>
          <w:b w:val="0"/>
          <w:bCs w:val="0"/>
        </w:rPr>
        <w:t>七、</w:t>
      </w:r>
      <w:r>
        <w:rPr>
          <w:rFonts w:hint="eastAsia" w:ascii="仿宋_GB2312" w:hAnsi="仿宋" w:eastAsia="仿宋_GB2312"/>
          <w:b w:val="0"/>
        </w:rPr>
        <w:t>一</w:t>
      </w:r>
      <w:r>
        <w:rPr>
          <w:rStyle w:val="18"/>
          <w:rFonts w:hint="eastAsia" w:ascii="仿宋_GB2312" w:hAnsi="仿宋" w:eastAsia="仿宋_GB2312"/>
          <w:b w:val="0"/>
          <w:bCs w:val="0"/>
        </w:rPr>
        <w:t>般公共预算财政拨款支出决算明细表</w:t>
      </w:r>
      <w:bookmarkEnd w:id="66"/>
    </w:p>
    <w:p w14:paraId="123E7DB4">
      <w:pPr>
        <w:pStyle w:val="4"/>
        <w:rPr>
          <w:rFonts w:ascii="仿宋_GB2312" w:hAnsi="仿宋" w:eastAsia="仿宋_GB2312"/>
        </w:rPr>
      </w:pPr>
      <w:bookmarkStart w:id="67" w:name="_Toc15396626"/>
      <w:r>
        <w:rPr>
          <w:rStyle w:val="18"/>
          <w:rFonts w:hint="eastAsia" w:ascii="仿宋_GB2312" w:hAnsi="仿宋" w:eastAsia="仿宋_GB2312"/>
          <w:b w:val="0"/>
          <w:bCs w:val="0"/>
        </w:rPr>
        <w:t>八、</w:t>
      </w:r>
      <w:r>
        <w:rPr>
          <w:rFonts w:hint="eastAsia" w:ascii="仿宋_GB2312" w:hAnsi="仿宋" w:eastAsia="仿宋_GB2312"/>
          <w:b w:val="0"/>
        </w:rPr>
        <w:t>一</w:t>
      </w:r>
      <w:r>
        <w:rPr>
          <w:rStyle w:val="18"/>
          <w:rFonts w:hint="eastAsia" w:ascii="仿宋_GB2312" w:hAnsi="仿宋" w:eastAsia="仿宋_GB2312"/>
          <w:b w:val="0"/>
          <w:bCs w:val="0"/>
        </w:rPr>
        <w:t>般公共预算财政拨款基本支出决算表</w:t>
      </w:r>
      <w:bookmarkEnd w:id="67"/>
    </w:p>
    <w:p w14:paraId="29A2C8DC">
      <w:pPr>
        <w:pStyle w:val="4"/>
        <w:rPr>
          <w:rFonts w:ascii="仿宋_GB2312" w:hAnsi="仿宋" w:eastAsia="仿宋_GB2312"/>
        </w:rPr>
      </w:pPr>
      <w:bookmarkStart w:id="68" w:name="_Toc15396627"/>
      <w:r>
        <w:rPr>
          <w:rStyle w:val="18"/>
          <w:rFonts w:hint="eastAsia" w:ascii="仿宋_GB2312" w:hAnsi="仿宋" w:eastAsia="仿宋_GB2312"/>
          <w:b w:val="0"/>
          <w:bCs w:val="0"/>
        </w:rPr>
        <w:t>九、</w:t>
      </w:r>
      <w:r>
        <w:rPr>
          <w:rFonts w:hint="eastAsia" w:ascii="仿宋_GB2312" w:hAnsi="仿宋" w:eastAsia="仿宋_GB2312"/>
          <w:b w:val="0"/>
        </w:rPr>
        <w:t>一</w:t>
      </w:r>
      <w:r>
        <w:rPr>
          <w:rStyle w:val="18"/>
          <w:rFonts w:hint="eastAsia" w:ascii="仿宋_GB2312" w:hAnsi="仿宋" w:eastAsia="仿宋_GB2312"/>
          <w:b w:val="0"/>
          <w:bCs w:val="0"/>
        </w:rPr>
        <w:t>般公共预算财政拨款项目支出决算表</w:t>
      </w:r>
      <w:bookmarkEnd w:id="68"/>
    </w:p>
    <w:p w14:paraId="7B0FAF7D">
      <w:pPr>
        <w:pStyle w:val="4"/>
        <w:rPr>
          <w:rFonts w:ascii="仿宋_GB2312" w:hAnsi="仿宋" w:eastAsia="仿宋_GB2312"/>
        </w:rPr>
      </w:pPr>
      <w:bookmarkStart w:id="69" w:name="_Toc15396628"/>
      <w:r>
        <w:rPr>
          <w:rStyle w:val="18"/>
          <w:rFonts w:hint="eastAsia" w:ascii="仿宋_GB2312" w:hAnsi="仿宋" w:eastAsia="仿宋_GB2312"/>
          <w:b w:val="0"/>
          <w:bCs w:val="0"/>
        </w:rPr>
        <w:t>十、</w:t>
      </w:r>
      <w:r>
        <w:rPr>
          <w:rFonts w:hint="eastAsia" w:ascii="仿宋_GB2312" w:hAnsi="仿宋" w:eastAsia="仿宋_GB2312"/>
          <w:b w:val="0"/>
        </w:rPr>
        <w:t>一</w:t>
      </w:r>
      <w:r>
        <w:rPr>
          <w:rStyle w:val="18"/>
          <w:rFonts w:hint="eastAsia" w:ascii="仿宋_GB2312" w:hAnsi="仿宋" w:eastAsia="仿宋_GB2312"/>
          <w:b w:val="0"/>
          <w:bCs w:val="0"/>
        </w:rPr>
        <w:t>般公共预算财政拨款“三公”经费支出决算表</w:t>
      </w:r>
      <w:bookmarkEnd w:id="69"/>
    </w:p>
    <w:p w14:paraId="52DB834C">
      <w:pPr>
        <w:pStyle w:val="4"/>
        <w:rPr>
          <w:rFonts w:ascii="仿宋_GB2312" w:hAnsi="仿宋" w:eastAsia="仿宋_GB2312"/>
        </w:rPr>
      </w:pPr>
      <w:bookmarkStart w:id="70" w:name="_Toc15396629"/>
      <w:r>
        <w:rPr>
          <w:rStyle w:val="18"/>
          <w:rFonts w:hint="eastAsia" w:ascii="仿宋_GB2312" w:hAnsi="仿宋" w:eastAsia="仿宋_GB2312"/>
          <w:b w:val="0"/>
          <w:bCs w:val="0"/>
        </w:rPr>
        <w:t>十一、</w:t>
      </w:r>
      <w:r>
        <w:rPr>
          <w:rFonts w:hint="eastAsia" w:ascii="仿宋_GB2312" w:hAnsi="仿宋" w:eastAsia="仿宋_GB2312"/>
          <w:b w:val="0"/>
        </w:rPr>
        <w:t>政</w:t>
      </w:r>
      <w:r>
        <w:rPr>
          <w:rStyle w:val="18"/>
          <w:rFonts w:hint="eastAsia" w:ascii="仿宋_GB2312" w:hAnsi="仿宋" w:eastAsia="仿宋_GB2312"/>
          <w:b w:val="0"/>
          <w:bCs w:val="0"/>
        </w:rPr>
        <w:t>府性基金预算财政拨款收入支出决算表</w:t>
      </w:r>
      <w:bookmarkEnd w:id="70"/>
    </w:p>
    <w:p w14:paraId="475F3917">
      <w:pPr>
        <w:pStyle w:val="4"/>
        <w:rPr>
          <w:rFonts w:ascii="仿宋_GB2312" w:hAnsi="仿宋" w:eastAsia="仿宋_GB2312"/>
        </w:rPr>
      </w:pPr>
      <w:bookmarkStart w:id="71" w:name="_Toc15396630"/>
      <w:r>
        <w:rPr>
          <w:rStyle w:val="18"/>
          <w:rFonts w:hint="eastAsia" w:ascii="仿宋_GB2312" w:hAnsi="仿宋" w:eastAsia="仿宋_GB2312"/>
          <w:b w:val="0"/>
          <w:bCs w:val="0"/>
        </w:rPr>
        <w:t>十二、</w:t>
      </w:r>
      <w:r>
        <w:rPr>
          <w:rFonts w:hint="eastAsia" w:ascii="仿宋_GB2312" w:hAnsi="仿宋" w:eastAsia="仿宋_GB2312"/>
          <w:b w:val="0"/>
        </w:rPr>
        <w:t>政</w:t>
      </w:r>
      <w:r>
        <w:rPr>
          <w:rStyle w:val="18"/>
          <w:rFonts w:hint="eastAsia" w:ascii="仿宋_GB2312" w:hAnsi="仿宋" w:eastAsia="仿宋_GB2312"/>
          <w:b w:val="0"/>
          <w:bCs w:val="0"/>
        </w:rPr>
        <w:t>府性基金预算财政拨款“三公”经费支出决算表</w:t>
      </w:r>
      <w:bookmarkEnd w:id="71"/>
    </w:p>
    <w:p w14:paraId="2FE18116">
      <w:pPr>
        <w:pStyle w:val="4"/>
        <w:rPr>
          <w:rStyle w:val="18"/>
          <w:rFonts w:ascii="仿宋_GB2312" w:hAnsi="仿宋" w:eastAsia="仿宋_GB2312"/>
          <w:b w:val="0"/>
          <w:bCs w:val="0"/>
        </w:rPr>
      </w:pPr>
      <w:bookmarkStart w:id="72" w:name="_Toc15396631"/>
      <w:r>
        <w:rPr>
          <w:rStyle w:val="18"/>
          <w:rFonts w:hint="eastAsia" w:ascii="仿宋_GB2312" w:hAnsi="仿宋" w:eastAsia="仿宋_GB2312"/>
          <w:b w:val="0"/>
          <w:bCs w:val="0"/>
        </w:rPr>
        <w:t>十三、</w:t>
      </w:r>
      <w:r>
        <w:rPr>
          <w:rFonts w:hint="eastAsia" w:ascii="仿宋_GB2312" w:hAnsi="仿宋" w:eastAsia="仿宋_GB2312"/>
          <w:b w:val="0"/>
        </w:rPr>
        <w:t>国</w:t>
      </w:r>
      <w:r>
        <w:rPr>
          <w:rStyle w:val="18"/>
          <w:rFonts w:hint="eastAsia" w:ascii="仿宋_GB2312" w:hAnsi="仿宋" w:eastAsia="仿宋_GB2312"/>
          <w:b w:val="0"/>
          <w:bCs w:val="0"/>
        </w:rPr>
        <w:t>有资本经营预算财政拨款收入支出决算表</w:t>
      </w:r>
      <w:bookmarkEnd w:id="72"/>
    </w:p>
    <w:p w14:paraId="4067FCE2">
      <w:pPr>
        <w:rPr>
          <w:rFonts w:ascii="仿宋_GB2312" w:eastAsia="仿宋_GB2312"/>
        </w:rPr>
      </w:pPr>
      <w:r>
        <w:rPr>
          <w:rStyle w:val="18"/>
          <w:rFonts w:hint="eastAsia" w:ascii="仿宋_GB2312" w:hAnsi="仿宋" w:eastAsia="仿宋_GB2312"/>
          <w:b w:val="0"/>
          <w:bCs w:val="0"/>
        </w:rPr>
        <w:t>十四、国有资本经营预算财政拨款支出决算表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F44E4">
    <w:pPr>
      <w:pStyle w:val="8"/>
      <w:jc w:val="center"/>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p>
  <w:p w14:paraId="710B297C">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F5913">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1">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3">
    <w:nsid w:val="3E794925"/>
    <w:multiLevelType w:val="singleLevel"/>
    <w:tmpl w:val="3E794925"/>
    <w:lvl w:ilvl="0" w:tentative="0">
      <w:start w:val="3"/>
      <w:numFmt w:val="chineseCounting"/>
      <w:suff w:val="nothing"/>
      <w:lvlText w:val="（%1）"/>
      <w:lvlJc w:val="left"/>
      <w:rPr>
        <w:rFonts w:hint="eastAsia" w:cs="Times New Roman"/>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361C"/>
    <w:rsid w:val="0001695A"/>
    <w:rsid w:val="000222C6"/>
    <w:rsid w:val="0002549F"/>
    <w:rsid w:val="00042250"/>
    <w:rsid w:val="000468DB"/>
    <w:rsid w:val="0006487A"/>
    <w:rsid w:val="00065F8F"/>
    <w:rsid w:val="00070A43"/>
    <w:rsid w:val="000768F2"/>
    <w:rsid w:val="00087DA4"/>
    <w:rsid w:val="0009184B"/>
    <w:rsid w:val="000928C2"/>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2366D"/>
    <w:rsid w:val="00127581"/>
    <w:rsid w:val="00142216"/>
    <w:rsid w:val="00144D6A"/>
    <w:rsid w:val="0014729F"/>
    <w:rsid w:val="00157BAB"/>
    <w:rsid w:val="001654D1"/>
    <w:rsid w:val="00171C6C"/>
    <w:rsid w:val="00174518"/>
    <w:rsid w:val="0018106D"/>
    <w:rsid w:val="001877A7"/>
    <w:rsid w:val="00191536"/>
    <w:rsid w:val="00196687"/>
    <w:rsid w:val="001A1385"/>
    <w:rsid w:val="001C0962"/>
    <w:rsid w:val="001D5BDF"/>
    <w:rsid w:val="001D7531"/>
    <w:rsid w:val="001E737D"/>
    <w:rsid w:val="001F0592"/>
    <w:rsid w:val="001F7506"/>
    <w:rsid w:val="002006CD"/>
    <w:rsid w:val="00202B36"/>
    <w:rsid w:val="00204B7A"/>
    <w:rsid w:val="00204CDE"/>
    <w:rsid w:val="0021101A"/>
    <w:rsid w:val="00220536"/>
    <w:rsid w:val="00235629"/>
    <w:rsid w:val="00260C38"/>
    <w:rsid w:val="002616C0"/>
    <w:rsid w:val="00263915"/>
    <w:rsid w:val="00265372"/>
    <w:rsid w:val="002662AA"/>
    <w:rsid w:val="00280496"/>
    <w:rsid w:val="00294DC9"/>
    <w:rsid w:val="00295495"/>
    <w:rsid w:val="002A0200"/>
    <w:rsid w:val="002A31DE"/>
    <w:rsid w:val="002B2613"/>
    <w:rsid w:val="002D6D05"/>
    <w:rsid w:val="002F1818"/>
    <w:rsid w:val="002F567B"/>
    <w:rsid w:val="003216A9"/>
    <w:rsid w:val="003342ED"/>
    <w:rsid w:val="00334A00"/>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06867"/>
    <w:rsid w:val="00411F7A"/>
    <w:rsid w:val="00420295"/>
    <w:rsid w:val="004223DE"/>
    <w:rsid w:val="00434489"/>
    <w:rsid w:val="00437085"/>
    <w:rsid w:val="00443880"/>
    <w:rsid w:val="004464F4"/>
    <w:rsid w:val="00457321"/>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2A61"/>
    <w:rsid w:val="005D468D"/>
    <w:rsid w:val="005D5CED"/>
    <w:rsid w:val="005F1A4C"/>
    <w:rsid w:val="005F34E8"/>
    <w:rsid w:val="00600EF8"/>
    <w:rsid w:val="00605688"/>
    <w:rsid w:val="00605CF0"/>
    <w:rsid w:val="006070AF"/>
    <w:rsid w:val="00607E6C"/>
    <w:rsid w:val="006101B1"/>
    <w:rsid w:val="00614E44"/>
    <w:rsid w:val="0062270A"/>
    <w:rsid w:val="00622830"/>
    <w:rsid w:val="00623DA0"/>
    <w:rsid w:val="00630AEF"/>
    <w:rsid w:val="006325F8"/>
    <w:rsid w:val="00633463"/>
    <w:rsid w:val="00634C9A"/>
    <w:rsid w:val="00640A89"/>
    <w:rsid w:val="006440E4"/>
    <w:rsid w:val="006572CB"/>
    <w:rsid w:val="0066343B"/>
    <w:rsid w:val="00664777"/>
    <w:rsid w:val="006748A4"/>
    <w:rsid w:val="00681A31"/>
    <w:rsid w:val="00683E73"/>
    <w:rsid w:val="006A3141"/>
    <w:rsid w:val="006A5E34"/>
    <w:rsid w:val="006B0187"/>
    <w:rsid w:val="006B2422"/>
    <w:rsid w:val="006B2B9A"/>
    <w:rsid w:val="006C1937"/>
    <w:rsid w:val="006F020C"/>
    <w:rsid w:val="007127B7"/>
    <w:rsid w:val="0071798E"/>
    <w:rsid w:val="007416B6"/>
    <w:rsid w:val="00744A37"/>
    <w:rsid w:val="00746F48"/>
    <w:rsid w:val="0075404D"/>
    <w:rsid w:val="0076182A"/>
    <w:rsid w:val="00767B7E"/>
    <w:rsid w:val="007770C3"/>
    <w:rsid w:val="00784D24"/>
    <w:rsid w:val="00785FBA"/>
    <w:rsid w:val="00786E4A"/>
    <w:rsid w:val="007875EB"/>
    <w:rsid w:val="0079426B"/>
    <w:rsid w:val="007B1B95"/>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476A"/>
    <w:rsid w:val="008E707C"/>
    <w:rsid w:val="00900B08"/>
    <w:rsid w:val="00902155"/>
    <w:rsid w:val="00902FA3"/>
    <w:rsid w:val="00923564"/>
    <w:rsid w:val="0092392E"/>
    <w:rsid w:val="009315F9"/>
    <w:rsid w:val="00933499"/>
    <w:rsid w:val="00935C98"/>
    <w:rsid w:val="00943106"/>
    <w:rsid w:val="00946945"/>
    <w:rsid w:val="00951248"/>
    <w:rsid w:val="0095152F"/>
    <w:rsid w:val="00954C49"/>
    <w:rsid w:val="00955E37"/>
    <w:rsid w:val="0097099F"/>
    <w:rsid w:val="00971997"/>
    <w:rsid w:val="00971FFC"/>
    <w:rsid w:val="0098327B"/>
    <w:rsid w:val="0098660A"/>
    <w:rsid w:val="009931C3"/>
    <w:rsid w:val="00993A82"/>
    <w:rsid w:val="009A2E62"/>
    <w:rsid w:val="009B2C43"/>
    <w:rsid w:val="009B32A7"/>
    <w:rsid w:val="009B4EAE"/>
    <w:rsid w:val="009B7573"/>
    <w:rsid w:val="009C22F4"/>
    <w:rsid w:val="009C2A4B"/>
    <w:rsid w:val="009C2E98"/>
    <w:rsid w:val="009C7645"/>
    <w:rsid w:val="009D3447"/>
    <w:rsid w:val="009D4711"/>
    <w:rsid w:val="009F0FB7"/>
    <w:rsid w:val="009F1185"/>
    <w:rsid w:val="009F18CD"/>
    <w:rsid w:val="009F2A13"/>
    <w:rsid w:val="009F7527"/>
    <w:rsid w:val="00A04EB0"/>
    <w:rsid w:val="00A13CC1"/>
    <w:rsid w:val="00A16847"/>
    <w:rsid w:val="00A237D8"/>
    <w:rsid w:val="00A24832"/>
    <w:rsid w:val="00A268C4"/>
    <w:rsid w:val="00A27221"/>
    <w:rsid w:val="00A307CD"/>
    <w:rsid w:val="00A331C8"/>
    <w:rsid w:val="00A40A00"/>
    <w:rsid w:val="00A4142F"/>
    <w:rsid w:val="00A422EB"/>
    <w:rsid w:val="00A42D2B"/>
    <w:rsid w:val="00A45BB7"/>
    <w:rsid w:val="00A52692"/>
    <w:rsid w:val="00A56DF2"/>
    <w:rsid w:val="00A56E6E"/>
    <w:rsid w:val="00A67AB5"/>
    <w:rsid w:val="00A733B2"/>
    <w:rsid w:val="00A741C2"/>
    <w:rsid w:val="00A91760"/>
    <w:rsid w:val="00A93B00"/>
    <w:rsid w:val="00A93C21"/>
    <w:rsid w:val="00A96B60"/>
    <w:rsid w:val="00AB64C9"/>
    <w:rsid w:val="00AB7851"/>
    <w:rsid w:val="00AC3C6A"/>
    <w:rsid w:val="00AD0C25"/>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2C32"/>
    <w:rsid w:val="00B769D3"/>
    <w:rsid w:val="00B77EA6"/>
    <w:rsid w:val="00B81598"/>
    <w:rsid w:val="00B841F1"/>
    <w:rsid w:val="00B944D6"/>
    <w:rsid w:val="00BA5303"/>
    <w:rsid w:val="00BB4DF0"/>
    <w:rsid w:val="00BC289F"/>
    <w:rsid w:val="00BC2D50"/>
    <w:rsid w:val="00BC5361"/>
    <w:rsid w:val="00BC5460"/>
    <w:rsid w:val="00BC6B50"/>
    <w:rsid w:val="00BD0E25"/>
    <w:rsid w:val="00BF5BD6"/>
    <w:rsid w:val="00C03E31"/>
    <w:rsid w:val="00C22BD0"/>
    <w:rsid w:val="00C33E72"/>
    <w:rsid w:val="00C354B2"/>
    <w:rsid w:val="00C35554"/>
    <w:rsid w:val="00C42709"/>
    <w:rsid w:val="00C533CC"/>
    <w:rsid w:val="00C5751C"/>
    <w:rsid w:val="00C61BFC"/>
    <w:rsid w:val="00C62B85"/>
    <w:rsid w:val="00C65438"/>
    <w:rsid w:val="00C82A3E"/>
    <w:rsid w:val="00C87FD8"/>
    <w:rsid w:val="00C91381"/>
    <w:rsid w:val="00C91CBB"/>
    <w:rsid w:val="00C95AD4"/>
    <w:rsid w:val="00CB4E70"/>
    <w:rsid w:val="00CB76AE"/>
    <w:rsid w:val="00CC09B6"/>
    <w:rsid w:val="00CC666F"/>
    <w:rsid w:val="00CD1E3F"/>
    <w:rsid w:val="00CD397B"/>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95026"/>
    <w:rsid w:val="00DA634F"/>
    <w:rsid w:val="00DA65AC"/>
    <w:rsid w:val="00DB1913"/>
    <w:rsid w:val="00DB50AB"/>
    <w:rsid w:val="00DC410D"/>
    <w:rsid w:val="00DC5A81"/>
    <w:rsid w:val="00DC68CA"/>
    <w:rsid w:val="00DC7CBA"/>
    <w:rsid w:val="00DD73B7"/>
    <w:rsid w:val="00DF28BC"/>
    <w:rsid w:val="00DF34B9"/>
    <w:rsid w:val="00E01053"/>
    <w:rsid w:val="00E05904"/>
    <w:rsid w:val="00E07ACF"/>
    <w:rsid w:val="00E331A1"/>
    <w:rsid w:val="00E33202"/>
    <w:rsid w:val="00E336A9"/>
    <w:rsid w:val="00E472B1"/>
    <w:rsid w:val="00E50624"/>
    <w:rsid w:val="00E568DF"/>
    <w:rsid w:val="00E56AF6"/>
    <w:rsid w:val="00E61083"/>
    <w:rsid w:val="00E64269"/>
    <w:rsid w:val="00E82267"/>
    <w:rsid w:val="00E853CE"/>
    <w:rsid w:val="00E867B6"/>
    <w:rsid w:val="00EA010F"/>
    <w:rsid w:val="00EB51B5"/>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2E09"/>
    <w:rsid w:val="00F45853"/>
    <w:rsid w:val="00F51F82"/>
    <w:rsid w:val="00F553EA"/>
    <w:rsid w:val="00F602DF"/>
    <w:rsid w:val="00F72AD2"/>
    <w:rsid w:val="00F754A1"/>
    <w:rsid w:val="00F81FD9"/>
    <w:rsid w:val="00F841AA"/>
    <w:rsid w:val="00F84A94"/>
    <w:rsid w:val="00F87E96"/>
    <w:rsid w:val="00F953F8"/>
    <w:rsid w:val="00FA23E8"/>
    <w:rsid w:val="00FC2A58"/>
    <w:rsid w:val="00FD1999"/>
    <w:rsid w:val="00FD3CC1"/>
    <w:rsid w:val="00FF1E02"/>
    <w:rsid w:val="00FF30B4"/>
    <w:rsid w:val="066E0107"/>
    <w:rsid w:val="07996F6E"/>
    <w:rsid w:val="0A2032A3"/>
    <w:rsid w:val="101860EC"/>
    <w:rsid w:val="10C055FF"/>
    <w:rsid w:val="118107EC"/>
    <w:rsid w:val="13D50BC4"/>
    <w:rsid w:val="16BB723D"/>
    <w:rsid w:val="1BE8440E"/>
    <w:rsid w:val="1D155CEE"/>
    <w:rsid w:val="23860B96"/>
    <w:rsid w:val="240371BF"/>
    <w:rsid w:val="29FD04D3"/>
    <w:rsid w:val="2C8A61B5"/>
    <w:rsid w:val="2DF04E50"/>
    <w:rsid w:val="319F7F4E"/>
    <w:rsid w:val="342B08A5"/>
    <w:rsid w:val="36AA5135"/>
    <w:rsid w:val="37E16F03"/>
    <w:rsid w:val="3B9219FE"/>
    <w:rsid w:val="3D98207C"/>
    <w:rsid w:val="44E268DA"/>
    <w:rsid w:val="4A627F82"/>
    <w:rsid w:val="4B4F25DA"/>
    <w:rsid w:val="4BE068DB"/>
    <w:rsid w:val="4D577224"/>
    <w:rsid w:val="4EAB630A"/>
    <w:rsid w:val="4ECE2238"/>
    <w:rsid w:val="5AF92295"/>
    <w:rsid w:val="5CD71FC4"/>
    <w:rsid w:val="6C4A05C8"/>
    <w:rsid w:val="6E7E3605"/>
    <w:rsid w:val="6FF5CC65"/>
    <w:rsid w:val="715C0E4B"/>
    <w:rsid w:val="72734D90"/>
    <w:rsid w:val="73AD73D5"/>
    <w:rsid w:val="73B6EB34"/>
    <w:rsid w:val="79EE5BA4"/>
    <w:rsid w:val="7A894339"/>
    <w:rsid w:val="7B2E5C1C"/>
    <w:rsid w:val="7EEF11D3"/>
    <w:rsid w:val="7FA30C79"/>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7"/>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18"/>
    <w:qFormat/>
    <w:uiPriority w:val="99"/>
    <w:pPr>
      <w:keepNext/>
      <w:keepLines/>
      <w:spacing w:before="260" w:after="260" w:line="416" w:lineRule="auto"/>
      <w:outlineLvl w:val="1"/>
    </w:pPr>
    <w:rPr>
      <w:rFonts w:ascii="Cambria" w:hAnsi="Cambria"/>
      <w:b/>
      <w:bCs/>
      <w:sz w:val="32"/>
      <w:szCs w:val="32"/>
    </w:rPr>
  </w:style>
  <w:style w:type="paragraph" w:styleId="5">
    <w:name w:val="heading 3"/>
    <w:basedOn w:val="1"/>
    <w:next w:val="1"/>
    <w:link w:val="19"/>
    <w:qFormat/>
    <w:uiPriority w:val="9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6"/>
    <w:qFormat/>
    <w:uiPriority w:val="99"/>
    <w:pPr>
      <w:spacing w:beforeLines="30"/>
    </w:pPr>
    <w:rPr>
      <w:rFonts w:ascii="仿宋_GB2312" w:eastAsia="仿宋_GB2312"/>
      <w:kern w:val="0"/>
      <w:sz w:val="24"/>
      <w:szCs w:val="20"/>
    </w:rPr>
  </w:style>
  <w:style w:type="paragraph" w:styleId="6">
    <w:name w:val="toc 3"/>
    <w:basedOn w:val="1"/>
    <w:next w:val="1"/>
    <w:qFormat/>
    <w:uiPriority w:val="99"/>
    <w:pPr>
      <w:tabs>
        <w:tab w:val="right" w:leader="dot" w:pos="8296"/>
      </w:tabs>
      <w:ind w:left="840" w:leftChars="400"/>
    </w:pPr>
  </w:style>
  <w:style w:type="paragraph" w:styleId="7">
    <w:name w:val="Balloon Text"/>
    <w:basedOn w:val="1"/>
    <w:link w:val="21"/>
    <w:semiHidden/>
    <w:qFormat/>
    <w:uiPriority w:val="99"/>
    <w:rPr>
      <w:sz w:val="18"/>
      <w:szCs w:val="18"/>
    </w:rPr>
  </w:style>
  <w:style w:type="paragraph" w:styleId="8">
    <w:name w:val="footer"/>
    <w:basedOn w:val="1"/>
    <w:link w:val="25"/>
    <w:qFormat/>
    <w:uiPriority w:val="99"/>
    <w:pPr>
      <w:tabs>
        <w:tab w:val="center" w:pos="4153"/>
        <w:tab w:val="right" w:pos="8306"/>
      </w:tabs>
      <w:snapToGrid w:val="0"/>
      <w:jc w:val="left"/>
    </w:pPr>
    <w:rPr>
      <w:rFonts w:ascii="Calibri" w:hAnsi="Calibri"/>
      <w:kern w:val="0"/>
      <w:sz w:val="18"/>
      <w:szCs w:val="20"/>
    </w:rPr>
  </w:style>
  <w:style w:type="paragraph" w:styleId="9">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0">
    <w:name w:val="toc 1"/>
    <w:basedOn w:val="1"/>
    <w:next w:val="1"/>
    <w:qFormat/>
    <w:uiPriority w:val="99"/>
    <w:pPr>
      <w:tabs>
        <w:tab w:val="right" w:leader="dot" w:pos="8296"/>
      </w:tabs>
      <w:spacing w:before="93"/>
      <w:jc w:val="center"/>
    </w:pPr>
    <w:rPr>
      <w:rFonts w:ascii="仿宋" w:hAnsi="仿宋" w:eastAsia="仿宋"/>
      <w:sz w:val="28"/>
      <w:szCs w:val="28"/>
    </w:rPr>
  </w:style>
  <w:style w:type="paragraph" w:styleId="11">
    <w:name w:val="toc 2"/>
    <w:basedOn w:val="1"/>
    <w:next w:val="1"/>
    <w:qFormat/>
    <w:uiPriority w:val="99"/>
    <w:pPr>
      <w:tabs>
        <w:tab w:val="right" w:leader="dot" w:pos="8296"/>
      </w:tabs>
      <w:ind w:left="420" w:leftChars="200"/>
    </w:pPr>
  </w:style>
  <w:style w:type="paragraph" w:styleId="12">
    <w:name w:val="Normal (Web)"/>
    <w:basedOn w:val="1"/>
    <w:qFormat/>
    <w:uiPriority w:val="99"/>
    <w:pPr>
      <w:spacing w:before="100" w:beforeAutospacing="1" w:after="100" w:afterAutospacing="1"/>
      <w:jc w:val="left"/>
    </w:pPr>
    <w:rPr>
      <w:rFonts w:ascii="Calibri" w:hAnsi="Calibri"/>
      <w:kern w:val="0"/>
      <w:sz w:val="24"/>
    </w:rPr>
  </w:style>
  <w:style w:type="character" w:styleId="15">
    <w:name w:val="Strong"/>
    <w:qFormat/>
    <w:uiPriority w:val="99"/>
    <w:rPr>
      <w:rFonts w:cs="Times New Roman"/>
      <w:b/>
    </w:rPr>
  </w:style>
  <w:style w:type="character" w:styleId="16">
    <w:name w:val="Hyperlink"/>
    <w:qFormat/>
    <w:uiPriority w:val="99"/>
    <w:rPr>
      <w:rFonts w:cs="Times New Roman"/>
      <w:color w:val="0000FF"/>
      <w:u w:val="single"/>
    </w:rPr>
  </w:style>
  <w:style w:type="character" w:customStyle="1" w:styleId="17">
    <w:name w:val="标题 1 Char"/>
    <w:link w:val="3"/>
    <w:qFormat/>
    <w:locked/>
    <w:uiPriority w:val="99"/>
    <w:rPr>
      <w:rFonts w:ascii="Times New Roman" w:hAnsi="Times New Roman" w:cs="Times New Roman"/>
      <w:b/>
      <w:bCs/>
      <w:kern w:val="44"/>
      <w:sz w:val="44"/>
      <w:szCs w:val="44"/>
    </w:rPr>
  </w:style>
  <w:style w:type="character" w:customStyle="1" w:styleId="18">
    <w:name w:val="标题 2 Char"/>
    <w:link w:val="4"/>
    <w:qFormat/>
    <w:locked/>
    <w:uiPriority w:val="99"/>
    <w:rPr>
      <w:rFonts w:ascii="Cambria" w:hAnsi="Cambria" w:eastAsia="宋体" w:cs="Times New Roman"/>
      <w:b/>
      <w:bCs/>
      <w:kern w:val="2"/>
      <w:sz w:val="32"/>
      <w:szCs w:val="32"/>
    </w:rPr>
  </w:style>
  <w:style w:type="character" w:customStyle="1" w:styleId="19">
    <w:name w:val="标题 3 Char"/>
    <w:link w:val="5"/>
    <w:qFormat/>
    <w:locked/>
    <w:uiPriority w:val="99"/>
    <w:rPr>
      <w:rFonts w:ascii="Times New Roman" w:hAnsi="Times New Roman" w:cs="Times New Roman"/>
      <w:b/>
      <w:bCs/>
      <w:kern w:val="2"/>
      <w:sz w:val="32"/>
      <w:szCs w:val="32"/>
    </w:rPr>
  </w:style>
  <w:style w:type="character" w:customStyle="1" w:styleId="20">
    <w:name w:val="Body Text Char"/>
    <w:semiHidden/>
    <w:qFormat/>
    <w:locked/>
    <w:uiPriority w:val="99"/>
    <w:rPr>
      <w:rFonts w:ascii="Times New Roman" w:hAnsi="Times New Roman" w:cs="Times New Roman"/>
      <w:sz w:val="24"/>
      <w:szCs w:val="24"/>
    </w:rPr>
  </w:style>
  <w:style w:type="character" w:customStyle="1" w:styleId="21">
    <w:name w:val="批注框文本 Char"/>
    <w:link w:val="7"/>
    <w:semiHidden/>
    <w:qFormat/>
    <w:locked/>
    <w:uiPriority w:val="99"/>
    <w:rPr>
      <w:rFonts w:ascii="Times New Roman" w:hAnsi="Times New Roman" w:cs="Times New Roman"/>
      <w:kern w:val="2"/>
      <w:sz w:val="18"/>
      <w:szCs w:val="18"/>
    </w:rPr>
  </w:style>
  <w:style w:type="character" w:customStyle="1" w:styleId="22">
    <w:name w:val="Footer Char"/>
    <w:semiHidden/>
    <w:qFormat/>
    <w:locked/>
    <w:uiPriority w:val="99"/>
    <w:rPr>
      <w:rFonts w:ascii="Times New Roman" w:hAnsi="Times New Roman" w:cs="Times New Roman"/>
      <w:sz w:val="18"/>
      <w:szCs w:val="18"/>
    </w:rPr>
  </w:style>
  <w:style w:type="character" w:customStyle="1" w:styleId="23">
    <w:name w:val="Header Char"/>
    <w:semiHidden/>
    <w:qFormat/>
    <w:locked/>
    <w:uiPriority w:val="99"/>
    <w:rPr>
      <w:rFonts w:ascii="Times New Roman" w:hAnsi="Times New Roman" w:cs="Times New Roman"/>
      <w:sz w:val="18"/>
      <w:szCs w:val="18"/>
    </w:rPr>
  </w:style>
  <w:style w:type="character" w:customStyle="1" w:styleId="24">
    <w:name w:val="页眉 Char"/>
    <w:link w:val="9"/>
    <w:semiHidden/>
    <w:qFormat/>
    <w:locked/>
    <w:uiPriority w:val="99"/>
    <w:rPr>
      <w:sz w:val="18"/>
    </w:rPr>
  </w:style>
  <w:style w:type="character" w:customStyle="1" w:styleId="25">
    <w:name w:val="页脚 Char"/>
    <w:link w:val="8"/>
    <w:qFormat/>
    <w:locked/>
    <w:uiPriority w:val="99"/>
    <w:rPr>
      <w:sz w:val="18"/>
    </w:rPr>
  </w:style>
  <w:style w:type="character" w:customStyle="1" w:styleId="26">
    <w:name w:val="正文文本 Char"/>
    <w:link w:val="2"/>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99"/>
    <w:pPr>
      <w:ind w:firstLine="420" w:firstLineChars="200"/>
    </w:pPr>
  </w:style>
  <w:style w:type="paragraph" w:customStyle="1" w:styleId="29">
    <w:name w:val="TOC 标题1"/>
    <w:basedOn w:val="3"/>
    <w:next w:val="1"/>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30">
    <w:name w:val="TOC 标题2"/>
    <w:basedOn w:val="3"/>
    <w:next w:val="1"/>
    <w:qFormat/>
    <w:uiPriority w:val="99"/>
    <w:pPr>
      <w:widowControl/>
      <w:spacing w:before="480" w:after="0" w:line="276" w:lineRule="auto"/>
      <w:jc w:val="left"/>
      <w:outlineLvl w:val="9"/>
    </w:pPr>
    <w:rPr>
      <w:rFonts w:ascii="Cambria" w:hAnsi="Cambria"/>
      <w:color w:val="365F91"/>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4.emf"/><Relationship Id="rId8" Type="http://schemas.openxmlformats.org/officeDocument/2006/relationships/image" Target="media/image3.emf"/><Relationship Id="rId7" Type="http://schemas.openxmlformats.org/officeDocument/2006/relationships/image" Target="media/image2.emf"/><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5.e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49CA42-7F9B-4DB4-8C7E-A5ACE1767410}">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33</Pages>
  <Words>148</Words>
  <Characters>270</Characters>
  <Lines>100</Lines>
  <Paragraphs>28</Paragraphs>
  <TotalTime>197</TotalTime>
  <ScaleCrop>false</ScaleCrop>
  <LinksUpToDate>false</LinksUpToDate>
  <CharactersWithSpaces>271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2022-10-07T01:09:00Z</dcterms:created>
  <dc:creator>曹颖</dc:creator>
  <cp:lastModifiedBy>崽崽</cp:lastModifiedBy>
  <cp:lastPrinted>2022-08-08T09:11:00Z</cp:lastPrinted>
  <dcterms:modified xsi:type="dcterms:W3CDTF">2026-02-24T08:36:40Z</dcterms:modified>
  <dc:title>四川省***</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eyJoZGlkIjoiMjA3NmY4MmM1ZjQ4OGNhMDQ1MjhhMGJkNDIwNTAzNDQiLCJ1c2VySWQiOiI3NzgwNTYyMjcifQ==</vt:lpwstr>
  </property>
  <property fmtid="{D5CDD505-2E9C-101B-9397-08002B2CF9AE}" pid="4" name="ICV">
    <vt:lpwstr>592AE1F91C8C49B8BAA88BF2A95CF36D_12</vt:lpwstr>
  </property>
</Properties>
</file>