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0035B">
      <w:pPr>
        <w:spacing w:line="600" w:lineRule="exact"/>
        <w:jc w:val="center"/>
        <w:outlineLvl w:val="0"/>
        <w:rPr>
          <w:rFonts w:ascii="方正小标宋简体" w:hAnsi="宋体" w:eastAsia="方正小标宋简体"/>
          <w:color w:val="000000"/>
          <w:sz w:val="72"/>
          <w:szCs w:val="72"/>
        </w:rPr>
      </w:pPr>
      <w:bookmarkStart w:id="0" w:name="_Toc15306267"/>
    </w:p>
    <w:p w14:paraId="1D5E1B3E">
      <w:pPr>
        <w:spacing w:line="600" w:lineRule="exact"/>
        <w:jc w:val="center"/>
        <w:outlineLvl w:val="0"/>
        <w:rPr>
          <w:rFonts w:ascii="方正小标宋简体" w:hAnsi="宋体" w:eastAsia="方正小标宋简体"/>
          <w:color w:val="000000"/>
          <w:sz w:val="72"/>
          <w:szCs w:val="72"/>
        </w:rPr>
      </w:pPr>
    </w:p>
    <w:p w14:paraId="7C4FDD86">
      <w:pPr>
        <w:spacing w:line="600" w:lineRule="exact"/>
        <w:jc w:val="center"/>
        <w:outlineLvl w:val="0"/>
        <w:rPr>
          <w:rFonts w:ascii="方正小标宋简体" w:hAnsi="宋体" w:eastAsia="方正小标宋简体"/>
          <w:color w:val="000000"/>
          <w:sz w:val="72"/>
          <w:szCs w:val="72"/>
        </w:rPr>
      </w:pPr>
    </w:p>
    <w:p w14:paraId="3DC39BAF">
      <w:pPr>
        <w:spacing w:line="600" w:lineRule="exact"/>
        <w:jc w:val="center"/>
        <w:outlineLvl w:val="0"/>
        <w:rPr>
          <w:rFonts w:ascii="方正小标宋简体" w:hAnsi="宋体" w:eastAsia="方正小标宋简体"/>
          <w:color w:val="000000"/>
          <w:sz w:val="72"/>
          <w:szCs w:val="72"/>
        </w:rPr>
      </w:pPr>
    </w:p>
    <w:p w14:paraId="784B076E">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193"/>
      <w:bookmarkStart w:id="3" w:name="_Toc15396597"/>
      <w:bookmarkStart w:id="4" w:name="_Toc15377425"/>
      <w:bookmarkStart w:id="5" w:name="_Toc15396475"/>
      <w:bookmarkStart w:id="6" w:name="_Toc52180062"/>
      <w:r>
        <w:rPr>
          <w:rFonts w:ascii="黑体" w:hAnsi="黑体" w:eastAsia="黑体" w:cs="黑体"/>
          <w:color w:val="000000"/>
          <w:sz w:val="72"/>
          <w:szCs w:val="72"/>
        </w:rPr>
        <w:t>20</w:t>
      </w:r>
      <w:r>
        <w:rPr>
          <w:rFonts w:hint="eastAsia" w:ascii="黑体" w:hAnsi="黑体" w:eastAsia="黑体" w:cs="黑体"/>
          <w:color w:val="000000"/>
          <w:sz w:val="72"/>
          <w:szCs w:val="72"/>
          <w:lang w:val="en-US" w:eastAsia="zh-CN"/>
        </w:rPr>
        <w:t>20</w:t>
      </w:r>
      <w:r>
        <w:rPr>
          <w:rFonts w:hint="eastAsia" w:ascii="方正小标宋简体" w:hAnsi="宋体" w:eastAsia="方正小标宋简体" w:cs="方正小标宋简体"/>
          <w:color w:val="000000"/>
          <w:sz w:val="72"/>
          <w:szCs w:val="72"/>
        </w:rPr>
        <w:t>年度</w:t>
      </w:r>
      <w:bookmarkEnd w:id="1"/>
      <w:bookmarkEnd w:id="2"/>
      <w:bookmarkEnd w:id="3"/>
      <w:bookmarkEnd w:id="4"/>
      <w:bookmarkEnd w:id="5"/>
      <w:bookmarkEnd w:id="6"/>
    </w:p>
    <w:p w14:paraId="54C3D0DB">
      <w:pPr>
        <w:adjustRightInd w:val="0"/>
        <w:snapToGrid w:val="0"/>
        <w:spacing w:line="360" w:lineRule="auto"/>
        <w:jc w:val="center"/>
        <w:outlineLvl w:val="0"/>
        <w:rPr>
          <w:rFonts w:ascii="方正小标宋简体" w:hAnsi="宋体" w:eastAsia="方正小标宋简体"/>
          <w:color w:val="000000"/>
          <w:sz w:val="72"/>
          <w:szCs w:val="72"/>
        </w:rPr>
      </w:pPr>
      <w:bookmarkStart w:id="7" w:name="_Toc52180063"/>
      <w:bookmarkStart w:id="8" w:name="_Toc15377426"/>
      <w:bookmarkStart w:id="9" w:name="_Toc15396598"/>
      <w:bookmarkStart w:id="10" w:name="_Toc15378442"/>
      <w:bookmarkStart w:id="11" w:name="_Toc15396476"/>
      <w:bookmarkStart w:id="12" w:name="_Toc15377194"/>
      <w:r>
        <w:rPr>
          <w:rFonts w:hint="eastAsia" w:ascii="方正小标宋简体" w:hAnsi="宋体" w:eastAsia="方正小标宋简体" w:cs="方正小标宋简体"/>
          <w:color w:val="000000"/>
          <w:sz w:val="72"/>
          <w:szCs w:val="72"/>
        </w:rPr>
        <w:t>中共盐边县</w:t>
      </w:r>
      <w:bookmarkEnd w:id="0"/>
      <w:bookmarkStart w:id="13" w:name="_Toc15306268"/>
      <w:r>
        <w:rPr>
          <w:rFonts w:hint="eastAsia" w:ascii="方正小标宋简体" w:hAnsi="宋体" w:eastAsia="方正小标宋简体" w:cs="方正小标宋简体"/>
          <w:color w:val="000000"/>
          <w:sz w:val="72"/>
          <w:szCs w:val="72"/>
        </w:rPr>
        <w:t>委政法委员会部门决算</w:t>
      </w:r>
      <w:bookmarkEnd w:id="7"/>
      <w:bookmarkEnd w:id="8"/>
      <w:bookmarkEnd w:id="9"/>
      <w:bookmarkEnd w:id="10"/>
      <w:bookmarkEnd w:id="11"/>
      <w:bookmarkEnd w:id="12"/>
      <w:bookmarkEnd w:id="13"/>
    </w:p>
    <w:p w14:paraId="5147FD27">
      <w:pPr>
        <w:widowControl/>
        <w:spacing w:line="640" w:lineRule="exact"/>
        <w:jc w:val="center"/>
        <w:rPr>
          <w:rFonts w:eastAsia="方正小标宋_GBK"/>
          <w:color w:val="000000"/>
          <w:sz w:val="44"/>
          <w:szCs w:val="44"/>
        </w:rPr>
      </w:pPr>
      <w:r>
        <w:rPr>
          <w:rFonts w:ascii="方正小标宋简体" w:hAnsi="宋体" w:eastAsia="方正小标宋简体"/>
          <w:color w:val="000000"/>
          <w:sz w:val="36"/>
          <w:szCs w:val="36"/>
        </w:rPr>
        <w:br w:type="page"/>
      </w:r>
      <w:bookmarkStart w:id="14" w:name="_Toc15396599"/>
      <w:bookmarkStart w:id="15" w:name="_Toc15377196"/>
      <w:r>
        <w:rPr>
          <w:rFonts w:eastAsia="方正小标宋_GBK"/>
          <w:color w:val="000000"/>
          <w:sz w:val="44"/>
          <w:szCs w:val="44"/>
        </w:rPr>
        <w:t>目  录</w:t>
      </w:r>
    </w:p>
    <w:p w14:paraId="5B41AEA7">
      <w:pPr>
        <w:spacing w:line="640" w:lineRule="exact"/>
        <w:jc w:val="center"/>
        <w:rPr>
          <w:rFonts w:eastAsia="方正楷体_GBK"/>
          <w:sz w:val="32"/>
          <w:szCs w:val="32"/>
        </w:rPr>
      </w:pPr>
      <w:r>
        <w:rPr>
          <w:rFonts w:eastAsia="方正楷体_GBK"/>
          <w:sz w:val="32"/>
          <w:szCs w:val="32"/>
        </w:rPr>
        <w:t>公开时间：2021年</w:t>
      </w:r>
      <w:r>
        <w:rPr>
          <w:rFonts w:hint="eastAsia" w:eastAsia="方正楷体_GBK"/>
          <w:sz w:val="32"/>
          <w:szCs w:val="32"/>
          <w:lang w:val="en-US" w:eastAsia="zh-CN"/>
        </w:rPr>
        <w:t>10</w:t>
      </w:r>
      <w:r>
        <w:rPr>
          <w:rFonts w:eastAsia="方正楷体_GBK"/>
          <w:sz w:val="32"/>
          <w:szCs w:val="32"/>
        </w:rPr>
        <w:t xml:space="preserve"> 月</w:t>
      </w:r>
      <w:r>
        <w:rPr>
          <w:rFonts w:hint="eastAsia" w:eastAsia="方正楷体_GBK"/>
          <w:sz w:val="32"/>
          <w:szCs w:val="32"/>
          <w:lang w:val="en-US" w:eastAsia="zh-CN"/>
        </w:rPr>
        <w:t>20</w:t>
      </w:r>
      <w:r>
        <w:rPr>
          <w:rFonts w:eastAsia="方正楷体_GBK"/>
          <w:sz w:val="32"/>
          <w:szCs w:val="32"/>
        </w:rPr>
        <w:t xml:space="preserve"> 日</w:t>
      </w:r>
    </w:p>
    <w:p w14:paraId="1B37C938">
      <w:pPr>
        <w:pStyle w:val="13"/>
        <w:rPr>
          <w:rFonts w:hint="eastAsia" w:ascii="仿宋_GB2312" w:hAnsi="仿宋_GB2312" w:eastAsia="仿宋_GB2312" w:cs="仿宋_GB2312"/>
          <w:b/>
          <w:bCs/>
          <w:sz w:val="32"/>
          <w:szCs w:val="32"/>
        </w:rPr>
      </w:pPr>
    </w:p>
    <w:p w14:paraId="1622DE30">
      <w:pPr>
        <w:spacing w:line="560" w:lineRule="exact"/>
        <w:ind w:firstLine="640" w:firstLineChars="200"/>
        <w:rPr>
          <w:rFonts w:hint="default" w:eastAsia="黑体"/>
          <w:sz w:val="32"/>
          <w:szCs w:val="32"/>
          <w:lang w:val="en-US" w:eastAsia="zh-CN"/>
        </w:rPr>
      </w:pPr>
      <w:r>
        <w:rPr>
          <w:rFonts w:eastAsia="黑体"/>
          <w:sz w:val="32"/>
          <w:szCs w:val="32"/>
        </w:rPr>
        <w:t>第一部分 部门概况</w:t>
      </w:r>
      <w:r>
        <w:rPr>
          <w:rFonts w:hint="eastAsia" w:eastAsia="黑体"/>
          <w:sz w:val="32"/>
          <w:szCs w:val="32"/>
          <w:lang w:val="en-US" w:eastAsia="zh-CN"/>
        </w:rPr>
        <w:t>........................................................4</w:t>
      </w:r>
    </w:p>
    <w:p w14:paraId="7EA61259">
      <w:pPr>
        <w:spacing w:line="560" w:lineRule="exact"/>
        <w:ind w:firstLine="640" w:firstLineChars="200"/>
        <w:rPr>
          <w:rFonts w:hint="default" w:eastAsia="仿宋_GB2312"/>
          <w:sz w:val="32"/>
          <w:szCs w:val="32"/>
          <w:lang w:val="en-US" w:eastAsia="zh-CN"/>
        </w:rPr>
      </w:pPr>
      <w:r>
        <w:rPr>
          <w:rFonts w:eastAsia="仿宋_GB2312"/>
          <w:sz w:val="32"/>
          <w:szCs w:val="32"/>
        </w:rPr>
        <w:t>一、基本职能及主要工作</w:t>
      </w:r>
      <w:r>
        <w:rPr>
          <w:rFonts w:hint="eastAsia" w:eastAsia="仿宋_GB2312"/>
          <w:sz w:val="32"/>
          <w:szCs w:val="32"/>
          <w:lang w:val="en-US" w:eastAsia="zh-CN"/>
        </w:rPr>
        <w:t>..............................................4</w:t>
      </w:r>
    </w:p>
    <w:p w14:paraId="284F23D2">
      <w:pPr>
        <w:spacing w:line="560" w:lineRule="exact"/>
        <w:ind w:firstLine="640" w:firstLineChars="200"/>
        <w:rPr>
          <w:rFonts w:hint="eastAsia" w:eastAsia="仿宋_GB2312"/>
          <w:sz w:val="32"/>
          <w:szCs w:val="32"/>
          <w:lang w:val="en-US" w:eastAsia="zh-CN"/>
        </w:rPr>
      </w:pPr>
      <w:r>
        <w:rPr>
          <w:rFonts w:eastAsia="仿宋_GB2312"/>
          <w:sz w:val="32"/>
          <w:szCs w:val="32"/>
        </w:rPr>
        <w:t>二、机构设置</w:t>
      </w:r>
      <w:r>
        <w:rPr>
          <w:rFonts w:hint="eastAsia" w:eastAsia="仿宋_GB2312"/>
          <w:sz w:val="32"/>
          <w:szCs w:val="32"/>
          <w:lang w:val="en-US" w:eastAsia="zh-CN"/>
        </w:rPr>
        <w:t>................................................................12</w:t>
      </w:r>
    </w:p>
    <w:p w14:paraId="491FEC07">
      <w:pPr>
        <w:spacing w:line="560" w:lineRule="exact"/>
        <w:ind w:firstLine="640" w:firstLineChars="200"/>
        <w:rPr>
          <w:rFonts w:hint="default" w:eastAsia="黑体"/>
          <w:sz w:val="32"/>
          <w:szCs w:val="32"/>
          <w:lang w:val="en-US" w:eastAsia="zh-CN"/>
        </w:rPr>
      </w:pPr>
      <w:r>
        <w:rPr>
          <w:rFonts w:eastAsia="黑体"/>
          <w:sz w:val="32"/>
          <w:szCs w:val="32"/>
        </w:rPr>
        <w:t>第二</w:t>
      </w:r>
      <w:r>
        <w:rPr>
          <w:rFonts w:hint="eastAsia" w:eastAsia="黑体"/>
          <w:sz w:val="32"/>
          <w:szCs w:val="32"/>
          <w:lang w:eastAsia="zh-CN"/>
        </w:rPr>
        <w:t>部分</w:t>
      </w:r>
      <w:r>
        <w:rPr>
          <w:rFonts w:eastAsia="黑体"/>
          <w:sz w:val="32"/>
          <w:szCs w:val="32"/>
        </w:rPr>
        <w:t>部门决算情况说明</w:t>
      </w:r>
      <w:r>
        <w:rPr>
          <w:rFonts w:hint="eastAsia" w:eastAsia="黑体"/>
          <w:sz w:val="32"/>
          <w:szCs w:val="32"/>
          <w:lang w:val="en-US" w:eastAsia="zh-CN"/>
        </w:rPr>
        <w:t>.....................................13</w:t>
      </w:r>
    </w:p>
    <w:p w14:paraId="7547326B">
      <w:pPr>
        <w:spacing w:line="560" w:lineRule="exact"/>
        <w:ind w:firstLine="640" w:firstLineChars="200"/>
        <w:rPr>
          <w:rFonts w:hint="default" w:eastAsia="仿宋_GB2312"/>
          <w:sz w:val="32"/>
          <w:szCs w:val="32"/>
          <w:lang w:val="en-US" w:eastAsia="zh-CN"/>
        </w:rPr>
      </w:pPr>
      <w:r>
        <w:rPr>
          <w:rFonts w:eastAsia="仿宋_GB2312"/>
          <w:sz w:val="32"/>
          <w:szCs w:val="32"/>
        </w:rPr>
        <w:t>一、收入支出决算总体情况说明</w:t>
      </w:r>
      <w:r>
        <w:rPr>
          <w:rFonts w:hint="eastAsia" w:eastAsia="仿宋_GB2312"/>
          <w:sz w:val="32"/>
          <w:szCs w:val="32"/>
          <w:lang w:val="en-US" w:eastAsia="zh-CN"/>
        </w:rPr>
        <w:t>.................................13</w:t>
      </w:r>
    </w:p>
    <w:p w14:paraId="4386C6F7">
      <w:pPr>
        <w:spacing w:line="560" w:lineRule="exact"/>
        <w:ind w:firstLine="640" w:firstLineChars="200"/>
        <w:rPr>
          <w:rFonts w:hint="default" w:eastAsia="仿宋_GB2312"/>
          <w:sz w:val="32"/>
          <w:szCs w:val="32"/>
          <w:lang w:val="en-US" w:eastAsia="zh-CN"/>
        </w:rPr>
      </w:pPr>
      <w:r>
        <w:rPr>
          <w:rFonts w:eastAsia="仿宋_GB2312"/>
          <w:sz w:val="32"/>
          <w:szCs w:val="32"/>
        </w:rPr>
        <w:t>二、收入决算情况说明</w:t>
      </w:r>
      <w:r>
        <w:rPr>
          <w:rFonts w:hint="eastAsia" w:eastAsia="仿宋_GB2312"/>
          <w:sz w:val="32"/>
          <w:szCs w:val="32"/>
          <w:lang w:val="en-US" w:eastAsia="zh-CN"/>
        </w:rPr>
        <w:t>.................................................13</w:t>
      </w:r>
    </w:p>
    <w:p w14:paraId="0DFD6FB5">
      <w:pPr>
        <w:spacing w:line="560" w:lineRule="exact"/>
        <w:ind w:firstLine="640" w:firstLineChars="200"/>
        <w:rPr>
          <w:rFonts w:hint="default" w:eastAsia="仿宋_GB2312"/>
          <w:sz w:val="32"/>
          <w:szCs w:val="32"/>
          <w:lang w:val="en-US" w:eastAsia="zh-CN"/>
        </w:rPr>
      </w:pPr>
      <w:r>
        <w:rPr>
          <w:rFonts w:eastAsia="仿宋_GB2312"/>
          <w:sz w:val="32"/>
          <w:szCs w:val="32"/>
        </w:rPr>
        <w:t>三、支出决算情况说明</w:t>
      </w:r>
      <w:r>
        <w:rPr>
          <w:rFonts w:hint="eastAsia" w:eastAsia="仿宋_GB2312"/>
          <w:sz w:val="32"/>
          <w:szCs w:val="32"/>
          <w:lang w:val="en-US" w:eastAsia="zh-CN"/>
        </w:rPr>
        <w:t>.................................................14</w:t>
      </w:r>
    </w:p>
    <w:p w14:paraId="655B346B">
      <w:pPr>
        <w:spacing w:line="560" w:lineRule="exact"/>
        <w:ind w:left="638" w:leftChars="304" w:firstLine="0" w:firstLineChars="0"/>
        <w:rPr>
          <w:rFonts w:hint="eastAsia" w:eastAsia="仿宋_GB2312"/>
          <w:sz w:val="32"/>
          <w:szCs w:val="32"/>
          <w:lang w:val="en-US" w:eastAsia="zh-CN"/>
        </w:rPr>
      </w:pPr>
      <w:r>
        <w:rPr>
          <w:rFonts w:eastAsia="仿宋_GB2312"/>
          <w:sz w:val="32"/>
          <w:szCs w:val="32"/>
        </w:rPr>
        <w:t>四、财政拨款收入支出决算总体情况说明</w:t>
      </w:r>
      <w:r>
        <w:rPr>
          <w:rFonts w:hint="eastAsia" w:eastAsia="仿宋_GB2312"/>
          <w:sz w:val="32"/>
          <w:szCs w:val="32"/>
          <w:lang w:val="en-US" w:eastAsia="zh-CN"/>
        </w:rPr>
        <w:t>.................14</w:t>
      </w:r>
    </w:p>
    <w:p w14:paraId="3793FB1C">
      <w:pPr>
        <w:spacing w:line="560" w:lineRule="exact"/>
        <w:ind w:left="638" w:leftChars="304" w:firstLine="0" w:firstLineChars="0"/>
        <w:rPr>
          <w:rFonts w:hint="default" w:eastAsia="仿宋_GB2312"/>
          <w:sz w:val="32"/>
          <w:szCs w:val="32"/>
          <w:lang w:val="en-US" w:eastAsia="zh-CN"/>
        </w:rPr>
      </w:pPr>
      <w:r>
        <w:rPr>
          <w:rFonts w:eastAsia="仿宋_GB2312"/>
          <w:sz w:val="32"/>
          <w:szCs w:val="32"/>
        </w:rPr>
        <w:t>五、一般公共预算财政拨款支出决算情况说明</w:t>
      </w:r>
      <w:r>
        <w:rPr>
          <w:rFonts w:hint="eastAsia" w:eastAsia="仿宋_GB2312"/>
          <w:sz w:val="32"/>
          <w:szCs w:val="32"/>
          <w:lang w:val="en-US" w:eastAsia="zh-CN"/>
        </w:rPr>
        <w:t>.........15</w:t>
      </w:r>
    </w:p>
    <w:p w14:paraId="10A2FB34">
      <w:pPr>
        <w:spacing w:line="560" w:lineRule="exact"/>
        <w:ind w:firstLine="640" w:firstLineChars="200"/>
        <w:rPr>
          <w:rFonts w:hint="default" w:eastAsia="仿宋_GB2312"/>
          <w:sz w:val="32"/>
          <w:szCs w:val="32"/>
          <w:lang w:val="en-US" w:eastAsia="zh-CN"/>
        </w:rPr>
      </w:pPr>
      <w:r>
        <w:rPr>
          <w:rFonts w:eastAsia="仿宋_GB2312"/>
          <w:sz w:val="32"/>
          <w:szCs w:val="32"/>
        </w:rPr>
        <w:t>六、一般公共预算财政拨款基本支出决算情况说明</w:t>
      </w:r>
      <w:r>
        <w:rPr>
          <w:rFonts w:hint="eastAsia" w:eastAsia="仿宋_GB2312"/>
          <w:sz w:val="32"/>
          <w:szCs w:val="32"/>
          <w:lang w:eastAsia="zh-CN"/>
        </w:rPr>
        <w:t>。</w:t>
      </w:r>
      <w:r>
        <w:rPr>
          <w:rFonts w:hint="eastAsia" w:eastAsia="仿宋_GB2312"/>
          <w:sz w:val="32"/>
          <w:szCs w:val="32"/>
          <w:lang w:val="en-US" w:eastAsia="zh-CN"/>
        </w:rPr>
        <w:t>17</w:t>
      </w:r>
    </w:p>
    <w:p w14:paraId="3EBD314F">
      <w:pPr>
        <w:spacing w:line="560" w:lineRule="exact"/>
        <w:ind w:firstLine="640" w:firstLineChars="200"/>
        <w:rPr>
          <w:rFonts w:hint="default" w:eastAsia="仿宋_GB2312"/>
          <w:sz w:val="32"/>
          <w:szCs w:val="32"/>
          <w:lang w:val="en-US" w:eastAsia="zh-CN"/>
        </w:rPr>
      </w:pPr>
      <w:r>
        <w:rPr>
          <w:rFonts w:eastAsia="仿宋_GB2312"/>
          <w:sz w:val="32"/>
          <w:szCs w:val="32"/>
        </w:rPr>
        <w:t>七、“三公”经费财政拨款支出决算情况说明</w:t>
      </w:r>
      <w:r>
        <w:rPr>
          <w:rFonts w:hint="eastAsia" w:eastAsia="仿宋_GB2312"/>
          <w:sz w:val="32"/>
          <w:szCs w:val="32"/>
          <w:lang w:val="en-US" w:eastAsia="zh-CN"/>
        </w:rPr>
        <w:t>..............18</w:t>
      </w:r>
    </w:p>
    <w:p w14:paraId="55447220">
      <w:pPr>
        <w:spacing w:line="560" w:lineRule="exact"/>
        <w:ind w:firstLine="640" w:firstLineChars="200"/>
        <w:rPr>
          <w:rFonts w:hint="default" w:eastAsia="仿宋_GB2312"/>
          <w:sz w:val="32"/>
          <w:szCs w:val="32"/>
          <w:lang w:val="en-US" w:eastAsia="zh-CN"/>
        </w:rPr>
      </w:pPr>
      <w:r>
        <w:rPr>
          <w:rFonts w:eastAsia="仿宋_GB2312"/>
          <w:sz w:val="32"/>
          <w:szCs w:val="32"/>
        </w:rPr>
        <w:t>八、政府性基金预算支出决算情况说明</w:t>
      </w:r>
      <w:r>
        <w:rPr>
          <w:rFonts w:hint="eastAsia" w:eastAsia="仿宋_GB2312"/>
          <w:sz w:val="32"/>
          <w:szCs w:val="32"/>
          <w:lang w:val="en-US" w:eastAsia="zh-CN"/>
        </w:rPr>
        <w:t>......................20</w:t>
      </w:r>
    </w:p>
    <w:p w14:paraId="1506BAB1">
      <w:pPr>
        <w:spacing w:line="560" w:lineRule="exact"/>
        <w:ind w:firstLine="640" w:firstLineChars="200"/>
        <w:rPr>
          <w:rFonts w:hint="default" w:eastAsia="仿宋_GB2312"/>
          <w:sz w:val="32"/>
          <w:szCs w:val="32"/>
          <w:lang w:val="en-US" w:eastAsia="zh-CN"/>
        </w:rPr>
      </w:pPr>
      <w:r>
        <w:rPr>
          <w:rFonts w:eastAsia="仿宋_GB2312"/>
          <w:sz w:val="32"/>
          <w:szCs w:val="32"/>
        </w:rPr>
        <w:t>九、国有资本经营预算支出决算情况说明</w:t>
      </w:r>
      <w:r>
        <w:rPr>
          <w:rFonts w:hint="eastAsia" w:eastAsia="仿宋_GB2312"/>
          <w:sz w:val="32"/>
          <w:szCs w:val="32"/>
          <w:lang w:val="en-US" w:eastAsia="zh-CN"/>
        </w:rPr>
        <w:t>..................20</w:t>
      </w:r>
    </w:p>
    <w:p w14:paraId="203A76C4">
      <w:pPr>
        <w:spacing w:line="560" w:lineRule="exact"/>
        <w:ind w:firstLine="640" w:firstLineChars="200"/>
        <w:rPr>
          <w:rFonts w:hint="default" w:eastAsia="仿宋_GB2312"/>
          <w:sz w:val="32"/>
          <w:szCs w:val="32"/>
          <w:lang w:val="en-US"/>
        </w:rPr>
      </w:pPr>
      <w:r>
        <w:rPr>
          <w:rFonts w:eastAsia="仿宋_GB2312"/>
          <w:sz w:val="32"/>
          <w:szCs w:val="32"/>
        </w:rPr>
        <w:t>十、其他重要事项的情况说明</w:t>
      </w:r>
      <w:r>
        <w:rPr>
          <w:rFonts w:hint="eastAsia" w:eastAsia="仿宋_GB2312"/>
          <w:sz w:val="32"/>
          <w:szCs w:val="32"/>
          <w:lang w:val="en-US" w:eastAsia="zh-CN"/>
        </w:rPr>
        <w:t>......................................20</w:t>
      </w:r>
    </w:p>
    <w:p w14:paraId="6702CB20">
      <w:pPr>
        <w:spacing w:line="560" w:lineRule="exact"/>
        <w:ind w:firstLine="640" w:firstLineChars="200"/>
        <w:rPr>
          <w:rFonts w:hint="default" w:eastAsia="黑体"/>
          <w:sz w:val="32"/>
          <w:szCs w:val="32"/>
          <w:lang w:val="en-US" w:eastAsia="zh-CN"/>
        </w:rPr>
      </w:pPr>
      <w:r>
        <w:rPr>
          <w:rFonts w:eastAsia="黑体"/>
          <w:sz w:val="32"/>
          <w:szCs w:val="32"/>
        </w:rPr>
        <w:t>第三部分 名词解释</w:t>
      </w:r>
      <w:r>
        <w:rPr>
          <w:rFonts w:hint="eastAsia" w:eastAsia="黑体"/>
          <w:sz w:val="32"/>
          <w:szCs w:val="32"/>
          <w:lang w:val="en-US" w:eastAsia="zh-CN"/>
        </w:rPr>
        <w:t>........................................................26</w:t>
      </w:r>
    </w:p>
    <w:p w14:paraId="3ECE7A2B">
      <w:pPr>
        <w:spacing w:line="560" w:lineRule="exact"/>
        <w:ind w:firstLine="640" w:firstLineChars="200"/>
        <w:rPr>
          <w:rFonts w:hint="default" w:eastAsia="黑体"/>
          <w:sz w:val="32"/>
          <w:szCs w:val="32"/>
          <w:lang w:val="en-US" w:eastAsia="zh-CN"/>
        </w:rPr>
      </w:pPr>
      <w:r>
        <w:rPr>
          <w:rFonts w:eastAsia="黑体"/>
          <w:sz w:val="32"/>
          <w:szCs w:val="32"/>
        </w:rPr>
        <w:t>第四部分 附件</w:t>
      </w:r>
      <w:r>
        <w:rPr>
          <w:rFonts w:hint="eastAsia" w:eastAsia="黑体"/>
          <w:sz w:val="32"/>
          <w:szCs w:val="32"/>
          <w:lang w:val="en-US" w:eastAsia="zh-CN"/>
        </w:rPr>
        <w:t>................................................................30</w:t>
      </w:r>
    </w:p>
    <w:p w14:paraId="30B8B0EB">
      <w:pPr>
        <w:spacing w:line="560" w:lineRule="exact"/>
        <w:ind w:firstLine="640" w:firstLineChars="200"/>
        <w:rPr>
          <w:rFonts w:hint="default" w:eastAsia="仿宋_GB2312"/>
          <w:sz w:val="32"/>
          <w:szCs w:val="32"/>
          <w:lang w:val="en-US" w:eastAsia="zh-CN"/>
        </w:rPr>
      </w:pPr>
      <w:r>
        <w:rPr>
          <w:rFonts w:eastAsia="仿宋_GB2312"/>
          <w:sz w:val="32"/>
          <w:szCs w:val="32"/>
        </w:rPr>
        <w:t>附件1</w:t>
      </w:r>
      <w:r>
        <w:rPr>
          <w:rFonts w:hint="eastAsia" w:eastAsia="仿宋_GB2312"/>
          <w:sz w:val="32"/>
          <w:szCs w:val="32"/>
          <w:lang w:val="en-US" w:eastAsia="zh-CN"/>
        </w:rPr>
        <w:t>...............................................................................30</w:t>
      </w:r>
    </w:p>
    <w:p w14:paraId="2ABE757F">
      <w:pPr>
        <w:spacing w:line="560" w:lineRule="exact"/>
        <w:ind w:left="638" w:leftChars="304" w:firstLine="0" w:firstLineChars="0"/>
        <w:rPr>
          <w:rFonts w:hint="default" w:eastAsia="黑体"/>
          <w:sz w:val="32"/>
          <w:szCs w:val="32"/>
          <w:lang w:val="en-US" w:eastAsia="zh-CN"/>
        </w:rPr>
      </w:pPr>
      <w:r>
        <w:rPr>
          <w:rFonts w:eastAsia="仿宋_GB2312"/>
          <w:sz w:val="32"/>
          <w:szCs w:val="32"/>
        </w:rPr>
        <w:t>附件2</w:t>
      </w:r>
      <w:r>
        <w:rPr>
          <w:rFonts w:hint="eastAsia" w:eastAsia="仿宋_GB2312"/>
          <w:sz w:val="32"/>
          <w:szCs w:val="32"/>
          <w:lang w:val="en-US" w:eastAsia="zh-CN"/>
        </w:rPr>
        <w:t>................................................................................34</w:t>
      </w:r>
      <w:r>
        <w:rPr>
          <w:rFonts w:eastAsia="黑体"/>
          <w:sz w:val="32"/>
          <w:szCs w:val="32"/>
        </w:rPr>
        <w:t>第五部分 附表</w:t>
      </w:r>
      <w:r>
        <w:rPr>
          <w:rFonts w:hint="eastAsia" w:eastAsia="黑体"/>
          <w:sz w:val="32"/>
          <w:szCs w:val="32"/>
          <w:lang w:val="en-US" w:eastAsia="zh-CN"/>
        </w:rPr>
        <w:t>................................................................40</w:t>
      </w:r>
    </w:p>
    <w:p w14:paraId="481A7558">
      <w:pPr>
        <w:spacing w:line="560" w:lineRule="exact"/>
        <w:ind w:firstLine="640" w:firstLineChars="200"/>
        <w:rPr>
          <w:rFonts w:hint="default" w:eastAsia="仿宋_GB2312"/>
          <w:sz w:val="32"/>
          <w:szCs w:val="32"/>
          <w:lang w:val="en-US" w:eastAsia="zh-CN"/>
        </w:rPr>
      </w:pPr>
      <w:r>
        <w:rPr>
          <w:rFonts w:eastAsia="仿宋_GB2312"/>
          <w:sz w:val="32"/>
          <w:szCs w:val="32"/>
        </w:rPr>
        <w:t>一、收入支出决算总表</w:t>
      </w:r>
      <w:r>
        <w:rPr>
          <w:rFonts w:hint="eastAsia" w:eastAsia="仿宋_GB2312"/>
          <w:sz w:val="32"/>
          <w:szCs w:val="32"/>
          <w:lang w:val="en-US" w:eastAsia="zh-CN"/>
        </w:rPr>
        <w:t>..................................................40</w:t>
      </w:r>
    </w:p>
    <w:p w14:paraId="1755021E">
      <w:pPr>
        <w:spacing w:line="560" w:lineRule="exact"/>
        <w:ind w:firstLine="640" w:firstLineChars="200"/>
        <w:rPr>
          <w:rFonts w:hint="default" w:eastAsia="仿宋_GB2312"/>
          <w:sz w:val="32"/>
          <w:szCs w:val="32"/>
          <w:lang w:val="en-US" w:eastAsia="zh-CN"/>
        </w:rPr>
      </w:pPr>
      <w:r>
        <w:rPr>
          <w:rFonts w:eastAsia="仿宋_GB2312"/>
          <w:sz w:val="32"/>
          <w:szCs w:val="32"/>
        </w:rPr>
        <w:t>二、收入决算表</w:t>
      </w:r>
      <w:r>
        <w:rPr>
          <w:rFonts w:hint="eastAsia" w:eastAsia="仿宋_GB2312"/>
          <w:sz w:val="32"/>
          <w:szCs w:val="32"/>
          <w:lang w:val="en-US" w:eastAsia="zh-CN"/>
        </w:rPr>
        <w:t>..............................................................40</w:t>
      </w:r>
    </w:p>
    <w:p w14:paraId="619A930B">
      <w:pPr>
        <w:spacing w:line="560" w:lineRule="exact"/>
        <w:ind w:firstLine="640" w:firstLineChars="200"/>
        <w:rPr>
          <w:rFonts w:hint="default" w:eastAsia="仿宋_GB2312"/>
          <w:sz w:val="32"/>
          <w:szCs w:val="32"/>
          <w:lang w:val="en-US" w:eastAsia="zh-CN"/>
        </w:rPr>
      </w:pPr>
      <w:r>
        <w:rPr>
          <w:rFonts w:eastAsia="仿宋_GB2312"/>
          <w:sz w:val="32"/>
          <w:szCs w:val="32"/>
        </w:rPr>
        <w:t>三、支出决算表</w:t>
      </w:r>
      <w:r>
        <w:rPr>
          <w:rFonts w:hint="eastAsia" w:eastAsia="仿宋_GB2312"/>
          <w:sz w:val="32"/>
          <w:szCs w:val="32"/>
          <w:lang w:val="en-US" w:eastAsia="zh-CN"/>
        </w:rPr>
        <w:t>..............................................................40</w:t>
      </w:r>
    </w:p>
    <w:p w14:paraId="0F710419">
      <w:pPr>
        <w:spacing w:line="560" w:lineRule="exact"/>
        <w:ind w:left="638" w:leftChars="304" w:firstLine="0" w:firstLineChars="0"/>
        <w:rPr>
          <w:rFonts w:hint="default" w:eastAsia="仿宋_GB2312"/>
          <w:sz w:val="32"/>
          <w:szCs w:val="32"/>
          <w:lang w:val="en-US" w:eastAsia="zh-CN"/>
        </w:rPr>
      </w:pPr>
      <w:r>
        <w:rPr>
          <w:rFonts w:eastAsia="仿宋_GB2312"/>
          <w:sz w:val="32"/>
          <w:szCs w:val="32"/>
        </w:rPr>
        <w:t>四、财政拨款收入支出决算总表</w:t>
      </w:r>
      <w:r>
        <w:rPr>
          <w:rFonts w:hint="eastAsia" w:eastAsia="仿宋_GB2312"/>
          <w:sz w:val="32"/>
          <w:szCs w:val="32"/>
          <w:lang w:val="en-US" w:eastAsia="zh-CN"/>
        </w:rPr>
        <w:t>................................40</w:t>
      </w:r>
      <w:r>
        <w:rPr>
          <w:rFonts w:eastAsia="仿宋_GB2312"/>
          <w:sz w:val="32"/>
          <w:szCs w:val="32"/>
        </w:rPr>
        <w:t>五、财政拨款支出决算明细表</w:t>
      </w:r>
      <w:r>
        <w:rPr>
          <w:rFonts w:hint="eastAsia" w:eastAsia="仿宋_GB2312"/>
          <w:sz w:val="32"/>
          <w:szCs w:val="32"/>
          <w:lang w:val="en-US" w:eastAsia="zh-CN"/>
        </w:rPr>
        <w:t>.......................................40</w:t>
      </w:r>
    </w:p>
    <w:p w14:paraId="15D03214">
      <w:pPr>
        <w:spacing w:line="560" w:lineRule="exact"/>
        <w:ind w:firstLine="640" w:firstLineChars="200"/>
        <w:rPr>
          <w:rFonts w:hint="default" w:eastAsia="仿宋_GB2312"/>
          <w:sz w:val="32"/>
          <w:szCs w:val="32"/>
          <w:lang w:val="en-US" w:eastAsia="zh-CN"/>
        </w:rPr>
      </w:pPr>
      <w:r>
        <w:rPr>
          <w:rFonts w:eastAsia="仿宋_GB2312"/>
          <w:sz w:val="32"/>
          <w:szCs w:val="32"/>
        </w:rPr>
        <w:t>六、一般公共预算财政拨款支出决算表</w:t>
      </w:r>
      <w:r>
        <w:rPr>
          <w:rFonts w:hint="eastAsia" w:eastAsia="仿宋_GB2312"/>
          <w:sz w:val="32"/>
          <w:szCs w:val="32"/>
          <w:lang w:val="en-US" w:eastAsia="zh-CN"/>
        </w:rPr>
        <w:t>.......................40</w:t>
      </w:r>
    </w:p>
    <w:p w14:paraId="209F6F63">
      <w:pPr>
        <w:spacing w:line="560" w:lineRule="exact"/>
        <w:ind w:left="638" w:leftChars="304" w:firstLine="0" w:firstLineChars="0"/>
        <w:rPr>
          <w:rFonts w:hint="default" w:eastAsia="仿宋_GB2312"/>
          <w:sz w:val="32"/>
          <w:szCs w:val="32"/>
          <w:lang w:val="en-US" w:eastAsia="zh-CN"/>
        </w:rPr>
      </w:pPr>
      <w:r>
        <w:rPr>
          <w:rFonts w:eastAsia="仿宋_GB2312"/>
          <w:sz w:val="32"/>
          <w:szCs w:val="32"/>
        </w:rPr>
        <w:t>七、一般公共预算财政拨款支出决算明细表</w:t>
      </w:r>
      <w:r>
        <w:rPr>
          <w:rFonts w:hint="eastAsia" w:eastAsia="仿宋_GB2312"/>
          <w:sz w:val="32"/>
          <w:szCs w:val="32"/>
          <w:lang w:val="en-US" w:eastAsia="zh-CN"/>
        </w:rPr>
        <w:t>...............40</w:t>
      </w:r>
      <w:r>
        <w:rPr>
          <w:rFonts w:eastAsia="仿宋_GB2312"/>
          <w:sz w:val="32"/>
          <w:szCs w:val="32"/>
        </w:rPr>
        <w:t>八、一般公共预算财政拨款基本支出决算表</w:t>
      </w:r>
      <w:r>
        <w:rPr>
          <w:rFonts w:hint="eastAsia" w:eastAsia="仿宋_GB2312"/>
          <w:sz w:val="32"/>
          <w:szCs w:val="32"/>
          <w:lang w:val="en-US" w:eastAsia="zh-CN"/>
        </w:rPr>
        <w:t>...............40</w:t>
      </w:r>
    </w:p>
    <w:p w14:paraId="423C9CFA">
      <w:pPr>
        <w:spacing w:line="560" w:lineRule="exact"/>
        <w:ind w:left="638" w:leftChars="304" w:firstLine="0" w:firstLineChars="0"/>
        <w:rPr>
          <w:rFonts w:hint="default" w:eastAsia="仿宋_GB2312"/>
          <w:sz w:val="32"/>
          <w:szCs w:val="32"/>
          <w:lang w:val="en-US" w:eastAsia="zh-CN"/>
        </w:rPr>
      </w:pPr>
      <w:r>
        <w:rPr>
          <w:rFonts w:eastAsia="仿宋_GB2312"/>
          <w:sz w:val="32"/>
          <w:szCs w:val="32"/>
        </w:rPr>
        <w:t>九、一般公共预算财政拨款项目支出决算表</w:t>
      </w:r>
      <w:r>
        <w:rPr>
          <w:rFonts w:hint="eastAsia" w:eastAsia="仿宋_GB2312"/>
          <w:sz w:val="32"/>
          <w:szCs w:val="32"/>
          <w:lang w:val="en-US" w:eastAsia="zh-CN"/>
        </w:rPr>
        <w:t>...............40</w:t>
      </w:r>
      <w:r>
        <w:rPr>
          <w:rFonts w:eastAsia="仿宋_GB2312"/>
          <w:sz w:val="32"/>
          <w:szCs w:val="32"/>
        </w:rPr>
        <w:t>十、一般公共预算财政拨款“三公”经费支出决算表</w:t>
      </w:r>
      <w:r>
        <w:rPr>
          <w:rFonts w:hint="eastAsia" w:eastAsia="仿宋_GB2312"/>
          <w:sz w:val="32"/>
          <w:szCs w:val="32"/>
          <w:lang w:eastAsia="zh-CN"/>
        </w:rPr>
        <w:t>……</w:t>
      </w:r>
      <w:r>
        <w:rPr>
          <w:rFonts w:hint="eastAsia" w:eastAsia="仿宋_GB2312"/>
          <w:sz w:val="32"/>
          <w:szCs w:val="32"/>
          <w:lang w:val="en-US" w:eastAsia="zh-CN"/>
        </w:rPr>
        <w:t>40</w:t>
      </w:r>
    </w:p>
    <w:p w14:paraId="6720AD93">
      <w:pPr>
        <w:spacing w:line="560" w:lineRule="exact"/>
        <w:ind w:firstLine="640" w:firstLineChars="200"/>
        <w:rPr>
          <w:rFonts w:hint="default" w:eastAsia="仿宋_GB2312"/>
          <w:sz w:val="32"/>
          <w:szCs w:val="32"/>
          <w:lang w:val="en-US" w:eastAsia="zh-CN"/>
        </w:rPr>
      </w:pPr>
      <w:r>
        <w:rPr>
          <w:rFonts w:eastAsia="仿宋_GB2312"/>
          <w:sz w:val="32"/>
          <w:szCs w:val="32"/>
        </w:rPr>
        <w:t>十一、政府性基金预算财政拨款收入支出决算表</w:t>
      </w:r>
      <w:r>
        <w:rPr>
          <w:rFonts w:hint="eastAsia" w:eastAsia="仿宋_GB2312"/>
          <w:sz w:val="32"/>
          <w:szCs w:val="32"/>
          <w:lang w:val="en-US" w:eastAsia="zh-CN"/>
        </w:rPr>
        <w:t>.......40</w:t>
      </w:r>
    </w:p>
    <w:p w14:paraId="494882BE">
      <w:pPr>
        <w:spacing w:line="560" w:lineRule="exact"/>
        <w:ind w:left="958" w:leftChars="304" w:hanging="320" w:hangingChars="100"/>
        <w:rPr>
          <w:rFonts w:hint="default" w:eastAsia="仿宋_GB2312"/>
          <w:sz w:val="32"/>
          <w:szCs w:val="32"/>
          <w:lang w:val="en-US" w:eastAsia="zh-CN"/>
        </w:rPr>
      </w:pPr>
      <w:r>
        <w:rPr>
          <w:rFonts w:eastAsia="仿宋_GB2312"/>
          <w:sz w:val="32"/>
          <w:szCs w:val="32"/>
        </w:rPr>
        <w:t>十二</w:t>
      </w:r>
      <w:r>
        <w:rPr>
          <w:rFonts w:hint="eastAsia" w:eastAsia="仿宋_GB2312"/>
          <w:sz w:val="32"/>
          <w:szCs w:val="32"/>
          <w:lang w:eastAsia="zh-CN"/>
        </w:rPr>
        <w:t>、</w:t>
      </w:r>
      <w:r>
        <w:rPr>
          <w:rFonts w:eastAsia="仿宋_GB2312"/>
          <w:sz w:val="32"/>
          <w:szCs w:val="32"/>
        </w:rPr>
        <w:t>政府性基金预算财政拨款“三公”经费支出决算表</w:t>
      </w:r>
      <w:r>
        <w:rPr>
          <w:rFonts w:hint="eastAsia" w:eastAsia="仿宋_GB2312"/>
          <w:sz w:val="32"/>
          <w:szCs w:val="32"/>
          <w:lang w:val="en-US" w:eastAsia="zh-CN"/>
        </w:rPr>
        <w:t>...................................................................................40</w:t>
      </w:r>
    </w:p>
    <w:p w14:paraId="5FEC7F60">
      <w:pPr>
        <w:spacing w:line="560" w:lineRule="exact"/>
        <w:ind w:left="638" w:leftChars="304" w:firstLine="0" w:firstLineChars="0"/>
        <w:rPr>
          <w:rFonts w:hint="default" w:eastAsia="仿宋_GB2312"/>
          <w:sz w:val="32"/>
          <w:szCs w:val="32"/>
          <w:lang w:val="en-US" w:eastAsia="zh-CN"/>
        </w:rPr>
      </w:pPr>
      <w:r>
        <w:rPr>
          <w:rFonts w:eastAsia="仿宋_GB2312"/>
          <w:sz w:val="32"/>
          <w:szCs w:val="32"/>
        </w:rPr>
        <w:t>十三、国有资本经营预算财政拨款收入支出决算表</w:t>
      </w:r>
      <w:r>
        <w:rPr>
          <w:rFonts w:hint="eastAsia" w:eastAsia="仿宋_GB2312"/>
          <w:sz w:val="32"/>
          <w:szCs w:val="32"/>
          <w:lang w:eastAsia="zh-CN"/>
        </w:rPr>
        <w:t>……</w:t>
      </w:r>
      <w:r>
        <w:rPr>
          <w:rFonts w:hint="eastAsia" w:eastAsia="仿宋_GB2312"/>
          <w:sz w:val="32"/>
          <w:szCs w:val="32"/>
          <w:lang w:val="en-US" w:eastAsia="zh-CN"/>
        </w:rPr>
        <w:t>40</w:t>
      </w:r>
      <w:r>
        <w:rPr>
          <w:rFonts w:eastAsia="仿宋_GB2312"/>
          <w:sz w:val="32"/>
          <w:szCs w:val="32"/>
        </w:rPr>
        <w:t>十四、国有资本经营预算财政拨款支出决算表</w:t>
      </w:r>
      <w:r>
        <w:rPr>
          <w:rFonts w:hint="eastAsia" w:eastAsia="仿宋_GB2312"/>
          <w:sz w:val="32"/>
          <w:szCs w:val="32"/>
          <w:lang w:val="en-US" w:eastAsia="zh-CN"/>
        </w:rPr>
        <w:t>...........40</w:t>
      </w:r>
    </w:p>
    <w:p w14:paraId="46B7015C">
      <w:pPr>
        <w:widowControl/>
        <w:spacing w:line="440" w:lineRule="exact"/>
        <w:jc w:val="left"/>
        <w:rPr>
          <w:rFonts w:ascii="仿宋" w:hAnsi="仿宋" w:eastAsia="仿宋"/>
          <w:kern w:val="44"/>
          <w:sz w:val="24"/>
          <w:szCs w:val="24"/>
        </w:rPr>
      </w:pPr>
    </w:p>
    <w:p w14:paraId="5FA07437">
      <w:pPr>
        <w:pStyle w:val="3"/>
        <w:jc w:val="center"/>
        <w:rPr>
          <w:rFonts w:hint="eastAsia" w:ascii="黑体" w:hAnsi="黑体" w:eastAsia="黑体" w:cs="黑体"/>
          <w:b w:val="0"/>
          <w:bCs w:val="0"/>
        </w:rPr>
      </w:pPr>
      <w:bookmarkStart w:id="16" w:name="_Toc52180065"/>
    </w:p>
    <w:p w14:paraId="73CE2B08">
      <w:pPr>
        <w:pStyle w:val="3"/>
        <w:jc w:val="center"/>
        <w:rPr>
          <w:rFonts w:hint="eastAsia" w:ascii="黑体" w:hAnsi="黑体" w:eastAsia="黑体" w:cs="黑体"/>
          <w:b w:val="0"/>
          <w:bCs w:val="0"/>
        </w:rPr>
      </w:pPr>
    </w:p>
    <w:p w14:paraId="7CAC9CB1">
      <w:pPr>
        <w:pStyle w:val="3"/>
        <w:jc w:val="center"/>
        <w:rPr>
          <w:rFonts w:hint="eastAsia" w:ascii="黑体" w:hAnsi="黑体" w:eastAsia="黑体" w:cs="黑体"/>
          <w:b w:val="0"/>
          <w:bCs w:val="0"/>
        </w:rPr>
      </w:pPr>
    </w:p>
    <w:bookmarkEnd w:id="14"/>
    <w:bookmarkEnd w:id="15"/>
    <w:bookmarkEnd w:id="16"/>
    <w:p w14:paraId="63302D64">
      <w:pPr>
        <w:widowControl/>
        <w:jc w:val="left"/>
        <w:rPr>
          <w:rFonts w:ascii="黑体" w:eastAsia="黑体"/>
          <w:color w:val="000000"/>
          <w:sz w:val="32"/>
          <w:szCs w:val="32"/>
        </w:rPr>
      </w:pPr>
    </w:p>
    <w:p w14:paraId="06EF99DD">
      <w:pPr>
        <w:pStyle w:val="3"/>
        <w:jc w:val="center"/>
        <w:rPr>
          <w:rFonts w:hint="eastAsia" w:ascii="黑体" w:hAnsi="黑体" w:eastAsia="黑体" w:cs="黑体"/>
          <w:b w:val="0"/>
          <w:bCs w:val="0"/>
          <w:color w:val="000000"/>
        </w:rPr>
      </w:pPr>
      <w:bookmarkStart w:id="17" w:name="_Toc52180066"/>
      <w:bookmarkStart w:id="18" w:name="_Toc15396600"/>
      <w:bookmarkStart w:id="19" w:name="_Toc15377197"/>
      <w:r>
        <w:rPr>
          <w:rFonts w:hint="eastAsia" w:ascii="黑体" w:hAnsi="黑体" w:eastAsia="黑体" w:cs="黑体"/>
          <w:b w:val="0"/>
          <w:bCs w:val="0"/>
        </w:rPr>
        <w:t>第一部分</w:t>
      </w:r>
      <w:r>
        <w:rPr>
          <w:rFonts w:ascii="黑体" w:hAnsi="黑体" w:eastAsia="黑体" w:cs="黑体"/>
          <w:b w:val="0"/>
          <w:bCs w:val="0"/>
        </w:rPr>
        <w:t xml:space="preserve"> </w:t>
      </w:r>
      <w:r>
        <w:rPr>
          <w:rStyle w:val="21"/>
          <w:rFonts w:hint="eastAsia" w:ascii="黑体" w:hAnsi="黑体" w:eastAsia="黑体" w:cs="黑体"/>
          <w:b w:val="0"/>
          <w:bCs w:val="0"/>
        </w:rPr>
        <w:t>部门概况</w:t>
      </w:r>
    </w:p>
    <w:p w14:paraId="0F5B6215">
      <w:pPr>
        <w:pStyle w:val="4"/>
        <w:rPr>
          <w:rStyle w:val="22"/>
          <w:rFonts w:hint="eastAsia" w:ascii="黑体" w:hAnsi="黑体" w:eastAsia="黑体" w:cs="黑体"/>
          <w:b w:val="0"/>
          <w:bCs w:val="0"/>
        </w:rPr>
      </w:pPr>
      <w:r>
        <w:rPr>
          <w:rFonts w:hint="eastAsia" w:ascii="黑体" w:hAnsi="黑体" w:eastAsia="黑体" w:cs="黑体"/>
          <w:b w:val="0"/>
          <w:bCs w:val="0"/>
          <w:color w:val="000000"/>
        </w:rPr>
        <w:t>一、基</w:t>
      </w:r>
      <w:r>
        <w:rPr>
          <w:rStyle w:val="22"/>
          <w:rFonts w:hint="eastAsia" w:ascii="黑体" w:hAnsi="黑体" w:eastAsia="黑体" w:cs="黑体"/>
          <w:b w:val="0"/>
          <w:bCs w:val="0"/>
        </w:rPr>
        <w:t>本职能及主要工作</w:t>
      </w:r>
      <w:bookmarkEnd w:id="17"/>
      <w:bookmarkEnd w:id="18"/>
      <w:bookmarkEnd w:id="19"/>
      <w:bookmarkStart w:id="20" w:name="_Toc15377198"/>
      <w:bookmarkStart w:id="21" w:name="_Toc15378445"/>
      <w:bookmarkStart w:id="22" w:name="_Toc52180067"/>
    </w:p>
    <w:p w14:paraId="2D2CFC20">
      <w:pPr>
        <w:pStyle w:val="4"/>
        <w:ind w:firstLine="643" w:firstLineChars="200"/>
        <w:rPr>
          <w:rFonts w:ascii="仿宋" w:hAnsi="仿宋" w:eastAsia="仿宋" w:cs="Times New Roman"/>
          <w:color w:val="000000"/>
          <w:sz w:val="32"/>
          <w:szCs w:val="32"/>
        </w:rPr>
      </w:pPr>
      <w:r>
        <w:rPr>
          <w:rFonts w:hint="eastAsia" w:ascii="仿宋" w:hAnsi="仿宋" w:eastAsia="仿宋" w:cs="仿宋"/>
          <w:color w:val="000000"/>
          <w:sz w:val="32"/>
          <w:szCs w:val="32"/>
        </w:rPr>
        <w:t>（一）主要职能。</w:t>
      </w:r>
      <w:bookmarkEnd w:id="20"/>
      <w:bookmarkEnd w:id="21"/>
      <w:bookmarkEnd w:id="22"/>
    </w:p>
    <w:p w14:paraId="33A362F9">
      <w:pPr>
        <w:pStyle w:val="8"/>
        <w:adjustRightInd w:val="0"/>
        <w:spacing w:beforeLines="0" w:line="560" w:lineRule="exact"/>
        <w:ind w:firstLine="672" w:firstLineChars="210"/>
        <w:rPr>
          <w:rFonts w:ascii="Times New Roman" w:cs="Times New Roman"/>
          <w:sz w:val="32"/>
          <w:szCs w:val="32"/>
        </w:rPr>
      </w:pPr>
      <w:r>
        <w:rPr>
          <w:rFonts w:ascii="Times New Roman" w:cs="Times New Roman"/>
          <w:sz w:val="32"/>
          <w:szCs w:val="32"/>
        </w:rPr>
        <w:t>1.</w:t>
      </w:r>
      <w:r>
        <w:rPr>
          <w:rFonts w:hint="eastAsia" w:ascii="Times New Roman"/>
          <w:sz w:val="32"/>
          <w:szCs w:val="32"/>
        </w:rPr>
        <w:t>根据党中央的路线、方针、政策和县委的部署，统一政法各部门的思想和行动，确保政法部门的执法活动坚持正确的政治方向。</w:t>
      </w:r>
    </w:p>
    <w:p w14:paraId="13159057">
      <w:pPr>
        <w:pStyle w:val="8"/>
        <w:adjustRightInd w:val="0"/>
        <w:spacing w:beforeLines="0" w:line="560" w:lineRule="exact"/>
        <w:ind w:firstLine="672" w:firstLineChars="210"/>
        <w:rPr>
          <w:rFonts w:ascii="Times New Roman" w:cs="Times New Roman"/>
          <w:sz w:val="32"/>
          <w:szCs w:val="32"/>
        </w:rPr>
      </w:pPr>
      <w:r>
        <w:rPr>
          <w:rFonts w:ascii="Times New Roman" w:cs="Times New Roman"/>
          <w:sz w:val="32"/>
          <w:szCs w:val="32"/>
        </w:rPr>
        <w:t>2.</w:t>
      </w:r>
      <w:r>
        <w:rPr>
          <w:rFonts w:hint="eastAsia" w:ascii="Times New Roman"/>
          <w:sz w:val="32"/>
          <w:szCs w:val="32"/>
        </w:rPr>
        <w:t>研究制定贯彻落实党中央、省委、市委和县委关于政法工作的方针、政策和维护社会稳定工作的指示措施，及时向县委提出意见和建议，对一定时期内的政法工作、社会治安综合治理工作、社会稳定工作作出全局性的部署，并督促检查，抓好贯彻落实。</w:t>
      </w:r>
    </w:p>
    <w:p w14:paraId="1C18B0EA">
      <w:pPr>
        <w:pStyle w:val="8"/>
        <w:adjustRightInd w:val="0"/>
        <w:spacing w:beforeLines="0" w:line="560" w:lineRule="exact"/>
        <w:ind w:firstLine="672" w:firstLineChars="210"/>
        <w:rPr>
          <w:rFonts w:ascii="Times New Roman" w:cs="Times New Roman"/>
          <w:sz w:val="32"/>
          <w:szCs w:val="32"/>
        </w:rPr>
      </w:pPr>
      <w:r>
        <w:rPr>
          <w:rFonts w:ascii="Times New Roman" w:cs="Times New Roman"/>
          <w:sz w:val="32"/>
          <w:szCs w:val="32"/>
        </w:rPr>
        <w:t>3.</w:t>
      </w:r>
      <w:r>
        <w:rPr>
          <w:rFonts w:hint="eastAsia" w:ascii="Times New Roman"/>
          <w:sz w:val="32"/>
          <w:szCs w:val="32"/>
        </w:rPr>
        <w:t>加强对政法工作的督查。指导全县政法系统网络安全和智能化建设工作。</w:t>
      </w:r>
    </w:p>
    <w:p w14:paraId="0E9AEA35">
      <w:pPr>
        <w:pStyle w:val="8"/>
        <w:adjustRightInd w:val="0"/>
        <w:spacing w:beforeLines="0" w:line="560" w:lineRule="exact"/>
        <w:ind w:firstLine="672" w:firstLineChars="210"/>
        <w:rPr>
          <w:rFonts w:ascii="Times New Roman" w:cs="Times New Roman"/>
          <w:sz w:val="32"/>
          <w:szCs w:val="32"/>
        </w:rPr>
      </w:pPr>
      <w:r>
        <w:rPr>
          <w:rFonts w:ascii="Times New Roman" w:cs="Times New Roman"/>
          <w:sz w:val="32"/>
          <w:szCs w:val="32"/>
        </w:rPr>
        <w:t>4.</w:t>
      </w:r>
      <w:r>
        <w:rPr>
          <w:rFonts w:hint="eastAsia" w:ascii="Times New Roman"/>
          <w:sz w:val="32"/>
          <w:szCs w:val="32"/>
        </w:rPr>
        <w:t>组织推动政法工作的调查研究，推动政法工作改革。</w:t>
      </w:r>
    </w:p>
    <w:p w14:paraId="19CE8174">
      <w:pPr>
        <w:pStyle w:val="8"/>
        <w:adjustRightInd w:val="0"/>
        <w:spacing w:beforeLines="0" w:line="560" w:lineRule="exact"/>
        <w:ind w:firstLine="672" w:firstLineChars="210"/>
        <w:rPr>
          <w:rFonts w:ascii="Times New Roman" w:cs="Times New Roman"/>
          <w:sz w:val="32"/>
          <w:szCs w:val="32"/>
        </w:rPr>
      </w:pPr>
      <w:r>
        <w:rPr>
          <w:rFonts w:ascii="Times New Roman" w:cs="Times New Roman"/>
          <w:sz w:val="32"/>
          <w:szCs w:val="32"/>
        </w:rPr>
        <w:t>5.</w:t>
      </w:r>
      <w:r>
        <w:rPr>
          <w:rFonts w:hint="eastAsia" w:ascii="Times New Roman"/>
          <w:sz w:val="32"/>
          <w:szCs w:val="32"/>
        </w:rPr>
        <w:t>监督检查政法部门执行宪法、</w:t>
      </w:r>
      <w:r>
        <w:rPr>
          <w:rFonts w:hint="eastAsia" w:ascii="Times New Roman"/>
          <w:sz w:val="32"/>
          <w:szCs w:val="32"/>
          <w:lang w:eastAsia="zh-CN"/>
        </w:rPr>
        <w:t>法律法规</w:t>
      </w:r>
      <w:r>
        <w:rPr>
          <w:rFonts w:hint="eastAsia" w:ascii="Times New Roman"/>
          <w:sz w:val="32"/>
          <w:szCs w:val="32"/>
        </w:rPr>
        <w:t>和公正司法情况，研究制定严格执法、维护司法公正的具体措施。监督和支持政法各部门依法行使职权，指导和协调政法部门密切配合，研究和协调重大、疑难案件，推进严格执法、公正司法。</w:t>
      </w:r>
    </w:p>
    <w:p w14:paraId="62A1332A">
      <w:pPr>
        <w:pStyle w:val="8"/>
        <w:adjustRightInd w:val="0"/>
        <w:spacing w:beforeLines="0" w:line="560" w:lineRule="exact"/>
        <w:ind w:firstLine="672" w:firstLineChars="210"/>
        <w:rPr>
          <w:rFonts w:ascii="Times New Roman" w:cs="Times New Roman"/>
          <w:sz w:val="32"/>
          <w:szCs w:val="32"/>
        </w:rPr>
      </w:pPr>
      <w:r>
        <w:rPr>
          <w:rFonts w:ascii="Times New Roman" w:cs="Times New Roman"/>
          <w:sz w:val="32"/>
          <w:szCs w:val="32"/>
        </w:rPr>
        <w:t>6.</w:t>
      </w:r>
      <w:r>
        <w:rPr>
          <w:rFonts w:hint="eastAsia" w:ascii="Times New Roman"/>
          <w:sz w:val="32"/>
          <w:szCs w:val="32"/>
        </w:rPr>
        <w:t>指导推动政法系统党的建设和政法队伍建设，研究加强全县政法队伍建设的措施，协助县委、县委组织部考察、管理政法部门领导班子和领导干部，协助县委、县</w:t>
      </w:r>
      <w:r>
        <w:rPr>
          <w:rFonts w:hint="eastAsia" w:ascii="Times New Roman"/>
          <w:sz w:val="32"/>
          <w:szCs w:val="32"/>
          <w:lang w:eastAsia="zh-CN"/>
        </w:rPr>
        <w:t>纪检监察机关</w:t>
      </w:r>
      <w:r>
        <w:rPr>
          <w:rFonts w:hint="eastAsia" w:ascii="Times New Roman"/>
          <w:sz w:val="32"/>
          <w:szCs w:val="32"/>
        </w:rPr>
        <w:t>做好监督检查和审查调查工作。代管盐边县法学会。</w:t>
      </w:r>
    </w:p>
    <w:p w14:paraId="54671160">
      <w:pPr>
        <w:pStyle w:val="8"/>
        <w:adjustRightInd w:val="0"/>
        <w:spacing w:beforeLines="0" w:line="560" w:lineRule="exact"/>
        <w:ind w:firstLine="672" w:firstLineChars="210"/>
        <w:rPr>
          <w:rFonts w:ascii="Times New Roman" w:cs="Times New Roman"/>
          <w:sz w:val="32"/>
          <w:szCs w:val="32"/>
        </w:rPr>
      </w:pPr>
      <w:r>
        <w:rPr>
          <w:rFonts w:ascii="Times New Roman" w:cs="Times New Roman"/>
          <w:sz w:val="32"/>
          <w:szCs w:val="32"/>
        </w:rPr>
        <w:t>7.</w:t>
      </w:r>
      <w:r>
        <w:rPr>
          <w:rFonts w:hint="eastAsia" w:ascii="Times New Roman"/>
          <w:sz w:val="32"/>
          <w:szCs w:val="32"/>
        </w:rPr>
        <w:t>承担全县社会治安综合治理工作的调查分析、组织协调和监督检查，协调推动各项综治工作措施的落实。</w:t>
      </w:r>
    </w:p>
    <w:p w14:paraId="5EE37C9D">
      <w:pPr>
        <w:pStyle w:val="8"/>
        <w:adjustRightInd w:val="0"/>
        <w:spacing w:beforeLines="0" w:line="560" w:lineRule="exact"/>
        <w:ind w:firstLine="672" w:firstLineChars="210"/>
        <w:rPr>
          <w:rFonts w:ascii="Times New Roman" w:cs="Times New Roman"/>
          <w:sz w:val="32"/>
          <w:szCs w:val="32"/>
        </w:rPr>
      </w:pPr>
      <w:r>
        <w:rPr>
          <w:rFonts w:ascii="Times New Roman" w:cs="Times New Roman"/>
          <w:sz w:val="32"/>
          <w:szCs w:val="32"/>
        </w:rPr>
        <w:t>8.</w:t>
      </w:r>
      <w:r>
        <w:rPr>
          <w:rFonts w:hint="eastAsia" w:ascii="Times New Roman"/>
          <w:sz w:val="32"/>
          <w:szCs w:val="32"/>
        </w:rPr>
        <w:t>指导全县维护社会稳定工作。协调推动相关部门做好反邪教工作。</w:t>
      </w:r>
    </w:p>
    <w:p w14:paraId="0801C194">
      <w:pPr>
        <w:pStyle w:val="8"/>
        <w:adjustRightInd w:val="0"/>
        <w:spacing w:beforeLines="0" w:line="560" w:lineRule="exact"/>
        <w:ind w:firstLine="672" w:firstLineChars="210"/>
        <w:rPr>
          <w:rFonts w:ascii="Times New Roman" w:cs="Times New Roman"/>
          <w:sz w:val="32"/>
          <w:szCs w:val="32"/>
        </w:rPr>
      </w:pPr>
      <w:r>
        <w:rPr>
          <w:rFonts w:ascii="Times New Roman" w:cs="Times New Roman"/>
          <w:sz w:val="32"/>
          <w:szCs w:val="32"/>
        </w:rPr>
        <w:t>9.</w:t>
      </w:r>
      <w:r>
        <w:rPr>
          <w:rFonts w:hint="eastAsia" w:ascii="Times New Roman"/>
          <w:sz w:val="32"/>
          <w:szCs w:val="32"/>
        </w:rPr>
        <w:t>完成县委政法委</w:t>
      </w:r>
      <w:r>
        <w:rPr>
          <w:rFonts w:hint="eastAsia" w:ascii="Times New Roman"/>
          <w:sz w:val="32"/>
          <w:szCs w:val="32"/>
          <w:lang w:eastAsia="zh-CN"/>
        </w:rPr>
        <w:t>“三定”规定</w:t>
      </w:r>
      <w:r>
        <w:rPr>
          <w:rFonts w:hint="eastAsia" w:ascii="Times New Roman"/>
          <w:sz w:val="32"/>
          <w:szCs w:val="32"/>
        </w:rPr>
        <w:t>中明确的其他工作职责。</w:t>
      </w:r>
    </w:p>
    <w:p w14:paraId="2B308FB7">
      <w:pPr>
        <w:pStyle w:val="8"/>
        <w:adjustRightInd w:val="0"/>
        <w:spacing w:beforeLines="0" w:line="560" w:lineRule="exact"/>
        <w:ind w:firstLine="672" w:firstLineChars="210"/>
        <w:rPr>
          <w:rFonts w:ascii="Times New Roman" w:cs="Times New Roman"/>
          <w:sz w:val="32"/>
          <w:szCs w:val="32"/>
        </w:rPr>
      </w:pPr>
      <w:r>
        <w:rPr>
          <w:rFonts w:ascii="Times New Roman" w:cs="Times New Roman"/>
          <w:sz w:val="32"/>
          <w:szCs w:val="32"/>
        </w:rPr>
        <w:t>10.</w:t>
      </w:r>
      <w:r>
        <w:rPr>
          <w:rFonts w:hint="eastAsia" w:ascii="Times New Roman"/>
          <w:sz w:val="32"/>
          <w:szCs w:val="32"/>
        </w:rPr>
        <w:t>完成县委交办的其他任务。</w:t>
      </w:r>
    </w:p>
    <w:p w14:paraId="6515214A">
      <w:pPr>
        <w:pStyle w:val="8"/>
        <w:adjustRightInd w:val="0"/>
        <w:snapToGrid w:val="0"/>
        <w:spacing w:before="93" w:line="600" w:lineRule="exact"/>
        <w:ind w:firstLine="321" w:firstLineChars="100"/>
        <w:outlineLvl w:val="2"/>
        <w:rPr>
          <w:rFonts w:ascii="仿宋" w:hAnsi="仿宋" w:eastAsia="仿宋" w:cs="Times New Roman"/>
          <w:b/>
          <w:bCs/>
          <w:color w:val="000000"/>
          <w:sz w:val="32"/>
          <w:szCs w:val="32"/>
        </w:rPr>
      </w:pPr>
      <w:bookmarkStart w:id="23" w:name="_Toc52180068"/>
      <w:bookmarkStart w:id="24" w:name="_Toc15377199"/>
      <w:bookmarkStart w:id="25" w:name="_Toc15378446"/>
      <w:r>
        <w:rPr>
          <w:rFonts w:hint="eastAsia" w:ascii="仿宋" w:hAnsi="仿宋" w:eastAsia="仿宋" w:cs="仿宋"/>
          <w:b/>
          <w:bCs/>
          <w:color w:val="000000"/>
          <w:sz w:val="32"/>
          <w:szCs w:val="32"/>
        </w:rPr>
        <w:t>（二）</w:t>
      </w:r>
      <w:r>
        <w:rPr>
          <w:rFonts w:hint="eastAsia" w:ascii="仿宋" w:hAnsi="仿宋" w:eastAsia="仿宋" w:cs="仿宋"/>
          <w:b/>
          <w:bCs/>
          <w:color w:val="000000"/>
          <w:sz w:val="32"/>
          <w:szCs w:val="32"/>
          <w:lang w:eastAsia="zh-CN"/>
        </w:rPr>
        <w:t>2020</w:t>
      </w:r>
      <w:r>
        <w:rPr>
          <w:rFonts w:hint="eastAsia" w:ascii="仿宋" w:hAnsi="仿宋" w:eastAsia="仿宋" w:cs="仿宋"/>
          <w:b/>
          <w:bCs/>
          <w:color w:val="000000"/>
          <w:sz w:val="32"/>
          <w:szCs w:val="32"/>
        </w:rPr>
        <w:t>年重点工作完成情况。</w:t>
      </w:r>
      <w:bookmarkEnd w:id="23"/>
      <w:bookmarkEnd w:id="24"/>
      <w:bookmarkEnd w:id="25"/>
    </w:p>
    <w:p w14:paraId="4929D9AC">
      <w:pPr>
        <w:numPr>
          <w:ilvl w:val="0"/>
          <w:numId w:val="0"/>
        </w:numPr>
        <w:spacing w:line="560" w:lineRule="exact"/>
        <w:ind w:firstLine="643" w:firstLineChars="200"/>
        <w:rPr>
          <w:rFonts w:hint="eastAsia" w:ascii="仿宋_GB2312" w:hAnsi="仿宋_GB2312" w:eastAsia="仿宋_GB2312" w:cs="仿宋_GB2312"/>
          <w:b/>
          <w:sz w:val="32"/>
          <w:szCs w:val="32"/>
        </w:rPr>
      </w:pPr>
      <w:bookmarkStart w:id="26" w:name="_Toc15377200"/>
      <w:bookmarkStart w:id="27" w:name="_Toc15396601"/>
      <w:bookmarkStart w:id="28" w:name="_Toc52180069"/>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切实维护社会和谐稳定。</w:t>
      </w:r>
    </w:p>
    <w:p w14:paraId="3C156B12">
      <w:pPr>
        <w:numPr>
          <w:ilvl w:val="0"/>
          <w:numId w:val="0"/>
        </w:numPr>
        <w:spacing w:line="560" w:lineRule="exact"/>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sz w:val="32"/>
          <w:szCs w:val="32"/>
        </w:rPr>
        <w:t>2020年，县委</w:t>
      </w:r>
      <w:r>
        <w:rPr>
          <w:rFonts w:hint="eastAsia" w:ascii="仿宋_GB2312" w:hAnsi="仿宋_GB2312" w:eastAsia="仿宋_GB2312" w:cs="仿宋_GB2312"/>
          <w:color w:val="000000"/>
          <w:sz w:val="32"/>
          <w:szCs w:val="32"/>
        </w:rPr>
        <w:t>政法委牢固树立维护稳定的底线思维，强化源头防范，着力开展涉稳矛盾问题排查和涉稳重点人员的包案化解稳控工作。指导督促各级各部门开展重大事项风险评估工作，加强情报信息沟通协调工作，统筹各级各部门力量全面做好 “两节”期间、疫情防控、全国全省两会等敏感节点、重要时段的维稳工作，确保了全县社会大局安全稳定。一是全面防范政治安全风险。始终把维护政治安全作为维稳工作的核心任务，时刻保持对反动势力、暴恐活动、邪教组织、负面网络舆情的高度警惕，深入开展对敌斗争。编制了《盐边县2020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2022年教育转化法轮功等邪教人员攻坚工作方案》，开展多层次、多形式的邪教人员法</w:t>
      </w:r>
      <w:r>
        <w:rPr>
          <w:rFonts w:hint="eastAsia" w:ascii="仿宋_GB2312" w:hAnsi="仿宋_GB2312" w:eastAsia="仿宋_GB2312" w:cs="仿宋_GB2312"/>
          <w:color w:val="000000"/>
          <w:sz w:val="32"/>
          <w:szCs w:val="32"/>
          <w:lang w:eastAsia="zh-CN"/>
        </w:rPr>
        <w:t>治</w:t>
      </w:r>
      <w:r>
        <w:rPr>
          <w:rFonts w:hint="eastAsia" w:ascii="仿宋_GB2312" w:hAnsi="仿宋_GB2312" w:eastAsia="仿宋_GB2312" w:cs="仿宋_GB2312"/>
          <w:color w:val="000000"/>
          <w:sz w:val="32"/>
          <w:szCs w:val="32"/>
        </w:rPr>
        <w:t>教育转化活动。组织公安、宣传等部门加强网上舆论监督监测、预警和应对，严防有害信息滋生，严防负面舆论传导炒作。二是认真履行维稳工作职责。重点关注涉稳问题新进展、重点人群新情况、信访案件的新动向，对于特殊敏感</w:t>
      </w:r>
      <w:r>
        <w:rPr>
          <w:rFonts w:hint="eastAsia" w:ascii="仿宋_GB2312" w:hAnsi="仿宋_GB2312" w:eastAsia="仿宋_GB2312" w:cs="仿宋_GB2312"/>
          <w:color w:val="000000"/>
          <w:sz w:val="32"/>
          <w:szCs w:val="32"/>
          <w:lang w:eastAsia="zh-CN"/>
        </w:rPr>
        <w:t>节点</w:t>
      </w:r>
      <w:r>
        <w:rPr>
          <w:rFonts w:hint="eastAsia" w:ascii="仿宋_GB2312" w:hAnsi="仿宋_GB2312" w:eastAsia="仿宋_GB2312" w:cs="仿宋_GB2312"/>
          <w:color w:val="000000"/>
          <w:sz w:val="32"/>
          <w:szCs w:val="32"/>
        </w:rPr>
        <w:t>，实行日报告、周调度的工作制度，确保第一时间掌握全县维稳工作动态。在疫情防控、红格镇征地拆迁等重点难点工作中主动担当起维护社会稳定工作的职责。三是扎实开展涉稳问题摸排、研判、化解工作。定期开展涉稳问题集中排查，特别是在疫情防控期间、</w:t>
      </w:r>
      <w:r>
        <w:rPr>
          <w:rFonts w:hint="eastAsia" w:ascii="仿宋_GB2312" w:hAnsi="仿宋_GB2312" w:eastAsia="仿宋_GB2312" w:cs="仿宋_GB2312"/>
          <w:color w:val="000000"/>
          <w:sz w:val="32"/>
          <w:szCs w:val="32"/>
          <w:lang w:eastAsia="zh-CN"/>
        </w:rPr>
        <w:t>全国两会</w:t>
      </w:r>
      <w:r>
        <w:rPr>
          <w:rFonts w:hint="eastAsia" w:ascii="仿宋_GB2312" w:hAnsi="仿宋_GB2312" w:eastAsia="仿宋_GB2312" w:cs="仿宋_GB2312"/>
          <w:color w:val="000000"/>
          <w:sz w:val="32"/>
          <w:szCs w:val="32"/>
        </w:rPr>
        <w:t>期间”、十九届五中全会期间开展了涉稳突出问题和重点人员排查，及时建立了台账，并落实了稳控化解责任人，明确了突出问题化解时限。县委政法委坚持每月开展全县层面社会稳定形势研判，县级各部门坚持每季度开展本行业、本系统社会稳定形势研判。2020</w:t>
      </w:r>
      <w:r>
        <w:rPr>
          <w:rFonts w:hint="eastAsia" w:ascii="仿宋_GB2312" w:hAnsi="仿宋_GB2312" w:eastAsia="仿宋_GB2312" w:cs="仿宋_GB2312"/>
          <w:color w:val="000000"/>
          <w:sz w:val="32"/>
          <w:szCs w:val="32"/>
          <w:lang w:eastAsia="zh-CN"/>
        </w:rPr>
        <w:t>年以</w:t>
      </w:r>
      <w:r>
        <w:rPr>
          <w:rFonts w:hint="eastAsia" w:ascii="仿宋_GB2312" w:hAnsi="仿宋_GB2312" w:eastAsia="仿宋_GB2312" w:cs="仿宋_GB2312"/>
          <w:color w:val="000000"/>
          <w:sz w:val="32"/>
          <w:szCs w:val="32"/>
        </w:rPr>
        <w:t>来，先后在全县范围内开展4次影响社会稳定矛盾问题摸排工作，共排查出需重点解决涉稳突出问题26个，重点人员31人，需持续关注涉稳问题44个，涉稳人员199人。四是积极指导督促社会稳定风险评估。坚持将社会稳定风险评估作为出政策、上项目、搞改革的前置条件，督促各级各部门严格评估前置要求，充分预测风险隐患，科学制定应对措施，最大限度地避免和减少因决策不慎重、时机不成熟、操作不规范引发的社会矛盾。截</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目前，全县经过评估的60件重大事项均未发生涉稳事件。</w:t>
      </w:r>
    </w:p>
    <w:p w14:paraId="21F703AE">
      <w:pPr>
        <w:numPr>
          <w:ilvl w:val="0"/>
          <w:numId w:val="0"/>
        </w:numPr>
        <w:spacing w:line="560" w:lineRule="exact"/>
        <w:ind w:leftChars="150" w:firstLine="321" w:firstLineChars="1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加快推进社会基层治理。</w:t>
      </w:r>
    </w:p>
    <w:p w14:paraId="201F754A">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县委政法委深入推进平安盐边，基层社会治理相关工作，充分发挥网格员、红袖标队伍等群防群治队伍力量，开展治安巡逻、疫情防控、纠纷化解、隐患排查和特殊人群服务管理等工作，为全县经济发展营造了良好的社会环境。</w:t>
      </w:r>
      <w:r>
        <w:rPr>
          <w:rFonts w:hint="eastAsia" w:ascii="仿宋_GB2312" w:hAnsi="仿宋_GB2312" w:eastAsia="仿宋_GB2312" w:cs="仿宋_GB2312"/>
          <w:b/>
          <w:sz w:val="32"/>
          <w:szCs w:val="32"/>
        </w:rPr>
        <w:t>一是全力推进平安盐边建设。</w:t>
      </w:r>
      <w:r>
        <w:rPr>
          <w:rFonts w:hint="eastAsia" w:ascii="仿宋_GB2312" w:hAnsi="仿宋_GB2312" w:eastAsia="仿宋_GB2312" w:cs="仿宋_GB2312"/>
          <w:sz w:val="32"/>
          <w:szCs w:val="32"/>
        </w:rPr>
        <w:t>强化社会立体治安防控体系建设。全力加快推进盐边县“雪亮工程”和综治中心（三期）项目建设，今年项目复工以来，为确保项目进度，县委政法委组织有关部门召开了11次推进会，及时解决项目中发现的问题和矛盾。截</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目前，全县勘察确定720个前端点位，完成了378个球机前端点位安装对接，完成623个枪机前端点位安装，县级综治中心正在装修和调试中。县委政法委按照</w:t>
      </w:r>
      <w:r>
        <w:rPr>
          <w:rFonts w:hint="eastAsia" w:ascii="仿宋_GB2312" w:hAnsi="仿宋_GB2312" w:eastAsia="仿宋_GB2312" w:cs="仿宋_GB2312"/>
          <w:sz w:val="32"/>
          <w:szCs w:val="32"/>
          <w:lang w:eastAsia="zh-CN"/>
        </w:rPr>
        <w:t>省委政法委</w:t>
      </w:r>
      <w:r>
        <w:rPr>
          <w:rFonts w:hint="eastAsia" w:ascii="仿宋_GB2312" w:hAnsi="仿宋_GB2312" w:eastAsia="仿宋_GB2312" w:cs="仿宋_GB2312"/>
          <w:sz w:val="32"/>
          <w:szCs w:val="32"/>
        </w:rPr>
        <w:t>《关于2019年度平安建设群众满意度测评情况的通报》的文件内容，制定了整改方案，有序推进整改工作。各乡镇、各部门按照专群结合的要求，进一步加强了人员密集场所和重点部位的巡逻防控力度，实现对各类治安区域的全覆盖，提高了特殊敏感时期“见警察、见警车、见警灯、见红袖标”四见率，全面挤压犯罪空间，不断提高人民群众安全感和满意度。</w:t>
      </w:r>
      <w:r>
        <w:rPr>
          <w:rFonts w:hint="eastAsia" w:ascii="仿宋_GB2312" w:hAnsi="仿宋_GB2312" w:eastAsia="仿宋_GB2312" w:cs="仿宋_GB2312"/>
          <w:b/>
          <w:sz w:val="32"/>
          <w:szCs w:val="32"/>
        </w:rPr>
        <w:t>二是深入推进矛盾纠纷多元化解工作。</w:t>
      </w:r>
      <w:r>
        <w:rPr>
          <w:rFonts w:hint="eastAsia" w:ascii="仿宋_GB2312" w:hAnsi="仿宋_GB2312" w:eastAsia="仿宋_GB2312" w:cs="仿宋_GB2312"/>
          <w:sz w:val="32"/>
          <w:szCs w:val="32"/>
        </w:rPr>
        <w:t>县委政法委积极探索多元共治新思路，认真总结前期遵法评理会试点经验，稳步推进遵法评理会在全县推广有关工作。建立了“盐边县专业人民调委会”微信联络群，通过“线上”宣传有关法律法规，收集开展的案件调解情况。盐边县矛盾纠纷多元化解第三方调解中心落实“7*24”值班启动“零时差”纠纷受理，集中资源优先做好涉及疫情、涉及企业复工复产、涉及影响社会稳定等矛盾纠纷调处，做到“即申即调”，非紧急的矛盾纠纷实行“备案登记+电话随访+预约调解”。2020年以来，盐边县各级调解组织排查化解各类矛盾纠纷，并录入四川省矛盾纠纷多元化解工作信息系统纠纷1089件，调解成功1086件，调解成功率达100%。</w:t>
      </w:r>
      <w:r>
        <w:rPr>
          <w:rFonts w:hint="eastAsia" w:ascii="仿宋_GB2312" w:hAnsi="仿宋_GB2312" w:eastAsia="仿宋_GB2312" w:cs="仿宋_GB2312"/>
          <w:b/>
          <w:sz w:val="32"/>
          <w:szCs w:val="32"/>
        </w:rPr>
        <w:t>三是深入推进网格服务管理工作。</w:t>
      </w:r>
      <w:r>
        <w:rPr>
          <w:rFonts w:hint="eastAsia" w:ascii="仿宋_GB2312" w:hAnsi="仿宋_GB2312" w:eastAsia="仿宋_GB2312" w:cs="仿宋_GB2312"/>
          <w:sz w:val="32"/>
          <w:szCs w:val="32"/>
        </w:rPr>
        <w:t>结合乡镇行政区划调整、村级建制改革等实际，县委政法委重新调整合理优化网格，制定完善网格员考核制度，进一步提高网格员待遇，确保网格服务管理工作取得实效。网格调整方案将待县政府常务会审议后下发执行。</w:t>
      </w:r>
      <w:r>
        <w:rPr>
          <w:rFonts w:hint="eastAsia" w:ascii="仿宋_GB2312" w:hAnsi="仿宋_GB2312" w:eastAsia="仿宋_GB2312" w:cs="仿宋_GB2312"/>
          <w:b/>
          <w:sz w:val="32"/>
          <w:szCs w:val="32"/>
        </w:rPr>
        <w:t>四是深入开展禁毒人民战争。</w:t>
      </w:r>
      <w:r>
        <w:rPr>
          <w:rFonts w:hint="eastAsia" w:ascii="仿宋_GB2312" w:hAnsi="仿宋_GB2312" w:eastAsia="仿宋_GB2312" w:cs="仿宋_GB2312"/>
          <w:sz w:val="32"/>
          <w:szCs w:val="32"/>
        </w:rPr>
        <w:t>今年以来全县打击毒品犯罪的力度不断加大，禁毒工作取得重大成果。按照三年禁毒人民攻坚战的总体安排，狠抓缉毒破案、禁吸戒毒、禁毒宣传、禁毒管理、戒毒康复等各项工作，深入推进毒品问题综合治理，涉毒违法犯罪空间得到有效压缩，全县毒情形势逐年好转。</w:t>
      </w:r>
      <w:r>
        <w:rPr>
          <w:rFonts w:hint="eastAsia" w:ascii="仿宋_GB2312" w:hAnsi="仿宋_GB2312" w:eastAsia="仿宋_GB2312" w:cs="仿宋_GB2312"/>
          <w:b/>
          <w:sz w:val="32"/>
          <w:szCs w:val="32"/>
        </w:rPr>
        <w:t>五是深入开展铁路护路工作。</w:t>
      </w:r>
      <w:r>
        <w:rPr>
          <w:rFonts w:hint="eastAsia" w:ascii="仿宋_GB2312" w:hAnsi="仿宋_GB2312" w:eastAsia="仿宋_GB2312" w:cs="仿宋_GB2312"/>
          <w:sz w:val="32"/>
          <w:szCs w:val="32"/>
        </w:rPr>
        <w:t>落实铁路护路联防责任制，深化平安铁路创建活动。认真开展铁路周边的隐患排查和反恐应急演练，县护路办组织有关部门到铁路沿线开展安全隐患排查工作6次，组织开展铁路沿线宣传活动1次。5月份新招聘5名护路队员开展新建复线巡逻工作，全县15名护路队员每天早、中、晚3次对铁路沿线进行巡逻。</w:t>
      </w:r>
    </w:p>
    <w:p w14:paraId="155AC23F">
      <w:pPr>
        <w:numPr>
          <w:ilvl w:val="0"/>
          <w:numId w:val="0"/>
        </w:numPr>
        <w:spacing w:line="560" w:lineRule="exact"/>
        <w:ind w:leftChars="150" w:firstLine="321" w:firstLineChars="1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val="en-US" w:eastAsia="zh-CN"/>
        </w:rPr>
        <w:t>3.</w:t>
      </w:r>
      <w:r>
        <w:rPr>
          <w:rFonts w:hint="eastAsia" w:ascii="仿宋_GB2312" w:hAnsi="仿宋_GB2312" w:eastAsia="仿宋_GB2312" w:cs="仿宋_GB2312"/>
          <w:b/>
          <w:color w:val="000000"/>
          <w:sz w:val="32"/>
          <w:szCs w:val="32"/>
        </w:rPr>
        <w:t>深化扫黑除恶专项斗争。</w:t>
      </w:r>
    </w:p>
    <w:p w14:paraId="5B90AF8E">
      <w:pPr>
        <w:numPr>
          <w:ilvl w:val="0"/>
          <w:numId w:val="0"/>
        </w:num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2020年是扫黑除恶专项斗争</w:t>
      </w:r>
      <w:r>
        <w:rPr>
          <w:rFonts w:hint="eastAsia" w:ascii="仿宋_GB2312" w:hAnsi="仿宋_GB2312" w:eastAsia="仿宋_GB2312" w:cs="仿宋_GB2312"/>
          <w:color w:val="000000"/>
          <w:sz w:val="32"/>
          <w:szCs w:val="32"/>
          <w:lang w:eastAsia="zh-CN"/>
        </w:rPr>
        <w:t>预期</w:t>
      </w:r>
      <w:r>
        <w:rPr>
          <w:rFonts w:hint="eastAsia" w:ascii="仿宋_GB2312" w:hAnsi="仿宋_GB2312" w:eastAsia="仿宋_GB2312" w:cs="仿宋_GB2312"/>
          <w:color w:val="000000"/>
          <w:sz w:val="32"/>
          <w:szCs w:val="32"/>
        </w:rPr>
        <w:t>目标实现之年，县扫黑除恶领导小组和县扫黑办紧紧围绕“深挖根治，长效常治”，认真贯彻落实全国、全省、全市扫黑除恶专项斗争视频会议精神，坚持紧盯突出问题抓整改，紧盯重点任务抓落实，紧盯大要案件抓攻坚，紧盯乱象整治抓源头，掀起了专项斗争强大攻势。“10+2”重点行业部门制定了各行业领域乱点乱象整治方案，并按照方案每月有序推进整治工作，全面梳理乱点乱象整治中暴露出的问题，深入分析问题形成原因和机制运行、制度建设上存在的短板和弱项，找准找全机制障碍、制度缺陷和监管漏洞，不断完善机制制度。截</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目前，全县共制定印发了22个工作推进机制制度，其中县扫黑办建设完善了17项机制制度，各部门经主要领导签批后建设完善了6项机制制度。各部门加强协调配合，健全同频联动监管机制，对办案中发现的行业监管漏洞和突出问题，发放三书一函，实现打击与防范、治标与治本有机统一。截</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目前，全县共发放24份“三书一函”，其中7份监察建议书、2份公安提示函、13份检察建议书、2份司法建议书，行业部门均已全部按时回复。同时结合风险防范治理行动、脱贫攻坚等工作，积极做好扫黑除恶专项斗争的入户宣传动员工作，发放宣传资料3700余份；张贴海报500余张，悬挂宣传标语横幅410余幅。</w:t>
      </w:r>
    </w:p>
    <w:p w14:paraId="43857869">
      <w:pPr>
        <w:numPr>
          <w:ilvl w:val="0"/>
          <w:numId w:val="0"/>
        </w:numPr>
        <w:spacing w:line="560" w:lineRule="exact"/>
        <w:ind w:leftChars="150" w:firstLine="321" w:firstLineChars="1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推进市域社会治理现代化。</w:t>
      </w:r>
    </w:p>
    <w:p w14:paraId="7DA54435">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县委政法委把市域社会治理作为平安建设、法治建设的工作重点，全市启动试点工作以来，</w:t>
      </w:r>
      <w:r>
        <w:rPr>
          <w:rFonts w:hint="eastAsia" w:ascii="仿宋_GB2312" w:hAnsi="仿宋_GB2312" w:eastAsia="仿宋_GB2312" w:cs="仿宋_GB2312"/>
          <w:sz w:val="32"/>
          <w:szCs w:val="32"/>
          <w:lang w:eastAsia="zh-CN"/>
        </w:rPr>
        <w:t>县委政法委</w:t>
      </w:r>
      <w:r>
        <w:rPr>
          <w:rFonts w:hint="eastAsia" w:ascii="仿宋_GB2312" w:hAnsi="仿宋_GB2312" w:eastAsia="仿宋_GB2312" w:cs="仿宋_GB2312"/>
          <w:sz w:val="32"/>
          <w:szCs w:val="32"/>
        </w:rPr>
        <w:t>发挥牵头抓总、统筹协调作用，确定了市域社会治理现代化工作总体框架。建立健全了组织领导，成立了由县委书记、县长任组长，42个部门、12乡镇为成员单位的平安建设暨市域社会治理现代化工作领导小组。自平安建设暨市域社会治理现代化工作开展以来，我县组织召开了平安建设暨市域社会治理现代化工作领导小组第一次会议，3次领导小组办公室主任会议，会议研究确定了平安建设暨市域社会治理现代化工作分工，目标任务，重点工作，努力探索具有盐边特色、时代特征、市域特点的社会治理模式。截</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目前，县市域办制定下发了《盐边县平安建设暨市域社会治理现代化工作专家库管理办法》《盐边县平安建设暨市域社会治理现代化工作档案管理制度》《盐边县平安建设暨市域社会治理现代化工作领导小组办公室工作细则》《盐边县平安建设暨市域社会治理现代化工作“135+N”工作机制》《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盐边县市域社会治理现代化工作方案（2020-2022）</w:t>
      </w:r>
      <w:r>
        <w:rPr>
          <w:rFonts w:hint="eastAsia" w:ascii="仿宋_GB2312" w:hAnsi="仿宋_GB2312" w:eastAsia="仿宋_GB2312" w:cs="仿宋_GB2312"/>
          <w:sz w:val="32"/>
          <w:szCs w:val="32"/>
          <w:lang w:eastAsia="zh-CN"/>
        </w:rPr>
        <w:t>〉的通知》</w:t>
      </w:r>
      <w:r>
        <w:rPr>
          <w:rFonts w:hint="eastAsia" w:ascii="仿宋_GB2312" w:hAnsi="仿宋_GB2312" w:eastAsia="仿宋_GB2312" w:cs="仿宋_GB2312"/>
          <w:sz w:val="32"/>
          <w:szCs w:val="32"/>
        </w:rPr>
        <w:t>等工作机制文件，进一步完善了全县平安建设暨市域社会治理现代化工作机制。</w:t>
      </w:r>
    </w:p>
    <w:p w14:paraId="46D479FE">
      <w:pPr>
        <w:numPr>
          <w:ilvl w:val="0"/>
          <w:numId w:val="1"/>
        </w:num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全面深化社会体制改革。</w:t>
      </w:r>
    </w:p>
    <w:p w14:paraId="6AB4C19E">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县政法部门坚持以习近平新时代中国特色社会主义思想为指导，坚持以人民为中心，把增强“四个意识”、坚定“四个自信”、做到“两个维护”体现在落实上级的决策部署的实际行动中，聚焦加强党对政法工作的绝对领导，巩固扩大机构改革成果，完善两大体系、两大机制，破解三大难题，处理好五个关系，推动各项改革措施精准落地。为更</w:t>
      </w:r>
      <w:r>
        <w:rPr>
          <w:rFonts w:hint="eastAsia" w:ascii="仿宋_GB2312" w:hAnsi="仿宋_GB2312" w:eastAsia="仿宋_GB2312" w:cs="仿宋_GB2312"/>
          <w:sz w:val="32"/>
          <w:szCs w:val="32"/>
          <w:lang w:eastAsia="zh-CN"/>
        </w:rPr>
        <w:t>好地</w:t>
      </w:r>
      <w:r>
        <w:rPr>
          <w:rFonts w:hint="eastAsia" w:ascii="仿宋_GB2312" w:hAnsi="仿宋_GB2312" w:eastAsia="仿宋_GB2312" w:cs="仿宋_GB2312"/>
          <w:sz w:val="32"/>
          <w:szCs w:val="32"/>
        </w:rPr>
        <w:t>统筹推进全县全面深化改革工作，扎实抓好各项改革措施落实，及时补充调整了深化社会体制改革领导小组。社会体制改革专项小组有29项改革任务，其中实施规划类改革任务落实台账10项，专项改革方案上会审议计划2项，专项改革方案落实台账13项，重大改革试点落实台账4项。通过近年来有序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党对政法工作的绝对领导更加有力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机构职能体系更加健全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工作体制机制更有活力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人民群众获得感、幸福感、安全感更加充实。</w:t>
      </w:r>
    </w:p>
    <w:p w14:paraId="1981C94C">
      <w:pPr>
        <w:numPr>
          <w:ilvl w:val="0"/>
          <w:numId w:val="1"/>
        </w:numPr>
        <w:spacing w:line="560" w:lineRule="exact"/>
        <w:ind w:left="0" w:leftChars="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强化全县政法队伍建设。</w:t>
      </w:r>
    </w:p>
    <w:p w14:paraId="3A9733F6">
      <w:pPr>
        <w:numPr>
          <w:ilvl w:val="0"/>
          <w:numId w:val="0"/>
        </w:numPr>
        <w:spacing w:line="560" w:lineRule="exact"/>
        <w:ind w:leftChars="2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始终把党的政治建设摆在首位，坚决维护以习近平同志为核心的党中央权威和集中统一领导。县委政法委认真学习贯彻中央、省委、市委政法委关于坚决维护党中央集中统一领导相关文件，教育引导政法党员干警树牢“四个意识”，坚决维护习近平同志在全党的核心地位，坚决维护党中央权威和集中统一领导。自“守纪律、提效能、强执行、做表率”活动开展以来，严格按照方案要求，采取多种形式和措施，认真进行了集中学习，并对群众反映的问题进行了积极深入的整改。落实领导干部基层联系点制度，狠抓领导干部基层联系点工作制度的落实，县委政法委领导率先垂范，每月到联系点调研</w:t>
      </w:r>
      <w:r>
        <w:rPr>
          <w:rFonts w:hint="eastAsia" w:ascii="仿宋_GB2312" w:hAnsi="仿宋_GB2312" w:eastAsia="仿宋_GB2312" w:cs="仿宋_GB2312"/>
          <w:sz w:val="32"/>
          <w:szCs w:val="32"/>
          <w:lang w:eastAsia="zh-CN"/>
        </w:rPr>
        <w:t>至少在一次</w:t>
      </w:r>
      <w:r>
        <w:rPr>
          <w:rFonts w:hint="eastAsia" w:ascii="仿宋_GB2312" w:hAnsi="仿宋_GB2312" w:eastAsia="仿宋_GB2312" w:cs="仿宋_GB2312"/>
          <w:sz w:val="32"/>
          <w:szCs w:val="32"/>
        </w:rPr>
        <w:t>，帮助基层协调解决实际问题。县委政法委积极协调组织部门，配齐各乡镇政法委员，充实基层力量，截</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目前12个乡镇政法委员已经配备到位。</w:t>
      </w:r>
    </w:p>
    <w:p w14:paraId="0872CAFC">
      <w:pPr>
        <w:numPr>
          <w:ilvl w:val="0"/>
          <w:numId w:val="1"/>
        </w:numPr>
        <w:spacing w:line="560" w:lineRule="exact"/>
        <w:ind w:left="0" w:leftChars="0"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建章立制常态长效。</w:t>
      </w:r>
    </w:p>
    <w:p w14:paraId="47F03DCC">
      <w:pPr>
        <w:numPr>
          <w:ilvl w:val="0"/>
          <w:numId w:val="0"/>
        </w:numPr>
        <w:spacing w:line="560" w:lineRule="exact"/>
        <w:ind w:leftChars="200"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县委政法委围绕政法委工作目标，对原有的规章制度进行重新梳理，对长期以来形成的运行规范、操作良好的制度坚决保留和执行；对实践证明是行之有效的做法，加以确认和推广；对已明显不适应新形势的规章制度该废止的坚决废止、该修订的及时修订、该补充的充实完善，进一步完善了管理制度，包括值班考勤、公务用车、信息宣传、财务管理、学习、请销假等各类规章制度。修订后的规章制度更加规范，内容</w:t>
      </w:r>
      <w:r>
        <w:rPr>
          <w:rFonts w:hint="eastAsia" w:ascii="仿宋_GB2312" w:hAnsi="仿宋_GB2312" w:eastAsia="仿宋_GB2312" w:cs="仿宋_GB2312"/>
          <w:b w:val="0"/>
          <w:bCs w:val="0"/>
          <w:kern w:val="2"/>
          <w:sz w:val="32"/>
          <w:szCs w:val="32"/>
          <w:lang w:eastAsia="zh-CN"/>
        </w:rPr>
        <w:t>更加</w:t>
      </w:r>
      <w:r>
        <w:rPr>
          <w:rFonts w:hint="eastAsia" w:ascii="仿宋_GB2312" w:hAnsi="仿宋_GB2312" w:eastAsia="仿宋_GB2312" w:cs="仿宋_GB2312"/>
          <w:b w:val="0"/>
          <w:bCs w:val="0"/>
          <w:kern w:val="2"/>
          <w:sz w:val="32"/>
          <w:szCs w:val="32"/>
        </w:rPr>
        <w:t>全面，保证了机关各项工作有序、高效运转。印发了《中共盐边县委政法委委务会议制度》，就议事范围、议事组成和议事规则等进行了明确。印发了《中共盐边县政法委全体委员会议事决策规则》，规定了县委政法委全体委员会议是研究政法工作的常设性会议，每一季度召开一次，主要研究和总结全县政法工作、政法队伍建设工作以及其他重大工作部署。</w:t>
      </w:r>
    </w:p>
    <w:p w14:paraId="645E3C53">
      <w:pPr>
        <w:pStyle w:val="4"/>
        <w:rPr>
          <w:rStyle w:val="22"/>
          <w:rFonts w:cs="Times New Roman"/>
          <w:b w:val="0"/>
          <w:bCs w:val="0"/>
        </w:rPr>
      </w:pPr>
      <w:r>
        <w:rPr>
          <w:rFonts w:hint="eastAsia" w:ascii="黑体" w:eastAsia="黑体" w:cs="黑体"/>
          <w:b w:val="0"/>
          <w:bCs w:val="0"/>
          <w:color w:val="000000"/>
        </w:rPr>
        <w:t>二、</w:t>
      </w:r>
      <w:r>
        <w:rPr>
          <w:rFonts w:hint="eastAsia" w:ascii="黑体" w:hAnsi="黑体" w:eastAsia="黑体" w:cs="黑体"/>
          <w:b w:val="0"/>
          <w:bCs w:val="0"/>
          <w:color w:val="000000"/>
        </w:rPr>
        <w:t>机</w:t>
      </w:r>
      <w:r>
        <w:rPr>
          <w:rStyle w:val="22"/>
          <w:rFonts w:hint="eastAsia" w:ascii="黑体" w:hAnsi="黑体" w:eastAsia="黑体" w:cs="黑体"/>
          <w:b w:val="0"/>
          <w:bCs w:val="0"/>
        </w:rPr>
        <w:t>构设置</w:t>
      </w:r>
      <w:bookmarkEnd w:id="26"/>
      <w:bookmarkEnd w:id="27"/>
      <w:bookmarkEnd w:id="28"/>
    </w:p>
    <w:p w14:paraId="415335CB">
      <w:pPr>
        <w:pStyle w:val="8"/>
        <w:adjustRightInd w:val="0"/>
        <w:spacing w:beforeLines="0" w:line="560" w:lineRule="exact"/>
        <w:ind w:firstLine="672" w:firstLineChars="210"/>
        <w:rPr>
          <w:rFonts w:ascii="Times New Roman" w:cs="Times New Roman"/>
          <w:sz w:val="32"/>
          <w:szCs w:val="32"/>
        </w:rPr>
      </w:pPr>
      <w:r>
        <w:rPr>
          <w:rFonts w:hint="eastAsia" w:ascii="Times New Roman"/>
          <w:sz w:val="32"/>
          <w:szCs w:val="32"/>
        </w:rPr>
        <w:t>中共盐边县委政法委员会下属非独立核算单位</w:t>
      </w:r>
      <w:r>
        <w:rPr>
          <w:rFonts w:ascii="Times New Roman" w:cs="Times New Roman"/>
          <w:sz w:val="32"/>
          <w:szCs w:val="32"/>
        </w:rPr>
        <w:t>1</w:t>
      </w:r>
      <w:r>
        <w:rPr>
          <w:rFonts w:hint="eastAsia" w:ascii="Times New Roman"/>
          <w:sz w:val="32"/>
          <w:szCs w:val="32"/>
        </w:rPr>
        <w:t>个，其中其他事业单位</w:t>
      </w:r>
      <w:r>
        <w:rPr>
          <w:rFonts w:ascii="Times New Roman" w:cs="Times New Roman"/>
          <w:sz w:val="32"/>
          <w:szCs w:val="32"/>
        </w:rPr>
        <w:t>1</w:t>
      </w:r>
      <w:r>
        <w:rPr>
          <w:rFonts w:hint="eastAsia" w:ascii="Times New Roman"/>
          <w:sz w:val="32"/>
          <w:szCs w:val="32"/>
        </w:rPr>
        <w:t>个。主要包括：盐边县社会治安综合治理中心。</w:t>
      </w:r>
    </w:p>
    <w:p w14:paraId="500C1566">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77D654BD">
      <w:pPr>
        <w:pStyle w:val="3"/>
        <w:ind w:right="440"/>
        <w:jc w:val="right"/>
        <w:rPr>
          <w:rStyle w:val="21"/>
          <w:rFonts w:ascii="黑体" w:hAnsi="黑体" w:eastAsia="黑体"/>
          <w:b w:val="0"/>
          <w:bCs w:val="0"/>
        </w:rPr>
      </w:pPr>
      <w:bookmarkStart w:id="29" w:name="_Toc15396602"/>
      <w:bookmarkStart w:id="30" w:name="_Toc52180073"/>
      <w:bookmarkStart w:id="31" w:name="_Toc15377204"/>
      <w:r>
        <w:rPr>
          <w:rFonts w:hint="eastAsia" w:ascii="黑体" w:hAnsi="黑体" w:eastAsia="黑体" w:cs="黑体"/>
          <w:b w:val="0"/>
          <w:bCs w:val="0"/>
          <w:color w:val="000000"/>
        </w:rPr>
        <w:t>第二部分</w:t>
      </w:r>
      <w:r>
        <w:rPr>
          <w:rFonts w:ascii="黑体" w:hAnsi="黑体" w:eastAsia="黑体" w:cs="黑体"/>
          <w:color w:val="000000"/>
        </w:rPr>
        <w:t xml:space="preserve"> </w:t>
      </w:r>
      <w:r>
        <w:rPr>
          <w:rStyle w:val="21"/>
          <w:rFonts w:hint="eastAsia" w:ascii="黑体" w:hAnsi="黑体" w:eastAsia="黑体" w:cs="黑体"/>
          <w:b w:val="0"/>
          <w:bCs w:val="0"/>
          <w:lang w:eastAsia="zh-CN"/>
        </w:rPr>
        <w:t>2020</w:t>
      </w:r>
      <w:r>
        <w:rPr>
          <w:rStyle w:val="21"/>
          <w:rFonts w:hint="eastAsia" w:ascii="黑体" w:hAnsi="黑体" w:eastAsia="黑体" w:cs="黑体"/>
          <w:b w:val="0"/>
          <w:bCs w:val="0"/>
        </w:rPr>
        <w:t>年度部门决算情况说明</w:t>
      </w:r>
      <w:bookmarkEnd w:id="29"/>
      <w:bookmarkEnd w:id="30"/>
      <w:bookmarkEnd w:id="31"/>
    </w:p>
    <w:p w14:paraId="09142C75"/>
    <w:p w14:paraId="1DE8EF41">
      <w:pPr>
        <w:pStyle w:val="32"/>
        <w:numPr>
          <w:ilvl w:val="0"/>
          <w:numId w:val="2"/>
        </w:numPr>
        <w:spacing w:line="600" w:lineRule="exact"/>
        <w:ind w:firstLineChars="0"/>
        <w:outlineLvl w:val="1"/>
        <w:rPr>
          <w:rStyle w:val="22"/>
          <w:rFonts w:ascii="黑体" w:hAnsi="黑体" w:eastAsia="黑体" w:cs="Times New Roman"/>
          <w:b w:val="0"/>
          <w:bCs w:val="0"/>
        </w:rPr>
      </w:pPr>
      <w:bookmarkStart w:id="32" w:name="_Toc15396603"/>
      <w:bookmarkStart w:id="33" w:name="_Toc15377205"/>
      <w:bookmarkStart w:id="34" w:name="_Toc52180074"/>
      <w:r>
        <w:rPr>
          <w:rFonts w:hint="eastAsia" w:ascii="黑体" w:hAnsi="黑体" w:eastAsia="黑体" w:cs="黑体"/>
          <w:color w:val="000000"/>
          <w:sz w:val="32"/>
          <w:szCs w:val="32"/>
        </w:rPr>
        <w:t>收</w:t>
      </w:r>
      <w:r>
        <w:rPr>
          <w:rStyle w:val="22"/>
          <w:rFonts w:hint="eastAsia" w:ascii="黑体" w:hAnsi="黑体" w:eastAsia="黑体" w:cs="黑体"/>
          <w:b w:val="0"/>
          <w:bCs w:val="0"/>
        </w:rPr>
        <w:t>入支出决算总体情况说明</w:t>
      </w:r>
      <w:bookmarkEnd w:id="32"/>
      <w:bookmarkEnd w:id="33"/>
      <w:bookmarkEnd w:id="34"/>
    </w:p>
    <w:p w14:paraId="7C72EC36">
      <w:pPr>
        <w:spacing w:line="600" w:lineRule="exact"/>
        <w:ind w:firstLine="640" w:firstLineChars="200"/>
        <w:rPr>
          <w:rFonts w:ascii="仿宋_GB2312" w:eastAsia="仿宋_GB2312"/>
          <w:color w:val="000000"/>
          <w:sz w:val="32"/>
          <w:szCs w:val="32"/>
        </w:rPr>
      </w:pPr>
      <w:r>
        <w:rPr>
          <w:rFonts w:hint="eastAsia" w:ascii="仿宋" w:hAnsi="仿宋" w:eastAsia="仿宋" w:cs="仿宋"/>
          <w:color w:val="000000"/>
          <w:sz w:val="32"/>
          <w:szCs w:val="32"/>
          <w:lang w:eastAsia="zh-CN"/>
        </w:rPr>
        <w:t>2020</w:t>
      </w:r>
      <w:r>
        <w:rPr>
          <w:rFonts w:hint="eastAsia" w:ascii="仿宋" w:hAnsi="仿宋" w:eastAsia="仿宋" w:cs="仿宋"/>
          <w:color w:val="000000"/>
          <w:sz w:val="32"/>
          <w:szCs w:val="32"/>
        </w:rPr>
        <w:t>年度收、支总计</w:t>
      </w:r>
      <w:r>
        <w:rPr>
          <w:rFonts w:hint="eastAsia" w:ascii="仿宋" w:hAnsi="仿宋" w:eastAsia="仿宋" w:cs="仿宋"/>
          <w:color w:val="000000"/>
          <w:sz w:val="32"/>
          <w:szCs w:val="32"/>
          <w:lang w:val="en-US" w:eastAsia="zh-CN"/>
        </w:rPr>
        <w:t>512.08</w:t>
      </w:r>
      <w:r>
        <w:rPr>
          <w:rFonts w:hint="eastAsia" w:ascii="仿宋" w:hAnsi="仿宋" w:eastAsia="仿宋" w:cs="仿宋"/>
          <w:color w:val="000000"/>
          <w:sz w:val="32"/>
          <w:szCs w:val="32"/>
        </w:rPr>
        <w:t>万元。与</w:t>
      </w:r>
      <w:r>
        <w:rPr>
          <w:rFonts w:hint="eastAsia" w:ascii="仿宋" w:hAnsi="仿宋" w:eastAsia="仿宋" w:cs="仿宋"/>
          <w:color w:val="000000"/>
          <w:sz w:val="32"/>
          <w:szCs w:val="32"/>
          <w:lang w:eastAsia="zh-CN"/>
        </w:rPr>
        <w:t>2019</w:t>
      </w:r>
      <w:r>
        <w:rPr>
          <w:rFonts w:hint="eastAsia" w:ascii="仿宋" w:hAnsi="仿宋" w:eastAsia="仿宋" w:cs="仿宋"/>
          <w:color w:val="000000"/>
          <w:sz w:val="32"/>
          <w:szCs w:val="32"/>
        </w:rPr>
        <w:t>年相比，收、支总计各增加</w:t>
      </w:r>
      <w:r>
        <w:rPr>
          <w:rFonts w:hint="eastAsia" w:ascii="仿宋" w:hAnsi="仿宋" w:eastAsia="仿宋" w:cs="仿宋"/>
          <w:color w:val="000000"/>
          <w:sz w:val="32"/>
          <w:szCs w:val="32"/>
          <w:lang w:val="en-US" w:eastAsia="zh-CN"/>
        </w:rPr>
        <w:t>270.88</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112</w:t>
      </w:r>
      <w:r>
        <w:rPr>
          <w:rFonts w:ascii="仿宋" w:hAnsi="仿宋" w:eastAsia="仿宋" w:cs="仿宋"/>
          <w:color w:val="000000"/>
          <w:sz w:val="32"/>
          <w:szCs w:val="32"/>
        </w:rPr>
        <w:t>%</w:t>
      </w:r>
      <w:r>
        <w:rPr>
          <w:rFonts w:hint="eastAsia" w:ascii="仿宋" w:hAnsi="仿宋" w:eastAsia="仿宋" w:cs="仿宋"/>
          <w:color w:val="000000"/>
          <w:sz w:val="32"/>
          <w:szCs w:val="32"/>
        </w:rPr>
        <w:t>。主要变动原因是单位</w:t>
      </w:r>
      <w:r>
        <w:rPr>
          <w:rFonts w:hint="eastAsia" w:ascii="仿宋" w:hAnsi="仿宋" w:eastAsia="仿宋" w:cs="仿宋"/>
          <w:color w:val="000000"/>
          <w:sz w:val="32"/>
          <w:szCs w:val="32"/>
          <w:lang w:eastAsia="zh-CN"/>
        </w:rPr>
        <w:t>工作业务量增加，项目支出经费增加</w:t>
      </w:r>
      <w:r>
        <w:rPr>
          <w:rFonts w:hint="eastAsia" w:ascii="仿宋" w:hAnsi="仿宋" w:eastAsia="仿宋" w:cs="仿宋"/>
          <w:color w:val="000000"/>
          <w:sz w:val="32"/>
          <w:szCs w:val="32"/>
        </w:rPr>
        <w:t>。</w:t>
      </w:r>
    </w:p>
    <w:p w14:paraId="775FB877">
      <w:pPr>
        <w:pStyle w:val="2"/>
        <w:rPr>
          <w:rFonts w:ascii="仿宋_GB2312" w:eastAsia="仿宋_GB2312"/>
          <w:color w:val="000000"/>
          <w:sz w:val="32"/>
          <w:szCs w:val="32"/>
        </w:rPr>
      </w:pPr>
      <w:r>
        <w:drawing>
          <wp:inline distT="0" distB="0" distL="114300" distR="114300">
            <wp:extent cx="5276850" cy="3048000"/>
            <wp:effectExtent l="4445" t="4445" r="14605" b="14605"/>
            <wp:docPr id="7" name="图片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7A9EC82"/>
    <w:p w14:paraId="07A2B8A3">
      <w:pPr>
        <w:spacing w:line="600" w:lineRule="exact"/>
        <w:ind w:firstLine="640" w:firstLineChars="200"/>
        <w:jc w:val="left"/>
        <w:rPr>
          <w:rFonts w:ascii="仿宋_GB2312" w:eastAsia="仿宋_GB2312"/>
          <w:color w:val="000000"/>
          <w:sz w:val="32"/>
          <w:szCs w:val="32"/>
        </w:rPr>
      </w:pPr>
    </w:p>
    <w:p w14:paraId="59994FC3">
      <w:pPr>
        <w:pStyle w:val="32"/>
        <w:numPr>
          <w:ilvl w:val="0"/>
          <w:numId w:val="2"/>
        </w:numPr>
        <w:spacing w:line="600" w:lineRule="exact"/>
        <w:ind w:firstLineChars="0"/>
        <w:outlineLvl w:val="1"/>
        <w:rPr>
          <w:rStyle w:val="22"/>
          <w:rFonts w:ascii="黑体" w:hAnsi="黑体" w:eastAsia="黑体" w:cs="Times New Roman"/>
          <w:b w:val="0"/>
          <w:bCs w:val="0"/>
        </w:rPr>
      </w:pPr>
      <w:bookmarkStart w:id="35" w:name="_Toc15377206"/>
      <w:bookmarkStart w:id="36" w:name="_Toc52180075"/>
      <w:bookmarkStart w:id="37" w:name="_Toc15396604"/>
      <w:r>
        <w:rPr>
          <w:rFonts w:hint="eastAsia" w:ascii="黑体" w:hAnsi="黑体" w:eastAsia="黑体" w:cs="黑体"/>
          <w:color w:val="000000"/>
          <w:sz w:val="32"/>
          <w:szCs w:val="32"/>
        </w:rPr>
        <w:t>收</w:t>
      </w:r>
      <w:r>
        <w:rPr>
          <w:rStyle w:val="22"/>
          <w:rFonts w:hint="eastAsia" w:ascii="黑体" w:hAnsi="黑体" w:eastAsia="黑体" w:cs="黑体"/>
          <w:b w:val="0"/>
          <w:bCs w:val="0"/>
        </w:rPr>
        <w:t>入决算情况说明</w:t>
      </w:r>
      <w:bookmarkEnd w:id="35"/>
      <w:bookmarkEnd w:id="36"/>
      <w:bookmarkEnd w:id="37"/>
    </w:p>
    <w:p w14:paraId="43DEC7BE">
      <w:pPr>
        <w:spacing w:line="600" w:lineRule="exact"/>
        <w:ind w:firstLine="640" w:firstLineChars="200"/>
        <w:outlineLvl w:val="1"/>
        <w:rPr>
          <w:rFonts w:ascii="仿宋" w:hAnsi="仿宋" w:eastAsia="仿宋"/>
          <w:color w:val="000000"/>
          <w:sz w:val="32"/>
          <w:szCs w:val="32"/>
        </w:rPr>
      </w:pPr>
      <w:bookmarkStart w:id="38" w:name="_Toc52180076"/>
      <w:r>
        <w:rPr>
          <w:rFonts w:hint="eastAsia" w:ascii="仿宋" w:hAnsi="仿宋" w:eastAsia="仿宋" w:cs="仿宋"/>
          <w:color w:val="000000"/>
          <w:sz w:val="32"/>
          <w:szCs w:val="32"/>
          <w:lang w:eastAsia="zh-CN"/>
        </w:rPr>
        <w:t>2020</w:t>
      </w:r>
      <w:r>
        <w:rPr>
          <w:rFonts w:hint="eastAsia" w:ascii="仿宋" w:hAnsi="仿宋" w:eastAsia="仿宋" w:cs="仿宋"/>
          <w:color w:val="000000"/>
          <w:sz w:val="32"/>
          <w:szCs w:val="32"/>
        </w:rPr>
        <w:t>年本年收入合计</w:t>
      </w:r>
      <w:r>
        <w:rPr>
          <w:rFonts w:hint="eastAsia" w:ascii="仿宋" w:hAnsi="仿宋" w:eastAsia="仿宋" w:cs="仿宋"/>
          <w:color w:val="000000"/>
          <w:sz w:val="32"/>
          <w:szCs w:val="32"/>
          <w:lang w:val="en-US" w:eastAsia="zh-CN"/>
        </w:rPr>
        <w:t>512.08</w:t>
      </w:r>
      <w:r>
        <w:rPr>
          <w:rFonts w:hint="eastAsia" w:ascii="仿宋" w:hAnsi="仿宋" w:eastAsia="仿宋" w:cs="仿宋"/>
          <w:color w:val="000000"/>
          <w:sz w:val="32"/>
          <w:szCs w:val="32"/>
        </w:rPr>
        <w:t>万元，其中：一般公共预算财政拨款收入</w:t>
      </w:r>
      <w:r>
        <w:rPr>
          <w:rFonts w:hint="eastAsia" w:ascii="仿宋" w:hAnsi="仿宋" w:eastAsia="仿宋" w:cs="仿宋"/>
          <w:color w:val="000000"/>
          <w:sz w:val="32"/>
          <w:szCs w:val="32"/>
          <w:lang w:val="en-US" w:eastAsia="zh-CN"/>
        </w:rPr>
        <w:t>512.08</w:t>
      </w:r>
      <w:r>
        <w:rPr>
          <w:rFonts w:hint="eastAsia" w:ascii="仿宋" w:hAnsi="仿宋" w:eastAsia="仿宋" w:cs="仿宋"/>
          <w:color w:val="000000"/>
          <w:sz w:val="32"/>
          <w:szCs w:val="32"/>
        </w:rPr>
        <w:t>万元，占</w:t>
      </w:r>
      <w:r>
        <w:rPr>
          <w:rFonts w:ascii="仿宋" w:hAnsi="仿宋" w:eastAsia="仿宋" w:cs="仿宋"/>
          <w:color w:val="000000"/>
          <w:sz w:val="32"/>
          <w:szCs w:val="32"/>
        </w:rPr>
        <w:t>100%</w:t>
      </w:r>
      <w:r>
        <w:rPr>
          <w:rFonts w:hint="eastAsia" w:ascii="仿宋" w:hAnsi="仿宋" w:eastAsia="仿宋" w:cs="仿宋"/>
          <w:color w:val="000000"/>
          <w:sz w:val="32"/>
          <w:szCs w:val="32"/>
        </w:rPr>
        <w:t>；政府性基金预算财政拨款收入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；上级补助收入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；事业收入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；经营收入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；附属单位上缴收入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；其他收入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w:t>
      </w:r>
      <w:bookmarkEnd w:id="38"/>
    </w:p>
    <w:p w14:paraId="682BF773">
      <w:pPr>
        <w:spacing w:line="600" w:lineRule="exact"/>
        <w:ind w:firstLine="420" w:firstLineChars="200"/>
        <w:outlineLvl w:val="1"/>
        <w:rPr>
          <w:rFonts w:ascii="仿宋" w:hAnsi="仿宋" w:eastAsia="仿宋"/>
          <w:color w:val="000000"/>
          <w:sz w:val="32"/>
          <w:szCs w:val="32"/>
        </w:rPr>
      </w:pPr>
      <w:r>
        <w:drawing>
          <wp:anchor distT="0" distB="0" distL="114300" distR="114300" simplePos="0" relativeHeight="251659264" behindDoc="1" locked="0" layoutInCell="1" allowOverlap="1">
            <wp:simplePos x="0" y="0"/>
            <wp:positionH relativeFrom="column">
              <wp:posOffset>-15240</wp:posOffset>
            </wp:positionH>
            <wp:positionV relativeFrom="paragraph">
              <wp:posOffset>61595</wp:posOffset>
            </wp:positionV>
            <wp:extent cx="4594225" cy="2553970"/>
            <wp:effectExtent l="4445" t="4445" r="11430" b="1333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14144B1F">
      <w:pPr>
        <w:spacing w:line="600" w:lineRule="exact"/>
        <w:ind w:firstLine="640" w:firstLineChars="200"/>
        <w:outlineLvl w:val="1"/>
        <w:rPr>
          <w:rFonts w:ascii="仿宋" w:hAnsi="仿宋" w:eastAsia="仿宋"/>
          <w:color w:val="000000"/>
          <w:sz w:val="32"/>
          <w:szCs w:val="32"/>
        </w:rPr>
      </w:pPr>
    </w:p>
    <w:p w14:paraId="6CAD6B48">
      <w:pPr>
        <w:spacing w:line="600" w:lineRule="exact"/>
        <w:ind w:firstLine="640" w:firstLineChars="200"/>
        <w:outlineLvl w:val="1"/>
        <w:rPr>
          <w:rFonts w:ascii="仿宋" w:hAnsi="仿宋" w:eastAsia="仿宋"/>
          <w:color w:val="000000"/>
          <w:sz w:val="32"/>
          <w:szCs w:val="32"/>
        </w:rPr>
      </w:pPr>
    </w:p>
    <w:p w14:paraId="55C0EFA7">
      <w:pPr>
        <w:spacing w:line="600" w:lineRule="exact"/>
        <w:ind w:firstLine="640" w:firstLineChars="200"/>
        <w:outlineLvl w:val="1"/>
        <w:rPr>
          <w:rFonts w:ascii="仿宋" w:hAnsi="仿宋" w:eastAsia="仿宋"/>
          <w:color w:val="000000"/>
          <w:sz w:val="32"/>
          <w:szCs w:val="32"/>
        </w:rPr>
      </w:pPr>
    </w:p>
    <w:p w14:paraId="00AD6C70">
      <w:pPr>
        <w:spacing w:line="600" w:lineRule="exact"/>
        <w:ind w:firstLine="640" w:firstLineChars="200"/>
        <w:outlineLvl w:val="1"/>
        <w:rPr>
          <w:rFonts w:ascii="仿宋" w:hAnsi="仿宋" w:eastAsia="仿宋"/>
          <w:color w:val="000000"/>
          <w:sz w:val="32"/>
          <w:szCs w:val="32"/>
        </w:rPr>
      </w:pPr>
    </w:p>
    <w:p w14:paraId="3077B190">
      <w:pPr>
        <w:spacing w:line="600" w:lineRule="exact"/>
        <w:ind w:firstLine="640" w:firstLineChars="200"/>
        <w:outlineLvl w:val="1"/>
        <w:rPr>
          <w:rFonts w:ascii="仿宋" w:hAnsi="仿宋" w:eastAsia="仿宋"/>
          <w:color w:val="000000"/>
          <w:sz w:val="32"/>
          <w:szCs w:val="32"/>
        </w:rPr>
      </w:pPr>
    </w:p>
    <w:p w14:paraId="418CBDC7">
      <w:pPr>
        <w:spacing w:line="600" w:lineRule="exact"/>
        <w:outlineLvl w:val="1"/>
        <w:rPr>
          <w:rFonts w:ascii="仿宋" w:hAnsi="仿宋" w:eastAsia="仿宋"/>
          <w:color w:val="000000"/>
          <w:sz w:val="32"/>
          <w:szCs w:val="32"/>
        </w:rPr>
      </w:pPr>
    </w:p>
    <w:p w14:paraId="62065E5C">
      <w:pPr>
        <w:spacing w:line="600" w:lineRule="exact"/>
        <w:ind w:firstLine="640" w:firstLineChars="200"/>
        <w:outlineLvl w:val="1"/>
        <w:rPr>
          <w:rFonts w:ascii="仿宋" w:hAnsi="仿宋" w:eastAsia="仿宋"/>
          <w:color w:val="000000"/>
          <w:sz w:val="32"/>
          <w:szCs w:val="32"/>
        </w:rPr>
      </w:pPr>
    </w:p>
    <w:p w14:paraId="42CD7237">
      <w:pPr>
        <w:pStyle w:val="32"/>
        <w:numPr>
          <w:ilvl w:val="0"/>
          <w:numId w:val="2"/>
        </w:numPr>
        <w:spacing w:line="600" w:lineRule="exact"/>
        <w:ind w:firstLineChars="0"/>
        <w:outlineLvl w:val="1"/>
        <w:rPr>
          <w:rStyle w:val="22"/>
          <w:rFonts w:ascii="黑体" w:hAnsi="黑体" w:eastAsia="黑体" w:cs="Times New Roman"/>
          <w:b w:val="0"/>
          <w:bCs w:val="0"/>
        </w:rPr>
      </w:pPr>
      <w:bookmarkStart w:id="39" w:name="_Toc15377207"/>
      <w:bookmarkStart w:id="40" w:name="_Toc15396605"/>
      <w:bookmarkStart w:id="41" w:name="_Toc52180077"/>
      <w:r>
        <w:rPr>
          <w:rFonts w:hint="eastAsia" w:ascii="黑体" w:hAnsi="黑体" w:eastAsia="黑体" w:cs="黑体"/>
          <w:color w:val="000000"/>
          <w:sz w:val="32"/>
          <w:szCs w:val="32"/>
        </w:rPr>
        <w:t>支</w:t>
      </w:r>
      <w:r>
        <w:rPr>
          <w:rStyle w:val="22"/>
          <w:rFonts w:hint="eastAsia" w:ascii="黑体" w:hAnsi="黑体" w:eastAsia="黑体" w:cs="黑体"/>
          <w:b w:val="0"/>
          <w:bCs w:val="0"/>
        </w:rPr>
        <w:t>出决算情况说明</w:t>
      </w:r>
      <w:bookmarkEnd w:id="39"/>
      <w:bookmarkEnd w:id="40"/>
      <w:bookmarkEnd w:id="41"/>
    </w:p>
    <w:p w14:paraId="06B49111">
      <w:pPr>
        <w:spacing w:line="600" w:lineRule="exact"/>
        <w:ind w:firstLine="640" w:firstLineChars="200"/>
        <w:outlineLvl w:val="1"/>
        <w:rPr>
          <w:rFonts w:ascii="仿宋" w:hAnsi="仿宋" w:eastAsia="仿宋"/>
          <w:color w:val="000000"/>
          <w:sz w:val="32"/>
          <w:szCs w:val="32"/>
        </w:rPr>
      </w:pPr>
      <w:bookmarkStart w:id="42" w:name="_Toc52180078"/>
      <w:r>
        <w:rPr>
          <w:rFonts w:hint="eastAsia" w:ascii="仿宋" w:hAnsi="仿宋" w:eastAsia="仿宋" w:cs="仿宋"/>
          <w:color w:val="000000"/>
          <w:sz w:val="32"/>
          <w:szCs w:val="32"/>
          <w:lang w:eastAsia="zh-CN"/>
        </w:rPr>
        <w:t>2020</w:t>
      </w:r>
      <w:r>
        <w:rPr>
          <w:rFonts w:hint="eastAsia" w:ascii="仿宋" w:hAnsi="仿宋" w:eastAsia="仿宋" w:cs="仿宋"/>
          <w:color w:val="000000"/>
          <w:sz w:val="32"/>
          <w:szCs w:val="32"/>
        </w:rPr>
        <w:t>年本年支出合计</w:t>
      </w:r>
      <w:r>
        <w:rPr>
          <w:rFonts w:ascii="仿宋" w:hAnsi="仿宋" w:eastAsia="仿宋" w:cs="仿宋"/>
          <w:color w:val="000000"/>
          <w:sz w:val="32"/>
          <w:szCs w:val="32"/>
        </w:rPr>
        <w:t>241.2</w:t>
      </w:r>
      <w:r>
        <w:rPr>
          <w:rFonts w:hint="eastAsia" w:ascii="仿宋" w:hAnsi="仿宋" w:eastAsia="仿宋" w:cs="仿宋"/>
          <w:color w:val="000000"/>
          <w:sz w:val="32"/>
          <w:szCs w:val="32"/>
        </w:rPr>
        <w:t>万元，其中：基本支出</w:t>
      </w:r>
      <w:r>
        <w:rPr>
          <w:rFonts w:hint="eastAsia" w:ascii="仿宋" w:hAnsi="仿宋" w:eastAsia="仿宋" w:cs="仿宋"/>
          <w:color w:val="000000"/>
          <w:sz w:val="32"/>
          <w:szCs w:val="32"/>
          <w:lang w:val="en-US" w:eastAsia="zh-CN"/>
        </w:rPr>
        <w:t>242.46</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47.35</w:t>
      </w:r>
      <w:r>
        <w:rPr>
          <w:rFonts w:ascii="仿宋" w:hAnsi="仿宋" w:eastAsia="仿宋" w:cs="仿宋"/>
          <w:color w:val="000000"/>
          <w:sz w:val="32"/>
          <w:szCs w:val="32"/>
        </w:rPr>
        <w:t>%</w:t>
      </w:r>
      <w:r>
        <w:rPr>
          <w:rFonts w:hint="eastAsia" w:ascii="仿宋" w:hAnsi="仿宋" w:eastAsia="仿宋" w:cs="仿宋"/>
          <w:color w:val="000000"/>
          <w:sz w:val="32"/>
          <w:szCs w:val="32"/>
        </w:rPr>
        <w:t>；项目支出</w:t>
      </w:r>
      <w:r>
        <w:rPr>
          <w:rFonts w:hint="eastAsia" w:ascii="仿宋" w:hAnsi="仿宋" w:eastAsia="仿宋" w:cs="仿宋"/>
          <w:color w:val="000000"/>
          <w:sz w:val="32"/>
          <w:szCs w:val="32"/>
          <w:lang w:val="en-US" w:eastAsia="zh-CN"/>
        </w:rPr>
        <w:t>269.62</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52.65</w:t>
      </w:r>
      <w:r>
        <w:rPr>
          <w:rFonts w:ascii="仿宋" w:hAnsi="仿宋" w:eastAsia="仿宋" w:cs="仿宋"/>
          <w:color w:val="000000"/>
          <w:sz w:val="32"/>
          <w:szCs w:val="32"/>
        </w:rPr>
        <w:t>%</w:t>
      </w:r>
      <w:r>
        <w:rPr>
          <w:rFonts w:hint="eastAsia" w:ascii="仿宋" w:hAnsi="仿宋" w:eastAsia="仿宋" w:cs="仿宋"/>
          <w:color w:val="000000"/>
          <w:sz w:val="32"/>
          <w:szCs w:val="32"/>
        </w:rPr>
        <w:t>；上缴上级支出</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；经营支出</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；对附属单位补助支出</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w:t>
      </w:r>
      <w:bookmarkEnd w:id="42"/>
    </w:p>
    <w:p w14:paraId="39C58849">
      <w:pPr>
        <w:spacing w:line="600" w:lineRule="exact"/>
        <w:ind w:firstLine="420" w:firstLineChars="200"/>
        <w:outlineLvl w:val="1"/>
        <w:rPr>
          <w:rFonts w:ascii="仿宋" w:hAnsi="仿宋" w:eastAsia="仿宋"/>
          <w:color w:val="000000"/>
          <w:sz w:val="32"/>
          <w:szCs w:val="32"/>
        </w:rPr>
      </w:pPr>
      <w:r>
        <w:drawing>
          <wp:anchor distT="0" distB="0" distL="114300" distR="114300" simplePos="0" relativeHeight="251660288" behindDoc="1" locked="0" layoutInCell="1" allowOverlap="1">
            <wp:simplePos x="0" y="0"/>
            <wp:positionH relativeFrom="column">
              <wp:posOffset>184150</wp:posOffset>
            </wp:positionH>
            <wp:positionV relativeFrom="paragraph">
              <wp:posOffset>88900</wp:posOffset>
            </wp:positionV>
            <wp:extent cx="3910965" cy="2033270"/>
            <wp:effectExtent l="4445" t="4445" r="8890" b="19685"/>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A789F4A">
      <w:pPr>
        <w:spacing w:line="600" w:lineRule="exact"/>
        <w:ind w:firstLine="640" w:firstLineChars="200"/>
        <w:outlineLvl w:val="1"/>
        <w:rPr>
          <w:rFonts w:ascii="仿宋" w:hAnsi="仿宋" w:eastAsia="仿宋"/>
          <w:color w:val="000000"/>
          <w:sz w:val="32"/>
          <w:szCs w:val="32"/>
        </w:rPr>
      </w:pPr>
    </w:p>
    <w:p w14:paraId="29A89B41">
      <w:pPr>
        <w:spacing w:line="600" w:lineRule="exact"/>
        <w:ind w:firstLine="640" w:firstLineChars="200"/>
        <w:outlineLvl w:val="1"/>
        <w:rPr>
          <w:rFonts w:ascii="仿宋" w:hAnsi="仿宋" w:eastAsia="仿宋"/>
          <w:color w:val="000000"/>
          <w:sz w:val="32"/>
          <w:szCs w:val="32"/>
        </w:rPr>
      </w:pPr>
    </w:p>
    <w:p w14:paraId="3BFA77A1">
      <w:pPr>
        <w:spacing w:line="600" w:lineRule="exact"/>
        <w:ind w:firstLine="640" w:firstLineChars="200"/>
        <w:outlineLvl w:val="1"/>
        <w:rPr>
          <w:rFonts w:ascii="仿宋" w:hAnsi="仿宋" w:eastAsia="仿宋"/>
          <w:color w:val="000000"/>
          <w:sz w:val="32"/>
          <w:szCs w:val="32"/>
        </w:rPr>
      </w:pPr>
    </w:p>
    <w:p w14:paraId="1DCEBD57">
      <w:pPr>
        <w:spacing w:line="600" w:lineRule="exact"/>
        <w:ind w:firstLine="640" w:firstLineChars="200"/>
        <w:outlineLvl w:val="1"/>
        <w:rPr>
          <w:rFonts w:ascii="仿宋" w:hAnsi="仿宋" w:eastAsia="仿宋"/>
          <w:color w:val="000000"/>
          <w:sz w:val="32"/>
          <w:szCs w:val="32"/>
        </w:rPr>
      </w:pPr>
    </w:p>
    <w:p w14:paraId="488331E9">
      <w:pPr>
        <w:spacing w:line="600" w:lineRule="exact"/>
        <w:ind w:firstLine="640" w:firstLineChars="200"/>
        <w:outlineLvl w:val="1"/>
        <w:rPr>
          <w:rFonts w:ascii="仿宋" w:hAnsi="仿宋" w:eastAsia="仿宋"/>
          <w:color w:val="000000"/>
          <w:sz w:val="32"/>
          <w:szCs w:val="32"/>
        </w:rPr>
      </w:pPr>
    </w:p>
    <w:p w14:paraId="651C0C39">
      <w:pPr>
        <w:spacing w:line="600" w:lineRule="exact"/>
        <w:ind w:firstLine="640" w:firstLineChars="200"/>
        <w:outlineLvl w:val="1"/>
        <w:rPr>
          <w:rStyle w:val="22"/>
          <w:rFonts w:ascii="黑体" w:hAnsi="黑体" w:eastAsia="黑体" w:cs="Times New Roman"/>
          <w:b w:val="0"/>
          <w:bCs w:val="0"/>
        </w:rPr>
      </w:pPr>
      <w:bookmarkStart w:id="43" w:name="_Toc15396606"/>
      <w:bookmarkStart w:id="44" w:name="_Toc15377208"/>
      <w:bookmarkStart w:id="45" w:name="_Toc52180079"/>
      <w:r>
        <w:rPr>
          <w:rFonts w:hint="eastAsia" w:ascii="黑体" w:hAnsi="黑体" w:eastAsia="黑体" w:cs="黑体"/>
          <w:color w:val="000000"/>
          <w:sz w:val="32"/>
          <w:szCs w:val="32"/>
        </w:rPr>
        <w:t>四、财</w:t>
      </w:r>
      <w:r>
        <w:rPr>
          <w:rStyle w:val="22"/>
          <w:rFonts w:hint="eastAsia" w:ascii="黑体" w:hAnsi="黑体" w:eastAsia="黑体" w:cs="黑体"/>
          <w:b w:val="0"/>
          <w:bCs w:val="0"/>
        </w:rPr>
        <w:t>政拨款收入支出决算总体情况说明</w:t>
      </w:r>
      <w:bookmarkEnd w:id="43"/>
      <w:bookmarkEnd w:id="44"/>
      <w:bookmarkEnd w:id="45"/>
    </w:p>
    <w:p w14:paraId="550CD938">
      <w:pPr>
        <w:spacing w:line="60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lang w:eastAsia="zh-CN"/>
        </w:rPr>
        <w:t>2020</w:t>
      </w:r>
      <w:r>
        <w:rPr>
          <w:rFonts w:hint="eastAsia" w:ascii="仿宋" w:hAnsi="仿宋" w:eastAsia="仿宋" w:cs="仿宋"/>
          <w:color w:val="000000"/>
          <w:sz w:val="32"/>
          <w:szCs w:val="32"/>
        </w:rPr>
        <w:t>年财政拨款收、支总计</w:t>
      </w:r>
      <w:r>
        <w:rPr>
          <w:rFonts w:hint="eastAsia" w:ascii="仿宋" w:hAnsi="仿宋" w:eastAsia="仿宋" w:cs="仿宋"/>
          <w:color w:val="000000"/>
          <w:sz w:val="32"/>
          <w:szCs w:val="32"/>
          <w:lang w:val="en-US" w:eastAsia="zh-CN"/>
        </w:rPr>
        <w:t>512.08</w:t>
      </w:r>
      <w:r>
        <w:rPr>
          <w:rFonts w:hint="eastAsia" w:ascii="仿宋" w:hAnsi="仿宋" w:eastAsia="仿宋" w:cs="仿宋"/>
          <w:color w:val="000000"/>
          <w:sz w:val="32"/>
          <w:szCs w:val="32"/>
        </w:rPr>
        <w:t>万元。与</w:t>
      </w:r>
      <w:r>
        <w:rPr>
          <w:rFonts w:hint="eastAsia" w:ascii="仿宋" w:hAnsi="仿宋" w:eastAsia="仿宋" w:cs="仿宋"/>
          <w:color w:val="000000"/>
          <w:sz w:val="32"/>
          <w:szCs w:val="32"/>
          <w:lang w:eastAsia="zh-CN"/>
        </w:rPr>
        <w:t>2019</w:t>
      </w:r>
      <w:r>
        <w:rPr>
          <w:rFonts w:hint="eastAsia" w:ascii="仿宋" w:hAnsi="仿宋" w:eastAsia="仿宋" w:cs="仿宋"/>
          <w:color w:val="000000"/>
          <w:sz w:val="32"/>
          <w:szCs w:val="32"/>
        </w:rPr>
        <w:t>年相比，财政拨款收、支总计各增加</w:t>
      </w:r>
      <w:r>
        <w:rPr>
          <w:rFonts w:hint="eastAsia" w:ascii="仿宋" w:hAnsi="仿宋" w:eastAsia="仿宋" w:cs="仿宋"/>
          <w:color w:val="000000"/>
          <w:sz w:val="32"/>
          <w:szCs w:val="32"/>
          <w:lang w:val="en-US" w:eastAsia="zh-CN"/>
        </w:rPr>
        <w:t>270.88</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112</w:t>
      </w:r>
      <w:r>
        <w:rPr>
          <w:rFonts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主要变动原因是单位</w:t>
      </w:r>
      <w:r>
        <w:rPr>
          <w:rFonts w:hint="eastAsia" w:ascii="仿宋" w:hAnsi="仿宋" w:eastAsia="仿宋" w:cs="仿宋"/>
          <w:color w:val="000000"/>
          <w:sz w:val="32"/>
          <w:szCs w:val="32"/>
          <w:lang w:eastAsia="zh-CN"/>
        </w:rPr>
        <w:t>工作业务量增加，项目支出经费增加</w:t>
      </w:r>
      <w:r>
        <w:rPr>
          <w:rFonts w:hint="eastAsia" w:ascii="仿宋" w:hAnsi="仿宋" w:eastAsia="仿宋" w:cs="仿宋"/>
          <w:color w:val="000000"/>
          <w:sz w:val="32"/>
          <w:szCs w:val="32"/>
        </w:rPr>
        <w:t>。</w:t>
      </w:r>
    </w:p>
    <w:p w14:paraId="0CFFD0D7">
      <w:pPr>
        <w:spacing w:line="600" w:lineRule="exact"/>
        <w:ind w:firstLine="640"/>
        <w:rPr>
          <w:rFonts w:ascii="仿宋" w:hAnsi="仿宋" w:eastAsia="仿宋"/>
          <w:color w:val="000000"/>
          <w:sz w:val="32"/>
          <w:szCs w:val="32"/>
        </w:rPr>
      </w:pPr>
      <w:r>
        <w:drawing>
          <wp:anchor distT="0" distB="0" distL="114300" distR="114300" simplePos="0" relativeHeight="251661312" behindDoc="1" locked="0" layoutInCell="1" allowOverlap="1">
            <wp:simplePos x="0" y="0"/>
            <wp:positionH relativeFrom="column">
              <wp:posOffset>324485</wp:posOffset>
            </wp:positionH>
            <wp:positionV relativeFrom="paragraph">
              <wp:posOffset>203835</wp:posOffset>
            </wp:positionV>
            <wp:extent cx="4298950" cy="2242185"/>
            <wp:effectExtent l="4445" t="5080" r="20955" b="19685"/>
            <wp:wrapNone/>
            <wp:docPr id="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C53CCB8">
      <w:pPr>
        <w:spacing w:line="600" w:lineRule="exact"/>
        <w:ind w:firstLine="640"/>
        <w:rPr>
          <w:rFonts w:ascii="仿宋" w:hAnsi="仿宋" w:eastAsia="仿宋"/>
          <w:color w:val="000000"/>
          <w:sz w:val="32"/>
          <w:szCs w:val="32"/>
        </w:rPr>
      </w:pPr>
    </w:p>
    <w:p w14:paraId="6E97EADF">
      <w:pPr>
        <w:spacing w:line="600" w:lineRule="exact"/>
        <w:ind w:firstLine="640"/>
        <w:rPr>
          <w:rFonts w:ascii="仿宋" w:hAnsi="仿宋" w:eastAsia="仿宋"/>
          <w:color w:val="000000"/>
          <w:sz w:val="32"/>
          <w:szCs w:val="32"/>
        </w:rPr>
      </w:pPr>
    </w:p>
    <w:p w14:paraId="688A3073">
      <w:pPr>
        <w:spacing w:line="600" w:lineRule="exact"/>
        <w:ind w:firstLine="640"/>
        <w:rPr>
          <w:rFonts w:ascii="仿宋" w:hAnsi="仿宋" w:eastAsia="仿宋"/>
          <w:color w:val="000000"/>
          <w:sz w:val="32"/>
          <w:szCs w:val="32"/>
        </w:rPr>
      </w:pPr>
    </w:p>
    <w:p w14:paraId="32E85C9B">
      <w:pPr>
        <w:spacing w:line="600" w:lineRule="exact"/>
        <w:ind w:firstLine="640"/>
        <w:rPr>
          <w:rFonts w:ascii="仿宋" w:hAnsi="仿宋" w:eastAsia="仿宋"/>
          <w:color w:val="000000"/>
          <w:sz w:val="32"/>
          <w:szCs w:val="32"/>
        </w:rPr>
      </w:pPr>
    </w:p>
    <w:p w14:paraId="076315A0">
      <w:pPr>
        <w:spacing w:line="600" w:lineRule="exact"/>
        <w:ind w:firstLine="640"/>
        <w:rPr>
          <w:rFonts w:ascii="仿宋" w:hAnsi="仿宋" w:eastAsia="仿宋"/>
          <w:color w:val="000000"/>
          <w:sz w:val="32"/>
          <w:szCs w:val="32"/>
        </w:rPr>
      </w:pPr>
    </w:p>
    <w:p w14:paraId="76A04D09">
      <w:pPr>
        <w:spacing w:line="600" w:lineRule="exact"/>
        <w:ind w:firstLine="640"/>
        <w:rPr>
          <w:rFonts w:ascii="仿宋" w:hAnsi="仿宋" w:eastAsia="仿宋"/>
          <w:b/>
          <w:bCs/>
          <w:color w:val="00B050"/>
          <w:sz w:val="32"/>
          <w:szCs w:val="32"/>
        </w:rPr>
      </w:pPr>
    </w:p>
    <w:p w14:paraId="787A05DB">
      <w:pPr>
        <w:spacing w:line="600" w:lineRule="exact"/>
        <w:ind w:firstLine="640" w:firstLineChars="200"/>
        <w:outlineLvl w:val="1"/>
        <w:rPr>
          <w:rStyle w:val="22"/>
          <w:rFonts w:ascii="黑体" w:hAnsi="黑体" w:eastAsia="黑体" w:cs="Times New Roman"/>
          <w:b w:val="0"/>
          <w:bCs w:val="0"/>
        </w:rPr>
      </w:pPr>
      <w:bookmarkStart w:id="46" w:name="_Toc15377209"/>
      <w:bookmarkStart w:id="47" w:name="_Toc52180080"/>
      <w:bookmarkStart w:id="48" w:name="_Toc15396607"/>
      <w:r>
        <w:rPr>
          <w:rFonts w:hint="eastAsia" w:ascii="黑体" w:hAnsi="黑体" w:eastAsia="黑体" w:cs="黑体"/>
          <w:color w:val="000000"/>
          <w:sz w:val="32"/>
          <w:szCs w:val="32"/>
        </w:rPr>
        <w:t>五、</w:t>
      </w:r>
      <w:r>
        <w:rPr>
          <w:rFonts w:hint="eastAsia" w:ascii="黑体" w:hAnsi="黑体" w:eastAsia="黑体" w:cs="黑体"/>
          <w:b/>
          <w:bCs/>
          <w:color w:val="000000"/>
          <w:sz w:val="32"/>
          <w:szCs w:val="32"/>
        </w:rPr>
        <w:t>一</w:t>
      </w:r>
      <w:r>
        <w:rPr>
          <w:rStyle w:val="22"/>
          <w:rFonts w:hint="eastAsia" w:ascii="黑体" w:hAnsi="黑体" w:eastAsia="黑体" w:cs="黑体"/>
          <w:b w:val="0"/>
          <w:bCs w:val="0"/>
        </w:rPr>
        <w:t>般公共预算财政拨款支出决算情况说明</w:t>
      </w:r>
      <w:bookmarkEnd w:id="46"/>
      <w:bookmarkEnd w:id="47"/>
      <w:bookmarkEnd w:id="48"/>
    </w:p>
    <w:p w14:paraId="632A169D">
      <w:pPr>
        <w:spacing w:line="600" w:lineRule="exact"/>
        <w:ind w:firstLine="643" w:firstLineChars="200"/>
        <w:outlineLvl w:val="2"/>
        <w:rPr>
          <w:rFonts w:ascii="仿宋" w:hAnsi="仿宋" w:eastAsia="仿宋"/>
          <w:b/>
          <w:bCs/>
          <w:color w:val="000000"/>
          <w:sz w:val="32"/>
          <w:szCs w:val="32"/>
        </w:rPr>
      </w:pPr>
      <w:bookmarkStart w:id="49" w:name="_Toc15377210"/>
      <w:bookmarkStart w:id="50" w:name="_Toc52180081"/>
      <w:r>
        <w:rPr>
          <w:rFonts w:hint="eastAsia" w:ascii="仿宋" w:hAnsi="仿宋" w:eastAsia="仿宋" w:cs="仿宋"/>
          <w:b/>
          <w:bCs/>
          <w:color w:val="000000"/>
          <w:sz w:val="32"/>
          <w:szCs w:val="32"/>
        </w:rPr>
        <w:t>（一）一般公共预算财政拨款支出决算总体情况</w:t>
      </w:r>
      <w:bookmarkEnd w:id="49"/>
      <w:bookmarkEnd w:id="50"/>
    </w:p>
    <w:p w14:paraId="4D725AF8">
      <w:pPr>
        <w:spacing w:line="60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lang w:eastAsia="zh-CN"/>
        </w:rPr>
        <w:t>2020</w:t>
      </w:r>
      <w:r>
        <w:rPr>
          <w:rFonts w:hint="eastAsia" w:ascii="仿宋" w:hAnsi="仿宋" w:eastAsia="仿宋" w:cs="仿宋"/>
          <w:color w:val="000000"/>
          <w:sz w:val="32"/>
          <w:szCs w:val="32"/>
        </w:rPr>
        <w:t>年一般公共预算财政拨款支出</w:t>
      </w:r>
      <w:r>
        <w:rPr>
          <w:rFonts w:hint="eastAsia" w:ascii="仿宋" w:hAnsi="仿宋" w:eastAsia="仿宋" w:cs="仿宋"/>
          <w:color w:val="000000"/>
          <w:sz w:val="32"/>
          <w:szCs w:val="32"/>
          <w:lang w:val="en-US" w:eastAsia="zh-CN"/>
        </w:rPr>
        <w:t>512.08</w:t>
      </w:r>
      <w:r>
        <w:rPr>
          <w:rFonts w:hint="eastAsia" w:ascii="仿宋" w:hAnsi="仿宋" w:eastAsia="仿宋" w:cs="仿宋"/>
          <w:color w:val="000000"/>
          <w:sz w:val="32"/>
          <w:szCs w:val="32"/>
        </w:rPr>
        <w:t>万元，占本年支出合计的</w:t>
      </w:r>
      <w:r>
        <w:rPr>
          <w:rFonts w:ascii="仿宋" w:hAnsi="仿宋" w:eastAsia="仿宋" w:cs="仿宋"/>
          <w:color w:val="000000"/>
          <w:sz w:val="32"/>
          <w:szCs w:val="32"/>
        </w:rPr>
        <w:t>100%</w:t>
      </w:r>
      <w:r>
        <w:rPr>
          <w:rFonts w:hint="eastAsia" w:ascii="仿宋" w:hAnsi="仿宋" w:eastAsia="仿宋" w:cs="仿宋"/>
          <w:color w:val="000000"/>
          <w:sz w:val="32"/>
          <w:szCs w:val="32"/>
        </w:rPr>
        <w:t>。与</w:t>
      </w:r>
      <w:r>
        <w:rPr>
          <w:rFonts w:hint="eastAsia" w:ascii="仿宋" w:hAnsi="仿宋" w:eastAsia="仿宋" w:cs="仿宋"/>
          <w:color w:val="000000"/>
          <w:sz w:val="32"/>
          <w:szCs w:val="32"/>
          <w:lang w:eastAsia="zh-CN"/>
        </w:rPr>
        <w:t>2019</w:t>
      </w:r>
      <w:r>
        <w:rPr>
          <w:rFonts w:hint="eastAsia" w:ascii="仿宋" w:hAnsi="仿宋" w:eastAsia="仿宋" w:cs="仿宋"/>
          <w:color w:val="000000"/>
          <w:sz w:val="32"/>
          <w:szCs w:val="32"/>
        </w:rPr>
        <w:t>年相比，一般公共预算财政拨款增加</w:t>
      </w:r>
      <w:r>
        <w:rPr>
          <w:rFonts w:hint="eastAsia" w:ascii="仿宋" w:hAnsi="仿宋" w:eastAsia="仿宋" w:cs="仿宋"/>
          <w:color w:val="000000"/>
          <w:sz w:val="32"/>
          <w:szCs w:val="32"/>
          <w:lang w:val="en-US" w:eastAsia="zh-CN"/>
        </w:rPr>
        <w:t>270.088</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112</w:t>
      </w:r>
      <w:r>
        <w:rPr>
          <w:rFonts w:ascii="仿宋" w:hAnsi="仿宋" w:eastAsia="仿宋" w:cs="仿宋"/>
          <w:color w:val="000000"/>
          <w:sz w:val="32"/>
          <w:szCs w:val="32"/>
        </w:rPr>
        <w:t>%</w:t>
      </w:r>
      <w:r>
        <w:rPr>
          <w:rFonts w:hint="eastAsia" w:ascii="仿宋" w:hAnsi="仿宋" w:eastAsia="仿宋" w:cs="仿宋"/>
          <w:color w:val="000000"/>
          <w:sz w:val="32"/>
          <w:szCs w:val="32"/>
        </w:rPr>
        <w:t>。主要变动原因是单位</w:t>
      </w:r>
      <w:r>
        <w:rPr>
          <w:rFonts w:hint="eastAsia" w:ascii="仿宋" w:hAnsi="仿宋" w:eastAsia="仿宋" w:cs="仿宋"/>
          <w:color w:val="000000"/>
          <w:sz w:val="32"/>
          <w:szCs w:val="32"/>
          <w:lang w:eastAsia="zh-CN"/>
        </w:rPr>
        <w:t>工作业务量增加，项目支出经费增加</w:t>
      </w:r>
      <w:r>
        <w:rPr>
          <w:rFonts w:hint="eastAsia" w:ascii="仿宋" w:hAnsi="仿宋" w:eastAsia="仿宋" w:cs="仿宋"/>
          <w:color w:val="000000"/>
          <w:sz w:val="32"/>
          <w:szCs w:val="32"/>
        </w:rPr>
        <w:t>。</w:t>
      </w:r>
    </w:p>
    <w:p w14:paraId="05A3EFA1">
      <w:pPr>
        <w:spacing w:line="600" w:lineRule="exact"/>
        <w:ind w:firstLine="420" w:firstLineChars="200"/>
        <w:rPr>
          <w:rFonts w:ascii="仿宋" w:hAnsi="仿宋" w:eastAsia="仿宋"/>
          <w:color w:val="000000"/>
          <w:sz w:val="32"/>
          <w:szCs w:val="32"/>
        </w:rPr>
      </w:pPr>
      <w:r>
        <w:drawing>
          <wp:anchor distT="0" distB="0" distL="114300" distR="114300" simplePos="0" relativeHeight="251662336" behindDoc="1" locked="0" layoutInCell="1" allowOverlap="1">
            <wp:simplePos x="0" y="0"/>
            <wp:positionH relativeFrom="column">
              <wp:posOffset>89535</wp:posOffset>
            </wp:positionH>
            <wp:positionV relativeFrom="paragraph">
              <wp:posOffset>99060</wp:posOffset>
            </wp:positionV>
            <wp:extent cx="4356735" cy="2128520"/>
            <wp:effectExtent l="4445" t="4445" r="20320" b="1968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0DBA984">
      <w:pPr>
        <w:spacing w:line="600" w:lineRule="exact"/>
        <w:ind w:firstLine="640" w:firstLineChars="200"/>
        <w:rPr>
          <w:rFonts w:ascii="仿宋" w:hAnsi="仿宋" w:eastAsia="仿宋"/>
          <w:color w:val="000000"/>
          <w:sz w:val="32"/>
          <w:szCs w:val="32"/>
        </w:rPr>
      </w:pPr>
    </w:p>
    <w:p w14:paraId="58E51C4E">
      <w:pPr>
        <w:spacing w:line="600" w:lineRule="exact"/>
        <w:ind w:firstLine="640" w:firstLineChars="200"/>
        <w:rPr>
          <w:rFonts w:ascii="仿宋" w:hAnsi="仿宋" w:eastAsia="仿宋"/>
          <w:color w:val="000000"/>
          <w:sz w:val="32"/>
          <w:szCs w:val="32"/>
        </w:rPr>
      </w:pPr>
    </w:p>
    <w:p w14:paraId="2A9493F2">
      <w:pPr>
        <w:spacing w:line="600" w:lineRule="exact"/>
        <w:ind w:firstLine="640" w:firstLineChars="200"/>
        <w:rPr>
          <w:rFonts w:ascii="仿宋" w:hAnsi="仿宋" w:eastAsia="仿宋"/>
          <w:color w:val="000000"/>
          <w:sz w:val="32"/>
          <w:szCs w:val="32"/>
        </w:rPr>
      </w:pPr>
    </w:p>
    <w:p w14:paraId="5FB6ECD5">
      <w:pPr>
        <w:spacing w:line="600" w:lineRule="exact"/>
        <w:ind w:firstLine="640" w:firstLineChars="200"/>
        <w:rPr>
          <w:rFonts w:ascii="仿宋" w:hAnsi="仿宋" w:eastAsia="仿宋"/>
          <w:color w:val="000000"/>
          <w:sz w:val="32"/>
          <w:szCs w:val="32"/>
        </w:rPr>
      </w:pPr>
    </w:p>
    <w:p w14:paraId="5FC46C88">
      <w:pPr>
        <w:spacing w:line="600" w:lineRule="exact"/>
        <w:ind w:firstLine="640" w:firstLineChars="200"/>
        <w:rPr>
          <w:rFonts w:ascii="仿宋" w:hAnsi="仿宋" w:eastAsia="仿宋"/>
          <w:color w:val="000000"/>
          <w:sz w:val="32"/>
          <w:szCs w:val="32"/>
        </w:rPr>
      </w:pPr>
    </w:p>
    <w:p w14:paraId="02AD4BF0">
      <w:pPr>
        <w:spacing w:line="600" w:lineRule="exact"/>
        <w:rPr>
          <w:rFonts w:ascii="仿宋" w:hAnsi="仿宋" w:eastAsia="仿宋"/>
          <w:color w:val="000000"/>
          <w:sz w:val="32"/>
          <w:szCs w:val="32"/>
        </w:rPr>
      </w:pPr>
    </w:p>
    <w:p w14:paraId="14035038">
      <w:pPr>
        <w:spacing w:line="600" w:lineRule="exact"/>
        <w:ind w:firstLine="643" w:firstLineChars="200"/>
        <w:outlineLvl w:val="2"/>
        <w:rPr>
          <w:rFonts w:ascii="仿宋" w:hAnsi="仿宋" w:eastAsia="仿宋"/>
          <w:b/>
          <w:bCs/>
          <w:color w:val="000000"/>
          <w:sz w:val="32"/>
          <w:szCs w:val="32"/>
        </w:rPr>
      </w:pPr>
      <w:bookmarkStart w:id="51" w:name="_Toc52180082"/>
      <w:bookmarkStart w:id="52" w:name="_Toc15377211"/>
      <w:r>
        <w:rPr>
          <w:rFonts w:hint="eastAsia" w:ascii="仿宋" w:hAnsi="仿宋" w:eastAsia="仿宋" w:cs="仿宋"/>
          <w:b/>
          <w:bCs/>
          <w:color w:val="000000"/>
          <w:sz w:val="32"/>
          <w:szCs w:val="32"/>
        </w:rPr>
        <w:t>（二）一般公共预算财政拨款支出决算结构情况</w:t>
      </w:r>
      <w:bookmarkEnd w:id="51"/>
      <w:bookmarkEnd w:id="52"/>
    </w:p>
    <w:p w14:paraId="3DF9D096">
      <w:pPr>
        <w:spacing w:line="600" w:lineRule="exact"/>
        <w:ind w:firstLine="640"/>
        <w:rPr>
          <w:rFonts w:ascii="仿宋" w:hAnsi="仿宋" w:eastAsia="仿宋"/>
          <w:color w:val="000000"/>
          <w:sz w:val="32"/>
          <w:szCs w:val="32"/>
        </w:rPr>
      </w:pPr>
      <w:r>
        <w:rPr>
          <w:rFonts w:hint="eastAsia" w:ascii="仿宋" w:hAnsi="仿宋" w:eastAsia="仿宋" w:cs="仿宋"/>
          <w:color w:val="000000"/>
          <w:sz w:val="32"/>
          <w:szCs w:val="32"/>
          <w:lang w:eastAsia="zh-CN"/>
        </w:rPr>
        <w:t>2020</w:t>
      </w:r>
      <w:r>
        <w:rPr>
          <w:rFonts w:hint="eastAsia" w:ascii="仿宋" w:hAnsi="仿宋" w:eastAsia="仿宋" w:cs="仿宋"/>
          <w:color w:val="000000"/>
          <w:sz w:val="32"/>
          <w:szCs w:val="32"/>
        </w:rPr>
        <w:t>年一般公共预算财政拨款支出</w:t>
      </w:r>
      <w:r>
        <w:rPr>
          <w:rFonts w:hint="eastAsia" w:ascii="仿宋" w:hAnsi="仿宋" w:eastAsia="仿宋" w:cs="仿宋"/>
          <w:color w:val="000000"/>
          <w:sz w:val="32"/>
          <w:szCs w:val="32"/>
          <w:lang w:val="en-US" w:eastAsia="zh-CN"/>
        </w:rPr>
        <w:t>512.08</w:t>
      </w:r>
      <w:r>
        <w:rPr>
          <w:rFonts w:hint="eastAsia" w:ascii="仿宋" w:hAnsi="仿宋" w:eastAsia="仿宋" w:cs="仿宋"/>
          <w:color w:val="000000"/>
          <w:sz w:val="32"/>
          <w:szCs w:val="32"/>
        </w:rPr>
        <w:t>万元，主要用于以下方面</w:t>
      </w:r>
      <w:r>
        <w:rPr>
          <w:rFonts w:hint="eastAsia" w:ascii="仿宋" w:hAnsi="仿宋" w:eastAsia="仿宋" w:cs="仿宋"/>
          <w:color w:val="000000"/>
          <w:sz w:val="32"/>
          <w:szCs w:val="32"/>
          <w:lang w:eastAsia="zh-CN"/>
        </w:rPr>
        <w:t>：</w:t>
      </w:r>
      <w:r>
        <w:rPr>
          <w:rFonts w:ascii="仿宋" w:hAnsi="仿宋" w:eastAsia="仿宋" w:cs="仿宋"/>
          <w:color w:val="000000"/>
          <w:sz w:val="32"/>
          <w:szCs w:val="32"/>
        </w:rPr>
        <w:t xml:space="preserve"> </w:t>
      </w:r>
      <w:r>
        <w:rPr>
          <w:rFonts w:hint="eastAsia" w:ascii="仿宋" w:hAnsi="仿宋" w:eastAsia="仿宋" w:cs="仿宋"/>
          <w:b/>
          <w:bCs/>
          <w:color w:val="000000"/>
          <w:sz w:val="32"/>
          <w:szCs w:val="32"/>
        </w:rPr>
        <w:t>一般公共服务（类）</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309.02</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60.35</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公共安全支出（类）</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158.96</w:t>
      </w:r>
      <w:r>
        <w:rPr>
          <w:rFonts w:hint="eastAsia" w:ascii="仿宋" w:hAnsi="仿宋" w:eastAsia="仿宋" w:cs="仿宋"/>
          <w:color w:val="000000"/>
          <w:sz w:val="32"/>
          <w:szCs w:val="32"/>
        </w:rPr>
        <w:t>万元</w:t>
      </w:r>
      <w:r>
        <w:rPr>
          <w:rFonts w:hint="eastAsia" w:ascii="仿宋" w:hAnsi="仿宋" w:eastAsia="仿宋" w:cs="仿宋"/>
          <w:b/>
          <w:bCs/>
          <w:color w:val="000000"/>
          <w:sz w:val="32"/>
          <w:szCs w:val="32"/>
        </w:rPr>
        <w:t>，</w:t>
      </w:r>
      <w:r>
        <w:rPr>
          <w:rFonts w:hint="eastAsia" w:ascii="仿宋" w:hAnsi="仿宋" w:eastAsia="仿宋" w:cs="仿宋"/>
          <w:color w:val="000000"/>
          <w:sz w:val="32"/>
          <w:szCs w:val="32"/>
        </w:rPr>
        <w:t>占</w:t>
      </w:r>
      <w:r>
        <w:rPr>
          <w:rFonts w:hint="eastAsia" w:ascii="仿宋" w:hAnsi="仿宋" w:eastAsia="仿宋" w:cs="仿宋"/>
          <w:color w:val="000000"/>
          <w:sz w:val="32"/>
          <w:szCs w:val="32"/>
          <w:lang w:val="en-US" w:eastAsia="zh-CN"/>
        </w:rPr>
        <w:t>31.04</w:t>
      </w:r>
      <w:r>
        <w:rPr>
          <w:rFonts w:ascii="仿宋" w:hAnsi="仿宋" w:eastAsia="仿宋" w:cs="仿宋"/>
          <w:color w:val="000000"/>
          <w:sz w:val="32"/>
          <w:szCs w:val="32"/>
        </w:rPr>
        <w:t>%</w:t>
      </w:r>
      <w:r>
        <w:rPr>
          <w:rFonts w:hint="eastAsia" w:ascii="仿宋" w:hAnsi="仿宋" w:eastAsia="仿宋" w:cs="仿宋"/>
          <w:b/>
          <w:bCs/>
          <w:color w:val="000000"/>
          <w:sz w:val="32"/>
          <w:szCs w:val="32"/>
          <w:lang w:eastAsia="zh-CN"/>
        </w:rPr>
        <w:t>卫生健康</w:t>
      </w:r>
      <w:r>
        <w:rPr>
          <w:rFonts w:hint="eastAsia" w:ascii="仿宋" w:hAnsi="仿宋" w:eastAsia="仿宋" w:cs="仿宋"/>
          <w:b/>
          <w:bCs/>
          <w:color w:val="000000"/>
          <w:sz w:val="32"/>
          <w:szCs w:val="32"/>
        </w:rPr>
        <w:t>（类）</w:t>
      </w:r>
      <w:r>
        <w:rPr>
          <w:rFonts w:hint="eastAsia" w:ascii="仿宋" w:hAnsi="仿宋" w:eastAsia="仿宋" w:cs="仿宋"/>
          <w:b w:val="0"/>
          <w:bCs w:val="0"/>
          <w:color w:val="auto"/>
          <w:sz w:val="32"/>
          <w:szCs w:val="32"/>
          <w:lang w:eastAsia="zh-CN"/>
        </w:rPr>
        <w:t>支出</w:t>
      </w:r>
      <w:r>
        <w:rPr>
          <w:rFonts w:hint="eastAsia" w:ascii="仿宋" w:hAnsi="仿宋" w:eastAsia="仿宋" w:cs="仿宋"/>
          <w:color w:val="000000"/>
          <w:sz w:val="32"/>
          <w:szCs w:val="32"/>
          <w:lang w:val="en-US" w:eastAsia="zh-CN"/>
        </w:rPr>
        <w:t>1.33</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0.27</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lang w:eastAsia="zh-CN"/>
        </w:rPr>
        <w:t>农林水</w:t>
      </w:r>
      <w:r>
        <w:rPr>
          <w:rFonts w:hint="eastAsia" w:ascii="仿宋" w:hAnsi="仿宋" w:eastAsia="仿宋" w:cs="仿宋"/>
          <w:b/>
          <w:bCs/>
          <w:color w:val="000000"/>
          <w:sz w:val="32"/>
          <w:szCs w:val="32"/>
        </w:rPr>
        <w:t>（类）</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1.71</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0.34</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社会保障和就业（类）</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18.89</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3.69</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住房保障（类）</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22.16</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4.31</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（罗列全部功能分类科目，至类级。）</w:t>
      </w:r>
    </w:p>
    <w:p w14:paraId="7AB3C3F9">
      <w:pPr>
        <w:spacing w:line="600" w:lineRule="exact"/>
        <w:ind w:firstLine="640"/>
        <w:rPr>
          <w:rFonts w:ascii="仿宋" w:hAnsi="仿宋" w:eastAsia="仿宋"/>
          <w:color w:val="000000"/>
          <w:sz w:val="32"/>
          <w:szCs w:val="32"/>
        </w:rPr>
      </w:pPr>
      <w:r>
        <w:drawing>
          <wp:anchor distT="0" distB="0" distL="114300" distR="114300" simplePos="0" relativeHeight="251663360" behindDoc="1" locked="0" layoutInCell="1" allowOverlap="1">
            <wp:simplePos x="0" y="0"/>
            <wp:positionH relativeFrom="column">
              <wp:posOffset>80010</wp:posOffset>
            </wp:positionH>
            <wp:positionV relativeFrom="paragraph">
              <wp:posOffset>184150</wp:posOffset>
            </wp:positionV>
            <wp:extent cx="4907280" cy="2433955"/>
            <wp:effectExtent l="4445" t="4445" r="22225" b="1905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6BDF290">
      <w:pPr>
        <w:spacing w:line="600" w:lineRule="exact"/>
        <w:ind w:firstLine="640" w:firstLineChars="200"/>
        <w:rPr>
          <w:rFonts w:ascii="仿宋" w:hAnsi="仿宋" w:eastAsia="仿宋"/>
          <w:color w:val="000000"/>
          <w:sz w:val="32"/>
          <w:szCs w:val="32"/>
        </w:rPr>
      </w:pPr>
    </w:p>
    <w:p w14:paraId="1A1716D8">
      <w:pPr>
        <w:spacing w:line="600" w:lineRule="exact"/>
        <w:ind w:firstLine="640" w:firstLineChars="200"/>
        <w:rPr>
          <w:rFonts w:ascii="仿宋" w:hAnsi="仿宋" w:eastAsia="仿宋"/>
          <w:color w:val="000000"/>
          <w:sz w:val="32"/>
          <w:szCs w:val="32"/>
        </w:rPr>
      </w:pPr>
    </w:p>
    <w:p w14:paraId="543BEBFE">
      <w:pPr>
        <w:spacing w:line="600" w:lineRule="exact"/>
        <w:ind w:firstLine="640" w:firstLineChars="200"/>
        <w:rPr>
          <w:rFonts w:ascii="仿宋" w:hAnsi="仿宋" w:eastAsia="仿宋"/>
          <w:color w:val="000000"/>
          <w:sz w:val="32"/>
          <w:szCs w:val="32"/>
        </w:rPr>
      </w:pPr>
    </w:p>
    <w:p w14:paraId="6E3B0980">
      <w:pPr>
        <w:spacing w:line="600" w:lineRule="exact"/>
        <w:ind w:firstLine="640" w:firstLineChars="200"/>
        <w:rPr>
          <w:rFonts w:ascii="仿宋" w:hAnsi="仿宋" w:eastAsia="仿宋"/>
          <w:color w:val="000000"/>
          <w:sz w:val="32"/>
          <w:szCs w:val="32"/>
        </w:rPr>
      </w:pPr>
    </w:p>
    <w:p w14:paraId="0A79093A">
      <w:pPr>
        <w:spacing w:line="600" w:lineRule="exact"/>
        <w:ind w:firstLine="640" w:firstLineChars="200"/>
        <w:rPr>
          <w:rFonts w:ascii="仿宋" w:hAnsi="仿宋" w:eastAsia="仿宋"/>
          <w:color w:val="000000"/>
          <w:sz w:val="32"/>
          <w:szCs w:val="32"/>
        </w:rPr>
      </w:pPr>
    </w:p>
    <w:p w14:paraId="247FA852">
      <w:pPr>
        <w:spacing w:line="600" w:lineRule="exact"/>
        <w:ind w:firstLine="640" w:firstLineChars="200"/>
        <w:rPr>
          <w:rFonts w:ascii="仿宋" w:hAnsi="仿宋" w:eastAsia="仿宋"/>
          <w:color w:val="000000"/>
          <w:sz w:val="32"/>
          <w:szCs w:val="32"/>
        </w:rPr>
      </w:pPr>
    </w:p>
    <w:p w14:paraId="61043AA8">
      <w:pPr>
        <w:spacing w:line="600" w:lineRule="exact"/>
        <w:ind w:firstLine="643" w:firstLineChars="200"/>
        <w:outlineLvl w:val="2"/>
        <w:rPr>
          <w:rFonts w:ascii="仿宋" w:hAnsi="仿宋" w:eastAsia="仿宋"/>
          <w:b/>
          <w:bCs/>
          <w:color w:val="000000"/>
          <w:sz w:val="32"/>
          <w:szCs w:val="32"/>
        </w:rPr>
      </w:pPr>
      <w:bookmarkStart w:id="53" w:name="_Toc15377212"/>
      <w:bookmarkStart w:id="54" w:name="_Toc52180083"/>
      <w:r>
        <w:rPr>
          <w:rFonts w:hint="eastAsia" w:ascii="仿宋" w:hAnsi="仿宋" w:eastAsia="仿宋" w:cs="仿宋"/>
          <w:b/>
          <w:bCs/>
          <w:color w:val="000000"/>
          <w:sz w:val="32"/>
          <w:szCs w:val="32"/>
        </w:rPr>
        <w:t>（三）一般公共预算财政拨款支出决算具体情况</w:t>
      </w:r>
      <w:bookmarkEnd w:id="53"/>
      <w:bookmarkEnd w:id="54"/>
    </w:p>
    <w:p w14:paraId="266038FF">
      <w:pPr>
        <w:spacing w:line="600" w:lineRule="exact"/>
        <w:ind w:firstLine="643" w:firstLineChars="200"/>
        <w:outlineLvl w:val="2"/>
        <w:rPr>
          <w:rFonts w:ascii="仿宋" w:hAnsi="仿宋" w:eastAsia="仿宋"/>
          <w:color w:val="FF0000"/>
          <w:sz w:val="32"/>
          <w:szCs w:val="32"/>
        </w:rPr>
      </w:pPr>
      <w:bookmarkStart w:id="55" w:name="_Toc52180084"/>
      <w:bookmarkStart w:id="56" w:name="_Toc15378460"/>
      <w:bookmarkStart w:id="57" w:name="_Toc15377213"/>
      <w:bookmarkStart w:id="58" w:name="_Toc15377444"/>
      <w:r>
        <w:rPr>
          <w:rFonts w:hint="eastAsia" w:ascii="仿宋" w:hAnsi="仿宋" w:eastAsia="仿宋" w:cs="仿宋"/>
          <w:b/>
          <w:bCs/>
          <w:color w:val="000000"/>
          <w:sz w:val="32"/>
          <w:szCs w:val="32"/>
          <w:lang w:eastAsia="zh-CN"/>
        </w:rPr>
        <w:t>2020年一</w:t>
      </w:r>
      <w:r>
        <w:rPr>
          <w:rFonts w:hint="eastAsia" w:ascii="仿宋" w:hAnsi="仿宋" w:eastAsia="仿宋" w:cs="仿宋"/>
          <w:b/>
          <w:bCs/>
          <w:color w:val="000000"/>
          <w:sz w:val="32"/>
          <w:szCs w:val="32"/>
        </w:rPr>
        <w:t>般公共预算支出决算数为</w:t>
      </w:r>
      <w:r>
        <w:rPr>
          <w:rFonts w:hint="eastAsia" w:ascii="仿宋" w:hAnsi="仿宋" w:eastAsia="仿宋" w:cs="仿宋"/>
          <w:b/>
          <w:bCs/>
          <w:color w:val="000000"/>
          <w:sz w:val="32"/>
          <w:szCs w:val="32"/>
          <w:lang w:val="en-US" w:eastAsia="zh-CN"/>
        </w:rPr>
        <w:t>512.08万元</w:t>
      </w:r>
      <w:r>
        <w:rPr>
          <w:rFonts w:hint="eastAsia" w:ascii="仿宋" w:hAnsi="仿宋" w:eastAsia="仿宋" w:cs="仿宋"/>
          <w:color w:val="000000"/>
          <w:sz w:val="32"/>
          <w:szCs w:val="32"/>
        </w:rPr>
        <w:t>，</w:t>
      </w:r>
      <w:r>
        <w:rPr>
          <w:rStyle w:val="19"/>
          <w:rFonts w:hint="eastAsia" w:ascii="仿宋" w:hAnsi="仿宋" w:eastAsia="仿宋" w:cs="仿宋"/>
          <w:color w:val="000000"/>
          <w:sz w:val="32"/>
          <w:szCs w:val="32"/>
        </w:rPr>
        <w:t>完成预算</w:t>
      </w:r>
      <w:r>
        <w:rPr>
          <w:rStyle w:val="19"/>
          <w:rFonts w:ascii="仿宋" w:hAnsi="仿宋" w:eastAsia="仿宋" w:cs="仿宋"/>
          <w:color w:val="000000"/>
          <w:sz w:val="32"/>
          <w:szCs w:val="32"/>
        </w:rPr>
        <w:t>100%</w:t>
      </w:r>
      <w:r>
        <w:rPr>
          <w:rStyle w:val="19"/>
          <w:rFonts w:hint="eastAsia" w:ascii="仿宋" w:hAnsi="仿宋" w:eastAsia="仿宋" w:cs="仿宋"/>
          <w:color w:val="000000"/>
          <w:sz w:val="32"/>
          <w:szCs w:val="32"/>
        </w:rPr>
        <w:t>。其中：</w:t>
      </w:r>
      <w:bookmarkEnd w:id="55"/>
      <w:bookmarkEnd w:id="56"/>
      <w:bookmarkEnd w:id="57"/>
      <w:bookmarkEnd w:id="58"/>
    </w:p>
    <w:p w14:paraId="022720AB">
      <w:pPr>
        <w:spacing w:line="600" w:lineRule="exact"/>
        <w:ind w:firstLine="643" w:firstLineChars="200"/>
        <w:rPr>
          <w:rStyle w:val="19"/>
          <w:rFonts w:ascii="仿宋_GB2312" w:eastAsia="仿宋_GB2312"/>
          <w:color w:val="000000"/>
          <w:sz w:val="32"/>
          <w:szCs w:val="32"/>
        </w:rPr>
      </w:pPr>
      <w:r>
        <w:rPr>
          <w:rStyle w:val="19"/>
          <w:rFonts w:ascii="仿宋_GB2312" w:eastAsia="仿宋_GB2312" w:cs="仿宋_GB2312"/>
          <w:color w:val="000000"/>
          <w:sz w:val="32"/>
          <w:szCs w:val="32"/>
        </w:rPr>
        <w:t>1.</w:t>
      </w:r>
      <w:r>
        <w:rPr>
          <w:rStyle w:val="19"/>
          <w:rFonts w:hint="eastAsia" w:ascii="仿宋_GB2312" w:eastAsia="仿宋_GB2312" w:cs="仿宋_GB2312"/>
          <w:color w:val="000000"/>
          <w:sz w:val="32"/>
          <w:szCs w:val="32"/>
        </w:rPr>
        <w:t>一般公共服务（类）其他共产党事务支出（款）</w:t>
      </w:r>
    </w:p>
    <w:p w14:paraId="7842C804">
      <w:pPr>
        <w:spacing w:line="600" w:lineRule="exact"/>
        <w:ind w:firstLine="643" w:firstLineChars="200"/>
        <w:rPr>
          <w:rStyle w:val="19"/>
          <w:rFonts w:ascii="仿宋_GB2312" w:eastAsia="仿宋_GB2312"/>
          <w:b w:val="0"/>
          <w:bCs w:val="0"/>
          <w:color w:val="000000"/>
          <w:sz w:val="32"/>
          <w:szCs w:val="32"/>
        </w:rPr>
      </w:pPr>
      <w:r>
        <w:rPr>
          <w:rStyle w:val="19"/>
          <w:rFonts w:hint="eastAsia" w:ascii="仿宋_GB2312" w:eastAsia="仿宋_GB2312" w:cs="仿宋_GB2312"/>
          <w:color w:val="000000"/>
          <w:sz w:val="32"/>
          <w:szCs w:val="32"/>
          <w:lang w:eastAsia="zh-CN"/>
        </w:rPr>
        <w:t>①</w:t>
      </w:r>
      <w:r>
        <w:rPr>
          <w:rStyle w:val="19"/>
          <w:rFonts w:hint="eastAsia" w:ascii="仿宋_GB2312" w:eastAsia="仿宋_GB2312" w:cs="仿宋_GB2312"/>
          <w:color w:val="000000"/>
          <w:sz w:val="32"/>
          <w:szCs w:val="32"/>
        </w:rPr>
        <w:t>行政运行</w:t>
      </w:r>
      <w:r>
        <w:rPr>
          <w:rStyle w:val="19"/>
          <w:rFonts w:hint="eastAsia" w:ascii="仿宋_GB2312" w:eastAsia="仿宋_GB2312" w:cs="仿宋_GB2312"/>
          <w:color w:val="000000"/>
          <w:sz w:val="32"/>
          <w:szCs w:val="32"/>
          <w:lang w:eastAsia="zh-CN"/>
        </w:rPr>
        <w:t>：</w:t>
      </w:r>
      <w:r>
        <w:rPr>
          <w:rStyle w:val="19"/>
          <w:rFonts w:ascii="仿宋_GB2312" w:eastAsia="仿宋_GB2312" w:cs="仿宋_GB2312"/>
          <w:b w:val="0"/>
          <w:bCs w:val="0"/>
          <w:color w:val="000000"/>
          <w:sz w:val="32"/>
          <w:szCs w:val="32"/>
        </w:rPr>
        <w:t xml:space="preserve"> </w:t>
      </w:r>
      <w:r>
        <w:rPr>
          <w:rStyle w:val="19"/>
          <w:rFonts w:hint="eastAsia" w:ascii="仿宋_GB2312" w:eastAsia="仿宋_GB2312" w:cs="仿宋_GB2312"/>
          <w:b w:val="0"/>
          <w:bCs w:val="0"/>
          <w:color w:val="000000"/>
          <w:sz w:val="32"/>
          <w:szCs w:val="32"/>
        </w:rPr>
        <w:t>支出决算为</w:t>
      </w:r>
      <w:r>
        <w:rPr>
          <w:rStyle w:val="19"/>
          <w:rFonts w:hint="eastAsia" w:ascii="仿宋_GB2312" w:eastAsia="仿宋_GB2312" w:cs="仿宋_GB2312"/>
          <w:b w:val="0"/>
          <w:bCs w:val="0"/>
          <w:color w:val="000000"/>
          <w:sz w:val="32"/>
          <w:szCs w:val="32"/>
          <w:lang w:val="en-US" w:eastAsia="zh-CN"/>
        </w:rPr>
        <w:t>309.02</w:t>
      </w:r>
      <w:r>
        <w:rPr>
          <w:rStyle w:val="19"/>
          <w:rFonts w:hint="eastAsia" w:ascii="仿宋_GB2312" w:eastAsia="仿宋_GB2312" w:cs="仿宋_GB2312"/>
          <w:b w:val="0"/>
          <w:bCs w:val="0"/>
          <w:color w:val="000000"/>
          <w:sz w:val="32"/>
          <w:szCs w:val="32"/>
        </w:rPr>
        <w:t>万元，完成预算</w:t>
      </w:r>
      <w:r>
        <w:rPr>
          <w:rStyle w:val="19"/>
          <w:rFonts w:ascii="仿宋_GB2312" w:eastAsia="仿宋_GB2312" w:cs="仿宋_GB2312"/>
          <w:b w:val="0"/>
          <w:bCs w:val="0"/>
          <w:color w:val="000000"/>
          <w:sz w:val="32"/>
          <w:szCs w:val="32"/>
        </w:rPr>
        <w:t>100%</w:t>
      </w:r>
      <w:r>
        <w:rPr>
          <w:rStyle w:val="19"/>
          <w:rFonts w:hint="eastAsia" w:ascii="仿宋_GB2312" w:eastAsia="仿宋_GB2312" w:cs="仿宋_GB2312"/>
          <w:b w:val="0"/>
          <w:bCs w:val="0"/>
          <w:color w:val="000000"/>
          <w:sz w:val="32"/>
          <w:szCs w:val="32"/>
        </w:rPr>
        <w:t>。</w:t>
      </w:r>
    </w:p>
    <w:p w14:paraId="3AC573EB">
      <w:pPr>
        <w:spacing w:line="600" w:lineRule="exact"/>
        <w:ind w:firstLine="643" w:firstLineChars="200"/>
        <w:rPr>
          <w:rStyle w:val="19"/>
          <w:rFonts w:hint="eastAsia" w:ascii="仿宋_GB2312" w:eastAsia="仿宋_GB2312" w:cs="仿宋_GB2312"/>
          <w:b w:val="0"/>
          <w:bCs w:val="0"/>
          <w:color w:val="000000"/>
          <w:sz w:val="32"/>
          <w:szCs w:val="32"/>
        </w:rPr>
      </w:pPr>
      <w:r>
        <w:rPr>
          <w:rStyle w:val="19"/>
          <w:rFonts w:hint="eastAsia" w:ascii="仿宋_GB2312" w:eastAsia="仿宋_GB2312" w:cs="仿宋_GB2312"/>
          <w:color w:val="000000"/>
          <w:sz w:val="32"/>
          <w:szCs w:val="32"/>
          <w:lang w:eastAsia="zh-CN"/>
        </w:rPr>
        <w:t>②</w:t>
      </w:r>
      <w:r>
        <w:rPr>
          <w:rStyle w:val="19"/>
          <w:rFonts w:hint="eastAsia" w:ascii="仿宋_GB2312" w:eastAsia="仿宋_GB2312" w:cs="仿宋_GB2312"/>
          <w:color w:val="000000"/>
          <w:sz w:val="32"/>
          <w:szCs w:val="32"/>
        </w:rPr>
        <w:t>其他共产党事务支出：</w:t>
      </w:r>
      <w:r>
        <w:rPr>
          <w:rStyle w:val="19"/>
          <w:rFonts w:hint="eastAsia" w:ascii="仿宋_GB2312" w:eastAsia="仿宋_GB2312" w:cs="仿宋_GB2312"/>
          <w:b w:val="0"/>
          <w:bCs w:val="0"/>
          <w:color w:val="000000"/>
          <w:sz w:val="32"/>
          <w:szCs w:val="32"/>
        </w:rPr>
        <w:t>支出决算为</w:t>
      </w:r>
      <w:r>
        <w:rPr>
          <w:rStyle w:val="19"/>
          <w:rFonts w:hint="eastAsia" w:ascii="仿宋_GB2312" w:eastAsia="仿宋_GB2312" w:cs="仿宋_GB2312"/>
          <w:b w:val="0"/>
          <w:bCs w:val="0"/>
          <w:color w:val="000000"/>
          <w:sz w:val="32"/>
          <w:szCs w:val="32"/>
          <w:lang w:val="en-US" w:eastAsia="zh-CN"/>
        </w:rPr>
        <w:t>40.57</w:t>
      </w:r>
      <w:r>
        <w:rPr>
          <w:rStyle w:val="19"/>
          <w:rFonts w:hint="eastAsia" w:ascii="仿宋_GB2312" w:eastAsia="仿宋_GB2312" w:cs="仿宋_GB2312"/>
          <w:b w:val="0"/>
          <w:bCs w:val="0"/>
          <w:color w:val="000000"/>
          <w:sz w:val="32"/>
          <w:szCs w:val="32"/>
        </w:rPr>
        <w:t>万元，完成预算</w:t>
      </w:r>
      <w:r>
        <w:rPr>
          <w:rStyle w:val="19"/>
          <w:rFonts w:ascii="仿宋_GB2312" w:eastAsia="仿宋_GB2312" w:cs="仿宋_GB2312"/>
          <w:b w:val="0"/>
          <w:bCs w:val="0"/>
          <w:color w:val="000000"/>
          <w:sz w:val="32"/>
          <w:szCs w:val="32"/>
        </w:rPr>
        <w:t>100%</w:t>
      </w:r>
      <w:r>
        <w:rPr>
          <w:rStyle w:val="19"/>
          <w:rFonts w:hint="eastAsia" w:ascii="仿宋_GB2312" w:eastAsia="仿宋_GB2312" w:cs="仿宋_GB2312"/>
          <w:b w:val="0"/>
          <w:bCs w:val="0"/>
          <w:color w:val="000000"/>
          <w:sz w:val="32"/>
          <w:szCs w:val="32"/>
        </w:rPr>
        <w:t>。</w:t>
      </w:r>
    </w:p>
    <w:p w14:paraId="5EB5FC12">
      <w:pPr>
        <w:spacing w:line="600" w:lineRule="exact"/>
        <w:ind w:firstLine="643" w:firstLineChars="200"/>
        <w:rPr>
          <w:rStyle w:val="19"/>
          <w:rFonts w:hint="eastAsia" w:ascii="仿宋_GB2312" w:eastAsia="仿宋_GB2312" w:cs="仿宋_GB2312"/>
          <w:b w:val="0"/>
          <w:bCs w:val="0"/>
          <w:color w:val="000000"/>
          <w:sz w:val="32"/>
          <w:szCs w:val="32"/>
        </w:rPr>
      </w:pPr>
      <w:r>
        <w:rPr>
          <w:rStyle w:val="19"/>
          <w:rFonts w:hint="eastAsia" w:ascii="仿宋_GB2312" w:eastAsia="仿宋_GB2312" w:cs="仿宋_GB2312"/>
          <w:color w:val="000000"/>
          <w:sz w:val="32"/>
          <w:szCs w:val="32"/>
        </w:rPr>
        <w:sym w:font="Wingdings" w:char="F083"/>
      </w:r>
      <w:bookmarkStart w:id="120" w:name="_GoBack"/>
      <w:r>
        <w:rPr>
          <w:rStyle w:val="19"/>
          <w:rFonts w:hint="eastAsia" w:ascii="仿宋_GB2312" w:eastAsia="仿宋_GB2312" w:cs="仿宋_GB2312"/>
          <w:color w:val="000000"/>
          <w:sz w:val="32"/>
          <w:szCs w:val="32"/>
        </w:rPr>
        <w:t>、</w:t>
      </w:r>
      <w:bookmarkEnd w:id="120"/>
      <w:r>
        <w:rPr>
          <w:rStyle w:val="19"/>
          <w:rFonts w:hint="eastAsia" w:ascii="仿宋_GB2312" w:eastAsia="仿宋_GB2312" w:cs="仿宋_GB2312"/>
          <w:color w:val="000000"/>
          <w:sz w:val="32"/>
          <w:szCs w:val="32"/>
          <w:lang w:eastAsia="zh-CN"/>
        </w:rPr>
        <w:t>一般行政管理事务</w:t>
      </w:r>
      <w:r>
        <w:rPr>
          <w:rStyle w:val="19"/>
          <w:rFonts w:hint="eastAsia" w:ascii="仿宋_GB2312" w:eastAsia="仿宋_GB2312" w:cs="仿宋_GB2312"/>
          <w:color w:val="000000"/>
          <w:sz w:val="32"/>
          <w:szCs w:val="32"/>
        </w:rPr>
        <w:t>：</w:t>
      </w:r>
      <w:r>
        <w:rPr>
          <w:rStyle w:val="19"/>
          <w:rFonts w:hint="eastAsia" w:ascii="仿宋_GB2312" w:eastAsia="仿宋_GB2312" w:cs="仿宋_GB2312"/>
          <w:b w:val="0"/>
          <w:bCs w:val="0"/>
          <w:color w:val="000000"/>
          <w:sz w:val="32"/>
          <w:szCs w:val="32"/>
        </w:rPr>
        <w:t>支出决算为</w:t>
      </w:r>
      <w:r>
        <w:rPr>
          <w:rStyle w:val="19"/>
          <w:rFonts w:hint="eastAsia" w:ascii="仿宋_GB2312" w:eastAsia="仿宋_GB2312" w:cs="仿宋_GB2312"/>
          <w:b w:val="0"/>
          <w:bCs w:val="0"/>
          <w:color w:val="000000"/>
          <w:sz w:val="32"/>
          <w:szCs w:val="32"/>
          <w:lang w:val="en-US" w:eastAsia="zh-CN"/>
        </w:rPr>
        <w:t>67.04</w:t>
      </w:r>
      <w:r>
        <w:rPr>
          <w:rStyle w:val="19"/>
          <w:rFonts w:hint="eastAsia" w:ascii="仿宋_GB2312" w:eastAsia="仿宋_GB2312" w:cs="仿宋_GB2312"/>
          <w:b w:val="0"/>
          <w:bCs w:val="0"/>
          <w:color w:val="000000"/>
          <w:sz w:val="32"/>
          <w:szCs w:val="32"/>
        </w:rPr>
        <w:t>万元，完成预算</w:t>
      </w:r>
      <w:r>
        <w:rPr>
          <w:rStyle w:val="19"/>
          <w:rFonts w:ascii="仿宋_GB2312" w:eastAsia="仿宋_GB2312" w:cs="仿宋_GB2312"/>
          <w:b w:val="0"/>
          <w:bCs w:val="0"/>
          <w:color w:val="000000"/>
          <w:sz w:val="32"/>
          <w:szCs w:val="32"/>
        </w:rPr>
        <w:t>100%</w:t>
      </w:r>
      <w:r>
        <w:rPr>
          <w:rStyle w:val="19"/>
          <w:rFonts w:hint="eastAsia" w:ascii="仿宋_GB2312" w:eastAsia="仿宋_GB2312" w:cs="仿宋_GB2312"/>
          <w:b w:val="0"/>
          <w:bCs w:val="0"/>
          <w:color w:val="000000"/>
          <w:sz w:val="32"/>
          <w:szCs w:val="32"/>
        </w:rPr>
        <w:t>。</w:t>
      </w:r>
    </w:p>
    <w:p w14:paraId="6DB38F10">
      <w:pPr>
        <w:pStyle w:val="2"/>
        <w:rPr>
          <w:rFonts w:hint="eastAsia"/>
        </w:rPr>
      </w:pPr>
    </w:p>
    <w:p w14:paraId="57B881DC">
      <w:pPr>
        <w:spacing w:line="600" w:lineRule="exact"/>
        <w:ind w:firstLine="643" w:firstLineChars="200"/>
      </w:pPr>
      <w:r>
        <w:rPr>
          <w:rStyle w:val="19"/>
          <w:rFonts w:hint="eastAsia" w:ascii="宋体" w:hAnsi="宋体" w:cs="宋体"/>
          <w:color w:val="000000"/>
          <w:sz w:val="32"/>
          <w:szCs w:val="32"/>
          <w:lang w:eastAsia="zh-CN"/>
        </w:rPr>
        <w:t>④</w:t>
      </w:r>
      <w:r>
        <w:rPr>
          <w:rStyle w:val="19"/>
          <w:rFonts w:hint="eastAsia" w:ascii="仿宋_GB2312" w:eastAsia="仿宋_GB2312" w:cs="仿宋_GB2312"/>
          <w:color w:val="000000"/>
          <w:sz w:val="32"/>
          <w:szCs w:val="32"/>
          <w:lang w:eastAsia="zh-CN"/>
        </w:rPr>
        <w:t>事业运行</w:t>
      </w:r>
      <w:r>
        <w:rPr>
          <w:rStyle w:val="19"/>
          <w:rFonts w:hint="eastAsia" w:ascii="仿宋_GB2312" w:eastAsia="仿宋_GB2312" w:cs="仿宋_GB2312"/>
          <w:color w:val="000000"/>
          <w:sz w:val="32"/>
          <w:szCs w:val="32"/>
        </w:rPr>
        <w:t>：</w:t>
      </w:r>
      <w:r>
        <w:rPr>
          <w:rStyle w:val="19"/>
          <w:rFonts w:hint="eastAsia" w:ascii="仿宋_GB2312" w:eastAsia="仿宋_GB2312" w:cs="仿宋_GB2312"/>
          <w:b w:val="0"/>
          <w:bCs w:val="0"/>
          <w:color w:val="000000"/>
          <w:sz w:val="32"/>
          <w:szCs w:val="32"/>
        </w:rPr>
        <w:t>支出决算为</w:t>
      </w:r>
      <w:r>
        <w:rPr>
          <w:rStyle w:val="19"/>
          <w:rFonts w:hint="eastAsia" w:ascii="仿宋_GB2312" w:eastAsia="仿宋_GB2312" w:cs="仿宋_GB2312"/>
          <w:b w:val="0"/>
          <w:bCs w:val="0"/>
          <w:color w:val="000000"/>
          <w:sz w:val="32"/>
          <w:szCs w:val="32"/>
          <w:lang w:val="en-US" w:eastAsia="zh-CN"/>
        </w:rPr>
        <w:t>1.56</w:t>
      </w:r>
      <w:r>
        <w:rPr>
          <w:rStyle w:val="19"/>
          <w:rFonts w:hint="eastAsia" w:ascii="仿宋_GB2312" w:eastAsia="仿宋_GB2312" w:cs="仿宋_GB2312"/>
          <w:b w:val="0"/>
          <w:bCs w:val="0"/>
          <w:color w:val="000000"/>
          <w:sz w:val="32"/>
          <w:szCs w:val="32"/>
        </w:rPr>
        <w:t>万元，完成预算</w:t>
      </w:r>
      <w:r>
        <w:rPr>
          <w:rStyle w:val="19"/>
          <w:rFonts w:ascii="仿宋_GB2312" w:eastAsia="仿宋_GB2312" w:cs="仿宋_GB2312"/>
          <w:b w:val="0"/>
          <w:bCs w:val="0"/>
          <w:color w:val="000000"/>
          <w:sz w:val="32"/>
          <w:szCs w:val="32"/>
        </w:rPr>
        <w:t>100%</w:t>
      </w:r>
      <w:r>
        <w:rPr>
          <w:rStyle w:val="19"/>
          <w:rFonts w:hint="eastAsia" w:ascii="仿宋_GB2312" w:eastAsia="仿宋_GB2312" w:cs="仿宋_GB2312"/>
          <w:b w:val="0"/>
          <w:bCs w:val="0"/>
          <w:color w:val="000000"/>
          <w:sz w:val="32"/>
          <w:szCs w:val="32"/>
        </w:rPr>
        <w:t>。</w:t>
      </w:r>
    </w:p>
    <w:p w14:paraId="47414B20">
      <w:pPr>
        <w:spacing w:line="600" w:lineRule="exact"/>
        <w:ind w:firstLine="643" w:firstLineChars="200"/>
        <w:rPr>
          <w:rStyle w:val="19"/>
          <w:rFonts w:ascii="仿宋_GB2312" w:eastAsia="仿宋_GB2312"/>
          <w:color w:val="000000"/>
          <w:sz w:val="32"/>
          <w:szCs w:val="32"/>
        </w:rPr>
      </w:pPr>
      <w:r>
        <w:rPr>
          <w:rStyle w:val="19"/>
          <w:rFonts w:ascii="仿宋_GB2312" w:eastAsia="仿宋_GB2312" w:cs="仿宋_GB2312"/>
          <w:color w:val="000000"/>
          <w:sz w:val="32"/>
          <w:szCs w:val="32"/>
        </w:rPr>
        <w:t>2.</w:t>
      </w:r>
      <w:r>
        <w:rPr>
          <w:rStyle w:val="19"/>
          <w:rFonts w:hint="eastAsia" w:ascii="仿宋_GB2312" w:eastAsia="仿宋_GB2312" w:cs="仿宋_GB2312"/>
          <w:color w:val="000000"/>
          <w:sz w:val="32"/>
          <w:szCs w:val="32"/>
        </w:rPr>
        <w:t>社会保障和就业（类）行政事业单位离退休（款）</w:t>
      </w:r>
      <w:r>
        <w:rPr>
          <w:rStyle w:val="19"/>
          <w:rFonts w:ascii="仿宋_GB2312" w:eastAsia="仿宋_GB2312" w:cs="仿宋_GB2312"/>
          <w:color w:val="000000"/>
          <w:sz w:val="32"/>
          <w:szCs w:val="32"/>
        </w:rPr>
        <w:t xml:space="preserve">  </w:t>
      </w:r>
    </w:p>
    <w:p w14:paraId="0ED0B4A0">
      <w:pPr>
        <w:spacing w:line="600" w:lineRule="exact"/>
        <w:ind w:firstLine="643" w:firstLineChars="200"/>
        <w:rPr>
          <w:rStyle w:val="19"/>
          <w:rFonts w:ascii="仿宋_GB2312" w:eastAsia="仿宋_GB2312"/>
          <w:b w:val="0"/>
          <w:bCs w:val="0"/>
          <w:color w:val="000000"/>
          <w:sz w:val="32"/>
          <w:szCs w:val="32"/>
        </w:rPr>
      </w:pPr>
      <w:r>
        <w:rPr>
          <w:rStyle w:val="19"/>
          <w:rFonts w:hint="eastAsia" w:ascii="仿宋_GB2312" w:eastAsia="仿宋_GB2312" w:cs="仿宋_GB2312"/>
          <w:color w:val="000000"/>
          <w:sz w:val="32"/>
          <w:szCs w:val="32"/>
          <w:lang w:eastAsia="zh-CN"/>
        </w:rPr>
        <w:t>①</w:t>
      </w:r>
      <w:r>
        <w:rPr>
          <w:rStyle w:val="19"/>
          <w:rFonts w:hint="eastAsia" w:ascii="仿宋_GB2312" w:eastAsia="仿宋_GB2312" w:cs="仿宋_GB2312"/>
          <w:color w:val="000000"/>
          <w:sz w:val="32"/>
          <w:szCs w:val="32"/>
        </w:rPr>
        <w:t>行政单位离退休</w:t>
      </w:r>
      <w:r>
        <w:rPr>
          <w:rStyle w:val="19"/>
          <w:rFonts w:hint="eastAsia" w:ascii="仿宋_GB2312" w:eastAsia="仿宋_GB2312" w:cs="仿宋_GB2312"/>
          <w:color w:val="000000"/>
          <w:sz w:val="32"/>
          <w:szCs w:val="32"/>
          <w:lang w:eastAsia="zh-CN"/>
        </w:rPr>
        <w:t>：</w:t>
      </w:r>
      <w:r>
        <w:rPr>
          <w:rStyle w:val="19"/>
          <w:rFonts w:ascii="仿宋_GB2312" w:eastAsia="仿宋_GB2312" w:cs="仿宋_GB2312"/>
          <w:b w:val="0"/>
          <w:bCs w:val="0"/>
          <w:color w:val="000000"/>
          <w:sz w:val="32"/>
          <w:szCs w:val="32"/>
        </w:rPr>
        <w:t xml:space="preserve"> </w:t>
      </w:r>
      <w:r>
        <w:rPr>
          <w:rStyle w:val="19"/>
          <w:rFonts w:hint="eastAsia" w:ascii="仿宋_GB2312" w:eastAsia="仿宋_GB2312" w:cs="仿宋_GB2312"/>
          <w:b w:val="0"/>
          <w:bCs w:val="0"/>
          <w:color w:val="000000"/>
          <w:sz w:val="32"/>
          <w:szCs w:val="32"/>
        </w:rPr>
        <w:t>支出决算为</w:t>
      </w:r>
      <w:r>
        <w:rPr>
          <w:rStyle w:val="19"/>
          <w:rFonts w:hint="eastAsia" w:ascii="仿宋_GB2312" w:eastAsia="仿宋_GB2312" w:cs="仿宋_GB2312"/>
          <w:b w:val="0"/>
          <w:bCs w:val="0"/>
          <w:color w:val="000000"/>
          <w:sz w:val="32"/>
          <w:szCs w:val="32"/>
          <w:lang w:val="en-US" w:eastAsia="zh-CN"/>
        </w:rPr>
        <w:t>1.63</w:t>
      </w:r>
      <w:r>
        <w:rPr>
          <w:rStyle w:val="19"/>
          <w:rFonts w:hint="eastAsia" w:ascii="仿宋_GB2312" w:eastAsia="仿宋_GB2312" w:cs="仿宋_GB2312"/>
          <w:b w:val="0"/>
          <w:bCs w:val="0"/>
          <w:color w:val="000000"/>
          <w:sz w:val="32"/>
          <w:szCs w:val="32"/>
        </w:rPr>
        <w:t>万元，完成预算</w:t>
      </w:r>
      <w:r>
        <w:rPr>
          <w:rStyle w:val="19"/>
          <w:rFonts w:ascii="仿宋_GB2312" w:eastAsia="仿宋_GB2312" w:cs="仿宋_GB2312"/>
          <w:b w:val="0"/>
          <w:bCs w:val="0"/>
          <w:color w:val="000000"/>
          <w:sz w:val="32"/>
          <w:szCs w:val="32"/>
        </w:rPr>
        <w:t>100%</w:t>
      </w:r>
      <w:r>
        <w:rPr>
          <w:rStyle w:val="19"/>
          <w:rFonts w:hint="eastAsia" w:ascii="仿宋_GB2312" w:eastAsia="仿宋_GB2312" w:cs="仿宋_GB2312"/>
          <w:b w:val="0"/>
          <w:bCs w:val="0"/>
          <w:color w:val="000000"/>
          <w:sz w:val="32"/>
          <w:szCs w:val="32"/>
        </w:rPr>
        <w:t>。</w:t>
      </w:r>
    </w:p>
    <w:p w14:paraId="2644709A">
      <w:pPr>
        <w:spacing w:line="600" w:lineRule="exact"/>
        <w:ind w:firstLine="643" w:firstLineChars="200"/>
        <w:rPr>
          <w:rFonts w:ascii="仿宋_GB2312" w:eastAsia="仿宋_GB2312"/>
          <w:color w:val="000000"/>
          <w:sz w:val="32"/>
          <w:szCs w:val="32"/>
        </w:rPr>
      </w:pPr>
      <w:r>
        <w:rPr>
          <w:rFonts w:hint="eastAsia" w:ascii="仿宋_GB2312" w:eastAsia="仿宋_GB2312" w:cs="仿宋_GB2312"/>
          <w:b/>
          <w:bCs/>
          <w:color w:val="000000"/>
          <w:sz w:val="32"/>
          <w:szCs w:val="32"/>
          <w:lang w:eastAsia="zh-CN"/>
        </w:rPr>
        <w:t>②</w:t>
      </w:r>
      <w:r>
        <w:rPr>
          <w:rFonts w:hint="eastAsia" w:ascii="仿宋_GB2312" w:eastAsia="仿宋_GB2312" w:cs="仿宋_GB2312"/>
          <w:b/>
          <w:bCs/>
          <w:color w:val="000000"/>
          <w:sz w:val="32"/>
          <w:szCs w:val="32"/>
        </w:rPr>
        <w:t>机关事业单位基本养老保险缴费支出：</w:t>
      </w:r>
      <w:r>
        <w:rPr>
          <w:rStyle w:val="19"/>
          <w:rFonts w:hint="eastAsia" w:ascii="仿宋_GB2312" w:eastAsia="仿宋_GB2312" w:cs="仿宋_GB2312"/>
          <w:b w:val="0"/>
          <w:bCs w:val="0"/>
          <w:color w:val="000000"/>
          <w:sz w:val="32"/>
          <w:szCs w:val="32"/>
        </w:rPr>
        <w:t>支出决算为</w:t>
      </w:r>
      <w:r>
        <w:rPr>
          <w:rStyle w:val="19"/>
          <w:rFonts w:hint="eastAsia" w:ascii="仿宋_GB2312" w:eastAsia="仿宋_GB2312" w:cs="仿宋_GB2312"/>
          <w:b w:val="0"/>
          <w:bCs w:val="0"/>
          <w:color w:val="000000"/>
          <w:sz w:val="32"/>
          <w:szCs w:val="32"/>
          <w:lang w:val="en-US" w:eastAsia="zh-CN"/>
        </w:rPr>
        <w:t>17.26</w:t>
      </w:r>
      <w:r>
        <w:rPr>
          <w:rStyle w:val="19"/>
          <w:rFonts w:hint="eastAsia" w:ascii="仿宋_GB2312" w:eastAsia="仿宋_GB2312" w:cs="仿宋_GB2312"/>
          <w:b w:val="0"/>
          <w:bCs w:val="0"/>
          <w:color w:val="000000"/>
          <w:sz w:val="32"/>
          <w:szCs w:val="32"/>
        </w:rPr>
        <w:t>万元，完成预算</w:t>
      </w:r>
      <w:r>
        <w:rPr>
          <w:rStyle w:val="19"/>
          <w:rFonts w:ascii="仿宋_GB2312" w:eastAsia="仿宋_GB2312" w:cs="仿宋_GB2312"/>
          <w:b w:val="0"/>
          <w:bCs w:val="0"/>
          <w:color w:val="000000"/>
          <w:sz w:val="32"/>
          <w:szCs w:val="32"/>
        </w:rPr>
        <w:t>100%</w:t>
      </w:r>
      <w:r>
        <w:rPr>
          <w:rStyle w:val="19"/>
          <w:rFonts w:hint="eastAsia" w:ascii="仿宋_GB2312" w:eastAsia="仿宋_GB2312" w:cs="仿宋_GB2312"/>
          <w:b w:val="0"/>
          <w:bCs w:val="0"/>
          <w:color w:val="000000"/>
          <w:sz w:val="32"/>
          <w:szCs w:val="32"/>
        </w:rPr>
        <w:t>。</w:t>
      </w:r>
    </w:p>
    <w:p w14:paraId="704FB60D">
      <w:pPr>
        <w:spacing w:line="600" w:lineRule="exact"/>
        <w:ind w:firstLine="643" w:firstLineChars="200"/>
        <w:rPr>
          <w:rFonts w:ascii="仿宋_GB2312" w:eastAsia="仿宋_GB2312"/>
          <w:b/>
          <w:bCs/>
          <w:color w:val="000000"/>
          <w:sz w:val="32"/>
          <w:szCs w:val="32"/>
        </w:rPr>
      </w:pPr>
      <w:r>
        <w:rPr>
          <w:rStyle w:val="19"/>
          <w:rFonts w:hint="eastAsia" w:ascii="仿宋_GB2312" w:eastAsia="仿宋_GB2312" w:cs="仿宋_GB2312"/>
          <w:color w:val="000000"/>
          <w:sz w:val="32"/>
          <w:szCs w:val="32"/>
          <w:lang w:eastAsia="zh-CN"/>
        </w:rPr>
        <w:t>3.</w:t>
      </w:r>
      <w:r>
        <w:rPr>
          <w:rStyle w:val="19"/>
          <w:rFonts w:hint="eastAsia" w:ascii="仿宋_GB2312" w:eastAsia="仿宋_GB2312" w:cs="仿宋_GB2312"/>
          <w:color w:val="000000"/>
          <w:sz w:val="32"/>
          <w:szCs w:val="32"/>
        </w:rPr>
        <w:t>住房保障支出（类）住房改革支出（款）住房公积金（项）：</w:t>
      </w:r>
      <w:r>
        <w:rPr>
          <w:rStyle w:val="19"/>
          <w:rFonts w:hint="eastAsia" w:ascii="仿宋_GB2312" w:eastAsia="仿宋_GB2312" w:cs="仿宋_GB2312"/>
          <w:b w:val="0"/>
          <w:bCs w:val="0"/>
          <w:color w:val="000000"/>
          <w:sz w:val="32"/>
          <w:szCs w:val="32"/>
        </w:rPr>
        <w:t>支出决算为</w:t>
      </w:r>
      <w:r>
        <w:rPr>
          <w:rStyle w:val="19"/>
          <w:rFonts w:hint="eastAsia" w:ascii="仿宋_GB2312" w:eastAsia="仿宋_GB2312" w:cs="仿宋_GB2312"/>
          <w:b w:val="0"/>
          <w:bCs w:val="0"/>
          <w:color w:val="000000"/>
          <w:sz w:val="32"/>
          <w:szCs w:val="32"/>
          <w:lang w:val="en-US" w:eastAsia="zh-CN"/>
        </w:rPr>
        <w:t>22.16</w:t>
      </w:r>
      <w:r>
        <w:rPr>
          <w:rStyle w:val="19"/>
          <w:rFonts w:hint="eastAsia" w:ascii="仿宋_GB2312" w:eastAsia="仿宋_GB2312" w:cs="仿宋_GB2312"/>
          <w:b w:val="0"/>
          <w:bCs w:val="0"/>
          <w:color w:val="000000"/>
          <w:sz w:val="32"/>
          <w:szCs w:val="32"/>
        </w:rPr>
        <w:t>万元，完成预算</w:t>
      </w:r>
      <w:r>
        <w:rPr>
          <w:rStyle w:val="19"/>
          <w:rFonts w:ascii="仿宋_GB2312" w:eastAsia="仿宋_GB2312" w:cs="仿宋_GB2312"/>
          <w:b w:val="0"/>
          <w:bCs w:val="0"/>
          <w:color w:val="000000"/>
          <w:sz w:val="32"/>
          <w:szCs w:val="32"/>
        </w:rPr>
        <w:t>100%</w:t>
      </w:r>
      <w:r>
        <w:rPr>
          <w:rStyle w:val="19"/>
          <w:rFonts w:hint="eastAsia" w:ascii="仿宋_GB2312" w:eastAsia="仿宋_GB2312" w:cs="仿宋_GB2312"/>
          <w:b w:val="0"/>
          <w:bCs w:val="0"/>
          <w:color w:val="000000"/>
          <w:sz w:val="32"/>
          <w:szCs w:val="32"/>
        </w:rPr>
        <w:t>。</w:t>
      </w:r>
    </w:p>
    <w:p w14:paraId="7F566449">
      <w:pPr>
        <w:spacing w:line="600" w:lineRule="exact"/>
        <w:ind w:firstLine="643" w:firstLineChars="200"/>
        <w:rPr>
          <w:rStyle w:val="19"/>
          <w:rFonts w:hint="eastAsia" w:ascii="仿宋_GB2312" w:eastAsia="仿宋_GB2312" w:cs="仿宋_GB2312"/>
          <w:b w:val="0"/>
          <w:bCs w:val="0"/>
          <w:color w:val="000000"/>
          <w:sz w:val="32"/>
          <w:szCs w:val="32"/>
        </w:rPr>
      </w:pPr>
      <w:r>
        <w:rPr>
          <w:rStyle w:val="19"/>
          <w:rFonts w:hint="eastAsia" w:ascii="仿宋_GB2312" w:eastAsia="仿宋_GB2312" w:cs="仿宋_GB2312"/>
          <w:color w:val="000000"/>
          <w:sz w:val="32"/>
          <w:szCs w:val="32"/>
          <w:lang w:eastAsia="zh-CN"/>
        </w:rPr>
        <w:t>4.</w:t>
      </w:r>
      <w:r>
        <w:rPr>
          <w:rStyle w:val="19"/>
          <w:rFonts w:hint="eastAsia" w:ascii="仿宋_GB2312" w:eastAsia="仿宋_GB2312" w:cs="仿宋_GB2312"/>
          <w:color w:val="000000"/>
          <w:sz w:val="32"/>
          <w:szCs w:val="32"/>
        </w:rPr>
        <w:t>公共安全支出（类）其他公共安全支出（款）其他公共安全支出（项）：</w:t>
      </w:r>
      <w:r>
        <w:rPr>
          <w:rStyle w:val="19"/>
          <w:rFonts w:hint="eastAsia" w:ascii="仿宋_GB2312" w:eastAsia="仿宋_GB2312" w:cs="仿宋_GB2312"/>
          <w:b w:val="0"/>
          <w:bCs w:val="0"/>
          <w:color w:val="000000"/>
          <w:sz w:val="32"/>
          <w:szCs w:val="32"/>
        </w:rPr>
        <w:t>支出决算为</w:t>
      </w:r>
      <w:r>
        <w:rPr>
          <w:rStyle w:val="19"/>
          <w:rFonts w:hint="eastAsia" w:ascii="仿宋_GB2312" w:eastAsia="仿宋_GB2312" w:cs="仿宋_GB2312"/>
          <w:b w:val="0"/>
          <w:bCs w:val="0"/>
          <w:color w:val="000000"/>
          <w:sz w:val="32"/>
          <w:szCs w:val="32"/>
          <w:lang w:val="en-US" w:eastAsia="zh-CN"/>
        </w:rPr>
        <w:t>158.96</w:t>
      </w:r>
      <w:r>
        <w:rPr>
          <w:rStyle w:val="19"/>
          <w:rFonts w:hint="eastAsia" w:ascii="仿宋_GB2312" w:eastAsia="仿宋_GB2312" w:cs="仿宋_GB2312"/>
          <w:b w:val="0"/>
          <w:bCs w:val="0"/>
          <w:color w:val="000000"/>
          <w:sz w:val="32"/>
          <w:szCs w:val="32"/>
        </w:rPr>
        <w:t>万元，完成预算</w:t>
      </w:r>
      <w:r>
        <w:rPr>
          <w:rStyle w:val="19"/>
          <w:rFonts w:ascii="仿宋_GB2312" w:eastAsia="仿宋_GB2312" w:cs="仿宋_GB2312"/>
          <w:b w:val="0"/>
          <w:bCs w:val="0"/>
          <w:color w:val="000000"/>
          <w:sz w:val="32"/>
          <w:szCs w:val="32"/>
        </w:rPr>
        <w:t>100%</w:t>
      </w:r>
      <w:r>
        <w:rPr>
          <w:rStyle w:val="19"/>
          <w:rFonts w:hint="eastAsia" w:ascii="仿宋_GB2312" w:eastAsia="仿宋_GB2312" w:cs="仿宋_GB2312"/>
          <w:b w:val="0"/>
          <w:bCs w:val="0"/>
          <w:color w:val="000000"/>
          <w:sz w:val="32"/>
          <w:szCs w:val="32"/>
        </w:rPr>
        <w:t>。</w:t>
      </w:r>
    </w:p>
    <w:p w14:paraId="638ACA27">
      <w:pPr>
        <w:spacing w:line="600" w:lineRule="exact"/>
        <w:ind w:firstLine="643" w:firstLineChars="200"/>
      </w:pPr>
      <w:r>
        <w:rPr>
          <w:rStyle w:val="19"/>
          <w:rFonts w:hint="eastAsia" w:ascii="仿宋_GB2312" w:eastAsia="仿宋_GB2312" w:cs="仿宋_GB2312"/>
          <w:color w:val="000000"/>
          <w:sz w:val="32"/>
          <w:szCs w:val="32"/>
          <w:lang w:val="en-US" w:eastAsia="zh-CN"/>
        </w:rPr>
        <w:t>5.</w:t>
      </w:r>
      <w:r>
        <w:rPr>
          <w:rStyle w:val="19"/>
          <w:rFonts w:hint="eastAsia" w:ascii="仿宋_GB2312" w:eastAsia="仿宋_GB2312" w:cs="仿宋_GB2312"/>
          <w:color w:val="000000"/>
          <w:sz w:val="32"/>
          <w:szCs w:val="32"/>
          <w:lang w:eastAsia="zh-CN"/>
        </w:rPr>
        <w:t>卫生健康支出</w:t>
      </w:r>
      <w:r>
        <w:rPr>
          <w:rStyle w:val="19"/>
          <w:rFonts w:hint="eastAsia" w:ascii="仿宋_GB2312" w:eastAsia="仿宋_GB2312" w:cs="仿宋_GB2312"/>
          <w:color w:val="000000"/>
          <w:sz w:val="32"/>
          <w:szCs w:val="32"/>
        </w:rPr>
        <w:t>（类）</w:t>
      </w:r>
      <w:r>
        <w:rPr>
          <w:rStyle w:val="19"/>
          <w:rFonts w:hint="eastAsia" w:ascii="仿宋_GB2312" w:eastAsia="仿宋_GB2312" w:cs="仿宋_GB2312"/>
          <w:color w:val="000000"/>
          <w:sz w:val="32"/>
          <w:szCs w:val="32"/>
          <w:lang w:eastAsia="zh-CN"/>
        </w:rPr>
        <w:t>公共卫生</w:t>
      </w:r>
      <w:r>
        <w:rPr>
          <w:rStyle w:val="19"/>
          <w:rFonts w:hint="eastAsia" w:ascii="仿宋_GB2312" w:eastAsia="仿宋_GB2312" w:cs="仿宋_GB2312"/>
          <w:color w:val="000000"/>
          <w:sz w:val="32"/>
          <w:szCs w:val="32"/>
        </w:rPr>
        <w:t>（款）</w:t>
      </w:r>
      <w:r>
        <w:rPr>
          <w:rStyle w:val="19"/>
          <w:rFonts w:hint="eastAsia" w:ascii="仿宋_GB2312" w:eastAsia="仿宋_GB2312" w:cs="仿宋_GB2312"/>
          <w:color w:val="000000"/>
          <w:sz w:val="32"/>
          <w:szCs w:val="32"/>
          <w:lang w:eastAsia="zh-CN"/>
        </w:rPr>
        <w:t>重大公共卫生服务</w:t>
      </w:r>
      <w:r>
        <w:rPr>
          <w:rStyle w:val="19"/>
          <w:rFonts w:hint="eastAsia" w:ascii="仿宋_GB2312" w:eastAsia="仿宋_GB2312" w:cs="仿宋_GB2312"/>
          <w:color w:val="000000"/>
          <w:sz w:val="32"/>
          <w:szCs w:val="32"/>
        </w:rPr>
        <w:t>（项）：</w:t>
      </w:r>
      <w:r>
        <w:rPr>
          <w:rStyle w:val="19"/>
          <w:rFonts w:hint="eastAsia" w:ascii="仿宋_GB2312" w:eastAsia="仿宋_GB2312" w:cs="仿宋_GB2312"/>
          <w:b w:val="0"/>
          <w:bCs w:val="0"/>
          <w:color w:val="000000"/>
          <w:sz w:val="32"/>
          <w:szCs w:val="32"/>
        </w:rPr>
        <w:t>支出决算为</w:t>
      </w:r>
      <w:r>
        <w:rPr>
          <w:rStyle w:val="19"/>
          <w:rFonts w:hint="eastAsia" w:ascii="仿宋_GB2312" w:eastAsia="仿宋_GB2312" w:cs="仿宋_GB2312"/>
          <w:b w:val="0"/>
          <w:bCs w:val="0"/>
          <w:color w:val="000000"/>
          <w:sz w:val="32"/>
          <w:szCs w:val="32"/>
          <w:lang w:val="en-US" w:eastAsia="zh-CN"/>
        </w:rPr>
        <w:t>1.33</w:t>
      </w:r>
      <w:r>
        <w:rPr>
          <w:rStyle w:val="19"/>
          <w:rFonts w:hint="eastAsia" w:ascii="仿宋_GB2312" w:eastAsia="仿宋_GB2312" w:cs="仿宋_GB2312"/>
          <w:b w:val="0"/>
          <w:bCs w:val="0"/>
          <w:color w:val="000000"/>
          <w:sz w:val="32"/>
          <w:szCs w:val="32"/>
        </w:rPr>
        <w:t>万元，完成预算</w:t>
      </w:r>
      <w:r>
        <w:rPr>
          <w:rStyle w:val="19"/>
          <w:rFonts w:ascii="仿宋_GB2312" w:eastAsia="仿宋_GB2312" w:cs="仿宋_GB2312"/>
          <w:b w:val="0"/>
          <w:bCs w:val="0"/>
          <w:color w:val="000000"/>
          <w:sz w:val="32"/>
          <w:szCs w:val="32"/>
        </w:rPr>
        <w:t>100%</w:t>
      </w:r>
      <w:r>
        <w:rPr>
          <w:rStyle w:val="19"/>
          <w:rFonts w:hint="eastAsia" w:ascii="仿宋_GB2312" w:eastAsia="仿宋_GB2312" w:cs="仿宋_GB2312"/>
          <w:b w:val="0"/>
          <w:bCs w:val="0"/>
          <w:color w:val="000000"/>
          <w:sz w:val="32"/>
          <w:szCs w:val="32"/>
        </w:rPr>
        <w:t>。</w:t>
      </w:r>
    </w:p>
    <w:p w14:paraId="7DEFFCD9">
      <w:pPr>
        <w:spacing w:line="600" w:lineRule="exact"/>
        <w:ind w:firstLine="643" w:firstLineChars="200"/>
      </w:pPr>
      <w:r>
        <w:rPr>
          <w:rStyle w:val="19"/>
          <w:rFonts w:hint="eastAsia" w:ascii="仿宋_GB2312" w:eastAsia="仿宋_GB2312" w:cs="仿宋_GB2312"/>
          <w:color w:val="000000"/>
          <w:sz w:val="32"/>
          <w:szCs w:val="32"/>
          <w:lang w:val="en-US" w:eastAsia="zh-CN"/>
        </w:rPr>
        <w:t>6.</w:t>
      </w:r>
      <w:r>
        <w:rPr>
          <w:rStyle w:val="19"/>
          <w:rFonts w:hint="eastAsia" w:ascii="仿宋_GB2312" w:eastAsia="仿宋_GB2312" w:cs="仿宋_GB2312"/>
          <w:color w:val="000000"/>
          <w:sz w:val="32"/>
          <w:szCs w:val="32"/>
          <w:lang w:eastAsia="zh-CN"/>
        </w:rPr>
        <w:t>农林水支出</w:t>
      </w:r>
      <w:r>
        <w:rPr>
          <w:rStyle w:val="19"/>
          <w:rFonts w:hint="eastAsia" w:ascii="仿宋_GB2312" w:eastAsia="仿宋_GB2312" w:cs="仿宋_GB2312"/>
          <w:color w:val="000000"/>
          <w:sz w:val="32"/>
          <w:szCs w:val="32"/>
        </w:rPr>
        <w:t>（类）</w:t>
      </w:r>
      <w:r>
        <w:rPr>
          <w:rStyle w:val="19"/>
          <w:rFonts w:hint="eastAsia" w:ascii="仿宋_GB2312" w:eastAsia="仿宋_GB2312" w:cs="仿宋_GB2312"/>
          <w:color w:val="000000"/>
          <w:sz w:val="32"/>
          <w:szCs w:val="32"/>
          <w:lang w:eastAsia="zh-CN"/>
        </w:rPr>
        <w:t>扶贫</w:t>
      </w:r>
      <w:r>
        <w:rPr>
          <w:rStyle w:val="19"/>
          <w:rFonts w:hint="eastAsia" w:ascii="仿宋_GB2312" w:eastAsia="仿宋_GB2312" w:cs="仿宋_GB2312"/>
          <w:color w:val="000000"/>
          <w:sz w:val="32"/>
          <w:szCs w:val="32"/>
        </w:rPr>
        <w:t>（款）其他</w:t>
      </w:r>
      <w:r>
        <w:rPr>
          <w:rStyle w:val="19"/>
          <w:rFonts w:hint="eastAsia" w:ascii="仿宋_GB2312" w:eastAsia="仿宋_GB2312" w:cs="仿宋_GB2312"/>
          <w:color w:val="000000"/>
          <w:sz w:val="32"/>
          <w:szCs w:val="32"/>
          <w:lang w:eastAsia="zh-CN"/>
        </w:rPr>
        <w:t>扶贫</w:t>
      </w:r>
      <w:r>
        <w:rPr>
          <w:rStyle w:val="19"/>
          <w:rFonts w:hint="eastAsia" w:ascii="仿宋_GB2312" w:eastAsia="仿宋_GB2312" w:cs="仿宋_GB2312"/>
          <w:color w:val="000000"/>
          <w:sz w:val="32"/>
          <w:szCs w:val="32"/>
        </w:rPr>
        <w:t>支出（项）：</w:t>
      </w:r>
      <w:r>
        <w:rPr>
          <w:rStyle w:val="19"/>
          <w:rFonts w:hint="eastAsia" w:ascii="仿宋_GB2312" w:eastAsia="仿宋_GB2312" w:cs="仿宋_GB2312"/>
          <w:b w:val="0"/>
          <w:bCs w:val="0"/>
          <w:color w:val="000000"/>
          <w:sz w:val="32"/>
          <w:szCs w:val="32"/>
        </w:rPr>
        <w:t>支出决算为</w:t>
      </w:r>
      <w:r>
        <w:rPr>
          <w:rStyle w:val="19"/>
          <w:rFonts w:hint="eastAsia" w:ascii="仿宋_GB2312" w:eastAsia="仿宋_GB2312" w:cs="仿宋_GB2312"/>
          <w:b w:val="0"/>
          <w:bCs w:val="0"/>
          <w:color w:val="000000"/>
          <w:sz w:val="32"/>
          <w:szCs w:val="32"/>
          <w:lang w:val="en-US" w:eastAsia="zh-CN"/>
        </w:rPr>
        <w:t>1.71</w:t>
      </w:r>
      <w:r>
        <w:rPr>
          <w:rStyle w:val="19"/>
          <w:rFonts w:hint="eastAsia" w:ascii="仿宋_GB2312" w:eastAsia="仿宋_GB2312" w:cs="仿宋_GB2312"/>
          <w:b w:val="0"/>
          <w:bCs w:val="0"/>
          <w:color w:val="000000"/>
          <w:sz w:val="32"/>
          <w:szCs w:val="32"/>
        </w:rPr>
        <w:t>万元，完成预算</w:t>
      </w:r>
      <w:r>
        <w:rPr>
          <w:rStyle w:val="19"/>
          <w:rFonts w:ascii="仿宋_GB2312" w:eastAsia="仿宋_GB2312" w:cs="仿宋_GB2312"/>
          <w:b w:val="0"/>
          <w:bCs w:val="0"/>
          <w:color w:val="000000"/>
          <w:sz w:val="32"/>
          <w:szCs w:val="32"/>
        </w:rPr>
        <w:t>100%</w:t>
      </w:r>
      <w:r>
        <w:rPr>
          <w:rStyle w:val="19"/>
          <w:rFonts w:hint="eastAsia" w:ascii="仿宋_GB2312" w:eastAsia="仿宋_GB2312" w:cs="仿宋_GB2312"/>
          <w:b w:val="0"/>
          <w:bCs w:val="0"/>
          <w:color w:val="000000"/>
          <w:sz w:val="32"/>
          <w:szCs w:val="32"/>
        </w:rPr>
        <w:t>。</w:t>
      </w:r>
    </w:p>
    <w:p w14:paraId="4B6EB4F7">
      <w:pPr>
        <w:spacing w:line="600" w:lineRule="exact"/>
        <w:ind w:firstLine="643" w:firstLineChars="200"/>
        <w:rPr>
          <w:rFonts w:ascii="仿宋" w:hAnsi="仿宋" w:eastAsia="仿宋"/>
          <w:b/>
          <w:bCs/>
          <w:color w:val="000000"/>
          <w:sz w:val="32"/>
          <w:szCs w:val="32"/>
        </w:rPr>
      </w:pPr>
      <w:r>
        <w:rPr>
          <w:rFonts w:hint="eastAsia" w:ascii="仿宋" w:hAnsi="仿宋" w:eastAsia="仿宋" w:cs="仿宋"/>
          <w:b/>
          <w:bCs/>
          <w:sz w:val="32"/>
          <w:szCs w:val="32"/>
        </w:rPr>
        <w:t>（注：数据来源于财决</w:t>
      </w:r>
      <w:r>
        <w:rPr>
          <w:rFonts w:ascii="仿宋" w:hAnsi="仿宋" w:eastAsia="仿宋" w:cs="仿宋"/>
          <w:b/>
          <w:bCs/>
          <w:sz w:val="32"/>
          <w:szCs w:val="32"/>
        </w:rPr>
        <w:t>Z01-1</w:t>
      </w:r>
      <w:r>
        <w:rPr>
          <w:rFonts w:hint="eastAsia" w:ascii="仿宋" w:hAnsi="仿宋" w:eastAsia="仿宋" w:cs="仿宋"/>
          <w:b/>
          <w:bCs/>
          <w:sz w:val="32"/>
          <w:szCs w:val="32"/>
        </w:rPr>
        <w:t>表，罗列全部功能分类科目至项级。上述“预算”口径为调整预算数。增减变动原因为决算数</w:t>
      </w:r>
      <w:r>
        <w:rPr>
          <w:rFonts w:hint="eastAsia" w:ascii="仿宋" w:hAnsi="仿宋" w:eastAsia="仿宋" w:cs="仿宋"/>
          <w:b/>
          <w:bCs/>
          <w:sz w:val="32"/>
          <w:szCs w:val="32"/>
          <w:lang w:eastAsia="zh-CN"/>
        </w:rPr>
        <w:t>〈</w:t>
      </w:r>
      <w:r>
        <w:rPr>
          <w:rFonts w:hint="eastAsia" w:ascii="仿宋" w:hAnsi="仿宋" w:eastAsia="仿宋" w:cs="仿宋"/>
          <w:b/>
          <w:bCs/>
          <w:sz w:val="32"/>
          <w:szCs w:val="32"/>
        </w:rPr>
        <w:t>项级</w:t>
      </w:r>
      <w:r>
        <w:rPr>
          <w:rFonts w:hint="eastAsia" w:ascii="仿宋" w:hAnsi="仿宋" w:eastAsia="仿宋" w:cs="仿宋"/>
          <w:b/>
          <w:bCs/>
          <w:sz w:val="32"/>
          <w:szCs w:val="32"/>
          <w:lang w:eastAsia="zh-CN"/>
        </w:rPr>
        <w:t>〉</w:t>
      </w:r>
      <w:r>
        <w:rPr>
          <w:rFonts w:hint="eastAsia" w:ascii="仿宋" w:hAnsi="仿宋" w:eastAsia="仿宋" w:cs="仿宋"/>
          <w:b/>
          <w:bCs/>
          <w:sz w:val="32"/>
          <w:szCs w:val="32"/>
        </w:rPr>
        <w:t>和调整预算数</w:t>
      </w:r>
      <w:r>
        <w:rPr>
          <w:rFonts w:hint="eastAsia" w:ascii="仿宋" w:hAnsi="仿宋" w:eastAsia="仿宋" w:cs="仿宋"/>
          <w:b/>
          <w:bCs/>
          <w:sz w:val="32"/>
          <w:szCs w:val="32"/>
          <w:lang w:eastAsia="zh-CN"/>
        </w:rPr>
        <w:t>〈</w:t>
      </w:r>
      <w:r>
        <w:rPr>
          <w:rFonts w:hint="eastAsia" w:ascii="仿宋" w:hAnsi="仿宋" w:eastAsia="仿宋" w:cs="仿宋"/>
          <w:b/>
          <w:bCs/>
          <w:sz w:val="32"/>
          <w:szCs w:val="32"/>
        </w:rPr>
        <w:t>项级</w:t>
      </w:r>
      <w:r>
        <w:rPr>
          <w:rFonts w:hint="eastAsia" w:ascii="仿宋" w:hAnsi="仿宋" w:eastAsia="仿宋" w:cs="仿宋"/>
          <w:b/>
          <w:bCs/>
          <w:sz w:val="32"/>
          <w:szCs w:val="32"/>
          <w:lang w:eastAsia="zh-CN"/>
        </w:rPr>
        <w:t>〉</w:t>
      </w:r>
      <w:r>
        <w:rPr>
          <w:rFonts w:hint="eastAsia" w:ascii="仿宋" w:hAnsi="仿宋" w:eastAsia="仿宋" w:cs="仿宋"/>
          <w:b/>
          <w:bCs/>
          <w:sz w:val="32"/>
          <w:szCs w:val="32"/>
        </w:rPr>
        <w:t>比较，与预算数持平可以不写原因。）</w:t>
      </w:r>
    </w:p>
    <w:p w14:paraId="1FA597C6">
      <w:pPr>
        <w:tabs>
          <w:tab w:val="right" w:pos="8306"/>
        </w:tabs>
        <w:spacing w:line="600" w:lineRule="exact"/>
        <w:ind w:firstLine="640"/>
        <w:outlineLvl w:val="1"/>
        <w:rPr>
          <w:rStyle w:val="22"/>
        </w:rPr>
      </w:pPr>
      <w:bookmarkStart w:id="59" w:name="_Toc15396608"/>
      <w:bookmarkStart w:id="60" w:name="_Toc15377214"/>
      <w:bookmarkStart w:id="61" w:name="_Toc52180085"/>
      <w:r>
        <w:rPr>
          <w:rFonts w:hint="eastAsia" w:ascii="黑体" w:eastAsia="黑体" w:cs="黑体"/>
          <w:color w:val="000000"/>
          <w:sz w:val="32"/>
          <w:szCs w:val="32"/>
        </w:rPr>
        <w:t>六</w:t>
      </w:r>
      <w:r>
        <w:rPr>
          <w:rFonts w:hint="eastAsia" w:ascii="黑体" w:eastAsia="黑体" w:cs="黑体"/>
          <w:b/>
          <w:bCs/>
          <w:color w:val="000000"/>
          <w:sz w:val="32"/>
          <w:szCs w:val="32"/>
        </w:rPr>
        <w:t>、</w:t>
      </w:r>
      <w:r>
        <w:rPr>
          <w:rFonts w:hint="eastAsia" w:ascii="黑体" w:hAnsi="黑体" w:eastAsia="黑体" w:cs="黑体"/>
          <w:b/>
          <w:bCs/>
          <w:color w:val="000000"/>
          <w:sz w:val="32"/>
          <w:szCs w:val="32"/>
        </w:rPr>
        <w:t>一</w:t>
      </w:r>
      <w:r>
        <w:rPr>
          <w:rStyle w:val="22"/>
          <w:rFonts w:hint="eastAsia" w:ascii="黑体" w:hAnsi="黑体" w:eastAsia="黑体" w:cs="黑体"/>
          <w:b w:val="0"/>
          <w:bCs w:val="0"/>
        </w:rPr>
        <w:t>般公共预算财政拨款基本支出决算情况说明</w:t>
      </w:r>
      <w:bookmarkEnd w:id="59"/>
      <w:bookmarkEnd w:id="60"/>
      <w:bookmarkEnd w:id="61"/>
      <w:r>
        <w:rPr>
          <w:rStyle w:val="22"/>
          <w:rFonts w:ascii="黑体" w:hAnsi="黑体" w:eastAsia="黑体" w:cs="Times New Roman"/>
          <w:b w:val="0"/>
          <w:bCs w:val="0"/>
        </w:rPr>
        <w:tab/>
      </w:r>
    </w:p>
    <w:p w14:paraId="65640141">
      <w:pPr>
        <w:spacing w:line="600" w:lineRule="exact"/>
        <w:ind w:firstLine="645"/>
        <w:rPr>
          <w:rFonts w:ascii="仿宋" w:hAnsi="仿宋" w:eastAsia="仿宋"/>
          <w:color w:val="000000"/>
          <w:sz w:val="32"/>
          <w:szCs w:val="32"/>
        </w:rPr>
      </w:pPr>
      <w:r>
        <w:rPr>
          <w:rFonts w:hint="eastAsia" w:ascii="仿宋" w:hAnsi="仿宋" w:eastAsia="仿宋" w:cs="仿宋"/>
          <w:color w:val="000000"/>
          <w:sz w:val="32"/>
          <w:szCs w:val="32"/>
          <w:lang w:eastAsia="zh-CN"/>
        </w:rPr>
        <w:t>2020</w:t>
      </w:r>
      <w:r>
        <w:rPr>
          <w:rFonts w:hint="eastAsia" w:ascii="仿宋" w:hAnsi="仿宋" w:eastAsia="仿宋" w:cs="仿宋"/>
          <w:color w:val="000000"/>
          <w:sz w:val="32"/>
          <w:szCs w:val="32"/>
        </w:rPr>
        <w:t>年一般公共预算财政拨款基本支出</w:t>
      </w:r>
      <w:r>
        <w:rPr>
          <w:rFonts w:hint="eastAsia" w:ascii="仿宋" w:hAnsi="仿宋" w:eastAsia="仿宋" w:cs="仿宋"/>
          <w:color w:val="000000"/>
          <w:sz w:val="32"/>
          <w:szCs w:val="32"/>
          <w:lang w:val="en-US" w:eastAsia="zh-CN"/>
        </w:rPr>
        <w:t>242.46</w:t>
      </w:r>
      <w:r>
        <w:rPr>
          <w:rFonts w:hint="eastAsia" w:ascii="仿宋" w:hAnsi="仿宋" w:eastAsia="仿宋" w:cs="仿宋"/>
          <w:color w:val="000000"/>
          <w:sz w:val="32"/>
          <w:szCs w:val="32"/>
        </w:rPr>
        <w:t>万元，其中：</w:t>
      </w:r>
    </w:p>
    <w:p w14:paraId="16CC7417">
      <w:pPr>
        <w:spacing w:line="600" w:lineRule="exact"/>
        <w:ind w:firstLine="645"/>
        <w:rPr>
          <w:rFonts w:ascii="仿宋" w:hAnsi="仿宋" w:eastAsia="仿宋"/>
          <w:color w:val="000000"/>
          <w:sz w:val="32"/>
          <w:szCs w:val="32"/>
        </w:rPr>
      </w:pPr>
      <w:r>
        <w:rPr>
          <w:rFonts w:hint="eastAsia" w:ascii="仿宋" w:hAnsi="仿宋" w:eastAsia="仿宋" w:cs="仿宋"/>
          <w:color w:val="000000"/>
          <w:sz w:val="32"/>
          <w:szCs w:val="32"/>
        </w:rPr>
        <w:t>人员经费</w:t>
      </w:r>
      <w:r>
        <w:rPr>
          <w:rFonts w:hint="eastAsia" w:ascii="仿宋" w:hAnsi="仿宋" w:eastAsia="仿宋" w:cs="仿宋"/>
          <w:color w:val="000000"/>
          <w:sz w:val="32"/>
          <w:szCs w:val="32"/>
          <w:lang w:val="en-US" w:eastAsia="zh-CN"/>
        </w:rPr>
        <w:t>224.06</w:t>
      </w:r>
      <w:r>
        <w:rPr>
          <w:rFonts w:hint="eastAsia" w:ascii="仿宋" w:hAnsi="仿宋" w:eastAsia="仿宋" w:cs="仿宋"/>
          <w:color w:val="000000"/>
          <w:sz w:val="32"/>
          <w:szCs w:val="32"/>
        </w:rPr>
        <w:t>万元，主要包括：基本工资、津贴补贴、奖金、绩效工资、机关事业单位基本养老保险缴费、职业年金缴费、其他社会保障缴费、其他工资福利支出、退休费、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s="仿宋"/>
          <w:color w:val="000000"/>
          <w:sz w:val="32"/>
          <w:szCs w:val="32"/>
        </w:rPr>
        <w:t>　　日常公用经费</w:t>
      </w:r>
      <w:r>
        <w:rPr>
          <w:rFonts w:hint="eastAsia" w:ascii="仿宋" w:hAnsi="仿宋" w:eastAsia="仿宋" w:cs="仿宋"/>
          <w:color w:val="000000"/>
          <w:sz w:val="32"/>
          <w:szCs w:val="32"/>
          <w:lang w:val="en-US" w:eastAsia="zh-CN"/>
        </w:rPr>
        <w:t>18.41</w:t>
      </w:r>
      <w:r>
        <w:rPr>
          <w:rFonts w:hint="eastAsia" w:ascii="仿宋" w:hAnsi="仿宋" w:eastAsia="仿宋" w:cs="仿宋"/>
          <w:color w:val="000000"/>
          <w:sz w:val="32"/>
          <w:szCs w:val="32"/>
        </w:rPr>
        <w:t>万元，主要包括：办公费、印刷费、水费、电费、邮电费、差旅费、维修（护）费、培训费、公务接待费、劳务费、委托业务费、工会经费、福利费、其他交通费、其他商品和服务支出等。</w:t>
      </w:r>
    </w:p>
    <w:p w14:paraId="00E258DD">
      <w:pPr>
        <w:spacing w:line="600" w:lineRule="exact"/>
        <w:ind w:firstLine="640"/>
        <w:outlineLvl w:val="1"/>
        <w:rPr>
          <w:rStyle w:val="22"/>
          <w:rFonts w:ascii="黑体" w:hAnsi="黑体" w:eastAsia="黑体" w:cs="Times New Roman"/>
          <w:b w:val="0"/>
          <w:bCs w:val="0"/>
        </w:rPr>
      </w:pPr>
      <w:bookmarkStart w:id="62" w:name="_Toc52180086"/>
      <w:bookmarkStart w:id="63" w:name="_Toc15396609"/>
      <w:bookmarkStart w:id="64" w:name="_Toc15377215"/>
      <w:r>
        <w:rPr>
          <w:rFonts w:hint="eastAsia" w:ascii="黑体" w:eastAsia="黑体" w:cs="黑体"/>
          <w:color w:val="000000"/>
          <w:sz w:val="32"/>
          <w:szCs w:val="32"/>
        </w:rPr>
        <w:t>七、</w:t>
      </w:r>
      <w:r>
        <w:rPr>
          <w:rStyle w:val="22"/>
          <w:rFonts w:hint="eastAsia" w:ascii="黑体" w:hAnsi="黑体" w:eastAsia="黑体" w:cs="黑体"/>
        </w:rPr>
        <w:t>“</w:t>
      </w:r>
      <w:r>
        <w:rPr>
          <w:rStyle w:val="22"/>
          <w:rFonts w:hint="eastAsia" w:ascii="黑体" w:hAnsi="黑体" w:eastAsia="黑体" w:cs="黑体"/>
          <w:b w:val="0"/>
          <w:bCs w:val="0"/>
        </w:rPr>
        <w:t>三公”经费财政拨款支出决算情况说明</w:t>
      </w:r>
      <w:bookmarkEnd w:id="62"/>
      <w:bookmarkEnd w:id="63"/>
      <w:bookmarkEnd w:id="64"/>
    </w:p>
    <w:p w14:paraId="6166B2C4">
      <w:pPr>
        <w:spacing w:line="600" w:lineRule="exact"/>
        <w:ind w:firstLine="640"/>
        <w:outlineLvl w:val="2"/>
        <w:rPr>
          <w:rFonts w:ascii="仿宋" w:hAnsi="仿宋" w:eastAsia="仿宋"/>
          <w:b/>
          <w:bCs/>
          <w:color w:val="000000"/>
          <w:sz w:val="32"/>
          <w:szCs w:val="32"/>
        </w:rPr>
      </w:pPr>
      <w:bookmarkStart w:id="65" w:name="_Toc15377216"/>
      <w:bookmarkStart w:id="66" w:name="_Toc52180087"/>
      <w:r>
        <w:rPr>
          <w:rFonts w:hint="eastAsia" w:ascii="仿宋" w:hAnsi="仿宋" w:eastAsia="仿宋" w:cs="仿宋"/>
          <w:b/>
          <w:bCs/>
          <w:color w:val="000000"/>
          <w:sz w:val="32"/>
          <w:szCs w:val="32"/>
        </w:rPr>
        <w:t>（一）“三公”经费财政拨款支出决算总体情况说明</w:t>
      </w:r>
      <w:bookmarkEnd w:id="65"/>
      <w:bookmarkEnd w:id="66"/>
    </w:p>
    <w:p w14:paraId="69D1A4D8">
      <w:pPr>
        <w:spacing w:line="600" w:lineRule="exact"/>
        <w:ind w:firstLine="640"/>
        <w:rPr>
          <w:rFonts w:ascii="仿宋" w:hAnsi="仿宋" w:eastAsia="仿宋"/>
          <w:color w:val="000000"/>
          <w:sz w:val="32"/>
          <w:szCs w:val="32"/>
        </w:rPr>
      </w:pPr>
      <w:r>
        <w:rPr>
          <w:rFonts w:hint="eastAsia" w:ascii="仿宋_GB2312" w:hAnsi="仿宋_GB2312" w:eastAsia="仿宋_GB2312" w:cs="仿宋_GB2312"/>
          <w:color w:val="000000"/>
          <w:sz w:val="32"/>
          <w:szCs w:val="32"/>
          <w:lang w:eastAsia="zh-CN"/>
        </w:rPr>
        <w:t>2020</w:t>
      </w:r>
      <w:r>
        <w:rPr>
          <w:rFonts w:hint="eastAsia" w:ascii="仿宋_GB2312" w:hAnsi="仿宋_GB2312" w:eastAsia="仿宋_GB2312" w:cs="仿宋_GB2312"/>
          <w:color w:val="000000"/>
          <w:sz w:val="32"/>
          <w:szCs w:val="32"/>
        </w:rPr>
        <w:t>年“三公”经费财政拨款支出决算为</w:t>
      </w:r>
      <w:r>
        <w:rPr>
          <w:rFonts w:hint="eastAsia" w:ascii="仿宋_GB2312" w:hAnsi="仿宋_GB2312" w:eastAsia="仿宋_GB2312" w:cs="仿宋_GB2312"/>
          <w:color w:val="000000"/>
          <w:sz w:val="32"/>
          <w:szCs w:val="32"/>
          <w:lang w:val="en-US" w:eastAsia="zh-CN"/>
        </w:rPr>
        <w:t>0.77</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%，决算数与预算数持平。</w:t>
      </w:r>
    </w:p>
    <w:p w14:paraId="2C7F60B1">
      <w:pPr>
        <w:spacing w:line="600" w:lineRule="exact"/>
        <w:ind w:firstLine="640"/>
        <w:rPr>
          <w:rFonts w:ascii="仿宋" w:hAnsi="仿宋" w:eastAsia="仿宋"/>
          <w:b/>
          <w:bCs/>
          <w:sz w:val="32"/>
          <w:szCs w:val="32"/>
        </w:rPr>
      </w:pPr>
      <w:r>
        <w:rPr>
          <w:rFonts w:hint="eastAsia" w:ascii="仿宋" w:hAnsi="仿宋" w:eastAsia="仿宋" w:cs="仿宋"/>
          <w:b/>
          <w:bCs/>
          <w:sz w:val="32"/>
          <w:szCs w:val="32"/>
        </w:rPr>
        <w:t>（注：上述“预算”口径为调整预算数，包括政府性基金支出决算情况。）</w:t>
      </w:r>
    </w:p>
    <w:p w14:paraId="126C396C">
      <w:pPr>
        <w:spacing w:line="600" w:lineRule="exact"/>
        <w:ind w:firstLine="640"/>
        <w:outlineLvl w:val="2"/>
        <w:rPr>
          <w:rFonts w:ascii="仿宋" w:hAnsi="仿宋" w:eastAsia="仿宋"/>
          <w:b/>
          <w:bCs/>
          <w:color w:val="000000"/>
          <w:sz w:val="32"/>
          <w:szCs w:val="32"/>
        </w:rPr>
      </w:pPr>
      <w:bookmarkStart w:id="67" w:name="_Toc15377217"/>
      <w:bookmarkStart w:id="68" w:name="_Toc52180088"/>
      <w:r>
        <w:rPr>
          <w:rFonts w:hint="eastAsia" w:ascii="仿宋" w:hAnsi="仿宋" w:eastAsia="仿宋" w:cs="仿宋"/>
          <w:b/>
          <w:bCs/>
          <w:color w:val="000000"/>
          <w:sz w:val="32"/>
          <w:szCs w:val="32"/>
        </w:rPr>
        <w:t>（二）“三公”经费财政拨款支出决算具体情况说明</w:t>
      </w:r>
      <w:bookmarkEnd w:id="67"/>
      <w:bookmarkEnd w:id="68"/>
    </w:p>
    <w:p w14:paraId="2C88E45C">
      <w:pPr>
        <w:spacing w:line="600" w:lineRule="exact"/>
        <w:ind w:firstLine="640"/>
        <w:rPr>
          <w:rFonts w:ascii="仿宋" w:hAnsi="仿宋" w:eastAsia="仿宋"/>
          <w:color w:val="000000"/>
          <w:sz w:val="32"/>
          <w:szCs w:val="32"/>
        </w:rPr>
      </w:pPr>
      <w:r>
        <w:rPr>
          <w:rFonts w:hint="eastAsia" w:ascii="仿宋" w:hAnsi="仿宋" w:eastAsia="仿宋" w:cs="仿宋"/>
          <w:color w:val="000000"/>
          <w:sz w:val="32"/>
          <w:szCs w:val="32"/>
          <w:lang w:eastAsia="zh-CN"/>
        </w:rPr>
        <w:t>2020</w:t>
      </w:r>
      <w:r>
        <w:rPr>
          <w:rFonts w:hint="eastAsia" w:ascii="仿宋" w:hAnsi="仿宋" w:eastAsia="仿宋" w:cs="仿宋"/>
          <w:color w:val="000000"/>
          <w:sz w:val="32"/>
          <w:szCs w:val="32"/>
        </w:rPr>
        <w:t>年“三公”经费财政拨款支出决算中，因公出国（境）费支出决算</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；公务用车购置及运行维护费支出决算</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；公务接待费支出决算</w:t>
      </w:r>
      <w:r>
        <w:rPr>
          <w:rFonts w:hint="eastAsia" w:ascii="仿宋" w:hAnsi="仿宋" w:eastAsia="仿宋" w:cs="仿宋"/>
          <w:color w:val="000000"/>
          <w:sz w:val="32"/>
          <w:szCs w:val="32"/>
          <w:lang w:val="en-US" w:eastAsia="zh-CN"/>
        </w:rPr>
        <w:t>0.77</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10</w:t>
      </w:r>
      <w:r>
        <w:rPr>
          <w:rFonts w:ascii="仿宋" w:hAnsi="仿宋" w:eastAsia="仿宋" w:cs="仿宋"/>
          <w:color w:val="000000"/>
          <w:sz w:val="32"/>
          <w:szCs w:val="32"/>
        </w:rPr>
        <w:t>0%</w:t>
      </w:r>
      <w:r>
        <w:rPr>
          <w:rFonts w:hint="eastAsia" w:ascii="仿宋" w:hAnsi="仿宋" w:eastAsia="仿宋" w:cs="仿宋"/>
          <w:color w:val="000000"/>
          <w:sz w:val="32"/>
          <w:szCs w:val="32"/>
        </w:rPr>
        <w:t>。具体情况如下：</w:t>
      </w:r>
    </w:p>
    <w:p w14:paraId="7C424827">
      <w:pPr>
        <w:spacing w:line="600" w:lineRule="exact"/>
        <w:ind w:firstLine="640"/>
        <w:rPr>
          <w:rFonts w:ascii="仿宋" w:hAnsi="仿宋" w:eastAsia="仿宋"/>
          <w:color w:val="000000"/>
          <w:sz w:val="32"/>
          <w:szCs w:val="32"/>
        </w:rPr>
      </w:pPr>
      <w:r>
        <w:drawing>
          <wp:anchor distT="0" distB="0" distL="114300" distR="114300" simplePos="0" relativeHeight="251664384" behindDoc="1" locked="0" layoutInCell="1" allowOverlap="1">
            <wp:simplePos x="0" y="0"/>
            <wp:positionH relativeFrom="column">
              <wp:posOffset>67310</wp:posOffset>
            </wp:positionH>
            <wp:positionV relativeFrom="paragraph">
              <wp:posOffset>12700</wp:posOffset>
            </wp:positionV>
            <wp:extent cx="4156710" cy="1863725"/>
            <wp:effectExtent l="4445" t="4445" r="10795" b="1778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122FBF3">
      <w:pPr>
        <w:tabs>
          <w:tab w:val="left" w:pos="2780"/>
        </w:tabs>
        <w:spacing w:line="600" w:lineRule="exact"/>
        <w:ind w:firstLine="640"/>
        <w:rPr>
          <w:rFonts w:ascii="仿宋" w:hAnsi="仿宋" w:eastAsia="仿宋"/>
          <w:color w:val="000000"/>
          <w:sz w:val="32"/>
          <w:szCs w:val="32"/>
        </w:rPr>
      </w:pPr>
      <w:r>
        <w:rPr>
          <w:rFonts w:ascii="仿宋" w:hAnsi="仿宋" w:eastAsia="仿宋"/>
          <w:color w:val="000000"/>
          <w:sz w:val="32"/>
          <w:szCs w:val="32"/>
        </w:rPr>
        <w:tab/>
      </w:r>
    </w:p>
    <w:p w14:paraId="11B86EE3">
      <w:pPr>
        <w:spacing w:line="600" w:lineRule="exact"/>
        <w:ind w:firstLine="640"/>
        <w:rPr>
          <w:rFonts w:ascii="仿宋" w:hAnsi="仿宋" w:eastAsia="仿宋"/>
          <w:color w:val="000000"/>
          <w:sz w:val="32"/>
          <w:szCs w:val="32"/>
        </w:rPr>
      </w:pPr>
    </w:p>
    <w:p w14:paraId="4421CFDE">
      <w:pPr>
        <w:spacing w:line="600" w:lineRule="exact"/>
        <w:rPr>
          <w:rFonts w:ascii="仿宋" w:hAnsi="仿宋" w:eastAsia="仿宋"/>
          <w:color w:val="000000"/>
          <w:sz w:val="32"/>
          <w:szCs w:val="32"/>
        </w:rPr>
      </w:pPr>
    </w:p>
    <w:p w14:paraId="304468CC">
      <w:pPr>
        <w:spacing w:line="600" w:lineRule="exact"/>
        <w:ind w:firstLine="640"/>
        <w:rPr>
          <w:rFonts w:ascii="仿宋_GB2312" w:eastAsia="仿宋_GB2312"/>
          <w:b/>
          <w:bCs/>
          <w:color w:val="000000"/>
          <w:sz w:val="32"/>
          <w:szCs w:val="32"/>
        </w:rPr>
      </w:pPr>
      <w:r>
        <w:rPr>
          <w:rFonts w:ascii="仿宋_GB2312" w:eastAsia="仿宋_GB2312" w:cs="仿宋_GB2312"/>
          <w:b/>
          <w:bCs/>
          <w:color w:val="000000"/>
          <w:sz w:val="32"/>
          <w:szCs w:val="32"/>
        </w:rPr>
        <w:t>1.</w:t>
      </w:r>
      <w:r>
        <w:rPr>
          <w:rFonts w:hint="eastAsia" w:ascii="仿宋_GB2312" w:eastAsia="仿宋_GB2312" w:cs="仿宋_GB2312"/>
          <w:b/>
          <w:bCs/>
          <w:color w:val="000000"/>
          <w:sz w:val="32"/>
          <w:szCs w:val="32"/>
        </w:rPr>
        <w:t>因公出国（境）经费支出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Style w:val="19"/>
          <w:rFonts w:hint="eastAsia" w:ascii="仿宋" w:hAnsi="仿宋" w:eastAsia="仿宋" w:cs="仿宋"/>
          <w:b w:val="0"/>
          <w:bCs w:val="0"/>
          <w:color w:val="000000"/>
          <w:sz w:val="32"/>
          <w:szCs w:val="32"/>
        </w:rPr>
        <w:t>完成预算</w:t>
      </w:r>
      <w:r>
        <w:rPr>
          <w:rStyle w:val="19"/>
          <w:rFonts w:ascii="仿宋" w:hAnsi="仿宋" w:eastAsia="仿宋" w:cs="仿宋"/>
          <w:b w:val="0"/>
          <w:bCs w:val="0"/>
          <w:color w:val="000000"/>
          <w:sz w:val="32"/>
          <w:szCs w:val="32"/>
        </w:rPr>
        <w:t>0%</w:t>
      </w:r>
      <w:r>
        <w:rPr>
          <w:rStyle w:val="19"/>
          <w:rFonts w:hint="eastAsia" w:ascii="仿宋" w:hAnsi="仿宋" w:eastAsia="仿宋" w:cs="仿宋"/>
          <w:b w:val="0"/>
          <w:bCs w:val="0"/>
          <w:color w:val="000000"/>
          <w:sz w:val="32"/>
          <w:szCs w:val="32"/>
        </w:rPr>
        <w:t>。</w:t>
      </w:r>
      <w:r>
        <w:rPr>
          <w:rFonts w:hint="eastAsia" w:ascii="仿宋_GB2312" w:eastAsia="仿宋_GB2312" w:cs="仿宋_GB2312"/>
          <w:color w:val="000000"/>
          <w:sz w:val="32"/>
          <w:szCs w:val="32"/>
        </w:rPr>
        <w:t>全年安排因公出国（境）团组</w:t>
      </w:r>
      <w:r>
        <w:rPr>
          <w:rFonts w:ascii="仿宋_GB2312" w:eastAsia="仿宋_GB2312" w:cs="仿宋_GB2312"/>
          <w:color w:val="000000"/>
          <w:sz w:val="32"/>
          <w:szCs w:val="32"/>
        </w:rPr>
        <w:t>0</w:t>
      </w:r>
      <w:r>
        <w:rPr>
          <w:rFonts w:hint="eastAsia" w:ascii="仿宋_GB2312" w:eastAsia="仿宋_GB2312" w:cs="仿宋_GB2312"/>
          <w:color w:val="000000"/>
          <w:sz w:val="32"/>
          <w:szCs w:val="32"/>
        </w:rPr>
        <w:t>次，出国（境）</w:t>
      </w:r>
      <w:r>
        <w:rPr>
          <w:rFonts w:ascii="仿宋_GB2312" w:eastAsia="仿宋_GB2312" w:cs="仿宋_GB2312"/>
          <w:color w:val="000000"/>
          <w:sz w:val="32"/>
          <w:szCs w:val="32"/>
        </w:rPr>
        <w:t>0</w:t>
      </w:r>
      <w:r>
        <w:rPr>
          <w:rFonts w:hint="eastAsia" w:ascii="仿宋_GB2312" w:eastAsia="仿宋_GB2312" w:cs="仿宋_GB2312"/>
          <w:color w:val="000000"/>
          <w:sz w:val="32"/>
          <w:szCs w:val="32"/>
        </w:rPr>
        <w:t>人。因公出国（境）支出决算比</w:t>
      </w:r>
      <w:r>
        <w:rPr>
          <w:rFonts w:hint="eastAsia" w:ascii="仿宋_GB2312" w:eastAsia="仿宋_GB2312" w:cs="仿宋_GB2312"/>
          <w:color w:val="000000"/>
          <w:sz w:val="32"/>
          <w:szCs w:val="32"/>
          <w:lang w:eastAsia="zh-CN"/>
        </w:rPr>
        <w:t>2019</w:t>
      </w:r>
      <w:r>
        <w:rPr>
          <w:rFonts w:hint="eastAsia" w:ascii="仿宋_GB2312" w:eastAsia="仿宋_GB2312" w:cs="仿宋_GB2312"/>
          <w:color w:val="000000"/>
          <w:sz w:val="32"/>
          <w:szCs w:val="32"/>
        </w:rPr>
        <w:t>年无变动。主要原因是我单位无因公出国（境）支出。</w:t>
      </w:r>
    </w:p>
    <w:p w14:paraId="291CA116">
      <w:pPr>
        <w:spacing w:line="600" w:lineRule="exact"/>
        <w:ind w:firstLine="640"/>
        <w:rPr>
          <w:rFonts w:ascii="仿宋_GB2312" w:eastAsia="仿宋_GB2312"/>
          <w:color w:val="000000"/>
          <w:sz w:val="32"/>
          <w:szCs w:val="32"/>
        </w:rPr>
      </w:pPr>
      <w:r>
        <w:rPr>
          <w:rFonts w:hint="eastAsia" w:ascii="仿宋_GB2312" w:eastAsia="仿宋_GB2312" w:cs="仿宋_GB2312"/>
          <w:color w:val="000000"/>
          <w:sz w:val="32"/>
          <w:szCs w:val="32"/>
        </w:rPr>
        <w:t>开支内容包括：（团组名称、出访地点、取得成效）</w:t>
      </w:r>
    </w:p>
    <w:p w14:paraId="27834BDE">
      <w:pPr>
        <w:spacing w:line="600" w:lineRule="exact"/>
        <w:ind w:firstLine="640"/>
        <w:rPr>
          <w:rFonts w:ascii="仿宋_GB2312" w:eastAsia="仿宋_GB2312"/>
          <w:b/>
          <w:bCs/>
          <w:color w:val="000000"/>
          <w:sz w:val="32"/>
          <w:szCs w:val="32"/>
        </w:rPr>
      </w:pPr>
      <w:r>
        <w:rPr>
          <w:rFonts w:ascii="仿宋_GB2312" w:eastAsia="仿宋_GB2312" w:cs="仿宋_GB2312"/>
          <w:b/>
          <w:bCs/>
          <w:color w:val="000000"/>
          <w:sz w:val="32"/>
          <w:szCs w:val="32"/>
        </w:rPr>
        <w:t>2.</w:t>
      </w:r>
      <w:r>
        <w:rPr>
          <w:rFonts w:hint="eastAsia" w:ascii="仿宋_GB2312" w:eastAsia="仿宋_GB2312" w:cs="仿宋_GB2312"/>
          <w:b/>
          <w:bCs/>
          <w:color w:val="000000"/>
          <w:sz w:val="32"/>
          <w:szCs w:val="32"/>
        </w:rPr>
        <w:t>公务用车购置及运行维护费支出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w:t>
      </w:r>
      <w:r>
        <w:rPr>
          <w:rStyle w:val="19"/>
          <w:rFonts w:hint="eastAsia" w:ascii="仿宋" w:hAnsi="仿宋" w:eastAsia="仿宋" w:cs="仿宋"/>
          <w:b w:val="0"/>
          <w:bCs w:val="0"/>
          <w:color w:val="000000"/>
          <w:sz w:val="32"/>
          <w:szCs w:val="32"/>
        </w:rPr>
        <w:t>完成预算</w:t>
      </w:r>
      <w:r>
        <w:rPr>
          <w:rStyle w:val="19"/>
          <w:rFonts w:ascii="仿宋" w:hAnsi="仿宋" w:eastAsia="仿宋" w:cs="仿宋"/>
          <w:b w:val="0"/>
          <w:bCs w:val="0"/>
          <w:color w:val="000000"/>
          <w:sz w:val="32"/>
          <w:szCs w:val="32"/>
        </w:rPr>
        <w:t>0%</w:t>
      </w:r>
      <w:r>
        <w:rPr>
          <w:rStyle w:val="19"/>
          <w:rFonts w:hint="eastAsia" w:ascii="仿宋" w:hAnsi="仿宋" w:eastAsia="仿宋" w:cs="仿宋"/>
          <w:b w:val="0"/>
          <w:bCs w:val="0"/>
          <w:color w:val="000000"/>
          <w:sz w:val="32"/>
          <w:szCs w:val="32"/>
        </w:rPr>
        <w:t>。</w:t>
      </w:r>
      <w:r>
        <w:rPr>
          <w:rFonts w:hint="eastAsia" w:ascii="仿宋_GB2312" w:eastAsia="仿宋_GB2312" w:cs="仿宋_GB2312"/>
          <w:color w:val="000000"/>
          <w:sz w:val="32"/>
          <w:szCs w:val="32"/>
        </w:rPr>
        <w:t>公务用车购置及运行维护费支出决算比</w:t>
      </w:r>
      <w:r>
        <w:rPr>
          <w:rFonts w:hint="eastAsia" w:ascii="仿宋_GB2312" w:eastAsia="仿宋_GB2312" w:cs="仿宋_GB2312"/>
          <w:color w:val="000000"/>
          <w:sz w:val="32"/>
          <w:szCs w:val="32"/>
          <w:lang w:eastAsia="zh-CN"/>
        </w:rPr>
        <w:t>2019</w:t>
      </w:r>
      <w:r>
        <w:rPr>
          <w:rFonts w:hint="eastAsia" w:ascii="仿宋_GB2312" w:eastAsia="仿宋_GB2312" w:cs="仿宋_GB2312"/>
          <w:color w:val="000000"/>
          <w:sz w:val="32"/>
          <w:szCs w:val="32"/>
        </w:rPr>
        <w:t>年无变动。主要原因是我单位无公务用车购置及运行维护费支出。</w:t>
      </w:r>
    </w:p>
    <w:p w14:paraId="6CEEC0E3">
      <w:pPr>
        <w:spacing w:line="600" w:lineRule="exact"/>
        <w:ind w:firstLine="640"/>
        <w:rPr>
          <w:rFonts w:ascii="仿宋_GB2312" w:eastAsia="仿宋_GB2312"/>
          <w:color w:val="000000"/>
          <w:sz w:val="32"/>
          <w:szCs w:val="32"/>
        </w:rPr>
      </w:pPr>
      <w:r>
        <w:rPr>
          <w:rFonts w:hint="eastAsia" w:ascii="仿宋_GB2312" w:eastAsia="仿宋_GB2312" w:cs="仿宋_GB2312"/>
          <w:color w:val="000000"/>
          <w:sz w:val="32"/>
          <w:szCs w:val="32"/>
        </w:rPr>
        <w:t>其中：</w:t>
      </w:r>
      <w:r>
        <w:rPr>
          <w:rFonts w:hint="eastAsia" w:ascii="仿宋_GB2312" w:eastAsia="仿宋_GB2312" w:cs="仿宋_GB2312"/>
          <w:b/>
          <w:bCs/>
          <w:color w:val="000000"/>
          <w:sz w:val="32"/>
          <w:szCs w:val="32"/>
        </w:rPr>
        <w:t>公务用车购置支出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万元。全年按规定更新购置公务用车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元。截至</w:t>
      </w:r>
      <w:r>
        <w:rPr>
          <w:rFonts w:hint="eastAsia" w:ascii="仿宋_GB2312" w:eastAsia="仿宋_GB2312" w:cs="仿宋_GB2312"/>
          <w:color w:val="000000"/>
          <w:sz w:val="32"/>
          <w:szCs w:val="32"/>
          <w:lang w:eastAsia="zh-CN"/>
        </w:rPr>
        <w:t>2020</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月底，单位共有公务用车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辆，其中：主要领导干部用车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辆、机要通信用车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辆、应急保障用车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执法执勤用车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w:t>
      </w:r>
    </w:p>
    <w:p w14:paraId="21B4C628">
      <w:pPr>
        <w:spacing w:line="600" w:lineRule="exact"/>
        <w:ind w:firstLine="640"/>
        <w:rPr>
          <w:rFonts w:ascii="仿宋_GB2312" w:eastAsia="仿宋_GB2312"/>
          <w:color w:val="000000"/>
          <w:sz w:val="32"/>
          <w:szCs w:val="32"/>
        </w:rPr>
      </w:pPr>
      <w:r>
        <w:rPr>
          <w:rFonts w:hint="eastAsia" w:ascii="仿宋_GB2312" w:eastAsia="仿宋_GB2312" w:cs="仿宋_GB2312"/>
          <w:b/>
          <w:bCs/>
          <w:color w:val="000000"/>
          <w:sz w:val="32"/>
          <w:szCs w:val="32"/>
        </w:rPr>
        <w:t>公务用车运行维护费支出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万元。主要用于（具体工作）等所需的公务用车燃料费、维修费、过路过桥费、保险费等支出。</w:t>
      </w:r>
    </w:p>
    <w:p w14:paraId="1AB0B6F7">
      <w:pPr>
        <w:spacing w:line="600" w:lineRule="exact"/>
        <w:ind w:firstLine="640"/>
        <w:rPr>
          <w:rFonts w:ascii="仿宋_GB2312" w:eastAsia="仿宋_GB2312"/>
          <w:color w:val="000000"/>
          <w:sz w:val="32"/>
          <w:szCs w:val="32"/>
        </w:rPr>
      </w:pPr>
      <w:r>
        <w:rPr>
          <w:rFonts w:ascii="仿宋_GB2312" w:eastAsia="仿宋_GB2312" w:cs="仿宋_GB2312"/>
          <w:b/>
          <w:bCs/>
          <w:color w:val="000000"/>
          <w:sz w:val="32"/>
          <w:szCs w:val="32"/>
        </w:rPr>
        <w:t>3.</w:t>
      </w:r>
      <w:r>
        <w:rPr>
          <w:rFonts w:hint="eastAsia" w:ascii="仿宋_GB2312" w:eastAsia="仿宋_GB2312" w:cs="仿宋_GB2312"/>
          <w:b/>
          <w:bCs/>
          <w:color w:val="000000"/>
          <w:sz w:val="32"/>
          <w:szCs w:val="32"/>
        </w:rPr>
        <w:t>公务接待费支出</w:t>
      </w:r>
      <w:r>
        <w:rPr>
          <w:rFonts w:hint="eastAsia" w:ascii="仿宋_GB2312" w:eastAsia="仿宋_GB2312" w:cs="仿宋_GB2312"/>
          <w:color w:val="000000"/>
          <w:sz w:val="32"/>
          <w:szCs w:val="32"/>
          <w:lang w:val="en-US" w:eastAsia="zh-CN"/>
        </w:rPr>
        <w:t>0.77</w:t>
      </w:r>
      <w:r>
        <w:rPr>
          <w:rFonts w:hint="eastAsia" w:ascii="仿宋_GB2312" w:eastAsia="仿宋_GB2312" w:cs="仿宋_GB2312"/>
          <w:color w:val="000000"/>
          <w:sz w:val="32"/>
          <w:szCs w:val="32"/>
        </w:rPr>
        <w:t>万元，</w:t>
      </w:r>
      <w:r>
        <w:rPr>
          <w:rStyle w:val="19"/>
          <w:rFonts w:hint="eastAsia" w:ascii="仿宋" w:hAnsi="仿宋" w:eastAsia="仿宋" w:cs="仿宋"/>
          <w:b w:val="0"/>
          <w:bCs w:val="0"/>
          <w:color w:val="000000"/>
          <w:sz w:val="32"/>
          <w:szCs w:val="32"/>
        </w:rPr>
        <w:t>完成预算</w:t>
      </w:r>
      <w:r>
        <w:rPr>
          <w:rStyle w:val="19"/>
          <w:rFonts w:hint="eastAsia" w:ascii="仿宋" w:hAnsi="仿宋" w:eastAsia="仿宋" w:cs="仿宋"/>
          <w:b w:val="0"/>
          <w:bCs w:val="0"/>
          <w:color w:val="000000"/>
          <w:sz w:val="32"/>
          <w:szCs w:val="32"/>
          <w:lang w:val="en-US" w:eastAsia="zh-CN"/>
        </w:rPr>
        <w:t>10</w:t>
      </w:r>
      <w:r>
        <w:rPr>
          <w:rStyle w:val="19"/>
          <w:rFonts w:ascii="仿宋" w:hAnsi="仿宋" w:eastAsia="仿宋" w:cs="仿宋"/>
          <w:b w:val="0"/>
          <w:bCs w:val="0"/>
          <w:color w:val="000000"/>
          <w:sz w:val="32"/>
          <w:szCs w:val="32"/>
        </w:rPr>
        <w:t>0%</w:t>
      </w:r>
      <w:r>
        <w:rPr>
          <w:rStyle w:val="19"/>
          <w:rFonts w:hint="eastAsia" w:ascii="仿宋" w:hAnsi="仿宋" w:eastAsia="仿宋" w:cs="仿宋"/>
          <w:b w:val="0"/>
          <w:bCs w:val="0"/>
          <w:color w:val="000000"/>
          <w:sz w:val="32"/>
          <w:szCs w:val="32"/>
        </w:rPr>
        <w:t>。</w:t>
      </w:r>
      <w:r>
        <w:rPr>
          <w:rFonts w:hint="eastAsia" w:ascii="仿宋_GB2312" w:eastAsia="仿宋_GB2312" w:cs="仿宋_GB2312"/>
          <w:color w:val="000000"/>
          <w:sz w:val="32"/>
          <w:szCs w:val="32"/>
        </w:rPr>
        <w:t>公务接待费支出决算比</w:t>
      </w:r>
      <w:r>
        <w:rPr>
          <w:rFonts w:hint="eastAsia" w:ascii="仿宋_GB2312" w:eastAsia="仿宋_GB2312" w:cs="仿宋_GB2312"/>
          <w:color w:val="000000"/>
          <w:sz w:val="32"/>
          <w:szCs w:val="32"/>
          <w:lang w:eastAsia="zh-CN"/>
        </w:rPr>
        <w:t>2019</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eastAsia="zh-CN"/>
        </w:rPr>
        <w:t>增加</w:t>
      </w:r>
      <w:r>
        <w:rPr>
          <w:rFonts w:hint="eastAsia" w:ascii="仿宋_GB2312" w:eastAsia="仿宋_GB2312" w:cs="仿宋_GB2312"/>
          <w:color w:val="000000"/>
          <w:sz w:val="32"/>
          <w:szCs w:val="32"/>
          <w:lang w:val="en-US" w:eastAsia="zh-CN"/>
        </w:rPr>
        <w:t>0.77</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增长</w:t>
      </w:r>
      <w:r>
        <w:rPr>
          <w:rFonts w:ascii="仿宋_GB2312" w:eastAsia="仿宋_GB2312" w:cs="仿宋_GB2312"/>
          <w:color w:val="000000"/>
          <w:sz w:val="32"/>
          <w:szCs w:val="32"/>
        </w:rPr>
        <w:t>100%</w:t>
      </w:r>
      <w:r>
        <w:rPr>
          <w:rFonts w:hint="eastAsia" w:ascii="仿宋_GB2312" w:eastAsia="仿宋_GB2312" w:cs="仿宋_GB2312"/>
          <w:color w:val="000000"/>
          <w:sz w:val="32"/>
          <w:szCs w:val="32"/>
        </w:rPr>
        <w:t>。主要原因是</w:t>
      </w:r>
      <w:r>
        <w:rPr>
          <w:rFonts w:hint="eastAsia" w:ascii="仿宋_GB2312" w:eastAsia="仿宋_GB2312" w:cs="仿宋_GB2312"/>
          <w:color w:val="000000"/>
          <w:sz w:val="32"/>
          <w:szCs w:val="32"/>
          <w:lang w:eastAsia="zh-CN"/>
        </w:rPr>
        <w:t>2020</w:t>
      </w:r>
      <w:r>
        <w:rPr>
          <w:rFonts w:hint="eastAsia" w:ascii="仿宋_GB2312" w:eastAsia="仿宋_GB2312" w:cs="仿宋_GB2312"/>
          <w:color w:val="000000"/>
          <w:sz w:val="32"/>
          <w:szCs w:val="32"/>
        </w:rPr>
        <w:t>年无公务接待支出。其中：</w:t>
      </w:r>
    </w:p>
    <w:p w14:paraId="3F234494">
      <w:pPr>
        <w:spacing w:line="600" w:lineRule="exact"/>
        <w:ind w:firstLine="643" w:firstLineChars="200"/>
        <w:rPr>
          <w:rFonts w:hint="eastAsia" w:ascii="仿宋_GB2312" w:eastAsia="仿宋_GB2312"/>
          <w:color w:val="000000"/>
          <w:sz w:val="32"/>
          <w:szCs w:val="32"/>
        </w:rPr>
      </w:pPr>
      <w:r>
        <w:rPr>
          <w:rFonts w:hint="eastAsia" w:ascii="仿宋" w:hAnsi="仿宋" w:eastAsia="仿宋" w:cs="仿宋"/>
          <w:b/>
          <w:bCs/>
          <w:color w:val="000000"/>
          <w:sz w:val="32"/>
          <w:szCs w:val="32"/>
        </w:rPr>
        <w:t>国内公务接待支出</w:t>
      </w:r>
      <w:r>
        <w:rPr>
          <w:rFonts w:hint="eastAsia" w:ascii="仿宋" w:hAnsi="仿宋" w:eastAsia="仿宋" w:cs="仿宋"/>
          <w:color w:val="000000"/>
          <w:sz w:val="32"/>
          <w:szCs w:val="32"/>
          <w:lang w:val="en-US" w:eastAsia="zh-CN"/>
        </w:rPr>
        <w:t>0.77</w:t>
      </w:r>
      <w:r>
        <w:rPr>
          <w:rFonts w:hint="eastAsia" w:ascii="仿宋_GB2312" w:eastAsia="仿宋_GB2312" w:cs="仿宋_GB2312"/>
          <w:color w:val="000000"/>
          <w:sz w:val="32"/>
          <w:szCs w:val="32"/>
        </w:rPr>
        <w:t>万元，</w:t>
      </w: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105</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0.77</w:t>
      </w:r>
      <w:r>
        <w:rPr>
          <w:rFonts w:hint="eastAsia" w:ascii="仿宋_GB2312" w:eastAsia="仿宋_GB2312"/>
          <w:color w:val="000000"/>
          <w:sz w:val="32"/>
          <w:szCs w:val="32"/>
        </w:rPr>
        <w:t>万元，具体内容包括：上级单位到我单位检查工作接待支出</w:t>
      </w:r>
      <w:r>
        <w:rPr>
          <w:rFonts w:hint="eastAsia" w:ascii="仿宋_GB2312" w:eastAsia="仿宋_GB2312"/>
          <w:color w:val="000000"/>
          <w:sz w:val="32"/>
          <w:szCs w:val="32"/>
          <w:lang w:val="en-US" w:eastAsia="zh-CN"/>
        </w:rPr>
        <w:t>0.07</w:t>
      </w:r>
      <w:r>
        <w:rPr>
          <w:rFonts w:hint="eastAsia" w:ascii="仿宋_GB2312" w:eastAsia="仿宋_GB2312"/>
          <w:color w:val="000000"/>
          <w:sz w:val="32"/>
          <w:szCs w:val="32"/>
        </w:rPr>
        <w:t>万元。</w:t>
      </w:r>
    </w:p>
    <w:p w14:paraId="298BF5ED">
      <w:pPr>
        <w:spacing w:line="600" w:lineRule="exact"/>
        <w:ind w:firstLine="643" w:firstLineChars="200"/>
        <w:rPr>
          <w:rFonts w:ascii="黑体" w:eastAsia="黑体"/>
          <w:color w:val="000000"/>
          <w:sz w:val="32"/>
          <w:szCs w:val="32"/>
        </w:rPr>
      </w:pPr>
      <w:r>
        <w:rPr>
          <w:rFonts w:hint="eastAsia" w:ascii="仿宋" w:hAnsi="仿宋" w:eastAsia="仿宋" w:cs="仿宋"/>
          <w:b/>
          <w:bCs/>
          <w:color w:val="000000"/>
          <w:sz w:val="32"/>
          <w:szCs w:val="32"/>
        </w:rPr>
        <w:t>外事接待支出</w:t>
      </w:r>
      <w:r>
        <w:rPr>
          <w:rFonts w:ascii="仿宋" w:hAnsi="仿宋" w:eastAsia="仿宋" w:cs="仿宋"/>
          <w:color w:val="000000"/>
          <w:sz w:val="32"/>
          <w:szCs w:val="32"/>
        </w:rPr>
        <w:t>0</w:t>
      </w:r>
      <w:r>
        <w:rPr>
          <w:rFonts w:hint="eastAsia" w:ascii="仿宋_GB2312" w:eastAsia="仿宋_GB2312" w:cs="仿宋_GB2312"/>
          <w:color w:val="000000"/>
          <w:sz w:val="32"/>
          <w:szCs w:val="32"/>
        </w:rPr>
        <w:t>万元，外事接待</w:t>
      </w:r>
      <w:r>
        <w:rPr>
          <w:rFonts w:ascii="仿宋_GB2312" w:eastAsia="仿宋_GB2312" w:cs="仿宋_GB2312"/>
          <w:color w:val="000000"/>
          <w:sz w:val="32"/>
          <w:szCs w:val="32"/>
        </w:rPr>
        <w:t>0</w:t>
      </w:r>
      <w:r>
        <w:rPr>
          <w:rFonts w:hint="eastAsia" w:ascii="仿宋_GB2312" w:eastAsia="仿宋_GB2312" w:cs="仿宋_GB2312"/>
          <w:color w:val="000000"/>
          <w:sz w:val="32"/>
          <w:szCs w:val="32"/>
        </w:rPr>
        <w:t>批次，</w:t>
      </w:r>
      <w:r>
        <w:rPr>
          <w:rFonts w:ascii="仿宋_GB2312" w:eastAsia="仿宋_GB2312" w:cs="仿宋_GB2312"/>
          <w:color w:val="000000"/>
          <w:sz w:val="32"/>
          <w:szCs w:val="32"/>
        </w:rPr>
        <w:t>0</w:t>
      </w:r>
      <w:r>
        <w:rPr>
          <w:rFonts w:hint="eastAsia" w:ascii="仿宋_GB2312" w:eastAsia="仿宋_GB2312" w:cs="仿宋_GB2312"/>
          <w:color w:val="000000"/>
          <w:sz w:val="32"/>
          <w:szCs w:val="32"/>
        </w:rPr>
        <w:t>人，共计支出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万元，主要用于接待（具体项目）</w:t>
      </w:r>
      <w:bookmarkStart w:id="69" w:name="_Toc15396610"/>
      <w:bookmarkStart w:id="70" w:name="_Toc15377218"/>
    </w:p>
    <w:p w14:paraId="3B5246B1">
      <w:pPr>
        <w:spacing w:line="600" w:lineRule="exact"/>
        <w:ind w:firstLine="640"/>
        <w:outlineLvl w:val="1"/>
        <w:rPr>
          <w:rStyle w:val="22"/>
          <w:rFonts w:ascii="黑体" w:hAnsi="黑体" w:eastAsia="黑体" w:cs="Times New Roman"/>
        </w:rPr>
      </w:pPr>
      <w:bookmarkStart w:id="71" w:name="_Toc52180089"/>
      <w:r>
        <w:rPr>
          <w:rFonts w:hint="eastAsia" w:ascii="黑体" w:eastAsia="黑体" w:cs="黑体"/>
          <w:color w:val="000000"/>
          <w:sz w:val="32"/>
          <w:szCs w:val="32"/>
        </w:rPr>
        <w:t>八、</w:t>
      </w:r>
      <w:r>
        <w:rPr>
          <w:rStyle w:val="22"/>
          <w:rFonts w:hint="eastAsia" w:ascii="黑体" w:hAnsi="黑体" w:eastAsia="黑体" w:cs="黑体"/>
          <w:b w:val="0"/>
          <w:bCs w:val="0"/>
        </w:rPr>
        <w:t>政府性基金预算支出决算情况说明</w:t>
      </w:r>
      <w:bookmarkEnd w:id="69"/>
      <w:bookmarkEnd w:id="70"/>
      <w:bookmarkEnd w:id="71"/>
    </w:p>
    <w:p w14:paraId="05F27FBD">
      <w:pPr>
        <w:spacing w:line="600" w:lineRule="exact"/>
        <w:ind w:firstLine="640"/>
        <w:rPr>
          <w:rFonts w:ascii="仿宋_GB2312" w:eastAsia="仿宋_GB2312"/>
          <w:color w:val="000000"/>
          <w:sz w:val="32"/>
          <w:szCs w:val="32"/>
        </w:rPr>
      </w:pPr>
      <w:r>
        <w:rPr>
          <w:rFonts w:hint="eastAsia" w:ascii="仿宋_GB2312" w:eastAsia="仿宋_GB2312" w:cs="仿宋_GB2312"/>
          <w:color w:val="000000"/>
          <w:sz w:val="32"/>
          <w:szCs w:val="32"/>
          <w:lang w:eastAsia="zh-CN"/>
        </w:rPr>
        <w:t>2020</w:t>
      </w:r>
      <w:r>
        <w:rPr>
          <w:rFonts w:hint="eastAsia" w:ascii="仿宋_GB2312" w:eastAsia="仿宋_GB2312" w:cs="仿宋_GB2312"/>
          <w:color w:val="000000"/>
          <w:sz w:val="32"/>
          <w:szCs w:val="32"/>
        </w:rPr>
        <w:t>年政府性基金预算拨款支出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14:paraId="13710F54">
      <w:pPr>
        <w:numPr>
          <w:ilvl w:val="0"/>
          <w:numId w:val="3"/>
        </w:numPr>
        <w:spacing w:line="600" w:lineRule="exact"/>
        <w:ind w:firstLine="640"/>
        <w:outlineLvl w:val="1"/>
        <w:rPr>
          <w:rStyle w:val="22"/>
          <w:rFonts w:ascii="黑体" w:hAnsi="黑体" w:eastAsia="黑体" w:cs="Times New Roman"/>
          <w:b w:val="0"/>
          <w:bCs w:val="0"/>
        </w:rPr>
      </w:pPr>
      <w:bookmarkStart w:id="72" w:name="_Toc52180090"/>
      <w:bookmarkStart w:id="73" w:name="_Toc15396611"/>
      <w:bookmarkStart w:id="74" w:name="_Toc15377219"/>
      <w:r>
        <w:rPr>
          <w:rStyle w:val="22"/>
          <w:rFonts w:hint="eastAsia" w:ascii="黑体" w:hAnsi="黑体" w:eastAsia="黑体" w:cs="黑体"/>
          <w:b w:val="0"/>
          <w:bCs w:val="0"/>
        </w:rPr>
        <w:t>国有资本经营预算支出决算情况说明</w:t>
      </w:r>
      <w:bookmarkEnd w:id="72"/>
      <w:bookmarkEnd w:id="73"/>
      <w:bookmarkEnd w:id="74"/>
    </w:p>
    <w:p w14:paraId="70C3D1F6">
      <w:pPr>
        <w:spacing w:line="600" w:lineRule="exact"/>
        <w:ind w:firstLine="640"/>
        <w:rPr>
          <w:rFonts w:ascii="方正小标宋简体" w:hAnsi="方正小标宋简体" w:eastAsia="方正小标宋简体"/>
          <w:sz w:val="44"/>
          <w:szCs w:val="44"/>
        </w:rPr>
      </w:pPr>
      <w:r>
        <w:rPr>
          <w:rFonts w:hint="eastAsia" w:ascii="仿宋_GB2312" w:eastAsia="仿宋_GB2312" w:cs="仿宋_GB2312"/>
          <w:color w:val="000000"/>
          <w:sz w:val="32"/>
          <w:szCs w:val="32"/>
          <w:lang w:eastAsia="zh-CN"/>
        </w:rPr>
        <w:t>2020</w:t>
      </w:r>
      <w:r>
        <w:rPr>
          <w:rFonts w:hint="eastAsia" w:ascii="仿宋_GB2312" w:eastAsia="仿宋_GB2312" w:cs="仿宋_GB2312"/>
          <w:color w:val="000000"/>
          <w:sz w:val="32"/>
          <w:szCs w:val="32"/>
        </w:rPr>
        <w:t>年国有资本经营预算拨款支出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14:paraId="48427711">
      <w:pPr>
        <w:spacing w:line="600" w:lineRule="exact"/>
        <w:ind w:firstLine="800" w:firstLineChars="250"/>
        <w:outlineLvl w:val="1"/>
        <w:rPr>
          <w:rStyle w:val="22"/>
          <w:rFonts w:ascii="黑体" w:hAnsi="黑体" w:eastAsia="黑体" w:cs="Times New Roman"/>
        </w:rPr>
      </w:pPr>
      <w:bookmarkStart w:id="75" w:name="_Toc15396612"/>
      <w:bookmarkStart w:id="76" w:name="_Toc15377221"/>
      <w:bookmarkStart w:id="77" w:name="_Toc52180091"/>
      <w:r>
        <w:rPr>
          <w:rFonts w:hint="eastAsia" w:ascii="黑体" w:hAnsi="黑体" w:eastAsia="黑体" w:cs="黑体"/>
          <w:color w:val="000000"/>
          <w:sz w:val="32"/>
          <w:szCs w:val="32"/>
        </w:rPr>
        <w:t>十</w:t>
      </w:r>
      <w:r>
        <w:rPr>
          <w:rStyle w:val="22"/>
          <w:rFonts w:hint="eastAsia" w:ascii="黑体" w:hAnsi="黑体" w:eastAsia="黑体" w:cs="黑体"/>
        </w:rPr>
        <w:t>、</w:t>
      </w:r>
      <w:r>
        <w:rPr>
          <w:rStyle w:val="22"/>
          <w:rFonts w:hint="eastAsia" w:ascii="黑体" w:hAnsi="黑体" w:eastAsia="黑体" w:cs="黑体"/>
          <w:b w:val="0"/>
          <w:bCs w:val="0"/>
        </w:rPr>
        <w:t>其他重要事项的情况说明</w:t>
      </w:r>
      <w:bookmarkEnd w:id="75"/>
      <w:bookmarkEnd w:id="76"/>
      <w:bookmarkEnd w:id="77"/>
    </w:p>
    <w:p w14:paraId="31036FAB">
      <w:pPr>
        <w:spacing w:line="600" w:lineRule="exact"/>
        <w:ind w:firstLine="643" w:firstLineChars="200"/>
        <w:outlineLvl w:val="2"/>
        <w:rPr>
          <w:rFonts w:ascii="仿宋" w:hAnsi="仿宋" w:eastAsia="仿宋"/>
          <w:color w:val="000000"/>
          <w:sz w:val="32"/>
          <w:szCs w:val="32"/>
        </w:rPr>
      </w:pPr>
      <w:bookmarkStart w:id="78" w:name="_Toc15377222"/>
      <w:bookmarkStart w:id="79" w:name="_Toc52180092"/>
      <w:r>
        <w:rPr>
          <w:rFonts w:hint="eastAsia" w:ascii="仿宋" w:hAnsi="仿宋" w:eastAsia="仿宋" w:cs="仿宋"/>
          <w:b/>
          <w:bCs/>
          <w:color w:val="000000"/>
          <w:sz w:val="32"/>
          <w:szCs w:val="32"/>
        </w:rPr>
        <w:t>（一）机关运行经费支出情况</w:t>
      </w:r>
      <w:bookmarkEnd w:id="78"/>
      <w:bookmarkEnd w:id="79"/>
    </w:p>
    <w:p w14:paraId="581B60A6">
      <w:pPr>
        <w:spacing w:line="60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eastAsia="zh-CN"/>
        </w:rPr>
        <w:t>2020</w:t>
      </w:r>
      <w:r>
        <w:rPr>
          <w:rFonts w:hint="eastAsia" w:ascii="仿宋_GB2312" w:eastAsia="仿宋_GB2312" w:cs="仿宋_GB2312"/>
          <w:color w:val="000000"/>
          <w:sz w:val="32"/>
          <w:szCs w:val="32"/>
        </w:rPr>
        <w:t>年，政法委机关运行经费支出</w:t>
      </w:r>
      <w:r>
        <w:rPr>
          <w:rFonts w:hint="eastAsia" w:ascii="仿宋_GB2312" w:eastAsia="仿宋_GB2312" w:cs="仿宋_GB2312"/>
          <w:color w:val="000000"/>
          <w:sz w:val="32"/>
          <w:szCs w:val="32"/>
          <w:lang w:val="en-US" w:eastAsia="zh-CN"/>
        </w:rPr>
        <w:t>18.41</w:t>
      </w:r>
      <w:r>
        <w:rPr>
          <w:rFonts w:hint="eastAsia" w:ascii="仿宋_GB2312" w:eastAsia="仿宋_GB2312" w:cs="仿宋_GB2312"/>
          <w:color w:val="000000"/>
          <w:sz w:val="32"/>
          <w:szCs w:val="32"/>
        </w:rPr>
        <w:t>万元，比</w:t>
      </w:r>
      <w:r>
        <w:rPr>
          <w:rFonts w:hint="eastAsia" w:ascii="仿宋_GB2312" w:eastAsia="仿宋_GB2312" w:cs="仿宋_GB2312"/>
          <w:color w:val="000000"/>
          <w:sz w:val="32"/>
          <w:szCs w:val="32"/>
          <w:lang w:eastAsia="zh-CN"/>
        </w:rPr>
        <w:t>2019</w:t>
      </w:r>
      <w:r>
        <w:rPr>
          <w:rFonts w:hint="eastAsia" w:ascii="仿宋_GB2312" w:eastAsia="仿宋_GB2312" w:cs="仿宋_GB2312"/>
          <w:color w:val="000000"/>
          <w:sz w:val="32"/>
          <w:szCs w:val="32"/>
        </w:rPr>
        <w:t>年增加</w:t>
      </w:r>
      <w:r>
        <w:rPr>
          <w:rFonts w:hint="eastAsia" w:ascii="仿宋_GB2312" w:eastAsia="仿宋_GB2312" w:cs="仿宋_GB2312"/>
          <w:color w:val="000000"/>
          <w:sz w:val="32"/>
          <w:szCs w:val="32"/>
          <w:lang w:val="en-US" w:eastAsia="zh-CN"/>
        </w:rPr>
        <w:t>4.49</w:t>
      </w:r>
      <w:r>
        <w:rPr>
          <w:rFonts w:hint="eastAsia" w:ascii="仿宋_GB2312" w:eastAsia="仿宋_GB2312" w:cs="仿宋_GB2312"/>
          <w:color w:val="000000"/>
          <w:sz w:val="32"/>
          <w:szCs w:val="32"/>
        </w:rPr>
        <w:t>万元，增长</w:t>
      </w:r>
      <w:r>
        <w:rPr>
          <w:rFonts w:hint="eastAsia" w:ascii="仿宋_GB2312" w:eastAsia="仿宋_GB2312" w:cs="仿宋_GB2312"/>
          <w:color w:val="000000"/>
          <w:sz w:val="32"/>
          <w:szCs w:val="32"/>
          <w:lang w:val="en-US" w:eastAsia="zh-CN"/>
        </w:rPr>
        <w:t>32.25</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r>
        <w:rPr>
          <w:rFonts w:hint="eastAsia" w:ascii="仿宋" w:hAnsi="仿宋" w:eastAsia="仿宋" w:cs="仿宋"/>
          <w:color w:val="000000"/>
          <w:sz w:val="32"/>
          <w:szCs w:val="32"/>
        </w:rPr>
        <w:t>主要变动原因是单位</w:t>
      </w:r>
      <w:r>
        <w:rPr>
          <w:rFonts w:hint="eastAsia" w:ascii="仿宋" w:hAnsi="仿宋" w:eastAsia="仿宋" w:cs="仿宋"/>
          <w:color w:val="000000"/>
          <w:sz w:val="32"/>
          <w:szCs w:val="32"/>
          <w:lang w:eastAsia="zh-CN"/>
        </w:rPr>
        <w:t>工作业务量增加，项目支出经费增加</w:t>
      </w:r>
      <w:r>
        <w:rPr>
          <w:rFonts w:hint="eastAsia" w:ascii="仿宋" w:hAnsi="仿宋" w:eastAsia="仿宋" w:cs="仿宋"/>
          <w:color w:val="000000"/>
          <w:sz w:val="32"/>
          <w:szCs w:val="32"/>
        </w:rPr>
        <w:t>。</w:t>
      </w:r>
    </w:p>
    <w:p w14:paraId="39F0413D">
      <w:pPr>
        <w:spacing w:line="600" w:lineRule="exact"/>
        <w:ind w:firstLine="643" w:firstLineChars="200"/>
        <w:rPr>
          <w:rFonts w:ascii="仿宋" w:hAnsi="仿宋" w:eastAsia="仿宋"/>
          <w:b/>
          <w:bCs/>
          <w:sz w:val="32"/>
          <w:szCs w:val="32"/>
        </w:rPr>
      </w:pPr>
      <w:r>
        <w:rPr>
          <w:rFonts w:hint="eastAsia" w:ascii="仿宋" w:hAnsi="仿宋" w:eastAsia="仿宋" w:cs="仿宋"/>
          <w:b/>
          <w:bCs/>
          <w:sz w:val="32"/>
          <w:szCs w:val="32"/>
        </w:rPr>
        <w:t>（注：数据来源于财决附</w:t>
      </w:r>
      <w:r>
        <w:rPr>
          <w:rFonts w:ascii="仿宋" w:hAnsi="仿宋" w:eastAsia="仿宋" w:cs="仿宋"/>
          <w:b/>
          <w:bCs/>
          <w:sz w:val="32"/>
          <w:szCs w:val="32"/>
        </w:rPr>
        <w:t>03</w:t>
      </w:r>
      <w:r>
        <w:rPr>
          <w:rFonts w:hint="eastAsia" w:ascii="仿宋" w:hAnsi="仿宋" w:eastAsia="仿宋" w:cs="仿宋"/>
          <w:b/>
          <w:bCs/>
          <w:sz w:val="32"/>
          <w:szCs w:val="32"/>
        </w:rPr>
        <w:t>表）</w:t>
      </w:r>
    </w:p>
    <w:p w14:paraId="16EA773A">
      <w:pPr>
        <w:autoSpaceDE w:val="0"/>
        <w:autoSpaceDN w:val="0"/>
        <w:adjustRightInd w:val="0"/>
        <w:spacing w:line="600" w:lineRule="exact"/>
        <w:ind w:firstLine="643" w:firstLineChars="200"/>
        <w:jc w:val="left"/>
        <w:outlineLvl w:val="2"/>
        <w:rPr>
          <w:rFonts w:ascii="仿宋" w:hAnsi="仿宋" w:eastAsia="仿宋"/>
          <w:b/>
          <w:bCs/>
          <w:color w:val="000000"/>
          <w:sz w:val="32"/>
          <w:szCs w:val="32"/>
        </w:rPr>
      </w:pPr>
      <w:bookmarkStart w:id="80" w:name="_Toc52180093"/>
      <w:bookmarkStart w:id="81" w:name="_Toc15377223"/>
      <w:r>
        <w:rPr>
          <w:rFonts w:hint="eastAsia" w:ascii="仿宋" w:hAnsi="仿宋" w:eastAsia="仿宋" w:cs="仿宋"/>
          <w:b/>
          <w:bCs/>
          <w:color w:val="000000"/>
          <w:sz w:val="32"/>
          <w:szCs w:val="32"/>
        </w:rPr>
        <w:t>（二）政府采购支出情况</w:t>
      </w:r>
      <w:bookmarkEnd w:id="80"/>
      <w:bookmarkEnd w:id="81"/>
    </w:p>
    <w:p w14:paraId="2F10C9DF">
      <w:pPr>
        <w:spacing w:line="60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eastAsia="zh-CN"/>
        </w:rPr>
        <w:t>2020</w:t>
      </w:r>
      <w:r>
        <w:rPr>
          <w:rFonts w:hint="eastAsia" w:ascii="仿宋_GB2312" w:eastAsia="仿宋_GB2312" w:cs="仿宋_GB2312"/>
          <w:color w:val="000000"/>
          <w:sz w:val="32"/>
          <w:szCs w:val="32"/>
        </w:rPr>
        <w:t>年，政法委政府采购支出总额</w:t>
      </w:r>
      <w:r>
        <w:rPr>
          <w:rFonts w:hint="eastAsia" w:ascii="仿宋_GB2312" w:eastAsia="仿宋_GB2312" w:cs="仿宋_GB2312"/>
          <w:color w:val="000000"/>
          <w:sz w:val="32"/>
          <w:szCs w:val="32"/>
          <w:lang w:val="en-US" w:eastAsia="zh-CN"/>
        </w:rPr>
        <w:t>5.25</w:t>
      </w:r>
      <w:r>
        <w:rPr>
          <w:rFonts w:hint="eastAsia" w:ascii="仿宋_GB2312" w:eastAsia="仿宋_GB2312" w:cs="仿宋_GB2312"/>
          <w:color w:val="000000"/>
          <w:sz w:val="32"/>
          <w:szCs w:val="32"/>
        </w:rPr>
        <w:t>万元，其中：政府采购货物支出</w:t>
      </w:r>
      <w:r>
        <w:rPr>
          <w:rFonts w:hint="eastAsia" w:ascii="仿宋_GB2312" w:eastAsia="仿宋_GB2312" w:cs="仿宋_GB2312"/>
          <w:color w:val="000000"/>
          <w:sz w:val="32"/>
          <w:szCs w:val="32"/>
          <w:lang w:val="en-US" w:eastAsia="zh-CN"/>
        </w:rPr>
        <w:t>5.25</w:t>
      </w:r>
      <w:r>
        <w:rPr>
          <w:rFonts w:hint="eastAsia" w:ascii="仿宋_GB2312" w:eastAsia="仿宋_GB2312" w:cs="仿宋_GB2312"/>
          <w:color w:val="000000"/>
          <w:sz w:val="32"/>
          <w:szCs w:val="32"/>
        </w:rPr>
        <w:t>万元、政府采购工程支出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万元、政府采购服务支出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主要用于</w:t>
      </w:r>
      <w:r>
        <w:rPr>
          <w:rFonts w:hint="eastAsia" w:ascii="仿宋" w:hAnsi="仿宋" w:eastAsia="仿宋"/>
          <w:color w:val="000000"/>
          <w:sz w:val="32"/>
          <w:szCs w:val="32"/>
          <w:lang w:val="en-US" w:eastAsia="zh-CN"/>
        </w:rPr>
        <w:t>办公电脑、打印机等设备购置</w:t>
      </w:r>
      <w:r>
        <w:rPr>
          <w:rFonts w:hint="eastAsia" w:ascii="仿宋_GB2312" w:eastAsia="仿宋_GB2312" w:cs="仿宋_GB2312"/>
          <w:color w:val="000000"/>
          <w:sz w:val="32"/>
          <w:szCs w:val="32"/>
        </w:rPr>
        <w:t>。授予中小企业合同金额</w:t>
      </w:r>
      <w:r>
        <w:rPr>
          <w:rFonts w:hint="eastAsia" w:ascii="仿宋_GB2312" w:eastAsia="仿宋_GB2312" w:cs="仿宋_GB2312"/>
          <w:color w:val="000000"/>
          <w:sz w:val="32"/>
          <w:szCs w:val="32"/>
          <w:lang w:val="en-US" w:eastAsia="zh-CN"/>
        </w:rPr>
        <w:t>5.25</w:t>
      </w:r>
      <w:r>
        <w:rPr>
          <w:rFonts w:hint="eastAsia" w:ascii="仿宋_GB2312" w:eastAsia="仿宋_GB2312" w:cs="仿宋_GB2312"/>
          <w:color w:val="000000"/>
          <w:sz w:val="32"/>
          <w:szCs w:val="32"/>
        </w:rPr>
        <w:t>万元，占政府采购支出总额的</w:t>
      </w:r>
      <w:r>
        <w:rPr>
          <w:rFonts w:ascii="仿宋_GB2312" w:eastAsia="仿宋_GB2312" w:cs="仿宋_GB2312"/>
          <w:color w:val="000000"/>
          <w:sz w:val="32"/>
          <w:szCs w:val="32"/>
        </w:rPr>
        <w:t>0%</w:t>
      </w:r>
      <w:r>
        <w:rPr>
          <w:rFonts w:hint="eastAsia" w:ascii="仿宋_GB2312" w:eastAsia="仿宋_GB2312" w:cs="仿宋_GB2312"/>
          <w:color w:val="000000"/>
          <w:sz w:val="32"/>
          <w:szCs w:val="32"/>
        </w:rPr>
        <w:t>，其中：授予小微企业合同金额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万元，占政府采购支出总额的</w:t>
      </w:r>
      <w:r>
        <w:rPr>
          <w:rFonts w:ascii="仿宋_GB2312" w:eastAsia="仿宋_GB2312" w:cs="仿宋_GB2312"/>
          <w:color w:val="000000"/>
          <w:sz w:val="32"/>
          <w:szCs w:val="32"/>
        </w:rPr>
        <w:t>0%</w:t>
      </w:r>
      <w:r>
        <w:rPr>
          <w:rFonts w:hint="eastAsia" w:ascii="仿宋_GB2312" w:eastAsia="仿宋_GB2312" w:cs="仿宋_GB2312"/>
          <w:color w:val="000000"/>
          <w:sz w:val="32"/>
          <w:szCs w:val="32"/>
        </w:rPr>
        <w:t>。</w:t>
      </w:r>
    </w:p>
    <w:p w14:paraId="054340AC">
      <w:pPr>
        <w:spacing w:line="600" w:lineRule="exact"/>
        <w:ind w:firstLine="643" w:firstLineChars="200"/>
        <w:rPr>
          <w:rFonts w:ascii="仿宋" w:hAnsi="仿宋" w:eastAsia="仿宋"/>
          <w:b/>
          <w:bCs/>
          <w:sz w:val="32"/>
          <w:szCs w:val="32"/>
        </w:rPr>
      </w:pPr>
      <w:r>
        <w:rPr>
          <w:rFonts w:hint="eastAsia" w:ascii="仿宋" w:hAnsi="仿宋" w:eastAsia="仿宋" w:cs="仿宋"/>
          <w:b/>
          <w:bCs/>
          <w:sz w:val="32"/>
          <w:szCs w:val="32"/>
        </w:rPr>
        <w:t>（注：数据来源于财决附</w:t>
      </w:r>
      <w:r>
        <w:rPr>
          <w:rFonts w:ascii="仿宋" w:hAnsi="仿宋" w:eastAsia="仿宋" w:cs="仿宋"/>
          <w:b/>
          <w:bCs/>
          <w:sz w:val="32"/>
          <w:szCs w:val="32"/>
        </w:rPr>
        <w:t>03</w:t>
      </w:r>
      <w:r>
        <w:rPr>
          <w:rFonts w:hint="eastAsia" w:ascii="仿宋" w:hAnsi="仿宋" w:eastAsia="仿宋" w:cs="仿宋"/>
          <w:b/>
          <w:bCs/>
          <w:sz w:val="32"/>
          <w:szCs w:val="32"/>
        </w:rPr>
        <w:t>表）</w:t>
      </w:r>
    </w:p>
    <w:p w14:paraId="2A150337">
      <w:pPr>
        <w:autoSpaceDE w:val="0"/>
        <w:autoSpaceDN w:val="0"/>
        <w:adjustRightInd w:val="0"/>
        <w:spacing w:line="600" w:lineRule="exact"/>
        <w:ind w:firstLine="643" w:firstLineChars="200"/>
        <w:jc w:val="left"/>
        <w:outlineLvl w:val="2"/>
        <w:rPr>
          <w:rFonts w:ascii="仿宋" w:hAnsi="仿宋" w:eastAsia="仿宋"/>
          <w:b/>
          <w:bCs/>
          <w:color w:val="000000"/>
          <w:sz w:val="32"/>
          <w:szCs w:val="32"/>
        </w:rPr>
      </w:pPr>
      <w:bookmarkStart w:id="82" w:name="_Toc52180094"/>
      <w:bookmarkStart w:id="83" w:name="_Toc15377224"/>
      <w:r>
        <w:rPr>
          <w:rFonts w:hint="eastAsia" w:ascii="仿宋" w:hAnsi="仿宋" w:eastAsia="仿宋" w:cs="仿宋"/>
          <w:b/>
          <w:bCs/>
          <w:color w:val="000000"/>
          <w:sz w:val="32"/>
          <w:szCs w:val="32"/>
        </w:rPr>
        <w:t>（三）国有资产占有使用情况</w:t>
      </w:r>
      <w:bookmarkEnd w:id="82"/>
      <w:bookmarkEnd w:id="83"/>
    </w:p>
    <w:p w14:paraId="51EDD1B4">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s="仿宋_GB2312"/>
          <w:color w:val="000000"/>
          <w:sz w:val="32"/>
          <w:szCs w:val="32"/>
        </w:rPr>
        <w:t>截至</w:t>
      </w:r>
      <w:r>
        <w:rPr>
          <w:rFonts w:hint="eastAsia" w:ascii="仿宋_GB2312" w:eastAsia="仿宋_GB2312" w:cs="仿宋_GB2312"/>
          <w:color w:val="000000"/>
          <w:sz w:val="32"/>
          <w:szCs w:val="32"/>
          <w:lang w:eastAsia="zh-CN"/>
        </w:rPr>
        <w:t>2020</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w:t>
      </w:r>
      <w:r>
        <w:rPr>
          <w:rFonts w:ascii="仿宋_GB2312" w:eastAsia="仿宋_GB2312" w:cs="仿宋_GB2312"/>
          <w:color w:val="000000"/>
          <w:sz w:val="32"/>
          <w:szCs w:val="32"/>
        </w:rPr>
        <w:t>31</w:t>
      </w:r>
      <w:r>
        <w:rPr>
          <w:rFonts w:hint="eastAsia" w:ascii="仿宋_GB2312" w:eastAsia="仿宋_GB2312" w:cs="仿宋_GB2312"/>
          <w:color w:val="000000"/>
          <w:sz w:val="32"/>
          <w:szCs w:val="32"/>
        </w:rPr>
        <w:t>日，政法委共有车辆</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辆，其中：主要领导干部用车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辆、机要通信用车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辆、应急保障用车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辆、其他用车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单价</w:t>
      </w:r>
      <w:r>
        <w:rPr>
          <w:rFonts w:ascii="仿宋_GB2312" w:eastAsia="仿宋_GB2312" w:cs="仿宋_GB2312"/>
          <w:color w:val="000000"/>
          <w:sz w:val="32"/>
          <w:szCs w:val="32"/>
        </w:rPr>
        <w:t>50</w:t>
      </w:r>
      <w:r>
        <w:rPr>
          <w:rFonts w:hint="eastAsia" w:ascii="仿宋_GB2312" w:eastAsia="仿宋_GB2312" w:cs="仿宋_GB2312"/>
          <w:color w:val="000000"/>
          <w:sz w:val="32"/>
          <w:szCs w:val="32"/>
        </w:rPr>
        <w:t>万元以上通用设备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台（套），单价</w:t>
      </w:r>
      <w:r>
        <w:rPr>
          <w:rFonts w:ascii="仿宋_GB2312" w:eastAsia="仿宋_GB2312" w:cs="仿宋_GB2312"/>
          <w:color w:val="000000"/>
          <w:sz w:val="32"/>
          <w:szCs w:val="32"/>
        </w:rPr>
        <w:t>100</w:t>
      </w:r>
      <w:r>
        <w:rPr>
          <w:rFonts w:hint="eastAsia" w:ascii="仿宋_GB2312" w:eastAsia="仿宋_GB2312" w:cs="仿宋_GB2312"/>
          <w:color w:val="000000"/>
          <w:sz w:val="32"/>
          <w:szCs w:val="32"/>
        </w:rPr>
        <w:t>万元以上专用设备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w:t>
      </w:r>
    </w:p>
    <w:p w14:paraId="395D6776">
      <w:pPr>
        <w:autoSpaceDE w:val="0"/>
        <w:autoSpaceDN w:val="0"/>
        <w:adjustRightInd w:val="0"/>
        <w:spacing w:line="600" w:lineRule="exact"/>
        <w:jc w:val="left"/>
        <w:rPr>
          <w:rFonts w:ascii="仿宋" w:hAnsi="仿宋" w:eastAsia="仿宋"/>
          <w:b/>
          <w:bCs/>
          <w:sz w:val="32"/>
          <w:szCs w:val="32"/>
        </w:rPr>
      </w:pPr>
      <w:r>
        <w:rPr>
          <w:rFonts w:hint="eastAsia" w:ascii="仿宋" w:hAnsi="仿宋" w:eastAsia="仿宋" w:cs="仿宋"/>
          <w:b/>
          <w:bCs/>
          <w:sz w:val="32"/>
          <w:szCs w:val="32"/>
        </w:rPr>
        <w:t>（注：数据来源财决附</w:t>
      </w:r>
      <w:r>
        <w:rPr>
          <w:rFonts w:ascii="仿宋" w:hAnsi="仿宋" w:eastAsia="仿宋" w:cs="仿宋"/>
          <w:b/>
          <w:bCs/>
          <w:sz w:val="32"/>
          <w:szCs w:val="32"/>
        </w:rPr>
        <w:t>03</w:t>
      </w:r>
      <w:r>
        <w:rPr>
          <w:rFonts w:hint="eastAsia" w:ascii="仿宋" w:hAnsi="仿宋" w:eastAsia="仿宋" w:cs="仿宋"/>
          <w:b/>
          <w:bCs/>
          <w:sz w:val="32"/>
          <w:szCs w:val="32"/>
        </w:rPr>
        <w:t>表，按部门决算报表填报数据罗列车辆情况。）</w:t>
      </w:r>
    </w:p>
    <w:p w14:paraId="2BF46191">
      <w:pPr>
        <w:autoSpaceDE w:val="0"/>
        <w:autoSpaceDN w:val="0"/>
        <w:adjustRightInd w:val="0"/>
        <w:spacing w:line="600" w:lineRule="exact"/>
        <w:ind w:firstLine="643" w:firstLineChars="200"/>
        <w:jc w:val="left"/>
        <w:outlineLvl w:val="2"/>
        <w:rPr>
          <w:rFonts w:ascii="仿宋" w:hAnsi="仿宋" w:eastAsia="仿宋"/>
          <w:b/>
          <w:bCs/>
          <w:color w:val="000000"/>
          <w:sz w:val="32"/>
          <w:szCs w:val="32"/>
        </w:rPr>
      </w:pPr>
      <w:bookmarkStart w:id="84" w:name="_Toc52180095"/>
      <w:r>
        <w:rPr>
          <w:rFonts w:hint="eastAsia" w:ascii="仿宋" w:hAnsi="仿宋" w:eastAsia="仿宋" w:cs="仿宋"/>
          <w:b/>
          <w:bCs/>
          <w:color w:val="000000"/>
          <w:sz w:val="32"/>
          <w:szCs w:val="32"/>
        </w:rPr>
        <w:t>（四）预算绩效管理情况。</w:t>
      </w:r>
      <w:bookmarkEnd w:id="84"/>
    </w:p>
    <w:p w14:paraId="301146DA">
      <w:pPr>
        <w:spacing w:line="60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根据预算绩效管理要求，本部门（单位）在年初预算编制阶段，组织对</w:t>
      </w:r>
      <w:r>
        <w:rPr>
          <w:rFonts w:ascii="仿宋" w:hAnsi="仿宋" w:eastAsia="仿宋" w:cs="仿宋"/>
          <w:color w:val="000000"/>
          <w:sz w:val="32"/>
          <w:szCs w:val="32"/>
        </w:rPr>
        <w:t>2</w:t>
      </w:r>
      <w:r>
        <w:rPr>
          <w:rFonts w:hint="eastAsia" w:ascii="仿宋" w:hAnsi="仿宋" w:eastAsia="仿宋" w:cs="仿宋"/>
          <w:color w:val="000000"/>
          <w:sz w:val="32"/>
          <w:szCs w:val="32"/>
        </w:rPr>
        <w:t>项目开展了预算事前绩效评估，对</w:t>
      </w:r>
      <w:r>
        <w:rPr>
          <w:rFonts w:ascii="仿宋" w:hAnsi="仿宋" w:eastAsia="仿宋" w:cs="仿宋"/>
          <w:color w:val="000000"/>
          <w:sz w:val="32"/>
          <w:szCs w:val="32"/>
        </w:rPr>
        <w:t>2</w:t>
      </w:r>
      <w:r>
        <w:rPr>
          <w:rFonts w:hint="eastAsia" w:ascii="仿宋" w:hAnsi="仿宋" w:eastAsia="仿宋" w:cs="仿宋"/>
          <w:color w:val="000000"/>
          <w:sz w:val="32"/>
          <w:szCs w:val="32"/>
        </w:rPr>
        <w:t>个项目编制了绩效目标</w:t>
      </w:r>
      <w:r>
        <w:rPr>
          <w:rFonts w:hint="eastAsia" w:ascii="仿宋" w:hAnsi="仿宋" w:eastAsia="仿宋" w:cs="仿宋"/>
          <w:color w:val="000000"/>
          <w:sz w:val="32"/>
          <w:szCs w:val="32"/>
          <w:lang w:eastAsia="zh-CN"/>
        </w:rPr>
        <w:t>，在</w:t>
      </w:r>
      <w:r>
        <w:rPr>
          <w:rFonts w:hint="eastAsia" w:ascii="仿宋" w:hAnsi="仿宋" w:eastAsia="仿宋" w:cs="仿宋"/>
          <w:color w:val="000000"/>
          <w:sz w:val="32"/>
          <w:szCs w:val="32"/>
        </w:rPr>
        <w:t>预算执行过程中，选取</w:t>
      </w:r>
      <w:r>
        <w:rPr>
          <w:rFonts w:ascii="仿宋" w:hAnsi="仿宋" w:eastAsia="仿宋" w:cs="仿宋"/>
          <w:color w:val="000000"/>
          <w:sz w:val="32"/>
          <w:szCs w:val="32"/>
        </w:rPr>
        <w:t>2</w:t>
      </w:r>
      <w:r>
        <w:rPr>
          <w:rFonts w:hint="eastAsia" w:ascii="仿宋" w:hAnsi="仿宋" w:eastAsia="仿宋" w:cs="仿宋"/>
          <w:color w:val="000000"/>
          <w:sz w:val="32"/>
          <w:szCs w:val="32"/>
        </w:rPr>
        <w:t>个项目开展绩效监控，年终执行完毕后，对</w:t>
      </w:r>
      <w:r>
        <w:rPr>
          <w:rFonts w:ascii="仿宋" w:hAnsi="仿宋" w:eastAsia="仿宋" w:cs="仿宋"/>
          <w:color w:val="000000"/>
          <w:sz w:val="32"/>
          <w:szCs w:val="32"/>
        </w:rPr>
        <w:t>2</w:t>
      </w:r>
      <w:r>
        <w:rPr>
          <w:rFonts w:hint="eastAsia" w:ascii="仿宋" w:hAnsi="仿宋" w:eastAsia="仿宋" w:cs="仿宋"/>
          <w:color w:val="000000"/>
          <w:sz w:val="32"/>
          <w:szCs w:val="32"/>
        </w:rPr>
        <w:t>个项目开展了绩效目标完成情况自评。</w:t>
      </w:r>
    </w:p>
    <w:p w14:paraId="60137810">
      <w:pPr>
        <w:spacing w:line="60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本部门按要求对</w:t>
      </w:r>
      <w:r>
        <w:rPr>
          <w:rFonts w:hint="eastAsia" w:ascii="仿宋" w:hAnsi="仿宋" w:eastAsia="仿宋" w:cs="仿宋"/>
          <w:color w:val="000000"/>
          <w:sz w:val="32"/>
          <w:szCs w:val="32"/>
          <w:lang w:eastAsia="zh-CN"/>
        </w:rPr>
        <w:t>2020</w:t>
      </w:r>
      <w:r>
        <w:rPr>
          <w:rFonts w:hint="eastAsia" w:ascii="仿宋" w:hAnsi="仿宋" w:eastAsia="仿宋" w:cs="仿宋"/>
          <w:color w:val="000000"/>
          <w:sz w:val="32"/>
          <w:szCs w:val="32"/>
        </w:rPr>
        <w:t>年部门整体支出开展绩效自评，从评价情况来看预算项目都按照年初计划完成全部工作事项，并按相关要求撰写了对应的自查报告</w:t>
      </w:r>
    </w:p>
    <w:p w14:paraId="11182009">
      <w:pPr>
        <w:spacing w:line="580" w:lineRule="exact"/>
        <w:ind w:firstLine="640" w:firstLineChars="200"/>
        <w:rPr>
          <w:rFonts w:ascii="仿宋_GB2312" w:hAnsi="仿宋_GB2312" w:eastAsia="仿宋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r>
        <w:rPr>
          <w:rFonts w:ascii="楷体_GB2312" w:hAnsi="楷体_GB2312" w:eastAsia="楷体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年度部门决算中反映“扫黑除恶专项经费”“社会网格化专项经费”等</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个项目绩效目标实际完成情况。（本单位部门项目绩效目标个数在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个以上的，选取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个项目进行公开，目标个数在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个以下的，全部进行公开，公开内容包括选取的全部项目完成情况综述和完成情况表）。</w:t>
      </w:r>
    </w:p>
    <w:p w14:paraId="6BE88447">
      <w:pPr>
        <w:spacing w:line="580" w:lineRule="exact"/>
        <w:ind w:firstLine="640" w:firstLineChars="200"/>
        <w:rPr>
          <w:rFonts w:eastAsia="方正仿宋_GBK"/>
          <w:sz w:val="33"/>
          <w:szCs w:val="33"/>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）扫黑除恶专项经费项目绩效目标完成情况综述。项目全年预算数</w:t>
      </w:r>
      <w:r>
        <w:rPr>
          <w:rFonts w:hint="eastAsia" w:ascii="仿宋_GB2312" w:hAnsi="仿宋_GB2312" w:eastAsia="仿宋_GB2312" w:cs="仿宋_GB2312"/>
          <w:sz w:val="32"/>
          <w:szCs w:val="32"/>
          <w:lang w:val="en-US" w:eastAsia="zh-CN"/>
        </w:rPr>
        <w:t>18.66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18.66</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w:t>
      </w:r>
      <w:r>
        <w:rPr>
          <w:rFonts w:hint="eastAsia" w:eastAsia="方正仿宋_GBK" w:cs="方正仿宋_GBK"/>
          <w:sz w:val="33"/>
          <w:szCs w:val="33"/>
        </w:rPr>
        <w:t>紧紧围绕深挖根治年度目标，认真贯彻落实中央、省、市扫黑除恶专项斗争视频会议，深入推进综合治理、基层基础建设，开展黄赌毒和黑恶势力听之任之、失职失责甚至包庇纵容、充当</w:t>
      </w:r>
      <w:r>
        <w:rPr>
          <w:rFonts w:eastAsia="方正仿宋_GBK"/>
          <w:sz w:val="33"/>
          <w:szCs w:val="33"/>
        </w:rPr>
        <w:t>“</w:t>
      </w:r>
      <w:r>
        <w:rPr>
          <w:rFonts w:hint="eastAsia" w:eastAsia="方正仿宋_GBK" w:cs="方正仿宋_GBK"/>
          <w:sz w:val="33"/>
          <w:szCs w:val="33"/>
        </w:rPr>
        <w:t>保护伞</w:t>
      </w:r>
      <w:r>
        <w:rPr>
          <w:rFonts w:eastAsia="方正仿宋_GBK"/>
          <w:sz w:val="33"/>
          <w:szCs w:val="33"/>
        </w:rPr>
        <w:t>”</w:t>
      </w:r>
      <w:r>
        <w:rPr>
          <w:rFonts w:hint="eastAsia" w:eastAsia="方正仿宋_GBK" w:cs="方正仿宋_GBK"/>
          <w:sz w:val="33"/>
          <w:szCs w:val="33"/>
        </w:rPr>
        <w:t>专项整治，持续掀起了专项斗争强大攻。</w:t>
      </w:r>
    </w:p>
    <w:p w14:paraId="19454E4D">
      <w:pPr>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）社会网格化专项经费项目绩效目标完成情况综述。项目全年预算数</w:t>
      </w:r>
      <w:r>
        <w:rPr>
          <w:rFonts w:hint="eastAsia" w:ascii="仿宋_GB2312" w:hAnsi="仿宋_GB2312" w:eastAsia="仿宋_GB2312" w:cs="仿宋_GB2312"/>
          <w:sz w:val="32"/>
          <w:szCs w:val="32"/>
          <w:lang w:val="en-US" w:eastAsia="zh-CN"/>
        </w:rPr>
        <w:t>59.78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59.78</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w:t>
      </w:r>
      <w:r>
        <w:rPr>
          <w:rFonts w:hint="eastAsia" w:eastAsia="方正仿宋_GBK" w:cs="方正仿宋_GBK"/>
          <w:sz w:val="33"/>
          <w:szCs w:val="33"/>
        </w:rPr>
        <w:t>加强了对刑满释放人员、社区服刑人员、易肇事肇祸精神病患者、吸毒人群等重点人员的服务管控。加强了网格管理员队伍建设，充分发挥网格管理员的积极作用。</w:t>
      </w: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35C82D61">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28A7EAC9">
            <w:pPr>
              <w:widowControl/>
              <w:jc w:val="center"/>
              <w:textAlignment w:val="center"/>
              <w:rPr>
                <w:rFonts w:ascii="宋体"/>
                <w:color w:val="000000"/>
                <w:sz w:val="36"/>
                <w:szCs w:val="36"/>
              </w:rPr>
            </w:pPr>
            <w:r>
              <w:rPr>
                <w:rFonts w:hint="eastAsia" w:ascii="宋体" w:hAnsi="宋体" w:cs="宋体"/>
                <w:b/>
                <w:bCs/>
                <w:color w:val="000000"/>
                <w:kern w:val="0"/>
                <w:sz w:val="36"/>
                <w:szCs w:val="36"/>
              </w:rPr>
              <w:t>项目绩效目标完成情况表</w:t>
            </w:r>
            <w:r>
              <w:rPr>
                <w:rFonts w:ascii="宋体"/>
                <w:b/>
                <w:bCs/>
                <w:color w:val="000000"/>
                <w:kern w:val="0"/>
                <w:sz w:val="36"/>
                <w:szCs w:val="36"/>
              </w:rPr>
              <w:br w:type="textWrapping"/>
            </w:r>
            <w:r>
              <w:rPr>
                <w:rFonts w:ascii="宋体" w:hAnsi="宋体" w:cs="宋体"/>
                <w:color w:val="000000"/>
                <w:kern w:val="0"/>
                <w:sz w:val="36"/>
                <w:szCs w:val="36"/>
              </w:rPr>
              <w:t>(</w:t>
            </w:r>
            <w:r>
              <w:rPr>
                <w:rFonts w:hint="eastAsia" w:ascii="宋体" w:hAnsi="宋体" w:cs="宋体"/>
                <w:color w:val="000000"/>
                <w:kern w:val="0"/>
                <w:sz w:val="36"/>
                <w:szCs w:val="36"/>
                <w:lang w:eastAsia="zh-CN"/>
              </w:rPr>
              <w:t>2020</w:t>
            </w:r>
            <w:r>
              <w:rPr>
                <w:rFonts w:ascii="宋体" w:hAnsi="宋体" w:cs="宋体"/>
                <w:color w:val="000000"/>
                <w:kern w:val="0"/>
                <w:sz w:val="36"/>
                <w:szCs w:val="36"/>
              </w:rPr>
              <w:t xml:space="preserve"> </w:t>
            </w:r>
            <w:r>
              <w:rPr>
                <w:rFonts w:hint="eastAsia" w:ascii="宋体" w:hAnsi="宋体" w:cs="宋体"/>
                <w:color w:val="000000"/>
                <w:kern w:val="0"/>
                <w:sz w:val="36"/>
                <w:szCs w:val="36"/>
              </w:rPr>
              <w:t>年度</w:t>
            </w:r>
            <w:r>
              <w:rPr>
                <w:rFonts w:hint="eastAsia" w:ascii="宋体" w:hAnsi="宋体" w:cs="宋体"/>
                <w:color w:val="000000"/>
                <w:kern w:val="0"/>
                <w:sz w:val="36"/>
                <w:szCs w:val="36"/>
                <w:lang w:eastAsia="zh-CN"/>
              </w:rPr>
              <w:t>）</w:t>
            </w:r>
          </w:p>
        </w:tc>
      </w:tr>
      <w:tr w14:paraId="37F045C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D4D3A">
            <w:pPr>
              <w:widowControl/>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66180">
            <w:pPr>
              <w:widowControl/>
              <w:jc w:val="center"/>
              <w:textAlignment w:val="center"/>
              <w:rPr>
                <w:rFonts w:ascii="宋体"/>
                <w:color w:val="000000"/>
                <w:sz w:val="24"/>
                <w:szCs w:val="24"/>
              </w:rPr>
            </w:pPr>
            <w:r>
              <w:rPr>
                <w:rFonts w:hint="eastAsia" w:ascii="宋体" w:cs="宋体"/>
                <w:color w:val="000000"/>
                <w:sz w:val="24"/>
                <w:szCs w:val="24"/>
              </w:rPr>
              <w:t>扫黑除恶专项经费</w:t>
            </w:r>
          </w:p>
        </w:tc>
      </w:tr>
      <w:tr w14:paraId="03EBF251">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4C6E3">
            <w:pPr>
              <w:widowControl/>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F0058">
            <w:pPr>
              <w:widowControl/>
              <w:jc w:val="center"/>
              <w:textAlignment w:val="center"/>
              <w:rPr>
                <w:rFonts w:ascii="宋体"/>
                <w:color w:val="000000"/>
                <w:sz w:val="24"/>
                <w:szCs w:val="24"/>
              </w:rPr>
            </w:pPr>
            <w:r>
              <w:rPr>
                <w:rFonts w:hint="eastAsia" w:ascii="宋体" w:cs="宋体"/>
                <w:color w:val="000000"/>
                <w:sz w:val="24"/>
                <w:szCs w:val="24"/>
              </w:rPr>
              <w:t>盐边</w:t>
            </w:r>
            <w:r>
              <w:rPr>
                <w:rFonts w:hint="eastAsia" w:ascii="宋体" w:cs="宋体"/>
                <w:color w:val="000000"/>
                <w:sz w:val="24"/>
                <w:szCs w:val="24"/>
                <w:lang w:eastAsia="zh-CN"/>
              </w:rPr>
              <w:t>县委政法委</w:t>
            </w:r>
          </w:p>
        </w:tc>
      </w:tr>
      <w:tr w14:paraId="68EE4BD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CC80E">
            <w:pPr>
              <w:widowControl/>
              <w:jc w:val="center"/>
              <w:textAlignment w:val="center"/>
              <w:rPr>
                <w:rFonts w:ascii="宋体"/>
                <w:color w:val="000000"/>
                <w:sz w:val="24"/>
                <w:szCs w:val="24"/>
              </w:rPr>
            </w:pPr>
            <w:r>
              <w:rPr>
                <w:rFonts w:hint="eastAsia" w:ascii="宋体" w:hAnsi="宋体" w:cs="宋体"/>
                <w:color w:val="000000"/>
                <w:kern w:val="0"/>
                <w:sz w:val="24"/>
                <w:szCs w:val="24"/>
              </w:rPr>
              <w:t>预算执行情况</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万元</w:t>
            </w:r>
            <w:r>
              <w:rPr>
                <w:rFonts w:hint="eastAsia" w:ascii="宋体" w:hAnsi="宋体" w:cs="宋体"/>
                <w:color w:val="000000"/>
                <w:kern w:val="0"/>
                <w:sz w:val="24"/>
                <w:szCs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D5258">
            <w:pPr>
              <w:widowControl/>
              <w:jc w:val="center"/>
              <w:textAlignment w:val="center"/>
              <w:rPr>
                <w:rFonts w:ascii="宋体"/>
                <w:color w:val="000000"/>
                <w:sz w:val="24"/>
                <w:szCs w:val="24"/>
              </w:rPr>
            </w:pPr>
            <w:r>
              <w:rPr>
                <w:rFonts w:hint="eastAsia" w:ascii="宋体" w:hAnsi="宋体" w:cs="宋体"/>
                <w:color w:val="000000"/>
                <w:kern w:val="0"/>
                <w:sz w:val="24"/>
                <w:szCs w:val="24"/>
              </w:rPr>
              <w:t>预算数</w:t>
            </w:r>
            <w:r>
              <w:rPr>
                <w:rFonts w:hint="eastAsia" w:ascii="宋体" w:hAnsi="宋体" w:cs="宋体"/>
                <w:color w:val="000000"/>
                <w:kern w:val="0"/>
                <w:sz w:val="24"/>
                <w:szCs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F5BD9">
            <w:pPr>
              <w:widowControl/>
              <w:jc w:val="center"/>
              <w:textAlignment w:val="center"/>
              <w:rPr>
                <w:rFonts w:ascii="宋体"/>
                <w:color w:val="000000"/>
                <w:sz w:val="24"/>
                <w:szCs w:val="24"/>
              </w:rPr>
            </w:pPr>
            <w:r>
              <w:rPr>
                <w:rFonts w:hint="eastAsia" w:ascii="宋体" w:cs="宋体"/>
                <w:color w:val="000000"/>
                <w:sz w:val="24"/>
                <w:szCs w:val="24"/>
                <w:lang w:val="en-US" w:eastAsia="zh-CN"/>
              </w:rPr>
              <w:t>18.66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C73C9">
            <w:pPr>
              <w:widowControl/>
              <w:jc w:val="center"/>
              <w:textAlignment w:val="center"/>
              <w:rPr>
                <w:rFonts w:ascii="宋体"/>
                <w:color w:val="000000"/>
                <w:sz w:val="24"/>
                <w:szCs w:val="24"/>
              </w:rPr>
            </w:pPr>
            <w:r>
              <w:rPr>
                <w:rFonts w:hint="eastAsia" w:ascii="宋体" w:hAnsi="宋体" w:cs="宋体"/>
                <w:color w:val="000000"/>
                <w:kern w:val="0"/>
                <w:sz w:val="24"/>
                <w:szCs w:val="24"/>
              </w:rPr>
              <w:t>执行数</w:t>
            </w:r>
            <w:r>
              <w:rPr>
                <w:rFonts w:hint="eastAsia" w:ascii="宋体" w:hAnsi="宋体" w:cs="宋体"/>
                <w:color w:val="000000"/>
                <w:kern w:val="0"/>
                <w:sz w:val="24"/>
                <w:szCs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E1DCB">
            <w:pPr>
              <w:widowControl/>
              <w:jc w:val="center"/>
              <w:textAlignment w:val="center"/>
              <w:rPr>
                <w:rFonts w:hint="default" w:ascii="宋体" w:eastAsia="宋体"/>
                <w:color w:val="000000"/>
                <w:sz w:val="24"/>
                <w:szCs w:val="24"/>
                <w:lang w:val="en-US" w:eastAsia="zh-CN"/>
              </w:rPr>
            </w:pPr>
            <w:r>
              <w:rPr>
                <w:rFonts w:hint="eastAsia" w:ascii="宋体" w:cs="宋体"/>
                <w:color w:val="000000"/>
                <w:sz w:val="24"/>
                <w:szCs w:val="24"/>
                <w:lang w:val="en-US" w:eastAsia="zh-CN"/>
              </w:rPr>
              <w:t>18.66</w:t>
            </w:r>
          </w:p>
        </w:tc>
      </w:tr>
      <w:tr w14:paraId="44F444D4">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28970">
            <w:pPr>
              <w:jc w:val="center"/>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6B7DC">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财政拨款</w:t>
            </w:r>
            <w:r>
              <w:rPr>
                <w:rFonts w:hint="eastAsia" w:ascii="宋体" w:hAnsi="宋体" w:cs="宋体"/>
                <w:color w:val="000000"/>
                <w:kern w:val="0"/>
                <w:sz w:val="24"/>
                <w:szCs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EB86C">
            <w:pPr>
              <w:widowControl/>
              <w:jc w:val="center"/>
              <w:textAlignment w:val="center"/>
              <w:rPr>
                <w:rFonts w:hint="default" w:ascii="宋体" w:eastAsia="宋体"/>
                <w:color w:val="000000"/>
                <w:sz w:val="24"/>
                <w:szCs w:val="24"/>
                <w:lang w:val="en-US" w:eastAsia="zh-CN"/>
              </w:rPr>
            </w:pPr>
            <w:r>
              <w:rPr>
                <w:rFonts w:hint="eastAsia" w:ascii="宋体" w:cs="宋体"/>
                <w:color w:val="000000"/>
                <w:sz w:val="24"/>
                <w:szCs w:val="24"/>
                <w:lang w:val="en-US" w:eastAsia="zh-CN"/>
              </w:rPr>
              <w:t>18.66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61E1C">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财政拨款</w:t>
            </w:r>
            <w:r>
              <w:rPr>
                <w:rFonts w:hint="eastAsia" w:ascii="宋体" w:hAnsi="宋体" w:cs="宋体"/>
                <w:color w:val="000000"/>
                <w:kern w:val="0"/>
                <w:sz w:val="24"/>
                <w:szCs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669AB">
            <w:pPr>
              <w:widowControl/>
              <w:jc w:val="center"/>
              <w:textAlignment w:val="center"/>
              <w:rPr>
                <w:rFonts w:hint="default" w:ascii="宋体" w:eastAsia="宋体"/>
                <w:color w:val="000000"/>
                <w:sz w:val="24"/>
                <w:szCs w:val="24"/>
                <w:lang w:val="en-US" w:eastAsia="zh-CN"/>
              </w:rPr>
            </w:pPr>
            <w:r>
              <w:rPr>
                <w:rFonts w:hint="eastAsia" w:ascii="宋体" w:cs="宋体"/>
                <w:color w:val="000000"/>
                <w:sz w:val="24"/>
                <w:szCs w:val="24"/>
                <w:lang w:val="en-US" w:eastAsia="zh-CN"/>
              </w:rPr>
              <w:t>18.66</w:t>
            </w:r>
          </w:p>
        </w:tc>
      </w:tr>
      <w:tr w14:paraId="2C8596FE">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6357B">
            <w:pPr>
              <w:jc w:val="center"/>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9A41A">
            <w:pPr>
              <w:widowControl/>
              <w:jc w:val="center"/>
              <w:textAlignment w:val="center"/>
              <w:rPr>
                <w:rFonts w:ascii="宋体"/>
                <w:color w:val="000000"/>
                <w:sz w:val="24"/>
                <w:szCs w:val="24"/>
              </w:rPr>
            </w:pPr>
            <w:r>
              <w:rPr>
                <w:rFonts w:hint="eastAsia" w:ascii="宋体" w:hAnsi="宋体" w:cs="宋体"/>
                <w:color w:val="000000"/>
                <w:kern w:val="0"/>
                <w:sz w:val="24"/>
                <w:szCs w:val="24"/>
                <w:lang w:eastAsia="zh-CN"/>
              </w:rPr>
              <w:t>其他</w:t>
            </w:r>
            <w:r>
              <w:rPr>
                <w:rFonts w:hint="eastAsia" w:ascii="宋体" w:hAnsi="宋体" w:cs="宋体"/>
                <w:color w:val="000000"/>
                <w:kern w:val="0"/>
                <w:sz w:val="24"/>
                <w:szCs w:val="24"/>
              </w:rPr>
              <w:t>资金</w:t>
            </w:r>
            <w:r>
              <w:rPr>
                <w:rFonts w:hint="eastAsia" w:ascii="宋体" w:hAnsi="宋体" w:cs="宋体"/>
                <w:color w:val="000000"/>
                <w:kern w:val="0"/>
                <w:sz w:val="24"/>
                <w:szCs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9C066">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6C62A">
            <w:pPr>
              <w:widowControl/>
              <w:jc w:val="center"/>
              <w:textAlignment w:val="center"/>
              <w:rPr>
                <w:rFonts w:ascii="宋体"/>
                <w:color w:val="000000"/>
                <w:sz w:val="24"/>
                <w:szCs w:val="24"/>
              </w:rPr>
            </w:pPr>
            <w:r>
              <w:rPr>
                <w:rFonts w:hint="eastAsia" w:ascii="宋体" w:hAnsi="宋体" w:cs="宋体"/>
                <w:color w:val="000000"/>
                <w:kern w:val="0"/>
                <w:sz w:val="24"/>
                <w:szCs w:val="24"/>
                <w:lang w:eastAsia="zh-CN"/>
              </w:rPr>
              <w:t>其他</w:t>
            </w:r>
            <w:r>
              <w:rPr>
                <w:rFonts w:hint="eastAsia" w:ascii="宋体" w:hAnsi="宋体" w:cs="宋体"/>
                <w:color w:val="000000"/>
                <w:kern w:val="0"/>
                <w:sz w:val="24"/>
                <w:szCs w:val="24"/>
              </w:rPr>
              <w:t>资金</w:t>
            </w:r>
            <w:r>
              <w:rPr>
                <w:rFonts w:hint="eastAsia" w:ascii="宋体" w:hAnsi="宋体" w:cs="宋体"/>
                <w:color w:val="000000"/>
                <w:kern w:val="0"/>
                <w:sz w:val="24"/>
                <w:szCs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4B178">
            <w:pPr>
              <w:jc w:val="center"/>
              <w:rPr>
                <w:rFonts w:ascii="宋体"/>
                <w:color w:val="000000"/>
                <w:sz w:val="24"/>
                <w:szCs w:val="24"/>
              </w:rPr>
            </w:pPr>
          </w:p>
        </w:tc>
      </w:tr>
      <w:tr w14:paraId="559EEA2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D2451">
            <w:pPr>
              <w:widowControl/>
              <w:jc w:val="center"/>
              <w:textAlignment w:val="center"/>
              <w:rPr>
                <w:rFonts w:ascii="宋体"/>
                <w:color w:val="000000"/>
                <w:sz w:val="24"/>
                <w:szCs w:val="24"/>
              </w:rPr>
            </w:pPr>
            <w:r>
              <w:rPr>
                <w:rFonts w:hint="eastAsia" w:ascii="宋体" w:hAnsi="宋体" w:cs="宋体"/>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F53FE">
            <w:pPr>
              <w:widowControl/>
              <w:jc w:val="center"/>
              <w:textAlignment w:val="center"/>
              <w:rPr>
                <w:rFonts w:ascii="宋体"/>
                <w:color w:val="000000"/>
                <w:sz w:val="24"/>
                <w:szCs w:val="24"/>
              </w:rPr>
            </w:pPr>
            <w:r>
              <w:rPr>
                <w:rFonts w:hint="eastAsia" w:ascii="宋体" w:hAnsi="宋体" w:cs="宋体"/>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26621">
            <w:pPr>
              <w:widowControl/>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14:paraId="2AD1DF1B">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ED93E">
            <w:pPr>
              <w:jc w:val="center"/>
              <w:rPr>
                <w:rFonts w:ascii="宋体"/>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2F2B2">
            <w:pPr>
              <w:spacing w:line="580" w:lineRule="exact"/>
              <w:ind w:firstLine="480" w:firstLineChars="200"/>
              <w:rPr>
                <w:rFonts w:ascii="宋体" w:cs="宋体"/>
                <w:sz w:val="24"/>
                <w:szCs w:val="24"/>
              </w:rPr>
            </w:pPr>
            <w:r>
              <w:rPr>
                <w:rFonts w:hint="eastAsia" w:ascii="宋体" w:hAnsi="宋体" w:cs="宋体"/>
                <w:sz w:val="24"/>
                <w:szCs w:val="24"/>
              </w:rPr>
              <w:t>认真贯彻落实中央、省、市扫黑除恶专项斗争视频会议，深入推进综合治理、基层基础建设，开展黄赌毒和黑恶势力听之任之、失职失责甚至包庇纵容、充当</w:t>
            </w:r>
            <w:r>
              <w:rPr>
                <w:rFonts w:hint="eastAsia" w:ascii="宋体" w:cs="宋体"/>
                <w:sz w:val="24"/>
                <w:szCs w:val="24"/>
              </w:rPr>
              <w:t>“</w:t>
            </w:r>
            <w:r>
              <w:rPr>
                <w:rFonts w:hint="eastAsia" w:ascii="宋体" w:hAnsi="宋体" w:cs="宋体"/>
                <w:sz w:val="24"/>
                <w:szCs w:val="24"/>
              </w:rPr>
              <w:t>保护伞</w:t>
            </w:r>
            <w:r>
              <w:rPr>
                <w:rFonts w:hint="eastAsia" w:ascii="宋体" w:cs="宋体"/>
                <w:sz w:val="24"/>
                <w:szCs w:val="24"/>
              </w:rPr>
              <w:t>”</w:t>
            </w:r>
            <w:r>
              <w:rPr>
                <w:rFonts w:hint="eastAsia" w:ascii="宋体" w:hAnsi="宋体" w:cs="宋体"/>
                <w:sz w:val="24"/>
                <w:szCs w:val="24"/>
              </w:rPr>
              <w:t>专项整治，持续掀起了专项斗争强大攻。</w:t>
            </w:r>
          </w:p>
          <w:p w14:paraId="118FF74C">
            <w:pPr>
              <w:widowControl/>
              <w:jc w:val="center"/>
              <w:textAlignment w:val="center"/>
              <w:rPr>
                <w:rFonts w:ascii="宋体"/>
                <w:color w:val="000000"/>
                <w:sz w:val="24"/>
                <w:szCs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DC761">
            <w:pPr>
              <w:widowControl/>
              <w:jc w:val="center"/>
              <w:textAlignment w:val="center"/>
              <w:rPr>
                <w:rFonts w:ascii="宋体"/>
                <w:color w:val="000000"/>
                <w:sz w:val="24"/>
                <w:szCs w:val="24"/>
              </w:rPr>
            </w:pPr>
            <w:r>
              <w:rPr>
                <w:rFonts w:hint="eastAsia" w:ascii="宋体" w:cs="宋体"/>
                <w:color w:val="000000"/>
                <w:sz w:val="24"/>
                <w:szCs w:val="24"/>
              </w:rPr>
              <w:t>达到预期目标</w:t>
            </w:r>
          </w:p>
        </w:tc>
      </w:tr>
      <w:tr w14:paraId="1E708645">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1BDE667">
            <w:pPr>
              <w:widowControl/>
              <w:jc w:val="center"/>
              <w:textAlignment w:val="center"/>
              <w:rPr>
                <w:rFonts w:ascii="宋体"/>
                <w:color w:val="000000"/>
                <w:sz w:val="24"/>
                <w:szCs w:val="24"/>
              </w:rPr>
            </w:pPr>
            <w:r>
              <w:rPr>
                <w:rFonts w:hint="eastAsia" w:ascii="宋体" w:hAnsi="宋体" w:cs="宋体"/>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C4B80">
            <w:pPr>
              <w:widowControl/>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743BC3">
            <w:pPr>
              <w:widowControl/>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2F312">
            <w:pPr>
              <w:widowControl/>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826D1">
            <w:pPr>
              <w:widowControl/>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包含数字及文字描述</w:t>
            </w:r>
            <w:r>
              <w:rPr>
                <w:rFonts w:hint="eastAsia" w:ascii="宋体" w:hAnsi="宋体" w:cs="宋体"/>
                <w:color w:val="000000"/>
                <w:kern w:val="0"/>
                <w:sz w:val="24"/>
                <w:szCs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B65AE">
            <w:pPr>
              <w:widowControl/>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包含数字及文字描述</w:t>
            </w:r>
            <w:r>
              <w:rPr>
                <w:rFonts w:hint="eastAsia" w:ascii="宋体" w:hAnsi="宋体" w:cs="宋体"/>
                <w:color w:val="000000"/>
                <w:kern w:val="0"/>
                <w:sz w:val="24"/>
                <w:szCs w:val="24"/>
                <w:lang w:eastAsia="zh-CN"/>
              </w:rPr>
              <w:t>）</w:t>
            </w:r>
          </w:p>
        </w:tc>
      </w:tr>
      <w:tr w14:paraId="1D258838">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13DC8D1">
            <w:pPr>
              <w:widowControl/>
              <w:jc w:val="center"/>
              <w:textAlignment w:val="center"/>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0A58C">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D54B8">
            <w:pPr>
              <w:widowControl/>
              <w:jc w:val="center"/>
              <w:textAlignment w:val="center"/>
              <w:rPr>
                <w:rFonts w:ascii="宋体"/>
                <w:color w:val="000000"/>
                <w:sz w:val="24"/>
                <w:szCs w:val="24"/>
              </w:rPr>
            </w:pPr>
            <w:r>
              <w:rPr>
                <w:rFonts w:hint="eastAsia" w:ascii="宋体" w:cs="宋体"/>
                <w:color w:val="000000"/>
                <w:sz w:val="24"/>
                <w:szCs w:val="24"/>
              </w:rPr>
              <w:t>数量目标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B1916">
            <w:pPr>
              <w:widowControl/>
              <w:jc w:val="center"/>
              <w:textAlignment w:val="center"/>
              <w:rPr>
                <w:rFonts w:ascii="宋体"/>
                <w:color w:val="000000"/>
                <w:sz w:val="24"/>
                <w:szCs w:val="24"/>
              </w:rPr>
            </w:pPr>
            <w:r>
              <w:rPr>
                <w:rFonts w:hint="eastAsia" w:ascii="宋体" w:cs="宋体"/>
                <w:color w:val="000000"/>
                <w:sz w:val="24"/>
                <w:szCs w:val="24"/>
              </w:rPr>
              <w:t>有效打击黑社会性质团伙，严厉打击刑事犯罪，保护人民群众生命和财产安全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4B4EF">
            <w:pPr>
              <w:widowControl/>
              <w:jc w:val="center"/>
              <w:textAlignment w:val="center"/>
              <w:rPr>
                <w:rFonts w:ascii="宋体"/>
                <w:color w:val="000000"/>
                <w:sz w:val="24"/>
                <w:szCs w:val="24"/>
              </w:rPr>
            </w:pPr>
            <w:r>
              <w:rPr>
                <w:rFonts w:hint="eastAsia" w:ascii="宋体" w:cs="宋体"/>
                <w:color w:val="000000"/>
                <w:sz w:val="24"/>
                <w:szCs w:val="24"/>
              </w:rPr>
              <w:t>黑恶势力犯罪案件打击查处比率</w:t>
            </w:r>
            <w:r>
              <w:rPr>
                <w:rFonts w:ascii="宋体" w:cs="宋体"/>
                <w:color w:val="000000"/>
                <w:sz w:val="24"/>
                <w:szCs w:val="24"/>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12B0B">
            <w:pPr>
              <w:widowControl/>
              <w:jc w:val="center"/>
              <w:textAlignment w:val="center"/>
              <w:rPr>
                <w:rFonts w:ascii="宋体"/>
                <w:color w:val="000000"/>
                <w:sz w:val="24"/>
                <w:szCs w:val="24"/>
              </w:rPr>
            </w:pPr>
          </w:p>
        </w:tc>
      </w:tr>
      <w:tr w14:paraId="4553479B">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A129C14">
            <w:pPr>
              <w:widowControl/>
              <w:jc w:val="center"/>
              <w:textAlignment w:val="center"/>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60929">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B79FF">
            <w:pPr>
              <w:widowControl/>
              <w:jc w:val="center"/>
              <w:textAlignment w:val="center"/>
              <w:rPr>
                <w:rFonts w:ascii="宋体"/>
                <w:color w:val="000000"/>
                <w:sz w:val="24"/>
                <w:szCs w:val="24"/>
              </w:rPr>
            </w:pPr>
            <w:r>
              <w:rPr>
                <w:rFonts w:hint="eastAsia" w:ascii="宋体" w:cs="宋体"/>
                <w:color w:val="000000"/>
                <w:sz w:val="24"/>
                <w:szCs w:val="24"/>
              </w:rPr>
              <w:t>质量目标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B909C">
            <w:pPr>
              <w:widowControl/>
              <w:jc w:val="center"/>
              <w:textAlignment w:val="center"/>
              <w:rPr>
                <w:rFonts w:ascii="宋体"/>
                <w:color w:val="000000"/>
                <w:sz w:val="24"/>
                <w:szCs w:val="24"/>
              </w:rPr>
            </w:pPr>
            <w:r>
              <w:rPr>
                <w:rFonts w:hint="eastAsia" w:ascii="宋体" w:cs="宋体"/>
                <w:color w:val="000000"/>
                <w:sz w:val="24"/>
                <w:szCs w:val="24"/>
              </w:rPr>
              <w:t>及时发现、主动摸排黑恶势力犯罪线索</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D6D64">
            <w:pPr>
              <w:widowControl/>
              <w:jc w:val="center"/>
              <w:textAlignment w:val="center"/>
              <w:rPr>
                <w:rFonts w:ascii="宋体"/>
                <w:color w:val="000000"/>
                <w:sz w:val="24"/>
                <w:szCs w:val="24"/>
              </w:rPr>
            </w:pPr>
            <w:r>
              <w:rPr>
                <w:rFonts w:hint="eastAsia" w:ascii="宋体" w:cs="宋体"/>
                <w:color w:val="000000"/>
                <w:sz w:val="24"/>
                <w:szCs w:val="24"/>
              </w:rPr>
              <w:t>及时发现、主动摸排黑恶势力犯罪线索</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717BD">
            <w:pPr>
              <w:widowControl/>
              <w:jc w:val="center"/>
              <w:textAlignment w:val="center"/>
              <w:rPr>
                <w:rFonts w:ascii="宋体"/>
                <w:color w:val="000000"/>
                <w:sz w:val="24"/>
                <w:szCs w:val="24"/>
              </w:rPr>
            </w:pPr>
          </w:p>
        </w:tc>
      </w:tr>
      <w:tr w14:paraId="0A6E96AB">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2CC5468">
            <w:pPr>
              <w:widowControl/>
              <w:jc w:val="center"/>
              <w:textAlignment w:val="center"/>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06F10">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FFFF9">
            <w:pPr>
              <w:widowControl/>
              <w:jc w:val="center"/>
              <w:textAlignment w:val="center"/>
              <w:rPr>
                <w:rFonts w:ascii="宋体"/>
                <w:color w:val="000000"/>
                <w:sz w:val="24"/>
                <w:szCs w:val="24"/>
              </w:rPr>
            </w:pPr>
            <w:r>
              <w:rPr>
                <w:rFonts w:hint="eastAsia" w:ascii="宋体" w:cs="宋体"/>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EEC2C">
            <w:pPr>
              <w:widowControl/>
              <w:jc w:val="center"/>
              <w:textAlignment w:val="center"/>
              <w:rPr>
                <w:rFonts w:ascii="宋体"/>
                <w:color w:val="000000"/>
                <w:sz w:val="24"/>
                <w:szCs w:val="24"/>
              </w:rPr>
            </w:pPr>
            <w:r>
              <w:rPr>
                <w:rFonts w:hint="eastAsia" w:ascii="宋体" w:cs="宋体"/>
                <w:color w:val="000000"/>
                <w:sz w:val="24"/>
                <w:szCs w:val="24"/>
                <w:lang w:eastAsia="zh-CN"/>
              </w:rPr>
              <w:t>2020</w:t>
            </w:r>
            <w:r>
              <w:rPr>
                <w:rFonts w:hint="eastAsia" w:ascii="宋体" w:cs="宋体"/>
                <w:color w:val="000000"/>
                <w:sz w:val="24"/>
                <w:szCs w:val="24"/>
              </w:rPr>
              <w:t>年全年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08DAB">
            <w:pPr>
              <w:widowControl/>
              <w:jc w:val="center"/>
              <w:textAlignment w:val="center"/>
              <w:rPr>
                <w:rFonts w:ascii="宋体"/>
                <w:color w:val="000000"/>
                <w:sz w:val="24"/>
                <w:szCs w:val="24"/>
              </w:rPr>
            </w:pPr>
            <w:r>
              <w:rPr>
                <w:rFonts w:hint="eastAsia" w:ascii="宋体" w:cs="宋体"/>
                <w:color w:val="000000"/>
                <w:sz w:val="24"/>
                <w:szCs w:val="24"/>
                <w:lang w:eastAsia="zh-CN"/>
              </w:rPr>
              <w:t>2020</w:t>
            </w:r>
            <w:r>
              <w:rPr>
                <w:rFonts w:hint="eastAsia" w:ascii="宋体" w:cs="宋体"/>
                <w:color w:val="000000"/>
                <w:sz w:val="24"/>
                <w:szCs w:val="24"/>
              </w:rPr>
              <w:t>年全年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A2F9A">
            <w:pPr>
              <w:widowControl/>
              <w:jc w:val="center"/>
              <w:textAlignment w:val="center"/>
              <w:rPr>
                <w:rFonts w:ascii="宋体"/>
                <w:color w:val="000000"/>
                <w:sz w:val="24"/>
                <w:szCs w:val="24"/>
              </w:rPr>
            </w:pPr>
          </w:p>
        </w:tc>
      </w:tr>
      <w:tr w14:paraId="48DD3E8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01D19B6">
            <w:pPr>
              <w:widowControl/>
              <w:jc w:val="center"/>
              <w:textAlignment w:val="center"/>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6A168">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CC671">
            <w:pPr>
              <w:widowControl/>
              <w:jc w:val="center"/>
              <w:textAlignment w:val="center"/>
              <w:rPr>
                <w:rFonts w:ascii="宋体"/>
                <w:color w:val="000000"/>
                <w:sz w:val="24"/>
                <w:szCs w:val="24"/>
              </w:rPr>
            </w:pPr>
            <w:r>
              <w:rPr>
                <w:rFonts w:hint="eastAsia" w:ascii="宋体" w:cs="宋体"/>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123F3">
            <w:pPr>
              <w:widowControl/>
              <w:jc w:val="center"/>
              <w:textAlignment w:val="center"/>
              <w:rPr>
                <w:rFonts w:ascii="宋体"/>
                <w:color w:val="000000"/>
                <w:sz w:val="24"/>
                <w:szCs w:val="24"/>
              </w:rPr>
            </w:pPr>
            <w:r>
              <w:rPr>
                <w:rFonts w:hint="eastAsia" w:ascii="宋体" w:cs="宋体"/>
                <w:color w:val="000000"/>
                <w:sz w:val="24"/>
                <w:szCs w:val="24"/>
              </w:rPr>
              <w:t>专项经费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BFC77">
            <w:pPr>
              <w:widowControl/>
              <w:jc w:val="center"/>
              <w:textAlignment w:val="center"/>
              <w:rPr>
                <w:rFonts w:ascii="宋体"/>
                <w:color w:val="000000"/>
                <w:sz w:val="24"/>
                <w:szCs w:val="24"/>
              </w:rPr>
            </w:pPr>
            <w:r>
              <w:rPr>
                <w:rFonts w:hint="eastAsia" w:ascii="宋体" w:cs="宋体"/>
                <w:color w:val="000000"/>
                <w:sz w:val="24"/>
                <w:szCs w:val="24"/>
                <w:lang w:val="en-US" w:eastAsia="zh-CN"/>
              </w:rPr>
              <w:t>18.66</w:t>
            </w:r>
            <w:r>
              <w:rPr>
                <w:rFonts w:hint="eastAsia" w:ascii="宋体" w:cs="宋体"/>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02F10">
            <w:pPr>
              <w:widowControl/>
              <w:jc w:val="center"/>
              <w:textAlignment w:val="center"/>
              <w:rPr>
                <w:rFonts w:ascii="宋体"/>
                <w:color w:val="000000"/>
                <w:sz w:val="24"/>
                <w:szCs w:val="24"/>
              </w:rPr>
            </w:pPr>
          </w:p>
        </w:tc>
      </w:tr>
      <w:tr w14:paraId="0CD50C49">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CE12C4F">
            <w:pPr>
              <w:widowControl/>
              <w:jc w:val="center"/>
              <w:textAlignment w:val="center"/>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5FF49">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6087A">
            <w:pPr>
              <w:widowControl/>
              <w:jc w:val="center"/>
              <w:textAlignment w:val="center"/>
              <w:rPr>
                <w:rFonts w:ascii="宋体"/>
                <w:color w:val="000000"/>
                <w:sz w:val="24"/>
                <w:szCs w:val="24"/>
              </w:rPr>
            </w:pPr>
            <w:r>
              <w:rPr>
                <w:rFonts w:hint="eastAsia" w:ascii="宋体" w:cs="宋体"/>
                <w:color w:val="000000"/>
                <w:sz w:val="24"/>
                <w:szCs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7ED79">
            <w:pPr>
              <w:widowControl/>
              <w:jc w:val="center"/>
              <w:textAlignment w:val="center"/>
              <w:rPr>
                <w:rFonts w:ascii="宋体"/>
                <w:color w:val="000000"/>
                <w:sz w:val="24"/>
                <w:szCs w:val="24"/>
              </w:rPr>
            </w:pPr>
            <w:r>
              <w:rPr>
                <w:rFonts w:hint="eastAsia" w:ascii="宋体" w:cs="宋体"/>
                <w:color w:val="000000"/>
                <w:sz w:val="24"/>
                <w:szCs w:val="24"/>
              </w:rPr>
              <w:t>维护全县社会和政治稳定，进一步增强群众的安全感和满意度，全面提升政法机关工作效率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24BD5">
            <w:pPr>
              <w:widowControl/>
              <w:jc w:val="center"/>
              <w:textAlignment w:val="center"/>
              <w:rPr>
                <w:rFonts w:ascii="宋体"/>
                <w:color w:val="000000"/>
                <w:sz w:val="24"/>
                <w:szCs w:val="24"/>
              </w:rPr>
            </w:pPr>
            <w:r>
              <w:rPr>
                <w:rFonts w:hint="eastAsia" w:ascii="宋体" w:cs="宋体"/>
                <w:color w:val="000000"/>
                <w:sz w:val="24"/>
                <w:szCs w:val="24"/>
              </w:rPr>
              <w:t>维护全县社会和政治稳定，进一步增强群众的安全感和满意度，全面提升政法机关工作效率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A7BAB">
            <w:pPr>
              <w:widowControl/>
              <w:jc w:val="center"/>
              <w:textAlignment w:val="center"/>
              <w:rPr>
                <w:rFonts w:ascii="宋体"/>
                <w:color w:val="000000"/>
                <w:sz w:val="24"/>
                <w:szCs w:val="24"/>
              </w:rPr>
            </w:pPr>
          </w:p>
        </w:tc>
      </w:tr>
    </w:tbl>
    <w:p w14:paraId="49CA19AF">
      <w:pPr>
        <w:spacing w:line="580" w:lineRule="exact"/>
        <w:ind w:left="630"/>
        <w:rPr>
          <w:rFonts w:ascii="仿宋_GB2312" w:hAnsi="仿宋_GB2312" w:eastAsia="仿宋_GB2312"/>
          <w:sz w:val="32"/>
          <w:szCs w:val="32"/>
        </w:rPr>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5DEBD652">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3EFB70C5">
            <w:pPr>
              <w:widowControl/>
              <w:jc w:val="center"/>
              <w:textAlignment w:val="center"/>
              <w:rPr>
                <w:rFonts w:ascii="宋体"/>
                <w:color w:val="000000"/>
                <w:sz w:val="36"/>
                <w:szCs w:val="36"/>
              </w:rPr>
            </w:pPr>
            <w:r>
              <w:rPr>
                <w:rFonts w:hint="eastAsia" w:ascii="宋体" w:hAnsi="宋体" w:cs="宋体"/>
                <w:b/>
                <w:bCs/>
                <w:color w:val="000000"/>
                <w:kern w:val="0"/>
                <w:sz w:val="36"/>
                <w:szCs w:val="36"/>
              </w:rPr>
              <w:t>项目绩效目标完成情况表</w:t>
            </w:r>
            <w:r>
              <w:rPr>
                <w:rFonts w:ascii="宋体"/>
                <w:b/>
                <w:bCs/>
                <w:color w:val="000000"/>
                <w:kern w:val="0"/>
                <w:sz w:val="36"/>
                <w:szCs w:val="36"/>
              </w:rPr>
              <w:br w:type="textWrapping"/>
            </w:r>
            <w:r>
              <w:rPr>
                <w:rFonts w:ascii="宋体" w:hAnsi="宋体" w:cs="宋体"/>
                <w:color w:val="000000"/>
                <w:kern w:val="0"/>
                <w:sz w:val="36"/>
                <w:szCs w:val="36"/>
              </w:rPr>
              <w:t>(</w:t>
            </w:r>
            <w:r>
              <w:rPr>
                <w:rFonts w:hint="eastAsia" w:ascii="宋体" w:hAnsi="宋体" w:cs="宋体"/>
                <w:color w:val="000000"/>
                <w:kern w:val="0"/>
                <w:sz w:val="36"/>
                <w:szCs w:val="36"/>
                <w:lang w:eastAsia="zh-CN"/>
              </w:rPr>
              <w:t>2020</w:t>
            </w:r>
            <w:r>
              <w:rPr>
                <w:rFonts w:ascii="宋体" w:hAnsi="宋体" w:cs="宋体"/>
                <w:color w:val="000000"/>
                <w:kern w:val="0"/>
                <w:sz w:val="36"/>
                <w:szCs w:val="36"/>
              </w:rPr>
              <w:t xml:space="preserve"> </w:t>
            </w:r>
            <w:r>
              <w:rPr>
                <w:rFonts w:hint="eastAsia" w:ascii="宋体" w:hAnsi="宋体" w:cs="宋体"/>
                <w:color w:val="000000"/>
                <w:kern w:val="0"/>
                <w:sz w:val="36"/>
                <w:szCs w:val="36"/>
              </w:rPr>
              <w:t>年度</w:t>
            </w:r>
            <w:r>
              <w:rPr>
                <w:rFonts w:hint="eastAsia" w:ascii="宋体" w:hAnsi="宋体" w:cs="宋体"/>
                <w:color w:val="000000"/>
                <w:kern w:val="0"/>
                <w:sz w:val="36"/>
                <w:szCs w:val="36"/>
                <w:lang w:eastAsia="zh-CN"/>
              </w:rPr>
              <w:t>）</w:t>
            </w:r>
          </w:p>
        </w:tc>
      </w:tr>
      <w:tr w14:paraId="63A8C4A2">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270FA">
            <w:pPr>
              <w:widowControl/>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A3223">
            <w:pPr>
              <w:widowControl/>
              <w:jc w:val="center"/>
              <w:textAlignment w:val="center"/>
              <w:rPr>
                <w:rFonts w:ascii="宋体"/>
                <w:color w:val="000000"/>
                <w:sz w:val="24"/>
                <w:szCs w:val="24"/>
              </w:rPr>
            </w:pPr>
            <w:r>
              <w:rPr>
                <w:rFonts w:hint="eastAsia" w:ascii="宋体" w:cs="宋体"/>
                <w:color w:val="000000"/>
                <w:sz w:val="24"/>
                <w:szCs w:val="24"/>
              </w:rPr>
              <w:t>社会网格化专项经费</w:t>
            </w:r>
          </w:p>
        </w:tc>
      </w:tr>
      <w:tr w14:paraId="24FB1BA4">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59F7F">
            <w:pPr>
              <w:widowControl/>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0098E">
            <w:pPr>
              <w:widowControl/>
              <w:jc w:val="center"/>
              <w:textAlignment w:val="center"/>
              <w:rPr>
                <w:rFonts w:ascii="宋体"/>
                <w:color w:val="000000"/>
                <w:sz w:val="24"/>
                <w:szCs w:val="24"/>
              </w:rPr>
            </w:pPr>
            <w:r>
              <w:rPr>
                <w:rFonts w:hint="eastAsia" w:ascii="宋体" w:cs="宋体"/>
                <w:color w:val="000000"/>
                <w:sz w:val="24"/>
                <w:szCs w:val="24"/>
              </w:rPr>
              <w:t>盐边</w:t>
            </w:r>
            <w:r>
              <w:rPr>
                <w:rFonts w:hint="eastAsia" w:ascii="宋体" w:cs="宋体"/>
                <w:color w:val="000000"/>
                <w:sz w:val="24"/>
                <w:szCs w:val="24"/>
                <w:lang w:eastAsia="zh-CN"/>
              </w:rPr>
              <w:t>县委政法委</w:t>
            </w:r>
          </w:p>
        </w:tc>
      </w:tr>
      <w:tr w14:paraId="4E9689EF">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BA320">
            <w:pPr>
              <w:widowControl/>
              <w:jc w:val="center"/>
              <w:textAlignment w:val="center"/>
              <w:rPr>
                <w:rFonts w:ascii="宋体"/>
                <w:color w:val="000000"/>
                <w:sz w:val="24"/>
                <w:szCs w:val="24"/>
              </w:rPr>
            </w:pPr>
            <w:r>
              <w:rPr>
                <w:rFonts w:hint="eastAsia" w:ascii="宋体" w:hAnsi="宋体" w:cs="宋体"/>
                <w:color w:val="000000"/>
                <w:kern w:val="0"/>
                <w:sz w:val="24"/>
                <w:szCs w:val="24"/>
              </w:rPr>
              <w:t>预算执行情况</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万元</w:t>
            </w:r>
            <w:r>
              <w:rPr>
                <w:rFonts w:hint="eastAsia" w:ascii="宋体" w:hAnsi="宋体" w:cs="宋体"/>
                <w:color w:val="000000"/>
                <w:kern w:val="0"/>
                <w:sz w:val="24"/>
                <w:szCs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1B995">
            <w:pPr>
              <w:widowControl/>
              <w:jc w:val="center"/>
              <w:textAlignment w:val="center"/>
              <w:rPr>
                <w:rFonts w:ascii="宋体"/>
                <w:color w:val="000000"/>
                <w:sz w:val="24"/>
                <w:szCs w:val="24"/>
              </w:rPr>
            </w:pPr>
            <w:r>
              <w:rPr>
                <w:rFonts w:hint="eastAsia" w:ascii="宋体" w:hAnsi="宋体" w:cs="宋体"/>
                <w:color w:val="000000"/>
                <w:kern w:val="0"/>
                <w:sz w:val="24"/>
                <w:szCs w:val="24"/>
              </w:rPr>
              <w:t>预算数</w:t>
            </w:r>
            <w:r>
              <w:rPr>
                <w:rFonts w:hint="eastAsia" w:ascii="宋体" w:hAnsi="宋体" w:cs="宋体"/>
                <w:color w:val="000000"/>
                <w:kern w:val="0"/>
                <w:sz w:val="24"/>
                <w:szCs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6091E2">
            <w:pPr>
              <w:widowControl/>
              <w:jc w:val="center"/>
              <w:textAlignment w:val="center"/>
              <w:rPr>
                <w:rFonts w:hint="default" w:ascii="宋体" w:eastAsia="宋体"/>
                <w:color w:val="000000"/>
                <w:sz w:val="24"/>
                <w:szCs w:val="24"/>
                <w:lang w:val="en-US" w:eastAsia="zh-CN"/>
              </w:rPr>
            </w:pPr>
            <w:r>
              <w:rPr>
                <w:rFonts w:hint="eastAsia" w:ascii="宋体" w:cs="宋体"/>
                <w:color w:val="000000"/>
                <w:sz w:val="24"/>
                <w:szCs w:val="24"/>
                <w:lang w:val="en-US" w:eastAsia="zh-CN"/>
              </w:rPr>
              <w:t>59.78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057AF">
            <w:pPr>
              <w:widowControl/>
              <w:jc w:val="center"/>
              <w:textAlignment w:val="center"/>
              <w:rPr>
                <w:rFonts w:ascii="宋体"/>
                <w:color w:val="000000"/>
                <w:sz w:val="24"/>
                <w:szCs w:val="24"/>
              </w:rPr>
            </w:pPr>
            <w:r>
              <w:rPr>
                <w:rFonts w:hint="eastAsia" w:ascii="宋体" w:hAnsi="宋体" w:cs="宋体"/>
                <w:color w:val="000000"/>
                <w:kern w:val="0"/>
                <w:sz w:val="24"/>
                <w:szCs w:val="24"/>
              </w:rPr>
              <w:t>执行数</w:t>
            </w:r>
            <w:r>
              <w:rPr>
                <w:rFonts w:hint="eastAsia" w:ascii="宋体" w:hAnsi="宋体" w:cs="宋体"/>
                <w:color w:val="000000"/>
                <w:kern w:val="0"/>
                <w:sz w:val="24"/>
                <w:szCs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D09B1">
            <w:pPr>
              <w:widowControl/>
              <w:jc w:val="center"/>
              <w:textAlignment w:val="center"/>
              <w:rPr>
                <w:rFonts w:hint="default" w:ascii="宋体" w:eastAsia="宋体"/>
                <w:color w:val="000000"/>
                <w:sz w:val="24"/>
                <w:szCs w:val="24"/>
                <w:lang w:val="en-US" w:eastAsia="zh-CN"/>
              </w:rPr>
            </w:pPr>
            <w:r>
              <w:rPr>
                <w:rFonts w:hint="eastAsia" w:ascii="宋体" w:cs="宋体"/>
                <w:color w:val="000000"/>
                <w:sz w:val="24"/>
                <w:szCs w:val="24"/>
                <w:lang w:val="en-US" w:eastAsia="zh-CN"/>
              </w:rPr>
              <w:t>59.78</w:t>
            </w:r>
          </w:p>
        </w:tc>
      </w:tr>
      <w:tr w14:paraId="312BA7C4">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A2A19">
            <w:pPr>
              <w:jc w:val="center"/>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BC00C">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财政拨款</w:t>
            </w:r>
            <w:r>
              <w:rPr>
                <w:rFonts w:hint="eastAsia" w:ascii="宋体" w:hAnsi="宋体" w:cs="宋体"/>
                <w:color w:val="000000"/>
                <w:kern w:val="0"/>
                <w:sz w:val="24"/>
                <w:szCs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D754D">
            <w:pPr>
              <w:widowControl/>
              <w:jc w:val="center"/>
              <w:textAlignment w:val="center"/>
              <w:rPr>
                <w:rFonts w:hint="default" w:ascii="宋体" w:eastAsia="宋体"/>
                <w:color w:val="000000"/>
                <w:sz w:val="24"/>
                <w:szCs w:val="24"/>
                <w:lang w:val="en-US" w:eastAsia="zh-CN"/>
              </w:rPr>
            </w:pPr>
            <w:r>
              <w:rPr>
                <w:rFonts w:hint="eastAsia" w:ascii="宋体" w:cs="宋体"/>
                <w:color w:val="000000"/>
                <w:sz w:val="24"/>
                <w:szCs w:val="24"/>
                <w:lang w:val="en-US" w:eastAsia="zh-CN"/>
              </w:rPr>
              <w:t>59.78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F6ECF">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财政拨款</w:t>
            </w:r>
            <w:r>
              <w:rPr>
                <w:rFonts w:hint="eastAsia" w:ascii="宋体" w:hAnsi="宋体" w:cs="宋体"/>
                <w:color w:val="000000"/>
                <w:kern w:val="0"/>
                <w:sz w:val="24"/>
                <w:szCs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BCBF6">
            <w:pPr>
              <w:widowControl/>
              <w:jc w:val="center"/>
              <w:textAlignment w:val="center"/>
              <w:rPr>
                <w:rFonts w:hint="default" w:ascii="宋体" w:eastAsia="宋体"/>
                <w:color w:val="000000"/>
                <w:sz w:val="24"/>
                <w:szCs w:val="24"/>
                <w:lang w:val="en-US" w:eastAsia="zh-CN"/>
              </w:rPr>
            </w:pPr>
            <w:r>
              <w:rPr>
                <w:rFonts w:hint="eastAsia" w:ascii="宋体" w:cs="宋体"/>
                <w:color w:val="000000"/>
                <w:sz w:val="24"/>
                <w:szCs w:val="24"/>
                <w:lang w:val="en-US" w:eastAsia="zh-CN"/>
              </w:rPr>
              <w:t>59.78</w:t>
            </w:r>
          </w:p>
        </w:tc>
      </w:tr>
      <w:tr w14:paraId="56CD7BEA">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920D9">
            <w:pPr>
              <w:jc w:val="center"/>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89E29">
            <w:pPr>
              <w:widowControl/>
              <w:jc w:val="center"/>
              <w:textAlignment w:val="center"/>
              <w:rPr>
                <w:rFonts w:ascii="宋体"/>
                <w:color w:val="000000"/>
                <w:sz w:val="24"/>
                <w:szCs w:val="24"/>
              </w:rPr>
            </w:pPr>
            <w:r>
              <w:rPr>
                <w:rFonts w:hint="eastAsia" w:ascii="宋体" w:hAnsi="宋体" w:cs="宋体"/>
                <w:color w:val="000000"/>
                <w:kern w:val="0"/>
                <w:sz w:val="24"/>
                <w:szCs w:val="24"/>
                <w:lang w:eastAsia="zh-CN"/>
              </w:rPr>
              <w:t>其他</w:t>
            </w:r>
            <w:r>
              <w:rPr>
                <w:rFonts w:hint="eastAsia" w:ascii="宋体" w:hAnsi="宋体" w:cs="宋体"/>
                <w:color w:val="000000"/>
                <w:kern w:val="0"/>
                <w:sz w:val="24"/>
                <w:szCs w:val="24"/>
              </w:rPr>
              <w:t>资金</w:t>
            </w:r>
            <w:r>
              <w:rPr>
                <w:rFonts w:hint="eastAsia" w:ascii="宋体" w:hAnsi="宋体" w:cs="宋体"/>
                <w:color w:val="000000"/>
                <w:kern w:val="0"/>
                <w:sz w:val="24"/>
                <w:szCs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E08AB">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C11F6">
            <w:pPr>
              <w:widowControl/>
              <w:jc w:val="center"/>
              <w:textAlignment w:val="center"/>
              <w:rPr>
                <w:rFonts w:ascii="宋体"/>
                <w:color w:val="000000"/>
                <w:sz w:val="24"/>
                <w:szCs w:val="24"/>
              </w:rPr>
            </w:pPr>
            <w:r>
              <w:rPr>
                <w:rFonts w:hint="eastAsia" w:ascii="宋体" w:hAnsi="宋体" w:cs="宋体"/>
                <w:color w:val="000000"/>
                <w:kern w:val="0"/>
                <w:sz w:val="24"/>
                <w:szCs w:val="24"/>
                <w:lang w:eastAsia="zh-CN"/>
              </w:rPr>
              <w:t>其他</w:t>
            </w:r>
            <w:r>
              <w:rPr>
                <w:rFonts w:hint="eastAsia" w:ascii="宋体" w:hAnsi="宋体" w:cs="宋体"/>
                <w:color w:val="000000"/>
                <w:kern w:val="0"/>
                <w:sz w:val="24"/>
                <w:szCs w:val="24"/>
              </w:rPr>
              <w:t>资金</w:t>
            </w:r>
            <w:r>
              <w:rPr>
                <w:rFonts w:hint="eastAsia" w:ascii="宋体" w:hAnsi="宋体" w:cs="宋体"/>
                <w:color w:val="000000"/>
                <w:kern w:val="0"/>
                <w:sz w:val="24"/>
                <w:szCs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90C98">
            <w:pPr>
              <w:jc w:val="center"/>
              <w:rPr>
                <w:rFonts w:ascii="宋体"/>
                <w:color w:val="000000"/>
                <w:sz w:val="24"/>
                <w:szCs w:val="24"/>
              </w:rPr>
            </w:pPr>
          </w:p>
        </w:tc>
      </w:tr>
      <w:tr w14:paraId="4308D728">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E62CF">
            <w:pPr>
              <w:widowControl/>
              <w:jc w:val="center"/>
              <w:textAlignment w:val="center"/>
              <w:rPr>
                <w:rFonts w:ascii="宋体"/>
                <w:color w:val="000000"/>
                <w:sz w:val="24"/>
                <w:szCs w:val="24"/>
              </w:rPr>
            </w:pPr>
            <w:r>
              <w:rPr>
                <w:rFonts w:hint="eastAsia" w:ascii="宋体" w:hAnsi="宋体" w:cs="宋体"/>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52CE2">
            <w:pPr>
              <w:widowControl/>
              <w:jc w:val="center"/>
              <w:textAlignment w:val="center"/>
              <w:rPr>
                <w:rFonts w:ascii="宋体"/>
                <w:color w:val="000000"/>
                <w:sz w:val="24"/>
                <w:szCs w:val="24"/>
              </w:rPr>
            </w:pPr>
            <w:r>
              <w:rPr>
                <w:rFonts w:hint="eastAsia" w:ascii="宋体" w:hAnsi="宋体" w:cs="宋体"/>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289FC">
            <w:pPr>
              <w:widowControl/>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14:paraId="5384D31D">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3462E">
            <w:pPr>
              <w:jc w:val="center"/>
              <w:rPr>
                <w:rFonts w:ascii="宋体"/>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F8E52">
            <w:pPr>
              <w:spacing w:line="580" w:lineRule="exact"/>
              <w:ind w:firstLine="480" w:firstLineChars="200"/>
              <w:rPr>
                <w:rFonts w:ascii="宋体" w:cs="宋体"/>
                <w:sz w:val="24"/>
                <w:szCs w:val="24"/>
              </w:rPr>
            </w:pPr>
            <w:r>
              <w:rPr>
                <w:rFonts w:hint="eastAsia" w:ascii="宋体" w:hAnsi="宋体" w:cs="宋体"/>
                <w:sz w:val="24"/>
                <w:szCs w:val="24"/>
              </w:rPr>
              <w:t>加强对刑满释放人员、社区服刑人员、易肇事肇祸精神病患者、吸毒人群等重点人员的服务管控。加强网格管理员队伍建设，充分发挥网格管理员的积极作用。</w:t>
            </w:r>
          </w:p>
          <w:p w14:paraId="095FF1FF">
            <w:pPr>
              <w:widowControl/>
              <w:jc w:val="center"/>
              <w:textAlignment w:val="center"/>
              <w:rPr>
                <w:rFonts w:ascii="宋体"/>
                <w:color w:val="000000"/>
                <w:sz w:val="24"/>
                <w:szCs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A0724">
            <w:pPr>
              <w:widowControl/>
              <w:jc w:val="center"/>
              <w:textAlignment w:val="center"/>
              <w:rPr>
                <w:rFonts w:ascii="宋体"/>
                <w:color w:val="000000"/>
                <w:sz w:val="24"/>
                <w:szCs w:val="24"/>
              </w:rPr>
            </w:pPr>
            <w:r>
              <w:rPr>
                <w:rFonts w:hint="eastAsia" w:ascii="宋体" w:cs="宋体"/>
                <w:color w:val="000000"/>
                <w:sz w:val="24"/>
                <w:szCs w:val="24"/>
              </w:rPr>
              <w:t>达到预期目标</w:t>
            </w:r>
          </w:p>
        </w:tc>
      </w:tr>
      <w:tr w14:paraId="42A35E08">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EC60A52">
            <w:pPr>
              <w:widowControl/>
              <w:jc w:val="center"/>
              <w:textAlignment w:val="center"/>
              <w:rPr>
                <w:rFonts w:ascii="宋体"/>
                <w:color w:val="000000"/>
                <w:sz w:val="24"/>
                <w:szCs w:val="24"/>
              </w:rPr>
            </w:pPr>
            <w:r>
              <w:rPr>
                <w:rFonts w:hint="eastAsia" w:ascii="宋体" w:hAnsi="宋体" w:cs="宋体"/>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0D46F">
            <w:pPr>
              <w:widowControl/>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3086A">
            <w:pPr>
              <w:widowControl/>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5C605">
            <w:pPr>
              <w:widowControl/>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DBF8D">
            <w:pPr>
              <w:widowControl/>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包含数字及文字描述</w:t>
            </w:r>
            <w:r>
              <w:rPr>
                <w:rFonts w:hint="eastAsia" w:ascii="宋体" w:hAnsi="宋体" w:cs="宋体"/>
                <w:color w:val="000000"/>
                <w:kern w:val="0"/>
                <w:sz w:val="24"/>
                <w:szCs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64ADE">
            <w:pPr>
              <w:widowControl/>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包含数字及文字描述</w:t>
            </w:r>
            <w:r>
              <w:rPr>
                <w:rFonts w:hint="eastAsia" w:ascii="宋体" w:hAnsi="宋体" w:cs="宋体"/>
                <w:color w:val="000000"/>
                <w:kern w:val="0"/>
                <w:sz w:val="24"/>
                <w:szCs w:val="24"/>
                <w:lang w:eastAsia="zh-CN"/>
              </w:rPr>
              <w:t>）</w:t>
            </w:r>
          </w:p>
        </w:tc>
      </w:tr>
      <w:tr w14:paraId="2F9CC55F">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414703B">
            <w:pPr>
              <w:widowControl/>
              <w:jc w:val="center"/>
              <w:textAlignment w:val="center"/>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8C7D9">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52464">
            <w:pPr>
              <w:widowControl/>
              <w:jc w:val="center"/>
              <w:textAlignment w:val="center"/>
              <w:rPr>
                <w:rFonts w:ascii="宋体"/>
                <w:color w:val="000000"/>
                <w:sz w:val="24"/>
                <w:szCs w:val="24"/>
              </w:rPr>
            </w:pPr>
            <w:r>
              <w:rPr>
                <w:rFonts w:hint="eastAsia" w:ascii="宋体" w:cs="宋体"/>
                <w:color w:val="000000"/>
                <w:sz w:val="24"/>
                <w:szCs w:val="24"/>
              </w:rPr>
              <w:t>数量目标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FF490">
            <w:pPr>
              <w:widowControl/>
              <w:jc w:val="center"/>
              <w:textAlignment w:val="center"/>
              <w:rPr>
                <w:rFonts w:ascii="宋体" w:cs="宋体"/>
                <w:color w:val="000000"/>
                <w:sz w:val="24"/>
                <w:szCs w:val="24"/>
              </w:rPr>
            </w:pPr>
            <w:r>
              <w:rPr>
                <w:rFonts w:hint="eastAsia" w:ascii="宋体" w:hAnsi="宋体" w:cs="宋体"/>
                <w:sz w:val="24"/>
                <w:szCs w:val="24"/>
              </w:rPr>
              <w:t>加强网格员培训今年以来县委政法委组织网格员和乡（镇）综治办工作人员进行了集中培训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EF4E8">
            <w:pPr>
              <w:widowControl/>
              <w:jc w:val="center"/>
              <w:textAlignment w:val="center"/>
              <w:rPr>
                <w:rFonts w:ascii="宋体" w:cs="宋体"/>
                <w:color w:val="000000"/>
                <w:sz w:val="24"/>
                <w:szCs w:val="24"/>
              </w:rPr>
            </w:pPr>
            <w:r>
              <w:rPr>
                <w:rFonts w:hint="eastAsia" w:ascii="宋体" w:hAnsi="宋体" w:cs="宋体"/>
                <w:sz w:val="24"/>
                <w:szCs w:val="24"/>
              </w:rPr>
              <w:t>大大提高了网格员和乡（镇）综治办工作人员的业务能力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FD95B">
            <w:pPr>
              <w:widowControl/>
              <w:jc w:val="center"/>
              <w:textAlignment w:val="center"/>
              <w:rPr>
                <w:rFonts w:ascii="宋体"/>
                <w:color w:val="000000"/>
                <w:sz w:val="24"/>
                <w:szCs w:val="24"/>
              </w:rPr>
            </w:pPr>
          </w:p>
        </w:tc>
      </w:tr>
      <w:tr w14:paraId="686035CA">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E66F025">
            <w:pPr>
              <w:widowControl/>
              <w:jc w:val="center"/>
              <w:textAlignment w:val="center"/>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A008B">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31DC8">
            <w:pPr>
              <w:widowControl/>
              <w:jc w:val="center"/>
              <w:textAlignment w:val="center"/>
              <w:rPr>
                <w:rFonts w:ascii="宋体"/>
                <w:color w:val="000000"/>
                <w:sz w:val="24"/>
                <w:szCs w:val="24"/>
              </w:rPr>
            </w:pPr>
            <w:r>
              <w:rPr>
                <w:rFonts w:hint="eastAsia" w:ascii="宋体" w:cs="宋体"/>
                <w:color w:val="000000"/>
                <w:sz w:val="24"/>
                <w:szCs w:val="24"/>
              </w:rPr>
              <w:t>质量目标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39B80">
            <w:pPr>
              <w:widowControl/>
              <w:jc w:val="center"/>
              <w:textAlignment w:val="center"/>
              <w:rPr>
                <w:rFonts w:ascii="宋体" w:cs="宋体"/>
                <w:color w:val="000000"/>
                <w:sz w:val="24"/>
                <w:szCs w:val="24"/>
              </w:rPr>
            </w:pPr>
            <w:r>
              <w:rPr>
                <w:rFonts w:hint="eastAsia" w:ascii="宋体" w:hAnsi="宋体" w:cs="宋体"/>
                <w:sz w:val="24"/>
                <w:szCs w:val="24"/>
              </w:rPr>
              <w:t>严格按照省委政法委的要求，组织网格管理员广泛开展</w:t>
            </w:r>
            <w:r>
              <w:rPr>
                <w:rFonts w:hint="eastAsia" w:ascii="宋体" w:cs="宋体"/>
                <w:sz w:val="24"/>
                <w:szCs w:val="24"/>
              </w:rPr>
              <w:t>“</w:t>
            </w:r>
            <w:r>
              <w:rPr>
                <w:rFonts w:hint="eastAsia" w:ascii="宋体" w:hAnsi="宋体" w:cs="宋体"/>
                <w:sz w:val="24"/>
                <w:szCs w:val="24"/>
              </w:rPr>
              <w:t>大走访、大排查、大化解</w:t>
            </w:r>
            <w:r>
              <w:rPr>
                <w:rFonts w:hint="eastAsia" w:ascii="宋体" w:cs="宋体"/>
                <w:sz w:val="24"/>
                <w:szCs w:val="24"/>
              </w:rPr>
              <w:t>”“</w:t>
            </w:r>
            <w:r>
              <w:rPr>
                <w:rFonts w:hint="eastAsia" w:ascii="宋体" w:hAnsi="宋体" w:cs="宋体"/>
                <w:sz w:val="24"/>
                <w:szCs w:val="24"/>
              </w:rPr>
              <w:t>大培训</w:t>
            </w:r>
            <w:r>
              <w:rPr>
                <w:rFonts w:hint="eastAsia" w:ascii="宋体" w:cs="宋体"/>
                <w:sz w:val="24"/>
                <w:szCs w:val="24"/>
              </w:rPr>
              <w:t>”</w:t>
            </w:r>
            <w:r>
              <w:rPr>
                <w:rFonts w:hint="eastAsia" w:ascii="宋体" w:hAnsi="宋体" w:cs="宋体"/>
                <w:sz w:val="24"/>
                <w:szCs w:val="24"/>
              </w:rPr>
              <w:t>及</w:t>
            </w:r>
            <w:r>
              <w:rPr>
                <w:rFonts w:hint="eastAsia" w:ascii="宋体" w:cs="宋体"/>
                <w:sz w:val="24"/>
                <w:szCs w:val="24"/>
              </w:rPr>
              <w:t>“</w:t>
            </w:r>
            <w:r>
              <w:rPr>
                <w:rFonts w:hint="eastAsia" w:ascii="宋体" w:hAnsi="宋体" w:cs="宋体"/>
                <w:sz w:val="24"/>
                <w:szCs w:val="24"/>
              </w:rPr>
              <w:t>大比武</w:t>
            </w:r>
            <w:r>
              <w:rPr>
                <w:rFonts w:hint="eastAsia" w:ascii="宋体" w:cs="宋体"/>
                <w:sz w:val="24"/>
                <w:szCs w:val="24"/>
              </w:rPr>
              <w:t>”</w:t>
            </w:r>
            <w:r>
              <w:rPr>
                <w:rFonts w:hint="eastAsia" w:ascii="宋体" w:hAnsi="宋体" w:cs="宋体"/>
                <w:sz w:val="24"/>
                <w:szCs w:val="24"/>
              </w:rPr>
              <w:t>三项活动，提升网格服务管理能力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88CFF">
            <w:pPr>
              <w:widowControl/>
              <w:jc w:val="center"/>
              <w:textAlignment w:val="center"/>
              <w:rPr>
                <w:rFonts w:ascii="宋体" w:cs="宋体"/>
                <w:color w:val="000000"/>
                <w:sz w:val="24"/>
                <w:szCs w:val="24"/>
              </w:rPr>
            </w:pPr>
            <w:r>
              <w:rPr>
                <w:rFonts w:hint="eastAsia" w:ascii="宋体" w:hAnsi="宋体" w:cs="宋体"/>
                <w:sz w:val="24"/>
                <w:szCs w:val="24"/>
              </w:rPr>
              <w:t>严格按照省委政法委的要求，组织网格管理员广泛开展</w:t>
            </w:r>
            <w:r>
              <w:rPr>
                <w:rFonts w:hint="eastAsia" w:ascii="宋体" w:cs="宋体"/>
                <w:sz w:val="24"/>
                <w:szCs w:val="24"/>
              </w:rPr>
              <w:t>“</w:t>
            </w:r>
            <w:r>
              <w:rPr>
                <w:rFonts w:hint="eastAsia" w:ascii="宋体" w:hAnsi="宋体" w:cs="宋体"/>
                <w:sz w:val="24"/>
                <w:szCs w:val="24"/>
              </w:rPr>
              <w:t>大走访、大排查、大化解</w:t>
            </w:r>
            <w:r>
              <w:rPr>
                <w:rFonts w:hint="eastAsia" w:ascii="宋体" w:cs="宋体"/>
                <w:sz w:val="24"/>
                <w:szCs w:val="24"/>
              </w:rPr>
              <w:t>”“</w:t>
            </w:r>
            <w:r>
              <w:rPr>
                <w:rFonts w:hint="eastAsia" w:ascii="宋体" w:hAnsi="宋体" w:cs="宋体"/>
                <w:sz w:val="24"/>
                <w:szCs w:val="24"/>
              </w:rPr>
              <w:t>大培训</w:t>
            </w:r>
            <w:r>
              <w:rPr>
                <w:rFonts w:hint="eastAsia" w:ascii="宋体" w:cs="宋体"/>
                <w:sz w:val="24"/>
                <w:szCs w:val="24"/>
              </w:rPr>
              <w:t>”</w:t>
            </w:r>
            <w:r>
              <w:rPr>
                <w:rFonts w:hint="eastAsia" w:ascii="宋体" w:hAnsi="宋体" w:cs="宋体"/>
                <w:sz w:val="24"/>
                <w:szCs w:val="24"/>
              </w:rPr>
              <w:t>及</w:t>
            </w:r>
            <w:r>
              <w:rPr>
                <w:rFonts w:hint="eastAsia" w:ascii="宋体" w:cs="宋体"/>
                <w:sz w:val="24"/>
                <w:szCs w:val="24"/>
              </w:rPr>
              <w:t>“</w:t>
            </w:r>
            <w:r>
              <w:rPr>
                <w:rFonts w:hint="eastAsia" w:ascii="宋体" w:hAnsi="宋体" w:cs="宋体"/>
                <w:sz w:val="24"/>
                <w:szCs w:val="24"/>
              </w:rPr>
              <w:t>大比武</w:t>
            </w:r>
            <w:r>
              <w:rPr>
                <w:rFonts w:hint="eastAsia" w:ascii="宋体" w:cs="宋体"/>
                <w:sz w:val="24"/>
                <w:szCs w:val="24"/>
              </w:rPr>
              <w:t>”</w:t>
            </w:r>
            <w:r>
              <w:rPr>
                <w:rFonts w:hint="eastAsia" w:ascii="宋体" w:hAnsi="宋体" w:cs="宋体"/>
                <w:sz w:val="24"/>
                <w:szCs w:val="24"/>
              </w:rPr>
              <w:t>三项活动，提升网格服务管理能力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7FDE3">
            <w:pPr>
              <w:widowControl/>
              <w:jc w:val="center"/>
              <w:textAlignment w:val="center"/>
              <w:rPr>
                <w:rFonts w:ascii="宋体"/>
                <w:color w:val="000000"/>
                <w:sz w:val="24"/>
                <w:szCs w:val="24"/>
              </w:rPr>
            </w:pPr>
          </w:p>
        </w:tc>
      </w:tr>
      <w:tr w14:paraId="6ED8DF73">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D8F588F">
            <w:pPr>
              <w:widowControl/>
              <w:jc w:val="center"/>
              <w:textAlignment w:val="center"/>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CB051">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319A7">
            <w:pPr>
              <w:widowControl/>
              <w:jc w:val="center"/>
              <w:textAlignment w:val="center"/>
              <w:rPr>
                <w:rFonts w:ascii="宋体"/>
                <w:color w:val="000000"/>
                <w:sz w:val="24"/>
                <w:szCs w:val="24"/>
              </w:rPr>
            </w:pPr>
            <w:r>
              <w:rPr>
                <w:rFonts w:hint="eastAsia" w:ascii="宋体" w:cs="宋体"/>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E8174">
            <w:pPr>
              <w:widowControl/>
              <w:jc w:val="center"/>
              <w:textAlignment w:val="center"/>
              <w:rPr>
                <w:rFonts w:ascii="宋体"/>
                <w:color w:val="000000"/>
                <w:sz w:val="24"/>
                <w:szCs w:val="24"/>
              </w:rPr>
            </w:pPr>
            <w:r>
              <w:rPr>
                <w:rFonts w:hint="eastAsia" w:ascii="宋体" w:cs="宋体"/>
                <w:color w:val="000000"/>
                <w:sz w:val="24"/>
                <w:szCs w:val="24"/>
                <w:lang w:eastAsia="zh-CN"/>
              </w:rPr>
              <w:t>2020</w:t>
            </w:r>
            <w:r>
              <w:rPr>
                <w:rFonts w:hint="eastAsia" w:ascii="宋体" w:cs="宋体"/>
                <w:color w:val="000000"/>
                <w:sz w:val="24"/>
                <w:szCs w:val="24"/>
              </w:rPr>
              <w:t>年全年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5BBB3">
            <w:pPr>
              <w:widowControl/>
              <w:jc w:val="center"/>
              <w:textAlignment w:val="center"/>
              <w:rPr>
                <w:rFonts w:ascii="宋体"/>
                <w:color w:val="000000"/>
                <w:sz w:val="24"/>
                <w:szCs w:val="24"/>
              </w:rPr>
            </w:pPr>
            <w:r>
              <w:rPr>
                <w:rFonts w:hint="eastAsia" w:ascii="宋体" w:cs="宋体"/>
                <w:color w:val="000000"/>
                <w:sz w:val="24"/>
                <w:szCs w:val="24"/>
                <w:lang w:eastAsia="zh-CN"/>
              </w:rPr>
              <w:t>2020</w:t>
            </w:r>
            <w:r>
              <w:rPr>
                <w:rFonts w:hint="eastAsia" w:ascii="宋体" w:cs="宋体"/>
                <w:color w:val="000000"/>
                <w:sz w:val="24"/>
                <w:szCs w:val="24"/>
              </w:rPr>
              <w:t>年全年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AF82D">
            <w:pPr>
              <w:widowControl/>
              <w:jc w:val="center"/>
              <w:textAlignment w:val="center"/>
              <w:rPr>
                <w:rFonts w:ascii="宋体"/>
                <w:color w:val="000000"/>
                <w:sz w:val="24"/>
                <w:szCs w:val="24"/>
              </w:rPr>
            </w:pPr>
          </w:p>
        </w:tc>
      </w:tr>
      <w:tr w14:paraId="0E1C0899">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316E73B">
            <w:pPr>
              <w:widowControl/>
              <w:jc w:val="center"/>
              <w:textAlignment w:val="center"/>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18C6A">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1A4BF">
            <w:pPr>
              <w:widowControl/>
              <w:jc w:val="center"/>
              <w:textAlignment w:val="center"/>
              <w:rPr>
                <w:rFonts w:ascii="宋体"/>
                <w:color w:val="000000"/>
                <w:sz w:val="24"/>
                <w:szCs w:val="24"/>
              </w:rPr>
            </w:pPr>
            <w:r>
              <w:rPr>
                <w:rFonts w:hint="eastAsia" w:ascii="宋体" w:cs="宋体"/>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3C62A">
            <w:pPr>
              <w:widowControl/>
              <w:jc w:val="center"/>
              <w:textAlignment w:val="center"/>
              <w:rPr>
                <w:rFonts w:ascii="宋体"/>
                <w:color w:val="000000"/>
                <w:sz w:val="24"/>
                <w:szCs w:val="24"/>
              </w:rPr>
            </w:pPr>
            <w:r>
              <w:rPr>
                <w:rFonts w:hint="eastAsia" w:ascii="宋体" w:cs="宋体"/>
                <w:color w:val="000000"/>
                <w:sz w:val="24"/>
                <w:szCs w:val="24"/>
              </w:rPr>
              <w:t>专项经费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8D63A">
            <w:pPr>
              <w:widowControl/>
              <w:jc w:val="center"/>
              <w:textAlignment w:val="center"/>
              <w:rPr>
                <w:rFonts w:ascii="宋体"/>
                <w:color w:val="000000"/>
                <w:sz w:val="24"/>
                <w:szCs w:val="24"/>
              </w:rPr>
            </w:pPr>
            <w:r>
              <w:rPr>
                <w:rFonts w:hint="eastAsia" w:ascii="宋体" w:cs="宋体"/>
                <w:color w:val="000000"/>
                <w:sz w:val="24"/>
                <w:szCs w:val="24"/>
                <w:lang w:val="en-US" w:eastAsia="zh-CN"/>
              </w:rPr>
              <w:t>59.78</w:t>
            </w:r>
            <w:r>
              <w:rPr>
                <w:rFonts w:hint="eastAsia" w:ascii="宋体" w:cs="宋体"/>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F6927">
            <w:pPr>
              <w:widowControl/>
              <w:jc w:val="center"/>
              <w:textAlignment w:val="center"/>
              <w:rPr>
                <w:rFonts w:ascii="宋体"/>
                <w:color w:val="000000"/>
                <w:sz w:val="24"/>
                <w:szCs w:val="24"/>
              </w:rPr>
            </w:pPr>
          </w:p>
        </w:tc>
      </w:tr>
      <w:tr w14:paraId="2A289A51">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23D99E5">
            <w:pPr>
              <w:widowControl/>
              <w:jc w:val="center"/>
              <w:textAlignment w:val="center"/>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E82D3">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BEF04">
            <w:pPr>
              <w:widowControl/>
              <w:jc w:val="center"/>
              <w:textAlignment w:val="center"/>
              <w:rPr>
                <w:rFonts w:ascii="宋体"/>
                <w:color w:val="000000"/>
                <w:sz w:val="24"/>
                <w:szCs w:val="24"/>
              </w:rPr>
            </w:pPr>
            <w:r>
              <w:rPr>
                <w:rFonts w:hint="eastAsia" w:ascii="宋体" w:cs="宋体"/>
                <w:color w:val="000000"/>
                <w:sz w:val="24"/>
                <w:szCs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1006F">
            <w:pPr>
              <w:widowControl/>
              <w:jc w:val="center"/>
              <w:textAlignment w:val="center"/>
              <w:rPr>
                <w:rFonts w:ascii="宋体"/>
                <w:color w:val="000000"/>
                <w:sz w:val="24"/>
                <w:szCs w:val="24"/>
              </w:rPr>
            </w:pPr>
            <w:r>
              <w:rPr>
                <w:rFonts w:hint="eastAsia" w:ascii="宋体" w:cs="宋体"/>
                <w:color w:val="000000"/>
                <w:sz w:val="24"/>
                <w:szCs w:val="24"/>
              </w:rPr>
              <w:t>维护全县社会和政治稳定</w:t>
            </w:r>
            <w:r>
              <w:rPr>
                <w:rFonts w:ascii="宋体" w:cs="宋体"/>
                <w:color w:val="000000"/>
                <w:sz w:val="24"/>
                <w:szCs w:val="24"/>
              </w:rPr>
              <w:t xml:space="preserve">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67711">
            <w:pPr>
              <w:widowControl/>
              <w:jc w:val="center"/>
              <w:textAlignment w:val="center"/>
              <w:rPr>
                <w:rFonts w:ascii="宋体"/>
                <w:color w:val="000000"/>
                <w:sz w:val="24"/>
                <w:szCs w:val="24"/>
              </w:rPr>
            </w:pPr>
            <w:r>
              <w:rPr>
                <w:rFonts w:hint="eastAsia" w:ascii="宋体" w:cs="宋体"/>
                <w:color w:val="000000"/>
                <w:sz w:val="24"/>
                <w:szCs w:val="24"/>
              </w:rPr>
              <w:t>维护全县社会和政治稳定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DE1C5">
            <w:pPr>
              <w:widowControl/>
              <w:jc w:val="center"/>
              <w:textAlignment w:val="center"/>
              <w:rPr>
                <w:rFonts w:ascii="宋体"/>
                <w:color w:val="000000"/>
                <w:sz w:val="24"/>
                <w:szCs w:val="24"/>
              </w:rPr>
            </w:pPr>
          </w:p>
        </w:tc>
      </w:tr>
    </w:tbl>
    <w:p w14:paraId="0E9D9D0A">
      <w:pPr>
        <w:spacing w:line="580" w:lineRule="exact"/>
        <w:ind w:left="630"/>
        <w:rPr>
          <w:rFonts w:ascii="仿宋_GB2312" w:hAnsi="仿宋_GB2312" w:eastAsia="仿宋_GB2312"/>
          <w:sz w:val="32"/>
          <w:szCs w:val="32"/>
        </w:rPr>
      </w:pPr>
    </w:p>
    <w:p w14:paraId="2E3D3AD6">
      <w:pPr>
        <w:spacing w:line="580" w:lineRule="exact"/>
        <w:ind w:left="630"/>
        <w:rPr>
          <w:rFonts w:ascii="仿宋_GB2312" w:hAnsi="仿宋_GB2312" w:eastAsia="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14:paraId="46631B7E">
      <w:pPr>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年部门整体支出绩效评价情况开展自评，《盐边</w:t>
      </w:r>
      <w:r>
        <w:rPr>
          <w:rFonts w:hint="eastAsia" w:ascii="仿宋_GB2312" w:hAnsi="仿宋_GB2312" w:eastAsia="仿宋_GB2312" w:cs="仿宋_GB2312"/>
          <w:sz w:val="32"/>
          <w:szCs w:val="32"/>
          <w:lang w:eastAsia="zh-CN"/>
        </w:rPr>
        <w:t>县委政法委</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14:paraId="60231972">
      <w:pPr>
        <w:spacing w:line="580" w:lineRule="exact"/>
        <w:ind w:firstLine="640" w:firstLineChars="200"/>
        <w:rPr>
          <w:rFonts w:ascii="仿宋_GB2312" w:eastAsia="仿宋_GB2312"/>
          <w:b/>
          <w:bCs/>
          <w:color w:val="000000"/>
          <w:sz w:val="32"/>
          <w:szCs w:val="32"/>
        </w:rPr>
      </w:pPr>
      <w:r>
        <w:rPr>
          <w:rFonts w:hint="eastAsia" w:ascii="仿宋_GB2312" w:hAnsi="仿宋_GB2312" w:eastAsia="仿宋_GB2312" w:cs="仿宋_GB2312"/>
          <w:sz w:val="32"/>
          <w:szCs w:val="32"/>
        </w:rPr>
        <w:t>本部门自行组织对“扫黑除恶专项经费”“社会网格化专项经费”开展了绩效评价，《盐边</w:t>
      </w:r>
      <w:r>
        <w:rPr>
          <w:rFonts w:hint="eastAsia" w:ascii="仿宋_GB2312" w:hAnsi="仿宋_GB2312" w:eastAsia="仿宋_GB2312" w:cs="仿宋_GB2312"/>
          <w:sz w:val="32"/>
          <w:szCs w:val="32"/>
          <w:lang w:eastAsia="zh-CN"/>
        </w:rPr>
        <w:t>县委政法委2020</w:t>
      </w:r>
      <w:r>
        <w:rPr>
          <w:rFonts w:hint="eastAsia" w:ascii="仿宋_GB2312" w:hAnsi="仿宋_GB2312" w:eastAsia="仿宋_GB2312" w:cs="仿宋_GB2312"/>
          <w:sz w:val="32"/>
          <w:szCs w:val="32"/>
        </w:rPr>
        <w:t>年项目绩效评价报告》见附件（附件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）。（非涉密部门均需公开部门整体支出评价报告，部门自行组织的绩效评价情况根据部门实际公开，若未组织项目绩效评价，则只需说明部门整体支出绩效评价情况）</w:t>
      </w:r>
    </w:p>
    <w:p w14:paraId="1FB20551">
      <w:pPr>
        <w:widowControl/>
        <w:jc w:val="left"/>
        <w:rPr>
          <w:rFonts w:ascii="仿宋_GB2312" w:eastAsia="仿宋_GB2312"/>
          <w:b/>
          <w:bCs/>
          <w:color w:val="000000"/>
          <w:sz w:val="32"/>
          <w:szCs w:val="32"/>
        </w:rPr>
      </w:pPr>
      <w:r>
        <w:rPr>
          <w:rFonts w:ascii="仿宋_GB2312" w:eastAsia="仿宋_GB2312"/>
          <w:b/>
          <w:bCs/>
          <w:color w:val="000000"/>
          <w:sz w:val="32"/>
          <w:szCs w:val="32"/>
        </w:rPr>
        <w:br w:type="page"/>
      </w:r>
    </w:p>
    <w:p w14:paraId="22D2F0A5">
      <w:pPr>
        <w:numPr>
          <w:ilvl w:val="0"/>
          <w:numId w:val="4"/>
        </w:numPr>
        <w:spacing w:line="600" w:lineRule="exact"/>
        <w:ind w:firstLine="660" w:firstLineChars="150"/>
        <w:jc w:val="center"/>
        <w:outlineLvl w:val="0"/>
        <w:rPr>
          <w:rStyle w:val="21"/>
          <w:rFonts w:ascii="黑体" w:hAnsi="黑体" w:eastAsia="黑体"/>
          <w:b w:val="0"/>
          <w:bCs w:val="0"/>
        </w:rPr>
      </w:pPr>
      <w:bookmarkStart w:id="85" w:name="_Toc52180096"/>
      <w:bookmarkStart w:id="86" w:name="_Toc15377225"/>
      <w:bookmarkStart w:id="87" w:name="_Toc15396613"/>
      <w:r>
        <w:rPr>
          <w:rFonts w:hint="eastAsia" w:ascii="黑体" w:hAnsi="黑体" w:eastAsia="黑体" w:cs="黑体"/>
          <w:color w:val="000000"/>
          <w:sz w:val="44"/>
          <w:szCs w:val="44"/>
        </w:rPr>
        <w:t>名</w:t>
      </w:r>
      <w:r>
        <w:rPr>
          <w:rStyle w:val="21"/>
          <w:rFonts w:hint="eastAsia" w:ascii="黑体" w:hAnsi="黑体" w:eastAsia="黑体" w:cs="黑体"/>
          <w:b w:val="0"/>
          <w:bCs w:val="0"/>
        </w:rPr>
        <w:t>词解释</w:t>
      </w:r>
      <w:bookmarkEnd w:id="85"/>
      <w:bookmarkEnd w:id="86"/>
      <w:bookmarkEnd w:id="87"/>
    </w:p>
    <w:p w14:paraId="176964EC">
      <w:pPr>
        <w:spacing w:line="600" w:lineRule="exact"/>
        <w:jc w:val="left"/>
        <w:rPr>
          <w:rFonts w:ascii="宋体"/>
          <w:b/>
          <w:bCs/>
          <w:color w:val="000000"/>
          <w:sz w:val="44"/>
          <w:szCs w:val="44"/>
        </w:rPr>
      </w:pPr>
    </w:p>
    <w:p w14:paraId="5A468A47">
      <w:pPr>
        <w:pStyle w:val="31"/>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14:paraId="1B509B75">
      <w:pPr>
        <w:pStyle w:val="31"/>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事业收入：指事业单位开展专业业务活动及辅助活动取得的收入。如（二级预算单位事业收入情况）等。</w:t>
      </w:r>
    </w:p>
    <w:p w14:paraId="1BD5E91D">
      <w:pPr>
        <w:pStyle w:val="31"/>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经营收入：指事业单位在专业业务活动及其辅助活动之外开展非独立核算经营活动取得的收入。如（二级预算单位经营收入情况）等。</w:t>
      </w:r>
    </w:p>
    <w:p w14:paraId="03312433">
      <w:pPr>
        <w:pStyle w:val="3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r>
        <w:rPr>
          <w:rFonts w:ascii="仿宋_GB2312" w:eastAsia="仿宋_GB2312" w:cs="仿宋_GB2312"/>
          <w:sz w:val="32"/>
          <w:szCs w:val="32"/>
        </w:rPr>
        <w:t xml:space="preserve"> </w:t>
      </w:r>
    </w:p>
    <w:p w14:paraId="04259FB8">
      <w:pPr>
        <w:pStyle w:val="3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s="仿宋_GB2312"/>
          <w:sz w:val="32"/>
          <w:szCs w:val="32"/>
        </w:rPr>
        <w:t xml:space="preserve"> </w:t>
      </w:r>
    </w:p>
    <w:p w14:paraId="17314B22">
      <w:pPr>
        <w:pStyle w:val="3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r>
        <w:rPr>
          <w:rFonts w:ascii="仿宋_GB2312" w:eastAsia="仿宋_GB2312" w:cs="仿宋_GB2312"/>
          <w:sz w:val="32"/>
          <w:szCs w:val="32"/>
        </w:rPr>
        <w:t xml:space="preserve"> </w:t>
      </w:r>
    </w:p>
    <w:p w14:paraId="3C27BB8E">
      <w:pPr>
        <w:pStyle w:val="31"/>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14:paraId="2AF2BC0B">
      <w:pPr>
        <w:pStyle w:val="31"/>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lang w:eastAsia="zh-CN"/>
        </w:rPr>
        <w:t>8.</w:t>
      </w:r>
      <w:r>
        <w:rPr>
          <w:rFonts w:hint="eastAsia" w:ascii="仿宋_GB2312" w:eastAsia="仿宋_GB2312" w:cs="仿宋_GB2312"/>
          <w:sz w:val="32"/>
          <w:szCs w:val="32"/>
        </w:rPr>
        <w:t>年末结转和结余：指单位按有关规定结转到下年或以后年度继续使用的资金。</w:t>
      </w:r>
    </w:p>
    <w:p w14:paraId="3699833C">
      <w:pPr>
        <w:spacing w:line="600" w:lineRule="exact"/>
        <w:ind w:firstLine="640" w:firstLineChars="200"/>
        <w:outlineLvl w:val="0"/>
        <w:rPr>
          <w:rStyle w:val="19"/>
          <w:rFonts w:ascii="仿宋_GB2312" w:eastAsia="仿宋_GB2312"/>
          <w:b w:val="0"/>
          <w:bCs w:val="0"/>
          <w:color w:val="000000"/>
          <w:sz w:val="32"/>
          <w:szCs w:val="32"/>
        </w:rPr>
      </w:pPr>
      <w:r>
        <w:rPr>
          <w:rStyle w:val="19"/>
          <w:rFonts w:ascii="仿宋_GB2312" w:eastAsia="仿宋_GB2312" w:cs="仿宋_GB2312"/>
          <w:b w:val="0"/>
          <w:bCs w:val="0"/>
          <w:color w:val="000000"/>
          <w:sz w:val="32"/>
          <w:szCs w:val="32"/>
        </w:rPr>
        <w:t>9.</w:t>
      </w:r>
      <w:r>
        <w:rPr>
          <w:rStyle w:val="19"/>
          <w:rFonts w:hint="eastAsia" w:ascii="仿宋_GB2312" w:eastAsia="仿宋_GB2312" w:cs="仿宋_GB2312"/>
          <w:b w:val="0"/>
          <w:bCs w:val="0"/>
          <w:color w:val="000000"/>
          <w:sz w:val="32"/>
          <w:szCs w:val="32"/>
        </w:rPr>
        <w:t>一般公共服务（类）其他共产党事务支出（款）</w:t>
      </w:r>
    </w:p>
    <w:p w14:paraId="4BA99252">
      <w:pPr>
        <w:widowControl/>
        <w:shd w:val="clear" w:color="auto" w:fill="FFFFFF"/>
        <w:spacing w:line="600" w:lineRule="atLeast"/>
        <w:ind w:firstLine="320" w:firstLineChars="100"/>
        <w:jc w:val="left"/>
        <w:rPr>
          <w:rFonts w:ascii="仿宋_GB2312" w:hAnsi="宋体" w:eastAsia="仿宋_GB2312"/>
          <w:color w:val="000000"/>
          <w:kern w:val="0"/>
          <w:sz w:val="32"/>
          <w:szCs w:val="32"/>
        </w:rPr>
      </w:pPr>
      <w:r>
        <w:rPr>
          <w:rStyle w:val="19"/>
          <w:rFonts w:hint="eastAsia" w:ascii="仿宋_GB2312" w:eastAsia="仿宋_GB2312" w:cs="仿宋_GB2312"/>
          <w:b w:val="0"/>
          <w:bCs w:val="0"/>
          <w:color w:val="000000"/>
          <w:sz w:val="32"/>
          <w:szCs w:val="32"/>
          <w:lang w:eastAsia="zh-CN"/>
        </w:rPr>
        <w:t>①</w:t>
      </w:r>
      <w:r>
        <w:rPr>
          <w:rStyle w:val="19"/>
          <w:rFonts w:hint="eastAsia" w:ascii="仿宋_GB2312" w:eastAsia="仿宋_GB2312" w:cs="仿宋_GB2312"/>
          <w:b w:val="0"/>
          <w:bCs w:val="0"/>
          <w:color w:val="000000"/>
          <w:sz w:val="32"/>
          <w:szCs w:val="32"/>
        </w:rPr>
        <w:t>行政运行</w:t>
      </w:r>
      <w:r>
        <w:rPr>
          <w:rStyle w:val="19"/>
          <w:rFonts w:hint="eastAsia" w:ascii="仿宋_GB2312" w:eastAsia="仿宋_GB2312" w:cs="仿宋_GB2312"/>
          <w:b w:val="0"/>
          <w:bCs w:val="0"/>
          <w:color w:val="000000"/>
          <w:sz w:val="32"/>
          <w:szCs w:val="32"/>
          <w:lang w:eastAsia="zh-CN"/>
        </w:rPr>
        <w:t>：</w:t>
      </w:r>
      <w:r>
        <w:rPr>
          <w:rStyle w:val="19"/>
          <w:rFonts w:ascii="仿宋_GB2312" w:eastAsia="仿宋_GB2312" w:cs="仿宋_GB2312"/>
          <w:b w:val="0"/>
          <w:bCs w:val="0"/>
          <w:color w:val="000000"/>
          <w:sz w:val="32"/>
          <w:szCs w:val="32"/>
        </w:rPr>
        <w:t xml:space="preserve"> </w:t>
      </w:r>
      <w:r>
        <w:rPr>
          <w:rFonts w:hint="eastAsia" w:ascii="仿宋_GB2312" w:hAnsi="宋体" w:eastAsia="仿宋_GB2312" w:cs="仿宋_GB2312"/>
          <w:color w:val="000000"/>
          <w:kern w:val="0"/>
          <w:sz w:val="32"/>
          <w:szCs w:val="32"/>
        </w:rPr>
        <w:t>指行政单位（包括实行公务员管理的事业单位）的基本支出。</w:t>
      </w:r>
    </w:p>
    <w:p w14:paraId="59201CE9">
      <w:pPr>
        <w:widowControl/>
        <w:shd w:val="clear" w:color="auto" w:fill="FFFFFF"/>
        <w:spacing w:line="600" w:lineRule="atLeast"/>
        <w:ind w:firstLine="320" w:firstLineChars="1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eastAsia="zh-CN"/>
        </w:rPr>
        <w:t>②</w:t>
      </w:r>
      <w:r>
        <w:rPr>
          <w:rFonts w:hint="eastAsia" w:ascii="仿宋_GB2312" w:hAnsi="宋体" w:eastAsia="仿宋_GB2312" w:cs="仿宋_GB2312"/>
          <w:color w:val="000000"/>
          <w:kern w:val="0"/>
          <w:sz w:val="32"/>
          <w:szCs w:val="32"/>
        </w:rPr>
        <w:t>其他共产党事务支出：指其他用于中国共产党事务的支出。</w:t>
      </w:r>
    </w:p>
    <w:p w14:paraId="6AFBEF73">
      <w:pPr>
        <w:widowControl/>
        <w:shd w:val="clear" w:color="auto" w:fill="FFFFFF"/>
        <w:spacing w:line="600" w:lineRule="atLeast"/>
        <w:ind w:firstLine="320" w:firstLineChars="100"/>
        <w:jc w:val="left"/>
        <w:rPr>
          <w:rFonts w:hint="eastAsia"/>
          <w:b w:val="0"/>
          <w:bCs w:val="0"/>
        </w:rPr>
      </w:pPr>
      <w:r>
        <w:rPr>
          <w:rStyle w:val="19"/>
          <w:rFonts w:hint="eastAsia" w:ascii="仿宋_GB2312" w:eastAsia="仿宋_GB2312" w:cs="仿宋_GB2312"/>
          <w:b w:val="0"/>
          <w:bCs w:val="0"/>
          <w:color w:val="000000"/>
          <w:sz w:val="32"/>
          <w:szCs w:val="32"/>
        </w:rPr>
        <w:sym w:font="Wingdings" w:char="F083"/>
      </w:r>
      <w:r>
        <w:rPr>
          <w:rStyle w:val="19"/>
          <w:rFonts w:hint="eastAsia" w:ascii="仿宋_GB2312" w:eastAsia="仿宋_GB2312" w:cs="仿宋_GB2312"/>
          <w:b w:val="0"/>
          <w:bCs w:val="0"/>
          <w:color w:val="000000"/>
          <w:sz w:val="32"/>
          <w:szCs w:val="32"/>
        </w:rPr>
        <w:t>、</w:t>
      </w:r>
      <w:r>
        <w:rPr>
          <w:rStyle w:val="19"/>
          <w:rFonts w:hint="eastAsia" w:ascii="仿宋_GB2312" w:eastAsia="仿宋_GB2312" w:cs="仿宋_GB2312"/>
          <w:b w:val="0"/>
          <w:bCs w:val="0"/>
          <w:color w:val="000000"/>
          <w:sz w:val="32"/>
          <w:szCs w:val="32"/>
          <w:lang w:eastAsia="zh-CN"/>
        </w:rPr>
        <w:t>一般行政管理事务</w:t>
      </w:r>
      <w:r>
        <w:rPr>
          <w:rStyle w:val="19"/>
          <w:rFonts w:hint="eastAsia" w:ascii="仿宋_GB2312" w:eastAsia="仿宋_GB2312" w:cs="仿宋_GB2312"/>
          <w:b w:val="0"/>
          <w:bCs w:val="0"/>
          <w:color w:val="000000"/>
          <w:sz w:val="32"/>
          <w:szCs w:val="32"/>
        </w:rPr>
        <w:t>：</w:t>
      </w:r>
      <w:r>
        <w:rPr>
          <w:rStyle w:val="19"/>
          <w:rFonts w:hint="eastAsia" w:ascii="仿宋_GB2312" w:eastAsia="仿宋_GB2312"/>
          <w:b w:val="0"/>
          <w:color w:val="000000"/>
          <w:sz w:val="32"/>
          <w:szCs w:val="32"/>
          <w:lang w:eastAsia="zh-CN"/>
        </w:rPr>
        <w:t>指行政单位（包括实行公务员管理的事业单位）未单独设置项级科目的其他项目支出。</w:t>
      </w:r>
    </w:p>
    <w:p w14:paraId="27B82CBD">
      <w:pPr>
        <w:spacing w:line="600" w:lineRule="exact"/>
        <w:ind w:firstLine="640" w:firstLineChars="200"/>
      </w:pPr>
      <w:r>
        <w:rPr>
          <w:rStyle w:val="19"/>
          <w:rFonts w:hint="eastAsia" w:ascii="宋体" w:hAnsi="宋体" w:cs="宋体"/>
          <w:b w:val="0"/>
          <w:bCs w:val="0"/>
          <w:color w:val="000000"/>
          <w:sz w:val="32"/>
          <w:szCs w:val="32"/>
          <w:lang w:eastAsia="zh-CN"/>
        </w:rPr>
        <w:t>④</w:t>
      </w:r>
      <w:r>
        <w:rPr>
          <w:rStyle w:val="19"/>
          <w:rFonts w:hint="eastAsia" w:ascii="仿宋_GB2312" w:eastAsia="仿宋_GB2312" w:cs="仿宋_GB2312"/>
          <w:b w:val="0"/>
          <w:bCs w:val="0"/>
          <w:color w:val="000000"/>
          <w:sz w:val="32"/>
          <w:szCs w:val="32"/>
          <w:lang w:eastAsia="zh-CN"/>
        </w:rPr>
        <w:t>事业运行</w:t>
      </w:r>
      <w:r>
        <w:rPr>
          <w:rStyle w:val="19"/>
          <w:rFonts w:hint="eastAsia" w:ascii="仿宋_GB2312" w:eastAsia="仿宋_GB2312" w:cs="仿宋_GB2312"/>
          <w:b w:val="0"/>
          <w:bCs w:val="0"/>
          <w:color w:val="000000"/>
          <w:sz w:val="32"/>
          <w:szCs w:val="32"/>
        </w:rPr>
        <w:t>：</w:t>
      </w:r>
      <w:r>
        <w:rPr>
          <w:rStyle w:val="19"/>
          <w:rFonts w:hint="eastAsia" w:ascii="仿宋_GB2312" w:eastAsia="仿宋_GB2312"/>
          <w:b w:val="0"/>
          <w:color w:val="000000"/>
          <w:sz w:val="32"/>
          <w:szCs w:val="32"/>
        </w:rPr>
        <w:t>指事业单位的基本支出。不包括行政单位（包括实行公务员管理的事业单位）后勤服务中心、医务室等附属事业单位。</w:t>
      </w:r>
    </w:p>
    <w:p w14:paraId="53D4A295">
      <w:pPr>
        <w:spacing w:line="600" w:lineRule="exact"/>
        <w:ind w:firstLine="640" w:firstLineChars="200"/>
        <w:rPr>
          <w:rStyle w:val="19"/>
          <w:rFonts w:ascii="仿宋_GB2312" w:eastAsia="仿宋_GB2312" w:cs="仿宋_GB2312"/>
          <w:b w:val="0"/>
          <w:bCs w:val="0"/>
          <w:color w:val="000000"/>
          <w:sz w:val="32"/>
          <w:szCs w:val="32"/>
        </w:rPr>
      </w:pPr>
      <w:r>
        <w:rPr>
          <w:rStyle w:val="19"/>
          <w:rFonts w:ascii="仿宋_GB2312" w:eastAsia="仿宋_GB2312" w:cs="仿宋_GB2312"/>
          <w:b w:val="0"/>
          <w:bCs w:val="0"/>
          <w:color w:val="000000"/>
          <w:sz w:val="32"/>
          <w:szCs w:val="32"/>
        </w:rPr>
        <w:t>10.</w:t>
      </w:r>
      <w:r>
        <w:rPr>
          <w:rStyle w:val="19"/>
          <w:rFonts w:hint="eastAsia" w:ascii="仿宋_GB2312" w:eastAsia="仿宋_GB2312" w:cs="仿宋_GB2312"/>
          <w:b w:val="0"/>
          <w:bCs w:val="0"/>
          <w:color w:val="000000"/>
          <w:sz w:val="32"/>
          <w:szCs w:val="32"/>
        </w:rPr>
        <w:t>社会保障和就业（类）行政事业单位</w:t>
      </w:r>
      <w:r>
        <w:rPr>
          <w:rStyle w:val="19"/>
          <w:rFonts w:hint="eastAsia" w:ascii="仿宋_GB2312" w:eastAsia="仿宋_GB2312" w:cs="仿宋_GB2312"/>
          <w:b w:val="0"/>
          <w:bCs w:val="0"/>
          <w:color w:val="000000"/>
          <w:sz w:val="32"/>
          <w:szCs w:val="32"/>
          <w:lang w:eastAsia="zh-CN"/>
        </w:rPr>
        <w:t>养老支出</w:t>
      </w:r>
      <w:r>
        <w:rPr>
          <w:rStyle w:val="19"/>
          <w:rFonts w:hint="eastAsia" w:ascii="仿宋_GB2312" w:eastAsia="仿宋_GB2312" w:cs="仿宋_GB2312"/>
          <w:b w:val="0"/>
          <w:bCs w:val="0"/>
          <w:color w:val="000000"/>
          <w:sz w:val="32"/>
          <w:szCs w:val="32"/>
        </w:rPr>
        <w:t>（款）</w:t>
      </w:r>
      <w:r>
        <w:rPr>
          <w:rStyle w:val="19"/>
          <w:rFonts w:ascii="仿宋_GB2312" w:eastAsia="仿宋_GB2312" w:cs="仿宋_GB2312"/>
          <w:b w:val="0"/>
          <w:bCs w:val="0"/>
          <w:color w:val="000000"/>
          <w:sz w:val="32"/>
          <w:szCs w:val="32"/>
        </w:rPr>
        <w:t xml:space="preserve">  </w:t>
      </w:r>
    </w:p>
    <w:p w14:paraId="6B687A05">
      <w:pPr>
        <w:spacing w:line="600" w:lineRule="exact"/>
        <w:ind w:firstLine="640" w:firstLineChars="200"/>
        <w:rPr>
          <w:rStyle w:val="19"/>
          <w:rFonts w:ascii="仿宋_GB2312" w:eastAsia="仿宋_GB2312"/>
          <w:b w:val="0"/>
          <w:bCs w:val="0"/>
          <w:color w:val="000000"/>
          <w:sz w:val="32"/>
          <w:szCs w:val="32"/>
        </w:rPr>
      </w:pPr>
      <w:r>
        <w:rPr>
          <w:rStyle w:val="19"/>
          <w:rFonts w:hint="eastAsia" w:ascii="仿宋_GB2312" w:eastAsia="仿宋_GB2312" w:cs="仿宋_GB2312"/>
          <w:b w:val="0"/>
          <w:bCs w:val="0"/>
          <w:color w:val="000000"/>
          <w:sz w:val="32"/>
          <w:szCs w:val="32"/>
          <w:lang w:eastAsia="zh-CN"/>
        </w:rPr>
        <w:t>①</w:t>
      </w:r>
      <w:r>
        <w:rPr>
          <w:rStyle w:val="19"/>
          <w:rFonts w:hint="eastAsia" w:ascii="仿宋_GB2312" w:eastAsia="仿宋_GB2312" w:cs="仿宋_GB2312"/>
          <w:b w:val="0"/>
          <w:bCs w:val="0"/>
          <w:color w:val="000000"/>
          <w:sz w:val="32"/>
          <w:szCs w:val="32"/>
        </w:rPr>
        <w:t>行政单位离退休</w:t>
      </w:r>
      <w:r>
        <w:rPr>
          <w:rStyle w:val="19"/>
          <w:rFonts w:hint="eastAsia" w:ascii="仿宋_GB2312" w:eastAsia="仿宋_GB2312" w:cs="仿宋_GB2312"/>
          <w:b w:val="0"/>
          <w:bCs w:val="0"/>
          <w:color w:val="000000"/>
          <w:sz w:val="32"/>
          <w:szCs w:val="32"/>
          <w:lang w:eastAsia="zh-CN"/>
        </w:rPr>
        <w:t>：</w:t>
      </w:r>
      <w:r>
        <w:rPr>
          <w:rStyle w:val="19"/>
          <w:rFonts w:ascii="仿宋_GB2312" w:eastAsia="仿宋_GB2312" w:cs="仿宋_GB2312"/>
          <w:b w:val="0"/>
          <w:bCs w:val="0"/>
          <w:color w:val="000000"/>
          <w:sz w:val="32"/>
          <w:szCs w:val="32"/>
        </w:rPr>
        <w:t xml:space="preserve"> </w:t>
      </w:r>
      <w:r>
        <w:rPr>
          <w:rStyle w:val="19"/>
          <w:rFonts w:hint="eastAsia" w:ascii="仿宋_GB2312" w:eastAsia="仿宋_GB2312" w:cs="仿宋_GB2312"/>
          <w:b w:val="0"/>
          <w:bCs w:val="0"/>
          <w:color w:val="000000"/>
          <w:sz w:val="32"/>
          <w:szCs w:val="32"/>
        </w:rPr>
        <w:t>指行政单位（包括实行公务员管理的事业单位）开支的离退休支出。</w:t>
      </w:r>
    </w:p>
    <w:p w14:paraId="10816759">
      <w:pPr>
        <w:spacing w:line="60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eastAsia="zh-CN"/>
        </w:rPr>
        <w:t>②</w:t>
      </w:r>
      <w:r>
        <w:rPr>
          <w:rFonts w:hint="eastAsia" w:ascii="仿宋_GB2312" w:eastAsia="仿宋_GB2312" w:cs="仿宋_GB2312"/>
          <w:color w:val="000000"/>
          <w:sz w:val="32"/>
          <w:szCs w:val="32"/>
        </w:rPr>
        <w:t>机关事业单位基本养老保险缴费支出：</w:t>
      </w:r>
      <w:r>
        <w:rPr>
          <w:rStyle w:val="19"/>
          <w:rFonts w:hint="eastAsia" w:ascii="仿宋_GB2312" w:eastAsia="仿宋_GB2312" w:cs="仿宋_GB2312"/>
          <w:b w:val="0"/>
          <w:bCs w:val="0"/>
          <w:color w:val="000000"/>
          <w:sz w:val="32"/>
          <w:szCs w:val="32"/>
        </w:rPr>
        <w:t>指机关事业单位实施养老保险制度</w:t>
      </w:r>
      <w:r>
        <w:rPr>
          <w:rStyle w:val="19"/>
          <w:rFonts w:hint="eastAsia" w:ascii="仿宋_GB2312" w:eastAsia="仿宋_GB2312" w:cs="仿宋_GB2312"/>
          <w:b w:val="0"/>
          <w:bCs w:val="0"/>
          <w:color w:val="000000"/>
          <w:sz w:val="32"/>
          <w:szCs w:val="32"/>
          <w:lang w:eastAsia="zh-CN"/>
        </w:rPr>
        <w:t>由</w:t>
      </w:r>
      <w:r>
        <w:rPr>
          <w:rStyle w:val="19"/>
          <w:rFonts w:hint="eastAsia" w:ascii="仿宋_GB2312" w:eastAsia="仿宋_GB2312" w:cs="仿宋_GB2312"/>
          <w:b w:val="0"/>
          <w:bCs w:val="0"/>
          <w:color w:val="000000"/>
          <w:sz w:val="32"/>
          <w:szCs w:val="32"/>
        </w:rPr>
        <w:t>单位缴纳的基本养老保险费支出。</w:t>
      </w:r>
    </w:p>
    <w:p w14:paraId="3435C30F">
      <w:pPr>
        <w:spacing w:line="600" w:lineRule="exact"/>
        <w:ind w:firstLine="640" w:firstLineChars="200"/>
        <w:rPr>
          <w:rFonts w:ascii="仿宋_GB2312" w:eastAsia="仿宋_GB2312"/>
          <w:color w:val="000000"/>
          <w:sz w:val="32"/>
          <w:szCs w:val="32"/>
        </w:rPr>
      </w:pPr>
      <w:r>
        <w:rPr>
          <w:rStyle w:val="19"/>
          <w:rFonts w:hint="eastAsia" w:ascii="仿宋_GB2312" w:eastAsia="仿宋_GB2312" w:cs="仿宋_GB2312"/>
          <w:b w:val="0"/>
          <w:bCs w:val="0"/>
          <w:color w:val="000000"/>
          <w:sz w:val="32"/>
          <w:szCs w:val="32"/>
          <w:lang w:eastAsia="zh-CN"/>
        </w:rPr>
        <w:t>11.</w:t>
      </w:r>
      <w:r>
        <w:rPr>
          <w:rStyle w:val="19"/>
          <w:rFonts w:hint="eastAsia" w:ascii="仿宋_GB2312" w:eastAsia="仿宋_GB2312" w:cs="仿宋_GB2312"/>
          <w:b w:val="0"/>
          <w:bCs w:val="0"/>
          <w:color w:val="000000"/>
          <w:sz w:val="32"/>
          <w:szCs w:val="32"/>
        </w:rPr>
        <w:t>住房保障支出（类）住房改革支出（款）住房公积金（项）：指行政事业单位按人力资源和社会保障部、财政部规定的基本工资和津贴补贴以及规定比例为职工缴纳的住房公积金。</w:t>
      </w:r>
    </w:p>
    <w:p w14:paraId="7F650DBA">
      <w:pPr>
        <w:spacing w:line="600" w:lineRule="exact"/>
        <w:ind w:firstLine="640" w:firstLineChars="200"/>
        <w:rPr>
          <w:rStyle w:val="19"/>
          <w:rFonts w:hint="eastAsia" w:ascii="仿宋_GB2312" w:eastAsia="仿宋_GB2312" w:cs="仿宋_GB2312"/>
          <w:b w:val="0"/>
          <w:bCs w:val="0"/>
          <w:color w:val="000000"/>
          <w:sz w:val="32"/>
          <w:szCs w:val="32"/>
        </w:rPr>
      </w:pPr>
      <w:r>
        <w:rPr>
          <w:rStyle w:val="19"/>
          <w:rFonts w:hint="eastAsia" w:ascii="仿宋_GB2312" w:eastAsia="仿宋_GB2312" w:cs="仿宋_GB2312"/>
          <w:b w:val="0"/>
          <w:bCs w:val="0"/>
          <w:color w:val="000000"/>
          <w:sz w:val="32"/>
          <w:szCs w:val="32"/>
          <w:lang w:eastAsia="zh-CN"/>
        </w:rPr>
        <w:t>12.</w:t>
      </w:r>
      <w:r>
        <w:rPr>
          <w:rStyle w:val="19"/>
          <w:rFonts w:hint="eastAsia" w:ascii="仿宋_GB2312" w:eastAsia="仿宋_GB2312" w:cs="仿宋_GB2312"/>
          <w:b w:val="0"/>
          <w:bCs w:val="0"/>
          <w:color w:val="000000"/>
          <w:sz w:val="32"/>
          <w:szCs w:val="32"/>
        </w:rPr>
        <w:t>公共安全支出（类）其他公共安全支出（款）其他公共安全支出（项）：指其他用于公共安全支出方面的支出。</w:t>
      </w:r>
    </w:p>
    <w:p w14:paraId="24C696B7">
      <w:pPr>
        <w:pStyle w:val="2"/>
        <w:ind w:firstLine="640" w:firstLineChars="200"/>
        <w:rPr>
          <w:rFonts w:hint="eastAsia" w:ascii="仿宋_GB2312" w:hAnsi="Calibri" w:eastAsia="仿宋_GB2312" w:cs="仿宋"/>
          <w:color w:val="000000"/>
          <w:kern w:val="0"/>
          <w:sz w:val="32"/>
          <w:szCs w:val="32"/>
          <w:lang w:val="en-US" w:eastAsia="zh-CN"/>
        </w:rPr>
      </w:pPr>
      <w:r>
        <w:rPr>
          <w:rFonts w:hint="eastAsia" w:ascii="仿宋_GB2312" w:hAnsi="Calibri" w:eastAsia="仿宋_GB2312" w:cs="仿宋"/>
          <w:color w:val="000000"/>
          <w:kern w:val="0"/>
          <w:sz w:val="32"/>
          <w:szCs w:val="32"/>
          <w:lang w:val="en-US" w:eastAsia="zh-CN"/>
        </w:rPr>
        <w:t>13.卫生健康支出（类）公共卫生（款）重大公共卫生服务：指重大疾病、重大传染疾病预防控制等重大公共卫生服务项目支出。</w:t>
      </w:r>
    </w:p>
    <w:p w14:paraId="4FAA6713">
      <w:pPr>
        <w:ind w:firstLine="640" w:firstLineChars="200"/>
      </w:pPr>
      <w:r>
        <w:rPr>
          <w:rFonts w:hint="eastAsia" w:ascii="仿宋_GB2312" w:hAnsi="Calibri" w:eastAsia="仿宋_GB2312" w:cs="仿宋"/>
          <w:color w:val="000000"/>
          <w:kern w:val="0"/>
          <w:sz w:val="32"/>
          <w:szCs w:val="32"/>
          <w:lang w:val="en-US" w:eastAsia="zh-CN"/>
        </w:rPr>
        <w:t>14.农林水支出（类）扶贫（款）其他扶贫支出：指除上述项目以外其他用于扶贫方面的支出</w:t>
      </w:r>
    </w:p>
    <w:p w14:paraId="1452F35B">
      <w:pPr>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val="en-US" w:eastAsia="zh-CN"/>
        </w:rPr>
        <w:t>15</w:t>
      </w:r>
      <w:r>
        <w:rPr>
          <w:rFonts w:ascii="仿宋_GB2312" w:eastAsia="仿宋_GB2312" w:cs="仿宋_GB2312"/>
          <w:color w:val="000000"/>
          <w:sz w:val="32"/>
          <w:szCs w:val="32"/>
        </w:rPr>
        <w:t>.</w:t>
      </w:r>
      <w:r>
        <w:rPr>
          <w:rFonts w:hint="eastAsia" w:ascii="仿宋_GB2312" w:eastAsia="仿宋_GB2312" w:cs="仿宋_GB2312"/>
          <w:color w:val="000000"/>
          <w:sz w:val="32"/>
          <w:szCs w:val="32"/>
        </w:rPr>
        <w:t>基本支出：指为保障机构正常运转、完成日常工作任务而发生的人员支出和公用支出。</w:t>
      </w:r>
    </w:p>
    <w:p w14:paraId="7513B997">
      <w:pPr>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16</w:t>
      </w:r>
      <w:r>
        <w:rPr>
          <w:rFonts w:ascii="仿宋_GB2312" w:eastAsia="仿宋_GB2312" w:cs="仿宋_GB2312"/>
          <w:color w:val="000000"/>
          <w:sz w:val="32"/>
          <w:szCs w:val="32"/>
        </w:rPr>
        <w:t>.</w:t>
      </w:r>
      <w:r>
        <w:rPr>
          <w:rFonts w:hint="eastAsia" w:ascii="仿宋_GB2312" w:eastAsia="仿宋_GB2312" w:cs="仿宋_GB2312"/>
          <w:color w:val="000000"/>
          <w:sz w:val="32"/>
          <w:szCs w:val="32"/>
        </w:rPr>
        <w:t>项目支出：指在基本支出之外为完成特定行政任务和事业发展目标所发生的支出。</w:t>
      </w:r>
      <w:r>
        <w:rPr>
          <w:rFonts w:ascii="仿宋_GB2312" w:eastAsia="仿宋_GB2312" w:cs="仿宋_GB2312"/>
          <w:color w:val="000000"/>
          <w:sz w:val="32"/>
          <w:szCs w:val="32"/>
        </w:rPr>
        <w:t xml:space="preserve"> </w:t>
      </w:r>
    </w:p>
    <w:p w14:paraId="2B1581F8">
      <w:pPr>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val="en-US" w:eastAsia="zh-CN"/>
        </w:rPr>
        <w:t>17</w:t>
      </w:r>
      <w:r>
        <w:rPr>
          <w:rFonts w:ascii="仿宋_GB2312" w:eastAsia="仿宋_GB2312" w:cs="仿宋_GB2312"/>
          <w:color w:val="000000"/>
          <w:sz w:val="32"/>
          <w:szCs w:val="32"/>
        </w:rPr>
        <w:t>.</w:t>
      </w:r>
      <w:r>
        <w:rPr>
          <w:rFonts w:hint="eastAsia" w:ascii="仿宋_GB2312" w:eastAsia="仿宋_GB2312" w:cs="仿宋_GB2312"/>
          <w:color w:val="000000"/>
          <w:sz w:val="32"/>
          <w:szCs w:val="32"/>
        </w:rPr>
        <w:t>经营支出：指事业单位在专业业务活动及其辅助活动之外开展非独立核算经营活动发生的支出。</w:t>
      </w:r>
    </w:p>
    <w:p w14:paraId="1B1C7A4D">
      <w:pPr>
        <w:pStyle w:val="31"/>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lang w:val="en-US" w:eastAsia="zh-CN"/>
        </w:rPr>
        <w:t>18</w:t>
      </w:r>
      <w:r>
        <w:rPr>
          <w:rFonts w:ascii="仿宋_GB2312" w:eastAsia="仿宋_GB2312" w:cs="仿宋_GB2312"/>
          <w:sz w:val="32"/>
          <w:szCs w:val="32"/>
        </w:rPr>
        <w:t>.</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C68CDB0">
      <w:pPr>
        <w:pStyle w:val="31"/>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lang w:val="en-US" w:eastAsia="zh-CN"/>
        </w:rPr>
        <w:t>19</w:t>
      </w:r>
      <w:r>
        <w:rPr>
          <w:rFonts w:ascii="仿宋_GB2312" w:eastAsia="仿宋_GB2312" w:cs="仿宋_GB2312"/>
          <w:sz w:val="32"/>
          <w:szCs w:val="32"/>
        </w:rPr>
        <w:t>.</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5D43DAC">
      <w:pPr>
        <w:ind w:firstLine="643" w:firstLineChars="200"/>
        <w:rPr>
          <w:rFonts w:ascii="仿宋" w:hAnsi="仿宋" w:eastAsia="仿宋"/>
          <w:b/>
          <w:bCs/>
          <w:color w:val="000000"/>
          <w:sz w:val="32"/>
          <w:szCs w:val="32"/>
        </w:rPr>
      </w:pPr>
      <w:r>
        <w:rPr>
          <w:rFonts w:hint="eastAsia" w:ascii="仿宋" w:hAnsi="仿宋" w:eastAsia="仿宋" w:cs="仿宋"/>
          <w:b/>
          <w:bCs/>
          <w:color w:val="000000"/>
          <w:sz w:val="32"/>
          <w:szCs w:val="32"/>
        </w:rPr>
        <w:t>（名词解释部分请根据各部门实际列支情况罗列，并根据本部门职责职能增减名词解释内容。）</w:t>
      </w:r>
    </w:p>
    <w:p w14:paraId="0E922DB0">
      <w:pPr>
        <w:spacing w:line="600" w:lineRule="exact"/>
        <w:jc w:val="center"/>
        <w:outlineLvl w:val="0"/>
        <w:rPr>
          <w:rStyle w:val="21"/>
          <w:rFonts w:ascii="黑体" w:hAnsi="黑体" w:eastAsia="黑体"/>
          <w:b w:val="0"/>
          <w:bCs w:val="0"/>
        </w:rPr>
      </w:pPr>
      <w:bookmarkStart w:id="88" w:name="_Toc15377226"/>
      <w:r>
        <w:rPr>
          <w:rFonts w:ascii="宋体"/>
          <w:b/>
          <w:bCs/>
          <w:color w:val="000000"/>
          <w:sz w:val="44"/>
          <w:szCs w:val="44"/>
        </w:rPr>
        <w:br w:type="page"/>
      </w:r>
      <w:bookmarkStart w:id="89" w:name="_Toc15396614"/>
      <w:bookmarkStart w:id="90" w:name="_Toc52180097"/>
      <w:r>
        <w:rPr>
          <w:rFonts w:hint="eastAsia" w:ascii="黑体" w:hAnsi="黑体" w:eastAsia="黑体" w:cs="黑体"/>
          <w:color w:val="000000"/>
          <w:sz w:val="44"/>
          <w:szCs w:val="44"/>
        </w:rPr>
        <w:t>第</w:t>
      </w:r>
      <w:r>
        <w:rPr>
          <w:rStyle w:val="21"/>
          <w:rFonts w:hint="eastAsia" w:ascii="黑体" w:hAnsi="黑体" w:eastAsia="黑体" w:cs="黑体"/>
          <w:b w:val="0"/>
          <w:bCs w:val="0"/>
        </w:rPr>
        <w:t>四部分</w:t>
      </w:r>
      <w:r>
        <w:rPr>
          <w:rStyle w:val="21"/>
          <w:rFonts w:ascii="黑体" w:hAnsi="黑体" w:eastAsia="黑体" w:cs="黑体"/>
          <w:b w:val="0"/>
          <w:bCs w:val="0"/>
        </w:rPr>
        <w:t xml:space="preserve"> </w:t>
      </w:r>
      <w:r>
        <w:rPr>
          <w:rStyle w:val="21"/>
          <w:rFonts w:hint="eastAsia" w:ascii="黑体" w:hAnsi="黑体" w:eastAsia="黑体" w:cs="黑体"/>
          <w:b w:val="0"/>
          <w:bCs w:val="0"/>
        </w:rPr>
        <w:t>附件</w:t>
      </w:r>
      <w:bookmarkEnd w:id="89"/>
      <w:bookmarkEnd w:id="90"/>
    </w:p>
    <w:p w14:paraId="251856A8">
      <w:pPr>
        <w:spacing w:line="600" w:lineRule="exact"/>
        <w:jc w:val="left"/>
        <w:outlineLvl w:val="0"/>
        <w:rPr>
          <w:rFonts w:ascii="方正小标宋简体" w:hAnsi="方正小标宋简体" w:eastAsia="方正小标宋简体"/>
          <w:sz w:val="32"/>
          <w:szCs w:val="32"/>
        </w:rPr>
      </w:pPr>
      <w:bookmarkStart w:id="91" w:name="_Toc52180098"/>
      <w:r>
        <w:rPr>
          <w:rFonts w:hint="eastAsia" w:ascii="黑体" w:hAnsi="黑体" w:eastAsia="黑体" w:cs="黑体"/>
          <w:sz w:val="32"/>
          <w:szCs w:val="32"/>
        </w:rPr>
        <w:t>附件</w:t>
      </w:r>
      <w:r>
        <w:rPr>
          <w:rFonts w:ascii="黑体" w:hAnsi="黑体" w:eastAsia="黑体" w:cs="黑体"/>
          <w:sz w:val="32"/>
          <w:szCs w:val="32"/>
        </w:rPr>
        <w:t>1</w:t>
      </w:r>
      <w:bookmarkEnd w:id="91"/>
    </w:p>
    <w:p w14:paraId="6440316B">
      <w:pPr>
        <w:spacing w:line="580" w:lineRule="exact"/>
        <w:jc w:val="center"/>
        <w:rPr>
          <w:rFonts w:ascii="方正小标宋简体" w:hAnsi="方正小标宋简体" w:eastAsia="方正小标宋简体"/>
          <w:sz w:val="44"/>
          <w:szCs w:val="44"/>
        </w:rPr>
      </w:pPr>
    </w:p>
    <w:p w14:paraId="1D95C833">
      <w:pPr>
        <w:spacing w:line="600" w:lineRule="exact"/>
        <w:jc w:val="center"/>
        <w:rPr>
          <w:rFonts w:ascii="方正小标宋简体" w:hAnsi="宋体" w:eastAsia="方正小标宋简体"/>
          <w:color w:val="000000"/>
          <w:kern w:val="0"/>
          <w:sz w:val="40"/>
          <w:szCs w:val="40"/>
          <w:lang w:val="zh-CN"/>
        </w:rPr>
      </w:pPr>
      <w:r>
        <w:rPr>
          <w:rFonts w:hint="eastAsia" w:ascii="方正小标宋简体" w:hAnsi="宋体" w:eastAsia="方正小标宋简体" w:cs="方正小标宋简体"/>
          <w:color w:val="000000"/>
          <w:kern w:val="0"/>
          <w:sz w:val="40"/>
          <w:szCs w:val="40"/>
        </w:rPr>
        <w:t>盐边</w:t>
      </w:r>
      <w:r>
        <w:rPr>
          <w:rFonts w:hint="eastAsia" w:ascii="方正小标宋简体" w:hAnsi="宋体" w:eastAsia="方正小标宋简体" w:cs="方正小标宋简体"/>
          <w:color w:val="000000"/>
          <w:kern w:val="0"/>
          <w:sz w:val="40"/>
          <w:szCs w:val="40"/>
          <w:lang w:eastAsia="zh-CN"/>
        </w:rPr>
        <w:t>县委政法委2020</w:t>
      </w:r>
      <w:r>
        <w:rPr>
          <w:rFonts w:hint="eastAsia" w:ascii="方正小标宋简体" w:hAnsi="宋体" w:eastAsia="方正小标宋简体" w:cs="方正小标宋简体"/>
          <w:color w:val="000000"/>
          <w:kern w:val="0"/>
          <w:sz w:val="40"/>
          <w:szCs w:val="40"/>
        </w:rPr>
        <w:t>年部门</w:t>
      </w:r>
      <w:r>
        <w:rPr>
          <w:rFonts w:hint="eastAsia" w:ascii="方正小标宋简体" w:hAnsi="宋体" w:eastAsia="方正小标宋简体" w:cs="方正小标宋简体"/>
          <w:color w:val="000000"/>
          <w:kern w:val="0"/>
          <w:sz w:val="40"/>
          <w:szCs w:val="40"/>
          <w:lang w:val="zh-CN"/>
        </w:rPr>
        <w:t>整体支出绩效评价报告</w:t>
      </w:r>
    </w:p>
    <w:p w14:paraId="6734F5E7">
      <w:pPr>
        <w:widowControl/>
        <w:adjustRightInd w:val="0"/>
        <w:snapToGrid w:val="0"/>
        <w:spacing w:line="580" w:lineRule="exact"/>
        <w:ind w:firstLine="480" w:firstLineChars="200"/>
        <w:jc w:val="left"/>
        <w:rPr>
          <w:rFonts w:ascii="黑体" w:hAnsi="宋体" w:eastAsia="黑体"/>
          <w:color w:val="000000"/>
          <w:kern w:val="0"/>
          <w:sz w:val="24"/>
          <w:szCs w:val="24"/>
          <w:shd w:val="clear" w:color="auto" w:fill="FFFFFF"/>
        </w:rPr>
      </w:pPr>
    </w:p>
    <w:p w14:paraId="53D9ED16">
      <w:pPr>
        <w:widowControl/>
        <w:adjustRightInd w:val="0"/>
        <w:snapToGrid w:val="0"/>
        <w:spacing w:line="580" w:lineRule="exact"/>
        <w:ind w:firstLine="640" w:firstLineChars="200"/>
        <w:jc w:val="left"/>
        <w:rPr>
          <w:rFonts w:ascii="黑体" w:hAnsi="宋体" w:eastAsia="黑体"/>
          <w:color w:val="000000"/>
          <w:kern w:val="0"/>
          <w:sz w:val="32"/>
          <w:szCs w:val="32"/>
          <w:shd w:val="clear" w:color="auto" w:fill="FFFFFF"/>
          <w:lang w:val="zh-CN"/>
        </w:rPr>
      </w:pPr>
      <w:r>
        <w:rPr>
          <w:rFonts w:hint="eastAsia" w:ascii="黑体" w:hAnsi="宋体" w:eastAsia="黑体" w:cs="黑体"/>
          <w:color w:val="000000"/>
          <w:kern w:val="0"/>
          <w:sz w:val="32"/>
          <w:szCs w:val="32"/>
          <w:shd w:val="clear" w:color="auto" w:fill="FFFFFF"/>
        </w:rPr>
        <w:t>一、</w:t>
      </w:r>
      <w:r>
        <w:rPr>
          <w:rFonts w:hint="eastAsia" w:ascii="黑体" w:hAnsi="宋体" w:eastAsia="黑体" w:cs="黑体"/>
          <w:color w:val="000000"/>
          <w:kern w:val="0"/>
          <w:sz w:val="32"/>
          <w:szCs w:val="32"/>
          <w:shd w:val="clear" w:color="auto" w:fill="FFFFFF"/>
          <w:lang w:val="zh-CN"/>
        </w:rPr>
        <w:t>部门（单位）概况</w:t>
      </w:r>
    </w:p>
    <w:p w14:paraId="3AA4B2DA">
      <w:pPr>
        <w:widowControl/>
        <w:adjustRightInd w:val="0"/>
        <w:snapToGrid w:val="0"/>
        <w:spacing w:line="580"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（一）机构组成。</w:t>
      </w:r>
    </w:p>
    <w:p w14:paraId="2CA8CE0C">
      <w:pPr>
        <w:widowControl/>
        <w:adjustRightInd w:val="0"/>
        <w:snapToGrid w:val="0"/>
        <w:spacing w:line="580"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eastAsia="仿宋_GB2312" w:cs="仿宋_GB2312"/>
          <w:sz w:val="32"/>
          <w:szCs w:val="32"/>
          <w:lang w:eastAsia="zh-CN"/>
        </w:rPr>
        <w:t>县委政法委</w:t>
      </w:r>
      <w:r>
        <w:rPr>
          <w:rFonts w:hint="eastAsia" w:ascii="仿宋_GB2312" w:eastAsia="仿宋_GB2312" w:cs="仿宋_GB2312"/>
          <w:sz w:val="32"/>
          <w:szCs w:val="32"/>
        </w:rPr>
        <w:t>共有</w:t>
      </w:r>
      <w:r>
        <w:rPr>
          <w:rFonts w:ascii="仿宋_GB2312" w:eastAsia="仿宋_GB2312" w:cs="仿宋_GB2312"/>
          <w:sz w:val="32"/>
          <w:szCs w:val="32"/>
        </w:rPr>
        <w:t>6</w:t>
      </w:r>
      <w:r>
        <w:rPr>
          <w:rFonts w:hint="eastAsia" w:ascii="仿宋_GB2312" w:eastAsia="仿宋_GB2312" w:cs="仿宋_GB2312"/>
          <w:sz w:val="32"/>
          <w:szCs w:val="32"/>
        </w:rPr>
        <w:t>个内设机构分别是：办公室、县委维护社会稳定领导小组办公室、</w:t>
      </w:r>
      <w:r>
        <w:rPr>
          <w:rFonts w:hint="eastAsia" w:ascii="仿宋_GB2312" w:eastAsia="仿宋_GB2312" w:cs="仿宋_GB2312"/>
          <w:color w:val="333333"/>
          <w:sz w:val="32"/>
          <w:szCs w:val="32"/>
        </w:rPr>
        <w:t>县社会治安综合治理委员会办公室、执法督查督办办公室、政治处、机关党支部。</w:t>
      </w:r>
    </w:p>
    <w:p w14:paraId="512EABA2">
      <w:pPr>
        <w:widowControl/>
        <w:adjustRightInd w:val="0"/>
        <w:snapToGrid w:val="0"/>
        <w:spacing w:line="580"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（二）机构职能。</w:t>
      </w:r>
    </w:p>
    <w:p w14:paraId="3A442DE5">
      <w:pPr>
        <w:pStyle w:val="8"/>
        <w:adjustRightInd w:val="0"/>
        <w:spacing w:beforeLines="0" w:line="560" w:lineRule="exact"/>
        <w:ind w:firstLine="672" w:firstLineChars="210"/>
        <w:rPr>
          <w:rFonts w:ascii="Times New Roman" w:cs="Times New Roman"/>
          <w:sz w:val="32"/>
          <w:szCs w:val="32"/>
        </w:rPr>
      </w:pPr>
      <w:r>
        <w:rPr>
          <w:rFonts w:ascii="Times New Roman" w:cs="Times New Roman"/>
          <w:sz w:val="32"/>
          <w:szCs w:val="32"/>
        </w:rPr>
        <w:t>1.</w:t>
      </w:r>
      <w:r>
        <w:rPr>
          <w:rFonts w:hint="eastAsia" w:ascii="Times New Roman"/>
          <w:sz w:val="32"/>
          <w:szCs w:val="32"/>
        </w:rPr>
        <w:t>根据党中央的路线、方针、政策和县委的部署，统一政法各部门的思想和行动，确保政法部门的执法活动坚持正确的政治方向。</w:t>
      </w:r>
    </w:p>
    <w:p w14:paraId="1B7C5DA7">
      <w:pPr>
        <w:pStyle w:val="8"/>
        <w:adjustRightInd w:val="0"/>
        <w:spacing w:beforeLines="0" w:line="560" w:lineRule="exact"/>
        <w:ind w:firstLine="672" w:firstLineChars="210"/>
        <w:rPr>
          <w:rFonts w:ascii="Times New Roman" w:cs="Times New Roman"/>
          <w:sz w:val="32"/>
          <w:szCs w:val="32"/>
        </w:rPr>
      </w:pPr>
      <w:r>
        <w:rPr>
          <w:rFonts w:ascii="Times New Roman" w:cs="Times New Roman"/>
          <w:sz w:val="32"/>
          <w:szCs w:val="32"/>
        </w:rPr>
        <w:t>2.</w:t>
      </w:r>
      <w:r>
        <w:rPr>
          <w:rFonts w:hint="eastAsia" w:ascii="Times New Roman"/>
          <w:sz w:val="32"/>
          <w:szCs w:val="32"/>
        </w:rPr>
        <w:t>研究制定贯彻落实党中央、省委、市委和县委关于政法工作的方针、政策和维护社会稳定工作的指示措施，及时向县委提出意见和建议，对一定时期内的政法工作、社会治安综合治理工作、社会稳定工作作出全局性的部署，并督促检查，抓好贯彻落实。</w:t>
      </w:r>
    </w:p>
    <w:p w14:paraId="52DBADB7">
      <w:pPr>
        <w:pStyle w:val="8"/>
        <w:adjustRightInd w:val="0"/>
        <w:spacing w:beforeLines="0" w:line="560" w:lineRule="exact"/>
        <w:ind w:firstLine="672" w:firstLineChars="210"/>
        <w:rPr>
          <w:rFonts w:ascii="Times New Roman" w:cs="Times New Roman"/>
          <w:sz w:val="32"/>
          <w:szCs w:val="32"/>
        </w:rPr>
      </w:pPr>
      <w:r>
        <w:rPr>
          <w:rFonts w:ascii="Times New Roman" w:cs="Times New Roman"/>
          <w:sz w:val="32"/>
          <w:szCs w:val="32"/>
        </w:rPr>
        <w:t>3.</w:t>
      </w:r>
      <w:r>
        <w:rPr>
          <w:rFonts w:hint="eastAsia" w:ascii="Times New Roman"/>
          <w:sz w:val="32"/>
          <w:szCs w:val="32"/>
        </w:rPr>
        <w:t>加强对政法工作的督查。指导全县政法系统网络安全和智能化建设工作。</w:t>
      </w:r>
    </w:p>
    <w:p w14:paraId="11BB7B9C">
      <w:pPr>
        <w:pStyle w:val="8"/>
        <w:adjustRightInd w:val="0"/>
        <w:spacing w:beforeLines="0" w:line="560" w:lineRule="exact"/>
        <w:ind w:firstLine="672" w:firstLineChars="210"/>
        <w:rPr>
          <w:rFonts w:ascii="Times New Roman" w:cs="Times New Roman"/>
          <w:sz w:val="32"/>
          <w:szCs w:val="32"/>
        </w:rPr>
      </w:pPr>
      <w:r>
        <w:rPr>
          <w:rFonts w:ascii="Times New Roman" w:cs="Times New Roman"/>
          <w:sz w:val="32"/>
          <w:szCs w:val="32"/>
        </w:rPr>
        <w:t>4.</w:t>
      </w:r>
      <w:r>
        <w:rPr>
          <w:rFonts w:hint="eastAsia" w:ascii="Times New Roman"/>
          <w:sz w:val="32"/>
          <w:szCs w:val="32"/>
        </w:rPr>
        <w:t>组织推动政法工作的调查研究，推动政法工作改革。</w:t>
      </w:r>
    </w:p>
    <w:p w14:paraId="582BD91E">
      <w:pPr>
        <w:pStyle w:val="8"/>
        <w:adjustRightInd w:val="0"/>
        <w:spacing w:beforeLines="0" w:line="560" w:lineRule="exact"/>
        <w:ind w:firstLine="672" w:firstLineChars="210"/>
        <w:rPr>
          <w:rFonts w:ascii="Times New Roman" w:cs="Times New Roman"/>
          <w:sz w:val="32"/>
          <w:szCs w:val="32"/>
        </w:rPr>
      </w:pPr>
      <w:r>
        <w:rPr>
          <w:rFonts w:ascii="Times New Roman" w:cs="Times New Roman"/>
          <w:sz w:val="32"/>
          <w:szCs w:val="32"/>
        </w:rPr>
        <w:t>5.</w:t>
      </w:r>
      <w:r>
        <w:rPr>
          <w:rFonts w:hint="eastAsia" w:ascii="Times New Roman"/>
          <w:sz w:val="32"/>
          <w:szCs w:val="32"/>
        </w:rPr>
        <w:t>监督检查政法部门执行宪法、</w:t>
      </w:r>
      <w:r>
        <w:rPr>
          <w:rFonts w:hint="eastAsia" w:ascii="Times New Roman"/>
          <w:sz w:val="32"/>
          <w:szCs w:val="32"/>
          <w:lang w:eastAsia="zh-CN"/>
        </w:rPr>
        <w:t>法律法规</w:t>
      </w:r>
      <w:r>
        <w:rPr>
          <w:rFonts w:hint="eastAsia" w:ascii="Times New Roman"/>
          <w:sz w:val="32"/>
          <w:szCs w:val="32"/>
        </w:rPr>
        <w:t>和公正司法情况，研究制定严格执法、维护司法公正的具体措施。监督和支持政法各部门依法行使职权，指导和协调政法部门密切配合，研究和协调重大、疑难案件，推进严格执法、公正司法。</w:t>
      </w:r>
    </w:p>
    <w:p w14:paraId="617E1617">
      <w:pPr>
        <w:pStyle w:val="8"/>
        <w:adjustRightInd w:val="0"/>
        <w:spacing w:beforeLines="0" w:line="560" w:lineRule="exact"/>
        <w:ind w:firstLine="672" w:firstLineChars="210"/>
        <w:rPr>
          <w:rFonts w:ascii="Times New Roman" w:cs="Times New Roman"/>
          <w:sz w:val="32"/>
          <w:szCs w:val="32"/>
        </w:rPr>
      </w:pPr>
      <w:r>
        <w:rPr>
          <w:rFonts w:ascii="Times New Roman" w:cs="Times New Roman"/>
          <w:sz w:val="32"/>
          <w:szCs w:val="32"/>
        </w:rPr>
        <w:t>6.</w:t>
      </w:r>
      <w:r>
        <w:rPr>
          <w:rFonts w:hint="eastAsia" w:ascii="Times New Roman"/>
          <w:sz w:val="32"/>
          <w:szCs w:val="32"/>
        </w:rPr>
        <w:t>指导推动政法系统党的建设和政法队伍建设，研究加强全县政法队伍建设的措施，协助县委、县委组织部考察、管理政法部门领导班子和领导干部，协助县委、县</w:t>
      </w:r>
      <w:r>
        <w:rPr>
          <w:rFonts w:hint="eastAsia" w:ascii="Times New Roman"/>
          <w:sz w:val="32"/>
          <w:szCs w:val="32"/>
          <w:lang w:eastAsia="zh-CN"/>
        </w:rPr>
        <w:t>纪检监察机关</w:t>
      </w:r>
      <w:r>
        <w:rPr>
          <w:rFonts w:hint="eastAsia" w:ascii="Times New Roman"/>
          <w:sz w:val="32"/>
          <w:szCs w:val="32"/>
        </w:rPr>
        <w:t>做好监督检查和审查调查工作。代管盐边县法学会。</w:t>
      </w:r>
    </w:p>
    <w:p w14:paraId="2A766C08">
      <w:pPr>
        <w:pStyle w:val="8"/>
        <w:adjustRightInd w:val="0"/>
        <w:spacing w:beforeLines="0" w:line="560" w:lineRule="exact"/>
        <w:ind w:firstLine="672" w:firstLineChars="210"/>
        <w:rPr>
          <w:rFonts w:ascii="Times New Roman" w:cs="Times New Roman"/>
          <w:sz w:val="32"/>
          <w:szCs w:val="32"/>
        </w:rPr>
      </w:pPr>
      <w:r>
        <w:rPr>
          <w:rFonts w:ascii="Times New Roman" w:cs="Times New Roman"/>
          <w:sz w:val="32"/>
          <w:szCs w:val="32"/>
        </w:rPr>
        <w:t>7.</w:t>
      </w:r>
      <w:r>
        <w:rPr>
          <w:rFonts w:hint="eastAsia" w:ascii="Times New Roman"/>
          <w:sz w:val="32"/>
          <w:szCs w:val="32"/>
        </w:rPr>
        <w:t>承担全县社会治安综合治理工作的调查分析、组织协调和监督检查，协调推动各项综治工作措施的落实。</w:t>
      </w:r>
    </w:p>
    <w:p w14:paraId="55394560">
      <w:pPr>
        <w:pStyle w:val="8"/>
        <w:adjustRightInd w:val="0"/>
        <w:spacing w:beforeLines="0" w:line="560" w:lineRule="exact"/>
        <w:ind w:firstLine="672" w:firstLineChars="210"/>
        <w:rPr>
          <w:rFonts w:ascii="Times New Roman" w:cs="Times New Roman"/>
          <w:sz w:val="32"/>
          <w:szCs w:val="32"/>
        </w:rPr>
      </w:pPr>
      <w:r>
        <w:rPr>
          <w:rFonts w:ascii="Times New Roman" w:cs="Times New Roman"/>
          <w:sz w:val="32"/>
          <w:szCs w:val="32"/>
        </w:rPr>
        <w:t>8.</w:t>
      </w:r>
      <w:r>
        <w:rPr>
          <w:rFonts w:hint="eastAsia" w:ascii="Times New Roman"/>
          <w:sz w:val="32"/>
          <w:szCs w:val="32"/>
        </w:rPr>
        <w:t>指导全县维护社会稳定工作。协调推动相关部门做好反邪教工作。</w:t>
      </w:r>
    </w:p>
    <w:p w14:paraId="3D80BDC9">
      <w:pPr>
        <w:pStyle w:val="8"/>
        <w:adjustRightInd w:val="0"/>
        <w:spacing w:beforeLines="0" w:line="560" w:lineRule="exact"/>
        <w:ind w:firstLine="672" w:firstLineChars="210"/>
        <w:rPr>
          <w:rFonts w:ascii="Times New Roman" w:cs="Times New Roman"/>
          <w:sz w:val="32"/>
          <w:szCs w:val="32"/>
        </w:rPr>
      </w:pPr>
      <w:r>
        <w:rPr>
          <w:rFonts w:ascii="Times New Roman" w:cs="Times New Roman"/>
          <w:sz w:val="32"/>
          <w:szCs w:val="32"/>
        </w:rPr>
        <w:t>9.</w:t>
      </w:r>
      <w:r>
        <w:rPr>
          <w:rFonts w:hint="eastAsia" w:ascii="Times New Roman"/>
          <w:sz w:val="32"/>
          <w:szCs w:val="32"/>
        </w:rPr>
        <w:t>完成县委政法委</w:t>
      </w:r>
      <w:r>
        <w:rPr>
          <w:rFonts w:hint="eastAsia" w:ascii="Times New Roman"/>
          <w:sz w:val="32"/>
          <w:szCs w:val="32"/>
          <w:lang w:eastAsia="zh-CN"/>
        </w:rPr>
        <w:t>“三定”规定</w:t>
      </w:r>
      <w:r>
        <w:rPr>
          <w:rFonts w:hint="eastAsia" w:ascii="Times New Roman"/>
          <w:sz w:val="32"/>
          <w:szCs w:val="32"/>
        </w:rPr>
        <w:t>中明确的其他工作职责。</w:t>
      </w:r>
    </w:p>
    <w:p w14:paraId="5861F4E5">
      <w:pPr>
        <w:pStyle w:val="8"/>
        <w:adjustRightInd w:val="0"/>
        <w:spacing w:beforeLines="0" w:line="560" w:lineRule="exact"/>
        <w:ind w:firstLine="672" w:firstLineChars="210"/>
        <w:rPr>
          <w:rFonts w:ascii="Times New Roman" w:cs="Times New Roman"/>
          <w:sz w:val="32"/>
          <w:szCs w:val="32"/>
        </w:rPr>
      </w:pPr>
      <w:r>
        <w:rPr>
          <w:sz w:val="32"/>
          <w:szCs w:val="32"/>
        </w:rPr>
        <w:t>10.</w:t>
      </w:r>
      <w:r>
        <w:rPr>
          <w:rFonts w:hint="eastAsia"/>
          <w:sz w:val="32"/>
          <w:szCs w:val="32"/>
        </w:rPr>
        <w:t>完成县委交办的其他任务。</w:t>
      </w:r>
    </w:p>
    <w:p w14:paraId="1728295A">
      <w:pPr>
        <w:widowControl/>
        <w:adjustRightInd w:val="0"/>
        <w:snapToGrid w:val="0"/>
        <w:spacing w:line="580"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（三）人员概况。</w:t>
      </w:r>
    </w:p>
    <w:p w14:paraId="73F1559A">
      <w:pPr>
        <w:pStyle w:val="8"/>
        <w:adjustRightInd w:val="0"/>
        <w:spacing w:line="560" w:lineRule="exact"/>
        <w:ind w:firstLine="800" w:firstLineChars="25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2020年末在职人员</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人，其中行政在编人员</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人，事业在编人员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人，退休人员</w:t>
      </w:r>
      <w:r>
        <w:rPr>
          <w:rFonts w:hint="eastAsia" w:ascii="仿宋_GB2312" w:hAnsi="仿宋_GB2312" w:eastAsia="仿宋_GB2312" w:cs="仿宋_GB2312"/>
          <w:sz w:val="32"/>
          <w:szCs w:val="32"/>
          <w:lang w:val="en-US"/>
        </w:rPr>
        <w:t xml:space="preserve">2人。 </w:t>
      </w:r>
    </w:p>
    <w:p w14:paraId="7B11C7FE">
      <w:pPr>
        <w:widowControl/>
        <w:adjustRightInd w:val="0"/>
        <w:snapToGrid w:val="0"/>
        <w:spacing w:line="580" w:lineRule="exact"/>
        <w:ind w:firstLine="640" w:firstLineChars="200"/>
        <w:jc w:val="left"/>
        <w:rPr>
          <w:rFonts w:ascii="黑体" w:hAnsi="宋体" w:eastAsia="黑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rPr>
        <w:t>二、部门财政资金收支情况</w:t>
      </w:r>
    </w:p>
    <w:p w14:paraId="6E4D3FD2">
      <w:pPr>
        <w:widowControl/>
        <w:adjustRightInd w:val="0"/>
        <w:snapToGrid w:val="0"/>
        <w:spacing w:line="580"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（一）部门财政资金收入情况。</w:t>
      </w:r>
    </w:p>
    <w:p w14:paraId="3472192C">
      <w:pPr>
        <w:spacing w:line="600" w:lineRule="exact"/>
        <w:ind w:firstLine="640" w:firstLineChars="200"/>
        <w:outlineLvl w:val="1"/>
        <w:rPr>
          <w:rFonts w:ascii="仿宋" w:hAnsi="仿宋" w:eastAsia="仿宋"/>
          <w:color w:val="000000"/>
          <w:sz w:val="32"/>
          <w:szCs w:val="32"/>
        </w:rPr>
      </w:pPr>
      <w:r>
        <w:rPr>
          <w:rFonts w:hint="eastAsia" w:ascii="仿宋" w:hAnsi="仿宋" w:eastAsia="仿宋" w:cs="仿宋"/>
          <w:color w:val="000000"/>
          <w:sz w:val="32"/>
          <w:szCs w:val="32"/>
          <w:lang w:eastAsia="zh-CN"/>
        </w:rPr>
        <w:t>2020</w:t>
      </w:r>
      <w:r>
        <w:rPr>
          <w:rFonts w:hint="eastAsia" w:ascii="仿宋" w:hAnsi="仿宋" w:eastAsia="仿宋" w:cs="仿宋"/>
          <w:color w:val="000000"/>
          <w:sz w:val="32"/>
          <w:szCs w:val="32"/>
        </w:rPr>
        <w:t>年本年收入合计</w:t>
      </w:r>
      <w:r>
        <w:rPr>
          <w:rFonts w:hint="eastAsia" w:ascii="仿宋" w:hAnsi="仿宋" w:eastAsia="仿宋" w:cs="仿宋"/>
          <w:color w:val="000000"/>
          <w:sz w:val="32"/>
          <w:szCs w:val="32"/>
          <w:lang w:val="en-US" w:eastAsia="zh-CN"/>
        </w:rPr>
        <w:t>512.08</w:t>
      </w:r>
      <w:r>
        <w:rPr>
          <w:rFonts w:hint="eastAsia" w:ascii="仿宋" w:hAnsi="仿宋" w:eastAsia="仿宋" w:cs="仿宋"/>
          <w:color w:val="000000"/>
          <w:sz w:val="32"/>
          <w:szCs w:val="32"/>
        </w:rPr>
        <w:t>万元，其中：一般公共预算财政拨款收入</w:t>
      </w:r>
      <w:r>
        <w:rPr>
          <w:rFonts w:hint="eastAsia" w:ascii="仿宋" w:hAnsi="仿宋" w:eastAsia="仿宋" w:cs="仿宋"/>
          <w:color w:val="000000"/>
          <w:sz w:val="32"/>
          <w:szCs w:val="32"/>
          <w:lang w:val="en-US" w:eastAsia="zh-CN"/>
        </w:rPr>
        <w:t>512.08</w:t>
      </w:r>
      <w:r>
        <w:rPr>
          <w:rFonts w:hint="eastAsia" w:ascii="仿宋" w:hAnsi="仿宋" w:eastAsia="仿宋" w:cs="仿宋"/>
          <w:color w:val="000000"/>
          <w:sz w:val="32"/>
          <w:szCs w:val="32"/>
        </w:rPr>
        <w:t>万元，占</w:t>
      </w:r>
      <w:r>
        <w:rPr>
          <w:rFonts w:ascii="仿宋" w:hAnsi="仿宋" w:eastAsia="仿宋" w:cs="仿宋"/>
          <w:color w:val="000000"/>
          <w:sz w:val="32"/>
          <w:szCs w:val="32"/>
        </w:rPr>
        <w:t>100%</w:t>
      </w:r>
      <w:r>
        <w:rPr>
          <w:rFonts w:hint="eastAsia" w:ascii="仿宋" w:hAnsi="仿宋" w:eastAsia="仿宋" w:cs="仿宋"/>
          <w:color w:val="000000"/>
          <w:sz w:val="32"/>
          <w:szCs w:val="32"/>
        </w:rPr>
        <w:t>；政府性基金预算财政拨款收入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；上级补助收入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；事业收入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；经营收入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；附属单位上缴收入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；其他收入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w:t>
      </w:r>
    </w:p>
    <w:p w14:paraId="3D72A706">
      <w:pPr>
        <w:widowControl/>
        <w:adjustRightInd w:val="0"/>
        <w:snapToGrid w:val="0"/>
        <w:spacing w:line="580"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（二）部门财政资金支出情况。</w:t>
      </w:r>
    </w:p>
    <w:p w14:paraId="679AAF3C">
      <w:pPr>
        <w:widowControl/>
        <w:adjustRightInd w:val="0"/>
        <w:snapToGrid w:val="0"/>
        <w:spacing w:line="580" w:lineRule="exact"/>
        <w:ind w:firstLine="640" w:firstLineChars="200"/>
        <w:jc w:val="left"/>
        <w:rPr>
          <w:rFonts w:ascii="黑体" w:hAnsi="宋体" w:eastAsia="黑体"/>
          <w:color w:val="000000"/>
          <w:kern w:val="0"/>
          <w:sz w:val="32"/>
          <w:szCs w:val="32"/>
          <w:shd w:val="clear" w:color="auto" w:fill="FFFFFF"/>
        </w:rPr>
      </w:pPr>
      <w:r>
        <w:rPr>
          <w:rFonts w:hint="eastAsia" w:ascii="仿宋" w:hAnsi="仿宋" w:eastAsia="仿宋" w:cs="仿宋"/>
          <w:color w:val="000000"/>
          <w:sz w:val="32"/>
          <w:szCs w:val="32"/>
          <w:lang w:eastAsia="zh-CN"/>
        </w:rPr>
        <w:t>2020</w:t>
      </w:r>
      <w:r>
        <w:rPr>
          <w:rFonts w:hint="eastAsia" w:ascii="仿宋" w:hAnsi="仿宋" w:eastAsia="仿宋" w:cs="仿宋"/>
          <w:color w:val="000000"/>
          <w:sz w:val="32"/>
          <w:szCs w:val="32"/>
        </w:rPr>
        <w:t>年一般公共预算财政拨款支出</w:t>
      </w:r>
      <w:r>
        <w:rPr>
          <w:rFonts w:hint="eastAsia" w:ascii="仿宋" w:hAnsi="仿宋" w:eastAsia="仿宋" w:cs="仿宋"/>
          <w:color w:val="000000"/>
          <w:sz w:val="32"/>
          <w:szCs w:val="32"/>
          <w:lang w:val="en-US" w:eastAsia="zh-CN"/>
        </w:rPr>
        <w:t>512.08</w:t>
      </w:r>
      <w:r>
        <w:rPr>
          <w:rFonts w:hint="eastAsia" w:ascii="仿宋" w:hAnsi="仿宋" w:eastAsia="仿宋" w:cs="仿宋"/>
          <w:color w:val="000000"/>
          <w:sz w:val="32"/>
          <w:szCs w:val="32"/>
        </w:rPr>
        <w:t>万元，主要用于以下方面</w:t>
      </w:r>
      <w:r>
        <w:rPr>
          <w:rFonts w:hint="eastAsia" w:ascii="仿宋" w:hAnsi="仿宋" w:eastAsia="仿宋" w:cs="仿宋"/>
          <w:color w:val="000000"/>
          <w:sz w:val="32"/>
          <w:szCs w:val="32"/>
          <w:lang w:eastAsia="zh-CN"/>
        </w:rPr>
        <w:t>：</w:t>
      </w:r>
      <w:r>
        <w:rPr>
          <w:rFonts w:ascii="仿宋" w:hAnsi="仿宋" w:eastAsia="仿宋" w:cs="仿宋"/>
          <w:color w:val="000000"/>
          <w:sz w:val="32"/>
          <w:szCs w:val="32"/>
        </w:rPr>
        <w:t xml:space="preserve"> </w:t>
      </w:r>
      <w:r>
        <w:rPr>
          <w:rFonts w:hint="eastAsia" w:ascii="仿宋" w:hAnsi="仿宋" w:eastAsia="仿宋" w:cs="仿宋"/>
          <w:b/>
          <w:bCs/>
          <w:color w:val="000000"/>
          <w:sz w:val="32"/>
          <w:szCs w:val="32"/>
        </w:rPr>
        <w:t>一般公共服务（类）</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309.02</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60.35</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公共安全支出（类）</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158.96</w:t>
      </w:r>
      <w:r>
        <w:rPr>
          <w:rFonts w:hint="eastAsia" w:ascii="仿宋" w:hAnsi="仿宋" w:eastAsia="仿宋" w:cs="仿宋"/>
          <w:color w:val="000000"/>
          <w:sz w:val="32"/>
          <w:szCs w:val="32"/>
        </w:rPr>
        <w:t>万元</w:t>
      </w:r>
      <w:r>
        <w:rPr>
          <w:rFonts w:hint="eastAsia" w:ascii="仿宋" w:hAnsi="仿宋" w:eastAsia="仿宋" w:cs="仿宋"/>
          <w:b/>
          <w:bCs/>
          <w:color w:val="000000"/>
          <w:sz w:val="32"/>
          <w:szCs w:val="32"/>
        </w:rPr>
        <w:t>，</w:t>
      </w:r>
      <w:r>
        <w:rPr>
          <w:rFonts w:hint="eastAsia" w:ascii="仿宋" w:hAnsi="仿宋" w:eastAsia="仿宋" w:cs="仿宋"/>
          <w:color w:val="000000"/>
          <w:sz w:val="32"/>
          <w:szCs w:val="32"/>
        </w:rPr>
        <w:t>占</w:t>
      </w:r>
      <w:r>
        <w:rPr>
          <w:rFonts w:hint="eastAsia" w:ascii="仿宋" w:hAnsi="仿宋" w:eastAsia="仿宋" w:cs="仿宋"/>
          <w:color w:val="000000"/>
          <w:sz w:val="32"/>
          <w:szCs w:val="32"/>
          <w:lang w:val="en-US" w:eastAsia="zh-CN"/>
        </w:rPr>
        <w:t>31.04</w:t>
      </w:r>
      <w:r>
        <w:rPr>
          <w:rFonts w:ascii="仿宋" w:hAnsi="仿宋" w:eastAsia="仿宋" w:cs="仿宋"/>
          <w:color w:val="000000"/>
          <w:sz w:val="32"/>
          <w:szCs w:val="32"/>
        </w:rPr>
        <w:t>%</w:t>
      </w:r>
      <w:r>
        <w:rPr>
          <w:rFonts w:hint="eastAsia" w:ascii="仿宋" w:hAnsi="仿宋" w:eastAsia="仿宋" w:cs="仿宋"/>
          <w:b/>
          <w:bCs/>
          <w:color w:val="000000"/>
          <w:sz w:val="32"/>
          <w:szCs w:val="32"/>
          <w:lang w:eastAsia="zh-CN"/>
        </w:rPr>
        <w:t>卫生健康</w:t>
      </w:r>
      <w:r>
        <w:rPr>
          <w:rFonts w:hint="eastAsia" w:ascii="仿宋" w:hAnsi="仿宋" w:eastAsia="仿宋" w:cs="仿宋"/>
          <w:b/>
          <w:bCs/>
          <w:color w:val="000000"/>
          <w:sz w:val="32"/>
          <w:szCs w:val="32"/>
        </w:rPr>
        <w:t>（类）</w:t>
      </w:r>
      <w:r>
        <w:rPr>
          <w:rFonts w:hint="eastAsia" w:ascii="仿宋" w:hAnsi="仿宋" w:eastAsia="仿宋" w:cs="仿宋"/>
          <w:b w:val="0"/>
          <w:bCs w:val="0"/>
          <w:color w:val="auto"/>
          <w:sz w:val="32"/>
          <w:szCs w:val="32"/>
          <w:lang w:eastAsia="zh-CN"/>
        </w:rPr>
        <w:t>支出</w:t>
      </w:r>
      <w:r>
        <w:rPr>
          <w:rFonts w:hint="eastAsia" w:ascii="仿宋" w:hAnsi="仿宋" w:eastAsia="仿宋" w:cs="仿宋"/>
          <w:color w:val="000000"/>
          <w:sz w:val="32"/>
          <w:szCs w:val="32"/>
          <w:lang w:val="en-US" w:eastAsia="zh-CN"/>
        </w:rPr>
        <w:t>1.33</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0.27</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lang w:eastAsia="zh-CN"/>
        </w:rPr>
        <w:t>农林水</w:t>
      </w:r>
      <w:r>
        <w:rPr>
          <w:rFonts w:hint="eastAsia" w:ascii="仿宋" w:hAnsi="仿宋" w:eastAsia="仿宋" w:cs="仿宋"/>
          <w:b/>
          <w:bCs/>
          <w:color w:val="000000"/>
          <w:sz w:val="32"/>
          <w:szCs w:val="32"/>
        </w:rPr>
        <w:t>（类）</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1.71</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0.34</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社会保障和就业（类）</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18.89</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3.69</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住房保障（类）</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22.16</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4.31</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黑体" w:hAnsi="宋体" w:eastAsia="黑体" w:cs="黑体"/>
          <w:color w:val="000000"/>
          <w:kern w:val="0"/>
          <w:sz w:val="32"/>
          <w:szCs w:val="32"/>
          <w:shd w:val="clear" w:color="auto" w:fill="FFFFFF"/>
        </w:rPr>
        <w:t>三、部门整体预算绩效管理情况</w:t>
      </w:r>
    </w:p>
    <w:p w14:paraId="18A8FEC3">
      <w:pPr>
        <w:widowControl/>
        <w:adjustRightInd w:val="0"/>
        <w:snapToGrid w:val="0"/>
        <w:spacing w:line="580"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（一）部门预算管理。</w:t>
      </w:r>
    </w:p>
    <w:p w14:paraId="63A6993D">
      <w:pPr>
        <w:spacing w:line="600" w:lineRule="exact"/>
        <w:ind w:firstLine="640"/>
        <w:rPr>
          <w:rFonts w:ascii="仿宋" w:hAnsi="仿宋" w:eastAsia="仿宋"/>
          <w:sz w:val="32"/>
          <w:szCs w:val="32"/>
        </w:rPr>
      </w:pPr>
      <w:r>
        <w:rPr>
          <w:rFonts w:hint="eastAsia" w:ascii="仿宋" w:hAnsi="仿宋" w:eastAsia="仿宋" w:cs="仿宋"/>
          <w:sz w:val="32"/>
          <w:szCs w:val="32"/>
        </w:rPr>
        <w:t>盐边</w:t>
      </w:r>
      <w:r>
        <w:rPr>
          <w:rFonts w:hint="eastAsia" w:ascii="仿宋" w:hAnsi="仿宋" w:eastAsia="仿宋" w:cs="仿宋"/>
          <w:sz w:val="32"/>
          <w:szCs w:val="32"/>
          <w:lang w:eastAsia="zh-CN"/>
        </w:rPr>
        <w:t>县委政法委</w:t>
      </w:r>
      <w:r>
        <w:rPr>
          <w:rFonts w:hint="eastAsia" w:ascii="仿宋" w:hAnsi="仿宋" w:eastAsia="仿宋" w:cs="仿宋"/>
          <w:sz w:val="32"/>
          <w:szCs w:val="32"/>
        </w:rPr>
        <w:t>严格按照财政局预算规定执行，并要求各用款部门按工作实际申报用款预算，并提供对应依据及绩效目标。预算编制严格在线录入，预算动态全程在市财政监控下进行；预算执行严格按照工作进度和工作流程进行有计划推进，要求执行进度与绩效挂钩，保证工作推进力度，且无违反财经纪律的问题发生。</w:t>
      </w:r>
    </w:p>
    <w:p w14:paraId="65DA049F">
      <w:pPr>
        <w:widowControl/>
        <w:adjustRightInd w:val="0"/>
        <w:snapToGrid w:val="0"/>
        <w:spacing w:line="580" w:lineRule="exact"/>
        <w:ind w:firstLine="640" w:firstLineChars="200"/>
        <w:jc w:val="left"/>
        <w:rPr>
          <w:rFonts w:ascii="仿宋_GB2312" w:hAnsi="宋体" w:eastAsia="仿宋_GB2312"/>
          <w:color w:val="000000"/>
          <w:kern w:val="0"/>
          <w:sz w:val="32"/>
          <w:szCs w:val="32"/>
          <w:shd w:val="clear" w:color="auto" w:fill="FFFFFF"/>
          <w:lang w:val="zh-CN"/>
        </w:rPr>
      </w:pPr>
      <w:r>
        <w:rPr>
          <w:rFonts w:hint="eastAsia" w:ascii="仿宋_GB2312" w:hAnsi="宋体" w:eastAsia="仿宋_GB2312" w:cs="仿宋_GB2312"/>
          <w:color w:val="000000"/>
          <w:kern w:val="0"/>
          <w:sz w:val="32"/>
          <w:szCs w:val="32"/>
          <w:shd w:val="clear" w:color="auto" w:fill="FFFFFF"/>
          <w:lang w:val="zh-CN"/>
        </w:rPr>
        <w:t>（二）结果应用情况。</w:t>
      </w:r>
    </w:p>
    <w:p w14:paraId="03E060A5">
      <w:pPr>
        <w:spacing w:line="580" w:lineRule="exact"/>
        <w:ind w:firstLine="640" w:firstLineChars="200"/>
        <w:rPr>
          <w:rFonts w:ascii="仿宋" w:hAnsi="仿宋" w:eastAsia="仿宋"/>
          <w:sz w:val="32"/>
          <w:szCs w:val="32"/>
        </w:rPr>
      </w:pPr>
      <w:r>
        <w:rPr>
          <w:rFonts w:hint="eastAsia" w:ascii="仿宋" w:hAnsi="仿宋" w:eastAsia="仿宋" w:cs="仿宋"/>
          <w:sz w:val="32"/>
          <w:szCs w:val="32"/>
        </w:rPr>
        <w:t>单位内部按照工作完成的目标计划和推进力度，在绩效目标考核中予以倾斜，评价结果和应用结果都及时反馈给各科室负责人。</w:t>
      </w:r>
    </w:p>
    <w:p w14:paraId="5E052CD9">
      <w:pPr>
        <w:widowControl/>
        <w:adjustRightInd w:val="0"/>
        <w:snapToGrid w:val="0"/>
        <w:spacing w:line="580" w:lineRule="exact"/>
        <w:ind w:firstLine="640" w:firstLineChars="200"/>
        <w:jc w:val="left"/>
        <w:rPr>
          <w:rFonts w:ascii="黑体" w:hAnsi="宋体" w:eastAsia="黑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rPr>
        <w:t>四、评价结论及建议</w:t>
      </w:r>
    </w:p>
    <w:p w14:paraId="771DC61C">
      <w:pPr>
        <w:widowControl/>
        <w:adjustRightInd w:val="0"/>
        <w:snapToGrid w:val="0"/>
        <w:spacing w:line="580" w:lineRule="exact"/>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（一）评价结论。</w:t>
      </w:r>
    </w:p>
    <w:p w14:paraId="1F724A3F">
      <w:pPr>
        <w:pStyle w:val="15"/>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2020</w:t>
      </w:r>
      <w:r>
        <w:rPr>
          <w:rFonts w:hint="eastAsia" w:ascii="仿宋_GB2312" w:hAnsi="仿宋_GB2312" w:eastAsia="仿宋_GB2312" w:cs="仿宋_GB2312"/>
          <w:kern w:val="2"/>
          <w:sz w:val="32"/>
          <w:szCs w:val="32"/>
        </w:rPr>
        <w:t>年，政法委认真做好年度财政资金的预算编制工作，按照政府采购目录及采购限额标准编制政府采购预算，做到应编尽编。在资金使用和管理方面，进一步强化资金统筹，优化资金结构，明确开支范围，细化资金用途，确保部门职责任务顺利完成。全年基本支出保证了部门的正常运行和日常工作的正常开展，达到预期绩效目标。</w:t>
      </w:r>
    </w:p>
    <w:p w14:paraId="7DB7A3C5">
      <w:pPr>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（二）存在问题</w:t>
      </w:r>
    </w:p>
    <w:p w14:paraId="564419AC">
      <w:pPr>
        <w:pStyle w:val="15"/>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 资金使用效益有待进一步提高</w:t>
      </w:r>
    </w:p>
    <w:p w14:paraId="0D4FAD90">
      <w:pPr>
        <w:pStyle w:val="15"/>
        <w:spacing w:before="0" w:beforeAutospacing="0" w:after="0" w:afterAutospacing="0" w:line="560" w:lineRule="exact"/>
        <w:ind w:firstLine="640"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kern w:val="2"/>
          <w:sz w:val="32"/>
          <w:szCs w:val="32"/>
        </w:rPr>
        <w:t>2.绩效目标设立不够明确、细化和量化。项目单位虽然设立了项目资金绩效目标，但目标不够明确、细化和量化。</w:t>
      </w:r>
    </w:p>
    <w:p w14:paraId="4934B184">
      <w:pPr>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（三）改进建议。</w:t>
      </w:r>
    </w:p>
    <w:p w14:paraId="4FCDB54A">
      <w:pPr>
        <w:pStyle w:val="15"/>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1.加强单位预算编制工作，根据人员情况、业务开展需要，逐项做出预算计划，预算合理、不留缺口、不留空项。 </w:t>
      </w:r>
    </w:p>
    <w:p w14:paraId="7AFCA07A">
      <w:pPr>
        <w:pStyle w:val="15"/>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加强业务培训，提高评价水平。部门整体绩效评价工作是一项长期性的工作，专业性强，工作量大，建议财政部门进一步加强开展部门领导及经办人员相关的政策、业务工作培训，组织开展部门之间、单位之间的经验交流，切实推进绩效评价工作的开展。</w:t>
      </w:r>
    </w:p>
    <w:p w14:paraId="16D3F06E">
      <w:pPr>
        <w:spacing w:line="580" w:lineRule="exact"/>
        <w:ind w:firstLine="640" w:firstLineChars="200"/>
        <w:rPr>
          <w:rFonts w:ascii="仿宋_GB2312" w:hAnsi="仿宋_GB2312" w:eastAsia="仿宋_GB2312"/>
          <w:sz w:val="32"/>
          <w:szCs w:val="32"/>
        </w:rPr>
      </w:pPr>
    </w:p>
    <w:p w14:paraId="239D5D6E">
      <w:pPr>
        <w:spacing w:line="580" w:lineRule="exact"/>
        <w:ind w:firstLine="640" w:firstLineChars="200"/>
        <w:rPr>
          <w:rFonts w:ascii="仿宋_GB2312" w:hAnsi="仿宋_GB2312" w:eastAsia="仿宋_GB2312"/>
          <w:sz w:val="32"/>
          <w:szCs w:val="32"/>
        </w:rPr>
      </w:pPr>
    </w:p>
    <w:p w14:paraId="4DA0C031">
      <w:pPr>
        <w:spacing w:line="580" w:lineRule="exact"/>
        <w:ind w:firstLine="640" w:firstLineChars="200"/>
        <w:rPr>
          <w:rFonts w:ascii="仿宋_GB2312" w:hAnsi="仿宋_GB2312" w:eastAsia="仿宋_GB2312"/>
          <w:sz w:val="32"/>
          <w:szCs w:val="32"/>
        </w:rPr>
      </w:pPr>
    </w:p>
    <w:p w14:paraId="128A5AE9">
      <w:pPr>
        <w:spacing w:line="580" w:lineRule="exact"/>
        <w:ind w:firstLine="640" w:firstLineChars="200"/>
        <w:rPr>
          <w:rFonts w:ascii="仿宋_GB2312" w:hAnsi="仿宋_GB2312" w:eastAsia="仿宋_GB2312"/>
          <w:sz w:val="32"/>
          <w:szCs w:val="32"/>
        </w:rPr>
      </w:pPr>
    </w:p>
    <w:p w14:paraId="52518964">
      <w:pPr>
        <w:spacing w:line="580" w:lineRule="exact"/>
        <w:ind w:firstLine="640" w:firstLineChars="200"/>
        <w:rPr>
          <w:rFonts w:ascii="仿宋_GB2312" w:hAnsi="仿宋_GB2312" w:eastAsia="仿宋_GB2312"/>
          <w:sz w:val="32"/>
          <w:szCs w:val="32"/>
        </w:rPr>
      </w:pPr>
    </w:p>
    <w:p w14:paraId="02A30D01">
      <w:pPr>
        <w:spacing w:line="580" w:lineRule="exact"/>
        <w:ind w:firstLine="640" w:firstLineChars="200"/>
        <w:rPr>
          <w:rFonts w:ascii="仿宋_GB2312" w:hAnsi="仿宋_GB2312" w:eastAsia="仿宋_GB2312"/>
          <w:sz w:val="32"/>
          <w:szCs w:val="32"/>
        </w:rPr>
      </w:pPr>
    </w:p>
    <w:p w14:paraId="43143B06">
      <w:pPr>
        <w:spacing w:line="580" w:lineRule="exact"/>
        <w:ind w:firstLine="640" w:firstLineChars="200"/>
        <w:rPr>
          <w:rFonts w:ascii="仿宋_GB2312" w:hAnsi="仿宋_GB2312" w:eastAsia="仿宋_GB2312"/>
          <w:sz w:val="32"/>
          <w:szCs w:val="32"/>
        </w:rPr>
      </w:pPr>
    </w:p>
    <w:p w14:paraId="74AC609A">
      <w:pPr>
        <w:spacing w:line="580" w:lineRule="exact"/>
        <w:ind w:firstLine="640" w:firstLineChars="200"/>
        <w:rPr>
          <w:rFonts w:ascii="仿宋_GB2312" w:hAnsi="仿宋_GB2312" w:eastAsia="仿宋_GB2312"/>
          <w:sz w:val="32"/>
          <w:szCs w:val="32"/>
        </w:rPr>
      </w:pPr>
    </w:p>
    <w:p w14:paraId="6E9A68A5">
      <w:pPr>
        <w:spacing w:line="580" w:lineRule="exact"/>
        <w:ind w:firstLine="640" w:firstLineChars="200"/>
        <w:rPr>
          <w:rFonts w:ascii="仿宋_GB2312" w:hAnsi="仿宋_GB2312" w:eastAsia="仿宋_GB2312"/>
          <w:sz w:val="32"/>
          <w:szCs w:val="32"/>
        </w:rPr>
      </w:pPr>
    </w:p>
    <w:p w14:paraId="52B8881F">
      <w:pPr>
        <w:spacing w:line="580" w:lineRule="exact"/>
        <w:rPr>
          <w:rFonts w:ascii="仿宋_GB2312" w:hAnsi="仿宋_GB2312" w:eastAsia="仿宋_GB2312"/>
          <w:sz w:val="32"/>
          <w:szCs w:val="32"/>
        </w:rPr>
      </w:pPr>
    </w:p>
    <w:p w14:paraId="3C66DA8A">
      <w:pPr>
        <w:spacing w:line="580" w:lineRule="exact"/>
        <w:rPr>
          <w:rFonts w:ascii="仿宋_GB2312" w:hAnsi="仿宋_GB2312" w:eastAsia="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14:paraId="4672C768">
      <w:pPr>
        <w:spacing w:line="580" w:lineRule="exact"/>
        <w:ind w:firstLine="640" w:firstLineChars="200"/>
        <w:rPr>
          <w:rFonts w:ascii="仿宋_GB2312" w:hAnsi="仿宋_GB2312" w:eastAsia="仿宋_GB2312"/>
          <w:sz w:val="32"/>
          <w:szCs w:val="32"/>
        </w:rPr>
      </w:pPr>
    </w:p>
    <w:p w14:paraId="439F3B72">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s="方正小标宋简体"/>
          <w:color w:val="000000"/>
          <w:kern w:val="0"/>
          <w:sz w:val="44"/>
          <w:szCs w:val="44"/>
        </w:rPr>
        <w:t>盐边</w:t>
      </w:r>
      <w:r>
        <w:rPr>
          <w:rFonts w:hint="eastAsia" w:ascii="方正小标宋简体" w:hAnsi="宋体" w:eastAsia="方正小标宋简体" w:cs="方正小标宋简体"/>
          <w:color w:val="000000"/>
          <w:kern w:val="0"/>
          <w:sz w:val="44"/>
          <w:szCs w:val="44"/>
          <w:lang w:eastAsia="zh-CN"/>
        </w:rPr>
        <w:t>县委政法委2020</w:t>
      </w:r>
      <w:r>
        <w:rPr>
          <w:rFonts w:hint="eastAsia" w:ascii="方正小标宋简体" w:hAnsi="宋体" w:eastAsia="方正小标宋简体" w:cs="方正小标宋简体"/>
          <w:color w:val="000000"/>
          <w:kern w:val="0"/>
          <w:sz w:val="44"/>
          <w:szCs w:val="44"/>
        </w:rPr>
        <w:t>年项目</w:t>
      </w:r>
      <w:r>
        <w:rPr>
          <w:rFonts w:hint="eastAsia" w:ascii="方正小标宋简体" w:hAnsi="宋体" w:eastAsia="方正小标宋简体" w:cs="方正小标宋简体"/>
          <w:color w:val="000000"/>
          <w:kern w:val="0"/>
          <w:sz w:val="44"/>
          <w:szCs w:val="44"/>
          <w:lang w:val="zh-CN"/>
        </w:rPr>
        <w:t>绩效评价报告</w:t>
      </w:r>
    </w:p>
    <w:p w14:paraId="20A423A0">
      <w:pPr>
        <w:spacing w:line="600" w:lineRule="exact"/>
        <w:rPr>
          <w:rFonts w:ascii="宋体"/>
          <w:sz w:val="32"/>
          <w:szCs w:val="32"/>
          <w:lang w:val="zh-CN"/>
        </w:rPr>
      </w:pPr>
    </w:p>
    <w:p w14:paraId="1CDD91DB">
      <w:pPr>
        <w:adjustRightInd w:val="0"/>
        <w:snapToGrid w:val="0"/>
        <w:spacing w:line="600" w:lineRule="exact"/>
        <w:ind w:firstLine="720"/>
        <w:rPr>
          <w:rFonts w:ascii="黑体" w:hAnsi="宋体" w:eastAsia="黑体"/>
          <w:sz w:val="32"/>
          <w:szCs w:val="32"/>
          <w:lang w:val="zh-CN"/>
        </w:rPr>
      </w:pPr>
      <w:r>
        <w:rPr>
          <w:rFonts w:hint="eastAsia" w:ascii="黑体" w:hAnsi="宋体" w:eastAsia="黑体" w:cs="黑体"/>
          <w:sz w:val="32"/>
          <w:szCs w:val="32"/>
        </w:rPr>
        <w:t>一、</w:t>
      </w:r>
      <w:r>
        <w:rPr>
          <w:rFonts w:hint="eastAsia" w:ascii="黑体" w:hAnsi="宋体" w:eastAsia="黑体" w:cs="黑体"/>
          <w:sz w:val="32"/>
          <w:szCs w:val="32"/>
          <w:lang w:val="zh-CN"/>
        </w:rPr>
        <w:t>项目概况</w:t>
      </w:r>
    </w:p>
    <w:p w14:paraId="6F7B3124">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（一）项目基本情况。</w:t>
      </w:r>
    </w:p>
    <w:p w14:paraId="2ABDC377">
      <w:pPr>
        <w:adjustRightInd w:val="0"/>
        <w:snapToGrid w:val="0"/>
        <w:spacing w:line="600" w:lineRule="exact"/>
        <w:ind w:firstLine="720"/>
        <w:rPr>
          <w:rFonts w:ascii="仿宋" w:hAnsi="仿宋" w:eastAsia="仿宋"/>
          <w:color w:val="FF0000"/>
          <w:sz w:val="32"/>
          <w:szCs w:val="32"/>
          <w:shd w:val="clear" w:color="auto" w:fill="FFFFFF"/>
          <w:lang w:bidi="ar"/>
        </w:rPr>
      </w:pPr>
      <w:r>
        <w:rPr>
          <w:rFonts w:hint="eastAsia" w:ascii="仿宋_GB2312" w:hAnsi="仿宋_GB2312" w:eastAsia="仿宋_GB2312" w:cs="仿宋_GB2312"/>
          <w:sz w:val="32"/>
          <w:szCs w:val="32"/>
          <w:lang w:eastAsia="zh-CN"/>
        </w:rPr>
        <w:t>县委政法委</w:t>
      </w:r>
      <w:r>
        <w:rPr>
          <w:rFonts w:hint="eastAsia" w:ascii="仿宋_GB2312" w:hAnsi="仿宋_GB2312" w:eastAsia="仿宋_GB2312" w:cs="仿宋_GB2312"/>
          <w:sz w:val="32"/>
          <w:szCs w:val="32"/>
        </w:rPr>
        <w:t>纳入部门决算的项目支出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个项目，预算资金总额</w:t>
      </w:r>
      <w:r>
        <w:rPr>
          <w:rFonts w:hint="eastAsia" w:ascii="仿宋_GB2312" w:hAnsi="仿宋_GB2312" w:eastAsia="仿宋_GB2312" w:cs="仿宋_GB2312"/>
          <w:sz w:val="32"/>
          <w:szCs w:val="32"/>
          <w:lang w:val="en-US" w:eastAsia="zh-CN"/>
        </w:rPr>
        <w:t>269.62</w:t>
      </w:r>
      <w:r>
        <w:rPr>
          <w:rFonts w:hint="eastAsia" w:ascii="仿宋_GB2312" w:hAnsi="仿宋_GB2312" w:eastAsia="仿宋_GB2312" w:cs="仿宋_GB2312"/>
          <w:sz w:val="32"/>
          <w:szCs w:val="32"/>
        </w:rPr>
        <w:t>万元，支付</w:t>
      </w:r>
      <w:r>
        <w:rPr>
          <w:rFonts w:hint="eastAsia" w:ascii="仿宋_GB2312" w:hAnsi="仿宋_GB2312" w:eastAsia="仿宋_GB2312" w:cs="仿宋_GB2312"/>
          <w:sz w:val="32"/>
          <w:szCs w:val="32"/>
          <w:lang w:val="en-US" w:eastAsia="zh-CN"/>
        </w:rPr>
        <w:t>269.62</w:t>
      </w:r>
      <w:r>
        <w:rPr>
          <w:rFonts w:hint="eastAsia" w:ascii="仿宋_GB2312" w:hAnsi="仿宋_GB2312" w:eastAsia="仿宋_GB2312" w:cs="仿宋_GB2312"/>
          <w:sz w:val="32"/>
          <w:szCs w:val="32"/>
        </w:rPr>
        <w:t>万元，执行率为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。其中：</w:t>
      </w:r>
      <w:r>
        <w:rPr>
          <w:rFonts w:hint="eastAsia" w:ascii="仿宋" w:hAnsi="仿宋" w:eastAsia="仿宋" w:cs="Arial"/>
          <w:color w:val="000000"/>
          <w:kern w:val="0"/>
          <w:sz w:val="32"/>
          <w:szCs w:val="32"/>
        </w:rPr>
        <w:t>政法委政法专网及社会网格化网络费</w:t>
      </w:r>
      <w:r>
        <w:rPr>
          <w:rFonts w:hint="eastAsia" w:ascii="仿宋" w:hAnsi="仿宋" w:eastAsia="仿宋" w:cs="Arial"/>
          <w:color w:val="000000"/>
          <w:kern w:val="0"/>
          <w:sz w:val="32"/>
          <w:szCs w:val="32"/>
          <w:lang w:val="en-US" w:eastAsia="zh-CN"/>
        </w:rPr>
        <w:t>44.60</w:t>
      </w:r>
      <w:r>
        <w:rPr>
          <w:rFonts w:hint="eastAsia" w:ascii="仿宋" w:hAnsi="仿宋" w:eastAsia="仿宋" w:cs="Arial"/>
          <w:color w:val="000000"/>
          <w:kern w:val="0"/>
          <w:sz w:val="32"/>
          <w:szCs w:val="32"/>
        </w:rPr>
        <w:t>万元；大笮卫士春节慰问金</w:t>
      </w:r>
      <w:r>
        <w:rPr>
          <w:rFonts w:hint="eastAsia" w:ascii="仿宋" w:hAnsi="仿宋" w:eastAsia="仿宋" w:cs="Arial"/>
          <w:color w:val="000000"/>
          <w:kern w:val="0"/>
          <w:sz w:val="32"/>
          <w:szCs w:val="32"/>
          <w:lang w:val="en-US" w:eastAsia="zh-CN"/>
        </w:rPr>
        <w:t>0.27</w:t>
      </w:r>
      <w:r>
        <w:rPr>
          <w:rFonts w:hint="eastAsia" w:ascii="仿宋" w:hAnsi="仿宋" w:eastAsia="仿宋" w:cs="Arial"/>
          <w:color w:val="000000"/>
          <w:kern w:val="0"/>
          <w:sz w:val="32"/>
          <w:szCs w:val="32"/>
        </w:rPr>
        <w:t>万元；政法委工作经费</w:t>
      </w:r>
      <w:r>
        <w:rPr>
          <w:rFonts w:hint="eastAsia" w:ascii="仿宋" w:hAnsi="仿宋" w:eastAsia="仿宋" w:cs="Arial"/>
          <w:color w:val="000000"/>
          <w:kern w:val="0"/>
          <w:sz w:val="32"/>
          <w:szCs w:val="32"/>
          <w:lang w:val="en-US" w:eastAsia="zh-CN"/>
        </w:rPr>
        <w:t>6.99</w:t>
      </w:r>
      <w:r>
        <w:rPr>
          <w:rFonts w:hint="eastAsia" w:ascii="仿宋" w:hAnsi="仿宋" w:eastAsia="仿宋" w:cs="Arial"/>
          <w:color w:val="000000"/>
          <w:kern w:val="0"/>
          <w:sz w:val="32"/>
          <w:szCs w:val="32"/>
        </w:rPr>
        <w:t>万元；社会网格化专项经费</w:t>
      </w:r>
      <w:r>
        <w:rPr>
          <w:rFonts w:hint="eastAsia" w:ascii="仿宋" w:hAnsi="仿宋" w:eastAsia="仿宋" w:cs="Arial"/>
          <w:color w:val="000000"/>
          <w:kern w:val="0"/>
          <w:sz w:val="32"/>
          <w:szCs w:val="32"/>
          <w:lang w:val="en-US" w:eastAsia="zh-CN"/>
        </w:rPr>
        <w:t>155.89</w:t>
      </w:r>
      <w:r>
        <w:rPr>
          <w:rFonts w:hint="eastAsia" w:ascii="仿宋" w:hAnsi="仿宋" w:eastAsia="仿宋" w:cs="Arial"/>
          <w:color w:val="000000"/>
          <w:kern w:val="0"/>
          <w:sz w:val="32"/>
          <w:szCs w:val="32"/>
        </w:rPr>
        <w:t>万元；政法委见义勇为奖励经费</w:t>
      </w:r>
      <w:r>
        <w:rPr>
          <w:rFonts w:hint="eastAsia" w:ascii="仿宋" w:hAnsi="仿宋" w:eastAsia="仿宋" w:cs="Arial"/>
          <w:color w:val="000000"/>
          <w:kern w:val="0"/>
          <w:sz w:val="32"/>
          <w:szCs w:val="32"/>
          <w:lang w:val="en-US" w:eastAsia="zh-CN"/>
        </w:rPr>
        <w:t>3.03</w:t>
      </w:r>
      <w:r>
        <w:rPr>
          <w:rFonts w:hint="eastAsia" w:ascii="仿宋" w:hAnsi="仿宋" w:eastAsia="仿宋" w:cs="Arial"/>
          <w:color w:val="000000"/>
          <w:kern w:val="0"/>
          <w:sz w:val="32"/>
          <w:szCs w:val="32"/>
        </w:rPr>
        <w:t>万元；</w:t>
      </w:r>
      <w:r>
        <w:rPr>
          <w:rFonts w:hint="eastAsia" w:ascii="仿宋" w:hAnsi="仿宋" w:eastAsia="仿宋" w:cs="Arial"/>
          <w:color w:val="000000"/>
          <w:kern w:val="0"/>
          <w:sz w:val="32"/>
          <w:szCs w:val="32"/>
          <w:lang w:eastAsia="zh-CN"/>
        </w:rPr>
        <w:t>“雪亮工程”</w:t>
      </w:r>
      <w:r>
        <w:rPr>
          <w:rFonts w:hint="eastAsia" w:ascii="仿宋" w:hAnsi="仿宋" w:eastAsia="仿宋" w:cs="Arial"/>
          <w:color w:val="000000"/>
          <w:kern w:val="0"/>
          <w:sz w:val="32"/>
          <w:szCs w:val="32"/>
        </w:rPr>
        <w:t>和综治中心政法专网运行经费</w:t>
      </w:r>
      <w:r>
        <w:rPr>
          <w:rFonts w:hint="eastAsia" w:ascii="仿宋" w:hAnsi="仿宋" w:eastAsia="仿宋" w:cs="Arial"/>
          <w:color w:val="000000"/>
          <w:kern w:val="0"/>
          <w:sz w:val="32"/>
          <w:szCs w:val="32"/>
          <w:lang w:val="en-US" w:eastAsia="zh-CN"/>
        </w:rPr>
        <w:t>15.24</w:t>
      </w:r>
      <w:r>
        <w:rPr>
          <w:rFonts w:hint="eastAsia" w:ascii="仿宋" w:hAnsi="仿宋" w:eastAsia="仿宋" w:cs="Arial"/>
          <w:color w:val="000000"/>
          <w:kern w:val="0"/>
          <w:sz w:val="32"/>
          <w:szCs w:val="32"/>
        </w:rPr>
        <w:t>万元；</w:t>
      </w:r>
      <w:r>
        <w:rPr>
          <w:rFonts w:hint="eastAsia" w:ascii="仿宋" w:hAnsi="仿宋" w:eastAsia="仿宋"/>
          <w:sz w:val="32"/>
          <w:szCs w:val="32"/>
        </w:rPr>
        <w:t>政法委大学生西部计划志愿者岗位补贴</w:t>
      </w:r>
      <w:r>
        <w:rPr>
          <w:rFonts w:hint="eastAsia" w:ascii="仿宋" w:hAnsi="仿宋" w:eastAsia="仿宋"/>
          <w:sz w:val="32"/>
          <w:szCs w:val="32"/>
          <w:lang w:val="en-US" w:eastAsia="zh-CN"/>
        </w:rPr>
        <w:t>3.64</w:t>
      </w:r>
      <w:r>
        <w:rPr>
          <w:rFonts w:hint="eastAsia" w:ascii="仿宋" w:hAnsi="仿宋" w:eastAsia="仿宋"/>
          <w:sz w:val="32"/>
          <w:szCs w:val="32"/>
        </w:rPr>
        <w:t>万元；扫黑除恶专项经费</w:t>
      </w:r>
      <w:r>
        <w:rPr>
          <w:rFonts w:hint="eastAsia" w:ascii="仿宋" w:hAnsi="仿宋" w:eastAsia="仿宋"/>
          <w:sz w:val="32"/>
          <w:szCs w:val="32"/>
          <w:lang w:val="en-US" w:eastAsia="zh-CN"/>
        </w:rPr>
        <w:t>18.66</w:t>
      </w:r>
      <w:r>
        <w:rPr>
          <w:rFonts w:hint="eastAsia" w:ascii="仿宋" w:hAnsi="仿宋" w:eastAsia="仿宋"/>
          <w:sz w:val="32"/>
          <w:szCs w:val="32"/>
        </w:rPr>
        <w:t>万元；维护稳定工作经费</w:t>
      </w:r>
      <w:r>
        <w:rPr>
          <w:rFonts w:hint="eastAsia" w:ascii="仿宋" w:hAnsi="仿宋" w:eastAsia="仿宋"/>
          <w:sz w:val="32"/>
          <w:szCs w:val="32"/>
          <w:lang w:val="en-US" w:eastAsia="zh-CN"/>
        </w:rPr>
        <w:t>18.25万元；</w:t>
      </w:r>
      <w:r>
        <w:rPr>
          <w:rFonts w:hint="eastAsia" w:ascii="仿宋" w:hAnsi="仿宋" w:eastAsia="仿宋"/>
          <w:sz w:val="32"/>
          <w:szCs w:val="32"/>
        </w:rPr>
        <w:t>新型冠状病毒感染的肺炎防控相关工作经费1</w:t>
      </w:r>
      <w:r>
        <w:rPr>
          <w:rFonts w:hint="eastAsia" w:ascii="仿宋" w:hAnsi="仿宋" w:eastAsia="仿宋"/>
          <w:sz w:val="32"/>
          <w:szCs w:val="32"/>
          <w:lang w:val="en-US" w:eastAsia="zh-CN"/>
        </w:rPr>
        <w:t>.34</w:t>
      </w:r>
      <w:r>
        <w:rPr>
          <w:rFonts w:hint="eastAsia" w:ascii="仿宋" w:hAnsi="仿宋" w:eastAsia="仿宋"/>
          <w:sz w:val="32"/>
          <w:szCs w:val="32"/>
        </w:rPr>
        <w:t>万元；2018年脱贫攻坚专项经费</w:t>
      </w:r>
      <w:r>
        <w:rPr>
          <w:rFonts w:hint="eastAsia" w:ascii="仿宋" w:hAnsi="仿宋" w:eastAsia="仿宋"/>
          <w:sz w:val="32"/>
          <w:szCs w:val="32"/>
          <w:lang w:val="en-US" w:eastAsia="zh-CN"/>
        </w:rPr>
        <w:t>1.71</w:t>
      </w:r>
      <w:r>
        <w:rPr>
          <w:rFonts w:hint="eastAsia" w:ascii="仿宋" w:hAnsi="仿宋" w:eastAsia="仿宋"/>
          <w:sz w:val="32"/>
          <w:szCs w:val="32"/>
        </w:rPr>
        <w:t>万元。</w:t>
      </w:r>
    </w:p>
    <w:p w14:paraId="291663DC">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（二）项目绩效目标。</w:t>
      </w:r>
    </w:p>
    <w:p w14:paraId="3E02CA13">
      <w:pPr>
        <w:adjustRightInd w:val="0"/>
        <w:snapToGrid w:val="0"/>
        <w:spacing w:line="560" w:lineRule="exact"/>
        <w:ind w:firstLine="720"/>
        <w:rPr>
          <w:rFonts w:ascii="仿宋_GB2312" w:hAnsi="仿宋_GB2312" w:eastAsia="仿宋_GB2312"/>
          <w:sz w:val="32"/>
          <w:szCs w:val="32"/>
          <w:lang w:val="zh-CN"/>
        </w:rPr>
      </w:pPr>
      <w:r>
        <w:rPr>
          <w:rFonts w:hint="eastAsia" w:ascii="仿宋_GB2312" w:hAnsi="仿宋_GB2312" w:eastAsia="仿宋_GB2312" w:cs="仿宋_GB2312"/>
          <w:sz w:val="32"/>
          <w:szCs w:val="32"/>
        </w:rPr>
        <w:t>项目资金由县财政解决，项目资金支付范围、支付标准、支付进度、支付依据等都合规合法、与预算相符。严格执行财务管理制度，账务处理及时，会计核算规范。</w:t>
      </w:r>
    </w:p>
    <w:p w14:paraId="3467BBA9">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（三）项目自评步骤及方法。</w:t>
      </w:r>
    </w:p>
    <w:p w14:paraId="2537D671">
      <w:pPr>
        <w:adjustRightInd w:val="0"/>
        <w:snapToGrid w:val="0"/>
        <w:spacing w:line="560" w:lineRule="exact"/>
        <w:ind w:firstLine="72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一是确定评价对象。根据</w:t>
      </w:r>
      <w:r>
        <w:rPr>
          <w:rFonts w:ascii="仿宋_GB2312" w:hAnsi="仿宋_GB2312" w:eastAsia="仿宋_GB2312" w:cs="仿宋_GB2312"/>
          <w:sz w:val="32"/>
          <w:szCs w:val="32"/>
          <w:lang w:val="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年度</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zh-CN"/>
        </w:rPr>
        <w:t>工作的实际</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确定项目支出评价对象。</w:t>
      </w:r>
    </w:p>
    <w:p w14:paraId="1FED8EE7">
      <w:pPr>
        <w:adjustRightInd w:val="0"/>
        <w:snapToGrid w:val="0"/>
        <w:spacing w:line="560" w:lineRule="exact"/>
        <w:ind w:firstLine="72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二是收集整理项目财务资料。</w:t>
      </w:r>
    </w:p>
    <w:p w14:paraId="619DF3E4">
      <w:pPr>
        <w:adjustRightInd w:val="0"/>
        <w:snapToGrid w:val="0"/>
        <w:spacing w:line="560" w:lineRule="exact"/>
        <w:ind w:firstLine="72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三是梳理评价重点。对项目管理薄弱环节、问题易发点、绩效内容进行梳理，作为评价重点和目标。</w:t>
      </w:r>
    </w:p>
    <w:p w14:paraId="058FAF07">
      <w:pPr>
        <w:adjustRightInd w:val="0"/>
        <w:snapToGrid w:val="0"/>
        <w:spacing w:line="560" w:lineRule="exact"/>
        <w:ind w:firstLine="72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四是开展项目自评。根据项目特性指标开展自评，并撰写项目支出绩效自评报告。</w:t>
      </w:r>
    </w:p>
    <w:p w14:paraId="356452E0">
      <w:pPr>
        <w:adjustRightInd w:val="0"/>
        <w:snapToGrid w:val="0"/>
        <w:spacing w:line="600" w:lineRule="exact"/>
        <w:ind w:firstLine="720"/>
        <w:rPr>
          <w:rFonts w:ascii="黑体" w:hAnsi="宋体" w:eastAsia="黑体"/>
          <w:sz w:val="32"/>
          <w:szCs w:val="32"/>
        </w:rPr>
      </w:pPr>
      <w:r>
        <w:rPr>
          <w:rFonts w:hint="eastAsia" w:ascii="黑体" w:hAnsi="宋体" w:eastAsia="黑体" w:cs="黑体"/>
          <w:sz w:val="32"/>
          <w:szCs w:val="32"/>
        </w:rPr>
        <w:t>二、项目资金申报及使用情况</w:t>
      </w:r>
    </w:p>
    <w:p w14:paraId="6028B46E">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（一）项目资金申报及批复情况。</w:t>
      </w:r>
    </w:p>
    <w:p w14:paraId="681EC26A">
      <w:pPr>
        <w:pStyle w:val="2"/>
        <w:spacing w:line="580" w:lineRule="exact"/>
        <w:rPr>
          <w:rFonts w:ascii="仿宋" w:hAnsi="仿宋" w:eastAsia="仿宋"/>
          <w:color w:val="FF0000"/>
          <w:sz w:val="32"/>
          <w:szCs w:val="32"/>
          <w:shd w:val="clear" w:color="auto" w:fill="FFFFFF"/>
          <w:lang w:bidi="ar"/>
        </w:rPr>
      </w:pPr>
      <w:r>
        <w:rPr>
          <w:rFonts w:hint="eastAsia" w:ascii="仿宋_GB2312" w:hAnsi="仿宋_GB2312" w:eastAsia="仿宋_GB2312" w:cs="仿宋_GB2312"/>
          <w:sz w:val="32"/>
          <w:szCs w:val="32"/>
        </w:rPr>
        <w:t>项目下达资金总额</w:t>
      </w:r>
      <w:r>
        <w:rPr>
          <w:rFonts w:hint="eastAsia" w:ascii="仿宋_GB2312" w:hAnsi="仿宋_GB2312" w:eastAsia="仿宋_GB2312" w:cs="仿宋_GB2312"/>
          <w:sz w:val="32"/>
          <w:szCs w:val="32"/>
          <w:lang w:val="en-US" w:eastAsia="zh-CN"/>
        </w:rPr>
        <w:t>269.62</w:t>
      </w:r>
      <w:r>
        <w:rPr>
          <w:rFonts w:hint="eastAsia" w:ascii="仿宋_GB2312" w:hAnsi="仿宋_GB2312" w:eastAsia="仿宋_GB2312" w:cs="仿宋_GB2312"/>
          <w:sz w:val="32"/>
          <w:szCs w:val="32"/>
        </w:rPr>
        <w:t>万元。其中：</w:t>
      </w:r>
      <w:r>
        <w:rPr>
          <w:rFonts w:hint="eastAsia" w:ascii="仿宋" w:hAnsi="仿宋" w:eastAsia="仿宋" w:cs="Arial"/>
          <w:color w:val="000000"/>
          <w:kern w:val="0"/>
          <w:sz w:val="32"/>
          <w:szCs w:val="32"/>
        </w:rPr>
        <w:t>政法委政法专网及社会网格化网络费</w:t>
      </w:r>
      <w:r>
        <w:rPr>
          <w:rFonts w:hint="eastAsia" w:ascii="仿宋" w:hAnsi="仿宋" w:eastAsia="仿宋" w:cs="Arial"/>
          <w:color w:val="000000"/>
          <w:kern w:val="0"/>
          <w:sz w:val="32"/>
          <w:szCs w:val="32"/>
          <w:lang w:val="en-US" w:eastAsia="zh-CN"/>
        </w:rPr>
        <w:t>44.60</w:t>
      </w:r>
      <w:r>
        <w:rPr>
          <w:rFonts w:hint="eastAsia" w:ascii="仿宋" w:hAnsi="仿宋" w:eastAsia="仿宋" w:cs="Arial"/>
          <w:color w:val="000000"/>
          <w:kern w:val="0"/>
          <w:sz w:val="32"/>
          <w:szCs w:val="32"/>
        </w:rPr>
        <w:t>万元；大笮卫士春节慰问金</w:t>
      </w:r>
      <w:r>
        <w:rPr>
          <w:rFonts w:hint="eastAsia" w:ascii="仿宋" w:hAnsi="仿宋" w:eastAsia="仿宋" w:cs="Arial"/>
          <w:color w:val="000000"/>
          <w:kern w:val="0"/>
          <w:sz w:val="32"/>
          <w:szCs w:val="32"/>
          <w:lang w:val="en-US" w:eastAsia="zh-CN"/>
        </w:rPr>
        <w:t>0.27</w:t>
      </w:r>
      <w:r>
        <w:rPr>
          <w:rFonts w:hint="eastAsia" w:ascii="仿宋" w:hAnsi="仿宋" w:eastAsia="仿宋" w:cs="Arial"/>
          <w:color w:val="000000"/>
          <w:kern w:val="0"/>
          <w:sz w:val="32"/>
          <w:szCs w:val="32"/>
        </w:rPr>
        <w:t>万元；政法委工作经费</w:t>
      </w:r>
      <w:r>
        <w:rPr>
          <w:rFonts w:hint="eastAsia" w:ascii="仿宋" w:hAnsi="仿宋" w:eastAsia="仿宋" w:cs="Arial"/>
          <w:color w:val="000000"/>
          <w:kern w:val="0"/>
          <w:sz w:val="32"/>
          <w:szCs w:val="32"/>
          <w:lang w:val="en-US" w:eastAsia="zh-CN"/>
        </w:rPr>
        <w:t>6.99</w:t>
      </w:r>
      <w:r>
        <w:rPr>
          <w:rFonts w:hint="eastAsia" w:ascii="仿宋" w:hAnsi="仿宋" w:eastAsia="仿宋" w:cs="Arial"/>
          <w:color w:val="000000"/>
          <w:kern w:val="0"/>
          <w:sz w:val="32"/>
          <w:szCs w:val="32"/>
        </w:rPr>
        <w:t>万元；社会网格化专项经费</w:t>
      </w:r>
      <w:r>
        <w:rPr>
          <w:rFonts w:hint="eastAsia" w:ascii="仿宋" w:hAnsi="仿宋" w:eastAsia="仿宋" w:cs="Arial"/>
          <w:color w:val="000000"/>
          <w:kern w:val="0"/>
          <w:sz w:val="32"/>
          <w:szCs w:val="32"/>
          <w:lang w:val="en-US" w:eastAsia="zh-CN"/>
        </w:rPr>
        <w:t>155.89</w:t>
      </w:r>
      <w:r>
        <w:rPr>
          <w:rFonts w:hint="eastAsia" w:ascii="仿宋" w:hAnsi="仿宋" w:eastAsia="仿宋" w:cs="Arial"/>
          <w:color w:val="000000"/>
          <w:kern w:val="0"/>
          <w:sz w:val="32"/>
          <w:szCs w:val="32"/>
        </w:rPr>
        <w:t>万元；政法委见义勇为奖励经费</w:t>
      </w:r>
      <w:r>
        <w:rPr>
          <w:rFonts w:hint="eastAsia" w:ascii="仿宋" w:hAnsi="仿宋" w:eastAsia="仿宋" w:cs="Arial"/>
          <w:color w:val="000000"/>
          <w:kern w:val="0"/>
          <w:sz w:val="32"/>
          <w:szCs w:val="32"/>
          <w:lang w:val="en-US" w:eastAsia="zh-CN"/>
        </w:rPr>
        <w:t>3.03</w:t>
      </w:r>
      <w:r>
        <w:rPr>
          <w:rFonts w:hint="eastAsia" w:ascii="仿宋" w:hAnsi="仿宋" w:eastAsia="仿宋" w:cs="Arial"/>
          <w:color w:val="000000"/>
          <w:kern w:val="0"/>
          <w:sz w:val="32"/>
          <w:szCs w:val="32"/>
        </w:rPr>
        <w:t>万元；</w:t>
      </w:r>
      <w:r>
        <w:rPr>
          <w:rFonts w:hint="eastAsia" w:ascii="仿宋" w:hAnsi="仿宋" w:eastAsia="仿宋" w:cs="Arial"/>
          <w:color w:val="000000"/>
          <w:kern w:val="0"/>
          <w:sz w:val="32"/>
          <w:szCs w:val="32"/>
          <w:lang w:eastAsia="zh-CN"/>
        </w:rPr>
        <w:t>“雪亮工程”</w:t>
      </w:r>
      <w:r>
        <w:rPr>
          <w:rFonts w:hint="eastAsia" w:ascii="仿宋" w:hAnsi="仿宋" w:eastAsia="仿宋" w:cs="Arial"/>
          <w:color w:val="000000"/>
          <w:kern w:val="0"/>
          <w:sz w:val="32"/>
          <w:szCs w:val="32"/>
        </w:rPr>
        <w:t>和综治中心政法专网运行经费</w:t>
      </w:r>
      <w:r>
        <w:rPr>
          <w:rFonts w:hint="eastAsia" w:ascii="仿宋" w:hAnsi="仿宋" w:eastAsia="仿宋" w:cs="Arial"/>
          <w:color w:val="000000"/>
          <w:kern w:val="0"/>
          <w:sz w:val="32"/>
          <w:szCs w:val="32"/>
          <w:lang w:val="en-US" w:eastAsia="zh-CN"/>
        </w:rPr>
        <w:t>15.24</w:t>
      </w:r>
      <w:r>
        <w:rPr>
          <w:rFonts w:hint="eastAsia" w:ascii="仿宋" w:hAnsi="仿宋" w:eastAsia="仿宋" w:cs="Arial"/>
          <w:color w:val="000000"/>
          <w:kern w:val="0"/>
          <w:sz w:val="32"/>
          <w:szCs w:val="32"/>
        </w:rPr>
        <w:t>万元；</w:t>
      </w:r>
      <w:r>
        <w:rPr>
          <w:rFonts w:hint="eastAsia" w:ascii="仿宋" w:hAnsi="仿宋" w:eastAsia="仿宋"/>
          <w:sz w:val="32"/>
          <w:szCs w:val="32"/>
        </w:rPr>
        <w:t>政法委大学生西部计划志愿者岗位补贴</w:t>
      </w:r>
      <w:r>
        <w:rPr>
          <w:rFonts w:hint="eastAsia" w:ascii="仿宋" w:hAnsi="仿宋" w:eastAsia="仿宋"/>
          <w:sz w:val="32"/>
          <w:szCs w:val="32"/>
          <w:lang w:val="en-US" w:eastAsia="zh-CN"/>
        </w:rPr>
        <w:t>3.64</w:t>
      </w:r>
      <w:r>
        <w:rPr>
          <w:rFonts w:hint="eastAsia" w:ascii="仿宋" w:hAnsi="仿宋" w:eastAsia="仿宋"/>
          <w:sz w:val="32"/>
          <w:szCs w:val="32"/>
        </w:rPr>
        <w:t>万元；扫黑除恶专项经费</w:t>
      </w:r>
      <w:r>
        <w:rPr>
          <w:rFonts w:hint="eastAsia" w:ascii="仿宋" w:hAnsi="仿宋" w:eastAsia="仿宋"/>
          <w:sz w:val="32"/>
          <w:szCs w:val="32"/>
          <w:lang w:val="en-US" w:eastAsia="zh-CN"/>
        </w:rPr>
        <w:t>18.66</w:t>
      </w:r>
      <w:r>
        <w:rPr>
          <w:rFonts w:hint="eastAsia" w:ascii="仿宋" w:hAnsi="仿宋" w:eastAsia="仿宋"/>
          <w:sz w:val="32"/>
          <w:szCs w:val="32"/>
        </w:rPr>
        <w:t>万元；维护稳定工作经费</w:t>
      </w:r>
      <w:r>
        <w:rPr>
          <w:rFonts w:hint="eastAsia" w:ascii="仿宋" w:hAnsi="仿宋" w:eastAsia="仿宋"/>
          <w:sz w:val="32"/>
          <w:szCs w:val="32"/>
          <w:lang w:val="en-US" w:eastAsia="zh-CN"/>
        </w:rPr>
        <w:t>18.25万元；</w:t>
      </w:r>
      <w:r>
        <w:rPr>
          <w:rFonts w:hint="eastAsia" w:ascii="仿宋" w:hAnsi="仿宋" w:eastAsia="仿宋"/>
          <w:sz w:val="32"/>
          <w:szCs w:val="32"/>
        </w:rPr>
        <w:t>新型冠状病毒感染的肺炎防控相关工作经费1</w:t>
      </w:r>
      <w:r>
        <w:rPr>
          <w:rFonts w:hint="eastAsia" w:ascii="仿宋" w:hAnsi="仿宋" w:eastAsia="仿宋"/>
          <w:sz w:val="32"/>
          <w:szCs w:val="32"/>
          <w:lang w:val="en-US" w:eastAsia="zh-CN"/>
        </w:rPr>
        <w:t>.34</w:t>
      </w:r>
      <w:r>
        <w:rPr>
          <w:rFonts w:hint="eastAsia" w:ascii="仿宋" w:hAnsi="仿宋" w:eastAsia="仿宋"/>
          <w:sz w:val="32"/>
          <w:szCs w:val="32"/>
        </w:rPr>
        <w:t>万元；2018年脱贫攻坚专项经费</w:t>
      </w:r>
      <w:r>
        <w:rPr>
          <w:rFonts w:hint="eastAsia" w:ascii="仿宋" w:hAnsi="仿宋" w:eastAsia="仿宋"/>
          <w:sz w:val="32"/>
          <w:szCs w:val="32"/>
          <w:lang w:val="en-US" w:eastAsia="zh-CN"/>
        </w:rPr>
        <w:t>1.71</w:t>
      </w:r>
      <w:r>
        <w:rPr>
          <w:rFonts w:hint="eastAsia" w:ascii="仿宋" w:hAnsi="仿宋" w:eastAsia="仿宋"/>
          <w:sz w:val="32"/>
          <w:szCs w:val="32"/>
        </w:rPr>
        <w:t>万元。</w:t>
      </w:r>
    </w:p>
    <w:p w14:paraId="3E89B8E6">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cs="楷体_GB2312"/>
          <w:b/>
          <w:bCs/>
          <w:sz w:val="32"/>
          <w:szCs w:val="32"/>
          <w:lang w:val="zh-CN"/>
        </w:rPr>
        <w:t>（二）资金计划、到位及使用情况（可用表格形式反映）。</w:t>
      </w:r>
    </w:p>
    <w:p w14:paraId="2C98CDBC">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cs="楷体_GB2312"/>
          <w:sz w:val="32"/>
          <w:szCs w:val="32"/>
          <w:lang w:val="zh-CN"/>
        </w:rPr>
        <w:t>1.资金计划。</w:t>
      </w:r>
    </w:p>
    <w:p w14:paraId="06C9D1D1">
      <w:pPr>
        <w:spacing w:line="560" w:lineRule="exact"/>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项目资金是按进度拨款，到年底资金能按预算全额到位。</w:t>
      </w:r>
    </w:p>
    <w:p w14:paraId="522F1C5F">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cs="楷体_GB2312"/>
          <w:sz w:val="32"/>
          <w:szCs w:val="32"/>
          <w:lang w:val="zh-CN"/>
        </w:rPr>
        <w:t>2.资金到位。</w:t>
      </w:r>
    </w:p>
    <w:p w14:paraId="34FA8FD8">
      <w:pPr>
        <w:adjustRightInd w:val="0"/>
        <w:snapToGrid w:val="0"/>
        <w:spacing w:line="560" w:lineRule="exact"/>
        <w:ind w:firstLine="72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县财政按计划下达专项经费，资金到位率</w:t>
      </w:r>
      <w:r>
        <w:rPr>
          <w:rFonts w:ascii="仿宋_GB2312" w:hAnsi="仿宋_GB2312" w:eastAsia="仿宋_GB2312" w:cs="仿宋_GB2312"/>
          <w:sz w:val="32"/>
          <w:szCs w:val="32"/>
          <w:lang w:val="zh-CN"/>
        </w:rPr>
        <w:t>100%</w:t>
      </w:r>
      <w:r>
        <w:rPr>
          <w:rFonts w:hint="eastAsia" w:ascii="仿宋_GB2312" w:hAnsi="仿宋_GB2312" w:eastAsia="仿宋_GB2312" w:cs="仿宋_GB2312"/>
          <w:sz w:val="32"/>
          <w:szCs w:val="32"/>
          <w:lang w:val="zh-CN"/>
        </w:rPr>
        <w:t>。</w:t>
      </w:r>
    </w:p>
    <w:p w14:paraId="3B606F49">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cs="楷体_GB2312"/>
          <w:sz w:val="32"/>
          <w:szCs w:val="32"/>
          <w:lang w:val="zh-CN"/>
        </w:rPr>
        <w:t>3.资金使用。</w:t>
      </w:r>
    </w:p>
    <w:p w14:paraId="7AAC1B55">
      <w:pPr>
        <w:pStyle w:val="2"/>
        <w:spacing w:line="580" w:lineRule="exact"/>
        <w:rPr>
          <w:rFonts w:ascii="仿宋" w:hAnsi="仿宋" w:eastAsia="仿宋"/>
          <w:color w:val="FF0000"/>
          <w:sz w:val="32"/>
          <w:szCs w:val="32"/>
          <w:shd w:val="clear" w:color="auto" w:fill="FFFFFF"/>
          <w:lang w:bidi="ar"/>
        </w:rPr>
      </w:pPr>
      <w:r>
        <w:rPr>
          <w:rFonts w:hint="eastAsia" w:ascii="仿宋_GB2312" w:hAnsi="仿宋_GB2312" w:eastAsia="仿宋_GB2312" w:cs="仿宋_GB2312"/>
          <w:sz w:val="32"/>
          <w:szCs w:val="32"/>
          <w:lang w:val="zh-CN"/>
        </w:rPr>
        <w:t>截至</w:t>
      </w:r>
      <w:r>
        <w:rPr>
          <w:rFonts w:ascii="仿宋_GB2312" w:hAnsi="仿宋_GB2312" w:eastAsia="仿宋_GB2312" w:cs="仿宋_GB2312"/>
          <w:sz w:val="32"/>
          <w:szCs w:val="32"/>
          <w:lang w:val="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年</w:t>
      </w:r>
      <w:r>
        <w:rPr>
          <w:rFonts w:ascii="仿宋_GB2312" w:hAnsi="仿宋_GB2312" w:eastAsia="仿宋_GB2312" w:cs="仿宋_GB2312"/>
          <w:sz w:val="32"/>
          <w:szCs w:val="32"/>
          <w:lang w:val="zh-CN"/>
        </w:rPr>
        <w:t>12</w:t>
      </w:r>
      <w:r>
        <w:rPr>
          <w:rFonts w:hint="eastAsia" w:ascii="仿宋_GB2312" w:hAnsi="仿宋_GB2312" w:eastAsia="仿宋_GB2312" w:cs="仿宋_GB2312"/>
          <w:sz w:val="32"/>
          <w:szCs w:val="32"/>
          <w:lang w:val="zh-CN"/>
        </w:rPr>
        <w:t>月</w:t>
      </w:r>
      <w:r>
        <w:rPr>
          <w:rFonts w:ascii="仿宋_GB2312" w:hAnsi="仿宋_GB2312" w:eastAsia="仿宋_GB2312" w:cs="仿宋_GB2312"/>
          <w:sz w:val="32"/>
          <w:szCs w:val="32"/>
          <w:lang w:val="zh-CN"/>
        </w:rPr>
        <w:t>31</w:t>
      </w:r>
      <w:r>
        <w:rPr>
          <w:rFonts w:hint="eastAsia" w:ascii="仿宋_GB2312" w:hAnsi="仿宋_GB2312" w:eastAsia="仿宋_GB2312" w:cs="仿宋_GB2312"/>
          <w:sz w:val="32"/>
          <w:szCs w:val="32"/>
          <w:lang w:val="zh-CN"/>
        </w:rPr>
        <w:t>日，各项目资金共支出</w:t>
      </w:r>
      <w:r>
        <w:rPr>
          <w:rFonts w:hint="eastAsia" w:ascii="仿宋_GB2312" w:hAnsi="仿宋_GB2312" w:eastAsia="仿宋_GB2312" w:cs="仿宋_GB2312"/>
          <w:sz w:val="32"/>
          <w:szCs w:val="32"/>
          <w:lang w:val="en-US" w:eastAsia="zh-CN"/>
        </w:rPr>
        <w:t>269.62</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其中：</w:t>
      </w:r>
      <w:r>
        <w:rPr>
          <w:rFonts w:hint="eastAsia" w:ascii="仿宋" w:hAnsi="仿宋" w:eastAsia="仿宋" w:cs="Arial"/>
          <w:color w:val="000000"/>
          <w:kern w:val="0"/>
          <w:sz w:val="32"/>
          <w:szCs w:val="32"/>
        </w:rPr>
        <w:t>政法委政法专网及社会网格化网络费</w:t>
      </w:r>
      <w:r>
        <w:rPr>
          <w:rFonts w:hint="eastAsia" w:ascii="仿宋" w:hAnsi="仿宋" w:eastAsia="仿宋" w:cs="Arial"/>
          <w:color w:val="000000"/>
          <w:kern w:val="0"/>
          <w:sz w:val="32"/>
          <w:szCs w:val="32"/>
          <w:lang w:val="en-US" w:eastAsia="zh-CN"/>
        </w:rPr>
        <w:t>44.60</w:t>
      </w:r>
      <w:r>
        <w:rPr>
          <w:rFonts w:hint="eastAsia" w:ascii="仿宋" w:hAnsi="仿宋" w:eastAsia="仿宋" w:cs="Arial"/>
          <w:color w:val="000000"/>
          <w:kern w:val="0"/>
          <w:sz w:val="32"/>
          <w:szCs w:val="32"/>
        </w:rPr>
        <w:t>万元；大笮卫士春节慰问金</w:t>
      </w:r>
      <w:r>
        <w:rPr>
          <w:rFonts w:hint="eastAsia" w:ascii="仿宋" w:hAnsi="仿宋" w:eastAsia="仿宋" w:cs="Arial"/>
          <w:color w:val="000000"/>
          <w:kern w:val="0"/>
          <w:sz w:val="32"/>
          <w:szCs w:val="32"/>
          <w:lang w:val="en-US" w:eastAsia="zh-CN"/>
        </w:rPr>
        <w:t>0.27</w:t>
      </w:r>
      <w:r>
        <w:rPr>
          <w:rFonts w:hint="eastAsia" w:ascii="仿宋" w:hAnsi="仿宋" w:eastAsia="仿宋" w:cs="Arial"/>
          <w:color w:val="000000"/>
          <w:kern w:val="0"/>
          <w:sz w:val="32"/>
          <w:szCs w:val="32"/>
        </w:rPr>
        <w:t>万元；政法委工作经费</w:t>
      </w:r>
      <w:r>
        <w:rPr>
          <w:rFonts w:hint="eastAsia" w:ascii="仿宋" w:hAnsi="仿宋" w:eastAsia="仿宋" w:cs="Arial"/>
          <w:color w:val="000000"/>
          <w:kern w:val="0"/>
          <w:sz w:val="32"/>
          <w:szCs w:val="32"/>
          <w:lang w:val="en-US" w:eastAsia="zh-CN"/>
        </w:rPr>
        <w:t>6.99</w:t>
      </w:r>
      <w:r>
        <w:rPr>
          <w:rFonts w:hint="eastAsia" w:ascii="仿宋" w:hAnsi="仿宋" w:eastAsia="仿宋" w:cs="Arial"/>
          <w:color w:val="000000"/>
          <w:kern w:val="0"/>
          <w:sz w:val="32"/>
          <w:szCs w:val="32"/>
        </w:rPr>
        <w:t>万元；社会网格化专项经费</w:t>
      </w:r>
      <w:r>
        <w:rPr>
          <w:rFonts w:hint="eastAsia" w:ascii="仿宋" w:hAnsi="仿宋" w:eastAsia="仿宋" w:cs="Arial"/>
          <w:color w:val="000000"/>
          <w:kern w:val="0"/>
          <w:sz w:val="32"/>
          <w:szCs w:val="32"/>
          <w:lang w:val="en-US" w:eastAsia="zh-CN"/>
        </w:rPr>
        <w:t>155.89</w:t>
      </w:r>
      <w:r>
        <w:rPr>
          <w:rFonts w:hint="eastAsia" w:ascii="仿宋" w:hAnsi="仿宋" w:eastAsia="仿宋" w:cs="Arial"/>
          <w:color w:val="000000"/>
          <w:kern w:val="0"/>
          <w:sz w:val="32"/>
          <w:szCs w:val="32"/>
        </w:rPr>
        <w:t>万元；政法委见义勇为奖励经费</w:t>
      </w:r>
      <w:r>
        <w:rPr>
          <w:rFonts w:hint="eastAsia" w:ascii="仿宋" w:hAnsi="仿宋" w:eastAsia="仿宋" w:cs="Arial"/>
          <w:color w:val="000000"/>
          <w:kern w:val="0"/>
          <w:sz w:val="32"/>
          <w:szCs w:val="32"/>
          <w:lang w:val="en-US" w:eastAsia="zh-CN"/>
        </w:rPr>
        <w:t>3.03</w:t>
      </w:r>
      <w:r>
        <w:rPr>
          <w:rFonts w:hint="eastAsia" w:ascii="仿宋" w:hAnsi="仿宋" w:eastAsia="仿宋" w:cs="Arial"/>
          <w:color w:val="000000"/>
          <w:kern w:val="0"/>
          <w:sz w:val="32"/>
          <w:szCs w:val="32"/>
        </w:rPr>
        <w:t>万元；</w:t>
      </w:r>
      <w:r>
        <w:rPr>
          <w:rFonts w:hint="eastAsia" w:ascii="仿宋" w:hAnsi="仿宋" w:eastAsia="仿宋" w:cs="Arial"/>
          <w:color w:val="000000"/>
          <w:kern w:val="0"/>
          <w:sz w:val="32"/>
          <w:szCs w:val="32"/>
          <w:lang w:eastAsia="zh-CN"/>
        </w:rPr>
        <w:t>“雪亮工程”</w:t>
      </w:r>
      <w:r>
        <w:rPr>
          <w:rFonts w:hint="eastAsia" w:ascii="仿宋" w:hAnsi="仿宋" w:eastAsia="仿宋" w:cs="Arial"/>
          <w:color w:val="000000"/>
          <w:kern w:val="0"/>
          <w:sz w:val="32"/>
          <w:szCs w:val="32"/>
        </w:rPr>
        <w:t>和综治中心政法专网运行经费</w:t>
      </w:r>
      <w:r>
        <w:rPr>
          <w:rFonts w:hint="eastAsia" w:ascii="仿宋" w:hAnsi="仿宋" w:eastAsia="仿宋" w:cs="Arial"/>
          <w:color w:val="000000"/>
          <w:kern w:val="0"/>
          <w:sz w:val="32"/>
          <w:szCs w:val="32"/>
          <w:lang w:val="en-US" w:eastAsia="zh-CN"/>
        </w:rPr>
        <w:t>15.24</w:t>
      </w:r>
      <w:r>
        <w:rPr>
          <w:rFonts w:hint="eastAsia" w:ascii="仿宋" w:hAnsi="仿宋" w:eastAsia="仿宋" w:cs="Arial"/>
          <w:color w:val="000000"/>
          <w:kern w:val="0"/>
          <w:sz w:val="32"/>
          <w:szCs w:val="32"/>
        </w:rPr>
        <w:t>万元；</w:t>
      </w:r>
      <w:r>
        <w:rPr>
          <w:rFonts w:hint="eastAsia" w:ascii="仿宋" w:hAnsi="仿宋" w:eastAsia="仿宋"/>
          <w:sz w:val="32"/>
          <w:szCs w:val="32"/>
        </w:rPr>
        <w:t>政法委大学生西部计划志愿者岗位补贴</w:t>
      </w:r>
      <w:r>
        <w:rPr>
          <w:rFonts w:hint="eastAsia" w:ascii="仿宋" w:hAnsi="仿宋" w:eastAsia="仿宋"/>
          <w:sz w:val="32"/>
          <w:szCs w:val="32"/>
          <w:lang w:val="en-US" w:eastAsia="zh-CN"/>
        </w:rPr>
        <w:t>3.64</w:t>
      </w:r>
      <w:r>
        <w:rPr>
          <w:rFonts w:hint="eastAsia" w:ascii="仿宋" w:hAnsi="仿宋" w:eastAsia="仿宋"/>
          <w:sz w:val="32"/>
          <w:szCs w:val="32"/>
        </w:rPr>
        <w:t>万元；扫黑除恶专项经费</w:t>
      </w:r>
      <w:r>
        <w:rPr>
          <w:rFonts w:hint="eastAsia" w:ascii="仿宋" w:hAnsi="仿宋" w:eastAsia="仿宋"/>
          <w:sz w:val="32"/>
          <w:szCs w:val="32"/>
          <w:lang w:val="en-US" w:eastAsia="zh-CN"/>
        </w:rPr>
        <w:t>18.66</w:t>
      </w:r>
      <w:r>
        <w:rPr>
          <w:rFonts w:hint="eastAsia" w:ascii="仿宋" w:hAnsi="仿宋" w:eastAsia="仿宋"/>
          <w:sz w:val="32"/>
          <w:szCs w:val="32"/>
        </w:rPr>
        <w:t>万元；维护稳定工作经费</w:t>
      </w:r>
      <w:r>
        <w:rPr>
          <w:rFonts w:hint="eastAsia" w:ascii="仿宋" w:hAnsi="仿宋" w:eastAsia="仿宋"/>
          <w:sz w:val="32"/>
          <w:szCs w:val="32"/>
          <w:lang w:val="en-US" w:eastAsia="zh-CN"/>
        </w:rPr>
        <w:t>18.25万元；</w:t>
      </w:r>
      <w:r>
        <w:rPr>
          <w:rFonts w:hint="eastAsia" w:ascii="仿宋" w:hAnsi="仿宋" w:eastAsia="仿宋"/>
          <w:sz w:val="32"/>
          <w:szCs w:val="32"/>
        </w:rPr>
        <w:t>新型冠状病毒感染的肺炎防控相关工作经费1</w:t>
      </w:r>
      <w:r>
        <w:rPr>
          <w:rFonts w:hint="eastAsia" w:ascii="仿宋" w:hAnsi="仿宋" w:eastAsia="仿宋"/>
          <w:sz w:val="32"/>
          <w:szCs w:val="32"/>
          <w:lang w:val="en-US" w:eastAsia="zh-CN"/>
        </w:rPr>
        <w:t>.34</w:t>
      </w:r>
      <w:r>
        <w:rPr>
          <w:rFonts w:hint="eastAsia" w:ascii="仿宋" w:hAnsi="仿宋" w:eastAsia="仿宋"/>
          <w:sz w:val="32"/>
          <w:szCs w:val="32"/>
        </w:rPr>
        <w:t>万元；2018年脱贫攻坚专项经费</w:t>
      </w:r>
      <w:r>
        <w:rPr>
          <w:rFonts w:hint="eastAsia" w:ascii="仿宋" w:hAnsi="仿宋" w:eastAsia="仿宋"/>
          <w:sz w:val="32"/>
          <w:szCs w:val="32"/>
          <w:lang w:val="en-US" w:eastAsia="zh-CN"/>
        </w:rPr>
        <w:t>1.71</w:t>
      </w:r>
      <w:r>
        <w:rPr>
          <w:rFonts w:hint="eastAsia" w:ascii="仿宋" w:hAnsi="仿宋" w:eastAsia="仿宋"/>
          <w:sz w:val="32"/>
          <w:szCs w:val="32"/>
        </w:rPr>
        <w:t>万元。</w:t>
      </w:r>
    </w:p>
    <w:p w14:paraId="2C996416">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（三）项目财务管理情况。</w:t>
      </w:r>
    </w:p>
    <w:p w14:paraId="38545520">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cs="仿宋_GB2312"/>
          <w:sz w:val="32"/>
          <w:szCs w:val="32"/>
          <w:lang w:val="zh-CN"/>
        </w:rPr>
        <w:t>总体评价各项目实施单位财务管理制度是否健全，是否严格执行财务管理制度，账务处理是否及时，会计核算是否规范等。</w:t>
      </w:r>
    </w:p>
    <w:p w14:paraId="62796FC5">
      <w:pPr>
        <w:adjustRightInd w:val="0"/>
        <w:snapToGrid w:val="0"/>
        <w:spacing w:line="600" w:lineRule="exact"/>
        <w:ind w:firstLine="720"/>
        <w:rPr>
          <w:rFonts w:ascii="黑体" w:hAnsi="宋体" w:eastAsia="黑体"/>
          <w:sz w:val="32"/>
          <w:szCs w:val="32"/>
        </w:rPr>
      </w:pPr>
      <w:r>
        <w:rPr>
          <w:rFonts w:hint="eastAsia" w:ascii="黑体" w:hAnsi="宋体" w:eastAsia="黑体" w:cs="黑体"/>
          <w:sz w:val="32"/>
          <w:szCs w:val="32"/>
        </w:rPr>
        <w:t>三、项目实施及管理情况</w:t>
      </w:r>
    </w:p>
    <w:p w14:paraId="7798EE0D">
      <w:pPr>
        <w:spacing w:line="560" w:lineRule="exact"/>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单位具有完善的财务管理制度、会计核算及账务处理设立专人负责。支出严格执行财务管理制度、财务处理较为及时、会计核算比较规范。</w:t>
      </w:r>
    </w:p>
    <w:p w14:paraId="494508B6">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（一）项目组织架构及实施流程。</w:t>
      </w:r>
    </w:p>
    <w:p w14:paraId="46635164">
      <w:pPr>
        <w:snapToGrid w:val="0"/>
        <w:spacing w:line="560" w:lineRule="exact"/>
        <w:ind w:firstLine="640" w:firstLineChars="200"/>
        <w:rPr>
          <w:rFonts w:ascii="仿宋_GB2312" w:hAnsi="仿宋_GB2312" w:eastAsia="仿宋_GB2312"/>
          <w:b/>
          <w:bCs/>
          <w:sz w:val="32"/>
          <w:szCs w:val="32"/>
          <w:lang w:val="zh-CN"/>
        </w:rPr>
      </w:pPr>
      <w:r>
        <w:rPr>
          <w:rFonts w:hint="eastAsia" w:ascii="仿宋_GB2312" w:hAnsi="仿宋_GB2312" w:eastAsia="仿宋_GB2312" w:cs="仿宋_GB2312"/>
          <w:kern w:val="0"/>
          <w:sz w:val="32"/>
          <w:szCs w:val="32"/>
          <w:lang w:eastAsia="zh-CN"/>
        </w:rPr>
        <w:t>县委政法委</w:t>
      </w:r>
      <w:r>
        <w:rPr>
          <w:rFonts w:hint="eastAsia" w:ascii="仿宋_GB2312" w:hAnsi="仿宋_GB2312" w:eastAsia="仿宋_GB2312" w:cs="仿宋_GB2312"/>
          <w:sz w:val="32"/>
          <w:szCs w:val="32"/>
        </w:rPr>
        <w:t>依据单位职能和县政府审批通过的</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年度工作要点，为保障各项工作圆满完成，实现工作目标，制定了机关各支出项目的绩效目标。</w:t>
      </w:r>
    </w:p>
    <w:p w14:paraId="5B9AF787">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（二）项目管理情况。</w:t>
      </w:r>
    </w:p>
    <w:p w14:paraId="6892FE94">
      <w:pPr>
        <w:adjustRightInd w:val="0"/>
        <w:snapToGrid w:val="0"/>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项目支出资金分配科学合理，财政项目资金的管理实行了全过程管理，对于项目资金的分配，在各个环节上严格审查数据。项目资金统一由财政国库管理，专款专用，项目资金支出为财政授权支付和直接支付凭证支付，并严格执行从申请</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复核</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审核</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领导批准支付的操作程序，手续齐全，程序到位，资金使用规范，会计核算真实、准确。</w:t>
      </w:r>
    </w:p>
    <w:p w14:paraId="5AC536E9">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（三）项目监管情况。</w:t>
      </w:r>
    </w:p>
    <w:p w14:paraId="349D2ADF">
      <w:pPr>
        <w:adjustRightInd w:val="0"/>
        <w:snapToGrid w:val="0"/>
        <w:spacing w:line="560" w:lineRule="exact"/>
        <w:ind w:firstLine="720"/>
        <w:rPr>
          <w:rFonts w:ascii="仿宋_GB2312" w:hAnsi="仿宋_GB2312" w:eastAsia="仿宋_GB2312"/>
          <w:sz w:val="32"/>
          <w:szCs w:val="32"/>
          <w:lang w:val="zh-CN"/>
        </w:rPr>
      </w:pPr>
      <w:r>
        <w:rPr>
          <w:rFonts w:hint="eastAsia" w:ascii="仿宋_GB2312" w:hAnsi="仿宋_GB2312" w:eastAsia="仿宋_GB2312" w:cs="仿宋_GB2312"/>
          <w:kern w:val="0"/>
          <w:sz w:val="32"/>
          <w:szCs w:val="32"/>
          <w:lang w:eastAsia="zh-CN"/>
        </w:rPr>
        <w:t>县委政法委</w:t>
      </w:r>
      <w:r>
        <w:rPr>
          <w:rFonts w:hint="eastAsia" w:ascii="仿宋_GB2312" w:hAnsi="仿宋_GB2312" w:eastAsia="仿宋_GB2312" w:cs="仿宋_GB2312"/>
          <w:kern w:val="0"/>
          <w:sz w:val="32"/>
          <w:szCs w:val="32"/>
        </w:rPr>
        <w:t>建立了规范的内部控制管理体系，加强了项目资金全过程的监管</w:t>
      </w:r>
      <w:r>
        <w:rPr>
          <w:rFonts w:hint="eastAsia" w:ascii="仿宋_GB2312" w:hAnsi="仿宋_GB2312" w:eastAsia="仿宋_GB2312" w:cs="仿宋_GB2312"/>
          <w:sz w:val="32"/>
          <w:szCs w:val="32"/>
          <w:lang w:val="zh-CN"/>
        </w:rPr>
        <w:t>。</w:t>
      </w:r>
    </w:p>
    <w:p w14:paraId="590EC02C">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cs="黑体"/>
          <w:sz w:val="32"/>
          <w:szCs w:val="32"/>
        </w:rPr>
        <w:t>四、项目绩效情况</w:t>
      </w:r>
      <w:r>
        <w:rPr>
          <w:rFonts w:ascii="仿宋_GB2312" w:hAnsi="宋体" w:eastAsia="仿宋_GB2312"/>
          <w:sz w:val="32"/>
          <w:szCs w:val="32"/>
          <w:lang w:val="zh-CN"/>
        </w:rPr>
        <w:tab/>
      </w:r>
    </w:p>
    <w:p w14:paraId="5612DEA1">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（一）项目完成情况。</w:t>
      </w:r>
    </w:p>
    <w:p w14:paraId="25D25831">
      <w:pPr>
        <w:autoSpaceDE w:val="0"/>
        <w:autoSpaceDN w:val="0"/>
        <w:adjustRightInd w:val="0"/>
        <w:spacing w:line="560" w:lineRule="exact"/>
        <w:ind w:firstLine="640" w:firstLineChars="20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截</w:t>
      </w:r>
      <w:r>
        <w:rPr>
          <w:rFonts w:hint="eastAsia" w:ascii="仿宋_GB2312" w:hAnsi="仿宋_GB2312" w:eastAsia="仿宋_GB2312" w:cs="仿宋_GB2312"/>
          <w:kern w:val="0"/>
          <w:sz w:val="32"/>
          <w:szCs w:val="32"/>
          <w:lang w:eastAsia="zh-CN"/>
        </w:rPr>
        <w:t>至</w:t>
      </w:r>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日，项目资金</w:t>
      </w:r>
      <w:r>
        <w:rPr>
          <w:rFonts w:hint="eastAsia" w:ascii="仿宋_GB2312" w:hAnsi="仿宋_GB2312" w:eastAsia="仿宋_GB2312" w:cs="仿宋_GB2312"/>
          <w:sz w:val="32"/>
          <w:szCs w:val="32"/>
        </w:rPr>
        <w:t>支付</w:t>
      </w:r>
      <w:r>
        <w:rPr>
          <w:rFonts w:hint="eastAsia" w:ascii="仿宋_GB2312" w:hAnsi="仿宋_GB2312" w:eastAsia="仿宋_GB2312" w:cs="仿宋_GB2312"/>
          <w:sz w:val="32"/>
          <w:szCs w:val="32"/>
          <w:lang w:val="en-US" w:eastAsia="zh-CN"/>
        </w:rPr>
        <w:t>269.62</w:t>
      </w:r>
      <w:r>
        <w:rPr>
          <w:rFonts w:hint="eastAsia" w:ascii="仿宋_GB2312" w:hAnsi="仿宋_GB2312" w:eastAsia="仿宋_GB2312" w:cs="仿宋_GB2312"/>
          <w:sz w:val="32"/>
          <w:szCs w:val="32"/>
        </w:rPr>
        <w:t>万元，执行率为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完成目标项目工作，完成了预设的绩效目标，绩效目标完成质量较高，项目完成时效准确，项目成本控制较好，取得了较好的项目经济效益和社会效益。</w:t>
      </w:r>
    </w:p>
    <w:p w14:paraId="3CBAE2D7">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（二）项目效益情况。</w:t>
      </w:r>
    </w:p>
    <w:p w14:paraId="4EBE4146">
      <w:pPr>
        <w:adjustRightInd w:val="0"/>
        <w:snapToGrid w:val="0"/>
        <w:spacing w:line="600" w:lineRule="exact"/>
        <w:ind w:firstLine="720"/>
        <w:rPr>
          <w:rFonts w:ascii="仿宋_GB2312" w:hAnsi="仿宋_GB2312" w:eastAsia="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年度部门决算中反映“扫黑除恶专项经费”“社会网格化专项经费”等</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个项目绩效目标实际完成情况。项目效益情况如下所述：</w:t>
      </w:r>
    </w:p>
    <w:p w14:paraId="33F627DB">
      <w:pPr>
        <w:spacing w:line="580" w:lineRule="exact"/>
        <w:ind w:firstLine="640" w:firstLineChars="200"/>
        <w:rPr>
          <w:rFonts w:eastAsia="方正仿宋_GBK"/>
          <w:sz w:val="33"/>
          <w:szCs w:val="33"/>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）扫黑除恶专项经费项目绩效目标完成情况综述。项目全年预算数</w:t>
      </w:r>
      <w:r>
        <w:rPr>
          <w:rFonts w:hint="eastAsia" w:ascii="仿宋_GB2312" w:hAnsi="仿宋_GB2312" w:eastAsia="仿宋_GB2312" w:cs="仿宋_GB2312"/>
          <w:sz w:val="32"/>
          <w:szCs w:val="32"/>
          <w:lang w:val="en-US" w:eastAsia="zh-CN"/>
        </w:rPr>
        <w:t>18.66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18.66</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w:t>
      </w:r>
      <w:r>
        <w:rPr>
          <w:rFonts w:hint="eastAsia" w:eastAsia="方正仿宋_GBK" w:cs="方正仿宋_GBK"/>
          <w:sz w:val="33"/>
          <w:szCs w:val="33"/>
        </w:rPr>
        <w:t>紧紧围绕深挖根治年度目标，认真贯彻落实中央、省、市扫黑除恶专项斗争视频会议，深入推进综合治理、基层基础建设，开展黄赌毒和黑恶势力听之任之、失职失责甚至包庇纵容、充当</w:t>
      </w:r>
      <w:r>
        <w:rPr>
          <w:rFonts w:eastAsia="方正仿宋_GBK"/>
          <w:sz w:val="33"/>
          <w:szCs w:val="33"/>
        </w:rPr>
        <w:t>“</w:t>
      </w:r>
      <w:r>
        <w:rPr>
          <w:rFonts w:hint="eastAsia" w:eastAsia="方正仿宋_GBK" w:cs="方正仿宋_GBK"/>
          <w:sz w:val="33"/>
          <w:szCs w:val="33"/>
        </w:rPr>
        <w:t>保护伞</w:t>
      </w:r>
      <w:r>
        <w:rPr>
          <w:rFonts w:eastAsia="方正仿宋_GBK"/>
          <w:sz w:val="33"/>
          <w:szCs w:val="33"/>
        </w:rPr>
        <w:t>”</w:t>
      </w:r>
      <w:r>
        <w:rPr>
          <w:rFonts w:hint="eastAsia" w:eastAsia="方正仿宋_GBK" w:cs="方正仿宋_GBK"/>
          <w:sz w:val="33"/>
          <w:szCs w:val="33"/>
        </w:rPr>
        <w:t>专项整治，持续掀起了专项斗争强大攻。</w:t>
      </w:r>
    </w:p>
    <w:p w14:paraId="6BDD49DB">
      <w:pPr>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）社会网格化专项经费项目绩效目标完成情况综述。项目全年预算数</w:t>
      </w:r>
      <w:r>
        <w:rPr>
          <w:rFonts w:hint="eastAsia" w:ascii="仿宋_GB2312" w:hAnsi="仿宋_GB2312" w:eastAsia="仿宋_GB2312" w:cs="仿宋_GB2312"/>
          <w:sz w:val="32"/>
          <w:szCs w:val="32"/>
          <w:lang w:val="en-US" w:eastAsia="zh-CN"/>
        </w:rPr>
        <w:t>155.89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155.89</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w:t>
      </w:r>
      <w:r>
        <w:rPr>
          <w:rFonts w:hint="eastAsia" w:eastAsia="方正仿宋_GBK" w:cs="方正仿宋_GBK"/>
          <w:sz w:val="33"/>
          <w:szCs w:val="33"/>
        </w:rPr>
        <w:t>加强了对刑满释放人员、社区服刑人员、易肇事肇祸精神病患者、吸毒人群等重点人员的服务管控。加强了网格管理员队伍建设，充分发挥网格管理员的积极作用。</w:t>
      </w:r>
    </w:p>
    <w:p w14:paraId="1A8791E0">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五、评价结论及建议</w:t>
      </w:r>
    </w:p>
    <w:p w14:paraId="20D65183">
      <w:pPr>
        <w:adjustRightInd w:val="0"/>
        <w:snapToGrid w:val="0"/>
        <w:spacing w:line="600" w:lineRule="exact"/>
        <w:ind w:firstLine="72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（一）评价结论。</w:t>
      </w:r>
    </w:p>
    <w:p w14:paraId="6EC54B20">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县委政法委</w:t>
      </w:r>
      <w:r>
        <w:rPr>
          <w:rFonts w:hint="eastAsia" w:ascii="仿宋_GB2312" w:hAnsi="仿宋_GB2312" w:eastAsia="仿宋_GB2312" w:cs="仿宋_GB2312"/>
          <w:sz w:val="32"/>
          <w:szCs w:val="32"/>
        </w:rPr>
        <w:t>严格执行上级关于项目绩效评价的相关规定，开展了项目绩效评价工作，实现了预期目标。</w:t>
      </w:r>
    </w:p>
    <w:p w14:paraId="51D0A66A">
      <w:pPr>
        <w:adjustRightInd w:val="0"/>
        <w:snapToGrid w:val="0"/>
        <w:spacing w:line="560" w:lineRule="exact"/>
        <w:ind w:firstLine="72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（二）存在的问题。</w:t>
      </w:r>
    </w:p>
    <w:p w14:paraId="7F7C052C">
      <w:pPr>
        <w:pStyle w:val="15"/>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 绩效目标设立不够明确、细化和量化。项目单位虽然设立了项目资金绩效目标，但目标不够明确、细化和量化。</w:t>
      </w:r>
    </w:p>
    <w:p w14:paraId="38E900AF">
      <w:pPr>
        <w:pStyle w:val="15"/>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 资金使用效益有待进一步提高。</w:t>
      </w:r>
    </w:p>
    <w:p w14:paraId="4F699E73">
      <w:pPr>
        <w:adjustRightInd w:val="0"/>
        <w:snapToGrid w:val="0"/>
        <w:spacing w:line="560" w:lineRule="exact"/>
        <w:ind w:firstLine="72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（三）相关建议。</w:t>
      </w:r>
    </w:p>
    <w:p w14:paraId="46A949AD">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1.遵循先有预算、后有支出的原则，加强机关财务管理，严禁超预算和无预算安排支出，严格开支范围和标准。 </w:t>
      </w:r>
    </w:p>
    <w:p w14:paraId="31EEF96C">
      <w:pPr>
        <w:pStyle w:val="15"/>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加强业务培训，提高评价水平。绩效评价工作是一项长期性的工作，专业性强，工作量大，建议财政部门进一步加强开展部门领导及经办人员相关的政策、业务工作培训，组织开展部门之间、单位之间的经验交流，切实推进绩效评价工作的开展。</w:t>
      </w:r>
    </w:p>
    <w:p w14:paraId="3BDB914C">
      <w:pPr>
        <w:pStyle w:val="15"/>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3.预算财务分析常态化，定期做好预算支出财务分析，做好部门绩效评价工作。</w:t>
      </w:r>
    </w:p>
    <w:p w14:paraId="16B6219C">
      <w:pPr>
        <w:pStyle w:val="6"/>
        <w:ind w:firstLine="31680"/>
        <w:rPr>
          <w:rFonts w:ascii="仿宋_GB2312" w:hAnsi="仿宋_GB2312" w:eastAsia="仿宋_GB2312"/>
          <w:sz w:val="32"/>
          <w:szCs w:val="32"/>
        </w:rPr>
      </w:pPr>
    </w:p>
    <w:p w14:paraId="226B6321">
      <w:pPr>
        <w:spacing w:line="580" w:lineRule="exact"/>
        <w:ind w:firstLine="640"/>
        <w:rPr>
          <w:rFonts w:ascii="仿宋_GB2312" w:hAnsi="仿宋_GB2312" w:eastAsia="仿宋_GB2312"/>
          <w:sz w:val="32"/>
          <w:szCs w:val="32"/>
        </w:rPr>
      </w:pPr>
    </w:p>
    <w:p w14:paraId="1C105972">
      <w:pPr>
        <w:spacing w:line="580" w:lineRule="exact"/>
        <w:ind w:firstLine="640"/>
        <w:rPr>
          <w:rFonts w:ascii="仿宋_GB2312" w:hAnsi="仿宋_GB2312" w:eastAsia="仿宋_GB2312"/>
          <w:sz w:val="32"/>
          <w:szCs w:val="32"/>
        </w:rPr>
      </w:pPr>
    </w:p>
    <w:p w14:paraId="555437A3">
      <w:pPr>
        <w:widowControl/>
        <w:jc w:val="left"/>
        <w:rPr>
          <w:rStyle w:val="21"/>
          <w:rFonts w:ascii="黑体" w:hAnsi="黑体" w:eastAsia="黑体"/>
          <w:b w:val="0"/>
          <w:bCs w:val="0"/>
        </w:rPr>
      </w:pPr>
    </w:p>
    <w:p w14:paraId="30C38F0C">
      <w:pPr>
        <w:pStyle w:val="2"/>
        <w:rPr>
          <w:rStyle w:val="21"/>
          <w:rFonts w:ascii="黑体" w:hAnsi="黑体" w:eastAsia="黑体"/>
          <w:b w:val="0"/>
          <w:bCs w:val="0"/>
        </w:rPr>
      </w:pPr>
    </w:p>
    <w:p w14:paraId="67F8FB9C">
      <w:pPr>
        <w:rPr>
          <w:rStyle w:val="21"/>
          <w:rFonts w:ascii="黑体" w:hAnsi="黑体" w:eastAsia="黑体"/>
          <w:b w:val="0"/>
          <w:bCs w:val="0"/>
        </w:rPr>
      </w:pPr>
    </w:p>
    <w:p w14:paraId="444C58CA">
      <w:pPr>
        <w:pStyle w:val="2"/>
        <w:rPr>
          <w:rStyle w:val="21"/>
          <w:rFonts w:ascii="黑体" w:hAnsi="黑体" w:eastAsia="黑体"/>
          <w:b w:val="0"/>
          <w:bCs w:val="0"/>
        </w:rPr>
      </w:pPr>
    </w:p>
    <w:p w14:paraId="1DA830BA">
      <w:pPr>
        <w:rPr>
          <w:rStyle w:val="21"/>
          <w:rFonts w:ascii="黑体" w:hAnsi="黑体" w:eastAsia="黑体"/>
          <w:b w:val="0"/>
          <w:bCs w:val="0"/>
        </w:rPr>
      </w:pPr>
    </w:p>
    <w:p w14:paraId="783BED26">
      <w:pPr>
        <w:pStyle w:val="2"/>
        <w:rPr>
          <w:rStyle w:val="21"/>
          <w:rFonts w:ascii="黑体" w:hAnsi="黑体" w:eastAsia="黑体"/>
          <w:b w:val="0"/>
          <w:bCs w:val="0"/>
        </w:rPr>
      </w:pPr>
    </w:p>
    <w:p w14:paraId="1B0A788A">
      <w:pPr>
        <w:rPr>
          <w:rStyle w:val="21"/>
          <w:rFonts w:ascii="黑体" w:hAnsi="黑体" w:eastAsia="黑体"/>
          <w:b w:val="0"/>
          <w:bCs w:val="0"/>
        </w:rPr>
      </w:pPr>
    </w:p>
    <w:p w14:paraId="10CED6F2">
      <w:pPr>
        <w:pStyle w:val="2"/>
        <w:rPr>
          <w:rStyle w:val="21"/>
          <w:rFonts w:ascii="黑体" w:hAnsi="黑体" w:eastAsia="黑体"/>
          <w:b w:val="0"/>
          <w:bCs w:val="0"/>
        </w:rPr>
      </w:pPr>
    </w:p>
    <w:p w14:paraId="0ECF7D89">
      <w:pPr>
        <w:rPr>
          <w:rStyle w:val="21"/>
          <w:rFonts w:ascii="黑体" w:hAnsi="黑体" w:eastAsia="黑体"/>
          <w:b w:val="0"/>
          <w:bCs w:val="0"/>
        </w:rPr>
      </w:pPr>
    </w:p>
    <w:p w14:paraId="1FD0A7B6">
      <w:pPr>
        <w:pStyle w:val="2"/>
        <w:rPr>
          <w:rStyle w:val="21"/>
          <w:rFonts w:ascii="黑体" w:hAnsi="黑体" w:eastAsia="黑体"/>
          <w:b w:val="0"/>
          <w:bCs w:val="0"/>
        </w:rPr>
      </w:pPr>
    </w:p>
    <w:p w14:paraId="3099E3B9">
      <w:pPr>
        <w:rPr>
          <w:rStyle w:val="21"/>
          <w:rFonts w:ascii="黑体" w:hAnsi="黑体" w:eastAsia="黑体"/>
          <w:b w:val="0"/>
          <w:bCs w:val="0"/>
        </w:rPr>
      </w:pPr>
    </w:p>
    <w:p w14:paraId="0B552A96">
      <w:pPr>
        <w:pStyle w:val="2"/>
        <w:rPr>
          <w:rStyle w:val="21"/>
          <w:rFonts w:ascii="黑体" w:hAnsi="黑体" w:eastAsia="黑体"/>
          <w:b w:val="0"/>
          <w:bCs w:val="0"/>
        </w:rPr>
      </w:pPr>
    </w:p>
    <w:p w14:paraId="7DEAC2F5">
      <w:pPr>
        <w:rPr>
          <w:rStyle w:val="21"/>
          <w:rFonts w:ascii="黑体" w:hAnsi="黑体" w:eastAsia="黑体"/>
          <w:b w:val="0"/>
          <w:bCs w:val="0"/>
        </w:rPr>
      </w:pPr>
    </w:p>
    <w:p w14:paraId="09C516B2">
      <w:pPr>
        <w:pStyle w:val="2"/>
        <w:rPr>
          <w:rStyle w:val="21"/>
          <w:rFonts w:ascii="黑体" w:hAnsi="黑体" w:eastAsia="黑体"/>
          <w:b w:val="0"/>
          <w:bCs w:val="0"/>
        </w:rPr>
      </w:pPr>
    </w:p>
    <w:p w14:paraId="79AF26CD">
      <w:pPr>
        <w:rPr>
          <w:rStyle w:val="21"/>
          <w:rFonts w:ascii="黑体" w:hAnsi="黑体" w:eastAsia="黑体"/>
          <w:b w:val="0"/>
          <w:bCs w:val="0"/>
        </w:rPr>
      </w:pPr>
    </w:p>
    <w:p w14:paraId="05688ED2">
      <w:pPr>
        <w:pStyle w:val="2"/>
        <w:rPr>
          <w:rStyle w:val="21"/>
          <w:rFonts w:ascii="黑体" w:hAnsi="黑体" w:eastAsia="黑体"/>
          <w:b w:val="0"/>
          <w:bCs w:val="0"/>
        </w:rPr>
      </w:pPr>
    </w:p>
    <w:p w14:paraId="52FA1B93">
      <w:pPr>
        <w:rPr>
          <w:rStyle w:val="21"/>
          <w:rFonts w:ascii="黑体" w:hAnsi="黑体" w:eastAsia="黑体"/>
          <w:b w:val="0"/>
          <w:bCs w:val="0"/>
        </w:rPr>
      </w:pPr>
    </w:p>
    <w:p w14:paraId="08649C0D">
      <w:pPr>
        <w:pStyle w:val="2"/>
      </w:pPr>
    </w:p>
    <w:p w14:paraId="79A8ECED">
      <w:pPr>
        <w:spacing w:line="600" w:lineRule="exact"/>
        <w:jc w:val="center"/>
        <w:outlineLvl w:val="0"/>
        <w:rPr>
          <w:rStyle w:val="21"/>
          <w:rFonts w:ascii="黑体" w:hAnsi="黑体" w:eastAsia="黑体"/>
          <w:b w:val="0"/>
          <w:bCs w:val="0"/>
        </w:rPr>
      </w:pPr>
      <w:bookmarkStart w:id="92" w:name="_Toc52180099"/>
      <w:bookmarkStart w:id="93" w:name="_Toc15396618"/>
      <w:r>
        <w:rPr>
          <w:rFonts w:hint="eastAsia" w:ascii="黑体" w:hAnsi="黑体" w:eastAsia="黑体" w:cs="黑体"/>
          <w:color w:val="000000"/>
          <w:sz w:val="44"/>
          <w:szCs w:val="44"/>
        </w:rPr>
        <w:t>第</w:t>
      </w:r>
      <w:r>
        <w:rPr>
          <w:rStyle w:val="21"/>
          <w:rFonts w:hint="eastAsia" w:ascii="黑体" w:hAnsi="黑体" w:eastAsia="黑体" w:cs="黑体"/>
          <w:b w:val="0"/>
          <w:bCs w:val="0"/>
        </w:rPr>
        <w:t>五部分</w:t>
      </w:r>
      <w:r>
        <w:rPr>
          <w:rStyle w:val="21"/>
          <w:rFonts w:ascii="黑体" w:hAnsi="黑体" w:eastAsia="黑体" w:cs="黑体"/>
          <w:b w:val="0"/>
          <w:bCs w:val="0"/>
        </w:rPr>
        <w:t xml:space="preserve"> </w:t>
      </w:r>
      <w:r>
        <w:rPr>
          <w:rStyle w:val="21"/>
          <w:rFonts w:hint="eastAsia" w:ascii="黑体" w:hAnsi="黑体" w:eastAsia="黑体" w:cs="黑体"/>
          <w:b w:val="0"/>
          <w:bCs w:val="0"/>
        </w:rPr>
        <w:t>附表</w:t>
      </w:r>
      <w:bookmarkEnd w:id="88"/>
      <w:bookmarkEnd w:id="92"/>
      <w:bookmarkEnd w:id="93"/>
    </w:p>
    <w:p w14:paraId="1AC37C3E">
      <w:pPr>
        <w:spacing w:line="600" w:lineRule="exact"/>
        <w:jc w:val="center"/>
        <w:outlineLvl w:val="0"/>
        <w:rPr>
          <w:rFonts w:ascii="仿宋" w:hAnsi="仿宋" w:eastAsia="仿宋"/>
          <w:b/>
          <w:bCs/>
          <w:color w:val="000000"/>
          <w:sz w:val="44"/>
          <w:szCs w:val="44"/>
        </w:rPr>
      </w:pPr>
    </w:p>
    <w:p w14:paraId="753FD359">
      <w:pPr>
        <w:pStyle w:val="4"/>
        <w:rPr>
          <w:rFonts w:ascii="仿宋" w:hAnsi="仿宋" w:eastAsia="仿宋" w:cs="Times New Roman"/>
          <w:color w:val="000000"/>
        </w:rPr>
      </w:pPr>
      <w:bookmarkStart w:id="94" w:name="_Toc15396619"/>
      <w:bookmarkStart w:id="95" w:name="_Toc52180100"/>
      <w:r>
        <w:rPr>
          <w:rFonts w:hint="eastAsia" w:ascii="仿宋" w:hAnsi="仿宋" w:eastAsia="仿宋" w:cs="仿宋"/>
          <w:b w:val="0"/>
          <w:bCs w:val="0"/>
          <w:color w:val="000000"/>
        </w:rPr>
        <w:t>一、收</w:t>
      </w:r>
      <w:r>
        <w:rPr>
          <w:rStyle w:val="22"/>
          <w:rFonts w:hint="eastAsia" w:ascii="仿宋" w:hAnsi="仿宋" w:eastAsia="仿宋" w:cs="仿宋"/>
          <w:b w:val="0"/>
          <w:bCs w:val="0"/>
        </w:rPr>
        <w:t>入支出决算总表</w:t>
      </w:r>
      <w:bookmarkEnd w:id="94"/>
      <w:bookmarkEnd w:id="95"/>
    </w:p>
    <w:p w14:paraId="545C8E50">
      <w:pPr>
        <w:pStyle w:val="4"/>
        <w:rPr>
          <w:rFonts w:ascii="仿宋" w:hAnsi="仿宋" w:eastAsia="仿宋" w:cs="Times New Roman"/>
          <w:color w:val="000000"/>
        </w:rPr>
      </w:pPr>
      <w:bookmarkStart w:id="96" w:name="_Toc15396620"/>
      <w:bookmarkStart w:id="97" w:name="_Toc52180101"/>
      <w:r>
        <w:rPr>
          <w:rFonts w:hint="eastAsia" w:ascii="仿宋" w:hAnsi="仿宋" w:eastAsia="仿宋" w:cs="仿宋"/>
          <w:b w:val="0"/>
          <w:bCs w:val="0"/>
          <w:color w:val="000000"/>
        </w:rPr>
        <w:t>二、收</w:t>
      </w:r>
      <w:r>
        <w:rPr>
          <w:rStyle w:val="22"/>
          <w:rFonts w:hint="eastAsia" w:ascii="仿宋" w:hAnsi="仿宋" w:eastAsia="仿宋" w:cs="仿宋"/>
          <w:b w:val="0"/>
          <w:bCs w:val="0"/>
        </w:rPr>
        <w:t>入决算表</w:t>
      </w:r>
      <w:bookmarkEnd w:id="96"/>
      <w:bookmarkEnd w:id="97"/>
    </w:p>
    <w:p w14:paraId="343FE8D9">
      <w:pPr>
        <w:pStyle w:val="4"/>
        <w:rPr>
          <w:rFonts w:ascii="仿宋" w:hAnsi="仿宋" w:eastAsia="仿宋" w:cs="Times New Roman"/>
          <w:color w:val="000000"/>
        </w:rPr>
      </w:pPr>
      <w:bookmarkStart w:id="98" w:name="_Toc15396621"/>
      <w:bookmarkStart w:id="99" w:name="_Toc52180102"/>
      <w:r>
        <w:rPr>
          <w:rStyle w:val="22"/>
          <w:rFonts w:hint="eastAsia" w:ascii="仿宋" w:hAnsi="仿宋" w:eastAsia="仿宋" w:cs="仿宋"/>
          <w:b w:val="0"/>
          <w:bCs w:val="0"/>
        </w:rPr>
        <w:t>三、</w:t>
      </w:r>
      <w:r>
        <w:rPr>
          <w:rFonts w:hint="eastAsia" w:ascii="仿宋" w:hAnsi="仿宋" w:eastAsia="仿宋" w:cs="仿宋"/>
          <w:b w:val="0"/>
          <w:bCs w:val="0"/>
          <w:color w:val="000000"/>
        </w:rPr>
        <w:t>支</w:t>
      </w:r>
      <w:r>
        <w:rPr>
          <w:rStyle w:val="22"/>
          <w:rFonts w:hint="eastAsia" w:ascii="仿宋" w:hAnsi="仿宋" w:eastAsia="仿宋" w:cs="仿宋"/>
          <w:b w:val="0"/>
          <w:bCs w:val="0"/>
        </w:rPr>
        <w:t>出决算表</w:t>
      </w:r>
      <w:bookmarkEnd w:id="98"/>
      <w:bookmarkEnd w:id="99"/>
    </w:p>
    <w:p w14:paraId="7FBDE179">
      <w:pPr>
        <w:pStyle w:val="4"/>
        <w:rPr>
          <w:rFonts w:ascii="仿宋" w:hAnsi="仿宋" w:eastAsia="仿宋" w:cs="Times New Roman"/>
          <w:b w:val="0"/>
          <w:bCs w:val="0"/>
          <w:color w:val="000000"/>
        </w:rPr>
      </w:pPr>
      <w:bookmarkStart w:id="100" w:name="_Toc15396622"/>
      <w:bookmarkStart w:id="101" w:name="_Toc52180103"/>
      <w:r>
        <w:rPr>
          <w:rStyle w:val="22"/>
          <w:rFonts w:hint="eastAsia" w:ascii="仿宋" w:hAnsi="仿宋" w:eastAsia="仿宋" w:cs="仿宋"/>
          <w:b w:val="0"/>
          <w:bCs w:val="0"/>
        </w:rPr>
        <w:t>四、</w:t>
      </w:r>
      <w:r>
        <w:rPr>
          <w:rFonts w:hint="eastAsia" w:ascii="仿宋" w:hAnsi="仿宋" w:eastAsia="仿宋" w:cs="仿宋"/>
          <w:b w:val="0"/>
          <w:bCs w:val="0"/>
          <w:color w:val="000000"/>
        </w:rPr>
        <w:t>财</w:t>
      </w:r>
      <w:r>
        <w:rPr>
          <w:rStyle w:val="22"/>
          <w:rFonts w:hint="eastAsia" w:ascii="仿宋" w:hAnsi="仿宋" w:eastAsia="仿宋" w:cs="仿宋"/>
          <w:b w:val="0"/>
          <w:bCs w:val="0"/>
        </w:rPr>
        <w:t>政拨款收入支出决算总表</w:t>
      </w:r>
      <w:bookmarkEnd w:id="100"/>
      <w:bookmarkEnd w:id="101"/>
    </w:p>
    <w:p w14:paraId="135391B1">
      <w:pPr>
        <w:pStyle w:val="4"/>
        <w:rPr>
          <w:rStyle w:val="22"/>
          <w:rFonts w:ascii="仿宋" w:hAnsi="仿宋" w:eastAsia="仿宋" w:cs="Times New Roman"/>
          <w:b w:val="0"/>
          <w:bCs w:val="0"/>
        </w:rPr>
      </w:pPr>
      <w:bookmarkStart w:id="102" w:name="_Toc15396623"/>
      <w:bookmarkStart w:id="103" w:name="_Toc52180104"/>
      <w:r>
        <w:rPr>
          <w:rStyle w:val="22"/>
          <w:rFonts w:hint="eastAsia" w:ascii="仿宋" w:hAnsi="仿宋" w:eastAsia="仿宋" w:cs="仿宋"/>
          <w:b w:val="0"/>
          <w:bCs w:val="0"/>
        </w:rPr>
        <w:t>五、</w:t>
      </w:r>
      <w:r>
        <w:rPr>
          <w:rFonts w:hint="eastAsia" w:ascii="仿宋" w:hAnsi="仿宋" w:eastAsia="仿宋" w:cs="仿宋"/>
          <w:b w:val="0"/>
          <w:bCs w:val="0"/>
          <w:color w:val="000000"/>
        </w:rPr>
        <w:t>财</w:t>
      </w:r>
      <w:r>
        <w:rPr>
          <w:rStyle w:val="22"/>
          <w:rFonts w:hint="eastAsia" w:ascii="仿宋" w:hAnsi="仿宋" w:eastAsia="仿宋" w:cs="仿宋"/>
          <w:b w:val="0"/>
          <w:bCs w:val="0"/>
        </w:rPr>
        <w:t>政拨款支出决算明细表</w:t>
      </w:r>
      <w:bookmarkEnd w:id="102"/>
      <w:bookmarkEnd w:id="103"/>
      <w:bookmarkStart w:id="104" w:name="_Toc15396624"/>
    </w:p>
    <w:p w14:paraId="17D9A6BA">
      <w:pPr>
        <w:pStyle w:val="4"/>
        <w:rPr>
          <w:rFonts w:ascii="仿宋" w:hAnsi="仿宋" w:eastAsia="仿宋" w:cs="Times New Roman"/>
          <w:color w:val="000000"/>
        </w:rPr>
      </w:pPr>
      <w:bookmarkStart w:id="105" w:name="_Toc52180105"/>
      <w:r>
        <w:rPr>
          <w:rStyle w:val="22"/>
          <w:rFonts w:hint="eastAsia" w:ascii="仿宋" w:hAnsi="仿宋" w:eastAsia="仿宋" w:cs="仿宋"/>
          <w:b w:val="0"/>
          <w:bCs w:val="0"/>
        </w:rPr>
        <w:t>六、</w:t>
      </w:r>
      <w:r>
        <w:rPr>
          <w:rFonts w:hint="eastAsia" w:ascii="仿宋" w:hAnsi="仿宋" w:eastAsia="仿宋" w:cs="仿宋"/>
          <w:b w:val="0"/>
          <w:bCs w:val="0"/>
          <w:color w:val="000000"/>
        </w:rPr>
        <w:t>一</w:t>
      </w:r>
      <w:r>
        <w:rPr>
          <w:rStyle w:val="22"/>
          <w:rFonts w:hint="eastAsia" w:ascii="仿宋" w:hAnsi="仿宋" w:eastAsia="仿宋" w:cs="仿宋"/>
          <w:b w:val="0"/>
          <w:bCs w:val="0"/>
        </w:rPr>
        <w:t>般公共预算财政拨款支出决算表</w:t>
      </w:r>
      <w:bookmarkEnd w:id="104"/>
      <w:bookmarkEnd w:id="105"/>
    </w:p>
    <w:p w14:paraId="06C3C64E">
      <w:pPr>
        <w:pStyle w:val="4"/>
        <w:rPr>
          <w:rFonts w:ascii="仿宋" w:hAnsi="仿宋" w:eastAsia="仿宋" w:cs="Times New Roman"/>
          <w:color w:val="000000"/>
        </w:rPr>
      </w:pPr>
      <w:bookmarkStart w:id="106" w:name="_Toc15396625"/>
      <w:bookmarkStart w:id="107" w:name="_Toc52180106"/>
      <w:r>
        <w:rPr>
          <w:rStyle w:val="22"/>
          <w:rFonts w:hint="eastAsia" w:ascii="仿宋" w:hAnsi="仿宋" w:eastAsia="仿宋" w:cs="仿宋"/>
          <w:b w:val="0"/>
          <w:bCs w:val="0"/>
        </w:rPr>
        <w:t>七、</w:t>
      </w:r>
      <w:r>
        <w:rPr>
          <w:rFonts w:hint="eastAsia" w:ascii="仿宋" w:hAnsi="仿宋" w:eastAsia="仿宋" w:cs="仿宋"/>
          <w:b w:val="0"/>
          <w:bCs w:val="0"/>
          <w:color w:val="000000"/>
        </w:rPr>
        <w:t>一</w:t>
      </w:r>
      <w:r>
        <w:rPr>
          <w:rStyle w:val="22"/>
          <w:rFonts w:hint="eastAsia" w:ascii="仿宋" w:hAnsi="仿宋" w:eastAsia="仿宋" w:cs="仿宋"/>
          <w:b w:val="0"/>
          <w:bCs w:val="0"/>
        </w:rPr>
        <w:t>般公共预算财政拨款支出决算明细表</w:t>
      </w:r>
      <w:bookmarkEnd w:id="106"/>
      <w:bookmarkEnd w:id="107"/>
    </w:p>
    <w:p w14:paraId="74E382CF">
      <w:pPr>
        <w:pStyle w:val="4"/>
        <w:rPr>
          <w:rFonts w:ascii="仿宋" w:hAnsi="仿宋" w:eastAsia="仿宋" w:cs="Times New Roman"/>
          <w:color w:val="000000"/>
        </w:rPr>
      </w:pPr>
      <w:bookmarkStart w:id="108" w:name="_Toc15396626"/>
      <w:bookmarkStart w:id="109" w:name="_Toc52180107"/>
      <w:r>
        <w:rPr>
          <w:rStyle w:val="22"/>
          <w:rFonts w:hint="eastAsia" w:ascii="仿宋" w:hAnsi="仿宋" w:eastAsia="仿宋" w:cs="仿宋"/>
          <w:b w:val="0"/>
          <w:bCs w:val="0"/>
        </w:rPr>
        <w:t>八、</w:t>
      </w:r>
      <w:r>
        <w:rPr>
          <w:rFonts w:hint="eastAsia" w:ascii="仿宋" w:hAnsi="仿宋" w:eastAsia="仿宋" w:cs="仿宋"/>
          <w:b w:val="0"/>
          <w:bCs w:val="0"/>
          <w:color w:val="000000"/>
        </w:rPr>
        <w:t>一</w:t>
      </w:r>
      <w:r>
        <w:rPr>
          <w:rStyle w:val="22"/>
          <w:rFonts w:hint="eastAsia" w:ascii="仿宋" w:hAnsi="仿宋" w:eastAsia="仿宋" w:cs="仿宋"/>
          <w:b w:val="0"/>
          <w:bCs w:val="0"/>
        </w:rPr>
        <w:t>般公共预算财政拨款基本支出决算表</w:t>
      </w:r>
      <w:bookmarkEnd w:id="108"/>
      <w:bookmarkEnd w:id="109"/>
    </w:p>
    <w:p w14:paraId="46F9DAA2">
      <w:pPr>
        <w:pStyle w:val="4"/>
        <w:rPr>
          <w:rFonts w:ascii="仿宋" w:hAnsi="仿宋" w:eastAsia="仿宋" w:cs="Times New Roman"/>
          <w:color w:val="000000"/>
        </w:rPr>
      </w:pPr>
      <w:bookmarkStart w:id="110" w:name="_Toc52180108"/>
      <w:bookmarkStart w:id="111" w:name="_Toc15396627"/>
      <w:r>
        <w:rPr>
          <w:rStyle w:val="22"/>
          <w:rFonts w:hint="eastAsia" w:ascii="仿宋" w:hAnsi="仿宋" w:eastAsia="仿宋" w:cs="仿宋"/>
          <w:b w:val="0"/>
          <w:bCs w:val="0"/>
        </w:rPr>
        <w:t>九、</w:t>
      </w:r>
      <w:r>
        <w:rPr>
          <w:rFonts w:hint="eastAsia" w:ascii="仿宋" w:hAnsi="仿宋" w:eastAsia="仿宋" w:cs="仿宋"/>
          <w:b w:val="0"/>
          <w:bCs w:val="0"/>
          <w:color w:val="000000"/>
        </w:rPr>
        <w:t>一</w:t>
      </w:r>
      <w:r>
        <w:rPr>
          <w:rStyle w:val="22"/>
          <w:rFonts w:hint="eastAsia" w:ascii="仿宋" w:hAnsi="仿宋" w:eastAsia="仿宋" w:cs="仿宋"/>
          <w:b w:val="0"/>
          <w:bCs w:val="0"/>
        </w:rPr>
        <w:t>般公共预算财政拨款项目支出决算表</w:t>
      </w:r>
      <w:bookmarkEnd w:id="110"/>
      <w:bookmarkEnd w:id="111"/>
    </w:p>
    <w:p w14:paraId="4DF6071F">
      <w:pPr>
        <w:pStyle w:val="4"/>
        <w:rPr>
          <w:rFonts w:ascii="仿宋" w:hAnsi="仿宋" w:eastAsia="仿宋" w:cs="Times New Roman"/>
          <w:color w:val="000000"/>
        </w:rPr>
      </w:pPr>
      <w:bookmarkStart w:id="112" w:name="_Toc15396628"/>
      <w:bookmarkStart w:id="113" w:name="_Toc52180109"/>
      <w:r>
        <w:rPr>
          <w:rStyle w:val="22"/>
          <w:rFonts w:hint="eastAsia" w:ascii="仿宋" w:hAnsi="仿宋" w:eastAsia="仿宋" w:cs="仿宋"/>
          <w:b w:val="0"/>
          <w:bCs w:val="0"/>
        </w:rPr>
        <w:t>十、</w:t>
      </w:r>
      <w:r>
        <w:rPr>
          <w:rFonts w:hint="eastAsia" w:ascii="仿宋" w:hAnsi="仿宋" w:eastAsia="仿宋" w:cs="仿宋"/>
          <w:b w:val="0"/>
          <w:bCs w:val="0"/>
          <w:color w:val="000000"/>
        </w:rPr>
        <w:t>一</w:t>
      </w:r>
      <w:r>
        <w:rPr>
          <w:rStyle w:val="22"/>
          <w:rFonts w:hint="eastAsia" w:ascii="仿宋" w:hAnsi="仿宋" w:eastAsia="仿宋" w:cs="仿宋"/>
          <w:b w:val="0"/>
          <w:bCs w:val="0"/>
        </w:rPr>
        <w:t>般公共预算财政拨款“三公”经费支出决算表</w:t>
      </w:r>
      <w:bookmarkEnd w:id="112"/>
      <w:bookmarkEnd w:id="113"/>
    </w:p>
    <w:p w14:paraId="47515812">
      <w:pPr>
        <w:pStyle w:val="4"/>
        <w:rPr>
          <w:rFonts w:ascii="仿宋" w:hAnsi="仿宋" w:eastAsia="仿宋" w:cs="Times New Roman"/>
          <w:color w:val="000000"/>
        </w:rPr>
      </w:pPr>
      <w:bookmarkStart w:id="114" w:name="_Toc15396629"/>
      <w:bookmarkStart w:id="115" w:name="_Toc52180110"/>
      <w:r>
        <w:rPr>
          <w:rStyle w:val="22"/>
          <w:rFonts w:hint="eastAsia" w:ascii="仿宋" w:hAnsi="仿宋" w:eastAsia="仿宋" w:cs="仿宋"/>
          <w:b w:val="0"/>
          <w:bCs w:val="0"/>
        </w:rPr>
        <w:t>十一、</w:t>
      </w:r>
      <w:r>
        <w:rPr>
          <w:rFonts w:hint="eastAsia" w:ascii="仿宋" w:hAnsi="仿宋" w:eastAsia="仿宋" w:cs="仿宋"/>
          <w:b w:val="0"/>
          <w:bCs w:val="0"/>
          <w:color w:val="000000"/>
        </w:rPr>
        <w:t>政</w:t>
      </w:r>
      <w:r>
        <w:rPr>
          <w:rStyle w:val="22"/>
          <w:rFonts w:hint="eastAsia" w:ascii="仿宋" w:hAnsi="仿宋" w:eastAsia="仿宋" w:cs="仿宋"/>
          <w:b w:val="0"/>
          <w:bCs w:val="0"/>
        </w:rPr>
        <w:t>府性基金预算财政拨款收入支出决算表</w:t>
      </w:r>
      <w:bookmarkEnd w:id="114"/>
      <w:bookmarkEnd w:id="115"/>
    </w:p>
    <w:p w14:paraId="3DB4198F">
      <w:pPr>
        <w:pStyle w:val="4"/>
        <w:rPr>
          <w:rFonts w:ascii="仿宋" w:hAnsi="仿宋" w:eastAsia="仿宋" w:cs="Times New Roman"/>
          <w:color w:val="000000"/>
        </w:rPr>
      </w:pPr>
      <w:bookmarkStart w:id="116" w:name="_Toc15396630"/>
      <w:bookmarkStart w:id="117" w:name="_Toc52180111"/>
      <w:r>
        <w:rPr>
          <w:rStyle w:val="22"/>
          <w:rFonts w:hint="eastAsia" w:ascii="仿宋" w:hAnsi="仿宋" w:eastAsia="仿宋" w:cs="仿宋"/>
          <w:b w:val="0"/>
          <w:bCs w:val="0"/>
        </w:rPr>
        <w:t>十二、</w:t>
      </w:r>
      <w:r>
        <w:rPr>
          <w:rFonts w:hint="eastAsia" w:ascii="仿宋" w:hAnsi="仿宋" w:eastAsia="仿宋" w:cs="仿宋"/>
          <w:b w:val="0"/>
          <w:bCs w:val="0"/>
          <w:color w:val="000000"/>
        </w:rPr>
        <w:t>政</w:t>
      </w:r>
      <w:r>
        <w:rPr>
          <w:rStyle w:val="22"/>
          <w:rFonts w:hint="eastAsia" w:ascii="仿宋" w:hAnsi="仿宋" w:eastAsia="仿宋" w:cs="仿宋"/>
          <w:b w:val="0"/>
          <w:bCs w:val="0"/>
        </w:rPr>
        <w:t>府性基金预算财政拨款“三公”经费支出决算表</w:t>
      </w:r>
      <w:bookmarkEnd w:id="116"/>
      <w:bookmarkEnd w:id="117"/>
    </w:p>
    <w:p w14:paraId="67A50B86">
      <w:pPr>
        <w:pStyle w:val="4"/>
        <w:rPr>
          <w:rStyle w:val="37"/>
          <w:rFonts w:hint="eastAsia" w:ascii="仿宋_GB2312" w:hAnsi="仿宋_GB2312" w:eastAsia="仿宋_GB2312" w:cs="仿宋_GB2312"/>
          <w:b w:val="0"/>
          <w:bCs w:val="0"/>
          <w:lang w:eastAsia="zh-CN"/>
        </w:rPr>
      </w:pPr>
      <w:bookmarkStart w:id="118" w:name="_Toc15396631"/>
      <w:bookmarkStart w:id="119" w:name="_Toc52180112"/>
      <w:r>
        <w:rPr>
          <w:rStyle w:val="37"/>
          <w:rFonts w:hint="eastAsia" w:ascii="仿宋_GB2312" w:hAnsi="仿宋_GB2312" w:eastAsia="仿宋_GB2312" w:cs="仿宋_GB2312"/>
          <w:b w:val="0"/>
          <w:bCs w:val="0"/>
        </w:rPr>
        <w:t>十三、</w:t>
      </w:r>
      <w:r>
        <w:rPr>
          <w:rFonts w:hint="eastAsia" w:ascii="仿宋_GB2312" w:hAnsi="仿宋_GB2312" w:eastAsia="仿宋_GB2312" w:cs="仿宋_GB2312"/>
          <w:b w:val="0"/>
          <w:color w:val="000000"/>
        </w:rPr>
        <w:t>国</w:t>
      </w:r>
      <w:r>
        <w:rPr>
          <w:rStyle w:val="37"/>
          <w:rFonts w:hint="eastAsia" w:ascii="仿宋_GB2312" w:hAnsi="仿宋_GB2312" w:eastAsia="仿宋_GB2312" w:cs="仿宋_GB2312"/>
          <w:b w:val="0"/>
          <w:bCs w:val="0"/>
        </w:rPr>
        <w:t>有资本经营预算</w:t>
      </w:r>
      <w:bookmarkEnd w:id="118"/>
      <w:bookmarkEnd w:id="119"/>
      <w:r>
        <w:rPr>
          <w:rStyle w:val="37"/>
          <w:rFonts w:hint="eastAsia" w:ascii="仿宋_GB2312" w:hAnsi="仿宋_GB2312" w:eastAsia="仿宋_GB2312" w:cs="仿宋_GB2312"/>
          <w:b w:val="0"/>
          <w:bCs w:val="0"/>
          <w:lang w:eastAsia="zh-CN"/>
        </w:rPr>
        <w:t>财政拨款收入支出决算表</w:t>
      </w:r>
    </w:p>
    <w:p w14:paraId="187E84AE">
      <w:pPr>
        <w:rPr>
          <w:rFonts w:hint="eastAsia"/>
          <w:lang w:eastAsia="zh-CN"/>
        </w:rPr>
      </w:pPr>
      <w:r>
        <w:rPr>
          <w:rStyle w:val="37"/>
          <w:rFonts w:hint="eastAsia" w:ascii="仿宋_GB2312" w:hAnsi="仿宋_GB2312" w:eastAsia="仿宋_GB2312" w:cs="仿宋_GB2312"/>
          <w:b w:val="0"/>
          <w:bCs w:val="0"/>
          <w:lang w:eastAsia="zh-CN"/>
        </w:rPr>
        <w:t>十四、国有资本经营预算财政拨款支出决算表</w:t>
      </w:r>
    </w:p>
    <w:p w14:paraId="40FF0D4A">
      <w:pPr>
        <w:pStyle w:val="4"/>
        <w:rPr>
          <w:rFonts w:ascii="仿宋" w:hAnsi="仿宋" w:eastAsia="仿宋" w:cs="Times New Roman"/>
          <w:color w:val="00000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42A2E">
    <w:pPr>
      <w:pStyle w:val="11"/>
      <w:jc w:val="center"/>
      <w:rPr>
        <w:rFonts w:cs="Times New Roman"/>
      </w:rPr>
    </w:pPr>
    <w:r>
      <w:fldChar w:fldCharType="begin"/>
    </w:r>
    <w:r>
      <w:instrText xml:space="preserve">PAGE   \* MERGEFORMAT</w:instrText>
    </w:r>
    <w:r>
      <w:fldChar w:fldCharType="separate"/>
    </w:r>
    <w:r>
      <w:rPr>
        <w:lang w:val="zh-CN"/>
      </w:rPr>
      <w:t>2</w:t>
    </w:r>
    <w:r>
      <w:rPr>
        <w:lang w:val="zh-CN"/>
      </w:rPr>
      <w:fldChar w:fldCharType="end"/>
    </w:r>
  </w:p>
  <w:p w14:paraId="172C256A">
    <w:pPr>
      <w:pStyle w:val="11"/>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250E1">
    <w:pPr>
      <w:pStyle w:val="12"/>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E72B9"/>
    <w:multiLevelType w:val="singleLevel"/>
    <w:tmpl w:val="C3CE72B9"/>
    <w:lvl w:ilvl="0" w:tentative="0">
      <w:start w:val="5"/>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bCs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52079"/>
    <w:rsid w:val="0006487A"/>
    <w:rsid w:val="00065F8F"/>
    <w:rsid w:val="00070A43"/>
    <w:rsid w:val="000768F2"/>
    <w:rsid w:val="00082DEA"/>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0E54"/>
    <w:rsid w:val="000F5066"/>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16FD"/>
    <w:rsid w:val="002B2613"/>
    <w:rsid w:val="002C151D"/>
    <w:rsid w:val="002D19B0"/>
    <w:rsid w:val="002D6D05"/>
    <w:rsid w:val="002E2170"/>
    <w:rsid w:val="002F1818"/>
    <w:rsid w:val="002F3D2E"/>
    <w:rsid w:val="002F567B"/>
    <w:rsid w:val="003216A9"/>
    <w:rsid w:val="00335A74"/>
    <w:rsid w:val="00351CE8"/>
    <w:rsid w:val="0036561B"/>
    <w:rsid w:val="0037013F"/>
    <w:rsid w:val="00380C92"/>
    <w:rsid w:val="00386EBA"/>
    <w:rsid w:val="00393744"/>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214B"/>
    <w:rsid w:val="00473F31"/>
    <w:rsid w:val="0048263A"/>
    <w:rsid w:val="00487E5D"/>
    <w:rsid w:val="004A711F"/>
    <w:rsid w:val="004B199D"/>
    <w:rsid w:val="004B294A"/>
    <w:rsid w:val="004B4690"/>
    <w:rsid w:val="004E0A2D"/>
    <w:rsid w:val="004E206B"/>
    <w:rsid w:val="004E6DF7"/>
    <w:rsid w:val="004F0FBD"/>
    <w:rsid w:val="004F1B8B"/>
    <w:rsid w:val="004F403E"/>
    <w:rsid w:val="00505A47"/>
    <w:rsid w:val="00512FDA"/>
    <w:rsid w:val="00520DA0"/>
    <w:rsid w:val="00535896"/>
    <w:rsid w:val="00540373"/>
    <w:rsid w:val="00564CCD"/>
    <w:rsid w:val="005664BB"/>
    <w:rsid w:val="00566FFA"/>
    <w:rsid w:val="0057481D"/>
    <w:rsid w:val="00575F0B"/>
    <w:rsid w:val="0058486E"/>
    <w:rsid w:val="00585B33"/>
    <w:rsid w:val="0059014D"/>
    <w:rsid w:val="005B5C64"/>
    <w:rsid w:val="005C6BD0"/>
    <w:rsid w:val="005C6C4C"/>
    <w:rsid w:val="005D02AF"/>
    <w:rsid w:val="005D1C8B"/>
    <w:rsid w:val="005D468D"/>
    <w:rsid w:val="005D5CED"/>
    <w:rsid w:val="005F1A4C"/>
    <w:rsid w:val="005F4A69"/>
    <w:rsid w:val="005F6543"/>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64B0E"/>
    <w:rsid w:val="006748A4"/>
    <w:rsid w:val="00681A31"/>
    <w:rsid w:val="00683E73"/>
    <w:rsid w:val="006A3141"/>
    <w:rsid w:val="006A5E34"/>
    <w:rsid w:val="006B2422"/>
    <w:rsid w:val="006B2B9A"/>
    <w:rsid w:val="006C1937"/>
    <w:rsid w:val="006F020C"/>
    <w:rsid w:val="007127B7"/>
    <w:rsid w:val="0071798E"/>
    <w:rsid w:val="00727533"/>
    <w:rsid w:val="007416B6"/>
    <w:rsid w:val="00743D5E"/>
    <w:rsid w:val="007446E4"/>
    <w:rsid w:val="00745212"/>
    <w:rsid w:val="00746F48"/>
    <w:rsid w:val="0075404D"/>
    <w:rsid w:val="0076182A"/>
    <w:rsid w:val="0076584C"/>
    <w:rsid w:val="00767B7E"/>
    <w:rsid w:val="007770C3"/>
    <w:rsid w:val="00784D24"/>
    <w:rsid w:val="00785FBA"/>
    <w:rsid w:val="00786E4A"/>
    <w:rsid w:val="007875EB"/>
    <w:rsid w:val="0079426B"/>
    <w:rsid w:val="007D1682"/>
    <w:rsid w:val="007D312A"/>
    <w:rsid w:val="007D3F19"/>
    <w:rsid w:val="007E23B0"/>
    <w:rsid w:val="007F1991"/>
    <w:rsid w:val="007F2C2F"/>
    <w:rsid w:val="007F3D83"/>
    <w:rsid w:val="007F55FC"/>
    <w:rsid w:val="007F5665"/>
    <w:rsid w:val="00800112"/>
    <w:rsid w:val="00813348"/>
    <w:rsid w:val="008253BB"/>
    <w:rsid w:val="00830531"/>
    <w:rsid w:val="008316D4"/>
    <w:rsid w:val="00833962"/>
    <w:rsid w:val="0083706E"/>
    <w:rsid w:val="008408F6"/>
    <w:rsid w:val="008423A5"/>
    <w:rsid w:val="00850625"/>
    <w:rsid w:val="00853718"/>
    <w:rsid w:val="00855221"/>
    <w:rsid w:val="00860645"/>
    <w:rsid w:val="00871F71"/>
    <w:rsid w:val="00872FD8"/>
    <w:rsid w:val="0088317E"/>
    <w:rsid w:val="00885AF4"/>
    <w:rsid w:val="008939CD"/>
    <w:rsid w:val="008B768C"/>
    <w:rsid w:val="008C4DB1"/>
    <w:rsid w:val="008C4EAF"/>
    <w:rsid w:val="008C5176"/>
    <w:rsid w:val="008C7FD0"/>
    <w:rsid w:val="008E1DE7"/>
    <w:rsid w:val="008E707C"/>
    <w:rsid w:val="00900B08"/>
    <w:rsid w:val="00902155"/>
    <w:rsid w:val="00902FA3"/>
    <w:rsid w:val="00922881"/>
    <w:rsid w:val="00923564"/>
    <w:rsid w:val="0092392E"/>
    <w:rsid w:val="009272F7"/>
    <w:rsid w:val="009315F9"/>
    <w:rsid w:val="00933499"/>
    <w:rsid w:val="00935C98"/>
    <w:rsid w:val="00946945"/>
    <w:rsid w:val="00951248"/>
    <w:rsid w:val="0095152F"/>
    <w:rsid w:val="00954C49"/>
    <w:rsid w:val="00955E37"/>
    <w:rsid w:val="0097099F"/>
    <w:rsid w:val="00971997"/>
    <w:rsid w:val="00971FFC"/>
    <w:rsid w:val="0098660A"/>
    <w:rsid w:val="009931C3"/>
    <w:rsid w:val="009B1530"/>
    <w:rsid w:val="009B2C43"/>
    <w:rsid w:val="009B4EAE"/>
    <w:rsid w:val="009B7573"/>
    <w:rsid w:val="009C22F4"/>
    <w:rsid w:val="009C2E98"/>
    <w:rsid w:val="009C37FB"/>
    <w:rsid w:val="009D3447"/>
    <w:rsid w:val="009D4711"/>
    <w:rsid w:val="009E6E6F"/>
    <w:rsid w:val="009F1185"/>
    <w:rsid w:val="009F18CD"/>
    <w:rsid w:val="009F2A13"/>
    <w:rsid w:val="009F4AC3"/>
    <w:rsid w:val="009F7527"/>
    <w:rsid w:val="00A039ED"/>
    <w:rsid w:val="00A04EB0"/>
    <w:rsid w:val="00A07A41"/>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87F45"/>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6B9E"/>
    <w:rsid w:val="00B57DAF"/>
    <w:rsid w:val="00B77EA6"/>
    <w:rsid w:val="00B81598"/>
    <w:rsid w:val="00B841F1"/>
    <w:rsid w:val="00B84399"/>
    <w:rsid w:val="00B944D6"/>
    <w:rsid w:val="00BB4DF0"/>
    <w:rsid w:val="00BB702C"/>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61F"/>
    <w:rsid w:val="00C62B85"/>
    <w:rsid w:val="00C65438"/>
    <w:rsid w:val="00C65918"/>
    <w:rsid w:val="00C85F76"/>
    <w:rsid w:val="00C91CBB"/>
    <w:rsid w:val="00CB4E70"/>
    <w:rsid w:val="00CC09B6"/>
    <w:rsid w:val="00CC666F"/>
    <w:rsid w:val="00CD1E3F"/>
    <w:rsid w:val="00CE44F6"/>
    <w:rsid w:val="00CE49DA"/>
    <w:rsid w:val="00CE7B61"/>
    <w:rsid w:val="00D00095"/>
    <w:rsid w:val="00D114F0"/>
    <w:rsid w:val="00D165C6"/>
    <w:rsid w:val="00D20620"/>
    <w:rsid w:val="00D23975"/>
    <w:rsid w:val="00D24BBC"/>
    <w:rsid w:val="00D254F7"/>
    <w:rsid w:val="00D26091"/>
    <w:rsid w:val="00D2685C"/>
    <w:rsid w:val="00D31184"/>
    <w:rsid w:val="00D34E7C"/>
    <w:rsid w:val="00D35489"/>
    <w:rsid w:val="00D36AFE"/>
    <w:rsid w:val="00D51276"/>
    <w:rsid w:val="00D54F93"/>
    <w:rsid w:val="00D7035F"/>
    <w:rsid w:val="00D73064"/>
    <w:rsid w:val="00D92060"/>
    <w:rsid w:val="00D92C93"/>
    <w:rsid w:val="00DA634F"/>
    <w:rsid w:val="00DA65AC"/>
    <w:rsid w:val="00DB1913"/>
    <w:rsid w:val="00DB57DE"/>
    <w:rsid w:val="00DC3B60"/>
    <w:rsid w:val="00DC410D"/>
    <w:rsid w:val="00DC5A81"/>
    <w:rsid w:val="00DC68CA"/>
    <w:rsid w:val="00DC7CBA"/>
    <w:rsid w:val="00DD73B7"/>
    <w:rsid w:val="00DF28BC"/>
    <w:rsid w:val="00DF34B9"/>
    <w:rsid w:val="00E01053"/>
    <w:rsid w:val="00E07ACF"/>
    <w:rsid w:val="00E1100C"/>
    <w:rsid w:val="00E331A1"/>
    <w:rsid w:val="00E33202"/>
    <w:rsid w:val="00E336A9"/>
    <w:rsid w:val="00E472B1"/>
    <w:rsid w:val="00E50624"/>
    <w:rsid w:val="00E568DF"/>
    <w:rsid w:val="00E6266D"/>
    <w:rsid w:val="00E64269"/>
    <w:rsid w:val="00E66797"/>
    <w:rsid w:val="00E700E2"/>
    <w:rsid w:val="00E82267"/>
    <w:rsid w:val="00E853CE"/>
    <w:rsid w:val="00E867B6"/>
    <w:rsid w:val="00E87F08"/>
    <w:rsid w:val="00E9444E"/>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24605"/>
    <w:rsid w:val="00F36D8F"/>
    <w:rsid w:val="00F417B1"/>
    <w:rsid w:val="00F45853"/>
    <w:rsid w:val="00F602DF"/>
    <w:rsid w:val="00F60C7E"/>
    <w:rsid w:val="00F754A1"/>
    <w:rsid w:val="00F81FD9"/>
    <w:rsid w:val="00F841AA"/>
    <w:rsid w:val="00F84A94"/>
    <w:rsid w:val="00F87E96"/>
    <w:rsid w:val="00FA23E8"/>
    <w:rsid w:val="00FB4A95"/>
    <w:rsid w:val="00FD3CC1"/>
    <w:rsid w:val="00FF160F"/>
    <w:rsid w:val="00FF1E02"/>
    <w:rsid w:val="00FF30B4"/>
    <w:rsid w:val="01EC35A0"/>
    <w:rsid w:val="10C055FF"/>
    <w:rsid w:val="145F1760"/>
    <w:rsid w:val="16BB723D"/>
    <w:rsid w:val="1BA153F0"/>
    <w:rsid w:val="1D4B4B86"/>
    <w:rsid w:val="240371BF"/>
    <w:rsid w:val="29FD04D3"/>
    <w:rsid w:val="30221D58"/>
    <w:rsid w:val="319F7F4E"/>
    <w:rsid w:val="3A654B57"/>
    <w:rsid w:val="3B935DD1"/>
    <w:rsid w:val="415D7D12"/>
    <w:rsid w:val="45961B09"/>
    <w:rsid w:val="4CE15F80"/>
    <w:rsid w:val="4ECE2238"/>
    <w:rsid w:val="53557217"/>
    <w:rsid w:val="5C3D5880"/>
    <w:rsid w:val="5C3F5168"/>
    <w:rsid w:val="64B600EC"/>
    <w:rsid w:val="667C3E14"/>
    <w:rsid w:val="670234F5"/>
    <w:rsid w:val="6FB94ACF"/>
    <w:rsid w:val="72734D90"/>
    <w:rsid w:val="7E20350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qFormat="1" w:unhideWhenUsed="0" w:uiPriority="0" w:semiHidden="0"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qFormat="1" w:unhideWhenUsed="0" w:uiPriority="99" w:name="Document Map"/>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1"/>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7"/>
    <w:qFormat/>
    <w:uiPriority w:val="99"/>
    <w:pPr>
      <w:keepNext/>
      <w:keepLines/>
      <w:spacing w:before="260" w:after="260" w:line="416" w:lineRule="auto"/>
      <w:outlineLvl w:val="1"/>
    </w:pPr>
    <w:rPr>
      <w:rFonts w:ascii="Cambria" w:hAnsi="Cambria" w:cs="Cambria"/>
      <w:b/>
      <w:bCs/>
      <w:sz w:val="32"/>
      <w:szCs w:val="32"/>
    </w:rPr>
  </w:style>
  <w:style w:type="paragraph" w:styleId="5">
    <w:name w:val="heading 3"/>
    <w:basedOn w:val="1"/>
    <w:next w:val="1"/>
    <w:link w:val="23"/>
    <w:qFormat/>
    <w:uiPriority w:val="99"/>
    <w:pPr>
      <w:keepNext/>
      <w:keepLines/>
      <w:spacing w:before="260" w:after="260" w:line="416" w:lineRule="auto"/>
      <w:outlineLvl w:val="2"/>
    </w:pPr>
    <w:rPr>
      <w:b/>
      <w:bCs/>
      <w:sz w:val="32"/>
      <w:szCs w:val="32"/>
    </w:rPr>
  </w:style>
  <w:style w:type="character" w:default="1" w:styleId="17">
    <w:name w:val="Default Paragraph Font"/>
    <w:link w:val="18"/>
    <w:semiHidden/>
    <w:qFormat/>
    <w:uiPriority w:val="99"/>
    <w:rPr>
      <w:rFonts w:ascii="Verdana" w:hAnsi="Verdana" w:eastAsia="仿宋_GB2312" w:cs="Verdana"/>
      <w:kern w:val="0"/>
      <w:sz w:val="24"/>
      <w:szCs w:val="24"/>
      <w:lang w:eastAsia="en-US"/>
    </w:rPr>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locked/>
    <w:uiPriority w:val="0"/>
  </w:style>
  <w:style w:type="paragraph" w:styleId="6">
    <w:name w:val="Normal Indent"/>
    <w:basedOn w:val="1"/>
    <w:locked/>
    <w:uiPriority w:val="99"/>
    <w:pPr>
      <w:ind w:firstLine="420" w:firstLineChars="200"/>
    </w:pPr>
  </w:style>
  <w:style w:type="paragraph" w:styleId="7">
    <w:name w:val="Document Map"/>
    <w:basedOn w:val="1"/>
    <w:link w:val="35"/>
    <w:semiHidden/>
    <w:qFormat/>
    <w:uiPriority w:val="99"/>
    <w:pPr>
      <w:shd w:val="clear" w:color="auto" w:fill="000080"/>
    </w:pPr>
  </w:style>
  <w:style w:type="paragraph" w:styleId="8">
    <w:name w:val="Body Text"/>
    <w:basedOn w:val="1"/>
    <w:link w:val="30"/>
    <w:qFormat/>
    <w:uiPriority w:val="99"/>
    <w:pPr>
      <w:spacing w:beforeLines="30"/>
    </w:pPr>
    <w:rPr>
      <w:rFonts w:ascii="仿宋_GB2312" w:eastAsia="仿宋_GB2312" w:cs="仿宋_GB2312"/>
      <w:kern w:val="0"/>
      <w:sz w:val="24"/>
      <w:szCs w:val="24"/>
    </w:rPr>
  </w:style>
  <w:style w:type="paragraph" w:styleId="9">
    <w:name w:val="toc 3"/>
    <w:basedOn w:val="1"/>
    <w:next w:val="1"/>
    <w:semiHidden/>
    <w:qFormat/>
    <w:uiPriority w:val="99"/>
    <w:pPr>
      <w:tabs>
        <w:tab w:val="right" w:leader="dot" w:pos="8296"/>
      </w:tabs>
      <w:ind w:left="840" w:leftChars="400"/>
    </w:pPr>
  </w:style>
  <w:style w:type="paragraph" w:styleId="10">
    <w:name w:val="Balloon Text"/>
    <w:basedOn w:val="1"/>
    <w:link w:val="25"/>
    <w:semiHidden/>
    <w:qFormat/>
    <w:uiPriority w:val="99"/>
    <w:rPr>
      <w:sz w:val="18"/>
      <w:szCs w:val="18"/>
    </w:rPr>
  </w:style>
  <w:style w:type="paragraph" w:styleId="11">
    <w:name w:val="footer"/>
    <w:basedOn w:val="1"/>
    <w:link w:val="29"/>
    <w:qFormat/>
    <w:uiPriority w:val="99"/>
    <w:pPr>
      <w:tabs>
        <w:tab w:val="center" w:pos="4153"/>
        <w:tab w:val="right" w:pos="8306"/>
      </w:tabs>
      <w:snapToGrid w:val="0"/>
      <w:jc w:val="left"/>
    </w:pPr>
    <w:rPr>
      <w:rFonts w:ascii="Calibri" w:hAnsi="Calibri" w:cs="Calibri"/>
      <w:kern w:val="0"/>
      <w:sz w:val="18"/>
      <w:szCs w:val="18"/>
    </w:rPr>
  </w:style>
  <w:style w:type="paragraph" w:styleId="12">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13">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4">
    <w:name w:val="toc 2"/>
    <w:basedOn w:val="1"/>
    <w:next w:val="1"/>
    <w:semiHidden/>
    <w:qFormat/>
    <w:uiPriority w:val="99"/>
    <w:pPr>
      <w:tabs>
        <w:tab w:val="right" w:leader="dot" w:pos="8296"/>
      </w:tabs>
      <w:ind w:left="420" w:leftChars="200"/>
    </w:pPr>
  </w:style>
  <w:style w:type="paragraph" w:styleId="15">
    <w:name w:val="Normal (Web)"/>
    <w:basedOn w:val="1"/>
    <w:qFormat/>
    <w:locked/>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_Style 4"/>
    <w:basedOn w:val="1"/>
    <w:link w:val="17"/>
    <w:qFormat/>
    <w:uiPriority w:val="99"/>
    <w:pPr>
      <w:widowControl/>
      <w:spacing w:after="160" w:line="240" w:lineRule="exact"/>
      <w:jc w:val="left"/>
    </w:pPr>
    <w:rPr>
      <w:rFonts w:ascii="Verdana" w:hAnsi="Verdana" w:eastAsia="仿宋_GB2312" w:cs="Verdana"/>
      <w:kern w:val="0"/>
      <w:sz w:val="24"/>
      <w:szCs w:val="24"/>
      <w:lang w:eastAsia="en-US"/>
    </w:rPr>
  </w:style>
  <w:style w:type="character" w:styleId="19">
    <w:name w:val="Strong"/>
    <w:basedOn w:val="17"/>
    <w:qFormat/>
    <w:uiPriority w:val="99"/>
    <w:rPr>
      <w:b/>
      <w:bCs/>
    </w:rPr>
  </w:style>
  <w:style w:type="character" w:styleId="20">
    <w:name w:val="Hyperlink"/>
    <w:basedOn w:val="17"/>
    <w:qFormat/>
    <w:uiPriority w:val="99"/>
    <w:rPr>
      <w:color w:val="0000FF"/>
      <w:u w:val="single"/>
    </w:rPr>
  </w:style>
  <w:style w:type="character" w:customStyle="1" w:styleId="21">
    <w:name w:val="Heading 1 Char"/>
    <w:basedOn w:val="17"/>
    <w:link w:val="3"/>
    <w:qFormat/>
    <w:locked/>
    <w:uiPriority w:val="99"/>
    <w:rPr>
      <w:rFonts w:ascii="Times New Roman" w:hAnsi="Times New Roman" w:cs="Times New Roman"/>
      <w:b/>
      <w:bCs/>
      <w:kern w:val="44"/>
      <w:sz w:val="44"/>
      <w:szCs w:val="44"/>
    </w:rPr>
  </w:style>
  <w:style w:type="character" w:customStyle="1" w:styleId="22">
    <w:name w:val="Heading 2 Char"/>
    <w:basedOn w:val="17"/>
    <w:link w:val="4"/>
    <w:qFormat/>
    <w:locked/>
    <w:uiPriority w:val="99"/>
    <w:rPr>
      <w:rFonts w:ascii="Cambria" w:hAnsi="Cambria" w:eastAsia="宋体" w:cs="Cambria"/>
      <w:b/>
      <w:bCs/>
      <w:kern w:val="2"/>
      <w:sz w:val="32"/>
      <w:szCs w:val="32"/>
    </w:rPr>
  </w:style>
  <w:style w:type="character" w:customStyle="1" w:styleId="23">
    <w:name w:val="Heading 3 Char"/>
    <w:basedOn w:val="17"/>
    <w:link w:val="5"/>
    <w:qFormat/>
    <w:locked/>
    <w:uiPriority w:val="99"/>
    <w:rPr>
      <w:rFonts w:ascii="Times New Roman" w:hAnsi="Times New Roman" w:cs="Times New Roman"/>
      <w:b/>
      <w:bCs/>
      <w:kern w:val="2"/>
      <w:sz w:val="32"/>
      <w:szCs w:val="32"/>
    </w:rPr>
  </w:style>
  <w:style w:type="character" w:customStyle="1" w:styleId="24">
    <w:name w:val="Body Text Char"/>
    <w:basedOn w:val="17"/>
    <w:link w:val="8"/>
    <w:semiHidden/>
    <w:qFormat/>
    <w:locked/>
    <w:uiPriority w:val="99"/>
    <w:rPr>
      <w:rFonts w:ascii="Times New Roman" w:hAnsi="Times New Roman" w:cs="Times New Roman"/>
      <w:sz w:val="24"/>
      <w:szCs w:val="24"/>
    </w:rPr>
  </w:style>
  <w:style w:type="character" w:customStyle="1" w:styleId="25">
    <w:name w:val="Balloon Text Char"/>
    <w:basedOn w:val="17"/>
    <w:link w:val="10"/>
    <w:semiHidden/>
    <w:qFormat/>
    <w:locked/>
    <w:uiPriority w:val="99"/>
    <w:rPr>
      <w:rFonts w:ascii="Times New Roman" w:hAnsi="Times New Roman" w:cs="Times New Roman"/>
      <w:kern w:val="2"/>
      <w:sz w:val="18"/>
      <w:szCs w:val="18"/>
    </w:rPr>
  </w:style>
  <w:style w:type="character" w:customStyle="1" w:styleId="26">
    <w:name w:val="Footer Char"/>
    <w:basedOn w:val="17"/>
    <w:link w:val="11"/>
    <w:semiHidden/>
    <w:qFormat/>
    <w:locked/>
    <w:uiPriority w:val="99"/>
    <w:rPr>
      <w:rFonts w:ascii="Times New Roman" w:hAnsi="Times New Roman" w:cs="Times New Roman"/>
      <w:sz w:val="18"/>
      <w:szCs w:val="18"/>
    </w:rPr>
  </w:style>
  <w:style w:type="character" w:customStyle="1" w:styleId="27">
    <w:name w:val="Header Char"/>
    <w:basedOn w:val="17"/>
    <w:link w:val="12"/>
    <w:semiHidden/>
    <w:qFormat/>
    <w:locked/>
    <w:uiPriority w:val="99"/>
    <w:rPr>
      <w:rFonts w:ascii="Times New Roman" w:hAnsi="Times New Roman" w:cs="Times New Roman"/>
      <w:sz w:val="18"/>
      <w:szCs w:val="18"/>
    </w:rPr>
  </w:style>
  <w:style w:type="character" w:customStyle="1" w:styleId="28">
    <w:name w:val="Header Char1"/>
    <w:link w:val="12"/>
    <w:semiHidden/>
    <w:qFormat/>
    <w:locked/>
    <w:uiPriority w:val="99"/>
    <w:rPr>
      <w:sz w:val="18"/>
      <w:szCs w:val="18"/>
    </w:rPr>
  </w:style>
  <w:style w:type="character" w:customStyle="1" w:styleId="29">
    <w:name w:val="Footer Char1"/>
    <w:link w:val="11"/>
    <w:qFormat/>
    <w:locked/>
    <w:uiPriority w:val="99"/>
    <w:rPr>
      <w:sz w:val="18"/>
      <w:szCs w:val="18"/>
    </w:rPr>
  </w:style>
  <w:style w:type="character" w:customStyle="1" w:styleId="30">
    <w:name w:val="Body Text Char1"/>
    <w:link w:val="8"/>
    <w:qFormat/>
    <w:locked/>
    <w:uiPriority w:val="99"/>
    <w:rPr>
      <w:rFonts w:ascii="仿宋_GB2312" w:hAnsi="Times New Roman" w:eastAsia="仿宋_GB2312" w:cs="仿宋_GB2312"/>
      <w:sz w:val="24"/>
      <w:szCs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32">
    <w:name w:val="List Paragraph"/>
    <w:basedOn w:val="1"/>
    <w:qFormat/>
    <w:uiPriority w:val="99"/>
    <w:pPr>
      <w:ind w:firstLine="420" w:firstLineChars="200"/>
    </w:pPr>
  </w:style>
  <w:style w:type="paragraph" w:customStyle="1" w:styleId="33">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4">
    <w:name w:val="TOC Heading"/>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35">
    <w:name w:val="Document Map Char"/>
    <w:basedOn w:val="17"/>
    <w:link w:val="7"/>
    <w:semiHidden/>
    <w:qFormat/>
    <w:locked/>
    <w:uiPriority w:val="99"/>
    <w:rPr>
      <w:rFonts w:ascii="Times New Roman" w:hAnsi="Times New Roman" w:cs="Times New Roman"/>
      <w:sz w:val="2"/>
      <w:szCs w:val="2"/>
    </w:rPr>
  </w:style>
  <w:style w:type="paragraph" w:customStyle="1" w:styleId="36">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style>
  <w:style w:type="character" w:customStyle="1" w:styleId="37">
    <w:name w:val="标题 2 Char"/>
    <w:basedOn w:val="17"/>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21&#24180;\&#20915;&#31639;&#20844;&#24320;\ZFW\2020&#20915;&#31639;&#20844;&#24320;&#22270;&#34920;&#25919;&#27861;&#22996;.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1&#24180;\&#20915;&#31639;&#20844;&#24320;\ZFW\2020&#20915;&#31639;&#20844;&#24320;&#22270;&#34920;&#25919;&#27861;&#22996;.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21&#24180;\&#20915;&#31639;&#20844;&#24320;\ZFW\2020&#20915;&#31639;&#20844;&#24320;&#22270;&#34920;&#25919;&#27861;&#22996;.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21&#24180;\&#20915;&#31639;&#20844;&#24320;\ZFW\2020&#20915;&#31639;&#20844;&#24320;&#22270;&#34920;&#25919;&#27861;&#22996;.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21&#24180;\&#20915;&#31639;&#20844;&#24320;\ZFW\2020&#20915;&#31639;&#20844;&#24320;&#22270;&#34920;&#25919;&#27861;&#22996;.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21&#24180;\&#20915;&#31639;&#20844;&#24320;\ZFW\2020&#20915;&#31639;&#20844;&#24320;&#22270;&#34920;&#25919;&#27861;&#2299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021&#24180;\&#20915;&#31639;&#20844;&#24320;\ZFW\2020&#20915;&#31639;&#20844;&#24320;&#22270;&#34920;&#25919;&#27861;&#2299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2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图1   收入、支出决算总计变动情况</a:t>
            </a:r>
            <a:endParaRPr sz="1425"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barChart>
        <c:barDir val="col"/>
        <c:grouping val="clustered"/>
        <c:varyColors val="0"/>
        <c:ser>
          <c:idx val="0"/>
          <c:order val="0"/>
          <c:tx>
            <c:strRef>
              <c:f>[2020决算公开图表政法委.xls]Sheet1!$A$58</c:f>
              <c:strCache>
                <c:ptCount val="1"/>
                <c:pt idx="0">
                  <c:v>收入、支出总计</c:v>
                </c:pt>
              </c:strCache>
            </c:strRef>
          </c:tx>
          <c:spPr>
            <a:solidFill>
              <a:srgbClr val="9999FF"/>
            </a:solidFill>
            <a:ln w="12700">
              <a:solidFill>
                <a:srgbClr val="000000">
                  <a:alpha val="100000"/>
                </a:srgbClr>
              </a:solidFill>
              <a:prstDash val="solid"/>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[2020决算公开图表政法委.xls]Sheet1!$B$58:$C$58</c:f>
              <c:strCache>
                <c:ptCount val="2"/>
                <c:pt idx="0">
                  <c:v>2019年</c:v>
                </c:pt>
                <c:pt idx="1">
                  <c:v>2020年</c:v>
                </c:pt>
              </c:strCache>
            </c:strRef>
          </c:cat>
          <c:val>
            <c:numRef>
              <c:f>[2020决算公开图表政法委.xls]Sheet1!$B$59:$C$59</c:f>
              <c:numCache>
                <c:formatCode>General</c:formatCode>
                <c:ptCount val="2"/>
                <c:pt idx="0">
                  <c:v>241.2</c:v>
                </c:pt>
                <c:pt idx="1">
                  <c:v>512.08</c:v>
                </c:pt>
              </c:numCache>
            </c:numRef>
          </c:val>
        </c:ser>
        <c:dLbls>
          <c:showLegendKey val="0"/>
          <c:showVal val="0"/>
          <c:showCatName val="0"/>
          <c:showSerName val="0"/>
          <c:showPercent val="0"/>
          <c:showBubbleSize val="0"/>
        </c:dLbls>
        <c:gapWidth val="150"/>
        <c:overlap val="0"/>
        <c:axId val="35348200"/>
        <c:axId val="648099272"/>
      </c:barChart>
      <c:catAx>
        <c:axId val="35348200"/>
        <c:scaling>
          <c:orientation val="minMax"/>
        </c:scaling>
        <c:delete val="0"/>
        <c:axPos val="b"/>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648099272"/>
        <c:crosses val="autoZero"/>
        <c:auto val="1"/>
        <c:lblAlgn val="ctr"/>
        <c:lblOffset val="100"/>
        <c:noMultiLvlLbl val="0"/>
      </c:catAx>
      <c:valAx>
        <c:axId val="648099272"/>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5348200"/>
        <c:crosses val="autoZero"/>
        <c:crossBetween val="between"/>
      </c:valAx>
      <c:spPr>
        <a:solidFill>
          <a:srgbClr val="C0C0C0">
            <a:alpha val="100000"/>
          </a:srgbClr>
        </a:solidFill>
        <a:ln w="12700">
          <a:solidFill>
            <a:srgbClr val="808080">
              <a:alpha val="100000"/>
            </a:srgbClr>
          </a:solidFill>
          <a:prstDash val="solid"/>
        </a:ln>
      </c:spPr>
    </c:plotArea>
    <c:legend>
      <c:legendPos val="r"/>
      <c:layout>
        <c:manualLayout>
          <c:xMode val="edge"/>
          <c:yMode val="edge"/>
          <c:x val="0.7995"/>
          <c:y val="0.5075"/>
          <c:w val="0.19475"/>
          <c:h val="0.0525"/>
        </c:manualLayout>
      </c:layout>
      <c:overlay val="0"/>
      <c:spPr>
        <a:solidFill>
          <a:srgbClr val="FFFFFF"/>
        </a:solidFill>
        <a:ln>
          <a:solidFill>
            <a:srgbClr val="000000"/>
          </a:solidFill>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17fd3848-8b6a-47c1-8499-014759b97930}"/>
      </c:ext>
    </c:extLst>
  </c:chart>
  <c:spPr>
    <a:solidFill>
      <a:srgbClr val="FFFFFF"/>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图2    收入决算结构图</a:t>
            </a:r>
            <a:endParaRPr sz="16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pieChart>
        <c:varyColors val="1"/>
        <c:ser>
          <c:idx val="0"/>
          <c:order val="0"/>
          <c:spPr>
            <a:solidFill>
              <a:srgbClr val="9999FF"/>
            </a:solidFill>
            <a:ln w="12700">
              <a:solidFill>
                <a:srgbClr val="000000">
                  <a:alpha val="100000"/>
                </a:srgbClr>
              </a:solidFill>
              <a:prstDash val="solid"/>
            </a:ln>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Pt>
            <c:idx val="3"/>
            <c:bubble3D val="0"/>
            <c:spPr>
              <a:solidFill>
                <a:srgbClr val="CCFFFF"/>
              </a:solidFill>
              <a:ln w="12700">
                <a:solidFill>
                  <a:srgbClr val="000000">
                    <a:alpha val="100000"/>
                  </a:srgbClr>
                </a:solidFill>
                <a:prstDash val="solid"/>
              </a:ln>
              <a:effectLst/>
            </c:spPr>
          </c:dPt>
          <c:dPt>
            <c:idx val="4"/>
            <c:bubble3D val="0"/>
            <c:spPr>
              <a:solidFill>
                <a:srgbClr val="660066"/>
              </a:solidFill>
              <a:ln w="12700">
                <a:solidFill>
                  <a:srgbClr val="000000">
                    <a:alpha val="100000"/>
                  </a:srgbClr>
                </a:solidFill>
                <a:prstDash val="solid"/>
              </a:ln>
              <a:effectLst/>
            </c:spPr>
          </c:dPt>
          <c:dPt>
            <c:idx val="5"/>
            <c:bubble3D val="0"/>
            <c:spPr>
              <a:solidFill>
                <a:srgbClr val="FF8080"/>
              </a:solidFill>
              <a:ln w="12700">
                <a:solidFill>
                  <a:srgbClr val="000000">
                    <a:alpha val="100000"/>
                  </a:srgbClr>
                </a:solidFill>
                <a:prstDash val="solid"/>
              </a:ln>
              <a:effectLst/>
            </c:spPr>
          </c:dPt>
          <c:dLbls>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shade val="95000"/>
                          <a:satMod val="105000"/>
                        </a:srgbClr>
                      </a:solidFill>
                      <a:prstDash val="solid"/>
                      <a:round/>
                    </a:ln>
                    <a:effectLst/>
                  </c:spPr>
                </c15:leaderLines>
              </c:ext>
            </c:extLst>
          </c:dLbls>
          <c:cat>
            <c:strRef>
              <c:f>[2020决算公开图表政法委.xls]Sheet1!$B$3:$B$8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[2020决算公开图表政法委.xls]Sheet1!$C$3:$C$8</c:f>
              <c:numCache>
                <c:formatCode>General</c:formatCode>
                <c:ptCount val="6"/>
                <c:pt idx="0">
                  <c:v>512.08</c:v>
                </c:pt>
                <c:pt idx="1">
                  <c:v>0</c:v>
                </c:pt>
                <c:pt idx="2">
                  <c:v>0</c:v>
                </c:pt>
                <c:pt idx="3">
                  <c:v>0</c:v>
                </c:pt>
                <c:pt idx="4">
                  <c:v>0</c:v>
                </c:pt>
                <c:pt idx="5">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a:effectLst/>
            </c:spPr>
          </c:dPt>
          <c:dPt>
            <c:idx val="1"/>
            <c:bubble3D val="0"/>
            <c:spPr>
              <a:solidFill>
                <a:srgbClr val="993366"/>
              </a:solidFill>
              <a:ln w="12700">
                <a:solidFill>
                  <a:srgbClr val="000000"/>
                </a:solidFill>
                <a:prstDash val="solid"/>
              </a:ln>
              <a:effectLst/>
            </c:spPr>
          </c:dPt>
          <c:dPt>
            <c:idx val="2"/>
            <c:bubble3D val="0"/>
            <c:spPr>
              <a:solidFill>
                <a:srgbClr val="FFFFCC"/>
              </a:solidFill>
              <a:ln w="12700">
                <a:solidFill>
                  <a:srgbClr val="000000"/>
                </a:solidFill>
                <a:prstDash val="solid"/>
              </a:ln>
              <a:effectLst/>
            </c:spPr>
          </c:dPt>
          <c:dPt>
            <c:idx val="3"/>
            <c:bubble3D val="0"/>
            <c:spPr>
              <a:solidFill>
                <a:srgbClr val="CCFFFF"/>
              </a:solidFill>
              <a:ln w="12700">
                <a:solidFill>
                  <a:srgbClr val="000000"/>
                </a:solidFill>
                <a:prstDash val="solid"/>
              </a:ln>
              <a:effectLst/>
            </c:spPr>
          </c:dPt>
          <c:dPt>
            <c:idx val="4"/>
            <c:bubble3D val="0"/>
            <c:spPr>
              <a:solidFill>
                <a:srgbClr val="660066"/>
              </a:solidFill>
              <a:ln w="12700">
                <a:solidFill>
                  <a:srgbClr val="000000"/>
                </a:solidFill>
                <a:prstDash val="solid"/>
              </a:ln>
              <a:effectLst/>
            </c:spPr>
          </c:dPt>
          <c:dPt>
            <c:idx val="5"/>
            <c:bubble3D val="0"/>
            <c:spPr>
              <a:solidFill>
                <a:srgbClr val="FF8080"/>
              </a:solidFill>
              <a:ln w="12700">
                <a:solidFill>
                  <a:srgbClr val="000000"/>
                </a:solidFill>
                <a:prstDash val="solid"/>
              </a:ln>
              <a:effectLst/>
            </c:spPr>
          </c:dPt>
          <c:dLbls>
            <c:delete val="1"/>
          </c:dLbls>
          <c:cat>
            <c:strRef>
              <c:f>[2020决算公开图表政法委.xls]Sheet1!$B$3:$B$8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[2020决算公开图表政法委.xls]Sheet1!$D$3:$D$8</c:f>
              <c:numCache>
                <c:formatCode>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6575"/>
          <c:y val="0.23575"/>
          <c:w val="0.3285"/>
          <c:h val="0.66475"/>
        </c:manualLayout>
      </c:layout>
      <c:overlay val="0"/>
      <c:spPr>
        <a:solidFill>
          <a:srgbClr val="FFFFFF"/>
        </a:solidFill>
        <a:ln>
          <a:solidFill>
            <a:srgbClr val="000000"/>
          </a:solidFill>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95363606-fca8-44bf-9cb9-9ba1a7d2bd3a}"/>
      </c:ext>
    </c:extLst>
  </c:chart>
  <c:spPr>
    <a:solidFill>
      <a:srgbClr val="FFFFFF"/>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图3    支出决算结构图</a:t>
            </a:r>
            <a:endParaRPr sz="14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pieChart>
        <c:varyColors val="1"/>
        <c:ser>
          <c:idx val="0"/>
          <c:order val="0"/>
          <c:spPr>
            <a:solidFill>
              <a:srgbClr val="9999FF"/>
            </a:solidFill>
            <a:ln w="12700">
              <a:solidFill>
                <a:srgbClr val="000000">
                  <a:alpha val="100000"/>
                </a:srgbClr>
              </a:solidFill>
              <a:prstDash val="solid"/>
            </a:ln>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Pt>
            <c:idx val="3"/>
            <c:bubble3D val="0"/>
            <c:spPr>
              <a:solidFill>
                <a:srgbClr val="CCFFFF"/>
              </a:solidFill>
              <a:ln w="12700">
                <a:solidFill>
                  <a:srgbClr val="000000">
                    <a:alpha val="100000"/>
                  </a:srgbClr>
                </a:solidFill>
                <a:prstDash val="solid"/>
              </a:ln>
              <a:effectLst/>
            </c:spPr>
          </c:dPt>
          <c:dPt>
            <c:idx val="4"/>
            <c:bubble3D val="0"/>
            <c:spPr>
              <a:solidFill>
                <a:srgbClr val="660066"/>
              </a:solidFill>
              <a:ln w="12700">
                <a:solidFill>
                  <a:srgbClr val="000000">
                    <a:alpha val="100000"/>
                  </a:srgbClr>
                </a:solidFill>
                <a:prstDash val="solid"/>
              </a:ln>
              <a:effectLst/>
            </c:spPr>
          </c:dPt>
          <c:dLbls>
            <c:dLbl>
              <c:idx val="3"/>
              <c:layout>
                <c:manualLayout>
                  <c:x val="0.268427303459221"/>
                  <c:y val="0.719446741313518"/>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701157184918108"/>
                  <c:y val="0.384754975173551"/>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shade val="95000"/>
                          <a:satMod val="105000"/>
                        </a:srgbClr>
                      </a:solidFill>
                      <a:prstDash val="solid"/>
                      <a:round/>
                    </a:ln>
                    <a:effectLst/>
                  </c:spPr>
                </c15:leaderLines>
              </c:ext>
            </c:extLst>
          </c:dLbls>
          <c:cat>
            <c:strRef>
              <c:f>[2020决算公开图表政法委.xls]Sheet1!$B$34:$B$38</c:f>
              <c:strCache>
                <c:ptCount val="5"/>
                <c:pt idx="0">
                  <c:v>基本支出</c:v>
                </c:pt>
                <c:pt idx="1">
                  <c:v>项目支出</c:v>
                </c:pt>
                <c:pt idx="2">
                  <c:v>上缴上级支出</c:v>
                </c:pt>
                <c:pt idx="3">
                  <c:v>经营支出</c:v>
                </c:pt>
                <c:pt idx="4">
                  <c:v>对附属单位补助支出</c:v>
                </c:pt>
              </c:strCache>
            </c:strRef>
          </c:cat>
          <c:val>
            <c:numRef>
              <c:f>[2020决算公开图表政法委.xls]Sheet1!$C$34:$C$38</c:f>
              <c:numCache>
                <c:formatCode>General</c:formatCode>
                <c:ptCount val="5"/>
                <c:pt idx="0">
                  <c:v>242.46</c:v>
                </c:pt>
                <c:pt idx="1">
                  <c:v>269.62</c:v>
                </c:pt>
                <c:pt idx="2">
                  <c:v>0</c:v>
                </c:pt>
                <c:pt idx="3">
                  <c:v>0</c:v>
                </c:pt>
                <c:pt idx="4">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a:effectLst/>
            </c:spPr>
          </c:dPt>
          <c:dPt>
            <c:idx val="1"/>
            <c:bubble3D val="0"/>
            <c:spPr>
              <a:solidFill>
                <a:srgbClr val="993366"/>
              </a:solidFill>
              <a:ln w="12700">
                <a:solidFill>
                  <a:srgbClr val="000000"/>
                </a:solidFill>
                <a:prstDash val="solid"/>
              </a:ln>
              <a:effectLst/>
            </c:spPr>
          </c:dPt>
          <c:dPt>
            <c:idx val="2"/>
            <c:bubble3D val="0"/>
            <c:spPr>
              <a:solidFill>
                <a:srgbClr val="FFFFCC"/>
              </a:solidFill>
              <a:ln w="12700">
                <a:solidFill>
                  <a:srgbClr val="000000"/>
                </a:solidFill>
                <a:prstDash val="solid"/>
              </a:ln>
              <a:effectLst/>
            </c:spPr>
          </c:dPt>
          <c:dPt>
            <c:idx val="3"/>
            <c:bubble3D val="0"/>
            <c:spPr>
              <a:solidFill>
                <a:srgbClr val="CCFFFF"/>
              </a:solidFill>
              <a:ln w="12700">
                <a:solidFill>
                  <a:srgbClr val="000000"/>
                </a:solidFill>
                <a:prstDash val="solid"/>
              </a:ln>
              <a:effectLst/>
            </c:spPr>
          </c:dPt>
          <c:dPt>
            <c:idx val="4"/>
            <c:bubble3D val="0"/>
            <c:spPr>
              <a:solidFill>
                <a:srgbClr val="660066"/>
              </a:solidFill>
              <a:ln w="12700">
                <a:solidFill>
                  <a:srgbClr val="000000"/>
                </a:solidFill>
                <a:prstDash val="solid"/>
              </a:ln>
              <a:effectLst/>
            </c:spPr>
          </c:dPt>
          <c:dLbls>
            <c:delete val="1"/>
          </c:dLbls>
          <c:cat>
            <c:strRef>
              <c:f>[2020决算公开图表政法委.xls]Sheet1!$B$34:$B$38</c:f>
              <c:strCache>
                <c:ptCount val="5"/>
                <c:pt idx="0">
                  <c:v>基本支出</c:v>
                </c:pt>
                <c:pt idx="1">
                  <c:v>项目支出</c:v>
                </c:pt>
                <c:pt idx="2">
                  <c:v>上缴上级支出</c:v>
                </c:pt>
                <c:pt idx="3">
                  <c:v>经营支出</c:v>
                </c:pt>
                <c:pt idx="4">
                  <c:v>对附属单位补助支出</c:v>
                </c:pt>
              </c:strCache>
            </c:strRef>
          </c:cat>
          <c:val>
            <c:numRef>
              <c:f>[2020决算公开图表政法委.xls]Sheet1!$D$34:$D$38</c:f>
              <c:numCache>
                <c:formatCode>0.00%</c:formatCode>
                <c:ptCount val="5"/>
                <c:pt idx="0">
                  <c:v>0.4735</c:v>
                </c:pt>
                <c:pt idx="1">
                  <c:v>0.5265</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57"/>
          <c:y val="0.4175"/>
          <c:w val="0.23725"/>
          <c:h val="0.29825"/>
        </c:manualLayout>
      </c:layout>
      <c:overlay val="0"/>
      <c:spPr>
        <a:solidFill>
          <a:srgbClr val="FFFFFF"/>
        </a:solidFill>
        <a:ln>
          <a:solidFill>
            <a:srgbClr val="000000"/>
          </a:solidFill>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009e0ee4-460e-42c0-b3f7-61056804395b}"/>
      </c:ext>
    </c:extLst>
  </c:chart>
  <c:spPr>
    <a:solidFill>
      <a:srgbClr val="FFFFFF"/>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图4    财政拨款收、支总计决算变动情况</a:t>
            </a:r>
            <a:endParaRPr sz="14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barChart>
        <c:barDir val="col"/>
        <c:grouping val="clustered"/>
        <c:varyColors val="0"/>
        <c:ser>
          <c:idx val="0"/>
          <c:order val="0"/>
          <c:tx>
            <c:strRef>
              <c:f>[2020决算公开图表政法委.xls]Sheet1!$A$170</c:f>
              <c:strCache>
                <c:ptCount val="1"/>
                <c:pt idx="0">
                  <c:v>财政拨款收入、支出总计</c:v>
                </c:pt>
              </c:strCache>
            </c:strRef>
          </c:tx>
          <c:spPr>
            <a:solidFill>
              <a:srgbClr val="9999FF"/>
            </a:solidFill>
            <a:ln w="12700">
              <a:solidFill>
                <a:srgbClr val="000000">
                  <a:alpha val="100000"/>
                </a:srgbClr>
              </a:solidFill>
              <a:prstDash val="solid"/>
            </a:ln>
          </c:spPr>
          <c:invertIfNegative val="0"/>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[2020决算公开图表政法委.xls]Sheet1!$B$169:$C$169</c:f>
              <c:strCache>
                <c:ptCount val="2"/>
                <c:pt idx="0">
                  <c:v>2019年</c:v>
                </c:pt>
                <c:pt idx="1">
                  <c:v>2020年</c:v>
                </c:pt>
              </c:strCache>
            </c:strRef>
          </c:cat>
          <c:val>
            <c:numRef>
              <c:f>[2020决算公开图表政法委.xls]Sheet1!$B$170:$C$170</c:f>
              <c:numCache>
                <c:formatCode>General</c:formatCode>
                <c:ptCount val="2"/>
                <c:pt idx="0">
                  <c:v>241.2</c:v>
                </c:pt>
                <c:pt idx="1">
                  <c:v>163</c:v>
                </c:pt>
              </c:numCache>
            </c:numRef>
          </c:val>
        </c:ser>
        <c:dLbls>
          <c:showLegendKey val="0"/>
          <c:showVal val="0"/>
          <c:showCatName val="0"/>
          <c:showSerName val="0"/>
          <c:showPercent val="0"/>
          <c:showBubbleSize val="0"/>
        </c:dLbls>
        <c:gapWidth val="150"/>
        <c:overlap val="0"/>
        <c:axId val="367807960"/>
        <c:axId val="545325141"/>
      </c:barChart>
      <c:catAx>
        <c:axId val="367807960"/>
        <c:scaling>
          <c:orientation val="minMax"/>
        </c:scaling>
        <c:delete val="0"/>
        <c:axPos val="b"/>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545325141"/>
        <c:crosses val="autoZero"/>
        <c:auto val="1"/>
        <c:lblAlgn val="ctr"/>
        <c:lblOffset val="100"/>
        <c:noMultiLvlLbl val="0"/>
      </c:catAx>
      <c:valAx>
        <c:axId val="545325141"/>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67807960"/>
        <c:crosses val="autoZero"/>
        <c:crossBetween val="between"/>
      </c:valAx>
      <c:spPr>
        <a:solidFill>
          <a:srgbClr val="C0C0C0">
            <a:alpha val="100000"/>
          </a:srgbClr>
        </a:solidFill>
        <a:ln w="12700">
          <a:solidFill>
            <a:srgbClr val="808080">
              <a:alpha val="100000"/>
            </a:srgbClr>
          </a:solidFill>
          <a:prstDash val="solid"/>
        </a:ln>
      </c:spPr>
    </c:plotArea>
    <c:legend>
      <c:legendPos val="r"/>
      <c:layout>
        <c:manualLayout>
          <c:xMode val="edge"/>
          <c:yMode val="edge"/>
          <c:x val="0.7025"/>
          <c:y val="0.50425"/>
          <c:w val="0.2915"/>
          <c:h val="0.0595"/>
        </c:manualLayout>
      </c:layout>
      <c:overlay val="0"/>
      <c:spPr>
        <a:solidFill>
          <a:srgbClr val="FFFFFF"/>
        </a:solidFill>
        <a:ln>
          <a:solidFill>
            <a:srgbClr val="000000"/>
          </a:solidFill>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9c4a26b7-c62c-4732-9c8f-392bb6a9ec59}"/>
      </c:ext>
    </c:extLst>
  </c:chart>
  <c:spPr>
    <a:solidFill>
      <a:srgbClr val="FFFFFF"/>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图5      一般公共预算财政拨款支出决算变动情况</a:t>
            </a:r>
            <a:endParaRPr sz="14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barChart>
        <c:barDir val="col"/>
        <c:grouping val="clustered"/>
        <c:varyColors val="0"/>
        <c:ser>
          <c:idx val="0"/>
          <c:order val="0"/>
          <c:tx>
            <c:strRef>
              <c:f>[2020决算公开图表政法委.xls]Sheet1!$A$85</c:f>
              <c:strCache>
                <c:ptCount val="1"/>
                <c:pt idx="0">
                  <c:v>一般公共预算财政拨款支出</c:v>
                </c:pt>
              </c:strCache>
            </c:strRef>
          </c:tx>
          <c:spPr>
            <a:solidFill>
              <a:srgbClr val="9999FF"/>
            </a:solidFill>
            <a:ln w="12700">
              <a:solidFill>
                <a:srgbClr val="000000">
                  <a:alpha val="100000"/>
                </a:srgbClr>
              </a:solidFill>
              <a:prstDash val="solid"/>
            </a:ln>
          </c:spPr>
          <c:invertIfNegative val="0"/>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[2020决算公开图表政法委.xls]Sheet1!$B$84:$C$84</c:f>
              <c:strCache>
                <c:ptCount val="2"/>
                <c:pt idx="0">
                  <c:v>2019年</c:v>
                </c:pt>
                <c:pt idx="1">
                  <c:v>2020年</c:v>
                </c:pt>
              </c:strCache>
            </c:strRef>
          </c:cat>
          <c:val>
            <c:numRef>
              <c:f>[2020决算公开图表政法委.xls]Sheet1!$B$85:$C$85</c:f>
              <c:numCache>
                <c:formatCode>General</c:formatCode>
                <c:ptCount val="2"/>
                <c:pt idx="0">
                  <c:v>241.2</c:v>
                </c:pt>
                <c:pt idx="1">
                  <c:v>512.08</c:v>
                </c:pt>
              </c:numCache>
            </c:numRef>
          </c:val>
        </c:ser>
        <c:dLbls>
          <c:showLegendKey val="0"/>
          <c:showVal val="0"/>
          <c:showCatName val="0"/>
          <c:showSerName val="0"/>
          <c:showPercent val="0"/>
          <c:showBubbleSize val="0"/>
        </c:dLbls>
        <c:gapWidth val="150"/>
        <c:overlap val="0"/>
        <c:axId val="657257338"/>
        <c:axId val="204906974"/>
      </c:barChart>
      <c:catAx>
        <c:axId val="657257338"/>
        <c:scaling>
          <c:orientation val="minMax"/>
        </c:scaling>
        <c:delete val="0"/>
        <c:axPos val="b"/>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04906974"/>
        <c:crosses val="autoZero"/>
        <c:auto val="1"/>
        <c:lblAlgn val="ctr"/>
        <c:lblOffset val="100"/>
        <c:noMultiLvlLbl val="0"/>
      </c:catAx>
      <c:valAx>
        <c:axId val="204906974"/>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657257338"/>
        <c:crosses val="autoZero"/>
        <c:crossBetween val="between"/>
      </c:valAx>
      <c:spPr>
        <a:solidFill>
          <a:srgbClr val="C0C0C0">
            <a:alpha val="100000"/>
          </a:srgbClr>
        </a:solidFill>
        <a:ln w="12700">
          <a:solidFill>
            <a:srgbClr val="808080">
              <a:alpha val="100000"/>
            </a:srgbClr>
          </a:solidFill>
          <a:prstDash val="solid"/>
        </a:ln>
      </c:spPr>
    </c:plotArea>
    <c:legend>
      <c:legendPos val="r"/>
      <c:layout>
        <c:manualLayout>
          <c:xMode val="edge"/>
          <c:yMode val="edge"/>
          <c:x val="0.68475"/>
          <c:y val="0.50575"/>
          <c:w val="0.3095"/>
          <c:h val="0.05975"/>
        </c:manualLayout>
      </c:layout>
      <c:overlay val="0"/>
      <c:spPr>
        <a:solidFill>
          <a:srgbClr val="FFFFFF"/>
        </a:solidFill>
        <a:ln>
          <a:solidFill>
            <a:srgbClr val="000000"/>
          </a:solidFill>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a9f8bc55-8a08-4379-b8d7-30d2405b18a5}"/>
      </c:ext>
    </c:extLst>
  </c:chart>
  <c:spPr>
    <a:solidFill>
      <a:srgbClr val="FFFFFF"/>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图6    一般公共预算财政拨款支出决算结构</a:t>
            </a:r>
            <a:endParaRPr sz="1475"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pieChart>
        <c:varyColors val="1"/>
        <c:ser>
          <c:idx val="0"/>
          <c:order val="0"/>
          <c:spPr>
            <a:solidFill>
              <a:srgbClr val="9999FF"/>
            </a:solidFill>
            <a:ln w="12700">
              <a:solidFill>
                <a:srgbClr val="000000">
                  <a:alpha val="100000"/>
                </a:srgbClr>
              </a:solidFill>
              <a:prstDash val="solid"/>
            </a:ln>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Pt>
            <c:idx val="3"/>
            <c:bubble3D val="0"/>
            <c:spPr>
              <a:solidFill>
                <a:srgbClr val="CCFFFF"/>
              </a:solidFill>
              <a:ln w="12700">
                <a:solidFill>
                  <a:srgbClr val="000000">
                    <a:alpha val="100000"/>
                  </a:srgbClr>
                </a:solidFill>
                <a:prstDash val="solid"/>
              </a:ln>
              <a:effectLst/>
            </c:spPr>
          </c:dPt>
          <c:dPt>
            <c:idx val="4"/>
            <c:bubble3D val="0"/>
            <c:spPr>
              <a:solidFill>
                <a:srgbClr val="660066"/>
              </a:solidFill>
              <a:ln w="12700">
                <a:solidFill>
                  <a:srgbClr val="000000">
                    <a:alpha val="100000"/>
                  </a:srgbClr>
                </a:solidFill>
                <a:prstDash val="solid"/>
              </a:ln>
              <a:effectLst/>
            </c:spPr>
          </c:dPt>
          <c:dPt>
            <c:idx val="5"/>
            <c:bubble3D val="0"/>
            <c:spPr>
              <a:solidFill>
                <a:srgbClr val="FF8080"/>
              </a:solidFill>
              <a:ln w="12700">
                <a:solidFill>
                  <a:srgbClr val="000000">
                    <a:alpha val="100000"/>
                  </a:srgbClr>
                </a:solidFill>
                <a:prstDash val="solid"/>
              </a:ln>
              <a:effectLst/>
            </c:spPr>
          </c:dPt>
          <c:dLbls>
            <c:dLbl>
              <c:idx val="1"/>
              <c:layout>
                <c:manualLayout>
                  <c:x val="0.0211437793481807"/>
                  <c:y val="0.0563819140682373"/>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020311768696199"/>
                  <c:y val="0.000185392537879671"/>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00385725852481524"/>
                  <c:y val="-0.0226755213258911"/>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0509967367526126"/>
                  <c:y val="-0.0436643089661575"/>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shade val="95000"/>
                          <a:satMod val="105000"/>
                        </a:srgbClr>
                      </a:solidFill>
                      <a:prstDash val="solid"/>
                      <a:round/>
                    </a:ln>
                    <a:effectLst/>
                  </c:spPr>
                </c15:leaderLines>
              </c:ext>
            </c:extLst>
          </c:dLbls>
          <c:cat>
            <c:strRef>
              <c:f>[2020决算公开图表政法委.xls]Sheet1!$A$110:$A$115</c:f>
              <c:strCache>
                <c:ptCount val="6"/>
                <c:pt idx="0">
                  <c:v>一般公共服务支出</c:v>
                </c:pt>
                <c:pt idx="1">
                  <c:v>卫生健康支出</c:v>
                </c:pt>
                <c:pt idx="2">
                  <c:v>社会保障和就业支出</c:v>
                </c:pt>
                <c:pt idx="3">
                  <c:v>农林水支出</c:v>
                </c:pt>
                <c:pt idx="4">
                  <c:v>住房保障支出</c:v>
                </c:pt>
                <c:pt idx="5">
                  <c:v>公共安全支出</c:v>
                </c:pt>
              </c:strCache>
            </c:strRef>
          </c:cat>
          <c:val>
            <c:numRef>
              <c:f>[2020决算公开图表政法委.xls]Sheet1!$B$110:$B$115</c:f>
              <c:numCache>
                <c:formatCode>General</c:formatCode>
                <c:ptCount val="6"/>
                <c:pt idx="0">
                  <c:v>309.02</c:v>
                </c:pt>
                <c:pt idx="1">
                  <c:v>1.33</c:v>
                </c:pt>
                <c:pt idx="2">
                  <c:v>18.89</c:v>
                </c:pt>
                <c:pt idx="3">
                  <c:v>1.71</c:v>
                </c:pt>
                <c:pt idx="4">
                  <c:v>22.16</c:v>
                </c:pt>
                <c:pt idx="5">
                  <c:v>158.96</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a:effectLst/>
            </c:spPr>
          </c:dPt>
          <c:dPt>
            <c:idx val="1"/>
            <c:bubble3D val="0"/>
            <c:spPr>
              <a:solidFill>
                <a:srgbClr val="993366"/>
              </a:solidFill>
              <a:ln w="12700">
                <a:solidFill>
                  <a:srgbClr val="000000"/>
                </a:solidFill>
                <a:prstDash val="solid"/>
              </a:ln>
              <a:effectLst/>
            </c:spPr>
          </c:dPt>
          <c:dPt>
            <c:idx val="2"/>
            <c:bubble3D val="0"/>
            <c:spPr>
              <a:solidFill>
                <a:srgbClr val="FFFFCC"/>
              </a:solidFill>
              <a:ln w="12700">
                <a:solidFill>
                  <a:srgbClr val="000000"/>
                </a:solidFill>
                <a:prstDash val="solid"/>
              </a:ln>
              <a:effectLst/>
            </c:spPr>
          </c:dPt>
          <c:dPt>
            <c:idx val="3"/>
            <c:bubble3D val="0"/>
            <c:spPr>
              <a:solidFill>
                <a:srgbClr val="CCFFFF"/>
              </a:solidFill>
              <a:ln w="12700">
                <a:solidFill>
                  <a:srgbClr val="000000"/>
                </a:solidFill>
                <a:prstDash val="solid"/>
              </a:ln>
              <a:effectLst/>
            </c:spPr>
          </c:dPt>
          <c:dPt>
            <c:idx val="4"/>
            <c:bubble3D val="0"/>
            <c:spPr>
              <a:solidFill>
                <a:srgbClr val="660066"/>
              </a:solidFill>
              <a:ln w="12700">
                <a:solidFill>
                  <a:srgbClr val="000000"/>
                </a:solidFill>
                <a:prstDash val="solid"/>
              </a:ln>
              <a:effectLst/>
            </c:spPr>
          </c:dPt>
          <c:dPt>
            <c:idx val="5"/>
            <c:bubble3D val="0"/>
            <c:spPr>
              <a:solidFill>
                <a:srgbClr val="FF8080"/>
              </a:solidFill>
              <a:ln w="12700">
                <a:solidFill>
                  <a:srgbClr val="000000"/>
                </a:solidFill>
                <a:prstDash val="solid"/>
              </a:ln>
              <a:effectLst/>
            </c:spPr>
          </c:dPt>
          <c:dLbls>
            <c:delete val="1"/>
          </c:dLbls>
          <c:cat>
            <c:strRef>
              <c:f>[2020决算公开图表政法委.xls]Sheet1!$A$110:$A$115</c:f>
              <c:strCache>
                <c:ptCount val="6"/>
                <c:pt idx="0">
                  <c:v>一般公共服务支出</c:v>
                </c:pt>
                <c:pt idx="1">
                  <c:v>卫生健康支出</c:v>
                </c:pt>
                <c:pt idx="2">
                  <c:v>社会保障和就业支出</c:v>
                </c:pt>
                <c:pt idx="3">
                  <c:v>农林水支出</c:v>
                </c:pt>
                <c:pt idx="4">
                  <c:v>住房保障支出</c:v>
                </c:pt>
                <c:pt idx="5">
                  <c:v>公共安全支出</c:v>
                </c:pt>
              </c:strCache>
            </c:strRef>
          </c:cat>
          <c:val>
            <c:numRef>
              <c:f>[2020决算公开图表政法委.xls]Sheet1!$C$110:$C$115</c:f>
              <c:numCache>
                <c:formatCode>0.00%</c:formatCode>
                <c:ptCount val="6"/>
                <c:pt idx="0">
                  <c:v>0.6035</c:v>
                </c:pt>
                <c:pt idx="1">
                  <c:v>0.0027</c:v>
                </c:pt>
                <c:pt idx="2">
                  <c:v>0.0369</c:v>
                </c:pt>
                <c:pt idx="3">
                  <c:v>0.0034</c:v>
                </c:pt>
                <c:pt idx="4">
                  <c:v>0.0431</c:v>
                </c:pt>
                <c:pt idx="5">
                  <c:v>0.3104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6"/>
          <c:y val="0.424"/>
          <c:w val="0.23425"/>
          <c:h val="0.26575"/>
        </c:manualLayout>
      </c:layout>
      <c:overlay val="0"/>
      <c:spPr>
        <a:solidFill>
          <a:srgbClr val="FFFFFF"/>
        </a:solidFill>
        <a:ln>
          <a:solidFill>
            <a:srgbClr val="000000"/>
          </a:solidFill>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1a5557f5-94b8-45ca-aec1-3afe238cc45e}"/>
      </c:ext>
    </c:extLst>
  </c:chart>
  <c:spPr>
    <a:solidFill>
      <a:srgbClr val="FFFFFF"/>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图7  “三公”经费财政拨款支出结构</a:t>
            </a:r>
            <a:endParaRPr sz="14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 val="0.18825"/>
          <c:y val="0.03975"/>
        </c:manualLayout>
      </c:layout>
      <c:overlay val="0"/>
    </c:title>
    <c:autoTitleDeleted val="0"/>
    <c:plotArea>
      <c:layout>
        <c:manualLayout>
          <c:layoutTarget val="inner"/>
          <c:xMode val="edge"/>
          <c:yMode val="edge"/>
          <c:x val="0.241"/>
          <c:y val="0.4005"/>
          <c:w val="0.17075"/>
          <c:h val="0.3325"/>
        </c:manualLayout>
      </c:layout>
      <c:pieChart>
        <c:varyColors val="1"/>
        <c:ser>
          <c:idx val="0"/>
          <c:order val="0"/>
          <c:spPr>
            <a:solidFill>
              <a:srgbClr val="9999FF"/>
            </a:solidFill>
            <a:ln w="12700">
              <a:solidFill>
                <a:srgbClr val="000000">
                  <a:alpha val="100000"/>
                </a:srgbClr>
              </a:solidFill>
              <a:prstDash val="solid"/>
            </a:ln>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Lbls>
            <c:dLbl>
              <c:idx val="0"/>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因公出国（境）费支出, 0, 0%</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 sourceLinked="1"/>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extLst>
            </c:dLbl>
            <c:dLbl>
              <c:idx val="1"/>
              <c:layout>
                <c:manualLayout>
                  <c:x val="0.151296687912926"/>
                  <c:y val="0.170533222645393"/>
                </c:manualLayout>
              </c:layout>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216138328530259"/>
                  <c:y val="-0.141274238227147"/>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公务接待费支出, 0</a:t>
                    </a:r>
                    <a:r>
                      <a:rPr lang="en-US" altLang="zh-CN"/>
                      <a:t>.77</a:t>
                    </a:r>
                    <a:r>
                      <a:t>, </a:t>
                    </a:r>
                    <a:r>
                      <a:rPr lang="en-US" altLang="zh-CN"/>
                      <a:t>10</a:t>
                    </a:r>
                    <a:r>
                      <a:t>0%</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 sourceLinked="1"/>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shade val="95000"/>
                          <a:satMod val="105000"/>
                        </a:srgbClr>
                      </a:solidFill>
                      <a:prstDash val="solid"/>
                      <a:round/>
                    </a:ln>
                    <a:effectLst/>
                  </c:spPr>
                </c15:leaderLines>
              </c:ext>
            </c:extLst>
          </c:dLbls>
          <c:cat>
            <c:strRef>
              <c:f>[2020决算公开图表政法委.xls]Sheet1!$B$140:$B$142</c:f>
              <c:strCache>
                <c:ptCount val="3"/>
                <c:pt idx="0">
                  <c:v>因公出国（境）费支出</c:v>
                </c:pt>
                <c:pt idx="1">
                  <c:v>公务用车购置及运行维护费支出</c:v>
                </c:pt>
                <c:pt idx="2">
                  <c:v>公务接待费支出</c:v>
                </c:pt>
              </c:strCache>
            </c:strRef>
          </c:cat>
          <c:val>
            <c:numRef>
              <c:f>[2020决算公开图表政法委.xls]Sheet1!$C$140:$C$142</c:f>
              <c:numCache>
                <c:formatCode>General</c:formatCode>
                <c:ptCount val="3"/>
                <c:pt idx="0">
                  <c:v>0</c:v>
                </c:pt>
                <c:pt idx="1">
                  <c:v>0</c:v>
                </c:pt>
                <c:pt idx="2">
                  <c:v>0.77</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a:effectLst/>
            </c:spPr>
          </c:dPt>
          <c:dPt>
            <c:idx val="1"/>
            <c:bubble3D val="0"/>
            <c:spPr>
              <a:solidFill>
                <a:srgbClr val="993366"/>
              </a:solidFill>
              <a:ln w="12700">
                <a:solidFill>
                  <a:srgbClr val="000000"/>
                </a:solidFill>
                <a:prstDash val="solid"/>
              </a:ln>
              <a:effectLst/>
            </c:spPr>
          </c:dPt>
          <c:dPt>
            <c:idx val="2"/>
            <c:bubble3D val="0"/>
            <c:spPr>
              <a:solidFill>
                <a:srgbClr val="FFFFCC"/>
              </a:solidFill>
              <a:ln w="12700">
                <a:solidFill>
                  <a:srgbClr val="000000"/>
                </a:solidFill>
                <a:prstDash val="solid"/>
              </a:ln>
              <a:effectLst/>
            </c:spPr>
          </c:dPt>
          <c:dLbls>
            <c:delete val="1"/>
          </c:dLbls>
          <c:cat>
            <c:strRef>
              <c:f>[2020决算公开图表政法委.xls]Sheet1!$B$140:$B$142</c:f>
              <c:strCache>
                <c:ptCount val="3"/>
                <c:pt idx="0">
                  <c:v>因公出国（境）费支出</c:v>
                </c:pt>
                <c:pt idx="1">
                  <c:v>公务用车购置及运行维护费支出</c:v>
                </c:pt>
                <c:pt idx="2">
                  <c:v>公务接待费支出</c:v>
                </c:pt>
              </c:strCache>
            </c:strRef>
          </c:cat>
          <c:val>
            <c:numRef>
              <c:f>[2020决算公开图表政法委.xls]Sheet1!$D$140:$D$142</c:f>
              <c:numCache>
                <c:formatCode>General</c:formatCode>
                <c:ptCount val="3"/>
                <c:pt idx="0">
                  <c:v>0</c:v>
                </c:pt>
                <c:pt idx="1" c:formatCode="0%">
                  <c:v>0</c:v>
                </c:pt>
                <c:pt idx="2" c:formatCode="0.0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555"/>
          <c:y val="0.40025"/>
          <c:w val="0.33875"/>
          <c:h val="0.3325"/>
        </c:manualLayout>
      </c:layout>
      <c:overlay val="0"/>
      <c:spPr>
        <a:solidFill>
          <a:srgbClr val="FFFFFF"/>
        </a:solidFill>
        <a:ln>
          <a:solidFill>
            <a:srgbClr val="000000"/>
          </a:solidFill>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1a2af82c-3da9-4292-9a88-f9e96d91eaae}"/>
      </c:ext>
    </c:extLst>
  </c:chart>
  <c:spPr>
    <a:solidFill>
      <a:srgbClr val="FFFFFF"/>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四川省财政厅</Company>
  <Pages>39</Pages>
  <Words>15190</Words>
  <Characters>17385</Characters>
  <Lines>0</Lines>
  <Paragraphs>0</Paragraphs>
  <TotalTime>238</TotalTime>
  <ScaleCrop>false</ScaleCrop>
  <LinksUpToDate>false</LinksUpToDate>
  <CharactersWithSpaces>17432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2020-10-27T01:55:00Z</dcterms:created>
  <dc:creator>曹颖</dc:creator>
  <cp:lastModifiedBy>Owner</cp:lastModifiedBy>
  <cp:lastPrinted>2020-10-29T02:50:00Z</cp:lastPrinted>
  <dcterms:modified xsi:type="dcterms:W3CDTF">2026-02-24T07:26:34Z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eyJoZGlkIjoiZDg0NDNiYTUxOWU4N2FhYTE5YTc3OTM5YzA0NWVjYWEiLCJ1c2VySWQiOiIxMzY3NTIyMzE2In0=</vt:lpwstr>
  </property>
  <property fmtid="{D5CDD505-2E9C-101B-9397-08002B2CF9AE}" pid="4" name="ICV">
    <vt:lpwstr>74045128EFF64DE388188CB6EEF752AA_12</vt:lpwstr>
  </property>
</Properties>
</file>