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6D5458">
      <w:pPr>
        <w:keepNext/>
        <w:spacing w:line="360" w:lineRule="auto"/>
        <w:jc w:val="center"/>
        <w:rPr>
          <w:rFonts w:hint="eastAsia" w:ascii="方正小标宋简体" w:hAnsi="方正小标宋简体" w:eastAsia="方正小标宋简体"/>
          <w:kern w:val="2"/>
          <w:sz w:val="72"/>
          <w:szCs w:val="24"/>
          <w:lang w:val="zh-CN"/>
        </w:rPr>
      </w:pPr>
      <w:r>
        <w:rPr>
          <w:rFonts w:hint="eastAsia" w:ascii="方正小标宋简体" w:hAnsi="方正小标宋简体" w:eastAsia="方正小标宋简体"/>
          <w:kern w:val="2"/>
          <w:sz w:val="72"/>
          <w:szCs w:val="24"/>
          <w:lang w:val="zh-CN"/>
        </w:rPr>
        <w:t>2022年度</w:t>
      </w:r>
    </w:p>
    <w:p w14:paraId="5D6DF481">
      <w:pPr>
        <w:keepNext/>
        <w:spacing w:line="360" w:lineRule="auto"/>
        <w:jc w:val="center"/>
        <w:rPr>
          <w:rFonts w:hint="eastAsia" w:ascii="方正小标宋简体" w:hAnsi="方正小标宋简体" w:eastAsia="方正小标宋简体"/>
          <w:kern w:val="2"/>
          <w:sz w:val="72"/>
          <w:szCs w:val="24"/>
          <w:lang w:val="zh-CN"/>
        </w:rPr>
      </w:pPr>
      <w:r>
        <w:rPr>
          <w:rFonts w:hint="eastAsia" w:ascii="方正小标宋简体" w:hAnsi="方正小标宋简体" w:eastAsia="方正小标宋简体"/>
          <w:kern w:val="2"/>
          <w:sz w:val="72"/>
          <w:szCs w:val="24"/>
          <w:lang w:val="zh-CN"/>
        </w:rPr>
        <w:t>盐边县共和乡人民政府部门决算</w:t>
      </w:r>
    </w:p>
    <w:p w14:paraId="4C5BB567">
      <w:pPr>
        <w:keepNext/>
        <w:tabs>
          <w:tab w:val="right" w:leader="dot" w:pos="8296"/>
        </w:tabs>
        <w:spacing w:line="576" w:lineRule="exact"/>
        <w:rPr>
          <w:rFonts w:hint="eastAsia" w:ascii="黑体" w:hAnsi="黑体" w:eastAsia="黑体"/>
          <w:b/>
          <w:color w:val="FF0000"/>
          <w:kern w:val="2"/>
          <w:sz w:val="48"/>
          <w:szCs w:val="24"/>
          <w:lang w:val="zh-CN"/>
        </w:rPr>
      </w:pPr>
    </w:p>
    <w:p w14:paraId="4854775A">
      <w:pPr>
        <w:keepNext/>
        <w:jc w:val="center"/>
        <w:rPr>
          <w:rFonts w:hint="eastAsia" w:ascii="黑体" w:hAnsi="黑体" w:eastAsia="黑体"/>
          <w:color w:val="auto"/>
          <w:kern w:val="2"/>
          <w:sz w:val="48"/>
          <w:szCs w:val="24"/>
          <w:lang w:val="zh-CN"/>
        </w:rPr>
      </w:pPr>
      <w:r>
        <w:rPr>
          <w:rFonts w:hint="eastAsia" w:ascii="黑体" w:hAnsi="黑体" w:eastAsia="黑体"/>
          <w:color w:val="auto"/>
          <w:kern w:val="2"/>
          <w:sz w:val="48"/>
          <w:szCs w:val="24"/>
          <w:lang w:val="zh-CN"/>
        </w:rPr>
        <w:br w:type="page"/>
      </w:r>
      <w:r>
        <w:rPr>
          <w:rFonts w:hint="eastAsia" w:ascii="黑体" w:hAnsi="黑体" w:eastAsia="黑体"/>
          <w:color w:val="auto"/>
          <w:kern w:val="2"/>
          <w:sz w:val="48"/>
          <w:szCs w:val="24"/>
          <w:lang w:val="zh-CN"/>
        </w:rPr>
        <w:t>目录</w:t>
      </w:r>
    </w:p>
    <w:p w14:paraId="53A1FD89">
      <w:pPr>
        <w:keepNext/>
        <w:jc w:val="center"/>
        <w:rPr>
          <w:rFonts w:hint="eastAsia" w:ascii="黑体" w:hAnsi="黑体" w:eastAsia="黑体"/>
          <w:color w:val="auto"/>
          <w:kern w:val="2"/>
          <w:sz w:val="28"/>
          <w:szCs w:val="24"/>
          <w:lang w:val="zh-CN"/>
        </w:rPr>
      </w:pPr>
    </w:p>
    <w:p w14:paraId="28CAF787">
      <w:pPr>
        <w:keepNext/>
        <w:tabs>
          <w:tab w:val="right" w:leader="dot" w:pos="8296"/>
        </w:tabs>
        <w:spacing w:before="93"/>
        <w:jc w:val="center"/>
        <w:rPr>
          <w:rFonts w:hint="eastAsia" w:ascii="仿宋" w:hAnsi="仿宋" w:eastAsia="仿宋"/>
          <w:color w:val="auto"/>
          <w:kern w:val="2"/>
          <w:sz w:val="28"/>
          <w:szCs w:val="24"/>
          <w:lang w:val="zh-CN"/>
        </w:rPr>
      </w:pPr>
      <w:r>
        <w:rPr>
          <w:rFonts w:hint="eastAsia" w:ascii="仿宋" w:hAnsi="仿宋" w:eastAsia="仿宋"/>
          <w:color w:val="auto"/>
          <w:kern w:val="2"/>
          <w:sz w:val="28"/>
          <w:szCs w:val="24"/>
          <w:lang w:val="zh-CN"/>
        </w:rPr>
        <w:t>公开时间：2023年</w:t>
      </w:r>
      <w:r>
        <w:rPr>
          <w:rFonts w:hint="eastAsia" w:ascii="仿宋" w:hAnsi="仿宋" w:eastAsia="仿宋"/>
          <w:color w:val="auto"/>
          <w:kern w:val="2"/>
          <w:sz w:val="28"/>
          <w:szCs w:val="24"/>
          <w:lang w:val="en-US" w:eastAsia="zh-CN"/>
        </w:rPr>
        <w:t>12</w:t>
      </w:r>
      <w:r>
        <w:rPr>
          <w:rFonts w:hint="eastAsia" w:ascii="仿宋" w:hAnsi="仿宋" w:eastAsia="仿宋"/>
          <w:color w:val="auto"/>
          <w:kern w:val="2"/>
          <w:sz w:val="28"/>
          <w:szCs w:val="24"/>
          <w:lang w:val="zh-CN"/>
        </w:rPr>
        <w:t>月</w:t>
      </w:r>
      <w:r>
        <w:rPr>
          <w:rFonts w:hint="eastAsia" w:ascii="仿宋" w:hAnsi="仿宋" w:eastAsia="仿宋"/>
          <w:color w:val="auto"/>
          <w:kern w:val="2"/>
          <w:sz w:val="28"/>
          <w:szCs w:val="24"/>
          <w:lang w:val="en-US" w:eastAsia="zh-CN"/>
        </w:rPr>
        <w:t>28</w:t>
      </w:r>
      <w:r>
        <w:rPr>
          <w:rFonts w:hint="eastAsia" w:ascii="仿宋" w:hAnsi="仿宋" w:eastAsia="仿宋"/>
          <w:color w:val="auto"/>
          <w:kern w:val="2"/>
          <w:sz w:val="28"/>
          <w:szCs w:val="24"/>
          <w:lang w:val="zh-CN"/>
        </w:rPr>
        <w:t>日</w:t>
      </w:r>
    </w:p>
    <w:p w14:paraId="71B3F2B5">
      <w:pPr>
        <w:jc w:val="both"/>
        <w:rPr>
          <w:rFonts w:hint="default"/>
          <w:sz w:val="24"/>
          <w:szCs w:val="24"/>
        </w:rPr>
      </w:pPr>
    </w:p>
    <w:p w14:paraId="72545D86">
      <w:pPr>
        <w:pStyle w:val="9"/>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TOC \o "1-3" \h \u </w:instrText>
      </w:r>
      <w:r>
        <w:rPr>
          <w:rFonts w:hint="default"/>
          <w:sz w:val="24"/>
          <w:szCs w:val="24"/>
        </w:rPr>
        <w:fldChar w:fldCharType="separate"/>
      </w:r>
      <w:r>
        <w:rPr>
          <w:rFonts w:hint="default"/>
          <w:sz w:val="24"/>
          <w:szCs w:val="24"/>
        </w:rPr>
        <w:fldChar w:fldCharType="begin"/>
      </w:r>
      <w:r>
        <w:rPr>
          <w:rFonts w:hint="default"/>
          <w:sz w:val="24"/>
          <w:szCs w:val="24"/>
        </w:rPr>
        <w:instrText xml:space="preserve"> HYPERLINK \l _Toc107 </w:instrText>
      </w:r>
      <w:r>
        <w:rPr>
          <w:rFonts w:hint="default"/>
          <w:sz w:val="24"/>
          <w:szCs w:val="24"/>
        </w:rPr>
        <w:fldChar w:fldCharType="separate"/>
      </w:r>
      <w:r>
        <w:rPr>
          <w:rFonts w:hint="eastAsia" w:ascii="黑体" w:hAnsi="黑体" w:eastAsia="黑体"/>
          <w:kern w:val="44"/>
          <w:sz w:val="24"/>
          <w:szCs w:val="24"/>
          <w:lang w:val="zh-CN"/>
        </w:rPr>
        <w:t>第一部分部门概况</w:t>
      </w:r>
      <w:r>
        <w:rPr>
          <w:rFonts w:hint="default"/>
          <w:sz w:val="24"/>
          <w:szCs w:val="24"/>
        </w:rPr>
        <w:tab/>
      </w:r>
      <w:r>
        <w:rPr>
          <w:rFonts w:hint="default"/>
          <w:sz w:val="24"/>
          <w:szCs w:val="24"/>
        </w:rPr>
        <w:fldChar w:fldCharType="begin"/>
      </w:r>
      <w:r>
        <w:rPr>
          <w:rFonts w:hint="default"/>
          <w:sz w:val="24"/>
          <w:szCs w:val="24"/>
        </w:rPr>
        <w:instrText xml:space="preserve"> PAGEREF _Toc107 \h </w:instrText>
      </w:r>
      <w:r>
        <w:rPr>
          <w:rFonts w:hint="default"/>
          <w:sz w:val="24"/>
          <w:szCs w:val="24"/>
        </w:rPr>
        <w:fldChar w:fldCharType="separate"/>
      </w:r>
      <w:r>
        <w:rPr>
          <w:rFonts w:hint="default"/>
          <w:sz w:val="24"/>
          <w:szCs w:val="24"/>
        </w:rPr>
        <w:t>1</w:t>
      </w:r>
      <w:r>
        <w:rPr>
          <w:rFonts w:hint="default"/>
          <w:sz w:val="24"/>
          <w:szCs w:val="24"/>
        </w:rPr>
        <w:fldChar w:fldCharType="end"/>
      </w:r>
      <w:r>
        <w:rPr>
          <w:rFonts w:hint="default"/>
          <w:sz w:val="24"/>
          <w:szCs w:val="24"/>
        </w:rPr>
        <w:fldChar w:fldCharType="end"/>
      </w:r>
    </w:p>
    <w:p w14:paraId="6F3E491F">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_Toc32231 </w:instrText>
      </w:r>
      <w:r>
        <w:rPr>
          <w:rFonts w:hint="default"/>
          <w:sz w:val="24"/>
          <w:szCs w:val="24"/>
        </w:rPr>
        <w:fldChar w:fldCharType="separate"/>
      </w:r>
      <w:r>
        <w:rPr>
          <w:rFonts w:hint="eastAsia" w:ascii="黑体" w:hAnsi="黑体" w:eastAsia="黑体"/>
          <w:kern w:val="2"/>
          <w:sz w:val="24"/>
          <w:szCs w:val="24"/>
          <w:lang w:val="zh-CN"/>
        </w:rPr>
        <w:t>一、 部门职责</w:t>
      </w:r>
      <w:r>
        <w:rPr>
          <w:rFonts w:hint="default"/>
          <w:sz w:val="24"/>
          <w:szCs w:val="24"/>
        </w:rPr>
        <w:tab/>
      </w:r>
      <w:r>
        <w:rPr>
          <w:rFonts w:hint="default"/>
          <w:sz w:val="24"/>
          <w:szCs w:val="24"/>
        </w:rPr>
        <w:fldChar w:fldCharType="begin"/>
      </w:r>
      <w:r>
        <w:rPr>
          <w:rFonts w:hint="default"/>
          <w:sz w:val="24"/>
          <w:szCs w:val="24"/>
        </w:rPr>
        <w:instrText xml:space="preserve"> PAGEREF _Toc32231 \h </w:instrText>
      </w:r>
      <w:r>
        <w:rPr>
          <w:rFonts w:hint="default"/>
          <w:sz w:val="24"/>
          <w:szCs w:val="24"/>
        </w:rPr>
        <w:fldChar w:fldCharType="separate"/>
      </w:r>
      <w:r>
        <w:rPr>
          <w:rFonts w:hint="default"/>
          <w:sz w:val="24"/>
          <w:szCs w:val="24"/>
        </w:rPr>
        <w:t>1</w:t>
      </w:r>
      <w:r>
        <w:rPr>
          <w:rFonts w:hint="default"/>
          <w:sz w:val="24"/>
          <w:szCs w:val="24"/>
        </w:rPr>
        <w:fldChar w:fldCharType="end"/>
      </w:r>
      <w:r>
        <w:rPr>
          <w:rFonts w:hint="default"/>
          <w:sz w:val="24"/>
          <w:szCs w:val="24"/>
        </w:rPr>
        <w:fldChar w:fldCharType="end"/>
      </w:r>
    </w:p>
    <w:p w14:paraId="0AEBC6A6">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_Toc6253 </w:instrText>
      </w:r>
      <w:r>
        <w:rPr>
          <w:rFonts w:hint="default"/>
          <w:sz w:val="24"/>
          <w:szCs w:val="24"/>
        </w:rPr>
        <w:fldChar w:fldCharType="separate"/>
      </w:r>
      <w:r>
        <w:rPr>
          <w:rFonts w:hint="eastAsia" w:ascii="黑体" w:hAnsi="黑体" w:eastAsia="黑体"/>
          <w:kern w:val="2"/>
          <w:sz w:val="24"/>
          <w:szCs w:val="24"/>
          <w:lang w:val="zh-CN"/>
        </w:rPr>
        <w:t>二、机构设置</w:t>
      </w:r>
      <w:r>
        <w:rPr>
          <w:rFonts w:hint="default"/>
          <w:sz w:val="24"/>
          <w:szCs w:val="24"/>
        </w:rPr>
        <w:tab/>
      </w:r>
      <w:r>
        <w:rPr>
          <w:rFonts w:hint="default"/>
          <w:sz w:val="24"/>
          <w:szCs w:val="24"/>
        </w:rPr>
        <w:fldChar w:fldCharType="begin"/>
      </w:r>
      <w:r>
        <w:rPr>
          <w:rFonts w:hint="default"/>
          <w:sz w:val="24"/>
          <w:szCs w:val="24"/>
        </w:rPr>
        <w:instrText xml:space="preserve"> PAGEREF _Toc6253 \h </w:instrText>
      </w:r>
      <w:r>
        <w:rPr>
          <w:rFonts w:hint="default"/>
          <w:sz w:val="24"/>
          <w:szCs w:val="24"/>
        </w:rPr>
        <w:fldChar w:fldCharType="separate"/>
      </w:r>
      <w:r>
        <w:rPr>
          <w:rFonts w:hint="default"/>
          <w:sz w:val="24"/>
          <w:szCs w:val="24"/>
        </w:rPr>
        <w:t>4</w:t>
      </w:r>
      <w:r>
        <w:rPr>
          <w:rFonts w:hint="default"/>
          <w:sz w:val="24"/>
          <w:szCs w:val="24"/>
        </w:rPr>
        <w:fldChar w:fldCharType="end"/>
      </w:r>
      <w:r>
        <w:rPr>
          <w:rFonts w:hint="default"/>
          <w:sz w:val="24"/>
          <w:szCs w:val="24"/>
        </w:rPr>
        <w:fldChar w:fldCharType="end"/>
      </w:r>
    </w:p>
    <w:p w14:paraId="55E07D63">
      <w:pPr>
        <w:pStyle w:val="9"/>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_Toc30686 </w:instrText>
      </w:r>
      <w:r>
        <w:rPr>
          <w:rFonts w:hint="default"/>
          <w:sz w:val="24"/>
          <w:szCs w:val="24"/>
        </w:rPr>
        <w:fldChar w:fldCharType="separate"/>
      </w:r>
      <w:r>
        <w:rPr>
          <w:rFonts w:hint="eastAsia" w:ascii="黑体" w:hAnsi="黑体" w:eastAsia="黑体" w:cs="Times New Roman"/>
          <w:kern w:val="44"/>
          <w:sz w:val="24"/>
          <w:szCs w:val="24"/>
          <w:lang w:val="zh-CN"/>
        </w:rPr>
        <w:t>第二部分2022年度部门决算情况说明</w:t>
      </w:r>
      <w:r>
        <w:rPr>
          <w:rFonts w:hint="default"/>
          <w:sz w:val="24"/>
          <w:szCs w:val="24"/>
        </w:rPr>
        <w:tab/>
      </w:r>
      <w:r>
        <w:rPr>
          <w:rFonts w:hint="default"/>
          <w:sz w:val="24"/>
          <w:szCs w:val="24"/>
        </w:rPr>
        <w:fldChar w:fldCharType="begin"/>
      </w:r>
      <w:r>
        <w:rPr>
          <w:rFonts w:hint="default"/>
          <w:sz w:val="24"/>
          <w:szCs w:val="24"/>
        </w:rPr>
        <w:instrText xml:space="preserve"> PAGEREF _Toc30686 \h </w:instrText>
      </w:r>
      <w:r>
        <w:rPr>
          <w:rFonts w:hint="default"/>
          <w:sz w:val="24"/>
          <w:szCs w:val="24"/>
        </w:rPr>
        <w:fldChar w:fldCharType="separate"/>
      </w:r>
      <w:r>
        <w:rPr>
          <w:rFonts w:hint="default"/>
          <w:sz w:val="24"/>
          <w:szCs w:val="24"/>
        </w:rPr>
        <w:t>4</w:t>
      </w:r>
      <w:r>
        <w:rPr>
          <w:rFonts w:hint="default"/>
          <w:sz w:val="24"/>
          <w:szCs w:val="24"/>
        </w:rPr>
        <w:fldChar w:fldCharType="end"/>
      </w:r>
      <w:r>
        <w:rPr>
          <w:rFonts w:hint="default"/>
          <w:sz w:val="24"/>
          <w:szCs w:val="24"/>
        </w:rPr>
        <w:fldChar w:fldCharType="end"/>
      </w:r>
    </w:p>
    <w:p w14:paraId="0C2B0210">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_Toc21678 </w:instrText>
      </w:r>
      <w:r>
        <w:rPr>
          <w:rFonts w:hint="default"/>
          <w:sz w:val="24"/>
          <w:szCs w:val="24"/>
        </w:rPr>
        <w:fldChar w:fldCharType="separate"/>
      </w:r>
      <w:r>
        <w:rPr>
          <w:rFonts w:hint="eastAsia" w:ascii="黑体" w:hAnsi="黑体" w:eastAsia="黑体"/>
          <w:kern w:val="2"/>
          <w:sz w:val="24"/>
          <w:szCs w:val="24"/>
          <w:lang w:val="zh-CN"/>
        </w:rPr>
        <w:t>一、收入支出决算总体情况说明</w:t>
      </w:r>
      <w:r>
        <w:rPr>
          <w:rFonts w:hint="default"/>
          <w:sz w:val="24"/>
          <w:szCs w:val="24"/>
        </w:rPr>
        <w:tab/>
      </w:r>
      <w:r>
        <w:rPr>
          <w:rFonts w:hint="default"/>
          <w:sz w:val="24"/>
          <w:szCs w:val="24"/>
        </w:rPr>
        <w:fldChar w:fldCharType="begin"/>
      </w:r>
      <w:r>
        <w:rPr>
          <w:rFonts w:hint="default"/>
          <w:sz w:val="24"/>
          <w:szCs w:val="24"/>
        </w:rPr>
        <w:instrText xml:space="preserve"> PAGEREF _Toc21678 \h </w:instrText>
      </w:r>
      <w:r>
        <w:rPr>
          <w:rFonts w:hint="default"/>
          <w:sz w:val="24"/>
          <w:szCs w:val="24"/>
        </w:rPr>
        <w:fldChar w:fldCharType="separate"/>
      </w:r>
      <w:r>
        <w:rPr>
          <w:rFonts w:hint="default"/>
          <w:sz w:val="24"/>
          <w:szCs w:val="24"/>
        </w:rPr>
        <w:t>4</w:t>
      </w:r>
      <w:r>
        <w:rPr>
          <w:rFonts w:hint="default"/>
          <w:sz w:val="24"/>
          <w:szCs w:val="24"/>
        </w:rPr>
        <w:fldChar w:fldCharType="end"/>
      </w:r>
      <w:r>
        <w:rPr>
          <w:rFonts w:hint="default"/>
          <w:sz w:val="24"/>
          <w:szCs w:val="24"/>
        </w:rPr>
        <w:fldChar w:fldCharType="end"/>
      </w:r>
    </w:p>
    <w:p w14:paraId="62CA8431">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_Toc29763 </w:instrText>
      </w:r>
      <w:r>
        <w:rPr>
          <w:rFonts w:hint="default"/>
          <w:sz w:val="24"/>
          <w:szCs w:val="24"/>
        </w:rPr>
        <w:fldChar w:fldCharType="separate"/>
      </w:r>
      <w:r>
        <w:rPr>
          <w:rFonts w:hint="eastAsia" w:ascii="黑体" w:hAnsi="黑体" w:eastAsia="黑体"/>
          <w:kern w:val="2"/>
          <w:sz w:val="24"/>
          <w:szCs w:val="24"/>
          <w:lang w:val="zh-CN"/>
        </w:rPr>
        <w:t>二、收入决算情况说明</w:t>
      </w:r>
      <w:r>
        <w:rPr>
          <w:rFonts w:hint="default"/>
          <w:sz w:val="24"/>
          <w:szCs w:val="24"/>
        </w:rPr>
        <w:tab/>
      </w:r>
      <w:r>
        <w:rPr>
          <w:rFonts w:hint="default"/>
          <w:sz w:val="24"/>
          <w:szCs w:val="24"/>
        </w:rPr>
        <w:fldChar w:fldCharType="begin"/>
      </w:r>
      <w:r>
        <w:rPr>
          <w:rFonts w:hint="default"/>
          <w:sz w:val="24"/>
          <w:szCs w:val="24"/>
        </w:rPr>
        <w:instrText xml:space="preserve"> PAGEREF _Toc29763 \h </w:instrText>
      </w:r>
      <w:r>
        <w:rPr>
          <w:rFonts w:hint="default"/>
          <w:sz w:val="24"/>
          <w:szCs w:val="24"/>
        </w:rPr>
        <w:fldChar w:fldCharType="separate"/>
      </w:r>
      <w:r>
        <w:rPr>
          <w:rFonts w:hint="default"/>
          <w:sz w:val="24"/>
          <w:szCs w:val="24"/>
        </w:rPr>
        <w:t>5</w:t>
      </w:r>
      <w:r>
        <w:rPr>
          <w:rFonts w:hint="default"/>
          <w:sz w:val="24"/>
          <w:szCs w:val="24"/>
        </w:rPr>
        <w:fldChar w:fldCharType="end"/>
      </w:r>
      <w:r>
        <w:rPr>
          <w:rFonts w:hint="default"/>
          <w:sz w:val="24"/>
          <w:szCs w:val="24"/>
        </w:rPr>
        <w:fldChar w:fldCharType="end"/>
      </w:r>
    </w:p>
    <w:p w14:paraId="47DB3371">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_Toc15649 </w:instrText>
      </w:r>
      <w:r>
        <w:rPr>
          <w:rFonts w:hint="default"/>
          <w:sz w:val="24"/>
          <w:szCs w:val="24"/>
        </w:rPr>
        <w:fldChar w:fldCharType="separate"/>
      </w:r>
      <w:r>
        <w:rPr>
          <w:rFonts w:hint="eastAsia" w:ascii="黑体" w:hAnsi="黑体" w:eastAsia="黑体"/>
          <w:kern w:val="2"/>
          <w:sz w:val="24"/>
          <w:szCs w:val="24"/>
          <w:lang w:val="zh-CN"/>
        </w:rPr>
        <w:t>三、支出决算情况说明</w:t>
      </w:r>
      <w:r>
        <w:rPr>
          <w:rFonts w:hint="default"/>
          <w:sz w:val="24"/>
          <w:szCs w:val="24"/>
        </w:rPr>
        <w:tab/>
      </w:r>
      <w:r>
        <w:rPr>
          <w:rFonts w:hint="default"/>
          <w:sz w:val="24"/>
          <w:szCs w:val="24"/>
        </w:rPr>
        <w:fldChar w:fldCharType="begin"/>
      </w:r>
      <w:r>
        <w:rPr>
          <w:rFonts w:hint="default"/>
          <w:sz w:val="24"/>
          <w:szCs w:val="24"/>
        </w:rPr>
        <w:instrText xml:space="preserve"> PAGEREF _Toc15649 \h </w:instrText>
      </w:r>
      <w:r>
        <w:rPr>
          <w:rFonts w:hint="default"/>
          <w:sz w:val="24"/>
          <w:szCs w:val="24"/>
        </w:rPr>
        <w:fldChar w:fldCharType="separate"/>
      </w:r>
      <w:r>
        <w:rPr>
          <w:rFonts w:hint="default"/>
          <w:sz w:val="24"/>
          <w:szCs w:val="24"/>
        </w:rPr>
        <w:t>5</w:t>
      </w:r>
      <w:r>
        <w:rPr>
          <w:rFonts w:hint="default"/>
          <w:sz w:val="24"/>
          <w:szCs w:val="24"/>
        </w:rPr>
        <w:fldChar w:fldCharType="end"/>
      </w:r>
      <w:r>
        <w:rPr>
          <w:rFonts w:hint="default"/>
          <w:sz w:val="24"/>
          <w:szCs w:val="24"/>
        </w:rPr>
        <w:fldChar w:fldCharType="end"/>
      </w:r>
    </w:p>
    <w:p w14:paraId="1A4CF967">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_Toc20133 </w:instrText>
      </w:r>
      <w:r>
        <w:rPr>
          <w:rFonts w:hint="default"/>
          <w:sz w:val="24"/>
          <w:szCs w:val="24"/>
        </w:rPr>
        <w:fldChar w:fldCharType="separate"/>
      </w:r>
      <w:r>
        <w:rPr>
          <w:rFonts w:hint="eastAsia" w:ascii="黑体" w:hAnsi="黑体" w:eastAsia="黑体"/>
          <w:kern w:val="2"/>
          <w:sz w:val="24"/>
          <w:szCs w:val="24"/>
          <w:lang w:val="zh-CN"/>
        </w:rPr>
        <w:t>四、财政拨款收入支出决算总体情况说明</w:t>
      </w:r>
      <w:r>
        <w:rPr>
          <w:rFonts w:hint="default"/>
          <w:sz w:val="24"/>
          <w:szCs w:val="24"/>
        </w:rPr>
        <w:tab/>
      </w:r>
      <w:r>
        <w:rPr>
          <w:rFonts w:hint="default"/>
          <w:sz w:val="24"/>
          <w:szCs w:val="24"/>
        </w:rPr>
        <w:fldChar w:fldCharType="begin"/>
      </w:r>
      <w:r>
        <w:rPr>
          <w:rFonts w:hint="default"/>
          <w:sz w:val="24"/>
          <w:szCs w:val="24"/>
        </w:rPr>
        <w:instrText xml:space="preserve"> PAGEREF _Toc20133 \h </w:instrText>
      </w:r>
      <w:r>
        <w:rPr>
          <w:rFonts w:hint="default"/>
          <w:sz w:val="24"/>
          <w:szCs w:val="24"/>
        </w:rPr>
        <w:fldChar w:fldCharType="separate"/>
      </w:r>
      <w:r>
        <w:rPr>
          <w:rFonts w:hint="default"/>
          <w:sz w:val="24"/>
          <w:szCs w:val="24"/>
        </w:rPr>
        <w:t>6</w:t>
      </w:r>
      <w:r>
        <w:rPr>
          <w:rFonts w:hint="default"/>
          <w:sz w:val="24"/>
          <w:szCs w:val="24"/>
        </w:rPr>
        <w:fldChar w:fldCharType="end"/>
      </w:r>
      <w:r>
        <w:rPr>
          <w:rFonts w:hint="default"/>
          <w:sz w:val="24"/>
          <w:szCs w:val="24"/>
        </w:rPr>
        <w:fldChar w:fldCharType="end"/>
      </w:r>
    </w:p>
    <w:p w14:paraId="2A5656ED">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_Toc27893 </w:instrText>
      </w:r>
      <w:r>
        <w:rPr>
          <w:rFonts w:hint="default"/>
          <w:sz w:val="24"/>
          <w:szCs w:val="24"/>
        </w:rPr>
        <w:fldChar w:fldCharType="separate"/>
      </w:r>
      <w:r>
        <w:rPr>
          <w:rFonts w:hint="eastAsia" w:ascii="黑体" w:hAnsi="黑体" w:eastAsia="黑体"/>
          <w:kern w:val="2"/>
          <w:sz w:val="24"/>
          <w:szCs w:val="24"/>
          <w:lang w:val="zh-CN"/>
        </w:rPr>
        <w:t>五、一般公共预算财政拨款支出决算情况说明</w:t>
      </w:r>
      <w:r>
        <w:rPr>
          <w:rFonts w:hint="default"/>
          <w:sz w:val="24"/>
          <w:szCs w:val="24"/>
        </w:rPr>
        <w:tab/>
      </w:r>
      <w:r>
        <w:rPr>
          <w:rFonts w:hint="default"/>
          <w:sz w:val="24"/>
          <w:szCs w:val="24"/>
        </w:rPr>
        <w:fldChar w:fldCharType="begin"/>
      </w:r>
      <w:r>
        <w:rPr>
          <w:rFonts w:hint="default"/>
          <w:sz w:val="24"/>
          <w:szCs w:val="24"/>
        </w:rPr>
        <w:instrText xml:space="preserve"> PAGEREF _Toc27893 \h </w:instrText>
      </w:r>
      <w:r>
        <w:rPr>
          <w:rFonts w:hint="default"/>
          <w:sz w:val="24"/>
          <w:szCs w:val="24"/>
        </w:rPr>
        <w:fldChar w:fldCharType="separate"/>
      </w:r>
      <w:r>
        <w:rPr>
          <w:rFonts w:hint="default"/>
          <w:sz w:val="24"/>
          <w:szCs w:val="24"/>
        </w:rPr>
        <w:t>7</w:t>
      </w:r>
      <w:r>
        <w:rPr>
          <w:rFonts w:hint="default"/>
          <w:sz w:val="24"/>
          <w:szCs w:val="24"/>
        </w:rPr>
        <w:fldChar w:fldCharType="end"/>
      </w:r>
      <w:r>
        <w:rPr>
          <w:rFonts w:hint="default"/>
          <w:sz w:val="24"/>
          <w:szCs w:val="24"/>
        </w:rPr>
        <w:fldChar w:fldCharType="end"/>
      </w:r>
    </w:p>
    <w:p w14:paraId="18E8B330">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_Toc21460 </w:instrText>
      </w:r>
      <w:r>
        <w:rPr>
          <w:rFonts w:hint="default"/>
          <w:sz w:val="24"/>
          <w:szCs w:val="24"/>
        </w:rPr>
        <w:fldChar w:fldCharType="separate"/>
      </w:r>
      <w:r>
        <w:rPr>
          <w:rFonts w:hint="eastAsia" w:ascii="黑体" w:hAnsi="黑体" w:eastAsia="黑体"/>
          <w:kern w:val="2"/>
          <w:sz w:val="24"/>
          <w:szCs w:val="24"/>
          <w:lang w:val="zh-CN"/>
        </w:rPr>
        <w:t>六、一般公共预算财政拨款基本支出决算情况说明</w:t>
      </w:r>
      <w:r>
        <w:rPr>
          <w:rFonts w:hint="default"/>
          <w:sz w:val="24"/>
          <w:szCs w:val="24"/>
        </w:rPr>
        <w:tab/>
      </w:r>
      <w:r>
        <w:rPr>
          <w:rFonts w:hint="default"/>
          <w:sz w:val="24"/>
          <w:szCs w:val="24"/>
        </w:rPr>
        <w:fldChar w:fldCharType="begin"/>
      </w:r>
      <w:r>
        <w:rPr>
          <w:rFonts w:hint="default"/>
          <w:sz w:val="24"/>
          <w:szCs w:val="24"/>
        </w:rPr>
        <w:instrText xml:space="preserve"> PAGEREF _Toc21460 \h </w:instrText>
      </w:r>
      <w:r>
        <w:rPr>
          <w:rFonts w:hint="default"/>
          <w:sz w:val="24"/>
          <w:szCs w:val="24"/>
        </w:rPr>
        <w:fldChar w:fldCharType="separate"/>
      </w:r>
      <w:r>
        <w:rPr>
          <w:rFonts w:hint="default"/>
          <w:sz w:val="24"/>
          <w:szCs w:val="24"/>
        </w:rPr>
        <w:t>13</w:t>
      </w:r>
      <w:r>
        <w:rPr>
          <w:rFonts w:hint="default"/>
          <w:sz w:val="24"/>
          <w:szCs w:val="24"/>
        </w:rPr>
        <w:fldChar w:fldCharType="end"/>
      </w:r>
      <w:r>
        <w:rPr>
          <w:rFonts w:hint="default"/>
          <w:sz w:val="24"/>
          <w:szCs w:val="24"/>
        </w:rPr>
        <w:fldChar w:fldCharType="end"/>
      </w:r>
    </w:p>
    <w:p w14:paraId="0DF147D3">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_Toc10061 </w:instrText>
      </w:r>
      <w:r>
        <w:rPr>
          <w:rFonts w:hint="default"/>
          <w:sz w:val="24"/>
          <w:szCs w:val="24"/>
        </w:rPr>
        <w:fldChar w:fldCharType="separate"/>
      </w:r>
      <w:r>
        <w:rPr>
          <w:rFonts w:hint="eastAsia" w:ascii="黑体" w:hAnsi="黑体" w:eastAsia="黑体"/>
          <w:kern w:val="2"/>
          <w:sz w:val="24"/>
          <w:szCs w:val="24"/>
          <w:lang w:val="zh-CN"/>
        </w:rPr>
        <w:t>七、“三公”经费财政拨款支出决算情况说明</w:t>
      </w:r>
      <w:r>
        <w:rPr>
          <w:rFonts w:hint="default"/>
          <w:sz w:val="24"/>
          <w:szCs w:val="24"/>
        </w:rPr>
        <w:tab/>
      </w:r>
      <w:r>
        <w:rPr>
          <w:rFonts w:hint="default"/>
          <w:sz w:val="24"/>
          <w:szCs w:val="24"/>
        </w:rPr>
        <w:fldChar w:fldCharType="begin"/>
      </w:r>
      <w:r>
        <w:rPr>
          <w:rFonts w:hint="default"/>
          <w:sz w:val="24"/>
          <w:szCs w:val="24"/>
        </w:rPr>
        <w:instrText xml:space="preserve"> PAGEREF _Toc10061 \h </w:instrText>
      </w:r>
      <w:r>
        <w:rPr>
          <w:rFonts w:hint="default"/>
          <w:sz w:val="24"/>
          <w:szCs w:val="24"/>
        </w:rPr>
        <w:fldChar w:fldCharType="separate"/>
      </w:r>
      <w:r>
        <w:rPr>
          <w:rFonts w:hint="default"/>
          <w:sz w:val="24"/>
          <w:szCs w:val="24"/>
        </w:rPr>
        <w:t>14</w:t>
      </w:r>
      <w:r>
        <w:rPr>
          <w:rFonts w:hint="default"/>
          <w:sz w:val="24"/>
          <w:szCs w:val="24"/>
        </w:rPr>
        <w:fldChar w:fldCharType="end"/>
      </w:r>
      <w:r>
        <w:rPr>
          <w:rFonts w:hint="default"/>
          <w:sz w:val="24"/>
          <w:szCs w:val="24"/>
        </w:rPr>
        <w:fldChar w:fldCharType="end"/>
      </w:r>
    </w:p>
    <w:p w14:paraId="32757287">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_Toc25532 </w:instrText>
      </w:r>
      <w:r>
        <w:rPr>
          <w:rFonts w:hint="default"/>
          <w:sz w:val="24"/>
          <w:szCs w:val="24"/>
        </w:rPr>
        <w:fldChar w:fldCharType="separate"/>
      </w:r>
      <w:r>
        <w:rPr>
          <w:rFonts w:hint="eastAsia" w:ascii="黑体" w:hAnsi="黑体" w:eastAsia="黑体"/>
          <w:kern w:val="2"/>
          <w:sz w:val="24"/>
          <w:szCs w:val="24"/>
          <w:lang w:val="zh-CN"/>
        </w:rPr>
        <w:t>八、政府性基金预算支出决算情况说明</w:t>
      </w:r>
      <w:r>
        <w:rPr>
          <w:rFonts w:hint="default"/>
          <w:sz w:val="24"/>
          <w:szCs w:val="24"/>
        </w:rPr>
        <w:tab/>
      </w:r>
      <w:r>
        <w:rPr>
          <w:rFonts w:hint="default"/>
          <w:sz w:val="24"/>
          <w:szCs w:val="24"/>
        </w:rPr>
        <w:fldChar w:fldCharType="begin"/>
      </w:r>
      <w:r>
        <w:rPr>
          <w:rFonts w:hint="default"/>
          <w:sz w:val="24"/>
          <w:szCs w:val="24"/>
        </w:rPr>
        <w:instrText xml:space="preserve"> PAGEREF _Toc25532 \h </w:instrText>
      </w:r>
      <w:r>
        <w:rPr>
          <w:rFonts w:hint="default"/>
          <w:sz w:val="24"/>
          <w:szCs w:val="24"/>
        </w:rPr>
        <w:fldChar w:fldCharType="separate"/>
      </w:r>
      <w:r>
        <w:rPr>
          <w:rFonts w:hint="default"/>
          <w:sz w:val="24"/>
          <w:szCs w:val="24"/>
        </w:rPr>
        <w:t>15</w:t>
      </w:r>
      <w:r>
        <w:rPr>
          <w:rFonts w:hint="default"/>
          <w:sz w:val="24"/>
          <w:szCs w:val="24"/>
        </w:rPr>
        <w:fldChar w:fldCharType="end"/>
      </w:r>
      <w:r>
        <w:rPr>
          <w:rFonts w:hint="default"/>
          <w:sz w:val="24"/>
          <w:szCs w:val="24"/>
        </w:rPr>
        <w:fldChar w:fldCharType="end"/>
      </w:r>
    </w:p>
    <w:p w14:paraId="1D42F43B">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_Toc9948 </w:instrText>
      </w:r>
      <w:r>
        <w:rPr>
          <w:rFonts w:hint="default"/>
          <w:sz w:val="24"/>
          <w:szCs w:val="24"/>
        </w:rPr>
        <w:fldChar w:fldCharType="separate"/>
      </w:r>
      <w:r>
        <w:rPr>
          <w:rFonts w:hint="eastAsia" w:ascii="黑体" w:hAnsi="黑体" w:eastAsia="黑体"/>
          <w:kern w:val="2"/>
          <w:sz w:val="24"/>
          <w:szCs w:val="24"/>
          <w:lang w:val="zh-CN"/>
        </w:rPr>
        <w:t>九、国有资本经营预算支出决算情况说明</w:t>
      </w:r>
      <w:r>
        <w:rPr>
          <w:rFonts w:hint="default"/>
          <w:sz w:val="24"/>
          <w:szCs w:val="24"/>
        </w:rPr>
        <w:tab/>
      </w:r>
      <w:r>
        <w:rPr>
          <w:rFonts w:hint="default"/>
          <w:sz w:val="24"/>
          <w:szCs w:val="24"/>
        </w:rPr>
        <w:fldChar w:fldCharType="begin"/>
      </w:r>
      <w:r>
        <w:rPr>
          <w:rFonts w:hint="default"/>
          <w:sz w:val="24"/>
          <w:szCs w:val="24"/>
        </w:rPr>
        <w:instrText xml:space="preserve"> PAGEREF _Toc9948 \h </w:instrText>
      </w:r>
      <w:r>
        <w:rPr>
          <w:rFonts w:hint="default"/>
          <w:sz w:val="24"/>
          <w:szCs w:val="24"/>
        </w:rPr>
        <w:fldChar w:fldCharType="separate"/>
      </w:r>
      <w:r>
        <w:rPr>
          <w:rFonts w:hint="default"/>
          <w:sz w:val="24"/>
          <w:szCs w:val="24"/>
        </w:rPr>
        <w:t>15</w:t>
      </w:r>
      <w:r>
        <w:rPr>
          <w:rFonts w:hint="default"/>
          <w:sz w:val="24"/>
          <w:szCs w:val="24"/>
        </w:rPr>
        <w:fldChar w:fldCharType="end"/>
      </w:r>
      <w:r>
        <w:rPr>
          <w:rFonts w:hint="default"/>
          <w:sz w:val="24"/>
          <w:szCs w:val="24"/>
        </w:rPr>
        <w:fldChar w:fldCharType="end"/>
      </w:r>
    </w:p>
    <w:p w14:paraId="6FA1CDAF">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_Toc4904 </w:instrText>
      </w:r>
      <w:r>
        <w:rPr>
          <w:rFonts w:hint="default"/>
          <w:sz w:val="24"/>
          <w:szCs w:val="24"/>
        </w:rPr>
        <w:fldChar w:fldCharType="separate"/>
      </w:r>
      <w:r>
        <w:rPr>
          <w:rFonts w:hint="eastAsia" w:ascii="黑体" w:hAnsi="黑体" w:eastAsia="黑体"/>
          <w:kern w:val="2"/>
          <w:sz w:val="24"/>
          <w:szCs w:val="24"/>
          <w:lang w:val="zh-CN"/>
        </w:rPr>
        <w:t>十、其他重要事项的情况说明</w:t>
      </w:r>
      <w:r>
        <w:rPr>
          <w:rFonts w:hint="default"/>
          <w:sz w:val="24"/>
          <w:szCs w:val="24"/>
        </w:rPr>
        <w:tab/>
      </w:r>
      <w:r>
        <w:rPr>
          <w:rFonts w:hint="default"/>
          <w:sz w:val="24"/>
          <w:szCs w:val="24"/>
        </w:rPr>
        <w:fldChar w:fldCharType="begin"/>
      </w:r>
      <w:r>
        <w:rPr>
          <w:rFonts w:hint="default"/>
          <w:sz w:val="24"/>
          <w:szCs w:val="24"/>
        </w:rPr>
        <w:instrText xml:space="preserve"> PAGEREF _Toc4904 \h </w:instrText>
      </w:r>
      <w:r>
        <w:rPr>
          <w:rFonts w:hint="default"/>
          <w:sz w:val="24"/>
          <w:szCs w:val="24"/>
        </w:rPr>
        <w:fldChar w:fldCharType="separate"/>
      </w:r>
      <w:r>
        <w:rPr>
          <w:rFonts w:hint="default"/>
          <w:sz w:val="24"/>
          <w:szCs w:val="24"/>
        </w:rPr>
        <w:t>16</w:t>
      </w:r>
      <w:r>
        <w:rPr>
          <w:rFonts w:hint="default"/>
          <w:sz w:val="24"/>
          <w:szCs w:val="24"/>
        </w:rPr>
        <w:fldChar w:fldCharType="end"/>
      </w:r>
      <w:r>
        <w:rPr>
          <w:rFonts w:hint="default"/>
          <w:sz w:val="24"/>
          <w:szCs w:val="24"/>
        </w:rPr>
        <w:fldChar w:fldCharType="end"/>
      </w:r>
    </w:p>
    <w:p w14:paraId="05EAAF78">
      <w:pPr>
        <w:pStyle w:val="9"/>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_Toc16380 </w:instrText>
      </w:r>
      <w:r>
        <w:rPr>
          <w:rFonts w:hint="default"/>
          <w:sz w:val="24"/>
          <w:szCs w:val="24"/>
        </w:rPr>
        <w:fldChar w:fldCharType="separate"/>
      </w:r>
      <w:r>
        <w:rPr>
          <w:rFonts w:hint="eastAsia" w:ascii="黑体" w:hAnsi="黑体" w:eastAsia="黑体" w:cs="Times New Roman"/>
          <w:kern w:val="44"/>
          <w:sz w:val="24"/>
          <w:szCs w:val="24"/>
          <w:lang w:val="zh-CN"/>
        </w:rPr>
        <w:t>第三部分名词解释</w:t>
      </w:r>
      <w:r>
        <w:rPr>
          <w:rFonts w:hint="default"/>
          <w:sz w:val="24"/>
          <w:szCs w:val="24"/>
        </w:rPr>
        <w:tab/>
      </w:r>
      <w:r>
        <w:rPr>
          <w:rFonts w:hint="default"/>
          <w:sz w:val="24"/>
          <w:szCs w:val="24"/>
        </w:rPr>
        <w:fldChar w:fldCharType="begin"/>
      </w:r>
      <w:r>
        <w:rPr>
          <w:rFonts w:hint="default"/>
          <w:sz w:val="24"/>
          <w:szCs w:val="24"/>
        </w:rPr>
        <w:instrText xml:space="preserve"> PAGEREF _Toc16380 \h </w:instrText>
      </w:r>
      <w:r>
        <w:rPr>
          <w:rFonts w:hint="default"/>
          <w:sz w:val="24"/>
          <w:szCs w:val="24"/>
        </w:rPr>
        <w:fldChar w:fldCharType="separate"/>
      </w:r>
      <w:r>
        <w:rPr>
          <w:rFonts w:hint="default"/>
          <w:sz w:val="24"/>
          <w:szCs w:val="24"/>
        </w:rPr>
        <w:t>17</w:t>
      </w:r>
      <w:r>
        <w:rPr>
          <w:rFonts w:hint="default"/>
          <w:sz w:val="24"/>
          <w:szCs w:val="24"/>
        </w:rPr>
        <w:fldChar w:fldCharType="end"/>
      </w:r>
      <w:r>
        <w:rPr>
          <w:rFonts w:hint="default"/>
          <w:sz w:val="24"/>
          <w:szCs w:val="24"/>
        </w:rPr>
        <w:fldChar w:fldCharType="end"/>
      </w:r>
    </w:p>
    <w:p w14:paraId="0FFD95F6">
      <w:pPr>
        <w:pStyle w:val="9"/>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_Toc11592 </w:instrText>
      </w:r>
      <w:r>
        <w:rPr>
          <w:rFonts w:hint="default"/>
          <w:sz w:val="24"/>
          <w:szCs w:val="24"/>
        </w:rPr>
        <w:fldChar w:fldCharType="separate"/>
      </w:r>
      <w:r>
        <w:rPr>
          <w:rFonts w:hint="eastAsia" w:ascii="黑体" w:hAnsi="黑体" w:eastAsia="黑体" w:cs="Times New Roman"/>
          <w:kern w:val="44"/>
          <w:sz w:val="24"/>
          <w:szCs w:val="24"/>
          <w:lang w:val="en-US"/>
        </w:rPr>
        <w:t>第四部分附件</w:t>
      </w:r>
      <w:r>
        <w:rPr>
          <w:rFonts w:hint="default"/>
          <w:sz w:val="24"/>
          <w:szCs w:val="24"/>
        </w:rPr>
        <w:tab/>
      </w:r>
      <w:r>
        <w:rPr>
          <w:rFonts w:hint="default"/>
          <w:sz w:val="24"/>
          <w:szCs w:val="24"/>
        </w:rPr>
        <w:fldChar w:fldCharType="begin"/>
      </w:r>
      <w:r>
        <w:rPr>
          <w:rFonts w:hint="default"/>
          <w:sz w:val="24"/>
          <w:szCs w:val="24"/>
        </w:rPr>
        <w:instrText xml:space="preserve"> PAGEREF _Toc11592 \h </w:instrText>
      </w:r>
      <w:r>
        <w:rPr>
          <w:rFonts w:hint="default"/>
          <w:sz w:val="24"/>
          <w:szCs w:val="24"/>
        </w:rPr>
        <w:fldChar w:fldCharType="separate"/>
      </w:r>
      <w:r>
        <w:rPr>
          <w:rFonts w:hint="default"/>
          <w:sz w:val="24"/>
          <w:szCs w:val="24"/>
        </w:rPr>
        <w:t>22</w:t>
      </w:r>
      <w:r>
        <w:rPr>
          <w:rFonts w:hint="default"/>
          <w:sz w:val="24"/>
          <w:szCs w:val="24"/>
        </w:rPr>
        <w:fldChar w:fldCharType="end"/>
      </w:r>
      <w:r>
        <w:rPr>
          <w:rFonts w:hint="default"/>
          <w:sz w:val="24"/>
          <w:szCs w:val="24"/>
        </w:rPr>
        <w:fldChar w:fldCharType="end"/>
      </w:r>
    </w:p>
    <w:p w14:paraId="5D5E8D88">
      <w:pPr>
        <w:pStyle w:val="9"/>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_Toc28211 </w:instrText>
      </w:r>
      <w:r>
        <w:rPr>
          <w:rFonts w:hint="default"/>
          <w:sz w:val="24"/>
          <w:szCs w:val="24"/>
        </w:rPr>
        <w:fldChar w:fldCharType="separate"/>
      </w:r>
      <w:r>
        <w:rPr>
          <w:rFonts w:hint="eastAsia" w:ascii="黑体" w:hAnsi="黑体" w:eastAsia="黑体" w:cs="Times New Roman"/>
          <w:kern w:val="44"/>
          <w:sz w:val="24"/>
          <w:szCs w:val="24"/>
          <w:lang w:val="en-US"/>
        </w:rPr>
        <w:t>第五部分附表</w:t>
      </w:r>
      <w:r>
        <w:rPr>
          <w:rFonts w:hint="default"/>
          <w:sz w:val="24"/>
          <w:szCs w:val="24"/>
        </w:rPr>
        <w:tab/>
      </w:r>
      <w:r>
        <w:rPr>
          <w:rFonts w:hint="default"/>
          <w:sz w:val="24"/>
          <w:szCs w:val="24"/>
        </w:rPr>
        <w:fldChar w:fldCharType="begin"/>
      </w:r>
      <w:r>
        <w:rPr>
          <w:rFonts w:hint="default"/>
          <w:sz w:val="24"/>
          <w:szCs w:val="24"/>
        </w:rPr>
        <w:instrText xml:space="preserve"> PAGEREF _Toc28211 \h </w:instrText>
      </w:r>
      <w:r>
        <w:rPr>
          <w:rFonts w:hint="default"/>
          <w:sz w:val="24"/>
          <w:szCs w:val="24"/>
        </w:rPr>
        <w:fldChar w:fldCharType="separate"/>
      </w:r>
      <w:r>
        <w:rPr>
          <w:rFonts w:hint="default"/>
          <w:sz w:val="24"/>
          <w:szCs w:val="24"/>
        </w:rPr>
        <w:t>45</w:t>
      </w:r>
      <w:r>
        <w:rPr>
          <w:rFonts w:hint="default"/>
          <w:sz w:val="24"/>
          <w:szCs w:val="24"/>
        </w:rPr>
        <w:fldChar w:fldCharType="end"/>
      </w:r>
      <w:r>
        <w:rPr>
          <w:rFonts w:hint="default"/>
          <w:sz w:val="24"/>
          <w:szCs w:val="24"/>
        </w:rPr>
        <w:fldChar w:fldCharType="end"/>
      </w:r>
    </w:p>
    <w:p w14:paraId="0C30A9B6">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_Toc22264 </w:instrText>
      </w:r>
      <w:r>
        <w:rPr>
          <w:rFonts w:hint="default"/>
          <w:sz w:val="24"/>
          <w:szCs w:val="24"/>
        </w:rPr>
        <w:fldChar w:fldCharType="separate"/>
      </w:r>
      <w:r>
        <w:rPr>
          <w:rFonts w:hint="eastAsia" w:ascii="黑体" w:hAnsi="黑体" w:eastAsia="黑体" w:cs="黑体"/>
          <w:kern w:val="2"/>
          <w:sz w:val="24"/>
          <w:szCs w:val="24"/>
          <w:lang w:val="en-US"/>
        </w:rPr>
        <w:t>一、 收入支出决算总表</w:t>
      </w:r>
      <w:r>
        <w:rPr>
          <w:rFonts w:hint="default"/>
          <w:sz w:val="24"/>
          <w:szCs w:val="24"/>
        </w:rPr>
        <w:tab/>
      </w:r>
      <w:r>
        <w:rPr>
          <w:rFonts w:hint="default"/>
          <w:sz w:val="24"/>
          <w:szCs w:val="24"/>
        </w:rPr>
        <w:fldChar w:fldCharType="begin"/>
      </w:r>
      <w:r>
        <w:rPr>
          <w:rFonts w:hint="default"/>
          <w:sz w:val="24"/>
          <w:szCs w:val="24"/>
        </w:rPr>
        <w:instrText xml:space="preserve"> PAGEREF _Toc22264 \h </w:instrText>
      </w:r>
      <w:r>
        <w:rPr>
          <w:rFonts w:hint="default"/>
          <w:sz w:val="24"/>
          <w:szCs w:val="24"/>
        </w:rPr>
        <w:fldChar w:fldCharType="separate"/>
      </w:r>
      <w:r>
        <w:rPr>
          <w:rFonts w:hint="default"/>
          <w:sz w:val="24"/>
          <w:szCs w:val="24"/>
        </w:rPr>
        <w:t>45</w:t>
      </w:r>
      <w:r>
        <w:rPr>
          <w:rFonts w:hint="default"/>
          <w:sz w:val="24"/>
          <w:szCs w:val="24"/>
        </w:rPr>
        <w:fldChar w:fldCharType="end"/>
      </w:r>
      <w:r>
        <w:rPr>
          <w:rFonts w:hint="default"/>
          <w:sz w:val="24"/>
          <w:szCs w:val="24"/>
        </w:rPr>
        <w:fldChar w:fldCharType="end"/>
      </w:r>
    </w:p>
    <w:p w14:paraId="1356FF79">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_Toc9069 </w:instrText>
      </w:r>
      <w:r>
        <w:rPr>
          <w:rFonts w:hint="default"/>
          <w:sz w:val="24"/>
          <w:szCs w:val="24"/>
        </w:rPr>
        <w:fldChar w:fldCharType="separate"/>
      </w:r>
      <w:r>
        <w:rPr>
          <w:rFonts w:hint="eastAsia" w:ascii="黑体" w:hAnsi="黑体" w:eastAsia="黑体" w:cs="黑体"/>
          <w:kern w:val="2"/>
          <w:sz w:val="24"/>
          <w:szCs w:val="24"/>
          <w:lang w:val="en-US"/>
        </w:rPr>
        <w:t>二、 收入决算表</w:t>
      </w:r>
      <w:r>
        <w:rPr>
          <w:rFonts w:hint="default"/>
          <w:sz w:val="24"/>
          <w:szCs w:val="24"/>
        </w:rPr>
        <w:tab/>
      </w:r>
      <w:r>
        <w:rPr>
          <w:rFonts w:hint="default"/>
          <w:sz w:val="24"/>
          <w:szCs w:val="24"/>
        </w:rPr>
        <w:fldChar w:fldCharType="begin"/>
      </w:r>
      <w:r>
        <w:rPr>
          <w:rFonts w:hint="default"/>
          <w:sz w:val="24"/>
          <w:szCs w:val="24"/>
        </w:rPr>
        <w:instrText xml:space="preserve"> PAGEREF _Toc9069 \h </w:instrText>
      </w:r>
      <w:r>
        <w:rPr>
          <w:rFonts w:hint="default"/>
          <w:sz w:val="24"/>
          <w:szCs w:val="24"/>
        </w:rPr>
        <w:fldChar w:fldCharType="separate"/>
      </w:r>
      <w:r>
        <w:rPr>
          <w:rFonts w:hint="default"/>
          <w:sz w:val="24"/>
          <w:szCs w:val="24"/>
        </w:rPr>
        <w:t>45</w:t>
      </w:r>
      <w:r>
        <w:rPr>
          <w:rFonts w:hint="default"/>
          <w:sz w:val="24"/>
          <w:szCs w:val="24"/>
        </w:rPr>
        <w:fldChar w:fldCharType="end"/>
      </w:r>
      <w:r>
        <w:rPr>
          <w:rFonts w:hint="default"/>
          <w:sz w:val="24"/>
          <w:szCs w:val="24"/>
        </w:rPr>
        <w:fldChar w:fldCharType="end"/>
      </w:r>
    </w:p>
    <w:p w14:paraId="4705C5BF">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_Toc17736 </w:instrText>
      </w:r>
      <w:r>
        <w:rPr>
          <w:rFonts w:hint="default"/>
          <w:sz w:val="24"/>
          <w:szCs w:val="24"/>
        </w:rPr>
        <w:fldChar w:fldCharType="separate"/>
      </w:r>
      <w:r>
        <w:rPr>
          <w:rFonts w:hint="eastAsia" w:ascii="仿宋" w:hAnsi="仿宋" w:eastAsia="仿宋"/>
          <w:kern w:val="2"/>
          <w:sz w:val="24"/>
          <w:szCs w:val="24"/>
          <w:lang w:val="en-US"/>
        </w:rPr>
        <w:t xml:space="preserve">三、 </w:t>
      </w:r>
      <w:r>
        <w:rPr>
          <w:rFonts w:hint="eastAsia" w:ascii="黑体" w:hAnsi="黑体" w:eastAsia="黑体" w:cs="黑体"/>
          <w:kern w:val="2"/>
          <w:sz w:val="24"/>
          <w:szCs w:val="24"/>
          <w:lang w:val="en-US"/>
        </w:rPr>
        <w:t>支出决算表</w:t>
      </w:r>
      <w:r>
        <w:rPr>
          <w:rFonts w:hint="default"/>
          <w:sz w:val="24"/>
          <w:szCs w:val="24"/>
        </w:rPr>
        <w:tab/>
      </w:r>
      <w:r>
        <w:rPr>
          <w:rFonts w:hint="default"/>
          <w:sz w:val="24"/>
          <w:szCs w:val="24"/>
        </w:rPr>
        <w:fldChar w:fldCharType="begin"/>
      </w:r>
      <w:r>
        <w:rPr>
          <w:rFonts w:hint="default"/>
          <w:sz w:val="24"/>
          <w:szCs w:val="24"/>
        </w:rPr>
        <w:instrText xml:space="preserve"> PAGEREF _Toc17736 \h </w:instrText>
      </w:r>
      <w:r>
        <w:rPr>
          <w:rFonts w:hint="default"/>
          <w:sz w:val="24"/>
          <w:szCs w:val="24"/>
        </w:rPr>
        <w:fldChar w:fldCharType="separate"/>
      </w:r>
      <w:r>
        <w:rPr>
          <w:rFonts w:hint="default"/>
          <w:sz w:val="24"/>
          <w:szCs w:val="24"/>
        </w:rPr>
        <w:t>46</w:t>
      </w:r>
      <w:r>
        <w:rPr>
          <w:rFonts w:hint="default"/>
          <w:sz w:val="24"/>
          <w:szCs w:val="24"/>
        </w:rPr>
        <w:fldChar w:fldCharType="end"/>
      </w:r>
      <w:r>
        <w:rPr>
          <w:rFonts w:hint="default"/>
          <w:sz w:val="24"/>
          <w:szCs w:val="24"/>
        </w:rPr>
        <w:fldChar w:fldCharType="end"/>
      </w:r>
    </w:p>
    <w:p w14:paraId="0D85E74B">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_Toc16163 </w:instrText>
      </w:r>
      <w:r>
        <w:rPr>
          <w:rFonts w:hint="default"/>
          <w:sz w:val="24"/>
          <w:szCs w:val="24"/>
        </w:rPr>
        <w:fldChar w:fldCharType="separate"/>
      </w:r>
      <w:r>
        <w:rPr>
          <w:rFonts w:hint="eastAsia" w:ascii="黑体" w:hAnsi="黑体" w:eastAsia="黑体" w:cs="黑体"/>
          <w:kern w:val="2"/>
          <w:sz w:val="24"/>
          <w:szCs w:val="24"/>
          <w:lang w:val="en-US" w:eastAsia="zh-CN"/>
        </w:rPr>
        <w:t>四、</w:t>
      </w:r>
      <w:r>
        <w:rPr>
          <w:rFonts w:hint="eastAsia" w:ascii="黑体" w:hAnsi="黑体" w:eastAsia="黑体" w:cs="黑体"/>
          <w:kern w:val="2"/>
          <w:sz w:val="24"/>
          <w:szCs w:val="24"/>
          <w:lang w:val="en-US"/>
        </w:rPr>
        <w:t>财政拨款收入支出决算总表</w:t>
      </w:r>
      <w:r>
        <w:rPr>
          <w:rFonts w:hint="default"/>
          <w:sz w:val="24"/>
          <w:szCs w:val="24"/>
        </w:rPr>
        <w:tab/>
      </w:r>
      <w:r>
        <w:rPr>
          <w:rFonts w:hint="default"/>
          <w:sz w:val="24"/>
          <w:szCs w:val="24"/>
        </w:rPr>
        <w:fldChar w:fldCharType="begin"/>
      </w:r>
      <w:r>
        <w:rPr>
          <w:rFonts w:hint="default"/>
          <w:sz w:val="24"/>
          <w:szCs w:val="24"/>
        </w:rPr>
        <w:instrText xml:space="preserve"> PAGEREF _Toc16163 \h </w:instrText>
      </w:r>
      <w:r>
        <w:rPr>
          <w:rFonts w:hint="default"/>
          <w:sz w:val="24"/>
          <w:szCs w:val="24"/>
        </w:rPr>
        <w:fldChar w:fldCharType="separate"/>
      </w:r>
      <w:r>
        <w:rPr>
          <w:rFonts w:hint="default"/>
          <w:sz w:val="24"/>
          <w:szCs w:val="24"/>
        </w:rPr>
        <w:t>48</w:t>
      </w:r>
      <w:r>
        <w:rPr>
          <w:rFonts w:hint="default"/>
          <w:sz w:val="24"/>
          <w:szCs w:val="24"/>
        </w:rPr>
        <w:fldChar w:fldCharType="end"/>
      </w:r>
      <w:r>
        <w:rPr>
          <w:rFonts w:hint="default"/>
          <w:sz w:val="24"/>
          <w:szCs w:val="24"/>
        </w:rPr>
        <w:fldChar w:fldCharType="end"/>
      </w:r>
    </w:p>
    <w:p w14:paraId="256096EE">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_Toc10338 </w:instrText>
      </w:r>
      <w:r>
        <w:rPr>
          <w:rFonts w:hint="default"/>
          <w:sz w:val="24"/>
          <w:szCs w:val="24"/>
        </w:rPr>
        <w:fldChar w:fldCharType="separate"/>
      </w:r>
      <w:r>
        <w:rPr>
          <w:rFonts w:hint="eastAsia" w:ascii="黑体" w:hAnsi="黑体" w:eastAsia="黑体" w:cs="黑体"/>
          <w:kern w:val="2"/>
          <w:sz w:val="24"/>
          <w:szCs w:val="24"/>
          <w:lang w:val="en-US" w:eastAsia="zh-CN"/>
        </w:rPr>
        <w:t>五、</w:t>
      </w:r>
      <w:r>
        <w:rPr>
          <w:rFonts w:hint="eastAsia" w:ascii="黑体" w:hAnsi="黑体" w:eastAsia="黑体" w:cs="黑体"/>
          <w:kern w:val="2"/>
          <w:sz w:val="24"/>
          <w:szCs w:val="24"/>
          <w:lang w:val="en-US"/>
        </w:rPr>
        <w:t>财政拨款</w:t>
      </w:r>
      <w:r>
        <w:rPr>
          <w:rFonts w:hint="eastAsia" w:ascii="黑体" w:hAnsi="黑体" w:eastAsia="黑体" w:cs="黑体"/>
          <w:kern w:val="2"/>
          <w:sz w:val="24"/>
          <w:szCs w:val="24"/>
          <w:lang w:val="en-US" w:eastAsia="zh-CN"/>
        </w:rPr>
        <w:t>支出决算明细表</w:t>
      </w:r>
      <w:r>
        <w:rPr>
          <w:rFonts w:hint="default"/>
          <w:sz w:val="24"/>
          <w:szCs w:val="24"/>
        </w:rPr>
        <w:tab/>
      </w:r>
      <w:r>
        <w:rPr>
          <w:rFonts w:hint="default"/>
          <w:sz w:val="24"/>
          <w:szCs w:val="24"/>
        </w:rPr>
        <w:fldChar w:fldCharType="begin"/>
      </w:r>
      <w:r>
        <w:rPr>
          <w:rFonts w:hint="default"/>
          <w:sz w:val="24"/>
          <w:szCs w:val="24"/>
        </w:rPr>
        <w:instrText xml:space="preserve"> PAGEREF _Toc10338 \h </w:instrText>
      </w:r>
      <w:r>
        <w:rPr>
          <w:rFonts w:hint="default"/>
          <w:sz w:val="24"/>
          <w:szCs w:val="24"/>
        </w:rPr>
        <w:fldChar w:fldCharType="separate"/>
      </w:r>
      <w:r>
        <w:rPr>
          <w:rFonts w:hint="default"/>
          <w:sz w:val="24"/>
          <w:szCs w:val="24"/>
        </w:rPr>
        <w:t>49</w:t>
      </w:r>
      <w:r>
        <w:rPr>
          <w:rFonts w:hint="default"/>
          <w:sz w:val="24"/>
          <w:szCs w:val="24"/>
        </w:rPr>
        <w:fldChar w:fldCharType="end"/>
      </w:r>
      <w:r>
        <w:rPr>
          <w:rFonts w:hint="default"/>
          <w:sz w:val="24"/>
          <w:szCs w:val="24"/>
        </w:rPr>
        <w:fldChar w:fldCharType="end"/>
      </w:r>
    </w:p>
    <w:p w14:paraId="15DD2F5A">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_Toc15977 </w:instrText>
      </w:r>
      <w:r>
        <w:rPr>
          <w:rFonts w:hint="default"/>
          <w:sz w:val="24"/>
          <w:szCs w:val="24"/>
        </w:rPr>
        <w:fldChar w:fldCharType="separate"/>
      </w:r>
      <w:r>
        <w:rPr>
          <w:rFonts w:hint="eastAsia" w:ascii="黑体" w:hAnsi="黑体" w:eastAsia="黑体" w:cs="黑体"/>
          <w:kern w:val="2"/>
          <w:sz w:val="24"/>
          <w:szCs w:val="24"/>
          <w:lang w:val="en-US" w:eastAsia="zh-CN"/>
        </w:rPr>
        <w:t>六、</w:t>
      </w:r>
      <w:r>
        <w:rPr>
          <w:rFonts w:hint="eastAsia" w:ascii="黑体" w:hAnsi="黑体" w:eastAsia="黑体" w:cs="黑体"/>
          <w:kern w:val="2"/>
          <w:sz w:val="24"/>
          <w:szCs w:val="24"/>
          <w:lang w:val="en-US"/>
        </w:rPr>
        <w:t>一般公共预算财政拨款支出决算表</w:t>
      </w:r>
      <w:r>
        <w:rPr>
          <w:rFonts w:hint="default"/>
          <w:sz w:val="24"/>
          <w:szCs w:val="24"/>
        </w:rPr>
        <w:tab/>
      </w:r>
      <w:r>
        <w:rPr>
          <w:rFonts w:hint="default"/>
          <w:sz w:val="24"/>
          <w:szCs w:val="24"/>
        </w:rPr>
        <w:fldChar w:fldCharType="begin"/>
      </w:r>
      <w:r>
        <w:rPr>
          <w:rFonts w:hint="default"/>
          <w:sz w:val="24"/>
          <w:szCs w:val="24"/>
        </w:rPr>
        <w:instrText xml:space="preserve"> PAGEREF _Toc15977 \h </w:instrText>
      </w:r>
      <w:r>
        <w:rPr>
          <w:rFonts w:hint="default"/>
          <w:sz w:val="24"/>
          <w:szCs w:val="24"/>
        </w:rPr>
        <w:fldChar w:fldCharType="separate"/>
      </w:r>
      <w:r>
        <w:rPr>
          <w:rFonts w:hint="default"/>
          <w:sz w:val="24"/>
          <w:szCs w:val="24"/>
        </w:rPr>
        <w:t>50</w:t>
      </w:r>
      <w:r>
        <w:rPr>
          <w:rFonts w:hint="default"/>
          <w:sz w:val="24"/>
          <w:szCs w:val="24"/>
        </w:rPr>
        <w:fldChar w:fldCharType="end"/>
      </w:r>
      <w:r>
        <w:rPr>
          <w:rFonts w:hint="default"/>
          <w:sz w:val="24"/>
          <w:szCs w:val="24"/>
        </w:rPr>
        <w:fldChar w:fldCharType="end"/>
      </w:r>
    </w:p>
    <w:p w14:paraId="0AFF0F62">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_Toc15310 </w:instrText>
      </w:r>
      <w:r>
        <w:rPr>
          <w:rFonts w:hint="default"/>
          <w:sz w:val="24"/>
          <w:szCs w:val="24"/>
        </w:rPr>
        <w:fldChar w:fldCharType="separate"/>
      </w:r>
      <w:r>
        <w:rPr>
          <w:rFonts w:hint="eastAsia" w:ascii="黑体" w:hAnsi="黑体" w:eastAsia="黑体" w:cs="黑体"/>
          <w:kern w:val="2"/>
          <w:sz w:val="24"/>
          <w:szCs w:val="24"/>
          <w:lang w:val="en-US" w:eastAsia="zh-CN"/>
        </w:rPr>
        <w:t>七、</w:t>
      </w:r>
      <w:r>
        <w:rPr>
          <w:rFonts w:hint="eastAsia" w:ascii="黑体" w:hAnsi="黑体" w:eastAsia="黑体" w:cs="黑体"/>
          <w:kern w:val="2"/>
          <w:sz w:val="24"/>
          <w:szCs w:val="24"/>
          <w:lang w:val="en-US"/>
        </w:rPr>
        <w:t>一般公共预算财政拨款支出决算明细表</w:t>
      </w:r>
      <w:r>
        <w:rPr>
          <w:rFonts w:hint="default"/>
          <w:sz w:val="24"/>
          <w:szCs w:val="24"/>
        </w:rPr>
        <w:tab/>
      </w:r>
      <w:r>
        <w:rPr>
          <w:rFonts w:hint="default"/>
          <w:sz w:val="24"/>
          <w:szCs w:val="24"/>
        </w:rPr>
        <w:fldChar w:fldCharType="begin"/>
      </w:r>
      <w:r>
        <w:rPr>
          <w:rFonts w:hint="default"/>
          <w:sz w:val="24"/>
          <w:szCs w:val="24"/>
        </w:rPr>
        <w:instrText xml:space="preserve"> PAGEREF _Toc15310 \h </w:instrText>
      </w:r>
      <w:r>
        <w:rPr>
          <w:rFonts w:hint="default"/>
          <w:sz w:val="24"/>
          <w:szCs w:val="24"/>
        </w:rPr>
        <w:fldChar w:fldCharType="separate"/>
      </w:r>
      <w:r>
        <w:rPr>
          <w:rFonts w:hint="default"/>
          <w:sz w:val="24"/>
          <w:szCs w:val="24"/>
        </w:rPr>
        <w:t>51</w:t>
      </w:r>
      <w:r>
        <w:rPr>
          <w:rFonts w:hint="default"/>
          <w:sz w:val="24"/>
          <w:szCs w:val="24"/>
        </w:rPr>
        <w:fldChar w:fldCharType="end"/>
      </w:r>
      <w:r>
        <w:rPr>
          <w:rFonts w:hint="default"/>
          <w:sz w:val="24"/>
          <w:szCs w:val="24"/>
        </w:rPr>
        <w:fldChar w:fldCharType="end"/>
      </w:r>
    </w:p>
    <w:p w14:paraId="4C8A3DDF">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_Toc13138 </w:instrText>
      </w:r>
      <w:r>
        <w:rPr>
          <w:rFonts w:hint="default"/>
          <w:sz w:val="24"/>
          <w:szCs w:val="24"/>
        </w:rPr>
        <w:fldChar w:fldCharType="separate"/>
      </w:r>
      <w:r>
        <w:rPr>
          <w:rFonts w:hint="eastAsia" w:ascii="黑体" w:hAnsi="黑体" w:eastAsia="黑体" w:cs="黑体"/>
          <w:kern w:val="2"/>
          <w:sz w:val="24"/>
          <w:szCs w:val="24"/>
          <w:lang w:val="en-US" w:eastAsia="zh-CN"/>
        </w:rPr>
        <w:t>八、</w:t>
      </w:r>
      <w:r>
        <w:rPr>
          <w:rFonts w:hint="eastAsia" w:ascii="黑体" w:hAnsi="黑体" w:eastAsia="黑体" w:cs="黑体"/>
          <w:kern w:val="2"/>
          <w:sz w:val="24"/>
          <w:szCs w:val="24"/>
          <w:lang w:val="en-US"/>
        </w:rPr>
        <w:t>一般公共预算财政拨款基本支出决算表</w:t>
      </w:r>
      <w:r>
        <w:rPr>
          <w:rFonts w:hint="default"/>
          <w:sz w:val="24"/>
          <w:szCs w:val="24"/>
        </w:rPr>
        <w:tab/>
      </w:r>
      <w:r>
        <w:rPr>
          <w:rFonts w:hint="default"/>
          <w:sz w:val="24"/>
          <w:szCs w:val="24"/>
        </w:rPr>
        <w:fldChar w:fldCharType="begin"/>
      </w:r>
      <w:r>
        <w:rPr>
          <w:rFonts w:hint="default"/>
          <w:sz w:val="24"/>
          <w:szCs w:val="24"/>
        </w:rPr>
        <w:instrText xml:space="preserve"> PAGEREF _Toc13138 \h </w:instrText>
      </w:r>
      <w:r>
        <w:rPr>
          <w:rFonts w:hint="default"/>
          <w:sz w:val="24"/>
          <w:szCs w:val="24"/>
        </w:rPr>
        <w:fldChar w:fldCharType="separate"/>
      </w:r>
      <w:r>
        <w:rPr>
          <w:rFonts w:hint="default"/>
          <w:sz w:val="24"/>
          <w:szCs w:val="24"/>
        </w:rPr>
        <w:t>51</w:t>
      </w:r>
      <w:r>
        <w:rPr>
          <w:rFonts w:hint="default"/>
          <w:sz w:val="24"/>
          <w:szCs w:val="24"/>
        </w:rPr>
        <w:fldChar w:fldCharType="end"/>
      </w:r>
      <w:r>
        <w:rPr>
          <w:rFonts w:hint="default"/>
          <w:sz w:val="24"/>
          <w:szCs w:val="24"/>
        </w:rPr>
        <w:fldChar w:fldCharType="end"/>
      </w:r>
    </w:p>
    <w:p w14:paraId="149E4E23">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_Toc11337 </w:instrText>
      </w:r>
      <w:r>
        <w:rPr>
          <w:rFonts w:hint="default"/>
          <w:sz w:val="24"/>
          <w:szCs w:val="24"/>
        </w:rPr>
        <w:fldChar w:fldCharType="separate"/>
      </w:r>
      <w:r>
        <w:rPr>
          <w:rFonts w:hint="eastAsia" w:ascii="黑体" w:hAnsi="黑体" w:eastAsia="黑体" w:cs="黑体"/>
          <w:kern w:val="2"/>
          <w:sz w:val="24"/>
          <w:szCs w:val="24"/>
          <w:lang w:val="en-US" w:eastAsia="zh-CN"/>
        </w:rPr>
        <w:t>九、</w:t>
      </w:r>
      <w:r>
        <w:rPr>
          <w:rFonts w:hint="eastAsia" w:ascii="黑体" w:hAnsi="黑体" w:eastAsia="黑体" w:cs="黑体"/>
          <w:kern w:val="2"/>
          <w:sz w:val="24"/>
          <w:szCs w:val="24"/>
          <w:lang w:val="en-US"/>
        </w:rPr>
        <w:t>一般公共预算财政拨款项目支出决算表</w:t>
      </w:r>
      <w:r>
        <w:rPr>
          <w:rFonts w:hint="default"/>
          <w:sz w:val="24"/>
          <w:szCs w:val="24"/>
        </w:rPr>
        <w:tab/>
      </w:r>
      <w:r>
        <w:rPr>
          <w:rFonts w:hint="default"/>
          <w:sz w:val="24"/>
          <w:szCs w:val="24"/>
        </w:rPr>
        <w:fldChar w:fldCharType="begin"/>
      </w:r>
      <w:r>
        <w:rPr>
          <w:rFonts w:hint="default"/>
          <w:sz w:val="24"/>
          <w:szCs w:val="24"/>
        </w:rPr>
        <w:instrText xml:space="preserve"> PAGEREF _Toc11337 \h </w:instrText>
      </w:r>
      <w:r>
        <w:rPr>
          <w:rFonts w:hint="default"/>
          <w:sz w:val="24"/>
          <w:szCs w:val="24"/>
        </w:rPr>
        <w:fldChar w:fldCharType="separate"/>
      </w:r>
      <w:r>
        <w:rPr>
          <w:rFonts w:hint="default"/>
          <w:sz w:val="24"/>
          <w:szCs w:val="24"/>
        </w:rPr>
        <w:t>52</w:t>
      </w:r>
      <w:r>
        <w:rPr>
          <w:rFonts w:hint="default"/>
          <w:sz w:val="24"/>
          <w:szCs w:val="24"/>
        </w:rPr>
        <w:fldChar w:fldCharType="end"/>
      </w:r>
      <w:r>
        <w:rPr>
          <w:rFonts w:hint="default"/>
          <w:sz w:val="24"/>
          <w:szCs w:val="24"/>
        </w:rPr>
        <w:fldChar w:fldCharType="end"/>
      </w:r>
    </w:p>
    <w:p w14:paraId="622B4F5B">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_Toc3946 </w:instrText>
      </w:r>
      <w:r>
        <w:rPr>
          <w:rFonts w:hint="default"/>
          <w:sz w:val="24"/>
          <w:szCs w:val="24"/>
        </w:rPr>
        <w:fldChar w:fldCharType="separate"/>
      </w:r>
      <w:r>
        <w:rPr>
          <w:rFonts w:hint="eastAsia" w:ascii="黑体" w:hAnsi="黑体" w:eastAsia="黑体" w:cs="黑体"/>
          <w:kern w:val="2"/>
          <w:sz w:val="24"/>
          <w:szCs w:val="24"/>
          <w:lang w:val="en-US" w:eastAsia="zh-CN"/>
        </w:rPr>
        <w:t>十、</w:t>
      </w:r>
      <w:r>
        <w:rPr>
          <w:rFonts w:hint="eastAsia" w:ascii="黑体" w:hAnsi="黑体" w:eastAsia="黑体" w:cs="黑体"/>
          <w:kern w:val="2"/>
          <w:sz w:val="24"/>
          <w:szCs w:val="24"/>
          <w:lang w:val="en-US"/>
        </w:rPr>
        <w:t>政府性基金预算财政拨款收入支出决算表</w:t>
      </w:r>
      <w:r>
        <w:rPr>
          <w:rFonts w:hint="default"/>
          <w:sz w:val="24"/>
          <w:szCs w:val="24"/>
        </w:rPr>
        <w:tab/>
      </w:r>
      <w:r>
        <w:rPr>
          <w:rFonts w:hint="default"/>
          <w:sz w:val="24"/>
          <w:szCs w:val="24"/>
        </w:rPr>
        <w:fldChar w:fldCharType="begin"/>
      </w:r>
      <w:r>
        <w:rPr>
          <w:rFonts w:hint="default"/>
          <w:sz w:val="24"/>
          <w:szCs w:val="24"/>
        </w:rPr>
        <w:instrText xml:space="preserve"> PAGEREF _Toc3946 \h </w:instrText>
      </w:r>
      <w:r>
        <w:rPr>
          <w:rFonts w:hint="default"/>
          <w:sz w:val="24"/>
          <w:szCs w:val="24"/>
        </w:rPr>
        <w:fldChar w:fldCharType="separate"/>
      </w:r>
      <w:r>
        <w:rPr>
          <w:rFonts w:hint="default"/>
          <w:sz w:val="24"/>
          <w:szCs w:val="24"/>
        </w:rPr>
        <w:t>53</w:t>
      </w:r>
      <w:r>
        <w:rPr>
          <w:rFonts w:hint="default"/>
          <w:sz w:val="24"/>
          <w:szCs w:val="24"/>
        </w:rPr>
        <w:fldChar w:fldCharType="end"/>
      </w:r>
      <w:r>
        <w:rPr>
          <w:rFonts w:hint="default"/>
          <w:sz w:val="24"/>
          <w:szCs w:val="24"/>
        </w:rPr>
        <w:fldChar w:fldCharType="end"/>
      </w:r>
    </w:p>
    <w:p w14:paraId="32CB85C7">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_Toc2053 </w:instrText>
      </w:r>
      <w:r>
        <w:rPr>
          <w:rFonts w:hint="default"/>
          <w:sz w:val="24"/>
          <w:szCs w:val="24"/>
        </w:rPr>
        <w:fldChar w:fldCharType="separate"/>
      </w:r>
      <w:r>
        <w:rPr>
          <w:rFonts w:hint="eastAsia" w:ascii="黑体" w:hAnsi="黑体" w:eastAsia="黑体" w:cs="黑体"/>
          <w:kern w:val="2"/>
          <w:sz w:val="24"/>
          <w:szCs w:val="24"/>
          <w:lang w:val="en-US" w:eastAsia="zh-CN"/>
        </w:rPr>
        <w:t>十一、</w:t>
      </w:r>
      <w:r>
        <w:rPr>
          <w:rFonts w:hint="eastAsia" w:ascii="黑体" w:hAnsi="黑体" w:eastAsia="黑体" w:cs="黑体"/>
          <w:kern w:val="2"/>
          <w:sz w:val="24"/>
          <w:szCs w:val="24"/>
          <w:lang w:val="en-US"/>
        </w:rPr>
        <w:t>国有资本经营预算财政拨款收入支出决算表</w:t>
      </w:r>
      <w:r>
        <w:rPr>
          <w:rFonts w:hint="default"/>
          <w:sz w:val="24"/>
          <w:szCs w:val="24"/>
        </w:rPr>
        <w:tab/>
      </w:r>
      <w:r>
        <w:rPr>
          <w:rFonts w:hint="default"/>
          <w:sz w:val="24"/>
          <w:szCs w:val="24"/>
        </w:rPr>
        <w:fldChar w:fldCharType="begin"/>
      </w:r>
      <w:r>
        <w:rPr>
          <w:rFonts w:hint="default"/>
          <w:sz w:val="24"/>
          <w:szCs w:val="24"/>
        </w:rPr>
        <w:instrText xml:space="preserve"> PAGEREF _Toc2053 \h </w:instrText>
      </w:r>
      <w:r>
        <w:rPr>
          <w:rFonts w:hint="default"/>
          <w:sz w:val="24"/>
          <w:szCs w:val="24"/>
        </w:rPr>
        <w:fldChar w:fldCharType="separate"/>
      </w:r>
      <w:r>
        <w:rPr>
          <w:rFonts w:hint="default"/>
          <w:sz w:val="24"/>
          <w:szCs w:val="24"/>
        </w:rPr>
        <w:t>53</w:t>
      </w:r>
      <w:r>
        <w:rPr>
          <w:rFonts w:hint="default"/>
          <w:sz w:val="24"/>
          <w:szCs w:val="24"/>
        </w:rPr>
        <w:fldChar w:fldCharType="end"/>
      </w:r>
      <w:r>
        <w:rPr>
          <w:rFonts w:hint="default"/>
          <w:sz w:val="24"/>
          <w:szCs w:val="24"/>
        </w:rPr>
        <w:fldChar w:fldCharType="end"/>
      </w:r>
    </w:p>
    <w:p w14:paraId="61BD4950">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_Toc8176 </w:instrText>
      </w:r>
      <w:r>
        <w:rPr>
          <w:rFonts w:hint="default"/>
          <w:sz w:val="24"/>
          <w:szCs w:val="24"/>
        </w:rPr>
        <w:fldChar w:fldCharType="separate"/>
      </w:r>
      <w:r>
        <w:rPr>
          <w:rFonts w:hint="eastAsia" w:ascii="黑体" w:hAnsi="黑体" w:eastAsia="黑体" w:cs="黑体"/>
          <w:kern w:val="2"/>
          <w:sz w:val="24"/>
          <w:szCs w:val="24"/>
          <w:lang w:val="en-US" w:eastAsia="zh-CN"/>
        </w:rPr>
        <w:t>十二、</w:t>
      </w:r>
      <w:r>
        <w:rPr>
          <w:rFonts w:hint="eastAsia" w:ascii="黑体" w:hAnsi="黑体" w:eastAsia="黑体" w:cs="黑体"/>
          <w:kern w:val="2"/>
          <w:sz w:val="24"/>
          <w:szCs w:val="24"/>
          <w:lang w:val="en-US"/>
        </w:rPr>
        <w:t>国有资本经营预算财政拨款支出决算表</w:t>
      </w:r>
      <w:r>
        <w:rPr>
          <w:rFonts w:hint="default"/>
          <w:sz w:val="24"/>
          <w:szCs w:val="24"/>
        </w:rPr>
        <w:tab/>
      </w:r>
      <w:r>
        <w:rPr>
          <w:rFonts w:hint="default"/>
          <w:sz w:val="24"/>
          <w:szCs w:val="24"/>
        </w:rPr>
        <w:fldChar w:fldCharType="begin"/>
      </w:r>
      <w:r>
        <w:rPr>
          <w:rFonts w:hint="default"/>
          <w:sz w:val="24"/>
          <w:szCs w:val="24"/>
        </w:rPr>
        <w:instrText xml:space="preserve"> PAGEREF _Toc8176 \h </w:instrText>
      </w:r>
      <w:r>
        <w:rPr>
          <w:rFonts w:hint="default"/>
          <w:sz w:val="24"/>
          <w:szCs w:val="24"/>
        </w:rPr>
        <w:fldChar w:fldCharType="separate"/>
      </w:r>
      <w:r>
        <w:rPr>
          <w:rFonts w:hint="default"/>
          <w:sz w:val="24"/>
          <w:szCs w:val="24"/>
        </w:rPr>
        <w:t>54</w:t>
      </w:r>
      <w:r>
        <w:rPr>
          <w:rFonts w:hint="default"/>
          <w:sz w:val="24"/>
          <w:szCs w:val="24"/>
        </w:rPr>
        <w:fldChar w:fldCharType="end"/>
      </w:r>
      <w:r>
        <w:rPr>
          <w:rFonts w:hint="default"/>
          <w:sz w:val="24"/>
          <w:szCs w:val="24"/>
        </w:rPr>
        <w:fldChar w:fldCharType="end"/>
      </w:r>
    </w:p>
    <w:p w14:paraId="76C86CC3">
      <w:pPr>
        <w:pStyle w:val="10"/>
        <w:tabs>
          <w:tab w:val="right" w:leader="dot" w:pos="8640"/>
        </w:tabs>
        <w:rPr>
          <w:rFonts w:hint="default"/>
          <w:sz w:val="24"/>
          <w:szCs w:val="24"/>
        </w:rPr>
      </w:pPr>
      <w:r>
        <w:rPr>
          <w:rFonts w:hint="default"/>
          <w:sz w:val="24"/>
          <w:szCs w:val="24"/>
        </w:rPr>
        <w:fldChar w:fldCharType="begin"/>
      </w:r>
      <w:r>
        <w:rPr>
          <w:rFonts w:hint="default"/>
          <w:sz w:val="24"/>
          <w:szCs w:val="24"/>
        </w:rPr>
        <w:instrText xml:space="preserve"> HYPERLINK \l _Toc29645 </w:instrText>
      </w:r>
      <w:r>
        <w:rPr>
          <w:rFonts w:hint="default"/>
          <w:sz w:val="24"/>
          <w:szCs w:val="24"/>
        </w:rPr>
        <w:fldChar w:fldCharType="separate"/>
      </w:r>
      <w:r>
        <w:rPr>
          <w:rFonts w:hint="eastAsia" w:ascii="黑体" w:hAnsi="黑体" w:eastAsia="黑体" w:cs="黑体"/>
          <w:kern w:val="2"/>
          <w:sz w:val="24"/>
          <w:szCs w:val="24"/>
          <w:lang w:val="en-US" w:eastAsia="zh-CN"/>
        </w:rPr>
        <w:t>十三、</w:t>
      </w:r>
      <w:r>
        <w:rPr>
          <w:rFonts w:hint="eastAsia" w:ascii="黑体" w:hAnsi="黑体" w:eastAsia="黑体" w:cs="黑体"/>
          <w:kern w:val="2"/>
          <w:sz w:val="24"/>
          <w:szCs w:val="24"/>
          <w:lang w:val="en-US"/>
        </w:rPr>
        <w:t>财政拨款“三公”经费支出决算表</w:t>
      </w:r>
      <w:r>
        <w:rPr>
          <w:rFonts w:hint="default"/>
          <w:sz w:val="24"/>
          <w:szCs w:val="24"/>
        </w:rPr>
        <w:tab/>
      </w:r>
      <w:r>
        <w:rPr>
          <w:rFonts w:hint="default"/>
          <w:sz w:val="24"/>
          <w:szCs w:val="24"/>
        </w:rPr>
        <w:fldChar w:fldCharType="begin"/>
      </w:r>
      <w:r>
        <w:rPr>
          <w:rFonts w:hint="default"/>
          <w:sz w:val="24"/>
          <w:szCs w:val="24"/>
        </w:rPr>
        <w:instrText xml:space="preserve"> PAGEREF _Toc29645 \h </w:instrText>
      </w:r>
      <w:r>
        <w:rPr>
          <w:rFonts w:hint="default"/>
          <w:sz w:val="24"/>
          <w:szCs w:val="24"/>
        </w:rPr>
        <w:fldChar w:fldCharType="separate"/>
      </w:r>
      <w:r>
        <w:rPr>
          <w:rFonts w:hint="default"/>
          <w:sz w:val="24"/>
          <w:szCs w:val="24"/>
        </w:rPr>
        <w:t>54</w:t>
      </w:r>
      <w:r>
        <w:rPr>
          <w:rFonts w:hint="default"/>
          <w:sz w:val="24"/>
          <w:szCs w:val="24"/>
        </w:rPr>
        <w:fldChar w:fldCharType="end"/>
      </w:r>
      <w:r>
        <w:rPr>
          <w:rFonts w:hint="default"/>
          <w:sz w:val="24"/>
          <w:szCs w:val="24"/>
        </w:rPr>
        <w:fldChar w:fldCharType="end"/>
      </w:r>
    </w:p>
    <w:p w14:paraId="2798439B">
      <w:pPr>
        <w:pStyle w:val="9"/>
        <w:tabs>
          <w:tab w:val="right" w:leader="dot" w:pos="8640"/>
        </w:tabs>
        <w:rPr>
          <w:rFonts w:hint="default"/>
          <w:sz w:val="24"/>
          <w:szCs w:val="24"/>
        </w:rPr>
      </w:pPr>
      <w:r>
        <w:rPr>
          <w:rFonts w:hint="default"/>
          <w:sz w:val="24"/>
          <w:szCs w:val="24"/>
        </w:rPr>
        <w:fldChar w:fldCharType="end"/>
      </w:r>
    </w:p>
    <w:p w14:paraId="522BCA28">
      <w:pPr>
        <w:keepNext/>
        <w:spacing w:line="440" w:lineRule="exact"/>
        <w:rPr>
          <w:rFonts w:hint="eastAsia" w:ascii="仿宋" w:hAnsi="仿宋" w:eastAsia="仿宋"/>
          <w:color w:val="auto"/>
          <w:kern w:val="44"/>
          <w:sz w:val="24"/>
          <w:szCs w:val="24"/>
          <w:lang w:val="zh-CN"/>
        </w:rPr>
        <w:sectPr>
          <w:pgSz w:w="12240" w:h="15840"/>
          <w:pgMar w:top="1440" w:right="1800" w:bottom="1440" w:left="1800" w:header="720" w:footer="720" w:gutter="0"/>
          <w:lnNumType w:countBy="0" w:distance="360"/>
          <w:cols w:space="720" w:num="1"/>
        </w:sectPr>
      </w:pPr>
    </w:p>
    <w:p w14:paraId="279F4FA8">
      <w:pPr>
        <w:pStyle w:val="2"/>
        <w:spacing w:beforeLines="0" w:afterLines="0"/>
        <w:rPr>
          <w:rFonts w:hint="eastAsia"/>
          <w:sz w:val="21"/>
          <w:szCs w:val="24"/>
          <w:lang w:val="zh-CN"/>
        </w:rPr>
      </w:pPr>
    </w:p>
    <w:p w14:paraId="2951F108">
      <w:pPr>
        <w:pStyle w:val="3"/>
        <w:keepNext/>
        <w:spacing w:before="340" w:after="330" w:line="576" w:lineRule="auto"/>
        <w:jc w:val="center"/>
        <w:rPr>
          <w:rFonts w:hint="eastAsia" w:ascii="黑体" w:hAnsi="黑体" w:eastAsia="黑体"/>
          <w:b/>
          <w:color w:val="auto"/>
          <w:kern w:val="44"/>
          <w:sz w:val="44"/>
          <w:szCs w:val="24"/>
          <w:lang w:val="zh-CN"/>
        </w:rPr>
      </w:pPr>
      <w:bookmarkStart w:id="0" w:name="_Toc107"/>
      <w:bookmarkStart w:id="1" w:name="_Toc23006"/>
      <w:r>
        <w:rPr>
          <w:rFonts w:hint="eastAsia" w:ascii="黑体" w:hAnsi="黑体" w:eastAsia="黑体"/>
          <w:color w:val="auto"/>
          <w:kern w:val="44"/>
          <w:sz w:val="44"/>
          <w:szCs w:val="24"/>
          <w:lang w:val="zh-CN"/>
        </w:rPr>
        <w:t>第一部分部门概况</w:t>
      </w:r>
      <w:bookmarkEnd w:id="0"/>
      <w:bookmarkEnd w:id="1"/>
    </w:p>
    <w:p w14:paraId="6AF644A4">
      <w:pPr>
        <w:pStyle w:val="4"/>
        <w:keepNext/>
        <w:numPr>
          <w:ilvl w:val="0"/>
          <w:numId w:val="1"/>
        </w:numPr>
        <w:spacing w:before="260" w:after="260" w:line="576" w:lineRule="exact"/>
        <w:ind w:firstLine="640"/>
        <w:jc w:val="both"/>
        <w:rPr>
          <w:rFonts w:hint="eastAsia" w:ascii="黑体" w:hAnsi="黑体" w:eastAsia="黑体"/>
          <w:color w:val="auto"/>
          <w:kern w:val="2"/>
          <w:sz w:val="32"/>
          <w:szCs w:val="24"/>
          <w:lang w:val="zh-CN"/>
        </w:rPr>
      </w:pPr>
      <w:bookmarkStart w:id="2" w:name="_Toc8528"/>
      <w:bookmarkStart w:id="3" w:name="_Toc32231"/>
      <w:r>
        <w:rPr>
          <w:rFonts w:hint="eastAsia" w:ascii="黑体" w:hAnsi="黑体" w:eastAsia="黑体"/>
          <w:color w:val="000000"/>
          <w:kern w:val="2"/>
          <w:sz w:val="32"/>
          <w:szCs w:val="24"/>
          <w:lang w:val="zh-CN"/>
        </w:rPr>
        <w:t>部门</w:t>
      </w:r>
      <w:r>
        <w:rPr>
          <w:rFonts w:hint="eastAsia" w:ascii="黑体" w:hAnsi="黑体" w:eastAsia="黑体"/>
          <w:color w:val="auto"/>
          <w:kern w:val="2"/>
          <w:sz w:val="32"/>
          <w:szCs w:val="24"/>
          <w:lang w:val="zh-CN"/>
        </w:rPr>
        <w:t>职责</w:t>
      </w:r>
      <w:bookmarkEnd w:id="2"/>
      <w:bookmarkEnd w:id="3"/>
    </w:p>
    <w:p w14:paraId="5A4B481B">
      <w:pPr>
        <w:keepNext/>
        <w:ind w:firstLine="640" w:firstLineChars="200"/>
        <w:rPr>
          <w:rFonts w:hint="eastAsia" w:ascii="仿宋" w:hAnsi="仿宋" w:eastAsia="仿宋"/>
          <w:color w:val="auto"/>
          <w:kern w:val="2"/>
          <w:sz w:val="32"/>
          <w:szCs w:val="24"/>
          <w:lang w:val="zh-CN"/>
        </w:rPr>
      </w:pPr>
      <w:r>
        <w:rPr>
          <w:rFonts w:hint="eastAsia" w:ascii="仿宋" w:hAnsi="仿宋" w:eastAsia="仿宋"/>
          <w:color w:val="auto"/>
          <w:kern w:val="2"/>
          <w:sz w:val="32"/>
          <w:szCs w:val="24"/>
          <w:lang w:val="zh-CN"/>
        </w:rPr>
        <w:t>（1）党政办公室。负责党委、人大、政府日常事务和综合协调工作；负责机要保密、文秘档案、目标绩效、考核管理、政务公开、信息调研、财务审计、公务服务、机关事务、后勤保障及综合协调等工作；负责检查督促其他各综合办事机构完成下达的任务。</w:t>
      </w:r>
    </w:p>
    <w:p w14:paraId="0D1E5394">
      <w:pPr>
        <w:keepNext/>
        <w:ind w:firstLine="640" w:firstLineChars="200"/>
        <w:rPr>
          <w:rFonts w:hint="eastAsia" w:ascii="仿宋" w:hAnsi="仿宋" w:eastAsia="仿宋"/>
          <w:color w:val="auto"/>
          <w:kern w:val="2"/>
          <w:sz w:val="32"/>
          <w:szCs w:val="24"/>
          <w:lang w:val="zh-CN"/>
        </w:rPr>
      </w:pPr>
      <w:r>
        <w:rPr>
          <w:rFonts w:hint="eastAsia" w:ascii="仿宋" w:hAnsi="仿宋" w:eastAsia="仿宋"/>
          <w:color w:val="auto"/>
          <w:kern w:val="2"/>
          <w:sz w:val="32"/>
          <w:szCs w:val="24"/>
          <w:lang w:val="zh-CN"/>
        </w:rPr>
        <w:t>（2）党建办公室。负责乡镇党委自身建设和下级党组织建设以及其他隶属乡镇党委的党组织建设相关工作；负责纪检监察、党风廉政建设、组织人事、精神文明建设、意识形态、宣传教育、统一战线、民族宗教、机构编制、巡察、侨(台)务等工作；负责人民武装、征兵和预备役等工作；承担考核奖惩及职称评聘等工作；负责统筹"两代表一委员"相关工作。指导工会、共青团、妇联、科协等群团工作以及关心下一代工作。</w:t>
      </w:r>
    </w:p>
    <w:p w14:paraId="38B10B85">
      <w:pPr>
        <w:keepNext/>
        <w:ind w:firstLine="640" w:firstLineChars="200"/>
        <w:rPr>
          <w:rFonts w:hint="eastAsia" w:ascii="仿宋" w:hAnsi="仿宋" w:eastAsia="仿宋"/>
          <w:color w:val="auto"/>
          <w:kern w:val="2"/>
          <w:sz w:val="32"/>
          <w:szCs w:val="24"/>
          <w:lang w:val="zh-CN"/>
        </w:rPr>
      </w:pPr>
      <w:r>
        <w:rPr>
          <w:rFonts w:hint="eastAsia" w:ascii="仿宋" w:hAnsi="仿宋" w:eastAsia="仿宋"/>
          <w:color w:val="auto"/>
          <w:kern w:val="2"/>
          <w:sz w:val="32"/>
          <w:szCs w:val="24"/>
          <w:lang w:val="zh-CN"/>
        </w:rPr>
        <w:t>（3）综合行政执法办公室。在乡镇党委统一领导下开展工作，代表政府履行明确赋予或授权的行政执法职责。负责统筹组织协调辖区内相关县级职能部门的派驻(出)执法力量实行综合行政执法；落实行政执法责任制，规范行政执法程序和行为，建立行政执法全过程记录制度和推进行政执法公示制度，协助县级相关部门开展监督检查工作，配合查处违反法律法规的案件，搞好执法衔接；做好行政执法日常管理、监督考评工作；负责督促行政执法人员的业务培训，逐步提高执法人员持证率。</w:t>
      </w:r>
    </w:p>
    <w:p w14:paraId="591F0188">
      <w:pPr>
        <w:keepNext/>
        <w:ind w:firstLine="640" w:firstLineChars="200"/>
        <w:rPr>
          <w:rFonts w:hint="eastAsia" w:ascii="仿宋" w:hAnsi="仿宋" w:eastAsia="仿宋"/>
          <w:color w:val="auto"/>
          <w:kern w:val="2"/>
          <w:sz w:val="32"/>
          <w:szCs w:val="24"/>
          <w:lang w:val="zh-CN"/>
        </w:rPr>
      </w:pPr>
      <w:r>
        <w:rPr>
          <w:rFonts w:hint="eastAsia" w:ascii="仿宋" w:hAnsi="仿宋" w:eastAsia="仿宋"/>
          <w:color w:val="auto"/>
          <w:kern w:val="2"/>
          <w:sz w:val="32"/>
          <w:szCs w:val="24"/>
          <w:lang w:val="zh-CN"/>
        </w:rPr>
        <w:t>（4）社会事务办公室。主要承担指导推进公共事务和综合管理等职责。负责教育体育、文化旅游、广播电视、卫生健康、医保、社保、劳动保障、民政、公益、退役军人事务、民族宗教、残疾人、农民工和其他与社会事务相关工作；根据法定职能或受委托承担辖区内行政审批、证照办理、政策咨询、科技信息等工作；负责便民服务办事窗口的日常管理与运行保障；指导便民服务中心和辖区内村(社区)居民委员会工作。</w:t>
      </w:r>
    </w:p>
    <w:p w14:paraId="4E7A51E0">
      <w:pPr>
        <w:keepNext/>
        <w:ind w:firstLine="640" w:firstLineChars="200"/>
        <w:rPr>
          <w:rFonts w:hint="eastAsia" w:ascii="仿宋" w:hAnsi="仿宋" w:eastAsia="仿宋"/>
          <w:color w:val="auto"/>
          <w:kern w:val="2"/>
          <w:sz w:val="32"/>
          <w:szCs w:val="24"/>
          <w:lang w:val="zh-CN"/>
        </w:rPr>
      </w:pPr>
      <w:r>
        <w:rPr>
          <w:rFonts w:hint="eastAsia" w:ascii="仿宋" w:hAnsi="仿宋" w:eastAsia="仿宋"/>
          <w:color w:val="auto"/>
          <w:kern w:val="2"/>
          <w:sz w:val="32"/>
          <w:szCs w:val="24"/>
          <w:lang w:val="zh-CN"/>
        </w:rPr>
        <w:t>（5）经济发展办公室(乡村振兴办公室)。负责经济工作的指导、协调、服务和监督管理，拟订经济发展规划并组织实施。负责辖区内经济发展、一二三产业发展、粮食安全、民营经济、军民融合、商贸物流、乡村振兴、农林牧副渔业生产、渔业行政管理、农业结构调整、农产品营销、科技推广、村镇建设规划和管理、交通建设、征地拆迁、易地搬迁、统计、信息化、土地管理、农村土地承包和流转管理、农村宅基地改革与管理、农民专业合作组织管理、农民负担监督管理、农村经营管理、农村产权交易等工作；负责本乡镇农村集体“三资”管理的指导、服务、监督和农村集体"三资"委托代理工作；负责辖区内农村住房建设监督管理和村镇建设有关工作；负责优化营商环境建设，承担国家、省、市重点项目的相关协调服务工作；负责投资立项申报、项目促建、对外开放、招商引资等工作；承担社会信用体系建设工作。落实耕地和永久基本农田保护责任，促进农业生产和社会经济的可持续发展。协助有关部门做好人民防空组织体系建设和既有房屋安全管理工作。</w:t>
      </w:r>
    </w:p>
    <w:p w14:paraId="586F2903">
      <w:pPr>
        <w:keepNext/>
        <w:ind w:firstLine="640" w:firstLineChars="200"/>
        <w:rPr>
          <w:rFonts w:hint="eastAsia" w:ascii="仿宋" w:hAnsi="仿宋" w:eastAsia="仿宋"/>
          <w:color w:val="auto"/>
          <w:kern w:val="2"/>
          <w:sz w:val="32"/>
          <w:szCs w:val="24"/>
          <w:lang w:val="zh-CN"/>
        </w:rPr>
      </w:pPr>
      <w:r>
        <w:rPr>
          <w:rFonts w:hint="eastAsia" w:ascii="仿宋" w:hAnsi="仿宋" w:eastAsia="仿宋"/>
          <w:color w:val="auto"/>
          <w:kern w:val="2"/>
          <w:sz w:val="32"/>
          <w:szCs w:val="24"/>
          <w:lang w:val="zh-CN"/>
        </w:rPr>
        <w:t>（6）社会治理办公室。负责协调推进城乡基层治理相关具体工作。负责基层社会治理防控体系建设和社会治理综合信息平台运行的管理保障；负责村民自治工作；负责政法工作；负责民主法治、综合治理、防邪维稳、法律服务、平安乡村建设、群防群治、流动人口管理、大数据分析、村(社区)网格化管理等相关工作；承担信访、矛盾纠纷排查调处、群众工作；负责依法治理、司法、国家安全人民防线建设等相关工作；配合做好扫黄打非、禁毒相关工作。</w:t>
      </w:r>
    </w:p>
    <w:p w14:paraId="18D298F8">
      <w:pPr>
        <w:keepNext/>
        <w:ind w:firstLine="640" w:firstLineChars="200"/>
        <w:rPr>
          <w:rFonts w:hint="eastAsia" w:ascii="仿宋" w:hAnsi="仿宋" w:eastAsia="仿宋"/>
          <w:color w:val="auto"/>
          <w:kern w:val="2"/>
          <w:sz w:val="32"/>
          <w:szCs w:val="24"/>
          <w:lang w:val="zh-CN"/>
        </w:rPr>
      </w:pPr>
      <w:r>
        <w:rPr>
          <w:rFonts w:hint="eastAsia" w:ascii="仿宋" w:hAnsi="仿宋" w:eastAsia="仿宋"/>
          <w:color w:val="auto"/>
          <w:kern w:val="2"/>
          <w:sz w:val="32"/>
          <w:szCs w:val="24"/>
          <w:lang w:val="zh-CN"/>
        </w:rPr>
        <w:t>（7）财政所。贯彻执行各项财经纪律、法规和规章制度，负责编报年度财政收支预算、决算并组织预算执行。负责各项强农惠民补贴资金的审核发放和项目建设资金的监督管理；负责管理所在乡镇国有资产和政府性债权债务，指导、监督所在乡镇行政事业单位财务管理，负责所在乡镇财务信息公开工作；负责本乡镇农村集体经济组织财务会计工作的管理和监督，配合经济发展办公室做好农村集体"三资"管理的监督工作。协助税务机关和非税收入执收部门征缴财政收入，协助有关机构代收代缴各类社会保障资金。</w:t>
      </w:r>
    </w:p>
    <w:p w14:paraId="0BF8DD1A">
      <w:pPr>
        <w:keepNext/>
        <w:ind w:firstLine="640" w:firstLineChars="200"/>
        <w:rPr>
          <w:rFonts w:hint="eastAsia" w:ascii="仿宋" w:hAnsi="仿宋" w:eastAsia="仿宋"/>
          <w:color w:val="auto"/>
          <w:kern w:val="2"/>
          <w:sz w:val="32"/>
          <w:szCs w:val="24"/>
          <w:lang w:val="zh-CN"/>
        </w:rPr>
      </w:pPr>
      <w:r>
        <w:rPr>
          <w:rFonts w:hint="eastAsia" w:ascii="仿宋" w:hAnsi="仿宋" w:eastAsia="仿宋"/>
          <w:color w:val="auto"/>
          <w:kern w:val="2"/>
          <w:sz w:val="32"/>
          <w:szCs w:val="24"/>
          <w:lang w:val="zh-CN"/>
        </w:rPr>
        <w:t>（8）便民服务中心(农民工服务中心、退役军人服务站、社会治安综合治理中心、矛盾纠纷多元化解协调中心)。主要负责受(办)理政务审批服务、公共服务、便民服务事项；负责政务公开的事务性工作；负责就业创业、社会保险、医疗保险、民政救助、劳动争议调解、农民工服务等服务性工作；负责退役军人、双拥共建等相关事务性、服务性工作；负责治安综合治理、平安建设、联防联控、信访维稳等综治服务工作；负责组织协调辖区内纠纷调解力量，开展纠纷预防、排查和化解。</w:t>
      </w:r>
    </w:p>
    <w:p w14:paraId="6FEBC5A2">
      <w:pPr>
        <w:keepNext/>
        <w:ind w:firstLine="640" w:firstLineChars="200"/>
        <w:rPr>
          <w:rFonts w:hint="eastAsia" w:ascii="仿宋" w:hAnsi="仿宋" w:eastAsia="仿宋"/>
          <w:color w:val="auto"/>
          <w:kern w:val="2"/>
          <w:sz w:val="32"/>
          <w:szCs w:val="24"/>
          <w:lang w:val="zh-CN"/>
        </w:rPr>
      </w:pPr>
      <w:r>
        <w:rPr>
          <w:rFonts w:hint="eastAsia" w:ascii="仿宋" w:hAnsi="仿宋" w:eastAsia="仿宋"/>
          <w:color w:val="auto"/>
          <w:kern w:val="2"/>
          <w:sz w:val="32"/>
          <w:szCs w:val="24"/>
          <w:lang w:val="zh-CN"/>
        </w:rPr>
        <w:t>（9）农业农村服务中心(林业站、畜牧兽医站)。负责农业、林业、水利行业等相关领域的基层技术推广和教育培训；负责农作物病虫害监测与防治、造林护林、森林草原防灭火、防汛抗旱、农田水利建设、农产品质量安全监测、农业生产基础设施建设等相关技术性、服务性工作；组织开展移民安置、转移政策宣传等相关事务性工作；负责辖区内动物疫病防控防治检疫、畜牧兽医等相关技术性、服务性工作。协助做好农村能源建设、农村土地承包经营、农村经济经营、森林资源保护、自然保护地管理等事务性工作；协助做好村级(含各类城乡基层组织)财务、债权债务和集体资产相关事务性工作。</w:t>
      </w:r>
    </w:p>
    <w:p w14:paraId="4AA44C5D">
      <w:pPr>
        <w:keepNext/>
        <w:ind w:firstLine="640" w:firstLineChars="200"/>
        <w:rPr>
          <w:rFonts w:hint="eastAsia" w:ascii="仿宋" w:hAnsi="仿宋" w:eastAsia="仿宋"/>
          <w:color w:val="auto"/>
          <w:kern w:val="2"/>
          <w:sz w:val="32"/>
          <w:szCs w:val="24"/>
          <w:lang w:val="zh-CN"/>
        </w:rPr>
      </w:pPr>
      <w:r>
        <w:rPr>
          <w:rFonts w:hint="eastAsia" w:ascii="仿宋" w:hAnsi="仿宋" w:eastAsia="仿宋"/>
          <w:color w:val="auto"/>
          <w:kern w:val="2"/>
          <w:sz w:val="32"/>
          <w:szCs w:val="24"/>
          <w:lang w:val="zh-CN"/>
        </w:rPr>
        <w:t>（10）村镇建设服务中心。主要负责村镇规划建设技术服务和集镇基础设施、公共设施的建设维护；负责镇容村貌、环境卫生、园林绿化的建设和维护以及耕地保护等事务性工作；承担生态环境保护和治理的技术服务工作；负责开展辖区内园区建设中的群众宣传思想工作，牵头协调解决园区与涉及村组矛盾纠纷，推进村企共驻共建和深化合作，协助相关部门做好园区建设发展所需的基础设施和要素保障等服务性工作。协助开展施工现场管理、工程建设质量安全监督、违章建筑查处等工作；协助做好城市网格化、数字化管理和统计服务等工作。</w:t>
      </w:r>
    </w:p>
    <w:p w14:paraId="3723FB91">
      <w:pPr>
        <w:keepNext/>
        <w:ind w:firstLine="640" w:firstLineChars="200"/>
        <w:rPr>
          <w:rFonts w:hint="eastAsia" w:ascii="仿宋" w:hAnsi="仿宋" w:eastAsia="仿宋"/>
          <w:color w:val="auto"/>
          <w:kern w:val="2"/>
          <w:sz w:val="32"/>
          <w:szCs w:val="24"/>
          <w:lang w:val="zh-CN"/>
        </w:rPr>
      </w:pPr>
      <w:r>
        <w:rPr>
          <w:rFonts w:hint="eastAsia" w:ascii="仿宋" w:hAnsi="仿宋" w:eastAsia="仿宋"/>
          <w:color w:val="auto"/>
          <w:kern w:val="2"/>
          <w:sz w:val="32"/>
          <w:szCs w:val="24"/>
          <w:lang w:val="zh-CN"/>
        </w:rPr>
        <w:t>（11）宣传文化旅游服务中心(综合文化站)。主要负责宣传舆论引导、新时代文明实践、思想道德教育、乡村旅游推介、乡风文明建设、宣传文化阵地建设等服务性工作；指导村(社区)文化工作、提供公共文化服务等相关工作。</w:t>
      </w:r>
    </w:p>
    <w:p w14:paraId="6DA8F0DD">
      <w:pPr>
        <w:pStyle w:val="4"/>
        <w:keepNext/>
        <w:spacing w:before="260" w:after="260" w:line="576" w:lineRule="exact"/>
        <w:ind w:firstLine="640"/>
        <w:jc w:val="both"/>
        <w:rPr>
          <w:rFonts w:hint="default" w:ascii="Cambria" w:hAnsi="Cambria" w:eastAsia="Cambria"/>
          <w:color w:val="auto"/>
          <w:kern w:val="2"/>
          <w:sz w:val="32"/>
          <w:szCs w:val="24"/>
          <w:lang w:val="zh-CN"/>
        </w:rPr>
      </w:pPr>
      <w:bookmarkStart w:id="4" w:name="_Toc6253"/>
      <w:bookmarkStart w:id="5" w:name="_Toc9319"/>
      <w:r>
        <w:rPr>
          <w:rFonts w:hint="eastAsia" w:ascii="黑体" w:hAnsi="黑体" w:eastAsia="黑体"/>
          <w:color w:val="000000"/>
          <w:kern w:val="2"/>
          <w:sz w:val="32"/>
          <w:szCs w:val="24"/>
          <w:lang w:val="zh-CN"/>
        </w:rPr>
        <w:t>二、机</w:t>
      </w:r>
      <w:r>
        <w:rPr>
          <w:rFonts w:hint="eastAsia" w:ascii="黑体" w:hAnsi="黑体" w:eastAsia="黑体"/>
          <w:color w:val="auto"/>
          <w:kern w:val="2"/>
          <w:sz w:val="32"/>
          <w:szCs w:val="24"/>
          <w:lang w:val="zh-CN"/>
        </w:rPr>
        <w:t>构设置</w:t>
      </w:r>
      <w:bookmarkEnd w:id="4"/>
      <w:bookmarkEnd w:id="5"/>
    </w:p>
    <w:p w14:paraId="4AD24865">
      <w:pPr>
        <w:keepNext/>
        <w:ind w:firstLine="800"/>
        <w:jc w:val="both"/>
        <w:rPr>
          <w:rFonts w:hint="eastAsia" w:ascii="仿宋" w:hAnsi="仿宋" w:eastAsia="仿宋"/>
          <w:color w:val="auto"/>
          <w:kern w:val="2"/>
          <w:sz w:val="32"/>
          <w:szCs w:val="24"/>
          <w:lang w:val="en-US"/>
        </w:rPr>
      </w:pPr>
      <w:r>
        <w:rPr>
          <w:rFonts w:hint="eastAsia" w:ascii="仿宋_GB2312" w:hAnsi="仿宋_GB2312" w:eastAsia="仿宋_GB2312"/>
          <w:color w:val="auto"/>
          <w:kern w:val="2"/>
          <w:sz w:val="32"/>
          <w:szCs w:val="24"/>
          <w:lang w:val="zh-CN"/>
        </w:rPr>
        <w:t>盐边县共和乡人民政府</w:t>
      </w:r>
      <w:r>
        <w:rPr>
          <w:rFonts w:hint="eastAsia" w:ascii="仿宋" w:hAnsi="仿宋" w:eastAsia="仿宋"/>
          <w:color w:val="auto"/>
          <w:kern w:val="2"/>
          <w:sz w:val="32"/>
          <w:szCs w:val="24"/>
          <w:lang w:val="en-US"/>
        </w:rPr>
        <w:t>下属二级单位</w:t>
      </w:r>
      <w:r>
        <w:rPr>
          <w:rFonts w:hint="eastAsia" w:ascii="仿宋" w:hAnsi="仿宋" w:eastAsia="仿宋"/>
          <w:color w:val="auto"/>
          <w:kern w:val="2"/>
          <w:sz w:val="32"/>
          <w:szCs w:val="24"/>
          <w:lang w:val="en-US" w:eastAsia="zh-CN"/>
        </w:rPr>
        <w:t>1</w:t>
      </w:r>
      <w:r>
        <w:rPr>
          <w:rFonts w:hint="eastAsia" w:ascii="仿宋" w:hAnsi="仿宋" w:eastAsia="仿宋"/>
          <w:color w:val="auto"/>
          <w:kern w:val="2"/>
          <w:sz w:val="32"/>
          <w:szCs w:val="24"/>
          <w:lang w:val="en-US"/>
        </w:rPr>
        <w:t>个，其中行政单位</w:t>
      </w:r>
      <w:r>
        <w:rPr>
          <w:rFonts w:hint="eastAsia" w:ascii="仿宋" w:hAnsi="仿宋" w:eastAsia="仿宋"/>
          <w:color w:val="auto"/>
          <w:kern w:val="2"/>
          <w:sz w:val="32"/>
          <w:szCs w:val="24"/>
          <w:lang w:val="en-US" w:eastAsia="zh-CN"/>
        </w:rPr>
        <w:t>1</w:t>
      </w:r>
      <w:r>
        <w:rPr>
          <w:rFonts w:hint="eastAsia" w:ascii="仿宋" w:hAnsi="仿宋" w:eastAsia="仿宋"/>
          <w:color w:val="auto"/>
          <w:kern w:val="2"/>
          <w:sz w:val="32"/>
          <w:szCs w:val="24"/>
          <w:lang w:val="en-US"/>
        </w:rPr>
        <w:t>个，参照公务员法管理的事业单位</w:t>
      </w:r>
      <w:r>
        <w:rPr>
          <w:rFonts w:hint="eastAsia" w:ascii="仿宋" w:hAnsi="仿宋" w:eastAsia="仿宋"/>
          <w:color w:val="auto"/>
          <w:kern w:val="2"/>
          <w:sz w:val="32"/>
          <w:szCs w:val="24"/>
          <w:lang w:val="en-US" w:eastAsia="zh-CN"/>
        </w:rPr>
        <w:t>0</w:t>
      </w:r>
      <w:r>
        <w:rPr>
          <w:rFonts w:hint="eastAsia" w:ascii="仿宋" w:hAnsi="仿宋" w:eastAsia="仿宋"/>
          <w:color w:val="auto"/>
          <w:kern w:val="2"/>
          <w:sz w:val="32"/>
          <w:szCs w:val="24"/>
          <w:lang w:val="en-US"/>
        </w:rPr>
        <w:t>个，其他事业单位</w:t>
      </w:r>
      <w:r>
        <w:rPr>
          <w:rFonts w:hint="eastAsia" w:ascii="仿宋" w:hAnsi="仿宋" w:eastAsia="仿宋"/>
          <w:color w:val="auto"/>
          <w:kern w:val="2"/>
          <w:sz w:val="32"/>
          <w:szCs w:val="24"/>
          <w:lang w:val="en-US" w:eastAsia="zh-CN"/>
        </w:rPr>
        <w:t>0</w:t>
      </w:r>
      <w:r>
        <w:rPr>
          <w:rFonts w:hint="eastAsia" w:ascii="仿宋" w:hAnsi="仿宋" w:eastAsia="仿宋"/>
          <w:color w:val="auto"/>
          <w:kern w:val="2"/>
          <w:sz w:val="32"/>
          <w:szCs w:val="24"/>
          <w:lang w:val="en-US"/>
        </w:rPr>
        <w:t>个。</w:t>
      </w:r>
    </w:p>
    <w:p w14:paraId="27781739">
      <w:pPr>
        <w:keepNext/>
        <w:spacing w:before="93" w:line="576" w:lineRule="exact"/>
        <w:ind w:firstLine="64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zh-CN"/>
        </w:rPr>
        <w:t>纳入</w:t>
      </w:r>
      <w:r>
        <w:rPr>
          <w:rFonts w:hint="eastAsia" w:ascii="仿宋_GB2312" w:hAnsi="仿宋_GB2312" w:eastAsia="仿宋_GB2312"/>
          <w:color w:val="auto"/>
          <w:kern w:val="2"/>
          <w:sz w:val="32"/>
          <w:szCs w:val="24"/>
          <w:lang w:val="zh-CN"/>
        </w:rPr>
        <w:t>盐边县共和乡人民政府</w:t>
      </w:r>
      <w:r>
        <w:rPr>
          <w:rFonts w:hint="eastAsia" w:ascii="仿宋_GB2312" w:hAnsi="仿宋_GB2312" w:eastAsia="仿宋_GB2312"/>
          <w:color w:val="000000"/>
          <w:kern w:val="2"/>
          <w:sz w:val="32"/>
          <w:szCs w:val="24"/>
          <w:lang w:val="zh-CN"/>
        </w:rPr>
        <w:t>2022年度部门决算编制范围的二级预算单位包括：</w:t>
      </w:r>
      <w:r>
        <w:rPr>
          <w:rFonts w:hint="eastAsia" w:ascii="仿宋_GB2312" w:hAnsi="仿宋_GB2312" w:eastAsia="仿宋_GB2312"/>
          <w:color w:val="000000"/>
          <w:kern w:val="2"/>
          <w:sz w:val="32"/>
          <w:szCs w:val="24"/>
          <w:lang w:val="en-US" w:eastAsia="zh-CN"/>
        </w:rPr>
        <w:t>共和乡党政办。</w:t>
      </w:r>
    </w:p>
    <w:p w14:paraId="454C1FD3">
      <w:pPr>
        <w:pStyle w:val="3"/>
        <w:keepNext/>
        <w:spacing w:before="340" w:after="330" w:line="576" w:lineRule="exact"/>
        <w:ind w:right="442" w:firstLine="880"/>
        <w:jc w:val="center"/>
        <w:rPr>
          <w:rFonts w:hint="eastAsia" w:ascii="Times New Roman" w:hAnsi="Times New Roman" w:eastAsia="Times New Roman"/>
          <w:b/>
          <w:color w:val="auto"/>
          <w:kern w:val="44"/>
          <w:sz w:val="44"/>
          <w:szCs w:val="24"/>
          <w:lang w:val="zh-CN"/>
        </w:rPr>
      </w:pPr>
      <w:bookmarkStart w:id="6" w:name="_Toc30686"/>
      <w:bookmarkStart w:id="7" w:name="_Toc24783"/>
      <w:r>
        <w:rPr>
          <w:rFonts w:hint="eastAsia" w:ascii="黑体" w:hAnsi="黑体" w:eastAsia="黑体" w:cs="Times New Roman"/>
          <w:color w:val="auto"/>
          <w:kern w:val="44"/>
          <w:sz w:val="44"/>
          <w:szCs w:val="24"/>
          <w:lang w:val="zh-CN"/>
        </w:rPr>
        <w:t>第二部分2022年度部门决算情况说明</w:t>
      </w:r>
      <w:bookmarkEnd w:id="6"/>
      <w:bookmarkEnd w:id="7"/>
    </w:p>
    <w:p w14:paraId="3019AFB6">
      <w:pPr>
        <w:keepNext/>
        <w:spacing w:line="576" w:lineRule="exact"/>
        <w:jc w:val="both"/>
        <w:outlineLvl w:val="1"/>
        <w:rPr>
          <w:rFonts w:hint="eastAsia" w:ascii="黑体" w:hAnsi="黑体" w:eastAsia="黑体"/>
          <w:color w:val="auto"/>
          <w:kern w:val="2"/>
          <w:sz w:val="32"/>
          <w:szCs w:val="24"/>
          <w:lang w:val="zh-CN"/>
        </w:rPr>
      </w:pPr>
      <w:bookmarkStart w:id="8" w:name="_Toc21678"/>
      <w:r>
        <w:rPr>
          <w:rFonts w:hint="eastAsia" w:ascii="黑体" w:hAnsi="黑体" w:eastAsia="黑体"/>
          <w:color w:val="000000"/>
          <w:kern w:val="2"/>
          <w:sz w:val="32"/>
          <w:szCs w:val="24"/>
          <w:lang w:val="zh-CN"/>
        </w:rPr>
        <w:t>一、收</w:t>
      </w:r>
      <w:r>
        <w:rPr>
          <w:rFonts w:hint="eastAsia" w:ascii="黑体" w:hAnsi="黑体" w:eastAsia="黑体"/>
          <w:color w:val="auto"/>
          <w:kern w:val="2"/>
          <w:sz w:val="32"/>
          <w:szCs w:val="24"/>
          <w:lang w:val="zh-CN"/>
        </w:rPr>
        <w:t>入支出决算总体情况说明</w:t>
      </w:r>
      <w:bookmarkEnd w:id="8"/>
    </w:p>
    <w:p w14:paraId="53A4592A">
      <w:pPr>
        <w:keepNext/>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2022年度收、支总计</w:t>
      </w:r>
      <w:r>
        <w:rPr>
          <w:rFonts w:hint="eastAsia" w:ascii="仿宋_GB2312" w:hAnsi="仿宋_GB2312" w:eastAsia="仿宋_GB2312"/>
          <w:color w:val="000000"/>
          <w:kern w:val="2"/>
          <w:sz w:val="32"/>
          <w:szCs w:val="24"/>
          <w:lang w:val="en-US" w:eastAsia="zh-CN"/>
        </w:rPr>
        <w:t>2968.8</w:t>
      </w:r>
      <w:r>
        <w:rPr>
          <w:rFonts w:hint="eastAsia" w:ascii="仿宋_GB2312" w:hAnsi="仿宋_GB2312" w:eastAsia="仿宋_GB2312"/>
          <w:color w:val="000000"/>
          <w:kern w:val="2"/>
          <w:sz w:val="32"/>
          <w:szCs w:val="24"/>
          <w:lang w:val="zh-CN"/>
        </w:rPr>
        <w:t>万元。与2021年相比，</w:t>
      </w:r>
      <w:r>
        <w:rPr>
          <w:rFonts w:hint="eastAsia" w:ascii="仿宋_GB2312" w:hAnsi="仿宋_GB2312" w:eastAsia="仿宋_GB2312"/>
          <w:color w:val="000000"/>
          <w:kern w:val="2"/>
          <w:sz w:val="32"/>
          <w:szCs w:val="24"/>
          <w:lang w:val="en-US" w:eastAsia="zh-CN"/>
        </w:rPr>
        <w:t>收入总计增加101.2万元，增长7.3%，支出</w:t>
      </w:r>
      <w:r>
        <w:rPr>
          <w:rFonts w:hint="eastAsia" w:ascii="仿宋_GB2312" w:hAnsi="仿宋_GB2312" w:eastAsia="仿宋_GB2312"/>
          <w:color w:val="000000"/>
          <w:kern w:val="2"/>
          <w:sz w:val="32"/>
          <w:szCs w:val="24"/>
          <w:lang w:val="zh-CN"/>
        </w:rPr>
        <w:t>总计</w:t>
      </w:r>
      <w:r>
        <w:rPr>
          <w:rFonts w:hint="eastAsia" w:ascii="仿宋_GB2312" w:hAnsi="仿宋_GB2312" w:eastAsia="仿宋_GB2312"/>
          <w:color w:val="000000"/>
          <w:kern w:val="2"/>
          <w:sz w:val="32"/>
          <w:szCs w:val="24"/>
          <w:lang w:val="en-US" w:eastAsia="zh-CN"/>
        </w:rPr>
        <w:t>减少</w:t>
      </w:r>
      <w:r>
        <w:rPr>
          <w:rFonts w:hint="eastAsia" w:ascii="仿宋_GB2312" w:hAnsi="仿宋_GB2312" w:eastAsia="仿宋_GB2312"/>
          <w:color w:val="000000"/>
          <w:kern w:val="2"/>
          <w:sz w:val="32"/>
          <w:szCs w:val="24"/>
          <w:lang w:val="zh-CN"/>
        </w:rPr>
        <w:t>20</w:t>
      </w:r>
      <w:r>
        <w:rPr>
          <w:rFonts w:hint="eastAsia" w:ascii="仿宋_GB2312" w:hAnsi="仿宋_GB2312" w:eastAsia="仿宋_GB2312"/>
          <w:color w:val="000000"/>
          <w:kern w:val="2"/>
          <w:sz w:val="32"/>
          <w:szCs w:val="24"/>
          <w:lang w:val="en-US" w:eastAsia="zh-CN"/>
        </w:rPr>
        <w:t>9</w:t>
      </w:r>
      <w:r>
        <w:rPr>
          <w:rFonts w:hint="eastAsia" w:ascii="仿宋_GB2312" w:hAnsi="仿宋_GB2312" w:eastAsia="仿宋_GB2312"/>
          <w:color w:val="000000"/>
          <w:kern w:val="2"/>
          <w:sz w:val="32"/>
          <w:szCs w:val="24"/>
          <w:lang w:val="zh-CN"/>
        </w:rPr>
        <w:t>.43万元，</w:t>
      </w:r>
      <w:r>
        <w:rPr>
          <w:rFonts w:hint="eastAsia" w:ascii="仿宋_GB2312" w:hAnsi="仿宋_GB2312" w:eastAsia="仿宋_GB2312"/>
          <w:color w:val="000000"/>
          <w:kern w:val="2"/>
          <w:sz w:val="32"/>
          <w:szCs w:val="24"/>
          <w:lang w:val="en-US" w:eastAsia="zh-CN"/>
        </w:rPr>
        <w:t>减少</w:t>
      </w:r>
      <w:r>
        <w:rPr>
          <w:rFonts w:hint="eastAsia" w:ascii="仿宋_GB2312" w:hAnsi="仿宋_GB2312" w:eastAsia="仿宋_GB2312"/>
          <w:color w:val="000000"/>
          <w:kern w:val="2"/>
          <w:sz w:val="32"/>
          <w:szCs w:val="24"/>
          <w:lang w:val="zh-CN"/>
        </w:rPr>
        <w:t>12.</w:t>
      </w:r>
      <w:r>
        <w:rPr>
          <w:rFonts w:hint="eastAsia" w:ascii="仿宋_GB2312" w:hAnsi="仿宋_GB2312" w:eastAsia="仿宋_GB2312"/>
          <w:color w:val="000000"/>
          <w:kern w:val="2"/>
          <w:sz w:val="32"/>
          <w:szCs w:val="24"/>
          <w:lang w:val="en-US" w:eastAsia="zh-CN"/>
        </w:rPr>
        <w:t>38</w:t>
      </w:r>
      <w:r>
        <w:rPr>
          <w:rFonts w:hint="eastAsia" w:ascii="仿宋_GB2312" w:hAnsi="仿宋_GB2312" w:eastAsia="仿宋_GB2312"/>
          <w:color w:val="000000"/>
          <w:kern w:val="2"/>
          <w:sz w:val="32"/>
          <w:szCs w:val="24"/>
          <w:lang w:val="zh-CN"/>
        </w:rPr>
        <w:t>%。主要变动原因是正常变动。</w:t>
      </w:r>
    </w:p>
    <w:p w14:paraId="02392884">
      <w:pPr>
        <w:keepNext/>
        <w:spacing w:line="600" w:lineRule="exact"/>
        <w:ind w:firstLine="640"/>
        <w:jc w:val="both"/>
        <w:rPr>
          <w:rFonts w:hint="eastAsia" w:ascii="仿宋" w:hAnsi="仿宋" w:eastAsia="仿宋"/>
          <w:color w:val="auto"/>
          <w:kern w:val="2"/>
          <w:sz w:val="32"/>
          <w:szCs w:val="24"/>
          <w:lang w:val="en-US"/>
        </w:rPr>
      </w:pPr>
      <w:r>
        <w:rPr>
          <w:rFonts w:hint="default" w:ascii="仿宋" w:hAnsi="仿宋" w:eastAsia="仿宋"/>
          <w:color w:val="auto"/>
          <w:kern w:val="2"/>
          <w:sz w:val="32"/>
          <w:szCs w:val="24"/>
          <w:lang w:val="en-US" w:eastAsia="zh-CN"/>
        </w:rPr>
        <w:pict>
          <v:shape id="对象 5" o:spid="_x0000_s2050" o:spt="75" type="#_x0000_t75" style="position:absolute;left:0pt;margin-left:33.3pt;margin-top:32.85pt;height:195.25pt;width:321.45pt;mso-wrap-distance-bottom:0pt;mso-wrap-distance-top:0pt;z-index:251659264;mso-width-relative:page;mso-height-relative:page;" o:ole="t" filled="f" o:preferrelative="t" stroked="f" coordsize="21600,21600">
            <v:path/>
            <v:fill on="f" focussize="0,0"/>
            <v:stroke on="f"/>
            <v:imagedata r:id="rId6" o:title=""/>
            <o:lock v:ext="edit" aspectratio="t"/>
            <v:shadow on="t" obscured="f" color="#FFFFFF" offset2="-2pt,-2pt"/>
            <w10:wrap type="topAndBottom"/>
          </v:shape>
          <o:OLEObject Type="Embed" ProgID="Excel.Chart.8" ShapeID="对象 5" DrawAspect="Content" ObjectID="_1468075725" r:id="rId5">
            <o:LockedField>false</o:LockedField>
          </o:OLEObject>
        </w:pict>
      </w:r>
      <w:r>
        <w:rPr>
          <w:rFonts w:hint="eastAsia" w:ascii="仿宋" w:hAnsi="仿宋" w:eastAsia="仿宋"/>
          <w:color w:val="auto"/>
          <w:kern w:val="2"/>
          <w:sz w:val="32"/>
          <w:szCs w:val="24"/>
          <w:lang w:val="en-US"/>
        </w:rPr>
        <w:t>（图1：收、支决算总计变动情况图）（柱状图）</w:t>
      </w:r>
    </w:p>
    <w:p w14:paraId="476819C0">
      <w:pPr>
        <w:keepNext/>
        <w:spacing w:line="600" w:lineRule="exact"/>
        <w:ind w:firstLine="640"/>
        <w:jc w:val="both"/>
        <w:rPr>
          <w:rFonts w:hint="eastAsia" w:ascii="黑体" w:hAnsi="黑体" w:eastAsia="黑体"/>
          <w:color w:val="000000"/>
          <w:kern w:val="2"/>
          <w:sz w:val="32"/>
          <w:szCs w:val="24"/>
          <w:lang w:val="zh-CN"/>
        </w:rPr>
      </w:pPr>
      <w:r>
        <w:rPr>
          <w:rFonts w:hint="eastAsia" w:ascii="仿宋" w:hAnsi="仿宋" w:eastAsia="仿宋"/>
          <w:color w:val="auto"/>
          <w:kern w:val="2"/>
          <w:sz w:val="32"/>
          <w:szCs w:val="24"/>
          <w:lang w:val="en-US"/>
        </w:rPr>
        <w:t>图1：收、支决算总计变动情况图</w:t>
      </w:r>
    </w:p>
    <w:p w14:paraId="21DD9525">
      <w:pPr>
        <w:keepNext/>
        <w:spacing w:line="576" w:lineRule="exact"/>
        <w:ind w:firstLine="640"/>
        <w:jc w:val="both"/>
        <w:outlineLvl w:val="1"/>
        <w:rPr>
          <w:rFonts w:hint="eastAsia" w:ascii="黑体" w:hAnsi="黑体" w:eastAsia="黑体"/>
          <w:color w:val="auto"/>
          <w:kern w:val="2"/>
          <w:sz w:val="32"/>
          <w:szCs w:val="24"/>
          <w:lang w:val="zh-CN"/>
        </w:rPr>
      </w:pPr>
      <w:bookmarkStart w:id="9" w:name="_Toc29763"/>
      <w:r>
        <w:rPr>
          <w:rFonts w:hint="eastAsia" w:ascii="黑体" w:hAnsi="黑体" w:eastAsia="黑体"/>
          <w:color w:val="000000"/>
          <w:kern w:val="2"/>
          <w:sz w:val="32"/>
          <w:szCs w:val="24"/>
          <w:lang w:val="zh-CN"/>
        </w:rPr>
        <w:t>二、收</w:t>
      </w:r>
      <w:r>
        <w:rPr>
          <w:rFonts w:hint="eastAsia" w:ascii="黑体" w:hAnsi="黑体" w:eastAsia="黑体"/>
          <w:color w:val="auto"/>
          <w:kern w:val="2"/>
          <w:sz w:val="32"/>
          <w:szCs w:val="24"/>
          <w:lang w:val="zh-CN"/>
        </w:rPr>
        <w:t>入决算情况说明</w:t>
      </w:r>
      <w:bookmarkEnd w:id="9"/>
    </w:p>
    <w:p w14:paraId="54C78F6B">
      <w:pPr>
        <w:keepNext/>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本年收入合计1,486.9万元，其中：一般公共预算财政拨款收入1,436.9万元，占96.6%；政府性基金预算财政拨款收入0万元，占0%；国有资本经营预算财政拨款收入0万元，占0%；上级补助收入0万元，占0%；事业收入0万元，占0%；经营收入0万元，占0%；附属单位上缴收入0万元，占0%；其他收入50万元，占3.4%。</w:t>
      </w:r>
    </w:p>
    <w:p w14:paraId="5D065792">
      <w:pPr>
        <w:keepNext/>
        <w:spacing w:line="600" w:lineRule="exact"/>
        <w:ind w:firstLine="643"/>
        <w:jc w:val="both"/>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（注：数据来源于财决01表，仅罗列本部门涉及的收入。）</w:t>
      </w:r>
    </w:p>
    <w:p w14:paraId="60570835">
      <w:pPr>
        <w:keepNext/>
        <w:spacing w:line="600" w:lineRule="exact"/>
        <w:ind w:firstLine="643"/>
        <w:jc w:val="both"/>
        <w:rPr>
          <w:rFonts w:hint="eastAsia" w:ascii="仿宋" w:hAnsi="仿宋" w:eastAsia="仿宋"/>
          <w:b/>
          <w:color w:val="auto"/>
          <w:kern w:val="2"/>
          <w:sz w:val="32"/>
          <w:szCs w:val="24"/>
          <w:lang w:val="en-US" w:eastAsia="zh-CN"/>
        </w:rPr>
      </w:pPr>
      <w:r>
        <w:rPr>
          <w:rFonts w:hint="default" w:ascii="仿宋" w:hAnsi="仿宋" w:eastAsia="仿宋"/>
          <w:b/>
          <w:color w:val="auto"/>
          <w:kern w:val="2"/>
          <w:sz w:val="32"/>
          <w:szCs w:val="24"/>
          <w:lang w:val="en-US" w:eastAsia="zh-CN"/>
        </w:rPr>
        <w:pict>
          <v:shape id="对象 6" o:spid="_x0000_s2051" o:spt="75" type="#_x0000_t75" style="position:absolute;left:0pt;margin-left:-0.95pt;margin-top:0pt;height:293.8pt;width:366.75pt;mso-wrap-distance-bottom:0pt;mso-wrap-distance-top:0pt;z-index:251660288;mso-width-relative:page;mso-height-relative:page;" o:ole="t" filled="f" o:preferrelative="t" stroked="f" coordsize="21600,21600">
            <v:path/>
            <v:fill on="f" focussize="0,0"/>
            <v:stroke on="f"/>
            <v:imagedata r:id="rId8" o:title=""/>
            <o:lock v:ext="edit" aspectratio="t"/>
            <w10:wrap type="topAndBottom"/>
          </v:shape>
          <o:OLEObject Type="Embed" ProgID="Excel.Chart.8" ShapeID="对象 6" DrawAspect="Content" ObjectID="_1468075726" r:id="rId7">
            <o:LockedField>false</o:LockedField>
          </o:OLEObject>
        </w:pict>
      </w:r>
    </w:p>
    <w:p w14:paraId="7BAEE0CD">
      <w:pPr>
        <w:keepNext/>
        <w:spacing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（图2：收入决算结构图）（饼状图）</w:t>
      </w:r>
    </w:p>
    <w:p w14:paraId="11E704AC">
      <w:pPr>
        <w:keepNext/>
        <w:spacing w:line="576" w:lineRule="exact"/>
        <w:ind w:firstLine="640"/>
        <w:jc w:val="both"/>
        <w:outlineLvl w:val="1"/>
        <w:rPr>
          <w:rFonts w:hint="eastAsia" w:ascii="黑体" w:hAnsi="黑体" w:eastAsia="黑体"/>
          <w:color w:val="auto"/>
          <w:kern w:val="2"/>
          <w:sz w:val="32"/>
          <w:szCs w:val="24"/>
          <w:lang w:val="zh-CN"/>
        </w:rPr>
      </w:pPr>
      <w:bookmarkStart w:id="10" w:name="_Toc15649"/>
      <w:r>
        <w:rPr>
          <w:rFonts w:hint="eastAsia" w:ascii="黑体" w:hAnsi="黑体" w:eastAsia="黑体"/>
          <w:color w:val="000000"/>
          <w:kern w:val="2"/>
          <w:sz w:val="32"/>
          <w:szCs w:val="24"/>
          <w:lang w:val="zh-CN"/>
        </w:rPr>
        <w:t>三、支</w:t>
      </w:r>
      <w:r>
        <w:rPr>
          <w:rFonts w:hint="eastAsia" w:ascii="黑体" w:hAnsi="黑体" w:eastAsia="黑体"/>
          <w:color w:val="auto"/>
          <w:kern w:val="2"/>
          <w:sz w:val="32"/>
          <w:szCs w:val="24"/>
          <w:lang w:val="zh-CN"/>
        </w:rPr>
        <w:t>出决算情况说明</w:t>
      </w:r>
      <w:bookmarkEnd w:id="10"/>
    </w:p>
    <w:p w14:paraId="13BDF94C">
      <w:pPr>
        <w:keepNext/>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2022年本年支出合计1,481.9万元，其中：基本支出1,017.04万元，占68.6%；项目支出464.86万元，占31.4%；上缴上级支出0万元，占0%；经营支出0万元，占0%；对附属单位补助支出0万元，占0%。</w:t>
      </w:r>
    </w:p>
    <w:p w14:paraId="73BE114D">
      <w:pPr>
        <w:keepNext/>
        <w:spacing w:line="600" w:lineRule="exact"/>
        <w:ind w:firstLine="643"/>
        <w:jc w:val="both"/>
        <w:rPr>
          <w:rFonts w:hint="eastAsia" w:ascii="仿宋" w:hAnsi="仿宋" w:eastAsia="仿宋"/>
          <w:b/>
          <w:color w:val="auto"/>
          <w:kern w:val="2"/>
          <w:sz w:val="32"/>
          <w:szCs w:val="24"/>
          <w:lang w:val="en-US" w:eastAsia="zh-CN"/>
        </w:rPr>
      </w:pPr>
      <w:r>
        <w:rPr>
          <w:rFonts w:hint="eastAsia" w:ascii="仿宋" w:hAnsi="仿宋" w:eastAsia="仿宋"/>
          <w:b/>
          <w:color w:val="auto"/>
          <w:kern w:val="2"/>
          <w:sz w:val="32"/>
          <w:szCs w:val="24"/>
          <w:lang w:val="en-US"/>
        </w:rPr>
        <w:t>（注：数据来源于财决04表，仅罗列本部门涉及的支出。）</w:t>
      </w:r>
    </w:p>
    <w:p w14:paraId="05C183D8">
      <w:pPr>
        <w:keepNext/>
        <w:spacing w:line="600" w:lineRule="exact"/>
        <w:ind w:firstLine="643"/>
        <w:jc w:val="both"/>
        <w:rPr>
          <w:rFonts w:hint="eastAsia" w:ascii="仿宋" w:hAnsi="仿宋" w:eastAsia="仿宋"/>
          <w:b/>
          <w:color w:val="auto"/>
          <w:kern w:val="2"/>
          <w:sz w:val="32"/>
          <w:szCs w:val="24"/>
          <w:lang w:val="en-US" w:eastAsia="zh-CN"/>
        </w:rPr>
      </w:pPr>
      <w:r>
        <w:rPr>
          <w:rFonts w:hint="default" w:ascii="仿宋" w:hAnsi="仿宋" w:eastAsia="仿宋"/>
          <w:b/>
          <w:color w:val="auto"/>
          <w:kern w:val="2"/>
          <w:sz w:val="32"/>
          <w:szCs w:val="24"/>
          <w:lang w:val="en-US" w:eastAsia="zh-CN"/>
        </w:rPr>
        <w:pict>
          <v:shape id="对象 7" o:spid="_x0000_s2052" o:spt="75" type="#_x0000_t75" style="position:absolute;left:0pt;margin-left:15.95pt;margin-top:9.4pt;height:273.9pt;width:366.75pt;mso-wrap-distance-bottom:0pt;mso-wrap-distance-top:0pt;z-index:251661312;mso-width-relative:page;mso-height-relative:page;" o:ole="t" fillcolor="#FFFFFF" filled="t" o:preferrelative="t" stroked="f" coordsize="21600,21600">
            <v:path/>
            <v:fill on="t" focussize="0,0"/>
            <v:stroke on="f"/>
            <v:imagedata r:id="rId10" o:title=""/>
            <o:lock v:ext="edit" aspectratio="t"/>
            <v:shadow on="t" obscured="f" color="#FFFFFF" offset2="-2pt,-2pt"/>
            <w10:wrap type="topAndBottom"/>
          </v:shape>
          <o:OLEObject Type="Embed" ProgID="Excel.Chart.8" ShapeID="对象 7" DrawAspect="Content" ObjectID="_1468075727" r:id="rId9">
            <o:LockedField>false</o:LockedField>
          </o:OLEObject>
        </w:pict>
      </w:r>
    </w:p>
    <w:p w14:paraId="3C83CEC1">
      <w:pPr>
        <w:keepNext/>
        <w:spacing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（图3：支出决算结构图）（饼状图）</w:t>
      </w:r>
    </w:p>
    <w:p w14:paraId="5FE66894">
      <w:pPr>
        <w:keepNext/>
        <w:spacing w:line="576" w:lineRule="exact"/>
        <w:ind w:firstLine="640"/>
        <w:jc w:val="both"/>
        <w:outlineLvl w:val="1"/>
        <w:rPr>
          <w:rFonts w:hint="eastAsia" w:ascii="黑体" w:hAnsi="黑体" w:eastAsia="黑体"/>
          <w:color w:val="auto"/>
          <w:kern w:val="2"/>
          <w:sz w:val="32"/>
          <w:szCs w:val="24"/>
          <w:lang w:val="zh-CN"/>
        </w:rPr>
      </w:pPr>
      <w:bookmarkStart w:id="11" w:name="_Toc20133"/>
      <w:r>
        <w:rPr>
          <w:rFonts w:hint="eastAsia" w:ascii="黑体" w:hAnsi="黑体" w:eastAsia="黑体"/>
          <w:color w:val="000000"/>
          <w:kern w:val="2"/>
          <w:sz w:val="32"/>
          <w:szCs w:val="24"/>
          <w:lang w:val="zh-CN"/>
        </w:rPr>
        <w:t>四、财</w:t>
      </w:r>
      <w:r>
        <w:rPr>
          <w:rFonts w:hint="eastAsia" w:ascii="黑体" w:hAnsi="黑体" w:eastAsia="黑体"/>
          <w:color w:val="auto"/>
          <w:kern w:val="2"/>
          <w:sz w:val="32"/>
          <w:szCs w:val="24"/>
          <w:lang w:val="zh-CN"/>
        </w:rPr>
        <w:t>政拨款收入支出决算总体情况说明</w:t>
      </w:r>
      <w:bookmarkEnd w:id="11"/>
    </w:p>
    <w:p w14:paraId="5F68D5D4">
      <w:pPr>
        <w:keepNext/>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2022年财政拨款收、支总计2968.8万元。与2021年相比，财政拨款收入总计增加101.2万元，增长7.3%，支出总计减少209.43万元，减少12.38%。主要变动原因是正常变动。</w:t>
      </w:r>
    </w:p>
    <w:p w14:paraId="03AD07C9">
      <w:pPr>
        <w:keepNext/>
        <w:spacing w:line="600" w:lineRule="exact"/>
        <w:ind w:firstLine="640"/>
        <w:jc w:val="both"/>
        <w:rPr>
          <w:rFonts w:hint="eastAsia" w:ascii="仿宋" w:hAnsi="仿宋" w:eastAsia="仿宋"/>
          <w:b/>
          <w:color w:val="auto"/>
          <w:kern w:val="2"/>
          <w:sz w:val="32"/>
          <w:szCs w:val="24"/>
          <w:lang w:val="en-US"/>
        </w:rPr>
      </w:pPr>
      <w:r>
        <w:rPr>
          <w:rFonts w:hint="default" w:ascii="仿宋" w:hAnsi="仿宋" w:eastAsia="仿宋"/>
          <w:b/>
          <w:color w:val="auto"/>
          <w:kern w:val="2"/>
          <w:sz w:val="32"/>
          <w:szCs w:val="24"/>
          <w:lang w:val="en-US" w:eastAsia="zh-CN"/>
        </w:rPr>
        <w:pict>
          <v:shape id="对象 8" o:spid="_x0000_s2053" o:spt="75" type="#_x0000_t75" style="position:absolute;left:0pt;margin-left:8.9pt;margin-top:14.85pt;height:222.75pt;width:280.5pt;mso-wrap-distance-bottom:0pt;mso-wrap-distance-top:0pt;z-index:251662336;mso-width-relative:page;mso-height-relative:page;" o:ole="t" filled="f" o:preferrelative="t" stroked="f" coordsize="21600,21600">
            <v:path/>
            <v:fill on="f" focussize="0,0"/>
            <v:stroke on="f"/>
            <v:imagedata r:id="rId12" o:title=""/>
            <o:lock v:ext="edit" aspectratio="t"/>
            <w10:wrap type="topAndBottom"/>
          </v:shape>
          <o:OLEObject Type="Embed" ProgID="Excel.Chart.8" ShapeID="对象 8" DrawAspect="Content" ObjectID="_1468075728" r:id="rId11">
            <o:LockedField>false</o:LockedField>
          </o:OLEObject>
        </w:pict>
      </w:r>
      <w:r>
        <w:rPr>
          <w:rFonts w:hint="eastAsia" w:ascii="仿宋" w:hAnsi="仿宋" w:eastAsia="仿宋"/>
          <w:b/>
          <w:color w:val="auto"/>
          <w:kern w:val="2"/>
          <w:sz w:val="32"/>
          <w:szCs w:val="24"/>
          <w:lang w:val="en-US"/>
        </w:rPr>
        <w:t>（注：数据来源于财决01-1表）</w:t>
      </w:r>
    </w:p>
    <w:p w14:paraId="26E4F379">
      <w:pPr>
        <w:keepNext/>
        <w:spacing w:line="600" w:lineRule="exact"/>
        <w:ind w:firstLine="640"/>
        <w:jc w:val="both"/>
        <w:rPr>
          <w:rFonts w:hint="eastAsia" w:ascii="仿宋" w:hAnsi="仿宋" w:eastAsia="仿宋"/>
          <w:b/>
          <w:color w:val="auto"/>
          <w:kern w:val="2"/>
          <w:sz w:val="32"/>
          <w:szCs w:val="24"/>
          <w:lang w:val="en-US"/>
        </w:rPr>
      </w:pPr>
    </w:p>
    <w:p w14:paraId="22779681">
      <w:pPr>
        <w:keepNext/>
        <w:spacing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（图4：财政拨款收、支决算总计变动情况）（柱状图）</w:t>
      </w:r>
    </w:p>
    <w:p w14:paraId="0A237F0E">
      <w:pPr>
        <w:keepNext/>
        <w:spacing w:line="576" w:lineRule="exact"/>
        <w:ind w:firstLine="640"/>
        <w:jc w:val="both"/>
        <w:outlineLvl w:val="1"/>
        <w:rPr>
          <w:rFonts w:hint="eastAsia" w:ascii="黑体" w:hAnsi="黑体" w:eastAsia="黑体"/>
          <w:color w:val="auto"/>
          <w:kern w:val="2"/>
          <w:sz w:val="32"/>
          <w:szCs w:val="24"/>
          <w:lang w:val="zh-CN"/>
        </w:rPr>
      </w:pPr>
      <w:bookmarkStart w:id="12" w:name="_Toc27893"/>
      <w:r>
        <w:rPr>
          <w:rFonts w:hint="eastAsia" w:ascii="黑体" w:hAnsi="黑体" w:eastAsia="黑体"/>
          <w:color w:val="000000"/>
          <w:kern w:val="2"/>
          <w:sz w:val="32"/>
          <w:szCs w:val="24"/>
          <w:lang w:val="zh-CN"/>
        </w:rPr>
        <w:t>五、</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般公共预算财政拨款支出决算情况说明</w:t>
      </w:r>
      <w:bookmarkEnd w:id="12"/>
    </w:p>
    <w:p w14:paraId="1C2A8296">
      <w:pPr>
        <w:keepNext/>
        <w:spacing w:line="576" w:lineRule="exact"/>
        <w:ind w:firstLine="643"/>
        <w:jc w:val="both"/>
        <w:rPr>
          <w:rFonts w:hint="eastAsia" w:ascii="仿宋_GB2312" w:hAnsi="仿宋_GB2312" w:eastAsia="仿宋_GB2312"/>
          <w:b/>
          <w:color w:val="000000"/>
          <w:kern w:val="2"/>
          <w:sz w:val="32"/>
          <w:szCs w:val="24"/>
          <w:lang w:val="zh-CN"/>
        </w:rPr>
      </w:pPr>
      <w:r>
        <w:rPr>
          <w:rFonts w:hint="default" w:ascii="仿宋_GB2312" w:hAnsi="仿宋_GB2312" w:eastAsia="仿宋_GB2312"/>
          <w:color w:val="000000"/>
          <w:kern w:val="2"/>
          <w:sz w:val="32"/>
          <w:szCs w:val="24"/>
          <w:lang w:val="zh-CN"/>
        </w:rPr>
        <w:pict>
          <v:shape id="对象 9" o:spid="_x0000_s2054" o:spt="75" type="#_x0000_t75" style="position:absolute;left:0pt;margin-left:32.65pt;margin-top:152.35pt;height:222.75pt;width:258.75pt;mso-wrap-distance-bottom:0pt;mso-wrap-distance-top:0pt;z-index:251663360;mso-width-relative:page;mso-height-relative:page;" o:ole="t" filled="f" o:preferrelative="t" stroked="f" coordsize="21600,21600">
            <v:path/>
            <v:fill on="f" focussize="0,0"/>
            <v:stroke on="f"/>
            <v:imagedata r:id="rId14" o:title=""/>
            <o:lock v:ext="edit" aspectratio="t"/>
            <w10:wrap type="topAndBottom"/>
          </v:shape>
          <o:OLEObject Type="Embed" ProgID="Excel.Chart.8" ShapeID="对象 9" DrawAspect="Content" ObjectID="_1468075729" r:id="rId13">
            <o:LockedField>false</o:LockedField>
          </o:OLEObject>
        </w:pict>
      </w:r>
      <w:r>
        <w:rPr>
          <w:rFonts w:hint="eastAsia" w:ascii="仿宋_GB2312" w:hAnsi="仿宋_GB2312" w:eastAsia="仿宋_GB2312"/>
          <w:b/>
          <w:color w:val="000000"/>
          <w:kern w:val="2"/>
          <w:sz w:val="32"/>
          <w:szCs w:val="24"/>
          <w:lang w:val="zh-CN"/>
        </w:rPr>
        <w:t>（一）一般公共预算财政拨款支出决算总体情况。</w:t>
      </w:r>
    </w:p>
    <w:p w14:paraId="5EE9A388">
      <w:pPr>
        <w:keepNext/>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2022年一般公共预算财政拨款支出1,436.9万元，占本年支出合计的97%。与2021年相比，一般公共预算财政拨款支出减少254.43万元，下降15%。主要变动原因是正常变动。</w:t>
      </w:r>
    </w:p>
    <w:p w14:paraId="1A72540C">
      <w:pPr>
        <w:keepNext/>
        <w:spacing w:line="576" w:lineRule="exact"/>
        <w:jc w:val="both"/>
        <w:rPr>
          <w:rFonts w:hint="eastAsia" w:ascii="仿宋_GB2312" w:hAnsi="仿宋_GB2312" w:eastAsia="仿宋_GB2312"/>
          <w:color w:val="000000"/>
          <w:kern w:val="2"/>
          <w:sz w:val="32"/>
          <w:szCs w:val="24"/>
          <w:lang w:val="zh-CN"/>
        </w:rPr>
      </w:pPr>
    </w:p>
    <w:p w14:paraId="1B327CBE">
      <w:pPr>
        <w:keepNext/>
        <w:spacing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（图5：一般公共预算财政拨款支出决算变动情况）（柱状图）</w:t>
      </w:r>
    </w:p>
    <w:p w14:paraId="5B49075A">
      <w:pPr>
        <w:keepNext/>
        <w:spacing w:line="576" w:lineRule="exact"/>
        <w:ind w:firstLine="643"/>
        <w:jc w:val="both"/>
        <w:outlineLvl w:val="2"/>
        <w:rPr>
          <w:rFonts w:hint="eastAsia" w:ascii="仿宋_GB2312" w:hAnsi="仿宋_GB2312" w:eastAsia="仿宋_GB2312"/>
          <w:b/>
          <w:color w:val="000000"/>
          <w:kern w:val="2"/>
          <w:sz w:val="32"/>
          <w:szCs w:val="24"/>
          <w:lang w:val="zh-CN"/>
        </w:rPr>
      </w:pPr>
      <w:bookmarkStart w:id="13" w:name="_Toc3696"/>
      <w:bookmarkStart w:id="14" w:name="_Toc5089"/>
      <w:r>
        <w:rPr>
          <w:rFonts w:hint="eastAsia" w:ascii="仿宋_GB2312" w:hAnsi="仿宋_GB2312" w:eastAsia="仿宋_GB2312"/>
          <w:b/>
          <w:color w:val="000000"/>
          <w:kern w:val="2"/>
          <w:sz w:val="32"/>
          <w:szCs w:val="24"/>
          <w:lang w:val="zh-CN"/>
        </w:rPr>
        <w:t>（二）一般公共预算财政拨款支出决算结构情况。</w:t>
      </w:r>
      <w:bookmarkEnd w:id="13"/>
      <w:bookmarkEnd w:id="14"/>
    </w:p>
    <w:p w14:paraId="3B2BA903">
      <w:pPr>
        <w:keepNext/>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一般公共预算财政拨款支出1,436.9万元，主要用于以下方面:一般公共服务支出436.29万元，占30.4%；外交支出0万元，占0%；国防支出0万元，占0%；公共安全支出10.71万元，占0.7%；教育支出0万元，占0%；科学技术支出0万元，占0%；文化体育与传媒支出103.5万元，占7.2%；社会保障和就业支出190.06万元，占13.2%；卫生健康支出50.93万元，占3.5%；节能环保支出0万元，占0%；城乡社区支出0万元，占0%；农林水支出507.67万元，占35.3%；交通运输支出0万元，占0%；资源勘探工业信息等支出0万元，占0%；商业服务业等支出0万元，占0%；金融支出0万元，占0%；援助其他地区支出0万元，占0%；自然资源海洋气象等支出0万元，占0%；住房保障支出56.81万元，占4%；粮油物资储备支出0万元，占0%；国有资本经营预算支出0万元，占0%；灾害防治及应急管理支出10万元，占0.7%；其他支出70.94万元，占4.9%；债务还本支出0万元，占0%；债务付息支出0万元，占0%；抗疫特别国债安排的支出0万元，</w:t>
      </w:r>
      <w:r>
        <w:rPr>
          <w:rFonts w:hint="eastAsia" w:ascii="仿宋_GB2312" w:hAnsi="仿宋_GB2312" w:eastAsia="仿宋_GB2312"/>
          <w:color w:val="000000"/>
          <w:kern w:val="2"/>
          <w:sz w:val="32"/>
          <w:szCs w:val="24"/>
          <w:lang w:val="en-US" w:eastAsia="zh-CN"/>
        </w:rPr>
        <w:t>占</w:t>
      </w:r>
      <w:r>
        <w:rPr>
          <w:rFonts w:hint="eastAsia" w:ascii="仿宋_GB2312" w:hAnsi="仿宋_GB2312" w:eastAsia="仿宋_GB2312"/>
          <w:color w:val="000000"/>
          <w:kern w:val="2"/>
          <w:sz w:val="32"/>
          <w:szCs w:val="24"/>
          <w:lang w:val="zh-CN"/>
        </w:rPr>
        <w:t>0%。</w:t>
      </w:r>
    </w:p>
    <w:p w14:paraId="5B238FD4">
      <w:pPr>
        <w:keepNext/>
        <w:spacing w:line="600" w:lineRule="exact"/>
        <w:ind w:firstLine="640"/>
        <w:jc w:val="both"/>
        <w:rPr>
          <w:rFonts w:hint="eastAsia" w:ascii="仿宋" w:hAnsi="仿宋" w:eastAsia="仿宋"/>
          <w:b/>
          <w:color w:val="auto"/>
          <w:kern w:val="2"/>
          <w:sz w:val="32"/>
          <w:szCs w:val="24"/>
          <w:lang w:val="en-US"/>
        </w:rPr>
      </w:pPr>
      <w:r>
        <w:rPr>
          <w:rFonts w:hint="default" w:ascii="仿宋" w:hAnsi="仿宋" w:eastAsia="仿宋"/>
          <w:color w:val="auto"/>
          <w:kern w:val="2"/>
          <w:sz w:val="32"/>
          <w:szCs w:val="24"/>
          <w:lang w:val="en-US" w:eastAsia="zh-CN"/>
        </w:rPr>
        <w:pict>
          <v:shape id="对象 10" o:spid="_x0000_s2055" o:spt="75" type="#_x0000_t75" style="position:absolute;left:0pt;margin-left:-8.7pt;margin-top:-534.8pt;height:271.45pt;width:446.9pt;mso-wrap-distance-bottom:0pt;mso-wrap-distance-left:9pt;mso-wrap-distance-right:9pt;mso-wrap-distance-top:0pt;z-index:251664384;mso-width-relative:page;mso-height-relative:page;" o:ole="t" filled="f" o:preferrelative="t" stroked="f" coordsize="21600,21600">
            <v:path/>
            <v:fill on="f" focussize="0,0"/>
            <v:stroke on="f"/>
            <v:imagedata r:id="rId16" o:title=""/>
            <o:lock v:ext="edit" aspectratio="t"/>
            <w10:wrap type="square"/>
          </v:shape>
          <o:OLEObject Type="Embed" ProgID="Excel.Chart.8" ShapeID="对象 10" DrawAspect="Content" ObjectID="_1468075730" r:id="rId15">
            <o:LockedField>false</o:LockedField>
          </o:OLEObject>
        </w:pict>
      </w:r>
      <w:r>
        <w:rPr>
          <w:rFonts w:hint="eastAsia" w:ascii="仿宋" w:hAnsi="仿宋" w:eastAsia="仿宋"/>
          <w:b/>
          <w:color w:val="auto"/>
          <w:kern w:val="2"/>
          <w:sz w:val="32"/>
          <w:szCs w:val="24"/>
          <w:lang w:val="en-US"/>
        </w:rPr>
        <w:t>（注：数据来源于财决01-1表，仅罗列本部门涉及的全部功能分类科目，至类级。）</w:t>
      </w:r>
    </w:p>
    <w:p w14:paraId="0497A350">
      <w:pPr>
        <w:keepNext/>
        <w:spacing w:line="600" w:lineRule="exact"/>
        <w:ind w:firstLine="640"/>
        <w:jc w:val="both"/>
        <w:rPr>
          <w:rFonts w:hint="eastAsia" w:ascii="仿宋" w:hAnsi="仿宋" w:eastAsia="仿宋"/>
          <w:color w:val="auto"/>
          <w:kern w:val="2"/>
          <w:sz w:val="32"/>
          <w:szCs w:val="24"/>
          <w:lang w:val="en-US" w:eastAsia="zh-CN"/>
        </w:rPr>
      </w:pPr>
      <w:r>
        <w:rPr>
          <w:rFonts w:hint="eastAsia" w:ascii="仿宋" w:hAnsi="仿宋" w:eastAsia="仿宋"/>
          <w:color w:val="auto"/>
          <w:kern w:val="2"/>
          <w:sz w:val="32"/>
          <w:szCs w:val="24"/>
          <w:lang w:val="en-US"/>
        </w:rPr>
        <w:t>（图6：一般公共预算财政拨款支出决算结构）（饼状</w:t>
      </w:r>
    </w:p>
    <w:p w14:paraId="61F6B0BD">
      <w:pPr>
        <w:keepNext/>
        <w:spacing w:line="576" w:lineRule="exact"/>
        <w:jc w:val="both"/>
        <w:outlineLvl w:val="2"/>
        <w:rPr>
          <w:rFonts w:hint="eastAsia" w:ascii="仿宋_GB2312" w:hAnsi="仿宋_GB2312" w:eastAsia="仿宋_GB2312"/>
          <w:b/>
          <w:color w:val="000000"/>
          <w:kern w:val="2"/>
          <w:sz w:val="32"/>
          <w:szCs w:val="24"/>
          <w:lang w:val="zh-CN"/>
        </w:rPr>
      </w:pPr>
      <w:bookmarkStart w:id="15" w:name="_Toc12502"/>
      <w:bookmarkStart w:id="16" w:name="_Toc27191"/>
      <w:r>
        <w:rPr>
          <w:rFonts w:hint="eastAsia" w:ascii="仿宋_GB2312" w:hAnsi="仿宋_GB2312" w:eastAsia="仿宋_GB2312"/>
          <w:b/>
          <w:color w:val="000000"/>
          <w:kern w:val="2"/>
          <w:sz w:val="32"/>
          <w:szCs w:val="24"/>
          <w:lang w:val="zh-CN"/>
        </w:rPr>
        <w:t>（三）一般公共预算财政拨款支出决算具体情况。</w:t>
      </w:r>
      <w:bookmarkEnd w:id="15"/>
      <w:bookmarkEnd w:id="16"/>
    </w:p>
    <w:p w14:paraId="017E9438">
      <w:pPr>
        <w:keepNext/>
        <w:spacing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2022年一般公共预算支出决算数为1,436.9万元</w:t>
      </w:r>
      <w:r>
        <w:rPr>
          <w:rFonts w:hint="eastAsia" w:ascii="仿宋_GB2312" w:hAnsi="仿宋_GB2312" w:eastAsia="仿宋_GB2312"/>
          <w:color w:val="000000"/>
          <w:kern w:val="2"/>
          <w:sz w:val="32"/>
          <w:szCs w:val="24"/>
          <w:lang w:val="zh-CN"/>
        </w:rPr>
        <w:t>，</w:t>
      </w:r>
      <w:r>
        <w:rPr>
          <w:rFonts w:hint="eastAsia" w:ascii="仿宋_GB2312" w:hAnsi="仿宋_GB2312" w:eastAsia="仿宋_GB2312"/>
          <w:b/>
          <w:color w:val="000000"/>
          <w:kern w:val="2"/>
          <w:sz w:val="32"/>
          <w:szCs w:val="24"/>
          <w:lang w:val="zh-CN"/>
        </w:rPr>
        <w:t>完成预算100%。其中：</w:t>
      </w:r>
    </w:p>
    <w:p w14:paraId="1765DEF7">
      <w:pPr>
        <w:keepNext/>
        <w:numPr>
          <w:ilvl w:val="0"/>
          <w:numId w:val="0"/>
        </w:numPr>
        <w:spacing w:line="576" w:lineRule="exact"/>
        <w:ind w:firstLine="643" w:firstLineChars="200"/>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1.</w:t>
      </w:r>
      <w:r>
        <w:rPr>
          <w:rFonts w:hint="eastAsia" w:ascii="仿宋_GB2312" w:hAnsi="仿宋_GB2312" w:eastAsia="仿宋_GB2312"/>
          <w:b/>
          <w:color w:val="000000"/>
          <w:kern w:val="2"/>
          <w:sz w:val="32"/>
          <w:szCs w:val="24"/>
          <w:lang w:val="en-US"/>
        </w:rPr>
        <w:t>一般公共服务</w:t>
      </w:r>
      <w:r>
        <w:rPr>
          <w:rFonts w:hint="eastAsia" w:ascii="仿宋_GB2312" w:hAnsi="仿宋_GB2312" w:eastAsia="仿宋_GB2312"/>
          <w:b/>
          <w:color w:val="000000"/>
          <w:kern w:val="2"/>
          <w:sz w:val="32"/>
          <w:szCs w:val="24"/>
          <w:lang w:val="en-US" w:eastAsia="zh-CN"/>
        </w:rPr>
        <w:t>（类）人大事务（款）</w:t>
      </w:r>
      <w:r>
        <w:rPr>
          <w:rFonts w:hint="eastAsia" w:ascii="仿宋" w:hAnsi="仿宋" w:eastAsia="仿宋"/>
          <w:color w:val="auto"/>
          <w:kern w:val="2"/>
          <w:sz w:val="32"/>
          <w:szCs w:val="24"/>
          <w:lang w:val="en-US"/>
        </w:rPr>
        <w:t>行政运行</w:t>
      </w:r>
      <w:r>
        <w:rPr>
          <w:rFonts w:hint="eastAsia" w:ascii="仿宋" w:hAnsi="仿宋" w:eastAsia="仿宋"/>
          <w:color w:val="auto"/>
          <w:kern w:val="2"/>
          <w:sz w:val="32"/>
          <w:szCs w:val="24"/>
          <w:lang w:val="en-US" w:eastAsia="zh-CN"/>
        </w:rPr>
        <w:t>（项）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18.02</w:t>
      </w:r>
      <w:r>
        <w:rPr>
          <w:rFonts w:hint="eastAsia" w:ascii="仿宋" w:hAnsi="仿宋" w:eastAsia="仿宋"/>
          <w:color w:val="auto"/>
          <w:kern w:val="2"/>
          <w:sz w:val="32"/>
          <w:szCs w:val="24"/>
          <w:lang w:val="en-US"/>
        </w:rPr>
        <w:t>万元，完成预算100%。</w:t>
      </w:r>
    </w:p>
    <w:p w14:paraId="7A22EB59">
      <w:pPr>
        <w:keepNext/>
        <w:numPr>
          <w:ilvl w:val="0"/>
          <w:numId w:val="0"/>
        </w:numPr>
        <w:spacing w:line="576" w:lineRule="exact"/>
        <w:ind w:firstLine="643" w:firstLineChars="200"/>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2.</w:t>
      </w:r>
      <w:r>
        <w:rPr>
          <w:rFonts w:hint="eastAsia" w:ascii="仿宋_GB2312" w:hAnsi="仿宋_GB2312" w:eastAsia="仿宋_GB2312"/>
          <w:b/>
          <w:color w:val="000000"/>
          <w:kern w:val="2"/>
          <w:sz w:val="32"/>
          <w:szCs w:val="24"/>
          <w:lang w:val="en-US"/>
        </w:rPr>
        <w:t>一般公共服务</w:t>
      </w:r>
      <w:r>
        <w:rPr>
          <w:rFonts w:hint="eastAsia" w:ascii="仿宋_GB2312" w:hAnsi="仿宋_GB2312" w:eastAsia="仿宋_GB2312"/>
          <w:b/>
          <w:color w:val="000000"/>
          <w:kern w:val="2"/>
          <w:sz w:val="32"/>
          <w:szCs w:val="24"/>
          <w:lang w:val="en-US" w:eastAsia="zh-CN"/>
        </w:rPr>
        <w:t>（类）人大事务（款）</w:t>
      </w:r>
      <w:r>
        <w:rPr>
          <w:rFonts w:hint="eastAsia" w:ascii="仿宋" w:hAnsi="仿宋" w:eastAsia="仿宋"/>
          <w:color w:val="auto"/>
          <w:kern w:val="2"/>
          <w:sz w:val="32"/>
          <w:szCs w:val="24"/>
          <w:lang w:val="en-US"/>
        </w:rPr>
        <w:t>人大会议</w:t>
      </w:r>
      <w:r>
        <w:rPr>
          <w:rFonts w:hint="eastAsia" w:ascii="仿宋" w:hAnsi="仿宋" w:eastAsia="仿宋"/>
          <w:color w:val="auto"/>
          <w:kern w:val="2"/>
          <w:sz w:val="32"/>
          <w:szCs w:val="24"/>
          <w:lang w:val="en-US" w:eastAsia="zh-CN"/>
        </w:rPr>
        <w:t>（项）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3.3</w:t>
      </w:r>
      <w:r>
        <w:rPr>
          <w:rFonts w:hint="eastAsia" w:ascii="仿宋" w:hAnsi="仿宋" w:eastAsia="仿宋"/>
          <w:color w:val="auto"/>
          <w:kern w:val="2"/>
          <w:sz w:val="32"/>
          <w:szCs w:val="24"/>
          <w:lang w:val="en-US"/>
        </w:rPr>
        <w:t>万元，完成预算100%。</w:t>
      </w:r>
    </w:p>
    <w:p w14:paraId="50C0C87B">
      <w:pPr>
        <w:keepNext/>
        <w:numPr>
          <w:ilvl w:val="0"/>
          <w:numId w:val="0"/>
        </w:numPr>
        <w:spacing w:line="576" w:lineRule="exact"/>
        <w:ind w:firstLine="643" w:firstLineChars="200"/>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lang w:val="en-US"/>
        </w:rPr>
        <w:t>一般公共服务</w:t>
      </w:r>
      <w:r>
        <w:rPr>
          <w:rFonts w:hint="eastAsia" w:ascii="仿宋_GB2312" w:hAnsi="仿宋_GB2312" w:eastAsia="仿宋_GB2312"/>
          <w:b/>
          <w:color w:val="000000"/>
          <w:kern w:val="2"/>
          <w:sz w:val="32"/>
          <w:szCs w:val="24"/>
          <w:lang w:val="en-US" w:eastAsia="zh-CN"/>
        </w:rPr>
        <w:t>（类）政府办公厅（室）及相关机构服务（款）</w:t>
      </w:r>
      <w:r>
        <w:rPr>
          <w:rFonts w:hint="eastAsia" w:ascii="仿宋" w:hAnsi="仿宋" w:eastAsia="仿宋"/>
          <w:color w:val="auto"/>
          <w:kern w:val="2"/>
          <w:sz w:val="32"/>
          <w:szCs w:val="24"/>
          <w:lang w:val="en-US"/>
        </w:rPr>
        <w:t>行政运行</w:t>
      </w:r>
      <w:r>
        <w:rPr>
          <w:rFonts w:hint="eastAsia" w:ascii="仿宋" w:hAnsi="仿宋" w:eastAsia="仿宋"/>
          <w:color w:val="auto"/>
          <w:kern w:val="2"/>
          <w:sz w:val="32"/>
          <w:szCs w:val="24"/>
          <w:lang w:val="en-US" w:eastAsia="zh-CN"/>
        </w:rPr>
        <w:t>（项）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349.71</w:t>
      </w:r>
      <w:r>
        <w:rPr>
          <w:rFonts w:hint="eastAsia" w:ascii="仿宋" w:hAnsi="仿宋" w:eastAsia="仿宋"/>
          <w:color w:val="auto"/>
          <w:kern w:val="2"/>
          <w:sz w:val="32"/>
          <w:szCs w:val="24"/>
          <w:lang w:val="en-US"/>
        </w:rPr>
        <w:t>万元，完成预算100%。</w:t>
      </w:r>
    </w:p>
    <w:p w14:paraId="00C42684">
      <w:pPr>
        <w:keepNext/>
        <w:numPr>
          <w:ilvl w:val="0"/>
          <w:numId w:val="0"/>
        </w:numPr>
        <w:spacing w:line="576" w:lineRule="exact"/>
        <w:ind w:firstLine="640" w:firstLineChars="20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eastAsia="zh-CN"/>
        </w:rPr>
        <w:t>4.一</w:t>
      </w:r>
      <w:r>
        <w:rPr>
          <w:rFonts w:hint="eastAsia" w:ascii="仿宋_GB2312" w:hAnsi="仿宋_GB2312" w:eastAsia="仿宋_GB2312"/>
          <w:b/>
          <w:color w:val="000000"/>
          <w:kern w:val="2"/>
          <w:sz w:val="32"/>
          <w:szCs w:val="24"/>
          <w:lang w:val="en-US"/>
        </w:rPr>
        <w:t>般公共服务</w:t>
      </w:r>
      <w:r>
        <w:rPr>
          <w:rFonts w:hint="eastAsia" w:ascii="仿宋_GB2312" w:hAnsi="仿宋_GB2312" w:eastAsia="仿宋_GB2312"/>
          <w:b/>
          <w:color w:val="000000"/>
          <w:kern w:val="2"/>
          <w:sz w:val="32"/>
          <w:szCs w:val="24"/>
          <w:lang w:val="en-US" w:eastAsia="zh-CN"/>
        </w:rPr>
        <w:t>（类）政府办公厅（室）及相关机构服务（款）</w:t>
      </w:r>
      <w:r>
        <w:rPr>
          <w:rFonts w:hint="eastAsia" w:ascii="仿宋" w:hAnsi="仿宋" w:eastAsia="仿宋"/>
          <w:color w:val="auto"/>
          <w:kern w:val="2"/>
          <w:sz w:val="32"/>
          <w:szCs w:val="24"/>
          <w:lang w:val="en-US"/>
        </w:rPr>
        <w:t>一般行政管理事务</w:t>
      </w:r>
      <w:r>
        <w:rPr>
          <w:rFonts w:hint="eastAsia" w:ascii="仿宋" w:hAnsi="仿宋" w:eastAsia="仿宋"/>
          <w:color w:val="auto"/>
          <w:kern w:val="2"/>
          <w:sz w:val="32"/>
          <w:szCs w:val="24"/>
          <w:lang w:val="en-US" w:eastAsia="zh-CN"/>
        </w:rPr>
        <w:t>（项）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0.81</w:t>
      </w:r>
      <w:r>
        <w:rPr>
          <w:rFonts w:hint="eastAsia" w:ascii="仿宋" w:hAnsi="仿宋" w:eastAsia="仿宋"/>
          <w:color w:val="auto"/>
          <w:kern w:val="2"/>
          <w:sz w:val="32"/>
          <w:szCs w:val="24"/>
          <w:lang w:val="en-US"/>
        </w:rPr>
        <w:t>万元，完成预算100%。</w:t>
      </w:r>
    </w:p>
    <w:p w14:paraId="0A9BFD3A">
      <w:pPr>
        <w:keepNext/>
        <w:numPr>
          <w:ilvl w:val="0"/>
          <w:numId w:val="0"/>
        </w:numPr>
        <w:spacing w:line="576" w:lineRule="exact"/>
        <w:ind w:firstLine="643" w:firstLineChars="200"/>
        <w:jc w:val="both"/>
        <w:rPr>
          <w:rFonts w:hint="eastAsia" w:ascii="仿宋" w:hAnsi="仿宋" w:eastAsia="仿宋"/>
          <w:color w:val="auto"/>
          <w:kern w:val="2"/>
          <w:sz w:val="32"/>
          <w:szCs w:val="24"/>
          <w:lang w:val="en-US"/>
        </w:rPr>
      </w:pPr>
      <w:r>
        <w:rPr>
          <w:rFonts w:hint="eastAsia" w:ascii="仿宋_GB2312" w:hAnsi="仿宋_GB2312" w:eastAsia="仿宋_GB2312" w:cs="Times New Roman"/>
          <w:b/>
          <w:color w:val="000000"/>
          <w:kern w:val="2"/>
          <w:sz w:val="32"/>
          <w:szCs w:val="24"/>
          <w:lang w:val="en-US" w:eastAsia="zh-CN"/>
        </w:rPr>
        <w:t>5.一</w:t>
      </w:r>
      <w:r>
        <w:rPr>
          <w:rFonts w:hint="eastAsia" w:ascii="仿宋_GB2312" w:hAnsi="仿宋_GB2312" w:eastAsia="仿宋_GB2312"/>
          <w:b/>
          <w:color w:val="000000"/>
          <w:kern w:val="2"/>
          <w:sz w:val="32"/>
          <w:szCs w:val="24"/>
          <w:lang w:val="en-US"/>
        </w:rPr>
        <w:t>般公共服务</w:t>
      </w:r>
      <w:r>
        <w:rPr>
          <w:rFonts w:hint="eastAsia" w:ascii="仿宋_GB2312" w:hAnsi="仿宋_GB2312" w:eastAsia="仿宋_GB2312"/>
          <w:b/>
          <w:color w:val="000000"/>
          <w:kern w:val="2"/>
          <w:sz w:val="32"/>
          <w:szCs w:val="24"/>
          <w:lang w:val="en-US" w:eastAsia="zh-CN"/>
        </w:rPr>
        <w:t>（类）政府办公厅（室）及相关机构服务（款）</w:t>
      </w:r>
      <w:r>
        <w:rPr>
          <w:rFonts w:hint="eastAsia" w:ascii="仿宋" w:hAnsi="仿宋" w:eastAsia="仿宋"/>
          <w:color w:val="auto"/>
          <w:kern w:val="2"/>
          <w:sz w:val="32"/>
          <w:szCs w:val="24"/>
          <w:lang w:val="en-US"/>
        </w:rPr>
        <w:t>信访事务</w:t>
      </w:r>
      <w:r>
        <w:rPr>
          <w:rFonts w:hint="eastAsia" w:ascii="仿宋" w:hAnsi="仿宋" w:eastAsia="仿宋"/>
          <w:color w:val="auto"/>
          <w:kern w:val="2"/>
          <w:sz w:val="32"/>
          <w:szCs w:val="24"/>
          <w:lang w:val="en-US" w:eastAsia="zh-CN"/>
        </w:rPr>
        <w:t>（项）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1.68</w:t>
      </w:r>
      <w:r>
        <w:rPr>
          <w:rFonts w:hint="eastAsia" w:ascii="仿宋" w:hAnsi="仿宋" w:eastAsia="仿宋"/>
          <w:color w:val="auto"/>
          <w:kern w:val="2"/>
          <w:sz w:val="32"/>
          <w:szCs w:val="24"/>
          <w:lang w:val="en-US"/>
        </w:rPr>
        <w:t>万元，完成预算100%。</w:t>
      </w:r>
    </w:p>
    <w:p w14:paraId="3A558AF1">
      <w:pPr>
        <w:keepNext/>
        <w:numPr>
          <w:ilvl w:val="0"/>
          <w:numId w:val="0"/>
        </w:numPr>
        <w:spacing w:line="576" w:lineRule="exact"/>
        <w:ind w:firstLine="643" w:firstLineChars="200"/>
        <w:jc w:val="both"/>
        <w:rPr>
          <w:rFonts w:hint="eastAsia" w:ascii="仿宋" w:hAnsi="仿宋" w:eastAsia="仿宋"/>
          <w:color w:val="auto"/>
          <w:kern w:val="2"/>
          <w:sz w:val="32"/>
          <w:szCs w:val="24"/>
          <w:lang w:val="en-US"/>
        </w:rPr>
      </w:pPr>
      <w:r>
        <w:rPr>
          <w:rFonts w:hint="eastAsia" w:ascii="仿宋_GB2312" w:hAnsi="仿宋_GB2312" w:eastAsia="仿宋_GB2312" w:cs="Times New Roman"/>
          <w:b/>
          <w:color w:val="000000"/>
          <w:kern w:val="2"/>
          <w:sz w:val="32"/>
          <w:szCs w:val="24"/>
          <w:lang w:val="en-US" w:eastAsia="zh-CN"/>
        </w:rPr>
        <w:t>6.</w:t>
      </w:r>
      <w:r>
        <w:rPr>
          <w:rFonts w:hint="eastAsia" w:ascii="仿宋" w:hAnsi="仿宋" w:eastAsia="仿宋"/>
          <w:color w:val="auto"/>
          <w:kern w:val="2"/>
          <w:sz w:val="32"/>
          <w:szCs w:val="24"/>
          <w:lang w:val="en-US" w:eastAsia="zh-CN"/>
        </w:rPr>
        <w:t>一</w:t>
      </w:r>
      <w:r>
        <w:rPr>
          <w:rFonts w:hint="eastAsia" w:ascii="仿宋_GB2312" w:hAnsi="仿宋_GB2312" w:eastAsia="仿宋_GB2312"/>
          <w:b/>
          <w:color w:val="000000"/>
          <w:kern w:val="2"/>
          <w:sz w:val="32"/>
          <w:szCs w:val="24"/>
          <w:lang w:val="en-US"/>
        </w:rPr>
        <w:t>般公共服务</w:t>
      </w:r>
      <w:r>
        <w:rPr>
          <w:rFonts w:hint="eastAsia" w:ascii="仿宋_GB2312" w:hAnsi="仿宋_GB2312" w:eastAsia="仿宋_GB2312"/>
          <w:b/>
          <w:color w:val="000000"/>
          <w:kern w:val="2"/>
          <w:sz w:val="32"/>
          <w:szCs w:val="24"/>
          <w:lang w:val="en-US" w:eastAsia="zh-CN"/>
        </w:rPr>
        <w:t>（类）政府办公厅（室）及相关机构服务（款）</w:t>
      </w:r>
      <w:r>
        <w:rPr>
          <w:rFonts w:hint="eastAsia" w:ascii="仿宋" w:hAnsi="仿宋" w:eastAsia="仿宋"/>
          <w:color w:val="auto"/>
          <w:kern w:val="2"/>
          <w:sz w:val="32"/>
          <w:szCs w:val="24"/>
          <w:lang w:val="en-US"/>
        </w:rPr>
        <w:t>事业运行</w:t>
      </w:r>
      <w:r>
        <w:rPr>
          <w:rFonts w:hint="eastAsia" w:ascii="仿宋" w:hAnsi="仿宋" w:eastAsia="仿宋"/>
          <w:color w:val="auto"/>
          <w:kern w:val="2"/>
          <w:sz w:val="32"/>
          <w:szCs w:val="24"/>
          <w:lang w:val="en-US" w:eastAsia="zh-CN"/>
        </w:rPr>
        <w:t>（项）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41.52</w:t>
      </w:r>
      <w:r>
        <w:rPr>
          <w:rFonts w:hint="eastAsia" w:ascii="仿宋" w:hAnsi="仿宋" w:eastAsia="仿宋"/>
          <w:color w:val="auto"/>
          <w:kern w:val="2"/>
          <w:sz w:val="32"/>
          <w:szCs w:val="24"/>
          <w:lang w:val="en-US"/>
        </w:rPr>
        <w:t>万元，完成预算100%。</w:t>
      </w:r>
    </w:p>
    <w:p w14:paraId="23596D79">
      <w:pPr>
        <w:keepNext/>
        <w:numPr>
          <w:ilvl w:val="0"/>
          <w:numId w:val="0"/>
        </w:numPr>
        <w:spacing w:line="576" w:lineRule="exact"/>
        <w:ind w:firstLine="643" w:firstLineChars="200"/>
        <w:jc w:val="both"/>
        <w:rPr>
          <w:rFonts w:hint="eastAsia" w:ascii="仿宋" w:hAnsi="仿宋" w:eastAsia="仿宋"/>
          <w:color w:val="auto"/>
          <w:kern w:val="2"/>
          <w:sz w:val="32"/>
          <w:szCs w:val="24"/>
          <w:lang w:val="en-US" w:eastAsia="zh-CN"/>
        </w:rPr>
      </w:pPr>
      <w:r>
        <w:rPr>
          <w:rFonts w:hint="eastAsia" w:ascii="仿宋_GB2312" w:hAnsi="仿宋_GB2312" w:eastAsia="仿宋_GB2312" w:cs="Times New Roman"/>
          <w:b/>
          <w:color w:val="000000"/>
          <w:kern w:val="2"/>
          <w:sz w:val="32"/>
          <w:szCs w:val="24"/>
          <w:lang w:val="en-US" w:eastAsia="zh-CN"/>
        </w:rPr>
        <w:t>7.一</w:t>
      </w:r>
      <w:r>
        <w:rPr>
          <w:rFonts w:hint="eastAsia" w:ascii="仿宋_GB2312" w:hAnsi="仿宋_GB2312" w:eastAsia="仿宋_GB2312"/>
          <w:b/>
          <w:color w:val="000000"/>
          <w:kern w:val="2"/>
          <w:sz w:val="32"/>
          <w:szCs w:val="24"/>
          <w:lang w:val="en-US"/>
        </w:rPr>
        <w:t>般公共服务</w:t>
      </w:r>
      <w:r>
        <w:rPr>
          <w:rFonts w:hint="eastAsia" w:ascii="仿宋_GB2312" w:hAnsi="仿宋_GB2312" w:eastAsia="仿宋_GB2312"/>
          <w:b/>
          <w:color w:val="000000"/>
          <w:kern w:val="2"/>
          <w:sz w:val="32"/>
          <w:szCs w:val="24"/>
          <w:lang w:val="en-US" w:eastAsia="zh-CN"/>
        </w:rPr>
        <w:t>（类）纪检监察事务（款）</w:t>
      </w:r>
      <w:r>
        <w:rPr>
          <w:rFonts w:hint="eastAsia" w:ascii="仿宋" w:hAnsi="仿宋" w:eastAsia="仿宋"/>
          <w:color w:val="auto"/>
          <w:kern w:val="2"/>
          <w:sz w:val="32"/>
          <w:szCs w:val="24"/>
          <w:lang w:val="en-US" w:eastAsia="zh-CN"/>
        </w:rPr>
        <w:t>其他纪检监察事务支出（项）：支出决算为1.54万元，完成预算100%。</w:t>
      </w:r>
    </w:p>
    <w:p w14:paraId="16215B3C">
      <w:pPr>
        <w:keepNext/>
        <w:numPr>
          <w:ilvl w:val="0"/>
          <w:numId w:val="0"/>
        </w:numPr>
        <w:spacing w:line="576" w:lineRule="exact"/>
        <w:ind w:firstLine="643" w:firstLineChars="200"/>
        <w:jc w:val="both"/>
        <w:rPr>
          <w:rFonts w:hint="eastAsia" w:ascii="仿宋" w:hAnsi="仿宋" w:eastAsia="仿宋"/>
          <w:color w:val="auto"/>
          <w:kern w:val="2"/>
          <w:sz w:val="32"/>
          <w:szCs w:val="24"/>
          <w:lang w:val="en-US" w:eastAsia="zh-CN"/>
        </w:rPr>
      </w:pPr>
      <w:r>
        <w:rPr>
          <w:rFonts w:hint="eastAsia" w:ascii="仿宋_GB2312" w:hAnsi="仿宋_GB2312" w:eastAsia="仿宋_GB2312" w:cs="Times New Roman"/>
          <w:b/>
          <w:color w:val="000000"/>
          <w:kern w:val="2"/>
          <w:sz w:val="32"/>
          <w:szCs w:val="24"/>
          <w:lang w:val="en-US" w:eastAsia="zh-CN"/>
        </w:rPr>
        <w:t>8.一</w:t>
      </w:r>
      <w:r>
        <w:rPr>
          <w:rFonts w:hint="eastAsia" w:ascii="仿宋_GB2312" w:hAnsi="仿宋_GB2312" w:eastAsia="仿宋_GB2312"/>
          <w:b/>
          <w:color w:val="000000"/>
          <w:kern w:val="2"/>
          <w:sz w:val="32"/>
          <w:szCs w:val="24"/>
          <w:lang w:val="en-US"/>
        </w:rPr>
        <w:t>般公共服务</w:t>
      </w:r>
      <w:r>
        <w:rPr>
          <w:rFonts w:hint="eastAsia" w:ascii="仿宋_GB2312" w:hAnsi="仿宋_GB2312" w:eastAsia="仿宋_GB2312"/>
          <w:b/>
          <w:color w:val="000000"/>
          <w:kern w:val="2"/>
          <w:sz w:val="32"/>
          <w:szCs w:val="24"/>
          <w:lang w:val="en-US" w:eastAsia="zh-CN"/>
        </w:rPr>
        <w:t>（类）民族事务（款）</w:t>
      </w:r>
      <w:r>
        <w:rPr>
          <w:rFonts w:hint="eastAsia" w:ascii="仿宋" w:hAnsi="仿宋" w:eastAsia="仿宋"/>
          <w:color w:val="auto"/>
          <w:kern w:val="2"/>
          <w:sz w:val="32"/>
          <w:szCs w:val="24"/>
          <w:lang w:val="en-US" w:eastAsia="zh-CN"/>
        </w:rPr>
        <w:t>其他民族事务支出（项）：支出决算为1.6万元，完成预算100%。</w:t>
      </w:r>
    </w:p>
    <w:p w14:paraId="05E69D11">
      <w:pPr>
        <w:keepNext/>
        <w:numPr>
          <w:ilvl w:val="0"/>
          <w:numId w:val="0"/>
        </w:numPr>
        <w:spacing w:line="576" w:lineRule="exact"/>
        <w:ind w:firstLine="643" w:firstLineChars="200"/>
        <w:jc w:val="both"/>
        <w:rPr>
          <w:rFonts w:hint="eastAsia" w:ascii="仿宋" w:hAnsi="仿宋" w:eastAsia="仿宋"/>
          <w:color w:val="auto"/>
          <w:kern w:val="2"/>
          <w:sz w:val="32"/>
          <w:szCs w:val="24"/>
          <w:lang w:val="en-US"/>
        </w:rPr>
      </w:pPr>
      <w:r>
        <w:rPr>
          <w:rFonts w:hint="eastAsia" w:ascii="仿宋_GB2312" w:hAnsi="仿宋_GB2312" w:eastAsia="仿宋_GB2312" w:cs="Times New Roman"/>
          <w:b/>
          <w:color w:val="000000"/>
          <w:kern w:val="2"/>
          <w:sz w:val="32"/>
          <w:szCs w:val="24"/>
          <w:lang w:val="en-US" w:eastAsia="zh-CN"/>
        </w:rPr>
        <w:t>9.一</w:t>
      </w:r>
      <w:r>
        <w:rPr>
          <w:rFonts w:hint="eastAsia" w:ascii="仿宋_GB2312" w:hAnsi="仿宋_GB2312" w:eastAsia="仿宋_GB2312"/>
          <w:b/>
          <w:color w:val="000000"/>
          <w:kern w:val="2"/>
          <w:sz w:val="32"/>
          <w:szCs w:val="24"/>
          <w:lang w:val="en-US"/>
        </w:rPr>
        <w:t>般公共服务</w:t>
      </w:r>
      <w:r>
        <w:rPr>
          <w:rFonts w:hint="eastAsia" w:ascii="仿宋_GB2312" w:hAnsi="仿宋_GB2312" w:eastAsia="仿宋_GB2312"/>
          <w:b/>
          <w:color w:val="000000"/>
          <w:kern w:val="2"/>
          <w:sz w:val="32"/>
          <w:szCs w:val="24"/>
          <w:lang w:val="en-US" w:eastAsia="zh-CN"/>
        </w:rPr>
        <w:t>（类）党委办公厅（室）及相关机构事务（款）</w:t>
      </w:r>
      <w:r>
        <w:rPr>
          <w:rFonts w:hint="eastAsia" w:ascii="仿宋" w:hAnsi="仿宋" w:eastAsia="仿宋"/>
          <w:color w:val="auto"/>
          <w:kern w:val="2"/>
          <w:sz w:val="32"/>
          <w:szCs w:val="24"/>
          <w:lang w:val="en-US"/>
        </w:rPr>
        <w:t>行政运行</w:t>
      </w:r>
      <w:r>
        <w:rPr>
          <w:rFonts w:hint="eastAsia" w:ascii="仿宋" w:hAnsi="仿宋" w:eastAsia="仿宋"/>
          <w:color w:val="auto"/>
          <w:kern w:val="2"/>
          <w:sz w:val="32"/>
          <w:szCs w:val="24"/>
          <w:lang w:val="en-US" w:eastAsia="zh-CN"/>
        </w:rPr>
        <w:t>（项）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14.11</w:t>
      </w:r>
      <w:r>
        <w:rPr>
          <w:rFonts w:hint="eastAsia" w:ascii="仿宋" w:hAnsi="仿宋" w:eastAsia="仿宋"/>
          <w:color w:val="auto"/>
          <w:kern w:val="2"/>
          <w:sz w:val="32"/>
          <w:szCs w:val="24"/>
          <w:lang w:val="en-US"/>
        </w:rPr>
        <w:t>万元，完成预算100%。</w:t>
      </w:r>
    </w:p>
    <w:p w14:paraId="48943240">
      <w:pPr>
        <w:keepNext/>
        <w:numPr>
          <w:ilvl w:val="0"/>
          <w:numId w:val="0"/>
        </w:numPr>
        <w:spacing w:line="576" w:lineRule="exact"/>
        <w:ind w:firstLine="643" w:firstLineChars="200"/>
        <w:jc w:val="both"/>
        <w:rPr>
          <w:rFonts w:hint="eastAsia" w:ascii="仿宋" w:hAnsi="仿宋" w:eastAsia="仿宋"/>
          <w:color w:val="auto"/>
          <w:kern w:val="2"/>
          <w:sz w:val="32"/>
          <w:szCs w:val="24"/>
          <w:lang w:val="en-US" w:eastAsia="zh-CN"/>
        </w:rPr>
      </w:pPr>
      <w:r>
        <w:rPr>
          <w:rFonts w:hint="eastAsia" w:ascii="仿宋_GB2312" w:hAnsi="仿宋_GB2312" w:eastAsia="仿宋_GB2312" w:cs="Times New Roman"/>
          <w:b/>
          <w:color w:val="000000"/>
          <w:kern w:val="2"/>
          <w:sz w:val="32"/>
          <w:szCs w:val="24"/>
          <w:lang w:val="en-US" w:eastAsia="zh-CN"/>
        </w:rPr>
        <w:t>10.</w:t>
      </w:r>
      <w:r>
        <w:rPr>
          <w:rFonts w:hint="eastAsia" w:ascii="仿宋" w:hAnsi="仿宋" w:eastAsia="仿宋"/>
          <w:color w:val="auto"/>
          <w:kern w:val="2"/>
          <w:sz w:val="32"/>
          <w:szCs w:val="24"/>
          <w:lang w:val="en-US" w:eastAsia="zh-CN"/>
        </w:rPr>
        <w:t>一</w:t>
      </w:r>
      <w:r>
        <w:rPr>
          <w:rFonts w:hint="eastAsia" w:ascii="仿宋_GB2312" w:hAnsi="仿宋_GB2312" w:eastAsia="仿宋_GB2312"/>
          <w:b/>
          <w:color w:val="000000"/>
          <w:kern w:val="2"/>
          <w:sz w:val="32"/>
          <w:szCs w:val="24"/>
          <w:lang w:val="en-US"/>
        </w:rPr>
        <w:t>般公共服务</w:t>
      </w:r>
      <w:r>
        <w:rPr>
          <w:rFonts w:hint="eastAsia" w:ascii="仿宋_GB2312" w:hAnsi="仿宋_GB2312" w:eastAsia="仿宋_GB2312"/>
          <w:b/>
          <w:color w:val="000000"/>
          <w:kern w:val="2"/>
          <w:sz w:val="32"/>
          <w:szCs w:val="24"/>
          <w:lang w:val="en-US" w:eastAsia="zh-CN"/>
        </w:rPr>
        <w:t>（类）宣传事务（款）</w:t>
      </w:r>
      <w:r>
        <w:rPr>
          <w:rFonts w:hint="eastAsia" w:ascii="仿宋" w:hAnsi="仿宋" w:eastAsia="仿宋"/>
          <w:color w:val="auto"/>
          <w:kern w:val="2"/>
          <w:sz w:val="32"/>
          <w:szCs w:val="24"/>
          <w:lang w:val="en-US" w:eastAsia="zh-CN"/>
        </w:rPr>
        <w:t>其他宣传事务支出（项）：支出决算为4万元，完成预算100%。</w:t>
      </w:r>
    </w:p>
    <w:p w14:paraId="3C4B9303">
      <w:pPr>
        <w:keepNext/>
        <w:numPr>
          <w:ilvl w:val="0"/>
          <w:numId w:val="0"/>
        </w:numPr>
        <w:spacing w:line="576" w:lineRule="exact"/>
        <w:ind w:firstLine="643" w:firstLineChars="200"/>
        <w:jc w:val="both"/>
        <w:rPr>
          <w:rFonts w:hint="eastAsia" w:ascii="仿宋" w:hAnsi="仿宋" w:eastAsia="仿宋"/>
          <w:color w:val="auto"/>
          <w:kern w:val="2"/>
          <w:sz w:val="32"/>
          <w:szCs w:val="24"/>
          <w:lang w:val="en-US" w:eastAsia="zh-CN"/>
        </w:rPr>
      </w:pPr>
      <w:r>
        <w:rPr>
          <w:rFonts w:hint="eastAsia" w:ascii="仿宋_GB2312" w:hAnsi="仿宋_GB2312" w:eastAsia="仿宋_GB2312"/>
          <w:b/>
          <w:color w:val="000000"/>
          <w:kern w:val="2"/>
          <w:sz w:val="32"/>
          <w:szCs w:val="24"/>
          <w:lang w:val="en-US" w:eastAsia="zh-CN"/>
        </w:rPr>
        <w:t>11.公共安全支出（类）其他公共安全支出（款）其他公共安全支出（项）</w:t>
      </w:r>
      <w:r>
        <w:rPr>
          <w:rFonts w:hint="eastAsia" w:ascii="仿宋" w:hAnsi="仿宋" w:eastAsia="仿宋"/>
          <w:color w:val="auto"/>
          <w:kern w:val="2"/>
          <w:sz w:val="32"/>
          <w:szCs w:val="24"/>
          <w:lang w:val="en-US" w:eastAsia="zh-CN"/>
        </w:rPr>
        <w:t>：支出决算为10.71万元，完成预算100%。</w:t>
      </w:r>
    </w:p>
    <w:p w14:paraId="3F84A487">
      <w:pPr>
        <w:keepNext/>
        <w:spacing w:line="576" w:lineRule="exact"/>
        <w:ind w:firstLine="643" w:firstLineChars="200"/>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12.</w:t>
      </w:r>
      <w:r>
        <w:rPr>
          <w:rFonts w:hint="eastAsia" w:ascii="仿宋_GB2312" w:hAnsi="仿宋_GB2312" w:eastAsia="仿宋_GB2312"/>
          <w:b/>
          <w:color w:val="000000"/>
          <w:kern w:val="2"/>
          <w:sz w:val="32"/>
          <w:szCs w:val="24"/>
          <w:lang w:val="en-US"/>
        </w:rPr>
        <w:t>文化旅游体育与传媒支出</w:t>
      </w:r>
      <w:r>
        <w:rPr>
          <w:rFonts w:hint="eastAsia" w:ascii="仿宋_GB2312" w:hAnsi="仿宋_GB2312" w:eastAsia="仿宋_GB2312"/>
          <w:b/>
          <w:color w:val="000000"/>
          <w:kern w:val="2"/>
          <w:sz w:val="32"/>
          <w:szCs w:val="24"/>
          <w:lang w:val="en-US" w:eastAsia="zh-CN"/>
        </w:rPr>
        <w:t>（类）文化和旅游（款）</w:t>
      </w:r>
      <w:r>
        <w:rPr>
          <w:rFonts w:hint="eastAsia" w:ascii="仿宋" w:hAnsi="仿宋" w:eastAsia="仿宋"/>
          <w:color w:val="auto"/>
          <w:kern w:val="2"/>
          <w:sz w:val="32"/>
          <w:szCs w:val="24"/>
          <w:lang w:val="en-US"/>
        </w:rPr>
        <w:t>群众文化</w:t>
      </w:r>
      <w:r>
        <w:rPr>
          <w:rFonts w:hint="eastAsia" w:ascii="仿宋" w:hAnsi="仿宋" w:eastAsia="仿宋"/>
          <w:color w:val="auto"/>
          <w:kern w:val="2"/>
          <w:sz w:val="32"/>
          <w:szCs w:val="24"/>
          <w:lang w:val="en-US" w:eastAsia="zh-CN"/>
        </w:rPr>
        <w:t>（项）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98.7</w:t>
      </w:r>
      <w:r>
        <w:rPr>
          <w:rFonts w:hint="eastAsia" w:ascii="仿宋" w:hAnsi="仿宋" w:eastAsia="仿宋"/>
          <w:color w:val="auto"/>
          <w:kern w:val="2"/>
          <w:sz w:val="32"/>
          <w:szCs w:val="24"/>
          <w:lang w:val="en-US"/>
        </w:rPr>
        <w:t>万元，完成预算100%。</w:t>
      </w:r>
    </w:p>
    <w:p w14:paraId="44A9BFBA">
      <w:pPr>
        <w:keepNext/>
        <w:spacing w:line="576" w:lineRule="exact"/>
        <w:ind w:firstLine="643" w:firstLineChars="200"/>
        <w:jc w:val="both"/>
        <w:rPr>
          <w:rFonts w:hint="eastAsia" w:ascii="仿宋" w:hAnsi="仿宋" w:eastAsia="仿宋"/>
          <w:color w:val="auto"/>
          <w:kern w:val="2"/>
          <w:sz w:val="32"/>
          <w:szCs w:val="24"/>
          <w:lang w:val="en-US"/>
        </w:rPr>
      </w:pPr>
      <w:r>
        <w:rPr>
          <w:rFonts w:hint="eastAsia" w:ascii="仿宋_GB2312" w:hAnsi="仿宋_GB2312" w:eastAsia="仿宋_GB2312" w:cs="Times New Roman"/>
          <w:b/>
          <w:color w:val="000000"/>
          <w:kern w:val="2"/>
          <w:sz w:val="32"/>
          <w:szCs w:val="24"/>
          <w:lang w:val="en-US" w:eastAsia="zh-CN"/>
        </w:rPr>
        <w:t>13.文</w:t>
      </w:r>
      <w:r>
        <w:rPr>
          <w:rFonts w:hint="eastAsia" w:ascii="仿宋_GB2312" w:hAnsi="仿宋_GB2312" w:eastAsia="仿宋_GB2312"/>
          <w:b/>
          <w:color w:val="000000"/>
          <w:kern w:val="2"/>
          <w:sz w:val="32"/>
          <w:szCs w:val="24"/>
          <w:lang w:val="en-US"/>
        </w:rPr>
        <w:t>化旅游体育与传媒支出</w:t>
      </w:r>
      <w:r>
        <w:rPr>
          <w:rFonts w:hint="eastAsia" w:ascii="仿宋_GB2312" w:hAnsi="仿宋_GB2312" w:eastAsia="仿宋_GB2312"/>
          <w:b/>
          <w:color w:val="000000"/>
          <w:kern w:val="2"/>
          <w:sz w:val="32"/>
          <w:szCs w:val="24"/>
          <w:lang w:val="en-US" w:eastAsia="zh-CN"/>
        </w:rPr>
        <w:t>（类）文化和旅游（款）</w:t>
      </w:r>
      <w:r>
        <w:rPr>
          <w:rFonts w:hint="eastAsia" w:ascii="仿宋" w:hAnsi="仿宋" w:eastAsia="仿宋"/>
          <w:color w:val="auto"/>
          <w:kern w:val="2"/>
          <w:sz w:val="32"/>
          <w:szCs w:val="24"/>
          <w:lang w:val="en-US"/>
        </w:rPr>
        <w:t>其他文化和旅游支出</w:t>
      </w:r>
      <w:r>
        <w:rPr>
          <w:rFonts w:hint="eastAsia" w:ascii="仿宋" w:hAnsi="仿宋" w:eastAsia="仿宋"/>
          <w:color w:val="auto"/>
          <w:kern w:val="2"/>
          <w:sz w:val="32"/>
          <w:szCs w:val="24"/>
          <w:lang w:val="en-US" w:eastAsia="zh-CN"/>
        </w:rPr>
        <w:t>（项）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4.8</w:t>
      </w:r>
      <w:r>
        <w:rPr>
          <w:rFonts w:hint="eastAsia" w:ascii="仿宋" w:hAnsi="仿宋" w:eastAsia="仿宋"/>
          <w:color w:val="auto"/>
          <w:kern w:val="2"/>
          <w:sz w:val="32"/>
          <w:szCs w:val="24"/>
          <w:lang w:val="en-US"/>
        </w:rPr>
        <w:t>万元，完成预算100%。</w:t>
      </w:r>
    </w:p>
    <w:p w14:paraId="0982D402">
      <w:pPr>
        <w:keepNext/>
        <w:numPr>
          <w:ilvl w:val="0"/>
          <w:numId w:val="0"/>
        </w:numPr>
        <w:spacing w:line="576" w:lineRule="exact"/>
        <w:ind w:firstLine="643" w:firstLineChars="200"/>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14.社会保障</w:t>
      </w:r>
      <w:r>
        <w:rPr>
          <w:rFonts w:hint="eastAsia" w:ascii="仿宋_GB2312" w:hAnsi="仿宋_GB2312" w:eastAsia="仿宋_GB2312"/>
          <w:b/>
          <w:color w:val="000000"/>
          <w:kern w:val="2"/>
          <w:sz w:val="32"/>
          <w:szCs w:val="24"/>
          <w:lang w:val="en-US"/>
        </w:rPr>
        <w:t>和就业支出</w:t>
      </w:r>
      <w:r>
        <w:rPr>
          <w:rFonts w:hint="eastAsia" w:ascii="仿宋_GB2312" w:hAnsi="仿宋_GB2312" w:eastAsia="仿宋_GB2312"/>
          <w:b/>
          <w:color w:val="000000"/>
          <w:kern w:val="2"/>
          <w:sz w:val="32"/>
          <w:szCs w:val="24"/>
          <w:lang w:val="en-US" w:eastAsia="zh-CN"/>
        </w:rPr>
        <w:t>（类）人力资源和社会保障管理事务（款）</w:t>
      </w:r>
      <w:r>
        <w:rPr>
          <w:rFonts w:hint="eastAsia" w:ascii="仿宋" w:hAnsi="仿宋" w:eastAsia="仿宋"/>
          <w:color w:val="auto"/>
          <w:kern w:val="2"/>
          <w:sz w:val="32"/>
          <w:szCs w:val="24"/>
          <w:lang w:val="en-US"/>
        </w:rPr>
        <w:t>社会保险经办机构</w:t>
      </w:r>
      <w:r>
        <w:rPr>
          <w:rFonts w:hint="eastAsia" w:ascii="仿宋" w:hAnsi="仿宋" w:eastAsia="仿宋"/>
          <w:color w:val="auto"/>
          <w:kern w:val="2"/>
          <w:sz w:val="32"/>
          <w:szCs w:val="24"/>
          <w:lang w:val="en-US" w:eastAsia="zh-CN"/>
        </w:rPr>
        <w:t>（项）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15.36</w:t>
      </w:r>
      <w:r>
        <w:rPr>
          <w:rFonts w:hint="eastAsia" w:ascii="仿宋" w:hAnsi="仿宋" w:eastAsia="仿宋"/>
          <w:color w:val="auto"/>
          <w:kern w:val="2"/>
          <w:sz w:val="32"/>
          <w:szCs w:val="24"/>
          <w:lang w:val="en-US"/>
        </w:rPr>
        <w:t>万元，完成预算100%。</w:t>
      </w:r>
    </w:p>
    <w:p w14:paraId="3FF6B958">
      <w:pPr>
        <w:keepNext/>
        <w:numPr>
          <w:ilvl w:val="0"/>
          <w:numId w:val="0"/>
        </w:numPr>
        <w:spacing w:line="576" w:lineRule="exact"/>
        <w:ind w:firstLine="643" w:firstLineChars="200"/>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15.社会保障</w:t>
      </w:r>
      <w:r>
        <w:rPr>
          <w:rFonts w:hint="eastAsia" w:ascii="仿宋_GB2312" w:hAnsi="仿宋_GB2312" w:eastAsia="仿宋_GB2312"/>
          <w:b/>
          <w:color w:val="000000"/>
          <w:kern w:val="2"/>
          <w:sz w:val="32"/>
          <w:szCs w:val="24"/>
          <w:lang w:val="en-US"/>
        </w:rPr>
        <w:t>和就业支出</w:t>
      </w:r>
      <w:r>
        <w:rPr>
          <w:rFonts w:hint="eastAsia" w:ascii="仿宋_GB2312" w:hAnsi="仿宋_GB2312" w:eastAsia="仿宋_GB2312"/>
          <w:b/>
          <w:color w:val="000000"/>
          <w:kern w:val="2"/>
          <w:sz w:val="32"/>
          <w:szCs w:val="24"/>
          <w:lang w:val="en-US" w:eastAsia="zh-CN"/>
        </w:rPr>
        <w:t>（类）人力资源和社会保障管理事务（款）</w:t>
      </w:r>
      <w:r>
        <w:rPr>
          <w:rFonts w:hint="eastAsia" w:ascii="仿宋" w:hAnsi="仿宋" w:eastAsia="仿宋"/>
          <w:color w:val="auto"/>
          <w:kern w:val="2"/>
          <w:sz w:val="32"/>
          <w:szCs w:val="24"/>
          <w:lang w:val="en-US" w:eastAsia="zh-CN"/>
        </w:rPr>
        <w:t>其他人力资源和社会保障管理事务支出（项）:支出决算为18.16万元，完成预算100%。</w:t>
      </w:r>
    </w:p>
    <w:p w14:paraId="6FC7A786">
      <w:pPr>
        <w:keepNext/>
        <w:spacing w:line="576" w:lineRule="exact"/>
        <w:ind w:firstLine="643" w:firstLineChars="200"/>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16.社会保障</w:t>
      </w:r>
      <w:r>
        <w:rPr>
          <w:rFonts w:hint="eastAsia" w:ascii="仿宋_GB2312" w:hAnsi="仿宋_GB2312" w:eastAsia="仿宋_GB2312"/>
          <w:b/>
          <w:color w:val="000000"/>
          <w:kern w:val="2"/>
          <w:sz w:val="32"/>
          <w:szCs w:val="24"/>
          <w:lang w:val="en-US"/>
        </w:rPr>
        <w:t>和就业支出</w:t>
      </w:r>
      <w:r>
        <w:rPr>
          <w:rFonts w:hint="eastAsia" w:ascii="仿宋_GB2312" w:hAnsi="仿宋_GB2312" w:eastAsia="仿宋_GB2312"/>
          <w:b/>
          <w:color w:val="000000"/>
          <w:kern w:val="2"/>
          <w:sz w:val="32"/>
          <w:szCs w:val="24"/>
          <w:lang w:val="en-US" w:eastAsia="zh-CN"/>
        </w:rPr>
        <w:t>（类）民政管理事务（款）</w:t>
      </w:r>
      <w:r>
        <w:rPr>
          <w:rFonts w:hint="eastAsia" w:ascii="仿宋" w:hAnsi="仿宋" w:eastAsia="仿宋"/>
          <w:color w:val="auto"/>
          <w:kern w:val="2"/>
          <w:sz w:val="32"/>
          <w:szCs w:val="24"/>
          <w:lang w:val="en-US"/>
        </w:rPr>
        <w:t>其他民政管理事务支出</w:t>
      </w:r>
      <w:r>
        <w:rPr>
          <w:rFonts w:hint="eastAsia" w:ascii="仿宋" w:hAnsi="仿宋" w:eastAsia="仿宋"/>
          <w:color w:val="auto"/>
          <w:kern w:val="2"/>
          <w:sz w:val="32"/>
          <w:szCs w:val="24"/>
          <w:lang w:val="en-US" w:eastAsia="zh-CN"/>
        </w:rPr>
        <w:t>（项）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19.04</w:t>
      </w:r>
      <w:r>
        <w:rPr>
          <w:rFonts w:hint="eastAsia" w:ascii="仿宋" w:hAnsi="仿宋" w:eastAsia="仿宋"/>
          <w:color w:val="auto"/>
          <w:kern w:val="2"/>
          <w:sz w:val="32"/>
          <w:szCs w:val="24"/>
          <w:lang w:val="en-US"/>
        </w:rPr>
        <w:t>万元，完成预算100%。</w:t>
      </w:r>
    </w:p>
    <w:p w14:paraId="0AAF3A4E">
      <w:pPr>
        <w:keepNext/>
        <w:spacing w:line="576" w:lineRule="exact"/>
        <w:ind w:firstLine="643" w:firstLineChars="200"/>
        <w:jc w:val="both"/>
        <w:rPr>
          <w:rFonts w:hint="eastAsia" w:ascii="仿宋" w:hAnsi="仿宋" w:eastAsia="仿宋"/>
          <w:color w:val="auto"/>
          <w:kern w:val="2"/>
          <w:sz w:val="32"/>
          <w:szCs w:val="24"/>
          <w:lang w:val="en-US"/>
        </w:rPr>
      </w:pPr>
      <w:r>
        <w:rPr>
          <w:rFonts w:hint="eastAsia" w:ascii="仿宋_GB2312" w:hAnsi="仿宋_GB2312" w:eastAsia="仿宋_GB2312" w:cs="Times New Roman"/>
          <w:b/>
          <w:color w:val="000000"/>
          <w:kern w:val="2"/>
          <w:sz w:val="32"/>
          <w:szCs w:val="24"/>
          <w:lang w:val="en-US" w:eastAsia="zh-CN"/>
        </w:rPr>
        <w:t>17.社</w:t>
      </w:r>
      <w:r>
        <w:rPr>
          <w:rFonts w:hint="eastAsia" w:ascii="仿宋_GB2312" w:hAnsi="仿宋_GB2312" w:eastAsia="仿宋_GB2312"/>
          <w:b/>
          <w:color w:val="000000"/>
          <w:kern w:val="2"/>
          <w:sz w:val="32"/>
          <w:szCs w:val="24"/>
          <w:lang w:val="en-US" w:eastAsia="zh-CN"/>
        </w:rPr>
        <w:t>会保障</w:t>
      </w:r>
      <w:r>
        <w:rPr>
          <w:rFonts w:hint="eastAsia" w:ascii="仿宋_GB2312" w:hAnsi="仿宋_GB2312" w:eastAsia="仿宋_GB2312"/>
          <w:b/>
          <w:color w:val="000000"/>
          <w:kern w:val="2"/>
          <w:sz w:val="32"/>
          <w:szCs w:val="24"/>
          <w:lang w:val="en-US"/>
        </w:rPr>
        <w:t>和就业支出</w:t>
      </w:r>
      <w:r>
        <w:rPr>
          <w:rFonts w:hint="eastAsia" w:ascii="仿宋_GB2312" w:hAnsi="仿宋_GB2312" w:eastAsia="仿宋_GB2312"/>
          <w:b/>
          <w:color w:val="000000"/>
          <w:kern w:val="2"/>
          <w:sz w:val="32"/>
          <w:szCs w:val="24"/>
          <w:lang w:val="en-US" w:eastAsia="zh-CN"/>
        </w:rPr>
        <w:t>（类）行政事业单位养老支出（款）</w:t>
      </w:r>
      <w:r>
        <w:rPr>
          <w:rFonts w:hint="eastAsia" w:ascii="仿宋" w:hAnsi="仿宋" w:eastAsia="仿宋"/>
          <w:color w:val="auto"/>
          <w:kern w:val="2"/>
          <w:sz w:val="32"/>
          <w:szCs w:val="24"/>
          <w:lang w:val="en-US"/>
        </w:rPr>
        <w:t>行政单位离退休</w:t>
      </w:r>
      <w:r>
        <w:rPr>
          <w:rFonts w:hint="eastAsia" w:ascii="仿宋" w:hAnsi="仿宋" w:eastAsia="仿宋"/>
          <w:color w:val="auto"/>
          <w:kern w:val="2"/>
          <w:sz w:val="32"/>
          <w:szCs w:val="24"/>
          <w:lang w:val="en-US" w:eastAsia="zh-CN"/>
        </w:rPr>
        <w:t>（项）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21.87</w:t>
      </w:r>
      <w:r>
        <w:rPr>
          <w:rFonts w:hint="eastAsia" w:ascii="仿宋" w:hAnsi="仿宋" w:eastAsia="仿宋"/>
          <w:color w:val="auto"/>
          <w:kern w:val="2"/>
          <w:sz w:val="32"/>
          <w:szCs w:val="24"/>
          <w:lang w:val="en-US"/>
        </w:rPr>
        <w:t>万元，完成预算100%。</w:t>
      </w:r>
    </w:p>
    <w:p w14:paraId="7848E89F">
      <w:pPr>
        <w:keepNext/>
        <w:spacing w:line="576" w:lineRule="exact"/>
        <w:ind w:firstLine="643" w:firstLineChars="200"/>
        <w:jc w:val="both"/>
        <w:rPr>
          <w:rFonts w:hint="eastAsia" w:ascii="仿宋" w:hAnsi="仿宋" w:eastAsia="仿宋"/>
          <w:color w:val="auto"/>
          <w:kern w:val="2"/>
          <w:sz w:val="32"/>
          <w:szCs w:val="24"/>
          <w:lang w:val="en-US"/>
        </w:rPr>
      </w:pPr>
      <w:r>
        <w:rPr>
          <w:rFonts w:hint="eastAsia" w:ascii="仿宋_GB2312" w:hAnsi="仿宋_GB2312" w:eastAsia="仿宋_GB2312" w:cs="Times New Roman"/>
          <w:b/>
          <w:color w:val="000000"/>
          <w:kern w:val="2"/>
          <w:sz w:val="32"/>
          <w:szCs w:val="24"/>
          <w:lang w:val="en-US" w:eastAsia="zh-CN"/>
        </w:rPr>
        <w:t>18.社会保障和就业支出（类）行政事业单位养老支出（款）</w:t>
      </w:r>
      <w:r>
        <w:rPr>
          <w:rFonts w:hint="eastAsia" w:ascii="仿宋" w:hAnsi="仿宋" w:eastAsia="仿宋"/>
          <w:color w:val="auto"/>
          <w:kern w:val="2"/>
          <w:sz w:val="32"/>
          <w:szCs w:val="24"/>
          <w:lang w:val="en-US"/>
        </w:rPr>
        <w:t>事业单位离退休</w:t>
      </w:r>
      <w:r>
        <w:rPr>
          <w:rFonts w:hint="eastAsia" w:ascii="仿宋" w:hAnsi="仿宋" w:eastAsia="仿宋"/>
          <w:color w:val="auto"/>
          <w:kern w:val="2"/>
          <w:sz w:val="32"/>
          <w:szCs w:val="24"/>
          <w:lang w:val="en-US" w:eastAsia="zh-CN"/>
        </w:rPr>
        <w:t>（项）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17.04</w:t>
      </w:r>
      <w:r>
        <w:rPr>
          <w:rFonts w:hint="eastAsia" w:ascii="仿宋" w:hAnsi="仿宋" w:eastAsia="仿宋"/>
          <w:color w:val="auto"/>
          <w:kern w:val="2"/>
          <w:sz w:val="32"/>
          <w:szCs w:val="24"/>
          <w:lang w:val="en-US"/>
        </w:rPr>
        <w:t>万元，完成预算100%。</w:t>
      </w:r>
    </w:p>
    <w:p w14:paraId="0D83CD1B">
      <w:pPr>
        <w:keepNext/>
        <w:spacing w:line="576" w:lineRule="exact"/>
        <w:ind w:firstLine="643" w:firstLineChars="200"/>
        <w:jc w:val="both"/>
        <w:rPr>
          <w:rFonts w:hint="eastAsia" w:ascii="仿宋" w:hAnsi="仿宋" w:eastAsia="仿宋"/>
          <w:color w:val="auto"/>
          <w:kern w:val="2"/>
          <w:sz w:val="32"/>
          <w:szCs w:val="24"/>
          <w:lang w:val="en-US"/>
        </w:rPr>
      </w:pPr>
      <w:r>
        <w:rPr>
          <w:rFonts w:hint="eastAsia" w:ascii="仿宋_GB2312" w:hAnsi="仿宋_GB2312" w:eastAsia="仿宋_GB2312" w:cs="Times New Roman"/>
          <w:b/>
          <w:color w:val="000000"/>
          <w:kern w:val="2"/>
          <w:sz w:val="32"/>
          <w:szCs w:val="24"/>
          <w:lang w:val="en-US" w:eastAsia="zh-CN"/>
        </w:rPr>
        <w:t>19.社会保障和就业支出（类）行政事业单位养老支出（款）</w:t>
      </w:r>
      <w:r>
        <w:rPr>
          <w:rFonts w:hint="eastAsia" w:ascii="仿宋" w:hAnsi="仿宋" w:eastAsia="仿宋"/>
          <w:color w:val="auto"/>
          <w:kern w:val="2"/>
          <w:sz w:val="32"/>
          <w:szCs w:val="24"/>
          <w:lang w:val="en-US"/>
        </w:rPr>
        <w:t>机关事业单位基本养老保险缴费支出</w:t>
      </w:r>
      <w:r>
        <w:rPr>
          <w:rFonts w:hint="eastAsia" w:ascii="仿宋" w:hAnsi="仿宋" w:eastAsia="仿宋"/>
          <w:color w:val="auto"/>
          <w:kern w:val="2"/>
          <w:sz w:val="32"/>
          <w:szCs w:val="24"/>
          <w:lang w:val="en-US" w:eastAsia="zh-CN"/>
        </w:rPr>
        <w:t>（项）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49.77</w:t>
      </w:r>
      <w:r>
        <w:rPr>
          <w:rFonts w:hint="eastAsia" w:ascii="仿宋" w:hAnsi="仿宋" w:eastAsia="仿宋"/>
          <w:color w:val="auto"/>
          <w:kern w:val="2"/>
          <w:sz w:val="32"/>
          <w:szCs w:val="24"/>
          <w:lang w:val="en-US"/>
        </w:rPr>
        <w:t>万元，完成预算100%。</w:t>
      </w:r>
    </w:p>
    <w:p w14:paraId="64E7A60A">
      <w:pPr>
        <w:keepNext/>
        <w:spacing w:line="576" w:lineRule="exact"/>
        <w:ind w:firstLine="643" w:firstLineChars="200"/>
        <w:jc w:val="both"/>
        <w:rPr>
          <w:rFonts w:hint="eastAsia" w:ascii="仿宋" w:hAnsi="仿宋" w:eastAsia="仿宋"/>
          <w:color w:val="auto"/>
          <w:kern w:val="2"/>
          <w:sz w:val="32"/>
          <w:szCs w:val="24"/>
          <w:lang w:val="en-US"/>
        </w:rPr>
      </w:pPr>
      <w:r>
        <w:rPr>
          <w:rFonts w:hint="eastAsia" w:ascii="仿宋_GB2312" w:hAnsi="仿宋_GB2312" w:eastAsia="仿宋_GB2312" w:cs="Times New Roman"/>
          <w:b/>
          <w:color w:val="000000"/>
          <w:kern w:val="2"/>
          <w:sz w:val="32"/>
          <w:szCs w:val="24"/>
          <w:lang w:val="en-US" w:eastAsia="zh-CN"/>
        </w:rPr>
        <w:t>20.社会保障和就业支出（类）抚恤（款）</w:t>
      </w:r>
      <w:r>
        <w:rPr>
          <w:rFonts w:hint="eastAsia" w:ascii="仿宋" w:hAnsi="仿宋" w:eastAsia="仿宋"/>
          <w:color w:val="auto"/>
          <w:kern w:val="2"/>
          <w:sz w:val="32"/>
          <w:szCs w:val="24"/>
          <w:lang w:val="en-US"/>
        </w:rPr>
        <w:t>死亡抚恤</w:t>
      </w:r>
      <w:r>
        <w:rPr>
          <w:rFonts w:hint="eastAsia" w:ascii="仿宋" w:hAnsi="仿宋" w:eastAsia="仿宋"/>
          <w:color w:val="auto"/>
          <w:kern w:val="2"/>
          <w:sz w:val="32"/>
          <w:szCs w:val="24"/>
          <w:lang w:val="en-US" w:eastAsia="zh-CN"/>
        </w:rPr>
        <w:t>（项）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22.11</w:t>
      </w:r>
      <w:r>
        <w:rPr>
          <w:rFonts w:hint="eastAsia" w:ascii="仿宋" w:hAnsi="仿宋" w:eastAsia="仿宋"/>
          <w:color w:val="auto"/>
          <w:kern w:val="2"/>
          <w:sz w:val="32"/>
          <w:szCs w:val="24"/>
          <w:lang w:val="en-US"/>
        </w:rPr>
        <w:t>万元，完成预算100%。</w:t>
      </w:r>
    </w:p>
    <w:p w14:paraId="1F97E72E">
      <w:pPr>
        <w:keepNext/>
        <w:spacing w:line="576" w:lineRule="exact"/>
        <w:ind w:firstLine="643"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cs="Times New Roman"/>
          <w:b/>
          <w:color w:val="000000"/>
          <w:kern w:val="2"/>
          <w:sz w:val="32"/>
          <w:szCs w:val="24"/>
          <w:lang w:val="en-US" w:eastAsia="zh-CN"/>
        </w:rPr>
        <w:t>21.社会保障和就业支出（类）特困人员救助供养（款）</w:t>
      </w:r>
      <w:r>
        <w:rPr>
          <w:rFonts w:hint="eastAsia" w:ascii="仿宋" w:hAnsi="仿宋" w:eastAsia="仿宋"/>
          <w:color w:val="auto"/>
          <w:kern w:val="2"/>
          <w:sz w:val="32"/>
          <w:szCs w:val="24"/>
          <w:lang w:val="en-US"/>
        </w:rPr>
        <w:t>农村特困人员救助供养支出</w:t>
      </w:r>
      <w:r>
        <w:rPr>
          <w:rFonts w:hint="eastAsia" w:ascii="仿宋" w:hAnsi="仿宋" w:eastAsia="仿宋"/>
          <w:color w:val="auto"/>
          <w:kern w:val="2"/>
          <w:sz w:val="32"/>
          <w:szCs w:val="24"/>
          <w:lang w:val="en-US" w:eastAsia="zh-CN"/>
        </w:rPr>
        <w:t>（项）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26.71</w:t>
      </w:r>
      <w:r>
        <w:rPr>
          <w:rFonts w:hint="eastAsia" w:ascii="仿宋" w:hAnsi="仿宋" w:eastAsia="仿宋"/>
          <w:color w:val="auto"/>
          <w:kern w:val="2"/>
          <w:sz w:val="32"/>
          <w:szCs w:val="24"/>
          <w:lang w:val="en-US"/>
        </w:rPr>
        <w:t>万元，完成预算100%。</w:t>
      </w:r>
    </w:p>
    <w:p w14:paraId="296DEA51">
      <w:pPr>
        <w:keepNext/>
        <w:numPr>
          <w:ilvl w:val="0"/>
          <w:numId w:val="0"/>
        </w:numPr>
        <w:spacing w:line="576" w:lineRule="exact"/>
        <w:ind w:firstLine="643" w:firstLineChars="200"/>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22.</w:t>
      </w:r>
      <w:r>
        <w:rPr>
          <w:rFonts w:hint="eastAsia" w:ascii="仿宋_GB2312" w:hAnsi="仿宋_GB2312" w:eastAsia="仿宋_GB2312"/>
          <w:b/>
          <w:color w:val="000000"/>
          <w:kern w:val="2"/>
          <w:sz w:val="32"/>
          <w:szCs w:val="24"/>
          <w:lang w:val="en-US"/>
        </w:rPr>
        <w:t>卫生健康支出</w:t>
      </w:r>
      <w:r>
        <w:rPr>
          <w:rFonts w:hint="eastAsia" w:ascii="仿宋_GB2312" w:hAnsi="仿宋_GB2312" w:eastAsia="仿宋_GB2312"/>
          <w:b/>
          <w:color w:val="000000"/>
          <w:kern w:val="2"/>
          <w:sz w:val="32"/>
          <w:szCs w:val="24"/>
          <w:lang w:val="en-US" w:eastAsia="zh-CN"/>
        </w:rPr>
        <w:t>（类）公共卫生（款）</w:t>
      </w:r>
      <w:r>
        <w:rPr>
          <w:rFonts w:hint="eastAsia" w:ascii="仿宋" w:hAnsi="仿宋" w:eastAsia="仿宋"/>
          <w:color w:val="auto"/>
          <w:kern w:val="2"/>
          <w:sz w:val="32"/>
          <w:szCs w:val="24"/>
          <w:lang w:val="en-US"/>
        </w:rPr>
        <w:t>重大公共卫生服务</w:t>
      </w:r>
      <w:r>
        <w:rPr>
          <w:rFonts w:hint="eastAsia" w:ascii="仿宋" w:hAnsi="仿宋" w:eastAsia="仿宋"/>
          <w:color w:val="auto"/>
          <w:kern w:val="2"/>
          <w:sz w:val="32"/>
          <w:szCs w:val="24"/>
          <w:lang w:val="en-US" w:eastAsia="zh-CN"/>
        </w:rPr>
        <w:t>（项）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0.75</w:t>
      </w:r>
      <w:r>
        <w:rPr>
          <w:rFonts w:hint="eastAsia" w:ascii="仿宋" w:hAnsi="仿宋" w:eastAsia="仿宋"/>
          <w:color w:val="auto"/>
          <w:kern w:val="2"/>
          <w:sz w:val="32"/>
          <w:szCs w:val="24"/>
          <w:lang w:val="en-US"/>
        </w:rPr>
        <w:t>万元，完成预算100%。</w:t>
      </w:r>
    </w:p>
    <w:p w14:paraId="2400EF7E">
      <w:pPr>
        <w:keepNext/>
        <w:spacing w:line="576" w:lineRule="exact"/>
        <w:ind w:firstLine="643" w:firstLineChars="200"/>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23.</w:t>
      </w:r>
      <w:r>
        <w:rPr>
          <w:rFonts w:hint="eastAsia" w:ascii="仿宋_GB2312" w:hAnsi="仿宋_GB2312" w:eastAsia="仿宋_GB2312"/>
          <w:b/>
          <w:color w:val="000000"/>
          <w:kern w:val="2"/>
          <w:sz w:val="32"/>
          <w:szCs w:val="24"/>
          <w:lang w:val="en-US"/>
        </w:rPr>
        <w:t>卫生健康支出</w:t>
      </w:r>
      <w:r>
        <w:rPr>
          <w:rFonts w:hint="eastAsia" w:ascii="仿宋_GB2312" w:hAnsi="仿宋_GB2312" w:eastAsia="仿宋_GB2312"/>
          <w:b/>
          <w:color w:val="000000"/>
          <w:kern w:val="2"/>
          <w:sz w:val="32"/>
          <w:szCs w:val="24"/>
          <w:lang w:val="en-US" w:eastAsia="zh-CN"/>
        </w:rPr>
        <w:t>（类）行政事业单位医疗（款）</w:t>
      </w:r>
      <w:r>
        <w:rPr>
          <w:rFonts w:hint="eastAsia" w:ascii="仿宋" w:hAnsi="仿宋" w:eastAsia="仿宋"/>
          <w:color w:val="auto"/>
          <w:kern w:val="2"/>
          <w:sz w:val="32"/>
          <w:szCs w:val="24"/>
          <w:lang w:val="en-US"/>
        </w:rPr>
        <w:t>行政单位医疗</w:t>
      </w:r>
      <w:r>
        <w:rPr>
          <w:rFonts w:hint="eastAsia" w:ascii="仿宋" w:hAnsi="仿宋" w:eastAsia="仿宋"/>
          <w:color w:val="auto"/>
          <w:kern w:val="2"/>
          <w:sz w:val="32"/>
          <w:szCs w:val="24"/>
          <w:lang w:val="en-US" w:eastAsia="zh-CN"/>
        </w:rPr>
        <w:t>（项）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19.2</w:t>
      </w:r>
      <w:r>
        <w:rPr>
          <w:rFonts w:hint="eastAsia" w:ascii="仿宋" w:hAnsi="仿宋" w:eastAsia="仿宋"/>
          <w:color w:val="auto"/>
          <w:kern w:val="2"/>
          <w:sz w:val="32"/>
          <w:szCs w:val="24"/>
          <w:lang w:val="en-US"/>
        </w:rPr>
        <w:t>万元，完成预算100%。</w:t>
      </w:r>
    </w:p>
    <w:p w14:paraId="3744E4A4">
      <w:pPr>
        <w:keepNext/>
        <w:spacing w:line="576" w:lineRule="exact"/>
        <w:ind w:firstLine="643" w:firstLineChars="200"/>
        <w:jc w:val="both"/>
        <w:rPr>
          <w:rFonts w:hint="eastAsia" w:ascii="仿宋" w:hAnsi="仿宋" w:eastAsia="仿宋"/>
          <w:color w:val="auto"/>
          <w:kern w:val="2"/>
          <w:sz w:val="32"/>
          <w:szCs w:val="24"/>
          <w:lang w:val="en-US"/>
        </w:rPr>
      </w:pPr>
      <w:r>
        <w:rPr>
          <w:rFonts w:hint="eastAsia" w:ascii="仿宋_GB2312" w:hAnsi="仿宋_GB2312" w:eastAsia="仿宋_GB2312" w:cs="Times New Roman"/>
          <w:b/>
          <w:color w:val="000000"/>
          <w:kern w:val="2"/>
          <w:sz w:val="32"/>
          <w:szCs w:val="24"/>
          <w:lang w:val="en-US" w:eastAsia="zh-CN"/>
        </w:rPr>
        <w:t>24</w:t>
      </w:r>
      <w:r>
        <w:rPr>
          <w:rFonts w:hint="eastAsia" w:ascii="仿宋" w:hAnsi="仿宋" w:eastAsia="仿宋"/>
          <w:color w:val="auto"/>
          <w:kern w:val="2"/>
          <w:sz w:val="32"/>
          <w:szCs w:val="24"/>
          <w:lang w:val="en-US" w:eastAsia="zh-CN"/>
        </w:rPr>
        <w:t>.</w:t>
      </w:r>
      <w:r>
        <w:rPr>
          <w:rFonts w:hint="eastAsia" w:ascii="仿宋_GB2312" w:hAnsi="仿宋_GB2312" w:eastAsia="仿宋_GB2312"/>
          <w:b/>
          <w:color w:val="000000"/>
          <w:kern w:val="2"/>
          <w:sz w:val="32"/>
          <w:szCs w:val="24"/>
          <w:lang w:val="en-US"/>
        </w:rPr>
        <w:t>卫生健康支出</w:t>
      </w:r>
      <w:r>
        <w:rPr>
          <w:rFonts w:hint="eastAsia" w:ascii="仿宋_GB2312" w:hAnsi="仿宋_GB2312" w:eastAsia="仿宋_GB2312"/>
          <w:b/>
          <w:color w:val="000000"/>
          <w:kern w:val="2"/>
          <w:sz w:val="32"/>
          <w:szCs w:val="24"/>
          <w:lang w:val="en-US" w:eastAsia="zh-CN"/>
        </w:rPr>
        <w:t>（类）行政事业单位医疗（款）</w:t>
      </w:r>
      <w:r>
        <w:rPr>
          <w:rFonts w:hint="eastAsia" w:ascii="仿宋" w:hAnsi="仿宋" w:eastAsia="仿宋"/>
          <w:color w:val="auto"/>
          <w:kern w:val="2"/>
          <w:sz w:val="32"/>
          <w:szCs w:val="24"/>
          <w:lang w:val="en-US"/>
        </w:rPr>
        <w:t>事业单位医疗（项）：支出决算为13.</w:t>
      </w:r>
      <w:r>
        <w:rPr>
          <w:rFonts w:hint="eastAsia" w:ascii="仿宋" w:hAnsi="仿宋" w:eastAsia="仿宋"/>
          <w:color w:val="auto"/>
          <w:kern w:val="2"/>
          <w:sz w:val="32"/>
          <w:szCs w:val="24"/>
          <w:lang w:val="en-US" w:eastAsia="zh-CN"/>
        </w:rPr>
        <w:t>78</w:t>
      </w:r>
      <w:r>
        <w:rPr>
          <w:rFonts w:hint="eastAsia" w:ascii="仿宋" w:hAnsi="仿宋" w:eastAsia="仿宋"/>
          <w:color w:val="auto"/>
          <w:kern w:val="2"/>
          <w:sz w:val="32"/>
          <w:szCs w:val="24"/>
          <w:lang w:val="en-US"/>
        </w:rPr>
        <w:t>万元，完成预算100%。</w:t>
      </w:r>
    </w:p>
    <w:p w14:paraId="7BBB96E3">
      <w:pPr>
        <w:keepNext/>
        <w:spacing w:line="576" w:lineRule="exact"/>
        <w:ind w:firstLine="643" w:firstLineChars="200"/>
        <w:jc w:val="both"/>
        <w:rPr>
          <w:rFonts w:hint="eastAsia" w:ascii="仿宋" w:hAnsi="仿宋" w:eastAsia="仿宋"/>
          <w:color w:val="auto"/>
          <w:kern w:val="2"/>
          <w:sz w:val="32"/>
          <w:szCs w:val="24"/>
          <w:lang w:val="en-US"/>
        </w:rPr>
      </w:pPr>
      <w:r>
        <w:rPr>
          <w:rFonts w:hint="eastAsia" w:ascii="仿宋_GB2312" w:hAnsi="仿宋_GB2312" w:eastAsia="仿宋_GB2312" w:cs="Times New Roman"/>
          <w:b/>
          <w:color w:val="000000"/>
          <w:kern w:val="2"/>
          <w:sz w:val="32"/>
          <w:szCs w:val="24"/>
          <w:lang w:val="en-US" w:eastAsia="zh-CN"/>
        </w:rPr>
        <w:t>25</w:t>
      </w:r>
      <w:r>
        <w:rPr>
          <w:rFonts w:hint="eastAsia" w:ascii="仿宋" w:hAnsi="仿宋" w:eastAsia="仿宋"/>
          <w:color w:val="auto"/>
          <w:kern w:val="2"/>
          <w:sz w:val="32"/>
          <w:szCs w:val="24"/>
          <w:lang w:val="en-US" w:eastAsia="zh-CN"/>
        </w:rPr>
        <w:t>.</w:t>
      </w:r>
      <w:r>
        <w:rPr>
          <w:rFonts w:hint="eastAsia" w:ascii="仿宋_GB2312" w:hAnsi="仿宋_GB2312" w:eastAsia="仿宋_GB2312"/>
          <w:b/>
          <w:color w:val="000000"/>
          <w:kern w:val="2"/>
          <w:sz w:val="32"/>
          <w:szCs w:val="24"/>
          <w:lang w:val="en-US"/>
        </w:rPr>
        <w:t>卫生健康支出</w:t>
      </w:r>
      <w:r>
        <w:rPr>
          <w:rFonts w:hint="eastAsia" w:ascii="仿宋_GB2312" w:hAnsi="仿宋_GB2312" w:eastAsia="仿宋_GB2312"/>
          <w:b/>
          <w:color w:val="000000"/>
          <w:kern w:val="2"/>
          <w:sz w:val="32"/>
          <w:szCs w:val="24"/>
          <w:lang w:val="en-US" w:eastAsia="zh-CN"/>
        </w:rPr>
        <w:t>（类）行政事业单位医疗（款）</w:t>
      </w:r>
      <w:r>
        <w:rPr>
          <w:rFonts w:hint="eastAsia" w:ascii="仿宋" w:hAnsi="仿宋" w:eastAsia="仿宋"/>
          <w:color w:val="auto"/>
          <w:kern w:val="2"/>
          <w:sz w:val="32"/>
          <w:szCs w:val="24"/>
          <w:lang w:val="en-US"/>
        </w:rPr>
        <w:t>公务员医疗补助（项）：支出决算为</w:t>
      </w:r>
      <w:r>
        <w:rPr>
          <w:rFonts w:hint="eastAsia" w:ascii="仿宋" w:hAnsi="仿宋" w:eastAsia="仿宋"/>
          <w:color w:val="auto"/>
          <w:kern w:val="2"/>
          <w:sz w:val="32"/>
          <w:szCs w:val="24"/>
          <w:lang w:val="en-US" w:eastAsia="zh-CN"/>
        </w:rPr>
        <w:t>9.47</w:t>
      </w:r>
      <w:r>
        <w:rPr>
          <w:rFonts w:hint="eastAsia" w:ascii="仿宋" w:hAnsi="仿宋" w:eastAsia="仿宋"/>
          <w:color w:val="auto"/>
          <w:kern w:val="2"/>
          <w:sz w:val="32"/>
          <w:szCs w:val="24"/>
          <w:lang w:val="en-US"/>
        </w:rPr>
        <w:t>万元，完成预算100%。</w:t>
      </w:r>
    </w:p>
    <w:p w14:paraId="79A58879">
      <w:pPr>
        <w:keepNext/>
        <w:spacing w:line="576" w:lineRule="exact"/>
        <w:ind w:firstLine="643" w:firstLineChars="200"/>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26.</w:t>
      </w:r>
      <w:r>
        <w:rPr>
          <w:rFonts w:hint="eastAsia" w:ascii="仿宋_GB2312" w:hAnsi="仿宋_GB2312" w:eastAsia="仿宋_GB2312"/>
          <w:b/>
          <w:color w:val="000000"/>
          <w:kern w:val="2"/>
          <w:sz w:val="32"/>
          <w:szCs w:val="24"/>
          <w:lang w:val="en-US"/>
        </w:rPr>
        <w:t>卫生健康支出</w:t>
      </w:r>
      <w:r>
        <w:rPr>
          <w:rFonts w:hint="eastAsia" w:ascii="仿宋_GB2312" w:hAnsi="仿宋_GB2312" w:eastAsia="仿宋_GB2312"/>
          <w:b/>
          <w:color w:val="000000"/>
          <w:kern w:val="2"/>
          <w:sz w:val="32"/>
          <w:szCs w:val="24"/>
          <w:lang w:val="en-US" w:eastAsia="zh-CN"/>
        </w:rPr>
        <w:t>（类）行政事业单位医疗（款）</w:t>
      </w:r>
      <w:r>
        <w:rPr>
          <w:rFonts w:hint="eastAsia" w:ascii="仿宋" w:hAnsi="仿宋" w:eastAsia="仿宋"/>
          <w:color w:val="auto"/>
          <w:kern w:val="2"/>
          <w:sz w:val="32"/>
          <w:szCs w:val="24"/>
          <w:lang w:val="en-US" w:eastAsia="zh-CN"/>
        </w:rPr>
        <w:t>其他行政事业单位医疗支出（项）：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7.73</w:t>
      </w:r>
      <w:r>
        <w:rPr>
          <w:rFonts w:hint="eastAsia" w:ascii="仿宋" w:hAnsi="仿宋" w:eastAsia="仿宋"/>
          <w:color w:val="auto"/>
          <w:kern w:val="2"/>
          <w:sz w:val="32"/>
          <w:szCs w:val="24"/>
          <w:lang w:val="en-US"/>
        </w:rPr>
        <w:t>万元，完成预算100%。</w:t>
      </w:r>
    </w:p>
    <w:p w14:paraId="17D1DE1D">
      <w:pPr>
        <w:keepNext/>
        <w:numPr>
          <w:ilvl w:val="0"/>
          <w:numId w:val="0"/>
        </w:numPr>
        <w:spacing w:line="576" w:lineRule="exact"/>
        <w:ind w:firstLine="643" w:firstLineChars="200"/>
        <w:jc w:val="both"/>
        <w:rPr>
          <w:rFonts w:hint="eastAsia" w:ascii="仿宋" w:hAnsi="仿宋" w:eastAsia="仿宋"/>
          <w:color w:val="auto"/>
          <w:kern w:val="2"/>
          <w:sz w:val="32"/>
          <w:szCs w:val="24"/>
          <w:lang w:val="en-US" w:eastAsia="zh-CN"/>
        </w:rPr>
      </w:pPr>
      <w:r>
        <w:rPr>
          <w:rFonts w:hint="eastAsia" w:ascii="仿宋_GB2312" w:hAnsi="仿宋_GB2312" w:eastAsia="仿宋_GB2312"/>
          <w:b/>
          <w:color w:val="000000"/>
          <w:kern w:val="2"/>
          <w:sz w:val="32"/>
          <w:szCs w:val="24"/>
          <w:lang w:val="en-US" w:eastAsia="zh-CN"/>
        </w:rPr>
        <w:t>27.农林水支出（类）农业农村（款）</w:t>
      </w:r>
      <w:r>
        <w:rPr>
          <w:rFonts w:hint="eastAsia" w:ascii="仿宋" w:hAnsi="仿宋" w:eastAsia="仿宋"/>
          <w:color w:val="auto"/>
          <w:kern w:val="2"/>
          <w:sz w:val="32"/>
          <w:szCs w:val="24"/>
          <w:lang w:val="en-US" w:eastAsia="zh-CN"/>
        </w:rPr>
        <w:t>事业运行（项）：支出决算为81.52万元，完成预算100%。</w:t>
      </w:r>
    </w:p>
    <w:p w14:paraId="040023E2">
      <w:pPr>
        <w:keepNext/>
        <w:numPr>
          <w:ilvl w:val="0"/>
          <w:numId w:val="0"/>
        </w:numPr>
        <w:spacing w:line="576" w:lineRule="exact"/>
        <w:ind w:firstLine="643" w:firstLineChars="200"/>
        <w:jc w:val="both"/>
        <w:rPr>
          <w:rFonts w:hint="eastAsia" w:ascii="仿宋" w:hAnsi="仿宋" w:eastAsia="仿宋"/>
          <w:color w:val="auto"/>
          <w:kern w:val="2"/>
          <w:sz w:val="32"/>
          <w:szCs w:val="24"/>
          <w:lang w:val="en-US" w:eastAsia="zh-CN"/>
        </w:rPr>
      </w:pPr>
      <w:r>
        <w:rPr>
          <w:rFonts w:hint="eastAsia" w:ascii="仿宋_GB2312" w:hAnsi="仿宋_GB2312" w:eastAsia="仿宋_GB2312"/>
          <w:b/>
          <w:color w:val="000000"/>
          <w:kern w:val="2"/>
          <w:sz w:val="32"/>
          <w:szCs w:val="24"/>
          <w:lang w:val="en-US" w:eastAsia="zh-CN"/>
        </w:rPr>
        <w:t>28.农林水支出（类）农业农村（款）</w:t>
      </w:r>
      <w:r>
        <w:rPr>
          <w:rFonts w:hint="eastAsia" w:ascii="仿宋" w:hAnsi="仿宋" w:eastAsia="仿宋"/>
          <w:color w:val="auto"/>
          <w:kern w:val="2"/>
          <w:sz w:val="32"/>
          <w:szCs w:val="24"/>
          <w:lang w:val="en-US" w:eastAsia="zh-CN"/>
        </w:rPr>
        <w:t>防灾救灾（项）：支出决算为4万元，完成预算100%。</w:t>
      </w:r>
    </w:p>
    <w:p w14:paraId="333ACD9B">
      <w:pPr>
        <w:keepNext/>
        <w:numPr>
          <w:ilvl w:val="0"/>
          <w:numId w:val="0"/>
        </w:numPr>
        <w:spacing w:line="576" w:lineRule="exact"/>
        <w:ind w:firstLine="643" w:firstLineChars="200"/>
        <w:jc w:val="both"/>
        <w:rPr>
          <w:rFonts w:hint="eastAsia" w:ascii="仿宋" w:hAnsi="仿宋" w:eastAsia="仿宋"/>
          <w:color w:val="auto"/>
          <w:kern w:val="2"/>
          <w:sz w:val="32"/>
          <w:szCs w:val="24"/>
          <w:lang w:val="en-US" w:eastAsia="zh-CN"/>
        </w:rPr>
      </w:pPr>
      <w:r>
        <w:rPr>
          <w:rFonts w:hint="eastAsia" w:ascii="仿宋_GB2312" w:hAnsi="仿宋_GB2312" w:eastAsia="仿宋_GB2312"/>
          <w:b/>
          <w:color w:val="000000"/>
          <w:kern w:val="2"/>
          <w:sz w:val="32"/>
          <w:szCs w:val="24"/>
          <w:lang w:val="en-US" w:eastAsia="zh-CN"/>
        </w:rPr>
        <w:t>29.农林水支出（类）农业农村（款）</w:t>
      </w:r>
      <w:r>
        <w:rPr>
          <w:rFonts w:hint="eastAsia" w:ascii="仿宋" w:hAnsi="仿宋" w:eastAsia="仿宋"/>
          <w:color w:val="auto"/>
          <w:kern w:val="2"/>
          <w:sz w:val="32"/>
          <w:szCs w:val="24"/>
          <w:lang w:val="en-US" w:eastAsia="zh-CN"/>
        </w:rPr>
        <w:t>其他农业农村支出（项）：支出决算为1.55万元，完成预算100%。</w:t>
      </w:r>
    </w:p>
    <w:p w14:paraId="097222BC">
      <w:pPr>
        <w:keepNext/>
        <w:numPr>
          <w:ilvl w:val="0"/>
          <w:numId w:val="0"/>
        </w:numPr>
        <w:spacing w:line="576" w:lineRule="exact"/>
        <w:ind w:firstLine="643" w:firstLineChars="200"/>
        <w:jc w:val="both"/>
        <w:rPr>
          <w:rFonts w:hint="eastAsia" w:ascii="仿宋" w:hAnsi="仿宋" w:eastAsia="仿宋"/>
          <w:color w:val="auto"/>
          <w:kern w:val="2"/>
          <w:sz w:val="32"/>
          <w:szCs w:val="24"/>
          <w:lang w:val="en-US" w:eastAsia="zh-CN"/>
        </w:rPr>
      </w:pPr>
      <w:r>
        <w:rPr>
          <w:rFonts w:hint="eastAsia" w:ascii="仿宋_GB2312" w:hAnsi="仿宋_GB2312" w:eastAsia="仿宋_GB2312"/>
          <w:b/>
          <w:color w:val="000000"/>
          <w:kern w:val="2"/>
          <w:sz w:val="32"/>
          <w:szCs w:val="24"/>
          <w:lang w:val="en-US" w:eastAsia="zh-CN"/>
        </w:rPr>
        <w:t>30.农林水支出（类）林业和草原（款）</w:t>
      </w:r>
      <w:r>
        <w:rPr>
          <w:rFonts w:hint="eastAsia" w:ascii="仿宋" w:hAnsi="仿宋" w:eastAsia="仿宋"/>
          <w:color w:val="auto"/>
          <w:kern w:val="2"/>
          <w:sz w:val="32"/>
          <w:szCs w:val="24"/>
          <w:lang w:val="en-US" w:eastAsia="zh-CN"/>
        </w:rPr>
        <w:t>其他林业和草原支出（项）：支出决算为21.1万元，完成预算100%。</w:t>
      </w:r>
    </w:p>
    <w:p w14:paraId="02716CA5">
      <w:pPr>
        <w:keepNext/>
        <w:numPr>
          <w:ilvl w:val="0"/>
          <w:numId w:val="0"/>
        </w:numPr>
        <w:spacing w:line="576" w:lineRule="exact"/>
        <w:ind w:firstLine="643" w:firstLineChars="200"/>
        <w:jc w:val="both"/>
        <w:rPr>
          <w:rFonts w:hint="eastAsia" w:ascii="仿宋" w:hAnsi="仿宋" w:eastAsia="仿宋"/>
          <w:color w:val="auto"/>
          <w:kern w:val="2"/>
          <w:sz w:val="32"/>
          <w:szCs w:val="24"/>
          <w:lang w:val="en-US" w:eastAsia="zh-CN"/>
        </w:rPr>
      </w:pPr>
      <w:r>
        <w:rPr>
          <w:rFonts w:hint="eastAsia" w:ascii="仿宋_GB2312" w:hAnsi="仿宋_GB2312" w:eastAsia="仿宋_GB2312" w:cs="Times New Roman"/>
          <w:b/>
          <w:color w:val="000000"/>
          <w:kern w:val="2"/>
          <w:sz w:val="32"/>
          <w:szCs w:val="24"/>
          <w:lang w:val="en-US" w:eastAsia="zh-CN"/>
        </w:rPr>
        <w:t>31.</w:t>
      </w:r>
      <w:r>
        <w:rPr>
          <w:rFonts w:hint="eastAsia" w:ascii="仿宋_GB2312" w:hAnsi="仿宋_GB2312" w:eastAsia="仿宋_GB2312"/>
          <w:b/>
          <w:color w:val="000000"/>
          <w:kern w:val="2"/>
          <w:sz w:val="32"/>
          <w:szCs w:val="24"/>
          <w:lang w:val="en-US" w:eastAsia="zh-CN"/>
        </w:rPr>
        <w:t>农林水支出（类）农村改革（款）</w:t>
      </w:r>
      <w:r>
        <w:rPr>
          <w:rFonts w:hint="eastAsia" w:ascii="仿宋" w:hAnsi="仿宋" w:eastAsia="仿宋"/>
          <w:color w:val="auto"/>
          <w:kern w:val="2"/>
          <w:sz w:val="32"/>
          <w:szCs w:val="24"/>
          <w:lang w:val="en-US" w:eastAsia="zh-CN"/>
        </w:rPr>
        <w:t>对村民委员会和村党支部的补助（项）：支出决算为249.5万元，完成预算100%。</w:t>
      </w:r>
    </w:p>
    <w:p w14:paraId="2B178877">
      <w:pPr>
        <w:keepNext/>
        <w:numPr>
          <w:ilvl w:val="0"/>
          <w:numId w:val="0"/>
        </w:numPr>
        <w:spacing w:line="576" w:lineRule="exact"/>
        <w:ind w:firstLine="643" w:firstLineChars="200"/>
        <w:jc w:val="both"/>
        <w:rPr>
          <w:rFonts w:hint="eastAsia" w:ascii="仿宋" w:hAnsi="仿宋" w:eastAsia="仿宋"/>
          <w:color w:val="auto"/>
          <w:kern w:val="2"/>
          <w:sz w:val="32"/>
          <w:szCs w:val="24"/>
          <w:lang w:val="en-US" w:eastAsia="zh-CN"/>
        </w:rPr>
      </w:pPr>
      <w:r>
        <w:rPr>
          <w:rFonts w:hint="eastAsia" w:ascii="仿宋_GB2312" w:hAnsi="仿宋_GB2312" w:eastAsia="仿宋_GB2312" w:cs="Times New Roman"/>
          <w:b/>
          <w:color w:val="000000"/>
          <w:kern w:val="2"/>
          <w:sz w:val="32"/>
          <w:szCs w:val="24"/>
          <w:lang w:val="en-US" w:eastAsia="zh-CN"/>
        </w:rPr>
        <w:t>32.</w:t>
      </w:r>
      <w:r>
        <w:rPr>
          <w:rFonts w:hint="eastAsia" w:ascii="仿宋_GB2312" w:hAnsi="仿宋_GB2312" w:eastAsia="仿宋_GB2312"/>
          <w:b/>
          <w:color w:val="000000"/>
          <w:kern w:val="2"/>
          <w:sz w:val="32"/>
          <w:szCs w:val="24"/>
          <w:lang w:val="en-US" w:eastAsia="zh-CN"/>
        </w:rPr>
        <w:t>农林水支出（类）农村改革（款）</w:t>
      </w:r>
      <w:r>
        <w:rPr>
          <w:rFonts w:hint="eastAsia" w:ascii="仿宋" w:hAnsi="仿宋" w:eastAsia="仿宋"/>
          <w:color w:val="auto"/>
          <w:kern w:val="2"/>
          <w:sz w:val="32"/>
          <w:szCs w:val="24"/>
          <w:lang w:val="en-US" w:eastAsia="zh-CN"/>
        </w:rPr>
        <w:t>对村集体经济组织的补助（项）：支出决算为100万元，完成预算100%。</w:t>
      </w:r>
    </w:p>
    <w:p w14:paraId="03A4E262">
      <w:pPr>
        <w:pStyle w:val="2"/>
        <w:keepNext/>
        <w:spacing w:beforeLines="0" w:afterLines="0"/>
        <w:rPr>
          <w:rFonts w:hint="eastAsia" w:ascii="仿宋" w:hAnsi="仿宋" w:eastAsia="仿宋" w:cs="Times New Roman"/>
          <w:color w:val="auto"/>
          <w:sz w:val="32"/>
          <w:szCs w:val="24"/>
        </w:rPr>
      </w:pPr>
      <w:r>
        <w:rPr>
          <w:rFonts w:hint="eastAsia" w:ascii="仿宋_GB2312" w:hAnsi="仿宋_GB2312" w:eastAsia="仿宋_GB2312" w:cs="Times New Roman"/>
          <w:b/>
          <w:color w:val="000000"/>
          <w:sz w:val="32"/>
          <w:szCs w:val="24"/>
        </w:rPr>
        <w:t>33.</w:t>
      </w:r>
      <w:r>
        <w:rPr>
          <w:rFonts w:hint="eastAsia" w:ascii="仿宋_GB2312" w:hAnsi="仿宋_GB2312" w:eastAsia="仿宋_GB2312"/>
          <w:b/>
          <w:color w:val="000000"/>
          <w:sz w:val="32"/>
          <w:szCs w:val="24"/>
        </w:rPr>
        <w:t>农林水支出（类）其他农林水支出（款）</w:t>
      </w:r>
      <w:r>
        <w:rPr>
          <w:rFonts w:hint="eastAsia" w:ascii="仿宋" w:hAnsi="仿宋" w:eastAsia="仿宋" w:cs="Times New Roman"/>
          <w:color w:val="auto"/>
          <w:sz w:val="32"/>
          <w:szCs w:val="24"/>
        </w:rPr>
        <w:t>其他农林水支出（项）：支出决算为50万元，完成预算100%。</w:t>
      </w:r>
    </w:p>
    <w:p w14:paraId="409B9AB6">
      <w:pPr>
        <w:keepNext/>
        <w:numPr>
          <w:ilvl w:val="0"/>
          <w:numId w:val="0"/>
        </w:numPr>
        <w:spacing w:line="576" w:lineRule="exact"/>
        <w:ind w:firstLine="643" w:firstLineChars="200"/>
        <w:jc w:val="both"/>
        <w:rPr>
          <w:rFonts w:hint="eastAsia" w:ascii="仿宋" w:hAnsi="仿宋" w:eastAsia="仿宋"/>
          <w:color w:val="auto"/>
          <w:kern w:val="2"/>
          <w:sz w:val="32"/>
          <w:szCs w:val="24"/>
          <w:lang w:val="en-US" w:eastAsia="zh-CN"/>
        </w:rPr>
      </w:pPr>
      <w:r>
        <w:rPr>
          <w:rFonts w:hint="eastAsia" w:ascii="仿宋_GB2312" w:hAnsi="仿宋_GB2312" w:eastAsia="仿宋_GB2312"/>
          <w:b/>
          <w:color w:val="000000"/>
          <w:kern w:val="2"/>
          <w:sz w:val="32"/>
          <w:szCs w:val="24"/>
          <w:lang w:val="en-US" w:eastAsia="zh-CN"/>
        </w:rPr>
        <w:t>34.住房保障支出（类）住房改革支出（款）</w:t>
      </w:r>
      <w:r>
        <w:rPr>
          <w:rFonts w:hint="eastAsia" w:ascii="仿宋" w:hAnsi="仿宋" w:eastAsia="仿宋"/>
          <w:color w:val="auto"/>
          <w:kern w:val="2"/>
          <w:sz w:val="32"/>
          <w:szCs w:val="24"/>
          <w:lang w:val="en-US" w:eastAsia="zh-CN"/>
        </w:rPr>
        <w:t>住房公积金（项）：支出决算为56.81万元，完成预算100%。</w:t>
      </w:r>
    </w:p>
    <w:p w14:paraId="27C19392">
      <w:pPr>
        <w:pStyle w:val="2"/>
        <w:keepNext/>
        <w:spacing w:beforeLines="0" w:afterLines="0"/>
        <w:rPr>
          <w:rFonts w:hint="eastAsia"/>
          <w:sz w:val="21"/>
          <w:szCs w:val="24"/>
        </w:rPr>
      </w:pPr>
      <w:r>
        <w:rPr>
          <w:rFonts w:hint="eastAsia" w:ascii="仿宋_GB2312" w:hAnsi="仿宋_GB2312" w:eastAsia="仿宋_GB2312" w:cs="Times New Roman"/>
          <w:b/>
          <w:color w:val="000000"/>
          <w:sz w:val="32"/>
          <w:szCs w:val="24"/>
        </w:rPr>
        <w:t>35.灾害防治及应急管理支出（类）应急管理事务（款）</w:t>
      </w:r>
      <w:r>
        <w:rPr>
          <w:rFonts w:hint="eastAsia" w:ascii="仿宋" w:hAnsi="仿宋" w:eastAsia="仿宋"/>
          <w:color w:val="auto"/>
          <w:sz w:val="32"/>
          <w:szCs w:val="24"/>
        </w:rPr>
        <w:t>安全监管（项）：支出决算为10万元，完成预算100%。</w:t>
      </w:r>
    </w:p>
    <w:p w14:paraId="14F393D9">
      <w:pPr>
        <w:keepNext/>
        <w:numPr>
          <w:ilvl w:val="0"/>
          <w:numId w:val="0"/>
        </w:numPr>
        <w:spacing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36.其他支出（类）</w:t>
      </w:r>
      <w:r>
        <w:rPr>
          <w:rFonts w:hint="eastAsia" w:ascii="仿宋_GB2312" w:hAnsi="仿宋_GB2312" w:eastAsia="仿宋_GB2312" w:cs="Times New Roman"/>
          <w:b/>
          <w:color w:val="000000"/>
          <w:kern w:val="2"/>
          <w:sz w:val="32"/>
          <w:szCs w:val="24"/>
          <w:lang w:val="en-US" w:eastAsia="zh-CN"/>
        </w:rPr>
        <w:t>其他支出（款）</w:t>
      </w:r>
      <w:r>
        <w:rPr>
          <w:rFonts w:hint="eastAsia" w:ascii="仿宋_GB2312" w:hAnsi="仿宋_GB2312" w:eastAsia="仿宋_GB2312"/>
          <w:color w:val="000000"/>
          <w:kern w:val="2"/>
          <w:sz w:val="32"/>
          <w:szCs w:val="24"/>
          <w:lang w:val="en-US" w:eastAsia="zh-CN"/>
        </w:rPr>
        <w:t>其他支出（项）：</w:t>
      </w:r>
      <w:r>
        <w:rPr>
          <w:rFonts w:hint="eastAsia" w:ascii="仿宋" w:hAnsi="仿宋" w:eastAsia="仿宋"/>
          <w:color w:val="auto"/>
          <w:kern w:val="2"/>
          <w:sz w:val="32"/>
          <w:szCs w:val="24"/>
          <w:lang w:val="en-US" w:eastAsia="zh-CN"/>
        </w:rPr>
        <w:t>支出决算为70.94万元，完成预算100%。</w:t>
      </w:r>
    </w:p>
    <w:p w14:paraId="10BE6466">
      <w:pPr>
        <w:keepNext/>
        <w:spacing w:line="600" w:lineRule="exact"/>
        <w:ind w:firstLine="643"/>
        <w:jc w:val="both"/>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数据来源于财决01-1表和财决08表，仅罗列本部门涉及的全部功能分类科目，至项级。上述“预算”口径为全年预算数。增减变动原因为决算数&lt;项级&gt;和全年预算数&lt;项级&gt;比较，与预算数持平可以不写原因。）</w:t>
      </w:r>
    </w:p>
    <w:p w14:paraId="15F25DB1">
      <w:pPr>
        <w:keepNext/>
        <w:tabs>
          <w:tab w:val="right" w:pos="8306"/>
        </w:tabs>
        <w:spacing w:line="576" w:lineRule="exact"/>
        <w:ind w:firstLine="640"/>
        <w:jc w:val="both"/>
        <w:outlineLvl w:val="1"/>
        <w:rPr>
          <w:rFonts w:hint="default" w:ascii="Cambria" w:hAnsi="Cambria" w:eastAsia="Cambria"/>
          <w:b/>
          <w:color w:val="auto"/>
          <w:kern w:val="2"/>
          <w:sz w:val="32"/>
          <w:szCs w:val="24"/>
          <w:lang w:val="zh-CN"/>
        </w:rPr>
      </w:pPr>
      <w:bookmarkStart w:id="17" w:name="_Toc21460"/>
      <w:r>
        <w:rPr>
          <w:rFonts w:hint="eastAsia" w:ascii="黑体" w:hAnsi="黑体" w:eastAsia="黑体"/>
          <w:color w:val="000000"/>
          <w:kern w:val="2"/>
          <w:sz w:val="32"/>
          <w:szCs w:val="24"/>
          <w:lang w:val="zh-CN"/>
        </w:rPr>
        <w:t>六</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般公共预算财政拨款基本支出决算情况说明</w:t>
      </w:r>
      <w:bookmarkEnd w:id="17"/>
      <w:r>
        <w:rPr>
          <w:rFonts w:hint="eastAsia" w:ascii="黑体" w:hAnsi="黑体" w:eastAsia="黑体"/>
          <w:color w:val="auto"/>
          <w:kern w:val="2"/>
          <w:sz w:val="32"/>
          <w:szCs w:val="24"/>
          <w:lang w:val="zh-CN"/>
        </w:rPr>
        <w:tab/>
      </w:r>
    </w:p>
    <w:p w14:paraId="6767DBC5">
      <w:pPr>
        <w:keepNext/>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2022年一般公共预算财政拨款基本支出1,017.04万元，其中：</w:t>
      </w:r>
    </w:p>
    <w:p w14:paraId="14611811">
      <w:pPr>
        <w:keepNext/>
        <w:spacing w:line="576" w:lineRule="exact"/>
        <w:ind w:firstLine="643"/>
        <w:jc w:val="both"/>
        <w:rPr>
          <w:rFonts w:hint="eastAsia" w:ascii="仿宋" w:hAnsi="仿宋" w:eastAsia="仿宋"/>
          <w:color w:val="auto"/>
          <w:kern w:val="2"/>
          <w:sz w:val="32"/>
          <w:szCs w:val="24"/>
          <w:lang w:val="en-US" w:eastAsia="zh-CN"/>
        </w:rPr>
      </w:pPr>
      <w:r>
        <w:rPr>
          <w:rFonts w:hint="eastAsia" w:ascii="仿宋_GB2312" w:hAnsi="仿宋_GB2312" w:eastAsia="仿宋_GB2312"/>
          <w:b/>
          <w:color w:val="000000"/>
          <w:kern w:val="2"/>
          <w:sz w:val="32"/>
          <w:szCs w:val="24"/>
          <w:lang w:val="zh-CN"/>
        </w:rPr>
        <w:t>人员经费</w:t>
      </w:r>
      <w:r>
        <w:rPr>
          <w:rFonts w:hint="eastAsia" w:ascii="仿宋_GB2312" w:hAnsi="仿宋_GB2312" w:eastAsia="仿宋_GB2312"/>
          <w:color w:val="000000"/>
          <w:kern w:val="2"/>
          <w:sz w:val="32"/>
          <w:szCs w:val="24"/>
          <w:lang w:val="zh-CN"/>
        </w:rPr>
        <w:t>896.17万元，主要包括：</w:t>
      </w:r>
      <w:r>
        <w:rPr>
          <w:rFonts w:hint="eastAsia" w:ascii="仿宋" w:hAnsi="仿宋" w:eastAsia="仿宋"/>
          <w:color w:val="auto"/>
          <w:kern w:val="2"/>
          <w:sz w:val="32"/>
          <w:szCs w:val="24"/>
          <w:lang w:val="en-US"/>
        </w:rPr>
        <w:t>基本工资</w:t>
      </w:r>
      <w:r>
        <w:rPr>
          <w:rFonts w:hint="eastAsia" w:ascii="仿宋" w:hAnsi="仿宋" w:eastAsia="仿宋"/>
          <w:color w:val="auto"/>
          <w:kern w:val="2"/>
          <w:sz w:val="32"/>
          <w:szCs w:val="24"/>
          <w:lang w:val="en-US" w:eastAsia="zh-CN"/>
        </w:rPr>
        <w:t>151.34万元</w:t>
      </w:r>
      <w:r>
        <w:rPr>
          <w:rFonts w:hint="eastAsia" w:ascii="仿宋" w:hAnsi="仿宋" w:eastAsia="仿宋"/>
          <w:color w:val="auto"/>
          <w:kern w:val="2"/>
          <w:sz w:val="32"/>
          <w:szCs w:val="24"/>
          <w:lang w:val="en-US"/>
        </w:rPr>
        <w:t>、津贴补贴</w:t>
      </w:r>
      <w:r>
        <w:rPr>
          <w:rFonts w:hint="eastAsia" w:ascii="仿宋" w:hAnsi="仿宋" w:eastAsia="仿宋"/>
          <w:color w:val="auto"/>
          <w:kern w:val="2"/>
          <w:sz w:val="32"/>
          <w:szCs w:val="24"/>
          <w:lang w:val="en-US" w:eastAsia="zh-CN"/>
        </w:rPr>
        <w:t>113.08万元</w:t>
      </w:r>
      <w:r>
        <w:rPr>
          <w:rFonts w:hint="eastAsia" w:ascii="仿宋" w:hAnsi="仿宋" w:eastAsia="仿宋"/>
          <w:color w:val="auto"/>
          <w:kern w:val="2"/>
          <w:sz w:val="32"/>
          <w:szCs w:val="24"/>
          <w:lang w:val="en-US"/>
        </w:rPr>
        <w:t>、奖金</w:t>
      </w:r>
      <w:r>
        <w:rPr>
          <w:rFonts w:hint="eastAsia" w:ascii="仿宋" w:hAnsi="仿宋" w:eastAsia="仿宋"/>
          <w:color w:val="auto"/>
          <w:kern w:val="2"/>
          <w:sz w:val="32"/>
          <w:szCs w:val="24"/>
          <w:lang w:val="en-US" w:eastAsia="zh-CN"/>
        </w:rPr>
        <w:t>108.48万元</w:t>
      </w:r>
      <w:r>
        <w:rPr>
          <w:rFonts w:hint="eastAsia" w:ascii="仿宋" w:hAnsi="仿宋" w:eastAsia="仿宋"/>
          <w:color w:val="auto"/>
          <w:kern w:val="2"/>
          <w:sz w:val="32"/>
          <w:szCs w:val="24"/>
          <w:lang w:val="en-US"/>
        </w:rPr>
        <w:t>、绩效工资</w:t>
      </w:r>
      <w:r>
        <w:rPr>
          <w:rFonts w:hint="eastAsia" w:ascii="仿宋" w:hAnsi="仿宋" w:eastAsia="仿宋"/>
          <w:color w:val="auto"/>
          <w:kern w:val="2"/>
          <w:sz w:val="32"/>
          <w:szCs w:val="24"/>
          <w:lang w:val="en-US" w:eastAsia="zh-CN"/>
        </w:rPr>
        <w:t>112.65万元</w:t>
      </w:r>
      <w:r>
        <w:rPr>
          <w:rFonts w:hint="eastAsia" w:ascii="仿宋" w:hAnsi="仿宋" w:eastAsia="仿宋"/>
          <w:color w:val="auto"/>
          <w:kern w:val="2"/>
          <w:sz w:val="32"/>
          <w:szCs w:val="24"/>
          <w:lang w:val="en-US"/>
        </w:rPr>
        <w:t>、机关事业单位基本养老保险缴费</w:t>
      </w:r>
      <w:r>
        <w:rPr>
          <w:rFonts w:hint="eastAsia" w:ascii="仿宋" w:hAnsi="仿宋" w:eastAsia="仿宋"/>
          <w:color w:val="auto"/>
          <w:kern w:val="2"/>
          <w:sz w:val="32"/>
          <w:szCs w:val="24"/>
          <w:lang w:val="en-US" w:eastAsia="zh-CN"/>
        </w:rPr>
        <w:t>32.98万元</w:t>
      </w:r>
      <w:r>
        <w:rPr>
          <w:rFonts w:hint="eastAsia" w:ascii="仿宋" w:hAnsi="仿宋" w:eastAsia="仿宋"/>
          <w:color w:val="auto"/>
          <w:kern w:val="2"/>
          <w:sz w:val="32"/>
          <w:szCs w:val="24"/>
          <w:lang w:val="en-US"/>
        </w:rPr>
        <w:t>、</w:t>
      </w:r>
      <w:r>
        <w:rPr>
          <w:rFonts w:hint="eastAsia" w:ascii="仿宋" w:hAnsi="仿宋" w:eastAsia="仿宋"/>
          <w:color w:val="auto"/>
          <w:kern w:val="2"/>
          <w:sz w:val="32"/>
          <w:szCs w:val="24"/>
          <w:lang w:val="en-US" w:eastAsia="zh-CN"/>
        </w:rPr>
        <w:t>职工基本医疗保险缴费32.98万元、公务员医疗补助缴费15.84万元</w:t>
      </w:r>
      <w:r>
        <w:rPr>
          <w:rFonts w:hint="eastAsia" w:ascii="仿宋" w:hAnsi="仿宋" w:eastAsia="仿宋"/>
          <w:color w:val="auto"/>
          <w:kern w:val="2"/>
          <w:sz w:val="32"/>
          <w:szCs w:val="24"/>
          <w:lang w:val="en-US"/>
        </w:rPr>
        <w:t>、其他社会保障缴费</w:t>
      </w:r>
      <w:r>
        <w:rPr>
          <w:rFonts w:hint="eastAsia" w:ascii="仿宋" w:hAnsi="仿宋" w:eastAsia="仿宋"/>
          <w:color w:val="auto"/>
          <w:kern w:val="2"/>
          <w:sz w:val="32"/>
          <w:szCs w:val="24"/>
          <w:lang w:val="en-US" w:eastAsia="zh-CN"/>
        </w:rPr>
        <w:t>2.44万元</w:t>
      </w:r>
      <w:r>
        <w:rPr>
          <w:rFonts w:hint="eastAsia" w:ascii="仿宋" w:hAnsi="仿宋" w:eastAsia="仿宋"/>
          <w:color w:val="auto"/>
          <w:kern w:val="2"/>
          <w:sz w:val="32"/>
          <w:szCs w:val="24"/>
          <w:lang w:val="en-US"/>
        </w:rPr>
        <w:t>、其他工资福利支出</w:t>
      </w:r>
      <w:r>
        <w:rPr>
          <w:rFonts w:hint="eastAsia" w:ascii="仿宋" w:hAnsi="仿宋" w:eastAsia="仿宋"/>
          <w:color w:val="auto"/>
          <w:kern w:val="2"/>
          <w:sz w:val="32"/>
          <w:szCs w:val="24"/>
          <w:lang w:val="en-US" w:eastAsia="zh-CN"/>
        </w:rPr>
        <w:t>44.62万元</w:t>
      </w:r>
      <w:r>
        <w:rPr>
          <w:rFonts w:hint="eastAsia" w:ascii="仿宋" w:hAnsi="仿宋" w:eastAsia="仿宋"/>
          <w:color w:val="auto"/>
          <w:kern w:val="2"/>
          <w:sz w:val="32"/>
          <w:szCs w:val="24"/>
          <w:lang w:val="en-US"/>
        </w:rPr>
        <w:t>、抚恤金</w:t>
      </w:r>
      <w:r>
        <w:rPr>
          <w:rFonts w:hint="eastAsia" w:ascii="仿宋" w:hAnsi="仿宋" w:eastAsia="仿宋"/>
          <w:color w:val="auto"/>
          <w:kern w:val="2"/>
          <w:sz w:val="32"/>
          <w:szCs w:val="24"/>
          <w:lang w:val="en-US" w:eastAsia="zh-CN"/>
        </w:rPr>
        <w:t>22.11万元</w:t>
      </w:r>
      <w:r>
        <w:rPr>
          <w:rFonts w:hint="eastAsia" w:ascii="仿宋" w:hAnsi="仿宋" w:eastAsia="仿宋"/>
          <w:color w:val="auto"/>
          <w:kern w:val="2"/>
          <w:sz w:val="32"/>
          <w:szCs w:val="24"/>
          <w:lang w:val="en-US"/>
        </w:rPr>
        <w:t>、生活补助</w:t>
      </w:r>
      <w:r>
        <w:rPr>
          <w:rFonts w:hint="eastAsia" w:ascii="仿宋" w:hAnsi="仿宋" w:eastAsia="仿宋"/>
          <w:color w:val="auto"/>
          <w:kern w:val="2"/>
          <w:sz w:val="32"/>
          <w:szCs w:val="24"/>
          <w:lang w:val="en-US" w:eastAsia="zh-CN"/>
        </w:rPr>
        <w:t>176.76万元</w:t>
      </w:r>
      <w:r>
        <w:rPr>
          <w:rFonts w:hint="eastAsia" w:ascii="仿宋" w:hAnsi="仿宋" w:eastAsia="仿宋"/>
          <w:color w:val="auto"/>
          <w:kern w:val="2"/>
          <w:sz w:val="32"/>
          <w:szCs w:val="24"/>
          <w:lang w:val="en-US"/>
        </w:rPr>
        <w:t>、</w:t>
      </w:r>
      <w:r>
        <w:rPr>
          <w:rFonts w:hint="eastAsia" w:ascii="仿宋" w:hAnsi="仿宋" w:eastAsia="仿宋"/>
          <w:color w:val="auto"/>
          <w:kern w:val="2"/>
          <w:sz w:val="32"/>
          <w:szCs w:val="24"/>
          <w:lang w:val="en-US" w:eastAsia="zh-CN"/>
        </w:rPr>
        <w:t>医疗费1.36万元、</w:t>
      </w:r>
      <w:r>
        <w:rPr>
          <w:rFonts w:hint="eastAsia" w:ascii="仿宋" w:hAnsi="仿宋" w:eastAsia="仿宋"/>
          <w:color w:val="auto"/>
          <w:kern w:val="2"/>
          <w:sz w:val="32"/>
          <w:szCs w:val="24"/>
          <w:lang w:val="en-US"/>
        </w:rPr>
        <w:t>医疗费补助</w:t>
      </w:r>
      <w:r>
        <w:rPr>
          <w:rFonts w:hint="eastAsia" w:ascii="仿宋" w:hAnsi="仿宋" w:eastAsia="仿宋"/>
          <w:color w:val="auto"/>
          <w:kern w:val="2"/>
          <w:sz w:val="32"/>
          <w:szCs w:val="24"/>
          <w:lang w:val="en-US" w:eastAsia="zh-CN"/>
        </w:rPr>
        <w:t>7.95万元</w:t>
      </w:r>
      <w:r>
        <w:rPr>
          <w:rFonts w:hint="eastAsia" w:ascii="仿宋" w:hAnsi="仿宋" w:eastAsia="仿宋"/>
          <w:color w:val="auto"/>
          <w:kern w:val="2"/>
          <w:sz w:val="32"/>
          <w:szCs w:val="24"/>
          <w:lang w:val="en-US"/>
        </w:rPr>
        <w:t>、住房公积金</w:t>
      </w:r>
      <w:r>
        <w:rPr>
          <w:rFonts w:hint="eastAsia" w:ascii="仿宋" w:hAnsi="仿宋" w:eastAsia="仿宋"/>
          <w:color w:val="auto"/>
          <w:kern w:val="2"/>
          <w:sz w:val="32"/>
          <w:szCs w:val="24"/>
          <w:lang w:val="en-US" w:eastAsia="zh-CN"/>
        </w:rPr>
        <w:t>56.81万元。</w:t>
      </w:r>
    </w:p>
    <w:p w14:paraId="3923F3DF">
      <w:pPr>
        <w:keepNext/>
        <w:spacing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公用经费</w:t>
      </w:r>
      <w:r>
        <w:rPr>
          <w:rFonts w:hint="eastAsia" w:ascii="仿宋_GB2312" w:hAnsi="仿宋_GB2312" w:eastAsia="仿宋_GB2312"/>
          <w:color w:val="000000"/>
          <w:kern w:val="2"/>
          <w:sz w:val="32"/>
          <w:szCs w:val="24"/>
          <w:lang w:val="zh-CN"/>
        </w:rPr>
        <w:t>120.87万元，主要包括：</w:t>
      </w:r>
      <w:r>
        <w:rPr>
          <w:rFonts w:hint="eastAsia" w:ascii="仿宋" w:hAnsi="仿宋" w:eastAsia="仿宋"/>
          <w:color w:val="auto"/>
          <w:kern w:val="2"/>
          <w:sz w:val="32"/>
          <w:szCs w:val="24"/>
          <w:lang w:val="en-US"/>
        </w:rPr>
        <w:t>办公费</w:t>
      </w:r>
      <w:r>
        <w:rPr>
          <w:rFonts w:hint="eastAsia" w:ascii="仿宋" w:hAnsi="仿宋" w:eastAsia="仿宋"/>
          <w:color w:val="auto"/>
          <w:kern w:val="2"/>
          <w:sz w:val="32"/>
          <w:szCs w:val="24"/>
          <w:lang w:val="en-US" w:eastAsia="zh-CN"/>
        </w:rPr>
        <w:t>39.72万元</w:t>
      </w:r>
      <w:r>
        <w:rPr>
          <w:rFonts w:hint="eastAsia" w:ascii="仿宋" w:hAnsi="仿宋" w:eastAsia="仿宋"/>
          <w:color w:val="auto"/>
          <w:kern w:val="2"/>
          <w:sz w:val="32"/>
          <w:szCs w:val="24"/>
          <w:lang w:val="en-US"/>
        </w:rPr>
        <w:t>、水费</w:t>
      </w:r>
      <w:r>
        <w:rPr>
          <w:rFonts w:hint="eastAsia" w:ascii="仿宋" w:hAnsi="仿宋" w:eastAsia="仿宋"/>
          <w:color w:val="auto"/>
          <w:kern w:val="2"/>
          <w:sz w:val="32"/>
          <w:szCs w:val="24"/>
          <w:lang w:val="en-US" w:eastAsia="zh-CN"/>
        </w:rPr>
        <w:t>1.2万元</w:t>
      </w:r>
      <w:r>
        <w:rPr>
          <w:rFonts w:hint="eastAsia" w:ascii="仿宋" w:hAnsi="仿宋" w:eastAsia="仿宋"/>
          <w:color w:val="auto"/>
          <w:kern w:val="2"/>
          <w:sz w:val="32"/>
          <w:szCs w:val="24"/>
          <w:lang w:val="en-US"/>
        </w:rPr>
        <w:t>、电费</w:t>
      </w:r>
      <w:r>
        <w:rPr>
          <w:rFonts w:hint="eastAsia" w:ascii="仿宋" w:hAnsi="仿宋" w:eastAsia="仿宋"/>
          <w:color w:val="auto"/>
          <w:kern w:val="2"/>
          <w:sz w:val="32"/>
          <w:szCs w:val="24"/>
          <w:lang w:val="en-US" w:eastAsia="zh-CN"/>
        </w:rPr>
        <w:t>2.36万元</w:t>
      </w:r>
      <w:r>
        <w:rPr>
          <w:rFonts w:hint="eastAsia" w:ascii="仿宋" w:hAnsi="仿宋" w:eastAsia="仿宋"/>
          <w:color w:val="auto"/>
          <w:kern w:val="2"/>
          <w:sz w:val="32"/>
          <w:szCs w:val="24"/>
          <w:lang w:val="en-US"/>
        </w:rPr>
        <w:t>、邮电费</w:t>
      </w:r>
      <w:r>
        <w:rPr>
          <w:rFonts w:hint="eastAsia" w:ascii="仿宋" w:hAnsi="仿宋" w:eastAsia="仿宋"/>
          <w:color w:val="auto"/>
          <w:kern w:val="2"/>
          <w:sz w:val="32"/>
          <w:szCs w:val="24"/>
          <w:lang w:val="en-US" w:eastAsia="zh-CN"/>
        </w:rPr>
        <w:t>2.18万元</w:t>
      </w:r>
      <w:r>
        <w:rPr>
          <w:rFonts w:hint="eastAsia" w:ascii="仿宋" w:hAnsi="仿宋" w:eastAsia="仿宋"/>
          <w:color w:val="auto"/>
          <w:kern w:val="2"/>
          <w:sz w:val="32"/>
          <w:szCs w:val="24"/>
          <w:lang w:val="en-US"/>
        </w:rPr>
        <w:t>、差旅费</w:t>
      </w:r>
      <w:r>
        <w:rPr>
          <w:rFonts w:hint="eastAsia" w:ascii="仿宋" w:hAnsi="仿宋" w:eastAsia="仿宋"/>
          <w:color w:val="auto"/>
          <w:kern w:val="2"/>
          <w:sz w:val="32"/>
          <w:szCs w:val="24"/>
          <w:lang w:val="en-US" w:eastAsia="zh-CN"/>
        </w:rPr>
        <w:t>14.83万元</w:t>
      </w:r>
      <w:r>
        <w:rPr>
          <w:rFonts w:hint="eastAsia" w:ascii="仿宋" w:hAnsi="仿宋" w:eastAsia="仿宋"/>
          <w:color w:val="auto"/>
          <w:kern w:val="2"/>
          <w:sz w:val="32"/>
          <w:szCs w:val="24"/>
          <w:lang w:val="en-US"/>
        </w:rPr>
        <w:t>、维修（护）费</w:t>
      </w:r>
      <w:r>
        <w:rPr>
          <w:rFonts w:hint="eastAsia" w:ascii="仿宋" w:hAnsi="仿宋" w:eastAsia="仿宋"/>
          <w:color w:val="auto"/>
          <w:kern w:val="2"/>
          <w:sz w:val="32"/>
          <w:szCs w:val="24"/>
          <w:lang w:val="en-US" w:eastAsia="zh-CN"/>
        </w:rPr>
        <w:t>0.24万元</w:t>
      </w:r>
      <w:r>
        <w:rPr>
          <w:rFonts w:hint="eastAsia" w:ascii="仿宋" w:hAnsi="仿宋" w:eastAsia="仿宋"/>
          <w:color w:val="auto"/>
          <w:kern w:val="2"/>
          <w:sz w:val="32"/>
          <w:szCs w:val="24"/>
          <w:lang w:val="en-US"/>
        </w:rPr>
        <w:t>、会议费</w:t>
      </w:r>
      <w:r>
        <w:rPr>
          <w:rFonts w:hint="eastAsia" w:ascii="仿宋" w:hAnsi="仿宋" w:eastAsia="仿宋"/>
          <w:color w:val="auto"/>
          <w:kern w:val="2"/>
          <w:sz w:val="32"/>
          <w:szCs w:val="24"/>
          <w:lang w:val="en-US" w:eastAsia="zh-CN"/>
        </w:rPr>
        <w:t>0.9万元</w:t>
      </w:r>
      <w:r>
        <w:rPr>
          <w:rFonts w:hint="eastAsia" w:ascii="仿宋" w:hAnsi="仿宋" w:eastAsia="仿宋"/>
          <w:color w:val="auto"/>
          <w:kern w:val="2"/>
          <w:sz w:val="32"/>
          <w:szCs w:val="24"/>
          <w:lang w:val="en-US"/>
        </w:rPr>
        <w:t>、劳务费</w:t>
      </w:r>
      <w:r>
        <w:rPr>
          <w:rFonts w:hint="eastAsia" w:ascii="仿宋" w:hAnsi="仿宋" w:eastAsia="仿宋"/>
          <w:color w:val="auto"/>
          <w:kern w:val="2"/>
          <w:sz w:val="32"/>
          <w:szCs w:val="24"/>
          <w:lang w:val="en-US" w:eastAsia="zh-CN"/>
        </w:rPr>
        <w:t>29.92万元</w:t>
      </w:r>
      <w:r>
        <w:rPr>
          <w:rFonts w:hint="eastAsia" w:ascii="仿宋" w:hAnsi="仿宋" w:eastAsia="仿宋"/>
          <w:color w:val="auto"/>
          <w:kern w:val="2"/>
          <w:sz w:val="32"/>
          <w:szCs w:val="24"/>
          <w:lang w:val="en-US"/>
        </w:rPr>
        <w:t>、工会经费</w:t>
      </w:r>
      <w:r>
        <w:rPr>
          <w:rFonts w:hint="eastAsia" w:ascii="仿宋" w:hAnsi="仿宋" w:eastAsia="仿宋"/>
          <w:color w:val="auto"/>
          <w:kern w:val="2"/>
          <w:sz w:val="32"/>
          <w:szCs w:val="24"/>
          <w:lang w:val="en-US" w:eastAsia="zh-CN"/>
        </w:rPr>
        <w:t>5.56万元</w:t>
      </w:r>
      <w:r>
        <w:rPr>
          <w:rFonts w:hint="eastAsia" w:ascii="仿宋" w:hAnsi="仿宋" w:eastAsia="仿宋"/>
          <w:color w:val="auto"/>
          <w:kern w:val="2"/>
          <w:sz w:val="32"/>
          <w:szCs w:val="24"/>
          <w:lang w:val="en-US"/>
        </w:rPr>
        <w:t>、福利费</w:t>
      </w:r>
      <w:r>
        <w:rPr>
          <w:rFonts w:hint="eastAsia" w:ascii="仿宋" w:hAnsi="仿宋" w:eastAsia="仿宋"/>
          <w:color w:val="auto"/>
          <w:kern w:val="2"/>
          <w:sz w:val="32"/>
          <w:szCs w:val="24"/>
          <w:lang w:val="en-US" w:eastAsia="zh-CN"/>
        </w:rPr>
        <w:t>2.13万元</w:t>
      </w:r>
      <w:r>
        <w:rPr>
          <w:rFonts w:hint="eastAsia" w:ascii="仿宋" w:hAnsi="仿宋" w:eastAsia="仿宋"/>
          <w:color w:val="auto"/>
          <w:kern w:val="2"/>
          <w:sz w:val="32"/>
          <w:szCs w:val="24"/>
          <w:lang w:val="en-US"/>
        </w:rPr>
        <w:t>、公务用车运行维护费</w:t>
      </w:r>
      <w:r>
        <w:rPr>
          <w:rFonts w:hint="eastAsia" w:ascii="仿宋" w:hAnsi="仿宋" w:eastAsia="仿宋"/>
          <w:color w:val="auto"/>
          <w:kern w:val="2"/>
          <w:sz w:val="32"/>
          <w:szCs w:val="24"/>
          <w:lang w:val="en-US" w:eastAsia="zh-CN"/>
        </w:rPr>
        <w:t>1.65万元</w:t>
      </w:r>
      <w:r>
        <w:rPr>
          <w:rFonts w:hint="eastAsia" w:ascii="仿宋" w:hAnsi="仿宋" w:eastAsia="仿宋"/>
          <w:color w:val="auto"/>
          <w:kern w:val="2"/>
          <w:sz w:val="32"/>
          <w:szCs w:val="24"/>
          <w:lang w:val="en-US"/>
        </w:rPr>
        <w:t>、其他交通费</w:t>
      </w:r>
      <w:r>
        <w:rPr>
          <w:rFonts w:hint="eastAsia" w:ascii="仿宋" w:hAnsi="仿宋" w:eastAsia="仿宋"/>
          <w:color w:val="auto"/>
          <w:kern w:val="2"/>
          <w:sz w:val="32"/>
          <w:szCs w:val="24"/>
          <w:lang w:val="en-US" w:eastAsia="zh-CN"/>
        </w:rPr>
        <w:t>18.51万元</w:t>
      </w:r>
      <w:r>
        <w:rPr>
          <w:rFonts w:hint="eastAsia" w:ascii="仿宋" w:hAnsi="仿宋" w:eastAsia="仿宋"/>
          <w:color w:val="auto"/>
          <w:kern w:val="2"/>
          <w:sz w:val="32"/>
          <w:szCs w:val="24"/>
          <w:lang w:val="en-US"/>
        </w:rPr>
        <w:t>、其他商品和服务支出</w:t>
      </w:r>
      <w:r>
        <w:rPr>
          <w:rFonts w:hint="eastAsia" w:ascii="仿宋" w:hAnsi="仿宋" w:eastAsia="仿宋"/>
          <w:color w:val="auto"/>
          <w:kern w:val="2"/>
          <w:sz w:val="32"/>
          <w:szCs w:val="24"/>
          <w:lang w:val="en-US" w:eastAsia="zh-CN"/>
        </w:rPr>
        <w:t>1.68万元</w:t>
      </w:r>
      <w:r>
        <w:rPr>
          <w:rFonts w:hint="eastAsia" w:ascii="仿宋_GB2312" w:hAnsi="仿宋_GB2312" w:eastAsia="仿宋_GB2312"/>
          <w:color w:val="000000"/>
          <w:kern w:val="2"/>
          <w:sz w:val="32"/>
          <w:szCs w:val="24"/>
          <w:lang w:val="zh-CN"/>
        </w:rPr>
        <w:t>。</w:t>
      </w:r>
    </w:p>
    <w:p w14:paraId="17E87FFB">
      <w:pPr>
        <w:keepNext/>
        <w:spacing w:line="600" w:lineRule="exact"/>
        <w:ind w:firstLine="645"/>
        <w:jc w:val="both"/>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（注：数据来源于财决07表和财决08-1表，仅罗列本部门实际支出涉及的经济分类科目。）</w:t>
      </w:r>
    </w:p>
    <w:p w14:paraId="186BB95B">
      <w:pPr>
        <w:keepNext/>
        <w:spacing w:line="576" w:lineRule="exact"/>
        <w:ind w:firstLine="640"/>
        <w:jc w:val="both"/>
        <w:outlineLvl w:val="1"/>
        <w:rPr>
          <w:rFonts w:hint="eastAsia" w:ascii="黑体" w:hAnsi="黑体" w:eastAsia="黑体"/>
          <w:color w:val="auto"/>
          <w:kern w:val="2"/>
          <w:sz w:val="32"/>
          <w:szCs w:val="24"/>
          <w:lang w:val="zh-CN"/>
        </w:rPr>
      </w:pPr>
      <w:bookmarkStart w:id="18" w:name="_Toc10061"/>
      <w:r>
        <w:rPr>
          <w:rFonts w:hint="eastAsia" w:ascii="黑体" w:hAnsi="黑体" w:eastAsia="黑体"/>
          <w:color w:val="000000"/>
          <w:kern w:val="2"/>
          <w:sz w:val="32"/>
          <w:szCs w:val="24"/>
          <w:lang w:val="zh-CN"/>
        </w:rPr>
        <w:t>七、</w:t>
      </w:r>
      <w:r>
        <w:rPr>
          <w:rFonts w:hint="eastAsia" w:ascii="黑体" w:hAnsi="黑体" w:eastAsia="黑体"/>
          <w:b/>
          <w:color w:val="auto"/>
          <w:kern w:val="2"/>
          <w:sz w:val="32"/>
          <w:szCs w:val="24"/>
          <w:lang w:val="zh-CN"/>
        </w:rPr>
        <w:t>“</w:t>
      </w:r>
      <w:r>
        <w:rPr>
          <w:rFonts w:hint="eastAsia" w:ascii="黑体" w:hAnsi="黑体" w:eastAsia="黑体"/>
          <w:color w:val="auto"/>
          <w:kern w:val="2"/>
          <w:sz w:val="32"/>
          <w:szCs w:val="24"/>
          <w:lang w:val="zh-CN"/>
        </w:rPr>
        <w:t>三公”经费财政拨款支出决算情况说明</w:t>
      </w:r>
      <w:bookmarkEnd w:id="18"/>
    </w:p>
    <w:p w14:paraId="5D072BB7">
      <w:pPr>
        <w:keepNext/>
        <w:spacing w:line="576" w:lineRule="exact"/>
        <w:ind w:firstLine="643"/>
        <w:jc w:val="both"/>
        <w:outlineLvl w:val="2"/>
        <w:rPr>
          <w:rFonts w:hint="eastAsia" w:ascii="仿宋_GB2312" w:hAnsi="仿宋_GB2312" w:eastAsia="仿宋_GB2312"/>
          <w:b/>
          <w:color w:val="000000"/>
          <w:kern w:val="2"/>
          <w:sz w:val="32"/>
          <w:szCs w:val="24"/>
          <w:lang w:val="zh-CN"/>
        </w:rPr>
      </w:pPr>
      <w:bookmarkStart w:id="19" w:name="_Toc14689"/>
      <w:bookmarkStart w:id="20" w:name="_Toc12384"/>
      <w:r>
        <w:rPr>
          <w:rFonts w:hint="eastAsia" w:ascii="仿宋_GB2312" w:hAnsi="仿宋_GB2312" w:eastAsia="仿宋_GB2312"/>
          <w:b/>
          <w:color w:val="000000"/>
          <w:kern w:val="2"/>
          <w:sz w:val="32"/>
          <w:szCs w:val="24"/>
          <w:lang w:val="zh-CN"/>
        </w:rPr>
        <w:t>（一）“三公”经费财政拨款支出决算总体情况说明</w:t>
      </w:r>
      <w:bookmarkEnd w:id="19"/>
      <w:bookmarkEnd w:id="20"/>
    </w:p>
    <w:p w14:paraId="535FD7C0">
      <w:pPr>
        <w:keepNext/>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2022年“三公”经费财政拨款支出决算为1.65万元，完成预算49.4%；较上年减少11.55万元，下降87.5%。决算数小于预算数的主要原因是</w:t>
      </w:r>
      <w:r>
        <w:rPr>
          <w:rFonts w:hint="eastAsia" w:ascii="仿宋_GB2312" w:hAnsi="仿宋_GB2312" w:eastAsia="仿宋_GB2312"/>
          <w:color w:val="000000"/>
          <w:kern w:val="2"/>
          <w:sz w:val="32"/>
          <w:szCs w:val="24"/>
          <w:lang w:val="en-US" w:eastAsia="zh-CN"/>
        </w:rPr>
        <w:t>报账不及时，导致资金未能及时支付。</w:t>
      </w:r>
    </w:p>
    <w:p w14:paraId="6E3B63D3">
      <w:pPr>
        <w:keepNext/>
        <w:spacing w:line="600" w:lineRule="exact"/>
        <w:ind w:firstLine="640"/>
        <w:jc w:val="both"/>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（注：上述“预算”口径为全年预算数，包括一般公共预算和政府性基金预算财政拨款支出决算情况。）</w:t>
      </w:r>
    </w:p>
    <w:p w14:paraId="78A15CFB">
      <w:pPr>
        <w:keepNext/>
        <w:spacing w:line="576" w:lineRule="exact"/>
        <w:ind w:firstLine="643"/>
        <w:jc w:val="both"/>
        <w:outlineLvl w:val="2"/>
        <w:rPr>
          <w:rFonts w:hint="eastAsia" w:ascii="仿宋_GB2312" w:hAnsi="仿宋_GB2312" w:eastAsia="仿宋_GB2312"/>
          <w:b/>
          <w:color w:val="000000"/>
          <w:kern w:val="2"/>
          <w:sz w:val="32"/>
          <w:szCs w:val="24"/>
          <w:lang w:val="zh-CN"/>
        </w:rPr>
      </w:pPr>
      <w:bookmarkStart w:id="21" w:name="_Toc32483"/>
      <w:bookmarkStart w:id="22" w:name="_Toc25947"/>
      <w:r>
        <w:rPr>
          <w:rFonts w:hint="eastAsia" w:ascii="仿宋_GB2312" w:hAnsi="仿宋_GB2312" w:eastAsia="仿宋_GB2312"/>
          <w:b/>
          <w:color w:val="000000"/>
          <w:kern w:val="2"/>
          <w:sz w:val="32"/>
          <w:szCs w:val="24"/>
          <w:lang w:val="zh-CN"/>
        </w:rPr>
        <w:t>（二）“三公”经费财政拨款支出决算具体情况说明</w:t>
      </w:r>
      <w:bookmarkEnd w:id="21"/>
      <w:bookmarkEnd w:id="22"/>
    </w:p>
    <w:p w14:paraId="5E537E79">
      <w:pPr>
        <w:keepNext/>
        <w:spacing w:line="576" w:lineRule="exact"/>
        <w:ind w:firstLine="640"/>
        <w:jc w:val="both"/>
        <w:rPr>
          <w:rFonts w:hint="eastAsia" w:ascii="仿宋_GB2312" w:hAnsi="仿宋_GB2312" w:eastAsia="仿宋_GB2312"/>
          <w:color w:val="000000"/>
          <w:kern w:val="2"/>
          <w:sz w:val="32"/>
          <w:szCs w:val="24"/>
          <w:lang w:val="zh-CN"/>
        </w:rPr>
      </w:pPr>
      <w:r>
        <w:rPr>
          <w:rFonts w:hint="default" w:ascii="仿宋_GB2312" w:hAnsi="仿宋_GB2312" w:eastAsia="仿宋_GB2312"/>
          <w:color w:val="000000"/>
          <w:kern w:val="2"/>
          <w:sz w:val="32"/>
          <w:szCs w:val="24"/>
          <w:lang w:val="zh-CN"/>
        </w:rPr>
        <w:pict>
          <v:shape id="对象 11" o:spid="_x0000_s2056" o:spt="75" type="#_x0000_t75" style="position:absolute;left:0pt;margin-left:22pt;margin-top:117.75pt;height:222.75pt;width:316.5pt;mso-wrap-distance-bottom:0pt;mso-wrap-distance-top:0pt;z-index:251665408;mso-width-relative:page;mso-height-relative:page;" o:ole="t" filled="f" o:preferrelative="t" stroked="f" coordsize="21600,21600">
            <v:path/>
            <v:fill on="f" focussize="0,0"/>
            <v:stroke on="f"/>
            <v:imagedata r:id="rId18" o:title=""/>
            <o:lock v:ext="edit" aspectratio="t"/>
            <w10:wrap type="topAndBottom"/>
          </v:shape>
          <o:OLEObject Type="Embed" ProgID="Excel.Chart.8" ShapeID="对象 11" DrawAspect="Content" ObjectID="_1468075731" r:id="rId17">
            <o:LockedField>false</o:LockedField>
          </o:OLEObject>
        </w:pict>
      </w:r>
      <w:r>
        <w:rPr>
          <w:rFonts w:hint="eastAsia" w:ascii="仿宋_GB2312" w:hAnsi="仿宋_GB2312" w:eastAsia="仿宋_GB2312"/>
          <w:color w:val="000000"/>
          <w:kern w:val="2"/>
          <w:sz w:val="32"/>
          <w:szCs w:val="24"/>
          <w:lang w:val="zh-CN"/>
        </w:rPr>
        <w:t>2022年“三公”经费财政拨款支出决算中，因公出国（境）费支出决算0万元，占0%；公务用车购置及运行维护费支出决算1.65万元，占100%；公务接待费支出决算0万元，占0%。具体情况如下：</w:t>
      </w:r>
    </w:p>
    <w:p w14:paraId="28CEC8CE">
      <w:pPr>
        <w:keepNext/>
        <w:spacing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（图7：“三公”经费财政拨款支出结构）（饼状图）</w:t>
      </w:r>
    </w:p>
    <w:p w14:paraId="16A30C95">
      <w:pPr>
        <w:keepNext/>
        <w:spacing w:line="600" w:lineRule="exact"/>
        <w:ind w:firstLine="640"/>
        <w:jc w:val="both"/>
        <w:rPr>
          <w:rFonts w:hint="eastAsia" w:ascii="仿宋_GB2312" w:hAnsi="仿宋_GB2312" w:eastAsia="仿宋_GB2312"/>
          <w:color w:val="auto"/>
          <w:kern w:val="2"/>
          <w:sz w:val="32"/>
          <w:szCs w:val="24"/>
          <w:lang w:val="en-US"/>
        </w:rPr>
      </w:pPr>
      <w:r>
        <w:rPr>
          <w:rFonts w:hint="eastAsia" w:ascii="仿宋_GB2312" w:hAnsi="仿宋_GB2312" w:eastAsia="仿宋_GB2312"/>
          <w:b/>
          <w:color w:val="000000"/>
          <w:kern w:val="2"/>
          <w:sz w:val="32"/>
          <w:szCs w:val="24"/>
          <w:lang w:val="zh-CN"/>
        </w:rPr>
        <w:t>1.因公出国（境）经费</w:t>
      </w:r>
      <w:r>
        <w:rPr>
          <w:rFonts w:hint="eastAsia" w:ascii="仿宋_GB2312" w:hAnsi="仿宋_GB2312" w:eastAsia="仿宋_GB2312"/>
          <w:color w:val="000000"/>
          <w:kern w:val="2"/>
          <w:sz w:val="32"/>
          <w:szCs w:val="24"/>
          <w:lang w:val="zh-CN"/>
        </w:rPr>
        <w:t>支出0万元，完成预算0%。全年安排因公出国（境）团组0个，出国（境）0人。因公出国（境）支出决算比2021年增加</w:t>
      </w:r>
      <w:r>
        <w:rPr>
          <w:rFonts w:hint="eastAsia" w:ascii="仿宋_GB2312" w:hAnsi="仿宋_GB2312" w:eastAsia="仿宋_GB2312"/>
          <w:color w:val="000000"/>
          <w:kern w:val="2"/>
          <w:sz w:val="32"/>
          <w:szCs w:val="24"/>
          <w:lang w:val="en-US" w:eastAsia="zh-CN"/>
        </w:rPr>
        <w:t>/减少</w:t>
      </w:r>
      <w:r>
        <w:rPr>
          <w:rFonts w:hint="eastAsia" w:ascii="仿宋_GB2312" w:hAnsi="仿宋_GB2312" w:eastAsia="仿宋_GB2312"/>
          <w:color w:val="000000"/>
          <w:kern w:val="2"/>
          <w:sz w:val="32"/>
          <w:szCs w:val="24"/>
          <w:lang w:val="zh-CN"/>
        </w:rPr>
        <w:t>0万元，增长</w:t>
      </w:r>
      <w:r>
        <w:rPr>
          <w:rFonts w:hint="eastAsia" w:ascii="仿宋_GB2312" w:hAnsi="仿宋_GB2312" w:eastAsia="仿宋_GB2312"/>
          <w:color w:val="000000"/>
          <w:kern w:val="2"/>
          <w:sz w:val="32"/>
          <w:szCs w:val="24"/>
          <w:lang w:val="en-US" w:eastAsia="zh-CN"/>
        </w:rPr>
        <w:t>/下降0</w:t>
      </w:r>
      <w:r>
        <w:rPr>
          <w:rFonts w:hint="eastAsia"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en-US" w:eastAsia="zh-CN"/>
        </w:rPr>
        <w:t>主要原因是无安排</w:t>
      </w:r>
      <w:r>
        <w:rPr>
          <w:rFonts w:hint="eastAsia" w:ascii="仿宋_GB2312" w:hAnsi="仿宋_GB2312" w:eastAsia="仿宋_GB2312"/>
          <w:color w:val="000000"/>
          <w:kern w:val="2"/>
          <w:sz w:val="32"/>
          <w:szCs w:val="24"/>
          <w:lang w:val="zh-CN"/>
        </w:rPr>
        <w:t>。</w:t>
      </w:r>
    </w:p>
    <w:p w14:paraId="3FAAD23D">
      <w:pPr>
        <w:keepNext/>
        <w:autoSpaceDE/>
        <w:autoSpaceDN/>
        <w:adjustRightInd/>
        <w:spacing w:line="560" w:lineRule="exact"/>
        <w:ind w:firstLine="643" w:firstLineChars="200"/>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2.公务用车购置及运行维护费</w:t>
      </w:r>
      <w:r>
        <w:rPr>
          <w:rFonts w:hint="eastAsia" w:ascii="仿宋_GB2312" w:hAnsi="仿宋_GB2312" w:eastAsia="仿宋_GB2312"/>
          <w:color w:val="000000"/>
          <w:kern w:val="2"/>
          <w:sz w:val="32"/>
          <w:szCs w:val="24"/>
          <w:lang w:val="zh-CN"/>
        </w:rPr>
        <w:t>支出1.65万元，完成预算63.5%。公务用车购置及运行维护费支出决算比2021年减少10.2万元，下降86.1%。主要原因是</w:t>
      </w:r>
      <w:r>
        <w:rPr>
          <w:rFonts w:hint="eastAsia" w:ascii="Times New Roman" w:hAnsi="Times New Roman" w:eastAsia="方正仿宋_GBK"/>
          <w:sz w:val="33"/>
          <w:szCs w:val="24"/>
          <w:lang w:val="en-US" w:eastAsia="zh-CN"/>
        </w:rPr>
        <w:t>减少</w:t>
      </w:r>
      <w:r>
        <w:rPr>
          <w:rFonts w:hint="eastAsia" w:ascii="Times New Roman" w:hAnsi="Times New Roman" w:eastAsia="方正仿宋_GBK"/>
          <w:sz w:val="33"/>
          <w:szCs w:val="24"/>
        </w:rPr>
        <w:t>公车运行维护支出。</w:t>
      </w:r>
    </w:p>
    <w:p w14:paraId="4B585706">
      <w:pPr>
        <w:keepNext/>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其中：</w:t>
      </w:r>
      <w:r>
        <w:rPr>
          <w:rFonts w:hint="eastAsia" w:ascii="仿宋_GB2312" w:hAnsi="仿宋_GB2312" w:eastAsia="仿宋_GB2312"/>
          <w:b/>
          <w:color w:val="000000"/>
          <w:kern w:val="2"/>
          <w:sz w:val="32"/>
          <w:szCs w:val="24"/>
          <w:lang w:val="zh-CN"/>
        </w:rPr>
        <w:t>公务用车购置费</w:t>
      </w:r>
      <w:r>
        <w:rPr>
          <w:rFonts w:hint="eastAsia" w:ascii="仿宋_GB2312" w:hAnsi="仿宋_GB2312" w:eastAsia="仿宋_GB2312"/>
          <w:color w:val="000000"/>
          <w:kern w:val="2"/>
          <w:sz w:val="32"/>
          <w:szCs w:val="24"/>
          <w:lang w:val="zh-CN"/>
        </w:rPr>
        <w:t>支出0万元。全年按规定更新购置公务用车0辆。截至2022年12月底，本部门共有公务用车</w:t>
      </w:r>
      <w:r>
        <w:rPr>
          <w:rFonts w:hint="eastAsia" w:ascii="仿宋_GB2312" w:hAnsi="仿宋_GB2312" w:eastAsia="仿宋_GB2312"/>
          <w:color w:val="000000"/>
          <w:kern w:val="2"/>
          <w:sz w:val="32"/>
          <w:szCs w:val="24"/>
          <w:lang w:val="en-US" w:eastAsia="zh-CN"/>
        </w:rPr>
        <w:t>1</w:t>
      </w:r>
      <w:r>
        <w:rPr>
          <w:rFonts w:hint="eastAsia" w:ascii="仿宋_GB2312" w:hAnsi="仿宋_GB2312" w:eastAsia="仿宋_GB2312"/>
          <w:color w:val="000000"/>
          <w:kern w:val="2"/>
          <w:sz w:val="32"/>
          <w:szCs w:val="24"/>
          <w:lang w:val="zh-CN"/>
        </w:rPr>
        <w:t>辆，其中：轿车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辆、越野车</w:t>
      </w:r>
      <w:r>
        <w:rPr>
          <w:rFonts w:hint="eastAsia" w:ascii="仿宋_GB2312" w:hAnsi="仿宋_GB2312" w:eastAsia="仿宋_GB2312"/>
          <w:color w:val="000000"/>
          <w:kern w:val="2"/>
          <w:sz w:val="32"/>
          <w:szCs w:val="24"/>
          <w:lang w:val="en-US" w:eastAsia="zh-CN"/>
        </w:rPr>
        <w:t>1</w:t>
      </w:r>
      <w:r>
        <w:rPr>
          <w:rFonts w:hint="eastAsia" w:ascii="仿宋_GB2312" w:hAnsi="仿宋_GB2312" w:eastAsia="仿宋_GB2312"/>
          <w:color w:val="000000"/>
          <w:kern w:val="2"/>
          <w:sz w:val="32"/>
          <w:szCs w:val="24"/>
          <w:lang w:val="zh-CN"/>
        </w:rPr>
        <w:t>辆、小型载客汽车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辆、大中型载客汽车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辆、其他车型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辆。</w:t>
      </w:r>
    </w:p>
    <w:p w14:paraId="4BEB0971">
      <w:pPr>
        <w:keepNext/>
        <w:spacing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公务用车运行维护费</w:t>
      </w:r>
      <w:r>
        <w:rPr>
          <w:rFonts w:hint="eastAsia" w:ascii="仿宋_GB2312" w:hAnsi="仿宋_GB2312" w:eastAsia="仿宋_GB2312"/>
          <w:color w:val="000000"/>
          <w:kern w:val="2"/>
          <w:sz w:val="32"/>
          <w:szCs w:val="24"/>
          <w:lang w:val="zh-CN"/>
        </w:rPr>
        <w:t>支出1.65万元。主要用于开展全乡各项工作所需的公务用车燃料费、维修费、保险费等支出。</w:t>
      </w:r>
    </w:p>
    <w:p w14:paraId="60BC9241">
      <w:pPr>
        <w:keepNext/>
        <w:spacing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3.公务接待费</w:t>
      </w:r>
      <w:r>
        <w:rPr>
          <w:rFonts w:hint="eastAsia" w:ascii="仿宋_GB2312" w:hAnsi="仿宋_GB2312" w:eastAsia="仿宋_GB2312"/>
          <w:color w:val="000000"/>
          <w:kern w:val="2"/>
          <w:sz w:val="32"/>
          <w:szCs w:val="24"/>
          <w:lang w:val="zh-CN"/>
        </w:rPr>
        <w:t>支出0万元，完成预算0%。公务接待费支出决算比2021年减少1.35万元，下降100%。主要原因是</w:t>
      </w:r>
      <w:r>
        <w:rPr>
          <w:rFonts w:hint="eastAsia" w:ascii="仿宋_GB2312" w:hAnsi="仿宋_GB2312" w:eastAsia="仿宋_GB2312"/>
          <w:color w:val="000000"/>
          <w:kern w:val="2"/>
          <w:sz w:val="32"/>
          <w:szCs w:val="24"/>
          <w:lang w:val="en-US" w:eastAsia="zh-CN"/>
        </w:rPr>
        <w:t>报账不及时</w:t>
      </w:r>
      <w:r>
        <w:rPr>
          <w:rFonts w:hint="eastAsia" w:ascii="仿宋_GB2312" w:hAnsi="仿宋_GB2312" w:eastAsia="仿宋_GB2312"/>
          <w:color w:val="000000"/>
          <w:kern w:val="2"/>
          <w:sz w:val="32"/>
          <w:szCs w:val="24"/>
          <w:lang w:val="zh-CN"/>
        </w:rPr>
        <w:t>。其中：</w:t>
      </w:r>
    </w:p>
    <w:p w14:paraId="58E4523F">
      <w:pPr>
        <w:keepNext/>
        <w:spacing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国内公务接待</w:t>
      </w:r>
      <w:r>
        <w:rPr>
          <w:rFonts w:hint="eastAsia" w:ascii="仿宋_GB2312" w:hAnsi="仿宋_GB2312" w:eastAsia="仿宋_GB2312"/>
          <w:color w:val="000000"/>
          <w:kern w:val="2"/>
          <w:sz w:val="32"/>
          <w:szCs w:val="24"/>
          <w:lang w:val="zh-CN"/>
        </w:rPr>
        <w:t>支出0万元。</w:t>
      </w:r>
    </w:p>
    <w:p w14:paraId="6D22C01A">
      <w:pPr>
        <w:keepNext/>
        <w:spacing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zh-CN"/>
        </w:rPr>
        <w:t>外事接待</w:t>
      </w:r>
      <w:r>
        <w:rPr>
          <w:rFonts w:hint="eastAsia" w:ascii="仿宋_GB2312" w:hAnsi="仿宋_GB2312" w:eastAsia="仿宋_GB2312"/>
          <w:color w:val="000000"/>
          <w:kern w:val="2"/>
          <w:sz w:val="32"/>
          <w:szCs w:val="24"/>
          <w:lang w:val="zh-CN"/>
        </w:rPr>
        <w:t>支出0万元。</w:t>
      </w:r>
    </w:p>
    <w:p w14:paraId="1E59AEF5">
      <w:pPr>
        <w:keepNext/>
        <w:spacing w:line="576" w:lineRule="exact"/>
        <w:ind w:firstLine="640"/>
        <w:jc w:val="both"/>
        <w:outlineLvl w:val="1"/>
        <w:rPr>
          <w:rFonts w:hint="eastAsia" w:ascii="黑体" w:hAnsi="黑体" w:eastAsia="黑体"/>
          <w:b/>
          <w:color w:val="auto"/>
          <w:kern w:val="2"/>
          <w:sz w:val="32"/>
          <w:szCs w:val="24"/>
          <w:lang w:val="zh-CN"/>
        </w:rPr>
      </w:pPr>
      <w:bookmarkStart w:id="23" w:name="_Toc25532"/>
      <w:r>
        <w:rPr>
          <w:rFonts w:hint="eastAsia" w:ascii="黑体" w:hAnsi="黑体" w:eastAsia="黑体"/>
          <w:color w:val="000000"/>
          <w:kern w:val="2"/>
          <w:sz w:val="32"/>
          <w:szCs w:val="24"/>
          <w:lang w:val="zh-CN"/>
        </w:rPr>
        <w:t>八、</w:t>
      </w:r>
      <w:r>
        <w:rPr>
          <w:rFonts w:hint="eastAsia" w:ascii="黑体" w:hAnsi="黑体" w:eastAsia="黑体"/>
          <w:color w:val="auto"/>
          <w:kern w:val="2"/>
          <w:sz w:val="32"/>
          <w:szCs w:val="24"/>
          <w:lang w:val="zh-CN"/>
        </w:rPr>
        <w:t>政府性基金预算支出决算情况说明</w:t>
      </w:r>
      <w:bookmarkEnd w:id="23"/>
    </w:p>
    <w:p w14:paraId="767BAE47">
      <w:pPr>
        <w:keepNext/>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2022年政府性基金预算拨款支出0万元。</w:t>
      </w:r>
    </w:p>
    <w:p w14:paraId="2BDC1DB9">
      <w:pPr>
        <w:keepNext/>
        <w:spacing w:line="576" w:lineRule="exact"/>
        <w:ind w:firstLine="640"/>
        <w:jc w:val="both"/>
        <w:outlineLvl w:val="1"/>
        <w:rPr>
          <w:rFonts w:hint="eastAsia" w:ascii="黑体" w:hAnsi="黑体" w:eastAsia="黑体"/>
          <w:color w:val="auto"/>
          <w:kern w:val="2"/>
          <w:sz w:val="32"/>
          <w:szCs w:val="24"/>
          <w:lang w:val="zh-CN"/>
        </w:rPr>
      </w:pPr>
      <w:bookmarkStart w:id="24" w:name="_Toc9948"/>
      <w:r>
        <w:rPr>
          <w:rFonts w:hint="eastAsia" w:ascii="黑体" w:hAnsi="黑体" w:eastAsia="黑体"/>
          <w:color w:val="auto"/>
          <w:kern w:val="2"/>
          <w:sz w:val="32"/>
          <w:szCs w:val="24"/>
          <w:lang w:val="zh-CN"/>
        </w:rPr>
        <w:t>九、国有资本经营预算支出决算情况说明</w:t>
      </w:r>
      <w:bookmarkEnd w:id="24"/>
    </w:p>
    <w:p w14:paraId="2AF484D3">
      <w:pPr>
        <w:keepNext/>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2022年国有资本经营预算拨款支出0万元。</w:t>
      </w:r>
    </w:p>
    <w:p w14:paraId="2C309746">
      <w:pPr>
        <w:keepNext/>
        <w:spacing w:line="576" w:lineRule="exact"/>
        <w:ind w:firstLine="640"/>
        <w:jc w:val="both"/>
        <w:outlineLvl w:val="1"/>
        <w:rPr>
          <w:rFonts w:hint="eastAsia" w:ascii="黑体" w:hAnsi="黑体" w:eastAsia="黑体"/>
          <w:b/>
          <w:color w:val="auto"/>
          <w:kern w:val="2"/>
          <w:sz w:val="32"/>
          <w:szCs w:val="24"/>
          <w:lang w:val="zh-CN"/>
        </w:rPr>
      </w:pPr>
      <w:bookmarkStart w:id="25" w:name="_Toc4904"/>
      <w:r>
        <w:rPr>
          <w:rFonts w:hint="eastAsia" w:ascii="黑体" w:hAnsi="黑体" w:eastAsia="黑体"/>
          <w:color w:val="000000"/>
          <w:kern w:val="2"/>
          <w:sz w:val="32"/>
          <w:szCs w:val="24"/>
          <w:lang w:val="zh-CN"/>
        </w:rPr>
        <w:t>十</w:t>
      </w:r>
      <w:r>
        <w:rPr>
          <w:rFonts w:hint="eastAsia" w:ascii="黑体" w:hAnsi="黑体" w:eastAsia="黑体"/>
          <w:b/>
          <w:color w:val="auto"/>
          <w:kern w:val="2"/>
          <w:sz w:val="32"/>
          <w:szCs w:val="24"/>
          <w:lang w:val="zh-CN"/>
        </w:rPr>
        <w:t>、</w:t>
      </w:r>
      <w:r>
        <w:rPr>
          <w:rFonts w:hint="eastAsia" w:ascii="黑体" w:hAnsi="黑体" w:eastAsia="黑体"/>
          <w:color w:val="auto"/>
          <w:kern w:val="2"/>
          <w:sz w:val="32"/>
          <w:szCs w:val="24"/>
          <w:lang w:val="zh-CN"/>
        </w:rPr>
        <w:t>其他重要事项的情况说明</w:t>
      </w:r>
      <w:bookmarkEnd w:id="25"/>
    </w:p>
    <w:p w14:paraId="4E5B1518">
      <w:pPr>
        <w:keepNext/>
        <w:spacing w:line="576" w:lineRule="exact"/>
        <w:ind w:firstLine="643"/>
        <w:jc w:val="both"/>
        <w:outlineLvl w:val="2"/>
        <w:rPr>
          <w:rFonts w:hint="eastAsia" w:ascii="仿宋_GB2312" w:hAnsi="仿宋_GB2312" w:eastAsia="仿宋_GB2312"/>
          <w:color w:val="000000"/>
          <w:kern w:val="2"/>
          <w:sz w:val="32"/>
          <w:szCs w:val="24"/>
          <w:lang w:val="zh-CN"/>
        </w:rPr>
      </w:pPr>
      <w:bookmarkStart w:id="26" w:name="_Toc7150"/>
      <w:bookmarkStart w:id="27" w:name="_Toc15569"/>
      <w:r>
        <w:rPr>
          <w:rFonts w:hint="eastAsia" w:ascii="仿宋_GB2312" w:hAnsi="仿宋_GB2312" w:eastAsia="仿宋_GB2312"/>
          <w:b/>
          <w:color w:val="000000"/>
          <w:kern w:val="2"/>
          <w:sz w:val="32"/>
          <w:szCs w:val="24"/>
          <w:lang w:val="zh-CN"/>
        </w:rPr>
        <w:t>（一）机关运行经费支出情况</w:t>
      </w:r>
      <w:bookmarkEnd w:id="26"/>
      <w:bookmarkEnd w:id="27"/>
    </w:p>
    <w:p w14:paraId="7FCD9BAF">
      <w:pPr>
        <w:keepNext/>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2022年，盐边县共和乡人民政府机关运行经费支出120.87万元，比2021年减少28.76万元，下降19.2%。主要原因是机关人员</w:t>
      </w:r>
      <w:r>
        <w:rPr>
          <w:rFonts w:hint="eastAsia" w:ascii="仿宋_GB2312" w:hAnsi="仿宋_GB2312" w:eastAsia="仿宋_GB2312"/>
          <w:color w:val="000000"/>
          <w:kern w:val="2"/>
          <w:sz w:val="32"/>
          <w:szCs w:val="24"/>
          <w:lang w:val="en-US" w:eastAsia="zh-CN"/>
        </w:rPr>
        <w:t>减少</w:t>
      </w:r>
      <w:r>
        <w:rPr>
          <w:rFonts w:hint="eastAsia" w:ascii="仿宋_GB2312" w:hAnsi="仿宋_GB2312" w:eastAsia="仿宋_GB2312"/>
          <w:color w:val="000000"/>
          <w:kern w:val="2"/>
          <w:sz w:val="32"/>
          <w:szCs w:val="24"/>
          <w:lang w:val="zh-CN"/>
        </w:rPr>
        <w:t>，日常公用经费支出</w:t>
      </w:r>
      <w:r>
        <w:rPr>
          <w:rFonts w:hint="eastAsia" w:ascii="仿宋_GB2312" w:hAnsi="仿宋_GB2312" w:eastAsia="仿宋_GB2312"/>
          <w:color w:val="000000"/>
          <w:kern w:val="2"/>
          <w:sz w:val="32"/>
          <w:szCs w:val="24"/>
          <w:lang w:val="en-US" w:eastAsia="zh-CN"/>
        </w:rPr>
        <w:t>减少</w:t>
      </w:r>
      <w:r>
        <w:rPr>
          <w:rFonts w:hint="eastAsia" w:ascii="仿宋_GB2312" w:hAnsi="仿宋_GB2312" w:eastAsia="仿宋_GB2312"/>
          <w:color w:val="000000"/>
          <w:kern w:val="2"/>
          <w:sz w:val="32"/>
          <w:szCs w:val="24"/>
          <w:lang w:val="zh-CN"/>
        </w:rPr>
        <w:t>。</w:t>
      </w:r>
    </w:p>
    <w:p w14:paraId="54A1293C">
      <w:pPr>
        <w:keepNext/>
        <w:spacing w:line="600" w:lineRule="exact"/>
        <w:ind w:firstLine="643"/>
        <w:jc w:val="both"/>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（注：数据来源于财决附03表）</w:t>
      </w:r>
    </w:p>
    <w:p w14:paraId="60CE5317">
      <w:pPr>
        <w:keepNext/>
        <w:spacing w:line="576" w:lineRule="exact"/>
        <w:ind w:firstLine="643"/>
        <w:jc w:val="both"/>
        <w:outlineLvl w:val="2"/>
        <w:rPr>
          <w:rFonts w:hint="eastAsia" w:ascii="仿宋_GB2312" w:hAnsi="仿宋_GB2312" w:eastAsia="仿宋_GB2312"/>
          <w:b/>
          <w:color w:val="000000"/>
          <w:kern w:val="2"/>
          <w:sz w:val="32"/>
          <w:szCs w:val="24"/>
          <w:lang w:val="zh-CN"/>
        </w:rPr>
      </w:pPr>
      <w:bookmarkStart w:id="28" w:name="_Toc3207"/>
      <w:bookmarkStart w:id="29" w:name="_Toc11856"/>
      <w:r>
        <w:rPr>
          <w:rFonts w:hint="eastAsia" w:ascii="仿宋_GB2312" w:hAnsi="仿宋_GB2312" w:eastAsia="仿宋_GB2312"/>
          <w:b/>
          <w:color w:val="000000"/>
          <w:kern w:val="2"/>
          <w:sz w:val="32"/>
          <w:szCs w:val="24"/>
          <w:lang w:val="zh-CN"/>
        </w:rPr>
        <w:t>（二）政府采购支出情况</w:t>
      </w:r>
      <w:bookmarkEnd w:id="28"/>
      <w:bookmarkEnd w:id="29"/>
    </w:p>
    <w:p w14:paraId="19560D86">
      <w:pPr>
        <w:keepNext/>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2022年，盐边县共和乡人民政府政府采购支出总额0万元，其中：政府采购货物支出0万元、政府采购工程支出0万元、政府采购服务支出0万元。</w:t>
      </w:r>
    </w:p>
    <w:p w14:paraId="2581BBAD">
      <w:pPr>
        <w:keepNext/>
        <w:spacing w:line="600" w:lineRule="exact"/>
        <w:ind w:firstLine="643"/>
        <w:jc w:val="both"/>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（注：数据来源于财决附03表）</w:t>
      </w:r>
    </w:p>
    <w:p w14:paraId="3B526F65">
      <w:pPr>
        <w:keepNext/>
        <w:spacing w:line="576" w:lineRule="exact"/>
        <w:ind w:firstLine="643"/>
        <w:jc w:val="both"/>
        <w:outlineLvl w:val="2"/>
        <w:rPr>
          <w:rFonts w:hint="eastAsia" w:ascii="仿宋_GB2312" w:hAnsi="仿宋_GB2312" w:eastAsia="仿宋_GB2312"/>
          <w:b/>
          <w:color w:val="000000"/>
          <w:kern w:val="2"/>
          <w:sz w:val="32"/>
          <w:szCs w:val="24"/>
          <w:lang w:val="zh-CN"/>
        </w:rPr>
      </w:pPr>
      <w:bookmarkStart w:id="30" w:name="_Toc32300"/>
      <w:bookmarkStart w:id="31" w:name="_Toc31388"/>
      <w:r>
        <w:rPr>
          <w:rFonts w:hint="eastAsia" w:ascii="仿宋_GB2312" w:hAnsi="仿宋_GB2312" w:eastAsia="仿宋_GB2312"/>
          <w:b/>
          <w:color w:val="000000"/>
          <w:kern w:val="2"/>
          <w:sz w:val="32"/>
          <w:szCs w:val="24"/>
          <w:lang w:val="zh-CN"/>
        </w:rPr>
        <w:t>（三）国有资产占有使用情况</w:t>
      </w:r>
      <w:bookmarkEnd w:id="30"/>
      <w:bookmarkEnd w:id="31"/>
    </w:p>
    <w:p w14:paraId="2803BEE7">
      <w:pPr>
        <w:keepNext/>
        <w:spacing w:line="576" w:lineRule="exact"/>
        <w:ind w:firstLine="640"/>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截至2022年12月31日，盐边县共和乡人民政府共有车辆1辆，其中：副部（省）级及以上领导用车0辆、主要领导干部用车0辆、机要通信用车0辆、应急保障用车0辆、执法执勤用车0辆、特种专业技术用车0辆、离退休干部用车0辆、其他用车1辆。其中：其他用车主要是用于重点项目推进、日常公务出行方面。单价100万元（含）以上设备0台（套)。</w:t>
      </w:r>
    </w:p>
    <w:p w14:paraId="17C8BE3B">
      <w:pPr>
        <w:keepNext/>
        <w:spacing w:line="600" w:lineRule="exact"/>
        <w:ind w:firstLine="643"/>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（注：数据来源于财决附03表，按部门决算报表填报数据罗列车辆情况。）</w:t>
      </w:r>
    </w:p>
    <w:p w14:paraId="66691CC7">
      <w:pPr>
        <w:keepNext/>
        <w:spacing w:line="576" w:lineRule="exact"/>
        <w:ind w:firstLine="643"/>
        <w:jc w:val="both"/>
        <w:outlineLvl w:val="2"/>
        <w:rPr>
          <w:rFonts w:hint="eastAsia" w:ascii="仿宋_GB2312" w:hAnsi="仿宋_GB2312" w:eastAsia="仿宋_GB2312"/>
          <w:b/>
          <w:color w:val="000000"/>
          <w:kern w:val="2"/>
          <w:sz w:val="32"/>
          <w:szCs w:val="24"/>
          <w:lang w:val="zh-CN"/>
        </w:rPr>
      </w:pPr>
      <w:bookmarkStart w:id="32" w:name="_Toc29283"/>
      <w:bookmarkStart w:id="33" w:name="_Toc2639"/>
      <w:r>
        <w:rPr>
          <w:rFonts w:hint="eastAsia" w:ascii="仿宋_GB2312" w:hAnsi="仿宋_GB2312" w:eastAsia="仿宋_GB2312"/>
          <w:b/>
          <w:color w:val="000000"/>
          <w:kern w:val="2"/>
          <w:sz w:val="32"/>
          <w:szCs w:val="24"/>
          <w:lang w:val="zh-CN"/>
        </w:rPr>
        <w:t>（四）预算绩效管理情况。</w:t>
      </w:r>
      <w:bookmarkEnd w:id="32"/>
      <w:bookmarkEnd w:id="33"/>
    </w:p>
    <w:p w14:paraId="578AA475">
      <w:pPr>
        <w:pStyle w:val="5"/>
        <w:spacing w:line="590" w:lineRule="exact"/>
        <w:ind w:firstLine="640" w:firstLineChars="200"/>
        <w:jc w:val="left"/>
        <w:rPr>
          <w:rFonts w:hint="eastAsia" w:hAnsi="仿宋_GB2312" w:cs="Times New Roman"/>
          <w:color w:val="auto"/>
          <w:kern w:val="2"/>
          <w:sz w:val="32"/>
          <w:szCs w:val="24"/>
          <w:lang w:val="en-US" w:eastAsia="zh-CN"/>
        </w:rPr>
      </w:pPr>
      <w:r>
        <w:rPr>
          <w:rFonts w:hint="eastAsia" w:hAnsi="仿宋_GB2312"/>
          <w:color w:val="auto"/>
          <w:kern w:val="2"/>
          <w:sz w:val="32"/>
          <w:szCs w:val="24"/>
          <w:lang w:val="en-US"/>
        </w:rPr>
        <w:t>根据预算绩效管理要求，本部门在2022年度预算编制阶段，组织对</w:t>
      </w:r>
      <w:r>
        <w:rPr>
          <w:rFonts w:hint="eastAsia" w:hAnsi="仿宋_GB2312" w:cs="Times New Roman"/>
          <w:color w:val="auto"/>
          <w:kern w:val="2"/>
          <w:sz w:val="32"/>
          <w:szCs w:val="24"/>
          <w:lang w:val="en-US" w:eastAsia="zh-CN"/>
        </w:rPr>
        <w:t>“2022敬老院管理人员工作经费-公用经费”项目、“根据</w:t>
      </w:r>
      <w:r>
        <w:rPr>
          <w:rFonts w:hint="eastAsia" w:hAnsi="仿宋_GB2312" w:cs="Times New Roman"/>
          <w:color w:val="auto"/>
          <w:kern w:val="2"/>
          <w:sz w:val="32"/>
          <w:szCs w:val="24"/>
          <w:lang w:val="en-US"/>
        </w:rPr>
        <w:t>盐财资行〔202</w:t>
      </w:r>
      <w:r>
        <w:rPr>
          <w:rFonts w:hint="eastAsia" w:hAnsi="仿宋_GB2312" w:cs="Times New Roman"/>
          <w:color w:val="auto"/>
          <w:kern w:val="2"/>
          <w:sz w:val="32"/>
          <w:szCs w:val="24"/>
          <w:lang w:val="en-US" w:eastAsia="zh-CN"/>
        </w:rPr>
        <w:t>2</w:t>
      </w:r>
      <w:r>
        <w:rPr>
          <w:rFonts w:hint="eastAsia" w:hAnsi="仿宋_GB2312" w:cs="Times New Roman"/>
          <w:color w:val="auto"/>
          <w:kern w:val="2"/>
          <w:sz w:val="32"/>
          <w:szCs w:val="24"/>
          <w:lang w:val="en-US"/>
        </w:rPr>
        <w:t>〕</w:t>
      </w:r>
      <w:r>
        <w:rPr>
          <w:rFonts w:hint="eastAsia" w:hAnsi="仿宋_GB2312" w:cs="Times New Roman"/>
          <w:color w:val="auto"/>
          <w:kern w:val="2"/>
          <w:sz w:val="32"/>
          <w:szCs w:val="24"/>
          <w:lang w:val="en-US" w:eastAsia="zh-CN"/>
        </w:rPr>
        <w:t>301</w:t>
      </w:r>
      <w:r>
        <w:rPr>
          <w:rFonts w:hint="eastAsia" w:hAnsi="仿宋_GB2312" w:cs="Times New Roman"/>
          <w:color w:val="auto"/>
          <w:kern w:val="2"/>
          <w:sz w:val="32"/>
          <w:szCs w:val="24"/>
          <w:lang w:val="en-US"/>
        </w:rPr>
        <w:t>号关于下达2022年民族地区春节慰</w:t>
      </w:r>
      <w:r>
        <w:rPr>
          <w:rFonts w:hint="eastAsia" w:hAnsi="仿宋_GB2312" w:cs="Times New Roman"/>
          <w:color w:val="auto"/>
          <w:kern w:val="2"/>
          <w:sz w:val="32"/>
          <w:szCs w:val="24"/>
          <w:lang w:val="en-US" w:eastAsia="zh-CN"/>
        </w:rPr>
        <w:t>问金”项目、“2022共和乡特困人员经费”项目、“2022共和乡应急和安全生产监管工作”项目、“共和乡人民政府2022年敬老院人员经费”项目</w:t>
      </w:r>
      <w:r>
        <w:rPr>
          <w:rFonts w:hint="eastAsia" w:hAnsi="仿宋_GB2312" w:cs="Times New Roman"/>
          <w:color w:val="auto"/>
          <w:kern w:val="2"/>
          <w:sz w:val="32"/>
          <w:szCs w:val="24"/>
          <w:lang w:val="en-US"/>
        </w:rPr>
        <w:t>等</w:t>
      </w:r>
      <w:r>
        <w:rPr>
          <w:rFonts w:hint="eastAsia" w:hAnsi="仿宋_GB2312" w:cs="Times New Roman"/>
          <w:color w:val="auto"/>
          <w:kern w:val="2"/>
          <w:sz w:val="32"/>
          <w:szCs w:val="24"/>
          <w:lang w:val="en-US" w:eastAsia="zh-CN"/>
        </w:rPr>
        <w:t>5</w:t>
      </w:r>
      <w:r>
        <w:rPr>
          <w:rFonts w:hint="eastAsia" w:hAnsi="仿宋_GB2312" w:cs="Times New Roman"/>
          <w:color w:val="auto"/>
          <w:kern w:val="2"/>
          <w:sz w:val="32"/>
          <w:szCs w:val="24"/>
          <w:lang w:val="en-US"/>
        </w:rPr>
        <w:t>个项目开展了预算事前绩效评估，对</w:t>
      </w:r>
      <w:r>
        <w:rPr>
          <w:rFonts w:hint="eastAsia" w:hAnsi="仿宋_GB2312" w:cs="Times New Roman"/>
          <w:color w:val="auto"/>
          <w:kern w:val="2"/>
          <w:sz w:val="32"/>
          <w:szCs w:val="24"/>
          <w:lang w:val="en-US" w:eastAsia="zh-CN"/>
        </w:rPr>
        <w:t>5</w:t>
      </w:r>
      <w:r>
        <w:rPr>
          <w:rFonts w:hint="eastAsia" w:hAnsi="仿宋_GB2312" w:cs="Times New Roman"/>
          <w:color w:val="auto"/>
          <w:kern w:val="2"/>
          <w:sz w:val="32"/>
          <w:szCs w:val="24"/>
          <w:lang w:val="en-US"/>
        </w:rPr>
        <w:t>个项目编制了绩效目标，预算执行过程中，选取</w:t>
      </w:r>
      <w:r>
        <w:rPr>
          <w:rFonts w:hint="eastAsia" w:hAnsi="仿宋_GB2312" w:cs="Times New Roman"/>
          <w:color w:val="auto"/>
          <w:kern w:val="2"/>
          <w:sz w:val="32"/>
          <w:szCs w:val="24"/>
          <w:lang w:val="en-US" w:eastAsia="zh-CN"/>
        </w:rPr>
        <w:t>5</w:t>
      </w:r>
      <w:r>
        <w:rPr>
          <w:rFonts w:hint="eastAsia" w:hAnsi="仿宋_GB2312" w:cs="Times New Roman"/>
          <w:color w:val="auto"/>
          <w:kern w:val="2"/>
          <w:sz w:val="32"/>
          <w:szCs w:val="24"/>
          <w:lang w:val="en-US"/>
        </w:rPr>
        <w:t>个项目开展绩效监控</w:t>
      </w:r>
      <w:r>
        <w:rPr>
          <w:rFonts w:hint="eastAsia" w:hAnsi="仿宋_GB2312" w:cs="Times New Roman"/>
          <w:color w:val="auto"/>
          <w:kern w:val="2"/>
          <w:sz w:val="32"/>
          <w:szCs w:val="24"/>
          <w:lang w:val="en-US" w:eastAsia="zh-CN"/>
        </w:rPr>
        <w:t>，</w:t>
      </w:r>
      <w:r>
        <w:rPr>
          <w:rFonts w:hint="eastAsia" w:hAnsi="仿宋_GB2312" w:cs="Times New Roman"/>
          <w:color w:val="auto"/>
          <w:kern w:val="2"/>
          <w:sz w:val="32"/>
          <w:szCs w:val="24"/>
          <w:lang w:val="en-US"/>
        </w:rPr>
        <w:t>绩效自评报告详见附件</w:t>
      </w:r>
      <w:r>
        <w:rPr>
          <w:rFonts w:hint="eastAsia" w:hAnsi="仿宋_GB2312" w:cs="Times New Roman"/>
          <w:color w:val="auto"/>
          <w:kern w:val="2"/>
          <w:sz w:val="32"/>
          <w:szCs w:val="24"/>
          <w:lang w:val="en-US" w:eastAsia="zh-CN"/>
        </w:rPr>
        <w:t>。</w:t>
      </w:r>
    </w:p>
    <w:p w14:paraId="00C93E0A">
      <w:pPr>
        <w:pStyle w:val="3"/>
        <w:keepNext/>
        <w:spacing w:before="340" w:after="330" w:line="576" w:lineRule="auto"/>
        <w:jc w:val="center"/>
        <w:rPr>
          <w:rFonts w:hint="eastAsia" w:ascii="黑体" w:hAnsi="黑体" w:eastAsia="黑体" w:cs="Times New Roman"/>
          <w:color w:val="auto"/>
          <w:kern w:val="44"/>
          <w:sz w:val="44"/>
          <w:szCs w:val="24"/>
          <w:lang w:val="zh-CN"/>
        </w:rPr>
      </w:pPr>
      <w:bookmarkStart w:id="34" w:name="_Toc16380"/>
      <w:bookmarkStart w:id="35" w:name="_Toc9409"/>
      <w:r>
        <w:rPr>
          <w:rFonts w:hint="eastAsia" w:ascii="黑体" w:hAnsi="黑体" w:eastAsia="黑体" w:cs="Times New Roman"/>
          <w:color w:val="auto"/>
          <w:kern w:val="44"/>
          <w:sz w:val="44"/>
          <w:szCs w:val="24"/>
          <w:lang w:val="zh-CN"/>
        </w:rPr>
        <w:t>第三部分名词解释</w:t>
      </w:r>
      <w:bookmarkEnd w:id="34"/>
      <w:bookmarkEnd w:id="35"/>
    </w:p>
    <w:p w14:paraId="035BE9A7">
      <w:pPr>
        <w:keepNext/>
        <w:spacing w:line="576" w:lineRule="exact"/>
        <w:ind w:firstLine="640" w:firstLineChars="200"/>
        <w:outlineLvl w:val="1"/>
        <w:rPr>
          <w:rFonts w:hint="eastAsia" w:ascii="仿宋_GB2312" w:hAnsi="仿宋_GB2312" w:eastAsia="仿宋_GB2312"/>
          <w:color w:val="000000"/>
          <w:sz w:val="32"/>
          <w:szCs w:val="24"/>
          <w:lang w:val="en-US"/>
        </w:rPr>
      </w:pPr>
      <w:bookmarkStart w:id="36" w:name="_Toc1891"/>
      <w:bookmarkStart w:id="37" w:name="_Toc9152"/>
      <w:r>
        <w:rPr>
          <w:rFonts w:hint="eastAsia" w:ascii="仿宋_GB2312" w:hAnsi="仿宋_GB2312" w:eastAsia="仿宋_GB2312"/>
          <w:color w:val="000000"/>
          <w:sz w:val="32"/>
          <w:szCs w:val="24"/>
          <w:lang w:val="en-US"/>
        </w:rPr>
        <w:t>1.财政拨款收入：指单位从同级财政部门取得的财政预算资金。</w:t>
      </w:r>
      <w:bookmarkEnd w:id="36"/>
      <w:bookmarkEnd w:id="37"/>
    </w:p>
    <w:p w14:paraId="389C1B58">
      <w:pPr>
        <w:keepNext/>
        <w:spacing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2.事业收入：指事业单位开展专业业务活动及辅助活动取得的收入。</w:t>
      </w:r>
    </w:p>
    <w:p w14:paraId="57FBBBB6">
      <w:pPr>
        <w:keepNext/>
        <w:spacing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3.经营收入：指事业单位在专业业务活动及其辅助活动之外开展非独立核算经营活动取得的收入。</w:t>
      </w:r>
    </w:p>
    <w:p w14:paraId="62608C99">
      <w:pPr>
        <w:keepNext/>
        <w:spacing w:line="576" w:lineRule="exact"/>
        <w:ind w:firstLine="640"/>
        <w:outlineLvl w:val="1"/>
        <w:rPr>
          <w:rFonts w:hint="eastAsia" w:ascii="仿宋_GB2312" w:hAnsi="仿宋_GB2312" w:eastAsia="仿宋_GB2312"/>
          <w:color w:val="000000"/>
          <w:sz w:val="32"/>
          <w:szCs w:val="24"/>
          <w:lang w:val="en-US"/>
        </w:rPr>
      </w:pPr>
      <w:bookmarkStart w:id="38" w:name="_Toc21446"/>
      <w:bookmarkStart w:id="39" w:name="_Toc5319"/>
      <w:r>
        <w:rPr>
          <w:rFonts w:hint="eastAsia" w:ascii="仿宋_GB2312" w:hAnsi="仿宋_GB2312" w:eastAsia="仿宋_GB2312"/>
          <w:color w:val="000000"/>
          <w:sz w:val="32"/>
          <w:szCs w:val="24"/>
          <w:lang w:val="en-US"/>
        </w:rPr>
        <w:t>4.其他收入：指单位取得的除上述收入以外的各项收入。</w:t>
      </w:r>
      <w:bookmarkEnd w:id="38"/>
      <w:bookmarkEnd w:id="39"/>
    </w:p>
    <w:p w14:paraId="465F6B4B">
      <w:pPr>
        <w:keepNext/>
        <w:spacing w:line="576" w:lineRule="exact"/>
        <w:ind w:firstLine="64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rPr>
        <w:t>5.使用非财政拨款结余：指事业单位使用以前年度积累的非财政拨款结余弥补当年收支差额的金额。</w:t>
      </w:r>
    </w:p>
    <w:p w14:paraId="30786499">
      <w:pPr>
        <w:keepNext/>
        <w:spacing w:line="576" w:lineRule="exact"/>
        <w:ind w:firstLine="64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rPr>
        <w:t>6.年初结转和结余：指以前年度尚未完成、结转到本年按有关规定继续使用的资金。</w:t>
      </w:r>
    </w:p>
    <w:p w14:paraId="6BEDD8B2">
      <w:pPr>
        <w:keepNext/>
        <w:spacing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7.结余分配：指事业单位按照会计制度规定缴纳的所得税、提取的专用结余以及转入非财政拨款结余的金额等。</w:t>
      </w:r>
    </w:p>
    <w:p w14:paraId="63960B2E">
      <w:pPr>
        <w:keepNext/>
        <w:spacing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8.年末结转和结余：指单位按有关规定结转到下年或以后年度继续使用的资金。</w:t>
      </w:r>
    </w:p>
    <w:p w14:paraId="17AD34B3">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9.一般公共服务（类）人大事务（款）行政运行（项）：反映行政单位（包括实行公务员管理的事业单位）的基本支出。</w:t>
      </w:r>
    </w:p>
    <w:p w14:paraId="7EFC6030">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10.一般公共服务（类）人大事务（款）人大会议（项）：反映各级人大召开人民代表大会等专门会议的支出。</w:t>
      </w:r>
    </w:p>
    <w:p w14:paraId="4200367E">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11.一般公共服务（类）政府办公厅（室）及相关机构服务（款）行政运行（项）：指反映行政单位（包括实行公务员管理的事业单位）的基本支出。</w:t>
      </w:r>
    </w:p>
    <w:p w14:paraId="6A1F732D">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12.一般公共服务（类）政府办公厅（室）及相关机构服务（款）一般行政管理事务（项）：指反映行政单位（包括实行公务员管理的事业单位）未单独设置项级科目的其他项目支出。</w:t>
      </w:r>
    </w:p>
    <w:p w14:paraId="5D968C5C">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13.一般公共服务（类）政府办公厅（室）及相关机构服务（款）信访事务（项）：反映各级政府用于接待群众来信来访方面的支出。</w:t>
      </w:r>
    </w:p>
    <w:p w14:paraId="34073C5B">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14.一般公共服务（类）政府办公厅（室）及相关机构服务（款）事业运行（项）：反映事业单位的基本支出，不包括行政单位（包括使用公务员管理的事业单位）后勤服务中心、医务室等附属事业单位。</w:t>
      </w:r>
    </w:p>
    <w:p w14:paraId="5BE526E0">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15.一般公共服务（类）纪检监察事务（款）其他纪检监察事务支出（项）：反映除上述项目以外其他纪检监察事务方面的支出。</w:t>
      </w:r>
    </w:p>
    <w:p w14:paraId="55F927AB">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16.一般公共服务（类）民族事务（款）其他民族事务支出（项）：反映除上述项目以外其他用于民族事务事务方面的支出。</w:t>
      </w:r>
    </w:p>
    <w:p w14:paraId="73469CB8">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17.一般公共服务（类）党委办公厅（室）及相关机构事务（款）行政运行（项）：指反映行政单位（包括实行公务员管理的事业单位）的基本支出。</w:t>
      </w:r>
    </w:p>
    <w:p w14:paraId="261B613A">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18.一般公共服务（类）宣传事务（款）其他宣传事务支出（项）：反映除上述项目以外其他用于中国共产党宣传部门的事务支出。</w:t>
      </w:r>
    </w:p>
    <w:p w14:paraId="78AC025A">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19.公共安全支出（类）其他公共安全支出（款）其他公共安全支出（项）：反映除上述项目以外其他用于公共安全方面的支出。</w:t>
      </w:r>
    </w:p>
    <w:p w14:paraId="0F0031AB">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20.文化旅游体育与传媒支出（类）文化和旅游（款）群众文化（项）:反映群众文化方面的支出，包括基层文化馆（站）、群众艺术馆支出等。</w:t>
      </w:r>
    </w:p>
    <w:p w14:paraId="3C2D9085">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21.文化旅游体育与传媒支出（类）文化和旅游（款）其他文化和旅游支出（项）：反映除上述项目以外其他用于文化和旅游方面的支出。</w:t>
      </w:r>
    </w:p>
    <w:p w14:paraId="4F8A8922">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22.社会保障和就业支出（类）人力资源和社会保障管理事务（款）社会保险经办机构（项）:反映社会保险经办机构开展业务工作的支出。</w:t>
      </w:r>
    </w:p>
    <w:p w14:paraId="5348576B">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23.社会保障和就业支出（类）人力资源和社会保障管理事务（款）其他人力资源和社会保障管理事务支出（项）:反映除上述项目以外其他用于人力资源和社会保障管理事务方面的支出。</w:t>
      </w:r>
    </w:p>
    <w:p w14:paraId="0C90786A">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24.社会保障和就业支出（类）民政管理事务（款）其他民政管理事务支出（项）:反映除上述项目以外其他用于民政管理事务的支出。</w:t>
      </w:r>
    </w:p>
    <w:p w14:paraId="72F7DBA1">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25.社会保障和就业支出（类）行政事业单位养老支出（款）行政单位离退休（项）:反映行政单位（包括实行公务员管理的事业单位）开支的离退休经费。</w:t>
      </w:r>
    </w:p>
    <w:p w14:paraId="307E1276">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26.社会保障和就业支出（类）行政事业单位养老支出（款）事业单位离退休（项）:反映事业单位开支的离退休经费。</w:t>
      </w:r>
    </w:p>
    <w:p w14:paraId="3129FDBE">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27.社会保障和就业支出（类）行政事业单位养老支出（款）机关事业单位基本养老保险缴费支出（项）:反映机关事业单位实施养老保险制度由单位缴纳的基本养老保险费支出。</w:t>
      </w:r>
    </w:p>
    <w:p w14:paraId="15116701">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28.社会保障和就业支出（类）抚恤（款）死亡抚恤（项）:反映按规定用于烈士和牺牲、病故人员家属的一次性和定期抚恤金、丧葬补助费以及烈士褒扬金。</w:t>
      </w:r>
    </w:p>
    <w:p w14:paraId="64B559BB">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29.社会保障和就业支出（类）特困人员救助供养（款）农村特困人员救助供养支出（项）:反映农村特困人员救助供养支出。</w:t>
      </w:r>
    </w:p>
    <w:p w14:paraId="028FE02B">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30.卫生健康支出（类）公共卫生（款）重大公共卫生服务（项）：反映重大疾病、重大传染病预防控制等重大公共卫生服务项目支出。</w:t>
      </w:r>
    </w:p>
    <w:p w14:paraId="01B687C2">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31.卫生健康支出（类）行政事业单位医疗（款）行政单位医疗（项）：反映财政部门安排的行政单位（包括实行公务员管理的事业单位，下同）基本医疗保险缴费经费，未参加医疗保险的公费医疗经费，按国家规定享受离休人员、红军老战士待遇人员的医疗经费。</w:t>
      </w:r>
    </w:p>
    <w:p w14:paraId="57273FAD">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32.卫生健康支出（类）行政事业单位医疗（款）事业单位医疗（项）：反映财政部门安排的事业单位基本医疗保险缴费经费，未参加医疗保险的事业单位的公费医疗经费，按国家规定享受离休人员待遇的医疗经费。</w:t>
      </w:r>
    </w:p>
    <w:p w14:paraId="0E76B72A">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33.卫生健康支出（类）行政事业单位医疗（款）公务员医疗补助（项）：反映财政部门安排的公务员医疗补助经费。</w:t>
      </w:r>
    </w:p>
    <w:p w14:paraId="30908D11">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34.卫生健康支出（类）行政事业单位医疗（款）其他行政事业单位医疗支出（项）：反映除上述项目以外其他用于行政事业单位医疗方面的支出。</w:t>
      </w:r>
    </w:p>
    <w:p w14:paraId="3B520F0D">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35.农林水支出（类）农业农村（款）事业运行（项）：反映用于农业事业单位基本支出，事业单位设施、系统运行与资产维护等方面的支出。</w:t>
      </w:r>
    </w:p>
    <w:p w14:paraId="1724C2ED">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36.农林水支出（类）农业农村（款）防灾救灾（项）：反映对农业生产因遭受自然、生物灾害损失给予的补助，促进农业防灾增产措施补助，海难救助补助，因其他灾害导致农牧渔业生产者损失给予的补助。</w:t>
      </w:r>
    </w:p>
    <w:p w14:paraId="6BE4408D">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37.农林水支出（类）农业农村（款）其他农业农村支出（项）：反映除上述项目以外其他用于农业农村方面的支出。</w:t>
      </w:r>
    </w:p>
    <w:p w14:paraId="5C20958B">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38.农林水支出（类）林业和草原（款）其他林业和草原支出（项）：反映除上述项目以外其他用于林业和草原方面的支出。</w:t>
      </w:r>
    </w:p>
    <w:p w14:paraId="5D806F6E">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39.农林水支出（类）农村改革（款）对村民委员会和村党支部的补助（项）：反映各级财政对村民委员会和村党支部的补助支出，以及支持建立县级基本财力保障机制安排的村级组织运转奖补资金。</w:t>
      </w:r>
    </w:p>
    <w:p w14:paraId="5869CBFD">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40.农林水支出（类）农村改革（款）对村集体经济组织的补助（项）：反映农村税费改革后对村集体经济组织的补助支出。</w:t>
      </w:r>
    </w:p>
    <w:p w14:paraId="4529573B">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41.农林水支出（类）其他农林水支出（款）其他农林水支出（项）：反映除化解债务支出以外其他用于农林水方面的支出。</w:t>
      </w:r>
    </w:p>
    <w:p w14:paraId="40CD9AC5">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42.住房保障支出（类）住房改革支出（款）住房公积金（项）：反映行政事业单位按人力资源和社会保障部、财政部规定的基本工资和津贴补贴以及规定比例为职工缴纳的住房公积金。</w:t>
      </w:r>
    </w:p>
    <w:p w14:paraId="502C914E">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43.灾害防治及应急管理支出（类）应急管理事务（款）安全监管（项）：反映安全生产综合监督管理和工贸行业安全生产监督管理等方面的支出。</w:t>
      </w:r>
    </w:p>
    <w:p w14:paraId="413B8778">
      <w:pPr>
        <w:pStyle w:val="2"/>
        <w:keepNext/>
        <w:spacing w:beforeLines="0" w:afterLines="0"/>
        <w:rPr>
          <w:rFonts w:hint="eastAsia" w:ascii="仿宋_GB2312" w:hAnsi="仿宋_GB2312" w:eastAsia="仿宋_GB2312"/>
          <w:color w:val="000000"/>
          <w:kern w:val="0"/>
          <w:sz w:val="32"/>
          <w:szCs w:val="24"/>
        </w:rPr>
      </w:pPr>
      <w:r>
        <w:rPr>
          <w:rFonts w:hint="eastAsia" w:ascii="仿宋_GB2312" w:hAnsi="仿宋_GB2312" w:eastAsia="仿宋_GB2312"/>
          <w:color w:val="000000"/>
          <w:kern w:val="0"/>
          <w:sz w:val="32"/>
          <w:szCs w:val="24"/>
        </w:rPr>
        <w:t>44.其他支出（类）其他支出（款）其他支出（项）：反映除上述项目以外其他不能划分到具体功能科目中的支出项目。</w:t>
      </w:r>
    </w:p>
    <w:p w14:paraId="733FE4C7">
      <w:pPr>
        <w:keepNext/>
        <w:spacing w:line="576" w:lineRule="exact"/>
        <w:ind w:firstLine="64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45</w:t>
      </w:r>
      <w:r>
        <w:rPr>
          <w:rFonts w:hint="eastAsia" w:ascii="仿宋_GB2312" w:hAnsi="仿宋_GB2312" w:eastAsia="仿宋_GB2312"/>
          <w:color w:val="000000"/>
          <w:kern w:val="2"/>
          <w:sz w:val="32"/>
          <w:szCs w:val="24"/>
          <w:lang w:val="en-US"/>
        </w:rPr>
        <w:t>.基本支出：指为保障机构正常运转、完成日常工作任务而发生的人员支出和公用支出。</w:t>
      </w:r>
    </w:p>
    <w:p w14:paraId="70073308">
      <w:pPr>
        <w:keepNext/>
        <w:spacing w:line="576" w:lineRule="exact"/>
        <w:ind w:firstLine="64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46</w:t>
      </w:r>
      <w:r>
        <w:rPr>
          <w:rFonts w:hint="eastAsia" w:ascii="仿宋_GB2312" w:hAnsi="仿宋_GB2312" w:eastAsia="仿宋_GB2312"/>
          <w:color w:val="000000"/>
          <w:kern w:val="2"/>
          <w:sz w:val="32"/>
          <w:szCs w:val="24"/>
          <w:lang w:val="en-US"/>
        </w:rPr>
        <w:t>.项目支出：指在基本支出之外为完成特定行政任务和事业发展目标所发生的支出。</w:t>
      </w:r>
    </w:p>
    <w:p w14:paraId="7366B084">
      <w:pPr>
        <w:keepNext/>
        <w:spacing w:line="576" w:lineRule="exact"/>
        <w:ind w:firstLine="64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47</w:t>
      </w:r>
      <w:r>
        <w:rPr>
          <w:rFonts w:hint="eastAsia" w:ascii="仿宋_GB2312" w:hAnsi="仿宋_GB2312" w:eastAsia="仿宋_GB2312"/>
          <w:color w:val="000000"/>
          <w:kern w:val="2"/>
          <w:sz w:val="32"/>
          <w:szCs w:val="24"/>
          <w:lang w:val="en-US"/>
        </w:rPr>
        <w:t>.经营支出：指事业单位在专业业务活动及其辅助活动之外开展非独立核算经营活动发生的支出。</w:t>
      </w:r>
    </w:p>
    <w:p w14:paraId="7E4B94B4">
      <w:pPr>
        <w:keepNext/>
        <w:spacing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eastAsia="zh-CN"/>
        </w:rPr>
        <w:t>48</w:t>
      </w:r>
      <w:r>
        <w:rPr>
          <w:rFonts w:hint="eastAsia" w:ascii="仿宋_GB2312" w:hAnsi="仿宋_GB2312" w:eastAsia="仿宋_GB2312"/>
          <w:color w:val="000000"/>
          <w:sz w:val="32"/>
          <w:szCs w:val="24"/>
          <w:lang w:val="en-US"/>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EA6B8FF">
      <w:pPr>
        <w:keepNext/>
        <w:spacing w:line="560" w:lineRule="exact"/>
        <w:ind w:firstLine="640"/>
        <w:rPr>
          <w:rFonts w:hint="eastAsia" w:ascii="仿宋" w:hAnsi="仿宋" w:eastAsia="仿宋"/>
          <w:b/>
          <w:color w:val="auto"/>
          <w:kern w:val="2"/>
          <w:sz w:val="32"/>
          <w:szCs w:val="24"/>
          <w:lang w:val="en-US"/>
        </w:rPr>
      </w:pPr>
      <w:r>
        <w:rPr>
          <w:rFonts w:hint="eastAsia" w:ascii="仿宋_GB2312" w:hAnsi="仿宋_GB2312" w:eastAsia="仿宋_GB2312"/>
          <w:color w:val="000000"/>
          <w:sz w:val="32"/>
          <w:szCs w:val="24"/>
          <w:lang w:val="en-US" w:eastAsia="zh-CN"/>
        </w:rPr>
        <w:t>49</w:t>
      </w:r>
      <w:r>
        <w:rPr>
          <w:rFonts w:hint="eastAsia" w:ascii="仿宋_GB2312" w:hAnsi="仿宋_GB2312" w:eastAsia="仿宋_GB2312"/>
          <w:color w:val="000000"/>
          <w:sz w:val="32"/>
          <w:szCs w:val="24"/>
          <w:lang w:val="en-US"/>
        </w:rPr>
        <w:t>.机关运行经费：</w:t>
      </w:r>
      <w:r>
        <w:rPr>
          <w:rFonts w:hint="eastAsia" w:ascii="仿宋_GB2312" w:hAnsi="仿宋_GB2312" w:eastAsia="仿宋_GB2312"/>
          <w:color w:val="auto"/>
          <w:sz w:val="32"/>
          <w:szCs w:val="24"/>
          <w:lang w:val="en-US"/>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ECCFB48">
      <w:pPr>
        <w:keepNext/>
        <w:spacing w:line="576" w:lineRule="exact"/>
        <w:jc w:val="center"/>
        <w:rPr>
          <w:rFonts w:hint="eastAsia" w:ascii="黑体" w:hAnsi="黑体" w:eastAsia="黑体"/>
          <w:color w:val="auto"/>
          <w:kern w:val="44"/>
          <w:sz w:val="44"/>
          <w:szCs w:val="24"/>
          <w:lang w:val="zh-CN"/>
        </w:rPr>
      </w:pPr>
    </w:p>
    <w:p w14:paraId="5DFF94FF">
      <w:pPr>
        <w:pStyle w:val="3"/>
        <w:keepNext/>
        <w:spacing w:before="340" w:after="330" w:line="576" w:lineRule="auto"/>
        <w:jc w:val="center"/>
        <w:rPr>
          <w:rFonts w:hint="eastAsia" w:ascii="黑体" w:hAnsi="黑体" w:eastAsia="黑体" w:cs="Times New Roman"/>
          <w:color w:val="auto"/>
          <w:kern w:val="44"/>
          <w:sz w:val="44"/>
          <w:szCs w:val="24"/>
          <w:lang w:val="en-US"/>
        </w:rPr>
      </w:pPr>
      <w:bookmarkStart w:id="40" w:name="_Toc20188"/>
      <w:bookmarkStart w:id="41" w:name="_Toc11592"/>
      <w:r>
        <w:rPr>
          <w:rFonts w:hint="eastAsia" w:ascii="黑体" w:hAnsi="黑体" w:eastAsia="黑体" w:cs="Times New Roman"/>
          <w:color w:val="auto"/>
          <w:kern w:val="44"/>
          <w:sz w:val="44"/>
          <w:szCs w:val="24"/>
          <w:lang w:val="en-US"/>
        </w:rPr>
        <w:t>第四部分附件</w:t>
      </w:r>
      <w:bookmarkEnd w:id="40"/>
      <w:bookmarkEnd w:id="41"/>
    </w:p>
    <w:p w14:paraId="1EFBC25C">
      <w:pPr>
        <w:keepNext/>
        <w:spacing w:line="572" w:lineRule="exact"/>
        <w:outlineLvl w:val="1"/>
        <w:rPr>
          <w:rFonts w:hint="eastAsia" w:ascii="方正小标宋简体" w:hAnsi="方正小标宋简体" w:eastAsia="方正小标宋简体"/>
          <w:color w:val="auto"/>
          <w:kern w:val="2"/>
          <w:sz w:val="44"/>
          <w:szCs w:val="24"/>
          <w:lang w:val="en-US"/>
        </w:rPr>
      </w:pPr>
      <w:bookmarkStart w:id="42" w:name="_Toc12655"/>
      <w:r>
        <w:rPr>
          <w:rFonts w:hint="eastAsia" w:ascii="黑体" w:hAnsi="黑体" w:eastAsia="黑体"/>
          <w:color w:val="auto"/>
          <w:kern w:val="2"/>
          <w:sz w:val="32"/>
          <w:szCs w:val="24"/>
          <w:lang w:val="en-US"/>
        </w:rPr>
        <w:t>附件</w:t>
      </w:r>
      <w:bookmarkEnd w:id="42"/>
    </w:p>
    <w:p w14:paraId="7D94B00D">
      <w:pPr>
        <w:keepNext/>
        <w:spacing w:line="560" w:lineRule="exact"/>
        <w:jc w:val="center"/>
        <w:rPr>
          <w:rFonts w:hint="default" w:ascii="宋体" w:hAnsi="宋体" w:eastAsia="宋体"/>
          <w:b/>
          <w:color w:val="auto"/>
          <w:kern w:val="2"/>
          <w:sz w:val="32"/>
          <w:szCs w:val="24"/>
          <w:lang w:val="en-US"/>
        </w:rPr>
      </w:pPr>
      <w:r>
        <w:rPr>
          <w:rFonts w:hint="default" w:ascii="宋体" w:hAnsi="宋体" w:eastAsia="宋体"/>
          <w:b/>
          <w:color w:val="auto"/>
          <w:kern w:val="2"/>
          <w:sz w:val="32"/>
          <w:szCs w:val="24"/>
          <w:lang w:val="en-US" w:eastAsia="zh-CN"/>
        </w:rPr>
        <w:t>盐边县共和乡人民政府2022年</w:t>
      </w:r>
      <w:r>
        <w:rPr>
          <w:rFonts w:hint="default" w:ascii="宋体" w:hAnsi="宋体" w:eastAsia="宋体"/>
          <w:b/>
          <w:color w:val="auto"/>
          <w:kern w:val="2"/>
          <w:sz w:val="32"/>
          <w:szCs w:val="24"/>
          <w:lang w:val="en-US"/>
        </w:rPr>
        <w:t>部门整体绩效评价报告</w:t>
      </w:r>
    </w:p>
    <w:p w14:paraId="1AA2DAA8">
      <w:pPr>
        <w:keepNext/>
        <w:spacing w:line="560" w:lineRule="exact"/>
        <w:jc w:val="center"/>
        <w:rPr>
          <w:rFonts w:hint="eastAsia" w:ascii="仿宋_GB2312" w:hAnsi="仿宋_GB2312" w:eastAsia="仿宋_GB2312"/>
          <w:color w:val="auto"/>
          <w:kern w:val="2"/>
          <w:sz w:val="32"/>
          <w:szCs w:val="24"/>
          <w:lang w:val="en-US"/>
        </w:rPr>
      </w:pPr>
      <w:r>
        <w:rPr>
          <w:rFonts w:hint="eastAsia" w:ascii="仿宋_GB2312" w:hAnsi="仿宋_GB2312" w:eastAsia="仿宋_GB2312"/>
          <w:color w:val="auto"/>
          <w:kern w:val="2"/>
          <w:sz w:val="32"/>
          <w:szCs w:val="24"/>
          <w:lang w:val="en-US"/>
        </w:rPr>
        <w:t>（报告范围包括机关和下属单位）</w:t>
      </w:r>
    </w:p>
    <w:p w14:paraId="1864BCCF">
      <w:pPr>
        <w:keepNext/>
        <w:spacing w:line="560" w:lineRule="exact"/>
        <w:ind w:firstLine="640"/>
        <w:rPr>
          <w:rFonts w:hint="eastAsia" w:ascii="黑体" w:hAnsi="黑体" w:eastAsia="黑体"/>
          <w:color w:val="auto"/>
          <w:sz w:val="32"/>
          <w:szCs w:val="24"/>
          <w:lang w:val="en-US"/>
        </w:rPr>
      </w:pPr>
    </w:p>
    <w:p w14:paraId="346D3F75">
      <w:pPr>
        <w:keepNext/>
        <w:spacing w:line="560" w:lineRule="exact"/>
        <w:ind w:firstLine="640"/>
        <w:outlineLvl w:val="1"/>
        <w:rPr>
          <w:rFonts w:hint="eastAsia" w:ascii="黑体" w:hAnsi="黑体" w:eastAsia="黑体"/>
          <w:color w:val="auto"/>
          <w:sz w:val="32"/>
          <w:szCs w:val="24"/>
          <w:lang w:val="zh-CN"/>
        </w:rPr>
      </w:pPr>
      <w:bookmarkStart w:id="43" w:name="_Toc19683"/>
      <w:r>
        <w:rPr>
          <w:rFonts w:hint="eastAsia" w:ascii="黑体" w:hAnsi="黑体" w:eastAsia="黑体"/>
          <w:color w:val="auto"/>
          <w:sz w:val="32"/>
          <w:szCs w:val="24"/>
          <w:lang w:val="en-US"/>
        </w:rPr>
        <w:t>一、</w:t>
      </w:r>
      <w:r>
        <w:rPr>
          <w:rFonts w:hint="eastAsia" w:ascii="黑体" w:hAnsi="黑体" w:eastAsia="黑体"/>
          <w:color w:val="auto"/>
          <w:sz w:val="32"/>
          <w:szCs w:val="24"/>
          <w:lang w:val="zh-CN"/>
        </w:rPr>
        <w:t>部门（单位）基本情况</w:t>
      </w:r>
      <w:bookmarkEnd w:id="43"/>
    </w:p>
    <w:p w14:paraId="1E899440">
      <w:pPr>
        <w:keepNext/>
        <w:spacing w:line="560" w:lineRule="exact"/>
        <w:ind w:firstLine="643"/>
        <w:outlineLvl w:val="2"/>
        <w:rPr>
          <w:rFonts w:hint="eastAsia" w:ascii="楷体_GB2312" w:hAnsi="楷体_GB2312" w:eastAsia="楷体_GB2312"/>
          <w:b/>
          <w:color w:val="auto"/>
          <w:sz w:val="32"/>
          <w:szCs w:val="24"/>
          <w:lang w:val="zh-CN"/>
        </w:rPr>
      </w:pPr>
      <w:bookmarkStart w:id="44" w:name="_Toc13571"/>
      <w:bookmarkStart w:id="45" w:name="_Toc23777"/>
      <w:r>
        <w:rPr>
          <w:rFonts w:hint="eastAsia" w:ascii="楷体_GB2312" w:hAnsi="楷体_GB2312" w:eastAsia="楷体_GB2312"/>
          <w:b/>
          <w:color w:val="auto"/>
          <w:sz w:val="32"/>
          <w:szCs w:val="24"/>
          <w:lang w:val="zh-CN"/>
        </w:rPr>
        <w:t>（一）机构组成。（简要介绍）</w:t>
      </w:r>
      <w:bookmarkEnd w:id="44"/>
      <w:bookmarkEnd w:id="45"/>
    </w:p>
    <w:p w14:paraId="01F1A23E">
      <w:pPr>
        <w:pStyle w:val="2"/>
        <w:keepNext/>
        <w:spacing w:beforeLines="0" w:afterLines="0"/>
        <w:rPr>
          <w:rFonts w:hint="eastAsia" w:ascii="仿宋_GB2312" w:hAnsi="仿宋_GB2312" w:eastAsia="仿宋_GB2312"/>
          <w:b/>
          <w:color w:val="auto"/>
          <w:sz w:val="32"/>
          <w:szCs w:val="24"/>
        </w:rPr>
      </w:pPr>
      <w:r>
        <w:rPr>
          <w:rFonts w:hint="eastAsia" w:ascii="仿宋_GB2312" w:hAnsi="仿宋_GB2312" w:eastAsia="仿宋_GB2312"/>
          <w:color w:val="auto"/>
          <w:sz w:val="32"/>
          <w:szCs w:val="24"/>
        </w:rPr>
        <w:t>我乡下设机构如下：党政办公室、党建办公室、综合行政执法办公室、社会事务办公室、经济发展办公室、社会治理办公室、财政所等7个党政综合办事机构，便民服务中心、农业农村服务中心、村镇建设服务中心、宣传文化旅游服务中心等4个事业单位。</w:t>
      </w:r>
    </w:p>
    <w:p w14:paraId="0726B132">
      <w:pPr>
        <w:pStyle w:val="2"/>
        <w:keepNext/>
        <w:numPr>
          <w:ilvl w:val="0"/>
          <w:numId w:val="2"/>
        </w:numPr>
        <w:spacing w:beforeLines="0" w:afterLines="0"/>
        <w:ind w:firstLine="420"/>
        <w:outlineLvl w:val="2"/>
        <w:rPr>
          <w:rFonts w:hint="eastAsia" w:ascii="楷体_GB2312" w:hAnsi="楷体_GB2312" w:eastAsia="楷体_GB2312"/>
          <w:b/>
          <w:color w:val="auto"/>
          <w:sz w:val="32"/>
          <w:szCs w:val="24"/>
          <w:lang w:val="zh-CN"/>
        </w:rPr>
      </w:pPr>
      <w:bookmarkStart w:id="46" w:name="_Toc30367"/>
      <w:bookmarkStart w:id="47" w:name="_Toc22205"/>
      <w:r>
        <w:rPr>
          <w:rFonts w:hint="eastAsia" w:ascii="楷体_GB2312" w:hAnsi="楷体_GB2312" w:eastAsia="楷体_GB2312"/>
          <w:b/>
          <w:color w:val="auto"/>
          <w:sz w:val="32"/>
          <w:szCs w:val="24"/>
          <w:lang w:val="zh-CN"/>
        </w:rPr>
        <w:t>机构职能和人员概况。（简要介绍）</w:t>
      </w:r>
      <w:bookmarkEnd w:id="46"/>
      <w:bookmarkEnd w:id="47"/>
    </w:p>
    <w:p w14:paraId="081EB55B">
      <w:pPr>
        <w:pStyle w:val="2"/>
        <w:keepNext/>
        <w:spacing w:beforeLines="0" w:afterLines="0"/>
        <w:rPr>
          <w:rFonts w:hint="eastAsia" w:ascii="楷体_GB2312" w:hAnsi="楷体_GB2312" w:eastAsia="楷体_GB2312"/>
          <w:b/>
          <w:color w:val="auto"/>
          <w:sz w:val="32"/>
          <w:szCs w:val="24"/>
        </w:rPr>
      </w:pPr>
      <w:r>
        <w:rPr>
          <w:rFonts w:hint="eastAsia" w:ascii="楷体_GB2312" w:hAnsi="楷体_GB2312" w:eastAsia="楷体_GB2312"/>
          <w:b/>
          <w:color w:val="auto"/>
          <w:sz w:val="32"/>
          <w:szCs w:val="24"/>
        </w:rPr>
        <w:t>1.机构职能</w:t>
      </w:r>
    </w:p>
    <w:p w14:paraId="078CECF2">
      <w:pPr>
        <w:pStyle w:val="2"/>
        <w:keepNext/>
        <w:spacing w:beforeLines="0" w:afterLines="0"/>
        <w:ind w:firstLine="640"/>
        <w:rPr>
          <w:rFonts w:hint="eastAsia" w:ascii="仿宋_GB2312" w:hAnsi="仿宋_GB2312" w:eastAsia="仿宋_GB2312"/>
          <w:color w:val="auto"/>
          <w:sz w:val="32"/>
          <w:szCs w:val="24"/>
          <w:lang w:val="zh-CN"/>
        </w:rPr>
      </w:pPr>
      <w:r>
        <w:rPr>
          <w:rFonts w:hint="eastAsia" w:ascii="仿宋_GB2312" w:hAnsi="仿宋_GB2312" w:eastAsia="仿宋_GB2312"/>
          <w:color w:val="auto"/>
          <w:sz w:val="32"/>
          <w:szCs w:val="24"/>
          <w:lang w:val="zh-CN"/>
        </w:rPr>
        <w:t>（</w:t>
      </w:r>
      <w:r>
        <w:rPr>
          <w:rFonts w:hint="eastAsia" w:ascii="仿宋_GB2312" w:hAnsi="仿宋_GB2312" w:eastAsia="仿宋_GB2312"/>
          <w:color w:val="auto"/>
          <w:sz w:val="32"/>
          <w:szCs w:val="24"/>
        </w:rPr>
        <w:t>1</w:t>
      </w:r>
      <w:r>
        <w:rPr>
          <w:rFonts w:hint="eastAsia" w:ascii="仿宋_GB2312" w:hAnsi="仿宋_GB2312" w:eastAsia="仿宋_GB2312"/>
          <w:color w:val="auto"/>
          <w:sz w:val="32"/>
          <w:szCs w:val="24"/>
          <w:lang w:val="zh-CN"/>
        </w:rPr>
        <w:t>）贯彻执行党和国家的各项方针、政策、法律法规，以及上级行政机关和</w:t>
      </w:r>
      <w:r>
        <w:rPr>
          <w:rFonts w:hint="eastAsia" w:ascii="仿宋_GB2312" w:hAnsi="仿宋_GB2312" w:eastAsia="仿宋_GB2312"/>
          <w:color w:val="auto"/>
          <w:sz w:val="32"/>
          <w:szCs w:val="24"/>
        </w:rPr>
        <w:t>乡</w:t>
      </w:r>
      <w:r>
        <w:rPr>
          <w:rFonts w:hint="eastAsia" w:ascii="仿宋_GB2312" w:hAnsi="仿宋_GB2312" w:eastAsia="仿宋_GB2312"/>
          <w:color w:val="auto"/>
          <w:sz w:val="32"/>
          <w:szCs w:val="24"/>
          <w:lang w:val="zh-CN"/>
        </w:rPr>
        <w:t>党委、</w:t>
      </w:r>
      <w:r>
        <w:rPr>
          <w:rFonts w:hint="eastAsia" w:ascii="仿宋_GB2312" w:hAnsi="仿宋_GB2312" w:eastAsia="仿宋_GB2312"/>
          <w:color w:val="auto"/>
          <w:sz w:val="32"/>
          <w:szCs w:val="24"/>
        </w:rPr>
        <w:t>乡</w:t>
      </w:r>
      <w:r>
        <w:rPr>
          <w:rFonts w:hint="eastAsia" w:ascii="仿宋_GB2312" w:hAnsi="仿宋_GB2312" w:eastAsia="仿宋_GB2312"/>
          <w:color w:val="auto"/>
          <w:sz w:val="32"/>
          <w:szCs w:val="24"/>
          <w:lang w:val="zh-CN"/>
        </w:rPr>
        <w:t>人代会的决定、决议。（</w:t>
      </w:r>
      <w:r>
        <w:rPr>
          <w:rFonts w:hint="eastAsia" w:ascii="仿宋_GB2312" w:hAnsi="仿宋_GB2312" w:eastAsia="仿宋_GB2312"/>
          <w:color w:val="auto"/>
          <w:sz w:val="32"/>
          <w:szCs w:val="24"/>
        </w:rPr>
        <w:t>2</w:t>
      </w:r>
      <w:r>
        <w:rPr>
          <w:rFonts w:hint="eastAsia" w:ascii="仿宋_GB2312" w:hAnsi="仿宋_GB2312" w:eastAsia="仿宋_GB2312"/>
          <w:color w:val="auto"/>
          <w:sz w:val="32"/>
          <w:szCs w:val="24"/>
          <w:lang w:val="zh-CN"/>
        </w:rPr>
        <w:t>）制定并执行本行政区域内经济和社会发展规划、计划。（</w:t>
      </w:r>
      <w:r>
        <w:rPr>
          <w:rFonts w:hint="eastAsia" w:ascii="仿宋_GB2312" w:hAnsi="仿宋_GB2312" w:eastAsia="仿宋_GB2312"/>
          <w:color w:val="auto"/>
          <w:sz w:val="32"/>
          <w:szCs w:val="24"/>
        </w:rPr>
        <w:t>3</w:t>
      </w:r>
      <w:r>
        <w:rPr>
          <w:rFonts w:hint="eastAsia" w:ascii="仿宋_GB2312" w:hAnsi="仿宋_GB2312" w:eastAsia="仿宋_GB2312"/>
          <w:color w:val="auto"/>
          <w:sz w:val="32"/>
          <w:szCs w:val="24"/>
          <w:lang w:val="zh-CN"/>
        </w:rPr>
        <w:t>）负责乡村振兴、新农村建设和推进城乡一体化的组织和实施。（</w:t>
      </w:r>
      <w:r>
        <w:rPr>
          <w:rFonts w:hint="eastAsia" w:ascii="仿宋_GB2312" w:hAnsi="仿宋_GB2312" w:eastAsia="仿宋_GB2312"/>
          <w:color w:val="auto"/>
          <w:sz w:val="32"/>
          <w:szCs w:val="24"/>
        </w:rPr>
        <w:t>4</w:t>
      </w:r>
      <w:r>
        <w:rPr>
          <w:rFonts w:hint="eastAsia" w:ascii="仿宋_GB2312" w:hAnsi="仿宋_GB2312" w:eastAsia="仿宋_GB2312"/>
          <w:color w:val="auto"/>
          <w:sz w:val="32"/>
          <w:szCs w:val="24"/>
          <w:lang w:val="zh-CN"/>
        </w:rPr>
        <w:t>）负责辖区经济、文化、教育、科学、卫生健康、民政、社会保障、民族宗教、村镇建设、司法、退役军人、扶贫、信访、安全、统计等行政管理和服务工作。</w:t>
      </w:r>
    </w:p>
    <w:p w14:paraId="7DA35DBD">
      <w:pPr>
        <w:pStyle w:val="2"/>
        <w:keepNext/>
        <w:spacing w:beforeLines="0" w:afterLines="0"/>
        <w:ind w:firstLine="640"/>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2.人员概况</w:t>
      </w:r>
    </w:p>
    <w:p w14:paraId="36262D16">
      <w:pPr>
        <w:pStyle w:val="2"/>
        <w:keepNext/>
        <w:spacing w:beforeLines="0" w:afterLines="0"/>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截止2022年底，我乡实有46人，其中行政编制（含行政工勤）22人，事业编制（含事业工勤）24人。</w:t>
      </w:r>
    </w:p>
    <w:p w14:paraId="724D8235">
      <w:pPr>
        <w:pStyle w:val="2"/>
        <w:keepNext/>
        <w:numPr>
          <w:ilvl w:val="0"/>
          <w:numId w:val="2"/>
        </w:numPr>
        <w:spacing w:beforeLines="0" w:afterLines="0"/>
        <w:ind w:firstLine="641"/>
        <w:outlineLvl w:val="2"/>
        <w:rPr>
          <w:rFonts w:hint="eastAsia" w:ascii="楷体_GB2312" w:hAnsi="楷体_GB2312" w:eastAsia="楷体_GB2312"/>
          <w:b/>
          <w:color w:val="auto"/>
          <w:sz w:val="32"/>
          <w:szCs w:val="24"/>
          <w:lang w:val="zh-CN"/>
        </w:rPr>
      </w:pPr>
      <w:bookmarkStart w:id="48" w:name="_Toc1922"/>
      <w:bookmarkStart w:id="49" w:name="_Toc31775"/>
      <w:r>
        <w:rPr>
          <w:rFonts w:hint="eastAsia" w:ascii="楷体_GB2312" w:hAnsi="楷体_GB2312" w:eastAsia="楷体_GB2312"/>
          <w:b/>
          <w:color w:val="auto"/>
          <w:sz w:val="32"/>
          <w:szCs w:val="24"/>
          <w:lang w:val="zh-CN"/>
        </w:rPr>
        <w:t>年度主要工作任务。</w:t>
      </w:r>
      <w:bookmarkEnd w:id="48"/>
      <w:bookmarkEnd w:id="49"/>
    </w:p>
    <w:p w14:paraId="164ECE92">
      <w:pPr>
        <w:pStyle w:val="2"/>
        <w:keepNext/>
        <w:spacing w:beforeLines="0" w:afterLines="0"/>
        <w:ind w:firstLine="640"/>
        <w:rPr>
          <w:rFonts w:hint="eastAsia" w:ascii="仿宋_GB2312" w:hAnsi="仿宋_GB2312" w:eastAsia="仿宋_GB2312"/>
          <w:color w:val="auto"/>
          <w:sz w:val="32"/>
          <w:szCs w:val="24"/>
          <w:lang w:val="zh-CN"/>
        </w:rPr>
      </w:pPr>
      <w:r>
        <w:rPr>
          <w:rFonts w:hint="eastAsia" w:ascii="仿宋_GB2312" w:hAnsi="仿宋_GB2312" w:eastAsia="仿宋_GB2312"/>
          <w:color w:val="auto"/>
          <w:sz w:val="32"/>
          <w:szCs w:val="24"/>
          <w:lang w:val="zh-CN"/>
        </w:rPr>
        <w:t>（</w:t>
      </w:r>
      <w:r>
        <w:rPr>
          <w:rFonts w:hint="eastAsia" w:ascii="仿宋_GB2312" w:hAnsi="仿宋_GB2312" w:eastAsia="仿宋_GB2312"/>
          <w:color w:val="auto"/>
          <w:sz w:val="32"/>
          <w:szCs w:val="24"/>
        </w:rPr>
        <w:t>1</w:t>
      </w:r>
      <w:r>
        <w:rPr>
          <w:rFonts w:hint="eastAsia" w:ascii="仿宋_GB2312" w:hAnsi="仿宋_GB2312" w:eastAsia="仿宋_GB2312"/>
          <w:color w:val="auto"/>
          <w:sz w:val="32"/>
          <w:szCs w:val="24"/>
          <w:lang w:val="zh-CN"/>
        </w:rPr>
        <w:t>）以党的政治建设为核心，捍卫“两个确立”，带头做到“两个维护”。坚持以习近平新时代中国特色社会主义思想和党的二十大精神为指导，加强理论学习和运用党的百年奋斗历史经验用于指导实践，发扬伟大建党精神，把学习贯彻好党的十九届六中全会，省、市、县会议精神作为重要政治任务抓落实，毫不放松抓好党的政治建设，切实提高政治判断力、政治领悟力、政治执行力，坚决拥护“两个确立”、带头做到“两个维护”。</w:t>
      </w:r>
    </w:p>
    <w:p w14:paraId="6761A3B7">
      <w:pPr>
        <w:pStyle w:val="2"/>
        <w:keepNext/>
        <w:spacing w:beforeLines="0" w:afterLines="0"/>
        <w:ind w:firstLine="640"/>
        <w:rPr>
          <w:rFonts w:hint="eastAsia" w:ascii="仿宋_GB2312" w:hAnsi="仿宋_GB2312" w:eastAsia="仿宋_GB2312"/>
          <w:color w:val="auto"/>
          <w:sz w:val="32"/>
          <w:szCs w:val="24"/>
          <w:lang w:val="zh-CN"/>
        </w:rPr>
      </w:pPr>
      <w:r>
        <w:rPr>
          <w:rFonts w:hint="eastAsia" w:ascii="仿宋_GB2312" w:hAnsi="仿宋_GB2312" w:eastAsia="仿宋_GB2312"/>
          <w:color w:val="auto"/>
          <w:sz w:val="32"/>
          <w:szCs w:val="24"/>
          <w:lang w:val="zh-CN"/>
        </w:rPr>
        <w:t>（</w:t>
      </w:r>
      <w:r>
        <w:rPr>
          <w:rFonts w:hint="eastAsia" w:ascii="仿宋_GB2312" w:hAnsi="仿宋_GB2312" w:eastAsia="仿宋_GB2312"/>
          <w:color w:val="auto"/>
          <w:sz w:val="32"/>
          <w:szCs w:val="24"/>
        </w:rPr>
        <w:t>2</w:t>
      </w:r>
      <w:r>
        <w:rPr>
          <w:rFonts w:hint="eastAsia" w:ascii="仿宋_GB2312" w:hAnsi="仿宋_GB2312" w:eastAsia="仿宋_GB2312"/>
          <w:color w:val="auto"/>
          <w:sz w:val="32"/>
          <w:szCs w:val="24"/>
          <w:lang w:val="zh-CN"/>
        </w:rPr>
        <w:t>）致力谋发展、兴产业，抢抓乡村振兴发展机遇。全年全乡粮食播种面积2万余亩，产量超7000吨，产值2000余万元；生猪养殖1.4万余头，市值3300余万元，牛养殖2000余头，市值2500余万元，羊养殖近2.3万只，产值约合4000万元，小家禽30余万羽，市值超600万元，全年发展家庭农场12户，新增县级示范场2户，市级示范场1户（待批复）。</w:t>
      </w:r>
    </w:p>
    <w:p w14:paraId="2F55FBDF">
      <w:pPr>
        <w:pStyle w:val="2"/>
        <w:keepNext/>
        <w:spacing w:beforeLines="0" w:afterLines="0"/>
        <w:ind w:firstLine="640"/>
        <w:rPr>
          <w:rFonts w:hint="eastAsia" w:ascii="仿宋_GB2312" w:hAnsi="仿宋_GB2312" w:eastAsia="仿宋_GB2312"/>
          <w:color w:val="auto"/>
          <w:sz w:val="32"/>
          <w:szCs w:val="24"/>
          <w:lang w:val="zh-CN"/>
        </w:rPr>
      </w:pPr>
      <w:r>
        <w:rPr>
          <w:rFonts w:hint="eastAsia" w:ascii="仿宋_GB2312" w:hAnsi="仿宋_GB2312" w:eastAsia="仿宋_GB2312"/>
          <w:color w:val="auto"/>
          <w:sz w:val="32"/>
          <w:szCs w:val="24"/>
          <w:lang w:val="zh-CN"/>
        </w:rPr>
        <w:t>（</w:t>
      </w:r>
      <w:r>
        <w:rPr>
          <w:rFonts w:hint="eastAsia" w:ascii="仿宋_GB2312" w:hAnsi="仿宋_GB2312" w:eastAsia="仿宋_GB2312"/>
          <w:color w:val="auto"/>
          <w:sz w:val="32"/>
          <w:szCs w:val="24"/>
        </w:rPr>
        <w:t>3</w:t>
      </w:r>
      <w:r>
        <w:rPr>
          <w:rFonts w:hint="eastAsia" w:ascii="仿宋_GB2312" w:hAnsi="仿宋_GB2312" w:eastAsia="仿宋_GB2312"/>
          <w:color w:val="auto"/>
          <w:sz w:val="32"/>
          <w:szCs w:val="24"/>
          <w:lang w:val="zh-CN"/>
        </w:rPr>
        <w:t>）着力破解交通瓶颈，突破基础设施难题。一是向上争取破解交通瓶颈。按照“升级两条路、建成一座桥（先期建轮渡）”的共和乡破解交通瓶颈发展思路，成立“盐边县共和乡村发展有限公司”推动共和码头轮渡项目，综合显现经济和社会效益，柏观路共和码头至三王庙段拓宽工程已完成初设，共红路已完成三王庙至太田村段增设错车道和拓宽的设计，太坪村部至太田村路段预计年底建成。二是持续完善基础设施建设。结合移民后扶、畅通工程及乡村振兴，积极谋划累计争取1000余万元资金，新建和改扩建乡内道路17余公里，新建蓄水池8座。三是激活市场主体并加大社会固定资产投资。乡级入库固定资产项目3.5亿元，实际完成投资2亿元，全乡发展专合社27个。</w:t>
      </w:r>
    </w:p>
    <w:p w14:paraId="177836D6">
      <w:pPr>
        <w:pStyle w:val="2"/>
        <w:keepNext/>
        <w:spacing w:beforeLines="0" w:afterLines="0"/>
        <w:ind w:firstLine="640"/>
        <w:rPr>
          <w:rFonts w:hint="eastAsia" w:ascii="仿宋_GB2312" w:hAnsi="仿宋_GB2312" w:eastAsia="仿宋_GB2312"/>
          <w:color w:val="auto"/>
          <w:sz w:val="32"/>
          <w:szCs w:val="24"/>
          <w:lang w:val="zh-CN"/>
        </w:rPr>
      </w:pPr>
      <w:r>
        <w:rPr>
          <w:rFonts w:hint="eastAsia" w:ascii="仿宋_GB2312" w:hAnsi="仿宋_GB2312" w:eastAsia="仿宋_GB2312"/>
          <w:color w:val="auto"/>
          <w:sz w:val="32"/>
          <w:szCs w:val="24"/>
          <w:lang w:val="zh-CN"/>
        </w:rPr>
        <w:t>（</w:t>
      </w:r>
      <w:r>
        <w:rPr>
          <w:rFonts w:hint="eastAsia" w:ascii="仿宋_GB2312" w:hAnsi="仿宋_GB2312" w:eastAsia="仿宋_GB2312"/>
          <w:color w:val="auto"/>
          <w:sz w:val="32"/>
          <w:szCs w:val="24"/>
        </w:rPr>
        <w:t>4</w:t>
      </w:r>
      <w:r>
        <w:rPr>
          <w:rFonts w:hint="eastAsia" w:ascii="仿宋_GB2312" w:hAnsi="仿宋_GB2312" w:eastAsia="仿宋_GB2312"/>
          <w:color w:val="auto"/>
          <w:sz w:val="32"/>
          <w:szCs w:val="24"/>
          <w:lang w:val="zh-CN"/>
        </w:rPr>
        <w:t>）持续强保障、惠民生，群众幸福指数不断提高。一是社会保障体系日臻完善。“春风送岗”完成困难家庭每户至少有1名适宜劳动力实现就近或转移就业目标，办理养老保险参保5090人，待遇享受1882人，医保参保率98%。就业培训300余人次，志愿者帮助服务10次，“两癌”筛查、孕前优检150人次。在共和乡中心学校放映农村公益电影100余场次，通过市级健康乡镇验收评估，乡村幸福感热度持续上升。二是持续开展社会救助和优抚优待工作。持续开展农村最低生活保障动态评定，入户调查30余次，动态评定减少81户，共计251人，新增26户，共计46人，全年发放农村“低保”金共计190余万元。发放集中和分散供养人员救助供养金共计67余万元；发放残疾人补贴和各类救助资金合计21.2万余元；发放高龄津贴共计17万余元。三是全力做好武装、民兵、退役军人事务工作。全年共输送合格入伍新兵4人，高质量完成征兵任务，完成127人退役军人的建档立卡，申请5人纳入困难退役军人关爱帮扶专项基金进行帮扶，走访困难退役军人及家属20余次，发放慰问金1.54万余元。四是全面助力攀枝花市文明城市创建工作。以全国文明城市创建点为学习目标，对标对表，抓好辖区内重点区域和细小环节的综合整治。注重环境卫生和全民素质的综合提升，从大处着眼、小处着手，投入6万余元成功实施共和街道照明工程。</w:t>
      </w:r>
    </w:p>
    <w:p w14:paraId="04A8312C">
      <w:pPr>
        <w:pStyle w:val="2"/>
        <w:keepNext/>
        <w:spacing w:beforeLines="0" w:afterLines="0"/>
        <w:ind w:firstLine="640"/>
        <w:rPr>
          <w:rFonts w:hint="eastAsia" w:ascii="仿宋_GB2312" w:hAnsi="仿宋_GB2312" w:eastAsia="仿宋_GB2312"/>
          <w:color w:val="auto"/>
          <w:sz w:val="32"/>
          <w:szCs w:val="24"/>
          <w:lang w:val="zh-CN"/>
        </w:rPr>
      </w:pPr>
      <w:r>
        <w:rPr>
          <w:rFonts w:hint="eastAsia" w:ascii="仿宋_GB2312" w:hAnsi="仿宋_GB2312" w:eastAsia="仿宋_GB2312"/>
          <w:color w:val="auto"/>
          <w:sz w:val="32"/>
          <w:szCs w:val="24"/>
          <w:lang w:val="zh-CN"/>
        </w:rPr>
        <w:t>（</w:t>
      </w:r>
      <w:r>
        <w:rPr>
          <w:rFonts w:hint="eastAsia" w:ascii="仿宋_GB2312" w:hAnsi="仿宋_GB2312" w:eastAsia="仿宋_GB2312"/>
          <w:color w:val="auto"/>
          <w:sz w:val="32"/>
          <w:szCs w:val="24"/>
        </w:rPr>
        <w:t>5</w:t>
      </w:r>
      <w:r>
        <w:rPr>
          <w:rFonts w:hint="eastAsia" w:ascii="仿宋_GB2312" w:hAnsi="仿宋_GB2312" w:eastAsia="仿宋_GB2312"/>
          <w:color w:val="auto"/>
          <w:sz w:val="32"/>
          <w:szCs w:val="24"/>
          <w:lang w:val="zh-CN"/>
        </w:rPr>
        <w:t>）注重抓统筹，社会治理体系取得新进步。一是强化基层治理。坚持以人民为中心的发展思想，以防范化解辖区社会治理难题为突破口，不断完善党委领导、政府负责、民主协商、社会协同、公众参与、法治保障、科技支撑的社会治理体系，</w:t>
      </w:r>
      <w:bookmarkStart w:id="283" w:name="_GoBack"/>
      <w:bookmarkEnd w:id="283"/>
      <w:r>
        <w:rPr>
          <w:rFonts w:hint="eastAsia" w:ascii="仿宋_GB2312" w:hAnsi="仿宋_GB2312" w:eastAsia="仿宋_GB2312"/>
          <w:color w:val="auto"/>
          <w:sz w:val="32"/>
          <w:szCs w:val="24"/>
          <w:lang w:val="zh-CN"/>
        </w:rPr>
        <w:t>力将矛盾纠纷大事化小，小事化了，防止纠纷扩大化。截至目前，全乡共排查调处各类矛盾纠纷25起，调解成功25起，成功率达100%。二是持续性开展反电信诈骗、防范非法集资、防范养老诈骗和反邪教宣传。发放反诈骗宣传单1000余份，利用“村村响”持续滚动播放反诈骗宣传音频。开展“崇尚科学，反对邪教”主题宣讲会5次。举办防范养老诈骗知识大讲堂1次、防范养老诈骗专题座谈会1次，制作反诈骗宣传微视频2个，推送至乡村工作群，警示提醒群众。通过深入宣传，辖区群众防邪反邪意识明显提升。三是筑牢安全生产防线。组织开展“消除事故隐患，筑牢安全防线”安全生产月活动、“打非治违”百日行动、应急救援培训、地质灾害防治及地震应急避险演练等活动。今年以来，全乡共召开“大安全”工作会议20次，组织应急避险演练15次，查处交通违法行为150余起，其中简易处罚32起、一般程序处罚12起。深入到辖区学校、商铺等开展大规模督查活动68次，发现安全隐患30处，整改30处，在全部督促整改落实到位的基础上进一步开展安全生产大检查“回头看”，确保所有隐患问题不复发，努力营造全乡安全生产的良好氛围，建设人人有责、人人尽责、人人享有的社会治理共同体，实现全年安全责任事故死亡为零的目标。</w:t>
      </w:r>
    </w:p>
    <w:p w14:paraId="0BA4BFD5">
      <w:pPr>
        <w:pStyle w:val="2"/>
        <w:keepNext/>
        <w:spacing w:beforeLines="0" w:afterLines="0"/>
        <w:ind w:firstLine="640"/>
        <w:rPr>
          <w:rFonts w:hint="eastAsia" w:ascii="仿宋_GB2312" w:hAnsi="仿宋_GB2312" w:eastAsia="仿宋_GB2312"/>
          <w:color w:val="auto"/>
          <w:sz w:val="32"/>
          <w:szCs w:val="24"/>
          <w:lang w:val="zh-CN"/>
        </w:rPr>
      </w:pPr>
      <w:r>
        <w:rPr>
          <w:rFonts w:hint="eastAsia" w:ascii="仿宋_GB2312" w:hAnsi="仿宋_GB2312" w:eastAsia="仿宋_GB2312"/>
          <w:color w:val="auto"/>
          <w:sz w:val="32"/>
          <w:szCs w:val="24"/>
          <w:lang w:val="zh-CN"/>
        </w:rPr>
        <w:t>（</w:t>
      </w:r>
      <w:r>
        <w:rPr>
          <w:rFonts w:hint="eastAsia" w:ascii="仿宋_GB2312" w:hAnsi="仿宋_GB2312" w:eastAsia="仿宋_GB2312"/>
          <w:color w:val="auto"/>
          <w:sz w:val="32"/>
          <w:szCs w:val="24"/>
        </w:rPr>
        <w:t>6</w:t>
      </w:r>
      <w:r>
        <w:rPr>
          <w:rFonts w:hint="eastAsia" w:ascii="仿宋_GB2312" w:hAnsi="仿宋_GB2312" w:eastAsia="仿宋_GB2312"/>
          <w:color w:val="auto"/>
          <w:sz w:val="32"/>
          <w:szCs w:val="24"/>
          <w:lang w:val="zh-CN"/>
        </w:rPr>
        <w:t>）坚持抓攻坚，翻身阻击战持续推进。一是坚决打赢疫情防控遭遇战、阻击战。累计摸排入（返）乡人员653人，疫苗接种3—11岁269人，完成任务值的90.57%，12岁（含）以上疫苗第一剂接种4784人，完成任务值的100.36%，第二剂接种4183人，完成任务值的93.04%，18岁及以上人群加强针接种2956人，60岁以上人群基础免疫1125人，扎实推动全员核酸检测全覆盖，全民防疫屏障初步形成。二是坚决打赢森林草原防灭火专项整治翻身战。召开三级干部大会35次，群众大会248次，入户宣传2380人次，投放宣传物资53524份，组建12人半专业打火队1支，村组义务扑火队7支70人，群众义务扑火队27支430人，计划烧除44080亩，“四边”清除79.3公里，落实乡、村、组三级315人包保责任包保农户2134户，全年无火灾责任事故发生。三是加强生态资源持续恢复力度。办理林业行政案件3起，调解林权纠纷争议6起，调处率达100%，关停临时采砂石点3处，义务植树2.201万株，全乡森林覆盖率85%达308520亩。</w:t>
      </w:r>
    </w:p>
    <w:p w14:paraId="5447BD9F">
      <w:pPr>
        <w:keepNext/>
        <w:spacing w:line="560" w:lineRule="exact"/>
        <w:ind w:firstLine="643"/>
        <w:outlineLvl w:val="2"/>
        <w:rPr>
          <w:rFonts w:hint="eastAsia" w:ascii="楷体_GB2312" w:hAnsi="楷体_GB2312" w:eastAsia="楷体_GB2312"/>
          <w:b/>
          <w:color w:val="auto"/>
          <w:sz w:val="32"/>
          <w:szCs w:val="24"/>
          <w:lang w:val="zh-CN"/>
        </w:rPr>
      </w:pPr>
      <w:bookmarkStart w:id="50" w:name="_Toc22407"/>
      <w:bookmarkStart w:id="51" w:name="_Toc18593"/>
      <w:r>
        <w:rPr>
          <w:rFonts w:hint="eastAsia" w:ascii="楷体_GB2312" w:hAnsi="楷体_GB2312" w:eastAsia="楷体_GB2312"/>
          <w:b/>
          <w:color w:val="auto"/>
          <w:sz w:val="32"/>
          <w:szCs w:val="24"/>
          <w:lang w:val="zh-CN"/>
        </w:rPr>
        <w:t>（四）部门整体支出绩效目标。</w:t>
      </w:r>
      <w:bookmarkEnd w:id="50"/>
      <w:bookmarkEnd w:id="51"/>
    </w:p>
    <w:p w14:paraId="6DE40797">
      <w:pPr>
        <w:pStyle w:val="2"/>
        <w:keepNext/>
        <w:spacing w:beforeLines="0" w:afterLines="0"/>
        <w:ind w:firstLine="640"/>
        <w:rPr>
          <w:rFonts w:hint="eastAsia" w:ascii="仿宋_GB2312" w:hAnsi="仿宋_GB2312" w:eastAsia="仿宋_GB2312"/>
          <w:color w:val="auto"/>
          <w:sz w:val="32"/>
          <w:szCs w:val="24"/>
          <w:lang w:val="zh-CN"/>
        </w:rPr>
      </w:pPr>
      <w:r>
        <w:rPr>
          <w:rFonts w:hint="eastAsia" w:ascii="仿宋_GB2312" w:hAnsi="仿宋_GB2312" w:eastAsia="仿宋_GB2312"/>
          <w:color w:val="auto"/>
          <w:sz w:val="32"/>
          <w:szCs w:val="24"/>
          <w:lang w:val="zh-CN"/>
        </w:rPr>
        <w:t>2022年我</w:t>
      </w:r>
      <w:r>
        <w:rPr>
          <w:rFonts w:hint="eastAsia" w:ascii="仿宋_GB2312" w:hAnsi="仿宋_GB2312" w:eastAsia="仿宋_GB2312"/>
          <w:color w:val="auto"/>
          <w:sz w:val="32"/>
          <w:szCs w:val="24"/>
        </w:rPr>
        <w:t>乡</w:t>
      </w:r>
      <w:r>
        <w:rPr>
          <w:rFonts w:hint="eastAsia" w:ascii="仿宋_GB2312" w:hAnsi="仿宋_GB2312" w:eastAsia="仿宋_GB2312"/>
          <w:color w:val="auto"/>
          <w:sz w:val="32"/>
          <w:szCs w:val="24"/>
          <w:lang w:val="zh-CN"/>
        </w:rPr>
        <w:t>部门整体支出绩效自评结果良好，全年贯彻落实过紧日子的要求，基本支出保障了单位的正常运转，项目支出保障了重点项目的推进。2022年度全年资金拨付和使用均按计划进度完成，全年经费的拨付和使用均及时、合理，按照项目资金管理办法实行专款专用，坚决执行国家有关法律法规和财务管理制度，厉行节约，杜绝奢侈浪费，量入为出，保障重点，兼顾一般，严格专款专用，防止截留、挤占、挪用等问题发生，确保资金安全、规范、有效使用。</w:t>
      </w:r>
    </w:p>
    <w:p w14:paraId="629E06B6">
      <w:pPr>
        <w:keepNext/>
        <w:spacing w:line="560" w:lineRule="exact"/>
        <w:ind w:firstLine="640"/>
        <w:outlineLvl w:val="1"/>
        <w:rPr>
          <w:rFonts w:hint="eastAsia" w:ascii="黑体" w:hAnsi="黑体" w:eastAsia="黑体"/>
          <w:color w:val="auto"/>
          <w:sz w:val="32"/>
          <w:szCs w:val="24"/>
          <w:lang w:val="en-US"/>
        </w:rPr>
      </w:pPr>
      <w:bookmarkStart w:id="52" w:name="_Toc2847"/>
      <w:r>
        <w:rPr>
          <w:rFonts w:hint="eastAsia" w:ascii="黑体" w:hAnsi="黑体" w:eastAsia="黑体"/>
          <w:color w:val="auto"/>
          <w:sz w:val="32"/>
          <w:szCs w:val="24"/>
          <w:lang w:val="en-US"/>
        </w:rPr>
        <w:t>二、部门资金收支情况</w:t>
      </w:r>
      <w:bookmarkEnd w:id="52"/>
    </w:p>
    <w:p w14:paraId="709D3C00">
      <w:pPr>
        <w:keepNext/>
        <w:spacing w:line="560" w:lineRule="exact"/>
        <w:ind w:firstLine="643"/>
        <w:outlineLvl w:val="2"/>
        <w:rPr>
          <w:rFonts w:hint="eastAsia" w:ascii="楷体_GB2312" w:hAnsi="楷体_GB2312" w:eastAsia="楷体_GB2312"/>
          <w:b/>
          <w:color w:val="auto"/>
          <w:sz w:val="32"/>
          <w:szCs w:val="24"/>
          <w:lang w:val="zh-CN"/>
        </w:rPr>
      </w:pPr>
      <w:bookmarkStart w:id="53" w:name="_Toc5046"/>
      <w:bookmarkStart w:id="54" w:name="_Toc20098"/>
      <w:r>
        <w:rPr>
          <w:rFonts w:hint="eastAsia" w:ascii="楷体_GB2312" w:hAnsi="楷体_GB2312" w:eastAsia="楷体_GB2312"/>
          <w:b/>
          <w:color w:val="auto"/>
          <w:sz w:val="32"/>
          <w:szCs w:val="24"/>
          <w:lang w:val="zh-CN"/>
        </w:rPr>
        <w:t>（一）部门总体收支情况。</w:t>
      </w:r>
      <w:bookmarkEnd w:id="53"/>
      <w:bookmarkEnd w:id="54"/>
    </w:p>
    <w:p w14:paraId="1CE5A567">
      <w:pPr>
        <w:keepNext/>
        <w:spacing w:line="560" w:lineRule="exact"/>
        <w:ind w:firstLine="640" w:firstLineChars="200"/>
        <w:rPr>
          <w:rFonts w:hint="eastAsia" w:ascii="仿宋_GB2312" w:hAnsi="仿宋_GB2312" w:eastAsia="仿宋_GB2312"/>
          <w:color w:val="auto"/>
          <w:sz w:val="32"/>
          <w:szCs w:val="24"/>
          <w:lang w:val="en-US"/>
        </w:rPr>
      </w:pPr>
      <w:r>
        <w:rPr>
          <w:rFonts w:hint="eastAsia" w:ascii="仿宋_GB2312" w:hAnsi="仿宋_GB2312" w:eastAsia="仿宋_GB2312"/>
          <w:color w:val="auto"/>
          <w:sz w:val="32"/>
          <w:szCs w:val="24"/>
          <w:lang w:val="en-US"/>
        </w:rPr>
        <w:t>1.部门总体收入情况</w:t>
      </w:r>
    </w:p>
    <w:p w14:paraId="22248614">
      <w:pPr>
        <w:pStyle w:val="2"/>
        <w:keepNext/>
        <w:spacing w:beforeLines="0" w:afterLines="0"/>
        <w:ind w:firstLine="640"/>
        <w:rPr>
          <w:rFonts w:hint="eastAsia"/>
          <w:sz w:val="21"/>
          <w:szCs w:val="24"/>
        </w:rPr>
      </w:pPr>
      <w:r>
        <w:rPr>
          <w:rFonts w:hint="eastAsia" w:ascii="仿宋_GB2312" w:hAnsi="仿宋_GB2312" w:eastAsia="仿宋_GB2312"/>
          <w:color w:val="auto"/>
          <w:sz w:val="32"/>
          <w:szCs w:val="24"/>
        </w:rPr>
        <w:t>2022年度预算收入1487万元，其中一般公共预算财政拨款收入1437万元，占比96.6%；其他收入50万元，占比3.4%。</w:t>
      </w:r>
    </w:p>
    <w:p w14:paraId="7336096B">
      <w:pPr>
        <w:keepNext/>
        <w:numPr>
          <w:ilvl w:val="0"/>
          <w:numId w:val="0"/>
        </w:numPr>
        <w:spacing w:line="560" w:lineRule="exact"/>
        <w:ind w:firstLine="640" w:firstLineChars="200"/>
        <w:rPr>
          <w:rFonts w:hint="eastAsia" w:ascii="仿宋_GB2312" w:hAnsi="仿宋_GB2312" w:eastAsia="仿宋_GB2312"/>
          <w:color w:val="auto"/>
          <w:sz w:val="32"/>
          <w:szCs w:val="24"/>
          <w:lang w:val="en-US"/>
        </w:rPr>
      </w:pPr>
      <w:r>
        <w:rPr>
          <w:rFonts w:hint="eastAsia" w:ascii="仿宋_GB2312" w:hAnsi="仿宋_GB2312" w:eastAsia="仿宋_GB2312"/>
          <w:color w:val="auto"/>
          <w:sz w:val="32"/>
          <w:szCs w:val="24"/>
          <w:lang w:val="en-US" w:eastAsia="zh-CN"/>
        </w:rPr>
        <w:t>2.</w:t>
      </w:r>
      <w:r>
        <w:rPr>
          <w:rFonts w:hint="eastAsia" w:ascii="仿宋_GB2312" w:hAnsi="仿宋_GB2312" w:eastAsia="仿宋_GB2312"/>
          <w:color w:val="auto"/>
          <w:sz w:val="32"/>
          <w:szCs w:val="24"/>
          <w:lang w:val="en-US"/>
        </w:rPr>
        <w:t>部门总体支出情况</w:t>
      </w:r>
    </w:p>
    <w:p w14:paraId="563358A7">
      <w:pPr>
        <w:pStyle w:val="2"/>
        <w:keepNext/>
        <w:spacing w:beforeLines="0" w:afterLines="0"/>
        <w:ind w:firstLine="640"/>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2022年度预算支出1482万元，其中基本支出1017万元，占比68.6%；项目支出465万元，占比31.4%。</w:t>
      </w:r>
    </w:p>
    <w:p w14:paraId="0C2655D2">
      <w:pPr>
        <w:keepNext/>
        <w:numPr>
          <w:ilvl w:val="0"/>
          <w:numId w:val="0"/>
        </w:numPr>
        <w:spacing w:line="560" w:lineRule="exact"/>
        <w:ind w:firstLine="640" w:firstLineChars="200"/>
        <w:rPr>
          <w:rFonts w:hint="eastAsia" w:ascii="仿宋_GB2312" w:hAnsi="仿宋_GB2312" w:eastAsia="仿宋_GB2312"/>
          <w:color w:val="auto"/>
          <w:sz w:val="32"/>
          <w:szCs w:val="24"/>
          <w:lang w:val="en-US"/>
        </w:rPr>
      </w:pPr>
      <w:r>
        <w:rPr>
          <w:rFonts w:hint="eastAsia" w:ascii="仿宋_GB2312" w:hAnsi="仿宋_GB2312" w:eastAsia="仿宋_GB2312"/>
          <w:color w:val="auto"/>
          <w:sz w:val="32"/>
          <w:szCs w:val="24"/>
          <w:lang w:val="en-US" w:eastAsia="zh-CN"/>
        </w:rPr>
        <w:t>3.</w:t>
      </w:r>
      <w:r>
        <w:rPr>
          <w:rFonts w:hint="eastAsia" w:ascii="仿宋_GB2312" w:hAnsi="仿宋_GB2312" w:eastAsia="仿宋_GB2312"/>
          <w:color w:val="auto"/>
          <w:sz w:val="32"/>
          <w:szCs w:val="24"/>
          <w:lang w:val="en-US"/>
        </w:rPr>
        <w:t>部门总体结转结余情况</w:t>
      </w:r>
    </w:p>
    <w:p w14:paraId="2F6CDC31">
      <w:pPr>
        <w:pStyle w:val="2"/>
        <w:keepNext/>
        <w:numPr>
          <w:ilvl w:val="0"/>
          <w:numId w:val="0"/>
        </w:numPr>
        <w:spacing w:beforeLines="0" w:afterLines="0"/>
        <w:ind w:firstLine="640"/>
        <w:rPr>
          <w:rFonts w:hint="eastAsia" w:ascii="仿宋_GB2312" w:hAnsi="仿宋_GB2312" w:eastAsia="仿宋_GB2312"/>
          <w:color w:val="auto"/>
          <w:kern w:val="0"/>
          <w:sz w:val="32"/>
          <w:szCs w:val="24"/>
        </w:rPr>
      </w:pPr>
      <w:r>
        <w:rPr>
          <w:rFonts w:hint="eastAsia" w:ascii="仿宋_GB2312" w:hAnsi="仿宋_GB2312" w:eastAsia="仿宋_GB2312"/>
          <w:color w:val="auto"/>
          <w:kern w:val="0"/>
          <w:sz w:val="32"/>
          <w:szCs w:val="24"/>
        </w:rPr>
        <w:t>2022年度年末结转和结余5万元。</w:t>
      </w:r>
    </w:p>
    <w:p w14:paraId="511921A0">
      <w:pPr>
        <w:keepNext/>
        <w:spacing w:line="560" w:lineRule="exact"/>
        <w:ind w:firstLine="643"/>
        <w:outlineLvl w:val="2"/>
        <w:rPr>
          <w:rFonts w:hint="eastAsia" w:ascii="楷体_GB2312" w:hAnsi="楷体_GB2312" w:eastAsia="楷体_GB2312"/>
          <w:b/>
          <w:color w:val="auto"/>
          <w:sz w:val="32"/>
          <w:szCs w:val="24"/>
          <w:lang w:val="zh-CN"/>
        </w:rPr>
      </w:pPr>
      <w:bookmarkStart w:id="55" w:name="_Toc14674"/>
      <w:bookmarkStart w:id="56" w:name="_Toc20088"/>
      <w:r>
        <w:rPr>
          <w:rFonts w:hint="eastAsia" w:ascii="楷体_GB2312" w:hAnsi="楷体_GB2312" w:eastAsia="楷体_GB2312"/>
          <w:b/>
          <w:color w:val="auto"/>
          <w:sz w:val="32"/>
          <w:szCs w:val="24"/>
          <w:lang w:val="zh-CN"/>
        </w:rPr>
        <w:t>（二）部门财政拨款收支情况。</w:t>
      </w:r>
      <w:bookmarkEnd w:id="55"/>
      <w:bookmarkEnd w:id="56"/>
    </w:p>
    <w:p w14:paraId="10700189">
      <w:pPr>
        <w:keepNext/>
        <w:spacing w:line="560" w:lineRule="exact"/>
        <w:ind w:firstLine="640"/>
        <w:rPr>
          <w:rFonts w:hint="eastAsia" w:ascii="仿宋_GB2312" w:hAnsi="仿宋_GB2312" w:eastAsia="仿宋_GB2312"/>
          <w:color w:val="auto"/>
          <w:sz w:val="32"/>
          <w:szCs w:val="24"/>
          <w:lang w:val="en-US"/>
        </w:rPr>
      </w:pPr>
      <w:r>
        <w:rPr>
          <w:rFonts w:hint="eastAsia" w:ascii="仿宋_GB2312" w:hAnsi="仿宋_GB2312" w:eastAsia="仿宋_GB2312"/>
          <w:color w:val="auto"/>
          <w:sz w:val="32"/>
          <w:szCs w:val="24"/>
          <w:lang w:val="en-US"/>
        </w:rPr>
        <w:t>1.部门财政拨款收入情况</w:t>
      </w:r>
    </w:p>
    <w:p w14:paraId="1136BA23">
      <w:pPr>
        <w:pStyle w:val="2"/>
        <w:keepNext/>
        <w:spacing w:beforeLines="0" w:afterLines="0"/>
        <w:rPr>
          <w:rFonts w:hint="eastAsia" w:ascii="仿宋_GB2312" w:hAnsi="仿宋_GB2312" w:eastAsia="仿宋_GB2312"/>
          <w:color w:val="auto"/>
          <w:kern w:val="0"/>
          <w:sz w:val="32"/>
          <w:szCs w:val="24"/>
        </w:rPr>
      </w:pPr>
      <w:r>
        <w:rPr>
          <w:rFonts w:hint="eastAsia" w:ascii="仿宋_GB2312" w:hAnsi="仿宋_GB2312" w:eastAsia="仿宋_GB2312"/>
          <w:color w:val="auto"/>
          <w:kern w:val="0"/>
          <w:sz w:val="32"/>
          <w:szCs w:val="24"/>
        </w:rPr>
        <w:t>2022年度财政拨款收入1437元。</w:t>
      </w:r>
    </w:p>
    <w:p w14:paraId="40E64A39">
      <w:pPr>
        <w:keepNext/>
        <w:spacing w:line="560" w:lineRule="exact"/>
        <w:ind w:firstLine="640"/>
        <w:rPr>
          <w:rFonts w:hint="eastAsia" w:ascii="仿宋_GB2312" w:hAnsi="仿宋_GB2312" w:eastAsia="仿宋_GB2312"/>
          <w:color w:val="auto"/>
          <w:sz w:val="32"/>
          <w:szCs w:val="24"/>
          <w:lang w:val="en-US"/>
        </w:rPr>
      </w:pPr>
      <w:r>
        <w:rPr>
          <w:rFonts w:hint="eastAsia" w:ascii="仿宋_GB2312" w:hAnsi="仿宋_GB2312" w:eastAsia="仿宋_GB2312"/>
          <w:color w:val="auto"/>
          <w:sz w:val="32"/>
          <w:szCs w:val="24"/>
          <w:lang w:val="en-US"/>
        </w:rPr>
        <w:t>2.部门财政拨款支出情况</w:t>
      </w:r>
    </w:p>
    <w:p w14:paraId="53240CAB">
      <w:pPr>
        <w:pStyle w:val="2"/>
        <w:keepNext/>
        <w:spacing w:beforeLines="0" w:afterLines="0"/>
        <w:rPr>
          <w:rFonts w:hint="eastAsia" w:ascii="仿宋_GB2312" w:hAnsi="仿宋_GB2312" w:eastAsia="仿宋_GB2312"/>
          <w:color w:val="auto"/>
          <w:kern w:val="0"/>
          <w:sz w:val="32"/>
          <w:szCs w:val="24"/>
        </w:rPr>
      </w:pPr>
      <w:r>
        <w:rPr>
          <w:rFonts w:hint="eastAsia" w:ascii="仿宋_GB2312" w:hAnsi="仿宋_GB2312" w:eastAsia="仿宋_GB2312"/>
          <w:color w:val="auto"/>
          <w:kern w:val="0"/>
          <w:sz w:val="32"/>
          <w:szCs w:val="24"/>
        </w:rPr>
        <w:t>2022年度财政拨款支出1482元。</w:t>
      </w:r>
    </w:p>
    <w:p w14:paraId="0D0D3AFA">
      <w:pPr>
        <w:pStyle w:val="2"/>
        <w:keepNext/>
        <w:spacing w:beforeLines="0" w:afterLines="0"/>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3.部门财政拨款结转结余情况</w:t>
      </w:r>
    </w:p>
    <w:p w14:paraId="2745F43C">
      <w:pPr>
        <w:pStyle w:val="2"/>
        <w:keepNext/>
        <w:spacing w:beforeLines="0" w:afterLines="0"/>
        <w:rPr>
          <w:rFonts w:hint="eastAsia" w:ascii="仿宋_GB2312" w:hAnsi="仿宋_GB2312" w:eastAsia="仿宋_GB2312"/>
          <w:color w:val="auto"/>
          <w:kern w:val="0"/>
          <w:sz w:val="32"/>
          <w:szCs w:val="24"/>
        </w:rPr>
      </w:pPr>
      <w:r>
        <w:rPr>
          <w:rFonts w:hint="eastAsia" w:ascii="仿宋_GB2312" w:hAnsi="仿宋_GB2312" w:eastAsia="仿宋_GB2312"/>
          <w:color w:val="auto"/>
          <w:kern w:val="0"/>
          <w:sz w:val="32"/>
          <w:szCs w:val="24"/>
        </w:rPr>
        <w:t>2022年度财政拨款结转结余5万元。</w:t>
      </w:r>
    </w:p>
    <w:p w14:paraId="5432BF59">
      <w:pPr>
        <w:pStyle w:val="2"/>
        <w:keepNext/>
        <w:numPr>
          <w:ilvl w:val="0"/>
          <w:numId w:val="3"/>
        </w:numPr>
        <w:spacing w:beforeLines="0" w:afterLines="0"/>
        <w:ind w:firstLine="420"/>
        <w:rPr>
          <w:rFonts w:hint="eastAsia" w:ascii="黑体" w:hAnsi="黑体" w:eastAsia="黑体"/>
          <w:color w:val="auto"/>
          <w:sz w:val="32"/>
          <w:szCs w:val="24"/>
        </w:rPr>
      </w:pPr>
      <w:r>
        <w:rPr>
          <w:rFonts w:hint="eastAsia" w:ascii="黑体" w:hAnsi="黑体" w:eastAsia="黑体"/>
          <w:color w:val="auto"/>
          <w:sz w:val="32"/>
          <w:szCs w:val="24"/>
        </w:rPr>
        <w:t>部门整体绩效分析（根据适用指标体系进行调整，涉及有专项资金预算项目的部门，专项资金预算项目自评报告作为本报告附件一并公开）</w:t>
      </w:r>
    </w:p>
    <w:p w14:paraId="25DAF62A">
      <w:pPr>
        <w:pStyle w:val="2"/>
        <w:keepNext/>
        <w:numPr>
          <w:ilvl w:val="0"/>
          <w:numId w:val="0"/>
        </w:numPr>
        <w:spacing w:beforeLines="0" w:afterLines="0"/>
        <w:ind w:firstLine="641"/>
        <w:outlineLvl w:val="2"/>
        <w:rPr>
          <w:rFonts w:hint="eastAsia" w:ascii="仿宋_GB2312" w:hAnsi="仿宋_GB2312" w:eastAsia="仿宋_GB2312"/>
          <w:color w:val="auto"/>
          <w:sz w:val="32"/>
          <w:szCs w:val="24"/>
          <w:lang w:val="zh-CN"/>
        </w:rPr>
      </w:pPr>
      <w:bookmarkStart w:id="57" w:name="_Toc28713"/>
      <w:bookmarkStart w:id="58" w:name="_Toc19924"/>
      <w:r>
        <w:rPr>
          <w:rFonts w:hint="eastAsia" w:ascii="楷体_GB2312" w:hAnsi="楷体_GB2312" w:eastAsia="楷体_GB2312"/>
          <w:b/>
          <w:color w:val="auto"/>
          <w:sz w:val="32"/>
          <w:szCs w:val="24"/>
          <w:lang w:val="zh-CN"/>
        </w:rPr>
        <w:t>（一）部门预算项目绩效分析。</w:t>
      </w:r>
      <w:bookmarkEnd w:id="57"/>
      <w:bookmarkEnd w:id="58"/>
    </w:p>
    <w:p w14:paraId="3668797F">
      <w:pPr>
        <w:keepNext/>
        <w:spacing w:line="560" w:lineRule="exact"/>
        <w:ind w:firstLine="640"/>
        <w:rPr>
          <w:rFonts w:hint="eastAsia" w:ascii="仿宋_GB2312" w:hAnsi="仿宋_GB2312" w:eastAsia="仿宋_GB2312"/>
          <w:color w:val="auto"/>
          <w:sz w:val="32"/>
          <w:szCs w:val="24"/>
          <w:lang w:val="en-US"/>
        </w:rPr>
      </w:pPr>
      <w:r>
        <w:rPr>
          <w:rFonts w:hint="eastAsia" w:ascii="仿宋_GB2312" w:hAnsi="仿宋_GB2312" w:eastAsia="仿宋_GB2312"/>
          <w:color w:val="auto"/>
          <w:sz w:val="32"/>
          <w:szCs w:val="24"/>
          <w:lang w:val="en-US"/>
        </w:rPr>
        <w:t>1.人员类项目绩效分析</w:t>
      </w:r>
    </w:p>
    <w:p w14:paraId="486F8B12">
      <w:pPr>
        <w:keepNext/>
        <w:spacing w:line="560" w:lineRule="exact"/>
        <w:ind w:firstLine="640"/>
        <w:rPr>
          <w:rFonts w:hint="eastAsia" w:ascii="仿宋_GB2312" w:hAnsi="仿宋_GB2312" w:eastAsia="仿宋_GB2312"/>
          <w:color w:val="auto"/>
          <w:sz w:val="32"/>
          <w:szCs w:val="24"/>
          <w:lang w:val="zh-CN"/>
        </w:rPr>
      </w:pPr>
      <w:r>
        <w:rPr>
          <w:rFonts w:hint="eastAsia" w:ascii="仿宋_GB2312" w:hAnsi="仿宋_GB2312" w:eastAsia="仿宋_GB2312"/>
          <w:color w:val="auto"/>
          <w:sz w:val="32"/>
          <w:szCs w:val="24"/>
          <w:lang w:val="zh-CN"/>
        </w:rPr>
        <w:t>（</w:t>
      </w:r>
      <w:r>
        <w:rPr>
          <w:rFonts w:hint="eastAsia" w:ascii="仿宋_GB2312" w:hAnsi="仿宋_GB2312" w:eastAsia="仿宋_GB2312"/>
          <w:color w:val="auto"/>
          <w:sz w:val="32"/>
          <w:szCs w:val="24"/>
          <w:lang w:val="en-US" w:eastAsia="zh-CN"/>
        </w:rPr>
        <w:t>1</w:t>
      </w:r>
      <w:r>
        <w:rPr>
          <w:rFonts w:hint="eastAsia" w:ascii="仿宋_GB2312" w:hAnsi="仿宋_GB2312" w:eastAsia="仿宋_GB2312"/>
          <w:color w:val="auto"/>
          <w:sz w:val="32"/>
          <w:szCs w:val="24"/>
          <w:lang w:val="zh-CN"/>
        </w:rPr>
        <w:t>）部门绩效目标制定</w:t>
      </w:r>
    </w:p>
    <w:p w14:paraId="04E30091">
      <w:pPr>
        <w:pStyle w:val="2"/>
        <w:keepNext/>
        <w:spacing w:beforeLines="0" w:afterLines="0"/>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2022年，盐边县共和乡人民政府严格落实《预算法》及省、市、县绩效管理工作的有关规定编制了部门预算，按照县委、县政府总体部署，结合部门工作职能和工作实际制定部门整体绩效目标，所有项目支出均纳入绩效管理，制定绩效目标。在预算执行中，我乡强化支出绩效理念，提升部门责任意识，提高资金使用效率，保障我乡全面履行职能职责，保证机构正常运行，圆满完成年度职能目标任务。</w:t>
      </w:r>
    </w:p>
    <w:p w14:paraId="506009F3">
      <w:pPr>
        <w:pStyle w:val="2"/>
        <w:keepNext/>
        <w:numPr>
          <w:ilvl w:val="0"/>
          <w:numId w:val="4"/>
        </w:numPr>
        <w:spacing w:beforeLines="0" w:afterLines="0"/>
        <w:ind w:firstLine="420"/>
        <w:rPr>
          <w:rFonts w:hint="eastAsia" w:ascii="仿宋_GB2312" w:hAnsi="仿宋_GB2312" w:eastAsia="仿宋_GB2312"/>
          <w:color w:val="auto"/>
          <w:sz w:val="32"/>
          <w:szCs w:val="24"/>
          <w:lang w:val="zh-CN"/>
        </w:rPr>
      </w:pPr>
      <w:r>
        <w:rPr>
          <w:rFonts w:hint="eastAsia" w:ascii="仿宋_GB2312" w:hAnsi="仿宋_GB2312" w:eastAsia="仿宋_GB2312"/>
          <w:color w:val="auto"/>
          <w:sz w:val="32"/>
          <w:szCs w:val="24"/>
          <w:lang w:val="zh-CN"/>
        </w:rPr>
        <w:t>目标实现</w:t>
      </w:r>
    </w:p>
    <w:p w14:paraId="14FEBCF0">
      <w:pPr>
        <w:pStyle w:val="2"/>
        <w:keepNext/>
        <w:numPr>
          <w:ilvl w:val="0"/>
          <w:numId w:val="0"/>
        </w:numPr>
        <w:spacing w:beforeLines="0" w:afterLines="0"/>
        <w:ind w:firstLine="640"/>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2022年盐边县共和乡人民政府人员类支出896万元，主要用于：职工工资福利、社会保险缴费、公积金、抚恤金、生活补助等支出，均按月足额及时进行拨付，预算执行率100%，确保全年平稳保障职工工资福利支出，维持单位基本运转。</w:t>
      </w:r>
    </w:p>
    <w:p w14:paraId="7F265E7A">
      <w:pPr>
        <w:keepNext/>
        <w:spacing w:line="560" w:lineRule="exact"/>
        <w:ind w:firstLine="640"/>
        <w:rPr>
          <w:rFonts w:hint="eastAsia" w:ascii="仿宋_GB2312" w:hAnsi="仿宋_GB2312" w:eastAsia="仿宋_GB2312"/>
          <w:color w:val="auto"/>
          <w:sz w:val="32"/>
          <w:szCs w:val="24"/>
          <w:lang w:val="en-US"/>
        </w:rPr>
      </w:pPr>
      <w:r>
        <w:rPr>
          <w:rFonts w:hint="eastAsia" w:ascii="仿宋_GB2312" w:hAnsi="仿宋_GB2312" w:eastAsia="仿宋_GB2312"/>
          <w:color w:val="auto"/>
          <w:sz w:val="32"/>
          <w:szCs w:val="24"/>
          <w:lang w:val="en-US"/>
        </w:rPr>
        <w:t>2.运转类项目绩效分析</w:t>
      </w:r>
    </w:p>
    <w:p w14:paraId="17F3A1CB">
      <w:pPr>
        <w:keepNext/>
        <w:spacing w:line="560" w:lineRule="exact"/>
        <w:ind w:firstLine="640"/>
        <w:rPr>
          <w:rFonts w:hint="eastAsia" w:ascii="仿宋_GB2312" w:hAnsi="仿宋_GB2312" w:eastAsia="仿宋_GB2312"/>
          <w:color w:val="auto"/>
          <w:kern w:val="2"/>
          <w:sz w:val="32"/>
          <w:szCs w:val="24"/>
          <w:lang w:val="en-US" w:eastAsia="zh-CN"/>
        </w:rPr>
      </w:pPr>
      <w:r>
        <w:rPr>
          <w:rFonts w:hint="eastAsia" w:ascii="仿宋_GB2312" w:hAnsi="仿宋_GB2312" w:eastAsia="仿宋_GB2312"/>
          <w:color w:val="auto"/>
          <w:kern w:val="2"/>
          <w:sz w:val="32"/>
          <w:szCs w:val="24"/>
          <w:lang w:val="en-US" w:eastAsia="zh-CN"/>
        </w:rPr>
        <w:t>2022年盐边县共和乡人民政府公用经费支出121万元，主要用于办公费、水费、电费、邮电费、差旅费、维修（护）费、会议费、劳务费、工会经费、福利费、公务用车运行维护费、其他交通费、其他商品和服务支出等，我乡严格按照资金用途申报、使用资金，均已足额按时支付，有力保障了我局机构正常运行和各项工作任务的完成，预算执行率100%。</w:t>
      </w:r>
    </w:p>
    <w:p w14:paraId="027B5818">
      <w:pPr>
        <w:keepNext/>
        <w:spacing w:line="560" w:lineRule="exact"/>
        <w:ind w:firstLine="640"/>
        <w:rPr>
          <w:rFonts w:hint="eastAsia" w:ascii="仿宋_GB2312" w:hAnsi="仿宋_GB2312" w:eastAsia="仿宋_GB2312"/>
          <w:color w:val="auto"/>
          <w:sz w:val="32"/>
          <w:szCs w:val="24"/>
          <w:lang w:val="en-US"/>
        </w:rPr>
      </w:pPr>
      <w:r>
        <w:rPr>
          <w:rFonts w:hint="eastAsia" w:ascii="仿宋_GB2312" w:hAnsi="仿宋_GB2312" w:eastAsia="仿宋_GB2312"/>
          <w:color w:val="auto"/>
          <w:sz w:val="32"/>
          <w:szCs w:val="24"/>
          <w:lang w:val="en-US"/>
        </w:rPr>
        <w:t>3.特定目标类项目绩效分析</w:t>
      </w:r>
    </w:p>
    <w:p w14:paraId="5F0CFFA6">
      <w:pPr>
        <w:keepNext/>
        <w:spacing w:line="560" w:lineRule="exact"/>
        <w:ind w:firstLine="643"/>
        <w:rPr>
          <w:rFonts w:hint="eastAsia" w:ascii="仿宋_GB2312" w:hAnsi="仿宋_GB2312" w:eastAsia="仿宋_GB2312"/>
          <w:color w:val="auto"/>
          <w:sz w:val="32"/>
          <w:szCs w:val="24"/>
          <w:lang w:val="en-US"/>
        </w:rPr>
      </w:pPr>
      <w:r>
        <w:rPr>
          <w:rFonts w:hint="eastAsia" w:ascii="仿宋_GB2312" w:hAnsi="仿宋_GB2312" w:eastAsia="仿宋_GB2312"/>
          <w:color w:val="auto"/>
          <w:sz w:val="32"/>
          <w:szCs w:val="24"/>
          <w:lang w:val="en-US"/>
        </w:rPr>
        <w:t>2022年盐边县</w:t>
      </w:r>
      <w:r>
        <w:rPr>
          <w:rFonts w:hint="eastAsia" w:ascii="仿宋_GB2312" w:hAnsi="仿宋_GB2312" w:eastAsia="仿宋_GB2312"/>
          <w:color w:val="auto"/>
          <w:sz w:val="32"/>
          <w:szCs w:val="24"/>
          <w:lang w:val="en-US" w:eastAsia="zh-CN"/>
        </w:rPr>
        <w:t>共和乡人民政府</w:t>
      </w:r>
      <w:r>
        <w:rPr>
          <w:rFonts w:hint="eastAsia" w:ascii="仿宋_GB2312" w:hAnsi="仿宋_GB2312" w:eastAsia="仿宋_GB2312"/>
          <w:color w:val="auto"/>
          <w:sz w:val="32"/>
          <w:szCs w:val="24"/>
          <w:lang w:val="en-US"/>
        </w:rPr>
        <w:t>项目支出</w:t>
      </w:r>
      <w:r>
        <w:rPr>
          <w:rFonts w:hint="eastAsia" w:ascii="仿宋_GB2312" w:hAnsi="仿宋_GB2312" w:eastAsia="仿宋_GB2312"/>
          <w:color w:val="auto"/>
          <w:sz w:val="32"/>
          <w:szCs w:val="24"/>
          <w:lang w:val="en-US" w:eastAsia="zh-CN"/>
        </w:rPr>
        <w:t>465</w:t>
      </w:r>
      <w:r>
        <w:rPr>
          <w:rFonts w:hint="eastAsia" w:ascii="仿宋_GB2312" w:hAnsi="仿宋_GB2312" w:eastAsia="仿宋_GB2312"/>
          <w:color w:val="auto"/>
          <w:sz w:val="32"/>
          <w:szCs w:val="24"/>
          <w:lang w:val="en-US"/>
        </w:rPr>
        <w:t>万元，其中：商品和服务支出</w:t>
      </w:r>
      <w:r>
        <w:rPr>
          <w:rFonts w:hint="eastAsia" w:ascii="仿宋_GB2312" w:hAnsi="仿宋_GB2312" w:eastAsia="仿宋_GB2312"/>
          <w:color w:val="auto"/>
          <w:sz w:val="32"/>
          <w:szCs w:val="24"/>
          <w:lang w:val="en-US" w:eastAsia="zh-CN"/>
        </w:rPr>
        <w:t>26</w:t>
      </w:r>
      <w:r>
        <w:rPr>
          <w:rFonts w:hint="eastAsia" w:ascii="仿宋_GB2312" w:hAnsi="仿宋_GB2312" w:eastAsia="仿宋_GB2312"/>
          <w:color w:val="auto"/>
          <w:sz w:val="32"/>
          <w:szCs w:val="24"/>
          <w:lang w:val="en-US"/>
        </w:rPr>
        <w:t>万元，对个人和家庭的补助支出</w:t>
      </w:r>
      <w:r>
        <w:rPr>
          <w:rFonts w:hint="eastAsia" w:ascii="仿宋_GB2312" w:hAnsi="仿宋_GB2312" w:eastAsia="仿宋_GB2312"/>
          <w:color w:val="auto"/>
          <w:sz w:val="32"/>
          <w:szCs w:val="24"/>
          <w:lang w:val="en-US" w:eastAsia="zh-CN"/>
        </w:rPr>
        <w:t>76</w:t>
      </w:r>
      <w:r>
        <w:rPr>
          <w:rFonts w:hint="eastAsia" w:ascii="仿宋_GB2312" w:hAnsi="仿宋_GB2312" w:eastAsia="仿宋_GB2312"/>
          <w:color w:val="auto"/>
          <w:sz w:val="32"/>
          <w:szCs w:val="24"/>
          <w:lang w:val="en-US"/>
        </w:rPr>
        <w:t>万元，资本性支出</w:t>
      </w:r>
      <w:r>
        <w:rPr>
          <w:rFonts w:hint="eastAsia" w:ascii="仿宋_GB2312" w:hAnsi="仿宋_GB2312" w:eastAsia="仿宋_GB2312"/>
          <w:color w:val="auto"/>
          <w:sz w:val="32"/>
          <w:szCs w:val="24"/>
          <w:lang w:val="en-US" w:eastAsia="zh-CN"/>
        </w:rPr>
        <w:t>363</w:t>
      </w:r>
      <w:r>
        <w:rPr>
          <w:rFonts w:hint="eastAsia" w:ascii="仿宋_GB2312" w:hAnsi="仿宋_GB2312" w:eastAsia="仿宋_GB2312"/>
          <w:color w:val="auto"/>
          <w:sz w:val="32"/>
          <w:szCs w:val="24"/>
          <w:lang w:val="en-US"/>
        </w:rPr>
        <w:t>万元。</w:t>
      </w:r>
    </w:p>
    <w:p w14:paraId="28950A4E">
      <w:pPr>
        <w:keepNext/>
        <w:spacing w:line="560" w:lineRule="exact"/>
        <w:ind w:firstLine="643"/>
        <w:rPr>
          <w:rFonts w:hint="eastAsia" w:ascii="仿宋_GB2312" w:hAnsi="仿宋_GB2312" w:eastAsia="仿宋_GB2312"/>
          <w:color w:val="auto"/>
          <w:sz w:val="32"/>
          <w:szCs w:val="24"/>
          <w:lang w:val="en-US"/>
        </w:rPr>
      </w:pPr>
      <w:r>
        <w:rPr>
          <w:rFonts w:hint="eastAsia" w:ascii="仿宋_GB2312" w:hAnsi="仿宋_GB2312" w:eastAsia="仿宋_GB2312"/>
          <w:color w:val="auto"/>
          <w:sz w:val="32"/>
          <w:szCs w:val="24"/>
          <w:lang w:val="en-US"/>
        </w:rPr>
        <w:t>根据预算绩效管理要求，我</w:t>
      </w:r>
      <w:r>
        <w:rPr>
          <w:rFonts w:hint="eastAsia" w:ascii="仿宋_GB2312" w:hAnsi="仿宋_GB2312" w:eastAsia="仿宋_GB2312"/>
          <w:color w:val="auto"/>
          <w:sz w:val="32"/>
          <w:szCs w:val="24"/>
          <w:lang w:val="en-US" w:eastAsia="zh-CN"/>
        </w:rPr>
        <w:t>乡</w:t>
      </w:r>
      <w:r>
        <w:rPr>
          <w:rFonts w:hint="eastAsia" w:ascii="仿宋_GB2312" w:hAnsi="仿宋_GB2312" w:eastAsia="仿宋_GB2312"/>
          <w:color w:val="auto"/>
          <w:sz w:val="32"/>
          <w:szCs w:val="24"/>
          <w:lang w:val="en-US"/>
        </w:rPr>
        <w:t>预算编制阶段所有项目均编制了绩效目标，预算执行过程中，对项目开展绩效监控，严格按照项目资金管理办法管理，严格专款专用，防止了截留、挤占、挪用等问题发生，确保资金安全、规范、有效使用，项目资金按进度支付，预算支付率100%，项目支出绩效目标全部完成。</w:t>
      </w:r>
    </w:p>
    <w:p w14:paraId="5C79E881">
      <w:pPr>
        <w:keepNext/>
        <w:spacing w:line="560" w:lineRule="exact"/>
        <w:ind w:firstLine="643"/>
        <w:outlineLvl w:val="2"/>
        <w:rPr>
          <w:rFonts w:hint="eastAsia" w:ascii="楷体_GB2312" w:hAnsi="楷体_GB2312" w:eastAsia="楷体_GB2312"/>
          <w:b/>
          <w:color w:val="auto"/>
          <w:sz w:val="32"/>
          <w:szCs w:val="24"/>
          <w:lang w:val="zh-CN"/>
        </w:rPr>
      </w:pPr>
      <w:bookmarkStart w:id="59" w:name="_Toc26255"/>
      <w:bookmarkStart w:id="60" w:name="_Toc2554"/>
      <w:r>
        <w:rPr>
          <w:rFonts w:hint="eastAsia" w:ascii="楷体_GB2312" w:hAnsi="楷体_GB2312" w:eastAsia="楷体_GB2312"/>
          <w:b/>
          <w:color w:val="auto"/>
          <w:sz w:val="32"/>
          <w:szCs w:val="24"/>
          <w:lang w:val="zh-CN"/>
        </w:rPr>
        <w:t>（二）部门整体履职绩效分析。</w:t>
      </w:r>
      <w:bookmarkEnd w:id="59"/>
      <w:bookmarkEnd w:id="60"/>
    </w:p>
    <w:p w14:paraId="7D6B7AB4">
      <w:pPr>
        <w:keepNext/>
        <w:spacing w:line="560" w:lineRule="exact"/>
        <w:ind w:firstLine="640"/>
        <w:rPr>
          <w:rFonts w:hint="eastAsia" w:ascii="仿宋_GB2312" w:hAnsi="仿宋_GB2312" w:eastAsia="仿宋_GB2312"/>
          <w:color w:val="auto"/>
          <w:sz w:val="32"/>
          <w:szCs w:val="24"/>
          <w:lang w:val="zh-CN"/>
        </w:rPr>
      </w:pPr>
      <w:r>
        <w:rPr>
          <w:rFonts w:hint="eastAsia" w:ascii="仿宋_GB2312" w:hAnsi="仿宋_GB2312" w:eastAsia="仿宋_GB2312"/>
          <w:color w:val="auto"/>
          <w:sz w:val="32"/>
          <w:szCs w:val="24"/>
          <w:lang w:val="zh-CN"/>
        </w:rPr>
        <w:t>围绕部门整体绩效目标完成情况和部门履职情况进行绩效分析。</w:t>
      </w:r>
    </w:p>
    <w:p w14:paraId="34911925">
      <w:pPr>
        <w:keepNext/>
        <w:spacing w:line="560" w:lineRule="exact"/>
        <w:ind w:firstLine="643"/>
        <w:outlineLvl w:val="2"/>
        <w:rPr>
          <w:rFonts w:hint="eastAsia" w:ascii="楷体_GB2312" w:hAnsi="楷体_GB2312" w:eastAsia="楷体_GB2312"/>
          <w:b/>
          <w:color w:val="auto"/>
          <w:sz w:val="32"/>
          <w:szCs w:val="24"/>
          <w:lang w:val="zh-CN"/>
        </w:rPr>
      </w:pPr>
      <w:bookmarkStart w:id="61" w:name="_Toc28769"/>
      <w:bookmarkStart w:id="62" w:name="_Toc2933"/>
      <w:r>
        <w:rPr>
          <w:rFonts w:hint="eastAsia" w:ascii="楷体_GB2312" w:hAnsi="楷体_GB2312" w:eastAsia="楷体_GB2312"/>
          <w:b/>
          <w:color w:val="auto"/>
          <w:sz w:val="32"/>
          <w:szCs w:val="24"/>
          <w:lang w:val="zh-CN"/>
        </w:rPr>
        <w:t>（三）结果应用情况。</w:t>
      </w:r>
      <w:bookmarkEnd w:id="61"/>
      <w:bookmarkEnd w:id="62"/>
    </w:p>
    <w:p w14:paraId="0A11EB41">
      <w:pPr>
        <w:keepNext/>
        <w:spacing w:line="560" w:lineRule="exact"/>
        <w:ind w:firstLine="640"/>
        <w:rPr>
          <w:rFonts w:hint="eastAsia" w:ascii="仿宋_GB2312" w:hAnsi="仿宋_GB2312" w:eastAsia="仿宋_GB2312"/>
          <w:color w:val="auto"/>
          <w:sz w:val="32"/>
          <w:szCs w:val="24"/>
          <w:lang w:val="zh-CN"/>
        </w:rPr>
      </w:pPr>
      <w:r>
        <w:rPr>
          <w:rFonts w:hint="eastAsia" w:ascii="仿宋_GB2312" w:hAnsi="仿宋_GB2312" w:eastAsia="仿宋_GB2312"/>
          <w:color w:val="auto"/>
          <w:sz w:val="32"/>
          <w:szCs w:val="24"/>
          <w:lang w:val="zh-CN"/>
        </w:rPr>
        <w:t>1.规定时间内及时在县门户网站设立的预决算公开统一专栏上集中公开部门年初绩效目标表、部门预算整体绩效及项目支出绩效评价表、部门预算整体绩效及项目支出绩效评价表绩效评价报告。</w:t>
      </w:r>
    </w:p>
    <w:p w14:paraId="63776AFF">
      <w:pPr>
        <w:keepNext/>
        <w:spacing w:line="560" w:lineRule="exact"/>
        <w:ind w:firstLine="640"/>
        <w:rPr>
          <w:rFonts w:hint="eastAsia" w:ascii="仿宋_GB2312" w:hAnsi="仿宋_GB2312" w:eastAsia="仿宋_GB2312"/>
          <w:color w:val="auto"/>
          <w:sz w:val="32"/>
          <w:szCs w:val="24"/>
          <w:lang w:val="zh-CN"/>
        </w:rPr>
      </w:pPr>
      <w:r>
        <w:rPr>
          <w:rFonts w:hint="eastAsia" w:ascii="仿宋_GB2312" w:hAnsi="仿宋_GB2312" w:eastAsia="仿宋_GB2312"/>
          <w:color w:val="auto"/>
          <w:sz w:val="32"/>
          <w:szCs w:val="24"/>
          <w:lang w:val="zh-CN"/>
        </w:rPr>
        <w:t>2.加强对绩效管理工作的跟踪督查，做到绩效管理有依据、按程序、有奖惩，实现绩效管理的规范化、常态化。</w:t>
      </w:r>
    </w:p>
    <w:p w14:paraId="2C0E018A">
      <w:pPr>
        <w:keepNext/>
        <w:spacing w:line="560" w:lineRule="exact"/>
        <w:ind w:firstLine="640"/>
        <w:rPr>
          <w:rFonts w:hint="eastAsia" w:ascii="仿宋_GB2312" w:hAnsi="仿宋_GB2312" w:eastAsia="仿宋_GB2312"/>
          <w:color w:val="auto"/>
          <w:sz w:val="32"/>
          <w:szCs w:val="24"/>
          <w:lang w:val="zh-CN"/>
        </w:rPr>
      </w:pPr>
      <w:r>
        <w:rPr>
          <w:rFonts w:hint="eastAsia" w:ascii="仿宋_GB2312" w:hAnsi="仿宋_GB2312" w:eastAsia="仿宋_GB2312"/>
          <w:color w:val="auto"/>
          <w:sz w:val="32"/>
          <w:szCs w:val="24"/>
          <w:lang w:val="zh-CN"/>
        </w:rPr>
        <w:t>3.绩效评价结果将作为以后年度项目立项和经费支持的重要依据。</w:t>
      </w:r>
    </w:p>
    <w:p w14:paraId="145273A9">
      <w:pPr>
        <w:keepNext/>
        <w:spacing w:line="560" w:lineRule="exact"/>
        <w:ind w:firstLine="643"/>
        <w:outlineLvl w:val="2"/>
        <w:rPr>
          <w:rFonts w:hint="eastAsia" w:ascii="楷体_GB2312" w:hAnsi="楷体_GB2312" w:eastAsia="楷体_GB2312"/>
          <w:b/>
          <w:color w:val="auto"/>
          <w:sz w:val="32"/>
          <w:szCs w:val="24"/>
          <w:lang w:val="zh-CN"/>
        </w:rPr>
      </w:pPr>
      <w:bookmarkStart w:id="63" w:name="_Toc15471"/>
      <w:bookmarkStart w:id="64" w:name="_Toc19853"/>
      <w:r>
        <w:rPr>
          <w:rFonts w:hint="eastAsia" w:ascii="楷体_GB2312" w:hAnsi="楷体_GB2312" w:eastAsia="楷体_GB2312"/>
          <w:b/>
          <w:color w:val="auto"/>
          <w:sz w:val="32"/>
          <w:szCs w:val="24"/>
          <w:lang w:val="en-US"/>
        </w:rPr>
        <w:t>（四）</w:t>
      </w:r>
      <w:r>
        <w:rPr>
          <w:rFonts w:hint="eastAsia" w:ascii="楷体_GB2312" w:hAnsi="楷体_GB2312" w:eastAsia="楷体_GB2312"/>
          <w:b/>
          <w:color w:val="auto"/>
          <w:sz w:val="32"/>
          <w:szCs w:val="24"/>
          <w:lang w:val="zh-CN"/>
        </w:rPr>
        <w:t>自评质量。</w:t>
      </w:r>
      <w:bookmarkEnd w:id="63"/>
      <w:bookmarkEnd w:id="64"/>
    </w:p>
    <w:p w14:paraId="5D51362A">
      <w:pPr>
        <w:keepNext/>
        <w:spacing w:line="560" w:lineRule="exact"/>
        <w:ind w:firstLine="640"/>
        <w:rPr>
          <w:rFonts w:hint="eastAsia" w:ascii="仿宋_GB2312" w:hAnsi="仿宋_GB2312" w:eastAsia="仿宋_GB2312"/>
          <w:color w:val="auto"/>
          <w:sz w:val="32"/>
          <w:szCs w:val="24"/>
          <w:lang w:val="en-US"/>
        </w:rPr>
      </w:pPr>
      <w:r>
        <w:rPr>
          <w:rFonts w:hint="eastAsia" w:ascii="仿宋_GB2312" w:hAnsi="仿宋_GB2312" w:eastAsia="仿宋_GB2312"/>
          <w:color w:val="auto"/>
          <w:sz w:val="32"/>
          <w:szCs w:val="24"/>
          <w:lang w:val="en-US"/>
        </w:rPr>
        <w:t>2022年盐边县</w:t>
      </w:r>
      <w:r>
        <w:rPr>
          <w:rFonts w:hint="eastAsia" w:ascii="仿宋_GB2312" w:hAnsi="仿宋_GB2312" w:eastAsia="仿宋_GB2312"/>
          <w:color w:val="auto"/>
          <w:sz w:val="32"/>
          <w:szCs w:val="24"/>
          <w:lang w:val="en-US" w:eastAsia="zh-CN"/>
        </w:rPr>
        <w:t>共和乡人民政府</w:t>
      </w:r>
      <w:r>
        <w:rPr>
          <w:rFonts w:hint="eastAsia" w:ascii="仿宋_GB2312" w:hAnsi="仿宋_GB2312" w:eastAsia="仿宋_GB2312"/>
          <w:color w:val="auto"/>
          <w:sz w:val="32"/>
          <w:szCs w:val="24"/>
          <w:lang w:val="en-US"/>
        </w:rPr>
        <w:t>部门整体支出自评及项目支出自评均按照绩效评价相关要求，安排专人开展工作，</w:t>
      </w:r>
      <w:r>
        <w:rPr>
          <w:rFonts w:hint="eastAsia" w:ascii="仿宋_GB2312" w:hAnsi="仿宋_GB2312" w:eastAsia="仿宋_GB2312"/>
          <w:color w:val="auto"/>
          <w:sz w:val="32"/>
          <w:szCs w:val="24"/>
          <w:lang w:val="en-US" w:eastAsia="zh-CN"/>
        </w:rPr>
        <w:t>实事求是</w:t>
      </w:r>
      <w:r>
        <w:rPr>
          <w:rFonts w:hint="eastAsia" w:ascii="仿宋_GB2312" w:hAnsi="仿宋_GB2312" w:eastAsia="仿宋_GB2312"/>
          <w:color w:val="auto"/>
          <w:sz w:val="32"/>
          <w:szCs w:val="24"/>
          <w:lang w:val="en-US"/>
        </w:rPr>
        <w:t>进行评价。</w:t>
      </w:r>
    </w:p>
    <w:p w14:paraId="03DF63E7">
      <w:pPr>
        <w:keepNext/>
        <w:spacing w:line="560" w:lineRule="exact"/>
        <w:ind w:firstLine="640"/>
        <w:outlineLvl w:val="1"/>
        <w:rPr>
          <w:rFonts w:hint="eastAsia" w:ascii="黑体" w:hAnsi="黑体" w:eastAsia="黑体"/>
          <w:color w:val="auto"/>
          <w:sz w:val="32"/>
          <w:szCs w:val="24"/>
          <w:lang w:val="en-US"/>
        </w:rPr>
      </w:pPr>
      <w:bookmarkStart w:id="65" w:name="_Toc16658"/>
      <w:r>
        <w:rPr>
          <w:rFonts w:hint="eastAsia" w:ascii="黑体" w:hAnsi="黑体" w:eastAsia="黑体"/>
          <w:color w:val="auto"/>
          <w:sz w:val="32"/>
          <w:szCs w:val="24"/>
          <w:lang w:val="en-US"/>
        </w:rPr>
        <w:t>四、评价结论及建议</w:t>
      </w:r>
      <w:bookmarkEnd w:id="65"/>
    </w:p>
    <w:p w14:paraId="37611CEF">
      <w:pPr>
        <w:keepNext/>
        <w:spacing w:line="560" w:lineRule="exact"/>
        <w:ind w:firstLine="643"/>
        <w:outlineLvl w:val="2"/>
        <w:rPr>
          <w:rFonts w:hint="eastAsia" w:ascii="楷体_GB2312" w:hAnsi="楷体_GB2312" w:eastAsia="楷体_GB2312"/>
          <w:b/>
          <w:color w:val="auto"/>
          <w:sz w:val="32"/>
          <w:szCs w:val="24"/>
          <w:lang w:val="zh-CN"/>
        </w:rPr>
      </w:pPr>
      <w:bookmarkStart w:id="66" w:name="_Toc5268"/>
      <w:bookmarkStart w:id="67" w:name="_Toc28700"/>
      <w:r>
        <w:rPr>
          <w:rFonts w:hint="eastAsia" w:ascii="楷体_GB2312" w:hAnsi="楷体_GB2312" w:eastAsia="楷体_GB2312"/>
          <w:b/>
          <w:color w:val="auto"/>
          <w:sz w:val="32"/>
          <w:szCs w:val="24"/>
          <w:lang w:val="zh-CN"/>
        </w:rPr>
        <w:t>（一）评价结论。</w:t>
      </w:r>
      <w:bookmarkEnd w:id="66"/>
      <w:bookmarkEnd w:id="67"/>
    </w:p>
    <w:p w14:paraId="2999A364">
      <w:pPr>
        <w:pStyle w:val="2"/>
        <w:keepNext/>
        <w:spacing w:beforeLines="0" w:afterLines="0"/>
        <w:rPr>
          <w:rFonts w:hint="eastAsia" w:ascii="仿宋_GB2312" w:hAnsi="仿宋_GB2312" w:eastAsia="仿宋_GB2312"/>
          <w:color w:val="auto"/>
          <w:kern w:val="0"/>
          <w:sz w:val="32"/>
          <w:szCs w:val="24"/>
          <w:lang w:val="zh-CN"/>
        </w:rPr>
      </w:pPr>
      <w:r>
        <w:rPr>
          <w:rFonts w:hint="eastAsia" w:ascii="仿宋_GB2312" w:hAnsi="仿宋_GB2312" w:eastAsia="仿宋_GB2312"/>
          <w:color w:val="auto"/>
          <w:kern w:val="0"/>
          <w:sz w:val="32"/>
          <w:szCs w:val="24"/>
          <w:lang w:val="zh-CN"/>
        </w:rPr>
        <w:t>2022年我</w:t>
      </w:r>
      <w:r>
        <w:rPr>
          <w:rFonts w:hint="eastAsia" w:ascii="仿宋_GB2312" w:hAnsi="仿宋_GB2312" w:eastAsia="仿宋_GB2312"/>
          <w:color w:val="auto"/>
          <w:kern w:val="0"/>
          <w:sz w:val="32"/>
          <w:szCs w:val="24"/>
        </w:rPr>
        <w:t>乡</w:t>
      </w:r>
      <w:r>
        <w:rPr>
          <w:rFonts w:hint="eastAsia" w:ascii="仿宋_GB2312" w:hAnsi="仿宋_GB2312" w:eastAsia="仿宋_GB2312"/>
          <w:color w:val="auto"/>
          <w:kern w:val="0"/>
          <w:sz w:val="32"/>
          <w:szCs w:val="24"/>
          <w:lang w:val="zh-CN"/>
        </w:rPr>
        <w:t>预决算编制和预算执行严格按照国家财经法规、预算资金管理办法、财务管理制度以及专项资金管理办法的规定执行，确保无违规使用资金的情况发生。全年部门预算执行率100%。基本支出2022年按月或季度进行申报，其中人员工资按月申报并直接支付，日常公用经费按月进行申报并支付，执行率100%。部门整体支出绩效良好，保障了机关正常运转和完成各项工作，项目资金拨款及时，专款专用。</w:t>
      </w:r>
    </w:p>
    <w:p w14:paraId="064EC23E">
      <w:pPr>
        <w:pStyle w:val="2"/>
        <w:keepNext/>
        <w:numPr>
          <w:ilvl w:val="0"/>
          <w:numId w:val="0"/>
        </w:numPr>
        <w:spacing w:beforeLines="0" w:afterLines="0"/>
        <w:ind w:leftChars="200" w:firstLine="0"/>
        <w:outlineLvl w:val="2"/>
        <w:rPr>
          <w:rFonts w:hint="eastAsia" w:ascii="楷体_GB2312" w:hAnsi="楷体_GB2312" w:eastAsia="楷体_GB2312"/>
          <w:b/>
          <w:color w:val="auto"/>
          <w:sz w:val="32"/>
          <w:szCs w:val="24"/>
          <w:lang w:val="zh-CN"/>
        </w:rPr>
      </w:pPr>
      <w:bookmarkStart w:id="68" w:name="_Toc25161"/>
      <w:bookmarkStart w:id="69" w:name="_Toc12864"/>
      <w:r>
        <w:rPr>
          <w:rFonts w:hint="eastAsia" w:ascii="楷体_GB2312" w:hAnsi="楷体_GB2312" w:eastAsia="楷体_GB2312"/>
          <w:b/>
          <w:color w:val="auto"/>
          <w:sz w:val="32"/>
          <w:szCs w:val="24"/>
          <w:lang w:val="zh-CN"/>
        </w:rPr>
        <w:t>（</w:t>
      </w:r>
      <w:r>
        <w:rPr>
          <w:rFonts w:hint="eastAsia" w:ascii="楷体_GB2312" w:hAnsi="楷体_GB2312" w:eastAsia="楷体_GB2312"/>
          <w:b/>
          <w:color w:val="auto"/>
          <w:sz w:val="32"/>
          <w:szCs w:val="24"/>
        </w:rPr>
        <w:t>二</w:t>
      </w:r>
      <w:r>
        <w:rPr>
          <w:rFonts w:hint="eastAsia" w:ascii="楷体_GB2312" w:hAnsi="楷体_GB2312" w:eastAsia="楷体_GB2312"/>
          <w:b/>
          <w:color w:val="auto"/>
          <w:sz w:val="32"/>
          <w:szCs w:val="24"/>
          <w:lang w:val="zh-CN"/>
        </w:rPr>
        <w:t>）存在问题。</w:t>
      </w:r>
      <w:bookmarkEnd w:id="68"/>
      <w:bookmarkEnd w:id="69"/>
    </w:p>
    <w:p w14:paraId="025C5791">
      <w:pPr>
        <w:pStyle w:val="2"/>
        <w:keepNext/>
        <w:spacing w:beforeLines="0" w:afterLines="0"/>
        <w:rPr>
          <w:rFonts w:hint="eastAsia" w:ascii="仿宋_GB2312" w:hAnsi="仿宋_GB2312" w:eastAsia="仿宋_GB2312"/>
          <w:color w:val="auto"/>
          <w:kern w:val="0"/>
          <w:sz w:val="32"/>
          <w:szCs w:val="24"/>
          <w:lang w:val="zh-CN"/>
        </w:rPr>
      </w:pPr>
      <w:r>
        <w:rPr>
          <w:rFonts w:hint="eastAsia" w:ascii="仿宋_GB2312" w:hAnsi="仿宋_GB2312" w:eastAsia="仿宋_GB2312"/>
          <w:color w:val="auto"/>
          <w:kern w:val="0"/>
          <w:sz w:val="32"/>
          <w:szCs w:val="24"/>
          <w:lang w:val="zh-CN"/>
        </w:rPr>
        <w:t>1. 部门预算绩效管理工作与业务工作结合不够，预算绩效目标编制可行性、科学性、有效性等有待加强。</w:t>
      </w:r>
    </w:p>
    <w:p w14:paraId="0F02666A">
      <w:pPr>
        <w:pStyle w:val="2"/>
        <w:keepNext/>
        <w:spacing w:beforeLines="0" w:afterLines="0"/>
        <w:rPr>
          <w:rFonts w:hint="eastAsia" w:ascii="仿宋_GB2312" w:hAnsi="仿宋_GB2312" w:eastAsia="仿宋_GB2312"/>
          <w:color w:val="auto"/>
          <w:kern w:val="0"/>
          <w:sz w:val="32"/>
          <w:szCs w:val="24"/>
          <w:lang w:val="zh-CN"/>
        </w:rPr>
      </w:pPr>
      <w:r>
        <w:rPr>
          <w:rFonts w:hint="eastAsia" w:ascii="仿宋_GB2312" w:hAnsi="仿宋_GB2312" w:eastAsia="仿宋_GB2312"/>
          <w:color w:val="auto"/>
          <w:kern w:val="0"/>
          <w:sz w:val="32"/>
          <w:szCs w:val="24"/>
        </w:rPr>
        <w:t>2</w:t>
      </w:r>
      <w:r>
        <w:rPr>
          <w:rFonts w:hint="eastAsia" w:ascii="仿宋_GB2312" w:hAnsi="仿宋_GB2312" w:eastAsia="仿宋_GB2312"/>
          <w:color w:val="auto"/>
          <w:kern w:val="0"/>
          <w:sz w:val="32"/>
          <w:szCs w:val="24"/>
          <w:lang w:val="zh-CN"/>
        </w:rPr>
        <w:t>.对评价结果的应用环节偏薄弱。</w:t>
      </w:r>
    </w:p>
    <w:p w14:paraId="731527A2">
      <w:pPr>
        <w:pStyle w:val="2"/>
        <w:keepNext/>
        <w:numPr>
          <w:ilvl w:val="0"/>
          <w:numId w:val="0"/>
        </w:numPr>
        <w:spacing w:beforeLines="0" w:afterLines="0"/>
        <w:ind w:leftChars="200" w:firstLine="0"/>
        <w:outlineLvl w:val="2"/>
        <w:rPr>
          <w:rFonts w:hint="eastAsia" w:ascii="楷体_GB2312" w:hAnsi="楷体_GB2312" w:eastAsia="楷体_GB2312"/>
          <w:b/>
          <w:color w:val="auto"/>
          <w:sz w:val="32"/>
          <w:szCs w:val="24"/>
          <w:lang w:val="zh-CN"/>
        </w:rPr>
      </w:pPr>
      <w:bookmarkStart w:id="70" w:name="_Toc11189"/>
      <w:bookmarkStart w:id="71" w:name="_Toc26925"/>
      <w:r>
        <w:rPr>
          <w:rFonts w:hint="eastAsia" w:ascii="楷体_GB2312" w:hAnsi="楷体_GB2312" w:eastAsia="楷体_GB2312"/>
          <w:b/>
          <w:color w:val="auto"/>
          <w:sz w:val="32"/>
          <w:szCs w:val="24"/>
          <w:lang w:val="zh-CN"/>
        </w:rPr>
        <w:t>（三）改进建议。</w:t>
      </w:r>
      <w:bookmarkEnd w:id="70"/>
      <w:bookmarkEnd w:id="71"/>
    </w:p>
    <w:p w14:paraId="66642764">
      <w:pPr>
        <w:pStyle w:val="2"/>
        <w:keepNext/>
        <w:spacing w:beforeLines="0" w:afterLines="0"/>
        <w:rPr>
          <w:rFonts w:hint="eastAsia" w:ascii="仿宋_GB2312" w:hAnsi="仿宋_GB2312" w:eastAsia="仿宋_GB2312"/>
          <w:color w:val="auto"/>
          <w:kern w:val="0"/>
          <w:sz w:val="32"/>
          <w:szCs w:val="24"/>
          <w:lang w:val="zh-CN"/>
        </w:rPr>
      </w:pPr>
      <w:r>
        <w:rPr>
          <w:rFonts w:hint="eastAsia" w:ascii="仿宋_GB2312" w:hAnsi="仿宋_GB2312" w:eastAsia="仿宋_GB2312"/>
          <w:color w:val="auto"/>
          <w:kern w:val="0"/>
          <w:sz w:val="32"/>
          <w:szCs w:val="24"/>
          <w:lang w:val="zh-CN"/>
        </w:rPr>
        <w:t>1.部门绩效评价工作政策性强、涉及面广、工作量大且有相当的难度和专业性。加强学习如何科学合理制定绩效目标及考核体系，理论联系实际结合业务工作，充分发挥绩效工作效用。</w:t>
      </w:r>
    </w:p>
    <w:p w14:paraId="580F2CD8">
      <w:pPr>
        <w:pStyle w:val="2"/>
        <w:keepNext/>
        <w:spacing w:beforeLines="0" w:afterLines="0"/>
        <w:rPr>
          <w:rFonts w:hint="eastAsia" w:ascii="仿宋_GB2312" w:hAnsi="仿宋_GB2312" w:eastAsia="仿宋_GB2312"/>
          <w:color w:val="auto"/>
          <w:kern w:val="0"/>
          <w:sz w:val="32"/>
          <w:szCs w:val="24"/>
          <w:lang w:val="zh-CN"/>
        </w:rPr>
      </w:pPr>
      <w:r>
        <w:rPr>
          <w:rFonts w:hint="eastAsia" w:ascii="仿宋_GB2312" w:hAnsi="仿宋_GB2312" w:eastAsia="仿宋_GB2312"/>
          <w:color w:val="auto"/>
          <w:kern w:val="0"/>
          <w:sz w:val="32"/>
          <w:szCs w:val="24"/>
        </w:rPr>
        <w:t>2.</w:t>
      </w:r>
      <w:r>
        <w:rPr>
          <w:rFonts w:hint="eastAsia" w:ascii="仿宋_GB2312" w:hAnsi="仿宋_GB2312" w:eastAsia="仿宋_GB2312"/>
          <w:color w:val="auto"/>
          <w:kern w:val="0"/>
          <w:sz w:val="32"/>
          <w:szCs w:val="24"/>
          <w:lang w:val="zh-CN"/>
        </w:rPr>
        <w:t>积极开展预算绩效管理工作。在今后的工作中，通过预算绩效的事前编制，预算绩效执行中的自评以及预算绩效的事后评价，加大对预算绩效事后评价的利用，更好发挥绩效评价的作用。</w:t>
      </w:r>
    </w:p>
    <w:p w14:paraId="40FCB6F4">
      <w:pPr>
        <w:keepNext/>
        <w:spacing w:after="120" w:line="560" w:lineRule="exact"/>
        <w:ind w:firstLine="640"/>
        <w:jc w:val="both"/>
        <w:rPr>
          <w:rFonts w:hint="default" w:ascii="宋体" w:hAnsi="宋体" w:eastAsia="宋体"/>
          <w:color w:val="auto"/>
          <w:kern w:val="2"/>
          <w:sz w:val="32"/>
          <w:szCs w:val="24"/>
          <w:lang w:val="zh-CN"/>
        </w:rPr>
      </w:pPr>
      <w:r>
        <w:rPr>
          <w:rFonts w:hint="eastAsia" w:ascii="仿宋_GB2312" w:hAnsi="仿宋_GB2312" w:eastAsia="仿宋_GB2312"/>
          <w:color w:val="auto"/>
          <w:kern w:val="2"/>
          <w:sz w:val="32"/>
          <w:szCs w:val="24"/>
          <w:lang w:val="zh-CN"/>
        </w:rPr>
        <w:t>附表：</w:t>
      </w:r>
      <w:r>
        <w:rPr>
          <w:rFonts w:hint="eastAsia" w:ascii="仿宋_GB2312" w:hAnsi="仿宋_GB2312" w:eastAsia="仿宋_GB2312"/>
          <w:color w:val="auto"/>
          <w:kern w:val="2"/>
          <w:sz w:val="32"/>
          <w:szCs w:val="24"/>
          <w:lang w:val="en-US"/>
        </w:rPr>
        <w:t>部门预算项目支出绩效自评表（2022年度）</w:t>
      </w:r>
      <w:r>
        <w:rPr>
          <w:rFonts w:hint="eastAsia" w:ascii="仿宋_GB2312" w:hAnsi="仿宋_GB2312" w:eastAsia="仿宋_GB2312"/>
          <w:color w:val="auto"/>
          <w:kern w:val="2"/>
          <w:sz w:val="32"/>
          <w:szCs w:val="24"/>
          <w:lang w:val="en-US" w:eastAsia="zh-CN"/>
        </w:rPr>
        <w:t>见附件</w:t>
      </w:r>
    </w:p>
    <w:p w14:paraId="2E0F2632">
      <w:pPr>
        <w:keepNext/>
        <w:jc w:val="both"/>
        <w:rPr>
          <w:rFonts w:hint="eastAsia" w:ascii="仿宋_GB2312" w:hAnsi="仿宋_GB2312" w:eastAsia="仿宋_GB2312"/>
          <w:color w:val="auto"/>
          <w:sz w:val="32"/>
          <w:szCs w:val="24"/>
          <w:lang w:val="zh-CN"/>
        </w:rPr>
      </w:pPr>
    </w:p>
    <w:p w14:paraId="1444D4B5">
      <w:pPr>
        <w:keepNext/>
        <w:jc w:val="both"/>
        <w:outlineLvl w:val="1"/>
        <w:rPr>
          <w:rFonts w:hint="eastAsia" w:ascii="仿宋_GB2312" w:hAnsi="仿宋_GB2312" w:eastAsia="仿宋_GB2312"/>
          <w:b/>
          <w:color w:val="auto"/>
          <w:sz w:val="32"/>
          <w:szCs w:val="24"/>
          <w:lang w:val="en-US"/>
        </w:rPr>
      </w:pPr>
      <w:bookmarkStart w:id="72" w:name="_Toc27246"/>
      <w:bookmarkStart w:id="73" w:name="_Toc32037"/>
      <w:r>
        <w:rPr>
          <w:rFonts w:hint="eastAsia" w:ascii="仿宋_GB2312" w:hAnsi="仿宋_GB2312" w:eastAsia="仿宋_GB2312"/>
          <w:b/>
          <w:color w:val="auto"/>
          <w:sz w:val="32"/>
          <w:szCs w:val="24"/>
          <w:lang w:val="zh-CN"/>
        </w:rPr>
        <w:t>附件</w:t>
      </w:r>
      <w:r>
        <w:rPr>
          <w:rFonts w:hint="eastAsia" w:ascii="仿宋_GB2312" w:hAnsi="仿宋_GB2312" w:eastAsia="仿宋_GB2312"/>
          <w:b/>
          <w:color w:val="auto"/>
          <w:sz w:val="32"/>
          <w:szCs w:val="24"/>
          <w:lang w:val="en-US"/>
        </w:rPr>
        <w:t>2</w:t>
      </w:r>
      <w:bookmarkEnd w:id="72"/>
      <w:bookmarkEnd w:id="73"/>
    </w:p>
    <w:p w14:paraId="0B890D41">
      <w:pPr>
        <w:keepNext/>
        <w:spacing w:line="578" w:lineRule="exact"/>
        <w:jc w:val="center"/>
        <w:rPr>
          <w:rFonts w:hint="eastAsia" w:ascii="方正小标宋简体" w:hAnsi="方正小标宋简体" w:eastAsia="方正小标宋简体" w:cs="Times New Roman"/>
          <w:color w:val="auto"/>
          <w:kern w:val="2"/>
          <w:sz w:val="32"/>
          <w:szCs w:val="24"/>
          <w:lang w:val="en-US" w:eastAsia="zh-CN"/>
        </w:rPr>
      </w:pPr>
      <w:r>
        <w:rPr>
          <w:rFonts w:hint="eastAsia" w:ascii="方正小标宋简体" w:hAnsi="方正小标宋简体" w:eastAsia="方正小标宋简体" w:cs="Times New Roman"/>
          <w:color w:val="auto"/>
          <w:kern w:val="2"/>
          <w:sz w:val="32"/>
          <w:szCs w:val="24"/>
          <w:lang w:val="en-US" w:eastAsia="zh-CN"/>
        </w:rPr>
        <w:t>共和乡人民政府关于2022共和乡应急和安全生产监管工作的</w:t>
      </w:r>
    </w:p>
    <w:p w14:paraId="6DF1FACC">
      <w:pPr>
        <w:keepNext/>
        <w:spacing w:line="578" w:lineRule="exact"/>
        <w:jc w:val="center"/>
        <w:rPr>
          <w:rFonts w:hint="eastAsia" w:ascii="Times New Roman" w:hAnsi="Times New Roman" w:eastAsia="Times New Roman"/>
          <w:kern w:val="2"/>
          <w:sz w:val="44"/>
          <w:szCs w:val="24"/>
        </w:rPr>
      </w:pPr>
      <w:r>
        <w:rPr>
          <w:rFonts w:hint="eastAsia" w:ascii="方正小标宋简体" w:hAnsi="方正小标宋简体" w:eastAsia="方正小标宋简体" w:cs="Times New Roman"/>
          <w:color w:val="auto"/>
          <w:kern w:val="2"/>
          <w:sz w:val="32"/>
          <w:szCs w:val="24"/>
          <w:lang w:val="en-US"/>
        </w:rPr>
        <w:t>专项预算项目支出绩效自评报告</w:t>
      </w:r>
    </w:p>
    <w:p w14:paraId="6C674112">
      <w:pPr>
        <w:autoSpaceDE/>
        <w:autoSpaceDN/>
        <w:adjustRightInd/>
        <w:spacing w:line="640" w:lineRule="exact"/>
        <w:jc w:val="center"/>
        <w:rPr>
          <w:rFonts w:hint="eastAsia" w:ascii="Times New Roman" w:hAnsi="Times New Roman" w:eastAsia="Times New Roman"/>
          <w:b/>
          <w:kern w:val="2"/>
          <w:sz w:val="32"/>
          <w:szCs w:val="24"/>
        </w:rPr>
      </w:pPr>
      <w:r>
        <w:rPr>
          <w:rFonts w:hint="eastAsia" w:ascii="Times New Roman" w:hAnsi="Times New Roman" w:eastAsia="楷体_GB2312"/>
          <w:b/>
          <w:kern w:val="2"/>
          <w:sz w:val="32"/>
          <w:szCs w:val="24"/>
        </w:rPr>
        <w:t>（项目单位自评）</w:t>
      </w:r>
    </w:p>
    <w:p w14:paraId="164EF6CC">
      <w:pPr>
        <w:spacing w:line="560" w:lineRule="exact"/>
        <w:ind w:firstLine="640"/>
        <w:jc w:val="center"/>
        <w:rPr>
          <w:rFonts w:hint="eastAsia" w:ascii="Times New Roman" w:hAnsi="Times New Roman" w:eastAsia="Times New Roman" w:cs="Times New Roman"/>
          <w:color w:val="auto"/>
          <w:kern w:val="2"/>
          <w:sz w:val="32"/>
          <w:szCs w:val="32"/>
          <w:lang w:val="zh-CN" w:eastAsia="zh-CN" w:bidi="ar-SA"/>
        </w:rPr>
      </w:pPr>
    </w:p>
    <w:p w14:paraId="55E9F209">
      <w:pPr>
        <w:autoSpaceDE/>
        <w:autoSpaceDN/>
        <w:adjustRightInd/>
        <w:spacing w:line="560" w:lineRule="exact"/>
        <w:ind w:firstLine="640" w:firstLineChars="200"/>
        <w:jc w:val="both"/>
        <w:outlineLvl w:val="1"/>
        <w:rPr>
          <w:rFonts w:hint="eastAsia" w:ascii="Times New Roman" w:hAnsi="Times New Roman" w:eastAsia="Times New Roman"/>
          <w:kern w:val="2"/>
          <w:sz w:val="32"/>
          <w:szCs w:val="24"/>
        </w:rPr>
      </w:pPr>
      <w:bookmarkStart w:id="74" w:name="_Toc5916"/>
      <w:bookmarkStart w:id="75" w:name="_Toc13073"/>
      <w:r>
        <w:rPr>
          <w:rFonts w:hint="eastAsia" w:ascii="Times New Roman" w:hAnsi="Times New Roman" w:eastAsia="黑体"/>
          <w:kern w:val="2"/>
          <w:sz w:val="32"/>
          <w:szCs w:val="24"/>
        </w:rPr>
        <w:t>一、项目概况</w:t>
      </w:r>
      <w:bookmarkEnd w:id="74"/>
      <w:bookmarkEnd w:id="75"/>
    </w:p>
    <w:p w14:paraId="166F634D">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介绍项目基本情况，重点说明以下内容：</w:t>
      </w:r>
    </w:p>
    <w:p w14:paraId="554AB00F">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76" w:name="_Toc2405"/>
      <w:bookmarkStart w:id="77" w:name="_Toc1878"/>
      <w:r>
        <w:rPr>
          <w:rFonts w:hint="eastAsia" w:ascii="Times New Roman" w:hAnsi="Times New Roman" w:eastAsia="楷体_GB2312"/>
          <w:kern w:val="2"/>
          <w:sz w:val="32"/>
          <w:szCs w:val="24"/>
        </w:rPr>
        <w:t>（一）项目资金申报及批复情况。</w:t>
      </w:r>
      <w:bookmarkEnd w:id="76"/>
      <w:bookmarkEnd w:id="77"/>
    </w:p>
    <w:p w14:paraId="2CE54C55">
      <w:pPr>
        <w:autoSpaceDE/>
        <w:autoSpaceDN/>
        <w:adjustRightInd/>
        <w:spacing w:line="560" w:lineRule="exact"/>
        <w:ind w:firstLine="775" w:firstLineChars="250"/>
        <w:jc w:val="both"/>
        <w:rPr>
          <w:rFonts w:hint="eastAsia" w:ascii="Times New Roman" w:hAnsi="Times New Roman" w:eastAsia="Times New Roman"/>
          <w:kern w:val="2"/>
          <w:sz w:val="32"/>
          <w:szCs w:val="24"/>
        </w:rPr>
      </w:pPr>
      <w:r>
        <w:rPr>
          <w:rFonts w:hint="eastAsia" w:ascii="仿宋_GB2312" w:hAnsi="宋体" w:eastAsia="仿宋_GB2312" w:cs="仿宋_GB2312"/>
          <w:color w:val="000000"/>
          <w:sz w:val="31"/>
          <w:szCs w:val="31"/>
          <w:lang w:val="en-US" w:eastAsia="zh-CN" w:bidi="ar"/>
        </w:rPr>
        <w:t>社会治理办公室应急管理工作2022年工作经费，确保2022年社会治理办公室应急管理、安全生产、教育培训等工作正常开展，需要工作经费10万元。经上级研究决定，下达</w:t>
      </w:r>
      <w:r>
        <w:rPr>
          <w:rFonts w:hint="eastAsia" w:ascii="仿宋_GB2312" w:hAnsi="仿宋_GB2312" w:eastAsia="仿宋_GB2312" w:cs="仿宋_GB2312"/>
          <w:sz w:val="33"/>
          <w:szCs w:val="33"/>
          <w:lang w:val="en-US" w:eastAsia="zh-CN"/>
        </w:rPr>
        <w:t>应急和安全监管补助金10万元</w:t>
      </w:r>
      <w:r>
        <w:rPr>
          <w:rFonts w:hint="eastAsia" w:ascii="Times New Roman" w:hAnsi="Times New Roman" w:eastAsia="仿宋_GB2312"/>
          <w:kern w:val="2"/>
          <w:sz w:val="32"/>
          <w:szCs w:val="24"/>
        </w:rPr>
        <w:t>。</w:t>
      </w:r>
    </w:p>
    <w:p w14:paraId="6DFCADDD">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78" w:name="_Toc30052"/>
      <w:bookmarkStart w:id="79" w:name="_Toc376"/>
      <w:r>
        <w:rPr>
          <w:rFonts w:hint="eastAsia" w:ascii="Times New Roman" w:hAnsi="Times New Roman" w:eastAsia="楷体_GB2312"/>
          <w:kern w:val="2"/>
          <w:sz w:val="32"/>
          <w:szCs w:val="24"/>
        </w:rPr>
        <w:t>（二）项目绩效目标。</w:t>
      </w:r>
      <w:bookmarkEnd w:id="78"/>
      <w:bookmarkEnd w:id="79"/>
    </w:p>
    <w:p w14:paraId="4D2B09E4">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1.主要内容</w:t>
      </w:r>
    </w:p>
    <w:p w14:paraId="78668438">
      <w:pPr>
        <w:autoSpaceDE/>
        <w:autoSpaceDN/>
        <w:adjustRightInd/>
        <w:spacing w:line="560" w:lineRule="exact"/>
        <w:ind w:firstLine="620" w:firstLineChars="200"/>
        <w:jc w:val="both"/>
        <w:rPr>
          <w:rFonts w:hint="eastAsia" w:ascii="Times New Roman" w:hAnsi="Times New Roman" w:eastAsia="Times New Roman"/>
          <w:kern w:val="2"/>
          <w:sz w:val="32"/>
          <w:szCs w:val="24"/>
        </w:rPr>
      </w:pPr>
      <w:r>
        <w:rPr>
          <w:rFonts w:hint="eastAsia" w:ascii="仿宋_GB2312" w:hAnsi="宋体" w:eastAsia="仿宋_GB2312" w:cs="仿宋_GB2312"/>
          <w:color w:val="000000"/>
          <w:sz w:val="31"/>
          <w:szCs w:val="31"/>
          <w:lang w:val="en-US" w:eastAsia="zh-CN" w:bidi="ar"/>
        </w:rPr>
        <w:t>社会治理办公室应急管理工作2022年工作经费，确保2022年社会治理办公室应急管理、安全生产、教育培训等工作正常开展</w:t>
      </w:r>
      <w:r>
        <w:rPr>
          <w:rFonts w:hint="eastAsia" w:ascii="Times New Roman" w:hAnsi="Times New Roman" w:eastAsia="仿宋_GB2312"/>
          <w:kern w:val="2"/>
          <w:sz w:val="32"/>
          <w:szCs w:val="24"/>
        </w:rPr>
        <w:t>。</w:t>
      </w:r>
    </w:p>
    <w:p w14:paraId="04BC0260">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2.计划实现的具体绩效目标</w:t>
      </w:r>
    </w:p>
    <w:p w14:paraId="6EA4EE68">
      <w:pPr>
        <w:keepNext/>
        <w:spacing w:line="560" w:lineRule="exact"/>
        <w:ind w:firstLine="640"/>
        <w:rPr>
          <w:rFonts w:hint="eastAsia" w:ascii="仿宋_GB2312" w:hAnsi="仿宋_GB2312" w:eastAsia="仿宋_GB2312" w:cs="Times New Roman"/>
          <w:color w:val="auto"/>
          <w:sz w:val="32"/>
          <w:szCs w:val="24"/>
          <w:lang w:val="zh-CN"/>
        </w:rPr>
      </w:pPr>
      <w:r>
        <w:rPr>
          <w:rFonts w:hint="eastAsia" w:ascii="仿宋_GB2312" w:hAnsi="仿宋_GB2312" w:eastAsia="仿宋_GB2312" w:cs="Times New Roman"/>
          <w:color w:val="auto"/>
          <w:sz w:val="32"/>
          <w:szCs w:val="24"/>
          <w:lang w:val="en-US" w:eastAsia="zh-CN"/>
        </w:rPr>
        <w:t>共和乡社会治理办公室工作绩效目标设置每年由县政府相关部门制定，确保绩效目标和绩效指标相匹配并实施量化考核。</w:t>
      </w:r>
    </w:p>
    <w:p w14:paraId="47B251A7">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80" w:name="_Toc9573"/>
      <w:bookmarkStart w:id="81" w:name="_Toc25358"/>
      <w:r>
        <w:rPr>
          <w:rFonts w:hint="eastAsia" w:ascii="Times New Roman" w:hAnsi="Times New Roman" w:eastAsia="楷体_GB2312"/>
          <w:kern w:val="2"/>
          <w:sz w:val="32"/>
          <w:szCs w:val="24"/>
        </w:rPr>
        <w:t>（三）项目资金申报相符性。</w:t>
      </w:r>
      <w:bookmarkEnd w:id="80"/>
      <w:bookmarkEnd w:id="81"/>
    </w:p>
    <w:p w14:paraId="50BA8FB0">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该资金由县财政局下达预算到盐边县</w:t>
      </w:r>
      <w:r>
        <w:rPr>
          <w:rFonts w:hint="eastAsia" w:ascii="Times New Roman" w:hAnsi="Times New Roman" w:eastAsia="仿宋_GB2312"/>
          <w:kern w:val="2"/>
          <w:sz w:val="32"/>
          <w:szCs w:val="24"/>
          <w:lang w:val="en-US" w:eastAsia="zh-CN"/>
        </w:rPr>
        <w:t>共和乡</w:t>
      </w:r>
      <w:r>
        <w:rPr>
          <w:rFonts w:hint="eastAsia" w:ascii="Times New Roman" w:hAnsi="Times New Roman" w:eastAsia="仿宋_GB2312"/>
          <w:kern w:val="2"/>
          <w:sz w:val="32"/>
          <w:szCs w:val="24"/>
        </w:rPr>
        <w:t>人民政府进行核算。与实际相符、申报目标合理可行。</w:t>
      </w:r>
    </w:p>
    <w:p w14:paraId="250006BF">
      <w:pPr>
        <w:autoSpaceDE/>
        <w:autoSpaceDN/>
        <w:adjustRightInd/>
        <w:spacing w:line="560" w:lineRule="exact"/>
        <w:ind w:firstLine="640" w:firstLineChars="200"/>
        <w:jc w:val="both"/>
        <w:outlineLvl w:val="1"/>
        <w:rPr>
          <w:rFonts w:hint="eastAsia" w:ascii="Times New Roman" w:hAnsi="Times New Roman" w:eastAsia="Times New Roman"/>
          <w:kern w:val="2"/>
          <w:sz w:val="32"/>
          <w:szCs w:val="24"/>
        </w:rPr>
      </w:pPr>
      <w:bookmarkStart w:id="82" w:name="_Toc13978"/>
      <w:bookmarkStart w:id="83" w:name="_Toc32009"/>
      <w:r>
        <w:rPr>
          <w:rFonts w:hint="eastAsia" w:ascii="Times New Roman" w:hAnsi="Times New Roman" w:eastAsia="黑体"/>
          <w:kern w:val="2"/>
          <w:sz w:val="32"/>
          <w:szCs w:val="24"/>
        </w:rPr>
        <w:t>二、项目实施及管理情况</w:t>
      </w:r>
      <w:bookmarkEnd w:id="82"/>
      <w:bookmarkEnd w:id="83"/>
    </w:p>
    <w:p w14:paraId="67E2C658">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84" w:name="_Toc9939"/>
      <w:bookmarkStart w:id="85" w:name="_Toc26565"/>
      <w:r>
        <w:rPr>
          <w:rFonts w:hint="eastAsia" w:ascii="Times New Roman" w:hAnsi="Times New Roman" w:eastAsia="楷体_GB2312"/>
          <w:kern w:val="2"/>
          <w:sz w:val="32"/>
          <w:szCs w:val="24"/>
        </w:rPr>
        <w:t>（一）资金计划、到位及使用情况。</w:t>
      </w:r>
      <w:bookmarkEnd w:id="84"/>
      <w:bookmarkEnd w:id="85"/>
    </w:p>
    <w:p w14:paraId="7D8F7D97">
      <w:pPr>
        <w:autoSpaceDE/>
        <w:autoSpaceDN/>
        <w:adjustRightInd/>
        <w:spacing w:line="560" w:lineRule="exact"/>
        <w:ind w:firstLine="640" w:firstLineChars="200"/>
        <w:jc w:val="both"/>
        <w:rPr>
          <w:rFonts w:hint="eastAsia" w:ascii="Times New Roman" w:hAnsi="Times New Roman" w:eastAsia="Times New Roman"/>
          <w:b/>
          <w:kern w:val="2"/>
          <w:sz w:val="32"/>
          <w:szCs w:val="24"/>
        </w:rPr>
      </w:pPr>
      <w:r>
        <w:rPr>
          <w:rFonts w:hint="eastAsia" w:ascii="Times New Roman" w:hAnsi="Times New Roman" w:eastAsia="Times New Roman"/>
          <w:b/>
          <w:kern w:val="2"/>
          <w:sz w:val="32"/>
          <w:szCs w:val="24"/>
        </w:rPr>
        <w:t>1.</w:t>
      </w:r>
      <w:r>
        <w:rPr>
          <w:rFonts w:hint="eastAsia" w:ascii="Times New Roman" w:hAnsi="Times New Roman" w:eastAsia="仿宋_GB2312"/>
          <w:b/>
          <w:kern w:val="2"/>
          <w:sz w:val="32"/>
          <w:szCs w:val="24"/>
        </w:rPr>
        <w:t>资金计划及到位。</w:t>
      </w:r>
    </w:p>
    <w:p w14:paraId="7E47A251">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Times New Roman"/>
          <w:kern w:val="2"/>
          <w:sz w:val="32"/>
          <w:szCs w:val="24"/>
        </w:rPr>
        <w:t>202</w:t>
      </w:r>
      <w:r>
        <w:rPr>
          <w:rFonts w:hint="eastAsia" w:ascii="Times New Roman" w:hAnsi="Times New Roman" w:eastAsia="仿宋_GB2312"/>
          <w:kern w:val="2"/>
          <w:sz w:val="32"/>
          <w:szCs w:val="24"/>
        </w:rPr>
        <w:t>2</w:t>
      </w:r>
      <w:r>
        <w:rPr>
          <w:rFonts w:hint="eastAsia" w:ascii="仿宋_GB2312" w:hAnsi="Times New Roman" w:eastAsia="仿宋_GB2312"/>
          <w:kern w:val="2"/>
          <w:sz w:val="32"/>
          <w:szCs w:val="24"/>
        </w:rPr>
        <w:t>年预算下达</w:t>
      </w:r>
      <w:r>
        <w:rPr>
          <w:rFonts w:hint="eastAsia" w:ascii="仿宋_GB2312" w:hAnsi="Times New Roman" w:eastAsia="仿宋_GB2312"/>
          <w:kern w:val="2"/>
          <w:sz w:val="32"/>
          <w:szCs w:val="24"/>
          <w:lang w:eastAsia="zh-CN"/>
        </w:rPr>
        <w:t>资金</w:t>
      </w:r>
      <w:r>
        <w:rPr>
          <w:rFonts w:hint="eastAsia" w:ascii="仿宋_GB2312" w:hAnsi="Times New Roman" w:eastAsia="仿宋_GB2312"/>
          <w:kern w:val="2"/>
          <w:sz w:val="32"/>
          <w:szCs w:val="24"/>
          <w:lang w:val="en-US" w:eastAsia="zh-CN"/>
        </w:rPr>
        <w:t>10</w:t>
      </w:r>
      <w:r>
        <w:rPr>
          <w:rFonts w:hint="eastAsia" w:ascii="Times New Roman" w:hAnsi="Times New Roman" w:eastAsia="仿宋_GB2312"/>
          <w:kern w:val="2"/>
          <w:sz w:val="32"/>
          <w:szCs w:val="24"/>
        </w:rPr>
        <w:t>万</w:t>
      </w:r>
      <w:r>
        <w:rPr>
          <w:rFonts w:hint="eastAsia" w:ascii="仿宋_GB2312" w:hAnsi="Times New Roman" w:eastAsia="仿宋_GB2312"/>
          <w:kern w:val="2"/>
          <w:sz w:val="32"/>
          <w:szCs w:val="24"/>
        </w:rPr>
        <w:t>元。</w:t>
      </w:r>
      <w:r>
        <w:rPr>
          <w:rFonts w:hint="eastAsia" w:ascii="Times New Roman" w:hAnsi="Times New Roman" w:eastAsia="仿宋_GB2312"/>
          <w:kern w:val="2"/>
          <w:sz w:val="32"/>
          <w:szCs w:val="24"/>
        </w:rPr>
        <w:t>该资金2022年当年全部到位，当年全部使用完毕。</w:t>
      </w:r>
    </w:p>
    <w:p w14:paraId="307CF009">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Times New Roman"/>
          <w:b/>
          <w:kern w:val="2"/>
          <w:sz w:val="32"/>
          <w:szCs w:val="24"/>
        </w:rPr>
        <w:t>2.</w:t>
      </w:r>
      <w:r>
        <w:rPr>
          <w:rFonts w:hint="eastAsia" w:ascii="Times New Roman" w:hAnsi="Times New Roman" w:eastAsia="仿宋_GB2312"/>
          <w:b/>
          <w:kern w:val="2"/>
          <w:sz w:val="32"/>
          <w:szCs w:val="24"/>
        </w:rPr>
        <w:t>资金使用。</w:t>
      </w:r>
    </w:p>
    <w:p w14:paraId="15EEFAEE">
      <w:pPr>
        <w:autoSpaceDE/>
        <w:autoSpaceDN/>
        <w:adjustRightInd/>
        <w:spacing w:line="560" w:lineRule="exact"/>
        <w:ind w:firstLine="640" w:firstLineChars="200"/>
        <w:jc w:val="both"/>
        <w:rPr>
          <w:rFonts w:hint="eastAsia" w:ascii="Times New Roman" w:hAnsi="Times New Roman" w:eastAsia="Times New Roman"/>
          <w:b/>
          <w:kern w:val="2"/>
          <w:sz w:val="32"/>
          <w:szCs w:val="24"/>
        </w:rPr>
      </w:pPr>
      <w:r>
        <w:rPr>
          <w:rFonts w:hint="eastAsia" w:ascii="Times New Roman" w:hAnsi="Times New Roman" w:eastAsia="仿宋_GB2312"/>
          <w:kern w:val="2"/>
          <w:sz w:val="32"/>
          <w:szCs w:val="24"/>
        </w:rPr>
        <w:t>该资金截至评价时点，支付范围、支付标准、支付进度、支付依据等合规合法、与预算相符。我单位及时报账，按财政局要求专款专用，已全部报账使用。</w:t>
      </w:r>
    </w:p>
    <w:p w14:paraId="728909CB">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86" w:name="_Toc26228"/>
      <w:bookmarkStart w:id="87" w:name="_Toc3222"/>
      <w:r>
        <w:rPr>
          <w:rFonts w:hint="eastAsia" w:ascii="Times New Roman" w:hAnsi="Times New Roman" w:eastAsia="楷体_GB2312"/>
          <w:kern w:val="2"/>
          <w:sz w:val="32"/>
          <w:szCs w:val="24"/>
        </w:rPr>
        <w:t>（二）项目财务管理情况。</w:t>
      </w:r>
      <w:bookmarkEnd w:id="86"/>
      <w:bookmarkEnd w:id="87"/>
    </w:p>
    <w:p w14:paraId="721D5E86">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我单位有健全的财务管理制度，资金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71AC469C">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88" w:name="_Toc17414"/>
      <w:bookmarkStart w:id="89" w:name="_Toc284"/>
      <w:r>
        <w:rPr>
          <w:rFonts w:hint="eastAsia" w:ascii="Times New Roman" w:hAnsi="Times New Roman" w:eastAsia="楷体_GB2312"/>
          <w:kern w:val="2"/>
          <w:sz w:val="32"/>
          <w:szCs w:val="24"/>
        </w:rPr>
        <w:t>（三）项目组织实施情况。</w:t>
      </w:r>
      <w:bookmarkEnd w:id="88"/>
      <w:bookmarkEnd w:id="89"/>
    </w:p>
    <w:p w14:paraId="474066F9">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由我单位牵头，各村、协助开展工作。根据项目申报和经费下达情况进行方案编制。此项目资金为2022年</w:t>
      </w:r>
      <w:r>
        <w:rPr>
          <w:rFonts w:hint="eastAsia" w:ascii="仿宋_GB2312" w:hAnsi="仿宋_GB2312" w:eastAsia="仿宋_GB2312" w:cs="仿宋_GB2312"/>
          <w:sz w:val="33"/>
          <w:szCs w:val="33"/>
          <w:lang w:val="en-US" w:eastAsia="zh-CN"/>
        </w:rPr>
        <w:t>应急和安全监管补助金</w:t>
      </w:r>
      <w:r>
        <w:rPr>
          <w:rFonts w:hint="eastAsia" w:ascii="Times New Roman" w:hAnsi="Times New Roman" w:eastAsia="仿宋_GB2312"/>
          <w:kern w:val="2"/>
          <w:sz w:val="32"/>
          <w:szCs w:val="24"/>
        </w:rPr>
        <w:t>专项资金，县财政局下达预算资金，相关经办人员结合实际发生费用提供相关报账原始凭据报账，我单位进行审核，向财政局统一预算管理一体化平台申报计划，进行支付、核算。同时按照省级要求时间节点及时支付兑现。</w:t>
      </w:r>
    </w:p>
    <w:p w14:paraId="16A4DF41">
      <w:pPr>
        <w:autoSpaceDE/>
        <w:autoSpaceDN/>
        <w:adjustRightInd/>
        <w:spacing w:line="560" w:lineRule="exact"/>
        <w:ind w:firstLine="640" w:firstLineChars="200"/>
        <w:jc w:val="both"/>
        <w:outlineLvl w:val="1"/>
        <w:rPr>
          <w:rFonts w:hint="eastAsia" w:ascii="Times New Roman" w:hAnsi="Times New Roman" w:eastAsia="Times New Roman"/>
          <w:kern w:val="2"/>
          <w:sz w:val="32"/>
          <w:szCs w:val="24"/>
        </w:rPr>
      </w:pPr>
      <w:bookmarkStart w:id="90" w:name="_Toc5837"/>
      <w:bookmarkStart w:id="91" w:name="_Toc7072"/>
      <w:r>
        <w:rPr>
          <w:rFonts w:hint="eastAsia" w:ascii="Times New Roman" w:hAnsi="Times New Roman" w:eastAsia="黑体"/>
          <w:kern w:val="2"/>
          <w:sz w:val="32"/>
          <w:szCs w:val="24"/>
        </w:rPr>
        <w:t>三、项目绩效情况</w:t>
      </w:r>
      <w:bookmarkEnd w:id="90"/>
      <w:bookmarkEnd w:id="91"/>
      <w:r>
        <w:rPr>
          <w:rFonts w:hint="eastAsia" w:ascii="Times New Roman" w:hAnsi="Times New Roman" w:eastAsia="Times New Roman"/>
          <w:kern w:val="2"/>
          <w:sz w:val="32"/>
          <w:szCs w:val="24"/>
        </w:rPr>
        <w:tab/>
      </w:r>
    </w:p>
    <w:p w14:paraId="27752236">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92" w:name="_Toc26462"/>
      <w:bookmarkStart w:id="93" w:name="_Toc13011"/>
      <w:r>
        <w:rPr>
          <w:rFonts w:hint="eastAsia" w:ascii="Times New Roman" w:hAnsi="Times New Roman" w:eastAsia="楷体_GB2312"/>
          <w:kern w:val="2"/>
          <w:sz w:val="32"/>
          <w:szCs w:val="24"/>
        </w:rPr>
        <w:t>（一）项目完成情况。</w:t>
      </w:r>
      <w:bookmarkEnd w:id="92"/>
      <w:bookmarkEnd w:id="93"/>
    </w:p>
    <w:p w14:paraId="2563EA6C">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已于2022年全部使用、报账及核算。主要</w:t>
      </w:r>
      <w:r>
        <w:rPr>
          <w:rFonts w:hint="eastAsia" w:ascii="仿宋_GB2312" w:hAnsi="宋体" w:eastAsia="仿宋_GB2312" w:cs="仿宋_GB2312"/>
          <w:color w:val="000000"/>
          <w:sz w:val="31"/>
          <w:szCs w:val="31"/>
          <w:lang w:val="en-US" w:eastAsia="zh-CN" w:bidi="ar"/>
        </w:rPr>
        <w:t>全乡综治维稳、安全生产、应急管理等工作</w:t>
      </w:r>
      <w:r>
        <w:rPr>
          <w:rFonts w:hint="eastAsia" w:ascii="Times New Roman" w:hAnsi="Times New Roman" w:eastAsia="仿宋_GB2312"/>
          <w:kern w:val="2"/>
          <w:sz w:val="32"/>
          <w:szCs w:val="24"/>
        </w:rPr>
        <w:t>。</w:t>
      </w:r>
    </w:p>
    <w:p w14:paraId="0328696D">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94" w:name="_Toc1633"/>
      <w:bookmarkStart w:id="95" w:name="_Toc15984"/>
      <w:r>
        <w:rPr>
          <w:rFonts w:hint="eastAsia" w:ascii="Times New Roman" w:hAnsi="Times New Roman" w:eastAsia="楷体_GB2312"/>
          <w:kern w:val="2"/>
          <w:sz w:val="32"/>
          <w:szCs w:val="24"/>
        </w:rPr>
        <w:t>（二）项目效益情况。</w:t>
      </w:r>
      <w:bookmarkEnd w:id="94"/>
      <w:bookmarkEnd w:id="95"/>
    </w:p>
    <w:p w14:paraId="79131991">
      <w:pPr>
        <w:autoSpaceDE/>
        <w:autoSpaceDN/>
        <w:adjustRightInd/>
        <w:spacing w:line="560" w:lineRule="exact"/>
        <w:ind w:firstLine="640" w:firstLineChars="200"/>
        <w:jc w:val="both"/>
        <w:rPr>
          <w:rFonts w:hint="eastAsia" w:ascii="仿宋_GB2312" w:hAnsi="Times New Roman" w:eastAsia="仿宋_GB2312"/>
          <w:kern w:val="2"/>
          <w:sz w:val="32"/>
          <w:szCs w:val="24"/>
        </w:rPr>
      </w:pPr>
      <w:r>
        <w:rPr>
          <w:rFonts w:hint="eastAsia" w:ascii="Times New Roman" w:hAnsi="Times New Roman" w:eastAsia="仿宋_GB2312"/>
          <w:kern w:val="2"/>
          <w:sz w:val="32"/>
          <w:szCs w:val="24"/>
        </w:rPr>
        <w:t>根据财政下达的预算资金额度，严格把控资金使用，不超支；</w:t>
      </w:r>
      <w:r>
        <w:rPr>
          <w:rFonts w:hint="eastAsia" w:ascii="仿宋_GB2312" w:hAnsi="Times New Roman" w:eastAsia="仿宋_GB2312"/>
          <w:kern w:val="2"/>
          <w:sz w:val="32"/>
          <w:szCs w:val="24"/>
        </w:rPr>
        <w:t>严格按照方案要求确定金额，可量化可考核，契合政策实质，与年度工作目标相一致，能宣传贯彻党的二十大路线、方针、政策，展现盐边县近年来经济发展、民生改善、人民幸福的精神面貌，进一步提升乡（镇）、部门和企业文化发展动力，增强盐边发展的活力和魅力。</w:t>
      </w:r>
    </w:p>
    <w:p w14:paraId="1CBF3A9A">
      <w:pPr>
        <w:autoSpaceDE/>
        <w:autoSpaceDN/>
        <w:adjustRightInd/>
        <w:spacing w:line="560" w:lineRule="exact"/>
        <w:ind w:firstLine="640" w:firstLineChars="200"/>
        <w:jc w:val="both"/>
        <w:outlineLvl w:val="1"/>
        <w:rPr>
          <w:rFonts w:hint="eastAsia" w:ascii="Times New Roman" w:hAnsi="Times New Roman" w:eastAsia="Times New Roman"/>
          <w:kern w:val="2"/>
          <w:sz w:val="32"/>
          <w:szCs w:val="24"/>
        </w:rPr>
      </w:pPr>
      <w:bookmarkStart w:id="96" w:name="_Toc9692"/>
      <w:bookmarkStart w:id="97" w:name="_Toc9907"/>
      <w:r>
        <w:rPr>
          <w:rFonts w:hint="eastAsia" w:ascii="Times New Roman" w:hAnsi="Times New Roman" w:eastAsia="黑体"/>
          <w:kern w:val="2"/>
          <w:sz w:val="32"/>
          <w:szCs w:val="24"/>
        </w:rPr>
        <w:t>四、问题及建议</w:t>
      </w:r>
      <w:bookmarkEnd w:id="96"/>
      <w:bookmarkEnd w:id="97"/>
    </w:p>
    <w:p w14:paraId="3735545A">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98" w:name="_Toc5349"/>
      <w:bookmarkStart w:id="99" w:name="_Toc379"/>
      <w:r>
        <w:rPr>
          <w:rFonts w:hint="eastAsia" w:ascii="Times New Roman" w:hAnsi="Times New Roman" w:eastAsia="楷体_GB2312"/>
          <w:kern w:val="2"/>
          <w:sz w:val="32"/>
          <w:szCs w:val="24"/>
        </w:rPr>
        <w:t>（一）存在的问题。</w:t>
      </w:r>
      <w:bookmarkEnd w:id="98"/>
      <w:bookmarkEnd w:id="99"/>
    </w:p>
    <w:p w14:paraId="20515501">
      <w:pPr>
        <w:autoSpaceDE/>
        <w:autoSpaceDN/>
        <w:adjustRightInd/>
        <w:spacing w:line="560" w:lineRule="exact"/>
        <w:ind w:firstLine="640" w:firstLineChars="200"/>
        <w:jc w:val="both"/>
        <w:rPr>
          <w:rFonts w:hint="eastAsia" w:ascii="Times New Roman" w:hAnsi="Times New Roman" w:eastAsia="Times New Roman"/>
          <w:kern w:val="2"/>
          <w:sz w:val="32"/>
          <w:szCs w:val="24"/>
          <w:lang w:val="en-US" w:eastAsia="zh-CN"/>
        </w:rPr>
      </w:pPr>
      <w:r>
        <w:rPr>
          <w:rFonts w:hint="eastAsia" w:ascii="Times New Roman" w:hAnsi="Times New Roman" w:eastAsia="仿宋_GB2312"/>
          <w:kern w:val="2"/>
          <w:sz w:val="32"/>
          <w:szCs w:val="24"/>
          <w:lang w:val="en-US" w:eastAsia="zh-CN"/>
        </w:rPr>
        <w:t>无。</w:t>
      </w:r>
    </w:p>
    <w:p w14:paraId="5E0AC7E6">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00" w:name="_Toc22098"/>
      <w:bookmarkStart w:id="101" w:name="_Toc22490"/>
      <w:r>
        <w:rPr>
          <w:rFonts w:hint="eastAsia" w:ascii="Times New Roman" w:hAnsi="Times New Roman" w:eastAsia="楷体_GB2312"/>
          <w:kern w:val="2"/>
          <w:sz w:val="32"/>
          <w:szCs w:val="24"/>
        </w:rPr>
        <w:t>（二）相关建议。</w:t>
      </w:r>
      <w:bookmarkEnd w:id="100"/>
      <w:bookmarkEnd w:id="101"/>
    </w:p>
    <w:p w14:paraId="65EC3FAB">
      <w:pPr>
        <w:autoSpaceDE/>
        <w:autoSpaceDN/>
        <w:adjustRightInd/>
        <w:spacing w:line="560" w:lineRule="exact"/>
        <w:ind w:firstLine="640" w:firstLineChars="200"/>
        <w:jc w:val="both"/>
        <w:rPr>
          <w:rFonts w:hint="eastAsia" w:ascii="Times New Roman" w:hAnsi="Times New Roman" w:eastAsia="仿宋_GB2312"/>
          <w:kern w:val="2"/>
          <w:sz w:val="32"/>
          <w:szCs w:val="24"/>
          <w:lang w:val="en-US" w:eastAsia="zh-CN"/>
        </w:rPr>
      </w:pPr>
      <w:r>
        <w:rPr>
          <w:rFonts w:hint="eastAsia" w:ascii="Times New Roman" w:hAnsi="Times New Roman" w:eastAsia="仿宋_GB2312"/>
          <w:kern w:val="2"/>
          <w:sz w:val="32"/>
          <w:szCs w:val="24"/>
          <w:lang w:val="en-US" w:eastAsia="zh-CN"/>
        </w:rPr>
        <w:t>无。</w:t>
      </w:r>
    </w:p>
    <w:p w14:paraId="42EB2D96">
      <w:pPr>
        <w:autoSpaceDE/>
        <w:autoSpaceDN/>
        <w:adjustRightInd/>
        <w:spacing w:line="560" w:lineRule="exact"/>
        <w:ind w:firstLine="640" w:firstLineChars="200"/>
        <w:jc w:val="both"/>
        <w:rPr>
          <w:rFonts w:hint="eastAsia" w:ascii="Times New Roman" w:hAnsi="Times New Roman" w:eastAsia="仿宋_GB2312"/>
          <w:kern w:val="2"/>
          <w:sz w:val="32"/>
          <w:szCs w:val="24"/>
          <w:lang w:val="en-US" w:eastAsia="zh-CN"/>
        </w:rPr>
      </w:pPr>
    </w:p>
    <w:p w14:paraId="0CCDF4DA">
      <w:pPr>
        <w:autoSpaceDE/>
        <w:autoSpaceDN/>
        <w:adjustRightInd/>
        <w:spacing w:line="560" w:lineRule="exact"/>
        <w:ind w:firstLine="640" w:firstLineChars="200"/>
        <w:jc w:val="both"/>
        <w:rPr>
          <w:rFonts w:hint="eastAsia" w:ascii="Times New Roman" w:hAnsi="Times New Roman" w:eastAsia="仿宋_GB2312"/>
          <w:kern w:val="2"/>
          <w:sz w:val="32"/>
          <w:szCs w:val="24"/>
          <w:lang w:val="en-US" w:eastAsia="zh-CN"/>
        </w:rPr>
      </w:pPr>
    </w:p>
    <w:p w14:paraId="21549793">
      <w:pPr>
        <w:autoSpaceDE/>
        <w:autoSpaceDN/>
        <w:adjustRightInd/>
        <w:spacing w:line="560" w:lineRule="exact"/>
        <w:ind w:firstLine="640" w:firstLineChars="200"/>
        <w:jc w:val="both"/>
        <w:rPr>
          <w:rFonts w:hint="eastAsia" w:ascii="Times New Roman" w:hAnsi="Times New Roman" w:eastAsia="仿宋_GB2312"/>
          <w:kern w:val="2"/>
          <w:sz w:val="32"/>
          <w:szCs w:val="24"/>
          <w:lang w:val="en-US" w:eastAsia="zh-CN"/>
        </w:rPr>
      </w:pPr>
    </w:p>
    <w:p w14:paraId="5E3AF5A6">
      <w:pPr>
        <w:autoSpaceDE/>
        <w:autoSpaceDN/>
        <w:adjustRightInd/>
        <w:spacing w:line="560" w:lineRule="exact"/>
        <w:ind w:firstLine="640" w:firstLineChars="200"/>
        <w:jc w:val="both"/>
        <w:rPr>
          <w:rFonts w:hint="eastAsia" w:ascii="Times New Roman" w:hAnsi="Times New Roman" w:eastAsia="仿宋_GB2312"/>
          <w:kern w:val="2"/>
          <w:sz w:val="32"/>
          <w:szCs w:val="24"/>
          <w:lang w:val="en-US" w:eastAsia="zh-CN"/>
        </w:rPr>
      </w:pPr>
    </w:p>
    <w:p w14:paraId="26379CD3">
      <w:pPr>
        <w:autoSpaceDE/>
        <w:autoSpaceDN/>
        <w:adjustRightInd/>
        <w:spacing w:line="640" w:lineRule="exact"/>
        <w:jc w:val="center"/>
        <w:rPr>
          <w:rFonts w:hint="eastAsia" w:ascii="Times New Roman" w:hAnsi="Times New Roman" w:eastAsia="Times New Roman"/>
          <w:kern w:val="2"/>
          <w:sz w:val="44"/>
          <w:szCs w:val="24"/>
        </w:rPr>
      </w:pPr>
      <w:r>
        <w:rPr>
          <w:rFonts w:hint="eastAsia" w:ascii="方正小标宋简体" w:hAnsi="方正小标宋简体" w:eastAsia="方正小标宋简体" w:cs="Times New Roman"/>
          <w:color w:val="auto"/>
          <w:kern w:val="2"/>
          <w:sz w:val="32"/>
          <w:szCs w:val="24"/>
          <w:lang w:val="en-US" w:eastAsia="zh-CN"/>
        </w:rPr>
        <w:t xml:space="preserve"> 根据盐财资行〔2022〕301号关于下达2022年民族地区春节慰问金的专项预算项目支出绩效自评报告</w:t>
      </w:r>
    </w:p>
    <w:p w14:paraId="2D1E2C36">
      <w:pPr>
        <w:autoSpaceDE/>
        <w:autoSpaceDN/>
        <w:adjustRightInd/>
        <w:spacing w:line="640" w:lineRule="exact"/>
        <w:jc w:val="center"/>
        <w:outlineLvl w:val="1"/>
        <w:rPr>
          <w:rFonts w:hint="eastAsia" w:ascii="Times New Roman" w:hAnsi="Times New Roman" w:eastAsia="楷体_GB2312"/>
          <w:b/>
          <w:kern w:val="2"/>
          <w:sz w:val="32"/>
          <w:szCs w:val="24"/>
          <w:lang w:val="en-US" w:eastAsia="zh-CN"/>
        </w:rPr>
      </w:pPr>
      <w:bookmarkStart w:id="102" w:name="_Toc4808"/>
      <w:bookmarkStart w:id="103" w:name="_Toc11038"/>
      <w:r>
        <w:rPr>
          <w:rFonts w:hint="eastAsia" w:ascii="Times New Roman" w:hAnsi="Times New Roman" w:eastAsia="楷体_GB2312"/>
          <w:b/>
          <w:kern w:val="2"/>
          <w:sz w:val="32"/>
          <w:szCs w:val="24"/>
        </w:rPr>
        <w:t>（项目单位自评）</w:t>
      </w:r>
      <w:bookmarkEnd w:id="102"/>
      <w:bookmarkEnd w:id="103"/>
      <w:r>
        <w:rPr>
          <w:rFonts w:hint="eastAsia" w:ascii="Times New Roman" w:hAnsi="Times New Roman" w:eastAsia="楷体_GB2312"/>
          <w:b/>
          <w:kern w:val="2"/>
          <w:sz w:val="32"/>
          <w:szCs w:val="24"/>
          <w:lang w:val="en-US" w:eastAsia="zh-CN"/>
        </w:rPr>
        <w:t xml:space="preserve"> </w:t>
      </w:r>
    </w:p>
    <w:p w14:paraId="526BF721">
      <w:pPr>
        <w:spacing w:line="560" w:lineRule="exact"/>
        <w:ind w:firstLine="640"/>
        <w:jc w:val="center"/>
        <w:rPr>
          <w:rFonts w:hint="eastAsia" w:ascii="Times New Roman" w:hAnsi="Times New Roman" w:eastAsia="Times New Roman" w:cs="Times New Roman"/>
          <w:color w:val="auto"/>
          <w:kern w:val="2"/>
          <w:sz w:val="32"/>
          <w:szCs w:val="32"/>
          <w:lang w:val="zh-CN" w:eastAsia="zh-CN" w:bidi="ar-SA"/>
        </w:rPr>
      </w:pPr>
    </w:p>
    <w:p w14:paraId="7E9DD8E1">
      <w:pPr>
        <w:autoSpaceDE/>
        <w:autoSpaceDN/>
        <w:adjustRightInd/>
        <w:spacing w:line="560" w:lineRule="exact"/>
        <w:ind w:firstLine="640" w:firstLineChars="200"/>
        <w:jc w:val="both"/>
        <w:outlineLvl w:val="1"/>
        <w:rPr>
          <w:rFonts w:hint="eastAsia" w:ascii="Times New Roman" w:hAnsi="Times New Roman" w:eastAsia="Times New Roman"/>
          <w:kern w:val="2"/>
          <w:sz w:val="32"/>
          <w:szCs w:val="24"/>
        </w:rPr>
      </w:pPr>
      <w:bookmarkStart w:id="104" w:name="_Toc21360"/>
      <w:bookmarkStart w:id="105" w:name="_Toc4429"/>
      <w:r>
        <w:rPr>
          <w:rFonts w:hint="eastAsia" w:ascii="Times New Roman" w:hAnsi="Times New Roman" w:eastAsia="黑体"/>
          <w:kern w:val="2"/>
          <w:sz w:val="32"/>
          <w:szCs w:val="24"/>
        </w:rPr>
        <w:t>一、项目概况</w:t>
      </w:r>
      <w:bookmarkEnd w:id="104"/>
      <w:bookmarkEnd w:id="105"/>
    </w:p>
    <w:p w14:paraId="3C835AB7">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06" w:name="_Toc2949"/>
      <w:bookmarkStart w:id="107" w:name="_Toc20620"/>
      <w:r>
        <w:rPr>
          <w:rFonts w:hint="eastAsia" w:ascii="Times New Roman" w:hAnsi="Times New Roman" w:eastAsia="楷体_GB2312"/>
          <w:kern w:val="2"/>
          <w:sz w:val="32"/>
          <w:szCs w:val="24"/>
        </w:rPr>
        <w:t>（一）项目资金申报及批复情况。</w:t>
      </w:r>
      <w:bookmarkEnd w:id="106"/>
      <w:bookmarkEnd w:id="107"/>
    </w:p>
    <w:p w14:paraId="6994EB33">
      <w:pPr>
        <w:autoSpaceDE/>
        <w:autoSpaceDN/>
        <w:adjustRightInd/>
        <w:spacing w:line="560" w:lineRule="exact"/>
        <w:ind w:firstLine="825" w:firstLineChars="250"/>
        <w:jc w:val="both"/>
        <w:rPr>
          <w:rFonts w:hint="eastAsia" w:ascii="Times New Roman" w:hAnsi="Times New Roman" w:eastAsia="Times New Roman"/>
          <w:kern w:val="2"/>
          <w:sz w:val="32"/>
          <w:szCs w:val="24"/>
          <w:lang w:val="en-US" w:eastAsia="zh-CN"/>
        </w:rPr>
      </w:pPr>
      <w:r>
        <w:rPr>
          <w:rFonts w:hint="eastAsia" w:ascii="方正仿宋_GBK" w:hAnsi="宋体" w:eastAsia="方正仿宋_GBK" w:cs="Times New Roman"/>
          <w:sz w:val="33"/>
          <w:szCs w:val="33"/>
        </w:rPr>
        <w:t>根据</w:t>
      </w:r>
      <w:r>
        <w:rPr>
          <w:rFonts w:hint="eastAsia" w:ascii="方正仿宋_GBK" w:hAnsi="宋体" w:eastAsia="方正仿宋_GBK" w:cs="Times New Roman"/>
          <w:sz w:val="33"/>
          <w:szCs w:val="33"/>
          <w:lang w:eastAsia="zh-CN"/>
        </w:rPr>
        <w:t>盐财资行</w:t>
      </w:r>
      <w:r>
        <w:rPr>
          <w:rFonts w:hint="eastAsia" w:ascii="方正仿宋_GBK" w:hAnsi="宋体" w:eastAsia="方正仿宋_GBK" w:cs="Times New Roman"/>
          <w:sz w:val="33"/>
          <w:szCs w:val="33"/>
        </w:rPr>
        <w:t>〔202</w:t>
      </w:r>
      <w:r>
        <w:rPr>
          <w:rFonts w:hint="eastAsia" w:ascii="方正仿宋_GBK" w:hAnsi="宋体" w:eastAsia="方正仿宋_GBK" w:cs="Times New Roman"/>
          <w:sz w:val="33"/>
          <w:szCs w:val="33"/>
          <w:lang w:val="en-US" w:eastAsia="zh-CN"/>
        </w:rPr>
        <w:t>2</w:t>
      </w:r>
      <w:r>
        <w:rPr>
          <w:rFonts w:hint="eastAsia" w:ascii="方正仿宋_GBK" w:hAnsi="宋体" w:eastAsia="方正仿宋_GBK" w:cs="Times New Roman"/>
          <w:sz w:val="33"/>
          <w:szCs w:val="33"/>
        </w:rPr>
        <w:t>〕</w:t>
      </w:r>
      <w:r>
        <w:rPr>
          <w:rFonts w:hint="eastAsia" w:ascii="方正仿宋_GBK" w:hAnsi="宋体" w:eastAsia="方正仿宋_GBK" w:cs="Times New Roman"/>
          <w:sz w:val="33"/>
          <w:szCs w:val="33"/>
          <w:lang w:val="en-US" w:eastAsia="zh-CN"/>
        </w:rPr>
        <w:t>301</w:t>
      </w:r>
      <w:r>
        <w:rPr>
          <w:rFonts w:hint="eastAsia" w:ascii="方正仿宋_GBK" w:hAnsi="宋体" w:eastAsia="方正仿宋_GBK" w:cs="Times New Roman"/>
          <w:sz w:val="33"/>
          <w:szCs w:val="33"/>
        </w:rPr>
        <w:t>号下达给2022年民族地区春节慰问</w:t>
      </w:r>
      <w:r>
        <w:rPr>
          <w:rFonts w:hint="eastAsia" w:ascii="方正仿宋_GBK" w:hAnsi="宋体" w:eastAsia="方正仿宋_GBK" w:cs="Times New Roman"/>
          <w:sz w:val="33"/>
          <w:szCs w:val="33"/>
          <w:lang w:eastAsia="zh-CN"/>
        </w:rPr>
        <w:t>金</w:t>
      </w:r>
      <w:r>
        <w:rPr>
          <w:rFonts w:hint="eastAsia" w:ascii="方正仿宋_GBK" w:hAnsi="宋体" w:eastAsia="方正仿宋_GBK" w:cs="Times New Roman"/>
          <w:sz w:val="33"/>
          <w:szCs w:val="33"/>
        </w:rPr>
        <w:t>1.6万元</w:t>
      </w:r>
      <w:r>
        <w:rPr>
          <w:rFonts w:hint="eastAsia" w:ascii="方正仿宋_GBK" w:hAnsi="宋体" w:eastAsia="方正仿宋_GBK" w:cs="Times New Roman"/>
          <w:sz w:val="33"/>
          <w:szCs w:val="33"/>
          <w:lang w:val="en-US" w:eastAsia="zh-CN"/>
        </w:rPr>
        <w:t>。</w:t>
      </w:r>
    </w:p>
    <w:p w14:paraId="5E1E9F06">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08" w:name="_Toc30834"/>
      <w:bookmarkStart w:id="109" w:name="_Toc28788"/>
      <w:r>
        <w:rPr>
          <w:rFonts w:hint="eastAsia" w:ascii="Times New Roman" w:hAnsi="Times New Roman" w:eastAsia="楷体_GB2312"/>
          <w:kern w:val="2"/>
          <w:sz w:val="32"/>
          <w:szCs w:val="24"/>
        </w:rPr>
        <w:t>（二）项目绩效目标。</w:t>
      </w:r>
      <w:bookmarkEnd w:id="108"/>
      <w:bookmarkEnd w:id="109"/>
    </w:p>
    <w:p w14:paraId="1A5DCD6A">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1.主要内容</w:t>
      </w:r>
    </w:p>
    <w:p w14:paraId="3964FEB6">
      <w:pPr>
        <w:autoSpaceDE/>
        <w:autoSpaceDN/>
        <w:adjustRightInd/>
        <w:spacing w:line="560" w:lineRule="exact"/>
        <w:ind w:firstLine="660" w:firstLineChars="200"/>
        <w:jc w:val="both"/>
        <w:rPr>
          <w:rFonts w:hint="eastAsia" w:ascii="Times New Roman" w:hAnsi="Times New Roman" w:eastAsia="Times New Roman"/>
          <w:kern w:val="2"/>
          <w:sz w:val="32"/>
          <w:szCs w:val="24"/>
        </w:rPr>
      </w:pPr>
      <w:r>
        <w:rPr>
          <w:rFonts w:hint="eastAsia" w:ascii="方正仿宋_GBK" w:hAnsi="宋体" w:eastAsia="方正仿宋_GBK"/>
          <w:sz w:val="33"/>
          <w:szCs w:val="24"/>
        </w:rPr>
        <w:t>按照省委省政府开展民族地区春节慰问活动的要求,</w:t>
      </w:r>
      <w:r>
        <w:rPr>
          <w:rFonts w:hint="eastAsia" w:ascii="方正仿宋_GBK" w:hAnsi="Times New Roman" w:eastAsia="方正仿宋_GBK"/>
          <w:sz w:val="33"/>
          <w:szCs w:val="24"/>
        </w:rPr>
        <w:t xml:space="preserve"> </w:t>
      </w:r>
      <w:r>
        <w:rPr>
          <w:rFonts w:hint="eastAsia" w:ascii="方正仿宋_GBK" w:hAnsi="宋体" w:eastAsia="方正仿宋_GBK"/>
          <w:sz w:val="33"/>
          <w:szCs w:val="24"/>
        </w:rPr>
        <w:t>2022年民族地区春节慰问活动慰问金共和乡1.6万元。完成我乡80户少数民族困难群众、受灾群众、困难职工代表等的慰问，紧扣“中华民族一家亲，同心共筑中国梦”总目标，适应新时代发展历史方位，以各族群众为主体，以铸牢中华民族共同体意识为主线，全力营造中华民族一家亲的社会氛围。</w:t>
      </w:r>
    </w:p>
    <w:p w14:paraId="2FEF5D1C">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2.计划实现的具体绩效目标</w:t>
      </w:r>
    </w:p>
    <w:p w14:paraId="307947CA">
      <w:pPr>
        <w:autoSpaceDE/>
        <w:autoSpaceDN/>
        <w:adjustRightInd/>
        <w:spacing w:line="560" w:lineRule="exact"/>
        <w:ind w:firstLine="660" w:firstLineChars="200"/>
        <w:jc w:val="both"/>
        <w:rPr>
          <w:rFonts w:hint="eastAsia" w:ascii="Times New Roman" w:hAnsi="Times New Roman" w:eastAsia="Times New Roman"/>
          <w:kern w:val="2"/>
          <w:sz w:val="32"/>
          <w:szCs w:val="24"/>
        </w:rPr>
      </w:pPr>
      <w:r>
        <w:rPr>
          <w:rFonts w:hint="eastAsia" w:ascii="方正仿宋_GBK" w:hAnsi="宋体" w:eastAsia="方正仿宋_GBK"/>
          <w:sz w:val="33"/>
          <w:szCs w:val="24"/>
        </w:rPr>
        <w:t>完成我乡80户少数民族困难群众、受灾群众、困难职工代表等的慰问。</w:t>
      </w:r>
    </w:p>
    <w:p w14:paraId="29EC54A4">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10" w:name="_Toc24254"/>
      <w:bookmarkStart w:id="111" w:name="_Toc26644"/>
      <w:r>
        <w:rPr>
          <w:rFonts w:hint="eastAsia" w:ascii="Times New Roman" w:hAnsi="Times New Roman" w:eastAsia="楷体_GB2312"/>
          <w:kern w:val="2"/>
          <w:sz w:val="32"/>
          <w:szCs w:val="24"/>
        </w:rPr>
        <w:t>（三）项目资金申报相符性。</w:t>
      </w:r>
      <w:bookmarkEnd w:id="110"/>
      <w:bookmarkEnd w:id="111"/>
    </w:p>
    <w:p w14:paraId="76A4CB6B">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该资金由县财政局下达预算到</w:t>
      </w:r>
      <w:r>
        <w:rPr>
          <w:rFonts w:hint="eastAsia" w:ascii="Times New Roman" w:hAnsi="Times New Roman" w:eastAsia="仿宋_GB2312"/>
          <w:kern w:val="2"/>
          <w:sz w:val="32"/>
          <w:szCs w:val="24"/>
          <w:lang w:eastAsia="zh-CN"/>
        </w:rPr>
        <w:t>共和乡</w:t>
      </w:r>
      <w:r>
        <w:rPr>
          <w:rFonts w:hint="eastAsia" w:ascii="Times New Roman" w:hAnsi="Times New Roman" w:eastAsia="仿宋_GB2312"/>
          <w:kern w:val="2"/>
          <w:sz w:val="32"/>
          <w:szCs w:val="24"/>
        </w:rPr>
        <w:t>人民政府进行核算与实际相符、申报目标合理可行。</w:t>
      </w:r>
    </w:p>
    <w:p w14:paraId="5AA6417F">
      <w:pPr>
        <w:autoSpaceDE/>
        <w:autoSpaceDN/>
        <w:adjustRightInd/>
        <w:spacing w:line="560" w:lineRule="exact"/>
        <w:ind w:firstLine="640" w:firstLineChars="200"/>
        <w:jc w:val="both"/>
        <w:outlineLvl w:val="1"/>
        <w:rPr>
          <w:rFonts w:hint="eastAsia" w:ascii="Times New Roman" w:hAnsi="Times New Roman" w:eastAsia="Times New Roman"/>
          <w:kern w:val="2"/>
          <w:sz w:val="32"/>
          <w:szCs w:val="24"/>
        </w:rPr>
      </w:pPr>
      <w:bookmarkStart w:id="112" w:name="_Toc7886"/>
      <w:bookmarkStart w:id="113" w:name="_Toc27229"/>
      <w:r>
        <w:rPr>
          <w:rFonts w:hint="eastAsia" w:ascii="Times New Roman" w:hAnsi="Times New Roman" w:eastAsia="黑体"/>
          <w:kern w:val="2"/>
          <w:sz w:val="32"/>
          <w:szCs w:val="24"/>
        </w:rPr>
        <w:t>二、项目实施及管理情况</w:t>
      </w:r>
      <w:bookmarkEnd w:id="112"/>
      <w:bookmarkEnd w:id="113"/>
    </w:p>
    <w:p w14:paraId="74B3AFEF">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14" w:name="_Toc7921"/>
      <w:bookmarkStart w:id="115" w:name="_Toc21169"/>
      <w:r>
        <w:rPr>
          <w:rFonts w:hint="eastAsia" w:ascii="Times New Roman" w:hAnsi="Times New Roman" w:eastAsia="楷体_GB2312"/>
          <w:kern w:val="2"/>
          <w:sz w:val="32"/>
          <w:szCs w:val="24"/>
        </w:rPr>
        <w:t>（一）资金计划、到位及使用情况。</w:t>
      </w:r>
      <w:bookmarkEnd w:id="114"/>
      <w:bookmarkEnd w:id="115"/>
    </w:p>
    <w:p w14:paraId="225E1735">
      <w:pPr>
        <w:autoSpaceDE/>
        <w:autoSpaceDN/>
        <w:adjustRightInd/>
        <w:spacing w:line="560" w:lineRule="exact"/>
        <w:ind w:firstLine="640" w:firstLineChars="200"/>
        <w:jc w:val="both"/>
        <w:rPr>
          <w:rFonts w:hint="eastAsia" w:ascii="Times New Roman" w:hAnsi="Times New Roman" w:eastAsia="Times New Roman"/>
          <w:b/>
          <w:kern w:val="2"/>
          <w:sz w:val="32"/>
          <w:szCs w:val="24"/>
        </w:rPr>
      </w:pPr>
      <w:r>
        <w:rPr>
          <w:rFonts w:hint="eastAsia" w:ascii="Times New Roman" w:hAnsi="Times New Roman" w:eastAsia="Times New Roman"/>
          <w:b/>
          <w:kern w:val="2"/>
          <w:sz w:val="32"/>
          <w:szCs w:val="24"/>
        </w:rPr>
        <w:t>1.</w:t>
      </w:r>
      <w:r>
        <w:rPr>
          <w:rFonts w:hint="eastAsia" w:ascii="Times New Roman" w:hAnsi="Times New Roman" w:eastAsia="仿宋_GB2312"/>
          <w:b/>
          <w:kern w:val="2"/>
          <w:sz w:val="32"/>
          <w:szCs w:val="24"/>
        </w:rPr>
        <w:t>资金计划及到位。</w:t>
      </w:r>
    </w:p>
    <w:p w14:paraId="7B73DF1D">
      <w:pPr>
        <w:autoSpaceDE/>
        <w:autoSpaceDN/>
        <w:adjustRightInd/>
        <w:spacing w:line="560" w:lineRule="exact"/>
        <w:ind w:firstLine="640" w:firstLineChars="200"/>
        <w:jc w:val="both"/>
        <w:rPr>
          <w:rFonts w:hint="eastAsia" w:ascii="仿宋_GB2312" w:hAnsi="Times New Roman" w:eastAsia="仿宋_GB2312"/>
          <w:kern w:val="2"/>
          <w:sz w:val="32"/>
          <w:szCs w:val="24"/>
        </w:rPr>
      </w:pPr>
      <w:r>
        <w:rPr>
          <w:rFonts w:hint="eastAsia" w:ascii="Times New Roman" w:hAnsi="Times New Roman" w:eastAsia="Times New Roman"/>
          <w:kern w:val="2"/>
          <w:sz w:val="32"/>
          <w:szCs w:val="24"/>
        </w:rPr>
        <w:t>202</w:t>
      </w:r>
      <w:r>
        <w:rPr>
          <w:rFonts w:hint="eastAsia" w:ascii="Times New Roman" w:hAnsi="Times New Roman" w:eastAsia="仿宋_GB2312"/>
          <w:kern w:val="2"/>
          <w:sz w:val="32"/>
          <w:szCs w:val="24"/>
        </w:rPr>
        <w:t>2</w:t>
      </w:r>
      <w:r>
        <w:rPr>
          <w:rFonts w:hint="eastAsia" w:ascii="仿宋_GB2312" w:hAnsi="Times New Roman" w:eastAsia="仿宋_GB2312"/>
          <w:kern w:val="2"/>
          <w:sz w:val="32"/>
          <w:szCs w:val="24"/>
        </w:rPr>
        <w:t>年预算下达</w:t>
      </w:r>
      <w:r>
        <w:rPr>
          <w:rFonts w:hint="eastAsia" w:ascii="仿宋_GB2312" w:hAnsi="Times New Roman" w:eastAsia="仿宋_GB2312"/>
          <w:kern w:val="2"/>
          <w:sz w:val="32"/>
          <w:szCs w:val="24"/>
          <w:lang w:val="en-US" w:eastAsia="zh-CN"/>
        </w:rPr>
        <w:t>1.6</w:t>
      </w:r>
      <w:r>
        <w:rPr>
          <w:rFonts w:hint="eastAsia" w:ascii="Times New Roman" w:hAnsi="Times New Roman" w:eastAsia="仿宋_GB2312"/>
          <w:kern w:val="2"/>
          <w:sz w:val="32"/>
          <w:szCs w:val="24"/>
        </w:rPr>
        <w:t>万</w:t>
      </w:r>
      <w:r>
        <w:rPr>
          <w:rFonts w:hint="eastAsia" w:ascii="仿宋_GB2312" w:hAnsi="Times New Roman" w:eastAsia="仿宋_GB2312"/>
          <w:kern w:val="2"/>
          <w:sz w:val="32"/>
          <w:szCs w:val="24"/>
        </w:rPr>
        <w:t>元。</w:t>
      </w:r>
      <w:r>
        <w:rPr>
          <w:rFonts w:hint="eastAsia" w:ascii="Times New Roman" w:hAnsi="Times New Roman" w:eastAsia="仿宋_GB2312"/>
          <w:kern w:val="2"/>
          <w:sz w:val="32"/>
          <w:szCs w:val="24"/>
        </w:rPr>
        <w:t>该资金2022年当年全部到位，当年全部使用完毕。</w:t>
      </w:r>
    </w:p>
    <w:p w14:paraId="633DB83B">
      <w:pPr>
        <w:autoSpaceDE/>
        <w:autoSpaceDN/>
        <w:adjustRightInd/>
        <w:spacing w:line="560" w:lineRule="exact"/>
        <w:ind w:firstLine="640" w:firstLineChars="200"/>
        <w:jc w:val="both"/>
        <w:rPr>
          <w:rFonts w:hint="eastAsia" w:ascii="Times New Roman" w:hAnsi="Times New Roman" w:eastAsia="Times New Roman"/>
          <w:b/>
          <w:kern w:val="2"/>
          <w:sz w:val="32"/>
          <w:szCs w:val="24"/>
        </w:rPr>
      </w:pPr>
      <w:r>
        <w:rPr>
          <w:rFonts w:hint="eastAsia" w:ascii="Times New Roman" w:hAnsi="Times New Roman" w:eastAsia="Times New Roman"/>
          <w:b/>
          <w:kern w:val="2"/>
          <w:sz w:val="32"/>
          <w:szCs w:val="24"/>
        </w:rPr>
        <w:t>2.</w:t>
      </w:r>
      <w:r>
        <w:rPr>
          <w:rFonts w:hint="eastAsia" w:ascii="Times New Roman" w:hAnsi="Times New Roman" w:eastAsia="仿宋_GB2312"/>
          <w:b/>
          <w:kern w:val="2"/>
          <w:sz w:val="32"/>
          <w:szCs w:val="24"/>
        </w:rPr>
        <w:t>资金使用。</w:t>
      </w:r>
    </w:p>
    <w:p w14:paraId="3F773789">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该资金截至评价时点，支付范围、支付标准、支付进度、支付依据等合规合法、与预算相符。我单位及时报账，按财政局要求专款专用，已全部报账使用。</w:t>
      </w:r>
    </w:p>
    <w:p w14:paraId="33564909">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16" w:name="_Toc3096"/>
      <w:bookmarkStart w:id="117" w:name="_Toc20993"/>
      <w:r>
        <w:rPr>
          <w:rFonts w:hint="eastAsia" w:ascii="Times New Roman" w:hAnsi="Times New Roman" w:eastAsia="楷体_GB2312"/>
          <w:kern w:val="2"/>
          <w:sz w:val="32"/>
          <w:szCs w:val="24"/>
        </w:rPr>
        <w:t>（二）项目财务管理情况。</w:t>
      </w:r>
      <w:bookmarkEnd w:id="116"/>
      <w:bookmarkEnd w:id="117"/>
    </w:p>
    <w:p w14:paraId="15079B68">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我单位有健全的财务管理制度，资金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25DC69F8">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18" w:name="_Toc277"/>
      <w:bookmarkStart w:id="119" w:name="_Toc2284"/>
      <w:r>
        <w:rPr>
          <w:rFonts w:hint="eastAsia" w:ascii="Times New Roman" w:hAnsi="Times New Roman" w:eastAsia="楷体_GB2312"/>
          <w:kern w:val="2"/>
          <w:sz w:val="32"/>
          <w:szCs w:val="24"/>
        </w:rPr>
        <w:t>（三）项目组织实施情况。</w:t>
      </w:r>
      <w:bookmarkEnd w:id="118"/>
      <w:bookmarkEnd w:id="119"/>
    </w:p>
    <w:p w14:paraId="18C8C231">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由我单位牵头，各村协助开展工作。根据项目申报和经费下达情况进行方案编制。此项目资金为</w:t>
      </w:r>
      <w:r>
        <w:rPr>
          <w:rFonts w:hint="eastAsia" w:ascii="Times New Roman" w:hAnsi="Times New Roman" w:eastAsia="仿宋_GB2312" w:cs="Times New Roman"/>
          <w:kern w:val="2"/>
          <w:sz w:val="32"/>
          <w:szCs w:val="32"/>
        </w:rPr>
        <w:t>下达给2022年民族地区春节慰问</w:t>
      </w:r>
      <w:r>
        <w:rPr>
          <w:rFonts w:hint="eastAsia" w:ascii="Times New Roman" w:hAnsi="Times New Roman" w:eastAsia="仿宋_GB2312" w:cs="Times New Roman"/>
          <w:kern w:val="2"/>
          <w:sz w:val="32"/>
          <w:szCs w:val="32"/>
          <w:lang w:eastAsia="zh-CN"/>
        </w:rPr>
        <w:t>金</w:t>
      </w:r>
      <w:r>
        <w:rPr>
          <w:rFonts w:hint="eastAsia" w:ascii="方正仿宋_GBK" w:hAnsi="宋体" w:eastAsia="方正仿宋_GBK" w:cs="Times New Roman"/>
          <w:sz w:val="33"/>
          <w:szCs w:val="33"/>
          <w:lang w:val="en-US" w:eastAsia="zh-CN"/>
        </w:rPr>
        <w:t>。</w:t>
      </w:r>
      <w:r>
        <w:rPr>
          <w:rFonts w:hint="eastAsia" w:ascii="Times New Roman" w:hAnsi="Times New Roman" w:eastAsia="仿宋_GB2312"/>
          <w:kern w:val="2"/>
          <w:sz w:val="32"/>
          <w:szCs w:val="24"/>
        </w:rPr>
        <w:t>，县财政局下达预算资金，相关经办人员结合实际发生费用提供相关报账原始凭据报账，我单位进行审核，向财政局统一预算管理一体化平台申报计划，进行支付、核算。同时按照省级要求时间节点及时支付兑现。</w:t>
      </w:r>
    </w:p>
    <w:p w14:paraId="42BFD169">
      <w:pPr>
        <w:autoSpaceDE/>
        <w:autoSpaceDN/>
        <w:adjustRightInd/>
        <w:spacing w:line="560" w:lineRule="exact"/>
        <w:ind w:firstLine="640" w:firstLineChars="200"/>
        <w:jc w:val="both"/>
        <w:outlineLvl w:val="1"/>
        <w:rPr>
          <w:rFonts w:hint="eastAsia" w:ascii="Times New Roman" w:hAnsi="Times New Roman" w:eastAsia="Times New Roman"/>
          <w:kern w:val="2"/>
          <w:sz w:val="32"/>
          <w:szCs w:val="24"/>
        </w:rPr>
      </w:pPr>
      <w:bookmarkStart w:id="120" w:name="_Toc22213"/>
      <w:bookmarkStart w:id="121" w:name="_Toc13050"/>
      <w:r>
        <w:rPr>
          <w:rFonts w:hint="eastAsia" w:ascii="Times New Roman" w:hAnsi="Times New Roman" w:eastAsia="黑体"/>
          <w:kern w:val="2"/>
          <w:sz w:val="32"/>
          <w:szCs w:val="24"/>
        </w:rPr>
        <w:t>三、项目绩效情况</w:t>
      </w:r>
      <w:bookmarkEnd w:id="120"/>
      <w:bookmarkEnd w:id="121"/>
      <w:r>
        <w:rPr>
          <w:rFonts w:hint="eastAsia" w:ascii="Times New Roman" w:hAnsi="Times New Roman" w:eastAsia="Times New Roman"/>
          <w:kern w:val="2"/>
          <w:sz w:val="32"/>
          <w:szCs w:val="24"/>
        </w:rPr>
        <w:tab/>
      </w:r>
    </w:p>
    <w:p w14:paraId="10250923">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22" w:name="_Toc22555"/>
      <w:bookmarkStart w:id="123" w:name="_Toc8684"/>
      <w:r>
        <w:rPr>
          <w:rFonts w:hint="eastAsia" w:ascii="Times New Roman" w:hAnsi="Times New Roman" w:eastAsia="楷体_GB2312"/>
          <w:kern w:val="2"/>
          <w:sz w:val="32"/>
          <w:szCs w:val="24"/>
        </w:rPr>
        <w:t>（一）项目完成情况。</w:t>
      </w:r>
      <w:bookmarkEnd w:id="122"/>
      <w:bookmarkEnd w:id="123"/>
    </w:p>
    <w:p w14:paraId="07BF019A">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已于2022年全部使用、报账及核算。主要用于</w:t>
      </w:r>
      <w:r>
        <w:rPr>
          <w:rFonts w:hint="eastAsia" w:ascii="Times New Roman" w:hAnsi="Times New Roman" w:eastAsia="仿宋_GB2312" w:cs="Times New Roman"/>
          <w:kern w:val="2"/>
          <w:sz w:val="32"/>
          <w:szCs w:val="32"/>
        </w:rPr>
        <w:t>我乡80户少数民族困难群众、受灾群众、困难职工代表等的慰问</w:t>
      </w:r>
      <w:r>
        <w:rPr>
          <w:rFonts w:hint="eastAsia" w:ascii="Times New Roman" w:hAnsi="Times New Roman" w:eastAsia="仿宋_GB2312"/>
          <w:kern w:val="2"/>
          <w:sz w:val="32"/>
          <w:szCs w:val="24"/>
        </w:rPr>
        <w:t>。</w:t>
      </w:r>
    </w:p>
    <w:p w14:paraId="05ED944E">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24" w:name="_Toc4027"/>
      <w:bookmarkStart w:id="125" w:name="_Toc23890"/>
      <w:r>
        <w:rPr>
          <w:rFonts w:hint="eastAsia" w:ascii="Times New Roman" w:hAnsi="Times New Roman" w:eastAsia="楷体_GB2312"/>
          <w:kern w:val="2"/>
          <w:sz w:val="32"/>
          <w:szCs w:val="24"/>
        </w:rPr>
        <w:t>（二）项目效益情况。</w:t>
      </w:r>
      <w:bookmarkEnd w:id="124"/>
      <w:bookmarkEnd w:id="125"/>
    </w:p>
    <w:p w14:paraId="75E0777A">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从项目经济、社会、生态、可持续效益以及服务对象满意度等方面对项目效益进行全面分析评价。</w:t>
      </w:r>
    </w:p>
    <w:p w14:paraId="3787B1CF">
      <w:pPr>
        <w:autoSpaceDE/>
        <w:autoSpaceDN/>
        <w:adjustRightInd/>
        <w:spacing w:line="560" w:lineRule="exact"/>
        <w:ind w:firstLine="640" w:firstLineChars="200"/>
        <w:jc w:val="both"/>
        <w:rPr>
          <w:rFonts w:hint="eastAsia" w:ascii="仿宋_GB2312" w:hAnsi="Times New Roman" w:eastAsia="仿宋_GB2312" w:cs="Times New Roman"/>
          <w:kern w:val="2"/>
          <w:sz w:val="32"/>
          <w:szCs w:val="32"/>
        </w:rPr>
      </w:pPr>
      <w:r>
        <w:rPr>
          <w:rFonts w:hint="eastAsia" w:ascii="Times New Roman" w:hAnsi="Times New Roman" w:eastAsia="仿宋_GB2312"/>
          <w:kern w:val="2"/>
          <w:sz w:val="32"/>
          <w:szCs w:val="24"/>
        </w:rPr>
        <w:t>根据财政下达的预算资金额度，严格把控资金使用，不超支；</w:t>
      </w:r>
      <w:r>
        <w:rPr>
          <w:rFonts w:hint="eastAsia" w:ascii="仿宋_GB2312" w:hAnsi="Times New Roman" w:eastAsia="仿宋_GB2312"/>
          <w:kern w:val="2"/>
          <w:sz w:val="32"/>
          <w:szCs w:val="24"/>
        </w:rPr>
        <w:t>严格按照方案要求确定金额，可量化可考核，契合政策实质，与年度工作目标相一致，</w:t>
      </w:r>
      <w:r>
        <w:rPr>
          <w:rFonts w:hint="eastAsia" w:ascii="Times New Roman" w:hAnsi="Times New Roman" w:eastAsia="仿宋_GB2312" w:cs="Times New Roman"/>
          <w:kern w:val="2"/>
          <w:sz w:val="32"/>
          <w:szCs w:val="32"/>
        </w:rPr>
        <w:t>严格按照《关于开展2022年民族地区春节慰问活动的通知》（盐边民宗〔2022〕1 号）</w:t>
      </w:r>
      <w:r>
        <w:rPr>
          <w:rFonts w:hint="eastAsia" w:ascii="仿宋_GB2312" w:hAnsi="Times New Roman" w:eastAsia="仿宋_GB2312" w:cs="Times New Roman"/>
          <w:kern w:val="2"/>
          <w:sz w:val="32"/>
          <w:szCs w:val="32"/>
        </w:rPr>
        <w:t>，专款专用。</w:t>
      </w:r>
    </w:p>
    <w:p w14:paraId="65E730B6">
      <w:pPr>
        <w:autoSpaceDE/>
        <w:autoSpaceDN/>
        <w:adjustRightInd/>
        <w:spacing w:line="560" w:lineRule="exact"/>
        <w:ind w:firstLine="640" w:firstLineChars="200"/>
        <w:jc w:val="both"/>
        <w:outlineLvl w:val="1"/>
        <w:rPr>
          <w:rFonts w:hint="eastAsia" w:ascii="Times New Roman" w:hAnsi="Times New Roman" w:eastAsia="Times New Roman"/>
          <w:kern w:val="2"/>
          <w:sz w:val="32"/>
          <w:szCs w:val="24"/>
        </w:rPr>
      </w:pPr>
      <w:bookmarkStart w:id="126" w:name="_Toc11649"/>
      <w:bookmarkStart w:id="127" w:name="_Toc25536"/>
      <w:r>
        <w:rPr>
          <w:rFonts w:hint="eastAsia" w:ascii="Times New Roman" w:hAnsi="Times New Roman" w:eastAsia="黑体"/>
          <w:kern w:val="2"/>
          <w:sz w:val="32"/>
          <w:szCs w:val="24"/>
        </w:rPr>
        <w:t>四、问题及建议</w:t>
      </w:r>
      <w:bookmarkEnd w:id="126"/>
      <w:bookmarkEnd w:id="127"/>
    </w:p>
    <w:p w14:paraId="696362DC">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28" w:name="_Toc6440"/>
      <w:bookmarkStart w:id="129" w:name="_Toc14593"/>
      <w:r>
        <w:rPr>
          <w:rFonts w:hint="eastAsia" w:ascii="Times New Roman" w:hAnsi="Times New Roman" w:eastAsia="楷体_GB2312"/>
          <w:kern w:val="2"/>
          <w:sz w:val="32"/>
          <w:szCs w:val="24"/>
        </w:rPr>
        <w:t>（一）存在的问题。</w:t>
      </w:r>
      <w:bookmarkEnd w:id="128"/>
      <w:bookmarkEnd w:id="129"/>
    </w:p>
    <w:p w14:paraId="49310E69">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楷体_GB2312"/>
          <w:kern w:val="2"/>
          <w:sz w:val="32"/>
          <w:szCs w:val="24"/>
        </w:rPr>
        <w:t>无。</w:t>
      </w:r>
    </w:p>
    <w:p w14:paraId="19D54538">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30" w:name="_Toc2128"/>
      <w:bookmarkStart w:id="131" w:name="_Toc3709"/>
      <w:r>
        <w:rPr>
          <w:rFonts w:hint="eastAsia" w:ascii="Times New Roman" w:hAnsi="Times New Roman" w:eastAsia="楷体_GB2312"/>
          <w:kern w:val="2"/>
          <w:sz w:val="32"/>
          <w:szCs w:val="24"/>
        </w:rPr>
        <w:t>（二）相关建议。</w:t>
      </w:r>
      <w:bookmarkEnd w:id="130"/>
      <w:bookmarkEnd w:id="131"/>
    </w:p>
    <w:p w14:paraId="1009B391">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无。</w:t>
      </w:r>
    </w:p>
    <w:p w14:paraId="46D9EDE0">
      <w:pPr>
        <w:autoSpaceDE/>
        <w:autoSpaceDN/>
        <w:adjustRightInd/>
        <w:spacing w:line="560" w:lineRule="exact"/>
        <w:ind w:firstLine="640" w:firstLineChars="200"/>
        <w:jc w:val="both"/>
        <w:rPr>
          <w:rFonts w:hint="eastAsia" w:ascii="Times New Roman" w:hAnsi="Times New Roman" w:eastAsia="仿宋_GB2312"/>
          <w:kern w:val="2"/>
          <w:sz w:val="32"/>
          <w:szCs w:val="24"/>
          <w:lang w:val="en-US" w:eastAsia="zh-CN"/>
        </w:rPr>
      </w:pPr>
    </w:p>
    <w:p w14:paraId="706DD6A1">
      <w:pPr>
        <w:autoSpaceDE/>
        <w:autoSpaceDN/>
        <w:adjustRightInd/>
        <w:spacing w:line="560" w:lineRule="exact"/>
        <w:ind w:firstLine="640" w:firstLineChars="200"/>
        <w:jc w:val="both"/>
        <w:rPr>
          <w:rFonts w:hint="eastAsia" w:ascii="Times New Roman" w:hAnsi="Times New Roman" w:eastAsia="仿宋_GB2312"/>
          <w:kern w:val="2"/>
          <w:sz w:val="32"/>
          <w:szCs w:val="24"/>
          <w:lang w:val="en-US" w:eastAsia="zh-CN"/>
        </w:rPr>
      </w:pPr>
    </w:p>
    <w:p w14:paraId="07389483">
      <w:pPr>
        <w:autoSpaceDE/>
        <w:autoSpaceDN/>
        <w:adjustRightInd/>
        <w:spacing w:line="560" w:lineRule="exact"/>
        <w:ind w:firstLine="640" w:firstLineChars="200"/>
        <w:jc w:val="both"/>
        <w:rPr>
          <w:rFonts w:hint="eastAsia" w:ascii="Times New Roman" w:hAnsi="Times New Roman" w:eastAsia="仿宋_GB2312"/>
          <w:kern w:val="2"/>
          <w:sz w:val="32"/>
          <w:szCs w:val="24"/>
          <w:lang w:val="en-US" w:eastAsia="zh-CN"/>
        </w:rPr>
      </w:pPr>
    </w:p>
    <w:p w14:paraId="77C3F1BA">
      <w:pPr>
        <w:autoSpaceDE/>
        <w:autoSpaceDN/>
        <w:adjustRightInd/>
        <w:spacing w:line="560" w:lineRule="exact"/>
        <w:ind w:firstLine="640" w:firstLineChars="200"/>
        <w:jc w:val="both"/>
        <w:rPr>
          <w:rFonts w:hint="eastAsia" w:ascii="Times New Roman" w:hAnsi="Times New Roman" w:eastAsia="仿宋_GB2312"/>
          <w:kern w:val="2"/>
          <w:sz w:val="32"/>
          <w:szCs w:val="24"/>
          <w:lang w:val="en-US" w:eastAsia="zh-CN"/>
        </w:rPr>
      </w:pPr>
    </w:p>
    <w:p w14:paraId="50095BBA">
      <w:pPr>
        <w:autoSpaceDE/>
        <w:autoSpaceDN/>
        <w:adjustRightInd/>
        <w:spacing w:line="560" w:lineRule="exact"/>
        <w:ind w:firstLine="640" w:firstLineChars="200"/>
        <w:jc w:val="both"/>
        <w:rPr>
          <w:rFonts w:hint="eastAsia" w:ascii="Times New Roman" w:hAnsi="Times New Roman" w:eastAsia="仿宋_GB2312"/>
          <w:kern w:val="2"/>
          <w:sz w:val="32"/>
          <w:szCs w:val="24"/>
          <w:lang w:val="en-US" w:eastAsia="zh-CN"/>
        </w:rPr>
      </w:pPr>
    </w:p>
    <w:p w14:paraId="230F8304">
      <w:pPr>
        <w:autoSpaceDE/>
        <w:autoSpaceDN/>
        <w:adjustRightInd/>
        <w:spacing w:line="560" w:lineRule="exact"/>
        <w:ind w:firstLine="640" w:firstLineChars="200"/>
        <w:jc w:val="both"/>
        <w:rPr>
          <w:rFonts w:hint="eastAsia" w:ascii="Times New Roman" w:hAnsi="Times New Roman" w:eastAsia="仿宋_GB2312"/>
          <w:kern w:val="2"/>
          <w:sz w:val="32"/>
          <w:szCs w:val="24"/>
          <w:lang w:val="en-US" w:eastAsia="zh-CN"/>
        </w:rPr>
      </w:pPr>
    </w:p>
    <w:p w14:paraId="74CF8830">
      <w:pPr>
        <w:autoSpaceDE/>
        <w:autoSpaceDN/>
        <w:adjustRightInd/>
        <w:spacing w:line="560" w:lineRule="exact"/>
        <w:ind w:firstLine="640" w:firstLineChars="200"/>
        <w:jc w:val="both"/>
        <w:rPr>
          <w:rFonts w:hint="eastAsia" w:ascii="Times New Roman" w:hAnsi="Times New Roman" w:eastAsia="仿宋_GB2312"/>
          <w:kern w:val="2"/>
          <w:sz w:val="32"/>
          <w:szCs w:val="24"/>
          <w:lang w:val="en-US" w:eastAsia="zh-CN"/>
        </w:rPr>
      </w:pPr>
    </w:p>
    <w:p w14:paraId="34E25DCA">
      <w:pPr>
        <w:autoSpaceDE/>
        <w:autoSpaceDN/>
        <w:adjustRightInd/>
        <w:spacing w:line="640" w:lineRule="exact"/>
        <w:jc w:val="center"/>
        <w:rPr>
          <w:rFonts w:hint="eastAsia" w:ascii="Times New Roman" w:hAnsi="Times New Roman" w:eastAsia="方正小标宋_GBK" w:cs="Times New Roman"/>
          <w:kern w:val="2"/>
          <w:sz w:val="44"/>
          <w:szCs w:val="44"/>
          <w:lang w:val="en-US" w:eastAsia="zh-CN" w:bidi="ar-SA"/>
        </w:rPr>
      </w:pPr>
    </w:p>
    <w:p w14:paraId="34A8EA05">
      <w:pPr>
        <w:autoSpaceDE/>
        <w:autoSpaceDN/>
        <w:adjustRightInd/>
        <w:spacing w:line="640" w:lineRule="exact"/>
        <w:jc w:val="center"/>
        <w:rPr>
          <w:rFonts w:hint="eastAsia" w:ascii="方正小标宋简体" w:hAnsi="方正小标宋简体" w:eastAsia="方正小标宋简体" w:cs="Times New Roman"/>
          <w:color w:val="auto"/>
          <w:kern w:val="2"/>
          <w:sz w:val="32"/>
          <w:szCs w:val="24"/>
          <w:lang w:val="en-US" w:eastAsia="zh-CN"/>
        </w:rPr>
      </w:pPr>
      <w:r>
        <w:rPr>
          <w:rFonts w:hint="eastAsia" w:ascii="方正小标宋简体" w:hAnsi="方正小标宋简体" w:eastAsia="方正小标宋简体" w:cs="Times New Roman"/>
          <w:color w:val="auto"/>
          <w:kern w:val="2"/>
          <w:sz w:val="32"/>
          <w:szCs w:val="24"/>
          <w:lang w:val="en-US" w:eastAsia="zh-CN"/>
        </w:rPr>
        <w:t>共和乡人民政府关于2022年共和乡特困人员供养经费的</w:t>
      </w:r>
    </w:p>
    <w:p w14:paraId="2C2A05DF">
      <w:pPr>
        <w:autoSpaceDE/>
        <w:autoSpaceDN/>
        <w:adjustRightInd/>
        <w:spacing w:line="640" w:lineRule="exact"/>
        <w:jc w:val="center"/>
        <w:rPr>
          <w:rFonts w:hint="eastAsia" w:ascii="方正小标宋简体" w:hAnsi="方正小标宋简体" w:eastAsia="方正小标宋简体" w:cs="Times New Roman"/>
          <w:color w:val="auto"/>
          <w:kern w:val="2"/>
          <w:sz w:val="32"/>
          <w:szCs w:val="24"/>
          <w:lang w:val="en-US" w:eastAsia="zh-CN"/>
        </w:rPr>
      </w:pPr>
      <w:r>
        <w:rPr>
          <w:rFonts w:hint="eastAsia" w:ascii="方正小标宋简体" w:hAnsi="方正小标宋简体" w:eastAsia="方正小标宋简体" w:cs="Times New Roman"/>
          <w:color w:val="auto"/>
          <w:kern w:val="2"/>
          <w:sz w:val="32"/>
          <w:szCs w:val="24"/>
          <w:lang w:val="en-US" w:eastAsia="zh-CN"/>
        </w:rPr>
        <w:t>专项预算项目支出绩效自评报告</w:t>
      </w:r>
    </w:p>
    <w:p w14:paraId="311DCE67">
      <w:pPr>
        <w:autoSpaceDE/>
        <w:autoSpaceDN/>
        <w:adjustRightInd/>
        <w:spacing w:line="640" w:lineRule="exact"/>
        <w:jc w:val="center"/>
        <w:outlineLvl w:val="1"/>
        <w:rPr>
          <w:rFonts w:hint="eastAsia" w:ascii="Times New Roman" w:hAnsi="Times New Roman" w:eastAsia="Times New Roman"/>
          <w:b/>
          <w:kern w:val="2"/>
          <w:sz w:val="32"/>
          <w:szCs w:val="24"/>
        </w:rPr>
      </w:pPr>
      <w:bookmarkStart w:id="132" w:name="_Toc21282"/>
      <w:bookmarkStart w:id="133" w:name="_Toc12310"/>
      <w:r>
        <w:rPr>
          <w:rFonts w:hint="eastAsia" w:ascii="Times New Roman" w:hAnsi="Times New Roman" w:eastAsia="楷体_GB2312"/>
          <w:b/>
          <w:kern w:val="2"/>
          <w:sz w:val="32"/>
          <w:szCs w:val="24"/>
        </w:rPr>
        <w:t>（项目单位自评）</w:t>
      </w:r>
      <w:bookmarkEnd w:id="132"/>
      <w:bookmarkEnd w:id="133"/>
    </w:p>
    <w:p w14:paraId="7791DAC2">
      <w:pPr>
        <w:spacing w:line="560" w:lineRule="exact"/>
        <w:ind w:firstLine="640"/>
        <w:jc w:val="center"/>
        <w:rPr>
          <w:rFonts w:hint="eastAsia" w:ascii="Times New Roman" w:hAnsi="Times New Roman" w:eastAsia="Times New Roman" w:cs="Times New Roman"/>
          <w:color w:val="auto"/>
          <w:kern w:val="2"/>
          <w:sz w:val="32"/>
          <w:szCs w:val="32"/>
          <w:lang w:val="zh-CN" w:eastAsia="zh-CN" w:bidi="ar-SA"/>
        </w:rPr>
      </w:pPr>
    </w:p>
    <w:p w14:paraId="28232745">
      <w:pPr>
        <w:autoSpaceDE/>
        <w:autoSpaceDN/>
        <w:adjustRightInd/>
        <w:spacing w:line="560" w:lineRule="exact"/>
        <w:ind w:firstLine="640" w:firstLineChars="200"/>
        <w:jc w:val="both"/>
        <w:outlineLvl w:val="1"/>
        <w:rPr>
          <w:rFonts w:hint="eastAsia" w:ascii="Times New Roman" w:hAnsi="Times New Roman" w:eastAsia="Times New Roman"/>
          <w:kern w:val="2"/>
          <w:sz w:val="32"/>
          <w:szCs w:val="24"/>
        </w:rPr>
      </w:pPr>
      <w:bookmarkStart w:id="134" w:name="_Toc5794"/>
      <w:bookmarkStart w:id="135" w:name="_Toc1839"/>
      <w:r>
        <w:rPr>
          <w:rFonts w:hint="eastAsia" w:ascii="Times New Roman" w:hAnsi="Times New Roman" w:eastAsia="黑体"/>
          <w:kern w:val="2"/>
          <w:sz w:val="32"/>
          <w:szCs w:val="24"/>
        </w:rPr>
        <w:t>一、项目概况</w:t>
      </w:r>
      <w:bookmarkEnd w:id="134"/>
      <w:bookmarkEnd w:id="135"/>
    </w:p>
    <w:p w14:paraId="64043D67">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36" w:name="_Toc13740"/>
      <w:bookmarkStart w:id="137" w:name="_Toc19489"/>
      <w:r>
        <w:rPr>
          <w:rFonts w:hint="eastAsia" w:ascii="Times New Roman" w:hAnsi="Times New Roman" w:eastAsia="楷体_GB2312"/>
          <w:kern w:val="2"/>
          <w:sz w:val="32"/>
          <w:szCs w:val="24"/>
        </w:rPr>
        <w:t>（一）项目资金申报及批复情况。</w:t>
      </w:r>
      <w:bookmarkEnd w:id="136"/>
      <w:bookmarkEnd w:id="137"/>
    </w:p>
    <w:p w14:paraId="50795E9B">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sz w:val="32"/>
          <w:szCs w:val="24"/>
        </w:rPr>
        <w:t>根据</w:t>
      </w:r>
      <w:r>
        <w:rPr>
          <w:rFonts w:hint="eastAsia" w:ascii="仿宋_GB2312" w:hAnsi="Times New Roman" w:eastAsia="仿宋_GB2312"/>
          <w:color w:val="auto"/>
          <w:sz w:val="32"/>
          <w:szCs w:val="24"/>
          <w:lang w:val="en-US" w:eastAsia="zh-CN"/>
        </w:rPr>
        <w:t>2022年年初预算</w:t>
      </w:r>
      <w:r>
        <w:rPr>
          <w:rFonts w:hint="eastAsia" w:ascii="仿宋_GB2312" w:hAnsi="Times New Roman" w:eastAsia="仿宋_GB2312"/>
          <w:sz w:val="32"/>
          <w:szCs w:val="24"/>
        </w:rPr>
        <w:t>下达</w:t>
      </w:r>
      <w:r>
        <w:rPr>
          <w:rFonts w:hint="eastAsia" w:ascii="仿宋_GB2312" w:hAnsi="Times New Roman" w:eastAsia="仿宋_GB2312"/>
          <w:sz w:val="32"/>
          <w:szCs w:val="24"/>
          <w:lang w:val="en-US" w:eastAsia="zh-CN"/>
        </w:rPr>
        <w:t>2022年特困人员供养经费27.24万元，用于解决特困人员供养产生的相关费用</w:t>
      </w:r>
      <w:r>
        <w:rPr>
          <w:rFonts w:hint="eastAsia" w:ascii="Times New Roman" w:hAnsi="Times New Roman" w:eastAsia="仿宋_GB2312"/>
          <w:kern w:val="2"/>
          <w:sz w:val="32"/>
          <w:szCs w:val="24"/>
        </w:rPr>
        <w:t>。</w:t>
      </w:r>
    </w:p>
    <w:p w14:paraId="030A96C6">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38" w:name="_Toc23450"/>
      <w:bookmarkStart w:id="139" w:name="_Toc25802"/>
      <w:r>
        <w:rPr>
          <w:rFonts w:hint="eastAsia" w:ascii="Times New Roman" w:hAnsi="Times New Roman" w:eastAsia="楷体_GB2312"/>
          <w:kern w:val="2"/>
          <w:sz w:val="32"/>
          <w:szCs w:val="24"/>
        </w:rPr>
        <w:t>（二）项目绩效目标。</w:t>
      </w:r>
      <w:bookmarkEnd w:id="138"/>
      <w:bookmarkEnd w:id="139"/>
    </w:p>
    <w:p w14:paraId="533E1231">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1.主要内容</w:t>
      </w:r>
    </w:p>
    <w:p w14:paraId="2283D015">
      <w:pPr>
        <w:widowControl/>
        <w:numPr>
          <w:ilvl w:val="0"/>
          <w:numId w:val="0"/>
        </w:numPr>
        <w:rPr>
          <w:rFonts w:hint="eastAsia" w:ascii="Times New Roman" w:hAnsi="Times New Roman" w:eastAsia="仿宋_GB2312"/>
          <w:kern w:val="2"/>
          <w:sz w:val="32"/>
          <w:szCs w:val="24"/>
        </w:rPr>
      </w:pPr>
      <w:r>
        <w:rPr>
          <w:rFonts w:hint="eastAsia" w:ascii="仿宋_GB2312" w:hAnsi="仿宋_GB2312" w:eastAsia="仿宋_GB2312" w:cs="仿宋_GB2312"/>
          <w:color w:val="000000"/>
          <w:sz w:val="33"/>
          <w:szCs w:val="33"/>
          <w:lang w:val="en-US" w:eastAsia="zh-CN" w:bidi="ar"/>
        </w:rPr>
        <w:t xml:space="preserve">   </w:t>
      </w:r>
      <w:r>
        <w:rPr>
          <w:rFonts w:hint="eastAsia" w:ascii="Times New Roman" w:hAnsi="Times New Roman" w:eastAsia="仿宋_GB2312" w:cs="Times New Roman"/>
          <w:sz w:val="32"/>
          <w:szCs w:val="24"/>
          <w:lang w:val="en-US" w:eastAsia="zh-CN"/>
        </w:rPr>
        <w:t>为2022年特困人员发放丧葬补贴，生活费，御寒费，日间照料费，减轻特困人员监护人家负担，减轻监理特困人员的各项经济负担</w:t>
      </w:r>
      <w:r>
        <w:rPr>
          <w:rFonts w:hint="eastAsia" w:ascii="仿宋_GB2312" w:hAnsi="仿宋_GB2312" w:eastAsia="仿宋_GB2312" w:cs="仿宋_GB2312"/>
          <w:color w:val="000000"/>
          <w:sz w:val="33"/>
          <w:szCs w:val="33"/>
          <w:lang w:val="en-US" w:eastAsia="zh-CN" w:bidi="ar"/>
        </w:rPr>
        <w:t>。</w:t>
      </w:r>
    </w:p>
    <w:p w14:paraId="0ADCE8AC">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2.计划实现的具体绩效目标</w:t>
      </w:r>
    </w:p>
    <w:p w14:paraId="072CF703">
      <w:pPr>
        <w:autoSpaceDE/>
        <w:autoSpaceDN/>
        <w:adjustRightInd/>
        <w:spacing w:line="560" w:lineRule="exact"/>
        <w:ind w:firstLine="640" w:firstLineChars="200"/>
        <w:jc w:val="both"/>
        <w:rPr>
          <w:rFonts w:hint="eastAsia" w:ascii="仿宋_GB2312" w:hAnsi="Times New Roman" w:eastAsia="仿宋_GB2312"/>
          <w:sz w:val="32"/>
          <w:szCs w:val="24"/>
          <w:lang w:val="en-US" w:eastAsia="zh-CN"/>
        </w:rPr>
      </w:pPr>
      <w:r>
        <w:rPr>
          <w:rFonts w:hint="eastAsia" w:ascii="Times New Roman" w:hAnsi="Times New Roman" w:eastAsia="仿宋_GB2312"/>
          <w:sz w:val="32"/>
          <w:szCs w:val="24"/>
        </w:rPr>
        <w:t>该资金由县财政局下达预算到</w:t>
      </w:r>
      <w:r>
        <w:rPr>
          <w:rFonts w:hint="eastAsia" w:ascii="Times New Roman" w:hAnsi="Times New Roman" w:eastAsia="仿宋_GB2312"/>
          <w:sz w:val="32"/>
          <w:szCs w:val="24"/>
          <w:lang w:eastAsia="zh-CN"/>
        </w:rPr>
        <w:t>盐边县共和乡人民政府</w:t>
      </w:r>
      <w:r>
        <w:rPr>
          <w:rFonts w:hint="eastAsia" w:ascii="Times New Roman" w:hAnsi="Times New Roman" w:eastAsia="仿宋_GB2312"/>
          <w:sz w:val="32"/>
          <w:szCs w:val="24"/>
        </w:rPr>
        <w:t>进行核算。</w:t>
      </w:r>
      <w:r>
        <w:rPr>
          <w:rFonts w:hint="eastAsia" w:ascii="Times New Roman" w:hAnsi="Times New Roman" w:eastAsia="仿宋_GB2312"/>
          <w:sz w:val="32"/>
          <w:szCs w:val="24"/>
          <w:lang w:eastAsia="zh-CN"/>
        </w:rPr>
        <w:t>以</w:t>
      </w:r>
      <w:r>
        <w:rPr>
          <w:rFonts w:hint="eastAsia" w:ascii="仿宋_GB2312" w:hAnsi="仿宋_GB2312" w:eastAsia="仿宋_GB2312" w:cs="仿宋_GB2312"/>
          <w:color w:val="000000"/>
          <w:sz w:val="33"/>
          <w:szCs w:val="33"/>
          <w:lang w:val="en-US" w:eastAsia="zh-CN" w:bidi="ar"/>
        </w:rPr>
        <w:t>死亡人员每人3000元补贴为标准，</w:t>
      </w:r>
      <w:r>
        <w:rPr>
          <w:rFonts w:hint="eastAsia" w:ascii="仿宋_GB2312" w:hAnsi="Times New Roman" w:eastAsia="仿宋_GB2312"/>
          <w:sz w:val="32"/>
          <w:szCs w:val="24"/>
          <w:lang w:val="en-US" w:eastAsia="zh-CN"/>
        </w:rPr>
        <w:t>解决辖区内五保户死亡后产生的相关费用</w:t>
      </w:r>
      <w:r>
        <w:rPr>
          <w:rFonts w:hint="eastAsia" w:ascii="Times New Roman" w:hAnsi="Times New Roman" w:eastAsia="仿宋_GB2312"/>
          <w:sz w:val="32"/>
          <w:szCs w:val="24"/>
        </w:rPr>
        <w:t>。</w:t>
      </w:r>
      <w:r>
        <w:rPr>
          <w:rFonts w:hint="eastAsia" w:ascii="Times New Roman" w:hAnsi="Times New Roman" w:eastAsia="仿宋_GB2312"/>
          <w:sz w:val="32"/>
          <w:szCs w:val="24"/>
          <w:lang w:eastAsia="zh-CN"/>
        </w:rPr>
        <w:t>生活费以每人每年</w:t>
      </w:r>
      <w:r>
        <w:rPr>
          <w:rFonts w:hint="eastAsia" w:ascii="仿宋_GB2312" w:hAnsi="仿宋_GB2312" w:eastAsia="仿宋_GB2312" w:cs="仿宋_GB2312"/>
          <w:color w:val="000000"/>
          <w:sz w:val="33"/>
          <w:szCs w:val="33"/>
          <w:lang w:val="en-US" w:eastAsia="zh-CN" w:bidi="ar"/>
        </w:rPr>
        <w:t>8400的标准</w:t>
      </w:r>
      <w:r>
        <w:rPr>
          <w:rFonts w:hint="eastAsia" w:ascii="仿宋_GB2312" w:hAnsi="Times New Roman" w:eastAsia="仿宋_GB2312"/>
          <w:sz w:val="32"/>
          <w:szCs w:val="24"/>
          <w:lang w:val="en-US" w:eastAsia="zh-CN"/>
        </w:rPr>
        <w:t>解决辖区内五保户生活上的相关费用。御寒费以每人每年400元的标准发放，保障五保户御寒的各项开支，照料日理费50元标准18人，80元标准2人，120元标准17人。共计22800，主要用于保障五保户日间照理上的各项开支。</w:t>
      </w:r>
    </w:p>
    <w:p w14:paraId="6C907C7E">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40" w:name="_Toc24991"/>
      <w:bookmarkStart w:id="141" w:name="_Toc20936"/>
      <w:r>
        <w:rPr>
          <w:rFonts w:hint="eastAsia" w:ascii="Times New Roman" w:hAnsi="Times New Roman" w:eastAsia="楷体_GB2312"/>
          <w:kern w:val="2"/>
          <w:sz w:val="32"/>
          <w:szCs w:val="24"/>
        </w:rPr>
        <w:t>（三）项目资金申报相符性。</w:t>
      </w:r>
      <w:bookmarkEnd w:id="140"/>
      <w:bookmarkEnd w:id="141"/>
    </w:p>
    <w:p w14:paraId="0D361DFF">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该资金由县财政局下达预算到盐边县</w:t>
      </w:r>
      <w:r>
        <w:rPr>
          <w:rFonts w:hint="eastAsia" w:ascii="Times New Roman" w:hAnsi="Times New Roman" w:eastAsia="仿宋_GB2312"/>
          <w:kern w:val="2"/>
          <w:sz w:val="32"/>
          <w:szCs w:val="24"/>
          <w:lang w:val="en-US" w:eastAsia="zh-CN"/>
        </w:rPr>
        <w:t>共和乡</w:t>
      </w:r>
      <w:r>
        <w:rPr>
          <w:rFonts w:hint="eastAsia" w:ascii="Times New Roman" w:hAnsi="Times New Roman" w:eastAsia="仿宋_GB2312"/>
          <w:kern w:val="2"/>
          <w:sz w:val="32"/>
          <w:szCs w:val="24"/>
        </w:rPr>
        <w:t>人民政府进行核算。与实际相符、申报目标合理可行。</w:t>
      </w:r>
    </w:p>
    <w:p w14:paraId="70CE7914">
      <w:pPr>
        <w:autoSpaceDE/>
        <w:autoSpaceDN/>
        <w:adjustRightInd/>
        <w:spacing w:line="560" w:lineRule="exact"/>
        <w:ind w:firstLine="640" w:firstLineChars="200"/>
        <w:jc w:val="both"/>
        <w:outlineLvl w:val="1"/>
        <w:rPr>
          <w:rFonts w:hint="eastAsia" w:ascii="Times New Roman" w:hAnsi="Times New Roman" w:eastAsia="Times New Roman"/>
          <w:kern w:val="2"/>
          <w:sz w:val="32"/>
          <w:szCs w:val="24"/>
        </w:rPr>
      </w:pPr>
      <w:bookmarkStart w:id="142" w:name="_Toc9560"/>
      <w:bookmarkStart w:id="143" w:name="_Toc23950"/>
      <w:r>
        <w:rPr>
          <w:rFonts w:hint="eastAsia" w:ascii="Times New Roman" w:hAnsi="Times New Roman" w:eastAsia="黑体"/>
          <w:kern w:val="2"/>
          <w:sz w:val="32"/>
          <w:szCs w:val="24"/>
        </w:rPr>
        <w:t>二、项目实施及管理情况</w:t>
      </w:r>
      <w:bookmarkEnd w:id="142"/>
      <w:bookmarkEnd w:id="143"/>
    </w:p>
    <w:p w14:paraId="1B3624C1">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44" w:name="_Toc24902"/>
      <w:bookmarkStart w:id="145" w:name="_Toc6887"/>
      <w:r>
        <w:rPr>
          <w:rFonts w:hint="eastAsia" w:ascii="Times New Roman" w:hAnsi="Times New Roman" w:eastAsia="楷体_GB2312"/>
          <w:kern w:val="2"/>
          <w:sz w:val="32"/>
          <w:szCs w:val="24"/>
        </w:rPr>
        <w:t>（一）资金计划、到位及使用情况。</w:t>
      </w:r>
      <w:bookmarkEnd w:id="144"/>
      <w:bookmarkEnd w:id="145"/>
    </w:p>
    <w:p w14:paraId="4ECD4C7E">
      <w:pPr>
        <w:autoSpaceDE/>
        <w:autoSpaceDN/>
        <w:adjustRightInd/>
        <w:spacing w:line="560" w:lineRule="exact"/>
        <w:ind w:firstLine="640" w:firstLineChars="200"/>
        <w:jc w:val="both"/>
        <w:rPr>
          <w:rFonts w:hint="eastAsia" w:ascii="Times New Roman" w:hAnsi="Times New Roman" w:eastAsia="Times New Roman"/>
          <w:b/>
          <w:kern w:val="2"/>
          <w:sz w:val="32"/>
          <w:szCs w:val="24"/>
        </w:rPr>
      </w:pPr>
      <w:r>
        <w:rPr>
          <w:rFonts w:hint="eastAsia" w:ascii="Times New Roman" w:hAnsi="Times New Roman" w:eastAsia="Times New Roman"/>
          <w:b/>
          <w:kern w:val="2"/>
          <w:sz w:val="32"/>
          <w:szCs w:val="24"/>
        </w:rPr>
        <w:t>1.</w:t>
      </w:r>
      <w:r>
        <w:rPr>
          <w:rFonts w:hint="eastAsia" w:ascii="Times New Roman" w:hAnsi="Times New Roman" w:eastAsia="仿宋_GB2312"/>
          <w:b/>
          <w:kern w:val="2"/>
          <w:sz w:val="32"/>
          <w:szCs w:val="24"/>
        </w:rPr>
        <w:t>资金计划及到位。</w:t>
      </w:r>
    </w:p>
    <w:p w14:paraId="594B70C4">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Times New Roman"/>
          <w:kern w:val="2"/>
          <w:sz w:val="32"/>
          <w:szCs w:val="24"/>
        </w:rPr>
        <w:t>202</w:t>
      </w:r>
      <w:r>
        <w:rPr>
          <w:rFonts w:hint="eastAsia" w:ascii="Times New Roman" w:hAnsi="Times New Roman" w:eastAsia="仿宋_GB2312"/>
          <w:kern w:val="2"/>
          <w:sz w:val="32"/>
          <w:szCs w:val="24"/>
        </w:rPr>
        <w:t>2</w:t>
      </w:r>
      <w:r>
        <w:rPr>
          <w:rFonts w:hint="eastAsia" w:ascii="仿宋_GB2312" w:hAnsi="Times New Roman" w:eastAsia="仿宋_GB2312"/>
          <w:kern w:val="2"/>
          <w:sz w:val="32"/>
          <w:szCs w:val="24"/>
        </w:rPr>
        <w:t>年预算下达省级</w:t>
      </w:r>
      <w:r>
        <w:rPr>
          <w:rFonts w:hint="eastAsia" w:ascii="Times New Roman" w:hAnsi="Times New Roman" w:eastAsia="仿宋_GB2312"/>
          <w:kern w:val="2"/>
          <w:sz w:val="32"/>
          <w:szCs w:val="24"/>
        </w:rPr>
        <w:t>资金</w:t>
      </w:r>
      <w:r>
        <w:rPr>
          <w:rFonts w:hint="eastAsia" w:ascii="Times New Roman" w:hAnsi="Times New Roman" w:eastAsia="仿宋_GB2312"/>
          <w:kern w:val="2"/>
          <w:sz w:val="32"/>
          <w:szCs w:val="24"/>
          <w:lang w:val="en-US" w:eastAsia="zh-CN"/>
        </w:rPr>
        <w:t>27.24</w:t>
      </w:r>
      <w:r>
        <w:rPr>
          <w:rFonts w:hint="eastAsia" w:ascii="Times New Roman" w:hAnsi="Times New Roman" w:eastAsia="仿宋_GB2312"/>
          <w:kern w:val="2"/>
          <w:sz w:val="32"/>
          <w:szCs w:val="24"/>
        </w:rPr>
        <w:t>万</w:t>
      </w:r>
      <w:r>
        <w:rPr>
          <w:rFonts w:hint="eastAsia" w:ascii="仿宋_GB2312" w:hAnsi="Times New Roman" w:eastAsia="仿宋_GB2312"/>
          <w:kern w:val="2"/>
          <w:sz w:val="32"/>
          <w:szCs w:val="24"/>
        </w:rPr>
        <w:t>元。</w:t>
      </w:r>
      <w:r>
        <w:rPr>
          <w:rFonts w:hint="eastAsia" w:ascii="Times New Roman" w:hAnsi="Times New Roman" w:eastAsia="仿宋_GB2312"/>
          <w:kern w:val="2"/>
          <w:sz w:val="32"/>
          <w:szCs w:val="24"/>
        </w:rPr>
        <w:t>该资金2022年当年全部到位，当年全部使用完毕。</w:t>
      </w:r>
    </w:p>
    <w:p w14:paraId="3D71559B">
      <w:pPr>
        <w:autoSpaceDE/>
        <w:autoSpaceDN/>
        <w:adjustRightInd/>
        <w:spacing w:line="560" w:lineRule="exact"/>
        <w:ind w:firstLine="640" w:firstLineChars="200"/>
        <w:jc w:val="both"/>
        <w:rPr>
          <w:rFonts w:hint="eastAsia" w:ascii="Times New Roman" w:hAnsi="Times New Roman" w:eastAsia="Times New Roman"/>
          <w:b/>
          <w:kern w:val="2"/>
          <w:sz w:val="32"/>
          <w:szCs w:val="24"/>
        </w:rPr>
      </w:pPr>
      <w:r>
        <w:rPr>
          <w:rFonts w:hint="eastAsia" w:ascii="Times New Roman" w:hAnsi="Times New Roman" w:eastAsia="Times New Roman"/>
          <w:b/>
          <w:kern w:val="2"/>
          <w:sz w:val="32"/>
          <w:szCs w:val="24"/>
        </w:rPr>
        <w:t>2.</w:t>
      </w:r>
      <w:r>
        <w:rPr>
          <w:rFonts w:hint="eastAsia" w:ascii="Times New Roman" w:hAnsi="Times New Roman" w:eastAsia="仿宋_GB2312"/>
          <w:b/>
          <w:kern w:val="2"/>
          <w:sz w:val="32"/>
          <w:szCs w:val="24"/>
        </w:rPr>
        <w:t>资金使用。</w:t>
      </w:r>
    </w:p>
    <w:p w14:paraId="52077B17">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该资金截至评价时点，支付范围、支付标准、支付进度、支付依据等合规合法、与预算相符。我单位及时报账，按财政局要求专款专用，已全部报账使用。</w:t>
      </w:r>
    </w:p>
    <w:p w14:paraId="5C8D7CCF">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46" w:name="_Toc16094"/>
      <w:bookmarkStart w:id="147" w:name="_Toc30218"/>
      <w:r>
        <w:rPr>
          <w:rFonts w:hint="eastAsia" w:ascii="Times New Roman" w:hAnsi="Times New Roman" w:eastAsia="楷体_GB2312"/>
          <w:kern w:val="2"/>
          <w:sz w:val="32"/>
          <w:szCs w:val="24"/>
        </w:rPr>
        <w:t>（二）项目财务管理情况。</w:t>
      </w:r>
      <w:bookmarkEnd w:id="146"/>
      <w:bookmarkEnd w:id="147"/>
    </w:p>
    <w:p w14:paraId="1D43A845">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我单位有健全的财务管理制度，资金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5CDE529D">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48" w:name="_Toc15839"/>
      <w:bookmarkStart w:id="149" w:name="_Toc19337"/>
      <w:r>
        <w:rPr>
          <w:rFonts w:hint="eastAsia" w:ascii="Times New Roman" w:hAnsi="Times New Roman" w:eastAsia="楷体_GB2312"/>
          <w:kern w:val="2"/>
          <w:sz w:val="32"/>
          <w:szCs w:val="24"/>
        </w:rPr>
        <w:t>（三）项目组织实施情况。</w:t>
      </w:r>
      <w:bookmarkEnd w:id="148"/>
      <w:bookmarkEnd w:id="149"/>
    </w:p>
    <w:p w14:paraId="1D6AC5B3">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由我单位牵头，各村协助开展工作。根据项目申报和经费下达情况进行方案编制。此项目资金为2022年度，县财政局下达</w:t>
      </w:r>
      <w:r>
        <w:rPr>
          <w:rFonts w:hint="eastAsia" w:ascii="仿宋_GB2312" w:hAnsi="Times New Roman" w:eastAsia="仿宋_GB2312"/>
          <w:sz w:val="32"/>
          <w:szCs w:val="24"/>
          <w:lang w:val="en-US" w:eastAsia="zh-CN"/>
        </w:rPr>
        <w:t>2022年特困人员供养经费</w:t>
      </w:r>
      <w:r>
        <w:rPr>
          <w:rFonts w:hint="eastAsia" w:ascii="Times New Roman" w:hAnsi="Times New Roman" w:eastAsia="仿宋_GB2312"/>
          <w:kern w:val="2"/>
          <w:sz w:val="32"/>
          <w:szCs w:val="24"/>
        </w:rPr>
        <w:t>预算资金，相关经办人员结合实际发生费用提供相关报账原始凭据报账，我单位进行审核，向财政局统一预算管理一体化平台申报计划，进行支付、核算。同时按照省级要求时间节点及时支付兑现。</w:t>
      </w:r>
    </w:p>
    <w:p w14:paraId="5BBC00C8">
      <w:pPr>
        <w:autoSpaceDE/>
        <w:autoSpaceDN/>
        <w:adjustRightInd/>
        <w:spacing w:line="560" w:lineRule="exact"/>
        <w:ind w:firstLine="640" w:firstLineChars="200"/>
        <w:jc w:val="both"/>
        <w:outlineLvl w:val="1"/>
        <w:rPr>
          <w:rFonts w:hint="eastAsia" w:ascii="Times New Roman" w:hAnsi="Times New Roman" w:eastAsia="Times New Roman"/>
          <w:kern w:val="2"/>
          <w:sz w:val="32"/>
          <w:szCs w:val="24"/>
        </w:rPr>
      </w:pPr>
      <w:bookmarkStart w:id="150" w:name="_Toc29956"/>
      <w:bookmarkStart w:id="151" w:name="_Toc21935"/>
      <w:r>
        <w:rPr>
          <w:rFonts w:hint="eastAsia" w:ascii="Times New Roman" w:hAnsi="Times New Roman" w:eastAsia="黑体"/>
          <w:kern w:val="2"/>
          <w:sz w:val="32"/>
          <w:szCs w:val="24"/>
        </w:rPr>
        <w:t>三、项目绩效情况</w:t>
      </w:r>
      <w:bookmarkEnd w:id="150"/>
      <w:bookmarkEnd w:id="151"/>
      <w:r>
        <w:rPr>
          <w:rFonts w:hint="eastAsia" w:ascii="Times New Roman" w:hAnsi="Times New Roman" w:eastAsia="Times New Roman"/>
          <w:kern w:val="2"/>
          <w:sz w:val="32"/>
          <w:szCs w:val="24"/>
        </w:rPr>
        <w:tab/>
      </w:r>
    </w:p>
    <w:p w14:paraId="6A3B296D">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52" w:name="_Toc7836"/>
      <w:bookmarkStart w:id="153" w:name="_Toc31540"/>
      <w:r>
        <w:rPr>
          <w:rFonts w:hint="eastAsia" w:ascii="Times New Roman" w:hAnsi="Times New Roman" w:eastAsia="楷体_GB2312"/>
          <w:kern w:val="2"/>
          <w:sz w:val="32"/>
          <w:szCs w:val="24"/>
        </w:rPr>
        <w:t>（一）项目完成情况。</w:t>
      </w:r>
      <w:bookmarkEnd w:id="152"/>
      <w:bookmarkEnd w:id="153"/>
    </w:p>
    <w:p w14:paraId="6C4F5875">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已于2022年全部使用、报账及核算。主要用于</w:t>
      </w:r>
      <w:r>
        <w:rPr>
          <w:rFonts w:hint="eastAsia" w:ascii="仿宋_GB2312" w:hAnsi="Times New Roman" w:eastAsia="仿宋_GB2312"/>
          <w:sz w:val="32"/>
          <w:szCs w:val="24"/>
        </w:rPr>
        <w:t>按照县财政下达预算，民政局提供</w:t>
      </w:r>
      <w:r>
        <w:rPr>
          <w:rFonts w:hint="eastAsia" w:ascii="仿宋_GB2312" w:hAnsi="Times New Roman" w:eastAsia="仿宋_GB2312"/>
          <w:sz w:val="32"/>
          <w:szCs w:val="24"/>
          <w:lang w:eastAsia="zh-CN"/>
        </w:rPr>
        <w:t>辖区内五保户相关名单对各项资金进行兑付</w:t>
      </w:r>
      <w:r>
        <w:rPr>
          <w:rFonts w:hint="eastAsia" w:ascii="仿宋_GB2312" w:hAnsi="Times New Roman" w:eastAsia="仿宋_GB2312"/>
          <w:sz w:val="32"/>
          <w:szCs w:val="24"/>
        </w:rPr>
        <w:t>。</w:t>
      </w:r>
      <w:r>
        <w:rPr>
          <w:rFonts w:hint="eastAsia" w:ascii="Times New Roman" w:hAnsi="Times New Roman" w:eastAsia="仿宋_GB2312"/>
          <w:kern w:val="2"/>
          <w:sz w:val="32"/>
          <w:szCs w:val="24"/>
        </w:rPr>
        <w:t>。</w:t>
      </w:r>
    </w:p>
    <w:p w14:paraId="1B0A8056">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54" w:name="_Toc377"/>
      <w:bookmarkStart w:id="155" w:name="_Toc1006"/>
      <w:r>
        <w:rPr>
          <w:rFonts w:hint="eastAsia" w:ascii="Times New Roman" w:hAnsi="Times New Roman" w:eastAsia="楷体_GB2312"/>
          <w:kern w:val="2"/>
          <w:sz w:val="32"/>
          <w:szCs w:val="24"/>
        </w:rPr>
        <w:t>（二）项目效益情况。</w:t>
      </w:r>
      <w:bookmarkEnd w:id="154"/>
      <w:bookmarkEnd w:id="155"/>
    </w:p>
    <w:p w14:paraId="202F48A0">
      <w:pPr>
        <w:autoSpaceDE/>
        <w:autoSpaceDN/>
        <w:adjustRightInd/>
        <w:spacing w:line="560" w:lineRule="exact"/>
        <w:ind w:firstLine="640" w:firstLineChars="200"/>
        <w:jc w:val="both"/>
        <w:rPr>
          <w:rFonts w:hint="eastAsia" w:ascii="仿宋_GB2312" w:hAnsi="Times New Roman" w:eastAsia="仿宋_GB2312"/>
          <w:kern w:val="2"/>
          <w:sz w:val="32"/>
          <w:szCs w:val="24"/>
        </w:rPr>
      </w:pPr>
      <w:r>
        <w:rPr>
          <w:rFonts w:hint="eastAsia" w:ascii="Times New Roman" w:hAnsi="Times New Roman" w:eastAsia="仿宋_GB2312"/>
          <w:kern w:val="2"/>
          <w:sz w:val="32"/>
          <w:szCs w:val="24"/>
        </w:rPr>
        <w:t>根据财政下达的预算资金额度，严格把控资金使用，不超支；</w:t>
      </w:r>
      <w:r>
        <w:rPr>
          <w:rFonts w:hint="eastAsia" w:ascii="仿宋_GB2312" w:hAnsi="Times New Roman" w:eastAsia="仿宋_GB2312"/>
          <w:kern w:val="2"/>
          <w:sz w:val="32"/>
          <w:szCs w:val="24"/>
        </w:rPr>
        <w:t>严格按照方案要求确定金额，可量化可考核，契合政策实质，与年度工作目标相一致，</w:t>
      </w:r>
      <w:r>
        <w:rPr>
          <w:rFonts w:hint="eastAsia" w:ascii="Times New Roman" w:hAnsi="Times New Roman" w:eastAsia="仿宋_GB2312"/>
          <w:sz w:val="32"/>
          <w:szCs w:val="24"/>
          <w:lang w:eastAsia="zh-CN"/>
        </w:rPr>
        <w:t>解决五保户后顾之忧</w:t>
      </w:r>
      <w:r>
        <w:rPr>
          <w:rFonts w:hint="eastAsia" w:ascii="Times New Roman" w:hAnsi="Times New Roman" w:eastAsia="仿宋_GB2312"/>
          <w:sz w:val="32"/>
          <w:szCs w:val="24"/>
        </w:rPr>
        <w:t>，</w:t>
      </w:r>
      <w:r>
        <w:rPr>
          <w:rFonts w:hint="eastAsia" w:ascii="Times New Roman" w:hAnsi="Times New Roman" w:eastAsia="仿宋_GB2312"/>
          <w:sz w:val="32"/>
          <w:szCs w:val="24"/>
          <w:lang w:eastAsia="zh-CN"/>
        </w:rPr>
        <w:t>提升五保户生活质量</w:t>
      </w:r>
      <w:r>
        <w:rPr>
          <w:rFonts w:hint="eastAsia" w:ascii="仿宋_GB2312" w:hAnsi="宋体" w:eastAsia="仿宋_GB2312" w:cs="仿宋_GB2312"/>
          <w:color w:val="000000"/>
          <w:sz w:val="31"/>
          <w:szCs w:val="31"/>
          <w:lang w:val="en-US" w:eastAsia="zh-CN" w:bidi="ar"/>
        </w:rPr>
        <w:t>，提高群众满意度</w:t>
      </w:r>
      <w:r>
        <w:rPr>
          <w:rFonts w:hint="eastAsia" w:ascii="仿宋_GB2312" w:hAnsi="Times New Roman" w:eastAsia="仿宋_GB2312"/>
          <w:kern w:val="2"/>
          <w:sz w:val="32"/>
          <w:szCs w:val="24"/>
        </w:rPr>
        <w:t>。</w:t>
      </w:r>
    </w:p>
    <w:p w14:paraId="5E6AB526">
      <w:pPr>
        <w:autoSpaceDE/>
        <w:autoSpaceDN/>
        <w:adjustRightInd/>
        <w:spacing w:line="560" w:lineRule="exact"/>
        <w:ind w:firstLine="640" w:firstLineChars="200"/>
        <w:jc w:val="both"/>
        <w:outlineLvl w:val="1"/>
        <w:rPr>
          <w:rFonts w:hint="eastAsia" w:ascii="Times New Roman" w:hAnsi="Times New Roman" w:eastAsia="Times New Roman"/>
          <w:kern w:val="2"/>
          <w:sz w:val="32"/>
          <w:szCs w:val="24"/>
        </w:rPr>
      </w:pPr>
      <w:bookmarkStart w:id="156" w:name="_Toc4379"/>
      <w:bookmarkStart w:id="157" w:name="_Toc28954"/>
      <w:r>
        <w:rPr>
          <w:rFonts w:hint="eastAsia" w:ascii="Times New Roman" w:hAnsi="Times New Roman" w:eastAsia="黑体"/>
          <w:kern w:val="2"/>
          <w:sz w:val="32"/>
          <w:szCs w:val="24"/>
        </w:rPr>
        <w:t>四、问题及建议</w:t>
      </w:r>
      <w:bookmarkEnd w:id="156"/>
      <w:bookmarkEnd w:id="157"/>
    </w:p>
    <w:p w14:paraId="758529C7">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58" w:name="_Toc9746"/>
      <w:bookmarkStart w:id="159" w:name="_Toc18399"/>
      <w:r>
        <w:rPr>
          <w:rFonts w:hint="eastAsia" w:ascii="Times New Roman" w:hAnsi="Times New Roman" w:eastAsia="楷体_GB2312"/>
          <w:kern w:val="2"/>
          <w:sz w:val="32"/>
          <w:szCs w:val="24"/>
        </w:rPr>
        <w:t>（一）存在的问题。</w:t>
      </w:r>
      <w:bookmarkEnd w:id="158"/>
      <w:bookmarkEnd w:id="159"/>
    </w:p>
    <w:p w14:paraId="4728535F">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楷体_GB2312"/>
          <w:kern w:val="2"/>
          <w:sz w:val="32"/>
          <w:szCs w:val="24"/>
        </w:rPr>
        <w:t>无。</w:t>
      </w:r>
    </w:p>
    <w:p w14:paraId="0DA3209E">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60" w:name="_Toc18336"/>
      <w:bookmarkStart w:id="161" w:name="_Toc23048"/>
      <w:r>
        <w:rPr>
          <w:rFonts w:hint="eastAsia" w:ascii="Times New Roman" w:hAnsi="Times New Roman" w:eastAsia="楷体_GB2312"/>
          <w:kern w:val="2"/>
          <w:sz w:val="32"/>
          <w:szCs w:val="24"/>
        </w:rPr>
        <w:t>（二）相关建议。</w:t>
      </w:r>
      <w:bookmarkEnd w:id="160"/>
      <w:bookmarkEnd w:id="161"/>
    </w:p>
    <w:p w14:paraId="4F840611">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无。</w:t>
      </w:r>
    </w:p>
    <w:p w14:paraId="7B57D796">
      <w:pPr>
        <w:autoSpaceDE/>
        <w:autoSpaceDN/>
        <w:adjustRightInd/>
        <w:spacing w:line="560" w:lineRule="exact"/>
        <w:ind w:firstLine="640" w:firstLineChars="200"/>
        <w:jc w:val="both"/>
        <w:rPr>
          <w:rFonts w:hint="eastAsia" w:ascii="Times New Roman" w:hAnsi="Times New Roman" w:eastAsia="仿宋_GB2312"/>
          <w:kern w:val="2"/>
          <w:sz w:val="32"/>
          <w:szCs w:val="24"/>
          <w:lang w:val="en-US" w:eastAsia="zh-CN"/>
        </w:rPr>
      </w:pPr>
    </w:p>
    <w:p w14:paraId="1B2A4BF2">
      <w:pPr>
        <w:autoSpaceDE/>
        <w:autoSpaceDN/>
        <w:adjustRightInd/>
        <w:spacing w:line="560" w:lineRule="exact"/>
        <w:ind w:firstLine="640" w:firstLineChars="200"/>
        <w:jc w:val="both"/>
        <w:rPr>
          <w:rFonts w:hint="eastAsia" w:ascii="Times New Roman" w:hAnsi="Times New Roman" w:eastAsia="仿宋_GB2312"/>
          <w:kern w:val="2"/>
          <w:sz w:val="32"/>
          <w:szCs w:val="24"/>
          <w:lang w:val="en-US" w:eastAsia="zh-CN"/>
        </w:rPr>
      </w:pPr>
    </w:p>
    <w:p w14:paraId="61467C3C">
      <w:pPr>
        <w:autoSpaceDE/>
        <w:autoSpaceDN/>
        <w:adjustRightInd/>
        <w:spacing w:line="560" w:lineRule="exact"/>
        <w:ind w:firstLine="640" w:firstLineChars="200"/>
        <w:jc w:val="both"/>
        <w:rPr>
          <w:rFonts w:hint="eastAsia" w:ascii="Times New Roman" w:hAnsi="Times New Roman" w:eastAsia="仿宋_GB2312"/>
          <w:kern w:val="2"/>
          <w:sz w:val="32"/>
          <w:szCs w:val="24"/>
          <w:lang w:val="en-US" w:eastAsia="zh-CN"/>
        </w:rPr>
      </w:pPr>
    </w:p>
    <w:p w14:paraId="6CC1EE3B">
      <w:pPr>
        <w:autoSpaceDE/>
        <w:autoSpaceDN/>
        <w:adjustRightInd/>
        <w:spacing w:line="560" w:lineRule="exact"/>
        <w:ind w:firstLine="640" w:firstLineChars="200"/>
        <w:jc w:val="both"/>
        <w:rPr>
          <w:rFonts w:hint="eastAsia" w:ascii="Times New Roman" w:hAnsi="Times New Roman" w:eastAsia="仿宋_GB2312"/>
          <w:kern w:val="2"/>
          <w:sz w:val="32"/>
          <w:szCs w:val="24"/>
          <w:lang w:val="en-US" w:eastAsia="zh-CN"/>
        </w:rPr>
      </w:pPr>
    </w:p>
    <w:p w14:paraId="7C1E7CC0">
      <w:pPr>
        <w:autoSpaceDE/>
        <w:autoSpaceDN/>
        <w:adjustRightInd/>
        <w:spacing w:line="560" w:lineRule="exact"/>
        <w:ind w:firstLine="640" w:firstLineChars="200"/>
        <w:jc w:val="both"/>
        <w:rPr>
          <w:rFonts w:hint="eastAsia" w:ascii="Times New Roman" w:hAnsi="Times New Roman" w:eastAsia="仿宋_GB2312"/>
          <w:kern w:val="2"/>
          <w:sz w:val="32"/>
          <w:szCs w:val="24"/>
          <w:lang w:val="en-US" w:eastAsia="zh-CN"/>
        </w:rPr>
      </w:pPr>
    </w:p>
    <w:p w14:paraId="0BB7A00E">
      <w:pPr>
        <w:autoSpaceDE/>
        <w:autoSpaceDN/>
        <w:adjustRightInd/>
        <w:spacing w:line="560" w:lineRule="exact"/>
        <w:ind w:firstLine="640" w:firstLineChars="200"/>
        <w:jc w:val="both"/>
        <w:rPr>
          <w:rFonts w:hint="eastAsia" w:ascii="Times New Roman" w:hAnsi="Times New Roman" w:eastAsia="仿宋_GB2312"/>
          <w:kern w:val="2"/>
          <w:sz w:val="32"/>
          <w:szCs w:val="24"/>
          <w:lang w:val="en-US" w:eastAsia="zh-CN"/>
        </w:rPr>
      </w:pPr>
    </w:p>
    <w:p w14:paraId="6798AE52">
      <w:pPr>
        <w:autoSpaceDE/>
        <w:autoSpaceDN/>
        <w:adjustRightInd/>
        <w:spacing w:line="560" w:lineRule="exact"/>
        <w:ind w:firstLine="640" w:firstLineChars="200"/>
        <w:jc w:val="both"/>
        <w:rPr>
          <w:rFonts w:hint="eastAsia" w:ascii="Times New Roman" w:hAnsi="Times New Roman" w:eastAsia="仿宋_GB2312"/>
          <w:kern w:val="2"/>
          <w:sz w:val="32"/>
          <w:szCs w:val="24"/>
          <w:lang w:val="en-US" w:eastAsia="zh-CN"/>
        </w:rPr>
      </w:pPr>
    </w:p>
    <w:p w14:paraId="158C7A56">
      <w:pPr>
        <w:autoSpaceDE/>
        <w:autoSpaceDN/>
        <w:adjustRightInd/>
        <w:spacing w:line="560" w:lineRule="exact"/>
        <w:ind w:firstLine="640" w:firstLineChars="200"/>
        <w:jc w:val="both"/>
        <w:rPr>
          <w:rFonts w:hint="eastAsia" w:ascii="Times New Roman" w:hAnsi="Times New Roman" w:eastAsia="仿宋_GB2312"/>
          <w:kern w:val="2"/>
          <w:sz w:val="32"/>
          <w:szCs w:val="24"/>
          <w:lang w:val="en-US" w:eastAsia="zh-CN"/>
        </w:rPr>
      </w:pPr>
    </w:p>
    <w:p w14:paraId="70232E4B">
      <w:pPr>
        <w:autoSpaceDE/>
        <w:autoSpaceDN/>
        <w:adjustRightInd/>
        <w:spacing w:line="560" w:lineRule="exact"/>
        <w:ind w:firstLine="640" w:firstLineChars="200"/>
        <w:jc w:val="both"/>
        <w:rPr>
          <w:rFonts w:hint="eastAsia" w:ascii="Times New Roman" w:hAnsi="Times New Roman" w:eastAsia="仿宋_GB2312"/>
          <w:kern w:val="2"/>
          <w:sz w:val="32"/>
          <w:szCs w:val="24"/>
          <w:lang w:val="en-US" w:eastAsia="zh-CN"/>
        </w:rPr>
      </w:pPr>
    </w:p>
    <w:p w14:paraId="3F1C479F">
      <w:pPr>
        <w:autoSpaceDE/>
        <w:autoSpaceDN/>
        <w:adjustRightInd/>
        <w:spacing w:line="640" w:lineRule="exact"/>
        <w:jc w:val="center"/>
        <w:rPr>
          <w:rFonts w:hint="eastAsia" w:ascii="方正小标宋简体" w:hAnsi="方正小标宋简体" w:eastAsia="方正小标宋简体" w:cs="Times New Roman"/>
          <w:color w:val="auto"/>
          <w:kern w:val="2"/>
          <w:sz w:val="32"/>
          <w:szCs w:val="24"/>
          <w:lang w:val="en-US" w:eastAsia="zh-CN"/>
        </w:rPr>
      </w:pPr>
      <w:r>
        <w:rPr>
          <w:rFonts w:hint="eastAsia" w:ascii="方正小标宋简体" w:hAnsi="方正小标宋简体" w:eastAsia="方正小标宋简体" w:cs="Times New Roman"/>
          <w:color w:val="auto"/>
          <w:kern w:val="2"/>
          <w:sz w:val="32"/>
          <w:szCs w:val="24"/>
          <w:lang w:val="en-US" w:eastAsia="zh-CN"/>
        </w:rPr>
        <w:t>共和乡人民政府关于2022敬老院人员工作经费-公用经费的</w:t>
      </w:r>
    </w:p>
    <w:p w14:paraId="425304D9">
      <w:pPr>
        <w:autoSpaceDE/>
        <w:autoSpaceDN/>
        <w:adjustRightInd/>
        <w:spacing w:line="640" w:lineRule="exact"/>
        <w:jc w:val="center"/>
        <w:rPr>
          <w:rFonts w:hint="eastAsia" w:ascii="方正小标宋简体" w:hAnsi="方正小标宋简体" w:eastAsia="方正小标宋简体" w:cs="Times New Roman"/>
          <w:color w:val="auto"/>
          <w:kern w:val="2"/>
          <w:sz w:val="32"/>
          <w:szCs w:val="24"/>
          <w:lang w:val="en-US" w:eastAsia="zh-CN"/>
        </w:rPr>
      </w:pPr>
      <w:r>
        <w:rPr>
          <w:rFonts w:hint="eastAsia" w:ascii="方正小标宋简体" w:hAnsi="方正小标宋简体" w:eastAsia="方正小标宋简体" w:cs="Times New Roman"/>
          <w:color w:val="auto"/>
          <w:kern w:val="2"/>
          <w:sz w:val="32"/>
          <w:szCs w:val="24"/>
          <w:lang w:val="en-US" w:eastAsia="zh-CN"/>
        </w:rPr>
        <w:t>专项预算项目支出绩效自评报告</w:t>
      </w:r>
    </w:p>
    <w:p w14:paraId="00596000">
      <w:pPr>
        <w:autoSpaceDE/>
        <w:autoSpaceDN/>
        <w:adjustRightInd/>
        <w:spacing w:line="640" w:lineRule="exact"/>
        <w:jc w:val="center"/>
        <w:outlineLvl w:val="1"/>
        <w:rPr>
          <w:rFonts w:hint="eastAsia" w:ascii="Times New Roman" w:hAnsi="Times New Roman" w:eastAsia="Times New Roman"/>
          <w:b/>
          <w:kern w:val="2"/>
          <w:sz w:val="32"/>
          <w:szCs w:val="24"/>
        </w:rPr>
      </w:pPr>
      <w:bookmarkStart w:id="162" w:name="_Toc27208"/>
      <w:bookmarkStart w:id="163" w:name="_Toc24416"/>
      <w:r>
        <w:rPr>
          <w:rFonts w:hint="eastAsia" w:ascii="Times New Roman" w:hAnsi="Times New Roman" w:eastAsia="楷体_GB2312"/>
          <w:b/>
          <w:kern w:val="2"/>
          <w:sz w:val="32"/>
          <w:szCs w:val="24"/>
        </w:rPr>
        <w:t>（项目单位自评）</w:t>
      </w:r>
      <w:bookmarkEnd w:id="162"/>
      <w:bookmarkEnd w:id="163"/>
    </w:p>
    <w:p w14:paraId="22A9D3B7">
      <w:pPr>
        <w:spacing w:line="560" w:lineRule="exact"/>
        <w:ind w:firstLine="640"/>
        <w:jc w:val="center"/>
        <w:rPr>
          <w:rFonts w:hint="eastAsia" w:ascii="Times New Roman" w:hAnsi="Times New Roman" w:eastAsia="Times New Roman" w:cs="Times New Roman"/>
          <w:color w:val="auto"/>
          <w:kern w:val="2"/>
          <w:sz w:val="32"/>
          <w:szCs w:val="32"/>
          <w:lang w:val="zh-CN" w:eastAsia="zh-CN" w:bidi="ar-SA"/>
        </w:rPr>
      </w:pPr>
    </w:p>
    <w:p w14:paraId="6C292F39">
      <w:pPr>
        <w:autoSpaceDE/>
        <w:autoSpaceDN/>
        <w:adjustRightInd/>
        <w:spacing w:line="560" w:lineRule="exact"/>
        <w:ind w:firstLine="640" w:firstLineChars="200"/>
        <w:jc w:val="both"/>
        <w:outlineLvl w:val="1"/>
        <w:rPr>
          <w:rFonts w:hint="eastAsia" w:ascii="Times New Roman" w:hAnsi="Times New Roman" w:eastAsia="Times New Roman"/>
          <w:kern w:val="2"/>
          <w:sz w:val="32"/>
          <w:szCs w:val="24"/>
        </w:rPr>
      </w:pPr>
      <w:bookmarkStart w:id="164" w:name="_Toc10630"/>
      <w:bookmarkStart w:id="165" w:name="_Toc26383"/>
      <w:r>
        <w:rPr>
          <w:rFonts w:hint="eastAsia" w:ascii="Times New Roman" w:hAnsi="Times New Roman" w:eastAsia="黑体"/>
          <w:kern w:val="2"/>
          <w:sz w:val="32"/>
          <w:szCs w:val="24"/>
        </w:rPr>
        <w:t>一、项目概况</w:t>
      </w:r>
      <w:bookmarkEnd w:id="164"/>
      <w:bookmarkEnd w:id="165"/>
    </w:p>
    <w:p w14:paraId="1824C137">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66" w:name="_Toc21390"/>
      <w:bookmarkStart w:id="167" w:name="_Toc4698"/>
      <w:r>
        <w:rPr>
          <w:rFonts w:hint="eastAsia" w:ascii="Times New Roman" w:hAnsi="Times New Roman" w:eastAsia="楷体_GB2312"/>
          <w:kern w:val="2"/>
          <w:sz w:val="32"/>
          <w:szCs w:val="24"/>
        </w:rPr>
        <w:t>（一）项目资金申报及批复情况。</w:t>
      </w:r>
      <w:bookmarkEnd w:id="166"/>
      <w:bookmarkEnd w:id="167"/>
    </w:p>
    <w:p w14:paraId="6D3E8D6D">
      <w:pPr>
        <w:autoSpaceDE/>
        <w:autoSpaceDN/>
        <w:adjustRightInd/>
        <w:spacing w:line="560" w:lineRule="exact"/>
        <w:ind w:firstLine="800" w:firstLineChars="250"/>
        <w:jc w:val="both"/>
        <w:rPr>
          <w:rFonts w:hint="eastAsia" w:ascii="Times New Roman" w:hAnsi="Times New Roman" w:eastAsia="Times New Roman"/>
          <w:kern w:val="2"/>
          <w:sz w:val="32"/>
          <w:szCs w:val="24"/>
          <w:lang w:val="en-US" w:eastAsia="zh-CN"/>
        </w:rPr>
      </w:pPr>
      <w:r>
        <w:rPr>
          <w:rFonts w:hint="eastAsia" w:ascii="仿宋_GB2312" w:hAnsi="宋体" w:eastAsia="仿宋_GB2312"/>
          <w:sz w:val="32"/>
          <w:szCs w:val="24"/>
          <w:lang w:val="en-US" w:eastAsia="zh-CN"/>
        </w:rPr>
        <w:t>共和乡人民政府2022年敬老院人员公用经费13500元</w:t>
      </w:r>
      <w:r>
        <w:rPr>
          <w:rFonts w:hint="eastAsia" w:ascii="Times New Roman" w:hAnsi="Times New Roman" w:eastAsia="仿宋_GB2312"/>
          <w:kern w:val="2"/>
          <w:sz w:val="32"/>
          <w:szCs w:val="24"/>
          <w:lang w:val="en-US" w:eastAsia="zh-CN"/>
        </w:rPr>
        <w:t>。</w:t>
      </w:r>
    </w:p>
    <w:p w14:paraId="76A8502B">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68" w:name="_Toc27907"/>
      <w:bookmarkStart w:id="169" w:name="_Toc17914"/>
      <w:r>
        <w:rPr>
          <w:rFonts w:hint="eastAsia" w:ascii="Times New Roman" w:hAnsi="Times New Roman" w:eastAsia="楷体_GB2312"/>
          <w:kern w:val="2"/>
          <w:sz w:val="32"/>
          <w:szCs w:val="24"/>
        </w:rPr>
        <w:t>（二）项目绩效目标。</w:t>
      </w:r>
      <w:bookmarkEnd w:id="168"/>
      <w:bookmarkEnd w:id="169"/>
    </w:p>
    <w:p w14:paraId="2BBE93BE">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1.主要内容</w:t>
      </w:r>
    </w:p>
    <w:p w14:paraId="50283F54">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仿宋_GB2312" w:hAnsi="宋体" w:eastAsia="仿宋_GB2312"/>
          <w:sz w:val="32"/>
          <w:szCs w:val="24"/>
          <w:lang w:val="en-US" w:eastAsia="zh-CN"/>
        </w:rPr>
        <w:t>主要用于共和乡敬老院人员公用经费</w:t>
      </w:r>
      <w:r>
        <w:rPr>
          <w:rFonts w:hint="eastAsia" w:ascii="Times New Roman" w:hAnsi="Times New Roman" w:eastAsia="仿宋_GB2312"/>
          <w:kern w:val="2"/>
          <w:sz w:val="32"/>
          <w:szCs w:val="24"/>
        </w:rPr>
        <w:t>。</w:t>
      </w:r>
    </w:p>
    <w:p w14:paraId="409B9711">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2.计划实现的具体绩效目标</w:t>
      </w:r>
    </w:p>
    <w:p w14:paraId="1EB750C5">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仿宋_GB2312" w:hAnsi="宋体" w:eastAsia="仿宋_GB2312"/>
          <w:sz w:val="32"/>
          <w:szCs w:val="24"/>
          <w:lang w:val="en-US" w:eastAsia="zh-CN"/>
        </w:rPr>
        <w:t>2022年共和乡敬老院人员公用经费预算为13500元，项目资金符合管理规定，确保做到厉行节约，不该开支的费用不予列支。</w:t>
      </w:r>
    </w:p>
    <w:p w14:paraId="31FF75B6">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70" w:name="_Toc16223"/>
      <w:bookmarkStart w:id="171" w:name="_Toc17175"/>
      <w:r>
        <w:rPr>
          <w:rFonts w:hint="eastAsia" w:ascii="Times New Roman" w:hAnsi="Times New Roman" w:eastAsia="楷体_GB2312"/>
          <w:kern w:val="2"/>
          <w:sz w:val="32"/>
          <w:szCs w:val="24"/>
        </w:rPr>
        <w:t>（三）项目资金申报相符性。</w:t>
      </w:r>
      <w:bookmarkEnd w:id="170"/>
      <w:bookmarkEnd w:id="171"/>
    </w:p>
    <w:p w14:paraId="6CA13B18">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该资金由县财政局下达预算到盐边县</w:t>
      </w:r>
      <w:r>
        <w:rPr>
          <w:rFonts w:hint="eastAsia" w:ascii="Times New Roman" w:hAnsi="Times New Roman" w:eastAsia="仿宋_GB2312"/>
          <w:kern w:val="2"/>
          <w:sz w:val="32"/>
          <w:szCs w:val="24"/>
          <w:lang w:val="en-US" w:eastAsia="zh-CN"/>
        </w:rPr>
        <w:t>共和乡</w:t>
      </w:r>
      <w:r>
        <w:rPr>
          <w:rFonts w:hint="eastAsia" w:ascii="Times New Roman" w:hAnsi="Times New Roman" w:eastAsia="仿宋_GB2312"/>
          <w:kern w:val="2"/>
          <w:sz w:val="32"/>
          <w:szCs w:val="24"/>
        </w:rPr>
        <w:t>人民政府进行核算。与实际相符、申报目标合理可行。</w:t>
      </w:r>
    </w:p>
    <w:p w14:paraId="21785A9B">
      <w:pPr>
        <w:autoSpaceDE/>
        <w:autoSpaceDN/>
        <w:adjustRightInd/>
        <w:spacing w:line="560" w:lineRule="exact"/>
        <w:ind w:firstLine="640" w:firstLineChars="200"/>
        <w:jc w:val="both"/>
        <w:outlineLvl w:val="1"/>
        <w:rPr>
          <w:rFonts w:hint="eastAsia" w:ascii="Times New Roman" w:hAnsi="Times New Roman" w:eastAsia="Times New Roman"/>
          <w:kern w:val="2"/>
          <w:sz w:val="32"/>
          <w:szCs w:val="24"/>
        </w:rPr>
      </w:pPr>
      <w:bookmarkStart w:id="172" w:name="_Toc23456"/>
      <w:bookmarkStart w:id="173" w:name="_Toc15016"/>
      <w:r>
        <w:rPr>
          <w:rFonts w:hint="eastAsia" w:ascii="Times New Roman" w:hAnsi="Times New Roman" w:eastAsia="黑体"/>
          <w:kern w:val="2"/>
          <w:sz w:val="32"/>
          <w:szCs w:val="24"/>
        </w:rPr>
        <w:t>二、项目实施及管理情况</w:t>
      </w:r>
      <w:bookmarkEnd w:id="172"/>
      <w:bookmarkEnd w:id="173"/>
    </w:p>
    <w:p w14:paraId="3626491A">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74" w:name="_Toc17937"/>
      <w:bookmarkStart w:id="175" w:name="_Toc6888"/>
      <w:r>
        <w:rPr>
          <w:rFonts w:hint="eastAsia" w:ascii="Times New Roman" w:hAnsi="Times New Roman" w:eastAsia="楷体_GB2312"/>
          <w:kern w:val="2"/>
          <w:sz w:val="32"/>
          <w:szCs w:val="24"/>
        </w:rPr>
        <w:t>（一）资金计划、到位及使用情况。</w:t>
      </w:r>
      <w:bookmarkEnd w:id="174"/>
      <w:bookmarkEnd w:id="175"/>
    </w:p>
    <w:p w14:paraId="78F608D7">
      <w:pPr>
        <w:autoSpaceDE/>
        <w:autoSpaceDN/>
        <w:adjustRightInd/>
        <w:spacing w:line="560" w:lineRule="exact"/>
        <w:ind w:firstLine="640" w:firstLineChars="200"/>
        <w:jc w:val="both"/>
        <w:rPr>
          <w:rFonts w:hint="eastAsia" w:ascii="Times New Roman" w:hAnsi="Times New Roman" w:eastAsia="Times New Roman"/>
          <w:b/>
          <w:kern w:val="2"/>
          <w:sz w:val="32"/>
          <w:szCs w:val="24"/>
        </w:rPr>
      </w:pPr>
      <w:r>
        <w:rPr>
          <w:rFonts w:hint="eastAsia" w:ascii="Times New Roman" w:hAnsi="Times New Roman" w:eastAsia="Times New Roman"/>
          <w:b/>
          <w:kern w:val="2"/>
          <w:sz w:val="32"/>
          <w:szCs w:val="24"/>
        </w:rPr>
        <w:t>1.</w:t>
      </w:r>
      <w:r>
        <w:rPr>
          <w:rFonts w:hint="eastAsia" w:ascii="Times New Roman" w:hAnsi="Times New Roman" w:eastAsia="仿宋_GB2312"/>
          <w:b/>
          <w:kern w:val="2"/>
          <w:sz w:val="32"/>
          <w:szCs w:val="24"/>
        </w:rPr>
        <w:t>资金计划及到位。</w:t>
      </w:r>
    </w:p>
    <w:p w14:paraId="512E5544">
      <w:pPr>
        <w:autoSpaceDE/>
        <w:autoSpaceDN/>
        <w:adjustRightInd/>
        <w:spacing w:line="560" w:lineRule="exact"/>
        <w:ind w:firstLine="640" w:firstLineChars="200"/>
        <w:jc w:val="both"/>
        <w:rPr>
          <w:rFonts w:hint="eastAsia" w:ascii="仿宋_GB2312" w:hAnsi="Times New Roman" w:eastAsia="仿宋_GB2312"/>
          <w:kern w:val="2"/>
          <w:sz w:val="32"/>
          <w:szCs w:val="24"/>
        </w:rPr>
      </w:pPr>
      <w:r>
        <w:rPr>
          <w:rFonts w:hint="eastAsia" w:ascii="Times New Roman" w:hAnsi="Times New Roman" w:eastAsia="Times New Roman"/>
          <w:kern w:val="2"/>
          <w:sz w:val="32"/>
          <w:szCs w:val="24"/>
        </w:rPr>
        <w:t>202</w:t>
      </w:r>
      <w:r>
        <w:rPr>
          <w:rFonts w:hint="eastAsia" w:ascii="Times New Roman" w:hAnsi="Times New Roman" w:eastAsia="仿宋_GB2312"/>
          <w:kern w:val="2"/>
          <w:sz w:val="32"/>
          <w:szCs w:val="24"/>
        </w:rPr>
        <w:t>2</w:t>
      </w:r>
      <w:r>
        <w:rPr>
          <w:rFonts w:hint="eastAsia" w:ascii="仿宋_GB2312" w:hAnsi="Times New Roman" w:eastAsia="仿宋_GB2312"/>
          <w:kern w:val="2"/>
          <w:sz w:val="32"/>
          <w:szCs w:val="24"/>
        </w:rPr>
        <w:t>年预算下达</w:t>
      </w:r>
      <w:r>
        <w:rPr>
          <w:rFonts w:hint="eastAsia" w:ascii="仿宋_GB2312" w:hAnsi="Times New Roman" w:eastAsia="仿宋_GB2312"/>
          <w:kern w:val="2"/>
          <w:sz w:val="32"/>
          <w:szCs w:val="24"/>
          <w:lang w:val="en-US" w:eastAsia="zh-CN"/>
        </w:rPr>
        <w:t>1.35</w:t>
      </w:r>
      <w:r>
        <w:rPr>
          <w:rFonts w:hint="eastAsia" w:ascii="Times New Roman" w:hAnsi="Times New Roman" w:eastAsia="仿宋_GB2312"/>
          <w:kern w:val="2"/>
          <w:sz w:val="32"/>
          <w:szCs w:val="24"/>
        </w:rPr>
        <w:t>万</w:t>
      </w:r>
      <w:r>
        <w:rPr>
          <w:rFonts w:hint="eastAsia" w:ascii="仿宋_GB2312" w:hAnsi="Times New Roman" w:eastAsia="仿宋_GB2312"/>
          <w:kern w:val="2"/>
          <w:sz w:val="32"/>
          <w:szCs w:val="24"/>
        </w:rPr>
        <w:t>元。</w:t>
      </w:r>
      <w:r>
        <w:rPr>
          <w:rFonts w:hint="eastAsia" w:ascii="Times New Roman" w:hAnsi="Times New Roman" w:eastAsia="仿宋_GB2312"/>
          <w:kern w:val="2"/>
          <w:sz w:val="32"/>
          <w:szCs w:val="24"/>
        </w:rPr>
        <w:t>该资金2022年当年全部到位，当年全部使用完毕。</w:t>
      </w:r>
    </w:p>
    <w:p w14:paraId="662CEC1C">
      <w:pPr>
        <w:autoSpaceDE/>
        <w:autoSpaceDN/>
        <w:adjustRightInd/>
        <w:spacing w:line="560" w:lineRule="exact"/>
        <w:ind w:firstLine="640" w:firstLineChars="200"/>
        <w:jc w:val="both"/>
        <w:rPr>
          <w:rFonts w:hint="eastAsia" w:ascii="Times New Roman" w:hAnsi="Times New Roman" w:eastAsia="Times New Roman"/>
          <w:b/>
          <w:kern w:val="2"/>
          <w:sz w:val="32"/>
          <w:szCs w:val="24"/>
        </w:rPr>
      </w:pPr>
      <w:r>
        <w:rPr>
          <w:rFonts w:hint="eastAsia" w:ascii="Times New Roman" w:hAnsi="Times New Roman" w:eastAsia="Times New Roman"/>
          <w:b/>
          <w:kern w:val="2"/>
          <w:sz w:val="32"/>
          <w:szCs w:val="24"/>
        </w:rPr>
        <w:t>2.</w:t>
      </w:r>
      <w:r>
        <w:rPr>
          <w:rFonts w:hint="eastAsia" w:ascii="Times New Roman" w:hAnsi="Times New Roman" w:eastAsia="仿宋_GB2312"/>
          <w:b/>
          <w:kern w:val="2"/>
          <w:sz w:val="32"/>
          <w:szCs w:val="24"/>
        </w:rPr>
        <w:t>资金使用。</w:t>
      </w:r>
    </w:p>
    <w:p w14:paraId="30860A3B">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该资金截至评价时点，支付范围、支付标准、支付进度、支付依据等合规合法、与预算相符。我单位及时报账，按财政局要求专款专用，已全部报账使用。</w:t>
      </w:r>
    </w:p>
    <w:p w14:paraId="101A01A6">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76" w:name="_Toc30424"/>
      <w:bookmarkStart w:id="177" w:name="_Toc20729"/>
      <w:r>
        <w:rPr>
          <w:rFonts w:hint="eastAsia" w:ascii="Times New Roman" w:hAnsi="Times New Roman" w:eastAsia="楷体_GB2312"/>
          <w:kern w:val="2"/>
          <w:sz w:val="32"/>
          <w:szCs w:val="24"/>
        </w:rPr>
        <w:t>（二）项目财务管理情况。</w:t>
      </w:r>
      <w:bookmarkEnd w:id="176"/>
      <w:bookmarkEnd w:id="177"/>
    </w:p>
    <w:p w14:paraId="3E9C8596">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我单位有健全的财务管理制度，资金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1003B08B">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78" w:name="_Toc31242"/>
      <w:bookmarkStart w:id="179" w:name="_Toc14428"/>
      <w:r>
        <w:rPr>
          <w:rFonts w:hint="eastAsia" w:ascii="Times New Roman" w:hAnsi="Times New Roman" w:eastAsia="楷体_GB2312"/>
          <w:kern w:val="2"/>
          <w:sz w:val="32"/>
          <w:szCs w:val="24"/>
        </w:rPr>
        <w:t>（三）项目组织实施情况。</w:t>
      </w:r>
      <w:bookmarkEnd w:id="178"/>
      <w:bookmarkEnd w:id="179"/>
    </w:p>
    <w:p w14:paraId="271C103A">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由</w:t>
      </w:r>
      <w:r>
        <w:rPr>
          <w:rFonts w:hint="eastAsia" w:ascii="Times New Roman" w:hAnsi="Times New Roman" w:eastAsia="仿宋_GB2312"/>
          <w:kern w:val="2"/>
          <w:sz w:val="32"/>
          <w:szCs w:val="24"/>
          <w:lang w:eastAsia="zh-CN"/>
        </w:rPr>
        <w:t>敬老院</w:t>
      </w:r>
      <w:r>
        <w:rPr>
          <w:rFonts w:hint="eastAsia" w:ascii="Times New Roman" w:hAnsi="Times New Roman" w:eastAsia="仿宋_GB2312"/>
          <w:kern w:val="2"/>
          <w:sz w:val="32"/>
          <w:szCs w:val="24"/>
        </w:rPr>
        <w:t>牵头</w:t>
      </w:r>
      <w:r>
        <w:rPr>
          <w:rFonts w:hint="eastAsia" w:ascii="Times New Roman" w:hAnsi="Times New Roman" w:eastAsia="仿宋_GB2312"/>
          <w:kern w:val="2"/>
          <w:sz w:val="32"/>
          <w:szCs w:val="24"/>
          <w:lang w:eastAsia="zh-CN"/>
        </w:rPr>
        <w:t>，</w:t>
      </w:r>
      <w:r>
        <w:rPr>
          <w:rFonts w:hint="eastAsia" w:ascii="Times New Roman" w:hAnsi="Times New Roman" w:eastAsia="仿宋_GB2312"/>
          <w:kern w:val="2"/>
          <w:sz w:val="32"/>
          <w:szCs w:val="24"/>
        </w:rPr>
        <w:t>根据项目申报和经费下达情况进行方案编制。此项目资金为2022</w:t>
      </w:r>
      <w:r>
        <w:rPr>
          <w:rFonts w:hint="eastAsia" w:ascii="Times New Roman" w:hAnsi="Times New Roman" w:eastAsia="仿宋_GB2312"/>
          <w:kern w:val="2"/>
          <w:sz w:val="32"/>
          <w:szCs w:val="24"/>
          <w:lang w:val="en-US" w:eastAsia="zh-CN"/>
        </w:rPr>
        <w:t>年</w:t>
      </w:r>
      <w:r>
        <w:rPr>
          <w:rFonts w:hint="eastAsia" w:ascii="仿宋_GB2312" w:hAnsi="宋体" w:eastAsia="仿宋_GB2312"/>
          <w:sz w:val="32"/>
          <w:szCs w:val="24"/>
          <w:lang w:val="en-US" w:eastAsia="zh-CN"/>
        </w:rPr>
        <w:t>共和乡敬老院人员公用经费</w:t>
      </w:r>
      <w:r>
        <w:rPr>
          <w:rFonts w:hint="eastAsia" w:ascii="Times New Roman" w:hAnsi="Times New Roman" w:eastAsia="仿宋_GB2312"/>
          <w:kern w:val="2"/>
          <w:sz w:val="32"/>
          <w:szCs w:val="24"/>
        </w:rPr>
        <w:t>，县财政局下达预算资金，相关经办人员结合实际发生费用提供相关报账原始凭据报账，我单位进行审核，向财政局统一预算管理一体化平台申报计划，进行支付、核算。同时按照省级要求时间节点及时支付兑现。</w:t>
      </w:r>
    </w:p>
    <w:p w14:paraId="1222E6C8">
      <w:pPr>
        <w:autoSpaceDE/>
        <w:autoSpaceDN/>
        <w:adjustRightInd/>
        <w:spacing w:line="560" w:lineRule="exact"/>
        <w:ind w:firstLine="640" w:firstLineChars="200"/>
        <w:jc w:val="both"/>
        <w:outlineLvl w:val="1"/>
        <w:rPr>
          <w:rFonts w:hint="eastAsia" w:ascii="Times New Roman" w:hAnsi="Times New Roman" w:eastAsia="Times New Roman"/>
          <w:kern w:val="2"/>
          <w:sz w:val="32"/>
          <w:szCs w:val="24"/>
        </w:rPr>
      </w:pPr>
      <w:bookmarkStart w:id="180" w:name="_Toc19393"/>
      <w:bookmarkStart w:id="181" w:name="_Toc28141"/>
      <w:r>
        <w:rPr>
          <w:rFonts w:hint="eastAsia" w:ascii="Times New Roman" w:hAnsi="Times New Roman" w:eastAsia="黑体"/>
          <w:kern w:val="2"/>
          <w:sz w:val="32"/>
          <w:szCs w:val="24"/>
        </w:rPr>
        <w:t>三、项目绩效情况</w:t>
      </w:r>
      <w:bookmarkEnd w:id="180"/>
      <w:bookmarkEnd w:id="181"/>
      <w:r>
        <w:rPr>
          <w:rFonts w:hint="eastAsia" w:ascii="Times New Roman" w:hAnsi="Times New Roman" w:eastAsia="Times New Roman"/>
          <w:kern w:val="2"/>
          <w:sz w:val="32"/>
          <w:szCs w:val="24"/>
        </w:rPr>
        <w:tab/>
      </w:r>
    </w:p>
    <w:p w14:paraId="1CC7F0D1">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82" w:name="_Toc8110"/>
      <w:bookmarkStart w:id="183" w:name="_Toc16881"/>
      <w:r>
        <w:rPr>
          <w:rFonts w:hint="eastAsia" w:ascii="Times New Roman" w:hAnsi="Times New Roman" w:eastAsia="楷体_GB2312"/>
          <w:kern w:val="2"/>
          <w:sz w:val="32"/>
          <w:szCs w:val="24"/>
        </w:rPr>
        <w:t>（一）项目完成情况。</w:t>
      </w:r>
      <w:bookmarkEnd w:id="182"/>
      <w:bookmarkEnd w:id="183"/>
    </w:p>
    <w:p w14:paraId="53501D10">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已于2022年全部使用、报账及核算。</w:t>
      </w:r>
      <w:r>
        <w:rPr>
          <w:rFonts w:hint="eastAsia" w:ascii="Times New Roman" w:hAnsi="Times New Roman" w:eastAsia="仿宋_GB2312"/>
          <w:kern w:val="2"/>
          <w:sz w:val="32"/>
          <w:szCs w:val="24"/>
          <w:lang w:eastAsia="zh-CN"/>
        </w:rPr>
        <w:t>主要用于</w:t>
      </w:r>
      <w:r>
        <w:rPr>
          <w:rFonts w:hint="eastAsia" w:ascii="仿宋_GB2312" w:hAnsi="宋体" w:eastAsia="仿宋_GB2312"/>
          <w:sz w:val="32"/>
          <w:szCs w:val="24"/>
          <w:lang w:val="en-US" w:eastAsia="zh-CN"/>
        </w:rPr>
        <w:t>共和乡敬老院人员公用经费</w:t>
      </w:r>
      <w:r>
        <w:rPr>
          <w:rFonts w:hint="eastAsia" w:ascii="Times New Roman" w:hAnsi="Times New Roman" w:eastAsia="仿宋_GB2312"/>
          <w:kern w:val="2"/>
          <w:sz w:val="32"/>
          <w:szCs w:val="24"/>
        </w:rPr>
        <w:t>。</w:t>
      </w:r>
    </w:p>
    <w:p w14:paraId="28682988">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84" w:name="_Toc4634"/>
      <w:bookmarkStart w:id="185" w:name="_Toc26035"/>
      <w:r>
        <w:rPr>
          <w:rFonts w:hint="eastAsia" w:ascii="Times New Roman" w:hAnsi="Times New Roman" w:eastAsia="楷体_GB2312"/>
          <w:kern w:val="2"/>
          <w:sz w:val="32"/>
          <w:szCs w:val="24"/>
        </w:rPr>
        <w:t>（二）项目效益情况。</w:t>
      </w:r>
      <w:bookmarkEnd w:id="184"/>
      <w:bookmarkEnd w:id="185"/>
    </w:p>
    <w:p w14:paraId="62E6F6AB">
      <w:pPr>
        <w:autoSpaceDE/>
        <w:autoSpaceDN/>
        <w:adjustRightInd/>
        <w:spacing w:line="560" w:lineRule="exact"/>
        <w:ind w:firstLine="640" w:firstLineChars="200"/>
        <w:jc w:val="both"/>
        <w:rPr>
          <w:rFonts w:hint="eastAsia" w:ascii="仿宋_GB2312" w:hAnsi="Times New Roman" w:eastAsia="仿宋_GB2312"/>
          <w:kern w:val="2"/>
          <w:sz w:val="32"/>
          <w:szCs w:val="24"/>
        </w:rPr>
      </w:pPr>
      <w:r>
        <w:rPr>
          <w:rFonts w:hint="eastAsia" w:ascii="Times New Roman" w:hAnsi="Times New Roman" w:eastAsia="仿宋_GB2312"/>
          <w:kern w:val="2"/>
          <w:sz w:val="32"/>
          <w:szCs w:val="24"/>
        </w:rPr>
        <w:t>根据财政下达的预算资金额度，严格把控资金使用，不超支；</w:t>
      </w:r>
      <w:r>
        <w:rPr>
          <w:rFonts w:hint="eastAsia" w:ascii="仿宋_GB2312" w:hAnsi="Times New Roman" w:eastAsia="仿宋_GB2312"/>
          <w:kern w:val="2"/>
          <w:sz w:val="32"/>
          <w:szCs w:val="24"/>
        </w:rPr>
        <w:t>严格按照方案要求确定金额，可量化可考核，契合政策实质，与年度工作目标相一致，按照</w:t>
      </w:r>
      <w:r>
        <w:rPr>
          <w:rFonts w:hint="eastAsia" w:ascii="仿宋_GB2312" w:hAnsi="Times New Roman" w:eastAsia="仿宋_GB2312"/>
          <w:kern w:val="2"/>
          <w:sz w:val="32"/>
          <w:szCs w:val="24"/>
          <w:lang w:val="en-US" w:eastAsia="zh-CN"/>
        </w:rPr>
        <w:t>相关</w:t>
      </w:r>
      <w:r>
        <w:rPr>
          <w:rFonts w:hint="eastAsia" w:ascii="仿宋_GB2312" w:hAnsi="Times New Roman" w:eastAsia="仿宋_GB2312"/>
          <w:kern w:val="2"/>
          <w:sz w:val="32"/>
          <w:szCs w:val="24"/>
        </w:rPr>
        <w:t>办法规范管理和使用该项资金。</w:t>
      </w:r>
    </w:p>
    <w:p w14:paraId="5BBAEF42">
      <w:pPr>
        <w:autoSpaceDE/>
        <w:autoSpaceDN/>
        <w:adjustRightInd/>
        <w:spacing w:line="560" w:lineRule="exact"/>
        <w:ind w:firstLine="640" w:firstLineChars="200"/>
        <w:jc w:val="both"/>
        <w:outlineLvl w:val="1"/>
        <w:rPr>
          <w:rFonts w:hint="eastAsia" w:ascii="Times New Roman" w:hAnsi="Times New Roman" w:eastAsia="Times New Roman"/>
          <w:kern w:val="2"/>
          <w:sz w:val="32"/>
          <w:szCs w:val="24"/>
        </w:rPr>
      </w:pPr>
      <w:bookmarkStart w:id="186" w:name="_Toc24870"/>
      <w:bookmarkStart w:id="187" w:name="_Toc21498"/>
      <w:r>
        <w:rPr>
          <w:rFonts w:hint="eastAsia" w:ascii="Times New Roman" w:hAnsi="Times New Roman" w:eastAsia="黑体"/>
          <w:kern w:val="2"/>
          <w:sz w:val="32"/>
          <w:szCs w:val="24"/>
        </w:rPr>
        <w:t>四、问题及建议</w:t>
      </w:r>
      <w:bookmarkEnd w:id="186"/>
      <w:bookmarkEnd w:id="187"/>
    </w:p>
    <w:p w14:paraId="5A976F7C">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88" w:name="_Toc3479"/>
      <w:bookmarkStart w:id="189" w:name="_Toc29276"/>
      <w:r>
        <w:rPr>
          <w:rFonts w:hint="eastAsia" w:ascii="Times New Roman" w:hAnsi="Times New Roman" w:eastAsia="楷体_GB2312"/>
          <w:kern w:val="2"/>
          <w:sz w:val="32"/>
          <w:szCs w:val="24"/>
        </w:rPr>
        <w:t>（一）存在的问题。</w:t>
      </w:r>
      <w:bookmarkEnd w:id="188"/>
      <w:bookmarkEnd w:id="189"/>
    </w:p>
    <w:p w14:paraId="64395F83">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楷体_GB2312"/>
          <w:kern w:val="2"/>
          <w:sz w:val="32"/>
          <w:szCs w:val="24"/>
        </w:rPr>
        <w:t>无。</w:t>
      </w:r>
    </w:p>
    <w:p w14:paraId="1DC713CB">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90" w:name="_Toc29466"/>
      <w:bookmarkStart w:id="191" w:name="_Toc7398"/>
      <w:r>
        <w:rPr>
          <w:rFonts w:hint="eastAsia" w:ascii="Times New Roman" w:hAnsi="Times New Roman" w:eastAsia="楷体_GB2312"/>
          <w:kern w:val="2"/>
          <w:sz w:val="32"/>
          <w:szCs w:val="24"/>
        </w:rPr>
        <w:t>（二）相关建议。</w:t>
      </w:r>
      <w:bookmarkEnd w:id="190"/>
      <w:bookmarkEnd w:id="191"/>
    </w:p>
    <w:p w14:paraId="0057BA40">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无。</w:t>
      </w:r>
    </w:p>
    <w:p w14:paraId="3EF199B6">
      <w:pPr>
        <w:autoSpaceDE/>
        <w:autoSpaceDN/>
        <w:adjustRightInd/>
        <w:spacing w:line="640" w:lineRule="exact"/>
        <w:jc w:val="center"/>
        <w:rPr>
          <w:rFonts w:hint="eastAsia" w:ascii="方正小标宋简体" w:hAnsi="方正小标宋简体" w:eastAsia="方正小标宋简体" w:cs="Times New Roman"/>
          <w:color w:val="auto"/>
          <w:kern w:val="2"/>
          <w:sz w:val="32"/>
          <w:szCs w:val="24"/>
          <w:lang w:val="en-US" w:eastAsia="zh-CN"/>
        </w:rPr>
      </w:pPr>
      <w:r>
        <w:rPr>
          <w:rFonts w:hint="eastAsia" w:ascii="方正小标宋简体" w:hAnsi="方正小标宋简体" w:eastAsia="方正小标宋简体" w:cs="Times New Roman"/>
          <w:color w:val="auto"/>
          <w:kern w:val="2"/>
          <w:sz w:val="32"/>
          <w:szCs w:val="24"/>
          <w:lang w:val="en-US" w:eastAsia="zh-CN"/>
        </w:rPr>
        <w:t>共和乡人民政府2022年敬老院人员经费的专项预算项目支出绩效自评报告</w:t>
      </w:r>
    </w:p>
    <w:p w14:paraId="6879B53D">
      <w:pPr>
        <w:autoSpaceDE/>
        <w:autoSpaceDN/>
        <w:adjustRightInd/>
        <w:spacing w:line="640" w:lineRule="exact"/>
        <w:jc w:val="center"/>
        <w:outlineLvl w:val="1"/>
        <w:rPr>
          <w:rFonts w:hint="eastAsia" w:ascii="Times New Roman" w:hAnsi="Times New Roman" w:eastAsia="Times New Roman"/>
          <w:b/>
          <w:kern w:val="2"/>
          <w:sz w:val="32"/>
          <w:szCs w:val="24"/>
        </w:rPr>
      </w:pPr>
      <w:bookmarkStart w:id="192" w:name="_Toc14125"/>
      <w:bookmarkStart w:id="193" w:name="_Toc27770"/>
      <w:r>
        <w:rPr>
          <w:rFonts w:hint="eastAsia" w:ascii="Times New Roman" w:hAnsi="Times New Roman" w:eastAsia="楷体_GB2312"/>
          <w:b/>
          <w:kern w:val="2"/>
          <w:sz w:val="32"/>
          <w:szCs w:val="24"/>
        </w:rPr>
        <w:t>（项目单位自评）</w:t>
      </w:r>
      <w:bookmarkEnd w:id="192"/>
      <w:bookmarkEnd w:id="193"/>
    </w:p>
    <w:p w14:paraId="6BC33A56">
      <w:pPr>
        <w:spacing w:line="560" w:lineRule="exact"/>
        <w:ind w:firstLine="640"/>
        <w:jc w:val="center"/>
        <w:rPr>
          <w:rFonts w:hint="eastAsia" w:ascii="Times New Roman" w:hAnsi="Times New Roman" w:eastAsia="Times New Roman" w:cs="Times New Roman"/>
          <w:color w:val="auto"/>
          <w:kern w:val="2"/>
          <w:sz w:val="32"/>
          <w:szCs w:val="32"/>
          <w:lang w:val="zh-CN" w:eastAsia="zh-CN" w:bidi="ar-SA"/>
        </w:rPr>
      </w:pPr>
    </w:p>
    <w:p w14:paraId="19E1D4E4">
      <w:pPr>
        <w:autoSpaceDE/>
        <w:autoSpaceDN/>
        <w:adjustRightInd/>
        <w:spacing w:line="560" w:lineRule="exact"/>
        <w:ind w:firstLine="640" w:firstLineChars="200"/>
        <w:jc w:val="both"/>
        <w:outlineLvl w:val="1"/>
        <w:rPr>
          <w:rFonts w:hint="eastAsia" w:ascii="Times New Roman" w:hAnsi="Times New Roman" w:eastAsia="Times New Roman"/>
          <w:kern w:val="2"/>
          <w:sz w:val="32"/>
          <w:szCs w:val="24"/>
        </w:rPr>
      </w:pPr>
      <w:bookmarkStart w:id="194" w:name="_Toc22997"/>
      <w:bookmarkStart w:id="195" w:name="_Toc848"/>
      <w:r>
        <w:rPr>
          <w:rFonts w:hint="eastAsia" w:ascii="Times New Roman" w:hAnsi="Times New Roman" w:eastAsia="黑体"/>
          <w:kern w:val="2"/>
          <w:sz w:val="32"/>
          <w:szCs w:val="24"/>
        </w:rPr>
        <w:t>一、项目概况</w:t>
      </w:r>
      <w:bookmarkEnd w:id="194"/>
      <w:bookmarkEnd w:id="195"/>
    </w:p>
    <w:p w14:paraId="7409E63A">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96" w:name="_Toc29659"/>
      <w:bookmarkStart w:id="197" w:name="_Toc8147"/>
      <w:r>
        <w:rPr>
          <w:rFonts w:hint="eastAsia" w:ascii="Times New Roman" w:hAnsi="Times New Roman" w:eastAsia="楷体_GB2312"/>
          <w:kern w:val="2"/>
          <w:sz w:val="32"/>
          <w:szCs w:val="24"/>
        </w:rPr>
        <w:t>（一）项目资金申报及批复情况。</w:t>
      </w:r>
      <w:bookmarkEnd w:id="196"/>
      <w:bookmarkEnd w:id="197"/>
    </w:p>
    <w:p w14:paraId="79D10B04">
      <w:pPr>
        <w:autoSpaceDE/>
        <w:autoSpaceDN/>
        <w:adjustRightInd/>
        <w:spacing w:line="560" w:lineRule="exact"/>
        <w:ind w:firstLine="800" w:firstLineChars="250"/>
        <w:jc w:val="both"/>
        <w:rPr>
          <w:rFonts w:hint="eastAsia" w:ascii="Times New Roman" w:hAnsi="Times New Roman" w:eastAsia="Times New Roman"/>
          <w:kern w:val="2"/>
          <w:sz w:val="32"/>
          <w:szCs w:val="24"/>
          <w:lang w:val="en-US" w:eastAsia="zh-CN"/>
        </w:rPr>
      </w:pPr>
      <w:r>
        <w:rPr>
          <w:rFonts w:hint="eastAsia" w:ascii="仿宋_GB2312" w:hAnsi="宋体" w:eastAsia="仿宋_GB2312"/>
          <w:sz w:val="32"/>
          <w:szCs w:val="24"/>
          <w:lang w:val="en-US" w:eastAsia="zh-CN"/>
        </w:rPr>
        <w:t>由县财政局下达共和乡人民政府2022年敬老院人员经费170683元</w:t>
      </w:r>
      <w:r>
        <w:rPr>
          <w:rFonts w:hint="eastAsia" w:ascii="Times New Roman" w:hAnsi="Times New Roman" w:eastAsia="仿宋_GB2312"/>
          <w:kern w:val="2"/>
          <w:sz w:val="32"/>
          <w:szCs w:val="24"/>
          <w:lang w:val="en-US" w:eastAsia="zh-CN"/>
        </w:rPr>
        <w:t>。</w:t>
      </w:r>
    </w:p>
    <w:p w14:paraId="0173CEE9">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198" w:name="_Toc2373"/>
      <w:bookmarkStart w:id="199" w:name="_Toc31911"/>
      <w:r>
        <w:rPr>
          <w:rFonts w:hint="eastAsia" w:ascii="Times New Roman" w:hAnsi="Times New Roman" w:eastAsia="楷体_GB2312"/>
          <w:kern w:val="2"/>
          <w:sz w:val="32"/>
          <w:szCs w:val="24"/>
        </w:rPr>
        <w:t>（二）项目绩效目标。</w:t>
      </w:r>
      <w:bookmarkEnd w:id="198"/>
      <w:bookmarkEnd w:id="199"/>
    </w:p>
    <w:p w14:paraId="489E2FF4">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1.主要内容</w:t>
      </w:r>
    </w:p>
    <w:p w14:paraId="1E160019">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lang w:eastAsia="zh-CN"/>
        </w:rPr>
        <w:t>主要用于支付敬老院人员的工资和保险</w:t>
      </w:r>
      <w:r>
        <w:rPr>
          <w:rFonts w:hint="eastAsia" w:ascii="Times New Roman" w:hAnsi="Times New Roman" w:eastAsia="仿宋_GB2312"/>
          <w:kern w:val="2"/>
          <w:sz w:val="32"/>
          <w:szCs w:val="24"/>
        </w:rPr>
        <w:t>。</w:t>
      </w:r>
    </w:p>
    <w:p w14:paraId="1B3FEEA5">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2.计划实现的具体绩效目标</w:t>
      </w:r>
    </w:p>
    <w:p w14:paraId="3D2053AD">
      <w:pPr>
        <w:autoSpaceDE/>
        <w:autoSpaceDN/>
        <w:adjustRightInd/>
        <w:spacing w:line="560" w:lineRule="exact"/>
        <w:ind w:firstLine="640" w:firstLineChars="200"/>
        <w:jc w:val="both"/>
        <w:rPr>
          <w:rFonts w:hint="eastAsia" w:ascii="仿宋_GB2312" w:hAnsi="宋体" w:eastAsia="仿宋_GB2312"/>
          <w:sz w:val="32"/>
          <w:szCs w:val="24"/>
          <w:lang w:val="en-US" w:eastAsia="zh-CN"/>
        </w:rPr>
      </w:pPr>
      <w:r>
        <w:rPr>
          <w:rFonts w:hint="eastAsia" w:ascii="仿宋_GB2312" w:hAnsi="宋体" w:eastAsia="仿宋_GB2312"/>
          <w:sz w:val="32"/>
          <w:szCs w:val="24"/>
          <w:lang w:val="en-US" w:eastAsia="zh-CN"/>
        </w:rPr>
        <w:t>根据专项项目资金及我乡实际情况，科学合理编制专项资金预算，严格执行预算制度，避免年中大幅追加及超预算，同时严格执行预算标准，提高资金使用效率。</w:t>
      </w:r>
    </w:p>
    <w:p w14:paraId="1ACC705F">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200" w:name="_Toc16723"/>
      <w:bookmarkStart w:id="201" w:name="_Toc28596"/>
      <w:r>
        <w:rPr>
          <w:rFonts w:hint="eastAsia" w:ascii="Times New Roman" w:hAnsi="Times New Roman" w:eastAsia="楷体_GB2312"/>
          <w:kern w:val="2"/>
          <w:sz w:val="32"/>
          <w:szCs w:val="24"/>
        </w:rPr>
        <w:t>（三）项目资金申报相符性。</w:t>
      </w:r>
      <w:bookmarkEnd w:id="200"/>
      <w:bookmarkEnd w:id="201"/>
    </w:p>
    <w:p w14:paraId="660CCF8E">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该资金由县财政局下达预算到盐边县</w:t>
      </w:r>
      <w:r>
        <w:rPr>
          <w:rFonts w:hint="eastAsia" w:ascii="Times New Roman" w:hAnsi="Times New Roman" w:eastAsia="仿宋_GB2312"/>
          <w:kern w:val="2"/>
          <w:sz w:val="32"/>
          <w:szCs w:val="24"/>
          <w:lang w:val="en-US" w:eastAsia="zh-CN"/>
        </w:rPr>
        <w:t>共和乡</w:t>
      </w:r>
      <w:r>
        <w:rPr>
          <w:rFonts w:hint="eastAsia" w:ascii="Times New Roman" w:hAnsi="Times New Roman" w:eastAsia="仿宋_GB2312"/>
          <w:kern w:val="2"/>
          <w:sz w:val="32"/>
          <w:szCs w:val="24"/>
        </w:rPr>
        <w:t>人民政府进行核算。与实际相符、申报目标合理可行。</w:t>
      </w:r>
    </w:p>
    <w:p w14:paraId="79EA44A9">
      <w:pPr>
        <w:autoSpaceDE/>
        <w:autoSpaceDN/>
        <w:adjustRightInd/>
        <w:spacing w:line="560" w:lineRule="exact"/>
        <w:ind w:firstLine="640" w:firstLineChars="200"/>
        <w:jc w:val="both"/>
        <w:outlineLvl w:val="1"/>
        <w:rPr>
          <w:rFonts w:hint="eastAsia" w:ascii="Times New Roman" w:hAnsi="Times New Roman" w:eastAsia="Times New Roman"/>
          <w:kern w:val="2"/>
          <w:sz w:val="32"/>
          <w:szCs w:val="24"/>
        </w:rPr>
      </w:pPr>
      <w:bookmarkStart w:id="202" w:name="_Toc30752"/>
      <w:bookmarkStart w:id="203" w:name="_Toc26618"/>
      <w:r>
        <w:rPr>
          <w:rFonts w:hint="eastAsia" w:ascii="Times New Roman" w:hAnsi="Times New Roman" w:eastAsia="黑体"/>
          <w:kern w:val="2"/>
          <w:sz w:val="32"/>
          <w:szCs w:val="24"/>
        </w:rPr>
        <w:t>二、项目实施及管理情况</w:t>
      </w:r>
      <w:bookmarkEnd w:id="202"/>
      <w:bookmarkEnd w:id="203"/>
    </w:p>
    <w:p w14:paraId="1DC9F3EB">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204" w:name="_Toc8321"/>
      <w:bookmarkStart w:id="205" w:name="_Toc32659"/>
      <w:r>
        <w:rPr>
          <w:rFonts w:hint="eastAsia" w:ascii="Times New Roman" w:hAnsi="Times New Roman" w:eastAsia="楷体_GB2312"/>
          <w:kern w:val="2"/>
          <w:sz w:val="32"/>
          <w:szCs w:val="24"/>
        </w:rPr>
        <w:t>（一）资金计划、到位及使用情况。</w:t>
      </w:r>
      <w:bookmarkEnd w:id="204"/>
      <w:bookmarkEnd w:id="205"/>
    </w:p>
    <w:p w14:paraId="5171C434">
      <w:pPr>
        <w:autoSpaceDE/>
        <w:autoSpaceDN/>
        <w:adjustRightInd/>
        <w:spacing w:line="560" w:lineRule="exact"/>
        <w:ind w:firstLine="640" w:firstLineChars="200"/>
        <w:jc w:val="both"/>
        <w:rPr>
          <w:rFonts w:hint="eastAsia" w:ascii="Times New Roman" w:hAnsi="Times New Roman" w:eastAsia="Times New Roman"/>
          <w:b/>
          <w:kern w:val="2"/>
          <w:sz w:val="32"/>
          <w:szCs w:val="24"/>
        </w:rPr>
      </w:pPr>
      <w:r>
        <w:rPr>
          <w:rFonts w:hint="eastAsia" w:ascii="Times New Roman" w:hAnsi="Times New Roman" w:eastAsia="Times New Roman"/>
          <w:b/>
          <w:kern w:val="2"/>
          <w:sz w:val="32"/>
          <w:szCs w:val="24"/>
        </w:rPr>
        <w:t>1.</w:t>
      </w:r>
      <w:r>
        <w:rPr>
          <w:rFonts w:hint="eastAsia" w:ascii="Times New Roman" w:hAnsi="Times New Roman" w:eastAsia="仿宋_GB2312"/>
          <w:b/>
          <w:kern w:val="2"/>
          <w:sz w:val="32"/>
          <w:szCs w:val="24"/>
        </w:rPr>
        <w:t>资金计划及到位。</w:t>
      </w:r>
    </w:p>
    <w:p w14:paraId="53150D8C">
      <w:pPr>
        <w:autoSpaceDE/>
        <w:autoSpaceDN/>
        <w:adjustRightInd/>
        <w:spacing w:line="560" w:lineRule="exact"/>
        <w:ind w:firstLine="640" w:firstLineChars="200"/>
        <w:jc w:val="both"/>
        <w:rPr>
          <w:rFonts w:hint="eastAsia" w:ascii="仿宋_GB2312" w:hAnsi="Times New Roman" w:eastAsia="仿宋_GB2312"/>
          <w:kern w:val="2"/>
          <w:sz w:val="32"/>
          <w:szCs w:val="24"/>
        </w:rPr>
      </w:pPr>
      <w:r>
        <w:rPr>
          <w:rFonts w:hint="eastAsia" w:ascii="Times New Roman" w:hAnsi="Times New Roman" w:eastAsia="Times New Roman"/>
          <w:kern w:val="2"/>
          <w:sz w:val="32"/>
          <w:szCs w:val="24"/>
        </w:rPr>
        <w:t>202</w:t>
      </w:r>
      <w:r>
        <w:rPr>
          <w:rFonts w:hint="eastAsia" w:ascii="Times New Roman" w:hAnsi="Times New Roman" w:eastAsia="仿宋_GB2312"/>
          <w:kern w:val="2"/>
          <w:sz w:val="32"/>
          <w:szCs w:val="24"/>
        </w:rPr>
        <w:t>2</w:t>
      </w:r>
      <w:r>
        <w:rPr>
          <w:rFonts w:hint="eastAsia" w:ascii="仿宋_GB2312" w:hAnsi="Times New Roman" w:eastAsia="仿宋_GB2312"/>
          <w:kern w:val="2"/>
          <w:sz w:val="32"/>
          <w:szCs w:val="24"/>
        </w:rPr>
        <w:t>年预算下达</w:t>
      </w:r>
      <w:r>
        <w:rPr>
          <w:rFonts w:hint="eastAsia" w:ascii="仿宋_GB2312" w:hAnsi="Times New Roman" w:eastAsia="仿宋_GB2312"/>
          <w:kern w:val="2"/>
          <w:sz w:val="32"/>
          <w:szCs w:val="24"/>
          <w:lang w:val="en-US" w:eastAsia="zh-CN"/>
        </w:rPr>
        <w:t>资金</w:t>
      </w:r>
      <w:r>
        <w:rPr>
          <w:rFonts w:hint="eastAsia" w:ascii="仿宋_GB2312" w:hAnsi="宋体" w:eastAsia="仿宋_GB2312"/>
          <w:sz w:val="32"/>
          <w:szCs w:val="24"/>
          <w:lang w:val="en-US" w:eastAsia="zh-CN"/>
        </w:rPr>
        <w:t>170683元</w:t>
      </w:r>
      <w:r>
        <w:rPr>
          <w:rFonts w:hint="eastAsia" w:ascii="仿宋_GB2312" w:hAnsi="Times New Roman" w:eastAsia="仿宋_GB2312"/>
          <w:kern w:val="2"/>
          <w:sz w:val="32"/>
          <w:szCs w:val="24"/>
        </w:rPr>
        <w:t>。</w:t>
      </w:r>
      <w:r>
        <w:rPr>
          <w:rFonts w:hint="eastAsia" w:ascii="Times New Roman" w:hAnsi="Times New Roman" w:eastAsia="仿宋_GB2312"/>
          <w:kern w:val="2"/>
          <w:sz w:val="32"/>
          <w:szCs w:val="24"/>
        </w:rPr>
        <w:t>该资金2022年当年全部到位，当年全部使用完毕。</w:t>
      </w:r>
    </w:p>
    <w:p w14:paraId="75316836">
      <w:pPr>
        <w:autoSpaceDE/>
        <w:autoSpaceDN/>
        <w:adjustRightInd/>
        <w:spacing w:line="560" w:lineRule="exact"/>
        <w:ind w:firstLine="640" w:firstLineChars="200"/>
        <w:jc w:val="both"/>
        <w:rPr>
          <w:rFonts w:hint="eastAsia" w:ascii="Times New Roman" w:hAnsi="Times New Roman" w:eastAsia="Times New Roman"/>
          <w:b/>
          <w:kern w:val="2"/>
          <w:sz w:val="32"/>
          <w:szCs w:val="24"/>
        </w:rPr>
      </w:pPr>
      <w:r>
        <w:rPr>
          <w:rFonts w:hint="eastAsia" w:ascii="Times New Roman" w:hAnsi="Times New Roman" w:eastAsia="Times New Roman"/>
          <w:b/>
          <w:kern w:val="2"/>
          <w:sz w:val="32"/>
          <w:szCs w:val="24"/>
        </w:rPr>
        <w:t>2.</w:t>
      </w:r>
      <w:r>
        <w:rPr>
          <w:rFonts w:hint="eastAsia" w:ascii="Times New Roman" w:hAnsi="Times New Roman" w:eastAsia="仿宋_GB2312"/>
          <w:b/>
          <w:kern w:val="2"/>
          <w:sz w:val="32"/>
          <w:szCs w:val="24"/>
        </w:rPr>
        <w:t>资金使用。</w:t>
      </w:r>
    </w:p>
    <w:p w14:paraId="0B47C4FE">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该资金截至评价时点，支付范围、支付标准、支付进度、支付依据等合规合法、与预算相符。我单位及时报账，按财政局要求专款专用，已全部报账使用。</w:t>
      </w:r>
    </w:p>
    <w:p w14:paraId="0B0E011B">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206" w:name="_Toc30403"/>
      <w:bookmarkStart w:id="207" w:name="_Toc26282"/>
      <w:r>
        <w:rPr>
          <w:rFonts w:hint="eastAsia" w:ascii="Times New Roman" w:hAnsi="Times New Roman" w:eastAsia="楷体_GB2312"/>
          <w:kern w:val="2"/>
          <w:sz w:val="32"/>
          <w:szCs w:val="24"/>
        </w:rPr>
        <w:t>（二）项目财务管理情况。</w:t>
      </w:r>
      <w:bookmarkEnd w:id="206"/>
      <w:bookmarkEnd w:id="207"/>
    </w:p>
    <w:p w14:paraId="1AC71F99">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我单位有健全的财务管理制度，资金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2CAFA824">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208" w:name="_Toc9574"/>
      <w:bookmarkStart w:id="209" w:name="_Toc22924"/>
      <w:r>
        <w:rPr>
          <w:rFonts w:hint="eastAsia" w:ascii="Times New Roman" w:hAnsi="Times New Roman" w:eastAsia="楷体_GB2312"/>
          <w:kern w:val="2"/>
          <w:sz w:val="32"/>
          <w:szCs w:val="24"/>
        </w:rPr>
        <w:t>（三）项目组织实施情况。</w:t>
      </w:r>
      <w:bookmarkEnd w:id="208"/>
      <w:bookmarkEnd w:id="209"/>
    </w:p>
    <w:p w14:paraId="5C78834D">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lang w:eastAsia="zh-CN"/>
        </w:rPr>
        <w:t>由敬老院牵头，</w:t>
      </w:r>
      <w:r>
        <w:rPr>
          <w:rFonts w:hint="eastAsia" w:ascii="Times New Roman" w:hAnsi="Times New Roman" w:eastAsia="仿宋_GB2312"/>
          <w:kern w:val="2"/>
          <w:sz w:val="32"/>
          <w:szCs w:val="24"/>
        </w:rPr>
        <w:t>根据项目申报和经费下达情况进行方案编制。此项目资金为</w:t>
      </w:r>
      <w:r>
        <w:rPr>
          <w:rFonts w:hint="eastAsia" w:ascii="仿宋_GB2312" w:hAnsi="宋体" w:eastAsia="仿宋_GB2312"/>
          <w:sz w:val="32"/>
          <w:szCs w:val="24"/>
          <w:lang w:val="en-US" w:eastAsia="zh-CN"/>
        </w:rPr>
        <w:t>共和乡人民政府2022年敬老院人员经费</w:t>
      </w:r>
      <w:r>
        <w:rPr>
          <w:rFonts w:hint="eastAsia" w:ascii="Times New Roman" w:hAnsi="Times New Roman" w:eastAsia="仿宋_GB2312"/>
          <w:kern w:val="2"/>
          <w:sz w:val="32"/>
          <w:szCs w:val="24"/>
        </w:rPr>
        <w:t>，县财政局下达预算资金，相关经办人员结合实际发生费用提供相关报账原始凭据报账，我单位进行审核，向财政局统一预算管理一体化平台申报计划，进行支付、核算。同时按照省级要求时间节点及时支付兑现。</w:t>
      </w:r>
    </w:p>
    <w:p w14:paraId="72E5D354">
      <w:pPr>
        <w:autoSpaceDE/>
        <w:autoSpaceDN/>
        <w:adjustRightInd/>
        <w:spacing w:line="560" w:lineRule="exact"/>
        <w:ind w:firstLine="640" w:firstLineChars="200"/>
        <w:jc w:val="both"/>
        <w:outlineLvl w:val="1"/>
        <w:rPr>
          <w:rFonts w:hint="eastAsia" w:ascii="Times New Roman" w:hAnsi="Times New Roman" w:eastAsia="Times New Roman"/>
          <w:kern w:val="2"/>
          <w:sz w:val="32"/>
          <w:szCs w:val="24"/>
        </w:rPr>
      </w:pPr>
      <w:bookmarkStart w:id="210" w:name="_Toc17749"/>
      <w:bookmarkStart w:id="211" w:name="_Toc21561"/>
      <w:r>
        <w:rPr>
          <w:rFonts w:hint="eastAsia" w:ascii="Times New Roman" w:hAnsi="Times New Roman" w:eastAsia="黑体"/>
          <w:kern w:val="2"/>
          <w:sz w:val="32"/>
          <w:szCs w:val="24"/>
        </w:rPr>
        <w:t>三、项目绩效情况</w:t>
      </w:r>
      <w:bookmarkEnd w:id="210"/>
      <w:bookmarkEnd w:id="211"/>
      <w:r>
        <w:rPr>
          <w:rFonts w:hint="eastAsia" w:ascii="Times New Roman" w:hAnsi="Times New Roman" w:eastAsia="Times New Roman"/>
          <w:kern w:val="2"/>
          <w:sz w:val="32"/>
          <w:szCs w:val="24"/>
        </w:rPr>
        <w:tab/>
      </w:r>
    </w:p>
    <w:p w14:paraId="2A97A45E">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212" w:name="_Toc27287"/>
      <w:bookmarkStart w:id="213" w:name="_Toc15870"/>
      <w:r>
        <w:rPr>
          <w:rFonts w:hint="eastAsia" w:ascii="Times New Roman" w:hAnsi="Times New Roman" w:eastAsia="楷体_GB2312"/>
          <w:kern w:val="2"/>
          <w:sz w:val="32"/>
          <w:szCs w:val="24"/>
        </w:rPr>
        <w:t>（一）项目完成情况。</w:t>
      </w:r>
      <w:bookmarkEnd w:id="212"/>
      <w:bookmarkEnd w:id="213"/>
    </w:p>
    <w:p w14:paraId="5C9E0618">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已于2022年全部使用、报账及核算。</w:t>
      </w:r>
      <w:r>
        <w:rPr>
          <w:rFonts w:hint="eastAsia" w:ascii="Times New Roman" w:hAnsi="Times New Roman" w:eastAsia="仿宋_GB2312"/>
          <w:kern w:val="2"/>
          <w:sz w:val="32"/>
          <w:szCs w:val="24"/>
          <w:lang w:eastAsia="zh-CN"/>
        </w:rPr>
        <w:t>主要用于支付敬老院人员的工资和保险</w:t>
      </w:r>
      <w:r>
        <w:rPr>
          <w:rFonts w:hint="eastAsia" w:ascii="Times New Roman" w:hAnsi="Times New Roman" w:eastAsia="仿宋_GB2312"/>
          <w:kern w:val="2"/>
          <w:sz w:val="32"/>
          <w:szCs w:val="24"/>
        </w:rPr>
        <w:t>。</w:t>
      </w:r>
    </w:p>
    <w:p w14:paraId="7F99C798">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214" w:name="_Toc21289"/>
      <w:bookmarkStart w:id="215" w:name="_Toc30369"/>
      <w:r>
        <w:rPr>
          <w:rFonts w:hint="eastAsia" w:ascii="Times New Roman" w:hAnsi="Times New Roman" w:eastAsia="楷体_GB2312"/>
          <w:kern w:val="2"/>
          <w:sz w:val="32"/>
          <w:szCs w:val="24"/>
        </w:rPr>
        <w:t>（二）项目效益情况。</w:t>
      </w:r>
      <w:bookmarkEnd w:id="214"/>
      <w:bookmarkEnd w:id="215"/>
    </w:p>
    <w:p w14:paraId="2DC237C3">
      <w:pPr>
        <w:autoSpaceDE/>
        <w:autoSpaceDN/>
        <w:adjustRightInd/>
        <w:spacing w:line="560" w:lineRule="exact"/>
        <w:ind w:firstLine="640" w:firstLineChars="200"/>
        <w:jc w:val="both"/>
        <w:rPr>
          <w:rFonts w:hint="eastAsia" w:ascii="仿宋_GB2312" w:hAnsi="Times New Roman" w:eastAsia="仿宋_GB2312"/>
          <w:kern w:val="2"/>
          <w:sz w:val="32"/>
          <w:szCs w:val="24"/>
        </w:rPr>
      </w:pPr>
      <w:r>
        <w:rPr>
          <w:rFonts w:hint="eastAsia" w:ascii="Times New Roman" w:hAnsi="Times New Roman" w:eastAsia="仿宋_GB2312"/>
          <w:kern w:val="2"/>
          <w:sz w:val="32"/>
          <w:szCs w:val="24"/>
        </w:rPr>
        <w:t>根据财政下达的预算资金额度，严格把控资金使用，不超支；</w:t>
      </w:r>
      <w:r>
        <w:rPr>
          <w:rFonts w:hint="eastAsia" w:ascii="仿宋_GB2312" w:hAnsi="Times New Roman" w:eastAsia="仿宋_GB2312"/>
          <w:kern w:val="2"/>
          <w:sz w:val="32"/>
          <w:szCs w:val="24"/>
        </w:rPr>
        <w:t>严格按照方案要求确定金额，可量化可考核，契合政策实质，与年度工作目标相一致，按照</w:t>
      </w:r>
      <w:r>
        <w:rPr>
          <w:rFonts w:hint="eastAsia" w:ascii="仿宋_GB2312" w:hAnsi="Times New Roman" w:eastAsia="仿宋_GB2312"/>
          <w:kern w:val="2"/>
          <w:sz w:val="32"/>
          <w:szCs w:val="24"/>
          <w:lang w:val="en-US" w:eastAsia="zh-CN"/>
        </w:rPr>
        <w:t>相关</w:t>
      </w:r>
      <w:r>
        <w:rPr>
          <w:rFonts w:hint="eastAsia" w:ascii="仿宋_GB2312" w:hAnsi="Times New Roman" w:eastAsia="仿宋_GB2312"/>
          <w:kern w:val="2"/>
          <w:sz w:val="32"/>
          <w:szCs w:val="24"/>
        </w:rPr>
        <w:t>办法规范管理和使用该项资金。</w:t>
      </w:r>
    </w:p>
    <w:p w14:paraId="74F2EF00">
      <w:pPr>
        <w:autoSpaceDE/>
        <w:autoSpaceDN/>
        <w:adjustRightInd/>
        <w:spacing w:line="560" w:lineRule="exact"/>
        <w:ind w:firstLine="640" w:firstLineChars="200"/>
        <w:jc w:val="both"/>
        <w:outlineLvl w:val="1"/>
        <w:rPr>
          <w:rFonts w:hint="eastAsia" w:ascii="Times New Roman" w:hAnsi="Times New Roman" w:eastAsia="Times New Roman"/>
          <w:kern w:val="2"/>
          <w:sz w:val="32"/>
          <w:szCs w:val="24"/>
        </w:rPr>
      </w:pPr>
      <w:bookmarkStart w:id="216" w:name="_Toc6628"/>
      <w:bookmarkStart w:id="217" w:name="_Toc8399"/>
      <w:r>
        <w:rPr>
          <w:rFonts w:hint="eastAsia" w:ascii="Times New Roman" w:hAnsi="Times New Roman" w:eastAsia="黑体"/>
          <w:kern w:val="2"/>
          <w:sz w:val="32"/>
          <w:szCs w:val="24"/>
        </w:rPr>
        <w:t>四、问题及建议</w:t>
      </w:r>
      <w:bookmarkEnd w:id="216"/>
      <w:bookmarkEnd w:id="217"/>
    </w:p>
    <w:p w14:paraId="51DD5B3C">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218" w:name="_Toc31246"/>
      <w:bookmarkStart w:id="219" w:name="_Toc12854"/>
      <w:r>
        <w:rPr>
          <w:rFonts w:hint="eastAsia" w:ascii="Times New Roman" w:hAnsi="Times New Roman" w:eastAsia="楷体_GB2312"/>
          <w:kern w:val="2"/>
          <w:sz w:val="32"/>
          <w:szCs w:val="24"/>
        </w:rPr>
        <w:t>（一）存在的问题。</w:t>
      </w:r>
      <w:bookmarkEnd w:id="218"/>
      <w:bookmarkEnd w:id="219"/>
    </w:p>
    <w:p w14:paraId="68F373B5">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楷体_GB2312"/>
          <w:kern w:val="2"/>
          <w:sz w:val="32"/>
          <w:szCs w:val="24"/>
        </w:rPr>
        <w:t>无。</w:t>
      </w:r>
    </w:p>
    <w:p w14:paraId="22342022">
      <w:pPr>
        <w:autoSpaceDE/>
        <w:autoSpaceDN/>
        <w:adjustRightInd/>
        <w:spacing w:line="560" w:lineRule="exact"/>
        <w:ind w:firstLine="640" w:firstLineChars="200"/>
        <w:jc w:val="both"/>
        <w:outlineLvl w:val="2"/>
        <w:rPr>
          <w:rFonts w:hint="eastAsia" w:ascii="Times New Roman" w:hAnsi="Times New Roman" w:eastAsia="Times New Roman"/>
          <w:kern w:val="2"/>
          <w:sz w:val="32"/>
          <w:szCs w:val="24"/>
        </w:rPr>
      </w:pPr>
      <w:bookmarkStart w:id="220" w:name="_Toc23407"/>
      <w:bookmarkStart w:id="221" w:name="_Toc27040"/>
      <w:r>
        <w:rPr>
          <w:rFonts w:hint="eastAsia" w:ascii="Times New Roman" w:hAnsi="Times New Roman" w:eastAsia="楷体_GB2312"/>
          <w:kern w:val="2"/>
          <w:sz w:val="32"/>
          <w:szCs w:val="24"/>
        </w:rPr>
        <w:t>（二）相关建议。</w:t>
      </w:r>
      <w:bookmarkEnd w:id="220"/>
      <w:bookmarkEnd w:id="221"/>
    </w:p>
    <w:p w14:paraId="73DE0EBD">
      <w:pPr>
        <w:autoSpaceDE/>
        <w:autoSpaceDN/>
        <w:adjustRightInd/>
        <w:spacing w:line="560" w:lineRule="exact"/>
        <w:ind w:firstLine="640" w:firstLineChars="200"/>
        <w:jc w:val="both"/>
        <w:rPr>
          <w:rFonts w:hint="eastAsia" w:ascii="Times New Roman" w:hAnsi="Times New Roman" w:eastAsia="Times New Roman"/>
          <w:kern w:val="2"/>
          <w:sz w:val="32"/>
          <w:szCs w:val="24"/>
        </w:rPr>
      </w:pPr>
      <w:r>
        <w:rPr>
          <w:rFonts w:hint="eastAsia" w:ascii="Times New Roman" w:hAnsi="Times New Roman" w:eastAsia="仿宋_GB2312"/>
          <w:kern w:val="2"/>
          <w:sz w:val="32"/>
          <w:szCs w:val="24"/>
        </w:rPr>
        <w:t>无。</w:t>
      </w:r>
    </w:p>
    <w:p w14:paraId="22988A3E">
      <w:pPr>
        <w:pStyle w:val="3"/>
        <w:keepNext/>
        <w:spacing w:before="340" w:after="330" w:line="576" w:lineRule="auto"/>
        <w:jc w:val="center"/>
        <w:rPr>
          <w:rFonts w:hint="eastAsia" w:ascii="黑体" w:hAnsi="黑体" w:eastAsia="黑体" w:cs="Times New Roman"/>
          <w:color w:val="auto"/>
          <w:kern w:val="44"/>
          <w:sz w:val="44"/>
          <w:szCs w:val="24"/>
          <w:lang w:val="en-US"/>
        </w:rPr>
      </w:pPr>
      <w:bookmarkStart w:id="222" w:name="_Toc2657"/>
      <w:bookmarkStart w:id="223" w:name="_Toc28211"/>
      <w:r>
        <w:rPr>
          <w:rFonts w:hint="eastAsia" w:ascii="黑体" w:hAnsi="黑体" w:eastAsia="黑体" w:cs="Times New Roman"/>
          <w:color w:val="auto"/>
          <w:kern w:val="44"/>
          <w:sz w:val="44"/>
          <w:szCs w:val="24"/>
          <w:lang w:val="en-US"/>
        </w:rPr>
        <w:t>第五部分附表</w:t>
      </w:r>
      <w:bookmarkEnd w:id="222"/>
      <w:bookmarkEnd w:id="223"/>
    </w:p>
    <w:p w14:paraId="63D33960">
      <w:pPr>
        <w:pStyle w:val="4"/>
        <w:keepNext/>
        <w:numPr>
          <w:ilvl w:val="0"/>
          <w:numId w:val="5"/>
        </w:numPr>
        <w:spacing w:before="260" w:after="260" w:line="408" w:lineRule="auto"/>
        <w:jc w:val="both"/>
        <w:rPr>
          <w:rFonts w:hint="eastAsia" w:ascii="黑体" w:hAnsi="黑体" w:eastAsia="黑体" w:cs="黑体"/>
          <w:color w:val="auto"/>
          <w:kern w:val="2"/>
          <w:sz w:val="32"/>
          <w:szCs w:val="24"/>
          <w:lang w:val="en-US"/>
        </w:rPr>
      </w:pPr>
      <w:bookmarkStart w:id="224" w:name="_Toc5951"/>
      <w:bookmarkStart w:id="225" w:name="_Toc22264"/>
      <w:r>
        <w:rPr>
          <w:rFonts w:hint="eastAsia" w:ascii="黑体" w:hAnsi="黑体" w:eastAsia="黑体" w:cs="黑体"/>
          <w:color w:val="auto"/>
          <w:kern w:val="2"/>
          <w:sz w:val="32"/>
          <w:szCs w:val="24"/>
          <w:lang w:val="en-US"/>
        </w:rPr>
        <w:t>收入支出决算总表</w:t>
      </w:r>
      <w:bookmarkEnd w:id="224"/>
      <w:bookmarkEnd w:id="225"/>
    </w:p>
    <w:p w14:paraId="3A22B77A">
      <w:pPr>
        <w:pStyle w:val="4"/>
        <w:keepNext/>
        <w:numPr>
          <w:ilvl w:val="0"/>
          <w:numId w:val="0"/>
        </w:numPr>
        <w:spacing w:before="260" w:after="260" w:line="408" w:lineRule="auto"/>
        <w:jc w:val="both"/>
        <w:rPr>
          <w:rFonts w:hint="default"/>
          <w:sz w:val="24"/>
          <w:szCs w:val="24"/>
        </w:rPr>
      </w:pPr>
      <w:bookmarkStart w:id="226" w:name="_Toc30101"/>
      <w:bookmarkStart w:id="227" w:name="_Toc5216"/>
      <w:bookmarkStart w:id="228" w:name="_Toc11153"/>
      <w:r>
        <w:rPr>
          <w:rFonts w:hint="default"/>
          <w:sz w:val="24"/>
          <w:szCs w:val="24"/>
        </w:rPr>
        <w:drawing>
          <wp:inline distT="0" distB="0" distL="114300" distR="114300">
            <wp:extent cx="5467350" cy="4543425"/>
            <wp:effectExtent l="0" t="0" r="3810" b="13335"/>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pic:cNvPicPr>
                      <a:picLocks noChangeAspect="1"/>
                    </pic:cNvPicPr>
                  </pic:nvPicPr>
                  <pic:blipFill>
                    <a:blip r:embed="rId19"/>
                    <a:stretch>
                      <a:fillRect/>
                    </a:stretch>
                  </pic:blipFill>
                  <pic:spPr>
                    <a:xfrm>
                      <a:off x="0" y="0"/>
                      <a:ext cx="5467350" cy="4543425"/>
                    </a:xfrm>
                    <a:prstGeom prst="rect">
                      <a:avLst/>
                    </a:prstGeom>
                    <a:noFill/>
                    <a:ln>
                      <a:noFill/>
                    </a:ln>
                  </pic:spPr>
                </pic:pic>
              </a:graphicData>
            </a:graphic>
          </wp:inline>
        </w:drawing>
      </w:r>
      <w:bookmarkEnd w:id="226"/>
      <w:bookmarkEnd w:id="227"/>
      <w:bookmarkEnd w:id="228"/>
    </w:p>
    <w:p w14:paraId="1ABD9B3C">
      <w:pPr>
        <w:pStyle w:val="4"/>
        <w:keepNext/>
        <w:numPr>
          <w:ilvl w:val="0"/>
          <w:numId w:val="0"/>
        </w:numPr>
        <w:spacing w:before="260" w:after="260" w:line="408" w:lineRule="auto"/>
        <w:jc w:val="both"/>
        <w:rPr>
          <w:rFonts w:hint="default"/>
          <w:sz w:val="24"/>
          <w:szCs w:val="24"/>
        </w:rPr>
      </w:pPr>
    </w:p>
    <w:p w14:paraId="257A4E0B">
      <w:pPr>
        <w:pStyle w:val="4"/>
        <w:keepNext/>
        <w:numPr>
          <w:ilvl w:val="0"/>
          <w:numId w:val="0"/>
        </w:numPr>
        <w:spacing w:before="260" w:after="260" w:line="408" w:lineRule="auto"/>
        <w:jc w:val="both"/>
        <w:rPr>
          <w:rFonts w:hint="default"/>
          <w:sz w:val="24"/>
          <w:szCs w:val="24"/>
          <w:lang w:val="en-US"/>
        </w:rPr>
      </w:pPr>
    </w:p>
    <w:p w14:paraId="76C9CD08">
      <w:pPr>
        <w:pStyle w:val="4"/>
        <w:keepNext/>
        <w:numPr>
          <w:ilvl w:val="0"/>
          <w:numId w:val="5"/>
        </w:numPr>
        <w:spacing w:before="260" w:after="260" w:line="408" w:lineRule="auto"/>
        <w:jc w:val="both"/>
        <w:rPr>
          <w:rFonts w:hint="eastAsia" w:ascii="黑体" w:hAnsi="黑体" w:eastAsia="黑体" w:cs="黑体"/>
          <w:color w:val="auto"/>
          <w:kern w:val="2"/>
          <w:sz w:val="32"/>
          <w:szCs w:val="24"/>
          <w:lang w:val="en-US"/>
        </w:rPr>
      </w:pPr>
      <w:bookmarkStart w:id="229" w:name="_Toc4685"/>
      <w:bookmarkStart w:id="230" w:name="_Toc9069"/>
      <w:r>
        <w:rPr>
          <w:rFonts w:hint="eastAsia" w:ascii="黑体" w:hAnsi="黑体" w:eastAsia="黑体" w:cs="黑体"/>
          <w:color w:val="auto"/>
          <w:kern w:val="2"/>
          <w:sz w:val="32"/>
          <w:szCs w:val="24"/>
          <w:lang w:val="en-US"/>
        </w:rPr>
        <w:t>收入决算表</w:t>
      </w:r>
      <w:bookmarkEnd w:id="229"/>
      <w:bookmarkEnd w:id="230"/>
    </w:p>
    <w:p w14:paraId="0EDA6AC5">
      <w:pPr>
        <w:pStyle w:val="4"/>
        <w:keepNext/>
        <w:numPr>
          <w:ilvl w:val="0"/>
          <w:numId w:val="0"/>
        </w:numPr>
        <w:spacing w:before="260" w:after="260" w:line="408" w:lineRule="auto"/>
        <w:jc w:val="both"/>
        <w:rPr>
          <w:rFonts w:hint="eastAsia" w:ascii="仿宋" w:hAnsi="仿宋" w:eastAsia="仿宋"/>
          <w:color w:val="auto"/>
          <w:kern w:val="2"/>
          <w:sz w:val="32"/>
          <w:szCs w:val="24"/>
          <w:lang w:val="en-US"/>
        </w:rPr>
      </w:pPr>
      <w:bookmarkStart w:id="231" w:name="_Toc21799"/>
      <w:bookmarkStart w:id="232" w:name="_Toc30455"/>
      <w:bookmarkStart w:id="233" w:name="_Toc13749"/>
      <w:r>
        <w:rPr>
          <w:rFonts w:hint="default"/>
          <w:sz w:val="24"/>
          <w:szCs w:val="24"/>
        </w:rPr>
        <w:drawing>
          <wp:inline distT="0" distB="0" distL="114300" distR="114300">
            <wp:extent cx="5464810" cy="7388225"/>
            <wp:effectExtent l="0" t="0" r="6350" b="3175"/>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pic:cNvPicPr>
                  </pic:nvPicPr>
                  <pic:blipFill>
                    <a:blip r:embed="rId20"/>
                    <a:stretch>
                      <a:fillRect/>
                    </a:stretch>
                  </pic:blipFill>
                  <pic:spPr>
                    <a:xfrm>
                      <a:off x="0" y="0"/>
                      <a:ext cx="5464810" cy="7388225"/>
                    </a:xfrm>
                    <a:prstGeom prst="rect">
                      <a:avLst/>
                    </a:prstGeom>
                    <a:noFill/>
                    <a:ln>
                      <a:noFill/>
                    </a:ln>
                  </pic:spPr>
                </pic:pic>
              </a:graphicData>
            </a:graphic>
          </wp:inline>
        </w:drawing>
      </w:r>
      <w:bookmarkEnd w:id="231"/>
      <w:bookmarkEnd w:id="232"/>
      <w:bookmarkEnd w:id="233"/>
    </w:p>
    <w:p w14:paraId="7187A461">
      <w:pPr>
        <w:pStyle w:val="4"/>
        <w:keepNext/>
        <w:numPr>
          <w:ilvl w:val="0"/>
          <w:numId w:val="5"/>
        </w:numPr>
        <w:spacing w:before="260" w:after="260" w:line="240" w:lineRule="atLeast"/>
        <w:rPr>
          <w:rFonts w:hint="eastAsia" w:ascii="仿宋" w:hAnsi="仿宋" w:eastAsia="仿宋"/>
          <w:color w:val="auto"/>
          <w:kern w:val="2"/>
          <w:sz w:val="32"/>
          <w:szCs w:val="24"/>
          <w:lang w:val="en-US"/>
        </w:rPr>
      </w:pPr>
      <w:bookmarkStart w:id="234" w:name="_Toc15509"/>
      <w:bookmarkStart w:id="235" w:name="_Toc17736"/>
      <w:r>
        <w:rPr>
          <w:rFonts w:hint="eastAsia" w:ascii="黑体" w:hAnsi="黑体" w:eastAsia="黑体" w:cs="黑体"/>
          <w:color w:val="auto"/>
          <w:kern w:val="2"/>
          <w:sz w:val="32"/>
          <w:szCs w:val="24"/>
          <w:lang w:val="en-US"/>
        </w:rPr>
        <w:t>支出决算表</w:t>
      </w:r>
      <w:r>
        <w:rPr>
          <w:rFonts w:hint="default"/>
          <w:sz w:val="24"/>
          <w:szCs w:val="24"/>
        </w:rPr>
        <w:drawing>
          <wp:inline distT="0" distB="0" distL="114300" distR="114300">
            <wp:extent cx="5309870" cy="7795895"/>
            <wp:effectExtent l="0" t="0" r="8890" b="6985"/>
            <wp:docPr id="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7"/>
                    <pic:cNvPicPr>
                      <a:picLocks noChangeAspect="1"/>
                    </pic:cNvPicPr>
                  </pic:nvPicPr>
                  <pic:blipFill>
                    <a:blip r:embed="rId21"/>
                    <a:stretch>
                      <a:fillRect/>
                    </a:stretch>
                  </pic:blipFill>
                  <pic:spPr>
                    <a:xfrm>
                      <a:off x="0" y="0"/>
                      <a:ext cx="5309870" cy="7795895"/>
                    </a:xfrm>
                    <a:prstGeom prst="rect">
                      <a:avLst/>
                    </a:prstGeom>
                    <a:noFill/>
                    <a:ln>
                      <a:noFill/>
                    </a:ln>
                  </pic:spPr>
                </pic:pic>
              </a:graphicData>
            </a:graphic>
          </wp:inline>
        </w:drawing>
      </w:r>
      <w:bookmarkEnd w:id="234"/>
      <w:bookmarkEnd w:id="235"/>
    </w:p>
    <w:p w14:paraId="274AB054">
      <w:pPr>
        <w:pStyle w:val="4"/>
        <w:keepNext/>
        <w:numPr>
          <w:ilvl w:val="0"/>
          <w:numId w:val="0"/>
        </w:numPr>
        <w:spacing w:before="260" w:after="260" w:line="408" w:lineRule="auto"/>
        <w:jc w:val="both"/>
        <w:outlineLvl w:val="1"/>
        <w:rPr>
          <w:rFonts w:hint="eastAsia" w:ascii="黑体" w:hAnsi="黑体" w:eastAsia="黑体" w:cs="黑体"/>
          <w:color w:val="auto"/>
          <w:kern w:val="2"/>
          <w:sz w:val="32"/>
          <w:szCs w:val="24"/>
          <w:lang w:val="en-US"/>
        </w:rPr>
      </w:pPr>
      <w:bookmarkStart w:id="236" w:name="_Toc11483"/>
      <w:bookmarkStart w:id="237" w:name="_Toc16163"/>
      <w:r>
        <w:rPr>
          <w:rFonts w:hint="eastAsia" w:ascii="黑体" w:hAnsi="黑体" w:eastAsia="黑体" w:cs="黑体"/>
          <w:color w:val="auto"/>
          <w:kern w:val="2"/>
          <w:sz w:val="32"/>
          <w:szCs w:val="24"/>
          <w:lang w:val="en-US" w:eastAsia="zh-CN"/>
        </w:rPr>
        <w:t>四、</w:t>
      </w:r>
      <w:r>
        <w:rPr>
          <w:rFonts w:hint="eastAsia" w:ascii="黑体" w:hAnsi="黑体" w:eastAsia="黑体" w:cs="黑体"/>
          <w:color w:val="auto"/>
          <w:kern w:val="2"/>
          <w:sz w:val="32"/>
          <w:szCs w:val="24"/>
          <w:lang w:val="en-US"/>
        </w:rPr>
        <w:t>财政拨款收入支出决算总表</w:t>
      </w:r>
      <w:bookmarkEnd w:id="236"/>
      <w:bookmarkEnd w:id="237"/>
    </w:p>
    <w:p w14:paraId="30D604FE">
      <w:pPr>
        <w:pStyle w:val="4"/>
        <w:keepNext/>
        <w:numPr>
          <w:ilvl w:val="0"/>
          <w:numId w:val="0"/>
        </w:numPr>
        <w:spacing w:before="260" w:after="260" w:line="408" w:lineRule="auto"/>
        <w:jc w:val="both"/>
        <w:rPr>
          <w:rFonts w:hint="eastAsia" w:ascii="仿宋" w:hAnsi="仿宋" w:eastAsia="仿宋"/>
          <w:color w:val="auto"/>
          <w:kern w:val="2"/>
          <w:sz w:val="32"/>
          <w:szCs w:val="24"/>
          <w:lang w:val="en-US"/>
        </w:rPr>
      </w:pPr>
      <w:bookmarkStart w:id="238" w:name="_Toc17290"/>
      <w:bookmarkStart w:id="239" w:name="_Toc9289"/>
      <w:bookmarkStart w:id="240" w:name="_Toc1221"/>
      <w:r>
        <w:rPr>
          <w:rFonts w:hint="default"/>
          <w:sz w:val="24"/>
          <w:szCs w:val="24"/>
        </w:rPr>
        <w:drawing>
          <wp:inline distT="0" distB="0" distL="114300" distR="114300">
            <wp:extent cx="5493385" cy="4070985"/>
            <wp:effectExtent l="0" t="0" r="8255" b="13335"/>
            <wp:docPr id="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pic:cNvPicPr>
                      <a:picLocks noChangeAspect="1"/>
                    </pic:cNvPicPr>
                  </pic:nvPicPr>
                  <pic:blipFill>
                    <a:blip r:embed="rId22"/>
                    <a:stretch>
                      <a:fillRect/>
                    </a:stretch>
                  </pic:blipFill>
                  <pic:spPr>
                    <a:xfrm>
                      <a:off x="0" y="0"/>
                      <a:ext cx="5493385" cy="4070985"/>
                    </a:xfrm>
                    <a:prstGeom prst="rect">
                      <a:avLst/>
                    </a:prstGeom>
                    <a:noFill/>
                    <a:ln>
                      <a:noFill/>
                    </a:ln>
                  </pic:spPr>
                </pic:pic>
              </a:graphicData>
            </a:graphic>
          </wp:inline>
        </w:drawing>
      </w:r>
      <w:bookmarkEnd w:id="238"/>
      <w:bookmarkEnd w:id="239"/>
      <w:bookmarkEnd w:id="240"/>
    </w:p>
    <w:p w14:paraId="41A3C4EA">
      <w:pPr>
        <w:pStyle w:val="4"/>
        <w:keepNext/>
        <w:numPr>
          <w:ilvl w:val="0"/>
          <w:numId w:val="0"/>
        </w:numPr>
        <w:spacing w:before="260" w:after="260" w:line="240" w:lineRule="atLeast"/>
        <w:outlineLvl w:val="1"/>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br w:type="page"/>
      </w:r>
      <w:bookmarkStart w:id="241" w:name="_Toc10338"/>
      <w:bookmarkStart w:id="242" w:name="_Toc7304"/>
      <w:r>
        <w:rPr>
          <w:rFonts w:hint="eastAsia" w:ascii="黑体" w:hAnsi="黑体" w:eastAsia="黑体" w:cs="黑体"/>
          <w:color w:val="auto"/>
          <w:kern w:val="2"/>
          <w:sz w:val="32"/>
          <w:szCs w:val="24"/>
          <w:lang w:val="en-US" w:eastAsia="zh-CN"/>
        </w:rPr>
        <w:t>五、</w:t>
      </w:r>
      <w:r>
        <w:rPr>
          <w:rFonts w:hint="eastAsia" w:ascii="黑体" w:hAnsi="黑体" w:eastAsia="黑体" w:cs="黑体"/>
          <w:color w:val="auto"/>
          <w:kern w:val="2"/>
          <w:sz w:val="32"/>
          <w:szCs w:val="24"/>
          <w:lang w:val="en-US"/>
        </w:rPr>
        <w:t>财政拨款</w:t>
      </w:r>
      <w:r>
        <w:rPr>
          <w:rFonts w:hint="eastAsia" w:ascii="黑体" w:hAnsi="黑体" w:eastAsia="黑体" w:cs="黑体"/>
          <w:color w:val="auto"/>
          <w:kern w:val="2"/>
          <w:sz w:val="32"/>
          <w:szCs w:val="24"/>
          <w:lang w:val="en-US" w:eastAsia="zh-CN"/>
        </w:rPr>
        <w:t>支出决算明细表</w:t>
      </w:r>
      <w:r>
        <w:rPr>
          <w:rFonts w:hint="default"/>
          <w:sz w:val="24"/>
          <w:szCs w:val="24"/>
        </w:rPr>
        <w:drawing>
          <wp:inline distT="0" distB="0" distL="114300" distR="114300">
            <wp:extent cx="4609465" cy="7681595"/>
            <wp:effectExtent l="0" t="0" r="8255" b="14605"/>
            <wp:docPr id="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8"/>
                    <pic:cNvPicPr>
                      <a:picLocks noChangeAspect="1"/>
                    </pic:cNvPicPr>
                  </pic:nvPicPr>
                  <pic:blipFill>
                    <a:blip r:embed="rId23"/>
                    <a:stretch>
                      <a:fillRect/>
                    </a:stretch>
                  </pic:blipFill>
                  <pic:spPr>
                    <a:xfrm>
                      <a:off x="0" y="0"/>
                      <a:ext cx="4609465" cy="7681595"/>
                    </a:xfrm>
                    <a:prstGeom prst="rect">
                      <a:avLst/>
                    </a:prstGeom>
                    <a:noFill/>
                    <a:ln>
                      <a:noFill/>
                    </a:ln>
                  </pic:spPr>
                </pic:pic>
              </a:graphicData>
            </a:graphic>
          </wp:inline>
        </w:drawing>
      </w:r>
      <w:bookmarkEnd w:id="241"/>
      <w:bookmarkEnd w:id="242"/>
    </w:p>
    <w:p w14:paraId="6F7BE7B2">
      <w:pPr>
        <w:pStyle w:val="4"/>
        <w:keepNext/>
        <w:numPr>
          <w:ilvl w:val="0"/>
          <w:numId w:val="0"/>
        </w:numPr>
        <w:spacing w:before="260" w:after="260" w:line="408" w:lineRule="auto"/>
        <w:jc w:val="both"/>
        <w:outlineLvl w:val="1"/>
        <w:rPr>
          <w:rFonts w:hint="eastAsia" w:ascii="黑体" w:hAnsi="黑体" w:eastAsia="黑体" w:cs="黑体"/>
          <w:color w:val="auto"/>
          <w:kern w:val="2"/>
          <w:sz w:val="32"/>
          <w:szCs w:val="24"/>
          <w:lang w:val="en-US"/>
        </w:rPr>
      </w:pPr>
      <w:bookmarkStart w:id="243" w:name="_Toc27054"/>
      <w:bookmarkStart w:id="244" w:name="_Toc15977"/>
      <w:r>
        <w:rPr>
          <w:rFonts w:hint="eastAsia" w:ascii="黑体" w:hAnsi="黑体" w:eastAsia="黑体" w:cs="黑体"/>
          <w:color w:val="auto"/>
          <w:kern w:val="2"/>
          <w:sz w:val="32"/>
          <w:szCs w:val="24"/>
          <w:lang w:val="en-US" w:eastAsia="zh-CN"/>
        </w:rPr>
        <w:t>六、</w:t>
      </w:r>
      <w:r>
        <w:rPr>
          <w:rFonts w:hint="eastAsia" w:ascii="黑体" w:hAnsi="黑体" w:eastAsia="黑体" w:cs="黑体"/>
          <w:color w:val="auto"/>
          <w:kern w:val="2"/>
          <w:sz w:val="32"/>
          <w:szCs w:val="24"/>
          <w:lang w:val="en-US"/>
        </w:rPr>
        <w:t>一般公共预算财政拨款支出决算表</w:t>
      </w:r>
      <w:bookmarkEnd w:id="243"/>
      <w:bookmarkEnd w:id="244"/>
    </w:p>
    <w:p w14:paraId="1FB3A29C">
      <w:pPr>
        <w:pStyle w:val="4"/>
        <w:keepNext/>
        <w:numPr>
          <w:ilvl w:val="0"/>
          <w:numId w:val="0"/>
        </w:numPr>
        <w:spacing w:before="260" w:after="260" w:line="408" w:lineRule="auto"/>
        <w:jc w:val="both"/>
        <w:rPr>
          <w:rFonts w:hint="eastAsia" w:ascii="仿宋" w:hAnsi="仿宋" w:eastAsia="仿宋"/>
          <w:color w:val="auto"/>
          <w:kern w:val="2"/>
          <w:sz w:val="32"/>
          <w:szCs w:val="24"/>
          <w:lang w:val="en-US"/>
        </w:rPr>
      </w:pPr>
      <w:bookmarkStart w:id="245" w:name="_Toc7825"/>
      <w:bookmarkStart w:id="246" w:name="_Toc11292"/>
      <w:bookmarkStart w:id="247" w:name="_Toc5570"/>
      <w:r>
        <w:rPr>
          <w:rFonts w:hint="default"/>
          <w:sz w:val="24"/>
          <w:szCs w:val="24"/>
        </w:rPr>
        <w:drawing>
          <wp:inline distT="0" distB="0" distL="114300" distR="114300">
            <wp:extent cx="3725545" cy="7352665"/>
            <wp:effectExtent l="0" t="0" r="8255" b="8255"/>
            <wp:docPr id="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8"/>
                    <pic:cNvPicPr>
                      <a:picLocks noChangeAspect="1"/>
                    </pic:cNvPicPr>
                  </pic:nvPicPr>
                  <pic:blipFill>
                    <a:blip r:embed="rId24"/>
                    <a:stretch>
                      <a:fillRect/>
                    </a:stretch>
                  </pic:blipFill>
                  <pic:spPr>
                    <a:xfrm>
                      <a:off x="0" y="0"/>
                      <a:ext cx="3725545" cy="7352665"/>
                    </a:xfrm>
                    <a:prstGeom prst="rect">
                      <a:avLst/>
                    </a:prstGeom>
                    <a:noFill/>
                    <a:ln>
                      <a:noFill/>
                    </a:ln>
                  </pic:spPr>
                </pic:pic>
              </a:graphicData>
            </a:graphic>
          </wp:inline>
        </w:drawing>
      </w:r>
      <w:bookmarkEnd w:id="245"/>
      <w:bookmarkEnd w:id="246"/>
      <w:bookmarkEnd w:id="247"/>
    </w:p>
    <w:p w14:paraId="426E4B4B">
      <w:pPr>
        <w:pStyle w:val="4"/>
        <w:keepNext/>
        <w:numPr>
          <w:ilvl w:val="0"/>
          <w:numId w:val="0"/>
        </w:numPr>
        <w:spacing w:before="260" w:after="260" w:line="408" w:lineRule="auto"/>
        <w:jc w:val="both"/>
        <w:outlineLvl w:val="1"/>
        <w:rPr>
          <w:rFonts w:hint="eastAsia" w:ascii="黑体" w:hAnsi="黑体" w:eastAsia="黑体" w:cs="黑体"/>
          <w:color w:val="auto"/>
          <w:kern w:val="2"/>
          <w:sz w:val="32"/>
          <w:szCs w:val="24"/>
          <w:lang w:val="en-US"/>
        </w:rPr>
      </w:pPr>
      <w:bookmarkStart w:id="248" w:name="_Toc15310"/>
      <w:bookmarkStart w:id="249" w:name="_Toc29090"/>
      <w:r>
        <w:rPr>
          <w:rFonts w:hint="eastAsia" w:ascii="黑体" w:hAnsi="黑体" w:eastAsia="黑体" w:cs="黑体"/>
          <w:color w:val="auto"/>
          <w:kern w:val="2"/>
          <w:sz w:val="32"/>
          <w:szCs w:val="24"/>
          <w:lang w:val="en-US" w:eastAsia="zh-CN"/>
        </w:rPr>
        <w:t>七、</w:t>
      </w:r>
      <w:r>
        <w:rPr>
          <w:rFonts w:hint="eastAsia" w:ascii="黑体" w:hAnsi="黑体" w:eastAsia="黑体" w:cs="黑体"/>
          <w:color w:val="auto"/>
          <w:kern w:val="2"/>
          <w:sz w:val="32"/>
          <w:szCs w:val="24"/>
          <w:lang w:val="en-US"/>
        </w:rPr>
        <w:t>一般公共预算财政拨款支出决算明细表</w:t>
      </w:r>
      <w:bookmarkEnd w:id="248"/>
      <w:bookmarkEnd w:id="249"/>
    </w:p>
    <w:p w14:paraId="5DE65A6E">
      <w:pPr>
        <w:pStyle w:val="4"/>
        <w:keepNext/>
        <w:numPr>
          <w:ilvl w:val="0"/>
          <w:numId w:val="0"/>
        </w:numPr>
        <w:spacing w:before="260" w:after="260" w:line="408" w:lineRule="auto"/>
        <w:jc w:val="both"/>
        <w:rPr>
          <w:rFonts w:hint="eastAsia" w:ascii="仿宋" w:hAnsi="仿宋" w:eastAsia="仿宋"/>
          <w:color w:val="auto"/>
          <w:kern w:val="2"/>
          <w:sz w:val="32"/>
          <w:szCs w:val="24"/>
          <w:lang w:val="en-US"/>
        </w:rPr>
      </w:pPr>
      <w:bookmarkStart w:id="250" w:name="_Toc28426"/>
      <w:bookmarkStart w:id="251" w:name="_Toc32170"/>
      <w:bookmarkStart w:id="252" w:name="_Toc6992"/>
      <w:r>
        <w:rPr>
          <w:rFonts w:hint="default"/>
          <w:sz w:val="24"/>
          <w:szCs w:val="24"/>
        </w:rPr>
        <w:drawing>
          <wp:inline distT="0" distB="0" distL="114300" distR="114300">
            <wp:extent cx="5474970" cy="1577975"/>
            <wp:effectExtent l="0" t="0" r="11430" b="6985"/>
            <wp:docPr id="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9"/>
                    <pic:cNvPicPr>
                      <a:picLocks noChangeAspect="1"/>
                    </pic:cNvPicPr>
                  </pic:nvPicPr>
                  <pic:blipFill>
                    <a:blip r:embed="rId25"/>
                    <a:stretch>
                      <a:fillRect/>
                    </a:stretch>
                  </pic:blipFill>
                  <pic:spPr>
                    <a:xfrm>
                      <a:off x="0" y="0"/>
                      <a:ext cx="5474970" cy="1577975"/>
                    </a:xfrm>
                    <a:prstGeom prst="rect">
                      <a:avLst/>
                    </a:prstGeom>
                    <a:noFill/>
                    <a:ln>
                      <a:noFill/>
                    </a:ln>
                  </pic:spPr>
                </pic:pic>
              </a:graphicData>
            </a:graphic>
          </wp:inline>
        </w:drawing>
      </w:r>
      <w:bookmarkEnd w:id="250"/>
      <w:bookmarkEnd w:id="251"/>
      <w:bookmarkEnd w:id="252"/>
    </w:p>
    <w:p w14:paraId="55CC9FD2">
      <w:pPr>
        <w:pStyle w:val="4"/>
        <w:keepNext/>
        <w:numPr>
          <w:ilvl w:val="0"/>
          <w:numId w:val="0"/>
        </w:numPr>
        <w:spacing w:before="260" w:after="260" w:line="408" w:lineRule="auto"/>
        <w:jc w:val="both"/>
        <w:outlineLvl w:val="1"/>
        <w:rPr>
          <w:rFonts w:hint="eastAsia" w:ascii="黑体" w:hAnsi="黑体" w:eastAsia="黑体" w:cs="黑体"/>
          <w:color w:val="auto"/>
          <w:kern w:val="2"/>
          <w:sz w:val="32"/>
          <w:szCs w:val="24"/>
          <w:lang w:val="en-US"/>
        </w:rPr>
      </w:pPr>
      <w:bookmarkStart w:id="253" w:name="_Toc13138"/>
      <w:bookmarkStart w:id="254" w:name="_Toc3450"/>
      <w:r>
        <w:rPr>
          <w:rFonts w:hint="eastAsia" w:ascii="黑体" w:hAnsi="黑体" w:eastAsia="黑体" w:cs="黑体"/>
          <w:color w:val="auto"/>
          <w:kern w:val="2"/>
          <w:sz w:val="32"/>
          <w:szCs w:val="24"/>
          <w:lang w:val="en-US" w:eastAsia="zh-CN"/>
        </w:rPr>
        <w:t>八、</w:t>
      </w:r>
      <w:r>
        <w:rPr>
          <w:rFonts w:hint="eastAsia" w:ascii="黑体" w:hAnsi="黑体" w:eastAsia="黑体" w:cs="黑体"/>
          <w:color w:val="auto"/>
          <w:kern w:val="2"/>
          <w:sz w:val="32"/>
          <w:szCs w:val="24"/>
          <w:lang w:val="en-US"/>
        </w:rPr>
        <w:t>一般公共预算财政拨款基本支出决算表</w:t>
      </w:r>
      <w:bookmarkEnd w:id="253"/>
      <w:bookmarkEnd w:id="254"/>
    </w:p>
    <w:p w14:paraId="2E9000F0">
      <w:pPr>
        <w:pStyle w:val="4"/>
        <w:keepNext/>
        <w:numPr>
          <w:ilvl w:val="0"/>
          <w:numId w:val="0"/>
        </w:numPr>
        <w:spacing w:before="260" w:after="260" w:line="408" w:lineRule="auto"/>
        <w:jc w:val="both"/>
        <w:rPr>
          <w:rFonts w:hint="eastAsia" w:ascii="仿宋" w:hAnsi="仿宋" w:eastAsia="仿宋"/>
          <w:color w:val="auto"/>
          <w:kern w:val="2"/>
          <w:sz w:val="32"/>
          <w:szCs w:val="24"/>
          <w:lang w:val="en-US"/>
        </w:rPr>
      </w:pPr>
      <w:bookmarkStart w:id="255" w:name="_Toc3983"/>
      <w:bookmarkStart w:id="256" w:name="_Toc2261"/>
      <w:bookmarkStart w:id="257" w:name="_Toc26511"/>
      <w:r>
        <w:rPr>
          <w:rFonts w:hint="default"/>
          <w:sz w:val="24"/>
          <w:szCs w:val="24"/>
        </w:rPr>
        <w:drawing>
          <wp:inline distT="0" distB="0" distL="114300" distR="114300">
            <wp:extent cx="5511165" cy="3232785"/>
            <wp:effectExtent l="0" t="0" r="5715" b="13335"/>
            <wp:docPr id="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0"/>
                    <pic:cNvPicPr>
                      <a:picLocks noChangeAspect="1"/>
                    </pic:cNvPicPr>
                  </pic:nvPicPr>
                  <pic:blipFill>
                    <a:blip r:embed="rId26"/>
                    <a:stretch>
                      <a:fillRect/>
                    </a:stretch>
                  </pic:blipFill>
                  <pic:spPr>
                    <a:xfrm>
                      <a:off x="0" y="0"/>
                      <a:ext cx="5511165" cy="3232785"/>
                    </a:xfrm>
                    <a:prstGeom prst="rect">
                      <a:avLst/>
                    </a:prstGeom>
                    <a:noFill/>
                    <a:ln>
                      <a:noFill/>
                    </a:ln>
                  </pic:spPr>
                </pic:pic>
              </a:graphicData>
            </a:graphic>
          </wp:inline>
        </w:drawing>
      </w:r>
      <w:bookmarkEnd w:id="255"/>
      <w:bookmarkEnd w:id="256"/>
      <w:bookmarkEnd w:id="257"/>
    </w:p>
    <w:p w14:paraId="2E557215">
      <w:pPr>
        <w:pStyle w:val="4"/>
        <w:keepNext/>
        <w:numPr>
          <w:ilvl w:val="0"/>
          <w:numId w:val="0"/>
        </w:numPr>
        <w:spacing w:before="260" w:after="260" w:line="240" w:lineRule="atLeast"/>
        <w:jc w:val="both"/>
        <w:outlineLvl w:val="1"/>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br w:type="page"/>
      </w:r>
      <w:bookmarkStart w:id="258" w:name="_Toc11337"/>
      <w:bookmarkStart w:id="259" w:name="_Toc19714"/>
      <w:r>
        <w:rPr>
          <w:rFonts w:hint="eastAsia" w:ascii="黑体" w:hAnsi="黑体" w:eastAsia="黑体" w:cs="黑体"/>
          <w:color w:val="auto"/>
          <w:kern w:val="2"/>
          <w:sz w:val="32"/>
          <w:szCs w:val="24"/>
          <w:lang w:val="en-US" w:eastAsia="zh-CN"/>
        </w:rPr>
        <w:t>九、</w:t>
      </w:r>
      <w:r>
        <w:rPr>
          <w:rFonts w:hint="eastAsia" w:ascii="黑体" w:hAnsi="黑体" w:eastAsia="黑体" w:cs="黑体"/>
          <w:color w:val="auto"/>
          <w:kern w:val="2"/>
          <w:sz w:val="32"/>
          <w:szCs w:val="24"/>
          <w:lang w:val="en-US"/>
        </w:rPr>
        <w:t>一般公共预算财政拨款项目支出决算表</w:t>
      </w:r>
      <w:bookmarkEnd w:id="258"/>
      <w:bookmarkEnd w:id="259"/>
    </w:p>
    <w:p w14:paraId="5015CA02">
      <w:pPr>
        <w:pStyle w:val="4"/>
        <w:keepNext/>
        <w:numPr>
          <w:ilvl w:val="0"/>
          <w:numId w:val="0"/>
        </w:numPr>
        <w:spacing w:before="260" w:after="260" w:line="408" w:lineRule="auto"/>
        <w:jc w:val="both"/>
        <w:rPr>
          <w:rFonts w:hint="eastAsia" w:ascii="仿宋" w:hAnsi="仿宋" w:eastAsia="仿宋"/>
          <w:color w:val="auto"/>
          <w:kern w:val="2"/>
          <w:sz w:val="32"/>
          <w:szCs w:val="24"/>
          <w:lang w:val="en-US"/>
        </w:rPr>
      </w:pPr>
      <w:bookmarkStart w:id="260" w:name="_Toc18852"/>
      <w:bookmarkStart w:id="261" w:name="_Toc8515"/>
      <w:bookmarkStart w:id="262" w:name="_Toc32674"/>
      <w:r>
        <w:rPr>
          <w:rFonts w:hint="default"/>
          <w:sz w:val="24"/>
          <w:szCs w:val="24"/>
        </w:rPr>
        <w:drawing>
          <wp:inline distT="0" distB="0" distL="114300" distR="114300">
            <wp:extent cx="4684395" cy="7445375"/>
            <wp:effectExtent l="0" t="0" r="9525" b="6985"/>
            <wp:docPr id="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1"/>
                    <pic:cNvPicPr>
                      <a:picLocks noChangeAspect="1"/>
                    </pic:cNvPicPr>
                  </pic:nvPicPr>
                  <pic:blipFill>
                    <a:blip r:embed="rId27"/>
                    <a:stretch>
                      <a:fillRect/>
                    </a:stretch>
                  </pic:blipFill>
                  <pic:spPr>
                    <a:xfrm>
                      <a:off x="0" y="0"/>
                      <a:ext cx="4684395" cy="7445375"/>
                    </a:xfrm>
                    <a:prstGeom prst="rect">
                      <a:avLst/>
                    </a:prstGeom>
                    <a:noFill/>
                    <a:ln>
                      <a:noFill/>
                    </a:ln>
                  </pic:spPr>
                </pic:pic>
              </a:graphicData>
            </a:graphic>
          </wp:inline>
        </w:drawing>
      </w:r>
      <w:bookmarkEnd w:id="260"/>
      <w:bookmarkEnd w:id="261"/>
      <w:bookmarkEnd w:id="262"/>
    </w:p>
    <w:p w14:paraId="5B3E04D5">
      <w:pPr>
        <w:pStyle w:val="4"/>
        <w:keepNext/>
        <w:numPr>
          <w:ilvl w:val="0"/>
          <w:numId w:val="0"/>
        </w:numPr>
        <w:spacing w:before="260" w:after="260" w:line="408" w:lineRule="auto"/>
        <w:jc w:val="both"/>
        <w:outlineLvl w:val="1"/>
        <w:rPr>
          <w:rFonts w:hint="eastAsia" w:ascii="黑体" w:hAnsi="黑体" w:eastAsia="黑体" w:cs="黑体"/>
          <w:color w:val="auto"/>
          <w:kern w:val="2"/>
          <w:sz w:val="32"/>
          <w:szCs w:val="24"/>
          <w:lang w:val="en-US"/>
        </w:rPr>
      </w:pPr>
      <w:bookmarkStart w:id="263" w:name="_Toc3946"/>
      <w:bookmarkStart w:id="264" w:name="_Toc14245"/>
      <w:r>
        <w:rPr>
          <w:rFonts w:hint="eastAsia" w:ascii="黑体" w:hAnsi="黑体" w:eastAsia="黑体" w:cs="黑体"/>
          <w:color w:val="auto"/>
          <w:kern w:val="2"/>
          <w:sz w:val="32"/>
          <w:szCs w:val="24"/>
          <w:lang w:val="en-US" w:eastAsia="zh-CN"/>
        </w:rPr>
        <w:t>十、</w:t>
      </w:r>
      <w:r>
        <w:rPr>
          <w:rFonts w:hint="eastAsia" w:ascii="黑体" w:hAnsi="黑体" w:eastAsia="黑体" w:cs="黑体"/>
          <w:color w:val="auto"/>
          <w:kern w:val="2"/>
          <w:sz w:val="32"/>
          <w:szCs w:val="24"/>
          <w:lang w:val="en-US"/>
        </w:rPr>
        <w:t>政府性基金预算财政拨款收入支出决算表</w:t>
      </w:r>
      <w:bookmarkEnd w:id="263"/>
      <w:bookmarkEnd w:id="264"/>
    </w:p>
    <w:p w14:paraId="60CCDCC1">
      <w:pPr>
        <w:pStyle w:val="4"/>
        <w:keepNext/>
        <w:numPr>
          <w:ilvl w:val="0"/>
          <w:numId w:val="0"/>
        </w:numPr>
        <w:spacing w:before="260" w:after="260" w:line="408" w:lineRule="auto"/>
        <w:jc w:val="both"/>
        <w:rPr>
          <w:rFonts w:hint="eastAsia" w:ascii="仿宋" w:hAnsi="仿宋" w:eastAsia="仿宋"/>
          <w:color w:val="auto"/>
          <w:kern w:val="2"/>
          <w:sz w:val="32"/>
          <w:szCs w:val="24"/>
          <w:lang w:val="en-US"/>
        </w:rPr>
      </w:pPr>
      <w:bookmarkStart w:id="265" w:name="_Toc31109"/>
      <w:bookmarkStart w:id="266" w:name="_Toc14791"/>
      <w:bookmarkStart w:id="267" w:name="_Toc20548"/>
      <w:r>
        <w:rPr>
          <w:rFonts w:hint="default"/>
          <w:sz w:val="24"/>
          <w:szCs w:val="24"/>
        </w:rPr>
        <w:drawing>
          <wp:inline distT="0" distB="0" distL="114300" distR="114300">
            <wp:extent cx="5445760" cy="1748155"/>
            <wp:effectExtent l="0" t="0" r="10160" b="4445"/>
            <wp:docPr id="1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2"/>
                    <pic:cNvPicPr>
                      <a:picLocks noChangeAspect="1"/>
                    </pic:cNvPicPr>
                  </pic:nvPicPr>
                  <pic:blipFill>
                    <a:blip r:embed="rId28"/>
                    <a:stretch>
                      <a:fillRect/>
                    </a:stretch>
                  </pic:blipFill>
                  <pic:spPr>
                    <a:xfrm>
                      <a:off x="0" y="0"/>
                      <a:ext cx="5445760" cy="1748155"/>
                    </a:xfrm>
                    <a:prstGeom prst="rect">
                      <a:avLst/>
                    </a:prstGeom>
                    <a:noFill/>
                    <a:ln>
                      <a:noFill/>
                    </a:ln>
                  </pic:spPr>
                </pic:pic>
              </a:graphicData>
            </a:graphic>
          </wp:inline>
        </w:drawing>
      </w:r>
      <w:bookmarkEnd w:id="265"/>
      <w:bookmarkEnd w:id="266"/>
      <w:bookmarkEnd w:id="267"/>
    </w:p>
    <w:p w14:paraId="06ECB4A3">
      <w:pPr>
        <w:pStyle w:val="4"/>
        <w:keepNext/>
        <w:numPr>
          <w:ilvl w:val="0"/>
          <w:numId w:val="0"/>
        </w:numPr>
        <w:spacing w:before="260" w:after="260" w:line="408" w:lineRule="auto"/>
        <w:jc w:val="both"/>
        <w:outlineLvl w:val="1"/>
        <w:rPr>
          <w:rFonts w:hint="eastAsia" w:ascii="黑体" w:hAnsi="黑体" w:eastAsia="黑体" w:cs="黑体"/>
          <w:color w:val="auto"/>
          <w:kern w:val="2"/>
          <w:sz w:val="32"/>
          <w:szCs w:val="24"/>
          <w:lang w:val="en-US"/>
        </w:rPr>
      </w:pPr>
      <w:bookmarkStart w:id="268" w:name="_Toc29574"/>
      <w:bookmarkStart w:id="269" w:name="_Toc2053"/>
      <w:r>
        <w:rPr>
          <w:rFonts w:hint="eastAsia" w:ascii="黑体" w:hAnsi="黑体" w:eastAsia="黑体" w:cs="黑体"/>
          <w:color w:val="auto"/>
          <w:kern w:val="2"/>
          <w:sz w:val="32"/>
          <w:szCs w:val="24"/>
          <w:lang w:val="en-US" w:eastAsia="zh-CN"/>
        </w:rPr>
        <w:t>十一、</w:t>
      </w:r>
      <w:r>
        <w:rPr>
          <w:rFonts w:hint="eastAsia" w:ascii="黑体" w:hAnsi="黑体" w:eastAsia="黑体" w:cs="黑体"/>
          <w:color w:val="auto"/>
          <w:kern w:val="2"/>
          <w:sz w:val="32"/>
          <w:szCs w:val="24"/>
          <w:lang w:val="en-US"/>
        </w:rPr>
        <w:t>国有资本经营预算财政拨款收入支出决算表</w:t>
      </w:r>
      <w:bookmarkEnd w:id="268"/>
      <w:bookmarkEnd w:id="269"/>
    </w:p>
    <w:p w14:paraId="77D829E8">
      <w:pPr>
        <w:pStyle w:val="4"/>
        <w:keepNext/>
        <w:numPr>
          <w:ilvl w:val="0"/>
          <w:numId w:val="0"/>
        </w:numPr>
        <w:spacing w:before="260" w:after="260" w:line="408" w:lineRule="auto"/>
        <w:jc w:val="both"/>
        <w:rPr>
          <w:rFonts w:hint="eastAsia" w:ascii="仿宋" w:hAnsi="仿宋" w:eastAsia="仿宋"/>
          <w:color w:val="auto"/>
          <w:kern w:val="2"/>
          <w:sz w:val="32"/>
          <w:szCs w:val="24"/>
          <w:lang w:val="en-US"/>
        </w:rPr>
      </w:pPr>
      <w:bookmarkStart w:id="270" w:name="_Toc26108"/>
      <w:bookmarkStart w:id="271" w:name="_Toc8005"/>
      <w:bookmarkStart w:id="272" w:name="_Toc270"/>
      <w:r>
        <w:rPr>
          <w:rFonts w:hint="default"/>
          <w:sz w:val="24"/>
          <w:szCs w:val="24"/>
        </w:rPr>
        <w:drawing>
          <wp:inline distT="0" distB="0" distL="114300" distR="114300">
            <wp:extent cx="5471795" cy="2502535"/>
            <wp:effectExtent l="0" t="0" r="14605" b="12065"/>
            <wp:docPr id="1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3"/>
                    <pic:cNvPicPr>
                      <a:picLocks noChangeAspect="1"/>
                    </pic:cNvPicPr>
                  </pic:nvPicPr>
                  <pic:blipFill>
                    <a:blip r:embed="rId29"/>
                    <a:stretch>
                      <a:fillRect/>
                    </a:stretch>
                  </pic:blipFill>
                  <pic:spPr>
                    <a:xfrm>
                      <a:off x="0" y="0"/>
                      <a:ext cx="5471795" cy="2502535"/>
                    </a:xfrm>
                    <a:prstGeom prst="rect">
                      <a:avLst/>
                    </a:prstGeom>
                    <a:noFill/>
                    <a:ln>
                      <a:noFill/>
                    </a:ln>
                  </pic:spPr>
                </pic:pic>
              </a:graphicData>
            </a:graphic>
          </wp:inline>
        </w:drawing>
      </w:r>
      <w:bookmarkEnd w:id="270"/>
      <w:bookmarkEnd w:id="271"/>
      <w:bookmarkEnd w:id="272"/>
    </w:p>
    <w:p w14:paraId="37C523F6">
      <w:pPr>
        <w:pStyle w:val="4"/>
        <w:keepNext/>
        <w:numPr>
          <w:ilvl w:val="0"/>
          <w:numId w:val="0"/>
        </w:numPr>
        <w:spacing w:before="260" w:after="260" w:line="408" w:lineRule="auto"/>
        <w:jc w:val="both"/>
        <w:outlineLvl w:val="1"/>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br w:type="page"/>
      </w:r>
      <w:bookmarkStart w:id="273" w:name="_Toc8176"/>
      <w:bookmarkStart w:id="274" w:name="_Toc30326"/>
      <w:r>
        <w:rPr>
          <w:rFonts w:hint="eastAsia" w:ascii="黑体" w:hAnsi="黑体" w:eastAsia="黑体" w:cs="黑体"/>
          <w:color w:val="auto"/>
          <w:kern w:val="2"/>
          <w:sz w:val="32"/>
          <w:szCs w:val="24"/>
          <w:lang w:val="en-US" w:eastAsia="zh-CN"/>
        </w:rPr>
        <w:t>十二、</w:t>
      </w:r>
      <w:r>
        <w:rPr>
          <w:rFonts w:hint="eastAsia" w:ascii="黑体" w:hAnsi="黑体" w:eastAsia="黑体" w:cs="黑体"/>
          <w:color w:val="auto"/>
          <w:kern w:val="2"/>
          <w:sz w:val="32"/>
          <w:szCs w:val="24"/>
          <w:lang w:val="en-US"/>
        </w:rPr>
        <w:t>国有资本经营预算财政拨款支出决算表</w:t>
      </w:r>
      <w:bookmarkEnd w:id="273"/>
      <w:bookmarkEnd w:id="274"/>
    </w:p>
    <w:p w14:paraId="112AC45B">
      <w:pPr>
        <w:pStyle w:val="4"/>
        <w:keepNext/>
        <w:numPr>
          <w:ilvl w:val="0"/>
          <w:numId w:val="0"/>
        </w:numPr>
        <w:spacing w:before="260" w:after="260" w:line="408" w:lineRule="auto"/>
        <w:jc w:val="both"/>
        <w:rPr>
          <w:rFonts w:hint="eastAsia" w:ascii="仿宋" w:hAnsi="仿宋" w:eastAsia="仿宋"/>
          <w:color w:val="auto"/>
          <w:kern w:val="2"/>
          <w:sz w:val="32"/>
          <w:szCs w:val="24"/>
          <w:lang w:val="en-US"/>
        </w:rPr>
      </w:pPr>
      <w:bookmarkStart w:id="275" w:name="_Toc29988"/>
      <w:bookmarkStart w:id="276" w:name="_Toc28786"/>
      <w:bookmarkStart w:id="277" w:name="_Toc11453"/>
      <w:r>
        <w:rPr>
          <w:rFonts w:hint="default"/>
          <w:sz w:val="24"/>
          <w:szCs w:val="24"/>
        </w:rPr>
        <w:drawing>
          <wp:inline distT="0" distB="0" distL="114300" distR="114300">
            <wp:extent cx="5457190" cy="2637790"/>
            <wp:effectExtent l="0" t="0" r="13970" b="13970"/>
            <wp:docPr id="1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4"/>
                    <pic:cNvPicPr>
                      <a:picLocks noChangeAspect="1"/>
                    </pic:cNvPicPr>
                  </pic:nvPicPr>
                  <pic:blipFill>
                    <a:blip r:embed="rId30"/>
                    <a:stretch>
                      <a:fillRect/>
                    </a:stretch>
                  </pic:blipFill>
                  <pic:spPr>
                    <a:xfrm>
                      <a:off x="0" y="0"/>
                      <a:ext cx="5457190" cy="2637790"/>
                    </a:xfrm>
                    <a:prstGeom prst="rect">
                      <a:avLst/>
                    </a:prstGeom>
                    <a:noFill/>
                    <a:ln>
                      <a:noFill/>
                    </a:ln>
                  </pic:spPr>
                </pic:pic>
              </a:graphicData>
            </a:graphic>
          </wp:inline>
        </w:drawing>
      </w:r>
      <w:bookmarkEnd w:id="275"/>
      <w:bookmarkEnd w:id="276"/>
      <w:bookmarkEnd w:id="277"/>
    </w:p>
    <w:p w14:paraId="176017E2">
      <w:pPr>
        <w:pStyle w:val="4"/>
        <w:keepNext/>
        <w:numPr>
          <w:ilvl w:val="0"/>
          <w:numId w:val="0"/>
        </w:numPr>
        <w:spacing w:before="260" w:after="260" w:line="408" w:lineRule="auto"/>
        <w:jc w:val="both"/>
        <w:outlineLvl w:val="1"/>
        <w:rPr>
          <w:rFonts w:hint="eastAsia" w:ascii="黑体" w:hAnsi="黑体" w:eastAsia="黑体" w:cs="黑体"/>
          <w:color w:val="auto"/>
          <w:kern w:val="2"/>
          <w:sz w:val="32"/>
          <w:szCs w:val="24"/>
          <w:lang w:val="en-US"/>
        </w:rPr>
      </w:pPr>
      <w:bookmarkStart w:id="278" w:name="_Toc5975"/>
      <w:bookmarkStart w:id="279" w:name="_Toc29645"/>
      <w:r>
        <w:rPr>
          <w:rFonts w:hint="eastAsia" w:ascii="黑体" w:hAnsi="黑体" w:eastAsia="黑体" w:cs="黑体"/>
          <w:color w:val="auto"/>
          <w:kern w:val="2"/>
          <w:sz w:val="32"/>
          <w:szCs w:val="24"/>
          <w:lang w:val="en-US" w:eastAsia="zh-CN"/>
        </w:rPr>
        <w:t>十三、</w:t>
      </w:r>
      <w:r>
        <w:rPr>
          <w:rFonts w:hint="eastAsia" w:ascii="黑体" w:hAnsi="黑体" w:eastAsia="黑体" w:cs="黑体"/>
          <w:color w:val="auto"/>
          <w:kern w:val="2"/>
          <w:sz w:val="32"/>
          <w:szCs w:val="24"/>
          <w:lang w:val="en-US"/>
        </w:rPr>
        <w:t>财政拨款“三公”经费支出决算表</w:t>
      </w:r>
      <w:bookmarkEnd w:id="278"/>
      <w:bookmarkEnd w:id="279"/>
    </w:p>
    <w:p w14:paraId="2263C217">
      <w:pPr>
        <w:pStyle w:val="4"/>
        <w:keepNext/>
        <w:numPr>
          <w:ilvl w:val="0"/>
          <w:numId w:val="0"/>
        </w:numPr>
        <w:spacing w:before="260" w:after="260" w:line="408" w:lineRule="auto"/>
        <w:jc w:val="both"/>
        <w:rPr>
          <w:rFonts w:hint="eastAsia" w:ascii="仿宋" w:hAnsi="仿宋" w:eastAsia="仿宋"/>
          <w:color w:val="auto"/>
          <w:kern w:val="2"/>
          <w:sz w:val="32"/>
          <w:szCs w:val="24"/>
          <w:lang w:val="en-US"/>
        </w:rPr>
      </w:pPr>
      <w:bookmarkStart w:id="280" w:name="_Toc15850"/>
      <w:bookmarkStart w:id="281" w:name="_Toc1431"/>
      <w:bookmarkStart w:id="282" w:name="_Toc14795"/>
      <w:r>
        <w:rPr>
          <w:rFonts w:hint="default"/>
          <w:sz w:val="24"/>
          <w:szCs w:val="24"/>
        </w:rPr>
        <w:drawing>
          <wp:inline distT="0" distB="0" distL="114300" distR="114300">
            <wp:extent cx="5494020" cy="1137285"/>
            <wp:effectExtent l="0" t="0" r="7620" b="5715"/>
            <wp:docPr id="1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5"/>
                    <pic:cNvPicPr>
                      <a:picLocks noChangeAspect="1"/>
                    </pic:cNvPicPr>
                  </pic:nvPicPr>
                  <pic:blipFill>
                    <a:blip r:embed="rId31"/>
                    <a:stretch>
                      <a:fillRect/>
                    </a:stretch>
                  </pic:blipFill>
                  <pic:spPr>
                    <a:xfrm>
                      <a:off x="0" y="0"/>
                      <a:ext cx="5494020" cy="1137285"/>
                    </a:xfrm>
                    <a:prstGeom prst="rect">
                      <a:avLst/>
                    </a:prstGeom>
                    <a:noFill/>
                    <a:ln>
                      <a:noFill/>
                    </a:ln>
                  </pic:spPr>
                </pic:pic>
              </a:graphicData>
            </a:graphic>
          </wp:inline>
        </w:drawing>
      </w:r>
      <w:bookmarkEnd w:id="280"/>
      <w:bookmarkEnd w:id="281"/>
      <w:bookmarkEnd w:id="282"/>
    </w:p>
    <w:p w14:paraId="603C8260">
      <w:pPr>
        <w:keepNext/>
        <w:rPr>
          <w:rFonts w:hint="eastAsia" w:ascii="华文中宋" w:hAnsi="华文中宋" w:eastAsia="华文中宋"/>
          <w:color w:val="auto"/>
          <w:kern w:val="2"/>
          <w:sz w:val="36"/>
          <w:szCs w:val="24"/>
          <w:lang w:val="en-US"/>
        </w:rPr>
      </w:pPr>
    </w:p>
    <w:sectPr>
      <w:footerReference r:id="rId3" w:type="default"/>
      <w:pgSz w:w="12240" w:h="15840"/>
      <w:pgMar w:top="1440" w:right="1800" w:bottom="1440" w:left="1800" w:header="720" w:footer="720" w:gutter="0"/>
      <w:lnNumType w:countBy="0" w:distance="36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AA889">
    <w:pPr>
      <w:pStyle w:val="7"/>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184589">
                          <w:pPr>
                            <w:pStyle w:val="7"/>
                            <w:rPr>
                              <w:rFonts w:hint="default"/>
                              <w:sz w:val="18"/>
                              <w:szCs w:val="24"/>
                            </w:rPr>
                          </w:pPr>
                          <w:r>
                            <w:rPr>
                              <w:rFonts w:hint="default"/>
                              <w:sz w:val="24"/>
                              <w:szCs w:val="24"/>
                            </w:rPr>
                            <w:fldChar w:fldCharType="begin"/>
                          </w:r>
                          <w:r>
                            <w:rPr>
                              <w:rFonts w:hint="default"/>
                              <w:sz w:val="24"/>
                              <w:szCs w:val="24"/>
                            </w:rPr>
                            <w:instrText xml:space="preserve"> PAGE  \* MERGEFORMAT </w:instrText>
                          </w:r>
                          <w:r>
                            <w:rPr>
                              <w:rFonts w:hint="default"/>
                              <w:sz w:val="24"/>
                              <w:szCs w:val="24"/>
                            </w:rPr>
                            <w:fldChar w:fldCharType="separate"/>
                          </w:r>
                          <w:r>
                            <w:rPr>
                              <w:rFonts w:hint="default"/>
                              <w:sz w:val="24"/>
                              <w:szCs w:val="24"/>
                            </w:rPr>
                            <w:t>4</w:t>
                          </w:r>
                          <w:r>
                            <w:rPr>
                              <w:rFonts w:hint="default"/>
                              <w:sz w:val="24"/>
                              <w:szCs w:val="24"/>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x1yBd0BAAC/AwAADgAAAGRycy9lMm9Eb2MueG1srVNBrtMwEN0jcQfL&#10;e5q0Qq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tAnPOXPC0sQv379dfvy6/PzK&#10;lkmf3seK0u48JeLwCgbKnf2RnIn20Aab/kSIUZzUPV/VVQMymS6tV+t1SSFJsflA+MX9dR8ivlFg&#10;WTJqHmh8WVVxehdxTJ1TUjUHt9qYPELj/nIQZvIUqfexx2ThsB8mQntozsSH3gHV6SB84aynLai5&#10;o6XnzLx1JHJamNkIs7GfDeEkXaw5cjaar3FcrKMP+tAR7jI3H/3LI1KnmUBqY6w9dUdzzRJMO5gW&#10;589zzrp/d9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IsdcgXdAQAAvwMAAA4AAAAAAAAA&#10;AQAgAAAAHgEAAGRycy9lMm9Eb2MueG1sUEsFBgAAAAAGAAYAWQEAAG0FAAAAAA==&#10;">
              <v:fill on="f" focussize="0,0"/>
              <v:stroke on="f"/>
              <v:imagedata o:title=""/>
              <o:lock v:ext="edit" aspectratio="f"/>
              <v:textbox inset="0mm,0mm,0mm,0mm" style="mso-fit-shape-to-text:t;">
                <w:txbxContent>
                  <w:p w14:paraId="6A184589">
                    <w:pPr>
                      <w:pStyle w:val="7"/>
                      <w:rPr>
                        <w:rFonts w:hint="default"/>
                        <w:sz w:val="18"/>
                        <w:szCs w:val="24"/>
                      </w:rPr>
                    </w:pPr>
                    <w:r>
                      <w:rPr>
                        <w:rFonts w:hint="default"/>
                        <w:sz w:val="24"/>
                        <w:szCs w:val="24"/>
                      </w:rPr>
                      <w:fldChar w:fldCharType="begin"/>
                    </w:r>
                    <w:r>
                      <w:rPr>
                        <w:rFonts w:hint="default"/>
                        <w:sz w:val="24"/>
                        <w:szCs w:val="24"/>
                      </w:rPr>
                      <w:instrText xml:space="preserve"> PAGE  \* MERGEFORMAT </w:instrText>
                    </w:r>
                    <w:r>
                      <w:rPr>
                        <w:rFonts w:hint="default"/>
                        <w:sz w:val="24"/>
                        <w:szCs w:val="24"/>
                      </w:rPr>
                      <w:fldChar w:fldCharType="separate"/>
                    </w:r>
                    <w:r>
                      <w:rPr>
                        <w:rFonts w:hint="default"/>
                        <w:sz w:val="24"/>
                        <w:szCs w:val="24"/>
                      </w:rPr>
                      <w:t>4</w:t>
                    </w:r>
                    <w:r>
                      <w:rPr>
                        <w:rFonts w:hint="default"/>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F9D47"/>
    <w:multiLevelType w:val="multilevel"/>
    <w:tmpl w:val="953F9D47"/>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C52E7F65"/>
    <w:multiLevelType w:val="multilevel"/>
    <w:tmpl w:val="C52E7F65"/>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
    <w:nsid w:val="DB062396"/>
    <w:multiLevelType w:val="multilevel"/>
    <w:tmpl w:val="DB062396"/>
    <w:lvl w:ilvl="0" w:tentative="0">
      <w:start w:val="3"/>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3">
    <w:nsid w:val="F0DD134B"/>
    <w:multiLevelType w:val="multilevel"/>
    <w:tmpl w:val="F0DD134B"/>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4">
    <w:nsid w:val="16664E57"/>
    <w:multiLevelType w:val="multilevel"/>
    <w:tmpl w:val="16664E57"/>
    <w:lvl w:ilvl="0" w:tentative="0">
      <w:start w:val="2"/>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WY1YjUwNTg0YzQ2M2NmZjI0ZDJkMzQyYjYxNWMifQ=="/>
    <w:docVar w:name="KSO_WPS_MARK_KEY" w:val="f3c81d29-b67c-481d-bac0-363c9d5dfa47"/>
  </w:docVars>
  <w:rsids>
    <w:rsidRoot w:val="00172A27"/>
    <w:rsid w:val="1CC70430"/>
    <w:rsid w:val="5E89121B"/>
    <w:rsid w:val="6A4850D5"/>
    <w:rsid w:val="70F133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99" w:semiHidden="0" w:name="toc 1"/>
    <w:lsdException w:qFormat="1" w:uiPriority="99" w:semiHidden="0" w:name="toc 2"/>
    <w:lsdException w:qFormat="1"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0"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paragraph" w:styleId="3">
    <w:name w:val="heading 1"/>
    <w:next w:val="1"/>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paragraph" w:styleId="4">
    <w:name w:val="heading 2"/>
    <w:next w:val="1"/>
    <w:unhideWhenUsed/>
    <w:uiPriority w:val="99"/>
    <w:pPr>
      <w:widowControl w:val="0"/>
      <w:autoSpaceDE w:val="0"/>
      <w:autoSpaceDN w:val="0"/>
      <w:adjustRightInd w:val="0"/>
    </w:pPr>
    <w:rPr>
      <w:rFonts w:hint="default" w:ascii="Times New Roman" w:hAnsi="Times New Roman" w:eastAsia="宋体" w:cs="Times New Roman"/>
      <w:sz w:val="24"/>
      <w:szCs w:val="24"/>
    </w:rPr>
  </w:style>
  <w:style w:type="character" w:default="1" w:styleId="12">
    <w:name w:val="Default Paragraph Font"/>
    <w:unhideWhenUsed/>
    <w:uiPriority w:val="99"/>
    <w:rPr>
      <w:rFonts w:hint="default"/>
      <w:sz w:val="24"/>
      <w:szCs w:val="24"/>
    </w:rPr>
  </w:style>
  <w:style w:type="table" w:default="1" w:styleId="11">
    <w:name w:val="Normal Table"/>
    <w:qFormat/>
    <w:uiPriority w:val="99"/>
    <w:tblPr>
      <w:tblCellMar>
        <w:top w:w="0" w:type="dxa"/>
        <w:left w:w="108" w:type="dxa"/>
        <w:bottom w:w="0" w:type="dxa"/>
        <w:right w:w="108" w:type="dxa"/>
      </w:tblCellMar>
    </w:tblPr>
  </w:style>
  <w:style w:type="paragraph" w:styleId="2">
    <w:name w:val="Normal Indent"/>
    <w:unhideWhenUsed/>
    <w:qFormat/>
    <w:uiPriority w:val="0"/>
    <w:pPr>
      <w:widowControl w:val="0"/>
      <w:spacing w:beforeLines="0" w:afterLines="0"/>
      <w:ind w:firstLine="420" w:firstLineChars="200"/>
      <w:jc w:val="both"/>
    </w:pPr>
    <w:rPr>
      <w:rFonts w:hint="eastAsia" w:ascii="Times New Roman" w:hAnsi="Times New Roman" w:eastAsia="Times New Roman" w:cs="Times New Roman"/>
      <w:kern w:val="2"/>
      <w:sz w:val="21"/>
      <w:szCs w:val="24"/>
      <w:lang w:val="en-US" w:eastAsia="zh-CN"/>
    </w:rPr>
  </w:style>
  <w:style w:type="paragraph" w:styleId="5">
    <w:name w:val="Body Text"/>
    <w:basedOn w:val="1"/>
    <w:unhideWhenUsed/>
    <w:qFormat/>
    <w:uiPriority w:val="99"/>
    <w:pPr>
      <w:autoSpaceDE/>
      <w:autoSpaceDN/>
      <w:adjustRightInd/>
      <w:spacing w:beforeLines="30"/>
      <w:jc w:val="both"/>
    </w:pPr>
    <w:rPr>
      <w:rFonts w:hint="eastAsia" w:ascii="仿宋_GB2312" w:hAnsi="Times New Roman" w:eastAsia="仿宋_GB2312"/>
      <w:sz w:val="30"/>
      <w:szCs w:val="24"/>
    </w:rPr>
  </w:style>
  <w:style w:type="paragraph" w:styleId="6">
    <w:name w:val="toc 3"/>
    <w:basedOn w:val="1"/>
    <w:next w:val="1"/>
    <w:unhideWhenUsed/>
    <w:qFormat/>
    <w:uiPriority w:val="99"/>
    <w:pPr>
      <w:ind w:left="840" w:leftChars="400"/>
    </w:pPr>
    <w:rPr>
      <w:rFonts w:hint="default"/>
      <w:sz w:val="24"/>
      <w:szCs w:val="24"/>
    </w:rPr>
  </w:style>
  <w:style w:type="paragraph" w:styleId="7">
    <w:name w:val="footer"/>
    <w:basedOn w:val="1"/>
    <w:unhideWhenUsed/>
    <w:qFormat/>
    <w:uiPriority w:val="99"/>
    <w:pPr>
      <w:tabs>
        <w:tab w:val="center" w:pos="4153"/>
        <w:tab w:val="right" w:pos="8306"/>
      </w:tabs>
      <w:snapToGrid w:val="0"/>
    </w:pPr>
    <w:rPr>
      <w:rFonts w:hint="default"/>
      <w:sz w:val="18"/>
      <w:szCs w:val="24"/>
    </w:rPr>
  </w:style>
  <w:style w:type="paragraph" w:styleId="8">
    <w:name w:val="header"/>
    <w:basedOn w:val="1"/>
    <w:unhideWhenUsed/>
    <w:qFormat/>
    <w:uiPriority w:val="99"/>
    <w:pPr>
      <w:tabs>
        <w:tab w:val="center" w:pos="4153"/>
        <w:tab w:val="right" w:pos="8306"/>
      </w:tabs>
      <w:snapToGrid w:val="0"/>
      <w:jc w:val="both"/>
    </w:pPr>
    <w:rPr>
      <w:rFonts w:hint="default"/>
      <w:sz w:val="18"/>
      <w:szCs w:val="24"/>
    </w:rPr>
  </w:style>
  <w:style w:type="paragraph" w:styleId="9">
    <w:name w:val="toc 1"/>
    <w:basedOn w:val="1"/>
    <w:next w:val="1"/>
    <w:unhideWhenUsed/>
    <w:qFormat/>
    <w:uiPriority w:val="99"/>
    <w:rPr>
      <w:rFonts w:hint="default"/>
      <w:sz w:val="24"/>
      <w:szCs w:val="24"/>
    </w:rPr>
  </w:style>
  <w:style w:type="paragraph" w:styleId="10">
    <w:name w:val="toc 2"/>
    <w:basedOn w:val="1"/>
    <w:next w:val="1"/>
    <w:unhideWhenUsed/>
    <w:qFormat/>
    <w:uiPriority w:val="99"/>
    <w:pPr>
      <w:ind w:left="420" w:leftChars="200"/>
    </w:pPr>
    <w:rPr>
      <w:rFonts w:hint="default"/>
      <w:sz w:val="24"/>
      <w:szCs w:val="24"/>
    </w:rPr>
  </w:style>
  <w:style w:type="paragraph" w:customStyle="1" w:styleId="13">
    <w:name w:val="WPSOffice手动目录 3"/>
    <w:unhideWhenUsed/>
    <w:qFormat/>
    <w:uiPriority w:val="0"/>
    <w:pPr>
      <w:spacing w:beforeLines="0" w:afterLines="0"/>
      <w:ind w:leftChars="400"/>
    </w:pPr>
    <w:rPr>
      <w:rFonts w:hint="default" w:ascii="Times New Roman" w:hAnsi="Times New Roman" w:eastAsia="宋体" w:cs="Times New Roman"/>
      <w:sz w:val="20"/>
      <w:szCs w:val="24"/>
    </w:rPr>
  </w:style>
  <w:style w:type="paragraph" w:customStyle="1" w:styleId="14">
    <w:name w:val="WPSOffice手动目录 1"/>
    <w:unhideWhenUsed/>
    <w:uiPriority w:val="0"/>
    <w:pPr>
      <w:spacing w:beforeLines="0" w:afterLines="0"/>
    </w:pPr>
    <w:rPr>
      <w:rFonts w:hint="default" w:ascii="Times New Roman" w:hAnsi="Times New Roman" w:eastAsia="宋体" w:cs="Times New Roman"/>
      <w:sz w:val="20"/>
      <w:szCs w:val="24"/>
    </w:rPr>
  </w:style>
  <w:style w:type="paragraph" w:customStyle="1" w:styleId="15">
    <w:name w:val="WPSOffice手动目录 2"/>
    <w:unhideWhenUsed/>
    <w:qFormat/>
    <w:uiPriority w:val="0"/>
    <w:pPr>
      <w:spacing w:beforeLines="0" w:afterLines="0"/>
      <w:ind w:leftChars="200"/>
    </w:pPr>
    <w:rPr>
      <w:rFonts w:hint="default" w:ascii="Times New Roman" w:hAnsi="Times New Roman" w:eastAsia="宋体" w:cs="Times New Roman"/>
      <w:sz w:val="20"/>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0.emf"/><Relationship Id="rId30" Type="http://schemas.openxmlformats.org/officeDocument/2006/relationships/image" Target="media/image19.emf"/><Relationship Id="rId3" Type="http://schemas.openxmlformats.org/officeDocument/2006/relationships/footer" Target="footer1.xml"/><Relationship Id="rId29" Type="http://schemas.openxmlformats.org/officeDocument/2006/relationships/image" Target="media/image18.emf"/><Relationship Id="rId28" Type="http://schemas.openxmlformats.org/officeDocument/2006/relationships/image" Target="media/image17.emf"/><Relationship Id="rId27" Type="http://schemas.openxmlformats.org/officeDocument/2006/relationships/image" Target="media/image16.emf"/><Relationship Id="rId26" Type="http://schemas.openxmlformats.org/officeDocument/2006/relationships/image" Target="media/image15.emf"/><Relationship Id="rId25" Type="http://schemas.openxmlformats.org/officeDocument/2006/relationships/image" Target="media/image14.emf"/><Relationship Id="rId24" Type="http://schemas.openxmlformats.org/officeDocument/2006/relationships/image" Target="media/image13.emf"/><Relationship Id="rId23" Type="http://schemas.openxmlformats.org/officeDocument/2006/relationships/image" Target="media/image12.emf"/><Relationship Id="rId22" Type="http://schemas.openxmlformats.org/officeDocument/2006/relationships/image" Target="media/image11.emf"/><Relationship Id="rId21" Type="http://schemas.openxmlformats.org/officeDocument/2006/relationships/image" Target="media/image10.emf"/><Relationship Id="rId20" Type="http://schemas.openxmlformats.org/officeDocument/2006/relationships/image" Target="media/image9.emf"/><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0"/>
    <customShpInfo spid="_x0000_s2051"/>
    <customShpInfo spid="_x0000_s2052"/>
    <customShpInfo spid="_x0000_s2053"/>
    <customShpInfo spid="_x0000_s2054"/>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13057</Words>
  <Characters>14072</Characters>
  <TotalTime>24</TotalTime>
  <ScaleCrop>false</ScaleCrop>
  <LinksUpToDate>false</LinksUpToDate>
  <CharactersWithSpaces>14107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2023-12-28T10:57:00Z</dcterms:created>
  <dc:creator>Administrator</dc:creator>
  <cp:lastModifiedBy>王杰</cp:lastModifiedBy>
  <cp:lastPrinted>2026-01-19T08:22:00Z</cp:lastPrinted>
  <dcterms:modified xsi:type="dcterms:W3CDTF">2026-02-06T08:22:25Z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2EA4D48173474161A8CDB5B1B13CB361_13</vt:lpwstr>
  </property>
  <property fmtid="{D5CDD505-2E9C-101B-9397-08002B2CF9AE}" pid="4" name="KSOTemplateDocerSaveRecord">
    <vt:lpwstr>eyJoZGlkIjoiZGU5OWU4NTY1YzEzN2EyZDFhNDUwZjA2M2QxZWUyYmEiLCJ1c2VySWQiOiIyNjIxOTcxNDAifQ==</vt:lpwstr>
  </property>
</Properties>
</file>