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华文中宋"/>
          <w:b/>
          <w:sz w:val="36"/>
          <w:szCs w:val="36"/>
        </w:rPr>
      </w:pPr>
      <w:bookmarkStart w:id="0" w:name="_GoBack"/>
      <w:bookmarkEnd w:id="0"/>
    </w:p>
    <w:p>
      <w:pPr>
        <w:spacing w:line="640" w:lineRule="exact"/>
        <w:jc w:val="center"/>
        <w:rPr>
          <w:rFonts w:eastAsia="方正小标宋_GBK"/>
          <w:sz w:val="44"/>
          <w:szCs w:val="44"/>
        </w:rPr>
      </w:pPr>
      <w:r>
        <w:rPr>
          <w:rFonts w:hint="eastAsia" w:eastAsia="方正小标宋_GBK"/>
          <w:sz w:val="44"/>
          <w:szCs w:val="44"/>
        </w:rPr>
        <w:t>盐边县人民政府</w:t>
      </w:r>
    </w:p>
    <w:p>
      <w:pPr>
        <w:spacing w:line="640" w:lineRule="exact"/>
        <w:jc w:val="center"/>
        <w:rPr>
          <w:rFonts w:eastAsia="方正小标宋_GBK"/>
          <w:sz w:val="44"/>
          <w:szCs w:val="44"/>
        </w:rPr>
      </w:pPr>
      <w:r>
        <w:rPr>
          <w:rFonts w:hint="eastAsia" w:eastAsia="方正小标宋_GBK"/>
          <w:sz w:val="44"/>
          <w:szCs w:val="44"/>
        </w:rPr>
        <w:t>关于</w:t>
      </w:r>
      <w:r>
        <w:rPr>
          <w:rFonts w:eastAsia="方正小标宋_GBK"/>
          <w:sz w:val="44"/>
          <w:szCs w:val="44"/>
        </w:rPr>
        <w:t>201</w:t>
      </w:r>
      <w:r>
        <w:rPr>
          <w:rFonts w:hint="eastAsia" w:eastAsia="方正小标宋_GBK"/>
          <w:sz w:val="44"/>
          <w:szCs w:val="44"/>
        </w:rPr>
        <w:t>9年县级财政决算的报告</w:t>
      </w:r>
    </w:p>
    <w:p>
      <w:pPr>
        <w:spacing w:line="640" w:lineRule="exact"/>
        <w:jc w:val="center"/>
        <w:rPr>
          <w:rFonts w:eastAsia="楷体_GB2312"/>
          <w:b/>
          <w:sz w:val="32"/>
          <w:szCs w:val="32"/>
        </w:rPr>
      </w:pPr>
      <w:r>
        <w:rPr>
          <w:rFonts w:hint="eastAsia" w:eastAsia="楷体_GB2312"/>
          <w:b/>
          <w:sz w:val="24"/>
        </w:rPr>
        <w:t xml:space="preserve"> </w:t>
      </w:r>
    </w:p>
    <w:p>
      <w:pPr>
        <w:jc w:val="center"/>
        <w:rPr>
          <w:rFonts w:eastAsia="仿宋_GB2312"/>
          <w:sz w:val="24"/>
        </w:rPr>
      </w:pPr>
    </w:p>
    <w:p>
      <w:pPr>
        <w:spacing w:line="560" w:lineRule="exact"/>
        <w:rPr>
          <w:rFonts w:eastAsia="仿宋_GB2312"/>
          <w:sz w:val="32"/>
          <w:szCs w:val="32"/>
        </w:rPr>
      </w:pPr>
      <w:r>
        <w:rPr>
          <w:rFonts w:hint="eastAsia" w:eastAsia="仿宋_GB2312"/>
          <w:sz w:val="32"/>
          <w:szCs w:val="32"/>
        </w:rPr>
        <w:t>盐边县人大常委会：</w:t>
      </w:r>
    </w:p>
    <w:p>
      <w:pPr>
        <w:spacing w:line="560" w:lineRule="exact"/>
        <w:ind w:firstLine="640" w:firstLineChars="200"/>
        <w:rPr>
          <w:rFonts w:eastAsia="仿宋_GB2312"/>
          <w:sz w:val="32"/>
          <w:szCs w:val="32"/>
        </w:rPr>
      </w:pPr>
      <w:r>
        <w:rPr>
          <w:rFonts w:hint="eastAsia" w:eastAsia="仿宋_GB2312"/>
          <w:sz w:val="32"/>
          <w:szCs w:val="32"/>
        </w:rPr>
        <w:t>按照有关法律规定和县人大常委会安排，受县人民政府委托，向县第十八届人大常委会第三十六次会议报告</w:t>
      </w:r>
      <w:r>
        <w:rPr>
          <w:rFonts w:eastAsia="仿宋_GB2312"/>
          <w:sz w:val="32"/>
          <w:szCs w:val="32"/>
        </w:rPr>
        <w:t>201</w:t>
      </w:r>
      <w:r>
        <w:rPr>
          <w:rFonts w:hint="eastAsia" w:eastAsia="仿宋_GB2312"/>
          <w:sz w:val="32"/>
          <w:szCs w:val="32"/>
        </w:rPr>
        <w:t>9年县级财政决算情况，请予审查。</w:t>
      </w:r>
    </w:p>
    <w:p>
      <w:pPr>
        <w:spacing w:line="560" w:lineRule="exact"/>
        <w:ind w:firstLine="640" w:firstLineChars="200"/>
        <w:rPr>
          <w:rFonts w:eastAsia="黑体"/>
          <w:sz w:val="32"/>
          <w:szCs w:val="32"/>
        </w:rPr>
      </w:pPr>
      <w:r>
        <w:rPr>
          <w:rFonts w:hint="eastAsia" w:eastAsia="黑体"/>
          <w:sz w:val="32"/>
          <w:szCs w:val="32"/>
        </w:rPr>
        <w:t>一、</w:t>
      </w:r>
      <w:r>
        <w:rPr>
          <w:rFonts w:eastAsia="黑体"/>
          <w:sz w:val="32"/>
          <w:szCs w:val="32"/>
        </w:rPr>
        <w:t>201</w:t>
      </w:r>
      <w:r>
        <w:rPr>
          <w:rFonts w:hint="eastAsia" w:eastAsia="黑体"/>
          <w:sz w:val="32"/>
          <w:szCs w:val="32"/>
        </w:rPr>
        <w:t>9年县级财政决算情况</w:t>
      </w:r>
    </w:p>
    <w:p>
      <w:pPr>
        <w:spacing w:line="530" w:lineRule="exact"/>
        <w:ind w:firstLine="660"/>
        <w:rPr>
          <w:rFonts w:eastAsia="方正仿宋_GBK"/>
          <w:color w:val="000000"/>
          <w:sz w:val="33"/>
          <w:szCs w:val="33"/>
        </w:rPr>
      </w:pPr>
      <w:r>
        <w:rPr>
          <w:rFonts w:eastAsia="仿宋_GB2312"/>
          <w:sz w:val="32"/>
          <w:szCs w:val="32"/>
        </w:rPr>
        <w:t>201</w:t>
      </w:r>
      <w:r>
        <w:rPr>
          <w:rFonts w:hint="eastAsia" w:eastAsia="仿宋_GB2312"/>
          <w:sz w:val="32"/>
          <w:szCs w:val="32"/>
        </w:rPr>
        <w:t>9年，面对经济下行压力较大的形势，</w:t>
      </w:r>
      <w:r>
        <w:rPr>
          <w:rFonts w:eastAsia="方正仿宋_GBK"/>
          <w:color w:val="000000"/>
          <w:sz w:val="33"/>
          <w:szCs w:val="33"/>
        </w:rPr>
        <w:t>全县上下以习近平新时代中国特色社会主义思想为指导，</w:t>
      </w:r>
      <w:r>
        <w:rPr>
          <w:rFonts w:hint="eastAsia" w:eastAsia="方正仿宋_GBK"/>
          <w:color w:val="000000"/>
          <w:sz w:val="33"/>
          <w:szCs w:val="33"/>
        </w:rPr>
        <w:t>深入学习党的十九大精神和</w:t>
      </w:r>
      <w:r>
        <w:rPr>
          <w:rFonts w:eastAsia="方正仿宋_GBK"/>
          <w:color w:val="000000"/>
          <w:sz w:val="33"/>
          <w:szCs w:val="33"/>
        </w:rPr>
        <w:t>习近平总书记</w:t>
      </w:r>
      <w:r>
        <w:rPr>
          <w:rFonts w:hint="eastAsia" w:eastAsia="方正仿宋_GBK"/>
          <w:color w:val="000000"/>
          <w:sz w:val="33"/>
          <w:szCs w:val="33"/>
        </w:rPr>
        <w:t>对四川工作系列重要指示</w:t>
      </w:r>
      <w:r>
        <w:rPr>
          <w:rFonts w:eastAsia="方正仿宋_GBK"/>
          <w:color w:val="000000"/>
          <w:sz w:val="33"/>
          <w:szCs w:val="33"/>
        </w:rPr>
        <w:t>精神</w:t>
      </w:r>
      <w:r>
        <w:rPr>
          <w:rFonts w:hint="eastAsia" w:eastAsia="方正仿宋_GBK"/>
          <w:color w:val="000000"/>
          <w:sz w:val="33"/>
          <w:szCs w:val="33"/>
        </w:rPr>
        <w:t>，增强“四个意识”、坚定“四个自信”、做到“两个维护”，全面贯彻</w:t>
      </w:r>
      <w:r>
        <w:rPr>
          <w:rFonts w:eastAsia="方正仿宋_GBK"/>
          <w:color w:val="000000"/>
          <w:sz w:val="33"/>
          <w:szCs w:val="33"/>
        </w:rPr>
        <w:t>落实</w:t>
      </w:r>
      <w:r>
        <w:rPr>
          <w:rFonts w:hint="eastAsia" w:eastAsia="方正仿宋_GBK"/>
          <w:color w:val="000000"/>
          <w:sz w:val="33"/>
          <w:szCs w:val="33"/>
        </w:rPr>
        <w:t>各级党委、政府各项决策</w:t>
      </w:r>
      <w:r>
        <w:rPr>
          <w:rFonts w:eastAsia="方正仿宋_GBK"/>
          <w:color w:val="000000"/>
          <w:sz w:val="33"/>
          <w:szCs w:val="33"/>
        </w:rPr>
        <w:t>部署</w:t>
      </w:r>
      <w:r>
        <w:rPr>
          <w:rFonts w:hint="eastAsia" w:eastAsia="方正仿宋_GBK"/>
          <w:color w:val="000000"/>
          <w:sz w:val="33"/>
          <w:szCs w:val="33"/>
        </w:rPr>
        <w:t>。</w:t>
      </w:r>
      <w:r>
        <w:rPr>
          <w:rFonts w:hint="eastAsia" w:eastAsia="仿宋_GB2312"/>
          <w:sz w:val="32"/>
          <w:szCs w:val="32"/>
        </w:rPr>
        <w:t>严格执行县十八届人大四次会议审查批准的预算，认真落实预算的决议和审查意见，</w:t>
      </w:r>
      <w:r>
        <w:rPr>
          <w:rFonts w:hint="eastAsia" w:eastAsia="方正仿宋_GBK"/>
          <w:color w:val="000000"/>
          <w:sz w:val="33"/>
          <w:szCs w:val="33"/>
        </w:rPr>
        <w:t>坚持稳中求进工作总基调，深入贯彻新发展理念，以供给侧结构性改革为主线，</w:t>
      </w:r>
      <w:r>
        <w:rPr>
          <w:rFonts w:eastAsia="方正仿宋_GBK"/>
          <w:color w:val="000000"/>
          <w:sz w:val="33"/>
          <w:szCs w:val="33"/>
        </w:rPr>
        <w:t>按照高质量发展的要求，全力打好防范化解重大风险、精准脱贫、污染防治三大攻坚战，着力抓好增收节支，努力保障民生支出，</w:t>
      </w:r>
      <w:r>
        <w:rPr>
          <w:rFonts w:hint="eastAsia" w:eastAsia="方正仿宋_GBK"/>
          <w:color w:val="000000"/>
          <w:sz w:val="33"/>
          <w:szCs w:val="33"/>
        </w:rPr>
        <w:t>全县财政运行总体平稳，决算情况总体较好，</w:t>
      </w:r>
      <w:r>
        <w:rPr>
          <w:rFonts w:eastAsia="方正仿宋_GBK"/>
          <w:color w:val="000000"/>
          <w:sz w:val="33"/>
          <w:szCs w:val="33"/>
        </w:rPr>
        <w:t>促进了全县经济社会持续健康发展。</w:t>
      </w:r>
      <w:r>
        <w:rPr>
          <w:rFonts w:hint="eastAsia" w:eastAsia="方正仿宋_GBK"/>
          <w:color w:val="000000"/>
          <w:sz w:val="33"/>
          <w:szCs w:val="33"/>
        </w:rPr>
        <w:t xml:space="preserve"> </w:t>
      </w:r>
    </w:p>
    <w:p>
      <w:pPr>
        <w:spacing w:line="560" w:lineRule="exact"/>
        <w:ind w:firstLine="640" w:firstLineChars="200"/>
        <w:rPr>
          <w:rFonts w:eastAsia="仿宋_GB2312"/>
          <w:sz w:val="32"/>
          <w:szCs w:val="32"/>
        </w:rPr>
      </w:pPr>
      <w:r>
        <w:rPr>
          <w:rFonts w:eastAsia="仿宋_GB2312"/>
          <w:sz w:val="32"/>
          <w:szCs w:val="32"/>
        </w:rPr>
        <w:t>201</w:t>
      </w:r>
      <w:r>
        <w:rPr>
          <w:rFonts w:hint="eastAsia" w:eastAsia="仿宋_GB2312"/>
          <w:sz w:val="32"/>
          <w:szCs w:val="32"/>
        </w:rPr>
        <w:t>9年县级财政决算情况是：</w:t>
      </w:r>
    </w:p>
    <w:p>
      <w:pPr>
        <w:numPr>
          <w:ilvl w:val="0"/>
          <w:numId w:val="1"/>
        </w:numPr>
        <w:spacing w:line="530" w:lineRule="exact"/>
        <w:rPr>
          <w:rFonts w:eastAsia="楷体_GB2312"/>
          <w:sz w:val="32"/>
          <w:szCs w:val="32"/>
        </w:rPr>
      </w:pPr>
      <w:r>
        <w:rPr>
          <w:rFonts w:hint="eastAsia" w:eastAsia="楷体_GB2312"/>
          <w:sz w:val="32"/>
          <w:szCs w:val="32"/>
        </w:rPr>
        <w:t>一般公共预算。</w:t>
      </w:r>
    </w:p>
    <w:p>
      <w:pPr>
        <w:spacing w:line="530" w:lineRule="exact"/>
        <w:ind w:firstLine="660" w:firstLineChars="200"/>
        <w:rPr>
          <w:rFonts w:eastAsia="方正仿宋_GBK"/>
          <w:color w:val="000000"/>
          <w:sz w:val="33"/>
          <w:szCs w:val="33"/>
        </w:rPr>
      </w:pPr>
      <w:r>
        <w:rPr>
          <w:rFonts w:eastAsia="方正仿宋_GBK"/>
          <w:color w:val="000000"/>
          <w:sz w:val="33"/>
          <w:szCs w:val="33"/>
        </w:rPr>
        <w:t>2019年，一般公共预算收入完成70,045万元，</w:t>
      </w:r>
      <w:r>
        <w:rPr>
          <w:rFonts w:hint="eastAsia" w:eastAsia="方正仿宋_GBK"/>
          <w:color w:val="000000"/>
          <w:sz w:val="33"/>
          <w:szCs w:val="33"/>
        </w:rPr>
        <w:t>为</w:t>
      </w:r>
      <w:r>
        <w:rPr>
          <w:rFonts w:eastAsia="方正仿宋_GBK"/>
          <w:color w:val="000000"/>
          <w:sz w:val="33"/>
          <w:szCs w:val="33"/>
        </w:rPr>
        <w:t>预算的100%，增长16.7%；一般公共预算支出完成174,911万元，</w:t>
      </w:r>
      <w:r>
        <w:rPr>
          <w:rFonts w:hint="eastAsia" w:eastAsia="方正仿宋_GBK"/>
          <w:color w:val="000000"/>
          <w:sz w:val="33"/>
          <w:szCs w:val="33"/>
        </w:rPr>
        <w:t>为</w:t>
      </w:r>
      <w:r>
        <w:rPr>
          <w:rFonts w:eastAsia="方正仿宋_GBK"/>
          <w:color w:val="000000"/>
          <w:sz w:val="33"/>
          <w:szCs w:val="33"/>
        </w:rPr>
        <w:t>预算的</w:t>
      </w:r>
      <w:r>
        <w:rPr>
          <w:rFonts w:hint="eastAsia" w:eastAsia="方正仿宋_GBK"/>
          <w:color w:val="000000"/>
          <w:sz w:val="33"/>
          <w:szCs w:val="33"/>
        </w:rPr>
        <w:t>99.66</w:t>
      </w:r>
      <w:r>
        <w:rPr>
          <w:rFonts w:eastAsia="方正仿宋_GBK"/>
          <w:color w:val="000000"/>
          <w:sz w:val="33"/>
          <w:szCs w:val="33"/>
        </w:rPr>
        <w:t>%，增长10.6％。</w:t>
      </w:r>
    </w:p>
    <w:p>
      <w:pPr>
        <w:spacing w:line="530" w:lineRule="exact"/>
        <w:ind w:firstLine="660"/>
        <w:rPr>
          <w:rFonts w:eastAsia="方正仿宋_GBK"/>
          <w:color w:val="000000"/>
          <w:sz w:val="33"/>
          <w:szCs w:val="33"/>
        </w:rPr>
      </w:pPr>
      <w:r>
        <w:rPr>
          <w:rFonts w:eastAsia="方正仿宋_GBK"/>
          <w:color w:val="000000"/>
          <w:sz w:val="33"/>
          <w:szCs w:val="33"/>
        </w:rPr>
        <w:t>2019年一般公共预算收支平衡情况：当年收入70,045万元，</w:t>
      </w:r>
      <w:r>
        <w:rPr>
          <w:rFonts w:hint="eastAsia" w:eastAsia="方正仿宋_GBK"/>
          <w:color w:val="000000"/>
          <w:sz w:val="33"/>
          <w:szCs w:val="33"/>
        </w:rPr>
        <w:t>上级补助收入79,489万元（其中：</w:t>
      </w:r>
      <w:r>
        <w:rPr>
          <w:rFonts w:eastAsia="方正仿宋_GBK"/>
          <w:color w:val="000000"/>
          <w:sz w:val="33"/>
          <w:szCs w:val="33"/>
        </w:rPr>
        <w:t>返还性收入-679万元，一般性转移支付收入</w:t>
      </w:r>
      <w:r>
        <w:rPr>
          <w:rFonts w:hint="eastAsia" w:eastAsia="方正仿宋_GBK"/>
          <w:color w:val="000000"/>
          <w:sz w:val="33"/>
          <w:szCs w:val="33"/>
        </w:rPr>
        <w:t>75,038</w:t>
      </w:r>
      <w:r>
        <w:rPr>
          <w:rFonts w:eastAsia="方正仿宋_GBK"/>
          <w:color w:val="000000"/>
          <w:sz w:val="33"/>
          <w:szCs w:val="33"/>
        </w:rPr>
        <w:t>万元，专项转移支付收入5,1</w:t>
      </w:r>
      <w:r>
        <w:rPr>
          <w:rFonts w:hint="eastAsia" w:eastAsia="方正仿宋_GBK"/>
          <w:color w:val="000000"/>
          <w:sz w:val="33"/>
          <w:szCs w:val="33"/>
        </w:rPr>
        <w:t>30</w:t>
      </w:r>
      <w:r>
        <w:rPr>
          <w:rFonts w:eastAsia="方正仿宋_GBK"/>
          <w:color w:val="000000"/>
          <w:sz w:val="33"/>
          <w:szCs w:val="33"/>
        </w:rPr>
        <w:t>万元</w:t>
      </w:r>
      <w:r>
        <w:rPr>
          <w:rFonts w:hint="eastAsia" w:eastAsia="方正仿宋_GBK"/>
          <w:color w:val="000000"/>
          <w:sz w:val="33"/>
          <w:szCs w:val="33"/>
        </w:rPr>
        <w:t>），</w:t>
      </w:r>
      <w:r>
        <w:rPr>
          <w:rFonts w:eastAsia="方正仿宋_GBK"/>
          <w:color w:val="000000"/>
          <w:sz w:val="33"/>
          <w:szCs w:val="33"/>
        </w:rPr>
        <w:t>一般债券转贷收入21,598万元（其中：新增债券8,408万元，再融资债券13,190万元），上年结转116万元，动用预算稳定调节基金5,556万元，调入资金24,150万元（其中：</w:t>
      </w:r>
      <w:r>
        <w:rPr>
          <w:rFonts w:hint="eastAsia" w:eastAsia="方正仿宋_GBK"/>
          <w:color w:val="000000"/>
          <w:sz w:val="33"/>
          <w:szCs w:val="33"/>
        </w:rPr>
        <w:t>政府性</w:t>
      </w:r>
      <w:r>
        <w:rPr>
          <w:rFonts w:eastAsia="方正仿宋_GBK"/>
          <w:color w:val="000000"/>
          <w:sz w:val="33"/>
          <w:szCs w:val="33"/>
        </w:rPr>
        <w:t>基金调入24,000万元、国有资本经营</w:t>
      </w:r>
      <w:r>
        <w:rPr>
          <w:rFonts w:hint="eastAsia" w:eastAsia="方正仿宋_GBK"/>
          <w:color w:val="000000"/>
          <w:sz w:val="33"/>
          <w:szCs w:val="33"/>
        </w:rPr>
        <w:t>预算</w:t>
      </w:r>
      <w:r>
        <w:rPr>
          <w:rFonts w:eastAsia="方正仿宋_GBK"/>
          <w:color w:val="000000"/>
          <w:sz w:val="33"/>
          <w:szCs w:val="33"/>
        </w:rPr>
        <w:t>调入150万元），收入总计200,</w:t>
      </w:r>
      <w:r>
        <w:rPr>
          <w:rFonts w:hint="eastAsia" w:eastAsia="方正仿宋_GBK"/>
          <w:color w:val="000000"/>
          <w:sz w:val="33"/>
          <w:szCs w:val="33"/>
        </w:rPr>
        <w:t>954</w:t>
      </w:r>
      <w:r>
        <w:rPr>
          <w:rFonts w:eastAsia="方正仿宋_GBK"/>
          <w:color w:val="000000"/>
          <w:sz w:val="33"/>
          <w:szCs w:val="33"/>
        </w:rPr>
        <w:t>万元。当年一般公共预算支出174,911万元（其中：县级支出153,040万元、乡镇支出21,871万元），上解上级支出5,</w:t>
      </w:r>
      <w:r>
        <w:rPr>
          <w:rFonts w:hint="eastAsia" w:eastAsia="方正仿宋_GBK"/>
          <w:color w:val="000000"/>
          <w:sz w:val="33"/>
          <w:szCs w:val="33"/>
        </w:rPr>
        <w:t>773</w:t>
      </w:r>
      <w:r>
        <w:rPr>
          <w:rFonts w:eastAsia="方正仿宋_GBK"/>
          <w:color w:val="000000"/>
          <w:sz w:val="33"/>
          <w:szCs w:val="33"/>
        </w:rPr>
        <w:t>万元，债务还本支出13,190万元，补充预算稳定调节基金6,</w:t>
      </w:r>
      <w:r>
        <w:rPr>
          <w:rFonts w:hint="eastAsia" w:eastAsia="方正仿宋_GBK"/>
          <w:color w:val="000000"/>
          <w:sz w:val="33"/>
          <w:szCs w:val="33"/>
        </w:rPr>
        <w:t>481</w:t>
      </w:r>
      <w:r>
        <w:rPr>
          <w:rFonts w:eastAsia="方正仿宋_GBK"/>
          <w:color w:val="000000"/>
          <w:sz w:val="33"/>
          <w:szCs w:val="33"/>
        </w:rPr>
        <w:t>万元，支出总计200,</w:t>
      </w:r>
      <w:r>
        <w:rPr>
          <w:rFonts w:hint="eastAsia" w:eastAsia="方正仿宋_GBK"/>
          <w:color w:val="000000"/>
          <w:sz w:val="33"/>
          <w:szCs w:val="33"/>
        </w:rPr>
        <w:t>355</w:t>
      </w:r>
      <w:r>
        <w:rPr>
          <w:rFonts w:eastAsia="方正仿宋_GBK"/>
          <w:color w:val="000000"/>
          <w:sz w:val="33"/>
          <w:szCs w:val="33"/>
        </w:rPr>
        <w:t>万元</w:t>
      </w:r>
      <w:r>
        <w:rPr>
          <w:rFonts w:hint="eastAsia" w:eastAsia="方正仿宋_GBK"/>
          <w:color w:val="000000"/>
          <w:sz w:val="33"/>
          <w:szCs w:val="33"/>
        </w:rPr>
        <w:t>，</w:t>
      </w:r>
      <w:r>
        <w:rPr>
          <w:rFonts w:eastAsia="方正仿宋_GBK"/>
          <w:color w:val="000000"/>
          <w:sz w:val="33"/>
          <w:szCs w:val="33"/>
        </w:rPr>
        <w:t>结转下年支出</w:t>
      </w:r>
      <w:r>
        <w:rPr>
          <w:rFonts w:hint="eastAsia" w:eastAsia="方正仿宋_GBK"/>
          <w:color w:val="000000"/>
          <w:sz w:val="33"/>
          <w:szCs w:val="33"/>
        </w:rPr>
        <w:t>599</w:t>
      </w:r>
      <w:r>
        <w:rPr>
          <w:rFonts w:eastAsia="方正仿宋_GBK"/>
          <w:color w:val="000000"/>
          <w:sz w:val="33"/>
          <w:szCs w:val="33"/>
        </w:rPr>
        <w:t>万元。实现一般公共预算收支滚动平衡。</w:t>
      </w:r>
    </w:p>
    <w:p>
      <w:pPr>
        <w:spacing w:line="530" w:lineRule="exact"/>
        <w:ind w:firstLine="660"/>
        <w:rPr>
          <w:rFonts w:eastAsia="方正仿宋_GBK"/>
          <w:color w:val="000000"/>
          <w:sz w:val="33"/>
          <w:szCs w:val="33"/>
        </w:rPr>
      </w:pPr>
      <w:r>
        <w:rPr>
          <w:rFonts w:hint="eastAsia" w:eastAsia="方正仿宋_GBK"/>
          <w:color w:val="000000"/>
          <w:sz w:val="33"/>
          <w:szCs w:val="33"/>
        </w:rPr>
        <w:t>与向</w:t>
      </w:r>
      <w:r>
        <w:rPr>
          <w:rFonts w:eastAsia="方正仿宋_GBK"/>
          <w:color w:val="000000"/>
          <w:sz w:val="33"/>
          <w:szCs w:val="33"/>
        </w:rPr>
        <w:t>县第十八届人民代表大会第五次</w:t>
      </w:r>
      <w:r>
        <w:rPr>
          <w:rFonts w:hint="eastAsia" w:eastAsia="方正仿宋_GBK"/>
          <w:color w:val="000000"/>
          <w:sz w:val="33"/>
          <w:szCs w:val="33"/>
        </w:rPr>
        <w:t>会议报告的执行数相比，收入总计增加391万元，主要原因一是收到省财政厅下达乡镇行政区划调整改革补助资金209万元。二是市财政局增加我县村级一事一议奖补奖补资金182万元列入结算事项。支出总计增加391万元，主要原因一是根据省财政厅《关于核定医疗卫生领域财政事权和支出责任划分改革所涉及支出划转的通知》（川财社〔2020〕18号）将上解上级支出由5,537万元调整为5,773万元增加236万元。二是将补充预算稳定调节基金由6,535万元调整为6,481万元，减少54万元。三是收到省财政厅下达乡镇行政区划调整改革补助资金结转下年支出由390万元调整为599万元，增加209万元。</w:t>
      </w:r>
    </w:p>
    <w:p>
      <w:pPr>
        <w:spacing w:line="560" w:lineRule="exact"/>
        <w:ind w:firstLine="643" w:firstLineChars="200"/>
        <w:rPr>
          <w:rFonts w:eastAsia="仿宋_GB2312"/>
          <w:sz w:val="32"/>
          <w:szCs w:val="32"/>
        </w:rPr>
      </w:pPr>
      <w:r>
        <w:rPr>
          <w:rFonts w:hint="eastAsia" w:eastAsia="仿宋_GB2312"/>
          <w:b/>
          <w:sz w:val="32"/>
          <w:szCs w:val="32"/>
        </w:rPr>
        <w:t>收入决算的主要情况是：</w:t>
      </w:r>
      <w:r>
        <w:rPr>
          <w:rFonts w:hint="eastAsia" w:eastAsia="仿宋_GB2312"/>
          <w:sz w:val="32"/>
          <w:szCs w:val="32"/>
        </w:rPr>
        <w:t>税收收入</w:t>
      </w:r>
      <w:r>
        <w:rPr>
          <w:rFonts w:eastAsia="仿宋_GB2312"/>
          <w:sz w:val="32"/>
          <w:szCs w:val="32"/>
        </w:rPr>
        <w:t>5</w:t>
      </w:r>
      <w:r>
        <w:rPr>
          <w:rFonts w:hint="eastAsia" w:eastAsia="仿宋_GB2312"/>
          <w:sz w:val="32"/>
          <w:szCs w:val="32"/>
        </w:rPr>
        <w:t>3</w:t>
      </w:r>
      <w:r>
        <w:rPr>
          <w:rFonts w:eastAsia="仿宋_GB2312"/>
          <w:sz w:val="32"/>
          <w:szCs w:val="32"/>
        </w:rPr>
        <w:t>,1</w:t>
      </w:r>
      <w:r>
        <w:rPr>
          <w:rFonts w:hint="eastAsia" w:eastAsia="仿宋_GB2312"/>
          <w:sz w:val="32"/>
          <w:szCs w:val="32"/>
        </w:rPr>
        <w:t>35万元，为预算的</w:t>
      </w:r>
      <w:r>
        <w:rPr>
          <w:rFonts w:eastAsia="仿宋_GB2312"/>
          <w:sz w:val="32"/>
          <w:szCs w:val="32"/>
        </w:rPr>
        <w:t>100%</w:t>
      </w:r>
      <w:r>
        <w:rPr>
          <w:rFonts w:hint="eastAsia" w:eastAsia="仿宋_GB2312"/>
          <w:sz w:val="32"/>
          <w:szCs w:val="32"/>
        </w:rPr>
        <w:t>。其中：增值税</w:t>
      </w:r>
      <w:r>
        <w:rPr>
          <w:rFonts w:eastAsia="仿宋_GB2312"/>
          <w:sz w:val="32"/>
          <w:szCs w:val="32"/>
        </w:rPr>
        <w:t>2</w:t>
      </w:r>
      <w:r>
        <w:rPr>
          <w:rFonts w:hint="eastAsia" w:eastAsia="仿宋_GB2312"/>
          <w:sz w:val="32"/>
          <w:szCs w:val="32"/>
        </w:rPr>
        <w:t>7</w:t>
      </w:r>
      <w:r>
        <w:rPr>
          <w:rFonts w:eastAsia="仿宋_GB2312"/>
          <w:sz w:val="32"/>
          <w:szCs w:val="32"/>
        </w:rPr>
        <w:t>,</w:t>
      </w:r>
      <w:r>
        <w:rPr>
          <w:rFonts w:hint="eastAsia" w:eastAsia="仿宋_GB2312"/>
          <w:sz w:val="32"/>
          <w:szCs w:val="32"/>
        </w:rPr>
        <w:t>817万元，为预算的</w:t>
      </w:r>
      <w:r>
        <w:rPr>
          <w:rFonts w:eastAsia="仿宋_GB2312"/>
          <w:sz w:val="32"/>
          <w:szCs w:val="32"/>
        </w:rPr>
        <w:t>100%</w:t>
      </w:r>
      <w:r>
        <w:rPr>
          <w:rFonts w:hint="eastAsia" w:eastAsia="仿宋_GB2312"/>
          <w:sz w:val="32"/>
          <w:szCs w:val="32"/>
        </w:rPr>
        <w:t>。企业所得税8</w:t>
      </w:r>
      <w:r>
        <w:rPr>
          <w:rFonts w:eastAsia="仿宋_GB2312"/>
          <w:sz w:val="32"/>
          <w:szCs w:val="32"/>
        </w:rPr>
        <w:t>,</w:t>
      </w:r>
      <w:r>
        <w:rPr>
          <w:rFonts w:hint="eastAsia" w:eastAsia="仿宋_GB2312"/>
          <w:sz w:val="32"/>
          <w:szCs w:val="32"/>
        </w:rPr>
        <w:t>660万元，为预算的</w:t>
      </w:r>
      <w:r>
        <w:rPr>
          <w:rFonts w:eastAsia="仿宋_GB2312"/>
          <w:sz w:val="32"/>
          <w:szCs w:val="32"/>
        </w:rPr>
        <w:t>100%</w:t>
      </w:r>
      <w:r>
        <w:rPr>
          <w:rFonts w:hint="eastAsia" w:eastAsia="仿宋_GB2312"/>
          <w:sz w:val="32"/>
          <w:szCs w:val="32"/>
        </w:rPr>
        <w:t>。个人所得税860万元，为预算的</w:t>
      </w:r>
      <w:r>
        <w:rPr>
          <w:rFonts w:eastAsia="仿宋_GB2312"/>
          <w:sz w:val="32"/>
          <w:szCs w:val="32"/>
        </w:rPr>
        <w:t>100%</w:t>
      </w:r>
      <w:r>
        <w:rPr>
          <w:rFonts w:hint="eastAsia" w:eastAsia="仿宋_GB2312"/>
          <w:sz w:val="32"/>
          <w:szCs w:val="32"/>
        </w:rPr>
        <w:t>。资源税4</w:t>
      </w:r>
      <w:r>
        <w:rPr>
          <w:rFonts w:eastAsia="仿宋_GB2312"/>
          <w:sz w:val="32"/>
          <w:szCs w:val="32"/>
        </w:rPr>
        <w:t>,</w:t>
      </w:r>
      <w:r>
        <w:rPr>
          <w:rFonts w:hint="eastAsia" w:eastAsia="仿宋_GB2312"/>
          <w:sz w:val="32"/>
          <w:szCs w:val="32"/>
        </w:rPr>
        <w:t>547万元，为预算的</w:t>
      </w:r>
      <w:r>
        <w:rPr>
          <w:rFonts w:eastAsia="仿宋_GB2312"/>
          <w:sz w:val="32"/>
          <w:szCs w:val="32"/>
        </w:rPr>
        <w:t>100%</w:t>
      </w:r>
      <w:r>
        <w:rPr>
          <w:rFonts w:hint="eastAsia" w:eastAsia="仿宋_GB2312"/>
          <w:sz w:val="32"/>
          <w:szCs w:val="32"/>
        </w:rPr>
        <w:t>。城市维护建设税</w:t>
      </w:r>
      <w:r>
        <w:rPr>
          <w:rFonts w:eastAsia="仿宋_GB2312"/>
          <w:sz w:val="32"/>
          <w:szCs w:val="32"/>
        </w:rPr>
        <w:t>1,</w:t>
      </w:r>
      <w:r>
        <w:rPr>
          <w:rFonts w:hint="eastAsia" w:eastAsia="仿宋_GB2312"/>
          <w:sz w:val="32"/>
          <w:szCs w:val="32"/>
        </w:rPr>
        <w:t>742万元，为预算的100</w:t>
      </w:r>
      <w:r>
        <w:rPr>
          <w:rFonts w:eastAsia="仿宋_GB2312"/>
          <w:sz w:val="32"/>
          <w:szCs w:val="32"/>
        </w:rPr>
        <w:t>%</w:t>
      </w:r>
      <w:r>
        <w:rPr>
          <w:rFonts w:hint="eastAsia" w:eastAsia="仿宋_GB2312"/>
          <w:sz w:val="32"/>
          <w:szCs w:val="32"/>
        </w:rPr>
        <w:t>。房产税973万元，为预算的100</w:t>
      </w:r>
      <w:r>
        <w:rPr>
          <w:rFonts w:eastAsia="仿宋_GB2312"/>
          <w:sz w:val="32"/>
          <w:szCs w:val="32"/>
        </w:rPr>
        <w:t>%</w:t>
      </w:r>
      <w:r>
        <w:rPr>
          <w:rFonts w:hint="eastAsia" w:eastAsia="仿宋_GB2312"/>
          <w:sz w:val="32"/>
          <w:szCs w:val="32"/>
        </w:rPr>
        <w:t>。印花税604万元，为预算的100%。城镇土地使用税</w:t>
      </w:r>
      <w:r>
        <w:rPr>
          <w:rFonts w:eastAsia="仿宋_GB2312"/>
          <w:sz w:val="32"/>
          <w:szCs w:val="32"/>
        </w:rPr>
        <w:t>1,</w:t>
      </w:r>
      <w:r>
        <w:rPr>
          <w:rFonts w:hint="eastAsia" w:eastAsia="仿宋_GB2312"/>
          <w:sz w:val="32"/>
          <w:szCs w:val="32"/>
        </w:rPr>
        <w:t>319万元，为预算的</w:t>
      </w:r>
      <w:r>
        <w:rPr>
          <w:rFonts w:eastAsia="仿宋_GB2312"/>
          <w:sz w:val="32"/>
          <w:szCs w:val="32"/>
        </w:rPr>
        <w:t>100%</w:t>
      </w:r>
      <w:r>
        <w:rPr>
          <w:rFonts w:hint="eastAsia" w:eastAsia="仿宋_GB2312"/>
          <w:sz w:val="32"/>
          <w:szCs w:val="32"/>
        </w:rPr>
        <w:t>。土地增值税310万元，为预算100%。车船税493万元，为预算的100%。耕地占用税2,273万元，为预算的100%。契税1,495万元，为预算的100%。烟叶税1</w:t>
      </w:r>
      <w:r>
        <w:rPr>
          <w:rFonts w:eastAsia="仿宋_GB2312"/>
          <w:sz w:val="32"/>
          <w:szCs w:val="32"/>
        </w:rPr>
        <w:t>,</w:t>
      </w:r>
      <w:r>
        <w:rPr>
          <w:rFonts w:hint="eastAsia" w:eastAsia="仿宋_GB2312"/>
          <w:sz w:val="32"/>
          <w:szCs w:val="32"/>
        </w:rPr>
        <w:t>597万元，为预算的</w:t>
      </w:r>
      <w:r>
        <w:rPr>
          <w:rFonts w:eastAsia="仿宋_GB2312"/>
          <w:sz w:val="32"/>
          <w:szCs w:val="32"/>
        </w:rPr>
        <w:t>100%</w:t>
      </w:r>
      <w:r>
        <w:rPr>
          <w:rFonts w:hint="eastAsia" w:eastAsia="仿宋_GB2312"/>
          <w:sz w:val="32"/>
          <w:szCs w:val="32"/>
        </w:rPr>
        <w:t>。环境保护税435万元，为预算的100%。其他税收收入10万元，为预算的100%。</w:t>
      </w:r>
    </w:p>
    <w:p>
      <w:pPr>
        <w:spacing w:line="560" w:lineRule="exact"/>
        <w:ind w:firstLine="640" w:firstLineChars="200"/>
        <w:rPr>
          <w:rFonts w:eastAsia="仿宋_GB2312"/>
          <w:sz w:val="32"/>
          <w:szCs w:val="32"/>
        </w:rPr>
      </w:pPr>
      <w:r>
        <w:rPr>
          <w:rFonts w:hint="eastAsia" w:eastAsia="仿宋_GB2312"/>
          <w:sz w:val="32"/>
          <w:szCs w:val="32"/>
        </w:rPr>
        <w:t>非税收入16</w:t>
      </w:r>
      <w:r>
        <w:rPr>
          <w:rFonts w:eastAsia="仿宋_GB2312"/>
          <w:sz w:val="32"/>
          <w:szCs w:val="32"/>
        </w:rPr>
        <w:t>,</w:t>
      </w:r>
      <w:r>
        <w:rPr>
          <w:rFonts w:hint="eastAsia" w:eastAsia="仿宋_GB2312"/>
          <w:sz w:val="32"/>
          <w:szCs w:val="32"/>
        </w:rPr>
        <w:t>910万元，为预算的100</w:t>
      </w:r>
      <w:r>
        <w:rPr>
          <w:rFonts w:eastAsia="仿宋_GB2312"/>
          <w:sz w:val="32"/>
          <w:szCs w:val="32"/>
        </w:rPr>
        <w:t>%</w:t>
      </w:r>
      <w:r>
        <w:rPr>
          <w:rFonts w:hint="eastAsia" w:eastAsia="仿宋_GB2312"/>
          <w:sz w:val="32"/>
          <w:szCs w:val="32"/>
        </w:rPr>
        <w:t>。其中：专项收入3,077万元，为预算的100%。行政事业性收费收入1,211万元，为预算的100%。罚没收入6,258万元，为预算的100%。国有资源(资产)有偿使用收入3,029万元，为预算的100%。政府住房基金收入160万元，为预算的100%。其他收入3,175万元，为预算的100%。</w:t>
      </w:r>
    </w:p>
    <w:p>
      <w:pPr>
        <w:spacing w:line="560" w:lineRule="exact"/>
        <w:ind w:firstLine="643" w:firstLineChars="200"/>
        <w:rPr>
          <w:rFonts w:eastAsia="仿宋_GB2312"/>
          <w:sz w:val="32"/>
          <w:szCs w:val="32"/>
        </w:rPr>
      </w:pPr>
      <w:r>
        <w:rPr>
          <w:rFonts w:hint="eastAsia" w:eastAsia="仿宋_GB2312"/>
          <w:b/>
          <w:sz w:val="32"/>
          <w:szCs w:val="32"/>
        </w:rPr>
        <w:t>支出决算主要情况是：</w:t>
      </w:r>
      <w:r>
        <w:rPr>
          <w:rFonts w:hint="eastAsia" w:eastAsia="仿宋_GB2312"/>
          <w:sz w:val="32"/>
          <w:szCs w:val="32"/>
        </w:rPr>
        <w:t>一般公共服务支出22</w:t>
      </w:r>
      <w:r>
        <w:rPr>
          <w:rFonts w:eastAsia="仿宋_GB2312"/>
          <w:sz w:val="32"/>
          <w:szCs w:val="32"/>
        </w:rPr>
        <w:t>,</w:t>
      </w:r>
      <w:r>
        <w:rPr>
          <w:rFonts w:hint="eastAsia" w:eastAsia="仿宋_GB2312"/>
          <w:sz w:val="32"/>
          <w:szCs w:val="32"/>
        </w:rPr>
        <w:t>4</w:t>
      </w:r>
      <w:r>
        <w:rPr>
          <w:rFonts w:eastAsia="仿宋_GB2312"/>
          <w:sz w:val="32"/>
          <w:szCs w:val="32"/>
        </w:rPr>
        <w:t>80</w:t>
      </w:r>
      <w:r>
        <w:rPr>
          <w:rFonts w:hint="eastAsia" w:eastAsia="仿宋_GB2312"/>
          <w:sz w:val="32"/>
          <w:szCs w:val="32"/>
        </w:rPr>
        <w:t>万元，为预算的</w:t>
      </w:r>
      <w:r>
        <w:rPr>
          <w:rFonts w:eastAsia="仿宋_GB2312"/>
          <w:sz w:val="32"/>
          <w:szCs w:val="32"/>
        </w:rPr>
        <w:t>100%</w:t>
      </w:r>
      <w:r>
        <w:rPr>
          <w:rFonts w:hint="eastAsia" w:eastAsia="仿宋_GB2312"/>
          <w:sz w:val="32"/>
          <w:szCs w:val="32"/>
        </w:rPr>
        <w:t>。国防支出1万元，为预算的100%。公共安全支出10</w:t>
      </w:r>
      <w:r>
        <w:rPr>
          <w:rFonts w:eastAsia="仿宋_GB2312"/>
          <w:sz w:val="32"/>
          <w:szCs w:val="32"/>
        </w:rPr>
        <w:t>,</w:t>
      </w:r>
      <w:r>
        <w:rPr>
          <w:rFonts w:hint="eastAsia" w:eastAsia="仿宋_GB2312"/>
          <w:sz w:val="32"/>
          <w:szCs w:val="32"/>
        </w:rPr>
        <w:t>357万元，为预算的</w:t>
      </w:r>
      <w:r>
        <w:rPr>
          <w:rFonts w:eastAsia="仿宋_GB2312"/>
          <w:sz w:val="32"/>
          <w:szCs w:val="32"/>
        </w:rPr>
        <w:t>100%</w:t>
      </w:r>
      <w:r>
        <w:rPr>
          <w:rFonts w:hint="eastAsia" w:eastAsia="仿宋_GB2312"/>
          <w:sz w:val="32"/>
          <w:szCs w:val="32"/>
        </w:rPr>
        <w:t>。教育支出</w:t>
      </w:r>
      <w:r>
        <w:rPr>
          <w:rFonts w:eastAsia="仿宋_GB2312"/>
          <w:sz w:val="32"/>
          <w:szCs w:val="32"/>
        </w:rPr>
        <w:t>3</w:t>
      </w:r>
      <w:r>
        <w:rPr>
          <w:rFonts w:hint="eastAsia" w:eastAsia="仿宋_GB2312"/>
          <w:sz w:val="32"/>
          <w:szCs w:val="32"/>
        </w:rPr>
        <w:t>2</w:t>
      </w:r>
      <w:r>
        <w:rPr>
          <w:rFonts w:eastAsia="仿宋_GB2312"/>
          <w:sz w:val="32"/>
          <w:szCs w:val="32"/>
        </w:rPr>
        <w:t>,</w:t>
      </w:r>
      <w:r>
        <w:rPr>
          <w:rFonts w:hint="eastAsia" w:eastAsia="仿宋_GB2312"/>
          <w:sz w:val="32"/>
          <w:szCs w:val="32"/>
        </w:rPr>
        <w:t>961万元，为预算的100</w:t>
      </w:r>
      <w:r>
        <w:rPr>
          <w:rFonts w:eastAsia="仿宋_GB2312"/>
          <w:sz w:val="32"/>
          <w:szCs w:val="32"/>
        </w:rPr>
        <w:t>%</w:t>
      </w:r>
      <w:r>
        <w:rPr>
          <w:rFonts w:hint="eastAsia" w:eastAsia="仿宋_GB2312"/>
          <w:sz w:val="32"/>
          <w:szCs w:val="32"/>
        </w:rPr>
        <w:t>。科学技术支出1,310万元，为预算的</w:t>
      </w:r>
      <w:r>
        <w:rPr>
          <w:rFonts w:eastAsia="仿宋_GB2312"/>
          <w:sz w:val="32"/>
          <w:szCs w:val="32"/>
        </w:rPr>
        <w:t>100%</w:t>
      </w:r>
      <w:r>
        <w:rPr>
          <w:rFonts w:hint="eastAsia" w:eastAsia="仿宋_GB2312"/>
          <w:sz w:val="32"/>
          <w:szCs w:val="32"/>
        </w:rPr>
        <w:t>。文化旅游体育与传媒支出2</w:t>
      </w:r>
      <w:r>
        <w:rPr>
          <w:rFonts w:eastAsia="仿宋_GB2312"/>
          <w:sz w:val="32"/>
          <w:szCs w:val="32"/>
        </w:rPr>
        <w:t>,2</w:t>
      </w:r>
      <w:r>
        <w:rPr>
          <w:rFonts w:hint="eastAsia" w:eastAsia="仿宋_GB2312"/>
          <w:sz w:val="32"/>
          <w:szCs w:val="32"/>
        </w:rPr>
        <w:t>81万元，为预算的</w:t>
      </w:r>
      <w:r>
        <w:rPr>
          <w:rFonts w:eastAsia="仿宋_GB2312"/>
          <w:sz w:val="32"/>
          <w:szCs w:val="32"/>
        </w:rPr>
        <w:t>100%</w:t>
      </w:r>
      <w:r>
        <w:rPr>
          <w:rFonts w:hint="eastAsia" w:eastAsia="仿宋_GB2312"/>
          <w:sz w:val="32"/>
          <w:szCs w:val="32"/>
        </w:rPr>
        <w:t>。社会保障和就业支出16</w:t>
      </w:r>
      <w:r>
        <w:rPr>
          <w:rFonts w:eastAsia="仿宋_GB2312"/>
          <w:sz w:val="32"/>
          <w:szCs w:val="32"/>
        </w:rPr>
        <w:t>,</w:t>
      </w:r>
      <w:r>
        <w:rPr>
          <w:rFonts w:hint="eastAsia" w:eastAsia="仿宋_GB2312"/>
          <w:sz w:val="32"/>
          <w:szCs w:val="32"/>
        </w:rPr>
        <w:t>180万元，为预算的98.72</w:t>
      </w:r>
      <w:r>
        <w:rPr>
          <w:rFonts w:eastAsia="仿宋_GB2312"/>
          <w:sz w:val="32"/>
          <w:szCs w:val="32"/>
        </w:rPr>
        <w:t>%</w:t>
      </w:r>
      <w:r>
        <w:rPr>
          <w:rFonts w:hint="eastAsia" w:eastAsia="仿宋_GB2312"/>
          <w:sz w:val="32"/>
          <w:szCs w:val="32"/>
        </w:rPr>
        <w:t>。卫生健康支出11</w:t>
      </w:r>
      <w:r>
        <w:rPr>
          <w:rFonts w:eastAsia="仿宋_GB2312"/>
          <w:sz w:val="32"/>
          <w:szCs w:val="32"/>
        </w:rPr>
        <w:t>,</w:t>
      </w:r>
      <w:r>
        <w:rPr>
          <w:rFonts w:hint="eastAsia" w:eastAsia="仿宋_GB2312"/>
          <w:sz w:val="32"/>
          <w:szCs w:val="32"/>
        </w:rPr>
        <w:t>138万元，为预算的</w:t>
      </w:r>
      <w:r>
        <w:rPr>
          <w:rFonts w:eastAsia="仿宋_GB2312"/>
          <w:sz w:val="32"/>
          <w:szCs w:val="32"/>
        </w:rPr>
        <w:t>100%</w:t>
      </w:r>
      <w:r>
        <w:rPr>
          <w:rFonts w:hint="eastAsia" w:eastAsia="仿宋_GB2312"/>
          <w:sz w:val="32"/>
          <w:szCs w:val="32"/>
        </w:rPr>
        <w:t>。节能环保支出</w:t>
      </w:r>
      <w:r>
        <w:rPr>
          <w:rFonts w:eastAsia="仿宋_GB2312"/>
          <w:sz w:val="32"/>
          <w:szCs w:val="32"/>
        </w:rPr>
        <w:t>6,</w:t>
      </w:r>
      <w:r>
        <w:rPr>
          <w:rFonts w:hint="eastAsia" w:eastAsia="仿宋_GB2312"/>
          <w:sz w:val="32"/>
          <w:szCs w:val="32"/>
        </w:rPr>
        <w:t>036万元，为预算的</w:t>
      </w:r>
      <w:r>
        <w:rPr>
          <w:rFonts w:eastAsia="仿宋_GB2312"/>
          <w:sz w:val="32"/>
          <w:szCs w:val="32"/>
        </w:rPr>
        <w:t>100%</w:t>
      </w:r>
      <w:r>
        <w:rPr>
          <w:rFonts w:hint="eastAsia" w:eastAsia="仿宋_GB2312"/>
          <w:sz w:val="32"/>
          <w:szCs w:val="32"/>
        </w:rPr>
        <w:t>。城乡社区支出10</w:t>
      </w:r>
      <w:r>
        <w:rPr>
          <w:rFonts w:eastAsia="仿宋_GB2312"/>
          <w:sz w:val="32"/>
          <w:szCs w:val="32"/>
        </w:rPr>
        <w:t>,</w:t>
      </w:r>
      <w:r>
        <w:rPr>
          <w:rFonts w:hint="eastAsia" w:eastAsia="仿宋_GB2312"/>
          <w:sz w:val="32"/>
          <w:szCs w:val="32"/>
        </w:rPr>
        <w:t>148万元，为预算的</w:t>
      </w:r>
      <w:r>
        <w:rPr>
          <w:rFonts w:eastAsia="仿宋_GB2312"/>
          <w:sz w:val="32"/>
          <w:szCs w:val="32"/>
        </w:rPr>
        <w:t>100%</w:t>
      </w:r>
      <w:r>
        <w:rPr>
          <w:rFonts w:hint="eastAsia" w:eastAsia="仿宋_GB2312"/>
          <w:sz w:val="32"/>
          <w:szCs w:val="32"/>
        </w:rPr>
        <w:t>。农林水支出</w:t>
      </w:r>
      <w:r>
        <w:rPr>
          <w:rFonts w:eastAsia="仿宋_GB2312"/>
          <w:sz w:val="32"/>
          <w:szCs w:val="32"/>
        </w:rPr>
        <w:t>3</w:t>
      </w:r>
      <w:r>
        <w:rPr>
          <w:rFonts w:hint="eastAsia" w:eastAsia="仿宋_GB2312"/>
          <w:sz w:val="32"/>
          <w:szCs w:val="32"/>
        </w:rPr>
        <w:t>8</w:t>
      </w:r>
      <w:r>
        <w:rPr>
          <w:rFonts w:eastAsia="仿宋_GB2312"/>
          <w:sz w:val="32"/>
          <w:szCs w:val="32"/>
        </w:rPr>
        <w:t>,</w:t>
      </w:r>
      <w:r>
        <w:rPr>
          <w:rFonts w:hint="eastAsia" w:eastAsia="仿宋_GB2312"/>
          <w:sz w:val="32"/>
          <w:szCs w:val="32"/>
        </w:rPr>
        <w:t>977万元，为预算的99.7</w:t>
      </w:r>
      <w:r>
        <w:rPr>
          <w:rFonts w:eastAsia="仿宋_GB2312"/>
          <w:sz w:val="32"/>
          <w:szCs w:val="32"/>
        </w:rPr>
        <w:t>%</w:t>
      </w:r>
      <w:r>
        <w:rPr>
          <w:rFonts w:hint="eastAsia" w:eastAsia="仿宋_GB2312"/>
          <w:sz w:val="32"/>
          <w:szCs w:val="32"/>
        </w:rPr>
        <w:t>。交通运输支出</w:t>
      </w:r>
      <w:r>
        <w:rPr>
          <w:rFonts w:eastAsia="仿宋_GB2312"/>
          <w:sz w:val="32"/>
          <w:szCs w:val="32"/>
        </w:rPr>
        <w:t>4,</w:t>
      </w:r>
      <w:r>
        <w:rPr>
          <w:rFonts w:hint="eastAsia" w:eastAsia="仿宋_GB2312"/>
          <w:sz w:val="32"/>
          <w:szCs w:val="32"/>
        </w:rPr>
        <w:t>686万元，为预算的</w:t>
      </w:r>
      <w:r>
        <w:rPr>
          <w:rFonts w:eastAsia="仿宋_GB2312"/>
          <w:sz w:val="32"/>
          <w:szCs w:val="32"/>
        </w:rPr>
        <w:t>100%</w:t>
      </w:r>
      <w:r>
        <w:rPr>
          <w:rFonts w:hint="eastAsia" w:eastAsia="仿宋_GB2312"/>
          <w:sz w:val="32"/>
          <w:szCs w:val="32"/>
        </w:rPr>
        <w:t>。资源勘探信息等支出291万元，为预算的</w:t>
      </w:r>
      <w:r>
        <w:rPr>
          <w:rFonts w:eastAsia="仿宋_GB2312"/>
          <w:sz w:val="32"/>
          <w:szCs w:val="32"/>
        </w:rPr>
        <w:t>100%</w:t>
      </w:r>
      <w:r>
        <w:rPr>
          <w:rFonts w:hint="eastAsia" w:eastAsia="仿宋_GB2312"/>
          <w:sz w:val="32"/>
          <w:szCs w:val="32"/>
        </w:rPr>
        <w:t>。商业服务业等支出818万元，为预算的</w:t>
      </w:r>
      <w:r>
        <w:rPr>
          <w:rFonts w:eastAsia="仿宋_GB2312"/>
          <w:sz w:val="32"/>
          <w:szCs w:val="32"/>
        </w:rPr>
        <w:t>100%</w:t>
      </w:r>
      <w:r>
        <w:rPr>
          <w:rFonts w:hint="eastAsia" w:eastAsia="仿宋_GB2312"/>
          <w:sz w:val="32"/>
          <w:szCs w:val="32"/>
        </w:rPr>
        <w:t>。金融支出42万元，为预算的26.92</w:t>
      </w:r>
      <w:r>
        <w:rPr>
          <w:rFonts w:eastAsia="仿宋_GB2312"/>
          <w:sz w:val="32"/>
          <w:szCs w:val="32"/>
        </w:rPr>
        <w:t>%</w:t>
      </w:r>
      <w:r>
        <w:rPr>
          <w:rFonts w:hint="eastAsia" w:eastAsia="仿宋_GB2312"/>
          <w:sz w:val="32"/>
          <w:szCs w:val="32"/>
        </w:rPr>
        <w:t>。自然资源海洋气象等支出</w:t>
      </w:r>
      <w:r>
        <w:rPr>
          <w:rFonts w:eastAsia="仿宋_GB2312"/>
          <w:sz w:val="32"/>
          <w:szCs w:val="32"/>
        </w:rPr>
        <w:t>1,</w:t>
      </w:r>
      <w:r>
        <w:rPr>
          <w:rFonts w:hint="eastAsia" w:eastAsia="仿宋_GB2312"/>
          <w:sz w:val="32"/>
          <w:szCs w:val="32"/>
        </w:rPr>
        <w:t>132万元，为预算的</w:t>
      </w:r>
      <w:r>
        <w:rPr>
          <w:rFonts w:eastAsia="仿宋_GB2312"/>
          <w:sz w:val="32"/>
          <w:szCs w:val="32"/>
        </w:rPr>
        <w:t>100%</w:t>
      </w:r>
      <w:r>
        <w:rPr>
          <w:rFonts w:hint="eastAsia" w:eastAsia="仿宋_GB2312"/>
          <w:sz w:val="32"/>
          <w:szCs w:val="32"/>
        </w:rPr>
        <w:t>。住房保障支出8</w:t>
      </w:r>
      <w:r>
        <w:rPr>
          <w:rFonts w:eastAsia="仿宋_GB2312"/>
          <w:sz w:val="32"/>
          <w:szCs w:val="32"/>
        </w:rPr>
        <w:t>,</w:t>
      </w:r>
      <w:r>
        <w:rPr>
          <w:rFonts w:hint="eastAsia" w:eastAsia="仿宋_GB2312"/>
          <w:sz w:val="32"/>
          <w:szCs w:val="32"/>
        </w:rPr>
        <w:t>277万元，为预算的98.10</w:t>
      </w:r>
      <w:r>
        <w:rPr>
          <w:rFonts w:eastAsia="仿宋_GB2312"/>
          <w:sz w:val="32"/>
          <w:szCs w:val="32"/>
        </w:rPr>
        <w:t>%</w:t>
      </w:r>
      <w:r>
        <w:rPr>
          <w:rFonts w:hint="eastAsia" w:eastAsia="仿宋_GB2312"/>
          <w:sz w:val="32"/>
          <w:szCs w:val="32"/>
        </w:rPr>
        <w:t>。粮油物资储备支出174万元，为预算的100%。灾害防治及应急管理支出2,626万元。为预算的100%。其他支出1,020万元，为预算的</w:t>
      </w:r>
      <w:r>
        <w:rPr>
          <w:rFonts w:eastAsia="仿宋_GB2312"/>
          <w:sz w:val="32"/>
          <w:szCs w:val="32"/>
        </w:rPr>
        <w:t>100%</w:t>
      </w:r>
      <w:r>
        <w:rPr>
          <w:rFonts w:hint="eastAsia" w:eastAsia="仿宋_GB2312"/>
          <w:sz w:val="32"/>
          <w:szCs w:val="32"/>
        </w:rPr>
        <w:t>。债务付息支出</w:t>
      </w:r>
      <w:r>
        <w:rPr>
          <w:rFonts w:eastAsia="仿宋_GB2312"/>
          <w:sz w:val="32"/>
          <w:szCs w:val="32"/>
        </w:rPr>
        <w:t>3,</w:t>
      </w:r>
      <w:r>
        <w:rPr>
          <w:rFonts w:hint="eastAsia" w:eastAsia="仿宋_GB2312"/>
          <w:sz w:val="32"/>
          <w:szCs w:val="32"/>
        </w:rPr>
        <w:t>952万元，为预算的</w:t>
      </w:r>
      <w:r>
        <w:rPr>
          <w:rFonts w:eastAsia="仿宋_GB2312"/>
          <w:sz w:val="32"/>
          <w:szCs w:val="32"/>
        </w:rPr>
        <w:t>100%</w:t>
      </w:r>
      <w:r>
        <w:rPr>
          <w:rFonts w:hint="eastAsia" w:eastAsia="仿宋_GB2312"/>
          <w:sz w:val="32"/>
          <w:szCs w:val="32"/>
        </w:rPr>
        <w:t>。债务发行费用支出24万元，为预算的100%。</w:t>
      </w:r>
    </w:p>
    <w:p>
      <w:pPr>
        <w:spacing w:line="560" w:lineRule="exact"/>
        <w:ind w:firstLine="640" w:firstLineChars="200"/>
        <w:rPr>
          <w:rFonts w:eastAsia="仿宋_GB2312"/>
          <w:sz w:val="32"/>
          <w:szCs w:val="32"/>
        </w:rPr>
      </w:pPr>
      <w:r>
        <w:rPr>
          <w:rFonts w:eastAsia="仿宋_GB2312"/>
          <w:sz w:val="32"/>
          <w:szCs w:val="32"/>
        </w:rPr>
        <w:t>201</w:t>
      </w:r>
      <w:r>
        <w:rPr>
          <w:rFonts w:hint="eastAsia" w:eastAsia="仿宋_GB2312"/>
          <w:sz w:val="32"/>
          <w:szCs w:val="32"/>
        </w:rPr>
        <w:t>9年结转结余599万元，主要是：社会保障和就业支出结转209万元，农林水支出结转116万元，金融支出结转114万元，住房保障支出结转160万元。</w:t>
      </w:r>
    </w:p>
    <w:p>
      <w:pPr>
        <w:spacing w:line="560" w:lineRule="exact"/>
        <w:ind w:firstLine="640" w:firstLineChars="200"/>
        <w:rPr>
          <w:rFonts w:eastAsia="仿宋_GB2312"/>
          <w:sz w:val="32"/>
          <w:szCs w:val="32"/>
        </w:rPr>
      </w:pPr>
      <w:r>
        <w:rPr>
          <w:rFonts w:eastAsia="仿宋_GB2312"/>
          <w:sz w:val="32"/>
          <w:szCs w:val="32"/>
        </w:rPr>
        <w:t>201</w:t>
      </w:r>
      <w:r>
        <w:rPr>
          <w:rFonts w:hint="eastAsia" w:eastAsia="仿宋_GB2312"/>
          <w:sz w:val="32"/>
          <w:szCs w:val="32"/>
        </w:rPr>
        <w:t>9年县级一般公共预算年初预留预备费</w:t>
      </w:r>
      <w:r>
        <w:rPr>
          <w:rFonts w:eastAsia="仿宋_GB2312"/>
          <w:sz w:val="32"/>
          <w:szCs w:val="32"/>
        </w:rPr>
        <w:t>1,000</w:t>
      </w:r>
      <w:r>
        <w:rPr>
          <w:rFonts w:hint="eastAsia" w:eastAsia="仿宋_GB2312"/>
          <w:sz w:val="32"/>
          <w:szCs w:val="32"/>
        </w:rPr>
        <w:t>万元，执行中实际安排782万元，主要用于防汛抗旱、动植物防疫、森林防火、气象防火减灾等。剩余218万元作为财力统筹使用。</w:t>
      </w:r>
    </w:p>
    <w:p>
      <w:pPr>
        <w:spacing w:line="560" w:lineRule="exact"/>
        <w:ind w:firstLine="640" w:firstLineChars="200"/>
        <w:rPr>
          <w:rFonts w:eastAsia="仿宋_GB2312"/>
          <w:color w:val="FF0000"/>
          <w:sz w:val="32"/>
          <w:szCs w:val="32"/>
        </w:rPr>
      </w:pPr>
      <w:r>
        <w:rPr>
          <w:rFonts w:eastAsia="仿宋_GB2312"/>
          <w:sz w:val="32"/>
          <w:szCs w:val="32"/>
        </w:rPr>
        <w:t>201</w:t>
      </w:r>
      <w:r>
        <w:rPr>
          <w:rFonts w:hint="eastAsia" w:eastAsia="仿宋_GB2312"/>
          <w:sz w:val="32"/>
          <w:szCs w:val="32"/>
        </w:rPr>
        <w:t>9年补充预算稳定调节基金6,481万元。</w:t>
      </w:r>
      <w:r>
        <w:rPr>
          <w:rFonts w:hint="eastAsia" w:eastAsia="仿宋_GB2312"/>
          <w:color w:val="FF0000"/>
          <w:sz w:val="32"/>
          <w:szCs w:val="32"/>
        </w:rPr>
        <w:t xml:space="preserve"> </w:t>
      </w:r>
    </w:p>
    <w:p>
      <w:pPr>
        <w:autoSpaceDE w:val="0"/>
        <w:autoSpaceDN w:val="0"/>
        <w:adjustRightInd w:val="0"/>
        <w:ind w:firstLine="640" w:firstLineChars="200"/>
        <w:jc w:val="left"/>
        <w:rPr>
          <w:rFonts w:eastAsia="仿宋_GB2312"/>
          <w:sz w:val="32"/>
          <w:szCs w:val="32"/>
        </w:rPr>
      </w:pPr>
      <w:r>
        <w:rPr>
          <w:rFonts w:eastAsia="仿宋_GB2312"/>
          <w:sz w:val="32"/>
          <w:szCs w:val="32"/>
        </w:rPr>
        <w:t>2019</w:t>
      </w:r>
      <w:r>
        <w:rPr>
          <w:rFonts w:hint="eastAsia" w:eastAsia="仿宋_GB2312"/>
          <w:sz w:val="32"/>
          <w:szCs w:val="32"/>
        </w:rPr>
        <w:t>年，县级行政事业单位财政拨款</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w:t>
      </w:r>
      <w:r>
        <w:rPr>
          <w:rFonts w:eastAsia="仿宋_GB2312"/>
          <w:sz w:val="32"/>
          <w:szCs w:val="32"/>
        </w:rPr>
        <w:t>1</w:t>
      </w:r>
      <w:r>
        <w:rPr>
          <w:rFonts w:hint="eastAsia" w:eastAsia="仿宋_GB2312"/>
          <w:sz w:val="32"/>
          <w:szCs w:val="32"/>
        </w:rPr>
        <w:t>,</w:t>
      </w:r>
      <w:r>
        <w:rPr>
          <w:rFonts w:eastAsia="仿宋_GB2312"/>
          <w:sz w:val="32"/>
          <w:szCs w:val="32"/>
        </w:rPr>
        <w:t>123</w:t>
      </w:r>
      <w:r>
        <w:rPr>
          <w:rFonts w:hint="eastAsia" w:eastAsia="仿宋_GB2312"/>
          <w:sz w:val="32"/>
          <w:szCs w:val="32"/>
        </w:rPr>
        <w:t>万元，较</w:t>
      </w:r>
      <w:r>
        <w:rPr>
          <w:rFonts w:eastAsia="仿宋_GB2312"/>
          <w:sz w:val="32"/>
          <w:szCs w:val="32"/>
        </w:rPr>
        <w:t>2018</w:t>
      </w:r>
      <w:r>
        <w:rPr>
          <w:rFonts w:hint="eastAsia" w:eastAsia="仿宋_GB2312"/>
          <w:sz w:val="32"/>
          <w:szCs w:val="32"/>
        </w:rPr>
        <w:t>年增加</w:t>
      </w:r>
      <w:r>
        <w:rPr>
          <w:rFonts w:eastAsia="仿宋_GB2312"/>
          <w:sz w:val="32"/>
          <w:szCs w:val="32"/>
        </w:rPr>
        <w:t>672</w:t>
      </w:r>
      <w:r>
        <w:rPr>
          <w:rFonts w:hint="eastAsia" w:eastAsia="仿宋_GB2312"/>
          <w:sz w:val="32"/>
          <w:szCs w:val="32"/>
        </w:rPr>
        <w:t>万元，上升</w:t>
      </w:r>
      <w:r>
        <w:rPr>
          <w:rFonts w:eastAsia="仿宋_GB2312"/>
          <w:sz w:val="32"/>
          <w:szCs w:val="32"/>
        </w:rPr>
        <w:t>149.00%</w:t>
      </w:r>
      <w:r>
        <w:rPr>
          <w:rFonts w:hint="eastAsia" w:eastAsia="仿宋_GB2312"/>
          <w:sz w:val="32"/>
          <w:szCs w:val="32"/>
        </w:rPr>
        <w:t>。其中：因公出国（境）经费</w:t>
      </w:r>
      <w:r>
        <w:rPr>
          <w:rFonts w:eastAsia="仿宋_GB2312"/>
          <w:sz w:val="32"/>
          <w:szCs w:val="32"/>
        </w:rPr>
        <w:t>2</w:t>
      </w:r>
      <w:r>
        <w:rPr>
          <w:rFonts w:hint="eastAsia" w:eastAsia="仿宋_GB2312"/>
          <w:sz w:val="32"/>
          <w:szCs w:val="32"/>
        </w:rPr>
        <w:t>万元；公务接待费</w:t>
      </w:r>
      <w:r>
        <w:rPr>
          <w:rFonts w:eastAsia="仿宋_GB2312"/>
          <w:sz w:val="32"/>
          <w:szCs w:val="32"/>
        </w:rPr>
        <w:t>95</w:t>
      </w:r>
      <w:r>
        <w:rPr>
          <w:rFonts w:hint="eastAsia" w:eastAsia="仿宋_GB2312"/>
          <w:sz w:val="32"/>
          <w:szCs w:val="32"/>
        </w:rPr>
        <w:t>万元，较</w:t>
      </w:r>
      <w:r>
        <w:rPr>
          <w:rFonts w:eastAsia="仿宋_GB2312"/>
          <w:sz w:val="32"/>
          <w:szCs w:val="32"/>
        </w:rPr>
        <w:t>2018</w:t>
      </w:r>
      <w:r>
        <w:rPr>
          <w:rFonts w:hint="eastAsia" w:eastAsia="仿宋_GB2312"/>
          <w:sz w:val="32"/>
          <w:szCs w:val="32"/>
        </w:rPr>
        <w:t>年增加</w:t>
      </w:r>
      <w:r>
        <w:rPr>
          <w:rFonts w:eastAsia="仿宋_GB2312"/>
          <w:sz w:val="32"/>
          <w:szCs w:val="32"/>
        </w:rPr>
        <w:t>64</w:t>
      </w:r>
      <w:r>
        <w:rPr>
          <w:rFonts w:hint="eastAsia" w:eastAsia="仿宋_GB2312"/>
          <w:sz w:val="32"/>
          <w:szCs w:val="32"/>
        </w:rPr>
        <w:t>万元，上升</w:t>
      </w:r>
      <w:r>
        <w:rPr>
          <w:rFonts w:eastAsia="仿宋_GB2312"/>
          <w:sz w:val="32"/>
          <w:szCs w:val="32"/>
        </w:rPr>
        <w:t>206.45%</w:t>
      </w:r>
      <w:r>
        <w:rPr>
          <w:rFonts w:hint="eastAsia" w:eastAsia="仿宋_GB2312"/>
          <w:sz w:val="32"/>
          <w:szCs w:val="32"/>
        </w:rPr>
        <w:t>；公务用车购置及运行维护费</w:t>
      </w:r>
      <w:r>
        <w:rPr>
          <w:rFonts w:eastAsia="仿宋_GB2312"/>
          <w:sz w:val="32"/>
          <w:szCs w:val="32"/>
        </w:rPr>
        <w:t>1</w:t>
      </w:r>
      <w:r>
        <w:rPr>
          <w:rFonts w:hint="eastAsia" w:eastAsia="仿宋_GB2312"/>
          <w:sz w:val="32"/>
          <w:szCs w:val="32"/>
        </w:rPr>
        <w:t>,</w:t>
      </w:r>
      <w:r>
        <w:rPr>
          <w:rFonts w:eastAsia="仿宋_GB2312"/>
          <w:sz w:val="32"/>
          <w:szCs w:val="32"/>
        </w:rPr>
        <w:t>026</w:t>
      </w:r>
      <w:r>
        <w:rPr>
          <w:rFonts w:hint="eastAsia" w:eastAsia="仿宋_GB2312"/>
          <w:sz w:val="32"/>
          <w:szCs w:val="32"/>
        </w:rPr>
        <w:t>万元，较</w:t>
      </w:r>
      <w:r>
        <w:rPr>
          <w:rFonts w:eastAsia="仿宋_GB2312"/>
          <w:sz w:val="32"/>
          <w:szCs w:val="32"/>
        </w:rPr>
        <w:t>2018</w:t>
      </w:r>
      <w:r>
        <w:rPr>
          <w:rFonts w:hint="eastAsia" w:eastAsia="仿宋_GB2312"/>
          <w:sz w:val="32"/>
          <w:szCs w:val="32"/>
        </w:rPr>
        <w:t>年增加</w:t>
      </w:r>
      <w:r>
        <w:rPr>
          <w:rFonts w:eastAsia="仿宋_GB2312"/>
          <w:sz w:val="32"/>
          <w:szCs w:val="32"/>
        </w:rPr>
        <w:t>606</w:t>
      </w:r>
      <w:r>
        <w:rPr>
          <w:rFonts w:hint="eastAsia" w:eastAsia="仿宋_GB2312"/>
          <w:sz w:val="32"/>
          <w:szCs w:val="32"/>
        </w:rPr>
        <w:t>万元，上升</w:t>
      </w:r>
      <w:r>
        <w:rPr>
          <w:rFonts w:eastAsia="仿宋_GB2312"/>
          <w:sz w:val="32"/>
          <w:szCs w:val="32"/>
        </w:rPr>
        <w:t>144.29%</w:t>
      </w:r>
      <w:r>
        <w:rPr>
          <w:rFonts w:hint="eastAsia" w:eastAsia="仿宋_GB2312"/>
          <w:sz w:val="32"/>
          <w:szCs w:val="32"/>
        </w:rPr>
        <w:t>。上升主要原因一是往年财政收支矛盾较突出，年底将部分“三公”经费调列暂付款，而今年努力完成暂付款化解任务，许多暂付款实现了支出，按照原支出情况相应增加了“三公”支出。二是由于全县执法执勤机关执法执勤车辆到期报废更新换代，重新购置执法执勤车辆，导致公务用车购置及运行维护费相应增加。</w:t>
      </w:r>
    </w:p>
    <w:p>
      <w:pPr>
        <w:spacing w:line="560" w:lineRule="exact"/>
        <w:ind w:firstLine="640" w:firstLineChars="200"/>
        <w:rPr>
          <w:rFonts w:eastAsia="楷体_GB2312"/>
          <w:sz w:val="32"/>
          <w:szCs w:val="32"/>
        </w:rPr>
      </w:pPr>
      <w:r>
        <w:rPr>
          <w:rFonts w:hint="eastAsia" w:eastAsia="楷体_GB2312"/>
          <w:sz w:val="32"/>
          <w:szCs w:val="32"/>
        </w:rPr>
        <w:t>（二）政府性基金预算。</w:t>
      </w:r>
    </w:p>
    <w:p>
      <w:pPr>
        <w:spacing w:line="560" w:lineRule="exact"/>
        <w:ind w:firstLine="640" w:firstLineChars="200"/>
        <w:rPr>
          <w:rFonts w:eastAsia="仿宋_GB2312"/>
          <w:sz w:val="32"/>
          <w:szCs w:val="32"/>
        </w:rPr>
      </w:pPr>
      <w:r>
        <w:rPr>
          <w:rFonts w:hint="eastAsia" w:eastAsia="仿宋_GB2312"/>
          <w:sz w:val="32"/>
          <w:szCs w:val="32"/>
        </w:rPr>
        <w:t>政府性基金收入</w:t>
      </w:r>
      <w:r>
        <w:rPr>
          <w:rFonts w:eastAsia="仿宋_GB2312"/>
          <w:sz w:val="32"/>
          <w:szCs w:val="32"/>
        </w:rPr>
        <w:t>6</w:t>
      </w:r>
      <w:r>
        <w:rPr>
          <w:rFonts w:hint="eastAsia" w:eastAsia="仿宋_GB2312"/>
          <w:sz w:val="32"/>
          <w:szCs w:val="32"/>
        </w:rPr>
        <w:t>3</w:t>
      </w:r>
      <w:r>
        <w:rPr>
          <w:rFonts w:eastAsia="仿宋_GB2312"/>
          <w:sz w:val="32"/>
          <w:szCs w:val="32"/>
        </w:rPr>
        <w:t>,</w:t>
      </w:r>
      <w:r>
        <w:rPr>
          <w:rFonts w:hint="eastAsia" w:eastAsia="仿宋_GB2312"/>
          <w:sz w:val="32"/>
          <w:szCs w:val="32"/>
        </w:rPr>
        <w:t>10</w:t>
      </w:r>
      <w:r>
        <w:rPr>
          <w:rFonts w:eastAsia="仿宋_GB2312"/>
          <w:sz w:val="32"/>
          <w:szCs w:val="32"/>
        </w:rPr>
        <w:t>7</w:t>
      </w:r>
      <w:r>
        <w:rPr>
          <w:rFonts w:hint="eastAsia" w:eastAsia="仿宋_GB2312"/>
          <w:sz w:val="32"/>
          <w:szCs w:val="32"/>
        </w:rPr>
        <w:t>万元，为预算的100</w:t>
      </w:r>
      <w:r>
        <w:rPr>
          <w:rFonts w:eastAsia="仿宋_GB2312"/>
          <w:sz w:val="32"/>
          <w:szCs w:val="32"/>
        </w:rPr>
        <w:t>%</w:t>
      </w:r>
      <w:r>
        <w:rPr>
          <w:rFonts w:hint="eastAsia" w:eastAsia="仿宋_GB2312"/>
          <w:sz w:val="32"/>
          <w:szCs w:val="32"/>
        </w:rPr>
        <w:t>；加上级补助收入</w:t>
      </w:r>
      <w:r>
        <w:rPr>
          <w:rFonts w:eastAsia="仿宋_GB2312"/>
          <w:sz w:val="32"/>
          <w:szCs w:val="32"/>
        </w:rPr>
        <w:t>2,</w:t>
      </w:r>
      <w:r>
        <w:rPr>
          <w:rFonts w:hint="eastAsia" w:eastAsia="仿宋_GB2312"/>
          <w:sz w:val="32"/>
          <w:szCs w:val="32"/>
        </w:rPr>
        <w:t>317万元、上年结余35万元、债务转贷收入</w:t>
      </w:r>
      <w:r>
        <w:rPr>
          <w:rFonts w:eastAsia="仿宋_GB2312"/>
          <w:sz w:val="32"/>
          <w:szCs w:val="32"/>
        </w:rPr>
        <w:t>2</w:t>
      </w:r>
      <w:r>
        <w:rPr>
          <w:rFonts w:hint="eastAsia" w:eastAsia="仿宋_GB2312"/>
          <w:sz w:val="32"/>
          <w:szCs w:val="32"/>
        </w:rPr>
        <w:t>4</w:t>
      </w:r>
      <w:r>
        <w:rPr>
          <w:rFonts w:eastAsia="仿宋_GB2312"/>
          <w:sz w:val="32"/>
          <w:szCs w:val="32"/>
        </w:rPr>
        <w:t>,</w:t>
      </w:r>
      <w:r>
        <w:rPr>
          <w:rFonts w:hint="eastAsia" w:eastAsia="仿宋_GB2312"/>
          <w:sz w:val="32"/>
          <w:szCs w:val="32"/>
        </w:rPr>
        <w:t>3</w:t>
      </w:r>
      <w:r>
        <w:rPr>
          <w:rFonts w:eastAsia="仿宋_GB2312"/>
          <w:sz w:val="32"/>
          <w:szCs w:val="32"/>
        </w:rPr>
        <w:t>00</w:t>
      </w:r>
      <w:r>
        <w:rPr>
          <w:rFonts w:hint="eastAsia" w:eastAsia="仿宋_GB2312"/>
          <w:sz w:val="32"/>
          <w:szCs w:val="32"/>
        </w:rPr>
        <w:t>万元</w:t>
      </w:r>
      <w:r>
        <w:rPr>
          <w:rFonts w:eastAsia="仿宋_GB2312"/>
          <w:sz w:val="32"/>
          <w:szCs w:val="32"/>
        </w:rPr>
        <w:t>(</w:t>
      </w:r>
      <w:r>
        <w:rPr>
          <w:rFonts w:hint="eastAsia" w:eastAsia="仿宋_GB2312"/>
          <w:sz w:val="32"/>
          <w:szCs w:val="32"/>
        </w:rPr>
        <w:t>专项债券</w:t>
      </w:r>
      <w:r>
        <w:rPr>
          <w:rFonts w:eastAsia="仿宋_GB2312"/>
          <w:sz w:val="32"/>
          <w:szCs w:val="32"/>
        </w:rPr>
        <w:t>)</w:t>
      </w:r>
      <w:r>
        <w:rPr>
          <w:rFonts w:hint="eastAsia" w:eastAsia="仿宋_GB2312"/>
          <w:sz w:val="32"/>
          <w:szCs w:val="32"/>
        </w:rPr>
        <w:t>，收入总计为89,759万元，为预算的100%。政府性基金支出65</w:t>
      </w:r>
      <w:r>
        <w:rPr>
          <w:rFonts w:eastAsia="仿宋_GB2312"/>
          <w:sz w:val="32"/>
          <w:szCs w:val="32"/>
        </w:rPr>
        <w:t>,</w:t>
      </w:r>
      <w:r>
        <w:rPr>
          <w:rFonts w:hint="eastAsia" w:eastAsia="仿宋_GB2312"/>
          <w:sz w:val="32"/>
          <w:szCs w:val="32"/>
        </w:rPr>
        <w:t>67</w:t>
      </w:r>
      <w:r>
        <w:rPr>
          <w:rFonts w:eastAsia="仿宋_GB2312"/>
          <w:sz w:val="32"/>
          <w:szCs w:val="32"/>
        </w:rPr>
        <w:t>4</w:t>
      </w:r>
      <w:r>
        <w:rPr>
          <w:rFonts w:hint="eastAsia" w:eastAsia="仿宋_GB2312"/>
          <w:sz w:val="32"/>
          <w:szCs w:val="32"/>
        </w:rPr>
        <w:t>万元，为预算的100</w:t>
      </w:r>
      <w:r>
        <w:rPr>
          <w:rFonts w:eastAsia="仿宋_GB2312"/>
          <w:sz w:val="32"/>
          <w:szCs w:val="32"/>
        </w:rPr>
        <w:t>%</w:t>
      </w:r>
      <w:r>
        <w:rPr>
          <w:rFonts w:hint="eastAsia" w:eastAsia="仿宋_GB2312"/>
          <w:sz w:val="32"/>
          <w:szCs w:val="32"/>
        </w:rPr>
        <w:t>，调出资金24,000万元，年终结余8</w:t>
      </w:r>
      <w:r>
        <w:rPr>
          <w:rFonts w:eastAsia="仿宋_GB2312"/>
          <w:sz w:val="32"/>
          <w:szCs w:val="32"/>
        </w:rPr>
        <w:t>5</w:t>
      </w:r>
      <w:r>
        <w:rPr>
          <w:rFonts w:hint="eastAsia" w:eastAsia="仿宋_GB2312"/>
          <w:sz w:val="32"/>
          <w:szCs w:val="32"/>
        </w:rPr>
        <w:t>万元（按规定结转下年使用），支出总计为89</w:t>
      </w:r>
      <w:r>
        <w:rPr>
          <w:rFonts w:eastAsia="仿宋_GB2312"/>
          <w:sz w:val="32"/>
          <w:szCs w:val="32"/>
        </w:rPr>
        <w:t>,</w:t>
      </w:r>
      <w:r>
        <w:rPr>
          <w:rFonts w:hint="eastAsia" w:eastAsia="仿宋_GB2312"/>
          <w:sz w:val="32"/>
          <w:szCs w:val="32"/>
        </w:rPr>
        <w:t>75</w:t>
      </w:r>
      <w:r>
        <w:rPr>
          <w:rFonts w:eastAsia="仿宋_GB2312"/>
          <w:sz w:val="32"/>
          <w:szCs w:val="32"/>
        </w:rPr>
        <w:t>9</w:t>
      </w:r>
      <w:r>
        <w:rPr>
          <w:rFonts w:hint="eastAsia" w:eastAsia="仿宋_GB2312"/>
          <w:sz w:val="32"/>
          <w:szCs w:val="32"/>
        </w:rPr>
        <w:t>万元，实现收支平衡。</w:t>
      </w:r>
    </w:p>
    <w:p>
      <w:pPr>
        <w:spacing w:line="560" w:lineRule="exact"/>
        <w:ind w:firstLine="643" w:firstLineChars="200"/>
        <w:rPr>
          <w:rFonts w:eastAsia="仿宋_GB2312"/>
          <w:sz w:val="32"/>
          <w:szCs w:val="32"/>
        </w:rPr>
      </w:pPr>
      <w:r>
        <w:rPr>
          <w:rFonts w:hint="eastAsia" w:eastAsia="仿宋_GB2312"/>
          <w:b/>
          <w:sz w:val="32"/>
          <w:szCs w:val="32"/>
        </w:rPr>
        <w:t>政府性基金支出主要情况是：</w:t>
      </w:r>
      <w:r>
        <w:rPr>
          <w:rFonts w:hint="eastAsia" w:eastAsia="仿宋_GB2312"/>
          <w:sz w:val="32"/>
          <w:szCs w:val="32"/>
        </w:rPr>
        <w:t>国家电影事业发展专项资金相关支出2万元，为预算的</w:t>
      </w:r>
      <w:r>
        <w:rPr>
          <w:rFonts w:eastAsia="仿宋_GB2312"/>
          <w:sz w:val="32"/>
          <w:szCs w:val="32"/>
        </w:rPr>
        <w:t>100%</w:t>
      </w:r>
      <w:r>
        <w:rPr>
          <w:rFonts w:hint="eastAsia" w:eastAsia="仿宋_GB2312"/>
          <w:sz w:val="32"/>
          <w:szCs w:val="32"/>
        </w:rPr>
        <w:t>。旅游发展基金支出50万元，为预算的100%。大中型水库移民后期扶持基金支出</w:t>
      </w:r>
      <w:r>
        <w:rPr>
          <w:rFonts w:eastAsia="仿宋_GB2312"/>
          <w:sz w:val="32"/>
          <w:szCs w:val="32"/>
        </w:rPr>
        <w:t>1,</w:t>
      </w:r>
      <w:r>
        <w:rPr>
          <w:rFonts w:hint="eastAsia" w:eastAsia="仿宋_GB2312"/>
          <w:sz w:val="32"/>
          <w:szCs w:val="32"/>
        </w:rPr>
        <w:t>960万元，为预算的99.95</w:t>
      </w:r>
      <w:r>
        <w:rPr>
          <w:rFonts w:eastAsia="仿宋_GB2312"/>
          <w:sz w:val="32"/>
          <w:szCs w:val="32"/>
        </w:rPr>
        <w:t>%</w:t>
      </w:r>
      <w:r>
        <w:rPr>
          <w:rFonts w:hint="eastAsia" w:eastAsia="仿宋_GB2312"/>
          <w:sz w:val="32"/>
          <w:szCs w:val="32"/>
        </w:rPr>
        <w:t>。国有土地使用权出让相关支出35</w:t>
      </w:r>
      <w:r>
        <w:rPr>
          <w:rFonts w:eastAsia="仿宋_GB2312"/>
          <w:sz w:val="32"/>
          <w:szCs w:val="32"/>
        </w:rPr>
        <w:t>,</w:t>
      </w:r>
      <w:r>
        <w:rPr>
          <w:rFonts w:hint="eastAsia" w:eastAsia="仿宋_GB2312"/>
          <w:sz w:val="32"/>
          <w:szCs w:val="32"/>
        </w:rPr>
        <w:t>477万元，为预算的100</w:t>
      </w:r>
      <w:r>
        <w:rPr>
          <w:rFonts w:eastAsia="仿宋_GB2312"/>
          <w:sz w:val="32"/>
          <w:szCs w:val="32"/>
        </w:rPr>
        <w:t>%</w:t>
      </w:r>
      <w:r>
        <w:rPr>
          <w:rFonts w:hint="eastAsia" w:eastAsia="仿宋_GB2312"/>
          <w:sz w:val="32"/>
          <w:szCs w:val="32"/>
        </w:rPr>
        <w:t>。国有土地收益基金相关支出1,898万元，为预算的</w:t>
      </w:r>
      <w:r>
        <w:rPr>
          <w:rFonts w:eastAsia="仿宋_GB2312"/>
          <w:sz w:val="32"/>
          <w:szCs w:val="32"/>
        </w:rPr>
        <w:t>100%</w:t>
      </w:r>
      <w:r>
        <w:rPr>
          <w:rFonts w:hint="eastAsia" w:eastAsia="仿宋_GB2312"/>
          <w:sz w:val="32"/>
          <w:szCs w:val="32"/>
        </w:rPr>
        <w:t>。农业土地开发资金相关支出134万元，为预算的</w:t>
      </w:r>
      <w:r>
        <w:rPr>
          <w:rFonts w:eastAsia="仿宋_GB2312"/>
          <w:sz w:val="32"/>
          <w:szCs w:val="32"/>
        </w:rPr>
        <w:t>100%</w:t>
      </w:r>
      <w:r>
        <w:rPr>
          <w:rFonts w:hint="eastAsia" w:eastAsia="仿宋_GB2312"/>
          <w:sz w:val="32"/>
          <w:szCs w:val="32"/>
        </w:rPr>
        <w:t>。城市基础设施配套费相关支出235万元，为预算的94.38</w:t>
      </w:r>
      <w:r>
        <w:rPr>
          <w:rFonts w:eastAsia="仿宋_GB2312"/>
          <w:sz w:val="32"/>
          <w:szCs w:val="32"/>
        </w:rPr>
        <w:t>%</w:t>
      </w:r>
      <w:r>
        <w:rPr>
          <w:rFonts w:hint="eastAsia" w:eastAsia="仿宋_GB2312"/>
          <w:sz w:val="32"/>
          <w:szCs w:val="32"/>
        </w:rPr>
        <w:t>。污水处理费相关支出106万元，为预算的65.43</w:t>
      </w:r>
      <w:r>
        <w:rPr>
          <w:rFonts w:eastAsia="仿宋_GB2312"/>
          <w:sz w:val="32"/>
          <w:szCs w:val="32"/>
        </w:rPr>
        <w:t>%</w:t>
      </w:r>
      <w:r>
        <w:rPr>
          <w:rFonts w:hint="eastAsia" w:eastAsia="仿宋_GB2312"/>
          <w:sz w:val="32"/>
          <w:szCs w:val="32"/>
        </w:rPr>
        <w:t>。土地储备专项债券收入安排的支出24,300万元，为预算的100%。彩票公益金相关支出321万元，为预算的96.11</w:t>
      </w:r>
      <w:r>
        <w:rPr>
          <w:rFonts w:eastAsia="仿宋_GB2312"/>
          <w:sz w:val="32"/>
          <w:szCs w:val="32"/>
        </w:rPr>
        <w:t>%</w:t>
      </w:r>
      <w:r>
        <w:rPr>
          <w:rFonts w:hint="eastAsia" w:eastAsia="仿宋_GB2312"/>
          <w:sz w:val="32"/>
          <w:szCs w:val="32"/>
        </w:rPr>
        <w:t>。地方政府专项债务付息支出1,152万元，为预算的100%。地方政府专项债务发行费用支出39万元，为预算100%。</w:t>
      </w:r>
    </w:p>
    <w:p>
      <w:pPr>
        <w:spacing w:line="560" w:lineRule="exact"/>
        <w:ind w:firstLine="640" w:firstLineChars="200"/>
        <w:rPr>
          <w:rFonts w:eastAsia="楷体_GB2312"/>
          <w:sz w:val="32"/>
          <w:szCs w:val="32"/>
        </w:rPr>
      </w:pPr>
      <w:r>
        <w:rPr>
          <w:rFonts w:hint="eastAsia" w:eastAsia="楷体_GB2312"/>
          <w:sz w:val="32"/>
          <w:szCs w:val="32"/>
        </w:rPr>
        <w:t>（三）国有资本经营预算。</w:t>
      </w:r>
    </w:p>
    <w:p>
      <w:pPr>
        <w:spacing w:line="560" w:lineRule="exact"/>
        <w:ind w:firstLine="640" w:firstLineChars="200"/>
        <w:rPr>
          <w:rFonts w:eastAsia="仿宋_GB2312"/>
          <w:sz w:val="32"/>
          <w:szCs w:val="32"/>
        </w:rPr>
      </w:pPr>
      <w:r>
        <w:rPr>
          <w:rFonts w:hint="eastAsia" w:eastAsia="仿宋_GB2312"/>
          <w:sz w:val="32"/>
          <w:szCs w:val="32"/>
        </w:rPr>
        <w:t>2019年国有资本经营预算收入</w:t>
      </w:r>
      <w:r>
        <w:rPr>
          <w:rFonts w:eastAsia="仿宋_GB2312"/>
          <w:sz w:val="32"/>
          <w:szCs w:val="32"/>
        </w:rPr>
        <w:t>1</w:t>
      </w:r>
      <w:r>
        <w:rPr>
          <w:rFonts w:hint="eastAsia" w:eastAsia="仿宋_GB2312"/>
          <w:sz w:val="32"/>
          <w:szCs w:val="32"/>
        </w:rPr>
        <w:t>50万元，为预算的</w:t>
      </w:r>
      <w:r>
        <w:rPr>
          <w:rFonts w:eastAsia="仿宋_GB2312"/>
          <w:sz w:val="32"/>
          <w:szCs w:val="32"/>
        </w:rPr>
        <w:t>100%</w:t>
      </w:r>
      <w:r>
        <w:rPr>
          <w:rFonts w:hint="eastAsia" w:eastAsia="仿宋_GB2312"/>
          <w:sz w:val="32"/>
          <w:szCs w:val="32"/>
        </w:rPr>
        <w:t>。当年国有资本经营预算调出资金</w:t>
      </w:r>
      <w:r>
        <w:rPr>
          <w:rFonts w:eastAsia="仿宋_GB2312"/>
          <w:sz w:val="32"/>
          <w:szCs w:val="32"/>
        </w:rPr>
        <w:t>1</w:t>
      </w:r>
      <w:r>
        <w:rPr>
          <w:rFonts w:hint="eastAsia" w:eastAsia="仿宋_GB2312"/>
          <w:sz w:val="32"/>
          <w:szCs w:val="32"/>
        </w:rPr>
        <w:t>50万元（调入到一般公共预算统筹使用）。当年国有资本经营预算收支平衡。</w:t>
      </w:r>
    </w:p>
    <w:p>
      <w:pPr>
        <w:spacing w:line="560" w:lineRule="exact"/>
        <w:ind w:firstLine="640" w:firstLineChars="200"/>
        <w:rPr>
          <w:rFonts w:eastAsia="楷体_GB2312"/>
          <w:sz w:val="32"/>
          <w:szCs w:val="32"/>
        </w:rPr>
      </w:pPr>
      <w:r>
        <w:rPr>
          <w:rFonts w:hint="eastAsia" w:eastAsia="楷体_GB2312"/>
          <w:sz w:val="32"/>
          <w:szCs w:val="32"/>
        </w:rPr>
        <w:t>（四）地方政府债务情况。</w:t>
      </w:r>
    </w:p>
    <w:p>
      <w:pPr>
        <w:autoSpaceDE w:val="0"/>
        <w:autoSpaceDN w:val="0"/>
        <w:adjustRightInd w:val="0"/>
        <w:ind w:left="199" w:leftChars="95" w:firstLine="640" w:firstLineChars="200"/>
        <w:jc w:val="left"/>
        <w:rPr>
          <w:rFonts w:eastAsia="仿宋_GB2312"/>
          <w:sz w:val="32"/>
          <w:szCs w:val="32"/>
        </w:rPr>
      </w:pPr>
      <w:r>
        <w:rPr>
          <w:rFonts w:hint="eastAsia" w:eastAsia="仿宋_GB2312"/>
          <w:sz w:val="32"/>
          <w:szCs w:val="32"/>
        </w:rPr>
        <w:t>截至</w:t>
      </w:r>
      <w:r>
        <w:rPr>
          <w:rFonts w:eastAsia="仿宋_GB2312"/>
          <w:sz w:val="32"/>
          <w:szCs w:val="32"/>
        </w:rPr>
        <w:t>2019</w:t>
      </w:r>
      <w:r>
        <w:rPr>
          <w:rFonts w:hint="eastAsia" w:eastAsia="仿宋_GB2312"/>
          <w:sz w:val="32"/>
          <w:szCs w:val="32"/>
        </w:rPr>
        <w:t>年底，全县政府性债务余额</w:t>
      </w:r>
      <w:r>
        <w:rPr>
          <w:rFonts w:eastAsia="仿宋_GB2312"/>
          <w:sz w:val="32"/>
          <w:szCs w:val="32"/>
        </w:rPr>
        <w:t>172,943</w:t>
      </w:r>
      <w:r>
        <w:rPr>
          <w:rFonts w:hint="eastAsia" w:eastAsia="仿宋_GB2312"/>
          <w:sz w:val="32"/>
          <w:szCs w:val="32"/>
        </w:rPr>
        <w:t>万元（其中：一般债务</w:t>
      </w:r>
      <w:r>
        <w:rPr>
          <w:rFonts w:eastAsia="仿宋_GB2312"/>
          <w:sz w:val="32"/>
          <w:szCs w:val="32"/>
        </w:rPr>
        <w:t>119,103</w:t>
      </w:r>
      <w:r>
        <w:rPr>
          <w:rFonts w:hint="eastAsia" w:eastAsia="仿宋_GB2312"/>
          <w:sz w:val="32"/>
          <w:szCs w:val="32"/>
        </w:rPr>
        <w:t>万元，专项债务</w:t>
      </w:r>
      <w:r>
        <w:rPr>
          <w:rFonts w:eastAsia="仿宋_GB2312"/>
          <w:sz w:val="32"/>
          <w:szCs w:val="32"/>
        </w:rPr>
        <w:t>53,840</w:t>
      </w:r>
      <w:r>
        <w:rPr>
          <w:rFonts w:hint="eastAsia" w:eastAsia="仿宋_GB2312"/>
          <w:sz w:val="32"/>
          <w:szCs w:val="32"/>
        </w:rPr>
        <w:t>万元），低于省政府核定的</w:t>
      </w:r>
      <w:r>
        <w:rPr>
          <w:rFonts w:eastAsia="仿宋_GB2312"/>
          <w:sz w:val="32"/>
          <w:szCs w:val="32"/>
        </w:rPr>
        <w:t>177,090</w:t>
      </w:r>
      <w:r>
        <w:rPr>
          <w:rFonts w:hint="eastAsia" w:eastAsia="仿宋_GB2312"/>
          <w:sz w:val="32"/>
          <w:szCs w:val="32"/>
        </w:rPr>
        <w:t>万元的地方政府债务限额，债务风险总体可控。</w:t>
      </w:r>
    </w:p>
    <w:p>
      <w:pPr>
        <w:autoSpaceDE w:val="0"/>
        <w:autoSpaceDN w:val="0"/>
        <w:adjustRightInd w:val="0"/>
        <w:ind w:left="199" w:leftChars="95" w:firstLine="640" w:firstLineChars="200"/>
        <w:jc w:val="left"/>
        <w:rPr>
          <w:rFonts w:eastAsia="仿宋_GB2312"/>
          <w:sz w:val="32"/>
          <w:szCs w:val="32"/>
        </w:rPr>
      </w:pPr>
      <w:r>
        <w:rPr>
          <w:rFonts w:eastAsia="仿宋_GB2312"/>
          <w:sz w:val="32"/>
          <w:szCs w:val="32"/>
        </w:rPr>
        <w:t>2019</w:t>
      </w:r>
      <w:r>
        <w:rPr>
          <w:rFonts w:hint="eastAsia" w:eastAsia="仿宋_GB2312"/>
          <w:sz w:val="32"/>
          <w:szCs w:val="32"/>
        </w:rPr>
        <w:t>年，全县地方政府债券转贷收入</w:t>
      </w:r>
      <w:r>
        <w:rPr>
          <w:rFonts w:eastAsia="仿宋_GB2312"/>
          <w:sz w:val="32"/>
          <w:szCs w:val="32"/>
        </w:rPr>
        <w:t>45,898</w:t>
      </w:r>
      <w:r>
        <w:rPr>
          <w:rFonts w:hint="eastAsia" w:eastAsia="仿宋_GB2312"/>
          <w:sz w:val="32"/>
          <w:szCs w:val="32"/>
        </w:rPr>
        <w:t>万元。其中：新增一般债券</w:t>
      </w:r>
      <w:r>
        <w:rPr>
          <w:rFonts w:eastAsia="仿宋_GB2312"/>
          <w:sz w:val="32"/>
          <w:szCs w:val="32"/>
        </w:rPr>
        <w:t>8,408</w:t>
      </w:r>
      <w:r>
        <w:rPr>
          <w:rFonts w:hint="eastAsia" w:eastAsia="仿宋_GB2312"/>
          <w:sz w:val="32"/>
          <w:szCs w:val="32"/>
        </w:rPr>
        <w:t>万元，用于易地扶贫搬迁和城乡污水垃圾治理项目建设；新增专项债券</w:t>
      </w:r>
      <w:r>
        <w:rPr>
          <w:rFonts w:eastAsia="仿宋_GB2312"/>
          <w:sz w:val="32"/>
          <w:szCs w:val="32"/>
        </w:rPr>
        <w:t>24,300</w:t>
      </w:r>
      <w:r>
        <w:rPr>
          <w:rFonts w:hint="eastAsia" w:eastAsia="仿宋_GB2312"/>
          <w:sz w:val="32"/>
          <w:szCs w:val="32"/>
        </w:rPr>
        <w:t>万元，用于红格特色小镇项目建设；再融资债券</w:t>
      </w:r>
      <w:r>
        <w:rPr>
          <w:rFonts w:eastAsia="仿宋_GB2312"/>
          <w:sz w:val="32"/>
          <w:szCs w:val="32"/>
        </w:rPr>
        <w:t>13,190</w:t>
      </w:r>
      <w:r>
        <w:rPr>
          <w:rFonts w:hint="eastAsia" w:eastAsia="仿宋_GB2312"/>
          <w:sz w:val="32"/>
          <w:szCs w:val="32"/>
        </w:rPr>
        <w:t>万元，全部用于偿还</w:t>
      </w:r>
      <w:r>
        <w:rPr>
          <w:rFonts w:eastAsia="仿宋_GB2312"/>
          <w:sz w:val="32"/>
          <w:szCs w:val="32"/>
        </w:rPr>
        <w:t>2019</w:t>
      </w:r>
      <w:r>
        <w:rPr>
          <w:rFonts w:hint="eastAsia" w:eastAsia="仿宋_GB2312"/>
          <w:sz w:val="32"/>
          <w:szCs w:val="32"/>
        </w:rPr>
        <w:t>年度到期地方政府债券。地方政府债券资金的争取，充分发挥了政府规范举债的积极作用，补齐民生领域短板，保障重点领域合理融资需求，有效缓解了财政支出和偿债压力。</w:t>
      </w:r>
    </w:p>
    <w:p>
      <w:pPr>
        <w:spacing w:line="560" w:lineRule="exact"/>
        <w:ind w:firstLine="640" w:firstLineChars="200"/>
        <w:rPr>
          <w:rFonts w:eastAsia="楷体_GB2312"/>
          <w:sz w:val="32"/>
          <w:szCs w:val="32"/>
        </w:rPr>
      </w:pPr>
      <w:r>
        <w:rPr>
          <w:rFonts w:hint="eastAsia" w:eastAsia="楷体_GB2312"/>
          <w:sz w:val="32"/>
          <w:szCs w:val="32"/>
        </w:rPr>
        <w:t>（五）部门决算总体情况。</w:t>
      </w:r>
    </w:p>
    <w:p>
      <w:pPr>
        <w:autoSpaceDE w:val="0"/>
        <w:autoSpaceDN w:val="0"/>
        <w:adjustRightInd w:val="0"/>
        <w:ind w:firstLine="640" w:firstLineChars="200"/>
        <w:jc w:val="left"/>
        <w:rPr>
          <w:rFonts w:eastAsia="仿宋_GB2312"/>
          <w:sz w:val="32"/>
          <w:szCs w:val="32"/>
        </w:rPr>
      </w:pPr>
      <w:r>
        <w:rPr>
          <w:rFonts w:eastAsia="仿宋_GB2312"/>
          <w:sz w:val="32"/>
          <w:szCs w:val="32"/>
        </w:rPr>
        <w:t>2019</w:t>
      </w:r>
      <w:r>
        <w:rPr>
          <w:rFonts w:hint="eastAsia" w:eastAsia="仿宋_GB2312"/>
          <w:sz w:val="32"/>
          <w:szCs w:val="32"/>
        </w:rPr>
        <w:t>年我县部门决算已上报省财政厅审核，从汇总情况看，各单位当年财政拨款收入总额为</w:t>
      </w:r>
      <w:r>
        <w:rPr>
          <w:rFonts w:eastAsia="仿宋_GB2312"/>
          <w:sz w:val="32"/>
          <w:szCs w:val="32"/>
        </w:rPr>
        <w:t>240</w:t>
      </w:r>
      <w:r>
        <w:rPr>
          <w:rFonts w:hint="eastAsia" w:eastAsia="仿宋_GB2312"/>
          <w:sz w:val="32"/>
          <w:szCs w:val="32"/>
        </w:rPr>
        <w:t>,</w:t>
      </w:r>
      <w:r>
        <w:rPr>
          <w:rFonts w:eastAsia="仿宋_GB2312"/>
          <w:sz w:val="32"/>
          <w:szCs w:val="32"/>
        </w:rPr>
        <w:t>585</w:t>
      </w:r>
      <w:r>
        <w:rPr>
          <w:rFonts w:hint="eastAsia" w:eastAsia="仿宋_GB2312"/>
          <w:sz w:val="32"/>
          <w:szCs w:val="32"/>
        </w:rPr>
        <w:t>万元（其中：一般公共预算拨款收入</w:t>
      </w:r>
      <w:r>
        <w:rPr>
          <w:rFonts w:eastAsia="仿宋_GB2312"/>
          <w:sz w:val="32"/>
          <w:szCs w:val="32"/>
        </w:rPr>
        <w:t>174</w:t>
      </w:r>
      <w:r>
        <w:rPr>
          <w:rFonts w:hint="eastAsia" w:eastAsia="仿宋_GB2312"/>
          <w:sz w:val="32"/>
          <w:szCs w:val="32"/>
        </w:rPr>
        <w:t>,</w:t>
      </w:r>
      <w:r>
        <w:rPr>
          <w:rFonts w:eastAsia="仿宋_GB2312"/>
          <w:sz w:val="32"/>
          <w:szCs w:val="32"/>
        </w:rPr>
        <w:t>911</w:t>
      </w:r>
      <w:r>
        <w:rPr>
          <w:rFonts w:hint="eastAsia" w:eastAsia="仿宋_GB2312"/>
          <w:sz w:val="32"/>
          <w:szCs w:val="32"/>
        </w:rPr>
        <w:t>万元，政府性基金拨款收入</w:t>
      </w:r>
      <w:r>
        <w:rPr>
          <w:rFonts w:eastAsia="仿宋_GB2312"/>
          <w:sz w:val="32"/>
          <w:szCs w:val="32"/>
        </w:rPr>
        <w:t>65</w:t>
      </w:r>
      <w:r>
        <w:rPr>
          <w:rFonts w:hint="eastAsia" w:eastAsia="仿宋_GB2312"/>
          <w:sz w:val="32"/>
          <w:szCs w:val="32"/>
        </w:rPr>
        <w:t>,</w:t>
      </w:r>
      <w:r>
        <w:rPr>
          <w:rFonts w:eastAsia="仿宋_GB2312"/>
          <w:sz w:val="32"/>
          <w:szCs w:val="32"/>
        </w:rPr>
        <w:t>674</w:t>
      </w:r>
      <w:r>
        <w:rPr>
          <w:rFonts w:hint="eastAsia" w:eastAsia="仿宋_GB2312"/>
          <w:sz w:val="32"/>
          <w:szCs w:val="32"/>
        </w:rPr>
        <w:t>万元），汇总数据与财政总决算支出数据一致。上年结转结余为105,307万元（其中：一般公共预算拨款结转结余77,789万元，政府性基金拨款结转结余27,518万元），财政拨款支出总额为273,468万元（其中：一般公共预算拨款支出185,018万元，政府性基金拨款支出88,450万元），结余72,424万元（其中：一般公共预算结余67,681万元、政府性基金预算结余4,743万元）。分别是：</w:t>
      </w:r>
    </w:p>
    <w:p>
      <w:pPr>
        <w:autoSpaceDE w:val="0"/>
        <w:autoSpaceDN w:val="0"/>
        <w:adjustRightInd w:val="0"/>
        <w:ind w:firstLine="640" w:firstLineChars="200"/>
        <w:jc w:val="left"/>
        <w:rPr>
          <w:rFonts w:eastAsia="仿宋_GB2312"/>
          <w:sz w:val="32"/>
          <w:szCs w:val="32"/>
        </w:rPr>
      </w:pPr>
      <w:r>
        <w:rPr>
          <w:rFonts w:hint="eastAsia" w:eastAsia="仿宋_GB2312"/>
          <w:sz w:val="32"/>
          <w:szCs w:val="32"/>
        </w:rPr>
        <w:t>县级部门</w:t>
      </w:r>
      <w:r>
        <w:rPr>
          <w:rFonts w:eastAsia="仿宋_GB2312"/>
          <w:sz w:val="32"/>
          <w:szCs w:val="32"/>
        </w:rPr>
        <w:t>116</w:t>
      </w:r>
      <w:r>
        <w:rPr>
          <w:rFonts w:hint="eastAsia" w:eastAsia="仿宋_GB2312"/>
          <w:sz w:val="32"/>
          <w:szCs w:val="32"/>
        </w:rPr>
        <w:t>个，当年财政拨款收入总额为</w:t>
      </w:r>
      <w:r>
        <w:rPr>
          <w:rFonts w:eastAsia="仿宋_GB2312"/>
          <w:sz w:val="32"/>
          <w:szCs w:val="32"/>
        </w:rPr>
        <w:t>182</w:t>
      </w:r>
      <w:r>
        <w:rPr>
          <w:rFonts w:hint="eastAsia" w:eastAsia="仿宋_GB2312"/>
          <w:sz w:val="32"/>
          <w:szCs w:val="32"/>
        </w:rPr>
        <w:t>,</w:t>
      </w:r>
      <w:r>
        <w:rPr>
          <w:rFonts w:eastAsia="仿宋_GB2312"/>
          <w:sz w:val="32"/>
          <w:szCs w:val="32"/>
        </w:rPr>
        <w:t>318</w:t>
      </w:r>
      <w:r>
        <w:rPr>
          <w:rFonts w:hint="eastAsia" w:eastAsia="仿宋_GB2312"/>
          <w:sz w:val="32"/>
          <w:szCs w:val="32"/>
        </w:rPr>
        <w:t>万元（其中：一般公共预算拨款收入</w:t>
      </w:r>
      <w:r>
        <w:rPr>
          <w:rFonts w:eastAsia="仿宋_GB2312"/>
          <w:sz w:val="32"/>
          <w:szCs w:val="32"/>
        </w:rPr>
        <w:t>143</w:t>
      </w:r>
      <w:r>
        <w:rPr>
          <w:rFonts w:hint="eastAsia" w:eastAsia="仿宋_GB2312"/>
          <w:sz w:val="32"/>
          <w:szCs w:val="32"/>
        </w:rPr>
        <w:t>,</w:t>
      </w:r>
      <w:r>
        <w:rPr>
          <w:rFonts w:eastAsia="仿宋_GB2312"/>
          <w:sz w:val="32"/>
          <w:szCs w:val="32"/>
        </w:rPr>
        <w:t>751</w:t>
      </w:r>
      <w:r>
        <w:rPr>
          <w:rFonts w:hint="eastAsia" w:eastAsia="仿宋_GB2312"/>
          <w:sz w:val="32"/>
          <w:szCs w:val="32"/>
        </w:rPr>
        <w:t>万元，政府性基金拨款收入</w:t>
      </w:r>
      <w:r>
        <w:rPr>
          <w:rFonts w:eastAsia="仿宋_GB2312"/>
          <w:sz w:val="32"/>
          <w:szCs w:val="32"/>
        </w:rPr>
        <w:t>38</w:t>
      </w:r>
      <w:r>
        <w:rPr>
          <w:rFonts w:hint="eastAsia" w:eastAsia="仿宋_GB2312"/>
          <w:sz w:val="32"/>
          <w:szCs w:val="32"/>
        </w:rPr>
        <w:t>,</w:t>
      </w:r>
      <w:r>
        <w:rPr>
          <w:rFonts w:eastAsia="仿宋_GB2312"/>
          <w:sz w:val="32"/>
          <w:szCs w:val="32"/>
        </w:rPr>
        <w:t>567</w:t>
      </w:r>
      <w:r>
        <w:rPr>
          <w:rFonts w:hint="eastAsia" w:eastAsia="仿宋_GB2312"/>
          <w:sz w:val="32"/>
          <w:szCs w:val="32"/>
        </w:rPr>
        <w:t>万元），上年结转结余为101,336万元（其中：一般公共预算拨款结转结余74,210万元，政府性基金拨款结转结余27,126万元），财政拨款支出总额为</w:t>
      </w:r>
      <w:r>
        <w:rPr>
          <w:rFonts w:eastAsia="仿宋_GB2312"/>
          <w:sz w:val="32"/>
          <w:szCs w:val="32"/>
        </w:rPr>
        <w:t>213</w:t>
      </w:r>
      <w:r>
        <w:rPr>
          <w:rFonts w:hint="eastAsia" w:eastAsia="仿宋_GB2312"/>
          <w:sz w:val="32"/>
          <w:szCs w:val="32"/>
        </w:rPr>
        <w:t>,</w:t>
      </w:r>
      <w:r>
        <w:rPr>
          <w:rFonts w:eastAsia="仿宋_GB2312"/>
          <w:sz w:val="32"/>
          <w:szCs w:val="32"/>
        </w:rPr>
        <w:t>555</w:t>
      </w:r>
      <w:r>
        <w:rPr>
          <w:rFonts w:hint="eastAsia" w:eastAsia="仿宋_GB2312"/>
          <w:sz w:val="32"/>
          <w:szCs w:val="32"/>
        </w:rPr>
        <w:t>万元（其中：一般公共预算拨款支出</w:t>
      </w:r>
      <w:r>
        <w:rPr>
          <w:rFonts w:eastAsia="仿宋_GB2312"/>
          <w:sz w:val="32"/>
          <w:szCs w:val="32"/>
        </w:rPr>
        <w:t>151</w:t>
      </w:r>
      <w:r>
        <w:rPr>
          <w:rFonts w:hint="eastAsia" w:eastAsia="仿宋_GB2312"/>
          <w:sz w:val="32"/>
          <w:szCs w:val="32"/>
        </w:rPr>
        <w:t>,</w:t>
      </w:r>
      <w:r>
        <w:rPr>
          <w:rFonts w:eastAsia="仿宋_GB2312"/>
          <w:sz w:val="32"/>
          <w:szCs w:val="32"/>
        </w:rPr>
        <w:t>944</w:t>
      </w:r>
      <w:r>
        <w:rPr>
          <w:rFonts w:hint="eastAsia" w:eastAsia="仿宋_GB2312"/>
          <w:sz w:val="32"/>
          <w:szCs w:val="32"/>
        </w:rPr>
        <w:t>万元，政府性基金拨款支出</w:t>
      </w:r>
      <w:r>
        <w:rPr>
          <w:rFonts w:eastAsia="仿宋_GB2312"/>
          <w:sz w:val="32"/>
          <w:szCs w:val="32"/>
        </w:rPr>
        <w:t>61</w:t>
      </w:r>
      <w:r>
        <w:rPr>
          <w:rFonts w:hint="eastAsia" w:eastAsia="仿宋_GB2312"/>
          <w:sz w:val="32"/>
          <w:szCs w:val="32"/>
        </w:rPr>
        <w:t>,</w:t>
      </w:r>
      <w:r>
        <w:rPr>
          <w:rFonts w:eastAsia="仿宋_GB2312"/>
          <w:sz w:val="32"/>
          <w:szCs w:val="32"/>
        </w:rPr>
        <w:t>611</w:t>
      </w:r>
      <w:r>
        <w:rPr>
          <w:rFonts w:hint="eastAsia" w:eastAsia="仿宋_GB2312"/>
          <w:sz w:val="32"/>
          <w:szCs w:val="32"/>
        </w:rPr>
        <w:t>万元），结余</w:t>
      </w:r>
      <w:r>
        <w:rPr>
          <w:rFonts w:eastAsia="仿宋_GB2312"/>
          <w:sz w:val="32"/>
          <w:szCs w:val="32"/>
        </w:rPr>
        <w:t>70</w:t>
      </w:r>
      <w:r>
        <w:rPr>
          <w:rFonts w:hint="eastAsia" w:eastAsia="仿宋_GB2312"/>
          <w:sz w:val="32"/>
          <w:szCs w:val="32"/>
        </w:rPr>
        <w:t>,</w:t>
      </w:r>
      <w:r>
        <w:rPr>
          <w:rFonts w:eastAsia="仿宋_GB2312"/>
          <w:sz w:val="32"/>
          <w:szCs w:val="32"/>
        </w:rPr>
        <w:t>099</w:t>
      </w:r>
      <w:r>
        <w:rPr>
          <w:rFonts w:hint="eastAsia" w:eastAsia="仿宋_GB2312"/>
          <w:sz w:val="32"/>
          <w:szCs w:val="32"/>
        </w:rPr>
        <w:t>万元（其中：一般公共预算结余</w:t>
      </w:r>
      <w:r>
        <w:rPr>
          <w:rFonts w:eastAsia="仿宋_GB2312"/>
          <w:sz w:val="32"/>
          <w:szCs w:val="32"/>
        </w:rPr>
        <w:t>66</w:t>
      </w:r>
      <w:r>
        <w:rPr>
          <w:rFonts w:hint="eastAsia" w:eastAsia="仿宋_GB2312"/>
          <w:sz w:val="32"/>
          <w:szCs w:val="32"/>
        </w:rPr>
        <w:t>,</w:t>
      </w:r>
      <w:r>
        <w:rPr>
          <w:rFonts w:eastAsia="仿宋_GB2312"/>
          <w:sz w:val="32"/>
          <w:szCs w:val="32"/>
        </w:rPr>
        <w:t>017</w:t>
      </w:r>
      <w:r>
        <w:rPr>
          <w:rFonts w:hint="eastAsia" w:eastAsia="仿宋_GB2312"/>
          <w:sz w:val="32"/>
          <w:szCs w:val="32"/>
        </w:rPr>
        <w:t>万元、政府性基金预算结余</w:t>
      </w:r>
      <w:r>
        <w:rPr>
          <w:rFonts w:eastAsia="仿宋_GB2312"/>
          <w:sz w:val="32"/>
          <w:szCs w:val="32"/>
        </w:rPr>
        <w:t>4</w:t>
      </w:r>
      <w:r>
        <w:rPr>
          <w:rFonts w:hint="eastAsia" w:eastAsia="仿宋_GB2312"/>
          <w:sz w:val="32"/>
          <w:szCs w:val="32"/>
        </w:rPr>
        <w:t>,</w:t>
      </w:r>
      <w:r>
        <w:rPr>
          <w:rFonts w:eastAsia="仿宋_GB2312"/>
          <w:sz w:val="32"/>
          <w:szCs w:val="32"/>
        </w:rPr>
        <w:t>082</w:t>
      </w:r>
      <w:r>
        <w:rPr>
          <w:rFonts w:hint="eastAsia" w:eastAsia="仿宋_GB2312"/>
          <w:sz w:val="32"/>
          <w:szCs w:val="32"/>
        </w:rPr>
        <w:t>万元）。</w:t>
      </w:r>
    </w:p>
    <w:p>
      <w:pPr>
        <w:autoSpaceDE w:val="0"/>
        <w:autoSpaceDN w:val="0"/>
        <w:adjustRightInd w:val="0"/>
        <w:ind w:firstLine="800" w:firstLineChars="250"/>
        <w:jc w:val="left"/>
        <w:rPr>
          <w:rFonts w:eastAsia="仿宋_GB2312"/>
          <w:sz w:val="32"/>
          <w:szCs w:val="32"/>
        </w:rPr>
      </w:pPr>
      <w:r>
        <w:rPr>
          <w:rFonts w:hint="eastAsia" w:eastAsia="仿宋_GB2312"/>
          <w:sz w:val="32"/>
          <w:szCs w:val="32"/>
        </w:rPr>
        <w:t>一次性拨款单位</w:t>
      </w:r>
      <w:r>
        <w:rPr>
          <w:rFonts w:eastAsia="仿宋_GB2312"/>
          <w:sz w:val="32"/>
          <w:szCs w:val="32"/>
        </w:rPr>
        <w:t>17</w:t>
      </w:r>
      <w:r>
        <w:rPr>
          <w:rFonts w:hint="eastAsia" w:eastAsia="仿宋_GB2312"/>
          <w:sz w:val="32"/>
          <w:szCs w:val="32"/>
        </w:rPr>
        <w:t>个，财政拨款收入总额为</w:t>
      </w:r>
      <w:r>
        <w:rPr>
          <w:rFonts w:eastAsia="仿宋_GB2312"/>
          <w:sz w:val="32"/>
          <w:szCs w:val="32"/>
        </w:rPr>
        <w:t>15</w:t>
      </w:r>
      <w:r>
        <w:rPr>
          <w:rFonts w:hint="eastAsia" w:eastAsia="仿宋_GB2312"/>
          <w:sz w:val="32"/>
          <w:szCs w:val="32"/>
        </w:rPr>
        <w:t>,</w:t>
      </w:r>
      <w:r>
        <w:rPr>
          <w:rFonts w:eastAsia="仿宋_GB2312"/>
          <w:sz w:val="32"/>
          <w:szCs w:val="32"/>
        </w:rPr>
        <w:t>75</w:t>
      </w:r>
      <w:r>
        <w:rPr>
          <w:rFonts w:hint="eastAsia" w:eastAsia="仿宋_GB2312"/>
          <w:sz w:val="32"/>
          <w:szCs w:val="32"/>
        </w:rPr>
        <w:t>8万元（其中：一般公共预算拨款收入</w:t>
      </w:r>
      <w:r>
        <w:rPr>
          <w:rFonts w:eastAsia="仿宋_GB2312"/>
          <w:sz w:val="32"/>
          <w:szCs w:val="32"/>
        </w:rPr>
        <w:t>9</w:t>
      </w:r>
      <w:r>
        <w:rPr>
          <w:rFonts w:hint="eastAsia" w:eastAsia="仿宋_GB2312"/>
          <w:sz w:val="32"/>
          <w:szCs w:val="32"/>
        </w:rPr>
        <w:t>,</w:t>
      </w:r>
      <w:r>
        <w:rPr>
          <w:rFonts w:eastAsia="仿宋_GB2312"/>
          <w:sz w:val="32"/>
          <w:szCs w:val="32"/>
        </w:rPr>
        <w:t>289</w:t>
      </w:r>
      <w:r>
        <w:rPr>
          <w:rFonts w:hint="eastAsia" w:eastAsia="仿宋_GB2312"/>
          <w:sz w:val="32"/>
          <w:szCs w:val="32"/>
        </w:rPr>
        <w:t>万元，政府性基金拨款收入</w:t>
      </w:r>
      <w:r>
        <w:rPr>
          <w:rFonts w:eastAsia="仿宋_GB2312"/>
          <w:sz w:val="32"/>
          <w:szCs w:val="32"/>
        </w:rPr>
        <w:t>6</w:t>
      </w:r>
      <w:r>
        <w:rPr>
          <w:rFonts w:hint="eastAsia" w:eastAsia="仿宋_GB2312"/>
          <w:sz w:val="32"/>
          <w:szCs w:val="32"/>
        </w:rPr>
        <w:t>,</w:t>
      </w:r>
      <w:r>
        <w:rPr>
          <w:rFonts w:eastAsia="仿宋_GB2312"/>
          <w:sz w:val="32"/>
          <w:szCs w:val="32"/>
        </w:rPr>
        <w:t>469</w:t>
      </w:r>
      <w:r>
        <w:rPr>
          <w:rFonts w:hint="eastAsia" w:eastAsia="仿宋_GB2312"/>
          <w:sz w:val="32"/>
          <w:szCs w:val="32"/>
        </w:rPr>
        <w:t>万元），上年结转结余为1,845万元（其中：一般公共预算拨款结转结余1,845万元，政府性基金拨款结转结余0万元），财政拨款支出总额为17,340万元（其中：一般公共预算拨款支出10,871万元，政府性基金拨款支出6,469万元），结余263万元（其中：一般公共预算结余263万元、政府性基金预算结余 0万元）。</w:t>
      </w:r>
    </w:p>
    <w:p>
      <w:pPr>
        <w:autoSpaceDE w:val="0"/>
        <w:autoSpaceDN w:val="0"/>
        <w:adjustRightInd w:val="0"/>
        <w:ind w:firstLine="640" w:firstLineChars="200"/>
        <w:jc w:val="left"/>
        <w:rPr>
          <w:rFonts w:eastAsia="仿宋_GB2312"/>
          <w:sz w:val="32"/>
          <w:szCs w:val="32"/>
        </w:rPr>
      </w:pPr>
      <w:r>
        <w:rPr>
          <w:rFonts w:hint="eastAsia" w:eastAsia="仿宋_GB2312"/>
          <w:sz w:val="32"/>
          <w:szCs w:val="32"/>
        </w:rPr>
        <w:t>乡（镇）级部门预算单位</w:t>
      </w:r>
      <w:r>
        <w:rPr>
          <w:rFonts w:eastAsia="仿宋_GB2312"/>
          <w:sz w:val="32"/>
          <w:szCs w:val="32"/>
        </w:rPr>
        <w:t>16</w:t>
      </w:r>
      <w:r>
        <w:rPr>
          <w:rFonts w:hint="eastAsia" w:eastAsia="仿宋_GB2312"/>
          <w:sz w:val="32"/>
          <w:szCs w:val="32"/>
        </w:rPr>
        <w:t>个，财政拨款收入总额为</w:t>
      </w:r>
      <w:r>
        <w:rPr>
          <w:rFonts w:eastAsia="仿宋_GB2312"/>
          <w:sz w:val="32"/>
          <w:szCs w:val="32"/>
        </w:rPr>
        <w:t>42</w:t>
      </w:r>
      <w:r>
        <w:rPr>
          <w:rFonts w:hint="eastAsia" w:eastAsia="仿宋_GB2312"/>
          <w:sz w:val="32"/>
          <w:szCs w:val="32"/>
        </w:rPr>
        <w:t>,</w:t>
      </w:r>
      <w:r>
        <w:rPr>
          <w:rFonts w:eastAsia="仿宋_GB2312"/>
          <w:sz w:val="32"/>
          <w:szCs w:val="32"/>
        </w:rPr>
        <w:t>509</w:t>
      </w:r>
      <w:r>
        <w:rPr>
          <w:rFonts w:hint="eastAsia" w:eastAsia="仿宋_GB2312"/>
          <w:sz w:val="32"/>
          <w:szCs w:val="32"/>
        </w:rPr>
        <w:t>万元（其中：一般公共预算拨款收入</w:t>
      </w:r>
      <w:r>
        <w:rPr>
          <w:rFonts w:eastAsia="仿宋_GB2312"/>
          <w:sz w:val="32"/>
          <w:szCs w:val="32"/>
        </w:rPr>
        <w:t>21</w:t>
      </w:r>
      <w:r>
        <w:rPr>
          <w:rFonts w:hint="eastAsia" w:eastAsia="仿宋_GB2312"/>
          <w:sz w:val="32"/>
          <w:szCs w:val="32"/>
        </w:rPr>
        <w:t>,</w:t>
      </w:r>
      <w:r>
        <w:rPr>
          <w:rFonts w:eastAsia="仿宋_GB2312"/>
          <w:sz w:val="32"/>
          <w:szCs w:val="32"/>
        </w:rPr>
        <w:t>871</w:t>
      </w:r>
      <w:r>
        <w:rPr>
          <w:rFonts w:hint="eastAsia" w:eastAsia="仿宋_GB2312"/>
          <w:sz w:val="32"/>
          <w:szCs w:val="32"/>
        </w:rPr>
        <w:t>万元，政府性基金拨款收入</w:t>
      </w:r>
      <w:r>
        <w:rPr>
          <w:rFonts w:eastAsia="仿宋_GB2312"/>
          <w:sz w:val="32"/>
          <w:szCs w:val="32"/>
        </w:rPr>
        <w:t>20</w:t>
      </w:r>
      <w:r>
        <w:rPr>
          <w:rFonts w:hint="eastAsia" w:eastAsia="仿宋_GB2312"/>
          <w:sz w:val="32"/>
          <w:szCs w:val="32"/>
        </w:rPr>
        <w:t>,</w:t>
      </w:r>
      <w:r>
        <w:rPr>
          <w:rFonts w:eastAsia="仿宋_GB2312"/>
          <w:sz w:val="32"/>
          <w:szCs w:val="32"/>
        </w:rPr>
        <w:t>638</w:t>
      </w:r>
      <w:r>
        <w:rPr>
          <w:rFonts w:hint="eastAsia" w:eastAsia="仿宋_GB2312"/>
          <w:sz w:val="32"/>
          <w:szCs w:val="32"/>
        </w:rPr>
        <w:t>万元），上年结转结余为2,126万元（其中：一般公共预算拨款结转结余1,734万元，政府性基金拨款结转结余392万元），财政拨款支出总额为42,573万元（其中：一般公共预算拨款支出22,203万元，政府性基金拨款支出20,370万元），结余2,062万元（其中：一般公共预算结余1,401万元、政府性基金预算结余661万元）。</w:t>
      </w:r>
    </w:p>
    <w:p>
      <w:pPr>
        <w:spacing w:line="560" w:lineRule="exact"/>
        <w:ind w:firstLine="640" w:firstLineChars="200"/>
        <w:rPr>
          <w:rFonts w:eastAsia="楷体_GB2312"/>
          <w:sz w:val="32"/>
          <w:szCs w:val="32"/>
        </w:rPr>
      </w:pPr>
      <w:r>
        <w:rPr>
          <w:rFonts w:hint="eastAsia" w:eastAsia="楷体_GB2312"/>
          <w:sz w:val="32"/>
          <w:szCs w:val="32"/>
        </w:rPr>
        <w:t>（六）重点支出和重大投资项目预算执行及资金使用绩效总体情况。</w:t>
      </w:r>
    </w:p>
    <w:p>
      <w:pPr>
        <w:spacing w:line="560" w:lineRule="exact"/>
        <w:ind w:firstLine="640" w:firstLineChars="200"/>
        <w:rPr>
          <w:rFonts w:eastAsia="仿宋_GB2312"/>
          <w:kern w:val="0"/>
          <w:sz w:val="32"/>
          <w:szCs w:val="32"/>
        </w:rPr>
      </w:pPr>
      <w:r>
        <w:rPr>
          <w:rFonts w:hint="eastAsia" w:eastAsia="仿宋_GB2312"/>
          <w:kern w:val="0"/>
          <w:sz w:val="32"/>
          <w:szCs w:val="32"/>
        </w:rPr>
        <w:t>2019年，全县重点支出和重大投资项目资金下达70,623万元，主要包括：红格特色小镇项目建设16,975万元，道路交通建设项目资金3,004万元，易地扶贫搬迁项目建设5,616万元，专项扶贫资金3,941万元，中央财政农业生产发展资金4,784万元等。在项目建设上，财政部门</w:t>
      </w:r>
      <w:r>
        <w:rPr>
          <w:rFonts w:eastAsia="仿宋_GB2312"/>
          <w:kern w:val="0"/>
          <w:sz w:val="32"/>
          <w:szCs w:val="32"/>
        </w:rPr>
        <w:t>认真贯彻落实加强预算绩效管理的各项部署，稳步推进一般公共预算财政支出绩效评价工作</w:t>
      </w:r>
      <w:r>
        <w:rPr>
          <w:rFonts w:hint="eastAsia" w:eastAsia="仿宋_GB2312"/>
          <w:kern w:val="0"/>
          <w:sz w:val="32"/>
          <w:szCs w:val="32"/>
        </w:rPr>
        <w:t>，将重点支出和重大投资项目预算全额纳入绩效管理范围。项目实施单位</w:t>
      </w:r>
      <w:r>
        <w:rPr>
          <w:rFonts w:eastAsia="仿宋_GB2312"/>
          <w:kern w:val="0"/>
          <w:sz w:val="32"/>
          <w:szCs w:val="32"/>
        </w:rPr>
        <w:t>在项目结束后，对</w:t>
      </w:r>
      <w:r>
        <w:rPr>
          <w:rFonts w:hint="eastAsia" w:eastAsia="仿宋_GB2312"/>
          <w:kern w:val="0"/>
          <w:sz w:val="32"/>
          <w:szCs w:val="32"/>
        </w:rPr>
        <w:t>项目建设情况、项目资金</w:t>
      </w:r>
      <w:r>
        <w:rPr>
          <w:rFonts w:eastAsia="仿宋_GB2312"/>
          <w:kern w:val="0"/>
          <w:sz w:val="32"/>
          <w:szCs w:val="32"/>
        </w:rPr>
        <w:t>预算执行情况进行自我评价，将实际取得的绩效与绩效目标进行对比，如未实现绩效目标，必须说明原因</w:t>
      </w:r>
      <w:r>
        <w:rPr>
          <w:rFonts w:hint="eastAsia" w:eastAsia="仿宋_GB2312"/>
          <w:kern w:val="0"/>
          <w:sz w:val="32"/>
          <w:szCs w:val="32"/>
        </w:rPr>
        <w:t>，并加强整改</w:t>
      </w:r>
      <w:r>
        <w:rPr>
          <w:rFonts w:eastAsia="仿宋_GB2312"/>
          <w:kern w:val="0"/>
          <w:sz w:val="32"/>
          <w:szCs w:val="32"/>
        </w:rPr>
        <w:t>。从评价</w:t>
      </w:r>
      <w:r>
        <w:rPr>
          <w:rFonts w:hint="eastAsia" w:eastAsia="仿宋_GB2312"/>
          <w:kern w:val="0"/>
          <w:sz w:val="32"/>
          <w:szCs w:val="32"/>
        </w:rPr>
        <w:t>总体</w:t>
      </w:r>
      <w:r>
        <w:rPr>
          <w:rFonts w:eastAsia="仿宋_GB2312"/>
          <w:kern w:val="0"/>
          <w:sz w:val="32"/>
          <w:szCs w:val="32"/>
        </w:rPr>
        <w:t>结果看，我县的</w:t>
      </w:r>
      <w:r>
        <w:rPr>
          <w:rFonts w:hint="eastAsia" w:eastAsia="仿宋_GB2312"/>
          <w:kern w:val="0"/>
          <w:sz w:val="32"/>
          <w:szCs w:val="32"/>
        </w:rPr>
        <w:t>重点支出和重大投资项目</w:t>
      </w:r>
      <w:r>
        <w:rPr>
          <w:rFonts w:eastAsia="仿宋_GB2312"/>
          <w:kern w:val="0"/>
          <w:sz w:val="32"/>
          <w:szCs w:val="32"/>
        </w:rPr>
        <w:t>预算编制规范，项目经费足额纳入预算安排，确保了专项工作的顺利开展，较好的完成了</w:t>
      </w:r>
      <w:r>
        <w:rPr>
          <w:rFonts w:hint="eastAsia" w:eastAsia="仿宋_GB2312"/>
          <w:kern w:val="0"/>
          <w:sz w:val="32"/>
          <w:szCs w:val="32"/>
        </w:rPr>
        <w:t>相关</w:t>
      </w:r>
      <w:r>
        <w:rPr>
          <w:rFonts w:eastAsia="仿宋_GB2312"/>
          <w:kern w:val="0"/>
          <w:sz w:val="32"/>
          <w:szCs w:val="32"/>
        </w:rPr>
        <w:t>项目，群众满意度高，社会效益及反响较好。</w:t>
      </w:r>
    </w:p>
    <w:p>
      <w:pPr>
        <w:spacing w:line="560" w:lineRule="exact"/>
        <w:ind w:firstLine="640" w:firstLineChars="200"/>
        <w:rPr>
          <w:rFonts w:eastAsia="仿宋_GB2312"/>
          <w:sz w:val="32"/>
          <w:szCs w:val="32"/>
        </w:rPr>
      </w:pPr>
      <w:r>
        <w:rPr>
          <w:rFonts w:hint="eastAsia" w:eastAsia="仿宋_GB2312"/>
          <w:sz w:val="32"/>
          <w:szCs w:val="32"/>
        </w:rPr>
        <w:t>以上</w:t>
      </w:r>
      <w:r>
        <w:rPr>
          <w:rFonts w:eastAsia="仿宋_GB2312"/>
          <w:sz w:val="32"/>
          <w:szCs w:val="32"/>
        </w:rPr>
        <w:t>201</w:t>
      </w:r>
      <w:r>
        <w:rPr>
          <w:rFonts w:hint="eastAsia" w:eastAsia="仿宋_GB2312"/>
          <w:sz w:val="32"/>
          <w:szCs w:val="32"/>
        </w:rPr>
        <w:t>9年县级决算，请予审查批准。同时，对部门决算情况、重点支出和重大投资项目预算执行及资金使用绩效总体情况进行了说明，请予审查。决算在报县政府审定、提请县人大常委会审查之前，已经县审计局审计。</w:t>
      </w:r>
    </w:p>
    <w:p>
      <w:pPr>
        <w:spacing w:line="560" w:lineRule="exact"/>
        <w:ind w:firstLine="640" w:firstLineChars="200"/>
        <w:rPr>
          <w:rFonts w:eastAsia="黑体"/>
          <w:sz w:val="32"/>
          <w:szCs w:val="32"/>
        </w:rPr>
      </w:pPr>
      <w:r>
        <w:rPr>
          <w:rFonts w:hint="eastAsia" w:eastAsia="黑体"/>
          <w:sz w:val="32"/>
          <w:szCs w:val="32"/>
        </w:rPr>
        <w:t>二、实施积极财政政策，全力稳增长保民生防风险</w:t>
      </w:r>
    </w:p>
    <w:p>
      <w:pPr>
        <w:spacing w:line="530" w:lineRule="exact"/>
        <w:ind w:firstLine="660"/>
        <w:rPr>
          <w:rFonts w:eastAsia="方正仿宋_GBK"/>
          <w:color w:val="000000"/>
          <w:sz w:val="33"/>
          <w:szCs w:val="33"/>
        </w:rPr>
      </w:pPr>
      <w:r>
        <w:rPr>
          <w:rFonts w:eastAsia="方正仿宋_GBK"/>
          <w:color w:val="000000"/>
          <w:sz w:val="33"/>
          <w:szCs w:val="33"/>
        </w:rPr>
        <w:t>2019年，全县上下坚定不移贯彻落实县委确定的各项重大决策部署，</w:t>
      </w:r>
      <w:r>
        <w:rPr>
          <w:rFonts w:hint="eastAsia" w:eastAsia="方正仿宋_GBK"/>
          <w:color w:val="000000"/>
          <w:sz w:val="33"/>
          <w:szCs w:val="33"/>
        </w:rPr>
        <w:t>认真</w:t>
      </w:r>
      <w:r>
        <w:rPr>
          <w:rFonts w:eastAsia="方正仿宋_GBK"/>
          <w:color w:val="000000"/>
          <w:sz w:val="33"/>
          <w:szCs w:val="33"/>
        </w:rPr>
        <w:t>落实县人大十八届四次会议决议</w:t>
      </w:r>
      <w:r>
        <w:rPr>
          <w:rFonts w:hint="eastAsia" w:eastAsia="方正仿宋_GBK"/>
          <w:color w:val="000000"/>
          <w:sz w:val="33"/>
          <w:szCs w:val="33"/>
        </w:rPr>
        <w:t>要求和审查意见以及县人大代表意见建议</w:t>
      </w:r>
      <w:r>
        <w:rPr>
          <w:rFonts w:eastAsia="方正仿宋_GBK"/>
          <w:color w:val="000000"/>
          <w:sz w:val="33"/>
          <w:szCs w:val="33"/>
        </w:rPr>
        <w:t>，</w:t>
      </w:r>
      <w:r>
        <w:rPr>
          <w:rFonts w:hint="eastAsia" w:eastAsia="方正仿宋_GBK"/>
          <w:color w:val="000000"/>
          <w:sz w:val="33"/>
          <w:szCs w:val="33"/>
        </w:rPr>
        <w:t>统筹推进稳增长、促改革、调结构、惠民生、防风险、保稳定，扎实做好“六稳”工作，</w:t>
      </w:r>
      <w:r>
        <w:rPr>
          <w:rFonts w:eastAsia="方正仿宋_GBK"/>
          <w:color w:val="000000"/>
          <w:sz w:val="33"/>
          <w:szCs w:val="33"/>
        </w:rPr>
        <w:t>坚持科学理财，注重统筹兼顾，扎实稳健地推进财政工作，圆满完成了各项目标任务。</w:t>
      </w:r>
    </w:p>
    <w:p>
      <w:pPr>
        <w:spacing w:line="530" w:lineRule="exact"/>
        <w:ind w:firstLine="663"/>
        <w:rPr>
          <w:rFonts w:eastAsia="方正楷体_GBK"/>
          <w:b/>
          <w:color w:val="000000"/>
          <w:sz w:val="33"/>
          <w:szCs w:val="33"/>
        </w:rPr>
      </w:pPr>
      <w:r>
        <w:rPr>
          <w:rFonts w:eastAsia="方正楷体_GBK"/>
          <w:b/>
          <w:color w:val="000000"/>
          <w:sz w:val="33"/>
          <w:szCs w:val="33"/>
        </w:rPr>
        <w:t>（一）着力抓牢收入组织，圆满完成目标任务。</w:t>
      </w:r>
    </w:p>
    <w:p>
      <w:pPr>
        <w:spacing w:line="530" w:lineRule="exact"/>
        <w:ind w:firstLine="660"/>
        <w:rPr>
          <w:rFonts w:eastAsia="方正仿宋_GBK"/>
          <w:color w:val="000000"/>
          <w:sz w:val="33"/>
          <w:szCs w:val="33"/>
        </w:rPr>
      </w:pPr>
      <w:r>
        <w:rPr>
          <w:rFonts w:eastAsia="方正仿宋_GBK"/>
          <w:color w:val="000000"/>
          <w:sz w:val="33"/>
          <w:szCs w:val="33"/>
        </w:rPr>
        <w:t>面对经济下行压力加大</w:t>
      </w:r>
      <w:r>
        <w:rPr>
          <w:rFonts w:hint="eastAsia" w:eastAsia="方正仿宋_GBK"/>
          <w:color w:val="000000"/>
          <w:sz w:val="33"/>
          <w:szCs w:val="33"/>
        </w:rPr>
        <w:t>、</w:t>
      </w:r>
      <w:r>
        <w:rPr>
          <w:rFonts w:eastAsia="方正仿宋_GBK"/>
          <w:color w:val="000000"/>
          <w:sz w:val="33"/>
          <w:szCs w:val="33"/>
        </w:rPr>
        <w:t>落实减税降费政策等因素的影响，各收入征管部门迎难而上、主动作为、勇于担当，科学研判收入形势，充分挖掘增收潜力，强化征管措施，确保应收尽收</w:t>
      </w:r>
      <w:r>
        <w:rPr>
          <w:rFonts w:hint="eastAsia" w:eastAsia="方正仿宋_GBK"/>
          <w:color w:val="000000"/>
          <w:sz w:val="33"/>
          <w:szCs w:val="33"/>
        </w:rPr>
        <w:t>，</w:t>
      </w:r>
      <w:r>
        <w:rPr>
          <w:rFonts w:eastAsia="方正仿宋_GBK"/>
          <w:color w:val="000000"/>
          <w:sz w:val="33"/>
          <w:szCs w:val="33"/>
        </w:rPr>
        <w:t>圆满完成目标任务。</w:t>
      </w:r>
    </w:p>
    <w:p>
      <w:pPr>
        <w:spacing w:line="530" w:lineRule="exact"/>
        <w:ind w:firstLine="663"/>
        <w:rPr>
          <w:rFonts w:eastAsia="方正楷体_GBK"/>
          <w:b/>
          <w:color w:val="000000"/>
          <w:sz w:val="33"/>
          <w:szCs w:val="33"/>
        </w:rPr>
      </w:pPr>
      <w:r>
        <w:rPr>
          <w:rFonts w:eastAsia="方正楷体_GBK"/>
          <w:b/>
          <w:color w:val="000000"/>
          <w:sz w:val="33"/>
          <w:szCs w:val="33"/>
        </w:rPr>
        <w:t>（二）夯实三抓工作基础，资金争取成效明显。</w:t>
      </w:r>
    </w:p>
    <w:p>
      <w:pPr>
        <w:spacing w:line="530" w:lineRule="exact"/>
        <w:ind w:firstLine="660"/>
        <w:rPr>
          <w:rFonts w:eastAsia="方正仿宋_GBK"/>
          <w:color w:val="000000"/>
          <w:sz w:val="33"/>
          <w:szCs w:val="33"/>
        </w:rPr>
      </w:pPr>
      <w:r>
        <w:rPr>
          <w:rFonts w:eastAsia="方正仿宋_GBK"/>
          <w:color w:val="000000"/>
          <w:sz w:val="33"/>
          <w:szCs w:val="33"/>
        </w:rPr>
        <w:t>强化“三抓一强”基础工作，深入剖析解读政策，充分用活用好政策，切实提升各项基础工作质量。2019年全县共召开</w:t>
      </w:r>
      <w:r>
        <w:rPr>
          <w:rFonts w:hint="eastAsia" w:eastAsia="方正仿宋_GBK"/>
          <w:color w:val="000000"/>
          <w:sz w:val="33"/>
          <w:szCs w:val="33"/>
        </w:rPr>
        <w:t>两</w:t>
      </w:r>
      <w:r>
        <w:rPr>
          <w:rFonts w:eastAsia="方正仿宋_GBK"/>
          <w:color w:val="000000"/>
          <w:sz w:val="33"/>
          <w:szCs w:val="33"/>
        </w:rPr>
        <w:t>次“抓资金”</w:t>
      </w:r>
      <w:r>
        <w:rPr>
          <w:rFonts w:hint="eastAsia" w:eastAsia="方正仿宋_GBK"/>
          <w:color w:val="000000"/>
          <w:sz w:val="33"/>
          <w:szCs w:val="33"/>
        </w:rPr>
        <w:t>专题</w:t>
      </w:r>
      <w:r>
        <w:rPr>
          <w:rFonts w:eastAsia="方正仿宋_GBK"/>
          <w:color w:val="000000"/>
          <w:sz w:val="33"/>
          <w:szCs w:val="33"/>
        </w:rPr>
        <w:t>工作会，指导、支持全县各部门积极向上争取资金。通过全县各部门的共同努力，2019年向上争取资金140,813万元，其中，争取均衡性转移支付补助资金17,332万元，增长18.7%，增加2,727万元。</w:t>
      </w:r>
    </w:p>
    <w:p>
      <w:pPr>
        <w:spacing w:line="530" w:lineRule="exact"/>
        <w:ind w:firstLine="663"/>
        <w:rPr>
          <w:rFonts w:eastAsia="方正楷体_GBK"/>
          <w:b/>
          <w:color w:val="000000"/>
          <w:sz w:val="33"/>
          <w:szCs w:val="33"/>
        </w:rPr>
      </w:pPr>
      <w:r>
        <w:rPr>
          <w:rFonts w:eastAsia="方正楷体_GBK"/>
          <w:b/>
          <w:color w:val="000000"/>
          <w:sz w:val="33"/>
          <w:szCs w:val="33"/>
        </w:rPr>
        <w:t>（三）资金统筹着实有效，重点支出保障有力。</w:t>
      </w:r>
    </w:p>
    <w:p>
      <w:pPr>
        <w:spacing w:line="530" w:lineRule="exact"/>
        <w:ind w:firstLine="660"/>
        <w:rPr>
          <w:rFonts w:eastAsia="方正仿宋_GBK"/>
          <w:color w:val="000000"/>
          <w:sz w:val="33"/>
          <w:szCs w:val="33"/>
        </w:rPr>
      </w:pPr>
      <w:r>
        <w:rPr>
          <w:rFonts w:eastAsia="方正仿宋_GBK"/>
          <w:color w:val="000000"/>
          <w:sz w:val="33"/>
          <w:szCs w:val="33"/>
        </w:rPr>
        <w:t>面对收支矛盾十分突出的局面，财政部门科学调度和有效统筹资金，确保了全县干部职工工资按时足额发放、县乡机关事业单位正常运转，保证了重大风险防范、精准脱贫、污染防治、民生工程、卫生县城创建、扫黑除恶、民族宗教等重点工作有序推进。2019年，我县一般公共预算支出完成174,911万元，增长10.6%，增支16,730万元。当年民生支出占一般公共预算支出比重达65.1%，提高0.9个百分点，民生保障更加有力。</w:t>
      </w:r>
    </w:p>
    <w:p>
      <w:pPr>
        <w:spacing w:line="530" w:lineRule="exact"/>
        <w:ind w:firstLine="660"/>
        <w:rPr>
          <w:rFonts w:eastAsia="方正仿宋_GBK"/>
          <w:color w:val="000000"/>
          <w:sz w:val="33"/>
          <w:szCs w:val="33"/>
        </w:rPr>
      </w:pPr>
      <w:r>
        <w:rPr>
          <w:rFonts w:eastAsia="方正仿宋_GBK"/>
          <w:color w:val="000000"/>
          <w:sz w:val="33"/>
          <w:szCs w:val="33"/>
        </w:rPr>
        <w:t>重点支出情况：公共安全支出10,357万元，占一般公共预算支出5.9%。教育支出32,961万元,占一般公共预算支出18.8%。节能环保支出6,036万元，占一般公共预算支出3.5%。农林水支出38,977万元,占一般公共预算支出22.3%。社会保障和就业支出16,180万元,占一般公共预算支出9.3%。卫生健康支出11,138万元,占一般公共预算支出6.4%。交通运输支出4,686万元，占一般公共预算支出2.7%。城乡社区支出10,315万元，占一般公共预算支出5.9%。住房保障支出8,277万元，占一般公共预算支出4.7%。</w:t>
      </w:r>
    </w:p>
    <w:p>
      <w:pPr>
        <w:spacing w:line="530" w:lineRule="exact"/>
        <w:ind w:firstLine="663"/>
        <w:rPr>
          <w:rFonts w:eastAsia="方正楷体_GBK"/>
          <w:b/>
          <w:color w:val="000000"/>
          <w:sz w:val="33"/>
          <w:szCs w:val="33"/>
        </w:rPr>
      </w:pPr>
      <w:r>
        <w:rPr>
          <w:rFonts w:eastAsia="方正楷体_GBK"/>
          <w:b/>
          <w:color w:val="000000"/>
          <w:sz w:val="33"/>
          <w:szCs w:val="33"/>
        </w:rPr>
        <w:t>（四）支持打好“三大攻坚战”，措施得力成绩显著。</w:t>
      </w:r>
    </w:p>
    <w:p>
      <w:pPr>
        <w:spacing w:line="530" w:lineRule="exact"/>
        <w:ind w:firstLine="660"/>
        <w:rPr>
          <w:rFonts w:eastAsia="方正仿宋_GBK"/>
          <w:color w:val="000000"/>
          <w:sz w:val="33"/>
          <w:szCs w:val="33"/>
        </w:rPr>
      </w:pPr>
      <w:r>
        <w:rPr>
          <w:rFonts w:eastAsia="方正仿宋_GBK"/>
          <w:color w:val="000000"/>
          <w:sz w:val="33"/>
          <w:szCs w:val="33"/>
        </w:rPr>
        <w:t>一是打好防范化解重大风险攻坚战。积极争取债券资金，全年争取新增债券资金32,708万元，再融资债券资金13,190万元，有力支持了我县重大项目建设。健全制度机制，制定了《盐边县2019年防范化解地方政府隐性债务风险实施方案》和《盐边县2019年政府债务风险化解方案》</w:t>
      </w:r>
      <w:r>
        <w:rPr>
          <w:rFonts w:hint="eastAsia" w:eastAsia="方正仿宋_GBK"/>
          <w:color w:val="000000"/>
          <w:sz w:val="33"/>
          <w:szCs w:val="33"/>
        </w:rPr>
        <w:t>，</w:t>
      </w:r>
      <w:r>
        <w:rPr>
          <w:rFonts w:eastAsia="方正仿宋_GBK"/>
          <w:color w:val="000000"/>
          <w:sz w:val="33"/>
          <w:szCs w:val="33"/>
        </w:rPr>
        <w:t>积极消化债务存量，政府综合债务率50.03%、利息支出率2.7%、隐性债务化解率100.02%。偿还存量政府债务和到期地方政府债券本金13,190万元、地方政府债券利息5,104万元，偿还隐性债务本金15,407万元、利息8,545万元，收回世行贷款本金387万元，化解财政暂付款17,469万元（其中：县级12,390万元、乡镇级5,079万元）</w:t>
      </w:r>
      <w:r>
        <w:rPr>
          <w:rFonts w:hint="eastAsia" w:eastAsia="方正仿宋_GBK"/>
          <w:color w:val="000000"/>
          <w:sz w:val="33"/>
          <w:szCs w:val="33"/>
        </w:rPr>
        <w:t>，</w:t>
      </w:r>
      <w:r>
        <w:rPr>
          <w:rFonts w:eastAsia="方正仿宋_GBK"/>
          <w:color w:val="000000"/>
          <w:sz w:val="33"/>
          <w:szCs w:val="33"/>
        </w:rPr>
        <w:t>守住了不出现系统性风险的底线。</w:t>
      </w:r>
    </w:p>
    <w:p>
      <w:pPr>
        <w:spacing w:line="530" w:lineRule="exact"/>
        <w:ind w:firstLine="660"/>
        <w:rPr>
          <w:rFonts w:eastAsia="方正仿宋_GBK"/>
          <w:color w:val="000000"/>
          <w:sz w:val="33"/>
          <w:szCs w:val="33"/>
        </w:rPr>
      </w:pPr>
      <w:r>
        <w:rPr>
          <w:rFonts w:eastAsia="方正仿宋_GBK"/>
          <w:color w:val="000000"/>
          <w:sz w:val="33"/>
          <w:szCs w:val="33"/>
        </w:rPr>
        <w:t>二是打好精准脱贫攻坚战。制定《财政扶贫专项2019年实施方案》，累计安排资金2.17亿元，实施10大类40项297个项目，其中财政专项扶贫资金7,369万元。管好用活四项扶贫基金，基金规模达4,158万元。其中教育扶贫救助基金529万元，使用216万元，救助贫困人口</w:t>
      </w:r>
      <w:r>
        <w:rPr>
          <w:rFonts w:hint="eastAsia" w:eastAsia="方正仿宋_GBK"/>
          <w:color w:val="000000"/>
          <w:sz w:val="33"/>
          <w:szCs w:val="33"/>
        </w:rPr>
        <w:t>1</w:t>
      </w:r>
      <w:r>
        <w:rPr>
          <w:rFonts w:eastAsia="方正仿宋_GBK"/>
          <w:color w:val="000000"/>
          <w:sz w:val="33"/>
          <w:szCs w:val="33"/>
        </w:rPr>
        <w:t>,</w:t>
      </w:r>
      <w:r>
        <w:rPr>
          <w:rFonts w:hint="eastAsia" w:eastAsia="方正仿宋_GBK"/>
          <w:color w:val="000000"/>
          <w:sz w:val="33"/>
          <w:szCs w:val="33"/>
        </w:rPr>
        <w:t>074户</w:t>
      </w:r>
      <w:r>
        <w:rPr>
          <w:rFonts w:eastAsia="方正仿宋_GBK"/>
          <w:color w:val="000000"/>
          <w:sz w:val="33"/>
          <w:szCs w:val="33"/>
        </w:rPr>
        <w:t>；卫生扶贫救助基金590万元，使用448万元，救助贫困人口1,112</w:t>
      </w:r>
      <w:r>
        <w:rPr>
          <w:rFonts w:hint="eastAsia" w:eastAsia="方正仿宋_GBK"/>
          <w:color w:val="000000"/>
          <w:sz w:val="33"/>
          <w:szCs w:val="33"/>
        </w:rPr>
        <w:t>户</w:t>
      </w:r>
      <w:r>
        <w:rPr>
          <w:rFonts w:eastAsia="方正仿宋_GBK"/>
          <w:color w:val="000000"/>
          <w:sz w:val="33"/>
          <w:szCs w:val="33"/>
        </w:rPr>
        <w:t>；扶贫小额信贷</w:t>
      </w:r>
      <w:r>
        <w:rPr>
          <w:rFonts w:hint="eastAsia" w:eastAsia="方正仿宋_GBK"/>
          <w:color w:val="000000"/>
          <w:sz w:val="33"/>
          <w:szCs w:val="33"/>
        </w:rPr>
        <w:t>风</w:t>
      </w:r>
      <w:r>
        <w:rPr>
          <w:rFonts w:eastAsia="方正仿宋_GBK"/>
          <w:color w:val="000000"/>
          <w:sz w:val="33"/>
          <w:szCs w:val="33"/>
        </w:rPr>
        <w:t>险基金959万元，累计贷出扶贫小额信贷8,008万元，惠及贫困户2,676户；贫困村产业扶持基金2,080万元，贫困户使用1,182万元、惠及贫困户2,192户，用于村集体经济发展539万元、惠及贫困户2,215户。规范推进涉农资金统筹整合，统筹整合资金8,717万元，提升了资金使用效益。强化扶贫资金监管，开展“两不愁三保障”扶贫资金和2019年财政支持脱贫攻坚政策执行情况专项核查，对核查发现问题限期进行整改，持续开展经常性监督检查，确保扶贫资金安全。</w:t>
      </w:r>
    </w:p>
    <w:p>
      <w:pPr>
        <w:spacing w:line="530" w:lineRule="exact"/>
        <w:ind w:firstLine="660"/>
        <w:rPr>
          <w:rFonts w:eastAsia="方正仿宋_GBK"/>
          <w:color w:val="000000"/>
          <w:sz w:val="33"/>
          <w:szCs w:val="33"/>
        </w:rPr>
      </w:pPr>
      <w:r>
        <w:rPr>
          <w:rFonts w:eastAsia="方正仿宋_GBK"/>
          <w:color w:val="000000"/>
          <w:sz w:val="33"/>
          <w:szCs w:val="33"/>
        </w:rPr>
        <w:t>三是打好污染防治攻坚战。安排污染治理资金7,052万元，支持打赢大气、土壤、水污染防治“三大战役”，促进了中央环保督察“回头看”、城乡环境卫生治理、城区污水处理、节能减排</w:t>
      </w:r>
      <w:r>
        <w:rPr>
          <w:rFonts w:hint="eastAsia" w:eastAsia="方正仿宋_GBK"/>
          <w:color w:val="000000"/>
          <w:sz w:val="33"/>
          <w:szCs w:val="33"/>
        </w:rPr>
        <w:t>、环境治理和城建基础设施PPP项目</w:t>
      </w:r>
      <w:r>
        <w:rPr>
          <w:rFonts w:eastAsia="方正仿宋_GBK"/>
          <w:color w:val="000000"/>
          <w:sz w:val="33"/>
          <w:szCs w:val="33"/>
        </w:rPr>
        <w:t>等工作顺利推进。</w:t>
      </w:r>
    </w:p>
    <w:p>
      <w:pPr>
        <w:spacing w:line="530" w:lineRule="exact"/>
        <w:ind w:firstLine="663"/>
        <w:rPr>
          <w:rFonts w:eastAsia="方正楷体_GBK"/>
          <w:b/>
          <w:color w:val="000000"/>
          <w:sz w:val="33"/>
          <w:szCs w:val="33"/>
        </w:rPr>
      </w:pPr>
      <w:r>
        <w:rPr>
          <w:rFonts w:eastAsia="方正楷体_GBK"/>
          <w:b/>
          <w:color w:val="000000"/>
          <w:sz w:val="33"/>
          <w:szCs w:val="33"/>
        </w:rPr>
        <w:t>（五）推进乡村振兴战略，提高财政保障能力。</w:t>
      </w:r>
    </w:p>
    <w:p>
      <w:pPr>
        <w:spacing w:line="530" w:lineRule="exact"/>
        <w:ind w:firstLine="660"/>
        <w:rPr>
          <w:rFonts w:eastAsia="方正仿宋_GBK"/>
          <w:color w:val="000000"/>
          <w:sz w:val="33"/>
          <w:szCs w:val="33"/>
        </w:rPr>
      </w:pPr>
      <w:r>
        <w:rPr>
          <w:rFonts w:eastAsia="方正仿宋_GBK"/>
          <w:color w:val="000000"/>
          <w:sz w:val="33"/>
          <w:szCs w:val="33"/>
        </w:rPr>
        <w:t>构建财政投入保障机制，保障财政支农投入与乡村振兴目标任务相适应。全年财政投入到乡村振兴支农资金30,553万元，主要用于精准扶贫、农林水及农村文化</w:t>
      </w:r>
      <w:r>
        <w:rPr>
          <w:rFonts w:hint="eastAsia" w:eastAsia="方正仿宋_GBK"/>
          <w:color w:val="000000"/>
          <w:sz w:val="33"/>
          <w:szCs w:val="33"/>
        </w:rPr>
        <w:t>、</w:t>
      </w:r>
      <w:r>
        <w:rPr>
          <w:rFonts w:eastAsia="方正仿宋_GBK"/>
          <w:color w:val="000000"/>
          <w:sz w:val="33"/>
          <w:szCs w:val="33"/>
        </w:rPr>
        <w:t>广播、教育等方面支出。加大向上资金争取力度，争取上级农业财政专项资金24,337万元，其中，农业资金8,017万元、林业资金5,736万元、水利资金2,192万元、扶贫资金5,597万元、其他农林水资金2,795万元。整合“一事一议”资金991万元，其中，用于农村人居环境整治“厕所革命”891万元，完成南部5个乡（镇）5,623户“户厕改造”，用于益民乡龙头村</w:t>
      </w:r>
      <w:r>
        <w:rPr>
          <w:rFonts w:hint="eastAsia" w:eastAsia="方正仿宋_GBK"/>
          <w:color w:val="000000"/>
          <w:sz w:val="33"/>
          <w:szCs w:val="33"/>
          <w:lang w:eastAsia="zh-CN"/>
        </w:rPr>
        <w:t>乡村振兴</w:t>
      </w:r>
      <w:r>
        <w:rPr>
          <w:rFonts w:eastAsia="方正仿宋_GBK"/>
          <w:color w:val="000000"/>
          <w:sz w:val="33"/>
          <w:szCs w:val="33"/>
        </w:rPr>
        <w:t>项目100万元，支持创建省级示范村。严格按照土地出让收入使用范围，提高农业农村投入比例，从土地出让金中安排9,309万元用于农村基础设施建设。构建财政金融联动机制，与四川省农业信贷担保有限公司合作设立乡村振兴农业产业发展贷款风险补偿金，总规模为3,000万元，第一期县级到位1,000万元，争取省级奖补350万元，合作银行按照补偿金规模10倍给予信贷支持，全年风险金撬动银行发放农业产业贷款2,618万元。</w:t>
      </w:r>
    </w:p>
    <w:p>
      <w:pPr>
        <w:spacing w:line="530" w:lineRule="exact"/>
        <w:ind w:firstLine="663"/>
        <w:rPr>
          <w:rFonts w:eastAsia="方正楷体_GBK"/>
          <w:b/>
          <w:color w:val="000000"/>
          <w:sz w:val="33"/>
          <w:szCs w:val="33"/>
        </w:rPr>
      </w:pPr>
      <w:r>
        <w:rPr>
          <w:rFonts w:eastAsia="方正楷体_GBK"/>
          <w:b/>
          <w:color w:val="000000"/>
          <w:sz w:val="33"/>
          <w:szCs w:val="33"/>
        </w:rPr>
        <w:t>（六）加强财政资金保障，努力改善民生</w:t>
      </w:r>
      <w:r>
        <w:rPr>
          <w:rFonts w:hint="eastAsia" w:eastAsia="方正楷体_GBK"/>
          <w:b/>
          <w:color w:val="000000"/>
          <w:sz w:val="33"/>
          <w:szCs w:val="33"/>
        </w:rPr>
        <w:t>福祉</w:t>
      </w:r>
      <w:r>
        <w:rPr>
          <w:rFonts w:eastAsia="方正楷体_GBK"/>
          <w:b/>
          <w:color w:val="000000"/>
          <w:sz w:val="33"/>
          <w:szCs w:val="33"/>
        </w:rPr>
        <w:t>。</w:t>
      </w:r>
    </w:p>
    <w:p>
      <w:pPr>
        <w:spacing w:line="530" w:lineRule="exact"/>
        <w:ind w:firstLine="660"/>
        <w:rPr>
          <w:rFonts w:eastAsia="方正仿宋_GBK"/>
          <w:color w:val="000000"/>
          <w:sz w:val="33"/>
          <w:szCs w:val="33"/>
        </w:rPr>
      </w:pPr>
      <w:r>
        <w:rPr>
          <w:rFonts w:eastAsia="方正仿宋_GBK"/>
          <w:color w:val="000000"/>
          <w:sz w:val="33"/>
          <w:szCs w:val="33"/>
        </w:rPr>
        <w:t>加快民生资金下达，安排</w:t>
      </w:r>
      <w:r>
        <w:rPr>
          <w:rFonts w:hint="eastAsia" w:eastAsia="方正仿宋_GBK"/>
          <w:color w:val="000000"/>
          <w:sz w:val="33"/>
          <w:szCs w:val="33"/>
        </w:rPr>
        <w:t>29</w:t>
      </w:r>
      <w:r>
        <w:rPr>
          <w:rFonts w:eastAsia="方正仿宋_GBK"/>
          <w:color w:val="000000"/>
          <w:sz w:val="33"/>
          <w:szCs w:val="33"/>
        </w:rPr>
        <w:t>件省、市、县民生实事资金3</w:t>
      </w:r>
      <w:r>
        <w:rPr>
          <w:rFonts w:hint="eastAsia" w:eastAsia="方正仿宋_GBK"/>
          <w:color w:val="000000"/>
          <w:sz w:val="33"/>
          <w:szCs w:val="33"/>
        </w:rPr>
        <w:t>5</w:t>
      </w:r>
      <w:r>
        <w:rPr>
          <w:rFonts w:eastAsia="方正仿宋_GBK"/>
          <w:color w:val="000000"/>
          <w:sz w:val="33"/>
          <w:szCs w:val="33"/>
        </w:rPr>
        <w:t>,</w:t>
      </w:r>
      <w:r>
        <w:rPr>
          <w:rFonts w:hint="eastAsia" w:eastAsia="方正仿宋_GBK"/>
          <w:color w:val="000000"/>
          <w:sz w:val="33"/>
          <w:szCs w:val="33"/>
        </w:rPr>
        <w:t>839</w:t>
      </w:r>
      <w:r>
        <w:rPr>
          <w:rFonts w:eastAsia="方正仿宋_GBK"/>
          <w:color w:val="000000"/>
          <w:sz w:val="33"/>
          <w:szCs w:val="33"/>
        </w:rPr>
        <w:t>万元</w:t>
      </w:r>
      <w:r>
        <w:rPr>
          <w:rFonts w:hint="eastAsia" w:eastAsia="方正仿宋_GBK"/>
          <w:color w:val="000000"/>
          <w:sz w:val="33"/>
          <w:szCs w:val="33"/>
        </w:rPr>
        <w:t>，其中：</w:t>
      </w:r>
    </w:p>
    <w:p>
      <w:pPr>
        <w:spacing w:line="530" w:lineRule="exact"/>
        <w:ind w:firstLine="660"/>
        <w:rPr>
          <w:rFonts w:eastAsia="方正仿宋_GBK"/>
          <w:color w:val="000000"/>
          <w:sz w:val="33"/>
          <w:szCs w:val="33"/>
        </w:rPr>
      </w:pPr>
      <w:r>
        <w:rPr>
          <w:rFonts w:eastAsia="方正仿宋_GBK"/>
          <w:color w:val="000000"/>
          <w:sz w:val="33"/>
          <w:szCs w:val="33"/>
        </w:rPr>
        <w:t>支持教育优先发展，严格落实高中生均公用经费省级奖补标准，提升普通高中财政保障水平</w:t>
      </w:r>
      <w:r>
        <w:rPr>
          <w:rFonts w:hint="eastAsia" w:eastAsia="方正仿宋_GBK"/>
          <w:color w:val="000000"/>
          <w:sz w:val="33"/>
          <w:szCs w:val="33"/>
        </w:rPr>
        <w:t>，安排减免非民族自治地区幼儿保教费补助资金335万元，安排为义务教育阶段家庭经济困难寄宿生提供生活费补助515万元，安排为义务教育阶段学生提供营养膳食补助1</w:t>
      </w:r>
      <w:r>
        <w:rPr>
          <w:rFonts w:eastAsia="方正仿宋_GBK"/>
          <w:color w:val="000000"/>
          <w:sz w:val="33"/>
          <w:szCs w:val="33"/>
        </w:rPr>
        <w:t>,</w:t>
      </w:r>
      <w:r>
        <w:rPr>
          <w:rFonts w:hint="eastAsia" w:eastAsia="方正仿宋_GBK"/>
          <w:color w:val="000000"/>
          <w:sz w:val="33"/>
          <w:szCs w:val="33"/>
        </w:rPr>
        <w:t>402万元，安排支持选派教师到“三区”支教补助经费6万元等。</w:t>
      </w:r>
    </w:p>
    <w:p>
      <w:pPr>
        <w:spacing w:line="530" w:lineRule="exact"/>
        <w:ind w:firstLine="660"/>
        <w:rPr>
          <w:rFonts w:eastAsia="方正仿宋_GBK"/>
          <w:color w:val="000000"/>
          <w:sz w:val="33"/>
          <w:szCs w:val="33"/>
        </w:rPr>
      </w:pPr>
      <w:r>
        <w:rPr>
          <w:rFonts w:eastAsia="方正仿宋_GBK"/>
          <w:color w:val="000000"/>
          <w:sz w:val="33"/>
          <w:szCs w:val="33"/>
        </w:rPr>
        <w:t>深化医药卫生体制改革，支持中医药创新发展，安排计划生育专项资金858万元，安排重大公共卫生专项资金481万元，安排基本公共卫生服务补助资金1</w:t>
      </w:r>
      <w:r>
        <w:rPr>
          <w:rFonts w:hint="eastAsia" w:eastAsia="方正仿宋_GBK"/>
          <w:color w:val="000000"/>
          <w:sz w:val="33"/>
          <w:szCs w:val="33"/>
        </w:rPr>
        <w:t>,</w:t>
      </w:r>
      <w:r>
        <w:rPr>
          <w:rFonts w:eastAsia="方正仿宋_GBK"/>
          <w:color w:val="000000"/>
          <w:sz w:val="33"/>
          <w:szCs w:val="33"/>
        </w:rPr>
        <w:t>270万元，安排实施基本药物制度补助资金353万元，支持县级公立医院改革及取消药品加成补助资金304万元, 城乡医疗救助资金628万元</w:t>
      </w:r>
      <w:r>
        <w:rPr>
          <w:rFonts w:hint="eastAsia" w:eastAsia="方正仿宋_GBK"/>
          <w:color w:val="000000"/>
          <w:sz w:val="33"/>
          <w:szCs w:val="33"/>
        </w:rPr>
        <w:t>等</w:t>
      </w:r>
      <w:r>
        <w:rPr>
          <w:rFonts w:eastAsia="方正仿宋_GBK"/>
          <w:color w:val="000000"/>
          <w:sz w:val="33"/>
          <w:szCs w:val="33"/>
        </w:rPr>
        <w:t>。</w:t>
      </w:r>
    </w:p>
    <w:p>
      <w:pPr>
        <w:spacing w:line="530" w:lineRule="exact"/>
        <w:ind w:firstLine="660"/>
        <w:rPr>
          <w:rFonts w:eastAsia="方正仿宋_GBK"/>
          <w:sz w:val="33"/>
          <w:szCs w:val="33"/>
        </w:rPr>
      </w:pPr>
      <w:r>
        <w:rPr>
          <w:rFonts w:eastAsia="方正仿宋_GBK"/>
          <w:sz w:val="33"/>
          <w:szCs w:val="33"/>
        </w:rPr>
        <w:t>健全完善城乡社保体系</w:t>
      </w:r>
      <w:r>
        <w:rPr>
          <w:rFonts w:hint="eastAsia" w:eastAsia="方正仿宋_GBK"/>
          <w:sz w:val="33"/>
          <w:szCs w:val="33"/>
        </w:rPr>
        <w:t>，</w:t>
      </w:r>
      <w:r>
        <w:rPr>
          <w:rFonts w:eastAsia="方正仿宋_GBK"/>
          <w:sz w:val="33"/>
          <w:szCs w:val="33"/>
        </w:rPr>
        <w:t>安排城乡低保</w:t>
      </w:r>
      <w:r>
        <w:rPr>
          <w:rFonts w:hint="eastAsia" w:eastAsia="方正仿宋_GBK"/>
          <w:sz w:val="33"/>
          <w:szCs w:val="33"/>
        </w:rPr>
        <w:t>资金1,723万元，特困人员供养资金704万元，临时救助资金35万元，</w:t>
      </w:r>
      <w:r>
        <w:rPr>
          <w:rFonts w:eastAsia="方正仿宋_GBK"/>
          <w:sz w:val="33"/>
          <w:szCs w:val="33"/>
        </w:rPr>
        <w:t>孤儿救助</w:t>
      </w:r>
      <w:r>
        <w:rPr>
          <w:rFonts w:hint="eastAsia" w:eastAsia="方正仿宋_GBK"/>
          <w:sz w:val="33"/>
          <w:szCs w:val="33"/>
        </w:rPr>
        <w:t>资金69万元，流浪乞讨人员救助资金39万元，临时价格补贴87万元，社会救济救助补助资金223万元，残疾人事业发展补助资金115万元，长寿人员补贴303万元，</w:t>
      </w:r>
      <w:r>
        <w:rPr>
          <w:rFonts w:eastAsia="方正仿宋_GBK"/>
          <w:sz w:val="33"/>
          <w:szCs w:val="33"/>
        </w:rPr>
        <w:t>城乡</w:t>
      </w:r>
      <w:r>
        <w:rPr>
          <w:rFonts w:hint="eastAsia" w:eastAsia="方正仿宋_GBK"/>
          <w:sz w:val="33"/>
          <w:szCs w:val="33"/>
        </w:rPr>
        <w:t>养老保险补助资金542万元，</w:t>
      </w:r>
      <w:r>
        <w:rPr>
          <w:rFonts w:eastAsia="方正仿宋_GBK"/>
          <w:sz w:val="33"/>
          <w:szCs w:val="33"/>
        </w:rPr>
        <w:t>优抚抚恤</w:t>
      </w:r>
      <w:r>
        <w:rPr>
          <w:rFonts w:hint="eastAsia" w:eastAsia="方正仿宋_GBK"/>
          <w:sz w:val="33"/>
          <w:szCs w:val="33"/>
        </w:rPr>
        <w:t>补助资金893万元，</w:t>
      </w:r>
      <w:r>
        <w:rPr>
          <w:rFonts w:eastAsia="方正仿宋_GBK"/>
          <w:sz w:val="33"/>
          <w:szCs w:val="33"/>
        </w:rPr>
        <w:t>优抚安置</w:t>
      </w:r>
      <w:r>
        <w:rPr>
          <w:rFonts w:hint="eastAsia" w:eastAsia="方正仿宋_GBK"/>
          <w:sz w:val="33"/>
          <w:szCs w:val="33"/>
        </w:rPr>
        <w:t>补助资金247万元，拥军优属及其他优抚补助122万元，养老服务体系建设173万元，再就业补助资金470万元等，着力保障各项</w:t>
      </w:r>
      <w:r>
        <w:rPr>
          <w:rFonts w:eastAsia="方正仿宋_GBK"/>
          <w:sz w:val="33"/>
          <w:szCs w:val="33"/>
        </w:rPr>
        <w:t>民生政策落实到位。</w:t>
      </w:r>
    </w:p>
    <w:p>
      <w:pPr>
        <w:spacing w:line="530" w:lineRule="exact"/>
        <w:ind w:firstLine="663"/>
        <w:rPr>
          <w:rFonts w:eastAsia="方正楷体_GBK"/>
          <w:b/>
          <w:color w:val="000000"/>
          <w:sz w:val="33"/>
          <w:szCs w:val="33"/>
        </w:rPr>
      </w:pPr>
      <w:r>
        <w:rPr>
          <w:rFonts w:eastAsia="方正楷体_GBK"/>
          <w:b/>
          <w:color w:val="000000"/>
          <w:sz w:val="33"/>
          <w:szCs w:val="33"/>
        </w:rPr>
        <w:t>（七）加强财政监督管理，资金使用提质增效。</w:t>
      </w:r>
    </w:p>
    <w:p>
      <w:pPr>
        <w:spacing w:line="530" w:lineRule="exact"/>
        <w:ind w:firstLine="660"/>
        <w:rPr>
          <w:rFonts w:eastAsia="方正仿宋_GBK"/>
          <w:color w:val="000000"/>
          <w:sz w:val="33"/>
          <w:szCs w:val="33"/>
        </w:rPr>
      </w:pPr>
      <w:r>
        <w:rPr>
          <w:rFonts w:eastAsia="方正仿宋_GBK"/>
          <w:color w:val="000000"/>
          <w:sz w:val="33"/>
          <w:szCs w:val="33"/>
        </w:rPr>
        <w:t>继续压减一般性支出。严格控制“三公经费”等一般性支出的增长，按中央、省、市财政要求，2019年全县一般性支出在2018年基础上压缩10%，降低了行政运行成本。</w:t>
      </w:r>
    </w:p>
    <w:p>
      <w:pPr>
        <w:spacing w:line="530" w:lineRule="exact"/>
        <w:ind w:firstLine="660"/>
        <w:rPr>
          <w:rFonts w:eastAsia="方正仿宋_GBK"/>
          <w:color w:val="000000"/>
          <w:sz w:val="33"/>
          <w:szCs w:val="33"/>
        </w:rPr>
      </w:pPr>
      <w:r>
        <w:rPr>
          <w:rFonts w:eastAsia="方正仿宋_GBK"/>
          <w:color w:val="000000"/>
          <w:sz w:val="33"/>
          <w:szCs w:val="33"/>
        </w:rPr>
        <w:t>继续盘活财政存量资金。加大财政存量资金清理盘活力度，2019年共盘活存量资金7,506万元。盘活资金全部用于保运转、保民生、保重点支出及化解财政暂付款。</w:t>
      </w:r>
    </w:p>
    <w:p>
      <w:pPr>
        <w:spacing w:line="530" w:lineRule="exact"/>
        <w:ind w:firstLine="660"/>
        <w:rPr>
          <w:rFonts w:eastAsia="方正仿宋_GBK"/>
          <w:color w:val="000000"/>
          <w:sz w:val="33"/>
          <w:szCs w:val="33"/>
        </w:rPr>
      </w:pPr>
      <w:r>
        <w:rPr>
          <w:rFonts w:eastAsia="方正仿宋_GBK"/>
          <w:color w:val="000000"/>
          <w:sz w:val="33"/>
          <w:szCs w:val="33"/>
        </w:rPr>
        <w:t>强化财政资金监督管理。加强财政资金监督，开展2017</w:t>
      </w:r>
      <w:r>
        <w:rPr>
          <w:rFonts w:hint="eastAsia" w:eastAsia="方正仿宋_GBK"/>
          <w:color w:val="000000"/>
          <w:sz w:val="33"/>
          <w:szCs w:val="33"/>
        </w:rPr>
        <w:t>年1月</w:t>
      </w:r>
      <w:r>
        <w:rPr>
          <w:rFonts w:eastAsia="方正仿宋_GBK"/>
          <w:color w:val="000000"/>
          <w:sz w:val="33"/>
          <w:szCs w:val="33"/>
        </w:rPr>
        <w:t>至2018年</w:t>
      </w:r>
      <w:r>
        <w:rPr>
          <w:rFonts w:hint="eastAsia" w:eastAsia="方正仿宋_GBK"/>
          <w:color w:val="000000"/>
          <w:sz w:val="33"/>
          <w:szCs w:val="33"/>
        </w:rPr>
        <w:t>12月</w:t>
      </w:r>
      <w:r>
        <w:rPr>
          <w:rFonts w:eastAsia="方正仿宋_GBK"/>
          <w:color w:val="000000"/>
          <w:sz w:val="33"/>
          <w:szCs w:val="33"/>
        </w:rPr>
        <w:t>期间违规发放工资、奖金、津贴、补贴专项整治，收回违规发放奖金0.36万元。强化财政预（决）算公开，对2018年度预（决）算</w:t>
      </w:r>
      <w:r>
        <w:rPr>
          <w:rFonts w:hint="eastAsia" w:eastAsia="方正仿宋_GBK"/>
          <w:color w:val="000000"/>
          <w:sz w:val="33"/>
          <w:szCs w:val="33"/>
        </w:rPr>
        <w:t>、</w:t>
      </w:r>
      <w:r>
        <w:rPr>
          <w:rFonts w:eastAsia="方正仿宋_GBK"/>
          <w:color w:val="000000"/>
          <w:sz w:val="33"/>
          <w:szCs w:val="33"/>
        </w:rPr>
        <w:t>2019年度预算公开情况进行专项检查，督促公开不完善的预算单位限时整改完善。加强国有资产监管，清理整改入账资产35,094万元（原值），对11个部门价值82万元的资产予以报废核销，对10个部门编报的资产采购计划审减61万元</w:t>
      </w:r>
      <w:r>
        <w:rPr>
          <w:rFonts w:hint="eastAsia" w:eastAsia="方正仿宋_GBK"/>
          <w:color w:val="000000"/>
          <w:sz w:val="33"/>
          <w:szCs w:val="33"/>
        </w:rPr>
        <w:t>。</w:t>
      </w:r>
      <w:r>
        <w:rPr>
          <w:rFonts w:eastAsia="方正仿宋_GBK"/>
          <w:color w:val="000000"/>
          <w:sz w:val="33"/>
          <w:szCs w:val="33"/>
        </w:rPr>
        <w:t>做好涉及机构改革和乡镇区划调整单位资产财务管理，确保资产财务随着机构改革和乡镇区划调整及时划转到位。强化财政监督检查，实施惠民惠农财政补贴资金“一卡通”专项治理，通过“一卡通”监管平台累计发放资金5,415万元。加强财政投资评审，完成项目评审125个，送审资金42,267万元，审定资金37,856万元，审减资金4,411万元，审减率10.4%。严格政府采购监管</w:t>
      </w:r>
      <w:r>
        <w:rPr>
          <w:rFonts w:hint="eastAsia" w:eastAsia="方正仿宋_GBK"/>
          <w:color w:val="000000"/>
          <w:sz w:val="33"/>
          <w:szCs w:val="33"/>
        </w:rPr>
        <w:t>，</w:t>
      </w:r>
      <w:r>
        <w:rPr>
          <w:rFonts w:eastAsia="方正仿宋_GBK"/>
          <w:color w:val="000000"/>
          <w:sz w:val="33"/>
          <w:szCs w:val="33"/>
        </w:rPr>
        <w:t>落实政府采购预算编制和执行，坚持无预算不采购，完成采购156场次，采购预算11,004万元，实际采购金额10,212万元，节约资金792万元，节约率7.2%。</w:t>
      </w:r>
    </w:p>
    <w:p>
      <w:pPr>
        <w:spacing w:line="530" w:lineRule="exact"/>
        <w:ind w:firstLine="663"/>
        <w:rPr>
          <w:rFonts w:eastAsia="方正楷体_GBK"/>
          <w:b/>
          <w:color w:val="000000"/>
          <w:sz w:val="33"/>
          <w:szCs w:val="33"/>
        </w:rPr>
      </w:pPr>
      <w:r>
        <w:rPr>
          <w:rFonts w:eastAsia="方正楷体_GBK"/>
          <w:b/>
          <w:color w:val="000000"/>
          <w:sz w:val="33"/>
          <w:szCs w:val="33"/>
        </w:rPr>
        <w:t>（八）继续深化财政改革，提高财政管理水平。</w:t>
      </w:r>
    </w:p>
    <w:p>
      <w:pPr>
        <w:spacing w:line="530" w:lineRule="exact"/>
        <w:ind w:firstLine="660"/>
        <w:rPr>
          <w:rFonts w:eastAsia="方正仿宋_GBK"/>
          <w:color w:val="000000"/>
          <w:sz w:val="33"/>
          <w:szCs w:val="33"/>
        </w:rPr>
      </w:pPr>
      <w:r>
        <w:rPr>
          <w:rFonts w:eastAsia="方正仿宋_GBK"/>
          <w:color w:val="000000"/>
          <w:sz w:val="33"/>
          <w:szCs w:val="33"/>
        </w:rPr>
        <w:t>继续推进财政支出绩效评价,全面实施预算绩效管理改革，印发了《盐边县关于全面实施预算绩效管理的工作方案》，逐步建立“全方位”“全覆盖”“全领域”“全过程”政府预算绩效管理体系。开展2018年部门预算整体绩效评价，涵盖县级所有一级预算单位，涉及金额61,728万元。开展2018年项目绩效评价，选择包含教育、医疗卫生、环境保护、城乡环境卫生、村级公益事业建设、道路交通、农业、林业、文化、社会保障、劳动就业等15个项目进行绩效评价，涉及金额4,850万元。开展2018年财政政策绩效评价工作，选择了文化发展、中小企业发展、困难群众补助等三个财政政策进行了绩效评价，涉及金额567万元。开展2018年部门绩效评价，选择县自然资源规划和林业局、县住建局、县交通运输局、县农业农村局、县人力资源和社会保障局、县民政局、县残联、县卫生健康局、桐子林</w:t>
      </w:r>
      <w:r>
        <w:rPr>
          <w:rFonts w:hint="eastAsia" w:eastAsia="方正仿宋_GBK"/>
          <w:color w:val="000000"/>
          <w:sz w:val="33"/>
          <w:szCs w:val="33"/>
        </w:rPr>
        <w:t>镇</w:t>
      </w:r>
      <w:r>
        <w:rPr>
          <w:rFonts w:eastAsia="方正仿宋_GBK"/>
          <w:color w:val="000000"/>
          <w:sz w:val="33"/>
          <w:szCs w:val="33"/>
        </w:rPr>
        <w:t>中心小学校等28个部门进行绩效评价，涉及金额133,349万元。通过绩效评价，促进了财政资金规范管理，提高了财政资金使用效益。</w:t>
      </w:r>
    </w:p>
    <w:p>
      <w:pPr>
        <w:spacing w:line="530" w:lineRule="exact"/>
        <w:ind w:firstLine="660"/>
        <w:rPr>
          <w:rFonts w:eastAsia="方正仿宋_GBK"/>
          <w:color w:val="000000"/>
          <w:sz w:val="33"/>
          <w:szCs w:val="33"/>
        </w:rPr>
      </w:pPr>
      <w:r>
        <w:rPr>
          <w:rFonts w:eastAsia="方正仿宋_GBK"/>
          <w:color w:val="000000"/>
          <w:sz w:val="33"/>
          <w:szCs w:val="33"/>
        </w:rPr>
        <w:t>继续推进财政相关改革。开展财政预决算公开，按时完成2019年政府预算、部门预算及“三公经费”预算公开和2018年政府决算、部门决算、“三公经费”决算公开工作，公开率达100%，提高了预决算透明度，自觉接受公众监督。深化国有企业改革，推进财政改革两年攻坚计划，八大类73项改革任务已完成98%以上。推进新政府会计制度改革，全县一级预算单位实行统一的财务软件，确保我县新旧会计制度的平稳过渡，准确无误地进行政府会计制度转换、新旧科目衔接。推进财政信息化建设，完成乡镇财政管理综合业务平台配套升级改造。全面启动财政电子票据改革，完成131个单位、153个票据使用点的电子票据管理系统建设，率先在全市三区两县中开出第一张财政电子票据。</w:t>
      </w:r>
    </w:p>
    <w:p>
      <w:pPr>
        <w:spacing w:line="560" w:lineRule="exact"/>
        <w:ind w:firstLine="640"/>
        <w:rPr>
          <w:rFonts w:eastAsia="仿宋_GB2312"/>
          <w:sz w:val="32"/>
          <w:szCs w:val="32"/>
        </w:rPr>
      </w:pPr>
      <w:r>
        <w:rPr>
          <w:rFonts w:hint="eastAsia" w:eastAsia="仿宋_GB2312"/>
          <w:sz w:val="32"/>
          <w:szCs w:val="32"/>
        </w:rPr>
        <w:t>主任、各位副主任、各位委员：</w:t>
      </w:r>
      <w:r>
        <w:rPr>
          <w:rFonts w:eastAsia="仿宋_GB2312"/>
          <w:sz w:val="32"/>
          <w:szCs w:val="32"/>
        </w:rPr>
        <w:t>201</w:t>
      </w:r>
      <w:r>
        <w:rPr>
          <w:rFonts w:hint="eastAsia" w:eastAsia="仿宋_GB2312"/>
          <w:sz w:val="32"/>
          <w:szCs w:val="32"/>
        </w:rPr>
        <w:t>9年，财政运行总体平稳，预算执行效果较好，</w:t>
      </w:r>
      <w:r>
        <w:rPr>
          <w:rFonts w:eastAsia="方正仿宋_GBK"/>
          <w:color w:val="000000"/>
          <w:sz w:val="33"/>
          <w:szCs w:val="33"/>
        </w:rPr>
        <w:t>但仍存在</w:t>
      </w:r>
      <w:r>
        <w:rPr>
          <w:rFonts w:hint="eastAsia" w:eastAsia="方正仿宋_GBK"/>
          <w:color w:val="000000"/>
          <w:sz w:val="33"/>
          <w:szCs w:val="33"/>
        </w:rPr>
        <w:t>一些需要解决的</w:t>
      </w:r>
      <w:r>
        <w:rPr>
          <w:rFonts w:eastAsia="方正仿宋_GBK"/>
          <w:color w:val="000000"/>
          <w:sz w:val="33"/>
          <w:szCs w:val="33"/>
        </w:rPr>
        <w:t>问题</w:t>
      </w:r>
      <w:r>
        <w:rPr>
          <w:rFonts w:hint="eastAsia" w:eastAsia="方正仿宋_GBK"/>
          <w:color w:val="000000"/>
          <w:sz w:val="33"/>
          <w:szCs w:val="33"/>
        </w:rPr>
        <w:t>，县人大有关方面对此提出了许多宝贵的意见和建议，</w:t>
      </w:r>
      <w:r>
        <w:rPr>
          <w:rFonts w:hint="eastAsia" w:eastAsia="仿宋_GB2312"/>
          <w:sz w:val="32"/>
          <w:szCs w:val="32"/>
        </w:rPr>
        <w:t>审计也指出了存在的不足，包括：一是县级财政收支矛盾依然突出，收支平衡压力较大；二</w:t>
      </w:r>
      <w:r>
        <w:rPr>
          <w:rFonts w:eastAsia="方正仿宋_GBK"/>
          <w:color w:val="000000"/>
          <w:sz w:val="33"/>
          <w:szCs w:val="33"/>
        </w:rPr>
        <w:t>是财政</w:t>
      </w:r>
      <w:r>
        <w:rPr>
          <w:rFonts w:hint="eastAsia" w:eastAsia="方正仿宋_GBK"/>
          <w:color w:val="000000"/>
          <w:sz w:val="33"/>
          <w:szCs w:val="33"/>
        </w:rPr>
        <w:t>应返还额度、</w:t>
      </w:r>
      <w:r>
        <w:rPr>
          <w:rFonts w:eastAsia="方正仿宋_GBK"/>
          <w:color w:val="000000"/>
          <w:sz w:val="33"/>
          <w:szCs w:val="33"/>
        </w:rPr>
        <w:t>暂付款余额较大</w:t>
      </w:r>
      <w:r>
        <w:rPr>
          <w:rFonts w:hint="eastAsia" w:eastAsia="方正仿宋_GBK"/>
          <w:color w:val="000000"/>
          <w:sz w:val="33"/>
          <w:szCs w:val="33"/>
        </w:rPr>
        <w:t>，库款保障水平低；三</w:t>
      </w:r>
      <w:r>
        <w:rPr>
          <w:rFonts w:eastAsia="方正仿宋_GBK"/>
          <w:color w:val="000000"/>
          <w:sz w:val="33"/>
          <w:szCs w:val="33"/>
        </w:rPr>
        <w:t>是</w:t>
      </w:r>
      <w:r>
        <w:rPr>
          <w:rFonts w:hint="eastAsia" w:eastAsia="方正仿宋_GBK"/>
          <w:color w:val="000000"/>
          <w:sz w:val="33"/>
          <w:szCs w:val="33"/>
        </w:rPr>
        <w:t>债务风险不容忽视，防范化解任务较重；四是个别项目绩效不高，预算绩效管理有待加强；五是部分单位预算编制不够细化，项目执行进度较慢，预算管理水平有待进一步提高等等</w:t>
      </w:r>
      <w:r>
        <w:rPr>
          <w:rFonts w:hint="eastAsia" w:eastAsia="仿宋_GB2312"/>
          <w:sz w:val="32"/>
          <w:szCs w:val="32"/>
        </w:rPr>
        <w:t>。同时，县人大代表、县人大常委会、县人大常委会财经委对财政管理改革和发展提出了许多宝贵的意见和建议，我们对此高度重视，对审计查出问题严肃认真进行整改，积极采纳代表建议，努力提升财政管理水平。</w:t>
      </w:r>
    </w:p>
    <w:p>
      <w:pPr>
        <w:spacing w:line="560" w:lineRule="exact"/>
        <w:ind w:firstLine="640"/>
        <w:rPr>
          <w:rFonts w:eastAsia="黑体"/>
          <w:sz w:val="32"/>
          <w:szCs w:val="32"/>
        </w:rPr>
      </w:pPr>
      <w:r>
        <w:rPr>
          <w:rFonts w:hint="eastAsia" w:eastAsia="黑体"/>
          <w:sz w:val="32"/>
          <w:szCs w:val="32"/>
        </w:rPr>
        <w:t>三、下一步重点工作</w:t>
      </w:r>
    </w:p>
    <w:p>
      <w:pPr>
        <w:spacing w:line="560" w:lineRule="exact"/>
        <w:ind w:firstLine="640"/>
        <w:rPr>
          <w:rFonts w:eastAsia="仿宋_GB2312"/>
          <w:sz w:val="32"/>
          <w:szCs w:val="32"/>
        </w:rPr>
      </w:pPr>
      <w:r>
        <w:rPr>
          <w:rFonts w:hint="eastAsia" w:eastAsia="仿宋_GB2312"/>
          <w:sz w:val="32"/>
          <w:szCs w:val="32"/>
        </w:rPr>
        <w:t>今后，我们将坚持问题导向，在县人大的监督指导下，重点做好以下工作。一是依法依规积极组织财政收入。坚持实事求是原则，应减尽减、应收尽收，落实好国家出台的各项减税降费政策。二是严格支出预算管理。严格执行县人代会批准的预算，及时分配下达专项转移支付资金，加快预算执行进度，确保早投入早见效。三是全面实施预算绩效管理，深入推进预算事前绩效评估、绩效监控和绩效评价工作，落实绩效结果运用，不断提高财政资金使用绩效。四是管好用好直达资金。按照国家统一部署，压实工作责任，加快直达资金分配下达，强化日常监督和重点监控，确保直达资金用到最困难的地方、最急需的领域，确保直达资金落到企业特别是中小微企业，落到低保、失业、养老和特困人员身上，直接惠企利民。五是强化债务风险管控。严格实施政府债务限额管理，统筹落实化债措施，有序稳妥化解隐性债务存量，不断降低债务风险。六是防范化解财政运行风险。切实兜牢</w:t>
      </w:r>
      <w:r>
        <w:rPr>
          <w:rFonts w:eastAsia="仿宋_GB2312"/>
          <w:sz w:val="32"/>
          <w:szCs w:val="32"/>
        </w:rPr>
        <w:t>“</w:t>
      </w:r>
      <w:r>
        <w:rPr>
          <w:rFonts w:hint="eastAsia" w:eastAsia="仿宋_GB2312"/>
          <w:sz w:val="32"/>
          <w:szCs w:val="32"/>
        </w:rPr>
        <w:t>三保</w:t>
      </w:r>
      <w:r>
        <w:rPr>
          <w:rFonts w:eastAsia="仿宋_GB2312"/>
          <w:sz w:val="32"/>
          <w:szCs w:val="32"/>
        </w:rPr>
        <w:t>”</w:t>
      </w:r>
      <w:r>
        <w:rPr>
          <w:rFonts w:hint="eastAsia" w:eastAsia="仿宋_GB2312"/>
          <w:sz w:val="32"/>
          <w:szCs w:val="32"/>
        </w:rPr>
        <w:t>支出底线，加强国库资金调度保障，严格财政内部控制，提高风险监测、防范和化解能力。七是落实落细政府过“紧日子”的要求。继续大力压减一般性支出，严格控制会议费、“三公”经费等支出，不该花的钱一分不花，让每一分钱花到最需要的地方，花出最好的效果。调整优化支出结构，确保将过“紧日子”节约的开支，全部优先保障“六稳”“六保”等重点支出。八是优化改进预决算编报。深入贯彻《预算法》及《预算法实施条例》，认真落实《四川省预算审查监督条例》，按照预算审查监督重点向支出预算和政策拓展有关要求，进一步优化改进预决算编报工作，提高预决算编制的准确性、完整性、规范性。九是自觉接受人大审查监督。认真落实县人大及人大常委会有关决议，自觉接受预决算审查监督，贯彻《关于进一步加强各级人大常委会对审计查出问题整改情况监督的意见》，加强审计问题整改。全力做好国有资产管理等工作，积极主动回应人大代表关切，做好人大代表服务工作。</w:t>
      </w:r>
    </w:p>
    <w:p>
      <w:pPr>
        <w:spacing w:line="560" w:lineRule="exact"/>
        <w:ind w:firstLine="640" w:firstLineChars="200"/>
        <w:rPr>
          <w:rFonts w:eastAsia="仿宋_GB2312"/>
          <w:sz w:val="32"/>
          <w:szCs w:val="32"/>
        </w:rPr>
      </w:pPr>
    </w:p>
    <w:p>
      <w:pPr>
        <w:spacing w:line="560" w:lineRule="exact"/>
        <w:rPr>
          <w:rFonts w:eastAsia="仿宋_GB2312"/>
          <w:sz w:val="32"/>
          <w:szCs w:val="32"/>
        </w:rPr>
      </w:pPr>
    </w:p>
    <w:p>
      <w:pPr>
        <w:spacing w:line="560" w:lineRule="exact"/>
        <w:ind w:firstLine="640" w:firstLineChars="200"/>
        <w:rPr>
          <w:rFonts w:eastAsia="仿宋_GB2312"/>
          <w:sz w:val="32"/>
          <w:szCs w:val="32"/>
        </w:rPr>
      </w:pPr>
      <w:r>
        <w:rPr>
          <w:rFonts w:hint="eastAsia" w:eastAsia="仿宋_GB2312"/>
          <w:sz w:val="32"/>
          <w:szCs w:val="32"/>
        </w:rPr>
        <w:t>附件：</w:t>
      </w:r>
      <w:r>
        <w:rPr>
          <w:rFonts w:eastAsia="仿宋_GB2312"/>
          <w:sz w:val="32"/>
          <w:szCs w:val="32"/>
        </w:rPr>
        <w:t>1.</w:t>
      </w:r>
      <w:r>
        <w:rPr>
          <w:rFonts w:eastAsia="仿宋_GB2312"/>
        </w:rPr>
        <w:t xml:space="preserve"> </w:t>
      </w:r>
      <w:r>
        <w:rPr>
          <w:rFonts w:eastAsia="仿宋_GB2312"/>
          <w:sz w:val="32"/>
          <w:szCs w:val="32"/>
        </w:rPr>
        <w:t>201</w:t>
      </w:r>
      <w:r>
        <w:rPr>
          <w:rFonts w:hint="eastAsia" w:eastAsia="仿宋_GB2312"/>
          <w:sz w:val="32"/>
          <w:szCs w:val="32"/>
        </w:rPr>
        <w:t>9年盐边县一般公共预算收入决算表</w:t>
      </w:r>
    </w:p>
    <w:p>
      <w:pPr>
        <w:spacing w:line="560" w:lineRule="exact"/>
        <w:ind w:firstLine="640"/>
        <w:rPr>
          <w:rFonts w:eastAsia="仿宋_GB2312"/>
          <w:sz w:val="32"/>
          <w:szCs w:val="32"/>
        </w:rPr>
      </w:pPr>
      <w:r>
        <w:rPr>
          <w:rFonts w:eastAsia="仿宋_GB2312"/>
          <w:sz w:val="32"/>
          <w:szCs w:val="32"/>
        </w:rPr>
        <w:t xml:space="preserve">      2.</w:t>
      </w:r>
      <w:r>
        <w:rPr>
          <w:rFonts w:eastAsia="仿宋_GB2312"/>
        </w:rPr>
        <w:t xml:space="preserve"> </w:t>
      </w:r>
      <w:r>
        <w:rPr>
          <w:rFonts w:eastAsia="仿宋_GB2312"/>
          <w:sz w:val="32"/>
          <w:szCs w:val="32"/>
        </w:rPr>
        <w:t>201</w:t>
      </w:r>
      <w:r>
        <w:rPr>
          <w:rFonts w:hint="eastAsia" w:eastAsia="仿宋_GB2312"/>
          <w:sz w:val="32"/>
          <w:szCs w:val="32"/>
        </w:rPr>
        <w:t>9年盐边县一般公共预算支出决算表</w:t>
      </w:r>
    </w:p>
    <w:p>
      <w:pPr>
        <w:spacing w:line="560" w:lineRule="exact"/>
        <w:ind w:firstLine="640"/>
        <w:rPr>
          <w:rFonts w:eastAsia="仿宋_GB2312"/>
          <w:sz w:val="32"/>
          <w:szCs w:val="32"/>
        </w:rPr>
      </w:pPr>
      <w:r>
        <w:rPr>
          <w:rFonts w:eastAsia="仿宋_GB2312"/>
          <w:sz w:val="32"/>
          <w:szCs w:val="32"/>
        </w:rPr>
        <w:t xml:space="preserve">      3.</w:t>
      </w:r>
      <w:r>
        <w:rPr>
          <w:rFonts w:eastAsia="仿宋_GB2312"/>
        </w:rPr>
        <w:t xml:space="preserve"> </w:t>
      </w:r>
      <w:r>
        <w:rPr>
          <w:rFonts w:eastAsia="仿宋_GB2312"/>
          <w:sz w:val="32"/>
          <w:szCs w:val="32"/>
        </w:rPr>
        <w:t>201</w:t>
      </w:r>
      <w:r>
        <w:rPr>
          <w:rFonts w:hint="eastAsia" w:eastAsia="仿宋_GB2312"/>
          <w:sz w:val="32"/>
          <w:szCs w:val="32"/>
        </w:rPr>
        <w:t>9年盐边县一般公共预算收支决算平衡表</w:t>
      </w:r>
    </w:p>
    <w:p>
      <w:pPr>
        <w:spacing w:line="560" w:lineRule="exact"/>
        <w:ind w:firstLine="640"/>
        <w:rPr>
          <w:rFonts w:eastAsia="仿宋_GB2312"/>
          <w:sz w:val="32"/>
          <w:szCs w:val="32"/>
        </w:rPr>
      </w:pPr>
      <w:r>
        <w:rPr>
          <w:rFonts w:eastAsia="仿宋_GB2312"/>
          <w:sz w:val="32"/>
          <w:szCs w:val="32"/>
        </w:rPr>
        <w:t xml:space="preserve">      4.</w:t>
      </w:r>
      <w:r>
        <w:rPr>
          <w:rFonts w:eastAsia="仿宋_GB2312"/>
        </w:rPr>
        <w:t xml:space="preserve"> </w:t>
      </w:r>
      <w:r>
        <w:rPr>
          <w:rFonts w:eastAsia="仿宋_GB2312"/>
          <w:sz w:val="32"/>
          <w:szCs w:val="32"/>
        </w:rPr>
        <w:t>201</w:t>
      </w:r>
      <w:r>
        <w:rPr>
          <w:rFonts w:hint="eastAsia" w:eastAsia="仿宋_GB2312"/>
          <w:sz w:val="32"/>
          <w:szCs w:val="32"/>
        </w:rPr>
        <w:t>9年盐边县政府性基金收入决算表</w:t>
      </w:r>
    </w:p>
    <w:p>
      <w:pPr>
        <w:spacing w:line="560" w:lineRule="exact"/>
        <w:ind w:firstLine="640"/>
        <w:rPr>
          <w:rFonts w:eastAsia="仿宋_GB2312"/>
          <w:sz w:val="32"/>
          <w:szCs w:val="32"/>
        </w:rPr>
      </w:pPr>
      <w:r>
        <w:rPr>
          <w:rFonts w:eastAsia="仿宋_GB2312"/>
          <w:sz w:val="32"/>
          <w:szCs w:val="32"/>
        </w:rPr>
        <w:t xml:space="preserve">      5.</w:t>
      </w:r>
      <w:r>
        <w:rPr>
          <w:rFonts w:eastAsia="仿宋_GB2312"/>
        </w:rPr>
        <w:t xml:space="preserve"> </w:t>
      </w:r>
      <w:r>
        <w:rPr>
          <w:rFonts w:eastAsia="仿宋_GB2312"/>
          <w:sz w:val="32"/>
          <w:szCs w:val="32"/>
        </w:rPr>
        <w:t>201</w:t>
      </w:r>
      <w:r>
        <w:rPr>
          <w:rFonts w:hint="eastAsia" w:eastAsia="仿宋_GB2312"/>
          <w:sz w:val="32"/>
          <w:szCs w:val="32"/>
        </w:rPr>
        <w:t>9年盐边县政府性基金支出决算表</w:t>
      </w:r>
    </w:p>
    <w:p>
      <w:pPr>
        <w:spacing w:line="560" w:lineRule="exact"/>
        <w:ind w:firstLine="640"/>
        <w:rPr>
          <w:rFonts w:eastAsia="仿宋_GB2312"/>
          <w:sz w:val="32"/>
          <w:szCs w:val="32"/>
        </w:rPr>
      </w:pPr>
      <w:r>
        <w:rPr>
          <w:rFonts w:eastAsia="仿宋_GB2312"/>
          <w:sz w:val="32"/>
          <w:szCs w:val="32"/>
        </w:rPr>
        <w:t xml:space="preserve">      6.</w:t>
      </w:r>
      <w:r>
        <w:rPr>
          <w:rFonts w:eastAsia="仿宋_GB2312"/>
        </w:rPr>
        <w:t xml:space="preserve"> </w:t>
      </w:r>
      <w:r>
        <w:rPr>
          <w:rFonts w:eastAsia="仿宋_GB2312"/>
          <w:sz w:val="32"/>
          <w:szCs w:val="32"/>
        </w:rPr>
        <w:t>201</w:t>
      </w:r>
      <w:r>
        <w:rPr>
          <w:rFonts w:hint="eastAsia" w:eastAsia="仿宋_GB2312"/>
          <w:sz w:val="32"/>
          <w:szCs w:val="32"/>
        </w:rPr>
        <w:t>9年盐边县政府性基金收支决算平衡表</w:t>
      </w:r>
    </w:p>
    <w:p>
      <w:pPr>
        <w:spacing w:line="560" w:lineRule="exact"/>
        <w:ind w:firstLine="640"/>
        <w:rPr>
          <w:rFonts w:eastAsia="仿宋_GB2312"/>
          <w:sz w:val="32"/>
          <w:szCs w:val="32"/>
        </w:rPr>
      </w:pPr>
      <w:r>
        <w:rPr>
          <w:rFonts w:eastAsia="仿宋_GB2312"/>
          <w:sz w:val="32"/>
          <w:szCs w:val="32"/>
        </w:rPr>
        <w:t xml:space="preserve">      7.</w:t>
      </w:r>
      <w:r>
        <w:rPr>
          <w:rFonts w:eastAsia="仿宋_GB2312"/>
        </w:rPr>
        <w:t xml:space="preserve"> </w:t>
      </w:r>
      <w:r>
        <w:rPr>
          <w:rFonts w:eastAsia="仿宋_GB2312"/>
          <w:sz w:val="32"/>
          <w:szCs w:val="32"/>
        </w:rPr>
        <w:t>201</w:t>
      </w:r>
      <w:r>
        <w:rPr>
          <w:rFonts w:hint="eastAsia" w:eastAsia="仿宋_GB2312"/>
          <w:sz w:val="32"/>
          <w:szCs w:val="32"/>
        </w:rPr>
        <w:t>9年盐边县国有资本经营预算收入决算表</w:t>
      </w:r>
    </w:p>
    <w:p>
      <w:pPr>
        <w:spacing w:line="560" w:lineRule="exact"/>
        <w:ind w:firstLine="640"/>
        <w:rPr>
          <w:rFonts w:eastAsia="仿宋_GB2312"/>
          <w:sz w:val="32"/>
          <w:szCs w:val="32"/>
        </w:rPr>
      </w:pPr>
      <w:r>
        <w:rPr>
          <w:rFonts w:eastAsia="仿宋_GB2312"/>
          <w:sz w:val="32"/>
          <w:szCs w:val="32"/>
        </w:rPr>
        <w:t xml:space="preserve">      8.</w:t>
      </w:r>
      <w:r>
        <w:rPr>
          <w:rFonts w:eastAsia="仿宋_GB2312"/>
        </w:rPr>
        <w:t xml:space="preserve"> </w:t>
      </w:r>
      <w:r>
        <w:rPr>
          <w:rFonts w:eastAsia="仿宋_GB2312"/>
          <w:sz w:val="32"/>
          <w:szCs w:val="32"/>
        </w:rPr>
        <w:t>201</w:t>
      </w:r>
      <w:r>
        <w:rPr>
          <w:rFonts w:hint="eastAsia" w:eastAsia="仿宋_GB2312"/>
          <w:sz w:val="32"/>
          <w:szCs w:val="32"/>
        </w:rPr>
        <w:t>9年盐边县国有资本经营预算支出决算表</w:t>
      </w:r>
    </w:p>
    <w:p>
      <w:pPr>
        <w:spacing w:line="560" w:lineRule="exact"/>
        <w:ind w:firstLine="640"/>
        <w:rPr>
          <w:rFonts w:eastAsia="仿宋_GB2312"/>
          <w:sz w:val="32"/>
          <w:szCs w:val="32"/>
        </w:rPr>
      </w:pPr>
      <w:r>
        <w:rPr>
          <w:rFonts w:eastAsia="仿宋_GB2312"/>
          <w:sz w:val="32"/>
          <w:szCs w:val="32"/>
        </w:rPr>
        <w:t xml:space="preserve">      9.</w:t>
      </w:r>
      <w:r>
        <w:rPr>
          <w:rFonts w:eastAsia="仿宋_GB2312"/>
        </w:rPr>
        <w:t xml:space="preserve"> </w:t>
      </w:r>
      <w:r>
        <w:rPr>
          <w:rFonts w:eastAsia="仿宋_GB2312"/>
          <w:sz w:val="32"/>
          <w:szCs w:val="32"/>
        </w:rPr>
        <w:t>201</w:t>
      </w:r>
      <w:r>
        <w:rPr>
          <w:rFonts w:hint="eastAsia" w:eastAsia="仿宋_GB2312"/>
          <w:sz w:val="32"/>
          <w:szCs w:val="32"/>
        </w:rPr>
        <w:t>9年盐边县地方政府专项债务余额情况表</w:t>
      </w:r>
    </w:p>
    <w:p>
      <w:pPr>
        <w:spacing w:line="560" w:lineRule="exact"/>
        <w:ind w:firstLine="640"/>
        <w:rPr>
          <w:rFonts w:eastAsia="仿宋_GB2312"/>
          <w:sz w:val="32"/>
          <w:szCs w:val="32"/>
        </w:rPr>
      </w:pPr>
      <w:r>
        <w:rPr>
          <w:rFonts w:eastAsia="仿宋_GB2312"/>
          <w:sz w:val="32"/>
          <w:szCs w:val="32"/>
        </w:rPr>
        <w:t xml:space="preserve">      10.</w:t>
      </w:r>
      <w:r>
        <w:rPr>
          <w:rFonts w:eastAsia="仿宋_GB2312"/>
        </w:rPr>
        <w:t xml:space="preserve"> </w:t>
      </w:r>
      <w:r>
        <w:rPr>
          <w:rFonts w:eastAsia="仿宋_GB2312"/>
          <w:sz w:val="32"/>
          <w:szCs w:val="32"/>
        </w:rPr>
        <w:t>201</w:t>
      </w:r>
      <w:r>
        <w:rPr>
          <w:rFonts w:hint="eastAsia" w:eastAsia="仿宋_GB2312"/>
          <w:sz w:val="32"/>
          <w:szCs w:val="32"/>
        </w:rPr>
        <w:t>9年盐边县地方政府性债务余额情况表</w:t>
      </w: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hint="eastAsia" w:eastAsia="仿宋_GB2312"/>
          <w:sz w:val="32"/>
          <w:szCs w:val="32"/>
        </w:rPr>
      </w:pPr>
      <w:r>
        <w:rPr>
          <w:rFonts w:hint="eastAsia" w:eastAsia="仿宋_GB2312"/>
          <w:sz w:val="32"/>
          <w:szCs w:val="32"/>
        </w:rPr>
        <w:t xml:space="preserve">                           盐边县人民政府</w:t>
      </w:r>
    </w:p>
    <w:p>
      <w:pPr>
        <w:spacing w:line="560" w:lineRule="exact"/>
        <w:rPr>
          <w:rFonts w:eastAsia="仿宋_GB2312"/>
          <w:sz w:val="32"/>
          <w:szCs w:val="32"/>
        </w:rPr>
      </w:pPr>
      <w:r>
        <w:rPr>
          <w:rFonts w:hint="eastAsia" w:eastAsia="仿宋_GB2312"/>
          <w:sz w:val="32"/>
          <w:szCs w:val="32"/>
        </w:rPr>
        <w:t xml:space="preserve">                           2020年9月24日</w:t>
      </w: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ascii="黑体" w:eastAsia="黑体"/>
          <w:sz w:val="32"/>
          <w:szCs w:val="32"/>
        </w:rPr>
      </w:pPr>
      <w:r>
        <w:rPr>
          <w:rFonts w:hint="eastAsia" w:ascii="黑体" w:eastAsia="黑体"/>
          <w:sz w:val="32"/>
          <w:szCs w:val="32"/>
        </w:rPr>
        <w:t>附件</w:t>
      </w:r>
      <w:r>
        <w:rPr>
          <w:rFonts w:ascii="黑体" w:eastAsia="黑体"/>
          <w:sz w:val="32"/>
          <w:szCs w:val="32"/>
        </w:rPr>
        <w:t>1</w:t>
      </w:r>
    </w:p>
    <w:p>
      <w:pPr>
        <w:spacing w:line="560" w:lineRule="exact"/>
        <w:ind w:firstLine="640"/>
        <w:rPr>
          <w:rFonts w:eastAsia="仿宋_GB2312"/>
          <w:sz w:val="32"/>
          <w:szCs w:val="32"/>
        </w:rPr>
      </w:pPr>
    </w:p>
    <w:tbl>
      <w:tblPr>
        <w:tblStyle w:val="7"/>
        <w:tblW w:w="8280" w:type="dxa"/>
        <w:tblInd w:w="93" w:type="dxa"/>
        <w:tblLayout w:type="fixed"/>
        <w:tblCellMar>
          <w:top w:w="0" w:type="dxa"/>
          <w:left w:w="108" w:type="dxa"/>
          <w:bottom w:w="0" w:type="dxa"/>
          <w:right w:w="108" w:type="dxa"/>
        </w:tblCellMar>
      </w:tblPr>
      <w:tblGrid>
        <w:gridCol w:w="3364"/>
        <w:gridCol w:w="968"/>
        <w:gridCol w:w="1016"/>
        <w:gridCol w:w="1016"/>
        <w:gridCol w:w="958"/>
        <w:gridCol w:w="958"/>
      </w:tblGrid>
      <w:tr>
        <w:tblPrEx>
          <w:tblLayout w:type="fixed"/>
          <w:tblCellMar>
            <w:top w:w="0" w:type="dxa"/>
            <w:left w:w="108" w:type="dxa"/>
            <w:bottom w:w="0" w:type="dxa"/>
            <w:right w:w="108" w:type="dxa"/>
          </w:tblCellMar>
        </w:tblPrEx>
        <w:trPr>
          <w:trHeight w:val="450" w:hRule="atLeast"/>
        </w:trPr>
        <w:tc>
          <w:tcPr>
            <w:tcW w:w="8280" w:type="dxa"/>
            <w:gridSpan w:val="6"/>
            <w:tcBorders>
              <w:top w:val="nil"/>
              <w:left w:val="nil"/>
              <w:bottom w:val="nil"/>
              <w:right w:val="nil"/>
            </w:tcBorders>
            <w:vAlign w:val="center"/>
          </w:tcPr>
          <w:p>
            <w:pPr>
              <w:widowControl/>
              <w:jc w:val="center"/>
              <w:rPr>
                <w:rFonts w:ascii="方正小标宋_GBK" w:eastAsia="方正小标宋_GBK" w:cs="宋体"/>
                <w:b/>
                <w:bCs/>
                <w:kern w:val="0"/>
                <w:sz w:val="36"/>
                <w:szCs w:val="36"/>
              </w:rPr>
            </w:pPr>
            <w:r>
              <w:rPr>
                <w:rFonts w:ascii="方正小标宋_GBK" w:hAnsi="宋体" w:eastAsia="方正小标宋_GBK" w:cs="宋体"/>
                <w:b/>
                <w:bCs/>
                <w:kern w:val="0"/>
                <w:sz w:val="36"/>
                <w:szCs w:val="36"/>
              </w:rPr>
              <w:t>201</w:t>
            </w:r>
            <w:r>
              <w:rPr>
                <w:rFonts w:hint="eastAsia" w:ascii="方正小标宋_GBK" w:hAnsi="宋体" w:eastAsia="方正小标宋_GBK" w:cs="宋体"/>
                <w:b/>
                <w:bCs/>
                <w:kern w:val="0"/>
                <w:sz w:val="36"/>
                <w:szCs w:val="36"/>
              </w:rPr>
              <w:t>9年盐边县一般公共预算收入决算表</w:t>
            </w:r>
          </w:p>
        </w:tc>
      </w:tr>
      <w:tr>
        <w:tblPrEx>
          <w:tblLayout w:type="fixed"/>
          <w:tblCellMar>
            <w:top w:w="0" w:type="dxa"/>
            <w:left w:w="108" w:type="dxa"/>
            <w:bottom w:w="0" w:type="dxa"/>
            <w:right w:w="108" w:type="dxa"/>
          </w:tblCellMar>
        </w:tblPrEx>
        <w:trPr>
          <w:trHeight w:val="342" w:hRule="atLeast"/>
        </w:trPr>
        <w:tc>
          <w:tcPr>
            <w:tcW w:w="8280" w:type="dxa"/>
            <w:gridSpan w:val="6"/>
            <w:tcBorders>
              <w:top w:val="nil"/>
              <w:left w:val="nil"/>
              <w:bottom w:val="nil"/>
              <w:right w:val="nil"/>
            </w:tcBorders>
            <w:vAlign w:val="center"/>
          </w:tcPr>
          <w:p>
            <w:pPr>
              <w:widowControl/>
              <w:jc w:val="right"/>
              <w:rPr>
                <w:rFonts w:ascii="宋体" w:cs="宋体"/>
                <w:kern w:val="0"/>
                <w:sz w:val="20"/>
                <w:szCs w:val="20"/>
              </w:rPr>
            </w:pPr>
            <w:r>
              <w:rPr>
                <w:rFonts w:hint="eastAsia" w:ascii="宋体" w:hAnsi="宋体" w:cs="宋体"/>
                <w:kern w:val="0"/>
                <w:sz w:val="20"/>
                <w:szCs w:val="20"/>
              </w:rPr>
              <w:t>单位：万元</w:t>
            </w:r>
          </w:p>
        </w:tc>
      </w:tr>
      <w:tr>
        <w:tblPrEx>
          <w:tblLayout w:type="fixed"/>
          <w:tblCellMar>
            <w:top w:w="0" w:type="dxa"/>
            <w:left w:w="108" w:type="dxa"/>
            <w:bottom w:w="0" w:type="dxa"/>
            <w:right w:w="108" w:type="dxa"/>
          </w:tblCellMar>
        </w:tblPrEx>
        <w:trPr>
          <w:trHeight w:val="312" w:hRule="atLeast"/>
        </w:trPr>
        <w:tc>
          <w:tcPr>
            <w:tcW w:w="33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预算科目</w:t>
            </w:r>
          </w:p>
        </w:tc>
        <w:tc>
          <w:tcPr>
            <w:tcW w:w="96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年初预算数</w:t>
            </w:r>
          </w:p>
        </w:tc>
        <w:tc>
          <w:tcPr>
            <w:tcW w:w="1016"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调整预算数</w:t>
            </w:r>
          </w:p>
        </w:tc>
        <w:tc>
          <w:tcPr>
            <w:tcW w:w="1016"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决算数</w:t>
            </w:r>
          </w:p>
        </w:tc>
        <w:tc>
          <w:tcPr>
            <w:tcW w:w="95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为调整预算（</w:t>
            </w:r>
            <w:r>
              <w:rPr>
                <w:rFonts w:ascii="宋体" w:hAnsi="宋体" w:cs="宋体"/>
                <w:b/>
                <w:bCs/>
                <w:kern w:val="0"/>
                <w:sz w:val="20"/>
                <w:szCs w:val="20"/>
              </w:rPr>
              <w:t>%</w:t>
            </w:r>
            <w:r>
              <w:rPr>
                <w:rFonts w:hint="eastAsia" w:ascii="宋体" w:hAnsi="宋体" w:cs="宋体"/>
                <w:b/>
                <w:bCs/>
                <w:kern w:val="0"/>
                <w:sz w:val="20"/>
                <w:szCs w:val="20"/>
              </w:rPr>
              <w:t>）</w:t>
            </w:r>
          </w:p>
        </w:tc>
        <w:tc>
          <w:tcPr>
            <w:tcW w:w="95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为上年决算（</w:t>
            </w:r>
            <w:r>
              <w:rPr>
                <w:rFonts w:ascii="宋体" w:hAnsi="宋体" w:cs="宋体"/>
                <w:b/>
                <w:bCs/>
                <w:kern w:val="0"/>
                <w:sz w:val="20"/>
                <w:szCs w:val="20"/>
              </w:rPr>
              <w:t>%</w:t>
            </w:r>
            <w:r>
              <w:rPr>
                <w:rFonts w:hint="eastAsia" w:ascii="宋体" w:hAnsi="宋体" w:cs="宋体"/>
                <w:b/>
                <w:bCs/>
                <w:kern w:val="0"/>
                <w:sz w:val="20"/>
                <w:szCs w:val="20"/>
              </w:rPr>
              <w:t>）</w:t>
            </w:r>
          </w:p>
        </w:tc>
      </w:tr>
      <w:tr>
        <w:tblPrEx>
          <w:tblLayout w:type="fixed"/>
          <w:tblCellMar>
            <w:top w:w="0" w:type="dxa"/>
            <w:left w:w="108" w:type="dxa"/>
            <w:bottom w:w="0" w:type="dxa"/>
            <w:right w:w="108" w:type="dxa"/>
          </w:tblCellMar>
        </w:tblPrEx>
        <w:trPr>
          <w:trHeight w:val="312" w:hRule="atLeast"/>
        </w:trPr>
        <w:tc>
          <w:tcPr>
            <w:tcW w:w="33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p>
        </w:tc>
        <w:tc>
          <w:tcPr>
            <w:tcW w:w="96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0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0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9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9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r>
      <w:tr>
        <w:tblPrEx>
          <w:tblLayout w:type="fixed"/>
          <w:tblCellMar>
            <w:top w:w="0" w:type="dxa"/>
            <w:left w:w="108" w:type="dxa"/>
            <w:bottom w:w="0" w:type="dxa"/>
            <w:right w:w="108" w:type="dxa"/>
          </w:tblCellMar>
        </w:tblPrEx>
        <w:trPr>
          <w:trHeight w:val="312" w:hRule="atLeast"/>
        </w:trPr>
        <w:tc>
          <w:tcPr>
            <w:tcW w:w="33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p>
        </w:tc>
        <w:tc>
          <w:tcPr>
            <w:tcW w:w="96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0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0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9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9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b/>
                <w:bCs/>
                <w:kern w:val="0"/>
                <w:sz w:val="20"/>
                <w:szCs w:val="20"/>
              </w:rPr>
            </w:pPr>
            <w:r>
              <w:rPr>
                <w:rFonts w:hint="eastAsia" w:ascii="宋体" w:hAnsi="宋体" w:cs="宋体"/>
                <w:b/>
                <w:kern w:val="0"/>
                <w:sz w:val="20"/>
                <w:szCs w:val="20"/>
              </w:rPr>
              <w:t>税收收入</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54,000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53,135</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53,135</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103.87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增值税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26,500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27,817</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27,817</w:t>
            </w:r>
          </w:p>
        </w:tc>
        <w:tc>
          <w:tcPr>
            <w:tcW w:w="958" w:type="dxa"/>
            <w:tcBorders>
              <w:top w:val="nil"/>
              <w:left w:val="single" w:color="auto" w:sz="4" w:space="0"/>
              <w:bottom w:val="single" w:color="000000"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single" w:color="auto" w:sz="4" w:space="0"/>
              <w:bottom w:val="single" w:color="000000"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110.50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消费税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958" w:type="dxa"/>
            <w:tcBorders>
              <w:top w:val="nil"/>
              <w:left w:val="single" w:color="auto" w:sz="4" w:space="0"/>
              <w:bottom w:val="single" w:color="000000" w:sz="4" w:space="0"/>
              <w:right w:val="single" w:color="auto" w:sz="4" w:space="0"/>
            </w:tcBorders>
            <w:vAlign w:val="center"/>
          </w:tcPr>
          <w:p>
            <w:pPr>
              <w:jc w:val="right"/>
              <w:rPr>
                <w:rFonts w:ascii="宋体" w:cs="宋体"/>
                <w:kern w:val="0"/>
                <w:sz w:val="20"/>
                <w:szCs w:val="20"/>
              </w:rPr>
            </w:pPr>
          </w:p>
        </w:tc>
        <w:tc>
          <w:tcPr>
            <w:tcW w:w="958" w:type="dxa"/>
            <w:tcBorders>
              <w:top w:val="nil"/>
              <w:left w:val="single" w:color="auto" w:sz="4" w:space="0"/>
              <w:bottom w:val="single" w:color="000000" w:sz="4" w:space="0"/>
              <w:right w:val="single" w:color="auto" w:sz="4" w:space="0"/>
            </w:tcBorders>
            <w:vAlign w:val="center"/>
          </w:tcPr>
          <w:p>
            <w:pPr>
              <w:jc w:val="right"/>
              <w:rPr>
                <w:rFonts w:ascii="宋体" w:cs="宋体"/>
                <w:kern w:val="0"/>
                <w:sz w:val="20"/>
                <w:szCs w:val="20"/>
              </w:rPr>
            </w:pP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企业所得税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8,600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8,660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8,660</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114.60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企业所得税退税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95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95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个人所得税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2,500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860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860</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25.83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资源税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7,000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4,547</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4,547</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84.60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城市维护建设税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1,600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1,742</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1,742</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104.69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房产税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1,100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973</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973</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80.95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印花税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500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604</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604</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118.66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城镇土地使用税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1,300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1,319</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1,319</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85.76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土地增值税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310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310</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134.20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车船税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700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493</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493</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73.04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船舶吨税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95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95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车辆购置税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95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95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关税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95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95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耕地占用税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1,600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2,273</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2,273</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860.98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契税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500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1,495</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1,495</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286.95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0"/>
                <w:szCs w:val="20"/>
              </w:rPr>
            </w:pPr>
            <w:r>
              <w:rPr>
                <w:rFonts w:hint="eastAsia" w:ascii="宋体" w:hAnsi="宋体" w:cs="宋体"/>
                <w:kern w:val="0"/>
                <w:sz w:val="20"/>
                <w:szCs w:val="20"/>
              </w:rPr>
              <w:t xml:space="preserve">  烟叶税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0"/>
                <w:szCs w:val="20"/>
              </w:rPr>
            </w:pPr>
            <w:r>
              <w:rPr>
                <w:rFonts w:hint="eastAsia" w:ascii="宋体" w:hAnsi="宋体" w:cs="宋体"/>
                <w:kern w:val="0"/>
                <w:sz w:val="20"/>
                <w:szCs w:val="20"/>
              </w:rPr>
              <w:t>1,600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0"/>
                <w:szCs w:val="20"/>
              </w:rPr>
            </w:pPr>
            <w:r>
              <w:rPr>
                <w:rFonts w:hint="eastAsia" w:ascii="宋体" w:hAnsi="宋体" w:cs="宋体"/>
                <w:kern w:val="0"/>
                <w:sz w:val="20"/>
                <w:szCs w:val="20"/>
              </w:rPr>
              <w:t>1,597</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0"/>
                <w:szCs w:val="20"/>
              </w:rPr>
            </w:pPr>
            <w:r>
              <w:rPr>
                <w:rFonts w:hint="eastAsia" w:ascii="宋体" w:hAnsi="宋体" w:cs="宋体"/>
                <w:kern w:val="0"/>
                <w:sz w:val="20"/>
                <w:szCs w:val="20"/>
              </w:rPr>
              <w:t>1,597</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0"/>
                <w:szCs w:val="20"/>
              </w:rPr>
            </w:pPr>
            <w:r>
              <w:rPr>
                <w:rFonts w:hint="eastAsia" w:ascii="宋体" w:hAnsi="宋体" w:cs="宋体"/>
                <w:kern w:val="0"/>
                <w:sz w:val="20"/>
                <w:szCs w:val="20"/>
              </w:rPr>
              <w:t xml:space="preserve">57.40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0"/>
                <w:szCs w:val="20"/>
              </w:rPr>
            </w:pPr>
            <w:r>
              <w:rPr>
                <w:rFonts w:hint="eastAsia" w:ascii="宋体" w:hAnsi="宋体" w:cs="宋体"/>
                <w:kern w:val="0"/>
                <w:sz w:val="20"/>
                <w:szCs w:val="20"/>
              </w:rPr>
              <w:t xml:space="preserve">  环境保护税</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0"/>
                <w:szCs w:val="20"/>
              </w:rPr>
            </w:pPr>
            <w:r>
              <w:rPr>
                <w:rFonts w:hint="eastAsia" w:ascii="宋体" w:hAnsi="宋体" w:cs="宋体"/>
                <w:kern w:val="0"/>
                <w:sz w:val="20"/>
                <w:szCs w:val="20"/>
              </w:rPr>
              <w:t>300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0"/>
                <w:szCs w:val="20"/>
              </w:rPr>
            </w:pPr>
            <w:r>
              <w:rPr>
                <w:rFonts w:hint="eastAsia" w:ascii="宋体" w:hAnsi="宋体" w:cs="宋体"/>
                <w:kern w:val="0"/>
                <w:sz w:val="20"/>
                <w:szCs w:val="20"/>
              </w:rPr>
              <w:t>435</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0"/>
                <w:szCs w:val="20"/>
              </w:rPr>
            </w:pPr>
            <w:r>
              <w:rPr>
                <w:rFonts w:hint="eastAsia" w:ascii="宋体" w:hAnsi="宋体" w:cs="宋体"/>
                <w:kern w:val="0"/>
                <w:sz w:val="20"/>
                <w:szCs w:val="20"/>
              </w:rPr>
              <w:t>435</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0"/>
                <w:szCs w:val="20"/>
              </w:rPr>
            </w:pPr>
            <w:r>
              <w:rPr>
                <w:rFonts w:hint="eastAsia" w:ascii="宋体" w:hAnsi="宋体" w:cs="宋体"/>
                <w:kern w:val="0"/>
                <w:sz w:val="20"/>
                <w:szCs w:val="20"/>
              </w:rPr>
              <w:t xml:space="preserve">134.67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0"/>
                <w:szCs w:val="20"/>
              </w:rPr>
            </w:pPr>
            <w:r>
              <w:rPr>
                <w:rFonts w:hint="eastAsia" w:ascii="宋体" w:hAnsi="宋体" w:cs="宋体"/>
                <w:kern w:val="0"/>
                <w:sz w:val="20"/>
                <w:szCs w:val="20"/>
              </w:rPr>
              <w:t xml:space="preserve">  其他税收收入</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0"/>
                <w:szCs w:val="20"/>
              </w:rPr>
            </w:pPr>
            <w:r>
              <w:rPr>
                <w:rFonts w:hint="eastAsia" w:ascii="宋体" w:hAnsi="宋体" w:cs="宋体"/>
                <w:kern w:val="0"/>
                <w:sz w:val="20"/>
                <w:szCs w:val="20"/>
              </w:rPr>
              <w:t>10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0"/>
                <w:szCs w:val="20"/>
              </w:rPr>
            </w:pPr>
            <w:r>
              <w:rPr>
                <w:rFonts w:hint="eastAsia" w:ascii="宋体" w:hAnsi="宋体" w:cs="宋体"/>
                <w:kern w:val="0"/>
                <w:sz w:val="20"/>
                <w:szCs w:val="20"/>
              </w:rPr>
              <w:t>10</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b/>
                <w:bCs/>
                <w:kern w:val="0"/>
                <w:sz w:val="20"/>
                <w:szCs w:val="20"/>
              </w:rPr>
            </w:pPr>
            <w:r>
              <w:rPr>
                <w:rFonts w:hint="eastAsia" w:ascii="宋体" w:hAnsi="宋体" w:cs="宋体"/>
                <w:b/>
                <w:kern w:val="0"/>
                <w:sz w:val="20"/>
                <w:szCs w:val="20"/>
              </w:rPr>
              <w:t>非税收入小计</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9,564</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16,910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16,910</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190.73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专项收入</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2,700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3,077</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3,077</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111.45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行政事业性收费收入</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900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1211</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1211</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130.08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罚没收入</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3300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6258</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6258</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700.00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国有资本经营预算收入</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95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95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国有资源</w:t>
            </w:r>
            <w:r>
              <w:rPr>
                <w:rStyle w:val="14"/>
                <w:rFonts w:hint="default"/>
                <w:color w:val="auto"/>
              </w:rPr>
              <w:t>(资产)有偿使用收入</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800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3029</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3029</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387.84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捐赠收入</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95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95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政府住房基金收入</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100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160</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160</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136.75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 xml:space="preserve">  其他收入</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1764</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3,175</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3,175</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94.33 </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cs="宋体"/>
                <w:b/>
                <w:bCs/>
                <w:kern w:val="0"/>
                <w:sz w:val="20"/>
                <w:szCs w:val="20"/>
              </w:rPr>
            </w:pPr>
            <w:r>
              <w:rPr>
                <w:rFonts w:hint="eastAsia" w:ascii="宋体" w:hAnsi="宋体" w:cs="宋体"/>
                <w:b/>
                <w:kern w:val="0"/>
                <w:sz w:val="20"/>
                <w:szCs w:val="20"/>
              </w:rPr>
              <w:t>一般公共预算收入合计</w:t>
            </w:r>
          </w:p>
        </w:tc>
        <w:tc>
          <w:tcPr>
            <w:tcW w:w="96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63,564</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70,045</w:t>
            </w:r>
          </w:p>
        </w:tc>
        <w:tc>
          <w:tcPr>
            <w:tcW w:w="1016"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70,045</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9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116.70 </w:t>
            </w:r>
          </w:p>
        </w:tc>
      </w:tr>
    </w:tbl>
    <w:p>
      <w:pPr>
        <w:spacing w:line="560" w:lineRule="exact"/>
        <w:rPr>
          <w:rFonts w:eastAsia="仿宋_GB2312"/>
          <w:sz w:val="32"/>
          <w:szCs w:val="32"/>
        </w:rPr>
      </w:pPr>
    </w:p>
    <w:p>
      <w:pPr>
        <w:spacing w:line="560" w:lineRule="exact"/>
        <w:ind w:firstLine="640"/>
        <w:rPr>
          <w:rFonts w:eastAsia="仿宋_GB2312"/>
          <w:sz w:val="32"/>
          <w:szCs w:val="32"/>
        </w:rPr>
      </w:pPr>
    </w:p>
    <w:p>
      <w:pPr>
        <w:spacing w:line="560" w:lineRule="exact"/>
        <w:rPr>
          <w:rFonts w:ascii="黑体" w:eastAsia="黑体"/>
          <w:sz w:val="32"/>
          <w:szCs w:val="32"/>
        </w:rPr>
      </w:pPr>
      <w:r>
        <w:rPr>
          <w:rFonts w:hint="eastAsia" w:ascii="黑体" w:eastAsia="黑体"/>
          <w:sz w:val="32"/>
          <w:szCs w:val="32"/>
        </w:rPr>
        <w:t>附件</w:t>
      </w:r>
      <w:r>
        <w:rPr>
          <w:rFonts w:ascii="黑体" w:eastAsia="黑体"/>
          <w:sz w:val="32"/>
          <w:szCs w:val="32"/>
        </w:rPr>
        <w:t>2</w:t>
      </w:r>
    </w:p>
    <w:tbl>
      <w:tblPr>
        <w:tblStyle w:val="7"/>
        <w:tblW w:w="8280" w:type="dxa"/>
        <w:tblInd w:w="93" w:type="dxa"/>
        <w:tblLayout w:type="fixed"/>
        <w:tblCellMar>
          <w:top w:w="0" w:type="dxa"/>
          <w:left w:w="108" w:type="dxa"/>
          <w:bottom w:w="0" w:type="dxa"/>
          <w:right w:w="108" w:type="dxa"/>
        </w:tblCellMar>
      </w:tblPr>
      <w:tblGrid>
        <w:gridCol w:w="2855"/>
        <w:gridCol w:w="1043"/>
        <w:gridCol w:w="1159"/>
        <w:gridCol w:w="1159"/>
        <w:gridCol w:w="1032"/>
        <w:gridCol w:w="1032"/>
      </w:tblGrid>
      <w:tr>
        <w:tblPrEx>
          <w:tblLayout w:type="fixed"/>
          <w:tblCellMar>
            <w:top w:w="0" w:type="dxa"/>
            <w:left w:w="108" w:type="dxa"/>
            <w:bottom w:w="0" w:type="dxa"/>
            <w:right w:w="108" w:type="dxa"/>
          </w:tblCellMar>
        </w:tblPrEx>
        <w:trPr>
          <w:trHeight w:val="450" w:hRule="atLeast"/>
        </w:trPr>
        <w:tc>
          <w:tcPr>
            <w:tcW w:w="8280" w:type="dxa"/>
            <w:gridSpan w:val="6"/>
            <w:tcBorders>
              <w:top w:val="nil"/>
              <w:left w:val="nil"/>
              <w:bottom w:val="nil"/>
              <w:right w:val="nil"/>
            </w:tcBorders>
            <w:vAlign w:val="center"/>
          </w:tcPr>
          <w:p>
            <w:pPr>
              <w:widowControl/>
              <w:jc w:val="center"/>
              <w:rPr>
                <w:rFonts w:ascii="方正小标宋_GBK" w:eastAsia="方正小标宋_GBK" w:cs="宋体"/>
                <w:b/>
                <w:bCs/>
                <w:kern w:val="0"/>
                <w:sz w:val="36"/>
                <w:szCs w:val="36"/>
              </w:rPr>
            </w:pPr>
            <w:r>
              <w:rPr>
                <w:rFonts w:ascii="方正小标宋_GBK" w:hAnsi="宋体" w:eastAsia="方正小标宋_GBK" w:cs="宋体"/>
                <w:b/>
                <w:bCs/>
                <w:kern w:val="0"/>
                <w:sz w:val="36"/>
                <w:szCs w:val="36"/>
              </w:rPr>
              <w:t>201</w:t>
            </w:r>
            <w:r>
              <w:rPr>
                <w:rFonts w:hint="eastAsia" w:ascii="方正小标宋_GBK" w:hAnsi="宋体" w:eastAsia="方正小标宋_GBK" w:cs="宋体"/>
                <w:b/>
                <w:bCs/>
                <w:kern w:val="0"/>
                <w:sz w:val="36"/>
                <w:szCs w:val="36"/>
              </w:rPr>
              <w:t>9年盐边县一般公共预算支出决算表</w:t>
            </w:r>
          </w:p>
        </w:tc>
      </w:tr>
      <w:tr>
        <w:tblPrEx>
          <w:tblLayout w:type="fixed"/>
          <w:tblCellMar>
            <w:top w:w="0" w:type="dxa"/>
            <w:left w:w="108" w:type="dxa"/>
            <w:bottom w:w="0" w:type="dxa"/>
            <w:right w:w="108" w:type="dxa"/>
          </w:tblCellMar>
        </w:tblPrEx>
        <w:trPr>
          <w:trHeight w:val="270" w:hRule="atLeast"/>
        </w:trPr>
        <w:tc>
          <w:tcPr>
            <w:tcW w:w="8280" w:type="dxa"/>
            <w:gridSpan w:val="6"/>
            <w:tcBorders>
              <w:top w:val="nil"/>
              <w:left w:val="nil"/>
              <w:bottom w:val="nil"/>
              <w:right w:val="nil"/>
            </w:tcBorders>
            <w:vAlign w:val="center"/>
          </w:tcPr>
          <w:p>
            <w:pPr>
              <w:widowControl/>
              <w:jc w:val="right"/>
              <w:rPr>
                <w:rFonts w:ascii="宋体" w:cs="宋体"/>
                <w:kern w:val="0"/>
                <w:sz w:val="20"/>
                <w:szCs w:val="20"/>
              </w:rPr>
            </w:pPr>
            <w:r>
              <w:rPr>
                <w:rFonts w:hint="eastAsia" w:ascii="宋体" w:hAnsi="宋体" w:cs="宋体"/>
                <w:kern w:val="0"/>
                <w:sz w:val="20"/>
                <w:szCs w:val="20"/>
              </w:rPr>
              <w:t>单位：万元</w:t>
            </w:r>
          </w:p>
        </w:tc>
      </w:tr>
      <w:tr>
        <w:tblPrEx>
          <w:tblLayout w:type="fixed"/>
          <w:tblCellMar>
            <w:top w:w="0" w:type="dxa"/>
            <w:left w:w="108" w:type="dxa"/>
            <w:bottom w:w="0" w:type="dxa"/>
            <w:right w:w="108" w:type="dxa"/>
          </w:tblCellMar>
        </w:tblPrEx>
        <w:trPr>
          <w:trHeight w:val="312" w:hRule="atLeast"/>
        </w:trPr>
        <w:tc>
          <w:tcPr>
            <w:tcW w:w="28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
                <w:bCs/>
                <w:kern w:val="0"/>
                <w:sz w:val="20"/>
                <w:szCs w:val="20"/>
              </w:rPr>
            </w:pPr>
            <w:r>
              <w:rPr>
                <w:rFonts w:hint="eastAsia" w:ascii="宋体" w:hAnsi="宋体" w:cs="宋体"/>
                <w:b/>
                <w:kern w:val="0"/>
                <w:sz w:val="20"/>
                <w:szCs w:val="20"/>
              </w:rPr>
              <w:t>预算科目</w:t>
            </w:r>
          </w:p>
        </w:tc>
        <w:tc>
          <w:tcPr>
            <w:tcW w:w="104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cs="宋体"/>
                <w:b/>
                <w:bCs/>
                <w:kern w:val="0"/>
                <w:sz w:val="20"/>
                <w:szCs w:val="20"/>
              </w:rPr>
            </w:pPr>
            <w:r>
              <w:rPr>
                <w:rFonts w:hint="eastAsia" w:ascii="宋体" w:hAnsi="宋体" w:cs="宋体"/>
                <w:b/>
                <w:kern w:val="0"/>
                <w:sz w:val="20"/>
                <w:szCs w:val="20"/>
              </w:rPr>
              <w:t>年初预算数</w:t>
            </w:r>
          </w:p>
        </w:tc>
        <w:tc>
          <w:tcPr>
            <w:tcW w:w="115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cs="宋体"/>
                <w:b/>
                <w:bCs/>
                <w:kern w:val="0"/>
                <w:sz w:val="20"/>
                <w:szCs w:val="20"/>
              </w:rPr>
            </w:pPr>
            <w:r>
              <w:rPr>
                <w:rFonts w:hint="eastAsia" w:ascii="宋体" w:hAnsi="宋体" w:cs="宋体"/>
                <w:b/>
                <w:kern w:val="0"/>
                <w:sz w:val="20"/>
                <w:szCs w:val="20"/>
              </w:rPr>
              <w:t>调整预算数</w:t>
            </w:r>
          </w:p>
        </w:tc>
        <w:tc>
          <w:tcPr>
            <w:tcW w:w="115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cs="宋体"/>
                <w:b/>
                <w:bCs/>
                <w:kern w:val="0"/>
                <w:sz w:val="20"/>
                <w:szCs w:val="20"/>
              </w:rPr>
            </w:pPr>
            <w:r>
              <w:rPr>
                <w:rFonts w:hint="eastAsia" w:ascii="宋体" w:hAnsi="宋体" w:cs="宋体"/>
                <w:b/>
                <w:kern w:val="0"/>
                <w:sz w:val="20"/>
                <w:szCs w:val="20"/>
              </w:rPr>
              <w:t>决算数</w:t>
            </w:r>
          </w:p>
        </w:tc>
        <w:tc>
          <w:tcPr>
            <w:tcW w:w="103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cs="宋体"/>
                <w:b/>
                <w:bCs/>
                <w:kern w:val="0"/>
                <w:sz w:val="20"/>
                <w:szCs w:val="20"/>
              </w:rPr>
            </w:pPr>
            <w:r>
              <w:rPr>
                <w:rFonts w:hint="eastAsia" w:ascii="宋体" w:hAnsi="宋体" w:cs="宋体"/>
                <w:b/>
                <w:kern w:val="0"/>
                <w:sz w:val="20"/>
                <w:szCs w:val="20"/>
              </w:rPr>
              <w:t>为调整预算（%）</w:t>
            </w:r>
          </w:p>
        </w:tc>
        <w:tc>
          <w:tcPr>
            <w:tcW w:w="103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cs="宋体"/>
                <w:b/>
                <w:bCs/>
                <w:kern w:val="0"/>
                <w:sz w:val="20"/>
                <w:szCs w:val="20"/>
              </w:rPr>
            </w:pPr>
            <w:r>
              <w:rPr>
                <w:rFonts w:hint="eastAsia" w:ascii="宋体" w:hAnsi="宋体" w:cs="宋体"/>
                <w:b/>
                <w:kern w:val="0"/>
                <w:sz w:val="20"/>
                <w:szCs w:val="20"/>
              </w:rPr>
              <w:t>为上年决算（%）</w:t>
            </w:r>
          </w:p>
        </w:tc>
      </w:tr>
      <w:tr>
        <w:tblPrEx>
          <w:tblLayout w:type="fixed"/>
          <w:tblCellMar>
            <w:top w:w="0" w:type="dxa"/>
            <w:left w:w="108" w:type="dxa"/>
            <w:bottom w:w="0" w:type="dxa"/>
            <w:right w:w="108" w:type="dxa"/>
          </w:tblCellMar>
        </w:tblPrEx>
        <w:trPr>
          <w:trHeight w:val="312" w:hRule="atLeast"/>
        </w:trPr>
        <w:tc>
          <w:tcPr>
            <w:tcW w:w="28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p>
        </w:tc>
        <w:tc>
          <w:tcPr>
            <w:tcW w:w="104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1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1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03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03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r>
      <w:tr>
        <w:tblPrEx>
          <w:tblLayout w:type="fixed"/>
          <w:tblCellMar>
            <w:top w:w="0" w:type="dxa"/>
            <w:left w:w="108" w:type="dxa"/>
            <w:bottom w:w="0" w:type="dxa"/>
            <w:right w:w="108" w:type="dxa"/>
          </w:tblCellMar>
        </w:tblPrEx>
        <w:trPr>
          <w:trHeight w:val="312" w:hRule="atLeast"/>
        </w:trPr>
        <w:tc>
          <w:tcPr>
            <w:tcW w:w="28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p>
        </w:tc>
        <w:tc>
          <w:tcPr>
            <w:tcW w:w="104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1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1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03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03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一般公共服务支出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11,598</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22,480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22,480</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183.06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外交支出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032"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1032" w:type="dxa"/>
            <w:tcBorders>
              <w:top w:val="nil"/>
              <w:left w:val="nil"/>
              <w:bottom w:val="single" w:color="auto" w:sz="4" w:space="0"/>
              <w:right w:val="single" w:color="auto" w:sz="4" w:space="0"/>
            </w:tcBorders>
            <w:vAlign w:val="center"/>
          </w:tcPr>
          <w:p>
            <w:pPr>
              <w:rPr>
                <w:rFonts w:ascii="宋体" w:cs="宋体"/>
                <w:kern w:val="0"/>
                <w:sz w:val="20"/>
                <w:szCs w:val="20"/>
              </w:rPr>
            </w:pP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国防支出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r>
              <w:rPr>
                <w:rFonts w:hint="eastAsia" w:ascii="宋体" w:hAnsi="宋体" w:cs="宋体"/>
                <w:kern w:val="0"/>
                <w:sz w:val="22"/>
                <w:szCs w:val="22"/>
              </w:rPr>
              <w:t xml:space="preserve">100.00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公共安全支出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6,804</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10,357</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10,357</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143.55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教育支出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25,671</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32,961</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32,961</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106.71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科学技术支出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141</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1310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1310</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433.77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文化旅游体育与传媒支出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826</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2,281</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2,281</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188.67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社会保障和就业支出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9,492</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16,389</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16,180</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98.72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112.37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cs="宋体"/>
                <w:kern w:val="0"/>
                <w:sz w:val="20"/>
                <w:szCs w:val="20"/>
              </w:rPr>
              <w:t>卫生健康支出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5,320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11,138</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11,138</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124.66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节能环保支出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1045</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6,036</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6,036</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90.43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城乡社区支出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732</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10,148</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10,148</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218.61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农林水支出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7,675</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39,093</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38,977</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99.70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99.84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交通运输支出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615</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4,686</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4,686</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107.55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资源勘探信息等支出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291</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291</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61.78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商业服务业等支出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83</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818</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818</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190.68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金融支出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156</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42</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26.92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6.93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援助其他地区支出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032"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1032" w:type="dxa"/>
            <w:tcBorders>
              <w:top w:val="nil"/>
              <w:left w:val="nil"/>
              <w:bottom w:val="single" w:color="auto" w:sz="4" w:space="0"/>
              <w:right w:val="single" w:color="auto" w:sz="4" w:space="0"/>
            </w:tcBorders>
            <w:vAlign w:val="center"/>
          </w:tcPr>
          <w:p>
            <w:pPr>
              <w:rPr>
                <w:rFonts w:ascii="宋体" w:cs="宋体"/>
                <w:kern w:val="0"/>
                <w:sz w:val="20"/>
                <w:szCs w:val="20"/>
              </w:rPr>
            </w:pP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自然资源海洋气象等支出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647</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1,132</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1,132</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85.31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住房保障支出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6,550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8,437</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8,277</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98.10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38.47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粮油物资储备支出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174</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174</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207.14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灾害防治及应急管理支出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301</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2626</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2626</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rPr>
                <w:rFonts w:ascii="宋体" w:cs="宋体"/>
                <w:kern w:val="0"/>
                <w:sz w:val="20"/>
                <w:szCs w:val="20"/>
              </w:rPr>
            </w:pP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其他支出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1020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1020</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204.00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债务付息支出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4,000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3,952</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3,952</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120.27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0"/>
                <w:szCs w:val="20"/>
              </w:rPr>
            </w:pPr>
            <w:r>
              <w:rPr>
                <w:rFonts w:hint="eastAsia" w:ascii="宋体" w:hAnsi="宋体" w:cs="宋体"/>
                <w:kern w:val="0"/>
                <w:sz w:val="20"/>
                <w:szCs w:val="20"/>
              </w:rPr>
              <w:t>债务发行费用支出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24</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24</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100.00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109.09 </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cs="宋体"/>
                <w:b/>
                <w:bCs/>
                <w:kern w:val="0"/>
                <w:sz w:val="20"/>
                <w:szCs w:val="20"/>
              </w:rPr>
            </w:pPr>
            <w:r>
              <w:rPr>
                <w:rFonts w:hint="eastAsia" w:ascii="宋体" w:hAnsi="宋体" w:cs="宋体"/>
                <w:b/>
                <w:kern w:val="0"/>
                <w:sz w:val="20"/>
                <w:szCs w:val="20"/>
              </w:rPr>
              <w:t>一般公共预算支出合计</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81,500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175,510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174,911</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 xml:space="preserve">99.66 </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110.09 </w:t>
            </w:r>
          </w:p>
        </w:tc>
      </w:tr>
    </w:tbl>
    <w:p>
      <w:pPr>
        <w:spacing w:line="560" w:lineRule="exact"/>
        <w:ind w:firstLine="640"/>
        <w:rPr>
          <w:rFonts w:eastAsia="仿宋_GB2312"/>
          <w:sz w:val="32"/>
          <w:szCs w:val="32"/>
        </w:rPr>
      </w:pPr>
    </w:p>
    <w:p>
      <w:pPr>
        <w:spacing w:line="560" w:lineRule="exact"/>
        <w:ind w:firstLine="640"/>
        <w:rPr>
          <w:rFonts w:eastAsia="仿宋_GB2312"/>
          <w:sz w:val="32"/>
          <w:szCs w:val="32"/>
        </w:rPr>
      </w:pPr>
    </w:p>
    <w:p>
      <w:pPr>
        <w:spacing w:line="560" w:lineRule="exact"/>
        <w:ind w:firstLine="640"/>
        <w:rPr>
          <w:rFonts w:eastAsia="仿宋_GB2312"/>
          <w:sz w:val="32"/>
          <w:szCs w:val="32"/>
        </w:rPr>
      </w:pPr>
    </w:p>
    <w:p>
      <w:pPr>
        <w:spacing w:line="560" w:lineRule="exact"/>
        <w:ind w:firstLine="640"/>
        <w:rPr>
          <w:rFonts w:eastAsia="仿宋_GB2312"/>
          <w:sz w:val="32"/>
          <w:szCs w:val="32"/>
        </w:rPr>
      </w:pPr>
    </w:p>
    <w:p>
      <w:pPr>
        <w:spacing w:line="560" w:lineRule="exact"/>
        <w:rPr>
          <w:rFonts w:eastAsia="仿宋_GB2312"/>
          <w:sz w:val="32"/>
          <w:szCs w:val="32"/>
        </w:rPr>
      </w:pPr>
    </w:p>
    <w:p>
      <w:pPr>
        <w:spacing w:line="560" w:lineRule="exact"/>
        <w:rPr>
          <w:rFonts w:ascii="黑体" w:eastAsia="黑体"/>
          <w:sz w:val="32"/>
          <w:szCs w:val="32"/>
        </w:rPr>
      </w:pPr>
      <w:r>
        <w:rPr>
          <w:rFonts w:hint="eastAsia" w:ascii="黑体" w:eastAsia="黑体"/>
          <w:sz w:val="32"/>
          <w:szCs w:val="32"/>
        </w:rPr>
        <w:t>附件</w:t>
      </w:r>
      <w:r>
        <w:rPr>
          <w:rFonts w:ascii="黑体" w:eastAsia="黑体"/>
          <w:sz w:val="32"/>
          <w:szCs w:val="32"/>
        </w:rPr>
        <w:t>3</w:t>
      </w:r>
    </w:p>
    <w:p>
      <w:pPr>
        <w:spacing w:line="560" w:lineRule="exact"/>
        <w:rPr>
          <w:rFonts w:eastAsia="仿宋_GB2312"/>
          <w:b/>
          <w:sz w:val="32"/>
          <w:szCs w:val="32"/>
        </w:rPr>
      </w:pPr>
    </w:p>
    <w:tbl>
      <w:tblPr>
        <w:tblStyle w:val="7"/>
        <w:tblW w:w="8640" w:type="dxa"/>
        <w:tblInd w:w="93" w:type="dxa"/>
        <w:tblLayout w:type="fixed"/>
        <w:tblCellMar>
          <w:top w:w="0" w:type="dxa"/>
          <w:left w:w="108" w:type="dxa"/>
          <w:bottom w:w="0" w:type="dxa"/>
          <w:right w:w="108" w:type="dxa"/>
        </w:tblCellMar>
      </w:tblPr>
      <w:tblGrid>
        <w:gridCol w:w="2973"/>
        <w:gridCol w:w="1158"/>
        <w:gridCol w:w="3034"/>
        <w:gridCol w:w="1475"/>
      </w:tblGrid>
      <w:tr>
        <w:tblPrEx>
          <w:tblLayout w:type="fixed"/>
          <w:tblCellMar>
            <w:top w:w="0" w:type="dxa"/>
            <w:left w:w="108" w:type="dxa"/>
            <w:bottom w:w="0" w:type="dxa"/>
            <w:right w:w="108" w:type="dxa"/>
          </w:tblCellMar>
        </w:tblPrEx>
        <w:trPr>
          <w:trHeight w:val="450" w:hRule="atLeast"/>
        </w:trPr>
        <w:tc>
          <w:tcPr>
            <w:tcW w:w="8640" w:type="dxa"/>
            <w:gridSpan w:val="4"/>
            <w:tcBorders>
              <w:top w:val="nil"/>
              <w:left w:val="nil"/>
              <w:bottom w:val="nil"/>
              <w:right w:val="nil"/>
            </w:tcBorders>
            <w:vAlign w:val="center"/>
          </w:tcPr>
          <w:p>
            <w:pPr>
              <w:widowControl/>
              <w:jc w:val="center"/>
              <w:rPr>
                <w:rFonts w:ascii="方正小标宋_GBK" w:eastAsia="方正小标宋_GBK" w:cs="宋体"/>
                <w:b/>
                <w:bCs/>
                <w:kern w:val="0"/>
                <w:sz w:val="36"/>
                <w:szCs w:val="36"/>
              </w:rPr>
            </w:pPr>
            <w:r>
              <w:rPr>
                <w:rFonts w:ascii="方正小标宋_GBK" w:hAnsi="宋体" w:eastAsia="方正小标宋_GBK" w:cs="宋体"/>
                <w:b/>
                <w:bCs/>
                <w:kern w:val="0"/>
                <w:sz w:val="36"/>
                <w:szCs w:val="36"/>
              </w:rPr>
              <w:t>201</w:t>
            </w:r>
            <w:r>
              <w:rPr>
                <w:rFonts w:hint="eastAsia" w:ascii="方正小标宋_GBK" w:hAnsi="宋体" w:eastAsia="方正小标宋_GBK" w:cs="宋体"/>
                <w:b/>
                <w:bCs/>
                <w:kern w:val="0"/>
                <w:sz w:val="36"/>
                <w:szCs w:val="36"/>
              </w:rPr>
              <w:t>9年盐边县一般公共预算收支决算平衡表</w:t>
            </w:r>
          </w:p>
        </w:tc>
      </w:tr>
      <w:tr>
        <w:tblPrEx>
          <w:tblLayout w:type="fixed"/>
          <w:tblCellMar>
            <w:top w:w="0" w:type="dxa"/>
            <w:left w:w="108" w:type="dxa"/>
            <w:bottom w:w="0" w:type="dxa"/>
            <w:right w:w="108" w:type="dxa"/>
          </w:tblCellMar>
        </w:tblPrEx>
        <w:trPr>
          <w:trHeight w:val="360" w:hRule="atLeast"/>
        </w:trPr>
        <w:tc>
          <w:tcPr>
            <w:tcW w:w="8640" w:type="dxa"/>
            <w:gridSpan w:val="4"/>
            <w:tcBorders>
              <w:top w:val="nil"/>
              <w:left w:val="nil"/>
              <w:bottom w:val="single" w:color="auto" w:sz="4" w:space="0"/>
              <w:right w:val="nil"/>
            </w:tcBorders>
            <w:vAlign w:val="center"/>
          </w:tcPr>
          <w:p>
            <w:pPr>
              <w:widowControl/>
              <w:jc w:val="right"/>
              <w:rPr>
                <w:rFonts w:ascii="宋体" w:cs="宋体"/>
                <w:kern w:val="0"/>
                <w:sz w:val="20"/>
                <w:szCs w:val="20"/>
              </w:rPr>
            </w:pPr>
            <w:r>
              <w:rPr>
                <w:rFonts w:hint="eastAsia" w:ascii="宋体" w:hAnsi="宋体" w:cs="宋体"/>
                <w:kern w:val="0"/>
                <w:sz w:val="20"/>
                <w:szCs w:val="20"/>
              </w:rPr>
              <w:t>单位：万元</w:t>
            </w:r>
          </w:p>
        </w:tc>
      </w:tr>
      <w:tr>
        <w:tblPrEx>
          <w:tblLayout w:type="fixed"/>
          <w:tblCellMar>
            <w:top w:w="0" w:type="dxa"/>
            <w:left w:w="108" w:type="dxa"/>
            <w:bottom w:w="0" w:type="dxa"/>
            <w:right w:w="108" w:type="dxa"/>
          </w:tblCellMar>
        </w:tblPrEx>
        <w:trPr>
          <w:trHeight w:val="312" w:hRule="atLeast"/>
        </w:trPr>
        <w:tc>
          <w:tcPr>
            <w:tcW w:w="29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收入</w:t>
            </w:r>
          </w:p>
        </w:tc>
        <w:tc>
          <w:tcPr>
            <w:tcW w:w="1158"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决算数</w:t>
            </w:r>
          </w:p>
        </w:tc>
        <w:tc>
          <w:tcPr>
            <w:tcW w:w="303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支出</w:t>
            </w:r>
          </w:p>
        </w:tc>
        <w:tc>
          <w:tcPr>
            <w:tcW w:w="147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决算数</w:t>
            </w:r>
          </w:p>
        </w:tc>
      </w:tr>
      <w:tr>
        <w:tblPrEx>
          <w:tblLayout w:type="fixed"/>
          <w:tblCellMar>
            <w:top w:w="0" w:type="dxa"/>
            <w:left w:w="108" w:type="dxa"/>
            <w:bottom w:w="0" w:type="dxa"/>
            <w:right w:w="108" w:type="dxa"/>
          </w:tblCellMar>
        </w:tblPrEx>
        <w:trPr>
          <w:trHeight w:val="312" w:hRule="atLeast"/>
        </w:trPr>
        <w:tc>
          <w:tcPr>
            <w:tcW w:w="29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p>
        </w:tc>
        <w:tc>
          <w:tcPr>
            <w:tcW w:w="115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30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4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r>
      <w:tr>
        <w:tblPrEx>
          <w:tblLayout w:type="fixed"/>
          <w:tblCellMar>
            <w:top w:w="0" w:type="dxa"/>
            <w:left w:w="108" w:type="dxa"/>
            <w:bottom w:w="0" w:type="dxa"/>
            <w:right w:w="108" w:type="dxa"/>
          </w:tblCellMar>
        </w:tblPrEx>
        <w:trPr>
          <w:trHeight w:val="312" w:hRule="atLeast"/>
        </w:trPr>
        <w:tc>
          <w:tcPr>
            <w:tcW w:w="29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p>
        </w:tc>
        <w:tc>
          <w:tcPr>
            <w:tcW w:w="115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30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4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一般公共预算收入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70,045</w:t>
            </w:r>
          </w:p>
        </w:tc>
        <w:tc>
          <w:tcPr>
            <w:tcW w:w="3034" w:type="dxa"/>
            <w:tcBorders>
              <w:top w:val="nil"/>
              <w:left w:val="nil"/>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一般公共预算支出</w:t>
            </w:r>
          </w:p>
        </w:tc>
        <w:tc>
          <w:tcPr>
            <w:tcW w:w="147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174911</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上级补助收入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79,489</w:t>
            </w:r>
          </w:p>
        </w:tc>
        <w:tc>
          <w:tcPr>
            <w:tcW w:w="3034" w:type="dxa"/>
            <w:tcBorders>
              <w:top w:val="nil"/>
              <w:left w:val="nil"/>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上解上级支出</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5,773</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返还性收入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-679</w:t>
            </w:r>
          </w:p>
        </w:tc>
        <w:tc>
          <w:tcPr>
            <w:tcW w:w="303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体制上解支出</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11</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一般性转移支付收入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75,038</w:t>
            </w:r>
          </w:p>
        </w:tc>
        <w:tc>
          <w:tcPr>
            <w:tcW w:w="303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专项上解支出</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5,762</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专项转移支付收入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5,130</w:t>
            </w:r>
          </w:p>
        </w:tc>
        <w:tc>
          <w:tcPr>
            <w:tcW w:w="3034" w:type="dxa"/>
            <w:tcBorders>
              <w:top w:val="nil"/>
              <w:left w:val="nil"/>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调出资金</w:t>
            </w:r>
          </w:p>
        </w:tc>
        <w:tc>
          <w:tcPr>
            <w:tcW w:w="147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上年结余收入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116</w:t>
            </w:r>
          </w:p>
        </w:tc>
        <w:tc>
          <w:tcPr>
            <w:tcW w:w="3034" w:type="dxa"/>
            <w:tcBorders>
              <w:top w:val="nil"/>
              <w:left w:val="nil"/>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债务还本支出</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13,190</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调入资金</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24,150</w:t>
            </w:r>
          </w:p>
        </w:tc>
        <w:tc>
          <w:tcPr>
            <w:tcW w:w="303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地方政府一般债务还本支出</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13,190</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从政府性基金预算调入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24,000</w:t>
            </w:r>
          </w:p>
        </w:tc>
        <w:tc>
          <w:tcPr>
            <w:tcW w:w="303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地方政府一般债券还本支出</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13,190</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从国有资本经营预算调入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150</w:t>
            </w:r>
          </w:p>
        </w:tc>
        <w:tc>
          <w:tcPr>
            <w:tcW w:w="3034" w:type="dxa"/>
            <w:tcBorders>
              <w:top w:val="nil"/>
              <w:left w:val="nil"/>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补充预算稳定调节基金</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6,481</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从其他资金调入</w:t>
            </w:r>
          </w:p>
        </w:tc>
        <w:tc>
          <w:tcPr>
            <w:tcW w:w="115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034" w:type="dxa"/>
            <w:tcBorders>
              <w:top w:val="nil"/>
              <w:left w:val="nil"/>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年终结余</w:t>
            </w:r>
          </w:p>
        </w:tc>
        <w:tc>
          <w:tcPr>
            <w:tcW w:w="147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599</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债务转贷收入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21,598</w:t>
            </w:r>
          </w:p>
        </w:tc>
        <w:tc>
          <w:tcPr>
            <w:tcW w:w="303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其中：结转下年支出</w:t>
            </w:r>
          </w:p>
        </w:tc>
        <w:tc>
          <w:tcPr>
            <w:tcW w:w="147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599</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地方政府一般债务转贷收入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21,598</w:t>
            </w:r>
          </w:p>
        </w:tc>
        <w:tc>
          <w:tcPr>
            <w:tcW w:w="303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47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地方政府一般债券转贷收入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21,598</w:t>
            </w:r>
          </w:p>
        </w:tc>
        <w:tc>
          <w:tcPr>
            <w:tcW w:w="303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47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调入预算稳定调节基金</w:t>
            </w:r>
          </w:p>
        </w:tc>
        <w:tc>
          <w:tcPr>
            <w:tcW w:w="115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5556</w:t>
            </w:r>
          </w:p>
        </w:tc>
        <w:tc>
          <w:tcPr>
            <w:tcW w:w="3034" w:type="dxa"/>
            <w:tcBorders>
              <w:top w:val="nil"/>
              <w:left w:val="nil"/>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　</w:t>
            </w:r>
          </w:p>
        </w:tc>
        <w:tc>
          <w:tcPr>
            <w:tcW w:w="147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15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03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47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收入总计</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200,954</w:t>
            </w:r>
          </w:p>
        </w:tc>
        <w:tc>
          <w:tcPr>
            <w:tcW w:w="3034"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支出总计</w:t>
            </w:r>
          </w:p>
        </w:tc>
        <w:tc>
          <w:tcPr>
            <w:tcW w:w="147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200,954</w:t>
            </w:r>
          </w:p>
        </w:tc>
      </w:tr>
    </w:tbl>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ascii="黑体" w:eastAsia="黑体"/>
          <w:sz w:val="32"/>
          <w:szCs w:val="32"/>
        </w:rPr>
      </w:pPr>
      <w:r>
        <w:rPr>
          <w:rFonts w:hint="eastAsia" w:ascii="黑体" w:eastAsia="黑体"/>
          <w:sz w:val="32"/>
          <w:szCs w:val="32"/>
        </w:rPr>
        <w:t>附件</w:t>
      </w:r>
      <w:r>
        <w:rPr>
          <w:rFonts w:ascii="黑体" w:eastAsia="黑体"/>
          <w:sz w:val="32"/>
          <w:szCs w:val="32"/>
        </w:rPr>
        <w:t>4</w:t>
      </w:r>
    </w:p>
    <w:p>
      <w:pPr>
        <w:spacing w:line="560" w:lineRule="exact"/>
        <w:rPr>
          <w:rFonts w:eastAsia="仿宋_GB2312"/>
          <w:b/>
          <w:sz w:val="32"/>
          <w:szCs w:val="32"/>
        </w:rPr>
      </w:pPr>
    </w:p>
    <w:tbl>
      <w:tblPr>
        <w:tblStyle w:val="7"/>
        <w:tblW w:w="8220" w:type="dxa"/>
        <w:tblInd w:w="93" w:type="dxa"/>
        <w:tblLayout w:type="fixed"/>
        <w:tblCellMar>
          <w:top w:w="0" w:type="dxa"/>
          <w:left w:w="108" w:type="dxa"/>
          <w:bottom w:w="0" w:type="dxa"/>
          <w:right w:w="108" w:type="dxa"/>
        </w:tblCellMar>
      </w:tblPr>
      <w:tblGrid>
        <w:gridCol w:w="2818"/>
        <w:gridCol w:w="1105"/>
        <w:gridCol w:w="1042"/>
        <w:gridCol w:w="1042"/>
        <w:gridCol w:w="1044"/>
        <w:gridCol w:w="1169"/>
      </w:tblGrid>
      <w:tr>
        <w:tblPrEx>
          <w:tblLayout w:type="fixed"/>
          <w:tblCellMar>
            <w:top w:w="0" w:type="dxa"/>
            <w:left w:w="108" w:type="dxa"/>
            <w:bottom w:w="0" w:type="dxa"/>
            <w:right w:w="108" w:type="dxa"/>
          </w:tblCellMar>
        </w:tblPrEx>
        <w:trPr>
          <w:trHeight w:val="450" w:hRule="atLeast"/>
        </w:trPr>
        <w:tc>
          <w:tcPr>
            <w:tcW w:w="8220" w:type="dxa"/>
            <w:gridSpan w:val="6"/>
            <w:tcBorders>
              <w:top w:val="nil"/>
              <w:left w:val="nil"/>
              <w:bottom w:val="nil"/>
              <w:right w:val="nil"/>
            </w:tcBorders>
            <w:vAlign w:val="center"/>
          </w:tcPr>
          <w:p>
            <w:pPr>
              <w:widowControl/>
              <w:jc w:val="center"/>
              <w:rPr>
                <w:rFonts w:ascii="方正小标宋_GBK" w:eastAsia="方正小标宋_GBK" w:cs="宋体"/>
                <w:b/>
                <w:bCs/>
                <w:kern w:val="0"/>
                <w:sz w:val="36"/>
                <w:szCs w:val="36"/>
              </w:rPr>
            </w:pPr>
            <w:r>
              <w:rPr>
                <w:rFonts w:ascii="方正小标宋_GBK" w:hAnsi="宋体" w:eastAsia="方正小标宋_GBK" w:cs="宋体"/>
                <w:b/>
                <w:bCs/>
                <w:kern w:val="0"/>
                <w:sz w:val="36"/>
                <w:szCs w:val="36"/>
              </w:rPr>
              <w:t>201</w:t>
            </w:r>
            <w:r>
              <w:rPr>
                <w:rFonts w:hint="eastAsia" w:ascii="方正小标宋_GBK" w:hAnsi="宋体" w:eastAsia="方正小标宋_GBK" w:cs="宋体"/>
                <w:b/>
                <w:bCs/>
                <w:kern w:val="0"/>
                <w:sz w:val="36"/>
                <w:szCs w:val="36"/>
              </w:rPr>
              <w:t>9年盐边县政府性基金收入决算表</w:t>
            </w:r>
          </w:p>
        </w:tc>
      </w:tr>
      <w:tr>
        <w:tblPrEx>
          <w:tblLayout w:type="fixed"/>
          <w:tblCellMar>
            <w:top w:w="0" w:type="dxa"/>
            <w:left w:w="108" w:type="dxa"/>
            <w:bottom w:w="0" w:type="dxa"/>
            <w:right w:w="108" w:type="dxa"/>
          </w:tblCellMar>
        </w:tblPrEx>
        <w:trPr>
          <w:trHeight w:val="555" w:hRule="atLeast"/>
        </w:trPr>
        <w:tc>
          <w:tcPr>
            <w:tcW w:w="8220" w:type="dxa"/>
            <w:gridSpan w:val="6"/>
            <w:tcBorders>
              <w:top w:val="nil"/>
              <w:left w:val="nil"/>
              <w:bottom w:val="nil"/>
              <w:right w:val="nil"/>
            </w:tcBorders>
            <w:vAlign w:val="center"/>
          </w:tcPr>
          <w:p>
            <w:pPr>
              <w:widowControl/>
              <w:jc w:val="right"/>
              <w:rPr>
                <w:rFonts w:ascii="宋体" w:cs="宋体"/>
                <w:kern w:val="0"/>
                <w:sz w:val="20"/>
                <w:szCs w:val="20"/>
              </w:rPr>
            </w:pPr>
            <w:r>
              <w:rPr>
                <w:rFonts w:hint="eastAsia" w:ascii="宋体" w:hAnsi="宋体" w:cs="宋体"/>
                <w:kern w:val="0"/>
                <w:sz w:val="20"/>
                <w:szCs w:val="20"/>
              </w:rPr>
              <w:t>单位：万元</w:t>
            </w:r>
          </w:p>
        </w:tc>
      </w:tr>
      <w:tr>
        <w:tblPrEx>
          <w:tblLayout w:type="fixed"/>
          <w:tblCellMar>
            <w:top w:w="0" w:type="dxa"/>
            <w:left w:w="108" w:type="dxa"/>
            <w:bottom w:w="0" w:type="dxa"/>
            <w:right w:w="108" w:type="dxa"/>
          </w:tblCellMar>
        </w:tblPrEx>
        <w:trPr>
          <w:trHeight w:val="312" w:hRule="atLeast"/>
        </w:trPr>
        <w:tc>
          <w:tcPr>
            <w:tcW w:w="28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预算科目</w:t>
            </w:r>
          </w:p>
        </w:tc>
        <w:tc>
          <w:tcPr>
            <w:tcW w:w="110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年初预算数</w:t>
            </w:r>
          </w:p>
        </w:tc>
        <w:tc>
          <w:tcPr>
            <w:tcW w:w="104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调整预算数</w:t>
            </w:r>
          </w:p>
        </w:tc>
        <w:tc>
          <w:tcPr>
            <w:tcW w:w="104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决算数</w:t>
            </w:r>
          </w:p>
        </w:tc>
        <w:tc>
          <w:tcPr>
            <w:tcW w:w="104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为调整预算（</w:t>
            </w:r>
            <w:r>
              <w:rPr>
                <w:rFonts w:ascii="宋体" w:hAnsi="宋体" w:cs="宋体"/>
                <w:b/>
                <w:bCs/>
                <w:kern w:val="0"/>
                <w:sz w:val="20"/>
                <w:szCs w:val="20"/>
              </w:rPr>
              <w:t>%</w:t>
            </w:r>
            <w:r>
              <w:rPr>
                <w:rFonts w:hint="eastAsia" w:ascii="宋体" w:hAnsi="宋体" w:cs="宋体"/>
                <w:b/>
                <w:bCs/>
                <w:kern w:val="0"/>
                <w:sz w:val="20"/>
                <w:szCs w:val="20"/>
              </w:rPr>
              <w:t>）</w:t>
            </w:r>
          </w:p>
        </w:tc>
        <w:tc>
          <w:tcPr>
            <w:tcW w:w="116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为上年决算（</w:t>
            </w:r>
            <w:r>
              <w:rPr>
                <w:rFonts w:ascii="宋体" w:hAnsi="宋体" w:cs="宋体"/>
                <w:b/>
                <w:bCs/>
                <w:kern w:val="0"/>
                <w:sz w:val="20"/>
                <w:szCs w:val="20"/>
              </w:rPr>
              <w:t>%</w:t>
            </w:r>
            <w:r>
              <w:rPr>
                <w:rFonts w:hint="eastAsia" w:ascii="宋体" w:hAnsi="宋体" w:cs="宋体"/>
                <w:b/>
                <w:bCs/>
                <w:kern w:val="0"/>
                <w:sz w:val="20"/>
                <w:szCs w:val="20"/>
              </w:rPr>
              <w:t>）</w:t>
            </w:r>
          </w:p>
        </w:tc>
      </w:tr>
      <w:tr>
        <w:tblPrEx>
          <w:tblLayout w:type="fixed"/>
          <w:tblCellMar>
            <w:top w:w="0" w:type="dxa"/>
            <w:left w:w="108" w:type="dxa"/>
            <w:bottom w:w="0" w:type="dxa"/>
            <w:right w:w="108" w:type="dxa"/>
          </w:tblCellMar>
        </w:tblPrEx>
        <w:trPr>
          <w:trHeight w:val="312" w:hRule="atLeast"/>
        </w:trPr>
        <w:tc>
          <w:tcPr>
            <w:tcW w:w="2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p>
        </w:tc>
        <w:tc>
          <w:tcPr>
            <w:tcW w:w="110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04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04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04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16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r>
      <w:tr>
        <w:tblPrEx>
          <w:tblLayout w:type="fixed"/>
          <w:tblCellMar>
            <w:top w:w="0" w:type="dxa"/>
            <w:left w:w="108" w:type="dxa"/>
            <w:bottom w:w="0" w:type="dxa"/>
            <w:right w:w="108" w:type="dxa"/>
          </w:tblCellMar>
        </w:tblPrEx>
        <w:trPr>
          <w:trHeight w:val="312" w:hRule="atLeast"/>
        </w:trPr>
        <w:tc>
          <w:tcPr>
            <w:tcW w:w="2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p>
        </w:tc>
        <w:tc>
          <w:tcPr>
            <w:tcW w:w="110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04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04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04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16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r>
      <w:tr>
        <w:tblPrEx>
          <w:tblLayout w:type="fixed"/>
          <w:tblCellMar>
            <w:top w:w="0" w:type="dxa"/>
            <w:left w:w="108" w:type="dxa"/>
            <w:bottom w:w="0" w:type="dxa"/>
            <w:right w:w="108" w:type="dxa"/>
          </w:tblCellMar>
        </w:tblPrEx>
        <w:trPr>
          <w:trHeight w:val="510" w:hRule="atLeast"/>
        </w:trPr>
        <w:tc>
          <w:tcPr>
            <w:tcW w:w="281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国有土地收益基金收入</w:t>
            </w:r>
          </w:p>
        </w:tc>
        <w:tc>
          <w:tcPr>
            <w:tcW w:w="110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1,898</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1,898</w:t>
            </w:r>
          </w:p>
        </w:tc>
        <w:tc>
          <w:tcPr>
            <w:tcW w:w="104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100.0</w:t>
            </w:r>
          </w:p>
        </w:tc>
        <w:tc>
          <w:tcPr>
            <w:tcW w:w="116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886.92 </w:t>
            </w:r>
          </w:p>
        </w:tc>
      </w:tr>
      <w:tr>
        <w:tblPrEx>
          <w:tblLayout w:type="fixed"/>
          <w:tblCellMar>
            <w:top w:w="0" w:type="dxa"/>
            <w:left w:w="108" w:type="dxa"/>
            <w:bottom w:w="0" w:type="dxa"/>
            <w:right w:w="108" w:type="dxa"/>
          </w:tblCellMar>
        </w:tblPrEx>
        <w:trPr>
          <w:trHeight w:val="510" w:hRule="atLeast"/>
        </w:trPr>
        <w:tc>
          <w:tcPr>
            <w:tcW w:w="281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农业土地开发资金收入</w:t>
            </w:r>
          </w:p>
        </w:tc>
        <w:tc>
          <w:tcPr>
            <w:tcW w:w="110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134</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134</w:t>
            </w:r>
          </w:p>
        </w:tc>
        <w:tc>
          <w:tcPr>
            <w:tcW w:w="104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100.0</w:t>
            </w:r>
          </w:p>
        </w:tc>
        <w:tc>
          <w:tcPr>
            <w:tcW w:w="116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418.75 </w:t>
            </w:r>
          </w:p>
        </w:tc>
      </w:tr>
      <w:tr>
        <w:tblPrEx>
          <w:tblLayout w:type="fixed"/>
          <w:tblCellMar>
            <w:top w:w="0" w:type="dxa"/>
            <w:left w:w="108" w:type="dxa"/>
            <w:bottom w:w="0" w:type="dxa"/>
            <w:right w:w="108" w:type="dxa"/>
          </w:tblCellMar>
        </w:tblPrEx>
        <w:trPr>
          <w:trHeight w:val="510" w:hRule="atLeast"/>
        </w:trPr>
        <w:tc>
          <w:tcPr>
            <w:tcW w:w="281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国有土地使用权出让收入</w:t>
            </w:r>
          </w:p>
        </w:tc>
        <w:tc>
          <w:tcPr>
            <w:tcW w:w="110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40,000</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60,668</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60,668</w:t>
            </w:r>
          </w:p>
        </w:tc>
        <w:tc>
          <w:tcPr>
            <w:tcW w:w="104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100.0</w:t>
            </w:r>
          </w:p>
        </w:tc>
        <w:tc>
          <w:tcPr>
            <w:tcW w:w="116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r>
              <w:rPr>
                <w:rFonts w:hint="eastAsia" w:ascii="宋体" w:hAnsi="宋体" w:cs="宋体"/>
                <w:kern w:val="0"/>
                <w:sz w:val="22"/>
                <w:szCs w:val="22"/>
              </w:rPr>
              <w:t xml:space="preserve">1007.44 </w:t>
            </w:r>
          </w:p>
        </w:tc>
      </w:tr>
      <w:tr>
        <w:tblPrEx>
          <w:tblLayout w:type="fixed"/>
          <w:tblCellMar>
            <w:top w:w="0" w:type="dxa"/>
            <w:left w:w="108" w:type="dxa"/>
            <w:bottom w:w="0" w:type="dxa"/>
            <w:right w:w="108" w:type="dxa"/>
          </w:tblCellMar>
        </w:tblPrEx>
        <w:trPr>
          <w:trHeight w:val="510" w:hRule="atLeast"/>
        </w:trPr>
        <w:tc>
          <w:tcPr>
            <w:tcW w:w="281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城市基础设施配套费收入</w:t>
            </w:r>
          </w:p>
        </w:tc>
        <w:tc>
          <w:tcPr>
            <w:tcW w:w="110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150</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245</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245</w:t>
            </w:r>
          </w:p>
        </w:tc>
        <w:tc>
          <w:tcPr>
            <w:tcW w:w="104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100.0</w:t>
            </w:r>
          </w:p>
        </w:tc>
        <w:tc>
          <w:tcPr>
            <w:tcW w:w="116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194.44 </w:t>
            </w:r>
          </w:p>
        </w:tc>
      </w:tr>
      <w:tr>
        <w:tblPrEx>
          <w:tblLayout w:type="fixed"/>
          <w:tblCellMar>
            <w:top w:w="0" w:type="dxa"/>
            <w:left w:w="108" w:type="dxa"/>
            <w:bottom w:w="0" w:type="dxa"/>
            <w:right w:w="108" w:type="dxa"/>
          </w:tblCellMar>
        </w:tblPrEx>
        <w:trPr>
          <w:trHeight w:val="510" w:hRule="atLeast"/>
        </w:trPr>
        <w:tc>
          <w:tcPr>
            <w:tcW w:w="281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污水处理费收入</w:t>
            </w:r>
          </w:p>
        </w:tc>
        <w:tc>
          <w:tcPr>
            <w:tcW w:w="110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200</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162</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162</w:t>
            </w:r>
          </w:p>
        </w:tc>
        <w:tc>
          <w:tcPr>
            <w:tcW w:w="104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100.0</w:t>
            </w:r>
          </w:p>
        </w:tc>
        <w:tc>
          <w:tcPr>
            <w:tcW w:w="116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113.29 </w:t>
            </w:r>
          </w:p>
        </w:tc>
      </w:tr>
      <w:tr>
        <w:tblPrEx>
          <w:tblLayout w:type="fixed"/>
          <w:tblCellMar>
            <w:top w:w="0" w:type="dxa"/>
            <w:left w:w="108" w:type="dxa"/>
            <w:bottom w:w="0" w:type="dxa"/>
            <w:right w:w="108" w:type="dxa"/>
          </w:tblCellMar>
        </w:tblPrEx>
        <w:trPr>
          <w:trHeight w:val="750" w:hRule="atLeast"/>
        </w:trPr>
        <w:tc>
          <w:tcPr>
            <w:tcW w:w="281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10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2"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2"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69"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0"/>
                <w:szCs w:val="20"/>
              </w:rPr>
            </w:pPr>
          </w:p>
        </w:tc>
      </w:tr>
      <w:tr>
        <w:tblPrEx>
          <w:tblLayout w:type="fixed"/>
          <w:tblCellMar>
            <w:top w:w="0" w:type="dxa"/>
            <w:left w:w="108" w:type="dxa"/>
            <w:bottom w:w="0" w:type="dxa"/>
            <w:right w:w="108" w:type="dxa"/>
          </w:tblCellMar>
        </w:tblPrEx>
        <w:trPr>
          <w:trHeight w:val="915" w:hRule="atLeast"/>
        </w:trPr>
        <w:tc>
          <w:tcPr>
            <w:tcW w:w="28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收入合计</w:t>
            </w:r>
          </w:p>
        </w:tc>
        <w:tc>
          <w:tcPr>
            <w:tcW w:w="110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40,350</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63,107</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63,107</w:t>
            </w:r>
          </w:p>
        </w:tc>
        <w:tc>
          <w:tcPr>
            <w:tcW w:w="104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100</w:t>
            </w:r>
          </w:p>
        </w:tc>
        <w:tc>
          <w:tcPr>
            <w:tcW w:w="1169"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2"/>
                <w:szCs w:val="22"/>
              </w:rPr>
              <w:t xml:space="preserve">965.38 </w:t>
            </w:r>
          </w:p>
        </w:tc>
      </w:tr>
    </w:tbl>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ascii="黑体" w:eastAsia="黑体"/>
          <w:sz w:val="32"/>
          <w:szCs w:val="32"/>
        </w:rPr>
      </w:pPr>
      <w:r>
        <w:rPr>
          <w:rFonts w:hint="eastAsia" w:ascii="黑体" w:eastAsia="黑体"/>
          <w:sz w:val="32"/>
          <w:szCs w:val="32"/>
        </w:rPr>
        <w:t>附件</w:t>
      </w:r>
      <w:r>
        <w:rPr>
          <w:rFonts w:ascii="黑体" w:eastAsia="黑体"/>
          <w:sz w:val="32"/>
          <w:szCs w:val="32"/>
        </w:rPr>
        <w:t>5</w:t>
      </w:r>
    </w:p>
    <w:p>
      <w:pPr>
        <w:spacing w:line="560" w:lineRule="exact"/>
        <w:rPr>
          <w:rFonts w:eastAsia="仿宋_GB2312"/>
          <w:b/>
          <w:sz w:val="32"/>
          <w:szCs w:val="32"/>
        </w:rPr>
      </w:pPr>
    </w:p>
    <w:tbl>
      <w:tblPr>
        <w:tblStyle w:val="7"/>
        <w:tblW w:w="8240" w:type="dxa"/>
        <w:tblInd w:w="93" w:type="dxa"/>
        <w:tblLayout w:type="fixed"/>
        <w:tblCellMar>
          <w:top w:w="0" w:type="dxa"/>
          <w:left w:w="108" w:type="dxa"/>
          <w:bottom w:w="0" w:type="dxa"/>
          <w:right w:w="108" w:type="dxa"/>
        </w:tblCellMar>
      </w:tblPr>
      <w:tblGrid>
        <w:gridCol w:w="3030"/>
        <w:gridCol w:w="918"/>
        <w:gridCol w:w="918"/>
        <w:gridCol w:w="918"/>
        <w:gridCol w:w="937"/>
        <w:gridCol w:w="1004"/>
        <w:gridCol w:w="515"/>
      </w:tblGrid>
      <w:tr>
        <w:tblPrEx>
          <w:tblLayout w:type="fixed"/>
          <w:tblCellMar>
            <w:top w:w="0" w:type="dxa"/>
            <w:left w:w="108" w:type="dxa"/>
            <w:bottom w:w="0" w:type="dxa"/>
            <w:right w:w="108" w:type="dxa"/>
          </w:tblCellMar>
        </w:tblPrEx>
        <w:trPr>
          <w:trHeight w:val="910" w:hRule="atLeast"/>
        </w:trPr>
        <w:tc>
          <w:tcPr>
            <w:tcW w:w="8240" w:type="dxa"/>
            <w:gridSpan w:val="7"/>
            <w:tcBorders>
              <w:top w:val="nil"/>
              <w:left w:val="nil"/>
              <w:bottom w:val="nil"/>
              <w:right w:val="nil"/>
            </w:tcBorders>
            <w:vAlign w:val="center"/>
          </w:tcPr>
          <w:p>
            <w:pPr>
              <w:widowControl/>
              <w:jc w:val="center"/>
              <w:rPr>
                <w:rFonts w:ascii="方正小标宋_GBK" w:eastAsia="方正小标宋_GBK" w:cs="宋体"/>
                <w:b/>
                <w:bCs/>
                <w:kern w:val="0"/>
                <w:sz w:val="36"/>
                <w:szCs w:val="36"/>
              </w:rPr>
            </w:pPr>
            <w:r>
              <w:rPr>
                <w:rFonts w:ascii="方正小标宋_GBK" w:hAnsi="宋体" w:eastAsia="方正小标宋_GBK" w:cs="宋体"/>
                <w:b/>
                <w:bCs/>
                <w:kern w:val="0"/>
                <w:sz w:val="36"/>
                <w:szCs w:val="36"/>
              </w:rPr>
              <w:t>201</w:t>
            </w:r>
            <w:r>
              <w:rPr>
                <w:rFonts w:hint="eastAsia" w:ascii="方正小标宋_GBK" w:hAnsi="宋体" w:eastAsia="方正小标宋_GBK" w:cs="宋体"/>
                <w:b/>
                <w:bCs/>
                <w:kern w:val="0"/>
                <w:sz w:val="36"/>
                <w:szCs w:val="36"/>
              </w:rPr>
              <w:t>9年盐边县政府性基金支出决算表</w:t>
            </w:r>
          </w:p>
        </w:tc>
      </w:tr>
      <w:tr>
        <w:tblPrEx>
          <w:tblLayout w:type="fixed"/>
          <w:tblCellMar>
            <w:top w:w="0" w:type="dxa"/>
            <w:left w:w="108" w:type="dxa"/>
            <w:bottom w:w="0" w:type="dxa"/>
            <w:right w:w="108" w:type="dxa"/>
          </w:tblCellMar>
        </w:tblPrEx>
        <w:trPr>
          <w:trHeight w:val="540" w:hRule="atLeast"/>
        </w:trPr>
        <w:tc>
          <w:tcPr>
            <w:tcW w:w="8240" w:type="dxa"/>
            <w:gridSpan w:val="7"/>
            <w:tcBorders>
              <w:top w:val="nil"/>
              <w:left w:val="nil"/>
              <w:bottom w:val="nil"/>
              <w:right w:val="nil"/>
            </w:tcBorders>
            <w:vAlign w:val="center"/>
          </w:tcPr>
          <w:p>
            <w:pPr>
              <w:widowControl/>
              <w:jc w:val="right"/>
              <w:rPr>
                <w:rFonts w:ascii="宋体" w:cs="宋体"/>
                <w:kern w:val="0"/>
                <w:sz w:val="20"/>
                <w:szCs w:val="20"/>
              </w:rPr>
            </w:pPr>
            <w:r>
              <w:rPr>
                <w:rFonts w:hint="eastAsia" w:ascii="宋体" w:hAnsi="宋体" w:cs="宋体"/>
                <w:kern w:val="0"/>
                <w:sz w:val="20"/>
                <w:szCs w:val="20"/>
              </w:rPr>
              <w:t>单位：万元</w:t>
            </w:r>
          </w:p>
        </w:tc>
      </w:tr>
      <w:tr>
        <w:tblPrEx>
          <w:tblLayout w:type="fixed"/>
          <w:tblCellMar>
            <w:top w:w="0" w:type="dxa"/>
            <w:left w:w="0" w:type="dxa"/>
            <w:bottom w:w="0" w:type="dxa"/>
            <w:right w:w="0" w:type="dxa"/>
          </w:tblCellMar>
        </w:tblPrEx>
        <w:trPr>
          <w:gridAfter w:val="1"/>
          <w:wAfter w:w="515" w:type="dxa"/>
          <w:trHeight w:val="495" w:hRule="atLeast"/>
        </w:trPr>
        <w:tc>
          <w:tcPr>
            <w:tcW w:w="3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预算科目</w:t>
            </w:r>
          </w:p>
        </w:tc>
        <w:tc>
          <w:tcPr>
            <w:tcW w:w="91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年初预算数</w:t>
            </w:r>
          </w:p>
        </w:tc>
        <w:tc>
          <w:tcPr>
            <w:tcW w:w="91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调整预算数</w:t>
            </w:r>
          </w:p>
        </w:tc>
        <w:tc>
          <w:tcPr>
            <w:tcW w:w="91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决算数</w:t>
            </w:r>
          </w:p>
        </w:tc>
        <w:tc>
          <w:tcPr>
            <w:tcW w:w="93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为调整预算（%）</w:t>
            </w:r>
          </w:p>
        </w:tc>
        <w:tc>
          <w:tcPr>
            <w:tcW w:w="100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为上年决算（%）</w:t>
            </w:r>
          </w:p>
        </w:tc>
      </w:tr>
      <w:tr>
        <w:tblPrEx>
          <w:tblLayout w:type="fixed"/>
          <w:tblCellMar>
            <w:top w:w="0" w:type="dxa"/>
            <w:left w:w="0" w:type="dxa"/>
            <w:bottom w:w="0" w:type="dxa"/>
            <w:right w:w="0" w:type="dxa"/>
          </w:tblCellMar>
        </w:tblPrEx>
        <w:trPr>
          <w:gridAfter w:val="1"/>
          <w:wAfter w:w="515" w:type="dxa"/>
          <w:trHeight w:val="720" w:hRule="atLeast"/>
        </w:trPr>
        <w:tc>
          <w:tcPr>
            <w:tcW w:w="30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国家电影事业发展专项资金及对应专项债务收入安排的支出</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cs="宋体"/>
                <w:sz w:val="20"/>
                <w:szCs w:val="20"/>
              </w:rPr>
            </w:pP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w:t>
            </w:r>
          </w:p>
        </w:tc>
        <w:tc>
          <w:tcPr>
            <w:tcW w:w="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100.00 </w:t>
            </w:r>
          </w:p>
        </w:tc>
        <w:tc>
          <w:tcPr>
            <w:tcW w:w="1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4.88 </w:t>
            </w:r>
          </w:p>
        </w:tc>
      </w:tr>
      <w:tr>
        <w:tblPrEx>
          <w:tblLayout w:type="fixed"/>
          <w:tblCellMar>
            <w:top w:w="0" w:type="dxa"/>
            <w:left w:w="0" w:type="dxa"/>
            <w:bottom w:w="0" w:type="dxa"/>
            <w:right w:w="0" w:type="dxa"/>
          </w:tblCellMar>
        </w:tblPrEx>
        <w:trPr>
          <w:gridAfter w:val="1"/>
          <w:wAfter w:w="515" w:type="dxa"/>
          <w:trHeight w:val="285" w:hRule="atLeast"/>
        </w:trPr>
        <w:tc>
          <w:tcPr>
            <w:tcW w:w="30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旅游发展基金支出</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cs="宋体"/>
                <w:sz w:val="20"/>
                <w:szCs w:val="20"/>
              </w:rPr>
            </w:pP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50</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50</w:t>
            </w:r>
          </w:p>
        </w:tc>
        <w:tc>
          <w:tcPr>
            <w:tcW w:w="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100.00 </w:t>
            </w:r>
          </w:p>
        </w:tc>
        <w:tc>
          <w:tcPr>
            <w:tcW w:w="1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cs="宋体"/>
                <w:sz w:val="20"/>
                <w:szCs w:val="20"/>
              </w:rPr>
            </w:pPr>
            <w:r>
              <w:rPr>
                <w:rFonts w:hint="eastAsia" w:ascii="宋体" w:hAnsi="宋体" w:cs="宋体"/>
                <w:sz w:val="20"/>
                <w:szCs w:val="20"/>
              </w:rPr>
              <w:t>20</w:t>
            </w:r>
          </w:p>
        </w:tc>
      </w:tr>
      <w:tr>
        <w:tblPrEx>
          <w:tblLayout w:type="fixed"/>
          <w:tblCellMar>
            <w:top w:w="0" w:type="dxa"/>
            <w:left w:w="0" w:type="dxa"/>
            <w:bottom w:w="0" w:type="dxa"/>
            <w:right w:w="0" w:type="dxa"/>
          </w:tblCellMar>
        </w:tblPrEx>
        <w:trPr>
          <w:gridAfter w:val="1"/>
          <w:wAfter w:w="515" w:type="dxa"/>
          <w:trHeight w:val="270" w:hRule="atLeast"/>
        </w:trPr>
        <w:tc>
          <w:tcPr>
            <w:tcW w:w="30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大中型水库移民后期扶持基金支出</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cs="宋体"/>
                <w:sz w:val="20"/>
                <w:szCs w:val="20"/>
              </w:rPr>
            </w:pP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cs="宋体"/>
                <w:sz w:val="20"/>
                <w:szCs w:val="20"/>
              </w:rPr>
            </w:pPr>
            <w:r>
              <w:rPr>
                <w:rFonts w:hint="eastAsia" w:ascii="宋体" w:hAnsi="宋体" w:cs="宋体"/>
                <w:sz w:val="20"/>
                <w:szCs w:val="20"/>
              </w:rPr>
              <w:t>1961</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cs="宋体"/>
                <w:sz w:val="20"/>
                <w:szCs w:val="20"/>
              </w:rPr>
            </w:pPr>
            <w:r>
              <w:rPr>
                <w:rFonts w:hint="eastAsia" w:ascii="宋体" w:hAnsi="宋体" w:cs="宋体"/>
                <w:sz w:val="20"/>
                <w:szCs w:val="20"/>
              </w:rPr>
              <w:t>1960</w:t>
            </w:r>
          </w:p>
        </w:tc>
        <w:tc>
          <w:tcPr>
            <w:tcW w:w="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cs="宋体"/>
                <w:sz w:val="20"/>
                <w:szCs w:val="20"/>
              </w:rPr>
            </w:pPr>
            <w:r>
              <w:rPr>
                <w:rFonts w:hint="eastAsia" w:ascii="宋体" w:hAnsi="宋体" w:cs="宋体"/>
                <w:sz w:val="20"/>
                <w:szCs w:val="20"/>
              </w:rPr>
              <w:t>99.95</w:t>
            </w:r>
          </w:p>
        </w:tc>
        <w:tc>
          <w:tcPr>
            <w:tcW w:w="1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sz w:val="20"/>
                <w:szCs w:val="20"/>
              </w:rPr>
              <w:t>128.69</w:t>
            </w:r>
          </w:p>
        </w:tc>
      </w:tr>
      <w:tr>
        <w:tblPrEx>
          <w:tblLayout w:type="fixed"/>
          <w:tblCellMar>
            <w:top w:w="0" w:type="dxa"/>
            <w:left w:w="0" w:type="dxa"/>
            <w:bottom w:w="0" w:type="dxa"/>
            <w:right w:w="0" w:type="dxa"/>
          </w:tblCellMar>
        </w:tblPrEx>
        <w:trPr>
          <w:gridAfter w:val="1"/>
          <w:wAfter w:w="515" w:type="dxa"/>
          <w:trHeight w:val="735" w:hRule="atLeast"/>
        </w:trPr>
        <w:tc>
          <w:tcPr>
            <w:tcW w:w="30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国有土地使用权出让收入及对应专项债务收入安排的支出</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38,818</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35,478</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35,477</w:t>
            </w:r>
          </w:p>
        </w:tc>
        <w:tc>
          <w:tcPr>
            <w:tcW w:w="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100.00 </w:t>
            </w:r>
          </w:p>
        </w:tc>
        <w:tc>
          <w:tcPr>
            <w:tcW w:w="1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127.59 </w:t>
            </w:r>
          </w:p>
        </w:tc>
      </w:tr>
      <w:tr>
        <w:tblPrEx>
          <w:tblLayout w:type="fixed"/>
          <w:tblCellMar>
            <w:top w:w="0" w:type="dxa"/>
            <w:left w:w="0" w:type="dxa"/>
            <w:bottom w:w="0" w:type="dxa"/>
            <w:right w:w="0" w:type="dxa"/>
          </w:tblCellMar>
        </w:tblPrEx>
        <w:trPr>
          <w:gridAfter w:val="1"/>
          <w:wAfter w:w="515" w:type="dxa"/>
          <w:trHeight w:val="735" w:hRule="atLeast"/>
        </w:trPr>
        <w:tc>
          <w:tcPr>
            <w:tcW w:w="30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国有土地收益基金及对应专项债务收入安排的支出</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cs="宋体"/>
                <w:sz w:val="20"/>
                <w:szCs w:val="20"/>
              </w:rPr>
            </w:pP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1,898</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1,898</w:t>
            </w:r>
          </w:p>
        </w:tc>
        <w:tc>
          <w:tcPr>
            <w:tcW w:w="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100.00 </w:t>
            </w:r>
          </w:p>
        </w:tc>
        <w:tc>
          <w:tcPr>
            <w:tcW w:w="1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886.92 </w:t>
            </w:r>
          </w:p>
        </w:tc>
      </w:tr>
      <w:tr>
        <w:tblPrEx>
          <w:tblLayout w:type="fixed"/>
          <w:tblCellMar>
            <w:top w:w="0" w:type="dxa"/>
            <w:left w:w="0" w:type="dxa"/>
            <w:bottom w:w="0" w:type="dxa"/>
            <w:right w:w="0" w:type="dxa"/>
          </w:tblCellMar>
        </w:tblPrEx>
        <w:trPr>
          <w:gridAfter w:val="1"/>
          <w:wAfter w:w="515" w:type="dxa"/>
          <w:trHeight w:val="735" w:hRule="atLeast"/>
        </w:trPr>
        <w:tc>
          <w:tcPr>
            <w:tcW w:w="30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农业土地开发资金及对应专项债务收入安排的支出</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cs="宋体"/>
                <w:sz w:val="20"/>
                <w:szCs w:val="20"/>
              </w:rPr>
            </w:pP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134</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134</w:t>
            </w:r>
          </w:p>
        </w:tc>
        <w:tc>
          <w:tcPr>
            <w:tcW w:w="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100.00 </w:t>
            </w:r>
          </w:p>
        </w:tc>
        <w:tc>
          <w:tcPr>
            <w:tcW w:w="1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418.75 </w:t>
            </w:r>
          </w:p>
        </w:tc>
      </w:tr>
      <w:tr>
        <w:tblPrEx>
          <w:tblLayout w:type="fixed"/>
          <w:tblCellMar>
            <w:top w:w="0" w:type="dxa"/>
            <w:left w:w="0" w:type="dxa"/>
            <w:bottom w:w="0" w:type="dxa"/>
            <w:right w:w="0" w:type="dxa"/>
          </w:tblCellMar>
        </w:tblPrEx>
        <w:trPr>
          <w:gridAfter w:val="1"/>
          <w:wAfter w:w="515" w:type="dxa"/>
          <w:trHeight w:val="735" w:hRule="atLeast"/>
        </w:trPr>
        <w:tc>
          <w:tcPr>
            <w:tcW w:w="30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城市基础设施配套费及对应专项债务收入安排的支出</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150</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249</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235</w:t>
            </w:r>
          </w:p>
        </w:tc>
        <w:tc>
          <w:tcPr>
            <w:tcW w:w="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94.38 </w:t>
            </w:r>
          </w:p>
        </w:tc>
        <w:tc>
          <w:tcPr>
            <w:tcW w:w="1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192.62 </w:t>
            </w:r>
          </w:p>
        </w:tc>
      </w:tr>
      <w:tr>
        <w:tblPrEx>
          <w:tblLayout w:type="fixed"/>
          <w:tblCellMar>
            <w:top w:w="0" w:type="dxa"/>
            <w:left w:w="0" w:type="dxa"/>
            <w:bottom w:w="0" w:type="dxa"/>
            <w:right w:w="0" w:type="dxa"/>
          </w:tblCellMar>
        </w:tblPrEx>
        <w:trPr>
          <w:gridAfter w:val="1"/>
          <w:wAfter w:w="515" w:type="dxa"/>
          <w:trHeight w:val="495" w:hRule="atLeast"/>
        </w:trPr>
        <w:tc>
          <w:tcPr>
            <w:tcW w:w="30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污水处理费及对应专项债务收入安排的支出</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200</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162</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106</w:t>
            </w:r>
          </w:p>
        </w:tc>
        <w:tc>
          <w:tcPr>
            <w:tcW w:w="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65.43 </w:t>
            </w:r>
          </w:p>
        </w:tc>
        <w:tc>
          <w:tcPr>
            <w:tcW w:w="1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62.35 </w:t>
            </w:r>
          </w:p>
        </w:tc>
      </w:tr>
      <w:tr>
        <w:tblPrEx>
          <w:tblLayout w:type="fixed"/>
          <w:tblCellMar>
            <w:top w:w="0" w:type="dxa"/>
            <w:left w:w="0" w:type="dxa"/>
            <w:bottom w:w="0" w:type="dxa"/>
            <w:right w:w="0" w:type="dxa"/>
          </w:tblCellMar>
        </w:tblPrEx>
        <w:trPr>
          <w:gridAfter w:val="1"/>
          <w:wAfter w:w="515" w:type="dxa"/>
          <w:trHeight w:val="480" w:hRule="atLeast"/>
        </w:trPr>
        <w:tc>
          <w:tcPr>
            <w:tcW w:w="30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 xml:space="preserve">土地储备专项债券收入安排的支出  </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cs="宋体"/>
                <w:sz w:val="20"/>
                <w:szCs w:val="20"/>
              </w:rPr>
            </w:pP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24,300</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24,300</w:t>
            </w:r>
          </w:p>
        </w:tc>
        <w:tc>
          <w:tcPr>
            <w:tcW w:w="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100.00 </w:t>
            </w:r>
          </w:p>
        </w:tc>
        <w:tc>
          <w:tcPr>
            <w:tcW w:w="1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cs="宋体"/>
                <w:sz w:val="20"/>
                <w:szCs w:val="20"/>
              </w:rPr>
            </w:pPr>
          </w:p>
        </w:tc>
      </w:tr>
      <w:tr>
        <w:tblPrEx>
          <w:tblLayout w:type="fixed"/>
          <w:tblCellMar>
            <w:top w:w="0" w:type="dxa"/>
            <w:left w:w="0" w:type="dxa"/>
            <w:bottom w:w="0" w:type="dxa"/>
            <w:right w:w="0" w:type="dxa"/>
          </w:tblCellMar>
        </w:tblPrEx>
        <w:trPr>
          <w:gridAfter w:val="1"/>
          <w:wAfter w:w="515" w:type="dxa"/>
          <w:trHeight w:val="720" w:hRule="atLeast"/>
        </w:trPr>
        <w:tc>
          <w:tcPr>
            <w:tcW w:w="30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大中型水库库区基金及对应专项债务收入安排的支出</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cs="宋体"/>
                <w:sz w:val="20"/>
                <w:szCs w:val="20"/>
              </w:rPr>
            </w:pP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wordWrap w:val="0"/>
              <w:jc w:val="right"/>
              <w:textAlignment w:val="center"/>
              <w:rPr>
                <w:rFonts w:ascii="宋体" w:hAnsi="宋体" w:cs="宋体"/>
                <w:sz w:val="20"/>
                <w:szCs w:val="20"/>
              </w:rPr>
            </w:pPr>
            <w:r>
              <w:rPr>
                <w:rFonts w:hint="eastAsia" w:ascii="宋体" w:hAnsi="宋体" w:cs="宋体"/>
                <w:kern w:val="0"/>
                <w:sz w:val="20"/>
                <w:szCs w:val="20"/>
              </w:rPr>
              <w:t xml:space="preserve"> </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wordWrap w:val="0"/>
              <w:jc w:val="right"/>
              <w:textAlignment w:val="center"/>
              <w:rPr>
                <w:rFonts w:ascii="宋体" w:hAnsi="宋体" w:cs="宋体"/>
                <w:sz w:val="20"/>
                <w:szCs w:val="20"/>
              </w:rPr>
            </w:pPr>
            <w:r>
              <w:rPr>
                <w:rFonts w:hint="eastAsia" w:ascii="宋体" w:hAnsi="宋体" w:cs="宋体"/>
                <w:kern w:val="0"/>
                <w:sz w:val="20"/>
                <w:szCs w:val="20"/>
              </w:rPr>
              <w:t xml:space="preserve"> </w:t>
            </w:r>
          </w:p>
        </w:tc>
        <w:tc>
          <w:tcPr>
            <w:tcW w:w="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  </w:t>
            </w:r>
          </w:p>
        </w:tc>
        <w:tc>
          <w:tcPr>
            <w:tcW w:w="1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  </w:t>
            </w:r>
          </w:p>
        </w:tc>
      </w:tr>
      <w:tr>
        <w:tblPrEx>
          <w:tblLayout w:type="fixed"/>
          <w:tblCellMar>
            <w:top w:w="0" w:type="dxa"/>
            <w:left w:w="0" w:type="dxa"/>
            <w:bottom w:w="0" w:type="dxa"/>
            <w:right w:w="0" w:type="dxa"/>
          </w:tblCellMar>
        </w:tblPrEx>
        <w:trPr>
          <w:gridAfter w:val="1"/>
          <w:wAfter w:w="515" w:type="dxa"/>
          <w:trHeight w:val="480" w:hRule="atLeast"/>
        </w:trPr>
        <w:tc>
          <w:tcPr>
            <w:tcW w:w="30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彩票公益金及对应专项债务收入安排的支出</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cs="宋体"/>
                <w:sz w:val="20"/>
                <w:szCs w:val="20"/>
              </w:rPr>
            </w:pP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334</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321</w:t>
            </w:r>
          </w:p>
        </w:tc>
        <w:tc>
          <w:tcPr>
            <w:tcW w:w="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96.11 </w:t>
            </w:r>
          </w:p>
        </w:tc>
        <w:tc>
          <w:tcPr>
            <w:tcW w:w="1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132.10 </w:t>
            </w:r>
          </w:p>
        </w:tc>
      </w:tr>
      <w:tr>
        <w:tblPrEx>
          <w:tblLayout w:type="fixed"/>
          <w:tblCellMar>
            <w:top w:w="0" w:type="dxa"/>
            <w:left w:w="0" w:type="dxa"/>
            <w:bottom w:w="0" w:type="dxa"/>
            <w:right w:w="0" w:type="dxa"/>
          </w:tblCellMar>
        </w:tblPrEx>
        <w:trPr>
          <w:gridAfter w:val="1"/>
          <w:wAfter w:w="515" w:type="dxa"/>
          <w:trHeight w:val="495" w:hRule="atLeast"/>
        </w:trPr>
        <w:tc>
          <w:tcPr>
            <w:tcW w:w="30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地方政府专项债务付息支出</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1,182</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1,152</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1,152</w:t>
            </w:r>
          </w:p>
        </w:tc>
        <w:tc>
          <w:tcPr>
            <w:tcW w:w="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100.00 </w:t>
            </w:r>
          </w:p>
        </w:tc>
        <w:tc>
          <w:tcPr>
            <w:tcW w:w="1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394.52 </w:t>
            </w:r>
          </w:p>
        </w:tc>
      </w:tr>
      <w:tr>
        <w:tblPrEx>
          <w:tblLayout w:type="fixed"/>
          <w:tblCellMar>
            <w:top w:w="0" w:type="dxa"/>
            <w:left w:w="0" w:type="dxa"/>
            <w:bottom w:w="0" w:type="dxa"/>
            <w:right w:w="0" w:type="dxa"/>
          </w:tblCellMar>
        </w:tblPrEx>
        <w:trPr>
          <w:gridAfter w:val="1"/>
          <w:wAfter w:w="515" w:type="dxa"/>
          <w:trHeight w:val="495" w:hRule="atLeast"/>
        </w:trPr>
        <w:tc>
          <w:tcPr>
            <w:tcW w:w="30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地方政府专项债务发行费用支出</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cs="宋体"/>
                <w:sz w:val="20"/>
                <w:szCs w:val="20"/>
              </w:rPr>
            </w:pP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39</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39</w:t>
            </w:r>
          </w:p>
        </w:tc>
        <w:tc>
          <w:tcPr>
            <w:tcW w:w="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100.00 </w:t>
            </w:r>
          </w:p>
        </w:tc>
        <w:tc>
          <w:tcPr>
            <w:tcW w:w="1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162.50 </w:t>
            </w:r>
          </w:p>
        </w:tc>
      </w:tr>
      <w:tr>
        <w:tblPrEx>
          <w:tblLayout w:type="fixed"/>
          <w:tblCellMar>
            <w:top w:w="0" w:type="dxa"/>
            <w:left w:w="0" w:type="dxa"/>
            <w:bottom w:w="0" w:type="dxa"/>
            <w:right w:w="0" w:type="dxa"/>
          </w:tblCellMar>
        </w:tblPrEx>
        <w:trPr>
          <w:gridAfter w:val="1"/>
          <w:wAfter w:w="515" w:type="dxa"/>
          <w:trHeight w:val="270" w:hRule="atLeast"/>
        </w:trPr>
        <w:tc>
          <w:tcPr>
            <w:tcW w:w="30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支 出 合 计</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40,350</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65,759</w:t>
            </w:r>
          </w:p>
        </w:tc>
        <w:tc>
          <w:tcPr>
            <w:tcW w:w="9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65,674</w:t>
            </w:r>
          </w:p>
        </w:tc>
        <w:tc>
          <w:tcPr>
            <w:tcW w:w="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99.87 </w:t>
            </w:r>
          </w:p>
        </w:tc>
        <w:tc>
          <w:tcPr>
            <w:tcW w:w="1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 xml:space="preserve">210.40 </w:t>
            </w:r>
          </w:p>
        </w:tc>
      </w:tr>
    </w:tbl>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ascii="黑体" w:eastAsia="黑体"/>
          <w:sz w:val="32"/>
          <w:szCs w:val="32"/>
        </w:rPr>
      </w:pPr>
      <w:r>
        <w:rPr>
          <w:rFonts w:hint="eastAsia" w:ascii="黑体" w:eastAsia="黑体"/>
          <w:sz w:val="32"/>
          <w:szCs w:val="32"/>
        </w:rPr>
        <w:t>附件</w:t>
      </w:r>
      <w:r>
        <w:rPr>
          <w:rFonts w:ascii="黑体" w:eastAsia="黑体"/>
          <w:sz w:val="32"/>
          <w:szCs w:val="32"/>
        </w:rPr>
        <w:t>6</w:t>
      </w:r>
    </w:p>
    <w:p>
      <w:pPr>
        <w:spacing w:line="560" w:lineRule="exact"/>
        <w:rPr>
          <w:rFonts w:eastAsia="仿宋_GB2312"/>
          <w:b/>
          <w:sz w:val="32"/>
          <w:szCs w:val="32"/>
        </w:rPr>
      </w:pPr>
    </w:p>
    <w:tbl>
      <w:tblPr>
        <w:tblStyle w:val="7"/>
        <w:tblW w:w="7960" w:type="dxa"/>
        <w:tblInd w:w="93" w:type="dxa"/>
        <w:tblLayout w:type="fixed"/>
        <w:tblCellMar>
          <w:top w:w="0" w:type="dxa"/>
          <w:left w:w="108" w:type="dxa"/>
          <w:bottom w:w="0" w:type="dxa"/>
          <w:right w:w="108" w:type="dxa"/>
        </w:tblCellMar>
      </w:tblPr>
      <w:tblGrid>
        <w:gridCol w:w="2630"/>
        <w:gridCol w:w="1380"/>
        <w:gridCol w:w="2600"/>
        <w:gridCol w:w="1350"/>
      </w:tblGrid>
      <w:tr>
        <w:tblPrEx>
          <w:tblLayout w:type="fixed"/>
          <w:tblCellMar>
            <w:top w:w="0" w:type="dxa"/>
            <w:left w:w="108" w:type="dxa"/>
            <w:bottom w:w="0" w:type="dxa"/>
            <w:right w:w="108" w:type="dxa"/>
          </w:tblCellMar>
        </w:tblPrEx>
        <w:trPr>
          <w:trHeight w:val="450" w:hRule="atLeast"/>
        </w:trPr>
        <w:tc>
          <w:tcPr>
            <w:tcW w:w="7960" w:type="dxa"/>
            <w:gridSpan w:val="4"/>
            <w:tcBorders>
              <w:top w:val="nil"/>
              <w:left w:val="nil"/>
              <w:bottom w:val="nil"/>
              <w:right w:val="nil"/>
            </w:tcBorders>
            <w:vAlign w:val="center"/>
          </w:tcPr>
          <w:p>
            <w:pPr>
              <w:widowControl/>
              <w:jc w:val="center"/>
              <w:rPr>
                <w:rFonts w:ascii="方正小标宋_GBK" w:eastAsia="方正小标宋_GBK" w:cs="宋体"/>
                <w:b/>
                <w:bCs/>
                <w:kern w:val="0"/>
                <w:sz w:val="36"/>
                <w:szCs w:val="36"/>
              </w:rPr>
            </w:pPr>
            <w:r>
              <w:rPr>
                <w:rFonts w:ascii="方正小标宋_GBK" w:hAnsi="宋体" w:eastAsia="方正小标宋_GBK" w:cs="宋体"/>
                <w:b/>
                <w:bCs/>
                <w:kern w:val="0"/>
                <w:sz w:val="36"/>
                <w:szCs w:val="36"/>
              </w:rPr>
              <w:t>201</w:t>
            </w:r>
            <w:r>
              <w:rPr>
                <w:rFonts w:hint="eastAsia" w:ascii="方正小标宋_GBK" w:hAnsi="宋体" w:eastAsia="方正小标宋_GBK" w:cs="宋体"/>
                <w:b/>
                <w:bCs/>
                <w:kern w:val="0"/>
                <w:sz w:val="36"/>
                <w:szCs w:val="36"/>
              </w:rPr>
              <w:t>9年盐边县政府性基金收支决算平衡表</w:t>
            </w:r>
          </w:p>
        </w:tc>
      </w:tr>
      <w:tr>
        <w:tblPrEx>
          <w:tblLayout w:type="fixed"/>
          <w:tblCellMar>
            <w:top w:w="0" w:type="dxa"/>
            <w:left w:w="108" w:type="dxa"/>
            <w:bottom w:w="0" w:type="dxa"/>
            <w:right w:w="108" w:type="dxa"/>
          </w:tblCellMar>
        </w:tblPrEx>
        <w:trPr>
          <w:trHeight w:val="480" w:hRule="atLeast"/>
        </w:trPr>
        <w:tc>
          <w:tcPr>
            <w:tcW w:w="7960" w:type="dxa"/>
            <w:gridSpan w:val="4"/>
            <w:tcBorders>
              <w:top w:val="nil"/>
              <w:left w:val="nil"/>
              <w:bottom w:val="single" w:color="auto" w:sz="4" w:space="0"/>
              <w:right w:val="nil"/>
            </w:tcBorders>
            <w:vAlign w:val="center"/>
          </w:tcPr>
          <w:p>
            <w:pPr>
              <w:widowControl/>
              <w:jc w:val="right"/>
              <w:rPr>
                <w:rFonts w:ascii="宋体" w:cs="宋体"/>
                <w:kern w:val="0"/>
                <w:sz w:val="20"/>
                <w:szCs w:val="20"/>
              </w:rPr>
            </w:pPr>
            <w:r>
              <w:rPr>
                <w:rFonts w:hint="eastAsia" w:ascii="宋体" w:hAnsi="宋体" w:cs="宋体"/>
                <w:kern w:val="0"/>
                <w:sz w:val="20"/>
                <w:szCs w:val="20"/>
              </w:rPr>
              <w:t>单位：万元</w:t>
            </w:r>
          </w:p>
        </w:tc>
      </w:tr>
      <w:tr>
        <w:tblPrEx>
          <w:tblLayout w:type="fixed"/>
          <w:tblCellMar>
            <w:top w:w="0" w:type="dxa"/>
            <w:left w:w="108" w:type="dxa"/>
            <w:bottom w:w="0" w:type="dxa"/>
            <w:right w:w="108" w:type="dxa"/>
          </w:tblCellMar>
        </w:tblPrEx>
        <w:trPr>
          <w:trHeight w:val="312" w:hRule="atLeast"/>
        </w:trPr>
        <w:tc>
          <w:tcPr>
            <w:tcW w:w="26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收入</w:t>
            </w:r>
          </w:p>
        </w:tc>
        <w:tc>
          <w:tcPr>
            <w:tcW w:w="13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决算数</w:t>
            </w:r>
          </w:p>
        </w:tc>
        <w:tc>
          <w:tcPr>
            <w:tcW w:w="260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支出</w:t>
            </w:r>
          </w:p>
        </w:tc>
        <w:tc>
          <w:tcPr>
            <w:tcW w:w="135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决算数</w:t>
            </w:r>
          </w:p>
        </w:tc>
      </w:tr>
      <w:tr>
        <w:tblPrEx>
          <w:tblLayout w:type="fixed"/>
          <w:tblCellMar>
            <w:top w:w="0" w:type="dxa"/>
            <w:left w:w="108" w:type="dxa"/>
            <w:bottom w:w="0" w:type="dxa"/>
            <w:right w:w="108" w:type="dxa"/>
          </w:tblCellMar>
        </w:tblPrEx>
        <w:trPr>
          <w:trHeight w:val="312" w:hRule="atLeast"/>
        </w:trPr>
        <w:tc>
          <w:tcPr>
            <w:tcW w:w="2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p>
        </w:tc>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2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3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r>
      <w:tr>
        <w:tblPrEx>
          <w:tblLayout w:type="fixed"/>
          <w:tblCellMar>
            <w:top w:w="0" w:type="dxa"/>
            <w:left w:w="108" w:type="dxa"/>
            <w:bottom w:w="0" w:type="dxa"/>
            <w:right w:w="108" w:type="dxa"/>
          </w:tblCellMar>
        </w:tblPrEx>
        <w:trPr>
          <w:trHeight w:val="312" w:hRule="atLeast"/>
        </w:trPr>
        <w:tc>
          <w:tcPr>
            <w:tcW w:w="2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p>
        </w:tc>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2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3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r>
      <w:tr>
        <w:tblPrEx>
          <w:tblLayout w:type="fixed"/>
          <w:tblCellMar>
            <w:top w:w="0" w:type="dxa"/>
            <w:left w:w="108" w:type="dxa"/>
            <w:bottom w:w="0" w:type="dxa"/>
            <w:right w:w="108" w:type="dxa"/>
          </w:tblCellMar>
        </w:tblPrEx>
        <w:trPr>
          <w:trHeight w:val="510" w:hRule="atLeast"/>
        </w:trPr>
        <w:tc>
          <w:tcPr>
            <w:tcW w:w="263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政府性基金收入</w:t>
            </w:r>
          </w:p>
        </w:tc>
        <w:tc>
          <w:tcPr>
            <w:tcW w:w="138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63,107</w:t>
            </w:r>
          </w:p>
        </w:tc>
        <w:tc>
          <w:tcPr>
            <w:tcW w:w="2600" w:type="dxa"/>
            <w:tcBorders>
              <w:top w:val="nil"/>
              <w:left w:val="nil"/>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政府性基金支出</w:t>
            </w:r>
          </w:p>
        </w:tc>
        <w:tc>
          <w:tcPr>
            <w:tcW w:w="135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65,674</w:t>
            </w:r>
          </w:p>
        </w:tc>
      </w:tr>
      <w:tr>
        <w:tblPrEx>
          <w:tblLayout w:type="fixed"/>
          <w:tblCellMar>
            <w:top w:w="0" w:type="dxa"/>
            <w:left w:w="108" w:type="dxa"/>
            <w:bottom w:w="0" w:type="dxa"/>
            <w:right w:w="108" w:type="dxa"/>
          </w:tblCellMar>
        </w:tblPrEx>
        <w:trPr>
          <w:trHeight w:val="510" w:hRule="atLeast"/>
        </w:trPr>
        <w:tc>
          <w:tcPr>
            <w:tcW w:w="263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上级补助收入</w:t>
            </w:r>
          </w:p>
        </w:tc>
        <w:tc>
          <w:tcPr>
            <w:tcW w:w="138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2,317</w:t>
            </w:r>
          </w:p>
        </w:tc>
        <w:tc>
          <w:tcPr>
            <w:tcW w:w="2600" w:type="dxa"/>
            <w:tcBorders>
              <w:top w:val="nil"/>
              <w:left w:val="nil"/>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调出资金</w:t>
            </w:r>
          </w:p>
        </w:tc>
        <w:tc>
          <w:tcPr>
            <w:tcW w:w="135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10" w:hRule="atLeast"/>
        </w:trPr>
        <w:tc>
          <w:tcPr>
            <w:tcW w:w="263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上年结余收入</w:t>
            </w:r>
          </w:p>
        </w:tc>
        <w:tc>
          <w:tcPr>
            <w:tcW w:w="138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35</w:t>
            </w:r>
          </w:p>
        </w:tc>
        <w:tc>
          <w:tcPr>
            <w:tcW w:w="2600" w:type="dxa"/>
            <w:tcBorders>
              <w:top w:val="nil"/>
              <w:left w:val="nil"/>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年终结余</w:t>
            </w:r>
          </w:p>
        </w:tc>
        <w:tc>
          <w:tcPr>
            <w:tcW w:w="135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24,000</w:t>
            </w:r>
          </w:p>
        </w:tc>
      </w:tr>
      <w:tr>
        <w:tblPrEx>
          <w:tblLayout w:type="fixed"/>
          <w:tblCellMar>
            <w:top w:w="0" w:type="dxa"/>
            <w:left w:w="108" w:type="dxa"/>
            <w:bottom w:w="0" w:type="dxa"/>
            <w:right w:w="108" w:type="dxa"/>
          </w:tblCellMar>
        </w:tblPrEx>
        <w:trPr>
          <w:trHeight w:val="510" w:hRule="atLeast"/>
        </w:trPr>
        <w:tc>
          <w:tcPr>
            <w:tcW w:w="263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债务转贷收入</w:t>
            </w:r>
          </w:p>
        </w:tc>
        <w:tc>
          <w:tcPr>
            <w:tcW w:w="138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24,300</w:t>
            </w:r>
          </w:p>
        </w:tc>
        <w:tc>
          <w:tcPr>
            <w:tcW w:w="260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35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10" w:hRule="atLeast"/>
        </w:trPr>
        <w:tc>
          <w:tcPr>
            <w:tcW w:w="263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地方政府专项债务转贷收入</w:t>
            </w:r>
          </w:p>
        </w:tc>
        <w:tc>
          <w:tcPr>
            <w:tcW w:w="138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24,300</w:t>
            </w:r>
          </w:p>
        </w:tc>
        <w:tc>
          <w:tcPr>
            <w:tcW w:w="260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35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10" w:hRule="atLeast"/>
        </w:trPr>
        <w:tc>
          <w:tcPr>
            <w:tcW w:w="263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38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260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35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10" w:hRule="atLeast"/>
        </w:trPr>
        <w:tc>
          <w:tcPr>
            <w:tcW w:w="263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38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260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35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10" w:hRule="atLeast"/>
        </w:trPr>
        <w:tc>
          <w:tcPr>
            <w:tcW w:w="2630"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收入总计</w:t>
            </w:r>
          </w:p>
        </w:tc>
        <w:tc>
          <w:tcPr>
            <w:tcW w:w="138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89,759</w:t>
            </w:r>
          </w:p>
        </w:tc>
        <w:tc>
          <w:tcPr>
            <w:tcW w:w="260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支出总计</w:t>
            </w:r>
          </w:p>
        </w:tc>
        <w:tc>
          <w:tcPr>
            <w:tcW w:w="135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89,759</w:t>
            </w:r>
          </w:p>
        </w:tc>
      </w:tr>
    </w:tbl>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ascii="黑体" w:eastAsia="黑体"/>
          <w:sz w:val="32"/>
          <w:szCs w:val="32"/>
        </w:rPr>
      </w:pPr>
      <w:r>
        <w:rPr>
          <w:rFonts w:hint="eastAsia" w:ascii="黑体" w:eastAsia="黑体"/>
          <w:sz w:val="32"/>
          <w:szCs w:val="32"/>
        </w:rPr>
        <w:t>附件</w:t>
      </w:r>
      <w:r>
        <w:rPr>
          <w:rFonts w:ascii="黑体" w:eastAsia="黑体"/>
          <w:sz w:val="32"/>
          <w:szCs w:val="32"/>
        </w:rPr>
        <w:t>7</w:t>
      </w:r>
    </w:p>
    <w:p>
      <w:pPr>
        <w:spacing w:line="560" w:lineRule="exact"/>
        <w:rPr>
          <w:rFonts w:eastAsia="仿宋_GB2312"/>
          <w:b/>
          <w:sz w:val="32"/>
          <w:szCs w:val="32"/>
        </w:rPr>
      </w:pPr>
    </w:p>
    <w:tbl>
      <w:tblPr>
        <w:tblStyle w:val="7"/>
        <w:tblW w:w="8340" w:type="dxa"/>
        <w:tblInd w:w="93" w:type="dxa"/>
        <w:tblLayout w:type="fixed"/>
        <w:tblCellMar>
          <w:top w:w="0" w:type="dxa"/>
          <w:left w:w="108" w:type="dxa"/>
          <w:bottom w:w="0" w:type="dxa"/>
          <w:right w:w="108" w:type="dxa"/>
        </w:tblCellMar>
      </w:tblPr>
      <w:tblGrid>
        <w:gridCol w:w="3070"/>
        <w:gridCol w:w="998"/>
        <w:gridCol w:w="998"/>
        <w:gridCol w:w="998"/>
        <w:gridCol w:w="1138"/>
        <w:gridCol w:w="1138"/>
      </w:tblGrid>
      <w:tr>
        <w:tblPrEx>
          <w:tblLayout w:type="fixed"/>
          <w:tblCellMar>
            <w:top w:w="0" w:type="dxa"/>
            <w:left w:w="108" w:type="dxa"/>
            <w:bottom w:w="0" w:type="dxa"/>
            <w:right w:w="108" w:type="dxa"/>
          </w:tblCellMar>
        </w:tblPrEx>
        <w:trPr>
          <w:trHeight w:val="450" w:hRule="atLeast"/>
        </w:trPr>
        <w:tc>
          <w:tcPr>
            <w:tcW w:w="8340" w:type="dxa"/>
            <w:gridSpan w:val="6"/>
            <w:tcBorders>
              <w:top w:val="nil"/>
              <w:left w:val="nil"/>
              <w:bottom w:val="nil"/>
              <w:right w:val="nil"/>
            </w:tcBorders>
            <w:vAlign w:val="center"/>
          </w:tcPr>
          <w:p>
            <w:pPr>
              <w:widowControl/>
              <w:jc w:val="center"/>
              <w:rPr>
                <w:rFonts w:ascii="方正小标宋_GBK" w:eastAsia="方正小标宋_GBK" w:cs="宋体"/>
                <w:b/>
                <w:bCs/>
                <w:kern w:val="0"/>
                <w:sz w:val="36"/>
                <w:szCs w:val="36"/>
              </w:rPr>
            </w:pPr>
            <w:r>
              <w:rPr>
                <w:rFonts w:ascii="方正小标宋_GBK" w:hAnsi="宋体" w:eastAsia="方正小标宋_GBK" w:cs="宋体"/>
                <w:b/>
                <w:bCs/>
                <w:kern w:val="0"/>
                <w:sz w:val="36"/>
                <w:szCs w:val="36"/>
              </w:rPr>
              <w:t>201</w:t>
            </w:r>
            <w:r>
              <w:rPr>
                <w:rFonts w:hint="eastAsia" w:ascii="方正小标宋_GBK" w:hAnsi="宋体" w:eastAsia="方正小标宋_GBK" w:cs="宋体"/>
                <w:b/>
                <w:bCs/>
                <w:kern w:val="0"/>
                <w:sz w:val="36"/>
                <w:szCs w:val="36"/>
              </w:rPr>
              <w:t>9年盐边县国有资本经营预算收入决算表</w:t>
            </w:r>
          </w:p>
        </w:tc>
      </w:tr>
      <w:tr>
        <w:tblPrEx>
          <w:tblLayout w:type="fixed"/>
          <w:tblCellMar>
            <w:top w:w="0" w:type="dxa"/>
            <w:left w:w="108" w:type="dxa"/>
            <w:bottom w:w="0" w:type="dxa"/>
            <w:right w:w="108" w:type="dxa"/>
          </w:tblCellMar>
        </w:tblPrEx>
        <w:trPr>
          <w:trHeight w:val="420" w:hRule="atLeast"/>
        </w:trPr>
        <w:tc>
          <w:tcPr>
            <w:tcW w:w="8340" w:type="dxa"/>
            <w:gridSpan w:val="6"/>
            <w:tcBorders>
              <w:top w:val="nil"/>
              <w:left w:val="nil"/>
              <w:bottom w:val="nil"/>
              <w:right w:val="nil"/>
            </w:tcBorders>
            <w:vAlign w:val="center"/>
          </w:tcPr>
          <w:p>
            <w:pPr>
              <w:widowControl/>
              <w:jc w:val="right"/>
              <w:rPr>
                <w:rFonts w:ascii="宋体" w:cs="宋体"/>
                <w:kern w:val="0"/>
                <w:sz w:val="20"/>
                <w:szCs w:val="20"/>
              </w:rPr>
            </w:pPr>
            <w:r>
              <w:rPr>
                <w:rFonts w:hint="eastAsia" w:ascii="宋体" w:hAnsi="宋体" w:cs="宋体"/>
                <w:kern w:val="0"/>
                <w:sz w:val="20"/>
                <w:szCs w:val="20"/>
              </w:rPr>
              <w:t>单位：万元</w:t>
            </w:r>
          </w:p>
        </w:tc>
      </w:tr>
      <w:tr>
        <w:tblPrEx>
          <w:tblLayout w:type="fixed"/>
          <w:tblCellMar>
            <w:top w:w="0" w:type="dxa"/>
            <w:left w:w="108" w:type="dxa"/>
            <w:bottom w:w="0" w:type="dxa"/>
            <w:right w:w="108" w:type="dxa"/>
          </w:tblCellMar>
        </w:tblPrEx>
        <w:trPr>
          <w:trHeight w:val="312" w:hRule="atLeast"/>
        </w:trPr>
        <w:tc>
          <w:tcPr>
            <w:tcW w:w="30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预算科目</w:t>
            </w:r>
          </w:p>
        </w:tc>
        <w:tc>
          <w:tcPr>
            <w:tcW w:w="99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年初预算数</w:t>
            </w:r>
          </w:p>
        </w:tc>
        <w:tc>
          <w:tcPr>
            <w:tcW w:w="99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调整预算数</w:t>
            </w:r>
          </w:p>
        </w:tc>
        <w:tc>
          <w:tcPr>
            <w:tcW w:w="99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决算数</w:t>
            </w:r>
          </w:p>
        </w:tc>
        <w:tc>
          <w:tcPr>
            <w:tcW w:w="113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为调整预算（</w:t>
            </w:r>
            <w:r>
              <w:rPr>
                <w:rFonts w:ascii="宋体" w:hAnsi="宋体" w:cs="宋体"/>
                <w:b/>
                <w:bCs/>
                <w:kern w:val="0"/>
                <w:sz w:val="20"/>
                <w:szCs w:val="20"/>
              </w:rPr>
              <w:t>%</w:t>
            </w:r>
            <w:r>
              <w:rPr>
                <w:rFonts w:hint="eastAsia" w:ascii="宋体" w:hAnsi="宋体" w:cs="宋体"/>
                <w:b/>
                <w:bCs/>
                <w:kern w:val="0"/>
                <w:sz w:val="20"/>
                <w:szCs w:val="20"/>
              </w:rPr>
              <w:t>）</w:t>
            </w:r>
          </w:p>
        </w:tc>
        <w:tc>
          <w:tcPr>
            <w:tcW w:w="113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为上年决算（</w:t>
            </w:r>
            <w:r>
              <w:rPr>
                <w:rFonts w:ascii="宋体" w:hAnsi="宋体" w:cs="宋体"/>
                <w:b/>
                <w:bCs/>
                <w:kern w:val="0"/>
                <w:sz w:val="20"/>
                <w:szCs w:val="20"/>
              </w:rPr>
              <w:t>%</w:t>
            </w:r>
            <w:r>
              <w:rPr>
                <w:rFonts w:hint="eastAsia" w:ascii="宋体" w:hAnsi="宋体" w:cs="宋体"/>
                <w:b/>
                <w:bCs/>
                <w:kern w:val="0"/>
                <w:sz w:val="20"/>
                <w:szCs w:val="20"/>
              </w:rPr>
              <w:t>）</w:t>
            </w:r>
          </w:p>
        </w:tc>
      </w:tr>
      <w:tr>
        <w:tblPrEx>
          <w:tblLayout w:type="fixed"/>
          <w:tblCellMar>
            <w:top w:w="0" w:type="dxa"/>
            <w:left w:w="108" w:type="dxa"/>
            <w:bottom w:w="0" w:type="dxa"/>
            <w:right w:w="108" w:type="dxa"/>
          </w:tblCellMar>
        </w:tblPrEx>
        <w:trPr>
          <w:trHeight w:val="312" w:hRule="atLeast"/>
        </w:trPr>
        <w:tc>
          <w:tcPr>
            <w:tcW w:w="3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p>
        </w:tc>
        <w:tc>
          <w:tcPr>
            <w:tcW w:w="99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99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99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13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13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r>
      <w:tr>
        <w:tblPrEx>
          <w:tblLayout w:type="fixed"/>
          <w:tblCellMar>
            <w:top w:w="0" w:type="dxa"/>
            <w:left w:w="108" w:type="dxa"/>
            <w:bottom w:w="0" w:type="dxa"/>
            <w:right w:w="108" w:type="dxa"/>
          </w:tblCellMar>
        </w:tblPrEx>
        <w:trPr>
          <w:trHeight w:val="312" w:hRule="atLeast"/>
        </w:trPr>
        <w:tc>
          <w:tcPr>
            <w:tcW w:w="3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p>
        </w:tc>
        <w:tc>
          <w:tcPr>
            <w:tcW w:w="99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99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99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13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13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r>
      <w:tr>
        <w:tblPrEx>
          <w:tblLayout w:type="fixed"/>
          <w:tblCellMar>
            <w:top w:w="0" w:type="dxa"/>
            <w:left w:w="108" w:type="dxa"/>
            <w:bottom w:w="0" w:type="dxa"/>
            <w:right w:w="108" w:type="dxa"/>
          </w:tblCellMar>
        </w:tblPrEx>
        <w:trPr>
          <w:trHeight w:val="510" w:hRule="atLeast"/>
        </w:trPr>
        <w:tc>
          <w:tcPr>
            <w:tcW w:w="307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国有资本经营收入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w:t>
            </w:r>
          </w:p>
        </w:tc>
        <w:tc>
          <w:tcPr>
            <w:tcW w:w="113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100.0</w:t>
            </w:r>
          </w:p>
        </w:tc>
        <w:tc>
          <w:tcPr>
            <w:tcW w:w="113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50.0</w:t>
            </w:r>
          </w:p>
        </w:tc>
      </w:tr>
      <w:tr>
        <w:tblPrEx>
          <w:tblLayout w:type="fixed"/>
          <w:tblCellMar>
            <w:top w:w="0" w:type="dxa"/>
            <w:left w:w="108" w:type="dxa"/>
            <w:bottom w:w="0" w:type="dxa"/>
            <w:right w:w="108" w:type="dxa"/>
          </w:tblCellMar>
        </w:tblPrEx>
        <w:trPr>
          <w:trHeight w:val="510" w:hRule="atLeast"/>
        </w:trPr>
        <w:tc>
          <w:tcPr>
            <w:tcW w:w="307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其他国有资本经营收入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w:t>
            </w:r>
          </w:p>
        </w:tc>
        <w:tc>
          <w:tcPr>
            <w:tcW w:w="113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100.0</w:t>
            </w:r>
          </w:p>
        </w:tc>
        <w:tc>
          <w:tcPr>
            <w:tcW w:w="113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50.0</w:t>
            </w:r>
          </w:p>
        </w:tc>
      </w:tr>
      <w:tr>
        <w:tblPrEx>
          <w:tblLayout w:type="fixed"/>
          <w:tblCellMar>
            <w:top w:w="0" w:type="dxa"/>
            <w:left w:w="108" w:type="dxa"/>
            <w:bottom w:w="0" w:type="dxa"/>
            <w:right w:w="108" w:type="dxa"/>
          </w:tblCellMar>
        </w:tblPrEx>
        <w:trPr>
          <w:trHeight w:val="510" w:hRule="atLeast"/>
        </w:trPr>
        <w:tc>
          <w:tcPr>
            <w:tcW w:w="307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3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38"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510" w:hRule="atLeast"/>
        </w:trPr>
        <w:tc>
          <w:tcPr>
            <w:tcW w:w="3070"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收入合计</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w:t>
            </w:r>
          </w:p>
        </w:tc>
        <w:tc>
          <w:tcPr>
            <w:tcW w:w="113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100.0</w:t>
            </w:r>
          </w:p>
        </w:tc>
        <w:tc>
          <w:tcPr>
            <w:tcW w:w="113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50.0</w:t>
            </w:r>
          </w:p>
        </w:tc>
      </w:tr>
    </w:tbl>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ascii="黑体" w:eastAsia="黑体"/>
          <w:sz w:val="32"/>
          <w:szCs w:val="32"/>
        </w:rPr>
      </w:pPr>
      <w:r>
        <w:rPr>
          <w:rFonts w:hint="eastAsia" w:ascii="黑体" w:eastAsia="黑体"/>
          <w:sz w:val="32"/>
          <w:szCs w:val="32"/>
        </w:rPr>
        <w:t>附件</w:t>
      </w:r>
      <w:r>
        <w:rPr>
          <w:rFonts w:ascii="黑体" w:eastAsia="黑体"/>
          <w:sz w:val="32"/>
          <w:szCs w:val="32"/>
        </w:rPr>
        <w:t>8</w:t>
      </w:r>
    </w:p>
    <w:p>
      <w:pPr>
        <w:spacing w:line="560" w:lineRule="exact"/>
        <w:rPr>
          <w:rFonts w:eastAsia="仿宋_GB2312"/>
          <w:b/>
          <w:sz w:val="32"/>
          <w:szCs w:val="32"/>
        </w:rPr>
      </w:pPr>
    </w:p>
    <w:tbl>
      <w:tblPr>
        <w:tblStyle w:val="7"/>
        <w:tblW w:w="8342" w:type="dxa"/>
        <w:tblInd w:w="93" w:type="dxa"/>
        <w:tblLayout w:type="fixed"/>
        <w:tblCellMar>
          <w:top w:w="0" w:type="dxa"/>
          <w:left w:w="108" w:type="dxa"/>
          <w:bottom w:w="0" w:type="dxa"/>
          <w:right w:w="108" w:type="dxa"/>
        </w:tblCellMar>
      </w:tblPr>
      <w:tblGrid>
        <w:gridCol w:w="3247"/>
        <w:gridCol w:w="965"/>
        <w:gridCol w:w="965"/>
        <w:gridCol w:w="965"/>
        <w:gridCol w:w="1100"/>
        <w:gridCol w:w="1100"/>
      </w:tblGrid>
      <w:tr>
        <w:tblPrEx>
          <w:tblLayout w:type="fixed"/>
          <w:tblCellMar>
            <w:top w:w="0" w:type="dxa"/>
            <w:left w:w="108" w:type="dxa"/>
            <w:bottom w:w="0" w:type="dxa"/>
            <w:right w:w="108" w:type="dxa"/>
          </w:tblCellMar>
        </w:tblPrEx>
        <w:trPr>
          <w:trHeight w:val="600" w:hRule="atLeast"/>
        </w:trPr>
        <w:tc>
          <w:tcPr>
            <w:tcW w:w="8342" w:type="dxa"/>
            <w:gridSpan w:val="6"/>
            <w:tcBorders>
              <w:top w:val="nil"/>
              <w:left w:val="nil"/>
              <w:bottom w:val="nil"/>
              <w:right w:val="nil"/>
            </w:tcBorders>
            <w:vAlign w:val="center"/>
          </w:tcPr>
          <w:p>
            <w:pPr>
              <w:widowControl/>
              <w:jc w:val="center"/>
              <w:rPr>
                <w:rFonts w:ascii="方正小标宋_GBK" w:eastAsia="方正小标宋_GBK" w:cs="宋体"/>
                <w:b/>
                <w:bCs/>
                <w:kern w:val="0"/>
                <w:sz w:val="36"/>
                <w:szCs w:val="36"/>
              </w:rPr>
            </w:pPr>
            <w:r>
              <w:rPr>
                <w:rFonts w:ascii="方正小标宋_GBK" w:hAnsi="宋体" w:eastAsia="方正小标宋_GBK" w:cs="宋体"/>
                <w:b/>
                <w:bCs/>
                <w:kern w:val="0"/>
                <w:sz w:val="36"/>
                <w:szCs w:val="36"/>
              </w:rPr>
              <w:t>201</w:t>
            </w:r>
            <w:r>
              <w:rPr>
                <w:rFonts w:hint="eastAsia" w:ascii="方正小标宋_GBK" w:hAnsi="宋体" w:eastAsia="方正小标宋_GBK" w:cs="宋体"/>
                <w:b/>
                <w:bCs/>
                <w:kern w:val="0"/>
                <w:sz w:val="36"/>
                <w:szCs w:val="36"/>
              </w:rPr>
              <w:t>9年盐边县国有资本经营预算支出决算表</w:t>
            </w:r>
          </w:p>
        </w:tc>
      </w:tr>
      <w:tr>
        <w:tblPrEx>
          <w:tblLayout w:type="fixed"/>
          <w:tblCellMar>
            <w:top w:w="0" w:type="dxa"/>
            <w:left w:w="108" w:type="dxa"/>
            <w:bottom w:w="0" w:type="dxa"/>
            <w:right w:w="108" w:type="dxa"/>
          </w:tblCellMar>
        </w:tblPrEx>
        <w:trPr>
          <w:trHeight w:val="465" w:hRule="atLeast"/>
        </w:trPr>
        <w:tc>
          <w:tcPr>
            <w:tcW w:w="8342" w:type="dxa"/>
            <w:gridSpan w:val="6"/>
            <w:tcBorders>
              <w:top w:val="nil"/>
              <w:left w:val="nil"/>
              <w:bottom w:val="nil"/>
              <w:right w:val="nil"/>
            </w:tcBorders>
            <w:vAlign w:val="center"/>
          </w:tcPr>
          <w:p>
            <w:pPr>
              <w:widowControl/>
              <w:jc w:val="right"/>
              <w:rPr>
                <w:rFonts w:ascii="宋体" w:cs="宋体"/>
                <w:kern w:val="0"/>
                <w:sz w:val="20"/>
                <w:szCs w:val="20"/>
              </w:rPr>
            </w:pPr>
            <w:r>
              <w:rPr>
                <w:rFonts w:hint="eastAsia" w:ascii="宋体" w:hAnsi="宋体" w:cs="宋体"/>
                <w:kern w:val="0"/>
                <w:sz w:val="20"/>
                <w:szCs w:val="20"/>
              </w:rPr>
              <w:t>单位：万元</w:t>
            </w:r>
          </w:p>
        </w:tc>
      </w:tr>
      <w:tr>
        <w:tblPrEx>
          <w:tblLayout w:type="fixed"/>
          <w:tblCellMar>
            <w:top w:w="0" w:type="dxa"/>
            <w:left w:w="108" w:type="dxa"/>
            <w:bottom w:w="0" w:type="dxa"/>
            <w:right w:w="108" w:type="dxa"/>
          </w:tblCellMar>
        </w:tblPrEx>
        <w:trPr>
          <w:trHeight w:val="312" w:hRule="atLeast"/>
        </w:trPr>
        <w:tc>
          <w:tcPr>
            <w:tcW w:w="32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预算科目</w:t>
            </w:r>
          </w:p>
        </w:tc>
        <w:tc>
          <w:tcPr>
            <w:tcW w:w="96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年初预算数</w:t>
            </w:r>
          </w:p>
        </w:tc>
        <w:tc>
          <w:tcPr>
            <w:tcW w:w="96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调整预算数</w:t>
            </w:r>
          </w:p>
        </w:tc>
        <w:tc>
          <w:tcPr>
            <w:tcW w:w="96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决算数</w:t>
            </w:r>
          </w:p>
        </w:tc>
        <w:tc>
          <w:tcPr>
            <w:tcW w:w="110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为调整预算（</w:t>
            </w:r>
            <w:r>
              <w:rPr>
                <w:rFonts w:ascii="宋体" w:hAnsi="宋体" w:cs="宋体"/>
                <w:b/>
                <w:bCs/>
                <w:kern w:val="0"/>
                <w:sz w:val="20"/>
                <w:szCs w:val="20"/>
              </w:rPr>
              <w:t>%</w:t>
            </w:r>
            <w:r>
              <w:rPr>
                <w:rFonts w:hint="eastAsia" w:ascii="宋体" w:hAnsi="宋体" w:cs="宋体"/>
                <w:b/>
                <w:bCs/>
                <w:kern w:val="0"/>
                <w:sz w:val="20"/>
                <w:szCs w:val="20"/>
              </w:rPr>
              <w:t>）</w:t>
            </w:r>
          </w:p>
        </w:tc>
        <w:tc>
          <w:tcPr>
            <w:tcW w:w="110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为上年决算（</w:t>
            </w:r>
            <w:r>
              <w:rPr>
                <w:rFonts w:ascii="宋体" w:hAnsi="宋体" w:cs="宋体"/>
                <w:b/>
                <w:bCs/>
                <w:kern w:val="0"/>
                <w:sz w:val="20"/>
                <w:szCs w:val="20"/>
              </w:rPr>
              <w:t>%</w:t>
            </w:r>
            <w:r>
              <w:rPr>
                <w:rFonts w:hint="eastAsia" w:ascii="宋体" w:hAnsi="宋体" w:cs="宋体"/>
                <w:b/>
                <w:bCs/>
                <w:kern w:val="0"/>
                <w:sz w:val="20"/>
                <w:szCs w:val="20"/>
              </w:rPr>
              <w:t>）</w:t>
            </w:r>
          </w:p>
        </w:tc>
      </w:tr>
      <w:tr>
        <w:tblPrEx>
          <w:tblLayout w:type="fixed"/>
          <w:tblCellMar>
            <w:top w:w="0" w:type="dxa"/>
            <w:left w:w="108" w:type="dxa"/>
            <w:bottom w:w="0" w:type="dxa"/>
            <w:right w:w="108" w:type="dxa"/>
          </w:tblCellMar>
        </w:tblPrEx>
        <w:trPr>
          <w:trHeight w:val="312" w:hRule="atLeast"/>
        </w:trPr>
        <w:tc>
          <w:tcPr>
            <w:tcW w:w="32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p>
        </w:tc>
        <w:tc>
          <w:tcPr>
            <w:tcW w:w="96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96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96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1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1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r>
      <w:tr>
        <w:tblPrEx>
          <w:tblLayout w:type="fixed"/>
          <w:tblCellMar>
            <w:top w:w="0" w:type="dxa"/>
            <w:left w:w="108" w:type="dxa"/>
            <w:bottom w:w="0" w:type="dxa"/>
            <w:right w:w="108" w:type="dxa"/>
          </w:tblCellMar>
        </w:tblPrEx>
        <w:trPr>
          <w:trHeight w:val="312" w:hRule="atLeast"/>
        </w:trPr>
        <w:tc>
          <w:tcPr>
            <w:tcW w:w="32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p>
        </w:tc>
        <w:tc>
          <w:tcPr>
            <w:tcW w:w="96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96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96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1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1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r>
      <w:tr>
        <w:tblPrEx>
          <w:tblLayout w:type="fixed"/>
          <w:tblCellMar>
            <w:top w:w="0" w:type="dxa"/>
            <w:left w:w="108" w:type="dxa"/>
            <w:bottom w:w="0" w:type="dxa"/>
            <w:right w:w="108" w:type="dxa"/>
          </w:tblCellMar>
        </w:tblPrEx>
        <w:trPr>
          <w:trHeight w:val="510" w:hRule="atLeast"/>
        </w:trPr>
        <w:tc>
          <w:tcPr>
            <w:tcW w:w="3247"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国有资本经营预算支出</w:t>
            </w:r>
          </w:p>
        </w:tc>
        <w:tc>
          <w:tcPr>
            <w:tcW w:w="96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96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96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0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0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10" w:hRule="atLeast"/>
        </w:trPr>
        <w:tc>
          <w:tcPr>
            <w:tcW w:w="3247"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国有资本经营预算调出资金</w:t>
            </w:r>
          </w:p>
        </w:tc>
        <w:tc>
          <w:tcPr>
            <w:tcW w:w="96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w:t>
            </w:r>
          </w:p>
        </w:tc>
        <w:tc>
          <w:tcPr>
            <w:tcW w:w="96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w:t>
            </w:r>
          </w:p>
        </w:tc>
        <w:tc>
          <w:tcPr>
            <w:tcW w:w="96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w:t>
            </w:r>
          </w:p>
        </w:tc>
        <w:tc>
          <w:tcPr>
            <w:tcW w:w="110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100.0</w:t>
            </w:r>
          </w:p>
        </w:tc>
        <w:tc>
          <w:tcPr>
            <w:tcW w:w="110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50.0</w:t>
            </w:r>
          </w:p>
        </w:tc>
      </w:tr>
      <w:tr>
        <w:tblPrEx>
          <w:tblLayout w:type="fixed"/>
          <w:tblCellMar>
            <w:top w:w="0" w:type="dxa"/>
            <w:left w:w="108" w:type="dxa"/>
            <w:bottom w:w="0" w:type="dxa"/>
            <w:right w:w="108" w:type="dxa"/>
          </w:tblCellMar>
        </w:tblPrEx>
        <w:trPr>
          <w:trHeight w:val="510" w:hRule="atLeast"/>
        </w:trPr>
        <w:tc>
          <w:tcPr>
            <w:tcW w:w="3247"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6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96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96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0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510" w:hRule="atLeast"/>
        </w:trPr>
        <w:tc>
          <w:tcPr>
            <w:tcW w:w="3247"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支出合计</w:t>
            </w:r>
          </w:p>
        </w:tc>
        <w:tc>
          <w:tcPr>
            <w:tcW w:w="96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w:t>
            </w:r>
          </w:p>
        </w:tc>
        <w:tc>
          <w:tcPr>
            <w:tcW w:w="96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w:t>
            </w:r>
          </w:p>
        </w:tc>
        <w:tc>
          <w:tcPr>
            <w:tcW w:w="96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w:t>
            </w:r>
          </w:p>
        </w:tc>
        <w:tc>
          <w:tcPr>
            <w:tcW w:w="110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100.0</w:t>
            </w:r>
          </w:p>
        </w:tc>
        <w:tc>
          <w:tcPr>
            <w:tcW w:w="110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50.0</w:t>
            </w:r>
          </w:p>
        </w:tc>
      </w:tr>
    </w:tbl>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ascii="黑体" w:eastAsia="黑体"/>
          <w:sz w:val="32"/>
          <w:szCs w:val="32"/>
        </w:rPr>
      </w:pPr>
      <w:r>
        <w:rPr>
          <w:rFonts w:hint="eastAsia" w:ascii="黑体" w:eastAsia="黑体"/>
          <w:sz w:val="32"/>
          <w:szCs w:val="32"/>
        </w:rPr>
        <w:t>附件</w:t>
      </w:r>
      <w:r>
        <w:rPr>
          <w:rFonts w:ascii="黑体" w:eastAsia="黑体"/>
          <w:sz w:val="32"/>
          <w:szCs w:val="32"/>
        </w:rPr>
        <w:t>9</w:t>
      </w:r>
    </w:p>
    <w:p>
      <w:pPr>
        <w:spacing w:line="560" w:lineRule="exact"/>
        <w:rPr>
          <w:rFonts w:eastAsia="仿宋_GB2312"/>
          <w:b/>
          <w:sz w:val="32"/>
          <w:szCs w:val="32"/>
        </w:rPr>
      </w:pPr>
    </w:p>
    <w:tbl>
      <w:tblPr>
        <w:tblStyle w:val="7"/>
        <w:tblW w:w="8095" w:type="dxa"/>
        <w:tblInd w:w="93" w:type="dxa"/>
        <w:tblLayout w:type="fixed"/>
        <w:tblCellMar>
          <w:top w:w="0" w:type="dxa"/>
          <w:left w:w="108" w:type="dxa"/>
          <w:bottom w:w="0" w:type="dxa"/>
          <w:right w:w="108" w:type="dxa"/>
        </w:tblCellMar>
      </w:tblPr>
      <w:tblGrid>
        <w:gridCol w:w="5128"/>
        <w:gridCol w:w="2967"/>
      </w:tblGrid>
      <w:tr>
        <w:tblPrEx>
          <w:tblLayout w:type="fixed"/>
          <w:tblCellMar>
            <w:top w:w="0" w:type="dxa"/>
            <w:left w:w="108" w:type="dxa"/>
            <w:bottom w:w="0" w:type="dxa"/>
            <w:right w:w="108" w:type="dxa"/>
          </w:tblCellMar>
        </w:tblPrEx>
        <w:trPr>
          <w:trHeight w:val="450" w:hRule="atLeast"/>
        </w:trPr>
        <w:tc>
          <w:tcPr>
            <w:tcW w:w="8095" w:type="dxa"/>
            <w:gridSpan w:val="2"/>
            <w:tcBorders>
              <w:top w:val="nil"/>
              <w:left w:val="nil"/>
              <w:bottom w:val="nil"/>
              <w:right w:val="nil"/>
            </w:tcBorders>
            <w:vAlign w:val="center"/>
          </w:tcPr>
          <w:p>
            <w:pPr>
              <w:widowControl/>
              <w:jc w:val="center"/>
              <w:rPr>
                <w:rFonts w:ascii="方正小标宋_GBK" w:eastAsia="方正小标宋_GBK" w:cs="宋体"/>
                <w:b/>
                <w:bCs/>
                <w:kern w:val="0"/>
                <w:sz w:val="36"/>
                <w:szCs w:val="36"/>
              </w:rPr>
            </w:pPr>
            <w:r>
              <w:rPr>
                <w:rFonts w:ascii="方正小标宋_GBK" w:hAnsi="宋体" w:eastAsia="方正小标宋_GBK" w:cs="宋体"/>
                <w:b/>
                <w:bCs/>
                <w:kern w:val="0"/>
                <w:sz w:val="36"/>
                <w:szCs w:val="36"/>
              </w:rPr>
              <w:t>201</w:t>
            </w:r>
            <w:r>
              <w:rPr>
                <w:rFonts w:hint="eastAsia" w:ascii="方正小标宋_GBK" w:hAnsi="宋体" w:eastAsia="方正小标宋_GBK" w:cs="宋体"/>
                <w:b/>
                <w:bCs/>
                <w:kern w:val="0"/>
                <w:sz w:val="36"/>
                <w:szCs w:val="36"/>
              </w:rPr>
              <w:t>9年盐边县地方政府专项债务余额情况表</w:t>
            </w:r>
          </w:p>
        </w:tc>
      </w:tr>
      <w:tr>
        <w:tblPrEx>
          <w:tblLayout w:type="fixed"/>
          <w:tblCellMar>
            <w:top w:w="0" w:type="dxa"/>
            <w:left w:w="108" w:type="dxa"/>
            <w:bottom w:w="0" w:type="dxa"/>
            <w:right w:w="108" w:type="dxa"/>
          </w:tblCellMar>
        </w:tblPrEx>
        <w:trPr>
          <w:trHeight w:val="615" w:hRule="atLeast"/>
        </w:trPr>
        <w:tc>
          <w:tcPr>
            <w:tcW w:w="8095" w:type="dxa"/>
            <w:gridSpan w:val="2"/>
            <w:tcBorders>
              <w:top w:val="nil"/>
              <w:left w:val="nil"/>
              <w:bottom w:val="nil"/>
              <w:right w:val="nil"/>
            </w:tcBorders>
            <w:vAlign w:val="center"/>
          </w:tcPr>
          <w:p>
            <w:pPr>
              <w:widowControl/>
              <w:jc w:val="right"/>
              <w:rPr>
                <w:rFonts w:ascii="宋体" w:cs="宋体"/>
                <w:kern w:val="0"/>
                <w:sz w:val="20"/>
                <w:szCs w:val="20"/>
              </w:rPr>
            </w:pPr>
            <w:r>
              <w:rPr>
                <w:rFonts w:hint="eastAsia" w:ascii="宋体" w:hAnsi="宋体" w:cs="宋体"/>
                <w:kern w:val="0"/>
                <w:sz w:val="20"/>
                <w:szCs w:val="20"/>
              </w:rPr>
              <w:t>单位：万元</w:t>
            </w:r>
          </w:p>
        </w:tc>
      </w:tr>
      <w:tr>
        <w:tblPrEx>
          <w:tblLayout w:type="fixed"/>
          <w:tblCellMar>
            <w:top w:w="0" w:type="dxa"/>
            <w:left w:w="108" w:type="dxa"/>
            <w:bottom w:w="0" w:type="dxa"/>
            <w:right w:w="108" w:type="dxa"/>
          </w:tblCellMar>
        </w:tblPrEx>
        <w:trPr>
          <w:trHeight w:val="495" w:hRule="atLeast"/>
        </w:trPr>
        <w:tc>
          <w:tcPr>
            <w:tcW w:w="51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项目</w:t>
            </w:r>
          </w:p>
        </w:tc>
        <w:tc>
          <w:tcPr>
            <w:tcW w:w="2967"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专项债务</w:t>
            </w:r>
          </w:p>
        </w:tc>
      </w:tr>
      <w:tr>
        <w:tblPrEx>
          <w:tblLayout w:type="fixed"/>
          <w:tblCellMar>
            <w:top w:w="0" w:type="dxa"/>
            <w:left w:w="108" w:type="dxa"/>
            <w:bottom w:w="0" w:type="dxa"/>
            <w:right w:w="108" w:type="dxa"/>
          </w:tblCellMar>
        </w:tblPrEx>
        <w:trPr>
          <w:trHeight w:val="615" w:hRule="atLeast"/>
        </w:trPr>
        <w:tc>
          <w:tcPr>
            <w:tcW w:w="5128"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一、</w:t>
            </w:r>
            <w:r>
              <w:rPr>
                <w:rFonts w:ascii="宋体" w:hAnsi="宋体" w:cs="宋体"/>
                <w:b/>
                <w:bCs/>
                <w:kern w:val="0"/>
                <w:sz w:val="20"/>
                <w:szCs w:val="20"/>
              </w:rPr>
              <w:t>201</w:t>
            </w:r>
            <w:r>
              <w:rPr>
                <w:rFonts w:hint="eastAsia" w:ascii="宋体" w:hAnsi="宋体" w:cs="宋体"/>
                <w:b/>
                <w:bCs/>
                <w:kern w:val="0"/>
                <w:sz w:val="20"/>
                <w:szCs w:val="20"/>
              </w:rPr>
              <w:t>8年末余额</w:t>
            </w:r>
          </w:p>
        </w:tc>
        <w:tc>
          <w:tcPr>
            <w:tcW w:w="2967"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29,540</w:t>
            </w:r>
          </w:p>
        </w:tc>
      </w:tr>
      <w:tr>
        <w:tblPrEx>
          <w:tblLayout w:type="fixed"/>
          <w:tblCellMar>
            <w:top w:w="0" w:type="dxa"/>
            <w:left w:w="108" w:type="dxa"/>
            <w:bottom w:w="0" w:type="dxa"/>
            <w:right w:w="108" w:type="dxa"/>
          </w:tblCellMar>
        </w:tblPrEx>
        <w:trPr>
          <w:trHeight w:val="615" w:hRule="atLeast"/>
        </w:trPr>
        <w:tc>
          <w:tcPr>
            <w:tcW w:w="5128"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二、</w:t>
            </w:r>
            <w:r>
              <w:rPr>
                <w:rFonts w:ascii="宋体" w:hAnsi="宋体" w:cs="宋体"/>
                <w:b/>
                <w:bCs/>
                <w:kern w:val="0"/>
                <w:sz w:val="20"/>
                <w:szCs w:val="20"/>
              </w:rPr>
              <w:t>201</w:t>
            </w:r>
            <w:r>
              <w:rPr>
                <w:rFonts w:hint="eastAsia" w:ascii="宋体" w:hAnsi="宋体" w:cs="宋体"/>
                <w:b/>
                <w:bCs/>
                <w:kern w:val="0"/>
                <w:sz w:val="20"/>
                <w:szCs w:val="20"/>
              </w:rPr>
              <w:t>9年新增额</w:t>
            </w:r>
          </w:p>
        </w:tc>
        <w:tc>
          <w:tcPr>
            <w:tcW w:w="2967"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24,300</w:t>
            </w:r>
          </w:p>
        </w:tc>
      </w:tr>
      <w:tr>
        <w:tblPrEx>
          <w:tblLayout w:type="fixed"/>
          <w:tblCellMar>
            <w:top w:w="0" w:type="dxa"/>
            <w:left w:w="108" w:type="dxa"/>
            <w:bottom w:w="0" w:type="dxa"/>
            <w:right w:w="108" w:type="dxa"/>
          </w:tblCellMar>
        </w:tblPrEx>
        <w:trPr>
          <w:trHeight w:val="615" w:hRule="atLeast"/>
        </w:trPr>
        <w:tc>
          <w:tcPr>
            <w:tcW w:w="5128"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三、</w:t>
            </w:r>
            <w:r>
              <w:rPr>
                <w:rFonts w:ascii="宋体" w:hAnsi="宋体" w:cs="宋体"/>
                <w:b/>
                <w:bCs/>
                <w:kern w:val="0"/>
                <w:sz w:val="20"/>
                <w:szCs w:val="20"/>
              </w:rPr>
              <w:t>201</w:t>
            </w:r>
            <w:r>
              <w:rPr>
                <w:rFonts w:hint="eastAsia" w:ascii="宋体" w:hAnsi="宋体" w:cs="宋体"/>
                <w:b/>
                <w:bCs/>
                <w:kern w:val="0"/>
                <w:sz w:val="20"/>
                <w:szCs w:val="20"/>
              </w:rPr>
              <w:t>9年偿还额</w:t>
            </w:r>
          </w:p>
        </w:tc>
        <w:tc>
          <w:tcPr>
            <w:tcW w:w="2967"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615" w:hRule="atLeast"/>
        </w:trPr>
        <w:tc>
          <w:tcPr>
            <w:tcW w:w="5128"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四、</w:t>
            </w:r>
            <w:r>
              <w:rPr>
                <w:rFonts w:ascii="宋体" w:hAnsi="宋体" w:cs="宋体"/>
                <w:b/>
                <w:bCs/>
                <w:kern w:val="0"/>
                <w:sz w:val="20"/>
                <w:szCs w:val="20"/>
              </w:rPr>
              <w:t>201</w:t>
            </w:r>
            <w:r>
              <w:rPr>
                <w:rFonts w:hint="eastAsia" w:ascii="宋体" w:hAnsi="宋体" w:cs="宋体"/>
                <w:b/>
                <w:bCs/>
                <w:kern w:val="0"/>
                <w:sz w:val="20"/>
                <w:szCs w:val="20"/>
              </w:rPr>
              <w:t>9年末余额</w:t>
            </w:r>
          </w:p>
        </w:tc>
        <w:tc>
          <w:tcPr>
            <w:tcW w:w="2967"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53,840</w:t>
            </w:r>
          </w:p>
        </w:tc>
      </w:tr>
    </w:tbl>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ascii="黑体" w:eastAsia="黑体"/>
          <w:sz w:val="32"/>
          <w:szCs w:val="32"/>
        </w:rPr>
      </w:pPr>
      <w:r>
        <w:rPr>
          <w:rFonts w:hint="eastAsia" w:ascii="黑体" w:eastAsia="黑体"/>
          <w:sz w:val="32"/>
          <w:szCs w:val="32"/>
        </w:rPr>
        <w:t>附件</w:t>
      </w:r>
      <w:r>
        <w:rPr>
          <w:rFonts w:ascii="黑体" w:eastAsia="黑体"/>
          <w:sz w:val="32"/>
          <w:szCs w:val="32"/>
        </w:rPr>
        <w:t>10</w:t>
      </w:r>
    </w:p>
    <w:p>
      <w:pPr>
        <w:spacing w:line="560" w:lineRule="exact"/>
        <w:rPr>
          <w:rFonts w:eastAsia="仿宋_GB2312"/>
          <w:b/>
          <w:sz w:val="32"/>
          <w:szCs w:val="32"/>
        </w:rPr>
      </w:pPr>
    </w:p>
    <w:tbl>
      <w:tblPr>
        <w:tblStyle w:val="7"/>
        <w:tblW w:w="8237" w:type="dxa"/>
        <w:tblInd w:w="93" w:type="dxa"/>
        <w:tblLayout w:type="fixed"/>
        <w:tblCellMar>
          <w:top w:w="0" w:type="dxa"/>
          <w:left w:w="108" w:type="dxa"/>
          <w:bottom w:w="0" w:type="dxa"/>
          <w:right w:w="108" w:type="dxa"/>
        </w:tblCellMar>
      </w:tblPr>
      <w:tblGrid>
        <w:gridCol w:w="3229"/>
        <w:gridCol w:w="1120"/>
        <w:gridCol w:w="2064"/>
        <w:gridCol w:w="1824"/>
      </w:tblGrid>
      <w:tr>
        <w:tblPrEx>
          <w:tblLayout w:type="fixed"/>
          <w:tblCellMar>
            <w:top w:w="0" w:type="dxa"/>
            <w:left w:w="108" w:type="dxa"/>
            <w:bottom w:w="0" w:type="dxa"/>
            <w:right w:w="108" w:type="dxa"/>
          </w:tblCellMar>
        </w:tblPrEx>
        <w:trPr>
          <w:trHeight w:val="450" w:hRule="atLeast"/>
        </w:trPr>
        <w:tc>
          <w:tcPr>
            <w:tcW w:w="8237" w:type="dxa"/>
            <w:gridSpan w:val="4"/>
            <w:tcBorders>
              <w:top w:val="nil"/>
              <w:left w:val="nil"/>
              <w:bottom w:val="nil"/>
              <w:right w:val="nil"/>
            </w:tcBorders>
            <w:vAlign w:val="center"/>
          </w:tcPr>
          <w:p>
            <w:pPr>
              <w:widowControl/>
              <w:jc w:val="center"/>
              <w:rPr>
                <w:rFonts w:ascii="方正小标宋_GBK" w:eastAsia="方正小标宋_GBK" w:cs="宋体"/>
                <w:b/>
                <w:bCs/>
                <w:kern w:val="0"/>
                <w:sz w:val="36"/>
                <w:szCs w:val="36"/>
              </w:rPr>
            </w:pPr>
            <w:r>
              <w:rPr>
                <w:rFonts w:ascii="方正小标宋_GBK" w:hAnsi="宋体" w:eastAsia="方正小标宋_GBK" w:cs="宋体"/>
                <w:b/>
                <w:bCs/>
                <w:kern w:val="0"/>
                <w:sz w:val="36"/>
                <w:szCs w:val="36"/>
              </w:rPr>
              <w:t>201</w:t>
            </w:r>
            <w:r>
              <w:rPr>
                <w:rFonts w:hint="eastAsia" w:ascii="方正小标宋_GBK" w:hAnsi="宋体" w:eastAsia="方正小标宋_GBK" w:cs="宋体"/>
                <w:b/>
                <w:bCs/>
                <w:kern w:val="0"/>
                <w:sz w:val="36"/>
                <w:szCs w:val="36"/>
              </w:rPr>
              <w:t>9年盐边县地方政府性债务余额情况表</w:t>
            </w:r>
          </w:p>
        </w:tc>
      </w:tr>
      <w:tr>
        <w:tblPrEx>
          <w:tblLayout w:type="fixed"/>
          <w:tblCellMar>
            <w:top w:w="0" w:type="dxa"/>
            <w:left w:w="108" w:type="dxa"/>
            <w:bottom w:w="0" w:type="dxa"/>
            <w:right w:w="108" w:type="dxa"/>
          </w:tblCellMar>
        </w:tblPrEx>
        <w:trPr>
          <w:trHeight w:val="450" w:hRule="atLeast"/>
        </w:trPr>
        <w:tc>
          <w:tcPr>
            <w:tcW w:w="8237" w:type="dxa"/>
            <w:gridSpan w:val="4"/>
            <w:tcBorders>
              <w:top w:val="nil"/>
              <w:left w:val="nil"/>
              <w:bottom w:val="nil"/>
              <w:right w:val="nil"/>
            </w:tcBorders>
            <w:vAlign w:val="center"/>
          </w:tcPr>
          <w:p>
            <w:pPr>
              <w:widowControl/>
              <w:jc w:val="right"/>
              <w:rPr>
                <w:rFonts w:ascii="宋体" w:cs="宋体"/>
                <w:kern w:val="0"/>
                <w:sz w:val="20"/>
                <w:szCs w:val="20"/>
              </w:rPr>
            </w:pPr>
            <w:r>
              <w:rPr>
                <w:rFonts w:hint="eastAsia" w:ascii="宋体" w:hAnsi="宋体" w:cs="宋体"/>
                <w:kern w:val="0"/>
                <w:sz w:val="20"/>
                <w:szCs w:val="20"/>
              </w:rPr>
              <w:t>单位：万元</w:t>
            </w:r>
          </w:p>
        </w:tc>
      </w:tr>
      <w:tr>
        <w:tblPrEx>
          <w:tblLayout w:type="fixed"/>
          <w:tblCellMar>
            <w:top w:w="0" w:type="dxa"/>
            <w:left w:w="108" w:type="dxa"/>
            <w:bottom w:w="0" w:type="dxa"/>
            <w:right w:w="108" w:type="dxa"/>
          </w:tblCellMar>
        </w:tblPrEx>
        <w:trPr>
          <w:trHeight w:val="312" w:hRule="atLeast"/>
        </w:trPr>
        <w:tc>
          <w:tcPr>
            <w:tcW w:w="322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项目</w:t>
            </w:r>
          </w:p>
        </w:tc>
        <w:tc>
          <w:tcPr>
            <w:tcW w:w="500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政府债务</w:t>
            </w:r>
          </w:p>
        </w:tc>
      </w:tr>
      <w:tr>
        <w:tblPrEx>
          <w:tblLayout w:type="fixed"/>
          <w:tblCellMar>
            <w:top w:w="0" w:type="dxa"/>
            <w:left w:w="108" w:type="dxa"/>
            <w:bottom w:w="0" w:type="dxa"/>
            <w:right w:w="108" w:type="dxa"/>
          </w:tblCellMar>
        </w:tblPrEx>
        <w:trPr>
          <w:trHeight w:val="312" w:hRule="atLeast"/>
        </w:trPr>
        <w:tc>
          <w:tcPr>
            <w:tcW w:w="322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500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p>
        </w:tc>
      </w:tr>
      <w:tr>
        <w:tblPrEx>
          <w:tblLayout w:type="fixed"/>
          <w:tblCellMar>
            <w:top w:w="0" w:type="dxa"/>
            <w:left w:w="108" w:type="dxa"/>
            <w:bottom w:w="0" w:type="dxa"/>
            <w:right w:w="108" w:type="dxa"/>
          </w:tblCellMar>
        </w:tblPrEx>
        <w:trPr>
          <w:trHeight w:val="312" w:hRule="atLeast"/>
        </w:trPr>
        <w:tc>
          <w:tcPr>
            <w:tcW w:w="322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500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p>
        </w:tc>
      </w:tr>
      <w:tr>
        <w:tblPrEx>
          <w:tblLayout w:type="fixed"/>
          <w:tblCellMar>
            <w:top w:w="0" w:type="dxa"/>
            <w:left w:w="108" w:type="dxa"/>
            <w:bottom w:w="0" w:type="dxa"/>
            <w:right w:w="108" w:type="dxa"/>
          </w:tblCellMar>
        </w:tblPrEx>
        <w:trPr>
          <w:trHeight w:val="450" w:hRule="atLeast"/>
        </w:trPr>
        <w:tc>
          <w:tcPr>
            <w:tcW w:w="322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kern w:val="0"/>
                <w:sz w:val="20"/>
                <w:szCs w:val="20"/>
              </w:rPr>
            </w:pPr>
          </w:p>
        </w:tc>
        <w:tc>
          <w:tcPr>
            <w:tcW w:w="112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合计</w:t>
            </w:r>
          </w:p>
        </w:tc>
        <w:tc>
          <w:tcPr>
            <w:tcW w:w="2064"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一般债务</w:t>
            </w:r>
          </w:p>
        </w:tc>
        <w:tc>
          <w:tcPr>
            <w:tcW w:w="1824"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专项债务</w:t>
            </w:r>
          </w:p>
        </w:tc>
      </w:tr>
      <w:tr>
        <w:tblPrEx>
          <w:tblLayout w:type="fixed"/>
          <w:tblCellMar>
            <w:top w:w="0" w:type="dxa"/>
            <w:left w:w="108" w:type="dxa"/>
            <w:bottom w:w="0" w:type="dxa"/>
            <w:right w:w="108" w:type="dxa"/>
          </w:tblCellMar>
        </w:tblPrEx>
        <w:trPr>
          <w:trHeight w:val="765" w:hRule="atLeast"/>
        </w:trPr>
        <w:tc>
          <w:tcPr>
            <w:tcW w:w="3229"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一、</w:t>
            </w:r>
            <w:r>
              <w:rPr>
                <w:rFonts w:ascii="宋体" w:hAnsi="宋体" w:cs="宋体"/>
                <w:b/>
                <w:bCs/>
                <w:kern w:val="0"/>
                <w:sz w:val="20"/>
                <w:szCs w:val="20"/>
              </w:rPr>
              <w:t>201</w:t>
            </w:r>
            <w:r>
              <w:rPr>
                <w:rFonts w:hint="eastAsia" w:ascii="宋体" w:hAnsi="宋体" w:cs="宋体"/>
                <w:b/>
                <w:bCs/>
                <w:kern w:val="0"/>
                <w:sz w:val="20"/>
                <w:szCs w:val="20"/>
              </w:rPr>
              <w:t>8年末余额</w:t>
            </w:r>
          </w:p>
        </w:tc>
        <w:tc>
          <w:tcPr>
            <w:tcW w:w="112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140,235</w:t>
            </w:r>
          </w:p>
        </w:tc>
        <w:tc>
          <w:tcPr>
            <w:tcW w:w="2064"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110,695</w:t>
            </w:r>
          </w:p>
        </w:tc>
        <w:tc>
          <w:tcPr>
            <w:tcW w:w="1824"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29,540</w:t>
            </w:r>
          </w:p>
        </w:tc>
      </w:tr>
      <w:tr>
        <w:tblPrEx>
          <w:tblLayout w:type="fixed"/>
          <w:tblCellMar>
            <w:top w:w="0" w:type="dxa"/>
            <w:left w:w="108" w:type="dxa"/>
            <w:bottom w:w="0" w:type="dxa"/>
            <w:right w:w="108" w:type="dxa"/>
          </w:tblCellMar>
        </w:tblPrEx>
        <w:trPr>
          <w:trHeight w:val="645" w:hRule="atLeast"/>
        </w:trPr>
        <w:tc>
          <w:tcPr>
            <w:tcW w:w="3229"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二、</w:t>
            </w:r>
            <w:r>
              <w:rPr>
                <w:rFonts w:ascii="宋体" w:hAnsi="宋体" w:cs="宋体"/>
                <w:b/>
                <w:bCs/>
                <w:kern w:val="0"/>
                <w:sz w:val="20"/>
                <w:szCs w:val="20"/>
              </w:rPr>
              <w:t>201</w:t>
            </w:r>
            <w:r>
              <w:rPr>
                <w:rFonts w:hint="eastAsia" w:ascii="宋体" w:hAnsi="宋体" w:cs="宋体"/>
                <w:b/>
                <w:bCs/>
                <w:kern w:val="0"/>
                <w:sz w:val="20"/>
                <w:szCs w:val="20"/>
              </w:rPr>
              <w:t>9年新增额</w:t>
            </w:r>
          </w:p>
        </w:tc>
        <w:tc>
          <w:tcPr>
            <w:tcW w:w="112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45,898</w:t>
            </w:r>
          </w:p>
        </w:tc>
        <w:tc>
          <w:tcPr>
            <w:tcW w:w="2064"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21,598</w:t>
            </w:r>
          </w:p>
        </w:tc>
        <w:tc>
          <w:tcPr>
            <w:tcW w:w="1824"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24,300</w:t>
            </w:r>
          </w:p>
        </w:tc>
      </w:tr>
      <w:tr>
        <w:tblPrEx>
          <w:tblLayout w:type="fixed"/>
          <w:tblCellMar>
            <w:top w:w="0" w:type="dxa"/>
            <w:left w:w="108" w:type="dxa"/>
            <w:bottom w:w="0" w:type="dxa"/>
            <w:right w:w="108" w:type="dxa"/>
          </w:tblCellMar>
        </w:tblPrEx>
        <w:trPr>
          <w:trHeight w:val="765" w:hRule="atLeast"/>
        </w:trPr>
        <w:tc>
          <w:tcPr>
            <w:tcW w:w="3229"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三、</w:t>
            </w:r>
            <w:r>
              <w:rPr>
                <w:rFonts w:ascii="宋体" w:hAnsi="宋体" w:cs="宋体"/>
                <w:b/>
                <w:bCs/>
                <w:kern w:val="0"/>
                <w:sz w:val="20"/>
                <w:szCs w:val="20"/>
              </w:rPr>
              <w:t>201</w:t>
            </w:r>
            <w:r>
              <w:rPr>
                <w:rFonts w:hint="eastAsia" w:ascii="宋体" w:hAnsi="宋体" w:cs="宋体"/>
                <w:b/>
                <w:bCs/>
                <w:kern w:val="0"/>
                <w:sz w:val="20"/>
                <w:szCs w:val="20"/>
              </w:rPr>
              <w:t>9年偿还额</w:t>
            </w:r>
          </w:p>
        </w:tc>
        <w:tc>
          <w:tcPr>
            <w:tcW w:w="112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13,190</w:t>
            </w:r>
          </w:p>
        </w:tc>
        <w:tc>
          <w:tcPr>
            <w:tcW w:w="2064"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13,190</w:t>
            </w:r>
          </w:p>
        </w:tc>
        <w:tc>
          <w:tcPr>
            <w:tcW w:w="182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735" w:hRule="atLeast"/>
        </w:trPr>
        <w:tc>
          <w:tcPr>
            <w:tcW w:w="3229"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0"/>
                <w:szCs w:val="20"/>
              </w:rPr>
            </w:pPr>
            <w:r>
              <w:rPr>
                <w:rFonts w:hint="eastAsia" w:ascii="宋体" w:hAnsi="宋体" w:cs="宋体"/>
                <w:b/>
                <w:bCs/>
                <w:kern w:val="0"/>
                <w:sz w:val="20"/>
                <w:szCs w:val="20"/>
              </w:rPr>
              <w:t>四、</w:t>
            </w:r>
            <w:r>
              <w:rPr>
                <w:rFonts w:ascii="宋体" w:hAnsi="宋体" w:cs="宋体"/>
                <w:b/>
                <w:bCs/>
                <w:kern w:val="0"/>
                <w:sz w:val="20"/>
                <w:szCs w:val="20"/>
              </w:rPr>
              <w:t>201</w:t>
            </w:r>
            <w:r>
              <w:rPr>
                <w:rFonts w:hint="eastAsia" w:ascii="宋体" w:hAnsi="宋体" w:cs="宋体"/>
                <w:b/>
                <w:bCs/>
                <w:kern w:val="0"/>
                <w:sz w:val="20"/>
                <w:szCs w:val="20"/>
              </w:rPr>
              <w:t>9年末余额</w:t>
            </w:r>
          </w:p>
        </w:tc>
        <w:tc>
          <w:tcPr>
            <w:tcW w:w="112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172,943</w:t>
            </w:r>
          </w:p>
        </w:tc>
        <w:tc>
          <w:tcPr>
            <w:tcW w:w="2064"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119,103</w:t>
            </w:r>
          </w:p>
        </w:tc>
        <w:tc>
          <w:tcPr>
            <w:tcW w:w="1824"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0"/>
                <w:szCs w:val="20"/>
              </w:rPr>
            </w:pPr>
            <w:r>
              <w:rPr>
                <w:rFonts w:hint="eastAsia" w:ascii="宋体" w:hAnsi="宋体" w:cs="宋体"/>
                <w:kern w:val="0"/>
                <w:sz w:val="20"/>
                <w:szCs w:val="20"/>
              </w:rPr>
              <w:t>53,840</w:t>
            </w:r>
          </w:p>
        </w:tc>
      </w:tr>
    </w:tbl>
    <w:p>
      <w:pPr>
        <w:spacing w:line="560" w:lineRule="exact"/>
        <w:rPr>
          <w:rFonts w:eastAsia="仿宋_GB2312"/>
          <w:b/>
          <w:sz w:val="32"/>
          <w:szCs w:val="32"/>
        </w:rPr>
      </w:pPr>
    </w:p>
    <w:p>
      <w:pPr>
        <w:spacing w:line="560" w:lineRule="exact"/>
        <w:rPr>
          <w:rFonts w:eastAsia="仿宋_GB2312"/>
          <w:b/>
          <w:sz w:val="32"/>
          <w:szCs w:val="32"/>
        </w:rPr>
      </w:pPr>
    </w:p>
    <w:p>
      <w:pPr>
        <w:spacing w:line="560" w:lineRule="exact"/>
        <w:rPr>
          <w:rFonts w:eastAsia="仿宋_GB2312"/>
          <w:b/>
          <w:sz w:val="32"/>
          <w:szCs w:val="32"/>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- 28 -</w:t>
    </w:r>
    <w:r>
      <w:rPr>
        <w:rStyle w:val="6"/>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7295E"/>
    <w:multiLevelType w:val="multilevel"/>
    <w:tmpl w:val="1C77295E"/>
    <w:lvl w:ilvl="0" w:tentative="0">
      <w:start w:val="1"/>
      <w:numFmt w:val="japaneseCounting"/>
      <w:lvlText w:val="（%1）"/>
      <w:lvlJc w:val="left"/>
      <w:pPr>
        <w:ind w:left="1740" w:hanging="1080"/>
      </w:pPr>
      <w:rPr>
        <w:rFonts w:hint="default"/>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AC9"/>
    <w:rsid w:val="00011EF6"/>
    <w:rsid w:val="00032654"/>
    <w:rsid w:val="00036D62"/>
    <w:rsid w:val="0004266B"/>
    <w:rsid w:val="00042D06"/>
    <w:rsid w:val="0004580B"/>
    <w:rsid w:val="00052B18"/>
    <w:rsid w:val="00062916"/>
    <w:rsid w:val="0006676C"/>
    <w:rsid w:val="000769BB"/>
    <w:rsid w:val="00076EDB"/>
    <w:rsid w:val="00093322"/>
    <w:rsid w:val="000958D0"/>
    <w:rsid w:val="000A0B6F"/>
    <w:rsid w:val="000A4BDF"/>
    <w:rsid w:val="000B1A02"/>
    <w:rsid w:val="000B65FF"/>
    <w:rsid w:val="000B7859"/>
    <w:rsid w:val="000C0A30"/>
    <w:rsid w:val="000C326B"/>
    <w:rsid w:val="000C4BBB"/>
    <w:rsid w:val="000C4FA6"/>
    <w:rsid w:val="000E0DC4"/>
    <w:rsid w:val="000F153F"/>
    <w:rsid w:val="00105EF3"/>
    <w:rsid w:val="00106280"/>
    <w:rsid w:val="00110D00"/>
    <w:rsid w:val="00114C46"/>
    <w:rsid w:val="001215B7"/>
    <w:rsid w:val="00122779"/>
    <w:rsid w:val="001356EE"/>
    <w:rsid w:val="001473CD"/>
    <w:rsid w:val="00156F77"/>
    <w:rsid w:val="001579BF"/>
    <w:rsid w:val="00160AB8"/>
    <w:rsid w:val="001644A3"/>
    <w:rsid w:val="001649ED"/>
    <w:rsid w:val="00172A27"/>
    <w:rsid w:val="00172E3C"/>
    <w:rsid w:val="001758D4"/>
    <w:rsid w:val="001839B0"/>
    <w:rsid w:val="00186DA0"/>
    <w:rsid w:val="00192735"/>
    <w:rsid w:val="00193E35"/>
    <w:rsid w:val="0019521D"/>
    <w:rsid w:val="001A08BB"/>
    <w:rsid w:val="001A1174"/>
    <w:rsid w:val="001A1511"/>
    <w:rsid w:val="001A30FE"/>
    <w:rsid w:val="001A3955"/>
    <w:rsid w:val="001B1044"/>
    <w:rsid w:val="001C1CDD"/>
    <w:rsid w:val="001C5179"/>
    <w:rsid w:val="001C61F6"/>
    <w:rsid w:val="001D34D9"/>
    <w:rsid w:val="001E0FC9"/>
    <w:rsid w:val="001E2DFA"/>
    <w:rsid w:val="001E6FAF"/>
    <w:rsid w:val="001F044D"/>
    <w:rsid w:val="001F0479"/>
    <w:rsid w:val="001F194B"/>
    <w:rsid w:val="001F1A28"/>
    <w:rsid w:val="001F3095"/>
    <w:rsid w:val="00200235"/>
    <w:rsid w:val="002139EC"/>
    <w:rsid w:val="00233E0C"/>
    <w:rsid w:val="00237149"/>
    <w:rsid w:val="002416D3"/>
    <w:rsid w:val="00242F91"/>
    <w:rsid w:val="00244B00"/>
    <w:rsid w:val="002454FD"/>
    <w:rsid w:val="00246BBC"/>
    <w:rsid w:val="00247E27"/>
    <w:rsid w:val="00255A66"/>
    <w:rsid w:val="0025730E"/>
    <w:rsid w:val="00267CDE"/>
    <w:rsid w:val="0027236F"/>
    <w:rsid w:val="00272525"/>
    <w:rsid w:val="00276CF5"/>
    <w:rsid w:val="0027772A"/>
    <w:rsid w:val="002874F2"/>
    <w:rsid w:val="00293E88"/>
    <w:rsid w:val="00293F07"/>
    <w:rsid w:val="00297706"/>
    <w:rsid w:val="00297FA7"/>
    <w:rsid w:val="002A350B"/>
    <w:rsid w:val="002B3C48"/>
    <w:rsid w:val="002C3248"/>
    <w:rsid w:val="002C3F2C"/>
    <w:rsid w:val="002C482D"/>
    <w:rsid w:val="002C5DA2"/>
    <w:rsid w:val="002C7F56"/>
    <w:rsid w:val="002D0FA1"/>
    <w:rsid w:val="002D1FB8"/>
    <w:rsid w:val="002D21F0"/>
    <w:rsid w:val="002D56B2"/>
    <w:rsid w:val="002D7F75"/>
    <w:rsid w:val="002F019C"/>
    <w:rsid w:val="002F01A9"/>
    <w:rsid w:val="002F02EE"/>
    <w:rsid w:val="00300B01"/>
    <w:rsid w:val="00301D3D"/>
    <w:rsid w:val="00310C04"/>
    <w:rsid w:val="00311BA2"/>
    <w:rsid w:val="0031309B"/>
    <w:rsid w:val="00317E7D"/>
    <w:rsid w:val="0032275A"/>
    <w:rsid w:val="00323C57"/>
    <w:rsid w:val="0033263B"/>
    <w:rsid w:val="003377AE"/>
    <w:rsid w:val="00342CE3"/>
    <w:rsid w:val="003556CE"/>
    <w:rsid w:val="00362F32"/>
    <w:rsid w:val="00364681"/>
    <w:rsid w:val="00365B01"/>
    <w:rsid w:val="00374EA3"/>
    <w:rsid w:val="003769A1"/>
    <w:rsid w:val="00376F0A"/>
    <w:rsid w:val="00380C9A"/>
    <w:rsid w:val="00382503"/>
    <w:rsid w:val="003949F0"/>
    <w:rsid w:val="003A725E"/>
    <w:rsid w:val="003A775D"/>
    <w:rsid w:val="003B29FF"/>
    <w:rsid w:val="003B380F"/>
    <w:rsid w:val="003B46AC"/>
    <w:rsid w:val="003B58C1"/>
    <w:rsid w:val="003C0BB1"/>
    <w:rsid w:val="003C7035"/>
    <w:rsid w:val="003D1952"/>
    <w:rsid w:val="003E1AF3"/>
    <w:rsid w:val="003F5B36"/>
    <w:rsid w:val="00401504"/>
    <w:rsid w:val="00404EFC"/>
    <w:rsid w:val="00414028"/>
    <w:rsid w:val="00416241"/>
    <w:rsid w:val="00417D54"/>
    <w:rsid w:val="004224A4"/>
    <w:rsid w:val="00425D54"/>
    <w:rsid w:val="00432DDF"/>
    <w:rsid w:val="00437F22"/>
    <w:rsid w:val="004434E0"/>
    <w:rsid w:val="004453E0"/>
    <w:rsid w:val="004474EC"/>
    <w:rsid w:val="0045556B"/>
    <w:rsid w:val="00462B2B"/>
    <w:rsid w:val="00463133"/>
    <w:rsid w:val="0046667A"/>
    <w:rsid w:val="004715B0"/>
    <w:rsid w:val="00472F7D"/>
    <w:rsid w:val="00481C9A"/>
    <w:rsid w:val="0048215F"/>
    <w:rsid w:val="00484E9F"/>
    <w:rsid w:val="00485ACA"/>
    <w:rsid w:val="004913B9"/>
    <w:rsid w:val="004913E8"/>
    <w:rsid w:val="00493D19"/>
    <w:rsid w:val="00496A65"/>
    <w:rsid w:val="00497189"/>
    <w:rsid w:val="004976AE"/>
    <w:rsid w:val="004B2DFC"/>
    <w:rsid w:val="004B3603"/>
    <w:rsid w:val="004B63EE"/>
    <w:rsid w:val="004C0D18"/>
    <w:rsid w:val="004C2791"/>
    <w:rsid w:val="004D08C9"/>
    <w:rsid w:val="004E438A"/>
    <w:rsid w:val="004E5C8D"/>
    <w:rsid w:val="004F3388"/>
    <w:rsid w:val="004F4733"/>
    <w:rsid w:val="004F485A"/>
    <w:rsid w:val="004F53D2"/>
    <w:rsid w:val="005037DB"/>
    <w:rsid w:val="00507A54"/>
    <w:rsid w:val="00507F38"/>
    <w:rsid w:val="00516F3B"/>
    <w:rsid w:val="005170E6"/>
    <w:rsid w:val="005171E5"/>
    <w:rsid w:val="00520A60"/>
    <w:rsid w:val="005321FB"/>
    <w:rsid w:val="00534348"/>
    <w:rsid w:val="00534EAF"/>
    <w:rsid w:val="00545C0C"/>
    <w:rsid w:val="00546693"/>
    <w:rsid w:val="00547291"/>
    <w:rsid w:val="00552CA3"/>
    <w:rsid w:val="00552E69"/>
    <w:rsid w:val="00553C7D"/>
    <w:rsid w:val="00553E3F"/>
    <w:rsid w:val="005545FE"/>
    <w:rsid w:val="00557A07"/>
    <w:rsid w:val="00562067"/>
    <w:rsid w:val="00564A42"/>
    <w:rsid w:val="005701EE"/>
    <w:rsid w:val="00573DD1"/>
    <w:rsid w:val="005878FA"/>
    <w:rsid w:val="00594317"/>
    <w:rsid w:val="00594E2A"/>
    <w:rsid w:val="005B1AB4"/>
    <w:rsid w:val="005B4F3E"/>
    <w:rsid w:val="005C1263"/>
    <w:rsid w:val="005C56A0"/>
    <w:rsid w:val="005E01B8"/>
    <w:rsid w:val="005F04AE"/>
    <w:rsid w:val="005F1602"/>
    <w:rsid w:val="005F1EC2"/>
    <w:rsid w:val="005F4B41"/>
    <w:rsid w:val="005F5D68"/>
    <w:rsid w:val="00601905"/>
    <w:rsid w:val="00602DC2"/>
    <w:rsid w:val="00605FDD"/>
    <w:rsid w:val="00607B52"/>
    <w:rsid w:val="00613423"/>
    <w:rsid w:val="006155E7"/>
    <w:rsid w:val="00615B96"/>
    <w:rsid w:val="00616756"/>
    <w:rsid w:val="00616C5A"/>
    <w:rsid w:val="00620C1A"/>
    <w:rsid w:val="00624F77"/>
    <w:rsid w:val="00630992"/>
    <w:rsid w:val="006321B9"/>
    <w:rsid w:val="006372D6"/>
    <w:rsid w:val="00640432"/>
    <w:rsid w:val="00640FC6"/>
    <w:rsid w:val="00643987"/>
    <w:rsid w:val="00653640"/>
    <w:rsid w:val="006538DE"/>
    <w:rsid w:val="00655994"/>
    <w:rsid w:val="006608F8"/>
    <w:rsid w:val="0066273F"/>
    <w:rsid w:val="00664541"/>
    <w:rsid w:val="00676942"/>
    <w:rsid w:val="00683906"/>
    <w:rsid w:val="00687AC9"/>
    <w:rsid w:val="00692BAB"/>
    <w:rsid w:val="00692CC7"/>
    <w:rsid w:val="006A475E"/>
    <w:rsid w:val="006A789C"/>
    <w:rsid w:val="006B0DD2"/>
    <w:rsid w:val="006B12B5"/>
    <w:rsid w:val="006B2BCA"/>
    <w:rsid w:val="006B389B"/>
    <w:rsid w:val="006C52B8"/>
    <w:rsid w:val="006D37C1"/>
    <w:rsid w:val="006E30C0"/>
    <w:rsid w:val="006E39D1"/>
    <w:rsid w:val="006E3A89"/>
    <w:rsid w:val="006E66C5"/>
    <w:rsid w:val="007052A9"/>
    <w:rsid w:val="00705D4A"/>
    <w:rsid w:val="0071559E"/>
    <w:rsid w:val="00723884"/>
    <w:rsid w:val="0072584C"/>
    <w:rsid w:val="00726F05"/>
    <w:rsid w:val="0072709D"/>
    <w:rsid w:val="00730C5B"/>
    <w:rsid w:val="00740D28"/>
    <w:rsid w:val="00742CF8"/>
    <w:rsid w:val="0074578F"/>
    <w:rsid w:val="007567E2"/>
    <w:rsid w:val="00760F21"/>
    <w:rsid w:val="00762DBB"/>
    <w:rsid w:val="00764D90"/>
    <w:rsid w:val="00765CFF"/>
    <w:rsid w:val="00766CBA"/>
    <w:rsid w:val="00767B38"/>
    <w:rsid w:val="00770E32"/>
    <w:rsid w:val="00771174"/>
    <w:rsid w:val="00774516"/>
    <w:rsid w:val="0077713F"/>
    <w:rsid w:val="00781D0A"/>
    <w:rsid w:val="0078566E"/>
    <w:rsid w:val="0078697F"/>
    <w:rsid w:val="007923B0"/>
    <w:rsid w:val="00797009"/>
    <w:rsid w:val="007A2D73"/>
    <w:rsid w:val="007B2390"/>
    <w:rsid w:val="007B3794"/>
    <w:rsid w:val="007B3962"/>
    <w:rsid w:val="007B4614"/>
    <w:rsid w:val="007B7BED"/>
    <w:rsid w:val="007C0D1A"/>
    <w:rsid w:val="007C2862"/>
    <w:rsid w:val="007D7FBC"/>
    <w:rsid w:val="007E4804"/>
    <w:rsid w:val="007F05F7"/>
    <w:rsid w:val="007F1817"/>
    <w:rsid w:val="007F339E"/>
    <w:rsid w:val="007F34F5"/>
    <w:rsid w:val="007F61E8"/>
    <w:rsid w:val="00804DA7"/>
    <w:rsid w:val="00813421"/>
    <w:rsid w:val="00816991"/>
    <w:rsid w:val="00817D54"/>
    <w:rsid w:val="0082261D"/>
    <w:rsid w:val="00824097"/>
    <w:rsid w:val="00841F09"/>
    <w:rsid w:val="00843D95"/>
    <w:rsid w:val="00844EF9"/>
    <w:rsid w:val="00850227"/>
    <w:rsid w:val="00850261"/>
    <w:rsid w:val="00856F32"/>
    <w:rsid w:val="0086350F"/>
    <w:rsid w:val="00863AB4"/>
    <w:rsid w:val="00866254"/>
    <w:rsid w:val="00877B18"/>
    <w:rsid w:val="00882E23"/>
    <w:rsid w:val="008943CE"/>
    <w:rsid w:val="00894881"/>
    <w:rsid w:val="008A5DBF"/>
    <w:rsid w:val="008B044B"/>
    <w:rsid w:val="008B773B"/>
    <w:rsid w:val="008C28AD"/>
    <w:rsid w:val="008C33A3"/>
    <w:rsid w:val="008C4E59"/>
    <w:rsid w:val="008C590E"/>
    <w:rsid w:val="008D4B37"/>
    <w:rsid w:val="008F0EB0"/>
    <w:rsid w:val="008F5A1A"/>
    <w:rsid w:val="008F6C93"/>
    <w:rsid w:val="009035AA"/>
    <w:rsid w:val="009046F2"/>
    <w:rsid w:val="0090641E"/>
    <w:rsid w:val="009202CF"/>
    <w:rsid w:val="00923F6F"/>
    <w:rsid w:val="00925FED"/>
    <w:rsid w:val="00940477"/>
    <w:rsid w:val="00942FC5"/>
    <w:rsid w:val="00944F54"/>
    <w:rsid w:val="00953496"/>
    <w:rsid w:val="009678D7"/>
    <w:rsid w:val="00970A92"/>
    <w:rsid w:val="00972B8C"/>
    <w:rsid w:val="00977CE7"/>
    <w:rsid w:val="00980CA3"/>
    <w:rsid w:val="00981A2D"/>
    <w:rsid w:val="009828A8"/>
    <w:rsid w:val="00982AF7"/>
    <w:rsid w:val="0098573B"/>
    <w:rsid w:val="00993C7B"/>
    <w:rsid w:val="009A150D"/>
    <w:rsid w:val="009A3274"/>
    <w:rsid w:val="009B0A87"/>
    <w:rsid w:val="009B283E"/>
    <w:rsid w:val="009B2888"/>
    <w:rsid w:val="009B3890"/>
    <w:rsid w:val="009B3C42"/>
    <w:rsid w:val="009C2A11"/>
    <w:rsid w:val="009C2AE2"/>
    <w:rsid w:val="009C3032"/>
    <w:rsid w:val="009C61A4"/>
    <w:rsid w:val="009C74D1"/>
    <w:rsid w:val="009D3E99"/>
    <w:rsid w:val="009D5137"/>
    <w:rsid w:val="009D6804"/>
    <w:rsid w:val="009E2AA7"/>
    <w:rsid w:val="009E75D6"/>
    <w:rsid w:val="009F2599"/>
    <w:rsid w:val="009F599B"/>
    <w:rsid w:val="00A0145A"/>
    <w:rsid w:val="00A01FDF"/>
    <w:rsid w:val="00A03783"/>
    <w:rsid w:val="00A1786F"/>
    <w:rsid w:val="00A247B0"/>
    <w:rsid w:val="00A349F7"/>
    <w:rsid w:val="00A4379D"/>
    <w:rsid w:val="00A4476B"/>
    <w:rsid w:val="00A45FFB"/>
    <w:rsid w:val="00A55A6D"/>
    <w:rsid w:val="00A57FE4"/>
    <w:rsid w:val="00A70298"/>
    <w:rsid w:val="00A7071F"/>
    <w:rsid w:val="00A7657B"/>
    <w:rsid w:val="00A831B4"/>
    <w:rsid w:val="00A835FF"/>
    <w:rsid w:val="00A867AE"/>
    <w:rsid w:val="00A95747"/>
    <w:rsid w:val="00AA3B46"/>
    <w:rsid w:val="00AE044A"/>
    <w:rsid w:val="00AE3BF7"/>
    <w:rsid w:val="00AE53B5"/>
    <w:rsid w:val="00AE5A54"/>
    <w:rsid w:val="00AE76A2"/>
    <w:rsid w:val="00AF3374"/>
    <w:rsid w:val="00AF38B3"/>
    <w:rsid w:val="00AF427E"/>
    <w:rsid w:val="00AF6971"/>
    <w:rsid w:val="00B05488"/>
    <w:rsid w:val="00B1295C"/>
    <w:rsid w:val="00B15472"/>
    <w:rsid w:val="00B2434A"/>
    <w:rsid w:val="00B24862"/>
    <w:rsid w:val="00B334B6"/>
    <w:rsid w:val="00B336F6"/>
    <w:rsid w:val="00B408BE"/>
    <w:rsid w:val="00B42D09"/>
    <w:rsid w:val="00B458AE"/>
    <w:rsid w:val="00B53754"/>
    <w:rsid w:val="00B55AC2"/>
    <w:rsid w:val="00B56081"/>
    <w:rsid w:val="00B64B50"/>
    <w:rsid w:val="00B66127"/>
    <w:rsid w:val="00B73579"/>
    <w:rsid w:val="00B75059"/>
    <w:rsid w:val="00B82E23"/>
    <w:rsid w:val="00B84CAF"/>
    <w:rsid w:val="00BB2377"/>
    <w:rsid w:val="00BB3FE0"/>
    <w:rsid w:val="00BB5300"/>
    <w:rsid w:val="00BC2658"/>
    <w:rsid w:val="00BC4793"/>
    <w:rsid w:val="00BC60F5"/>
    <w:rsid w:val="00BD3690"/>
    <w:rsid w:val="00BD3E15"/>
    <w:rsid w:val="00BD3F71"/>
    <w:rsid w:val="00BD40C1"/>
    <w:rsid w:val="00BD6419"/>
    <w:rsid w:val="00BE19DA"/>
    <w:rsid w:val="00BE3499"/>
    <w:rsid w:val="00BE3F36"/>
    <w:rsid w:val="00BE4B17"/>
    <w:rsid w:val="00BF5D12"/>
    <w:rsid w:val="00BF7FF7"/>
    <w:rsid w:val="00C06CA7"/>
    <w:rsid w:val="00C111E5"/>
    <w:rsid w:val="00C2009D"/>
    <w:rsid w:val="00C22CB2"/>
    <w:rsid w:val="00C244EB"/>
    <w:rsid w:val="00C24D48"/>
    <w:rsid w:val="00C2672A"/>
    <w:rsid w:val="00C3014E"/>
    <w:rsid w:val="00C33CC3"/>
    <w:rsid w:val="00C421A8"/>
    <w:rsid w:val="00C43799"/>
    <w:rsid w:val="00C47412"/>
    <w:rsid w:val="00C47B12"/>
    <w:rsid w:val="00C50306"/>
    <w:rsid w:val="00C5486F"/>
    <w:rsid w:val="00C55043"/>
    <w:rsid w:val="00C5657B"/>
    <w:rsid w:val="00C709EF"/>
    <w:rsid w:val="00C77FDB"/>
    <w:rsid w:val="00C84650"/>
    <w:rsid w:val="00C90AB7"/>
    <w:rsid w:val="00C93319"/>
    <w:rsid w:val="00C97BB8"/>
    <w:rsid w:val="00CA4AA0"/>
    <w:rsid w:val="00CA7C6E"/>
    <w:rsid w:val="00CB2356"/>
    <w:rsid w:val="00CB46ED"/>
    <w:rsid w:val="00CC362F"/>
    <w:rsid w:val="00CC7E2C"/>
    <w:rsid w:val="00CD1C9F"/>
    <w:rsid w:val="00CE006E"/>
    <w:rsid w:val="00CE432F"/>
    <w:rsid w:val="00CE5172"/>
    <w:rsid w:val="00CF4223"/>
    <w:rsid w:val="00CF7310"/>
    <w:rsid w:val="00D01F3B"/>
    <w:rsid w:val="00D06480"/>
    <w:rsid w:val="00D11C07"/>
    <w:rsid w:val="00D11CD8"/>
    <w:rsid w:val="00D23308"/>
    <w:rsid w:val="00D2365B"/>
    <w:rsid w:val="00D40871"/>
    <w:rsid w:val="00D411AB"/>
    <w:rsid w:val="00D41970"/>
    <w:rsid w:val="00D42801"/>
    <w:rsid w:val="00D448F3"/>
    <w:rsid w:val="00D44E68"/>
    <w:rsid w:val="00D45DAB"/>
    <w:rsid w:val="00D45F4A"/>
    <w:rsid w:val="00D52B1D"/>
    <w:rsid w:val="00D55D2B"/>
    <w:rsid w:val="00D617D7"/>
    <w:rsid w:val="00D632E6"/>
    <w:rsid w:val="00D636B5"/>
    <w:rsid w:val="00D64B7D"/>
    <w:rsid w:val="00D65CA8"/>
    <w:rsid w:val="00D70029"/>
    <w:rsid w:val="00D746F9"/>
    <w:rsid w:val="00D90FE0"/>
    <w:rsid w:val="00D92B04"/>
    <w:rsid w:val="00DB035A"/>
    <w:rsid w:val="00DC19D9"/>
    <w:rsid w:val="00DC5265"/>
    <w:rsid w:val="00DC7E38"/>
    <w:rsid w:val="00DD0DD3"/>
    <w:rsid w:val="00DE0A07"/>
    <w:rsid w:val="00DE5634"/>
    <w:rsid w:val="00DE650D"/>
    <w:rsid w:val="00DF2728"/>
    <w:rsid w:val="00E00715"/>
    <w:rsid w:val="00E0189F"/>
    <w:rsid w:val="00E0195A"/>
    <w:rsid w:val="00E12FBA"/>
    <w:rsid w:val="00E13C83"/>
    <w:rsid w:val="00E141EE"/>
    <w:rsid w:val="00E150E6"/>
    <w:rsid w:val="00E30581"/>
    <w:rsid w:val="00E32F8A"/>
    <w:rsid w:val="00E34A0B"/>
    <w:rsid w:val="00E37527"/>
    <w:rsid w:val="00E43CCD"/>
    <w:rsid w:val="00E444B5"/>
    <w:rsid w:val="00E45B3D"/>
    <w:rsid w:val="00E51E02"/>
    <w:rsid w:val="00E5226A"/>
    <w:rsid w:val="00E605B6"/>
    <w:rsid w:val="00E60B5F"/>
    <w:rsid w:val="00E64B09"/>
    <w:rsid w:val="00E655CF"/>
    <w:rsid w:val="00E731B6"/>
    <w:rsid w:val="00E857F5"/>
    <w:rsid w:val="00E91D91"/>
    <w:rsid w:val="00E97116"/>
    <w:rsid w:val="00EA02DA"/>
    <w:rsid w:val="00EA1EEE"/>
    <w:rsid w:val="00EB1397"/>
    <w:rsid w:val="00EB2454"/>
    <w:rsid w:val="00EB4820"/>
    <w:rsid w:val="00EB752F"/>
    <w:rsid w:val="00EC6ED0"/>
    <w:rsid w:val="00ED1137"/>
    <w:rsid w:val="00ED658B"/>
    <w:rsid w:val="00ED7CFC"/>
    <w:rsid w:val="00EE1950"/>
    <w:rsid w:val="00EE36F1"/>
    <w:rsid w:val="00EE7B7E"/>
    <w:rsid w:val="00EF03ED"/>
    <w:rsid w:val="00EF7F59"/>
    <w:rsid w:val="00F21C05"/>
    <w:rsid w:val="00F2372A"/>
    <w:rsid w:val="00F338DE"/>
    <w:rsid w:val="00F34EA0"/>
    <w:rsid w:val="00F37761"/>
    <w:rsid w:val="00F41FB3"/>
    <w:rsid w:val="00F42C26"/>
    <w:rsid w:val="00F60400"/>
    <w:rsid w:val="00F612F3"/>
    <w:rsid w:val="00F6722A"/>
    <w:rsid w:val="00F72446"/>
    <w:rsid w:val="00F76C90"/>
    <w:rsid w:val="00F81A5C"/>
    <w:rsid w:val="00F844EC"/>
    <w:rsid w:val="00F8560A"/>
    <w:rsid w:val="00F96C0B"/>
    <w:rsid w:val="00F96D68"/>
    <w:rsid w:val="00FC2607"/>
    <w:rsid w:val="00FC4DCB"/>
    <w:rsid w:val="00FD5F5A"/>
    <w:rsid w:val="00FE3C9B"/>
    <w:rsid w:val="00FF368F"/>
    <w:rsid w:val="7BB30F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paragraph" w:customStyle="1" w:styleId="8">
    <w:name w:val="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
    <w:name w:val="Char Char1 Char Char Char Char"/>
    <w:basedOn w:val="1"/>
    <w:qFormat/>
    <w:uiPriority w:val="99"/>
    <w:pPr>
      <w:spacing w:line="240" w:lineRule="atLeast"/>
      <w:ind w:left="420" w:firstLine="420"/>
    </w:pPr>
  </w:style>
  <w:style w:type="character" w:customStyle="1" w:styleId="10">
    <w:name w:val="页脚 Char"/>
    <w:basedOn w:val="5"/>
    <w:link w:val="3"/>
    <w:semiHidden/>
    <w:qFormat/>
    <w:locked/>
    <w:uiPriority w:val="99"/>
    <w:rPr>
      <w:rFonts w:cs="Times New Roman"/>
      <w:sz w:val="18"/>
      <w:szCs w:val="18"/>
    </w:rPr>
  </w:style>
  <w:style w:type="character" w:customStyle="1" w:styleId="11">
    <w:name w:val="批注框文本 Char"/>
    <w:basedOn w:val="5"/>
    <w:link w:val="2"/>
    <w:semiHidden/>
    <w:qFormat/>
    <w:locked/>
    <w:uiPriority w:val="99"/>
    <w:rPr>
      <w:rFonts w:cs="Times New Roman"/>
      <w:sz w:val="2"/>
    </w:rPr>
  </w:style>
  <w:style w:type="character" w:customStyle="1" w:styleId="12">
    <w:name w:val="页眉 Char"/>
    <w:basedOn w:val="5"/>
    <w:link w:val="4"/>
    <w:semiHidden/>
    <w:qFormat/>
    <w:locked/>
    <w:uiPriority w:val="99"/>
    <w:rPr>
      <w:rFonts w:cs="Times New Roman"/>
      <w:kern w:val="2"/>
      <w:sz w:val="18"/>
      <w:szCs w:val="18"/>
    </w:rPr>
  </w:style>
  <w:style w:type="paragraph" w:styleId="13">
    <w:name w:val="List Paragraph"/>
    <w:basedOn w:val="1"/>
    <w:qFormat/>
    <w:uiPriority w:val="99"/>
    <w:pPr>
      <w:ind w:firstLine="420" w:firstLineChars="200"/>
    </w:pPr>
  </w:style>
  <w:style w:type="character" w:customStyle="1" w:styleId="14">
    <w:name w:val="font01"/>
    <w:basedOn w:val="5"/>
    <w:qFormat/>
    <w:uiPriority w:val="0"/>
    <w:rPr>
      <w:rFonts w:hint="eastAsia" w:ascii="宋体" w:hAnsi="宋体" w:eastAsia="宋体" w:cs="宋体"/>
      <w:color w:val="000000"/>
      <w:sz w:val="20"/>
      <w:szCs w:val="20"/>
      <w:u w:val="none"/>
    </w:rPr>
  </w:style>
  <w:style w:type="character" w:customStyle="1" w:styleId="15">
    <w:name w:val="font11"/>
    <w:basedOn w:val="5"/>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2458F5-BBB0-4215-A553-8093DDA4DDD5}">
  <ds:schemaRefs/>
</ds:datastoreItem>
</file>

<file path=docProps/app.xml><?xml version="1.0" encoding="utf-8"?>
<Properties xmlns="http://schemas.openxmlformats.org/officeDocument/2006/extended-properties" xmlns:vt="http://schemas.openxmlformats.org/officeDocument/2006/docPropsVTypes">
  <Template>Normal</Template>
  <Company>盐边县财政局预算科</Company>
  <Pages>28</Pages>
  <Words>2351</Words>
  <Characters>13403</Characters>
  <Lines>111</Lines>
  <Paragraphs>31</Paragraphs>
  <TotalTime>100</TotalTime>
  <ScaleCrop>false</ScaleCrop>
  <LinksUpToDate>false</LinksUpToDate>
  <CharactersWithSpaces>15723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2020-09-10T08:48:00Z</dcterms:created>
  <dc:creator>杨鸿</dc:creator>
  <cp:lastModifiedBy>Admin</cp:lastModifiedBy>
  <cp:lastPrinted>2020-09-10T09:54:00Z</cp:lastPrinted>
  <dcterms:modified xsi:type="dcterms:W3CDTF">2026-02-05T08:37:31Z</dcterms:modified>
  <dc:title>2010年财政决算情况</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