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4BF82">
      <w:pPr>
        <w:spacing w:line="600" w:lineRule="exact"/>
        <w:jc w:val="center"/>
        <w:outlineLvl w:val="0"/>
        <w:rPr>
          <w:rFonts w:ascii="方正小标宋简体" w:hAnsi="宋体" w:eastAsia="方正小标宋简体"/>
          <w:sz w:val="72"/>
          <w:szCs w:val="72"/>
        </w:rPr>
      </w:pPr>
      <w:bookmarkStart w:id="0" w:name="_Toc15396597"/>
      <w:bookmarkStart w:id="1" w:name="_Toc15378441"/>
      <w:bookmarkStart w:id="2" w:name="_Toc15377193"/>
      <w:bookmarkStart w:id="3" w:name="_Toc15377425"/>
      <w:bookmarkStart w:id="4" w:name="_Toc15396475"/>
      <w:bookmarkStart w:id="5" w:name="_Toc15306267"/>
    </w:p>
    <w:p w14:paraId="53BCF126">
      <w:pPr>
        <w:spacing w:line="600" w:lineRule="exact"/>
        <w:jc w:val="center"/>
        <w:outlineLvl w:val="0"/>
        <w:rPr>
          <w:rFonts w:ascii="方正小标宋简体" w:hAnsi="宋体" w:eastAsia="方正小标宋简体"/>
          <w:sz w:val="72"/>
          <w:szCs w:val="72"/>
        </w:rPr>
      </w:pPr>
    </w:p>
    <w:p w14:paraId="7428D433">
      <w:pPr>
        <w:spacing w:line="600" w:lineRule="exact"/>
        <w:jc w:val="center"/>
        <w:outlineLvl w:val="0"/>
        <w:rPr>
          <w:rFonts w:ascii="方正小标宋简体" w:hAnsi="宋体" w:eastAsia="方正小标宋简体"/>
          <w:sz w:val="72"/>
          <w:szCs w:val="72"/>
        </w:rPr>
      </w:pPr>
    </w:p>
    <w:p w14:paraId="31372577">
      <w:pPr>
        <w:adjustRightInd w:val="0"/>
        <w:snapToGrid w:val="0"/>
        <w:spacing w:line="360" w:lineRule="auto"/>
        <w:jc w:val="center"/>
        <w:outlineLvl w:val="0"/>
        <w:rPr>
          <w:rFonts w:hint="eastAsia" w:ascii="方正小标宋简体" w:hAnsi="方正小标宋简体" w:eastAsia="方正小标宋简体" w:cs="方正小标宋简体"/>
          <w:sz w:val="44"/>
          <w:szCs w:val="72"/>
          <w:lang w:eastAsia="zh-CN"/>
        </w:rPr>
      </w:pPr>
      <w:r>
        <w:rPr>
          <w:rFonts w:hint="eastAsia" w:ascii="方正小标宋简体" w:hAnsi="方正小标宋简体" w:eastAsia="方正小标宋简体" w:cs="方正小标宋简体"/>
          <w:sz w:val="44"/>
          <w:szCs w:val="72"/>
        </w:rPr>
        <w:t>2022年度</w:t>
      </w:r>
      <w:bookmarkEnd w:id="0"/>
      <w:bookmarkEnd w:id="1"/>
      <w:bookmarkEnd w:id="2"/>
      <w:bookmarkEnd w:id="3"/>
      <w:bookmarkEnd w:id="4"/>
      <w:bookmarkEnd w:id="5"/>
      <w:bookmarkStart w:id="6" w:name="_Toc15396476"/>
      <w:bookmarkStart w:id="7" w:name="_Toc15377426"/>
      <w:bookmarkStart w:id="8" w:name="_Toc15306268"/>
      <w:bookmarkStart w:id="9" w:name="_Toc15378442"/>
      <w:bookmarkStart w:id="10" w:name="_Toc15396598"/>
      <w:bookmarkStart w:id="11" w:name="_Toc15377194"/>
      <w:r>
        <w:rPr>
          <w:rFonts w:hint="eastAsia" w:ascii="方正小标宋简体" w:hAnsi="方正小标宋简体" w:eastAsia="方正小标宋简体" w:cs="方正小标宋简体"/>
          <w:sz w:val="44"/>
          <w:szCs w:val="72"/>
          <w:lang w:eastAsia="zh-CN"/>
        </w:rPr>
        <w:t>盐边县乡村振兴局</w:t>
      </w:r>
    </w:p>
    <w:p w14:paraId="260FC651">
      <w:pPr>
        <w:adjustRightInd w:val="0"/>
        <w:snapToGrid w:val="0"/>
        <w:spacing w:line="360" w:lineRule="auto"/>
        <w:jc w:val="center"/>
        <w:outlineLvl w:val="0"/>
        <w:rPr>
          <w:rFonts w:ascii="方正小标宋简体" w:hAnsi="方正小标宋简体" w:eastAsia="方正小标宋简体" w:cs="方正小标宋简体"/>
          <w:sz w:val="44"/>
          <w:szCs w:val="84"/>
        </w:rPr>
      </w:pPr>
      <w:r>
        <w:rPr>
          <w:rFonts w:hint="eastAsia" w:ascii="方正小标宋简体" w:hAnsi="方正小标宋简体" w:eastAsia="方正小标宋简体" w:cs="方正小标宋简体"/>
          <w:sz w:val="44"/>
          <w:szCs w:val="72"/>
        </w:rPr>
        <w:t>部门决</w:t>
      </w:r>
      <w:r>
        <w:rPr>
          <w:rFonts w:hint="eastAsia" w:ascii="方正小标宋简体" w:hAnsi="方正小标宋简体" w:eastAsia="方正小标宋简体" w:cs="方正小标宋简体"/>
          <w:sz w:val="44"/>
          <w:szCs w:val="84"/>
        </w:rPr>
        <w:t>算</w:t>
      </w:r>
      <w:bookmarkEnd w:id="6"/>
      <w:bookmarkEnd w:id="7"/>
      <w:bookmarkEnd w:id="8"/>
      <w:bookmarkEnd w:id="9"/>
      <w:bookmarkEnd w:id="10"/>
      <w:bookmarkEnd w:id="11"/>
    </w:p>
    <w:p w14:paraId="785A7970">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22B138A">
      <w:pPr>
        <w:widowControl/>
        <w:jc w:val="center"/>
        <w:rPr>
          <w:rFonts w:ascii="黑体" w:hAnsi="黑体" w:eastAsia="黑体" w:cstheme="minorBidi"/>
          <w:sz w:val="28"/>
          <w:szCs w:val="28"/>
        </w:rPr>
      </w:pPr>
    </w:p>
    <w:p w14:paraId="222127FC">
      <w:pPr>
        <w:pStyle w:val="13"/>
      </w:pPr>
      <w:r>
        <w:rPr>
          <w:rFonts w:hint="eastAsia"/>
        </w:rPr>
        <w:t>公开时间：2023年10月</w:t>
      </w:r>
      <w:r>
        <w:rPr>
          <w:rFonts w:hint="eastAsia"/>
          <w:lang w:val="en-US" w:eastAsia="zh-CN"/>
        </w:rPr>
        <w:t>27</w:t>
      </w:r>
      <w:r>
        <w:rPr>
          <w:rFonts w:hint="eastAsia"/>
        </w:rPr>
        <w:t>日</w:t>
      </w:r>
    </w:p>
    <w:p w14:paraId="6DCD2122"/>
    <w:p w14:paraId="0AA45841">
      <w:pPr>
        <w:pStyle w:val="13"/>
        <w:adjustRightInd w:val="0"/>
        <w:snapToGrid w:val="0"/>
        <w:spacing w:before="0" w:line="440" w:lineRule="exact"/>
        <w:jc w:val="left"/>
        <w:rPr>
          <w:rFonts w:hint="eastAsia" w:eastAsia="仿宋" w:cstheme="minorBidi"/>
          <w:sz w:val="24"/>
          <w:szCs w:val="24"/>
          <w:lang w:eastAsia="zh-CN"/>
        </w:rPr>
      </w:pPr>
      <w:r>
        <w:rPr>
          <w:rFonts w:hint="eastAsia"/>
          <w:sz w:val="24"/>
        </w:rPr>
        <w:t>第一部分部门概况</w:t>
      </w:r>
      <w:r>
        <w:ptab w:relativeTo="margin" w:alignment="right" w:leader="dot"/>
      </w:r>
      <w:r>
        <w:rPr>
          <w:rFonts w:hint="eastAsia"/>
          <w:lang w:val="en-US" w:eastAsia="zh-CN"/>
        </w:rPr>
        <w:t>4</w:t>
      </w:r>
    </w:p>
    <w:p w14:paraId="114CEE7D">
      <w:pPr>
        <w:pStyle w:val="14"/>
        <w:adjustRightInd w:val="0"/>
        <w:snapToGrid w:val="0"/>
        <w:spacing w:line="440" w:lineRule="exact"/>
        <w:jc w:val="left"/>
        <w:rPr>
          <w:rFonts w:hint="default" w:eastAsia="宋体"/>
          <w:sz w:val="24"/>
          <w:lang w:val="en-US" w:eastAsia="zh-CN"/>
        </w:rPr>
      </w:pPr>
      <w:r>
        <w:rPr>
          <w:rFonts w:hint="eastAsia"/>
          <w:sz w:val="24"/>
        </w:rPr>
        <w:t>一、部门职责</w:t>
      </w:r>
      <w:r>
        <w:rPr>
          <w:rFonts w:hint="eastAsia"/>
          <w:sz w:val="24"/>
          <w:lang w:val="en-US" w:eastAsia="zh-CN"/>
        </w:rPr>
        <w:t>.........................................................................................................5</w:t>
      </w:r>
    </w:p>
    <w:p w14:paraId="0F9A9EC2">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 xml:space="preserve">.........................................................................................................6              </w:t>
      </w:r>
    </w:p>
    <w:p w14:paraId="5875B880">
      <w:pPr>
        <w:pStyle w:val="13"/>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..................................7</w:t>
      </w:r>
    </w:p>
    <w:p w14:paraId="300CC12A">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........................................................................7</w:t>
      </w:r>
    </w:p>
    <w:p w14:paraId="49997F52">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........................................................................................8</w:t>
      </w:r>
    </w:p>
    <w:p w14:paraId="107D0BD5">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........................................................................................8</w:t>
      </w:r>
    </w:p>
    <w:p w14:paraId="29C74BBB">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........................................................9</w:t>
      </w:r>
    </w:p>
    <w:p w14:paraId="29CD0CAD">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................................................10</w:t>
      </w:r>
    </w:p>
    <w:p w14:paraId="1C87AB31">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........................................13</w:t>
      </w:r>
      <w:r>
        <w:rPr>
          <w:rFonts w:hint="eastAsia"/>
          <w:sz w:val="24"/>
        </w:rPr>
        <w:t>七、财政拨款“三公”经费支出决算情况说明</w:t>
      </w:r>
      <w:r>
        <w:rPr>
          <w:rFonts w:hint="eastAsia"/>
          <w:sz w:val="24"/>
          <w:lang w:val="en-US" w:eastAsia="zh-CN"/>
        </w:rPr>
        <w:t>................................................14</w:t>
      </w:r>
    </w:p>
    <w:p w14:paraId="171C48E6">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............................................................15</w:t>
      </w:r>
    </w:p>
    <w:p w14:paraId="2F2230D2">
      <w:pPr>
        <w:pStyle w:val="14"/>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val="en-US" w:eastAsia="zh-CN"/>
        </w:rPr>
        <w:t>............................15</w:t>
      </w:r>
    </w:p>
    <w:p w14:paraId="69D9C699">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ab/>
      </w:r>
    </w:p>
    <w:p w14:paraId="7115B347">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第三部分名词解释</w:t>
      </w:r>
      <w:r>
        <w:rPr>
          <w:rFonts w:hint="eastAsia"/>
          <w:sz w:val="24"/>
          <w:lang w:val="en-US" w:eastAsia="zh-CN"/>
        </w:rPr>
        <w:t>...................................................17</w:t>
      </w:r>
    </w:p>
    <w:p w14:paraId="01F180B4">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第四部分附件</w:t>
      </w:r>
      <w:r>
        <w:rPr>
          <w:rFonts w:hint="eastAsia"/>
          <w:sz w:val="24"/>
          <w:lang w:val="en-US" w:eastAsia="zh-CN"/>
        </w:rPr>
        <w:t>.......................................................21</w:t>
      </w:r>
    </w:p>
    <w:p w14:paraId="6C630A05">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第五部分附表</w:t>
      </w:r>
      <w:r>
        <w:rPr>
          <w:rFonts w:hint="eastAsia"/>
          <w:sz w:val="24"/>
          <w:lang w:val="en-US" w:eastAsia="zh-CN"/>
        </w:rPr>
        <w:t>.......................................................56</w:t>
      </w:r>
    </w:p>
    <w:p w14:paraId="050B7E56">
      <w:pPr>
        <w:pStyle w:val="14"/>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.......................................................................................56</w:t>
      </w:r>
    </w:p>
    <w:p w14:paraId="53A9CA41">
      <w:pPr>
        <w:pStyle w:val="14"/>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...................................................................................................56</w:t>
      </w:r>
    </w:p>
    <w:p w14:paraId="2C6E3059">
      <w:pPr>
        <w:pStyle w:val="14"/>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.....................................................................................................56</w:t>
      </w:r>
    </w:p>
    <w:p w14:paraId="0428545F">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........................................................................56</w:t>
      </w:r>
    </w:p>
    <w:p w14:paraId="3E3501BA">
      <w:pPr>
        <w:pStyle w:val="14"/>
        <w:adjustRightInd w:val="0"/>
        <w:snapToGrid w:val="0"/>
        <w:spacing w:line="440" w:lineRule="exact"/>
        <w:jc w:val="left"/>
        <w:rPr>
          <w:rFonts w:hint="default" w:eastAsia="宋体"/>
          <w:lang w:val="en-US" w:eastAsia="zh-CN"/>
        </w:rPr>
      </w:pPr>
      <w:r>
        <w:rPr>
          <w:rFonts w:hint="eastAsia"/>
          <w:sz w:val="24"/>
        </w:rPr>
        <w:t>五、财政拨款支出决算明细表</w:t>
      </w:r>
      <w:r>
        <w:rPr>
          <w:rFonts w:hint="eastAsia"/>
          <w:sz w:val="24"/>
          <w:lang w:val="en-US" w:eastAsia="zh-CN"/>
        </w:rPr>
        <w:t>............................................................................56</w:t>
      </w:r>
    </w:p>
    <w:p w14:paraId="53458AA3">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............................................................56</w:t>
      </w:r>
    </w:p>
    <w:p w14:paraId="1352A999">
      <w:pPr>
        <w:pStyle w:val="14"/>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...................................................56</w:t>
      </w:r>
    </w:p>
    <w:p w14:paraId="374D70D9">
      <w:pPr>
        <w:pStyle w:val="14"/>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............................................56</w:t>
      </w:r>
    </w:p>
    <w:p w14:paraId="480ECB17">
      <w:pPr>
        <w:pStyle w:val="14"/>
        <w:adjustRightInd w:val="0"/>
        <w:snapToGrid w:val="0"/>
        <w:spacing w:line="440" w:lineRule="exact"/>
        <w:jc w:val="left"/>
        <w:rPr>
          <w:sz w:val="24"/>
        </w:rPr>
      </w:pPr>
      <w:r>
        <w:rPr>
          <w:rFonts w:hint="eastAsia"/>
          <w:sz w:val="24"/>
        </w:rPr>
        <w:t>九、一般公共预算财政拨款项目支出决算表</w:t>
      </w:r>
    </w:p>
    <w:p w14:paraId="276E6718">
      <w:pPr>
        <w:pStyle w:val="14"/>
        <w:adjustRightInd w:val="0"/>
        <w:snapToGrid w:val="0"/>
        <w:spacing w:line="440" w:lineRule="exact"/>
        <w:jc w:val="left"/>
        <w:rPr>
          <w:sz w:val="24"/>
        </w:rPr>
      </w:pPr>
      <w:r>
        <w:rPr>
          <w:rFonts w:hint="eastAsia"/>
          <w:sz w:val="24"/>
        </w:rPr>
        <w:t>十、政府性基金预算财政拨款收入支出决算表</w:t>
      </w:r>
    </w:p>
    <w:p w14:paraId="3D499F2E">
      <w:pPr>
        <w:pStyle w:val="14"/>
        <w:adjustRightInd w:val="0"/>
        <w:snapToGrid w:val="0"/>
        <w:spacing w:line="440" w:lineRule="exact"/>
        <w:jc w:val="left"/>
        <w:rPr>
          <w:sz w:val="24"/>
        </w:rPr>
      </w:pPr>
      <w:r>
        <w:rPr>
          <w:rFonts w:hint="eastAsia"/>
          <w:sz w:val="24"/>
        </w:rPr>
        <w:t>十一、国有资本经营预算财政拨款收入支出决算表</w:t>
      </w:r>
    </w:p>
    <w:p w14:paraId="7700C9C4">
      <w:pPr>
        <w:pStyle w:val="14"/>
        <w:adjustRightInd w:val="0"/>
        <w:snapToGrid w:val="0"/>
        <w:spacing w:line="440" w:lineRule="exact"/>
        <w:jc w:val="left"/>
        <w:rPr>
          <w:sz w:val="24"/>
        </w:rPr>
      </w:pPr>
      <w:r>
        <w:rPr>
          <w:rFonts w:hint="eastAsia"/>
          <w:sz w:val="24"/>
        </w:rPr>
        <w:t>十二、国有资本经营预算财政拨款支出决算表</w:t>
      </w:r>
    </w:p>
    <w:p w14:paraId="46951384">
      <w:pPr>
        <w:pStyle w:val="14"/>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08CC5A95">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请部门根据实际注明页码</w:t>
      </w:r>
      <w:r>
        <w:rPr>
          <w:rFonts w:hint="eastAsia" w:ascii="仿宋" w:hAnsi="仿宋" w:eastAsia="仿宋"/>
          <w:sz w:val="24"/>
          <w:lang w:eastAsia="zh-CN"/>
        </w:rPr>
        <w:t>）</w:t>
      </w:r>
    </w:p>
    <w:p w14:paraId="47BCA277">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bookmarkEnd w:id="12"/>
    <w:bookmarkEnd w:id="13"/>
    <w:p w14:paraId="3BFF5A87">
      <w:pPr>
        <w:pStyle w:val="2"/>
        <w:jc w:val="center"/>
        <w:rPr>
          <w:rStyle w:val="28"/>
          <w:rFonts w:hint="eastAsia" w:ascii="仿宋" w:hAnsi="仿宋" w:eastAsia="仿宋" w:cs="仿宋"/>
          <w:b/>
          <w:bCs/>
          <w:sz w:val="44"/>
          <w:szCs w:val="44"/>
        </w:rPr>
      </w:pPr>
      <w:bookmarkStart w:id="14" w:name="_Toc52180065"/>
      <w:r>
        <w:rPr>
          <w:rFonts w:hint="eastAsia" w:ascii="仿宋" w:hAnsi="仿宋" w:eastAsia="仿宋" w:cs="仿宋"/>
          <w:sz w:val="44"/>
          <w:szCs w:val="44"/>
        </w:rPr>
        <w:t xml:space="preserve">第一部分 </w:t>
      </w:r>
      <w:r>
        <w:rPr>
          <w:rStyle w:val="28"/>
          <w:rFonts w:hint="eastAsia" w:ascii="仿宋" w:hAnsi="仿宋" w:eastAsia="仿宋" w:cs="仿宋"/>
          <w:b/>
          <w:bCs/>
          <w:sz w:val="44"/>
          <w:szCs w:val="44"/>
        </w:rPr>
        <w:t>部门概况</w:t>
      </w:r>
      <w:bookmarkEnd w:id="14"/>
    </w:p>
    <w:p w14:paraId="5A47435E">
      <w:pPr>
        <w:widowControl/>
        <w:jc w:val="left"/>
        <w:rPr>
          <w:rFonts w:asciiTheme="minorEastAsia" w:hAnsiTheme="minorEastAsia" w:eastAsiaTheme="minorEastAsia" w:cstheme="minorEastAsia"/>
          <w:bCs/>
          <w:color w:val="000000"/>
          <w:sz w:val="32"/>
          <w:szCs w:val="32"/>
        </w:rPr>
      </w:pPr>
    </w:p>
    <w:p w14:paraId="7D4E6A86">
      <w:pPr>
        <w:spacing w:line="560" w:lineRule="exact"/>
        <w:ind w:firstLine="723" w:firstLineChars="200"/>
        <w:jc w:val="left"/>
        <w:rPr>
          <w:rFonts w:asciiTheme="minorEastAsia" w:hAnsiTheme="minorEastAsia" w:eastAsiaTheme="minorEastAsia" w:cstheme="minorEastAsia"/>
          <w:b/>
          <w:bCs/>
          <w:sz w:val="36"/>
          <w:szCs w:val="36"/>
        </w:rPr>
      </w:pPr>
      <w:bookmarkStart w:id="15" w:name="_Toc52180068"/>
      <w:bookmarkStart w:id="16" w:name="_Toc15378446"/>
      <w:bookmarkStart w:id="17" w:name="_Toc15377199"/>
      <w:r>
        <w:rPr>
          <w:rFonts w:hint="eastAsia" w:asciiTheme="minorEastAsia" w:hAnsiTheme="minorEastAsia" w:eastAsiaTheme="minorEastAsia" w:cstheme="minorEastAsia"/>
          <w:b/>
          <w:bCs/>
          <w:sz w:val="36"/>
          <w:szCs w:val="36"/>
        </w:rPr>
        <w:t>一、部门概况</w:t>
      </w:r>
    </w:p>
    <w:p w14:paraId="2C46BCB7">
      <w:pPr>
        <w:widowControl/>
        <w:adjustRightInd w:val="0"/>
        <w:snapToGrid w:val="0"/>
        <w:spacing w:line="560" w:lineRule="exact"/>
        <w:jc w:val="left"/>
        <w:rPr>
          <w:rFonts w:asciiTheme="minorEastAsia" w:hAnsiTheme="minorEastAsia" w:eastAsiaTheme="minorEastAsia" w:cstheme="minorEastAsia"/>
          <w:b/>
          <w:bCs/>
          <w:color w:val="000000"/>
          <w:kern w:val="0"/>
          <w:sz w:val="36"/>
          <w:szCs w:val="36"/>
          <w:shd w:val="clear" w:color="auto" w:fill="FFFFFF"/>
        </w:rPr>
      </w:pPr>
      <w:r>
        <w:rPr>
          <w:rFonts w:hint="eastAsia" w:asciiTheme="minorEastAsia" w:hAnsiTheme="minorEastAsia" w:eastAsiaTheme="minorEastAsia" w:cstheme="minorEastAsia"/>
          <w:b/>
          <w:bCs/>
          <w:color w:val="000000"/>
          <w:kern w:val="0"/>
          <w:sz w:val="36"/>
          <w:szCs w:val="36"/>
          <w:shd w:val="clear" w:color="auto" w:fill="FFFFFF"/>
          <w:lang w:val="zh-CN"/>
        </w:rPr>
        <w:t xml:space="preserve">    （一）机构职能</w:t>
      </w:r>
    </w:p>
    <w:p w14:paraId="748EA789">
      <w:pPr>
        <w:widowControl/>
        <w:adjustRightInd w:val="0"/>
        <w:snapToGrid w:val="0"/>
        <w:spacing w:line="560" w:lineRule="exact"/>
        <w:ind w:left="640"/>
        <w:jc w:val="left"/>
        <w:rPr>
          <w:rStyle w:val="36"/>
          <w:rFonts w:hint="eastAsia" w:ascii="仿宋" w:hAnsi="仿宋" w:eastAsia="仿宋" w:cs="仿宋"/>
          <w:bCs/>
          <w:sz w:val="32"/>
          <w:szCs w:val="32"/>
        </w:rPr>
      </w:pPr>
      <w:r>
        <w:rPr>
          <w:rFonts w:hint="eastAsia" w:asciiTheme="minorEastAsia" w:hAnsiTheme="minorEastAsia" w:eastAsiaTheme="minorEastAsia" w:cstheme="minorEastAsia"/>
          <w:bCs/>
          <w:color w:val="000000"/>
          <w:kern w:val="0"/>
          <w:sz w:val="32"/>
          <w:szCs w:val="32"/>
          <w:shd w:val="clear" w:color="auto" w:fill="FFFFFF"/>
        </w:rPr>
        <w:t xml:space="preserve">  </w:t>
      </w:r>
      <w:r>
        <w:rPr>
          <w:rFonts w:hint="eastAsia" w:asciiTheme="minorEastAsia" w:hAnsiTheme="minorEastAsia" w:eastAsiaTheme="minorEastAsia" w:cstheme="minorEastAsia"/>
          <w:bCs/>
          <w:color w:val="000000"/>
          <w:kern w:val="0"/>
          <w:sz w:val="32"/>
          <w:szCs w:val="32"/>
          <w:shd w:val="clear" w:color="auto" w:fill="FFFFFF"/>
          <w:lang w:eastAsia="zh-CN"/>
        </w:rPr>
        <w:t>1.</w:t>
      </w:r>
      <w:r>
        <w:rPr>
          <w:rStyle w:val="35"/>
          <w:rFonts w:hint="eastAsia" w:ascii="仿宋" w:hAnsi="仿宋" w:eastAsia="仿宋" w:cs="仿宋"/>
          <w:bCs/>
          <w:sz w:val="32"/>
          <w:szCs w:val="32"/>
        </w:rPr>
        <w:t>负责职责范围内的安全生产和职业健康、 生态环境保护、审批服务便民化等工作。</w:t>
      </w:r>
      <w:r>
        <w:rPr>
          <w:rFonts w:hint="eastAsia" w:ascii="仿宋" w:hAnsi="仿宋" w:eastAsia="仿宋" w:cs="仿宋"/>
          <w:bCs/>
          <w:color w:val="000000"/>
          <w:sz w:val="32"/>
          <w:szCs w:val="32"/>
        </w:rPr>
        <w:br w:type="textWrapping"/>
      </w:r>
      <w:r>
        <w:rPr>
          <w:rStyle w:val="35"/>
          <w:rFonts w:hint="eastAsia" w:ascii="仿宋" w:hAnsi="仿宋" w:eastAsia="仿宋" w:cs="仿宋"/>
          <w:bCs/>
          <w:sz w:val="32"/>
          <w:szCs w:val="32"/>
        </w:rPr>
        <w:t xml:space="preserve">  2、与县发展改革局有关职责分工。 </w:t>
      </w:r>
      <w:r>
        <w:rPr>
          <w:rStyle w:val="36"/>
          <w:rFonts w:hint="eastAsia" w:ascii="仿宋" w:hAnsi="仿宋" w:eastAsia="仿宋" w:cs="仿宋"/>
          <w:bCs/>
          <w:sz w:val="32"/>
          <w:szCs w:val="32"/>
        </w:rPr>
        <w:t>贯彻中央、省、市采煤沉陷区综合治理的方针政策。县发展改革局负责采煤沉陷区规划编制、项目争取相关工作。县扶贫开发局牵头采煤沉陷区综合治理工作，指导、督促县级相关部门做好采煤沉陷区综合治理项目的组织实施工作</w:t>
      </w:r>
    </w:p>
    <w:p w14:paraId="54C66693">
      <w:pPr>
        <w:widowControl/>
        <w:adjustRightInd w:val="0"/>
        <w:snapToGrid w:val="0"/>
        <w:spacing w:line="560" w:lineRule="exact"/>
        <w:ind w:firstLine="361" w:firstLineChars="100"/>
        <w:jc w:val="left"/>
        <w:rPr>
          <w:rFonts w:hint="eastAsia" w:ascii="仿宋" w:hAnsi="仿宋" w:eastAsia="仿宋" w:cs="仿宋"/>
          <w:b/>
          <w:bCs/>
          <w:color w:val="333333"/>
          <w:sz w:val="36"/>
          <w:szCs w:val="36"/>
          <w:shd w:val="clear" w:color="auto" w:fill="FFFFFF"/>
        </w:rPr>
      </w:pPr>
      <w:r>
        <w:rPr>
          <w:rFonts w:hint="eastAsia" w:ascii="仿宋" w:hAnsi="仿宋" w:eastAsia="仿宋" w:cs="仿宋"/>
          <w:b/>
          <w:bCs/>
          <w:color w:val="000000"/>
          <w:kern w:val="0"/>
          <w:sz w:val="36"/>
          <w:szCs w:val="36"/>
          <w:shd w:val="clear" w:color="auto" w:fill="FFFFFF"/>
          <w:lang w:val="zh-CN"/>
        </w:rPr>
        <w:t>（二）人员概况</w:t>
      </w:r>
    </w:p>
    <w:p w14:paraId="292AB1BB">
      <w:pPr>
        <w:widowControl/>
        <w:adjustRightInd w:val="0"/>
        <w:snapToGrid w:val="0"/>
        <w:spacing w:line="560" w:lineRule="exact"/>
        <w:ind w:firstLine="640" w:firstLineChars="200"/>
        <w:jc w:val="left"/>
        <w:rPr>
          <w:rFonts w:hint="eastAsia" w:ascii="仿宋" w:hAnsi="仿宋" w:eastAsia="仿宋" w:cs="仿宋"/>
          <w:bCs/>
          <w:color w:val="000000"/>
          <w:kern w:val="0"/>
          <w:sz w:val="32"/>
          <w:szCs w:val="32"/>
          <w:shd w:val="clear" w:color="auto" w:fill="FFFFFF"/>
          <w:lang w:val="zh-CN"/>
        </w:rPr>
      </w:pPr>
      <w:r>
        <w:rPr>
          <w:rFonts w:hint="eastAsia" w:ascii="仿宋" w:hAnsi="仿宋" w:eastAsia="仿宋" w:cs="仿宋"/>
          <w:bCs/>
          <w:color w:val="333333"/>
          <w:sz w:val="32"/>
          <w:szCs w:val="32"/>
          <w:shd w:val="clear" w:color="auto" w:fill="FFFFFF"/>
          <w:lang w:eastAsia="zh-CN"/>
        </w:rPr>
        <w:t>盐边县乡村振兴局</w:t>
      </w:r>
      <w:r>
        <w:rPr>
          <w:rFonts w:hint="eastAsia" w:ascii="仿宋" w:hAnsi="仿宋" w:eastAsia="仿宋" w:cs="仿宋"/>
          <w:bCs/>
          <w:color w:val="333333"/>
          <w:sz w:val="32"/>
          <w:szCs w:val="32"/>
          <w:shd w:val="clear" w:color="auto" w:fill="FFFFFF"/>
        </w:rPr>
        <w:t>现有编制数</w:t>
      </w:r>
      <w:r>
        <w:rPr>
          <w:rFonts w:hint="eastAsia" w:ascii="仿宋" w:hAnsi="仿宋" w:eastAsia="仿宋" w:cs="仿宋"/>
          <w:bCs/>
          <w:sz w:val="32"/>
          <w:szCs w:val="32"/>
        </w:rPr>
        <w:t>20</w:t>
      </w:r>
      <w:r>
        <w:rPr>
          <w:rFonts w:hint="eastAsia" w:ascii="仿宋" w:hAnsi="仿宋" w:eastAsia="仿宋" w:cs="仿宋"/>
          <w:bCs/>
          <w:color w:val="333333"/>
          <w:sz w:val="32"/>
          <w:szCs w:val="32"/>
          <w:shd w:val="clear" w:color="auto" w:fill="FFFFFF"/>
        </w:rPr>
        <w:t>人，</w:t>
      </w:r>
      <w:r>
        <w:rPr>
          <w:rFonts w:hint="eastAsia" w:ascii="仿宋" w:hAnsi="仿宋" w:eastAsia="仿宋" w:cs="仿宋"/>
          <w:bCs/>
          <w:color w:val="000000"/>
          <w:sz w:val="32"/>
          <w:szCs w:val="32"/>
          <w:shd w:val="clear" w:color="auto" w:fill="FFFFFF"/>
        </w:rPr>
        <w:t>其中：行政编制14人，</w:t>
      </w:r>
      <w:r>
        <w:rPr>
          <w:rFonts w:hint="eastAsia" w:ascii="仿宋" w:hAnsi="仿宋" w:eastAsia="仿宋" w:cs="仿宋"/>
          <w:bCs/>
          <w:color w:val="333333"/>
          <w:sz w:val="32"/>
          <w:szCs w:val="32"/>
          <w:shd w:val="clear" w:color="auto" w:fill="FFFFFF"/>
        </w:rPr>
        <w:t>工勤人员1人，事业编制5人，202</w:t>
      </w:r>
      <w:r>
        <w:rPr>
          <w:rFonts w:hint="eastAsia" w:ascii="仿宋" w:hAnsi="仿宋" w:eastAsia="仿宋" w:cs="仿宋"/>
          <w:bCs/>
          <w:color w:val="333333"/>
          <w:sz w:val="32"/>
          <w:szCs w:val="32"/>
          <w:shd w:val="clear" w:color="auto" w:fill="FFFFFF"/>
          <w:lang w:val="en-US" w:eastAsia="zh-CN"/>
        </w:rPr>
        <w:t>2</w:t>
      </w:r>
      <w:r>
        <w:rPr>
          <w:rFonts w:hint="eastAsia" w:ascii="仿宋" w:hAnsi="仿宋" w:eastAsia="仿宋" w:cs="仿宋"/>
          <w:bCs/>
          <w:color w:val="333333"/>
          <w:sz w:val="32"/>
          <w:szCs w:val="32"/>
          <w:shd w:val="clear" w:color="auto" w:fill="FFFFFF"/>
        </w:rPr>
        <w:t>年年末在职人员15人，其中行政编制9人，工勤编制5人，事业编制</w:t>
      </w:r>
      <w:r>
        <w:rPr>
          <w:rFonts w:hint="eastAsia" w:ascii="仿宋" w:hAnsi="仿宋" w:eastAsia="仿宋" w:cs="仿宋"/>
          <w:bCs/>
          <w:color w:val="333333"/>
          <w:sz w:val="32"/>
          <w:szCs w:val="32"/>
          <w:shd w:val="clear" w:color="auto" w:fill="FFFFFF"/>
          <w:lang w:val="en-US" w:eastAsia="zh-CN"/>
        </w:rPr>
        <w:t>3</w:t>
      </w:r>
      <w:r>
        <w:rPr>
          <w:rFonts w:hint="eastAsia" w:ascii="仿宋" w:hAnsi="仿宋" w:eastAsia="仿宋" w:cs="仿宋"/>
          <w:bCs/>
          <w:color w:val="333333"/>
          <w:sz w:val="32"/>
          <w:szCs w:val="32"/>
          <w:shd w:val="clear" w:color="auto" w:fill="FFFFFF"/>
        </w:rPr>
        <w:t>人。</w:t>
      </w:r>
    </w:p>
    <w:p w14:paraId="13389B8D">
      <w:pPr>
        <w:pStyle w:val="6"/>
        <w:adjustRightInd w:val="0"/>
        <w:snapToGrid w:val="0"/>
        <w:spacing w:before="93" w:line="600" w:lineRule="exact"/>
        <w:ind w:firstLine="759" w:firstLineChars="210"/>
        <w:outlineLvl w:val="2"/>
        <w:rPr>
          <w:rFonts w:hint="eastAsia" w:ascii="仿宋" w:hAnsi="仿宋" w:eastAsia="仿宋" w:cs="仿宋"/>
          <w:b/>
          <w:bCs/>
          <w:color w:val="000000"/>
          <w:sz w:val="36"/>
          <w:szCs w:val="36"/>
        </w:rPr>
      </w:pPr>
      <w:r>
        <w:rPr>
          <w:rFonts w:hint="eastAsia" w:ascii="仿宋" w:hAnsi="仿宋" w:eastAsia="仿宋" w:cs="仿宋"/>
          <w:b/>
          <w:bCs/>
          <w:color w:val="000000"/>
          <w:sz w:val="36"/>
          <w:szCs w:val="36"/>
        </w:rPr>
        <w:t>（二）202</w:t>
      </w:r>
      <w:r>
        <w:rPr>
          <w:rFonts w:hint="eastAsia" w:ascii="仿宋" w:hAnsi="仿宋" w:eastAsia="仿宋" w:cs="仿宋"/>
          <w:b/>
          <w:bCs/>
          <w:color w:val="000000"/>
          <w:sz w:val="36"/>
          <w:szCs w:val="36"/>
          <w:lang w:val="en-US" w:eastAsia="zh-CN"/>
        </w:rPr>
        <w:t>2</w:t>
      </w:r>
      <w:r>
        <w:rPr>
          <w:rFonts w:hint="eastAsia" w:ascii="仿宋" w:hAnsi="仿宋" w:eastAsia="仿宋" w:cs="仿宋"/>
          <w:b/>
          <w:bCs/>
          <w:color w:val="000000"/>
          <w:sz w:val="36"/>
          <w:szCs w:val="36"/>
        </w:rPr>
        <w:t>年重点工作完成情况。</w:t>
      </w:r>
      <w:bookmarkEnd w:id="15"/>
      <w:bookmarkEnd w:id="16"/>
      <w:bookmarkEnd w:id="17"/>
    </w:p>
    <w:p w14:paraId="7BB5A812">
      <w:pPr>
        <w:pStyle w:val="8"/>
        <w:spacing w:after="0"/>
        <w:ind w:left="0" w:leftChars="0" w:firstLine="683"/>
        <w:rPr>
          <w:rFonts w:asciiTheme="minorEastAsia" w:hAnsiTheme="minorEastAsia" w:eastAsiaTheme="minorEastAsia" w:cstheme="minorEastAsia"/>
          <w:b/>
          <w:bCs/>
          <w:sz w:val="34"/>
          <w:szCs w:val="34"/>
        </w:rPr>
      </w:pPr>
      <w:r>
        <w:rPr>
          <w:rFonts w:hint="eastAsia" w:ascii="仿宋" w:hAnsi="仿宋" w:eastAsia="仿宋" w:cs="仿宋"/>
          <w:b/>
          <w:bCs/>
          <w:sz w:val="36"/>
          <w:szCs w:val="36"/>
          <w:lang w:eastAsia="zh-CN"/>
        </w:rPr>
        <w:t>1.巩固拓展脱贫攻坚成果同乡村振兴有效衔接</w:t>
      </w:r>
      <w:r>
        <w:rPr>
          <w:rFonts w:hint="eastAsia" w:ascii="仿宋" w:hAnsi="仿宋" w:eastAsia="仿宋" w:cs="仿宋"/>
          <w:b/>
          <w:bCs/>
          <w:sz w:val="36"/>
          <w:szCs w:val="36"/>
        </w:rPr>
        <w:t>工</w:t>
      </w:r>
      <w:r>
        <w:rPr>
          <w:rFonts w:hint="eastAsia" w:asciiTheme="minorEastAsia" w:hAnsiTheme="minorEastAsia" w:eastAsiaTheme="minorEastAsia" w:cstheme="minorEastAsia"/>
          <w:b/>
          <w:bCs/>
          <w:sz w:val="34"/>
          <w:szCs w:val="34"/>
        </w:rPr>
        <w:t>作</w:t>
      </w:r>
    </w:p>
    <w:p w14:paraId="4591E338">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（1）持续用力，</w:t>
      </w:r>
      <w:r>
        <w:rPr>
          <w:rFonts w:hint="eastAsia" w:ascii="仿宋" w:hAnsi="仿宋" w:eastAsia="仿宋" w:cs="仿宋"/>
          <w:bCs/>
          <w:color w:val="000000"/>
          <w:sz w:val="32"/>
          <w:szCs w:val="32"/>
          <w:lang w:eastAsia="zh-CN"/>
        </w:rPr>
        <w:t>巩固拓展脱贫攻坚成果同乡村振兴有效衔接</w:t>
      </w:r>
      <w:r>
        <w:rPr>
          <w:rFonts w:hint="eastAsia" w:ascii="仿宋" w:hAnsi="仿宋" w:eastAsia="仿宋" w:cs="仿宋"/>
          <w:bCs/>
          <w:color w:val="000000"/>
          <w:sz w:val="32"/>
          <w:szCs w:val="32"/>
        </w:rPr>
        <w:t>。</w:t>
      </w:r>
      <w:r>
        <w:rPr>
          <w:rFonts w:hint="eastAsia" w:ascii="仿宋" w:hAnsi="仿宋" w:eastAsia="仿宋" w:cs="仿宋"/>
          <w:bCs/>
          <w:sz w:val="32"/>
          <w:szCs w:val="32"/>
        </w:rPr>
        <w:t>把产业发展、就业、激发已脱贫群众内生动力、特殊困难户产业发展和防止返贫作为重中之重内容来抓，切实做到持续巩固提升产业、持续拓宽就业扶贫渠道、持续落实</w:t>
      </w:r>
      <w:bookmarkStart w:id="71" w:name="_GoBack"/>
      <w:bookmarkEnd w:id="71"/>
      <w:r>
        <w:rPr>
          <w:rFonts w:hint="eastAsia" w:ascii="仿宋" w:hAnsi="仿宋" w:eastAsia="仿宋" w:cs="仿宋"/>
          <w:bCs/>
          <w:sz w:val="32"/>
          <w:szCs w:val="32"/>
        </w:rPr>
        <w:t>教育保障政策、持续落实医疗保障政策、持续落实社会保障政策，全面</w:t>
      </w:r>
      <w:r>
        <w:rPr>
          <w:rFonts w:hint="eastAsia" w:ascii="仿宋" w:hAnsi="仿宋" w:eastAsia="仿宋" w:cs="仿宋"/>
          <w:bCs/>
          <w:sz w:val="32"/>
          <w:szCs w:val="32"/>
          <w:lang w:eastAsia="zh-CN"/>
        </w:rPr>
        <w:t>巩固拓展脱贫攻坚成果同乡村振兴有效衔接</w:t>
      </w:r>
      <w:r>
        <w:rPr>
          <w:rFonts w:hint="eastAsia" w:ascii="仿宋" w:hAnsi="仿宋" w:eastAsia="仿宋" w:cs="仿宋"/>
          <w:bCs/>
          <w:sz w:val="32"/>
          <w:szCs w:val="32"/>
        </w:rPr>
        <w:t>。</w:t>
      </w:r>
    </w:p>
    <w:p w14:paraId="3D234AE5">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（2）补差补短，夯实贫困地区发展基础。</w:t>
      </w:r>
      <w:r>
        <w:rPr>
          <w:rFonts w:hint="eastAsia" w:ascii="仿宋" w:hAnsi="仿宋" w:eastAsia="仿宋" w:cs="仿宋"/>
          <w:bCs/>
          <w:sz w:val="32"/>
          <w:szCs w:val="32"/>
        </w:rPr>
        <w:t>全面开展基础设施建设“回头看”“回头帮”，做实补差补短工作，加大交通、水利、电力、网络、村阵地建设等扶持力度，全面改善贫困地区基础设施条件。持续开展垃圾治理、村庄清洁，积极推广“户分类、村收集、镇转运、县处理”的收运处置模式，解决生活垃圾乱堆乱放污染问题。</w:t>
      </w:r>
    </w:p>
    <w:p w14:paraId="1FF093C7">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（3）建章立制，有效防范返贫风险和提升预警能力。</w:t>
      </w:r>
      <w:r>
        <w:rPr>
          <w:rFonts w:hint="eastAsia" w:ascii="仿宋" w:hAnsi="仿宋" w:eastAsia="仿宋" w:cs="仿宋"/>
          <w:bCs/>
          <w:sz w:val="32"/>
          <w:szCs w:val="32"/>
        </w:rPr>
        <w:t>制定完善带贫益贫机制、利益联结机制和风险应对措施，开展技术和市场风险评估，防范产业扶贫市场风险。制定完善小额信贷风险防控措施，纠正违规户贷企用、违规用款等问题。妥善处理和解决区划调整带来的遗留问题，完善大数据平台各类基础信息，提高贫困村、贫困户数据信息运用水平，建立监测预警机制。</w:t>
      </w:r>
    </w:p>
    <w:p w14:paraId="3AF5ABFF">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（4）夯实保障，不折不扣带领群众致富奔康。</w:t>
      </w:r>
      <w:r>
        <w:rPr>
          <w:rFonts w:hint="eastAsia" w:ascii="仿宋" w:hAnsi="仿宋" w:eastAsia="仿宋" w:cs="仿宋"/>
          <w:bCs/>
          <w:sz w:val="32"/>
          <w:szCs w:val="32"/>
        </w:rPr>
        <w:t>继续执行县负总责、乡镇抓落实的工作机制，进一步深化“三级书记”抓扶贫工作机制，持续落实县级领导、部门帮乡包村制度，形成县、乡（镇）、村齐抓共管的工作格局。强化巩固提升成效考核权重，严格督查考核结果运用，严格落实基层减负行动，持续深化</w:t>
      </w:r>
      <w:r>
        <w:rPr>
          <w:rFonts w:hint="eastAsia" w:ascii="仿宋" w:hAnsi="仿宋" w:eastAsia="仿宋" w:cs="仿宋"/>
          <w:bCs/>
          <w:sz w:val="32"/>
          <w:szCs w:val="32"/>
          <w:lang w:eastAsia="zh-CN"/>
        </w:rPr>
        <w:t>扶贫领域腐败和作风问题专项治理</w:t>
      </w:r>
      <w:r>
        <w:rPr>
          <w:rFonts w:hint="eastAsia" w:ascii="仿宋" w:hAnsi="仿宋" w:eastAsia="仿宋" w:cs="仿宋"/>
          <w:bCs/>
          <w:sz w:val="32"/>
          <w:szCs w:val="32"/>
        </w:rPr>
        <w:t>，持续关心关爱脱贫攻坚一线干部，推进脱贫攻坚各项政策措施落地落实。在贫困地区全面树立节俭、文明、健康、向上的社会新风，不折不扣带领群众致富奔康。</w:t>
      </w:r>
    </w:p>
    <w:p w14:paraId="212E441B">
      <w:pPr>
        <w:ind w:firstLine="723" w:firstLineChars="200"/>
        <w:rPr>
          <w:rStyle w:val="29"/>
          <w:rFonts w:hint="eastAsia" w:ascii="仿宋" w:hAnsi="仿宋" w:eastAsia="仿宋" w:cs="仿宋"/>
          <w:color w:val="000000"/>
          <w:sz w:val="36"/>
          <w:szCs w:val="36"/>
        </w:rPr>
      </w:pPr>
      <w:bookmarkStart w:id="18" w:name="_Toc52180069"/>
      <w:r>
        <w:rPr>
          <w:rFonts w:hint="eastAsia" w:ascii="仿宋" w:hAnsi="仿宋" w:eastAsia="仿宋" w:cs="仿宋"/>
          <w:b/>
          <w:bCs/>
          <w:color w:val="000000"/>
          <w:sz w:val="36"/>
          <w:szCs w:val="36"/>
        </w:rPr>
        <w:t>二、机</w:t>
      </w:r>
      <w:r>
        <w:rPr>
          <w:rStyle w:val="29"/>
          <w:rFonts w:hint="eastAsia" w:ascii="仿宋" w:hAnsi="仿宋" w:eastAsia="仿宋" w:cs="仿宋"/>
          <w:sz w:val="36"/>
          <w:szCs w:val="36"/>
        </w:rPr>
        <w:t>构设置</w:t>
      </w:r>
      <w:bookmarkEnd w:id="18"/>
    </w:p>
    <w:p w14:paraId="0BF9100B">
      <w:pPr>
        <w:widowControl/>
        <w:shd w:val="clear" w:color="auto" w:fill="FFFFFF"/>
        <w:spacing w:line="590" w:lineRule="atLeast"/>
        <w:ind w:left="199" w:firstLine="640"/>
        <w:jc w:val="left"/>
        <w:rPr>
          <w:rFonts w:hint="eastAsia" w:ascii="仿宋" w:hAnsi="仿宋" w:eastAsia="仿宋" w:cs="仿宋"/>
          <w:bCs/>
          <w:color w:val="333333"/>
          <w:kern w:val="0"/>
          <w:sz w:val="32"/>
          <w:szCs w:val="32"/>
        </w:rPr>
      </w:pPr>
      <w:r>
        <w:rPr>
          <w:rFonts w:hint="eastAsia" w:ascii="仿宋" w:hAnsi="仿宋" w:eastAsia="仿宋" w:cs="仿宋"/>
          <w:bCs/>
          <w:color w:val="000000"/>
          <w:kern w:val="0"/>
          <w:sz w:val="32"/>
          <w:szCs w:val="32"/>
        </w:rPr>
        <w:t>局机关内设办公室、扶贫开发股、</w:t>
      </w:r>
      <w:r>
        <w:rPr>
          <w:rStyle w:val="35"/>
          <w:rFonts w:hint="eastAsia" w:ascii="仿宋" w:hAnsi="仿宋" w:eastAsia="仿宋" w:cs="仿宋"/>
          <w:bCs/>
          <w:sz w:val="32"/>
          <w:szCs w:val="32"/>
        </w:rPr>
        <w:t>移民规安采煤沉陷区综合股</w:t>
      </w:r>
      <w:r>
        <w:rPr>
          <w:rFonts w:hint="eastAsia" w:ascii="仿宋" w:hAnsi="仿宋" w:eastAsia="仿宋" w:cs="仿宋"/>
          <w:bCs/>
          <w:color w:val="000000"/>
          <w:kern w:val="0"/>
          <w:sz w:val="32"/>
          <w:szCs w:val="32"/>
        </w:rPr>
        <w:t>等5个职能股（室）和1个下属事业单位盐边县扶贫移民服务中心。</w:t>
      </w:r>
    </w:p>
    <w:p w14:paraId="7F8AA1B3">
      <w:pPr>
        <w:pStyle w:val="6"/>
        <w:adjustRightInd w:val="0"/>
        <w:snapToGrid w:val="0"/>
        <w:spacing w:before="93" w:line="600" w:lineRule="exact"/>
        <w:ind w:firstLine="1120" w:firstLineChars="350"/>
        <w:rPr>
          <w:rFonts w:ascii="仿宋" w:hAnsi="仿宋" w:eastAsia="仿宋"/>
          <w:sz w:val="32"/>
          <w:szCs w:val="32"/>
        </w:rPr>
      </w:pPr>
    </w:p>
    <w:p w14:paraId="35B023AE">
      <w:pPr>
        <w:widowControl/>
        <w:jc w:val="left"/>
        <w:rPr>
          <w:rFonts w:ascii="仿宋" w:hAnsi="仿宋" w:eastAsia="仿宋"/>
          <w:kern w:val="0"/>
          <w:sz w:val="32"/>
          <w:szCs w:val="32"/>
        </w:rPr>
      </w:pPr>
      <w:r>
        <w:rPr>
          <w:rFonts w:ascii="仿宋" w:hAnsi="仿宋" w:eastAsia="仿宋"/>
          <w:sz w:val="32"/>
          <w:szCs w:val="32"/>
        </w:rPr>
        <w:br w:type="page"/>
      </w:r>
    </w:p>
    <w:p w14:paraId="5B6EE202">
      <w:pPr>
        <w:pStyle w:val="2"/>
        <w:ind w:right="440"/>
        <w:jc w:val="center"/>
        <w:rPr>
          <w:rStyle w:val="28"/>
          <w:rFonts w:ascii="黑体" w:hAnsi="黑体" w:eastAsia="黑体"/>
          <w:b w:val="0"/>
          <w:bCs/>
        </w:rPr>
      </w:pPr>
      <w:bookmarkStart w:id="19" w:name="_Toc15396602"/>
      <w:bookmarkStart w:id="20" w:name="_Toc15377204"/>
      <w:r>
        <w:rPr>
          <w:rFonts w:hint="eastAsia" w:ascii="黑体" w:hAnsi="黑体" w:eastAsia="黑体"/>
          <w:b w:val="0"/>
        </w:rPr>
        <w:t>第二部分 2022年度</w:t>
      </w:r>
      <w:r>
        <w:rPr>
          <w:rStyle w:val="28"/>
          <w:rFonts w:hint="eastAsia" w:ascii="黑体" w:hAnsi="黑体" w:eastAsia="黑体"/>
          <w:b w:val="0"/>
          <w:bCs/>
        </w:rPr>
        <w:t>部门决算情况说明</w:t>
      </w:r>
      <w:bookmarkEnd w:id="19"/>
      <w:bookmarkEnd w:id="20"/>
    </w:p>
    <w:p w14:paraId="703B9D44"/>
    <w:p w14:paraId="07CE5D1E">
      <w:pPr>
        <w:pStyle w:val="27"/>
        <w:numPr>
          <w:ilvl w:val="0"/>
          <w:numId w:val="1"/>
        </w:numPr>
        <w:spacing w:line="600" w:lineRule="exact"/>
        <w:ind w:firstLineChars="0"/>
        <w:outlineLvl w:val="1"/>
        <w:rPr>
          <w:rStyle w:val="29"/>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1"/>
      <w:bookmarkEnd w:id="22"/>
    </w:p>
    <w:p w14:paraId="0371ECA9">
      <w:pPr>
        <w:spacing w:line="600" w:lineRule="exact"/>
        <w:ind w:firstLine="640" w:firstLineChars="200"/>
        <w:rPr>
          <w:rFonts w:hint="eastAsia" w:ascii="仿宋" w:hAnsi="仿宋" w:eastAsia="仿宋"/>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年度收入</w:t>
      </w:r>
      <w:r>
        <w:rPr>
          <w:rFonts w:hint="eastAsia" w:ascii="仿宋" w:hAnsi="仿宋" w:eastAsia="仿宋" w:cs="仿宋"/>
          <w:bCs/>
          <w:color w:val="000000"/>
          <w:sz w:val="32"/>
          <w:szCs w:val="32"/>
          <w:lang w:val="en-US" w:eastAsia="zh-CN"/>
        </w:rPr>
        <w:t>5778.90</w:t>
      </w:r>
      <w:r>
        <w:rPr>
          <w:rFonts w:hint="eastAsia" w:ascii="仿宋" w:hAnsi="仿宋" w:eastAsia="仿宋" w:cs="仿宋"/>
          <w:bCs/>
          <w:color w:val="000000"/>
          <w:sz w:val="32"/>
          <w:szCs w:val="32"/>
        </w:rPr>
        <w:t>万元，支出7636.99万元（其中财政应返还额度支出</w:t>
      </w:r>
      <w:r>
        <w:rPr>
          <w:rFonts w:hint="eastAsia" w:ascii="仿宋" w:hAnsi="仿宋" w:eastAsia="仿宋" w:cs="仿宋"/>
          <w:bCs/>
          <w:color w:val="000000"/>
          <w:sz w:val="32"/>
          <w:szCs w:val="32"/>
          <w:lang w:val="en-US" w:eastAsia="zh-CN"/>
        </w:rPr>
        <w:t>1858.08</w:t>
      </w:r>
      <w:r>
        <w:rPr>
          <w:rFonts w:hint="eastAsia" w:ascii="仿宋" w:hAnsi="仿宋" w:eastAsia="仿宋" w:cs="仿宋"/>
          <w:bCs/>
          <w:color w:val="000000"/>
          <w:sz w:val="32"/>
          <w:szCs w:val="32"/>
        </w:rPr>
        <w:t>万元）。与</w:t>
      </w:r>
      <w:r>
        <w:rPr>
          <w:rFonts w:hint="eastAsia" w:ascii="仿宋" w:hAnsi="仿宋" w:eastAsia="仿宋" w:cs="仿宋"/>
          <w:bCs/>
          <w:color w:val="000000"/>
          <w:sz w:val="32"/>
          <w:szCs w:val="32"/>
          <w:lang w:val="en-US" w:eastAsia="zh-CN"/>
        </w:rPr>
        <w:t>2021</w:t>
      </w:r>
      <w:r>
        <w:rPr>
          <w:rFonts w:hint="eastAsia" w:ascii="仿宋" w:hAnsi="仿宋" w:eastAsia="仿宋" w:cs="仿宋"/>
          <w:bCs/>
          <w:color w:val="000000"/>
          <w:sz w:val="32"/>
          <w:szCs w:val="32"/>
        </w:rPr>
        <w:t>年相比，收入减少</w:t>
      </w:r>
      <w:r>
        <w:rPr>
          <w:rFonts w:hint="eastAsia" w:ascii="仿宋" w:hAnsi="仿宋" w:eastAsia="仿宋" w:cs="仿宋"/>
          <w:bCs/>
          <w:color w:val="000000"/>
          <w:sz w:val="32"/>
          <w:szCs w:val="32"/>
          <w:lang w:val="en-US" w:eastAsia="zh-CN"/>
        </w:rPr>
        <w:t>3140.56</w:t>
      </w:r>
      <w:r>
        <w:rPr>
          <w:rFonts w:hint="eastAsia" w:ascii="仿宋" w:hAnsi="仿宋" w:eastAsia="仿宋" w:cs="仿宋"/>
          <w:bCs/>
          <w:color w:val="000000"/>
          <w:sz w:val="32"/>
          <w:szCs w:val="32"/>
        </w:rPr>
        <w:t>万元、支出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7395</w:t>
      </w:r>
      <w:r>
        <w:rPr>
          <w:rFonts w:hint="eastAsia" w:ascii="仿宋" w:hAnsi="仿宋" w:eastAsia="仿宋" w:cs="仿宋"/>
          <w:bCs/>
          <w:color w:val="000000"/>
          <w:sz w:val="32"/>
          <w:szCs w:val="32"/>
          <w:lang w:val="en-US" w:eastAsia="zh-CN"/>
        </w:rPr>
        <w:t>.</w:t>
      </w:r>
      <w:r>
        <w:rPr>
          <w:rFonts w:hint="eastAsia" w:ascii="仿宋" w:hAnsi="仿宋" w:eastAsia="仿宋" w:cs="仿宋"/>
          <w:bCs/>
          <w:color w:val="000000"/>
          <w:sz w:val="32"/>
          <w:szCs w:val="32"/>
        </w:rPr>
        <w:t>48万元，收入减少</w:t>
      </w:r>
      <w:r>
        <w:rPr>
          <w:rFonts w:hint="eastAsia" w:ascii="仿宋" w:hAnsi="仿宋" w:eastAsia="仿宋" w:cs="仿宋"/>
          <w:bCs/>
          <w:color w:val="000000"/>
          <w:sz w:val="32"/>
          <w:szCs w:val="32"/>
          <w:lang w:val="en-US" w:eastAsia="zh-CN"/>
        </w:rPr>
        <w:t>35.21</w:t>
      </w:r>
      <w:r>
        <w:rPr>
          <w:rFonts w:hint="eastAsia" w:ascii="仿宋" w:hAnsi="仿宋" w:eastAsia="仿宋" w:cs="仿宋"/>
          <w:bCs/>
          <w:color w:val="000000"/>
          <w:sz w:val="32"/>
          <w:szCs w:val="32"/>
        </w:rPr>
        <w:t>%、支出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lang w:val="en-US" w:eastAsia="zh-CN"/>
        </w:rPr>
        <w:t>49.2</w:t>
      </w:r>
      <w:r>
        <w:rPr>
          <w:rFonts w:hint="eastAsia" w:ascii="仿宋" w:hAnsi="仿宋" w:eastAsia="仿宋" w:cs="仿宋"/>
          <w:bCs/>
          <w:color w:val="000000"/>
          <w:sz w:val="32"/>
          <w:szCs w:val="32"/>
        </w:rPr>
        <w:t>%。主要变动原因（1）收入减少原因是</w:t>
      </w:r>
      <w:r>
        <w:rPr>
          <w:rFonts w:hint="eastAsia" w:ascii="仿宋" w:hAnsi="仿宋" w:eastAsia="仿宋" w:cs="仿宋"/>
          <w:bCs/>
          <w:color w:val="000000"/>
          <w:sz w:val="32"/>
          <w:szCs w:val="32"/>
          <w:lang w:eastAsia="zh-CN"/>
        </w:rPr>
        <w:t>机构改革移民后扶机构人员划转至水利局移民后扶项目资金划转至水利局</w:t>
      </w:r>
      <w:r>
        <w:rPr>
          <w:rFonts w:hint="eastAsia" w:ascii="仿宋" w:hAnsi="仿宋" w:eastAsia="仿宋" w:cs="仿宋"/>
          <w:bCs/>
          <w:color w:val="000000"/>
          <w:sz w:val="32"/>
          <w:szCs w:val="32"/>
        </w:rPr>
        <w:t>；（2）支出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原因是</w:t>
      </w:r>
      <w:r>
        <w:rPr>
          <w:rFonts w:hint="eastAsia" w:ascii="仿宋" w:hAnsi="仿宋" w:eastAsia="仿宋" w:cs="仿宋"/>
          <w:bCs/>
          <w:color w:val="000000"/>
          <w:sz w:val="32"/>
          <w:szCs w:val="32"/>
          <w:lang w:eastAsia="zh-CN"/>
        </w:rPr>
        <w:t>移民后扶项目资金划转至水利局</w:t>
      </w:r>
      <w:r>
        <w:rPr>
          <w:rFonts w:hint="eastAsia" w:ascii="仿宋" w:hAnsi="仿宋" w:eastAsia="仿宋" w:cs="仿宋"/>
          <w:bCs/>
          <w:color w:val="000000"/>
          <w:sz w:val="32"/>
          <w:szCs w:val="32"/>
        </w:rPr>
        <w:t>。</w:t>
      </w:r>
    </w:p>
    <w:p w14:paraId="49203416">
      <w:pPr>
        <w:pStyle w:val="6"/>
        <w:rPr>
          <w:rFonts w:hint="eastAsia" w:eastAsia="仿宋"/>
          <w:lang w:eastAsia="zh-CN"/>
        </w:rPr>
      </w:pPr>
      <w:r>
        <w:rPr>
          <w:rFonts w:hint="eastAsia" w:eastAsia="仿宋"/>
          <w:lang w:eastAsia="zh-CN"/>
        </w:rPr>
        <w:drawing>
          <wp:inline distT="0" distB="0" distL="114300" distR="114300">
            <wp:extent cx="4800600" cy="4488815"/>
            <wp:effectExtent l="5080" t="4445" r="762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55E8FC4">
      <w:pPr>
        <w:spacing w:line="600" w:lineRule="exact"/>
        <w:ind w:firstLine="640" w:firstLineChars="200"/>
        <w:jc w:val="left"/>
        <w:rPr>
          <w:rFonts w:ascii="仿宋_GB2312" w:eastAsia="仿宋_GB2312"/>
          <w:sz w:val="32"/>
          <w:szCs w:val="32"/>
        </w:rPr>
      </w:pPr>
    </w:p>
    <w:p w14:paraId="6B304702">
      <w:pPr>
        <w:pStyle w:val="27"/>
        <w:numPr>
          <w:ilvl w:val="0"/>
          <w:numId w:val="1"/>
        </w:numPr>
        <w:spacing w:line="600" w:lineRule="exact"/>
        <w:ind w:firstLineChars="0"/>
        <w:outlineLvl w:val="1"/>
        <w:rPr>
          <w:rStyle w:val="29"/>
          <w:rFonts w:ascii="黑体" w:hAnsi="黑体" w:eastAsia="黑体"/>
          <w:b w:val="0"/>
        </w:rPr>
      </w:pPr>
      <w:bookmarkStart w:id="23" w:name="_Toc15377206"/>
      <w:bookmarkStart w:id="24" w:name="_Toc15396604"/>
      <w:r>
        <w:rPr>
          <w:rFonts w:hint="eastAsia" w:ascii="黑体" w:hAnsi="黑体" w:eastAsia="黑体"/>
          <w:sz w:val="32"/>
          <w:szCs w:val="32"/>
        </w:rPr>
        <w:t>收</w:t>
      </w:r>
      <w:r>
        <w:rPr>
          <w:rStyle w:val="29"/>
          <w:rFonts w:hint="eastAsia" w:ascii="黑体" w:hAnsi="黑体" w:eastAsia="黑体"/>
          <w:b w:val="0"/>
        </w:rPr>
        <w:t>入决算情况说明</w:t>
      </w:r>
      <w:bookmarkEnd w:id="23"/>
      <w:bookmarkEnd w:id="24"/>
    </w:p>
    <w:p w14:paraId="7DEFA2D1">
      <w:pPr>
        <w:spacing w:line="600" w:lineRule="exact"/>
        <w:ind w:firstLine="640" w:firstLineChars="200"/>
        <w:outlineLvl w:val="1"/>
        <w:rPr>
          <w:rFonts w:hint="eastAsia" w:ascii="仿宋" w:hAnsi="仿宋" w:eastAsia="仿宋" w:cs="仿宋"/>
          <w:bCs/>
          <w:color w:val="FF0000"/>
          <w:sz w:val="32"/>
          <w:szCs w:val="32"/>
        </w:rPr>
      </w:pPr>
      <w:r>
        <w:rPr>
          <w:rFonts w:hint="eastAsia" w:ascii="仿宋" w:hAnsi="仿宋" w:eastAsia="仿宋" w:cs="仿宋"/>
          <w:sz w:val="32"/>
          <w:szCs w:val="32"/>
        </w:rPr>
        <w:t>2022</w:t>
      </w:r>
      <w:bookmarkStart w:id="25" w:name="_Toc52180076"/>
      <w:r>
        <w:rPr>
          <w:rFonts w:hint="eastAsia" w:ascii="仿宋" w:hAnsi="仿宋" w:eastAsia="仿宋" w:cs="仿宋"/>
          <w:bCs/>
          <w:color w:val="000000"/>
          <w:sz w:val="32"/>
          <w:szCs w:val="32"/>
        </w:rPr>
        <w:t>年本年收入合计</w:t>
      </w:r>
      <w:r>
        <w:rPr>
          <w:rFonts w:hint="eastAsia" w:ascii="仿宋" w:hAnsi="仿宋" w:eastAsia="仿宋" w:cs="仿宋"/>
          <w:bCs/>
          <w:color w:val="000000"/>
          <w:sz w:val="32"/>
          <w:szCs w:val="32"/>
          <w:lang w:val="en-US" w:eastAsia="zh-CN"/>
        </w:rPr>
        <w:t>5578.90</w:t>
      </w:r>
      <w:r>
        <w:rPr>
          <w:rFonts w:hint="eastAsia" w:ascii="仿宋" w:hAnsi="仿宋" w:eastAsia="仿宋" w:cs="仿宋"/>
          <w:bCs/>
          <w:color w:val="000000"/>
          <w:sz w:val="32"/>
          <w:szCs w:val="32"/>
        </w:rPr>
        <w:t>万元，其中：一般公共预算财政拨款收入</w:t>
      </w:r>
      <w:r>
        <w:rPr>
          <w:rFonts w:hint="eastAsia" w:ascii="仿宋" w:hAnsi="仿宋" w:eastAsia="仿宋" w:cs="仿宋"/>
          <w:bCs/>
          <w:color w:val="000000"/>
          <w:sz w:val="32"/>
          <w:szCs w:val="32"/>
          <w:lang w:val="en-US" w:eastAsia="zh-CN"/>
        </w:rPr>
        <w:t>5578.90</w:t>
      </w:r>
      <w:r>
        <w:rPr>
          <w:rFonts w:hint="eastAsia" w:ascii="仿宋" w:hAnsi="仿宋" w:eastAsia="仿宋" w:cs="仿宋"/>
          <w:bCs/>
          <w:color w:val="000000"/>
          <w:sz w:val="32"/>
          <w:szCs w:val="32"/>
        </w:rPr>
        <w:t>万元，财政拨款占</w:t>
      </w:r>
      <w:r>
        <w:rPr>
          <w:rFonts w:hint="eastAsia" w:ascii="仿宋" w:hAnsi="仿宋" w:eastAsia="仿宋" w:cs="仿宋"/>
          <w:bCs/>
          <w:color w:val="000000"/>
          <w:sz w:val="32"/>
          <w:szCs w:val="32"/>
          <w:lang w:val="en-US" w:eastAsia="zh-CN"/>
        </w:rPr>
        <w:t>100</w:t>
      </w:r>
      <w:r>
        <w:rPr>
          <w:rFonts w:hint="eastAsia" w:ascii="仿宋" w:hAnsi="仿宋" w:eastAsia="仿宋" w:cs="仿宋"/>
          <w:bCs/>
          <w:color w:val="000000"/>
          <w:sz w:val="32"/>
          <w:szCs w:val="32"/>
        </w:rPr>
        <w:t>%。         政府性基金预算</w:t>
      </w:r>
      <w:bookmarkEnd w:id="25"/>
      <w:r>
        <w:rPr>
          <w:rFonts w:hint="eastAsia" w:ascii="仿宋" w:hAnsi="仿宋" w:eastAsia="仿宋" w:cs="仿宋"/>
          <w:bCs/>
          <w:color w:val="000000"/>
          <w:sz w:val="32"/>
          <w:szCs w:val="32"/>
        </w:rPr>
        <w:t>收入</w:t>
      </w:r>
      <w:r>
        <w:rPr>
          <w:rFonts w:hint="eastAsia" w:ascii="仿宋" w:hAnsi="仿宋" w:eastAsia="仿宋" w:cs="仿宋"/>
          <w:bCs/>
          <w:color w:val="000000"/>
          <w:sz w:val="32"/>
          <w:szCs w:val="32"/>
          <w:lang w:val="en-US" w:eastAsia="zh-CN"/>
        </w:rPr>
        <w:t>0</w:t>
      </w:r>
      <w:r>
        <w:rPr>
          <w:rFonts w:hint="eastAsia" w:ascii="仿宋" w:hAnsi="仿宋" w:eastAsia="仿宋" w:cs="仿宋"/>
          <w:bCs/>
          <w:color w:val="000000"/>
          <w:sz w:val="32"/>
          <w:szCs w:val="32"/>
        </w:rPr>
        <w:t>万元，财政拨款占</w:t>
      </w:r>
      <w:r>
        <w:rPr>
          <w:rFonts w:hint="eastAsia" w:ascii="仿宋" w:hAnsi="仿宋" w:eastAsia="仿宋" w:cs="仿宋"/>
          <w:bCs/>
          <w:color w:val="000000"/>
          <w:sz w:val="32"/>
          <w:szCs w:val="32"/>
          <w:lang w:val="en-US" w:eastAsia="zh-CN"/>
        </w:rPr>
        <w:t>0</w:t>
      </w:r>
      <w:r>
        <w:rPr>
          <w:rFonts w:hint="eastAsia" w:ascii="仿宋" w:hAnsi="仿宋" w:eastAsia="仿宋" w:cs="仿宋"/>
          <w:bCs/>
          <w:color w:val="000000"/>
          <w:sz w:val="32"/>
          <w:szCs w:val="32"/>
        </w:rPr>
        <w:t>%。</w:t>
      </w:r>
    </w:p>
    <w:p w14:paraId="6A48C20F">
      <w:pPr>
        <w:spacing w:line="240" w:lineRule="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1770" cy="2907030"/>
            <wp:effectExtent l="0" t="0" r="11430" b="12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271770" cy="2907030"/>
                    </a:xfrm>
                    <a:prstGeom prst="rect">
                      <a:avLst/>
                    </a:prstGeom>
                  </pic:spPr>
                </pic:pic>
              </a:graphicData>
            </a:graphic>
          </wp:inline>
        </w:drawing>
      </w:r>
    </w:p>
    <w:p w14:paraId="0480C9DA">
      <w:pPr>
        <w:spacing w:line="600" w:lineRule="exact"/>
        <w:ind w:firstLine="640" w:firstLineChars="200"/>
        <w:rPr>
          <w:rFonts w:ascii="仿宋_GB2312" w:eastAsia="仿宋_GB2312"/>
          <w:sz w:val="32"/>
          <w:szCs w:val="32"/>
        </w:rPr>
      </w:pPr>
    </w:p>
    <w:p w14:paraId="55AF04AA">
      <w:pPr>
        <w:pStyle w:val="27"/>
        <w:numPr>
          <w:ilvl w:val="0"/>
          <w:numId w:val="1"/>
        </w:numPr>
        <w:spacing w:line="600" w:lineRule="exact"/>
        <w:ind w:firstLineChars="0"/>
        <w:outlineLvl w:val="1"/>
        <w:rPr>
          <w:rStyle w:val="29"/>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9"/>
          <w:rFonts w:hint="eastAsia" w:ascii="黑体" w:hAnsi="黑体" w:eastAsia="黑体"/>
          <w:b w:val="0"/>
        </w:rPr>
        <w:t>出决算情况说明</w:t>
      </w:r>
      <w:bookmarkEnd w:id="26"/>
      <w:bookmarkEnd w:id="27"/>
    </w:p>
    <w:p w14:paraId="7EE3592A">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7636.99</w:t>
      </w:r>
      <w:r>
        <w:rPr>
          <w:rFonts w:hint="eastAsia" w:ascii="仿宋" w:hAnsi="仿宋" w:eastAsia="仿宋"/>
          <w:sz w:val="32"/>
          <w:szCs w:val="32"/>
        </w:rPr>
        <w:t>万元，其中：基本支出</w:t>
      </w:r>
      <w:r>
        <w:rPr>
          <w:rFonts w:hint="eastAsia" w:ascii="仿宋" w:hAnsi="仿宋" w:eastAsia="仿宋"/>
          <w:sz w:val="32"/>
          <w:szCs w:val="32"/>
          <w:lang w:val="en-US" w:eastAsia="zh-CN"/>
        </w:rPr>
        <w:t>389.99</w:t>
      </w:r>
      <w:r>
        <w:rPr>
          <w:rFonts w:hint="eastAsia" w:ascii="仿宋" w:hAnsi="仿宋" w:eastAsia="仿宋"/>
          <w:sz w:val="32"/>
          <w:szCs w:val="32"/>
        </w:rPr>
        <w:t>万元，占</w:t>
      </w:r>
      <w:r>
        <w:rPr>
          <w:rFonts w:hint="eastAsia" w:ascii="仿宋" w:hAnsi="仿宋" w:eastAsia="仿宋"/>
          <w:sz w:val="32"/>
          <w:szCs w:val="32"/>
          <w:lang w:val="en-US" w:eastAsia="zh-CN"/>
        </w:rPr>
        <w:t>0.051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7246.99</w:t>
      </w:r>
      <w:r>
        <w:rPr>
          <w:rFonts w:hint="eastAsia" w:ascii="仿宋" w:hAnsi="仿宋" w:eastAsia="仿宋"/>
          <w:sz w:val="32"/>
          <w:szCs w:val="32"/>
        </w:rPr>
        <w:t>万元，占</w:t>
      </w:r>
      <w:r>
        <w:rPr>
          <w:rFonts w:hint="eastAsia" w:ascii="仿宋" w:hAnsi="仿宋" w:eastAsia="仿宋"/>
          <w:sz w:val="32"/>
          <w:szCs w:val="32"/>
          <w:lang w:val="en-US" w:eastAsia="zh-CN"/>
        </w:rPr>
        <w:t>94.89</w:t>
      </w:r>
      <w:r>
        <w:rPr>
          <w:rFonts w:ascii="仿宋" w:hAnsi="仿宋" w:eastAsia="仿宋"/>
          <w:sz w:val="32"/>
          <w:szCs w:val="32"/>
        </w:rPr>
        <w:t>%</w:t>
      </w:r>
      <w:r>
        <w:rPr>
          <w:rFonts w:hint="eastAsia" w:ascii="仿宋" w:hAnsi="仿宋" w:eastAsia="仿宋"/>
          <w:sz w:val="32"/>
          <w:szCs w:val="32"/>
        </w:rPr>
        <w:t>。</w:t>
      </w:r>
    </w:p>
    <w:p w14:paraId="758B2FCB">
      <w:pPr>
        <w:spacing w:line="600" w:lineRule="exact"/>
        <w:ind w:firstLine="640"/>
        <w:rPr>
          <w:rFonts w:ascii="仿宋" w:hAnsi="仿宋" w:eastAsia="仿宋"/>
          <w:sz w:val="32"/>
          <w:szCs w:val="32"/>
          <w:shd w:val="pct10" w:color="auto" w:fill="FFFFFF"/>
        </w:rPr>
      </w:pPr>
    </w:p>
    <w:p w14:paraId="7BBF992E">
      <w:pPr>
        <w:spacing w:line="240" w:lineRule="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196205" cy="2308225"/>
            <wp:effectExtent l="0" t="0" r="10795" b="317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8"/>
                    <a:stretch>
                      <a:fillRect/>
                    </a:stretch>
                  </pic:blipFill>
                  <pic:spPr>
                    <a:xfrm>
                      <a:off x="0" y="0"/>
                      <a:ext cx="5196205" cy="2308225"/>
                    </a:xfrm>
                    <a:prstGeom prst="rect">
                      <a:avLst/>
                    </a:prstGeom>
                  </pic:spPr>
                </pic:pic>
              </a:graphicData>
            </a:graphic>
          </wp:inline>
        </w:drawing>
      </w:r>
    </w:p>
    <w:p w14:paraId="6D4D27C4">
      <w:pPr>
        <w:spacing w:line="600" w:lineRule="exact"/>
        <w:ind w:firstLine="640" w:firstLineChars="200"/>
        <w:rPr>
          <w:rFonts w:ascii="仿宋_GB2312" w:eastAsia="仿宋_GB2312"/>
          <w:sz w:val="32"/>
          <w:szCs w:val="32"/>
        </w:rPr>
      </w:pPr>
    </w:p>
    <w:p w14:paraId="5F729682">
      <w:pPr>
        <w:spacing w:line="600" w:lineRule="exact"/>
        <w:ind w:firstLine="640" w:firstLineChars="200"/>
        <w:outlineLvl w:val="1"/>
        <w:rPr>
          <w:rStyle w:val="29"/>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8"/>
      <w:bookmarkEnd w:id="29"/>
    </w:p>
    <w:p w14:paraId="4BDFF1DE">
      <w:pPr>
        <w:spacing w:line="24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年度收入</w:t>
      </w:r>
      <w:r>
        <w:rPr>
          <w:rFonts w:hint="eastAsia" w:ascii="仿宋" w:hAnsi="仿宋" w:eastAsia="仿宋" w:cs="仿宋"/>
          <w:bCs/>
          <w:color w:val="000000"/>
          <w:sz w:val="32"/>
          <w:szCs w:val="32"/>
          <w:lang w:val="en-US" w:eastAsia="zh-CN"/>
        </w:rPr>
        <w:t>5778.90</w:t>
      </w:r>
      <w:r>
        <w:rPr>
          <w:rFonts w:hint="eastAsia" w:ascii="仿宋" w:hAnsi="仿宋" w:eastAsia="仿宋" w:cs="仿宋"/>
          <w:bCs/>
          <w:color w:val="000000"/>
          <w:sz w:val="32"/>
          <w:szCs w:val="32"/>
        </w:rPr>
        <w:t>万元，支出7636.99万元（其中财政应返还额度支出</w:t>
      </w:r>
      <w:r>
        <w:rPr>
          <w:rFonts w:hint="eastAsia" w:ascii="仿宋" w:hAnsi="仿宋" w:eastAsia="仿宋" w:cs="仿宋"/>
          <w:bCs/>
          <w:color w:val="000000"/>
          <w:sz w:val="32"/>
          <w:szCs w:val="32"/>
          <w:lang w:val="en-US" w:eastAsia="zh-CN"/>
        </w:rPr>
        <w:t>1858.08</w:t>
      </w:r>
      <w:r>
        <w:rPr>
          <w:rFonts w:hint="eastAsia" w:ascii="仿宋" w:hAnsi="仿宋" w:eastAsia="仿宋" w:cs="仿宋"/>
          <w:bCs/>
          <w:color w:val="000000"/>
          <w:sz w:val="32"/>
          <w:szCs w:val="32"/>
        </w:rPr>
        <w:t>万元）。与</w:t>
      </w:r>
      <w:r>
        <w:rPr>
          <w:rFonts w:hint="eastAsia" w:ascii="仿宋" w:hAnsi="仿宋" w:eastAsia="仿宋" w:cs="仿宋"/>
          <w:bCs/>
          <w:color w:val="000000"/>
          <w:sz w:val="32"/>
          <w:szCs w:val="32"/>
          <w:lang w:val="en-US" w:eastAsia="zh-CN"/>
        </w:rPr>
        <w:t>2021</w:t>
      </w:r>
      <w:r>
        <w:rPr>
          <w:rFonts w:hint="eastAsia" w:ascii="仿宋" w:hAnsi="仿宋" w:eastAsia="仿宋" w:cs="仿宋"/>
          <w:bCs/>
          <w:color w:val="000000"/>
          <w:sz w:val="32"/>
          <w:szCs w:val="32"/>
        </w:rPr>
        <w:t>年相比，收入减少</w:t>
      </w:r>
      <w:r>
        <w:rPr>
          <w:rFonts w:hint="eastAsia" w:ascii="仿宋" w:hAnsi="仿宋" w:eastAsia="仿宋" w:cs="仿宋"/>
          <w:bCs/>
          <w:color w:val="000000"/>
          <w:sz w:val="32"/>
          <w:szCs w:val="32"/>
          <w:lang w:val="en-US" w:eastAsia="zh-CN"/>
        </w:rPr>
        <w:t>3140.56</w:t>
      </w:r>
      <w:r>
        <w:rPr>
          <w:rFonts w:hint="eastAsia" w:ascii="仿宋" w:hAnsi="仿宋" w:eastAsia="仿宋" w:cs="仿宋"/>
          <w:bCs/>
          <w:color w:val="000000"/>
          <w:sz w:val="32"/>
          <w:szCs w:val="32"/>
        </w:rPr>
        <w:t>万元、支出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7395</w:t>
      </w:r>
      <w:r>
        <w:rPr>
          <w:rFonts w:hint="eastAsia" w:ascii="仿宋" w:hAnsi="仿宋" w:eastAsia="仿宋" w:cs="仿宋"/>
          <w:bCs/>
          <w:color w:val="000000"/>
          <w:sz w:val="32"/>
          <w:szCs w:val="32"/>
          <w:lang w:val="en-US" w:eastAsia="zh-CN"/>
        </w:rPr>
        <w:t>.</w:t>
      </w:r>
      <w:r>
        <w:rPr>
          <w:rFonts w:hint="eastAsia" w:ascii="仿宋" w:hAnsi="仿宋" w:eastAsia="仿宋" w:cs="仿宋"/>
          <w:bCs/>
          <w:color w:val="000000"/>
          <w:sz w:val="32"/>
          <w:szCs w:val="32"/>
        </w:rPr>
        <w:t>48万元，收入减少</w:t>
      </w:r>
      <w:r>
        <w:rPr>
          <w:rFonts w:hint="eastAsia" w:ascii="仿宋" w:hAnsi="仿宋" w:eastAsia="仿宋" w:cs="仿宋"/>
          <w:bCs/>
          <w:color w:val="000000"/>
          <w:sz w:val="32"/>
          <w:szCs w:val="32"/>
          <w:lang w:val="en-US" w:eastAsia="zh-CN"/>
        </w:rPr>
        <w:t>35.21</w:t>
      </w:r>
      <w:r>
        <w:rPr>
          <w:rFonts w:hint="eastAsia" w:ascii="仿宋" w:hAnsi="仿宋" w:eastAsia="仿宋" w:cs="仿宋"/>
          <w:bCs/>
          <w:color w:val="000000"/>
          <w:sz w:val="32"/>
          <w:szCs w:val="32"/>
        </w:rPr>
        <w:t>%、支出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lang w:val="en-US" w:eastAsia="zh-CN"/>
        </w:rPr>
        <w:t>49.2</w:t>
      </w:r>
      <w:r>
        <w:rPr>
          <w:rFonts w:hint="eastAsia" w:ascii="仿宋" w:hAnsi="仿宋" w:eastAsia="仿宋" w:cs="仿宋"/>
          <w:bCs/>
          <w:color w:val="000000"/>
          <w:sz w:val="32"/>
          <w:szCs w:val="32"/>
        </w:rPr>
        <w:t>%。主要变动原因（1）收入减少原因是</w:t>
      </w:r>
      <w:r>
        <w:rPr>
          <w:rFonts w:hint="eastAsia" w:ascii="仿宋" w:hAnsi="仿宋" w:eastAsia="仿宋" w:cs="仿宋"/>
          <w:bCs/>
          <w:color w:val="000000"/>
          <w:sz w:val="32"/>
          <w:szCs w:val="32"/>
          <w:lang w:eastAsia="zh-CN"/>
        </w:rPr>
        <w:t>机构改革移民后扶机构人员划转至水利局移民后扶项目资金划转至水利局</w:t>
      </w:r>
      <w:r>
        <w:rPr>
          <w:rFonts w:hint="eastAsia" w:ascii="仿宋" w:hAnsi="仿宋" w:eastAsia="仿宋" w:cs="仿宋"/>
          <w:bCs/>
          <w:color w:val="000000"/>
          <w:sz w:val="32"/>
          <w:szCs w:val="32"/>
        </w:rPr>
        <w:t>；（2）支出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原因是</w:t>
      </w:r>
      <w:r>
        <w:rPr>
          <w:rFonts w:hint="eastAsia" w:ascii="仿宋" w:hAnsi="仿宋" w:eastAsia="仿宋" w:cs="仿宋"/>
          <w:bCs/>
          <w:color w:val="000000"/>
          <w:sz w:val="32"/>
          <w:szCs w:val="32"/>
          <w:lang w:eastAsia="zh-CN"/>
        </w:rPr>
        <w:t>移民后扶项目资金划转至水利局</w:t>
      </w:r>
      <w:r>
        <w:rPr>
          <w:rFonts w:hint="eastAsia" w:ascii="仿宋" w:hAnsi="仿宋" w:eastAsia="仿宋" w:cs="仿宋"/>
          <w:bCs/>
          <w:color w:val="000000"/>
          <w:sz w:val="32"/>
          <w:szCs w:val="32"/>
        </w:rPr>
        <w:t>。</w:t>
      </w:r>
    </w:p>
    <w:p w14:paraId="6653229B">
      <w:pPr>
        <w:spacing w:line="240" w:lineRule="auto"/>
        <w:ind w:firstLine="640" w:firstLineChars="200"/>
        <w:rPr>
          <w:rFonts w:hint="eastAsia" w:ascii="仿宋" w:hAnsi="仿宋" w:eastAsia="仿宋" w:cs="仿宋"/>
          <w:bCs/>
          <w:color w:val="000000"/>
          <w:sz w:val="32"/>
          <w:szCs w:val="32"/>
        </w:rPr>
      </w:pPr>
    </w:p>
    <w:p w14:paraId="74A3817F">
      <w:pPr>
        <w:spacing w:line="240" w:lineRule="auto"/>
        <w:ind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drawing>
          <wp:inline distT="0" distB="0" distL="114300" distR="114300">
            <wp:extent cx="5271770" cy="3298825"/>
            <wp:effectExtent l="0" t="0" r="11430" b="3175"/>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9"/>
                    <a:stretch>
                      <a:fillRect/>
                    </a:stretch>
                  </pic:blipFill>
                  <pic:spPr>
                    <a:xfrm>
                      <a:off x="0" y="0"/>
                      <a:ext cx="5271770" cy="3298825"/>
                    </a:xfrm>
                    <a:prstGeom prst="rect">
                      <a:avLst/>
                    </a:prstGeom>
                  </pic:spPr>
                </pic:pic>
              </a:graphicData>
            </a:graphic>
          </wp:inline>
        </w:drawing>
      </w:r>
    </w:p>
    <w:p w14:paraId="4A8E9AF3">
      <w:pPr>
        <w:spacing w:line="600" w:lineRule="exact"/>
        <w:rPr>
          <w:rFonts w:ascii="仿宋" w:hAnsi="仿宋" w:eastAsia="仿宋"/>
          <w:sz w:val="32"/>
          <w:szCs w:val="32"/>
        </w:rPr>
      </w:pPr>
    </w:p>
    <w:p w14:paraId="010C4E60">
      <w:pPr>
        <w:spacing w:line="600" w:lineRule="exact"/>
        <w:rPr>
          <w:rFonts w:ascii="仿宋" w:hAnsi="仿宋" w:eastAsia="仿宋"/>
          <w:sz w:val="32"/>
          <w:szCs w:val="32"/>
        </w:rPr>
      </w:pPr>
    </w:p>
    <w:p w14:paraId="25667DBF">
      <w:pPr>
        <w:spacing w:line="600" w:lineRule="exact"/>
        <w:ind w:firstLine="640"/>
        <w:rPr>
          <w:rFonts w:ascii="仿宋" w:hAnsi="仿宋" w:eastAsia="仿宋"/>
          <w:b/>
          <w:sz w:val="32"/>
          <w:szCs w:val="32"/>
        </w:rPr>
      </w:pPr>
    </w:p>
    <w:p w14:paraId="4DB876C7">
      <w:pPr>
        <w:spacing w:line="600" w:lineRule="exact"/>
        <w:ind w:firstLine="640" w:firstLineChars="200"/>
        <w:outlineLvl w:val="1"/>
        <w:rPr>
          <w:rFonts w:hint="eastAsia" w:ascii="黑体" w:hAnsi="黑体" w:eastAsia="黑体"/>
          <w:sz w:val="32"/>
          <w:szCs w:val="32"/>
        </w:rPr>
      </w:pPr>
      <w:bookmarkStart w:id="30" w:name="_Toc15396607"/>
      <w:bookmarkStart w:id="31" w:name="_Toc15377209"/>
    </w:p>
    <w:p w14:paraId="4803822E">
      <w:pPr>
        <w:spacing w:line="600" w:lineRule="exact"/>
        <w:ind w:firstLine="640" w:firstLineChars="200"/>
        <w:outlineLvl w:val="1"/>
        <w:rPr>
          <w:rFonts w:hint="eastAsia" w:ascii="黑体" w:hAnsi="黑体" w:eastAsia="黑体"/>
          <w:sz w:val="32"/>
          <w:szCs w:val="32"/>
        </w:rPr>
      </w:pPr>
    </w:p>
    <w:p w14:paraId="5FC1E680">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0"/>
      <w:bookmarkEnd w:id="31"/>
    </w:p>
    <w:p w14:paraId="2AB2F6E7">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40705297">
      <w:pPr>
        <w:spacing w:line="600" w:lineRule="exact"/>
        <w:ind w:firstLine="640" w:firstLineChars="200"/>
        <w:rPr>
          <w:rFonts w:hint="eastAsia" w:ascii="仿宋" w:hAnsi="仿宋" w:eastAsia="仿宋" w:cs="仿宋"/>
          <w:bCs/>
          <w:color w:val="000000"/>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5578.90</w:t>
      </w:r>
      <w:r>
        <w:rPr>
          <w:rFonts w:hint="eastAsia" w:ascii="仿宋" w:hAnsi="仿宋" w:eastAsia="仿宋"/>
          <w:sz w:val="32"/>
          <w:szCs w:val="32"/>
        </w:rPr>
        <w:t>万元，占本年支出合计的</w:t>
      </w:r>
      <w:r>
        <w:rPr>
          <w:rFonts w:hint="eastAsia" w:ascii="仿宋" w:hAnsi="仿宋" w:eastAsia="仿宋"/>
          <w:sz w:val="32"/>
          <w:szCs w:val="32"/>
          <w:lang w:val="en-US" w:eastAsia="zh-CN"/>
        </w:rPr>
        <w:t>73.05</w:t>
      </w:r>
      <w:r>
        <w:rPr>
          <w:rFonts w:hint="eastAsia" w:ascii="仿宋" w:hAnsi="仿宋" w:eastAsia="仿宋"/>
          <w:sz w:val="32"/>
          <w:szCs w:val="32"/>
        </w:rPr>
        <w:t>%。与202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年相比，一般公共预算财政拨款减少</w:t>
      </w:r>
      <w:r>
        <w:rPr>
          <w:rFonts w:hint="eastAsia" w:ascii="仿宋" w:hAnsi="仿宋" w:eastAsia="仿宋"/>
          <w:sz w:val="32"/>
          <w:szCs w:val="32"/>
          <w:lang w:val="en-US" w:eastAsia="zh-CN"/>
        </w:rPr>
        <w:t>7395.48</w:t>
      </w:r>
      <w:r>
        <w:rPr>
          <w:rFonts w:hint="eastAsia" w:ascii="仿宋" w:hAnsi="仿宋" w:eastAsia="仿宋"/>
          <w:sz w:val="32"/>
          <w:szCs w:val="32"/>
        </w:rPr>
        <w:t>万元，减少</w:t>
      </w:r>
      <w:r>
        <w:rPr>
          <w:rFonts w:hint="eastAsia" w:ascii="仿宋" w:hAnsi="仿宋" w:eastAsia="仿宋"/>
          <w:sz w:val="32"/>
          <w:szCs w:val="32"/>
          <w:lang w:val="en-US" w:eastAsia="zh-CN"/>
        </w:rPr>
        <w:t>49.2</w:t>
      </w:r>
      <w:r>
        <w:rPr>
          <w:rFonts w:hint="eastAsia" w:ascii="仿宋" w:hAnsi="仿宋" w:eastAsia="仿宋"/>
          <w:sz w:val="32"/>
          <w:szCs w:val="32"/>
        </w:rPr>
        <w:t>%。</w:t>
      </w:r>
      <w:r>
        <w:rPr>
          <w:rFonts w:hint="eastAsia" w:ascii="仿宋" w:hAnsi="仿宋" w:eastAsia="仿宋" w:cs="仿宋"/>
          <w:bCs/>
          <w:color w:val="000000"/>
          <w:sz w:val="32"/>
          <w:szCs w:val="32"/>
        </w:rPr>
        <w:t>（1）收入减少原因是</w:t>
      </w:r>
      <w:r>
        <w:rPr>
          <w:rFonts w:hint="eastAsia" w:ascii="仿宋" w:hAnsi="仿宋" w:eastAsia="仿宋" w:cs="仿宋"/>
          <w:bCs/>
          <w:color w:val="000000"/>
          <w:sz w:val="32"/>
          <w:szCs w:val="32"/>
          <w:lang w:eastAsia="zh-CN"/>
        </w:rPr>
        <w:t>机构改革移民后扶机构人员划转至水利局移民后扶项目资金划转至水利局</w:t>
      </w:r>
      <w:r>
        <w:rPr>
          <w:rFonts w:hint="eastAsia" w:ascii="仿宋" w:hAnsi="仿宋" w:eastAsia="仿宋" w:cs="仿宋"/>
          <w:bCs/>
          <w:color w:val="000000"/>
          <w:sz w:val="32"/>
          <w:szCs w:val="32"/>
        </w:rPr>
        <w:t>；（2）支出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原因是</w:t>
      </w:r>
      <w:r>
        <w:rPr>
          <w:rFonts w:hint="eastAsia" w:ascii="仿宋" w:hAnsi="仿宋" w:eastAsia="仿宋" w:cs="仿宋"/>
          <w:bCs/>
          <w:color w:val="000000"/>
          <w:sz w:val="32"/>
          <w:szCs w:val="32"/>
          <w:lang w:eastAsia="zh-CN"/>
        </w:rPr>
        <w:t>移民后扶项目资金划转至水利局</w:t>
      </w:r>
      <w:r>
        <w:rPr>
          <w:rFonts w:hint="eastAsia" w:ascii="仿宋" w:hAnsi="仿宋" w:eastAsia="仿宋" w:cs="仿宋"/>
          <w:bCs/>
          <w:color w:val="000000"/>
          <w:sz w:val="32"/>
          <w:szCs w:val="32"/>
        </w:rPr>
        <w:t>。</w:t>
      </w:r>
    </w:p>
    <w:p w14:paraId="72CDFB10">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1770" cy="2934335"/>
            <wp:effectExtent l="0" t="0" r="11430" b="12065"/>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10"/>
                    <a:stretch>
                      <a:fillRect/>
                    </a:stretch>
                  </pic:blipFill>
                  <pic:spPr>
                    <a:xfrm>
                      <a:off x="0" y="0"/>
                      <a:ext cx="5271770" cy="2934335"/>
                    </a:xfrm>
                    <a:prstGeom prst="rect">
                      <a:avLst/>
                    </a:prstGeom>
                  </pic:spPr>
                </pic:pic>
              </a:graphicData>
            </a:graphic>
          </wp:inline>
        </w:drawing>
      </w:r>
    </w:p>
    <w:p w14:paraId="3F9A48BD">
      <w:pPr>
        <w:spacing w:line="600" w:lineRule="exact"/>
        <w:ind w:firstLine="640" w:firstLineChars="200"/>
        <w:rPr>
          <w:rFonts w:ascii="仿宋" w:hAnsi="仿宋" w:eastAsia="仿宋"/>
          <w:sz w:val="32"/>
          <w:szCs w:val="32"/>
        </w:rPr>
      </w:pPr>
    </w:p>
    <w:p w14:paraId="273695FB">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14:paraId="557BE541">
      <w:pPr>
        <w:spacing w:line="240" w:lineRule="auto"/>
        <w:ind w:firstLine="640"/>
        <w:rPr>
          <w:rFonts w:hint="eastAsia"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7636.99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社会保障和就业（类）支出</w:t>
      </w:r>
      <w:r>
        <w:rPr>
          <w:rFonts w:hint="eastAsia" w:ascii="仿宋" w:hAnsi="仿宋" w:eastAsia="仿宋"/>
          <w:b/>
          <w:sz w:val="32"/>
          <w:szCs w:val="32"/>
          <w:lang w:val="en-US" w:eastAsia="zh-CN"/>
        </w:rPr>
        <w:t>963.23</w:t>
      </w:r>
      <w:r>
        <w:rPr>
          <w:rFonts w:hint="eastAsia" w:ascii="仿宋" w:hAnsi="仿宋" w:eastAsia="仿宋"/>
          <w:b/>
          <w:sz w:val="32"/>
          <w:szCs w:val="32"/>
        </w:rPr>
        <w:t>万元，占</w:t>
      </w:r>
      <w:r>
        <w:rPr>
          <w:rFonts w:hint="eastAsia" w:ascii="仿宋" w:hAnsi="仿宋" w:eastAsia="仿宋"/>
          <w:b/>
          <w:sz w:val="32"/>
          <w:szCs w:val="32"/>
          <w:lang w:val="en-US" w:eastAsia="zh-CN"/>
        </w:rPr>
        <w:t>12.61</w:t>
      </w:r>
      <w:r>
        <w:rPr>
          <w:rFonts w:hint="eastAsia" w:ascii="仿宋" w:hAnsi="仿宋" w:eastAsia="仿宋"/>
          <w:b/>
          <w:sz w:val="32"/>
          <w:szCs w:val="32"/>
        </w:rPr>
        <w:t>%；卫生健康支出</w:t>
      </w:r>
      <w:r>
        <w:rPr>
          <w:rFonts w:hint="eastAsia" w:ascii="仿宋" w:hAnsi="仿宋" w:eastAsia="仿宋"/>
          <w:b/>
          <w:sz w:val="32"/>
          <w:szCs w:val="32"/>
          <w:lang w:val="en-US" w:eastAsia="zh-CN"/>
        </w:rPr>
        <w:t>25.75</w:t>
      </w:r>
      <w:r>
        <w:rPr>
          <w:rFonts w:hint="eastAsia" w:ascii="仿宋" w:hAnsi="仿宋" w:eastAsia="仿宋"/>
          <w:b/>
          <w:sz w:val="32"/>
          <w:szCs w:val="32"/>
        </w:rPr>
        <w:t>万元，占0.00</w:t>
      </w:r>
      <w:r>
        <w:rPr>
          <w:rFonts w:hint="eastAsia" w:ascii="仿宋" w:hAnsi="仿宋" w:eastAsia="仿宋"/>
          <w:b/>
          <w:sz w:val="32"/>
          <w:szCs w:val="32"/>
          <w:lang w:val="en-US" w:eastAsia="zh-CN"/>
        </w:rPr>
        <w:t>3</w:t>
      </w:r>
      <w:r>
        <w:rPr>
          <w:rFonts w:hint="eastAsia" w:ascii="仿宋" w:hAnsi="仿宋" w:eastAsia="仿宋"/>
          <w:b/>
          <w:sz w:val="32"/>
          <w:szCs w:val="32"/>
        </w:rPr>
        <w:t>%；农林水支出</w:t>
      </w:r>
      <w:r>
        <w:rPr>
          <w:rFonts w:hint="eastAsia" w:ascii="仿宋" w:hAnsi="仿宋" w:eastAsia="仿宋"/>
          <w:b/>
          <w:sz w:val="32"/>
          <w:szCs w:val="32"/>
          <w:lang w:val="en-US" w:eastAsia="zh-CN"/>
        </w:rPr>
        <w:t>6622.73</w:t>
      </w:r>
      <w:r>
        <w:rPr>
          <w:rFonts w:hint="eastAsia" w:ascii="仿宋" w:hAnsi="仿宋" w:eastAsia="仿宋"/>
          <w:b/>
          <w:sz w:val="32"/>
          <w:szCs w:val="32"/>
        </w:rPr>
        <w:t>万元，占</w:t>
      </w:r>
      <w:r>
        <w:rPr>
          <w:rFonts w:hint="eastAsia" w:ascii="仿宋" w:hAnsi="仿宋" w:eastAsia="仿宋"/>
          <w:b/>
          <w:sz w:val="32"/>
          <w:szCs w:val="32"/>
          <w:lang w:val="en-US" w:eastAsia="zh-CN"/>
        </w:rPr>
        <w:t>86.71</w:t>
      </w:r>
      <w:r>
        <w:rPr>
          <w:rFonts w:hint="eastAsia" w:ascii="仿宋" w:hAnsi="仿宋" w:eastAsia="仿宋"/>
          <w:b/>
          <w:sz w:val="32"/>
          <w:szCs w:val="32"/>
        </w:rPr>
        <w:t>%；住房保障支出</w:t>
      </w:r>
      <w:r>
        <w:rPr>
          <w:rFonts w:hint="eastAsia" w:ascii="仿宋" w:hAnsi="仿宋" w:eastAsia="仿宋"/>
          <w:b/>
          <w:sz w:val="32"/>
          <w:szCs w:val="32"/>
          <w:lang w:val="en-US" w:eastAsia="zh-CN"/>
        </w:rPr>
        <w:t>25.28</w:t>
      </w:r>
      <w:r>
        <w:rPr>
          <w:rFonts w:hint="eastAsia" w:ascii="仿宋" w:hAnsi="仿宋" w:eastAsia="仿宋"/>
          <w:b/>
          <w:sz w:val="32"/>
          <w:szCs w:val="32"/>
        </w:rPr>
        <w:t>万元，占0.00</w:t>
      </w:r>
      <w:r>
        <w:rPr>
          <w:rFonts w:hint="eastAsia" w:ascii="仿宋" w:hAnsi="仿宋" w:eastAsia="仿宋"/>
          <w:b/>
          <w:sz w:val="32"/>
          <w:szCs w:val="32"/>
          <w:lang w:val="en-US" w:eastAsia="zh-CN"/>
        </w:rPr>
        <w:t>3</w:t>
      </w:r>
      <w:r>
        <w:rPr>
          <w:rFonts w:hint="eastAsia" w:ascii="仿宋" w:hAnsi="仿宋" w:eastAsia="仿宋"/>
          <w:b/>
          <w:sz w:val="32"/>
          <w:szCs w:val="32"/>
        </w:rPr>
        <w:t>。</w:t>
      </w:r>
    </w:p>
    <w:p w14:paraId="48E09F03">
      <w:pPr>
        <w:spacing w:line="240" w:lineRule="auto"/>
        <w:ind w:firstLine="640"/>
        <w:rPr>
          <w:rFonts w:hint="eastAsia" w:ascii="仿宋" w:hAnsi="仿宋" w:eastAsia="仿宋"/>
          <w:b/>
          <w:sz w:val="32"/>
          <w:szCs w:val="32"/>
          <w:lang w:eastAsia="zh-CN"/>
        </w:rPr>
      </w:pPr>
      <w:r>
        <w:rPr>
          <w:rFonts w:hint="eastAsia" w:ascii="仿宋" w:hAnsi="仿宋" w:eastAsia="仿宋"/>
          <w:b/>
          <w:sz w:val="32"/>
          <w:szCs w:val="32"/>
          <w:lang w:eastAsia="zh-CN"/>
        </w:rPr>
        <w:drawing>
          <wp:inline distT="0" distB="0" distL="114300" distR="114300">
            <wp:extent cx="4791710" cy="3084830"/>
            <wp:effectExtent l="0" t="0" r="8890" b="1270"/>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11"/>
                    <a:stretch>
                      <a:fillRect/>
                    </a:stretch>
                  </pic:blipFill>
                  <pic:spPr>
                    <a:xfrm>
                      <a:off x="0" y="0"/>
                      <a:ext cx="4791710" cy="3084830"/>
                    </a:xfrm>
                    <a:prstGeom prst="rect">
                      <a:avLst/>
                    </a:prstGeom>
                  </pic:spPr>
                </pic:pic>
              </a:graphicData>
            </a:graphic>
          </wp:inline>
        </w:drawing>
      </w:r>
    </w:p>
    <w:p w14:paraId="6CC765C1">
      <w:pPr>
        <w:spacing w:line="600" w:lineRule="exact"/>
        <w:rPr>
          <w:rFonts w:ascii="仿宋" w:hAnsi="仿宋" w:eastAsia="仿宋"/>
          <w:sz w:val="32"/>
          <w:szCs w:val="32"/>
        </w:rPr>
      </w:pPr>
    </w:p>
    <w:p w14:paraId="3F982802">
      <w:pPr>
        <w:spacing w:line="600" w:lineRule="exact"/>
        <w:ind w:firstLine="640" w:firstLineChars="200"/>
        <w:rPr>
          <w:rFonts w:ascii="仿宋" w:hAnsi="仿宋" w:eastAsia="仿宋"/>
          <w:sz w:val="32"/>
          <w:szCs w:val="32"/>
        </w:rPr>
      </w:pPr>
    </w:p>
    <w:p w14:paraId="4273EC4E">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284EED16">
      <w:pPr>
        <w:spacing w:line="600" w:lineRule="exact"/>
        <w:ind w:firstLine="643" w:firstLineChars="200"/>
        <w:outlineLvl w:val="2"/>
        <w:rPr>
          <w:rFonts w:ascii="仿宋" w:hAnsi="仿宋" w:eastAsia="仿宋"/>
          <w:sz w:val="32"/>
          <w:szCs w:val="32"/>
        </w:rPr>
      </w:pPr>
      <w:bookmarkStart w:id="35" w:name="_Toc15377213"/>
      <w:bookmarkStart w:id="36" w:name="_Toc15377444"/>
      <w:bookmarkStart w:id="37"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7636.99万元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5"/>
      <w:bookmarkEnd w:id="36"/>
      <w:bookmarkEnd w:id="37"/>
    </w:p>
    <w:p w14:paraId="4F76118D">
      <w:pPr>
        <w:numPr>
          <w:ilvl w:val="0"/>
          <w:numId w:val="2"/>
        </w:numPr>
        <w:spacing w:line="600" w:lineRule="exact"/>
        <w:ind w:firstLine="643" w:firstLineChars="200"/>
        <w:rPr>
          <w:rStyle w:val="17"/>
          <w:rFonts w:hint="eastAsia" w:ascii="仿宋" w:hAnsi="仿宋" w:eastAsia="仿宋" w:cs="仿宋"/>
          <w:b w:val="0"/>
          <w:bCs/>
          <w:color w:val="000000"/>
          <w:sz w:val="32"/>
          <w:szCs w:val="32"/>
        </w:rPr>
      </w:pPr>
      <w:r>
        <w:rPr>
          <w:rStyle w:val="17"/>
          <w:rFonts w:hint="eastAsia" w:ascii="仿宋" w:hAnsi="仿宋" w:eastAsia="仿宋" w:cs="仿宋"/>
          <w:b/>
          <w:bCs w:val="0"/>
          <w:color w:val="000000"/>
          <w:sz w:val="32"/>
          <w:szCs w:val="32"/>
        </w:rPr>
        <w:t>社会保障和就业</w:t>
      </w:r>
      <w:r>
        <w:rPr>
          <w:rStyle w:val="17"/>
          <w:rFonts w:hint="eastAsia" w:ascii="仿宋" w:hAnsi="仿宋" w:eastAsia="仿宋" w:cs="仿宋"/>
          <w:b/>
          <w:bCs w:val="0"/>
          <w:color w:val="000000"/>
          <w:sz w:val="32"/>
          <w:szCs w:val="32"/>
          <w:lang w:eastAsia="zh-CN"/>
        </w:rPr>
        <w:t>：</w:t>
      </w:r>
      <w:r>
        <w:rPr>
          <w:rStyle w:val="17"/>
          <w:rFonts w:hint="eastAsia" w:ascii="仿宋" w:hAnsi="仿宋" w:eastAsia="仿宋" w:cs="仿宋"/>
          <w:b w:val="0"/>
          <w:bCs/>
          <w:color w:val="000000"/>
          <w:sz w:val="32"/>
          <w:szCs w:val="32"/>
        </w:rPr>
        <w:t>2080501 未归口管理的行政单位离退休支出决算为</w:t>
      </w:r>
      <w:r>
        <w:rPr>
          <w:rStyle w:val="17"/>
          <w:rFonts w:hint="eastAsia" w:ascii="仿宋" w:hAnsi="仿宋" w:eastAsia="仿宋" w:cs="仿宋"/>
          <w:b w:val="0"/>
          <w:bCs/>
          <w:color w:val="000000"/>
          <w:sz w:val="32"/>
          <w:szCs w:val="32"/>
          <w:lang w:val="en-US" w:eastAsia="zh-CN"/>
        </w:rPr>
        <w:t>36.94</w:t>
      </w:r>
      <w:r>
        <w:rPr>
          <w:rStyle w:val="17"/>
          <w:rFonts w:hint="eastAsia" w:ascii="仿宋" w:hAnsi="仿宋" w:eastAsia="仿宋" w:cs="仿宋"/>
          <w:b w:val="0"/>
          <w:bCs/>
          <w:color w:val="000000"/>
          <w:sz w:val="32"/>
          <w:szCs w:val="32"/>
        </w:rPr>
        <w:t>万元，完成预算100%；2080502</w:t>
      </w:r>
      <w:r>
        <w:rPr>
          <w:rStyle w:val="17"/>
          <w:rFonts w:hint="eastAsia" w:ascii="仿宋" w:hAnsi="仿宋" w:eastAsia="仿宋" w:cs="仿宋"/>
          <w:b w:val="0"/>
          <w:bCs/>
          <w:color w:val="000000"/>
          <w:sz w:val="32"/>
          <w:szCs w:val="32"/>
          <w:lang w:eastAsia="zh-CN"/>
        </w:rPr>
        <w:t>机关</w:t>
      </w:r>
      <w:r>
        <w:rPr>
          <w:rStyle w:val="17"/>
          <w:rFonts w:hint="eastAsia" w:ascii="仿宋" w:hAnsi="仿宋" w:eastAsia="仿宋" w:cs="仿宋"/>
          <w:b w:val="0"/>
          <w:bCs/>
          <w:color w:val="000000"/>
          <w:sz w:val="32"/>
          <w:szCs w:val="32"/>
        </w:rPr>
        <w:t>事业单位离退休支出决算为</w:t>
      </w:r>
      <w:r>
        <w:rPr>
          <w:rStyle w:val="17"/>
          <w:rFonts w:hint="eastAsia" w:ascii="仿宋" w:hAnsi="仿宋" w:eastAsia="仿宋" w:cs="仿宋"/>
          <w:b w:val="0"/>
          <w:bCs/>
          <w:color w:val="000000"/>
          <w:sz w:val="32"/>
          <w:szCs w:val="32"/>
          <w:lang w:val="en-US" w:eastAsia="zh-CN"/>
        </w:rPr>
        <w:t>4.05</w:t>
      </w:r>
      <w:r>
        <w:rPr>
          <w:rStyle w:val="17"/>
          <w:rFonts w:hint="eastAsia" w:ascii="仿宋" w:hAnsi="仿宋" w:eastAsia="仿宋" w:cs="仿宋"/>
          <w:b w:val="0"/>
          <w:bCs/>
          <w:color w:val="000000"/>
          <w:sz w:val="32"/>
          <w:szCs w:val="32"/>
        </w:rPr>
        <w:t>万元，完成预算100%；2080505  机关事业单位基本养老保险缴费支出决算为</w:t>
      </w:r>
      <w:r>
        <w:rPr>
          <w:rStyle w:val="17"/>
          <w:rFonts w:hint="eastAsia" w:ascii="仿宋" w:hAnsi="仿宋" w:eastAsia="仿宋" w:cs="仿宋"/>
          <w:b w:val="0"/>
          <w:bCs/>
          <w:color w:val="000000"/>
          <w:sz w:val="32"/>
          <w:szCs w:val="32"/>
          <w:lang w:val="en-US" w:eastAsia="zh-CN"/>
        </w:rPr>
        <w:t>21.67</w:t>
      </w:r>
      <w:r>
        <w:rPr>
          <w:rStyle w:val="17"/>
          <w:rFonts w:hint="eastAsia" w:ascii="仿宋" w:hAnsi="仿宋" w:eastAsia="仿宋" w:cs="仿宋"/>
          <w:b w:val="0"/>
          <w:bCs/>
          <w:color w:val="000000"/>
          <w:sz w:val="32"/>
          <w:szCs w:val="32"/>
        </w:rPr>
        <w:t>万元，完成预算100%；208050</w:t>
      </w:r>
      <w:r>
        <w:rPr>
          <w:rStyle w:val="17"/>
          <w:rFonts w:hint="eastAsia" w:ascii="仿宋" w:hAnsi="仿宋" w:eastAsia="仿宋" w:cs="仿宋"/>
          <w:b w:val="0"/>
          <w:bCs/>
          <w:color w:val="000000"/>
          <w:sz w:val="32"/>
          <w:szCs w:val="32"/>
          <w:lang w:val="en-US" w:eastAsia="zh-CN"/>
        </w:rPr>
        <w:t>6</w:t>
      </w:r>
      <w:r>
        <w:rPr>
          <w:rStyle w:val="17"/>
          <w:rFonts w:hint="eastAsia" w:ascii="仿宋" w:hAnsi="仿宋" w:eastAsia="仿宋" w:cs="仿宋"/>
          <w:b w:val="0"/>
          <w:bCs/>
          <w:color w:val="000000"/>
          <w:sz w:val="32"/>
          <w:szCs w:val="32"/>
        </w:rPr>
        <w:t xml:space="preserve"> 机关事业单位职业年金缴费支出决算为</w:t>
      </w:r>
      <w:r>
        <w:rPr>
          <w:rStyle w:val="17"/>
          <w:rFonts w:hint="eastAsia" w:ascii="仿宋" w:hAnsi="仿宋" w:eastAsia="仿宋" w:cs="仿宋"/>
          <w:b w:val="0"/>
          <w:bCs/>
          <w:color w:val="000000"/>
          <w:sz w:val="32"/>
          <w:szCs w:val="32"/>
          <w:lang w:val="en-US" w:eastAsia="zh-CN"/>
        </w:rPr>
        <w:t>21.67</w:t>
      </w:r>
      <w:r>
        <w:rPr>
          <w:rStyle w:val="17"/>
          <w:rFonts w:hint="eastAsia" w:ascii="仿宋" w:hAnsi="仿宋" w:eastAsia="仿宋" w:cs="仿宋"/>
          <w:b w:val="0"/>
          <w:bCs/>
          <w:color w:val="000000"/>
          <w:sz w:val="32"/>
          <w:szCs w:val="32"/>
        </w:rPr>
        <w:t>万元，完成预算100%；2080801死亡抚恤支出决算为</w:t>
      </w:r>
      <w:r>
        <w:rPr>
          <w:rStyle w:val="17"/>
          <w:rFonts w:hint="eastAsia" w:ascii="仿宋" w:hAnsi="仿宋" w:eastAsia="仿宋" w:cs="仿宋"/>
          <w:b w:val="0"/>
          <w:bCs/>
          <w:color w:val="000000"/>
          <w:sz w:val="32"/>
          <w:szCs w:val="32"/>
          <w:lang w:val="en-US" w:eastAsia="zh-CN"/>
        </w:rPr>
        <w:t>25.73</w:t>
      </w:r>
      <w:r>
        <w:rPr>
          <w:rStyle w:val="17"/>
          <w:rFonts w:hint="eastAsia" w:ascii="仿宋" w:hAnsi="仿宋" w:eastAsia="仿宋" w:cs="仿宋"/>
          <w:b w:val="0"/>
          <w:bCs/>
          <w:color w:val="000000"/>
          <w:sz w:val="32"/>
          <w:szCs w:val="32"/>
        </w:rPr>
        <w:t>万元，完成预算100%；</w:t>
      </w:r>
      <w:r>
        <w:rPr>
          <w:rStyle w:val="17"/>
          <w:rFonts w:hint="eastAsia" w:ascii="仿宋" w:hAnsi="仿宋" w:eastAsia="仿宋" w:cs="仿宋"/>
          <w:b w:val="0"/>
          <w:bCs/>
          <w:color w:val="000000"/>
          <w:sz w:val="32"/>
          <w:szCs w:val="32"/>
          <w:lang w:val="en-US" w:eastAsia="zh-CN"/>
        </w:rPr>
        <w:t>2082299</w:t>
      </w:r>
      <w:r>
        <w:rPr>
          <w:rStyle w:val="17"/>
          <w:rFonts w:hint="eastAsia" w:ascii="仿宋" w:hAnsi="仿宋" w:eastAsia="仿宋" w:cs="仿宋"/>
          <w:b w:val="0"/>
          <w:bCs/>
          <w:color w:val="000000"/>
          <w:sz w:val="32"/>
          <w:szCs w:val="32"/>
        </w:rPr>
        <w:t xml:space="preserve"> 其他大中型水库移</w:t>
      </w:r>
      <w:r>
        <w:rPr>
          <w:rStyle w:val="17"/>
          <w:rFonts w:hint="eastAsia" w:ascii="仿宋" w:hAnsi="仿宋" w:eastAsia="仿宋" w:cs="仿宋"/>
          <w:b w:val="0"/>
          <w:bCs/>
          <w:color w:val="000000" w:themeColor="text1"/>
          <w:sz w:val="32"/>
          <w:szCs w:val="32"/>
          <w:highlight w:val="none"/>
          <w14:textFill>
            <w14:solidFill>
              <w14:schemeClr w14:val="tx1"/>
            </w14:solidFill>
          </w14:textFill>
        </w:rPr>
        <w:t>民后期扶持基金支出决算为</w:t>
      </w:r>
      <w:r>
        <w:rPr>
          <w:rStyle w:val="17"/>
          <w:rFonts w:hint="eastAsia" w:ascii="仿宋" w:hAnsi="仿宋" w:eastAsia="仿宋" w:cs="仿宋"/>
          <w:b w:val="0"/>
          <w:bCs/>
          <w:color w:val="000000" w:themeColor="text1"/>
          <w:sz w:val="32"/>
          <w:szCs w:val="32"/>
          <w:highlight w:val="none"/>
          <w:lang w:val="en-US" w:eastAsia="zh-CN"/>
          <w14:textFill>
            <w14:solidFill>
              <w14:schemeClr w14:val="tx1"/>
            </w14:solidFill>
          </w14:textFill>
        </w:rPr>
        <w:t>867.32</w:t>
      </w:r>
      <w:r>
        <w:rPr>
          <w:rStyle w:val="17"/>
          <w:rFonts w:hint="eastAsia" w:ascii="仿宋" w:hAnsi="仿宋" w:eastAsia="仿宋" w:cs="仿宋"/>
          <w:b w:val="0"/>
          <w:bCs/>
          <w:color w:val="000000" w:themeColor="text1"/>
          <w:sz w:val="32"/>
          <w:szCs w:val="32"/>
          <w:highlight w:val="none"/>
          <w14:textFill>
            <w14:solidFill>
              <w14:schemeClr w14:val="tx1"/>
            </w14:solidFill>
          </w14:textFill>
        </w:rPr>
        <w:t xml:space="preserve">万元，完成预算100%； </w:t>
      </w:r>
    </w:p>
    <w:p w14:paraId="19514AF2">
      <w:pPr>
        <w:spacing w:line="600" w:lineRule="exact"/>
        <w:ind w:firstLine="640"/>
        <w:rPr>
          <w:rStyle w:val="17"/>
          <w:rFonts w:hint="eastAsia" w:ascii="仿宋" w:hAnsi="仿宋" w:eastAsia="仿宋" w:cs="仿宋"/>
          <w:b w:val="0"/>
          <w:bCs/>
          <w:color w:val="000000"/>
          <w:sz w:val="32"/>
          <w:szCs w:val="32"/>
          <w:lang w:eastAsia="zh-CN"/>
        </w:rPr>
      </w:pPr>
      <w:r>
        <w:rPr>
          <w:rFonts w:hint="eastAsia" w:ascii="仿宋" w:hAnsi="仿宋" w:eastAsia="仿宋" w:cs="仿宋"/>
          <w:b/>
          <w:bCs w:val="0"/>
          <w:color w:val="000000"/>
          <w:sz w:val="32"/>
          <w:szCs w:val="32"/>
        </w:rPr>
        <w:t>2.卫生健康支出：</w:t>
      </w:r>
      <w:r>
        <w:rPr>
          <w:rStyle w:val="17"/>
          <w:rFonts w:hint="eastAsia" w:ascii="仿宋" w:hAnsi="仿宋" w:eastAsia="仿宋" w:cs="仿宋"/>
          <w:b w:val="0"/>
          <w:bCs/>
          <w:color w:val="000000"/>
          <w:sz w:val="32"/>
          <w:szCs w:val="32"/>
        </w:rPr>
        <w:t>2101101行政单位医疗支出决算为17.</w:t>
      </w:r>
      <w:r>
        <w:rPr>
          <w:rStyle w:val="17"/>
          <w:rFonts w:hint="eastAsia" w:ascii="仿宋" w:hAnsi="仿宋" w:eastAsia="仿宋" w:cs="仿宋"/>
          <w:b w:val="0"/>
          <w:bCs/>
          <w:color w:val="000000"/>
          <w:sz w:val="32"/>
          <w:szCs w:val="32"/>
          <w:lang w:val="en-US" w:eastAsia="zh-CN"/>
        </w:rPr>
        <w:t>12</w:t>
      </w:r>
      <w:r>
        <w:rPr>
          <w:rStyle w:val="17"/>
          <w:rFonts w:hint="eastAsia" w:ascii="仿宋" w:hAnsi="仿宋" w:eastAsia="仿宋" w:cs="仿宋"/>
          <w:b w:val="0"/>
          <w:bCs/>
          <w:color w:val="000000"/>
          <w:sz w:val="32"/>
          <w:szCs w:val="32"/>
        </w:rPr>
        <w:t>万元，完成预算100%；2101</w:t>
      </w:r>
      <w:r>
        <w:rPr>
          <w:rStyle w:val="17"/>
          <w:rFonts w:hint="eastAsia" w:ascii="仿宋" w:hAnsi="仿宋" w:eastAsia="仿宋" w:cs="仿宋"/>
          <w:b w:val="0"/>
          <w:bCs/>
          <w:color w:val="000000"/>
          <w:sz w:val="32"/>
          <w:szCs w:val="32"/>
          <w:lang w:val="en-US" w:eastAsia="zh-CN"/>
        </w:rPr>
        <w:t>99</w:t>
      </w:r>
      <w:r>
        <w:rPr>
          <w:rStyle w:val="17"/>
          <w:rFonts w:hint="eastAsia" w:ascii="仿宋" w:hAnsi="仿宋" w:eastAsia="仿宋" w:cs="仿宋"/>
          <w:b w:val="0"/>
          <w:bCs/>
          <w:color w:val="000000"/>
          <w:sz w:val="32"/>
          <w:szCs w:val="32"/>
        </w:rPr>
        <w:t xml:space="preserve"> 其他行政事业单位医疗支出决算为</w:t>
      </w:r>
      <w:r>
        <w:rPr>
          <w:rStyle w:val="17"/>
          <w:rFonts w:hint="eastAsia" w:ascii="仿宋" w:hAnsi="仿宋" w:eastAsia="仿宋" w:cs="仿宋"/>
          <w:b w:val="0"/>
          <w:bCs/>
          <w:color w:val="000000"/>
          <w:sz w:val="32"/>
          <w:szCs w:val="32"/>
          <w:lang w:val="en-US" w:eastAsia="zh-CN"/>
        </w:rPr>
        <w:t>1.01</w:t>
      </w:r>
      <w:r>
        <w:rPr>
          <w:rStyle w:val="17"/>
          <w:rFonts w:hint="eastAsia" w:ascii="仿宋" w:hAnsi="仿宋" w:eastAsia="仿宋" w:cs="仿宋"/>
          <w:b w:val="0"/>
          <w:bCs/>
          <w:color w:val="000000"/>
          <w:sz w:val="32"/>
          <w:szCs w:val="32"/>
        </w:rPr>
        <w:t>元，完成预算100%； 2101103 公务员医疗补助支出决算为</w:t>
      </w:r>
      <w:r>
        <w:rPr>
          <w:rStyle w:val="17"/>
          <w:rFonts w:hint="eastAsia" w:ascii="仿宋" w:hAnsi="仿宋" w:eastAsia="仿宋" w:cs="仿宋"/>
          <w:b w:val="0"/>
          <w:bCs/>
          <w:color w:val="000000"/>
          <w:sz w:val="32"/>
          <w:szCs w:val="32"/>
          <w:lang w:val="en-US" w:eastAsia="zh-CN"/>
        </w:rPr>
        <w:t>7.62</w:t>
      </w:r>
      <w:r>
        <w:rPr>
          <w:rStyle w:val="17"/>
          <w:rFonts w:hint="eastAsia" w:ascii="仿宋" w:hAnsi="仿宋" w:eastAsia="仿宋" w:cs="仿宋"/>
          <w:b w:val="0"/>
          <w:bCs/>
          <w:color w:val="000000"/>
          <w:sz w:val="32"/>
          <w:szCs w:val="32"/>
        </w:rPr>
        <w:t>万元，完成预算100%</w:t>
      </w:r>
      <w:r>
        <w:rPr>
          <w:rStyle w:val="17"/>
          <w:rFonts w:hint="eastAsia" w:ascii="仿宋" w:hAnsi="仿宋" w:eastAsia="仿宋" w:cs="仿宋"/>
          <w:b w:val="0"/>
          <w:bCs/>
          <w:color w:val="000000"/>
          <w:sz w:val="32"/>
          <w:szCs w:val="32"/>
          <w:lang w:eastAsia="zh-CN"/>
        </w:rPr>
        <w:t>。</w:t>
      </w:r>
    </w:p>
    <w:p w14:paraId="536A4018">
      <w:pPr>
        <w:spacing w:line="600" w:lineRule="exact"/>
        <w:ind w:firstLine="640"/>
        <w:rPr>
          <w:rStyle w:val="17"/>
          <w:rFonts w:hint="eastAsia" w:ascii="仿宋" w:hAnsi="仿宋" w:eastAsia="仿宋" w:cs="仿宋"/>
          <w:b w:val="0"/>
          <w:bCs/>
          <w:color w:val="000000"/>
          <w:sz w:val="32"/>
          <w:szCs w:val="32"/>
        </w:rPr>
      </w:pPr>
      <w:r>
        <w:rPr>
          <w:rStyle w:val="17"/>
          <w:rFonts w:hint="eastAsia" w:ascii="仿宋" w:hAnsi="仿宋" w:eastAsia="仿宋" w:cs="仿宋"/>
          <w:b/>
          <w:bCs w:val="0"/>
          <w:color w:val="000000"/>
          <w:sz w:val="32"/>
          <w:szCs w:val="32"/>
        </w:rPr>
        <w:t>3.农林水支出</w:t>
      </w:r>
      <w:r>
        <w:rPr>
          <w:rStyle w:val="17"/>
          <w:rFonts w:hint="eastAsia" w:ascii="仿宋" w:hAnsi="仿宋" w:eastAsia="仿宋" w:cs="仿宋"/>
          <w:b w:val="0"/>
          <w:bCs/>
          <w:color w:val="000000"/>
          <w:sz w:val="32"/>
          <w:szCs w:val="32"/>
        </w:rPr>
        <w:t>：2130199其他农业农村支出决算为2万元，完成预算100%。2130501行政运行支出</w:t>
      </w:r>
      <w:r>
        <w:rPr>
          <w:rStyle w:val="17"/>
          <w:rFonts w:hint="eastAsia" w:ascii="仿宋" w:hAnsi="仿宋" w:eastAsia="仿宋" w:cs="仿宋"/>
          <w:b w:val="0"/>
          <w:bCs/>
          <w:color w:val="000000"/>
          <w:sz w:val="32"/>
          <w:szCs w:val="32"/>
          <w:lang w:val="en-US" w:eastAsia="zh-CN"/>
        </w:rPr>
        <w:t>208.52</w:t>
      </w:r>
      <w:r>
        <w:rPr>
          <w:rStyle w:val="17"/>
          <w:rFonts w:hint="eastAsia" w:ascii="仿宋" w:hAnsi="仿宋" w:eastAsia="仿宋" w:cs="仿宋"/>
          <w:b w:val="0"/>
          <w:bCs/>
          <w:color w:val="000000"/>
          <w:sz w:val="32"/>
          <w:szCs w:val="32"/>
        </w:rPr>
        <w:t>万元，完成预算100%；2130550扶贫事业机构支出</w:t>
      </w:r>
      <w:r>
        <w:rPr>
          <w:rStyle w:val="17"/>
          <w:rFonts w:hint="eastAsia" w:ascii="仿宋" w:hAnsi="仿宋" w:eastAsia="仿宋" w:cs="仿宋"/>
          <w:b w:val="0"/>
          <w:bCs/>
          <w:color w:val="000000"/>
          <w:sz w:val="32"/>
          <w:szCs w:val="32"/>
          <w:lang w:val="en-US" w:eastAsia="zh-CN"/>
        </w:rPr>
        <w:t>34.53</w:t>
      </w:r>
      <w:r>
        <w:rPr>
          <w:rStyle w:val="17"/>
          <w:rFonts w:hint="eastAsia" w:ascii="仿宋" w:hAnsi="仿宋" w:eastAsia="仿宋" w:cs="仿宋"/>
          <w:b w:val="0"/>
          <w:bCs/>
          <w:color w:val="000000"/>
          <w:sz w:val="32"/>
          <w:szCs w:val="32"/>
        </w:rPr>
        <w:t>万元，完成预算100%。2130599其他扶贫支出决算数为</w:t>
      </w:r>
      <w:r>
        <w:rPr>
          <w:rStyle w:val="17"/>
          <w:rFonts w:hint="eastAsia" w:ascii="仿宋" w:hAnsi="仿宋" w:eastAsia="仿宋" w:cs="仿宋"/>
          <w:b w:val="0"/>
          <w:bCs/>
          <w:color w:val="000000"/>
          <w:sz w:val="32"/>
          <w:szCs w:val="32"/>
          <w:lang w:val="en-US" w:eastAsia="zh-CN"/>
        </w:rPr>
        <w:t>6377.68</w:t>
      </w:r>
      <w:r>
        <w:rPr>
          <w:rStyle w:val="17"/>
          <w:rFonts w:hint="eastAsia" w:ascii="仿宋" w:hAnsi="仿宋" w:eastAsia="仿宋" w:cs="仿宋"/>
          <w:b w:val="0"/>
          <w:bCs/>
          <w:color w:val="000000"/>
          <w:sz w:val="32"/>
          <w:szCs w:val="32"/>
        </w:rPr>
        <w:t>万元，完成预算100%。</w:t>
      </w:r>
    </w:p>
    <w:p w14:paraId="719B0E71">
      <w:pPr>
        <w:spacing w:line="600" w:lineRule="exact"/>
        <w:ind w:firstLine="640"/>
        <w:rPr>
          <w:rStyle w:val="17"/>
          <w:rFonts w:hint="eastAsia" w:ascii="仿宋" w:hAnsi="仿宋" w:eastAsia="仿宋" w:cs="仿宋"/>
          <w:b w:val="0"/>
          <w:bCs/>
          <w:color w:val="000000"/>
          <w:sz w:val="32"/>
          <w:szCs w:val="32"/>
        </w:rPr>
      </w:pPr>
      <w:r>
        <w:rPr>
          <w:rStyle w:val="17"/>
          <w:rFonts w:hint="eastAsia" w:ascii="仿宋" w:hAnsi="仿宋" w:eastAsia="仿宋" w:cs="仿宋"/>
          <w:b/>
          <w:bCs w:val="0"/>
          <w:color w:val="000000"/>
          <w:sz w:val="32"/>
          <w:szCs w:val="32"/>
        </w:rPr>
        <w:t>4.住房保障支出：</w:t>
      </w:r>
      <w:r>
        <w:rPr>
          <w:rStyle w:val="17"/>
          <w:rFonts w:hint="eastAsia" w:ascii="仿宋" w:hAnsi="仿宋" w:eastAsia="仿宋" w:cs="仿宋"/>
          <w:b w:val="0"/>
          <w:bCs/>
          <w:color w:val="000000"/>
          <w:sz w:val="32"/>
          <w:szCs w:val="32"/>
        </w:rPr>
        <w:t>2210201住房公积金支出决算为33.34万元，完成预算100%。</w:t>
      </w:r>
    </w:p>
    <w:p w14:paraId="22821BE5">
      <w:pPr>
        <w:spacing w:line="600" w:lineRule="exact"/>
        <w:ind w:firstLine="640"/>
        <w:rPr>
          <w:rStyle w:val="17"/>
          <w:rFonts w:hint="eastAsia" w:ascii="仿宋" w:hAnsi="仿宋" w:eastAsia="仿宋" w:cs="仿宋"/>
          <w:b w:val="0"/>
          <w:bCs/>
          <w:color w:val="000000"/>
          <w:sz w:val="32"/>
          <w:szCs w:val="32"/>
        </w:rPr>
      </w:pPr>
    </w:p>
    <w:p w14:paraId="67DC2854">
      <w:pPr>
        <w:spacing w:line="600" w:lineRule="exact"/>
        <w:ind w:firstLine="640"/>
        <w:rPr>
          <w:rStyle w:val="17"/>
          <w:rFonts w:asciiTheme="minorEastAsia" w:hAnsiTheme="minorEastAsia" w:eastAsiaTheme="minorEastAsia" w:cstheme="minorEastAsia"/>
          <w:b w:val="0"/>
          <w:bCs/>
          <w:color w:val="000000"/>
          <w:sz w:val="32"/>
          <w:szCs w:val="32"/>
        </w:rPr>
      </w:pPr>
    </w:p>
    <w:p w14:paraId="2F6619F8">
      <w:pPr>
        <w:spacing w:line="600" w:lineRule="exact"/>
        <w:ind w:firstLine="640"/>
        <w:rPr>
          <w:rFonts w:ascii="仿宋" w:hAnsi="仿宋" w:eastAsia="仿宋"/>
          <w:b/>
          <w:sz w:val="32"/>
          <w:szCs w:val="32"/>
        </w:rPr>
      </w:pPr>
    </w:p>
    <w:p w14:paraId="663C3E8F">
      <w:pPr>
        <w:tabs>
          <w:tab w:val="right" w:pos="8306"/>
        </w:tabs>
        <w:spacing w:line="600" w:lineRule="exact"/>
        <w:ind w:firstLine="640"/>
        <w:outlineLvl w:val="1"/>
        <w:rPr>
          <w:rStyle w:val="29"/>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14:paraId="6B3F02E2">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389.99</w:t>
      </w:r>
      <w:r>
        <w:rPr>
          <w:rFonts w:hint="eastAsia" w:ascii="仿宋" w:hAnsi="仿宋" w:eastAsia="仿宋"/>
          <w:sz w:val="32"/>
          <w:szCs w:val="32"/>
        </w:rPr>
        <w:t>万元，其中：</w:t>
      </w:r>
    </w:p>
    <w:p w14:paraId="7E7ECFDC">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300.77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21.95</w:t>
      </w:r>
      <w:r>
        <w:rPr>
          <w:rFonts w:hint="eastAsia" w:ascii="仿宋" w:hAnsi="仿宋" w:eastAsia="仿宋"/>
          <w:sz w:val="32"/>
          <w:szCs w:val="32"/>
        </w:rPr>
        <w:t>万元，主要包括：办公费</w:t>
      </w:r>
      <w:r>
        <w:rPr>
          <w:rFonts w:hint="eastAsia" w:ascii="仿宋" w:hAnsi="仿宋" w:eastAsia="仿宋"/>
          <w:sz w:val="32"/>
          <w:szCs w:val="32"/>
          <w:lang w:eastAsia="zh-CN"/>
        </w:rPr>
        <w:t>、</w:t>
      </w:r>
      <w:r>
        <w:rPr>
          <w:rFonts w:hint="eastAsia" w:ascii="仿宋" w:hAnsi="仿宋" w:eastAsia="仿宋"/>
          <w:sz w:val="32"/>
          <w:szCs w:val="32"/>
        </w:rPr>
        <w:t>水费、电费、邮电费、差旅费会议费、培训费、公务接待费、劳务费、委托业务费、工会经费、福利费、其他交通费、税金及附加费用、其他商品和服务支出等。</w:t>
      </w:r>
    </w:p>
    <w:p w14:paraId="68FE3C72">
      <w:pPr>
        <w:spacing w:line="600" w:lineRule="exact"/>
        <w:ind w:firstLine="640"/>
        <w:rPr>
          <w:rFonts w:ascii="仿宋" w:hAnsi="仿宋" w:eastAsia="仿宋"/>
          <w:b/>
          <w:sz w:val="32"/>
          <w:szCs w:val="32"/>
        </w:rPr>
      </w:pPr>
    </w:p>
    <w:p w14:paraId="61BEBE8D">
      <w:pPr>
        <w:spacing w:line="600" w:lineRule="exact"/>
        <w:ind w:firstLine="640"/>
        <w:outlineLvl w:val="1"/>
        <w:rPr>
          <w:rFonts w:hint="eastAsia" w:ascii="黑体" w:eastAsia="黑体"/>
          <w:sz w:val="32"/>
          <w:szCs w:val="32"/>
        </w:rPr>
      </w:pPr>
      <w:bookmarkStart w:id="40" w:name="_Toc15396609"/>
      <w:bookmarkStart w:id="41" w:name="_Toc15377215"/>
    </w:p>
    <w:p w14:paraId="6757736D">
      <w:pPr>
        <w:spacing w:line="600" w:lineRule="exact"/>
        <w:ind w:firstLine="640"/>
        <w:outlineLvl w:val="1"/>
        <w:rPr>
          <w:rFonts w:hint="eastAsia" w:ascii="黑体" w:eastAsia="黑体"/>
          <w:sz w:val="32"/>
          <w:szCs w:val="32"/>
        </w:rPr>
      </w:pPr>
    </w:p>
    <w:p w14:paraId="0AD5008E">
      <w:pPr>
        <w:spacing w:line="600" w:lineRule="exact"/>
        <w:ind w:firstLine="640"/>
        <w:outlineLvl w:val="1"/>
        <w:rPr>
          <w:rFonts w:hint="eastAsia" w:ascii="黑体" w:eastAsia="黑体"/>
          <w:sz w:val="32"/>
          <w:szCs w:val="32"/>
        </w:rPr>
      </w:pPr>
    </w:p>
    <w:p w14:paraId="3912ADF8">
      <w:pPr>
        <w:spacing w:line="600" w:lineRule="exact"/>
        <w:ind w:firstLine="640"/>
        <w:outlineLvl w:val="1"/>
        <w:rPr>
          <w:rFonts w:hint="eastAsia" w:ascii="黑体" w:eastAsia="黑体"/>
          <w:sz w:val="32"/>
          <w:szCs w:val="32"/>
        </w:rPr>
      </w:pPr>
    </w:p>
    <w:p w14:paraId="5B0D9802">
      <w:pPr>
        <w:spacing w:line="600" w:lineRule="exact"/>
        <w:ind w:firstLine="640"/>
        <w:outlineLvl w:val="1"/>
        <w:rPr>
          <w:rFonts w:hint="eastAsia" w:ascii="黑体" w:eastAsia="黑体"/>
          <w:sz w:val="32"/>
          <w:szCs w:val="32"/>
        </w:rPr>
      </w:pPr>
    </w:p>
    <w:p w14:paraId="3121BBF1">
      <w:pPr>
        <w:spacing w:line="600" w:lineRule="exact"/>
        <w:ind w:firstLine="640"/>
        <w:outlineLvl w:val="1"/>
        <w:rPr>
          <w:rFonts w:hint="eastAsia" w:ascii="黑体" w:eastAsia="黑体"/>
          <w:sz w:val="32"/>
          <w:szCs w:val="32"/>
        </w:rPr>
      </w:pPr>
    </w:p>
    <w:p w14:paraId="47F71663">
      <w:pPr>
        <w:spacing w:line="600" w:lineRule="exact"/>
        <w:ind w:firstLine="640"/>
        <w:outlineLvl w:val="1"/>
        <w:rPr>
          <w:rStyle w:val="29"/>
          <w:rFonts w:ascii="黑体" w:hAnsi="黑体" w:eastAsia="黑体"/>
          <w:b w:val="0"/>
        </w:rPr>
      </w:pPr>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0"/>
      <w:bookmarkEnd w:id="41"/>
    </w:p>
    <w:p w14:paraId="77B2ABC0">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14:paraId="003EC997">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O</w:t>
      </w:r>
      <w:r>
        <w:rPr>
          <w:rFonts w:hint="eastAsia" w:ascii="仿宋" w:hAnsi="仿宋" w:eastAsia="仿宋"/>
          <w:sz w:val="32"/>
          <w:szCs w:val="32"/>
        </w:rPr>
        <w:t>万元，完成预算</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eastAsia="zh-CN"/>
        </w:rPr>
        <w:t>持平</w:t>
      </w:r>
      <w:r>
        <w:rPr>
          <w:rFonts w:hint="eastAsia" w:ascii="仿宋" w:hAnsi="仿宋" w:eastAsia="仿宋"/>
          <w:sz w:val="32"/>
          <w:szCs w:val="32"/>
        </w:rPr>
        <w:t>。决算数小于预算数的主要原因</w:t>
      </w:r>
      <w:r>
        <w:rPr>
          <w:rFonts w:hint="eastAsia" w:ascii="仿宋" w:hAnsi="仿宋" w:eastAsia="仿宋"/>
          <w:sz w:val="32"/>
          <w:szCs w:val="32"/>
          <w:lang w:eastAsia="zh-CN"/>
        </w:rPr>
        <w:t>是本单位未发生公务用车运行维护费，公务接待费。</w:t>
      </w:r>
    </w:p>
    <w:p w14:paraId="63D7FF1A">
      <w:pPr>
        <w:spacing w:line="600" w:lineRule="exact"/>
        <w:ind w:firstLine="640"/>
        <w:rPr>
          <w:rFonts w:ascii="仿宋" w:hAnsi="仿宋" w:eastAsia="仿宋"/>
          <w:sz w:val="32"/>
          <w:szCs w:val="32"/>
        </w:rPr>
      </w:pPr>
    </w:p>
    <w:p w14:paraId="55746334">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14:paraId="3D43C361">
      <w:pPr>
        <w:spacing w:line="240" w:lineRule="auto"/>
        <w:ind w:firstLine="640"/>
        <w:jc w:val="left"/>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。具体情况如下：</w:t>
      </w:r>
      <w:r>
        <w:rPr>
          <w:rFonts w:hint="eastAsia" w:ascii="仿宋" w:hAnsi="仿宋" w:eastAsia="仿宋"/>
          <w:sz w:val="32"/>
          <w:szCs w:val="32"/>
          <w:lang w:eastAsia="zh-CN"/>
        </w:rPr>
        <w:drawing>
          <wp:inline distT="0" distB="0" distL="114300" distR="114300">
            <wp:extent cx="5270500" cy="2783205"/>
            <wp:effectExtent l="0" t="0" r="0" b="10795"/>
            <wp:docPr id="9" name="图片 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6"/>
                    <pic:cNvPicPr>
                      <a:picLocks noChangeAspect="1"/>
                    </pic:cNvPicPr>
                  </pic:nvPicPr>
                  <pic:blipFill>
                    <a:blip r:embed="rId12"/>
                    <a:stretch>
                      <a:fillRect/>
                    </a:stretch>
                  </pic:blipFill>
                  <pic:spPr>
                    <a:xfrm>
                      <a:off x="0" y="0"/>
                      <a:ext cx="5270500" cy="2783205"/>
                    </a:xfrm>
                    <a:prstGeom prst="rect">
                      <a:avLst/>
                    </a:prstGeom>
                  </pic:spPr>
                </pic:pic>
              </a:graphicData>
            </a:graphic>
          </wp:inline>
        </w:drawing>
      </w:r>
    </w:p>
    <w:p w14:paraId="33B153A5">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无人出境</w:t>
      </w:r>
      <w:r>
        <w:rPr>
          <w:rFonts w:hint="eastAsia" w:ascii="仿宋_GB2312" w:eastAsia="仿宋_GB2312"/>
          <w:sz w:val="32"/>
          <w:szCs w:val="32"/>
        </w:rPr>
        <w:t>。</w:t>
      </w:r>
    </w:p>
    <w:p w14:paraId="7E99DC7E">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14:paraId="3D55FBE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无公务接待。</w:t>
      </w:r>
    </w:p>
    <w:p w14:paraId="5343CE48">
      <w:pPr>
        <w:spacing w:line="600" w:lineRule="exact"/>
        <w:ind w:firstLine="640" w:firstLineChars="200"/>
        <w:rPr>
          <w:rFonts w:ascii="仿宋_GB2312" w:eastAsia="仿宋_GB2312"/>
          <w:sz w:val="32"/>
          <w:szCs w:val="32"/>
        </w:rPr>
      </w:pPr>
      <w:r>
        <w:rPr>
          <w:rFonts w:hint="eastAsia" w:ascii="仿宋_GB2312" w:eastAsia="仿宋_GB2312"/>
          <w:sz w:val="32"/>
          <w:szCs w:val="32"/>
        </w:rPr>
        <w:t>。</w:t>
      </w:r>
    </w:p>
    <w:p w14:paraId="7A68FF34">
      <w:pPr>
        <w:spacing w:line="600" w:lineRule="exact"/>
        <w:ind w:firstLine="640"/>
        <w:outlineLvl w:val="1"/>
        <w:rPr>
          <w:rFonts w:ascii="黑体" w:eastAsia="黑体"/>
          <w:sz w:val="32"/>
          <w:szCs w:val="32"/>
        </w:rPr>
      </w:pPr>
      <w:bookmarkStart w:id="44" w:name="_Toc15377218"/>
      <w:bookmarkStart w:id="45" w:name="_Toc15396610"/>
    </w:p>
    <w:p w14:paraId="4E7801A0">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4"/>
      <w:bookmarkEnd w:id="45"/>
    </w:p>
    <w:p w14:paraId="0A02F3CA">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4DC6CF4">
      <w:pPr>
        <w:spacing w:line="600" w:lineRule="exact"/>
        <w:ind w:firstLine="640"/>
        <w:rPr>
          <w:rFonts w:ascii="仿宋_GB2312" w:eastAsia="仿宋_GB2312"/>
          <w:sz w:val="32"/>
          <w:szCs w:val="32"/>
        </w:rPr>
      </w:pPr>
    </w:p>
    <w:p w14:paraId="7EA9168A">
      <w:pPr>
        <w:numPr>
          <w:ilvl w:val="0"/>
          <w:numId w:val="3"/>
        </w:numPr>
        <w:spacing w:line="600" w:lineRule="exact"/>
        <w:ind w:firstLine="640"/>
        <w:outlineLvl w:val="1"/>
        <w:rPr>
          <w:rStyle w:val="29"/>
          <w:rFonts w:ascii="黑体" w:hAnsi="黑体" w:eastAsia="黑体"/>
          <w:b w:val="0"/>
        </w:rPr>
      </w:pPr>
      <w:bookmarkStart w:id="46" w:name="_Toc15396611"/>
      <w:bookmarkStart w:id="47" w:name="_Toc15377219"/>
      <w:r>
        <w:rPr>
          <w:rStyle w:val="29"/>
          <w:rFonts w:hint="eastAsia" w:ascii="黑体" w:hAnsi="黑体" w:eastAsia="黑体"/>
          <w:b w:val="0"/>
        </w:rPr>
        <w:t>国有资本经营预算支出决算情况说明</w:t>
      </w:r>
      <w:bookmarkEnd w:id="46"/>
      <w:bookmarkEnd w:id="47"/>
    </w:p>
    <w:p w14:paraId="0336FF0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46DD3E8">
      <w:pPr>
        <w:spacing w:line="580" w:lineRule="exact"/>
        <w:jc w:val="center"/>
        <w:rPr>
          <w:rFonts w:ascii="方正小标宋简体" w:hAnsi="方正小标宋简体" w:eastAsia="方正小标宋简体" w:cs="方正小标宋简体"/>
          <w:sz w:val="44"/>
          <w:szCs w:val="44"/>
        </w:rPr>
      </w:pPr>
    </w:p>
    <w:p w14:paraId="3AFB7B41">
      <w:pPr>
        <w:numPr>
          <w:ilvl w:val="0"/>
          <w:numId w:val="3"/>
        </w:numPr>
        <w:spacing w:line="600" w:lineRule="exact"/>
        <w:ind w:firstLine="640"/>
        <w:outlineLvl w:val="1"/>
        <w:rPr>
          <w:rStyle w:val="29"/>
          <w:rFonts w:ascii="黑体" w:hAnsi="黑体" w:eastAsia="黑体"/>
          <w:b w:val="0"/>
        </w:rPr>
      </w:pPr>
      <w:bookmarkStart w:id="48" w:name="_Toc15396612"/>
      <w:bookmarkStart w:id="49" w:name="_Toc15377221"/>
      <w:r>
        <w:rPr>
          <w:rStyle w:val="29"/>
          <w:rFonts w:hint="eastAsia" w:ascii="黑体" w:hAnsi="黑体" w:eastAsia="黑体"/>
          <w:b w:val="0"/>
        </w:rPr>
        <w:t>其他重要事项的情况说明</w:t>
      </w:r>
      <w:bookmarkEnd w:id="48"/>
      <w:bookmarkEnd w:id="49"/>
    </w:p>
    <w:p w14:paraId="31E989AF">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6AE17F0E">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w:t>
      </w:r>
      <w:r>
        <w:rPr>
          <w:rFonts w:hint="eastAsia" w:ascii="仿宋_GB2312" w:eastAsia="仿宋_GB2312"/>
          <w:sz w:val="32"/>
          <w:szCs w:val="32"/>
          <w:lang w:val="en-US" w:eastAsia="zh-CN"/>
        </w:rPr>
        <w:t>21.95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54.14</w:t>
      </w:r>
      <w:r>
        <w:rPr>
          <w:rFonts w:hint="eastAsia" w:ascii="仿宋_GB2312" w:eastAsia="仿宋_GB2312"/>
          <w:sz w:val="32"/>
          <w:szCs w:val="32"/>
        </w:rPr>
        <w:t>万元，下降</w:t>
      </w:r>
      <w:r>
        <w:rPr>
          <w:rFonts w:hint="eastAsia" w:ascii="仿宋_GB2312" w:eastAsia="仿宋_GB2312"/>
          <w:sz w:val="32"/>
          <w:szCs w:val="32"/>
          <w:lang w:val="en-US" w:eastAsia="zh-CN"/>
        </w:rPr>
        <w:t>54.14</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是机构改革移民后期扶持机构划转至水利局人员减少经费减少</w:t>
      </w:r>
      <w:r>
        <w:rPr>
          <w:rFonts w:hint="eastAsia" w:ascii="仿宋_GB2312" w:eastAsia="仿宋_GB2312"/>
          <w:sz w:val="32"/>
          <w:szCs w:val="32"/>
        </w:rPr>
        <w:t>。</w:t>
      </w:r>
    </w:p>
    <w:p w14:paraId="1B29CF2D">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7FEBCA4F">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乡村振兴局</w:t>
      </w:r>
      <w:r>
        <w:rPr>
          <w:rFonts w:hint="eastAsia" w:ascii="仿宋_GB2312" w:eastAsia="仿宋_GB2312"/>
          <w:sz w:val="32"/>
          <w:szCs w:val="32"/>
        </w:rPr>
        <w:t>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F81621F">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2EBFBAA">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0C859C07">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乡村振兴局</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386A94F8">
      <w:pPr>
        <w:autoSpaceDE w:val="0"/>
        <w:autoSpaceDN w:val="0"/>
        <w:adjustRightInd w:val="0"/>
        <w:spacing w:line="600" w:lineRule="exact"/>
        <w:ind w:firstLine="640" w:firstLineChars="200"/>
        <w:jc w:val="left"/>
        <w:rPr>
          <w:rFonts w:ascii="仿宋_GB2312" w:eastAsia="仿宋_GB2312"/>
          <w:sz w:val="32"/>
          <w:szCs w:val="32"/>
        </w:rPr>
      </w:pPr>
    </w:p>
    <w:p w14:paraId="01344C1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147F5D3">
      <w:pPr>
        <w:spacing w:line="640" w:lineRule="exact"/>
        <w:jc w:val="center"/>
        <w:rPr>
          <w:rFonts w:ascii="仿宋_GB2312" w:hAnsi="仿宋_GB2312" w:eastAsia="仿宋_GB2312" w:cs="仿宋_GB2312"/>
          <w:color w:val="000000"/>
          <w:sz w:val="32"/>
          <w:szCs w:val="32"/>
        </w:rPr>
      </w:pPr>
      <w:bookmarkStart w:id="53" w:name="_Toc15396613"/>
      <w:bookmarkStart w:id="54" w:name="_Toc15377225"/>
      <w:r>
        <w:rPr>
          <w:rFonts w:hint="eastAsia" w:ascii="仿宋_GB2312" w:hAnsi="仿宋_GB2312" w:eastAsia="仿宋_GB2312" w:cs="仿宋_GB2312"/>
          <w:sz w:val="32"/>
          <w:szCs w:val="32"/>
        </w:rPr>
        <w:t>根据预算绩效管理要求，本单位在2022年度预算编制阶段，组织对道路改扩建项目、人饮安全项目、</w:t>
      </w:r>
      <w:r>
        <w:rPr>
          <w:rFonts w:hint="eastAsia" w:ascii="仿宋_GB2312" w:hAnsi="仿宋_GB2312" w:eastAsia="仿宋_GB2312" w:cs="仿宋_GB2312"/>
          <w:sz w:val="32"/>
          <w:szCs w:val="32"/>
          <w:lang w:val="en-US" w:eastAsia="zh-CN"/>
        </w:rPr>
        <w:t>产业道路硬化项目</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特色产业培育</w:t>
      </w:r>
      <w:r>
        <w:rPr>
          <w:rFonts w:hint="eastAsia" w:ascii="仿宋_GB2312" w:hAnsi="仿宋_GB2312" w:eastAsia="仿宋_GB2312" w:cs="仿宋_GB2312"/>
          <w:sz w:val="32"/>
          <w:szCs w:val="32"/>
        </w:rPr>
        <w:t>、村集体经济发展项目等</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个项目开展绩效监控。组织对2022年度部门所有预算资金全面开展绩效自评，形成盐边县农业农村局部门整体绩效自评报告、道路改扩建项目、人饮安全项目、</w:t>
      </w:r>
      <w:r>
        <w:rPr>
          <w:rFonts w:hint="eastAsia" w:ascii="仿宋_GB2312" w:hAnsi="仿宋_GB2312" w:eastAsia="仿宋_GB2312" w:cs="仿宋_GB2312"/>
          <w:sz w:val="32"/>
          <w:szCs w:val="32"/>
          <w:lang w:val="en-US" w:eastAsia="zh-CN"/>
        </w:rPr>
        <w:t>产业道路硬化项目</w:t>
      </w:r>
      <w:r>
        <w:rPr>
          <w:rFonts w:hint="eastAsia" w:ascii="仿宋_GB2312" w:hAnsi="仿宋_GB2312" w:eastAsia="仿宋_GB2312" w:cs="仿宋_GB2312"/>
          <w:sz w:val="32"/>
          <w:szCs w:val="32"/>
        </w:rPr>
        <w:t>、特色产业培育、村集体经济发展项目等专项预算项目绩效自评报告，其中，盐边县</w:t>
      </w:r>
      <w:r>
        <w:rPr>
          <w:rFonts w:hint="eastAsia" w:ascii="仿宋_GB2312" w:hAnsi="仿宋_GB2312" w:eastAsia="仿宋_GB2312" w:cs="仿宋_GB2312"/>
          <w:sz w:val="32"/>
          <w:szCs w:val="32"/>
          <w:lang w:eastAsia="zh-CN"/>
        </w:rPr>
        <w:t>乡村振兴局</w:t>
      </w:r>
      <w:r>
        <w:rPr>
          <w:rFonts w:hint="eastAsia" w:ascii="仿宋_GB2312" w:hAnsi="仿宋_GB2312" w:eastAsia="仿宋_GB2312" w:cs="仿宋_GB2312"/>
          <w:sz w:val="32"/>
          <w:szCs w:val="32"/>
        </w:rPr>
        <w:t>部门整体绩效自评得分为</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color w:val="000000"/>
          <w:sz w:val="32"/>
          <w:szCs w:val="32"/>
        </w:rPr>
        <w:t>2022年我局资金运行维护决策正确，资金管理规范，政策执行有力，有效发挥了</w:t>
      </w:r>
      <w:r>
        <w:rPr>
          <w:rFonts w:hint="eastAsia" w:ascii="仿宋_GB2312" w:hAnsi="仿宋_GB2312" w:eastAsia="仿宋_GB2312" w:cs="仿宋_GB2312"/>
          <w:color w:val="000000"/>
          <w:sz w:val="32"/>
          <w:szCs w:val="32"/>
          <w:lang w:eastAsia="zh-CN"/>
        </w:rPr>
        <w:t>财政资金使用</w:t>
      </w:r>
      <w:r>
        <w:rPr>
          <w:rFonts w:hint="eastAsia" w:ascii="仿宋_GB2312" w:hAnsi="仿宋_GB2312" w:eastAsia="仿宋_GB2312" w:cs="仿宋_GB2312"/>
          <w:color w:val="000000"/>
          <w:sz w:val="32"/>
          <w:szCs w:val="32"/>
        </w:rPr>
        <w:t>效率。在人员经费支出、公共支出严格执行各项制度；在项目经费的使用上，在保证各项任务顺利完成的同时，严格落实厉行节约的原则；</w:t>
      </w:r>
      <w:r>
        <w:rPr>
          <w:rFonts w:hint="eastAsia" w:ascii="仿宋_GB2312" w:hAnsi="仿宋_GB2312" w:eastAsia="仿宋_GB2312" w:cs="仿宋_GB2312"/>
          <w:color w:val="000000"/>
          <w:sz w:val="32"/>
          <w:szCs w:val="32"/>
          <w:lang w:eastAsia="zh-CN"/>
        </w:rPr>
        <w:t>“三公”经费</w:t>
      </w:r>
      <w:r>
        <w:rPr>
          <w:rFonts w:hint="eastAsia" w:ascii="仿宋_GB2312" w:hAnsi="仿宋_GB2312" w:eastAsia="仿宋_GB2312" w:cs="仿宋_GB2312"/>
          <w:color w:val="000000"/>
          <w:sz w:val="32"/>
          <w:szCs w:val="32"/>
        </w:rPr>
        <w:t>的使用严格控制在预算申报的范围内；畜禽产业绿</w:t>
      </w:r>
      <w:r>
        <w:rPr>
          <w:rFonts w:hint="eastAsia" w:ascii="仿宋_GB2312" w:hAnsi="仿宋_GB2312" w:eastAsia="仿宋_GB2312" w:cs="仿宋_GB2312"/>
          <w:color w:val="000000"/>
          <w:sz w:val="32"/>
          <w:szCs w:val="32"/>
          <w:lang w:eastAsia="zh-CN"/>
        </w:rPr>
        <w:t>色发</w:t>
      </w:r>
      <w:r>
        <w:rPr>
          <w:rFonts w:hint="eastAsia" w:ascii="仿宋_GB2312" w:hAnsi="仿宋_GB2312" w:eastAsia="仿宋_GB2312" w:cs="仿宋_GB2312"/>
          <w:color w:val="000000"/>
          <w:sz w:val="32"/>
          <w:szCs w:val="32"/>
        </w:rPr>
        <w:t>展</w:t>
      </w:r>
    </w:p>
    <w:p w14:paraId="20FE0C51">
      <w:pPr>
        <w:pStyle w:val="5"/>
        <w:rPr>
          <w:rFonts w:hint="default" w:eastAsia="方正仿宋_GBK"/>
          <w:sz w:val="32"/>
          <w:szCs w:val="32"/>
        </w:rPr>
      </w:pPr>
      <w:r>
        <w:rPr>
          <w:rFonts w:hint="eastAsia" w:ascii="仿宋_GB2312" w:hAnsi="仿宋_GB2312" w:eastAsia="仿宋_GB2312" w:cs="仿宋_GB2312"/>
          <w:color w:val="000000"/>
          <w:sz w:val="32"/>
          <w:szCs w:val="32"/>
        </w:rPr>
        <w:t>项目专项预算项目绩效自评得分为70</w:t>
      </w:r>
      <w:r>
        <w:rPr>
          <w:rFonts w:hint="eastAsia" w:ascii="仿宋_GB2312" w:hAnsi="仿宋_GB2312" w:eastAsia="仿宋_GB2312" w:cs="仿宋_GB2312"/>
          <w:sz w:val="32"/>
          <w:szCs w:val="32"/>
        </w:rPr>
        <w:t>分，绩效自评综述：</w:t>
      </w:r>
      <w:r>
        <w:rPr>
          <w:rFonts w:eastAsia="方正仿宋_GBK"/>
          <w:sz w:val="32"/>
          <w:szCs w:val="32"/>
        </w:rPr>
        <w:t>项目建成后，</w:t>
      </w:r>
      <w:r>
        <w:rPr>
          <w:rFonts w:hint="default" w:eastAsia="方正仿宋_GBK"/>
          <w:sz w:val="32"/>
          <w:szCs w:val="32"/>
        </w:rPr>
        <w:t>财政</w:t>
      </w:r>
      <w:r>
        <w:rPr>
          <w:rFonts w:hint="default" w:eastAsia="方正仿宋_GBK"/>
          <w:sz w:val="32"/>
          <w:szCs w:val="32"/>
          <w:lang w:val="en-US" w:eastAsia="zh-CN"/>
        </w:rPr>
        <w:t>衔接</w:t>
      </w:r>
      <w:r>
        <w:rPr>
          <w:rFonts w:hint="default" w:eastAsia="方正仿宋_GBK"/>
          <w:sz w:val="32"/>
          <w:szCs w:val="32"/>
        </w:rPr>
        <w:t>资金绩效考评工作的深入开展，我县财政</w:t>
      </w:r>
      <w:r>
        <w:rPr>
          <w:rFonts w:hint="default" w:eastAsia="方正仿宋_GBK"/>
          <w:sz w:val="32"/>
          <w:szCs w:val="32"/>
          <w:lang w:val="en-US" w:eastAsia="zh-CN"/>
        </w:rPr>
        <w:t>衔接</w:t>
      </w:r>
      <w:r>
        <w:rPr>
          <w:rFonts w:hint="default" w:eastAsia="方正仿宋_GBK"/>
          <w:sz w:val="32"/>
          <w:szCs w:val="32"/>
        </w:rPr>
        <w:t>资金管理使用绩效理念不断强化，财政</w:t>
      </w:r>
      <w:r>
        <w:rPr>
          <w:rFonts w:hint="default" w:eastAsia="方正仿宋_GBK"/>
          <w:sz w:val="32"/>
          <w:szCs w:val="32"/>
          <w:lang w:val="en-US" w:eastAsia="zh-CN"/>
        </w:rPr>
        <w:t>衔接</w:t>
      </w:r>
      <w:r>
        <w:rPr>
          <w:rFonts w:hint="default" w:eastAsia="方正仿宋_GBK"/>
          <w:sz w:val="32"/>
          <w:szCs w:val="32"/>
        </w:rPr>
        <w:t>资金绩效评价机制不断完善，财政</w:t>
      </w:r>
      <w:r>
        <w:rPr>
          <w:rFonts w:hint="default" w:eastAsia="方正仿宋_GBK"/>
          <w:sz w:val="32"/>
          <w:szCs w:val="32"/>
          <w:lang w:val="en-US" w:eastAsia="zh-CN"/>
        </w:rPr>
        <w:t>衔接</w:t>
      </w:r>
      <w:r>
        <w:rPr>
          <w:rFonts w:hint="default" w:eastAsia="方正仿宋_GBK"/>
          <w:sz w:val="32"/>
          <w:szCs w:val="32"/>
        </w:rPr>
        <w:t>资金管理使用机制模式</w:t>
      </w:r>
      <w:r>
        <w:rPr>
          <w:rFonts w:hint="eastAsia" w:eastAsia="方正仿宋_GBK"/>
          <w:sz w:val="32"/>
          <w:szCs w:val="32"/>
        </w:rPr>
        <w:t>不断创新，财政</w:t>
      </w:r>
      <w:r>
        <w:rPr>
          <w:rFonts w:hint="eastAsia" w:eastAsia="方正仿宋_GBK"/>
          <w:sz w:val="32"/>
          <w:szCs w:val="32"/>
          <w:lang w:val="en-US" w:eastAsia="zh-CN"/>
        </w:rPr>
        <w:t>衔接</w:t>
      </w:r>
      <w:r>
        <w:rPr>
          <w:rFonts w:hint="eastAsia" w:eastAsia="方正仿宋_GBK"/>
          <w:sz w:val="32"/>
          <w:szCs w:val="32"/>
        </w:rPr>
        <w:t>资金使用效益不断提高，</w:t>
      </w:r>
      <w:r>
        <w:rPr>
          <w:rFonts w:hint="eastAsia" w:eastAsia="方正仿宋_GBK"/>
          <w:sz w:val="32"/>
          <w:szCs w:val="32"/>
          <w:lang w:val="en-US" w:eastAsia="zh-CN"/>
        </w:rPr>
        <w:t>为巩固拓展脱贫攻坚成果同乡村振兴有效衔接</w:t>
      </w:r>
      <w:r>
        <w:rPr>
          <w:rFonts w:hint="eastAsia" w:eastAsia="方正仿宋_GBK"/>
          <w:sz w:val="32"/>
          <w:szCs w:val="32"/>
        </w:rPr>
        <w:t>起到了重要的推动作用。县乡村振兴局、县财政局及时召开会议对此项工作进行了安排部署，编制了财政</w:t>
      </w:r>
      <w:r>
        <w:rPr>
          <w:rFonts w:hint="eastAsia" w:eastAsia="方正仿宋_GBK"/>
          <w:sz w:val="32"/>
          <w:szCs w:val="32"/>
          <w:lang w:val="en-US" w:eastAsia="zh-CN"/>
        </w:rPr>
        <w:t>衔接</w:t>
      </w:r>
      <w:r>
        <w:rPr>
          <w:rFonts w:hint="eastAsia" w:eastAsia="方正仿宋_GBK"/>
          <w:sz w:val="32"/>
          <w:szCs w:val="32"/>
        </w:rPr>
        <w:t>资金项目资金绩效评价实施方案，联合抽调骨干力量，成立了由主要领导任组长、分管领导任副组长，相关业务股室人员为成员的财政</w:t>
      </w:r>
      <w:r>
        <w:rPr>
          <w:rFonts w:hint="eastAsia" w:eastAsia="方正仿宋_GBK"/>
          <w:sz w:val="32"/>
          <w:szCs w:val="32"/>
          <w:lang w:val="en-US" w:eastAsia="zh-CN"/>
        </w:rPr>
        <w:t>衔接</w:t>
      </w:r>
      <w:r>
        <w:rPr>
          <w:rFonts w:hint="eastAsia" w:eastAsia="方正仿宋_GBK"/>
          <w:sz w:val="32"/>
          <w:szCs w:val="32"/>
        </w:rPr>
        <w:t>资金项目资金绩效评价</w:t>
      </w:r>
      <w:r>
        <w:rPr>
          <w:rFonts w:hint="eastAsia" w:eastAsia="方正仿宋_GBK"/>
          <w:sz w:val="32"/>
          <w:szCs w:val="32"/>
          <w:lang w:val="en-US" w:eastAsia="zh-CN"/>
        </w:rPr>
        <w:t>工作专班</w:t>
      </w:r>
      <w:r>
        <w:rPr>
          <w:rFonts w:hint="eastAsia" w:eastAsia="方正仿宋_GBK"/>
          <w:sz w:val="32"/>
          <w:szCs w:val="32"/>
        </w:rPr>
        <w:t>，严格按照有关文件要求，通过深入项目实施乡（镇）、县级有关部门，实地考察验证，通过查账目、查档案、实地</w:t>
      </w:r>
      <w:r>
        <w:rPr>
          <w:rFonts w:hint="eastAsia" w:eastAsia="方正仿宋_GBK"/>
          <w:sz w:val="32"/>
          <w:szCs w:val="32"/>
          <w:lang w:val="en-US" w:eastAsia="zh-CN"/>
        </w:rPr>
        <w:t>核查</w:t>
      </w:r>
      <w:r>
        <w:rPr>
          <w:rFonts w:hint="eastAsia" w:eastAsia="方正仿宋_GBK"/>
          <w:sz w:val="32"/>
          <w:szCs w:val="32"/>
        </w:rPr>
        <w:t>验证、入户核实等方式，对我县202</w:t>
      </w:r>
      <w:r>
        <w:rPr>
          <w:rFonts w:hint="eastAsia" w:eastAsia="方正仿宋_GBK"/>
          <w:sz w:val="32"/>
          <w:szCs w:val="32"/>
          <w:lang w:val="en-US" w:eastAsia="zh-CN"/>
        </w:rPr>
        <w:t>2</w:t>
      </w:r>
      <w:r>
        <w:rPr>
          <w:rFonts w:hint="eastAsia" w:eastAsia="方正仿宋_GBK"/>
          <w:sz w:val="32"/>
          <w:szCs w:val="32"/>
        </w:rPr>
        <w:t>年度财政</w:t>
      </w:r>
      <w:r>
        <w:rPr>
          <w:rFonts w:hint="eastAsia" w:eastAsia="方正仿宋_GBK"/>
          <w:sz w:val="32"/>
          <w:szCs w:val="32"/>
          <w:lang w:val="en-US" w:eastAsia="zh-CN"/>
        </w:rPr>
        <w:t>衔接</w:t>
      </w:r>
      <w:r>
        <w:rPr>
          <w:rFonts w:hint="eastAsia" w:eastAsia="方正仿宋_GBK"/>
          <w:sz w:val="32"/>
          <w:szCs w:val="32"/>
        </w:rPr>
        <w:t>资金安排、使用、管理情况以及成效进行全方位自查和自评并形成了自评报告</w:t>
      </w:r>
      <w:r>
        <w:rPr>
          <w:rFonts w:hint="default" w:eastAsia="方正仿宋_GBK"/>
          <w:sz w:val="32"/>
          <w:szCs w:val="32"/>
        </w:rPr>
        <w:t>。</w:t>
      </w:r>
    </w:p>
    <w:p w14:paraId="12BDE116">
      <w:pPr>
        <w:pStyle w:val="5"/>
        <w:rPr>
          <w:rFonts w:eastAsia="仿宋_GB2312"/>
          <w:bCs/>
          <w:color w:val="000000"/>
          <w:sz w:val="32"/>
          <w:szCs w:val="32"/>
        </w:rPr>
      </w:pPr>
    </w:p>
    <w:p w14:paraId="0D4188EC">
      <w:pPr>
        <w:pStyle w:val="5"/>
        <w:rPr>
          <w:rFonts w:eastAsia="仿宋_GB2312"/>
          <w:bCs/>
          <w:color w:val="000000"/>
          <w:sz w:val="32"/>
          <w:szCs w:val="32"/>
        </w:rPr>
      </w:pPr>
    </w:p>
    <w:p w14:paraId="75855A2A">
      <w:pPr>
        <w:pStyle w:val="5"/>
        <w:rPr>
          <w:rFonts w:eastAsia="仿宋_GB2312"/>
          <w:bCs/>
          <w:color w:val="000000"/>
          <w:sz w:val="32"/>
          <w:szCs w:val="32"/>
        </w:rPr>
      </w:pPr>
    </w:p>
    <w:p w14:paraId="57C9090D">
      <w:pPr>
        <w:pStyle w:val="5"/>
        <w:rPr>
          <w:rFonts w:eastAsia="仿宋_GB2312"/>
          <w:bCs/>
          <w:color w:val="000000"/>
          <w:sz w:val="32"/>
          <w:szCs w:val="32"/>
        </w:rPr>
      </w:pPr>
    </w:p>
    <w:p w14:paraId="152DBAFE">
      <w:pPr>
        <w:numPr>
          <w:ilvl w:val="0"/>
          <w:numId w:val="4"/>
        </w:numPr>
        <w:spacing w:line="600" w:lineRule="exact"/>
        <w:ind w:firstLine="660" w:firstLineChars="150"/>
        <w:jc w:val="center"/>
        <w:outlineLvl w:val="0"/>
        <w:rPr>
          <w:rStyle w:val="28"/>
          <w:rFonts w:ascii="黑体" w:hAnsi="黑体" w:eastAsia="黑体"/>
          <w:b w:val="0"/>
        </w:rPr>
      </w:pPr>
      <w:r>
        <w:rPr>
          <w:rFonts w:hint="eastAsia" w:ascii="黑体" w:hAnsi="黑体" w:eastAsia="黑体"/>
          <w:sz w:val="44"/>
          <w:szCs w:val="44"/>
        </w:rPr>
        <w:t>名</w:t>
      </w:r>
      <w:r>
        <w:rPr>
          <w:rStyle w:val="28"/>
          <w:rFonts w:hint="eastAsia" w:ascii="黑体" w:hAnsi="黑体" w:eastAsia="黑体"/>
          <w:b w:val="0"/>
        </w:rPr>
        <w:t>词解释</w:t>
      </w:r>
      <w:bookmarkEnd w:id="53"/>
      <w:bookmarkEnd w:id="54"/>
    </w:p>
    <w:p w14:paraId="0FB0811D">
      <w:pPr>
        <w:spacing w:line="600" w:lineRule="exact"/>
        <w:jc w:val="left"/>
        <w:rPr>
          <w:rFonts w:ascii="宋体"/>
          <w:b/>
          <w:sz w:val="44"/>
          <w:szCs w:val="44"/>
        </w:rPr>
      </w:pPr>
    </w:p>
    <w:p w14:paraId="113C753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6A37FB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63B0EF6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39BCF0E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p>
    <w:p w14:paraId="4342BA0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14:paraId="72FEBF5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BCB7B2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4C51FE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5DE80EE">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9. 社会保障和就业支出（208类）行政事业单位养老支出（05款）行政单位离退休（01项）：指行政单位（包括实行公务员管理的事业单位）开支的离退休经费。</w:t>
      </w:r>
    </w:p>
    <w:p w14:paraId="019DF50F">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10.社会保障和就业支出（208类）行政事业单位养老支出（05款）事业单位离退休（02项）：指事业单位开支的离退休经费。       </w:t>
      </w:r>
    </w:p>
    <w:p w14:paraId="56929D4F">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11.社会保障和就业支出（208类）行政事业单位养老支出（05款）机关事业单位基本养老保险缴费支出（05项）：指机关事业单位实施养老保险制度由单位缴纳的基本养老保险费支出。</w:t>
      </w:r>
    </w:p>
    <w:p w14:paraId="4F8504C4">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12. 卫生健康支出（210类）行政事业单位医疗（11款）行政单位医疗（01项目）：反映财政部门安排的行政单位基本医疗保险缴费未参加医疗保险的行政单位的公费医疗经费，按国家规定享受离休人员、红军老战士待遇人员的医疗经费。</w:t>
      </w:r>
    </w:p>
    <w:p w14:paraId="75B2EC34">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卫生健康支出（210类）行政事业单位医疗（11款）事业单位医疗（02项目）：反映财政部门安排的事业单位基本医疗保险缴费未参加医疗保险的事业单位的公费医疗经费，按国家规定享受离休待遇人员的医疗经费。</w:t>
      </w:r>
    </w:p>
    <w:p w14:paraId="38C9AE30">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14.卫生健康支出（210类）行政事业单位医疗（11款）公务员医疗补助（03项目）：反映财政部门安排的公务员医疗补助经费。            </w:t>
      </w:r>
    </w:p>
    <w:p w14:paraId="0B4AD199">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15.卫生健康支出（210类）行政事业单位医疗（11款）其他行政事业单位医疗支出（99项）：反映行政事业单位医疗方面支出。</w:t>
      </w:r>
    </w:p>
    <w:p w14:paraId="21B574BE">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16.农林水支出（213类）巩固拓展脱贫攻坚成果衔接乡村振兴（05款）行政运行（01项目）：反映扶贫事业基本支出，不包括后勤服务中心、医疗室等附属事业单位的支出。</w:t>
      </w:r>
    </w:p>
    <w:p w14:paraId="5FE91F61">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17.农林水支出（213类）巩固拓展脱贫攻坚成果衔接乡村振兴（05款）扶贫事业机构（50项）：反映扶贫事业基本支出。</w:t>
      </w:r>
    </w:p>
    <w:p w14:paraId="6E7B39D3">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18.农林水支出（213类）巩固拓展脱贫攻坚成果衔接乡村振兴（05款）其他巩固拓展脱贫攻坚成果衔接乡村振兴支出（99项）反映：巩固脱贫攻坚成果攻坚成果与乡村振兴有效衔接方面项目支出，包括基础设施建设、奖励金、生活补助等。</w:t>
      </w:r>
    </w:p>
    <w:p w14:paraId="1BC7242D">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19.农林水支出（213类）农村综合改革（07款）对村集体经济组织的补助（06项），主要用于：集体经济发展方面项目支出，包括基础设施建设、奖励金、生活补助等。</w:t>
      </w:r>
    </w:p>
    <w:p w14:paraId="06BB351A">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20.住房保障支出（221类）住房改革支出（02款）住房公积金（01项目）：反映行政事业单位按人力资源和社会保障部、财政部规定的基本工资和津贴补贴以及规定比例为职工缴纳的住房公积金。</w:t>
      </w:r>
    </w:p>
    <w:p w14:paraId="21D5FB60">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88813DE">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73B08E36">
      <w:pPr>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77223BFA">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9A1F66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F80C06">
      <w:pPr>
        <w:spacing w:line="600" w:lineRule="exact"/>
        <w:jc w:val="center"/>
        <w:outlineLvl w:val="0"/>
        <w:rPr>
          <w:rStyle w:val="28"/>
          <w:rFonts w:ascii="黑体" w:hAnsi="黑体" w:eastAsia="黑体"/>
          <w:b w:val="0"/>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8"/>
          <w:rFonts w:hint="eastAsia" w:ascii="黑体" w:hAnsi="黑体" w:eastAsia="黑体"/>
          <w:b w:val="0"/>
        </w:rPr>
        <w:t>四部分 附件</w:t>
      </w:r>
      <w:bookmarkEnd w:id="56"/>
    </w:p>
    <w:p w14:paraId="49A65F6B">
      <w:pPr>
        <w:widowControl/>
        <w:spacing w:line="560" w:lineRule="exact"/>
        <w:contextualSpacing/>
        <w:rPr>
          <w:rFonts w:ascii="宋体" w:hAnsi="宋体"/>
          <w:b/>
          <w:sz w:val="32"/>
          <w:szCs w:val="32"/>
          <w:shd w:val="clear" w:color="auto" w:fill="FFFFFF"/>
        </w:rPr>
      </w:pPr>
      <w:r>
        <w:rPr>
          <w:rFonts w:hint="eastAsia" w:ascii="宋体" w:hAnsi="宋体"/>
          <w:b/>
          <w:sz w:val="32"/>
          <w:szCs w:val="32"/>
          <w:shd w:val="clear" w:color="auto" w:fill="FFFFFF"/>
        </w:rPr>
        <w:t>附件1</w:t>
      </w:r>
    </w:p>
    <w:p w14:paraId="1337B8E5">
      <w:pPr>
        <w:widowControl/>
        <w:spacing w:line="560" w:lineRule="exact"/>
        <w:contextualSpacing/>
        <w:jc w:val="center"/>
        <w:rPr>
          <w:rFonts w:hint="eastAsia" w:ascii="楷体_GB2312" w:hAnsi="楷体_GB2312" w:eastAsia="楷体_GB2312" w:cs="楷体_GB2312"/>
          <w:b/>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color w:val="000000" w:themeColor="text1"/>
          <w:sz w:val="32"/>
          <w:szCs w:val="32"/>
          <w:shd w:val="clear" w:color="auto" w:fill="FFFFFF"/>
          <w14:textFill>
            <w14:solidFill>
              <w14:schemeClr w14:val="tx1"/>
            </w14:solidFill>
          </w14:textFill>
        </w:rPr>
        <w:t>2023年部门整体绩效评价报告范本</w:t>
      </w:r>
    </w:p>
    <w:p w14:paraId="1105FA53">
      <w:pPr>
        <w:widowControl/>
        <w:adjustRightInd w:val="0"/>
        <w:snapToGrid w:val="0"/>
        <w:spacing w:line="560" w:lineRule="exact"/>
        <w:ind w:firstLine="640" w:firstLineChars="200"/>
        <w:contextualSpacing/>
        <w:jc w:val="left"/>
        <w:rPr>
          <w:rFonts w:hint="eastAsia" w:ascii="楷体_GB2312" w:hAnsi="楷体_GB2312" w:eastAsia="楷体_GB2312" w:cs="楷体_GB2312"/>
          <w:kern w:val="0"/>
          <w:sz w:val="32"/>
          <w:szCs w:val="32"/>
          <w:shd w:val="clear" w:color="auto" w:fill="FFFFFF"/>
        </w:rPr>
      </w:pPr>
    </w:p>
    <w:p w14:paraId="77B96982">
      <w:pPr>
        <w:widowControl/>
        <w:numPr>
          <w:ilvl w:val="0"/>
          <w:numId w:val="5"/>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部门（单位）基本情况</w:t>
      </w:r>
    </w:p>
    <w:p w14:paraId="74CBA504">
      <w:pPr>
        <w:widowControl/>
        <w:numPr>
          <w:ilvl w:val="0"/>
          <w:numId w:val="6"/>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14:paraId="3B5ACB67">
      <w:pPr>
        <w:widowControl/>
        <w:adjustRightInd w:val="0"/>
        <w:snapToGrid w:val="0"/>
        <w:spacing w:line="560" w:lineRule="exact"/>
        <w:ind w:left="640"/>
        <w:jc w:val="left"/>
        <w:rPr>
          <w:rStyle w:val="36"/>
          <w:rFonts w:hint="eastAsia" w:ascii="仿宋" w:hAnsi="仿宋" w:eastAsia="仿宋" w:cs="仿宋"/>
          <w:bCs/>
          <w:sz w:val="32"/>
          <w:szCs w:val="32"/>
        </w:rPr>
      </w:pPr>
      <w:r>
        <w:rPr>
          <w:rFonts w:hint="eastAsia" w:asciiTheme="minorEastAsia" w:hAnsiTheme="minorEastAsia" w:eastAsiaTheme="minorEastAsia" w:cstheme="minorEastAsia"/>
          <w:bCs/>
          <w:color w:val="000000"/>
          <w:kern w:val="0"/>
          <w:sz w:val="32"/>
          <w:szCs w:val="32"/>
          <w:shd w:val="clear" w:color="auto" w:fill="FFFFFF"/>
        </w:rPr>
        <w:t xml:space="preserve">  </w:t>
      </w:r>
      <w:r>
        <w:rPr>
          <w:rFonts w:hint="eastAsia" w:asciiTheme="minorEastAsia" w:hAnsiTheme="minorEastAsia" w:eastAsiaTheme="minorEastAsia" w:cstheme="minorEastAsia"/>
          <w:bCs/>
          <w:color w:val="000000"/>
          <w:kern w:val="0"/>
          <w:sz w:val="32"/>
          <w:szCs w:val="32"/>
          <w:shd w:val="clear" w:color="auto" w:fill="FFFFFF"/>
          <w:lang w:eastAsia="zh-CN"/>
        </w:rPr>
        <w:t>1.</w:t>
      </w:r>
      <w:r>
        <w:rPr>
          <w:rStyle w:val="35"/>
          <w:rFonts w:hint="eastAsia" w:ascii="仿宋" w:hAnsi="仿宋" w:eastAsia="仿宋" w:cs="仿宋"/>
          <w:bCs/>
          <w:sz w:val="32"/>
          <w:szCs w:val="32"/>
        </w:rPr>
        <w:t>负责职责范围内的安全生产和职业健康、 生态环境保护、审批服务便民化等工作。</w:t>
      </w:r>
      <w:r>
        <w:rPr>
          <w:rFonts w:hint="eastAsia" w:ascii="仿宋" w:hAnsi="仿宋" w:eastAsia="仿宋" w:cs="仿宋"/>
          <w:bCs/>
          <w:color w:val="000000"/>
          <w:sz w:val="32"/>
          <w:szCs w:val="32"/>
        </w:rPr>
        <w:br w:type="textWrapping"/>
      </w:r>
      <w:r>
        <w:rPr>
          <w:rStyle w:val="35"/>
          <w:rFonts w:hint="eastAsia" w:ascii="仿宋" w:hAnsi="仿宋" w:eastAsia="仿宋" w:cs="仿宋"/>
          <w:bCs/>
          <w:sz w:val="32"/>
          <w:szCs w:val="32"/>
        </w:rPr>
        <w:t xml:space="preserve">  2、与县发展改革局有关职责分工。 </w:t>
      </w:r>
      <w:r>
        <w:rPr>
          <w:rStyle w:val="36"/>
          <w:rFonts w:hint="eastAsia" w:ascii="仿宋" w:hAnsi="仿宋" w:eastAsia="仿宋" w:cs="仿宋"/>
          <w:bCs/>
          <w:sz w:val="32"/>
          <w:szCs w:val="32"/>
        </w:rPr>
        <w:t>贯彻中央、省、市采煤沉陷区综合治理的方针政策。县发展改革局负责采煤沉陷区规划编制、项目争取相关工作。县扶贫开发局牵头采煤沉陷区综合治理工作，指导、督促县级相关部门做好采煤沉陷区综合治理项目的组织实施工作</w:t>
      </w:r>
    </w:p>
    <w:p w14:paraId="59B212F3">
      <w:pPr>
        <w:widowControl/>
        <w:adjustRightInd w:val="0"/>
        <w:snapToGrid w:val="0"/>
        <w:spacing w:line="560" w:lineRule="exact"/>
        <w:ind w:firstLine="361" w:firstLineChars="100"/>
        <w:jc w:val="left"/>
        <w:rPr>
          <w:rFonts w:hint="eastAsia" w:ascii="楷体_GB2312" w:hAnsi="楷体_GB2312" w:eastAsia="楷体_GB2312" w:cs="楷体_GB2312"/>
          <w:b/>
          <w:bCs/>
          <w:color w:val="333333"/>
          <w:sz w:val="36"/>
          <w:szCs w:val="36"/>
          <w:shd w:val="clear" w:color="auto" w:fill="FFFFFF"/>
        </w:rPr>
      </w:pPr>
      <w:r>
        <w:rPr>
          <w:rFonts w:hint="eastAsia" w:ascii="楷体_GB2312" w:hAnsi="楷体_GB2312" w:eastAsia="楷体_GB2312" w:cs="楷体_GB2312"/>
          <w:b/>
          <w:bCs/>
          <w:color w:val="000000"/>
          <w:kern w:val="0"/>
          <w:sz w:val="36"/>
          <w:szCs w:val="36"/>
          <w:shd w:val="clear" w:color="auto" w:fill="FFFFFF"/>
          <w:lang w:val="zh-CN"/>
        </w:rPr>
        <w:t>（二）</w:t>
      </w:r>
      <w:r>
        <w:rPr>
          <w:rFonts w:hint="eastAsia" w:ascii="楷体_GB2312" w:hAnsi="楷体_GB2312" w:eastAsia="楷体_GB2312" w:cs="楷体_GB2312"/>
          <w:b/>
          <w:bCs/>
          <w:color w:val="000000"/>
          <w:kern w:val="0"/>
          <w:sz w:val="32"/>
          <w:szCs w:val="32"/>
          <w:shd w:val="clear" w:color="auto" w:fill="FFFFFF"/>
          <w:lang w:val="zh-CN"/>
        </w:rPr>
        <w:t>人员概况</w:t>
      </w:r>
    </w:p>
    <w:p w14:paraId="799ED42F">
      <w:pPr>
        <w:widowControl/>
        <w:adjustRightInd w:val="0"/>
        <w:snapToGrid w:val="0"/>
        <w:spacing w:line="560" w:lineRule="exact"/>
        <w:ind w:firstLine="640" w:firstLineChars="200"/>
        <w:jc w:val="left"/>
        <w:rPr>
          <w:rFonts w:hint="eastAsia" w:ascii="仿宋" w:hAnsi="仿宋" w:eastAsia="仿宋" w:cs="仿宋"/>
          <w:bCs/>
          <w:color w:val="000000"/>
          <w:kern w:val="0"/>
          <w:sz w:val="32"/>
          <w:szCs w:val="32"/>
          <w:shd w:val="clear" w:color="auto" w:fill="FFFFFF"/>
          <w:lang w:val="zh-CN"/>
        </w:rPr>
      </w:pPr>
      <w:r>
        <w:rPr>
          <w:rFonts w:hint="eastAsia" w:ascii="仿宋" w:hAnsi="仿宋" w:eastAsia="仿宋" w:cs="仿宋"/>
          <w:bCs/>
          <w:color w:val="333333"/>
          <w:sz w:val="32"/>
          <w:szCs w:val="32"/>
          <w:shd w:val="clear" w:color="auto" w:fill="FFFFFF"/>
          <w:lang w:eastAsia="zh-CN"/>
        </w:rPr>
        <w:t>盐边县乡村振兴局</w:t>
      </w:r>
      <w:r>
        <w:rPr>
          <w:rFonts w:hint="eastAsia" w:ascii="仿宋" w:hAnsi="仿宋" w:eastAsia="仿宋" w:cs="仿宋"/>
          <w:bCs/>
          <w:color w:val="333333"/>
          <w:sz w:val="32"/>
          <w:szCs w:val="32"/>
          <w:shd w:val="clear" w:color="auto" w:fill="FFFFFF"/>
        </w:rPr>
        <w:t>现有编制数</w:t>
      </w:r>
      <w:r>
        <w:rPr>
          <w:rFonts w:hint="eastAsia" w:ascii="仿宋" w:hAnsi="仿宋" w:eastAsia="仿宋" w:cs="仿宋"/>
          <w:bCs/>
          <w:sz w:val="32"/>
          <w:szCs w:val="32"/>
        </w:rPr>
        <w:t>20</w:t>
      </w:r>
      <w:r>
        <w:rPr>
          <w:rFonts w:hint="eastAsia" w:ascii="仿宋" w:hAnsi="仿宋" w:eastAsia="仿宋" w:cs="仿宋"/>
          <w:bCs/>
          <w:color w:val="333333"/>
          <w:sz w:val="32"/>
          <w:szCs w:val="32"/>
          <w:shd w:val="clear" w:color="auto" w:fill="FFFFFF"/>
        </w:rPr>
        <w:t>人，</w:t>
      </w:r>
      <w:r>
        <w:rPr>
          <w:rFonts w:hint="eastAsia" w:ascii="仿宋" w:hAnsi="仿宋" w:eastAsia="仿宋" w:cs="仿宋"/>
          <w:bCs/>
          <w:color w:val="000000"/>
          <w:sz w:val="32"/>
          <w:szCs w:val="32"/>
          <w:shd w:val="clear" w:color="auto" w:fill="FFFFFF"/>
        </w:rPr>
        <w:t>其中：行政编制14人，</w:t>
      </w:r>
      <w:r>
        <w:rPr>
          <w:rFonts w:hint="eastAsia" w:ascii="仿宋" w:hAnsi="仿宋" w:eastAsia="仿宋" w:cs="仿宋"/>
          <w:bCs/>
          <w:color w:val="333333"/>
          <w:sz w:val="32"/>
          <w:szCs w:val="32"/>
          <w:shd w:val="clear" w:color="auto" w:fill="FFFFFF"/>
        </w:rPr>
        <w:t>工勤人员1人，事业编制5人，202</w:t>
      </w:r>
      <w:r>
        <w:rPr>
          <w:rFonts w:hint="eastAsia" w:ascii="仿宋" w:hAnsi="仿宋" w:eastAsia="仿宋" w:cs="仿宋"/>
          <w:bCs/>
          <w:color w:val="333333"/>
          <w:sz w:val="32"/>
          <w:szCs w:val="32"/>
          <w:shd w:val="clear" w:color="auto" w:fill="FFFFFF"/>
          <w:lang w:val="en-US" w:eastAsia="zh-CN"/>
        </w:rPr>
        <w:t>2</w:t>
      </w:r>
      <w:r>
        <w:rPr>
          <w:rFonts w:hint="eastAsia" w:ascii="仿宋" w:hAnsi="仿宋" w:eastAsia="仿宋" w:cs="仿宋"/>
          <w:bCs/>
          <w:color w:val="333333"/>
          <w:sz w:val="32"/>
          <w:szCs w:val="32"/>
          <w:shd w:val="clear" w:color="auto" w:fill="FFFFFF"/>
        </w:rPr>
        <w:t>年年末在职人员15人，其中行政编制9人，工勤编制5人，事业编制</w:t>
      </w:r>
      <w:r>
        <w:rPr>
          <w:rFonts w:hint="eastAsia" w:ascii="仿宋" w:hAnsi="仿宋" w:eastAsia="仿宋" w:cs="仿宋"/>
          <w:bCs/>
          <w:color w:val="333333"/>
          <w:sz w:val="32"/>
          <w:szCs w:val="32"/>
          <w:shd w:val="clear" w:color="auto" w:fill="FFFFFF"/>
          <w:lang w:val="en-US" w:eastAsia="zh-CN"/>
        </w:rPr>
        <w:t>3</w:t>
      </w:r>
      <w:r>
        <w:rPr>
          <w:rFonts w:hint="eastAsia" w:ascii="仿宋" w:hAnsi="仿宋" w:eastAsia="仿宋" w:cs="仿宋"/>
          <w:bCs/>
          <w:color w:val="333333"/>
          <w:sz w:val="32"/>
          <w:szCs w:val="32"/>
          <w:shd w:val="clear" w:color="auto" w:fill="FFFFFF"/>
        </w:rPr>
        <w:t>人。</w:t>
      </w:r>
    </w:p>
    <w:p w14:paraId="610D9ADB">
      <w:pPr>
        <w:pStyle w:val="6"/>
        <w:adjustRightInd w:val="0"/>
        <w:snapToGrid w:val="0"/>
        <w:spacing w:before="93" w:line="600" w:lineRule="exact"/>
        <w:ind w:firstLine="675" w:firstLineChars="210"/>
        <w:outlineLvl w:val="2"/>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（二）202</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年重点工作完成情况。</w:t>
      </w:r>
    </w:p>
    <w:p w14:paraId="2F559A43">
      <w:pPr>
        <w:pStyle w:val="8"/>
        <w:spacing w:after="0"/>
        <w:ind w:left="0" w:leftChars="0" w:firstLine="683"/>
        <w:rPr>
          <w:rFonts w:hint="eastAsia" w:ascii="仿宋" w:hAnsi="仿宋" w:eastAsia="仿宋" w:cs="仿宋"/>
          <w:b/>
          <w:bCs/>
          <w:sz w:val="32"/>
          <w:szCs w:val="32"/>
        </w:rPr>
      </w:pPr>
      <w:r>
        <w:rPr>
          <w:rFonts w:hint="eastAsia" w:ascii="仿宋" w:hAnsi="仿宋" w:eastAsia="仿宋" w:cs="仿宋"/>
          <w:b/>
          <w:bCs/>
          <w:sz w:val="32"/>
          <w:szCs w:val="32"/>
          <w:lang w:eastAsia="zh-CN"/>
        </w:rPr>
        <w:t>1.巩固拓展脱贫攻坚成果同乡村振兴有效衔接</w:t>
      </w:r>
      <w:r>
        <w:rPr>
          <w:rFonts w:hint="eastAsia" w:ascii="仿宋" w:hAnsi="仿宋" w:eastAsia="仿宋" w:cs="仿宋"/>
          <w:b/>
          <w:bCs/>
          <w:sz w:val="32"/>
          <w:szCs w:val="32"/>
        </w:rPr>
        <w:t>工作</w:t>
      </w:r>
    </w:p>
    <w:p w14:paraId="43486EDA">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（1）持续用力，</w:t>
      </w:r>
      <w:r>
        <w:rPr>
          <w:rFonts w:hint="eastAsia" w:ascii="仿宋" w:hAnsi="仿宋" w:eastAsia="仿宋" w:cs="仿宋"/>
          <w:bCs/>
          <w:color w:val="000000"/>
          <w:sz w:val="32"/>
          <w:szCs w:val="32"/>
          <w:lang w:eastAsia="zh-CN"/>
        </w:rPr>
        <w:t>巩固拓展脱贫攻坚成果同乡村振兴有效衔接</w:t>
      </w:r>
      <w:r>
        <w:rPr>
          <w:rFonts w:hint="eastAsia" w:ascii="仿宋" w:hAnsi="仿宋" w:eastAsia="仿宋" w:cs="仿宋"/>
          <w:bCs/>
          <w:color w:val="000000"/>
          <w:sz w:val="32"/>
          <w:szCs w:val="32"/>
        </w:rPr>
        <w:t>。</w:t>
      </w:r>
      <w:r>
        <w:rPr>
          <w:rFonts w:hint="eastAsia" w:ascii="仿宋" w:hAnsi="仿宋" w:eastAsia="仿宋" w:cs="仿宋"/>
          <w:bCs/>
          <w:sz w:val="32"/>
          <w:szCs w:val="32"/>
        </w:rPr>
        <w:t>把产业发展、就业、激发已脱贫群众内生动力、特殊困难户产业发展和防止返贫作为重中之重内容来抓，切实做到持续巩固提升产业、持续拓宽就业扶贫渠道、持续落实教育保障政策、持续落实医疗保障政策、持续落实社会保障政策，全面</w:t>
      </w:r>
      <w:r>
        <w:rPr>
          <w:rFonts w:hint="eastAsia" w:ascii="仿宋" w:hAnsi="仿宋" w:eastAsia="仿宋" w:cs="仿宋"/>
          <w:bCs/>
          <w:sz w:val="32"/>
          <w:szCs w:val="32"/>
          <w:lang w:eastAsia="zh-CN"/>
        </w:rPr>
        <w:t>巩固拓展脱贫攻坚成果同乡村振兴有效衔接</w:t>
      </w:r>
      <w:r>
        <w:rPr>
          <w:rFonts w:hint="eastAsia" w:ascii="仿宋" w:hAnsi="仿宋" w:eastAsia="仿宋" w:cs="仿宋"/>
          <w:bCs/>
          <w:sz w:val="32"/>
          <w:szCs w:val="32"/>
        </w:rPr>
        <w:t>。</w:t>
      </w:r>
    </w:p>
    <w:p w14:paraId="7D8EEDB9">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（2）补差补短，夯实贫困地区发展基础。</w:t>
      </w:r>
      <w:r>
        <w:rPr>
          <w:rFonts w:hint="eastAsia" w:ascii="仿宋" w:hAnsi="仿宋" w:eastAsia="仿宋" w:cs="仿宋"/>
          <w:bCs/>
          <w:sz w:val="32"/>
          <w:szCs w:val="32"/>
        </w:rPr>
        <w:t>全面开展基础设施建设“回头看”“回头帮”，做实补差补短工作，加大交通、水利、电力、网络、村阵地建设等扶持力度，全面改善贫困地区基础设施条件。持续开展垃圾治理、村庄清洁，积极推广“户分类、村收集、镇转运、县处理”的收运处置模式，解决生活垃圾乱堆乱放污染问题。</w:t>
      </w:r>
    </w:p>
    <w:p w14:paraId="38455486">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（3）建章立制，有效防范返贫风险和提升预警能力。</w:t>
      </w:r>
      <w:r>
        <w:rPr>
          <w:rFonts w:hint="eastAsia" w:ascii="仿宋" w:hAnsi="仿宋" w:eastAsia="仿宋" w:cs="仿宋"/>
          <w:bCs/>
          <w:sz w:val="32"/>
          <w:szCs w:val="32"/>
        </w:rPr>
        <w:t>制定完善带贫益贫机制、利益联结机制和风险应对措施，开展技术和市场风险评估，防范产业扶贫市场风险。制定完善小额信贷风险防控措施，纠正违规户贷企用、违规用款等问题。妥善处理和解决区划调整带来的遗留问题，完善大数据平台各类基础信息，提高贫困村、贫困户数据信息运用水平，建立监测预警机制。</w:t>
      </w:r>
    </w:p>
    <w:p w14:paraId="35BCF551">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（4）夯实保障，不折不扣带领群众致富奔康。</w:t>
      </w:r>
      <w:r>
        <w:rPr>
          <w:rFonts w:hint="eastAsia" w:ascii="仿宋" w:hAnsi="仿宋" w:eastAsia="仿宋" w:cs="仿宋"/>
          <w:bCs/>
          <w:sz w:val="32"/>
          <w:szCs w:val="32"/>
        </w:rPr>
        <w:t>继续执行县负总责、乡镇抓落实的工作机制，进一步深化“三级书记”抓扶贫工作机制，持续落实县级领导、部门帮乡包村制度，形成县、乡（镇）、村齐抓共管的工作格局。强化巩固提升成效考核权重，严格督查考核结果运用，严格落实基层减负行动，持续深化</w:t>
      </w:r>
      <w:r>
        <w:rPr>
          <w:rFonts w:hint="eastAsia" w:ascii="仿宋" w:hAnsi="仿宋" w:eastAsia="仿宋" w:cs="仿宋"/>
          <w:bCs/>
          <w:sz w:val="32"/>
          <w:szCs w:val="32"/>
          <w:lang w:eastAsia="zh-CN"/>
        </w:rPr>
        <w:t>扶贫领域腐败和作风问题专项治理</w:t>
      </w:r>
      <w:r>
        <w:rPr>
          <w:rFonts w:hint="eastAsia" w:ascii="仿宋" w:hAnsi="仿宋" w:eastAsia="仿宋" w:cs="仿宋"/>
          <w:bCs/>
          <w:sz w:val="32"/>
          <w:szCs w:val="32"/>
        </w:rPr>
        <w:t>，持续关心关爱脱贫攻坚一线干部，推进脱贫攻坚各项政策措施落地落实。在贫困地区全面树立节俭、文明、健康、向上的社会新风，不折不扣带领群众致富奔康。</w:t>
      </w:r>
    </w:p>
    <w:p w14:paraId="7EE70EB8">
      <w:pPr>
        <w:ind w:firstLine="643" w:firstLineChars="200"/>
        <w:rPr>
          <w:rStyle w:val="29"/>
          <w:rFonts w:hint="eastAsia" w:ascii="仿宋" w:hAnsi="仿宋" w:eastAsia="仿宋" w:cs="仿宋"/>
          <w:color w:val="000000"/>
          <w:sz w:val="32"/>
          <w:szCs w:val="32"/>
        </w:rPr>
      </w:pPr>
      <w:r>
        <w:rPr>
          <w:rFonts w:hint="eastAsia" w:ascii="仿宋" w:hAnsi="仿宋" w:eastAsia="仿宋" w:cs="仿宋"/>
          <w:b/>
          <w:bCs/>
          <w:color w:val="000000"/>
          <w:sz w:val="32"/>
          <w:szCs w:val="32"/>
        </w:rPr>
        <w:t>二、机</w:t>
      </w:r>
      <w:r>
        <w:rPr>
          <w:rStyle w:val="29"/>
          <w:rFonts w:hint="eastAsia" w:ascii="仿宋" w:hAnsi="仿宋" w:eastAsia="仿宋" w:cs="仿宋"/>
          <w:sz w:val="32"/>
          <w:szCs w:val="32"/>
        </w:rPr>
        <w:t>构设置</w:t>
      </w:r>
    </w:p>
    <w:p w14:paraId="14A28289">
      <w:pPr>
        <w:widowControl/>
        <w:shd w:val="clear" w:color="auto" w:fill="FFFFFF"/>
        <w:spacing w:line="590" w:lineRule="atLeast"/>
        <w:ind w:left="199" w:firstLine="640"/>
        <w:jc w:val="left"/>
        <w:rPr>
          <w:rFonts w:hint="eastAsia" w:ascii="仿宋" w:hAnsi="仿宋" w:eastAsia="仿宋" w:cs="仿宋"/>
          <w:bCs/>
          <w:color w:val="333333"/>
          <w:kern w:val="0"/>
          <w:sz w:val="32"/>
          <w:szCs w:val="32"/>
        </w:rPr>
      </w:pPr>
      <w:r>
        <w:rPr>
          <w:rFonts w:hint="eastAsia" w:ascii="仿宋" w:hAnsi="仿宋" w:eastAsia="仿宋" w:cs="仿宋"/>
          <w:bCs/>
          <w:color w:val="000000"/>
          <w:kern w:val="0"/>
          <w:sz w:val="32"/>
          <w:szCs w:val="32"/>
        </w:rPr>
        <w:t>局机关内设办公室、扶贫开发股、</w:t>
      </w:r>
      <w:r>
        <w:rPr>
          <w:rStyle w:val="35"/>
          <w:rFonts w:hint="eastAsia" w:ascii="仿宋" w:hAnsi="仿宋" w:eastAsia="仿宋" w:cs="仿宋"/>
          <w:bCs/>
          <w:sz w:val="32"/>
          <w:szCs w:val="32"/>
        </w:rPr>
        <w:t>移民规安采煤沉陷区综合股</w:t>
      </w:r>
      <w:r>
        <w:rPr>
          <w:rFonts w:hint="eastAsia" w:ascii="仿宋" w:hAnsi="仿宋" w:eastAsia="仿宋" w:cs="仿宋"/>
          <w:bCs/>
          <w:color w:val="000000"/>
          <w:kern w:val="0"/>
          <w:sz w:val="32"/>
          <w:szCs w:val="32"/>
        </w:rPr>
        <w:t>等5个职能股（室）和1个下属事业单位盐边县扶贫移民服务中心。</w:t>
      </w:r>
    </w:p>
    <w:p w14:paraId="7F1D34C3">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p>
    <w:p w14:paraId="601E2C06">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14:paraId="27A3C7D9">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楷体_GB2312" w:hAnsi="楷体_GB2312" w:eastAsia="楷体_GB2312" w:cs="楷体_GB2312"/>
          <w:kern w:val="0"/>
          <w:sz w:val="32"/>
          <w:szCs w:val="32"/>
          <w:shd w:val="clear" w:color="auto" w:fill="FFFFFF"/>
        </w:rPr>
        <w:t>二、部门资金收支情况</w:t>
      </w:r>
    </w:p>
    <w:p w14:paraId="21DF07F0">
      <w:pPr>
        <w:widowControl/>
        <w:adjustRightInd w:val="0"/>
        <w:snapToGrid w:val="0"/>
        <w:spacing w:line="560" w:lineRule="exact"/>
        <w:ind w:firstLine="640"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仿宋_GB2312" w:hAnsi="仿宋_GB2312" w:eastAsia="仿宋_GB2312" w:cs="仿宋_GB2312"/>
          <w:b w:val="0"/>
          <w:bCs w:val="0"/>
          <w:kern w:val="0"/>
          <w:sz w:val="32"/>
          <w:szCs w:val="32"/>
          <w:shd w:val="clear" w:color="auto" w:fill="FFFFFF"/>
          <w:lang w:val="zh-CN"/>
        </w:rPr>
        <w:t>（一）部门总体收支情况。</w:t>
      </w:r>
    </w:p>
    <w:p w14:paraId="4076D420">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2022年全年，本单位当年财政拨款总收入为</w:t>
      </w:r>
      <w:r>
        <w:rPr>
          <w:rFonts w:hint="eastAsia" w:ascii="仿宋_GB2312" w:hAnsi="仿宋_GB2312" w:eastAsia="仿宋_GB2312" w:cs="仿宋_GB2312"/>
          <w:kern w:val="0"/>
          <w:sz w:val="32"/>
          <w:szCs w:val="32"/>
          <w:shd w:val="clear" w:color="auto" w:fill="FFFFFF"/>
          <w:lang w:val="en-US" w:eastAsia="zh-CN"/>
        </w:rPr>
        <w:t>57789058.06</w:t>
      </w:r>
      <w:r>
        <w:rPr>
          <w:rFonts w:hint="eastAsia" w:ascii="仿宋_GB2312" w:hAnsi="仿宋_GB2312" w:eastAsia="仿宋_GB2312" w:cs="仿宋_GB2312"/>
          <w:kern w:val="0"/>
          <w:sz w:val="32"/>
          <w:szCs w:val="32"/>
          <w:shd w:val="clear" w:color="auto" w:fill="FFFFFF"/>
        </w:rPr>
        <w:t>元、当年财政拨款总支出为</w:t>
      </w:r>
      <w:r>
        <w:rPr>
          <w:rFonts w:hint="eastAsia" w:ascii="仿宋_GB2312" w:hAnsi="仿宋_GB2312" w:eastAsia="仿宋_GB2312" w:cs="仿宋_GB2312"/>
          <w:kern w:val="0"/>
          <w:sz w:val="32"/>
          <w:szCs w:val="32"/>
          <w:shd w:val="clear" w:color="auto" w:fill="FFFFFF"/>
          <w:lang w:val="en-US" w:eastAsia="zh-CN"/>
        </w:rPr>
        <w:t>57789058.06</w:t>
      </w:r>
      <w:r>
        <w:rPr>
          <w:rFonts w:hint="eastAsia" w:ascii="仿宋_GB2312" w:hAnsi="仿宋_GB2312" w:eastAsia="仿宋_GB2312" w:cs="仿宋_GB2312"/>
          <w:kern w:val="0"/>
          <w:sz w:val="32"/>
          <w:szCs w:val="32"/>
          <w:shd w:val="clear" w:color="auto" w:fill="FFFFFF"/>
        </w:rPr>
        <w:t>元，年度无结转结余。</w:t>
      </w:r>
    </w:p>
    <w:p w14:paraId="3289BE84">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（二）</w:t>
      </w:r>
      <w:r>
        <w:rPr>
          <w:rFonts w:hint="eastAsia" w:ascii="仿宋_GB2312" w:hAnsi="仿宋_GB2312" w:eastAsia="仿宋_GB2312" w:cs="仿宋_GB2312"/>
          <w:kern w:val="0"/>
          <w:sz w:val="32"/>
          <w:szCs w:val="32"/>
          <w:shd w:val="clear" w:color="auto" w:fill="FFFFFF"/>
        </w:rPr>
        <w:t>部门财政资金支出情况。</w:t>
      </w:r>
    </w:p>
    <w:p w14:paraId="52C51592">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2022年全年，本单位当年财政拨款基本支出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收入数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3899916.23</w:t>
      </w:r>
      <w:r>
        <w:rPr>
          <w:rFonts w:hint="eastAsia" w:ascii="仿宋_GB2312" w:hAnsi="仿宋_GB2312" w:eastAsia="仿宋_GB2312" w:cs="仿宋_GB2312"/>
          <w:kern w:val="0"/>
          <w:sz w:val="32"/>
          <w:szCs w:val="32"/>
          <w:shd w:val="clear" w:color="auto" w:fill="FFFFFF"/>
        </w:rPr>
        <w:t>元；当年财政拨款基本支出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支出数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3899916.23</w:t>
      </w:r>
      <w:r>
        <w:rPr>
          <w:rFonts w:hint="eastAsia" w:ascii="仿宋_GB2312" w:hAnsi="仿宋_GB2312" w:eastAsia="仿宋_GB2312" w:cs="仿宋_GB2312"/>
          <w:kern w:val="0"/>
          <w:sz w:val="32"/>
          <w:szCs w:val="32"/>
          <w:shd w:val="clear" w:color="auto" w:fill="FFFFFF"/>
        </w:rPr>
        <w:t>元。</w:t>
      </w:r>
    </w:p>
    <w:p w14:paraId="7B470780">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2022年全年，本单位当年财政拨款项目支出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收入数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为：330932.60元；当年财政拨款项目支出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支出数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72469955.77</w:t>
      </w:r>
      <w:r>
        <w:rPr>
          <w:rFonts w:hint="eastAsia" w:ascii="仿宋_GB2312" w:hAnsi="仿宋_GB2312" w:eastAsia="仿宋_GB2312" w:cs="仿宋_GB2312"/>
          <w:kern w:val="0"/>
          <w:sz w:val="32"/>
          <w:szCs w:val="32"/>
          <w:shd w:val="clear" w:color="auto" w:fill="FFFFFF"/>
        </w:rPr>
        <w:t>元。</w:t>
      </w:r>
    </w:p>
    <w:p w14:paraId="6ED4519D">
      <w:pPr>
        <w:widowControl/>
        <w:numPr>
          <w:ilvl w:val="0"/>
          <w:numId w:val="2"/>
        </w:numPr>
        <w:adjustRightInd w:val="0"/>
        <w:snapToGrid w:val="0"/>
        <w:spacing w:line="560"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部门总体结转结余情况</w:t>
      </w:r>
      <w:r>
        <w:rPr>
          <w:rFonts w:hint="eastAsia" w:ascii="仿宋_GB2312" w:hAnsi="仿宋_GB2312" w:eastAsia="仿宋_GB2312" w:cs="仿宋_GB2312"/>
          <w:kern w:val="0"/>
          <w:sz w:val="32"/>
          <w:szCs w:val="32"/>
          <w:shd w:val="clear" w:color="auto" w:fill="FFFFFF"/>
          <w:lang w:eastAsia="zh-CN"/>
        </w:rPr>
        <w:t>。</w:t>
      </w:r>
    </w:p>
    <w:p w14:paraId="29275760">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2022年无财政资金结转结余。</w:t>
      </w:r>
    </w:p>
    <w:p w14:paraId="13385C82">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p>
    <w:p w14:paraId="22C5971F">
      <w:pPr>
        <w:widowControl/>
        <w:adjustRightInd w:val="0"/>
        <w:snapToGrid w:val="0"/>
        <w:spacing w:line="580" w:lineRule="exact"/>
        <w:ind w:firstLine="640" w:firstLineChars="200"/>
        <w:contextualSpacing/>
        <w:jc w:val="left"/>
        <w:rPr>
          <w:rFonts w:eastAsia="黑体"/>
          <w:color w:val="000000"/>
          <w:sz w:val="32"/>
          <w:szCs w:val="32"/>
        </w:rPr>
      </w:pPr>
    </w:p>
    <w:p w14:paraId="638F7163">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三、部门预算绩效管理情况</w:t>
      </w:r>
    </w:p>
    <w:p w14:paraId="2FDF1A55">
      <w:pPr>
        <w:widowControl/>
        <w:adjustRightInd w:val="0"/>
        <w:snapToGrid w:val="0"/>
        <w:spacing w:line="580" w:lineRule="exact"/>
        <w:ind w:firstLine="640" w:firstLineChars="200"/>
        <w:contextualSpacing/>
        <w:jc w:val="left"/>
        <w:rPr>
          <w:rFonts w:eastAsia="仿宋_GB2312"/>
          <w:color w:val="000000"/>
          <w:sz w:val="32"/>
          <w:szCs w:val="32"/>
        </w:rPr>
      </w:pPr>
      <w:r>
        <w:rPr>
          <w:rFonts w:eastAsia="仿宋_GB2312"/>
          <w:color w:val="000000"/>
          <w:sz w:val="32"/>
          <w:szCs w:val="32"/>
        </w:rPr>
        <w:t>（一）部门预算绩效管理。</w:t>
      </w:r>
    </w:p>
    <w:p w14:paraId="4D02598C">
      <w:pPr>
        <w:spacing w:line="576" w:lineRule="exact"/>
        <w:ind w:firstLine="640" w:firstLineChars="200"/>
        <w:rPr>
          <w:rFonts w:eastAsia="仿宋_GB2312"/>
          <w:color w:val="000000"/>
          <w:sz w:val="32"/>
          <w:szCs w:val="32"/>
        </w:rPr>
      </w:pPr>
      <w:r>
        <w:rPr>
          <w:rFonts w:eastAsia="仿宋_GB2312"/>
          <w:color w:val="000000"/>
          <w:sz w:val="32"/>
          <w:szCs w:val="32"/>
        </w:rPr>
        <w:t>部门绩效目标制定</w:t>
      </w:r>
      <w:r>
        <w:rPr>
          <w:rFonts w:hint="eastAsia" w:eastAsia="仿宋_GB2312"/>
          <w:color w:val="000000"/>
          <w:sz w:val="32"/>
          <w:szCs w:val="32"/>
        </w:rPr>
        <w:t>，按照年度项目开展情况，提出开展目标绩效的自评工作</w:t>
      </w:r>
      <w:r>
        <w:rPr>
          <w:rFonts w:eastAsia="仿宋_GB2312"/>
          <w:color w:val="000000"/>
          <w:sz w:val="32"/>
          <w:szCs w:val="32"/>
        </w:rPr>
        <w:t>、目标实现</w:t>
      </w:r>
      <w:r>
        <w:rPr>
          <w:rFonts w:hint="eastAsia" w:eastAsia="仿宋_GB2312"/>
          <w:color w:val="000000"/>
          <w:sz w:val="32"/>
          <w:szCs w:val="32"/>
        </w:rPr>
        <w:t>全年资金拨付和使用均按计划进度完成，在资金的使用上，严守法律底线、纪律底线，无违反财务管理、财经纪律情况发生，会计核算真实完整，项目资金支出和原定用途、预算批复用途相符，财政资金使用效率进一步提高。在资金的管理方面，进一步强化资金统筹，优化资金结构，明确开支范围，细化资金用途，确保各项工作的顺利开展和财政资金的有效使用，无资金使用</w:t>
      </w:r>
      <w:r>
        <w:rPr>
          <w:rFonts w:eastAsia="仿宋_GB2312"/>
          <w:color w:val="000000"/>
          <w:sz w:val="32"/>
          <w:szCs w:val="32"/>
        </w:rPr>
        <w:t>违规记录等情况。</w:t>
      </w:r>
    </w:p>
    <w:p w14:paraId="087DBEAC">
      <w:pPr>
        <w:widowControl/>
        <w:adjustRightInd w:val="0"/>
        <w:snapToGrid w:val="0"/>
        <w:spacing w:line="580" w:lineRule="exact"/>
        <w:ind w:firstLine="640" w:firstLineChars="200"/>
        <w:contextualSpacing/>
        <w:jc w:val="left"/>
        <w:rPr>
          <w:rFonts w:eastAsia="仿宋_GB2312"/>
          <w:color w:val="000000"/>
          <w:sz w:val="32"/>
          <w:szCs w:val="32"/>
        </w:rPr>
      </w:pPr>
      <w:r>
        <w:rPr>
          <w:rFonts w:eastAsia="仿宋_GB2312"/>
          <w:color w:val="000000"/>
          <w:sz w:val="32"/>
          <w:szCs w:val="32"/>
        </w:rPr>
        <w:t>（二）结果应用情况。</w:t>
      </w:r>
    </w:p>
    <w:p w14:paraId="7ED3C4A0">
      <w:pPr>
        <w:spacing w:line="560" w:lineRule="exact"/>
        <w:ind w:firstLine="419" w:firstLineChars="131"/>
        <w:rPr>
          <w:rFonts w:eastAsia="仿宋_GB2312"/>
          <w:color w:val="000000"/>
          <w:sz w:val="32"/>
          <w:szCs w:val="32"/>
        </w:rPr>
      </w:pPr>
      <w:r>
        <w:rPr>
          <w:rFonts w:hint="eastAsia" w:eastAsia="仿宋_GB2312"/>
          <w:sz w:val="32"/>
          <w:szCs w:val="32"/>
        </w:rPr>
        <w:t>根据绩效自评结果，改进管理措施，完善管理办法，调整和优化支出结构，对绩效自评中发现的问题及时制定整改措施。绩效自评结果将按照政府信息公开有关规定，在规定范围内公开。</w:t>
      </w:r>
    </w:p>
    <w:p w14:paraId="38783711">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四、评价结论及建议</w:t>
      </w:r>
    </w:p>
    <w:p w14:paraId="6ABCC921">
      <w:pPr>
        <w:spacing w:line="560" w:lineRule="exact"/>
        <w:ind w:firstLine="640" w:firstLineChars="200"/>
        <w:rPr>
          <w:rFonts w:eastAsia="仿宋_GB2312"/>
          <w:color w:val="000000"/>
          <w:sz w:val="32"/>
          <w:szCs w:val="32"/>
        </w:rPr>
      </w:pPr>
      <w:r>
        <w:rPr>
          <w:rFonts w:eastAsia="仿宋_GB2312"/>
          <w:color w:val="000000"/>
          <w:sz w:val="32"/>
          <w:szCs w:val="32"/>
        </w:rPr>
        <w:t>（一）评价结论。</w:t>
      </w:r>
      <w:r>
        <w:rPr>
          <w:rFonts w:hint="eastAsia" w:ascii="仿宋_GB2312" w:hAnsi="仿宋_GB2312" w:eastAsia="仿宋_GB2312" w:cs="仿宋_GB2312"/>
          <w:color w:val="000000"/>
          <w:sz w:val="32"/>
          <w:szCs w:val="32"/>
        </w:rPr>
        <w:t>从整体上看，2022年我局资金运行维护决策正确，资金管理规范，政策执行有力，有效发挥了</w:t>
      </w:r>
      <w:r>
        <w:rPr>
          <w:rFonts w:hint="eastAsia" w:ascii="仿宋_GB2312" w:hAnsi="仿宋_GB2312" w:eastAsia="仿宋_GB2312" w:cs="仿宋_GB2312"/>
          <w:color w:val="000000"/>
          <w:sz w:val="32"/>
          <w:szCs w:val="32"/>
          <w:lang w:eastAsia="zh-CN"/>
        </w:rPr>
        <w:t>财政资金使用</w:t>
      </w:r>
      <w:r>
        <w:rPr>
          <w:rFonts w:hint="eastAsia" w:ascii="仿宋_GB2312" w:hAnsi="仿宋_GB2312" w:eastAsia="仿宋_GB2312" w:cs="仿宋_GB2312"/>
          <w:color w:val="000000"/>
          <w:sz w:val="32"/>
          <w:szCs w:val="32"/>
        </w:rPr>
        <w:t>效率。在人员经费支出、公共支出严格执行各项制度；在项目经费的使用上，在保证各项任务顺利完成的同时，严格落实厉行节约的原则；</w:t>
      </w:r>
      <w:r>
        <w:rPr>
          <w:rFonts w:hint="eastAsia" w:ascii="仿宋_GB2312" w:hAnsi="仿宋_GB2312" w:eastAsia="仿宋_GB2312" w:cs="仿宋_GB2312"/>
          <w:color w:val="000000"/>
          <w:sz w:val="32"/>
          <w:szCs w:val="32"/>
          <w:lang w:eastAsia="zh-CN"/>
        </w:rPr>
        <w:t>“三公”经费</w:t>
      </w:r>
      <w:r>
        <w:rPr>
          <w:rFonts w:hint="eastAsia" w:ascii="仿宋_GB2312" w:hAnsi="仿宋_GB2312" w:eastAsia="仿宋_GB2312" w:cs="仿宋_GB2312"/>
          <w:color w:val="000000"/>
          <w:sz w:val="32"/>
          <w:szCs w:val="32"/>
        </w:rPr>
        <w:t>的使用严格控制在预算申报的范围内。</w:t>
      </w:r>
    </w:p>
    <w:p w14:paraId="518E8944">
      <w:pPr>
        <w:spacing w:line="560" w:lineRule="exact"/>
        <w:ind w:firstLine="640" w:firstLineChars="200"/>
        <w:rPr>
          <w:rFonts w:eastAsia="仿宋_GB2312"/>
          <w:color w:val="000000"/>
          <w:sz w:val="32"/>
          <w:szCs w:val="32"/>
        </w:rPr>
      </w:pPr>
      <w:r>
        <w:rPr>
          <w:rFonts w:eastAsia="仿宋_GB2312"/>
          <w:color w:val="000000"/>
          <w:sz w:val="32"/>
          <w:szCs w:val="32"/>
        </w:rPr>
        <w:t>（二）存在问题。</w:t>
      </w:r>
      <w:r>
        <w:rPr>
          <w:rFonts w:hint="eastAsia" w:ascii="仿宋_GB2312" w:hAnsi="仿宋_GB2312" w:eastAsia="仿宋_GB2312" w:cs="仿宋_GB2312"/>
          <w:color w:val="000000"/>
          <w:sz w:val="32"/>
          <w:szCs w:val="32"/>
        </w:rPr>
        <w:t>主要存在问题是预算编制不够准确和细化，预算调整额相对较大，确保单位运转公用支出缺口大。</w:t>
      </w:r>
    </w:p>
    <w:p w14:paraId="6715A320">
      <w:pPr>
        <w:pStyle w:val="8"/>
        <w:spacing w:line="560" w:lineRule="exact"/>
        <w:ind w:left="0" w:leftChars="0" w:firstLine="640"/>
        <w:rPr>
          <w:rFonts w:hint="eastAsia" w:ascii="仿宋_GB2312" w:hAnsi="仿宋_GB2312" w:eastAsia="仿宋_GB2312" w:cs="仿宋_GB2312"/>
          <w:color w:val="000000"/>
          <w:sz w:val="32"/>
          <w:szCs w:val="32"/>
        </w:rPr>
      </w:pPr>
      <w:r>
        <w:rPr>
          <w:rFonts w:hint="eastAsia" w:eastAsia="仿宋_GB2312"/>
          <w:color w:val="000000"/>
          <w:sz w:val="32"/>
          <w:szCs w:val="32"/>
        </w:rPr>
        <w:t>（三）</w:t>
      </w:r>
      <w:r>
        <w:rPr>
          <w:rFonts w:eastAsia="仿宋_GB2312"/>
          <w:color w:val="000000"/>
          <w:sz w:val="32"/>
          <w:szCs w:val="32"/>
        </w:rPr>
        <w:t>改进建议。</w:t>
      </w:r>
      <w:r>
        <w:rPr>
          <w:rFonts w:hint="eastAsia" w:ascii="仿宋_GB2312" w:hAnsi="仿宋_GB2312" w:eastAsia="仿宋_GB2312" w:cs="仿宋_GB2312"/>
          <w:color w:val="000000"/>
          <w:sz w:val="32"/>
          <w:szCs w:val="32"/>
        </w:rPr>
        <w:t>加强年初预算编制工作，提高预算编制的准确性和细化程度，根据单位工作量适当调增公用支出预算。</w:t>
      </w:r>
    </w:p>
    <w:p w14:paraId="3506EA34">
      <w:pPr>
        <w:pStyle w:val="8"/>
        <w:spacing w:line="560" w:lineRule="exact"/>
        <w:ind w:left="0" w:leftChars="0" w:firstLine="640"/>
        <w:rPr>
          <w:rFonts w:hAnsi="仿宋_GB2312" w:eastAsia="仿宋_GB2312" w:cs="仿宋_GB2312"/>
          <w:color w:val="000000" w:themeColor="text1"/>
          <w:sz w:val="32"/>
          <w:lang w:val="zh-CN"/>
          <w14:textFill>
            <w14:solidFill>
              <w14:schemeClr w14:val="tx1"/>
            </w14:solidFill>
          </w14:textFill>
        </w:rPr>
      </w:pPr>
      <w:r>
        <w:rPr>
          <w:rFonts w:hint="eastAsia" w:hAnsi="仿宋_GB2312" w:eastAsia="仿宋_GB2312" w:cs="仿宋_GB2312"/>
          <w:color w:val="000000" w:themeColor="text1"/>
          <w:sz w:val="32"/>
          <w:lang w:val="zh-CN"/>
          <w14:textFill>
            <w14:solidFill>
              <w14:schemeClr w14:val="tx1"/>
            </w14:solidFill>
          </w14:textFill>
        </w:rPr>
        <w:t>附表：</w:t>
      </w:r>
      <w:r>
        <w:rPr>
          <w:rFonts w:hint="eastAsia" w:hAnsi="仿宋_GB2312" w:eastAsia="仿宋_GB2312" w:cs="仿宋_GB2312"/>
          <w:color w:val="000000" w:themeColor="text1"/>
          <w:sz w:val="32"/>
          <w14:textFill>
            <w14:solidFill>
              <w14:schemeClr w14:val="tx1"/>
            </w14:solidFill>
          </w14:textFill>
        </w:rPr>
        <w:t>部门预算项目支出绩效自评表（2022年度）</w:t>
      </w:r>
    </w:p>
    <w:tbl>
      <w:tblPr>
        <w:tblStyle w:val="15"/>
        <w:tblW w:w="5000" w:type="pct"/>
        <w:tblInd w:w="0" w:type="dxa"/>
        <w:tblLayout w:type="autofit"/>
        <w:tblCellMar>
          <w:top w:w="0" w:type="dxa"/>
          <w:left w:w="108" w:type="dxa"/>
          <w:bottom w:w="0" w:type="dxa"/>
          <w:right w:w="108" w:type="dxa"/>
        </w:tblCellMar>
      </w:tblPr>
      <w:tblGrid>
        <w:gridCol w:w="576"/>
        <w:gridCol w:w="1025"/>
        <w:gridCol w:w="862"/>
        <w:gridCol w:w="1206"/>
        <w:gridCol w:w="396"/>
        <w:gridCol w:w="744"/>
        <w:gridCol w:w="396"/>
        <w:gridCol w:w="846"/>
        <w:gridCol w:w="576"/>
        <w:gridCol w:w="577"/>
        <w:gridCol w:w="1318"/>
      </w:tblGrid>
      <w:tr w14:paraId="1C2AC6DF">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656B91">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351FC346">
        <w:tblPrEx>
          <w:tblCellMar>
            <w:top w:w="0" w:type="dxa"/>
            <w:left w:w="108" w:type="dxa"/>
            <w:bottom w:w="0" w:type="dxa"/>
            <w:right w:w="108" w:type="dxa"/>
          </w:tblCellMar>
        </w:tblPrEx>
        <w:trPr>
          <w:trHeight w:val="285"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CDFA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38" w:type="pct"/>
            <w:gridSpan w:val="9"/>
            <w:tcBorders>
              <w:top w:val="single" w:color="000000" w:sz="4" w:space="0"/>
              <w:left w:val="nil"/>
              <w:bottom w:val="single" w:color="000000" w:sz="4" w:space="0"/>
              <w:right w:val="single" w:color="000000" w:sz="4" w:space="0"/>
            </w:tcBorders>
            <w:shd w:val="clear" w:color="auto" w:fill="auto"/>
            <w:vAlign w:val="center"/>
          </w:tcPr>
          <w:p w14:paraId="757BD874">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2022年移民员工资及五险</w:t>
            </w:r>
          </w:p>
        </w:tc>
      </w:tr>
      <w:tr w14:paraId="42CE56E7">
        <w:tblPrEx>
          <w:tblCellMar>
            <w:top w:w="0" w:type="dxa"/>
            <w:left w:w="108" w:type="dxa"/>
            <w:bottom w:w="0" w:type="dxa"/>
            <w:right w:w="108" w:type="dxa"/>
          </w:tblCellMar>
        </w:tblPrEx>
        <w:trPr>
          <w:trHeight w:val="514"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090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59" w:type="pct"/>
            <w:gridSpan w:val="5"/>
            <w:tcBorders>
              <w:top w:val="single" w:color="000000" w:sz="4" w:space="0"/>
              <w:left w:val="nil"/>
              <w:bottom w:val="single" w:color="000000" w:sz="4" w:space="0"/>
              <w:right w:val="single" w:color="000000" w:sz="4" w:space="0"/>
            </w:tcBorders>
            <w:shd w:val="clear" w:color="auto" w:fill="auto"/>
            <w:vAlign w:val="center"/>
          </w:tcPr>
          <w:p w14:paraId="4AF13369">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86" w:type="pct"/>
            <w:tcBorders>
              <w:top w:val="nil"/>
              <w:left w:val="nil"/>
              <w:bottom w:val="nil"/>
              <w:right w:val="nil"/>
            </w:tcBorders>
            <w:shd w:val="clear" w:color="auto" w:fill="auto"/>
            <w:vAlign w:val="center"/>
          </w:tcPr>
          <w:p w14:paraId="605D60E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B2696">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p>
        </w:tc>
      </w:tr>
      <w:tr w14:paraId="38CA951E">
        <w:tblPrEx>
          <w:tblCellMar>
            <w:top w:w="0" w:type="dxa"/>
            <w:left w:w="108" w:type="dxa"/>
            <w:bottom w:w="0" w:type="dxa"/>
            <w:right w:w="108" w:type="dxa"/>
          </w:tblCellMar>
        </w:tblPrEx>
        <w:trPr>
          <w:trHeight w:val="285" w:hRule="atLeast"/>
        </w:trPr>
        <w:tc>
          <w:tcPr>
            <w:tcW w:w="246" w:type="pct"/>
            <w:vMerge w:val="restart"/>
            <w:tcBorders>
              <w:top w:val="nil"/>
              <w:left w:val="single" w:color="000000" w:sz="4" w:space="0"/>
              <w:bottom w:val="single" w:color="000000" w:sz="4" w:space="0"/>
              <w:right w:val="single" w:color="000000" w:sz="4" w:space="0"/>
            </w:tcBorders>
            <w:shd w:val="clear" w:color="auto" w:fill="auto"/>
            <w:vAlign w:val="center"/>
          </w:tcPr>
          <w:p w14:paraId="241A883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054D48B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59" w:type="pct"/>
            <w:gridSpan w:val="5"/>
            <w:tcBorders>
              <w:top w:val="single" w:color="000000" w:sz="4" w:space="0"/>
              <w:left w:val="nil"/>
              <w:bottom w:val="single" w:color="000000" w:sz="4" w:space="0"/>
              <w:right w:val="single" w:color="000000" w:sz="4" w:space="0"/>
            </w:tcBorders>
            <w:shd w:val="clear" w:color="auto" w:fill="auto"/>
            <w:vAlign w:val="center"/>
          </w:tcPr>
          <w:p w14:paraId="679EC1A2">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80" w:type="pct"/>
            <w:gridSpan w:val="4"/>
            <w:tcBorders>
              <w:top w:val="single" w:color="000000" w:sz="4" w:space="0"/>
              <w:left w:val="nil"/>
              <w:bottom w:val="single" w:color="000000" w:sz="4" w:space="0"/>
              <w:right w:val="single" w:color="000000" w:sz="4" w:space="0"/>
            </w:tcBorders>
            <w:shd w:val="clear" w:color="auto" w:fill="auto"/>
            <w:vAlign w:val="center"/>
          </w:tcPr>
          <w:p w14:paraId="5D00FB2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50094E9">
        <w:tblPrEx>
          <w:tblCellMar>
            <w:top w:w="0" w:type="dxa"/>
            <w:left w:w="108" w:type="dxa"/>
            <w:bottom w:w="0" w:type="dxa"/>
            <w:right w:w="108" w:type="dxa"/>
          </w:tblCellMar>
        </w:tblPrEx>
        <w:trPr>
          <w:trHeight w:val="709" w:hRule="atLeast"/>
        </w:trPr>
        <w:tc>
          <w:tcPr>
            <w:tcW w:w="246" w:type="pct"/>
            <w:vMerge w:val="continue"/>
            <w:tcBorders>
              <w:top w:val="nil"/>
              <w:left w:val="single" w:color="000000" w:sz="4" w:space="0"/>
              <w:bottom w:val="single" w:color="000000" w:sz="4" w:space="0"/>
              <w:right w:val="single" w:color="000000" w:sz="4" w:space="0"/>
            </w:tcBorders>
            <w:vAlign w:val="center"/>
          </w:tcPr>
          <w:p w14:paraId="3435D320">
            <w:pPr>
              <w:widowControl/>
              <w:jc w:val="left"/>
              <w:rPr>
                <w:rFonts w:ascii="宋体" w:hAnsi="宋体" w:cs="宋体"/>
                <w:color w:val="000000"/>
                <w:kern w:val="0"/>
                <w:sz w:val="18"/>
                <w:szCs w:val="18"/>
              </w:rPr>
            </w:pPr>
          </w:p>
        </w:tc>
        <w:tc>
          <w:tcPr>
            <w:tcW w:w="715" w:type="pct"/>
            <w:vMerge w:val="continue"/>
            <w:tcBorders>
              <w:top w:val="nil"/>
              <w:left w:val="single" w:color="000000" w:sz="4" w:space="0"/>
              <w:bottom w:val="single" w:color="000000" w:sz="4" w:space="0"/>
              <w:right w:val="single" w:color="000000" w:sz="4" w:space="0"/>
            </w:tcBorders>
            <w:vAlign w:val="center"/>
          </w:tcPr>
          <w:p w14:paraId="14A5666A">
            <w:pPr>
              <w:widowControl/>
              <w:jc w:val="left"/>
              <w:rPr>
                <w:rFonts w:ascii="宋体" w:hAnsi="宋体" w:cs="宋体"/>
                <w:color w:val="000000"/>
                <w:kern w:val="0"/>
                <w:sz w:val="18"/>
                <w:szCs w:val="18"/>
              </w:rPr>
            </w:pPr>
          </w:p>
        </w:tc>
        <w:tc>
          <w:tcPr>
            <w:tcW w:w="2359" w:type="pct"/>
            <w:gridSpan w:val="5"/>
            <w:tcBorders>
              <w:top w:val="single" w:color="000000" w:sz="4" w:space="0"/>
              <w:left w:val="nil"/>
              <w:bottom w:val="single" w:color="000000" w:sz="4" w:space="0"/>
              <w:right w:val="single" w:color="000000" w:sz="4" w:space="0"/>
            </w:tcBorders>
            <w:shd w:val="clear" w:color="auto" w:fill="auto"/>
            <w:vAlign w:val="center"/>
          </w:tcPr>
          <w:p w14:paraId="6505F104">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全县各移民乡镇移民工作正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高质量完成移民工作。</w:t>
            </w:r>
          </w:p>
        </w:tc>
        <w:tc>
          <w:tcPr>
            <w:tcW w:w="1680" w:type="pct"/>
            <w:gridSpan w:val="4"/>
            <w:tcBorders>
              <w:top w:val="single" w:color="000000" w:sz="4" w:space="0"/>
              <w:left w:val="nil"/>
              <w:bottom w:val="single" w:color="000000" w:sz="4" w:space="0"/>
              <w:right w:val="single" w:color="000000" w:sz="4" w:space="0"/>
            </w:tcBorders>
            <w:shd w:val="clear" w:color="auto" w:fill="auto"/>
            <w:vAlign w:val="center"/>
          </w:tcPr>
          <w:p w14:paraId="4C8B452C">
            <w:pPr>
              <w:widowControl/>
              <w:jc w:val="left"/>
              <w:rPr>
                <w:rFonts w:hint="default" w:ascii="Courier New" w:hAnsi="Courier New" w:eastAsia="宋体" w:cs="Courier New"/>
                <w:color w:val="000000"/>
                <w:kern w:val="0"/>
                <w:sz w:val="18"/>
                <w:szCs w:val="18"/>
                <w:lang w:val="en-US" w:eastAsia="zh-CN"/>
              </w:rPr>
            </w:pPr>
            <w:r>
              <w:rPr>
                <w:rFonts w:hint="eastAsia" w:ascii="Courier New" w:hAnsi="Courier New" w:cs="Courier New"/>
                <w:color w:val="000000"/>
                <w:kern w:val="0"/>
                <w:sz w:val="18"/>
                <w:szCs w:val="18"/>
                <w:lang w:eastAsia="zh-CN"/>
              </w:rPr>
              <w:t>完成</w:t>
            </w:r>
            <w:r>
              <w:rPr>
                <w:rFonts w:hint="eastAsia" w:ascii="Courier New" w:hAnsi="Courier New" w:cs="Courier New"/>
                <w:color w:val="000000"/>
                <w:kern w:val="0"/>
                <w:sz w:val="18"/>
                <w:szCs w:val="18"/>
                <w:lang w:val="en-US" w:eastAsia="zh-CN"/>
              </w:rPr>
              <w:t>2022年目标考核任务</w:t>
            </w:r>
          </w:p>
        </w:tc>
      </w:tr>
      <w:tr w14:paraId="4B382E1B">
        <w:tblPrEx>
          <w:tblCellMar>
            <w:top w:w="0" w:type="dxa"/>
            <w:left w:w="108" w:type="dxa"/>
            <w:bottom w:w="0" w:type="dxa"/>
            <w:right w:w="108" w:type="dxa"/>
          </w:tblCellMar>
        </w:tblPrEx>
        <w:trPr>
          <w:trHeight w:val="694" w:hRule="atLeast"/>
        </w:trPr>
        <w:tc>
          <w:tcPr>
            <w:tcW w:w="246" w:type="pct"/>
            <w:vMerge w:val="continue"/>
            <w:tcBorders>
              <w:top w:val="nil"/>
              <w:left w:val="single" w:color="000000" w:sz="4" w:space="0"/>
              <w:bottom w:val="single" w:color="000000" w:sz="4" w:space="0"/>
              <w:right w:val="single" w:color="000000" w:sz="4" w:space="0"/>
            </w:tcBorders>
            <w:vAlign w:val="center"/>
          </w:tcPr>
          <w:p w14:paraId="64001ED2">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60C5469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38" w:type="pct"/>
            <w:gridSpan w:val="9"/>
            <w:tcBorders>
              <w:top w:val="single" w:color="000000" w:sz="4" w:space="0"/>
              <w:left w:val="nil"/>
              <w:bottom w:val="single" w:color="000000" w:sz="4" w:space="0"/>
              <w:right w:val="single" w:color="000000" w:sz="4" w:space="0"/>
            </w:tcBorders>
            <w:shd w:val="clear" w:color="auto" w:fill="auto"/>
            <w:vAlign w:val="center"/>
          </w:tcPr>
          <w:p w14:paraId="67D85C08">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移民员工资及五险一金</w:t>
            </w:r>
          </w:p>
        </w:tc>
      </w:tr>
      <w:tr w14:paraId="78A83D83">
        <w:tblPrEx>
          <w:tblCellMar>
            <w:top w:w="0" w:type="dxa"/>
            <w:left w:w="108" w:type="dxa"/>
            <w:bottom w:w="0" w:type="dxa"/>
            <w:right w:w="108" w:type="dxa"/>
          </w:tblCellMar>
        </w:tblPrEx>
        <w:trPr>
          <w:trHeight w:val="360" w:hRule="atLeast"/>
        </w:trPr>
        <w:tc>
          <w:tcPr>
            <w:tcW w:w="246" w:type="pct"/>
            <w:vMerge w:val="restart"/>
            <w:tcBorders>
              <w:top w:val="nil"/>
              <w:left w:val="single" w:color="000000" w:sz="4" w:space="0"/>
              <w:bottom w:val="single" w:color="000000" w:sz="4" w:space="0"/>
              <w:right w:val="single" w:color="000000" w:sz="4" w:space="0"/>
            </w:tcBorders>
            <w:shd w:val="clear" w:color="auto" w:fill="auto"/>
            <w:vAlign w:val="center"/>
          </w:tcPr>
          <w:p w14:paraId="370E7B6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15" w:type="pct"/>
            <w:tcBorders>
              <w:top w:val="nil"/>
              <w:left w:val="nil"/>
              <w:bottom w:val="single" w:color="000000" w:sz="4" w:space="0"/>
              <w:right w:val="single" w:color="000000" w:sz="4" w:space="0"/>
            </w:tcBorders>
            <w:shd w:val="clear" w:color="auto" w:fill="auto"/>
            <w:vAlign w:val="center"/>
          </w:tcPr>
          <w:p w14:paraId="2688C95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0" w:type="pct"/>
            <w:tcBorders>
              <w:top w:val="nil"/>
              <w:left w:val="nil"/>
              <w:bottom w:val="single" w:color="000000" w:sz="4" w:space="0"/>
              <w:right w:val="single" w:color="000000" w:sz="4" w:space="0"/>
            </w:tcBorders>
            <w:shd w:val="clear" w:color="auto" w:fill="auto"/>
            <w:vAlign w:val="center"/>
          </w:tcPr>
          <w:p w14:paraId="15FFBF1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7" w:type="pct"/>
            <w:tcBorders>
              <w:top w:val="nil"/>
              <w:left w:val="nil"/>
              <w:bottom w:val="single" w:color="000000" w:sz="4" w:space="0"/>
              <w:right w:val="single" w:color="000000" w:sz="4" w:space="0"/>
            </w:tcBorders>
            <w:shd w:val="clear" w:color="auto" w:fill="auto"/>
            <w:vAlign w:val="center"/>
          </w:tcPr>
          <w:p w14:paraId="3434DDD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69CC9EB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6" w:type="pct"/>
            <w:tcBorders>
              <w:top w:val="nil"/>
              <w:left w:val="nil"/>
              <w:bottom w:val="single" w:color="000000" w:sz="4" w:space="0"/>
              <w:right w:val="single" w:color="000000" w:sz="4" w:space="0"/>
            </w:tcBorders>
            <w:shd w:val="clear" w:color="auto" w:fill="auto"/>
            <w:vAlign w:val="center"/>
          </w:tcPr>
          <w:p w14:paraId="370D8F7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3" w:type="pct"/>
            <w:tcBorders>
              <w:top w:val="nil"/>
              <w:left w:val="nil"/>
              <w:bottom w:val="single" w:color="000000" w:sz="4" w:space="0"/>
              <w:right w:val="single" w:color="000000" w:sz="4" w:space="0"/>
            </w:tcBorders>
            <w:shd w:val="clear" w:color="auto" w:fill="auto"/>
            <w:vAlign w:val="center"/>
          </w:tcPr>
          <w:p w14:paraId="2B1773E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3" w:type="pct"/>
            <w:tcBorders>
              <w:top w:val="nil"/>
              <w:left w:val="nil"/>
              <w:bottom w:val="single" w:color="000000" w:sz="4" w:space="0"/>
              <w:right w:val="single" w:color="000000" w:sz="4" w:space="0"/>
            </w:tcBorders>
            <w:shd w:val="clear" w:color="auto" w:fill="auto"/>
            <w:vAlign w:val="center"/>
          </w:tcPr>
          <w:p w14:paraId="0D8D585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87" w:type="pct"/>
            <w:tcBorders>
              <w:top w:val="nil"/>
              <w:left w:val="nil"/>
              <w:bottom w:val="single" w:color="000000" w:sz="4" w:space="0"/>
              <w:right w:val="single" w:color="000000" w:sz="4" w:space="0"/>
            </w:tcBorders>
            <w:shd w:val="clear" w:color="auto" w:fill="auto"/>
            <w:vAlign w:val="center"/>
          </w:tcPr>
          <w:p w14:paraId="7495783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75823CC">
        <w:tblPrEx>
          <w:tblCellMar>
            <w:top w:w="0" w:type="dxa"/>
            <w:left w:w="108" w:type="dxa"/>
            <w:bottom w:w="0" w:type="dxa"/>
            <w:right w:w="108" w:type="dxa"/>
          </w:tblCellMar>
        </w:tblPrEx>
        <w:trPr>
          <w:trHeight w:val="387" w:hRule="atLeast"/>
        </w:trPr>
        <w:tc>
          <w:tcPr>
            <w:tcW w:w="246" w:type="pct"/>
            <w:vMerge w:val="continue"/>
            <w:tcBorders>
              <w:top w:val="nil"/>
              <w:left w:val="single" w:color="000000" w:sz="4" w:space="0"/>
              <w:bottom w:val="single" w:color="000000" w:sz="4" w:space="0"/>
              <w:right w:val="single" w:color="000000" w:sz="4" w:space="0"/>
            </w:tcBorders>
            <w:vAlign w:val="center"/>
          </w:tcPr>
          <w:p w14:paraId="1E80A0E2">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316AEA8C">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0" w:type="pct"/>
            <w:tcBorders>
              <w:top w:val="nil"/>
              <w:left w:val="nil"/>
              <w:bottom w:val="single" w:color="000000" w:sz="4" w:space="0"/>
              <w:right w:val="single" w:color="000000" w:sz="4" w:space="0"/>
            </w:tcBorders>
            <w:shd w:val="clear" w:color="auto" w:fill="auto"/>
            <w:vAlign w:val="center"/>
          </w:tcPr>
          <w:p w14:paraId="2385F66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787" w:type="pct"/>
            <w:tcBorders>
              <w:top w:val="nil"/>
              <w:left w:val="nil"/>
              <w:bottom w:val="single" w:color="000000" w:sz="4" w:space="0"/>
              <w:right w:val="single" w:color="000000" w:sz="4" w:space="0"/>
            </w:tcBorders>
            <w:shd w:val="clear" w:color="auto" w:fill="auto"/>
            <w:vAlign w:val="center"/>
          </w:tcPr>
          <w:p w14:paraId="46DD414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14.16</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73ED6C49">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48DDDB5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3" w:type="pct"/>
            <w:tcBorders>
              <w:top w:val="nil"/>
              <w:left w:val="nil"/>
              <w:bottom w:val="single" w:color="000000" w:sz="4" w:space="0"/>
              <w:right w:val="single" w:color="000000" w:sz="4" w:space="0"/>
            </w:tcBorders>
            <w:shd w:val="clear" w:color="auto" w:fill="auto"/>
            <w:vAlign w:val="center"/>
          </w:tcPr>
          <w:p w14:paraId="0D262A7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3" w:type="pct"/>
            <w:tcBorders>
              <w:top w:val="nil"/>
              <w:left w:val="nil"/>
              <w:bottom w:val="single" w:color="000000" w:sz="4" w:space="0"/>
              <w:right w:val="single" w:color="000000" w:sz="4" w:space="0"/>
            </w:tcBorders>
            <w:shd w:val="clear" w:color="auto" w:fill="auto"/>
            <w:vAlign w:val="center"/>
          </w:tcPr>
          <w:p w14:paraId="3CCAD6D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87" w:type="pct"/>
            <w:vMerge w:val="restart"/>
            <w:tcBorders>
              <w:top w:val="nil"/>
              <w:left w:val="single" w:color="000000" w:sz="4" w:space="0"/>
              <w:bottom w:val="single" w:color="000000" w:sz="4" w:space="0"/>
              <w:right w:val="single" w:color="000000" w:sz="4" w:space="0"/>
            </w:tcBorders>
            <w:shd w:val="clear" w:color="auto" w:fill="auto"/>
            <w:vAlign w:val="center"/>
          </w:tcPr>
          <w:p w14:paraId="36F02111">
            <w:pPr>
              <w:widowControl/>
              <w:jc w:val="center"/>
              <w:rPr>
                <w:rFonts w:ascii="Courier New" w:hAnsi="Courier New" w:cs="Courier New"/>
                <w:i/>
                <w:iCs/>
                <w:color w:val="000000"/>
                <w:kern w:val="0"/>
                <w:sz w:val="18"/>
                <w:szCs w:val="18"/>
              </w:rPr>
            </w:pPr>
            <w:r>
              <w:rPr>
                <w:rFonts w:ascii="Courier New" w:hAnsi="Courier New" w:cs="Courier New"/>
                <w:i/>
                <w:iCs/>
                <w:color w:val="000000"/>
                <w:kern w:val="0"/>
                <w:sz w:val="18"/>
                <w:szCs w:val="18"/>
              </w:rPr>
              <w:t>完成</w:t>
            </w:r>
          </w:p>
        </w:tc>
      </w:tr>
      <w:tr w14:paraId="1FF6BE84">
        <w:tblPrEx>
          <w:tblCellMar>
            <w:top w:w="0" w:type="dxa"/>
            <w:left w:w="108" w:type="dxa"/>
            <w:bottom w:w="0" w:type="dxa"/>
            <w:right w:w="108" w:type="dxa"/>
          </w:tblCellMar>
        </w:tblPrEx>
        <w:trPr>
          <w:trHeight w:val="432" w:hRule="atLeast"/>
        </w:trPr>
        <w:tc>
          <w:tcPr>
            <w:tcW w:w="246" w:type="pct"/>
            <w:vMerge w:val="continue"/>
            <w:tcBorders>
              <w:top w:val="nil"/>
              <w:left w:val="single" w:color="000000" w:sz="4" w:space="0"/>
              <w:bottom w:val="single" w:color="000000" w:sz="4" w:space="0"/>
              <w:right w:val="single" w:color="000000" w:sz="4" w:space="0"/>
            </w:tcBorders>
            <w:vAlign w:val="center"/>
          </w:tcPr>
          <w:p w14:paraId="1BD12415">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136539B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62" w:type="dxa"/>
            <w:tcBorders>
              <w:top w:val="nil"/>
              <w:left w:val="nil"/>
              <w:bottom w:val="single" w:color="000000" w:sz="4" w:space="0"/>
              <w:right w:val="single" w:color="000000" w:sz="4" w:space="0"/>
            </w:tcBorders>
            <w:shd w:val="clear" w:color="auto" w:fill="auto"/>
            <w:vAlign w:val="center"/>
          </w:tcPr>
          <w:p w14:paraId="64C8B54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20</w:t>
            </w:r>
          </w:p>
        </w:tc>
        <w:tc>
          <w:tcPr>
            <w:tcW w:w="1206" w:type="dxa"/>
            <w:tcBorders>
              <w:top w:val="nil"/>
              <w:left w:val="nil"/>
              <w:bottom w:val="single" w:color="000000" w:sz="4" w:space="0"/>
              <w:right w:val="single" w:color="000000" w:sz="4" w:space="0"/>
            </w:tcBorders>
            <w:shd w:val="clear" w:color="auto" w:fill="auto"/>
            <w:vAlign w:val="center"/>
          </w:tcPr>
          <w:p w14:paraId="12498EFD">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1536" w:type="dxa"/>
            <w:gridSpan w:val="3"/>
            <w:tcBorders>
              <w:top w:val="single" w:color="000000" w:sz="4" w:space="0"/>
              <w:left w:val="nil"/>
              <w:bottom w:val="single" w:color="000000" w:sz="4" w:space="0"/>
              <w:right w:val="single" w:color="000000" w:sz="4" w:space="0"/>
            </w:tcBorders>
            <w:shd w:val="clear" w:color="auto" w:fill="auto"/>
            <w:vAlign w:val="center"/>
          </w:tcPr>
          <w:p w14:paraId="2C22424C">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0C06C12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3" w:type="pct"/>
            <w:tcBorders>
              <w:top w:val="nil"/>
              <w:left w:val="nil"/>
              <w:bottom w:val="single" w:color="000000" w:sz="4" w:space="0"/>
              <w:right w:val="single" w:color="000000" w:sz="4" w:space="0"/>
            </w:tcBorders>
            <w:shd w:val="clear" w:color="auto" w:fill="auto"/>
            <w:vAlign w:val="center"/>
          </w:tcPr>
          <w:p w14:paraId="302653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0D51FCB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3F80975B">
            <w:pPr>
              <w:widowControl/>
              <w:jc w:val="left"/>
              <w:rPr>
                <w:rFonts w:ascii="Courier New" w:hAnsi="Courier New" w:cs="Courier New"/>
                <w:i/>
                <w:iCs/>
                <w:color w:val="000000"/>
                <w:kern w:val="0"/>
                <w:sz w:val="18"/>
                <w:szCs w:val="18"/>
              </w:rPr>
            </w:pPr>
          </w:p>
        </w:tc>
      </w:tr>
      <w:tr w14:paraId="5DCF520A">
        <w:tblPrEx>
          <w:tblCellMar>
            <w:top w:w="0" w:type="dxa"/>
            <w:left w:w="108" w:type="dxa"/>
            <w:bottom w:w="0" w:type="dxa"/>
            <w:right w:w="108" w:type="dxa"/>
          </w:tblCellMar>
        </w:tblPrEx>
        <w:trPr>
          <w:trHeight w:val="447" w:hRule="atLeast"/>
        </w:trPr>
        <w:tc>
          <w:tcPr>
            <w:tcW w:w="246" w:type="pct"/>
            <w:vMerge w:val="continue"/>
            <w:tcBorders>
              <w:top w:val="nil"/>
              <w:left w:val="single" w:color="000000" w:sz="4" w:space="0"/>
              <w:bottom w:val="single" w:color="000000" w:sz="4" w:space="0"/>
              <w:right w:val="single" w:color="000000" w:sz="4" w:space="0"/>
            </w:tcBorders>
            <w:vAlign w:val="center"/>
          </w:tcPr>
          <w:p w14:paraId="7B0FB9DE">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15F6D58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62" w:type="dxa"/>
            <w:tcBorders>
              <w:top w:val="nil"/>
              <w:left w:val="nil"/>
              <w:bottom w:val="single" w:color="000000" w:sz="4" w:space="0"/>
              <w:right w:val="single" w:color="000000" w:sz="4" w:space="0"/>
            </w:tcBorders>
            <w:shd w:val="clear" w:color="auto" w:fill="auto"/>
            <w:vAlign w:val="center"/>
          </w:tcPr>
          <w:p w14:paraId="04EDD05D">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20</w:t>
            </w:r>
          </w:p>
        </w:tc>
        <w:tc>
          <w:tcPr>
            <w:tcW w:w="1206" w:type="dxa"/>
            <w:tcBorders>
              <w:top w:val="nil"/>
              <w:left w:val="nil"/>
              <w:bottom w:val="single" w:color="000000" w:sz="4" w:space="0"/>
              <w:right w:val="single" w:color="000000" w:sz="4" w:space="0"/>
            </w:tcBorders>
            <w:shd w:val="clear" w:color="auto" w:fill="auto"/>
            <w:vAlign w:val="center"/>
          </w:tcPr>
          <w:p w14:paraId="20CBA7E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1536" w:type="dxa"/>
            <w:gridSpan w:val="3"/>
            <w:tcBorders>
              <w:top w:val="single" w:color="000000" w:sz="4" w:space="0"/>
              <w:left w:val="nil"/>
              <w:bottom w:val="single" w:color="000000" w:sz="4" w:space="0"/>
              <w:right w:val="single" w:color="000000" w:sz="4" w:space="0"/>
            </w:tcBorders>
            <w:shd w:val="clear" w:color="auto" w:fill="auto"/>
            <w:vAlign w:val="center"/>
          </w:tcPr>
          <w:p w14:paraId="730826B0">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221A5B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3" w:type="pct"/>
            <w:tcBorders>
              <w:top w:val="nil"/>
              <w:left w:val="nil"/>
              <w:bottom w:val="single" w:color="000000" w:sz="4" w:space="0"/>
              <w:right w:val="single" w:color="000000" w:sz="4" w:space="0"/>
            </w:tcBorders>
            <w:shd w:val="clear" w:color="auto" w:fill="auto"/>
            <w:vAlign w:val="center"/>
          </w:tcPr>
          <w:p w14:paraId="3C9EEC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1A2D13C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22556BB0">
            <w:pPr>
              <w:widowControl/>
              <w:jc w:val="left"/>
              <w:rPr>
                <w:rFonts w:ascii="Courier New" w:hAnsi="Courier New" w:cs="Courier New"/>
                <w:i/>
                <w:iCs/>
                <w:color w:val="000000"/>
                <w:kern w:val="0"/>
                <w:sz w:val="18"/>
                <w:szCs w:val="18"/>
              </w:rPr>
            </w:pPr>
          </w:p>
        </w:tc>
      </w:tr>
      <w:tr w14:paraId="336F459D">
        <w:tblPrEx>
          <w:tblCellMar>
            <w:top w:w="0" w:type="dxa"/>
            <w:left w:w="108" w:type="dxa"/>
            <w:bottom w:w="0" w:type="dxa"/>
            <w:right w:w="108" w:type="dxa"/>
          </w:tblCellMar>
        </w:tblPrEx>
        <w:trPr>
          <w:trHeight w:val="402" w:hRule="atLeast"/>
        </w:trPr>
        <w:tc>
          <w:tcPr>
            <w:tcW w:w="246" w:type="pct"/>
            <w:vMerge w:val="continue"/>
            <w:tcBorders>
              <w:top w:val="nil"/>
              <w:left w:val="single" w:color="000000" w:sz="4" w:space="0"/>
              <w:bottom w:val="single" w:color="000000" w:sz="4" w:space="0"/>
              <w:right w:val="single" w:color="000000" w:sz="4" w:space="0"/>
            </w:tcBorders>
            <w:vAlign w:val="center"/>
          </w:tcPr>
          <w:p w14:paraId="569F56BA">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704C978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62" w:type="dxa"/>
            <w:tcBorders>
              <w:top w:val="nil"/>
              <w:left w:val="nil"/>
              <w:bottom w:val="single" w:color="000000" w:sz="4" w:space="0"/>
              <w:right w:val="single" w:color="000000" w:sz="4" w:space="0"/>
            </w:tcBorders>
            <w:shd w:val="clear" w:color="auto" w:fill="auto"/>
            <w:vAlign w:val="center"/>
          </w:tcPr>
          <w:p w14:paraId="08D3BC60">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20</w:t>
            </w:r>
          </w:p>
        </w:tc>
        <w:tc>
          <w:tcPr>
            <w:tcW w:w="1206" w:type="dxa"/>
            <w:tcBorders>
              <w:top w:val="nil"/>
              <w:left w:val="nil"/>
              <w:bottom w:val="single" w:color="000000" w:sz="4" w:space="0"/>
              <w:right w:val="single" w:color="000000" w:sz="4" w:space="0"/>
            </w:tcBorders>
            <w:shd w:val="clear" w:color="auto" w:fill="auto"/>
            <w:vAlign w:val="center"/>
          </w:tcPr>
          <w:p w14:paraId="30EC477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1536" w:type="dxa"/>
            <w:gridSpan w:val="3"/>
            <w:tcBorders>
              <w:top w:val="single" w:color="000000" w:sz="4" w:space="0"/>
              <w:left w:val="nil"/>
              <w:bottom w:val="single" w:color="000000" w:sz="4" w:space="0"/>
              <w:right w:val="single" w:color="000000" w:sz="4" w:space="0"/>
            </w:tcBorders>
            <w:shd w:val="clear" w:color="auto" w:fill="auto"/>
            <w:vAlign w:val="center"/>
          </w:tcPr>
          <w:p w14:paraId="58CDE489">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2C30E3E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3" w:type="pct"/>
            <w:tcBorders>
              <w:top w:val="nil"/>
              <w:left w:val="nil"/>
              <w:bottom w:val="single" w:color="000000" w:sz="4" w:space="0"/>
              <w:right w:val="single" w:color="000000" w:sz="4" w:space="0"/>
            </w:tcBorders>
            <w:shd w:val="clear" w:color="auto" w:fill="auto"/>
            <w:vAlign w:val="center"/>
          </w:tcPr>
          <w:p w14:paraId="522F2B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0E82F56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12E4F949">
            <w:pPr>
              <w:widowControl/>
              <w:jc w:val="left"/>
              <w:rPr>
                <w:rFonts w:ascii="Courier New" w:hAnsi="Courier New" w:cs="Courier New"/>
                <w:i/>
                <w:iCs/>
                <w:color w:val="000000"/>
                <w:kern w:val="0"/>
                <w:sz w:val="18"/>
                <w:szCs w:val="18"/>
              </w:rPr>
            </w:pPr>
          </w:p>
        </w:tc>
      </w:tr>
      <w:tr w14:paraId="1D6A1F0E">
        <w:tblPrEx>
          <w:tblCellMar>
            <w:top w:w="0" w:type="dxa"/>
            <w:left w:w="108" w:type="dxa"/>
            <w:bottom w:w="0" w:type="dxa"/>
            <w:right w:w="108" w:type="dxa"/>
          </w:tblCellMar>
        </w:tblPrEx>
        <w:trPr>
          <w:trHeight w:val="379" w:hRule="atLeast"/>
        </w:trPr>
        <w:tc>
          <w:tcPr>
            <w:tcW w:w="246" w:type="pct"/>
            <w:vMerge w:val="continue"/>
            <w:tcBorders>
              <w:top w:val="nil"/>
              <w:left w:val="single" w:color="000000" w:sz="4" w:space="0"/>
              <w:bottom w:val="single" w:color="000000" w:sz="4" w:space="0"/>
              <w:right w:val="single" w:color="000000" w:sz="4" w:space="0"/>
            </w:tcBorders>
            <w:vAlign w:val="center"/>
          </w:tcPr>
          <w:p w14:paraId="23BBDFA4">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64E92CF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0" w:type="pct"/>
            <w:tcBorders>
              <w:top w:val="nil"/>
              <w:left w:val="nil"/>
              <w:bottom w:val="single" w:color="000000" w:sz="4" w:space="0"/>
              <w:right w:val="single" w:color="000000" w:sz="4" w:space="0"/>
            </w:tcBorders>
            <w:shd w:val="clear" w:color="auto" w:fill="auto"/>
            <w:vAlign w:val="center"/>
          </w:tcPr>
          <w:p w14:paraId="50700B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7" w:type="pct"/>
            <w:tcBorders>
              <w:top w:val="nil"/>
              <w:left w:val="nil"/>
              <w:bottom w:val="single" w:color="000000" w:sz="4" w:space="0"/>
              <w:right w:val="single" w:color="000000" w:sz="4" w:space="0"/>
            </w:tcBorders>
            <w:shd w:val="clear" w:color="auto" w:fill="auto"/>
            <w:vAlign w:val="center"/>
          </w:tcPr>
          <w:p w14:paraId="5B13D14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0BB560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6" w:type="pct"/>
            <w:tcBorders>
              <w:top w:val="nil"/>
              <w:left w:val="nil"/>
              <w:bottom w:val="single" w:color="000000" w:sz="4" w:space="0"/>
              <w:right w:val="single" w:color="000000" w:sz="4" w:space="0"/>
            </w:tcBorders>
            <w:shd w:val="clear" w:color="auto" w:fill="auto"/>
            <w:vAlign w:val="center"/>
          </w:tcPr>
          <w:p w14:paraId="5E4D6D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3" w:type="pct"/>
            <w:tcBorders>
              <w:top w:val="nil"/>
              <w:left w:val="nil"/>
              <w:bottom w:val="single" w:color="000000" w:sz="4" w:space="0"/>
              <w:right w:val="single" w:color="000000" w:sz="4" w:space="0"/>
            </w:tcBorders>
            <w:shd w:val="clear" w:color="auto" w:fill="auto"/>
            <w:vAlign w:val="center"/>
          </w:tcPr>
          <w:p w14:paraId="498A2A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0541107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45E856B0">
            <w:pPr>
              <w:widowControl/>
              <w:jc w:val="left"/>
              <w:rPr>
                <w:rFonts w:ascii="Courier New" w:hAnsi="Courier New" w:cs="Courier New"/>
                <w:i/>
                <w:iCs/>
                <w:color w:val="000000"/>
                <w:kern w:val="0"/>
                <w:sz w:val="18"/>
                <w:szCs w:val="18"/>
              </w:rPr>
            </w:pPr>
          </w:p>
        </w:tc>
      </w:tr>
      <w:tr w14:paraId="3B7FEB5B">
        <w:tblPrEx>
          <w:tblCellMar>
            <w:top w:w="0" w:type="dxa"/>
            <w:left w:w="108" w:type="dxa"/>
            <w:bottom w:w="0" w:type="dxa"/>
            <w:right w:w="108" w:type="dxa"/>
          </w:tblCellMar>
        </w:tblPrEx>
        <w:trPr>
          <w:trHeight w:val="454" w:hRule="atLeast"/>
        </w:trPr>
        <w:tc>
          <w:tcPr>
            <w:tcW w:w="246" w:type="pct"/>
            <w:vMerge w:val="restart"/>
            <w:tcBorders>
              <w:top w:val="nil"/>
              <w:left w:val="single" w:color="000000" w:sz="4" w:space="0"/>
              <w:bottom w:val="single" w:color="000000" w:sz="4" w:space="0"/>
              <w:right w:val="single" w:color="000000" w:sz="4" w:space="0"/>
            </w:tcBorders>
            <w:shd w:val="clear" w:color="auto" w:fill="auto"/>
            <w:vAlign w:val="center"/>
          </w:tcPr>
          <w:p w14:paraId="672B19B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15" w:type="pct"/>
            <w:tcBorders>
              <w:top w:val="nil"/>
              <w:left w:val="nil"/>
              <w:bottom w:val="single" w:color="000000" w:sz="4" w:space="0"/>
              <w:right w:val="single" w:color="000000" w:sz="4" w:space="0"/>
            </w:tcBorders>
            <w:shd w:val="clear" w:color="auto" w:fill="auto"/>
            <w:vAlign w:val="center"/>
          </w:tcPr>
          <w:p w14:paraId="7D2D9DF7">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0" w:type="pct"/>
            <w:tcBorders>
              <w:top w:val="nil"/>
              <w:left w:val="nil"/>
              <w:bottom w:val="single" w:color="000000" w:sz="4" w:space="0"/>
              <w:right w:val="single" w:color="000000" w:sz="4" w:space="0"/>
            </w:tcBorders>
            <w:shd w:val="clear" w:color="auto" w:fill="auto"/>
            <w:vAlign w:val="center"/>
          </w:tcPr>
          <w:p w14:paraId="54D3EF5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7" w:type="pct"/>
            <w:tcBorders>
              <w:top w:val="nil"/>
              <w:left w:val="nil"/>
              <w:bottom w:val="single" w:color="000000" w:sz="4" w:space="0"/>
              <w:right w:val="single" w:color="000000" w:sz="4" w:space="0"/>
            </w:tcBorders>
            <w:shd w:val="clear" w:color="auto" w:fill="auto"/>
            <w:vAlign w:val="center"/>
          </w:tcPr>
          <w:p w14:paraId="22571E5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3" w:type="pct"/>
            <w:tcBorders>
              <w:top w:val="nil"/>
              <w:left w:val="nil"/>
              <w:bottom w:val="single" w:color="000000" w:sz="4" w:space="0"/>
              <w:right w:val="single" w:color="000000" w:sz="4" w:space="0"/>
            </w:tcBorders>
            <w:shd w:val="clear" w:color="auto" w:fill="auto"/>
            <w:vAlign w:val="center"/>
          </w:tcPr>
          <w:p w14:paraId="2644B40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86" w:type="pct"/>
            <w:tcBorders>
              <w:top w:val="nil"/>
              <w:left w:val="nil"/>
              <w:bottom w:val="single" w:color="000000" w:sz="4" w:space="0"/>
              <w:right w:val="single" w:color="000000" w:sz="4" w:space="0"/>
            </w:tcBorders>
            <w:shd w:val="clear" w:color="auto" w:fill="auto"/>
            <w:vAlign w:val="center"/>
          </w:tcPr>
          <w:p w14:paraId="2DBA629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3" w:type="pct"/>
            <w:tcBorders>
              <w:top w:val="nil"/>
              <w:left w:val="nil"/>
              <w:bottom w:val="single" w:color="000000" w:sz="4" w:space="0"/>
              <w:right w:val="single" w:color="000000" w:sz="4" w:space="0"/>
            </w:tcBorders>
            <w:shd w:val="clear" w:color="auto" w:fill="auto"/>
            <w:vAlign w:val="center"/>
          </w:tcPr>
          <w:p w14:paraId="5AD1FCA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6" w:type="pct"/>
            <w:tcBorders>
              <w:top w:val="nil"/>
              <w:left w:val="nil"/>
              <w:bottom w:val="single" w:color="000000" w:sz="4" w:space="0"/>
              <w:right w:val="single" w:color="000000" w:sz="4" w:space="0"/>
            </w:tcBorders>
            <w:shd w:val="clear" w:color="auto" w:fill="auto"/>
            <w:vAlign w:val="center"/>
          </w:tcPr>
          <w:p w14:paraId="48E3A0E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3" w:type="pct"/>
            <w:tcBorders>
              <w:top w:val="nil"/>
              <w:left w:val="nil"/>
              <w:bottom w:val="single" w:color="000000" w:sz="4" w:space="0"/>
              <w:right w:val="single" w:color="000000" w:sz="4" w:space="0"/>
            </w:tcBorders>
            <w:shd w:val="clear" w:color="auto" w:fill="auto"/>
            <w:vAlign w:val="center"/>
          </w:tcPr>
          <w:p w14:paraId="719E98E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3" w:type="pct"/>
            <w:tcBorders>
              <w:top w:val="nil"/>
              <w:left w:val="nil"/>
              <w:bottom w:val="single" w:color="000000" w:sz="4" w:space="0"/>
              <w:right w:val="single" w:color="000000" w:sz="4" w:space="0"/>
            </w:tcBorders>
            <w:shd w:val="clear" w:color="auto" w:fill="auto"/>
            <w:vAlign w:val="center"/>
          </w:tcPr>
          <w:p w14:paraId="28641B4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87" w:type="pct"/>
            <w:tcBorders>
              <w:top w:val="nil"/>
              <w:left w:val="nil"/>
              <w:bottom w:val="single" w:color="000000" w:sz="4" w:space="0"/>
              <w:right w:val="single" w:color="000000" w:sz="4" w:space="0"/>
            </w:tcBorders>
            <w:shd w:val="clear" w:color="auto" w:fill="auto"/>
            <w:vAlign w:val="center"/>
          </w:tcPr>
          <w:p w14:paraId="6319D73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w:t>
            </w:r>
          </w:p>
        </w:tc>
      </w:tr>
      <w:tr w14:paraId="6873C5EB">
        <w:tblPrEx>
          <w:tblCellMar>
            <w:top w:w="0" w:type="dxa"/>
            <w:left w:w="108" w:type="dxa"/>
            <w:bottom w:w="0" w:type="dxa"/>
            <w:right w:w="108" w:type="dxa"/>
          </w:tblCellMar>
        </w:tblPrEx>
        <w:trPr>
          <w:trHeight w:val="338" w:hRule="atLeast"/>
        </w:trPr>
        <w:tc>
          <w:tcPr>
            <w:tcW w:w="246" w:type="pct"/>
            <w:vMerge w:val="continue"/>
            <w:tcBorders>
              <w:top w:val="nil"/>
              <w:left w:val="single" w:color="000000" w:sz="4" w:space="0"/>
              <w:bottom w:val="single" w:color="000000" w:sz="4" w:space="0"/>
              <w:right w:val="single" w:color="000000" w:sz="4" w:space="0"/>
            </w:tcBorders>
            <w:vAlign w:val="center"/>
          </w:tcPr>
          <w:p w14:paraId="0A779125">
            <w:pPr>
              <w:widowControl/>
              <w:jc w:val="left"/>
              <w:rPr>
                <w:rFonts w:ascii="宋体" w:hAnsi="宋体" w:cs="宋体"/>
                <w:color w:val="000000"/>
                <w:kern w:val="0"/>
                <w:sz w:val="18"/>
                <w:szCs w:val="18"/>
              </w:rPr>
            </w:pP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5DA3A35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0" w:type="pct"/>
            <w:tcBorders>
              <w:top w:val="nil"/>
              <w:left w:val="nil"/>
              <w:bottom w:val="single" w:color="000000" w:sz="4" w:space="0"/>
              <w:right w:val="single" w:color="000000" w:sz="4" w:space="0"/>
            </w:tcBorders>
            <w:shd w:val="clear" w:color="auto" w:fill="auto"/>
            <w:vAlign w:val="center"/>
          </w:tcPr>
          <w:p w14:paraId="5B236BB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87" w:type="pct"/>
            <w:tcBorders>
              <w:top w:val="nil"/>
              <w:left w:val="nil"/>
              <w:bottom w:val="single" w:color="000000" w:sz="4" w:space="0"/>
              <w:right w:val="single" w:color="000000" w:sz="4" w:space="0"/>
            </w:tcBorders>
            <w:shd w:val="clear" w:color="auto" w:fill="auto"/>
            <w:vAlign w:val="center"/>
          </w:tcPr>
          <w:p w14:paraId="2F34CE60">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83" w:type="pct"/>
            <w:tcBorders>
              <w:top w:val="nil"/>
              <w:left w:val="nil"/>
              <w:bottom w:val="single" w:color="000000" w:sz="4" w:space="0"/>
              <w:right w:val="single" w:color="000000" w:sz="4" w:space="0"/>
            </w:tcBorders>
            <w:shd w:val="clear" w:color="auto" w:fill="auto"/>
            <w:vAlign w:val="center"/>
          </w:tcPr>
          <w:p w14:paraId="064EDE0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06AB7B8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3" w:type="pct"/>
            <w:tcBorders>
              <w:top w:val="nil"/>
              <w:left w:val="nil"/>
              <w:bottom w:val="single" w:color="000000" w:sz="4" w:space="0"/>
              <w:right w:val="single" w:color="000000" w:sz="4" w:space="0"/>
            </w:tcBorders>
            <w:shd w:val="clear" w:color="auto" w:fill="auto"/>
            <w:vAlign w:val="center"/>
          </w:tcPr>
          <w:p w14:paraId="1A6C636B">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86" w:type="pct"/>
            <w:tcBorders>
              <w:top w:val="nil"/>
              <w:left w:val="nil"/>
              <w:bottom w:val="single" w:color="000000" w:sz="4" w:space="0"/>
              <w:right w:val="single" w:color="000000" w:sz="4" w:space="0"/>
            </w:tcBorders>
            <w:shd w:val="clear" w:color="auto" w:fill="auto"/>
            <w:vAlign w:val="center"/>
          </w:tcPr>
          <w:p w14:paraId="42562F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203" w:type="pct"/>
            <w:tcBorders>
              <w:top w:val="nil"/>
              <w:left w:val="nil"/>
              <w:bottom w:val="single" w:color="000000" w:sz="4" w:space="0"/>
              <w:right w:val="single" w:color="000000" w:sz="4" w:space="0"/>
            </w:tcBorders>
            <w:shd w:val="clear" w:color="auto" w:fill="auto"/>
            <w:vAlign w:val="center"/>
          </w:tcPr>
          <w:p w14:paraId="30344A08">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0F2111E4">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27A976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BEF145">
        <w:tblPrEx>
          <w:tblCellMar>
            <w:top w:w="0" w:type="dxa"/>
            <w:left w:w="108" w:type="dxa"/>
            <w:bottom w:w="0" w:type="dxa"/>
            <w:right w:w="108" w:type="dxa"/>
          </w:tblCellMar>
        </w:tblPrEx>
        <w:trPr>
          <w:trHeight w:val="679" w:hRule="atLeast"/>
        </w:trPr>
        <w:tc>
          <w:tcPr>
            <w:tcW w:w="246" w:type="pct"/>
            <w:vMerge w:val="continue"/>
            <w:tcBorders>
              <w:top w:val="nil"/>
              <w:left w:val="single" w:color="000000" w:sz="4" w:space="0"/>
              <w:bottom w:val="single" w:color="000000" w:sz="4" w:space="0"/>
              <w:right w:val="single" w:color="000000" w:sz="4" w:space="0"/>
            </w:tcBorders>
            <w:vAlign w:val="center"/>
          </w:tcPr>
          <w:p w14:paraId="2F2EDD9A">
            <w:pPr>
              <w:widowControl/>
              <w:jc w:val="left"/>
              <w:rPr>
                <w:rFonts w:ascii="宋体" w:hAnsi="宋体" w:cs="宋体"/>
                <w:color w:val="000000"/>
                <w:kern w:val="0"/>
                <w:sz w:val="18"/>
                <w:szCs w:val="18"/>
              </w:rPr>
            </w:pPr>
          </w:p>
        </w:tc>
        <w:tc>
          <w:tcPr>
            <w:tcW w:w="715" w:type="pct"/>
            <w:vMerge w:val="continue"/>
            <w:tcBorders>
              <w:top w:val="nil"/>
              <w:left w:val="single" w:color="000000" w:sz="4" w:space="0"/>
              <w:bottom w:val="single" w:color="000000" w:sz="4" w:space="0"/>
              <w:right w:val="single" w:color="000000" w:sz="4" w:space="0"/>
            </w:tcBorders>
            <w:vAlign w:val="center"/>
          </w:tcPr>
          <w:p w14:paraId="5EDAE1A8">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407D3352">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87" w:type="pct"/>
            <w:tcBorders>
              <w:top w:val="nil"/>
              <w:left w:val="nil"/>
              <w:bottom w:val="single" w:color="000000" w:sz="4" w:space="0"/>
              <w:right w:val="single" w:color="000000" w:sz="4" w:space="0"/>
            </w:tcBorders>
            <w:shd w:val="clear" w:color="auto" w:fill="auto"/>
            <w:vAlign w:val="center"/>
          </w:tcPr>
          <w:p w14:paraId="6D159BD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183" w:type="pct"/>
            <w:tcBorders>
              <w:top w:val="nil"/>
              <w:left w:val="nil"/>
              <w:bottom w:val="single" w:color="000000" w:sz="4" w:space="0"/>
              <w:right w:val="single" w:color="000000" w:sz="4" w:space="0"/>
            </w:tcBorders>
            <w:shd w:val="clear" w:color="auto" w:fill="auto"/>
            <w:vAlign w:val="center"/>
          </w:tcPr>
          <w:p w14:paraId="2676FC0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34602E2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3" w:type="pct"/>
            <w:tcBorders>
              <w:top w:val="nil"/>
              <w:left w:val="nil"/>
              <w:bottom w:val="single" w:color="000000" w:sz="4" w:space="0"/>
              <w:right w:val="single" w:color="000000" w:sz="4" w:space="0"/>
            </w:tcBorders>
            <w:shd w:val="clear" w:color="auto" w:fill="auto"/>
            <w:vAlign w:val="center"/>
          </w:tcPr>
          <w:p w14:paraId="69E87CC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6" w:type="pct"/>
            <w:tcBorders>
              <w:top w:val="nil"/>
              <w:left w:val="nil"/>
              <w:bottom w:val="single" w:color="000000" w:sz="4" w:space="0"/>
              <w:right w:val="single" w:color="000000" w:sz="4" w:space="0"/>
            </w:tcBorders>
            <w:shd w:val="clear" w:color="auto" w:fill="auto"/>
            <w:vAlign w:val="center"/>
          </w:tcPr>
          <w:p w14:paraId="210B36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203" w:type="pct"/>
            <w:tcBorders>
              <w:top w:val="nil"/>
              <w:left w:val="nil"/>
              <w:bottom w:val="single" w:color="000000" w:sz="4" w:space="0"/>
              <w:right w:val="single" w:color="000000" w:sz="4" w:space="0"/>
            </w:tcBorders>
            <w:shd w:val="clear" w:color="auto" w:fill="auto"/>
            <w:vAlign w:val="center"/>
          </w:tcPr>
          <w:p w14:paraId="049F569B">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6C071B33">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1A0E45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748B43F">
        <w:tblPrEx>
          <w:tblCellMar>
            <w:top w:w="0" w:type="dxa"/>
            <w:left w:w="108" w:type="dxa"/>
            <w:bottom w:w="0" w:type="dxa"/>
            <w:right w:w="108" w:type="dxa"/>
          </w:tblCellMar>
        </w:tblPrEx>
        <w:trPr>
          <w:trHeight w:val="904" w:hRule="atLeast"/>
        </w:trPr>
        <w:tc>
          <w:tcPr>
            <w:tcW w:w="246" w:type="pct"/>
            <w:vMerge w:val="continue"/>
            <w:tcBorders>
              <w:top w:val="nil"/>
              <w:left w:val="single" w:color="000000" w:sz="4" w:space="0"/>
              <w:bottom w:val="single" w:color="000000" w:sz="4" w:space="0"/>
              <w:right w:val="single" w:color="000000" w:sz="4" w:space="0"/>
            </w:tcBorders>
            <w:vAlign w:val="center"/>
          </w:tcPr>
          <w:p w14:paraId="29A3F85E">
            <w:pPr>
              <w:widowControl/>
              <w:jc w:val="left"/>
              <w:rPr>
                <w:rFonts w:ascii="宋体" w:hAnsi="宋体" w:cs="宋体"/>
                <w:color w:val="000000"/>
                <w:kern w:val="0"/>
                <w:sz w:val="18"/>
                <w:szCs w:val="18"/>
              </w:rPr>
            </w:pP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06C8C7E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0" w:type="pct"/>
            <w:vMerge w:val="restart"/>
            <w:tcBorders>
              <w:top w:val="nil"/>
              <w:left w:val="single" w:color="000000" w:sz="4" w:space="0"/>
              <w:bottom w:val="single" w:color="000000" w:sz="4" w:space="0"/>
              <w:right w:val="single" w:color="000000" w:sz="4" w:space="0"/>
            </w:tcBorders>
            <w:shd w:val="clear" w:color="auto" w:fill="auto"/>
            <w:vAlign w:val="center"/>
          </w:tcPr>
          <w:p w14:paraId="74281190">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87" w:type="pct"/>
            <w:tcBorders>
              <w:top w:val="nil"/>
              <w:left w:val="nil"/>
              <w:bottom w:val="single" w:color="000000" w:sz="4" w:space="0"/>
              <w:right w:val="single" w:color="000000" w:sz="4" w:space="0"/>
            </w:tcBorders>
            <w:shd w:val="clear" w:color="auto" w:fill="auto"/>
            <w:vAlign w:val="center"/>
          </w:tcPr>
          <w:p w14:paraId="03083E90">
            <w:pPr>
              <w:widowControl/>
              <w:jc w:val="center"/>
              <w:rPr>
                <w:rFonts w:ascii="宋体" w:hAnsi="宋体" w:cs="宋体"/>
                <w:color w:val="000000"/>
                <w:kern w:val="0"/>
                <w:sz w:val="18"/>
                <w:szCs w:val="18"/>
              </w:rPr>
            </w:pPr>
            <w:r>
              <w:rPr>
                <w:rFonts w:hint="eastAsia" w:ascii="宋体" w:hAnsi="宋体" w:cs="宋体"/>
                <w:color w:val="000000"/>
                <w:kern w:val="0"/>
                <w:sz w:val="18"/>
                <w:szCs w:val="18"/>
                <w:lang w:eastAsia="zh-CN"/>
              </w:rPr>
              <w:t>“三公”经费</w:t>
            </w:r>
            <w:r>
              <w:rPr>
                <w:rFonts w:hint="eastAsia" w:ascii="宋体" w:hAnsi="宋体" w:cs="宋体"/>
                <w:color w:val="000000"/>
                <w:kern w:val="0"/>
                <w:sz w:val="18"/>
                <w:szCs w:val="18"/>
              </w:rPr>
              <w:t>控制率[计算方法为：（</w:t>
            </w:r>
            <w:r>
              <w:rPr>
                <w:rFonts w:hint="eastAsia" w:ascii="宋体" w:hAnsi="宋体" w:cs="宋体"/>
                <w:color w:val="000000"/>
                <w:kern w:val="0"/>
                <w:sz w:val="18"/>
                <w:szCs w:val="18"/>
                <w:lang w:eastAsia="zh-CN"/>
              </w:rPr>
              <w:t>“三公”经费</w:t>
            </w:r>
            <w:r>
              <w:rPr>
                <w:rFonts w:hint="eastAsia" w:ascii="宋体" w:hAnsi="宋体" w:cs="宋体"/>
                <w:color w:val="000000"/>
                <w:kern w:val="0"/>
                <w:sz w:val="18"/>
                <w:szCs w:val="18"/>
              </w:rPr>
              <w:t>实际支出数/预算安排数]×100%）</w:t>
            </w:r>
          </w:p>
        </w:tc>
        <w:tc>
          <w:tcPr>
            <w:tcW w:w="183" w:type="pct"/>
            <w:tcBorders>
              <w:top w:val="nil"/>
              <w:left w:val="nil"/>
              <w:bottom w:val="single" w:color="000000" w:sz="4" w:space="0"/>
              <w:right w:val="single" w:color="000000" w:sz="4" w:space="0"/>
            </w:tcBorders>
            <w:shd w:val="clear" w:color="auto" w:fill="auto"/>
            <w:vAlign w:val="center"/>
          </w:tcPr>
          <w:p w14:paraId="74402AD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6DAA85E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3" w:type="pct"/>
            <w:tcBorders>
              <w:top w:val="nil"/>
              <w:left w:val="nil"/>
              <w:bottom w:val="single" w:color="000000" w:sz="4" w:space="0"/>
              <w:right w:val="single" w:color="000000" w:sz="4" w:space="0"/>
            </w:tcBorders>
            <w:shd w:val="clear" w:color="auto" w:fill="auto"/>
            <w:vAlign w:val="center"/>
          </w:tcPr>
          <w:p w14:paraId="169129B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6" w:type="pct"/>
            <w:tcBorders>
              <w:top w:val="nil"/>
              <w:left w:val="nil"/>
              <w:bottom w:val="single" w:color="000000" w:sz="4" w:space="0"/>
              <w:right w:val="single" w:color="000000" w:sz="4" w:space="0"/>
            </w:tcBorders>
            <w:shd w:val="clear" w:color="auto" w:fill="auto"/>
            <w:vAlign w:val="center"/>
          </w:tcPr>
          <w:p w14:paraId="664E81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3" w:type="pct"/>
            <w:tcBorders>
              <w:top w:val="nil"/>
              <w:left w:val="nil"/>
              <w:bottom w:val="single" w:color="000000" w:sz="4" w:space="0"/>
              <w:right w:val="single" w:color="000000" w:sz="4" w:space="0"/>
            </w:tcBorders>
            <w:shd w:val="clear" w:color="auto" w:fill="auto"/>
            <w:vAlign w:val="center"/>
          </w:tcPr>
          <w:p w14:paraId="32210691">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3A8F651C">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494F1A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5E81FF1">
        <w:tblPrEx>
          <w:tblCellMar>
            <w:top w:w="0" w:type="dxa"/>
            <w:left w:w="108" w:type="dxa"/>
            <w:bottom w:w="0" w:type="dxa"/>
            <w:right w:w="108" w:type="dxa"/>
          </w:tblCellMar>
        </w:tblPrEx>
        <w:trPr>
          <w:trHeight w:val="338" w:hRule="atLeast"/>
        </w:trPr>
        <w:tc>
          <w:tcPr>
            <w:tcW w:w="246" w:type="pct"/>
            <w:vMerge w:val="continue"/>
            <w:tcBorders>
              <w:top w:val="nil"/>
              <w:left w:val="single" w:color="000000" w:sz="4" w:space="0"/>
              <w:bottom w:val="single" w:color="000000" w:sz="4" w:space="0"/>
              <w:right w:val="single" w:color="000000" w:sz="4" w:space="0"/>
            </w:tcBorders>
            <w:vAlign w:val="center"/>
          </w:tcPr>
          <w:p w14:paraId="70AEA24F">
            <w:pPr>
              <w:widowControl/>
              <w:jc w:val="left"/>
              <w:rPr>
                <w:rFonts w:ascii="宋体" w:hAnsi="宋体" w:cs="宋体"/>
                <w:color w:val="000000"/>
                <w:kern w:val="0"/>
                <w:sz w:val="18"/>
                <w:szCs w:val="18"/>
              </w:rPr>
            </w:pPr>
          </w:p>
        </w:tc>
        <w:tc>
          <w:tcPr>
            <w:tcW w:w="715" w:type="pct"/>
            <w:vMerge w:val="continue"/>
            <w:tcBorders>
              <w:top w:val="nil"/>
              <w:left w:val="single" w:color="000000" w:sz="4" w:space="0"/>
              <w:bottom w:val="single" w:color="000000" w:sz="4" w:space="0"/>
              <w:right w:val="single" w:color="000000" w:sz="4" w:space="0"/>
            </w:tcBorders>
            <w:vAlign w:val="center"/>
          </w:tcPr>
          <w:p w14:paraId="6D1B076B">
            <w:pPr>
              <w:widowControl/>
              <w:jc w:val="left"/>
              <w:rPr>
                <w:rFonts w:ascii="宋体" w:hAnsi="宋体" w:cs="宋体"/>
                <w:color w:val="000000"/>
                <w:kern w:val="0"/>
                <w:sz w:val="18"/>
                <w:szCs w:val="18"/>
              </w:rPr>
            </w:pPr>
          </w:p>
        </w:tc>
        <w:tc>
          <w:tcPr>
            <w:tcW w:w="620" w:type="pct"/>
            <w:vMerge w:val="continue"/>
            <w:tcBorders>
              <w:top w:val="nil"/>
              <w:left w:val="single" w:color="000000" w:sz="4" w:space="0"/>
              <w:bottom w:val="single" w:color="000000" w:sz="4" w:space="0"/>
              <w:right w:val="single" w:color="000000" w:sz="4" w:space="0"/>
            </w:tcBorders>
            <w:vAlign w:val="center"/>
          </w:tcPr>
          <w:p w14:paraId="2A850913">
            <w:pPr>
              <w:widowControl/>
              <w:jc w:val="left"/>
              <w:rPr>
                <w:rFonts w:ascii="宋体" w:hAnsi="宋体" w:cs="宋体"/>
                <w:color w:val="000000"/>
                <w:kern w:val="0"/>
                <w:sz w:val="18"/>
                <w:szCs w:val="18"/>
              </w:rPr>
            </w:pPr>
          </w:p>
        </w:tc>
        <w:tc>
          <w:tcPr>
            <w:tcW w:w="787" w:type="pct"/>
            <w:tcBorders>
              <w:top w:val="nil"/>
              <w:left w:val="nil"/>
              <w:bottom w:val="single" w:color="000000" w:sz="4" w:space="0"/>
              <w:right w:val="single" w:color="000000" w:sz="4" w:space="0"/>
            </w:tcBorders>
            <w:shd w:val="clear" w:color="auto" w:fill="auto"/>
            <w:vAlign w:val="center"/>
          </w:tcPr>
          <w:p w14:paraId="5F9F5D1F">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83" w:type="pct"/>
            <w:tcBorders>
              <w:top w:val="nil"/>
              <w:left w:val="nil"/>
              <w:bottom w:val="single" w:color="000000" w:sz="4" w:space="0"/>
              <w:right w:val="single" w:color="000000" w:sz="4" w:space="0"/>
            </w:tcBorders>
            <w:shd w:val="clear" w:color="auto" w:fill="auto"/>
            <w:vAlign w:val="center"/>
          </w:tcPr>
          <w:p w14:paraId="2A7975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078C945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3" w:type="pct"/>
            <w:tcBorders>
              <w:top w:val="nil"/>
              <w:left w:val="nil"/>
              <w:bottom w:val="single" w:color="000000" w:sz="4" w:space="0"/>
              <w:right w:val="single" w:color="000000" w:sz="4" w:space="0"/>
            </w:tcBorders>
            <w:shd w:val="clear" w:color="auto" w:fill="auto"/>
            <w:vAlign w:val="center"/>
          </w:tcPr>
          <w:p w14:paraId="6AF5324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6" w:type="pct"/>
            <w:tcBorders>
              <w:top w:val="nil"/>
              <w:left w:val="nil"/>
              <w:bottom w:val="single" w:color="000000" w:sz="4" w:space="0"/>
              <w:right w:val="single" w:color="000000" w:sz="4" w:space="0"/>
            </w:tcBorders>
            <w:shd w:val="clear" w:color="auto" w:fill="auto"/>
            <w:vAlign w:val="center"/>
          </w:tcPr>
          <w:p w14:paraId="4A6199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3" w:type="pct"/>
            <w:tcBorders>
              <w:top w:val="nil"/>
              <w:left w:val="nil"/>
              <w:bottom w:val="single" w:color="000000" w:sz="4" w:space="0"/>
              <w:right w:val="single" w:color="000000" w:sz="4" w:space="0"/>
            </w:tcBorders>
            <w:shd w:val="clear" w:color="auto" w:fill="auto"/>
            <w:vAlign w:val="center"/>
          </w:tcPr>
          <w:p w14:paraId="6EA52E13">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082094D8">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6BF348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C107105">
        <w:tblPrEx>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43CE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3" w:type="pct"/>
            <w:tcBorders>
              <w:top w:val="nil"/>
              <w:left w:val="nil"/>
              <w:bottom w:val="single" w:color="000000" w:sz="4" w:space="0"/>
              <w:right w:val="single" w:color="000000" w:sz="4" w:space="0"/>
            </w:tcBorders>
            <w:shd w:val="clear" w:color="auto" w:fill="auto"/>
            <w:vAlign w:val="center"/>
          </w:tcPr>
          <w:p w14:paraId="49476F2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3" w:type="pct"/>
            <w:tcBorders>
              <w:top w:val="nil"/>
              <w:left w:val="nil"/>
              <w:bottom w:val="single" w:color="000000" w:sz="4" w:space="0"/>
              <w:right w:val="single" w:color="000000" w:sz="4" w:space="0"/>
            </w:tcBorders>
            <w:shd w:val="clear" w:color="auto" w:fill="auto"/>
            <w:vAlign w:val="center"/>
          </w:tcPr>
          <w:p w14:paraId="7FB98B1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87" w:type="pct"/>
            <w:tcBorders>
              <w:top w:val="nil"/>
              <w:left w:val="nil"/>
              <w:bottom w:val="single" w:color="000000" w:sz="4" w:space="0"/>
              <w:right w:val="single" w:color="000000" w:sz="4" w:space="0"/>
            </w:tcBorders>
            <w:shd w:val="clear" w:color="auto" w:fill="auto"/>
            <w:vAlign w:val="center"/>
          </w:tcPr>
          <w:p w14:paraId="30789F0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222CBA9">
        <w:tblPrEx>
          <w:tblCellMar>
            <w:top w:w="0" w:type="dxa"/>
            <w:left w:w="108" w:type="dxa"/>
            <w:bottom w:w="0" w:type="dxa"/>
            <w:right w:w="108" w:type="dxa"/>
          </w:tblCellMar>
        </w:tblPrEx>
        <w:trPr>
          <w:trHeight w:val="604"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14:paraId="513D4C8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4" w:type="pct"/>
            <w:gridSpan w:val="10"/>
            <w:tcBorders>
              <w:top w:val="single" w:color="000000" w:sz="4" w:space="0"/>
              <w:left w:val="nil"/>
              <w:bottom w:val="single" w:color="000000" w:sz="4" w:space="0"/>
              <w:right w:val="single" w:color="000000" w:sz="4" w:space="0"/>
            </w:tcBorders>
            <w:shd w:val="clear" w:color="auto" w:fill="auto"/>
            <w:vAlign w:val="center"/>
          </w:tcPr>
          <w:p w14:paraId="2DF2226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62B70FE">
        <w:tblPrEx>
          <w:tblCellMar>
            <w:top w:w="0" w:type="dxa"/>
            <w:left w:w="108" w:type="dxa"/>
            <w:bottom w:w="0" w:type="dxa"/>
            <w:right w:w="108" w:type="dxa"/>
          </w:tblCellMar>
        </w:tblPrEx>
        <w:trPr>
          <w:trHeight w:val="574"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14:paraId="6A22A89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4" w:type="pct"/>
            <w:gridSpan w:val="10"/>
            <w:tcBorders>
              <w:top w:val="single" w:color="000000" w:sz="4" w:space="0"/>
              <w:left w:val="nil"/>
              <w:bottom w:val="single" w:color="000000" w:sz="4" w:space="0"/>
              <w:right w:val="single" w:color="000000" w:sz="4" w:space="0"/>
            </w:tcBorders>
            <w:shd w:val="clear" w:color="auto" w:fill="auto"/>
            <w:vAlign w:val="center"/>
          </w:tcPr>
          <w:p w14:paraId="5AB1FCD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6F48CFE">
        <w:tblPrEx>
          <w:tblCellMar>
            <w:top w:w="0" w:type="dxa"/>
            <w:left w:w="108" w:type="dxa"/>
            <w:bottom w:w="0" w:type="dxa"/>
            <w:right w:w="108" w:type="dxa"/>
          </w:tblCellMar>
        </w:tblPrEx>
        <w:trPr>
          <w:trHeight w:val="634"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14:paraId="6BE2968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4" w:type="pct"/>
            <w:gridSpan w:val="10"/>
            <w:tcBorders>
              <w:top w:val="single" w:color="000000" w:sz="4" w:space="0"/>
              <w:left w:val="nil"/>
              <w:bottom w:val="single" w:color="000000" w:sz="4" w:space="0"/>
              <w:right w:val="single" w:color="000000" w:sz="4" w:space="0"/>
            </w:tcBorders>
            <w:shd w:val="clear" w:color="auto" w:fill="auto"/>
            <w:vAlign w:val="center"/>
          </w:tcPr>
          <w:p w14:paraId="6C90032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5C99817">
        <w:tblPrEx>
          <w:tblCellMar>
            <w:top w:w="0" w:type="dxa"/>
            <w:left w:w="108" w:type="dxa"/>
            <w:bottom w:w="0" w:type="dxa"/>
            <w:right w:w="108" w:type="dxa"/>
          </w:tblCellMar>
        </w:tblPrEx>
        <w:trPr>
          <w:trHeight w:val="285" w:hRule="atLeast"/>
        </w:trPr>
        <w:tc>
          <w:tcPr>
            <w:tcW w:w="25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05CA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448" w:type="pct"/>
            <w:gridSpan w:val="6"/>
            <w:tcBorders>
              <w:top w:val="single" w:color="000000" w:sz="4" w:space="0"/>
              <w:left w:val="nil"/>
              <w:bottom w:val="single" w:color="000000" w:sz="4" w:space="0"/>
              <w:right w:val="single" w:color="000000" w:sz="4" w:space="0"/>
            </w:tcBorders>
            <w:shd w:val="clear" w:color="auto" w:fill="auto"/>
            <w:vAlign w:val="center"/>
          </w:tcPr>
          <w:p w14:paraId="14A6D44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1F1FA024">
      <w:pPr>
        <w:spacing w:line="560" w:lineRule="exact"/>
        <w:ind w:firstLine="640" w:firstLineChars="200"/>
        <w:rPr>
          <w:rFonts w:hint="eastAsia" w:ascii="仿宋_GB2312" w:hAnsi="仿宋_GB2312" w:eastAsia="仿宋_GB2312" w:cs="仿宋_GB2312"/>
          <w:color w:val="000000"/>
          <w:sz w:val="32"/>
          <w:szCs w:val="32"/>
        </w:rPr>
      </w:pPr>
    </w:p>
    <w:tbl>
      <w:tblPr>
        <w:tblStyle w:val="15"/>
        <w:tblW w:w="5000" w:type="pct"/>
        <w:tblInd w:w="0" w:type="dxa"/>
        <w:tblLayout w:type="autofit"/>
        <w:tblCellMar>
          <w:top w:w="0" w:type="dxa"/>
          <w:left w:w="108" w:type="dxa"/>
          <w:bottom w:w="0" w:type="dxa"/>
          <w:right w:w="108" w:type="dxa"/>
        </w:tblCellMar>
      </w:tblPr>
      <w:tblGrid>
        <w:gridCol w:w="576"/>
        <w:gridCol w:w="1001"/>
        <w:gridCol w:w="24"/>
        <w:gridCol w:w="810"/>
        <w:gridCol w:w="58"/>
        <w:gridCol w:w="1121"/>
        <w:gridCol w:w="49"/>
        <w:gridCol w:w="348"/>
        <w:gridCol w:w="49"/>
        <w:gridCol w:w="656"/>
        <w:gridCol w:w="133"/>
        <w:gridCol w:w="131"/>
        <w:gridCol w:w="140"/>
        <w:gridCol w:w="160"/>
        <w:gridCol w:w="341"/>
        <w:gridCol w:w="346"/>
        <w:gridCol w:w="281"/>
        <w:gridCol w:w="244"/>
        <w:gridCol w:w="242"/>
        <w:gridCol w:w="486"/>
        <w:gridCol w:w="107"/>
        <w:gridCol w:w="1219"/>
      </w:tblGrid>
      <w:tr w14:paraId="03D29E6F">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23DF3499">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gridSpan w:val="2"/>
            <w:tcBorders>
              <w:top w:val="nil"/>
              <w:left w:val="nil"/>
              <w:bottom w:val="nil"/>
              <w:right w:val="nil"/>
            </w:tcBorders>
            <w:shd w:val="clear" w:color="auto" w:fill="auto"/>
            <w:vAlign w:val="center"/>
          </w:tcPr>
          <w:p w14:paraId="4B20BE94">
            <w:pPr>
              <w:widowControl/>
              <w:jc w:val="left"/>
              <w:rPr>
                <w:rFonts w:ascii="宋体" w:hAnsi="宋体" w:cs="宋体"/>
                <w:kern w:val="0"/>
                <w:sz w:val="18"/>
                <w:szCs w:val="18"/>
              </w:rPr>
            </w:pPr>
            <w:r>
              <w:rPr>
                <w:rFonts w:hint="eastAsia" w:ascii="宋体" w:hAnsi="宋体" w:cs="宋体"/>
                <w:kern w:val="0"/>
                <w:sz w:val="18"/>
                <w:szCs w:val="18"/>
              </w:rPr>
              <w:t>　</w:t>
            </w:r>
          </w:p>
        </w:tc>
        <w:tc>
          <w:tcPr>
            <w:tcW w:w="509" w:type="pct"/>
            <w:gridSpan w:val="2"/>
            <w:tcBorders>
              <w:top w:val="nil"/>
              <w:left w:val="nil"/>
              <w:bottom w:val="nil"/>
              <w:right w:val="nil"/>
            </w:tcBorders>
            <w:shd w:val="clear" w:color="auto" w:fill="auto"/>
            <w:vAlign w:val="center"/>
          </w:tcPr>
          <w:p w14:paraId="5403AB82">
            <w:pPr>
              <w:widowControl/>
              <w:jc w:val="left"/>
              <w:rPr>
                <w:rFonts w:ascii="宋体" w:hAnsi="宋体" w:cs="宋体"/>
                <w:kern w:val="0"/>
                <w:sz w:val="18"/>
                <w:szCs w:val="18"/>
              </w:rPr>
            </w:pPr>
            <w:r>
              <w:rPr>
                <w:rFonts w:hint="eastAsia" w:ascii="宋体" w:hAnsi="宋体" w:cs="宋体"/>
                <w:kern w:val="0"/>
                <w:sz w:val="18"/>
                <w:szCs w:val="18"/>
              </w:rPr>
              <w:t>　</w:t>
            </w:r>
          </w:p>
        </w:tc>
        <w:tc>
          <w:tcPr>
            <w:tcW w:w="687" w:type="pct"/>
            <w:gridSpan w:val="2"/>
            <w:tcBorders>
              <w:top w:val="nil"/>
              <w:left w:val="nil"/>
              <w:bottom w:val="nil"/>
              <w:right w:val="nil"/>
            </w:tcBorders>
            <w:shd w:val="clear" w:color="auto" w:fill="auto"/>
            <w:vAlign w:val="center"/>
          </w:tcPr>
          <w:p w14:paraId="5477D356">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gridSpan w:val="2"/>
            <w:tcBorders>
              <w:top w:val="nil"/>
              <w:left w:val="nil"/>
              <w:bottom w:val="nil"/>
              <w:right w:val="nil"/>
            </w:tcBorders>
            <w:shd w:val="clear" w:color="auto" w:fill="auto"/>
            <w:vAlign w:val="center"/>
          </w:tcPr>
          <w:p w14:paraId="48F2A726">
            <w:pPr>
              <w:widowControl/>
              <w:jc w:val="left"/>
              <w:rPr>
                <w:rFonts w:ascii="宋体" w:hAnsi="宋体" w:cs="宋体"/>
                <w:kern w:val="0"/>
                <w:sz w:val="18"/>
                <w:szCs w:val="18"/>
              </w:rPr>
            </w:pPr>
            <w:r>
              <w:rPr>
                <w:rFonts w:hint="eastAsia" w:ascii="宋体" w:hAnsi="宋体" w:cs="宋体"/>
                <w:kern w:val="0"/>
                <w:sz w:val="18"/>
                <w:szCs w:val="18"/>
              </w:rPr>
              <w:t>　</w:t>
            </w:r>
          </w:p>
        </w:tc>
        <w:tc>
          <w:tcPr>
            <w:tcW w:w="463" w:type="pct"/>
            <w:gridSpan w:val="2"/>
            <w:tcBorders>
              <w:top w:val="nil"/>
              <w:left w:val="nil"/>
              <w:bottom w:val="nil"/>
              <w:right w:val="nil"/>
            </w:tcBorders>
            <w:shd w:val="clear" w:color="auto" w:fill="auto"/>
            <w:vAlign w:val="center"/>
          </w:tcPr>
          <w:p w14:paraId="3E745E5F">
            <w:pPr>
              <w:widowControl/>
              <w:jc w:val="left"/>
              <w:rPr>
                <w:rFonts w:ascii="宋体" w:hAnsi="宋体" w:cs="宋体"/>
                <w:kern w:val="0"/>
                <w:sz w:val="18"/>
                <w:szCs w:val="18"/>
              </w:rPr>
            </w:pPr>
            <w:r>
              <w:rPr>
                <w:rFonts w:hint="eastAsia" w:ascii="宋体" w:hAnsi="宋体" w:cs="宋体"/>
                <w:kern w:val="0"/>
                <w:sz w:val="18"/>
                <w:szCs w:val="18"/>
              </w:rPr>
              <w:t>　</w:t>
            </w:r>
          </w:p>
        </w:tc>
        <w:tc>
          <w:tcPr>
            <w:tcW w:w="252" w:type="pct"/>
            <w:gridSpan w:val="3"/>
            <w:tcBorders>
              <w:top w:val="nil"/>
              <w:left w:val="nil"/>
              <w:bottom w:val="nil"/>
              <w:right w:val="nil"/>
            </w:tcBorders>
            <w:shd w:val="clear" w:color="auto" w:fill="auto"/>
            <w:vAlign w:val="center"/>
          </w:tcPr>
          <w:p w14:paraId="4F77C750">
            <w:pPr>
              <w:widowControl/>
              <w:jc w:val="left"/>
              <w:rPr>
                <w:rFonts w:ascii="宋体" w:hAnsi="宋体" w:cs="宋体"/>
                <w:kern w:val="0"/>
                <w:sz w:val="18"/>
                <w:szCs w:val="18"/>
              </w:rPr>
            </w:pPr>
            <w:r>
              <w:rPr>
                <w:rFonts w:hint="eastAsia" w:ascii="宋体" w:hAnsi="宋体" w:cs="宋体"/>
                <w:kern w:val="0"/>
                <w:sz w:val="18"/>
                <w:szCs w:val="18"/>
              </w:rPr>
              <w:t>　</w:t>
            </w:r>
          </w:p>
        </w:tc>
        <w:tc>
          <w:tcPr>
            <w:tcW w:w="567" w:type="pct"/>
            <w:gridSpan w:val="3"/>
            <w:tcBorders>
              <w:top w:val="nil"/>
              <w:left w:val="nil"/>
              <w:bottom w:val="nil"/>
              <w:right w:val="nil"/>
            </w:tcBorders>
            <w:shd w:val="clear" w:color="auto" w:fill="auto"/>
            <w:vAlign w:val="center"/>
          </w:tcPr>
          <w:p w14:paraId="5C7AEFF4">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gridSpan w:val="2"/>
            <w:tcBorders>
              <w:top w:val="nil"/>
              <w:left w:val="nil"/>
              <w:bottom w:val="nil"/>
              <w:right w:val="nil"/>
            </w:tcBorders>
            <w:shd w:val="clear" w:color="auto" w:fill="auto"/>
            <w:vAlign w:val="center"/>
          </w:tcPr>
          <w:p w14:paraId="4D27D330">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1FA7E0D1">
            <w:pPr>
              <w:widowControl/>
              <w:jc w:val="left"/>
              <w:rPr>
                <w:rFonts w:ascii="宋体" w:hAnsi="宋体" w:cs="宋体"/>
                <w:kern w:val="0"/>
                <w:sz w:val="18"/>
                <w:szCs w:val="18"/>
              </w:rPr>
            </w:pPr>
            <w:r>
              <w:rPr>
                <w:rFonts w:hint="eastAsia" w:ascii="宋体" w:hAnsi="宋体" w:cs="宋体"/>
                <w:kern w:val="0"/>
                <w:sz w:val="18"/>
                <w:szCs w:val="18"/>
              </w:rPr>
              <w:t>　</w:t>
            </w:r>
          </w:p>
        </w:tc>
        <w:tc>
          <w:tcPr>
            <w:tcW w:w="776" w:type="pct"/>
            <w:gridSpan w:val="2"/>
            <w:tcBorders>
              <w:top w:val="nil"/>
              <w:left w:val="nil"/>
              <w:bottom w:val="nil"/>
              <w:right w:val="nil"/>
            </w:tcBorders>
            <w:shd w:val="clear" w:color="auto" w:fill="auto"/>
            <w:vAlign w:val="center"/>
          </w:tcPr>
          <w:p w14:paraId="41763671">
            <w:pPr>
              <w:widowControl/>
              <w:jc w:val="left"/>
              <w:rPr>
                <w:rFonts w:ascii="宋体" w:hAnsi="宋体" w:cs="宋体"/>
                <w:kern w:val="0"/>
                <w:sz w:val="18"/>
                <w:szCs w:val="18"/>
              </w:rPr>
            </w:pPr>
            <w:r>
              <w:rPr>
                <w:rFonts w:hint="eastAsia" w:ascii="宋体" w:hAnsi="宋体" w:cs="宋体"/>
                <w:kern w:val="0"/>
                <w:sz w:val="18"/>
                <w:szCs w:val="18"/>
              </w:rPr>
              <w:t>　</w:t>
            </w:r>
          </w:p>
        </w:tc>
      </w:tr>
      <w:tr w14:paraId="7DA60F9E">
        <w:tblPrEx>
          <w:tblCellMar>
            <w:top w:w="0" w:type="dxa"/>
            <w:left w:w="108" w:type="dxa"/>
            <w:bottom w:w="0" w:type="dxa"/>
            <w:right w:w="108" w:type="dxa"/>
          </w:tblCellMar>
        </w:tblPrEx>
        <w:trPr>
          <w:trHeight w:val="904"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8BFFA7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649E6C3F">
        <w:tblPrEx>
          <w:tblCellMar>
            <w:top w:w="0" w:type="dxa"/>
            <w:left w:w="108" w:type="dxa"/>
            <w:bottom w:w="0" w:type="dxa"/>
            <w:right w:w="108" w:type="dxa"/>
          </w:tblCellMar>
        </w:tblPrEx>
        <w:trPr>
          <w:trHeight w:val="285" w:hRule="atLeast"/>
        </w:trPr>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F1E3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60" w:type="pct"/>
            <w:gridSpan w:val="19"/>
            <w:tcBorders>
              <w:top w:val="single" w:color="000000" w:sz="4" w:space="0"/>
              <w:left w:val="nil"/>
              <w:bottom w:val="single" w:color="000000" w:sz="4" w:space="0"/>
              <w:right w:val="single" w:color="000000" w:sz="4" w:space="0"/>
            </w:tcBorders>
            <w:shd w:val="clear" w:color="auto" w:fill="auto"/>
            <w:vAlign w:val="center"/>
          </w:tcPr>
          <w:p w14:paraId="4A51F7CE">
            <w:pPr>
              <w:widowControl/>
              <w:jc w:val="left"/>
              <w:rPr>
                <w:rFonts w:ascii="宋体" w:hAnsi="宋体" w:cs="宋体"/>
                <w:color w:val="000000"/>
                <w:kern w:val="0"/>
                <w:sz w:val="18"/>
                <w:szCs w:val="18"/>
              </w:rPr>
            </w:pPr>
            <w:r>
              <w:rPr>
                <w:rFonts w:hint="eastAsia" w:ascii="宋体" w:hAnsi="宋体" w:cs="宋体"/>
                <w:color w:val="000000"/>
                <w:kern w:val="0"/>
                <w:sz w:val="18"/>
                <w:szCs w:val="18"/>
              </w:rPr>
              <w:t>城乡住户一体化农村调查户帮扶</w:t>
            </w:r>
          </w:p>
        </w:tc>
      </w:tr>
      <w:tr w14:paraId="65B78F5E">
        <w:tblPrEx>
          <w:tblCellMar>
            <w:top w:w="0" w:type="dxa"/>
            <w:left w:w="108" w:type="dxa"/>
            <w:bottom w:w="0" w:type="dxa"/>
            <w:right w:w="108" w:type="dxa"/>
          </w:tblCellMar>
        </w:tblPrEx>
        <w:trPr>
          <w:trHeight w:val="514" w:hRule="atLeast"/>
        </w:trPr>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D5EC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45" w:type="pct"/>
            <w:gridSpan w:val="11"/>
            <w:tcBorders>
              <w:top w:val="single" w:color="000000" w:sz="4" w:space="0"/>
              <w:left w:val="nil"/>
              <w:bottom w:val="single" w:color="000000" w:sz="4" w:space="0"/>
              <w:right w:val="single" w:color="000000" w:sz="4" w:space="0"/>
            </w:tcBorders>
            <w:shd w:val="clear" w:color="auto" w:fill="auto"/>
            <w:vAlign w:val="center"/>
          </w:tcPr>
          <w:p w14:paraId="6F9BAF3E">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（部门）（部门）</w:t>
            </w:r>
          </w:p>
        </w:tc>
        <w:tc>
          <w:tcPr>
            <w:tcW w:w="567" w:type="pct"/>
            <w:gridSpan w:val="3"/>
            <w:tcBorders>
              <w:top w:val="nil"/>
              <w:left w:val="nil"/>
              <w:bottom w:val="nil"/>
              <w:right w:val="nil"/>
            </w:tcBorders>
            <w:shd w:val="clear" w:color="auto" w:fill="auto"/>
            <w:vAlign w:val="center"/>
          </w:tcPr>
          <w:p w14:paraId="69BAD98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E5281">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r>
      <w:tr w14:paraId="32A1AE03">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0EC822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1"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2D84B0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45" w:type="pct"/>
            <w:gridSpan w:val="11"/>
            <w:tcBorders>
              <w:top w:val="single" w:color="000000" w:sz="4" w:space="0"/>
              <w:left w:val="nil"/>
              <w:bottom w:val="single" w:color="000000" w:sz="4" w:space="0"/>
              <w:right w:val="single" w:color="000000" w:sz="4" w:space="0"/>
            </w:tcBorders>
            <w:shd w:val="clear" w:color="auto" w:fill="auto"/>
            <w:vAlign w:val="center"/>
          </w:tcPr>
          <w:p w14:paraId="387AE7C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5" w:type="pct"/>
            <w:gridSpan w:val="8"/>
            <w:tcBorders>
              <w:top w:val="single" w:color="000000" w:sz="4" w:space="0"/>
              <w:left w:val="nil"/>
              <w:bottom w:val="single" w:color="000000" w:sz="4" w:space="0"/>
              <w:right w:val="single" w:color="000000" w:sz="4" w:space="0"/>
            </w:tcBorders>
            <w:shd w:val="clear" w:color="auto" w:fill="auto"/>
            <w:vAlign w:val="center"/>
          </w:tcPr>
          <w:p w14:paraId="4B5F399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369BCED">
        <w:tblPrEx>
          <w:tblCellMar>
            <w:top w:w="0" w:type="dxa"/>
            <w:left w:w="108" w:type="dxa"/>
            <w:bottom w:w="0" w:type="dxa"/>
            <w:right w:w="108" w:type="dxa"/>
          </w:tblCellMar>
        </w:tblPrEx>
        <w:trPr>
          <w:trHeight w:val="1129" w:hRule="atLeast"/>
        </w:trPr>
        <w:tc>
          <w:tcPr>
            <w:tcW w:w="337" w:type="pct"/>
            <w:vMerge w:val="continue"/>
            <w:tcBorders>
              <w:top w:val="nil"/>
              <w:left w:val="single" w:color="000000" w:sz="4" w:space="0"/>
              <w:bottom w:val="single" w:color="000000" w:sz="4" w:space="0"/>
              <w:right w:val="single" w:color="000000" w:sz="4" w:space="0"/>
            </w:tcBorders>
            <w:vAlign w:val="center"/>
          </w:tcPr>
          <w:p w14:paraId="677C7644">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7494CFBA">
            <w:pPr>
              <w:widowControl/>
              <w:jc w:val="left"/>
              <w:rPr>
                <w:rFonts w:ascii="宋体" w:hAnsi="宋体" w:cs="宋体"/>
                <w:color w:val="000000"/>
                <w:kern w:val="0"/>
                <w:sz w:val="18"/>
                <w:szCs w:val="18"/>
              </w:rPr>
            </w:pPr>
          </w:p>
        </w:tc>
        <w:tc>
          <w:tcPr>
            <w:tcW w:w="2145" w:type="pct"/>
            <w:gridSpan w:val="11"/>
            <w:tcBorders>
              <w:top w:val="single" w:color="000000" w:sz="4" w:space="0"/>
              <w:left w:val="nil"/>
              <w:bottom w:val="single" w:color="000000" w:sz="4" w:space="0"/>
              <w:right w:val="single" w:color="000000" w:sz="4" w:space="0"/>
            </w:tcBorders>
            <w:shd w:val="clear" w:color="auto" w:fill="auto"/>
            <w:vAlign w:val="center"/>
          </w:tcPr>
          <w:p w14:paraId="0B9B3636">
            <w:pPr>
              <w:widowControl/>
              <w:jc w:val="left"/>
              <w:rPr>
                <w:rFonts w:ascii="宋体" w:hAnsi="宋体" w:cs="宋体"/>
                <w:color w:val="000000"/>
                <w:kern w:val="0"/>
                <w:sz w:val="18"/>
                <w:szCs w:val="18"/>
              </w:rPr>
            </w:pPr>
            <w:r>
              <w:rPr>
                <w:rFonts w:hint="eastAsia" w:ascii="宋体" w:hAnsi="宋体" w:cs="宋体"/>
                <w:color w:val="000000"/>
                <w:kern w:val="0"/>
                <w:sz w:val="18"/>
                <w:szCs w:val="18"/>
              </w:rPr>
              <w:t>为进一步推动我县城乡住户一体化调查户帮扶工作形成长效机制，促进住户收入应统尽统，提高统计数据采信率，圆满完成2020年农民增收工作目标任务，按照</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个乡（镇）、</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个农村调查点、</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户农村调查户，每户帮扶2000元的标准，预算帮扶资金</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万元。</w:t>
            </w:r>
          </w:p>
        </w:tc>
        <w:tc>
          <w:tcPr>
            <w:tcW w:w="1915" w:type="pct"/>
            <w:gridSpan w:val="8"/>
            <w:tcBorders>
              <w:top w:val="single" w:color="000000" w:sz="4" w:space="0"/>
              <w:left w:val="nil"/>
              <w:bottom w:val="single" w:color="000000" w:sz="4" w:space="0"/>
              <w:right w:val="single" w:color="000000" w:sz="4" w:space="0"/>
            </w:tcBorders>
            <w:shd w:val="clear" w:color="auto" w:fill="auto"/>
            <w:vAlign w:val="center"/>
          </w:tcPr>
          <w:p w14:paraId="253D09F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为进一步推动我县城乡住户一体化调查户帮扶工作形成长效机制，促进住户收入应统尽统，提高统计数据采信率，圆满完成2020年农民增收工作目标任务，按照</w:t>
            </w:r>
            <w:r>
              <w:rPr>
                <w:rFonts w:hint="eastAsia" w:ascii="Courier New" w:hAnsi="Courier New" w:cs="Courier New"/>
                <w:color w:val="000000"/>
                <w:kern w:val="0"/>
                <w:sz w:val="18"/>
                <w:szCs w:val="18"/>
                <w:lang w:val="en-US" w:eastAsia="zh-CN"/>
              </w:rPr>
              <w:t>1</w:t>
            </w:r>
            <w:r>
              <w:rPr>
                <w:rFonts w:ascii="Courier New" w:hAnsi="Courier New" w:cs="Courier New"/>
                <w:color w:val="000000"/>
                <w:kern w:val="0"/>
                <w:sz w:val="18"/>
                <w:szCs w:val="18"/>
              </w:rPr>
              <w:t>个乡（镇）、</w:t>
            </w:r>
            <w:r>
              <w:rPr>
                <w:rFonts w:hint="eastAsia" w:ascii="Courier New" w:hAnsi="Courier New" w:cs="Courier New"/>
                <w:color w:val="000000"/>
                <w:kern w:val="0"/>
                <w:sz w:val="18"/>
                <w:szCs w:val="18"/>
                <w:lang w:val="en-US" w:eastAsia="zh-CN"/>
              </w:rPr>
              <w:t>1</w:t>
            </w:r>
            <w:r>
              <w:rPr>
                <w:rFonts w:ascii="Courier New" w:hAnsi="Courier New" w:cs="Courier New"/>
                <w:color w:val="000000"/>
                <w:kern w:val="0"/>
                <w:sz w:val="18"/>
                <w:szCs w:val="18"/>
              </w:rPr>
              <w:t>个农村调查点、</w:t>
            </w:r>
            <w:r>
              <w:rPr>
                <w:rFonts w:hint="eastAsia" w:ascii="Courier New" w:hAnsi="Courier New" w:cs="Courier New"/>
                <w:color w:val="000000"/>
                <w:kern w:val="0"/>
                <w:sz w:val="18"/>
                <w:szCs w:val="18"/>
                <w:lang w:val="en-US" w:eastAsia="zh-CN"/>
              </w:rPr>
              <w:t>10</w:t>
            </w:r>
            <w:r>
              <w:rPr>
                <w:rFonts w:ascii="Courier New" w:hAnsi="Courier New" w:cs="Courier New"/>
                <w:color w:val="000000"/>
                <w:kern w:val="0"/>
                <w:sz w:val="18"/>
                <w:szCs w:val="18"/>
              </w:rPr>
              <w:t>户农村调查户，每户帮扶2000元的标准，预算帮扶资金</w:t>
            </w:r>
            <w:r>
              <w:rPr>
                <w:rFonts w:hint="eastAsia" w:ascii="Courier New" w:hAnsi="Courier New" w:cs="Courier New"/>
                <w:color w:val="000000"/>
                <w:kern w:val="0"/>
                <w:sz w:val="18"/>
                <w:szCs w:val="18"/>
                <w:lang w:val="en-US" w:eastAsia="zh-CN"/>
              </w:rPr>
              <w:t>2</w:t>
            </w:r>
            <w:r>
              <w:rPr>
                <w:rFonts w:ascii="Courier New" w:hAnsi="Courier New" w:cs="Courier New"/>
                <w:color w:val="000000"/>
                <w:kern w:val="0"/>
                <w:sz w:val="18"/>
                <w:szCs w:val="18"/>
              </w:rPr>
              <w:t>万元。</w:t>
            </w:r>
          </w:p>
        </w:tc>
      </w:tr>
      <w:tr w14:paraId="384CF1D8">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3BE82E9">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7F2AAFE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60" w:type="pct"/>
            <w:gridSpan w:val="19"/>
            <w:tcBorders>
              <w:top w:val="single" w:color="000000" w:sz="4" w:space="0"/>
              <w:left w:val="nil"/>
              <w:bottom w:val="single" w:color="000000" w:sz="4" w:space="0"/>
              <w:right w:val="single" w:color="000000" w:sz="4" w:space="0"/>
            </w:tcBorders>
            <w:shd w:val="clear" w:color="auto" w:fill="auto"/>
            <w:vAlign w:val="center"/>
          </w:tcPr>
          <w:p w14:paraId="303EA9B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48EB72D">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83B0D2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1" w:type="pct"/>
            <w:gridSpan w:val="2"/>
            <w:tcBorders>
              <w:top w:val="nil"/>
              <w:left w:val="nil"/>
              <w:bottom w:val="single" w:color="000000" w:sz="4" w:space="0"/>
              <w:right w:val="single" w:color="000000" w:sz="4" w:space="0"/>
            </w:tcBorders>
            <w:shd w:val="clear" w:color="auto" w:fill="auto"/>
            <w:vAlign w:val="center"/>
          </w:tcPr>
          <w:p w14:paraId="639B428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509" w:type="pct"/>
            <w:gridSpan w:val="2"/>
            <w:tcBorders>
              <w:top w:val="nil"/>
              <w:left w:val="nil"/>
              <w:bottom w:val="single" w:color="000000" w:sz="4" w:space="0"/>
              <w:right w:val="single" w:color="000000" w:sz="4" w:space="0"/>
            </w:tcBorders>
            <w:shd w:val="clear" w:color="auto" w:fill="auto"/>
            <w:vAlign w:val="center"/>
          </w:tcPr>
          <w:p w14:paraId="6F8D947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87" w:type="pct"/>
            <w:gridSpan w:val="2"/>
            <w:tcBorders>
              <w:top w:val="nil"/>
              <w:left w:val="nil"/>
              <w:bottom w:val="single" w:color="000000" w:sz="4" w:space="0"/>
              <w:right w:val="single" w:color="000000" w:sz="4" w:space="0"/>
            </w:tcBorders>
            <w:shd w:val="clear" w:color="auto" w:fill="auto"/>
            <w:vAlign w:val="center"/>
          </w:tcPr>
          <w:p w14:paraId="61E49DA3">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0A43DDD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567" w:type="pct"/>
            <w:gridSpan w:val="3"/>
            <w:tcBorders>
              <w:top w:val="nil"/>
              <w:left w:val="nil"/>
              <w:bottom w:val="single" w:color="000000" w:sz="4" w:space="0"/>
              <w:right w:val="single" w:color="000000" w:sz="4" w:space="0"/>
            </w:tcBorders>
            <w:shd w:val="clear" w:color="auto" w:fill="auto"/>
            <w:vAlign w:val="center"/>
          </w:tcPr>
          <w:p w14:paraId="78FCF98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gridSpan w:val="2"/>
            <w:tcBorders>
              <w:top w:val="nil"/>
              <w:left w:val="nil"/>
              <w:bottom w:val="single" w:color="000000" w:sz="4" w:space="0"/>
              <w:right w:val="single" w:color="000000" w:sz="4" w:space="0"/>
            </w:tcBorders>
            <w:shd w:val="clear" w:color="auto" w:fill="auto"/>
            <w:vAlign w:val="center"/>
          </w:tcPr>
          <w:p w14:paraId="49C84B3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3DD107A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76" w:type="pct"/>
            <w:gridSpan w:val="2"/>
            <w:tcBorders>
              <w:top w:val="nil"/>
              <w:left w:val="nil"/>
              <w:bottom w:val="single" w:color="000000" w:sz="4" w:space="0"/>
              <w:right w:val="single" w:color="000000" w:sz="4" w:space="0"/>
            </w:tcBorders>
            <w:shd w:val="clear" w:color="auto" w:fill="auto"/>
            <w:vAlign w:val="center"/>
          </w:tcPr>
          <w:p w14:paraId="24FB9FF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8FE6F2A">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71342A5F">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46ABFA6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09" w:type="pct"/>
            <w:gridSpan w:val="2"/>
            <w:tcBorders>
              <w:top w:val="nil"/>
              <w:left w:val="nil"/>
              <w:bottom w:val="single" w:color="000000" w:sz="4" w:space="0"/>
              <w:right w:val="single" w:color="000000" w:sz="4" w:space="0"/>
            </w:tcBorders>
            <w:shd w:val="clear" w:color="auto" w:fill="auto"/>
            <w:vAlign w:val="center"/>
          </w:tcPr>
          <w:p w14:paraId="3367AA06">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44538480">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5D8FAC24">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567" w:type="pct"/>
            <w:gridSpan w:val="3"/>
            <w:tcBorders>
              <w:top w:val="nil"/>
              <w:left w:val="nil"/>
              <w:bottom w:val="single" w:color="000000" w:sz="4" w:space="0"/>
              <w:right w:val="single" w:color="000000" w:sz="4" w:space="0"/>
            </w:tcBorders>
            <w:shd w:val="clear" w:color="auto" w:fill="auto"/>
            <w:vAlign w:val="center"/>
          </w:tcPr>
          <w:p w14:paraId="19FC97C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gridSpan w:val="2"/>
            <w:tcBorders>
              <w:top w:val="nil"/>
              <w:left w:val="nil"/>
              <w:bottom w:val="single" w:color="000000" w:sz="4" w:space="0"/>
              <w:right w:val="single" w:color="000000" w:sz="4" w:space="0"/>
            </w:tcBorders>
            <w:shd w:val="clear" w:color="auto" w:fill="auto"/>
            <w:vAlign w:val="center"/>
          </w:tcPr>
          <w:p w14:paraId="69181BB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0C707A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2AFD88B">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44D44C7C">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61799068">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2EFD68D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09" w:type="pct"/>
            <w:gridSpan w:val="2"/>
            <w:tcBorders>
              <w:top w:val="nil"/>
              <w:left w:val="nil"/>
              <w:bottom w:val="single" w:color="000000" w:sz="4" w:space="0"/>
              <w:right w:val="single" w:color="000000" w:sz="4" w:space="0"/>
            </w:tcBorders>
            <w:shd w:val="clear" w:color="auto" w:fill="auto"/>
            <w:vAlign w:val="center"/>
          </w:tcPr>
          <w:p w14:paraId="49B9514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3E05591B">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2E228888">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567" w:type="pct"/>
            <w:gridSpan w:val="3"/>
            <w:tcBorders>
              <w:top w:val="nil"/>
              <w:left w:val="nil"/>
              <w:bottom w:val="single" w:color="000000" w:sz="4" w:space="0"/>
              <w:right w:val="single" w:color="000000" w:sz="4" w:space="0"/>
            </w:tcBorders>
            <w:shd w:val="clear" w:color="auto" w:fill="auto"/>
            <w:vAlign w:val="center"/>
          </w:tcPr>
          <w:p w14:paraId="68C7C6B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gridSpan w:val="2"/>
            <w:tcBorders>
              <w:top w:val="nil"/>
              <w:left w:val="nil"/>
              <w:bottom w:val="single" w:color="000000" w:sz="4" w:space="0"/>
              <w:right w:val="single" w:color="000000" w:sz="4" w:space="0"/>
            </w:tcBorders>
            <w:shd w:val="clear" w:color="auto" w:fill="auto"/>
            <w:vAlign w:val="center"/>
          </w:tcPr>
          <w:p w14:paraId="4C29779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1E0C436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142A082C">
            <w:pPr>
              <w:widowControl/>
              <w:jc w:val="left"/>
              <w:rPr>
                <w:rFonts w:ascii="Courier New" w:hAnsi="Courier New" w:cs="Courier New"/>
                <w:i/>
                <w:iCs/>
                <w:color w:val="000000"/>
                <w:kern w:val="0"/>
                <w:sz w:val="18"/>
                <w:szCs w:val="18"/>
              </w:rPr>
            </w:pPr>
          </w:p>
        </w:tc>
      </w:tr>
      <w:tr w14:paraId="2550D9EF">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7D38F56C">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2195510B">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509" w:type="pct"/>
            <w:gridSpan w:val="2"/>
            <w:tcBorders>
              <w:top w:val="nil"/>
              <w:left w:val="nil"/>
              <w:bottom w:val="single" w:color="000000" w:sz="4" w:space="0"/>
              <w:right w:val="single" w:color="000000" w:sz="4" w:space="0"/>
            </w:tcBorders>
            <w:shd w:val="clear" w:color="auto" w:fill="auto"/>
            <w:vAlign w:val="center"/>
          </w:tcPr>
          <w:p w14:paraId="279C4AA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338AE47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1553657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67" w:type="pct"/>
            <w:gridSpan w:val="3"/>
            <w:tcBorders>
              <w:top w:val="nil"/>
              <w:left w:val="nil"/>
              <w:bottom w:val="single" w:color="000000" w:sz="4" w:space="0"/>
              <w:right w:val="single" w:color="000000" w:sz="4" w:space="0"/>
            </w:tcBorders>
            <w:shd w:val="clear" w:color="auto" w:fill="auto"/>
            <w:vAlign w:val="center"/>
          </w:tcPr>
          <w:p w14:paraId="61E3E8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gridSpan w:val="2"/>
            <w:tcBorders>
              <w:top w:val="nil"/>
              <w:left w:val="nil"/>
              <w:bottom w:val="single" w:color="000000" w:sz="4" w:space="0"/>
              <w:right w:val="single" w:color="000000" w:sz="4" w:space="0"/>
            </w:tcBorders>
            <w:shd w:val="clear" w:color="auto" w:fill="auto"/>
            <w:vAlign w:val="center"/>
          </w:tcPr>
          <w:p w14:paraId="5541C54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536A5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47F54842">
            <w:pPr>
              <w:widowControl/>
              <w:jc w:val="left"/>
              <w:rPr>
                <w:rFonts w:ascii="Courier New" w:hAnsi="Courier New" w:cs="Courier New"/>
                <w:i/>
                <w:iCs/>
                <w:color w:val="000000"/>
                <w:kern w:val="0"/>
                <w:sz w:val="18"/>
                <w:szCs w:val="18"/>
              </w:rPr>
            </w:pPr>
          </w:p>
        </w:tc>
      </w:tr>
      <w:tr w14:paraId="5D2D0776">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5A9476C4">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0E0D45F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09" w:type="pct"/>
            <w:gridSpan w:val="2"/>
            <w:tcBorders>
              <w:top w:val="nil"/>
              <w:left w:val="nil"/>
              <w:bottom w:val="single" w:color="000000" w:sz="4" w:space="0"/>
              <w:right w:val="single" w:color="000000" w:sz="4" w:space="0"/>
            </w:tcBorders>
            <w:shd w:val="clear" w:color="auto" w:fill="auto"/>
            <w:vAlign w:val="center"/>
          </w:tcPr>
          <w:p w14:paraId="77ADB37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7A2C8A8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419D2EE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67" w:type="pct"/>
            <w:gridSpan w:val="3"/>
            <w:tcBorders>
              <w:top w:val="nil"/>
              <w:left w:val="nil"/>
              <w:bottom w:val="single" w:color="000000" w:sz="4" w:space="0"/>
              <w:right w:val="single" w:color="000000" w:sz="4" w:space="0"/>
            </w:tcBorders>
            <w:shd w:val="clear" w:color="auto" w:fill="auto"/>
            <w:vAlign w:val="center"/>
          </w:tcPr>
          <w:p w14:paraId="400DAF8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gridSpan w:val="2"/>
            <w:tcBorders>
              <w:top w:val="nil"/>
              <w:left w:val="nil"/>
              <w:bottom w:val="single" w:color="000000" w:sz="4" w:space="0"/>
              <w:right w:val="single" w:color="000000" w:sz="4" w:space="0"/>
            </w:tcBorders>
            <w:shd w:val="clear" w:color="auto" w:fill="auto"/>
            <w:vAlign w:val="center"/>
          </w:tcPr>
          <w:p w14:paraId="69A546F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D7FB45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2AFFAFE1">
            <w:pPr>
              <w:widowControl/>
              <w:jc w:val="left"/>
              <w:rPr>
                <w:rFonts w:ascii="Courier New" w:hAnsi="Courier New" w:cs="Courier New"/>
                <w:i/>
                <w:iCs/>
                <w:color w:val="000000"/>
                <w:kern w:val="0"/>
                <w:sz w:val="18"/>
                <w:szCs w:val="18"/>
              </w:rPr>
            </w:pPr>
          </w:p>
        </w:tc>
      </w:tr>
      <w:tr w14:paraId="133CEF2F">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5C3F4643">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4E02A1C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09" w:type="pct"/>
            <w:gridSpan w:val="2"/>
            <w:tcBorders>
              <w:top w:val="nil"/>
              <w:left w:val="nil"/>
              <w:bottom w:val="single" w:color="000000" w:sz="4" w:space="0"/>
              <w:right w:val="single" w:color="000000" w:sz="4" w:space="0"/>
            </w:tcBorders>
            <w:shd w:val="clear" w:color="auto" w:fill="auto"/>
            <w:vAlign w:val="center"/>
          </w:tcPr>
          <w:p w14:paraId="666F02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87" w:type="pct"/>
            <w:gridSpan w:val="2"/>
            <w:tcBorders>
              <w:top w:val="nil"/>
              <w:left w:val="nil"/>
              <w:bottom w:val="single" w:color="000000" w:sz="4" w:space="0"/>
              <w:right w:val="single" w:color="000000" w:sz="4" w:space="0"/>
            </w:tcBorders>
            <w:shd w:val="clear" w:color="auto" w:fill="auto"/>
            <w:vAlign w:val="center"/>
          </w:tcPr>
          <w:p w14:paraId="20BF4FC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617FF67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7" w:type="pct"/>
            <w:gridSpan w:val="3"/>
            <w:tcBorders>
              <w:top w:val="nil"/>
              <w:left w:val="nil"/>
              <w:bottom w:val="single" w:color="000000" w:sz="4" w:space="0"/>
              <w:right w:val="single" w:color="000000" w:sz="4" w:space="0"/>
            </w:tcBorders>
            <w:shd w:val="clear" w:color="auto" w:fill="auto"/>
            <w:vAlign w:val="center"/>
          </w:tcPr>
          <w:p w14:paraId="79CC5FC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24C9088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7503C8E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4CDDB0F4">
            <w:pPr>
              <w:widowControl/>
              <w:jc w:val="left"/>
              <w:rPr>
                <w:rFonts w:ascii="Courier New" w:hAnsi="Courier New" w:cs="Courier New"/>
                <w:i/>
                <w:iCs/>
                <w:color w:val="000000"/>
                <w:kern w:val="0"/>
                <w:sz w:val="18"/>
                <w:szCs w:val="18"/>
              </w:rPr>
            </w:pPr>
          </w:p>
        </w:tc>
      </w:tr>
      <w:tr w14:paraId="47180753">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0CB5947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1" w:type="pct"/>
            <w:gridSpan w:val="2"/>
            <w:tcBorders>
              <w:top w:val="nil"/>
              <w:left w:val="nil"/>
              <w:bottom w:val="single" w:color="000000" w:sz="4" w:space="0"/>
              <w:right w:val="single" w:color="000000" w:sz="4" w:space="0"/>
            </w:tcBorders>
            <w:shd w:val="clear" w:color="auto" w:fill="auto"/>
            <w:vAlign w:val="center"/>
          </w:tcPr>
          <w:p w14:paraId="134A01D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09" w:type="pct"/>
            <w:gridSpan w:val="2"/>
            <w:tcBorders>
              <w:top w:val="nil"/>
              <w:left w:val="nil"/>
              <w:bottom w:val="single" w:color="000000" w:sz="4" w:space="0"/>
              <w:right w:val="single" w:color="000000" w:sz="4" w:space="0"/>
            </w:tcBorders>
            <w:shd w:val="clear" w:color="auto" w:fill="auto"/>
            <w:vAlign w:val="center"/>
          </w:tcPr>
          <w:p w14:paraId="3FF90F3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87" w:type="pct"/>
            <w:gridSpan w:val="2"/>
            <w:tcBorders>
              <w:top w:val="nil"/>
              <w:left w:val="nil"/>
              <w:bottom w:val="single" w:color="000000" w:sz="4" w:space="0"/>
              <w:right w:val="single" w:color="000000" w:sz="4" w:space="0"/>
            </w:tcBorders>
            <w:shd w:val="clear" w:color="auto" w:fill="auto"/>
            <w:vAlign w:val="center"/>
          </w:tcPr>
          <w:p w14:paraId="7ABE79D5">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gridSpan w:val="2"/>
            <w:tcBorders>
              <w:top w:val="nil"/>
              <w:left w:val="nil"/>
              <w:bottom w:val="single" w:color="000000" w:sz="4" w:space="0"/>
              <w:right w:val="single" w:color="000000" w:sz="4" w:space="0"/>
            </w:tcBorders>
            <w:shd w:val="clear" w:color="auto" w:fill="auto"/>
            <w:vAlign w:val="center"/>
          </w:tcPr>
          <w:p w14:paraId="0ABBC1F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63" w:type="pct"/>
            <w:gridSpan w:val="2"/>
            <w:tcBorders>
              <w:top w:val="nil"/>
              <w:left w:val="nil"/>
              <w:bottom w:val="single" w:color="000000" w:sz="4" w:space="0"/>
              <w:right w:val="single" w:color="000000" w:sz="4" w:space="0"/>
            </w:tcBorders>
            <w:shd w:val="clear" w:color="auto" w:fill="auto"/>
            <w:vAlign w:val="center"/>
          </w:tcPr>
          <w:p w14:paraId="2238801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52" w:type="pct"/>
            <w:gridSpan w:val="3"/>
            <w:tcBorders>
              <w:top w:val="nil"/>
              <w:left w:val="nil"/>
              <w:bottom w:val="single" w:color="000000" w:sz="4" w:space="0"/>
              <w:right w:val="single" w:color="000000" w:sz="4" w:space="0"/>
            </w:tcBorders>
            <w:shd w:val="clear" w:color="auto" w:fill="auto"/>
            <w:vAlign w:val="center"/>
          </w:tcPr>
          <w:p w14:paraId="70225FA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67" w:type="pct"/>
            <w:gridSpan w:val="3"/>
            <w:tcBorders>
              <w:top w:val="nil"/>
              <w:left w:val="nil"/>
              <w:bottom w:val="single" w:color="000000" w:sz="4" w:space="0"/>
              <w:right w:val="single" w:color="000000" w:sz="4" w:space="0"/>
            </w:tcBorders>
            <w:shd w:val="clear" w:color="auto" w:fill="auto"/>
            <w:vAlign w:val="center"/>
          </w:tcPr>
          <w:p w14:paraId="43FDDBB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gridSpan w:val="2"/>
            <w:tcBorders>
              <w:top w:val="nil"/>
              <w:left w:val="nil"/>
              <w:bottom w:val="single" w:color="000000" w:sz="4" w:space="0"/>
              <w:right w:val="single" w:color="000000" w:sz="4" w:space="0"/>
            </w:tcBorders>
            <w:shd w:val="clear" w:color="auto" w:fill="auto"/>
            <w:vAlign w:val="center"/>
          </w:tcPr>
          <w:p w14:paraId="6D47B47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1DEE04F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76" w:type="pct"/>
            <w:gridSpan w:val="2"/>
            <w:tcBorders>
              <w:top w:val="nil"/>
              <w:left w:val="nil"/>
              <w:bottom w:val="single" w:color="000000" w:sz="4" w:space="0"/>
              <w:right w:val="single" w:color="000000" w:sz="4" w:space="0"/>
            </w:tcBorders>
            <w:shd w:val="clear" w:color="auto" w:fill="auto"/>
            <w:vAlign w:val="center"/>
          </w:tcPr>
          <w:p w14:paraId="5962CA95">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7C3D3671">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A871AEA">
            <w:pPr>
              <w:widowControl/>
              <w:jc w:val="left"/>
              <w:rPr>
                <w:rFonts w:ascii="宋体" w:hAnsi="宋体" w:cs="宋体"/>
                <w:color w:val="000000"/>
                <w:kern w:val="0"/>
                <w:sz w:val="18"/>
                <w:szCs w:val="18"/>
              </w:rPr>
            </w:pPr>
          </w:p>
        </w:tc>
        <w:tc>
          <w:tcPr>
            <w:tcW w:w="601"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53C01B2">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09" w:type="pct"/>
            <w:gridSpan w:val="2"/>
            <w:tcBorders>
              <w:top w:val="nil"/>
              <w:left w:val="nil"/>
              <w:bottom w:val="single" w:color="000000" w:sz="4" w:space="0"/>
              <w:right w:val="single" w:color="000000" w:sz="4" w:space="0"/>
            </w:tcBorders>
            <w:shd w:val="clear" w:color="auto" w:fill="auto"/>
            <w:vAlign w:val="center"/>
          </w:tcPr>
          <w:p w14:paraId="1EAAC420">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87" w:type="pct"/>
            <w:gridSpan w:val="2"/>
            <w:tcBorders>
              <w:top w:val="nil"/>
              <w:left w:val="nil"/>
              <w:bottom w:val="single" w:color="000000" w:sz="4" w:space="0"/>
              <w:right w:val="single" w:color="000000" w:sz="4" w:space="0"/>
            </w:tcBorders>
            <w:shd w:val="clear" w:color="auto" w:fill="auto"/>
            <w:vAlign w:val="center"/>
          </w:tcPr>
          <w:p w14:paraId="7B92428A">
            <w:pPr>
              <w:widowControl/>
              <w:jc w:val="center"/>
              <w:rPr>
                <w:rFonts w:ascii="宋体" w:hAnsi="宋体" w:cs="宋体"/>
                <w:color w:val="000000"/>
                <w:kern w:val="0"/>
                <w:sz w:val="18"/>
                <w:szCs w:val="18"/>
              </w:rPr>
            </w:pPr>
            <w:r>
              <w:rPr>
                <w:rFonts w:hint="eastAsia" w:ascii="宋体" w:hAnsi="宋体" w:cs="宋体"/>
                <w:color w:val="000000"/>
                <w:kern w:val="0"/>
                <w:sz w:val="18"/>
                <w:szCs w:val="18"/>
              </w:rPr>
              <w:t>记账户数量</w:t>
            </w:r>
          </w:p>
        </w:tc>
        <w:tc>
          <w:tcPr>
            <w:tcW w:w="232" w:type="pct"/>
            <w:gridSpan w:val="2"/>
            <w:tcBorders>
              <w:top w:val="nil"/>
              <w:left w:val="nil"/>
              <w:bottom w:val="single" w:color="000000" w:sz="4" w:space="0"/>
              <w:right w:val="single" w:color="000000" w:sz="4" w:space="0"/>
            </w:tcBorders>
            <w:shd w:val="clear" w:color="auto" w:fill="auto"/>
            <w:vAlign w:val="center"/>
          </w:tcPr>
          <w:p w14:paraId="2C94E8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3D15F12F">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252" w:type="pct"/>
            <w:gridSpan w:val="3"/>
            <w:tcBorders>
              <w:top w:val="nil"/>
              <w:left w:val="nil"/>
              <w:bottom w:val="single" w:color="000000" w:sz="4" w:space="0"/>
              <w:right w:val="single" w:color="000000" w:sz="4" w:space="0"/>
            </w:tcBorders>
            <w:shd w:val="clear" w:color="auto" w:fill="auto"/>
            <w:vAlign w:val="center"/>
          </w:tcPr>
          <w:p w14:paraId="4F5D9A21">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69AD743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78BE3E4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4E905A3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2868E0B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402EB7">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EDBCC6C">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5C823EA6">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5F24D9F1">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87" w:type="pct"/>
            <w:gridSpan w:val="2"/>
            <w:tcBorders>
              <w:top w:val="nil"/>
              <w:left w:val="nil"/>
              <w:bottom w:val="single" w:color="000000" w:sz="4" w:space="0"/>
              <w:right w:val="single" w:color="000000" w:sz="4" w:space="0"/>
            </w:tcBorders>
            <w:shd w:val="clear" w:color="auto" w:fill="auto"/>
            <w:vAlign w:val="center"/>
          </w:tcPr>
          <w:p w14:paraId="413EB6E5">
            <w:pPr>
              <w:widowControl/>
              <w:jc w:val="center"/>
              <w:rPr>
                <w:rFonts w:ascii="宋体" w:hAnsi="宋体" w:cs="宋体"/>
                <w:color w:val="000000"/>
                <w:kern w:val="0"/>
                <w:sz w:val="18"/>
                <w:szCs w:val="18"/>
              </w:rPr>
            </w:pPr>
            <w:r>
              <w:rPr>
                <w:rFonts w:hint="eastAsia" w:ascii="宋体" w:hAnsi="宋体" w:cs="宋体"/>
                <w:color w:val="000000"/>
                <w:kern w:val="0"/>
                <w:sz w:val="18"/>
                <w:szCs w:val="18"/>
              </w:rPr>
              <w:t>统计数据采信率</w:t>
            </w:r>
          </w:p>
        </w:tc>
        <w:tc>
          <w:tcPr>
            <w:tcW w:w="232" w:type="pct"/>
            <w:gridSpan w:val="2"/>
            <w:tcBorders>
              <w:top w:val="nil"/>
              <w:left w:val="nil"/>
              <w:bottom w:val="single" w:color="000000" w:sz="4" w:space="0"/>
              <w:right w:val="single" w:color="000000" w:sz="4" w:space="0"/>
            </w:tcBorders>
            <w:shd w:val="clear" w:color="auto" w:fill="auto"/>
            <w:vAlign w:val="center"/>
          </w:tcPr>
          <w:p w14:paraId="06C5A7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1FED97D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252" w:type="pct"/>
            <w:gridSpan w:val="3"/>
            <w:tcBorders>
              <w:top w:val="nil"/>
              <w:left w:val="nil"/>
              <w:bottom w:val="single" w:color="000000" w:sz="4" w:space="0"/>
              <w:right w:val="single" w:color="000000" w:sz="4" w:space="0"/>
            </w:tcBorders>
            <w:shd w:val="clear" w:color="auto" w:fill="auto"/>
            <w:vAlign w:val="center"/>
          </w:tcPr>
          <w:p w14:paraId="1FD743C1">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67" w:type="pct"/>
            <w:gridSpan w:val="3"/>
            <w:tcBorders>
              <w:top w:val="nil"/>
              <w:left w:val="nil"/>
              <w:bottom w:val="single" w:color="000000" w:sz="4" w:space="0"/>
              <w:right w:val="single" w:color="000000" w:sz="4" w:space="0"/>
            </w:tcBorders>
            <w:shd w:val="clear" w:color="auto" w:fill="auto"/>
            <w:vAlign w:val="center"/>
          </w:tcPr>
          <w:p w14:paraId="383BA40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1728F0B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936EE0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3427BA3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A263E50">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738D546">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4ECBB2DC">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4840DB3E">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87" w:type="pct"/>
            <w:gridSpan w:val="2"/>
            <w:tcBorders>
              <w:top w:val="nil"/>
              <w:left w:val="nil"/>
              <w:bottom w:val="single" w:color="000000" w:sz="4" w:space="0"/>
              <w:right w:val="single" w:color="000000" w:sz="4" w:space="0"/>
            </w:tcBorders>
            <w:shd w:val="clear" w:color="auto" w:fill="auto"/>
            <w:vAlign w:val="center"/>
          </w:tcPr>
          <w:p w14:paraId="25EA8103">
            <w:pPr>
              <w:widowControl/>
              <w:jc w:val="center"/>
              <w:rPr>
                <w:rFonts w:ascii="宋体" w:hAnsi="宋体" w:cs="宋体"/>
                <w:color w:val="000000"/>
                <w:kern w:val="0"/>
                <w:sz w:val="18"/>
                <w:szCs w:val="18"/>
              </w:rPr>
            </w:pPr>
            <w:r>
              <w:rPr>
                <w:rFonts w:hint="eastAsia" w:ascii="宋体" w:hAnsi="宋体" w:cs="宋体"/>
                <w:color w:val="000000"/>
                <w:kern w:val="0"/>
                <w:sz w:val="18"/>
                <w:szCs w:val="18"/>
              </w:rPr>
              <w:t>统计期</w:t>
            </w:r>
          </w:p>
        </w:tc>
        <w:tc>
          <w:tcPr>
            <w:tcW w:w="232" w:type="pct"/>
            <w:gridSpan w:val="2"/>
            <w:tcBorders>
              <w:top w:val="nil"/>
              <w:left w:val="nil"/>
              <w:bottom w:val="single" w:color="000000" w:sz="4" w:space="0"/>
              <w:right w:val="single" w:color="000000" w:sz="4" w:space="0"/>
            </w:tcBorders>
            <w:shd w:val="clear" w:color="auto" w:fill="auto"/>
            <w:vAlign w:val="center"/>
          </w:tcPr>
          <w:p w14:paraId="24339D5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2771D7A8">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52" w:type="pct"/>
            <w:gridSpan w:val="3"/>
            <w:tcBorders>
              <w:top w:val="nil"/>
              <w:left w:val="nil"/>
              <w:bottom w:val="single" w:color="000000" w:sz="4" w:space="0"/>
              <w:right w:val="single" w:color="000000" w:sz="4" w:space="0"/>
            </w:tcBorders>
            <w:shd w:val="clear" w:color="auto" w:fill="auto"/>
            <w:vAlign w:val="center"/>
          </w:tcPr>
          <w:p w14:paraId="76F1D7EF">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567" w:type="pct"/>
            <w:gridSpan w:val="3"/>
            <w:tcBorders>
              <w:top w:val="nil"/>
              <w:left w:val="nil"/>
              <w:bottom w:val="single" w:color="000000" w:sz="4" w:space="0"/>
              <w:right w:val="single" w:color="000000" w:sz="4" w:space="0"/>
            </w:tcBorders>
            <w:shd w:val="clear" w:color="auto" w:fill="auto"/>
            <w:vAlign w:val="center"/>
          </w:tcPr>
          <w:p w14:paraId="39EFF41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2536CC4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20D35D7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640C249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9C7FE1">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28DB54F5">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76AA9D7A">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6827C935">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87" w:type="pct"/>
            <w:gridSpan w:val="2"/>
            <w:tcBorders>
              <w:top w:val="nil"/>
              <w:left w:val="nil"/>
              <w:bottom w:val="single" w:color="000000" w:sz="4" w:space="0"/>
              <w:right w:val="single" w:color="000000" w:sz="4" w:space="0"/>
            </w:tcBorders>
            <w:shd w:val="clear" w:color="auto" w:fill="auto"/>
            <w:vAlign w:val="center"/>
          </w:tcPr>
          <w:p w14:paraId="6464451A">
            <w:pPr>
              <w:widowControl/>
              <w:jc w:val="center"/>
              <w:rPr>
                <w:rFonts w:ascii="宋体" w:hAnsi="宋体" w:cs="宋体"/>
                <w:color w:val="000000"/>
                <w:kern w:val="0"/>
                <w:sz w:val="18"/>
                <w:szCs w:val="18"/>
              </w:rPr>
            </w:pPr>
            <w:r>
              <w:rPr>
                <w:rFonts w:hint="eastAsia" w:ascii="宋体" w:hAnsi="宋体" w:cs="宋体"/>
                <w:color w:val="000000"/>
                <w:kern w:val="0"/>
                <w:sz w:val="18"/>
                <w:szCs w:val="18"/>
              </w:rPr>
              <w:t>户均投入</w:t>
            </w:r>
          </w:p>
        </w:tc>
        <w:tc>
          <w:tcPr>
            <w:tcW w:w="232" w:type="pct"/>
            <w:gridSpan w:val="2"/>
            <w:tcBorders>
              <w:top w:val="nil"/>
              <w:left w:val="nil"/>
              <w:bottom w:val="single" w:color="000000" w:sz="4" w:space="0"/>
              <w:right w:val="single" w:color="000000" w:sz="4" w:space="0"/>
            </w:tcBorders>
            <w:shd w:val="clear" w:color="auto" w:fill="auto"/>
            <w:vAlign w:val="center"/>
          </w:tcPr>
          <w:p w14:paraId="67C6981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0D55E52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52" w:type="pct"/>
            <w:gridSpan w:val="3"/>
            <w:tcBorders>
              <w:top w:val="nil"/>
              <w:left w:val="nil"/>
              <w:bottom w:val="single" w:color="000000" w:sz="4" w:space="0"/>
              <w:right w:val="single" w:color="000000" w:sz="4" w:space="0"/>
            </w:tcBorders>
            <w:shd w:val="clear" w:color="auto" w:fill="auto"/>
            <w:vAlign w:val="center"/>
          </w:tcPr>
          <w:p w14:paraId="4DC00895">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567" w:type="pct"/>
            <w:gridSpan w:val="3"/>
            <w:tcBorders>
              <w:top w:val="nil"/>
              <w:left w:val="nil"/>
              <w:bottom w:val="single" w:color="000000" w:sz="4" w:space="0"/>
              <w:right w:val="single" w:color="000000" w:sz="4" w:space="0"/>
            </w:tcBorders>
            <w:shd w:val="clear" w:color="auto" w:fill="auto"/>
            <w:vAlign w:val="center"/>
          </w:tcPr>
          <w:p w14:paraId="7CE6B9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0C8B488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8BE13F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15CBF68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31DE3D">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7E350D7">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0B588366">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38A023FF">
            <w:pPr>
              <w:widowControl/>
              <w:jc w:val="center"/>
              <w:rPr>
                <w:rFonts w:ascii="宋体" w:hAnsi="宋体" w:cs="宋体"/>
                <w:color w:val="000000"/>
                <w:kern w:val="0"/>
                <w:sz w:val="18"/>
                <w:szCs w:val="18"/>
              </w:rPr>
            </w:pPr>
            <w:r>
              <w:rPr>
                <w:rFonts w:hint="eastAsia" w:ascii="宋体" w:hAnsi="宋体" w:cs="宋体"/>
                <w:color w:val="000000"/>
                <w:kern w:val="0"/>
                <w:sz w:val="18"/>
                <w:szCs w:val="18"/>
              </w:rPr>
              <w:t>效果指标</w:t>
            </w:r>
          </w:p>
        </w:tc>
        <w:tc>
          <w:tcPr>
            <w:tcW w:w="687" w:type="pct"/>
            <w:gridSpan w:val="2"/>
            <w:tcBorders>
              <w:top w:val="nil"/>
              <w:left w:val="nil"/>
              <w:bottom w:val="single" w:color="000000" w:sz="4" w:space="0"/>
              <w:right w:val="single" w:color="000000" w:sz="4" w:space="0"/>
            </w:tcBorders>
            <w:shd w:val="clear" w:color="auto" w:fill="auto"/>
            <w:vAlign w:val="center"/>
          </w:tcPr>
          <w:p w14:paraId="4266A8F5">
            <w:pPr>
              <w:widowControl/>
              <w:jc w:val="center"/>
              <w:rPr>
                <w:rFonts w:ascii="宋体" w:hAnsi="宋体" w:cs="宋体"/>
                <w:color w:val="000000"/>
                <w:kern w:val="0"/>
                <w:sz w:val="18"/>
                <w:szCs w:val="18"/>
              </w:rPr>
            </w:pPr>
            <w:r>
              <w:rPr>
                <w:rFonts w:hint="eastAsia" w:ascii="宋体" w:hAnsi="宋体" w:cs="宋体"/>
                <w:color w:val="000000"/>
                <w:kern w:val="0"/>
                <w:sz w:val="18"/>
                <w:szCs w:val="18"/>
              </w:rPr>
              <w:t>农民持续增收监测</w:t>
            </w:r>
          </w:p>
        </w:tc>
        <w:tc>
          <w:tcPr>
            <w:tcW w:w="232" w:type="pct"/>
            <w:gridSpan w:val="2"/>
            <w:tcBorders>
              <w:top w:val="nil"/>
              <w:left w:val="nil"/>
              <w:bottom w:val="single" w:color="000000" w:sz="4" w:space="0"/>
              <w:right w:val="single" w:color="000000" w:sz="4" w:space="0"/>
            </w:tcBorders>
            <w:shd w:val="clear" w:color="auto" w:fill="auto"/>
            <w:vAlign w:val="center"/>
          </w:tcPr>
          <w:p w14:paraId="52CE5D56">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1CFFD51A">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29BE356B">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25A720D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2677350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5570B26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6085BD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FFD7C8">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7B64FB4D">
            <w:pPr>
              <w:widowControl/>
              <w:jc w:val="left"/>
              <w:rPr>
                <w:rFonts w:ascii="宋体" w:hAnsi="宋体" w:cs="宋体"/>
                <w:color w:val="000000"/>
                <w:kern w:val="0"/>
                <w:sz w:val="18"/>
                <w:szCs w:val="18"/>
              </w:rPr>
            </w:pPr>
          </w:p>
        </w:tc>
        <w:tc>
          <w:tcPr>
            <w:tcW w:w="601"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08DC6A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09" w:type="pct"/>
            <w:gridSpan w:val="2"/>
            <w:tcBorders>
              <w:top w:val="nil"/>
              <w:left w:val="nil"/>
              <w:bottom w:val="single" w:color="000000" w:sz="4" w:space="0"/>
              <w:right w:val="single" w:color="000000" w:sz="4" w:space="0"/>
            </w:tcBorders>
            <w:shd w:val="clear" w:color="auto" w:fill="auto"/>
            <w:vAlign w:val="center"/>
          </w:tcPr>
          <w:p w14:paraId="705BFADE">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687" w:type="pct"/>
            <w:gridSpan w:val="2"/>
            <w:tcBorders>
              <w:top w:val="nil"/>
              <w:left w:val="nil"/>
              <w:bottom w:val="single" w:color="000000" w:sz="4" w:space="0"/>
              <w:right w:val="single" w:color="000000" w:sz="4" w:space="0"/>
            </w:tcBorders>
            <w:shd w:val="clear" w:color="auto" w:fill="auto"/>
            <w:vAlign w:val="center"/>
          </w:tcPr>
          <w:p w14:paraId="68078C1F">
            <w:pPr>
              <w:widowControl/>
              <w:jc w:val="center"/>
              <w:rPr>
                <w:rFonts w:ascii="宋体" w:hAnsi="宋体" w:cs="宋体"/>
                <w:color w:val="000000"/>
                <w:kern w:val="0"/>
                <w:sz w:val="18"/>
                <w:szCs w:val="18"/>
              </w:rPr>
            </w:pPr>
            <w:r>
              <w:rPr>
                <w:rFonts w:hint="eastAsia" w:ascii="宋体" w:hAnsi="宋体" w:cs="宋体"/>
                <w:color w:val="000000"/>
                <w:kern w:val="0"/>
                <w:sz w:val="18"/>
                <w:szCs w:val="18"/>
              </w:rPr>
              <w:t>记账户补助增收</w:t>
            </w:r>
          </w:p>
        </w:tc>
        <w:tc>
          <w:tcPr>
            <w:tcW w:w="232" w:type="pct"/>
            <w:gridSpan w:val="2"/>
            <w:tcBorders>
              <w:top w:val="nil"/>
              <w:left w:val="nil"/>
              <w:bottom w:val="single" w:color="000000" w:sz="4" w:space="0"/>
              <w:right w:val="single" w:color="000000" w:sz="4" w:space="0"/>
            </w:tcBorders>
            <w:shd w:val="clear" w:color="auto" w:fill="auto"/>
            <w:vAlign w:val="center"/>
          </w:tcPr>
          <w:p w14:paraId="065E0A5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1B7C4660">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52" w:type="pct"/>
            <w:gridSpan w:val="3"/>
            <w:tcBorders>
              <w:top w:val="nil"/>
              <w:left w:val="nil"/>
              <w:bottom w:val="single" w:color="000000" w:sz="4" w:space="0"/>
              <w:right w:val="single" w:color="000000" w:sz="4" w:space="0"/>
            </w:tcBorders>
            <w:shd w:val="clear" w:color="auto" w:fill="auto"/>
            <w:vAlign w:val="center"/>
          </w:tcPr>
          <w:p w14:paraId="427BFEF4">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567" w:type="pct"/>
            <w:gridSpan w:val="3"/>
            <w:tcBorders>
              <w:top w:val="nil"/>
              <w:left w:val="nil"/>
              <w:bottom w:val="single" w:color="000000" w:sz="4" w:space="0"/>
              <w:right w:val="single" w:color="000000" w:sz="4" w:space="0"/>
            </w:tcBorders>
            <w:shd w:val="clear" w:color="auto" w:fill="auto"/>
            <w:vAlign w:val="center"/>
          </w:tcPr>
          <w:p w14:paraId="118AAFA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06CB95E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DEBDFB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63558B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30C3FE8">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6281DB2">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4A61B9FD">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7FA5A51B">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87" w:type="pct"/>
            <w:gridSpan w:val="2"/>
            <w:tcBorders>
              <w:top w:val="nil"/>
              <w:left w:val="nil"/>
              <w:bottom w:val="single" w:color="000000" w:sz="4" w:space="0"/>
              <w:right w:val="single" w:color="000000" w:sz="4" w:space="0"/>
            </w:tcBorders>
            <w:shd w:val="clear" w:color="auto" w:fill="auto"/>
            <w:vAlign w:val="center"/>
          </w:tcPr>
          <w:p w14:paraId="526405EF">
            <w:pPr>
              <w:widowControl/>
              <w:jc w:val="center"/>
              <w:rPr>
                <w:rFonts w:ascii="宋体" w:hAnsi="宋体" w:cs="宋体"/>
                <w:color w:val="000000"/>
                <w:kern w:val="0"/>
                <w:sz w:val="18"/>
                <w:szCs w:val="18"/>
              </w:rPr>
            </w:pPr>
            <w:r>
              <w:rPr>
                <w:rFonts w:hint="eastAsia" w:ascii="宋体" w:hAnsi="宋体" w:cs="宋体"/>
                <w:color w:val="000000"/>
                <w:kern w:val="0"/>
                <w:sz w:val="18"/>
                <w:szCs w:val="18"/>
              </w:rPr>
              <w:t>保持农村社会稳定</w:t>
            </w:r>
          </w:p>
        </w:tc>
        <w:tc>
          <w:tcPr>
            <w:tcW w:w="232" w:type="pct"/>
            <w:gridSpan w:val="2"/>
            <w:tcBorders>
              <w:top w:val="nil"/>
              <w:left w:val="nil"/>
              <w:bottom w:val="single" w:color="000000" w:sz="4" w:space="0"/>
              <w:right w:val="single" w:color="000000" w:sz="4" w:space="0"/>
            </w:tcBorders>
            <w:shd w:val="clear" w:color="auto" w:fill="auto"/>
            <w:vAlign w:val="center"/>
          </w:tcPr>
          <w:p w14:paraId="50CEFD57">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181A9FD8">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4E98ABCA">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2EBDA2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6F55205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521AF72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2425616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4E1E66">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9E18E86">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1248CFB1">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69E0D617">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687" w:type="pct"/>
            <w:gridSpan w:val="2"/>
            <w:tcBorders>
              <w:top w:val="nil"/>
              <w:left w:val="nil"/>
              <w:bottom w:val="single" w:color="000000" w:sz="4" w:space="0"/>
              <w:right w:val="single" w:color="000000" w:sz="4" w:space="0"/>
            </w:tcBorders>
            <w:shd w:val="clear" w:color="auto" w:fill="auto"/>
            <w:vAlign w:val="center"/>
          </w:tcPr>
          <w:p w14:paraId="3F40093C">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生态环境明显改善</w:t>
            </w:r>
          </w:p>
        </w:tc>
        <w:tc>
          <w:tcPr>
            <w:tcW w:w="232" w:type="pct"/>
            <w:gridSpan w:val="2"/>
            <w:tcBorders>
              <w:top w:val="nil"/>
              <w:left w:val="nil"/>
              <w:bottom w:val="single" w:color="000000" w:sz="4" w:space="0"/>
              <w:right w:val="single" w:color="000000" w:sz="4" w:space="0"/>
            </w:tcBorders>
            <w:shd w:val="clear" w:color="auto" w:fill="auto"/>
            <w:vAlign w:val="center"/>
          </w:tcPr>
          <w:p w14:paraId="489406CE">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763D96BD">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1493A275">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6F04CA6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54E4513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3F77404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5745DB4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1B51A0">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5B9469F7">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322FF963">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6BCB8167">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87" w:type="pct"/>
            <w:gridSpan w:val="2"/>
            <w:tcBorders>
              <w:top w:val="nil"/>
              <w:left w:val="nil"/>
              <w:bottom w:val="single" w:color="000000" w:sz="4" w:space="0"/>
              <w:right w:val="single" w:color="000000" w:sz="4" w:space="0"/>
            </w:tcBorders>
            <w:shd w:val="clear" w:color="auto" w:fill="auto"/>
            <w:vAlign w:val="center"/>
          </w:tcPr>
          <w:p w14:paraId="0475D2C1">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促进住户收入应统尽统，提高统计数据采信率</w:t>
            </w:r>
          </w:p>
        </w:tc>
        <w:tc>
          <w:tcPr>
            <w:tcW w:w="232" w:type="pct"/>
            <w:gridSpan w:val="2"/>
            <w:tcBorders>
              <w:top w:val="nil"/>
              <w:left w:val="nil"/>
              <w:bottom w:val="single" w:color="000000" w:sz="4" w:space="0"/>
              <w:right w:val="single" w:color="000000" w:sz="4" w:space="0"/>
            </w:tcBorders>
            <w:shd w:val="clear" w:color="auto" w:fill="auto"/>
            <w:vAlign w:val="center"/>
          </w:tcPr>
          <w:p w14:paraId="6C1DEBFA">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01B31497">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252" w:type="pct"/>
            <w:gridSpan w:val="3"/>
            <w:tcBorders>
              <w:top w:val="nil"/>
              <w:left w:val="nil"/>
              <w:bottom w:val="single" w:color="000000" w:sz="4" w:space="0"/>
              <w:right w:val="single" w:color="000000" w:sz="4" w:space="0"/>
            </w:tcBorders>
            <w:shd w:val="clear" w:color="auto" w:fill="auto"/>
            <w:vAlign w:val="center"/>
          </w:tcPr>
          <w:p w14:paraId="136E3188">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15908D3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1158B4B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A8A333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5BB9DD8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5A4726D">
        <w:tblPrEx>
          <w:tblCellMar>
            <w:top w:w="0" w:type="dxa"/>
            <w:left w:w="108" w:type="dxa"/>
            <w:bottom w:w="0" w:type="dxa"/>
            <w:right w:w="108" w:type="dxa"/>
          </w:tblCellMar>
        </w:tblPrEx>
        <w:trPr>
          <w:trHeight w:val="679" w:hRule="atLeast"/>
        </w:trPr>
        <w:tc>
          <w:tcPr>
            <w:tcW w:w="337" w:type="pct"/>
            <w:vMerge w:val="continue"/>
            <w:tcBorders>
              <w:top w:val="nil"/>
              <w:left w:val="single" w:color="000000" w:sz="4" w:space="0"/>
              <w:bottom w:val="single" w:color="000000" w:sz="4" w:space="0"/>
              <w:right w:val="single" w:color="000000" w:sz="4" w:space="0"/>
            </w:tcBorders>
            <w:vAlign w:val="center"/>
          </w:tcPr>
          <w:p w14:paraId="59A48AC7">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06E89CFF">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16DC90EC">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687" w:type="pct"/>
            <w:gridSpan w:val="2"/>
            <w:tcBorders>
              <w:top w:val="nil"/>
              <w:left w:val="nil"/>
              <w:bottom w:val="single" w:color="000000" w:sz="4" w:space="0"/>
              <w:right w:val="single" w:color="000000" w:sz="4" w:space="0"/>
            </w:tcBorders>
            <w:shd w:val="clear" w:color="auto" w:fill="auto"/>
            <w:vAlign w:val="center"/>
          </w:tcPr>
          <w:p w14:paraId="6AA88673">
            <w:pPr>
              <w:widowControl/>
              <w:jc w:val="center"/>
              <w:rPr>
                <w:rFonts w:ascii="宋体" w:hAnsi="宋体" w:cs="宋体"/>
                <w:color w:val="000000"/>
                <w:kern w:val="0"/>
                <w:sz w:val="18"/>
                <w:szCs w:val="18"/>
              </w:rPr>
            </w:pPr>
            <w:r>
              <w:rPr>
                <w:rFonts w:hint="eastAsia" w:ascii="宋体" w:hAnsi="宋体" w:cs="宋体"/>
                <w:color w:val="000000"/>
                <w:kern w:val="0"/>
                <w:sz w:val="18"/>
                <w:szCs w:val="18"/>
              </w:rPr>
              <w:t>推动我县城乡住户一体化调查户帮扶工作形成长效机制</w:t>
            </w:r>
          </w:p>
        </w:tc>
        <w:tc>
          <w:tcPr>
            <w:tcW w:w="232" w:type="pct"/>
            <w:gridSpan w:val="2"/>
            <w:tcBorders>
              <w:top w:val="nil"/>
              <w:left w:val="nil"/>
              <w:bottom w:val="single" w:color="000000" w:sz="4" w:space="0"/>
              <w:right w:val="single" w:color="000000" w:sz="4" w:space="0"/>
            </w:tcBorders>
            <w:shd w:val="clear" w:color="auto" w:fill="auto"/>
            <w:vAlign w:val="center"/>
          </w:tcPr>
          <w:p w14:paraId="38EE138E">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457E96CF">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21AA7980">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67" w:type="pct"/>
            <w:gridSpan w:val="3"/>
            <w:tcBorders>
              <w:top w:val="nil"/>
              <w:left w:val="nil"/>
              <w:bottom w:val="single" w:color="000000" w:sz="4" w:space="0"/>
              <w:right w:val="single" w:color="000000" w:sz="4" w:space="0"/>
            </w:tcBorders>
            <w:shd w:val="clear" w:color="auto" w:fill="auto"/>
            <w:vAlign w:val="center"/>
          </w:tcPr>
          <w:p w14:paraId="1BB296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3EF1B35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213AD7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77517B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D76703E">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344B7271">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72B1B01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09" w:type="pct"/>
            <w:gridSpan w:val="2"/>
            <w:tcBorders>
              <w:top w:val="nil"/>
              <w:left w:val="nil"/>
              <w:bottom w:val="single" w:color="000000" w:sz="4" w:space="0"/>
              <w:right w:val="single" w:color="000000" w:sz="4" w:space="0"/>
            </w:tcBorders>
            <w:shd w:val="clear" w:color="auto" w:fill="auto"/>
            <w:vAlign w:val="center"/>
          </w:tcPr>
          <w:p w14:paraId="4A4A9F53">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87" w:type="pct"/>
            <w:gridSpan w:val="2"/>
            <w:tcBorders>
              <w:top w:val="nil"/>
              <w:left w:val="nil"/>
              <w:bottom w:val="single" w:color="000000" w:sz="4" w:space="0"/>
              <w:right w:val="single" w:color="000000" w:sz="4" w:space="0"/>
            </w:tcBorders>
            <w:shd w:val="clear" w:color="auto" w:fill="auto"/>
            <w:vAlign w:val="center"/>
          </w:tcPr>
          <w:p w14:paraId="73897B9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调查户满意度</w:t>
            </w:r>
          </w:p>
        </w:tc>
        <w:tc>
          <w:tcPr>
            <w:tcW w:w="232" w:type="pct"/>
            <w:gridSpan w:val="2"/>
            <w:tcBorders>
              <w:top w:val="nil"/>
              <w:left w:val="nil"/>
              <w:bottom w:val="single" w:color="000000" w:sz="4" w:space="0"/>
              <w:right w:val="single" w:color="000000" w:sz="4" w:space="0"/>
            </w:tcBorders>
            <w:shd w:val="clear" w:color="auto" w:fill="auto"/>
            <w:vAlign w:val="center"/>
          </w:tcPr>
          <w:p w14:paraId="505BC5F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1A69F4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2" w:type="pct"/>
            <w:gridSpan w:val="3"/>
            <w:tcBorders>
              <w:top w:val="nil"/>
              <w:left w:val="nil"/>
              <w:bottom w:val="single" w:color="000000" w:sz="4" w:space="0"/>
              <w:right w:val="single" w:color="000000" w:sz="4" w:space="0"/>
            </w:tcBorders>
            <w:shd w:val="clear" w:color="auto" w:fill="auto"/>
            <w:vAlign w:val="center"/>
          </w:tcPr>
          <w:p w14:paraId="0FD3CEE7">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7BE48F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433796A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63EC213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4DDE124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854BDB">
        <w:tblPrEx>
          <w:tblCellMar>
            <w:top w:w="0" w:type="dxa"/>
            <w:left w:w="108" w:type="dxa"/>
            <w:bottom w:w="0" w:type="dxa"/>
            <w:right w:w="108" w:type="dxa"/>
          </w:tblCellMar>
        </w:tblPrEx>
        <w:trPr>
          <w:trHeight w:val="285" w:hRule="atLeast"/>
        </w:trPr>
        <w:tc>
          <w:tcPr>
            <w:tcW w:w="365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F7C688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gridSpan w:val="2"/>
            <w:tcBorders>
              <w:top w:val="nil"/>
              <w:left w:val="nil"/>
              <w:bottom w:val="single" w:color="000000" w:sz="4" w:space="0"/>
              <w:right w:val="single" w:color="000000" w:sz="4" w:space="0"/>
            </w:tcBorders>
            <w:shd w:val="clear" w:color="auto" w:fill="auto"/>
            <w:vAlign w:val="center"/>
          </w:tcPr>
          <w:p w14:paraId="63A2472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2D35255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76" w:type="pct"/>
            <w:gridSpan w:val="2"/>
            <w:tcBorders>
              <w:top w:val="nil"/>
              <w:left w:val="nil"/>
              <w:bottom w:val="single" w:color="000000" w:sz="4" w:space="0"/>
              <w:right w:val="single" w:color="000000" w:sz="4" w:space="0"/>
            </w:tcBorders>
            <w:shd w:val="clear" w:color="auto" w:fill="auto"/>
            <w:vAlign w:val="center"/>
          </w:tcPr>
          <w:p w14:paraId="082B02A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3AA2E5C">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738446D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18758A7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67DD359">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C82A71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0573EF5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98325D4">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1C18BDC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4BDDFA8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6EBA048">
        <w:tblPrEx>
          <w:tblCellMar>
            <w:top w:w="0" w:type="dxa"/>
            <w:left w:w="108" w:type="dxa"/>
            <w:bottom w:w="0" w:type="dxa"/>
            <w:right w:w="108" w:type="dxa"/>
          </w:tblCellMar>
        </w:tblPrEx>
        <w:trPr>
          <w:trHeight w:val="285" w:hRule="atLeast"/>
        </w:trPr>
        <w:tc>
          <w:tcPr>
            <w:tcW w:w="236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38FF2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31" w:type="pct"/>
            <w:gridSpan w:val="13"/>
            <w:tcBorders>
              <w:top w:val="single" w:color="000000" w:sz="4" w:space="0"/>
              <w:left w:val="nil"/>
              <w:bottom w:val="single" w:color="000000" w:sz="4" w:space="0"/>
              <w:right w:val="single" w:color="000000" w:sz="4" w:space="0"/>
            </w:tcBorders>
            <w:shd w:val="clear" w:color="auto" w:fill="auto"/>
            <w:vAlign w:val="center"/>
          </w:tcPr>
          <w:p w14:paraId="702134D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1E6EFE8A">
        <w:tblPrEx>
          <w:tblCellMar>
            <w:top w:w="0" w:type="dxa"/>
            <w:left w:w="108" w:type="dxa"/>
            <w:bottom w:w="0" w:type="dxa"/>
            <w:right w:w="108" w:type="dxa"/>
          </w:tblCellMar>
        </w:tblPrEx>
        <w:trPr>
          <w:trHeight w:val="904"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9CC10AA">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ADB1C64">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5400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2E2BB383">
            <w:pPr>
              <w:widowControl/>
              <w:jc w:val="left"/>
              <w:rPr>
                <w:rFonts w:ascii="宋体" w:hAnsi="宋体" w:cs="宋体"/>
                <w:color w:val="000000"/>
                <w:kern w:val="0"/>
                <w:sz w:val="18"/>
                <w:szCs w:val="18"/>
              </w:rPr>
            </w:pPr>
            <w:r>
              <w:rPr>
                <w:rFonts w:hint="eastAsia" w:ascii="宋体" w:hAnsi="宋体" w:cs="宋体"/>
                <w:color w:val="000000"/>
                <w:kern w:val="0"/>
                <w:sz w:val="18"/>
                <w:szCs w:val="18"/>
              </w:rPr>
              <w:t>盐财资农</w:t>
            </w:r>
            <w:r>
              <w:rPr>
                <w:rFonts w:hint="eastAsia" w:ascii="宋体" w:hAnsi="宋体" w:cs="宋体"/>
                <w:color w:val="000000"/>
                <w:kern w:val="0"/>
                <w:sz w:val="18"/>
                <w:szCs w:val="18"/>
                <w:lang w:eastAsia="zh-CN"/>
              </w:rPr>
              <w:t>〔2022〕94号</w:t>
            </w:r>
            <w:r>
              <w:rPr>
                <w:rFonts w:hint="eastAsia" w:ascii="宋体" w:hAnsi="宋体" w:cs="宋体"/>
                <w:color w:val="000000"/>
                <w:kern w:val="0"/>
                <w:sz w:val="18"/>
                <w:szCs w:val="18"/>
              </w:rPr>
              <w:t>关于下达2022年度</w:t>
            </w:r>
            <w:r>
              <w:rPr>
                <w:rFonts w:hint="eastAsia" w:ascii="宋体" w:hAnsi="宋体" w:cs="宋体"/>
                <w:color w:val="000000"/>
                <w:kern w:val="0"/>
                <w:sz w:val="18"/>
                <w:szCs w:val="18"/>
                <w:lang w:eastAsia="zh-CN"/>
              </w:rPr>
              <w:t>巩固拓展脱贫攻坚成果同乡村振兴有效衔接</w:t>
            </w:r>
            <w:r>
              <w:rPr>
                <w:rFonts w:hint="eastAsia" w:ascii="宋体" w:hAnsi="宋体" w:cs="宋体"/>
                <w:color w:val="000000"/>
                <w:kern w:val="0"/>
                <w:sz w:val="18"/>
                <w:szCs w:val="18"/>
              </w:rPr>
              <w:t>工作经费</w:t>
            </w:r>
          </w:p>
        </w:tc>
      </w:tr>
      <w:tr w14:paraId="44E6E696">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760D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23F0F760">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3"/>
            <w:tcBorders>
              <w:top w:val="nil"/>
              <w:left w:val="nil"/>
              <w:bottom w:val="nil"/>
              <w:right w:val="nil"/>
            </w:tcBorders>
            <w:shd w:val="clear" w:color="auto" w:fill="auto"/>
            <w:vAlign w:val="center"/>
          </w:tcPr>
          <w:p w14:paraId="1E9AC54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FEB239">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65010DD4">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7AD136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22A1E0B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45A06B1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3638E06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7D02A5F">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6338F14">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5A5B5A91">
            <w:pPr>
              <w:widowControl/>
              <w:jc w:val="left"/>
              <w:rPr>
                <w:rFonts w:ascii="宋体" w:hAnsi="宋体" w:cs="宋体"/>
                <w:color w:val="000000"/>
                <w:kern w:val="0"/>
                <w:sz w:val="18"/>
                <w:szCs w:val="18"/>
              </w:rPr>
            </w:pP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5BE700ED">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全县巩固拓展脱贫攻坚成果同乡村振兴有效衔接工作正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高质量完成巩固拓展脱贫攻坚成果同乡村振兴有效衔接工作省市级下达的目标任务及年底省级交叉检查工作任务。</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0576E792">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巩固拓展脱贫攻坚成果同乡村振兴有效衔接工作省市级下达的目标任务及年底省级交叉检查工作任务。</w:t>
            </w:r>
          </w:p>
        </w:tc>
      </w:tr>
      <w:tr w14:paraId="25972093">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5827781">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8ED451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187BBD86">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用于巩固拓展脱贫攻坚成果同乡村振兴有效衔接工作差旅费、办公费、会议费等。</w:t>
            </w:r>
          </w:p>
        </w:tc>
      </w:tr>
      <w:tr w14:paraId="306A4753">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D4B0FB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6C64001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9" w:type="pct"/>
            <w:gridSpan w:val="2"/>
            <w:tcBorders>
              <w:top w:val="nil"/>
              <w:left w:val="nil"/>
              <w:bottom w:val="single" w:color="000000" w:sz="4" w:space="0"/>
              <w:right w:val="single" w:color="000000" w:sz="4" w:space="0"/>
            </w:tcBorders>
            <w:shd w:val="clear" w:color="auto" w:fill="auto"/>
            <w:vAlign w:val="center"/>
          </w:tcPr>
          <w:p w14:paraId="6A191FC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2" w:type="pct"/>
            <w:gridSpan w:val="2"/>
            <w:tcBorders>
              <w:top w:val="nil"/>
              <w:left w:val="nil"/>
              <w:bottom w:val="single" w:color="000000" w:sz="4" w:space="0"/>
              <w:right w:val="single" w:color="000000" w:sz="4" w:space="0"/>
            </w:tcBorders>
            <w:shd w:val="clear" w:color="auto" w:fill="auto"/>
            <w:vAlign w:val="center"/>
          </w:tcPr>
          <w:p w14:paraId="0FC4FAE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71637B2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3"/>
            <w:tcBorders>
              <w:top w:val="nil"/>
              <w:left w:val="nil"/>
              <w:bottom w:val="single" w:color="000000" w:sz="4" w:space="0"/>
              <w:right w:val="single" w:color="000000" w:sz="4" w:space="0"/>
            </w:tcBorders>
            <w:shd w:val="clear" w:color="auto" w:fill="auto"/>
            <w:vAlign w:val="center"/>
          </w:tcPr>
          <w:p w14:paraId="46738B0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gridSpan w:val="2"/>
            <w:tcBorders>
              <w:top w:val="nil"/>
              <w:left w:val="nil"/>
              <w:bottom w:val="single" w:color="000000" w:sz="4" w:space="0"/>
              <w:right w:val="single" w:color="000000" w:sz="4" w:space="0"/>
            </w:tcBorders>
            <w:shd w:val="clear" w:color="auto" w:fill="auto"/>
            <w:vAlign w:val="center"/>
          </w:tcPr>
          <w:p w14:paraId="620AC36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6D69B6A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1086A4F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EB4D6FC">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6554E5E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01D4B7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9" w:type="pct"/>
            <w:gridSpan w:val="2"/>
            <w:tcBorders>
              <w:top w:val="nil"/>
              <w:left w:val="nil"/>
              <w:bottom w:val="single" w:color="000000" w:sz="4" w:space="0"/>
              <w:right w:val="single" w:color="000000" w:sz="4" w:space="0"/>
            </w:tcBorders>
            <w:shd w:val="clear" w:color="auto" w:fill="auto"/>
            <w:vAlign w:val="center"/>
          </w:tcPr>
          <w:p w14:paraId="2E9F07A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0F493146">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29.86</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59E5EBE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29.86</w:t>
            </w:r>
          </w:p>
        </w:tc>
        <w:tc>
          <w:tcPr>
            <w:tcW w:w="496" w:type="pct"/>
            <w:gridSpan w:val="3"/>
            <w:tcBorders>
              <w:top w:val="nil"/>
              <w:left w:val="nil"/>
              <w:bottom w:val="single" w:color="000000" w:sz="4" w:space="0"/>
              <w:right w:val="single" w:color="000000" w:sz="4" w:space="0"/>
            </w:tcBorders>
            <w:shd w:val="clear" w:color="auto" w:fill="auto"/>
            <w:vAlign w:val="center"/>
          </w:tcPr>
          <w:p w14:paraId="030740E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0C28474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pct"/>
            <w:gridSpan w:val="3"/>
            <w:tcBorders>
              <w:top w:val="nil"/>
              <w:left w:val="nil"/>
              <w:bottom w:val="single" w:color="000000" w:sz="4" w:space="0"/>
              <w:right w:val="single" w:color="000000" w:sz="4" w:space="0"/>
            </w:tcBorders>
            <w:shd w:val="clear" w:color="auto" w:fill="auto"/>
            <w:vAlign w:val="center"/>
          </w:tcPr>
          <w:p w14:paraId="51133D2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3" w:type="pct"/>
            <w:vMerge w:val="restart"/>
            <w:tcBorders>
              <w:top w:val="nil"/>
              <w:left w:val="single" w:color="000000" w:sz="4" w:space="0"/>
              <w:bottom w:val="single" w:color="000000" w:sz="4" w:space="0"/>
              <w:right w:val="single" w:color="000000" w:sz="4" w:space="0"/>
            </w:tcBorders>
            <w:shd w:val="clear" w:color="auto" w:fill="auto"/>
            <w:vAlign w:val="center"/>
          </w:tcPr>
          <w:p w14:paraId="6EF2ADD2">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534E7F25">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18CF2999">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5B51F0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9" w:type="pct"/>
            <w:gridSpan w:val="2"/>
            <w:tcBorders>
              <w:top w:val="nil"/>
              <w:left w:val="nil"/>
              <w:bottom w:val="single" w:color="000000" w:sz="4" w:space="0"/>
              <w:right w:val="single" w:color="000000" w:sz="4" w:space="0"/>
            </w:tcBorders>
            <w:shd w:val="clear" w:color="auto" w:fill="auto"/>
            <w:vAlign w:val="center"/>
          </w:tcPr>
          <w:p w14:paraId="6DF4FAFD">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2" w:type="pct"/>
            <w:gridSpan w:val="2"/>
            <w:tcBorders>
              <w:top w:val="nil"/>
              <w:left w:val="nil"/>
              <w:bottom w:val="single" w:color="000000" w:sz="4" w:space="0"/>
              <w:right w:val="single" w:color="000000" w:sz="4" w:space="0"/>
            </w:tcBorders>
            <w:shd w:val="clear" w:color="auto" w:fill="auto"/>
            <w:vAlign w:val="center"/>
          </w:tcPr>
          <w:p w14:paraId="0BB7F0B3">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29.86</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14D161DF">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29.86</w:t>
            </w:r>
          </w:p>
        </w:tc>
        <w:tc>
          <w:tcPr>
            <w:tcW w:w="496" w:type="pct"/>
            <w:gridSpan w:val="3"/>
            <w:tcBorders>
              <w:top w:val="nil"/>
              <w:left w:val="nil"/>
              <w:bottom w:val="single" w:color="000000" w:sz="4" w:space="0"/>
              <w:right w:val="single" w:color="000000" w:sz="4" w:space="0"/>
            </w:tcBorders>
            <w:shd w:val="clear" w:color="auto" w:fill="auto"/>
            <w:vAlign w:val="center"/>
          </w:tcPr>
          <w:p w14:paraId="06B7B07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5558D7C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67C8E6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3FB6BC7C">
            <w:pPr>
              <w:widowControl/>
              <w:jc w:val="left"/>
              <w:rPr>
                <w:rFonts w:ascii="Courier New" w:hAnsi="Courier New" w:cs="Courier New"/>
                <w:i/>
                <w:iCs/>
                <w:color w:val="000000"/>
                <w:kern w:val="0"/>
                <w:sz w:val="18"/>
                <w:szCs w:val="18"/>
              </w:rPr>
            </w:pPr>
          </w:p>
        </w:tc>
      </w:tr>
      <w:tr w14:paraId="7F679FFB">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9283428">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269B73F">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9" w:type="pct"/>
            <w:gridSpan w:val="2"/>
            <w:tcBorders>
              <w:top w:val="nil"/>
              <w:left w:val="nil"/>
              <w:bottom w:val="single" w:color="000000" w:sz="4" w:space="0"/>
              <w:right w:val="single" w:color="000000" w:sz="4" w:space="0"/>
            </w:tcBorders>
            <w:shd w:val="clear" w:color="auto" w:fill="auto"/>
            <w:vAlign w:val="center"/>
          </w:tcPr>
          <w:p w14:paraId="62B245C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6DC0718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62A2AE8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3A9B1AA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1E3D04E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769DF7A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647F79A9">
            <w:pPr>
              <w:widowControl/>
              <w:jc w:val="left"/>
              <w:rPr>
                <w:rFonts w:ascii="Courier New" w:hAnsi="Courier New" w:cs="Courier New"/>
                <w:i/>
                <w:iCs/>
                <w:color w:val="000000"/>
                <w:kern w:val="0"/>
                <w:sz w:val="18"/>
                <w:szCs w:val="18"/>
              </w:rPr>
            </w:pPr>
          </w:p>
        </w:tc>
      </w:tr>
      <w:tr w14:paraId="52267243">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2523525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0C84B5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9" w:type="pct"/>
            <w:gridSpan w:val="2"/>
            <w:tcBorders>
              <w:top w:val="nil"/>
              <w:left w:val="nil"/>
              <w:bottom w:val="single" w:color="000000" w:sz="4" w:space="0"/>
              <w:right w:val="single" w:color="000000" w:sz="4" w:space="0"/>
            </w:tcBorders>
            <w:shd w:val="clear" w:color="auto" w:fill="auto"/>
            <w:vAlign w:val="center"/>
          </w:tcPr>
          <w:p w14:paraId="6C3442B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06E869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17992B8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6E8A21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2547796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0606A99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13FC5945">
            <w:pPr>
              <w:widowControl/>
              <w:jc w:val="left"/>
              <w:rPr>
                <w:rFonts w:ascii="Courier New" w:hAnsi="Courier New" w:cs="Courier New"/>
                <w:i/>
                <w:iCs/>
                <w:color w:val="000000"/>
                <w:kern w:val="0"/>
                <w:sz w:val="18"/>
                <w:szCs w:val="18"/>
              </w:rPr>
            </w:pPr>
          </w:p>
        </w:tc>
      </w:tr>
      <w:tr w14:paraId="261AF082">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2AC5A3E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0731F4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9" w:type="pct"/>
            <w:gridSpan w:val="2"/>
            <w:tcBorders>
              <w:top w:val="nil"/>
              <w:left w:val="nil"/>
              <w:bottom w:val="single" w:color="000000" w:sz="4" w:space="0"/>
              <w:right w:val="single" w:color="000000" w:sz="4" w:space="0"/>
            </w:tcBorders>
            <w:shd w:val="clear" w:color="auto" w:fill="auto"/>
            <w:vAlign w:val="center"/>
          </w:tcPr>
          <w:p w14:paraId="4D6636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2" w:type="pct"/>
            <w:gridSpan w:val="2"/>
            <w:tcBorders>
              <w:top w:val="nil"/>
              <w:left w:val="nil"/>
              <w:bottom w:val="single" w:color="000000" w:sz="4" w:space="0"/>
              <w:right w:val="single" w:color="000000" w:sz="4" w:space="0"/>
            </w:tcBorders>
            <w:shd w:val="clear" w:color="auto" w:fill="auto"/>
            <w:vAlign w:val="center"/>
          </w:tcPr>
          <w:p w14:paraId="6994D6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5D5EF52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3"/>
            <w:tcBorders>
              <w:top w:val="nil"/>
              <w:left w:val="nil"/>
              <w:bottom w:val="single" w:color="000000" w:sz="4" w:space="0"/>
              <w:right w:val="single" w:color="000000" w:sz="4" w:space="0"/>
            </w:tcBorders>
            <w:shd w:val="clear" w:color="auto" w:fill="auto"/>
            <w:vAlign w:val="center"/>
          </w:tcPr>
          <w:p w14:paraId="34B173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1BC568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36DBF6F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5193C42E">
            <w:pPr>
              <w:widowControl/>
              <w:jc w:val="left"/>
              <w:rPr>
                <w:rFonts w:ascii="Courier New" w:hAnsi="Courier New" w:cs="Courier New"/>
                <w:i/>
                <w:iCs/>
                <w:color w:val="000000"/>
                <w:kern w:val="0"/>
                <w:sz w:val="18"/>
                <w:szCs w:val="18"/>
              </w:rPr>
            </w:pPr>
          </w:p>
        </w:tc>
      </w:tr>
      <w:tr w14:paraId="4D013D67">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B72191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2FF4C3B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9" w:type="pct"/>
            <w:gridSpan w:val="2"/>
            <w:tcBorders>
              <w:top w:val="nil"/>
              <w:left w:val="nil"/>
              <w:bottom w:val="single" w:color="000000" w:sz="4" w:space="0"/>
              <w:right w:val="single" w:color="000000" w:sz="4" w:space="0"/>
            </w:tcBorders>
            <w:shd w:val="clear" w:color="auto" w:fill="auto"/>
            <w:vAlign w:val="center"/>
          </w:tcPr>
          <w:p w14:paraId="73F0DBF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2" w:type="pct"/>
            <w:gridSpan w:val="2"/>
            <w:tcBorders>
              <w:top w:val="nil"/>
              <w:left w:val="nil"/>
              <w:bottom w:val="single" w:color="000000" w:sz="4" w:space="0"/>
              <w:right w:val="single" w:color="000000" w:sz="4" w:space="0"/>
            </w:tcBorders>
            <w:shd w:val="clear" w:color="auto" w:fill="auto"/>
            <w:vAlign w:val="center"/>
          </w:tcPr>
          <w:p w14:paraId="412D1A2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gridSpan w:val="2"/>
            <w:tcBorders>
              <w:top w:val="nil"/>
              <w:left w:val="nil"/>
              <w:bottom w:val="single" w:color="000000" w:sz="4" w:space="0"/>
              <w:right w:val="single" w:color="000000" w:sz="4" w:space="0"/>
            </w:tcBorders>
            <w:shd w:val="clear" w:color="auto" w:fill="auto"/>
            <w:vAlign w:val="center"/>
          </w:tcPr>
          <w:p w14:paraId="633B1E0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gridSpan w:val="2"/>
            <w:tcBorders>
              <w:top w:val="nil"/>
              <w:left w:val="nil"/>
              <w:bottom w:val="single" w:color="000000" w:sz="4" w:space="0"/>
              <w:right w:val="single" w:color="000000" w:sz="4" w:space="0"/>
            </w:tcBorders>
            <w:shd w:val="clear" w:color="auto" w:fill="auto"/>
            <w:vAlign w:val="center"/>
          </w:tcPr>
          <w:p w14:paraId="34C8B54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3"/>
            <w:tcBorders>
              <w:top w:val="nil"/>
              <w:left w:val="nil"/>
              <w:bottom w:val="single" w:color="000000" w:sz="4" w:space="0"/>
              <w:right w:val="single" w:color="000000" w:sz="4" w:space="0"/>
            </w:tcBorders>
            <w:shd w:val="clear" w:color="auto" w:fill="auto"/>
            <w:vAlign w:val="center"/>
          </w:tcPr>
          <w:p w14:paraId="0891F79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3"/>
            <w:tcBorders>
              <w:top w:val="nil"/>
              <w:left w:val="nil"/>
              <w:bottom w:val="single" w:color="000000" w:sz="4" w:space="0"/>
              <w:right w:val="single" w:color="000000" w:sz="4" w:space="0"/>
            </w:tcBorders>
            <w:shd w:val="clear" w:color="auto" w:fill="auto"/>
            <w:vAlign w:val="center"/>
          </w:tcPr>
          <w:p w14:paraId="42F2871B">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gridSpan w:val="2"/>
            <w:tcBorders>
              <w:top w:val="nil"/>
              <w:left w:val="nil"/>
              <w:bottom w:val="single" w:color="000000" w:sz="4" w:space="0"/>
              <w:right w:val="single" w:color="000000" w:sz="4" w:space="0"/>
            </w:tcBorders>
            <w:shd w:val="clear" w:color="auto" w:fill="auto"/>
            <w:vAlign w:val="center"/>
          </w:tcPr>
          <w:p w14:paraId="7E2E337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2146A6B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26C371CF">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1ECC5CA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022F98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205E1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gridSpan w:val="2"/>
            <w:tcBorders>
              <w:top w:val="nil"/>
              <w:left w:val="nil"/>
              <w:bottom w:val="single" w:color="000000" w:sz="4" w:space="0"/>
              <w:right w:val="single" w:color="000000" w:sz="4" w:space="0"/>
            </w:tcBorders>
            <w:shd w:val="clear" w:color="auto" w:fill="auto"/>
            <w:vAlign w:val="center"/>
          </w:tcPr>
          <w:p w14:paraId="682A554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2" w:type="pct"/>
            <w:gridSpan w:val="2"/>
            <w:tcBorders>
              <w:top w:val="nil"/>
              <w:left w:val="nil"/>
              <w:bottom w:val="single" w:color="000000" w:sz="4" w:space="0"/>
              <w:right w:val="single" w:color="000000" w:sz="4" w:space="0"/>
            </w:tcBorders>
            <w:shd w:val="clear" w:color="auto" w:fill="auto"/>
            <w:vAlign w:val="center"/>
          </w:tcPr>
          <w:p w14:paraId="366E688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gridSpan w:val="2"/>
            <w:tcBorders>
              <w:top w:val="nil"/>
              <w:left w:val="nil"/>
              <w:bottom w:val="single" w:color="000000" w:sz="4" w:space="0"/>
              <w:right w:val="single" w:color="000000" w:sz="4" w:space="0"/>
            </w:tcBorders>
            <w:shd w:val="clear" w:color="auto" w:fill="auto"/>
            <w:vAlign w:val="center"/>
          </w:tcPr>
          <w:p w14:paraId="36E4D99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gridSpan w:val="2"/>
            <w:tcBorders>
              <w:top w:val="nil"/>
              <w:left w:val="nil"/>
              <w:bottom w:val="single" w:color="000000" w:sz="4" w:space="0"/>
              <w:right w:val="single" w:color="000000" w:sz="4" w:space="0"/>
            </w:tcBorders>
            <w:shd w:val="clear" w:color="auto" w:fill="auto"/>
            <w:vAlign w:val="center"/>
          </w:tcPr>
          <w:p w14:paraId="4FE76DB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3"/>
            <w:tcBorders>
              <w:top w:val="nil"/>
              <w:left w:val="nil"/>
              <w:bottom w:val="single" w:color="000000" w:sz="4" w:space="0"/>
              <w:right w:val="single" w:color="000000" w:sz="4" w:space="0"/>
            </w:tcBorders>
            <w:shd w:val="clear" w:color="auto" w:fill="auto"/>
            <w:vAlign w:val="center"/>
          </w:tcPr>
          <w:p w14:paraId="588ED1B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3"/>
            <w:tcBorders>
              <w:top w:val="nil"/>
              <w:left w:val="nil"/>
              <w:bottom w:val="single" w:color="000000" w:sz="4" w:space="0"/>
              <w:right w:val="single" w:color="000000" w:sz="4" w:space="0"/>
            </w:tcBorders>
            <w:shd w:val="clear" w:color="auto" w:fill="auto"/>
            <w:vAlign w:val="center"/>
          </w:tcPr>
          <w:p w14:paraId="4292EE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6D622C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pct"/>
            <w:gridSpan w:val="3"/>
            <w:tcBorders>
              <w:top w:val="nil"/>
              <w:left w:val="nil"/>
              <w:bottom w:val="single" w:color="000000" w:sz="4" w:space="0"/>
              <w:right w:val="single" w:color="000000" w:sz="4" w:space="0"/>
            </w:tcBorders>
            <w:shd w:val="clear" w:color="auto" w:fill="auto"/>
            <w:vAlign w:val="center"/>
          </w:tcPr>
          <w:p w14:paraId="2F92BDD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3" w:type="pct"/>
            <w:tcBorders>
              <w:top w:val="nil"/>
              <w:left w:val="nil"/>
              <w:bottom w:val="single" w:color="000000" w:sz="4" w:space="0"/>
              <w:right w:val="single" w:color="000000" w:sz="4" w:space="0"/>
            </w:tcBorders>
            <w:shd w:val="clear" w:color="auto" w:fill="auto"/>
            <w:vAlign w:val="center"/>
          </w:tcPr>
          <w:p w14:paraId="72A82B6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898C770">
        <w:tblPrEx>
          <w:tblCellMar>
            <w:top w:w="0" w:type="dxa"/>
            <w:left w:w="108" w:type="dxa"/>
            <w:bottom w:w="0" w:type="dxa"/>
            <w:right w:w="108" w:type="dxa"/>
          </w:tblCellMar>
        </w:tblPrEx>
        <w:trPr>
          <w:trHeight w:val="285" w:hRule="atLeast"/>
        </w:trPr>
        <w:tc>
          <w:tcPr>
            <w:tcW w:w="348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128BEA">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gridSpan w:val="2"/>
            <w:tcBorders>
              <w:top w:val="nil"/>
              <w:left w:val="nil"/>
              <w:bottom w:val="single" w:color="000000" w:sz="4" w:space="0"/>
              <w:right w:val="single" w:color="000000" w:sz="4" w:space="0"/>
            </w:tcBorders>
            <w:shd w:val="clear" w:color="auto" w:fill="auto"/>
            <w:vAlign w:val="center"/>
          </w:tcPr>
          <w:p w14:paraId="261ABC7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pct"/>
            <w:gridSpan w:val="3"/>
            <w:tcBorders>
              <w:top w:val="nil"/>
              <w:left w:val="nil"/>
              <w:bottom w:val="single" w:color="000000" w:sz="4" w:space="0"/>
              <w:right w:val="single" w:color="000000" w:sz="4" w:space="0"/>
            </w:tcBorders>
            <w:shd w:val="clear" w:color="auto" w:fill="auto"/>
            <w:vAlign w:val="center"/>
          </w:tcPr>
          <w:p w14:paraId="1D382BAA">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3" w:type="pct"/>
            <w:tcBorders>
              <w:top w:val="nil"/>
              <w:left w:val="nil"/>
              <w:bottom w:val="single" w:color="000000" w:sz="4" w:space="0"/>
              <w:right w:val="single" w:color="000000" w:sz="4" w:space="0"/>
            </w:tcBorders>
            <w:shd w:val="clear" w:color="auto" w:fill="auto"/>
            <w:vAlign w:val="center"/>
          </w:tcPr>
          <w:p w14:paraId="6C21B9C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177E824">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4591AB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765F78F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56E7163">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7B3418D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37F37A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06FF7D6">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D1855D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109EBA4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251A1F8">
        <w:tblPrEx>
          <w:tblCellMar>
            <w:top w:w="0" w:type="dxa"/>
            <w:left w:w="108" w:type="dxa"/>
            <w:bottom w:w="0" w:type="dxa"/>
            <w:right w:w="108" w:type="dxa"/>
          </w:tblCellMar>
        </w:tblPrEx>
        <w:trPr>
          <w:trHeight w:val="285" w:hRule="atLeast"/>
        </w:trPr>
        <w:tc>
          <w:tcPr>
            <w:tcW w:w="233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B2E59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0" w:type="pct"/>
            <w:gridSpan w:val="14"/>
            <w:tcBorders>
              <w:top w:val="single" w:color="000000" w:sz="4" w:space="0"/>
              <w:left w:val="nil"/>
              <w:bottom w:val="single" w:color="000000" w:sz="4" w:space="0"/>
              <w:right w:val="single" w:color="000000" w:sz="4" w:space="0"/>
            </w:tcBorders>
            <w:shd w:val="clear" w:color="auto" w:fill="auto"/>
            <w:vAlign w:val="center"/>
          </w:tcPr>
          <w:p w14:paraId="0515DC6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4FFDA22C">
        <w:tblPrEx>
          <w:tblCellMar>
            <w:top w:w="0" w:type="dxa"/>
            <w:left w:w="108" w:type="dxa"/>
            <w:bottom w:w="0" w:type="dxa"/>
            <w:right w:w="108" w:type="dxa"/>
          </w:tblCellMar>
        </w:tblPrEx>
        <w:trPr>
          <w:trHeight w:val="904"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570E26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6B7B8DA5">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B80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13B4AE46">
            <w:pPr>
              <w:widowControl/>
              <w:jc w:val="left"/>
              <w:rPr>
                <w:rFonts w:ascii="宋体" w:hAnsi="宋体" w:cs="宋体"/>
                <w:color w:val="000000"/>
                <w:kern w:val="0"/>
                <w:sz w:val="18"/>
                <w:szCs w:val="18"/>
              </w:rPr>
            </w:pPr>
            <w:r>
              <w:rPr>
                <w:rFonts w:hint="eastAsia" w:ascii="宋体" w:hAnsi="宋体" w:cs="宋体"/>
                <w:color w:val="000000"/>
                <w:kern w:val="0"/>
                <w:sz w:val="18"/>
                <w:szCs w:val="18"/>
              </w:rPr>
              <w:t>盐财资金农</w:t>
            </w:r>
            <w:r>
              <w:rPr>
                <w:rFonts w:hint="eastAsia" w:ascii="宋体" w:hAnsi="宋体" w:cs="宋体"/>
                <w:color w:val="000000"/>
                <w:kern w:val="0"/>
                <w:sz w:val="18"/>
                <w:szCs w:val="18"/>
                <w:lang w:eastAsia="zh-CN"/>
              </w:rPr>
              <w:t>〔2022〕147号</w:t>
            </w:r>
            <w:r>
              <w:rPr>
                <w:rFonts w:hint="eastAsia" w:ascii="宋体" w:hAnsi="宋体" w:cs="宋体"/>
                <w:color w:val="000000"/>
                <w:kern w:val="0"/>
                <w:sz w:val="18"/>
                <w:szCs w:val="18"/>
              </w:rPr>
              <w:t>51.1563万元用于</w:t>
            </w:r>
            <w:r>
              <w:rPr>
                <w:rFonts w:hint="eastAsia" w:ascii="宋体" w:hAnsi="宋体" w:cs="宋体"/>
                <w:color w:val="000000"/>
                <w:kern w:val="0"/>
                <w:sz w:val="18"/>
                <w:szCs w:val="18"/>
                <w:lang w:eastAsia="zh-CN"/>
              </w:rPr>
              <w:t>巩固拓展脱贫攻坚成果同乡村振兴有效衔接</w:t>
            </w:r>
            <w:r>
              <w:rPr>
                <w:rFonts w:hint="eastAsia" w:ascii="宋体" w:hAnsi="宋体" w:cs="宋体"/>
                <w:color w:val="000000"/>
                <w:kern w:val="0"/>
                <w:sz w:val="18"/>
                <w:szCs w:val="18"/>
              </w:rPr>
              <w:t>项目</w:t>
            </w:r>
          </w:p>
        </w:tc>
      </w:tr>
      <w:tr w14:paraId="3FC14BDD">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011BF">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038463E7">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3"/>
            <w:tcBorders>
              <w:top w:val="nil"/>
              <w:left w:val="nil"/>
              <w:bottom w:val="nil"/>
              <w:right w:val="nil"/>
            </w:tcBorders>
            <w:shd w:val="clear" w:color="auto" w:fill="auto"/>
            <w:vAlign w:val="center"/>
          </w:tcPr>
          <w:p w14:paraId="058465A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F1A48C">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7334FB93">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3F7D4D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15498B7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292BCBB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6B2BD3A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8E6BB87">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57A5EE7">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71B4FE34">
            <w:pPr>
              <w:widowControl/>
              <w:jc w:val="left"/>
              <w:rPr>
                <w:rFonts w:ascii="宋体" w:hAnsi="宋体" w:cs="宋体"/>
                <w:color w:val="000000"/>
                <w:kern w:val="0"/>
                <w:sz w:val="18"/>
                <w:szCs w:val="18"/>
              </w:rPr>
            </w:pP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3660F0C3">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全县巩固拓展脱贫攻坚成果同乡村振兴有效衔接工作正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高质量完成巩固拓展脱贫攻坚成果同乡村振兴有效衔接工作省市级下达的目标任务及年底省级交叉检查工作任务。</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5CA22A79">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巩固拓展脱贫攻坚成果同乡村振兴有效衔接工作省市级下达的目标任务及年底省级交叉检查工作任务。</w:t>
            </w:r>
          </w:p>
        </w:tc>
      </w:tr>
      <w:tr w14:paraId="3775AB34">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67ED0F82">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2A9F581">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04E1B6E5">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用于巩固拓展脱贫攻坚成果同乡村振兴有效衔接工作差旅费、办公费、会议费等。</w:t>
            </w:r>
          </w:p>
        </w:tc>
      </w:tr>
      <w:tr w14:paraId="6269F683">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EED49E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5410310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9" w:type="pct"/>
            <w:gridSpan w:val="2"/>
            <w:tcBorders>
              <w:top w:val="nil"/>
              <w:left w:val="nil"/>
              <w:bottom w:val="single" w:color="000000" w:sz="4" w:space="0"/>
              <w:right w:val="single" w:color="000000" w:sz="4" w:space="0"/>
            </w:tcBorders>
            <w:shd w:val="clear" w:color="auto" w:fill="auto"/>
            <w:vAlign w:val="center"/>
          </w:tcPr>
          <w:p w14:paraId="1BE8587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2" w:type="pct"/>
            <w:gridSpan w:val="2"/>
            <w:tcBorders>
              <w:top w:val="nil"/>
              <w:left w:val="nil"/>
              <w:bottom w:val="single" w:color="000000" w:sz="4" w:space="0"/>
              <w:right w:val="single" w:color="000000" w:sz="4" w:space="0"/>
            </w:tcBorders>
            <w:shd w:val="clear" w:color="auto" w:fill="auto"/>
            <w:vAlign w:val="center"/>
          </w:tcPr>
          <w:p w14:paraId="0E4358C0">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12AC118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3"/>
            <w:tcBorders>
              <w:top w:val="nil"/>
              <w:left w:val="nil"/>
              <w:bottom w:val="single" w:color="000000" w:sz="4" w:space="0"/>
              <w:right w:val="single" w:color="000000" w:sz="4" w:space="0"/>
            </w:tcBorders>
            <w:shd w:val="clear" w:color="auto" w:fill="auto"/>
            <w:vAlign w:val="center"/>
          </w:tcPr>
          <w:p w14:paraId="40D4397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gridSpan w:val="2"/>
            <w:tcBorders>
              <w:top w:val="nil"/>
              <w:left w:val="nil"/>
              <w:bottom w:val="single" w:color="000000" w:sz="4" w:space="0"/>
              <w:right w:val="single" w:color="000000" w:sz="4" w:space="0"/>
            </w:tcBorders>
            <w:shd w:val="clear" w:color="auto" w:fill="auto"/>
            <w:vAlign w:val="center"/>
          </w:tcPr>
          <w:p w14:paraId="747FD40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59AE92A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1A6509A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A76B705">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620EA0B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13ADA2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9" w:type="pct"/>
            <w:gridSpan w:val="2"/>
            <w:tcBorders>
              <w:top w:val="nil"/>
              <w:left w:val="nil"/>
              <w:bottom w:val="single" w:color="000000" w:sz="4" w:space="0"/>
              <w:right w:val="single" w:color="000000" w:sz="4" w:space="0"/>
            </w:tcBorders>
            <w:shd w:val="clear" w:color="auto" w:fill="auto"/>
            <w:vAlign w:val="center"/>
          </w:tcPr>
          <w:p w14:paraId="0FF4588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14FF9E8C">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44.39</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5EF0785D">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44.39</w:t>
            </w:r>
          </w:p>
        </w:tc>
        <w:tc>
          <w:tcPr>
            <w:tcW w:w="496" w:type="pct"/>
            <w:gridSpan w:val="3"/>
            <w:tcBorders>
              <w:top w:val="nil"/>
              <w:left w:val="nil"/>
              <w:bottom w:val="single" w:color="000000" w:sz="4" w:space="0"/>
              <w:right w:val="single" w:color="000000" w:sz="4" w:space="0"/>
            </w:tcBorders>
            <w:shd w:val="clear" w:color="auto" w:fill="auto"/>
            <w:vAlign w:val="center"/>
          </w:tcPr>
          <w:p w14:paraId="055C81D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064D35B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pct"/>
            <w:gridSpan w:val="3"/>
            <w:tcBorders>
              <w:top w:val="nil"/>
              <w:left w:val="nil"/>
              <w:bottom w:val="single" w:color="000000" w:sz="4" w:space="0"/>
              <w:right w:val="single" w:color="000000" w:sz="4" w:space="0"/>
            </w:tcBorders>
            <w:shd w:val="clear" w:color="auto" w:fill="auto"/>
            <w:vAlign w:val="center"/>
          </w:tcPr>
          <w:p w14:paraId="0F51CA9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3" w:type="pct"/>
            <w:vMerge w:val="restart"/>
            <w:tcBorders>
              <w:top w:val="nil"/>
              <w:left w:val="single" w:color="000000" w:sz="4" w:space="0"/>
              <w:bottom w:val="single" w:color="000000" w:sz="4" w:space="0"/>
              <w:right w:val="single" w:color="000000" w:sz="4" w:space="0"/>
            </w:tcBorders>
            <w:shd w:val="clear" w:color="auto" w:fill="auto"/>
            <w:vAlign w:val="center"/>
          </w:tcPr>
          <w:p w14:paraId="08CBF379">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3D34767D">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221F933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9E89F9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9" w:type="pct"/>
            <w:gridSpan w:val="2"/>
            <w:tcBorders>
              <w:top w:val="nil"/>
              <w:left w:val="nil"/>
              <w:bottom w:val="single" w:color="000000" w:sz="4" w:space="0"/>
              <w:right w:val="single" w:color="000000" w:sz="4" w:space="0"/>
            </w:tcBorders>
            <w:shd w:val="clear" w:color="auto" w:fill="auto"/>
            <w:vAlign w:val="center"/>
          </w:tcPr>
          <w:p w14:paraId="112C2114">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1179" w:type="dxa"/>
            <w:gridSpan w:val="2"/>
            <w:tcBorders>
              <w:top w:val="nil"/>
              <w:left w:val="nil"/>
              <w:bottom w:val="single" w:color="000000" w:sz="4" w:space="0"/>
              <w:right w:val="single" w:color="000000" w:sz="4" w:space="0"/>
            </w:tcBorders>
            <w:shd w:val="clear" w:color="auto" w:fill="auto"/>
            <w:vAlign w:val="center"/>
          </w:tcPr>
          <w:p w14:paraId="557EBF3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44.39</w:t>
            </w:r>
          </w:p>
        </w:tc>
        <w:tc>
          <w:tcPr>
            <w:tcW w:w="1506" w:type="dxa"/>
            <w:gridSpan w:val="7"/>
            <w:tcBorders>
              <w:top w:val="single" w:color="000000" w:sz="4" w:space="0"/>
              <w:left w:val="nil"/>
              <w:bottom w:val="single" w:color="000000" w:sz="4" w:space="0"/>
              <w:right w:val="single" w:color="000000" w:sz="4" w:space="0"/>
            </w:tcBorders>
            <w:shd w:val="clear" w:color="auto" w:fill="auto"/>
            <w:vAlign w:val="center"/>
          </w:tcPr>
          <w:p w14:paraId="48DB2427">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44.39</w:t>
            </w:r>
          </w:p>
        </w:tc>
        <w:tc>
          <w:tcPr>
            <w:tcW w:w="496" w:type="pct"/>
            <w:gridSpan w:val="3"/>
            <w:tcBorders>
              <w:top w:val="nil"/>
              <w:left w:val="nil"/>
              <w:bottom w:val="single" w:color="000000" w:sz="4" w:space="0"/>
              <w:right w:val="single" w:color="000000" w:sz="4" w:space="0"/>
            </w:tcBorders>
            <w:shd w:val="clear" w:color="auto" w:fill="auto"/>
            <w:vAlign w:val="center"/>
          </w:tcPr>
          <w:p w14:paraId="7AE591E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7036BA0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1CF0B08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1D1E3B53">
            <w:pPr>
              <w:widowControl/>
              <w:jc w:val="left"/>
              <w:rPr>
                <w:rFonts w:ascii="Courier New" w:hAnsi="Courier New" w:cs="Courier New"/>
                <w:i/>
                <w:iCs/>
                <w:color w:val="000000"/>
                <w:kern w:val="0"/>
                <w:sz w:val="18"/>
                <w:szCs w:val="18"/>
              </w:rPr>
            </w:pPr>
          </w:p>
        </w:tc>
      </w:tr>
      <w:tr w14:paraId="23621295">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93C046E">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C7CDF19">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9" w:type="pct"/>
            <w:gridSpan w:val="2"/>
            <w:tcBorders>
              <w:top w:val="nil"/>
              <w:left w:val="nil"/>
              <w:bottom w:val="single" w:color="000000" w:sz="4" w:space="0"/>
              <w:right w:val="single" w:color="000000" w:sz="4" w:space="0"/>
            </w:tcBorders>
            <w:shd w:val="clear" w:color="auto" w:fill="auto"/>
            <w:vAlign w:val="center"/>
          </w:tcPr>
          <w:p w14:paraId="6A5DBF3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7D17545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464EF36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656EC1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16180E0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23F3A85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5C05C50A">
            <w:pPr>
              <w:widowControl/>
              <w:jc w:val="left"/>
              <w:rPr>
                <w:rFonts w:ascii="Courier New" w:hAnsi="Courier New" w:cs="Courier New"/>
                <w:i/>
                <w:iCs/>
                <w:color w:val="000000"/>
                <w:kern w:val="0"/>
                <w:sz w:val="18"/>
                <w:szCs w:val="18"/>
              </w:rPr>
            </w:pPr>
          </w:p>
        </w:tc>
      </w:tr>
      <w:tr w14:paraId="43FB8E55">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5508190F">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42DA07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9" w:type="pct"/>
            <w:gridSpan w:val="2"/>
            <w:tcBorders>
              <w:top w:val="nil"/>
              <w:left w:val="nil"/>
              <w:bottom w:val="single" w:color="000000" w:sz="4" w:space="0"/>
              <w:right w:val="single" w:color="000000" w:sz="4" w:space="0"/>
            </w:tcBorders>
            <w:shd w:val="clear" w:color="auto" w:fill="auto"/>
            <w:vAlign w:val="center"/>
          </w:tcPr>
          <w:p w14:paraId="60002D3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7DD66D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4AD70A5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7581769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7627DE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47861D0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690719DF">
            <w:pPr>
              <w:widowControl/>
              <w:jc w:val="left"/>
              <w:rPr>
                <w:rFonts w:ascii="Courier New" w:hAnsi="Courier New" w:cs="Courier New"/>
                <w:i/>
                <w:iCs/>
                <w:color w:val="000000"/>
                <w:kern w:val="0"/>
                <w:sz w:val="18"/>
                <w:szCs w:val="18"/>
              </w:rPr>
            </w:pPr>
          </w:p>
        </w:tc>
      </w:tr>
      <w:tr w14:paraId="21717931">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6406F0D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C63CAA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9" w:type="pct"/>
            <w:gridSpan w:val="2"/>
            <w:tcBorders>
              <w:top w:val="nil"/>
              <w:left w:val="nil"/>
              <w:bottom w:val="single" w:color="000000" w:sz="4" w:space="0"/>
              <w:right w:val="single" w:color="000000" w:sz="4" w:space="0"/>
            </w:tcBorders>
            <w:shd w:val="clear" w:color="auto" w:fill="auto"/>
            <w:vAlign w:val="center"/>
          </w:tcPr>
          <w:p w14:paraId="14EE874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2" w:type="pct"/>
            <w:gridSpan w:val="2"/>
            <w:tcBorders>
              <w:top w:val="nil"/>
              <w:left w:val="nil"/>
              <w:bottom w:val="single" w:color="000000" w:sz="4" w:space="0"/>
              <w:right w:val="single" w:color="000000" w:sz="4" w:space="0"/>
            </w:tcBorders>
            <w:shd w:val="clear" w:color="auto" w:fill="auto"/>
            <w:vAlign w:val="center"/>
          </w:tcPr>
          <w:p w14:paraId="7EC125F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4F62A4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3"/>
            <w:tcBorders>
              <w:top w:val="nil"/>
              <w:left w:val="nil"/>
              <w:bottom w:val="single" w:color="000000" w:sz="4" w:space="0"/>
              <w:right w:val="single" w:color="000000" w:sz="4" w:space="0"/>
            </w:tcBorders>
            <w:shd w:val="clear" w:color="auto" w:fill="auto"/>
            <w:vAlign w:val="center"/>
          </w:tcPr>
          <w:p w14:paraId="1A225D9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355F7B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3BCCC08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0B5AAB83">
            <w:pPr>
              <w:widowControl/>
              <w:jc w:val="left"/>
              <w:rPr>
                <w:rFonts w:ascii="Courier New" w:hAnsi="Courier New" w:cs="Courier New"/>
                <w:i/>
                <w:iCs/>
                <w:color w:val="000000"/>
                <w:kern w:val="0"/>
                <w:sz w:val="18"/>
                <w:szCs w:val="18"/>
              </w:rPr>
            </w:pPr>
          </w:p>
        </w:tc>
      </w:tr>
      <w:tr w14:paraId="2020B814">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E0D2BD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027D5F4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9" w:type="pct"/>
            <w:gridSpan w:val="2"/>
            <w:tcBorders>
              <w:top w:val="nil"/>
              <w:left w:val="nil"/>
              <w:bottom w:val="single" w:color="000000" w:sz="4" w:space="0"/>
              <w:right w:val="single" w:color="000000" w:sz="4" w:space="0"/>
            </w:tcBorders>
            <w:shd w:val="clear" w:color="auto" w:fill="auto"/>
            <w:vAlign w:val="center"/>
          </w:tcPr>
          <w:p w14:paraId="367D531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2" w:type="pct"/>
            <w:gridSpan w:val="2"/>
            <w:tcBorders>
              <w:top w:val="nil"/>
              <w:left w:val="nil"/>
              <w:bottom w:val="single" w:color="000000" w:sz="4" w:space="0"/>
              <w:right w:val="single" w:color="000000" w:sz="4" w:space="0"/>
            </w:tcBorders>
            <w:shd w:val="clear" w:color="auto" w:fill="auto"/>
            <w:vAlign w:val="center"/>
          </w:tcPr>
          <w:p w14:paraId="15BF55D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gridSpan w:val="2"/>
            <w:tcBorders>
              <w:top w:val="nil"/>
              <w:left w:val="nil"/>
              <w:bottom w:val="single" w:color="000000" w:sz="4" w:space="0"/>
              <w:right w:val="single" w:color="000000" w:sz="4" w:space="0"/>
            </w:tcBorders>
            <w:shd w:val="clear" w:color="auto" w:fill="auto"/>
            <w:vAlign w:val="center"/>
          </w:tcPr>
          <w:p w14:paraId="1D73CF1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gridSpan w:val="2"/>
            <w:tcBorders>
              <w:top w:val="nil"/>
              <w:left w:val="nil"/>
              <w:bottom w:val="single" w:color="000000" w:sz="4" w:space="0"/>
              <w:right w:val="single" w:color="000000" w:sz="4" w:space="0"/>
            </w:tcBorders>
            <w:shd w:val="clear" w:color="auto" w:fill="auto"/>
            <w:vAlign w:val="center"/>
          </w:tcPr>
          <w:p w14:paraId="4200B5D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3"/>
            <w:tcBorders>
              <w:top w:val="nil"/>
              <w:left w:val="nil"/>
              <w:bottom w:val="single" w:color="000000" w:sz="4" w:space="0"/>
              <w:right w:val="single" w:color="000000" w:sz="4" w:space="0"/>
            </w:tcBorders>
            <w:shd w:val="clear" w:color="auto" w:fill="auto"/>
            <w:vAlign w:val="center"/>
          </w:tcPr>
          <w:p w14:paraId="46FCB84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3"/>
            <w:tcBorders>
              <w:top w:val="nil"/>
              <w:left w:val="nil"/>
              <w:bottom w:val="single" w:color="000000" w:sz="4" w:space="0"/>
              <w:right w:val="single" w:color="000000" w:sz="4" w:space="0"/>
            </w:tcBorders>
            <w:shd w:val="clear" w:color="auto" w:fill="auto"/>
            <w:vAlign w:val="center"/>
          </w:tcPr>
          <w:p w14:paraId="01EDF1F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gridSpan w:val="2"/>
            <w:tcBorders>
              <w:top w:val="nil"/>
              <w:left w:val="nil"/>
              <w:bottom w:val="single" w:color="000000" w:sz="4" w:space="0"/>
              <w:right w:val="single" w:color="000000" w:sz="4" w:space="0"/>
            </w:tcBorders>
            <w:shd w:val="clear" w:color="auto" w:fill="auto"/>
            <w:vAlign w:val="center"/>
          </w:tcPr>
          <w:p w14:paraId="452C0FA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62BAA3F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32ADCF4A">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11ECA3F4">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928AB8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49681F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gridSpan w:val="2"/>
            <w:tcBorders>
              <w:top w:val="nil"/>
              <w:left w:val="nil"/>
              <w:bottom w:val="single" w:color="000000" w:sz="4" w:space="0"/>
              <w:right w:val="single" w:color="000000" w:sz="4" w:space="0"/>
            </w:tcBorders>
            <w:shd w:val="clear" w:color="auto" w:fill="auto"/>
            <w:vAlign w:val="center"/>
          </w:tcPr>
          <w:p w14:paraId="58CE946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2" w:type="pct"/>
            <w:gridSpan w:val="2"/>
            <w:tcBorders>
              <w:top w:val="nil"/>
              <w:left w:val="nil"/>
              <w:bottom w:val="single" w:color="000000" w:sz="4" w:space="0"/>
              <w:right w:val="single" w:color="000000" w:sz="4" w:space="0"/>
            </w:tcBorders>
            <w:shd w:val="clear" w:color="auto" w:fill="auto"/>
            <w:vAlign w:val="center"/>
          </w:tcPr>
          <w:p w14:paraId="0D5AAB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gridSpan w:val="2"/>
            <w:tcBorders>
              <w:top w:val="nil"/>
              <w:left w:val="nil"/>
              <w:bottom w:val="single" w:color="000000" w:sz="4" w:space="0"/>
              <w:right w:val="single" w:color="000000" w:sz="4" w:space="0"/>
            </w:tcBorders>
            <w:shd w:val="clear" w:color="auto" w:fill="auto"/>
            <w:vAlign w:val="center"/>
          </w:tcPr>
          <w:p w14:paraId="534DD40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gridSpan w:val="2"/>
            <w:tcBorders>
              <w:top w:val="nil"/>
              <w:left w:val="nil"/>
              <w:bottom w:val="single" w:color="000000" w:sz="4" w:space="0"/>
              <w:right w:val="single" w:color="000000" w:sz="4" w:space="0"/>
            </w:tcBorders>
            <w:shd w:val="clear" w:color="auto" w:fill="auto"/>
            <w:vAlign w:val="center"/>
          </w:tcPr>
          <w:p w14:paraId="6D1B2A0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3"/>
            <w:tcBorders>
              <w:top w:val="nil"/>
              <w:left w:val="nil"/>
              <w:bottom w:val="single" w:color="000000" w:sz="4" w:space="0"/>
              <w:right w:val="single" w:color="000000" w:sz="4" w:space="0"/>
            </w:tcBorders>
            <w:shd w:val="clear" w:color="auto" w:fill="auto"/>
            <w:vAlign w:val="center"/>
          </w:tcPr>
          <w:p w14:paraId="108213D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3"/>
            <w:tcBorders>
              <w:top w:val="nil"/>
              <w:left w:val="nil"/>
              <w:bottom w:val="single" w:color="000000" w:sz="4" w:space="0"/>
              <w:right w:val="single" w:color="000000" w:sz="4" w:space="0"/>
            </w:tcBorders>
            <w:shd w:val="clear" w:color="auto" w:fill="auto"/>
            <w:vAlign w:val="center"/>
          </w:tcPr>
          <w:p w14:paraId="2901C7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28DC4A4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pct"/>
            <w:gridSpan w:val="3"/>
            <w:tcBorders>
              <w:top w:val="nil"/>
              <w:left w:val="nil"/>
              <w:bottom w:val="single" w:color="000000" w:sz="4" w:space="0"/>
              <w:right w:val="single" w:color="000000" w:sz="4" w:space="0"/>
            </w:tcBorders>
            <w:shd w:val="clear" w:color="auto" w:fill="auto"/>
            <w:vAlign w:val="center"/>
          </w:tcPr>
          <w:p w14:paraId="35CCED9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3" w:type="pct"/>
            <w:tcBorders>
              <w:top w:val="nil"/>
              <w:left w:val="nil"/>
              <w:bottom w:val="single" w:color="000000" w:sz="4" w:space="0"/>
              <w:right w:val="single" w:color="000000" w:sz="4" w:space="0"/>
            </w:tcBorders>
            <w:shd w:val="clear" w:color="auto" w:fill="auto"/>
            <w:vAlign w:val="center"/>
          </w:tcPr>
          <w:p w14:paraId="018A9DE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11C36E4">
        <w:tblPrEx>
          <w:tblCellMar>
            <w:top w:w="0" w:type="dxa"/>
            <w:left w:w="108" w:type="dxa"/>
            <w:bottom w:w="0" w:type="dxa"/>
            <w:right w:w="108" w:type="dxa"/>
          </w:tblCellMar>
        </w:tblPrEx>
        <w:trPr>
          <w:trHeight w:val="285" w:hRule="atLeast"/>
        </w:trPr>
        <w:tc>
          <w:tcPr>
            <w:tcW w:w="348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35777D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gridSpan w:val="2"/>
            <w:tcBorders>
              <w:top w:val="nil"/>
              <w:left w:val="nil"/>
              <w:bottom w:val="single" w:color="000000" w:sz="4" w:space="0"/>
              <w:right w:val="single" w:color="000000" w:sz="4" w:space="0"/>
            </w:tcBorders>
            <w:shd w:val="clear" w:color="auto" w:fill="auto"/>
            <w:vAlign w:val="center"/>
          </w:tcPr>
          <w:p w14:paraId="3D986FA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pct"/>
            <w:gridSpan w:val="3"/>
            <w:tcBorders>
              <w:top w:val="nil"/>
              <w:left w:val="nil"/>
              <w:bottom w:val="single" w:color="000000" w:sz="4" w:space="0"/>
              <w:right w:val="single" w:color="000000" w:sz="4" w:space="0"/>
            </w:tcBorders>
            <w:shd w:val="clear" w:color="auto" w:fill="auto"/>
            <w:vAlign w:val="center"/>
          </w:tcPr>
          <w:p w14:paraId="7A500AC8">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3" w:type="pct"/>
            <w:tcBorders>
              <w:top w:val="nil"/>
              <w:left w:val="nil"/>
              <w:bottom w:val="single" w:color="000000" w:sz="4" w:space="0"/>
              <w:right w:val="single" w:color="000000" w:sz="4" w:space="0"/>
            </w:tcBorders>
            <w:shd w:val="clear" w:color="auto" w:fill="auto"/>
            <w:vAlign w:val="center"/>
          </w:tcPr>
          <w:p w14:paraId="56221A1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270205C">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381691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293A94F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AA62C72">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138FB70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7AA6FFF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E6BD107">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7EE4E4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7D7E7E4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9FD79DF">
        <w:tblPrEx>
          <w:tblCellMar>
            <w:top w:w="0" w:type="dxa"/>
            <w:left w:w="108" w:type="dxa"/>
            <w:bottom w:w="0" w:type="dxa"/>
            <w:right w:w="108" w:type="dxa"/>
          </w:tblCellMar>
        </w:tblPrEx>
        <w:trPr>
          <w:trHeight w:val="285" w:hRule="atLeast"/>
        </w:trPr>
        <w:tc>
          <w:tcPr>
            <w:tcW w:w="233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3091A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0" w:type="pct"/>
            <w:gridSpan w:val="14"/>
            <w:tcBorders>
              <w:top w:val="single" w:color="000000" w:sz="4" w:space="0"/>
              <w:left w:val="nil"/>
              <w:bottom w:val="single" w:color="000000" w:sz="4" w:space="0"/>
              <w:right w:val="single" w:color="000000" w:sz="4" w:space="0"/>
            </w:tcBorders>
            <w:shd w:val="clear" w:color="auto" w:fill="auto"/>
            <w:vAlign w:val="center"/>
          </w:tcPr>
          <w:p w14:paraId="470F203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65FDBCDC">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12FC708E">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F3E645C">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BA99FDB">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5573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6CDC22A7">
            <w:pPr>
              <w:widowControl/>
              <w:jc w:val="left"/>
              <w:rPr>
                <w:rFonts w:ascii="宋体" w:hAnsi="宋体" w:cs="宋体"/>
                <w:color w:val="000000"/>
                <w:kern w:val="0"/>
                <w:sz w:val="18"/>
                <w:szCs w:val="18"/>
              </w:rPr>
            </w:pPr>
            <w:r>
              <w:rPr>
                <w:rFonts w:hint="eastAsia" w:ascii="宋体" w:hAnsi="宋体" w:cs="宋体"/>
                <w:color w:val="000000"/>
                <w:kern w:val="0"/>
                <w:sz w:val="18"/>
                <w:szCs w:val="18"/>
              </w:rPr>
              <w:t>盐财资农〔2022〕58号关于下达2022年中央和省级财政衔接推进乡村振兴补助资金预算的通知</w:t>
            </w:r>
            <w:r>
              <w:rPr>
                <w:rFonts w:hint="eastAsia" w:ascii="宋体" w:hAnsi="宋体" w:cs="宋体"/>
                <w:color w:val="000000"/>
                <w:kern w:val="0"/>
                <w:sz w:val="18"/>
                <w:szCs w:val="18"/>
                <w:lang w:val="en-US" w:eastAsia="zh-CN"/>
              </w:rPr>
              <w:t>226.31</w:t>
            </w:r>
            <w:r>
              <w:rPr>
                <w:rFonts w:hint="eastAsia" w:ascii="宋体" w:hAnsi="宋体" w:cs="宋体"/>
                <w:color w:val="000000"/>
                <w:kern w:val="0"/>
                <w:sz w:val="18"/>
                <w:szCs w:val="18"/>
              </w:rPr>
              <w:t>万元</w:t>
            </w:r>
          </w:p>
        </w:tc>
      </w:tr>
      <w:tr w14:paraId="695AB34D">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408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98D56D1">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38FE058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59EAB">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4FA2FDF9">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3C84224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2D9E289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1A044FE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2B72721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1CE3692">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9AE7804">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06479070">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347346F">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全县巩固拓展脱贫攻坚成果同乡村振兴有效衔接工作正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高质量完成巩固拓展脱贫攻坚成果同乡村振兴有效衔接工作省市级下达的目标任务及年底省级交叉检查工作任务。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6EC17201">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巩固拓展脱贫攻坚成果同乡村振兴有效衔接工作省市级下达的目标任务及年底省级交叉检查工作任务。</w:t>
            </w:r>
          </w:p>
        </w:tc>
      </w:tr>
      <w:tr w14:paraId="1A20032A">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23EC6C4F">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E7D3286">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46D1C656">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2CCD0949">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E166BD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5F388BC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08C8C02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2E619BA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0FB18B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00C3AFB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60D1F2D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3AF4871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6733F3B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D39F762">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4F7F1BEB">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F05F3A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2BB16937">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581E9B95">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226.31</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7A44E229">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226.31</w:t>
            </w:r>
          </w:p>
        </w:tc>
        <w:tc>
          <w:tcPr>
            <w:tcW w:w="496" w:type="pct"/>
            <w:gridSpan w:val="2"/>
            <w:tcBorders>
              <w:top w:val="nil"/>
              <w:left w:val="nil"/>
              <w:bottom w:val="single" w:color="000000" w:sz="4" w:space="0"/>
              <w:right w:val="single" w:color="000000" w:sz="4" w:space="0"/>
            </w:tcBorders>
            <w:shd w:val="clear" w:color="auto" w:fill="auto"/>
            <w:vAlign w:val="center"/>
          </w:tcPr>
          <w:p w14:paraId="0258692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3A7A9ED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77D5CEB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4461E597">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0201FCBB">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1A00AD2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AD96AE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5D29DC7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09DD819A">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226.31</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251878D8">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226.31</w:t>
            </w:r>
          </w:p>
        </w:tc>
        <w:tc>
          <w:tcPr>
            <w:tcW w:w="496" w:type="pct"/>
            <w:gridSpan w:val="2"/>
            <w:tcBorders>
              <w:top w:val="nil"/>
              <w:left w:val="nil"/>
              <w:bottom w:val="single" w:color="000000" w:sz="4" w:space="0"/>
              <w:right w:val="single" w:color="000000" w:sz="4" w:space="0"/>
            </w:tcBorders>
            <w:shd w:val="clear" w:color="auto" w:fill="auto"/>
            <w:vAlign w:val="center"/>
          </w:tcPr>
          <w:p w14:paraId="2A55347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B5192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BFB46E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6D6A749">
            <w:pPr>
              <w:widowControl/>
              <w:jc w:val="left"/>
              <w:rPr>
                <w:rFonts w:ascii="Courier New" w:hAnsi="Courier New" w:cs="Courier New"/>
                <w:i/>
                <w:iCs/>
                <w:color w:val="000000"/>
                <w:kern w:val="0"/>
                <w:sz w:val="18"/>
                <w:szCs w:val="18"/>
              </w:rPr>
            </w:pPr>
          </w:p>
        </w:tc>
      </w:tr>
      <w:tr w14:paraId="0DB46CDF">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53378611">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EBE931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7727AAE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26195B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738FFB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15BBB6F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053642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2017550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D3D9B88">
            <w:pPr>
              <w:widowControl/>
              <w:jc w:val="left"/>
              <w:rPr>
                <w:rFonts w:ascii="Courier New" w:hAnsi="Courier New" w:cs="Courier New"/>
                <w:i/>
                <w:iCs/>
                <w:color w:val="000000"/>
                <w:kern w:val="0"/>
                <w:sz w:val="18"/>
                <w:szCs w:val="18"/>
              </w:rPr>
            </w:pPr>
          </w:p>
        </w:tc>
      </w:tr>
      <w:tr w14:paraId="13A9B7F8">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77107CF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A8EB65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4137DA8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93A83B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1B16D5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49D712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3A082BB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59850C8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3FFD3A80">
            <w:pPr>
              <w:widowControl/>
              <w:jc w:val="left"/>
              <w:rPr>
                <w:rFonts w:ascii="Courier New" w:hAnsi="Courier New" w:cs="Courier New"/>
                <w:i/>
                <w:iCs/>
                <w:color w:val="000000"/>
                <w:kern w:val="0"/>
                <w:sz w:val="18"/>
                <w:szCs w:val="18"/>
              </w:rPr>
            </w:pPr>
          </w:p>
        </w:tc>
      </w:tr>
      <w:tr w14:paraId="4CF9A840">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7CF8E22F">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B34C5A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0D677AD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35F07AB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33A2A0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64F4A06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0B4B045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FC8CC5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1FA0520">
            <w:pPr>
              <w:widowControl/>
              <w:jc w:val="left"/>
              <w:rPr>
                <w:rFonts w:ascii="Courier New" w:hAnsi="Courier New" w:cs="Courier New"/>
                <w:i/>
                <w:iCs/>
                <w:color w:val="000000"/>
                <w:kern w:val="0"/>
                <w:sz w:val="18"/>
                <w:szCs w:val="18"/>
              </w:rPr>
            </w:pPr>
          </w:p>
        </w:tc>
      </w:tr>
      <w:tr w14:paraId="729B1812">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C66B32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362DB8F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4B1D321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04873D3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2415B27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6FF7FB7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68E2DD7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3085268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372CC79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638982A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0684F548">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0CF886CE">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4ED9F1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DE76E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0EA6C7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72D9BA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4520A6C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2BA1350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27603B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02663D5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4D35436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38DF5E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5A58959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9C1C8D6">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2F9C0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3047FBB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758FA908">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126CF53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EC8A465">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142776F1">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4272E56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4A2932">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1152B42">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1162FC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F755D4">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75FDDE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69267AB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944A3F1">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9760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4B5D50D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364DDB10">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FD6A3F">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326736BB">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3F6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634123B">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根据川财农</w:t>
            </w:r>
            <w:r>
              <w:rPr>
                <w:rFonts w:hint="eastAsia" w:ascii="宋体" w:hAnsi="宋体" w:cs="宋体"/>
                <w:color w:val="000000"/>
                <w:kern w:val="0"/>
                <w:sz w:val="18"/>
                <w:szCs w:val="18"/>
                <w:lang w:eastAsia="zh-CN"/>
              </w:rPr>
              <w:t>〔2021〕162号</w:t>
            </w:r>
            <w:r>
              <w:rPr>
                <w:rFonts w:hint="eastAsia" w:ascii="宋体" w:hAnsi="宋体" w:cs="宋体"/>
                <w:color w:val="000000"/>
                <w:kern w:val="0"/>
                <w:sz w:val="18"/>
                <w:szCs w:val="18"/>
              </w:rPr>
              <w:t>提前下2022年中央和省级财政衔接推进乡村振兴补助资金</w:t>
            </w:r>
          </w:p>
        </w:tc>
      </w:tr>
      <w:tr w14:paraId="3AD3086C">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4DD8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1BD46305">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0673AD8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2ABE7">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56BCE306">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7A0E79A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0A93BEF2">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7221AB0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61C2B6E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04AE6A4">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17CB66A">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6F5601A6">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D42065B">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全县巩固拓展脱贫攻坚成果同乡村振兴有效衔接工作正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高质量完成巩固拓展脱贫攻坚成果同乡村振兴有效衔接工作省市级下达的目标任务及年底省级交叉检查工作任务。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4CE83AA2">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巩固拓展脱贫攻坚成果同乡村振兴有效衔接工作省市级下达的目标任务及年底省级交叉检查工作任务。</w:t>
            </w:r>
          </w:p>
        </w:tc>
      </w:tr>
      <w:tr w14:paraId="5C800435">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3340DF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6DDE551">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8410B64">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1635A94E">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4BE164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3591943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707F8B9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78B5397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C24184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4504EF3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281FB8C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7083EAA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7C7B7E7F">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831D2A0">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57BAF2D0">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BCE5D7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0509EBF2">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06A12A32">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6EC07FC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52B880D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D8A514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559180E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5F48E27E">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4C4F9DAA">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6E912682">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D6A5CB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6D3E0A1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6935734D">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62D4BB04">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5CC7FAD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653EE79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FB4525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1558B470">
            <w:pPr>
              <w:widowControl/>
              <w:jc w:val="left"/>
              <w:rPr>
                <w:rFonts w:ascii="Courier New" w:hAnsi="Courier New" w:cs="Courier New"/>
                <w:i/>
                <w:iCs/>
                <w:color w:val="000000"/>
                <w:kern w:val="0"/>
                <w:sz w:val="18"/>
                <w:szCs w:val="18"/>
              </w:rPr>
            </w:pPr>
          </w:p>
        </w:tc>
      </w:tr>
      <w:tr w14:paraId="1BF17E69">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0FFBCC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A2A476D">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33DBEDB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0E47F52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CBEED0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5A3DFCA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321CA13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7CCBE8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FB463CC">
            <w:pPr>
              <w:widowControl/>
              <w:jc w:val="left"/>
              <w:rPr>
                <w:rFonts w:ascii="Courier New" w:hAnsi="Courier New" w:cs="Courier New"/>
                <w:i/>
                <w:iCs/>
                <w:color w:val="000000"/>
                <w:kern w:val="0"/>
                <w:sz w:val="18"/>
                <w:szCs w:val="18"/>
              </w:rPr>
            </w:pPr>
          </w:p>
        </w:tc>
      </w:tr>
      <w:tr w14:paraId="510C2A3C">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B6F890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3BCC617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160CA34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2014F0A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6150A3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6D57EC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4F7B0A6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37A3C9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9C15B2A">
            <w:pPr>
              <w:widowControl/>
              <w:jc w:val="left"/>
              <w:rPr>
                <w:rFonts w:ascii="Courier New" w:hAnsi="Courier New" w:cs="Courier New"/>
                <w:i/>
                <w:iCs/>
                <w:color w:val="000000"/>
                <w:kern w:val="0"/>
                <w:sz w:val="18"/>
                <w:szCs w:val="18"/>
              </w:rPr>
            </w:pPr>
          </w:p>
        </w:tc>
      </w:tr>
      <w:tr w14:paraId="163BD9A4">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081B30E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712575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4C3A006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645F782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D5ABE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78C3C7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53C669E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128AE2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067071C3">
            <w:pPr>
              <w:widowControl/>
              <w:jc w:val="left"/>
              <w:rPr>
                <w:rFonts w:ascii="Courier New" w:hAnsi="Courier New" w:cs="Courier New"/>
                <w:i/>
                <w:iCs/>
                <w:color w:val="000000"/>
                <w:kern w:val="0"/>
                <w:sz w:val="18"/>
                <w:szCs w:val="18"/>
              </w:rPr>
            </w:pPr>
          </w:p>
        </w:tc>
      </w:tr>
      <w:tr w14:paraId="405346DB">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D85A7A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60487B03">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24AD1BE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1FEA48C0">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4828E20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77CCE48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435D703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5D95AFA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55898C5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248AE2D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0699E439">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2BFDDD36">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E35B6D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53CE7C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4C59BA5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442884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1056DB4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3358314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3FC299E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7FEF612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33DFCB6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1BE902E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4B4D589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6294BBA">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EC4DD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0B33256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5D8E27EE">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2AAC667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3F267D2">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C10445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8B9413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4798C81">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91DC30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B54F99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47FD13A">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63DB37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4043B3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90F5F39">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FC9F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032CCEF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166AF3D8">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p w14:paraId="179DCD68">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p w14:paraId="2BCA4080">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0B0C9DF4">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06600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50289A7">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AFB1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663DEECF">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根据川财农</w:t>
            </w:r>
            <w:r>
              <w:rPr>
                <w:rFonts w:hint="eastAsia" w:ascii="宋体" w:hAnsi="宋体" w:cs="宋体"/>
                <w:color w:val="000000"/>
                <w:kern w:val="0"/>
                <w:sz w:val="18"/>
                <w:szCs w:val="18"/>
                <w:lang w:eastAsia="zh-CN"/>
              </w:rPr>
              <w:t>〔2021〕162号</w:t>
            </w:r>
            <w:r>
              <w:rPr>
                <w:rFonts w:hint="eastAsia" w:ascii="宋体" w:hAnsi="宋体" w:cs="宋体"/>
                <w:color w:val="000000"/>
                <w:kern w:val="0"/>
                <w:sz w:val="18"/>
                <w:szCs w:val="18"/>
              </w:rPr>
              <w:t>提前下2022年中央和省级财政衔接推进乡村振兴补助资金</w:t>
            </w:r>
          </w:p>
        </w:tc>
      </w:tr>
      <w:tr w14:paraId="3F32A318">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B5DA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5D6CB9BC">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269D023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857DC">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4294E003">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9B3471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523D502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8422F7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5263223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1D2F293">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2EF64A1">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52D00B51">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15ADB29E">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全县巩固拓展脱贫攻坚成果同乡村振兴有效衔接工作正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高质量完成巩固拓展脱贫攻坚成果同乡村振兴有效衔接工作省市级下达的目标任务及年底省级交叉检查工作任务。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39441C19">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巩固拓展脱贫攻坚成果同乡村振兴有效衔接工作省市级下达的目标任务及年底省级交叉检查工作任务。</w:t>
            </w:r>
          </w:p>
        </w:tc>
      </w:tr>
      <w:tr w14:paraId="6ADB5272">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7FDB68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A0FA14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2834F5A4">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091E63B4">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AF78A7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6EBD7D7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36DFD32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143ABE1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7C628AD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60D5B9E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49FAB2F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17CF560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7C6F928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6A6F576">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77F7E30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3BA300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70017284">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0709E872">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6389EBF4">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2E27FEB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597A593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084FC5C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6EDA9654">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4FDD8326">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05F9763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33D6E97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01770BC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3BF0D82E">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251DF58D">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53F7B0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991091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00E380D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E3198AC">
            <w:pPr>
              <w:widowControl/>
              <w:jc w:val="left"/>
              <w:rPr>
                <w:rFonts w:ascii="Courier New" w:hAnsi="Courier New" w:cs="Courier New"/>
                <w:i/>
                <w:iCs/>
                <w:color w:val="000000"/>
                <w:kern w:val="0"/>
                <w:sz w:val="18"/>
                <w:szCs w:val="18"/>
              </w:rPr>
            </w:pPr>
          </w:p>
        </w:tc>
      </w:tr>
      <w:tr w14:paraId="7E52AE9D">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748D59D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80CBC4D">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6F8FECC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485C54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A08E0A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1B43B0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1B578EF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5A0ABBB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2426659A">
            <w:pPr>
              <w:widowControl/>
              <w:jc w:val="left"/>
              <w:rPr>
                <w:rFonts w:ascii="Courier New" w:hAnsi="Courier New" w:cs="Courier New"/>
                <w:i/>
                <w:iCs/>
                <w:color w:val="000000"/>
                <w:kern w:val="0"/>
                <w:sz w:val="18"/>
                <w:szCs w:val="18"/>
              </w:rPr>
            </w:pPr>
          </w:p>
        </w:tc>
      </w:tr>
      <w:tr w14:paraId="23384F40">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1B6DDE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57E017C">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641E9F5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2813A21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E4F5F1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5A7DD29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2F4157C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31EFBF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1986D28B">
            <w:pPr>
              <w:widowControl/>
              <w:jc w:val="left"/>
              <w:rPr>
                <w:rFonts w:ascii="Courier New" w:hAnsi="Courier New" w:cs="Courier New"/>
                <w:i/>
                <w:iCs/>
                <w:color w:val="000000"/>
                <w:kern w:val="0"/>
                <w:sz w:val="18"/>
                <w:szCs w:val="18"/>
              </w:rPr>
            </w:pPr>
          </w:p>
        </w:tc>
      </w:tr>
      <w:tr w14:paraId="069AEC60">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0AF8FD5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E3E7FE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6EF744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48068A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779E7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65DEB01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15C365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BB8490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583E49BD">
            <w:pPr>
              <w:widowControl/>
              <w:jc w:val="left"/>
              <w:rPr>
                <w:rFonts w:ascii="Courier New" w:hAnsi="Courier New" w:cs="Courier New"/>
                <w:i/>
                <w:iCs/>
                <w:color w:val="000000"/>
                <w:kern w:val="0"/>
                <w:sz w:val="18"/>
                <w:szCs w:val="18"/>
              </w:rPr>
            </w:pPr>
          </w:p>
        </w:tc>
      </w:tr>
      <w:tr w14:paraId="6D80B655">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F853D7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17B0635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0C354A0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55B48E8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64B94F7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32E381D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53783D2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72CB55D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37A713E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1E7E504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38634C62">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6DBA900A">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3E26E00">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38ECB9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7404C0B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565AF2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2963AB0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03A34DE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0E61881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6A4854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7351A25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2C05DDF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2C040C5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40F984">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417B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59B4281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48D4413E">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25DCF04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46CAF4A">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B793B4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6CE3026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A98989A">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A41FF9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55029EA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9D9E3B5">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05DBC73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18FAA8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1697EC">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49BD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5D0431D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649A5E53">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629A7A55">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A1B118">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D1FCA58">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6A5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102A2680">
            <w:pPr>
              <w:widowControl/>
              <w:jc w:val="left"/>
              <w:rPr>
                <w:rFonts w:ascii="宋体" w:hAnsi="宋体" w:cs="宋体"/>
                <w:color w:val="000000"/>
                <w:kern w:val="0"/>
                <w:sz w:val="18"/>
                <w:szCs w:val="18"/>
              </w:rPr>
            </w:pPr>
            <w:r>
              <w:rPr>
                <w:rFonts w:hint="eastAsia" w:ascii="宋体" w:hAnsi="宋体" w:cs="宋体"/>
                <w:color w:val="000000"/>
                <w:kern w:val="0"/>
                <w:sz w:val="18"/>
                <w:szCs w:val="18"/>
              </w:rPr>
              <w:t>根据盐财资农</w:t>
            </w:r>
            <w:r>
              <w:rPr>
                <w:rFonts w:hint="eastAsia" w:ascii="宋体" w:hAnsi="宋体" w:cs="宋体"/>
                <w:color w:val="000000"/>
                <w:kern w:val="0"/>
                <w:sz w:val="18"/>
                <w:szCs w:val="18"/>
                <w:lang w:eastAsia="zh-CN"/>
              </w:rPr>
              <w:t>〔2022〕13号</w:t>
            </w:r>
            <w:r>
              <w:rPr>
                <w:rFonts w:hint="eastAsia" w:ascii="宋体" w:hAnsi="宋体" w:cs="宋体"/>
                <w:color w:val="000000"/>
                <w:kern w:val="0"/>
                <w:sz w:val="18"/>
                <w:szCs w:val="18"/>
              </w:rPr>
              <w:t>关于下达县级财政专项扶贫资金</w:t>
            </w:r>
          </w:p>
        </w:tc>
      </w:tr>
      <w:tr w14:paraId="346DAAE5">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122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7CFCBE3E">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30456D0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E8474B">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42AE0BBF">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07D818F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723C869B">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5433C46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597EC59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C913822">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10C9F0D7">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3421F838">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6136596F">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全县巩固拓展脱贫攻坚成果同乡村振兴有效衔接工作正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高质量完成巩固拓展脱贫攻坚成果同乡村振兴有效衔接工作省市级下达的目标任务及年底省级交叉检查工作任务。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3FF0B834">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巩固拓展脱贫攻坚成果同乡村振兴有效衔接工作省市级下达的目标任务及年底省级交叉检查工作任务。</w:t>
            </w:r>
          </w:p>
        </w:tc>
      </w:tr>
      <w:tr w14:paraId="0C37A962">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441EDEC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A2541CF">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1B471615">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445C1838">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A8C779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3015FD4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032027F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5A982AC8">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55BBF1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60B3B37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2C87A55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2891F43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33491D35">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4B2D4E6">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3F84AAB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85D085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503044A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1A230720">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8.54</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9709F96">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8.54</w:t>
            </w:r>
          </w:p>
        </w:tc>
        <w:tc>
          <w:tcPr>
            <w:tcW w:w="496" w:type="pct"/>
            <w:gridSpan w:val="2"/>
            <w:tcBorders>
              <w:top w:val="nil"/>
              <w:left w:val="nil"/>
              <w:bottom w:val="single" w:color="000000" w:sz="4" w:space="0"/>
              <w:right w:val="single" w:color="000000" w:sz="4" w:space="0"/>
            </w:tcBorders>
            <w:shd w:val="clear" w:color="auto" w:fill="auto"/>
            <w:vAlign w:val="center"/>
          </w:tcPr>
          <w:p w14:paraId="3866F8C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71C76EE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4189B4B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642712A6">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6FB425EF">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4DBDB3A5">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2BD3A3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628B96F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6CEAAC98">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8.54</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BABF734">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8.54</w:t>
            </w:r>
          </w:p>
        </w:tc>
        <w:tc>
          <w:tcPr>
            <w:tcW w:w="496" w:type="pct"/>
            <w:gridSpan w:val="2"/>
            <w:tcBorders>
              <w:top w:val="nil"/>
              <w:left w:val="nil"/>
              <w:bottom w:val="single" w:color="000000" w:sz="4" w:space="0"/>
              <w:right w:val="single" w:color="000000" w:sz="4" w:space="0"/>
            </w:tcBorders>
            <w:shd w:val="clear" w:color="auto" w:fill="auto"/>
            <w:vAlign w:val="center"/>
          </w:tcPr>
          <w:p w14:paraId="5B47C03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2FB9EAD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06D07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6AAAFDAF">
            <w:pPr>
              <w:widowControl/>
              <w:jc w:val="left"/>
              <w:rPr>
                <w:rFonts w:ascii="Courier New" w:hAnsi="Courier New" w:cs="Courier New"/>
                <w:i/>
                <w:iCs/>
                <w:color w:val="000000"/>
                <w:kern w:val="0"/>
                <w:sz w:val="18"/>
                <w:szCs w:val="18"/>
              </w:rPr>
            </w:pPr>
          </w:p>
        </w:tc>
      </w:tr>
      <w:tr w14:paraId="52D6BF28">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EF1783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C1D397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3AAB22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300CFD7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49E33F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0A5CF06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3ECD744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1337E33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1F05BF9D">
            <w:pPr>
              <w:widowControl/>
              <w:jc w:val="left"/>
              <w:rPr>
                <w:rFonts w:ascii="Courier New" w:hAnsi="Courier New" w:cs="Courier New"/>
                <w:i/>
                <w:iCs/>
                <w:color w:val="000000"/>
                <w:kern w:val="0"/>
                <w:sz w:val="18"/>
                <w:szCs w:val="18"/>
              </w:rPr>
            </w:pPr>
          </w:p>
        </w:tc>
      </w:tr>
      <w:tr w14:paraId="347C0C72">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C05734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812E90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2F1691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6D3626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D5FD8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4C8BE2A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449A05C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3309C8F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7599C11">
            <w:pPr>
              <w:widowControl/>
              <w:jc w:val="left"/>
              <w:rPr>
                <w:rFonts w:ascii="Courier New" w:hAnsi="Courier New" w:cs="Courier New"/>
                <w:i/>
                <w:iCs/>
                <w:color w:val="000000"/>
                <w:kern w:val="0"/>
                <w:sz w:val="18"/>
                <w:szCs w:val="18"/>
              </w:rPr>
            </w:pPr>
          </w:p>
        </w:tc>
      </w:tr>
      <w:tr w14:paraId="786C84EC">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377D365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38B50C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140C12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1530495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1F7B0A2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74E6F8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1262B2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F5A044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26084597">
            <w:pPr>
              <w:widowControl/>
              <w:jc w:val="left"/>
              <w:rPr>
                <w:rFonts w:ascii="Courier New" w:hAnsi="Courier New" w:cs="Courier New"/>
                <w:i/>
                <w:iCs/>
                <w:color w:val="000000"/>
                <w:kern w:val="0"/>
                <w:sz w:val="18"/>
                <w:szCs w:val="18"/>
              </w:rPr>
            </w:pPr>
          </w:p>
        </w:tc>
      </w:tr>
      <w:tr w14:paraId="0F202B7F">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7D30549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64EBE49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6907875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3CB940C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07B248F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6859F93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34B0EED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0B8E9F8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0B0D75F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5584297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19D9C304">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64F7C00D">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BD4E46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AC8269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725EDDF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82C263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0BE359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2483276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5DFBAF0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2B7ED38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02C89D3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21C6AF2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50299A3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497245">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FF7ADB">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17B0D8F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4207126F">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4F38100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9AE8A51">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650A85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4B80C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171D237">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2D446B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68D5BA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1D1BD44">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237E0D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1302C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B35453">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5FA8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1654B44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25C75896">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5ADA46DC">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CCEC0B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CD6EB49">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C587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A08A071">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w:t>
            </w:r>
            <w:r>
              <w:rPr>
                <w:rFonts w:hint="eastAsia" w:ascii="宋体" w:hAnsi="宋体" w:cs="宋体"/>
                <w:color w:val="000000"/>
                <w:kern w:val="0"/>
                <w:sz w:val="18"/>
                <w:szCs w:val="18"/>
                <w:lang w:eastAsia="zh-CN"/>
              </w:rPr>
              <w:t>脱贫攻坚成果同乡村振兴有效衔接</w:t>
            </w:r>
            <w:r>
              <w:rPr>
                <w:rFonts w:hint="eastAsia" w:ascii="宋体" w:hAnsi="宋体" w:cs="宋体"/>
                <w:color w:val="000000"/>
                <w:kern w:val="0"/>
                <w:sz w:val="18"/>
                <w:szCs w:val="18"/>
              </w:rPr>
              <w:t>县级配套资金</w:t>
            </w:r>
          </w:p>
        </w:tc>
      </w:tr>
      <w:tr w14:paraId="248D523B">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1750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72CBE30A">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06E5CDF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46683">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2A57FF86">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3DFCE9A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71B98B5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252375AC">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37D20C0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71554CB">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57DE31EF">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7672EBEA">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54E83CBC">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全县巩固拓展脱贫攻坚成果同乡村振兴有效衔接工作正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高质量完成巩固拓展脱贫攻坚成果同乡村振兴有效衔接工作省市级下达的目标任务及年底省级交叉检查工作任务。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0757C610">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巩固拓展脱贫攻坚成果同乡村振兴有效衔接工作省市级下达的目标任务及年底省级交叉检查工作任务。</w:t>
            </w:r>
          </w:p>
        </w:tc>
      </w:tr>
      <w:tr w14:paraId="00C1CC33">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1B4FC27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B36CA6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8DF1364">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4ED8F1BE">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3B7417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3E293B1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6C5AFEE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6593FDB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949CD7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0824CEE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5FC9A4A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172B0F1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7AAE545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F800BFF">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0F99EE18">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31FCEBD6">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4536063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50A3A3E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497.28</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5BD70A5">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497.28</w:t>
            </w:r>
          </w:p>
        </w:tc>
        <w:tc>
          <w:tcPr>
            <w:tcW w:w="496" w:type="pct"/>
            <w:gridSpan w:val="2"/>
            <w:tcBorders>
              <w:top w:val="nil"/>
              <w:left w:val="nil"/>
              <w:bottom w:val="single" w:color="000000" w:sz="4" w:space="0"/>
              <w:right w:val="single" w:color="000000" w:sz="4" w:space="0"/>
            </w:tcBorders>
            <w:shd w:val="clear" w:color="auto" w:fill="auto"/>
            <w:vAlign w:val="center"/>
          </w:tcPr>
          <w:p w14:paraId="6D22C27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307CA16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7D12308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7FB2491C">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2EE0E67C">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3400C4A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F4437B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1DE5A61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75C601B5">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497.28</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1073564">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497.28</w:t>
            </w:r>
          </w:p>
        </w:tc>
        <w:tc>
          <w:tcPr>
            <w:tcW w:w="496" w:type="pct"/>
            <w:gridSpan w:val="2"/>
            <w:tcBorders>
              <w:top w:val="nil"/>
              <w:left w:val="nil"/>
              <w:bottom w:val="single" w:color="000000" w:sz="4" w:space="0"/>
              <w:right w:val="single" w:color="000000" w:sz="4" w:space="0"/>
            </w:tcBorders>
            <w:shd w:val="clear" w:color="auto" w:fill="auto"/>
            <w:vAlign w:val="center"/>
          </w:tcPr>
          <w:p w14:paraId="6573E9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8FD5C0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514E2A4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5F83FA5A">
            <w:pPr>
              <w:widowControl/>
              <w:jc w:val="left"/>
              <w:rPr>
                <w:rFonts w:ascii="Courier New" w:hAnsi="Courier New" w:cs="Courier New"/>
                <w:i/>
                <w:iCs/>
                <w:color w:val="000000"/>
                <w:kern w:val="0"/>
                <w:sz w:val="18"/>
                <w:szCs w:val="18"/>
              </w:rPr>
            </w:pPr>
          </w:p>
        </w:tc>
      </w:tr>
      <w:tr w14:paraId="76C6DE1B">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17F72935">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70BEB88">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7DDE986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FC4C4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65FB05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365719C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66BF0E4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2F4D07B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27EA3DFA">
            <w:pPr>
              <w:widowControl/>
              <w:jc w:val="left"/>
              <w:rPr>
                <w:rFonts w:ascii="Courier New" w:hAnsi="Courier New" w:cs="Courier New"/>
                <w:i/>
                <w:iCs/>
                <w:color w:val="000000"/>
                <w:kern w:val="0"/>
                <w:sz w:val="18"/>
                <w:szCs w:val="18"/>
              </w:rPr>
            </w:pPr>
          </w:p>
        </w:tc>
      </w:tr>
      <w:tr w14:paraId="0F34526A">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597F09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0E28AA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7EC06BA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46B3818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20555E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5936AE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00BC540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AAB2DB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EF19BB7">
            <w:pPr>
              <w:widowControl/>
              <w:jc w:val="left"/>
              <w:rPr>
                <w:rFonts w:ascii="Courier New" w:hAnsi="Courier New" w:cs="Courier New"/>
                <w:i/>
                <w:iCs/>
                <w:color w:val="000000"/>
                <w:kern w:val="0"/>
                <w:sz w:val="18"/>
                <w:szCs w:val="18"/>
              </w:rPr>
            </w:pPr>
          </w:p>
        </w:tc>
      </w:tr>
      <w:tr w14:paraId="5AB3E21F">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3C49C2C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0DEF10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3FA6EA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5E38806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1FD09D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3D20DDA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0482A98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7C764F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334CE60D">
            <w:pPr>
              <w:widowControl/>
              <w:jc w:val="left"/>
              <w:rPr>
                <w:rFonts w:ascii="Courier New" w:hAnsi="Courier New" w:cs="Courier New"/>
                <w:i/>
                <w:iCs/>
                <w:color w:val="000000"/>
                <w:kern w:val="0"/>
                <w:sz w:val="18"/>
                <w:szCs w:val="18"/>
              </w:rPr>
            </w:pPr>
          </w:p>
        </w:tc>
      </w:tr>
      <w:tr w14:paraId="3F10AB2F">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AF9BC3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36877E2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37D6F53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5010E0F4">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5A57200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724C662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509F808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212496D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6643A9A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6611267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37D1289C">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77851C8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33C9C78">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5171A4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2C118F4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3A674AB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5DAE248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6642554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134F123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0DDF133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737B2C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0E015E7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3D40FB9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FED87D">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6736DA">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738F116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2AFFFF6C">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78876D1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41A580A">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FADC5FB">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55BE27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9584E31">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550FFD3">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4D5878C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E9B90BC">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E384D62">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0D78F54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F7508A5">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38E5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563EDC9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0F81CFA3">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p w14:paraId="0CC7B9DE">
      <w:pPr>
        <w:spacing w:line="640" w:lineRule="exact"/>
        <w:jc w:val="both"/>
        <w:rPr>
          <w:rFonts w:hint="eastAsia" w:ascii="方正小标宋简体" w:hAnsi="方正小标宋简体" w:eastAsia="方正小标宋简体" w:cs="方正小标宋简体"/>
          <w:sz w:val="40"/>
          <w:szCs w:val="40"/>
        </w:rPr>
      </w:pPr>
      <w:bookmarkStart w:id="57" w:name="_Toc15396618"/>
    </w:p>
    <w:p w14:paraId="1925A322">
      <w:pPr>
        <w:spacing w:line="640" w:lineRule="exact"/>
        <w:jc w:val="center"/>
        <w:rPr>
          <w:rFonts w:eastAsia="方正小标宋_GBK"/>
          <w:sz w:val="44"/>
          <w:szCs w:val="44"/>
        </w:rPr>
      </w:pPr>
      <w:r>
        <w:rPr>
          <w:rFonts w:hint="eastAsia" w:ascii="方正小标宋简体" w:hAnsi="方正小标宋简体" w:eastAsia="方正小标宋简体" w:cs="方正小标宋简体"/>
          <w:sz w:val="40"/>
          <w:szCs w:val="40"/>
        </w:rPr>
        <w:t>盐边县2022年度专项预算</w:t>
      </w:r>
      <w:r>
        <w:rPr>
          <w:rFonts w:hint="eastAsia" w:ascii="方正小标宋简体" w:hAnsi="方正小标宋简体" w:eastAsia="方正小标宋简体" w:cs="方正小标宋简体"/>
          <w:sz w:val="40"/>
          <w:szCs w:val="40"/>
          <w:lang w:eastAsia="zh-CN"/>
        </w:rPr>
        <w:t>巩固拓展脱贫攻坚成果同乡村振兴有效衔接</w:t>
      </w:r>
      <w:r>
        <w:rPr>
          <w:rFonts w:hint="eastAsia" w:ascii="方正小标宋简体" w:hAnsi="方正小标宋简体" w:eastAsia="方正小标宋简体" w:cs="方正小标宋简体"/>
          <w:sz w:val="40"/>
          <w:szCs w:val="40"/>
        </w:rPr>
        <w:t>项目支出绩效自评报告</w:t>
      </w:r>
    </w:p>
    <w:p w14:paraId="5CAB6808">
      <w:pPr>
        <w:spacing w:line="560" w:lineRule="exact"/>
        <w:ind w:firstLine="420" w:firstLineChars="200"/>
        <w:jc w:val="left"/>
        <w:rPr>
          <w:rFonts w:eastAsia="方正仿宋_GBK"/>
        </w:rPr>
      </w:pPr>
    </w:p>
    <w:p w14:paraId="740FCFFA">
      <w:pPr>
        <w:spacing w:line="560" w:lineRule="exact"/>
        <w:ind w:firstLine="640" w:firstLineChars="200"/>
        <w:jc w:val="left"/>
        <w:rPr>
          <w:rFonts w:eastAsia="方正仿宋_GBK"/>
          <w:sz w:val="32"/>
          <w:szCs w:val="32"/>
        </w:rPr>
      </w:pPr>
      <w:r>
        <w:rPr>
          <w:rFonts w:eastAsia="方正仿宋_GBK"/>
          <w:sz w:val="32"/>
          <w:szCs w:val="32"/>
        </w:rPr>
        <w:t>根据《</w:t>
      </w:r>
      <w:r>
        <w:rPr>
          <w:rFonts w:hint="eastAsia" w:eastAsia="方正仿宋_GBK"/>
          <w:sz w:val="32"/>
          <w:szCs w:val="32"/>
        </w:rPr>
        <w:t>盐边县财政局关于开展2022年度预算绩效自评工作的通知》</w:t>
      </w:r>
      <w:r>
        <w:rPr>
          <w:rFonts w:eastAsia="方正仿宋_GBK"/>
          <w:sz w:val="32"/>
          <w:szCs w:val="32"/>
        </w:rPr>
        <w:t>（</w:t>
      </w:r>
      <w:r>
        <w:rPr>
          <w:rFonts w:hint="eastAsia" w:eastAsia="方正仿宋_GBK"/>
          <w:sz w:val="32"/>
          <w:szCs w:val="32"/>
        </w:rPr>
        <w:t>盐边财绩〔2023〕1号</w:t>
      </w:r>
      <w:r>
        <w:rPr>
          <w:rFonts w:eastAsia="方正仿宋_GBK"/>
          <w:sz w:val="32"/>
          <w:szCs w:val="32"/>
        </w:rPr>
        <w:t>）</w:t>
      </w:r>
      <w:r>
        <w:rPr>
          <w:rFonts w:hint="eastAsia" w:eastAsia="方正仿宋_GBK"/>
          <w:sz w:val="32"/>
          <w:szCs w:val="32"/>
        </w:rPr>
        <w:t>文件要求，我县2022年畜禽产业绿色发展项目绩效自评报告如下：</w:t>
      </w:r>
    </w:p>
    <w:p w14:paraId="322B0F81">
      <w:pPr>
        <w:spacing w:line="560" w:lineRule="exact"/>
        <w:ind w:firstLine="640" w:firstLineChars="200"/>
        <w:jc w:val="left"/>
        <w:rPr>
          <w:rFonts w:eastAsia="方正仿宋_GBK"/>
          <w:sz w:val="32"/>
          <w:szCs w:val="32"/>
        </w:rPr>
      </w:pPr>
      <w:r>
        <w:rPr>
          <w:rFonts w:eastAsia="方正仿宋_GBK"/>
          <w:sz w:val="32"/>
          <w:szCs w:val="32"/>
        </w:rPr>
        <w:t>一、项目概况</w:t>
      </w:r>
    </w:p>
    <w:p w14:paraId="7BA91602">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rPr>
        <w:t>（一）项目基本情况</w:t>
      </w:r>
      <w:r>
        <w:rPr>
          <w:rFonts w:hint="default" w:ascii="Times New Roman" w:hAnsi="Times New Roman" w:eastAsia="楷体_GB2312" w:cs="Times New Roman"/>
          <w:kern w:val="0"/>
          <w:sz w:val="32"/>
          <w:szCs w:val="32"/>
          <w:lang w:eastAsia="zh-CN"/>
        </w:rPr>
        <w:t>。</w:t>
      </w:r>
    </w:p>
    <w:p w14:paraId="60BB250B">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bCs/>
          <w:kern w:val="0"/>
          <w:sz w:val="31"/>
          <w:szCs w:val="32"/>
        </w:rPr>
      </w:pPr>
      <w:r>
        <w:rPr>
          <w:rFonts w:hint="default" w:ascii="Times New Roman" w:hAnsi="Times New Roman" w:eastAsia="仿宋" w:cs="Times New Roman"/>
          <w:b/>
          <w:bCs/>
          <w:kern w:val="0"/>
          <w:sz w:val="31"/>
          <w:szCs w:val="32"/>
        </w:rPr>
        <w:t>1.县乡村振兴局在该项目管理中的职能。</w:t>
      </w:r>
    </w:p>
    <w:p w14:paraId="4C09C510">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kern w:val="0"/>
          <w:sz w:val="31"/>
          <w:szCs w:val="32"/>
        </w:rPr>
        <w:t>项目管理方面：负责</w:t>
      </w:r>
      <w:r>
        <w:rPr>
          <w:rFonts w:hint="default" w:ascii="Times New Roman" w:hAnsi="Times New Roman" w:eastAsia="仿宋" w:cs="Times New Roman"/>
          <w:b w:val="0"/>
          <w:color w:val="000000"/>
          <w:sz w:val="31"/>
          <w:szCs w:val="32"/>
          <w:lang w:val="en-US" w:eastAsia="zh-CN"/>
        </w:rPr>
        <w:t>财政</w:t>
      </w:r>
      <w:r>
        <w:rPr>
          <w:rFonts w:hint="default" w:ascii="Times New Roman" w:hAnsi="Times New Roman" w:eastAsia="仿宋" w:cs="Times New Roman"/>
          <w:b w:val="0"/>
          <w:color w:val="000000"/>
          <w:sz w:val="31"/>
          <w:szCs w:val="32"/>
          <w:lang w:eastAsia="zh-CN"/>
        </w:rPr>
        <w:t>衔接资金</w:t>
      </w:r>
      <w:r>
        <w:rPr>
          <w:rFonts w:hint="default" w:ascii="Times New Roman" w:hAnsi="Times New Roman" w:eastAsia="仿宋" w:cs="Times New Roman"/>
          <w:kern w:val="0"/>
          <w:sz w:val="31"/>
          <w:szCs w:val="32"/>
        </w:rPr>
        <w:t>项目计划的编制，项目检查、指导、协调、资金拨付和竣工验收组织等工作，并按项目计划及时拨款、督促项目实施责任单位完成</w:t>
      </w:r>
      <w:r>
        <w:rPr>
          <w:rFonts w:hint="eastAsia" w:eastAsia="仿宋" w:cs="Times New Roman"/>
          <w:kern w:val="0"/>
          <w:sz w:val="31"/>
          <w:szCs w:val="32"/>
          <w:lang w:eastAsia="zh-CN"/>
        </w:rPr>
        <w:t>报账</w:t>
      </w:r>
      <w:r>
        <w:rPr>
          <w:rFonts w:hint="default" w:ascii="Times New Roman" w:hAnsi="Times New Roman" w:eastAsia="仿宋" w:cs="Times New Roman"/>
          <w:kern w:val="0"/>
          <w:sz w:val="31"/>
          <w:szCs w:val="32"/>
        </w:rPr>
        <w:t>等相关工作。</w:t>
      </w:r>
    </w:p>
    <w:p w14:paraId="3FEAE9CA">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kern w:val="0"/>
          <w:sz w:val="31"/>
          <w:szCs w:val="32"/>
        </w:rPr>
        <w:t>绩效管理方面：负责</w:t>
      </w:r>
      <w:r>
        <w:rPr>
          <w:rFonts w:hint="default" w:ascii="Times New Roman" w:hAnsi="Times New Roman" w:eastAsia="仿宋" w:cs="Times New Roman"/>
          <w:b w:val="0"/>
          <w:color w:val="000000"/>
          <w:sz w:val="31"/>
          <w:szCs w:val="32"/>
          <w:lang w:val="en-US" w:eastAsia="zh-CN"/>
        </w:rPr>
        <w:t>财政</w:t>
      </w:r>
      <w:r>
        <w:rPr>
          <w:rFonts w:hint="default" w:ascii="Times New Roman" w:hAnsi="Times New Roman" w:eastAsia="仿宋" w:cs="Times New Roman"/>
          <w:b w:val="0"/>
          <w:color w:val="000000"/>
          <w:sz w:val="31"/>
          <w:szCs w:val="32"/>
          <w:lang w:eastAsia="zh-CN"/>
        </w:rPr>
        <w:t>衔接资金</w:t>
      </w:r>
      <w:r>
        <w:rPr>
          <w:rFonts w:hint="default" w:ascii="Times New Roman" w:hAnsi="Times New Roman" w:eastAsia="仿宋" w:cs="Times New Roman"/>
          <w:kern w:val="0"/>
          <w:sz w:val="31"/>
          <w:szCs w:val="32"/>
        </w:rPr>
        <w:t>绩效管理的具体组织和指导工作。设定整体绩效目标；审核区域绩效目标和重点绩效评价材料；做好县对乡镇、县级部门重点绩效评价具体工作；研究提出绩效评价结果运用建议；指导、督促乡镇、县级部门开展绩效管理工作。与县级财政共同负责本辖区内所有乡镇、县级部门的绩效管理相关工作。</w:t>
      </w:r>
    </w:p>
    <w:p w14:paraId="6A852134">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sz w:val="31"/>
          <w:szCs w:val="32"/>
        </w:rPr>
      </w:pPr>
      <w:r>
        <w:rPr>
          <w:rFonts w:hint="default" w:ascii="Times New Roman" w:hAnsi="Times New Roman" w:eastAsia="仿宋" w:cs="Times New Roman"/>
          <w:b/>
          <w:sz w:val="31"/>
          <w:szCs w:val="32"/>
        </w:rPr>
        <w:t>2.项目立项、资金申报的依据。</w:t>
      </w:r>
    </w:p>
    <w:p w14:paraId="0FC22345">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sz w:val="31"/>
          <w:szCs w:val="32"/>
        </w:rPr>
      </w:pPr>
      <w:r>
        <w:rPr>
          <w:rFonts w:hint="default" w:ascii="Times New Roman" w:hAnsi="Times New Roman" w:eastAsia="仿宋" w:cs="Times New Roman"/>
          <w:b/>
          <w:sz w:val="31"/>
          <w:szCs w:val="32"/>
        </w:rPr>
        <w:t>（1）项目立项依据。</w:t>
      </w:r>
    </w:p>
    <w:p w14:paraId="12520C46">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kern w:val="0"/>
          <w:sz w:val="31"/>
          <w:szCs w:val="32"/>
        </w:rPr>
        <w:t>盐边县202</w:t>
      </w:r>
      <w:r>
        <w:rPr>
          <w:rFonts w:hint="default" w:ascii="Times New Roman" w:hAnsi="Times New Roman" w:eastAsia="仿宋" w:cs="Times New Roman"/>
          <w:kern w:val="0"/>
          <w:sz w:val="31"/>
          <w:szCs w:val="32"/>
          <w:lang w:val="en-US" w:eastAsia="zh-CN"/>
        </w:rPr>
        <w:t>2</w:t>
      </w:r>
      <w:r>
        <w:rPr>
          <w:rFonts w:hint="default" w:ascii="Times New Roman" w:hAnsi="Times New Roman" w:eastAsia="仿宋" w:cs="Times New Roman"/>
          <w:kern w:val="0"/>
          <w:sz w:val="31"/>
          <w:szCs w:val="32"/>
        </w:rPr>
        <w:t>年</w:t>
      </w:r>
      <w:r>
        <w:rPr>
          <w:rFonts w:hint="eastAsia" w:ascii="Times New Roman" w:hAnsi="Times New Roman" w:eastAsia="仿宋" w:cs="Times New Roman"/>
          <w:kern w:val="0"/>
          <w:sz w:val="31"/>
          <w:szCs w:val="32"/>
          <w:lang w:eastAsia="zh-CN"/>
        </w:rPr>
        <w:t>中央、省、</w:t>
      </w:r>
      <w:r>
        <w:rPr>
          <w:rFonts w:hint="default" w:ascii="Times New Roman" w:hAnsi="Times New Roman" w:eastAsia="仿宋" w:cs="Times New Roman"/>
          <w:kern w:val="0"/>
          <w:sz w:val="31"/>
          <w:szCs w:val="32"/>
        </w:rPr>
        <w:t>市</w:t>
      </w:r>
      <w:r>
        <w:rPr>
          <w:rFonts w:hint="eastAsia" w:ascii="Times New Roman" w:hAnsi="Times New Roman" w:eastAsia="仿宋" w:cs="Times New Roman"/>
          <w:kern w:val="0"/>
          <w:sz w:val="31"/>
          <w:szCs w:val="32"/>
          <w:lang w:eastAsia="zh-CN"/>
        </w:rPr>
        <w:t>、县</w:t>
      </w:r>
      <w:r>
        <w:rPr>
          <w:rFonts w:hint="default" w:ascii="Times New Roman" w:hAnsi="Times New Roman" w:eastAsia="仿宋" w:cs="Times New Roman"/>
          <w:kern w:val="0"/>
          <w:sz w:val="31"/>
          <w:szCs w:val="32"/>
        </w:rPr>
        <w:t>级</w:t>
      </w:r>
      <w:r>
        <w:rPr>
          <w:rFonts w:hint="default" w:ascii="Times New Roman" w:hAnsi="Times New Roman" w:eastAsia="仿宋" w:cs="Times New Roman"/>
          <w:kern w:val="0"/>
          <w:sz w:val="31"/>
          <w:szCs w:val="32"/>
          <w:lang w:val="en-US" w:eastAsia="zh-CN"/>
        </w:rPr>
        <w:t>财政</w:t>
      </w:r>
      <w:r>
        <w:rPr>
          <w:rFonts w:hint="default" w:ascii="Times New Roman" w:hAnsi="Times New Roman" w:eastAsia="仿宋" w:cs="Times New Roman"/>
          <w:kern w:val="0"/>
          <w:sz w:val="31"/>
          <w:szCs w:val="32"/>
          <w:lang w:eastAsia="zh-CN"/>
        </w:rPr>
        <w:t>衔接资金</w:t>
      </w:r>
      <w:r>
        <w:rPr>
          <w:rFonts w:hint="default" w:ascii="Times New Roman" w:hAnsi="Times New Roman" w:eastAsia="仿宋" w:cs="Times New Roman"/>
          <w:kern w:val="0"/>
          <w:sz w:val="31"/>
          <w:szCs w:val="32"/>
        </w:rPr>
        <w:t>项目决策是围绕中央、省、市</w:t>
      </w:r>
      <w:r>
        <w:rPr>
          <w:rFonts w:hint="default" w:ascii="Times New Roman" w:hAnsi="Times New Roman" w:eastAsia="仿宋" w:cs="Times New Roman"/>
          <w:kern w:val="0"/>
          <w:sz w:val="31"/>
          <w:szCs w:val="32"/>
          <w:lang w:val="en-US" w:eastAsia="zh-CN"/>
        </w:rPr>
        <w:t>巩固拓展脱贫攻坚成果同乡村振兴有效衔接</w:t>
      </w:r>
      <w:r>
        <w:rPr>
          <w:rFonts w:hint="default" w:ascii="Times New Roman" w:hAnsi="Times New Roman" w:eastAsia="仿宋" w:cs="Times New Roman"/>
          <w:kern w:val="0"/>
          <w:sz w:val="31"/>
          <w:szCs w:val="32"/>
        </w:rPr>
        <w:t>相关政策要求</w:t>
      </w:r>
      <w:r>
        <w:rPr>
          <w:rFonts w:hint="default" w:ascii="Times New Roman" w:hAnsi="Times New Roman" w:eastAsia="仿宋" w:cs="Times New Roman"/>
          <w:kern w:val="0"/>
          <w:sz w:val="31"/>
          <w:szCs w:val="32"/>
          <w:lang w:val="en-US" w:eastAsia="zh-CN"/>
        </w:rPr>
        <w:t>确定的。</w:t>
      </w:r>
      <w:r>
        <w:rPr>
          <w:rFonts w:hint="default" w:ascii="Times New Roman" w:hAnsi="Times New Roman" w:eastAsia="仿宋" w:cs="Times New Roman"/>
          <w:kern w:val="0"/>
          <w:sz w:val="31"/>
          <w:szCs w:val="32"/>
        </w:rPr>
        <w:t>决策依据为市级财政</w:t>
      </w:r>
      <w:r>
        <w:rPr>
          <w:rFonts w:hint="default" w:ascii="Times New Roman" w:hAnsi="Times New Roman" w:eastAsia="仿宋" w:cs="Times New Roman"/>
          <w:kern w:val="0"/>
          <w:sz w:val="31"/>
          <w:szCs w:val="32"/>
          <w:lang w:val="en-US" w:eastAsia="zh-CN"/>
        </w:rPr>
        <w:t>衔接</w:t>
      </w:r>
      <w:r>
        <w:rPr>
          <w:rFonts w:hint="default" w:ascii="Times New Roman" w:hAnsi="Times New Roman" w:eastAsia="仿宋" w:cs="Times New Roman"/>
          <w:kern w:val="0"/>
          <w:sz w:val="31"/>
          <w:szCs w:val="32"/>
        </w:rPr>
        <w:t>资金下达文件及《攀枝花市财政局</w:t>
      </w:r>
      <w:r>
        <w:rPr>
          <w:rFonts w:hint="default" w:ascii="Times New Roman" w:hAnsi="Times New Roman" w:eastAsia="仿宋" w:cs="Times New Roman"/>
          <w:kern w:val="0"/>
          <w:sz w:val="31"/>
          <w:szCs w:val="32"/>
          <w:lang w:val="en-US" w:eastAsia="zh-CN"/>
        </w:rPr>
        <w:t>等七家单位</w:t>
      </w:r>
      <w:r>
        <w:rPr>
          <w:rFonts w:hint="default" w:ascii="Times New Roman" w:hAnsi="Times New Roman" w:eastAsia="仿宋" w:cs="Times New Roman"/>
          <w:kern w:val="0"/>
          <w:sz w:val="31"/>
          <w:szCs w:val="32"/>
        </w:rPr>
        <w:t>关于印发〈攀枝花市财政衔接推进乡村振兴补助资金管理办法〉的通知》</w:t>
      </w:r>
      <w:r>
        <w:rPr>
          <w:rFonts w:hint="default" w:ascii="Times New Roman" w:hAnsi="Times New Roman" w:eastAsia="仿宋" w:cs="Times New Roman"/>
          <w:kern w:val="0"/>
          <w:sz w:val="31"/>
          <w:szCs w:val="32"/>
          <w:lang w:eastAsia="zh-CN"/>
        </w:rPr>
        <w:t>（攀财农〔2021〕28号）、</w:t>
      </w:r>
      <w:r>
        <w:rPr>
          <w:rFonts w:hint="default" w:ascii="Times New Roman" w:hAnsi="Times New Roman" w:eastAsia="仿宋" w:cs="Times New Roman"/>
          <w:kern w:val="0"/>
          <w:sz w:val="31"/>
          <w:szCs w:val="32"/>
          <w:lang w:val="en-US" w:eastAsia="zh-CN"/>
        </w:rPr>
        <w:t>盐边县委、县政府审定的项目实施方案</w:t>
      </w:r>
      <w:r>
        <w:rPr>
          <w:rFonts w:hint="default" w:ascii="Times New Roman" w:hAnsi="Times New Roman" w:eastAsia="仿宋" w:cs="Times New Roman"/>
          <w:kern w:val="0"/>
          <w:sz w:val="31"/>
          <w:szCs w:val="32"/>
        </w:rPr>
        <w:t>文件要求，对财政衔接推进乡村振兴补助资金进行管理使用。</w:t>
      </w:r>
    </w:p>
    <w:p w14:paraId="2E6146BA">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sz w:val="31"/>
          <w:szCs w:val="32"/>
        </w:rPr>
      </w:pPr>
      <w:r>
        <w:rPr>
          <w:rFonts w:hint="default" w:ascii="Times New Roman" w:hAnsi="Times New Roman" w:eastAsia="仿宋" w:cs="Times New Roman"/>
          <w:b/>
          <w:sz w:val="31"/>
          <w:szCs w:val="32"/>
        </w:rPr>
        <w:t>（2）资金申报依据。</w:t>
      </w:r>
    </w:p>
    <w:p w14:paraId="50263DCB">
      <w:pPr>
        <w:keepNext w:val="0"/>
        <w:keepLines w:val="0"/>
        <w:pageBreakBefore w:val="0"/>
        <w:widowControl w:val="0"/>
        <w:kinsoku/>
        <w:wordWrap/>
        <w:overflowPunct/>
        <w:topLinePunct w:val="0"/>
        <w:bidi w:val="0"/>
        <w:spacing w:line="570" w:lineRule="exact"/>
        <w:ind w:firstLine="64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sz w:val="31"/>
          <w:szCs w:val="32"/>
        </w:rPr>
        <w:t>202</w:t>
      </w:r>
      <w:r>
        <w:rPr>
          <w:rFonts w:hint="default" w:ascii="Times New Roman" w:hAnsi="Times New Roman" w:eastAsia="仿宋" w:cs="Times New Roman"/>
          <w:sz w:val="31"/>
          <w:szCs w:val="32"/>
          <w:lang w:val="en-US" w:eastAsia="zh-CN"/>
        </w:rPr>
        <w:t>2</w:t>
      </w:r>
      <w:r>
        <w:rPr>
          <w:rFonts w:hint="default" w:ascii="Times New Roman" w:hAnsi="Times New Roman" w:eastAsia="仿宋" w:cs="Times New Roman"/>
          <w:sz w:val="31"/>
          <w:szCs w:val="32"/>
        </w:rPr>
        <w:t>年度财政</w:t>
      </w:r>
      <w:r>
        <w:rPr>
          <w:rFonts w:hint="default" w:ascii="Times New Roman" w:hAnsi="Times New Roman" w:eastAsia="仿宋" w:cs="Times New Roman"/>
          <w:sz w:val="31"/>
          <w:szCs w:val="32"/>
          <w:lang w:val="en-US" w:eastAsia="zh-CN"/>
        </w:rPr>
        <w:t>衔接</w:t>
      </w:r>
      <w:r>
        <w:rPr>
          <w:rFonts w:hint="default" w:ascii="Times New Roman" w:hAnsi="Times New Roman" w:eastAsia="仿宋" w:cs="Times New Roman"/>
          <w:sz w:val="31"/>
          <w:szCs w:val="32"/>
        </w:rPr>
        <w:t>资金项目申报</w:t>
      </w:r>
      <w:r>
        <w:rPr>
          <w:rFonts w:hint="default" w:ascii="Times New Roman" w:hAnsi="Times New Roman" w:eastAsia="仿宋" w:cs="Times New Roman"/>
          <w:sz w:val="31"/>
          <w:szCs w:val="32"/>
          <w:lang w:val="en-US" w:eastAsia="zh-CN"/>
        </w:rPr>
        <w:t>严格按照“资金跟着项目走、项目跟着规划走、规划跟着需求走”的原则，在项目谋划时充分尊重群众意愿，要求各乡镇、村（社区）结合自身实际和资源禀赋情况，采取“</w:t>
      </w:r>
      <w:r>
        <w:rPr>
          <w:rFonts w:hint="default" w:ascii="Times New Roman" w:hAnsi="Times New Roman" w:eastAsia="仿宋" w:cs="Times New Roman"/>
          <w:color w:val="auto"/>
          <w:sz w:val="31"/>
          <w:szCs w:val="32"/>
          <w:lang w:val="en-US" w:eastAsia="zh-CN"/>
        </w:rPr>
        <w:t>自下而上”的规划方式，层层规划、级级把关，鼓励申报到人到户项目。</w:t>
      </w:r>
      <w:r>
        <w:rPr>
          <w:rFonts w:hint="default" w:ascii="Times New Roman" w:hAnsi="Times New Roman" w:eastAsia="仿宋" w:cs="Times New Roman"/>
          <w:color w:val="auto"/>
          <w:sz w:val="31"/>
          <w:szCs w:val="32"/>
        </w:rPr>
        <w:t>以“坚决守住不发生规模性返贫底线、增</w:t>
      </w:r>
      <w:r>
        <w:rPr>
          <w:rFonts w:hint="default" w:ascii="Times New Roman" w:hAnsi="Times New Roman" w:eastAsia="仿宋" w:cs="Times New Roman"/>
          <w:kern w:val="0"/>
          <w:sz w:val="31"/>
          <w:szCs w:val="32"/>
        </w:rPr>
        <w:t>强脱贫地区和脱贫群众内生动力发展、建设宜居宜业和美乡村”为重点，持续巩固提升脱贫地区产业，拓宽就业渠道，落实教育、医疗和社会保障等政策，持续巩固拓展脱贫攻坚成果，接续推进乡村全面振兴</w:t>
      </w:r>
      <w:r>
        <w:rPr>
          <w:rFonts w:hint="default" w:ascii="Times New Roman" w:hAnsi="Times New Roman" w:eastAsia="仿宋" w:cs="Times New Roman"/>
          <w:kern w:val="0"/>
          <w:sz w:val="31"/>
          <w:szCs w:val="32"/>
          <w:lang w:val="en-US" w:eastAsia="zh-CN"/>
        </w:rPr>
        <w:t>给予</w:t>
      </w:r>
      <w:r>
        <w:rPr>
          <w:rFonts w:hint="default" w:ascii="Times New Roman" w:hAnsi="Times New Roman" w:eastAsia="仿宋" w:cs="Times New Roman"/>
          <w:kern w:val="0"/>
          <w:sz w:val="31"/>
          <w:szCs w:val="32"/>
        </w:rPr>
        <w:t>资金保障。</w:t>
      </w:r>
    </w:p>
    <w:p w14:paraId="1F159750">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rPr>
      </w:pPr>
      <w:r>
        <w:rPr>
          <w:rFonts w:hint="default" w:ascii="Times New Roman" w:hAnsi="Times New Roman" w:eastAsia="仿宋" w:cs="Times New Roman"/>
          <w:b/>
          <w:sz w:val="31"/>
          <w:szCs w:val="32"/>
        </w:rPr>
        <w:t>3.资金管理办法制定情况，资金支持具体项目的条件、范围与支持方式概况。</w:t>
      </w:r>
    </w:p>
    <w:p w14:paraId="52F7F2B6">
      <w:pPr>
        <w:keepNext w:val="0"/>
        <w:keepLines w:val="0"/>
        <w:pageBreakBefore w:val="0"/>
        <w:widowControl w:val="0"/>
        <w:kinsoku/>
        <w:wordWrap/>
        <w:overflowPunct/>
        <w:topLinePunct w:val="0"/>
        <w:autoSpaceDE/>
        <w:autoSpaceDN/>
        <w:bidi w:val="0"/>
        <w:adjustRightInd/>
        <w:snapToGrid/>
        <w:spacing w:line="570" w:lineRule="exact"/>
        <w:ind w:left="0" w:leftChars="0" w:firstLine="640"/>
        <w:jc w:val="both"/>
        <w:textAlignment w:val="auto"/>
        <w:outlineLvl w:val="9"/>
        <w:rPr>
          <w:rFonts w:hint="eastAsia" w:ascii="仿宋" w:hAnsi="仿宋" w:eastAsia="仿宋" w:cs="仿宋"/>
          <w:b/>
          <w:bCs/>
          <w:sz w:val="31"/>
          <w:szCs w:val="31"/>
          <w:lang w:eastAsia="zh-CN"/>
        </w:rPr>
      </w:pPr>
      <w:r>
        <w:rPr>
          <w:rFonts w:hint="eastAsia" w:ascii="仿宋" w:hAnsi="仿宋" w:eastAsia="仿宋" w:cs="仿宋"/>
          <w:b/>
          <w:bCs/>
          <w:sz w:val="31"/>
          <w:szCs w:val="31"/>
        </w:rPr>
        <w:t>（1）资金管理办法制定情况</w:t>
      </w:r>
      <w:r>
        <w:rPr>
          <w:rFonts w:hint="eastAsia" w:ascii="仿宋" w:hAnsi="仿宋" w:eastAsia="仿宋" w:cs="仿宋"/>
          <w:b/>
          <w:bCs/>
          <w:sz w:val="31"/>
          <w:szCs w:val="31"/>
          <w:lang w:eastAsia="zh-CN"/>
        </w:rPr>
        <w:t>。</w:t>
      </w:r>
    </w:p>
    <w:p w14:paraId="1CA0B68A">
      <w:pPr>
        <w:keepNext w:val="0"/>
        <w:keepLines w:val="0"/>
        <w:pageBreakBefore w:val="0"/>
        <w:widowControl w:val="0"/>
        <w:kinsoku/>
        <w:wordWrap/>
        <w:overflowPunct/>
        <w:topLinePunct w:val="0"/>
        <w:bidi w:val="0"/>
        <w:spacing w:line="570" w:lineRule="exact"/>
        <w:ind w:firstLine="640"/>
        <w:textAlignment w:val="auto"/>
        <w:rPr>
          <w:rFonts w:hint="eastAsia" w:ascii="仿宋" w:hAnsi="仿宋" w:eastAsia="仿宋" w:cs="仿宋"/>
          <w:kern w:val="0"/>
          <w:sz w:val="31"/>
          <w:szCs w:val="31"/>
        </w:rPr>
      </w:pPr>
      <w:r>
        <w:rPr>
          <w:rFonts w:hint="eastAsia" w:ascii="仿宋" w:hAnsi="仿宋" w:eastAsia="仿宋" w:cs="仿宋"/>
          <w:kern w:val="0"/>
          <w:sz w:val="31"/>
          <w:szCs w:val="31"/>
        </w:rPr>
        <w:t>根据《四川省财政厅</w:t>
      </w:r>
      <w:r>
        <w:rPr>
          <w:rFonts w:hint="eastAsia" w:ascii="仿宋" w:hAnsi="仿宋" w:eastAsia="仿宋" w:cs="仿宋"/>
          <w:kern w:val="0"/>
          <w:sz w:val="31"/>
          <w:szCs w:val="31"/>
          <w:lang w:val="en-US" w:eastAsia="zh-CN"/>
        </w:rPr>
        <w:t>等七家单位</w:t>
      </w:r>
      <w:r>
        <w:rPr>
          <w:rFonts w:hint="eastAsia" w:ascii="仿宋" w:hAnsi="仿宋" w:eastAsia="仿宋" w:cs="仿宋"/>
          <w:kern w:val="0"/>
          <w:sz w:val="31"/>
          <w:szCs w:val="31"/>
        </w:rPr>
        <w:t>关于印发〈中央和省级财政衔接推进乡村振兴补助资金管理办法〉的通知》（川财农〔2021〕36号）、《攀枝花市</w:t>
      </w:r>
      <w:r>
        <w:rPr>
          <w:rFonts w:hint="eastAsia" w:ascii="仿宋" w:hAnsi="仿宋" w:eastAsia="仿宋" w:cs="仿宋"/>
          <w:kern w:val="0"/>
          <w:sz w:val="31"/>
          <w:szCs w:val="31"/>
          <w:lang w:val="en-US" w:eastAsia="zh-CN"/>
        </w:rPr>
        <w:t>财政</w:t>
      </w:r>
      <w:r>
        <w:rPr>
          <w:rFonts w:hint="eastAsia" w:ascii="仿宋" w:hAnsi="仿宋" w:eastAsia="仿宋" w:cs="仿宋"/>
          <w:kern w:val="0"/>
          <w:sz w:val="31"/>
          <w:szCs w:val="31"/>
        </w:rPr>
        <w:t>局</w:t>
      </w:r>
      <w:r>
        <w:rPr>
          <w:rFonts w:hint="eastAsia" w:ascii="仿宋" w:hAnsi="仿宋" w:eastAsia="仿宋" w:cs="仿宋"/>
          <w:kern w:val="0"/>
          <w:sz w:val="31"/>
          <w:szCs w:val="31"/>
          <w:lang w:val="en-US" w:eastAsia="zh-CN"/>
        </w:rPr>
        <w:t>等七家单位</w:t>
      </w:r>
      <w:r>
        <w:rPr>
          <w:rFonts w:hint="eastAsia" w:ascii="仿宋" w:hAnsi="仿宋" w:eastAsia="仿宋" w:cs="仿宋"/>
          <w:kern w:val="0"/>
          <w:sz w:val="31"/>
          <w:szCs w:val="31"/>
        </w:rPr>
        <w:t>关于印发〈攀枝花市财政衔接推进乡村振兴补助资金管理办法〉的通知》</w:t>
      </w:r>
      <w:r>
        <w:rPr>
          <w:rFonts w:hint="eastAsia" w:ascii="仿宋" w:hAnsi="仿宋" w:eastAsia="仿宋" w:cs="仿宋"/>
          <w:kern w:val="0"/>
          <w:sz w:val="31"/>
          <w:szCs w:val="31"/>
          <w:lang w:eastAsia="zh-CN"/>
        </w:rPr>
        <w:t>（攀财农〔2021〕28号）</w:t>
      </w:r>
      <w:r>
        <w:rPr>
          <w:rFonts w:hint="eastAsia" w:ascii="仿宋" w:hAnsi="仿宋" w:eastAsia="仿宋" w:cs="仿宋"/>
          <w:kern w:val="0"/>
          <w:sz w:val="31"/>
          <w:szCs w:val="31"/>
          <w:lang w:val="en-US" w:eastAsia="zh-CN"/>
        </w:rPr>
        <w:t>文件精神，结合我县实际，</w:t>
      </w:r>
      <w:r>
        <w:rPr>
          <w:rFonts w:hint="eastAsia" w:ascii="仿宋" w:hAnsi="仿宋" w:eastAsia="仿宋" w:cs="仿宋"/>
          <w:kern w:val="0"/>
          <w:sz w:val="31"/>
          <w:szCs w:val="31"/>
        </w:rPr>
        <w:t>印发了</w:t>
      </w:r>
      <w:r>
        <w:rPr>
          <w:rFonts w:hint="eastAsia" w:ascii="仿宋" w:hAnsi="仿宋" w:eastAsia="仿宋" w:cs="仿宋"/>
          <w:kern w:val="0"/>
          <w:sz w:val="31"/>
          <w:szCs w:val="31"/>
          <w:lang w:eastAsia="zh-CN"/>
        </w:rPr>
        <w:t>《</w:t>
      </w:r>
      <w:r>
        <w:rPr>
          <w:rFonts w:hint="eastAsia" w:ascii="仿宋" w:hAnsi="仿宋" w:eastAsia="仿宋" w:cs="仿宋"/>
          <w:kern w:val="0"/>
          <w:sz w:val="31"/>
          <w:szCs w:val="31"/>
        </w:rPr>
        <w:t>盐边县财政衔接推进乡村振兴补助资金使用管理实施细则</w:t>
      </w:r>
      <w:r>
        <w:rPr>
          <w:rFonts w:hint="eastAsia" w:ascii="仿宋" w:hAnsi="仿宋" w:eastAsia="仿宋" w:cs="仿宋"/>
          <w:kern w:val="0"/>
          <w:sz w:val="31"/>
          <w:szCs w:val="31"/>
          <w:lang w:eastAsia="zh-CN"/>
        </w:rPr>
        <w:t>》</w:t>
      </w:r>
      <w:r>
        <w:rPr>
          <w:rFonts w:hint="eastAsia" w:ascii="仿宋" w:hAnsi="仿宋" w:eastAsia="仿宋" w:cs="仿宋"/>
          <w:kern w:val="0"/>
          <w:sz w:val="31"/>
          <w:szCs w:val="31"/>
        </w:rPr>
        <w:t>（盐财农〔202</w:t>
      </w:r>
      <w:r>
        <w:rPr>
          <w:rFonts w:hint="eastAsia" w:ascii="仿宋" w:hAnsi="仿宋" w:eastAsia="仿宋" w:cs="仿宋"/>
          <w:kern w:val="0"/>
          <w:sz w:val="31"/>
          <w:szCs w:val="31"/>
          <w:lang w:val="en-US" w:eastAsia="zh-CN"/>
        </w:rPr>
        <w:t>2</w:t>
      </w:r>
      <w:r>
        <w:rPr>
          <w:rFonts w:hint="eastAsia" w:ascii="仿宋" w:hAnsi="仿宋" w:eastAsia="仿宋" w:cs="仿宋"/>
          <w:kern w:val="0"/>
          <w:sz w:val="31"/>
          <w:szCs w:val="31"/>
        </w:rPr>
        <w:t>〕</w:t>
      </w:r>
      <w:r>
        <w:rPr>
          <w:rFonts w:hint="eastAsia" w:ascii="仿宋" w:hAnsi="仿宋" w:eastAsia="仿宋" w:cs="仿宋"/>
          <w:kern w:val="0"/>
          <w:sz w:val="31"/>
          <w:szCs w:val="31"/>
          <w:lang w:val="en-US" w:eastAsia="zh-CN"/>
        </w:rPr>
        <w:t>11</w:t>
      </w:r>
      <w:r>
        <w:rPr>
          <w:rFonts w:hint="eastAsia" w:ascii="仿宋" w:hAnsi="仿宋" w:eastAsia="仿宋" w:cs="仿宋"/>
          <w:kern w:val="0"/>
          <w:sz w:val="31"/>
          <w:szCs w:val="31"/>
        </w:rPr>
        <w:t>号）。</w:t>
      </w:r>
    </w:p>
    <w:p w14:paraId="22DADEAA">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rPr>
      </w:pPr>
      <w:r>
        <w:rPr>
          <w:rFonts w:hint="eastAsia" w:ascii="仿宋" w:hAnsi="仿宋" w:eastAsia="仿宋" w:cs="仿宋"/>
          <w:b/>
          <w:sz w:val="31"/>
          <w:szCs w:val="31"/>
        </w:rPr>
        <w:t>（2）资金支持具体项目的条件、范围与支持方式概况。</w:t>
      </w:r>
    </w:p>
    <w:p w14:paraId="2213B39F">
      <w:pPr>
        <w:keepNext w:val="0"/>
        <w:keepLines w:val="0"/>
        <w:pageBreakBefore w:val="0"/>
        <w:widowControl w:val="0"/>
        <w:kinsoku/>
        <w:wordWrap/>
        <w:overflowPunct/>
        <w:topLinePunct w:val="0"/>
        <w:autoSpaceDE/>
        <w:autoSpaceDN/>
        <w:bidi w:val="0"/>
        <w:adjustRightInd w:val="0"/>
        <w:snapToGrid w:val="0"/>
        <w:spacing w:line="570" w:lineRule="exact"/>
        <w:ind w:firstLine="622"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b/>
          <w:sz w:val="31"/>
          <w:szCs w:val="31"/>
        </w:rPr>
        <w:t>资金支持具体项目条件</w:t>
      </w:r>
      <w:r>
        <w:rPr>
          <w:rFonts w:hint="eastAsia" w:ascii="仿宋" w:hAnsi="仿宋" w:eastAsia="仿宋" w:cs="仿宋"/>
          <w:b/>
          <w:sz w:val="31"/>
          <w:szCs w:val="31"/>
          <w:lang w:eastAsia="zh-CN"/>
        </w:rPr>
        <w:t>。</w:t>
      </w:r>
      <w:r>
        <w:rPr>
          <w:rFonts w:hint="eastAsia" w:ascii="仿宋" w:hAnsi="仿宋" w:eastAsia="仿宋" w:cs="仿宋"/>
          <w:sz w:val="31"/>
          <w:szCs w:val="31"/>
          <w:lang w:val="en-US" w:eastAsia="zh-CN"/>
        </w:rPr>
        <w:t>坚持摘帽不摘责任、摘帽不摘政策、摘帽不摘帮扶、摘帽不摘监管“四个不摘”原则，持续巩固提升脱贫地区产业，拓宽就业渠道，落实教育、医疗和社会保障等政策，把产业发展、道路提升改造、乡村振兴重点帮扶村扶持、村基础设施补差补短、监测对象帮扶等作为重点内容来抓，持续巩固拓展脱贫攻坚成果，接续推进乡村全面振兴。</w:t>
      </w:r>
    </w:p>
    <w:p w14:paraId="3FB62A3C">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lang w:val="en-US" w:eastAsia="zh-CN"/>
        </w:rPr>
      </w:pPr>
      <w:r>
        <w:rPr>
          <w:rFonts w:hint="eastAsia" w:ascii="仿宋" w:hAnsi="仿宋" w:eastAsia="仿宋" w:cs="仿宋"/>
          <w:b/>
          <w:sz w:val="31"/>
          <w:szCs w:val="31"/>
        </w:rPr>
        <w:t>资金支持范围。</w:t>
      </w:r>
      <w:r>
        <w:rPr>
          <w:rFonts w:hint="eastAsia" w:ascii="仿宋" w:hAnsi="仿宋" w:eastAsia="仿宋" w:cs="仿宋"/>
          <w:sz w:val="31"/>
          <w:szCs w:val="31"/>
          <w:lang w:val="en-US" w:eastAsia="zh-CN"/>
        </w:rPr>
        <w:t>结合工作实际，重点聚焦防止返贫动态监测和帮扶，围绕脱贫户、脱贫不稳定户、边缘易致贫户、突发严重困难户及易地扶贫搬迁后续扶持、特色优势产业发展、脱贫人口就业和乡村建设行动等方面项目。</w:t>
      </w:r>
    </w:p>
    <w:p w14:paraId="2C09ADEF">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lang w:val="en-US" w:eastAsia="zh-CN"/>
        </w:rPr>
      </w:pPr>
      <w:r>
        <w:rPr>
          <w:rFonts w:hint="eastAsia" w:ascii="仿宋" w:hAnsi="仿宋" w:eastAsia="仿宋" w:cs="仿宋"/>
          <w:b/>
          <w:sz w:val="31"/>
          <w:szCs w:val="31"/>
        </w:rPr>
        <w:t>支持方式</w:t>
      </w:r>
      <w:r>
        <w:rPr>
          <w:rFonts w:hint="eastAsia" w:ascii="仿宋" w:hAnsi="仿宋" w:eastAsia="仿宋" w:cs="仿宋"/>
          <w:b/>
          <w:sz w:val="31"/>
          <w:szCs w:val="31"/>
          <w:lang w:eastAsia="zh-CN"/>
        </w:rPr>
        <w:t>。</w:t>
      </w:r>
      <w:r>
        <w:rPr>
          <w:rFonts w:hint="eastAsia" w:ascii="仿宋" w:hAnsi="仿宋" w:eastAsia="仿宋" w:cs="仿宋"/>
          <w:sz w:val="31"/>
          <w:szCs w:val="31"/>
          <w:lang w:val="en-US" w:eastAsia="zh-CN"/>
        </w:rPr>
        <w:t>财政衔接资金使用遵循政府引导，以群众为实施主体。以巩固拓展脱贫攻坚成果同乡村振兴有效衔接为导向，盐边县委、县政府审定的项目实施方案为引领的原则。</w:t>
      </w:r>
    </w:p>
    <w:p w14:paraId="6D019C9A">
      <w:pPr>
        <w:keepNext w:val="0"/>
        <w:keepLines w:val="0"/>
        <w:pageBreakBefore w:val="0"/>
        <w:widowControl w:val="0"/>
        <w:tabs>
          <w:tab w:val="left" w:pos="6798"/>
        </w:tabs>
        <w:kinsoku/>
        <w:wordWrap/>
        <w:overflowPunct/>
        <w:topLinePunct w:val="0"/>
        <w:bidi w:val="0"/>
        <w:snapToGrid/>
        <w:spacing w:line="570" w:lineRule="exact"/>
        <w:ind w:firstLine="630"/>
        <w:textAlignment w:val="auto"/>
        <w:rPr>
          <w:rFonts w:hint="eastAsia" w:ascii="仿宋" w:hAnsi="仿宋" w:eastAsia="仿宋" w:cs="仿宋"/>
          <w:kern w:val="0"/>
          <w:sz w:val="31"/>
          <w:szCs w:val="31"/>
        </w:rPr>
      </w:pPr>
      <w:r>
        <w:rPr>
          <w:rFonts w:hint="eastAsia" w:ascii="仿宋" w:hAnsi="仿宋" w:eastAsia="仿宋" w:cs="仿宋"/>
          <w:b/>
          <w:sz w:val="31"/>
          <w:szCs w:val="31"/>
        </w:rPr>
        <w:t>4.资金分配的原则及考虑因素。</w:t>
      </w:r>
      <w:r>
        <w:rPr>
          <w:rFonts w:hint="eastAsia" w:ascii="仿宋" w:hAnsi="仿宋" w:eastAsia="仿宋" w:cs="仿宋"/>
          <w:kern w:val="0"/>
          <w:sz w:val="31"/>
          <w:szCs w:val="31"/>
        </w:rPr>
        <w:t>财政</w:t>
      </w:r>
      <w:r>
        <w:rPr>
          <w:rFonts w:hint="eastAsia" w:ascii="仿宋" w:hAnsi="仿宋" w:eastAsia="仿宋" w:cs="仿宋"/>
          <w:kern w:val="0"/>
          <w:sz w:val="31"/>
          <w:szCs w:val="31"/>
          <w:lang w:val="en-US" w:eastAsia="zh-CN"/>
        </w:rPr>
        <w:t>衔接</w:t>
      </w:r>
      <w:r>
        <w:rPr>
          <w:rFonts w:hint="eastAsia" w:ascii="仿宋" w:hAnsi="仿宋" w:eastAsia="仿宋" w:cs="仿宋"/>
          <w:kern w:val="0"/>
          <w:sz w:val="31"/>
          <w:szCs w:val="31"/>
        </w:rPr>
        <w:t>资金分配按照因素</w:t>
      </w:r>
      <w:r>
        <w:rPr>
          <w:rFonts w:hint="eastAsia" w:ascii="仿宋" w:hAnsi="仿宋" w:eastAsia="仿宋" w:cs="仿宋"/>
          <w:kern w:val="0"/>
          <w:sz w:val="31"/>
          <w:szCs w:val="31"/>
          <w:lang w:val="en-US" w:eastAsia="zh-CN"/>
        </w:rPr>
        <w:t>项目实施方案</w:t>
      </w:r>
      <w:r>
        <w:rPr>
          <w:rFonts w:hint="eastAsia" w:ascii="仿宋" w:hAnsi="仿宋" w:eastAsia="仿宋" w:cs="仿宋"/>
          <w:kern w:val="0"/>
          <w:sz w:val="31"/>
          <w:szCs w:val="31"/>
        </w:rPr>
        <w:t>分配，所安排的财政</w:t>
      </w:r>
      <w:r>
        <w:rPr>
          <w:rFonts w:hint="eastAsia" w:ascii="仿宋" w:hAnsi="仿宋" w:eastAsia="仿宋" w:cs="仿宋"/>
          <w:kern w:val="0"/>
          <w:sz w:val="31"/>
          <w:szCs w:val="31"/>
          <w:lang w:val="en-US" w:eastAsia="zh-CN"/>
        </w:rPr>
        <w:t>衔接</w:t>
      </w:r>
      <w:r>
        <w:rPr>
          <w:rFonts w:hint="eastAsia" w:ascii="仿宋" w:hAnsi="仿宋" w:eastAsia="仿宋" w:cs="仿宋"/>
          <w:kern w:val="0"/>
          <w:sz w:val="31"/>
          <w:szCs w:val="31"/>
        </w:rPr>
        <w:t>资金项目均来源于</w:t>
      </w:r>
      <w:r>
        <w:rPr>
          <w:rFonts w:hint="eastAsia" w:ascii="仿宋" w:hAnsi="仿宋" w:eastAsia="仿宋" w:cs="仿宋"/>
          <w:kern w:val="0"/>
          <w:sz w:val="31"/>
          <w:szCs w:val="31"/>
          <w:lang w:val="en-US" w:eastAsia="zh-CN"/>
        </w:rPr>
        <w:t>巩固拓展脱贫攻坚成果和乡村振兴</w:t>
      </w:r>
      <w:r>
        <w:rPr>
          <w:rFonts w:hint="eastAsia" w:ascii="仿宋" w:hAnsi="仿宋" w:eastAsia="仿宋" w:cs="仿宋"/>
          <w:kern w:val="0"/>
          <w:sz w:val="31"/>
          <w:szCs w:val="31"/>
        </w:rPr>
        <w:t>项目库。</w:t>
      </w:r>
    </w:p>
    <w:p w14:paraId="085193E8">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（二</w:t>
      </w:r>
      <w:r>
        <w:rPr>
          <w:rFonts w:hint="eastAsia" w:ascii="仿宋" w:hAnsi="仿宋" w:eastAsia="仿宋" w:cs="仿宋"/>
          <w:sz w:val="31"/>
          <w:szCs w:val="31"/>
        </w:rPr>
        <w:t>）项目绩效目标。</w:t>
      </w:r>
    </w:p>
    <w:p w14:paraId="2AAA53AA">
      <w:pPr>
        <w:keepNext w:val="0"/>
        <w:keepLines w:val="0"/>
        <w:pageBreakBefore w:val="0"/>
        <w:widowControl w:val="0"/>
        <w:kinsoku/>
        <w:wordWrap/>
        <w:overflowPunct/>
        <w:topLinePunct w:val="0"/>
        <w:autoSpaceDE w:val="0"/>
        <w:autoSpaceDN w:val="0"/>
        <w:bidi w:val="0"/>
        <w:adjustRightInd w:val="0"/>
        <w:snapToGrid/>
        <w:spacing w:line="570" w:lineRule="exact"/>
        <w:ind w:firstLine="622" w:firstLineChars="200"/>
        <w:jc w:val="left"/>
        <w:textAlignment w:val="auto"/>
        <w:rPr>
          <w:rFonts w:hint="eastAsia" w:ascii="仿宋" w:hAnsi="仿宋" w:eastAsia="仿宋" w:cs="仿宋"/>
          <w:sz w:val="31"/>
          <w:szCs w:val="31"/>
        </w:rPr>
      </w:pPr>
      <w:r>
        <w:rPr>
          <w:rFonts w:hint="eastAsia" w:ascii="仿宋" w:hAnsi="仿宋" w:eastAsia="仿宋" w:cs="仿宋"/>
          <w:b/>
          <w:kern w:val="0"/>
          <w:sz w:val="31"/>
          <w:szCs w:val="31"/>
        </w:rPr>
        <w:t>1.项目主要内容。</w:t>
      </w:r>
    </w:p>
    <w:p w14:paraId="553F5DA7">
      <w:pPr>
        <w:keepNext w:val="0"/>
        <w:keepLines w:val="0"/>
        <w:pageBreakBefore w:val="0"/>
        <w:widowControl w:val="0"/>
        <w:numPr>
          <w:ilvl w:val="0"/>
          <w:numId w:val="7"/>
        </w:numPr>
        <w:tabs>
          <w:tab w:val="left" w:pos="6798"/>
        </w:tabs>
        <w:kinsoku/>
        <w:wordWrap/>
        <w:overflowPunct/>
        <w:topLinePunct w:val="0"/>
        <w:bidi w:val="0"/>
        <w:snapToGrid/>
        <w:spacing w:line="570" w:lineRule="exact"/>
        <w:ind w:firstLine="630"/>
        <w:textAlignment w:val="auto"/>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rPr>
        <w:t>道路改扩建项目</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一是实施红果乡梁子田村道路改扩建项目1个，硬化老红妮街口至原梁子田村委会村道路9.3公里，利用原有道路加宽至路面宽度4.5米；二是实施共和乡纳底河村（纳底河村部至杨家村岔路）村道路改扩建3公里，利用原有道路加宽至路面宽度4.5米；三是实施共和乡太田村（村部至彭定军家）村道路改扩建8公里，利用原有道路加宽至路面宽度4.5米。</w:t>
      </w:r>
    </w:p>
    <w:p w14:paraId="2BE46DD2">
      <w:pPr>
        <w:keepNext w:val="0"/>
        <w:keepLines w:val="0"/>
        <w:pageBreakBefore w:val="0"/>
        <w:widowControl w:val="0"/>
        <w:numPr>
          <w:ilvl w:val="0"/>
          <w:numId w:val="7"/>
        </w:numPr>
        <w:tabs>
          <w:tab w:val="left" w:pos="6798"/>
        </w:tabs>
        <w:kinsoku/>
        <w:wordWrap/>
        <w:overflowPunct/>
        <w:topLinePunct w:val="0"/>
        <w:bidi w:val="0"/>
        <w:snapToGrid/>
        <w:spacing w:line="570" w:lineRule="exact"/>
        <w:ind w:firstLine="630"/>
        <w:textAlignment w:val="auto"/>
        <w:rPr>
          <w:rFonts w:hint="eastAsia" w:ascii="仿宋" w:hAnsi="仿宋" w:eastAsia="仿宋" w:cs="仿宋"/>
          <w:sz w:val="31"/>
          <w:szCs w:val="31"/>
        </w:rPr>
      </w:pPr>
      <w:r>
        <w:rPr>
          <w:rFonts w:hint="eastAsia" w:ascii="仿宋" w:hAnsi="仿宋" w:eastAsia="仿宋" w:cs="仿宋"/>
          <w:sz w:val="31"/>
          <w:szCs w:val="31"/>
        </w:rPr>
        <w:t>人饮安全项目。一是实施渔门镇鳡鱼村侯家坪组人饮安全项目1个，新建取水池20立方米。新建蓄水池1口500立方米，安装龙头山脚至侯家坪DN90钢管10.5公里等工程</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二是实施格萨拉乡韭菜坪村马齿得、韭菜坪组人饮安全项目1个，安装DN40镀锌钢管12公里等工程。</w:t>
      </w:r>
    </w:p>
    <w:p w14:paraId="132B0C28">
      <w:pPr>
        <w:pStyle w:val="8"/>
        <w:keepNext w:val="0"/>
        <w:keepLines w:val="0"/>
        <w:pageBreakBefore w:val="0"/>
        <w:widowControl w:val="0"/>
        <w:kinsoku/>
        <w:wordWrap/>
        <w:overflowPunct/>
        <w:topLinePunct w:val="0"/>
        <w:bidi w:val="0"/>
        <w:spacing w:line="57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（3）</w:t>
      </w:r>
      <w:r>
        <w:rPr>
          <w:rFonts w:hint="eastAsia" w:ascii="仿宋" w:hAnsi="仿宋" w:eastAsia="仿宋" w:cs="仿宋"/>
          <w:sz w:val="31"/>
          <w:szCs w:val="31"/>
          <w:lang w:val="en-US" w:eastAsia="zh-CN"/>
        </w:rPr>
        <w:t>产业道路硬化项目。一是</w:t>
      </w:r>
      <w:r>
        <w:rPr>
          <w:rFonts w:hint="eastAsia" w:ascii="仿宋" w:hAnsi="仿宋" w:eastAsia="仿宋" w:cs="仿宋"/>
          <w:sz w:val="31"/>
          <w:szCs w:val="31"/>
        </w:rPr>
        <w:t>实施格萨拉乡韭菜坪村李子坪组产业道路硬化1.7公里、双牛坪组产业道路硬化0.7公里，规格：C25砼路面宽3m，厚18cm，边沟C20砼，弯道处按规范要求加宽；每公里不少于3个错车道</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二</w:t>
      </w:r>
      <w:r>
        <w:rPr>
          <w:rFonts w:hint="eastAsia" w:ascii="仿宋" w:hAnsi="仿宋" w:eastAsia="仿宋" w:cs="仿宋"/>
          <w:sz w:val="31"/>
          <w:szCs w:val="31"/>
        </w:rPr>
        <w:t>是实施渔门镇东风村大村子组产业道路硬化1.5公里，规格：C25砼路面宽3m，厚18cm，边沟C20砼，弯道处按规范要求加宽；每公里不少于3个错车道</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三是实施桐子林镇金河村双箐组三所坟产业道路硬化项目1个，硬化产业道路1.5公里，规格：C25砼路面宽3m，厚18cm，边沟C20砼，弯道处按规范要求加宽；每公里不少于3个错车道</w:t>
      </w:r>
      <w:r>
        <w:rPr>
          <w:rFonts w:hint="eastAsia" w:ascii="仿宋" w:hAnsi="仿宋" w:eastAsia="仿宋" w:cs="仿宋"/>
          <w:sz w:val="31"/>
          <w:szCs w:val="31"/>
        </w:rPr>
        <w:t>。</w:t>
      </w:r>
    </w:p>
    <w:p w14:paraId="4167A569">
      <w:pPr>
        <w:pStyle w:val="8"/>
        <w:keepNext w:val="0"/>
        <w:keepLines w:val="0"/>
        <w:pageBreakBefore w:val="0"/>
        <w:widowControl w:val="0"/>
        <w:kinsoku/>
        <w:wordWrap/>
        <w:overflowPunct/>
        <w:topLinePunct w:val="0"/>
        <w:bidi w:val="0"/>
        <w:snapToGrid/>
        <w:spacing w:line="570" w:lineRule="exact"/>
        <w:ind w:left="0" w:leftChars="0" w:firstLine="640"/>
        <w:textAlignment w:val="auto"/>
        <w:rPr>
          <w:rFonts w:hint="eastAsia" w:ascii="仿宋" w:hAnsi="仿宋" w:eastAsia="仿宋" w:cs="仿宋"/>
          <w:kern w:val="2"/>
          <w:sz w:val="31"/>
          <w:szCs w:val="31"/>
          <w:lang w:val="en-US" w:eastAsia="zh-CN"/>
        </w:rPr>
      </w:pPr>
      <w:r>
        <w:rPr>
          <w:rFonts w:hint="eastAsia" w:ascii="仿宋" w:hAnsi="仿宋" w:eastAsia="仿宋" w:cs="仿宋"/>
          <w:kern w:val="2"/>
          <w:sz w:val="31"/>
          <w:szCs w:val="31"/>
        </w:rPr>
        <w:t>（4）特色产业培育。</w:t>
      </w:r>
      <w:r>
        <w:rPr>
          <w:rFonts w:hint="eastAsia" w:ascii="仿宋" w:hAnsi="仿宋" w:eastAsia="仿宋" w:cs="仿宋"/>
          <w:kern w:val="2"/>
          <w:sz w:val="31"/>
          <w:szCs w:val="31"/>
          <w:lang w:val="en-US" w:eastAsia="zh-CN"/>
        </w:rPr>
        <w:t>一是实施红果乡梁子田村澳洲坚果试种84亩，每亩22株，每株补助30元，涉及农户26户；二是实施温泉乡道角村干河社云木香种植800亩（其中平整土地700亩），含购买种子、地膜、肥料、烘干机、大型旋耕机，新建围栏6500米，土地平整；三是实施惠民镇青龙村珠芽金魔芋试种20亩。</w:t>
      </w:r>
    </w:p>
    <w:p w14:paraId="1BACD5BF">
      <w:pPr>
        <w:pStyle w:val="8"/>
        <w:keepNext w:val="0"/>
        <w:keepLines w:val="0"/>
        <w:pageBreakBefore w:val="0"/>
        <w:widowControl w:val="0"/>
        <w:kinsoku/>
        <w:wordWrap/>
        <w:overflowPunct/>
        <w:topLinePunct w:val="0"/>
        <w:bidi w:val="0"/>
        <w:snapToGrid/>
        <w:spacing w:line="570" w:lineRule="exact"/>
        <w:ind w:left="0" w:leftChars="0" w:firstLine="640"/>
        <w:textAlignment w:val="auto"/>
        <w:rPr>
          <w:rFonts w:hint="eastAsia" w:ascii="仿宋" w:hAnsi="仿宋" w:eastAsia="仿宋" w:cs="仿宋"/>
          <w:kern w:val="2"/>
          <w:sz w:val="31"/>
          <w:szCs w:val="31"/>
        </w:rPr>
      </w:pPr>
      <w:r>
        <w:rPr>
          <w:rFonts w:hint="eastAsia" w:ascii="仿宋" w:hAnsi="仿宋" w:eastAsia="仿宋" w:cs="仿宋"/>
          <w:sz w:val="31"/>
          <w:szCs w:val="31"/>
        </w:rPr>
        <w:t>（</w:t>
      </w:r>
      <w:r>
        <w:rPr>
          <w:rFonts w:hint="eastAsia" w:ascii="仿宋" w:hAnsi="仿宋" w:eastAsia="仿宋" w:cs="仿宋"/>
          <w:sz w:val="31"/>
          <w:szCs w:val="31"/>
          <w:lang w:val="en-US" w:eastAsia="zh-CN"/>
        </w:rPr>
        <w:t>5</w:t>
      </w:r>
      <w:r>
        <w:rPr>
          <w:rFonts w:hint="eastAsia" w:ascii="仿宋" w:hAnsi="仿宋" w:eastAsia="仿宋" w:cs="仿宋"/>
          <w:sz w:val="31"/>
          <w:szCs w:val="31"/>
        </w:rPr>
        <w:t>）村集体经济发展项目</w:t>
      </w:r>
      <w:r>
        <w:rPr>
          <w:rFonts w:hint="eastAsia" w:ascii="仿宋" w:hAnsi="仿宋" w:eastAsia="仿宋" w:cs="仿宋"/>
          <w:kern w:val="2"/>
          <w:sz w:val="31"/>
          <w:szCs w:val="31"/>
        </w:rPr>
        <w:t>。实施红格镇新民村集体经济发展项目1个，租用农户房屋一栋，改造鱼塘周边道路、环境及附属设施等工程。</w:t>
      </w:r>
    </w:p>
    <w:p w14:paraId="40E831E8">
      <w:pPr>
        <w:pStyle w:val="8"/>
        <w:keepNext w:val="0"/>
        <w:keepLines w:val="0"/>
        <w:pageBreakBefore w:val="0"/>
        <w:widowControl w:val="0"/>
        <w:kinsoku/>
        <w:wordWrap/>
        <w:overflowPunct/>
        <w:topLinePunct w:val="0"/>
        <w:bidi w:val="0"/>
        <w:snapToGrid/>
        <w:spacing w:line="570" w:lineRule="exact"/>
        <w:ind w:left="0" w:leftChars="0" w:firstLine="640"/>
        <w:textAlignment w:val="auto"/>
        <w:rPr>
          <w:rFonts w:hint="eastAsia" w:ascii="仿宋" w:hAnsi="仿宋" w:eastAsia="仿宋" w:cs="仿宋"/>
          <w:kern w:val="2"/>
          <w:sz w:val="31"/>
          <w:szCs w:val="31"/>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6</w:t>
      </w:r>
      <w:r>
        <w:rPr>
          <w:rFonts w:hint="eastAsia" w:ascii="仿宋" w:hAnsi="仿宋" w:eastAsia="仿宋" w:cs="仿宋"/>
          <w:kern w:val="2"/>
          <w:sz w:val="31"/>
          <w:szCs w:val="31"/>
        </w:rPr>
        <w:t>）</w:t>
      </w:r>
      <w:r>
        <w:rPr>
          <w:rFonts w:hint="eastAsia" w:ascii="仿宋" w:hAnsi="仿宋" w:eastAsia="仿宋" w:cs="仿宋"/>
          <w:sz w:val="31"/>
          <w:szCs w:val="31"/>
        </w:rPr>
        <w:t>文化院坝翻修及卫生厕所改造。</w:t>
      </w:r>
      <w:r>
        <w:rPr>
          <w:rFonts w:hint="eastAsia" w:ascii="仿宋" w:hAnsi="仿宋" w:eastAsia="仿宋" w:cs="仿宋"/>
          <w:kern w:val="2"/>
          <w:sz w:val="31"/>
          <w:szCs w:val="31"/>
        </w:rPr>
        <w:t>实施温泉乡野麻地村村部文化院坝翻修360平方米、接通饮用水源及购买厨房生活用具、将目前的卫生厕所（旱厕）改造为水冲式厕所等工程。</w:t>
      </w:r>
    </w:p>
    <w:p w14:paraId="62713A3E">
      <w:pPr>
        <w:keepNext w:val="0"/>
        <w:keepLines w:val="0"/>
        <w:pageBreakBefore w:val="0"/>
        <w:widowControl w:val="0"/>
        <w:kinsoku/>
        <w:wordWrap/>
        <w:overflowPunct/>
        <w:topLinePunct w:val="0"/>
        <w:bidi w:val="0"/>
        <w:spacing w:line="570" w:lineRule="exact"/>
        <w:ind w:firstLine="640"/>
        <w:textAlignment w:val="auto"/>
        <w:rPr>
          <w:rFonts w:hint="eastAsia" w:ascii="仿宋" w:hAnsi="仿宋" w:eastAsia="仿宋" w:cs="仿宋"/>
          <w:sz w:val="31"/>
          <w:szCs w:val="31"/>
          <w:lang w:val="en-US" w:eastAsia="zh-CN"/>
        </w:rPr>
      </w:pPr>
      <w:r>
        <w:rPr>
          <w:rFonts w:hint="eastAsia" w:ascii="仿宋" w:hAnsi="仿宋" w:eastAsia="仿宋" w:cs="仿宋"/>
          <w:kern w:val="2"/>
          <w:sz w:val="31"/>
          <w:szCs w:val="31"/>
          <w:lang w:val="en-US" w:eastAsia="zh-CN"/>
        </w:rPr>
        <w:t>（7）农业生产灌溉用水项目。一是实施国胜乡大毕村家鸡沟组堰沟整治项目1个，新建堰沟盖板长890米、宽1.6米、厚0.14米，堰沟修复108立方米，清淤100立方米等工程；二是</w:t>
      </w:r>
      <w:r>
        <w:rPr>
          <w:rFonts w:hint="eastAsia" w:ascii="仿宋" w:hAnsi="仿宋" w:eastAsia="仿宋" w:cs="仿宋"/>
          <w:sz w:val="31"/>
          <w:szCs w:val="31"/>
          <w:lang w:val="en-US" w:eastAsia="zh-CN"/>
        </w:rPr>
        <w:t>实施惠民镇兴隆村水毁水利设施恢复项目1个，含新建排洪沟430米，新建M7.5浆砌毛石挡墙286.92立方米等工程。</w:t>
      </w:r>
    </w:p>
    <w:p w14:paraId="42A2BEF4">
      <w:pPr>
        <w:pStyle w:val="8"/>
        <w:keepNext w:val="0"/>
        <w:keepLines w:val="0"/>
        <w:pageBreakBefore w:val="0"/>
        <w:widowControl w:val="0"/>
        <w:kinsoku/>
        <w:wordWrap/>
        <w:overflowPunct/>
        <w:topLinePunct w:val="0"/>
        <w:bidi w:val="0"/>
        <w:spacing w:line="57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8）村基础设施补差补短项目。一是实施红果乡梁子田村道路维修恢复项目1个，新建M7.5浆砌毛石挡墙716.37立方米；二是实施渔门镇鳡鱼村村部搬迁项目，将现村部（大洼社）搬迁至岔河社佳旺芒果选果厂处，具体工程量及投资以施工图设计及财评工程量清单为准。</w:t>
      </w:r>
    </w:p>
    <w:p w14:paraId="549F2D88">
      <w:pPr>
        <w:keepNext w:val="0"/>
        <w:keepLines w:val="0"/>
        <w:widowControl/>
        <w:suppressLineNumbers w:val="0"/>
        <w:ind w:firstLine="620" w:firstLineChars="200"/>
        <w:jc w:val="left"/>
        <w:rPr>
          <w:rFonts w:hint="eastAsia" w:ascii="仿宋" w:hAnsi="仿宋" w:eastAsia="仿宋" w:cs="仿宋"/>
          <w:kern w:val="2"/>
          <w:sz w:val="31"/>
          <w:szCs w:val="31"/>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9</w:t>
      </w:r>
      <w:r>
        <w:rPr>
          <w:rFonts w:hint="eastAsia" w:ascii="仿宋" w:hAnsi="仿宋" w:eastAsia="仿宋" w:cs="仿宋"/>
          <w:kern w:val="2"/>
          <w:sz w:val="31"/>
          <w:szCs w:val="31"/>
        </w:rPr>
        <w:t>）项目管理费项目。实施财政</w:t>
      </w:r>
      <w:r>
        <w:rPr>
          <w:rFonts w:hint="eastAsia" w:ascii="仿宋" w:hAnsi="仿宋" w:eastAsia="仿宋" w:cs="仿宋"/>
          <w:kern w:val="2"/>
          <w:sz w:val="31"/>
          <w:szCs w:val="31"/>
          <w:lang w:val="en-US" w:eastAsia="zh-CN"/>
        </w:rPr>
        <w:t>衔接</w:t>
      </w:r>
      <w:r>
        <w:rPr>
          <w:rFonts w:hint="eastAsia" w:ascii="仿宋" w:hAnsi="仿宋" w:eastAsia="仿宋" w:cs="仿宋"/>
          <w:kern w:val="2"/>
          <w:sz w:val="31"/>
          <w:szCs w:val="31"/>
        </w:rPr>
        <w:t>资金项目管理费项目，按照规定比例提取。</w:t>
      </w:r>
    </w:p>
    <w:p w14:paraId="6D9BA073">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10</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实施易地扶贫搬迁贷款贴息项目1个，对全县易地扶贫搬迁脱贫户贷款贴息补助。</w:t>
      </w:r>
    </w:p>
    <w:p w14:paraId="4EDC1EF7">
      <w:pPr>
        <w:pStyle w:val="11"/>
        <w:rPr>
          <w:rFonts w:hint="eastAsia"/>
        </w:rPr>
      </w:pPr>
    </w:p>
    <w:p w14:paraId="6E9249EB">
      <w:pPr>
        <w:keepNext w:val="0"/>
        <w:keepLines w:val="0"/>
        <w:widowControl/>
        <w:suppressLineNumbers w:val="0"/>
        <w:spacing w:line="240" w:lineRule="auto"/>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11</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实施红格镇红格阳光社区京东（盐边）乡村振兴示范园合作项目1个，项目选址为盐边县太阳湖展览馆一楼，建筑面积1000㎡，分4年期建设，前期场馆装修费300万元，包含场馆设计、改造、装修、办公设备等。</w:t>
      </w:r>
    </w:p>
    <w:p w14:paraId="57DD17C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top"/>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12</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全县林下珠芽金魔芋试种项目1个，在红格镇鲊石村、红果乡梁子田村、惠民镇银河村、国胜乡机房村、共和乡太田村、共和乡田坝村、红宝乡谜塘村、渔门镇鳡鱼村等全县范围内建立林下珠芽金魔芋育种基地，实施珠芽金魔芋试种400亩，通过引领示范带动农户发展魔芋产业，让农户增收致富，同时发展壮大村集体经济。</w:t>
      </w:r>
    </w:p>
    <w:p w14:paraId="42431A45">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13</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实施红宝乡择木龙村灾后重建新建防洪河堤项目1个，具体以设计工程量及批复为准。</w:t>
      </w:r>
    </w:p>
    <w:p w14:paraId="418DAB23">
      <w:pPr>
        <w:keepNext w:val="0"/>
        <w:keepLines w:val="0"/>
        <w:widowControl/>
        <w:suppressLineNumbers w:val="0"/>
        <w:ind w:firstLine="620" w:firstLineChars="200"/>
        <w:jc w:val="left"/>
        <w:rPr>
          <w:rFonts w:hint="default"/>
          <w:lang w:val="en-US" w:eastAsia="zh-CN"/>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14</w:t>
      </w:r>
      <w:r>
        <w:rPr>
          <w:rFonts w:hint="eastAsia" w:ascii="仿宋" w:hAnsi="仿宋" w:eastAsia="仿宋" w:cs="仿宋"/>
          <w:kern w:val="2"/>
          <w:sz w:val="31"/>
          <w:szCs w:val="31"/>
        </w:rPr>
        <w:t>）</w:t>
      </w:r>
      <w:r>
        <w:rPr>
          <w:rFonts w:ascii="仿宋_GB2312" w:hAnsi="宋体" w:eastAsia="仿宋_GB2312" w:cs="仿宋_GB2312"/>
          <w:color w:val="000000"/>
          <w:kern w:val="0"/>
          <w:sz w:val="31"/>
          <w:szCs w:val="31"/>
          <w:lang w:val="en-US" w:eastAsia="zh-CN" w:bidi="ar"/>
        </w:rPr>
        <w:t>实施红格镇昔格达村岔河组产业基地配套基础设施建</w:t>
      </w:r>
      <w:r>
        <w:rPr>
          <w:rFonts w:hint="eastAsia" w:ascii="仿宋_GB2312" w:hAnsi="宋体" w:eastAsia="仿宋_GB2312" w:cs="仿宋_GB2312"/>
          <w:color w:val="000000"/>
          <w:kern w:val="0"/>
          <w:sz w:val="31"/>
          <w:szCs w:val="31"/>
          <w:lang w:val="en-US" w:eastAsia="zh-CN" w:bidi="ar"/>
        </w:rPr>
        <w:t>设项目1个，含新建挡墙8处1025.3立方米、新建沟渠长22.5米，场坪土石方拉运碾压夯实等工程</w:t>
      </w:r>
      <w:r>
        <w:rPr>
          <w:rFonts w:hint="eastAsia" w:ascii="仿宋" w:hAnsi="仿宋" w:eastAsia="仿宋" w:cs="仿宋"/>
          <w:color w:val="000000"/>
          <w:kern w:val="0"/>
          <w:sz w:val="31"/>
          <w:szCs w:val="31"/>
          <w:lang w:val="en-US" w:eastAsia="zh-CN" w:bidi="ar"/>
        </w:rPr>
        <w:t xml:space="preserve">。                         </w:t>
      </w:r>
    </w:p>
    <w:p w14:paraId="4E1BA055">
      <w:pPr>
        <w:keepNext w:val="0"/>
        <w:keepLines w:val="0"/>
        <w:widowControl/>
        <w:numPr>
          <w:ilvl w:val="0"/>
          <w:numId w:val="8"/>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实施全县项目管理费项目1项，用于全县巩固拓展脱贫攻坚成果衔接推进乡村振兴项目设计、监理及项目管理、验收等费用。</w:t>
      </w:r>
    </w:p>
    <w:p w14:paraId="73E7174C">
      <w:pPr>
        <w:keepNext w:val="0"/>
        <w:keepLines w:val="0"/>
        <w:widowControl/>
        <w:numPr>
          <w:ilvl w:val="0"/>
          <w:numId w:val="8"/>
        </w:numPr>
        <w:suppressLineNumbers w:val="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实施全县山洪灾害危险区公益性岗位安置项目1个，</w:t>
      </w:r>
    </w:p>
    <w:p w14:paraId="48B43639">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据实安置山洪灾害危险区脱贫户、监测户公益性岗位，按照实际安置岗位人数进行补助</w:t>
      </w:r>
      <w:r>
        <w:rPr>
          <w:rFonts w:hint="eastAsia" w:ascii="仿宋_GB2312" w:hAnsi="宋体" w:eastAsia="仿宋_GB2312" w:cs="仿宋_GB2312"/>
          <w:color w:val="000000"/>
          <w:kern w:val="0"/>
          <w:sz w:val="31"/>
          <w:szCs w:val="31"/>
          <w:lang w:val="en-US" w:eastAsia="zh-CN" w:bidi="ar"/>
        </w:rPr>
        <w:t>。</w:t>
      </w:r>
    </w:p>
    <w:p w14:paraId="7E000BB0">
      <w:pPr>
        <w:keepNext w:val="0"/>
        <w:keepLines w:val="0"/>
        <w:widowControl/>
        <w:numPr>
          <w:ilvl w:val="0"/>
          <w:numId w:val="8"/>
        </w:numPr>
        <w:suppressLineNumbers w:val="0"/>
        <w:ind w:left="0" w:leftChars="0" w:firstLine="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实施红格镇联合村道路改扩建项目约2公里，对既有水泥混凝土路面进行拓宽（原路面约4.0米左右），拓宽按照4.5米标准宽度进行拓建，拓建后完善沿线排水、交通安全设施，并对路面实施黑化加铺。</w:t>
      </w:r>
    </w:p>
    <w:p w14:paraId="254F4AF4">
      <w:pPr>
        <w:keepNext w:val="0"/>
        <w:keepLines w:val="0"/>
        <w:widowControl/>
        <w:suppressLineNumbers w:val="0"/>
        <w:ind w:firstLine="620" w:firstLineChars="20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（18）实施永兴镇箐河村毛坪子组新建产业道路2.1公里，路基宽4.5米。</w:t>
      </w:r>
    </w:p>
    <w:p w14:paraId="5218FBB1">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（19）实施红果乡三滩村蒿枝坪组产业道路硬化1公里，规格：C25砼路面宽3m，厚18cm，边沟C20砼，弯道处按规范要求加宽；每公里不少于3个错车道。</w:t>
      </w:r>
    </w:p>
    <w:p w14:paraId="5D5385C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（20）村基础设施建设项目一是实施惠民镇新林村德阳组农业生产灌溉用水项目1个，新建蓄水池1口330立方米，新建堰渠三面光250米，安装Φ50钢管230根，深井一口240米以及电路设施安装等工程</w:t>
      </w:r>
      <w:r>
        <w:rPr>
          <w:rFonts w:hint="eastAsia" w:ascii="仿宋_GB2312" w:hAnsi="宋体" w:eastAsia="仿宋_GB2312" w:cs="仿宋_GB2312"/>
          <w:color w:val="000000"/>
          <w:kern w:val="0"/>
          <w:sz w:val="31"/>
          <w:szCs w:val="31"/>
          <w:lang w:val="en-US" w:eastAsia="zh-CN" w:bidi="ar"/>
        </w:rPr>
        <w:t>。二是</w:t>
      </w:r>
      <w:r>
        <w:rPr>
          <w:rFonts w:hint="eastAsia" w:ascii="仿宋" w:hAnsi="仿宋" w:eastAsia="仿宋" w:cs="仿宋"/>
          <w:color w:val="000000"/>
          <w:kern w:val="0"/>
          <w:sz w:val="31"/>
          <w:szCs w:val="31"/>
          <w:lang w:val="en-US" w:eastAsia="zh-CN" w:bidi="ar"/>
        </w:rPr>
        <w:t>实施国胜乡大毕村家鸡沟组堰沟整治项目1个，新建堰沟盖板长890米、宽1.6米、厚0.14米，堰沟修复108立方米，清淤100立方米等工程</w:t>
      </w:r>
      <w:r>
        <w:rPr>
          <w:rFonts w:hint="eastAsia" w:ascii="仿宋_GB2312" w:hAnsi="宋体" w:eastAsia="仿宋_GB2312" w:cs="仿宋_GB2312"/>
          <w:color w:val="000000"/>
          <w:kern w:val="0"/>
          <w:sz w:val="31"/>
          <w:szCs w:val="31"/>
          <w:lang w:val="en-US" w:eastAsia="zh-CN" w:bidi="ar"/>
        </w:rPr>
        <w:t>。三</w:t>
      </w:r>
      <w:r>
        <w:rPr>
          <w:rFonts w:hint="eastAsia" w:ascii="仿宋" w:hAnsi="仿宋" w:eastAsia="仿宋" w:cs="仿宋"/>
          <w:color w:val="000000"/>
          <w:kern w:val="0"/>
          <w:sz w:val="31"/>
          <w:szCs w:val="31"/>
          <w:lang w:val="en-US" w:eastAsia="zh-CN" w:bidi="ar"/>
        </w:rPr>
        <w:t>是实施惠民镇青龙村干箐组堰沟建设项目1个，新建堰渠2公里（规格40*40cm、壁厚0.15m、底厚0.1m）。</w:t>
      </w:r>
    </w:p>
    <w:p w14:paraId="50A64A6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21）乡村振兴重点帮扶村扶持项目一是实施红果乡梁子田村道路改扩建项目1个，硬化老红坭街口至原梁子田村委会村道路9.3公里，利用原有道路加宽至路面宽度4.5米，具体工程量以施工图设计及财评为准。二是计划实施共和乡纳底河村（纳底河村部至杨家村岔路）村道路改扩建3公里，利用原有道路加宽至路面宽度4.5米。三是实施共和乡太田村（村部至彭定军家）村道路改扩建8公里，利用原有道路加宽至路面宽度4.5米。四是实施共和乡太田村监测户郎发能户、江光分户原址重建住房项目，每户补助资金5万元，共计10万元；实施太田村监测户江应祥户、江应学户住房维修加固项目，每户补助2万元，共计4万元。五是实施渔门镇鳡鱼村大洼社生产用水项目1个，修建三面光堰渠5公里，配套挡墙、堰头坝基等工程。六是实施渔门镇鳡鱼村侯家坪组人饮安全项目1个，新建取水池20立方米。新建蓄水池1口500立方米，安装龙头山脚至侯家坪DN90钢管10.5公里等工程。七是实施格萨拉乡韭菜坪村马齿得、韭菜坪组人饮安全项目1个，安装DN40镀锌钢管12公里等工程，具体工程量以施工图设计及财评工程量清单为准。</w:t>
      </w:r>
    </w:p>
    <w:p w14:paraId="15D072D7">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（22）公共支出项目实施全县项目管理费项目1项，用于全县巩固拓展脱贫攻坚成果衔接推进乡村振兴项目设计、监理及项目管理、验收等费用。</w:t>
      </w:r>
    </w:p>
    <w:p w14:paraId="1859989D">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（23）村集体经济发展项目计划实施村集体经济扶持项目1个，给与10个省级集体经济扶持村一次性专项补助，每村补助10万元。</w:t>
      </w:r>
    </w:p>
    <w:p w14:paraId="2F1EB9A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（24）医疗保障项目一个实施补充注入县卫生扶贫救助基金项目1项，按照实际需求进行补充注入，防止因病返贫，持续巩固拓展脱贫攻坚成果，投入县级财政衔接资金120万元。</w:t>
      </w:r>
    </w:p>
    <w:p w14:paraId="734645D4">
      <w:pPr>
        <w:keepNext w:val="0"/>
        <w:keepLines w:val="0"/>
        <w:widowControl/>
        <w:suppressLineNumbers w:val="0"/>
        <w:ind w:firstLine="620" w:firstLineChars="20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（25）教育保障项目一是实施雨露计划补助项目1项，对全县脱贫户及监测对象（脱贫不稳定户、边缘易致贫户、突发严重困难户）中符合条件的中、高职学生发放雨露计划补助。</w:t>
      </w:r>
    </w:p>
    <w:p w14:paraId="159FB4EB">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二是实施2022年度春季学期脱贫户家庭学生生活资助35人，每人补助500元，投入县级财政衔接资金1.75万元。</w:t>
      </w:r>
    </w:p>
    <w:p w14:paraId="6BE0A265">
      <w:pPr>
        <w:keepNext w:val="0"/>
        <w:keepLines w:val="0"/>
        <w:widowControl/>
        <w:numPr>
          <w:ilvl w:val="0"/>
          <w:numId w:val="9"/>
        </w:numPr>
        <w:suppressLineNumbers w:val="0"/>
        <w:ind w:left="210" w:leftChars="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金融保障项目一是实施2022年全县脱贫户住房建设贷款贴息资金项目1个，对全县脱贫户扶贫住房建设贷款予以贴息，投入县级财政衔接资金127.29万元。二是实施全县脱贫户政策性肉羊保险项目1个，支持发展羊肉米线产业，计划投保肉羊23000头，每头保费50元。三是计划对2021年底新增安置公益性岗位人员125人购买意外伤害商业保险，按照实际投保人数进行补助，投入县级财政衔接资金3.25万元。四是实施全县脱贫户、监测户购买“扶贫保”，计划投保4379户。每户投保费用为42元，其中：财政补贴80%、农户自缴20%。按照实际投保户数进行补助，项目总投资18.39万元，其中：投入县级财政衔接资金14.71万元，自筹及其他资金3.68万元。                    </w:t>
      </w:r>
    </w:p>
    <w:p w14:paraId="02909D15">
      <w:pPr>
        <w:keepNext w:val="0"/>
        <w:keepLines w:val="0"/>
        <w:widowControl/>
        <w:numPr>
          <w:ilvl w:val="0"/>
          <w:numId w:val="9"/>
        </w:numPr>
        <w:suppressLineNumbers w:val="0"/>
        <w:ind w:left="210" w:leftChars="0" w:firstLine="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产业发展配套基础设施建设一是实施惠民镇青龙村道路硬化项目1个，硬化青林组产业道路4.984公里，利用原有道路加宽至路面宽度4.5米。二是实施惠民镇青龙村道路硬化项目1个，硬化胜利组产业道路2.221公里，利用原有道路加宽至路面宽度4.5米。三是实施永兴镇强胜村道路硬化项目1个，硬化强胜村（原富阳村）产业道路6.494公里，利用原有道路加宽至路面宽度4.5米。四是实施永兴镇岩门村道路硬化项目1个，硬化岩门村产业道路5.091公里，其中：大坪组通组产业道路硬化3.527公里、团结组通组产业道路1.834公里。利用原有道路加宽至路面宽度4.5米。五是实施渔门镇龙胜村新建组产业道路硬化项目1个，全长2.709公里，利用原有土路硬化，路面宽度3.0米。六是实施桐子林镇桐子林社区道路硬化项目1个，一是硬化马鞍山组产业道路7.945公里，利用原有土路硬化，路面宽度4.5米，具体工程量以施工图设计及财评为准；二是附属工程项目1个，新建M10浆砌片石挡墙1200.5立方米，含挖方、安装PVC管等工程。七是实施红果乡蒿枝坪村道路硬化项目1个，硬化原松坪子村下马鹿塘组河门口岔路至大切槽产业道路5.615公里，利用原有土路硬化，路面宽度4.5米。八是实施红果乡蒿枝坪村道路硬化项目1个，硬化原松坪子村下马鹿塘组大三锅庄至松坪子村产业道路3.347公里，其中主线长度2.8公里，支线长度0.547公里，利用原有土路硬化，路面宽度4.5米。九是实施永兴镇作坊村青山组产业道路硬化项目1个，全长6.691公里，其中：2.223公里只对急弯处整改，其余4.468公里利用原有土路硬化，路面宽度3.0米。</w:t>
      </w:r>
    </w:p>
    <w:p w14:paraId="0B7C5F3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（28）村基础设施补差补短一是实施红格镇联合村联顺路改建项目 1 个，改建道路 3.535 公里，对路面加铺沥青黑化。 二是实施渔门镇龙胜村村道改扩建项目 1 个，全长 1.681 公里，利用原有道路加宽至路面宽度 4.5 米。三是实施红宝乡择木龙村灾后重建新建防洪河堤项目 1 个。</w:t>
      </w:r>
    </w:p>
    <w:p w14:paraId="711233A8">
      <w:pPr>
        <w:keepNext w:val="0"/>
        <w:keepLines w:val="0"/>
        <w:widowControl/>
        <w:suppressLineNumbers w:val="0"/>
        <w:jc w:val="left"/>
        <w:rPr>
          <w:rFonts w:hint="eastAsia" w:ascii="仿宋" w:hAnsi="仿宋" w:eastAsia="仿宋" w:cs="仿宋"/>
          <w:sz w:val="31"/>
          <w:szCs w:val="31"/>
        </w:rPr>
      </w:pPr>
    </w:p>
    <w:p w14:paraId="6BF3ED20">
      <w:pPr>
        <w:keepNext w:val="0"/>
        <w:keepLines w:val="0"/>
        <w:widowControl/>
        <w:suppressLineNumbers w:val="0"/>
        <w:jc w:val="left"/>
        <w:rPr>
          <w:rFonts w:hint="eastAsia" w:ascii="仿宋" w:hAnsi="仿宋" w:eastAsia="仿宋" w:cs="仿宋"/>
        </w:rPr>
      </w:pPr>
    </w:p>
    <w:p w14:paraId="1859BF72">
      <w:pPr>
        <w:keepNext w:val="0"/>
        <w:keepLines w:val="0"/>
        <w:widowControl/>
        <w:suppressLineNumbers w:val="0"/>
        <w:jc w:val="left"/>
        <w:rPr>
          <w:rFonts w:hint="eastAsia" w:ascii="仿宋" w:hAnsi="仿宋" w:eastAsia="仿宋" w:cs="仿宋"/>
          <w:sz w:val="31"/>
          <w:szCs w:val="31"/>
        </w:rPr>
      </w:pPr>
    </w:p>
    <w:p w14:paraId="62B1841F">
      <w:pPr>
        <w:keepNext w:val="0"/>
        <w:keepLines w:val="0"/>
        <w:pageBreakBefore w:val="0"/>
        <w:widowControl w:val="0"/>
        <w:numPr>
          <w:ilvl w:val="0"/>
          <w:numId w:val="10"/>
        </w:numPr>
        <w:kinsoku/>
        <w:wordWrap/>
        <w:overflowPunct/>
        <w:topLinePunct w:val="0"/>
        <w:bidi w:val="0"/>
        <w:snapToGrid/>
        <w:spacing w:line="570" w:lineRule="exact"/>
        <w:textAlignment w:val="auto"/>
        <w:rPr>
          <w:rFonts w:hint="eastAsia" w:ascii="仿宋" w:hAnsi="仿宋" w:eastAsia="仿宋" w:cs="仿宋"/>
          <w:b/>
          <w:sz w:val="31"/>
          <w:szCs w:val="31"/>
        </w:rPr>
      </w:pPr>
      <w:r>
        <w:rPr>
          <w:rFonts w:hint="eastAsia" w:ascii="仿宋" w:hAnsi="仿宋" w:eastAsia="仿宋" w:cs="仿宋"/>
          <w:b/>
          <w:sz w:val="31"/>
          <w:szCs w:val="31"/>
        </w:rPr>
        <w:t>项目应实现的具体绩效目标，包括目标的量化、细化情况以及项目实施进度计划等。</w:t>
      </w:r>
    </w:p>
    <w:p w14:paraId="639A7B71">
      <w:pPr>
        <w:keepNext w:val="0"/>
        <w:keepLines w:val="0"/>
        <w:pageBreakBefore w:val="0"/>
        <w:widowControl w:val="0"/>
        <w:numPr>
          <w:ilvl w:val="0"/>
          <w:numId w:val="0"/>
        </w:numPr>
        <w:kinsoku/>
        <w:wordWrap/>
        <w:overflowPunct/>
        <w:topLinePunct w:val="0"/>
        <w:bidi w:val="0"/>
        <w:snapToGrid/>
        <w:spacing w:line="570" w:lineRule="exact"/>
        <w:ind w:firstLine="640" w:firstLineChars="200"/>
        <w:textAlignment w:val="auto"/>
        <w:rPr>
          <w:rFonts w:hint="eastAsia" w:ascii="仿宋" w:hAnsi="仿宋" w:eastAsia="仿宋_GB2312" w:cs="仿宋"/>
          <w:b/>
          <w:sz w:val="31"/>
          <w:szCs w:val="31"/>
          <w:lang w:val="en-US" w:eastAsia="zh-CN"/>
        </w:rPr>
      </w:pPr>
      <w:r>
        <w:rPr>
          <w:rFonts w:hint="default" w:ascii="Times New Roman" w:hAnsi="Times New Roman" w:eastAsia="仿宋_GB2312" w:cs="Times New Roman"/>
          <w:sz w:val="32"/>
          <w:szCs w:val="32"/>
        </w:rPr>
        <w:t>实施</w:t>
      </w:r>
      <w:r>
        <w:rPr>
          <w:rFonts w:hint="default" w:ascii="Times New Roman" w:hAnsi="Times New Roman" w:eastAsia="仿宋_GB2312" w:cs="Times New Roman"/>
          <w:color w:val="auto"/>
          <w:sz w:val="32"/>
          <w:szCs w:val="32"/>
        </w:rPr>
        <w:t>道路改扩建项目</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rPr>
        <w:t>个、人饮安全项目2个、</w:t>
      </w:r>
      <w:r>
        <w:rPr>
          <w:rFonts w:hint="default" w:ascii="Times New Roman" w:hAnsi="Times New Roman" w:eastAsia="仿宋_GB2312" w:cs="Times New Roman"/>
          <w:sz w:val="32"/>
          <w:szCs w:val="32"/>
          <w:lang w:val="en-US" w:eastAsia="zh-CN"/>
        </w:rPr>
        <w:t>产业道路硬化项目3</w:t>
      </w:r>
      <w:r>
        <w:rPr>
          <w:rFonts w:hint="default" w:ascii="Times New Roman" w:hAnsi="Times New Roman" w:eastAsia="仿宋_GB2312" w:cs="Times New Roman"/>
          <w:sz w:val="32"/>
          <w:szCs w:val="32"/>
        </w:rPr>
        <w:t>个、</w:t>
      </w:r>
      <w:r>
        <w:rPr>
          <w:rFonts w:hint="default" w:ascii="Times New Roman" w:hAnsi="Times New Roman" w:eastAsia="仿宋_GB2312" w:cs="Times New Roman"/>
          <w:kern w:val="2"/>
          <w:sz w:val="32"/>
          <w:szCs w:val="32"/>
        </w:rPr>
        <w:t>特色产业培育</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sz w:val="32"/>
          <w:szCs w:val="32"/>
        </w:rPr>
        <w:t>个、村集体经济发展项目</w:t>
      </w:r>
      <w:r>
        <w:rPr>
          <w:rFonts w:hint="default"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rPr>
        <w:t>、文化院坝翻修及卫生厕所改造1个、</w:t>
      </w:r>
      <w:r>
        <w:rPr>
          <w:rFonts w:hint="default" w:ascii="Times New Roman" w:hAnsi="Times New Roman" w:eastAsia="仿宋_GB2312" w:cs="Times New Roman"/>
          <w:kern w:val="2"/>
          <w:sz w:val="32"/>
          <w:szCs w:val="32"/>
          <w:lang w:val="en-US" w:eastAsia="zh-CN"/>
        </w:rPr>
        <w:t>农业生产灌溉用水项目2个、</w:t>
      </w:r>
      <w:r>
        <w:rPr>
          <w:rFonts w:hint="default" w:ascii="Times New Roman" w:hAnsi="Times New Roman" w:eastAsia="仿宋_GB2312" w:cs="Times New Roman"/>
          <w:sz w:val="32"/>
          <w:szCs w:val="32"/>
          <w:lang w:val="en-US" w:eastAsia="zh-CN"/>
        </w:rPr>
        <w:t>村基础设施补差补短项目2个、项目管理费项目1个等</w:t>
      </w: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目。</w:t>
      </w:r>
    </w:p>
    <w:p w14:paraId="6285C739">
      <w:pPr>
        <w:keepNext w:val="0"/>
        <w:keepLines w:val="0"/>
        <w:pageBreakBefore w:val="0"/>
        <w:widowControl w:val="0"/>
        <w:kinsoku/>
        <w:wordWrap/>
        <w:overflowPunct/>
        <w:topLinePunct w:val="0"/>
        <w:autoSpaceDE/>
        <w:autoSpaceDN/>
        <w:bidi w:val="0"/>
        <w:adjustRightInd w:val="0"/>
        <w:snapToGrid w:val="0"/>
        <w:spacing w:line="570" w:lineRule="exact"/>
        <w:ind w:firstLine="622" w:firstLineChars="200"/>
        <w:jc w:val="both"/>
        <w:textAlignment w:val="auto"/>
        <w:rPr>
          <w:rFonts w:hint="eastAsia" w:ascii="仿宋" w:hAnsi="仿宋" w:eastAsia="仿宋" w:cs="仿宋"/>
          <w:sz w:val="31"/>
          <w:szCs w:val="31"/>
        </w:rPr>
      </w:pPr>
      <w:r>
        <w:rPr>
          <w:rFonts w:hint="eastAsia" w:ascii="仿宋" w:hAnsi="仿宋" w:eastAsia="仿宋" w:cs="仿宋"/>
          <w:b/>
          <w:sz w:val="31"/>
          <w:szCs w:val="31"/>
        </w:rPr>
        <w:t>项目实施进度：</w:t>
      </w:r>
      <w:r>
        <w:rPr>
          <w:rFonts w:hint="eastAsia" w:ascii="仿宋" w:hAnsi="仿宋" w:eastAsia="仿宋" w:cs="仿宋"/>
          <w:sz w:val="31"/>
          <w:szCs w:val="31"/>
        </w:rPr>
        <w:t>202</w:t>
      </w:r>
      <w:r>
        <w:rPr>
          <w:rFonts w:hint="eastAsia" w:ascii="仿宋" w:hAnsi="仿宋" w:eastAsia="仿宋" w:cs="仿宋"/>
          <w:sz w:val="31"/>
          <w:szCs w:val="31"/>
          <w:lang w:val="en-US" w:eastAsia="zh-CN"/>
        </w:rPr>
        <w:t>2</w:t>
      </w:r>
      <w:r>
        <w:rPr>
          <w:rFonts w:hint="eastAsia" w:ascii="仿宋" w:hAnsi="仿宋" w:eastAsia="仿宋" w:cs="仿宋"/>
          <w:sz w:val="31"/>
          <w:szCs w:val="31"/>
        </w:rPr>
        <w:t>年1—</w:t>
      </w:r>
      <w:r>
        <w:rPr>
          <w:rFonts w:hint="eastAsia" w:ascii="仿宋" w:hAnsi="仿宋" w:eastAsia="仿宋" w:cs="仿宋"/>
          <w:sz w:val="31"/>
          <w:szCs w:val="31"/>
          <w:lang w:val="en-US" w:eastAsia="zh-CN"/>
        </w:rPr>
        <w:t>6</w:t>
      </w:r>
      <w:r>
        <w:rPr>
          <w:rFonts w:hint="eastAsia" w:ascii="仿宋" w:hAnsi="仿宋" w:eastAsia="仿宋" w:cs="仿宋"/>
          <w:sz w:val="31"/>
          <w:szCs w:val="31"/>
        </w:rPr>
        <w:t>月，</w:t>
      </w:r>
      <w:r>
        <w:rPr>
          <w:rFonts w:hint="eastAsia" w:ascii="仿宋" w:hAnsi="仿宋" w:eastAsia="仿宋" w:cs="仿宋"/>
          <w:sz w:val="31"/>
          <w:szCs w:val="31"/>
          <w:lang w:val="en-US" w:eastAsia="zh-CN"/>
        </w:rPr>
        <w:t>完成</w:t>
      </w:r>
      <w:r>
        <w:rPr>
          <w:rFonts w:hint="eastAsia" w:ascii="仿宋" w:hAnsi="仿宋" w:eastAsia="仿宋" w:cs="仿宋"/>
          <w:sz w:val="31"/>
          <w:szCs w:val="31"/>
        </w:rPr>
        <w:t>项目实施方案的编制，施工前的前期准备工作；202</w:t>
      </w:r>
      <w:r>
        <w:rPr>
          <w:rFonts w:hint="eastAsia" w:ascii="仿宋" w:hAnsi="仿宋" w:eastAsia="仿宋" w:cs="仿宋"/>
          <w:sz w:val="31"/>
          <w:szCs w:val="31"/>
          <w:lang w:val="en-US" w:eastAsia="zh-CN"/>
        </w:rPr>
        <w:t>2</w:t>
      </w:r>
      <w:r>
        <w:rPr>
          <w:rFonts w:hint="eastAsia" w:ascii="仿宋" w:hAnsi="仿宋" w:eastAsia="仿宋" w:cs="仿宋"/>
          <w:sz w:val="31"/>
          <w:szCs w:val="31"/>
        </w:rPr>
        <w:t>年</w:t>
      </w:r>
      <w:r>
        <w:rPr>
          <w:rFonts w:hint="eastAsia" w:ascii="仿宋" w:hAnsi="仿宋" w:eastAsia="仿宋" w:cs="仿宋"/>
          <w:sz w:val="31"/>
          <w:szCs w:val="31"/>
          <w:lang w:val="en-US" w:eastAsia="zh-CN"/>
        </w:rPr>
        <w:t>6</w:t>
      </w:r>
      <w:r>
        <w:rPr>
          <w:rFonts w:hint="eastAsia" w:ascii="仿宋" w:hAnsi="仿宋" w:eastAsia="仿宋" w:cs="仿宋"/>
          <w:sz w:val="31"/>
          <w:szCs w:val="31"/>
        </w:rPr>
        <w:t>—</w:t>
      </w:r>
      <w:r>
        <w:rPr>
          <w:rFonts w:hint="eastAsia" w:ascii="仿宋" w:hAnsi="仿宋" w:eastAsia="仿宋" w:cs="仿宋"/>
          <w:sz w:val="31"/>
          <w:szCs w:val="31"/>
          <w:lang w:val="en-US" w:eastAsia="zh-CN"/>
        </w:rPr>
        <w:t>10</w:t>
      </w:r>
      <w:r>
        <w:rPr>
          <w:rFonts w:hint="eastAsia" w:ascii="仿宋" w:hAnsi="仿宋" w:eastAsia="仿宋" w:cs="仿宋"/>
          <w:sz w:val="31"/>
          <w:szCs w:val="31"/>
        </w:rPr>
        <w:t>月，各部门、乡镇按照项目实施任务，全面组织实施财政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资金项目建设，</w:t>
      </w:r>
      <w:r>
        <w:rPr>
          <w:rFonts w:hint="eastAsia" w:ascii="仿宋" w:hAnsi="仿宋" w:eastAsia="仿宋" w:cs="仿宋"/>
          <w:sz w:val="31"/>
          <w:szCs w:val="31"/>
          <w:lang w:val="en-US" w:eastAsia="zh-CN"/>
        </w:rPr>
        <w:t>10</w:t>
      </w:r>
      <w:r>
        <w:rPr>
          <w:rFonts w:hint="eastAsia" w:ascii="仿宋" w:hAnsi="仿宋" w:eastAsia="仿宋" w:cs="仿宋"/>
          <w:sz w:val="31"/>
          <w:szCs w:val="31"/>
        </w:rPr>
        <w:t>月份前达到验收条件；202</w:t>
      </w:r>
      <w:r>
        <w:rPr>
          <w:rFonts w:hint="eastAsia" w:ascii="仿宋" w:hAnsi="仿宋" w:eastAsia="仿宋" w:cs="仿宋"/>
          <w:sz w:val="31"/>
          <w:szCs w:val="31"/>
          <w:lang w:val="en-US" w:eastAsia="zh-CN"/>
        </w:rPr>
        <w:t>2</w:t>
      </w:r>
      <w:r>
        <w:rPr>
          <w:rFonts w:hint="eastAsia" w:ascii="仿宋" w:hAnsi="仿宋" w:eastAsia="仿宋" w:cs="仿宋"/>
          <w:sz w:val="31"/>
          <w:szCs w:val="31"/>
        </w:rPr>
        <w:t>年</w:t>
      </w:r>
      <w:r>
        <w:rPr>
          <w:rFonts w:hint="eastAsia" w:ascii="仿宋" w:hAnsi="仿宋" w:eastAsia="仿宋" w:cs="仿宋"/>
          <w:sz w:val="31"/>
          <w:szCs w:val="31"/>
          <w:lang w:val="en-US" w:eastAsia="zh-CN"/>
        </w:rPr>
        <w:t>11</w:t>
      </w:r>
      <w:r>
        <w:rPr>
          <w:rFonts w:hint="eastAsia" w:ascii="仿宋" w:hAnsi="仿宋" w:eastAsia="仿宋" w:cs="仿宋"/>
          <w:sz w:val="31"/>
          <w:szCs w:val="31"/>
        </w:rPr>
        <w:t>—12月，逐级开展自查、验收、决算报账等工作。</w:t>
      </w:r>
    </w:p>
    <w:p w14:paraId="72D7A572">
      <w:pPr>
        <w:keepNext w:val="0"/>
        <w:keepLines w:val="0"/>
        <w:pageBreakBefore w:val="0"/>
        <w:widowControl w:val="0"/>
        <w:kinsoku/>
        <w:wordWrap/>
        <w:overflowPunct/>
        <w:topLinePunct w:val="0"/>
        <w:autoSpaceDE/>
        <w:autoSpaceDN/>
        <w:bidi w:val="0"/>
        <w:adjustRightInd w:val="0"/>
        <w:snapToGrid w:val="0"/>
        <w:spacing w:line="570" w:lineRule="exact"/>
        <w:ind w:firstLine="622" w:firstLineChars="200"/>
        <w:jc w:val="both"/>
        <w:textAlignment w:val="auto"/>
        <w:rPr>
          <w:rFonts w:hint="eastAsia" w:ascii="仿宋" w:hAnsi="仿宋" w:eastAsia="仿宋" w:cs="仿宋"/>
          <w:b/>
          <w:bCs/>
          <w:sz w:val="31"/>
          <w:szCs w:val="31"/>
        </w:rPr>
      </w:pPr>
      <w:r>
        <w:rPr>
          <w:rFonts w:hint="eastAsia" w:ascii="仿宋" w:hAnsi="仿宋" w:eastAsia="仿宋" w:cs="仿宋"/>
          <w:b/>
          <w:bCs/>
          <w:sz w:val="31"/>
          <w:szCs w:val="31"/>
        </w:rPr>
        <w:t>3.分析评价申报内容是否与实际相符，申报目标是否合理可行。</w:t>
      </w:r>
    </w:p>
    <w:p w14:paraId="3F93C90B">
      <w:pPr>
        <w:keepNext w:val="0"/>
        <w:keepLines w:val="0"/>
        <w:pageBreakBefore w:val="0"/>
        <w:widowControl w:val="0"/>
        <w:kinsoku/>
        <w:wordWrap/>
        <w:overflowPunct/>
        <w:topLinePunct w:val="0"/>
        <w:autoSpaceDE/>
        <w:autoSpaceDN/>
        <w:bidi w:val="0"/>
        <w:adjustRightInd w:val="0"/>
        <w:snapToGrid w:val="0"/>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202</w:t>
      </w:r>
      <w:r>
        <w:rPr>
          <w:rFonts w:hint="eastAsia" w:ascii="仿宋" w:hAnsi="仿宋" w:eastAsia="仿宋" w:cs="仿宋"/>
          <w:sz w:val="31"/>
          <w:szCs w:val="31"/>
          <w:lang w:val="en-US" w:eastAsia="zh-CN"/>
        </w:rPr>
        <w:t>2</w:t>
      </w:r>
      <w:r>
        <w:rPr>
          <w:rFonts w:hint="eastAsia" w:ascii="仿宋" w:hAnsi="仿宋" w:eastAsia="仿宋" w:cs="仿宋"/>
          <w:sz w:val="31"/>
          <w:szCs w:val="31"/>
        </w:rPr>
        <w:t>年度财政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资金项目申报是按照</w:t>
      </w:r>
      <w:r>
        <w:rPr>
          <w:rFonts w:hint="eastAsia" w:ascii="仿宋" w:hAnsi="仿宋" w:eastAsia="仿宋" w:cs="仿宋"/>
          <w:sz w:val="31"/>
          <w:szCs w:val="31"/>
          <w:lang w:val="en-US" w:eastAsia="zh-CN"/>
        </w:rPr>
        <w:t>“四个不摘”原则，持续巩固提升脱贫地区产业，拓宽就业渠道，落实教育、医疗和社会保障等政策，把产业发展、道路提升改造、乡村振兴重点帮扶村扶持、村基础设施补差补短、监测对象帮扶等原则，</w:t>
      </w:r>
      <w:r>
        <w:rPr>
          <w:rFonts w:hint="eastAsia" w:ascii="仿宋" w:hAnsi="仿宋" w:eastAsia="仿宋" w:cs="仿宋"/>
          <w:sz w:val="31"/>
          <w:szCs w:val="31"/>
        </w:rPr>
        <w:t>对标补短，缺啥补啥，因村施策、因户施治申报的项目，内容与实际相符，申报目标合理可行。</w:t>
      </w:r>
    </w:p>
    <w:p w14:paraId="2DA03D49">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（三）项目自评步骤及方法。</w:t>
      </w:r>
    </w:p>
    <w:p w14:paraId="5C0B93B1">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rPr>
      </w:pPr>
      <w:r>
        <w:rPr>
          <w:rFonts w:hint="eastAsia" w:ascii="仿宋" w:hAnsi="仿宋" w:eastAsia="仿宋" w:cs="仿宋"/>
          <w:sz w:val="31"/>
          <w:szCs w:val="31"/>
        </w:rPr>
        <w:t>为做好财政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资金项目支出绩效自评，县乡村振兴局、县财政局及时召开会议对此项工作进行了安排部署，编制了</w:t>
      </w:r>
      <w:r>
        <w:rPr>
          <w:rFonts w:hint="eastAsia" w:ascii="仿宋" w:hAnsi="仿宋" w:eastAsia="仿宋" w:cs="仿宋"/>
          <w:sz w:val="31"/>
          <w:szCs w:val="31"/>
          <w:lang w:val="en-US" w:eastAsia="zh-CN"/>
        </w:rPr>
        <w:t>财政衔接资金</w:t>
      </w:r>
      <w:r>
        <w:rPr>
          <w:rFonts w:hint="eastAsia" w:ascii="仿宋" w:hAnsi="仿宋" w:eastAsia="仿宋" w:cs="仿宋"/>
          <w:sz w:val="31"/>
          <w:szCs w:val="31"/>
        </w:rPr>
        <w:t>项目资金绩效自评实施方案，联合抽调骨干力量，成立了由主要领导任组长、分管领导任副组长，相关业务股室人员为成员的绩效评价</w:t>
      </w:r>
      <w:r>
        <w:rPr>
          <w:rFonts w:hint="eastAsia" w:ascii="仿宋" w:hAnsi="仿宋" w:eastAsia="仿宋" w:cs="仿宋"/>
          <w:sz w:val="31"/>
          <w:szCs w:val="31"/>
          <w:lang w:val="en-US" w:eastAsia="zh-CN"/>
        </w:rPr>
        <w:t>工作专班</w:t>
      </w:r>
      <w:r>
        <w:rPr>
          <w:rFonts w:hint="eastAsia" w:ascii="仿宋" w:hAnsi="仿宋" w:eastAsia="仿宋" w:cs="仿宋"/>
          <w:sz w:val="31"/>
          <w:szCs w:val="31"/>
        </w:rPr>
        <w:t>，严格按照有关文件要求开展了202</w:t>
      </w:r>
      <w:r>
        <w:rPr>
          <w:rFonts w:hint="eastAsia" w:ascii="仿宋" w:hAnsi="仿宋" w:eastAsia="仿宋" w:cs="仿宋"/>
          <w:sz w:val="31"/>
          <w:szCs w:val="31"/>
          <w:lang w:val="en-US" w:eastAsia="zh-CN"/>
        </w:rPr>
        <w:t>2</w:t>
      </w:r>
      <w:r>
        <w:rPr>
          <w:rFonts w:hint="eastAsia" w:ascii="仿宋" w:hAnsi="仿宋" w:eastAsia="仿宋" w:cs="仿宋"/>
          <w:sz w:val="31"/>
          <w:szCs w:val="31"/>
        </w:rPr>
        <w:t>年度</w:t>
      </w:r>
      <w:r>
        <w:rPr>
          <w:rFonts w:hint="eastAsia" w:ascii="仿宋" w:hAnsi="仿宋" w:eastAsia="仿宋" w:cs="仿宋"/>
          <w:sz w:val="31"/>
          <w:szCs w:val="31"/>
          <w:lang w:val="en-US" w:eastAsia="zh-CN"/>
        </w:rPr>
        <w:t>财政衔接资金</w:t>
      </w:r>
      <w:r>
        <w:rPr>
          <w:rFonts w:hint="eastAsia" w:ascii="仿宋" w:hAnsi="仿宋" w:eastAsia="仿宋" w:cs="仿宋"/>
          <w:sz w:val="31"/>
          <w:szCs w:val="31"/>
        </w:rPr>
        <w:t>项目资金绩效自评工作。</w:t>
      </w:r>
    </w:p>
    <w:p w14:paraId="635686A1">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lang w:eastAsia="zh-CN"/>
        </w:rPr>
      </w:pPr>
      <w:r>
        <w:rPr>
          <w:rFonts w:hint="eastAsia" w:ascii="仿宋" w:hAnsi="仿宋" w:eastAsia="仿宋" w:cs="仿宋"/>
          <w:b/>
          <w:sz w:val="31"/>
          <w:szCs w:val="31"/>
          <w:lang w:val="en-US" w:eastAsia="zh-CN"/>
        </w:rPr>
        <w:t>1.</w:t>
      </w:r>
      <w:r>
        <w:rPr>
          <w:rFonts w:hint="eastAsia" w:ascii="仿宋" w:hAnsi="仿宋" w:eastAsia="仿宋" w:cs="仿宋"/>
          <w:b/>
          <w:sz w:val="31"/>
          <w:szCs w:val="31"/>
        </w:rPr>
        <w:t>自评依据</w:t>
      </w:r>
      <w:r>
        <w:rPr>
          <w:rFonts w:hint="eastAsia" w:ascii="仿宋" w:hAnsi="仿宋" w:eastAsia="仿宋" w:cs="仿宋"/>
          <w:b/>
          <w:sz w:val="31"/>
          <w:szCs w:val="31"/>
          <w:lang w:eastAsia="zh-CN"/>
        </w:rPr>
        <w:t>。</w:t>
      </w:r>
    </w:p>
    <w:p w14:paraId="24ED55D4">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_GB2312" w:cs="Times New Roman"/>
          <w:sz w:val="32"/>
          <w:szCs w:val="32"/>
        </w:rPr>
      </w:pPr>
      <w:r>
        <w:rPr>
          <w:rFonts w:hint="eastAsia" w:ascii="仿宋" w:hAnsi="仿宋" w:eastAsia="仿宋" w:cs="仿宋"/>
          <w:sz w:val="31"/>
          <w:szCs w:val="31"/>
        </w:rPr>
        <w:t>本次绩效评价按照</w:t>
      </w:r>
      <w:r>
        <w:rPr>
          <w:rFonts w:hint="eastAsia" w:ascii="仿宋" w:hAnsi="仿宋" w:eastAsia="仿宋" w:cs="仿宋"/>
          <w:sz w:val="31"/>
          <w:szCs w:val="31"/>
          <w:lang w:val="en-US" w:eastAsia="zh-CN"/>
        </w:rPr>
        <w:t>《攀枝花市财政局关于开展2023年度财政重点项目）（政策）支出绩效评价和部门整体支出绩效评价工作的通知》（攀财绩〔2023〕7号）</w:t>
      </w:r>
      <w:r>
        <w:rPr>
          <w:rFonts w:hint="eastAsia" w:ascii="仿宋" w:hAnsi="仿宋" w:eastAsia="仿宋" w:cs="仿宋"/>
          <w:kern w:val="0"/>
          <w:sz w:val="31"/>
          <w:szCs w:val="31"/>
        </w:rPr>
        <w:t>、</w:t>
      </w:r>
      <w:r>
        <w:rPr>
          <w:rFonts w:hint="eastAsia" w:ascii="仿宋" w:hAnsi="仿宋" w:eastAsia="仿宋" w:cs="仿宋"/>
          <w:color w:val="000000"/>
          <w:sz w:val="31"/>
          <w:szCs w:val="31"/>
        </w:rPr>
        <w:t>《攀枝花市财政局攀枝花市乡村振兴局攀枝花市农业农村局攀枝花市民族宗教事务委员会关于预下达2022年第一批市级财政衔接推进乡村振兴补助资金的通知》（攀财资农〔2022〕47号）</w:t>
      </w:r>
      <w:r>
        <w:rPr>
          <w:rFonts w:hint="eastAsia" w:ascii="仿宋" w:hAnsi="仿宋" w:eastAsia="仿宋" w:cs="仿宋"/>
          <w:color w:val="000000"/>
          <w:sz w:val="31"/>
          <w:szCs w:val="31"/>
          <w:lang w:val="en-US" w:eastAsia="zh-CN"/>
        </w:rPr>
        <w:t>、《攀枝花市财政局等四家单位关于下达2022年第一批市级财政衔接推进乡村振兴补助资金的通知》（</w:t>
      </w:r>
      <w:r>
        <w:rPr>
          <w:rFonts w:hint="eastAsia" w:ascii="仿宋" w:hAnsi="仿宋" w:eastAsia="仿宋" w:cs="仿宋"/>
          <w:color w:val="000000"/>
          <w:sz w:val="31"/>
          <w:szCs w:val="31"/>
        </w:rPr>
        <w:t>攀财资农〔2022〕</w:t>
      </w:r>
      <w:r>
        <w:rPr>
          <w:rFonts w:hint="eastAsia" w:ascii="仿宋" w:hAnsi="仿宋" w:eastAsia="仿宋" w:cs="仿宋"/>
          <w:color w:val="000000"/>
          <w:sz w:val="31"/>
          <w:szCs w:val="31"/>
          <w:lang w:val="en-US" w:eastAsia="zh-CN"/>
        </w:rPr>
        <w:t>65</w:t>
      </w:r>
      <w:r>
        <w:rPr>
          <w:rFonts w:hint="eastAsia" w:ascii="仿宋" w:hAnsi="仿宋" w:eastAsia="仿宋" w:cs="仿宋"/>
          <w:color w:val="000000"/>
          <w:sz w:val="31"/>
          <w:szCs w:val="31"/>
        </w:rPr>
        <w:t>号</w:t>
      </w:r>
      <w:r>
        <w:rPr>
          <w:rFonts w:hint="eastAsia" w:ascii="仿宋" w:hAnsi="仿宋" w:eastAsia="仿宋" w:cs="仿宋"/>
          <w:color w:val="000000"/>
          <w:sz w:val="31"/>
          <w:szCs w:val="31"/>
          <w:lang w:val="en-US" w:eastAsia="zh-CN"/>
        </w:rPr>
        <w:t>）、</w:t>
      </w:r>
      <w:r>
        <w:rPr>
          <w:rFonts w:hint="eastAsia" w:ascii="仿宋" w:hAnsi="仿宋" w:eastAsia="仿宋" w:cs="仿宋"/>
          <w:color w:val="000000"/>
          <w:sz w:val="31"/>
          <w:szCs w:val="31"/>
        </w:rPr>
        <w:t>《攀枝花市财政局攀枝花市乡村振兴局关于下达2022年第</w:t>
      </w:r>
      <w:r>
        <w:rPr>
          <w:rFonts w:hint="eastAsia" w:ascii="仿宋" w:hAnsi="仿宋" w:eastAsia="仿宋" w:cs="仿宋"/>
          <w:color w:val="000000"/>
          <w:sz w:val="31"/>
          <w:szCs w:val="31"/>
          <w:lang w:val="en-US" w:eastAsia="zh-CN"/>
        </w:rPr>
        <w:t>二</w:t>
      </w:r>
      <w:r>
        <w:rPr>
          <w:rFonts w:hint="eastAsia" w:ascii="仿宋" w:hAnsi="仿宋" w:eastAsia="仿宋" w:cs="仿宋"/>
          <w:color w:val="000000"/>
          <w:sz w:val="31"/>
          <w:szCs w:val="31"/>
        </w:rPr>
        <w:t>批市级财政衔接推进乡村振兴补助资金的通知》（攀财资农〔2022〕</w:t>
      </w:r>
      <w:r>
        <w:rPr>
          <w:rFonts w:hint="eastAsia" w:ascii="仿宋" w:hAnsi="仿宋" w:eastAsia="仿宋" w:cs="仿宋"/>
          <w:color w:val="000000"/>
          <w:sz w:val="31"/>
          <w:szCs w:val="31"/>
          <w:lang w:val="en-US" w:eastAsia="zh-CN"/>
        </w:rPr>
        <w:t>85</w:t>
      </w:r>
      <w:r>
        <w:rPr>
          <w:rFonts w:hint="eastAsia" w:ascii="仿宋" w:hAnsi="仿宋" w:eastAsia="仿宋" w:cs="仿宋"/>
          <w:color w:val="000000"/>
          <w:sz w:val="31"/>
          <w:szCs w:val="31"/>
        </w:rPr>
        <w:t>号）</w:t>
      </w:r>
      <w:r>
        <w:rPr>
          <w:rFonts w:hint="eastAsia" w:ascii="仿宋" w:hAnsi="仿宋" w:eastAsia="仿宋" w:cs="仿宋"/>
          <w:sz w:val="31"/>
          <w:szCs w:val="31"/>
        </w:rPr>
        <w:t>及攀枝花市出台的相应绩效管理办法和批复的绩效目标为评价依据</w:t>
      </w:r>
      <w:r>
        <w:rPr>
          <w:rFonts w:hint="default" w:ascii="Times New Roman" w:hAnsi="Times New Roman" w:eastAsia="仿宋_GB2312" w:cs="Times New Roman"/>
          <w:sz w:val="32"/>
          <w:szCs w:val="32"/>
        </w:rPr>
        <w:t>。</w:t>
      </w:r>
    </w:p>
    <w:p w14:paraId="5E4A0668">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_GB2312" w:cs="Times New Roman"/>
          <w:b/>
          <w:sz w:val="32"/>
          <w:szCs w:val="32"/>
          <w:lang w:eastAsia="zh-CN"/>
        </w:rPr>
      </w:pPr>
      <w:r>
        <w:rPr>
          <w:rFonts w:hint="default" w:ascii="Times New Roman" w:hAnsi="Times New Roman" w:cs="Times New Roman"/>
          <w:b/>
          <w:sz w:val="32"/>
          <w:szCs w:val="32"/>
          <w:lang w:val="en-US" w:eastAsia="zh-CN"/>
        </w:rPr>
        <w:t>2.</w:t>
      </w:r>
      <w:r>
        <w:rPr>
          <w:rFonts w:hint="default" w:ascii="Times New Roman" w:hAnsi="Times New Roman" w:eastAsia="仿宋_GB2312" w:cs="Times New Roman"/>
          <w:b/>
          <w:sz w:val="32"/>
          <w:szCs w:val="32"/>
        </w:rPr>
        <w:t>自评方式</w:t>
      </w:r>
      <w:r>
        <w:rPr>
          <w:rFonts w:hint="default" w:ascii="Times New Roman" w:hAnsi="Times New Roman" w:eastAsia="仿宋_GB2312" w:cs="Times New Roman"/>
          <w:b/>
          <w:sz w:val="32"/>
          <w:szCs w:val="32"/>
          <w:lang w:eastAsia="zh-CN"/>
        </w:rPr>
        <w:t>。</w:t>
      </w:r>
    </w:p>
    <w:p w14:paraId="3F97B5F4">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近年来，随着财政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资金绩效考评工作的深入开展，我县财政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资金管理使用绩效理念不断强化，财政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资金绩效评价机制不断完善，财政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资金管理使用机制模式</w:t>
      </w:r>
      <w:r>
        <w:rPr>
          <w:rFonts w:hint="eastAsia" w:ascii="仿宋" w:hAnsi="仿宋" w:eastAsia="仿宋" w:cs="仿宋"/>
          <w:sz w:val="31"/>
          <w:szCs w:val="31"/>
        </w:rPr>
        <w:t>不断创新，财政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资金使用效益不断提高，</w:t>
      </w:r>
      <w:r>
        <w:rPr>
          <w:rFonts w:hint="eastAsia" w:ascii="仿宋" w:hAnsi="仿宋" w:eastAsia="仿宋" w:cs="仿宋"/>
          <w:sz w:val="31"/>
          <w:szCs w:val="31"/>
          <w:lang w:val="en-US" w:eastAsia="zh-CN"/>
        </w:rPr>
        <w:t>为巩固拓展脱贫攻坚成果同乡村振兴有效衔接</w:t>
      </w:r>
      <w:r>
        <w:rPr>
          <w:rFonts w:hint="eastAsia" w:ascii="仿宋" w:hAnsi="仿宋" w:eastAsia="仿宋" w:cs="仿宋"/>
          <w:sz w:val="31"/>
          <w:szCs w:val="31"/>
        </w:rPr>
        <w:t>起到了重要的推动作用。县乡村振兴局、县财政局及时召开会议对此项工作进行了安排部署，编制了财政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资金项目资金绩效评价实施方案，联合抽调骨干力量，成立了由主要领导任组长、分管领导任副组长，相关业务股室人员为成员的财政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资金项目资金绩效评价</w:t>
      </w:r>
      <w:r>
        <w:rPr>
          <w:rFonts w:hint="eastAsia" w:ascii="仿宋" w:hAnsi="仿宋" w:eastAsia="仿宋" w:cs="仿宋"/>
          <w:sz w:val="31"/>
          <w:szCs w:val="31"/>
          <w:lang w:val="en-US" w:eastAsia="zh-CN"/>
        </w:rPr>
        <w:t>工作专班</w:t>
      </w:r>
      <w:r>
        <w:rPr>
          <w:rFonts w:hint="eastAsia" w:ascii="仿宋" w:hAnsi="仿宋" w:eastAsia="仿宋" w:cs="仿宋"/>
          <w:sz w:val="31"/>
          <w:szCs w:val="31"/>
        </w:rPr>
        <w:t>，严格按照有关文件要求，通过深入项目实施乡（镇）、县级有关部门，实地考察验证，认真按照</w:t>
      </w:r>
      <w:r>
        <w:rPr>
          <w:rFonts w:hint="eastAsia" w:ascii="仿宋" w:hAnsi="仿宋" w:eastAsia="仿宋" w:cs="仿宋"/>
          <w:sz w:val="31"/>
          <w:szCs w:val="31"/>
          <w:lang w:val="en-US" w:eastAsia="zh-CN"/>
        </w:rPr>
        <w:t>攀财绩〔2023〕7号</w:t>
      </w:r>
      <w:r>
        <w:rPr>
          <w:rFonts w:hint="eastAsia" w:ascii="仿宋" w:hAnsi="仿宋" w:eastAsia="仿宋" w:cs="仿宋"/>
          <w:sz w:val="31"/>
          <w:szCs w:val="31"/>
        </w:rPr>
        <w:t>要求，通过查账目、查档案、实地</w:t>
      </w:r>
      <w:r>
        <w:rPr>
          <w:rFonts w:hint="eastAsia" w:ascii="仿宋" w:hAnsi="仿宋" w:eastAsia="仿宋" w:cs="仿宋"/>
          <w:sz w:val="31"/>
          <w:szCs w:val="31"/>
          <w:lang w:val="en-US" w:eastAsia="zh-CN"/>
        </w:rPr>
        <w:t>核查</w:t>
      </w:r>
      <w:r>
        <w:rPr>
          <w:rFonts w:hint="eastAsia" w:ascii="仿宋" w:hAnsi="仿宋" w:eastAsia="仿宋" w:cs="仿宋"/>
          <w:sz w:val="31"/>
          <w:szCs w:val="31"/>
        </w:rPr>
        <w:t>验证、入户核实等方式，对我县202</w:t>
      </w:r>
      <w:r>
        <w:rPr>
          <w:rFonts w:hint="eastAsia" w:ascii="仿宋" w:hAnsi="仿宋" w:eastAsia="仿宋" w:cs="仿宋"/>
          <w:sz w:val="31"/>
          <w:szCs w:val="31"/>
          <w:lang w:val="en-US" w:eastAsia="zh-CN"/>
        </w:rPr>
        <w:t>2</w:t>
      </w:r>
      <w:r>
        <w:rPr>
          <w:rFonts w:hint="eastAsia" w:ascii="仿宋" w:hAnsi="仿宋" w:eastAsia="仿宋" w:cs="仿宋"/>
          <w:sz w:val="31"/>
          <w:szCs w:val="31"/>
        </w:rPr>
        <w:t>年度财政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资金安排、使用、管理情况以及成效进行全方位自查和自评并形成了自评报告</w:t>
      </w:r>
      <w:r>
        <w:rPr>
          <w:rFonts w:hint="default" w:ascii="Times New Roman" w:hAnsi="Times New Roman" w:eastAsia="仿宋_GB2312" w:cs="Times New Roman"/>
          <w:sz w:val="32"/>
          <w:szCs w:val="32"/>
        </w:rPr>
        <w:t>。</w:t>
      </w:r>
    </w:p>
    <w:p w14:paraId="6F64879C">
      <w:pPr>
        <w:keepNext w:val="0"/>
        <w:keepLines w:val="0"/>
        <w:widowControl/>
        <w:suppressLineNumbers w:val="0"/>
        <w:jc w:val="left"/>
        <w:rPr>
          <w:rFonts w:hint="eastAsia" w:ascii="仿宋" w:hAnsi="仿宋" w:eastAsia="仿宋" w:cs="仿宋"/>
        </w:rPr>
      </w:pPr>
    </w:p>
    <w:p w14:paraId="6A6F7A96">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val="0"/>
          <w:bCs/>
          <w:sz w:val="31"/>
          <w:szCs w:val="31"/>
        </w:rPr>
      </w:pPr>
      <w:r>
        <w:rPr>
          <w:rFonts w:hint="eastAsia" w:ascii="仿宋" w:hAnsi="仿宋" w:eastAsia="仿宋" w:cs="仿宋"/>
          <w:b w:val="0"/>
          <w:bCs/>
          <w:sz w:val="31"/>
          <w:szCs w:val="31"/>
        </w:rPr>
        <w:t>二、项目资金申报及使用情况</w:t>
      </w:r>
    </w:p>
    <w:p w14:paraId="37A3A3A8">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（一）项目资金申报及批复情况。</w:t>
      </w:r>
    </w:p>
    <w:p w14:paraId="19FB3F16">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color w:val="auto"/>
          <w:sz w:val="31"/>
          <w:szCs w:val="31"/>
        </w:rPr>
      </w:pPr>
      <w:r>
        <w:rPr>
          <w:rFonts w:hint="eastAsia" w:ascii="仿宋" w:hAnsi="仿宋" w:eastAsia="仿宋" w:cs="仿宋"/>
          <w:color w:val="auto"/>
          <w:sz w:val="31"/>
          <w:szCs w:val="31"/>
        </w:rPr>
        <w:t>严格按照“资金跟着项目走、项目跟着规划走、规划跟着需求走”的原则，在项目谋划时充分尊重群众意愿，要求各乡镇、村（社区）结合自身实际和资源禀赋情况，采取“自下而上”的规划方式，层层规划、级级把关，鼓励申报到人到户项目。优先支持监测对象、脱贫户发展产业增收致富；将到户产业奖补、小额信贷贴息、劳动技能培训、外出务工补贴、易地搬迁后扶、优势特色产业发展、发展壮大村集体经济等项目作为重点入库方向，提前谋划一批符合规划、切实可行的项目，优先申报实施群众需求强烈、联农带农机制紧密的项目。每年安排不低于250万元资金</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其中：市级资金不低于100万元</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用于支持全县5个乡村振兴重点帮扶村发展，确保衔接政策落实到位。</w:t>
      </w:r>
    </w:p>
    <w:p w14:paraId="67CAD8B5">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（二）资金计划、到位及使用情况。</w:t>
      </w:r>
    </w:p>
    <w:p w14:paraId="5671FA36">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rPr>
      </w:pPr>
      <w:r>
        <w:rPr>
          <w:rFonts w:hint="eastAsia" w:ascii="仿宋" w:hAnsi="仿宋" w:eastAsia="仿宋" w:cs="仿宋"/>
          <w:b/>
          <w:sz w:val="31"/>
          <w:szCs w:val="31"/>
        </w:rPr>
        <w:t>1.资金计划</w:t>
      </w:r>
    </w:p>
    <w:p w14:paraId="02BDFD7C">
      <w:pPr>
        <w:keepNext w:val="0"/>
        <w:keepLines w:val="0"/>
        <w:widowControl/>
        <w:suppressLineNumbers w:val="0"/>
        <w:ind w:firstLine="620" w:firstLineChars="20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我局2022年共计到位巩固拓展脱贫攻坚成果和乡村振兴任务资金7052.73万元，其中：中央资金603万元、省级资金4636万元，市级资金813.73万元、县级资金1000万元。围绕年度目标任务，按照衔接资金管理办法，根据我县资金规模，衔接资金分配下达用于产业发展、巩固三保障成果、就业帮扶、乡村建设行动、项目管理费、易地扶贫搬迁后扶、其他等七方面72个项目</w:t>
      </w:r>
    </w:p>
    <w:p w14:paraId="49FD4D02">
      <w:pPr>
        <w:keepNext w:val="0"/>
        <w:keepLines w:val="0"/>
        <w:pageBreakBefore w:val="0"/>
        <w:widowControl w:val="0"/>
        <w:numPr>
          <w:ilvl w:val="0"/>
          <w:numId w:val="11"/>
        </w:numPr>
        <w:kinsoku/>
        <w:wordWrap/>
        <w:overflowPunct/>
        <w:topLinePunct w:val="0"/>
        <w:bidi w:val="0"/>
        <w:snapToGrid/>
        <w:spacing w:line="570" w:lineRule="exact"/>
        <w:ind w:left="785" w:leftChars="0" w:firstLine="0" w:firstLineChars="0"/>
        <w:textAlignment w:val="auto"/>
        <w:rPr>
          <w:rFonts w:hint="eastAsia" w:ascii="仿宋" w:hAnsi="仿宋" w:eastAsia="仿宋" w:cs="仿宋"/>
          <w:b/>
          <w:sz w:val="31"/>
          <w:szCs w:val="31"/>
          <w:lang w:eastAsia="zh-CN"/>
        </w:rPr>
      </w:pPr>
      <w:r>
        <w:rPr>
          <w:rFonts w:hint="eastAsia" w:ascii="仿宋" w:hAnsi="仿宋" w:eastAsia="仿宋" w:cs="仿宋"/>
          <w:b/>
          <w:sz w:val="31"/>
          <w:szCs w:val="31"/>
        </w:rPr>
        <w:t>资金到位</w:t>
      </w:r>
      <w:r>
        <w:rPr>
          <w:rFonts w:hint="eastAsia" w:ascii="仿宋" w:hAnsi="仿宋" w:eastAsia="仿宋" w:cs="仿宋"/>
          <w:b/>
          <w:sz w:val="31"/>
          <w:szCs w:val="31"/>
          <w:lang w:eastAsia="zh-CN"/>
        </w:rPr>
        <w:t>。</w:t>
      </w:r>
    </w:p>
    <w:p w14:paraId="309ED089">
      <w:pPr>
        <w:keepNext w:val="0"/>
        <w:keepLines w:val="0"/>
        <w:pageBreakBefore w:val="0"/>
        <w:widowControl w:val="0"/>
        <w:numPr>
          <w:ilvl w:val="0"/>
          <w:numId w:val="0"/>
        </w:numPr>
        <w:kinsoku/>
        <w:wordWrap/>
        <w:overflowPunct/>
        <w:topLinePunct w:val="0"/>
        <w:bidi w:val="0"/>
        <w:snapToGrid/>
        <w:spacing w:line="570" w:lineRule="exact"/>
        <w:ind w:firstLine="620" w:firstLineChars="200"/>
        <w:textAlignment w:val="auto"/>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2022年共计到位巩固拓展脱贫攻坚成果和乡村振兴任务资金7052.73万元，其中：中央资金603万元、省级资金4636万元，市级资金813.73万元、县级资金1000万元。</w:t>
      </w:r>
      <w:r>
        <w:rPr>
          <w:rFonts w:hint="eastAsia" w:ascii="仿宋" w:hAnsi="仿宋" w:eastAsia="仿宋" w:cs="仿宋"/>
          <w:sz w:val="31"/>
          <w:szCs w:val="31"/>
        </w:rPr>
        <w:t>具体情况如下：</w:t>
      </w:r>
    </w:p>
    <w:p w14:paraId="1825D449">
      <w:pPr>
        <w:pStyle w:val="6"/>
        <w:keepNext w:val="0"/>
        <w:keepLines w:val="0"/>
        <w:pageBreakBefore w:val="0"/>
        <w:widowControl w:val="0"/>
        <w:numPr>
          <w:ilvl w:val="0"/>
          <w:numId w:val="0"/>
        </w:numPr>
        <w:kinsoku/>
        <w:wordWrap/>
        <w:overflowPunct/>
        <w:topLinePunct w:val="0"/>
        <w:bidi w:val="0"/>
        <w:spacing w:line="570" w:lineRule="exact"/>
        <w:ind w:firstLine="622" w:firstLineChars="200"/>
        <w:textAlignment w:val="auto"/>
        <w:rPr>
          <w:rFonts w:hint="eastAsia" w:ascii="仿宋" w:hAnsi="仿宋" w:eastAsia="仿宋" w:cs="仿宋"/>
          <w:b/>
          <w:sz w:val="31"/>
          <w:szCs w:val="31"/>
          <w:lang w:eastAsia="zh-CN"/>
        </w:rPr>
      </w:pPr>
    </w:p>
    <w:p w14:paraId="5E7FB640">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color w:val="000000"/>
          <w:sz w:val="31"/>
          <w:szCs w:val="31"/>
          <w:lang w:val="en-US" w:eastAsia="zh-CN"/>
        </w:rPr>
        <w:t>根据</w:t>
      </w:r>
      <w:r>
        <w:rPr>
          <w:rFonts w:hint="eastAsia" w:ascii="仿宋" w:hAnsi="仿宋" w:eastAsia="仿宋" w:cs="仿宋"/>
          <w:color w:val="000000"/>
          <w:sz w:val="31"/>
          <w:szCs w:val="31"/>
        </w:rPr>
        <w:t>攀枝花市财政局攀枝花市乡村振兴局攀枝花市农业农村局攀枝花市民族宗教事务委员会关于预下达2022年第一批市级财政衔接推进乡村振兴补助资金的通知》（攀财资农〔2022〕47号）</w:t>
      </w:r>
      <w:r>
        <w:rPr>
          <w:rFonts w:hint="eastAsia" w:ascii="仿宋" w:hAnsi="仿宋" w:eastAsia="仿宋" w:cs="仿宋"/>
          <w:color w:val="000000"/>
          <w:sz w:val="31"/>
          <w:szCs w:val="31"/>
          <w:lang w:eastAsia="zh-CN"/>
        </w:rPr>
        <w:t>、</w:t>
      </w:r>
      <w:r>
        <w:rPr>
          <w:rFonts w:hint="eastAsia" w:ascii="仿宋" w:hAnsi="仿宋" w:eastAsia="仿宋" w:cs="仿宋"/>
          <w:color w:val="000000"/>
          <w:sz w:val="31"/>
          <w:szCs w:val="31"/>
          <w:lang w:val="en-US" w:eastAsia="zh-CN"/>
        </w:rPr>
        <w:t>《攀枝花市财政局等四家单位关于下达2022年第一批市级财政衔接推进乡村振兴补助资金的通知》（</w:t>
      </w:r>
      <w:r>
        <w:rPr>
          <w:rFonts w:hint="eastAsia" w:ascii="仿宋" w:hAnsi="仿宋" w:eastAsia="仿宋" w:cs="仿宋"/>
          <w:color w:val="000000"/>
          <w:sz w:val="31"/>
          <w:szCs w:val="31"/>
        </w:rPr>
        <w:t>攀财资农〔2022〕</w:t>
      </w:r>
      <w:r>
        <w:rPr>
          <w:rFonts w:hint="eastAsia" w:ascii="仿宋" w:hAnsi="仿宋" w:eastAsia="仿宋" w:cs="仿宋"/>
          <w:color w:val="000000"/>
          <w:sz w:val="31"/>
          <w:szCs w:val="31"/>
          <w:lang w:val="en-US" w:eastAsia="zh-CN"/>
        </w:rPr>
        <w:t>65</w:t>
      </w:r>
      <w:r>
        <w:rPr>
          <w:rFonts w:hint="eastAsia" w:ascii="仿宋" w:hAnsi="仿宋" w:eastAsia="仿宋" w:cs="仿宋"/>
          <w:color w:val="000000"/>
          <w:sz w:val="31"/>
          <w:szCs w:val="31"/>
        </w:rPr>
        <w:t>号</w:t>
      </w:r>
      <w:r>
        <w:rPr>
          <w:rFonts w:hint="eastAsia" w:ascii="仿宋" w:hAnsi="仿宋" w:eastAsia="仿宋" w:cs="仿宋"/>
          <w:color w:val="000000"/>
          <w:sz w:val="31"/>
          <w:szCs w:val="31"/>
          <w:lang w:val="en-US" w:eastAsia="zh-CN"/>
        </w:rPr>
        <w:t>），下达盐边县2022年度第一批</w:t>
      </w:r>
      <w:r>
        <w:rPr>
          <w:rFonts w:hint="eastAsia" w:ascii="仿宋" w:hAnsi="仿宋" w:eastAsia="仿宋" w:cs="仿宋"/>
          <w:sz w:val="31"/>
          <w:szCs w:val="31"/>
        </w:rPr>
        <w:t>市级财政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w:t>
      </w:r>
      <w:r>
        <w:rPr>
          <w:rFonts w:hint="eastAsia" w:ascii="仿宋" w:hAnsi="仿宋" w:eastAsia="仿宋" w:cs="仿宋"/>
          <w:sz w:val="31"/>
          <w:szCs w:val="31"/>
          <w:lang w:val="en-US" w:eastAsia="zh-CN"/>
        </w:rPr>
        <w:t>713.73</w:t>
      </w:r>
      <w:r>
        <w:rPr>
          <w:rFonts w:hint="eastAsia" w:ascii="仿宋" w:hAnsi="仿宋" w:eastAsia="仿宋" w:cs="仿宋"/>
          <w:sz w:val="31"/>
          <w:szCs w:val="31"/>
        </w:rPr>
        <w:t>万元</w:t>
      </w:r>
      <w:r>
        <w:rPr>
          <w:rFonts w:hint="eastAsia" w:ascii="仿宋" w:hAnsi="仿宋" w:eastAsia="仿宋" w:cs="仿宋"/>
          <w:sz w:val="31"/>
          <w:szCs w:val="31"/>
          <w:lang w:eastAsia="zh-CN"/>
        </w:rPr>
        <w:t>，</w:t>
      </w:r>
      <w:r>
        <w:rPr>
          <w:rFonts w:hint="eastAsia" w:ascii="仿宋" w:hAnsi="仿宋" w:eastAsia="仿宋" w:cs="仿宋"/>
          <w:sz w:val="31"/>
          <w:szCs w:val="31"/>
        </w:rPr>
        <w:t>资金到位率100%。</w:t>
      </w:r>
    </w:p>
    <w:p w14:paraId="056535C8">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根据</w:t>
      </w:r>
      <w:r>
        <w:rPr>
          <w:rFonts w:hint="eastAsia" w:ascii="仿宋" w:hAnsi="仿宋" w:eastAsia="仿宋" w:cs="仿宋"/>
          <w:color w:val="000000"/>
          <w:sz w:val="31"/>
          <w:szCs w:val="31"/>
        </w:rPr>
        <w:t>《攀枝花市财政局攀枝花市乡村振兴局关于下达2022年第</w:t>
      </w:r>
      <w:r>
        <w:rPr>
          <w:rFonts w:hint="eastAsia" w:ascii="仿宋" w:hAnsi="仿宋" w:eastAsia="仿宋" w:cs="仿宋"/>
          <w:color w:val="000000"/>
          <w:sz w:val="31"/>
          <w:szCs w:val="31"/>
          <w:lang w:val="en-US" w:eastAsia="zh-CN"/>
        </w:rPr>
        <w:t>二</w:t>
      </w:r>
      <w:r>
        <w:rPr>
          <w:rFonts w:hint="eastAsia" w:ascii="仿宋" w:hAnsi="仿宋" w:eastAsia="仿宋" w:cs="仿宋"/>
          <w:color w:val="000000"/>
          <w:sz w:val="31"/>
          <w:szCs w:val="31"/>
        </w:rPr>
        <w:t>批市级财政衔接推进乡村振兴补助资金的通知》（攀财资农〔2022〕</w:t>
      </w:r>
      <w:r>
        <w:rPr>
          <w:rFonts w:hint="eastAsia" w:ascii="仿宋" w:hAnsi="仿宋" w:eastAsia="仿宋" w:cs="仿宋"/>
          <w:color w:val="000000"/>
          <w:sz w:val="31"/>
          <w:szCs w:val="31"/>
          <w:lang w:val="en-US" w:eastAsia="zh-CN"/>
        </w:rPr>
        <w:t>85</w:t>
      </w:r>
      <w:r>
        <w:rPr>
          <w:rFonts w:hint="eastAsia" w:ascii="仿宋" w:hAnsi="仿宋" w:eastAsia="仿宋" w:cs="仿宋"/>
          <w:color w:val="000000"/>
          <w:sz w:val="31"/>
          <w:szCs w:val="31"/>
        </w:rPr>
        <w:t>号）</w:t>
      </w:r>
      <w:r>
        <w:rPr>
          <w:rFonts w:hint="eastAsia" w:ascii="仿宋" w:hAnsi="仿宋" w:eastAsia="仿宋" w:cs="仿宋"/>
          <w:color w:val="000000"/>
          <w:sz w:val="31"/>
          <w:szCs w:val="31"/>
          <w:lang w:eastAsia="zh-CN"/>
        </w:rPr>
        <w:t>，</w:t>
      </w:r>
      <w:r>
        <w:rPr>
          <w:rFonts w:hint="eastAsia" w:ascii="仿宋" w:hAnsi="仿宋" w:eastAsia="仿宋" w:cs="仿宋"/>
          <w:color w:val="000000"/>
          <w:sz w:val="31"/>
          <w:szCs w:val="31"/>
          <w:lang w:val="en-US" w:eastAsia="zh-CN"/>
        </w:rPr>
        <w:t>下达盐边县</w:t>
      </w:r>
      <w:r>
        <w:rPr>
          <w:rFonts w:hint="eastAsia" w:ascii="仿宋" w:hAnsi="仿宋" w:eastAsia="仿宋" w:cs="仿宋"/>
          <w:sz w:val="31"/>
          <w:szCs w:val="31"/>
        </w:rPr>
        <w:t>第二批市级财政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资金项目总投资</w:t>
      </w:r>
      <w:r>
        <w:rPr>
          <w:rFonts w:hint="eastAsia" w:ascii="仿宋" w:hAnsi="仿宋" w:eastAsia="仿宋" w:cs="仿宋"/>
          <w:sz w:val="31"/>
          <w:szCs w:val="31"/>
          <w:lang w:val="en-US" w:eastAsia="zh-CN"/>
        </w:rPr>
        <w:t>100</w:t>
      </w:r>
      <w:r>
        <w:rPr>
          <w:rFonts w:hint="eastAsia" w:ascii="仿宋" w:hAnsi="仿宋" w:eastAsia="仿宋" w:cs="仿宋"/>
          <w:sz w:val="31"/>
          <w:szCs w:val="31"/>
        </w:rPr>
        <w:t>万元</w:t>
      </w:r>
      <w:r>
        <w:rPr>
          <w:rFonts w:hint="eastAsia" w:ascii="仿宋" w:hAnsi="仿宋" w:eastAsia="仿宋" w:cs="仿宋"/>
          <w:sz w:val="31"/>
          <w:szCs w:val="31"/>
          <w:lang w:eastAsia="zh-CN"/>
        </w:rPr>
        <w:t>，</w:t>
      </w:r>
      <w:r>
        <w:rPr>
          <w:rFonts w:hint="eastAsia" w:ascii="仿宋" w:hAnsi="仿宋" w:eastAsia="仿宋" w:cs="仿宋"/>
          <w:sz w:val="31"/>
          <w:szCs w:val="31"/>
        </w:rPr>
        <w:t>资金到位率100%。</w:t>
      </w:r>
    </w:p>
    <w:p w14:paraId="2F531B10">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sz w:val="31"/>
          <w:szCs w:val="31"/>
          <w:lang w:eastAsia="zh-CN"/>
        </w:rPr>
        <w:t>根据川财农〔2021〕162号</w:t>
      </w:r>
      <w:r>
        <w:rPr>
          <w:rFonts w:hint="eastAsia" w:ascii="仿宋" w:hAnsi="仿宋" w:eastAsia="仿宋" w:cs="仿宋"/>
          <w:sz w:val="31"/>
          <w:szCs w:val="31"/>
          <w:lang w:val="en-US" w:eastAsia="zh-CN"/>
        </w:rPr>
        <w:t>提前下达2022年中央和省级财政衔接推进乡村振兴补助资金5239万元，</w:t>
      </w:r>
      <w:r>
        <w:rPr>
          <w:rFonts w:hint="eastAsia" w:ascii="仿宋" w:hAnsi="仿宋" w:eastAsia="仿宋" w:cs="仿宋"/>
          <w:sz w:val="31"/>
          <w:szCs w:val="31"/>
        </w:rPr>
        <w:t>资金到位率100%。</w:t>
      </w:r>
    </w:p>
    <w:p w14:paraId="6292DCCA">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sz w:val="31"/>
          <w:szCs w:val="31"/>
          <w:lang w:eastAsia="zh-CN"/>
        </w:rPr>
        <w:t>根据盐财资农〔2022〕13号</w:t>
      </w:r>
      <w:r>
        <w:rPr>
          <w:rFonts w:hint="eastAsia" w:ascii="仿宋" w:hAnsi="仿宋" w:eastAsia="仿宋" w:cs="仿宋"/>
          <w:sz w:val="31"/>
          <w:szCs w:val="31"/>
          <w:lang w:val="en-US" w:eastAsia="zh-CN"/>
        </w:rPr>
        <w:t>下达县级财政专项巩固拓展脱贫攻坚成果同乡村振兴有效衔接资金1000万元，</w:t>
      </w:r>
      <w:r>
        <w:rPr>
          <w:rFonts w:hint="eastAsia" w:ascii="仿宋" w:hAnsi="仿宋" w:eastAsia="仿宋" w:cs="仿宋"/>
          <w:sz w:val="31"/>
          <w:szCs w:val="31"/>
        </w:rPr>
        <w:t>资金到位率100%。</w:t>
      </w:r>
    </w:p>
    <w:p w14:paraId="45A54001">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lang w:eastAsia="zh-CN"/>
        </w:rPr>
      </w:pPr>
      <w:r>
        <w:rPr>
          <w:rFonts w:hint="eastAsia" w:ascii="仿宋" w:hAnsi="仿宋" w:eastAsia="仿宋" w:cs="仿宋"/>
          <w:b/>
          <w:sz w:val="31"/>
          <w:szCs w:val="31"/>
        </w:rPr>
        <w:t>3.资金使用</w:t>
      </w:r>
      <w:r>
        <w:rPr>
          <w:rFonts w:hint="eastAsia" w:ascii="仿宋" w:hAnsi="仿宋" w:eastAsia="仿宋" w:cs="仿宋"/>
          <w:b/>
          <w:sz w:val="31"/>
          <w:szCs w:val="31"/>
          <w:lang w:eastAsia="zh-CN"/>
        </w:rPr>
        <w:t>。</w:t>
      </w:r>
    </w:p>
    <w:p w14:paraId="6C083020">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lang w:eastAsia="zh-CN"/>
        </w:rPr>
      </w:pPr>
      <w:r>
        <w:rPr>
          <w:rFonts w:hint="eastAsia" w:ascii="仿宋" w:hAnsi="仿宋" w:eastAsia="仿宋" w:cs="仿宋"/>
          <w:sz w:val="31"/>
          <w:szCs w:val="31"/>
          <w:lang w:val="en-US" w:eastAsia="zh-CN"/>
        </w:rPr>
        <w:t>按照县委、县政府审定的《盐边县2022年度第二批财政衔接推进乡村振兴补助资金项目实施方</w:t>
      </w:r>
      <w:r>
        <w:rPr>
          <w:rFonts w:hint="eastAsia" w:ascii="仿宋" w:hAnsi="仿宋" w:eastAsia="仿宋" w:cs="仿宋"/>
          <w:b w:val="0"/>
          <w:bCs w:val="0"/>
          <w:kern w:val="0"/>
          <w:sz w:val="31"/>
          <w:szCs w:val="31"/>
          <w:highlight w:val="none"/>
          <w:lang w:val="en-US" w:eastAsia="zh-CN" w:bidi="ar"/>
        </w:rPr>
        <w:t>案</w:t>
      </w:r>
      <w:r>
        <w:rPr>
          <w:rFonts w:hint="eastAsia" w:ascii="仿宋" w:hAnsi="仿宋" w:eastAsia="仿宋" w:cs="仿宋"/>
          <w:b w:val="0"/>
          <w:bCs w:val="0"/>
          <w:color w:val="000000"/>
          <w:kern w:val="0"/>
          <w:sz w:val="31"/>
          <w:szCs w:val="31"/>
          <w:lang w:val="en-US" w:eastAsia="zh-CN" w:bidi="ar"/>
        </w:rPr>
        <w:t>》</w:t>
      </w:r>
      <w:r>
        <w:rPr>
          <w:rFonts w:hint="eastAsia" w:ascii="仿宋" w:hAnsi="仿宋" w:eastAsia="仿宋" w:cs="仿宋"/>
          <w:sz w:val="31"/>
          <w:szCs w:val="31"/>
        </w:rPr>
        <w:t>、盐边县</w:t>
      </w:r>
      <w:r>
        <w:rPr>
          <w:rFonts w:hint="eastAsia" w:ascii="仿宋" w:hAnsi="仿宋" w:eastAsia="仿宋" w:cs="仿宋"/>
          <w:sz w:val="31"/>
          <w:szCs w:val="31"/>
          <w:lang w:val="en-US" w:eastAsia="zh-CN"/>
        </w:rPr>
        <w:t>巩固拓展脱贫攻坚成果和乡村振兴项目库建设录入数据及项目实施所需资金安排使用的。财政衔接资金严格按照财政衔接资金管理办法执行资金专项用于巩固拓展脱贫攻坚成果同乡村振兴有效衔接项目</w:t>
      </w:r>
      <w:r>
        <w:rPr>
          <w:rFonts w:hint="eastAsia" w:ascii="仿宋" w:hAnsi="仿宋" w:eastAsia="仿宋" w:cs="仿宋"/>
          <w:sz w:val="31"/>
          <w:szCs w:val="31"/>
        </w:rPr>
        <w:t>。按照</w:t>
      </w:r>
      <w:r>
        <w:rPr>
          <w:rFonts w:hint="eastAsia" w:ascii="仿宋" w:hAnsi="仿宋" w:eastAsia="仿宋" w:cs="仿宋"/>
          <w:sz w:val="31"/>
          <w:szCs w:val="31"/>
          <w:lang w:val="en-US" w:eastAsia="zh-CN"/>
        </w:rPr>
        <w:t>公告公示办法对</w:t>
      </w:r>
      <w:r>
        <w:rPr>
          <w:rFonts w:hint="eastAsia" w:ascii="仿宋" w:hAnsi="仿宋" w:eastAsia="仿宋" w:cs="仿宋"/>
          <w:sz w:val="31"/>
          <w:szCs w:val="31"/>
        </w:rPr>
        <w:t>项目计划安排情况、</w:t>
      </w:r>
      <w:r>
        <w:rPr>
          <w:rFonts w:hint="eastAsia" w:ascii="仿宋" w:hAnsi="仿宋" w:eastAsia="仿宋" w:cs="仿宋"/>
          <w:sz w:val="31"/>
          <w:szCs w:val="31"/>
          <w:lang w:val="en-US" w:eastAsia="zh-CN"/>
        </w:rPr>
        <w:t>项目实际</w:t>
      </w:r>
      <w:r>
        <w:rPr>
          <w:rFonts w:hint="eastAsia" w:ascii="仿宋" w:hAnsi="仿宋" w:eastAsia="仿宋" w:cs="仿宋"/>
          <w:sz w:val="31"/>
          <w:szCs w:val="31"/>
        </w:rPr>
        <w:t>完成情况进行公告公示，做到公开、公正、透明，接受村民监督。</w:t>
      </w:r>
    </w:p>
    <w:p w14:paraId="348646B6">
      <w:pPr>
        <w:spacing w:before="179" w:line="334" w:lineRule="auto"/>
        <w:ind w:left="2" w:firstLine="650"/>
        <w:rPr>
          <w:rFonts w:hint="eastAsia" w:ascii="仿宋" w:hAnsi="仿宋" w:eastAsia="仿宋" w:cs="仿宋"/>
          <w:sz w:val="31"/>
          <w:szCs w:val="31"/>
        </w:rPr>
      </w:pPr>
      <w:r>
        <w:rPr>
          <w:rFonts w:hint="eastAsia" w:ascii="仿宋" w:hAnsi="仿宋" w:eastAsia="仿宋" w:cs="仿宋"/>
          <w:spacing w:val="8"/>
          <w:sz w:val="31"/>
          <w:szCs w:val="31"/>
        </w:rPr>
        <w:t>盐</w:t>
      </w:r>
      <w:r>
        <w:rPr>
          <w:rFonts w:hint="eastAsia" w:ascii="仿宋" w:hAnsi="仿宋" w:eastAsia="仿宋" w:cs="仿宋"/>
          <w:spacing w:val="4"/>
          <w:sz w:val="31"/>
          <w:szCs w:val="31"/>
        </w:rPr>
        <w:t>边县2021年共计到位各级财政衔接推进乡村振兴补助资</w:t>
      </w:r>
      <w:r>
        <w:rPr>
          <w:rFonts w:hint="eastAsia" w:ascii="仿宋" w:hAnsi="仿宋" w:eastAsia="仿宋" w:cs="仿宋"/>
          <w:spacing w:val="10"/>
          <w:sz w:val="31"/>
          <w:szCs w:val="31"/>
        </w:rPr>
        <w:t>金</w:t>
      </w:r>
      <w:r>
        <w:rPr>
          <w:rFonts w:hint="eastAsia" w:ascii="仿宋" w:hAnsi="仿宋" w:eastAsia="仿宋" w:cs="仿宋"/>
          <w:spacing w:val="10"/>
          <w:sz w:val="31"/>
          <w:szCs w:val="31"/>
          <w:lang w:eastAsia="zh-CN"/>
        </w:rPr>
        <w:t>（</w:t>
      </w:r>
      <w:r>
        <w:rPr>
          <w:rFonts w:hint="eastAsia" w:ascii="仿宋" w:hAnsi="仿宋" w:eastAsia="仿宋" w:cs="仿宋"/>
          <w:spacing w:val="5"/>
          <w:sz w:val="31"/>
          <w:szCs w:val="31"/>
        </w:rPr>
        <w:t>巩固拓展脱贫攻坚成果和乡村振兴任务</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rPr>
        <w:t>7052.73万元，其</w:t>
      </w:r>
      <w:r>
        <w:rPr>
          <w:rFonts w:hint="eastAsia" w:ascii="仿宋" w:hAnsi="仿宋" w:eastAsia="仿宋" w:cs="仿宋"/>
          <w:spacing w:val="-18"/>
          <w:sz w:val="31"/>
          <w:szCs w:val="31"/>
        </w:rPr>
        <w:t>中</w:t>
      </w:r>
      <w:r>
        <w:rPr>
          <w:rFonts w:hint="eastAsia" w:ascii="仿宋" w:hAnsi="仿宋" w:eastAsia="仿宋" w:cs="仿宋"/>
          <w:spacing w:val="-9"/>
          <w:sz w:val="31"/>
          <w:szCs w:val="31"/>
        </w:rPr>
        <w:t>：中央资金603万元、省级资金4636万元，市级资金813.73</w:t>
      </w:r>
      <w:r>
        <w:rPr>
          <w:rFonts w:hint="eastAsia" w:ascii="仿宋" w:hAnsi="仿宋" w:eastAsia="仿宋" w:cs="仿宋"/>
          <w:spacing w:val="-1"/>
          <w:sz w:val="31"/>
          <w:szCs w:val="31"/>
        </w:rPr>
        <w:t>万</w:t>
      </w:r>
      <w:r>
        <w:rPr>
          <w:rFonts w:hint="eastAsia" w:ascii="仿宋" w:hAnsi="仿宋" w:eastAsia="仿宋" w:cs="仿宋"/>
          <w:sz w:val="31"/>
          <w:szCs w:val="31"/>
        </w:rPr>
        <w:t>元、县级资金1000万元</w:t>
      </w:r>
      <w:r>
        <w:rPr>
          <w:rFonts w:hint="eastAsia" w:ascii="仿宋" w:hAnsi="仿宋" w:eastAsia="仿宋" w:cs="仿宋"/>
          <w:sz w:val="31"/>
          <w:szCs w:val="31"/>
          <w:lang w:eastAsia="zh-CN"/>
        </w:rPr>
        <w:t>）</w:t>
      </w:r>
      <w:r>
        <w:rPr>
          <w:rFonts w:hint="eastAsia" w:ascii="仿宋" w:hAnsi="仿宋" w:eastAsia="仿宋" w:cs="仿宋"/>
          <w:sz w:val="31"/>
          <w:szCs w:val="31"/>
        </w:rPr>
        <w:t>。围绕年度目标任务，按照衔接资金</w:t>
      </w:r>
      <w:r>
        <w:rPr>
          <w:rFonts w:hint="eastAsia" w:ascii="仿宋" w:hAnsi="仿宋" w:eastAsia="仿宋" w:cs="仿宋"/>
          <w:spacing w:val="10"/>
          <w:sz w:val="31"/>
          <w:szCs w:val="31"/>
        </w:rPr>
        <w:t>管理</w:t>
      </w:r>
      <w:r>
        <w:rPr>
          <w:rFonts w:hint="eastAsia" w:ascii="仿宋" w:hAnsi="仿宋" w:eastAsia="仿宋" w:cs="仿宋"/>
          <w:spacing w:val="7"/>
          <w:sz w:val="31"/>
          <w:szCs w:val="31"/>
        </w:rPr>
        <w:t>办</w:t>
      </w:r>
      <w:r>
        <w:rPr>
          <w:rFonts w:hint="eastAsia" w:ascii="仿宋" w:hAnsi="仿宋" w:eastAsia="仿宋" w:cs="仿宋"/>
          <w:spacing w:val="5"/>
          <w:sz w:val="31"/>
          <w:szCs w:val="31"/>
        </w:rPr>
        <w:t>法，根据我县资金规模，衔接资金分配</w:t>
      </w:r>
      <w:r>
        <w:rPr>
          <w:rFonts w:hint="eastAsia" w:ascii="仿宋" w:hAnsi="仿宋" w:eastAsia="仿宋" w:cs="仿宋"/>
          <w:spacing w:val="5"/>
          <w:sz w:val="31"/>
          <w:szCs w:val="31"/>
          <w:lang w:eastAsia="zh-CN"/>
        </w:rPr>
        <w:t>下达</w:t>
      </w:r>
      <w:r>
        <w:rPr>
          <w:rFonts w:hint="eastAsia" w:ascii="仿宋" w:hAnsi="仿宋" w:eastAsia="仿宋" w:cs="仿宋"/>
          <w:spacing w:val="5"/>
          <w:sz w:val="31"/>
          <w:szCs w:val="31"/>
        </w:rPr>
        <w:t>用于产业</w:t>
      </w:r>
      <w:r>
        <w:rPr>
          <w:rFonts w:hint="eastAsia" w:ascii="仿宋" w:hAnsi="仿宋" w:eastAsia="仿宋" w:cs="仿宋"/>
          <w:spacing w:val="-4"/>
          <w:sz w:val="31"/>
          <w:szCs w:val="31"/>
        </w:rPr>
        <w:t>发</w:t>
      </w:r>
      <w:r>
        <w:rPr>
          <w:rFonts w:hint="eastAsia" w:ascii="仿宋" w:hAnsi="仿宋" w:eastAsia="仿宋" w:cs="仿宋"/>
          <w:spacing w:val="-2"/>
          <w:sz w:val="31"/>
          <w:szCs w:val="31"/>
        </w:rPr>
        <w:t>展、巩固三保障成果、就业帮扶、乡村建设行动、项目管理费、</w:t>
      </w:r>
      <w:r>
        <w:rPr>
          <w:rFonts w:hint="eastAsia" w:ascii="仿宋" w:hAnsi="仿宋" w:eastAsia="仿宋" w:cs="仿宋"/>
          <w:spacing w:val="8"/>
          <w:sz w:val="31"/>
          <w:szCs w:val="31"/>
        </w:rPr>
        <w:t>易地扶贫</w:t>
      </w:r>
      <w:r>
        <w:rPr>
          <w:rFonts w:hint="eastAsia" w:ascii="仿宋" w:hAnsi="仿宋" w:eastAsia="仿宋" w:cs="仿宋"/>
          <w:spacing w:val="4"/>
          <w:sz w:val="31"/>
          <w:szCs w:val="31"/>
        </w:rPr>
        <w:t>搬迁后扶、其他等七方面72个项目。</w:t>
      </w:r>
      <w:r>
        <w:rPr>
          <w:rFonts w:hint="eastAsia" w:ascii="仿宋" w:hAnsi="仿宋" w:eastAsia="仿宋" w:cs="仿宋"/>
          <w:spacing w:val="4"/>
          <w:sz w:val="31"/>
          <w:szCs w:val="31"/>
          <w:lang w:eastAsia="zh-CN"/>
        </w:rPr>
        <w:t>截至</w:t>
      </w:r>
      <w:r>
        <w:rPr>
          <w:rFonts w:hint="eastAsia" w:ascii="仿宋" w:hAnsi="仿宋" w:eastAsia="仿宋" w:cs="仿宋"/>
          <w:spacing w:val="4"/>
          <w:sz w:val="31"/>
          <w:szCs w:val="31"/>
        </w:rPr>
        <w:t>2022年12</w:t>
      </w:r>
      <w:r>
        <w:rPr>
          <w:rFonts w:hint="eastAsia" w:ascii="仿宋" w:hAnsi="仿宋" w:eastAsia="仿宋" w:cs="仿宋"/>
          <w:spacing w:val="-7"/>
          <w:sz w:val="31"/>
          <w:szCs w:val="31"/>
        </w:rPr>
        <w:t>月30日，资金已支出6752.56万元，年度实际结转结余资金300.1</w:t>
      </w:r>
      <w:r>
        <w:rPr>
          <w:rFonts w:hint="eastAsia" w:ascii="仿宋" w:hAnsi="仿宋" w:eastAsia="仿宋" w:cs="仿宋"/>
          <w:spacing w:val="-4"/>
          <w:sz w:val="31"/>
          <w:szCs w:val="31"/>
        </w:rPr>
        <w:t>7</w:t>
      </w:r>
      <w:r>
        <w:rPr>
          <w:rFonts w:hint="eastAsia" w:ascii="仿宋" w:hAnsi="仿宋" w:eastAsia="仿宋" w:cs="仿宋"/>
          <w:spacing w:val="-16"/>
          <w:sz w:val="31"/>
          <w:szCs w:val="31"/>
        </w:rPr>
        <w:t>万元</w:t>
      </w:r>
      <w:r>
        <w:rPr>
          <w:rFonts w:hint="eastAsia" w:ascii="仿宋" w:hAnsi="仿宋" w:eastAsia="仿宋" w:cs="仿宋"/>
          <w:spacing w:val="-16"/>
          <w:sz w:val="31"/>
          <w:szCs w:val="31"/>
          <w:lang w:eastAsia="zh-CN"/>
        </w:rPr>
        <w:t>（</w:t>
      </w:r>
      <w:r>
        <w:rPr>
          <w:rFonts w:hint="eastAsia" w:ascii="仿宋" w:hAnsi="仿宋" w:eastAsia="仿宋" w:cs="仿宋"/>
          <w:spacing w:val="-8"/>
          <w:sz w:val="31"/>
          <w:szCs w:val="31"/>
        </w:rPr>
        <w:t>含质保金130.24458万元</w:t>
      </w:r>
      <w:r>
        <w:rPr>
          <w:rFonts w:hint="eastAsia" w:ascii="仿宋" w:hAnsi="仿宋" w:eastAsia="仿宋" w:cs="仿宋"/>
          <w:spacing w:val="-8"/>
          <w:sz w:val="31"/>
          <w:szCs w:val="31"/>
          <w:lang w:eastAsia="zh-CN"/>
        </w:rPr>
        <w:t>）</w:t>
      </w:r>
      <w:r>
        <w:rPr>
          <w:rFonts w:hint="eastAsia" w:ascii="仿宋" w:hAnsi="仿宋" w:eastAsia="仿宋" w:cs="仿宋"/>
          <w:spacing w:val="-8"/>
          <w:sz w:val="31"/>
          <w:szCs w:val="31"/>
        </w:rPr>
        <w:t>，资金实际支出进度为97.59%。</w:t>
      </w:r>
      <w:r>
        <w:rPr>
          <w:rFonts w:hint="eastAsia" w:ascii="仿宋" w:hAnsi="仿宋" w:eastAsia="仿宋" w:cs="仿宋"/>
          <w:spacing w:val="16"/>
          <w:sz w:val="31"/>
          <w:szCs w:val="31"/>
        </w:rPr>
        <w:t>项</w:t>
      </w:r>
      <w:r>
        <w:rPr>
          <w:rFonts w:hint="eastAsia" w:ascii="仿宋" w:hAnsi="仿宋" w:eastAsia="仿宋" w:cs="仿宋"/>
          <w:spacing w:val="11"/>
          <w:sz w:val="31"/>
          <w:szCs w:val="31"/>
        </w:rPr>
        <w:t>目</w:t>
      </w:r>
      <w:r>
        <w:rPr>
          <w:rFonts w:hint="eastAsia" w:ascii="仿宋" w:hAnsi="仿宋" w:eastAsia="仿宋" w:cs="仿宋"/>
          <w:spacing w:val="8"/>
          <w:sz w:val="31"/>
          <w:szCs w:val="31"/>
        </w:rPr>
        <w:t>已全部实施完成并开展县级验收。</w:t>
      </w:r>
    </w:p>
    <w:p w14:paraId="2C5E8D26">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（三）项目财务管理情况。</w:t>
      </w:r>
    </w:p>
    <w:p w14:paraId="59B8FB4A">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rPr>
      </w:pPr>
      <w:r>
        <w:rPr>
          <w:rFonts w:hint="eastAsia" w:ascii="仿宋" w:hAnsi="仿宋" w:eastAsia="仿宋" w:cs="仿宋"/>
          <w:sz w:val="31"/>
          <w:szCs w:val="31"/>
        </w:rPr>
        <w:t>项目资金严格按照《攀枝花市财政局</w:t>
      </w:r>
      <w:r>
        <w:rPr>
          <w:rFonts w:hint="eastAsia" w:ascii="仿宋" w:hAnsi="仿宋" w:eastAsia="仿宋" w:cs="仿宋"/>
          <w:sz w:val="31"/>
          <w:szCs w:val="31"/>
          <w:lang w:val="en-US" w:eastAsia="zh-CN"/>
        </w:rPr>
        <w:t>等七家单位</w:t>
      </w:r>
      <w:r>
        <w:rPr>
          <w:rFonts w:hint="eastAsia" w:ascii="仿宋" w:hAnsi="仿宋" w:eastAsia="仿宋" w:cs="仿宋"/>
          <w:sz w:val="31"/>
          <w:szCs w:val="31"/>
        </w:rPr>
        <w:t>关于印发〈攀枝花市财政衔接推进乡村振兴补助资金管理办法〉的通知》</w:t>
      </w:r>
      <w:r>
        <w:rPr>
          <w:rFonts w:hint="eastAsia" w:ascii="仿宋" w:hAnsi="仿宋" w:eastAsia="仿宋" w:cs="仿宋"/>
          <w:sz w:val="31"/>
          <w:szCs w:val="31"/>
          <w:lang w:eastAsia="zh-CN"/>
        </w:rPr>
        <w:t>（攀财农〔2021〕28号）</w:t>
      </w:r>
      <w:r>
        <w:rPr>
          <w:rFonts w:hint="eastAsia" w:ascii="仿宋" w:hAnsi="仿宋" w:eastAsia="仿宋" w:cs="仿宋"/>
          <w:sz w:val="31"/>
          <w:szCs w:val="31"/>
        </w:rPr>
        <w:t>、《盐边县财政局盐边县乡村振兴局关于印发〈盐边县财政衔接推进乡村振兴补助资金使用管理实施细则〉的通知》（盐财</w:t>
      </w:r>
      <w:r>
        <w:rPr>
          <w:rFonts w:hint="eastAsia" w:ascii="仿宋" w:hAnsi="仿宋" w:eastAsia="仿宋" w:cs="仿宋"/>
          <w:sz w:val="31"/>
          <w:szCs w:val="31"/>
          <w:lang w:val="en-US" w:eastAsia="zh-CN"/>
        </w:rPr>
        <w:t>农</w:t>
      </w:r>
      <w:r>
        <w:rPr>
          <w:rFonts w:hint="eastAsia" w:ascii="仿宋" w:hAnsi="仿宋" w:eastAsia="仿宋" w:cs="仿宋"/>
          <w:sz w:val="31"/>
          <w:szCs w:val="31"/>
        </w:rPr>
        <w:t>〔202</w:t>
      </w:r>
      <w:r>
        <w:rPr>
          <w:rFonts w:hint="eastAsia" w:ascii="仿宋" w:hAnsi="仿宋" w:eastAsia="仿宋" w:cs="仿宋"/>
          <w:sz w:val="31"/>
          <w:szCs w:val="31"/>
          <w:lang w:val="en-US" w:eastAsia="zh-CN"/>
        </w:rPr>
        <w:t>2</w:t>
      </w:r>
      <w:r>
        <w:rPr>
          <w:rFonts w:hint="eastAsia" w:ascii="仿宋" w:hAnsi="仿宋" w:eastAsia="仿宋" w:cs="仿宋"/>
          <w:sz w:val="31"/>
          <w:szCs w:val="31"/>
        </w:rPr>
        <w:t>〕</w:t>
      </w:r>
      <w:r>
        <w:rPr>
          <w:rFonts w:hint="eastAsia" w:ascii="仿宋" w:hAnsi="仿宋" w:eastAsia="仿宋" w:cs="仿宋"/>
          <w:sz w:val="31"/>
          <w:szCs w:val="31"/>
          <w:lang w:val="en-US" w:eastAsia="zh-CN"/>
        </w:rPr>
        <w:t>11</w:t>
      </w:r>
      <w:r>
        <w:rPr>
          <w:rFonts w:hint="eastAsia" w:ascii="仿宋" w:hAnsi="仿宋" w:eastAsia="仿宋" w:cs="仿宋"/>
          <w:sz w:val="31"/>
          <w:szCs w:val="31"/>
        </w:rPr>
        <w:t>号）进行规范管理</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同时，</w:t>
      </w:r>
      <w:r>
        <w:rPr>
          <w:rFonts w:hint="eastAsia" w:ascii="仿宋" w:hAnsi="仿宋" w:eastAsia="仿宋" w:cs="仿宋"/>
          <w:color w:val="auto"/>
          <w:sz w:val="31"/>
          <w:szCs w:val="31"/>
        </w:rPr>
        <w:t>对专项库款保障</w:t>
      </w:r>
      <w:r>
        <w:rPr>
          <w:rFonts w:hint="eastAsia" w:ascii="仿宋" w:hAnsi="仿宋" w:eastAsia="仿宋" w:cs="仿宋"/>
          <w:color w:val="auto"/>
          <w:sz w:val="31"/>
          <w:szCs w:val="31"/>
          <w:lang w:val="en-US" w:eastAsia="zh-CN"/>
        </w:rPr>
        <w:t>衔接</w:t>
      </w:r>
      <w:r>
        <w:rPr>
          <w:rFonts w:hint="eastAsia" w:ascii="仿宋" w:hAnsi="仿宋" w:eastAsia="仿宋" w:cs="仿宋"/>
          <w:color w:val="auto"/>
          <w:sz w:val="31"/>
          <w:szCs w:val="31"/>
        </w:rPr>
        <w:t>资金实行财政</w:t>
      </w:r>
      <w:r>
        <w:rPr>
          <w:rFonts w:hint="eastAsia" w:ascii="仿宋" w:hAnsi="仿宋" w:eastAsia="仿宋" w:cs="仿宋"/>
          <w:color w:val="auto"/>
          <w:sz w:val="31"/>
          <w:szCs w:val="31"/>
          <w:lang w:val="en-US" w:eastAsia="zh-CN"/>
        </w:rPr>
        <w:t>直接</w:t>
      </w:r>
      <w:r>
        <w:rPr>
          <w:rFonts w:hint="eastAsia" w:ascii="仿宋" w:hAnsi="仿宋" w:eastAsia="仿宋" w:cs="仿宋"/>
          <w:color w:val="auto"/>
          <w:sz w:val="31"/>
          <w:szCs w:val="31"/>
        </w:rPr>
        <w:t>支付管理</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直接</w:t>
      </w:r>
      <w:r>
        <w:rPr>
          <w:rFonts w:hint="eastAsia" w:ascii="仿宋" w:hAnsi="仿宋" w:eastAsia="仿宋" w:cs="仿宋"/>
          <w:color w:val="auto"/>
          <w:sz w:val="31"/>
          <w:szCs w:val="31"/>
          <w:lang w:val="en-US" w:eastAsia="zh-CN"/>
        </w:rPr>
        <w:t>将</w:t>
      </w:r>
      <w:r>
        <w:rPr>
          <w:rFonts w:hint="eastAsia" w:ascii="仿宋" w:hAnsi="仿宋" w:eastAsia="仿宋" w:cs="仿宋"/>
          <w:color w:val="auto"/>
          <w:sz w:val="31"/>
          <w:szCs w:val="31"/>
        </w:rPr>
        <w:t>项目建设资金支付给项目实施主体</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资金管理实行县级部门报账制。各项目</w:t>
      </w:r>
      <w:r>
        <w:rPr>
          <w:rFonts w:hint="eastAsia" w:ascii="仿宋" w:hAnsi="仿宋" w:eastAsia="仿宋" w:cs="仿宋"/>
          <w:sz w:val="31"/>
          <w:szCs w:val="31"/>
        </w:rPr>
        <w:t>实施单位财务管理制度健全，严格执行财务管理制度，账务处理及时，</w:t>
      </w:r>
      <w:r>
        <w:rPr>
          <w:rFonts w:hint="eastAsia" w:ascii="仿宋" w:hAnsi="仿宋" w:eastAsia="仿宋" w:cs="仿宋"/>
          <w:sz w:val="31"/>
          <w:szCs w:val="31"/>
          <w:lang w:eastAsia="zh-CN"/>
        </w:rPr>
        <w:t>会计核算</w:t>
      </w:r>
      <w:r>
        <w:rPr>
          <w:rFonts w:hint="eastAsia" w:ascii="仿宋" w:hAnsi="仿宋" w:eastAsia="仿宋" w:cs="仿宋"/>
          <w:sz w:val="31"/>
          <w:szCs w:val="31"/>
        </w:rPr>
        <w:t>规范。</w:t>
      </w:r>
    </w:p>
    <w:p w14:paraId="12FE61A3">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val="0"/>
          <w:bCs/>
          <w:sz w:val="31"/>
          <w:szCs w:val="31"/>
        </w:rPr>
      </w:pPr>
      <w:r>
        <w:rPr>
          <w:rFonts w:hint="eastAsia" w:ascii="仿宋" w:hAnsi="仿宋" w:eastAsia="仿宋" w:cs="仿宋"/>
          <w:b w:val="0"/>
          <w:bCs/>
          <w:sz w:val="31"/>
          <w:szCs w:val="31"/>
        </w:rPr>
        <w:t>三、项目实施及管理情况</w:t>
      </w:r>
    </w:p>
    <w:p w14:paraId="4E5B6B5F">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（一）项目组织架构及实施流程。</w:t>
      </w:r>
    </w:p>
    <w:p w14:paraId="36498803">
      <w:pPr>
        <w:keepNext w:val="0"/>
        <w:keepLines w:val="0"/>
        <w:pageBreakBefore w:val="0"/>
        <w:widowControl w:val="0"/>
        <w:kinsoku/>
        <w:wordWrap/>
        <w:overflowPunct/>
        <w:topLinePunct w:val="0"/>
        <w:autoSpaceDE/>
        <w:autoSpaceDN/>
        <w:bidi w:val="0"/>
        <w:adjustRightInd/>
        <w:snapToGrid/>
        <w:spacing w:line="570" w:lineRule="exact"/>
        <w:ind w:left="0" w:leftChars="0" w:firstLine="640"/>
        <w:jc w:val="both"/>
        <w:textAlignment w:val="auto"/>
        <w:outlineLvl w:val="9"/>
        <w:rPr>
          <w:rFonts w:hint="eastAsia" w:ascii="仿宋" w:hAnsi="仿宋" w:eastAsia="仿宋" w:cs="仿宋"/>
          <w:sz w:val="31"/>
          <w:szCs w:val="31"/>
        </w:rPr>
      </w:pPr>
      <w:r>
        <w:rPr>
          <w:rFonts w:hint="eastAsia" w:ascii="仿宋" w:hAnsi="仿宋" w:eastAsia="仿宋" w:cs="仿宋"/>
          <w:sz w:val="31"/>
          <w:szCs w:val="31"/>
        </w:rPr>
        <w:t>资金文件下达后，乡镇进一步细化项目实施方案报县</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局审批，县</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与乡镇签订项目实施目标责任书。项目的组织实施，项目实施责任单位严格遵循项目基本建设程序，进行工程招投标、竞争性谈判等方式确定施工队伍，负责组织设计、工程建设相关审批手续办理、工程实施，并按照设计及工程施工规范要求确保工程质量、施工安全和工期。属于政府采购管理范围的项目，执行政府采购相关规定，村级微小型项目可按照村民民主议事方式直接委托村级组织自建自营。按照《四川省发展和改革委员会等9部门关于村庄建设项目实行简易审批的实施意见》（川发改农经〔2021〕43号）及《省发展改革委、省委农办等9部门</w:t>
      </w:r>
      <w:r>
        <w:rPr>
          <w:rFonts w:hint="eastAsia" w:ascii="仿宋" w:hAnsi="仿宋" w:eastAsia="仿宋" w:cs="仿宋"/>
          <w:sz w:val="31"/>
          <w:szCs w:val="31"/>
          <w:lang w:eastAsia="zh-CN"/>
        </w:rPr>
        <w:t>〈</w:t>
      </w:r>
      <w:r>
        <w:rPr>
          <w:rFonts w:hint="eastAsia" w:ascii="仿宋" w:hAnsi="仿宋" w:eastAsia="仿宋" w:cs="仿宋"/>
          <w:sz w:val="31"/>
          <w:szCs w:val="31"/>
        </w:rPr>
        <w:t>关于在农业农村基础设施建设领域积极推广以工代赈</w:t>
      </w:r>
      <w:r>
        <w:rPr>
          <w:rFonts w:hint="eastAsia" w:ascii="仿宋" w:hAnsi="仿宋" w:eastAsia="仿宋" w:cs="仿宋"/>
          <w:sz w:val="31"/>
          <w:szCs w:val="31"/>
          <w:lang w:eastAsia="zh-CN"/>
        </w:rPr>
        <w:t>方式</w:t>
      </w:r>
      <w:r>
        <w:rPr>
          <w:rFonts w:hint="eastAsia" w:ascii="仿宋" w:hAnsi="仿宋" w:eastAsia="仿宋" w:cs="仿宋"/>
          <w:sz w:val="31"/>
          <w:szCs w:val="31"/>
        </w:rPr>
        <w:t>的实施意见</w:t>
      </w:r>
      <w:r>
        <w:rPr>
          <w:rFonts w:hint="eastAsia" w:ascii="仿宋" w:hAnsi="仿宋" w:eastAsia="仿宋" w:cs="仿宋"/>
          <w:sz w:val="31"/>
          <w:szCs w:val="31"/>
          <w:lang w:eastAsia="zh-CN"/>
        </w:rPr>
        <w:t>》</w:t>
      </w:r>
      <w:r>
        <w:rPr>
          <w:rFonts w:hint="eastAsia" w:ascii="仿宋" w:hAnsi="仿宋" w:eastAsia="仿宋" w:cs="仿宋"/>
          <w:sz w:val="31"/>
          <w:szCs w:val="31"/>
        </w:rPr>
        <w:t>（川发改赈〔2021〕76号）文件，充分发挥以工代赈功能作用，积极推广以工代赈方式组织项目实施，优先吸纳脱贫不稳定户、边缘易致贫户、其他农村低收入和受灾情疫情等影响农村群众参与工程建设，促进群众增收。</w:t>
      </w:r>
    </w:p>
    <w:p w14:paraId="1F7E49CE">
      <w:pPr>
        <w:keepNext w:val="0"/>
        <w:keepLines w:val="0"/>
        <w:pageBreakBefore w:val="0"/>
        <w:widowControl w:val="0"/>
        <w:kinsoku/>
        <w:wordWrap/>
        <w:overflowPunct/>
        <w:topLinePunct w:val="0"/>
        <w:autoSpaceDE/>
        <w:autoSpaceDN/>
        <w:bidi w:val="0"/>
        <w:adjustRightInd/>
        <w:snapToGrid/>
        <w:spacing w:line="570" w:lineRule="exact"/>
        <w:ind w:left="0" w:leftChars="0" w:firstLine="640"/>
        <w:jc w:val="both"/>
        <w:textAlignment w:val="auto"/>
        <w:outlineLvl w:val="9"/>
        <w:rPr>
          <w:rFonts w:hint="eastAsia" w:ascii="仿宋" w:hAnsi="仿宋" w:eastAsia="仿宋" w:cs="仿宋"/>
          <w:b/>
          <w:sz w:val="31"/>
          <w:szCs w:val="31"/>
          <w:lang w:eastAsia="zh-CN"/>
        </w:rPr>
      </w:pPr>
      <w:r>
        <w:rPr>
          <w:rFonts w:hint="eastAsia" w:ascii="仿宋" w:hAnsi="仿宋" w:eastAsia="仿宋" w:cs="仿宋"/>
          <w:sz w:val="31"/>
          <w:szCs w:val="31"/>
        </w:rPr>
        <w:t>项目启动后，凭项目工程实施责任书、项目实施方案、项目施工合同、</w:t>
      </w:r>
      <w:r>
        <w:rPr>
          <w:rFonts w:hint="eastAsia" w:ascii="仿宋" w:hAnsi="仿宋" w:eastAsia="仿宋" w:cs="仿宋"/>
          <w:sz w:val="31"/>
          <w:szCs w:val="31"/>
          <w:lang w:eastAsia="zh-CN"/>
        </w:rPr>
        <w:t>财政衔接</w:t>
      </w:r>
      <w:r>
        <w:rPr>
          <w:rFonts w:hint="eastAsia" w:ascii="仿宋" w:hAnsi="仿宋" w:eastAsia="仿宋" w:cs="仿宋"/>
          <w:sz w:val="31"/>
          <w:szCs w:val="31"/>
        </w:rPr>
        <w:t>拨款申请表（报账单）、工程建安发票等到</w:t>
      </w:r>
      <w:r>
        <w:rPr>
          <w:rFonts w:hint="eastAsia" w:ascii="仿宋" w:hAnsi="仿宋" w:eastAsia="仿宋" w:cs="仿宋"/>
          <w:sz w:val="31"/>
          <w:szCs w:val="31"/>
          <w:lang w:eastAsia="zh-CN"/>
        </w:rPr>
        <w:t>县乡村振兴局</w:t>
      </w:r>
      <w:r>
        <w:rPr>
          <w:rFonts w:hint="eastAsia" w:ascii="仿宋" w:hAnsi="仿宋" w:eastAsia="仿宋" w:cs="仿宋"/>
          <w:sz w:val="31"/>
          <w:szCs w:val="31"/>
        </w:rPr>
        <w:t>申请拨付项目启动资金。项目实施乡（镇）要安排专业技术人员对项目建设进行业务指导，按月上报项目实施进度，县财政局、县</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局要对项目实施情况及资金使用管理等情况进行督导检查。</w:t>
      </w:r>
    </w:p>
    <w:p w14:paraId="6C3D02E9">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（二）项目管理情况。</w:t>
      </w:r>
    </w:p>
    <w:p w14:paraId="31F2F5BC">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各项目实施单位严格按照资金下达文件实施项目，未擅自更改项目实施计划和项目资金投向，个别项目需调整的，都严格按照审批程序报批后组织实施。项目竣工后，首先由项目实施单位自行组织初验，初验合格后，向</w:t>
      </w:r>
      <w:r>
        <w:rPr>
          <w:rFonts w:hint="eastAsia" w:ascii="仿宋" w:hAnsi="仿宋" w:eastAsia="仿宋" w:cs="仿宋"/>
          <w:kern w:val="0"/>
          <w:sz w:val="31"/>
          <w:szCs w:val="31"/>
          <w:lang w:val="en-US" w:eastAsia="zh-CN"/>
        </w:rPr>
        <w:t>县乡村振兴</w:t>
      </w:r>
      <w:r>
        <w:rPr>
          <w:rFonts w:hint="eastAsia" w:ascii="仿宋" w:hAnsi="仿宋" w:eastAsia="仿宋" w:cs="仿宋"/>
          <w:kern w:val="0"/>
          <w:sz w:val="31"/>
          <w:szCs w:val="31"/>
        </w:rPr>
        <w:t>局提交书面验收申请和规范的项目竣工资料，县级验收合格后，向县财政局、县</w:t>
      </w:r>
      <w:r>
        <w:rPr>
          <w:rFonts w:hint="eastAsia" w:ascii="仿宋" w:hAnsi="仿宋" w:eastAsia="仿宋" w:cs="仿宋"/>
          <w:kern w:val="0"/>
          <w:sz w:val="31"/>
          <w:szCs w:val="31"/>
          <w:lang w:val="en-US" w:eastAsia="zh-CN"/>
        </w:rPr>
        <w:t>乡村振兴</w:t>
      </w:r>
      <w:r>
        <w:rPr>
          <w:rFonts w:hint="eastAsia" w:ascii="仿宋" w:hAnsi="仿宋" w:eastAsia="仿宋" w:cs="仿宋"/>
          <w:kern w:val="0"/>
          <w:sz w:val="31"/>
          <w:szCs w:val="31"/>
        </w:rPr>
        <w:t>局提供有效的报账凭据和报账资料。</w:t>
      </w:r>
    </w:p>
    <w:p w14:paraId="461097D2">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lang w:eastAsia="zh-CN"/>
        </w:rPr>
        <w:t>（</w:t>
      </w:r>
      <w:r>
        <w:rPr>
          <w:rFonts w:hint="eastAsia" w:ascii="仿宋" w:hAnsi="仿宋" w:eastAsia="仿宋" w:cs="仿宋"/>
          <w:kern w:val="0"/>
          <w:sz w:val="31"/>
          <w:szCs w:val="31"/>
          <w:lang w:val="en-US" w:eastAsia="zh-CN"/>
        </w:rPr>
        <w:t>三</w:t>
      </w:r>
      <w:r>
        <w:rPr>
          <w:rFonts w:hint="eastAsia" w:ascii="仿宋" w:hAnsi="仿宋" w:eastAsia="仿宋" w:cs="仿宋"/>
          <w:kern w:val="0"/>
          <w:sz w:val="31"/>
          <w:szCs w:val="31"/>
          <w:lang w:eastAsia="zh-CN"/>
        </w:rPr>
        <w:t>）</w:t>
      </w:r>
      <w:r>
        <w:rPr>
          <w:rFonts w:hint="eastAsia" w:ascii="仿宋" w:hAnsi="仿宋" w:eastAsia="仿宋" w:cs="仿宋"/>
          <w:kern w:val="0"/>
          <w:sz w:val="31"/>
          <w:szCs w:val="31"/>
        </w:rPr>
        <w:t>项目监管情况。</w:t>
      </w:r>
    </w:p>
    <w:p w14:paraId="39CBE2C4">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20" w:firstLineChars="200"/>
        <w:textAlignment w:val="auto"/>
        <w:rPr>
          <w:rFonts w:hint="eastAsia" w:ascii="仿宋" w:hAnsi="仿宋" w:eastAsia="仿宋" w:cs="仿宋"/>
          <w:b w:val="0"/>
          <w:color w:val="000000"/>
          <w:sz w:val="31"/>
          <w:szCs w:val="31"/>
          <w:lang w:val="en-US" w:eastAsia="zh-CN"/>
        </w:rPr>
      </w:pPr>
      <w:r>
        <w:rPr>
          <w:rFonts w:hint="eastAsia" w:ascii="仿宋" w:hAnsi="仿宋" w:eastAsia="仿宋" w:cs="仿宋"/>
          <w:b w:val="0"/>
          <w:color w:val="000000"/>
          <w:sz w:val="31"/>
          <w:szCs w:val="31"/>
          <w:lang w:val="en-US" w:eastAsia="zh-CN"/>
        </w:rPr>
        <w:t>由县乡村振兴局牵头，定期组织县财政局、县交通局等相关行业部门开展项目实施和资金支出进度等跟踪督促工作。全年共计开展市级财政衔接资金项目跟踪督促及各类检查4次，共计发现财政衔接资金公告公示方面不规范、项目建设进度滞后、资金支付率偏低等方面5个问题。对发现的问题，坚持切实把问题查清楚，逐项建立问题整改台账，制定了切实可行的问题整改措施，明确整改责任人和整改时限，逐项进行整改，做到找问题不留死角、定措施不留空白、抓整改不留盲区，跟踪督促及各类检查发现问题全部整改到位。</w:t>
      </w:r>
    </w:p>
    <w:p w14:paraId="5D3599F2">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20" w:firstLineChars="200"/>
        <w:textAlignment w:val="auto"/>
        <w:rPr>
          <w:rFonts w:hint="eastAsia" w:ascii="仿宋" w:hAnsi="仿宋" w:eastAsia="仿宋" w:cs="仿宋"/>
          <w:b w:val="0"/>
          <w:color w:val="000000"/>
          <w:sz w:val="31"/>
          <w:szCs w:val="31"/>
          <w:lang w:val="en-US" w:eastAsia="zh-CN"/>
        </w:rPr>
      </w:pPr>
    </w:p>
    <w:p w14:paraId="662397EF">
      <w:pPr>
        <w:keepNext w:val="0"/>
        <w:keepLines w:val="0"/>
        <w:pageBreakBefore w:val="0"/>
        <w:widowControl w:val="0"/>
        <w:numPr>
          <w:ilvl w:val="0"/>
          <w:numId w:val="13"/>
        </w:numPr>
        <w:pBdr>
          <w:bottom w:val="single" w:color="FFFFFF" w:sz="4" w:space="31"/>
        </w:pBdr>
        <w:kinsoku/>
        <w:wordWrap/>
        <w:overflowPunct/>
        <w:topLinePunct w:val="0"/>
        <w:autoSpaceDE/>
        <w:autoSpaceDN/>
        <w:bidi w:val="0"/>
        <w:adjustRightInd/>
        <w:snapToGrid/>
        <w:spacing w:line="570" w:lineRule="exact"/>
        <w:ind w:left="0" w:leftChars="0" w:firstLine="622" w:firstLineChars="200"/>
        <w:textAlignment w:val="auto"/>
        <w:rPr>
          <w:rFonts w:hint="eastAsia" w:ascii="仿宋" w:hAnsi="仿宋" w:eastAsia="仿宋" w:cs="仿宋"/>
          <w:b/>
          <w:sz w:val="31"/>
          <w:szCs w:val="31"/>
        </w:rPr>
      </w:pPr>
      <w:r>
        <w:rPr>
          <w:rFonts w:hint="eastAsia" w:ascii="仿宋" w:hAnsi="仿宋" w:eastAsia="仿宋" w:cs="仿宋"/>
          <w:b/>
          <w:sz w:val="31"/>
          <w:szCs w:val="31"/>
        </w:rPr>
        <w:t>项目绩效情况</w:t>
      </w:r>
      <w:r>
        <w:rPr>
          <w:rFonts w:hint="eastAsia" w:ascii="仿宋" w:hAnsi="仿宋" w:eastAsia="仿宋" w:cs="仿宋"/>
          <w:b/>
          <w:sz w:val="31"/>
          <w:szCs w:val="31"/>
        </w:rPr>
        <w:tab/>
      </w:r>
    </w:p>
    <w:p w14:paraId="50C0BC5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textAlignment w:val="auto"/>
        <w:rPr>
          <w:rFonts w:hint="eastAsia" w:ascii="仿宋" w:hAnsi="仿宋" w:eastAsia="仿宋" w:cs="仿宋"/>
          <w:spacing w:val="12"/>
          <w:sz w:val="31"/>
          <w:szCs w:val="31"/>
        </w:rPr>
      </w:pPr>
      <w:r>
        <w:rPr>
          <w:rFonts w:hint="eastAsia" w:ascii="仿宋" w:hAnsi="仿宋" w:eastAsia="仿宋" w:cs="仿宋"/>
          <w:sz w:val="31"/>
          <w:szCs w:val="31"/>
        </w:rPr>
        <w:t>（一）项目完成和效益情况。</w:t>
      </w:r>
    </w:p>
    <w:p w14:paraId="4AE9788A">
      <w:pPr>
        <w:keepNext w:val="0"/>
        <w:keepLines w:val="0"/>
        <w:pageBreakBefore w:val="0"/>
        <w:widowControl w:val="0"/>
        <w:numPr>
          <w:ilvl w:val="0"/>
          <w:numId w:val="14"/>
        </w:numPr>
        <w:pBdr>
          <w:bottom w:val="single" w:color="FFFFFF" w:sz="4" w:space="31"/>
        </w:pBdr>
        <w:kinsoku/>
        <w:wordWrap/>
        <w:overflowPunct/>
        <w:topLinePunct w:val="0"/>
        <w:autoSpaceDE/>
        <w:autoSpaceDN/>
        <w:bidi w:val="0"/>
        <w:adjustRightInd/>
        <w:snapToGrid/>
        <w:spacing w:line="570" w:lineRule="exact"/>
        <w:textAlignment w:val="auto"/>
        <w:rPr>
          <w:rFonts w:hint="eastAsia" w:ascii="仿宋" w:hAnsi="仿宋" w:eastAsia="仿宋" w:cs="仿宋"/>
          <w:spacing w:val="12"/>
          <w:sz w:val="31"/>
          <w:szCs w:val="31"/>
        </w:rPr>
      </w:pPr>
      <w:r>
        <w:rPr>
          <w:rFonts w:hint="eastAsia" w:ascii="仿宋" w:hAnsi="仿宋" w:eastAsia="仿宋" w:cs="仿宋"/>
          <w:sz w:val="31"/>
          <w:szCs w:val="31"/>
        </w:rPr>
        <w:t>数量指标。</w:t>
      </w:r>
      <w:r>
        <w:rPr>
          <w:rFonts w:hint="eastAsia" w:ascii="仿宋" w:hAnsi="仿宋" w:eastAsia="仿宋" w:cs="仿宋"/>
          <w:spacing w:val="34"/>
          <w:sz w:val="31"/>
          <w:szCs w:val="31"/>
        </w:rPr>
        <w:t>全</w:t>
      </w:r>
      <w:r>
        <w:rPr>
          <w:rFonts w:hint="eastAsia" w:ascii="仿宋" w:hAnsi="仿宋" w:eastAsia="仿宋" w:cs="仿宋"/>
          <w:spacing w:val="17"/>
          <w:sz w:val="31"/>
          <w:szCs w:val="31"/>
        </w:rPr>
        <w:t>年共计到位巩固拓展脱贫攻坚成果和乡村振兴任务资</w:t>
      </w:r>
      <w:r>
        <w:rPr>
          <w:rFonts w:hint="eastAsia" w:ascii="仿宋" w:hAnsi="仿宋" w:eastAsia="仿宋" w:cs="仿宋"/>
          <w:spacing w:val="17"/>
          <w:sz w:val="31"/>
          <w:szCs w:val="31"/>
          <w:lang w:eastAsia="zh-CN"/>
        </w:rPr>
        <w:t>金</w:t>
      </w:r>
      <w:r>
        <w:rPr>
          <w:rFonts w:hint="eastAsia" w:ascii="仿宋" w:hAnsi="仿宋" w:eastAsia="仿宋" w:cs="仿宋"/>
          <w:spacing w:val="-15"/>
          <w:sz w:val="31"/>
          <w:szCs w:val="31"/>
        </w:rPr>
        <w:t>7</w:t>
      </w:r>
      <w:r>
        <w:rPr>
          <w:rFonts w:hint="eastAsia" w:ascii="仿宋" w:hAnsi="仿宋" w:eastAsia="仿宋" w:cs="仿宋"/>
          <w:spacing w:val="-9"/>
          <w:sz w:val="31"/>
          <w:szCs w:val="31"/>
        </w:rPr>
        <w:t>052.73万元，其中：中央资金603万元、省级资金4636万元，</w:t>
      </w:r>
      <w:r>
        <w:rPr>
          <w:rFonts w:hint="eastAsia" w:ascii="仿宋" w:hAnsi="仿宋" w:eastAsia="仿宋" w:cs="仿宋"/>
          <w:spacing w:val="-3"/>
          <w:sz w:val="31"/>
          <w:szCs w:val="31"/>
        </w:rPr>
        <w:t>市级资金813.73万元、县级资金1000万元。结合我县</w:t>
      </w:r>
      <w:r>
        <w:rPr>
          <w:rFonts w:hint="eastAsia" w:ascii="仿宋" w:hAnsi="仿宋" w:eastAsia="仿宋" w:cs="仿宋"/>
          <w:spacing w:val="-3"/>
          <w:sz w:val="31"/>
          <w:szCs w:val="31"/>
          <w:lang w:eastAsia="zh-CN"/>
        </w:rPr>
        <w:t>巩固拓展脱贫攻坚成果同乡村振兴有效衔接</w:t>
      </w:r>
      <w:r>
        <w:rPr>
          <w:rFonts w:hint="eastAsia" w:ascii="仿宋" w:hAnsi="仿宋" w:eastAsia="仿宋" w:cs="仿宋"/>
          <w:spacing w:val="7"/>
          <w:sz w:val="31"/>
          <w:szCs w:val="31"/>
        </w:rPr>
        <w:t>实际，重点用于产业发展、巩</w:t>
      </w:r>
      <w:r>
        <w:rPr>
          <w:rFonts w:hint="eastAsia" w:ascii="仿宋" w:hAnsi="仿宋" w:eastAsia="仿宋" w:cs="仿宋"/>
          <w:spacing w:val="5"/>
          <w:sz w:val="31"/>
          <w:szCs w:val="31"/>
        </w:rPr>
        <w:t>固三保障成果、就业帮扶、乡村建设行动、项目管理费、易地</w:t>
      </w:r>
      <w:r>
        <w:rPr>
          <w:rFonts w:hint="eastAsia" w:ascii="仿宋" w:hAnsi="仿宋" w:eastAsia="仿宋" w:cs="仿宋"/>
          <w:spacing w:val="12"/>
          <w:sz w:val="31"/>
          <w:szCs w:val="31"/>
        </w:rPr>
        <w:t>扶贫搬迁后扶、其他等七方面72个项目。</w:t>
      </w:r>
    </w:p>
    <w:p w14:paraId="5306EB6F">
      <w:pPr>
        <w:keepNext w:val="0"/>
        <w:keepLines w:val="0"/>
        <w:pageBreakBefore w:val="0"/>
        <w:widowControl w:val="0"/>
        <w:numPr>
          <w:ilvl w:val="0"/>
          <w:numId w:val="14"/>
        </w:numPr>
        <w:pBdr>
          <w:bottom w:val="single" w:color="FFFFFF" w:sz="4" w:space="31"/>
        </w:pBdr>
        <w:kinsoku/>
        <w:wordWrap/>
        <w:overflowPunct/>
        <w:topLinePunct w:val="0"/>
        <w:autoSpaceDE/>
        <w:autoSpaceDN/>
        <w:bidi w:val="0"/>
        <w:adjustRightInd/>
        <w:snapToGrid/>
        <w:spacing w:line="570" w:lineRule="exact"/>
        <w:ind w:left="0" w:leftChars="0" w:firstLine="0" w:firstLineChars="0"/>
        <w:textAlignment w:val="auto"/>
        <w:rPr>
          <w:rFonts w:hint="eastAsia" w:ascii="仿宋" w:hAnsi="仿宋" w:eastAsia="仿宋" w:cs="仿宋"/>
          <w:spacing w:val="8"/>
          <w:sz w:val="31"/>
          <w:szCs w:val="31"/>
        </w:rPr>
      </w:pPr>
      <w:r>
        <w:rPr>
          <w:rFonts w:hint="eastAsia" w:ascii="仿宋" w:hAnsi="仿宋" w:eastAsia="仿宋" w:cs="仿宋"/>
          <w:sz w:val="31"/>
          <w:szCs w:val="31"/>
        </w:rPr>
        <w:t>质量指标。</w:t>
      </w:r>
      <w:r>
        <w:rPr>
          <w:rFonts w:hint="eastAsia" w:ascii="仿宋" w:hAnsi="仿宋" w:eastAsia="仿宋" w:cs="仿宋"/>
          <w:spacing w:val="5"/>
          <w:sz w:val="31"/>
          <w:szCs w:val="31"/>
        </w:rPr>
        <w:t>主管单位聘请工程监理、行业部门技术</w:t>
      </w:r>
      <w:r>
        <w:rPr>
          <w:rFonts w:hint="eastAsia" w:ascii="仿宋" w:hAnsi="仿宋" w:eastAsia="仿宋" w:cs="仿宋"/>
          <w:spacing w:val="10"/>
          <w:sz w:val="31"/>
          <w:szCs w:val="31"/>
        </w:rPr>
        <w:t>指</w:t>
      </w:r>
      <w:r>
        <w:rPr>
          <w:rFonts w:hint="eastAsia" w:ascii="仿宋" w:hAnsi="仿宋" w:eastAsia="仿宋" w:cs="仿宋"/>
          <w:spacing w:val="6"/>
          <w:sz w:val="31"/>
          <w:szCs w:val="31"/>
        </w:rPr>
        <w:t>导</w:t>
      </w:r>
      <w:r>
        <w:rPr>
          <w:rFonts w:hint="eastAsia" w:ascii="仿宋" w:hAnsi="仿宋" w:eastAsia="仿宋" w:cs="仿宋"/>
          <w:spacing w:val="5"/>
          <w:sz w:val="31"/>
          <w:szCs w:val="31"/>
        </w:rPr>
        <w:t>、乡</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rPr>
        <w:t>镇</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rPr>
        <w:t>项目办、村质量监督小组日常监</w:t>
      </w:r>
      <w:r>
        <w:rPr>
          <w:rFonts w:hint="eastAsia" w:ascii="仿宋" w:hAnsi="仿宋" w:eastAsia="仿宋" w:cs="仿宋"/>
          <w:spacing w:val="5"/>
          <w:sz w:val="31"/>
          <w:szCs w:val="31"/>
          <w:lang w:eastAsia="zh-CN"/>
        </w:rPr>
        <w:t>管等</w:t>
      </w:r>
      <w:r>
        <w:rPr>
          <w:rFonts w:hint="eastAsia" w:ascii="仿宋" w:hAnsi="仿宋" w:eastAsia="仿宋" w:cs="仿宋"/>
          <w:spacing w:val="5"/>
          <w:sz w:val="31"/>
          <w:szCs w:val="31"/>
        </w:rPr>
        <w:t>多种方式，确</w:t>
      </w:r>
      <w:r>
        <w:rPr>
          <w:rFonts w:hint="eastAsia" w:ascii="仿宋" w:hAnsi="仿宋" w:eastAsia="仿宋" w:cs="仿宋"/>
          <w:spacing w:val="10"/>
          <w:sz w:val="31"/>
          <w:szCs w:val="31"/>
        </w:rPr>
        <w:t>保</w:t>
      </w:r>
      <w:r>
        <w:rPr>
          <w:rFonts w:hint="eastAsia" w:ascii="仿宋" w:hAnsi="仿宋" w:eastAsia="仿宋" w:cs="仿宋"/>
          <w:spacing w:val="9"/>
          <w:sz w:val="31"/>
          <w:szCs w:val="31"/>
        </w:rPr>
        <w:t>基础设施类项目质量达标，坚决杜绝“豆腐渣”工程现象发生，</w:t>
      </w:r>
      <w:r>
        <w:rPr>
          <w:rFonts w:hint="eastAsia" w:ascii="仿宋" w:hAnsi="仿宋" w:eastAsia="仿宋" w:cs="仿宋"/>
          <w:spacing w:val="10"/>
          <w:sz w:val="31"/>
          <w:szCs w:val="31"/>
        </w:rPr>
        <w:t>项目验</w:t>
      </w:r>
      <w:r>
        <w:rPr>
          <w:rFonts w:hint="eastAsia" w:ascii="仿宋" w:hAnsi="仿宋" w:eastAsia="仿宋" w:cs="仿宋"/>
          <w:spacing w:val="8"/>
          <w:sz w:val="31"/>
          <w:szCs w:val="31"/>
        </w:rPr>
        <w:t>收</w:t>
      </w:r>
      <w:r>
        <w:rPr>
          <w:rFonts w:hint="eastAsia" w:ascii="仿宋" w:hAnsi="仿宋" w:eastAsia="仿宋" w:cs="仿宋"/>
          <w:spacing w:val="5"/>
          <w:sz w:val="31"/>
          <w:szCs w:val="31"/>
        </w:rPr>
        <w:t>合格后及时开展产权移交，同时明确项目管护责任单位</w:t>
      </w:r>
      <w:r>
        <w:rPr>
          <w:rFonts w:hint="eastAsia" w:ascii="仿宋" w:hAnsi="仿宋" w:eastAsia="仿宋" w:cs="仿宋"/>
          <w:spacing w:val="16"/>
          <w:sz w:val="31"/>
          <w:szCs w:val="31"/>
        </w:rPr>
        <w:t>及</w:t>
      </w:r>
      <w:r>
        <w:rPr>
          <w:rFonts w:hint="eastAsia" w:ascii="仿宋" w:hAnsi="仿宋" w:eastAsia="仿宋" w:cs="仿宋"/>
          <w:spacing w:val="8"/>
          <w:sz w:val="31"/>
          <w:szCs w:val="31"/>
        </w:rPr>
        <w:t>责任人，加强项目后续管护。</w:t>
      </w:r>
      <w:r>
        <w:rPr>
          <w:rFonts w:hint="eastAsia" w:ascii="仿宋" w:hAnsi="仿宋" w:eastAsia="仿宋" w:cs="仿宋"/>
          <w:spacing w:val="16"/>
          <w:sz w:val="31"/>
          <w:szCs w:val="31"/>
        </w:rPr>
        <w:t>项</w:t>
      </w:r>
      <w:r>
        <w:rPr>
          <w:rFonts w:hint="eastAsia" w:ascii="仿宋" w:hAnsi="仿宋" w:eastAsia="仿宋" w:cs="仿宋"/>
          <w:spacing w:val="11"/>
          <w:sz w:val="31"/>
          <w:szCs w:val="31"/>
        </w:rPr>
        <w:t>目</w:t>
      </w:r>
      <w:r>
        <w:rPr>
          <w:rFonts w:hint="eastAsia" w:ascii="仿宋" w:hAnsi="仿宋" w:eastAsia="仿宋" w:cs="仿宋"/>
          <w:spacing w:val="8"/>
          <w:sz w:val="31"/>
          <w:szCs w:val="31"/>
        </w:rPr>
        <w:t>已全部实施完成并开展县级验收。</w:t>
      </w:r>
    </w:p>
    <w:p w14:paraId="48D5D5DE">
      <w:pPr>
        <w:keepNext w:val="0"/>
        <w:keepLines w:val="0"/>
        <w:pageBreakBefore w:val="0"/>
        <w:widowControl w:val="0"/>
        <w:numPr>
          <w:ilvl w:val="0"/>
          <w:numId w:val="14"/>
        </w:numPr>
        <w:pBdr>
          <w:bottom w:val="single" w:color="FFFFFF" w:sz="4" w:space="31"/>
        </w:pBdr>
        <w:kinsoku/>
        <w:wordWrap/>
        <w:overflowPunct/>
        <w:topLinePunct w:val="0"/>
        <w:autoSpaceDE/>
        <w:autoSpaceDN/>
        <w:bidi w:val="0"/>
        <w:adjustRightInd/>
        <w:snapToGrid/>
        <w:spacing w:line="570" w:lineRule="exact"/>
        <w:ind w:left="0" w:leftChars="0" w:firstLine="0" w:firstLineChars="0"/>
        <w:textAlignment w:val="auto"/>
        <w:rPr>
          <w:rFonts w:hint="eastAsia" w:ascii="仿宋" w:hAnsi="仿宋" w:eastAsia="仿宋" w:cs="仿宋"/>
          <w:sz w:val="31"/>
          <w:szCs w:val="31"/>
        </w:rPr>
      </w:pPr>
      <w:r>
        <w:rPr>
          <w:rFonts w:hint="eastAsia" w:ascii="仿宋" w:hAnsi="仿宋" w:eastAsia="仿宋" w:cs="仿宋"/>
          <w:sz w:val="31"/>
          <w:szCs w:val="31"/>
        </w:rPr>
        <w:t>时效指标。按照</w:t>
      </w:r>
      <w:r>
        <w:rPr>
          <w:rFonts w:hint="eastAsia" w:ascii="仿宋" w:hAnsi="仿宋" w:eastAsia="仿宋" w:cs="仿宋"/>
          <w:sz w:val="31"/>
          <w:szCs w:val="31"/>
          <w:lang w:eastAsia="zh-CN"/>
        </w:rPr>
        <w:t>省级</w:t>
      </w:r>
      <w:r>
        <w:rPr>
          <w:rFonts w:hint="eastAsia" w:ascii="仿宋" w:hAnsi="仿宋" w:eastAsia="仿宋" w:cs="仿宋"/>
          <w:sz w:val="31"/>
          <w:szCs w:val="31"/>
        </w:rPr>
        <w:t>工作要求，完成当年的目标任务。</w:t>
      </w:r>
    </w:p>
    <w:p w14:paraId="65AE8E3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leftChars="0"/>
        <w:textAlignment w:val="auto"/>
        <w:rPr>
          <w:rFonts w:hint="eastAsia" w:ascii="仿宋" w:hAnsi="仿宋" w:eastAsia="仿宋" w:cs="仿宋"/>
          <w:sz w:val="31"/>
          <w:szCs w:val="31"/>
          <w:lang w:val="en-US"/>
        </w:rPr>
      </w:pPr>
      <w:r>
        <w:rPr>
          <w:rFonts w:hint="eastAsia" w:ascii="仿宋" w:hAnsi="仿宋" w:eastAsia="仿宋" w:cs="仿宋"/>
          <w:sz w:val="31"/>
          <w:szCs w:val="31"/>
        </w:rPr>
        <w:t>4.成本指标。科学统筹，厉行节约，把有限的</w:t>
      </w:r>
      <w:r>
        <w:rPr>
          <w:rFonts w:hint="eastAsia" w:ascii="仿宋" w:hAnsi="仿宋" w:eastAsia="仿宋" w:cs="仿宋"/>
          <w:sz w:val="31"/>
          <w:szCs w:val="31"/>
          <w:lang w:eastAsia="zh-CN"/>
        </w:rPr>
        <w:t>资金</w:t>
      </w:r>
      <w:r>
        <w:rPr>
          <w:rFonts w:hint="eastAsia" w:ascii="仿宋" w:hAnsi="仿宋" w:eastAsia="仿宋" w:cs="仿宋"/>
          <w:sz w:val="31"/>
          <w:szCs w:val="31"/>
        </w:rPr>
        <w:t>按规定合理运用，</w:t>
      </w:r>
      <w:r>
        <w:rPr>
          <w:rFonts w:hint="eastAsia" w:ascii="仿宋" w:hAnsi="仿宋" w:eastAsia="仿宋" w:cs="仿宋"/>
          <w:sz w:val="31"/>
          <w:szCs w:val="31"/>
          <w:lang w:val="en-US" w:eastAsia="zh-CN"/>
        </w:rPr>
        <w:t>用于</w:t>
      </w:r>
      <w:r>
        <w:rPr>
          <w:rFonts w:hint="eastAsia" w:ascii="仿宋" w:hAnsi="仿宋" w:eastAsia="仿宋" w:cs="仿宋"/>
          <w:sz w:val="31"/>
          <w:szCs w:val="31"/>
          <w:lang w:eastAsia="zh-CN"/>
        </w:rPr>
        <w:t>巩固拓展脱贫攻坚成果同乡村振兴有效衔接</w:t>
      </w:r>
      <w:r>
        <w:rPr>
          <w:rFonts w:hint="eastAsia" w:ascii="仿宋" w:hAnsi="仿宋" w:eastAsia="仿宋" w:cs="仿宋"/>
          <w:sz w:val="31"/>
          <w:szCs w:val="31"/>
          <w:lang w:val="en-US" w:eastAsia="zh-CN"/>
        </w:rPr>
        <w:t>投入成本</w:t>
      </w:r>
      <w:r>
        <w:rPr>
          <w:rFonts w:hint="eastAsia" w:ascii="仿宋" w:hAnsi="仿宋" w:eastAsia="仿宋" w:cs="仿宋"/>
          <w:spacing w:val="34"/>
          <w:sz w:val="31"/>
          <w:szCs w:val="31"/>
        </w:rPr>
        <w:t>全</w:t>
      </w:r>
      <w:r>
        <w:rPr>
          <w:rFonts w:hint="eastAsia" w:ascii="仿宋" w:hAnsi="仿宋" w:eastAsia="仿宋" w:cs="仿宋"/>
          <w:spacing w:val="17"/>
          <w:sz w:val="31"/>
          <w:szCs w:val="31"/>
        </w:rPr>
        <w:t>年共计到位巩固拓展脱贫攻坚成果和乡村振兴任务资</w:t>
      </w:r>
      <w:r>
        <w:rPr>
          <w:rFonts w:hint="eastAsia" w:ascii="仿宋" w:hAnsi="仿宋" w:eastAsia="仿宋" w:cs="仿宋"/>
          <w:spacing w:val="17"/>
          <w:sz w:val="31"/>
          <w:szCs w:val="31"/>
          <w:lang w:eastAsia="zh-CN"/>
        </w:rPr>
        <w:t>金</w:t>
      </w:r>
      <w:r>
        <w:rPr>
          <w:rFonts w:hint="eastAsia" w:ascii="仿宋" w:hAnsi="仿宋" w:eastAsia="仿宋" w:cs="仿宋"/>
          <w:spacing w:val="-15"/>
          <w:sz w:val="31"/>
          <w:szCs w:val="31"/>
        </w:rPr>
        <w:t>7</w:t>
      </w:r>
      <w:r>
        <w:rPr>
          <w:rFonts w:hint="eastAsia" w:ascii="仿宋" w:hAnsi="仿宋" w:eastAsia="仿宋" w:cs="仿宋"/>
          <w:spacing w:val="-9"/>
          <w:sz w:val="31"/>
          <w:szCs w:val="31"/>
        </w:rPr>
        <w:t>052.73万元，其中：中央资金603万元、省级资金4636万元，</w:t>
      </w:r>
      <w:r>
        <w:rPr>
          <w:rFonts w:hint="eastAsia" w:ascii="仿宋" w:hAnsi="仿宋" w:eastAsia="仿宋" w:cs="仿宋"/>
          <w:spacing w:val="-3"/>
          <w:sz w:val="31"/>
          <w:szCs w:val="31"/>
        </w:rPr>
        <w:t>市级资金813.73万元、县级资金1000万元</w:t>
      </w:r>
      <w:r>
        <w:rPr>
          <w:rFonts w:hint="eastAsia" w:ascii="仿宋" w:hAnsi="仿宋" w:eastAsia="仿宋" w:cs="仿宋"/>
          <w:sz w:val="31"/>
          <w:szCs w:val="31"/>
          <w:lang w:val="en-US" w:eastAsia="zh-CN"/>
        </w:rPr>
        <w:t>。</w:t>
      </w:r>
    </w:p>
    <w:p w14:paraId="7033095C">
      <w:pPr>
        <w:ind w:firstLine="620" w:firstLineChars="200"/>
        <w:rPr>
          <w:rFonts w:hint="eastAsia" w:ascii="仿宋" w:hAnsi="仿宋" w:eastAsia="仿宋" w:cs="仿宋"/>
          <w:sz w:val="31"/>
          <w:szCs w:val="31"/>
        </w:rPr>
      </w:pPr>
      <w:r>
        <w:rPr>
          <w:rFonts w:hint="eastAsia" w:ascii="仿宋" w:hAnsi="仿宋" w:eastAsia="仿宋" w:cs="仿宋"/>
          <w:sz w:val="31"/>
          <w:szCs w:val="31"/>
        </w:rPr>
        <w:t>（二）效益指标完成情况分析。</w:t>
      </w:r>
    </w:p>
    <w:p w14:paraId="572A9AB5">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sz w:val="31"/>
          <w:szCs w:val="31"/>
        </w:rPr>
        <w:t>1.经济效益。</w:t>
      </w:r>
      <w:r>
        <w:rPr>
          <w:rFonts w:hint="eastAsia" w:ascii="仿宋" w:hAnsi="仿宋" w:eastAsia="仿宋" w:cs="仿宋"/>
          <w:b w:val="0"/>
          <w:color w:val="000000"/>
          <w:kern w:val="2"/>
          <w:sz w:val="31"/>
          <w:szCs w:val="31"/>
          <w:lang w:val="en-US" w:eastAsia="zh-CN" w:bidi="ar-SA"/>
        </w:rPr>
        <w:t>通过实施道路改扩建及产业道路硬化项目，有效解决了脱贫地区群众出行难和农产品运输难问题，促进地方经济发展，巩固脱贫成效。通过实施红格镇新民村集体经济发展项目和温泉乡道角村云木香种植项目，村集体经济年收益达到8万元以上。同时，项目建成后，落实了后续管护制度，建成后运行良好，延续性达到预期效果，充分发挥了应有的资产效益。</w:t>
      </w:r>
    </w:p>
    <w:p w14:paraId="6E0D9557">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b w:val="0"/>
          <w:color w:val="000000"/>
          <w:kern w:val="2"/>
          <w:sz w:val="31"/>
          <w:szCs w:val="31"/>
          <w:lang w:val="en-US" w:eastAsia="zh-CN" w:bidi="ar-SA"/>
        </w:rPr>
        <w:t>通过衔接资金项目的实施，脱贫户“两不愁三保障”及饮水安全状况得到持续巩固。全县脱</w:t>
      </w:r>
      <w:r>
        <w:rPr>
          <w:rFonts w:hint="eastAsia" w:ascii="仿宋" w:hAnsi="仿宋" w:eastAsia="仿宋" w:cs="仿宋"/>
          <w:b w:val="0"/>
          <w:color w:val="000000"/>
          <w:sz w:val="31"/>
          <w:szCs w:val="31"/>
          <w:lang w:val="en-US" w:eastAsia="zh-CN"/>
        </w:rPr>
        <w:t>贫户2022年家庭人均纯收入</w:t>
      </w:r>
      <w:r>
        <w:rPr>
          <w:rFonts w:hint="eastAsia" w:ascii="仿宋" w:hAnsi="仿宋" w:eastAsia="仿宋" w:cs="仿宋"/>
          <w:sz w:val="31"/>
          <w:szCs w:val="31"/>
          <w:lang w:val="en-US" w:eastAsia="zh-CN"/>
        </w:rPr>
        <w:t>15329</w:t>
      </w:r>
      <w:r>
        <w:rPr>
          <w:rFonts w:hint="eastAsia" w:ascii="仿宋" w:hAnsi="仿宋" w:eastAsia="仿宋" w:cs="仿宋"/>
          <w:b w:val="0"/>
          <w:color w:val="000000"/>
          <w:kern w:val="2"/>
          <w:sz w:val="31"/>
          <w:szCs w:val="31"/>
          <w:lang w:val="en-US" w:eastAsia="zh-CN" w:bidi="ar-SA"/>
        </w:rPr>
        <w:t>元，</w:t>
      </w:r>
      <w:r>
        <w:rPr>
          <w:rFonts w:hint="eastAsia" w:ascii="仿宋" w:hAnsi="仿宋" w:eastAsia="仿宋" w:cs="仿宋"/>
          <w:b w:val="0"/>
          <w:color w:val="000000"/>
          <w:sz w:val="31"/>
          <w:szCs w:val="31"/>
          <w:lang w:val="en-US" w:eastAsia="zh-CN"/>
        </w:rPr>
        <w:t>较2021年增幅达15.3%</w:t>
      </w:r>
      <w:r>
        <w:rPr>
          <w:rFonts w:hint="eastAsia" w:ascii="仿宋" w:hAnsi="仿宋" w:eastAsia="仿宋" w:cs="仿宋"/>
          <w:sz w:val="31"/>
          <w:szCs w:val="31"/>
        </w:rPr>
        <w:t>。</w:t>
      </w:r>
      <w:r>
        <w:rPr>
          <w:rFonts w:hint="eastAsia" w:ascii="仿宋" w:hAnsi="仿宋" w:eastAsia="仿宋" w:cs="仿宋"/>
          <w:sz w:val="31"/>
          <w:szCs w:val="31"/>
          <w:lang w:val="en-US" w:eastAsia="zh-CN"/>
        </w:rPr>
        <w:t>2022年全县农村居民人均可支配收入21699</w:t>
      </w:r>
      <w:r>
        <w:rPr>
          <w:rFonts w:hint="eastAsia" w:ascii="仿宋" w:hAnsi="仿宋" w:eastAsia="仿宋" w:cs="仿宋"/>
          <w:sz w:val="31"/>
          <w:szCs w:val="31"/>
        </w:rPr>
        <w:t>元，</w:t>
      </w:r>
      <w:r>
        <w:rPr>
          <w:rFonts w:hint="eastAsia" w:ascii="仿宋" w:hAnsi="仿宋" w:eastAsia="仿宋" w:cs="仿宋"/>
          <w:sz w:val="31"/>
          <w:szCs w:val="31"/>
          <w:lang w:val="en-US" w:eastAsia="zh-CN"/>
        </w:rPr>
        <w:t>较2021年</w:t>
      </w:r>
      <w:r>
        <w:rPr>
          <w:rFonts w:hint="eastAsia" w:ascii="仿宋" w:hAnsi="仿宋" w:eastAsia="仿宋" w:cs="仿宋"/>
          <w:sz w:val="31"/>
          <w:szCs w:val="31"/>
        </w:rPr>
        <w:t>增</w:t>
      </w:r>
      <w:r>
        <w:rPr>
          <w:rFonts w:hint="eastAsia" w:ascii="仿宋" w:hAnsi="仿宋" w:eastAsia="仿宋" w:cs="仿宋"/>
          <w:sz w:val="31"/>
          <w:szCs w:val="31"/>
          <w:lang w:val="en-US" w:eastAsia="zh-CN"/>
        </w:rPr>
        <w:t>长6.3</w:t>
      </w:r>
      <w:r>
        <w:rPr>
          <w:rFonts w:hint="eastAsia" w:ascii="仿宋" w:hAnsi="仿宋" w:eastAsia="仿宋" w:cs="仿宋"/>
          <w:sz w:val="31"/>
          <w:szCs w:val="31"/>
        </w:rPr>
        <w:t>%。</w:t>
      </w:r>
      <w:r>
        <w:rPr>
          <w:rFonts w:hint="eastAsia" w:ascii="仿宋" w:hAnsi="仿宋" w:eastAsia="仿宋" w:cs="仿宋"/>
          <w:b w:val="0"/>
          <w:color w:val="000000"/>
          <w:kern w:val="2"/>
          <w:sz w:val="31"/>
          <w:szCs w:val="31"/>
          <w:lang w:val="en-US" w:eastAsia="zh-CN" w:bidi="ar-SA"/>
        </w:rPr>
        <w:t>2022年全县脱</w:t>
      </w:r>
      <w:r>
        <w:rPr>
          <w:rFonts w:hint="eastAsia" w:ascii="仿宋" w:hAnsi="仿宋" w:eastAsia="仿宋" w:cs="仿宋"/>
          <w:b w:val="0"/>
          <w:color w:val="000000"/>
          <w:sz w:val="31"/>
          <w:szCs w:val="31"/>
          <w:lang w:val="en-US" w:eastAsia="zh-CN"/>
        </w:rPr>
        <w:t>贫户家庭人均纯收入增幅</w:t>
      </w:r>
      <w:r>
        <w:rPr>
          <w:rFonts w:hint="eastAsia" w:ascii="仿宋" w:hAnsi="仿宋" w:eastAsia="仿宋" w:cs="仿宋"/>
          <w:b w:val="0"/>
          <w:color w:val="000000"/>
          <w:kern w:val="2"/>
          <w:sz w:val="31"/>
          <w:szCs w:val="31"/>
          <w:lang w:val="en-US" w:eastAsia="zh-CN" w:bidi="ar-SA"/>
        </w:rPr>
        <w:t>高于全县</w:t>
      </w:r>
      <w:r>
        <w:rPr>
          <w:rFonts w:hint="eastAsia" w:ascii="仿宋" w:hAnsi="仿宋" w:eastAsia="仿宋" w:cs="仿宋"/>
          <w:sz w:val="31"/>
          <w:szCs w:val="31"/>
          <w:lang w:val="en-US" w:eastAsia="zh-CN"/>
        </w:rPr>
        <w:t>农村居民人均可支配收入增幅</w:t>
      </w:r>
      <w:r>
        <w:rPr>
          <w:rFonts w:hint="eastAsia" w:ascii="仿宋" w:hAnsi="仿宋" w:eastAsia="仿宋" w:cs="仿宋"/>
          <w:b w:val="0"/>
          <w:color w:val="000000"/>
          <w:kern w:val="2"/>
          <w:sz w:val="31"/>
          <w:szCs w:val="31"/>
          <w:lang w:val="en-US" w:eastAsia="zh-CN" w:bidi="ar-SA"/>
        </w:rPr>
        <w:t>。</w:t>
      </w:r>
    </w:p>
    <w:p w14:paraId="254F5EEC">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sz w:val="31"/>
          <w:szCs w:val="31"/>
        </w:rPr>
        <w:t>2.社会效益。</w:t>
      </w:r>
      <w:r>
        <w:rPr>
          <w:rFonts w:hint="eastAsia" w:ascii="仿宋" w:hAnsi="仿宋" w:eastAsia="仿宋" w:cs="仿宋"/>
          <w:b w:val="0"/>
          <w:color w:val="000000"/>
          <w:kern w:val="2"/>
          <w:sz w:val="31"/>
          <w:szCs w:val="31"/>
          <w:lang w:val="en-US" w:eastAsia="zh-CN" w:bidi="ar-SA"/>
        </w:rPr>
        <w:t>通过实施渔门镇鳡鱼村和格萨拉乡韭菜坪村人饮等项目，有效解决了鳡鱼村侯家坪组112户560人和韭菜坪村马齿得、韭菜坪两个村民小组120户540人的安全饮水问题，巩固脱贫成效。通过实施国胜乡大毕村和惠民镇兴隆村水利设施项目，有效解决了农户生产用水难问题。通过实施温泉乡野麻地村村部文化院坝翻修和渔门镇鳡鱼村公共服务项目，进一步改善了公共服务水平，提高交易市场整体功能，提升推进产业配套服务。</w:t>
      </w:r>
    </w:p>
    <w:p w14:paraId="21E3F4BC">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firstLine="663"/>
        <w:jc w:val="both"/>
        <w:textAlignment w:val="auto"/>
        <w:rPr>
          <w:rFonts w:hint="eastAsia" w:ascii="仿宋" w:hAnsi="仿宋" w:eastAsia="仿宋" w:cs="仿宋"/>
          <w:sz w:val="31"/>
          <w:szCs w:val="31"/>
        </w:rPr>
      </w:pPr>
    </w:p>
    <w:p w14:paraId="68296FC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eastAsia="zh-CN"/>
        </w:rPr>
      </w:pPr>
      <w:r>
        <w:rPr>
          <w:rFonts w:hint="eastAsia" w:ascii="仿宋" w:hAnsi="仿宋" w:eastAsia="仿宋" w:cs="仿宋"/>
          <w:sz w:val="31"/>
          <w:szCs w:val="31"/>
        </w:rPr>
        <w:t>3.生态效益。</w:t>
      </w:r>
      <w:r>
        <w:rPr>
          <w:rFonts w:hint="eastAsia" w:ascii="仿宋" w:hAnsi="仿宋" w:eastAsia="仿宋" w:cs="仿宋"/>
          <w:b w:val="0"/>
          <w:color w:val="000000"/>
          <w:sz w:val="31"/>
          <w:szCs w:val="31"/>
          <w:lang w:val="en-US" w:eastAsia="zh-CN"/>
        </w:rPr>
        <w:t>2022年度我县共计到位省级财政衔接资金（巩固拓展脱贫攻坚成果和乡村振兴任务）4636万元，省级资金支持产业发展资金规模2673.409万元，用于产业发展资金占比57.67%。2021年度我县共计到位省级财政衔接资金（巩固拓展脱贫攻坚成果和乡村振兴任务）4616万元，其中补助资金支持产业发展资金规模2508.92万元，用于产业发展资金占比54.35%。</w:t>
      </w:r>
      <w:r>
        <w:rPr>
          <w:rFonts w:hint="eastAsia" w:ascii="仿宋" w:hAnsi="仿宋" w:eastAsia="仿宋" w:cs="仿宋"/>
          <w:sz w:val="31"/>
          <w:szCs w:val="31"/>
          <w:lang w:eastAsia="zh-CN"/>
        </w:rPr>
        <w:t>对生态效益产生一定的作用。</w:t>
      </w:r>
    </w:p>
    <w:p w14:paraId="23C5DFC6">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sz w:val="31"/>
          <w:szCs w:val="31"/>
        </w:rPr>
        <w:t>4.可持续影响。</w:t>
      </w:r>
      <w:r>
        <w:rPr>
          <w:rFonts w:hint="eastAsia" w:ascii="仿宋" w:hAnsi="仿宋" w:eastAsia="仿宋" w:cs="仿宋"/>
          <w:b w:val="0"/>
          <w:color w:val="000000"/>
          <w:kern w:val="2"/>
          <w:sz w:val="31"/>
          <w:szCs w:val="31"/>
          <w:lang w:val="en-US" w:eastAsia="zh-CN" w:bidi="ar-SA"/>
        </w:rPr>
        <w:t>通过实施红果乡梁子田村澳洲坚果试种及惠民镇青龙村珠芽金魔芋试种项目，通过引领示范带动，可持续带动其他农户发展特色产业，让农户增收致富，解决目前产业发展瓶颈问题。</w:t>
      </w:r>
    </w:p>
    <w:p w14:paraId="52D43746">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sz w:val="31"/>
          <w:szCs w:val="31"/>
        </w:rPr>
      </w:pPr>
      <w:r>
        <w:rPr>
          <w:rFonts w:hint="eastAsia" w:ascii="仿宋" w:hAnsi="仿宋" w:eastAsia="仿宋" w:cs="仿宋"/>
          <w:sz w:val="31"/>
          <w:szCs w:val="31"/>
        </w:rPr>
        <w:t>（三）满意度指标完成情况分析。</w:t>
      </w:r>
    </w:p>
    <w:p w14:paraId="3C216F49">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b w:val="0"/>
          <w:color w:val="000000"/>
          <w:kern w:val="2"/>
          <w:sz w:val="31"/>
          <w:szCs w:val="31"/>
          <w:lang w:val="en-US" w:eastAsia="zh-CN" w:bidi="ar-SA"/>
        </w:rPr>
        <w:t>通过实施财政衔接资金项目，项目区受益群众满意度均在90%以上，群众的获得感和幸福感不断增强，极大地提高了群众参与乡村建设的积极性。</w:t>
      </w:r>
    </w:p>
    <w:p w14:paraId="11466566">
      <w:pPr>
        <w:spacing w:line="560" w:lineRule="exact"/>
        <w:ind w:firstLine="622" w:firstLineChars="200"/>
        <w:rPr>
          <w:rFonts w:hint="eastAsia" w:ascii="仿宋" w:hAnsi="仿宋" w:eastAsia="仿宋" w:cs="仿宋"/>
          <w:b/>
          <w:sz w:val="31"/>
          <w:szCs w:val="31"/>
        </w:rPr>
      </w:pPr>
      <w:r>
        <w:rPr>
          <w:rFonts w:hint="eastAsia" w:ascii="仿宋" w:hAnsi="仿宋" w:eastAsia="仿宋" w:cs="仿宋"/>
          <w:b/>
          <w:sz w:val="31"/>
          <w:szCs w:val="31"/>
          <w:lang w:val="en-US" w:eastAsia="zh-CN"/>
        </w:rPr>
        <w:t>四</w:t>
      </w:r>
      <w:r>
        <w:rPr>
          <w:rFonts w:hint="eastAsia" w:ascii="仿宋" w:hAnsi="仿宋" w:eastAsia="仿宋" w:cs="仿宋"/>
          <w:b/>
          <w:sz w:val="31"/>
          <w:szCs w:val="31"/>
        </w:rPr>
        <w:t>、评价结论及建议</w:t>
      </w:r>
    </w:p>
    <w:p w14:paraId="61A2A51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textAlignment w:val="auto"/>
        <w:rPr>
          <w:rFonts w:hint="eastAsia" w:ascii="仿宋" w:hAnsi="仿宋" w:eastAsia="仿宋" w:cs="仿宋"/>
          <w:kern w:val="0"/>
          <w:sz w:val="31"/>
          <w:szCs w:val="31"/>
          <w:lang w:val="zh-CN"/>
        </w:rPr>
      </w:pPr>
      <w:r>
        <w:rPr>
          <w:rFonts w:hint="eastAsia" w:ascii="仿宋" w:hAnsi="仿宋" w:eastAsia="仿宋" w:cs="仿宋"/>
          <w:kern w:val="0"/>
          <w:sz w:val="31"/>
          <w:szCs w:val="31"/>
          <w:lang w:val="zh-CN"/>
        </w:rPr>
        <w:t>（</w:t>
      </w:r>
      <w:r>
        <w:rPr>
          <w:rFonts w:hint="eastAsia" w:ascii="仿宋" w:hAnsi="仿宋" w:eastAsia="仿宋" w:cs="仿宋"/>
          <w:kern w:val="0"/>
          <w:sz w:val="31"/>
          <w:szCs w:val="31"/>
          <w:lang w:val="en-US" w:eastAsia="zh-CN"/>
        </w:rPr>
        <w:t>一</w:t>
      </w:r>
      <w:r>
        <w:rPr>
          <w:rFonts w:hint="eastAsia" w:ascii="仿宋" w:hAnsi="仿宋" w:eastAsia="仿宋" w:cs="仿宋"/>
          <w:kern w:val="0"/>
          <w:sz w:val="31"/>
          <w:szCs w:val="31"/>
          <w:lang w:val="zh-CN"/>
        </w:rPr>
        <w:t>）评价结论。</w:t>
      </w:r>
    </w:p>
    <w:p w14:paraId="360E7D6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盐边县202</w:t>
      </w:r>
      <w:r>
        <w:rPr>
          <w:rFonts w:hint="eastAsia" w:ascii="仿宋" w:hAnsi="仿宋" w:eastAsia="仿宋" w:cs="仿宋"/>
          <w:sz w:val="31"/>
          <w:szCs w:val="31"/>
          <w:lang w:val="en-US" w:eastAsia="zh-CN"/>
        </w:rPr>
        <w:t>2</w:t>
      </w:r>
      <w:r>
        <w:rPr>
          <w:rFonts w:hint="eastAsia" w:ascii="仿宋" w:hAnsi="仿宋" w:eastAsia="仿宋" w:cs="仿宋"/>
          <w:sz w:val="31"/>
          <w:szCs w:val="31"/>
        </w:rPr>
        <w:t>年财政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资金项目在市财政局、市</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局的帮助指导下，在县委、县政府的领导下，各部门、各乡镇紧密合作，精准施策，项目总体完成较好，已发挥了良好的经济、社会、生态等效益，群众满意度高，经综合评价，202</w:t>
      </w:r>
      <w:r>
        <w:rPr>
          <w:rFonts w:hint="eastAsia" w:ascii="仿宋" w:hAnsi="仿宋" w:eastAsia="仿宋" w:cs="仿宋"/>
          <w:sz w:val="31"/>
          <w:szCs w:val="31"/>
          <w:lang w:val="en-US" w:eastAsia="zh-CN"/>
        </w:rPr>
        <w:t>2</w:t>
      </w:r>
      <w:r>
        <w:rPr>
          <w:rFonts w:hint="eastAsia" w:ascii="仿宋" w:hAnsi="仿宋" w:eastAsia="仿宋" w:cs="仿宋"/>
          <w:sz w:val="31"/>
          <w:szCs w:val="31"/>
        </w:rPr>
        <w:t>年市级财政扶贫资金项目支出绩效评价考核自评分100分。</w:t>
      </w:r>
    </w:p>
    <w:p w14:paraId="2AC5A24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textAlignment w:val="auto"/>
        <w:rPr>
          <w:rFonts w:hint="eastAsia" w:ascii="仿宋" w:hAnsi="仿宋" w:eastAsia="仿宋" w:cs="仿宋"/>
          <w:kern w:val="0"/>
          <w:sz w:val="31"/>
          <w:szCs w:val="31"/>
          <w:lang w:val="zh-CN"/>
        </w:rPr>
      </w:pPr>
      <w:r>
        <w:rPr>
          <w:rFonts w:hint="eastAsia" w:ascii="仿宋" w:hAnsi="仿宋" w:eastAsia="仿宋" w:cs="仿宋"/>
          <w:kern w:val="0"/>
          <w:sz w:val="31"/>
          <w:szCs w:val="31"/>
          <w:lang w:val="zh-CN"/>
        </w:rPr>
        <w:t>（</w:t>
      </w:r>
      <w:r>
        <w:rPr>
          <w:rFonts w:hint="eastAsia" w:ascii="仿宋" w:hAnsi="仿宋" w:eastAsia="仿宋" w:cs="仿宋"/>
          <w:kern w:val="0"/>
          <w:sz w:val="31"/>
          <w:szCs w:val="31"/>
          <w:lang w:val="en-US" w:eastAsia="zh-CN"/>
        </w:rPr>
        <w:t>二</w:t>
      </w:r>
      <w:r>
        <w:rPr>
          <w:rFonts w:hint="eastAsia" w:ascii="仿宋" w:hAnsi="仿宋" w:eastAsia="仿宋" w:cs="仿宋"/>
          <w:kern w:val="0"/>
          <w:sz w:val="31"/>
          <w:szCs w:val="31"/>
          <w:lang w:val="zh-CN"/>
        </w:rPr>
        <w:t>）存在的问题。</w:t>
      </w:r>
    </w:p>
    <w:p w14:paraId="1090253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由于乡、村两级从事乡村振兴工作的人员变动大，许多都是新人，</w:t>
      </w:r>
      <w:r>
        <w:rPr>
          <w:rFonts w:hint="eastAsia" w:ascii="仿宋" w:hAnsi="仿宋" w:eastAsia="仿宋" w:cs="仿宋"/>
          <w:sz w:val="31"/>
          <w:szCs w:val="31"/>
        </w:rPr>
        <w:t>项目乡镇缺乏技术管理干部及专业技术人员，</w:t>
      </w:r>
      <w:r>
        <w:rPr>
          <w:rFonts w:hint="eastAsia" w:ascii="仿宋" w:hAnsi="仿宋" w:eastAsia="仿宋" w:cs="仿宋"/>
          <w:sz w:val="31"/>
          <w:szCs w:val="31"/>
          <w:lang w:val="en-US" w:eastAsia="zh-CN"/>
        </w:rPr>
        <w:t>导致财务报账资料及项目竣工资料上交缓慢</w:t>
      </w:r>
      <w:r>
        <w:rPr>
          <w:rFonts w:hint="eastAsia" w:ascii="仿宋" w:hAnsi="仿宋" w:eastAsia="仿宋" w:cs="仿宋"/>
          <w:sz w:val="31"/>
          <w:szCs w:val="31"/>
        </w:rPr>
        <w:t>。</w:t>
      </w:r>
    </w:p>
    <w:p w14:paraId="02FB96A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textAlignment w:val="auto"/>
        <w:rPr>
          <w:rFonts w:hint="eastAsia" w:ascii="仿宋" w:hAnsi="仿宋" w:eastAsia="仿宋" w:cs="仿宋"/>
          <w:kern w:val="0"/>
          <w:sz w:val="31"/>
          <w:szCs w:val="31"/>
          <w:lang w:val="zh-CN"/>
        </w:rPr>
      </w:pPr>
      <w:r>
        <w:rPr>
          <w:rFonts w:hint="eastAsia" w:ascii="仿宋" w:hAnsi="仿宋" w:eastAsia="仿宋" w:cs="仿宋"/>
          <w:kern w:val="0"/>
          <w:sz w:val="31"/>
          <w:szCs w:val="31"/>
          <w:lang w:val="zh-CN"/>
        </w:rPr>
        <w:t>（</w:t>
      </w:r>
      <w:r>
        <w:rPr>
          <w:rFonts w:hint="eastAsia" w:ascii="仿宋" w:hAnsi="仿宋" w:eastAsia="仿宋" w:cs="仿宋"/>
          <w:kern w:val="0"/>
          <w:sz w:val="31"/>
          <w:szCs w:val="31"/>
          <w:lang w:val="en-US" w:eastAsia="zh-CN"/>
        </w:rPr>
        <w:t>三</w:t>
      </w:r>
      <w:r>
        <w:rPr>
          <w:rFonts w:hint="eastAsia" w:ascii="仿宋" w:hAnsi="仿宋" w:eastAsia="仿宋" w:cs="仿宋"/>
          <w:kern w:val="0"/>
          <w:sz w:val="31"/>
          <w:szCs w:val="31"/>
          <w:lang w:val="zh-CN"/>
        </w:rPr>
        <w:t>）相关建议。</w:t>
      </w:r>
    </w:p>
    <w:p w14:paraId="0D5318C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一是加强对项目实施乡（镇）项目资金管理人员的业务培训，提高业务水平，特别是</w:t>
      </w:r>
      <w:r>
        <w:rPr>
          <w:rFonts w:hint="eastAsia" w:ascii="仿宋" w:hAnsi="仿宋" w:eastAsia="仿宋" w:cs="仿宋"/>
          <w:sz w:val="31"/>
          <w:szCs w:val="31"/>
          <w:lang w:eastAsia="zh-CN"/>
        </w:rPr>
        <w:t>做好</w:t>
      </w:r>
      <w:r>
        <w:rPr>
          <w:rFonts w:hint="eastAsia" w:ascii="仿宋" w:hAnsi="仿宋" w:eastAsia="仿宋" w:cs="仿宋"/>
          <w:sz w:val="31"/>
          <w:szCs w:val="31"/>
        </w:rPr>
        <w:t>项目竣工资料水平，争取项目竣工后，尽快提交项目竣工资料，资料审核合格后，组织县级验收，加快项目报账进度。</w:t>
      </w:r>
    </w:p>
    <w:p w14:paraId="1879271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二是加强对财政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资金绩效评价业务培训，增强基层绩效管理能力，提高绩效评价工作效率。</w:t>
      </w:r>
    </w:p>
    <w:p w14:paraId="1AF7CEE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hint="eastAsia" w:ascii="黑体" w:hAnsi="黑体" w:eastAsia="黑体"/>
          <w:sz w:val="44"/>
          <w:szCs w:val="44"/>
        </w:rPr>
      </w:pPr>
    </w:p>
    <w:p w14:paraId="02C0F2B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hint="eastAsia" w:ascii="黑体" w:hAnsi="黑体" w:eastAsia="黑体"/>
          <w:sz w:val="44"/>
          <w:szCs w:val="44"/>
        </w:rPr>
      </w:pPr>
    </w:p>
    <w:p w14:paraId="41B55D0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hint="eastAsia" w:ascii="黑体" w:hAnsi="黑体" w:eastAsia="黑体"/>
          <w:sz w:val="44"/>
          <w:szCs w:val="44"/>
        </w:rPr>
      </w:pPr>
    </w:p>
    <w:p w14:paraId="56283D8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5"/>
      <w:bookmarkEnd w:id="57"/>
      <w:bookmarkStart w:id="58" w:name="_Toc15396619"/>
    </w:p>
    <w:p w14:paraId="52C8A728">
      <w:pPr>
        <w:pStyle w:val="3"/>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8"/>
    </w:p>
    <w:p w14:paraId="12E65E67">
      <w:pPr>
        <w:pStyle w:val="3"/>
        <w:rPr>
          <w:rFonts w:ascii="仿宋" w:hAnsi="仿宋" w:eastAsia="仿宋"/>
        </w:rPr>
      </w:pPr>
      <w:bookmarkStart w:id="59" w:name="_Toc15396620"/>
      <w:r>
        <w:rPr>
          <w:rFonts w:hint="eastAsia" w:ascii="仿宋" w:hAnsi="仿宋" w:eastAsia="仿宋"/>
          <w:b w:val="0"/>
        </w:rPr>
        <w:t>二、收</w:t>
      </w:r>
      <w:r>
        <w:rPr>
          <w:rStyle w:val="29"/>
          <w:rFonts w:hint="eastAsia" w:ascii="仿宋" w:hAnsi="仿宋" w:eastAsia="仿宋"/>
          <w:b w:val="0"/>
          <w:bCs w:val="0"/>
        </w:rPr>
        <w:t>入决算表</w:t>
      </w:r>
      <w:bookmarkEnd w:id="59"/>
    </w:p>
    <w:p w14:paraId="0F1417EA">
      <w:pPr>
        <w:pStyle w:val="3"/>
        <w:rPr>
          <w:rFonts w:ascii="仿宋" w:hAnsi="仿宋" w:eastAsia="仿宋"/>
        </w:rPr>
      </w:pPr>
      <w:bookmarkStart w:id="6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0"/>
    </w:p>
    <w:p w14:paraId="3262C821">
      <w:pPr>
        <w:pStyle w:val="3"/>
        <w:rPr>
          <w:rFonts w:ascii="仿宋" w:hAnsi="仿宋" w:eastAsia="仿宋"/>
          <w:b w:val="0"/>
        </w:rPr>
      </w:pPr>
      <w:bookmarkStart w:id="61"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1"/>
    </w:p>
    <w:p w14:paraId="7228D21A">
      <w:pPr>
        <w:pStyle w:val="3"/>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2"/>
      <w:bookmarkStart w:id="63" w:name="_Toc15396624"/>
    </w:p>
    <w:p w14:paraId="35E49F5C">
      <w:pPr>
        <w:pStyle w:val="3"/>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3"/>
    </w:p>
    <w:p w14:paraId="57233998">
      <w:pPr>
        <w:pStyle w:val="3"/>
        <w:rPr>
          <w:rFonts w:ascii="仿宋" w:hAnsi="仿宋" w:eastAsia="仿宋"/>
        </w:rPr>
      </w:pPr>
      <w:bookmarkStart w:id="6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4"/>
    </w:p>
    <w:p w14:paraId="4F570D82">
      <w:pPr>
        <w:pStyle w:val="3"/>
        <w:rPr>
          <w:rFonts w:ascii="仿宋" w:hAnsi="仿宋" w:eastAsia="仿宋"/>
        </w:rPr>
      </w:pPr>
      <w:bookmarkStart w:id="6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5"/>
    </w:p>
    <w:p w14:paraId="2C0CC6BD">
      <w:pPr>
        <w:pStyle w:val="3"/>
        <w:rPr>
          <w:rFonts w:ascii="仿宋" w:hAnsi="仿宋" w:eastAsia="仿宋"/>
        </w:rPr>
      </w:pPr>
      <w:bookmarkStart w:id="6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6"/>
    </w:p>
    <w:p w14:paraId="59429B6E">
      <w:pPr>
        <w:pStyle w:val="3"/>
        <w:rPr>
          <w:rFonts w:ascii="仿宋" w:hAnsi="仿宋" w:eastAsia="仿宋"/>
        </w:rPr>
      </w:pPr>
      <w:bookmarkStart w:id="67" w:name="_Toc15396628"/>
      <w:r>
        <w:rPr>
          <w:rStyle w:val="29"/>
          <w:rFonts w:hint="eastAsia" w:ascii="仿宋" w:hAnsi="仿宋" w:eastAsia="仿宋"/>
          <w:b w:val="0"/>
          <w:bCs w:val="0"/>
        </w:rPr>
        <w:t>十、</w:t>
      </w:r>
      <w:bookmarkEnd w:id="67"/>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5890312E">
      <w:pPr>
        <w:pStyle w:val="3"/>
        <w:rPr>
          <w:rFonts w:ascii="仿宋" w:hAnsi="仿宋" w:eastAsia="仿宋"/>
        </w:rPr>
      </w:pPr>
      <w:bookmarkStart w:id="68" w:name="_Toc15396629"/>
      <w:r>
        <w:rPr>
          <w:rStyle w:val="29"/>
          <w:rFonts w:hint="eastAsia" w:ascii="仿宋" w:hAnsi="仿宋" w:eastAsia="仿宋"/>
          <w:b w:val="0"/>
          <w:bCs w:val="0"/>
        </w:rPr>
        <w:t>十一、</w:t>
      </w:r>
      <w:bookmarkEnd w:id="68"/>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0FC52EB8">
      <w:pPr>
        <w:pStyle w:val="3"/>
        <w:rPr>
          <w:rFonts w:ascii="仿宋" w:hAnsi="仿宋" w:eastAsia="仿宋"/>
        </w:rPr>
      </w:pPr>
      <w:bookmarkStart w:id="69" w:name="_Toc15396630"/>
      <w:r>
        <w:rPr>
          <w:rStyle w:val="29"/>
          <w:rFonts w:hint="eastAsia" w:ascii="仿宋" w:hAnsi="仿宋" w:eastAsia="仿宋"/>
          <w:b w:val="0"/>
          <w:bCs w:val="0"/>
        </w:rPr>
        <w:t>十二、</w:t>
      </w:r>
      <w:bookmarkEnd w:id="69"/>
      <w:r>
        <w:rPr>
          <w:rStyle w:val="29"/>
          <w:rFonts w:hint="eastAsia" w:ascii="仿宋" w:hAnsi="仿宋" w:eastAsia="仿宋"/>
          <w:b w:val="0"/>
          <w:bCs w:val="0"/>
        </w:rPr>
        <w:t>国有资本经营预算财政拨款支出决算表</w:t>
      </w:r>
    </w:p>
    <w:p w14:paraId="1B57D3D6">
      <w:pPr>
        <w:pStyle w:val="3"/>
        <w:rPr>
          <w:rFonts w:eastAsia="仿宋"/>
        </w:rPr>
      </w:pPr>
      <w:bookmarkStart w:id="70" w:name="_Toc15396631"/>
      <w:r>
        <w:rPr>
          <w:rStyle w:val="29"/>
          <w:rFonts w:hint="eastAsia" w:ascii="仿宋" w:hAnsi="仿宋" w:eastAsia="仿宋"/>
          <w:b w:val="0"/>
          <w:bCs w:val="0"/>
        </w:rPr>
        <w:t>十三、</w:t>
      </w:r>
      <w:bookmarkEnd w:id="70"/>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楷体_GBK">
    <w:panose1 w:val="02000000000000000000"/>
    <w:charset w:val="86"/>
    <w:family w:val="roman"/>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33AFA96">
        <w:pPr>
          <w:pStyle w:val="11"/>
          <w:jc w:val="center"/>
        </w:pPr>
        <w:r>
          <w:fldChar w:fldCharType="begin"/>
        </w:r>
        <w:r>
          <w:instrText xml:space="preserve">PAGE   \* MERGEFORMAT</w:instrText>
        </w:r>
        <w:r>
          <w:fldChar w:fldCharType="separate"/>
        </w:r>
        <w:r>
          <w:rPr>
            <w:lang w:val="zh-CN"/>
          </w:rPr>
          <w:t>17</w:t>
        </w:r>
        <w:r>
          <w:fldChar w:fldCharType="end"/>
        </w:r>
      </w:p>
    </w:sdtContent>
  </w:sdt>
  <w:p w14:paraId="2F15ACE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288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0305E"/>
    <w:multiLevelType w:val="singleLevel"/>
    <w:tmpl w:val="BD90305E"/>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7C21039"/>
    <w:multiLevelType w:val="singleLevel"/>
    <w:tmpl w:val="F7C21039"/>
    <w:lvl w:ilvl="0" w:tentative="0">
      <w:start w:val="1"/>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06D89DC5"/>
    <w:multiLevelType w:val="singleLevel"/>
    <w:tmpl w:val="06D89DC5"/>
    <w:lvl w:ilvl="0" w:tentative="0">
      <w:start w:val="1"/>
      <w:numFmt w:val="decimal"/>
      <w:lvlText w:val="%1."/>
      <w:lvlJc w:val="left"/>
      <w:pPr>
        <w:tabs>
          <w:tab w:val="left" w:pos="312"/>
        </w:tabs>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D4A5BC1"/>
    <w:multiLevelType w:val="singleLevel"/>
    <w:tmpl w:val="2D4A5BC1"/>
    <w:lvl w:ilvl="0" w:tentative="0">
      <w:start w:val="15"/>
      <w:numFmt w:val="decimal"/>
      <w:suff w:val="nothing"/>
      <w:lvlText w:val="（%1）"/>
      <w:lvlJc w:val="left"/>
    </w:lvl>
  </w:abstractNum>
  <w:abstractNum w:abstractNumId="8">
    <w:nsid w:val="492A1BD1"/>
    <w:multiLevelType w:val="singleLevel"/>
    <w:tmpl w:val="492A1BD1"/>
    <w:lvl w:ilvl="0" w:tentative="0">
      <w:start w:val="2"/>
      <w:numFmt w:val="decimal"/>
      <w:lvlText w:val="%1."/>
      <w:lvlJc w:val="left"/>
      <w:pPr>
        <w:tabs>
          <w:tab w:val="left" w:pos="312"/>
        </w:tabs>
        <w:ind w:left="785" w:firstLine="0"/>
      </w:pPr>
    </w:lvl>
  </w:abstractNum>
  <w:abstractNum w:abstractNumId="9">
    <w:nsid w:val="5F8A4E0C"/>
    <w:multiLevelType w:val="singleLevel"/>
    <w:tmpl w:val="5F8A4E0C"/>
    <w:lvl w:ilvl="0" w:tentative="0">
      <w:start w:val="1"/>
      <w:numFmt w:val="decimal"/>
      <w:suff w:val="nothing"/>
      <w:lvlText w:val="%1."/>
      <w:lvlJc w:val="left"/>
      <w:rPr>
        <w:rFonts w:hint="default"/>
        <w:b/>
        <w:bCs/>
      </w:rPr>
    </w:lvl>
  </w:abstractNum>
  <w:abstractNum w:abstractNumId="10">
    <w:nsid w:val="637B0070"/>
    <w:multiLevelType w:val="singleLevel"/>
    <w:tmpl w:val="637B0070"/>
    <w:lvl w:ilvl="0" w:tentative="0">
      <w:start w:val="3"/>
      <w:numFmt w:val="chineseCounting"/>
      <w:suff w:val="nothing"/>
      <w:lvlText w:val="%1、"/>
      <w:lvlJc w:val="left"/>
      <w:rPr>
        <w:rFonts w:hint="eastAsia"/>
      </w:rPr>
    </w:lvl>
  </w:abstractNum>
  <w:abstractNum w:abstractNumId="11">
    <w:nsid w:val="6CA9C722"/>
    <w:multiLevelType w:val="singleLevel"/>
    <w:tmpl w:val="6CA9C722"/>
    <w:lvl w:ilvl="0" w:tentative="0">
      <w:start w:val="1"/>
      <w:numFmt w:val="decimal"/>
      <w:suff w:val="nothing"/>
      <w:lvlText w:val="（%1）"/>
      <w:lvlJc w:val="left"/>
      <w:pPr>
        <w:ind w:left="210"/>
      </w:pPr>
      <w:rPr>
        <w:rFonts w:hint="default" w:ascii="仿宋" w:hAnsi="仿宋" w:eastAsia="仿宋" w:cs="仿宋"/>
        <w:sz w:val="32"/>
        <w:szCs w:val="32"/>
      </w:rPr>
    </w:lvl>
  </w:abstractNum>
  <w:abstractNum w:abstractNumId="12">
    <w:nsid w:val="6E7118C8"/>
    <w:multiLevelType w:val="singleLevel"/>
    <w:tmpl w:val="6E7118C8"/>
    <w:lvl w:ilvl="0" w:tentative="0">
      <w:start w:val="2"/>
      <w:numFmt w:val="decimal"/>
      <w:lvlText w:val="%1."/>
      <w:lvlJc w:val="left"/>
      <w:pPr>
        <w:tabs>
          <w:tab w:val="left" w:pos="312"/>
        </w:tabs>
      </w:pPr>
    </w:lvl>
  </w:abstractNum>
  <w:abstractNum w:abstractNumId="13">
    <w:nsid w:val="73026A4B"/>
    <w:multiLevelType w:val="singleLevel"/>
    <w:tmpl w:val="73026A4B"/>
    <w:lvl w:ilvl="0" w:tentative="0">
      <w:start w:val="26"/>
      <w:numFmt w:val="decimal"/>
      <w:suff w:val="nothing"/>
      <w:lvlText w:val="（%1）"/>
      <w:lvlJc w:val="left"/>
      <w:pPr>
        <w:ind w:left="210"/>
      </w:pPr>
    </w:lvl>
  </w:abstractNum>
  <w:num w:numId="1">
    <w:abstractNumId w:val="6"/>
  </w:num>
  <w:num w:numId="2">
    <w:abstractNumId w:val="9"/>
  </w:num>
  <w:num w:numId="3">
    <w:abstractNumId w:val="1"/>
  </w:num>
  <w:num w:numId="4">
    <w:abstractNumId w:val="2"/>
  </w:num>
  <w:num w:numId="5">
    <w:abstractNumId w:val="4"/>
  </w:num>
  <w:num w:numId="6">
    <w:abstractNumId w:val="3"/>
  </w:num>
  <w:num w:numId="7">
    <w:abstractNumId w:val="0"/>
  </w:num>
  <w:num w:numId="8">
    <w:abstractNumId w:val="7"/>
  </w:num>
  <w:num w:numId="9">
    <w:abstractNumId w:val="13"/>
  </w:num>
  <w:num w:numId="10">
    <w:abstractNumId w:val="12"/>
  </w:num>
  <w:num w:numId="11">
    <w:abstractNumId w:val="8"/>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WE4NjEwMTM4NWEyMjM5MzU5MzVmYjZiZDkyOGIifQ=="/>
  </w:docVars>
  <w:rsids>
    <w:rsidRoot w:val="00F1361C"/>
    <w:rsid w:val="000142FB"/>
    <w:rsid w:val="000222C6"/>
    <w:rsid w:val="0002549F"/>
    <w:rsid w:val="000468DB"/>
    <w:rsid w:val="0006487A"/>
    <w:rsid w:val="00065F8F"/>
    <w:rsid w:val="00070A43"/>
    <w:rsid w:val="000768F2"/>
    <w:rsid w:val="0009184B"/>
    <w:rsid w:val="00094236"/>
    <w:rsid w:val="0009593C"/>
    <w:rsid w:val="00097322"/>
    <w:rsid w:val="000A6A92"/>
    <w:rsid w:val="000B047F"/>
    <w:rsid w:val="000B1D1B"/>
    <w:rsid w:val="000B5923"/>
    <w:rsid w:val="000B5A48"/>
    <w:rsid w:val="000B6FF3"/>
    <w:rsid w:val="000B7774"/>
    <w:rsid w:val="000C3467"/>
    <w:rsid w:val="000C3CA6"/>
    <w:rsid w:val="000D1267"/>
    <w:rsid w:val="000D1D50"/>
    <w:rsid w:val="000D5782"/>
    <w:rsid w:val="000E6613"/>
    <w:rsid w:val="000E7119"/>
    <w:rsid w:val="00114E9B"/>
    <w:rsid w:val="00115EF5"/>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527F"/>
    <w:rsid w:val="00235629"/>
    <w:rsid w:val="00260C38"/>
    <w:rsid w:val="002616C0"/>
    <w:rsid w:val="00265372"/>
    <w:rsid w:val="002662AA"/>
    <w:rsid w:val="00280496"/>
    <w:rsid w:val="00294DC9"/>
    <w:rsid w:val="00295495"/>
    <w:rsid w:val="002A31DE"/>
    <w:rsid w:val="002A66F7"/>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4B0A"/>
    <w:rsid w:val="003C6115"/>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2FBC"/>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40C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7771"/>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8FA"/>
    <w:rsid w:val="00A56DF2"/>
    <w:rsid w:val="00A56E6E"/>
    <w:rsid w:val="00A67AB5"/>
    <w:rsid w:val="00A733B2"/>
    <w:rsid w:val="00A741C2"/>
    <w:rsid w:val="00A9134F"/>
    <w:rsid w:val="00A91760"/>
    <w:rsid w:val="00A93B00"/>
    <w:rsid w:val="00A93C21"/>
    <w:rsid w:val="00AB64C9"/>
    <w:rsid w:val="00AC3C6A"/>
    <w:rsid w:val="00AD5620"/>
    <w:rsid w:val="00AD656B"/>
    <w:rsid w:val="00AD6763"/>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127B"/>
    <w:rsid w:val="00B77EA6"/>
    <w:rsid w:val="00B81598"/>
    <w:rsid w:val="00B841F1"/>
    <w:rsid w:val="00B90A81"/>
    <w:rsid w:val="00B944D6"/>
    <w:rsid w:val="00BB4DF0"/>
    <w:rsid w:val="00BC289F"/>
    <w:rsid w:val="00BC2D50"/>
    <w:rsid w:val="00BC5361"/>
    <w:rsid w:val="00BC5460"/>
    <w:rsid w:val="00BC6B50"/>
    <w:rsid w:val="00BD0E25"/>
    <w:rsid w:val="00BE083A"/>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2FD5"/>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49F1"/>
    <w:rsid w:val="00E01053"/>
    <w:rsid w:val="00E07ACF"/>
    <w:rsid w:val="00E331A1"/>
    <w:rsid w:val="00E33202"/>
    <w:rsid w:val="00E336A9"/>
    <w:rsid w:val="00E472B1"/>
    <w:rsid w:val="00E50624"/>
    <w:rsid w:val="00E5174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4987"/>
    <w:rsid w:val="00F05438"/>
    <w:rsid w:val="00F05D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DD69BD"/>
    <w:rsid w:val="04A1057A"/>
    <w:rsid w:val="066E0107"/>
    <w:rsid w:val="06C37369"/>
    <w:rsid w:val="07996F6E"/>
    <w:rsid w:val="079A1051"/>
    <w:rsid w:val="090E67E6"/>
    <w:rsid w:val="0A2032A3"/>
    <w:rsid w:val="0A28389B"/>
    <w:rsid w:val="0F98263C"/>
    <w:rsid w:val="101860EC"/>
    <w:rsid w:val="10C055FF"/>
    <w:rsid w:val="118107EC"/>
    <w:rsid w:val="13D50BC4"/>
    <w:rsid w:val="16BB723D"/>
    <w:rsid w:val="1BE8440E"/>
    <w:rsid w:val="1C2038DB"/>
    <w:rsid w:val="1D155CEE"/>
    <w:rsid w:val="1FF35744"/>
    <w:rsid w:val="21022547"/>
    <w:rsid w:val="23860B96"/>
    <w:rsid w:val="240371BF"/>
    <w:rsid w:val="26921D96"/>
    <w:rsid w:val="29FD04D3"/>
    <w:rsid w:val="2C8A61B5"/>
    <w:rsid w:val="2DF04E50"/>
    <w:rsid w:val="2F040D46"/>
    <w:rsid w:val="310F2ADD"/>
    <w:rsid w:val="319F7F4E"/>
    <w:rsid w:val="3304709D"/>
    <w:rsid w:val="33243C57"/>
    <w:rsid w:val="357842CF"/>
    <w:rsid w:val="36AA5135"/>
    <w:rsid w:val="376D39B2"/>
    <w:rsid w:val="37E16F03"/>
    <w:rsid w:val="37E3609B"/>
    <w:rsid w:val="38D469F0"/>
    <w:rsid w:val="3D98207C"/>
    <w:rsid w:val="3E78745D"/>
    <w:rsid w:val="3EE1350E"/>
    <w:rsid w:val="3F171079"/>
    <w:rsid w:val="44E268DA"/>
    <w:rsid w:val="4A627F82"/>
    <w:rsid w:val="4B0E749A"/>
    <w:rsid w:val="4B4F25DA"/>
    <w:rsid w:val="4BE068DB"/>
    <w:rsid w:val="4C25463C"/>
    <w:rsid w:val="4D577224"/>
    <w:rsid w:val="4EAB630A"/>
    <w:rsid w:val="4ECE2238"/>
    <w:rsid w:val="50CD614F"/>
    <w:rsid w:val="537E6D0A"/>
    <w:rsid w:val="5AF92295"/>
    <w:rsid w:val="5CD71FC4"/>
    <w:rsid w:val="621860A9"/>
    <w:rsid w:val="64057DD0"/>
    <w:rsid w:val="6C4A05C8"/>
    <w:rsid w:val="6E7E3605"/>
    <w:rsid w:val="6FF5CC65"/>
    <w:rsid w:val="715C0E4B"/>
    <w:rsid w:val="72734D90"/>
    <w:rsid w:val="73AD73D5"/>
    <w:rsid w:val="73B6EB34"/>
    <w:rsid w:val="744731E5"/>
    <w:rsid w:val="76E3355F"/>
    <w:rsid w:val="778769C8"/>
    <w:rsid w:val="78C1215C"/>
    <w:rsid w:val="79EE5BA4"/>
    <w:rsid w:val="7A894339"/>
    <w:rsid w:val="7B10093C"/>
    <w:rsid w:val="7D1900B1"/>
    <w:rsid w:val="7EEF11D3"/>
    <w:rsid w:val="7FA30C79"/>
    <w:rsid w:val="7FB7269E"/>
    <w:rsid w:val="7FC96657"/>
    <w:rsid w:val="D8D6DB89"/>
    <w:rsid w:val="DB6F4CAB"/>
    <w:rsid w:val="DF6F9789"/>
    <w:rsid w:val="FBDD209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仿宋_GB2312"/>
      <w:sz w:val="28"/>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6"/>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style01"/>
    <w:basedOn w:val="16"/>
    <w:qFormat/>
    <w:uiPriority w:val="0"/>
    <w:rPr>
      <w:rFonts w:hint="eastAsia" w:ascii="方正楷体_GBK" w:eastAsia="方正楷体_GBK"/>
      <w:color w:val="000000"/>
      <w:sz w:val="34"/>
      <w:szCs w:val="34"/>
    </w:rPr>
  </w:style>
  <w:style w:type="character" w:customStyle="1" w:styleId="36">
    <w:name w:val="fontstyle31"/>
    <w:basedOn w:val="16"/>
    <w:qFormat/>
    <w:uiPriority w:val="0"/>
    <w:rPr>
      <w:rFonts w:hint="eastAsia" w:ascii="方正仿宋_GBK" w:eastAsia="方正仿宋_GBK"/>
      <w:color w:val="000000"/>
      <w:sz w:val="34"/>
      <w:szCs w:val="3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收支决算总计变动情况</a:t>
            </a:r>
            <a:endParaRPr altLang="zh-CN"/>
          </a:p>
        </c:rich>
      </c:tx>
      <c:layout/>
      <c:overlay val="0"/>
      <c:spPr>
        <a:noFill/>
        <a:ln>
          <a:noFill/>
        </a:ln>
        <a:effectLst/>
      </c:spPr>
    </c:title>
    <c:autoTitleDeleted val="0"/>
    <c:plotArea>
      <c:layout>
        <c:manualLayout>
          <c:layoutTarget val="inner"/>
          <c:xMode val="edge"/>
          <c:yMode val="edge"/>
          <c:x val="0.143118472985069"/>
          <c:y val="0.19196364816618"/>
          <c:w val="0.851874015748031"/>
          <c:h val="0.71331645569620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8919.47</c:v>
                </c:pt>
                <c:pt idx="1">
                  <c:v>5778.91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15032.47</c:v>
                </c:pt>
                <c:pt idx="1">
                  <c:v>7636.99</c:v>
                </c:pt>
              </c:numCache>
            </c:numRef>
          </c:val>
        </c:ser>
        <c:dLbls>
          <c:showLegendKey val="1"/>
          <c:showVal val="1"/>
          <c:showCatName val="0"/>
          <c:showSerName val="1"/>
          <c:showPercent val="0"/>
          <c:showBubbleSize val="0"/>
        </c:dLbls>
        <c:gapWidth val="219"/>
        <c:overlap val="-27"/>
        <c:axId val="334290120"/>
        <c:axId val="515461981"/>
      </c:barChart>
      <c:catAx>
        <c:axId val="3342901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5461981"/>
        <c:crosses val="autoZero"/>
        <c:auto val="1"/>
        <c:lblAlgn val="ctr"/>
        <c:lblOffset val="100"/>
        <c:noMultiLvlLbl val="0"/>
      </c:catAx>
      <c:valAx>
        <c:axId val="5154619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290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309db3-109e-422b-aec9-04e9d5cf0cd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57</Pages>
  <Words>28</Words>
  <Characters>36</Characters>
  <Lines>57</Lines>
  <Paragraphs>16</Paragraphs>
  <TotalTime>11</TotalTime>
  <ScaleCrop>false</ScaleCrop>
  <LinksUpToDate>false</LinksUpToDate>
  <CharactersWithSpaces>36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2023-10-11T10:25:00Z</dcterms:created>
  <dc:creator>曹颖</dc:creator>
  <cp:lastModifiedBy>huawei</cp:lastModifiedBy>
  <cp:lastPrinted>2023-07-31T10:35:00Z</cp:lastPrinted>
  <dcterms:modified xsi:type="dcterms:W3CDTF">2026-02-05T16:05:58Z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F44E1557296846F886AC6457B96C309F</vt:lpwstr>
  </property>
  <property fmtid="{D5CDD505-2E9C-101B-9397-08002B2CF9AE}" pid="4" name="KSOTemplateDocerSaveRecord">
    <vt:lpwstr>eyJoZGlkIjoiZDg0NDNiYTUxOWU4N2FhYTE5YTc3OTM5YzA0NWVjYWEiLCJ1c2VySWQiOiIxMzY3NTIyMzE2In0=</vt:lpwstr>
  </property>
</Properties>
</file>