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87732">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77425"/>
      <w:bookmarkStart w:id="3" w:name="_Toc15396475"/>
      <w:bookmarkStart w:id="4" w:name="_Toc15396597"/>
      <w:bookmarkStart w:id="5" w:name="_Toc15306267"/>
      <w:bookmarkStart w:id="6" w:name="_Toc15377196"/>
      <w:bookmarkStart w:id="7" w:name="_Toc15396599"/>
      <w:bookmarkStart w:id="8" w:name="_Toc15396602"/>
      <w:bookmarkStart w:id="9" w:name="_Toc15377204"/>
    </w:p>
    <w:p w14:paraId="4AD520AF">
      <w:pPr>
        <w:spacing w:line="600" w:lineRule="exact"/>
        <w:jc w:val="center"/>
        <w:outlineLvl w:val="0"/>
        <w:rPr>
          <w:rFonts w:ascii="方正小标宋简体" w:hAnsi="宋体" w:eastAsia="方正小标宋简体"/>
          <w:sz w:val="72"/>
          <w:szCs w:val="72"/>
        </w:rPr>
      </w:pPr>
    </w:p>
    <w:p w14:paraId="06549085">
      <w:pPr>
        <w:spacing w:line="600" w:lineRule="exact"/>
        <w:jc w:val="center"/>
        <w:outlineLvl w:val="0"/>
        <w:rPr>
          <w:rFonts w:ascii="方正小标宋简体" w:hAnsi="宋体" w:eastAsia="方正小标宋简体"/>
          <w:sz w:val="72"/>
          <w:szCs w:val="72"/>
        </w:rPr>
      </w:pPr>
    </w:p>
    <w:p w14:paraId="69498FD3">
      <w:pPr>
        <w:pStyle w:val="2"/>
        <w:rPr>
          <w:rFonts w:ascii="方正小标宋简体" w:hAnsi="宋体" w:eastAsia="方正小标宋简体"/>
          <w:sz w:val="72"/>
          <w:szCs w:val="72"/>
        </w:rPr>
      </w:pPr>
    </w:p>
    <w:p w14:paraId="61E6E161">
      <w:pPr>
        <w:pStyle w:val="2"/>
        <w:rPr>
          <w:rFonts w:ascii="方正小标宋简体" w:hAnsi="宋体" w:eastAsia="方正小标宋简体"/>
          <w:sz w:val="72"/>
          <w:szCs w:val="72"/>
        </w:rPr>
      </w:pPr>
    </w:p>
    <w:p w14:paraId="3A887B9B">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5"/>
      <w:bookmarkStart w:id="10" w:name="_Toc15377426"/>
      <w:bookmarkStart w:id="11" w:name="_Toc15377194"/>
      <w:bookmarkStart w:id="12" w:name="_Toc15396476"/>
      <w:bookmarkStart w:id="13" w:name="_Toc15378442"/>
      <w:bookmarkStart w:id="14" w:name="_Toc15306268"/>
      <w:bookmarkStart w:id="15" w:name="_Toc15396598"/>
    </w:p>
    <w:p w14:paraId="68A86742">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中共盐边县委办公室</w:t>
      </w:r>
    </w:p>
    <w:p w14:paraId="1CAEB783">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10"/>
      <w:bookmarkEnd w:id="11"/>
      <w:bookmarkEnd w:id="12"/>
      <w:bookmarkEnd w:id="13"/>
      <w:bookmarkEnd w:id="14"/>
      <w:bookmarkEnd w:id="15"/>
    </w:p>
    <w:p w14:paraId="1E21B9CC">
      <w:pPr>
        <w:widowControl/>
        <w:jc w:val="center"/>
        <w:rPr>
          <w:rFonts w:hint="eastAsia" w:ascii="方正小标宋简体" w:hAnsi="宋体" w:eastAsia="方正小标宋简体"/>
          <w:sz w:val="52"/>
          <w:szCs w:val="52"/>
        </w:rPr>
        <w:sectPr>
          <w:footerReference r:id="rId5" w:type="first"/>
          <w:headerReference r:id="rId3" w:type="default"/>
          <w:footerReference r:id="rId4" w:type="default"/>
          <w:pgSz w:w="11906" w:h="16838"/>
          <w:pgMar w:top="1440" w:right="1686" w:bottom="1440" w:left="1600" w:header="851" w:footer="992" w:gutter="0"/>
          <w:pgNumType w:fmt="decimal" w:start="0"/>
          <w:cols w:space="425" w:num="1"/>
          <w:titlePg/>
          <w:docGrid w:type="lines" w:linePitch="312" w:charSpace="0"/>
        </w:sectPr>
      </w:pPr>
      <w:r>
        <w:rPr>
          <w:rFonts w:hint="eastAsia" w:ascii="方正小标宋简体" w:hAnsi="宋体" w:eastAsia="方正小标宋简体"/>
          <w:sz w:val="52"/>
          <w:szCs w:val="52"/>
        </w:rPr>
        <w:t xml:space="preserve"> </w:t>
      </w:r>
    </w:p>
    <w:p w14:paraId="20B2A8C3">
      <w:pPr>
        <w:widowControl/>
        <w:jc w:val="center"/>
        <w:rPr>
          <w:rFonts w:ascii="黑体" w:hAnsi="黑体" w:eastAsia="黑体"/>
          <w:sz w:val="48"/>
          <w:szCs w:val="48"/>
        </w:rPr>
      </w:pPr>
      <w:r>
        <w:rPr>
          <w:rFonts w:hint="eastAsia" w:ascii="方正小标宋_GBK" w:hAnsi="方正小标宋_GBK" w:eastAsia="方正小标宋_GBK" w:cs="方正小标宋_GBK"/>
          <w:sz w:val="38"/>
          <w:szCs w:val="38"/>
        </w:rPr>
        <w:t>目录</w:t>
      </w:r>
    </w:p>
    <w:p w14:paraId="62C334F9">
      <w:pPr>
        <w:widowControl/>
        <w:jc w:val="center"/>
        <w:rPr>
          <w:rFonts w:ascii="黑体" w:hAnsi="黑体" w:eastAsia="黑体" w:cstheme="minorBidi"/>
          <w:sz w:val="28"/>
          <w:szCs w:val="28"/>
        </w:rPr>
      </w:pPr>
    </w:p>
    <w:p w14:paraId="4D0BBD5E">
      <w:pPr>
        <w:pStyle w:val="12"/>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公开时间：2023年10月26日</w:t>
      </w:r>
    </w:p>
    <w:p w14:paraId="5AF738CA"/>
    <w:p w14:paraId="6617FFA3">
      <w:pPr>
        <w:pStyle w:val="2"/>
        <w:spacing w:afterLines="0"/>
        <w:rPr>
          <w:rFonts w:hint="eastAsia"/>
          <w:sz w:val="24"/>
          <w:szCs w:val="20"/>
        </w:rPr>
      </w:pPr>
    </w:p>
    <w:p w14:paraId="54A94D76">
      <w:pPr>
        <w:pStyle w:val="12"/>
        <w:spacing w:beforeLines="0" w:afterLines="0"/>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8"/>
        </w:rPr>
        <w:t>第一部分</w:t>
      </w:r>
      <w:r>
        <w:rPr>
          <w:rFonts w:hint="eastAsia" w:ascii="方正黑体_GBK" w:hAnsi="方正黑体_GBK" w:eastAsia="方正黑体_GBK" w:cs="方正黑体_GBK"/>
          <w:sz w:val="24"/>
          <w:szCs w:val="28"/>
          <w:lang w:val="en-US" w:eastAsia="zh-CN"/>
        </w:rPr>
        <w:t>部门</w:t>
      </w:r>
      <w:r>
        <w:rPr>
          <w:rFonts w:hint="eastAsia" w:ascii="方正黑体_GBK" w:hAnsi="方正黑体_GBK" w:eastAsia="方正黑体_GBK" w:cs="方正黑体_GBK"/>
          <w:sz w:val="24"/>
          <w:szCs w:val="28"/>
        </w:rPr>
        <w:t>概况</w:t>
      </w:r>
      <w:r>
        <w:rPr>
          <w:rFonts w:hint="eastAsia" w:ascii="方正黑体_GBK" w:hAnsi="方正黑体_GBK" w:eastAsia="方正黑体_GBK" w:cs="方正黑体_GBK"/>
          <w:sz w:val="28"/>
          <w:szCs w:val="28"/>
        </w:rPr>
        <w:t xml:space="preserve"> </w:t>
      </w:r>
      <w:r>
        <w:rPr>
          <w:rFonts w:hint="eastAsia" w:ascii="方正黑体_GBK" w:hAnsi="方正黑体_GBK" w:eastAsia="方正黑体_GBK" w:cs="方正黑体_GBK"/>
          <w:sz w:val="28"/>
          <w:szCs w:val="28"/>
          <w:lang w:val="en-US" w:eastAsia="zh-CN"/>
        </w:rPr>
        <w:t>---------------------------------------1</w:t>
      </w:r>
      <w:r>
        <w:rPr>
          <w:rFonts w:hint="eastAsia" w:ascii="方正黑体_GBK" w:hAnsi="方正黑体_GBK" w:eastAsia="方正黑体_GBK" w:cs="方正黑体_GBK"/>
          <w:sz w:val="28"/>
          <w:szCs w:val="28"/>
        </w:rPr>
        <w:t xml:space="preserve">                                            </w:t>
      </w:r>
    </w:p>
    <w:p w14:paraId="611B87FD">
      <w:pPr>
        <w:pStyle w:val="13"/>
        <w:spacing w:beforeLines="0" w:afterLines="0"/>
        <w:rPr>
          <w:rFonts w:hint="eastAsia" w:ascii="方正仿宋_GBK" w:hAnsi="方正仿宋_GBK" w:eastAsia="方正仿宋_GBK" w:cs="方正仿宋_GBK"/>
          <w:sz w:val="22"/>
          <w:szCs w:val="22"/>
          <w:lang w:eastAsia="zh-CN"/>
        </w:rPr>
      </w:pPr>
      <w:r>
        <w:rPr>
          <w:rFonts w:hint="default" w:ascii="方正仿宋_GBK" w:hAnsi="方正仿宋_GBK" w:eastAsia="方正仿宋_GBK" w:cs="方正仿宋_GBK"/>
          <w:sz w:val="22"/>
          <w:szCs w:val="22"/>
        </w:rPr>
        <w:t>一、</w:t>
      </w:r>
      <w:r>
        <w:rPr>
          <w:rFonts w:hint="eastAsia" w:ascii="方正仿宋_GBK" w:hAnsi="方正仿宋_GBK" w:eastAsia="方正仿宋_GBK" w:cs="方正仿宋_GBK"/>
          <w:sz w:val="22"/>
          <w:szCs w:val="22"/>
          <w:lang w:val="en-US" w:eastAsia="zh-CN"/>
        </w:rPr>
        <w:t>部门</w:t>
      </w:r>
      <w:r>
        <w:rPr>
          <w:rFonts w:hint="default" w:ascii="方正仿宋_GBK" w:hAnsi="方正仿宋_GBK" w:eastAsia="方正仿宋_GBK" w:cs="方正仿宋_GBK"/>
          <w:sz w:val="22"/>
          <w:szCs w:val="22"/>
        </w:rPr>
        <w:t>职责</w:t>
      </w:r>
      <w:r>
        <w:rPr>
          <w:rFonts w:hint="default" w:ascii="方正仿宋_GBK" w:hAnsi="方正仿宋_GBK" w:eastAsia="方正仿宋_GBK" w:cs="方正仿宋_GBK"/>
          <w:sz w:val="22"/>
          <w:szCs w:val="22"/>
        </w:rPr>
        <w:tab/>
      </w:r>
      <w:r>
        <w:rPr>
          <w:rFonts w:hint="default" w:ascii="方正仿宋_GBK" w:hAnsi="方正仿宋_GBK" w:eastAsia="方正仿宋_GBK" w:cs="方正仿宋_GBK"/>
          <w:sz w:val="22"/>
          <w:szCs w:val="22"/>
        </w:rPr>
        <w:t xml:space="preserve">    </w:t>
      </w:r>
      <w:r>
        <w:rPr>
          <w:rFonts w:hint="eastAsia" w:ascii="方正仿宋_GBK" w:hAnsi="方正仿宋_GBK" w:eastAsia="方正仿宋_GBK" w:cs="方正仿宋_GBK"/>
          <w:sz w:val="22"/>
          <w:szCs w:val="22"/>
          <w:lang w:val="en-US" w:eastAsia="zh-CN"/>
        </w:rPr>
        <w:t>3</w:t>
      </w:r>
    </w:p>
    <w:p w14:paraId="6B050D80">
      <w:pPr>
        <w:pStyle w:val="13"/>
        <w:spacing w:beforeLines="0" w:afterLines="0"/>
        <w:rPr>
          <w:rFonts w:hint="eastAsia" w:ascii="方正仿宋_GBK" w:hAnsi="方正仿宋_GBK" w:eastAsia="方正仿宋_GBK" w:cs="方正仿宋_GBK"/>
          <w:sz w:val="22"/>
          <w:szCs w:val="22"/>
          <w:lang w:eastAsia="zh-CN"/>
        </w:rPr>
      </w:pPr>
      <w:r>
        <w:rPr>
          <w:rFonts w:hint="default" w:ascii="方正仿宋_GBK" w:hAnsi="方正仿宋_GBK" w:eastAsia="方正仿宋_GBK" w:cs="方正仿宋_GBK"/>
          <w:sz w:val="22"/>
          <w:szCs w:val="22"/>
        </w:rPr>
        <w:t>二、机构设置</w:t>
      </w:r>
      <w:r>
        <w:rPr>
          <w:rFonts w:hint="default"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3</w:t>
      </w:r>
    </w:p>
    <w:p w14:paraId="43BDC601">
      <w:pPr>
        <w:pStyle w:val="12"/>
        <w:spacing w:beforeLines="0" w:afterLines="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4"/>
          <w:szCs w:val="28"/>
        </w:rPr>
        <w:t>第二部分 2022年度</w:t>
      </w:r>
      <w:r>
        <w:rPr>
          <w:rFonts w:hint="eastAsia" w:ascii="方正黑体_GBK" w:hAnsi="方正黑体_GBK" w:eastAsia="方正黑体_GBK" w:cs="方正黑体_GBK"/>
          <w:sz w:val="24"/>
          <w:szCs w:val="28"/>
          <w:lang w:val="en-US" w:eastAsia="zh-CN"/>
        </w:rPr>
        <w:t>部门</w:t>
      </w:r>
      <w:r>
        <w:rPr>
          <w:rFonts w:hint="eastAsia" w:ascii="方正黑体_GBK" w:hAnsi="方正黑体_GBK" w:eastAsia="方正黑体_GBK" w:cs="方正黑体_GBK"/>
          <w:sz w:val="24"/>
          <w:szCs w:val="28"/>
        </w:rPr>
        <w:t>决算情况说明</w:t>
      </w:r>
      <w:r>
        <w:rPr>
          <w:rFonts w:hint="eastAsia" w:ascii="方正黑体_GBK" w:hAnsi="方正黑体_GBK" w:eastAsia="方正黑体_GBK" w:cs="方正黑体_GBK"/>
          <w:sz w:val="24"/>
          <w:szCs w:val="28"/>
          <w:lang w:val="en-US" w:eastAsia="zh-CN"/>
        </w:rPr>
        <w:t>-------------------------------4</w:t>
      </w:r>
      <w:r>
        <w:rPr>
          <w:rFonts w:hint="eastAsia" w:ascii="方正黑体_GBK" w:hAnsi="方正黑体_GBK" w:eastAsia="方正黑体_GBK" w:cs="方正黑体_GBK"/>
          <w:sz w:val="24"/>
          <w:szCs w:val="28"/>
        </w:rPr>
        <w:t xml:space="preserve">   </w:t>
      </w:r>
      <w:r>
        <w:rPr>
          <w:rFonts w:hint="eastAsia" w:ascii="方正黑体_GBK" w:hAnsi="方正黑体_GBK" w:eastAsia="方正黑体_GBK" w:cs="方正黑体_GBK"/>
          <w:sz w:val="21"/>
          <w:szCs w:val="24"/>
        </w:rPr>
        <w:t xml:space="preserve">                                     </w:t>
      </w:r>
    </w:p>
    <w:p w14:paraId="0ED4E0ED">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一、收入支出决算总体情况说明</w:t>
      </w:r>
      <w:r>
        <w:rPr>
          <w:rFonts w:hint="eastAsia" w:ascii="方正仿宋_GBK" w:hAnsi="方正仿宋_GBK" w:eastAsia="方正仿宋_GBK" w:cs="方正仿宋_GBK"/>
          <w:sz w:val="22"/>
          <w:szCs w:val="22"/>
          <w:lang w:val="en-US" w:eastAsia="zh-CN"/>
        </w:rPr>
        <w:t xml:space="preserve">  </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sz w:val="22"/>
          <w:szCs w:val="22"/>
          <w:lang w:val="en-US" w:eastAsia="zh-CN"/>
        </w:rPr>
        <w:t>4</w:t>
      </w:r>
    </w:p>
    <w:p w14:paraId="08F0E6E6">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二、收入决算情况说明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sz w:val="22"/>
          <w:szCs w:val="22"/>
          <w:lang w:val="en-US" w:eastAsia="zh-CN"/>
        </w:rPr>
        <w:t>5</w:t>
      </w:r>
    </w:p>
    <w:p w14:paraId="08198D32">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三、支出决算情况说明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sz w:val="22"/>
          <w:szCs w:val="22"/>
          <w:lang w:val="en-US" w:eastAsia="zh-CN"/>
        </w:rPr>
        <w:t>6</w:t>
      </w:r>
    </w:p>
    <w:p w14:paraId="24A11AB4">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四、财政拨款收入支出决算总体情况说明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sz w:val="22"/>
          <w:szCs w:val="22"/>
          <w:lang w:val="en-US" w:eastAsia="zh-CN"/>
        </w:rPr>
        <w:t>7</w:t>
      </w:r>
    </w:p>
    <w:p w14:paraId="5F13331F">
      <w:pPr>
        <w:pStyle w:val="13"/>
        <w:spacing w:beforeLines="0" w:afterLines="0"/>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rPr>
        <w:t>五、一般公共预算财政拨款支出决算情况说明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sz w:val="22"/>
          <w:szCs w:val="22"/>
          <w:lang w:val="en-US" w:eastAsia="zh-CN"/>
        </w:rPr>
        <w:t>8</w:t>
      </w:r>
    </w:p>
    <w:p w14:paraId="7C60A039">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六、一般公共预算财政拨款基本支出决算情况说明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sz w:val="22"/>
          <w:szCs w:val="22"/>
          <w:lang w:val="en-US" w:eastAsia="zh-CN"/>
        </w:rPr>
        <w:t>10</w:t>
      </w:r>
    </w:p>
    <w:p w14:paraId="637E01B5">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七、财政拨款“三公”经费支出决算情况说明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13</w:t>
      </w:r>
    </w:p>
    <w:p w14:paraId="1FA4D48D">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八、政府性基金预算支出决算情况说明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1</w:t>
      </w:r>
      <w:r>
        <w:rPr>
          <w:rFonts w:hint="eastAsia" w:ascii="方正仿宋_GBK" w:hAnsi="方正仿宋_GBK" w:eastAsia="方正仿宋_GBK" w:cs="方正仿宋_GBK"/>
          <w:sz w:val="22"/>
          <w:szCs w:val="22"/>
          <w:lang w:val="en-US" w:eastAsia="zh-CN"/>
        </w:rPr>
        <w:t>3</w:t>
      </w:r>
    </w:p>
    <w:p w14:paraId="36E747CF">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九、国有资本经营预算支出决算情况说明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1</w:t>
      </w:r>
      <w:r>
        <w:rPr>
          <w:rFonts w:hint="eastAsia" w:ascii="方正仿宋_GBK" w:hAnsi="方正仿宋_GBK" w:eastAsia="方正仿宋_GBK" w:cs="方正仿宋_GBK"/>
          <w:sz w:val="22"/>
          <w:szCs w:val="22"/>
          <w:lang w:val="en-US" w:eastAsia="zh-CN"/>
        </w:rPr>
        <w:t>3</w:t>
      </w:r>
    </w:p>
    <w:p w14:paraId="7B9504E5">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十、其他重要事项的情况说明</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14</w:t>
      </w:r>
    </w:p>
    <w:p w14:paraId="4A0F9C5E">
      <w:pPr>
        <w:pStyle w:val="12"/>
        <w:spacing w:beforeLines="0" w:afterLines="0"/>
        <w:rPr>
          <w:rFonts w:hint="eastAsia" w:ascii="方正黑体_GBK" w:hAnsi="方正黑体_GBK" w:eastAsia="方正黑体_GBK" w:cs="方正黑体_GBK"/>
          <w:sz w:val="24"/>
          <w:szCs w:val="28"/>
          <w:lang w:val="en-US" w:eastAsia="zh-CN"/>
        </w:rPr>
      </w:pPr>
      <w:r>
        <w:rPr>
          <w:rFonts w:hint="eastAsia" w:ascii="方正黑体_GBK" w:hAnsi="方正黑体_GBK" w:eastAsia="方正黑体_GBK" w:cs="方正黑体_GBK"/>
          <w:sz w:val="24"/>
          <w:szCs w:val="28"/>
        </w:rPr>
        <w:t xml:space="preserve">第三部分名词解释 </w:t>
      </w:r>
      <w:r>
        <w:rPr>
          <w:rFonts w:hint="eastAsia" w:ascii="方正黑体_GBK" w:hAnsi="方正黑体_GBK" w:eastAsia="方正黑体_GBK" w:cs="方正黑体_GBK"/>
          <w:sz w:val="24"/>
          <w:szCs w:val="28"/>
          <w:lang w:val="en-US" w:eastAsia="zh-CN"/>
        </w:rPr>
        <w:t>---------------------------------------------15</w:t>
      </w:r>
      <w:r>
        <w:rPr>
          <w:rFonts w:hint="eastAsia" w:ascii="方正黑体_GBK" w:hAnsi="方正黑体_GBK" w:eastAsia="方正黑体_GBK" w:cs="方正黑体_GBK"/>
          <w:sz w:val="24"/>
          <w:szCs w:val="28"/>
        </w:rPr>
        <w:t xml:space="preserve">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 xml:space="preserve"> </w:t>
      </w:r>
    </w:p>
    <w:p w14:paraId="15BC6C04">
      <w:pPr>
        <w:pStyle w:val="12"/>
        <w:bidi w:val="0"/>
        <w:rPr>
          <w:rFonts w:hint="eastAsia" w:ascii="方正黑体_GBK" w:hAnsi="方正黑体_GBK" w:eastAsia="方正黑体_GBK" w:cs="方正黑体_GBK"/>
          <w:sz w:val="24"/>
          <w:szCs w:val="28"/>
          <w:lang w:val="en-US" w:eastAsia="zh-CN"/>
        </w:rPr>
      </w:pPr>
      <w:r>
        <w:rPr>
          <w:rFonts w:hint="eastAsia" w:ascii="方正黑体_GBK" w:hAnsi="方正黑体_GBK" w:eastAsia="方正黑体_GBK" w:cs="方正黑体_GBK"/>
          <w:sz w:val="24"/>
          <w:szCs w:val="28"/>
        </w:rPr>
        <w:t>第四部分附件</w:t>
      </w:r>
      <w:r>
        <w:rPr>
          <w:rFonts w:hint="eastAsia" w:ascii="方正黑体_GBK" w:hAnsi="方正黑体_GBK" w:eastAsia="方正黑体_GBK" w:cs="方正黑体_GBK"/>
          <w:sz w:val="24"/>
          <w:szCs w:val="28"/>
          <w:lang w:val="en-US" w:eastAsia="zh-CN"/>
        </w:rPr>
        <w:t>-------------------------------------------------19</w:t>
      </w:r>
      <w:r>
        <w:rPr>
          <w:rFonts w:hint="eastAsia" w:ascii="方正黑体_GBK" w:hAnsi="方正黑体_GBK" w:eastAsia="方正黑体_GBK" w:cs="方正黑体_GBK"/>
          <w:sz w:val="24"/>
          <w:szCs w:val="28"/>
        </w:rPr>
        <w:t xml:space="preserve">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 xml:space="preserve">   </w:t>
      </w:r>
    </w:p>
    <w:p w14:paraId="15D917D3">
      <w:pPr>
        <w:pStyle w:val="12"/>
        <w:bidi w:val="0"/>
        <w:rPr>
          <w:rFonts w:hint="eastAsia" w:ascii="方正仿宋_GBK" w:hAnsi="方正仿宋_GBK" w:eastAsia="方正仿宋_GBK" w:cs="方正仿宋_GBK"/>
          <w:sz w:val="22"/>
          <w:szCs w:val="22"/>
        </w:rPr>
        <w:sectPr>
          <w:footerReference r:id="rId7" w:type="first"/>
          <w:footerReference r:id="rId6" w:type="default"/>
          <w:pgSz w:w="11906" w:h="16838"/>
          <w:pgMar w:top="1440" w:right="1686" w:bottom="1440" w:left="1600" w:header="851" w:footer="992" w:gutter="0"/>
          <w:pgNumType w:fmt="decimal" w:start="1"/>
          <w:cols w:space="425" w:num="1"/>
          <w:titlePg/>
          <w:docGrid w:type="lines" w:linePitch="312" w:charSpace="0"/>
        </w:sectPr>
      </w:pPr>
      <w:r>
        <w:rPr>
          <w:rFonts w:hint="eastAsia" w:ascii="方正黑体_GBK" w:hAnsi="方正黑体_GBK" w:eastAsia="方正黑体_GBK" w:cs="方正黑体_GBK"/>
          <w:sz w:val="24"/>
          <w:szCs w:val="28"/>
        </w:rPr>
        <w:t xml:space="preserve">第五部分附表 </w:t>
      </w:r>
      <w:r>
        <w:rPr>
          <w:rFonts w:hint="eastAsia" w:ascii="方正黑体_GBK" w:hAnsi="方正黑体_GBK" w:eastAsia="方正黑体_GBK" w:cs="方正黑体_GBK"/>
          <w:sz w:val="24"/>
          <w:szCs w:val="28"/>
          <w:lang w:val="en-US" w:eastAsia="zh-CN"/>
        </w:rPr>
        <w:t>------------------------------------------------36</w:t>
      </w:r>
      <w:r>
        <w:rPr>
          <w:rFonts w:hint="eastAsia" w:ascii="方正黑体_GBK" w:hAnsi="方正黑体_GBK" w:eastAsia="方正黑体_GBK" w:cs="方正黑体_GBK"/>
          <w:sz w:val="24"/>
          <w:szCs w:val="28"/>
        </w:rPr>
        <w:t xml:space="preserve">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 xml:space="preserve">  </w:t>
      </w:r>
    </w:p>
    <w:p w14:paraId="39144DF7">
      <w:pPr>
        <w:pStyle w:val="13"/>
        <w:bidi w:val="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 xml:space="preserve">一、收入支出决算总表 </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36</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rPr>
        <w:t xml:space="preserve">                                                 </w:t>
      </w:r>
    </w:p>
    <w:p w14:paraId="654861B7">
      <w:pPr>
        <w:pStyle w:val="13"/>
        <w:spacing w:beforeLines="0" w:afterLines="0"/>
        <w:ind w:left="1960" w:hanging="1540" w:hangingChars="70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二、收入决算表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37</w:t>
      </w:r>
      <w:r>
        <w:rPr>
          <w:rFonts w:hint="eastAsia" w:ascii="方正仿宋_GBK" w:hAnsi="方正仿宋_GBK" w:eastAsia="方正仿宋_GBK" w:cs="方正仿宋_GBK"/>
          <w:sz w:val="22"/>
          <w:szCs w:val="22"/>
        </w:rPr>
        <w:t xml:space="preserve">                                                       </w:t>
      </w:r>
    </w:p>
    <w:p w14:paraId="3D83C779">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三、支出决算表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38</w:t>
      </w:r>
    </w:p>
    <w:p w14:paraId="072AE60F">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四、财政拨款收入支出决算总表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39</w:t>
      </w:r>
    </w:p>
    <w:p w14:paraId="49D3D2CC">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五、财政拨款支出决算明细表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40</w:t>
      </w:r>
    </w:p>
    <w:p w14:paraId="529E46B1">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六、一般公共预算财政拨款支出决算表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41</w:t>
      </w:r>
    </w:p>
    <w:p w14:paraId="39E6C208">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七、一般公共预算财政拨款支出决算明细表</w:t>
      </w:r>
      <w:r>
        <w:rPr>
          <w:rFonts w:hint="eastAsia" w:ascii="方正仿宋_GBK" w:hAnsi="方正仿宋_GBK" w:eastAsia="方正仿宋_GBK" w:cs="方正仿宋_GBK"/>
          <w:sz w:val="22"/>
          <w:szCs w:val="22"/>
          <w:lang w:val="en-US" w:eastAsia="zh-CN"/>
        </w:rPr>
        <w:t xml:space="preserve">   </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42</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 xml:space="preserve"> </w:t>
      </w:r>
      <w:r>
        <w:rPr>
          <w:rFonts w:hint="eastAsia" w:ascii="方正仿宋_GBK" w:hAnsi="方正仿宋_GBK" w:eastAsia="方正仿宋_GBK" w:cs="方正仿宋_GBK"/>
          <w:sz w:val="22"/>
          <w:szCs w:val="22"/>
        </w:rPr>
        <w:t xml:space="preserve">                     </w:t>
      </w:r>
    </w:p>
    <w:p w14:paraId="23060AAD">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八、一般公共预算财政拨款基本支出决算明细表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45</w:t>
      </w:r>
    </w:p>
    <w:p w14:paraId="64C9671B">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九、一般公共预算财政拨款项目支出决算表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46</w:t>
      </w:r>
    </w:p>
    <w:p w14:paraId="311FE0B8">
      <w:pPr>
        <w:pStyle w:val="13"/>
        <w:spacing w:beforeLines="0" w:afterLines="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十、政府性基金预算财政拨款收入支出决算表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47</w:t>
      </w:r>
      <w:r>
        <w:rPr>
          <w:rFonts w:hint="eastAsia" w:ascii="方正仿宋_GBK" w:hAnsi="方正仿宋_GBK" w:eastAsia="方正仿宋_GBK" w:cs="方正仿宋_GBK"/>
          <w:sz w:val="22"/>
          <w:szCs w:val="22"/>
        </w:rPr>
        <w:tab/>
      </w:r>
    </w:p>
    <w:p w14:paraId="738C6189">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十一、国有资本经营预算财政拨款收入支出决算表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47</w:t>
      </w:r>
    </w:p>
    <w:p w14:paraId="17237D3B">
      <w:pPr>
        <w:pStyle w:val="13"/>
        <w:spacing w:beforeLines="0" w:afterLines="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rPr>
        <w:t>十二、国有资本经营预算财政拨款支出决算表</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48</w:t>
      </w:r>
    </w:p>
    <w:p w14:paraId="26D49E08">
      <w:pPr>
        <w:pStyle w:val="13"/>
        <w:bidi w:val="0"/>
        <w:rPr>
          <w:rFonts w:hint="eastAsia" w:eastAsia="宋体"/>
          <w:lang w:eastAsia="zh-CN"/>
        </w:rPr>
        <w:sectPr>
          <w:footerReference r:id="rId9" w:type="first"/>
          <w:footerReference r:id="rId8" w:type="default"/>
          <w:pgSz w:w="11906" w:h="16838"/>
          <w:pgMar w:top="1440" w:right="1686" w:bottom="1440" w:left="1600" w:header="851" w:footer="992" w:gutter="0"/>
          <w:pgNumType w:fmt="decimal" w:start="0"/>
          <w:cols w:space="425" w:num="1"/>
          <w:docGrid w:type="lines" w:linePitch="312" w:charSpace="0"/>
        </w:sectPr>
      </w:pPr>
      <w:r>
        <w:rPr>
          <w:rFonts w:hint="eastAsia" w:ascii="方正仿宋_GBK" w:hAnsi="方正仿宋_GBK" w:eastAsia="方正仿宋_GBK" w:cs="方正仿宋_GBK"/>
          <w:sz w:val="22"/>
          <w:szCs w:val="22"/>
        </w:rPr>
        <w:t xml:space="preserve">十三、财政拨款“三公”经费支出决算表 </w:t>
      </w:r>
      <w:r>
        <w:rPr>
          <w:rFonts w:hint="eastAsia" w:ascii="方正仿宋_GBK" w:hAnsi="方正仿宋_GBK" w:eastAsia="方正仿宋_GBK" w:cs="方正仿宋_GBK"/>
          <w:sz w:val="22"/>
          <w:szCs w:val="22"/>
        </w:rPr>
        <w:tab/>
      </w:r>
      <w:r>
        <w:rPr>
          <w:rFonts w:hint="eastAsia" w:ascii="方正仿宋_GBK" w:hAnsi="方正仿宋_GBK" w:eastAsia="方正仿宋_GBK" w:cs="方正仿宋_GBK"/>
          <w:sz w:val="22"/>
          <w:szCs w:val="22"/>
          <w:lang w:val="en-US" w:eastAsia="zh-CN"/>
        </w:rPr>
        <w:t>48</w:t>
      </w:r>
      <w:r>
        <w:rPr>
          <w:rFonts w:hint="eastAsia" w:ascii="方正仿宋_GBK" w:hAnsi="方正仿宋_GBK" w:eastAsia="方正仿宋_GBK" w:cs="方正仿宋_GBK"/>
          <w:sz w:val="22"/>
          <w:szCs w:val="22"/>
        </w:rPr>
        <w:t xml:space="preserve">           </w:t>
      </w:r>
    </w:p>
    <w:p w14:paraId="790EE3BF">
      <w:pPr>
        <w:pStyle w:val="3"/>
        <w:jc w:val="center"/>
        <w:rPr>
          <w:rFonts w:ascii="方正小标宋_GBK" w:hAnsi="方正小标宋_GBK" w:eastAsia="方正小标宋_GBK" w:cs="方正小标宋_GBK"/>
          <w:bCs w:val="0"/>
          <w:sz w:val="38"/>
          <w:szCs w:val="38"/>
        </w:rPr>
      </w:pPr>
      <w:r>
        <w:rPr>
          <w:rFonts w:ascii="方正小标宋_GBK" w:hAnsi="方正小标宋_GBK" w:eastAsia="方正小标宋_GBK" w:cs="方正小标宋_GBK"/>
          <w:bCs w:val="0"/>
          <w:sz w:val="38"/>
          <w:szCs w:val="38"/>
        </w:rPr>
        <w:t xml:space="preserve">第一部分 </w:t>
      </w:r>
      <w:r>
        <w:rPr>
          <w:rFonts w:hint="eastAsia" w:ascii="方正小标宋_GBK" w:hAnsi="方正小标宋_GBK" w:eastAsia="方正小标宋_GBK" w:cs="方正小标宋_GBK"/>
          <w:bCs w:val="0"/>
          <w:sz w:val="38"/>
          <w:szCs w:val="38"/>
        </w:rPr>
        <w:t>部门</w:t>
      </w:r>
      <w:r>
        <w:rPr>
          <w:rFonts w:ascii="方正小标宋_GBK" w:hAnsi="方正小标宋_GBK" w:eastAsia="方正小标宋_GBK" w:cs="方正小标宋_GBK"/>
          <w:bCs w:val="0"/>
          <w:sz w:val="38"/>
          <w:szCs w:val="38"/>
        </w:rPr>
        <w:t>概况</w:t>
      </w:r>
      <w:bookmarkEnd w:id="6"/>
      <w:bookmarkEnd w:id="7"/>
    </w:p>
    <w:p w14:paraId="2281CA76"/>
    <w:p w14:paraId="4DE14156">
      <w:pPr>
        <w:pStyle w:val="4"/>
        <w:spacing w:before="0" w:after="0" w:line="240" w:lineRule="auto"/>
        <w:ind w:firstLine="660" w:firstLineChars="200"/>
        <w:rPr>
          <w:rFonts w:ascii="Times New Roman" w:hAnsi="Times New Roman" w:eastAsia="方正黑体_GBK" w:cs="Times New Roman"/>
          <w:sz w:val="33"/>
          <w:szCs w:val="33"/>
        </w:rPr>
      </w:pPr>
      <w:bookmarkStart w:id="16" w:name="_Toc15396600"/>
      <w:bookmarkStart w:id="17" w:name="_Toc15377197"/>
      <w:r>
        <w:rPr>
          <w:rStyle w:val="29"/>
          <w:rFonts w:ascii="Times New Roman" w:hAnsi="Times New Roman" w:eastAsia="方正黑体_GBK" w:cs="Times New Roman"/>
          <w:b w:val="0"/>
          <w:bCs w:val="0"/>
          <w:sz w:val="33"/>
          <w:szCs w:val="33"/>
        </w:rPr>
        <w:t>一、</w:t>
      </w:r>
      <w:r>
        <w:rPr>
          <w:rStyle w:val="29"/>
          <w:rFonts w:hint="eastAsia" w:ascii="Times New Roman" w:hAnsi="Times New Roman" w:eastAsia="方正黑体_GBK" w:cs="Times New Roman"/>
          <w:b w:val="0"/>
          <w:bCs w:val="0"/>
          <w:sz w:val="33"/>
          <w:szCs w:val="33"/>
        </w:rPr>
        <w:t>部门职责</w:t>
      </w:r>
    </w:p>
    <w:p w14:paraId="611AA03F">
      <w:pPr>
        <w:pStyle w:val="2"/>
        <w:adjustRightInd w:val="0"/>
        <w:snapToGrid w:val="0"/>
        <w:spacing w:beforeLines="0"/>
        <w:ind w:firstLine="663" w:firstLineChars="200"/>
        <w:outlineLvl w:val="2"/>
        <w:rPr>
          <w:rFonts w:ascii="Times New Roman" w:eastAsia="方正楷体_GBK"/>
          <w:b/>
          <w:sz w:val="33"/>
          <w:szCs w:val="33"/>
        </w:rPr>
      </w:pPr>
      <w:r>
        <w:rPr>
          <w:rFonts w:ascii="Times New Roman" w:eastAsia="方正楷体_GBK"/>
          <w:b/>
          <w:sz w:val="33"/>
          <w:szCs w:val="33"/>
        </w:rPr>
        <w:t>（一）主要职能</w:t>
      </w:r>
    </w:p>
    <w:p w14:paraId="6EF8BECB">
      <w:pPr>
        <w:ind w:firstLine="663" w:firstLineChars="200"/>
        <w:rPr>
          <w:rFonts w:eastAsia="方正仿宋_GBK"/>
          <w:b/>
          <w:bCs/>
          <w:sz w:val="33"/>
          <w:szCs w:val="33"/>
        </w:rPr>
      </w:pPr>
      <w:r>
        <w:rPr>
          <w:rFonts w:eastAsia="方正仿宋_GBK"/>
          <w:b/>
          <w:bCs/>
          <w:sz w:val="33"/>
          <w:szCs w:val="33"/>
        </w:rPr>
        <w:t>1.县委办公室。</w:t>
      </w:r>
    </w:p>
    <w:p w14:paraId="6A33A74C">
      <w:pPr>
        <w:ind w:firstLine="660" w:firstLineChars="200"/>
        <w:rPr>
          <w:rFonts w:eastAsia="方正仿宋_GBK"/>
          <w:sz w:val="33"/>
          <w:szCs w:val="33"/>
        </w:rPr>
      </w:pPr>
      <w:r>
        <w:rPr>
          <w:rFonts w:eastAsia="方正仿宋_GBK"/>
          <w:sz w:val="33"/>
          <w:szCs w:val="33"/>
        </w:rPr>
        <w:t>（1）围绕县委的中心工作，对涉及全县经济建设、深化改革、依法治县、社会稳定、党的建设等全局性重大问题和实践中出现的新情况、新问题开展调查研究，向县委提供具有参考价值的情况、信息和建议，为县委决策服务。</w:t>
      </w:r>
    </w:p>
    <w:p w14:paraId="25AEBEFE">
      <w:pPr>
        <w:ind w:firstLine="660" w:firstLineChars="200"/>
        <w:rPr>
          <w:rFonts w:eastAsia="方正仿宋_GBK"/>
          <w:sz w:val="33"/>
          <w:szCs w:val="33"/>
        </w:rPr>
      </w:pPr>
      <w:r>
        <w:rPr>
          <w:rFonts w:eastAsia="方正仿宋_GBK"/>
          <w:sz w:val="33"/>
          <w:szCs w:val="33"/>
        </w:rPr>
        <w:t>（2）对党的路线方针政策和省委、市委、县委的重要决策、重大部署以及领导同志的重要批示、批件贯彻落实情况进行督促检查。</w:t>
      </w:r>
    </w:p>
    <w:p w14:paraId="1026F31A">
      <w:pPr>
        <w:ind w:firstLine="660" w:firstLineChars="200"/>
        <w:rPr>
          <w:rFonts w:eastAsia="方正仿宋_GBK"/>
          <w:sz w:val="33"/>
          <w:szCs w:val="33"/>
        </w:rPr>
      </w:pPr>
      <w:r>
        <w:rPr>
          <w:rFonts w:eastAsia="方正仿宋_GBK"/>
          <w:sz w:val="33"/>
          <w:szCs w:val="33"/>
        </w:rPr>
        <w:t>（3）负责起草、复核以县委、县委办公室名义发布的文件和各种会议材料，处理县委往来文件、电报、信函，承办各乡（镇）、各部门（单位）向县委的请示报告，做好文件和材料的印制、分发、清退、归档工作。</w:t>
      </w:r>
    </w:p>
    <w:p w14:paraId="575AA2AA">
      <w:pPr>
        <w:ind w:firstLine="660" w:firstLineChars="200"/>
        <w:rPr>
          <w:rFonts w:eastAsia="方正仿宋_GBK"/>
          <w:sz w:val="33"/>
          <w:szCs w:val="33"/>
        </w:rPr>
      </w:pPr>
      <w:r>
        <w:rPr>
          <w:rFonts w:eastAsia="方正仿宋_GBK"/>
          <w:sz w:val="33"/>
          <w:szCs w:val="33"/>
        </w:rPr>
        <w:t>（4）负责县委召开的各种会议的筹备、组织和会务工作，做好县委领导参加的各种会议的督促落实工作，协助县委领导组织实施会议决定事项。</w:t>
      </w:r>
    </w:p>
    <w:p w14:paraId="72CBD568">
      <w:pPr>
        <w:ind w:firstLine="660" w:firstLineChars="200"/>
        <w:rPr>
          <w:rFonts w:eastAsia="方正仿宋_GBK"/>
          <w:sz w:val="33"/>
          <w:szCs w:val="33"/>
        </w:rPr>
      </w:pPr>
      <w:r>
        <w:rPr>
          <w:rFonts w:eastAsia="方正仿宋_GBK"/>
          <w:sz w:val="33"/>
          <w:szCs w:val="33"/>
        </w:rPr>
        <w:t>（5）认真做好会议、县委领导活动、公文处理和其他重要事项等综合协调工作，围绕县委处置突发性事件搞好服务，保证县委各项工作的顺利进行。</w:t>
      </w:r>
    </w:p>
    <w:p w14:paraId="573C46F2">
      <w:pPr>
        <w:ind w:firstLine="660" w:firstLineChars="200"/>
        <w:rPr>
          <w:rFonts w:eastAsia="方正仿宋_GBK"/>
          <w:sz w:val="33"/>
          <w:szCs w:val="33"/>
        </w:rPr>
      </w:pPr>
      <w:r>
        <w:rPr>
          <w:rFonts w:eastAsia="方正仿宋_GBK"/>
          <w:sz w:val="33"/>
          <w:szCs w:val="33"/>
        </w:rPr>
        <w:t>（6）及时、准确、全面地向县委及上级党委办公室报送信息，反映工作动态。</w:t>
      </w:r>
    </w:p>
    <w:p w14:paraId="5B8AEC15">
      <w:pPr>
        <w:ind w:firstLine="660" w:firstLineChars="200"/>
        <w:rPr>
          <w:rFonts w:eastAsia="方正仿宋_GBK"/>
          <w:sz w:val="33"/>
          <w:szCs w:val="33"/>
        </w:rPr>
      </w:pPr>
      <w:r>
        <w:rPr>
          <w:rFonts w:eastAsia="方正仿宋_GBK"/>
          <w:sz w:val="33"/>
          <w:szCs w:val="33"/>
        </w:rPr>
        <w:t>（7）负责全县党政系统的密码通信和密码管理工作，承担县密码领导小组办公室工作。</w:t>
      </w:r>
    </w:p>
    <w:p w14:paraId="50F9AE5A">
      <w:pPr>
        <w:ind w:firstLine="660" w:firstLineChars="200"/>
        <w:rPr>
          <w:rFonts w:eastAsia="方正仿宋_GBK"/>
          <w:sz w:val="33"/>
          <w:szCs w:val="33"/>
        </w:rPr>
      </w:pPr>
      <w:r>
        <w:rPr>
          <w:rFonts w:eastAsia="方正仿宋_GBK"/>
          <w:sz w:val="33"/>
          <w:szCs w:val="33"/>
        </w:rPr>
        <w:t>（8）负责人民群众来信来访工作，协调处理有关信访事项，提出有关解决信访事项的意见和建议。</w:t>
      </w:r>
    </w:p>
    <w:p w14:paraId="7F5CF76A">
      <w:pPr>
        <w:ind w:firstLine="660" w:firstLineChars="200"/>
        <w:rPr>
          <w:rFonts w:eastAsia="方正仿宋_GBK"/>
          <w:sz w:val="33"/>
          <w:szCs w:val="33"/>
        </w:rPr>
      </w:pPr>
      <w:r>
        <w:rPr>
          <w:rFonts w:eastAsia="方正仿宋_GBK"/>
          <w:sz w:val="33"/>
          <w:szCs w:val="33"/>
        </w:rPr>
        <w:t>（9）负责全县保密工作的规划、宣传教育、指导协调、监督管理和泄密事件查处工作，管理县委保密委员会办公室。</w:t>
      </w:r>
    </w:p>
    <w:p w14:paraId="335AC818">
      <w:pPr>
        <w:ind w:firstLine="660" w:firstLineChars="200"/>
        <w:rPr>
          <w:rFonts w:eastAsia="方正仿宋_GBK"/>
          <w:sz w:val="33"/>
          <w:szCs w:val="33"/>
        </w:rPr>
      </w:pPr>
      <w:r>
        <w:rPr>
          <w:rFonts w:eastAsia="方正仿宋_GBK"/>
          <w:sz w:val="33"/>
          <w:szCs w:val="33"/>
        </w:rPr>
        <w:t>（10）负责县委机关行政后勤事务、财产管理、绿化美化、环境卫生、安全保卫工作，组织协调省、市重要来客的接待服务工作。</w:t>
      </w:r>
    </w:p>
    <w:p w14:paraId="592E97DD">
      <w:pPr>
        <w:ind w:firstLine="660" w:firstLineChars="200"/>
        <w:rPr>
          <w:rFonts w:eastAsia="方正仿宋_GBK"/>
          <w:sz w:val="33"/>
          <w:szCs w:val="33"/>
        </w:rPr>
      </w:pPr>
      <w:r>
        <w:rPr>
          <w:rFonts w:eastAsia="方正仿宋_GBK"/>
          <w:sz w:val="33"/>
          <w:szCs w:val="33"/>
        </w:rPr>
        <w:t>（11）对各乡（镇）党委办公室、县委各部门办公室进行业务指导。</w:t>
      </w:r>
    </w:p>
    <w:p w14:paraId="4A23BB8F">
      <w:pPr>
        <w:ind w:firstLine="660" w:firstLineChars="200"/>
        <w:rPr>
          <w:rFonts w:eastAsia="方正仿宋_GBK"/>
          <w:sz w:val="33"/>
          <w:szCs w:val="33"/>
        </w:rPr>
      </w:pPr>
      <w:r>
        <w:rPr>
          <w:rFonts w:eastAsia="方正仿宋_GBK"/>
          <w:sz w:val="33"/>
          <w:szCs w:val="33"/>
        </w:rPr>
        <w:t>（12）办理县委领导交办的其他工作事项。</w:t>
      </w:r>
    </w:p>
    <w:p w14:paraId="6B95E510">
      <w:pPr>
        <w:ind w:firstLine="663" w:firstLineChars="200"/>
        <w:rPr>
          <w:rFonts w:eastAsia="方正仿宋_GBK"/>
          <w:b/>
          <w:bCs/>
          <w:sz w:val="33"/>
          <w:szCs w:val="33"/>
        </w:rPr>
      </w:pPr>
      <w:r>
        <w:rPr>
          <w:rFonts w:eastAsia="方正仿宋_GBK"/>
          <w:b/>
          <w:bCs/>
          <w:sz w:val="33"/>
          <w:szCs w:val="33"/>
        </w:rPr>
        <w:t>2.盐边县青少年校外活动中心。</w:t>
      </w:r>
    </w:p>
    <w:p w14:paraId="4CF28D23">
      <w:pPr>
        <w:ind w:firstLine="660" w:firstLineChars="200"/>
        <w:rPr>
          <w:rFonts w:eastAsia="方正仿宋_GBK"/>
          <w:sz w:val="33"/>
          <w:szCs w:val="33"/>
        </w:rPr>
      </w:pPr>
      <w:r>
        <w:rPr>
          <w:rFonts w:eastAsia="方正仿宋_GBK"/>
          <w:sz w:val="33"/>
          <w:szCs w:val="33"/>
        </w:rPr>
        <w:t>隶属于共青团盐边县委员会（2017年4月从县教体局成建制划转），是全额拨款事业单位。为公益性未成年人校外活动场所，是促进青少年全面发展的实践课堂，是服务、凝聚、教育广大未成年人的活动平台，是加强思想道德建设、推进素质教育、建设社会主义精神文明的重要阵地。职能职责为：实施基础素质教育，丰富青少年学生校外活动生活，促进基础教育发展，实施小学、初中、高中段青少年学生科普、法制、文化、艺术、体育等专业非学历教育。培养青少年学生创新精神和实践能力，培养青少年学生的爱好特长。</w:t>
      </w:r>
      <w:bookmarkStart w:id="18" w:name="_Toc15396601"/>
      <w:bookmarkStart w:id="19" w:name="_Toc15377200"/>
    </w:p>
    <w:p w14:paraId="5BDCB8AE">
      <w:pPr>
        <w:pStyle w:val="2"/>
        <w:adjustRightInd w:val="0"/>
        <w:snapToGrid w:val="0"/>
        <w:spacing w:beforeLines="0"/>
        <w:ind w:firstLine="663" w:firstLineChars="200"/>
        <w:outlineLvl w:val="2"/>
        <w:rPr>
          <w:rFonts w:ascii="Times New Roman" w:eastAsia="方正楷体_GBK"/>
          <w:b/>
          <w:sz w:val="33"/>
          <w:szCs w:val="33"/>
        </w:rPr>
      </w:pPr>
      <w:r>
        <w:rPr>
          <w:rFonts w:ascii="Times New Roman" w:eastAsia="方正楷体_GBK"/>
          <w:b/>
          <w:sz w:val="33"/>
          <w:szCs w:val="33"/>
        </w:rPr>
        <w:t>（二）机构设置</w:t>
      </w:r>
      <w:bookmarkEnd w:id="18"/>
      <w:bookmarkEnd w:id="19"/>
    </w:p>
    <w:p w14:paraId="7A6A08E7">
      <w:pPr>
        <w:widowControl/>
        <w:snapToGrid w:val="0"/>
        <w:ind w:firstLine="660" w:firstLineChars="200"/>
        <w:rPr>
          <w:rFonts w:ascii="Times New Roman" w:hAnsi="Times New Roman" w:eastAsia="方正仿宋_GBK" w:cs="Times New Roman"/>
          <w:kern w:val="0"/>
          <w:sz w:val="33"/>
          <w:szCs w:val="33"/>
        </w:rPr>
      </w:pPr>
      <w:r>
        <w:rPr>
          <w:rFonts w:hint="eastAsia" w:ascii="Times New Roman" w:hAnsi="Times New Roman" w:eastAsia="方正仿宋_GBK" w:cs="Times New Roman"/>
          <w:kern w:val="0"/>
          <w:sz w:val="33"/>
          <w:szCs w:val="33"/>
          <w:lang w:val="en-US" w:eastAsia="zh-CN"/>
        </w:rPr>
        <w:t>中共盐边县委办</w:t>
      </w:r>
      <w:r>
        <w:rPr>
          <w:rFonts w:hint="eastAsia" w:ascii="Times New Roman" w:hAnsi="Times New Roman" w:eastAsia="方正仿宋_GBK" w:cs="Times New Roman"/>
          <w:kern w:val="0"/>
          <w:sz w:val="33"/>
          <w:szCs w:val="33"/>
        </w:rPr>
        <w:t>下属二级预算单位</w:t>
      </w:r>
      <w:r>
        <w:rPr>
          <w:rFonts w:hint="eastAsia" w:eastAsia="方正仿宋_GBK" w:cs="Times New Roman"/>
          <w:kern w:val="0"/>
          <w:sz w:val="33"/>
          <w:szCs w:val="33"/>
          <w:lang w:val="en-US" w:eastAsia="zh-CN"/>
        </w:rPr>
        <w:t>1</w:t>
      </w:r>
      <w:r>
        <w:rPr>
          <w:rFonts w:hint="eastAsia" w:ascii="Times New Roman" w:hAnsi="Times New Roman" w:eastAsia="方正仿宋_GBK" w:cs="Times New Roman"/>
          <w:kern w:val="0"/>
          <w:sz w:val="33"/>
          <w:szCs w:val="33"/>
        </w:rPr>
        <w:t>个，</w:t>
      </w:r>
    </w:p>
    <w:p w14:paraId="5154B93B">
      <w:pPr>
        <w:widowControl/>
        <w:snapToGrid w:val="0"/>
        <w:ind w:firstLine="660" w:firstLineChars="200"/>
        <w:rPr>
          <w:rFonts w:ascii="Times New Roman" w:hAnsi="Times New Roman" w:eastAsia="方正仿宋_GBK" w:cs="Times New Roman"/>
          <w:kern w:val="0"/>
          <w:sz w:val="33"/>
          <w:szCs w:val="33"/>
        </w:rPr>
      </w:pPr>
      <w:r>
        <w:rPr>
          <w:rFonts w:hint="eastAsia" w:eastAsia="方正仿宋_GBK" w:cs="Times New Roman"/>
          <w:kern w:val="0"/>
          <w:sz w:val="33"/>
          <w:szCs w:val="33"/>
          <w:lang w:val="en-US" w:eastAsia="zh-CN"/>
        </w:rPr>
        <w:t>1</w:t>
      </w:r>
      <w:r>
        <w:rPr>
          <w:rFonts w:hint="eastAsia" w:ascii="Times New Roman" w:hAnsi="Times New Roman" w:eastAsia="方正仿宋_GBK" w:cs="Times New Roman"/>
          <w:kern w:val="0"/>
          <w:sz w:val="33"/>
          <w:szCs w:val="33"/>
          <w:lang w:val="en-US" w:eastAsia="zh-CN"/>
        </w:rPr>
        <w:t>.盐边县青少年校外活动中心</w:t>
      </w:r>
    </w:p>
    <w:p w14:paraId="6E9A9F94">
      <w:pPr>
        <w:pStyle w:val="2"/>
        <w:spacing w:before="93"/>
        <w:rPr>
          <w:rFonts w:ascii="Times New Roman" w:eastAsia="方正仿宋_GBK"/>
          <w:sz w:val="33"/>
          <w:szCs w:val="33"/>
        </w:rPr>
      </w:pPr>
    </w:p>
    <w:p w14:paraId="32A7EAF2">
      <w:pPr>
        <w:pStyle w:val="2"/>
        <w:spacing w:before="93"/>
        <w:rPr>
          <w:rFonts w:ascii="Times New Roman" w:eastAsia="方正仿宋_GBK"/>
          <w:sz w:val="33"/>
          <w:szCs w:val="33"/>
        </w:rPr>
      </w:pPr>
    </w:p>
    <w:p w14:paraId="414B0394">
      <w:pPr>
        <w:pStyle w:val="2"/>
        <w:spacing w:before="93"/>
        <w:rPr>
          <w:rFonts w:ascii="Times New Roman" w:eastAsia="方正仿宋_GBK"/>
          <w:sz w:val="33"/>
          <w:szCs w:val="33"/>
        </w:rPr>
      </w:pPr>
    </w:p>
    <w:p w14:paraId="593EDB78">
      <w:pPr>
        <w:pStyle w:val="2"/>
        <w:spacing w:before="93"/>
        <w:rPr>
          <w:rFonts w:ascii="Times New Roman" w:eastAsia="方正仿宋_GBK"/>
          <w:sz w:val="33"/>
          <w:szCs w:val="33"/>
        </w:rPr>
      </w:pPr>
    </w:p>
    <w:p w14:paraId="071E1DC2">
      <w:pPr>
        <w:pStyle w:val="2"/>
        <w:spacing w:before="93"/>
        <w:rPr>
          <w:rFonts w:ascii="Times New Roman" w:eastAsia="方正仿宋_GBK"/>
          <w:sz w:val="33"/>
          <w:szCs w:val="33"/>
        </w:rPr>
      </w:pPr>
    </w:p>
    <w:p w14:paraId="7B9BADF3">
      <w:pPr>
        <w:pStyle w:val="2"/>
        <w:spacing w:before="93"/>
        <w:rPr>
          <w:rFonts w:ascii="Times New Roman" w:eastAsia="方正仿宋_GBK"/>
          <w:sz w:val="33"/>
          <w:szCs w:val="33"/>
        </w:rPr>
      </w:pPr>
    </w:p>
    <w:p w14:paraId="06938673">
      <w:pPr>
        <w:pStyle w:val="2"/>
        <w:spacing w:before="93"/>
        <w:rPr>
          <w:rFonts w:ascii="Times New Roman" w:eastAsia="方正仿宋_GBK"/>
          <w:sz w:val="33"/>
          <w:szCs w:val="33"/>
        </w:rPr>
      </w:pPr>
    </w:p>
    <w:p w14:paraId="5964AC8D">
      <w:pPr>
        <w:pStyle w:val="2"/>
        <w:spacing w:before="93"/>
        <w:rPr>
          <w:rFonts w:ascii="Times New Roman" w:eastAsia="方正仿宋_GBK"/>
          <w:sz w:val="33"/>
          <w:szCs w:val="33"/>
        </w:rPr>
      </w:pPr>
    </w:p>
    <w:p w14:paraId="47AA8F4E">
      <w:pPr>
        <w:pStyle w:val="2"/>
        <w:spacing w:before="93"/>
        <w:rPr>
          <w:rFonts w:ascii="Times New Roman" w:eastAsia="方正仿宋_GBK"/>
          <w:sz w:val="33"/>
          <w:szCs w:val="33"/>
        </w:rPr>
      </w:pPr>
    </w:p>
    <w:p w14:paraId="2854AF6A">
      <w:pPr>
        <w:pStyle w:val="2"/>
        <w:spacing w:before="93"/>
        <w:rPr>
          <w:rFonts w:ascii="Times New Roman" w:eastAsia="方正仿宋_GBK"/>
          <w:sz w:val="33"/>
          <w:szCs w:val="33"/>
        </w:rPr>
      </w:pPr>
    </w:p>
    <w:p w14:paraId="1A044E8C">
      <w:pPr>
        <w:pStyle w:val="2"/>
        <w:spacing w:before="93"/>
        <w:rPr>
          <w:rFonts w:ascii="Times New Roman" w:eastAsia="方正仿宋_GBK"/>
          <w:sz w:val="33"/>
          <w:szCs w:val="33"/>
        </w:rPr>
      </w:pPr>
    </w:p>
    <w:p w14:paraId="765779F8">
      <w:pPr>
        <w:pStyle w:val="2"/>
        <w:spacing w:before="93"/>
        <w:rPr>
          <w:rFonts w:ascii="Times New Roman" w:eastAsia="方正仿宋_GBK"/>
          <w:sz w:val="33"/>
          <w:szCs w:val="33"/>
        </w:rPr>
      </w:pPr>
    </w:p>
    <w:p w14:paraId="23A155B3">
      <w:pPr>
        <w:pStyle w:val="2"/>
        <w:spacing w:before="93"/>
        <w:rPr>
          <w:rFonts w:ascii="Times New Roman" w:eastAsia="方正仿宋_GBK"/>
          <w:sz w:val="33"/>
          <w:szCs w:val="33"/>
        </w:rPr>
      </w:pPr>
    </w:p>
    <w:bookmarkEnd w:id="16"/>
    <w:bookmarkEnd w:id="17"/>
    <w:p w14:paraId="575CB5A4">
      <w:pPr>
        <w:pStyle w:val="3"/>
        <w:jc w:val="center"/>
        <w:rPr>
          <w:rFonts w:ascii="方正小标宋_GBK" w:hAnsi="方正小标宋_GBK" w:eastAsia="方正小标宋_GBK" w:cs="方正小标宋_GBK"/>
          <w:bCs w:val="0"/>
          <w:sz w:val="38"/>
          <w:szCs w:val="38"/>
        </w:rPr>
      </w:pPr>
      <w:r>
        <w:rPr>
          <w:rFonts w:hint="eastAsia" w:ascii="方正小标宋_GBK" w:hAnsi="方正小标宋_GBK" w:eastAsia="方正小标宋_GBK" w:cs="方正小标宋_GBK"/>
          <w:bCs w:val="0"/>
          <w:sz w:val="38"/>
          <w:szCs w:val="38"/>
        </w:rPr>
        <w:t>第二部分 2022年度部门决算情况说明</w:t>
      </w:r>
      <w:bookmarkEnd w:id="8"/>
      <w:bookmarkEnd w:id="9"/>
    </w:p>
    <w:p w14:paraId="2C8EEF3D"/>
    <w:p w14:paraId="5E565D39">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20" w:name="_Toc15396603"/>
      <w:bookmarkStart w:id="21" w:name="_Toc15377205"/>
      <w:r>
        <w:rPr>
          <w:rStyle w:val="29"/>
          <w:rFonts w:ascii="Times New Roman" w:hAnsi="Times New Roman" w:eastAsia="方正黑体_GBK" w:cs="Times New Roman"/>
          <w:b w:val="0"/>
          <w:bCs w:val="0"/>
          <w:sz w:val="33"/>
          <w:szCs w:val="33"/>
        </w:rPr>
        <w:t>一、收入支出决算总体情况说明</w:t>
      </w:r>
      <w:bookmarkEnd w:id="20"/>
      <w:bookmarkEnd w:id="21"/>
    </w:p>
    <w:p w14:paraId="128D94DD">
      <w:pPr>
        <w:ind w:firstLine="644" w:firstLineChars="200"/>
        <w:rPr>
          <w:rFonts w:eastAsia="方正仿宋_GBK"/>
          <w:spacing w:val="-4"/>
          <w:sz w:val="33"/>
          <w:szCs w:val="33"/>
        </w:rPr>
      </w:pPr>
      <w:r>
        <w:rPr>
          <w:rFonts w:hint="eastAsia" w:eastAsia="方正仿宋_GBK"/>
          <w:spacing w:val="-4"/>
          <w:sz w:val="33"/>
          <w:szCs w:val="33"/>
        </w:rPr>
        <w:t>2022年度</w:t>
      </w:r>
      <w:r>
        <w:rPr>
          <w:rFonts w:eastAsia="方正仿宋_GBK"/>
          <w:spacing w:val="-4"/>
          <w:sz w:val="33"/>
          <w:szCs w:val="33"/>
        </w:rPr>
        <w:t>收入决算总额为</w:t>
      </w:r>
      <w:r>
        <w:rPr>
          <w:rFonts w:hint="eastAsia" w:eastAsia="方正仿宋_GBK"/>
          <w:spacing w:val="-4"/>
          <w:sz w:val="33"/>
          <w:szCs w:val="33"/>
        </w:rPr>
        <w:t>1803.62</w:t>
      </w:r>
      <w:r>
        <w:rPr>
          <w:rFonts w:eastAsia="方正仿宋_GBK"/>
          <w:spacing w:val="-4"/>
          <w:sz w:val="33"/>
          <w:szCs w:val="33"/>
        </w:rPr>
        <w:t>万元，年初结转和结余</w:t>
      </w:r>
      <w:r>
        <w:rPr>
          <w:rFonts w:hint="eastAsia" w:eastAsia="方正仿宋_GBK"/>
          <w:spacing w:val="-4"/>
          <w:sz w:val="33"/>
          <w:szCs w:val="33"/>
        </w:rPr>
        <w:t>0</w:t>
      </w:r>
      <w:r>
        <w:rPr>
          <w:rFonts w:eastAsia="方正仿宋_GBK"/>
          <w:spacing w:val="-4"/>
          <w:sz w:val="33"/>
          <w:szCs w:val="33"/>
        </w:rPr>
        <w:t>万元，收入决算总额较</w:t>
      </w:r>
      <w:r>
        <w:rPr>
          <w:rFonts w:hint="eastAsia" w:eastAsia="方正仿宋_GBK"/>
          <w:spacing w:val="-4"/>
          <w:sz w:val="33"/>
          <w:szCs w:val="33"/>
        </w:rPr>
        <w:t>2021</w:t>
      </w:r>
      <w:r>
        <w:rPr>
          <w:rFonts w:eastAsia="方正仿宋_GBK"/>
          <w:spacing w:val="-4"/>
          <w:sz w:val="33"/>
          <w:szCs w:val="33"/>
        </w:rPr>
        <w:t>年（</w:t>
      </w:r>
      <w:r>
        <w:rPr>
          <w:rFonts w:hint="eastAsia" w:eastAsia="方正仿宋_GBK"/>
          <w:spacing w:val="-4"/>
          <w:sz w:val="33"/>
          <w:szCs w:val="33"/>
        </w:rPr>
        <w:t>1965.17</w:t>
      </w:r>
      <w:r>
        <w:rPr>
          <w:rFonts w:eastAsia="方正仿宋_GBK"/>
          <w:spacing w:val="-4"/>
          <w:sz w:val="33"/>
          <w:szCs w:val="33"/>
        </w:rPr>
        <w:t>万元）减少了</w:t>
      </w:r>
      <w:r>
        <w:rPr>
          <w:rFonts w:hint="eastAsia" w:eastAsia="方正仿宋_GBK"/>
          <w:spacing w:val="-4"/>
          <w:sz w:val="33"/>
          <w:szCs w:val="33"/>
        </w:rPr>
        <w:t>161.55</w:t>
      </w:r>
      <w:r>
        <w:rPr>
          <w:rFonts w:eastAsia="方正仿宋_GBK"/>
          <w:spacing w:val="-4"/>
          <w:sz w:val="33"/>
          <w:szCs w:val="33"/>
        </w:rPr>
        <w:t>万元</w:t>
      </w:r>
      <w:r>
        <w:rPr>
          <w:rFonts w:hint="eastAsia" w:eastAsia="方正仿宋_GBK"/>
          <w:spacing w:val="-4"/>
          <w:sz w:val="33"/>
          <w:szCs w:val="33"/>
        </w:rPr>
        <w:t>，</w:t>
      </w:r>
      <w:r>
        <w:rPr>
          <w:rFonts w:eastAsia="方正仿宋_GBK"/>
          <w:spacing w:val="-4"/>
          <w:sz w:val="33"/>
          <w:szCs w:val="33"/>
        </w:rPr>
        <w:t>下降</w:t>
      </w:r>
      <w:r>
        <w:rPr>
          <w:rFonts w:hint="eastAsia" w:eastAsia="方正仿宋_GBK"/>
          <w:spacing w:val="-4"/>
          <w:sz w:val="33"/>
          <w:szCs w:val="33"/>
        </w:rPr>
        <w:t>8.22</w:t>
      </w:r>
      <w:r>
        <w:rPr>
          <w:rFonts w:eastAsia="方正仿宋_GBK"/>
          <w:spacing w:val="-4"/>
          <w:sz w:val="33"/>
          <w:szCs w:val="33"/>
        </w:rPr>
        <w:t>%。主要</w:t>
      </w:r>
      <w:r>
        <w:rPr>
          <w:rFonts w:hint="eastAsia" w:eastAsia="方正仿宋_GBK"/>
          <w:spacing w:val="-4"/>
          <w:sz w:val="33"/>
          <w:szCs w:val="33"/>
        </w:rPr>
        <w:t>变动原因</w:t>
      </w:r>
      <w:r>
        <w:rPr>
          <w:rFonts w:eastAsia="方正仿宋_GBK"/>
          <w:spacing w:val="-4"/>
          <w:sz w:val="33"/>
          <w:szCs w:val="33"/>
        </w:rPr>
        <w:t>是</w:t>
      </w:r>
      <w:r>
        <w:rPr>
          <w:rFonts w:hint="eastAsia" w:eastAsia="方正仿宋_GBK"/>
          <w:spacing w:val="-4"/>
          <w:sz w:val="33"/>
          <w:szCs w:val="33"/>
        </w:rPr>
        <w:t>2022</w:t>
      </w:r>
      <w:r>
        <w:rPr>
          <w:rFonts w:eastAsia="方正仿宋_GBK"/>
          <w:spacing w:val="-4"/>
          <w:sz w:val="33"/>
          <w:szCs w:val="33"/>
        </w:rPr>
        <w:t>年县财政贯彻中央精神，进一步压缩</w:t>
      </w:r>
      <w:bookmarkStart w:id="53" w:name="_GoBack"/>
      <w:r>
        <w:rPr>
          <w:rFonts w:hint="eastAsia" w:eastAsia="方正仿宋_GBK"/>
          <w:spacing w:val="-4"/>
          <w:sz w:val="33"/>
          <w:szCs w:val="33"/>
          <w:lang w:eastAsia="zh-CN"/>
        </w:rPr>
        <w:t>“三公”经费</w:t>
      </w:r>
      <w:bookmarkEnd w:id="53"/>
      <w:r>
        <w:rPr>
          <w:rFonts w:eastAsia="方正仿宋_GBK"/>
          <w:spacing w:val="-4"/>
          <w:sz w:val="33"/>
          <w:szCs w:val="33"/>
        </w:rPr>
        <w:t>、公务接待等，</w:t>
      </w:r>
      <w:r>
        <w:rPr>
          <w:rFonts w:hint="eastAsia" w:eastAsia="方正仿宋_GBK"/>
          <w:spacing w:val="-4"/>
          <w:sz w:val="33"/>
          <w:szCs w:val="33"/>
        </w:rPr>
        <w:t>大额资金项目减少，</w:t>
      </w:r>
      <w:r>
        <w:rPr>
          <w:rFonts w:eastAsia="方正仿宋_GBK"/>
          <w:spacing w:val="-4"/>
          <w:sz w:val="33"/>
          <w:szCs w:val="33"/>
        </w:rPr>
        <w:t>实现开源节流。</w:t>
      </w:r>
    </w:p>
    <w:p w14:paraId="7399DD0A">
      <w:pPr>
        <w:ind w:firstLine="644" w:firstLineChars="200"/>
        <w:rPr>
          <w:rFonts w:eastAsia="方正仿宋_GBK"/>
          <w:spacing w:val="-4"/>
          <w:sz w:val="33"/>
          <w:szCs w:val="33"/>
        </w:rPr>
      </w:pPr>
      <w:r>
        <w:rPr>
          <w:rFonts w:eastAsia="方正仿宋_GBK"/>
          <w:spacing w:val="-4"/>
          <w:sz w:val="33"/>
          <w:szCs w:val="33"/>
        </w:rPr>
        <w:pict>
          <v:shape id="_x0000_s1026" o:spid="_x0000_s1026" o:spt="75" type="#_x0000_t75" style="position:absolute;left:0pt;margin-left:12.7pt;margin-top:257.8pt;height:128.85pt;width:339.7pt;mso-wrap-distance-bottom:0pt;mso-wrap-distance-top:0pt;z-index:251659264;mso-width-relative:page;mso-height-relative:page;" o:ole="t" filled="f" o:preferrelative="t" stroked="f" coordsize="21600,21600">
            <v:path/>
            <v:fill on="f" focussize="0,0"/>
            <v:stroke on="f" joinstyle="miter"/>
            <v:imagedata r:id="rId14" o:title=""/>
            <o:lock v:ext="edit" aspectratio="t"/>
            <w10:wrap type="topAndBottom"/>
          </v:shape>
          <o:OLEObject Type="Embed" ProgID="Excel.Chart.8" ShapeID="_x0000_s1026" DrawAspect="Content" ObjectID="_1468075725" r:id="rId13">
            <o:LockedField>false</o:LockedField>
          </o:OLEObject>
        </w:pict>
      </w:r>
      <w:r>
        <w:rPr>
          <w:rFonts w:hint="eastAsia" w:eastAsia="方正仿宋_GBK"/>
          <w:spacing w:val="-4"/>
          <w:sz w:val="33"/>
          <w:szCs w:val="33"/>
        </w:rPr>
        <w:t>2022</w:t>
      </w:r>
      <w:r>
        <w:rPr>
          <w:rFonts w:eastAsia="方正仿宋_GBK"/>
          <w:spacing w:val="-4"/>
          <w:sz w:val="33"/>
          <w:szCs w:val="33"/>
        </w:rPr>
        <w:t>年</w:t>
      </w:r>
      <w:r>
        <w:rPr>
          <w:rFonts w:hint="eastAsia" w:eastAsia="方正仿宋_GBK"/>
          <w:spacing w:val="-4"/>
          <w:sz w:val="33"/>
          <w:szCs w:val="33"/>
        </w:rPr>
        <w:t>度</w:t>
      </w:r>
      <w:r>
        <w:rPr>
          <w:rFonts w:eastAsia="方正仿宋_GBK"/>
          <w:spacing w:val="-4"/>
          <w:sz w:val="33"/>
          <w:szCs w:val="33"/>
        </w:rPr>
        <w:t>支出决算总额为</w:t>
      </w:r>
      <w:r>
        <w:rPr>
          <w:rFonts w:hint="eastAsia" w:eastAsia="方正仿宋_GBK"/>
          <w:spacing w:val="-4"/>
          <w:sz w:val="33"/>
          <w:szCs w:val="33"/>
        </w:rPr>
        <w:t>1803.62</w:t>
      </w:r>
      <w:r>
        <w:rPr>
          <w:rFonts w:eastAsia="方正仿宋_GBK"/>
          <w:spacing w:val="-4"/>
          <w:sz w:val="33"/>
          <w:szCs w:val="33"/>
        </w:rPr>
        <w:t>万元，其中：一般公共服务支出</w:t>
      </w:r>
      <w:r>
        <w:rPr>
          <w:rFonts w:hint="eastAsia" w:eastAsia="方正仿宋_GBK"/>
          <w:spacing w:val="-4"/>
          <w:sz w:val="33"/>
          <w:szCs w:val="33"/>
        </w:rPr>
        <w:t>1327.23</w:t>
      </w:r>
      <w:r>
        <w:rPr>
          <w:rFonts w:eastAsia="方正仿宋_GBK"/>
          <w:spacing w:val="-4"/>
          <w:sz w:val="33"/>
          <w:szCs w:val="33"/>
        </w:rPr>
        <w:t>万元，教育支出</w:t>
      </w:r>
      <w:r>
        <w:rPr>
          <w:rFonts w:hint="eastAsia" w:eastAsia="方正仿宋_GBK"/>
          <w:spacing w:val="-4"/>
          <w:sz w:val="33"/>
          <w:szCs w:val="33"/>
        </w:rPr>
        <w:t>102.62</w:t>
      </w:r>
      <w:r>
        <w:rPr>
          <w:rFonts w:eastAsia="方正仿宋_GBK"/>
          <w:spacing w:val="-4"/>
          <w:sz w:val="33"/>
          <w:szCs w:val="33"/>
        </w:rPr>
        <w:t>万元，社会保障和就业</w:t>
      </w:r>
      <w:r>
        <w:rPr>
          <w:rFonts w:hint="eastAsia" w:eastAsia="方正仿宋_GBK"/>
          <w:spacing w:val="-4"/>
          <w:sz w:val="33"/>
          <w:szCs w:val="33"/>
        </w:rPr>
        <w:t>165.80</w:t>
      </w:r>
      <w:r>
        <w:rPr>
          <w:rFonts w:eastAsia="方正仿宋_GBK"/>
          <w:spacing w:val="-4"/>
          <w:sz w:val="33"/>
          <w:szCs w:val="33"/>
        </w:rPr>
        <w:t>万元，卫生健康支出</w:t>
      </w:r>
      <w:r>
        <w:rPr>
          <w:rFonts w:hint="eastAsia" w:eastAsia="方正仿宋_GBK"/>
          <w:spacing w:val="-4"/>
          <w:sz w:val="33"/>
          <w:szCs w:val="33"/>
        </w:rPr>
        <w:t>88.37</w:t>
      </w:r>
      <w:r>
        <w:rPr>
          <w:rFonts w:eastAsia="方正仿宋_GBK"/>
          <w:spacing w:val="-4"/>
          <w:sz w:val="33"/>
          <w:szCs w:val="33"/>
        </w:rPr>
        <w:t>万元，住房保障支出</w:t>
      </w:r>
      <w:r>
        <w:rPr>
          <w:rFonts w:hint="eastAsia" w:eastAsia="方正仿宋_GBK"/>
          <w:spacing w:val="-4"/>
          <w:sz w:val="33"/>
          <w:szCs w:val="33"/>
        </w:rPr>
        <w:t>91.01</w:t>
      </w:r>
      <w:r>
        <w:rPr>
          <w:rFonts w:eastAsia="方正仿宋_GBK"/>
          <w:spacing w:val="-4"/>
          <w:sz w:val="33"/>
          <w:szCs w:val="33"/>
        </w:rPr>
        <w:t>万元 ，</w:t>
      </w:r>
      <w:r>
        <w:rPr>
          <w:rFonts w:hint="eastAsia" w:eastAsia="方正仿宋_GBK"/>
          <w:spacing w:val="-4"/>
          <w:sz w:val="33"/>
          <w:szCs w:val="33"/>
        </w:rPr>
        <w:t>文化旅游体育与传媒支出14.03</w:t>
      </w:r>
      <w:r>
        <w:rPr>
          <w:rFonts w:eastAsia="方正仿宋_GBK"/>
          <w:spacing w:val="-4"/>
          <w:sz w:val="33"/>
          <w:szCs w:val="33"/>
        </w:rPr>
        <w:t>万元，其他支出</w:t>
      </w:r>
      <w:r>
        <w:rPr>
          <w:rFonts w:hint="eastAsia" w:eastAsia="方正仿宋_GBK"/>
          <w:spacing w:val="-4"/>
          <w:sz w:val="33"/>
          <w:szCs w:val="33"/>
        </w:rPr>
        <w:t>14.56</w:t>
      </w:r>
      <w:r>
        <w:rPr>
          <w:rFonts w:eastAsia="方正仿宋_GBK"/>
          <w:spacing w:val="-4"/>
          <w:sz w:val="33"/>
          <w:szCs w:val="33"/>
        </w:rPr>
        <w:t>万元。支出总额较</w:t>
      </w:r>
      <w:r>
        <w:rPr>
          <w:rFonts w:hint="eastAsia" w:eastAsia="方正仿宋_GBK"/>
          <w:spacing w:val="-4"/>
          <w:sz w:val="33"/>
          <w:szCs w:val="33"/>
        </w:rPr>
        <w:t>2021</w:t>
      </w:r>
      <w:r>
        <w:rPr>
          <w:rFonts w:eastAsia="方正仿宋_GBK"/>
          <w:spacing w:val="-4"/>
          <w:sz w:val="33"/>
          <w:szCs w:val="33"/>
        </w:rPr>
        <w:t>年（</w:t>
      </w:r>
      <w:r>
        <w:rPr>
          <w:rFonts w:hint="eastAsia" w:eastAsia="方正仿宋_GBK"/>
          <w:spacing w:val="-4"/>
          <w:sz w:val="33"/>
          <w:szCs w:val="33"/>
        </w:rPr>
        <w:t>1965.17</w:t>
      </w:r>
      <w:r>
        <w:rPr>
          <w:rFonts w:eastAsia="方正仿宋_GBK"/>
          <w:spacing w:val="-4"/>
          <w:sz w:val="33"/>
          <w:szCs w:val="33"/>
        </w:rPr>
        <w:t>万元）减少了</w:t>
      </w:r>
      <w:r>
        <w:rPr>
          <w:rFonts w:hint="eastAsia" w:eastAsia="方正仿宋_GBK"/>
          <w:spacing w:val="-4"/>
          <w:sz w:val="33"/>
          <w:szCs w:val="33"/>
        </w:rPr>
        <w:t>161.55</w:t>
      </w:r>
      <w:r>
        <w:rPr>
          <w:rFonts w:eastAsia="方正仿宋_GBK"/>
          <w:spacing w:val="-4"/>
          <w:sz w:val="33"/>
          <w:szCs w:val="33"/>
        </w:rPr>
        <w:t>万元，下降</w:t>
      </w:r>
      <w:r>
        <w:rPr>
          <w:rFonts w:hint="eastAsia" w:eastAsia="方正仿宋_GBK"/>
          <w:spacing w:val="-4"/>
          <w:sz w:val="33"/>
          <w:szCs w:val="33"/>
        </w:rPr>
        <w:t>8.22</w:t>
      </w:r>
      <w:r>
        <w:rPr>
          <w:rFonts w:eastAsia="方正仿宋_GBK"/>
          <w:spacing w:val="-4"/>
          <w:sz w:val="33"/>
          <w:szCs w:val="33"/>
        </w:rPr>
        <w:t>%，主要</w:t>
      </w:r>
      <w:r>
        <w:rPr>
          <w:rFonts w:hint="eastAsia" w:eastAsia="方正仿宋_GBK"/>
          <w:spacing w:val="-4"/>
          <w:sz w:val="33"/>
          <w:szCs w:val="33"/>
        </w:rPr>
        <w:t>变动原因</w:t>
      </w:r>
      <w:r>
        <w:rPr>
          <w:rFonts w:eastAsia="方正仿宋_GBK"/>
          <w:spacing w:val="-4"/>
          <w:sz w:val="33"/>
          <w:szCs w:val="33"/>
        </w:rPr>
        <w:t>是</w:t>
      </w:r>
      <w:r>
        <w:rPr>
          <w:rFonts w:hint="eastAsia" w:eastAsia="方正仿宋_GBK"/>
          <w:spacing w:val="-4"/>
          <w:sz w:val="33"/>
          <w:szCs w:val="33"/>
        </w:rPr>
        <w:t>2022</w:t>
      </w:r>
      <w:r>
        <w:rPr>
          <w:rFonts w:eastAsia="方正仿宋_GBK"/>
          <w:spacing w:val="-4"/>
          <w:sz w:val="33"/>
          <w:szCs w:val="33"/>
        </w:rPr>
        <w:t>年县财政贯彻中央精神，进一步压缩</w:t>
      </w:r>
      <w:r>
        <w:rPr>
          <w:rFonts w:hint="eastAsia" w:eastAsia="方正仿宋_GBK"/>
          <w:spacing w:val="-4"/>
          <w:sz w:val="33"/>
          <w:szCs w:val="33"/>
          <w:lang w:eastAsia="zh-CN"/>
        </w:rPr>
        <w:t>“三公”经费</w:t>
      </w:r>
      <w:r>
        <w:rPr>
          <w:rFonts w:eastAsia="方正仿宋_GBK"/>
          <w:spacing w:val="-4"/>
          <w:sz w:val="33"/>
          <w:szCs w:val="33"/>
        </w:rPr>
        <w:t>、公务接待等，</w:t>
      </w:r>
      <w:r>
        <w:rPr>
          <w:rFonts w:hint="eastAsia" w:eastAsia="方正仿宋_GBK"/>
          <w:spacing w:val="-4"/>
          <w:sz w:val="33"/>
          <w:szCs w:val="33"/>
        </w:rPr>
        <w:t>大额资金项目减少，</w:t>
      </w:r>
      <w:r>
        <w:rPr>
          <w:rFonts w:eastAsia="方正仿宋_GBK"/>
          <w:spacing w:val="-4"/>
          <w:sz w:val="33"/>
          <w:szCs w:val="33"/>
        </w:rPr>
        <w:t>实现开源节流。</w:t>
      </w:r>
    </w:p>
    <w:p w14:paraId="0C143C7C">
      <w:pPr>
        <w:ind w:firstLine="640" w:firstLineChars="200"/>
        <w:rPr>
          <w:rFonts w:eastAsia="方正仿宋_GBK"/>
          <w:spacing w:val="-4"/>
          <w:sz w:val="33"/>
          <w:szCs w:val="33"/>
        </w:rPr>
      </w:pPr>
      <w:r>
        <w:rPr>
          <w:rFonts w:eastAsia="仿宋_GB2312"/>
          <w:color w:val="993300"/>
          <w:sz w:val="32"/>
          <w:szCs w:val="32"/>
        </w:rPr>
        <w:t>（图1：收、支决算总计变动情况图）（柱状图）</w:t>
      </w:r>
    </w:p>
    <w:p w14:paraId="14E47741">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22" w:name="_Toc15396604"/>
      <w:bookmarkStart w:id="23" w:name="_Toc15377206"/>
      <w:r>
        <w:rPr>
          <w:rStyle w:val="29"/>
          <w:rFonts w:ascii="Times New Roman" w:hAnsi="Times New Roman" w:eastAsia="方正黑体_GBK" w:cs="Times New Roman"/>
          <w:b w:val="0"/>
          <w:bCs w:val="0"/>
          <w:sz w:val="33"/>
          <w:szCs w:val="33"/>
        </w:rPr>
        <w:t>二、收入决算情况说明</w:t>
      </w:r>
      <w:bookmarkEnd w:id="22"/>
      <w:bookmarkEnd w:id="23"/>
    </w:p>
    <w:p w14:paraId="6D2BB9E3">
      <w:pPr>
        <w:ind w:firstLine="644" w:firstLineChars="20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年本年收入合计</w:t>
      </w:r>
      <w:r>
        <w:rPr>
          <w:rFonts w:hint="eastAsia" w:eastAsia="方正仿宋_GBK"/>
          <w:spacing w:val="-4"/>
          <w:sz w:val="33"/>
          <w:szCs w:val="33"/>
        </w:rPr>
        <w:t>1803.62</w:t>
      </w:r>
      <w:r>
        <w:rPr>
          <w:rFonts w:eastAsia="方正仿宋_GBK"/>
          <w:spacing w:val="-4"/>
          <w:sz w:val="33"/>
          <w:szCs w:val="33"/>
        </w:rPr>
        <w:t>万元，其中：一般公共预算财政拨款收入</w:t>
      </w:r>
      <w:r>
        <w:rPr>
          <w:rFonts w:hint="eastAsia" w:eastAsia="方正仿宋_GBK"/>
          <w:spacing w:val="-4"/>
          <w:sz w:val="33"/>
          <w:szCs w:val="33"/>
        </w:rPr>
        <w:t>1782.95</w:t>
      </w:r>
      <w:r>
        <w:rPr>
          <w:rFonts w:eastAsia="方正仿宋_GBK"/>
          <w:spacing w:val="-4"/>
          <w:sz w:val="33"/>
          <w:szCs w:val="33"/>
        </w:rPr>
        <w:t>万元（其中：当年财政拨款收入</w:t>
      </w:r>
      <w:r>
        <w:rPr>
          <w:rFonts w:hint="eastAsia" w:eastAsia="方正仿宋_GBK"/>
          <w:spacing w:val="-4"/>
          <w:sz w:val="33"/>
          <w:szCs w:val="33"/>
        </w:rPr>
        <w:t>1782.95</w:t>
      </w:r>
      <w:r>
        <w:rPr>
          <w:rFonts w:eastAsia="方正仿宋_GBK"/>
          <w:spacing w:val="-4"/>
          <w:sz w:val="33"/>
          <w:szCs w:val="33"/>
        </w:rPr>
        <w:t>万元，年初结转和结余</w:t>
      </w:r>
      <w:r>
        <w:rPr>
          <w:rFonts w:hint="eastAsia" w:eastAsia="方正仿宋_GBK"/>
          <w:spacing w:val="-4"/>
          <w:sz w:val="33"/>
          <w:szCs w:val="33"/>
        </w:rPr>
        <w:t>0</w:t>
      </w:r>
      <w:r>
        <w:rPr>
          <w:rFonts w:eastAsia="方正仿宋_GBK"/>
          <w:spacing w:val="-4"/>
          <w:sz w:val="33"/>
          <w:szCs w:val="33"/>
        </w:rPr>
        <w:t>万元），占</w:t>
      </w:r>
      <w:r>
        <w:rPr>
          <w:rFonts w:hint="eastAsia" w:eastAsia="方正仿宋_GBK"/>
          <w:spacing w:val="-4"/>
          <w:sz w:val="33"/>
          <w:szCs w:val="33"/>
        </w:rPr>
        <w:t>98.85</w:t>
      </w:r>
      <w:r>
        <w:rPr>
          <w:rFonts w:eastAsia="方正仿宋_GBK"/>
          <w:spacing w:val="-4"/>
          <w:sz w:val="33"/>
          <w:szCs w:val="33"/>
        </w:rPr>
        <w:t>%；事业收入</w:t>
      </w:r>
      <w:r>
        <w:rPr>
          <w:rFonts w:hint="eastAsia" w:eastAsia="方正仿宋_GBK"/>
          <w:spacing w:val="-4"/>
          <w:sz w:val="33"/>
          <w:szCs w:val="33"/>
        </w:rPr>
        <w:t>20.67</w:t>
      </w:r>
      <w:r>
        <w:rPr>
          <w:rFonts w:eastAsia="方正仿宋_GBK"/>
          <w:spacing w:val="-4"/>
          <w:sz w:val="33"/>
          <w:szCs w:val="33"/>
        </w:rPr>
        <w:t>万元，占</w:t>
      </w:r>
      <w:r>
        <w:rPr>
          <w:rFonts w:hint="eastAsia" w:eastAsia="方正仿宋_GBK"/>
          <w:spacing w:val="-4"/>
          <w:sz w:val="33"/>
          <w:szCs w:val="33"/>
        </w:rPr>
        <w:t>1.15</w:t>
      </w:r>
      <w:r>
        <w:rPr>
          <w:rFonts w:eastAsia="方正仿宋_GBK"/>
          <w:spacing w:val="-4"/>
          <w:sz w:val="33"/>
          <w:szCs w:val="33"/>
        </w:rPr>
        <w:t>%；政府性基金预算财政拨款收入0万元，占0%；国有资本经营预算财政拨款收入0万元，占0%；上级补助收入0万元，占0%；经营收入0万元，占0%；附属单位上缴收入0万元，占0%；其他收入0万元，占0%。</w:t>
      </w:r>
    </w:p>
    <w:p w14:paraId="5925E5AE">
      <w:pPr>
        <w:spacing w:line="600" w:lineRule="exact"/>
        <w:ind w:firstLine="640"/>
        <w:rPr>
          <w:rFonts w:eastAsia="仿宋_GB2312"/>
          <w:color w:val="993300"/>
          <w:sz w:val="32"/>
          <w:szCs w:val="32"/>
        </w:rPr>
      </w:pPr>
      <w:r>
        <w:rPr>
          <w:rFonts w:eastAsia="仿宋_GB2312"/>
          <w:color w:val="993300"/>
          <w:sz w:val="32"/>
          <w:szCs w:val="32"/>
        </w:rPr>
        <w:pict>
          <v:shape id="_x0000_s1027" o:spid="_x0000_s1027" o:spt="75" type="#_x0000_t75" style="position:absolute;left:0pt;margin-left:16.25pt;margin-top:13.15pt;height:134.3pt;width:287.7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6" o:title=""/>
            <o:lock v:ext="edit" aspectratio="t"/>
            <w10:wrap type="square"/>
          </v:shape>
          <o:OLEObject Type="Embed" ProgID="Excel.Chart.8" ShapeID="_x0000_s1027" DrawAspect="Content" ObjectID="_1468075726" r:id="rId15">
            <o:LockedField>false</o:LockedField>
          </o:OLEObject>
        </w:pict>
      </w:r>
    </w:p>
    <w:p w14:paraId="04A83AF2">
      <w:pPr>
        <w:spacing w:line="600" w:lineRule="exact"/>
        <w:ind w:firstLine="640"/>
        <w:rPr>
          <w:rFonts w:eastAsia="仿宋_GB2312"/>
          <w:color w:val="993300"/>
          <w:sz w:val="32"/>
          <w:szCs w:val="32"/>
        </w:rPr>
      </w:pPr>
    </w:p>
    <w:p w14:paraId="35120A32">
      <w:pPr>
        <w:spacing w:line="600" w:lineRule="exact"/>
        <w:ind w:firstLine="640"/>
        <w:rPr>
          <w:rFonts w:eastAsia="仿宋_GB2312"/>
          <w:color w:val="993300"/>
          <w:sz w:val="32"/>
          <w:szCs w:val="32"/>
        </w:rPr>
      </w:pPr>
    </w:p>
    <w:p w14:paraId="56B180DC">
      <w:pPr>
        <w:spacing w:line="600" w:lineRule="exact"/>
        <w:ind w:firstLine="640"/>
        <w:rPr>
          <w:rFonts w:eastAsia="仿宋_GB2312"/>
          <w:color w:val="993300"/>
          <w:sz w:val="32"/>
          <w:szCs w:val="32"/>
        </w:rPr>
      </w:pPr>
    </w:p>
    <w:p w14:paraId="7574B9CE">
      <w:pPr>
        <w:spacing w:line="600" w:lineRule="exact"/>
        <w:ind w:firstLine="640"/>
        <w:rPr>
          <w:rFonts w:eastAsia="仿宋_GB2312"/>
          <w:color w:val="993300"/>
          <w:sz w:val="32"/>
          <w:szCs w:val="32"/>
        </w:rPr>
      </w:pPr>
    </w:p>
    <w:p w14:paraId="36D7096A">
      <w:pPr>
        <w:spacing w:line="600" w:lineRule="exact"/>
        <w:ind w:firstLine="640"/>
        <w:rPr>
          <w:rFonts w:eastAsia="仿宋_GB2312"/>
          <w:color w:val="993300"/>
          <w:sz w:val="32"/>
          <w:szCs w:val="32"/>
        </w:rPr>
      </w:pPr>
      <w:r>
        <w:rPr>
          <w:rFonts w:eastAsia="仿宋_GB2312"/>
          <w:color w:val="993300"/>
          <w:sz w:val="32"/>
          <w:szCs w:val="32"/>
        </w:rPr>
        <w:t>（图2：收入决算结构图）（饼状图）</w:t>
      </w:r>
    </w:p>
    <w:p w14:paraId="7802C243">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24" w:name="_Toc15377207"/>
      <w:bookmarkStart w:id="25" w:name="_Toc15396605"/>
    </w:p>
    <w:p w14:paraId="71AB87C9">
      <w:pPr>
        <w:pStyle w:val="4"/>
        <w:spacing w:before="0" w:after="0" w:line="240" w:lineRule="auto"/>
        <w:ind w:firstLine="660" w:firstLineChars="200"/>
        <w:rPr>
          <w:rStyle w:val="29"/>
          <w:rFonts w:ascii="Times New Roman" w:hAnsi="Times New Roman" w:eastAsia="方正黑体_GBK" w:cs="Times New Roman"/>
          <w:b w:val="0"/>
          <w:bCs w:val="0"/>
          <w:sz w:val="33"/>
          <w:szCs w:val="33"/>
        </w:rPr>
      </w:pPr>
      <w:r>
        <w:rPr>
          <w:rStyle w:val="29"/>
          <w:rFonts w:ascii="Times New Roman" w:hAnsi="Times New Roman" w:eastAsia="方正黑体_GBK" w:cs="Times New Roman"/>
          <w:b w:val="0"/>
          <w:bCs w:val="0"/>
          <w:sz w:val="33"/>
          <w:szCs w:val="33"/>
        </w:rPr>
        <w:t>三、支出决算情况说明</w:t>
      </w:r>
      <w:bookmarkEnd w:id="24"/>
      <w:bookmarkEnd w:id="25"/>
    </w:p>
    <w:p w14:paraId="27E69E2F">
      <w:pPr>
        <w:ind w:firstLine="644" w:firstLineChars="20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年本年支出合计</w:t>
      </w:r>
      <w:r>
        <w:rPr>
          <w:rFonts w:hint="eastAsia" w:eastAsia="方正仿宋_GBK"/>
          <w:spacing w:val="-4"/>
          <w:sz w:val="33"/>
          <w:szCs w:val="33"/>
        </w:rPr>
        <w:t>1803.62</w:t>
      </w:r>
      <w:r>
        <w:rPr>
          <w:rFonts w:eastAsia="方正仿宋_GBK"/>
          <w:spacing w:val="-4"/>
          <w:sz w:val="33"/>
          <w:szCs w:val="33"/>
        </w:rPr>
        <w:t>万元，其中：基本支出</w:t>
      </w:r>
      <w:r>
        <w:rPr>
          <w:rFonts w:hint="eastAsia" w:eastAsia="方正仿宋_GBK"/>
          <w:spacing w:val="-4"/>
          <w:sz w:val="33"/>
          <w:szCs w:val="33"/>
        </w:rPr>
        <w:t>1251.50</w:t>
      </w:r>
      <w:r>
        <w:rPr>
          <w:rFonts w:eastAsia="方正仿宋_GBK"/>
          <w:spacing w:val="-4"/>
          <w:sz w:val="33"/>
          <w:szCs w:val="33"/>
        </w:rPr>
        <w:t>万元，占</w:t>
      </w:r>
      <w:r>
        <w:rPr>
          <w:rFonts w:hint="eastAsia" w:eastAsia="方正仿宋_GBK"/>
          <w:spacing w:val="-4"/>
          <w:sz w:val="33"/>
          <w:szCs w:val="33"/>
        </w:rPr>
        <w:t>69.39</w:t>
      </w:r>
      <w:r>
        <w:rPr>
          <w:rFonts w:eastAsia="方正仿宋_GBK"/>
          <w:spacing w:val="-4"/>
          <w:sz w:val="33"/>
          <w:szCs w:val="33"/>
        </w:rPr>
        <w:t>%；项目支出</w:t>
      </w:r>
      <w:r>
        <w:rPr>
          <w:rFonts w:hint="eastAsia" w:eastAsia="方正仿宋_GBK"/>
          <w:spacing w:val="-4"/>
          <w:sz w:val="33"/>
          <w:szCs w:val="33"/>
        </w:rPr>
        <w:t>552.12</w:t>
      </w:r>
      <w:r>
        <w:rPr>
          <w:rFonts w:eastAsia="方正仿宋_GBK"/>
          <w:spacing w:val="-4"/>
          <w:sz w:val="33"/>
          <w:szCs w:val="33"/>
        </w:rPr>
        <w:t>万元，占</w:t>
      </w:r>
      <w:r>
        <w:rPr>
          <w:rFonts w:hint="eastAsia" w:eastAsia="方正仿宋_GBK"/>
          <w:spacing w:val="-4"/>
          <w:sz w:val="33"/>
          <w:szCs w:val="33"/>
        </w:rPr>
        <w:t>30.61</w:t>
      </w:r>
      <w:r>
        <w:rPr>
          <w:rFonts w:eastAsia="方正仿宋_GBK"/>
          <w:spacing w:val="-4"/>
          <w:sz w:val="33"/>
          <w:szCs w:val="33"/>
        </w:rPr>
        <w:t>%；上缴上级支出0万元，占0%；经营支出0万元，占0%；附属单位补助支出0万元，占0%。</w:t>
      </w:r>
    </w:p>
    <w:p w14:paraId="3502BE71">
      <w:pPr>
        <w:ind w:firstLine="644" w:firstLineChars="200"/>
        <w:rPr>
          <w:rFonts w:eastAsia="仿宋_GB2312"/>
          <w:color w:val="993300"/>
          <w:sz w:val="32"/>
          <w:szCs w:val="32"/>
        </w:rPr>
      </w:pPr>
      <w:r>
        <w:rPr>
          <w:rFonts w:eastAsia="方正仿宋_GBK"/>
          <w:spacing w:val="-4"/>
          <w:sz w:val="33"/>
          <w:szCs w:val="33"/>
        </w:rPr>
        <w:pict>
          <v:shape id="_x0000_s1028" o:spid="_x0000_s1028" o:spt="75" type="#_x0000_t75" style="position:absolute;left:0pt;margin-left:-29.2pt;margin-top:43.5pt;height:189pt;width:432.75pt;mso-wrap-distance-left:9pt;mso-wrap-distance-right:9pt;z-index:-251655168;mso-width-relative:page;mso-height-relative:page;" o:ole="t" filled="f" o:preferrelative="t" stroked="f" coordsize="21600,21600" wrapcoords="21591 -2 0 0 0 21599 21591 21601 8 21601 21599 21599 21599 0 8 -2 21591 -2">
            <v:path/>
            <v:fill on="f" focussize="0,0"/>
            <v:stroke on="f" joinstyle="miter"/>
            <v:imagedata r:id="rId18" o:title=""/>
            <o:lock v:ext="edit" aspectratio="t"/>
            <w10:wrap type="tight"/>
          </v:shape>
          <o:OLEObject Type="Embed" ProgID="Excel.Chart.8" ShapeID="_x0000_s1028" DrawAspect="Content" ObjectID="_1468075727" r:id="rId17">
            <o:LockedField>false</o:LockedField>
          </o:OLEObject>
        </w:pict>
      </w:r>
    </w:p>
    <w:p w14:paraId="23D2F6A4">
      <w:pPr>
        <w:spacing w:line="600" w:lineRule="exact"/>
        <w:ind w:firstLine="640"/>
        <w:rPr>
          <w:rFonts w:eastAsia="仿宋_GB2312"/>
          <w:color w:val="993300"/>
          <w:sz w:val="32"/>
          <w:szCs w:val="32"/>
        </w:rPr>
      </w:pPr>
      <w:r>
        <w:rPr>
          <w:rFonts w:eastAsia="仿宋_GB2312"/>
          <w:color w:val="993300"/>
          <w:sz w:val="32"/>
          <w:szCs w:val="32"/>
        </w:rPr>
        <w:t>（图3：支出决算结构图）（饼状图）</w:t>
      </w:r>
    </w:p>
    <w:p w14:paraId="02379DD6">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26" w:name="_Toc15396606"/>
      <w:bookmarkStart w:id="27" w:name="_Toc15377208"/>
      <w:r>
        <w:rPr>
          <w:rStyle w:val="29"/>
          <w:rFonts w:ascii="Times New Roman" w:hAnsi="Times New Roman" w:eastAsia="方正黑体_GBK" w:cs="Times New Roman"/>
          <w:b w:val="0"/>
          <w:bCs w:val="0"/>
          <w:sz w:val="33"/>
          <w:szCs w:val="33"/>
        </w:rPr>
        <w:t>四、财政拨款收入支出决算总体情况说明</w:t>
      </w:r>
      <w:bookmarkEnd w:id="26"/>
      <w:bookmarkEnd w:id="27"/>
    </w:p>
    <w:p w14:paraId="59B47996">
      <w:pPr>
        <w:ind w:firstLine="644" w:firstLineChars="20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年财政拨款收入总计</w:t>
      </w:r>
      <w:r>
        <w:rPr>
          <w:rFonts w:hint="eastAsia" w:eastAsia="方正仿宋_GBK"/>
          <w:spacing w:val="-4"/>
          <w:sz w:val="33"/>
          <w:szCs w:val="33"/>
        </w:rPr>
        <w:t>1782.95</w:t>
      </w:r>
      <w:r>
        <w:rPr>
          <w:rFonts w:eastAsia="方正仿宋_GBK"/>
          <w:spacing w:val="-4"/>
          <w:sz w:val="33"/>
          <w:szCs w:val="33"/>
        </w:rPr>
        <w:t>万元，其中：当年财政拨款收入</w:t>
      </w:r>
      <w:r>
        <w:rPr>
          <w:rFonts w:hint="eastAsia" w:eastAsia="方正仿宋_GBK"/>
          <w:spacing w:val="-4"/>
          <w:sz w:val="33"/>
          <w:szCs w:val="33"/>
        </w:rPr>
        <w:t>1782.95</w:t>
      </w:r>
      <w:r>
        <w:rPr>
          <w:rFonts w:eastAsia="方正仿宋_GBK"/>
          <w:spacing w:val="-4"/>
          <w:sz w:val="33"/>
          <w:szCs w:val="33"/>
        </w:rPr>
        <w:t>万元</w:t>
      </w:r>
      <w:r>
        <w:rPr>
          <w:rFonts w:hint="eastAsia" w:eastAsia="方正仿宋_GBK"/>
          <w:spacing w:val="-4"/>
          <w:sz w:val="33"/>
          <w:szCs w:val="33"/>
        </w:rPr>
        <w:t>，</w:t>
      </w:r>
      <w:r>
        <w:rPr>
          <w:rFonts w:eastAsia="方正仿宋_GBK"/>
          <w:spacing w:val="-4"/>
          <w:sz w:val="33"/>
          <w:szCs w:val="33"/>
        </w:rPr>
        <w:t xml:space="preserve"> 年初结转和结余</w:t>
      </w:r>
      <w:r>
        <w:rPr>
          <w:rFonts w:hint="eastAsia" w:eastAsia="方正仿宋_GBK"/>
          <w:spacing w:val="-4"/>
          <w:sz w:val="33"/>
          <w:szCs w:val="33"/>
        </w:rPr>
        <w:t>0</w:t>
      </w:r>
      <w:r>
        <w:rPr>
          <w:rFonts w:eastAsia="方正仿宋_GBK"/>
          <w:spacing w:val="-4"/>
          <w:sz w:val="33"/>
          <w:szCs w:val="33"/>
        </w:rPr>
        <w:t>万元，收入决算总额较</w:t>
      </w:r>
      <w:r>
        <w:rPr>
          <w:rFonts w:hint="eastAsia" w:eastAsia="方正仿宋_GBK"/>
          <w:spacing w:val="-4"/>
          <w:sz w:val="33"/>
          <w:szCs w:val="33"/>
        </w:rPr>
        <w:t>2021</w:t>
      </w:r>
      <w:r>
        <w:rPr>
          <w:rFonts w:eastAsia="方正仿宋_GBK"/>
          <w:spacing w:val="-4"/>
          <w:sz w:val="33"/>
          <w:szCs w:val="33"/>
        </w:rPr>
        <w:t>年（</w:t>
      </w:r>
      <w:r>
        <w:rPr>
          <w:rFonts w:hint="eastAsia" w:eastAsia="方正仿宋_GBK"/>
          <w:spacing w:val="-4"/>
          <w:sz w:val="33"/>
          <w:szCs w:val="33"/>
        </w:rPr>
        <w:t>1965.17</w:t>
      </w:r>
      <w:r>
        <w:rPr>
          <w:rFonts w:eastAsia="方正仿宋_GBK"/>
          <w:spacing w:val="-4"/>
          <w:sz w:val="33"/>
          <w:szCs w:val="33"/>
        </w:rPr>
        <w:t>万元）财政拨款收入减少了</w:t>
      </w:r>
      <w:r>
        <w:rPr>
          <w:rFonts w:hint="eastAsia" w:eastAsia="方正仿宋_GBK"/>
          <w:spacing w:val="-4"/>
          <w:sz w:val="33"/>
          <w:szCs w:val="33"/>
        </w:rPr>
        <w:t>182.22</w:t>
      </w:r>
      <w:r>
        <w:rPr>
          <w:rFonts w:eastAsia="方正仿宋_GBK"/>
          <w:spacing w:val="-4"/>
          <w:sz w:val="33"/>
          <w:szCs w:val="33"/>
        </w:rPr>
        <w:t>万元</w:t>
      </w:r>
      <w:r>
        <w:rPr>
          <w:rFonts w:hint="eastAsia" w:eastAsia="方正仿宋_GBK"/>
          <w:spacing w:val="-4"/>
          <w:sz w:val="33"/>
          <w:szCs w:val="33"/>
        </w:rPr>
        <w:t>，</w:t>
      </w:r>
      <w:r>
        <w:rPr>
          <w:rFonts w:eastAsia="方正仿宋_GBK"/>
          <w:spacing w:val="-4"/>
          <w:sz w:val="33"/>
          <w:szCs w:val="33"/>
        </w:rPr>
        <w:t>下降</w:t>
      </w:r>
      <w:r>
        <w:rPr>
          <w:rFonts w:hint="eastAsia" w:eastAsia="方正仿宋_GBK"/>
          <w:spacing w:val="-4"/>
          <w:sz w:val="33"/>
          <w:szCs w:val="33"/>
        </w:rPr>
        <w:t>9.27</w:t>
      </w:r>
      <w:r>
        <w:rPr>
          <w:rFonts w:eastAsia="方正仿宋_GBK"/>
          <w:spacing w:val="-4"/>
          <w:sz w:val="33"/>
          <w:szCs w:val="33"/>
        </w:rPr>
        <w:t>%。主要</w:t>
      </w:r>
      <w:r>
        <w:rPr>
          <w:rFonts w:hint="eastAsia" w:eastAsia="方正仿宋_GBK"/>
          <w:spacing w:val="-4"/>
          <w:sz w:val="33"/>
          <w:szCs w:val="33"/>
        </w:rPr>
        <w:t>变动原因</w:t>
      </w:r>
      <w:r>
        <w:rPr>
          <w:rFonts w:eastAsia="方正仿宋_GBK"/>
          <w:spacing w:val="-4"/>
          <w:sz w:val="33"/>
          <w:szCs w:val="33"/>
        </w:rPr>
        <w:t>是</w:t>
      </w:r>
      <w:r>
        <w:rPr>
          <w:rFonts w:hint="eastAsia" w:eastAsia="方正仿宋_GBK"/>
          <w:spacing w:val="-4"/>
          <w:sz w:val="33"/>
          <w:szCs w:val="33"/>
        </w:rPr>
        <w:t>2022</w:t>
      </w:r>
      <w:r>
        <w:rPr>
          <w:rFonts w:eastAsia="方正仿宋_GBK"/>
          <w:spacing w:val="-4"/>
          <w:sz w:val="33"/>
          <w:szCs w:val="33"/>
        </w:rPr>
        <w:t>年县财政贯彻中央精神，调减财政拨款，进一步压缩</w:t>
      </w:r>
      <w:r>
        <w:rPr>
          <w:rFonts w:hint="eastAsia" w:eastAsia="方正仿宋_GBK"/>
          <w:spacing w:val="-4"/>
          <w:sz w:val="33"/>
          <w:szCs w:val="33"/>
          <w:lang w:eastAsia="zh-CN"/>
        </w:rPr>
        <w:t>“三公”经费</w:t>
      </w:r>
      <w:r>
        <w:rPr>
          <w:rFonts w:eastAsia="方正仿宋_GBK"/>
          <w:spacing w:val="-4"/>
          <w:sz w:val="33"/>
          <w:szCs w:val="33"/>
        </w:rPr>
        <w:t>、公务接待等，</w:t>
      </w:r>
      <w:r>
        <w:rPr>
          <w:rFonts w:hint="eastAsia" w:eastAsia="方正仿宋_GBK"/>
          <w:spacing w:val="-4"/>
          <w:sz w:val="33"/>
          <w:szCs w:val="33"/>
        </w:rPr>
        <w:t>大额资金项目减少，进一步压缩开支，</w:t>
      </w:r>
      <w:r>
        <w:rPr>
          <w:rFonts w:eastAsia="方正仿宋_GBK"/>
          <w:spacing w:val="-4"/>
          <w:sz w:val="33"/>
          <w:szCs w:val="33"/>
        </w:rPr>
        <w:t>实现开源节流。</w:t>
      </w:r>
    </w:p>
    <w:p w14:paraId="2D4D0F98">
      <w:pPr>
        <w:ind w:firstLine="644" w:firstLineChars="20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年财政拨款支出总计</w:t>
      </w:r>
      <w:r>
        <w:rPr>
          <w:rFonts w:hint="eastAsia" w:eastAsia="方正仿宋_GBK"/>
          <w:spacing w:val="-4"/>
          <w:sz w:val="33"/>
          <w:szCs w:val="33"/>
        </w:rPr>
        <w:t>1782.95</w:t>
      </w:r>
      <w:r>
        <w:rPr>
          <w:rFonts w:eastAsia="方正仿宋_GBK"/>
          <w:spacing w:val="-4"/>
          <w:sz w:val="33"/>
          <w:szCs w:val="33"/>
        </w:rPr>
        <w:t>万元，其中：一般公共服务支出</w:t>
      </w:r>
      <w:r>
        <w:rPr>
          <w:rFonts w:hint="eastAsia" w:eastAsia="方正仿宋_GBK"/>
          <w:spacing w:val="-4"/>
          <w:sz w:val="33"/>
          <w:szCs w:val="33"/>
        </w:rPr>
        <w:t>1327.23</w:t>
      </w:r>
      <w:r>
        <w:rPr>
          <w:rFonts w:eastAsia="方正仿宋_GBK"/>
          <w:spacing w:val="-4"/>
          <w:sz w:val="33"/>
          <w:szCs w:val="33"/>
        </w:rPr>
        <w:t>万元，教育支出</w:t>
      </w:r>
      <w:r>
        <w:rPr>
          <w:rFonts w:hint="eastAsia" w:eastAsia="方正仿宋_GBK"/>
          <w:spacing w:val="-4"/>
          <w:sz w:val="33"/>
          <w:szCs w:val="33"/>
        </w:rPr>
        <w:t>81.95</w:t>
      </w:r>
      <w:r>
        <w:rPr>
          <w:rFonts w:eastAsia="方正仿宋_GBK"/>
          <w:spacing w:val="-4"/>
          <w:sz w:val="33"/>
          <w:szCs w:val="33"/>
        </w:rPr>
        <w:t>万元，社会保障和就业</w:t>
      </w:r>
      <w:r>
        <w:rPr>
          <w:rFonts w:hint="eastAsia" w:eastAsia="方正仿宋_GBK"/>
          <w:spacing w:val="-4"/>
          <w:sz w:val="33"/>
          <w:szCs w:val="33"/>
        </w:rPr>
        <w:t>165.80</w:t>
      </w:r>
      <w:r>
        <w:rPr>
          <w:rFonts w:eastAsia="方正仿宋_GBK"/>
          <w:spacing w:val="-4"/>
          <w:sz w:val="33"/>
          <w:szCs w:val="33"/>
        </w:rPr>
        <w:t>万元，卫生健康支出</w:t>
      </w:r>
      <w:r>
        <w:rPr>
          <w:rFonts w:hint="eastAsia" w:eastAsia="方正仿宋_GBK"/>
          <w:spacing w:val="-4"/>
          <w:sz w:val="33"/>
          <w:szCs w:val="33"/>
        </w:rPr>
        <w:t>88.37</w:t>
      </w:r>
      <w:r>
        <w:rPr>
          <w:rFonts w:eastAsia="方正仿宋_GBK"/>
          <w:spacing w:val="-4"/>
          <w:sz w:val="33"/>
          <w:szCs w:val="33"/>
        </w:rPr>
        <w:t>万元，住房保障支出</w:t>
      </w:r>
      <w:r>
        <w:rPr>
          <w:rFonts w:hint="eastAsia" w:eastAsia="方正仿宋_GBK"/>
          <w:spacing w:val="-4"/>
          <w:sz w:val="33"/>
          <w:szCs w:val="33"/>
        </w:rPr>
        <w:t>91.01</w:t>
      </w:r>
      <w:r>
        <w:rPr>
          <w:rFonts w:eastAsia="方正仿宋_GBK"/>
          <w:spacing w:val="-4"/>
          <w:sz w:val="33"/>
          <w:szCs w:val="33"/>
        </w:rPr>
        <w:t>万元 ，</w:t>
      </w:r>
      <w:r>
        <w:rPr>
          <w:rFonts w:hint="eastAsia" w:eastAsia="方正仿宋_GBK"/>
          <w:spacing w:val="-4"/>
          <w:sz w:val="33"/>
          <w:szCs w:val="33"/>
        </w:rPr>
        <w:t>文化旅游体育与传媒支出14.03</w:t>
      </w:r>
      <w:r>
        <w:rPr>
          <w:rFonts w:eastAsia="方正仿宋_GBK"/>
          <w:spacing w:val="-4"/>
          <w:sz w:val="33"/>
          <w:szCs w:val="33"/>
        </w:rPr>
        <w:t>万元，其他支出</w:t>
      </w:r>
      <w:r>
        <w:rPr>
          <w:rFonts w:hint="eastAsia" w:eastAsia="方正仿宋_GBK"/>
          <w:spacing w:val="-4"/>
          <w:sz w:val="33"/>
          <w:szCs w:val="33"/>
        </w:rPr>
        <w:t>14.56</w:t>
      </w:r>
      <w:r>
        <w:rPr>
          <w:rFonts w:eastAsia="方正仿宋_GBK"/>
          <w:spacing w:val="-4"/>
          <w:sz w:val="33"/>
          <w:szCs w:val="33"/>
        </w:rPr>
        <w:t>万元。支出总额较</w:t>
      </w:r>
      <w:r>
        <w:rPr>
          <w:rFonts w:hint="eastAsia" w:eastAsia="方正仿宋_GBK"/>
          <w:spacing w:val="-4"/>
          <w:sz w:val="33"/>
          <w:szCs w:val="33"/>
        </w:rPr>
        <w:t>2021</w:t>
      </w:r>
      <w:r>
        <w:rPr>
          <w:rFonts w:eastAsia="方正仿宋_GBK"/>
          <w:spacing w:val="-4"/>
          <w:sz w:val="33"/>
          <w:szCs w:val="33"/>
        </w:rPr>
        <w:t>年（</w:t>
      </w:r>
      <w:r>
        <w:rPr>
          <w:rFonts w:hint="eastAsia" w:eastAsia="方正仿宋_GBK"/>
          <w:spacing w:val="-4"/>
          <w:sz w:val="33"/>
          <w:szCs w:val="33"/>
        </w:rPr>
        <w:t>1965.17</w:t>
      </w:r>
      <w:r>
        <w:rPr>
          <w:rFonts w:eastAsia="方正仿宋_GBK"/>
          <w:spacing w:val="-4"/>
          <w:sz w:val="33"/>
          <w:szCs w:val="33"/>
        </w:rPr>
        <w:t>万元）减少了</w:t>
      </w:r>
      <w:r>
        <w:rPr>
          <w:rFonts w:hint="eastAsia" w:eastAsia="方正仿宋_GBK"/>
          <w:spacing w:val="-4"/>
          <w:sz w:val="33"/>
          <w:szCs w:val="33"/>
        </w:rPr>
        <w:t>182.22</w:t>
      </w:r>
      <w:r>
        <w:rPr>
          <w:rFonts w:eastAsia="方正仿宋_GBK"/>
          <w:spacing w:val="-4"/>
          <w:sz w:val="33"/>
          <w:szCs w:val="33"/>
        </w:rPr>
        <w:t>万元，下降</w:t>
      </w:r>
      <w:r>
        <w:rPr>
          <w:rFonts w:hint="eastAsia" w:eastAsia="方正仿宋_GBK"/>
          <w:spacing w:val="-4"/>
          <w:sz w:val="33"/>
          <w:szCs w:val="33"/>
        </w:rPr>
        <w:t>9.27</w:t>
      </w:r>
      <w:r>
        <w:rPr>
          <w:rFonts w:eastAsia="方正仿宋_GBK"/>
          <w:spacing w:val="-4"/>
          <w:sz w:val="33"/>
          <w:szCs w:val="33"/>
        </w:rPr>
        <w:t>%，</w:t>
      </w:r>
      <w:r>
        <w:rPr>
          <w:rFonts w:hint="eastAsia" w:eastAsia="方正仿宋_GBK"/>
          <w:spacing w:val="-4"/>
          <w:sz w:val="33"/>
          <w:szCs w:val="33"/>
        </w:rPr>
        <w:t>主要变动原因是预算减少，项目压缩，收支平衡。</w:t>
      </w:r>
    </w:p>
    <w:p w14:paraId="0FE20A54">
      <w:pPr>
        <w:pStyle w:val="2"/>
        <w:spacing w:before="93"/>
        <w:ind w:left="640"/>
        <w:rPr>
          <w:rFonts w:ascii="Times New Roman"/>
          <w:kern w:val="2"/>
          <w:sz w:val="32"/>
          <w:szCs w:val="32"/>
        </w:rPr>
      </w:pPr>
      <w:r>
        <w:rPr>
          <w:rFonts w:ascii="Times New Roman"/>
          <w:sz w:val="32"/>
          <w:szCs w:val="32"/>
        </w:rPr>
        <w:object>
          <v:shape id="_x0000_i1025" o:spt="75" type="#_x0000_t75" style="height:129pt;width:339.75pt;" o:ole="t" filled="f" o:preferrelative="t" stroked="f" coordsize="21600,21600">
            <v:path/>
            <v:fill on="f" focussize="0,0"/>
            <v:stroke on="f" joinstyle="miter"/>
            <v:imagedata r:id="rId20" o:title=""/>
            <o:lock v:ext="edit" aspectratio="t"/>
            <w10:wrap type="none"/>
            <w10:anchorlock/>
          </v:shape>
          <o:OLEObject Type="Embed" ProgID="Excel.Chart.8" ShapeID="_x0000_i1025" DrawAspect="Content" ObjectID="_1468075728" r:id="rId19">
            <o:LockedField>false</o:LockedField>
          </o:OLEObject>
        </w:object>
      </w:r>
    </w:p>
    <w:p w14:paraId="3DB845A1">
      <w:pPr>
        <w:spacing w:line="600" w:lineRule="exact"/>
        <w:ind w:firstLine="640"/>
        <w:rPr>
          <w:rFonts w:eastAsia="仿宋_GB2312"/>
          <w:color w:val="993300"/>
          <w:sz w:val="32"/>
          <w:szCs w:val="32"/>
        </w:rPr>
      </w:pPr>
      <w:r>
        <w:rPr>
          <w:rFonts w:eastAsia="仿宋_GB2312"/>
          <w:color w:val="993300"/>
          <w:sz w:val="32"/>
          <w:szCs w:val="32"/>
        </w:rPr>
        <w:t>（图4：财政拨款收、支决算总计变动情况）（柱状图）</w:t>
      </w:r>
    </w:p>
    <w:p w14:paraId="7D95D1FE">
      <w:pPr>
        <w:pStyle w:val="2"/>
        <w:spacing w:before="93"/>
      </w:pPr>
    </w:p>
    <w:p w14:paraId="685212E8">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28" w:name="_Toc15377209"/>
      <w:bookmarkStart w:id="29" w:name="_Toc15396607"/>
      <w:r>
        <w:rPr>
          <w:rStyle w:val="29"/>
          <w:rFonts w:ascii="Times New Roman" w:hAnsi="Times New Roman" w:eastAsia="方正黑体_GBK" w:cs="Times New Roman"/>
          <w:b w:val="0"/>
          <w:bCs w:val="0"/>
          <w:sz w:val="33"/>
          <w:szCs w:val="33"/>
        </w:rPr>
        <w:t>五、一般公共预算财政拨款支出决算情况说明</w:t>
      </w:r>
      <w:bookmarkEnd w:id="28"/>
      <w:bookmarkEnd w:id="29"/>
    </w:p>
    <w:p w14:paraId="043DE2E2">
      <w:pPr>
        <w:ind w:firstLine="647" w:firstLineChars="200"/>
        <w:rPr>
          <w:rFonts w:eastAsia="仿宋"/>
          <w:sz w:val="32"/>
          <w:szCs w:val="32"/>
        </w:rPr>
      </w:pPr>
      <w:bookmarkStart w:id="30" w:name="_Toc15377210"/>
      <w:r>
        <w:rPr>
          <w:rFonts w:eastAsia="方正楷体_GBK"/>
          <w:b/>
          <w:bCs/>
          <w:spacing w:val="-4"/>
          <w:sz w:val="33"/>
          <w:szCs w:val="33"/>
        </w:rPr>
        <w:t>（一）一般公共预算财政拨款支出决算总体情况</w:t>
      </w:r>
      <w:bookmarkEnd w:id="30"/>
    </w:p>
    <w:p w14:paraId="7AA9F1AF">
      <w:pPr>
        <w:ind w:firstLine="640" w:firstLineChars="200"/>
        <w:rPr>
          <w:rFonts w:eastAsia="方正仿宋_GBK"/>
          <w:spacing w:val="-4"/>
          <w:sz w:val="33"/>
          <w:szCs w:val="33"/>
        </w:rPr>
      </w:pPr>
      <w:r>
        <w:rPr>
          <w:rFonts w:hint="eastAsia" w:eastAsia="仿宋"/>
          <w:sz w:val="32"/>
          <w:szCs w:val="32"/>
        </w:rPr>
        <w:t>2022</w:t>
      </w:r>
      <w:r>
        <w:rPr>
          <w:rFonts w:eastAsia="方正仿宋_GBK"/>
          <w:spacing w:val="-4"/>
          <w:sz w:val="33"/>
          <w:szCs w:val="33"/>
        </w:rPr>
        <w:t>年一般公共预算财政拨款支出</w:t>
      </w:r>
      <w:r>
        <w:rPr>
          <w:rFonts w:hint="eastAsia" w:eastAsia="方正仿宋_GBK"/>
          <w:spacing w:val="-4"/>
          <w:sz w:val="33"/>
          <w:szCs w:val="33"/>
        </w:rPr>
        <w:t>1782.95</w:t>
      </w:r>
      <w:r>
        <w:rPr>
          <w:rFonts w:eastAsia="方正仿宋_GBK"/>
          <w:spacing w:val="-4"/>
          <w:sz w:val="33"/>
          <w:szCs w:val="33"/>
        </w:rPr>
        <w:t>万元，占本年支出合计的100%。与</w:t>
      </w:r>
      <w:r>
        <w:rPr>
          <w:rFonts w:hint="eastAsia" w:eastAsia="方正仿宋_GBK"/>
          <w:spacing w:val="-4"/>
          <w:sz w:val="33"/>
          <w:szCs w:val="33"/>
        </w:rPr>
        <w:t>2021</w:t>
      </w:r>
      <w:r>
        <w:rPr>
          <w:rFonts w:eastAsia="方正仿宋_GBK"/>
          <w:spacing w:val="-4"/>
          <w:sz w:val="33"/>
          <w:szCs w:val="33"/>
        </w:rPr>
        <w:t>年（</w:t>
      </w:r>
      <w:r>
        <w:rPr>
          <w:rFonts w:hint="eastAsia" w:eastAsia="方正仿宋_GBK"/>
          <w:spacing w:val="-4"/>
          <w:sz w:val="33"/>
          <w:szCs w:val="33"/>
        </w:rPr>
        <w:t>1965.17</w:t>
      </w:r>
      <w:r>
        <w:rPr>
          <w:rFonts w:eastAsia="方正仿宋_GBK"/>
          <w:spacing w:val="-4"/>
          <w:sz w:val="33"/>
          <w:szCs w:val="33"/>
        </w:rPr>
        <w:t>万元）相比，一般公共预算财政拨款支出减少</w:t>
      </w:r>
      <w:r>
        <w:rPr>
          <w:rFonts w:hint="eastAsia" w:eastAsia="方正仿宋_GBK"/>
          <w:spacing w:val="-4"/>
          <w:sz w:val="33"/>
          <w:szCs w:val="33"/>
        </w:rPr>
        <w:t>182.22</w:t>
      </w:r>
      <w:r>
        <w:rPr>
          <w:rFonts w:eastAsia="方正仿宋_GBK"/>
          <w:spacing w:val="-4"/>
          <w:sz w:val="33"/>
          <w:szCs w:val="33"/>
        </w:rPr>
        <w:t>万元，下降</w:t>
      </w:r>
      <w:r>
        <w:rPr>
          <w:rFonts w:hint="eastAsia" w:eastAsia="方正仿宋_GBK"/>
          <w:spacing w:val="-4"/>
          <w:sz w:val="33"/>
          <w:szCs w:val="33"/>
        </w:rPr>
        <w:t>9.27</w:t>
      </w:r>
      <w:r>
        <w:rPr>
          <w:rFonts w:eastAsia="方正仿宋_GBK"/>
          <w:spacing w:val="-4"/>
          <w:sz w:val="33"/>
          <w:szCs w:val="33"/>
        </w:rPr>
        <w:t>%。主要变动</w:t>
      </w:r>
      <w:r>
        <w:rPr>
          <w:rFonts w:hint="eastAsia" w:eastAsia="方正仿宋_GBK"/>
          <w:spacing w:val="-4"/>
          <w:sz w:val="33"/>
          <w:szCs w:val="33"/>
          <w:lang w:eastAsia="zh-CN"/>
        </w:rPr>
        <w:t>原因</w:t>
      </w:r>
      <w:r>
        <w:rPr>
          <w:rFonts w:eastAsia="方正仿宋_GBK"/>
          <w:spacing w:val="-4"/>
          <w:sz w:val="33"/>
          <w:szCs w:val="33"/>
        </w:rPr>
        <w:t>主要是</w:t>
      </w:r>
      <w:r>
        <w:rPr>
          <w:rFonts w:hint="eastAsia" w:eastAsia="方正仿宋_GBK"/>
          <w:spacing w:val="-4"/>
          <w:sz w:val="33"/>
          <w:szCs w:val="33"/>
        </w:rPr>
        <w:t>2021</w:t>
      </w:r>
      <w:r>
        <w:rPr>
          <w:rFonts w:eastAsia="方正仿宋_GBK"/>
          <w:spacing w:val="-4"/>
          <w:sz w:val="33"/>
          <w:szCs w:val="33"/>
        </w:rPr>
        <w:t>年县财政贯彻中央精神，</w:t>
      </w:r>
      <w:r>
        <w:rPr>
          <w:rFonts w:hint="eastAsia" w:eastAsia="方正仿宋_GBK"/>
          <w:spacing w:val="-4"/>
          <w:sz w:val="33"/>
          <w:szCs w:val="33"/>
        </w:rPr>
        <w:t>项目支出减少，且</w:t>
      </w:r>
      <w:r>
        <w:rPr>
          <w:rFonts w:eastAsia="方正仿宋_GBK"/>
          <w:spacing w:val="-4"/>
          <w:sz w:val="33"/>
          <w:szCs w:val="33"/>
        </w:rPr>
        <w:t>进一步压缩</w:t>
      </w:r>
      <w:r>
        <w:rPr>
          <w:rFonts w:hint="eastAsia" w:eastAsia="方正仿宋_GBK"/>
          <w:spacing w:val="-4"/>
          <w:sz w:val="33"/>
          <w:szCs w:val="33"/>
          <w:lang w:eastAsia="zh-CN"/>
        </w:rPr>
        <w:t>“三公”经费</w:t>
      </w:r>
      <w:r>
        <w:rPr>
          <w:rFonts w:eastAsia="方正仿宋_GBK"/>
          <w:spacing w:val="-4"/>
          <w:sz w:val="33"/>
          <w:szCs w:val="33"/>
        </w:rPr>
        <w:t>、公务接待等，实现开源节流。</w:t>
      </w:r>
    </w:p>
    <w:p w14:paraId="3E9FC4DB">
      <w:pPr>
        <w:pStyle w:val="2"/>
        <w:spacing w:before="93"/>
        <w:rPr>
          <w:rFonts w:ascii="Times New Roman" w:eastAsia="方正仿宋_GBK"/>
          <w:spacing w:val="-4"/>
          <w:sz w:val="33"/>
          <w:szCs w:val="33"/>
        </w:rPr>
      </w:pPr>
    </w:p>
    <w:p w14:paraId="3E2517C0">
      <w:pPr>
        <w:pStyle w:val="2"/>
        <w:spacing w:before="93"/>
        <w:rPr>
          <w:rFonts w:ascii="Times New Roman" w:eastAsia="方正仿宋_GBK"/>
          <w:spacing w:val="-4"/>
          <w:sz w:val="33"/>
          <w:szCs w:val="33"/>
        </w:rPr>
      </w:pPr>
    </w:p>
    <w:p w14:paraId="3C85798B">
      <w:pPr>
        <w:pStyle w:val="2"/>
        <w:spacing w:before="93"/>
        <w:rPr>
          <w:rFonts w:ascii="Times New Roman" w:eastAsia="方正仿宋_GBK"/>
          <w:spacing w:val="-4"/>
          <w:sz w:val="33"/>
          <w:szCs w:val="33"/>
        </w:rPr>
      </w:pPr>
      <w:r>
        <w:rPr>
          <w:rFonts w:ascii="Times New Roman" w:eastAsia="仿宋"/>
          <w:sz w:val="32"/>
          <w:szCs w:val="32"/>
        </w:rPr>
        <w:pict>
          <v:shape id="_x0000_s1029" o:spid="_x0000_s1029" o:spt="75" type="#_x0000_t75" style="position:absolute;left:0pt;margin-left:25.7pt;margin-top:-55.5pt;height:163.6pt;width:377.25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joinstyle="miter"/>
            <v:imagedata r:id="rId22" o:title=""/>
            <o:lock v:ext="edit" aspectratio="t"/>
            <w10:wrap type="tight"/>
          </v:shape>
          <o:OLEObject Type="Embed" ProgID="Excel.Chart.8" ShapeID="_x0000_s1029" DrawAspect="Content" ObjectID="_1468075729" r:id="rId21">
            <o:LockedField>false</o:LockedField>
          </o:OLEObject>
        </w:pict>
      </w:r>
    </w:p>
    <w:p w14:paraId="2FE95D27">
      <w:pPr>
        <w:pStyle w:val="2"/>
        <w:spacing w:before="93"/>
        <w:rPr>
          <w:rFonts w:ascii="Times New Roman" w:eastAsia="方正仿宋_GBK"/>
          <w:spacing w:val="-4"/>
          <w:sz w:val="33"/>
          <w:szCs w:val="33"/>
        </w:rPr>
      </w:pPr>
    </w:p>
    <w:p w14:paraId="3B544863">
      <w:pPr>
        <w:spacing w:line="600" w:lineRule="exact"/>
        <w:ind w:firstLine="640" w:firstLineChars="200"/>
        <w:rPr>
          <w:rFonts w:eastAsia="仿宋_GB2312"/>
          <w:color w:val="993300"/>
          <w:sz w:val="32"/>
          <w:szCs w:val="32"/>
        </w:rPr>
      </w:pPr>
      <w:r>
        <w:rPr>
          <w:rFonts w:eastAsia="仿宋_GB2312"/>
          <w:color w:val="993300"/>
          <w:sz w:val="32"/>
          <w:szCs w:val="32"/>
        </w:rPr>
        <w:t>（图5：一般公共预算财政拨款支出决算变动情况）（柱状图）</w:t>
      </w:r>
    </w:p>
    <w:p w14:paraId="36FA0AC9">
      <w:pPr>
        <w:pStyle w:val="2"/>
        <w:spacing w:before="93"/>
      </w:pPr>
    </w:p>
    <w:p w14:paraId="0624C61B">
      <w:pPr>
        <w:ind w:firstLine="647" w:firstLineChars="200"/>
        <w:rPr>
          <w:rFonts w:eastAsia="方正楷体_GBK"/>
          <w:b/>
          <w:bCs/>
          <w:spacing w:val="-4"/>
          <w:sz w:val="33"/>
          <w:szCs w:val="33"/>
        </w:rPr>
      </w:pPr>
      <w:bookmarkStart w:id="31" w:name="_Toc15377211"/>
      <w:r>
        <w:rPr>
          <w:rFonts w:eastAsia="方正楷体_GBK"/>
          <w:b/>
          <w:bCs/>
          <w:spacing w:val="-4"/>
          <w:sz w:val="33"/>
          <w:szCs w:val="33"/>
        </w:rPr>
        <w:t>（二）一般公共预算财政拨款支出决算结构情况</w:t>
      </w:r>
      <w:bookmarkEnd w:id="31"/>
    </w:p>
    <w:p w14:paraId="565FD5E5">
      <w:pPr>
        <w:ind w:firstLine="644" w:firstLineChars="20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年一般公共预算财政拨款支出</w:t>
      </w:r>
      <w:r>
        <w:rPr>
          <w:rFonts w:hint="eastAsia" w:eastAsia="方正仿宋_GBK"/>
          <w:spacing w:val="-4"/>
          <w:sz w:val="33"/>
          <w:szCs w:val="33"/>
        </w:rPr>
        <w:t>1782.95</w:t>
      </w:r>
      <w:r>
        <w:rPr>
          <w:rFonts w:eastAsia="方正仿宋_GBK"/>
          <w:spacing w:val="-4"/>
          <w:sz w:val="33"/>
          <w:szCs w:val="33"/>
        </w:rPr>
        <w:t>万元，主要用于以下方面</w:t>
      </w:r>
      <w:r>
        <w:rPr>
          <w:rFonts w:hint="eastAsia" w:eastAsia="方正仿宋_GBK"/>
          <w:spacing w:val="-4"/>
          <w:sz w:val="33"/>
          <w:szCs w:val="33"/>
        </w:rPr>
        <w:t>：</w:t>
      </w:r>
      <w:r>
        <w:rPr>
          <w:rFonts w:eastAsia="方正仿宋_GBK"/>
          <w:spacing w:val="-4"/>
          <w:sz w:val="33"/>
          <w:szCs w:val="33"/>
        </w:rPr>
        <w:t>一般公共服务（类）支出</w:t>
      </w:r>
      <w:r>
        <w:rPr>
          <w:rFonts w:hint="eastAsia" w:eastAsia="方正仿宋_GBK"/>
          <w:spacing w:val="-4"/>
          <w:sz w:val="33"/>
          <w:szCs w:val="33"/>
        </w:rPr>
        <w:t>1327.23</w:t>
      </w:r>
      <w:r>
        <w:rPr>
          <w:rFonts w:eastAsia="方正仿宋_GBK"/>
          <w:spacing w:val="-4"/>
          <w:sz w:val="33"/>
          <w:szCs w:val="33"/>
        </w:rPr>
        <w:t>万元，占</w:t>
      </w:r>
      <w:r>
        <w:rPr>
          <w:rFonts w:hint="eastAsia" w:eastAsia="方正仿宋_GBK"/>
          <w:spacing w:val="-4"/>
          <w:sz w:val="33"/>
          <w:szCs w:val="33"/>
        </w:rPr>
        <w:t>74.4</w:t>
      </w:r>
      <w:r>
        <w:rPr>
          <w:rFonts w:eastAsia="方正仿宋_GBK"/>
          <w:spacing w:val="-4"/>
          <w:sz w:val="33"/>
          <w:szCs w:val="33"/>
        </w:rPr>
        <w:t>%；教育支出（类）</w:t>
      </w:r>
      <w:r>
        <w:rPr>
          <w:rFonts w:hint="eastAsia" w:eastAsia="方正仿宋_GBK"/>
          <w:spacing w:val="-4"/>
          <w:sz w:val="33"/>
          <w:szCs w:val="33"/>
        </w:rPr>
        <w:t>81.95</w:t>
      </w:r>
      <w:r>
        <w:rPr>
          <w:rFonts w:eastAsia="方正仿宋_GBK"/>
          <w:spacing w:val="-4"/>
          <w:sz w:val="33"/>
          <w:szCs w:val="33"/>
        </w:rPr>
        <w:t>万元，占</w:t>
      </w:r>
      <w:r>
        <w:rPr>
          <w:rFonts w:hint="eastAsia" w:eastAsia="方正仿宋_GBK"/>
          <w:spacing w:val="-4"/>
          <w:sz w:val="33"/>
          <w:szCs w:val="33"/>
        </w:rPr>
        <w:t>4.59</w:t>
      </w:r>
      <w:r>
        <w:rPr>
          <w:rFonts w:eastAsia="方正仿宋_GBK"/>
          <w:spacing w:val="-4"/>
          <w:sz w:val="33"/>
          <w:szCs w:val="33"/>
        </w:rPr>
        <w:t>%；社会保障和就业（类）支出</w:t>
      </w:r>
      <w:r>
        <w:rPr>
          <w:rFonts w:hint="eastAsia" w:eastAsia="方正仿宋_GBK"/>
          <w:spacing w:val="-4"/>
          <w:sz w:val="33"/>
          <w:szCs w:val="33"/>
        </w:rPr>
        <w:t>165.81</w:t>
      </w:r>
      <w:r>
        <w:rPr>
          <w:rFonts w:eastAsia="方正仿宋_GBK"/>
          <w:spacing w:val="-4"/>
          <w:sz w:val="33"/>
          <w:szCs w:val="33"/>
        </w:rPr>
        <w:t>万元，占</w:t>
      </w:r>
      <w:r>
        <w:rPr>
          <w:rFonts w:hint="eastAsia" w:eastAsia="方正仿宋_GBK"/>
          <w:spacing w:val="-4"/>
          <w:sz w:val="33"/>
          <w:szCs w:val="33"/>
        </w:rPr>
        <w:t>9.30</w:t>
      </w:r>
      <w:r>
        <w:rPr>
          <w:rFonts w:eastAsia="方正仿宋_GBK"/>
          <w:spacing w:val="-4"/>
          <w:sz w:val="33"/>
          <w:szCs w:val="33"/>
        </w:rPr>
        <w:t>%；卫生健康支出</w:t>
      </w:r>
      <w:r>
        <w:rPr>
          <w:rFonts w:hint="eastAsia" w:eastAsia="方正仿宋_GBK"/>
          <w:spacing w:val="-4"/>
          <w:sz w:val="33"/>
          <w:szCs w:val="33"/>
        </w:rPr>
        <w:t>88.36</w:t>
      </w:r>
      <w:r>
        <w:rPr>
          <w:rFonts w:eastAsia="方正仿宋_GBK"/>
          <w:spacing w:val="-4"/>
          <w:sz w:val="33"/>
          <w:szCs w:val="33"/>
        </w:rPr>
        <w:t>万元，占</w:t>
      </w:r>
      <w:r>
        <w:rPr>
          <w:rFonts w:hint="eastAsia" w:eastAsia="方正仿宋_GBK"/>
          <w:spacing w:val="-4"/>
          <w:sz w:val="33"/>
          <w:szCs w:val="33"/>
        </w:rPr>
        <w:t>4.96</w:t>
      </w:r>
      <w:r>
        <w:rPr>
          <w:rFonts w:eastAsia="方正仿宋_GBK"/>
          <w:spacing w:val="-4"/>
          <w:sz w:val="33"/>
          <w:szCs w:val="33"/>
        </w:rPr>
        <w:t>%；住房保障支出</w:t>
      </w:r>
      <w:r>
        <w:rPr>
          <w:rFonts w:hint="eastAsia" w:eastAsia="方正仿宋_GBK"/>
          <w:spacing w:val="-4"/>
          <w:sz w:val="33"/>
          <w:szCs w:val="33"/>
        </w:rPr>
        <w:t>91.01</w:t>
      </w:r>
      <w:r>
        <w:rPr>
          <w:rFonts w:eastAsia="方正仿宋_GBK"/>
          <w:spacing w:val="-4"/>
          <w:sz w:val="33"/>
          <w:szCs w:val="33"/>
        </w:rPr>
        <w:t>万元，占</w:t>
      </w:r>
      <w:r>
        <w:rPr>
          <w:rFonts w:hint="eastAsia" w:eastAsia="方正仿宋_GBK"/>
          <w:spacing w:val="-4"/>
          <w:sz w:val="33"/>
          <w:szCs w:val="33"/>
        </w:rPr>
        <w:t>5.10</w:t>
      </w:r>
      <w:r>
        <w:rPr>
          <w:rFonts w:eastAsia="方正仿宋_GBK"/>
          <w:spacing w:val="-4"/>
          <w:sz w:val="33"/>
          <w:szCs w:val="33"/>
        </w:rPr>
        <w:t>%；</w:t>
      </w:r>
      <w:r>
        <w:rPr>
          <w:rFonts w:hint="eastAsia" w:eastAsia="方正仿宋_GBK"/>
          <w:spacing w:val="-4"/>
          <w:sz w:val="33"/>
          <w:szCs w:val="33"/>
        </w:rPr>
        <w:t>文化旅游体育与传媒支出14.03</w:t>
      </w:r>
      <w:r>
        <w:rPr>
          <w:rFonts w:eastAsia="方正仿宋_GBK"/>
          <w:spacing w:val="-4"/>
          <w:sz w:val="33"/>
          <w:szCs w:val="33"/>
        </w:rPr>
        <w:t>万元，占</w:t>
      </w:r>
      <w:r>
        <w:rPr>
          <w:rFonts w:hint="eastAsia" w:eastAsia="方正仿宋_GBK"/>
          <w:spacing w:val="-4"/>
          <w:sz w:val="33"/>
          <w:szCs w:val="33"/>
        </w:rPr>
        <w:t>0.08</w:t>
      </w:r>
      <w:r>
        <w:rPr>
          <w:rFonts w:eastAsia="方正仿宋_GBK"/>
          <w:spacing w:val="-4"/>
          <w:sz w:val="33"/>
          <w:szCs w:val="33"/>
        </w:rPr>
        <w:t>%；其他支出</w:t>
      </w:r>
      <w:r>
        <w:rPr>
          <w:rFonts w:hint="eastAsia" w:eastAsia="方正仿宋_GBK"/>
          <w:spacing w:val="-4"/>
          <w:sz w:val="33"/>
          <w:szCs w:val="33"/>
        </w:rPr>
        <w:t>14.56</w:t>
      </w:r>
      <w:r>
        <w:rPr>
          <w:rFonts w:eastAsia="方正仿宋_GBK"/>
          <w:spacing w:val="-4"/>
          <w:sz w:val="33"/>
          <w:szCs w:val="33"/>
        </w:rPr>
        <w:t>万元，占</w:t>
      </w:r>
      <w:r>
        <w:rPr>
          <w:rFonts w:hint="eastAsia" w:eastAsia="方正仿宋_GBK"/>
          <w:spacing w:val="-4"/>
          <w:sz w:val="33"/>
          <w:szCs w:val="33"/>
        </w:rPr>
        <w:t>0.82</w:t>
      </w:r>
      <w:r>
        <w:rPr>
          <w:rFonts w:eastAsia="方正仿宋_GBK"/>
          <w:spacing w:val="-4"/>
          <w:sz w:val="33"/>
          <w:szCs w:val="33"/>
        </w:rPr>
        <w:t>%。</w:t>
      </w:r>
    </w:p>
    <w:p w14:paraId="05D5A533">
      <w:pPr>
        <w:ind w:firstLine="640" w:firstLineChars="200"/>
        <w:rPr>
          <w:rFonts w:eastAsia="仿宋"/>
          <w:b/>
          <w:sz w:val="32"/>
          <w:szCs w:val="32"/>
        </w:rPr>
      </w:pPr>
      <w:r>
        <w:rPr>
          <w:rFonts w:eastAsia="仿宋"/>
          <w:sz w:val="32"/>
          <w:szCs w:val="32"/>
        </w:rPr>
        <w:pict>
          <v:shape id="_x0000_s1030" o:spid="_x0000_s1030" o:spt="75" type="#_x0000_t75" style="position:absolute;left:0pt;margin-left:7.5pt;margin-top:19.9pt;height:222.75pt;width:463.5pt;mso-wrap-distance-bottom:0pt;mso-wrap-distance-left:9pt;mso-wrap-distance-right:9pt;mso-wrap-distance-top:0pt;z-index:251663360;mso-width-relative:page;mso-height-relative:page;" o:ole="t" filled="f" o:preferrelative="t" stroked="f" coordsize="21600,21600">
            <v:path/>
            <v:fill on="f" focussize="0,0"/>
            <v:stroke on="f" joinstyle="miter"/>
            <v:imagedata r:id="rId24" o:title=""/>
            <o:lock v:ext="edit" aspectratio="t"/>
            <w10:wrap type="square"/>
          </v:shape>
          <o:OLEObject Type="Embed" ProgID="Excel.Chart.8" ShapeID="_x0000_s1030" DrawAspect="Content" ObjectID="_1468075730" r:id="rId23">
            <o:LockedField>false</o:LockedField>
          </o:OLEObject>
        </w:pict>
      </w:r>
    </w:p>
    <w:p w14:paraId="5C89CA1F">
      <w:pPr>
        <w:spacing w:line="600" w:lineRule="exact"/>
        <w:ind w:firstLine="640"/>
        <w:rPr>
          <w:rFonts w:eastAsia="仿宋_GB2312"/>
          <w:color w:val="993300"/>
          <w:sz w:val="32"/>
          <w:szCs w:val="32"/>
        </w:rPr>
      </w:pPr>
      <w:r>
        <w:rPr>
          <w:rFonts w:eastAsia="仿宋_GB2312"/>
          <w:color w:val="993300"/>
          <w:sz w:val="32"/>
          <w:szCs w:val="32"/>
        </w:rPr>
        <w:t>（图6：一般公共预算财政拨款支出决算结构）（饼状图）</w:t>
      </w:r>
    </w:p>
    <w:p w14:paraId="67DFFD6E">
      <w:pPr>
        <w:ind w:firstLine="644" w:firstLineChars="200"/>
        <w:rPr>
          <w:rFonts w:eastAsia="方正仿宋_GBK"/>
          <w:spacing w:val="-4"/>
          <w:sz w:val="33"/>
          <w:szCs w:val="33"/>
        </w:rPr>
      </w:pPr>
    </w:p>
    <w:p w14:paraId="7E171323">
      <w:pPr>
        <w:pStyle w:val="2"/>
        <w:rPr>
          <w:rFonts w:eastAsia="方正仿宋_GBK"/>
          <w:spacing w:val="-4"/>
          <w:sz w:val="33"/>
          <w:szCs w:val="33"/>
        </w:rPr>
      </w:pPr>
    </w:p>
    <w:p w14:paraId="30F0356D">
      <w:pPr>
        <w:pStyle w:val="2"/>
        <w:rPr>
          <w:rFonts w:eastAsia="方正仿宋_GBK"/>
          <w:spacing w:val="-4"/>
          <w:sz w:val="33"/>
          <w:szCs w:val="33"/>
        </w:rPr>
      </w:pPr>
    </w:p>
    <w:p w14:paraId="75EF3851">
      <w:pPr>
        <w:ind w:firstLine="647" w:firstLineChars="200"/>
        <w:rPr>
          <w:rFonts w:eastAsia="方正楷体_GBK"/>
          <w:b/>
          <w:bCs/>
          <w:spacing w:val="-4"/>
          <w:sz w:val="33"/>
          <w:szCs w:val="33"/>
        </w:rPr>
      </w:pPr>
      <w:bookmarkStart w:id="32" w:name="_Toc15377212"/>
      <w:r>
        <w:rPr>
          <w:rFonts w:eastAsia="方正楷体_GBK"/>
          <w:b/>
          <w:bCs/>
          <w:spacing w:val="-4"/>
          <w:sz w:val="33"/>
          <w:szCs w:val="33"/>
        </w:rPr>
        <w:t>（三）一般公共预算财政拨款支出决算具体情况</w:t>
      </w:r>
      <w:bookmarkEnd w:id="32"/>
    </w:p>
    <w:p w14:paraId="7D592AD0">
      <w:pPr>
        <w:ind w:firstLine="663" w:firstLineChars="200"/>
        <w:outlineLvl w:val="2"/>
        <w:rPr>
          <w:rFonts w:eastAsia="方正仿宋_GBK"/>
          <w:b/>
          <w:sz w:val="33"/>
          <w:szCs w:val="33"/>
        </w:rPr>
      </w:pPr>
      <w:r>
        <w:rPr>
          <w:rFonts w:hint="eastAsia" w:eastAsia="方正仿宋_GBK"/>
          <w:b/>
          <w:sz w:val="33"/>
          <w:szCs w:val="33"/>
        </w:rPr>
        <w:t>2022</w:t>
      </w:r>
      <w:r>
        <w:rPr>
          <w:rFonts w:eastAsia="方正仿宋_GBK"/>
          <w:b/>
          <w:sz w:val="33"/>
          <w:szCs w:val="33"/>
        </w:rPr>
        <w:t>年一般公共预算支出决算数为</w:t>
      </w:r>
      <w:r>
        <w:rPr>
          <w:rFonts w:hint="eastAsia" w:eastAsia="方正仿宋_GBK"/>
          <w:b/>
          <w:sz w:val="33"/>
          <w:szCs w:val="33"/>
        </w:rPr>
        <w:t>1782.95</w:t>
      </w:r>
      <w:r>
        <w:rPr>
          <w:rFonts w:eastAsia="方正仿宋_GBK"/>
          <w:b/>
          <w:sz w:val="33"/>
          <w:szCs w:val="33"/>
        </w:rPr>
        <w:t>万元，完成预算100%。</w:t>
      </w:r>
    </w:p>
    <w:p w14:paraId="4B122FEA">
      <w:pPr>
        <w:ind w:firstLine="663" w:firstLineChars="200"/>
        <w:outlineLvl w:val="2"/>
        <w:rPr>
          <w:rStyle w:val="18"/>
          <w:rFonts w:eastAsia="方正仿宋_GBK"/>
          <w:bCs/>
          <w:color w:val="000000" w:themeColor="text1"/>
          <w:sz w:val="33"/>
          <w:szCs w:val="33"/>
        </w:rPr>
      </w:pPr>
      <w:r>
        <w:rPr>
          <w:rFonts w:eastAsia="方正仿宋_GBK"/>
          <w:b/>
          <w:sz w:val="33"/>
          <w:szCs w:val="33"/>
        </w:rPr>
        <w:t>其</w:t>
      </w:r>
      <w:r>
        <w:rPr>
          <w:rFonts w:eastAsia="方正仿宋_GBK"/>
          <w:b/>
          <w:color w:val="000000" w:themeColor="text1"/>
          <w:sz w:val="33"/>
          <w:szCs w:val="33"/>
        </w:rPr>
        <w:t>中</w:t>
      </w:r>
      <w:r>
        <w:rPr>
          <w:rStyle w:val="18"/>
          <w:rFonts w:eastAsia="方正仿宋_GBK"/>
          <w:bCs/>
          <w:color w:val="000000" w:themeColor="text1"/>
          <w:sz w:val="33"/>
          <w:szCs w:val="33"/>
        </w:rPr>
        <w:t>：</w:t>
      </w:r>
    </w:p>
    <w:p w14:paraId="46FE1FC0">
      <w:pPr>
        <w:ind w:firstLine="663" w:firstLineChars="200"/>
        <w:outlineLvl w:val="2"/>
        <w:rPr>
          <w:rStyle w:val="18"/>
          <w:rFonts w:eastAsia="方正仿宋_GBK"/>
          <w:b w:val="0"/>
          <w:bCs/>
          <w:color w:val="000000" w:themeColor="text1"/>
          <w:sz w:val="33"/>
          <w:szCs w:val="33"/>
        </w:rPr>
      </w:pPr>
      <w:r>
        <w:rPr>
          <w:rStyle w:val="18"/>
          <w:rFonts w:eastAsia="方正仿宋_GBK"/>
          <w:bCs/>
          <w:color w:val="000000" w:themeColor="text1"/>
          <w:sz w:val="33"/>
          <w:szCs w:val="33"/>
        </w:rPr>
        <w:t>1.一般公共服务支出（类）民主党派及工商联事务（款）行政运行</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58.58</w:t>
      </w:r>
      <w:r>
        <w:rPr>
          <w:rStyle w:val="18"/>
          <w:rFonts w:eastAsia="方正仿宋_GBK"/>
          <w:b w:val="0"/>
          <w:bCs/>
          <w:color w:val="000000" w:themeColor="text1"/>
          <w:sz w:val="33"/>
          <w:szCs w:val="33"/>
        </w:rPr>
        <w:t>万元，完成预算100%。</w:t>
      </w:r>
    </w:p>
    <w:p w14:paraId="22936A9F">
      <w:pPr>
        <w:ind w:firstLine="663" w:firstLineChars="200"/>
        <w:rPr>
          <w:rFonts w:eastAsia="方正仿宋_GBK"/>
          <w:color w:val="000000" w:themeColor="text1"/>
          <w:sz w:val="33"/>
          <w:szCs w:val="33"/>
        </w:rPr>
      </w:pPr>
      <w:r>
        <w:rPr>
          <w:rStyle w:val="18"/>
          <w:rFonts w:eastAsia="方正仿宋_GBK"/>
          <w:bCs/>
          <w:color w:val="000000" w:themeColor="text1"/>
          <w:sz w:val="33"/>
          <w:szCs w:val="33"/>
        </w:rPr>
        <w:t>2.一般公共服务（类）民主党派及工商联事务（款）</w:t>
      </w:r>
      <w:r>
        <w:rPr>
          <w:rStyle w:val="18"/>
          <w:rFonts w:hint="eastAsia" w:eastAsia="方正仿宋_GBK"/>
          <w:bCs/>
          <w:color w:val="000000" w:themeColor="text1"/>
          <w:sz w:val="33"/>
          <w:szCs w:val="33"/>
        </w:rPr>
        <w:t>其他民主党派及工商联事务支出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18.25</w:t>
      </w:r>
      <w:r>
        <w:rPr>
          <w:rStyle w:val="18"/>
          <w:rFonts w:eastAsia="方正仿宋_GBK"/>
          <w:b w:val="0"/>
          <w:bCs/>
          <w:color w:val="000000" w:themeColor="text1"/>
          <w:sz w:val="33"/>
          <w:szCs w:val="33"/>
        </w:rPr>
        <w:t>万元，完成预算100%。</w:t>
      </w:r>
    </w:p>
    <w:p w14:paraId="74B1DE4E">
      <w:pPr>
        <w:ind w:firstLine="663" w:firstLineChars="200"/>
        <w:rPr>
          <w:rFonts w:eastAsia="方正仿宋_GBK"/>
          <w:b/>
          <w:color w:val="000000" w:themeColor="text1"/>
          <w:sz w:val="33"/>
          <w:szCs w:val="33"/>
        </w:rPr>
      </w:pPr>
      <w:r>
        <w:rPr>
          <w:rStyle w:val="18"/>
          <w:rFonts w:eastAsia="方正仿宋_GBK"/>
          <w:bCs/>
          <w:color w:val="000000" w:themeColor="text1"/>
          <w:sz w:val="33"/>
          <w:szCs w:val="33"/>
        </w:rPr>
        <w:t>3.一般公共服务支出（类）群众团体事务（款）行政运行</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98.62</w:t>
      </w:r>
      <w:r>
        <w:rPr>
          <w:rStyle w:val="18"/>
          <w:rFonts w:eastAsia="方正仿宋_GBK"/>
          <w:b w:val="0"/>
          <w:bCs/>
          <w:color w:val="000000" w:themeColor="text1"/>
          <w:sz w:val="33"/>
          <w:szCs w:val="33"/>
        </w:rPr>
        <w:t>万元，完成预算100%。</w:t>
      </w:r>
    </w:p>
    <w:p w14:paraId="76435561">
      <w:pPr>
        <w:ind w:firstLine="663" w:firstLineChars="200"/>
        <w:rPr>
          <w:rFonts w:eastAsia="方正仿宋_GBK"/>
          <w:b/>
          <w:color w:val="000000" w:themeColor="text1"/>
          <w:sz w:val="33"/>
          <w:szCs w:val="33"/>
        </w:rPr>
      </w:pPr>
      <w:r>
        <w:rPr>
          <w:rStyle w:val="18"/>
          <w:rFonts w:eastAsia="方正仿宋_GBK"/>
          <w:bCs/>
          <w:color w:val="000000" w:themeColor="text1"/>
          <w:sz w:val="33"/>
          <w:szCs w:val="33"/>
        </w:rPr>
        <w:t>4.一般公共服务支出（类）群众团体事务（款）一般行政管理事务</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8.29</w:t>
      </w:r>
      <w:r>
        <w:rPr>
          <w:rStyle w:val="18"/>
          <w:rFonts w:eastAsia="方正仿宋_GBK"/>
          <w:b w:val="0"/>
          <w:bCs/>
          <w:color w:val="000000" w:themeColor="text1"/>
          <w:sz w:val="33"/>
          <w:szCs w:val="33"/>
        </w:rPr>
        <w:t>万元，完成预算100%。</w:t>
      </w:r>
    </w:p>
    <w:p w14:paraId="752B259A">
      <w:pPr>
        <w:ind w:firstLine="663" w:firstLineChars="200"/>
        <w:rPr>
          <w:rStyle w:val="18"/>
          <w:rFonts w:eastAsia="方正仿宋_GBK"/>
          <w:b w:val="0"/>
          <w:bCs/>
          <w:color w:val="000000" w:themeColor="text1"/>
          <w:sz w:val="33"/>
          <w:szCs w:val="33"/>
        </w:rPr>
      </w:pPr>
      <w:r>
        <w:rPr>
          <w:rStyle w:val="18"/>
          <w:rFonts w:eastAsia="方正仿宋_GBK"/>
          <w:bCs/>
          <w:color w:val="000000" w:themeColor="text1"/>
          <w:sz w:val="33"/>
          <w:szCs w:val="33"/>
        </w:rPr>
        <w:t>5.一般公共服务支出（类）群众团体事务（款）其他群众团体事务支出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278.79</w:t>
      </w:r>
      <w:r>
        <w:rPr>
          <w:rStyle w:val="18"/>
          <w:rFonts w:eastAsia="方正仿宋_GBK"/>
          <w:b w:val="0"/>
          <w:bCs/>
          <w:color w:val="000000" w:themeColor="text1"/>
          <w:sz w:val="33"/>
          <w:szCs w:val="33"/>
        </w:rPr>
        <w:t>万元，完成预算100%。</w:t>
      </w:r>
    </w:p>
    <w:p w14:paraId="6B7E01F8">
      <w:pPr>
        <w:pStyle w:val="2"/>
        <w:spacing w:beforeLines="0"/>
        <w:ind w:firstLine="663" w:firstLineChars="200"/>
        <w:rPr>
          <w:rFonts w:ascii="Times New Roman" w:eastAsia="方正仿宋_GBK"/>
          <w:color w:val="000000" w:themeColor="text1"/>
          <w:sz w:val="33"/>
          <w:szCs w:val="33"/>
        </w:rPr>
      </w:pPr>
      <w:r>
        <w:rPr>
          <w:rStyle w:val="18"/>
          <w:rFonts w:ascii="Times New Roman" w:eastAsia="方正仿宋_GBK"/>
          <w:bCs/>
          <w:color w:val="000000" w:themeColor="text1"/>
          <w:sz w:val="33"/>
          <w:szCs w:val="33"/>
        </w:rPr>
        <w:t>6.一般公共服务支出（类）党委办公厅（室）及相关机构事务（款）行政运行</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ascii="Times New Roman" w:eastAsia="方正仿宋_GBK"/>
          <w:bCs/>
          <w:color w:val="000000" w:themeColor="text1"/>
          <w:sz w:val="33"/>
          <w:szCs w:val="33"/>
        </w:rPr>
        <w:t>、一般行政管理事务</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ascii="Times New Roman" w:eastAsia="方正仿宋_GBK"/>
          <w:bCs/>
          <w:color w:val="000000" w:themeColor="text1"/>
          <w:sz w:val="33"/>
          <w:szCs w:val="33"/>
        </w:rPr>
        <w:t>、事业运行</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ascii="Times New Roman" w:eastAsia="方正仿宋_GBK"/>
          <w:bCs/>
          <w:color w:val="000000" w:themeColor="text1"/>
          <w:sz w:val="33"/>
          <w:szCs w:val="33"/>
        </w:rPr>
        <w:t>、其他党委办公厅（室）及相关机构事务支出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ascii="Times New Roman" w:eastAsia="方正仿宋_GBK"/>
          <w:bCs/>
          <w:color w:val="000000" w:themeColor="text1"/>
          <w:sz w:val="33"/>
          <w:szCs w:val="33"/>
        </w:rPr>
        <w:t>：</w:t>
      </w:r>
      <w:r>
        <w:rPr>
          <w:rStyle w:val="18"/>
          <w:rFonts w:ascii="Times New Roman" w:eastAsia="方正仿宋_GBK"/>
          <w:b w:val="0"/>
          <w:bCs/>
          <w:color w:val="000000" w:themeColor="text1"/>
          <w:sz w:val="33"/>
          <w:szCs w:val="33"/>
        </w:rPr>
        <w:t>支出决算为</w:t>
      </w:r>
      <w:r>
        <w:rPr>
          <w:rStyle w:val="18"/>
          <w:rFonts w:hint="eastAsia" w:ascii="Times New Roman" w:eastAsia="方正仿宋_GBK"/>
          <w:b w:val="0"/>
          <w:bCs/>
          <w:color w:val="000000" w:themeColor="text1"/>
          <w:sz w:val="33"/>
          <w:szCs w:val="33"/>
        </w:rPr>
        <w:t>864.70</w:t>
      </w:r>
      <w:r>
        <w:rPr>
          <w:rStyle w:val="18"/>
          <w:rFonts w:ascii="Times New Roman" w:eastAsia="方正仿宋_GBK"/>
          <w:b w:val="0"/>
          <w:bCs/>
          <w:color w:val="000000" w:themeColor="text1"/>
          <w:sz w:val="33"/>
          <w:szCs w:val="33"/>
        </w:rPr>
        <w:t>万元，完成预算100%。</w:t>
      </w:r>
    </w:p>
    <w:p w14:paraId="6E2689DB">
      <w:pPr>
        <w:ind w:firstLine="663" w:firstLineChars="200"/>
        <w:rPr>
          <w:rStyle w:val="18"/>
          <w:rFonts w:eastAsia="方正仿宋_GBK"/>
          <w:b w:val="0"/>
          <w:bCs/>
          <w:color w:val="000000" w:themeColor="text1"/>
          <w:sz w:val="33"/>
          <w:szCs w:val="33"/>
        </w:rPr>
      </w:pPr>
      <w:r>
        <w:rPr>
          <w:rStyle w:val="18"/>
          <w:rFonts w:eastAsia="方正仿宋_GBK"/>
          <w:bCs/>
          <w:color w:val="000000" w:themeColor="text1"/>
          <w:sz w:val="33"/>
          <w:szCs w:val="33"/>
        </w:rPr>
        <w:t>7.教育支出（类）普通教育（款）其他普通教育支出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81.95</w:t>
      </w:r>
      <w:r>
        <w:rPr>
          <w:rStyle w:val="18"/>
          <w:rFonts w:eastAsia="方正仿宋_GBK"/>
          <w:b w:val="0"/>
          <w:bCs/>
          <w:color w:val="000000" w:themeColor="text1"/>
          <w:sz w:val="33"/>
          <w:szCs w:val="33"/>
        </w:rPr>
        <w:t>万元，完成预算100%。</w:t>
      </w:r>
    </w:p>
    <w:p w14:paraId="72D5433D">
      <w:pPr>
        <w:pStyle w:val="2"/>
        <w:spacing w:beforeLines="0"/>
        <w:ind w:firstLine="663" w:firstLineChars="200"/>
        <w:rPr>
          <w:rFonts w:ascii="Times New Roman" w:eastAsia="方正仿宋_GBK"/>
          <w:color w:val="000000" w:themeColor="text1"/>
          <w:sz w:val="33"/>
          <w:szCs w:val="33"/>
        </w:rPr>
      </w:pPr>
      <w:r>
        <w:rPr>
          <w:rStyle w:val="18"/>
          <w:rFonts w:ascii="Times New Roman" w:eastAsia="方正仿宋_GBK"/>
          <w:bCs/>
          <w:color w:val="000000" w:themeColor="text1"/>
          <w:sz w:val="33"/>
          <w:szCs w:val="33"/>
        </w:rPr>
        <w:t>8.</w:t>
      </w:r>
      <w:r>
        <w:rPr>
          <w:rStyle w:val="18"/>
          <w:rFonts w:hint="eastAsia" w:ascii="Times New Roman" w:eastAsia="方正仿宋_GBK"/>
          <w:bCs/>
          <w:color w:val="000000" w:themeColor="text1"/>
          <w:sz w:val="33"/>
          <w:szCs w:val="33"/>
        </w:rPr>
        <w:t>文化旅游体育与传媒支出</w:t>
      </w:r>
      <w:r>
        <w:rPr>
          <w:rStyle w:val="18"/>
          <w:rFonts w:ascii="Times New Roman" w:eastAsia="方正仿宋_GBK"/>
          <w:bCs/>
          <w:color w:val="000000" w:themeColor="text1"/>
          <w:sz w:val="33"/>
          <w:szCs w:val="33"/>
        </w:rPr>
        <w:t>（类）</w:t>
      </w:r>
      <w:r>
        <w:rPr>
          <w:rStyle w:val="18"/>
          <w:rFonts w:hint="eastAsia" w:ascii="Times New Roman" w:eastAsia="方正仿宋_GBK"/>
          <w:bCs/>
          <w:color w:val="000000" w:themeColor="text1"/>
          <w:sz w:val="33"/>
          <w:szCs w:val="33"/>
        </w:rPr>
        <w:t>文化和旅游</w:t>
      </w:r>
      <w:r>
        <w:rPr>
          <w:rStyle w:val="18"/>
          <w:rFonts w:ascii="Times New Roman" w:eastAsia="方正仿宋_GBK"/>
          <w:bCs/>
          <w:color w:val="000000" w:themeColor="text1"/>
          <w:sz w:val="33"/>
          <w:szCs w:val="33"/>
        </w:rPr>
        <w:t>（款）</w:t>
      </w:r>
      <w:r>
        <w:rPr>
          <w:rStyle w:val="18"/>
          <w:rFonts w:hint="eastAsia" w:ascii="Times New Roman" w:eastAsia="方正仿宋_GBK"/>
          <w:bCs/>
          <w:color w:val="000000" w:themeColor="text1"/>
          <w:sz w:val="33"/>
          <w:szCs w:val="33"/>
        </w:rPr>
        <w:t>文化活动支出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ascii="Times New Roman" w:eastAsia="方正仿宋_GBK"/>
          <w:bCs/>
          <w:color w:val="000000" w:themeColor="text1"/>
          <w:sz w:val="33"/>
          <w:szCs w:val="33"/>
        </w:rPr>
        <w:t>：</w:t>
      </w:r>
      <w:r>
        <w:rPr>
          <w:rStyle w:val="18"/>
          <w:rFonts w:ascii="Times New Roman" w:eastAsia="方正仿宋_GBK"/>
          <w:b w:val="0"/>
          <w:bCs/>
          <w:color w:val="000000" w:themeColor="text1"/>
          <w:sz w:val="33"/>
          <w:szCs w:val="33"/>
        </w:rPr>
        <w:t>支出决算为</w:t>
      </w:r>
      <w:r>
        <w:rPr>
          <w:rStyle w:val="18"/>
          <w:rFonts w:hint="eastAsia" w:ascii="Times New Roman" w:eastAsia="方正仿宋_GBK"/>
          <w:b w:val="0"/>
          <w:bCs/>
          <w:color w:val="000000" w:themeColor="text1"/>
          <w:sz w:val="33"/>
          <w:szCs w:val="33"/>
        </w:rPr>
        <w:t>14.03</w:t>
      </w:r>
      <w:r>
        <w:rPr>
          <w:rStyle w:val="18"/>
          <w:rFonts w:ascii="Times New Roman" w:eastAsia="方正仿宋_GBK"/>
          <w:b w:val="0"/>
          <w:bCs/>
          <w:color w:val="000000" w:themeColor="text1"/>
          <w:sz w:val="33"/>
          <w:szCs w:val="33"/>
        </w:rPr>
        <w:t>万元，完成预算100%。</w:t>
      </w:r>
    </w:p>
    <w:p w14:paraId="593A95DC">
      <w:pPr>
        <w:ind w:firstLine="663" w:firstLineChars="200"/>
        <w:rPr>
          <w:rStyle w:val="18"/>
          <w:rFonts w:eastAsia="方正仿宋_GBK"/>
          <w:b w:val="0"/>
          <w:bCs/>
          <w:color w:val="000000" w:themeColor="text1"/>
          <w:sz w:val="33"/>
          <w:szCs w:val="33"/>
        </w:rPr>
      </w:pPr>
      <w:r>
        <w:rPr>
          <w:rStyle w:val="18"/>
          <w:rFonts w:eastAsia="方正仿宋_GBK"/>
          <w:bCs/>
          <w:color w:val="000000" w:themeColor="text1"/>
          <w:sz w:val="33"/>
          <w:szCs w:val="33"/>
        </w:rPr>
        <w:t>9.社会保障和就业支出（类）行政事业单位养老支出（款）行政单位离退休、机关事业单位基本养老保险缴费支出、机关事业单位职业年金缴费支出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138.59</w:t>
      </w:r>
      <w:r>
        <w:rPr>
          <w:rStyle w:val="18"/>
          <w:rFonts w:eastAsia="方正仿宋_GBK"/>
          <w:b w:val="0"/>
          <w:bCs/>
          <w:color w:val="000000" w:themeColor="text1"/>
          <w:sz w:val="33"/>
          <w:szCs w:val="33"/>
        </w:rPr>
        <w:t>万元，完成预算100%。</w:t>
      </w:r>
    </w:p>
    <w:p w14:paraId="3A82B89B">
      <w:pPr>
        <w:pStyle w:val="2"/>
        <w:spacing w:beforeLines="0"/>
        <w:ind w:firstLine="663" w:firstLineChars="200"/>
        <w:rPr>
          <w:rStyle w:val="18"/>
          <w:rFonts w:ascii="Times New Roman" w:eastAsia="方正仿宋_GBK"/>
          <w:b w:val="0"/>
          <w:bCs/>
          <w:color w:val="000000" w:themeColor="text1"/>
          <w:kern w:val="2"/>
          <w:sz w:val="33"/>
          <w:szCs w:val="33"/>
        </w:rPr>
      </w:pPr>
      <w:r>
        <w:rPr>
          <w:rStyle w:val="18"/>
          <w:rFonts w:ascii="Times New Roman" w:eastAsia="方正仿宋_GBK"/>
          <w:bCs/>
          <w:color w:val="000000" w:themeColor="text1"/>
          <w:sz w:val="33"/>
          <w:szCs w:val="33"/>
        </w:rPr>
        <w:t>10.社会保障和就业支出（类）抚恤（款）伤残抚恤</w:t>
      </w:r>
      <w:r>
        <w:rPr>
          <w:rStyle w:val="18"/>
          <w:rFonts w:hint="eastAsia" w:ascii="Times New Roman" w:eastAsia="方正仿宋_GBK"/>
          <w:bCs/>
          <w:color w:val="000000" w:themeColor="text1"/>
          <w:sz w:val="33"/>
          <w:szCs w:val="33"/>
        </w:rPr>
        <w:t>、死亡抚恤支出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ascii="Times New Roman" w:eastAsia="方正仿宋_GBK"/>
          <w:bCs/>
          <w:color w:val="000000" w:themeColor="text1"/>
          <w:sz w:val="33"/>
          <w:szCs w:val="33"/>
        </w:rPr>
        <w:t>：</w:t>
      </w:r>
      <w:r>
        <w:rPr>
          <w:rStyle w:val="18"/>
          <w:rFonts w:ascii="Times New Roman" w:eastAsia="方正仿宋_GBK"/>
          <w:b w:val="0"/>
          <w:bCs/>
          <w:color w:val="000000" w:themeColor="text1"/>
          <w:kern w:val="2"/>
          <w:sz w:val="33"/>
          <w:szCs w:val="33"/>
        </w:rPr>
        <w:t>支出决算</w:t>
      </w:r>
      <w:r>
        <w:rPr>
          <w:rStyle w:val="18"/>
          <w:rFonts w:hint="eastAsia" w:ascii="Times New Roman" w:eastAsia="方正仿宋_GBK"/>
          <w:b w:val="0"/>
          <w:bCs/>
          <w:color w:val="000000" w:themeColor="text1"/>
          <w:kern w:val="2"/>
          <w:sz w:val="33"/>
          <w:szCs w:val="33"/>
        </w:rPr>
        <w:t>27.22</w:t>
      </w:r>
      <w:r>
        <w:rPr>
          <w:rStyle w:val="18"/>
          <w:rFonts w:ascii="Times New Roman" w:eastAsia="方正仿宋_GBK"/>
          <w:b w:val="0"/>
          <w:bCs/>
          <w:color w:val="000000" w:themeColor="text1"/>
          <w:kern w:val="2"/>
          <w:sz w:val="33"/>
          <w:szCs w:val="33"/>
        </w:rPr>
        <w:t>万元，完成预算100%。</w:t>
      </w:r>
    </w:p>
    <w:p w14:paraId="5049B608">
      <w:pPr>
        <w:pStyle w:val="2"/>
        <w:spacing w:beforeLines="0"/>
        <w:ind w:firstLine="663" w:firstLineChars="200"/>
        <w:rPr>
          <w:rStyle w:val="18"/>
          <w:rFonts w:ascii="Times New Roman" w:eastAsia="方正仿宋_GBK"/>
          <w:b w:val="0"/>
          <w:bCs/>
          <w:color w:val="000000" w:themeColor="text1"/>
          <w:sz w:val="33"/>
          <w:szCs w:val="33"/>
        </w:rPr>
      </w:pPr>
      <w:r>
        <w:rPr>
          <w:rStyle w:val="18"/>
          <w:rFonts w:hint="eastAsia" w:ascii="Times New Roman" w:eastAsia="方正仿宋_GBK"/>
          <w:bCs/>
          <w:color w:val="000000" w:themeColor="text1"/>
          <w:sz w:val="33"/>
          <w:szCs w:val="33"/>
        </w:rPr>
        <w:t>11</w:t>
      </w:r>
      <w:r>
        <w:rPr>
          <w:rStyle w:val="18"/>
          <w:rFonts w:ascii="Times New Roman" w:eastAsia="方正仿宋_GBK"/>
          <w:bCs/>
          <w:color w:val="000000" w:themeColor="text1"/>
          <w:sz w:val="33"/>
          <w:szCs w:val="33"/>
        </w:rPr>
        <w:t>.卫生健康支出（类）行政事业单位医疗（款）行政单位</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ascii="Times New Roman" w:eastAsia="方正仿宋_GBK"/>
          <w:bCs/>
          <w:color w:val="000000" w:themeColor="text1"/>
          <w:sz w:val="33"/>
          <w:szCs w:val="33"/>
        </w:rPr>
        <w:t>、事业单位</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ascii="Times New Roman" w:eastAsia="方正仿宋_GBK"/>
          <w:bCs/>
          <w:color w:val="000000" w:themeColor="text1"/>
          <w:sz w:val="33"/>
          <w:szCs w:val="33"/>
        </w:rPr>
        <w:t>、公务员医疗补助</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ascii="Times New Roman" w:eastAsia="方正仿宋_GBK"/>
          <w:bCs/>
          <w:color w:val="000000" w:themeColor="text1"/>
          <w:sz w:val="33"/>
          <w:szCs w:val="33"/>
        </w:rPr>
        <w:t xml:space="preserve"> ：</w:t>
      </w:r>
      <w:r>
        <w:rPr>
          <w:rStyle w:val="18"/>
          <w:rFonts w:ascii="Times New Roman" w:eastAsia="方正仿宋_GBK"/>
          <w:b w:val="0"/>
          <w:bCs/>
          <w:color w:val="000000" w:themeColor="text1"/>
          <w:sz w:val="33"/>
          <w:szCs w:val="33"/>
        </w:rPr>
        <w:t>支出决算为</w:t>
      </w:r>
      <w:r>
        <w:rPr>
          <w:rStyle w:val="18"/>
          <w:rFonts w:hint="eastAsia" w:ascii="Times New Roman" w:eastAsia="方正仿宋_GBK"/>
          <w:b w:val="0"/>
          <w:bCs/>
          <w:color w:val="000000" w:themeColor="text1"/>
          <w:sz w:val="33"/>
          <w:szCs w:val="33"/>
        </w:rPr>
        <w:t>83.89</w:t>
      </w:r>
      <w:r>
        <w:rPr>
          <w:rStyle w:val="18"/>
          <w:rFonts w:ascii="Times New Roman" w:eastAsia="方正仿宋_GBK"/>
          <w:b w:val="0"/>
          <w:bCs/>
          <w:color w:val="000000" w:themeColor="text1"/>
          <w:sz w:val="33"/>
          <w:szCs w:val="33"/>
        </w:rPr>
        <w:t>万元，完成预算100%。</w:t>
      </w:r>
    </w:p>
    <w:p w14:paraId="6947B56F">
      <w:pPr>
        <w:ind w:firstLine="663" w:firstLineChars="200"/>
        <w:rPr>
          <w:rStyle w:val="18"/>
          <w:rFonts w:eastAsia="方正仿宋_GBK"/>
          <w:b w:val="0"/>
          <w:bCs/>
          <w:color w:val="000000" w:themeColor="text1"/>
          <w:sz w:val="33"/>
          <w:szCs w:val="33"/>
        </w:rPr>
      </w:pPr>
      <w:r>
        <w:rPr>
          <w:rStyle w:val="18"/>
          <w:rFonts w:hint="eastAsia" w:eastAsia="方正仿宋_GBK"/>
          <w:bCs/>
          <w:color w:val="000000" w:themeColor="text1"/>
          <w:sz w:val="33"/>
          <w:szCs w:val="33"/>
        </w:rPr>
        <w:t>12</w:t>
      </w:r>
      <w:r>
        <w:rPr>
          <w:rStyle w:val="18"/>
          <w:rFonts w:eastAsia="方正仿宋_GBK"/>
          <w:bCs/>
          <w:color w:val="000000" w:themeColor="text1"/>
          <w:sz w:val="33"/>
          <w:szCs w:val="33"/>
        </w:rPr>
        <w:t>.卫生健康支出（类）行政事业单位医疗（款）</w:t>
      </w:r>
      <w:r>
        <w:rPr>
          <w:rStyle w:val="18"/>
          <w:rFonts w:hint="eastAsia" w:eastAsia="方正仿宋_GBK"/>
          <w:bCs/>
          <w:color w:val="000000" w:themeColor="text1"/>
          <w:sz w:val="33"/>
          <w:szCs w:val="33"/>
        </w:rPr>
        <w:t>其他行政事业单位医疗支出</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lang w:val="en-US" w:eastAsia="zh-CN"/>
        </w:rPr>
        <w:t>项</w:t>
      </w:r>
      <w:r>
        <w:rPr>
          <w:rStyle w:val="18"/>
          <w:rFonts w:hint="eastAsia" w:eastAsia="方正仿宋_GBK"/>
          <w:bCs/>
          <w:color w:val="000000" w:themeColor="text1"/>
          <w:sz w:val="33"/>
          <w:szCs w:val="33"/>
          <w:lang w:eastAsia="zh-CN"/>
        </w:rPr>
        <w:t>）</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4.47</w:t>
      </w:r>
      <w:r>
        <w:rPr>
          <w:rStyle w:val="18"/>
          <w:rFonts w:eastAsia="方正仿宋_GBK"/>
          <w:b w:val="0"/>
          <w:bCs/>
          <w:color w:val="000000" w:themeColor="text1"/>
          <w:sz w:val="33"/>
          <w:szCs w:val="33"/>
        </w:rPr>
        <w:t>万元，完成预算100%。</w:t>
      </w:r>
    </w:p>
    <w:p w14:paraId="219F6F79">
      <w:pPr>
        <w:ind w:firstLine="663" w:firstLineChars="200"/>
        <w:rPr>
          <w:rFonts w:eastAsia="方正仿宋_GBK"/>
          <w:b/>
          <w:color w:val="000000" w:themeColor="text1"/>
          <w:sz w:val="33"/>
          <w:szCs w:val="33"/>
        </w:rPr>
      </w:pPr>
      <w:r>
        <w:rPr>
          <w:rStyle w:val="18"/>
          <w:rFonts w:eastAsia="方正仿宋_GBK"/>
          <w:bCs/>
          <w:color w:val="000000" w:themeColor="text1"/>
          <w:sz w:val="33"/>
          <w:szCs w:val="33"/>
        </w:rPr>
        <w:t>13.住房保障支出（类）住房改革支出（款）住房公积金（项）</w:t>
      </w:r>
      <w:r>
        <w:rPr>
          <w:rStyle w:val="18"/>
          <w:rFonts w:hint="eastAsia" w:eastAsia="方正仿宋_GBK"/>
          <w:bCs/>
          <w:color w:val="000000" w:themeColor="text1"/>
          <w:sz w:val="33"/>
          <w:szCs w:val="33"/>
        </w:rPr>
        <w:t>：</w:t>
      </w:r>
      <w:r>
        <w:rPr>
          <w:rStyle w:val="18"/>
          <w:rFonts w:eastAsia="方正仿宋_GBK"/>
          <w:b w:val="0"/>
          <w:bCs/>
          <w:color w:val="000000" w:themeColor="text1"/>
          <w:sz w:val="33"/>
          <w:szCs w:val="33"/>
        </w:rPr>
        <w:t>支出决算为</w:t>
      </w:r>
      <w:r>
        <w:rPr>
          <w:rStyle w:val="18"/>
          <w:rFonts w:hint="eastAsia" w:eastAsia="方正仿宋_GBK"/>
          <w:b w:val="0"/>
          <w:bCs/>
          <w:color w:val="000000" w:themeColor="text1"/>
          <w:sz w:val="33"/>
          <w:szCs w:val="33"/>
        </w:rPr>
        <w:t>91.01</w:t>
      </w:r>
      <w:r>
        <w:rPr>
          <w:rStyle w:val="18"/>
          <w:rFonts w:eastAsia="方正仿宋_GBK"/>
          <w:b w:val="0"/>
          <w:bCs/>
          <w:color w:val="000000" w:themeColor="text1"/>
          <w:sz w:val="33"/>
          <w:szCs w:val="33"/>
        </w:rPr>
        <w:t>万元，完成预算100%。</w:t>
      </w:r>
    </w:p>
    <w:p w14:paraId="295ACE4D">
      <w:pPr>
        <w:ind w:firstLine="663" w:firstLineChars="200"/>
        <w:rPr>
          <w:rFonts w:eastAsia="方正仿宋_GBK"/>
          <w:color w:val="000000" w:themeColor="text1"/>
          <w:sz w:val="33"/>
          <w:szCs w:val="33"/>
        </w:rPr>
      </w:pPr>
      <w:r>
        <w:rPr>
          <w:rStyle w:val="18"/>
          <w:rFonts w:hint="eastAsia" w:eastAsia="方正仿宋_GBK"/>
          <w:bCs/>
          <w:color w:val="000000" w:themeColor="text1"/>
          <w:sz w:val="33"/>
          <w:szCs w:val="33"/>
        </w:rPr>
        <w:t>14</w:t>
      </w:r>
      <w:r>
        <w:rPr>
          <w:rStyle w:val="18"/>
          <w:rFonts w:eastAsia="方正仿宋_GBK"/>
          <w:bCs/>
          <w:color w:val="000000" w:themeColor="text1"/>
          <w:sz w:val="33"/>
          <w:szCs w:val="33"/>
        </w:rPr>
        <w:t>.其他支出（类）其他支出（款）其他支出：</w:t>
      </w:r>
      <w:r>
        <w:rPr>
          <w:rStyle w:val="18"/>
          <w:rFonts w:hint="eastAsia" w:eastAsia="方正仿宋_GBK"/>
          <w:bCs/>
          <w:color w:val="000000" w:themeColor="text1"/>
          <w:sz w:val="33"/>
          <w:szCs w:val="33"/>
        </w:rPr>
        <w:t>14.56</w:t>
      </w:r>
      <w:r>
        <w:rPr>
          <w:rStyle w:val="18"/>
          <w:rFonts w:eastAsia="方正仿宋_GBK"/>
          <w:bCs/>
          <w:color w:val="000000" w:themeColor="text1"/>
          <w:sz w:val="33"/>
          <w:szCs w:val="33"/>
        </w:rPr>
        <w:t>万元。</w:t>
      </w:r>
    </w:p>
    <w:p w14:paraId="542576FA">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33" w:name="_Toc15377214"/>
      <w:bookmarkStart w:id="34" w:name="_Toc15396608"/>
      <w:r>
        <w:rPr>
          <w:rStyle w:val="29"/>
          <w:rFonts w:ascii="Times New Roman" w:hAnsi="Times New Roman" w:eastAsia="方正黑体_GBK" w:cs="Times New Roman"/>
          <w:b w:val="0"/>
          <w:bCs w:val="0"/>
          <w:sz w:val="33"/>
          <w:szCs w:val="33"/>
        </w:rPr>
        <w:t>六、一般公共预算财政拨款基本支出决算情况说明</w:t>
      </w:r>
      <w:bookmarkEnd w:id="33"/>
      <w:bookmarkEnd w:id="34"/>
      <w:r>
        <w:rPr>
          <w:rStyle w:val="29"/>
          <w:rFonts w:ascii="Times New Roman" w:hAnsi="Times New Roman" w:eastAsia="方正黑体_GBK" w:cs="Times New Roman"/>
          <w:b w:val="0"/>
          <w:bCs w:val="0"/>
          <w:sz w:val="33"/>
          <w:szCs w:val="33"/>
        </w:rPr>
        <w:tab/>
      </w:r>
    </w:p>
    <w:p w14:paraId="1BF4A55F">
      <w:pPr>
        <w:ind w:firstLine="644" w:firstLineChars="20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年一般公共预算财政拨款基本支出</w:t>
      </w:r>
      <w:r>
        <w:rPr>
          <w:rFonts w:hint="eastAsia" w:eastAsia="方正仿宋_GBK"/>
          <w:spacing w:val="-4"/>
          <w:sz w:val="33"/>
          <w:szCs w:val="33"/>
        </w:rPr>
        <w:t>1251.51</w:t>
      </w:r>
      <w:r>
        <w:rPr>
          <w:rFonts w:eastAsia="方正仿宋_GBK"/>
          <w:spacing w:val="-4"/>
          <w:sz w:val="33"/>
          <w:szCs w:val="33"/>
        </w:rPr>
        <w:t>万元，其中：</w:t>
      </w:r>
    </w:p>
    <w:p w14:paraId="032B961C">
      <w:pPr>
        <w:ind w:firstLine="644" w:firstLineChars="200"/>
        <w:rPr>
          <w:rFonts w:eastAsia="方正仿宋_GBK"/>
          <w:spacing w:val="-4"/>
          <w:sz w:val="33"/>
          <w:szCs w:val="33"/>
        </w:rPr>
      </w:pPr>
      <w:r>
        <w:rPr>
          <w:rFonts w:eastAsia="方正仿宋_GBK"/>
          <w:spacing w:val="-4"/>
          <w:sz w:val="33"/>
          <w:szCs w:val="33"/>
        </w:rPr>
        <w:t>人员经费</w:t>
      </w:r>
      <w:r>
        <w:rPr>
          <w:rFonts w:hint="eastAsia" w:eastAsia="方正仿宋_GBK"/>
          <w:spacing w:val="-4"/>
          <w:sz w:val="33"/>
          <w:szCs w:val="33"/>
        </w:rPr>
        <w:t>1160.62</w:t>
      </w:r>
      <w:r>
        <w:rPr>
          <w:rFonts w:eastAsia="方正仿宋_GBK"/>
          <w:spacing w:val="-4"/>
          <w:sz w:val="33"/>
          <w:szCs w:val="33"/>
        </w:rPr>
        <w:t>万元，主要包括：基本工资、津贴补贴、奖金、绩效工资、机关事业单位基本养老保险缴费、职业年金缴费、</w:t>
      </w:r>
      <w:r>
        <w:rPr>
          <w:rFonts w:hint="eastAsia" w:eastAsia="方正仿宋_GBK"/>
          <w:spacing w:val="-4"/>
          <w:sz w:val="33"/>
          <w:szCs w:val="33"/>
          <w:lang w:val="en-US" w:eastAsia="zh-CN"/>
        </w:rPr>
        <w:t>职工基本医疗保险缴费、公务员医疗补助缴费、</w:t>
      </w:r>
      <w:r>
        <w:rPr>
          <w:rFonts w:eastAsia="方正仿宋_GBK"/>
          <w:spacing w:val="-4"/>
          <w:sz w:val="33"/>
          <w:szCs w:val="33"/>
        </w:rPr>
        <w:t>其他社会保障缴费、其他工资福利支出、抚恤金、生活补助、医疗费补助、住房公积金、</w:t>
      </w:r>
      <w:r>
        <w:rPr>
          <w:rFonts w:hint="eastAsia" w:eastAsia="方正仿宋_GBK"/>
          <w:spacing w:val="-4"/>
          <w:sz w:val="33"/>
          <w:szCs w:val="33"/>
          <w:lang w:val="en-US" w:eastAsia="zh-CN"/>
        </w:rPr>
        <w:t>医疗费、</w:t>
      </w:r>
      <w:r>
        <w:rPr>
          <w:rFonts w:eastAsia="方正仿宋_GBK"/>
          <w:spacing w:val="-4"/>
          <w:sz w:val="33"/>
          <w:szCs w:val="33"/>
        </w:rPr>
        <w:t>其他</w:t>
      </w:r>
      <w:r>
        <w:rPr>
          <w:rFonts w:hint="eastAsia" w:eastAsia="方正仿宋_GBK"/>
          <w:spacing w:val="-4"/>
          <w:sz w:val="33"/>
          <w:szCs w:val="33"/>
          <w:lang w:val="en-US" w:eastAsia="zh-CN"/>
        </w:rPr>
        <w:t>工资福利支出</w:t>
      </w:r>
      <w:r>
        <w:rPr>
          <w:rFonts w:eastAsia="方正仿宋_GBK"/>
          <w:spacing w:val="-4"/>
          <w:sz w:val="33"/>
          <w:szCs w:val="33"/>
        </w:rPr>
        <w:t>。</w:t>
      </w:r>
    </w:p>
    <w:p w14:paraId="3BD67C95">
      <w:pPr>
        <w:ind w:firstLine="644" w:firstLineChars="200"/>
        <w:rPr>
          <w:rFonts w:eastAsia="方正仿宋_GBK"/>
          <w:spacing w:val="-4"/>
          <w:sz w:val="33"/>
          <w:szCs w:val="33"/>
        </w:rPr>
      </w:pPr>
      <w:r>
        <w:rPr>
          <w:rFonts w:eastAsia="方正仿宋_GBK"/>
          <w:spacing w:val="-4"/>
          <w:sz w:val="33"/>
          <w:szCs w:val="33"/>
        </w:rPr>
        <w:t>公用经费</w:t>
      </w:r>
      <w:r>
        <w:rPr>
          <w:rFonts w:hint="eastAsia" w:eastAsia="方正仿宋_GBK"/>
          <w:spacing w:val="-4"/>
          <w:sz w:val="33"/>
          <w:szCs w:val="33"/>
        </w:rPr>
        <w:t>90.89</w:t>
      </w:r>
      <w:r>
        <w:rPr>
          <w:rFonts w:eastAsia="方正仿宋_GBK"/>
          <w:spacing w:val="-4"/>
          <w:sz w:val="33"/>
          <w:szCs w:val="33"/>
        </w:rPr>
        <w:t>万元，主要包括：办公费、水费、电费、邮电费、差旅费、维修（护）费、培训费、公务接待费、劳务费、工会经费、福利费、其他交通费、税金及附加费用、其他商品和服务支出。</w:t>
      </w:r>
    </w:p>
    <w:p w14:paraId="1FA2F388">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35" w:name="_Toc15377215"/>
      <w:bookmarkStart w:id="36" w:name="_Toc15396609"/>
      <w:r>
        <w:rPr>
          <w:rStyle w:val="29"/>
          <w:rFonts w:ascii="Times New Roman" w:hAnsi="Times New Roman" w:eastAsia="方正黑体_GBK" w:cs="Times New Roman"/>
          <w:b w:val="0"/>
          <w:bCs w:val="0"/>
          <w:sz w:val="33"/>
          <w:szCs w:val="33"/>
        </w:rPr>
        <w:t>七、“三公”经费财政拨款支出决算情况说明</w:t>
      </w:r>
      <w:bookmarkEnd w:id="35"/>
      <w:bookmarkEnd w:id="36"/>
    </w:p>
    <w:p w14:paraId="5A1AA1A5">
      <w:pPr>
        <w:ind w:firstLine="647" w:firstLineChars="200"/>
        <w:rPr>
          <w:rFonts w:eastAsia="方正楷体_GBK"/>
          <w:b/>
          <w:bCs/>
          <w:spacing w:val="-4"/>
          <w:sz w:val="33"/>
          <w:szCs w:val="33"/>
        </w:rPr>
      </w:pPr>
      <w:bookmarkStart w:id="37" w:name="_Toc15377216"/>
      <w:r>
        <w:rPr>
          <w:rFonts w:eastAsia="方正楷体_GBK"/>
          <w:b/>
          <w:bCs/>
          <w:spacing w:val="-4"/>
          <w:sz w:val="33"/>
          <w:szCs w:val="33"/>
        </w:rPr>
        <w:t>（一）“三公”经费财政拨款支出决算总体情况说明</w:t>
      </w:r>
      <w:bookmarkEnd w:id="37"/>
    </w:p>
    <w:p w14:paraId="2FA724BB">
      <w:pPr>
        <w:spacing w:line="600" w:lineRule="exact"/>
        <w:ind w:firstLine="64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年“三公”经费财政拨款支出决算为</w:t>
      </w:r>
      <w:r>
        <w:rPr>
          <w:rFonts w:hint="eastAsia" w:eastAsia="方正仿宋_GBK"/>
          <w:spacing w:val="-4"/>
          <w:sz w:val="33"/>
          <w:szCs w:val="33"/>
        </w:rPr>
        <w:t>3.2</w:t>
      </w:r>
      <w:r>
        <w:rPr>
          <w:rFonts w:eastAsia="方正仿宋_GBK"/>
          <w:spacing w:val="-4"/>
          <w:sz w:val="33"/>
          <w:szCs w:val="33"/>
        </w:rPr>
        <w:t>万元，完成预算100%。</w:t>
      </w:r>
      <w:r>
        <w:rPr>
          <w:rFonts w:hint="eastAsia" w:eastAsia="方正仿宋_GBK"/>
          <w:spacing w:val="-4"/>
          <w:sz w:val="33"/>
          <w:szCs w:val="33"/>
        </w:rPr>
        <w:t>较上年减少0.69万元，下降17.7%。决算与预算数持平</w:t>
      </w:r>
      <w:r>
        <w:rPr>
          <w:rFonts w:hint="eastAsia" w:eastAsia="方正仿宋_GBK"/>
          <w:spacing w:val="-4"/>
          <w:sz w:val="33"/>
          <w:szCs w:val="33"/>
          <w:lang w:eastAsia="zh-CN"/>
        </w:rPr>
        <w:t>，</w:t>
      </w:r>
      <w:r>
        <w:rPr>
          <w:rFonts w:hint="eastAsia" w:eastAsia="方正仿宋_GBK"/>
          <w:spacing w:val="-4"/>
          <w:sz w:val="33"/>
          <w:szCs w:val="33"/>
          <w:lang w:val="en-US" w:eastAsia="zh-CN"/>
        </w:rPr>
        <w:t>较去年有所下降</w:t>
      </w:r>
      <w:r>
        <w:rPr>
          <w:rFonts w:hint="eastAsia" w:eastAsia="方正仿宋_GBK"/>
          <w:spacing w:val="-4"/>
          <w:sz w:val="33"/>
          <w:szCs w:val="33"/>
        </w:rPr>
        <w:t>的主要原因是严格按照预算支出，合理开支。</w:t>
      </w:r>
    </w:p>
    <w:p w14:paraId="2A55F70C">
      <w:pPr>
        <w:ind w:firstLine="647" w:firstLineChars="200"/>
        <w:rPr>
          <w:rFonts w:eastAsia="方正楷体_GBK"/>
          <w:b/>
          <w:bCs/>
          <w:spacing w:val="-4"/>
          <w:sz w:val="33"/>
          <w:szCs w:val="33"/>
        </w:rPr>
      </w:pPr>
      <w:bookmarkStart w:id="38" w:name="_Toc15377217"/>
      <w:r>
        <w:rPr>
          <w:rFonts w:eastAsia="方正楷体_GBK"/>
          <w:b/>
          <w:bCs/>
          <w:spacing w:val="-4"/>
          <w:sz w:val="33"/>
          <w:szCs w:val="33"/>
        </w:rPr>
        <w:t>（二）“三公”经费财政拨款支出决算具体情况说明</w:t>
      </w:r>
      <w:bookmarkEnd w:id="38"/>
    </w:p>
    <w:p w14:paraId="6B6EB06A">
      <w:pPr>
        <w:ind w:firstLine="644" w:firstLineChars="200"/>
        <w:rPr>
          <w:rFonts w:eastAsia="方正仿宋_GBK"/>
          <w:spacing w:val="-4"/>
          <w:sz w:val="33"/>
          <w:szCs w:val="33"/>
        </w:rPr>
      </w:pPr>
      <w:r>
        <w:rPr>
          <w:rFonts w:hint="eastAsia" w:eastAsia="方正仿宋_GBK"/>
          <w:spacing w:val="-4"/>
          <w:sz w:val="33"/>
          <w:szCs w:val="33"/>
        </w:rPr>
        <w:t>2022</w:t>
      </w:r>
      <w:r>
        <w:rPr>
          <w:rFonts w:eastAsia="方正仿宋_GBK"/>
          <w:spacing w:val="-4"/>
          <w:sz w:val="33"/>
          <w:szCs w:val="33"/>
        </w:rPr>
        <w:t>年“三公”经费财政拨款支出决算中，因公出国（境）费支出决算0万元，占0%；公务用车购置及运行维护费支出决算3万元，占</w:t>
      </w:r>
      <w:r>
        <w:rPr>
          <w:rFonts w:hint="eastAsia" w:eastAsia="方正仿宋_GBK"/>
          <w:spacing w:val="-4"/>
          <w:sz w:val="33"/>
          <w:szCs w:val="33"/>
        </w:rPr>
        <w:t>93.75</w:t>
      </w:r>
      <w:r>
        <w:rPr>
          <w:rFonts w:eastAsia="方正仿宋_GBK"/>
          <w:spacing w:val="-4"/>
          <w:sz w:val="33"/>
          <w:szCs w:val="33"/>
        </w:rPr>
        <w:t>%；公务接待费支出决算</w:t>
      </w:r>
      <w:r>
        <w:rPr>
          <w:rFonts w:hint="eastAsia" w:eastAsia="方正仿宋_GBK"/>
          <w:spacing w:val="-4"/>
          <w:sz w:val="33"/>
          <w:szCs w:val="33"/>
        </w:rPr>
        <w:t>0.2</w:t>
      </w:r>
      <w:r>
        <w:rPr>
          <w:rFonts w:eastAsia="方正仿宋_GBK"/>
          <w:spacing w:val="-4"/>
          <w:sz w:val="33"/>
          <w:szCs w:val="33"/>
        </w:rPr>
        <w:t>万元，占</w:t>
      </w:r>
      <w:r>
        <w:rPr>
          <w:rFonts w:hint="eastAsia" w:eastAsia="方正仿宋_GBK"/>
          <w:spacing w:val="-4"/>
          <w:sz w:val="33"/>
          <w:szCs w:val="33"/>
        </w:rPr>
        <w:t>6.25</w:t>
      </w:r>
      <w:r>
        <w:rPr>
          <w:rFonts w:eastAsia="方正仿宋_GBK"/>
          <w:spacing w:val="-4"/>
          <w:sz w:val="33"/>
          <w:szCs w:val="33"/>
        </w:rPr>
        <w:t>%。具体情况如下：</w:t>
      </w:r>
    </w:p>
    <w:p w14:paraId="091130DE">
      <w:pPr>
        <w:pStyle w:val="2"/>
        <w:spacing w:before="93"/>
        <w:rPr>
          <w:rFonts w:ascii="Times New Roman"/>
          <w:color w:val="993300"/>
          <w:sz w:val="32"/>
          <w:szCs w:val="32"/>
        </w:rPr>
      </w:pPr>
      <w:r>
        <w:rPr>
          <w:rFonts w:ascii="Times New Roman" w:eastAsia="仿宋"/>
          <w:sz w:val="32"/>
          <w:szCs w:val="32"/>
        </w:rPr>
        <w:object>
          <v:shape id="_x0000_i1026" o:spt="75" type="#_x0000_t75" style="height:222.75pt;width:387.75pt;" o:ole="t" filled="f" o:preferrelative="t" stroked="f" coordsize="21600,21600">
            <v:path/>
            <v:fill on="f" focussize="0,0"/>
            <v:stroke on="f" joinstyle="miter"/>
            <v:imagedata r:id="rId26" o:title=""/>
            <o:lock v:ext="edit" aspectratio="t"/>
            <w10:wrap type="none"/>
            <w10:anchorlock/>
          </v:shape>
          <o:OLEObject Type="Embed" ProgID="Excel.Chart.8" ShapeID="_x0000_i1026" DrawAspect="Content" ObjectID="_1468075731" r:id="rId25">
            <o:LockedField>false</o:LockedField>
          </o:OLEObject>
        </w:object>
      </w:r>
      <w:r>
        <w:rPr>
          <w:rFonts w:hint="eastAsia" w:ascii="Times New Roman" w:eastAsia="仿宋"/>
          <w:sz w:val="32"/>
          <w:szCs w:val="32"/>
        </w:rPr>
        <w:t xml:space="preserve"> </w:t>
      </w:r>
      <w:r>
        <w:rPr>
          <w:rFonts w:hint="eastAsia" w:ascii="Times New Roman" w:eastAsia="仿宋"/>
          <w:sz w:val="32"/>
          <w:szCs w:val="32"/>
          <w:lang w:val="en-US" w:eastAsia="zh-CN"/>
        </w:rPr>
        <w:t xml:space="preserve"> </w:t>
      </w:r>
      <w:r>
        <w:rPr>
          <w:rFonts w:hint="eastAsia" w:ascii="Times New Roman" w:eastAsia="仿宋"/>
          <w:sz w:val="32"/>
          <w:szCs w:val="32"/>
        </w:rPr>
        <w:t xml:space="preserve"> </w:t>
      </w:r>
      <w:r>
        <w:rPr>
          <w:rFonts w:ascii="Times New Roman"/>
          <w:color w:val="993300"/>
          <w:sz w:val="32"/>
          <w:szCs w:val="32"/>
        </w:rPr>
        <w:t>（图7：“三公”经费财政拨款支出结构）（饼状图）</w:t>
      </w:r>
    </w:p>
    <w:p w14:paraId="59E2E058">
      <w:pPr>
        <w:ind w:firstLine="647" w:firstLineChars="200"/>
        <w:rPr>
          <w:rFonts w:eastAsia="方正仿宋_GBK"/>
          <w:spacing w:val="-4"/>
          <w:sz w:val="33"/>
          <w:szCs w:val="33"/>
        </w:rPr>
      </w:pPr>
      <w:r>
        <w:rPr>
          <w:rFonts w:eastAsia="方正仿宋_GBK"/>
          <w:b/>
          <w:bCs/>
          <w:spacing w:val="-4"/>
          <w:sz w:val="33"/>
          <w:szCs w:val="33"/>
        </w:rPr>
        <w:t>1.因公出国（境）经费支出0万元，</w:t>
      </w:r>
      <w:r>
        <w:rPr>
          <w:rFonts w:eastAsia="方正仿宋_GBK"/>
          <w:spacing w:val="-4"/>
          <w:sz w:val="33"/>
          <w:szCs w:val="33"/>
        </w:rPr>
        <w:t>完成预算0%。全年安排因公出国（境）团组0次，出国境0人。因公出国（境）支出决算比2020年增加0万元，增长0%。</w:t>
      </w:r>
    </w:p>
    <w:p w14:paraId="7BA2DFE4">
      <w:pPr>
        <w:ind w:firstLine="644" w:firstLineChars="200"/>
        <w:rPr>
          <w:rFonts w:eastAsia="方正仿宋_GBK"/>
          <w:spacing w:val="-4"/>
          <w:sz w:val="33"/>
          <w:szCs w:val="33"/>
        </w:rPr>
      </w:pPr>
      <w:r>
        <w:rPr>
          <w:rFonts w:eastAsia="方正仿宋_GBK"/>
          <w:spacing w:val="-4"/>
          <w:sz w:val="33"/>
          <w:szCs w:val="33"/>
        </w:rPr>
        <w:t>开支内容包括：无</w:t>
      </w:r>
    </w:p>
    <w:p w14:paraId="47D6034F">
      <w:pPr>
        <w:numPr>
          <w:ilvl w:val="0"/>
          <w:numId w:val="1"/>
        </w:numPr>
        <w:ind w:firstLine="647" w:firstLineChars="200"/>
        <w:rPr>
          <w:rFonts w:eastAsia="方正仿宋_GBK"/>
          <w:spacing w:val="-4"/>
          <w:sz w:val="33"/>
          <w:szCs w:val="33"/>
        </w:rPr>
      </w:pPr>
      <w:r>
        <w:rPr>
          <w:rFonts w:eastAsia="方正仿宋_GBK"/>
          <w:b/>
          <w:bCs/>
          <w:spacing w:val="-4"/>
          <w:sz w:val="33"/>
          <w:szCs w:val="33"/>
        </w:rPr>
        <w:t>公务用车购置及运行维护费支出3万元</w:t>
      </w:r>
      <w:r>
        <w:rPr>
          <w:rFonts w:hint="eastAsia" w:eastAsia="方正仿宋_GBK"/>
          <w:b/>
          <w:bCs/>
          <w:spacing w:val="-4"/>
          <w:sz w:val="33"/>
          <w:szCs w:val="33"/>
        </w:rPr>
        <w:t>，</w:t>
      </w:r>
      <w:r>
        <w:rPr>
          <w:rFonts w:eastAsia="方正仿宋_GBK"/>
          <w:spacing w:val="-4"/>
          <w:sz w:val="33"/>
          <w:szCs w:val="33"/>
        </w:rPr>
        <w:t>完成预算100%。公务用车购置及运行维护费支出决算</w:t>
      </w:r>
      <w:r>
        <w:rPr>
          <w:rFonts w:hint="eastAsia" w:eastAsia="方正仿宋_GBK"/>
          <w:spacing w:val="-4"/>
          <w:sz w:val="33"/>
          <w:szCs w:val="33"/>
        </w:rPr>
        <w:t>与2021</w:t>
      </w:r>
      <w:r>
        <w:rPr>
          <w:rFonts w:eastAsia="方正仿宋_GBK"/>
          <w:spacing w:val="-4"/>
          <w:sz w:val="33"/>
          <w:szCs w:val="33"/>
        </w:rPr>
        <w:t>年</w:t>
      </w:r>
      <w:r>
        <w:rPr>
          <w:rFonts w:hint="eastAsia" w:eastAsia="方正仿宋_GBK"/>
          <w:spacing w:val="-4"/>
          <w:sz w:val="33"/>
          <w:szCs w:val="33"/>
        </w:rPr>
        <w:t>持平，</w:t>
      </w:r>
      <w:r>
        <w:rPr>
          <w:rFonts w:eastAsia="方正仿宋_GBK"/>
          <w:spacing w:val="-4"/>
          <w:sz w:val="33"/>
          <w:szCs w:val="33"/>
        </w:rPr>
        <w:t>主要原因是</w:t>
      </w:r>
      <w:r>
        <w:rPr>
          <w:rFonts w:hint="eastAsia" w:eastAsia="方正仿宋_GBK"/>
          <w:spacing w:val="-4"/>
          <w:sz w:val="33"/>
          <w:szCs w:val="33"/>
        </w:rPr>
        <w:t>严格将预算用于正常汽车保养、保险、油费等，基本支出与上年一致。</w:t>
      </w:r>
    </w:p>
    <w:p w14:paraId="2A0867BA">
      <w:pPr>
        <w:ind w:firstLine="644" w:firstLineChars="200"/>
        <w:rPr>
          <w:rFonts w:eastAsia="方正仿宋_GBK"/>
          <w:spacing w:val="-4"/>
          <w:sz w:val="33"/>
          <w:szCs w:val="33"/>
        </w:rPr>
      </w:pPr>
      <w:r>
        <w:rPr>
          <w:rFonts w:eastAsia="方正仿宋_GBK"/>
          <w:spacing w:val="-4"/>
          <w:sz w:val="33"/>
          <w:szCs w:val="33"/>
        </w:rPr>
        <w:t>其中：公务用车购置支出0万元。截至2021年12月底，单位共有公务用车1辆，其中：轿车1辆、越野车0辆、载客汽车0辆。</w:t>
      </w:r>
    </w:p>
    <w:p w14:paraId="46776E91">
      <w:pPr>
        <w:ind w:firstLine="644" w:firstLineChars="200"/>
        <w:rPr>
          <w:rFonts w:eastAsia="方正仿宋_GBK"/>
          <w:spacing w:val="-4"/>
          <w:sz w:val="33"/>
          <w:szCs w:val="33"/>
        </w:rPr>
      </w:pPr>
      <w:r>
        <w:rPr>
          <w:rFonts w:eastAsia="方正仿宋_GBK"/>
          <w:spacing w:val="-4"/>
          <w:sz w:val="33"/>
          <w:szCs w:val="33"/>
        </w:rPr>
        <w:t>公务用车运行维护费支出3万元。主要用于县委主要领导用车及机要通信用车等所需的公务用车燃料费、维修费、过路过桥费、保险费等支出。</w:t>
      </w:r>
    </w:p>
    <w:p w14:paraId="70064F00">
      <w:pPr>
        <w:ind w:firstLine="647" w:firstLineChars="200"/>
        <w:rPr>
          <w:rFonts w:eastAsia="方正仿宋_GBK"/>
          <w:spacing w:val="-4"/>
          <w:sz w:val="33"/>
          <w:szCs w:val="33"/>
        </w:rPr>
      </w:pPr>
      <w:r>
        <w:rPr>
          <w:rFonts w:eastAsia="方正仿宋_GBK"/>
          <w:b/>
          <w:bCs/>
          <w:spacing w:val="-4"/>
          <w:sz w:val="33"/>
          <w:szCs w:val="33"/>
        </w:rPr>
        <w:t>3.公务接待费支出</w:t>
      </w:r>
      <w:r>
        <w:rPr>
          <w:rFonts w:hint="eastAsia" w:eastAsia="方正仿宋_GBK"/>
          <w:b/>
          <w:bCs/>
          <w:spacing w:val="-4"/>
          <w:sz w:val="33"/>
          <w:szCs w:val="33"/>
        </w:rPr>
        <w:t>0.2</w:t>
      </w:r>
      <w:r>
        <w:rPr>
          <w:rFonts w:eastAsia="方正仿宋_GBK"/>
          <w:b/>
          <w:bCs/>
          <w:spacing w:val="-4"/>
          <w:sz w:val="33"/>
          <w:szCs w:val="33"/>
        </w:rPr>
        <w:t>万元，</w:t>
      </w:r>
      <w:r>
        <w:rPr>
          <w:rFonts w:eastAsia="方正仿宋_GBK"/>
          <w:spacing w:val="-4"/>
          <w:sz w:val="33"/>
          <w:szCs w:val="33"/>
        </w:rPr>
        <w:t>完成预算100%。公务接待费支出决算比</w:t>
      </w:r>
      <w:r>
        <w:rPr>
          <w:rFonts w:hint="eastAsia" w:eastAsia="方正仿宋_GBK"/>
          <w:spacing w:val="-4"/>
          <w:sz w:val="33"/>
          <w:szCs w:val="33"/>
        </w:rPr>
        <w:t>2021</w:t>
      </w:r>
      <w:r>
        <w:rPr>
          <w:rFonts w:eastAsia="方正仿宋_GBK"/>
          <w:spacing w:val="-4"/>
          <w:sz w:val="33"/>
          <w:szCs w:val="33"/>
        </w:rPr>
        <w:t>年</w:t>
      </w:r>
      <w:r>
        <w:rPr>
          <w:rFonts w:hint="eastAsia" w:eastAsia="方正仿宋_GBK"/>
          <w:spacing w:val="-4"/>
          <w:sz w:val="33"/>
          <w:szCs w:val="33"/>
        </w:rPr>
        <w:t>减少0.69</w:t>
      </w:r>
      <w:r>
        <w:rPr>
          <w:rFonts w:eastAsia="方正仿宋_GBK"/>
          <w:spacing w:val="-4"/>
          <w:sz w:val="33"/>
          <w:szCs w:val="33"/>
        </w:rPr>
        <w:t>万元，</w:t>
      </w:r>
      <w:r>
        <w:rPr>
          <w:rFonts w:hint="eastAsia" w:eastAsia="方正仿宋_GBK"/>
          <w:spacing w:val="-4"/>
          <w:sz w:val="33"/>
          <w:szCs w:val="33"/>
        </w:rPr>
        <w:t>下降77.53</w:t>
      </w:r>
      <w:r>
        <w:rPr>
          <w:rFonts w:eastAsia="方正仿宋_GBK"/>
          <w:spacing w:val="-4"/>
          <w:sz w:val="33"/>
          <w:szCs w:val="33"/>
        </w:rPr>
        <w:t>%。主要原因是</w:t>
      </w:r>
      <w:r>
        <w:rPr>
          <w:rFonts w:hint="eastAsia" w:eastAsia="方正仿宋_GBK"/>
          <w:spacing w:val="-4"/>
          <w:sz w:val="33"/>
          <w:szCs w:val="33"/>
        </w:rPr>
        <w:t>单位公务接待量减少，支出下降。</w:t>
      </w:r>
    </w:p>
    <w:p w14:paraId="6C4026A4">
      <w:pPr>
        <w:spacing w:line="560" w:lineRule="exact"/>
        <w:ind w:firstLine="644" w:firstLineChars="200"/>
        <w:rPr>
          <w:rFonts w:eastAsia="仿宋_GB2312"/>
          <w:sz w:val="32"/>
          <w:szCs w:val="32"/>
        </w:rPr>
      </w:pPr>
      <w:r>
        <w:rPr>
          <w:rFonts w:eastAsia="方正仿宋_GBK"/>
          <w:spacing w:val="-4"/>
          <w:sz w:val="33"/>
          <w:szCs w:val="33"/>
        </w:rPr>
        <w:t>国内公务接待支出</w:t>
      </w:r>
      <w:r>
        <w:rPr>
          <w:rFonts w:hint="eastAsia" w:eastAsia="方正仿宋_GBK"/>
          <w:spacing w:val="-4"/>
          <w:sz w:val="33"/>
          <w:szCs w:val="33"/>
        </w:rPr>
        <w:t>0.2</w:t>
      </w:r>
      <w:r>
        <w:rPr>
          <w:rFonts w:eastAsia="方正仿宋_GBK"/>
          <w:spacing w:val="-4"/>
          <w:sz w:val="33"/>
          <w:szCs w:val="33"/>
        </w:rPr>
        <w:t>万元，</w:t>
      </w:r>
      <w:r>
        <w:rPr>
          <w:rFonts w:hint="eastAsia" w:eastAsia="仿宋_GB2312"/>
          <w:sz w:val="32"/>
          <w:szCs w:val="32"/>
        </w:rPr>
        <w:t>公务接待2批次，58人，与2021年比较减少0.69万元。</w:t>
      </w:r>
    </w:p>
    <w:p w14:paraId="26099404">
      <w:pPr>
        <w:ind w:firstLine="644" w:firstLineChars="200"/>
        <w:rPr>
          <w:rFonts w:eastAsia="方正仿宋_GBK"/>
          <w:spacing w:val="-4"/>
          <w:sz w:val="33"/>
          <w:szCs w:val="33"/>
        </w:rPr>
      </w:pPr>
      <w:r>
        <w:rPr>
          <w:rFonts w:eastAsia="方正仿宋_GBK"/>
          <w:spacing w:val="-4"/>
          <w:sz w:val="33"/>
          <w:szCs w:val="33"/>
        </w:rPr>
        <w:t>主要用于执行公务、开展业务活动开支的交通费、住宿费、用餐费等。</w:t>
      </w:r>
    </w:p>
    <w:p w14:paraId="52E7CA2B">
      <w:pPr>
        <w:ind w:firstLine="644" w:firstLineChars="200"/>
        <w:rPr>
          <w:rFonts w:eastAsia="方正仿宋_GBK"/>
          <w:spacing w:val="-4"/>
          <w:sz w:val="33"/>
          <w:szCs w:val="33"/>
        </w:rPr>
      </w:pPr>
      <w:r>
        <w:rPr>
          <w:rFonts w:eastAsia="方正仿宋_GBK"/>
          <w:spacing w:val="-4"/>
          <w:sz w:val="33"/>
          <w:szCs w:val="33"/>
        </w:rPr>
        <w:t>外事接待支出0万元，外事接待0批次，0人。</w:t>
      </w:r>
      <w:bookmarkStart w:id="39" w:name="_Toc15396610"/>
      <w:bookmarkStart w:id="40" w:name="_Toc15377218"/>
    </w:p>
    <w:p w14:paraId="24449587">
      <w:pPr>
        <w:pStyle w:val="4"/>
        <w:spacing w:before="0" w:after="0" w:line="240" w:lineRule="auto"/>
        <w:ind w:firstLine="660" w:firstLineChars="200"/>
        <w:rPr>
          <w:rStyle w:val="29"/>
          <w:rFonts w:ascii="Times New Roman" w:hAnsi="Times New Roman" w:eastAsia="方正黑体_GBK" w:cs="Times New Roman"/>
          <w:b w:val="0"/>
          <w:bCs w:val="0"/>
          <w:sz w:val="33"/>
          <w:szCs w:val="33"/>
        </w:rPr>
      </w:pPr>
      <w:r>
        <w:rPr>
          <w:rStyle w:val="29"/>
          <w:rFonts w:ascii="Times New Roman" w:hAnsi="Times New Roman" w:eastAsia="方正黑体_GBK" w:cs="Times New Roman"/>
          <w:b w:val="0"/>
          <w:bCs w:val="0"/>
          <w:sz w:val="33"/>
          <w:szCs w:val="33"/>
        </w:rPr>
        <w:t>八、政府性基金预算支出决算情况说明</w:t>
      </w:r>
      <w:bookmarkEnd w:id="39"/>
      <w:bookmarkEnd w:id="40"/>
    </w:p>
    <w:p w14:paraId="2DD33748">
      <w:pPr>
        <w:ind w:firstLine="644" w:firstLineChars="200"/>
        <w:rPr>
          <w:rFonts w:eastAsia="方正仿宋_GBK"/>
          <w:spacing w:val="-4"/>
          <w:sz w:val="33"/>
          <w:szCs w:val="33"/>
        </w:rPr>
      </w:pPr>
      <w:r>
        <w:rPr>
          <w:rFonts w:eastAsia="方正仿宋_GBK"/>
          <w:spacing w:val="-4"/>
          <w:sz w:val="33"/>
          <w:szCs w:val="33"/>
        </w:rPr>
        <w:t>2021年政府性基金预算财政拨款支出0万元。</w:t>
      </w:r>
    </w:p>
    <w:p w14:paraId="5B7D5E5F">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41" w:name="_Toc15396611"/>
      <w:bookmarkStart w:id="42" w:name="_Toc15377219"/>
      <w:r>
        <w:rPr>
          <w:rStyle w:val="29"/>
          <w:rFonts w:ascii="Times New Roman" w:hAnsi="Times New Roman" w:eastAsia="方正黑体_GBK" w:cs="Times New Roman"/>
          <w:b w:val="0"/>
          <w:bCs w:val="0"/>
          <w:sz w:val="33"/>
          <w:szCs w:val="33"/>
        </w:rPr>
        <w:t>九、国有资本经营预算支出决算情况说明</w:t>
      </w:r>
      <w:bookmarkEnd w:id="41"/>
      <w:bookmarkEnd w:id="42"/>
    </w:p>
    <w:p w14:paraId="05441D08">
      <w:pPr>
        <w:ind w:firstLine="644" w:firstLineChars="200"/>
        <w:rPr>
          <w:rFonts w:eastAsia="方正仿宋_GBK"/>
          <w:spacing w:val="-4"/>
          <w:sz w:val="33"/>
          <w:szCs w:val="33"/>
        </w:rPr>
      </w:pPr>
      <w:r>
        <w:rPr>
          <w:rFonts w:eastAsia="方正仿宋_GBK"/>
          <w:spacing w:val="-4"/>
          <w:sz w:val="33"/>
          <w:szCs w:val="33"/>
        </w:rPr>
        <w:t>2021年国有资本经营预算财政拨款支出0万元。</w:t>
      </w:r>
    </w:p>
    <w:p w14:paraId="19C3CA7D">
      <w:pPr>
        <w:pStyle w:val="4"/>
        <w:spacing w:before="0" w:after="0" w:line="240" w:lineRule="auto"/>
        <w:ind w:firstLine="660" w:firstLineChars="200"/>
        <w:rPr>
          <w:rStyle w:val="29"/>
          <w:rFonts w:ascii="Times New Roman" w:hAnsi="Times New Roman" w:eastAsia="方正黑体_GBK" w:cs="Times New Roman"/>
          <w:b w:val="0"/>
          <w:bCs w:val="0"/>
          <w:sz w:val="33"/>
          <w:szCs w:val="33"/>
        </w:rPr>
      </w:pPr>
      <w:bookmarkStart w:id="43" w:name="_Toc15377221"/>
      <w:bookmarkStart w:id="44" w:name="_Toc15396612"/>
      <w:r>
        <w:rPr>
          <w:rStyle w:val="29"/>
          <w:rFonts w:ascii="Times New Roman" w:hAnsi="Times New Roman" w:eastAsia="方正黑体_GBK" w:cs="Times New Roman"/>
          <w:b w:val="0"/>
          <w:bCs w:val="0"/>
          <w:sz w:val="33"/>
          <w:szCs w:val="33"/>
        </w:rPr>
        <w:t>十、其他重要事项的情况说明</w:t>
      </w:r>
      <w:bookmarkEnd w:id="43"/>
      <w:bookmarkEnd w:id="44"/>
    </w:p>
    <w:p w14:paraId="06FB1389">
      <w:pPr>
        <w:ind w:firstLine="647" w:firstLineChars="200"/>
        <w:rPr>
          <w:rFonts w:eastAsia="方正楷体_GBK"/>
          <w:b/>
          <w:bCs/>
          <w:spacing w:val="-4"/>
          <w:sz w:val="33"/>
          <w:szCs w:val="33"/>
        </w:rPr>
      </w:pPr>
      <w:bookmarkStart w:id="45" w:name="_Toc15377222"/>
      <w:r>
        <w:rPr>
          <w:rFonts w:eastAsia="方正楷体_GBK"/>
          <w:b/>
          <w:bCs/>
          <w:spacing w:val="-4"/>
          <w:sz w:val="33"/>
          <w:szCs w:val="33"/>
        </w:rPr>
        <w:t>（一）机关运行经费支出情况</w:t>
      </w:r>
      <w:bookmarkEnd w:id="45"/>
    </w:p>
    <w:p w14:paraId="025FF233">
      <w:pPr>
        <w:ind w:firstLine="644" w:firstLineChars="200"/>
        <w:rPr>
          <w:rFonts w:eastAsia="方正楷体_GBK"/>
          <w:b/>
          <w:bCs/>
          <w:spacing w:val="-4"/>
          <w:sz w:val="33"/>
          <w:szCs w:val="33"/>
        </w:rPr>
      </w:pPr>
      <w:r>
        <w:rPr>
          <w:rFonts w:hint="eastAsia" w:eastAsia="方正仿宋_GBK"/>
          <w:spacing w:val="-4"/>
          <w:sz w:val="33"/>
          <w:szCs w:val="33"/>
        </w:rPr>
        <w:t>2022</w:t>
      </w:r>
      <w:r>
        <w:rPr>
          <w:rFonts w:eastAsia="方正仿宋_GBK"/>
          <w:spacing w:val="-4"/>
          <w:sz w:val="33"/>
          <w:szCs w:val="33"/>
        </w:rPr>
        <w:t>年，中共盐边县委办公室机关运行经费支出</w:t>
      </w:r>
      <w:r>
        <w:rPr>
          <w:rFonts w:hint="eastAsia" w:eastAsia="方正仿宋_GBK"/>
          <w:spacing w:val="-4"/>
          <w:sz w:val="33"/>
          <w:szCs w:val="33"/>
        </w:rPr>
        <w:t>90.89</w:t>
      </w:r>
      <w:r>
        <w:rPr>
          <w:rFonts w:eastAsia="方正仿宋_GBK"/>
          <w:spacing w:val="-4"/>
          <w:sz w:val="33"/>
          <w:szCs w:val="33"/>
        </w:rPr>
        <w:t>万元，比</w:t>
      </w:r>
      <w:r>
        <w:rPr>
          <w:rFonts w:hint="eastAsia" w:eastAsia="方正仿宋_GBK"/>
          <w:spacing w:val="-4"/>
          <w:sz w:val="33"/>
          <w:szCs w:val="33"/>
        </w:rPr>
        <w:t>2021</w:t>
      </w:r>
      <w:r>
        <w:rPr>
          <w:rFonts w:eastAsia="方正仿宋_GBK"/>
          <w:spacing w:val="-4"/>
          <w:sz w:val="33"/>
          <w:szCs w:val="33"/>
        </w:rPr>
        <w:t>年</w:t>
      </w:r>
      <w:r>
        <w:rPr>
          <w:rFonts w:hint="eastAsia" w:eastAsia="方正仿宋_GBK"/>
          <w:spacing w:val="-4"/>
          <w:sz w:val="33"/>
          <w:szCs w:val="33"/>
        </w:rPr>
        <w:t>减少4.77</w:t>
      </w:r>
      <w:r>
        <w:rPr>
          <w:rFonts w:eastAsia="方正仿宋_GBK"/>
          <w:spacing w:val="-4"/>
          <w:sz w:val="33"/>
          <w:szCs w:val="33"/>
        </w:rPr>
        <w:t>万元，</w:t>
      </w:r>
      <w:r>
        <w:rPr>
          <w:rFonts w:hint="eastAsia" w:eastAsia="方正仿宋_GBK"/>
          <w:spacing w:val="-4"/>
          <w:sz w:val="33"/>
          <w:szCs w:val="33"/>
        </w:rPr>
        <w:t>下降4.99</w:t>
      </w:r>
      <w:r>
        <w:rPr>
          <w:rFonts w:eastAsia="方正仿宋_GBK"/>
          <w:spacing w:val="-4"/>
          <w:sz w:val="33"/>
          <w:szCs w:val="33"/>
        </w:rPr>
        <w:t>%。主要原因</w:t>
      </w:r>
      <w:r>
        <w:rPr>
          <w:rFonts w:hint="eastAsia" w:eastAsia="方正仿宋_GBK"/>
          <w:spacing w:val="-4"/>
          <w:sz w:val="33"/>
          <w:szCs w:val="33"/>
        </w:rPr>
        <w:t>2022</w:t>
      </w:r>
      <w:r>
        <w:rPr>
          <w:rFonts w:eastAsia="方正仿宋_GBK"/>
          <w:spacing w:val="-4"/>
          <w:sz w:val="33"/>
          <w:szCs w:val="33"/>
        </w:rPr>
        <w:t>年较去年</w:t>
      </w:r>
      <w:r>
        <w:rPr>
          <w:rFonts w:hint="eastAsia" w:eastAsia="方正仿宋_GBK"/>
          <w:spacing w:val="-4"/>
          <w:sz w:val="33"/>
          <w:szCs w:val="33"/>
        </w:rPr>
        <w:t>所产生的办公费、差旅费用等下降。</w:t>
      </w:r>
      <w:bookmarkStart w:id="46" w:name="_Toc15377223"/>
    </w:p>
    <w:p w14:paraId="0B4109AB">
      <w:pPr>
        <w:ind w:firstLine="647" w:firstLineChars="200"/>
        <w:rPr>
          <w:rFonts w:eastAsia="方正楷体_GBK"/>
          <w:b/>
          <w:bCs/>
          <w:spacing w:val="-4"/>
          <w:sz w:val="33"/>
          <w:szCs w:val="33"/>
        </w:rPr>
      </w:pPr>
      <w:r>
        <w:rPr>
          <w:rFonts w:eastAsia="方正楷体_GBK"/>
          <w:b/>
          <w:bCs/>
          <w:spacing w:val="-4"/>
          <w:sz w:val="33"/>
          <w:szCs w:val="33"/>
        </w:rPr>
        <w:t>（二）政府采购支出情况</w:t>
      </w:r>
      <w:bookmarkEnd w:id="46"/>
    </w:p>
    <w:p w14:paraId="205BB039">
      <w:pPr>
        <w:ind w:firstLine="660" w:firstLineChars="200"/>
        <w:rPr>
          <w:rFonts w:eastAsia="方正仿宋_GBK"/>
          <w:sz w:val="33"/>
          <w:szCs w:val="33"/>
        </w:rPr>
      </w:pPr>
      <w:bookmarkStart w:id="47" w:name="_Toc15377224"/>
      <w:r>
        <w:rPr>
          <w:rFonts w:eastAsia="方正仿宋_GBK"/>
          <w:sz w:val="33"/>
          <w:szCs w:val="33"/>
        </w:rPr>
        <w:t>20</w:t>
      </w:r>
      <w:r>
        <w:rPr>
          <w:rFonts w:hint="eastAsia" w:eastAsia="方正仿宋_GBK"/>
          <w:sz w:val="33"/>
          <w:szCs w:val="33"/>
        </w:rPr>
        <w:t>22年，县委办政府采购支出总额</w:t>
      </w:r>
      <w:r>
        <w:rPr>
          <w:rFonts w:hint="eastAsia" w:eastAsia="方正仿宋_GBK"/>
          <w:sz w:val="33"/>
          <w:szCs w:val="33"/>
          <w:lang w:val="en-US" w:eastAsia="zh-CN"/>
        </w:rPr>
        <w:t>0</w:t>
      </w:r>
      <w:r>
        <w:rPr>
          <w:rFonts w:hint="eastAsia" w:eastAsia="方正仿宋_GBK"/>
          <w:sz w:val="33"/>
          <w:szCs w:val="33"/>
        </w:rPr>
        <w:t>元，其中：政府采购货物支出</w:t>
      </w:r>
      <w:r>
        <w:rPr>
          <w:rFonts w:hint="eastAsia" w:eastAsia="方正仿宋_GBK"/>
          <w:sz w:val="33"/>
          <w:szCs w:val="33"/>
          <w:lang w:val="en-US" w:eastAsia="zh-CN"/>
        </w:rPr>
        <w:t>0</w:t>
      </w:r>
      <w:r>
        <w:rPr>
          <w:rFonts w:hint="eastAsia" w:eastAsia="方正仿宋_GBK"/>
          <w:sz w:val="33"/>
          <w:szCs w:val="33"/>
        </w:rPr>
        <w:t>元、政府采购工程支出0元、政府采购服务支出0万元。主要用于工商联组建钒钛产业开发区商会经费。授予中小企业合同金额</w:t>
      </w:r>
      <w:r>
        <w:rPr>
          <w:rFonts w:hint="eastAsia" w:eastAsia="方正仿宋_GBK"/>
          <w:sz w:val="33"/>
          <w:szCs w:val="33"/>
          <w:lang w:val="en-US" w:eastAsia="zh-CN"/>
        </w:rPr>
        <w:t>0</w:t>
      </w:r>
      <w:r>
        <w:rPr>
          <w:rFonts w:hint="eastAsia" w:eastAsia="方正仿宋_GBK"/>
          <w:sz w:val="33"/>
          <w:szCs w:val="33"/>
        </w:rPr>
        <w:t>元，占政府采购支出总额的</w:t>
      </w:r>
      <w:r>
        <w:rPr>
          <w:rFonts w:hint="eastAsia" w:eastAsia="方正仿宋_GBK"/>
          <w:sz w:val="33"/>
          <w:szCs w:val="33"/>
          <w:lang w:val="en-US" w:eastAsia="zh-CN"/>
        </w:rPr>
        <w:t>0</w:t>
      </w:r>
      <w:r>
        <w:rPr>
          <w:rFonts w:hint="eastAsia" w:eastAsia="方正仿宋_GBK"/>
          <w:sz w:val="33"/>
          <w:szCs w:val="33"/>
        </w:rPr>
        <w:t>，其中：授予小微企业合同金额</w:t>
      </w:r>
      <w:r>
        <w:rPr>
          <w:rFonts w:hint="eastAsia" w:eastAsia="方正仿宋_GBK"/>
          <w:sz w:val="33"/>
          <w:szCs w:val="33"/>
          <w:lang w:val="en-US" w:eastAsia="zh-CN"/>
        </w:rPr>
        <w:t>0</w:t>
      </w:r>
      <w:r>
        <w:rPr>
          <w:rFonts w:hint="eastAsia" w:eastAsia="方正仿宋_GBK"/>
          <w:sz w:val="33"/>
          <w:szCs w:val="33"/>
        </w:rPr>
        <w:t>元，占政府采购支出总额的</w:t>
      </w:r>
      <w:r>
        <w:rPr>
          <w:rFonts w:hint="eastAsia" w:eastAsia="方正仿宋_GBK"/>
          <w:sz w:val="33"/>
          <w:szCs w:val="33"/>
          <w:lang w:val="en-US" w:eastAsia="zh-CN"/>
        </w:rPr>
        <w:t>0</w:t>
      </w:r>
      <w:r>
        <w:rPr>
          <w:rFonts w:hint="eastAsia" w:eastAsia="方正仿宋_GBK"/>
          <w:sz w:val="33"/>
          <w:szCs w:val="33"/>
        </w:rPr>
        <w:t>。</w:t>
      </w:r>
    </w:p>
    <w:p w14:paraId="56ADBDB3">
      <w:pPr>
        <w:ind w:firstLine="647" w:firstLineChars="200"/>
        <w:rPr>
          <w:rFonts w:eastAsia="方正楷体_GBK"/>
          <w:b/>
          <w:bCs/>
          <w:spacing w:val="-4"/>
          <w:sz w:val="33"/>
          <w:szCs w:val="33"/>
        </w:rPr>
      </w:pPr>
      <w:r>
        <w:rPr>
          <w:rFonts w:eastAsia="方正楷体_GBK"/>
          <w:b/>
          <w:bCs/>
          <w:spacing w:val="-4"/>
          <w:sz w:val="33"/>
          <w:szCs w:val="33"/>
        </w:rPr>
        <w:t>（三）国有资产占有使用情况</w:t>
      </w:r>
      <w:bookmarkEnd w:id="47"/>
    </w:p>
    <w:p w14:paraId="65D68EB1">
      <w:pPr>
        <w:ind w:firstLine="644" w:firstLineChars="200"/>
        <w:rPr>
          <w:rFonts w:eastAsia="方正仿宋_GBK"/>
          <w:spacing w:val="-4"/>
          <w:sz w:val="33"/>
          <w:szCs w:val="33"/>
        </w:rPr>
      </w:pPr>
      <w:r>
        <w:rPr>
          <w:rFonts w:eastAsia="方正仿宋_GBK"/>
          <w:spacing w:val="-4"/>
          <w:sz w:val="33"/>
          <w:szCs w:val="33"/>
        </w:rPr>
        <w:t>截至</w:t>
      </w:r>
      <w:r>
        <w:rPr>
          <w:rFonts w:hint="eastAsia" w:eastAsia="方正仿宋_GBK"/>
          <w:spacing w:val="-4"/>
          <w:sz w:val="33"/>
          <w:szCs w:val="33"/>
        </w:rPr>
        <w:t>2022</w:t>
      </w:r>
      <w:r>
        <w:rPr>
          <w:rFonts w:eastAsia="方正仿宋_GBK"/>
          <w:spacing w:val="-4"/>
          <w:sz w:val="33"/>
          <w:szCs w:val="33"/>
        </w:rPr>
        <w:t>年12月31日，中共盐边县委办共有车辆1辆，其中：主要领导干部用车0辆、机要通信用车1辆、应急保障用车0辆、其他用车0辆，单价50万元以上通用设备0台（套），单价100万元以上专用设备0台（套）。</w:t>
      </w:r>
    </w:p>
    <w:p w14:paraId="07E5A2ED">
      <w:pPr>
        <w:ind w:firstLine="647" w:firstLineChars="200"/>
        <w:rPr>
          <w:rFonts w:eastAsia="方正楷体_GBK"/>
          <w:b/>
          <w:bCs/>
          <w:spacing w:val="-4"/>
          <w:sz w:val="33"/>
          <w:szCs w:val="33"/>
        </w:rPr>
      </w:pPr>
      <w:r>
        <w:rPr>
          <w:rFonts w:eastAsia="方正楷体_GBK"/>
          <w:b/>
          <w:bCs/>
          <w:spacing w:val="-4"/>
          <w:sz w:val="33"/>
          <w:szCs w:val="33"/>
        </w:rPr>
        <w:t>（四）预算绩效管理情况</w:t>
      </w:r>
    </w:p>
    <w:p w14:paraId="0037BCC6">
      <w:pPr>
        <w:ind w:firstLine="644" w:firstLineChars="200"/>
        <w:rPr>
          <w:rFonts w:eastAsia="方正仿宋_GBK"/>
          <w:spacing w:val="-4"/>
          <w:sz w:val="33"/>
          <w:szCs w:val="33"/>
        </w:rPr>
      </w:pPr>
      <w:r>
        <w:rPr>
          <w:rFonts w:hint="eastAsia" w:eastAsia="方正仿宋_GBK"/>
          <w:spacing w:val="-4"/>
          <w:sz w:val="33"/>
          <w:szCs w:val="33"/>
        </w:rPr>
        <w:t>根据预算绩效管理要求，本部门在2022年度预算编制阶段，组织对县委办工作经费、史志编辑出版、盐边县妇女儿童工作经费、光纤租用费、共青团盐边县委员会工作经费等项目开展了预算事前绩效评估，对所有项目编制了绩效目标，预算执行过程中，对所有项目开展绩效监控。</w:t>
      </w:r>
    </w:p>
    <w:p w14:paraId="42E384E2">
      <w:pPr>
        <w:ind w:firstLine="644" w:firstLineChars="200"/>
        <w:rPr>
          <w:rFonts w:eastAsia="仿宋_GB2312"/>
          <w:spacing w:val="-4"/>
          <w:sz w:val="33"/>
          <w:szCs w:val="33"/>
        </w:rPr>
      </w:pPr>
      <w:r>
        <w:rPr>
          <w:rFonts w:hint="eastAsia" w:eastAsia="方正仿宋_GBK"/>
          <w:spacing w:val="-4"/>
          <w:sz w:val="33"/>
          <w:szCs w:val="33"/>
        </w:rPr>
        <w:t>组织对2022年度部门所有预算资金全面开展绩效自评，形成中共盐边县委办公室部门整体（含部门预算项目）绩效自评报告，对县委办工作经费专项预算项目绩效自评报告，其中，中共盐边县委办公室部门整体（含部门预算项目）绩效自评得分为100分，绩效自评综述：县委办工作经费、史志编辑出版、盐边县妇女儿童工作经费等预算执行率100%，自评得分为100分。</w:t>
      </w:r>
      <w:r>
        <w:rPr>
          <w:rFonts w:hint="eastAsia" w:ascii="仿宋_GB2312" w:hAnsi="仿宋_GB2312" w:eastAsia="仿宋_GB2312" w:cs="仿宋_GB2312"/>
          <w:sz w:val="32"/>
          <w:szCs w:val="32"/>
        </w:rPr>
        <w:t>绩效自评报告详见附件。</w:t>
      </w:r>
    </w:p>
    <w:p w14:paraId="0F628BF7">
      <w:pPr>
        <w:rPr>
          <w:rFonts w:eastAsia="方正仿宋_GBK"/>
          <w:spacing w:val="-4"/>
          <w:sz w:val="33"/>
          <w:szCs w:val="33"/>
        </w:rPr>
      </w:pPr>
    </w:p>
    <w:p w14:paraId="31E5D31D">
      <w:pPr>
        <w:pStyle w:val="3"/>
        <w:jc w:val="center"/>
        <w:rPr>
          <w:rFonts w:eastAsia="方正小标宋_GBK"/>
          <w:bCs w:val="0"/>
          <w:sz w:val="38"/>
          <w:szCs w:val="38"/>
        </w:rPr>
      </w:pPr>
      <w:bookmarkStart w:id="48" w:name="_Toc15396613"/>
      <w:bookmarkStart w:id="49" w:name="_Toc15377225"/>
      <w:r>
        <w:rPr>
          <w:rFonts w:eastAsia="方正小标宋_GBK"/>
          <w:bCs w:val="0"/>
          <w:sz w:val="38"/>
          <w:szCs w:val="38"/>
        </w:rPr>
        <w:t>第三部分 名词解释</w:t>
      </w:r>
      <w:bookmarkEnd w:id="48"/>
      <w:bookmarkEnd w:id="49"/>
    </w:p>
    <w:p w14:paraId="5D0139EA">
      <w:pPr>
        <w:jc w:val="left"/>
        <w:rPr>
          <w:rFonts w:eastAsia="方正仿宋_GBK"/>
          <w:b/>
          <w:sz w:val="33"/>
          <w:szCs w:val="33"/>
        </w:rPr>
      </w:pPr>
    </w:p>
    <w:p w14:paraId="0B755E9E">
      <w:pPr>
        <w:pStyle w:val="26"/>
        <w:ind w:firstLine="660" w:firstLineChars="200"/>
        <w:rPr>
          <w:rFonts w:ascii="Times New Roman" w:hAnsi="Times New Roman" w:eastAsia="方正仿宋_GBK" w:cs="Times New Roman"/>
          <w:sz w:val="33"/>
          <w:szCs w:val="33"/>
        </w:rPr>
      </w:pPr>
      <w:r>
        <w:rPr>
          <w:rFonts w:ascii="Times New Roman" w:hAnsi="Times New Roman" w:eastAsia="方正仿宋_GBK" w:cs="Times New Roman"/>
          <w:sz w:val="33"/>
          <w:szCs w:val="33"/>
        </w:rPr>
        <w:t>1.财政拨款收入：指单位从同级财政部门取得的财政预算资金。</w:t>
      </w:r>
    </w:p>
    <w:p w14:paraId="43164C90">
      <w:pPr>
        <w:pStyle w:val="26"/>
        <w:ind w:firstLine="660" w:firstLineChars="200"/>
        <w:rPr>
          <w:rFonts w:ascii="Times New Roman" w:hAnsi="Times New Roman" w:eastAsia="方正仿宋_GBK" w:cs="Times New Roman"/>
          <w:sz w:val="33"/>
          <w:szCs w:val="33"/>
        </w:rPr>
      </w:pPr>
      <w:r>
        <w:rPr>
          <w:rFonts w:ascii="Times New Roman" w:hAnsi="Times New Roman" w:eastAsia="方正仿宋_GBK" w:cs="Times New Roman"/>
          <w:sz w:val="33"/>
          <w:szCs w:val="33"/>
        </w:rPr>
        <w:t>2.年初结转和结余：指以前年度尚未完成、结转到本年按有关规定继续使用的资金。</w:t>
      </w:r>
    </w:p>
    <w:p w14:paraId="7AE5D5B4">
      <w:pPr>
        <w:pStyle w:val="26"/>
        <w:ind w:firstLine="660" w:firstLineChars="200"/>
        <w:rPr>
          <w:rFonts w:ascii="Times New Roman" w:hAnsi="Times New Roman" w:eastAsia="方正仿宋_GBK" w:cs="Times New Roman"/>
          <w:sz w:val="33"/>
          <w:szCs w:val="33"/>
        </w:rPr>
      </w:pPr>
      <w:r>
        <w:rPr>
          <w:rFonts w:ascii="Times New Roman" w:hAnsi="Times New Roman" w:eastAsia="方正仿宋_GBK" w:cs="Times New Roman"/>
          <w:sz w:val="33"/>
          <w:szCs w:val="33"/>
        </w:rPr>
        <w:t>3.结余分配：指事业单位按照事业单位会计制度的规定从非财政补助结余中分配的事业基金和职工福利基金等。</w:t>
      </w:r>
    </w:p>
    <w:p w14:paraId="06EF640F">
      <w:pPr>
        <w:pStyle w:val="26"/>
        <w:ind w:firstLine="660" w:firstLineChars="200"/>
        <w:rPr>
          <w:rFonts w:ascii="Times New Roman" w:hAnsi="Times New Roman" w:eastAsia="方正仿宋_GBK" w:cs="Times New Roman"/>
          <w:sz w:val="33"/>
          <w:szCs w:val="33"/>
        </w:rPr>
      </w:pPr>
      <w:r>
        <w:rPr>
          <w:rFonts w:ascii="Times New Roman" w:hAnsi="Times New Roman" w:eastAsia="方正仿宋_GBK" w:cs="Times New Roman"/>
          <w:sz w:val="33"/>
          <w:szCs w:val="33"/>
        </w:rPr>
        <w:t>4.年末结转和结余：指单位按有关规定结转到下年或以后年度继续使用的资金。</w:t>
      </w:r>
    </w:p>
    <w:p w14:paraId="55B27566">
      <w:pPr>
        <w:ind w:firstLine="660" w:firstLineChars="200"/>
        <w:rPr>
          <w:rFonts w:eastAsia="方正仿宋_GBK"/>
          <w:sz w:val="33"/>
          <w:szCs w:val="33"/>
        </w:rPr>
      </w:pPr>
      <w:r>
        <w:rPr>
          <w:rFonts w:eastAsia="方正仿宋_GBK"/>
          <w:sz w:val="33"/>
          <w:szCs w:val="33"/>
        </w:rPr>
        <w:t>5.</w:t>
      </w:r>
      <w:r>
        <w:rPr>
          <w:rFonts w:hint="eastAsia" w:eastAsia="方正仿宋_GBK"/>
          <w:sz w:val="33"/>
          <w:szCs w:val="33"/>
          <w:lang w:eastAsia="zh-CN"/>
        </w:rPr>
        <w:t>一般公共预算财政拨款</w:t>
      </w:r>
      <w:r>
        <w:rPr>
          <w:rFonts w:eastAsia="方正仿宋_GBK"/>
          <w:sz w:val="33"/>
          <w:szCs w:val="33"/>
        </w:rPr>
        <w:t>收入：指县级财政当年拨付的资金。</w:t>
      </w:r>
    </w:p>
    <w:p w14:paraId="5FD138B7">
      <w:pPr>
        <w:ind w:firstLine="660" w:firstLineChars="200"/>
        <w:outlineLvl w:val="0"/>
        <w:rPr>
          <w:rStyle w:val="18"/>
          <w:rFonts w:eastAsia="方正仿宋_GBK"/>
          <w:b w:val="0"/>
          <w:bCs/>
          <w:color w:val="000000"/>
          <w:sz w:val="33"/>
          <w:szCs w:val="33"/>
        </w:rPr>
      </w:pPr>
      <w:r>
        <w:rPr>
          <w:rFonts w:eastAsia="方正仿宋_GBK"/>
          <w:sz w:val="33"/>
          <w:szCs w:val="33"/>
        </w:rPr>
        <w:t>6.</w:t>
      </w:r>
      <w:r>
        <w:rPr>
          <w:rStyle w:val="18"/>
          <w:rFonts w:eastAsia="方正仿宋_GBK"/>
          <w:b w:val="0"/>
          <w:bCs/>
          <w:color w:val="000000"/>
          <w:sz w:val="33"/>
          <w:szCs w:val="33"/>
        </w:rPr>
        <w:t>一般公共服务（类）民主党派及工商联事务、群众团体事务、党委办公厅（室）及相关机构事务、统战事务（款）行政运行（项）</w:t>
      </w:r>
      <w:r>
        <w:rPr>
          <w:rFonts w:eastAsia="方正仿宋_GBK"/>
          <w:color w:val="000000"/>
          <w:kern w:val="0"/>
          <w:sz w:val="33"/>
          <w:szCs w:val="33"/>
        </w:rPr>
        <w:t>反映行政单位（包括实行公务员管理的事业单位）的基本支出。</w:t>
      </w:r>
    </w:p>
    <w:p w14:paraId="5CFA0D05">
      <w:pPr>
        <w:ind w:firstLine="660" w:firstLineChars="200"/>
        <w:rPr>
          <w:rFonts w:eastAsia="方正仿宋_GBK"/>
          <w:sz w:val="33"/>
          <w:szCs w:val="33"/>
        </w:rPr>
      </w:pPr>
      <w:r>
        <w:rPr>
          <w:rFonts w:eastAsia="方正仿宋_GBK"/>
          <w:sz w:val="33"/>
          <w:szCs w:val="33"/>
        </w:rPr>
        <w:t>7.一般公共服务（类）民主党派及工商联事务、群众团体事务、党委办公厅（室）及相关机构事务、统战事务（款）一般行政管理事务（项）：反映行政单位（包括实行公务员管理的事业单位）未单独设置项级科目的其他项目支出。</w:t>
      </w:r>
    </w:p>
    <w:p w14:paraId="5311DE80">
      <w:pPr>
        <w:pStyle w:val="6"/>
        <w:ind w:firstLine="660"/>
        <w:rPr>
          <w:rFonts w:eastAsia="方正仿宋_GBK"/>
          <w:sz w:val="33"/>
          <w:szCs w:val="33"/>
        </w:rPr>
      </w:pPr>
      <w:r>
        <w:rPr>
          <w:rFonts w:eastAsia="方正仿宋_GBK"/>
          <w:sz w:val="33"/>
          <w:szCs w:val="33"/>
        </w:rPr>
        <w:t>8.</w:t>
      </w:r>
      <w:r>
        <w:rPr>
          <w:rStyle w:val="18"/>
          <w:rFonts w:eastAsia="方正仿宋_GBK"/>
          <w:b w:val="0"/>
          <w:bCs/>
          <w:color w:val="000000"/>
          <w:sz w:val="33"/>
          <w:szCs w:val="33"/>
        </w:rPr>
        <w:t>一般公共服务（类）民主党派及工商联事务、群众团体事务、党委办公厅（室）及相关机构事务、统战事务（款）</w:t>
      </w:r>
      <w:r>
        <w:rPr>
          <w:rFonts w:eastAsia="方正仿宋_GBK"/>
          <w:sz w:val="33"/>
          <w:szCs w:val="33"/>
        </w:rPr>
        <w:t>一般行政管理事务（项）反映行政单位（包括实行公务员管理的事业单位）未单独设置项级科目的其他项目支出。</w:t>
      </w:r>
    </w:p>
    <w:p w14:paraId="6CF37085">
      <w:pPr>
        <w:pStyle w:val="6"/>
        <w:ind w:firstLine="660"/>
        <w:rPr>
          <w:rFonts w:eastAsia="方正仿宋_GBK"/>
          <w:sz w:val="33"/>
          <w:szCs w:val="33"/>
        </w:rPr>
      </w:pPr>
      <w:r>
        <w:rPr>
          <w:rFonts w:eastAsia="方正仿宋_GBK"/>
          <w:sz w:val="33"/>
          <w:szCs w:val="33"/>
        </w:rPr>
        <w:t>9.</w:t>
      </w:r>
      <w:r>
        <w:rPr>
          <w:rStyle w:val="18"/>
          <w:rFonts w:eastAsia="方正仿宋_GBK"/>
          <w:b w:val="0"/>
          <w:bCs/>
          <w:color w:val="000000"/>
          <w:sz w:val="33"/>
          <w:szCs w:val="33"/>
        </w:rPr>
        <w:t>一般公共服务（类）群众团体事务（款）</w:t>
      </w:r>
      <w:r>
        <w:rPr>
          <w:rFonts w:eastAsia="方正仿宋_GBK"/>
          <w:sz w:val="33"/>
          <w:szCs w:val="33"/>
        </w:rPr>
        <w:t>其他群众团体事务支出（项）反映上述项目以外其他用于群众团体事务方面的支出。</w:t>
      </w:r>
    </w:p>
    <w:p w14:paraId="1CF3662C">
      <w:pPr>
        <w:pStyle w:val="6"/>
        <w:ind w:firstLine="660"/>
        <w:rPr>
          <w:rFonts w:eastAsia="方正仿宋_GBK"/>
          <w:sz w:val="33"/>
          <w:szCs w:val="33"/>
        </w:rPr>
      </w:pPr>
      <w:r>
        <w:rPr>
          <w:rFonts w:eastAsia="方正仿宋_GBK"/>
          <w:sz w:val="33"/>
          <w:szCs w:val="33"/>
        </w:rPr>
        <w:t>10.</w:t>
      </w:r>
      <w:r>
        <w:rPr>
          <w:rStyle w:val="18"/>
          <w:rFonts w:eastAsia="方正仿宋_GBK"/>
          <w:b w:val="0"/>
          <w:bCs/>
          <w:color w:val="000000"/>
          <w:sz w:val="33"/>
          <w:szCs w:val="33"/>
        </w:rPr>
        <w:t>一般公共服务（类）统战事务（款）</w:t>
      </w:r>
      <w:r>
        <w:rPr>
          <w:rFonts w:eastAsia="方正仿宋_GBK"/>
          <w:sz w:val="33"/>
          <w:szCs w:val="33"/>
        </w:rPr>
        <w:t>其他统战事务支出（项）反映上述项目以外其他用于中国共产党统战部门的事务支出。</w:t>
      </w:r>
    </w:p>
    <w:p w14:paraId="205FFCE9">
      <w:pPr>
        <w:ind w:firstLine="660" w:firstLineChars="200"/>
        <w:rPr>
          <w:rFonts w:eastAsia="方正仿宋_GBK"/>
          <w:sz w:val="33"/>
          <w:szCs w:val="33"/>
        </w:rPr>
      </w:pPr>
      <w:r>
        <w:rPr>
          <w:rFonts w:eastAsia="方正仿宋_GBK"/>
          <w:sz w:val="33"/>
          <w:szCs w:val="33"/>
        </w:rPr>
        <w:t>11.社会保障和就业支出（类）行政事业单位离退休（款）未归口管理的行政单位离退休（项）：反映未实行归口管理的行政单位（包括实行公务员管理的事业单位）开支的离退休支出。</w:t>
      </w:r>
    </w:p>
    <w:p w14:paraId="29E1E0A1">
      <w:pPr>
        <w:ind w:firstLine="660" w:firstLineChars="200"/>
        <w:rPr>
          <w:rFonts w:eastAsia="方正仿宋_GBK"/>
          <w:sz w:val="33"/>
          <w:szCs w:val="33"/>
        </w:rPr>
      </w:pPr>
      <w:r>
        <w:rPr>
          <w:rFonts w:eastAsia="方正仿宋_GBK"/>
          <w:sz w:val="33"/>
          <w:szCs w:val="33"/>
        </w:rPr>
        <w:t>12.社会保障和就业支出（类）抚恤（款）死亡抚恤（项）：反映按规定用于烈士和牺牲、病故人员家属的一次性和定期抚恤金以及丧葬补助费。</w:t>
      </w:r>
    </w:p>
    <w:p w14:paraId="17F1F4A6">
      <w:pPr>
        <w:ind w:firstLine="660" w:firstLineChars="200"/>
        <w:rPr>
          <w:rFonts w:eastAsia="方正仿宋_GBK"/>
          <w:sz w:val="33"/>
          <w:szCs w:val="33"/>
        </w:rPr>
      </w:pPr>
      <w:r>
        <w:rPr>
          <w:rFonts w:eastAsia="方正仿宋_GBK"/>
          <w:sz w:val="33"/>
          <w:szCs w:val="33"/>
        </w:rPr>
        <w:t>13.社会保障和就业支出（类）行政事业单位离退休（款）机关事业单位基本养老保险缴费支出（项）：反映机关事业单位实施养老保险制度由单位缴纳的基本养老保险费支出。</w:t>
      </w:r>
    </w:p>
    <w:p w14:paraId="1E1A62E9">
      <w:pPr>
        <w:ind w:firstLine="660" w:firstLineChars="200"/>
        <w:rPr>
          <w:rFonts w:eastAsia="方正仿宋_GBK"/>
          <w:sz w:val="33"/>
          <w:szCs w:val="33"/>
        </w:rPr>
      </w:pPr>
      <w:r>
        <w:rPr>
          <w:rFonts w:eastAsia="方正仿宋_GBK"/>
          <w:sz w:val="33"/>
          <w:szCs w:val="33"/>
        </w:rPr>
        <w:t>14.社会保障和就业支出（类）行政事业单位离退休（款）机关事业单位职业年金缴费支出（项）：反映机关事业单位实施养老保险制度由单位实际缴纳的职业年金支出。</w:t>
      </w:r>
    </w:p>
    <w:p w14:paraId="51C675B0">
      <w:pPr>
        <w:ind w:firstLine="660" w:firstLineChars="200"/>
        <w:rPr>
          <w:rFonts w:eastAsia="方正仿宋_GBK"/>
          <w:sz w:val="33"/>
          <w:szCs w:val="33"/>
        </w:rPr>
      </w:pPr>
      <w:r>
        <w:rPr>
          <w:rFonts w:eastAsia="方正仿宋_GBK"/>
          <w:sz w:val="33"/>
          <w:szCs w:val="33"/>
        </w:rPr>
        <w:t>15.住房保障支出（类）住房改革支出（款）住房公积金（项）：反映行政事业单位按人力资源和社会保障部、财政部规定的基本工资和津贴补贴以及规定比例为职工缴纳的住房公积金。</w:t>
      </w:r>
    </w:p>
    <w:p w14:paraId="340AF409">
      <w:pPr>
        <w:ind w:firstLine="660" w:firstLineChars="200"/>
        <w:rPr>
          <w:rFonts w:eastAsia="方正仿宋_GBK"/>
          <w:color w:val="000000"/>
          <w:sz w:val="33"/>
          <w:szCs w:val="33"/>
        </w:rPr>
      </w:pPr>
      <w:r>
        <w:rPr>
          <w:rFonts w:eastAsia="方正仿宋_GBK"/>
          <w:color w:val="000000"/>
          <w:sz w:val="33"/>
          <w:szCs w:val="33"/>
        </w:rPr>
        <w:t>16.基本支出：指为保障机构正常运转、完成日常工作任务而发生的人员支出和公用支出。</w:t>
      </w:r>
    </w:p>
    <w:p w14:paraId="3CD4FC74">
      <w:pPr>
        <w:ind w:firstLine="660" w:firstLineChars="200"/>
        <w:rPr>
          <w:rFonts w:eastAsia="方正仿宋_GBK"/>
          <w:color w:val="000000"/>
          <w:sz w:val="33"/>
          <w:szCs w:val="33"/>
        </w:rPr>
      </w:pPr>
      <w:r>
        <w:rPr>
          <w:rFonts w:eastAsia="方正仿宋_GBK"/>
          <w:color w:val="000000"/>
          <w:sz w:val="33"/>
          <w:szCs w:val="33"/>
        </w:rPr>
        <w:t>17.项目支出：指在基本支出之外为完成特定行政任务和事业发展目标所发生的支出。</w:t>
      </w:r>
    </w:p>
    <w:p w14:paraId="0930C1D6">
      <w:pPr>
        <w:ind w:firstLine="660" w:firstLineChars="200"/>
        <w:rPr>
          <w:rFonts w:eastAsia="方正仿宋_GBK"/>
          <w:color w:val="000000"/>
          <w:sz w:val="33"/>
          <w:szCs w:val="33"/>
        </w:rPr>
      </w:pPr>
      <w:r>
        <w:rPr>
          <w:rFonts w:eastAsia="方正仿宋_GBK"/>
          <w:color w:val="000000"/>
          <w:sz w:val="33"/>
          <w:szCs w:val="33"/>
        </w:rPr>
        <w:t>18.经营支出：指事业单位在专业业务活动及其辅助活动之外开展非独立核算经营活动发生的支出。</w:t>
      </w:r>
    </w:p>
    <w:p w14:paraId="261B2EE2">
      <w:pPr>
        <w:pStyle w:val="26"/>
        <w:ind w:firstLine="660" w:firstLineChars="200"/>
        <w:rPr>
          <w:rFonts w:ascii="Times New Roman" w:hAnsi="Times New Roman" w:eastAsia="方正仿宋_GBK" w:cs="Times New Roman"/>
          <w:sz w:val="33"/>
          <w:szCs w:val="33"/>
        </w:rPr>
      </w:pPr>
      <w:r>
        <w:rPr>
          <w:rFonts w:ascii="Times New Roman" w:hAnsi="Times New Roman" w:eastAsia="方正仿宋_GBK" w:cs="Times New Roman"/>
          <w:sz w:val="33"/>
          <w:szCs w:val="33"/>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Times New Roman" w:hAnsi="Times New Roman" w:eastAsia="方正仿宋_GBK" w:cs="Times New Roman"/>
          <w:sz w:val="33"/>
          <w:szCs w:val="33"/>
        </w:rPr>
        <w:t>、牌照费</w:t>
      </w:r>
      <w:r>
        <w:rPr>
          <w:rFonts w:ascii="Times New Roman" w:hAnsi="Times New Roman" w:eastAsia="方正仿宋_GBK" w:cs="Times New Roman"/>
          <w:sz w:val="33"/>
          <w:szCs w:val="33"/>
        </w:rPr>
        <w:t>）及燃料费、维修费、过路过桥费、保险费</w:t>
      </w:r>
      <w:r>
        <w:rPr>
          <w:rFonts w:hint="eastAsia" w:ascii="Times New Roman" w:hAnsi="Times New Roman" w:eastAsia="方正仿宋_GBK" w:cs="Times New Roman"/>
          <w:sz w:val="33"/>
          <w:szCs w:val="33"/>
        </w:rPr>
        <w:t>、安全奖励费用</w:t>
      </w:r>
      <w:r>
        <w:rPr>
          <w:rFonts w:ascii="Times New Roman" w:hAnsi="Times New Roman" w:eastAsia="方正仿宋_GBK" w:cs="Times New Roman"/>
          <w:sz w:val="33"/>
          <w:szCs w:val="33"/>
        </w:rPr>
        <w:t>等支出；公务接待费反映单位按规定开支的各类公务接待（含外宾接待）支出。</w:t>
      </w:r>
    </w:p>
    <w:p w14:paraId="5153D19E">
      <w:pPr>
        <w:pStyle w:val="26"/>
        <w:ind w:firstLine="660" w:firstLineChars="200"/>
        <w:rPr>
          <w:rFonts w:ascii="Times New Roman" w:hAnsi="Times New Roman" w:eastAsia="方正仿宋_GBK" w:cs="Times New Roman"/>
          <w:sz w:val="33"/>
          <w:szCs w:val="33"/>
        </w:rPr>
      </w:pPr>
      <w:r>
        <w:rPr>
          <w:rFonts w:ascii="Times New Roman" w:hAnsi="Times New Roman" w:eastAsia="方正仿宋_GBK" w:cs="Times New Roman"/>
          <w:sz w:val="33"/>
          <w:szCs w:val="33"/>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735ED4">
      <w:pPr>
        <w:pStyle w:val="26"/>
        <w:ind w:firstLine="660" w:firstLineChars="200"/>
        <w:rPr>
          <w:rFonts w:ascii="Times New Roman" w:hAnsi="Times New Roman" w:eastAsia="方正仿宋_GBK" w:cs="Times New Roman"/>
          <w:color w:val="auto"/>
          <w:sz w:val="33"/>
          <w:szCs w:val="33"/>
        </w:rPr>
      </w:pPr>
    </w:p>
    <w:p w14:paraId="71CC7F89">
      <w:pPr>
        <w:jc w:val="center"/>
        <w:outlineLvl w:val="0"/>
        <w:rPr>
          <w:rStyle w:val="35"/>
          <w:rFonts w:ascii="方正小标宋_GBK" w:hAnsi="方正小标宋_GBK" w:eastAsia="方正小标宋_GBK" w:cs="方正小标宋_GBK"/>
          <w:sz w:val="38"/>
          <w:szCs w:val="38"/>
        </w:rPr>
      </w:pPr>
      <w:bookmarkStart w:id="50" w:name="_Toc15377226"/>
      <w:r>
        <w:rPr>
          <w:b/>
          <w:sz w:val="44"/>
          <w:szCs w:val="44"/>
        </w:rPr>
        <w:br w:type="page"/>
      </w:r>
      <w:bookmarkStart w:id="51" w:name="_Toc15396614"/>
      <w:r>
        <w:rPr>
          <w:rFonts w:hint="eastAsia" w:ascii="方正小标宋_GBK" w:hAnsi="方正小标宋_GBK" w:eastAsia="方正小标宋_GBK" w:cs="方正小标宋_GBK"/>
          <w:b/>
          <w:bCs/>
          <w:sz w:val="38"/>
          <w:szCs w:val="38"/>
        </w:rPr>
        <w:t>第</w:t>
      </w:r>
      <w:r>
        <w:rPr>
          <w:rStyle w:val="35"/>
          <w:rFonts w:hint="eastAsia" w:ascii="方正小标宋_GBK" w:hAnsi="方正小标宋_GBK" w:eastAsia="方正小标宋_GBK" w:cs="方正小标宋_GBK"/>
          <w:sz w:val="38"/>
          <w:szCs w:val="38"/>
        </w:rPr>
        <w:t>四部分 附  件</w:t>
      </w:r>
      <w:bookmarkEnd w:id="51"/>
    </w:p>
    <w:p w14:paraId="4A525522">
      <w:pPr>
        <w:jc w:val="left"/>
        <w:outlineLvl w:val="0"/>
        <w:rPr>
          <w:rFonts w:eastAsia="黑体"/>
          <w:sz w:val="32"/>
          <w:szCs w:val="32"/>
        </w:rPr>
      </w:pPr>
    </w:p>
    <w:p w14:paraId="718BBDB7">
      <w:pPr>
        <w:jc w:val="left"/>
        <w:outlineLvl w:val="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附件1</w:t>
      </w:r>
    </w:p>
    <w:p w14:paraId="21F4C801">
      <w:pPr>
        <w:spacing w:line="0" w:lineRule="atLeast"/>
        <w:jc w:val="center"/>
        <w:rPr>
          <w:rFonts w:ascii="方正小标宋_GBK" w:hAnsi="方正小标宋_GBK" w:eastAsia="方正小标宋_GBK" w:cs="方正小标宋_GBK"/>
          <w:kern w:val="0"/>
          <w:sz w:val="38"/>
          <w:szCs w:val="38"/>
        </w:rPr>
      </w:pPr>
    </w:p>
    <w:p w14:paraId="7B2A94CC">
      <w:pPr>
        <w:spacing w:line="0" w:lineRule="atLeast"/>
        <w:jc w:val="center"/>
        <w:rPr>
          <w:rFonts w:ascii="方正小标宋_GBK" w:hAnsi="方正小标宋_GBK" w:eastAsia="方正小标宋_GBK" w:cs="方正小标宋_GBK"/>
          <w:kern w:val="0"/>
          <w:sz w:val="38"/>
          <w:szCs w:val="38"/>
          <w:lang w:val="zh-CN"/>
        </w:rPr>
      </w:pPr>
      <w:r>
        <w:rPr>
          <w:rFonts w:hint="eastAsia" w:ascii="方正小标宋_GBK" w:hAnsi="方正小标宋_GBK" w:eastAsia="方正小标宋_GBK" w:cs="方正小标宋_GBK"/>
          <w:kern w:val="0"/>
          <w:sz w:val="38"/>
          <w:szCs w:val="38"/>
        </w:rPr>
        <w:t>2022年中共盐边县委办部门整体绩效评价报告</w:t>
      </w:r>
    </w:p>
    <w:p w14:paraId="15856C14">
      <w:pPr>
        <w:widowControl/>
        <w:adjustRightInd w:val="0"/>
        <w:snapToGrid w:val="0"/>
        <w:ind w:firstLine="660" w:firstLineChars="200"/>
        <w:contextualSpacing/>
        <w:jc w:val="left"/>
        <w:rPr>
          <w:rFonts w:eastAsia="方正仿宋_GBK"/>
          <w:sz w:val="33"/>
          <w:szCs w:val="33"/>
          <w:shd w:val="clear" w:color="auto" w:fill="FFFFFF"/>
        </w:rPr>
      </w:pPr>
      <w:r>
        <w:rPr>
          <w:rFonts w:hint="eastAsia" w:eastAsia="方正仿宋_GBK"/>
          <w:sz w:val="33"/>
          <w:szCs w:val="33"/>
          <w:shd w:val="clear" w:color="auto" w:fill="FFFFFF"/>
        </w:rPr>
        <w:t xml:space="preserve"> </w:t>
      </w:r>
    </w:p>
    <w:p w14:paraId="3021CE5D">
      <w:pPr>
        <w:pStyle w:val="2"/>
        <w:spacing w:before="93"/>
      </w:pPr>
    </w:p>
    <w:p w14:paraId="468553F3">
      <w:pPr>
        <w:widowControl/>
        <w:numPr>
          <w:ilvl w:val="0"/>
          <w:numId w:val="2"/>
        </w:numPr>
        <w:adjustRightInd w:val="0"/>
        <w:snapToGrid w:val="0"/>
        <w:contextualSpacing/>
        <w:jc w:val="left"/>
        <w:rPr>
          <w:rFonts w:ascii="方正黑体_GBK" w:hAnsi="方正黑体_GBK" w:eastAsia="方正黑体_GBK" w:cs="方正黑体_GBK"/>
          <w:kern w:val="0"/>
          <w:sz w:val="33"/>
          <w:szCs w:val="33"/>
          <w:shd w:val="clear" w:color="auto" w:fill="FFFFFF"/>
        </w:rPr>
      </w:pPr>
      <w:r>
        <w:rPr>
          <w:rFonts w:hint="eastAsia" w:ascii="方正黑体_GBK" w:hAnsi="方正黑体_GBK" w:eastAsia="方正黑体_GBK" w:cs="方正黑体_GBK"/>
          <w:kern w:val="0"/>
          <w:sz w:val="33"/>
          <w:szCs w:val="33"/>
          <w:shd w:val="clear" w:color="auto" w:fill="FFFFFF"/>
          <w:lang w:val="zh-CN"/>
        </w:rPr>
        <w:t>部门（单位）</w:t>
      </w:r>
      <w:r>
        <w:rPr>
          <w:rFonts w:hint="eastAsia" w:ascii="方正黑体_GBK" w:hAnsi="方正黑体_GBK" w:eastAsia="方正黑体_GBK" w:cs="方正黑体_GBK"/>
          <w:kern w:val="0"/>
          <w:sz w:val="33"/>
          <w:szCs w:val="33"/>
          <w:shd w:val="clear" w:color="auto" w:fill="FFFFFF"/>
        </w:rPr>
        <w:t>基本情况</w:t>
      </w:r>
    </w:p>
    <w:p w14:paraId="30A04CB3">
      <w:pPr>
        <w:widowControl/>
        <w:adjustRightInd w:val="0"/>
        <w:snapToGrid w:val="0"/>
        <w:contextualSpacing/>
        <w:jc w:val="left"/>
        <w:rPr>
          <w:rFonts w:ascii="方正楷体_GBK" w:hAnsi="方正楷体_GBK" w:eastAsia="方正楷体_GBK" w:cs="方正楷体_GBK"/>
          <w:b/>
          <w:bCs/>
          <w:kern w:val="0"/>
          <w:sz w:val="33"/>
          <w:szCs w:val="33"/>
          <w:shd w:val="clear" w:color="auto" w:fill="FFFFFF"/>
          <w:lang w:val="zh-CN"/>
        </w:rPr>
      </w:pPr>
      <w:r>
        <w:rPr>
          <w:rFonts w:hint="eastAsia" w:ascii="方正楷体_GBK" w:hAnsi="方正楷体_GBK" w:eastAsia="方正楷体_GBK" w:cs="方正楷体_GBK"/>
          <w:b/>
          <w:bCs/>
          <w:kern w:val="0"/>
          <w:sz w:val="33"/>
          <w:szCs w:val="33"/>
          <w:shd w:val="clear" w:color="auto" w:fill="FFFFFF"/>
          <w:lang w:val="zh-CN"/>
        </w:rPr>
        <w:t>（一）机构组成。</w:t>
      </w:r>
    </w:p>
    <w:p w14:paraId="421AE56B">
      <w:pPr>
        <w:ind w:firstLine="660" w:firstLineChars="200"/>
        <w:jc w:val="left"/>
        <w:rPr>
          <w:rFonts w:ascii="Times New Roman" w:eastAsia="方正仿宋_GBK"/>
          <w:sz w:val="33"/>
          <w:szCs w:val="33"/>
          <w:lang w:val="zh-CN"/>
        </w:rPr>
      </w:pPr>
      <w:r>
        <w:rPr>
          <w:rFonts w:eastAsia="方正仿宋_GBK"/>
          <w:sz w:val="33"/>
          <w:szCs w:val="33"/>
        </w:rPr>
        <w:t>盐边县委办公室下属独立核算单位</w:t>
      </w:r>
      <w:r>
        <w:rPr>
          <w:rFonts w:hint="eastAsia" w:eastAsia="方正仿宋_GBK"/>
          <w:sz w:val="33"/>
          <w:szCs w:val="33"/>
          <w:lang w:val="en-US" w:eastAsia="zh-CN"/>
        </w:rPr>
        <w:t>1</w:t>
      </w:r>
      <w:r>
        <w:rPr>
          <w:rFonts w:eastAsia="方正仿宋_GBK"/>
          <w:sz w:val="33"/>
          <w:szCs w:val="33"/>
        </w:rPr>
        <w:t>个，</w:t>
      </w:r>
      <w:r>
        <w:rPr>
          <w:rFonts w:hint="eastAsia" w:eastAsia="方正仿宋_GBK"/>
          <w:sz w:val="33"/>
          <w:szCs w:val="33"/>
          <w:lang w:val="en-US" w:eastAsia="zh-CN"/>
        </w:rPr>
        <w:t>青少年校外活动中心，其中县委办</w:t>
      </w:r>
      <w:r>
        <w:rPr>
          <w:rFonts w:ascii="Times New Roman" w:eastAsia="方正仿宋_GBK"/>
          <w:sz w:val="33"/>
          <w:szCs w:val="33"/>
        </w:rPr>
        <w:t>财务核算和管理包括</w:t>
      </w:r>
      <w:r>
        <w:rPr>
          <w:rFonts w:hint="eastAsia" w:ascii="Times New Roman" w:eastAsia="方正仿宋_GBK"/>
          <w:sz w:val="33"/>
          <w:szCs w:val="33"/>
        </w:rPr>
        <w:t>：</w:t>
      </w:r>
      <w:r>
        <w:rPr>
          <w:rFonts w:ascii="Times New Roman" w:eastAsia="方正仿宋_GBK"/>
          <w:color w:val="000000"/>
          <w:sz w:val="33"/>
          <w:szCs w:val="33"/>
          <w:shd w:val="clear" w:color="auto" w:fill="FFFFFF"/>
        </w:rPr>
        <w:t>盐边县委办公室、盐边县史志办、盐边县目标督查办、盐边县工商联、盐边县团委、盐边县妇联等六个一级部门机构。县委办内设机构9个</w:t>
      </w:r>
      <w:r>
        <w:rPr>
          <w:rFonts w:hint="eastAsia" w:ascii="Times New Roman" w:eastAsia="方正仿宋_GBK"/>
          <w:color w:val="000000"/>
          <w:sz w:val="33"/>
          <w:szCs w:val="33"/>
          <w:shd w:val="clear" w:color="auto" w:fill="FFFFFF"/>
        </w:rPr>
        <w:t>，</w:t>
      </w:r>
      <w:r>
        <w:rPr>
          <w:rFonts w:ascii="Times New Roman" w:eastAsia="方正仿宋_GBK"/>
          <w:color w:val="000000"/>
          <w:sz w:val="33"/>
          <w:szCs w:val="33"/>
          <w:shd w:val="clear" w:color="auto" w:fill="FFFFFF"/>
        </w:rPr>
        <w:t>为综合股、机要股、信息股、后勤股和秘书法规股等。</w:t>
      </w:r>
    </w:p>
    <w:p w14:paraId="600D9E0F">
      <w:pPr>
        <w:widowControl/>
        <w:adjustRightInd w:val="0"/>
        <w:snapToGrid w:val="0"/>
        <w:contextualSpacing/>
        <w:jc w:val="left"/>
        <w:rPr>
          <w:rFonts w:ascii="方正楷体_GBK" w:hAnsi="方正楷体_GBK" w:eastAsia="方正楷体_GBK" w:cs="方正楷体_GBK"/>
          <w:b/>
          <w:bCs/>
          <w:kern w:val="0"/>
          <w:sz w:val="33"/>
          <w:szCs w:val="33"/>
          <w:shd w:val="clear" w:color="auto" w:fill="FFFFFF"/>
        </w:rPr>
      </w:pPr>
      <w:r>
        <w:rPr>
          <w:rFonts w:hint="eastAsia" w:ascii="方正楷体_GBK" w:hAnsi="方正楷体_GBK" w:eastAsia="方正楷体_GBK" w:cs="方正楷体_GBK"/>
          <w:b/>
          <w:bCs/>
          <w:kern w:val="0"/>
          <w:sz w:val="33"/>
          <w:szCs w:val="33"/>
          <w:shd w:val="clear" w:color="auto" w:fill="FFFFFF"/>
          <w:lang w:val="zh-CN"/>
        </w:rPr>
        <w:t>（二）</w:t>
      </w:r>
      <w:r>
        <w:rPr>
          <w:rFonts w:ascii="方正楷体_GBK" w:hAnsi="方正楷体_GBK" w:eastAsia="方正楷体_GBK" w:cs="方正楷体_GBK"/>
          <w:b/>
          <w:bCs/>
          <w:kern w:val="0"/>
          <w:sz w:val="33"/>
          <w:szCs w:val="33"/>
          <w:shd w:val="clear" w:color="auto" w:fill="FFFFFF"/>
          <w:lang w:val="zh-CN"/>
        </w:rPr>
        <w:t>机构职能</w:t>
      </w:r>
      <w:r>
        <w:rPr>
          <w:rFonts w:hint="eastAsia" w:ascii="方正楷体_GBK" w:hAnsi="方正楷体_GBK" w:eastAsia="方正楷体_GBK" w:cs="方正楷体_GBK"/>
          <w:b/>
          <w:bCs/>
          <w:kern w:val="0"/>
          <w:sz w:val="33"/>
          <w:szCs w:val="33"/>
          <w:shd w:val="clear" w:color="auto" w:fill="FFFFFF"/>
        </w:rPr>
        <w:t>和人员概况。</w:t>
      </w:r>
    </w:p>
    <w:p w14:paraId="556200B6">
      <w:pPr>
        <w:ind w:firstLine="660" w:firstLineChars="200"/>
        <w:jc w:val="left"/>
        <w:rPr>
          <w:rFonts w:eastAsia="方正仿宋_GBK"/>
          <w:sz w:val="33"/>
          <w:szCs w:val="33"/>
        </w:rPr>
      </w:pPr>
      <w:r>
        <w:rPr>
          <w:rFonts w:eastAsia="方正仿宋_GBK"/>
          <w:sz w:val="33"/>
          <w:szCs w:val="33"/>
        </w:rPr>
        <w:t>1.围绕县委的中心工作，对涉及全县经济建设、深化改革、依法治县、社会稳定、党的建设等全局性重大问题和实践中出现的新情况、新问题开展调查研究，向县委提供具有参考价值的情况、信息和建议，为县委决策服务。</w:t>
      </w:r>
    </w:p>
    <w:p w14:paraId="5DFAB5EA">
      <w:pPr>
        <w:ind w:firstLine="660" w:firstLineChars="200"/>
        <w:jc w:val="left"/>
        <w:rPr>
          <w:rFonts w:eastAsia="方正仿宋_GBK"/>
          <w:sz w:val="33"/>
          <w:szCs w:val="33"/>
        </w:rPr>
      </w:pPr>
      <w:r>
        <w:rPr>
          <w:rFonts w:eastAsia="方正仿宋_GBK"/>
          <w:sz w:val="33"/>
          <w:szCs w:val="33"/>
        </w:rPr>
        <w:t>2.对党的路线方针政策和省委、市委、县委的重要决策、重大部署以及领导同志的重要批示、批件贯彻落实情况进行督促检查；</w:t>
      </w:r>
    </w:p>
    <w:p w14:paraId="32725BCD">
      <w:pPr>
        <w:ind w:firstLine="660" w:firstLineChars="200"/>
        <w:jc w:val="left"/>
        <w:rPr>
          <w:rFonts w:eastAsia="方正仿宋_GBK"/>
          <w:sz w:val="33"/>
          <w:szCs w:val="33"/>
        </w:rPr>
      </w:pPr>
      <w:r>
        <w:rPr>
          <w:rFonts w:eastAsia="方正仿宋_GBK"/>
          <w:sz w:val="33"/>
          <w:szCs w:val="33"/>
        </w:rPr>
        <w:t>3.负责起草、复核以县委、县委办公室名义发布的文件和各种会议材料，处理县委往来文件、电报、信函，承办各乡镇、各部门向县委的请示报告，做好文件和材料的印制、分发、清退、归档工作；</w:t>
      </w:r>
    </w:p>
    <w:p w14:paraId="3BFD11A8">
      <w:pPr>
        <w:ind w:firstLine="660" w:firstLineChars="200"/>
        <w:jc w:val="left"/>
        <w:rPr>
          <w:rFonts w:eastAsia="方正仿宋_GBK"/>
          <w:sz w:val="33"/>
          <w:szCs w:val="33"/>
        </w:rPr>
      </w:pPr>
      <w:r>
        <w:rPr>
          <w:rFonts w:eastAsia="方正仿宋_GBK"/>
          <w:sz w:val="33"/>
          <w:szCs w:val="33"/>
        </w:rPr>
        <w:t>4.负责县委召开的各种会议的筹备、组织和会务工作，做好县委领导参加的各种会议的督促落实工作，协助县委领导组织实施会议决定事项；</w:t>
      </w:r>
    </w:p>
    <w:p w14:paraId="427070C5">
      <w:pPr>
        <w:ind w:firstLine="660" w:firstLineChars="200"/>
        <w:jc w:val="left"/>
        <w:rPr>
          <w:rFonts w:eastAsia="方正仿宋_GBK"/>
          <w:sz w:val="33"/>
          <w:szCs w:val="33"/>
        </w:rPr>
      </w:pPr>
      <w:r>
        <w:rPr>
          <w:rFonts w:eastAsia="方正仿宋_GBK"/>
          <w:sz w:val="33"/>
          <w:szCs w:val="33"/>
        </w:rPr>
        <w:t>5.认真做好会议、县委领导活动、公文处理和其他重要事项等综合协调工作，围绕县委处置突发性事件搞好服务，保证县委各项工作的顺利进行；</w:t>
      </w:r>
    </w:p>
    <w:p w14:paraId="744B7C7A">
      <w:pPr>
        <w:ind w:firstLine="660" w:firstLineChars="200"/>
        <w:jc w:val="left"/>
        <w:rPr>
          <w:rFonts w:eastAsia="方正仿宋_GBK"/>
          <w:sz w:val="33"/>
          <w:szCs w:val="33"/>
        </w:rPr>
      </w:pPr>
      <w:r>
        <w:rPr>
          <w:rFonts w:eastAsia="方正仿宋_GBK"/>
          <w:sz w:val="33"/>
          <w:szCs w:val="33"/>
        </w:rPr>
        <w:t>6.及时、准确、全面地向县委及上级党委办公室报送信息，反映工作动态；</w:t>
      </w:r>
    </w:p>
    <w:p w14:paraId="0980E448">
      <w:pPr>
        <w:ind w:firstLine="660" w:firstLineChars="200"/>
        <w:jc w:val="left"/>
        <w:rPr>
          <w:rFonts w:eastAsia="方正仿宋_GBK"/>
          <w:sz w:val="33"/>
          <w:szCs w:val="33"/>
        </w:rPr>
      </w:pPr>
      <w:r>
        <w:rPr>
          <w:rFonts w:eastAsia="方正仿宋_GBK"/>
          <w:sz w:val="33"/>
          <w:szCs w:val="33"/>
        </w:rPr>
        <w:t>7.负责全县党政系统的密码通信和密码管理工作，承担县密码领导小组办公室工作；</w:t>
      </w:r>
    </w:p>
    <w:p w14:paraId="0531A6E3">
      <w:pPr>
        <w:ind w:firstLine="660" w:firstLineChars="200"/>
        <w:jc w:val="left"/>
        <w:rPr>
          <w:rFonts w:eastAsia="方正仿宋_GBK"/>
          <w:sz w:val="33"/>
          <w:szCs w:val="33"/>
        </w:rPr>
      </w:pPr>
      <w:r>
        <w:rPr>
          <w:rFonts w:eastAsia="方正仿宋_GBK"/>
          <w:sz w:val="33"/>
          <w:szCs w:val="33"/>
        </w:rPr>
        <w:t>8.负责人民群众来信来访工作，协调处理有关信访事项，提出有关解决信访事项的意见和建议；</w:t>
      </w:r>
    </w:p>
    <w:p w14:paraId="1B8A1AFF">
      <w:pPr>
        <w:ind w:firstLine="660" w:firstLineChars="200"/>
        <w:jc w:val="left"/>
        <w:rPr>
          <w:rFonts w:eastAsia="方正仿宋_GBK"/>
          <w:sz w:val="33"/>
          <w:szCs w:val="33"/>
        </w:rPr>
      </w:pPr>
      <w:r>
        <w:rPr>
          <w:rFonts w:eastAsia="方正仿宋_GBK"/>
          <w:sz w:val="33"/>
          <w:szCs w:val="33"/>
        </w:rPr>
        <w:t>9.负责全县保密工作的规划、宣传教育、指导协调、监督管理和泄密事件查处工作，管理县委保密委员会办公室</w:t>
      </w:r>
      <w:r>
        <w:rPr>
          <w:rFonts w:hint="eastAsia" w:eastAsia="方正仿宋_GBK"/>
          <w:sz w:val="33"/>
          <w:szCs w:val="33"/>
        </w:rPr>
        <w:t>；</w:t>
      </w:r>
    </w:p>
    <w:p w14:paraId="4A412C63">
      <w:pPr>
        <w:ind w:firstLine="660" w:firstLineChars="200"/>
        <w:jc w:val="left"/>
        <w:rPr>
          <w:rFonts w:eastAsia="方正仿宋_GBK"/>
          <w:sz w:val="33"/>
          <w:szCs w:val="33"/>
        </w:rPr>
      </w:pPr>
      <w:r>
        <w:rPr>
          <w:rFonts w:eastAsia="方正仿宋_GBK"/>
          <w:sz w:val="33"/>
          <w:szCs w:val="33"/>
        </w:rPr>
        <w:t>10.负责县委机关行政后勤事务、财产管理、绿化美化、环境卫生、安全保卫工作，组织协调省、市重要来客的接待服务工作；</w:t>
      </w:r>
    </w:p>
    <w:p w14:paraId="0A7EEB59">
      <w:pPr>
        <w:ind w:firstLine="660" w:firstLineChars="200"/>
        <w:rPr>
          <w:rFonts w:eastAsia="方正仿宋_GBK"/>
          <w:sz w:val="33"/>
          <w:szCs w:val="33"/>
        </w:rPr>
      </w:pPr>
      <w:r>
        <w:rPr>
          <w:rFonts w:eastAsia="方正仿宋_GBK"/>
          <w:sz w:val="33"/>
          <w:szCs w:val="33"/>
        </w:rPr>
        <w:t>11.对各乡镇党委办公室、县委各部门办公室进行业务指导；</w:t>
      </w:r>
    </w:p>
    <w:p w14:paraId="262D3365">
      <w:pPr>
        <w:ind w:firstLine="660" w:firstLineChars="200"/>
        <w:rPr>
          <w:rFonts w:eastAsia="方正仿宋_GBK"/>
          <w:sz w:val="33"/>
          <w:szCs w:val="33"/>
        </w:rPr>
      </w:pPr>
      <w:r>
        <w:rPr>
          <w:rFonts w:eastAsia="方正仿宋_GBK"/>
          <w:sz w:val="33"/>
          <w:szCs w:val="33"/>
        </w:rPr>
        <w:t>12.办理县委领导交办的其他工作事项。</w:t>
      </w:r>
    </w:p>
    <w:p w14:paraId="68577D6E">
      <w:pPr>
        <w:ind w:firstLine="660" w:firstLineChars="200"/>
        <w:rPr>
          <w:rFonts w:eastAsia="方正仿宋_GBK"/>
          <w:sz w:val="33"/>
          <w:szCs w:val="33"/>
        </w:rPr>
      </w:pPr>
      <w:r>
        <w:rPr>
          <w:rFonts w:eastAsia="方正仿宋_GBK"/>
          <w:sz w:val="33"/>
          <w:szCs w:val="33"/>
        </w:rPr>
        <w:t>县委办公室及其他7个部门总编制62名；截至</w:t>
      </w:r>
      <w:r>
        <w:rPr>
          <w:rFonts w:hint="eastAsia" w:eastAsia="方正仿宋_GBK"/>
          <w:sz w:val="33"/>
          <w:szCs w:val="33"/>
        </w:rPr>
        <w:t>2022</w:t>
      </w:r>
      <w:r>
        <w:rPr>
          <w:rFonts w:eastAsia="方正仿宋_GBK"/>
          <w:sz w:val="33"/>
          <w:szCs w:val="33"/>
        </w:rPr>
        <w:t>年12月底，实际在职在编人员预算</w:t>
      </w:r>
      <w:r>
        <w:rPr>
          <w:rFonts w:hint="eastAsia" w:eastAsia="方正仿宋_GBK"/>
          <w:sz w:val="33"/>
          <w:szCs w:val="33"/>
        </w:rPr>
        <w:t>54</w:t>
      </w:r>
      <w:r>
        <w:rPr>
          <w:rFonts w:eastAsia="方正仿宋_GBK"/>
          <w:sz w:val="33"/>
          <w:szCs w:val="33"/>
        </w:rPr>
        <w:t xml:space="preserve"> 人其中：行政人员 </w:t>
      </w:r>
      <w:r>
        <w:rPr>
          <w:rFonts w:hint="eastAsia" w:eastAsia="方正仿宋_GBK"/>
          <w:sz w:val="33"/>
          <w:szCs w:val="33"/>
        </w:rPr>
        <w:t>47</w:t>
      </w:r>
      <w:r>
        <w:rPr>
          <w:rFonts w:eastAsia="方正仿宋_GBK"/>
          <w:sz w:val="33"/>
          <w:szCs w:val="33"/>
        </w:rPr>
        <w:t xml:space="preserve"> 人</w:t>
      </w:r>
      <w:r>
        <w:rPr>
          <w:rFonts w:hint="eastAsia" w:eastAsia="方正仿宋_GBK"/>
          <w:sz w:val="33"/>
          <w:szCs w:val="33"/>
        </w:rPr>
        <w:t>（</w:t>
      </w:r>
      <w:r>
        <w:rPr>
          <w:rFonts w:eastAsia="方正仿宋_GBK"/>
          <w:sz w:val="33"/>
          <w:szCs w:val="33"/>
        </w:rPr>
        <w:t>其中机关工勤人员7人</w:t>
      </w:r>
      <w:r>
        <w:rPr>
          <w:rFonts w:hint="eastAsia" w:eastAsia="方正仿宋_GBK"/>
          <w:sz w:val="33"/>
          <w:szCs w:val="33"/>
        </w:rPr>
        <w:t>）</w:t>
      </w:r>
      <w:r>
        <w:rPr>
          <w:rFonts w:eastAsia="方正仿宋_GBK"/>
          <w:sz w:val="33"/>
          <w:szCs w:val="33"/>
        </w:rPr>
        <w:t>，事业人员</w:t>
      </w:r>
      <w:r>
        <w:rPr>
          <w:rFonts w:hint="eastAsia" w:eastAsia="方正仿宋_GBK"/>
          <w:sz w:val="33"/>
          <w:szCs w:val="33"/>
        </w:rPr>
        <w:t>7</w:t>
      </w:r>
      <w:r>
        <w:rPr>
          <w:rFonts w:eastAsia="方正仿宋_GBK"/>
          <w:sz w:val="33"/>
          <w:szCs w:val="33"/>
        </w:rPr>
        <w:t>人。退休人员</w:t>
      </w:r>
      <w:r>
        <w:rPr>
          <w:rFonts w:hint="eastAsia" w:eastAsia="方正仿宋_GBK"/>
          <w:sz w:val="33"/>
          <w:szCs w:val="33"/>
        </w:rPr>
        <w:t>22</w:t>
      </w:r>
      <w:r>
        <w:rPr>
          <w:rFonts w:eastAsia="方正仿宋_GBK"/>
          <w:sz w:val="33"/>
          <w:szCs w:val="33"/>
        </w:rPr>
        <w:t>人。</w:t>
      </w:r>
    </w:p>
    <w:p w14:paraId="123F63F4">
      <w:pPr>
        <w:ind w:firstLine="660" w:firstLineChars="200"/>
        <w:rPr>
          <w:rFonts w:eastAsia="方正仿宋_GBK"/>
          <w:sz w:val="33"/>
          <w:szCs w:val="33"/>
        </w:rPr>
      </w:pPr>
      <w:r>
        <w:rPr>
          <w:rFonts w:eastAsia="方正仿宋_GBK"/>
          <w:sz w:val="33"/>
          <w:szCs w:val="33"/>
        </w:rPr>
        <w:t>盐边县青少年校外活动中心编制人数为6人，</w:t>
      </w:r>
      <w:r>
        <w:rPr>
          <w:rFonts w:hint="eastAsia" w:eastAsia="方正仿宋_GBK"/>
          <w:sz w:val="33"/>
          <w:szCs w:val="33"/>
        </w:rPr>
        <w:t>2022</w:t>
      </w:r>
      <w:r>
        <w:rPr>
          <w:rFonts w:eastAsia="方正仿宋_GBK"/>
          <w:sz w:val="33"/>
          <w:szCs w:val="33"/>
        </w:rPr>
        <w:t>年末单位实有职工人数6人。</w:t>
      </w:r>
    </w:p>
    <w:p w14:paraId="403B7D42">
      <w:pPr>
        <w:widowControl/>
        <w:numPr>
          <w:ilvl w:val="0"/>
          <w:numId w:val="3"/>
        </w:numPr>
        <w:tabs>
          <w:tab w:val="left" w:pos="483"/>
        </w:tabs>
        <w:adjustRightInd w:val="0"/>
        <w:snapToGrid w:val="0"/>
        <w:ind w:firstLine="660" w:firstLineChars="200"/>
        <w:contextualSpacing/>
        <w:jc w:val="left"/>
        <w:rPr>
          <w:rFonts w:ascii="方正黑体_GBK" w:hAnsi="方正黑体_GBK" w:eastAsia="方正黑体_GBK" w:cs="方正黑体_GBK"/>
          <w:kern w:val="0"/>
          <w:sz w:val="33"/>
          <w:szCs w:val="33"/>
          <w:shd w:val="clear" w:color="auto" w:fill="FFFFFF"/>
        </w:rPr>
      </w:pPr>
      <w:r>
        <w:rPr>
          <w:rFonts w:ascii="方正黑体_GBK" w:hAnsi="方正黑体_GBK" w:eastAsia="方正黑体_GBK" w:cs="方正黑体_GBK"/>
          <w:kern w:val="0"/>
          <w:sz w:val="33"/>
          <w:szCs w:val="33"/>
          <w:shd w:val="clear" w:color="auto" w:fill="FFFFFF"/>
        </w:rPr>
        <w:t>部门财政资金收支情况</w:t>
      </w:r>
      <w:r>
        <w:rPr>
          <w:rFonts w:hint="eastAsia" w:ascii="方正黑体_GBK" w:hAnsi="方正黑体_GBK" w:eastAsia="方正黑体_GBK" w:cs="方正黑体_GBK"/>
          <w:kern w:val="0"/>
          <w:sz w:val="33"/>
          <w:szCs w:val="33"/>
          <w:shd w:val="clear" w:color="auto" w:fill="FFFFFF"/>
        </w:rPr>
        <w:t xml:space="preserve">  </w:t>
      </w:r>
    </w:p>
    <w:p w14:paraId="0C473895">
      <w:pPr>
        <w:widowControl/>
        <w:adjustRightInd w:val="0"/>
        <w:snapToGrid w:val="0"/>
        <w:ind w:firstLine="663" w:firstLineChars="200"/>
        <w:contextualSpacing/>
        <w:jc w:val="left"/>
        <w:rPr>
          <w:rFonts w:ascii="方正楷体_GBK" w:hAnsi="方正楷体_GBK" w:eastAsia="方正楷体_GBK" w:cs="方正楷体_GBK"/>
          <w:b/>
          <w:bCs/>
          <w:kern w:val="0"/>
          <w:sz w:val="33"/>
          <w:szCs w:val="33"/>
          <w:shd w:val="clear" w:color="auto" w:fill="FFFFFF"/>
          <w:lang w:val="zh-CN"/>
        </w:rPr>
      </w:pPr>
      <w:r>
        <w:rPr>
          <w:rFonts w:hint="eastAsia" w:ascii="方正楷体_GBK" w:hAnsi="方正楷体_GBK" w:eastAsia="方正楷体_GBK" w:cs="方正楷体_GBK"/>
          <w:b/>
          <w:bCs/>
          <w:kern w:val="0"/>
          <w:sz w:val="33"/>
          <w:szCs w:val="33"/>
          <w:shd w:val="clear" w:color="auto" w:fill="FFFFFF"/>
          <w:lang w:val="zh-CN"/>
        </w:rPr>
        <w:t>（一）部门总体收支情况。</w:t>
      </w:r>
    </w:p>
    <w:p w14:paraId="1689054B">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lang w:val="zh-CN"/>
        </w:rPr>
      </w:pPr>
      <w:r>
        <w:rPr>
          <w:rFonts w:hint="eastAsia" w:ascii="方正仿宋_GBK" w:hAnsi="方正仿宋_GBK" w:eastAsia="方正仿宋_GBK" w:cs="方正仿宋_GBK"/>
          <w:b/>
          <w:bCs/>
          <w:kern w:val="0"/>
          <w:sz w:val="33"/>
          <w:szCs w:val="33"/>
          <w:shd w:val="clear" w:color="auto" w:fill="FFFFFF"/>
        </w:rPr>
        <w:t>1.</w:t>
      </w:r>
      <w:r>
        <w:rPr>
          <w:rFonts w:hint="eastAsia" w:ascii="方正仿宋_GBK" w:hAnsi="方正仿宋_GBK" w:eastAsia="方正仿宋_GBK" w:cs="方正仿宋_GBK"/>
          <w:b/>
          <w:bCs/>
          <w:kern w:val="0"/>
          <w:sz w:val="33"/>
          <w:szCs w:val="33"/>
          <w:shd w:val="clear" w:color="auto" w:fill="FFFFFF"/>
          <w:lang w:val="zh-CN"/>
        </w:rPr>
        <w:t>部门</w:t>
      </w:r>
      <w:r>
        <w:rPr>
          <w:rFonts w:hint="eastAsia" w:ascii="方正仿宋_GBK" w:hAnsi="方正仿宋_GBK" w:eastAsia="方正仿宋_GBK" w:cs="方正仿宋_GBK"/>
          <w:b/>
          <w:bCs/>
          <w:kern w:val="0"/>
          <w:sz w:val="33"/>
          <w:szCs w:val="33"/>
          <w:shd w:val="clear" w:color="auto" w:fill="FFFFFF"/>
        </w:rPr>
        <w:t>总体</w:t>
      </w:r>
      <w:r>
        <w:rPr>
          <w:rFonts w:hint="eastAsia" w:ascii="方正仿宋_GBK" w:hAnsi="方正仿宋_GBK" w:eastAsia="方正仿宋_GBK" w:cs="方正仿宋_GBK"/>
          <w:b/>
          <w:bCs/>
          <w:kern w:val="0"/>
          <w:sz w:val="33"/>
          <w:szCs w:val="33"/>
          <w:shd w:val="clear" w:color="auto" w:fill="FFFFFF"/>
          <w:lang w:val="zh-CN"/>
        </w:rPr>
        <w:t>收入情况</w:t>
      </w:r>
    </w:p>
    <w:p w14:paraId="5668B487">
      <w:pPr>
        <w:ind w:firstLine="660" w:firstLineChars="200"/>
        <w:rPr>
          <w:rFonts w:eastAsia="方正仿宋_GBK"/>
          <w:sz w:val="33"/>
          <w:szCs w:val="33"/>
        </w:rPr>
      </w:pPr>
      <w:r>
        <w:rPr>
          <w:rFonts w:hint="eastAsia" w:eastAsia="方正仿宋_GBK"/>
          <w:sz w:val="33"/>
          <w:szCs w:val="33"/>
        </w:rPr>
        <w:t>2022年部门总体收入1803.62</w:t>
      </w:r>
      <w:r>
        <w:rPr>
          <w:rFonts w:eastAsia="方正仿宋_GBK"/>
          <w:sz w:val="33"/>
          <w:szCs w:val="33"/>
        </w:rPr>
        <w:t>万元，其中：当年财政拨款收入</w:t>
      </w:r>
      <w:r>
        <w:rPr>
          <w:rFonts w:hint="eastAsia" w:eastAsia="方正仿宋_GBK"/>
          <w:sz w:val="33"/>
          <w:szCs w:val="33"/>
        </w:rPr>
        <w:t>1782.95</w:t>
      </w:r>
      <w:r>
        <w:rPr>
          <w:rFonts w:eastAsia="方正仿宋_GBK"/>
          <w:sz w:val="33"/>
          <w:szCs w:val="33"/>
        </w:rPr>
        <w:t>万元</w:t>
      </w:r>
      <w:r>
        <w:rPr>
          <w:rFonts w:hint="eastAsia" w:eastAsia="方正仿宋_GBK"/>
          <w:sz w:val="33"/>
          <w:szCs w:val="33"/>
        </w:rPr>
        <w:t>，</w:t>
      </w:r>
      <w:r>
        <w:rPr>
          <w:rFonts w:eastAsia="方正仿宋_GBK"/>
          <w:sz w:val="33"/>
          <w:szCs w:val="33"/>
        </w:rPr>
        <w:t xml:space="preserve"> </w:t>
      </w:r>
      <w:r>
        <w:rPr>
          <w:rFonts w:hint="eastAsia" w:eastAsia="方正仿宋_GBK"/>
          <w:sz w:val="33"/>
          <w:szCs w:val="33"/>
        </w:rPr>
        <w:t>事业收入20.67万元，</w:t>
      </w:r>
      <w:r>
        <w:rPr>
          <w:rFonts w:eastAsia="方正仿宋_GBK"/>
          <w:sz w:val="33"/>
          <w:szCs w:val="33"/>
        </w:rPr>
        <w:t>年初结转和结余</w:t>
      </w:r>
      <w:r>
        <w:rPr>
          <w:rFonts w:hint="eastAsia" w:eastAsia="方正仿宋_GBK"/>
          <w:sz w:val="33"/>
          <w:szCs w:val="33"/>
        </w:rPr>
        <w:t>0</w:t>
      </w:r>
      <w:r>
        <w:rPr>
          <w:rFonts w:eastAsia="方正仿宋_GBK"/>
          <w:sz w:val="33"/>
          <w:szCs w:val="33"/>
        </w:rPr>
        <w:t>万元</w:t>
      </w:r>
      <w:r>
        <w:rPr>
          <w:rFonts w:hint="eastAsia" w:eastAsia="方正仿宋_GBK"/>
          <w:sz w:val="33"/>
          <w:szCs w:val="33"/>
        </w:rPr>
        <w:t>。</w:t>
      </w:r>
    </w:p>
    <w:p w14:paraId="403B786C">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lang w:val="zh-CN"/>
        </w:rPr>
      </w:pPr>
      <w:r>
        <w:rPr>
          <w:rFonts w:hint="eastAsia" w:ascii="方正仿宋_GBK" w:hAnsi="方正仿宋_GBK" w:eastAsia="方正仿宋_GBK" w:cs="方正仿宋_GBK"/>
          <w:b/>
          <w:bCs/>
          <w:kern w:val="0"/>
          <w:sz w:val="33"/>
          <w:szCs w:val="33"/>
          <w:shd w:val="clear" w:color="auto" w:fill="FFFFFF"/>
        </w:rPr>
        <w:t>2.</w:t>
      </w:r>
      <w:r>
        <w:rPr>
          <w:rFonts w:ascii="方正仿宋_GBK" w:hAnsi="方正仿宋_GBK" w:eastAsia="方正仿宋_GBK" w:cs="方正仿宋_GBK"/>
          <w:b/>
          <w:bCs/>
          <w:kern w:val="0"/>
          <w:sz w:val="33"/>
          <w:szCs w:val="33"/>
          <w:shd w:val="clear" w:color="auto" w:fill="FFFFFF"/>
          <w:lang w:val="zh-CN"/>
        </w:rPr>
        <w:t>部门</w:t>
      </w:r>
      <w:r>
        <w:rPr>
          <w:rFonts w:hint="eastAsia" w:ascii="方正仿宋_GBK" w:hAnsi="方正仿宋_GBK" w:eastAsia="方正仿宋_GBK" w:cs="方正仿宋_GBK"/>
          <w:b/>
          <w:bCs/>
          <w:kern w:val="0"/>
          <w:sz w:val="33"/>
          <w:szCs w:val="33"/>
          <w:shd w:val="clear" w:color="auto" w:fill="FFFFFF"/>
        </w:rPr>
        <w:t>总体</w:t>
      </w:r>
      <w:r>
        <w:rPr>
          <w:rFonts w:ascii="方正仿宋_GBK" w:hAnsi="方正仿宋_GBK" w:eastAsia="方正仿宋_GBK" w:cs="方正仿宋_GBK"/>
          <w:b/>
          <w:bCs/>
          <w:kern w:val="0"/>
          <w:sz w:val="33"/>
          <w:szCs w:val="33"/>
          <w:shd w:val="clear" w:color="auto" w:fill="FFFFFF"/>
          <w:lang w:val="zh-CN"/>
        </w:rPr>
        <w:t>支出情况</w:t>
      </w:r>
    </w:p>
    <w:p w14:paraId="51274615">
      <w:pPr>
        <w:ind w:firstLine="660" w:firstLineChars="200"/>
        <w:rPr>
          <w:rFonts w:eastAsia="方正仿宋_GBK"/>
          <w:sz w:val="33"/>
          <w:szCs w:val="33"/>
        </w:rPr>
      </w:pPr>
      <w:r>
        <w:rPr>
          <w:rFonts w:hint="eastAsia" w:eastAsia="方正仿宋_GBK"/>
          <w:sz w:val="33"/>
          <w:szCs w:val="33"/>
        </w:rPr>
        <w:t>2022</w:t>
      </w:r>
      <w:r>
        <w:rPr>
          <w:rFonts w:eastAsia="方正仿宋_GBK"/>
          <w:sz w:val="33"/>
          <w:szCs w:val="33"/>
        </w:rPr>
        <w:t>年</w:t>
      </w:r>
      <w:r>
        <w:rPr>
          <w:rFonts w:hint="eastAsia" w:eastAsia="方正仿宋_GBK"/>
          <w:sz w:val="33"/>
          <w:szCs w:val="33"/>
        </w:rPr>
        <w:t>部门总体</w:t>
      </w:r>
      <w:r>
        <w:rPr>
          <w:rFonts w:eastAsia="方正仿宋_GBK"/>
          <w:sz w:val="33"/>
          <w:szCs w:val="33"/>
        </w:rPr>
        <w:t>支出</w:t>
      </w:r>
      <w:r>
        <w:rPr>
          <w:rFonts w:hint="eastAsia" w:eastAsia="方正仿宋_GBK"/>
          <w:sz w:val="33"/>
          <w:szCs w:val="33"/>
        </w:rPr>
        <w:t>1803.62</w:t>
      </w:r>
      <w:r>
        <w:rPr>
          <w:rFonts w:eastAsia="方正仿宋_GBK"/>
          <w:sz w:val="33"/>
          <w:szCs w:val="33"/>
        </w:rPr>
        <w:t>万元，其中：一般公共服务支出</w:t>
      </w:r>
      <w:r>
        <w:rPr>
          <w:rFonts w:hint="eastAsia" w:eastAsia="方正仿宋_GBK"/>
          <w:sz w:val="33"/>
          <w:szCs w:val="33"/>
        </w:rPr>
        <w:t>1327.23</w:t>
      </w:r>
      <w:r>
        <w:rPr>
          <w:rFonts w:eastAsia="方正仿宋_GBK"/>
          <w:sz w:val="33"/>
          <w:szCs w:val="33"/>
        </w:rPr>
        <w:t>万元，</w:t>
      </w:r>
      <w:r>
        <w:rPr>
          <w:rFonts w:hint="eastAsia" w:eastAsia="方正仿宋_GBK"/>
          <w:sz w:val="33"/>
          <w:szCs w:val="33"/>
        </w:rPr>
        <w:t>教育支出102.62万元，文化旅游体育与传媒支出14.03万元，</w:t>
      </w:r>
      <w:r>
        <w:rPr>
          <w:rFonts w:eastAsia="方正仿宋_GBK"/>
          <w:sz w:val="33"/>
          <w:szCs w:val="33"/>
        </w:rPr>
        <w:t>社会保障和就业</w:t>
      </w:r>
      <w:r>
        <w:rPr>
          <w:rFonts w:hint="eastAsia" w:eastAsia="方正仿宋_GBK"/>
          <w:sz w:val="33"/>
          <w:szCs w:val="33"/>
        </w:rPr>
        <w:t>165.80</w:t>
      </w:r>
      <w:r>
        <w:rPr>
          <w:rFonts w:eastAsia="方正仿宋_GBK"/>
          <w:sz w:val="33"/>
          <w:szCs w:val="33"/>
        </w:rPr>
        <w:t>万元，卫生健康支出</w:t>
      </w:r>
      <w:r>
        <w:rPr>
          <w:rFonts w:hint="eastAsia" w:eastAsia="方正仿宋_GBK"/>
          <w:sz w:val="33"/>
          <w:szCs w:val="33"/>
        </w:rPr>
        <w:t>88.37</w:t>
      </w:r>
      <w:r>
        <w:rPr>
          <w:rFonts w:eastAsia="方正仿宋_GBK"/>
          <w:sz w:val="33"/>
          <w:szCs w:val="33"/>
        </w:rPr>
        <w:t>万元，住房保障支出</w:t>
      </w:r>
      <w:r>
        <w:rPr>
          <w:rFonts w:hint="eastAsia" w:eastAsia="方正仿宋_GBK"/>
          <w:sz w:val="33"/>
          <w:szCs w:val="33"/>
        </w:rPr>
        <w:t>91.01</w:t>
      </w:r>
      <w:r>
        <w:rPr>
          <w:rFonts w:eastAsia="方正仿宋_GBK"/>
          <w:sz w:val="33"/>
          <w:szCs w:val="33"/>
        </w:rPr>
        <w:t>万元 ，</w:t>
      </w:r>
      <w:r>
        <w:rPr>
          <w:rFonts w:hint="eastAsia" w:eastAsia="方正仿宋_GBK"/>
          <w:sz w:val="33"/>
          <w:szCs w:val="33"/>
        </w:rPr>
        <w:t>其</w:t>
      </w:r>
      <w:r>
        <w:rPr>
          <w:rFonts w:eastAsia="方正仿宋_GBK"/>
          <w:sz w:val="33"/>
          <w:szCs w:val="33"/>
        </w:rPr>
        <w:t>他支出</w:t>
      </w:r>
      <w:r>
        <w:rPr>
          <w:rFonts w:hint="eastAsia" w:eastAsia="方正仿宋_GBK"/>
          <w:sz w:val="33"/>
          <w:szCs w:val="33"/>
        </w:rPr>
        <w:t>14.56</w:t>
      </w:r>
      <w:r>
        <w:rPr>
          <w:rFonts w:eastAsia="方正仿宋_GBK"/>
          <w:sz w:val="33"/>
          <w:szCs w:val="33"/>
        </w:rPr>
        <w:t>万元。</w:t>
      </w:r>
    </w:p>
    <w:p w14:paraId="0E5AE7CC">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lang w:val="zh-CN"/>
        </w:rPr>
      </w:pPr>
      <w:r>
        <w:rPr>
          <w:rFonts w:hint="eastAsia" w:ascii="方正仿宋_GBK" w:hAnsi="方正仿宋_GBK" w:eastAsia="方正仿宋_GBK" w:cs="方正仿宋_GBK"/>
          <w:b/>
          <w:bCs/>
          <w:kern w:val="0"/>
          <w:sz w:val="33"/>
          <w:szCs w:val="33"/>
          <w:shd w:val="clear" w:color="auto" w:fill="FFFFFF"/>
        </w:rPr>
        <w:t>3.</w:t>
      </w:r>
      <w:r>
        <w:rPr>
          <w:rFonts w:hint="eastAsia" w:ascii="方正仿宋_GBK" w:hAnsi="方正仿宋_GBK" w:eastAsia="方正仿宋_GBK" w:cs="方正仿宋_GBK"/>
          <w:b/>
          <w:bCs/>
          <w:kern w:val="0"/>
          <w:sz w:val="33"/>
          <w:szCs w:val="33"/>
          <w:shd w:val="clear" w:color="auto" w:fill="FFFFFF"/>
          <w:lang w:val="zh-CN"/>
        </w:rPr>
        <w:t>部门总体结转结余情况</w:t>
      </w:r>
    </w:p>
    <w:p w14:paraId="039D0366">
      <w:pPr>
        <w:ind w:firstLine="660" w:firstLineChars="200"/>
        <w:rPr>
          <w:rFonts w:eastAsia="方正仿宋_GBK"/>
          <w:sz w:val="33"/>
          <w:szCs w:val="33"/>
        </w:rPr>
      </w:pPr>
      <w:r>
        <w:rPr>
          <w:rFonts w:hint="eastAsia" w:eastAsia="方正仿宋_GBK"/>
          <w:sz w:val="33"/>
          <w:szCs w:val="33"/>
        </w:rPr>
        <w:t>2022年无结转结余情况。</w:t>
      </w:r>
    </w:p>
    <w:p w14:paraId="3C3E8B4C">
      <w:pPr>
        <w:rPr>
          <w:rFonts w:ascii="方正楷体_GBK" w:hAnsi="方正楷体_GBK" w:eastAsia="方正楷体_GBK" w:cs="方正楷体_GBK"/>
          <w:b/>
          <w:bCs/>
          <w:kern w:val="0"/>
          <w:sz w:val="33"/>
          <w:szCs w:val="33"/>
          <w:shd w:val="clear" w:color="auto" w:fill="FFFFFF"/>
          <w:lang w:val="zh-CN"/>
        </w:rPr>
      </w:pPr>
      <w:r>
        <w:rPr>
          <w:rFonts w:hint="eastAsia" w:ascii="方正楷体_GBK" w:hAnsi="方正楷体_GBK" w:eastAsia="方正楷体_GBK" w:cs="方正楷体_GBK"/>
          <w:b/>
          <w:bCs/>
          <w:kern w:val="0"/>
          <w:sz w:val="33"/>
          <w:szCs w:val="33"/>
          <w:shd w:val="clear" w:color="auto" w:fill="FFFFFF"/>
          <w:lang w:val="zh-CN"/>
        </w:rPr>
        <w:t>（二）部门财政拨款收支情况。</w:t>
      </w:r>
    </w:p>
    <w:p w14:paraId="271F1977">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lang w:val="zh-CN"/>
        </w:rPr>
      </w:pPr>
      <w:r>
        <w:rPr>
          <w:rFonts w:hint="eastAsia" w:ascii="方正仿宋_GBK" w:hAnsi="方正仿宋_GBK" w:eastAsia="方正仿宋_GBK" w:cs="方正仿宋_GBK"/>
          <w:b/>
          <w:bCs/>
          <w:kern w:val="0"/>
          <w:sz w:val="33"/>
          <w:szCs w:val="33"/>
          <w:shd w:val="clear" w:color="auto" w:fill="FFFFFF"/>
        </w:rPr>
        <w:t>1.</w:t>
      </w:r>
      <w:r>
        <w:rPr>
          <w:rFonts w:hint="eastAsia" w:ascii="方正仿宋_GBK" w:hAnsi="方正仿宋_GBK" w:eastAsia="方正仿宋_GBK" w:cs="方正仿宋_GBK"/>
          <w:b/>
          <w:bCs/>
          <w:kern w:val="0"/>
          <w:sz w:val="33"/>
          <w:szCs w:val="33"/>
          <w:shd w:val="clear" w:color="auto" w:fill="FFFFFF"/>
          <w:lang w:val="zh-CN"/>
        </w:rPr>
        <w:t>部门财政拨款收入情况</w:t>
      </w:r>
    </w:p>
    <w:p w14:paraId="0F436D3A">
      <w:pPr>
        <w:ind w:firstLine="660" w:firstLineChars="200"/>
        <w:rPr>
          <w:rFonts w:eastAsia="方正仿宋_GBK"/>
          <w:sz w:val="33"/>
          <w:szCs w:val="33"/>
        </w:rPr>
      </w:pPr>
      <w:r>
        <w:rPr>
          <w:rFonts w:hint="eastAsia" w:eastAsia="方正仿宋_GBK"/>
          <w:sz w:val="33"/>
          <w:szCs w:val="33"/>
        </w:rPr>
        <w:t>2022年部门财政拨款收入1782.95</w:t>
      </w:r>
      <w:r>
        <w:rPr>
          <w:rFonts w:eastAsia="方正仿宋_GBK"/>
          <w:sz w:val="33"/>
          <w:szCs w:val="33"/>
        </w:rPr>
        <w:t>万元，其中：</w:t>
      </w:r>
      <w:r>
        <w:rPr>
          <w:rFonts w:hint="eastAsia" w:eastAsia="方正仿宋_GBK"/>
          <w:sz w:val="33"/>
          <w:szCs w:val="33"/>
        </w:rPr>
        <w:t>一般公共预算财政拨款收入1782.95万元。</w:t>
      </w:r>
    </w:p>
    <w:p w14:paraId="11441AB4">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rPr>
      </w:pPr>
      <w:r>
        <w:rPr>
          <w:rFonts w:hint="eastAsia" w:ascii="方正仿宋_GBK" w:hAnsi="方正仿宋_GBK" w:eastAsia="方正仿宋_GBK" w:cs="方正仿宋_GBK"/>
          <w:b/>
          <w:bCs/>
          <w:kern w:val="0"/>
          <w:sz w:val="33"/>
          <w:szCs w:val="33"/>
          <w:shd w:val="clear" w:color="auto" w:fill="FFFFFF"/>
        </w:rPr>
        <w:t>2.</w:t>
      </w:r>
      <w:r>
        <w:rPr>
          <w:rFonts w:hint="eastAsia" w:ascii="方正仿宋_GBK" w:hAnsi="方正仿宋_GBK" w:eastAsia="方正仿宋_GBK" w:cs="方正仿宋_GBK"/>
          <w:b/>
          <w:bCs/>
          <w:kern w:val="0"/>
          <w:sz w:val="33"/>
          <w:szCs w:val="33"/>
          <w:shd w:val="clear" w:color="auto" w:fill="FFFFFF"/>
          <w:lang w:val="zh-CN"/>
        </w:rPr>
        <w:t>部门财政拨款支出情况</w:t>
      </w:r>
    </w:p>
    <w:p w14:paraId="175F7A26">
      <w:pPr>
        <w:ind w:firstLine="660" w:firstLineChars="200"/>
        <w:rPr>
          <w:rFonts w:ascii="方正楷体_GBK" w:hAnsi="方正楷体_GBK" w:eastAsia="方正楷体_GBK" w:cs="方正楷体_GBK"/>
          <w:b/>
          <w:bCs/>
          <w:kern w:val="0"/>
          <w:sz w:val="33"/>
          <w:szCs w:val="33"/>
          <w:shd w:val="clear" w:color="auto" w:fill="FFFFFF"/>
        </w:rPr>
      </w:pPr>
      <w:r>
        <w:rPr>
          <w:rFonts w:hint="eastAsia" w:eastAsia="方正仿宋_GBK"/>
          <w:sz w:val="33"/>
          <w:szCs w:val="33"/>
        </w:rPr>
        <w:t>2022年部门财政拨款支出1782.95万元，</w:t>
      </w:r>
      <w:r>
        <w:rPr>
          <w:rFonts w:eastAsia="方正仿宋_GBK"/>
          <w:sz w:val="33"/>
          <w:szCs w:val="33"/>
        </w:rPr>
        <w:t>其中：一般公共服务支出</w:t>
      </w:r>
      <w:r>
        <w:rPr>
          <w:rFonts w:hint="eastAsia" w:eastAsia="方正仿宋_GBK"/>
          <w:sz w:val="33"/>
          <w:szCs w:val="33"/>
        </w:rPr>
        <w:t>1327.23</w:t>
      </w:r>
      <w:r>
        <w:rPr>
          <w:rFonts w:eastAsia="方正仿宋_GBK"/>
          <w:sz w:val="33"/>
          <w:szCs w:val="33"/>
        </w:rPr>
        <w:t>万元，</w:t>
      </w:r>
      <w:r>
        <w:rPr>
          <w:rFonts w:hint="eastAsia" w:eastAsia="方正仿宋_GBK"/>
          <w:sz w:val="33"/>
          <w:szCs w:val="33"/>
        </w:rPr>
        <w:t>教育支出81.95万元，文化旅游体育与传媒支出14.03万元，</w:t>
      </w:r>
      <w:r>
        <w:rPr>
          <w:rFonts w:eastAsia="方正仿宋_GBK"/>
          <w:sz w:val="33"/>
          <w:szCs w:val="33"/>
        </w:rPr>
        <w:t>社会保障和就业</w:t>
      </w:r>
      <w:r>
        <w:rPr>
          <w:rFonts w:hint="eastAsia" w:eastAsia="方正仿宋_GBK"/>
          <w:sz w:val="33"/>
          <w:szCs w:val="33"/>
        </w:rPr>
        <w:t>165.80</w:t>
      </w:r>
      <w:r>
        <w:rPr>
          <w:rFonts w:eastAsia="方正仿宋_GBK"/>
          <w:sz w:val="33"/>
          <w:szCs w:val="33"/>
        </w:rPr>
        <w:t>万元，卫生健康支出</w:t>
      </w:r>
      <w:r>
        <w:rPr>
          <w:rFonts w:hint="eastAsia" w:eastAsia="方正仿宋_GBK"/>
          <w:sz w:val="33"/>
          <w:szCs w:val="33"/>
        </w:rPr>
        <w:t>88.37</w:t>
      </w:r>
      <w:r>
        <w:rPr>
          <w:rFonts w:eastAsia="方正仿宋_GBK"/>
          <w:sz w:val="33"/>
          <w:szCs w:val="33"/>
        </w:rPr>
        <w:t>万元，住房保障支出</w:t>
      </w:r>
      <w:r>
        <w:rPr>
          <w:rFonts w:hint="eastAsia" w:eastAsia="方正仿宋_GBK"/>
          <w:sz w:val="33"/>
          <w:szCs w:val="33"/>
        </w:rPr>
        <w:t>91.01</w:t>
      </w:r>
      <w:r>
        <w:rPr>
          <w:rFonts w:eastAsia="方正仿宋_GBK"/>
          <w:sz w:val="33"/>
          <w:szCs w:val="33"/>
        </w:rPr>
        <w:t>万元 ，</w:t>
      </w:r>
      <w:r>
        <w:rPr>
          <w:rFonts w:hint="eastAsia" w:eastAsia="方正仿宋_GBK"/>
          <w:sz w:val="33"/>
          <w:szCs w:val="33"/>
        </w:rPr>
        <w:t>其</w:t>
      </w:r>
      <w:r>
        <w:rPr>
          <w:rFonts w:eastAsia="方正仿宋_GBK"/>
          <w:sz w:val="33"/>
          <w:szCs w:val="33"/>
        </w:rPr>
        <w:t>他支出</w:t>
      </w:r>
      <w:r>
        <w:rPr>
          <w:rFonts w:hint="eastAsia" w:eastAsia="方正仿宋_GBK"/>
          <w:sz w:val="33"/>
          <w:szCs w:val="33"/>
        </w:rPr>
        <w:t>14.56</w:t>
      </w:r>
      <w:r>
        <w:rPr>
          <w:rFonts w:eastAsia="方正仿宋_GBK"/>
          <w:sz w:val="33"/>
          <w:szCs w:val="33"/>
        </w:rPr>
        <w:t>万元。</w:t>
      </w:r>
    </w:p>
    <w:p w14:paraId="621D5A54">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lang w:val="zh-CN"/>
        </w:rPr>
      </w:pPr>
      <w:r>
        <w:rPr>
          <w:rFonts w:hint="eastAsia" w:ascii="方正仿宋_GBK" w:hAnsi="方正仿宋_GBK" w:eastAsia="方正仿宋_GBK" w:cs="方正仿宋_GBK"/>
          <w:b/>
          <w:bCs/>
          <w:kern w:val="0"/>
          <w:sz w:val="33"/>
          <w:szCs w:val="33"/>
          <w:shd w:val="clear" w:color="auto" w:fill="FFFFFF"/>
          <w:lang w:val="zh-CN"/>
        </w:rPr>
        <w:t>3.部门财政拨款结转结余情况</w:t>
      </w:r>
    </w:p>
    <w:p w14:paraId="6C992976">
      <w:pPr>
        <w:ind w:firstLine="660" w:firstLineChars="200"/>
        <w:rPr>
          <w:rFonts w:eastAsia="方正仿宋_GBK"/>
          <w:sz w:val="33"/>
          <w:szCs w:val="33"/>
        </w:rPr>
      </w:pPr>
      <w:r>
        <w:rPr>
          <w:rFonts w:hint="eastAsia" w:eastAsia="方正仿宋_GBK"/>
          <w:sz w:val="33"/>
          <w:szCs w:val="33"/>
        </w:rPr>
        <w:t>2022年无结转结余情况。</w:t>
      </w:r>
    </w:p>
    <w:p w14:paraId="69625928">
      <w:pPr>
        <w:ind w:firstLine="660" w:firstLineChars="200"/>
        <w:rPr>
          <w:rFonts w:eastAsia="方正仿宋_GBK"/>
          <w:sz w:val="33"/>
          <w:szCs w:val="33"/>
        </w:rPr>
      </w:pPr>
      <w:r>
        <w:rPr>
          <w:rFonts w:hint="eastAsia" w:ascii="方正黑体_GBK" w:hAnsi="方正黑体_GBK" w:eastAsia="方正黑体_GBK" w:cs="方正黑体_GBK"/>
          <w:sz w:val="33"/>
          <w:szCs w:val="33"/>
        </w:rPr>
        <w:t>三、部门整体预算绩效管理情况</w:t>
      </w:r>
      <w:r>
        <w:rPr>
          <w:rFonts w:eastAsia="方正仿宋_GBK"/>
          <w:sz w:val="33"/>
          <w:szCs w:val="33"/>
        </w:rPr>
        <w:t>（</w:t>
      </w:r>
      <w:r>
        <w:rPr>
          <w:rFonts w:hint="eastAsia" w:eastAsia="方正仿宋_GBK"/>
          <w:sz w:val="33"/>
          <w:szCs w:val="33"/>
        </w:rPr>
        <w:t>涉及</w:t>
      </w:r>
      <w:r>
        <w:rPr>
          <w:rFonts w:eastAsia="方正仿宋_GBK"/>
          <w:sz w:val="33"/>
          <w:szCs w:val="33"/>
        </w:rPr>
        <w:t>有专项预算的部门，专项预算项目自评报告作为附件报送；特定目标类部门预算项目绩效目标自评表作为附表报送）</w:t>
      </w:r>
    </w:p>
    <w:p w14:paraId="5167EBBD">
      <w:pPr>
        <w:widowControl/>
        <w:adjustRightInd w:val="0"/>
        <w:snapToGrid w:val="0"/>
        <w:spacing w:line="560" w:lineRule="exact"/>
        <w:ind w:firstLine="663" w:firstLineChars="200"/>
        <w:contextualSpacing/>
        <w:jc w:val="left"/>
        <w:rPr>
          <w:rFonts w:ascii="方正楷体_GBK" w:hAnsi="方正楷体_GBK" w:eastAsia="方正楷体_GBK" w:cs="方正楷体_GBK"/>
          <w:kern w:val="0"/>
          <w:sz w:val="33"/>
          <w:szCs w:val="33"/>
          <w:shd w:val="clear" w:color="auto" w:fill="FFFFFF"/>
          <w:lang w:val="zh-CN"/>
        </w:rPr>
      </w:pPr>
      <w:bookmarkStart w:id="52" w:name="_Toc15396618"/>
      <w:r>
        <w:rPr>
          <w:rFonts w:hint="eastAsia" w:ascii="方正楷体_GBK" w:hAnsi="方正楷体_GBK" w:eastAsia="方正楷体_GBK" w:cs="方正楷体_GBK"/>
          <w:b/>
          <w:bCs/>
          <w:kern w:val="0"/>
          <w:sz w:val="33"/>
          <w:szCs w:val="33"/>
          <w:shd w:val="clear" w:color="auto" w:fill="FFFFFF"/>
          <w:lang w:val="zh-CN"/>
        </w:rPr>
        <w:t>（一）部门预算项目绩效分析。</w:t>
      </w:r>
    </w:p>
    <w:p w14:paraId="3E5F34D0">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rPr>
      </w:pPr>
      <w:r>
        <w:rPr>
          <w:rFonts w:hint="eastAsia" w:ascii="方正仿宋_GBK" w:hAnsi="方正仿宋_GBK" w:eastAsia="方正仿宋_GBK" w:cs="方正仿宋_GBK"/>
          <w:b/>
          <w:bCs/>
          <w:kern w:val="0"/>
          <w:sz w:val="33"/>
          <w:szCs w:val="33"/>
          <w:shd w:val="clear" w:color="auto" w:fill="FFFFFF"/>
        </w:rPr>
        <w:t>1.人员类项目绩效分析</w:t>
      </w:r>
    </w:p>
    <w:p w14:paraId="6E4D80F7">
      <w:pPr>
        <w:ind w:firstLine="660" w:firstLineChars="200"/>
        <w:rPr>
          <w:rFonts w:eastAsia="方正仿宋_GBK"/>
          <w:sz w:val="33"/>
          <w:szCs w:val="33"/>
        </w:rPr>
      </w:pPr>
      <w:r>
        <w:rPr>
          <w:rFonts w:hint="eastAsia" w:eastAsia="方正仿宋_GBK"/>
          <w:sz w:val="33"/>
          <w:szCs w:val="33"/>
        </w:rPr>
        <w:t>（1）指标完成情况</w:t>
      </w:r>
    </w:p>
    <w:p w14:paraId="453F701B">
      <w:pPr>
        <w:ind w:firstLine="660" w:firstLineChars="200"/>
        <w:rPr>
          <w:rFonts w:eastAsia="方正仿宋_GBK"/>
          <w:sz w:val="33"/>
          <w:szCs w:val="33"/>
        </w:rPr>
      </w:pPr>
      <w:r>
        <w:rPr>
          <w:rFonts w:hint="eastAsia" w:eastAsia="方正仿宋_GBK"/>
          <w:sz w:val="33"/>
          <w:szCs w:val="33"/>
        </w:rPr>
        <w:t>我单位严格遵守各项财经纪律，加强单位财务管理工作，按人员情况</w:t>
      </w:r>
      <w:r>
        <w:rPr>
          <w:rFonts w:hint="eastAsia" w:eastAsia="方正仿宋_GBK"/>
          <w:sz w:val="33"/>
          <w:szCs w:val="33"/>
          <w:lang w:eastAsia="zh-CN"/>
        </w:rPr>
        <w:t>加强</w:t>
      </w:r>
      <w:r>
        <w:rPr>
          <w:rFonts w:hint="eastAsia" w:eastAsia="方正仿宋_GBK"/>
          <w:sz w:val="33"/>
          <w:szCs w:val="33"/>
        </w:rPr>
        <w:t>预算编制，严格按照预算执行，确保财务收支平衡。按照全年进度保证机关正常工作需要的人员经费，保障人员工资福利，完成日常工作任务。在2022年度按时按质完成预算指标，完成率100%，2022年无结转结余，无违规记录。</w:t>
      </w:r>
    </w:p>
    <w:p w14:paraId="70801B3A">
      <w:pPr>
        <w:ind w:firstLine="660" w:firstLineChars="200"/>
        <w:rPr>
          <w:rFonts w:eastAsia="方正仿宋_GBK"/>
          <w:sz w:val="33"/>
          <w:szCs w:val="33"/>
        </w:rPr>
      </w:pPr>
      <w:r>
        <w:rPr>
          <w:rFonts w:hint="eastAsia" w:eastAsia="方正仿宋_GBK"/>
          <w:sz w:val="33"/>
          <w:szCs w:val="33"/>
        </w:rPr>
        <w:t>（2）社会效益、可持续发展效益</w:t>
      </w:r>
    </w:p>
    <w:p w14:paraId="1DA8FC79">
      <w:pPr>
        <w:ind w:firstLine="660" w:firstLineChars="200"/>
        <w:rPr>
          <w:rFonts w:eastAsia="方正仿宋_GBK"/>
          <w:sz w:val="33"/>
          <w:szCs w:val="33"/>
        </w:rPr>
      </w:pPr>
      <w:r>
        <w:rPr>
          <w:rFonts w:hint="eastAsia" w:eastAsia="方正仿宋_GBK"/>
          <w:sz w:val="33"/>
          <w:szCs w:val="33"/>
        </w:rPr>
        <w:t>2022年度我单位严格遵守各项财经纪律，按照全年进度保证机关人员经费。认真落实贯彻了中央八项规定</w:t>
      </w:r>
      <w:r>
        <w:rPr>
          <w:rFonts w:hint="eastAsia" w:eastAsia="方正仿宋_GBK"/>
          <w:sz w:val="33"/>
          <w:szCs w:val="33"/>
          <w:lang w:eastAsia="zh-CN"/>
        </w:rPr>
        <w:t>精神</w:t>
      </w:r>
      <w:r>
        <w:rPr>
          <w:rFonts w:hint="eastAsia" w:eastAsia="方正仿宋_GBK"/>
          <w:sz w:val="33"/>
          <w:szCs w:val="33"/>
        </w:rPr>
        <w:t xml:space="preserve">、省、市“十项规定”和单位财务规章制度，优化了年度预算安排，提高财政资金使用效益，保障了单位更好地履行职责，使得各项工作圆满完成。在2022年度按时按质完成预算指标，完成率100%。 </w:t>
      </w:r>
    </w:p>
    <w:p w14:paraId="789D9289">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rPr>
      </w:pPr>
      <w:r>
        <w:rPr>
          <w:rFonts w:hint="eastAsia" w:ascii="方正仿宋_GBK" w:hAnsi="方正仿宋_GBK" w:eastAsia="方正仿宋_GBK" w:cs="方正仿宋_GBK"/>
          <w:b/>
          <w:bCs/>
          <w:kern w:val="0"/>
          <w:sz w:val="33"/>
          <w:szCs w:val="33"/>
          <w:shd w:val="clear" w:color="auto" w:fill="FFFFFF"/>
        </w:rPr>
        <w:t>2.运转类项目绩效分析</w:t>
      </w:r>
    </w:p>
    <w:p w14:paraId="14BFD4DB">
      <w:pPr>
        <w:ind w:firstLine="660" w:firstLineChars="200"/>
        <w:rPr>
          <w:rFonts w:eastAsia="方正仿宋_GBK"/>
          <w:sz w:val="33"/>
          <w:szCs w:val="33"/>
        </w:rPr>
      </w:pPr>
      <w:r>
        <w:rPr>
          <w:rFonts w:hint="eastAsia" w:eastAsia="方正仿宋_GBK"/>
          <w:sz w:val="33"/>
          <w:szCs w:val="33"/>
        </w:rPr>
        <w:t>（1）指标完成情况</w:t>
      </w:r>
    </w:p>
    <w:p w14:paraId="0A5FCE92">
      <w:pPr>
        <w:ind w:firstLine="660" w:firstLineChars="200"/>
        <w:rPr>
          <w:rFonts w:eastAsia="方正仿宋_GBK"/>
          <w:sz w:val="33"/>
          <w:szCs w:val="33"/>
        </w:rPr>
      </w:pPr>
      <w:r>
        <w:rPr>
          <w:rFonts w:hint="eastAsia" w:eastAsia="方正仿宋_GBK"/>
          <w:sz w:val="33"/>
          <w:szCs w:val="33"/>
        </w:rPr>
        <w:t>我单位严格遵守各项财经纪律，加强单位财务管理工作，按单位运转保持情况加强了预算编制，严格按照预算执行，节约开支，确保财务收支平衡。按照全年进度保证机关正常工作需要的公用经费，保障单位日常运转正常，完成日常工作任务。在2022年度按时按质完成预算指标，完成率100%，2022年无结转结余，无违规记录。</w:t>
      </w:r>
    </w:p>
    <w:p w14:paraId="0A03565A">
      <w:pPr>
        <w:ind w:firstLine="660" w:firstLineChars="200"/>
        <w:rPr>
          <w:rFonts w:eastAsia="方正仿宋_GBK"/>
          <w:sz w:val="33"/>
          <w:szCs w:val="33"/>
        </w:rPr>
      </w:pPr>
      <w:r>
        <w:rPr>
          <w:rFonts w:hint="eastAsia" w:eastAsia="方正仿宋_GBK"/>
          <w:sz w:val="33"/>
          <w:szCs w:val="33"/>
        </w:rPr>
        <w:t>（2）社会效益、可持续发展效益</w:t>
      </w:r>
    </w:p>
    <w:p w14:paraId="4BCF6AD6">
      <w:pPr>
        <w:ind w:firstLine="660" w:firstLineChars="200"/>
        <w:rPr>
          <w:rFonts w:eastAsia="方正仿宋_GBK"/>
          <w:sz w:val="33"/>
          <w:szCs w:val="33"/>
        </w:rPr>
      </w:pPr>
      <w:r>
        <w:rPr>
          <w:rFonts w:hint="eastAsia" w:eastAsia="方正仿宋_GBK"/>
          <w:sz w:val="33"/>
          <w:szCs w:val="33"/>
        </w:rPr>
        <w:t>2022年我单位高质量完成项目建设，资金使用做到安全有效监管，保障全县各项事业的统筹推进，联系群团工作取得</w:t>
      </w:r>
      <w:r>
        <w:rPr>
          <w:rFonts w:hint="eastAsia" w:eastAsia="方正仿宋_GBK"/>
          <w:sz w:val="33"/>
          <w:szCs w:val="33"/>
          <w:lang w:eastAsia="zh-CN"/>
        </w:rPr>
        <w:t>高质量发展</w:t>
      </w:r>
      <w:r>
        <w:rPr>
          <w:rFonts w:hint="eastAsia" w:eastAsia="方正仿宋_GBK"/>
          <w:sz w:val="33"/>
          <w:szCs w:val="33"/>
        </w:rPr>
        <w:t>，搭建商会，促进民营企业交流互鉴，健康发展，</w:t>
      </w:r>
      <w:r>
        <w:rPr>
          <w:rFonts w:hint="eastAsia" w:eastAsia="方正仿宋_GBK"/>
          <w:sz w:val="33"/>
          <w:szCs w:val="33"/>
          <w:lang w:eastAsia="zh-CN"/>
        </w:rPr>
        <w:t>保障妇女儿童合法权益</w:t>
      </w:r>
      <w:r>
        <w:rPr>
          <w:rFonts w:hint="eastAsia" w:eastAsia="方正仿宋_GBK"/>
          <w:sz w:val="33"/>
          <w:szCs w:val="33"/>
        </w:rPr>
        <w:t>、青少年发展等</w:t>
      </w:r>
      <w:r>
        <w:rPr>
          <w:rFonts w:hint="eastAsia" w:eastAsia="方正仿宋_GBK"/>
          <w:sz w:val="33"/>
          <w:szCs w:val="33"/>
          <w:lang w:eastAsia="zh-CN"/>
        </w:rPr>
        <w:t>方面</w:t>
      </w:r>
      <w:r>
        <w:rPr>
          <w:rFonts w:hint="eastAsia" w:eastAsia="方正仿宋_GBK"/>
          <w:sz w:val="33"/>
          <w:szCs w:val="33"/>
        </w:rPr>
        <w:t>获得社会认可，有效促进全县经济社会高质量发展。2022年度运转类项目支出绩效目标效益实现良好。</w:t>
      </w:r>
    </w:p>
    <w:p w14:paraId="22DC8EF6">
      <w:pPr>
        <w:widowControl/>
        <w:adjustRightInd w:val="0"/>
        <w:snapToGrid w:val="0"/>
        <w:ind w:firstLine="663" w:firstLineChars="200"/>
        <w:contextualSpacing/>
        <w:jc w:val="left"/>
        <w:rPr>
          <w:rFonts w:ascii="方正仿宋_GBK" w:hAnsi="方正仿宋_GBK" w:eastAsia="方正仿宋_GBK" w:cs="方正仿宋_GBK"/>
          <w:b/>
          <w:bCs/>
          <w:kern w:val="0"/>
          <w:sz w:val="33"/>
          <w:szCs w:val="33"/>
          <w:shd w:val="clear" w:color="auto" w:fill="FFFFFF"/>
        </w:rPr>
      </w:pPr>
      <w:r>
        <w:rPr>
          <w:rFonts w:hint="eastAsia" w:ascii="方正仿宋_GBK" w:hAnsi="方正仿宋_GBK" w:eastAsia="方正仿宋_GBK" w:cs="方正仿宋_GBK"/>
          <w:b/>
          <w:bCs/>
          <w:kern w:val="0"/>
          <w:sz w:val="33"/>
          <w:szCs w:val="33"/>
          <w:shd w:val="clear" w:color="auto" w:fill="FFFFFF"/>
        </w:rPr>
        <w:t>3.特定目标类项目绩效分析</w:t>
      </w:r>
    </w:p>
    <w:p w14:paraId="05DA4D3E">
      <w:pPr>
        <w:pStyle w:val="36"/>
        <w:adjustRightInd w:val="0"/>
        <w:snapToGrid w:val="0"/>
        <w:spacing w:line="580" w:lineRule="exact"/>
        <w:ind w:firstLine="660"/>
        <w:rPr>
          <w:rFonts w:eastAsia="方正仿宋_GBK"/>
          <w:sz w:val="33"/>
          <w:szCs w:val="33"/>
        </w:rPr>
      </w:pPr>
      <w:r>
        <w:rPr>
          <w:rFonts w:hint="eastAsia" w:eastAsia="方正仿宋_GBK"/>
          <w:sz w:val="33"/>
          <w:szCs w:val="33"/>
        </w:rPr>
        <w:t>（1）项目经费管理情况。</w:t>
      </w:r>
    </w:p>
    <w:p w14:paraId="5E6283E1">
      <w:pPr>
        <w:pStyle w:val="36"/>
        <w:adjustRightInd w:val="0"/>
        <w:snapToGrid w:val="0"/>
        <w:spacing w:line="580" w:lineRule="exact"/>
        <w:ind w:firstLine="660"/>
        <w:rPr>
          <w:rFonts w:eastAsia="方正仿宋_GBK"/>
          <w:sz w:val="33"/>
          <w:szCs w:val="33"/>
        </w:rPr>
      </w:pPr>
      <w:r>
        <w:rPr>
          <w:rFonts w:hint="eastAsia" w:eastAsia="方正仿宋_GBK"/>
          <w:sz w:val="33"/>
          <w:szCs w:val="33"/>
        </w:rPr>
        <w:t>项目经费分配严格按照预算项目经费的使用范围和用途高效合理地使用资金。严格按照实际工作需要，按照项目资金管理办法实行专款专用。依据项目的进度和开展情况、合理安排，资金严格按照规范程序申请、管理和使用。资金支付范围、支付标准、支付依据合规合法，与预算相符。通过项目实施充分保障了全县各项工作统筹协调。</w:t>
      </w:r>
    </w:p>
    <w:p w14:paraId="10CBB348">
      <w:pPr>
        <w:pStyle w:val="36"/>
        <w:adjustRightInd w:val="0"/>
        <w:snapToGrid w:val="0"/>
        <w:spacing w:line="580" w:lineRule="exact"/>
        <w:ind w:firstLine="660"/>
        <w:rPr>
          <w:rFonts w:eastAsia="方正仿宋_GBK"/>
          <w:sz w:val="33"/>
          <w:szCs w:val="33"/>
        </w:rPr>
      </w:pPr>
      <w:r>
        <w:rPr>
          <w:rFonts w:hint="eastAsia" w:eastAsia="方正仿宋_GBK"/>
          <w:sz w:val="33"/>
          <w:szCs w:val="33"/>
        </w:rPr>
        <w:t>（2）绩效目标完成情况。</w:t>
      </w:r>
    </w:p>
    <w:p w14:paraId="7F418D57">
      <w:pPr>
        <w:snapToGrid w:val="0"/>
        <w:spacing w:line="520" w:lineRule="exact"/>
        <w:ind w:firstLine="660" w:firstLineChars="200"/>
        <w:rPr>
          <w:rFonts w:eastAsia="方正仿宋_GBK"/>
          <w:sz w:val="33"/>
          <w:szCs w:val="33"/>
        </w:rPr>
      </w:pPr>
      <w:r>
        <w:rPr>
          <w:rFonts w:hint="eastAsia" w:eastAsia="方正仿宋_GBK"/>
          <w:sz w:val="33"/>
          <w:szCs w:val="33"/>
        </w:rPr>
        <w:t>2022年，我单位认真按照项目预算绩效目标，全面完成各项目标任务，在2022年度按时按质完成预算指标，完成率100%，2022年项目经费无结转结余，无违规记录。切实保障了县委办及其下属单位的各项工作开展。在2022年度保质保量按时完成各项指标。具体项目如下。</w:t>
      </w:r>
    </w:p>
    <w:p w14:paraId="185FDEA9">
      <w:pPr>
        <w:ind w:firstLine="660" w:firstLineChars="200"/>
        <w:rPr>
          <w:rFonts w:eastAsia="方正仿宋_GBK"/>
          <w:sz w:val="33"/>
          <w:szCs w:val="33"/>
        </w:rPr>
      </w:pPr>
      <w:r>
        <w:rPr>
          <w:rFonts w:hint="eastAsia" w:eastAsia="方正仿宋_GBK"/>
          <w:sz w:val="33"/>
          <w:szCs w:val="33"/>
        </w:rPr>
        <w:t>1.工商联（商会）及乡镇（行业商会）换届经费</w:t>
      </w:r>
      <w:r>
        <w:rPr>
          <w:rFonts w:eastAsia="方正仿宋_GBK"/>
          <w:sz w:val="33"/>
          <w:szCs w:val="33"/>
        </w:rPr>
        <w:t>项目绩效目标完成情况综述。</w:t>
      </w:r>
    </w:p>
    <w:p w14:paraId="5838E4F8">
      <w:pPr>
        <w:ind w:firstLine="660" w:firstLineChars="200"/>
        <w:rPr>
          <w:rFonts w:eastAsia="方正仿宋_GBK"/>
          <w:sz w:val="33"/>
          <w:szCs w:val="33"/>
          <w:lang w:val="zh-CN"/>
        </w:rPr>
      </w:pPr>
      <w:r>
        <w:rPr>
          <w:rFonts w:eastAsia="方正仿宋_GBK"/>
          <w:sz w:val="33"/>
          <w:szCs w:val="33"/>
        </w:rPr>
        <w:t>项目全预算数</w:t>
      </w:r>
      <w:r>
        <w:rPr>
          <w:rFonts w:hint="eastAsia" w:eastAsia="方正仿宋_GBK"/>
          <w:sz w:val="33"/>
          <w:szCs w:val="33"/>
        </w:rPr>
        <w:t>13.35</w:t>
      </w:r>
      <w:r>
        <w:rPr>
          <w:rFonts w:eastAsia="方正仿宋_GBK"/>
          <w:sz w:val="33"/>
          <w:szCs w:val="33"/>
        </w:rPr>
        <w:t>元，执行数为</w:t>
      </w:r>
      <w:r>
        <w:rPr>
          <w:rFonts w:hint="eastAsia" w:eastAsia="方正仿宋_GBK"/>
          <w:sz w:val="33"/>
          <w:szCs w:val="33"/>
        </w:rPr>
        <w:t>13.35</w:t>
      </w:r>
      <w:r>
        <w:rPr>
          <w:rFonts w:eastAsia="方正仿宋_GBK"/>
          <w:sz w:val="33"/>
          <w:szCs w:val="33"/>
        </w:rPr>
        <w:t>万元，完成预算的100%。通过项目实施，通过项目实施</w:t>
      </w:r>
      <w:r>
        <w:rPr>
          <w:rFonts w:hint="eastAsia" w:eastAsia="方正仿宋_GBK"/>
          <w:sz w:val="33"/>
          <w:szCs w:val="33"/>
        </w:rPr>
        <w:t>，</w:t>
      </w:r>
      <w:r>
        <w:rPr>
          <w:rFonts w:eastAsia="方正仿宋_GBK"/>
          <w:sz w:val="33"/>
          <w:szCs w:val="33"/>
        </w:rPr>
        <w:t xml:space="preserve"> 体现了县委、县政府对我县工商联工作的高度重视，进一步发挥了县工商联参政议政作用，确保了工商联各项业务工作正常开展。</w:t>
      </w:r>
    </w:p>
    <w:p w14:paraId="40C40573">
      <w:pPr>
        <w:ind w:firstLine="660" w:firstLineChars="200"/>
        <w:rPr>
          <w:rFonts w:eastAsia="方正仿宋_GBK"/>
          <w:sz w:val="33"/>
          <w:szCs w:val="33"/>
        </w:rPr>
      </w:pPr>
      <w:r>
        <w:rPr>
          <w:rFonts w:hint="eastAsia" w:eastAsia="方正仿宋_GBK"/>
          <w:sz w:val="33"/>
          <w:szCs w:val="33"/>
        </w:rPr>
        <w:t>2.</w:t>
      </w:r>
      <w:r>
        <w:rPr>
          <w:rFonts w:eastAsia="方正仿宋_GBK"/>
          <w:sz w:val="33"/>
          <w:szCs w:val="33"/>
        </w:rPr>
        <w:t>“</w:t>
      </w:r>
      <w:r>
        <w:rPr>
          <w:rFonts w:hint="eastAsia" w:eastAsia="方正仿宋_GBK"/>
          <w:sz w:val="33"/>
          <w:szCs w:val="33"/>
        </w:rPr>
        <w:t>共青团盐边县第十九次代表大会会议经费</w:t>
      </w:r>
      <w:r>
        <w:rPr>
          <w:rFonts w:eastAsia="方正仿宋_GBK"/>
          <w:sz w:val="33"/>
          <w:szCs w:val="33"/>
        </w:rPr>
        <w:t>” 项目绩效目标完成情况综述。</w:t>
      </w:r>
    </w:p>
    <w:p w14:paraId="56937F4D">
      <w:pPr>
        <w:ind w:firstLine="660" w:firstLineChars="200"/>
        <w:rPr>
          <w:rFonts w:eastAsia="方正仿宋_GBK"/>
          <w:sz w:val="33"/>
          <w:szCs w:val="33"/>
        </w:rPr>
      </w:pPr>
      <w:r>
        <w:rPr>
          <w:rFonts w:eastAsia="方正仿宋_GBK"/>
          <w:sz w:val="33"/>
          <w:szCs w:val="33"/>
        </w:rPr>
        <w:t>项目全预算数</w:t>
      </w:r>
      <w:r>
        <w:rPr>
          <w:rFonts w:hint="eastAsia" w:eastAsia="方正仿宋_GBK"/>
          <w:sz w:val="33"/>
          <w:szCs w:val="33"/>
        </w:rPr>
        <w:t>8.29</w:t>
      </w:r>
      <w:r>
        <w:rPr>
          <w:rFonts w:eastAsia="方正仿宋_GBK"/>
          <w:sz w:val="33"/>
          <w:szCs w:val="33"/>
        </w:rPr>
        <w:t>万元，执行数为</w:t>
      </w:r>
      <w:r>
        <w:rPr>
          <w:rFonts w:hint="eastAsia" w:eastAsia="方正仿宋_GBK"/>
          <w:sz w:val="33"/>
          <w:szCs w:val="33"/>
        </w:rPr>
        <w:t>8.29</w:t>
      </w:r>
      <w:r>
        <w:rPr>
          <w:rFonts w:hint="eastAsia" w:eastAsia="方正仿宋_GBK"/>
          <w:sz w:val="33"/>
          <w:szCs w:val="33"/>
          <w:lang w:eastAsia="zh-CN"/>
        </w:rPr>
        <w:t>万</w:t>
      </w:r>
      <w:r>
        <w:rPr>
          <w:rFonts w:eastAsia="方正仿宋_GBK"/>
          <w:sz w:val="33"/>
          <w:szCs w:val="33"/>
        </w:rPr>
        <w:t>元，完成预算的100%。通过项目实施，保障了</w:t>
      </w:r>
      <w:r>
        <w:rPr>
          <w:rFonts w:hint="eastAsia" w:eastAsia="方正仿宋_GBK"/>
          <w:sz w:val="33"/>
          <w:szCs w:val="33"/>
        </w:rPr>
        <w:t>共青团盐边县第十九次代表大会</w:t>
      </w:r>
      <w:r>
        <w:rPr>
          <w:rFonts w:eastAsia="方正仿宋_GBK"/>
          <w:sz w:val="33"/>
          <w:szCs w:val="33"/>
        </w:rPr>
        <w:t>的顺利召开，为</w:t>
      </w:r>
      <w:r>
        <w:rPr>
          <w:rFonts w:hint="eastAsia" w:eastAsia="方正仿宋_GBK"/>
          <w:sz w:val="33"/>
          <w:szCs w:val="33"/>
        </w:rPr>
        <w:t>团县委</w:t>
      </w:r>
      <w:r>
        <w:rPr>
          <w:rFonts w:eastAsia="方正仿宋_GBK"/>
          <w:sz w:val="33"/>
          <w:szCs w:val="33"/>
        </w:rPr>
        <w:t>今后工作提供了方向，指明了道路。</w:t>
      </w:r>
    </w:p>
    <w:p w14:paraId="4CEC4AE0">
      <w:pPr>
        <w:ind w:firstLine="660" w:firstLineChars="200"/>
        <w:rPr>
          <w:rFonts w:eastAsia="方正仿宋_GBK"/>
          <w:sz w:val="33"/>
          <w:szCs w:val="33"/>
        </w:rPr>
      </w:pPr>
      <w:r>
        <w:rPr>
          <w:rFonts w:hint="eastAsia" w:eastAsia="方正仿宋_GBK"/>
          <w:sz w:val="33"/>
          <w:szCs w:val="33"/>
        </w:rPr>
        <w:t>3.</w:t>
      </w:r>
      <w:r>
        <w:rPr>
          <w:rFonts w:eastAsia="方正仿宋_GBK"/>
          <w:sz w:val="33"/>
          <w:szCs w:val="33"/>
        </w:rPr>
        <w:t>“</w:t>
      </w:r>
      <w:r>
        <w:rPr>
          <w:rFonts w:hint="eastAsia" w:eastAsia="方正仿宋_GBK"/>
          <w:sz w:val="33"/>
          <w:szCs w:val="33"/>
        </w:rPr>
        <w:t>大学生志愿服务西部计划盐边专项项目</w:t>
      </w:r>
      <w:r>
        <w:rPr>
          <w:rFonts w:eastAsia="方正仿宋_GBK"/>
          <w:sz w:val="33"/>
          <w:szCs w:val="33"/>
        </w:rPr>
        <w:t>”项目绩效目标完成情况综述。</w:t>
      </w:r>
    </w:p>
    <w:p w14:paraId="3A97255D">
      <w:pPr>
        <w:ind w:firstLine="660" w:firstLineChars="200"/>
        <w:rPr>
          <w:rFonts w:eastAsia="方正仿宋_GBK"/>
          <w:sz w:val="33"/>
          <w:szCs w:val="33"/>
        </w:rPr>
      </w:pPr>
      <w:r>
        <w:rPr>
          <w:rFonts w:eastAsia="方正仿宋_GBK"/>
          <w:sz w:val="33"/>
          <w:szCs w:val="33"/>
        </w:rPr>
        <w:t>项目全年预算数</w:t>
      </w:r>
      <w:r>
        <w:rPr>
          <w:rFonts w:hint="eastAsia" w:eastAsia="方正仿宋_GBK"/>
          <w:sz w:val="33"/>
          <w:szCs w:val="33"/>
        </w:rPr>
        <w:t>233.19</w:t>
      </w:r>
      <w:r>
        <w:rPr>
          <w:rFonts w:eastAsia="方正仿宋_GBK"/>
          <w:sz w:val="33"/>
          <w:szCs w:val="33"/>
        </w:rPr>
        <w:t>元，实际执行数为</w:t>
      </w:r>
      <w:r>
        <w:rPr>
          <w:rFonts w:hint="eastAsia" w:eastAsia="方正仿宋_GBK"/>
          <w:sz w:val="33"/>
          <w:szCs w:val="33"/>
        </w:rPr>
        <w:t>233.19</w:t>
      </w:r>
      <w:r>
        <w:rPr>
          <w:rFonts w:eastAsia="方正仿宋_GBK"/>
          <w:sz w:val="33"/>
          <w:szCs w:val="33"/>
        </w:rPr>
        <w:t>万元，完成预算的100%。通过项目实施，</w:t>
      </w:r>
      <w:r>
        <w:rPr>
          <w:rFonts w:hint="eastAsia" w:eastAsia="方正仿宋_GBK"/>
          <w:sz w:val="33"/>
          <w:szCs w:val="33"/>
        </w:rPr>
        <w:t>确保全县西部计划志愿者招募、体检、培训等费用，壮大志愿者群体，充实盐边工作队伍。</w:t>
      </w:r>
    </w:p>
    <w:p w14:paraId="7C77ADE4">
      <w:pPr>
        <w:ind w:firstLine="660" w:firstLineChars="200"/>
        <w:rPr>
          <w:rFonts w:eastAsia="方正仿宋_GBK"/>
          <w:sz w:val="33"/>
          <w:szCs w:val="33"/>
        </w:rPr>
      </w:pPr>
      <w:r>
        <w:rPr>
          <w:rFonts w:hint="eastAsia" w:eastAsia="方正仿宋_GBK"/>
          <w:sz w:val="33"/>
          <w:szCs w:val="33"/>
        </w:rPr>
        <w:t>4.</w:t>
      </w:r>
      <w:r>
        <w:rPr>
          <w:rFonts w:eastAsia="方正仿宋_GBK"/>
          <w:sz w:val="33"/>
          <w:szCs w:val="33"/>
        </w:rPr>
        <w:t>“县委光纤租用费” 项目绩效目标完成情况综述。</w:t>
      </w:r>
    </w:p>
    <w:p w14:paraId="4BC15640">
      <w:pPr>
        <w:ind w:firstLine="660" w:firstLineChars="200"/>
        <w:rPr>
          <w:rFonts w:eastAsia="方正仿宋_GBK"/>
          <w:sz w:val="33"/>
          <w:szCs w:val="33"/>
        </w:rPr>
      </w:pPr>
      <w:r>
        <w:rPr>
          <w:rFonts w:eastAsia="方正仿宋_GBK"/>
          <w:sz w:val="33"/>
          <w:szCs w:val="33"/>
        </w:rPr>
        <w:t>项目全预算数</w:t>
      </w:r>
      <w:r>
        <w:rPr>
          <w:rFonts w:hint="eastAsia" w:eastAsia="方正仿宋_GBK"/>
          <w:sz w:val="33"/>
          <w:szCs w:val="33"/>
        </w:rPr>
        <w:t>16.11</w:t>
      </w:r>
      <w:r>
        <w:rPr>
          <w:rFonts w:eastAsia="方正仿宋_GBK"/>
          <w:sz w:val="33"/>
          <w:szCs w:val="33"/>
        </w:rPr>
        <w:t>万元，执行数为</w:t>
      </w:r>
      <w:r>
        <w:rPr>
          <w:rFonts w:hint="eastAsia" w:eastAsia="方正仿宋_GBK"/>
          <w:sz w:val="33"/>
          <w:szCs w:val="33"/>
        </w:rPr>
        <w:t>16.11</w:t>
      </w:r>
      <w:r>
        <w:rPr>
          <w:rFonts w:eastAsia="方正仿宋_GBK"/>
          <w:sz w:val="33"/>
          <w:szCs w:val="33"/>
        </w:rPr>
        <w:t>元，完成预算的100%。通过项目实施，优化了网络结构，提高了网络整体物理性能，确保了单位网络运行稳定快捷，大大提高了财政工作效率。</w:t>
      </w:r>
    </w:p>
    <w:p w14:paraId="3C2C85E3">
      <w:pPr>
        <w:ind w:firstLine="660" w:firstLineChars="200"/>
        <w:rPr>
          <w:rFonts w:eastAsia="方正仿宋_GBK"/>
          <w:sz w:val="33"/>
          <w:szCs w:val="33"/>
        </w:rPr>
      </w:pPr>
      <w:r>
        <w:rPr>
          <w:rFonts w:hint="eastAsia" w:eastAsia="方正仿宋_GBK"/>
          <w:sz w:val="33"/>
          <w:szCs w:val="33"/>
        </w:rPr>
        <w:t>5.</w:t>
      </w:r>
      <w:r>
        <w:rPr>
          <w:rFonts w:eastAsia="方正仿宋_GBK"/>
          <w:sz w:val="33"/>
          <w:szCs w:val="33"/>
        </w:rPr>
        <w:t>“</w:t>
      </w:r>
      <w:r>
        <w:rPr>
          <w:rFonts w:hint="eastAsia" w:eastAsia="方正仿宋_GBK"/>
          <w:sz w:val="33"/>
          <w:szCs w:val="33"/>
        </w:rPr>
        <w:t>县委办工作经费</w:t>
      </w:r>
      <w:r>
        <w:rPr>
          <w:rFonts w:eastAsia="方正仿宋_GBK"/>
          <w:sz w:val="33"/>
          <w:szCs w:val="33"/>
        </w:rPr>
        <w:t>”项目绩效目标完成情况综述。</w:t>
      </w:r>
    </w:p>
    <w:p w14:paraId="4FEAB8B7">
      <w:pPr>
        <w:ind w:firstLine="660" w:firstLineChars="200"/>
        <w:rPr>
          <w:rFonts w:eastAsia="方正仿宋_GBK"/>
          <w:sz w:val="33"/>
          <w:szCs w:val="33"/>
        </w:rPr>
      </w:pPr>
      <w:r>
        <w:rPr>
          <w:rFonts w:eastAsia="方正仿宋_GBK"/>
          <w:sz w:val="33"/>
          <w:szCs w:val="33"/>
        </w:rPr>
        <w:t>项目全年预算数</w:t>
      </w:r>
      <w:r>
        <w:rPr>
          <w:rFonts w:hint="eastAsia" w:eastAsia="方正仿宋_GBK"/>
          <w:sz w:val="33"/>
          <w:szCs w:val="33"/>
          <w:lang w:val="en-US" w:eastAsia="zh-CN"/>
        </w:rPr>
        <w:t>95.83</w:t>
      </w:r>
      <w:r>
        <w:rPr>
          <w:rFonts w:eastAsia="方正仿宋_GBK"/>
          <w:sz w:val="33"/>
          <w:szCs w:val="33"/>
        </w:rPr>
        <w:t>万元，执行数为</w:t>
      </w:r>
      <w:r>
        <w:rPr>
          <w:rFonts w:hint="eastAsia" w:eastAsia="方正仿宋_GBK"/>
          <w:sz w:val="33"/>
          <w:szCs w:val="33"/>
          <w:lang w:val="en-US" w:eastAsia="zh-CN"/>
        </w:rPr>
        <w:t>95.83</w:t>
      </w:r>
      <w:r>
        <w:rPr>
          <w:rFonts w:eastAsia="方正仿宋_GBK"/>
          <w:sz w:val="33"/>
          <w:szCs w:val="33"/>
        </w:rPr>
        <w:t>万元，完成预算的100%。通过项目实施，</w:t>
      </w:r>
      <w:r>
        <w:rPr>
          <w:rFonts w:hint="eastAsia" w:eastAsia="方正仿宋_GBK"/>
          <w:sz w:val="33"/>
          <w:szCs w:val="33"/>
        </w:rPr>
        <w:t>保障县委各项中心工作的开展，进一步推动盐边高质量发展。</w:t>
      </w:r>
    </w:p>
    <w:p w14:paraId="5B1E59B9">
      <w:pPr>
        <w:ind w:firstLine="660" w:firstLineChars="200"/>
        <w:rPr>
          <w:rFonts w:eastAsia="方正仿宋_GBK"/>
          <w:sz w:val="33"/>
          <w:szCs w:val="33"/>
        </w:rPr>
      </w:pPr>
      <w:r>
        <w:rPr>
          <w:rFonts w:hint="eastAsia" w:eastAsia="方正仿宋_GBK"/>
          <w:sz w:val="33"/>
          <w:szCs w:val="33"/>
        </w:rPr>
        <w:t>（</w:t>
      </w:r>
      <w:r>
        <w:rPr>
          <w:rFonts w:eastAsia="方正仿宋_GBK"/>
          <w:sz w:val="33"/>
          <w:szCs w:val="33"/>
        </w:rPr>
        <w:t>3</w:t>
      </w:r>
      <w:r>
        <w:rPr>
          <w:rFonts w:hint="eastAsia" w:eastAsia="方正仿宋_GBK"/>
          <w:sz w:val="33"/>
          <w:szCs w:val="33"/>
        </w:rPr>
        <w:t>）主要</w:t>
      </w:r>
      <w:r>
        <w:rPr>
          <w:rFonts w:eastAsia="方正仿宋_GBK"/>
          <w:sz w:val="33"/>
          <w:szCs w:val="33"/>
        </w:rPr>
        <w:t>质量、时效指标等</w:t>
      </w:r>
      <w:r>
        <w:rPr>
          <w:rFonts w:hint="eastAsia" w:eastAsia="方正仿宋_GBK"/>
          <w:sz w:val="33"/>
          <w:szCs w:val="33"/>
        </w:rPr>
        <w:t>完成情况</w:t>
      </w:r>
    </w:p>
    <w:p w14:paraId="72549979">
      <w:pPr>
        <w:ind w:firstLine="660" w:firstLineChars="200"/>
        <w:rPr>
          <w:rFonts w:eastAsia="方正仿宋_GBK"/>
          <w:sz w:val="33"/>
          <w:szCs w:val="33"/>
        </w:rPr>
      </w:pPr>
      <w:r>
        <w:rPr>
          <w:rFonts w:hint="eastAsia" w:eastAsia="方正仿宋_GBK"/>
          <w:sz w:val="33"/>
          <w:szCs w:val="33"/>
        </w:rPr>
        <w:t>切实保证了县委办及所属单位运行正常，保障各项工作高质量开展。在2022年度保质保量按时完成各项指标。</w:t>
      </w:r>
    </w:p>
    <w:p w14:paraId="403BF8D0">
      <w:pPr>
        <w:ind w:firstLine="660" w:firstLineChars="200"/>
        <w:rPr>
          <w:rFonts w:eastAsia="方正仿宋_GBK"/>
          <w:sz w:val="33"/>
          <w:szCs w:val="33"/>
        </w:rPr>
      </w:pPr>
      <w:r>
        <w:rPr>
          <w:rFonts w:eastAsia="方正仿宋_GBK"/>
          <w:sz w:val="33"/>
          <w:szCs w:val="33"/>
        </w:rPr>
        <w:t>（4）社会效益、可持续影响等</w:t>
      </w:r>
    </w:p>
    <w:p w14:paraId="4C73E206">
      <w:pPr>
        <w:ind w:firstLine="660" w:firstLineChars="200"/>
        <w:rPr>
          <w:rFonts w:eastAsia="方正仿宋_GBK"/>
          <w:sz w:val="33"/>
          <w:szCs w:val="33"/>
        </w:rPr>
      </w:pPr>
      <w:r>
        <w:rPr>
          <w:rFonts w:hint="eastAsia" w:eastAsia="方正仿宋_GBK"/>
          <w:sz w:val="33"/>
          <w:szCs w:val="33"/>
        </w:rPr>
        <w:t>项目运行保障全县各项事业的统筹推进，联系群团工作取得</w:t>
      </w:r>
      <w:r>
        <w:rPr>
          <w:rFonts w:hint="eastAsia" w:eastAsia="方正仿宋_GBK"/>
          <w:sz w:val="33"/>
          <w:szCs w:val="33"/>
          <w:lang w:eastAsia="zh-CN"/>
        </w:rPr>
        <w:t>高质量发展</w:t>
      </w:r>
      <w:r>
        <w:rPr>
          <w:rFonts w:hint="eastAsia" w:eastAsia="方正仿宋_GBK"/>
          <w:sz w:val="33"/>
          <w:szCs w:val="33"/>
        </w:rPr>
        <w:t>，搭建商会，促进民营企业交流互鉴，健康发展，</w:t>
      </w:r>
      <w:r>
        <w:rPr>
          <w:rFonts w:hint="eastAsia" w:eastAsia="方正仿宋_GBK"/>
          <w:sz w:val="33"/>
          <w:szCs w:val="33"/>
          <w:lang w:eastAsia="zh-CN"/>
        </w:rPr>
        <w:t>保障妇女儿童合法权益</w:t>
      </w:r>
      <w:r>
        <w:rPr>
          <w:rFonts w:hint="eastAsia" w:eastAsia="方正仿宋_GBK"/>
          <w:sz w:val="33"/>
          <w:szCs w:val="33"/>
        </w:rPr>
        <w:t>、青少年发展等</w:t>
      </w:r>
      <w:r>
        <w:rPr>
          <w:rFonts w:hint="eastAsia" w:eastAsia="方正仿宋_GBK"/>
          <w:sz w:val="33"/>
          <w:szCs w:val="33"/>
          <w:lang w:eastAsia="zh-CN"/>
        </w:rPr>
        <w:t>方面</w:t>
      </w:r>
      <w:r>
        <w:rPr>
          <w:rFonts w:hint="eastAsia" w:eastAsia="方正仿宋_GBK"/>
          <w:sz w:val="33"/>
          <w:szCs w:val="33"/>
        </w:rPr>
        <w:t>获得社会认可，有效促进全县经济社会高质量发展</w:t>
      </w:r>
    </w:p>
    <w:p w14:paraId="76F39D22">
      <w:pPr>
        <w:widowControl/>
        <w:adjustRightInd w:val="0"/>
        <w:snapToGrid w:val="0"/>
        <w:spacing w:line="560" w:lineRule="exact"/>
        <w:ind w:firstLine="663" w:firstLineChars="200"/>
        <w:contextualSpacing/>
        <w:jc w:val="left"/>
        <w:rPr>
          <w:rFonts w:ascii="方正楷体_GBK" w:hAnsi="方正楷体_GBK" w:eastAsia="方正楷体_GBK" w:cs="方正楷体_GBK"/>
          <w:b/>
          <w:bCs/>
          <w:kern w:val="0"/>
          <w:sz w:val="33"/>
          <w:szCs w:val="33"/>
          <w:shd w:val="clear" w:color="auto" w:fill="FFFFFF"/>
          <w:lang w:val="zh-CN"/>
        </w:rPr>
      </w:pPr>
      <w:r>
        <w:rPr>
          <w:rFonts w:hint="eastAsia" w:ascii="方正楷体_GBK" w:hAnsi="方正楷体_GBK" w:eastAsia="方正楷体_GBK" w:cs="方正楷体_GBK"/>
          <w:b/>
          <w:bCs/>
          <w:kern w:val="0"/>
          <w:sz w:val="33"/>
          <w:szCs w:val="33"/>
          <w:shd w:val="clear" w:color="auto" w:fill="FFFFFF"/>
          <w:lang w:val="zh-CN"/>
        </w:rPr>
        <w:t>（</w:t>
      </w:r>
      <w:r>
        <w:rPr>
          <w:rFonts w:hint="eastAsia" w:ascii="方正楷体_GBK" w:hAnsi="方正楷体_GBK" w:eastAsia="方正楷体_GBK" w:cs="方正楷体_GBK"/>
          <w:b/>
          <w:bCs/>
          <w:kern w:val="0"/>
          <w:sz w:val="33"/>
          <w:szCs w:val="33"/>
          <w:shd w:val="clear" w:color="auto" w:fill="FFFFFF"/>
        </w:rPr>
        <w:t>二</w:t>
      </w:r>
      <w:r>
        <w:rPr>
          <w:rFonts w:hint="eastAsia" w:ascii="方正楷体_GBK" w:hAnsi="方正楷体_GBK" w:eastAsia="方正楷体_GBK" w:cs="方正楷体_GBK"/>
          <w:b/>
          <w:bCs/>
          <w:kern w:val="0"/>
          <w:sz w:val="33"/>
          <w:szCs w:val="33"/>
          <w:shd w:val="clear" w:color="auto" w:fill="FFFFFF"/>
          <w:lang w:val="zh-CN"/>
        </w:rPr>
        <w:t>）部门整体履职绩效分析。</w:t>
      </w:r>
    </w:p>
    <w:p w14:paraId="6AD1B5AC">
      <w:pPr>
        <w:widowControl/>
        <w:adjustRightInd w:val="0"/>
        <w:snapToGrid w:val="0"/>
        <w:spacing w:line="560" w:lineRule="exact"/>
        <w:ind w:left="420" w:leftChars="200" w:firstLine="331" w:firstLineChars="100"/>
        <w:contextualSpacing/>
        <w:jc w:val="left"/>
        <w:rPr>
          <w:rFonts w:ascii="方正楷体_GBK" w:hAnsi="方正楷体_GBK" w:eastAsia="方正楷体_GBK" w:cs="方正楷体_GBK"/>
          <w:b/>
          <w:bCs/>
          <w:kern w:val="0"/>
          <w:sz w:val="33"/>
          <w:szCs w:val="33"/>
        </w:rPr>
      </w:pPr>
      <w:r>
        <w:rPr>
          <w:rFonts w:hint="eastAsia" w:ascii="方正楷体_GBK" w:hAnsi="方正楷体_GBK" w:eastAsia="方正楷体_GBK" w:cs="方正楷体_GBK"/>
          <w:b/>
          <w:bCs/>
          <w:kern w:val="0"/>
          <w:sz w:val="33"/>
          <w:szCs w:val="33"/>
        </w:rPr>
        <w:t>（1）指标完成情况</w:t>
      </w:r>
    </w:p>
    <w:p w14:paraId="2D304302">
      <w:pPr>
        <w:widowControl/>
        <w:adjustRightInd w:val="0"/>
        <w:snapToGrid w:val="0"/>
        <w:spacing w:line="580" w:lineRule="exact"/>
        <w:ind w:firstLine="720"/>
        <w:jc w:val="left"/>
        <w:rPr>
          <w:rFonts w:eastAsia="仿宋_GB2312"/>
          <w:kern w:val="0"/>
          <w:sz w:val="32"/>
          <w:szCs w:val="32"/>
        </w:rPr>
      </w:pPr>
      <w:r>
        <w:rPr>
          <w:rFonts w:hint="eastAsia" w:eastAsia="仿宋_GB2312"/>
          <w:kern w:val="0"/>
          <w:sz w:val="32"/>
          <w:szCs w:val="32"/>
        </w:rPr>
        <w:t>我单位严格遵守各项财经纪律，加强单位财务管理工作，制定了相关规章制度，加强了预算编制，严格按照预算执行，确保财务收支平衡。按照全年进度保证机关正常工作需要的人员经费、公用经费和项目经费正常支付，保障机关正常运转，完成日常工作任务。在2022年度按时按质完成预算指标，完成率100%，2022年无结转结余。</w:t>
      </w:r>
    </w:p>
    <w:p w14:paraId="760E07AA">
      <w:pPr>
        <w:widowControl/>
        <w:adjustRightInd w:val="0"/>
        <w:snapToGrid w:val="0"/>
        <w:spacing w:line="560" w:lineRule="exact"/>
        <w:ind w:left="420" w:leftChars="200" w:firstLine="331" w:firstLineChars="100"/>
        <w:contextualSpacing/>
        <w:jc w:val="left"/>
        <w:rPr>
          <w:rFonts w:ascii="方正楷体_GBK" w:hAnsi="方正楷体_GBK" w:eastAsia="方正楷体_GBK" w:cs="方正楷体_GBK"/>
          <w:b/>
          <w:bCs/>
          <w:kern w:val="0"/>
          <w:sz w:val="33"/>
          <w:szCs w:val="33"/>
        </w:rPr>
      </w:pPr>
      <w:r>
        <w:rPr>
          <w:rFonts w:hint="eastAsia" w:ascii="方正楷体_GBK" w:hAnsi="方正楷体_GBK" w:eastAsia="方正楷体_GBK" w:cs="方正楷体_GBK"/>
          <w:b/>
          <w:bCs/>
          <w:kern w:val="0"/>
          <w:sz w:val="33"/>
          <w:szCs w:val="33"/>
        </w:rPr>
        <w:t>（2）社会效益、可持续发展效益</w:t>
      </w:r>
    </w:p>
    <w:p w14:paraId="52192506">
      <w:pPr>
        <w:widowControl/>
        <w:adjustRightInd w:val="0"/>
        <w:snapToGrid w:val="0"/>
        <w:spacing w:line="560" w:lineRule="exact"/>
        <w:ind w:left="420" w:leftChars="200" w:firstLine="320" w:firstLineChars="100"/>
        <w:contextualSpacing/>
        <w:jc w:val="left"/>
        <w:rPr>
          <w:lang w:val="zh-CN"/>
        </w:rPr>
      </w:pPr>
      <w:r>
        <w:rPr>
          <w:rFonts w:hint="eastAsia" w:eastAsia="仿宋_GB2312"/>
          <w:kern w:val="0"/>
          <w:sz w:val="32"/>
          <w:szCs w:val="32"/>
        </w:rPr>
        <w:t>2022年我单位高质量完成项目建设，资金使用做到安全有效监管，保障全县各项事业的统筹推进，联系群团工作取得</w:t>
      </w:r>
      <w:r>
        <w:rPr>
          <w:rFonts w:hint="eastAsia" w:eastAsia="仿宋_GB2312"/>
          <w:kern w:val="0"/>
          <w:sz w:val="32"/>
          <w:szCs w:val="32"/>
          <w:lang w:eastAsia="zh-CN"/>
        </w:rPr>
        <w:t>高质量发展</w:t>
      </w:r>
      <w:r>
        <w:rPr>
          <w:rFonts w:hint="eastAsia" w:eastAsia="仿宋_GB2312"/>
          <w:kern w:val="0"/>
          <w:sz w:val="32"/>
          <w:szCs w:val="32"/>
        </w:rPr>
        <w:t>，搭建商会，促进民营企业交流互鉴，健康发展，</w:t>
      </w:r>
      <w:r>
        <w:rPr>
          <w:rFonts w:hint="eastAsia" w:eastAsia="仿宋_GB2312"/>
          <w:kern w:val="0"/>
          <w:sz w:val="32"/>
          <w:szCs w:val="32"/>
          <w:lang w:eastAsia="zh-CN"/>
        </w:rPr>
        <w:t>保障妇女儿童合法权益</w:t>
      </w:r>
      <w:r>
        <w:rPr>
          <w:rFonts w:hint="eastAsia" w:eastAsia="仿宋_GB2312"/>
          <w:kern w:val="0"/>
          <w:sz w:val="32"/>
          <w:szCs w:val="32"/>
        </w:rPr>
        <w:t>、青少年发展等</w:t>
      </w:r>
      <w:r>
        <w:rPr>
          <w:rFonts w:hint="eastAsia" w:eastAsia="仿宋_GB2312"/>
          <w:kern w:val="0"/>
          <w:sz w:val="32"/>
          <w:szCs w:val="32"/>
          <w:lang w:eastAsia="zh-CN"/>
        </w:rPr>
        <w:t>方面</w:t>
      </w:r>
      <w:r>
        <w:rPr>
          <w:rFonts w:hint="eastAsia" w:eastAsia="仿宋_GB2312"/>
          <w:kern w:val="0"/>
          <w:sz w:val="32"/>
          <w:szCs w:val="32"/>
        </w:rPr>
        <w:t>获得社会认可，有效促进全县经济社会高质量发展</w:t>
      </w:r>
    </w:p>
    <w:p w14:paraId="6D090DAB">
      <w:pPr>
        <w:widowControl/>
        <w:adjustRightInd w:val="0"/>
        <w:snapToGrid w:val="0"/>
        <w:spacing w:line="560" w:lineRule="exact"/>
        <w:ind w:firstLine="663" w:firstLineChars="200"/>
        <w:contextualSpacing/>
        <w:jc w:val="left"/>
        <w:rPr>
          <w:rFonts w:ascii="方正楷体_GBK" w:hAnsi="方正楷体_GBK" w:eastAsia="方正楷体_GBK" w:cs="方正楷体_GBK"/>
          <w:b/>
          <w:bCs/>
          <w:kern w:val="0"/>
          <w:sz w:val="33"/>
          <w:szCs w:val="33"/>
          <w:shd w:val="clear" w:color="auto" w:fill="FFFFFF"/>
          <w:lang w:val="zh-CN"/>
        </w:rPr>
      </w:pPr>
      <w:r>
        <w:rPr>
          <w:rFonts w:hint="eastAsia" w:ascii="方正楷体_GBK" w:hAnsi="方正楷体_GBK" w:eastAsia="方正楷体_GBK" w:cs="方正楷体_GBK"/>
          <w:b/>
          <w:bCs/>
          <w:kern w:val="0"/>
          <w:sz w:val="33"/>
          <w:szCs w:val="33"/>
          <w:shd w:val="clear" w:color="auto" w:fill="FFFFFF"/>
          <w:lang w:val="zh-CN"/>
        </w:rPr>
        <w:t>（</w:t>
      </w:r>
      <w:r>
        <w:rPr>
          <w:rFonts w:hint="eastAsia" w:ascii="方正楷体_GBK" w:hAnsi="方正楷体_GBK" w:eastAsia="方正楷体_GBK" w:cs="方正楷体_GBK"/>
          <w:b/>
          <w:bCs/>
          <w:kern w:val="0"/>
          <w:sz w:val="33"/>
          <w:szCs w:val="33"/>
          <w:shd w:val="clear" w:color="auto" w:fill="FFFFFF"/>
        </w:rPr>
        <w:t>三</w:t>
      </w:r>
      <w:r>
        <w:rPr>
          <w:rFonts w:hint="eastAsia" w:ascii="方正楷体_GBK" w:hAnsi="方正楷体_GBK" w:eastAsia="方正楷体_GBK" w:cs="方正楷体_GBK"/>
          <w:b/>
          <w:bCs/>
          <w:kern w:val="0"/>
          <w:sz w:val="33"/>
          <w:szCs w:val="33"/>
          <w:shd w:val="clear" w:color="auto" w:fill="FFFFFF"/>
          <w:lang w:val="zh-CN"/>
        </w:rPr>
        <w:t>）结果应用情况。</w:t>
      </w:r>
    </w:p>
    <w:p w14:paraId="126005D6">
      <w:pPr>
        <w:widowControl/>
        <w:adjustRightInd w:val="0"/>
        <w:snapToGrid w:val="0"/>
        <w:spacing w:line="560" w:lineRule="exact"/>
        <w:ind w:left="420" w:leftChars="200" w:firstLine="331" w:firstLineChars="100"/>
        <w:contextualSpacing/>
        <w:jc w:val="left"/>
        <w:rPr>
          <w:rFonts w:ascii="方正楷体_GBK" w:hAnsi="方正楷体_GBK" w:eastAsia="方正楷体_GBK" w:cs="方正楷体_GBK"/>
          <w:b/>
          <w:bCs/>
          <w:kern w:val="0"/>
          <w:sz w:val="33"/>
          <w:szCs w:val="33"/>
          <w:lang w:val="zh-CN"/>
        </w:rPr>
      </w:pPr>
      <w:r>
        <w:rPr>
          <w:rFonts w:hint="eastAsia" w:ascii="方正楷体_GBK" w:hAnsi="方正楷体_GBK" w:eastAsia="方正楷体_GBK" w:cs="方正楷体_GBK"/>
          <w:b/>
          <w:bCs/>
          <w:kern w:val="0"/>
          <w:sz w:val="33"/>
          <w:szCs w:val="33"/>
        </w:rPr>
        <w:t>1. 内部控制制度情况。</w:t>
      </w:r>
    </w:p>
    <w:p w14:paraId="07AEF4A0">
      <w:pPr>
        <w:ind w:firstLine="660" w:firstLineChars="200"/>
        <w:rPr>
          <w:rFonts w:eastAsia="方正仿宋_GBK"/>
          <w:sz w:val="33"/>
          <w:szCs w:val="33"/>
        </w:rPr>
      </w:pPr>
      <w:r>
        <w:rPr>
          <w:rFonts w:eastAsia="方正仿宋_GBK"/>
          <w:sz w:val="33"/>
          <w:szCs w:val="33"/>
        </w:rPr>
        <w:t>按照工作职责，逐一编制内部控制制度，中心内控制度主要包括：内部控制设置预算业务管理；收支业务管理；政府采购业务管理；国有资产业务管理；建设项目业务管理；合同业务管理。</w:t>
      </w:r>
    </w:p>
    <w:p w14:paraId="3DAC101A">
      <w:pPr>
        <w:ind w:firstLine="660" w:firstLineChars="200"/>
        <w:rPr>
          <w:rFonts w:eastAsia="方正仿宋_GBK"/>
          <w:sz w:val="33"/>
          <w:szCs w:val="33"/>
        </w:rPr>
      </w:pPr>
      <w:r>
        <w:rPr>
          <w:rFonts w:eastAsia="方正仿宋_GBK"/>
          <w:sz w:val="33"/>
          <w:szCs w:val="33"/>
        </w:rPr>
        <w:t>部门内部控制制度的执行。按照内部控制制度要求，一是严格预算业务管理，做到预算编制与审核分离；预算审批与执行分离；预算执行与分析分离；决算编制与审核分离。二是规范收支业务管理，收款与会计核算分离；支出申请与审批分离；支出审批与付款分离；业务经办与会计核算分离。三是加强政府采购业务管理，采购需求提出与审核分离；采购方式确定与审核分离；采购执行与验收分离；采购验收与登记分离。四是强化国有资产业务管理，货币资金保管、稽核与账目登记分离；资产财务账与实物账分离；资产保管与清查分离，不断提升中心内部管理能力和水平。</w:t>
      </w:r>
    </w:p>
    <w:p w14:paraId="6213B27D">
      <w:pPr>
        <w:widowControl/>
        <w:adjustRightInd w:val="0"/>
        <w:snapToGrid w:val="0"/>
        <w:spacing w:line="560" w:lineRule="exact"/>
        <w:ind w:left="420" w:leftChars="200" w:firstLine="331" w:firstLineChars="100"/>
        <w:contextualSpacing/>
        <w:jc w:val="left"/>
        <w:rPr>
          <w:rFonts w:ascii="方正楷体_GBK" w:hAnsi="方正楷体_GBK" w:eastAsia="方正楷体_GBK" w:cs="方正楷体_GBK"/>
          <w:b/>
          <w:bCs/>
          <w:kern w:val="0"/>
          <w:sz w:val="33"/>
          <w:szCs w:val="33"/>
        </w:rPr>
      </w:pPr>
      <w:r>
        <w:rPr>
          <w:rFonts w:hint="eastAsia" w:ascii="方正楷体_GBK" w:hAnsi="方正楷体_GBK" w:eastAsia="方正楷体_GBK" w:cs="方正楷体_GBK"/>
          <w:b/>
          <w:bCs/>
          <w:kern w:val="0"/>
          <w:sz w:val="33"/>
          <w:szCs w:val="33"/>
        </w:rPr>
        <w:t>2. 信息公开。</w:t>
      </w:r>
    </w:p>
    <w:p w14:paraId="44F98821">
      <w:pPr>
        <w:ind w:firstLine="660" w:firstLineChars="200"/>
        <w:rPr>
          <w:rFonts w:eastAsia="方正仿宋_GBK"/>
          <w:sz w:val="33"/>
          <w:szCs w:val="33"/>
        </w:rPr>
      </w:pPr>
      <w:r>
        <w:rPr>
          <w:rFonts w:hint="eastAsia" w:eastAsia="方正仿宋_GBK"/>
          <w:sz w:val="33"/>
          <w:szCs w:val="33"/>
        </w:rPr>
        <w:t>我单位均按县财政局要求，按时在盐边县公众信息网的财政信息板块挂网公开，公开及时，内容完整、详细、真实，公开内容按照县财政局部门要求结合我单位年度预决算的相关数据情况编写。</w:t>
      </w:r>
    </w:p>
    <w:p w14:paraId="101ED7FC">
      <w:pPr>
        <w:widowControl/>
        <w:adjustRightInd w:val="0"/>
        <w:snapToGrid w:val="0"/>
        <w:spacing w:line="560" w:lineRule="exact"/>
        <w:ind w:left="420" w:leftChars="200" w:firstLine="331" w:firstLineChars="100"/>
        <w:contextualSpacing/>
        <w:jc w:val="left"/>
        <w:rPr>
          <w:rFonts w:ascii="方正楷体_GBK" w:hAnsi="方正楷体_GBK" w:eastAsia="方正楷体_GBK" w:cs="方正楷体_GBK"/>
          <w:b/>
          <w:bCs/>
          <w:kern w:val="0"/>
          <w:sz w:val="33"/>
          <w:szCs w:val="33"/>
        </w:rPr>
      </w:pPr>
      <w:r>
        <w:rPr>
          <w:rFonts w:hint="eastAsia" w:ascii="方正楷体_GBK" w:hAnsi="方正楷体_GBK" w:eastAsia="方正楷体_GBK" w:cs="方正楷体_GBK"/>
          <w:b/>
          <w:bCs/>
          <w:kern w:val="0"/>
          <w:sz w:val="33"/>
          <w:szCs w:val="33"/>
        </w:rPr>
        <w:t>3. 绩效监控。</w:t>
      </w:r>
    </w:p>
    <w:p w14:paraId="6738F530">
      <w:pPr>
        <w:ind w:firstLine="660" w:firstLineChars="200"/>
        <w:rPr>
          <w:rFonts w:eastAsia="方正仿宋_GBK"/>
          <w:sz w:val="33"/>
          <w:szCs w:val="33"/>
          <w:lang w:val="zh-CN"/>
        </w:rPr>
      </w:pPr>
      <w:r>
        <w:rPr>
          <w:rFonts w:hint="eastAsia" w:eastAsia="方正仿宋_GBK"/>
          <w:sz w:val="33"/>
          <w:szCs w:val="33"/>
        </w:rPr>
        <w:t>我单位对2022年预算执行进度进行严格监控。年中绩效监控预计能够全面完成全年部门预算。因此在2022年下半年严格按照编制的绩效目标推进工作，控制部门支出，确保在年内准确完成部门绩效目标。</w:t>
      </w:r>
    </w:p>
    <w:p w14:paraId="760617F7">
      <w:pPr>
        <w:widowControl/>
        <w:numPr>
          <w:ilvl w:val="0"/>
          <w:numId w:val="4"/>
        </w:numPr>
        <w:adjustRightInd w:val="0"/>
        <w:snapToGrid w:val="0"/>
        <w:spacing w:line="560" w:lineRule="exact"/>
        <w:ind w:firstLine="663" w:firstLineChars="200"/>
        <w:contextualSpacing/>
        <w:jc w:val="left"/>
        <w:rPr>
          <w:rFonts w:ascii="方正楷体_GBK" w:hAnsi="方正楷体_GBK" w:eastAsia="方正楷体_GBK" w:cs="方正楷体_GBK"/>
          <w:b/>
          <w:bCs/>
          <w:color w:val="000000" w:themeColor="text1"/>
          <w:kern w:val="0"/>
          <w:sz w:val="33"/>
          <w:szCs w:val="33"/>
          <w:shd w:val="clear" w:color="auto" w:fill="FFFFFF"/>
          <w:lang w:val="zh-CN"/>
        </w:rPr>
      </w:pPr>
      <w:r>
        <w:rPr>
          <w:rFonts w:hint="eastAsia" w:ascii="方正楷体_GBK" w:hAnsi="方正楷体_GBK" w:eastAsia="方正楷体_GBK" w:cs="方正楷体_GBK"/>
          <w:b/>
          <w:bCs/>
          <w:color w:val="000000" w:themeColor="text1"/>
          <w:kern w:val="0"/>
          <w:sz w:val="33"/>
          <w:szCs w:val="33"/>
          <w:shd w:val="clear" w:color="auto" w:fill="FFFFFF"/>
          <w:lang w:val="zh-CN"/>
        </w:rPr>
        <w:t>自评质量。</w:t>
      </w:r>
    </w:p>
    <w:p w14:paraId="3FEF351A">
      <w:pPr>
        <w:ind w:firstLine="660" w:firstLineChars="200"/>
        <w:rPr>
          <w:rFonts w:eastAsia="方正仿宋_GBK"/>
          <w:sz w:val="33"/>
          <w:szCs w:val="33"/>
        </w:rPr>
      </w:pPr>
      <w:r>
        <w:rPr>
          <w:rFonts w:hint="eastAsia" w:eastAsia="方正仿宋_GBK"/>
          <w:sz w:val="33"/>
          <w:szCs w:val="33"/>
        </w:rPr>
        <w:t>2022</w:t>
      </w:r>
      <w:r>
        <w:rPr>
          <w:rFonts w:eastAsia="方正仿宋_GBK"/>
          <w:sz w:val="33"/>
          <w:szCs w:val="33"/>
        </w:rPr>
        <w:t>年，县委办公室认真做好年度财政资金的预算编制工作，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14:paraId="72CBCC88">
      <w:pPr>
        <w:widowControl/>
        <w:adjustRightInd w:val="0"/>
        <w:snapToGrid w:val="0"/>
        <w:spacing w:line="560" w:lineRule="exact"/>
        <w:ind w:firstLine="660" w:firstLineChars="200"/>
        <w:contextualSpacing/>
        <w:jc w:val="left"/>
        <w:rPr>
          <w:rFonts w:ascii="方正黑体_GBK" w:hAnsi="方正黑体_GBK" w:eastAsia="方正黑体_GBK" w:cs="方正黑体_GBK"/>
          <w:color w:val="000000" w:themeColor="text1"/>
          <w:kern w:val="0"/>
          <w:sz w:val="33"/>
          <w:szCs w:val="33"/>
          <w:shd w:val="clear" w:color="auto" w:fill="FFFFFF"/>
        </w:rPr>
      </w:pPr>
      <w:r>
        <w:rPr>
          <w:rFonts w:hint="eastAsia" w:ascii="方正黑体_GBK" w:hAnsi="方正黑体_GBK" w:eastAsia="方正黑体_GBK" w:cs="方正黑体_GBK"/>
          <w:color w:val="000000" w:themeColor="text1"/>
          <w:kern w:val="0"/>
          <w:sz w:val="33"/>
          <w:szCs w:val="33"/>
          <w:shd w:val="clear" w:color="auto" w:fill="FFFFFF"/>
        </w:rPr>
        <w:t>四、评价结论及建议</w:t>
      </w:r>
    </w:p>
    <w:p w14:paraId="02226D7F">
      <w:pPr>
        <w:widowControl/>
        <w:adjustRightInd w:val="0"/>
        <w:snapToGrid w:val="0"/>
        <w:spacing w:line="560" w:lineRule="exact"/>
        <w:ind w:firstLine="663" w:firstLineChars="200"/>
        <w:contextualSpacing/>
        <w:jc w:val="left"/>
        <w:rPr>
          <w:rFonts w:ascii="方正楷体_GBK" w:hAnsi="方正楷体_GBK" w:eastAsia="方正楷体_GBK" w:cs="方正楷体_GBK"/>
          <w:b/>
          <w:bCs/>
          <w:color w:val="000000" w:themeColor="text1"/>
          <w:kern w:val="0"/>
          <w:sz w:val="33"/>
          <w:szCs w:val="33"/>
          <w:shd w:val="clear" w:color="auto" w:fill="FFFFFF"/>
          <w:lang w:val="zh-CN"/>
        </w:rPr>
      </w:pPr>
      <w:r>
        <w:rPr>
          <w:rFonts w:hint="eastAsia" w:ascii="方正楷体_GBK" w:hAnsi="方正楷体_GBK" w:eastAsia="方正楷体_GBK" w:cs="方正楷体_GBK"/>
          <w:b/>
          <w:bCs/>
          <w:color w:val="000000" w:themeColor="text1"/>
          <w:kern w:val="0"/>
          <w:sz w:val="33"/>
          <w:szCs w:val="33"/>
          <w:shd w:val="clear" w:color="auto" w:fill="FFFFFF"/>
          <w:lang w:val="zh-CN"/>
        </w:rPr>
        <w:t>（一）评价结论。</w:t>
      </w:r>
    </w:p>
    <w:p w14:paraId="46A250D5">
      <w:pPr>
        <w:widowControl/>
        <w:adjustRightInd w:val="0"/>
        <w:snapToGrid w:val="0"/>
        <w:spacing w:line="580" w:lineRule="exact"/>
        <w:ind w:firstLine="660" w:firstLineChars="200"/>
        <w:contextualSpacing/>
        <w:jc w:val="left"/>
        <w:rPr>
          <w:rFonts w:ascii="方正仿宋_GBK" w:hAnsi="方正仿宋_GBK" w:eastAsia="方正仿宋_GBK" w:cs="方正仿宋_GBK"/>
          <w:kern w:val="0"/>
          <w:sz w:val="33"/>
          <w:szCs w:val="33"/>
        </w:rPr>
      </w:pPr>
      <w:r>
        <w:rPr>
          <w:rFonts w:hint="eastAsia" w:ascii="方正仿宋_GBK" w:hAnsi="方正仿宋_GBK" w:eastAsia="方正仿宋_GBK" w:cs="方正仿宋_GBK"/>
          <w:kern w:val="0"/>
          <w:sz w:val="33"/>
          <w:szCs w:val="33"/>
        </w:rPr>
        <w:t>我单位严格按照2022年县级部门整体支出绩效评价指标体系开展部门整体绩效评价工作，按照指标体系进行自评，在资金预算编制方面、预算执行、综合管理、整体绩效方面，均按照国家政策法规规定，结合本单位实际情况及相关规定严格执行，并合理安排项目资金，使财政资金发挥最大的效益，确保各项工作高效规范有序运转，圆满完成年初下达的各项工作任务，切实推进了各项档案工作。</w:t>
      </w:r>
    </w:p>
    <w:p w14:paraId="2B76C952">
      <w:pPr>
        <w:widowControl/>
        <w:numPr>
          <w:ilvl w:val="0"/>
          <w:numId w:val="5"/>
        </w:numPr>
        <w:adjustRightInd w:val="0"/>
        <w:snapToGrid w:val="0"/>
        <w:spacing w:line="560" w:lineRule="exact"/>
        <w:ind w:firstLine="663" w:firstLineChars="200"/>
        <w:contextualSpacing/>
        <w:jc w:val="left"/>
        <w:rPr>
          <w:rFonts w:ascii="方正楷体_GBK" w:hAnsi="方正楷体_GBK" w:eastAsia="方正楷体_GBK" w:cs="方正楷体_GBK"/>
          <w:b/>
          <w:bCs/>
          <w:color w:val="000000" w:themeColor="text1"/>
          <w:kern w:val="0"/>
          <w:sz w:val="33"/>
          <w:szCs w:val="33"/>
          <w:shd w:val="clear" w:color="auto" w:fill="FFFFFF"/>
          <w:lang w:val="zh-CN"/>
        </w:rPr>
      </w:pPr>
      <w:r>
        <w:rPr>
          <w:rFonts w:hint="eastAsia" w:ascii="方正楷体_GBK" w:hAnsi="方正楷体_GBK" w:eastAsia="方正楷体_GBK" w:cs="方正楷体_GBK"/>
          <w:b/>
          <w:bCs/>
          <w:color w:val="000000" w:themeColor="text1"/>
          <w:kern w:val="0"/>
          <w:sz w:val="33"/>
          <w:szCs w:val="33"/>
          <w:shd w:val="clear" w:color="auto" w:fill="FFFFFF"/>
          <w:lang w:val="zh-CN"/>
        </w:rPr>
        <w:t>存在问题。</w:t>
      </w:r>
    </w:p>
    <w:p w14:paraId="23B403B6">
      <w:pPr>
        <w:pStyle w:val="2"/>
        <w:spacing w:beforeLines="0"/>
        <w:ind w:firstLine="660" w:firstLineChars="200"/>
        <w:rPr>
          <w:rFonts w:ascii="方正仿宋_GBK" w:hAnsi="方正仿宋_GBK" w:eastAsia="方正仿宋_GBK" w:cs="方正仿宋_GBK"/>
          <w:sz w:val="33"/>
          <w:szCs w:val="33"/>
          <w:lang w:val="zh-CN"/>
        </w:rPr>
      </w:pPr>
      <w:r>
        <w:rPr>
          <w:rFonts w:ascii="方正仿宋_GBK" w:hAnsi="方正仿宋_GBK" w:eastAsia="方正仿宋_GBK" w:cs="方正仿宋_GBK"/>
          <w:sz w:val="33"/>
          <w:szCs w:val="33"/>
        </w:rPr>
        <w:t>绩效目标设立不够明确、细化和量化。项目单位虽然设立了项目资金绩效目标，但目标不够明确、细化和量化。</w:t>
      </w:r>
    </w:p>
    <w:p w14:paraId="5E60BB2A">
      <w:pPr>
        <w:widowControl/>
        <w:numPr>
          <w:ilvl w:val="0"/>
          <w:numId w:val="5"/>
        </w:numPr>
        <w:adjustRightInd w:val="0"/>
        <w:snapToGrid w:val="0"/>
        <w:spacing w:line="560" w:lineRule="exact"/>
        <w:ind w:firstLine="663" w:firstLineChars="200"/>
        <w:contextualSpacing/>
        <w:jc w:val="left"/>
        <w:rPr>
          <w:rFonts w:ascii="方正楷体_GBK" w:hAnsi="方正楷体_GBK" w:eastAsia="方正楷体_GBK" w:cs="方正楷体_GBK"/>
          <w:b/>
          <w:bCs/>
          <w:color w:val="000000" w:themeColor="text1"/>
          <w:kern w:val="0"/>
          <w:sz w:val="33"/>
          <w:szCs w:val="33"/>
          <w:shd w:val="clear" w:color="auto" w:fill="FFFFFF"/>
          <w:lang w:val="zh-CN"/>
        </w:rPr>
      </w:pPr>
      <w:r>
        <w:rPr>
          <w:rFonts w:hint="eastAsia" w:ascii="方正楷体_GBK" w:hAnsi="方正楷体_GBK" w:eastAsia="方正楷体_GBK" w:cs="方正楷体_GBK"/>
          <w:b/>
          <w:bCs/>
          <w:color w:val="000000" w:themeColor="text1"/>
          <w:kern w:val="0"/>
          <w:sz w:val="33"/>
          <w:szCs w:val="33"/>
          <w:shd w:val="clear" w:color="auto" w:fill="FFFFFF"/>
          <w:lang w:val="zh-CN"/>
        </w:rPr>
        <w:t>改进建议。</w:t>
      </w:r>
    </w:p>
    <w:p w14:paraId="24C97FB9">
      <w:pPr>
        <w:pStyle w:val="2"/>
        <w:spacing w:beforeLines="0"/>
        <w:ind w:firstLine="660" w:firstLineChars="200"/>
        <w:rPr>
          <w:rFonts w:ascii="方正仿宋_GBK" w:hAnsi="方正仿宋_GBK" w:eastAsia="方正仿宋_GBK" w:cs="方正仿宋_GBK"/>
          <w:sz w:val="33"/>
          <w:szCs w:val="33"/>
          <w:lang w:val="zh-CN"/>
        </w:rPr>
      </w:pPr>
      <w:r>
        <w:rPr>
          <w:rFonts w:ascii="方正仿宋_GBK" w:hAnsi="方正仿宋_GBK" w:eastAsia="方正仿宋_GBK" w:cs="方正仿宋_GBK"/>
          <w:sz w:val="33"/>
          <w:szCs w:val="33"/>
        </w:rPr>
        <w:t>一是严格本部门（单位）财务管理，严格按照《中华人民共和国预算法</w:t>
      </w:r>
      <w:r>
        <w:rPr>
          <w:rFonts w:hint="eastAsia" w:ascii="方正仿宋_GBK" w:hAnsi="方正仿宋_GBK" w:eastAsia="方正仿宋_GBK" w:cs="方正仿宋_GBK"/>
          <w:sz w:val="33"/>
          <w:szCs w:val="33"/>
          <w:lang w:eastAsia="zh-CN"/>
        </w:rPr>
        <w:t>》《</w:t>
      </w:r>
      <w:r>
        <w:rPr>
          <w:rFonts w:ascii="方正仿宋_GBK" w:hAnsi="方正仿宋_GBK" w:eastAsia="方正仿宋_GBK" w:cs="方正仿宋_GBK"/>
          <w:sz w:val="33"/>
          <w:szCs w:val="33"/>
        </w:rPr>
        <w:t>中华人民共和国预算法实施条例</w:t>
      </w:r>
      <w:r>
        <w:rPr>
          <w:rFonts w:hint="eastAsia" w:ascii="方正仿宋_GBK" w:hAnsi="方正仿宋_GBK" w:eastAsia="方正仿宋_GBK" w:cs="方正仿宋_GBK"/>
          <w:sz w:val="33"/>
          <w:szCs w:val="33"/>
          <w:lang w:eastAsia="zh-CN"/>
        </w:rPr>
        <w:t>》《</w:t>
      </w:r>
      <w:r>
        <w:rPr>
          <w:rFonts w:ascii="方正仿宋_GBK" w:hAnsi="方正仿宋_GBK" w:eastAsia="方正仿宋_GBK" w:cs="方正仿宋_GBK"/>
          <w:sz w:val="33"/>
          <w:szCs w:val="33"/>
        </w:rPr>
        <w:t>新政府会计制度》等财经法规认真进行核算。二是高质量进行预算编制、决算组织、编报、审核工作。并按照盐边县财政局规定，高质量、高标准、准确及时完成部门决算编报、审核工作。三是加强单位预算绩效意识本年单位预算绩效意识有所增强，但绩效管理理念尚有欠缺，进一步推动“学绩效、用绩效、问绩效”的工作思维。进一步完善预算绩效目标的科学化及可操作性。在本年的基础上就绩效目标完成及考核情况，进一步完善预算绩效目标设立的科学性和考核可操作性，更加注重财政支出的经济性、效率性和有效性，加强预算绩效考核结果的运用。四是大力推进运行预算绩效监控将预算绩效监控系统化、制度化，通过预算监控倒查预算执行中的问题，在及时推进支付进度的同时，加强资金管理，优化资源配置，保障绩效目标达成。五是建议财政部门加强对各部门财务人员的业务培训，提升各部门财务人员业务水平、技能，使各部门财务人员不仅能够独立编制各种财务报表，还要能分析报表数据，为部门领导决策提供有力保障。</w:t>
      </w:r>
    </w:p>
    <w:p w14:paraId="1C852DEF">
      <w:pPr>
        <w:pStyle w:val="2"/>
        <w:spacing w:beforeLines="0"/>
        <w:ind w:firstLine="660" w:firstLineChars="200"/>
        <w:rPr>
          <w:rFonts w:hint="default"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rPr>
        <w:t>2022年度部门预算项目支出绩效自评表</w:t>
      </w:r>
      <w:r>
        <w:rPr>
          <w:rFonts w:hint="eastAsia" w:ascii="方正仿宋_GBK" w:hAnsi="方正仿宋_GBK" w:eastAsia="方正仿宋_GBK" w:cs="方正仿宋_GBK"/>
          <w:sz w:val="33"/>
          <w:szCs w:val="33"/>
          <w:lang w:val="en-US" w:eastAsia="zh-CN"/>
        </w:rPr>
        <w:t>作为附件单独公开。</w:t>
      </w:r>
    </w:p>
    <w:p w14:paraId="7CB5F656">
      <w:pPr>
        <w:pStyle w:val="2"/>
        <w:spacing w:beforeLines="0"/>
        <w:ind w:firstLine="660" w:firstLineChars="200"/>
        <w:rPr>
          <w:rFonts w:ascii="方正仿宋_GBK" w:hAnsi="方正仿宋_GBK" w:eastAsia="方正仿宋_GBK" w:cs="方正仿宋_GBK"/>
          <w:sz w:val="33"/>
          <w:szCs w:val="33"/>
        </w:rPr>
      </w:pPr>
    </w:p>
    <w:p w14:paraId="0792A767">
      <w:pPr>
        <w:pStyle w:val="2"/>
        <w:spacing w:beforeLines="0"/>
        <w:ind w:firstLine="660" w:firstLineChars="200"/>
        <w:rPr>
          <w:rFonts w:ascii="方正仿宋_GBK" w:hAnsi="方正仿宋_GBK" w:eastAsia="方正仿宋_GBK" w:cs="方正仿宋_GBK"/>
          <w:sz w:val="33"/>
          <w:szCs w:val="33"/>
        </w:rPr>
      </w:pPr>
    </w:p>
    <w:p w14:paraId="2C253E2C">
      <w:pPr>
        <w:pStyle w:val="2"/>
        <w:spacing w:beforeLines="0"/>
        <w:ind w:firstLine="660" w:firstLineChars="200"/>
        <w:rPr>
          <w:rFonts w:ascii="方正仿宋_GBK" w:hAnsi="方正仿宋_GBK" w:eastAsia="方正仿宋_GBK" w:cs="方正仿宋_GBK"/>
          <w:sz w:val="33"/>
          <w:szCs w:val="33"/>
        </w:rPr>
      </w:pPr>
    </w:p>
    <w:p w14:paraId="314FD7ED">
      <w:pPr>
        <w:pStyle w:val="2"/>
        <w:spacing w:beforeLines="0"/>
        <w:ind w:firstLine="660" w:firstLineChars="200"/>
        <w:rPr>
          <w:rFonts w:ascii="方正仿宋_GBK" w:hAnsi="方正仿宋_GBK" w:eastAsia="方正仿宋_GBK" w:cs="方正仿宋_GBK"/>
          <w:sz w:val="33"/>
          <w:szCs w:val="33"/>
        </w:rPr>
      </w:pPr>
    </w:p>
    <w:p w14:paraId="0AE5FB63">
      <w:pPr>
        <w:pStyle w:val="2"/>
        <w:spacing w:beforeLines="0"/>
        <w:rPr>
          <w:rFonts w:ascii="方正仿宋_GBK" w:hAnsi="方正仿宋_GBK" w:eastAsia="方正仿宋_GBK" w:cs="方正仿宋_GBK"/>
          <w:sz w:val="33"/>
          <w:szCs w:val="33"/>
        </w:rPr>
      </w:pPr>
    </w:p>
    <w:tbl>
      <w:tblPr>
        <w:tblStyle w:val="16"/>
        <w:tblpPr w:leftFromText="180" w:rightFromText="180" w:vertAnchor="text" w:horzAnchor="page" w:tblpX="1281" w:tblpY="660"/>
        <w:tblOverlap w:val="never"/>
        <w:tblW w:w="236" w:type="dxa"/>
        <w:tblInd w:w="0" w:type="dxa"/>
        <w:tblLayout w:type="fixed"/>
        <w:tblCellMar>
          <w:top w:w="0" w:type="dxa"/>
          <w:left w:w="108" w:type="dxa"/>
          <w:bottom w:w="0" w:type="dxa"/>
          <w:right w:w="108" w:type="dxa"/>
        </w:tblCellMar>
      </w:tblPr>
      <w:tblGrid>
        <w:gridCol w:w="236"/>
      </w:tblGrid>
      <w:tr w14:paraId="306A6D6C">
        <w:tblPrEx>
          <w:tblCellMar>
            <w:top w:w="0" w:type="dxa"/>
            <w:left w:w="108" w:type="dxa"/>
            <w:bottom w:w="0" w:type="dxa"/>
            <w:right w:w="108" w:type="dxa"/>
          </w:tblCellMar>
        </w:tblPrEx>
        <w:trPr>
          <w:trHeight w:val="675" w:hRule="atLeast"/>
        </w:trPr>
        <w:tc>
          <w:tcPr>
            <w:tcW w:w="236" w:type="dxa"/>
            <w:tcBorders>
              <w:top w:val="nil"/>
              <w:left w:val="nil"/>
              <w:bottom w:val="nil"/>
              <w:right w:val="nil"/>
            </w:tcBorders>
            <w:vAlign w:val="center"/>
          </w:tcPr>
          <w:p w14:paraId="410FB54C">
            <w:pPr>
              <w:widowControl/>
              <w:jc w:val="center"/>
              <w:textAlignment w:val="center"/>
              <w:rPr>
                <w:rFonts w:eastAsia="方正仿宋_GBK"/>
                <w:b/>
                <w:kern w:val="0"/>
                <w:sz w:val="33"/>
                <w:szCs w:val="33"/>
              </w:rPr>
            </w:pPr>
          </w:p>
        </w:tc>
      </w:tr>
      <w:tr w14:paraId="429F4AAF">
        <w:tblPrEx>
          <w:tblCellMar>
            <w:top w:w="0" w:type="dxa"/>
            <w:left w:w="108" w:type="dxa"/>
            <w:bottom w:w="0" w:type="dxa"/>
            <w:right w:w="108" w:type="dxa"/>
          </w:tblCellMar>
        </w:tblPrEx>
        <w:trPr>
          <w:trHeight w:val="675" w:hRule="atLeast"/>
        </w:trPr>
        <w:tc>
          <w:tcPr>
            <w:tcW w:w="236" w:type="dxa"/>
            <w:tcBorders>
              <w:top w:val="nil"/>
              <w:left w:val="nil"/>
              <w:bottom w:val="nil"/>
              <w:right w:val="nil"/>
            </w:tcBorders>
            <w:shd w:val="clear" w:color="auto" w:fill="auto"/>
            <w:vAlign w:val="center"/>
          </w:tcPr>
          <w:p w14:paraId="1694703C">
            <w:pPr>
              <w:widowControl/>
              <w:jc w:val="center"/>
              <w:textAlignment w:val="center"/>
              <w:rPr>
                <w:b/>
                <w:kern w:val="0"/>
                <w:sz w:val="32"/>
                <w:szCs w:val="32"/>
              </w:rPr>
            </w:pPr>
          </w:p>
        </w:tc>
      </w:tr>
    </w:tbl>
    <w:p w14:paraId="430EC000">
      <w:pPr>
        <w:pStyle w:val="2"/>
        <w:spacing w:beforeLines="0"/>
        <w:rPr>
          <w:rFonts w:hAnsi="宋体" w:cs="宋体"/>
          <w:sz w:val="32"/>
          <w:szCs w:val="32"/>
          <w:shd w:val="clear" w:color="auto" w:fill="FFFFFF"/>
        </w:rPr>
      </w:pPr>
    </w:p>
    <w:p w14:paraId="70BDD8EA">
      <w:pPr>
        <w:pStyle w:val="2"/>
        <w:spacing w:beforeLines="0"/>
        <w:ind w:firstLine="640" w:firstLineChars="200"/>
        <w:rPr>
          <w:rFonts w:hAnsi="宋体" w:cs="宋体"/>
          <w:sz w:val="32"/>
          <w:szCs w:val="32"/>
          <w:shd w:val="clear" w:color="auto" w:fill="FFFFFF"/>
        </w:rPr>
      </w:pPr>
    </w:p>
    <w:p w14:paraId="4BBCCB03">
      <w:pPr>
        <w:pStyle w:val="2"/>
        <w:spacing w:beforeLines="0"/>
        <w:ind w:firstLine="640" w:firstLineChars="200"/>
        <w:rPr>
          <w:rFonts w:hAnsi="宋体" w:cs="宋体"/>
          <w:sz w:val="32"/>
          <w:szCs w:val="32"/>
          <w:shd w:val="clear" w:color="auto" w:fill="FFFFFF"/>
        </w:rPr>
      </w:pPr>
    </w:p>
    <w:p w14:paraId="1882627F">
      <w:pPr>
        <w:pStyle w:val="2"/>
        <w:spacing w:beforeLines="0"/>
        <w:ind w:firstLine="640" w:firstLineChars="200"/>
        <w:rPr>
          <w:rFonts w:hAnsi="宋体" w:cs="宋体"/>
          <w:sz w:val="32"/>
          <w:szCs w:val="32"/>
          <w:shd w:val="clear" w:color="auto" w:fill="FFFFFF"/>
        </w:rPr>
      </w:pPr>
    </w:p>
    <w:p w14:paraId="585FB1CC">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14:paraId="718FD503">
      <w:pPr>
        <w:pStyle w:val="37"/>
        <w:spacing w:line="578" w:lineRule="exact"/>
        <w:jc w:val="center"/>
        <w:rPr>
          <w:rFonts w:ascii="方正小标宋_GBK" w:hAnsi="方正小标宋_GBK" w:eastAsia="方正小标宋_GBK" w:cs="方正小标宋_GBK"/>
          <w:color w:val="000000" w:themeColor="text1"/>
          <w:kern w:val="2"/>
          <w:sz w:val="38"/>
          <w:szCs w:val="38"/>
          <w:lang w:val="en-US"/>
        </w:rPr>
      </w:pPr>
      <w:r>
        <w:rPr>
          <w:rFonts w:hint="eastAsia" w:ascii="方正小标宋_GBK" w:hAnsi="方正小标宋_GBK" w:eastAsia="方正小标宋_GBK" w:cs="方正小标宋_GBK"/>
          <w:color w:val="000000" w:themeColor="text1"/>
          <w:kern w:val="2"/>
          <w:sz w:val="38"/>
          <w:szCs w:val="38"/>
          <w:lang w:val="en-US"/>
        </w:rPr>
        <w:t>2022年县委办工作经费</w:t>
      </w:r>
    </w:p>
    <w:p w14:paraId="6993AEDC">
      <w:pPr>
        <w:pStyle w:val="37"/>
        <w:spacing w:line="578" w:lineRule="exact"/>
        <w:jc w:val="center"/>
        <w:rPr>
          <w:rFonts w:ascii="方正小标宋_GBK" w:hAnsi="方正小标宋_GBK" w:eastAsia="方正小标宋_GBK" w:cs="方正小标宋_GBK"/>
          <w:color w:val="FF0000"/>
          <w:kern w:val="2"/>
          <w:sz w:val="38"/>
          <w:szCs w:val="38"/>
          <w:lang w:val="en-US"/>
        </w:rPr>
      </w:pPr>
      <w:r>
        <w:rPr>
          <w:rFonts w:hint="eastAsia" w:ascii="方正小标宋_GBK" w:hAnsi="方正小标宋_GBK" w:eastAsia="方正小标宋_GBK" w:cs="方正小标宋_GBK"/>
          <w:color w:val="000000" w:themeColor="text1"/>
          <w:kern w:val="2"/>
          <w:sz w:val="38"/>
          <w:szCs w:val="38"/>
          <w:lang w:val="en-US"/>
        </w:rPr>
        <w:t xml:space="preserve">专项资金预算项目绩效自评报告 </w:t>
      </w:r>
    </w:p>
    <w:p w14:paraId="6CEBC385">
      <w:pPr>
        <w:pStyle w:val="37"/>
        <w:spacing w:line="578" w:lineRule="exact"/>
        <w:ind w:firstLine="640"/>
        <w:jc w:val="center"/>
        <w:rPr>
          <w:rFonts w:ascii="宋体" w:hAnsi="宋体"/>
          <w:color w:val="auto"/>
          <w:kern w:val="2"/>
          <w:sz w:val="32"/>
          <w:szCs w:val="32"/>
        </w:rPr>
      </w:pPr>
    </w:p>
    <w:p w14:paraId="44C3A243">
      <w:pPr>
        <w:adjustRightInd w:val="0"/>
        <w:snapToGrid w:val="0"/>
        <w:spacing w:line="578" w:lineRule="exact"/>
        <w:ind w:firstLine="720"/>
        <w:rPr>
          <w:rFonts w:ascii="方正黑体_GBK" w:hAnsi="方正黑体_GBK" w:eastAsia="方正黑体_GBK" w:cs="方正黑体_GBK"/>
          <w:sz w:val="33"/>
          <w:szCs w:val="33"/>
          <w:lang w:val="zh-CN"/>
        </w:rPr>
      </w:pPr>
      <w:r>
        <w:rPr>
          <w:rFonts w:hint="eastAsia" w:ascii="方正黑体_GBK" w:hAnsi="方正黑体_GBK" w:eastAsia="方正黑体_GBK" w:cs="方正黑体_GBK"/>
          <w:sz w:val="33"/>
          <w:szCs w:val="33"/>
        </w:rPr>
        <w:t>一、</w:t>
      </w:r>
      <w:r>
        <w:rPr>
          <w:rFonts w:hint="eastAsia" w:ascii="方正黑体_GBK" w:hAnsi="方正黑体_GBK" w:eastAsia="方正黑体_GBK" w:cs="方正黑体_GBK"/>
          <w:sz w:val="33"/>
          <w:szCs w:val="33"/>
          <w:lang w:val="zh-CN"/>
        </w:rPr>
        <w:t>项目概况</w:t>
      </w:r>
    </w:p>
    <w:p w14:paraId="6ADC8D53">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14:paraId="3FBDB4D1">
      <w:pPr>
        <w:ind w:firstLine="660" w:firstLineChars="200"/>
        <w:rPr>
          <w:rFonts w:eastAsia="方正仿宋_GBK"/>
          <w:sz w:val="33"/>
          <w:szCs w:val="33"/>
        </w:rPr>
      </w:pPr>
      <w:r>
        <w:rPr>
          <w:rFonts w:hint="eastAsia" w:eastAsia="方正仿宋_GBK"/>
          <w:sz w:val="33"/>
          <w:szCs w:val="33"/>
        </w:rPr>
        <w:t>县委办工作经费专项资金</w:t>
      </w:r>
      <w:r>
        <w:rPr>
          <w:rFonts w:hint="eastAsia" w:eastAsia="方正仿宋_GBK"/>
          <w:sz w:val="33"/>
          <w:szCs w:val="33"/>
          <w:lang w:eastAsia="zh-CN"/>
        </w:rPr>
        <w:t>用于</w:t>
      </w:r>
      <w:r>
        <w:rPr>
          <w:rFonts w:hint="eastAsia" w:eastAsia="方正仿宋_GBK"/>
          <w:sz w:val="33"/>
          <w:szCs w:val="33"/>
        </w:rPr>
        <w:t>保障县委办日常运转工作，确保全县中心工作高质量完成，推动全县经济社会发展。具体主要包括以下几个方面：</w:t>
      </w:r>
      <w:r>
        <w:rPr>
          <w:rFonts w:eastAsia="方正仿宋_GBK"/>
          <w:sz w:val="33"/>
          <w:szCs w:val="33"/>
        </w:rPr>
        <w:t>（1）围绕县委的中心工作，对涉及全县经济建设、深化改革、依法治县、社会稳定、党的建设等全局性重大问题和实践中出现的新情况、新问题开展调查研究，向县委提供具有参考价值的情况、信息和建议，为县委决策服务。（2）对党的路线方针政策和省委、市委、县委的重要决策、重大部署以及领导同志的重要批示、批件贯彻落实情况进行督促检查。（3）负责起草、复核以县委、县委办公室名义发布的文件和各种会议材料，处理县委往来文件、电报、信函，承办各乡（镇）、各部门（单位）向县委的请示报告，做好文件和材料的印制、分发、清退、归档工作。（4）负责县委召开的各种会议的筹备、组织和会务工作，做好县委领导参加的各种会议的督促落实工作，协助县委领导组织实施会议决定事项。（5）认真做好会议、县委领导活动、公文处理和其他重要事项等综合协调工作，围绕县委处置突发性事件搞好服务，保证县委各项工作的顺利进行。（6）及时、准确、全面地向县委及上级党委办公室报送信息，反映工作动态。（7）负责全县党政系统的密码通信和密码管理工作，承担县密码领导小组办公室工作。（8）负责人民群众来信来访工作，协调处理有关信访事项，提出有关解决信访事项的意见和建议。（9）负责全县保密工作的规划、宣传教育、指导协调、监督管理和泄密事件查处工作，管理县委保密委员会办公室。（10）负责县委机关行政后勤事务、财产管理、绿化美化、环境卫生、安全保卫工作，组织协调省、市重要来客的接待服务工作。（11）对各乡（镇）党委办公室、县委各部门办公室进行业务指导。（12）办理县委领导交办的其他工作事项。</w:t>
      </w:r>
    </w:p>
    <w:p w14:paraId="064F96E3">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14:paraId="22A2EED0">
      <w:pPr>
        <w:adjustRightInd w:val="0"/>
        <w:snapToGrid w:val="0"/>
        <w:spacing w:line="578" w:lineRule="exact"/>
        <w:ind w:firstLine="720"/>
        <w:rPr>
          <w:rFonts w:ascii="方正仿宋_GBK" w:hAnsi="方正仿宋_GBK" w:eastAsia="方正仿宋_GBK" w:cs="方正仿宋_GBK"/>
          <w:b/>
          <w:sz w:val="33"/>
          <w:szCs w:val="33"/>
        </w:rPr>
      </w:pPr>
      <w:r>
        <w:rPr>
          <w:rFonts w:hint="eastAsia" w:ascii="方正仿宋_GBK" w:hAnsi="方正仿宋_GBK" w:eastAsia="方正仿宋_GBK" w:cs="方正仿宋_GBK"/>
          <w:b/>
          <w:sz w:val="33"/>
          <w:szCs w:val="33"/>
        </w:rPr>
        <w:t>1.项目主要内容。</w:t>
      </w:r>
    </w:p>
    <w:p w14:paraId="4306F15E">
      <w:pPr>
        <w:adjustRightInd w:val="0"/>
        <w:snapToGrid w:val="0"/>
        <w:spacing w:line="578" w:lineRule="exact"/>
        <w:ind w:firstLine="720"/>
        <w:rPr>
          <w:rFonts w:eastAsia="方正仿宋_GBK"/>
          <w:sz w:val="33"/>
          <w:szCs w:val="33"/>
        </w:rPr>
      </w:pPr>
      <w:r>
        <w:rPr>
          <w:rFonts w:hint="eastAsia" w:eastAsia="方正仿宋_GBK"/>
          <w:sz w:val="33"/>
          <w:szCs w:val="33"/>
        </w:rPr>
        <w:t>县委办工作经费年终决算完成预算资金</w:t>
      </w:r>
      <w:r>
        <w:rPr>
          <w:rFonts w:hint="eastAsia" w:eastAsia="方正仿宋_GBK"/>
          <w:sz w:val="33"/>
          <w:szCs w:val="33"/>
          <w:lang w:val="en-US" w:eastAsia="zh-CN"/>
        </w:rPr>
        <w:t>95.83</w:t>
      </w:r>
      <w:r>
        <w:rPr>
          <w:rFonts w:hint="eastAsia" w:eastAsia="方正仿宋_GBK"/>
          <w:sz w:val="33"/>
          <w:szCs w:val="33"/>
        </w:rPr>
        <w:t>万元，主要用于县委办日常工作开支，保障县委领导、工作人员经费开支、县委重要会议筹办、办公室内部建设等工作，确保县委办各项工作高效运转。</w:t>
      </w:r>
    </w:p>
    <w:p w14:paraId="3E210418">
      <w:pPr>
        <w:adjustRightInd w:val="0"/>
        <w:snapToGrid w:val="0"/>
        <w:spacing w:line="578" w:lineRule="exact"/>
        <w:ind w:firstLine="720"/>
        <w:rPr>
          <w:rFonts w:ascii="方正仿宋_GBK" w:hAnsi="方正仿宋_GBK" w:eastAsia="方正仿宋_GBK" w:cs="方正仿宋_GBK"/>
          <w:b/>
          <w:sz w:val="33"/>
          <w:szCs w:val="33"/>
          <w:lang w:val="zh-CN"/>
        </w:rPr>
      </w:pPr>
      <w:r>
        <w:rPr>
          <w:rFonts w:hint="eastAsia" w:ascii="方正仿宋_GBK" w:hAnsi="方正仿宋_GBK" w:eastAsia="方正仿宋_GBK" w:cs="方正仿宋_GBK"/>
          <w:b/>
          <w:sz w:val="33"/>
          <w:szCs w:val="33"/>
        </w:rPr>
        <w:t>2.</w:t>
      </w:r>
      <w:r>
        <w:rPr>
          <w:rFonts w:hint="eastAsia" w:ascii="方正仿宋_GBK" w:hAnsi="方正仿宋_GBK" w:eastAsia="方正仿宋_GBK" w:cs="方正仿宋_GBK"/>
          <w:b/>
          <w:sz w:val="33"/>
          <w:szCs w:val="33"/>
          <w:lang w:val="zh-CN"/>
        </w:rPr>
        <w:t>项目应实现的具体绩效目标。</w:t>
      </w:r>
    </w:p>
    <w:p w14:paraId="721B9D94">
      <w:pPr>
        <w:ind w:firstLine="660" w:firstLineChars="200"/>
        <w:rPr>
          <w:rFonts w:eastAsia="方正仿宋_GBK"/>
          <w:sz w:val="33"/>
          <w:szCs w:val="33"/>
          <w:lang w:val="zh-CN"/>
        </w:rPr>
      </w:pPr>
      <w:r>
        <w:rPr>
          <w:rFonts w:hint="eastAsia" w:eastAsia="方正仿宋_GBK"/>
          <w:sz w:val="33"/>
          <w:szCs w:val="33"/>
          <w:lang w:val="zh-CN"/>
        </w:rPr>
        <w:t>保持</w:t>
      </w:r>
      <w:r>
        <w:rPr>
          <w:rFonts w:hint="eastAsia" w:eastAsia="方正仿宋_GBK"/>
          <w:sz w:val="33"/>
          <w:szCs w:val="33"/>
        </w:rPr>
        <w:t>县委办</w:t>
      </w:r>
      <w:r>
        <w:rPr>
          <w:rFonts w:hint="eastAsia" w:eastAsia="方正仿宋_GBK"/>
          <w:sz w:val="33"/>
          <w:szCs w:val="33"/>
          <w:lang w:val="zh-CN"/>
        </w:rPr>
        <w:t>基本运转、稳定，</w:t>
      </w:r>
      <w:r>
        <w:rPr>
          <w:rFonts w:hint="eastAsia" w:eastAsia="方正仿宋_GBK"/>
          <w:sz w:val="33"/>
          <w:szCs w:val="33"/>
        </w:rPr>
        <w:t>保障县委工作高质量推动</w:t>
      </w:r>
      <w:r>
        <w:rPr>
          <w:rFonts w:hint="eastAsia" w:eastAsia="方正仿宋_GBK"/>
          <w:sz w:val="33"/>
          <w:szCs w:val="33"/>
          <w:lang w:val="zh-CN"/>
        </w:rPr>
        <w:t>。项目实施在202</w:t>
      </w:r>
      <w:r>
        <w:rPr>
          <w:rFonts w:hint="eastAsia" w:eastAsia="方正仿宋_GBK"/>
          <w:sz w:val="33"/>
          <w:szCs w:val="33"/>
        </w:rPr>
        <w:t>2</w:t>
      </w:r>
      <w:r>
        <w:rPr>
          <w:rFonts w:hint="eastAsia" w:eastAsia="方正仿宋_GBK"/>
          <w:sz w:val="33"/>
          <w:szCs w:val="33"/>
          <w:lang w:val="zh-CN"/>
        </w:rPr>
        <w:t>年度持续进行。</w:t>
      </w:r>
    </w:p>
    <w:p w14:paraId="239A0817">
      <w:pPr>
        <w:ind w:firstLine="660" w:firstLineChars="200"/>
        <w:rPr>
          <w:rFonts w:eastAsia="方正仿宋_GBK"/>
          <w:sz w:val="33"/>
          <w:szCs w:val="33"/>
        </w:rPr>
      </w:pPr>
      <w:r>
        <w:rPr>
          <w:rFonts w:hint="eastAsia" w:eastAsia="方正仿宋_GBK"/>
          <w:sz w:val="33"/>
          <w:szCs w:val="33"/>
          <w:lang w:val="zh-CN"/>
        </w:rPr>
        <w:t>项目分析评价申报内容与实际相符，申报目标合理可行。</w:t>
      </w:r>
    </w:p>
    <w:p w14:paraId="0A5E9852">
      <w:pPr>
        <w:adjustRightInd w:val="0"/>
        <w:snapToGrid w:val="0"/>
        <w:spacing w:line="578" w:lineRule="exact"/>
        <w:ind w:firstLine="720"/>
        <w:rPr>
          <w:rFonts w:ascii="楷体_GB2312" w:hAnsi="宋体" w:eastAsia="楷体_GB2312"/>
          <w:b/>
          <w:sz w:val="32"/>
          <w:szCs w:val="32"/>
          <w:lang w:val="zh-CN"/>
        </w:rPr>
      </w:pPr>
      <w:r>
        <w:rPr>
          <w:rFonts w:hint="eastAsia" w:eastAsia="方正仿宋_GBK"/>
          <w:b/>
          <w:bCs/>
          <w:sz w:val="33"/>
          <w:szCs w:val="33"/>
        </w:rPr>
        <w:t xml:space="preserve"> </w:t>
      </w:r>
      <w:r>
        <w:rPr>
          <w:rFonts w:hint="eastAsia" w:ascii="方正楷体_GBK" w:hAnsi="方正楷体_GBK" w:eastAsia="方正楷体_GBK" w:cs="方正楷体_GBK"/>
          <w:b/>
          <w:sz w:val="33"/>
          <w:szCs w:val="33"/>
          <w:lang w:val="zh-CN"/>
        </w:rPr>
        <w:t>（三）项目自评步骤及方法。</w:t>
      </w:r>
    </w:p>
    <w:p w14:paraId="14E4D353">
      <w:pPr>
        <w:pStyle w:val="2"/>
        <w:spacing w:beforeLines="0"/>
        <w:ind w:firstLine="660" w:firstLineChars="200"/>
        <w:rPr>
          <w:rFonts w:ascii="Times New Roman" w:eastAsia="方正仿宋_GBK"/>
          <w:kern w:val="2"/>
          <w:sz w:val="33"/>
          <w:szCs w:val="33"/>
        </w:rPr>
      </w:pPr>
      <w:r>
        <w:rPr>
          <w:rFonts w:ascii="Times New Roman" w:eastAsia="方正仿宋_GBK"/>
          <w:kern w:val="2"/>
          <w:sz w:val="33"/>
          <w:szCs w:val="33"/>
          <w:lang w:val="zh-CN"/>
        </w:rPr>
        <w:t>县委办根据</w:t>
      </w:r>
      <w:r>
        <w:rPr>
          <w:rFonts w:hint="eastAsia" w:ascii="Times New Roman" w:eastAsia="方正仿宋_GBK"/>
          <w:kern w:val="2"/>
          <w:sz w:val="33"/>
          <w:szCs w:val="33"/>
        </w:rPr>
        <w:t>2022</w:t>
      </w:r>
      <w:r>
        <w:rPr>
          <w:rFonts w:ascii="Times New Roman" w:eastAsia="方正仿宋_GBK"/>
          <w:kern w:val="2"/>
          <w:sz w:val="33"/>
          <w:szCs w:val="33"/>
          <w:lang w:val="zh-CN"/>
        </w:rPr>
        <w:t>年度</w:t>
      </w:r>
      <w:r>
        <w:rPr>
          <w:rFonts w:ascii="Times New Roman" w:eastAsia="方正仿宋_GBK"/>
          <w:kern w:val="2"/>
          <w:sz w:val="33"/>
          <w:szCs w:val="33"/>
        </w:rPr>
        <w:t>项目支出</w:t>
      </w:r>
      <w:r>
        <w:rPr>
          <w:rFonts w:ascii="Times New Roman" w:eastAsia="方正仿宋_GBK"/>
          <w:kern w:val="2"/>
          <w:sz w:val="33"/>
          <w:szCs w:val="33"/>
          <w:lang w:val="zh-CN"/>
        </w:rPr>
        <w:t>工作的实际</w:t>
      </w:r>
      <w:r>
        <w:rPr>
          <w:rFonts w:ascii="Times New Roman" w:eastAsia="方正仿宋_GBK"/>
          <w:kern w:val="2"/>
          <w:sz w:val="33"/>
          <w:szCs w:val="33"/>
        </w:rPr>
        <w:t>情况</w:t>
      </w:r>
      <w:r>
        <w:rPr>
          <w:rFonts w:hint="eastAsia" w:ascii="Times New Roman" w:eastAsia="方正仿宋_GBK"/>
          <w:kern w:val="2"/>
          <w:sz w:val="33"/>
          <w:szCs w:val="33"/>
        </w:rPr>
        <w:t>，对县委办工作经费开展自评。</w:t>
      </w:r>
    </w:p>
    <w:p w14:paraId="1953B4C6">
      <w:pPr>
        <w:adjustRightInd w:val="0"/>
        <w:snapToGrid w:val="0"/>
        <w:spacing w:line="578" w:lineRule="exact"/>
        <w:ind w:firstLine="72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二、项目资金申报及使用情况</w:t>
      </w:r>
    </w:p>
    <w:p w14:paraId="3566DCBC">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14:paraId="358A6395">
      <w:pPr>
        <w:pStyle w:val="2"/>
        <w:spacing w:beforeLines="0"/>
        <w:ind w:firstLine="663" w:firstLineChars="200"/>
        <w:rPr>
          <w:rFonts w:ascii="Times New Roman" w:eastAsia="方正仿宋_GBK"/>
          <w:kern w:val="2"/>
          <w:sz w:val="33"/>
          <w:szCs w:val="33"/>
        </w:rPr>
      </w:pPr>
      <w:r>
        <w:rPr>
          <w:rFonts w:hint="eastAsia" w:ascii="Times New Roman" w:eastAsia="方正仿宋_GBK"/>
          <w:b/>
          <w:bCs/>
          <w:kern w:val="2"/>
          <w:sz w:val="33"/>
          <w:szCs w:val="33"/>
        </w:rPr>
        <w:t>县委办工作经费</w:t>
      </w:r>
      <w:r>
        <w:rPr>
          <w:rFonts w:ascii="Times New Roman" w:eastAsia="方正仿宋_GBK"/>
          <w:b/>
          <w:bCs/>
          <w:kern w:val="2"/>
          <w:sz w:val="33"/>
          <w:szCs w:val="33"/>
        </w:rPr>
        <w:t>：</w:t>
      </w:r>
      <w:r>
        <w:rPr>
          <w:rFonts w:hint="eastAsia" w:ascii="Times New Roman" w:eastAsia="方正仿宋_GBK"/>
          <w:kern w:val="2"/>
          <w:sz w:val="33"/>
          <w:szCs w:val="33"/>
        </w:rPr>
        <w:t>根据盐财资行</w:t>
      </w:r>
      <w:r>
        <w:rPr>
          <w:rFonts w:hint="eastAsia" w:ascii="方正仿宋_GBK" w:hAnsi="方正仿宋_GBK" w:eastAsia="方正仿宋_GBK" w:cs="方正仿宋_GBK"/>
          <w:kern w:val="2"/>
          <w:sz w:val="33"/>
          <w:szCs w:val="33"/>
        </w:rPr>
        <w:t>〔2022〕156号《关于下达县委办专项工作经费的通知》批复该项资金用于县委办工作开展。</w:t>
      </w:r>
    </w:p>
    <w:p w14:paraId="71FD7F53">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（二）资金计划、到位及使用情况。</w:t>
      </w:r>
    </w:p>
    <w:p w14:paraId="5DB9B54A">
      <w:pPr>
        <w:pStyle w:val="2"/>
        <w:spacing w:beforeLines="0"/>
        <w:ind w:firstLine="640" w:firstLineChars="200"/>
        <w:rPr>
          <w:rFonts w:hAnsi="仿宋_GB2312" w:cs="仿宋_GB2312"/>
          <w:color w:val="000000" w:themeColor="text1"/>
          <w:sz w:val="32"/>
          <w:szCs w:val="32"/>
          <w:shd w:val="clear" w:color="auto" w:fill="FFFFFF"/>
          <w:lang w:val="zh-CN"/>
        </w:rPr>
      </w:pPr>
      <w:r>
        <w:rPr>
          <w:rFonts w:hint="eastAsia" w:hAnsi="仿宋_GB2312" w:cs="仿宋_GB2312"/>
          <w:sz w:val="32"/>
          <w:szCs w:val="32"/>
          <w:shd w:val="clear" w:color="auto" w:fill="FFFFFF"/>
          <w:lang w:val="zh-CN"/>
        </w:rPr>
        <w:t>1.</w:t>
      </w:r>
      <w:r>
        <w:rPr>
          <w:rFonts w:hint="eastAsia" w:hAnsi="仿宋_GB2312" w:cs="仿宋_GB2312"/>
          <w:color w:val="000000" w:themeColor="text1"/>
          <w:sz w:val="32"/>
          <w:szCs w:val="32"/>
          <w:shd w:val="clear" w:color="auto" w:fill="FFFFFF"/>
          <w:lang w:val="zh-CN"/>
        </w:rPr>
        <w:t>资金计划。</w:t>
      </w:r>
      <w:r>
        <w:rPr>
          <w:rFonts w:hint="eastAsia" w:ascii="Times New Roman" w:eastAsia="方正仿宋_GBK"/>
          <w:kern w:val="2"/>
          <w:sz w:val="33"/>
          <w:szCs w:val="33"/>
        </w:rPr>
        <w:t>根据盐财资行</w:t>
      </w:r>
      <w:r>
        <w:rPr>
          <w:rFonts w:hint="eastAsia" w:ascii="方正仿宋_GBK" w:hAnsi="方正仿宋_GBK" w:eastAsia="方正仿宋_GBK" w:cs="方正仿宋_GBK"/>
          <w:kern w:val="2"/>
          <w:sz w:val="33"/>
          <w:szCs w:val="33"/>
        </w:rPr>
        <w:t>〔2022〕156号《关于下达县委办专项工作经费的通知》批复。</w:t>
      </w:r>
    </w:p>
    <w:p w14:paraId="63B97D62">
      <w:pPr>
        <w:pStyle w:val="2"/>
        <w:spacing w:beforeLines="0"/>
        <w:ind w:firstLine="640" w:firstLineChars="200"/>
        <w:rPr>
          <w:rFonts w:ascii="Times New Roman" w:eastAsia="方正仿宋_GBK"/>
          <w:kern w:val="2"/>
          <w:sz w:val="33"/>
          <w:szCs w:val="33"/>
        </w:rPr>
      </w:pPr>
      <w:r>
        <w:rPr>
          <w:rFonts w:hint="eastAsia" w:hAnsi="仿宋_GB2312" w:cs="仿宋_GB2312"/>
          <w:color w:val="000000" w:themeColor="text1"/>
          <w:sz w:val="32"/>
          <w:szCs w:val="32"/>
          <w:shd w:val="clear" w:color="auto" w:fill="FFFFFF"/>
          <w:lang w:val="zh-CN"/>
        </w:rPr>
        <w:t>2.资金到位。</w:t>
      </w:r>
      <w:r>
        <w:rPr>
          <w:rFonts w:hint="eastAsia" w:ascii="Times New Roman" w:eastAsia="方正仿宋_GBK"/>
          <w:kern w:val="2"/>
          <w:sz w:val="33"/>
          <w:szCs w:val="33"/>
        </w:rPr>
        <w:t>截至</w:t>
      </w:r>
      <w:r>
        <w:rPr>
          <w:rFonts w:ascii="Times New Roman" w:eastAsia="方正仿宋_GBK"/>
          <w:kern w:val="2"/>
          <w:sz w:val="33"/>
          <w:szCs w:val="33"/>
        </w:rPr>
        <w:t>评价时点，资金到位。</w:t>
      </w:r>
    </w:p>
    <w:p w14:paraId="60382226">
      <w:pPr>
        <w:pStyle w:val="2"/>
        <w:spacing w:beforeLines="0"/>
        <w:ind w:firstLine="640" w:firstLineChars="200"/>
        <w:rPr>
          <w:rFonts w:hAnsi="仿宋_GB2312" w:cs="仿宋_GB2312"/>
          <w:sz w:val="32"/>
          <w:szCs w:val="32"/>
          <w:shd w:val="clear" w:color="auto" w:fill="FFFFFF"/>
          <w:lang w:val="zh-CN"/>
        </w:rPr>
      </w:pPr>
      <w:r>
        <w:rPr>
          <w:rFonts w:hint="eastAsia" w:hAnsi="仿宋_GB2312" w:cs="仿宋_GB2312"/>
          <w:sz w:val="32"/>
          <w:szCs w:val="32"/>
          <w:shd w:val="clear" w:color="auto" w:fill="FFFFFF"/>
          <w:lang w:val="zh-CN"/>
        </w:rPr>
        <w:t>3.资金使用。</w:t>
      </w:r>
      <w:r>
        <w:rPr>
          <w:rFonts w:hint="eastAsia" w:ascii="Times New Roman" w:eastAsia="方正仿宋_GBK"/>
          <w:kern w:val="2"/>
          <w:sz w:val="33"/>
          <w:szCs w:val="33"/>
        </w:rPr>
        <w:t>截至</w:t>
      </w:r>
      <w:r>
        <w:rPr>
          <w:rFonts w:ascii="Times New Roman" w:eastAsia="方正仿宋_GBK"/>
          <w:kern w:val="2"/>
          <w:sz w:val="33"/>
          <w:szCs w:val="33"/>
        </w:rPr>
        <w:t>评价时点，</w:t>
      </w:r>
      <w:r>
        <w:rPr>
          <w:rFonts w:hint="eastAsia" w:ascii="Times New Roman" w:eastAsia="方正仿宋_GBK"/>
          <w:kern w:val="2"/>
          <w:sz w:val="33"/>
          <w:szCs w:val="33"/>
        </w:rPr>
        <w:t>县委办工作经费已用于工作开展，确保了县委工作高质量运行。</w:t>
      </w:r>
    </w:p>
    <w:p w14:paraId="2FCA2637">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14:paraId="617CA0CA">
      <w:pPr>
        <w:pStyle w:val="2"/>
        <w:spacing w:beforeLines="0"/>
        <w:ind w:firstLine="660" w:firstLineChars="200"/>
        <w:rPr>
          <w:rFonts w:ascii="Times New Roman" w:eastAsia="方正仿宋_GBK"/>
          <w:sz w:val="33"/>
          <w:szCs w:val="33"/>
          <w:lang w:val="zh-CN"/>
        </w:rPr>
      </w:pPr>
      <w:r>
        <w:rPr>
          <w:rFonts w:ascii="Times New Roman" w:eastAsia="方正仿宋_GBK"/>
          <w:sz w:val="33"/>
          <w:szCs w:val="33"/>
        </w:rPr>
        <w:t>中共盐边县委办及其所属部门财务管理制度健全，严格执行财务管理制度，账务处理及时，会计核算规范。</w:t>
      </w:r>
    </w:p>
    <w:p w14:paraId="77399BD3">
      <w:pPr>
        <w:adjustRightInd w:val="0"/>
        <w:snapToGrid w:val="0"/>
        <w:spacing w:line="578" w:lineRule="exact"/>
        <w:ind w:firstLine="720"/>
        <w:rPr>
          <w:rFonts w:ascii="方正黑体_GBK" w:hAnsi="方正黑体_GBK" w:eastAsia="方正黑体_GBK" w:cs="方正黑体_GBK"/>
          <w:kern w:val="0"/>
          <w:sz w:val="33"/>
          <w:szCs w:val="33"/>
          <w:shd w:val="clear" w:color="auto" w:fill="FFFFFF"/>
          <w:lang w:val="zh-CN"/>
        </w:rPr>
      </w:pPr>
      <w:r>
        <w:rPr>
          <w:rFonts w:hint="eastAsia" w:ascii="方正黑体_GBK" w:hAnsi="方正黑体_GBK" w:eastAsia="方正黑体_GBK" w:cs="方正黑体_GBK"/>
          <w:sz w:val="33"/>
          <w:szCs w:val="33"/>
        </w:rPr>
        <w:t>三、项目实施及管理情况</w:t>
      </w:r>
    </w:p>
    <w:p w14:paraId="32BADF63">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14:paraId="0AC85BC9">
      <w:pPr>
        <w:adjustRightInd w:val="0"/>
        <w:snapToGrid w:val="0"/>
        <w:spacing w:line="578" w:lineRule="exact"/>
        <w:ind w:firstLine="720"/>
        <w:rPr>
          <w:rFonts w:ascii="楷体_GB2312" w:hAnsi="宋体" w:eastAsia="楷体_GB2312"/>
          <w:b/>
          <w:sz w:val="32"/>
          <w:szCs w:val="32"/>
          <w:lang w:val="zh-CN"/>
        </w:rPr>
      </w:pPr>
      <w:r>
        <w:rPr>
          <w:rFonts w:eastAsia="方正仿宋_GBK"/>
          <w:sz w:val="33"/>
          <w:szCs w:val="33"/>
        </w:rPr>
        <w:t>县委办依据单位职能和县政府审批通过的</w:t>
      </w:r>
      <w:r>
        <w:rPr>
          <w:rFonts w:hint="eastAsia" w:eastAsia="方正仿宋_GBK"/>
          <w:sz w:val="33"/>
          <w:szCs w:val="33"/>
        </w:rPr>
        <w:t>2022</w:t>
      </w:r>
      <w:r>
        <w:rPr>
          <w:rFonts w:eastAsia="方正仿宋_GBK"/>
          <w:sz w:val="33"/>
          <w:szCs w:val="33"/>
        </w:rPr>
        <w:t>年度工作要点，为保障各项工作圆满完成，实现工作目标，制定了项目绩效目标，明确项目管理，</w:t>
      </w:r>
      <w:r>
        <w:rPr>
          <w:rFonts w:hint="eastAsia" w:eastAsia="方正仿宋_GBK"/>
          <w:sz w:val="33"/>
          <w:szCs w:val="33"/>
        </w:rPr>
        <w:t>实时</w:t>
      </w:r>
      <w:r>
        <w:rPr>
          <w:rFonts w:eastAsia="方正仿宋_GBK"/>
          <w:sz w:val="33"/>
          <w:szCs w:val="33"/>
        </w:rPr>
        <w:t>开展项目监督，制定项目回头看流程，确保项目落地见效。</w:t>
      </w:r>
    </w:p>
    <w:p w14:paraId="2E71DEDD">
      <w:pPr>
        <w:pStyle w:val="2"/>
        <w:numPr>
          <w:ilvl w:val="0"/>
          <w:numId w:val="6"/>
        </w:numPr>
        <w:spacing w:beforeLines="0"/>
        <w:ind w:firstLine="663" w:firstLineChars="200"/>
        <w:rPr>
          <w:rFonts w:ascii="方正楷体_GBK" w:hAnsi="方正楷体_GBK" w:eastAsia="方正楷体_GBK" w:cs="方正楷体_GBK"/>
          <w:b/>
          <w:kern w:val="2"/>
          <w:sz w:val="33"/>
          <w:szCs w:val="33"/>
          <w:lang w:val="zh-CN"/>
        </w:rPr>
      </w:pPr>
      <w:r>
        <w:rPr>
          <w:rFonts w:hint="eastAsia" w:ascii="方正楷体_GBK" w:hAnsi="方正楷体_GBK" w:eastAsia="方正楷体_GBK" w:cs="方正楷体_GBK"/>
          <w:b/>
          <w:kern w:val="2"/>
          <w:sz w:val="33"/>
          <w:szCs w:val="33"/>
          <w:lang w:val="zh-CN"/>
        </w:rPr>
        <w:t>项目管理情况。</w:t>
      </w:r>
    </w:p>
    <w:p w14:paraId="1F38F5EF">
      <w:pPr>
        <w:pStyle w:val="2"/>
        <w:spacing w:beforeLines="0"/>
        <w:ind w:left="420" w:leftChars="200" w:firstLine="660" w:firstLineChars="200"/>
        <w:rPr>
          <w:rFonts w:hAnsi="仿宋_GB2312" w:cs="仿宋_GB2312"/>
          <w:sz w:val="32"/>
          <w:szCs w:val="32"/>
          <w:shd w:val="clear" w:color="auto" w:fill="FFFFFF"/>
          <w:lang w:val="zh-CN"/>
        </w:rPr>
      </w:pPr>
      <w:r>
        <w:rPr>
          <w:rFonts w:ascii="Times New Roman" w:eastAsia="方正仿宋_GBK"/>
          <w:sz w:val="33"/>
          <w:szCs w:val="33"/>
        </w:rPr>
        <w:t>我单位严格按照《中华人民共和国预算法</w:t>
      </w:r>
      <w:r>
        <w:rPr>
          <w:rFonts w:hint="eastAsia" w:ascii="Times New Roman" w:eastAsia="方正仿宋_GBK"/>
          <w:sz w:val="33"/>
          <w:szCs w:val="33"/>
          <w:lang w:eastAsia="zh-CN"/>
        </w:rPr>
        <w:t>》和</w:t>
      </w:r>
      <w:r>
        <w:rPr>
          <w:rFonts w:ascii="Times New Roman" w:eastAsia="方正仿宋_GBK"/>
          <w:sz w:val="33"/>
          <w:szCs w:val="33"/>
        </w:rPr>
        <w:t>《中华人民共和国预算法实施条例</w:t>
      </w:r>
      <w:r>
        <w:rPr>
          <w:rFonts w:hint="eastAsia" w:ascii="Times New Roman" w:eastAsia="方正仿宋_GBK"/>
          <w:sz w:val="33"/>
          <w:szCs w:val="33"/>
          <w:lang w:eastAsia="zh-CN"/>
        </w:rPr>
        <w:t>》等</w:t>
      </w:r>
      <w:r>
        <w:rPr>
          <w:rFonts w:ascii="Times New Roman" w:eastAsia="方正仿宋_GBK"/>
          <w:sz w:val="33"/>
          <w:szCs w:val="33"/>
        </w:rPr>
        <w:t>相关规定，按照县财</w:t>
      </w:r>
      <w:r>
        <w:rPr>
          <w:rFonts w:hint="eastAsia" w:ascii="Times New Roman" w:eastAsia="方正仿宋_GBK"/>
          <w:sz w:val="33"/>
          <w:szCs w:val="33"/>
          <w:lang w:eastAsia="zh-CN"/>
        </w:rPr>
        <w:t>政局</w:t>
      </w:r>
      <w:r>
        <w:rPr>
          <w:rFonts w:ascii="Times New Roman" w:eastAsia="方正仿宋_GBK"/>
          <w:sz w:val="33"/>
          <w:szCs w:val="33"/>
        </w:rPr>
        <w:t>统一部署安排预算在及时推进支付进度的同时，加强资金管理，优化资源配置。一是加强预算绩效管理，加强预算绩效目标编审，绩效运行监控等推动预算绩效管理提质增效。二是坚持厉行节约，严格执行各项经费支出标准，强化预算支出约束，加强新增支出审核管控，坚决杜绝铺张浪费。三是严格按照“收支两条线”管理，及时足额上缴收取的培训费，专项资金申请按照县政府资金审批程序流程进行审批，财政专户资金规范使用。四是规范单位会计核算，全面有效实施政府会计准则制度，加强政府财务报告编制的内部控制，提高财务报告信息质量。</w:t>
      </w:r>
    </w:p>
    <w:p w14:paraId="15CC6A57">
      <w:pPr>
        <w:pStyle w:val="2"/>
        <w:numPr>
          <w:ilvl w:val="0"/>
          <w:numId w:val="6"/>
        </w:numPr>
        <w:spacing w:beforeLines="0"/>
        <w:ind w:firstLine="663" w:firstLineChars="200"/>
        <w:rPr>
          <w:rFonts w:ascii="方正楷体_GBK" w:hAnsi="方正楷体_GBK" w:eastAsia="方正楷体_GBK" w:cs="方正楷体_GBK"/>
          <w:b/>
          <w:kern w:val="2"/>
          <w:sz w:val="33"/>
          <w:szCs w:val="33"/>
          <w:lang w:val="zh-CN"/>
        </w:rPr>
      </w:pPr>
      <w:r>
        <w:rPr>
          <w:rFonts w:hint="eastAsia" w:ascii="方正楷体_GBK" w:hAnsi="方正楷体_GBK" w:eastAsia="方正楷体_GBK" w:cs="方正楷体_GBK"/>
          <w:b/>
          <w:kern w:val="2"/>
          <w:sz w:val="33"/>
          <w:szCs w:val="33"/>
          <w:lang w:val="zh-CN"/>
        </w:rPr>
        <w:t>项目监管情况。</w:t>
      </w:r>
    </w:p>
    <w:p w14:paraId="2A42E2E4">
      <w:pPr>
        <w:pStyle w:val="2"/>
        <w:spacing w:beforeLines="0"/>
        <w:ind w:left="420" w:leftChars="200" w:firstLine="660" w:firstLineChars="200"/>
        <w:rPr>
          <w:rFonts w:ascii="Times New Roman" w:eastAsia="方正仿宋_GBK"/>
          <w:sz w:val="33"/>
          <w:szCs w:val="33"/>
        </w:rPr>
      </w:pPr>
      <w:r>
        <w:rPr>
          <w:rFonts w:ascii="Times New Roman" w:eastAsia="方正仿宋_GBK"/>
          <w:sz w:val="33"/>
          <w:szCs w:val="33"/>
        </w:rPr>
        <w:t>我单位按照内部控制制度要求，一是严格预算业务管理，做到预算编制与审核分离；预算审批与执行分离；预算执行与分析分离；决算编制与审核分离。二是规范收支业务管理，收款与会计核算分离；支出申请与审批分离；支出审批与付款分离；业务经办与会计核算分离。三是加强政府采购业务管理，采购需求提出与审核分离；采购方式确定与审核分离；采购执行与验收分离；采购验收与登记分离。四是强化国有资产业务管理，货币资金保管、稽核与账目登记分离；资产财务账与实物账分离；资产保管与清查分离，不断提升中心内部管理能力和水平。</w:t>
      </w:r>
    </w:p>
    <w:p w14:paraId="49732495">
      <w:pPr>
        <w:adjustRightInd w:val="0"/>
        <w:snapToGrid w:val="0"/>
        <w:spacing w:line="578" w:lineRule="exact"/>
        <w:ind w:firstLine="720"/>
        <w:rPr>
          <w:rFonts w:ascii="方正黑体_GBK" w:hAnsi="方正黑体_GBK" w:eastAsia="方正黑体_GBK" w:cs="方正黑体_GBK"/>
          <w:sz w:val="33"/>
          <w:szCs w:val="33"/>
          <w:lang w:val="zh-CN"/>
        </w:rPr>
      </w:pPr>
      <w:r>
        <w:rPr>
          <w:rFonts w:hint="eastAsia" w:ascii="方正黑体_GBK" w:hAnsi="方正黑体_GBK" w:eastAsia="方正黑体_GBK" w:cs="方正黑体_GBK"/>
          <w:sz w:val="33"/>
          <w:szCs w:val="33"/>
        </w:rPr>
        <w:t>四、项目绩效情况</w:t>
      </w:r>
      <w:r>
        <w:rPr>
          <w:rFonts w:hint="eastAsia" w:ascii="方正黑体_GBK" w:hAnsi="方正黑体_GBK" w:eastAsia="方正黑体_GBK" w:cs="方正黑体_GBK"/>
          <w:sz w:val="33"/>
          <w:szCs w:val="33"/>
          <w:lang w:val="zh-CN"/>
        </w:rPr>
        <w:tab/>
      </w:r>
    </w:p>
    <w:p w14:paraId="3145725C">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14:paraId="4565EC03">
      <w:pPr>
        <w:adjustRightInd w:val="0"/>
        <w:snapToGrid w:val="0"/>
        <w:spacing w:line="578" w:lineRule="exact"/>
        <w:ind w:firstLine="720"/>
        <w:rPr>
          <w:rFonts w:eastAsia="方正仿宋_GBK"/>
          <w:kern w:val="0"/>
          <w:sz w:val="33"/>
          <w:szCs w:val="33"/>
        </w:rPr>
      </w:pPr>
      <w:r>
        <w:rPr>
          <w:rFonts w:hint="eastAsia" w:eastAsia="方正仿宋_GBK"/>
          <w:kern w:val="0"/>
          <w:sz w:val="33"/>
          <w:szCs w:val="33"/>
        </w:rPr>
        <w:t>县委办工作经费截至2022年年底，已全部完成支付。</w:t>
      </w:r>
    </w:p>
    <w:p w14:paraId="435261ED">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14:paraId="2AB1FBB2">
      <w:pPr>
        <w:autoSpaceDE w:val="0"/>
        <w:autoSpaceDN w:val="0"/>
        <w:adjustRightInd w:val="0"/>
        <w:ind w:firstLine="660" w:firstLineChars="200"/>
        <w:jc w:val="left"/>
        <w:rPr>
          <w:rFonts w:eastAsia="方正仿宋_GBK"/>
          <w:kern w:val="0"/>
          <w:sz w:val="33"/>
          <w:szCs w:val="33"/>
        </w:rPr>
      </w:pPr>
      <w:r>
        <w:rPr>
          <w:rFonts w:eastAsia="方正仿宋_GBK"/>
          <w:kern w:val="0"/>
          <w:sz w:val="33"/>
          <w:szCs w:val="33"/>
        </w:rPr>
        <w:t>县委办项目完成了预设的绩效目标，绩效目标完成质量较高，项目完成时效准确，项目成本控制较好，取得了较好的项目经济效益和社会效益。</w:t>
      </w:r>
    </w:p>
    <w:p w14:paraId="417267A4">
      <w:pPr>
        <w:adjustRightInd w:val="0"/>
        <w:snapToGrid w:val="0"/>
        <w:spacing w:line="578" w:lineRule="exact"/>
        <w:ind w:firstLine="72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五、评价结论及建议</w:t>
      </w:r>
    </w:p>
    <w:p w14:paraId="68F54446">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14:paraId="2D342CB9">
      <w:pPr>
        <w:autoSpaceDE w:val="0"/>
        <w:autoSpaceDN w:val="0"/>
        <w:adjustRightInd w:val="0"/>
        <w:ind w:firstLine="660" w:firstLineChars="200"/>
        <w:jc w:val="left"/>
        <w:rPr>
          <w:rFonts w:eastAsia="方正仿宋_GBK"/>
          <w:kern w:val="0"/>
          <w:sz w:val="33"/>
          <w:szCs w:val="33"/>
        </w:rPr>
      </w:pPr>
      <w:r>
        <w:rPr>
          <w:rFonts w:eastAsia="方正仿宋_GBK"/>
          <w:kern w:val="0"/>
          <w:sz w:val="33"/>
          <w:szCs w:val="33"/>
        </w:rPr>
        <w:t>县委办严格执行上级关于项目绩效评价的相关规定，开展了项目绩效评价工作，实现了预期目标。</w:t>
      </w:r>
    </w:p>
    <w:p w14:paraId="7C45DE8E">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14:paraId="54D7E294">
      <w:pPr>
        <w:pStyle w:val="14"/>
        <w:widowControl/>
        <w:spacing w:before="0" w:beforeAutospacing="0" w:after="0" w:afterAutospacing="0"/>
        <w:ind w:firstLine="660" w:firstLineChars="200"/>
        <w:jc w:val="both"/>
        <w:rPr>
          <w:rFonts w:eastAsia="方正仿宋_GBK"/>
          <w:kern w:val="2"/>
          <w:sz w:val="33"/>
          <w:szCs w:val="33"/>
        </w:rPr>
      </w:pPr>
      <w:r>
        <w:rPr>
          <w:rFonts w:eastAsia="方正仿宋_GBK"/>
          <w:kern w:val="2"/>
          <w:sz w:val="33"/>
          <w:szCs w:val="33"/>
        </w:rPr>
        <w:t>绩效目标设立不够明确、细化和量化。财政资金使用过程中，初步编制预算</w:t>
      </w:r>
      <w:r>
        <w:rPr>
          <w:rFonts w:hint="eastAsia" w:eastAsia="方正仿宋_GBK"/>
          <w:kern w:val="2"/>
          <w:sz w:val="33"/>
          <w:szCs w:val="33"/>
          <w:lang w:eastAsia="zh-CN"/>
        </w:rPr>
        <w:t>和</w:t>
      </w:r>
      <w:r>
        <w:rPr>
          <w:rFonts w:eastAsia="方正仿宋_GBK"/>
          <w:kern w:val="2"/>
          <w:sz w:val="33"/>
          <w:szCs w:val="33"/>
        </w:rPr>
        <w:t>最终执行预算存在差距。</w:t>
      </w:r>
    </w:p>
    <w:p w14:paraId="614C93D3">
      <w:pPr>
        <w:adjustRightInd w:val="0"/>
        <w:snapToGrid w:val="0"/>
        <w:spacing w:line="578" w:lineRule="exact"/>
        <w:ind w:firstLine="720"/>
        <w:rPr>
          <w:rFonts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14:paraId="21F72027">
      <w:pPr>
        <w:autoSpaceDE w:val="0"/>
        <w:autoSpaceDN w:val="0"/>
        <w:adjustRightInd w:val="0"/>
        <w:ind w:firstLine="660" w:firstLineChars="200"/>
        <w:jc w:val="left"/>
        <w:rPr>
          <w:rFonts w:eastAsia="方正仿宋_GBK"/>
          <w:kern w:val="0"/>
          <w:sz w:val="33"/>
          <w:szCs w:val="33"/>
        </w:rPr>
      </w:pPr>
      <w:r>
        <w:rPr>
          <w:rFonts w:eastAsia="方正仿宋_GBK"/>
          <w:kern w:val="0"/>
          <w:sz w:val="33"/>
          <w:szCs w:val="33"/>
        </w:rPr>
        <w:t>1.遵循先有预算、后有支出的原则，加强机关财务管理，严禁超预算和无预算安排支出，严格开支范围和标准。</w:t>
      </w:r>
    </w:p>
    <w:p w14:paraId="68B149E3">
      <w:pPr>
        <w:ind w:firstLine="660" w:firstLineChars="200"/>
        <w:outlineLvl w:val="0"/>
        <w:rPr>
          <w:rFonts w:eastAsia="方正仿宋_GBK"/>
          <w:sz w:val="33"/>
          <w:szCs w:val="33"/>
          <w:lang w:val="zh-CN"/>
        </w:rPr>
      </w:pPr>
      <w:r>
        <w:rPr>
          <w:rFonts w:eastAsia="方正仿宋_GBK"/>
          <w:sz w:val="33"/>
          <w:szCs w:val="33"/>
        </w:rPr>
        <w:t>2.加强业务培训，提高评价水平。绩效评价工作是一项长期性的工作，专业性强，工作量大，建议财政部门进一步加强开展部门领导及经办人员相关业务工作培训，组织开展单位之间的经验交流，切实推进绩效评价工作的开展。</w:t>
      </w:r>
    </w:p>
    <w:p w14:paraId="1CDABAA4">
      <w:pPr>
        <w:spacing w:line="580" w:lineRule="exact"/>
        <w:rPr>
          <w:rStyle w:val="28"/>
          <w:rFonts w:ascii="黑体" w:hAnsi="黑体" w:eastAsia="黑体"/>
          <w:b w:val="0"/>
        </w:rPr>
      </w:pPr>
    </w:p>
    <w:p w14:paraId="6CCA9F5F">
      <w:pPr>
        <w:widowControl/>
        <w:jc w:val="left"/>
        <w:rPr>
          <w:rStyle w:val="28"/>
          <w:rFonts w:ascii="黑体" w:hAnsi="黑体" w:eastAsia="黑体"/>
          <w:b w:val="0"/>
        </w:rPr>
      </w:pPr>
      <w:r>
        <w:rPr>
          <w:rStyle w:val="28"/>
          <w:rFonts w:ascii="黑体" w:hAnsi="黑体" w:eastAsia="黑体"/>
          <w:b w:val="0"/>
        </w:rPr>
        <w:br w:type="page"/>
      </w:r>
    </w:p>
    <w:p w14:paraId="37964B61">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p>
    <w:p w14:paraId="6C1639BF">
      <w:pPr>
        <w:pStyle w:val="4"/>
        <w:rPr>
          <w:rStyle w:val="29"/>
          <w:rFonts w:ascii="仿宋" w:hAnsi="仿宋" w:eastAsia="仿宋"/>
          <w:b w:val="0"/>
          <w:bCs w:val="0"/>
        </w:rPr>
      </w:pPr>
      <w:r>
        <w:rPr>
          <w:rFonts w:hint="eastAsia" w:ascii="仿宋" w:hAnsi="仿宋" w:eastAsia="仿宋"/>
          <w:b w:val="0"/>
        </w:rPr>
        <w:t>一、收</w:t>
      </w:r>
      <w:r>
        <w:rPr>
          <w:rStyle w:val="29"/>
          <w:rFonts w:hint="eastAsia" w:ascii="仿宋" w:hAnsi="仿宋" w:eastAsia="仿宋"/>
          <w:b w:val="0"/>
          <w:bCs w:val="0"/>
        </w:rPr>
        <w:t>入支出决算总表</w:t>
      </w:r>
    </w:p>
    <w:p w14:paraId="4D650022">
      <w:r>
        <w:drawing>
          <wp:inline distT="0" distB="0" distL="114300" distR="114300">
            <wp:extent cx="5393055" cy="4485640"/>
            <wp:effectExtent l="0" t="0" r="17145" b="1016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7"/>
                    <a:stretch>
                      <a:fillRect/>
                    </a:stretch>
                  </pic:blipFill>
                  <pic:spPr>
                    <a:xfrm>
                      <a:off x="0" y="0"/>
                      <a:ext cx="5393055" cy="4485640"/>
                    </a:xfrm>
                    <a:prstGeom prst="rect">
                      <a:avLst/>
                    </a:prstGeom>
                    <a:noFill/>
                    <a:ln>
                      <a:noFill/>
                    </a:ln>
                  </pic:spPr>
                </pic:pic>
              </a:graphicData>
            </a:graphic>
          </wp:inline>
        </w:drawing>
      </w:r>
    </w:p>
    <w:p w14:paraId="738D2880">
      <w:pPr>
        <w:pStyle w:val="4"/>
        <w:rPr>
          <w:rStyle w:val="29"/>
          <w:rFonts w:ascii="仿宋" w:hAnsi="仿宋" w:eastAsia="仿宋"/>
          <w:b w:val="0"/>
          <w:bCs w:val="0"/>
        </w:rPr>
      </w:pPr>
      <w:r>
        <w:rPr>
          <w:rFonts w:hint="eastAsia" w:ascii="仿宋" w:hAnsi="仿宋" w:eastAsia="仿宋"/>
          <w:b w:val="0"/>
        </w:rPr>
        <w:t>二、收</w:t>
      </w:r>
      <w:r>
        <w:rPr>
          <w:rStyle w:val="29"/>
          <w:rFonts w:hint="eastAsia" w:ascii="仿宋" w:hAnsi="仿宋" w:eastAsia="仿宋"/>
          <w:b w:val="0"/>
          <w:bCs w:val="0"/>
        </w:rPr>
        <w:t>入决算表</w:t>
      </w:r>
    </w:p>
    <w:p w14:paraId="64D4A60A">
      <w:r>
        <w:drawing>
          <wp:inline distT="0" distB="0" distL="114300" distR="114300">
            <wp:extent cx="5400040" cy="4624070"/>
            <wp:effectExtent l="0" t="0" r="10160" b="508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28"/>
                    <a:stretch>
                      <a:fillRect/>
                    </a:stretch>
                  </pic:blipFill>
                  <pic:spPr>
                    <a:xfrm>
                      <a:off x="0" y="0"/>
                      <a:ext cx="5400040" cy="4624070"/>
                    </a:xfrm>
                    <a:prstGeom prst="rect">
                      <a:avLst/>
                    </a:prstGeom>
                    <a:noFill/>
                    <a:ln>
                      <a:noFill/>
                    </a:ln>
                  </pic:spPr>
                </pic:pic>
              </a:graphicData>
            </a:graphic>
          </wp:inline>
        </w:drawing>
      </w:r>
    </w:p>
    <w:p w14:paraId="4A0753D7">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支</w:t>
      </w:r>
      <w:r>
        <w:rPr>
          <w:rStyle w:val="29"/>
          <w:rFonts w:hint="eastAsia" w:ascii="仿宋" w:hAnsi="仿宋" w:eastAsia="仿宋"/>
          <w:b w:val="0"/>
          <w:bCs w:val="0"/>
        </w:rPr>
        <w:t>出决算表</w:t>
      </w:r>
    </w:p>
    <w:p w14:paraId="108B9AE3">
      <w:r>
        <w:drawing>
          <wp:inline distT="0" distB="0" distL="114300" distR="114300">
            <wp:extent cx="5395595" cy="5148580"/>
            <wp:effectExtent l="0" t="0" r="14605" b="1397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9"/>
                    <a:stretch>
                      <a:fillRect/>
                    </a:stretch>
                  </pic:blipFill>
                  <pic:spPr>
                    <a:xfrm>
                      <a:off x="0" y="0"/>
                      <a:ext cx="5395595" cy="5148580"/>
                    </a:xfrm>
                    <a:prstGeom prst="rect">
                      <a:avLst/>
                    </a:prstGeom>
                    <a:noFill/>
                    <a:ln>
                      <a:noFill/>
                    </a:ln>
                  </pic:spPr>
                </pic:pic>
              </a:graphicData>
            </a:graphic>
          </wp:inline>
        </w:drawing>
      </w:r>
    </w:p>
    <w:p w14:paraId="15260DF4">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财</w:t>
      </w:r>
      <w:r>
        <w:rPr>
          <w:rStyle w:val="29"/>
          <w:rFonts w:hint="eastAsia" w:ascii="仿宋" w:hAnsi="仿宋" w:eastAsia="仿宋"/>
          <w:b w:val="0"/>
          <w:bCs w:val="0"/>
        </w:rPr>
        <w:t>政拨款收入支出决算总表</w:t>
      </w:r>
    </w:p>
    <w:p w14:paraId="735D5EC9">
      <w:r>
        <w:drawing>
          <wp:inline distT="0" distB="0" distL="114300" distR="114300">
            <wp:extent cx="5398770" cy="4003675"/>
            <wp:effectExtent l="0" t="0" r="11430" b="1587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30"/>
                    <a:stretch>
                      <a:fillRect/>
                    </a:stretch>
                  </pic:blipFill>
                  <pic:spPr>
                    <a:xfrm>
                      <a:off x="0" y="0"/>
                      <a:ext cx="5398770" cy="4003675"/>
                    </a:xfrm>
                    <a:prstGeom prst="rect">
                      <a:avLst/>
                    </a:prstGeom>
                    <a:noFill/>
                    <a:ln>
                      <a:noFill/>
                    </a:ln>
                  </pic:spPr>
                </pic:pic>
              </a:graphicData>
            </a:graphic>
          </wp:inline>
        </w:drawing>
      </w:r>
    </w:p>
    <w:p w14:paraId="1CABE8DF">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财</w:t>
      </w:r>
      <w:r>
        <w:rPr>
          <w:rStyle w:val="29"/>
          <w:rFonts w:hint="eastAsia" w:ascii="仿宋" w:hAnsi="仿宋" w:eastAsia="仿宋"/>
          <w:b w:val="0"/>
          <w:bCs w:val="0"/>
        </w:rPr>
        <w:t>政拨款支出决算明细表</w:t>
      </w:r>
    </w:p>
    <w:p w14:paraId="033094D2">
      <w:r>
        <w:drawing>
          <wp:inline distT="0" distB="0" distL="114300" distR="114300">
            <wp:extent cx="5762625" cy="7997190"/>
            <wp:effectExtent l="0" t="0" r="9525" b="381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1"/>
                    <a:stretch>
                      <a:fillRect/>
                    </a:stretch>
                  </pic:blipFill>
                  <pic:spPr>
                    <a:xfrm>
                      <a:off x="0" y="0"/>
                      <a:ext cx="5762625" cy="7997190"/>
                    </a:xfrm>
                    <a:prstGeom prst="rect">
                      <a:avLst/>
                    </a:prstGeom>
                    <a:noFill/>
                    <a:ln>
                      <a:noFill/>
                    </a:ln>
                  </pic:spPr>
                </pic:pic>
              </a:graphicData>
            </a:graphic>
          </wp:inline>
        </w:drawing>
      </w:r>
    </w:p>
    <w:p w14:paraId="6A182F7A">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一</w:t>
      </w:r>
      <w:r>
        <w:rPr>
          <w:rStyle w:val="29"/>
          <w:rFonts w:hint="eastAsia" w:ascii="仿宋" w:hAnsi="仿宋" w:eastAsia="仿宋"/>
          <w:b w:val="0"/>
          <w:bCs w:val="0"/>
        </w:rPr>
        <w:t>般公共预算财政拨款支出决算表</w:t>
      </w:r>
    </w:p>
    <w:p w14:paraId="07A3D860">
      <w:r>
        <w:drawing>
          <wp:inline distT="0" distB="0" distL="114300" distR="114300">
            <wp:extent cx="5394325" cy="6917690"/>
            <wp:effectExtent l="0" t="0" r="15875" b="1651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32"/>
                    <a:stretch>
                      <a:fillRect/>
                    </a:stretch>
                  </pic:blipFill>
                  <pic:spPr>
                    <a:xfrm>
                      <a:off x="0" y="0"/>
                      <a:ext cx="5394325" cy="6917690"/>
                    </a:xfrm>
                    <a:prstGeom prst="rect">
                      <a:avLst/>
                    </a:prstGeom>
                    <a:noFill/>
                    <a:ln>
                      <a:noFill/>
                    </a:ln>
                  </pic:spPr>
                </pic:pic>
              </a:graphicData>
            </a:graphic>
          </wp:inline>
        </w:drawing>
      </w:r>
    </w:p>
    <w:p w14:paraId="1599F61B">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一</w:t>
      </w:r>
      <w:r>
        <w:rPr>
          <w:rStyle w:val="29"/>
          <w:rFonts w:hint="eastAsia" w:ascii="仿宋" w:hAnsi="仿宋" w:eastAsia="仿宋"/>
          <w:b w:val="0"/>
          <w:bCs w:val="0"/>
        </w:rPr>
        <w:t>般公共预算财政拨款支出决算明细表</w:t>
      </w:r>
    </w:p>
    <w:p w14:paraId="306A995E">
      <w:r>
        <w:drawing>
          <wp:inline distT="0" distB="0" distL="114300" distR="114300">
            <wp:extent cx="5397500" cy="3765550"/>
            <wp:effectExtent l="0" t="0" r="12700" b="635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33"/>
                    <a:stretch>
                      <a:fillRect/>
                    </a:stretch>
                  </pic:blipFill>
                  <pic:spPr>
                    <a:xfrm>
                      <a:off x="0" y="0"/>
                      <a:ext cx="5397500" cy="3765550"/>
                    </a:xfrm>
                    <a:prstGeom prst="rect">
                      <a:avLst/>
                    </a:prstGeom>
                    <a:noFill/>
                    <a:ln>
                      <a:noFill/>
                    </a:ln>
                  </pic:spPr>
                </pic:pic>
              </a:graphicData>
            </a:graphic>
          </wp:inline>
        </w:drawing>
      </w:r>
    </w:p>
    <w:p w14:paraId="19DEA06E">
      <w:pPr>
        <w:pStyle w:val="2"/>
      </w:pPr>
    </w:p>
    <w:p w14:paraId="321904EA">
      <w:pPr>
        <w:pStyle w:val="2"/>
      </w:pPr>
    </w:p>
    <w:p w14:paraId="25D47953">
      <w:pPr>
        <w:pStyle w:val="2"/>
      </w:pPr>
    </w:p>
    <w:p w14:paraId="0385CA7C">
      <w:pPr>
        <w:pStyle w:val="2"/>
      </w:pPr>
    </w:p>
    <w:p w14:paraId="25E8D516">
      <w:pPr>
        <w:pStyle w:val="2"/>
      </w:pPr>
    </w:p>
    <w:p w14:paraId="5617C9D0">
      <w:pPr>
        <w:pStyle w:val="2"/>
      </w:pPr>
    </w:p>
    <w:p w14:paraId="03BC0824">
      <w:pPr>
        <w:pStyle w:val="2"/>
      </w:pPr>
      <w:r>
        <w:drawing>
          <wp:inline distT="0" distB="0" distL="114300" distR="114300">
            <wp:extent cx="5377815" cy="2212975"/>
            <wp:effectExtent l="0" t="0" r="13335" b="15875"/>
            <wp:docPr id="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pic:cNvPicPr>
                      <a:picLocks noChangeAspect="1"/>
                    </pic:cNvPicPr>
                  </pic:nvPicPr>
                  <pic:blipFill>
                    <a:blip r:embed="rId34"/>
                    <a:stretch>
                      <a:fillRect/>
                    </a:stretch>
                  </pic:blipFill>
                  <pic:spPr>
                    <a:xfrm>
                      <a:off x="0" y="0"/>
                      <a:ext cx="5377815" cy="2212975"/>
                    </a:xfrm>
                    <a:prstGeom prst="rect">
                      <a:avLst/>
                    </a:prstGeom>
                    <a:noFill/>
                    <a:ln>
                      <a:noFill/>
                    </a:ln>
                  </pic:spPr>
                </pic:pic>
              </a:graphicData>
            </a:graphic>
          </wp:inline>
        </w:drawing>
      </w:r>
    </w:p>
    <w:p w14:paraId="61525664">
      <w:pPr>
        <w:pStyle w:val="2"/>
      </w:pPr>
    </w:p>
    <w:p w14:paraId="1A033853">
      <w:pPr>
        <w:pStyle w:val="2"/>
      </w:pPr>
    </w:p>
    <w:p w14:paraId="4FF7FBD6">
      <w:pPr>
        <w:pStyle w:val="2"/>
      </w:pPr>
    </w:p>
    <w:p w14:paraId="25A14075">
      <w:pPr>
        <w:pStyle w:val="2"/>
      </w:pPr>
    </w:p>
    <w:p w14:paraId="42429100">
      <w:pPr>
        <w:pStyle w:val="2"/>
      </w:pPr>
    </w:p>
    <w:p w14:paraId="4008BEDE">
      <w:pPr>
        <w:pStyle w:val="2"/>
      </w:pPr>
    </w:p>
    <w:p w14:paraId="32623134">
      <w:pPr>
        <w:pStyle w:val="2"/>
      </w:pPr>
      <w:r>
        <w:drawing>
          <wp:inline distT="0" distB="0" distL="114300" distR="114300">
            <wp:extent cx="5392420" cy="4140835"/>
            <wp:effectExtent l="0" t="0" r="17780" b="12065"/>
            <wp:docPr id="3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
                    <pic:cNvPicPr>
                      <a:picLocks noChangeAspect="1"/>
                    </pic:cNvPicPr>
                  </pic:nvPicPr>
                  <pic:blipFill>
                    <a:blip r:embed="rId35"/>
                    <a:stretch>
                      <a:fillRect/>
                    </a:stretch>
                  </pic:blipFill>
                  <pic:spPr>
                    <a:xfrm>
                      <a:off x="0" y="0"/>
                      <a:ext cx="5392420" cy="4140835"/>
                    </a:xfrm>
                    <a:prstGeom prst="rect">
                      <a:avLst/>
                    </a:prstGeom>
                    <a:noFill/>
                    <a:ln>
                      <a:noFill/>
                    </a:ln>
                  </pic:spPr>
                </pic:pic>
              </a:graphicData>
            </a:graphic>
          </wp:inline>
        </w:drawing>
      </w:r>
    </w:p>
    <w:p w14:paraId="104B9B49">
      <w:pPr>
        <w:pStyle w:val="2"/>
      </w:pPr>
    </w:p>
    <w:p w14:paraId="66BE939F">
      <w:pPr>
        <w:pStyle w:val="2"/>
      </w:pPr>
      <w:r>
        <w:drawing>
          <wp:inline distT="0" distB="0" distL="114300" distR="114300">
            <wp:extent cx="5391785" cy="3254375"/>
            <wp:effectExtent l="0" t="0" r="18415" b="3175"/>
            <wp:docPr id="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pic:cNvPicPr>
                      <a:picLocks noChangeAspect="1"/>
                    </pic:cNvPicPr>
                  </pic:nvPicPr>
                  <pic:blipFill>
                    <a:blip r:embed="rId36"/>
                    <a:stretch>
                      <a:fillRect/>
                    </a:stretch>
                  </pic:blipFill>
                  <pic:spPr>
                    <a:xfrm>
                      <a:off x="0" y="0"/>
                      <a:ext cx="5391785" cy="3254375"/>
                    </a:xfrm>
                    <a:prstGeom prst="rect">
                      <a:avLst/>
                    </a:prstGeom>
                    <a:noFill/>
                    <a:ln>
                      <a:noFill/>
                    </a:ln>
                  </pic:spPr>
                </pic:pic>
              </a:graphicData>
            </a:graphic>
          </wp:inline>
        </w:drawing>
      </w:r>
    </w:p>
    <w:p w14:paraId="1C2EE76D">
      <w:pPr>
        <w:pStyle w:val="2"/>
      </w:pPr>
    </w:p>
    <w:p w14:paraId="0B2EA7B4">
      <w:pPr>
        <w:pStyle w:val="2"/>
      </w:pPr>
    </w:p>
    <w:p w14:paraId="2086916C">
      <w:pPr>
        <w:pStyle w:val="2"/>
      </w:pPr>
    </w:p>
    <w:p w14:paraId="1AD4FDEC">
      <w:pPr>
        <w:pStyle w:val="2"/>
      </w:pPr>
    </w:p>
    <w:p w14:paraId="1059723F">
      <w:pPr>
        <w:pStyle w:val="2"/>
      </w:pPr>
      <w:r>
        <w:drawing>
          <wp:inline distT="0" distB="0" distL="114300" distR="114300">
            <wp:extent cx="5470525" cy="1093470"/>
            <wp:effectExtent l="0" t="0" r="15875" b="1143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37"/>
                    <a:stretch>
                      <a:fillRect/>
                    </a:stretch>
                  </pic:blipFill>
                  <pic:spPr>
                    <a:xfrm>
                      <a:off x="0" y="0"/>
                      <a:ext cx="5470525" cy="1093470"/>
                    </a:xfrm>
                    <a:prstGeom prst="rect">
                      <a:avLst/>
                    </a:prstGeom>
                    <a:noFill/>
                    <a:ln>
                      <a:noFill/>
                    </a:ln>
                  </pic:spPr>
                </pic:pic>
              </a:graphicData>
            </a:graphic>
          </wp:inline>
        </w:drawing>
      </w:r>
    </w:p>
    <w:p w14:paraId="6DA74C2F">
      <w:pPr>
        <w:pStyle w:val="2"/>
      </w:pPr>
    </w:p>
    <w:p w14:paraId="1EB6D393">
      <w:pPr>
        <w:pStyle w:val="2"/>
      </w:pPr>
    </w:p>
    <w:p w14:paraId="12D62F93">
      <w:pPr>
        <w:pStyle w:val="2"/>
      </w:pPr>
    </w:p>
    <w:p w14:paraId="6D00AEFC">
      <w:pPr>
        <w:pStyle w:val="2"/>
      </w:pPr>
    </w:p>
    <w:p w14:paraId="268810C7">
      <w:pPr>
        <w:pStyle w:val="2"/>
      </w:pPr>
    </w:p>
    <w:p w14:paraId="195D89AD">
      <w:pPr>
        <w:pStyle w:val="2"/>
      </w:pPr>
    </w:p>
    <w:p w14:paraId="0D1DB0E7">
      <w:pPr>
        <w:pStyle w:val="2"/>
      </w:pPr>
    </w:p>
    <w:p w14:paraId="31EB570F">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一</w:t>
      </w:r>
      <w:r>
        <w:rPr>
          <w:rStyle w:val="29"/>
          <w:rFonts w:hint="eastAsia" w:ascii="仿宋" w:hAnsi="仿宋" w:eastAsia="仿宋"/>
          <w:b w:val="0"/>
          <w:bCs w:val="0"/>
        </w:rPr>
        <w:t>般公共预算财政拨款基本支出决算表</w:t>
      </w:r>
    </w:p>
    <w:p w14:paraId="7D02ACDA">
      <w:r>
        <w:drawing>
          <wp:inline distT="0" distB="0" distL="114300" distR="114300">
            <wp:extent cx="5396865" cy="3166110"/>
            <wp:effectExtent l="0" t="0" r="13335" b="1524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38"/>
                    <a:stretch>
                      <a:fillRect/>
                    </a:stretch>
                  </pic:blipFill>
                  <pic:spPr>
                    <a:xfrm>
                      <a:off x="0" y="0"/>
                      <a:ext cx="5396865" cy="3166110"/>
                    </a:xfrm>
                    <a:prstGeom prst="rect">
                      <a:avLst/>
                    </a:prstGeom>
                    <a:noFill/>
                    <a:ln>
                      <a:noFill/>
                    </a:ln>
                  </pic:spPr>
                </pic:pic>
              </a:graphicData>
            </a:graphic>
          </wp:inline>
        </w:drawing>
      </w:r>
    </w:p>
    <w:p w14:paraId="381E5273">
      <w:pPr>
        <w:pStyle w:val="2"/>
        <w:spacing w:before="93"/>
      </w:pPr>
    </w:p>
    <w:p w14:paraId="78D81DAE">
      <w:pPr>
        <w:pStyle w:val="2"/>
        <w:spacing w:before="93"/>
      </w:pPr>
    </w:p>
    <w:p w14:paraId="31AEDEDE">
      <w:pPr>
        <w:pStyle w:val="2"/>
        <w:spacing w:before="93"/>
      </w:pPr>
    </w:p>
    <w:p w14:paraId="31A4B8F8">
      <w:pPr>
        <w:pStyle w:val="2"/>
        <w:spacing w:before="93"/>
      </w:pPr>
    </w:p>
    <w:p w14:paraId="61F50B7C">
      <w:pPr>
        <w:pStyle w:val="2"/>
        <w:spacing w:before="93"/>
      </w:pPr>
    </w:p>
    <w:p w14:paraId="13CAB526">
      <w:pPr>
        <w:pStyle w:val="2"/>
        <w:spacing w:before="93"/>
      </w:pPr>
    </w:p>
    <w:p w14:paraId="121AD6E0">
      <w:pPr>
        <w:pStyle w:val="2"/>
        <w:spacing w:before="93"/>
      </w:pPr>
    </w:p>
    <w:p w14:paraId="35884AFE">
      <w:pPr>
        <w:pStyle w:val="2"/>
        <w:spacing w:before="93"/>
      </w:pPr>
    </w:p>
    <w:p w14:paraId="60F6457E">
      <w:pPr>
        <w:pStyle w:val="2"/>
        <w:spacing w:before="93"/>
      </w:pPr>
    </w:p>
    <w:p w14:paraId="46646E4B">
      <w:pPr>
        <w:pStyle w:val="2"/>
        <w:spacing w:before="93"/>
      </w:pPr>
    </w:p>
    <w:p w14:paraId="0BC581C1">
      <w:pPr>
        <w:pStyle w:val="2"/>
        <w:spacing w:before="93"/>
      </w:pPr>
    </w:p>
    <w:p w14:paraId="1995E009">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一</w:t>
      </w:r>
      <w:r>
        <w:rPr>
          <w:rStyle w:val="29"/>
          <w:rFonts w:hint="eastAsia" w:ascii="仿宋" w:hAnsi="仿宋" w:eastAsia="仿宋"/>
          <w:b w:val="0"/>
          <w:bCs w:val="0"/>
        </w:rPr>
        <w:t>般公共预算财政拨款项目支出决算表</w:t>
      </w:r>
    </w:p>
    <w:p w14:paraId="241AE6BF"/>
    <w:p w14:paraId="29F2DF86">
      <w:pPr>
        <w:pStyle w:val="2"/>
        <w:spacing w:before="93"/>
      </w:pPr>
      <w:r>
        <w:drawing>
          <wp:inline distT="0" distB="0" distL="114300" distR="114300">
            <wp:extent cx="5398135" cy="3938905"/>
            <wp:effectExtent l="0" t="0" r="12065" b="444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pic:cNvPicPr>
                  </pic:nvPicPr>
                  <pic:blipFill>
                    <a:blip r:embed="rId39"/>
                    <a:stretch>
                      <a:fillRect/>
                    </a:stretch>
                  </pic:blipFill>
                  <pic:spPr>
                    <a:xfrm>
                      <a:off x="0" y="0"/>
                      <a:ext cx="5398135" cy="3938905"/>
                    </a:xfrm>
                    <a:prstGeom prst="rect">
                      <a:avLst/>
                    </a:prstGeom>
                    <a:noFill/>
                    <a:ln>
                      <a:noFill/>
                    </a:ln>
                  </pic:spPr>
                </pic:pic>
              </a:graphicData>
            </a:graphic>
          </wp:inline>
        </w:drawing>
      </w:r>
    </w:p>
    <w:p w14:paraId="6ED61B31">
      <w:pPr>
        <w:pStyle w:val="2"/>
        <w:spacing w:before="93"/>
      </w:pPr>
    </w:p>
    <w:p w14:paraId="34D1642C">
      <w:pPr>
        <w:pStyle w:val="2"/>
        <w:spacing w:before="93"/>
      </w:pPr>
    </w:p>
    <w:p w14:paraId="2526B3DA">
      <w:pPr>
        <w:pStyle w:val="2"/>
        <w:spacing w:before="93"/>
      </w:pPr>
    </w:p>
    <w:p w14:paraId="7FBC779A">
      <w:pPr>
        <w:pStyle w:val="2"/>
        <w:spacing w:before="93"/>
      </w:pPr>
    </w:p>
    <w:p w14:paraId="1DFE0BCA">
      <w:pPr>
        <w:pStyle w:val="4"/>
        <w:numPr>
          <w:ilvl w:val="0"/>
          <w:numId w:val="3"/>
        </w:numPr>
        <w:ind w:firstLine="640" w:firstLineChars="200"/>
        <w:rPr>
          <w:rStyle w:val="29"/>
          <w:rFonts w:ascii="仿宋" w:hAnsi="仿宋" w:eastAsia="仿宋"/>
          <w:b w:val="0"/>
          <w:bCs w:val="0"/>
        </w:rPr>
      </w:pPr>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1268D263">
      <w:r>
        <w:drawing>
          <wp:inline distT="0" distB="0" distL="114300" distR="114300">
            <wp:extent cx="5396230" cy="1730375"/>
            <wp:effectExtent l="0" t="0" r="13970" b="3175"/>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40"/>
                    <a:stretch>
                      <a:fillRect/>
                    </a:stretch>
                  </pic:blipFill>
                  <pic:spPr>
                    <a:xfrm>
                      <a:off x="0" y="0"/>
                      <a:ext cx="5396230" cy="1730375"/>
                    </a:xfrm>
                    <a:prstGeom prst="rect">
                      <a:avLst/>
                    </a:prstGeom>
                    <a:noFill/>
                    <a:ln>
                      <a:noFill/>
                    </a:ln>
                  </pic:spPr>
                </pic:pic>
              </a:graphicData>
            </a:graphic>
          </wp:inline>
        </w:drawing>
      </w:r>
    </w:p>
    <w:p w14:paraId="7514C245">
      <w:pPr>
        <w:pStyle w:val="4"/>
        <w:numPr>
          <w:ilvl w:val="0"/>
          <w:numId w:val="3"/>
        </w:numPr>
        <w:ind w:firstLine="640" w:firstLineChars="200"/>
        <w:rPr>
          <w:rStyle w:val="29"/>
          <w:rFonts w:ascii="仿宋" w:hAnsi="仿宋" w:eastAsia="仿宋"/>
          <w:b w:val="0"/>
          <w:bCs w:val="0"/>
        </w:rPr>
      </w:pPr>
      <w:r>
        <w:rPr>
          <w:rStyle w:val="29"/>
          <w:rFonts w:hint="eastAsia" w:ascii="仿宋" w:hAnsi="仿宋" w:eastAsia="仿宋"/>
          <w:b w:val="0"/>
          <w:bCs w:val="0"/>
        </w:rPr>
        <w:t>国有资本经营预算财政拨款收入支出决算表</w:t>
      </w:r>
    </w:p>
    <w:p w14:paraId="33397954">
      <w:pPr>
        <w:pStyle w:val="2"/>
        <w:spacing w:before="93"/>
      </w:pPr>
      <w:r>
        <w:drawing>
          <wp:inline distT="0" distB="0" distL="114300" distR="114300">
            <wp:extent cx="5398770" cy="2221230"/>
            <wp:effectExtent l="0" t="0" r="11430" b="762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41"/>
                    <a:stretch>
                      <a:fillRect/>
                    </a:stretch>
                  </pic:blipFill>
                  <pic:spPr>
                    <a:xfrm>
                      <a:off x="0" y="0"/>
                      <a:ext cx="5398770" cy="2221230"/>
                    </a:xfrm>
                    <a:prstGeom prst="rect">
                      <a:avLst/>
                    </a:prstGeom>
                    <a:noFill/>
                    <a:ln>
                      <a:noFill/>
                    </a:ln>
                  </pic:spPr>
                </pic:pic>
              </a:graphicData>
            </a:graphic>
          </wp:inline>
        </w:drawing>
      </w:r>
    </w:p>
    <w:p w14:paraId="3C908D75">
      <w:pPr>
        <w:pStyle w:val="4"/>
        <w:numPr>
          <w:ilvl w:val="0"/>
          <w:numId w:val="3"/>
        </w:numPr>
        <w:ind w:firstLine="640" w:firstLineChars="200"/>
        <w:rPr>
          <w:rStyle w:val="29"/>
          <w:rFonts w:ascii="仿宋" w:hAnsi="仿宋" w:eastAsia="仿宋"/>
          <w:b w:val="0"/>
          <w:bCs w:val="0"/>
        </w:rPr>
      </w:pPr>
      <w:r>
        <w:rPr>
          <w:rStyle w:val="29"/>
          <w:rFonts w:hint="eastAsia" w:ascii="仿宋" w:hAnsi="仿宋" w:eastAsia="仿宋"/>
          <w:b w:val="0"/>
          <w:bCs w:val="0"/>
        </w:rPr>
        <w:t>国有资本经营预算财政拨款支出决算表</w:t>
      </w:r>
    </w:p>
    <w:p w14:paraId="0FBB81F4">
      <w:r>
        <w:drawing>
          <wp:inline distT="0" distB="0" distL="114300" distR="114300">
            <wp:extent cx="5396865" cy="2604770"/>
            <wp:effectExtent l="0" t="0" r="13335" b="5080"/>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pic:cNvPicPr>
                  </pic:nvPicPr>
                  <pic:blipFill>
                    <a:blip r:embed="rId42"/>
                    <a:stretch>
                      <a:fillRect/>
                    </a:stretch>
                  </pic:blipFill>
                  <pic:spPr>
                    <a:xfrm>
                      <a:off x="0" y="0"/>
                      <a:ext cx="5396865" cy="2604770"/>
                    </a:xfrm>
                    <a:prstGeom prst="rect">
                      <a:avLst/>
                    </a:prstGeom>
                    <a:noFill/>
                    <a:ln>
                      <a:noFill/>
                    </a:ln>
                  </pic:spPr>
                </pic:pic>
              </a:graphicData>
            </a:graphic>
          </wp:inline>
        </w:drawing>
      </w:r>
    </w:p>
    <w:p w14:paraId="4D72192A">
      <w:pPr>
        <w:pStyle w:val="4"/>
        <w:numPr>
          <w:ilvl w:val="0"/>
          <w:numId w:val="3"/>
        </w:numPr>
        <w:ind w:firstLine="640" w:firstLineChars="200"/>
        <w:rPr>
          <w:rStyle w:val="29"/>
          <w:rFonts w:ascii="仿宋" w:hAnsi="仿宋" w:eastAsia="仿宋"/>
          <w:b w:val="0"/>
          <w:bCs w:val="0"/>
        </w:rPr>
      </w:pPr>
      <w:r>
        <w:rPr>
          <w:rStyle w:val="29"/>
          <w:rFonts w:hint="eastAsia" w:ascii="仿宋" w:hAnsi="仿宋" w:eastAsia="仿宋"/>
          <w:b w:val="0"/>
          <w:bCs w:val="0"/>
        </w:rPr>
        <w:t>财政拨款“三公”经费支出决算表</w:t>
      </w:r>
    </w:p>
    <w:p w14:paraId="10BB4E31"/>
    <w:p w14:paraId="78F7C52F">
      <w:pPr>
        <w:pStyle w:val="2"/>
        <w:spacing w:before="93"/>
        <w:rPr>
          <w:rFonts w:ascii="Times New Roman" w:eastAsia="黑体"/>
          <w:sz w:val="44"/>
          <w:szCs w:val="44"/>
        </w:rPr>
      </w:pPr>
      <w:r>
        <w:drawing>
          <wp:inline distT="0" distB="0" distL="114300" distR="114300">
            <wp:extent cx="5398135" cy="1113790"/>
            <wp:effectExtent l="0" t="0" r="12065" b="10160"/>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pic:cNvPicPr>
                  </pic:nvPicPr>
                  <pic:blipFill>
                    <a:blip r:embed="rId43"/>
                    <a:stretch>
                      <a:fillRect/>
                    </a:stretch>
                  </pic:blipFill>
                  <pic:spPr>
                    <a:xfrm>
                      <a:off x="0" y="0"/>
                      <a:ext cx="5398135" cy="1113790"/>
                    </a:xfrm>
                    <a:prstGeom prst="rect">
                      <a:avLst/>
                    </a:prstGeom>
                    <a:noFill/>
                    <a:ln>
                      <a:noFill/>
                    </a:ln>
                  </pic:spPr>
                </pic:pic>
              </a:graphicData>
            </a:graphic>
          </wp:inline>
        </w:drawing>
      </w:r>
    </w:p>
    <w:p w14:paraId="16304D75">
      <w:pPr>
        <w:pStyle w:val="2"/>
        <w:spacing w:before="93"/>
        <w:rPr>
          <w:rFonts w:ascii="Times New Roman" w:eastAsia="黑体"/>
          <w:sz w:val="44"/>
          <w:szCs w:val="44"/>
        </w:rPr>
      </w:pPr>
    </w:p>
    <w:p w14:paraId="002F3F38">
      <w:pPr>
        <w:pStyle w:val="2"/>
        <w:spacing w:before="93"/>
        <w:rPr>
          <w:rFonts w:ascii="Times New Roman" w:eastAsia="黑体"/>
          <w:sz w:val="44"/>
          <w:szCs w:val="44"/>
        </w:rPr>
      </w:pPr>
    </w:p>
    <w:p w14:paraId="4696BC9A">
      <w:pPr>
        <w:pStyle w:val="2"/>
        <w:spacing w:before="93"/>
        <w:rPr>
          <w:rFonts w:ascii="Times New Roman" w:eastAsia="黑体"/>
          <w:sz w:val="44"/>
          <w:szCs w:val="44"/>
        </w:rPr>
      </w:pPr>
    </w:p>
    <w:p w14:paraId="5CE231A9">
      <w:pPr>
        <w:pStyle w:val="2"/>
        <w:spacing w:before="93"/>
        <w:rPr>
          <w:rFonts w:ascii="Times New Roman" w:eastAsia="黑体"/>
          <w:sz w:val="44"/>
          <w:szCs w:val="44"/>
        </w:rPr>
      </w:pPr>
    </w:p>
    <w:p w14:paraId="056F0C54">
      <w:pPr>
        <w:pStyle w:val="2"/>
        <w:spacing w:before="93"/>
        <w:rPr>
          <w:rFonts w:ascii="Times New Roman" w:eastAsia="黑体"/>
          <w:sz w:val="44"/>
          <w:szCs w:val="44"/>
        </w:rPr>
      </w:pPr>
    </w:p>
    <w:p w14:paraId="42AC49C2">
      <w:pPr>
        <w:pStyle w:val="2"/>
        <w:spacing w:before="93"/>
        <w:rPr>
          <w:rFonts w:ascii="Times New Roman" w:eastAsia="黑体"/>
          <w:sz w:val="44"/>
          <w:szCs w:val="44"/>
        </w:rPr>
      </w:pPr>
    </w:p>
    <w:bookmarkEnd w:id="50"/>
    <w:bookmarkEnd w:id="52"/>
    <w:p w14:paraId="34CEAEB1">
      <w:pPr>
        <w:rPr>
          <w:rFonts w:eastAsia="仿宋"/>
        </w:rPr>
      </w:pPr>
    </w:p>
    <w:sectPr>
      <w:footerReference r:id="rId11" w:type="first"/>
      <w:footerReference r:id="rId10" w:type="default"/>
      <w:pgSz w:w="11906" w:h="16838"/>
      <w:pgMar w:top="1440" w:right="1686" w:bottom="1440" w:left="16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6DD8F">
    <w:pPr>
      <w:pStyle w:val="10"/>
      <w:tabs>
        <w:tab w:val="center" w:pos="4310"/>
        <w:tab w:val="clear" w:pos="4153"/>
      </w:tabs>
      <w:jc w:val="both"/>
    </w:pPr>
    <w:r>
      <w:rPr>
        <w:rFonts w:hint="eastAsia"/>
        <w:lang w:eastAsia="zh-CN"/>
      </w:rPr>
      <w:tab/>
    </w:r>
  </w:p>
  <w:p w14:paraId="702D829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4440">
    <w:pPr>
      <w:pStyle w:val="10"/>
      <w:tabs>
        <w:tab w:val="center" w:pos="4310"/>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6B8D">
    <w:pPr>
      <w:pStyle w:val="10"/>
      <w:tabs>
        <w:tab w:val="center" w:pos="4310"/>
        <w:tab w:val="clear" w:pos="4153"/>
      </w:tabs>
      <w:jc w:val="both"/>
    </w:pPr>
    <w:r>
      <w:rPr>
        <w:rFonts w:hint="eastAsia"/>
        <w:lang w:eastAsia="zh-CN"/>
      </w:rPr>
      <w:tab/>
    </w:r>
  </w:p>
  <w:p w14:paraId="2D52CB7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B3FE">
    <w:pPr>
      <w:pStyle w:val="10"/>
      <w:tabs>
        <w:tab w:val="center" w:pos="4310"/>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6A17">
    <w:pPr>
      <w:pStyle w:val="10"/>
      <w:tabs>
        <w:tab w:val="center" w:pos="4310"/>
        <w:tab w:val="clear" w:pos="4153"/>
        <w:tab w:val="clear" w:pos="8306"/>
      </w:tabs>
      <w:jc w:val="both"/>
    </w:pPr>
    <w:r>
      <w:rPr>
        <w:rFonts w:hint="eastAsia"/>
        <w:lang w:eastAsia="zh-CN"/>
      </w:rPr>
      <w:tab/>
    </w:r>
    <w:r>
      <w:rPr>
        <w:rFonts w:hint="eastAsia"/>
        <w:lang w:eastAsia="zh-CN"/>
      </w:rPr>
      <w:tab/>
    </w:r>
  </w:p>
  <w:p w14:paraId="1B737A42">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7A8D">
    <w:pPr>
      <w:pStyle w:val="10"/>
      <w:tabs>
        <w:tab w:val="center" w:pos="4310"/>
        <w:tab w:val="clear" w:pos="4153"/>
      </w:tabs>
    </w:pPr>
    <w:r>
      <w:rPr>
        <w:sz w:val="18"/>
      </w:rPr>
      <w:pict>
        <v:shape id="_x0000_s2056" o:spid="_x0000_s205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ABC7902">
                <w:pPr>
                  <w:pStyle w:val="10"/>
                </w:pPr>
                <w:r>
                  <w:fldChar w:fldCharType="begin"/>
                </w:r>
                <w:r>
                  <w:instrText xml:space="preserve"> PAGE  \* MERGEFORMAT </w:instrText>
                </w:r>
                <w:r>
                  <w:fldChar w:fldCharType="separate"/>
                </w:r>
                <w:r>
                  <w:t>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DA01">
    <w:pPr>
      <w:pStyle w:val="10"/>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14:paraId="2E65D635">
                    <w:pPr>
                      <w:pStyle w:val="10"/>
                      <w:jc w:val="center"/>
                    </w:pPr>
                    <w:r>
                      <w:fldChar w:fldCharType="begin"/>
                    </w:r>
                    <w:r>
                      <w:instrText xml:space="preserve">PAGE   \* MERGEFORMAT</w:instrText>
                    </w:r>
                    <w:r>
                      <w:fldChar w:fldCharType="separate"/>
                    </w:r>
                    <w:r>
                      <w:rPr>
                        <w:lang w:val="zh-CN"/>
                      </w:rPr>
                      <w:t>21</w:t>
                    </w:r>
                    <w:r>
                      <w:fldChar w:fldCharType="end"/>
                    </w:r>
                  </w:p>
                </w:sdtContent>
              </w:sdt>
              <w:p w14:paraId="58721D98">
                <w:pPr>
                  <w:pStyle w:val="2"/>
                </w:pPr>
              </w:p>
            </w:txbxContent>
          </v:textbox>
        </v:shape>
      </w:pict>
    </w:r>
  </w:p>
  <w:p w14:paraId="722EA681">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B092">
    <w:pPr>
      <w:pStyle w:val="10"/>
      <w:tabs>
        <w:tab w:val="clear" w:pos="4153"/>
      </w:tabs>
      <w:jc w:val="center"/>
      <w:rPr>
        <w:rFonts w:hint="eastAsia" w:eastAsia="宋体"/>
        <w:lang w:val="en-US" w:eastAsia="zh-CN"/>
      </w:rPr>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F10AE47">
                <w:pPr>
                  <w:pStyle w:val="10"/>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6B9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EECF9"/>
    <w:multiLevelType w:val="singleLevel"/>
    <w:tmpl w:val="90AEECF9"/>
    <w:lvl w:ilvl="0" w:tentative="0">
      <w:start w:val="2"/>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7DAA0CE"/>
    <w:multiLevelType w:val="singleLevel"/>
    <w:tmpl w:val="E7DAA0CE"/>
    <w:lvl w:ilvl="0" w:tentative="0">
      <w:start w:val="2"/>
      <w:numFmt w:val="chineseCounting"/>
      <w:suff w:val="nothing"/>
      <w:lvlText w:val="（%1）"/>
      <w:lvlJc w:val="left"/>
      <w:rPr>
        <w:rFonts w:hint="eastAsia"/>
      </w:rPr>
    </w:lvl>
  </w:abstractNum>
  <w:abstractNum w:abstractNumId="3">
    <w:nsid w:val="04BA8AF2"/>
    <w:multiLevelType w:val="singleLevel"/>
    <w:tmpl w:val="04BA8AF2"/>
    <w:lvl w:ilvl="0" w:tentative="0">
      <w:start w:val="2"/>
      <w:numFmt w:val="decimal"/>
      <w:lvlText w:val="%1."/>
      <w:lvlJc w:val="left"/>
      <w:pPr>
        <w:tabs>
          <w:tab w:val="left" w:pos="312"/>
        </w:tabs>
      </w:pPr>
    </w:lvl>
  </w:abstractNum>
  <w:abstractNum w:abstractNumId="4">
    <w:nsid w:val="55011F98"/>
    <w:multiLevelType w:val="singleLevel"/>
    <w:tmpl w:val="55011F98"/>
    <w:lvl w:ilvl="0" w:tentative="0">
      <w:start w:val="1"/>
      <w:numFmt w:val="chineseCounting"/>
      <w:suff w:val="nothing"/>
      <w:lvlText w:val="%1、"/>
      <w:lvlJc w:val="left"/>
      <w:rPr>
        <w:rFonts w:hint="eastAsia"/>
      </w:rPr>
    </w:lvl>
  </w:abstractNum>
  <w:abstractNum w:abstractNumId="5">
    <w:nsid w:val="76C4F01F"/>
    <w:multiLevelType w:val="singleLevel"/>
    <w:tmpl w:val="76C4F01F"/>
    <w:lvl w:ilvl="0" w:tentative="0">
      <w:start w:val="2"/>
      <w:numFmt w:val="chineseCounting"/>
      <w:suff w:val="nothing"/>
      <w:lvlText w:val="%1、"/>
      <w:lvlJc w:val="left"/>
      <w:rPr>
        <w:rFonts w:hint="eastAsia"/>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wNjllMjhhZjdmZWI4Zjk0YjU3ZGZjNDQ3YjFlZm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0F08"/>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1A7D"/>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1C8F"/>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E1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0BB"/>
    <w:rsid w:val="00F36D8F"/>
    <w:rsid w:val="00F417B1"/>
    <w:rsid w:val="00F45853"/>
    <w:rsid w:val="00F602DF"/>
    <w:rsid w:val="00F754A1"/>
    <w:rsid w:val="00F81FD9"/>
    <w:rsid w:val="00F841AA"/>
    <w:rsid w:val="00F84A94"/>
    <w:rsid w:val="00F87E96"/>
    <w:rsid w:val="00FA23E8"/>
    <w:rsid w:val="00FA74CE"/>
    <w:rsid w:val="00FC22E2"/>
    <w:rsid w:val="00FD3CC1"/>
    <w:rsid w:val="00FF1E02"/>
    <w:rsid w:val="00FF30B4"/>
    <w:rsid w:val="020C008E"/>
    <w:rsid w:val="029B0D82"/>
    <w:rsid w:val="03FE2987"/>
    <w:rsid w:val="06DD33E6"/>
    <w:rsid w:val="072B65D7"/>
    <w:rsid w:val="0A2032A3"/>
    <w:rsid w:val="0B8A37D8"/>
    <w:rsid w:val="0C2F209C"/>
    <w:rsid w:val="0CC30B2B"/>
    <w:rsid w:val="0D0539CE"/>
    <w:rsid w:val="101623B7"/>
    <w:rsid w:val="10C055FF"/>
    <w:rsid w:val="11446C83"/>
    <w:rsid w:val="118107EC"/>
    <w:rsid w:val="11DD6519"/>
    <w:rsid w:val="13585012"/>
    <w:rsid w:val="169D61CC"/>
    <w:rsid w:val="16BB723D"/>
    <w:rsid w:val="18015F3F"/>
    <w:rsid w:val="180555B0"/>
    <w:rsid w:val="1997747D"/>
    <w:rsid w:val="1B544F09"/>
    <w:rsid w:val="1BE8440E"/>
    <w:rsid w:val="1D155CEE"/>
    <w:rsid w:val="1E477979"/>
    <w:rsid w:val="1FFE7C49"/>
    <w:rsid w:val="20F57F95"/>
    <w:rsid w:val="21176C9E"/>
    <w:rsid w:val="22006959"/>
    <w:rsid w:val="240371BF"/>
    <w:rsid w:val="25C741E6"/>
    <w:rsid w:val="27842671"/>
    <w:rsid w:val="29FD04D3"/>
    <w:rsid w:val="2ABE7A3E"/>
    <w:rsid w:val="2D3072FA"/>
    <w:rsid w:val="2D9B61F2"/>
    <w:rsid w:val="2DBC1113"/>
    <w:rsid w:val="2EFA178C"/>
    <w:rsid w:val="30B46D73"/>
    <w:rsid w:val="319F7F4E"/>
    <w:rsid w:val="327770FB"/>
    <w:rsid w:val="327E5781"/>
    <w:rsid w:val="32D56C95"/>
    <w:rsid w:val="32F26BB0"/>
    <w:rsid w:val="33C65FE7"/>
    <w:rsid w:val="342F7F57"/>
    <w:rsid w:val="36D72B1F"/>
    <w:rsid w:val="37553A5F"/>
    <w:rsid w:val="37A80F69"/>
    <w:rsid w:val="39611C2B"/>
    <w:rsid w:val="399A0D23"/>
    <w:rsid w:val="39AE70AB"/>
    <w:rsid w:val="3A1A4D37"/>
    <w:rsid w:val="3C0C0783"/>
    <w:rsid w:val="3CAD1E92"/>
    <w:rsid w:val="3D057794"/>
    <w:rsid w:val="3F9F3A96"/>
    <w:rsid w:val="43995287"/>
    <w:rsid w:val="488937B4"/>
    <w:rsid w:val="48C52AC1"/>
    <w:rsid w:val="48CC18F2"/>
    <w:rsid w:val="493C27E9"/>
    <w:rsid w:val="496F39ED"/>
    <w:rsid w:val="49FF41D3"/>
    <w:rsid w:val="4BE068DB"/>
    <w:rsid w:val="4BF6002B"/>
    <w:rsid w:val="4C0E3BB8"/>
    <w:rsid w:val="4C660AAD"/>
    <w:rsid w:val="4D097A5A"/>
    <w:rsid w:val="4D8D7D02"/>
    <w:rsid w:val="4ECE2238"/>
    <w:rsid w:val="4FE65048"/>
    <w:rsid w:val="519D5BDA"/>
    <w:rsid w:val="51DB4B86"/>
    <w:rsid w:val="53205F63"/>
    <w:rsid w:val="53540BE1"/>
    <w:rsid w:val="53BF0089"/>
    <w:rsid w:val="55333C3E"/>
    <w:rsid w:val="56421DA5"/>
    <w:rsid w:val="56F703A5"/>
    <w:rsid w:val="57501208"/>
    <w:rsid w:val="581E50DE"/>
    <w:rsid w:val="5AB07FE2"/>
    <w:rsid w:val="5AB741B0"/>
    <w:rsid w:val="5AF27ECA"/>
    <w:rsid w:val="5D1C5ADD"/>
    <w:rsid w:val="5D46056D"/>
    <w:rsid w:val="5E0B6E0A"/>
    <w:rsid w:val="5E305615"/>
    <w:rsid w:val="613F0754"/>
    <w:rsid w:val="6143676A"/>
    <w:rsid w:val="61614075"/>
    <w:rsid w:val="637C5F97"/>
    <w:rsid w:val="63B86FB2"/>
    <w:rsid w:val="64CA39A1"/>
    <w:rsid w:val="65CD5BFC"/>
    <w:rsid w:val="68E9161B"/>
    <w:rsid w:val="699A7393"/>
    <w:rsid w:val="69DD2624"/>
    <w:rsid w:val="6AC46B86"/>
    <w:rsid w:val="6AE16007"/>
    <w:rsid w:val="6C4A05C8"/>
    <w:rsid w:val="6D4A082B"/>
    <w:rsid w:val="6DB86EC4"/>
    <w:rsid w:val="6F7E6E13"/>
    <w:rsid w:val="6FB91A91"/>
    <w:rsid w:val="71810D7F"/>
    <w:rsid w:val="72734D90"/>
    <w:rsid w:val="76AA29C3"/>
    <w:rsid w:val="79E7B28D"/>
    <w:rsid w:val="79EE7093"/>
    <w:rsid w:val="7A0A4D5A"/>
    <w:rsid w:val="7B9A5652"/>
    <w:rsid w:val="7BAC55CE"/>
    <w:rsid w:val="7DF25F1D"/>
    <w:rsid w:val="7DFC453E"/>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rPr>
      <w:szCs w:val="21"/>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标题 2 Char1"/>
    <w:basedOn w:val="17"/>
    <w:link w:val="4"/>
    <w:qFormat/>
    <w:locked/>
    <w:uiPriority w:val="99"/>
    <w:rPr>
      <w:rFonts w:ascii="Cambria" w:hAnsi="Cambria" w:eastAsia="宋体" w:cs="Times New Roman"/>
      <w:b/>
      <w:bCs/>
      <w:kern w:val="2"/>
      <w:sz w:val="32"/>
      <w:szCs w:val="32"/>
    </w:rPr>
  </w:style>
  <w:style w:type="character" w:customStyle="1" w:styleId="35">
    <w:name w:val="标题 1 Char1"/>
    <w:basedOn w:val="17"/>
    <w:link w:val="3"/>
    <w:qFormat/>
    <w:locked/>
    <w:uiPriority w:val="99"/>
    <w:rPr>
      <w:rFonts w:ascii="Times New Roman" w:hAnsi="Times New Roman" w:cs="Times New Roman"/>
      <w:b/>
      <w:bCs/>
      <w:kern w:val="44"/>
      <w:sz w:val="44"/>
      <w:szCs w:val="44"/>
    </w:rPr>
  </w:style>
  <w:style w:type="paragraph" w:customStyle="1" w:styleId="36">
    <w:name w:val="_Style 1"/>
    <w:basedOn w:val="1"/>
    <w:qFormat/>
    <w:uiPriority w:val="0"/>
    <w:pPr>
      <w:ind w:firstLine="420" w:firstLineChars="200"/>
    </w:p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4.png"/><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image" Target="media/image21.png"/><Relationship Id="rId4" Type="http://schemas.openxmlformats.org/officeDocument/2006/relationships/footer" Target="footer1.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header" Target="header1.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emf"/><Relationship Id="rId25" Type="http://schemas.openxmlformats.org/officeDocument/2006/relationships/oleObject" Target="embeddings/oleObject7.bin"/><Relationship Id="rId24" Type="http://schemas.openxmlformats.org/officeDocument/2006/relationships/image" Target="media/image6.emf"/><Relationship Id="rId23" Type="http://schemas.openxmlformats.org/officeDocument/2006/relationships/oleObject" Target="embeddings/oleObject6.bin"/><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6" textRotate="1"/>
    <customShpInfo spid="_x0000_s2051" textRotate="1"/>
    <customShpInfo spid="_x0000_s2052" textRotate="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2716</Words>
  <Characters>3332</Characters>
  <Lines>1</Lines>
  <Paragraphs>1</Paragraphs>
  <TotalTime>12</TotalTime>
  <ScaleCrop>false</ScaleCrop>
  <LinksUpToDate>false</LinksUpToDate>
  <CharactersWithSpaces>3783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2022-10-07T01:09:00Z</dcterms:created>
  <dc:creator>曹颖</dc:creator>
  <cp:lastModifiedBy>Owner</cp:lastModifiedBy>
  <cp:lastPrinted>2022-08-06T02:23:00Z</cp:lastPrinted>
  <dcterms:modified xsi:type="dcterms:W3CDTF">2026-02-03T09:39:14Z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968D191C3129456EB57A680AC37CAFAE_13</vt:lpwstr>
  </property>
  <property fmtid="{D5CDD505-2E9C-101B-9397-08002B2CF9AE}" pid="4" name="KSOTemplateDocerSaveRecord">
    <vt:lpwstr>eyJoZGlkIjoiZDg0NDNiYTUxOWU4N2FhYTE5YTc3OTM5YzA0NWVjYWEiLCJ1c2VySWQiOiIxMzY3NTIyMzE2In0=</vt:lpwstr>
  </property>
</Properties>
</file>